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B9331">
      <w:pPr>
        <w:spacing w:line="265" w:lineRule="auto"/>
      </w:pPr>
    </w:p>
    <w:p w14:paraId="67EA8FA5">
      <w:pPr>
        <w:spacing w:line="265" w:lineRule="auto"/>
      </w:pPr>
    </w:p>
    <w:p w14:paraId="2C95ACC5">
      <w:pPr>
        <w:spacing w:line="265" w:lineRule="auto"/>
      </w:pPr>
    </w:p>
    <w:p w14:paraId="0511D6C4">
      <w:pPr>
        <w:spacing w:line="265" w:lineRule="auto"/>
      </w:pPr>
    </w:p>
    <w:p w14:paraId="1868BE79">
      <w:pPr>
        <w:spacing w:line="266" w:lineRule="auto"/>
      </w:pPr>
    </w:p>
    <w:p w14:paraId="055FF450">
      <w:pPr>
        <w:spacing w:line="266" w:lineRule="auto"/>
      </w:pPr>
    </w:p>
    <w:p w14:paraId="4D2C580F">
      <w:pPr>
        <w:spacing w:line="266" w:lineRule="auto"/>
      </w:pPr>
    </w:p>
    <w:p w14:paraId="393B1DBA">
      <w:pPr>
        <w:spacing w:line="266" w:lineRule="auto"/>
      </w:pPr>
    </w:p>
    <w:p w14:paraId="2BF04017">
      <w:pPr>
        <w:spacing w:before="140" w:line="780" w:lineRule="exact"/>
        <w:rPr>
          <w:rFonts w:ascii="宋体" w:hAnsi="宋体" w:eastAsia="宋体" w:cs="宋体"/>
          <w:sz w:val="43"/>
          <w:szCs w:val="43"/>
        </w:rPr>
      </w:pPr>
      <w:r>
        <w:rPr>
          <w:rFonts w:ascii="宋体" w:hAnsi="宋体" w:eastAsia="宋体" w:cs="宋体"/>
          <w:spacing w:val="20"/>
          <w:position w:val="25"/>
          <w:sz w:val="43"/>
          <w:szCs w:val="43"/>
          <w14:textOutline w14:w="7975" w14:cap="sq" w14:cmpd="sng" w14:algn="ctr">
            <w14:solidFill>
              <w14:srgbClr w14:val="000000"/>
            </w14:solidFill>
            <w14:prstDash w14:val="solid"/>
            <w14:bevel/>
          </w14:textOutline>
        </w:rPr>
        <w:t>井</w:t>
      </w:r>
      <w:r>
        <w:rPr>
          <w:rFonts w:ascii="宋体" w:hAnsi="宋体" w:eastAsia="宋体" w:cs="宋体"/>
          <w:spacing w:val="14"/>
          <w:position w:val="25"/>
          <w:sz w:val="43"/>
          <w:szCs w:val="43"/>
          <w14:textOutline w14:w="7975" w14:cap="sq" w14:cmpd="sng" w14:algn="ctr">
            <w14:solidFill>
              <w14:srgbClr w14:val="000000"/>
            </w14:solidFill>
            <w14:prstDash w14:val="solid"/>
            <w14:bevel/>
          </w14:textOutline>
        </w:rPr>
        <w:t>研</w:t>
      </w:r>
      <w:r>
        <w:rPr>
          <w:rFonts w:ascii="宋体" w:hAnsi="宋体" w:eastAsia="宋体" w:cs="宋体"/>
          <w:spacing w:val="10"/>
          <w:position w:val="25"/>
          <w:sz w:val="43"/>
          <w:szCs w:val="43"/>
          <w14:textOutline w14:w="7975" w14:cap="sq" w14:cmpd="sng" w14:algn="ctr">
            <w14:solidFill>
              <w14:srgbClr w14:val="000000"/>
            </w14:solidFill>
            <w14:prstDash w14:val="solid"/>
            <w14:bevel/>
          </w14:textOutline>
        </w:rPr>
        <w:t>县丰逸养殖专业合作社丰逸标准化代养场</w:t>
      </w:r>
    </w:p>
    <w:p w14:paraId="3AD76BD3">
      <w:pPr>
        <w:spacing w:before="2" w:line="223" w:lineRule="auto"/>
        <w:ind w:left="3533"/>
        <w:rPr>
          <w:rFonts w:ascii="宋体" w:hAnsi="宋体" w:eastAsia="宋体" w:cs="宋体"/>
          <w:sz w:val="43"/>
          <w:szCs w:val="43"/>
        </w:rPr>
      </w:pPr>
      <w:r>
        <w:rPr>
          <w:rFonts w:ascii="宋体" w:hAnsi="宋体" w:eastAsia="宋体" w:cs="宋体"/>
          <w:spacing w:val="6"/>
          <w:sz w:val="43"/>
          <w:szCs w:val="43"/>
          <w14:textOutline w14:w="7975" w14:cap="sq" w14:cmpd="sng" w14:algn="ctr">
            <w14:solidFill>
              <w14:srgbClr w14:val="000000"/>
            </w14:solidFill>
            <w14:prstDash w14:val="solid"/>
            <w14:bevel/>
          </w14:textOutline>
        </w:rPr>
        <w:t>建</w:t>
      </w:r>
      <w:r>
        <w:rPr>
          <w:rFonts w:ascii="宋体" w:hAnsi="宋体" w:eastAsia="宋体" w:cs="宋体"/>
          <w:spacing w:val="5"/>
          <w:sz w:val="43"/>
          <w:szCs w:val="43"/>
          <w14:textOutline w14:w="7975" w14:cap="sq" w14:cmpd="sng" w14:algn="ctr">
            <w14:solidFill>
              <w14:srgbClr w14:val="000000"/>
            </w14:solidFill>
            <w14:prstDash w14:val="solid"/>
            <w14:bevel/>
          </w14:textOutline>
        </w:rPr>
        <w:t>设项目</w:t>
      </w:r>
    </w:p>
    <w:p w14:paraId="755063B4">
      <w:pPr>
        <w:spacing w:before="167" w:line="101" w:lineRule="exact"/>
        <w:ind w:firstLine="508"/>
        <w:textAlignment w:val="center"/>
      </w:pPr>
      <w:r>
        <w:drawing>
          <wp:inline distT="0" distB="0" distL="0" distR="0">
            <wp:extent cx="5029200" cy="635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352"/>
                    <a:stretch>
                      <a:fillRect/>
                    </a:stretch>
                  </pic:blipFill>
                  <pic:spPr>
                    <a:xfrm>
                      <a:off x="0" y="0"/>
                      <a:ext cx="5029200" cy="64134"/>
                    </a:xfrm>
                    <a:prstGeom prst="rect">
                      <a:avLst/>
                    </a:prstGeom>
                  </pic:spPr>
                </pic:pic>
              </a:graphicData>
            </a:graphic>
          </wp:inline>
        </w:drawing>
      </w:r>
    </w:p>
    <w:p w14:paraId="280DD95E">
      <w:pPr>
        <w:spacing w:before="227" w:line="220" w:lineRule="auto"/>
        <w:ind w:left="1268"/>
        <w:rPr>
          <w:rFonts w:ascii="宋体" w:hAnsi="宋体" w:eastAsia="宋体" w:cs="宋体"/>
          <w:sz w:val="89"/>
          <w:szCs w:val="89"/>
        </w:rPr>
      </w:pPr>
      <w:r>
        <w:rPr>
          <w:rFonts w:ascii="宋体" w:hAnsi="宋体" w:eastAsia="宋体" w:cs="宋体"/>
          <w:spacing w:val="8"/>
          <w:sz w:val="89"/>
          <w:szCs w:val="89"/>
          <w14:textOutline w14:w="16344" w14:cap="sq" w14:cmpd="sng" w14:algn="ctr">
            <w14:solidFill>
              <w14:srgbClr w14:val="000000"/>
            </w14:solidFill>
            <w14:prstDash w14:val="solid"/>
            <w14:bevel/>
          </w14:textOutline>
        </w:rPr>
        <w:t>环境影响报告书</w:t>
      </w:r>
    </w:p>
    <w:p w14:paraId="3658B10F">
      <w:pPr>
        <w:spacing w:line="340" w:lineRule="auto"/>
      </w:pPr>
    </w:p>
    <w:p w14:paraId="038D51FD">
      <w:pPr>
        <w:spacing w:before="114" w:line="225" w:lineRule="auto"/>
        <w:ind w:left="3158"/>
        <w:rPr>
          <w:rFonts w:ascii="宋体" w:hAnsi="宋体" w:eastAsia="宋体" w:cs="宋体"/>
          <w:sz w:val="35"/>
          <w:szCs w:val="35"/>
        </w:rPr>
      </w:pPr>
      <w:r>
        <w:rPr>
          <w:rFonts w:ascii="宋体" w:hAnsi="宋体" w:eastAsia="宋体" w:cs="宋体"/>
          <w:spacing w:val="33"/>
          <w:sz w:val="35"/>
          <w:szCs w:val="35"/>
          <w14:textOutline w14:w="6540" w14:cap="sq" w14:cmpd="sng" w14:algn="ctr">
            <w14:solidFill>
              <w14:srgbClr w14:val="000000"/>
            </w14:solidFill>
            <w14:prstDash w14:val="solid"/>
            <w14:bevel/>
          </w14:textOutline>
        </w:rPr>
        <w:t>(</w:t>
      </w:r>
      <w:r>
        <w:rPr>
          <w:rFonts w:ascii="宋体" w:hAnsi="宋体" w:eastAsia="宋体" w:cs="宋体"/>
          <w:spacing w:val="30"/>
          <w:sz w:val="35"/>
          <w:szCs w:val="35"/>
          <w14:textOutline w14:w="6540" w14:cap="sq" w14:cmpd="sng" w14:algn="ctr">
            <w14:solidFill>
              <w14:srgbClr w14:val="000000"/>
            </w14:solidFill>
            <w14:prstDash w14:val="solid"/>
            <w14:bevel/>
          </w14:textOutline>
        </w:rPr>
        <w:t>征求意见稿)</w:t>
      </w:r>
    </w:p>
    <w:p w14:paraId="5F8EF99A">
      <w:pPr>
        <w:spacing w:line="251" w:lineRule="auto"/>
      </w:pPr>
    </w:p>
    <w:p w14:paraId="0B0A669C">
      <w:pPr>
        <w:spacing w:line="251" w:lineRule="auto"/>
      </w:pPr>
    </w:p>
    <w:p w14:paraId="290F2419">
      <w:pPr>
        <w:spacing w:line="251" w:lineRule="auto"/>
      </w:pPr>
    </w:p>
    <w:p w14:paraId="44E89A1D">
      <w:pPr>
        <w:spacing w:line="251" w:lineRule="auto"/>
      </w:pPr>
    </w:p>
    <w:p w14:paraId="2A6D2BDE">
      <w:pPr>
        <w:spacing w:line="251" w:lineRule="auto"/>
      </w:pPr>
    </w:p>
    <w:p w14:paraId="3938BB9D">
      <w:pPr>
        <w:spacing w:line="251" w:lineRule="auto"/>
      </w:pPr>
    </w:p>
    <w:p w14:paraId="50825951">
      <w:pPr>
        <w:spacing w:line="251" w:lineRule="auto"/>
      </w:pPr>
    </w:p>
    <w:p w14:paraId="33A945C1">
      <w:pPr>
        <w:spacing w:line="251" w:lineRule="auto"/>
      </w:pPr>
    </w:p>
    <w:p w14:paraId="7FE5C1F8">
      <w:pPr>
        <w:spacing w:line="251" w:lineRule="auto"/>
      </w:pPr>
    </w:p>
    <w:p w14:paraId="2C4F4486">
      <w:pPr>
        <w:spacing w:line="251" w:lineRule="auto"/>
      </w:pPr>
    </w:p>
    <w:p w14:paraId="7804A537">
      <w:pPr>
        <w:spacing w:line="251" w:lineRule="auto"/>
      </w:pPr>
    </w:p>
    <w:p w14:paraId="65431555">
      <w:pPr>
        <w:spacing w:line="251" w:lineRule="auto"/>
      </w:pPr>
    </w:p>
    <w:p w14:paraId="59963C83">
      <w:pPr>
        <w:spacing w:line="251" w:lineRule="auto"/>
      </w:pPr>
    </w:p>
    <w:p w14:paraId="739C573C">
      <w:pPr>
        <w:spacing w:line="251" w:lineRule="auto"/>
      </w:pPr>
    </w:p>
    <w:p w14:paraId="4FCB9D58">
      <w:pPr>
        <w:spacing w:line="251" w:lineRule="auto"/>
      </w:pPr>
    </w:p>
    <w:p w14:paraId="51601F3F">
      <w:pPr>
        <w:spacing w:line="251" w:lineRule="auto"/>
      </w:pPr>
    </w:p>
    <w:p w14:paraId="6F9B8B66">
      <w:pPr>
        <w:spacing w:line="251" w:lineRule="auto"/>
      </w:pPr>
    </w:p>
    <w:p w14:paraId="3D3FCE40">
      <w:pPr>
        <w:spacing w:line="252" w:lineRule="auto"/>
      </w:pPr>
    </w:p>
    <w:p w14:paraId="53D85360">
      <w:pPr>
        <w:spacing w:line="252" w:lineRule="auto"/>
      </w:pPr>
    </w:p>
    <w:p w14:paraId="2D0379D2">
      <w:pPr>
        <w:spacing w:before="101" w:line="225" w:lineRule="auto"/>
        <w:ind w:left="1261"/>
        <w:rPr>
          <w:rFonts w:ascii="宋体" w:hAnsi="宋体" w:eastAsia="宋体" w:cs="宋体"/>
          <w:sz w:val="28"/>
          <w:szCs w:val="28"/>
        </w:rPr>
      </w:pPr>
      <w:r>
        <w:rPr>
          <w:rFonts w:ascii="宋体" w:hAnsi="宋体" w:eastAsia="宋体" w:cs="宋体"/>
          <w:spacing w:val="3"/>
          <w:sz w:val="31"/>
          <w:szCs w:val="31"/>
          <w14:textOutline w14:w="5791" w14:cap="sq" w14:cmpd="sng" w14:algn="ctr">
            <w14:solidFill>
              <w14:srgbClr w14:val="000000"/>
            </w14:solidFill>
            <w14:prstDash w14:val="solid"/>
            <w14:bevel/>
          </w14:textOutline>
        </w:rPr>
        <w:t>建设单位：</w:t>
      </w:r>
      <w:r>
        <w:rPr>
          <w:rFonts w:ascii="宋体" w:hAnsi="宋体" w:eastAsia="宋体" w:cs="宋体"/>
          <w:spacing w:val="3"/>
          <w:sz w:val="28"/>
          <w:szCs w:val="28"/>
          <w14:textOutline w14:w="5105" w14:cap="sq" w14:cmpd="sng" w14:algn="ctr">
            <w14:solidFill>
              <w14:srgbClr w14:val="000000"/>
            </w14:solidFill>
            <w14:prstDash w14:val="solid"/>
            <w14:bevel/>
          </w14:textOutline>
        </w:rPr>
        <w:t>井研县丰逸养殖专业合作社</w:t>
      </w:r>
    </w:p>
    <w:p w14:paraId="79652EFF">
      <w:pPr>
        <w:spacing w:before="261" w:line="220" w:lineRule="auto"/>
        <w:ind w:left="1340"/>
        <w:rPr>
          <w:rFonts w:ascii="宋体" w:hAnsi="宋体" w:eastAsia="宋体" w:cs="宋体"/>
          <w:sz w:val="28"/>
          <w:szCs w:val="28"/>
        </w:rPr>
      </w:pPr>
      <w:r>
        <w:rPr>
          <w:rFonts w:ascii="宋体" w:hAnsi="宋体" w:eastAsia="宋体" w:cs="宋体"/>
          <w:spacing w:val="1"/>
          <w:sz w:val="28"/>
          <w:szCs w:val="28"/>
          <w14:textOutline w14:w="5105" w14:cap="sq" w14:cmpd="sng" w14:algn="ctr">
            <w14:solidFill>
              <w14:srgbClr w14:val="000000"/>
            </w14:solidFill>
            <w14:prstDash w14:val="solid"/>
            <w14:bevel/>
          </w14:textOutline>
        </w:rPr>
        <w:t>编制</w:t>
      </w:r>
      <w:r>
        <w:rPr>
          <w:rFonts w:ascii="宋体" w:hAnsi="宋体" w:eastAsia="宋体" w:cs="宋体"/>
          <w:sz w:val="28"/>
          <w:szCs w:val="28"/>
          <w14:textOutline w14:w="5105" w14:cap="sq" w14:cmpd="sng" w14:algn="ctr">
            <w14:solidFill>
              <w14:srgbClr w14:val="000000"/>
            </w14:solidFill>
            <w14:prstDash w14:val="solid"/>
            <w14:bevel/>
          </w14:textOutline>
        </w:rPr>
        <w:t>单位：湖北黄环环保科技有限公司</w:t>
      </w:r>
    </w:p>
    <w:p w14:paraId="39C8F84E">
      <w:pPr>
        <w:sectPr>
          <w:footerReference r:id="rId3" w:type="default"/>
          <w:pgSz w:w="11906" w:h="16839"/>
          <w:pgMar w:top="1431" w:right="1461" w:bottom="2608" w:left="1629" w:header="0" w:footer="2253" w:gutter="0"/>
          <w:cols w:space="720" w:num="1"/>
        </w:sectPr>
      </w:pPr>
    </w:p>
    <w:p w14:paraId="6DEA91FD"/>
    <w:sdt>
      <w:sdtPr>
        <w:rPr>
          <w:rFonts w:ascii="宋体" w:hAnsi="宋体" w:eastAsia="宋体" w:cs="宋体"/>
          <w:sz w:val="28"/>
          <w:szCs w:val="28"/>
        </w:rPr>
        <w:id w:val="1"/>
        <w:docPartObj>
          <w:docPartGallery w:val="Table of Contents"/>
          <w:docPartUnique/>
        </w:docPartObj>
      </w:sdtPr>
      <w:sdtEndPr>
        <w:rPr>
          <w:rFonts w:ascii="Calibri" w:hAnsi="Calibri" w:eastAsia="Calibri" w:cs="Calibri"/>
          <w:sz w:val="20"/>
          <w:szCs w:val="20"/>
        </w:rPr>
      </w:sdtEndPr>
      <w:sdtContent>
        <w:p w14:paraId="5AEF85F4">
          <w:pPr>
            <w:spacing w:before="91" w:line="222" w:lineRule="auto"/>
            <w:ind w:left="4392"/>
            <w:rPr>
              <w:rFonts w:ascii="宋体" w:hAnsi="宋体" w:eastAsia="宋体" w:cs="宋体"/>
              <w:sz w:val="28"/>
              <w:szCs w:val="28"/>
            </w:rPr>
          </w:pPr>
          <w:r>
            <w:rPr>
              <w:rFonts w:ascii="宋体" w:hAnsi="宋体" w:eastAsia="宋体" w:cs="宋体"/>
              <w:spacing w:val="-15"/>
              <w:sz w:val="28"/>
              <w:szCs w:val="28"/>
              <w14:textOutline w14:w="5105" w14:cap="sq" w14:cmpd="sng" w14:algn="ctr">
                <w14:solidFill>
                  <w14:srgbClr w14:val="000000"/>
                </w14:solidFill>
                <w14:prstDash w14:val="solid"/>
                <w14:bevel/>
              </w14:textOutline>
            </w:rPr>
            <w:t>目</w:t>
          </w:r>
          <w:r>
            <w:rPr>
              <w:rFonts w:ascii="宋体" w:hAnsi="宋体" w:eastAsia="宋体" w:cs="宋体"/>
              <w:spacing w:val="-13"/>
              <w:sz w:val="28"/>
              <w:szCs w:val="28"/>
            </w:rPr>
            <w:t xml:space="preserve">  </w:t>
          </w:r>
          <w:r>
            <w:rPr>
              <w:rFonts w:ascii="宋体" w:hAnsi="宋体" w:eastAsia="宋体" w:cs="宋体"/>
              <w:spacing w:val="-13"/>
              <w:sz w:val="28"/>
              <w:szCs w:val="28"/>
              <w14:textOutline w14:w="5105" w14:cap="sq" w14:cmpd="sng" w14:algn="ctr">
                <w14:solidFill>
                  <w14:srgbClr w14:val="000000"/>
                </w14:solidFill>
                <w14:prstDash w14:val="solid"/>
                <w14:bevel/>
              </w14:textOutline>
            </w:rPr>
            <w:t>录</w:t>
          </w:r>
        </w:p>
        <w:p w14:paraId="31F2C2F9">
          <w:pPr>
            <w:tabs>
              <w:tab w:val="right" w:leader="dot" w:pos="9495"/>
            </w:tabs>
            <w:spacing w:before="166" w:line="228" w:lineRule="auto"/>
            <w:ind w:left="8"/>
            <w:rPr>
              <w:rFonts w:ascii="Calibri" w:hAnsi="Calibri" w:eastAsia="Calibri" w:cs="Calibri"/>
              <w:sz w:val="20"/>
              <w:szCs w:val="20"/>
            </w:rPr>
          </w:pPr>
          <w:r>
            <w:fldChar w:fldCharType="begin"/>
          </w:r>
          <w:r>
            <w:instrText xml:space="preserve"> HYPERLINK \l "_bookmark1" </w:instrText>
          </w:r>
          <w:r>
            <w:fldChar w:fldCharType="separate"/>
          </w:r>
          <w:r>
            <w:rPr>
              <w:rFonts w:ascii="宋体" w:hAnsi="宋体" w:eastAsia="宋体" w:cs="宋体"/>
              <w:spacing w:val="11"/>
              <w:sz w:val="20"/>
              <w:szCs w:val="20"/>
            </w:rPr>
            <w:t>概</w:t>
          </w:r>
          <w:r>
            <w:rPr>
              <w:rFonts w:ascii="宋体" w:hAnsi="宋体" w:eastAsia="宋体" w:cs="宋体"/>
              <w:spacing w:val="8"/>
              <w:sz w:val="20"/>
              <w:szCs w:val="20"/>
            </w:rPr>
            <w:t xml:space="preserve">   述</w:t>
          </w:r>
          <w:r>
            <w:rPr>
              <w:rFonts w:ascii="宋体" w:hAnsi="宋体" w:eastAsia="宋体" w:cs="宋体"/>
              <w:sz w:val="20"/>
              <w:szCs w:val="20"/>
            </w:rPr>
            <w:tab/>
          </w:r>
          <w:r>
            <w:rPr>
              <w:rFonts w:ascii="Calibri" w:hAnsi="Calibri" w:eastAsia="Calibri" w:cs="Calibri"/>
              <w:spacing w:val="8"/>
              <w:sz w:val="20"/>
              <w:szCs w:val="20"/>
            </w:rPr>
            <w:t>1</w:t>
          </w:r>
          <w:r>
            <w:rPr>
              <w:rFonts w:ascii="Calibri" w:hAnsi="Calibri" w:eastAsia="Calibri" w:cs="Calibri"/>
              <w:spacing w:val="8"/>
              <w:sz w:val="20"/>
              <w:szCs w:val="20"/>
            </w:rPr>
            <w:fldChar w:fldCharType="end"/>
          </w:r>
        </w:p>
        <w:p w14:paraId="492EA26C">
          <w:pPr>
            <w:tabs>
              <w:tab w:val="right" w:leader="dot" w:pos="9495"/>
            </w:tabs>
            <w:spacing w:before="65" w:line="226" w:lineRule="auto"/>
            <w:ind w:left="432"/>
            <w:rPr>
              <w:rFonts w:ascii="Calibri" w:hAnsi="Calibri" w:eastAsia="Calibri" w:cs="Calibri"/>
              <w:sz w:val="20"/>
              <w:szCs w:val="20"/>
            </w:rPr>
          </w:pPr>
          <w:r>
            <w:fldChar w:fldCharType="begin"/>
          </w:r>
          <w:r>
            <w:instrText xml:space="preserve"> HYPERLINK \l "_bookmark2" </w:instrText>
          </w:r>
          <w:r>
            <w:fldChar w:fldCharType="separate"/>
          </w:r>
          <w:r>
            <w:rPr>
              <w:rFonts w:ascii="宋体" w:hAnsi="宋体" w:eastAsia="宋体" w:cs="宋体"/>
              <w:spacing w:val="12"/>
              <w:sz w:val="20"/>
              <w:szCs w:val="20"/>
            </w:rPr>
            <w:t>一、项目特点及评价任务的由来</w:t>
          </w:r>
          <w:r>
            <w:rPr>
              <w:rFonts w:ascii="宋体" w:hAnsi="宋体" w:eastAsia="宋体" w:cs="宋体"/>
              <w:sz w:val="20"/>
              <w:szCs w:val="20"/>
            </w:rPr>
            <w:tab/>
          </w:r>
          <w:r>
            <w:rPr>
              <w:rFonts w:ascii="Calibri" w:hAnsi="Calibri" w:eastAsia="Calibri" w:cs="Calibri"/>
              <w:spacing w:val="11"/>
              <w:sz w:val="20"/>
              <w:szCs w:val="20"/>
            </w:rPr>
            <w:t>1</w:t>
          </w:r>
          <w:r>
            <w:rPr>
              <w:rFonts w:ascii="Calibri" w:hAnsi="Calibri" w:eastAsia="Calibri" w:cs="Calibri"/>
              <w:spacing w:val="11"/>
              <w:sz w:val="20"/>
              <w:szCs w:val="20"/>
            </w:rPr>
            <w:fldChar w:fldCharType="end"/>
          </w:r>
        </w:p>
        <w:p w14:paraId="1D19EC84">
          <w:pPr>
            <w:tabs>
              <w:tab w:val="right" w:leader="dot" w:pos="9495"/>
            </w:tabs>
            <w:spacing w:before="67" w:line="226" w:lineRule="auto"/>
            <w:ind w:left="432"/>
            <w:rPr>
              <w:rFonts w:ascii="Calibri" w:hAnsi="Calibri" w:eastAsia="Calibri" w:cs="Calibri"/>
              <w:sz w:val="20"/>
              <w:szCs w:val="20"/>
            </w:rPr>
          </w:pPr>
          <w:r>
            <w:fldChar w:fldCharType="begin"/>
          </w:r>
          <w:r>
            <w:instrText xml:space="preserve"> HYPERLINK \l "_bookmark3" </w:instrText>
          </w:r>
          <w:r>
            <w:fldChar w:fldCharType="separate"/>
          </w:r>
          <w:r>
            <w:rPr>
              <w:rFonts w:ascii="宋体" w:hAnsi="宋体" w:eastAsia="宋体" w:cs="宋体"/>
              <w:spacing w:val="16"/>
              <w:sz w:val="20"/>
              <w:szCs w:val="20"/>
            </w:rPr>
            <w:t>二</w:t>
          </w:r>
          <w:r>
            <w:rPr>
              <w:rFonts w:ascii="宋体" w:hAnsi="宋体" w:eastAsia="宋体" w:cs="宋体"/>
              <w:spacing w:val="10"/>
              <w:sz w:val="20"/>
              <w:szCs w:val="20"/>
            </w:rPr>
            <w:t>、</w:t>
          </w:r>
          <w:r>
            <w:rPr>
              <w:rFonts w:ascii="宋体" w:hAnsi="宋体" w:eastAsia="宋体" w:cs="宋体"/>
              <w:spacing w:val="8"/>
              <w:sz w:val="20"/>
              <w:szCs w:val="20"/>
            </w:rPr>
            <w:t>环境影响评价的工作过程</w:t>
          </w:r>
          <w:r>
            <w:rPr>
              <w:rFonts w:ascii="宋体" w:hAnsi="宋体" w:eastAsia="宋体" w:cs="宋体"/>
              <w:sz w:val="20"/>
              <w:szCs w:val="20"/>
            </w:rPr>
            <w:tab/>
          </w:r>
          <w:r>
            <w:rPr>
              <w:rFonts w:ascii="Calibri" w:hAnsi="Calibri" w:eastAsia="Calibri" w:cs="Calibri"/>
              <w:spacing w:val="8"/>
              <w:sz w:val="20"/>
              <w:szCs w:val="20"/>
            </w:rPr>
            <w:t>2</w:t>
          </w:r>
          <w:r>
            <w:rPr>
              <w:rFonts w:ascii="Calibri" w:hAnsi="Calibri" w:eastAsia="Calibri" w:cs="Calibri"/>
              <w:spacing w:val="8"/>
              <w:sz w:val="20"/>
              <w:szCs w:val="20"/>
            </w:rPr>
            <w:fldChar w:fldCharType="end"/>
          </w:r>
        </w:p>
        <w:p w14:paraId="06935148">
          <w:pPr>
            <w:tabs>
              <w:tab w:val="right" w:leader="dot" w:pos="9495"/>
            </w:tabs>
            <w:spacing w:before="67" w:line="226" w:lineRule="auto"/>
            <w:ind w:left="428"/>
            <w:rPr>
              <w:rFonts w:ascii="Calibri" w:hAnsi="Calibri" w:eastAsia="Calibri" w:cs="Calibri"/>
              <w:sz w:val="20"/>
              <w:szCs w:val="20"/>
            </w:rPr>
          </w:pPr>
          <w:r>
            <w:fldChar w:fldCharType="begin"/>
          </w:r>
          <w:r>
            <w:instrText xml:space="preserve"> HYPERLINK \l "_bookmark4" </w:instrText>
          </w:r>
          <w:r>
            <w:fldChar w:fldCharType="separate"/>
          </w:r>
          <w:r>
            <w:rPr>
              <w:rFonts w:ascii="宋体" w:hAnsi="宋体" w:eastAsia="宋体" w:cs="宋体"/>
              <w:spacing w:val="12"/>
              <w:sz w:val="20"/>
              <w:szCs w:val="20"/>
            </w:rPr>
            <w:t>三</w:t>
          </w:r>
          <w:r>
            <w:rPr>
              <w:rFonts w:ascii="宋体" w:hAnsi="宋体" w:eastAsia="宋体" w:cs="宋体"/>
              <w:spacing w:val="9"/>
              <w:sz w:val="20"/>
              <w:szCs w:val="20"/>
            </w:rPr>
            <w:t>、评价目的及原则</w:t>
          </w:r>
          <w:r>
            <w:rPr>
              <w:rFonts w:ascii="宋体" w:hAnsi="宋体" w:eastAsia="宋体" w:cs="宋体"/>
              <w:sz w:val="20"/>
              <w:szCs w:val="20"/>
            </w:rPr>
            <w:tab/>
          </w:r>
          <w:r>
            <w:rPr>
              <w:rFonts w:ascii="Calibri" w:hAnsi="Calibri" w:eastAsia="Calibri" w:cs="Calibri"/>
              <w:spacing w:val="9"/>
              <w:sz w:val="20"/>
              <w:szCs w:val="20"/>
            </w:rPr>
            <w:t>3</w:t>
          </w:r>
          <w:r>
            <w:rPr>
              <w:rFonts w:ascii="Calibri" w:hAnsi="Calibri" w:eastAsia="Calibri" w:cs="Calibri"/>
              <w:spacing w:val="9"/>
              <w:sz w:val="20"/>
              <w:szCs w:val="20"/>
            </w:rPr>
            <w:fldChar w:fldCharType="end"/>
          </w:r>
        </w:p>
        <w:p w14:paraId="5CA1FC04">
          <w:pPr>
            <w:tabs>
              <w:tab w:val="right" w:leader="dot" w:pos="9495"/>
            </w:tabs>
            <w:spacing w:before="67" w:line="226" w:lineRule="auto"/>
            <w:ind w:left="448"/>
            <w:rPr>
              <w:rFonts w:ascii="Calibri" w:hAnsi="Calibri" w:eastAsia="Calibri" w:cs="Calibri"/>
              <w:sz w:val="20"/>
              <w:szCs w:val="20"/>
            </w:rPr>
          </w:pPr>
          <w:r>
            <w:fldChar w:fldCharType="begin"/>
          </w:r>
          <w:r>
            <w:instrText xml:space="preserve"> HYPERLINK \l "_bookmark5" </w:instrText>
          </w:r>
          <w:r>
            <w:fldChar w:fldCharType="separate"/>
          </w:r>
          <w:r>
            <w:rPr>
              <w:rFonts w:ascii="宋体" w:hAnsi="宋体" w:eastAsia="宋体" w:cs="宋体"/>
              <w:spacing w:val="14"/>
              <w:sz w:val="20"/>
              <w:szCs w:val="20"/>
            </w:rPr>
            <w:t>四</w:t>
          </w:r>
          <w:r>
            <w:rPr>
              <w:rFonts w:ascii="宋体" w:hAnsi="宋体" w:eastAsia="宋体" w:cs="宋体"/>
              <w:spacing w:val="10"/>
              <w:sz w:val="20"/>
              <w:szCs w:val="20"/>
            </w:rPr>
            <w:t>、评价关注的主要环境问题及环境影响</w:t>
          </w:r>
          <w:r>
            <w:rPr>
              <w:rFonts w:ascii="宋体" w:hAnsi="宋体" w:eastAsia="宋体" w:cs="宋体"/>
              <w:sz w:val="20"/>
              <w:szCs w:val="20"/>
            </w:rPr>
            <w:tab/>
          </w:r>
          <w:r>
            <w:rPr>
              <w:rFonts w:ascii="Calibri" w:hAnsi="Calibri" w:eastAsia="Calibri" w:cs="Calibri"/>
              <w:spacing w:val="10"/>
              <w:sz w:val="20"/>
              <w:szCs w:val="20"/>
            </w:rPr>
            <w:t>4</w:t>
          </w:r>
          <w:r>
            <w:rPr>
              <w:rFonts w:ascii="Calibri" w:hAnsi="Calibri" w:eastAsia="Calibri" w:cs="Calibri"/>
              <w:spacing w:val="10"/>
              <w:sz w:val="20"/>
              <w:szCs w:val="20"/>
            </w:rPr>
            <w:fldChar w:fldCharType="end"/>
          </w:r>
        </w:p>
        <w:p w14:paraId="4D4DFC85">
          <w:pPr>
            <w:tabs>
              <w:tab w:val="right" w:leader="dot" w:pos="9495"/>
            </w:tabs>
            <w:spacing w:before="67" w:line="226" w:lineRule="auto"/>
            <w:ind w:left="432"/>
            <w:rPr>
              <w:rFonts w:ascii="Calibri" w:hAnsi="Calibri" w:eastAsia="Calibri" w:cs="Calibri"/>
              <w:sz w:val="20"/>
              <w:szCs w:val="20"/>
            </w:rPr>
          </w:pPr>
          <w:r>
            <w:fldChar w:fldCharType="begin"/>
          </w:r>
          <w:r>
            <w:instrText xml:space="preserve"> HYPERLINK \l "_bookmark6" </w:instrText>
          </w:r>
          <w:r>
            <w:fldChar w:fldCharType="separate"/>
          </w:r>
          <w:r>
            <w:rPr>
              <w:rFonts w:ascii="宋体" w:hAnsi="宋体" w:eastAsia="宋体" w:cs="宋体"/>
              <w:spacing w:val="16"/>
              <w:sz w:val="20"/>
              <w:szCs w:val="20"/>
            </w:rPr>
            <w:t>五</w:t>
          </w:r>
          <w:r>
            <w:rPr>
              <w:rFonts w:ascii="宋体" w:hAnsi="宋体" w:eastAsia="宋体" w:cs="宋体"/>
              <w:spacing w:val="8"/>
              <w:sz w:val="20"/>
              <w:szCs w:val="20"/>
            </w:rPr>
            <w:t>、环境影响评价的主要结论</w:t>
          </w:r>
          <w:r>
            <w:rPr>
              <w:rFonts w:ascii="宋体" w:hAnsi="宋体" w:eastAsia="宋体" w:cs="宋体"/>
              <w:sz w:val="20"/>
              <w:szCs w:val="20"/>
            </w:rPr>
            <w:tab/>
          </w:r>
          <w:r>
            <w:rPr>
              <w:rFonts w:ascii="Calibri" w:hAnsi="Calibri" w:eastAsia="Calibri" w:cs="Calibri"/>
              <w:spacing w:val="8"/>
              <w:sz w:val="20"/>
              <w:szCs w:val="20"/>
            </w:rPr>
            <w:t>4</w:t>
          </w:r>
          <w:r>
            <w:rPr>
              <w:rFonts w:ascii="Calibri" w:hAnsi="Calibri" w:eastAsia="Calibri" w:cs="Calibri"/>
              <w:spacing w:val="8"/>
              <w:sz w:val="20"/>
              <w:szCs w:val="20"/>
            </w:rPr>
            <w:fldChar w:fldCharType="end"/>
          </w:r>
        </w:p>
        <w:p w14:paraId="43DD56B4">
          <w:pPr>
            <w:tabs>
              <w:tab w:val="right" w:leader="dot" w:pos="9495"/>
            </w:tabs>
            <w:spacing w:before="67" w:line="235" w:lineRule="auto"/>
            <w:ind w:left="25"/>
            <w:rPr>
              <w:rFonts w:ascii="Calibri" w:hAnsi="Calibri" w:eastAsia="Calibri" w:cs="Calibri"/>
              <w:sz w:val="20"/>
              <w:szCs w:val="20"/>
            </w:rPr>
          </w:pPr>
          <w:r>
            <w:fldChar w:fldCharType="begin"/>
          </w:r>
          <w:r>
            <w:instrText xml:space="preserve"> HYPERLINK \l "_bookmark7" </w:instrText>
          </w:r>
          <w:r>
            <w:fldChar w:fldCharType="separate"/>
          </w:r>
          <w:r>
            <w:rPr>
              <w:rFonts w:ascii="Times New Roman" w:hAnsi="Times New Roman" w:eastAsia="Times New Roman" w:cs="Times New Roman"/>
              <w:spacing w:val="7"/>
              <w:sz w:val="20"/>
              <w:szCs w:val="20"/>
            </w:rPr>
            <w:t>1</w:t>
          </w:r>
          <w:r>
            <w:rPr>
              <w:rFonts w:ascii="宋体" w:hAnsi="宋体" w:eastAsia="宋体" w:cs="宋体"/>
              <w:spacing w:val="7"/>
              <w:sz w:val="20"/>
              <w:szCs w:val="20"/>
            </w:rPr>
            <w:t>、总论</w:t>
          </w:r>
          <w:r>
            <w:rPr>
              <w:rFonts w:ascii="Times New Roman" w:hAnsi="Times New Roman" w:eastAsia="Times New Roman" w:cs="Times New Roman"/>
              <w:sz w:val="20"/>
              <w:szCs w:val="20"/>
            </w:rPr>
            <w:tab/>
          </w:r>
          <w:r>
            <w:rPr>
              <w:rFonts w:ascii="Calibri" w:hAnsi="Calibri" w:eastAsia="Calibri" w:cs="Calibri"/>
              <w:spacing w:val="6"/>
              <w:sz w:val="20"/>
              <w:szCs w:val="20"/>
            </w:rPr>
            <w:t>6</w:t>
          </w:r>
          <w:r>
            <w:rPr>
              <w:rFonts w:ascii="Calibri" w:hAnsi="Calibri" w:eastAsia="Calibri" w:cs="Calibri"/>
              <w:spacing w:val="6"/>
              <w:sz w:val="20"/>
              <w:szCs w:val="20"/>
            </w:rPr>
            <w:fldChar w:fldCharType="end"/>
          </w:r>
        </w:p>
        <w:p w14:paraId="1D540FCF">
          <w:pPr>
            <w:tabs>
              <w:tab w:val="right" w:leader="dot" w:pos="9495"/>
            </w:tabs>
            <w:spacing w:before="57" w:line="227" w:lineRule="auto"/>
            <w:ind w:left="445"/>
            <w:rPr>
              <w:rFonts w:ascii="Calibri" w:hAnsi="Calibri" w:eastAsia="Calibri" w:cs="Calibri"/>
              <w:sz w:val="20"/>
              <w:szCs w:val="20"/>
            </w:rPr>
          </w:pPr>
          <w:r>
            <w:fldChar w:fldCharType="begin"/>
          </w:r>
          <w:r>
            <w:instrText xml:space="preserve"> HYPERLINK \l "_bookmark8" </w:instrText>
          </w:r>
          <w:r>
            <w:fldChar w:fldCharType="separate"/>
          </w:r>
          <w:r>
            <w:rPr>
              <w:rFonts w:ascii="Times New Roman" w:hAnsi="Times New Roman" w:eastAsia="Times New Roman" w:cs="Times New Roman"/>
              <w:spacing w:val="8"/>
              <w:sz w:val="20"/>
              <w:szCs w:val="20"/>
            </w:rPr>
            <w:t>1</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编制依据</w:t>
          </w:r>
          <w:r>
            <w:rPr>
              <w:rFonts w:ascii="Times New Roman" w:hAnsi="Times New Roman" w:eastAsia="Times New Roman" w:cs="Times New Roman"/>
              <w:sz w:val="20"/>
              <w:szCs w:val="20"/>
            </w:rPr>
            <w:tab/>
          </w:r>
          <w:r>
            <w:rPr>
              <w:rFonts w:ascii="Calibri" w:hAnsi="Calibri" w:eastAsia="Calibri" w:cs="Calibri"/>
              <w:spacing w:val="4"/>
              <w:sz w:val="20"/>
              <w:szCs w:val="20"/>
            </w:rPr>
            <w:t>6</w:t>
          </w:r>
          <w:r>
            <w:rPr>
              <w:rFonts w:ascii="Calibri" w:hAnsi="Calibri" w:eastAsia="Calibri" w:cs="Calibri"/>
              <w:spacing w:val="4"/>
              <w:sz w:val="20"/>
              <w:szCs w:val="20"/>
            </w:rPr>
            <w:fldChar w:fldCharType="end"/>
          </w:r>
        </w:p>
        <w:p w14:paraId="3CEF3890">
          <w:pPr>
            <w:tabs>
              <w:tab w:val="right" w:leader="dot" w:pos="9495"/>
            </w:tabs>
            <w:spacing w:before="67" w:line="228" w:lineRule="auto"/>
            <w:ind w:left="445"/>
            <w:rPr>
              <w:rFonts w:ascii="Calibri" w:hAnsi="Calibri" w:eastAsia="Calibri" w:cs="Calibri"/>
              <w:sz w:val="20"/>
              <w:szCs w:val="20"/>
            </w:rPr>
          </w:pPr>
          <w:r>
            <w:fldChar w:fldCharType="begin"/>
          </w:r>
          <w:r>
            <w:instrText xml:space="preserve"> HYPERLINK \l "_bookmark9" </w:instrText>
          </w:r>
          <w:r>
            <w:fldChar w:fldCharType="separate"/>
          </w:r>
          <w:r>
            <w:rPr>
              <w:rFonts w:ascii="Times New Roman" w:hAnsi="Times New Roman" w:eastAsia="Times New Roman" w:cs="Times New Roman"/>
              <w:spacing w:val="10"/>
              <w:sz w:val="20"/>
              <w:szCs w:val="20"/>
            </w:rPr>
            <w:t>1.</w:t>
          </w:r>
          <w:r>
            <w:rPr>
              <w:rFonts w:ascii="Times New Roman" w:hAnsi="Times New Roman" w:eastAsia="Times New Roman" w:cs="Times New Roman"/>
              <w:spacing w:val="5"/>
              <w:sz w:val="20"/>
              <w:szCs w:val="20"/>
            </w:rPr>
            <w:t xml:space="preserve">2  </w:t>
          </w:r>
          <w:r>
            <w:rPr>
              <w:rFonts w:ascii="宋体" w:hAnsi="宋体" w:eastAsia="宋体" w:cs="宋体"/>
              <w:spacing w:val="5"/>
              <w:sz w:val="20"/>
              <w:szCs w:val="20"/>
            </w:rPr>
            <w:t>区域环境功能区划</w:t>
          </w:r>
          <w:r>
            <w:rPr>
              <w:rFonts w:ascii="Times New Roman" w:hAnsi="Times New Roman" w:eastAsia="Times New Roman" w:cs="Times New Roman"/>
              <w:sz w:val="20"/>
              <w:szCs w:val="20"/>
            </w:rPr>
            <w:tab/>
          </w:r>
          <w:r>
            <w:rPr>
              <w:rFonts w:ascii="Calibri" w:hAnsi="Calibri" w:eastAsia="Calibri" w:cs="Calibri"/>
              <w:spacing w:val="5"/>
              <w:sz w:val="20"/>
              <w:szCs w:val="20"/>
            </w:rPr>
            <w:t>8</w:t>
          </w:r>
          <w:r>
            <w:rPr>
              <w:rFonts w:ascii="Calibri" w:hAnsi="Calibri" w:eastAsia="Calibri" w:cs="Calibri"/>
              <w:spacing w:val="5"/>
              <w:sz w:val="20"/>
              <w:szCs w:val="20"/>
            </w:rPr>
            <w:fldChar w:fldCharType="end"/>
          </w:r>
        </w:p>
        <w:p w14:paraId="4059C747">
          <w:pPr>
            <w:tabs>
              <w:tab w:val="right" w:leader="dot" w:pos="9495"/>
            </w:tabs>
            <w:spacing w:before="65" w:line="226" w:lineRule="auto"/>
            <w:ind w:left="445"/>
            <w:rPr>
              <w:rFonts w:ascii="Calibri" w:hAnsi="Calibri" w:eastAsia="Calibri" w:cs="Calibri"/>
              <w:sz w:val="20"/>
              <w:szCs w:val="20"/>
            </w:rPr>
          </w:pPr>
          <w:r>
            <w:fldChar w:fldCharType="begin"/>
          </w:r>
          <w:r>
            <w:instrText xml:space="preserve"> HYPERLINK \l "_bookmark10" </w:instrText>
          </w:r>
          <w:r>
            <w:fldChar w:fldCharType="separate"/>
          </w:r>
          <w:r>
            <w:rPr>
              <w:rFonts w:ascii="Times New Roman" w:hAnsi="Times New Roman" w:eastAsia="Times New Roman" w:cs="Times New Roman"/>
              <w:spacing w:val="12"/>
              <w:sz w:val="20"/>
              <w:szCs w:val="20"/>
            </w:rPr>
            <w:t>1</w:t>
          </w:r>
          <w:r>
            <w:rPr>
              <w:rFonts w:ascii="Times New Roman" w:hAnsi="Times New Roman" w:eastAsia="Times New Roman" w:cs="Times New Roman"/>
              <w:spacing w:val="9"/>
              <w:sz w:val="20"/>
              <w:szCs w:val="20"/>
            </w:rPr>
            <w:t xml:space="preserve">.3  </w:t>
          </w:r>
          <w:r>
            <w:rPr>
              <w:rFonts w:ascii="宋体" w:hAnsi="宋体" w:eastAsia="宋体" w:cs="宋体"/>
              <w:spacing w:val="9"/>
              <w:sz w:val="20"/>
              <w:szCs w:val="20"/>
            </w:rPr>
            <w:t>影响因素识别及评价因子筛选</w:t>
          </w:r>
          <w:r>
            <w:rPr>
              <w:rFonts w:ascii="Times New Roman" w:hAnsi="Times New Roman" w:eastAsia="Times New Roman" w:cs="Times New Roman"/>
              <w:sz w:val="20"/>
              <w:szCs w:val="20"/>
            </w:rPr>
            <w:tab/>
          </w:r>
          <w:r>
            <w:rPr>
              <w:rFonts w:ascii="Calibri" w:hAnsi="Calibri" w:eastAsia="Calibri" w:cs="Calibri"/>
              <w:spacing w:val="9"/>
              <w:sz w:val="20"/>
              <w:szCs w:val="20"/>
            </w:rPr>
            <w:t>9</w:t>
          </w:r>
          <w:r>
            <w:rPr>
              <w:rFonts w:ascii="Calibri" w:hAnsi="Calibri" w:eastAsia="Calibri" w:cs="Calibri"/>
              <w:spacing w:val="9"/>
              <w:sz w:val="20"/>
              <w:szCs w:val="20"/>
            </w:rPr>
            <w:fldChar w:fldCharType="end"/>
          </w:r>
        </w:p>
        <w:p w14:paraId="4F3EB5E6">
          <w:pPr>
            <w:tabs>
              <w:tab w:val="right" w:leader="dot" w:pos="9495"/>
            </w:tabs>
            <w:spacing w:before="67" w:line="226" w:lineRule="auto"/>
            <w:ind w:left="445"/>
            <w:rPr>
              <w:rFonts w:ascii="Calibri" w:hAnsi="Calibri" w:eastAsia="Calibri" w:cs="Calibri"/>
              <w:sz w:val="20"/>
              <w:szCs w:val="20"/>
            </w:rPr>
          </w:pPr>
          <w:r>
            <w:fldChar w:fldCharType="begin"/>
          </w:r>
          <w:r>
            <w:instrText xml:space="preserve"> HYPERLINK \l "_bookmark11" </w:instrText>
          </w:r>
          <w:r>
            <w:fldChar w:fldCharType="separate"/>
          </w:r>
          <w:r>
            <w:rPr>
              <w:rFonts w:ascii="Times New Roman" w:hAnsi="Times New Roman" w:eastAsia="Times New Roman" w:cs="Times New Roman"/>
              <w:spacing w:val="5"/>
              <w:sz w:val="20"/>
              <w:szCs w:val="20"/>
            </w:rPr>
            <w:t xml:space="preserve">1.4  </w:t>
          </w:r>
          <w:r>
            <w:rPr>
              <w:rFonts w:ascii="宋体" w:hAnsi="宋体" w:eastAsia="宋体" w:cs="宋体"/>
              <w:spacing w:val="5"/>
              <w:sz w:val="20"/>
              <w:szCs w:val="20"/>
            </w:rPr>
            <w:t>评价标准</w:t>
          </w:r>
          <w:r>
            <w:rPr>
              <w:rFonts w:ascii="Times New Roman" w:hAnsi="Times New Roman" w:eastAsia="Times New Roman" w:cs="Times New Roman"/>
              <w:sz w:val="20"/>
              <w:szCs w:val="20"/>
            </w:rPr>
            <w:tab/>
          </w:r>
          <w:r>
            <w:rPr>
              <w:rFonts w:ascii="Calibri" w:hAnsi="Calibri" w:eastAsia="Calibri" w:cs="Calibri"/>
              <w:spacing w:val="3"/>
              <w:sz w:val="20"/>
              <w:szCs w:val="20"/>
            </w:rPr>
            <w:t>9</w:t>
          </w:r>
          <w:r>
            <w:rPr>
              <w:rFonts w:ascii="Calibri" w:hAnsi="Calibri" w:eastAsia="Calibri" w:cs="Calibri"/>
              <w:spacing w:val="3"/>
              <w:sz w:val="20"/>
              <w:szCs w:val="20"/>
            </w:rPr>
            <w:fldChar w:fldCharType="end"/>
          </w:r>
        </w:p>
        <w:p w14:paraId="33D520DB">
          <w:pPr>
            <w:tabs>
              <w:tab w:val="right" w:leader="dot" w:pos="9495"/>
            </w:tabs>
            <w:spacing w:before="67" w:line="226" w:lineRule="auto"/>
            <w:ind w:left="445"/>
            <w:rPr>
              <w:rFonts w:ascii="Calibri" w:hAnsi="Calibri" w:eastAsia="Calibri" w:cs="Calibri"/>
              <w:sz w:val="20"/>
              <w:szCs w:val="20"/>
            </w:rPr>
          </w:pPr>
          <w:r>
            <w:fldChar w:fldCharType="begin"/>
          </w:r>
          <w:r>
            <w:instrText xml:space="preserve"> HYPERLINK \l "_bookmark12" </w:instrText>
          </w:r>
          <w:r>
            <w:fldChar w:fldCharType="separate"/>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评价工作等级与范围</w:t>
          </w:r>
          <w:r>
            <w:rPr>
              <w:rFonts w:ascii="Times New Roman" w:hAnsi="Times New Roman" w:eastAsia="Times New Roman" w:cs="Times New Roman"/>
              <w:sz w:val="20"/>
              <w:szCs w:val="20"/>
            </w:rPr>
            <w:tab/>
          </w:r>
          <w:r>
            <w:rPr>
              <w:rFonts w:ascii="Calibri" w:hAnsi="Calibri" w:eastAsia="Calibri" w:cs="Calibri"/>
              <w:spacing w:val="6"/>
              <w:sz w:val="20"/>
              <w:szCs w:val="20"/>
            </w:rPr>
            <w:t>1</w:t>
          </w:r>
          <w:r>
            <w:rPr>
              <w:rFonts w:ascii="Calibri" w:hAnsi="Calibri" w:eastAsia="Calibri" w:cs="Calibri"/>
              <w:spacing w:val="3"/>
              <w:sz w:val="20"/>
              <w:szCs w:val="20"/>
            </w:rPr>
            <w:t>3</w:t>
          </w:r>
          <w:r>
            <w:rPr>
              <w:rFonts w:ascii="Calibri" w:hAnsi="Calibri" w:eastAsia="Calibri" w:cs="Calibri"/>
              <w:spacing w:val="3"/>
              <w:sz w:val="20"/>
              <w:szCs w:val="20"/>
            </w:rPr>
            <w:fldChar w:fldCharType="end"/>
          </w:r>
        </w:p>
        <w:p w14:paraId="125A4568">
          <w:pPr>
            <w:tabs>
              <w:tab w:val="right" w:leader="dot" w:pos="9495"/>
            </w:tabs>
            <w:spacing w:before="66" w:line="228" w:lineRule="auto"/>
            <w:ind w:left="445"/>
            <w:rPr>
              <w:rFonts w:ascii="Calibri" w:hAnsi="Calibri" w:eastAsia="Calibri" w:cs="Calibri"/>
              <w:sz w:val="20"/>
              <w:szCs w:val="20"/>
            </w:rPr>
          </w:pPr>
          <w:r>
            <w:fldChar w:fldCharType="begin"/>
          </w:r>
          <w:r>
            <w:instrText xml:space="preserve"> HYPERLINK \l "_bookmark13" </w:instrText>
          </w:r>
          <w:r>
            <w:fldChar w:fldCharType="separate"/>
          </w:r>
          <w:r>
            <w:rPr>
              <w:rFonts w:ascii="Times New Roman" w:hAnsi="Times New Roman" w:eastAsia="Times New Roman" w:cs="Times New Roman"/>
              <w:spacing w:val="16"/>
              <w:sz w:val="20"/>
              <w:szCs w:val="20"/>
            </w:rPr>
            <w:t>1</w:t>
          </w:r>
          <w:r>
            <w:rPr>
              <w:rFonts w:ascii="Times New Roman" w:hAnsi="Times New Roman" w:eastAsia="Times New Roman" w:cs="Times New Roman"/>
              <w:spacing w:val="15"/>
              <w:sz w:val="20"/>
              <w:szCs w:val="20"/>
            </w:rPr>
            <w:t>.</w:t>
          </w:r>
          <w:r>
            <w:rPr>
              <w:rFonts w:ascii="Times New Roman" w:hAnsi="Times New Roman" w:eastAsia="Times New Roman" w:cs="Times New Roman"/>
              <w:spacing w:val="8"/>
              <w:sz w:val="20"/>
              <w:szCs w:val="20"/>
            </w:rPr>
            <w:t xml:space="preserve">6  </w:t>
          </w:r>
          <w:r>
            <w:rPr>
              <w:rFonts w:ascii="宋体" w:hAnsi="宋体" w:eastAsia="宋体" w:cs="宋体"/>
              <w:spacing w:val="8"/>
              <w:sz w:val="20"/>
              <w:szCs w:val="20"/>
            </w:rPr>
            <w:t>产业政策及相关规划符合性分析</w:t>
          </w:r>
          <w:r>
            <w:rPr>
              <w:rFonts w:ascii="Times New Roman" w:hAnsi="Times New Roman" w:eastAsia="Times New Roman" w:cs="Times New Roman"/>
              <w:sz w:val="20"/>
              <w:szCs w:val="20"/>
            </w:rPr>
            <w:tab/>
          </w:r>
          <w:r>
            <w:rPr>
              <w:rFonts w:ascii="Calibri" w:hAnsi="Calibri" w:eastAsia="Calibri" w:cs="Calibri"/>
              <w:spacing w:val="8"/>
              <w:sz w:val="20"/>
              <w:szCs w:val="20"/>
            </w:rPr>
            <w:t>19</w:t>
          </w:r>
          <w:r>
            <w:rPr>
              <w:rFonts w:ascii="Calibri" w:hAnsi="Calibri" w:eastAsia="Calibri" w:cs="Calibri"/>
              <w:spacing w:val="8"/>
              <w:sz w:val="20"/>
              <w:szCs w:val="20"/>
            </w:rPr>
            <w:fldChar w:fldCharType="end"/>
          </w:r>
        </w:p>
        <w:p w14:paraId="2C256413">
          <w:pPr>
            <w:tabs>
              <w:tab w:val="right" w:leader="dot" w:pos="9495"/>
            </w:tabs>
            <w:spacing w:before="66" w:line="227" w:lineRule="auto"/>
            <w:ind w:left="445"/>
            <w:rPr>
              <w:rFonts w:ascii="Calibri" w:hAnsi="Calibri" w:eastAsia="Calibri" w:cs="Calibri"/>
              <w:sz w:val="20"/>
              <w:szCs w:val="20"/>
            </w:rPr>
          </w:pPr>
          <w:r>
            <w:fldChar w:fldCharType="begin"/>
          </w:r>
          <w:r>
            <w:instrText xml:space="preserve"> HYPERLINK \l "_bookmark14" </w:instrText>
          </w:r>
          <w:r>
            <w:fldChar w:fldCharType="separate"/>
          </w:r>
          <w:r>
            <w:rPr>
              <w:rFonts w:ascii="Times New Roman" w:hAnsi="Times New Roman" w:eastAsia="Times New Roman" w:cs="Times New Roman"/>
              <w:spacing w:val="8"/>
              <w:sz w:val="20"/>
              <w:szCs w:val="20"/>
            </w:rPr>
            <w:t>1</w:t>
          </w:r>
          <w:r>
            <w:rPr>
              <w:rFonts w:ascii="Times New Roman" w:hAnsi="Times New Roman" w:eastAsia="Times New Roman" w:cs="Times New Roman"/>
              <w:spacing w:val="7"/>
              <w:sz w:val="20"/>
              <w:szCs w:val="20"/>
            </w:rPr>
            <w:t xml:space="preserve">.7  </w:t>
          </w:r>
          <w:r>
            <w:rPr>
              <w:rFonts w:ascii="宋体" w:hAnsi="宋体" w:eastAsia="宋体" w:cs="宋体"/>
              <w:spacing w:val="7"/>
              <w:sz w:val="20"/>
              <w:szCs w:val="20"/>
            </w:rPr>
            <w:t>本项目建设与</w:t>
          </w:r>
          <w:r>
            <w:rPr>
              <w:rFonts w:ascii="Times New Roman" w:hAnsi="Times New Roman" w:eastAsia="Times New Roman" w:cs="Times New Roman"/>
              <w:spacing w:val="7"/>
              <w:sz w:val="20"/>
              <w:szCs w:val="20"/>
            </w:rPr>
            <w:t>“</w:t>
          </w:r>
          <w:r>
            <w:rPr>
              <w:rFonts w:ascii="宋体" w:hAnsi="宋体" w:eastAsia="宋体" w:cs="宋体"/>
              <w:spacing w:val="7"/>
              <w:sz w:val="20"/>
              <w:szCs w:val="20"/>
            </w:rPr>
            <w:t>三线一单</w:t>
          </w:r>
          <w:r>
            <w:rPr>
              <w:rFonts w:ascii="Times New Roman" w:hAnsi="Times New Roman" w:eastAsia="Times New Roman" w:cs="Times New Roman"/>
              <w:spacing w:val="7"/>
              <w:sz w:val="20"/>
              <w:szCs w:val="20"/>
            </w:rPr>
            <w:t>”</w:t>
          </w:r>
          <w:r>
            <w:rPr>
              <w:rFonts w:ascii="宋体" w:hAnsi="宋体" w:eastAsia="宋体" w:cs="宋体"/>
              <w:spacing w:val="7"/>
              <w:sz w:val="20"/>
              <w:szCs w:val="20"/>
            </w:rPr>
            <w:t>符合性分析</w:t>
          </w:r>
          <w:r>
            <w:rPr>
              <w:rFonts w:ascii="Times New Roman" w:hAnsi="Times New Roman" w:eastAsia="Times New Roman" w:cs="Times New Roman"/>
              <w:sz w:val="20"/>
              <w:szCs w:val="20"/>
            </w:rPr>
            <w:tab/>
          </w:r>
          <w:r>
            <w:rPr>
              <w:rFonts w:ascii="Calibri" w:hAnsi="Calibri" w:eastAsia="Calibri" w:cs="Calibri"/>
              <w:spacing w:val="7"/>
              <w:sz w:val="20"/>
              <w:szCs w:val="20"/>
            </w:rPr>
            <w:t>27</w:t>
          </w:r>
          <w:r>
            <w:rPr>
              <w:rFonts w:ascii="Calibri" w:hAnsi="Calibri" w:eastAsia="Calibri" w:cs="Calibri"/>
              <w:spacing w:val="7"/>
              <w:sz w:val="20"/>
              <w:szCs w:val="20"/>
            </w:rPr>
            <w:fldChar w:fldCharType="end"/>
          </w:r>
        </w:p>
        <w:p w14:paraId="317CF6B5">
          <w:pPr>
            <w:tabs>
              <w:tab w:val="right" w:leader="dot" w:pos="9495"/>
            </w:tabs>
            <w:spacing w:before="66" w:line="228" w:lineRule="auto"/>
            <w:ind w:left="445"/>
            <w:rPr>
              <w:rFonts w:ascii="Calibri" w:hAnsi="Calibri" w:eastAsia="Calibri" w:cs="Calibri"/>
              <w:sz w:val="20"/>
              <w:szCs w:val="20"/>
            </w:rPr>
          </w:pPr>
          <w:r>
            <w:fldChar w:fldCharType="begin"/>
          </w:r>
          <w:r>
            <w:instrText xml:space="preserve"> HYPERLINK \l "_bookmark15" </w:instrText>
          </w:r>
          <w:r>
            <w:fldChar w:fldCharType="separate"/>
          </w:r>
          <w:r>
            <w:rPr>
              <w:rFonts w:ascii="Times New Roman" w:hAnsi="Times New Roman" w:eastAsia="Times New Roman" w:cs="Times New Roman"/>
              <w:spacing w:val="7"/>
              <w:sz w:val="20"/>
              <w:szCs w:val="20"/>
            </w:rPr>
            <w:t>1</w:t>
          </w:r>
          <w:r>
            <w:rPr>
              <w:rFonts w:ascii="Times New Roman" w:hAnsi="Times New Roman" w:eastAsia="Times New Roman" w:cs="Times New Roman"/>
              <w:spacing w:val="5"/>
              <w:sz w:val="20"/>
              <w:szCs w:val="20"/>
            </w:rPr>
            <w:t xml:space="preserve">.8  </w:t>
          </w:r>
          <w:r>
            <w:rPr>
              <w:rFonts w:ascii="宋体" w:hAnsi="宋体" w:eastAsia="宋体" w:cs="宋体"/>
              <w:spacing w:val="5"/>
              <w:sz w:val="20"/>
              <w:szCs w:val="20"/>
            </w:rPr>
            <w:t>主要保护目标</w:t>
          </w:r>
          <w:r>
            <w:rPr>
              <w:rFonts w:ascii="Times New Roman" w:hAnsi="Times New Roman" w:eastAsia="Times New Roman" w:cs="Times New Roman"/>
              <w:sz w:val="20"/>
              <w:szCs w:val="20"/>
            </w:rPr>
            <w:tab/>
          </w:r>
          <w:r>
            <w:rPr>
              <w:rFonts w:ascii="Calibri" w:hAnsi="Calibri" w:eastAsia="Calibri" w:cs="Calibri"/>
              <w:spacing w:val="5"/>
              <w:sz w:val="20"/>
              <w:szCs w:val="20"/>
            </w:rPr>
            <w:t>30</w:t>
          </w:r>
          <w:r>
            <w:rPr>
              <w:rFonts w:ascii="Calibri" w:hAnsi="Calibri" w:eastAsia="Calibri" w:cs="Calibri"/>
              <w:spacing w:val="5"/>
              <w:sz w:val="20"/>
              <w:szCs w:val="20"/>
            </w:rPr>
            <w:fldChar w:fldCharType="end"/>
          </w:r>
        </w:p>
        <w:p w14:paraId="22115460">
          <w:pPr>
            <w:tabs>
              <w:tab w:val="right" w:leader="dot" w:pos="9495"/>
            </w:tabs>
            <w:spacing w:before="65" w:line="228" w:lineRule="auto"/>
            <w:ind w:left="5"/>
            <w:rPr>
              <w:rFonts w:ascii="Calibri" w:hAnsi="Calibri" w:eastAsia="Calibri" w:cs="Calibri"/>
              <w:sz w:val="20"/>
              <w:szCs w:val="20"/>
            </w:rPr>
          </w:pPr>
          <w:r>
            <w:fldChar w:fldCharType="begin"/>
          </w:r>
          <w:r>
            <w:instrText xml:space="preserve"> HYPERLINK \l "_bookmark16" </w:instrText>
          </w:r>
          <w:r>
            <w:fldChar w:fldCharType="separate"/>
          </w:r>
          <w:r>
            <w:rPr>
              <w:rFonts w:ascii="Times New Roman" w:hAnsi="Times New Roman" w:eastAsia="Times New Roman" w:cs="Times New Roman"/>
              <w:spacing w:val="9"/>
              <w:sz w:val="20"/>
              <w:szCs w:val="20"/>
            </w:rPr>
            <w:t>2</w:t>
          </w:r>
          <w:r>
            <w:rPr>
              <w:rFonts w:ascii="宋体" w:hAnsi="宋体" w:eastAsia="宋体" w:cs="宋体"/>
              <w:spacing w:val="9"/>
              <w:sz w:val="20"/>
              <w:szCs w:val="20"/>
            </w:rPr>
            <w:t>、建设项目概况</w:t>
          </w:r>
          <w:r>
            <w:rPr>
              <w:rFonts w:ascii="Times New Roman" w:hAnsi="Times New Roman" w:eastAsia="Times New Roman" w:cs="Times New Roman"/>
              <w:sz w:val="20"/>
              <w:szCs w:val="20"/>
            </w:rPr>
            <w:tab/>
          </w:r>
          <w:r>
            <w:rPr>
              <w:rFonts w:ascii="Calibri" w:hAnsi="Calibri" w:eastAsia="Calibri" w:cs="Calibri"/>
              <w:spacing w:val="9"/>
              <w:sz w:val="20"/>
              <w:szCs w:val="20"/>
            </w:rPr>
            <w:t>3</w:t>
          </w:r>
          <w:r>
            <w:rPr>
              <w:rFonts w:ascii="Calibri" w:hAnsi="Calibri" w:eastAsia="Calibri" w:cs="Calibri"/>
              <w:spacing w:val="8"/>
              <w:sz w:val="20"/>
              <w:szCs w:val="20"/>
            </w:rPr>
            <w:t>3</w:t>
          </w:r>
          <w:r>
            <w:rPr>
              <w:rFonts w:ascii="Calibri" w:hAnsi="Calibri" w:eastAsia="Calibri" w:cs="Calibri"/>
              <w:spacing w:val="8"/>
              <w:sz w:val="20"/>
              <w:szCs w:val="20"/>
            </w:rPr>
            <w:fldChar w:fldCharType="end"/>
          </w:r>
        </w:p>
        <w:p w14:paraId="0DDE9974">
          <w:pPr>
            <w:tabs>
              <w:tab w:val="right" w:leader="dot" w:pos="9495"/>
            </w:tabs>
            <w:spacing w:before="65" w:line="228" w:lineRule="auto"/>
            <w:ind w:left="425"/>
            <w:rPr>
              <w:rFonts w:ascii="Calibri" w:hAnsi="Calibri" w:eastAsia="Calibri" w:cs="Calibri"/>
              <w:sz w:val="20"/>
              <w:szCs w:val="20"/>
            </w:rPr>
          </w:pPr>
          <w:r>
            <w:fldChar w:fldCharType="begin"/>
          </w:r>
          <w:r>
            <w:instrText xml:space="preserve"> HYPERLINK \l "_bookmark17" </w:instrText>
          </w:r>
          <w:r>
            <w:fldChar w:fldCharType="separate"/>
          </w:r>
          <w:r>
            <w:rPr>
              <w:rFonts w:ascii="Times New Roman" w:hAnsi="Times New Roman" w:eastAsia="Times New Roman" w:cs="Times New Roman"/>
              <w:spacing w:val="11"/>
              <w:sz w:val="20"/>
              <w:szCs w:val="20"/>
            </w:rPr>
            <w:t>2</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项目概况</w:t>
          </w:r>
          <w:r>
            <w:rPr>
              <w:rFonts w:ascii="Times New Roman" w:hAnsi="Times New Roman" w:eastAsia="Times New Roman" w:cs="Times New Roman"/>
              <w:sz w:val="20"/>
              <w:szCs w:val="20"/>
            </w:rPr>
            <w:tab/>
          </w:r>
          <w:r>
            <w:rPr>
              <w:rFonts w:ascii="Calibri" w:hAnsi="Calibri" w:eastAsia="Calibri" w:cs="Calibri"/>
              <w:spacing w:val="6"/>
              <w:sz w:val="20"/>
              <w:szCs w:val="20"/>
            </w:rPr>
            <w:t>33</w:t>
          </w:r>
          <w:r>
            <w:rPr>
              <w:rFonts w:ascii="Calibri" w:hAnsi="Calibri" w:eastAsia="Calibri" w:cs="Calibri"/>
              <w:spacing w:val="6"/>
              <w:sz w:val="20"/>
              <w:szCs w:val="20"/>
            </w:rPr>
            <w:fldChar w:fldCharType="end"/>
          </w:r>
        </w:p>
        <w:p w14:paraId="2FB1C1EC">
          <w:pPr>
            <w:tabs>
              <w:tab w:val="right" w:leader="dot" w:pos="9495"/>
            </w:tabs>
            <w:spacing w:before="65" w:line="227" w:lineRule="auto"/>
            <w:ind w:left="633"/>
            <w:rPr>
              <w:rFonts w:ascii="Calibri" w:hAnsi="Calibri" w:eastAsia="Calibri" w:cs="Calibri"/>
              <w:sz w:val="20"/>
              <w:szCs w:val="20"/>
            </w:rPr>
          </w:pPr>
          <w:r>
            <w:fldChar w:fldCharType="begin"/>
          </w:r>
          <w:r>
            <w:instrText xml:space="preserve"> HYPERLINK \l "_bookmark18" </w:instrText>
          </w:r>
          <w:r>
            <w:fldChar w:fldCharType="separate"/>
          </w:r>
          <w:r>
            <w:rPr>
              <w:rFonts w:ascii="Times New Roman" w:hAnsi="Times New Roman" w:eastAsia="Times New Roman" w:cs="Times New Roman"/>
              <w:spacing w:val="6"/>
              <w:sz w:val="20"/>
              <w:szCs w:val="20"/>
            </w:rPr>
            <w:t xml:space="preserve">2.1.1  </w:t>
          </w:r>
          <w:r>
            <w:rPr>
              <w:rFonts w:ascii="宋体" w:hAnsi="宋体" w:eastAsia="宋体" w:cs="宋体"/>
              <w:spacing w:val="6"/>
              <w:sz w:val="20"/>
              <w:szCs w:val="20"/>
            </w:rPr>
            <w:t>基本情况</w:t>
          </w:r>
          <w:r>
            <w:rPr>
              <w:rFonts w:ascii="Times New Roman" w:hAnsi="Times New Roman" w:eastAsia="Times New Roman" w:cs="Times New Roman"/>
              <w:sz w:val="20"/>
              <w:szCs w:val="20"/>
            </w:rPr>
            <w:tab/>
          </w:r>
          <w:r>
            <w:rPr>
              <w:rFonts w:ascii="Calibri" w:hAnsi="Calibri" w:eastAsia="Calibri" w:cs="Calibri"/>
              <w:spacing w:val="6"/>
              <w:sz w:val="20"/>
              <w:szCs w:val="20"/>
            </w:rPr>
            <w:t>3</w:t>
          </w:r>
          <w:r>
            <w:rPr>
              <w:rFonts w:ascii="Calibri" w:hAnsi="Calibri" w:eastAsia="Calibri" w:cs="Calibri"/>
              <w:spacing w:val="4"/>
              <w:sz w:val="20"/>
              <w:szCs w:val="20"/>
            </w:rPr>
            <w:t>3</w:t>
          </w:r>
          <w:r>
            <w:rPr>
              <w:rFonts w:ascii="Calibri" w:hAnsi="Calibri" w:eastAsia="Calibri" w:cs="Calibri"/>
              <w:spacing w:val="4"/>
              <w:sz w:val="20"/>
              <w:szCs w:val="20"/>
            </w:rPr>
            <w:fldChar w:fldCharType="end"/>
          </w:r>
        </w:p>
        <w:p w14:paraId="516938D9">
          <w:pPr>
            <w:tabs>
              <w:tab w:val="right" w:leader="dot" w:pos="9495"/>
            </w:tabs>
            <w:spacing w:before="66" w:line="228" w:lineRule="auto"/>
            <w:ind w:left="633"/>
            <w:rPr>
              <w:rFonts w:ascii="Calibri" w:hAnsi="Calibri" w:eastAsia="Calibri" w:cs="Calibri"/>
              <w:sz w:val="20"/>
              <w:szCs w:val="20"/>
            </w:rPr>
          </w:pPr>
          <w:r>
            <w:fldChar w:fldCharType="begin"/>
          </w:r>
          <w:r>
            <w:instrText xml:space="preserve"> HYPERLINK \l "_bookmark19" </w:instrText>
          </w:r>
          <w:r>
            <w:fldChar w:fldCharType="separate"/>
          </w:r>
          <w:r>
            <w:rPr>
              <w:rFonts w:ascii="Times New Roman" w:hAnsi="Times New Roman" w:eastAsia="Times New Roman" w:cs="Times New Roman"/>
              <w:spacing w:val="8"/>
              <w:sz w:val="20"/>
              <w:szCs w:val="20"/>
            </w:rPr>
            <w:t>2</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工程建设内容</w:t>
          </w:r>
          <w:r>
            <w:rPr>
              <w:rFonts w:ascii="Times New Roman" w:hAnsi="Times New Roman" w:eastAsia="Times New Roman" w:cs="Times New Roman"/>
              <w:sz w:val="20"/>
              <w:szCs w:val="20"/>
            </w:rPr>
            <w:tab/>
          </w:r>
          <w:r>
            <w:rPr>
              <w:rFonts w:ascii="Calibri" w:hAnsi="Calibri" w:eastAsia="Calibri" w:cs="Calibri"/>
              <w:spacing w:val="6"/>
              <w:sz w:val="20"/>
              <w:szCs w:val="20"/>
            </w:rPr>
            <w:t>33</w:t>
          </w:r>
          <w:r>
            <w:rPr>
              <w:rFonts w:ascii="Calibri" w:hAnsi="Calibri" w:eastAsia="Calibri" w:cs="Calibri"/>
              <w:spacing w:val="6"/>
              <w:sz w:val="20"/>
              <w:szCs w:val="20"/>
            </w:rPr>
            <w:fldChar w:fldCharType="end"/>
          </w:r>
        </w:p>
        <w:p w14:paraId="4CB6CCED">
          <w:pPr>
            <w:tabs>
              <w:tab w:val="right" w:leader="dot" w:pos="9495"/>
            </w:tabs>
            <w:spacing w:before="65" w:line="228" w:lineRule="auto"/>
            <w:ind w:left="633"/>
            <w:rPr>
              <w:rFonts w:ascii="Calibri" w:hAnsi="Calibri" w:eastAsia="Calibri" w:cs="Calibri"/>
              <w:sz w:val="20"/>
              <w:szCs w:val="20"/>
            </w:rPr>
          </w:pPr>
          <w:r>
            <w:fldChar w:fldCharType="begin"/>
          </w:r>
          <w:r>
            <w:instrText xml:space="preserve"> HYPERLINK \l "_bookmark20" </w:instrText>
          </w:r>
          <w:r>
            <w:fldChar w:fldCharType="separate"/>
          </w:r>
          <w:r>
            <w:rPr>
              <w:rFonts w:ascii="Times New Roman" w:hAnsi="Times New Roman" w:eastAsia="Times New Roman" w:cs="Times New Roman"/>
              <w:spacing w:val="6"/>
              <w:sz w:val="20"/>
              <w:szCs w:val="20"/>
            </w:rPr>
            <w:t xml:space="preserve">2.1.3  </w:t>
          </w:r>
          <w:r>
            <w:rPr>
              <w:rFonts w:ascii="宋体" w:hAnsi="宋体" w:eastAsia="宋体" w:cs="宋体"/>
              <w:spacing w:val="6"/>
              <w:sz w:val="20"/>
              <w:szCs w:val="20"/>
            </w:rPr>
            <w:t>产品规模</w:t>
          </w:r>
          <w:r>
            <w:rPr>
              <w:rFonts w:ascii="Times New Roman" w:hAnsi="Times New Roman" w:eastAsia="Times New Roman" w:cs="Times New Roman"/>
              <w:sz w:val="20"/>
              <w:szCs w:val="20"/>
            </w:rPr>
            <w:tab/>
          </w:r>
          <w:r>
            <w:rPr>
              <w:rFonts w:ascii="Calibri" w:hAnsi="Calibri" w:eastAsia="Calibri" w:cs="Calibri"/>
              <w:spacing w:val="6"/>
              <w:sz w:val="20"/>
              <w:szCs w:val="20"/>
            </w:rPr>
            <w:t>3</w:t>
          </w:r>
          <w:r>
            <w:rPr>
              <w:rFonts w:ascii="Calibri" w:hAnsi="Calibri" w:eastAsia="Calibri" w:cs="Calibri"/>
              <w:spacing w:val="4"/>
              <w:sz w:val="20"/>
              <w:szCs w:val="20"/>
            </w:rPr>
            <w:t>3</w:t>
          </w:r>
          <w:r>
            <w:rPr>
              <w:rFonts w:ascii="Calibri" w:hAnsi="Calibri" w:eastAsia="Calibri" w:cs="Calibri"/>
              <w:spacing w:val="4"/>
              <w:sz w:val="20"/>
              <w:szCs w:val="20"/>
            </w:rPr>
            <w:fldChar w:fldCharType="end"/>
          </w:r>
        </w:p>
        <w:p w14:paraId="1BE06FC0">
          <w:pPr>
            <w:tabs>
              <w:tab w:val="right" w:leader="dot" w:pos="9495"/>
            </w:tabs>
            <w:spacing w:before="65" w:line="228" w:lineRule="auto"/>
            <w:ind w:left="633"/>
            <w:rPr>
              <w:rFonts w:ascii="Calibri" w:hAnsi="Calibri" w:eastAsia="Calibri" w:cs="Calibri"/>
              <w:sz w:val="20"/>
              <w:szCs w:val="20"/>
            </w:rPr>
          </w:pPr>
          <w:r>
            <w:fldChar w:fldCharType="begin"/>
          </w:r>
          <w:r>
            <w:instrText xml:space="preserve"> HYPERLINK \l "_bookmark21" </w:instrText>
          </w:r>
          <w:r>
            <w:fldChar w:fldCharType="separate"/>
          </w:r>
          <w:r>
            <w:rPr>
              <w:rFonts w:ascii="Times New Roman" w:hAnsi="Times New Roman" w:eastAsia="Times New Roman" w:cs="Times New Roman"/>
              <w:spacing w:val="15"/>
              <w:sz w:val="20"/>
              <w:szCs w:val="20"/>
            </w:rPr>
            <w:t>2</w:t>
          </w:r>
          <w:r>
            <w:rPr>
              <w:rFonts w:ascii="Times New Roman" w:hAnsi="Times New Roman" w:eastAsia="Times New Roman" w:cs="Times New Roman"/>
              <w:spacing w:val="9"/>
              <w:sz w:val="20"/>
              <w:szCs w:val="20"/>
            </w:rPr>
            <w:t xml:space="preserve">.1.4  </w:t>
          </w:r>
          <w:r>
            <w:rPr>
              <w:rFonts w:ascii="宋体" w:hAnsi="宋体" w:eastAsia="宋体" w:cs="宋体"/>
              <w:spacing w:val="9"/>
              <w:sz w:val="20"/>
              <w:szCs w:val="20"/>
            </w:rPr>
            <w:t>项目组成及主要环境问题</w:t>
          </w:r>
          <w:r>
            <w:rPr>
              <w:rFonts w:ascii="Times New Roman" w:hAnsi="Times New Roman" w:eastAsia="Times New Roman" w:cs="Times New Roman"/>
              <w:sz w:val="20"/>
              <w:szCs w:val="20"/>
            </w:rPr>
            <w:tab/>
          </w:r>
          <w:r>
            <w:rPr>
              <w:rFonts w:ascii="Calibri" w:hAnsi="Calibri" w:eastAsia="Calibri" w:cs="Calibri"/>
              <w:spacing w:val="9"/>
              <w:sz w:val="20"/>
              <w:szCs w:val="20"/>
            </w:rPr>
            <w:t>35</w:t>
          </w:r>
          <w:r>
            <w:rPr>
              <w:rFonts w:ascii="Calibri" w:hAnsi="Calibri" w:eastAsia="Calibri" w:cs="Calibri"/>
              <w:spacing w:val="9"/>
              <w:sz w:val="20"/>
              <w:szCs w:val="20"/>
            </w:rPr>
            <w:fldChar w:fldCharType="end"/>
          </w:r>
        </w:p>
        <w:p w14:paraId="0C2BCF73">
          <w:pPr>
            <w:tabs>
              <w:tab w:val="right" w:leader="dot" w:pos="9495"/>
            </w:tabs>
            <w:spacing w:before="65" w:line="228" w:lineRule="auto"/>
            <w:ind w:left="425"/>
            <w:rPr>
              <w:rFonts w:ascii="Calibri" w:hAnsi="Calibri" w:eastAsia="Calibri" w:cs="Calibri"/>
              <w:sz w:val="20"/>
              <w:szCs w:val="20"/>
            </w:rPr>
          </w:pPr>
          <w:r>
            <w:fldChar w:fldCharType="begin"/>
          </w:r>
          <w:r>
            <w:instrText xml:space="preserve"> HYPERLINK \l "_bookmark22" </w:instrText>
          </w:r>
          <w:r>
            <w:fldChar w:fldCharType="separate"/>
          </w:r>
          <w:r>
            <w:rPr>
              <w:rFonts w:ascii="Times New Roman" w:hAnsi="Times New Roman" w:eastAsia="Times New Roman" w:cs="Times New Roman"/>
              <w:spacing w:val="12"/>
              <w:sz w:val="20"/>
              <w:szCs w:val="20"/>
            </w:rPr>
            <w:t>2</w:t>
          </w:r>
          <w:r>
            <w:rPr>
              <w:rFonts w:ascii="Times New Roman" w:hAnsi="Times New Roman" w:eastAsia="Times New Roman" w:cs="Times New Roman"/>
              <w:spacing w:val="9"/>
              <w:sz w:val="20"/>
              <w:szCs w:val="20"/>
            </w:rPr>
            <w:t>.</w:t>
          </w:r>
          <w:r>
            <w:rPr>
              <w:rFonts w:ascii="Times New Roman" w:hAnsi="Times New Roman" w:eastAsia="Times New Roman" w:cs="Times New Roman"/>
              <w:spacing w:val="6"/>
              <w:sz w:val="20"/>
              <w:szCs w:val="20"/>
            </w:rPr>
            <w:t xml:space="preserve">2  </w:t>
          </w:r>
          <w:r>
            <w:rPr>
              <w:rFonts w:ascii="宋体" w:hAnsi="宋体" w:eastAsia="宋体" w:cs="宋体"/>
              <w:spacing w:val="6"/>
              <w:sz w:val="20"/>
              <w:szCs w:val="20"/>
            </w:rPr>
            <w:t>主要设备清单</w:t>
          </w:r>
          <w:r>
            <w:rPr>
              <w:rFonts w:ascii="Times New Roman" w:hAnsi="Times New Roman" w:eastAsia="Times New Roman" w:cs="Times New Roman"/>
              <w:sz w:val="20"/>
              <w:szCs w:val="20"/>
            </w:rPr>
            <w:tab/>
          </w:r>
          <w:r>
            <w:rPr>
              <w:rFonts w:ascii="Calibri" w:hAnsi="Calibri" w:eastAsia="Calibri" w:cs="Calibri"/>
              <w:spacing w:val="6"/>
              <w:sz w:val="20"/>
              <w:szCs w:val="20"/>
            </w:rPr>
            <w:t>37</w:t>
          </w:r>
          <w:r>
            <w:rPr>
              <w:rFonts w:ascii="Calibri" w:hAnsi="Calibri" w:eastAsia="Calibri" w:cs="Calibri"/>
              <w:spacing w:val="6"/>
              <w:sz w:val="20"/>
              <w:szCs w:val="20"/>
            </w:rPr>
            <w:fldChar w:fldCharType="end"/>
          </w:r>
        </w:p>
        <w:p w14:paraId="07C2392F">
          <w:pPr>
            <w:tabs>
              <w:tab w:val="right" w:leader="dot" w:pos="9495"/>
            </w:tabs>
            <w:spacing w:before="65" w:line="227" w:lineRule="auto"/>
            <w:ind w:left="425"/>
            <w:rPr>
              <w:rFonts w:ascii="Calibri" w:hAnsi="Calibri" w:eastAsia="Calibri" w:cs="Calibri"/>
              <w:sz w:val="20"/>
              <w:szCs w:val="20"/>
            </w:rPr>
          </w:pPr>
          <w:r>
            <w:fldChar w:fldCharType="begin"/>
          </w:r>
          <w:r>
            <w:instrText xml:space="preserve"> HYPERLINK \l "_bookmark23" </w:instrText>
          </w:r>
          <w:r>
            <w:fldChar w:fldCharType="separate"/>
          </w:r>
          <w:r>
            <w:rPr>
              <w:rFonts w:ascii="Times New Roman" w:hAnsi="Times New Roman" w:eastAsia="Times New Roman" w:cs="Times New Roman"/>
              <w:spacing w:val="10"/>
              <w:sz w:val="20"/>
              <w:szCs w:val="20"/>
            </w:rPr>
            <w:t xml:space="preserve">2.3  </w:t>
          </w:r>
          <w:r>
            <w:rPr>
              <w:rFonts w:ascii="宋体" w:hAnsi="宋体" w:eastAsia="宋体" w:cs="宋体"/>
              <w:spacing w:val="10"/>
              <w:sz w:val="20"/>
              <w:szCs w:val="20"/>
            </w:rPr>
            <w:t>主要原辅材料及能耗情况表</w:t>
          </w:r>
          <w:r>
            <w:rPr>
              <w:rFonts w:ascii="Times New Roman" w:hAnsi="Times New Roman" w:eastAsia="Times New Roman" w:cs="Times New Roman"/>
              <w:sz w:val="20"/>
              <w:szCs w:val="20"/>
            </w:rPr>
            <w:tab/>
          </w:r>
          <w:r>
            <w:rPr>
              <w:rFonts w:ascii="Calibri" w:hAnsi="Calibri" w:eastAsia="Calibri" w:cs="Calibri"/>
              <w:spacing w:val="10"/>
              <w:sz w:val="20"/>
              <w:szCs w:val="20"/>
            </w:rPr>
            <w:t>3</w:t>
          </w:r>
          <w:r>
            <w:rPr>
              <w:rFonts w:ascii="Calibri" w:hAnsi="Calibri" w:eastAsia="Calibri" w:cs="Calibri"/>
              <w:spacing w:val="7"/>
              <w:sz w:val="20"/>
              <w:szCs w:val="20"/>
            </w:rPr>
            <w:t>7</w:t>
          </w:r>
          <w:r>
            <w:rPr>
              <w:rFonts w:ascii="Calibri" w:hAnsi="Calibri" w:eastAsia="Calibri" w:cs="Calibri"/>
              <w:spacing w:val="7"/>
              <w:sz w:val="20"/>
              <w:szCs w:val="20"/>
            </w:rPr>
            <w:fldChar w:fldCharType="end"/>
          </w:r>
        </w:p>
        <w:p w14:paraId="411881B6">
          <w:pPr>
            <w:tabs>
              <w:tab w:val="right" w:leader="dot" w:pos="9495"/>
            </w:tabs>
            <w:spacing w:before="66" w:line="228" w:lineRule="auto"/>
            <w:ind w:left="425"/>
            <w:rPr>
              <w:rFonts w:ascii="Calibri" w:hAnsi="Calibri" w:eastAsia="Calibri" w:cs="Calibri"/>
              <w:sz w:val="20"/>
              <w:szCs w:val="20"/>
            </w:rPr>
          </w:pPr>
          <w:r>
            <w:fldChar w:fldCharType="begin"/>
          </w:r>
          <w:r>
            <w:instrText xml:space="preserve"> HYPERLINK \l "_bookmark24" </w:instrText>
          </w:r>
          <w:r>
            <w:fldChar w:fldCharType="separate"/>
          </w:r>
          <w:r>
            <w:rPr>
              <w:rFonts w:ascii="Times New Roman" w:hAnsi="Times New Roman" w:eastAsia="Times New Roman" w:cs="Times New Roman"/>
              <w:spacing w:val="8"/>
              <w:sz w:val="20"/>
              <w:szCs w:val="20"/>
            </w:rPr>
            <w:t>2</w:t>
          </w:r>
          <w:r>
            <w:rPr>
              <w:rFonts w:ascii="Times New Roman" w:hAnsi="Times New Roman" w:eastAsia="Times New Roman" w:cs="Times New Roman"/>
              <w:spacing w:val="7"/>
              <w:sz w:val="20"/>
              <w:szCs w:val="20"/>
            </w:rPr>
            <w:t xml:space="preserve">.4  </w:t>
          </w:r>
          <w:r>
            <w:rPr>
              <w:rFonts w:ascii="宋体" w:hAnsi="宋体" w:eastAsia="宋体" w:cs="宋体"/>
              <w:spacing w:val="7"/>
              <w:sz w:val="20"/>
              <w:szCs w:val="20"/>
            </w:rPr>
            <w:t>公用工程及辅助工程</w:t>
          </w:r>
          <w:r>
            <w:rPr>
              <w:rFonts w:ascii="Times New Roman" w:hAnsi="Times New Roman" w:eastAsia="Times New Roman" w:cs="Times New Roman"/>
              <w:sz w:val="20"/>
              <w:szCs w:val="20"/>
            </w:rPr>
            <w:tab/>
          </w:r>
          <w:r>
            <w:rPr>
              <w:rFonts w:ascii="Calibri" w:hAnsi="Calibri" w:eastAsia="Calibri" w:cs="Calibri"/>
              <w:spacing w:val="7"/>
              <w:sz w:val="20"/>
              <w:szCs w:val="20"/>
            </w:rPr>
            <w:t>41</w:t>
          </w:r>
          <w:r>
            <w:rPr>
              <w:rFonts w:ascii="Calibri" w:hAnsi="Calibri" w:eastAsia="Calibri" w:cs="Calibri"/>
              <w:spacing w:val="7"/>
              <w:sz w:val="20"/>
              <w:szCs w:val="20"/>
            </w:rPr>
            <w:fldChar w:fldCharType="end"/>
          </w:r>
        </w:p>
        <w:p w14:paraId="64350173">
          <w:pPr>
            <w:tabs>
              <w:tab w:val="right" w:leader="dot" w:pos="9495"/>
            </w:tabs>
            <w:spacing w:before="65" w:line="228" w:lineRule="auto"/>
            <w:ind w:left="633"/>
            <w:rPr>
              <w:rFonts w:ascii="Calibri" w:hAnsi="Calibri" w:eastAsia="Calibri" w:cs="Calibri"/>
              <w:sz w:val="20"/>
              <w:szCs w:val="20"/>
            </w:rPr>
          </w:pPr>
          <w:r>
            <w:fldChar w:fldCharType="begin"/>
          </w:r>
          <w:r>
            <w:instrText xml:space="preserve"> HYPERLINK \l "_bookmark25" </w:instrText>
          </w:r>
          <w:r>
            <w:fldChar w:fldCharType="separate"/>
          </w:r>
          <w:r>
            <w:rPr>
              <w:rFonts w:ascii="Times New Roman" w:hAnsi="Times New Roman" w:eastAsia="Times New Roman" w:cs="Times New Roman"/>
              <w:spacing w:val="12"/>
              <w:sz w:val="20"/>
              <w:szCs w:val="20"/>
            </w:rPr>
            <w:t>2</w:t>
          </w:r>
          <w:r>
            <w:rPr>
              <w:rFonts w:ascii="Times New Roman" w:hAnsi="Times New Roman" w:eastAsia="Times New Roman" w:cs="Times New Roman"/>
              <w:spacing w:val="6"/>
              <w:sz w:val="20"/>
              <w:szCs w:val="20"/>
            </w:rPr>
            <w:t xml:space="preserve">.4.1 </w:t>
          </w:r>
          <w:r>
            <w:rPr>
              <w:rFonts w:ascii="宋体" w:hAnsi="宋体" w:eastAsia="宋体" w:cs="宋体"/>
              <w:spacing w:val="6"/>
              <w:sz w:val="20"/>
              <w:szCs w:val="20"/>
            </w:rPr>
            <w:t>给排水工程</w:t>
          </w:r>
          <w:r>
            <w:rPr>
              <w:rFonts w:ascii="Times New Roman" w:hAnsi="Times New Roman" w:eastAsia="Times New Roman" w:cs="Times New Roman"/>
              <w:sz w:val="20"/>
              <w:szCs w:val="20"/>
            </w:rPr>
            <w:tab/>
          </w:r>
          <w:r>
            <w:rPr>
              <w:rFonts w:ascii="Calibri" w:hAnsi="Calibri" w:eastAsia="Calibri" w:cs="Calibri"/>
              <w:spacing w:val="6"/>
              <w:sz w:val="20"/>
              <w:szCs w:val="20"/>
            </w:rPr>
            <w:t>41</w:t>
          </w:r>
          <w:r>
            <w:rPr>
              <w:rFonts w:ascii="Calibri" w:hAnsi="Calibri" w:eastAsia="Calibri" w:cs="Calibri"/>
              <w:spacing w:val="6"/>
              <w:sz w:val="20"/>
              <w:szCs w:val="20"/>
            </w:rPr>
            <w:fldChar w:fldCharType="end"/>
          </w:r>
        </w:p>
        <w:p w14:paraId="60858CEA">
          <w:pPr>
            <w:tabs>
              <w:tab w:val="right" w:leader="dot" w:pos="9495"/>
            </w:tabs>
            <w:spacing w:before="65" w:line="227" w:lineRule="auto"/>
            <w:ind w:left="633"/>
            <w:rPr>
              <w:rFonts w:ascii="Calibri" w:hAnsi="Calibri" w:eastAsia="Calibri" w:cs="Calibri"/>
              <w:sz w:val="20"/>
              <w:szCs w:val="20"/>
            </w:rPr>
          </w:pPr>
          <w:r>
            <w:fldChar w:fldCharType="begin"/>
          </w:r>
          <w:r>
            <w:instrText xml:space="preserve"> HYPERLINK \l "_bookmark26" </w:instrText>
          </w:r>
          <w:r>
            <w:fldChar w:fldCharType="separate"/>
          </w:r>
          <w:r>
            <w:rPr>
              <w:rFonts w:ascii="Times New Roman" w:hAnsi="Times New Roman" w:eastAsia="Times New Roman" w:cs="Times New Roman"/>
              <w:spacing w:val="8"/>
              <w:sz w:val="20"/>
              <w:szCs w:val="20"/>
            </w:rPr>
            <w:t>2</w:t>
          </w:r>
          <w:r>
            <w:rPr>
              <w:rFonts w:ascii="Times New Roman" w:hAnsi="Times New Roman" w:eastAsia="Times New Roman" w:cs="Times New Roman"/>
              <w:spacing w:val="6"/>
              <w:sz w:val="20"/>
              <w:szCs w:val="20"/>
            </w:rPr>
            <w:t xml:space="preserve">.4.2  </w:t>
          </w:r>
          <w:r>
            <w:rPr>
              <w:rFonts w:ascii="宋体" w:hAnsi="宋体" w:eastAsia="宋体" w:cs="宋体"/>
              <w:spacing w:val="6"/>
              <w:sz w:val="20"/>
              <w:szCs w:val="20"/>
            </w:rPr>
            <w:t>供热、降温</w:t>
          </w:r>
          <w:r>
            <w:rPr>
              <w:rFonts w:ascii="Times New Roman" w:hAnsi="Times New Roman" w:eastAsia="Times New Roman" w:cs="Times New Roman"/>
              <w:sz w:val="20"/>
              <w:szCs w:val="20"/>
            </w:rPr>
            <w:tab/>
          </w:r>
          <w:r>
            <w:rPr>
              <w:rFonts w:ascii="Calibri" w:hAnsi="Calibri" w:eastAsia="Calibri" w:cs="Calibri"/>
              <w:spacing w:val="6"/>
              <w:sz w:val="20"/>
              <w:szCs w:val="20"/>
            </w:rPr>
            <w:t>42</w:t>
          </w:r>
          <w:r>
            <w:rPr>
              <w:rFonts w:ascii="Calibri" w:hAnsi="Calibri" w:eastAsia="Calibri" w:cs="Calibri"/>
              <w:spacing w:val="6"/>
              <w:sz w:val="20"/>
              <w:szCs w:val="20"/>
            </w:rPr>
            <w:fldChar w:fldCharType="end"/>
          </w:r>
        </w:p>
        <w:p w14:paraId="7E7BDBAC">
          <w:pPr>
            <w:tabs>
              <w:tab w:val="right" w:leader="dot" w:pos="9495"/>
            </w:tabs>
            <w:spacing w:before="66" w:line="227" w:lineRule="auto"/>
            <w:ind w:left="633"/>
            <w:rPr>
              <w:rFonts w:ascii="Calibri" w:hAnsi="Calibri" w:eastAsia="Calibri" w:cs="Calibri"/>
              <w:sz w:val="20"/>
              <w:szCs w:val="20"/>
            </w:rPr>
          </w:pPr>
          <w:r>
            <w:fldChar w:fldCharType="begin"/>
          </w:r>
          <w:r>
            <w:instrText xml:space="preserve"> HYPERLINK \l "_bookmark27" </w:instrText>
          </w:r>
          <w:r>
            <w:fldChar w:fldCharType="separate"/>
          </w:r>
          <w:r>
            <w:rPr>
              <w:rFonts w:ascii="Times New Roman" w:hAnsi="Times New Roman" w:eastAsia="Times New Roman" w:cs="Times New Roman"/>
              <w:spacing w:val="10"/>
              <w:sz w:val="20"/>
              <w:szCs w:val="20"/>
            </w:rPr>
            <w:t>2</w:t>
          </w:r>
          <w:r>
            <w:rPr>
              <w:rFonts w:ascii="Times New Roman" w:hAnsi="Times New Roman" w:eastAsia="Times New Roman" w:cs="Times New Roman"/>
              <w:spacing w:val="5"/>
              <w:sz w:val="20"/>
              <w:szCs w:val="20"/>
            </w:rPr>
            <w:t xml:space="preserve">.4.3  </w:t>
          </w:r>
          <w:r>
            <w:rPr>
              <w:rFonts w:ascii="宋体" w:hAnsi="宋体" w:eastAsia="宋体" w:cs="宋体"/>
              <w:spacing w:val="5"/>
              <w:sz w:val="20"/>
              <w:szCs w:val="20"/>
            </w:rPr>
            <w:t>供电</w:t>
          </w:r>
          <w:r>
            <w:rPr>
              <w:rFonts w:ascii="Times New Roman" w:hAnsi="Times New Roman" w:eastAsia="Times New Roman" w:cs="Times New Roman"/>
              <w:sz w:val="20"/>
              <w:szCs w:val="20"/>
            </w:rPr>
            <w:tab/>
          </w:r>
          <w:r>
            <w:rPr>
              <w:rFonts w:ascii="Calibri" w:hAnsi="Calibri" w:eastAsia="Calibri" w:cs="Calibri"/>
              <w:spacing w:val="5"/>
              <w:sz w:val="20"/>
              <w:szCs w:val="20"/>
            </w:rPr>
            <w:t>42</w:t>
          </w:r>
          <w:r>
            <w:rPr>
              <w:rFonts w:ascii="Calibri" w:hAnsi="Calibri" w:eastAsia="Calibri" w:cs="Calibri"/>
              <w:spacing w:val="5"/>
              <w:sz w:val="20"/>
              <w:szCs w:val="20"/>
            </w:rPr>
            <w:fldChar w:fldCharType="end"/>
          </w:r>
        </w:p>
        <w:p w14:paraId="70A7608C">
          <w:pPr>
            <w:tabs>
              <w:tab w:val="right" w:leader="dot" w:pos="9495"/>
            </w:tabs>
            <w:spacing w:before="67" w:line="228" w:lineRule="auto"/>
            <w:ind w:left="633"/>
            <w:rPr>
              <w:rFonts w:ascii="Calibri" w:hAnsi="Calibri" w:eastAsia="Calibri" w:cs="Calibri"/>
              <w:sz w:val="20"/>
              <w:szCs w:val="20"/>
            </w:rPr>
          </w:pPr>
          <w:r>
            <w:fldChar w:fldCharType="begin"/>
          </w:r>
          <w:r>
            <w:instrText xml:space="preserve"> HYPERLINK \l "_bookmark28" </w:instrText>
          </w:r>
          <w:r>
            <w:fldChar w:fldCharType="separate"/>
          </w:r>
          <w:r>
            <w:rPr>
              <w:rFonts w:ascii="Times New Roman" w:hAnsi="Times New Roman" w:eastAsia="Times New Roman" w:cs="Times New Roman"/>
              <w:spacing w:val="10"/>
              <w:sz w:val="20"/>
              <w:szCs w:val="20"/>
            </w:rPr>
            <w:t>2</w:t>
          </w:r>
          <w:r>
            <w:rPr>
              <w:rFonts w:ascii="Times New Roman" w:hAnsi="Times New Roman" w:eastAsia="Times New Roman" w:cs="Times New Roman"/>
              <w:spacing w:val="5"/>
              <w:sz w:val="20"/>
              <w:szCs w:val="20"/>
            </w:rPr>
            <w:t xml:space="preserve">.4.4  </w:t>
          </w:r>
          <w:r>
            <w:rPr>
              <w:rFonts w:ascii="宋体" w:hAnsi="宋体" w:eastAsia="宋体" w:cs="宋体"/>
              <w:spacing w:val="5"/>
              <w:sz w:val="20"/>
              <w:szCs w:val="20"/>
            </w:rPr>
            <w:t>通风</w:t>
          </w:r>
          <w:r>
            <w:rPr>
              <w:rFonts w:ascii="Times New Roman" w:hAnsi="Times New Roman" w:eastAsia="Times New Roman" w:cs="Times New Roman"/>
              <w:sz w:val="20"/>
              <w:szCs w:val="20"/>
            </w:rPr>
            <w:tab/>
          </w:r>
          <w:r>
            <w:rPr>
              <w:rFonts w:ascii="Calibri" w:hAnsi="Calibri" w:eastAsia="Calibri" w:cs="Calibri"/>
              <w:spacing w:val="5"/>
              <w:sz w:val="20"/>
              <w:szCs w:val="20"/>
            </w:rPr>
            <w:t>42</w:t>
          </w:r>
          <w:r>
            <w:rPr>
              <w:rFonts w:ascii="Calibri" w:hAnsi="Calibri" w:eastAsia="Calibri" w:cs="Calibri"/>
              <w:spacing w:val="5"/>
              <w:sz w:val="20"/>
              <w:szCs w:val="20"/>
            </w:rPr>
            <w:fldChar w:fldCharType="end"/>
          </w:r>
        </w:p>
        <w:p w14:paraId="602FDFDB">
          <w:pPr>
            <w:tabs>
              <w:tab w:val="right" w:leader="dot" w:pos="9495"/>
            </w:tabs>
            <w:spacing w:before="64" w:line="228" w:lineRule="auto"/>
            <w:ind w:left="633"/>
            <w:rPr>
              <w:rFonts w:ascii="Calibri" w:hAnsi="Calibri" w:eastAsia="Calibri" w:cs="Calibri"/>
              <w:sz w:val="20"/>
              <w:szCs w:val="20"/>
            </w:rPr>
          </w:pPr>
          <w:r>
            <w:fldChar w:fldCharType="begin"/>
          </w:r>
          <w:r>
            <w:instrText xml:space="preserve"> HYPERLINK \l "_bookmark29" </w:instrText>
          </w:r>
          <w:r>
            <w:fldChar w:fldCharType="separate"/>
          </w:r>
          <w:r>
            <w:rPr>
              <w:rFonts w:ascii="Times New Roman" w:hAnsi="Times New Roman" w:eastAsia="Times New Roman" w:cs="Times New Roman"/>
              <w:spacing w:val="6"/>
              <w:sz w:val="20"/>
              <w:szCs w:val="20"/>
            </w:rPr>
            <w:t xml:space="preserve">2.4.5  </w:t>
          </w:r>
          <w:r>
            <w:rPr>
              <w:rFonts w:ascii="宋体" w:hAnsi="宋体" w:eastAsia="宋体" w:cs="宋体"/>
              <w:spacing w:val="6"/>
              <w:sz w:val="20"/>
              <w:szCs w:val="20"/>
            </w:rPr>
            <w:t>交通运输</w:t>
          </w:r>
          <w:r>
            <w:rPr>
              <w:rFonts w:ascii="Times New Roman" w:hAnsi="Times New Roman" w:eastAsia="Times New Roman" w:cs="Times New Roman"/>
              <w:sz w:val="20"/>
              <w:szCs w:val="20"/>
            </w:rPr>
            <w:tab/>
          </w:r>
          <w:r>
            <w:rPr>
              <w:rFonts w:ascii="Calibri" w:hAnsi="Calibri" w:eastAsia="Calibri" w:cs="Calibri"/>
              <w:spacing w:val="6"/>
              <w:sz w:val="20"/>
              <w:szCs w:val="20"/>
            </w:rPr>
            <w:t>4</w:t>
          </w:r>
          <w:r>
            <w:rPr>
              <w:rFonts w:ascii="Calibri" w:hAnsi="Calibri" w:eastAsia="Calibri" w:cs="Calibri"/>
              <w:spacing w:val="4"/>
              <w:sz w:val="20"/>
              <w:szCs w:val="20"/>
            </w:rPr>
            <w:t>2</w:t>
          </w:r>
          <w:r>
            <w:rPr>
              <w:rFonts w:ascii="Calibri" w:hAnsi="Calibri" w:eastAsia="Calibri" w:cs="Calibri"/>
              <w:spacing w:val="4"/>
              <w:sz w:val="20"/>
              <w:szCs w:val="20"/>
            </w:rPr>
            <w:fldChar w:fldCharType="end"/>
          </w:r>
        </w:p>
        <w:p w14:paraId="27ABBE49">
          <w:pPr>
            <w:tabs>
              <w:tab w:val="right" w:leader="dot" w:pos="9495"/>
            </w:tabs>
            <w:spacing w:before="65" w:line="228" w:lineRule="auto"/>
            <w:ind w:left="633"/>
            <w:rPr>
              <w:rFonts w:ascii="Calibri" w:hAnsi="Calibri" w:eastAsia="Calibri" w:cs="Calibri"/>
              <w:sz w:val="20"/>
              <w:szCs w:val="20"/>
            </w:rPr>
          </w:pPr>
          <w:r>
            <w:fldChar w:fldCharType="begin"/>
          </w:r>
          <w:r>
            <w:instrText xml:space="preserve"> HYPERLINK \l "_bookmark30" </w:instrText>
          </w:r>
          <w:r>
            <w:fldChar w:fldCharType="separate"/>
          </w:r>
          <w:r>
            <w:rPr>
              <w:rFonts w:ascii="Times New Roman" w:hAnsi="Times New Roman" w:eastAsia="Times New Roman" w:cs="Times New Roman"/>
              <w:spacing w:val="8"/>
              <w:sz w:val="20"/>
              <w:szCs w:val="20"/>
            </w:rPr>
            <w:t>2</w:t>
          </w:r>
          <w:r>
            <w:rPr>
              <w:rFonts w:ascii="Times New Roman" w:hAnsi="Times New Roman" w:eastAsia="Times New Roman" w:cs="Times New Roman"/>
              <w:spacing w:val="6"/>
              <w:sz w:val="20"/>
              <w:szCs w:val="20"/>
            </w:rPr>
            <w:t xml:space="preserve">.4.6  </w:t>
          </w:r>
          <w:r>
            <w:rPr>
              <w:rFonts w:ascii="宋体" w:hAnsi="宋体" w:eastAsia="宋体" w:cs="宋体"/>
              <w:spacing w:val="6"/>
              <w:sz w:val="20"/>
              <w:szCs w:val="20"/>
            </w:rPr>
            <w:t>猪舍消毒措施</w:t>
          </w:r>
          <w:r>
            <w:rPr>
              <w:rFonts w:ascii="Times New Roman" w:hAnsi="Times New Roman" w:eastAsia="Times New Roman" w:cs="Times New Roman"/>
              <w:sz w:val="20"/>
              <w:szCs w:val="20"/>
            </w:rPr>
            <w:tab/>
          </w:r>
          <w:r>
            <w:rPr>
              <w:rFonts w:ascii="Calibri" w:hAnsi="Calibri" w:eastAsia="Calibri" w:cs="Calibri"/>
              <w:spacing w:val="6"/>
              <w:sz w:val="20"/>
              <w:szCs w:val="20"/>
            </w:rPr>
            <w:t>42</w:t>
          </w:r>
          <w:r>
            <w:rPr>
              <w:rFonts w:ascii="Calibri" w:hAnsi="Calibri" w:eastAsia="Calibri" w:cs="Calibri"/>
              <w:spacing w:val="6"/>
              <w:sz w:val="20"/>
              <w:szCs w:val="20"/>
            </w:rPr>
            <w:fldChar w:fldCharType="end"/>
          </w:r>
        </w:p>
        <w:p w14:paraId="02AFB550">
          <w:pPr>
            <w:tabs>
              <w:tab w:val="right" w:leader="dot" w:pos="9495"/>
            </w:tabs>
            <w:spacing w:before="65" w:line="227" w:lineRule="auto"/>
            <w:ind w:left="425"/>
            <w:rPr>
              <w:rFonts w:ascii="Calibri" w:hAnsi="Calibri" w:eastAsia="Calibri" w:cs="Calibri"/>
              <w:sz w:val="20"/>
              <w:szCs w:val="20"/>
            </w:rPr>
          </w:pPr>
          <w:r>
            <w:fldChar w:fldCharType="begin"/>
          </w:r>
          <w:r>
            <w:instrText xml:space="preserve"> HYPERLINK \l "_bookmark31" </w:instrText>
          </w:r>
          <w:r>
            <w:fldChar w:fldCharType="separate"/>
          </w:r>
          <w:r>
            <w:rPr>
              <w:rFonts w:ascii="Times New Roman" w:hAnsi="Times New Roman" w:eastAsia="Times New Roman" w:cs="Times New Roman"/>
              <w:spacing w:val="11"/>
              <w:sz w:val="20"/>
              <w:szCs w:val="20"/>
            </w:rPr>
            <w:t>2</w:t>
          </w:r>
          <w:r>
            <w:rPr>
              <w:rFonts w:ascii="Times New Roman" w:hAnsi="Times New Roman" w:eastAsia="Times New Roman" w:cs="Times New Roman"/>
              <w:spacing w:val="10"/>
              <w:sz w:val="20"/>
              <w:szCs w:val="20"/>
            </w:rPr>
            <w:t xml:space="preserve">.5  </w:t>
          </w:r>
          <w:r>
            <w:rPr>
              <w:rFonts w:ascii="宋体" w:hAnsi="宋体" w:eastAsia="宋体" w:cs="宋体"/>
              <w:spacing w:val="10"/>
              <w:sz w:val="20"/>
              <w:szCs w:val="20"/>
            </w:rPr>
            <w:t>场区平面布置合理性分析</w:t>
          </w:r>
          <w:r>
            <w:rPr>
              <w:rFonts w:ascii="Times New Roman" w:hAnsi="Times New Roman" w:eastAsia="Times New Roman" w:cs="Times New Roman"/>
              <w:sz w:val="20"/>
              <w:szCs w:val="20"/>
            </w:rPr>
            <w:tab/>
          </w:r>
          <w:r>
            <w:rPr>
              <w:rFonts w:ascii="Calibri" w:hAnsi="Calibri" w:eastAsia="Calibri" w:cs="Calibri"/>
              <w:spacing w:val="10"/>
              <w:sz w:val="20"/>
              <w:szCs w:val="20"/>
            </w:rPr>
            <w:t>43</w:t>
          </w:r>
          <w:r>
            <w:rPr>
              <w:rFonts w:ascii="Calibri" w:hAnsi="Calibri" w:eastAsia="Calibri" w:cs="Calibri"/>
              <w:spacing w:val="10"/>
              <w:sz w:val="20"/>
              <w:szCs w:val="20"/>
            </w:rPr>
            <w:fldChar w:fldCharType="end"/>
          </w:r>
        </w:p>
        <w:p w14:paraId="29CB79C8">
          <w:pPr>
            <w:tabs>
              <w:tab w:val="right" w:leader="dot" w:pos="9495"/>
            </w:tabs>
            <w:spacing w:before="66" w:line="227" w:lineRule="auto"/>
            <w:ind w:left="633"/>
            <w:rPr>
              <w:rFonts w:ascii="Calibri" w:hAnsi="Calibri" w:eastAsia="Calibri" w:cs="Calibri"/>
              <w:sz w:val="20"/>
              <w:szCs w:val="20"/>
            </w:rPr>
          </w:pPr>
          <w:r>
            <w:fldChar w:fldCharType="begin"/>
          </w:r>
          <w:r>
            <w:instrText xml:space="preserve"> HYPERLINK \l "_bookmark32" </w:instrText>
          </w:r>
          <w:r>
            <w:fldChar w:fldCharType="separate"/>
          </w:r>
          <w:r>
            <w:rPr>
              <w:rFonts w:ascii="Times New Roman" w:hAnsi="Times New Roman" w:eastAsia="Times New Roman" w:cs="Times New Roman"/>
              <w:spacing w:val="8"/>
              <w:sz w:val="20"/>
              <w:szCs w:val="20"/>
            </w:rPr>
            <w:t>2</w:t>
          </w:r>
          <w:r>
            <w:rPr>
              <w:rFonts w:ascii="Times New Roman" w:hAnsi="Times New Roman" w:eastAsia="Times New Roman" w:cs="Times New Roman"/>
              <w:spacing w:val="6"/>
              <w:sz w:val="20"/>
              <w:szCs w:val="20"/>
            </w:rPr>
            <w:t xml:space="preserve">.5.1  </w:t>
          </w:r>
          <w:r>
            <w:rPr>
              <w:rFonts w:ascii="宋体" w:hAnsi="宋体" w:eastAsia="宋体" w:cs="宋体"/>
              <w:spacing w:val="6"/>
              <w:sz w:val="20"/>
              <w:szCs w:val="20"/>
            </w:rPr>
            <w:t>场区总体布局</w:t>
          </w:r>
          <w:r>
            <w:rPr>
              <w:rFonts w:ascii="Times New Roman" w:hAnsi="Times New Roman" w:eastAsia="Times New Roman" w:cs="Times New Roman"/>
              <w:sz w:val="20"/>
              <w:szCs w:val="20"/>
            </w:rPr>
            <w:tab/>
          </w:r>
          <w:r>
            <w:rPr>
              <w:rFonts w:ascii="Calibri" w:hAnsi="Calibri" w:eastAsia="Calibri" w:cs="Calibri"/>
              <w:spacing w:val="6"/>
              <w:sz w:val="20"/>
              <w:szCs w:val="20"/>
            </w:rPr>
            <w:t>43</w:t>
          </w:r>
          <w:r>
            <w:rPr>
              <w:rFonts w:ascii="Calibri" w:hAnsi="Calibri" w:eastAsia="Calibri" w:cs="Calibri"/>
              <w:spacing w:val="6"/>
              <w:sz w:val="20"/>
              <w:szCs w:val="20"/>
            </w:rPr>
            <w:fldChar w:fldCharType="end"/>
          </w:r>
        </w:p>
        <w:p w14:paraId="7E0BBE94">
          <w:pPr>
            <w:tabs>
              <w:tab w:val="right" w:leader="dot" w:pos="9495"/>
            </w:tabs>
            <w:spacing w:before="67" w:line="228" w:lineRule="auto"/>
            <w:ind w:left="9"/>
            <w:rPr>
              <w:rFonts w:ascii="Calibri" w:hAnsi="Calibri" w:eastAsia="Calibri" w:cs="Calibri"/>
              <w:sz w:val="20"/>
              <w:szCs w:val="20"/>
            </w:rPr>
          </w:pPr>
          <w:r>
            <w:fldChar w:fldCharType="begin"/>
          </w:r>
          <w:r>
            <w:instrText xml:space="preserve"> HYPERLINK \l "_bookmark33" </w:instrText>
          </w:r>
          <w:r>
            <w:fldChar w:fldCharType="separate"/>
          </w:r>
          <w:r>
            <w:rPr>
              <w:rFonts w:ascii="Times New Roman" w:hAnsi="Times New Roman" w:eastAsia="Times New Roman" w:cs="Times New Roman"/>
              <w:spacing w:val="13"/>
              <w:sz w:val="20"/>
              <w:szCs w:val="20"/>
            </w:rPr>
            <w:t>3</w:t>
          </w:r>
          <w:r>
            <w:rPr>
              <w:rFonts w:ascii="宋体" w:hAnsi="宋体" w:eastAsia="宋体" w:cs="宋体"/>
              <w:spacing w:val="8"/>
              <w:sz w:val="20"/>
              <w:szCs w:val="20"/>
            </w:rPr>
            <w:t>、工程分析</w:t>
          </w:r>
          <w:r>
            <w:rPr>
              <w:rFonts w:ascii="Times New Roman" w:hAnsi="Times New Roman" w:eastAsia="Times New Roman" w:cs="Times New Roman"/>
              <w:sz w:val="20"/>
              <w:szCs w:val="20"/>
            </w:rPr>
            <w:tab/>
          </w:r>
          <w:r>
            <w:rPr>
              <w:rFonts w:ascii="Calibri" w:hAnsi="Calibri" w:eastAsia="Calibri" w:cs="Calibri"/>
              <w:spacing w:val="8"/>
              <w:sz w:val="20"/>
              <w:szCs w:val="20"/>
            </w:rPr>
            <w:t>45</w:t>
          </w:r>
          <w:r>
            <w:rPr>
              <w:rFonts w:ascii="Calibri" w:hAnsi="Calibri" w:eastAsia="Calibri" w:cs="Calibri"/>
              <w:spacing w:val="8"/>
              <w:sz w:val="20"/>
              <w:szCs w:val="20"/>
            </w:rPr>
            <w:fldChar w:fldCharType="end"/>
          </w:r>
        </w:p>
        <w:p w14:paraId="239B2B34">
          <w:pPr>
            <w:tabs>
              <w:tab w:val="right" w:leader="dot" w:pos="9495"/>
            </w:tabs>
            <w:spacing w:before="65" w:line="228" w:lineRule="auto"/>
            <w:ind w:left="429"/>
            <w:rPr>
              <w:rFonts w:ascii="Calibri" w:hAnsi="Calibri" w:eastAsia="Calibri" w:cs="Calibri"/>
              <w:sz w:val="20"/>
              <w:szCs w:val="20"/>
            </w:rPr>
          </w:pPr>
          <w:r>
            <w:fldChar w:fldCharType="begin"/>
          </w:r>
          <w:r>
            <w:instrText xml:space="preserve"> HYPERLINK \l "_bookmark34" </w:instrText>
          </w:r>
          <w:r>
            <w:fldChar w:fldCharType="separate"/>
          </w:r>
          <w:r>
            <w:rPr>
              <w:rFonts w:ascii="Times New Roman" w:hAnsi="Times New Roman" w:eastAsia="Times New Roman" w:cs="Times New Roman"/>
              <w:spacing w:val="7"/>
              <w:sz w:val="20"/>
              <w:szCs w:val="20"/>
            </w:rPr>
            <w:t xml:space="preserve">3.2 </w:t>
          </w:r>
          <w:r>
            <w:rPr>
              <w:rFonts w:ascii="宋体" w:hAnsi="宋体" w:eastAsia="宋体" w:cs="宋体"/>
              <w:spacing w:val="7"/>
              <w:sz w:val="20"/>
              <w:szCs w:val="20"/>
            </w:rPr>
            <w:t>施工期工程分析</w:t>
          </w:r>
          <w:r>
            <w:rPr>
              <w:rFonts w:ascii="Times New Roman" w:hAnsi="Times New Roman" w:eastAsia="Times New Roman" w:cs="Times New Roman"/>
              <w:sz w:val="20"/>
              <w:szCs w:val="20"/>
            </w:rPr>
            <w:tab/>
          </w:r>
          <w:r>
            <w:rPr>
              <w:rFonts w:ascii="Calibri" w:hAnsi="Calibri" w:eastAsia="Calibri" w:cs="Calibri"/>
              <w:spacing w:val="7"/>
              <w:sz w:val="20"/>
              <w:szCs w:val="20"/>
            </w:rPr>
            <w:t>45</w:t>
          </w:r>
          <w:r>
            <w:rPr>
              <w:rFonts w:ascii="Calibri" w:hAnsi="Calibri" w:eastAsia="Calibri" w:cs="Calibri"/>
              <w:spacing w:val="7"/>
              <w:sz w:val="20"/>
              <w:szCs w:val="20"/>
            </w:rPr>
            <w:fldChar w:fldCharType="end"/>
          </w:r>
        </w:p>
        <w:p w14:paraId="12D5320D">
          <w:pPr>
            <w:tabs>
              <w:tab w:val="right" w:leader="dot" w:pos="9495"/>
            </w:tabs>
            <w:spacing w:before="64" w:line="228" w:lineRule="auto"/>
            <w:ind w:left="638"/>
            <w:rPr>
              <w:rFonts w:ascii="Calibri" w:hAnsi="Calibri" w:eastAsia="Calibri" w:cs="Calibri"/>
              <w:sz w:val="20"/>
              <w:szCs w:val="20"/>
            </w:rPr>
          </w:pPr>
          <w:r>
            <w:fldChar w:fldCharType="begin"/>
          </w:r>
          <w:r>
            <w:instrText xml:space="preserve"> HYPERLINK \l "_bookmark35" </w:instrText>
          </w:r>
          <w:r>
            <w:fldChar w:fldCharType="separate"/>
          </w:r>
          <w:r>
            <w:rPr>
              <w:rFonts w:ascii="Times New Roman" w:hAnsi="Times New Roman" w:eastAsia="Times New Roman" w:cs="Times New Roman"/>
              <w:spacing w:val="9"/>
              <w:sz w:val="20"/>
              <w:szCs w:val="20"/>
            </w:rPr>
            <w:t xml:space="preserve">3.2.1  </w:t>
          </w:r>
          <w:r>
            <w:rPr>
              <w:rFonts w:ascii="宋体" w:hAnsi="宋体" w:eastAsia="宋体" w:cs="宋体"/>
              <w:spacing w:val="9"/>
              <w:sz w:val="20"/>
              <w:szCs w:val="20"/>
            </w:rPr>
            <w:t>施工期工艺流程及产污节点</w:t>
          </w:r>
          <w:r>
            <w:rPr>
              <w:rFonts w:ascii="Times New Roman" w:hAnsi="Times New Roman" w:eastAsia="Times New Roman" w:cs="Times New Roman"/>
              <w:sz w:val="20"/>
              <w:szCs w:val="20"/>
            </w:rPr>
            <w:tab/>
          </w:r>
          <w:r>
            <w:rPr>
              <w:rFonts w:ascii="Calibri" w:hAnsi="Calibri" w:eastAsia="Calibri" w:cs="Calibri"/>
              <w:spacing w:val="9"/>
              <w:sz w:val="20"/>
              <w:szCs w:val="20"/>
            </w:rPr>
            <w:t>4</w:t>
          </w:r>
          <w:r>
            <w:rPr>
              <w:rFonts w:ascii="Calibri" w:hAnsi="Calibri" w:eastAsia="Calibri" w:cs="Calibri"/>
              <w:spacing w:val="8"/>
              <w:sz w:val="20"/>
              <w:szCs w:val="20"/>
            </w:rPr>
            <w:t>5</w:t>
          </w:r>
          <w:r>
            <w:rPr>
              <w:rFonts w:ascii="Calibri" w:hAnsi="Calibri" w:eastAsia="Calibri" w:cs="Calibri"/>
              <w:spacing w:val="8"/>
              <w:sz w:val="20"/>
              <w:szCs w:val="20"/>
            </w:rPr>
            <w:fldChar w:fldCharType="end"/>
          </w:r>
        </w:p>
        <w:p w14:paraId="17EDCD21">
          <w:pPr>
            <w:tabs>
              <w:tab w:val="right" w:leader="dot" w:pos="9495"/>
            </w:tabs>
            <w:spacing w:before="66" w:line="228" w:lineRule="auto"/>
            <w:ind w:left="429"/>
            <w:rPr>
              <w:rFonts w:ascii="Calibri" w:hAnsi="Calibri" w:eastAsia="Calibri" w:cs="Calibri"/>
              <w:sz w:val="20"/>
              <w:szCs w:val="20"/>
            </w:rPr>
          </w:pPr>
          <w:r>
            <w:fldChar w:fldCharType="begin"/>
          </w:r>
          <w:r>
            <w:instrText xml:space="preserve"> HYPERLINK \l "_bookmark36" </w:instrText>
          </w:r>
          <w:r>
            <w:fldChar w:fldCharType="separate"/>
          </w:r>
          <w:r>
            <w:rPr>
              <w:rFonts w:ascii="Times New Roman" w:hAnsi="Times New Roman" w:eastAsia="Times New Roman" w:cs="Times New Roman"/>
              <w:spacing w:val="12"/>
              <w:sz w:val="20"/>
              <w:szCs w:val="20"/>
            </w:rPr>
            <w:t>3</w:t>
          </w:r>
          <w:r>
            <w:rPr>
              <w:rFonts w:ascii="Times New Roman" w:hAnsi="Times New Roman" w:eastAsia="Times New Roman" w:cs="Times New Roman"/>
              <w:spacing w:val="9"/>
              <w:sz w:val="20"/>
              <w:szCs w:val="20"/>
            </w:rPr>
            <w:t>.</w:t>
          </w:r>
          <w:r>
            <w:rPr>
              <w:rFonts w:ascii="Times New Roman" w:hAnsi="Times New Roman" w:eastAsia="Times New Roman" w:cs="Times New Roman"/>
              <w:spacing w:val="6"/>
              <w:sz w:val="20"/>
              <w:szCs w:val="20"/>
            </w:rPr>
            <w:t xml:space="preserve">3  </w:t>
          </w:r>
          <w:r>
            <w:rPr>
              <w:rFonts w:ascii="宋体" w:hAnsi="宋体" w:eastAsia="宋体" w:cs="宋体"/>
              <w:spacing w:val="6"/>
              <w:sz w:val="20"/>
              <w:szCs w:val="20"/>
            </w:rPr>
            <w:t>运营期工程分析</w:t>
          </w:r>
          <w:r>
            <w:rPr>
              <w:rFonts w:ascii="Times New Roman" w:hAnsi="Times New Roman" w:eastAsia="Times New Roman" w:cs="Times New Roman"/>
              <w:sz w:val="20"/>
              <w:szCs w:val="20"/>
            </w:rPr>
            <w:tab/>
          </w:r>
          <w:r>
            <w:rPr>
              <w:rFonts w:ascii="Calibri" w:hAnsi="Calibri" w:eastAsia="Calibri" w:cs="Calibri"/>
              <w:spacing w:val="6"/>
              <w:sz w:val="20"/>
              <w:szCs w:val="20"/>
            </w:rPr>
            <w:t>53</w:t>
          </w:r>
          <w:r>
            <w:rPr>
              <w:rFonts w:ascii="Calibri" w:hAnsi="Calibri" w:eastAsia="Calibri" w:cs="Calibri"/>
              <w:spacing w:val="6"/>
              <w:sz w:val="20"/>
              <w:szCs w:val="20"/>
            </w:rPr>
            <w:fldChar w:fldCharType="end"/>
          </w:r>
        </w:p>
        <w:p w14:paraId="18E32B81">
          <w:pPr>
            <w:tabs>
              <w:tab w:val="right" w:leader="dot" w:pos="9495"/>
            </w:tabs>
            <w:spacing w:before="65" w:line="228" w:lineRule="auto"/>
            <w:ind w:left="9"/>
            <w:rPr>
              <w:rFonts w:ascii="Calibri" w:hAnsi="Calibri" w:eastAsia="Calibri" w:cs="Calibri"/>
              <w:sz w:val="20"/>
              <w:szCs w:val="20"/>
            </w:rPr>
          </w:pPr>
          <w:r>
            <w:fldChar w:fldCharType="begin"/>
          </w:r>
          <w:r>
            <w:instrText xml:space="preserve"> HYPERLINK \l "_bookmark37" </w:instrText>
          </w:r>
          <w:r>
            <w:fldChar w:fldCharType="separate"/>
          </w:r>
          <w:r>
            <w:rPr>
              <w:rFonts w:ascii="Times New Roman" w:hAnsi="Times New Roman" w:eastAsia="Times New Roman" w:cs="Times New Roman"/>
              <w:spacing w:val="11"/>
              <w:sz w:val="20"/>
              <w:szCs w:val="20"/>
            </w:rPr>
            <w:t>3</w:t>
          </w:r>
          <w:r>
            <w:rPr>
              <w:rFonts w:ascii="Times New Roman" w:hAnsi="Times New Roman" w:eastAsia="Times New Roman" w:cs="Times New Roman"/>
              <w:spacing w:val="6"/>
              <w:sz w:val="20"/>
              <w:szCs w:val="20"/>
            </w:rPr>
            <w:t xml:space="preserve">.4  </w:t>
          </w:r>
          <w:r>
            <w:rPr>
              <w:rFonts w:ascii="宋体" w:hAnsi="宋体" w:eastAsia="宋体" w:cs="宋体"/>
              <w:spacing w:val="6"/>
              <w:sz w:val="20"/>
              <w:szCs w:val="20"/>
            </w:rPr>
            <w:t>总量控制</w:t>
          </w:r>
          <w:r>
            <w:rPr>
              <w:rFonts w:ascii="Times New Roman" w:hAnsi="Times New Roman" w:eastAsia="Times New Roman" w:cs="Times New Roman"/>
              <w:sz w:val="20"/>
              <w:szCs w:val="20"/>
            </w:rPr>
            <w:tab/>
          </w:r>
          <w:r>
            <w:rPr>
              <w:rFonts w:ascii="Calibri" w:hAnsi="Calibri" w:eastAsia="Calibri" w:cs="Calibri"/>
              <w:spacing w:val="6"/>
              <w:sz w:val="20"/>
              <w:szCs w:val="20"/>
            </w:rPr>
            <w:t>77</w:t>
          </w:r>
          <w:r>
            <w:rPr>
              <w:rFonts w:ascii="Calibri" w:hAnsi="Calibri" w:eastAsia="Calibri" w:cs="Calibri"/>
              <w:spacing w:val="6"/>
              <w:sz w:val="20"/>
              <w:szCs w:val="20"/>
            </w:rPr>
            <w:fldChar w:fldCharType="end"/>
          </w:r>
        </w:p>
        <w:p w14:paraId="5E08B666">
          <w:pPr>
            <w:tabs>
              <w:tab w:val="right" w:leader="dot" w:pos="9495"/>
            </w:tabs>
            <w:spacing w:before="65" w:line="228" w:lineRule="auto"/>
            <w:ind w:left="429"/>
            <w:rPr>
              <w:rFonts w:ascii="Calibri" w:hAnsi="Calibri" w:eastAsia="Calibri" w:cs="Calibri"/>
              <w:sz w:val="20"/>
              <w:szCs w:val="20"/>
            </w:rPr>
          </w:pPr>
          <w:r>
            <w:fldChar w:fldCharType="begin"/>
          </w:r>
          <w:r>
            <w:instrText xml:space="preserve"> HYPERLINK \l "_bookmark38" </w:instrText>
          </w:r>
          <w:r>
            <w:fldChar w:fldCharType="separate"/>
          </w:r>
          <w:r>
            <w:rPr>
              <w:rFonts w:ascii="Times New Roman" w:hAnsi="Times New Roman" w:eastAsia="Times New Roman" w:cs="Times New Roman"/>
              <w:spacing w:val="10"/>
              <w:sz w:val="20"/>
              <w:szCs w:val="20"/>
            </w:rPr>
            <w:t>3</w:t>
          </w:r>
          <w:r>
            <w:rPr>
              <w:rFonts w:ascii="Times New Roman" w:hAnsi="Times New Roman" w:eastAsia="Times New Roman" w:cs="Times New Roman"/>
              <w:spacing w:val="9"/>
              <w:sz w:val="20"/>
              <w:szCs w:val="20"/>
            </w:rPr>
            <w:t xml:space="preserve">.4.1  </w:t>
          </w:r>
          <w:r>
            <w:rPr>
              <w:rFonts w:ascii="宋体" w:hAnsi="宋体" w:eastAsia="宋体" w:cs="宋体"/>
              <w:spacing w:val="9"/>
              <w:sz w:val="20"/>
              <w:szCs w:val="20"/>
            </w:rPr>
            <w:t>总量控制的目的与原则</w:t>
          </w:r>
          <w:r>
            <w:rPr>
              <w:rFonts w:ascii="Times New Roman" w:hAnsi="Times New Roman" w:eastAsia="Times New Roman" w:cs="Times New Roman"/>
              <w:sz w:val="20"/>
              <w:szCs w:val="20"/>
            </w:rPr>
            <w:tab/>
          </w:r>
          <w:r>
            <w:rPr>
              <w:rFonts w:ascii="Calibri" w:hAnsi="Calibri" w:eastAsia="Calibri" w:cs="Calibri"/>
              <w:spacing w:val="9"/>
              <w:sz w:val="20"/>
              <w:szCs w:val="20"/>
            </w:rPr>
            <w:t>77</w:t>
          </w:r>
          <w:r>
            <w:rPr>
              <w:rFonts w:ascii="Calibri" w:hAnsi="Calibri" w:eastAsia="Calibri" w:cs="Calibri"/>
              <w:spacing w:val="9"/>
              <w:sz w:val="20"/>
              <w:szCs w:val="20"/>
            </w:rPr>
            <w:fldChar w:fldCharType="end"/>
          </w:r>
        </w:p>
        <w:p w14:paraId="0F4A4C49">
          <w:pPr>
            <w:tabs>
              <w:tab w:val="right" w:leader="dot" w:pos="9495"/>
            </w:tabs>
            <w:spacing w:before="65" w:line="228" w:lineRule="auto"/>
            <w:ind w:left="429"/>
            <w:rPr>
              <w:rFonts w:ascii="Calibri" w:hAnsi="Calibri" w:eastAsia="Calibri" w:cs="Calibri"/>
              <w:sz w:val="20"/>
              <w:szCs w:val="20"/>
            </w:rPr>
          </w:pPr>
          <w:r>
            <w:fldChar w:fldCharType="begin"/>
          </w:r>
          <w:r>
            <w:instrText xml:space="preserve"> HYPERLINK \l "_bookmark39" </w:instrText>
          </w:r>
          <w:r>
            <w:fldChar w:fldCharType="separate"/>
          </w:r>
          <w:r>
            <w:rPr>
              <w:rFonts w:ascii="Times New Roman" w:hAnsi="Times New Roman" w:eastAsia="Times New Roman" w:cs="Times New Roman"/>
              <w:spacing w:val="11"/>
              <w:sz w:val="20"/>
              <w:szCs w:val="20"/>
            </w:rPr>
            <w:t>3</w:t>
          </w:r>
          <w:r>
            <w:rPr>
              <w:rFonts w:ascii="Times New Roman" w:hAnsi="Times New Roman" w:eastAsia="Times New Roman" w:cs="Times New Roman"/>
              <w:spacing w:val="6"/>
              <w:sz w:val="20"/>
              <w:szCs w:val="20"/>
            </w:rPr>
            <w:t xml:space="preserve">.4.2  </w:t>
          </w:r>
          <w:r>
            <w:rPr>
              <w:rFonts w:ascii="宋体" w:hAnsi="宋体" w:eastAsia="宋体" w:cs="宋体"/>
              <w:spacing w:val="6"/>
              <w:sz w:val="20"/>
              <w:szCs w:val="20"/>
            </w:rPr>
            <w:t>污染物总量控制建议</w:t>
          </w:r>
          <w:r>
            <w:rPr>
              <w:rFonts w:ascii="Times New Roman" w:hAnsi="Times New Roman" w:eastAsia="Times New Roman" w:cs="Times New Roman"/>
              <w:sz w:val="20"/>
              <w:szCs w:val="20"/>
            </w:rPr>
            <w:tab/>
          </w:r>
          <w:r>
            <w:rPr>
              <w:rFonts w:ascii="Calibri" w:hAnsi="Calibri" w:eastAsia="Calibri" w:cs="Calibri"/>
              <w:spacing w:val="6"/>
              <w:sz w:val="20"/>
              <w:szCs w:val="20"/>
            </w:rPr>
            <w:t>77</w:t>
          </w:r>
          <w:r>
            <w:rPr>
              <w:rFonts w:ascii="Calibri" w:hAnsi="Calibri" w:eastAsia="Calibri" w:cs="Calibri"/>
              <w:spacing w:val="6"/>
              <w:sz w:val="20"/>
              <w:szCs w:val="20"/>
            </w:rPr>
            <w:fldChar w:fldCharType="end"/>
          </w:r>
        </w:p>
        <w:p w14:paraId="305D4F35">
          <w:pPr>
            <w:tabs>
              <w:tab w:val="right" w:leader="dot" w:pos="9495"/>
            </w:tabs>
            <w:spacing w:before="64" w:line="227" w:lineRule="auto"/>
            <w:ind w:left="9"/>
            <w:rPr>
              <w:rFonts w:ascii="Calibri" w:hAnsi="Calibri" w:eastAsia="Calibri" w:cs="Calibri"/>
              <w:sz w:val="20"/>
              <w:szCs w:val="20"/>
            </w:rPr>
          </w:pPr>
          <w:r>
            <w:fldChar w:fldCharType="begin"/>
          </w:r>
          <w:r>
            <w:instrText xml:space="preserve"> HYPERLINK \l "_bookmark40" </w:instrText>
          </w:r>
          <w:r>
            <w:fldChar w:fldCharType="separate"/>
          </w:r>
          <w:r>
            <w:rPr>
              <w:rFonts w:ascii="Times New Roman" w:hAnsi="Times New Roman" w:eastAsia="Times New Roman" w:cs="Times New Roman"/>
              <w:spacing w:val="10"/>
              <w:sz w:val="20"/>
              <w:szCs w:val="20"/>
            </w:rPr>
            <w:t>3</w:t>
          </w:r>
          <w:r>
            <w:rPr>
              <w:rFonts w:ascii="Times New Roman" w:hAnsi="Times New Roman" w:eastAsia="Times New Roman" w:cs="Times New Roman"/>
              <w:spacing w:val="7"/>
              <w:sz w:val="20"/>
              <w:szCs w:val="20"/>
            </w:rPr>
            <w:t xml:space="preserve">.5  </w:t>
          </w:r>
          <w:r>
            <w:rPr>
              <w:rFonts w:ascii="宋体" w:hAnsi="宋体" w:eastAsia="宋体" w:cs="宋体"/>
              <w:spacing w:val="7"/>
              <w:sz w:val="20"/>
              <w:szCs w:val="20"/>
            </w:rPr>
            <w:t>本项目污染物排放量汇总</w:t>
          </w:r>
          <w:r>
            <w:rPr>
              <w:rFonts w:ascii="Times New Roman" w:hAnsi="Times New Roman" w:eastAsia="Times New Roman" w:cs="Times New Roman"/>
              <w:sz w:val="20"/>
              <w:szCs w:val="20"/>
            </w:rPr>
            <w:tab/>
          </w:r>
          <w:r>
            <w:rPr>
              <w:rFonts w:ascii="Calibri" w:hAnsi="Calibri" w:eastAsia="Calibri" w:cs="Calibri"/>
              <w:spacing w:val="7"/>
              <w:sz w:val="20"/>
              <w:szCs w:val="20"/>
            </w:rPr>
            <w:t>77</w:t>
          </w:r>
          <w:r>
            <w:rPr>
              <w:rFonts w:ascii="Calibri" w:hAnsi="Calibri" w:eastAsia="Calibri" w:cs="Calibri"/>
              <w:spacing w:val="7"/>
              <w:sz w:val="20"/>
              <w:szCs w:val="20"/>
            </w:rPr>
            <w:fldChar w:fldCharType="end"/>
          </w:r>
        </w:p>
        <w:p w14:paraId="06B4710F">
          <w:pPr>
            <w:tabs>
              <w:tab w:val="right" w:leader="dot" w:pos="9495"/>
            </w:tabs>
            <w:spacing w:before="66" w:line="228" w:lineRule="auto"/>
            <w:ind w:left="4"/>
            <w:rPr>
              <w:rFonts w:ascii="Calibri" w:hAnsi="Calibri" w:eastAsia="Calibri" w:cs="Calibri"/>
              <w:sz w:val="20"/>
              <w:szCs w:val="20"/>
            </w:rPr>
          </w:pPr>
          <w:r>
            <w:fldChar w:fldCharType="begin"/>
          </w:r>
          <w:r>
            <w:instrText xml:space="preserve"> HYPERLINK \l "_bookmark41" </w:instrText>
          </w:r>
          <w:r>
            <w:fldChar w:fldCharType="separate"/>
          </w:r>
          <w:r>
            <w:rPr>
              <w:rFonts w:ascii="Times New Roman" w:hAnsi="Times New Roman" w:eastAsia="Times New Roman" w:cs="Times New Roman"/>
              <w:spacing w:val="9"/>
              <w:sz w:val="20"/>
              <w:szCs w:val="20"/>
            </w:rPr>
            <w:t>4</w:t>
          </w:r>
          <w:r>
            <w:rPr>
              <w:rFonts w:ascii="宋体" w:hAnsi="宋体" w:eastAsia="宋体" w:cs="宋体"/>
              <w:spacing w:val="9"/>
              <w:sz w:val="20"/>
              <w:szCs w:val="20"/>
            </w:rPr>
            <w:t>、区域环境概况</w:t>
          </w:r>
          <w:r>
            <w:rPr>
              <w:rFonts w:ascii="Times New Roman" w:hAnsi="Times New Roman" w:eastAsia="Times New Roman" w:cs="Times New Roman"/>
              <w:sz w:val="20"/>
              <w:szCs w:val="20"/>
            </w:rPr>
            <w:tab/>
          </w:r>
          <w:r>
            <w:rPr>
              <w:rFonts w:ascii="Calibri" w:hAnsi="Calibri" w:eastAsia="Calibri" w:cs="Calibri"/>
              <w:spacing w:val="9"/>
              <w:sz w:val="20"/>
              <w:szCs w:val="20"/>
            </w:rPr>
            <w:t>80</w:t>
          </w:r>
          <w:r>
            <w:rPr>
              <w:rFonts w:ascii="Calibri" w:hAnsi="Calibri" w:eastAsia="Calibri" w:cs="Calibri"/>
              <w:spacing w:val="9"/>
              <w:sz w:val="20"/>
              <w:szCs w:val="20"/>
            </w:rPr>
            <w:fldChar w:fldCharType="end"/>
          </w:r>
        </w:p>
        <w:p w14:paraId="536206E4">
          <w:pPr>
            <w:tabs>
              <w:tab w:val="right" w:leader="dot" w:pos="9495"/>
            </w:tabs>
            <w:spacing w:before="65" w:line="228" w:lineRule="auto"/>
            <w:ind w:left="424"/>
            <w:rPr>
              <w:rFonts w:ascii="Calibri" w:hAnsi="Calibri" w:eastAsia="Calibri" w:cs="Calibri"/>
              <w:sz w:val="20"/>
              <w:szCs w:val="20"/>
            </w:rPr>
          </w:pPr>
          <w:r>
            <w:fldChar w:fldCharType="begin"/>
          </w:r>
          <w:r>
            <w:instrText xml:space="preserve"> HYPERLINK \l "_bookmark42" </w:instrText>
          </w:r>
          <w:r>
            <w:fldChar w:fldCharType="separate"/>
          </w:r>
          <w:r>
            <w:rPr>
              <w:rFonts w:ascii="Times New Roman" w:hAnsi="Times New Roman" w:eastAsia="Times New Roman" w:cs="Times New Roman"/>
              <w:spacing w:val="12"/>
              <w:sz w:val="20"/>
              <w:szCs w:val="20"/>
            </w:rPr>
            <w:t>4</w:t>
          </w:r>
          <w:r>
            <w:rPr>
              <w:rFonts w:ascii="Times New Roman" w:hAnsi="Times New Roman" w:eastAsia="Times New Roman" w:cs="Times New Roman"/>
              <w:spacing w:val="10"/>
              <w:sz w:val="20"/>
              <w:szCs w:val="20"/>
            </w:rPr>
            <w:t>.</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自然环境概况</w:t>
          </w:r>
          <w:r>
            <w:rPr>
              <w:rFonts w:ascii="Times New Roman" w:hAnsi="Times New Roman" w:eastAsia="Times New Roman" w:cs="Times New Roman"/>
              <w:sz w:val="20"/>
              <w:szCs w:val="20"/>
            </w:rPr>
            <w:tab/>
          </w:r>
          <w:r>
            <w:rPr>
              <w:rFonts w:ascii="Calibri" w:hAnsi="Calibri" w:eastAsia="Calibri" w:cs="Calibri"/>
              <w:spacing w:val="6"/>
              <w:sz w:val="20"/>
              <w:szCs w:val="20"/>
            </w:rPr>
            <w:t>80</w:t>
          </w:r>
          <w:r>
            <w:rPr>
              <w:rFonts w:ascii="Calibri" w:hAnsi="Calibri" w:eastAsia="Calibri" w:cs="Calibri"/>
              <w:spacing w:val="6"/>
              <w:sz w:val="20"/>
              <w:szCs w:val="20"/>
            </w:rPr>
            <w:fldChar w:fldCharType="end"/>
          </w:r>
        </w:p>
        <w:p w14:paraId="72AF4CBD">
          <w:pPr>
            <w:tabs>
              <w:tab w:val="right" w:leader="dot" w:pos="9495"/>
            </w:tabs>
            <w:spacing w:before="66" w:line="226" w:lineRule="auto"/>
            <w:ind w:left="4"/>
            <w:rPr>
              <w:rFonts w:ascii="Calibri" w:hAnsi="Calibri" w:eastAsia="Calibri" w:cs="Calibri"/>
              <w:sz w:val="20"/>
              <w:szCs w:val="20"/>
            </w:rPr>
          </w:pPr>
          <w:r>
            <w:fldChar w:fldCharType="begin"/>
          </w:r>
          <w:r>
            <w:instrText xml:space="preserve"> HYPERLINK \l "_bookmark43" </w:instrText>
          </w:r>
          <w:r>
            <w:fldChar w:fldCharType="separate"/>
          </w:r>
          <w:r>
            <w:rPr>
              <w:rFonts w:ascii="Times New Roman" w:hAnsi="Times New Roman" w:eastAsia="Times New Roman" w:cs="Times New Roman"/>
              <w:spacing w:val="14"/>
              <w:sz w:val="20"/>
              <w:szCs w:val="20"/>
            </w:rPr>
            <w:t>4</w:t>
          </w:r>
          <w:r>
            <w:rPr>
              <w:rFonts w:ascii="Times New Roman" w:hAnsi="Times New Roman" w:eastAsia="Times New Roman" w:cs="Times New Roman"/>
              <w:spacing w:val="8"/>
              <w:sz w:val="20"/>
              <w:szCs w:val="20"/>
            </w:rPr>
            <w:t>.</w:t>
          </w:r>
          <w:r>
            <w:rPr>
              <w:rFonts w:ascii="Times New Roman" w:hAnsi="Times New Roman" w:eastAsia="Times New Roman" w:cs="Times New Roman"/>
              <w:spacing w:val="7"/>
              <w:sz w:val="20"/>
              <w:szCs w:val="20"/>
            </w:rPr>
            <w:t xml:space="preserve">2  </w:t>
          </w:r>
          <w:r>
            <w:rPr>
              <w:rFonts w:ascii="宋体" w:hAnsi="宋体" w:eastAsia="宋体" w:cs="宋体"/>
              <w:spacing w:val="7"/>
              <w:sz w:val="20"/>
              <w:szCs w:val="20"/>
            </w:rPr>
            <w:t>环境质量现状调查与评价</w:t>
          </w:r>
          <w:r>
            <w:rPr>
              <w:rFonts w:ascii="Times New Roman" w:hAnsi="Times New Roman" w:eastAsia="Times New Roman" w:cs="Times New Roman"/>
              <w:sz w:val="20"/>
              <w:szCs w:val="20"/>
            </w:rPr>
            <w:tab/>
          </w:r>
          <w:r>
            <w:rPr>
              <w:rFonts w:ascii="Calibri" w:hAnsi="Calibri" w:eastAsia="Calibri" w:cs="Calibri"/>
              <w:spacing w:val="7"/>
              <w:sz w:val="20"/>
              <w:szCs w:val="20"/>
            </w:rPr>
            <w:t>82</w:t>
          </w:r>
          <w:r>
            <w:rPr>
              <w:rFonts w:ascii="Calibri" w:hAnsi="Calibri" w:eastAsia="Calibri" w:cs="Calibri"/>
              <w:spacing w:val="7"/>
              <w:sz w:val="20"/>
              <w:szCs w:val="20"/>
            </w:rPr>
            <w:fldChar w:fldCharType="end"/>
          </w:r>
        </w:p>
        <w:p w14:paraId="4A1FEECA">
          <w:pPr>
            <w:tabs>
              <w:tab w:val="right" w:leader="dot" w:pos="9495"/>
            </w:tabs>
            <w:spacing w:before="67" w:line="228" w:lineRule="auto"/>
            <w:ind w:left="4"/>
            <w:rPr>
              <w:rFonts w:ascii="Calibri" w:hAnsi="Calibri" w:eastAsia="Calibri" w:cs="Calibri"/>
              <w:sz w:val="20"/>
              <w:szCs w:val="20"/>
            </w:rPr>
          </w:pPr>
          <w:r>
            <w:fldChar w:fldCharType="begin"/>
          </w:r>
          <w:r>
            <w:instrText xml:space="preserve"> HYPERLINK \l "_bookmark44" </w:instrText>
          </w:r>
          <w:r>
            <w:fldChar w:fldCharType="separate"/>
          </w:r>
          <w:r>
            <w:rPr>
              <w:rFonts w:ascii="Times New Roman" w:hAnsi="Times New Roman" w:eastAsia="Times New Roman" w:cs="Times New Roman"/>
              <w:spacing w:val="11"/>
              <w:sz w:val="20"/>
              <w:szCs w:val="20"/>
            </w:rPr>
            <w:t>4</w:t>
          </w:r>
          <w:r>
            <w:rPr>
              <w:rFonts w:ascii="Times New Roman" w:hAnsi="Times New Roman" w:eastAsia="Times New Roman" w:cs="Times New Roman"/>
              <w:spacing w:val="7"/>
              <w:sz w:val="20"/>
              <w:szCs w:val="20"/>
            </w:rPr>
            <w:t xml:space="preserve">.3  </w:t>
          </w:r>
          <w:r>
            <w:rPr>
              <w:rFonts w:ascii="宋体" w:hAnsi="宋体" w:eastAsia="宋体" w:cs="宋体"/>
              <w:spacing w:val="7"/>
              <w:sz w:val="20"/>
              <w:szCs w:val="20"/>
            </w:rPr>
            <w:t>区域污染源调查</w:t>
          </w:r>
          <w:r>
            <w:rPr>
              <w:rFonts w:ascii="Times New Roman" w:hAnsi="Times New Roman" w:eastAsia="Times New Roman" w:cs="Times New Roman"/>
              <w:sz w:val="20"/>
              <w:szCs w:val="20"/>
            </w:rPr>
            <w:tab/>
          </w:r>
          <w:r>
            <w:rPr>
              <w:rFonts w:ascii="Calibri" w:hAnsi="Calibri" w:eastAsia="Calibri" w:cs="Calibri"/>
              <w:spacing w:val="7"/>
              <w:sz w:val="20"/>
              <w:szCs w:val="20"/>
            </w:rPr>
            <w:t>95</w:t>
          </w:r>
          <w:r>
            <w:rPr>
              <w:rFonts w:ascii="Calibri" w:hAnsi="Calibri" w:eastAsia="Calibri" w:cs="Calibri"/>
              <w:spacing w:val="7"/>
              <w:sz w:val="20"/>
              <w:szCs w:val="20"/>
            </w:rPr>
            <w:fldChar w:fldCharType="end"/>
          </w:r>
        </w:p>
      </w:sdtContent>
    </w:sdt>
    <w:p w14:paraId="4618863C">
      <w:pPr>
        <w:sectPr>
          <w:headerReference r:id="rId4" w:type="default"/>
          <w:footerReference r:id="rId5" w:type="default"/>
          <w:pgSz w:w="11906" w:h="16839"/>
          <w:pgMar w:top="1113" w:right="1134" w:bottom="1156" w:left="1275" w:header="878" w:footer="994" w:gutter="0"/>
          <w:cols w:space="720" w:num="1"/>
        </w:sectPr>
      </w:pPr>
    </w:p>
    <w:sdt>
      <w:sdtPr>
        <w:rPr>
          <w:rFonts w:ascii="Times New Roman" w:hAnsi="Times New Roman" w:eastAsia="Times New Roman" w:cs="Times New Roman"/>
          <w:sz w:val="20"/>
          <w:szCs w:val="20"/>
        </w:rPr>
        <w:id w:val="2"/>
        <w:docPartObj>
          <w:docPartGallery w:val="Table of Contents"/>
          <w:docPartUnique/>
        </w:docPartObj>
      </w:sdtPr>
      <w:sdtEndPr>
        <w:rPr>
          <w:rFonts w:ascii="Calibri" w:hAnsi="Calibri" w:eastAsia="Calibri" w:cs="Calibri"/>
          <w:sz w:val="20"/>
          <w:szCs w:val="20"/>
        </w:rPr>
      </w:sdtEndPr>
      <w:sdtContent>
        <w:p w14:paraId="35E2973F">
          <w:pPr>
            <w:tabs>
              <w:tab w:val="right" w:leader="dot" w:pos="9495"/>
            </w:tabs>
            <w:spacing w:before="213" w:line="228" w:lineRule="auto"/>
            <w:ind w:left="10"/>
            <w:rPr>
              <w:rFonts w:ascii="Calibri" w:hAnsi="Calibri" w:eastAsia="Calibri" w:cs="Calibri"/>
              <w:sz w:val="20"/>
              <w:szCs w:val="20"/>
            </w:rPr>
          </w:pPr>
          <w:r>
            <w:fldChar w:fldCharType="begin"/>
          </w:r>
          <w:r>
            <w:instrText xml:space="preserve"> HYPERLINK \l "_bookmark45" </w:instrText>
          </w:r>
          <w:r>
            <w:fldChar w:fldCharType="separate"/>
          </w:r>
          <w:r>
            <w:rPr>
              <w:rFonts w:ascii="Times New Roman" w:hAnsi="Times New Roman" w:eastAsia="Times New Roman" w:cs="Times New Roman"/>
              <w:spacing w:val="19"/>
              <w:sz w:val="20"/>
              <w:szCs w:val="20"/>
            </w:rPr>
            <w:t>5</w:t>
          </w:r>
          <w:r>
            <w:rPr>
              <w:rFonts w:ascii="宋体" w:hAnsi="宋体" w:eastAsia="宋体" w:cs="宋体"/>
              <w:spacing w:val="13"/>
              <w:sz w:val="20"/>
              <w:szCs w:val="20"/>
            </w:rPr>
            <w:t>、环境影响分析</w:t>
          </w:r>
          <w:r>
            <w:rPr>
              <w:rFonts w:ascii="Times New Roman" w:hAnsi="Times New Roman" w:eastAsia="Times New Roman" w:cs="Times New Roman"/>
              <w:sz w:val="20"/>
              <w:szCs w:val="20"/>
            </w:rPr>
            <w:tab/>
          </w:r>
          <w:r>
            <w:rPr>
              <w:rFonts w:ascii="Calibri" w:hAnsi="Calibri" w:eastAsia="Calibri" w:cs="Calibri"/>
              <w:spacing w:val="13"/>
              <w:sz w:val="20"/>
              <w:szCs w:val="20"/>
            </w:rPr>
            <w:t>96</w:t>
          </w:r>
          <w:r>
            <w:rPr>
              <w:rFonts w:ascii="Calibri" w:hAnsi="Calibri" w:eastAsia="Calibri" w:cs="Calibri"/>
              <w:spacing w:val="13"/>
              <w:sz w:val="20"/>
              <w:szCs w:val="20"/>
            </w:rPr>
            <w:fldChar w:fldCharType="end"/>
          </w:r>
        </w:p>
        <w:p w14:paraId="50D1117F">
          <w:pPr>
            <w:tabs>
              <w:tab w:val="right" w:leader="dot" w:pos="9495"/>
            </w:tabs>
            <w:spacing w:before="65" w:line="228" w:lineRule="auto"/>
            <w:ind w:left="430"/>
            <w:rPr>
              <w:rFonts w:ascii="Calibri" w:hAnsi="Calibri" w:eastAsia="Calibri" w:cs="Calibri"/>
              <w:sz w:val="20"/>
              <w:szCs w:val="20"/>
            </w:rPr>
          </w:pPr>
          <w:r>
            <w:fldChar w:fldCharType="begin"/>
          </w:r>
          <w:r>
            <w:instrText xml:space="preserve"> HYPERLINK \l "_bookmark46" </w:instrText>
          </w:r>
          <w:r>
            <w:fldChar w:fldCharType="separate"/>
          </w:r>
          <w:r>
            <w:rPr>
              <w:rFonts w:ascii="Times New Roman" w:hAnsi="Times New Roman" w:eastAsia="Times New Roman" w:cs="Times New Roman"/>
              <w:spacing w:val="12"/>
              <w:sz w:val="20"/>
              <w:szCs w:val="20"/>
            </w:rPr>
            <w:t>5</w:t>
          </w:r>
          <w:r>
            <w:rPr>
              <w:rFonts w:ascii="Times New Roman" w:hAnsi="Times New Roman" w:eastAsia="Times New Roman" w:cs="Times New Roman"/>
              <w:spacing w:val="11"/>
              <w:sz w:val="20"/>
              <w:szCs w:val="20"/>
            </w:rPr>
            <w:t>.</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施工期环境影响分析</w:t>
          </w:r>
          <w:r>
            <w:rPr>
              <w:rFonts w:ascii="Times New Roman" w:hAnsi="Times New Roman" w:eastAsia="Times New Roman" w:cs="Times New Roman"/>
              <w:sz w:val="20"/>
              <w:szCs w:val="20"/>
            </w:rPr>
            <w:tab/>
          </w:r>
          <w:r>
            <w:rPr>
              <w:rFonts w:ascii="Calibri" w:hAnsi="Calibri" w:eastAsia="Calibri" w:cs="Calibri"/>
              <w:spacing w:val="6"/>
              <w:sz w:val="20"/>
              <w:szCs w:val="20"/>
            </w:rPr>
            <w:t>96</w:t>
          </w:r>
          <w:r>
            <w:rPr>
              <w:rFonts w:ascii="Calibri" w:hAnsi="Calibri" w:eastAsia="Calibri" w:cs="Calibri"/>
              <w:spacing w:val="6"/>
              <w:sz w:val="20"/>
              <w:szCs w:val="20"/>
            </w:rPr>
            <w:fldChar w:fldCharType="end"/>
          </w:r>
        </w:p>
        <w:p w14:paraId="7F990528">
          <w:pPr>
            <w:tabs>
              <w:tab w:val="right" w:leader="dot" w:pos="9492"/>
            </w:tabs>
            <w:spacing w:before="64" w:line="228" w:lineRule="auto"/>
            <w:ind w:left="431"/>
            <w:rPr>
              <w:rFonts w:ascii="Calibri" w:hAnsi="Calibri" w:eastAsia="Calibri" w:cs="Calibri"/>
              <w:sz w:val="20"/>
              <w:szCs w:val="20"/>
            </w:rPr>
          </w:pPr>
          <w:r>
            <w:fldChar w:fldCharType="begin"/>
          </w:r>
          <w:r>
            <w:instrText xml:space="preserve"> HYPERLINK \l "_bookmark47" </w:instrText>
          </w:r>
          <w:r>
            <w:fldChar w:fldCharType="separate"/>
          </w:r>
          <w:r>
            <w:rPr>
              <w:rFonts w:ascii="Calibri" w:hAnsi="Calibri" w:eastAsia="Calibri" w:cs="Calibri"/>
              <w:spacing w:val="17"/>
              <w:sz w:val="20"/>
              <w:szCs w:val="20"/>
            </w:rPr>
            <w:t>5</w:t>
          </w:r>
          <w:r>
            <w:rPr>
              <w:rFonts w:ascii="Calibri" w:hAnsi="Calibri" w:eastAsia="Calibri" w:cs="Calibri"/>
              <w:spacing w:val="9"/>
              <w:sz w:val="20"/>
              <w:szCs w:val="20"/>
            </w:rPr>
            <w:t xml:space="preserve">.2    </w:t>
          </w:r>
          <w:r>
            <w:rPr>
              <w:rFonts w:ascii="宋体" w:hAnsi="宋体" w:eastAsia="宋体" w:cs="宋体"/>
              <w:spacing w:val="9"/>
              <w:sz w:val="20"/>
              <w:szCs w:val="20"/>
            </w:rPr>
            <w:t>运营期环境影响分析</w:t>
          </w:r>
          <w:r>
            <w:rPr>
              <w:rFonts w:ascii="Calibri" w:hAnsi="Calibri" w:eastAsia="Calibri" w:cs="Calibri"/>
              <w:sz w:val="20"/>
              <w:szCs w:val="20"/>
            </w:rPr>
            <w:tab/>
          </w:r>
          <w:r>
            <w:rPr>
              <w:rFonts w:ascii="Calibri" w:hAnsi="Calibri" w:eastAsia="Calibri" w:cs="Calibri"/>
              <w:spacing w:val="9"/>
              <w:sz w:val="20"/>
              <w:szCs w:val="20"/>
            </w:rPr>
            <w:t>104</w:t>
          </w:r>
          <w:r>
            <w:rPr>
              <w:rFonts w:ascii="Calibri" w:hAnsi="Calibri" w:eastAsia="Calibri" w:cs="Calibri"/>
              <w:spacing w:val="9"/>
              <w:sz w:val="20"/>
              <w:szCs w:val="20"/>
            </w:rPr>
            <w:fldChar w:fldCharType="end"/>
          </w:r>
        </w:p>
        <w:p w14:paraId="2C67CF6F">
          <w:pPr>
            <w:tabs>
              <w:tab w:val="right" w:leader="dot" w:pos="9492"/>
            </w:tabs>
            <w:spacing w:before="64" w:line="228" w:lineRule="auto"/>
            <w:ind w:left="9"/>
            <w:rPr>
              <w:rFonts w:ascii="Calibri" w:hAnsi="Calibri" w:eastAsia="Calibri" w:cs="Calibri"/>
              <w:sz w:val="20"/>
              <w:szCs w:val="20"/>
            </w:rPr>
          </w:pPr>
          <w:r>
            <w:fldChar w:fldCharType="begin"/>
          </w:r>
          <w:r>
            <w:instrText xml:space="preserve"> HYPERLINK \l "_bookmark48" </w:instrText>
          </w:r>
          <w:r>
            <w:fldChar w:fldCharType="separate"/>
          </w:r>
          <w:r>
            <w:rPr>
              <w:rFonts w:ascii="Times New Roman" w:hAnsi="Times New Roman" w:eastAsia="Times New Roman" w:cs="Times New Roman"/>
              <w:spacing w:val="-16"/>
              <w:sz w:val="20"/>
              <w:szCs w:val="20"/>
            </w:rPr>
            <w:t>6</w:t>
          </w:r>
          <w:r>
            <w:rPr>
              <w:rFonts w:ascii="宋体" w:hAnsi="宋体" w:eastAsia="宋体" w:cs="宋体"/>
              <w:spacing w:val="-16"/>
              <w:sz w:val="20"/>
              <w:szCs w:val="20"/>
            </w:rPr>
            <w:t>、环境保护措施及经济技术论证</w:t>
          </w:r>
          <w:r>
            <w:rPr>
              <w:rFonts w:ascii="Times New Roman" w:hAnsi="Times New Roman" w:eastAsia="Times New Roman" w:cs="Times New Roman"/>
              <w:sz w:val="20"/>
              <w:szCs w:val="20"/>
            </w:rPr>
            <w:tab/>
          </w:r>
          <w:r>
            <w:rPr>
              <w:rFonts w:ascii="Calibri" w:hAnsi="Calibri" w:eastAsia="Calibri" w:cs="Calibri"/>
              <w:spacing w:val="-16"/>
              <w:sz w:val="20"/>
              <w:szCs w:val="20"/>
            </w:rPr>
            <w:t>12</w:t>
          </w:r>
          <w:r>
            <w:rPr>
              <w:rFonts w:ascii="Calibri" w:hAnsi="Calibri" w:eastAsia="Calibri" w:cs="Calibri"/>
              <w:spacing w:val="-14"/>
              <w:sz w:val="20"/>
              <w:szCs w:val="20"/>
            </w:rPr>
            <w:t>9</w:t>
          </w:r>
          <w:r>
            <w:rPr>
              <w:rFonts w:ascii="Calibri" w:hAnsi="Calibri" w:eastAsia="Calibri" w:cs="Calibri"/>
              <w:spacing w:val="-14"/>
              <w:sz w:val="20"/>
              <w:szCs w:val="20"/>
            </w:rPr>
            <w:fldChar w:fldCharType="end"/>
          </w:r>
        </w:p>
        <w:p w14:paraId="258DB190">
          <w:pPr>
            <w:tabs>
              <w:tab w:val="right" w:leader="dot" w:pos="9492"/>
            </w:tabs>
            <w:spacing w:before="65" w:line="228" w:lineRule="auto"/>
            <w:ind w:left="429"/>
            <w:rPr>
              <w:rFonts w:ascii="Calibri" w:hAnsi="Calibri" w:eastAsia="Calibri" w:cs="Calibri"/>
              <w:sz w:val="20"/>
              <w:szCs w:val="20"/>
            </w:rPr>
          </w:pPr>
          <w:r>
            <w:fldChar w:fldCharType="begin"/>
          </w:r>
          <w:r>
            <w:instrText xml:space="preserve"> HYPERLINK \l "_bookmark49" </w:instrText>
          </w:r>
          <w:r>
            <w:fldChar w:fldCharType="separate"/>
          </w:r>
          <w:r>
            <w:rPr>
              <w:rFonts w:ascii="Times New Roman" w:hAnsi="Times New Roman" w:eastAsia="Times New Roman" w:cs="Times New Roman"/>
              <w:spacing w:val="11"/>
              <w:sz w:val="20"/>
              <w:szCs w:val="20"/>
            </w:rPr>
            <w:t>6</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施工期污染防治措施及论证</w:t>
          </w:r>
          <w:r>
            <w:rPr>
              <w:rFonts w:ascii="Times New Roman" w:hAnsi="Times New Roman" w:eastAsia="Times New Roman" w:cs="Times New Roman"/>
              <w:sz w:val="20"/>
              <w:szCs w:val="20"/>
            </w:rPr>
            <w:tab/>
          </w:r>
          <w:r>
            <w:rPr>
              <w:rFonts w:ascii="Calibri" w:hAnsi="Calibri" w:eastAsia="Calibri" w:cs="Calibri"/>
              <w:spacing w:val="9"/>
              <w:sz w:val="20"/>
              <w:szCs w:val="20"/>
            </w:rPr>
            <w:t>129</w:t>
          </w:r>
          <w:r>
            <w:rPr>
              <w:rFonts w:ascii="Calibri" w:hAnsi="Calibri" w:eastAsia="Calibri" w:cs="Calibri"/>
              <w:spacing w:val="9"/>
              <w:sz w:val="20"/>
              <w:szCs w:val="20"/>
            </w:rPr>
            <w:fldChar w:fldCharType="end"/>
          </w:r>
        </w:p>
        <w:p w14:paraId="47E1ABCB">
          <w:pPr>
            <w:tabs>
              <w:tab w:val="right" w:leader="dot" w:pos="9492"/>
            </w:tabs>
            <w:spacing w:before="65" w:line="228" w:lineRule="auto"/>
            <w:ind w:left="429"/>
            <w:rPr>
              <w:rFonts w:ascii="Calibri" w:hAnsi="Calibri" w:eastAsia="Calibri" w:cs="Calibri"/>
              <w:sz w:val="20"/>
              <w:szCs w:val="20"/>
            </w:rPr>
          </w:pPr>
          <w:r>
            <w:fldChar w:fldCharType="begin"/>
          </w:r>
          <w:r>
            <w:instrText xml:space="preserve"> HYPERLINK \l "_bookmark50" </w:instrText>
          </w:r>
          <w:r>
            <w:fldChar w:fldCharType="separate"/>
          </w:r>
          <w:r>
            <w:rPr>
              <w:rFonts w:ascii="Times New Roman" w:hAnsi="Times New Roman" w:eastAsia="Times New Roman" w:cs="Times New Roman"/>
              <w:spacing w:val="12"/>
              <w:sz w:val="20"/>
              <w:szCs w:val="20"/>
            </w:rPr>
            <w:t>6</w:t>
          </w:r>
          <w:r>
            <w:rPr>
              <w:rFonts w:ascii="Times New Roman" w:hAnsi="Times New Roman" w:eastAsia="Times New Roman" w:cs="Times New Roman"/>
              <w:spacing w:val="11"/>
              <w:sz w:val="20"/>
              <w:szCs w:val="20"/>
            </w:rPr>
            <w:t>.</w:t>
          </w:r>
          <w:r>
            <w:rPr>
              <w:rFonts w:ascii="Times New Roman" w:hAnsi="Times New Roman" w:eastAsia="Times New Roman" w:cs="Times New Roman"/>
              <w:spacing w:val="6"/>
              <w:sz w:val="20"/>
              <w:szCs w:val="20"/>
            </w:rPr>
            <w:t xml:space="preserve">2 </w:t>
          </w:r>
          <w:r>
            <w:rPr>
              <w:rFonts w:ascii="宋体" w:hAnsi="宋体" w:eastAsia="宋体" w:cs="宋体"/>
              <w:spacing w:val="6"/>
              <w:sz w:val="20"/>
              <w:szCs w:val="20"/>
            </w:rPr>
            <w:t>营运期污染防治措施</w:t>
          </w:r>
          <w:r>
            <w:rPr>
              <w:rFonts w:ascii="Times New Roman" w:hAnsi="Times New Roman" w:eastAsia="Times New Roman" w:cs="Times New Roman"/>
              <w:sz w:val="20"/>
              <w:szCs w:val="20"/>
            </w:rPr>
            <w:tab/>
          </w:r>
          <w:r>
            <w:rPr>
              <w:rFonts w:ascii="Calibri" w:hAnsi="Calibri" w:eastAsia="Calibri" w:cs="Calibri"/>
              <w:spacing w:val="6"/>
              <w:sz w:val="20"/>
              <w:szCs w:val="20"/>
            </w:rPr>
            <w:t>131</w:t>
          </w:r>
          <w:r>
            <w:rPr>
              <w:rFonts w:ascii="Calibri" w:hAnsi="Calibri" w:eastAsia="Calibri" w:cs="Calibri"/>
              <w:spacing w:val="6"/>
              <w:sz w:val="20"/>
              <w:szCs w:val="20"/>
            </w:rPr>
            <w:fldChar w:fldCharType="end"/>
          </w:r>
        </w:p>
        <w:p w14:paraId="3788535A">
          <w:pPr>
            <w:tabs>
              <w:tab w:val="right" w:leader="dot" w:pos="9492"/>
            </w:tabs>
            <w:spacing w:before="64" w:line="226" w:lineRule="auto"/>
            <w:ind w:left="429"/>
            <w:rPr>
              <w:rFonts w:ascii="Calibri" w:hAnsi="Calibri" w:eastAsia="Calibri" w:cs="Calibri"/>
              <w:sz w:val="20"/>
              <w:szCs w:val="20"/>
            </w:rPr>
          </w:pPr>
          <w:r>
            <w:fldChar w:fldCharType="begin"/>
          </w:r>
          <w:r>
            <w:instrText xml:space="preserve"> HYPERLINK \l "_bookmark51" </w:instrText>
          </w:r>
          <w:r>
            <w:fldChar w:fldCharType="separate"/>
          </w:r>
          <w:r>
            <w:rPr>
              <w:rFonts w:ascii="Times New Roman" w:hAnsi="Times New Roman" w:eastAsia="Times New Roman" w:cs="Times New Roman"/>
              <w:spacing w:val="13"/>
              <w:sz w:val="20"/>
              <w:szCs w:val="20"/>
            </w:rPr>
            <w:t>6</w:t>
          </w:r>
          <w:r>
            <w:rPr>
              <w:rFonts w:ascii="Times New Roman" w:hAnsi="Times New Roman" w:eastAsia="Times New Roman" w:cs="Times New Roman"/>
              <w:spacing w:val="9"/>
              <w:sz w:val="20"/>
              <w:szCs w:val="20"/>
            </w:rPr>
            <w:t xml:space="preserve">.3  </w:t>
          </w:r>
          <w:r>
            <w:rPr>
              <w:rFonts w:ascii="宋体" w:hAnsi="宋体" w:eastAsia="宋体" w:cs="宋体"/>
              <w:spacing w:val="9"/>
              <w:sz w:val="20"/>
              <w:szCs w:val="20"/>
            </w:rPr>
            <w:t>污染防治环保投资估算</w:t>
          </w:r>
          <w:r>
            <w:rPr>
              <w:rFonts w:ascii="Times New Roman" w:hAnsi="Times New Roman" w:eastAsia="Times New Roman" w:cs="Times New Roman"/>
              <w:sz w:val="20"/>
              <w:szCs w:val="20"/>
            </w:rPr>
            <w:tab/>
          </w:r>
          <w:r>
            <w:rPr>
              <w:rFonts w:ascii="Calibri" w:hAnsi="Calibri" w:eastAsia="Calibri" w:cs="Calibri"/>
              <w:spacing w:val="9"/>
              <w:sz w:val="20"/>
              <w:szCs w:val="20"/>
            </w:rPr>
            <w:t>150</w:t>
          </w:r>
          <w:r>
            <w:rPr>
              <w:rFonts w:ascii="Calibri" w:hAnsi="Calibri" w:eastAsia="Calibri" w:cs="Calibri"/>
              <w:spacing w:val="9"/>
              <w:sz w:val="20"/>
              <w:szCs w:val="20"/>
            </w:rPr>
            <w:fldChar w:fldCharType="end"/>
          </w:r>
        </w:p>
        <w:p w14:paraId="03F27DEA">
          <w:pPr>
            <w:tabs>
              <w:tab w:val="right" w:leader="dot" w:pos="9492"/>
            </w:tabs>
            <w:spacing w:before="67" w:line="228" w:lineRule="auto"/>
            <w:ind w:left="8"/>
            <w:rPr>
              <w:rFonts w:ascii="Calibri" w:hAnsi="Calibri" w:eastAsia="Calibri" w:cs="Calibri"/>
              <w:sz w:val="20"/>
              <w:szCs w:val="20"/>
            </w:rPr>
          </w:pPr>
          <w:r>
            <w:fldChar w:fldCharType="begin"/>
          </w:r>
          <w:r>
            <w:instrText xml:space="preserve"> HYPERLINK \l "_bookmark52" </w:instrText>
          </w:r>
          <w:r>
            <w:fldChar w:fldCharType="separate"/>
          </w:r>
          <w:r>
            <w:rPr>
              <w:rFonts w:ascii="Times New Roman" w:hAnsi="Times New Roman" w:eastAsia="Times New Roman" w:cs="Times New Roman"/>
              <w:spacing w:val="-17"/>
              <w:sz w:val="20"/>
              <w:szCs w:val="20"/>
            </w:rPr>
            <w:t>7</w:t>
          </w:r>
          <w:r>
            <w:rPr>
              <w:rFonts w:ascii="宋体" w:hAnsi="宋体" w:eastAsia="宋体" w:cs="宋体"/>
              <w:spacing w:val="-10"/>
              <w:sz w:val="20"/>
              <w:szCs w:val="20"/>
            </w:rPr>
            <w:t>、清洁生产</w:t>
          </w:r>
          <w:r>
            <w:rPr>
              <w:rFonts w:ascii="Times New Roman" w:hAnsi="Times New Roman" w:eastAsia="Times New Roman" w:cs="Times New Roman"/>
              <w:sz w:val="20"/>
              <w:szCs w:val="20"/>
            </w:rPr>
            <w:tab/>
          </w:r>
          <w:r>
            <w:rPr>
              <w:rFonts w:ascii="Calibri" w:hAnsi="Calibri" w:eastAsia="Calibri" w:cs="Calibri"/>
              <w:spacing w:val="-10"/>
              <w:sz w:val="20"/>
              <w:szCs w:val="20"/>
            </w:rPr>
            <w:t>152</w:t>
          </w:r>
          <w:r>
            <w:rPr>
              <w:rFonts w:ascii="Calibri" w:hAnsi="Calibri" w:eastAsia="Calibri" w:cs="Calibri"/>
              <w:spacing w:val="-10"/>
              <w:sz w:val="20"/>
              <w:szCs w:val="20"/>
            </w:rPr>
            <w:fldChar w:fldCharType="end"/>
          </w:r>
        </w:p>
        <w:p w14:paraId="08D521CC">
          <w:pPr>
            <w:tabs>
              <w:tab w:val="right" w:leader="dot" w:pos="9492"/>
            </w:tabs>
            <w:spacing w:before="65" w:line="228" w:lineRule="auto"/>
            <w:ind w:left="428"/>
            <w:rPr>
              <w:rFonts w:ascii="Calibri" w:hAnsi="Calibri" w:eastAsia="Calibri" w:cs="Calibri"/>
              <w:sz w:val="20"/>
              <w:szCs w:val="20"/>
            </w:rPr>
          </w:pPr>
          <w:r>
            <w:fldChar w:fldCharType="begin"/>
          </w:r>
          <w:r>
            <w:instrText xml:space="preserve"> HYPERLINK \l "_bookmark53" </w:instrText>
          </w:r>
          <w:r>
            <w:fldChar w:fldCharType="separate"/>
          </w:r>
          <w:r>
            <w:rPr>
              <w:rFonts w:ascii="Times New Roman" w:hAnsi="Times New Roman" w:eastAsia="Times New Roman" w:cs="Times New Roman"/>
              <w:spacing w:val="10"/>
              <w:sz w:val="20"/>
              <w:szCs w:val="20"/>
            </w:rPr>
            <w:t>7</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清洁生产的意义</w:t>
          </w:r>
          <w:r>
            <w:rPr>
              <w:rFonts w:ascii="Times New Roman" w:hAnsi="Times New Roman" w:eastAsia="Times New Roman" w:cs="Times New Roman"/>
              <w:sz w:val="20"/>
              <w:szCs w:val="20"/>
            </w:rPr>
            <w:tab/>
          </w:r>
          <w:r>
            <w:rPr>
              <w:rFonts w:ascii="Calibri" w:hAnsi="Calibri" w:eastAsia="Calibri" w:cs="Calibri"/>
              <w:spacing w:val="6"/>
              <w:sz w:val="20"/>
              <w:szCs w:val="20"/>
            </w:rPr>
            <w:t>152</w:t>
          </w:r>
          <w:r>
            <w:rPr>
              <w:rFonts w:ascii="Calibri" w:hAnsi="Calibri" w:eastAsia="Calibri" w:cs="Calibri"/>
              <w:spacing w:val="6"/>
              <w:sz w:val="20"/>
              <w:szCs w:val="20"/>
            </w:rPr>
            <w:fldChar w:fldCharType="end"/>
          </w:r>
        </w:p>
        <w:p w14:paraId="737E53E4">
          <w:pPr>
            <w:tabs>
              <w:tab w:val="right" w:leader="dot" w:pos="9492"/>
            </w:tabs>
            <w:spacing w:before="65" w:line="228" w:lineRule="auto"/>
            <w:ind w:left="428"/>
            <w:rPr>
              <w:rFonts w:ascii="Calibri" w:hAnsi="Calibri" w:eastAsia="Calibri" w:cs="Calibri"/>
              <w:sz w:val="20"/>
              <w:szCs w:val="20"/>
            </w:rPr>
          </w:pPr>
          <w:r>
            <w:fldChar w:fldCharType="begin"/>
          </w:r>
          <w:r>
            <w:instrText xml:space="preserve"> HYPERLINK \l "_bookmark54" </w:instrText>
          </w:r>
          <w:r>
            <w:fldChar w:fldCharType="separate"/>
          </w:r>
          <w:r>
            <w:rPr>
              <w:rFonts w:ascii="Times New Roman" w:hAnsi="Times New Roman" w:eastAsia="Times New Roman" w:cs="Times New Roman"/>
              <w:spacing w:val="6"/>
              <w:sz w:val="20"/>
              <w:szCs w:val="20"/>
            </w:rPr>
            <w:t xml:space="preserve">7.2  </w:t>
          </w:r>
          <w:r>
            <w:rPr>
              <w:rFonts w:ascii="宋体" w:hAnsi="宋体" w:eastAsia="宋体" w:cs="宋体"/>
              <w:spacing w:val="6"/>
              <w:sz w:val="20"/>
              <w:szCs w:val="20"/>
            </w:rPr>
            <w:t>清洁生产分析</w:t>
          </w:r>
          <w:r>
            <w:rPr>
              <w:rFonts w:ascii="Times New Roman" w:hAnsi="Times New Roman" w:eastAsia="Times New Roman" w:cs="Times New Roman"/>
              <w:sz w:val="20"/>
              <w:szCs w:val="20"/>
            </w:rPr>
            <w:tab/>
          </w:r>
          <w:r>
            <w:rPr>
              <w:rFonts w:ascii="Calibri" w:hAnsi="Calibri" w:eastAsia="Calibri" w:cs="Calibri"/>
              <w:spacing w:val="6"/>
              <w:sz w:val="20"/>
              <w:szCs w:val="20"/>
            </w:rPr>
            <w:t>152</w:t>
          </w:r>
          <w:r>
            <w:rPr>
              <w:rFonts w:ascii="Calibri" w:hAnsi="Calibri" w:eastAsia="Calibri" w:cs="Calibri"/>
              <w:spacing w:val="6"/>
              <w:sz w:val="20"/>
              <w:szCs w:val="20"/>
            </w:rPr>
            <w:fldChar w:fldCharType="end"/>
          </w:r>
        </w:p>
        <w:p w14:paraId="5065484A">
          <w:pPr>
            <w:tabs>
              <w:tab w:val="right" w:leader="dot" w:pos="9492"/>
            </w:tabs>
            <w:spacing w:before="66" w:line="226" w:lineRule="auto"/>
            <w:ind w:left="428"/>
            <w:rPr>
              <w:rFonts w:ascii="Calibri" w:hAnsi="Calibri" w:eastAsia="Calibri" w:cs="Calibri"/>
              <w:sz w:val="20"/>
              <w:szCs w:val="20"/>
            </w:rPr>
          </w:pPr>
          <w:r>
            <w:fldChar w:fldCharType="begin"/>
          </w:r>
          <w:r>
            <w:instrText xml:space="preserve"> HYPERLINK \l "_bookmark55" </w:instrText>
          </w:r>
          <w:r>
            <w:fldChar w:fldCharType="separate"/>
          </w:r>
          <w:r>
            <w:rPr>
              <w:rFonts w:ascii="Times New Roman" w:hAnsi="Times New Roman" w:eastAsia="Times New Roman" w:cs="Times New Roman"/>
              <w:spacing w:val="6"/>
              <w:sz w:val="20"/>
              <w:szCs w:val="20"/>
            </w:rPr>
            <w:t xml:space="preserve">7.3  </w:t>
          </w:r>
          <w:r>
            <w:rPr>
              <w:rFonts w:ascii="宋体" w:hAnsi="宋体" w:eastAsia="宋体" w:cs="宋体"/>
              <w:spacing w:val="6"/>
              <w:sz w:val="20"/>
              <w:szCs w:val="20"/>
            </w:rPr>
            <w:t>清洁生产评价</w:t>
          </w:r>
          <w:r>
            <w:rPr>
              <w:rFonts w:ascii="Times New Roman" w:hAnsi="Times New Roman" w:eastAsia="Times New Roman" w:cs="Times New Roman"/>
              <w:sz w:val="20"/>
              <w:szCs w:val="20"/>
            </w:rPr>
            <w:tab/>
          </w:r>
          <w:r>
            <w:rPr>
              <w:rFonts w:ascii="Calibri" w:hAnsi="Calibri" w:eastAsia="Calibri" w:cs="Calibri"/>
              <w:spacing w:val="6"/>
              <w:sz w:val="20"/>
              <w:szCs w:val="20"/>
            </w:rPr>
            <w:t>157</w:t>
          </w:r>
          <w:r>
            <w:rPr>
              <w:rFonts w:ascii="Calibri" w:hAnsi="Calibri" w:eastAsia="Calibri" w:cs="Calibri"/>
              <w:spacing w:val="6"/>
              <w:sz w:val="20"/>
              <w:szCs w:val="20"/>
            </w:rPr>
            <w:fldChar w:fldCharType="end"/>
          </w:r>
        </w:p>
        <w:p w14:paraId="58931F77">
          <w:pPr>
            <w:tabs>
              <w:tab w:val="right" w:leader="dot" w:pos="9492"/>
            </w:tabs>
            <w:spacing w:before="66" w:line="228" w:lineRule="auto"/>
            <w:ind w:left="428"/>
            <w:rPr>
              <w:rFonts w:ascii="Calibri" w:hAnsi="Calibri" w:eastAsia="Calibri" w:cs="Calibri"/>
              <w:sz w:val="20"/>
              <w:szCs w:val="20"/>
            </w:rPr>
          </w:pPr>
          <w:r>
            <w:fldChar w:fldCharType="begin"/>
          </w:r>
          <w:r>
            <w:instrText xml:space="preserve"> HYPERLINK \l "_bookmark56" </w:instrText>
          </w:r>
          <w:r>
            <w:fldChar w:fldCharType="separate"/>
          </w:r>
          <w:r>
            <w:rPr>
              <w:rFonts w:ascii="Times New Roman" w:hAnsi="Times New Roman" w:eastAsia="Times New Roman" w:cs="Times New Roman"/>
              <w:spacing w:val="15"/>
              <w:sz w:val="20"/>
              <w:szCs w:val="20"/>
            </w:rPr>
            <w:t>7</w:t>
          </w:r>
          <w:r>
            <w:rPr>
              <w:rFonts w:ascii="Times New Roman" w:hAnsi="Times New Roman" w:eastAsia="Times New Roman" w:cs="Times New Roman"/>
              <w:spacing w:val="9"/>
              <w:sz w:val="20"/>
              <w:szCs w:val="20"/>
            </w:rPr>
            <w:t xml:space="preserve">.4  </w:t>
          </w:r>
          <w:r>
            <w:rPr>
              <w:rFonts w:ascii="宋体" w:hAnsi="宋体" w:eastAsia="宋体" w:cs="宋体"/>
              <w:spacing w:val="9"/>
              <w:sz w:val="20"/>
              <w:szCs w:val="20"/>
            </w:rPr>
            <w:t>持续清洁生产计划建议</w:t>
          </w:r>
          <w:r>
            <w:rPr>
              <w:rFonts w:ascii="Times New Roman" w:hAnsi="Times New Roman" w:eastAsia="Times New Roman" w:cs="Times New Roman"/>
              <w:sz w:val="20"/>
              <w:szCs w:val="20"/>
            </w:rPr>
            <w:tab/>
          </w:r>
          <w:r>
            <w:rPr>
              <w:rFonts w:ascii="Calibri" w:hAnsi="Calibri" w:eastAsia="Calibri" w:cs="Calibri"/>
              <w:spacing w:val="9"/>
              <w:sz w:val="20"/>
              <w:szCs w:val="20"/>
            </w:rPr>
            <w:t>157</w:t>
          </w:r>
          <w:r>
            <w:rPr>
              <w:rFonts w:ascii="Calibri" w:hAnsi="Calibri" w:eastAsia="Calibri" w:cs="Calibri"/>
              <w:spacing w:val="9"/>
              <w:sz w:val="20"/>
              <w:szCs w:val="20"/>
            </w:rPr>
            <w:fldChar w:fldCharType="end"/>
          </w:r>
        </w:p>
        <w:p w14:paraId="1F2AF73E">
          <w:pPr>
            <w:tabs>
              <w:tab w:val="right" w:leader="dot" w:pos="9492"/>
            </w:tabs>
            <w:spacing w:before="65" w:line="228" w:lineRule="auto"/>
            <w:ind w:left="428"/>
            <w:rPr>
              <w:rFonts w:ascii="Calibri" w:hAnsi="Calibri" w:eastAsia="Calibri" w:cs="Calibri"/>
              <w:sz w:val="20"/>
              <w:szCs w:val="20"/>
            </w:rPr>
          </w:pPr>
          <w:r>
            <w:fldChar w:fldCharType="begin"/>
          </w:r>
          <w:r>
            <w:instrText xml:space="preserve"> HYPERLINK \l "_bookmark57" </w:instrText>
          </w:r>
          <w:r>
            <w:fldChar w:fldCharType="separate"/>
          </w:r>
          <w:r>
            <w:rPr>
              <w:rFonts w:ascii="Times New Roman" w:hAnsi="Times New Roman" w:eastAsia="Times New Roman" w:cs="Times New Roman"/>
              <w:spacing w:val="6"/>
              <w:sz w:val="20"/>
              <w:szCs w:val="20"/>
            </w:rPr>
            <w:t xml:space="preserve">7.5  </w:t>
          </w:r>
          <w:r>
            <w:rPr>
              <w:rFonts w:ascii="宋体" w:hAnsi="宋体" w:eastAsia="宋体" w:cs="宋体"/>
              <w:spacing w:val="6"/>
              <w:sz w:val="20"/>
              <w:szCs w:val="20"/>
            </w:rPr>
            <w:t>清洁生产结论</w:t>
          </w:r>
          <w:r>
            <w:rPr>
              <w:rFonts w:ascii="Times New Roman" w:hAnsi="Times New Roman" w:eastAsia="Times New Roman" w:cs="Times New Roman"/>
              <w:sz w:val="20"/>
              <w:szCs w:val="20"/>
            </w:rPr>
            <w:tab/>
          </w:r>
          <w:r>
            <w:rPr>
              <w:rFonts w:ascii="Calibri" w:hAnsi="Calibri" w:eastAsia="Calibri" w:cs="Calibri"/>
              <w:spacing w:val="6"/>
              <w:sz w:val="20"/>
              <w:szCs w:val="20"/>
            </w:rPr>
            <w:t>158</w:t>
          </w:r>
          <w:r>
            <w:rPr>
              <w:rFonts w:ascii="Calibri" w:hAnsi="Calibri" w:eastAsia="Calibri" w:cs="Calibri"/>
              <w:spacing w:val="6"/>
              <w:sz w:val="20"/>
              <w:szCs w:val="20"/>
            </w:rPr>
            <w:fldChar w:fldCharType="end"/>
          </w:r>
        </w:p>
        <w:p w14:paraId="4E5BC549">
          <w:pPr>
            <w:tabs>
              <w:tab w:val="right" w:leader="dot" w:pos="9492"/>
            </w:tabs>
            <w:spacing w:before="66" w:line="228" w:lineRule="auto"/>
            <w:ind w:left="13"/>
            <w:rPr>
              <w:rFonts w:ascii="Calibri" w:hAnsi="Calibri" w:eastAsia="Calibri" w:cs="Calibri"/>
              <w:sz w:val="20"/>
              <w:szCs w:val="20"/>
            </w:rPr>
          </w:pPr>
          <w:r>
            <w:fldChar w:fldCharType="begin"/>
          </w:r>
          <w:r>
            <w:instrText xml:space="preserve"> HYPERLINK \l "_bookmark58" </w:instrText>
          </w:r>
          <w:r>
            <w:fldChar w:fldCharType="separate"/>
          </w:r>
          <w:r>
            <w:rPr>
              <w:rFonts w:ascii="Times New Roman" w:hAnsi="Times New Roman" w:eastAsia="Times New Roman" w:cs="Times New Roman"/>
              <w:spacing w:val="11"/>
              <w:sz w:val="20"/>
              <w:szCs w:val="20"/>
            </w:rPr>
            <w:t>8</w:t>
          </w:r>
          <w:r>
            <w:rPr>
              <w:rFonts w:ascii="宋体" w:hAnsi="宋体" w:eastAsia="宋体" w:cs="宋体"/>
              <w:spacing w:val="7"/>
              <w:sz w:val="20"/>
              <w:szCs w:val="20"/>
            </w:rPr>
            <w:t>、环境风险分析</w:t>
          </w:r>
          <w:r>
            <w:rPr>
              <w:rFonts w:ascii="Times New Roman" w:hAnsi="Times New Roman" w:eastAsia="Times New Roman" w:cs="Times New Roman"/>
              <w:sz w:val="20"/>
              <w:szCs w:val="20"/>
            </w:rPr>
            <w:tab/>
          </w:r>
          <w:r>
            <w:rPr>
              <w:rFonts w:ascii="Calibri" w:hAnsi="Calibri" w:eastAsia="Calibri" w:cs="Calibri"/>
              <w:spacing w:val="7"/>
              <w:sz w:val="20"/>
              <w:szCs w:val="20"/>
            </w:rPr>
            <w:t>159</w:t>
          </w:r>
          <w:r>
            <w:rPr>
              <w:rFonts w:ascii="Calibri" w:hAnsi="Calibri" w:eastAsia="Calibri" w:cs="Calibri"/>
              <w:spacing w:val="7"/>
              <w:sz w:val="20"/>
              <w:szCs w:val="20"/>
            </w:rPr>
            <w:fldChar w:fldCharType="end"/>
          </w:r>
        </w:p>
        <w:p w14:paraId="31AC7177">
          <w:pPr>
            <w:tabs>
              <w:tab w:val="right" w:leader="dot" w:pos="9492"/>
            </w:tabs>
            <w:spacing w:before="65" w:line="226" w:lineRule="auto"/>
            <w:ind w:left="433"/>
            <w:rPr>
              <w:rFonts w:ascii="Calibri" w:hAnsi="Calibri" w:eastAsia="Calibri" w:cs="Calibri"/>
              <w:sz w:val="20"/>
              <w:szCs w:val="20"/>
            </w:rPr>
          </w:pPr>
          <w:r>
            <w:fldChar w:fldCharType="begin"/>
          </w:r>
          <w:r>
            <w:instrText xml:space="preserve"> HYPERLINK \l "_bookmark59" </w:instrText>
          </w:r>
          <w:r>
            <w:fldChar w:fldCharType="separate"/>
          </w:r>
          <w:r>
            <w:rPr>
              <w:rFonts w:ascii="Times New Roman" w:hAnsi="Times New Roman" w:eastAsia="Times New Roman" w:cs="Times New Roman"/>
              <w:spacing w:val="8"/>
              <w:sz w:val="20"/>
              <w:szCs w:val="20"/>
            </w:rPr>
            <w:t>8</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评价依据</w:t>
          </w:r>
          <w:r>
            <w:rPr>
              <w:rFonts w:ascii="Times New Roman" w:hAnsi="Times New Roman" w:eastAsia="Times New Roman" w:cs="Times New Roman"/>
              <w:sz w:val="20"/>
              <w:szCs w:val="20"/>
            </w:rPr>
            <w:tab/>
          </w:r>
          <w:r>
            <w:rPr>
              <w:rFonts w:ascii="Calibri" w:hAnsi="Calibri" w:eastAsia="Calibri" w:cs="Calibri"/>
              <w:spacing w:val="5"/>
              <w:sz w:val="20"/>
              <w:szCs w:val="20"/>
            </w:rPr>
            <w:t>159</w:t>
          </w:r>
          <w:r>
            <w:rPr>
              <w:rFonts w:ascii="Calibri" w:hAnsi="Calibri" w:eastAsia="Calibri" w:cs="Calibri"/>
              <w:spacing w:val="5"/>
              <w:sz w:val="20"/>
              <w:szCs w:val="20"/>
            </w:rPr>
            <w:fldChar w:fldCharType="end"/>
          </w:r>
        </w:p>
        <w:p w14:paraId="3F89A3F1">
          <w:pPr>
            <w:tabs>
              <w:tab w:val="right" w:leader="dot" w:pos="9492"/>
            </w:tabs>
            <w:spacing w:before="67" w:line="228" w:lineRule="auto"/>
            <w:ind w:left="433"/>
            <w:rPr>
              <w:rFonts w:ascii="Calibri" w:hAnsi="Calibri" w:eastAsia="Calibri" w:cs="Calibri"/>
              <w:sz w:val="20"/>
              <w:szCs w:val="20"/>
            </w:rPr>
          </w:pPr>
          <w:r>
            <w:fldChar w:fldCharType="begin"/>
          </w:r>
          <w:r>
            <w:instrText xml:space="preserve"> HYPERLINK \l "_bookmark60" </w:instrText>
          </w:r>
          <w:r>
            <w:fldChar w:fldCharType="separate"/>
          </w:r>
          <w:r>
            <w:rPr>
              <w:rFonts w:ascii="Times New Roman" w:hAnsi="Times New Roman" w:eastAsia="Times New Roman" w:cs="Times New Roman"/>
              <w:spacing w:val="10"/>
              <w:sz w:val="20"/>
              <w:szCs w:val="20"/>
            </w:rPr>
            <w:t>8</w:t>
          </w:r>
          <w:r>
            <w:rPr>
              <w:rFonts w:ascii="Times New Roman" w:hAnsi="Times New Roman" w:eastAsia="Times New Roman" w:cs="Times New Roman"/>
              <w:spacing w:val="9"/>
              <w:sz w:val="20"/>
              <w:szCs w:val="20"/>
            </w:rPr>
            <w:t>.</w:t>
          </w:r>
          <w:r>
            <w:rPr>
              <w:rFonts w:ascii="Times New Roman" w:hAnsi="Times New Roman" w:eastAsia="Times New Roman" w:cs="Times New Roman"/>
              <w:spacing w:val="5"/>
              <w:sz w:val="20"/>
              <w:szCs w:val="20"/>
            </w:rPr>
            <w:t xml:space="preserve">2  </w:t>
          </w:r>
          <w:r>
            <w:rPr>
              <w:rFonts w:ascii="宋体" w:hAnsi="宋体" w:eastAsia="宋体" w:cs="宋体"/>
              <w:spacing w:val="5"/>
              <w:sz w:val="20"/>
              <w:szCs w:val="20"/>
            </w:rPr>
            <w:t>环境风险识别</w:t>
          </w:r>
          <w:r>
            <w:rPr>
              <w:rFonts w:ascii="Times New Roman" w:hAnsi="Times New Roman" w:eastAsia="Times New Roman" w:cs="Times New Roman"/>
              <w:sz w:val="20"/>
              <w:szCs w:val="20"/>
            </w:rPr>
            <w:tab/>
          </w:r>
          <w:r>
            <w:rPr>
              <w:rFonts w:ascii="Calibri" w:hAnsi="Calibri" w:eastAsia="Calibri" w:cs="Calibri"/>
              <w:spacing w:val="5"/>
              <w:sz w:val="20"/>
              <w:szCs w:val="20"/>
            </w:rPr>
            <w:t>161</w:t>
          </w:r>
          <w:r>
            <w:rPr>
              <w:rFonts w:ascii="Calibri" w:hAnsi="Calibri" w:eastAsia="Calibri" w:cs="Calibri"/>
              <w:spacing w:val="5"/>
              <w:sz w:val="20"/>
              <w:szCs w:val="20"/>
            </w:rPr>
            <w:fldChar w:fldCharType="end"/>
          </w:r>
        </w:p>
        <w:p w14:paraId="1E6339DB">
          <w:pPr>
            <w:tabs>
              <w:tab w:val="right" w:leader="dot" w:pos="9492"/>
            </w:tabs>
            <w:spacing w:before="65" w:line="228" w:lineRule="auto"/>
            <w:ind w:left="433"/>
            <w:rPr>
              <w:rFonts w:ascii="Calibri" w:hAnsi="Calibri" w:eastAsia="Calibri" w:cs="Calibri"/>
              <w:sz w:val="20"/>
              <w:szCs w:val="20"/>
            </w:rPr>
          </w:pPr>
          <w:r>
            <w:fldChar w:fldCharType="begin"/>
          </w:r>
          <w:r>
            <w:instrText xml:space="preserve"> HYPERLINK \l "_bookmark61" </w:instrText>
          </w:r>
          <w:r>
            <w:fldChar w:fldCharType="separate"/>
          </w:r>
          <w:r>
            <w:rPr>
              <w:rFonts w:ascii="Times New Roman" w:hAnsi="Times New Roman" w:eastAsia="Times New Roman" w:cs="Times New Roman"/>
              <w:spacing w:val="6"/>
              <w:sz w:val="20"/>
              <w:szCs w:val="20"/>
            </w:rPr>
            <w:t xml:space="preserve">8.3  </w:t>
          </w:r>
          <w:r>
            <w:rPr>
              <w:rFonts w:ascii="宋体" w:hAnsi="宋体" w:eastAsia="宋体" w:cs="宋体"/>
              <w:spacing w:val="6"/>
              <w:sz w:val="20"/>
              <w:szCs w:val="20"/>
            </w:rPr>
            <w:t>环境风险影响分析</w:t>
          </w:r>
          <w:r>
            <w:rPr>
              <w:rFonts w:ascii="Times New Roman" w:hAnsi="Times New Roman" w:eastAsia="Times New Roman" w:cs="Times New Roman"/>
              <w:sz w:val="20"/>
              <w:szCs w:val="20"/>
            </w:rPr>
            <w:tab/>
          </w:r>
          <w:r>
            <w:rPr>
              <w:rFonts w:ascii="Calibri" w:hAnsi="Calibri" w:eastAsia="Calibri" w:cs="Calibri"/>
              <w:spacing w:val="6"/>
              <w:sz w:val="20"/>
              <w:szCs w:val="20"/>
            </w:rPr>
            <w:t>16</w:t>
          </w:r>
          <w:r>
            <w:rPr>
              <w:rFonts w:ascii="Calibri" w:hAnsi="Calibri" w:eastAsia="Calibri" w:cs="Calibri"/>
              <w:spacing w:val="5"/>
              <w:sz w:val="20"/>
              <w:szCs w:val="20"/>
            </w:rPr>
            <w:t>2</w:t>
          </w:r>
          <w:r>
            <w:rPr>
              <w:rFonts w:ascii="Calibri" w:hAnsi="Calibri" w:eastAsia="Calibri" w:cs="Calibri"/>
              <w:spacing w:val="5"/>
              <w:sz w:val="20"/>
              <w:szCs w:val="20"/>
            </w:rPr>
            <w:fldChar w:fldCharType="end"/>
          </w:r>
        </w:p>
        <w:p w14:paraId="5FAF5036">
          <w:pPr>
            <w:tabs>
              <w:tab w:val="right" w:leader="dot" w:pos="9492"/>
            </w:tabs>
            <w:spacing w:before="65" w:line="228" w:lineRule="auto"/>
            <w:ind w:left="433"/>
            <w:rPr>
              <w:rFonts w:ascii="Calibri" w:hAnsi="Calibri" w:eastAsia="Calibri" w:cs="Calibri"/>
              <w:sz w:val="20"/>
              <w:szCs w:val="20"/>
            </w:rPr>
          </w:pPr>
          <w:r>
            <w:fldChar w:fldCharType="begin"/>
          </w:r>
          <w:r>
            <w:instrText xml:space="preserve"> HYPERLINK \l "_bookmark62" </w:instrText>
          </w:r>
          <w:r>
            <w:fldChar w:fldCharType="separate"/>
          </w:r>
          <w:r>
            <w:rPr>
              <w:rFonts w:ascii="Times New Roman" w:hAnsi="Times New Roman" w:eastAsia="Times New Roman" w:cs="Times New Roman"/>
              <w:spacing w:val="11"/>
              <w:sz w:val="20"/>
              <w:szCs w:val="20"/>
            </w:rPr>
            <w:t>8</w:t>
          </w:r>
          <w:r>
            <w:rPr>
              <w:rFonts w:ascii="Times New Roman" w:hAnsi="Times New Roman" w:eastAsia="Times New Roman" w:cs="Times New Roman"/>
              <w:spacing w:val="9"/>
              <w:sz w:val="20"/>
              <w:szCs w:val="20"/>
            </w:rPr>
            <w:t xml:space="preserve">.4  </w:t>
          </w:r>
          <w:r>
            <w:rPr>
              <w:rFonts w:ascii="宋体" w:hAnsi="宋体" w:eastAsia="宋体" w:cs="宋体"/>
              <w:spacing w:val="9"/>
              <w:sz w:val="20"/>
              <w:szCs w:val="20"/>
            </w:rPr>
            <w:t>风险防范措施及应急预案</w:t>
          </w:r>
          <w:r>
            <w:rPr>
              <w:rFonts w:ascii="Times New Roman" w:hAnsi="Times New Roman" w:eastAsia="Times New Roman" w:cs="Times New Roman"/>
              <w:sz w:val="20"/>
              <w:szCs w:val="20"/>
            </w:rPr>
            <w:tab/>
          </w:r>
          <w:r>
            <w:rPr>
              <w:rFonts w:ascii="Calibri" w:hAnsi="Calibri" w:eastAsia="Calibri" w:cs="Calibri"/>
              <w:spacing w:val="9"/>
              <w:sz w:val="20"/>
              <w:szCs w:val="20"/>
            </w:rPr>
            <w:t>164</w:t>
          </w:r>
          <w:r>
            <w:rPr>
              <w:rFonts w:ascii="Calibri" w:hAnsi="Calibri" w:eastAsia="Calibri" w:cs="Calibri"/>
              <w:spacing w:val="9"/>
              <w:sz w:val="20"/>
              <w:szCs w:val="20"/>
            </w:rPr>
            <w:fldChar w:fldCharType="end"/>
          </w:r>
        </w:p>
        <w:p w14:paraId="63A516A9">
          <w:pPr>
            <w:tabs>
              <w:tab w:val="right" w:leader="dot" w:pos="9492"/>
            </w:tabs>
            <w:spacing w:before="65" w:line="228" w:lineRule="auto"/>
            <w:ind w:left="433"/>
            <w:rPr>
              <w:rFonts w:ascii="Calibri" w:hAnsi="Calibri" w:eastAsia="Calibri" w:cs="Calibri"/>
              <w:sz w:val="20"/>
              <w:szCs w:val="20"/>
            </w:rPr>
          </w:pPr>
          <w:r>
            <w:fldChar w:fldCharType="begin"/>
          </w:r>
          <w:r>
            <w:instrText xml:space="preserve"> HYPERLINK \l "_bookmark63" </w:instrText>
          </w:r>
          <w:r>
            <w:fldChar w:fldCharType="separate"/>
          </w:r>
          <w:r>
            <w:rPr>
              <w:rFonts w:ascii="Times New Roman" w:hAnsi="Times New Roman" w:eastAsia="Times New Roman" w:cs="Times New Roman"/>
              <w:spacing w:val="8"/>
              <w:sz w:val="20"/>
              <w:szCs w:val="20"/>
            </w:rPr>
            <w:t>8</w:t>
          </w:r>
          <w:r>
            <w:rPr>
              <w:rFonts w:ascii="Times New Roman" w:hAnsi="Times New Roman" w:eastAsia="Times New Roman" w:cs="Times New Roman"/>
              <w:spacing w:val="5"/>
              <w:sz w:val="20"/>
              <w:szCs w:val="20"/>
            </w:rPr>
            <w:t xml:space="preserve">.5  </w:t>
          </w:r>
          <w:r>
            <w:rPr>
              <w:rFonts w:ascii="宋体" w:hAnsi="宋体" w:eastAsia="宋体" w:cs="宋体"/>
              <w:spacing w:val="5"/>
              <w:sz w:val="20"/>
              <w:szCs w:val="20"/>
            </w:rPr>
            <w:t>分析结论</w:t>
          </w:r>
          <w:r>
            <w:rPr>
              <w:rFonts w:ascii="Times New Roman" w:hAnsi="Times New Roman" w:eastAsia="Times New Roman" w:cs="Times New Roman"/>
              <w:sz w:val="20"/>
              <w:szCs w:val="20"/>
            </w:rPr>
            <w:tab/>
          </w:r>
          <w:r>
            <w:rPr>
              <w:rFonts w:ascii="Calibri" w:hAnsi="Calibri" w:eastAsia="Calibri" w:cs="Calibri"/>
              <w:spacing w:val="5"/>
              <w:sz w:val="20"/>
              <w:szCs w:val="20"/>
            </w:rPr>
            <w:t>169</w:t>
          </w:r>
          <w:r>
            <w:rPr>
              <w:rFonts w:ascii="Calibri" w:hAnsi="Calibri" w:eastAsia="Calibri" w:cs="Calibri"/>
              <w:spacing w:val="5"/>
              <w:sz w:val="20"/>
              <w:szCs w:val="20"/>
            </w:rPr>
            <w:fldChar w:fldCharType="end"/>
          </w:r>
        </w:p>
        <w:p w14:paraId="4F633293">
          <w:pPr>
            <w:tabs>
              <w:tab w:val="right" w:leader="dot" w:pos="9492"/>
            </w:tabs>
            <w:spacing w:before="64" w:line="228" w:lineRule="auto"/>
            <w:ind w:left="9"/>
            <w:rPr>
              <w:rFonts w:ascii="Calibri" w:hAnsi="Calibri" w:eastAsia="Calibri" w:cs="Calibri"/>
              <w:sz w:val="20"/>
              <w:szCs w:val="20"/>
            </w:rPr>
          </w:pPr>
          <w:r>
            <w:fldChar w:fldCharType="begin"/>
          </w:r>
          <w:r>
            <w:instrText xml:space="preserve"> HYPERLINK \l "_bookmark64" </w:instrText>
          </w:r>
          <w:r>
            <w:fldChar w:fldCharType="separate"/>
          </w:r>
          <w:r>
            <w:rPr>
              <w:rFonts w:ascii="Times New Roman" w:hAnsi="Times New Roman" w:eastAsia="Times New Roman" w:cs="Times New Roman"/>
              <w:spacing w:val="8"/>
              <w:sz w:val="20"/>
              <w:szCs w:val="20"/>
            </w:rPr>
            <w:t>9</w:t>
          </w:r>
          <w:r>
            <w:rPr>
              <w:rFonts w:ascii="宋体" w:hAnsi="宋体" w:eastAsia="宋体" w:cs="宋体"/>
              <w:spacing w:val="8"/>
              <w:sz w:val="20"/>
              <w:szCs w:val="20"/>
            </w:rPr>
            <w:t>、环境管理与环境监测计划</w:t>
          </w:r>
          <w:r>
            <w:rPr>
              <w:rFonts w:ascii="Times New Roman" w:hAnsi="Times New Roman" w:eastAsia="Times New Roman" w:cs="Times New Roman"/>
              <w:sz w:val="20"/>
              <w:szCs w:val="20"/>
            </w:rPr>
            <w:tab/>
          </w:r>
          <w:r>
            <w:rPr>
              <w:rFonts w:ascii="Calibri" w:hAnsi="Calibri" w:eastAsia="Calibri" w:cs="Calibri"/>
              <w:spacing w:val="8"/>
              <w:sz w:val="20"/>
              <w:szCs w:val="20"/>
            </w:rPr>
            <w:t>17</w:t>
          </w:r>
          <w:r>
            <w:rPr>
              <w:rFonts w:ascii="Calibri" w:hAnsi="Calibri" w:eastAsia="Calibri" w:cs="Calibri"/>
              <w:spacing w:val="7"/>
              <w:sz w:val="20"/>
              <w:szCs w:val="20"/>
            </w:rPr>
            <w:t>1</w:t>
          </w:r>
          <w:r>
            <w:rPr>
              <w:rFonts w:ascii="Calibri" w:hAnsi="Calibri" w:eastAsia="Calibri" w:cs="Calibri"/>
              <w:spacing w:val="7"/>
              <w:sz w:val="20"/>
              <w:szCs w:val="20"/>
            </w:rPr>
            <w:fldChar w:fldCharType="end"/>
          </w:r>
        </w:p>
        <w:p w14:paraId="2B9821CC">
          <w:pPr>
            <w:tabs>
              <w:tab w:val="right" w:leader="dot" w:pos="9492"/>
            </w:tabs>
            <w:spacing w:before="65" w:line="228" w:lineRule="auto"/>
            <w:ind w:left="429"/>
            <w:rPr>
              <w:rFonts w:ascii="Calibri" w:hAnsi="Calibri" w:eastAsia="Calibri" w:cs="Calibri"/>
              <w:sz w:val="20"/>
              <w:szCs w:val="20"/>
            </w:rPr>
          </w:pPr>
          <w:r>
            <w:fldChar w:fldCharType="begin"/>
          </w:r>
          <w:r>
            <w:instrText xml:space="preserve"> HYPERLINK \l "_bookmark65" </w:instrText>
          </w:r>
          <w:r>
            <w:fldChar w:fldCharType="separate"/>
          </w:r>
          <w:r>
            <w:rPr>
              <w:rFonts w:ascii="Times New Roman" w:hAnsi="Times New Roman" w:eastAsia="Times New Roman" w:cs="Times New Roman"/>
              <w:spacing w:val="10"/>
              <w:sz w:val="20"/>
              <w:szCs w:val="20"/>
            </w:rPr>
            <w:t>9</w:t>
          </w:r>
          <w:r>
            <w:rPr>
              <w:rFonts w:ascii="Times New Roman" w:hAnsi="Times New Roman" w:eastAsia="Times New Roman" w:cs="Times New Roman"/>
              <w:spacing w:val="7"/>
              <w:sz w:val="20"/>
              <w:szCs w:val="20"/>
            </w:rPr>
            <w:t>.</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环境管理</w:t>
          </w:r>
          <w:r>
            <w:rPr>
              <w:rFonts w:ascii="Times New Roman" w:hAnsi="Times New Roman" w:eastAsia="Times New Roman" w:cs="Times New Roman"/>
              <w:sz w:val="20"/>
              <w:szCs w:val="20"/>
            </w:rPr>
            <w:tab/>
          </w:r>
          <w:r>
            <w:rPr>
              <w:rFonts w:ascii="Calibri" w:hAnsi="Calibri" w:eastAsia="Calibri" w:cs="Calibri"/>
              <w:spacing w:val="5"/>
              <w:sz w:val="20"/>
              <w:szCs w:val="20"/>
            </w:rPr>
            <w:t>171</w:t>
          </w:r>
          <w:r>
            <w:rPr>
              <w:rFonts w:ascii="Calibri" w:hAnsi="Calibri" w:eastAsia="Calibri" w:cs="Calibri"/>
              <w:spacing w:val="5"/>
              <w:sz w:val="20"/>
              <w:szCs w:val="20"/>
            </w:rPr>
            <w:fldChar w:fldCharType="end"/>
          </w:r>
        </w:p>
        <w:p w14:paraId="06555446">
          <w:pPr>
            <w:tabs>
              <w:tab w:val="right" w:leader="dot" w:pos="9492"/>
            </w:tabs>
            <w:spacing w:before="66" w:line="228" w:lineRule="auto"/>
            <w:ind w:left="429"/>
            <w:rPr>
              <w:rFonts w:ascii="Calibri" w:hAnsi="Calibri" w:eastAsia="Calibri" w:cs="Calibri"/>
              <w:sz w:val="20"/>
              <w:szCs w:val="20"/>
            </w:rPr>
          </w:pPr>
          <w:r>
            <w:fldChar w:fldCharType="begin"/>
          </w:r>
          <w:r>
            <w:instrText xml:space="preserve"> HYPERLINK \l "_bookmark66" </w:instrText>
          </w:r>
          <w:r>
            <w:fldChar w:fldCharType="separate"/>
          </w:r>
          <w:r>
            <w:rPr>
              <w:rFonts w:ascii="Times New Roman" w:hAnsi="Times New Roman" w:eastAsia="Times New Roman" w:cs="Times New Roman"/>
              <w:spacing w:val="10"/>
              <w:sz w:val="20"/>
              <w:szCs w:val="20"/>
            </w:rPr>
            <w:t>9</w:t>
          </w:r>
          <w:r>
            <w:rPr>
              <w:rFonts w:ascii="Times New Roman" w:hAnsi="Times New Roman" w:eastAsia="Times New Roman" w:cs="Times New Roman"/>
              <w:spacing w:val="7"/>
              <w:sz w:val="20"/>
              <w:szCs w:val="20"/>
            </w:rPr>
            <w:t>.</w:t>
          </w:r>
          <w:r>
            <w:rPr>
              <w:rFonts w:ascii="Times New Roman" w:hAnsi="Times New Roman" w:eastAsia="Times New Roman" w:cs="Times New Roman"/>
              <w:spacing w:val="5"/>
              <w:sz w:val="20"/>
              <w:szCs w:val="20"/>
            </w:rPr>
            <w:t xml:space="preserve">2  </w:t>
          </w:r>
          <w:r>
            <w:rPr>
              <w:rFonts w:ascii="宋体" w:hAnsi="宋体" w:eastAsia="宋体" w:cs="宋体"/>
              <w:spacing w:val="5"/>
              <w:sz w:val="20"/>
              <w:szCs w:val="20"/>
            </w:rPr>
            <w:t>环境监测</w:t>
          </w:r>
          <w:r>
            <w:rPr>
              <w:rFonts w:ascii="Times New Roman" w:hAnsi="Times New Roman" w:eastAsia="Times New Roman" w:cs="Times New Roman"/>
              <w:sz w:val="20"/>
              <w:szCs w:val="20"/>
            </w:rPr>
            <w:tab/>
          </w:r>
          <w:r>
            <w:rPr>
              <w:rFonts w:ascii="Calibri" w:hAnsi="Calibri" w:eastAsia="Calibri" w:cs="Calibri"/>
              <w:spacing w:val="5"/>
              <w:sz w:val="20"/>
              <w:szCs w:val="20"/>
            </w:rPr>
            <w:t>178</w:t>
          </w:r>
          <w:r>
            <w:rPr>
              <w:rFonts w:ascii="Calibri" w:hAnsi="Calibri" w:eastAsia="Calibri" w:cs="Calibri"/>
              <w:spacing w:val="5"/>
              <w:sz w:val="20"/>
              <w:szCs w:val="20"/>
            </w:rPr>
            <w:fldChar w:fldCharType="end"/>
          </w:r>
        </w:p>
        <w:p w14:paraId="128EA7A5">
          <w:pPr>
            <w:tabs>
              <w:tab w:val="right" w:leader="dot" w:pos="9492"/>
            </w:tabs>
            <w:spacing w:before="65" w:line="228" w:lineRule="auto"/>
            <w:ind w:left="25"/>
            <w:rPr>
              <w:rFonts w:ascii="Calibri" w:hAnsi="Calibri" w:eastAsia="Calibri" w:cs="Calibri"/>
              <w:sz w:val="20"/>
              <w:szCs w:val="20"/>
            </w:rPr>
          </w:pPr>
          <w:r>
            <w:fldChar w:fldCharType="begin"/>
          </w:r>
          <w:r>
            <w:instrText xml:space="preserve"> HYPERLINK \l "_bookmark67" </w:instrText>
          </w:r>
          <w:r>
            <w:fldChar w:fldCharType="separate"/>
          </w:r>
          <w:r>
            <w:rPr>
              <w:rFonts w:ascii="Times New Roman" w:hAnsi="Times New Roman" w:eastAsia="Times New Roman" w:cs="Times New Roman"/>
              <w:spacing w:val="11"/>
              <w:sz w:val="20"/>
              <w:szCs w:val="20"/>
            </w:rPr>
            <w:t>1</w:t>
          </w:r>
          <w:r>
            <w:rPr>
              <w:rFonts w:ascii="Times New Roman" w:hAnsi="Times New Roman" w:eastAsia="Times New Roman" w:cs="Times New Roman"/>
              <w:spacing w:val="6"/>
              <w:sz w:val="20"/>
              <w:szCs w:val="20"/>
            </w:rPr>
            <w:t>0</w:t>
          </w:r>
          <w:r>
            <w:rPr>
              <w:rFonts w:ascii="宋体" w:hAnsi="宋体" w:eastAsia="宋体" w:cs="宋体"/>
              <w:spacing w:val="6"/>
              <w:sz w:val="20"/>
              <w:szCs w:val="20"/>
            </w:rPr>
            <w:t>、环境经济损益分析</w:t>
          </w:r>
          <w:r>
            <w:rPr>
              <w:rFonts w:ascii="Times New Roman" w:hAnsi="Times New Roman" w:eastAsia="Times New Roman" w:cs="Times New Roman"/>
              <w:sz w:val="20"/>
              <w:szCs w:val="20"/>
            </w:rPr>
            <w:tab/>
          </w:r>
          <w:r>
            <w:rPr>
              <w:rFonts w:ascii="Calibri" w:hAnsi="Calibri" w:eastAsia="Calibri" w:cs="Calibri"/>
              <w:spacing w:val="6"/>
              <w:sz w:val="20"/>
              <w:szCs w:val="20"/>
            </w:rPr>
            <w:t>182</w:t>
          </w:r>
          <w:r>
            <w:rPr>
              <w:rFonts w:ascii="Calibri" w:hAnsi="Calibri" w:eastAsia="Calibri" w:cs="Calibri"/>
              <w:spacing w:val="6"/>
              <w:sz w:val="20"/>
              <w:szCs w:val="20"/>
            </w:rPr>
            <w:fldChar w:fldCharType="end"/>
          </w:r>
        </w:p>
        <w:p w14:paraId="05C230D9">
          <w:pPr>
            <w:tabs>
              <w:tab w:val="right" w:leader="dot" w:pos="9492"/>
            </w:tabs>
            <w:spacing w:before="65" w:line="226" w:lineRule="auto"/>
            <w:ind w:left="445"/>
            <w:rPr>
              <w:rFonts w:ascii="Calibri" w:hAnsi="Calibri" w:eastAsia="Calibri" w:cs="Calibri"/>
              <w:sz w:val="20"/>
              <w:szCs w:val="20"/>
            </w:rPr>
          </w:pPr>
          <w:r>
            <w:fldChar w:fldCharType="begin"/>
          </w:r>
          <w:r>
            <w:instrText xml:space="preserve"> HYPERLINK \l "_bookmark68" </w:instrText>
          </w:r>
          <w:r>
            <w:fldChar w:fldCharType="separate"/>
          </w:r>
          <w:r>
            <w:rPr>
              <w:rFonts w:ascii="Times New Roman" w:hAnsi="Times New Roman" w:eastAsia="Times New Roman" w:cs="Times New Roman"/>
              <w:spacing w:val="8"/>
              <w:sz w:val="20"/>
              <w:szCs w:val="20"/>
            </w:rPr>
            <w:t>10</w:t>
          </w:r>
          <w:r>
            <w:rPr>
              <w:rFonts w:ascii="Times New Roman" w:hAnsi="Times New Roman" w:eastAsia="Times New Roman" w:cs="Times New Roman"/>
              <w:spacing w:val="7"/>
              <w:sz w:val="20"/>
              <w:szCs w:val="20"/>
            </w:rPr>
            <w:t>.</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环保投资估算</w:t>
          </w:r>
          <w:r>
            <w:rPr>
              <w:rFonts w:ascii="Times New Roman" w:hAnsi="Times New Roman" w:eastAsia="Times New Roman" w:cs="Times New Roman"/>
              <w:sz w:val="20"/>
              <w:szCs w:val="20"/>
            </w:rPr>
            <w:tab/>
          </w:r>
          <w:r>
            <w:rPr>
              <w:rFonts w:ascii="Calibri" w:hAnsi="Calibri" w:eastAsia="Calibri" w:cs="Calibri"/>
              <w:spacing w:val="4"/>
              <w:sz w:val="20"/>
              <w:szCs w:val="20"/>
            </w:rPr>
            <w:t>182</w:t>
          </w:r>
          <w:r>
            <w:rPr>
              <w:rFonts w:ascii="Calibri" w:hAnsi="Calibri" w:eastAsia="Calibri" w:cs="Calibri"/>
              <w:spacing w:val="4"/>
              <w:sz w:val="20"/>
              <w:szCs w:val="20"/>
            </w:rPr>
            <w:fldChar w:fldCharType="end"/>
          </w:r>
        </w:p>
        <w:p w14:paraId="05D8A863">
          <w:pPr>
            <w:tabs>
              <w:tab w:val="right" w:leader="dot" w:pos="9492"/>
            </w:tabs>
            <w:spacing w:before="67" w:line="228" w:lineRule="auto"/>
            <w:ind w:left="445"/>
            <w:rPr>
              <w:rFonts w:ascii="Calibri" w:hAnsi="Calibri" w:eastAsia="Calibri" w:cs="Calibri"/>
              <w:sz w:val="20"/>
              <w:szCs w:val="20"/>
            </w:rPr>
          </w:pPr>
          <w:r>
            <w:fldChar w:fldCharType="begin"/>
          </w:r>
          <w:r>
            <w:instrText xml:space="preserve"> HYPERLINK \l "_bookmark69" </w:instrText>
          </w:r>
          <w:r>
            <w:fldChar w:fldCharType="separate"/>
          </w:r>
          <w:r>
            <w:rPr>
              <w:rFonts w:ascii="Times New Roman" w:hAnsi="Times New Roman" w:eastAsia="Times New Roman" w:cs="Times New Roman"/>
              <w:spacing w:val="11"/>
              <w:sz w:val="20"/>
              <w:szCs w:val="20"/>
            </w:rPr>
            <w:t>1</w:t>
          </w:r>
          <w:r>
            <w:rPr>
              <w:rFonts w:ascii="Times New Roman" w:hAnsi="Times New Roman" w:eastAsia="Times New Roman" w:cs="Times New Roman"/>
              <w:spacing w:val="8"/>
              <w:sz w:val="20"/>
              <w:szCs w:val="20"/>
            </w:rPr>
            <w:t xml:space="preserve">0.2  </w:t>
          </w:r>
          <w:r>
            <w:rPr>
              <w:rFonts w:ascii="宋体" w:hAnsi="宋体" w:eastAsia="宋体" w:cs="宋体"/>
              <w:spacing w:val="8"/>
              <w:sz w:val="20"/>
              <w:szCs w:val="20"/>
            </w:rPr>
            <w:t>环境影响经济损失分析</w:t>
          </w:r>
          <w:r>
            <w:rPr>
              <w:rFonts w:ascii="Times New Roman" w:hAnsi="Times New Roman" w:eastAsia="Times New Roman" w:cs="Times New Roman"/>
              <w:sz w:val="20"/>
              <w:szCs w:val="20"/>
            </w:rPr>
            <w:tab/>
          </w:r>
          <w:r>
            <w:rPr>
              <w:rFonts w:ascii="Calibri" w:hAnsi="Calibri" w:eastAsia="Calibri" w:cs="Calibri"/>
              <w:spacing w:val="8"/>
              <w:sz w:val="20"/>
              <w:szCs w:val="20"/>
            </w:rPr>
            <w:t>182</w:t>
          </w:r>
          <w:r>
            <w:rPr>
              <w:rFonts w:ascii="Calibri" w:hAnsi="Calibri" w:eastAsia="Calibri" w:cs="Calibri"/>
              <w:spacing w:val="8"/>
              <w:sz w:val="20"/>
              <w:szCs w:val="20"/>
            </w:rPr>
            <w:fldChar w:fldCharType="end"/>
          </w:r>
        </w:p>
        <w:p w14:paraId="63C0903D">
          <w:pPr>
            <w:tabs>
              <w:tab w:val="right" w:leader="dot" w:pos="9492"/>
            </w:tabs>
            <w:spacing w:before="65" w:line="228" w:lineRule="auto"/>
            <w:ind w:left="445"/>
            <w:rPr>
              <w:rFonts w:ascii="Calibri" w:hAnsi="Calibri" w:eastAsia="Calibri" w:cs="Calibri"/>
              <w:sz w:val="20"/>
              <w:szCs w:val="20"/>
            </w:rPr>
          </w:pPr>
          <w:r>
            <w:fldChar w:fldCharType="begin"/>
          </w:r>
          <w:r>
            <w:instrText xml:space="preserve"> HYPERLINK \l "_bookmark70" </w:instrText>
          </w:r>
          <w:r>
            <w:fldChar w:fldCharType="separate"/>
          </w:r>
          <w:r>
            <w:rPr>
              <w:rFonts w:ascii="Times New Roman" w:hAnsi="Times New Roman" w:eastAsia="Times New Roman" w:cs="Times New Roman"/>
              <w:spacing w:val="8"/>
              <w:sz w:val="20"/>
              <w:szCs w:val="20"/>
            </w:rPr>
            <w:t>10</w:t>
          </w:r>
          <w:r>
            <w:rPr>
              <w:rFonts w:ascii="Times New Roman" w:hAnsi="Times New Roman" w:eastAsia="Times New Roman" w:cs="Times New Roman"/>
              <w:spacing w:val="7"/>
              <w:sz w:val="20"/>
              <w:szCs w:val="20"/>
            </w:rPr>
            <w:t>.</w:t>
          </w:r>
          <w:r>
            <w:rPr>
              <w:rFonts w:ascii="Times New Roman" w:hAnsi="Times New Roman" w:eastAsia="Times New Roman" w:cs="Times New Roman"/>
              <w:spacing w:val="4"/>
              <w:sz w:val="20"/>
              <w:szCs w:val="20"/>
            </w:rPr>
            <w:t xml:space="preserve">3  </w:t>
          </w:r>
          <w:r>
            <w:rPr>
              <w:rFonts w:ascii="宋体" w:hAnsi="宋体" w:eastAsia="宋体" w:cs="宋体"/>
              <w:spacing w:val="4"/>
              <w:sz w:val="20"/>
              <w:szCs w:val="20"/>
            </w:rPr>
            <w:t>经济效益分析</w:t>
          </w:r>
          <w:r>
            <w:rPr>
              <w:rFonts w:ascii="Times New Roman" w:hAnsi="Times New Roman" w:eastAsia="Times New Roman" w:cs="Times New Roman"/>
              <w:sz w:val="20"/>
              <w:szCs w:val="20"/>
            </w:rPr>
            <w:tab/>
          </w:r>
          <w:r>
            <w:rPr>
              <w:rFonts w:ascii="Calibri" w:hAnsi="Calibri" w:eastAsia="Calibri" w:cs="Calibri"/>
              <w:spacing w:val="4"/>
              <w:sz w:val="20"/>
              <w:szCs w:val="20"/>
            </w:rPr>
            <w:t>183</w:t>
          </w:r>
          <w:r>
            <w:rPr>
              <w:rFonts w:ascii="Calibri" w:hAnsi="Calibri" w:eastAsia="Calibri" w:cs="Calibri"/>
              <w:spacing w:val="4"/>
              <w:sz w:val="20"/>
              <w:szCs w:val="20"/>
            </w:rPr>
            <w:fldChar w:fldCharType="end"/>
          </w:r>
        </w:p>
        <w:p w14:paraId="6D6A6FCA">
          <w:pPr>
            <w:tabs>
              <w:tab w:val="right" w:leader="dot" w:pos="9492"/>
            </w:tabs>
            <w:spacing w:before="65" w:line="228" w:lineRule="auto"/>
            <w:ind w:left="445"/>
            <w:rPr>
              <w:rFonts w:ascii="Calibri" w:hAnsi="Calibri" w:eastAsia="Calibri" w:cs="Calibri"/>
              <w:sz w:val="20"/>
              <w:szCs w:val="20"/>
            </w:rPr>
          </w:pPr>
          <w:r>
            <w:fldChar w:fldCharType="begin"/>
          </w:r>
          <w:r>
            <w:instrText xml:space="preserve"> HYPERLINK \l "_bookmark71" </w:instrText>
          </w:r>
          <w:r>
            <w:fldChar w:fldCharType="separate"/>
          </w:r>
          <w:r>
            <w:rPr>
              <w:rFonts w:ascii="Times New Roman" w:hAnsi="Times New Roman" w:eastAsia="Times New Roman" w:cs="Times New Roman"/>
              <w:spacing w:val="8"/>
              <w:sz w:val="20"/>
              <w:szCs w:val="20"/>
            </w:rPr>
            <w:t>10</w:t>
          </w:r>
          <w:r>
            <w:rPr>
              <w:rFonts w:ascii="Times New Roman" w:hAnsi="Times New Roman" w:eastAsia="Times New Roman" w:cs="Times New Roman"/>
              <w:spacing w:val="7"/>
              <w:sz w:val="20"/>
              <w:szCs w:val="20"/>
            </w:rPr>
            <w:t>.</w:t>
          </w:r>
          <w:r>
            <w:rPr>
              <w:rFonts w:ascii="Times New Roman" w:hAnsi="Times New Roman" w:eastAsia="Times New Roman" w:cs="Times New Roman"/>
              <w:spacing w:val="4"/>
              <w:sz w:val="20"/>
              <w:szCs w:val="20"/>
            </w:rPr>
            <w:t xml:space="preserve">4  </w:t>
          </w:r>
          <w:r>
            <w:rPr>
              <w:rFonts w:ascii="宋体" w:hAnsi="宋体" w:eastAsia="宋体" w:cs="宋体"/>
              <w:spacing w:val="4"/>
              <w:sz w:val="20"/>
              <w:szCs w:val="20"/>
            </w:rPr>
            <w:t>环境效益分析</w:t>
          </w:r>
          <w:r>
            <w:rPr>
              <w:rFonts w:ascii="Times New Roman" w:hAnsi="Times New Roman" w:eastAsia="Times New Roman" w:cs="Times New Roman"/>
              <w:sz w:val="20"/>
              <w:szCs w:val="20"/>
            </w:rPr>
            <w:tab/>
          </w:r>
          <w:r>
            <w:rPr>
              <w:rFonts w:ascii="Calibri" w:hAnsi="Calibri" w:eastAsia="Calibri" w:cs="Calibri"/>
              <w:spacing w:val="4"/>
              <w:sz w:val="20"/>
              <w:szCs w:val="20"/>
            </w:rPr>
            <w:t>183</w:t>
          </w:r>
          <w:r>
            <w:rPr>
              <w:rFonts w:ascii="Calibri" w:hAnsi="Calibri" w:eastAsia="Calibri" w:cs="Calibri"/>
              <w:spacing w:val="4"/>
              <w:sz w:val="20"/>
              <w:szCs w:val="20"/>
            </w:rPr>
            <w:fldChar w:fldCharType="end"/>
          </w:r>
        </w:p>
        <w:p w14:paraId="274F8D59">
          <w:pPr>
            <w:tabs>
              <w:tab w:val="right" w:leader="dot" w:pos="9492"/>
            </w:tabs>
            <w:spacing w:before="65" w:line="227" w:lineRule="auto"/>
            <w:ind w:left="445"/>
            <w:rPr>
              <w:rFonts w:ascii="Calibri" w:hAnsi="Calibri" w:eastAsia="Calibri" w:cs="Calibri"/>
              <w:sz w:val="20"/>
              <w:szCs w:val="20"/>
            </w:rPr>
          </w:pPr>
          <w:r>
            <w:fldChar w:fldCharType="begin"/>
          </w:r>
          <w:r>
            <w:instrText xml:space="preserve"> HYPERLINK \l "_bookmark72" </w:instrText>
          </w:r>
          <w:r>
            <w:fldChar w:fldCharType="separate"/>
          </w:r>
          <w:r>
            <w:rPr>
              <w:rFonts w:ascii="Times New Roman" w:hAnsi="Times New Roman" w:eastAsia="Times New Roman" w:cs="Times New Roman"/>
              <w:spacing w:val="8"/>
              <w:sz w:val="20"/>
              <w:szCs w:val="20"/>
            </w:rPr>
            <w:t>10</w:t>
          </w:r>
          <w:r>
            <w:rPr>
              <w:rFonts w:ascii="Times New Roman" w:hAnsi="Times New Roman" w:eastAsia="Times New Roman" w:cs="Times New Roman"/>
              <w:spacing w:val="7"/>
              <w:sz w:val="20"/>
              <w:szCs w:val="20"/>
            </w:rPr>
            <w:t>.</w:t>
          </w:r>
          <w:r>
            <w:rPr>
              <w:rFonts w:ascii="Times New Roman" w:hAnsi="Times New Roman" w:eastAsia="Times New Roman" w:cs="Times New Roman"/>
              <w:spacing w:val="4"/>
              <w:sz w:val="20"/>
              <w:szCs w:val="20"/>
            </w:rPr>
            <w:t xml:space="preserve">5  </w:t>
          </w:r>
          <w:r>
            <w:rPr>
              <w:rFonts w:ascii="宋体" w:hAnsi="宋体" w:eastAsia="宋体" w:cs="宋体"/>
              <w:spacing w:val="4"/>
              <w:sz w:val="20"/>
              <w:szCs w:val="20"/>
            </w:rPr>
            <w:t>社会效益分析</w:t>
          </w:r>
          <w:r>
            <w:rPr>
              <w:rFonts w:ascii="Times New Roman" w:hAnsi="Times New Roman" w:eastAsia="Times New Roman" w:cs="Times New Roman"/>
              <w:sz w:val="20"/>
              <w:szCs w:val="20"/>
            </w:rPr>
            <w:tab/>
          </w:r>
          <w:r>
            <w:rPr>
              <w:rFonts w:ascii="Calibri" w:hAnsi="Calibri" w:eastAsia="Calibri" w:cs="Calibri"/>
              <w:spacing w:val="4"/>
              <w:sz w:val="20"/>
              <w:szCs w:val="20"/>
            </w:rPr>
            <w:t>184</w:t>
          </w:r>
          <w:r>
            <w:rPr>
              <w:rFonts w:ascii="Calibri" w:hAnsi="Calibri" w:eastAsia="Calibri" w:cs="Calibri"/>
              <w:spacing w:val="4"/>
              <w:sz w:val="20"/>
              <w:szCs w:val="20"/>
            </w:rPr>
            <w:fldChar w:fldCharType="end"/>
          </w:r>
        </w:p>
        <w:p w14:paraId="31EE57A4">
          <w:pPr>
            <w:tabs>
              <w:tab w:val="right" w:leader="dot" w:pos="9492"/>
            </w:tabs>
            <w:spacing w:before="66" w:line="228" w:lineRule="auto"/>
            <w:ind w:left="445"/>
            <w:rPr>
              <w:rFonts w:ascii="Calibri" w:hAnsi="Calibri" w:eastAsia="Calibri" w:cs="Calibri"/>
              <w:sz w:val="20"/>
              <w:szCs w:val="20"/>
            </w:rPr>
          </w:pPr>
          <w:r>
            <w:fldChar w:fldCharType="begin"/>
          </w:r>
          <w:r>
            <w:instrText xml:space="preserve"> HYPERLINK \l "_bookmark73" </w:instrText>
          </w:r>
          <w:r>
            <w:fldChar w:fldCharType="separate"/>
          </w:r>
          <w:r>
            <w:rPr>
              <w:rFonts w:ascii="Times New Roman" w:hAnsi="Times New Roman" w:eastAsia="Times New Roman" w:cs="Times New Roman"/>
              <w:spacing w:val="7"/>
              <w:sz w:val="20"/>
              <w:szCs w:val="20"/>
            </w:rPr>
            <w:t>1</w:t>
          </w:r>
          <w:r>
            <w:rPr>
              <w:rFonts w:ascii="Times New Roman" w:hAnsi="Times New Roman" w:eastAsia="Times New Roman" w:cs="Times New Roman"/>
              <w:spacing w:val="4"/>
              <w:sz w:val="20"/>
              <w:szCs w:val="20"/>
            </w:rPr>
            <w:t xml:space="preserve">0.6  </w:t>
          </w:r>
          <w:r>
            <w:rPr>
              <w:rFonts w:ascii="宋体" w:hAnsi="宋体" w:eastAsia="宋体" w:cs="宋体"/>
              <w:spacing w:val="4"/>
              <w:sz w:val="20"/>
              <w:szCs w:val="20"/>
            </w:rPr>
            <w:t>生态效益</w:t>
          </w:r>
          <w:r>
            <w:rPr>
              <w:rFonts w:ascii="Times New Roman" w:hAnsi="Times New Roman" w:eastAsia="Times New Roman" w:cs="Times New Roman"/>
              <w:sz w:val="20"/>
              <w:szCs w:val="20"/>
            </w:rPr>
            <w:tab/>
          </w:r>
          <w:r>
            <w:rPr>
              <w:rFonts w:ascii="Calibri" w:hAnsi="Calibri" w:eastAsia="Calibri" w:cs="Calibri"/>
              <w:spacing w:val="4"/>
              <w:sz w:val="20"/>
              <w:szCs w:val="20"/>
            </w:rPr>
            <w:t>184</w:t>
          </w:r>
          <w:r>
            <w:rPr>
              <w:rFonts w:ascii="Calibri" w:hAnsi="Calibri" w:eastAsia="Calibri" w:cs="Calibri"/>
              <w:spacing w:val="4"/>
              <w:sz w:val="20"/>
              <w:szCs w:val="20"/>
            </w:rPr>
            <w:fldChar w:fldCharType="end"/>
          </w:r>
        </w:p>
        <w:p w14:paraId="1FA4ECEC">
          <w:pPr>
            <w:tabs>
              <w:tab w:val="right" w:leader="dot" w:pos="9492"/>
            </w:tabs>
            <w:spacing w:before="65" w:line="228" w:lineRule="auto"/>
            <w:ind w:left="445"/>
            <w:rPr>
              <w:rFonts w:ascii="Calibri" w:hAnsi="Calibri" w:eastAsia="Calibri" w:cs="Calibri"/>
              <w:sz w:val="20"/>
              <w:szCs w:val="20"/>
            </w:rPr>
          </w:pPr>
          <w:r>
            <w:fldChar w:fldCharType="begin"/>
          </w:r>
          <w:r>
            <w:instrText xml:space="preserve"> HYPERLINK \l "_bookmark74" </w:instrText>
          </w:r>
          <w:r>
            <w:fldChar w:fldCharType="separate"/>
          </w:r>
          <w:r>
            <w:rPr>
              <w:rFonts w:ascii="Times New Roman" w:hAnsi="Times New Roman" w:eastAsia="Times New Roman" w:cs="Times New Roman"/>
              <w:spacing w:val="7"/>
              <w:sz w:val="20"/>
              <w:szCs w:val="20"/>
            </w:rPr>
            <w:t>1</w:t>
          </w:r>
          <w:r>
            <w:rPr>
              <w:rFonts w:ascii="Times New Roman" w:hAnsi="Times New Roman" w:eastAsia="Times New Roman" w:cs="Times New Roman"/>
              <w:spacing w:val="4"/>
              <w:sz w:val="20"/>
              <w:szCs w:val="20"/>
            </w:rPr>
            <w:t xml:space="preserve">0.7  </w:t>
          </w:r>
          <w:r>
            <w:rPr>
              <w:rFonts w:ascii="宋体" w:hAnsi="宋体" w:eastAsia="宋体" w:cs="宋体"/>
              <w:spacing w:val="4"/>
              <w:sz w:val="20"/>
              <w:szCs w:val="20"/>
            </w:rPr>
            <w:t>分析结论</w:t>
          </w:r>
          <w:r>
            <w:rPr>
              <w:rFonts w:ascii="Times New Roman" w:hAnsi="Times New Roman" w:eastAsia="Times New Roman" w:cs="Times New Roman"/>
              <w:sz w:val="20"/>
              <w:szCs w:val="20"/>
            </w:rPr>
            <w:tab/>
          </w:r>
          <w:r>
            <w:rPr>
              <w:rFonts w:ascii="Calibri" w:hAnsi="Calibri" w:eastAsia="Calibri" w:cs="Calibri"/>
              <w:spacing w:val="4"/>
              <w:sz w:val="20"/>
              <w:szCs w:val="20"/>
            </w:rPr>
            <w:t>184</w:t>
          </w:r>
          <w:r>
            <w:rPr>
              <w:rFonts w:ascii="Calibri" w:hAnsi="Calibri" w:eastAsia="Calibri" w:cs="Calibri"/>
              <w:spacing w:val="4"/>
              <w:sz w:val="20"/>
              <w:szCs w:val="20"/>
            </w:rPr>
            <w:fldChar w:fldCharType="end"/>
          </w:r>
        </w:p>
        <w:p w14:paraId="1521D202">
          <w:pPr>
            <w:tabs>
              <w:tab w:val="right" w:leader="dot" w:pos="9492"/>
            </w:tabs>
            <w:spacing w:before="65" w:line="226" w:lineRule="auto"/>
            <w:ind w:left="25"/>
            <w:rPr>
              <w:rFonts w:ascii="Calibri" w:hAnsi="Calibri" w:eastAsia="Calibri" w:cs="Calibri"/>
              <w:sz w:val="20"/>
              <w:szCs w:val="20"/>
            </w:rPr>
          </w:pPr>
          <w:r>
            <w:fldChar w:fldCharType="begin"/>
          </w:r>
          <w:r>
            <w:instrText xml:space="preserve"> HYPERLINK \l "_bookmark75" </w:instrText>
          </w:r>
          <w:r>
            <w:fldChar w:fldCharType="separate"/>
          </w:r>
          <w:r>
            <w:rPr>
              <w:rFonts w:ascii="Times New Roman" w:hAnsi="Times New Roman" w:eastAsia="Times New Roman" w:cs="Times New Roman"/>
              <w:spacing w:val="9"/>
              <w:sz w:val="20"/>
              <w:szCs w:val="20"/>
            </w:rPr>
            <w:t>1</w:t>
          </w:r>
          <w:r>
            <w:rPr>
              <w:rFonts w:ascii="Times New Roman" w:hAnsi="Times New Roman" w:eastAsia="Times New Roman" w:cs="Times New Roman"/>
              <w:spacing w:val="6"/>
              <w:sz w:val="20"/>
              <w:szCs w:val="20"/>
            </w:rPr>
            <w:t>1</w:t>
          </w:r>
          <w:r>
            <w:rPr>
              <w:rFonts w:ascii="宋体" w:hAnsi="宋体" w:eastAsia="宋体" w:cs="宋体"/>
              <w:spacing w:val="6"/>
              <w:sz w:val="20"/>
              <w:szCs w:val="20"/>
            </w:rPr>
            <w:t>、评价结论与建议</w:t>
          </w:r>
          <w:r>
            <w:rPr>
              <w:rFonts w:ascii="Times New Roman" w:hAnsi="Times New Roman" w:eastAsia="Times New Roman" w:cs="Times New Roman"/>
              <w:sz w:val="20"/>
              <w:szCs w:val="20"/>
            </w:rPr>
            <w:tab/>
          </w:r>
          <w:r>
            <w:rPr>
              <w:rFonts w:ascii="Calibri" w:hAnsi="Calibri" w:eastAsia="Calibri" w:cs="Calibri"/>
              <w:spacing w:val="6"/>
              <w:sz w:val="20"/>
              <w:szCs w:val="20"/>
            </w:rPr>
            <w:t>185</w:t>
          </w:r>
          <w:r>
            <w:rPr>
              <w:rFonts w:ascii="Calibri" w:hAnsi="Calibri" w:eastAsia="Calibri" w:cs="Calibri"/>
              <w:spacing w:val="6"/>
              <w:sz w:val="20"/>
              <w:szCs w:val="20"/>
            </w:rPr>
            <w:fldChar w:fldCharType="end"/>
          </w:r>
        </w:p>
        <w:p w14:paraId="4D825A03">
          <w:pPr>
            <w:tabs>
              <w:tab w:val="right" w:leader="dot" w:pos="9492"/>
            </w:tabs>
            <w:spacing w:before="67" w:line="226" w:lineRule="auto"/>
            <w:ind w:left="445"/>
            <w:rPr>
              <w:rFonts w:ascii="Calibri" w:hAnsi="Calibri" w:eastAsia="Calibri" w:cs="Calibri"/>
              <w:sz w:val="20"/>
              <w:szCs w:val="20"/>
            </w:rPr>
          </w:pPr>
          <w:r>
            <w:fldChar w:fldCharType="begin"/>
          </w:r>
          <w:r>
            <w:instrText xml:space="preserve"> HYPERLINK \l "_bookmark76" </w:instrText>
          </w:r>
          <w:r>
            <w:fldChar w:fldCharType="separate"/>
          </w:r>
          <w:r>
            <w:rPr>
              <w:rFonts w:ascii="Times New Roman" w:hAnsi="Times New Roman" w:eastAsia="Times New Roman" w:cs="Times New Roman"/>
              <w:spacing w:val="7"/>
              <w:sz w:val="20"/>
              <w:szCs w:val="20"/>
            </w:rPr>
            <w:t>1</w:t>
          </w:r>
          <w:r>
            <w:rPr>
              <w:rFonts w:ascii="Times New Roman" w:hAnsi="Times New Roman" w:eastAsia="Times New Roman" w:cs="Times New Roman"/>
              <w:spacing w:val="5"/>
              <w:sz w:val="20"/>
              <w:szCs w:val="20"/>
            </w:rPr>
            <w:t xml:space="preserve">1.1  </w:t>
          </w:r>
          <w:r>
            <w:rPr>
              <w:rFonts w:ascii="宋体" w:hAnsi="宋体" w:eastAsia="宋体" w:cs="宋体"/>
              <w:spacing w:val="5"/>
              <w:sz w:val="20"/>
              <w:szCs w:val="20"/>
            </w:rPr>
            <w:t>环境影响评价结论</w:t>
          </w:r>
          <w:r>
            <w:rPr>
              <w:rFonts w:ascii="Times New Roman" w:hAnsi="Times New Roman" w:eastAsia="Times New Roman" w:cs="Times New Roman"/>
              <w:sz w:val="20"/>
              <w:szCs w:val="20"/>
            </w:rPr>
            <w:tab/>
          </w:r>
          <w:r>
            <w:rPr>
              <w:rFonts w:ascii="Calibri" w:hAnsi="Calibri" w:eastAsia="Calibri" w:cs="Calibri"/>
              <w:spacing w:val="5"/>
              <w:sz w:val="20"/>
              <w:szCs w:val="20"/>
            </w:rPr>
            <w:t>185</w:t>
          </w:r>
          <w:r>
            <w:rPr>
              <w:rFonts w:ascii="Calibri" w:hAnsi="Calibri" w:eastAsia="Calibri" w:cs="Calibri"/>
              <w:spacing w:val="5"/>
              <w:sz w:val="20"/>
              <w:szCs w:val="20"/>
            </w:rPr>
            <w:fldChar w:fldCharType="end"/>
          </w:r>
        </w:p>
        <w:p w14:paraId="1CC40347">
          <w:pPr>
            <w:tabs>
              <w:tab w:val="right" w:leader="dot" w:pos="9492"/>
            </w:tabs>
            <w:spacing w:before="67" w:line="226" w:lineRule="auto"/>
            <w:ind w:left="445"/>
            <w:rPr>
              <w:rFonts w:ascii="Calibri" w:hAnsi="Calibri" w:eastAsia="Calibri" w:cs="Calibri"/>
              <w:sz w:val="20"/>
              <w:szCs w:val="20"/>
            </w:rPr>
          </w:pPr>
          <w:r>
            <w:fldChar w:fldCharType="begin"/>
          </w:r>
          <w:r>
            <w:instrText xml:space="preserve"> HYPERLINK \l "_bookmark77" </w:instrText>
          </w:r>
          <w:r>
            <w:fldChar w:fldCharType="separate"/>
          </w:r>
          <w:r>
            <w:rPr>
              <w:rFonts w:ascii="Times New Roman" w:hAnsi="Times New Roman" w:eastAsia="Times New Roman" w:cs="Times New Roman"/>
              <w:spacing w:val="7"/>
              <w:sz w:val="20"/>
              <w:szCs w:val="20"/>
            </w:rPr>
            <w:t>1</w:t>
          </w:r>
          <w:r>
            <w:rPr>
              <w:rFonts w:ascii="Times New Roman" w:hAnsi="Times New Roman" w:eastAsia="Times New Roman" w:cs="Times New Roman"/>
              <w:spacing w:val="5"/>
              <w:sz w:val="20"/>
              <w:szCs w:val="20"/>
            </w:rPr>
            <w:t xml:space="preserve">1.2  </w:t>
          </w:r>
          <w:r>
            <w:rPr>
              <w:rFonts w:ascii="宋体" w:hAnsi="宋体" w:eastAsia="宋体" w:cs="宋体"/>
              <w:spacing w:val="5"/>
              <w:sz w:val="20"/>
              <w:szCs w:val="20"/>
            </w:rPr>
            <w:t>环境影响评价结论</w:t>
          </w:r>
          <w:r>
            <w:rPr>
              <w:rFonts w:ascii="Times New Roman" w:hAnsi="Times New Roman" w:eastAsia="Times New Roman" w:cs="Times New Roman"/>
              <w:sz w:val="20"/>
              <w:szCs w:val="20"/>
            </w:rPr>
            <w:tab/>
          </w:r>
          <w:r>
            <w:rPr>
              <w:rFonts w:ascii="Calibri" w:hAnsi="Calibri" w:eastAsia="Calibri" w:cs="Calibri"/>
              <w:spacing w:val="5"/>
              <w:sz w:val="20"/>
              <w:szCs w:val="20"/>
            </w:rPr>
            <w:t>190</w:t>
          </w:r>
          <w:r>
            <w:rPr>
              <w:rFonts w:ascii="Calibri" w:hAnsi="Calibri" w:eastAsia="Calibri" w:cs="Calibri"/>
              <w:spacing w:val="5"/>
              <w:sz w:val="20"/>
              <w:szCs w:val="20"/>
            </w:rPr>
            <w:fldChar w:fldCharType="end"/>
          </w:r>
        </w:p>
        <w:p w14:paraId="26BE7AA2">
          <w:pPr>
            <w:tabs>
              <w:tab w:val="right" w:leader="dot" w:pos="9492"/>
            </w:tabs>
            <w:spacing w:before="68" w:line="228" w:lineRule="auto"/>
            <w:ind w:left="445"/>
            <w:rPr>
              <w:rFonts w:ascii="Calibri" w:hAnsi="Calibri" w:eastAsia="Calibri" w:cs="Calibri"/>
              <w:sz w:val="20"/>
              <w:szCs w:val="20"/>
            </w:rPr>
          </w:pPr>
          <w:r>
            <w:fldChar w:fldCharType="begin"/>
          </w:r>
          <w:r>
            <w:instrText xml:space="preserve"> HYPERLINK \l "_bookmark78" </w:instrText>
          </w:r>
          <w:r>
            <w:fldChar w:fldCharType="separate"/>
          </w:r>
          <w:r>
            <w:rPr>
              <w:rFonts w:ascii="Times New Roman" w:hAnsi="Times New Roman" w:eastAsia="Times New Roman" w:cs="Times New Roman"/>
              <w:spacing w:val="7"/>
              <w:sz w:val="20"/>
              <w:szCs w:val="20"/>
            </w:rPr>
            <w:t>1</w:t>
          </w:r>
          <w:r>
            <w:rPr>
              <w:rFonts w:ascii="Times New Roman" w:hAnsi="Times New Roman" w:eastAsia="Times New Roman" w:cs="Times New Roman"/>
              <w:spacing w:val="4"/>
              <w:sz w:val="20"/>
              <w:szCs w:val="20"/>
            </w:rPr>
            <w:t xml:space="preserve">1.3  </w:t>
          </w:r>
          <w:r>
            <w:rPr>
              <w:rFonts w:ascii="宋体" w:hAnsi="宋体" w:eastAsia="宋体" w:cs="宋体"/>
              <w:spacing w:val="4"/>
              <w:sz w:val="20"/>
              <w:szCs w:val="20"/>
            </w:rPr>
            <w:t>环评建议</w:t>
          </w:r>
          <w:r>
            <w:rPr>
              <w:rFonts w:ascii="Times New Roman" w:hAnsi="Times New Roman" w:eastAsia="Times New Roman" w:cs="Times New Roman"/>
              <w:sz w:val="20"/>
              <w:szCs w:val="20"/>
            </w:rPr>
            <w:tab/>
          </w:r>
          <w:r>
            <w:rPr>
              <w:rFonts w:ascii="Calibri" w:hAnsi="Calibri" w:eastAsia="Calibri" w:cs="Calibri"/>
              <w:spacing w:val="4"/>
              <w:sz w:val="20"/>
              <w:szCs w:val="20"/>
            </w:rPr>
            <w:t>190</w:t>
          </w:r>
          <w:r>
            <w:rPr>
              <w:rFonts w:ascii="Calibri" w:hAnsi="Calibri" w:eastAsia="Calibri" w:cs="Calibri"/>
              <w:spacing w:val="4"/>
              <w:sz w:val="20"/>
              <w:szCs w:val="20"/>
            </w:rPr>
            <w:fldChar w:fldCharType="end"/>
          </w:r>
        </w:p>
      </w:sdtContent>
    </w:sdt>
    <w:p w14:paraId="74736966">
      <w:pPr>
        <w:sectPr>
          <w:footerReference r:id="rId6" w:type="default"/>
          <w:pgSz w:w="11906" w:h="16839"/>
          <w:pgMar w:top="1113" w:right="1134" w:bottom="1157" w:left="1275" w:header="878" w:footer="994" w:gutter="0"/>
          <w:cols w:space="720" w:num="1"/>
        </w:sectPr>
      </w:pPr>
    </w:p>
    <w:p w14:paraId="0A9F5203">
      <w:pPr>
        <w:spacing w:before="177" w:line="223" w:lineRule="auto"/>
        <w:ind w:left="3994"/>
        <w:outlineLvl w:val="0"/>
        <w:rPr>
          <w:rFonts w:ascii="宋体" w:hAnsi="宋体" w:eastAsia="宋体" w:cs="宋体"/>
          <w:sz w:val="43"/>
          <w:szCs w:val="43"/>
        </w:rPr>
      </w:pPr>
      <w:bookmarkStart w:id="0" w:name="_bookmark1"/>
      <w:bookmarkEnd w:id="0"/>
      <w:r>
        <w:rPr>
          <w:rFonts w:ascii="宋体" w:hAnsi="宋体" w:eastAsia="宋体" w:cs="宋体"/>
          <w:spacing w:val="8"/>
          <w:sz w:val="43"/>
          <w:szCs w:val="43"/>
          <w14:textOutline w14:w="7975" w14:cap="sq" w14:cmpd="sng" w14:algn="ctr">
            <w14:solidFill>
              <w14:srgbClr w14:val="000000"/>
            </w14:solidFill>
            <w14:prstDash w14:val="solid"/>
            <w14:bevel/>
          </w14:textOutline>
        </w:rPr>
        <w:t>概</w:t>
      </w:r>
      <w:r>
        <w:rPr>
          <w:rFonts w:ascii="宋体" w:hAnsi="宋体" w:eastAsia="宋体" w:cs="宋体"/>
          <w:spacing w:val="5"/>
          <w:sz w:val="43"/>
          <w:szCs w:val="43"/>
        </w:rPr>
        <w:t xml:space="preserve">   </w:t>
      </w:r>
      <w:r>
        <w:rPr>
          <w:rFonts w:ascii="宋体" w:hAnsi="宋体" w:eastAsia="宋体" w:cs="宋体"/>
          <w:spacing w:val="5"/>
          <w:sz w:val="43"/>
          <w:szCs w:val="43"/>
          <w14:textOutline w14:w="7975" w14:cap="sq" w14:cmpd="sng" w14:algn="ctr">
            <w14:solidFill>
              <w14:srgbClr w14:val="000000"/>
            </w14:solidFill>
            <w14:prstDash w14:val="solid"/>
            <w14:bevel/>
          </w14:textOutline>
        </w:rPr>
        <w:t>述</w:t>
      </w:r>
    </w:p>
    <w:p w14:paraId="1D19FC8E">
      <w:pPr>
        <w:spacing w:before="309" w:line="468" w:lineRule="exact"/>
        <w:ind w:left="16"/>
        <w:outlineLvl w:val="1"/>
        <w:rPr>
          <w:rFonts w:ascii="宋体" w:hAnsi="宋体" w:eastAsia="宋体" w:cs="宋体"/>
          <w:sz w:val="28"/>
          <w:szCs w:val="28"/>
        </w:rPr>
      </w:pPr>
      <w:bookmarkStart w:id="1" w:name="_bookmark2"/>
      <w:bookmarkEnd w:id="1"/>
      <w:r>
        <w:rPr>
          <w:rFonts w:ascii="宋体" w:hAnsi="宋体" w:eastAsia="宋体" w:cs="宋体"/>
          <w:position w:val="2"/>
          <w:sz w:val="28"/>
          <w:szCs w:val="28"/>
          <w14:textOutline w14:w="5105" w14:cap="sq" w14:cmpd="sng" w14:algn="ctr">
            <w14:solidFill>
              <w14:srgbClr w14:val="000000"/>
            </w14:solidFill>
            <w14:prstDash w14:val="solid"/>
            <w14:bevel/>
          </w14:textOutline>
        </w:rPr>
        <w:t>一、项目特点及评价任务的由来</w:t>
      </w:r>
    </w:p>
    <w:p w14:paraId="08FAA7A9">
      <w:pPr>
        <w:spacing w:before="70" w:line="376" w:lineRule="auto"/>
        <w:ind w:left="33" w:right="2" w:firstLine="458"/>
        <w:rPr>
          <w:rFonts w:ascii="宋体" w:hAnsi="宋体" w:eastAsia="宋体" w:cs="宋体"/>
          <w:sz w:val="23"/>
          <w:szCs w:val="23"/>
        </w:rPr>
      </w:pPr>
      <w:r>
        <w:rPr>
          <w:rFonts w:ascii="宋体" w:hAnsi="宋体" w:eastAsia="宋体" w:cs="宋体"/>
          <w:spacing w:val="7"/>
          <w:sz w:val="23"/>
          <w:szCs w:val="23"/>
        </w:rPr>
        <w:t>我国是猪肉生产大国，亦是猪肉消费大国。猪肉是我国畜牧产业的主导产品之一，是</w:t>
      </w:r>
      <w:r>
        <w:rPr>
          <w:rFonts w:ascii="宋体" w:hAnsi="宋体" w:eastAsia="宋体" w:cs="宋体"/>
          <w:spacing w:val="6"/>
          <w:sz w:val="23"/>
          <w:szCs w:val="23"/>
        </w:rPr>
        <w:t>我</w:t>
      </w:r>
      <w:r>
        <w:rPr>
          <w:rFonts w:ascii="宋体" w:hAnsi="宋体" w:eastAsia="宋体" w:cs="宋体"/>
          <w:sz w:val="23"/>
          <w:szCs w:val="23"/>
        </w:rPr>
        <w:t xml:space="preserve"> </w:t>
      </w:r>
      <w:r>
        <w:rPr>
          <w:rFonts w:ascii="宋体" w:hAnsi="宋体" w:eastAsia="宋体" w:cs="宋体"/>
          <w:spacing w:val="4"/>
          <w:sz w:val="23"/>
          <w:szCs w:val="23"/>
        </w:rPr>
        <w:t>国城乡居民肉</w:t>
      </w:r>
      <w:r>
        <w:rPr>
          <w:rFonts w:ascii="宋体" w:hAnsi="宋体" w:eastAsia="宋体" w:cs="宋体"/>
          <w:spacing w:val="3"/>
          <w:sz w:val="23"/>
          <w:szCs w:val="23"/>
        </w:rPr>
        <w:t>类</w:t>
      </w:r>
      <w:r>
        <w:rPr>
          <w:rFonts w:ascii="宋体" w:hAnsi="宋体" w:eastAsia="宋体" w:cs="宋体"/>
          <w:spacing w:val="2"/>
          <w:sz w:val="23"/>
          <w:szCs w:val="23"/>
        </w:rPr>
        <w:t>消费的主要来源之一。在近十几年中，我国的猪、牛、羊肉的产量都在增长，</w:t>
      </w:r>
    </w:p>
    <w:p w14:paraId="12FEAA3B">
      <w:pPr>
        <w:spacing w:line="227" w:lineRule="auto"/>
        <w:ind w:left="8"/>
        <w:rPr>
          <w:rFonts w:ascii="宋体" w:hAnsi="宋体" w:eastAsia="宋体" w:cs="宋体"/>
          <w:sz w:val="23"/>
          <w:szCs w:val="23"/>
        </w:rPr>
      </w:pPr>
      <w:r>
        <w:rPr>
          <w:rFonts w:ascii="宋体" w:hAnsi="宋体" w:eastAsia="宋体" w:cs="宋体"/>
          <w:spacing w:val="5"/>
          <w:sz w:val="23"/>
          <w:szCs w:val="23"/>
        </w:rPr>
        <w:t>但还是以猪肉的增长量为最大，这反映出市场对猪肉的大量需求。</w:t>
      </w:r>
      <w:r>
        <w:rPr>
          <w:rFonts w:ascii="Times New Roman" w:hAnsi="Times New Roman" w:eastAsia="Times New Roman" w:cs="Times New Roman"/>
          <w:spacing w:val="5"/>
          <w:sz w:val="23"/>
          <w:szCs w:val="23"/>
        </w:rPr>
        <w:t xml:space="preserve">2011 </w:t>
      </w:r>
      <w:r>
        <w:rPr>
          <w:rFonts w:ascii="宋体" w:hAnsi="宋体" w:eastAsia="宋体" w:cs="宋体"/>
          <w:spacing w:val="5"/>
          <w:sz w:val="23"/>
          <w:szCs w:val="23"/>
        </w:rPr>
        <w:t xml:space="preserve">年 </w:t>
      </w:r>
      <w:r>
        <w:rPr>
          <w:rFonts w:ascii="Times New Roman" w:hAnsi="Times New Roman" w:eastAsia="Times New Roman" w:cs="Times New Roman"/>
          <w:spacing w:val="5"/>
          <w:sz w:val="23"/>
          <w:szCs w:val="23"/>
        </w:rPr>
        <w:t xml:space="preserve">5 </w:t>
      </w:r>
      <w:r>
        <w:rPr>
          <w:rFonts w:ascii="宋体" w:hAnsi="宋体" w:eastAsia="宋体" w:cs="宋体"/>
          <w:spacing w:val="5"/>
          <w:sz w:val="23"/>
          <w:szCs w:val="23"/>
        </w:rPr>
        <w:t xml:space="preserve">月 </w:t>
      </w:r>
      <w:r>
        <w:rPr>
          <w:rFonts w:ascii="Times New Roman" w:hAnsi="Times New Roman" w:eastAsia="Times New Roman" w:cs="Times New Roman"/>
          <w:spacing w:val="5"/>
          <w:sz w:val="23"/>
          <w:szCs w:val="23"/>
        </w:rPr>
        <w:t xml:space="preserve">16 </w:t>
      </w:r>
      <w:r>
        <w:rPr>
          <w:rFonts w:ascii="宋体" w:hAnsi="宋体" w:eastAsia="宋体" w:cs="宋体"/>
          <w:spacing w:val="5"/>
          <w:sz w:val="23"/>
          <w:szCs w:val="23"/>
        </w:rPr>
        <w:t>日在我</w:t>
      </w:r>
      <w:r>
        <w:rPr>
          <w:rFonts w:ascii="宋体" w:hAnsi="宋体" w:eastAsia="宋体" w:cs="宋体"/>
          <w:spacing w:val="1"/>
          <w:sz w:val="23"/>
          <w:szCs w:val="23"/>
        </w:rPr>
        <w:t>国</w:t>
      </w:r>
    </w:p>
    <w:p w14:paraId="4ED556E0">
      <w:pPr>
        <w:spacing w:before="139" w:line="322" w:lineRule="exact"/>
        <w:ind w:left="10"/>
        <w:rPr>
          <w:rFonts w:ascii="宋体" w:hAnsi="宋体" w:eastAsia="宋体" w:cs="宋体"/>
          <w:sz w:val="23"/>
          <w:szCs w:val="23"/>
        </w:rPr>
      </w:pPr>
      <w:r>
        <w:rPr>
          <w:rFonts w:ascii="宋体" w:hAnsi="宋体" w:eastAsia="宋体" w:cs="宋体"/>
          <w:spacing w:val="9"/>
          <w:position w:val="3"/>
          <w:sz w:val="23"/>
          <w:szCs w:val="23"/>
        </w:rPr>
        <w:t>青岛市召开的第二届全球</w:t>
      </w:r>
      <w:r>
        <w:fldChar w:fldCharType="begin"/>
      </w:r>
      <w:r>
        <w:instrText xml:space="preserve"> HYPERLINK "http://www.zhujiage.com.cn/" </w:instrText>
      </w:r>
      <w:r>
        <w:fldChar w:fldCharType="separate"/>
      </w:r>
      <w:r>
        <w:rPr>
          <w:rFonts w:ascii="宋体" w:hAnsi="宋体" w:eastAsia="宋体" w:cs="宋体"/>
          <w:spacing w:val="9"/>
          <w:position w:val="3"/>
          <w:sz w:val="23"/>
          <w:szCs w:val="23"/>
        </w:rPr>
        <w:t>猪</w:t>
      </w:r>
      <w:r>
        <w:rPr>
          <w:rFonts w:ascii="宋体" w:hAnsi="宋体" w:eastAsia="宋体" w:cs="宋体"/>
          <w:spacing w:val="9"/>
          <w:position w:val="3"/>
          <w:sz w:val="23"/>
          <w:szCs w:val="23"/>
        </w:rPr>
        <w:fldChar w:fldCharType="end"/>
      </w:r>
      <w:r>
        <w:rPr>
          <w:rFonts w:ascii="宋体" w:hAnsi="宋体" w:eastAsia="宋体" w:cs="宋体"/>
          <w:spacing w:val="9"/>
          <w:position w:val="3"/>
          <w:sz w:val="23"/>
          <w:szCs w:val="23"/>
        </w:rPr>
        <w:t>业论坛暨第九届</w:t>
      </w:r>
      <w:r>
        <w:rPr>
          <w:rFonts w:ascii="Times New Roman" w:hAnsi="Times New Roman" w:eastAsia="Times New Roman" w:cs="Times New Roman"/>
          <w:spacing w:val="9"/>
          <w:position w:val="3"/>
          <w:sz w:val="23"/>
          <w:szCs w:val="23"/>
        </w:rPr>
        <w:t>(2011)</w:t>
      </w:r>
      <w:r>
        <w:rPr>
          <w:rFonts w:ascii="宋体" w:hAnsi="宋体" w:eastAsia="宋体" w:cs="宋体"/>
          <w:spacing w:val="9"/>
          <w:position w:val="3"/>
          <w:sz w:val="23"/>
          <w:szCs w:val="23"/>
        </w:rPr>
        <w:t>中国猪业发展大会上，有关专家指出：</w:t>
      </w:r>
      <w:r>
        <w:rPr>
          <w:rFonts w:ascii="宋体" w:hAnsi="宋体" w:eastAsia="宋体" w:cs="宋体"/>
          <w:spacing w:val="8"/>
          <w:position w:val="3"/>
          <w:sz w:val="23"/>
          <w:szCs w:val="23"/>
        </w:rPr>
        <w:t>中</w:t>
      </w:r>
    </w:p>
    <w:p w14:paraId="6972A71D">
      <w:pPr>
        <w:spacing w:before="183" w:line="375" w:lineRule="auto"/>
        <w:ind w:left="4" w:firstLine="29"/>
        <w:rPr>
          <w:rFonts w:ascii="宋体" w:hAnsi="宋体" w:eastAsia="宋体" w:cs="宋体"/>
          <w:sz w:val="23"/>
          <w:szCs w:val="23"/>
        </w:rPr>
      </w:pPr>
      <w:r>
        <w:rPr>
          <w:rFonts w:ascii="宋体" w:hAnsi="宋体" w:eastAsia="宋体" w:cs="宋体"/>
          <w:spacing w:val="26"/>
          <w:sz w:val="23"/>
          <w:szCs w:val="23"/>
        </w:rPr>
        <w:t>国</w:t>
      </w:r>
      <w:r>
        <w:rPr>
          <w:rFonts w:ascii="宋体" w:hAnsi="宋体" w:eastAsia="宋体" w:cs="宋体"/>
          <w:spacing w:val="18"/>
          <w:sz w:val="23"/>
          <w:szCs w:val="23"/>
        </w:rPr>
        <w:t>和</w:t>
      </w:r>
      <w:r>
        <w:rPr>
          <w:rFonts w:ascii="宋体" w:hAnsi="宋体" w:eastAsia="宋体" w:cs="宋体"/>
          <w:spacing w:val="13"/>
          <w:sz w:val="23"/>
          <w:szCs w:val="23"/>
        </w:rPr>
        <w:t xml:space="preserve">巴西将是未来全球猪肉类市场增长的主要驱动，世界猪肉类市场在未来 </w:t>
      </w:r>
      <w:r>
        <w:rPr>
          <w:rFonts w:ascii="Times New Roman" w:hAnsi="Times New Roman" w:eastAsia="Times New Roman" w:cs="Times New Roman"/>
          <w:spacing w:val="13"/>
          <w:sz w:val="23"/>
          <w:szCs w:val="23"/>
        </w:rPr>
        <w:t xml:space="preserve">20 </w:t>
      </w:r>
      <w:r>
        <w:rPr>
          <w:rFonts w:ascii="宋体" w:hAnsi="宋体" w:eastAsia="宋体" w:cs="宋体"/>
          <w:spacing w:val="13"/>
          <w:sz w:val="23"/>
          <w:szCs w:val="23"/>
        </w:rPr>
        <w:t>年将增长</w:t>
      </w:r>
      <w:r>
        <w:rPr>
          <w:rFonts w:ascii="宋体" w:hAnsi="宋体" w:eastAsia="宋体" w:cs="宋体"/>
          <w:sz w:val="23"/>
          <w:szCs w:val="23"/>
        </w:rPr>
        <w:t xml:space="preserve"> </w:t>
      </w:r>
      <w:r>
        <w:rPr>
          <w:rFonts w:ascii="Times New Roman" w:hAnsi="Times New Roman" w:eastAsia="Times New Roman" w:cs="Times New Roman"/>
          <w:spacing w:val="8"/>
          <w:sz w:val="23"/>
          <w:szCs w:val="23"/>
        </w:rPr>
        <w:t>40%</w:t>
      </w:r>
      <w:r>
        <w:rPr>
          <w:rFonts w:ascii="Times New Roman" w:hAnsi="Times New Roman" w:eastAsia="Times New Roman" w:cs="Times New Roman"/>
          <w:spacing w:val="5"/>
          <w:sz w:val="23"/>
          <w:szCs w:val="23"/>
        </w:rPr>
        <w:t xml:space="preserve"> </w:t>
      </w:r>
      <w:r>
        <w:rPr>
          <w:rFonts w:ascii="宋体" w:hAnsi="宋体" w:eastAsia="宋体" w:cs="宋体"/>
          <w:spacing w:val="4"/>
          <w:sz w:val="23"/>
          <w:szCs w:val="23"/>
        </w:rPr>
        <w:t xml:space="preserve">，全球猪肉类需求增长的 </w:t>
      </w:r>
      <w:r>
        <w:rPr>
          <w:rFonts w:ascii="Times New Roman" w:hAnsi="Times New Roman" w:eastAsia="Times New Roman" w:cs="Times New Roman"/>
          <w:spacing w:val="4"/>
          <w:sz w:val="23"/>
          <w:szCs w:val="23"/>
        </w:rPr>
        <w:t>70%</w:t>
      </w:r>
      <w:r>
        <w:rPr>
          <w:rFonts w:ascii="宋体" w:hAnsi="宋体" w:eastAsia="宋体" w:cs="宋体"/>
          <w:spacing w:val="4"/>
          <w:sz w:val="23"/>
          <w:szCs w:val="23"/>
        </w:rPr>
        <w:t xml:space="preserve">将来自于亚洲。中国未来猪肉消费年增长约 </w:t>
      </w:r>
      <w:r>
        <w:rPr>
          <w:rFonts w:ascii="Times New Roman" w:hAnsi="Times New Roman" w:eastAsia="Times New Roman" w:cs="Times New Roman"/>
          <w:spacing w:val="4"/>
          <w:sz w:val="23"/>
          <w:szCs w:val="23"/>
        </w:rPr>
        <w:t xml:space="preserve">2% </w:t>
      </w:r>
      <w:r>
        <w:rPr>
          <w:rFonts w:ascii="宋体" w:hAnsi="宋体" w:eastAsia="宋体" w:cs="宋体"/>
          <w:spacing w:val="4"/>
          <w:sz w:val="23"/>
          <w:szCs w:val="23"/>
        </w:rPr>
        <w:t>。因此，</w:t>
      </w:r>
      <w:r>
        <w:rPr>
          <w:rFonts w:ascii="宋体" w:hAnsi="宋体" w:eastAsia="宋体" w:cs="宋体"/>
          <w:sz w:val="23"/>
          <w:szCs w:val="23"/>
        </w:rPr>
        <w:t xml:space="preserve"> </w:t>
      </w:r>
      <w:r>
        <w:rPr>
          <w:rFonts w:ascii="宋体" w:hAnsi="宋体" w:eastAsia="宋体" w:cs="宋体"/>
          <w:spacing w:val="14"/>
          <w:sz w:val="23"/>
          <w:szCs w:val="23"/>
        </w:rPr>
        <w:t>在</w:t>
      </w:r>
      <w:r>
        <w:rPr>
          <w:rFonts w:ascii="宋体" w:hAnsi="宋体" w:eastAsia="宋体" w:cs="宋体"/>
          <w:spacing w:val="12"/>
          <w:sz w:val="23"/>
          <w:szCs w:val="23"/>
        </w:rPr>
        <w:t>我</w:t>
      </w:r>
      <w:r>
        <w:rPr>
          <w:rFonts w:ascii="宋体" w:hAnsi="宋体" w:eastAsia="宋体" w:cs="宋体"/>
          <w:spacing w:val="7"/>
          <w:sz w:val="23"/>
          <w:szCs w:val="23"/>
        </w:rPr>
        <w:t>国的过去，现在及将来的相当长的时期内，猪肉消费的主导地位不可动摇。印证了自古</w:t>
      </w:r>
      <w:r>
        <w:rPr>
          <w:rFonts w:ascii="宋体" w:hAnsi="宋体" w:eastAsia="宋体" w:cs="宋体"/>
          <w:sz w:val="23"/>
          <w:szCs w:val="23"/>
        </w:rPr>
        <w:t xml:space="preserve"> </w:t>
      </w:r>
      <w:r>
        <w:rPr>
          <w:rFonts w:ascii="宋体" w:hAnsi="宋体" w:eastAsia="宋体" w:cs="宋体"/>
          <w:spacing w:val="9"/>
          <w:sz w:val="23"/>
          <w:szCs w:val="23"/>
        </w:rPr>
        <w:t>以来</w:t>
      </w:r>
      <w:r>
        <w:rPr>
          <w:rFonts w:ascii="Times New Roman" w:hAnsi="Times New Roman" w:eastAsia="Times New Roman" w:cs="Times New Roman"/>
          <w:spacing w:val="9"/>
          <w:sz w:val="23"/>
          <w:szCs w:val="23"/>
        </w:rPr>
        <w:t>“</w:t>
      </w:r>
      <w:r>
        <w:rPr>
          <w:rFonts w:ascii="宋体" w:hAnsi="宋体" w:eastAsia="宋体" w:cs="宋体"/>
          <w:spacing w:val="9"/>
          <w:sz w:val="23"/>
          <w:szCs w:val="23"/>
        </w:rPr>
        <w:t>猪粮安天下</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，充分体现出养猪业在我国社会及国民经济中的重要地位。但自</w:t>
      </w:r>
      <w:r>
        <w:rPr>
          <w:rFonts w:ascii="Times New Roman" w:hAnsi="Times New Roman" w:eastAsia="Times New Roman" w:cs="Times New Roman"/>
          <w:spacing w:val="9"/>
          <w:sz w:val="23"/>
          <w:szCs w:val="23"/>
        </w:rPr>
        <w:t xml:space="preserve">2010 </w:t>
      </w:r>
      <w:r>
        <w:rPr>
          <w:rFonts w:ascii="宋体" w:hAnsi="宋体" w:eastAsia="宋体" w:cs="宋体"/>
          <w:spacing w:val="3"/>
          <w:sz w:val="23"/>
          <w:szCs w:val="23"/>
        </w:rPr>
        <w:t>年</w:t>
      </w:r>
      <w:r>
        <w:rPr>
          <w:rFonts w:ascii="宋体" w:hAnsi="宋体" w:eastAsia="宋体" w:cs="宋体"/>
          <w:sz w:val="23"/>
          <w:szCs w:val="23"/>
        </w:rPr>
        <w:t xml:space="preserve"> </w:t>
      </w:r>
      <w:r>
        <w:rPr>
          <w:rFonts w:ascii="Times New Roman" w:hAnsi="Times New Roman" w:eastAsia="Times New Roman" w:cs="Times New Roman"/>
          <w:spacing w:val="8"/>
          <w:sz w:val="23"/>
          <w:szCs w:val="23"/>
        </w:rPr>
        <w:t xml:space="preserve">9 </w:t>
      </w:r>
      <w:r>
        <w:rPr>
          <w:rFonts w:ascii="宋体" w:hAnsi="宋体" w:eastAsia="宋体" w:cs="宋体"/>
          <w:spacing w:val="8"/>
          <w:sz w:val="23"/>
          <w:szCs w:val="23"/>
        </w:rPr>
        <w:t>月份</w:t>
      </w:r>
      <w:r>
        <w:rPr>
          <w:rFonts w:ascii="宋体" w:hAnsi="宋体" w:eastAsia="宋体" w:cs="宋体"/>
          <w:spacing w:val="4"/>
          <w:sz w:val="23"/>
          <w:szCs w:val="23"/>
        </w:rPr>
        <w:t>以来，生猪价格持续上涨，特别是商品猪仔供不应求，严重影响人民群众的正常生活，</w:t>
      </w:r>
      <w:r>
        <w:rPr>
          <w:rFonts w:ascii="宋体" w:hAnsi="宋体" w:eastAsia="宋体" w:cs="宋体"/>
          <w:sz w:val="23"/>
          <w:szCs w:val="23"/>
        </w:rPr>
        <w:t xml:space="preserve"> </w:t>
      </w:r>
      <w:r>
        <w:rPr>
          <w:rFonts w:ascii="宋体" w:hAnsi="宋体" w:eastAsia="宋体" w:cs="宋体"/>
          <w:spacing w:val="11"/>
          <w:sz w:val="23"/>
          <w:szCs w:val="23"/>
        </w:rPr>
        <w:t>给国民经济带来了通货膨胀的巨大压力。党中央、国务院对生猪生产十分重视，</w:t>
      </w:r>
      <w:r>
        <w:rPr>
          <w:rFonts w:ascii="Times New Roman" w:hAnsi="Times New Roman" w:eastAsia="Times New Roman" w:cs="Times New Roman"/>
          <w:spacing w:val="11"/>
          <w:sz w:val="23"/>
          <w:szCs w:val="23"/>
        </w:rPr>
        <w:t xml:space="preserve">2007 </w:t>
      </w:r>
      <w:r>
        <w:rPr>
          <w:rFonts w:ascii="宋体" w:hAnsi="宋体" w:eastAsia="宋体" w:cs="宋体"/>
          <w:spacing w:val="11"/>
          <w:sz w:val="23"/>
          <w:szCs w:val="23"/>
        </w:rPr>
        <w:t xml:space="preserve">年 </w:t>
      </w:r>
      <w:r>
        <w:rPr>
          <w:rFonts w:ascii="Times New Roman" w:hAnsi="Times New Roman" w:eastAsia="Times New Roman" w:cs="Times New Roman"/>
          <w:spacing w:val="3"/>
          <w:sz w:val="23"/>
          <w:szCs w:val="23"/>
        </w:rPr>
        <w:t>7</w:t>
      </w:r>
      <w:r>
        <w:rPr>
          <w:rFonts w:ascii="Times New Roman" w:hAnsi="Times New Roman" w:eastAsia="Times New Roman" w:cs="Times New Roman"/>
          <w:sz w:val="23"/>
          <w:szCs w:val="23"/>
        </w:rPr>
        <w:t xml:space="preserve"> </w:t>
      </w:r>
      <w:r>
        <w:rPr>
          <w:rFonts w:ascii="宋体" w:hAnsi="宋体" w:eastAsia="宋体" w:cs="宋体"/>
          <w:spacing w:val="7"/>
          <w:sz w:val="23"/>
          <w:szCs w:val="23"/>
        </w:rPr>
        <w:t>月</w:t>
      </w:r>
      <w:r>
        <w:rPr>
          <w:rFonts w:ascii="宋体" w:hAnsi="宋体" w:eastAsia="宋体" w:cs="宋体"/>
          <w:spacing w:val="4"/>
          <w:sz w:val="23"/>
          <w:szCs w:val="23"/>
        </w:rPr>
        <w:t xml:space="preserve"> </w:t>
      </w:r>
      <w:r>
        <w:rPr>
          <w:rFonts w:ascii="Times New Roman" w:hAnsi="Times New Roman" w:eastAsia="Times New Roman" w:cs="Times New Roman"/>
          <w:spacing w:val="4"/>
          <w:sz w:val="23"/>
          <w:szCs w:val="23"/>
        </w:rPr>
        <w:t xml:space="preserve">30 </w:t>
      </w:r>
      <w:r>
        <w:rPr>
          <w:rFonts w:ascii="宋体" w:hAnsi="宋体" w:eastAsia="宋体" w:cs="宋体"/>
          <w:spacing w:val="4"/>
          <w:sz w:val="23"/>
          <w:szCs w:val="23"/>
        </w:rPr>
        <w:t>日颁布了《国务院关于促进生猪生产发展稳定市场供应的意见》 (国发</w:t>
      </w:r>
      <w:r>
        <w:rPr>
          <w:rFonts w:ascii="Times New Roman" w:hAnsi="Times New Roman" w:eastAsia="Times New Roman" w:cs="Times New Roman"/>
          <w:spacing w:val="4"/>
          <w:sz w:val="23"/>
          <w:szCs w:val="23"/>
        </w:rPr>
        <w:t xml:space="preserve">[2007]22 </w:t>
      </w:r>
      <w:r>
        <w:rPr>
          <w:rFonts w:ascii="宋体" w:hAnsi="宋体" w:eastAsia="宋体" w:cs="宋体"/>
          <w:spacing w:val="4"/>
          <w:sz w:val="23"/>
          <w:szCs w:val="23"/>
        </w:rPr>
        <w:t>号) ，</w:t>
      </w:r>
      <w:r>
        <w:rPr>
          <w:rFonts w:ascii="宋体" w:hAnsi="宋体" w:eastAsia="宋体" w:cs="宋体"/>
          <w:sz w:val="23"/>
          <w:szCs w:val="23"/>
        </w:rPr>
        <w:t xml:space="preserve"> </w:t>
      </w:r>
      <w:r>
        <w:rPr>
          <w:rFonts w:ascii="宋体" w:hAnsi="宋体" w:eastAsia="宋体" w:cs="宋体"/>
          <w:spacing w:val="20"/>
          <w:sz w:val="23"/>
          <w:szCs w:val="23"/>
        </w:rPr>
        <w:t>提出</w:t>
      </w:r>
      <w:r>
        <w:rPr>
          <w:rFonts w:ascii="Times New Roman" w:hAnsi="Times New Roman" w:eastAsia="Times New Roman" w:cs="Times New Roman"/>
          <w:spacing w:val="10"/>
          <w:sz w:val="23"/>
          <w:szCs w:val="23"/>
        </w:rPr>
        <w:t>“</w:t>
      </w:r>
      <w:r>
        <w:rPr>
          <w:rFonts w:ascii="宋体" w:hAnsi="宋体" w:eastAsia="宋体" w:cs="宋体"/>
          <w:spacing w:val="10"/>
          <w:sz w:val="23"/>
          <w:szCs w:val="23"/>
        </w:rPr>
        <w:t>实行标准化规模饲养是生猪生产的发展方向。地方各级人民政府要采取措施，鼓励大</w:t>
      </w:r>
      <w:r>
        <w:rPr>
          <w:rFonts w:ascii="宋体" w:hAnsi="宋体" w:eastAsia="宋体" w:cs="宋体"/>
          <w:sz w:val="23"/>
          <w:szCs w:val="23"/>
        </w:rPr>
        <w:t xml:space="preserve"> </w:t>
      </w:r>
      <w:r>
        <w:rPr>
          <w:rFonts w:ascii="宋体" w:hAnsi="宋体" w:eastAsia="宋体" w:cs="宋体"/>
          <w:spacing w:val="14"/>
          <w:sz w:val="23"/>
          <w:szCs w:val="23"/>
        </w:rPr>
        <w:t>型</w:t>
      </w:r>
      <w:r>
        <w:rPr>
          <w:rFonts w:ascii="宋体" w:hAnsi="宋体" w:eastAsia="宋体" w:cs="宋体"/>
          <w:spacing w:val="12"/>
          <w:sz w:val="23"/>
          <w:szCs w:val="23"/>
        </w:rPr>
        <w:t>标</w:t>
      </w:r>
      <w:r>
        <w:rPr>
          <w:rFonts w:ascii="宋体" w:hAnsi="宋体" w:eastAsia="宋体" w:cs="宋体"/>
          <w:spacing w:val="7"/>
          <w:sz w:val="23"/>
          <w:szCs w:val="23"/>
        </w:rPr>
        <w:t>准化生猪养殖场的建设，引导农民建立养殖小区，降低养殖成本，改善防疫条件，提高</w:t>
      </w:r>
      <w:r>
        <w:rPr>
          <w:rFonts w:ascii="宋体" w:hAnsi="宋体" w:eastAsia="宋体" w:cs="宋体"/>
          <w:sz w:val="23"/>
          <w:szCs w:val="23"/>
        </w:rPr>
        <w:t xml:space="preserve"> </w:t>
      </w:r>
      <w:r>
        <w:rPr>
          <w:rFonts w:ascii="宋体" w:hAnsi="宋体" w:eastAsia="宋体" w:cs="宋体"/>
          <w:spacing w:val="7"/>
          <w:sz w:val="23"/>
          <w:szCs w:val="23"/>
        </w:rPr>
        <w:t>生猪生产能力。国家对标准化规模养猪场 (小区) 的粪污处理和沼气池等基础设施建设给</w:t>
      </w:r>
      <w:r>
        <w:rPr>
          <w:rFonts w:ascii="宋体" w:hAnsi="宋体" w:eastAsia="宋体" w:cs="宋体"/>
          <w:spacing w:val="5"/>
          <w:sz w:val="23"/>
          <w:szCs w:val="23"/>
        </w:rPr>
        <w:t>予</w:t>
      </w:r>
      <w:r>
        <w:rPr>
          <w:rFonts w:ascii="宋体" w:hAnsi="宋体" w:eastAsia="宋体" w:cs="宋体"/>
          <w:sz w:val="23"/>
          <w:szCs w:val="23"/>
        </w:rPr>
        <w:t xml:space="preserve"> </w:t>
      </w:r>
      <w:r>
        <w:rPr>
          <w:rFonts w:ascii="宋体" w:hAnsi="宋体" w:eastAsia="宋体" w:cs="宋体"/>
          <w:spacing w:val="10"/>
          <w:sz w:val="23"/>
          <w:szCs w:val="23"/>
        </w:rPr>
        <w:t>适</w:t>
      </w:r>
      <w:r>
        <w:rPr>
          <w:rFonts w:ascii="宋体" w:hAnsi="宋体" w:eastAsia="宋体" w:cs="宋体"/>
          <w:spacing w:val="6"/>
          <w:sz w:val="23"/>
          <w:szCs w:val="23"/>
        </w:rPr>
        <w:t>当支持</w:t>
      </w:r>
      <w:r>
        <w:rPr>
          <w:rFonts w:ascii="Times New Roman" w:hAnsi="Times New Roman" w:eastAsia="Times New Roman" w:cs="Times New Roman"/>
          <w:spacing w:val="6"/>
          <w:sz w:val="23"/>
          <w:szCs w:val="23"/>
        </w:rPr>
        <w:t>”</w:t>
      </w:r>
      <w:r>
        <w:rPr>
          <w:rFonts w:ascii="宋体" w:hAnsi="宋体" w:eastAsia="宋体" w:cs="宋体"/>
          <w:spacing w:val="6"/>
          <w:sz w:val="23"/>
          <w:szCs w:val="23"/>
        </w:rPr>
        <w:t>。</w:t>
      </w:r>
    </w:p>
    <w:p w14:paraId="6E81F845">
      <w:pPr>
        <w:spacing w:line="375" w:lineRule="auto"/>
        <w:ind w:left="12" w:right="61" w:firstLine="500"/>
        <w:rPr>
          <w:rFonts w:ascii="宋体" w:hAnsi="宋体" w:eastAsia="宋体" w:cs="宋体"/>
          <w:sz w:val="23"/>
          <w:szCs w:val="23"/>
        </w:rPr>
      </w:pPr>
      <w:r>
        <w:rPr>
          <w:rFonts w:ascii="宋体" w:hAnsi="宋体" w:eastAsia="宋体" w:cs="宋体"/>
          <w:spacing w:val="7"/>
          <w:sz w:val="23"/>
          <w:szCs w:val="23"/>
        </w:rPr>
        <w:t>四川是全国的传统养猪大省之一，业内有</w:t>
      </w:r>
      <w:r>
        <w:rPr>
          <w:rFonts w:ascii="Times New Roman" w:hAnsi="Times New Roman" w:eastAsia="Times New Roman" w:cs="Times New Roman"/>
          <w:spacing w:val="7"/>
          <w:sz w:val="23"/>
          <w:szCs w:val="23"/>
        </w:rPr>
        <w:t>“</w:t>
      </w:r>
      <w:r>
        <w:rPr>
          <w:rFonts w:ascii="宋体" w:hAnsi="宋体" w:eastAsia="宋体" w:cs="宋体"/>
          <w:spacing w:val="7"/>
          <w:sz w:val="23"/>
          <w:szCs w:val="23"/>
        </w:rPr>
        <w:t>川猪安天下</w:t>
      </w:r>
      <w:r>
        <w:rPr>
          <w:rFonts w:ascii="Times New Roman" w:hAnsi="Times New Roman" w:eastAsia="Times New Roman" w:cs="Times New Roman"/>
          <w:spacing w:val="7"/>
          <w:sz w:val="23"/>
          <w:szCs w:val="23"/>
        </w:rPr>
        <w:t>”</w:t>
      </w:r>
      <w:r>
        <w:rPr>
          <w:rFonts w:ascii="宋体" w:hAnsi="宋体" w:eastAsia="宋体" w:cs="宋体"/>
          <w:spacing w:val="7"/>
          <w:sz w:val="23"/>
          <w:szCs w:val="23"/>
        </w:rPr>
        <w:t>一说。在农业部下发《全国生猪</w:t>
      </w:r>
      <w:r>
        <w:rPr>
          <w:rFonts w:ascii="宋体" w:hAnsi="宋体" w:eastAsia="宋体" w:cs="宋体"/>
          <w:sz w:val="23"/>
          <w:szCs w:val="23"/>
        </w:rPr>
        <w:t xml:space="preserve"> </w:t>
      </w:r>
      <w:r>
        <w:rPr>
          <w:rFonts w:ascii="宋体" w:hAnsi="宋体" w:eastAsia="宋体" w:cs="宋体"/>
          <w:spacing w:val="12"/>
          <w:sz w:val="23"/>
          <w:szCs w:val="23"/>
        </w:rPr>
        <w:t>生产发展</w:t>
      </w:r>
      <w:r>
        <w:rPr>
          <w:rFonts w:ascii="宋体" w:hAnsi="宋体" w:eastAsia="宋体" w:cs="宋体"/>
          <w:spacing w:val="11"/>
          <w:sz w:val="23"/>
          <w:szCs w:val="23"/>
        </w:rPr>
        <w:t>规</w:t>
      </w:r>
      <w:r>
        <w:rPr>
          <w:rFonts w:ascii="宋体" w:hAnsi="宋体" w:eastAsia="宋体" w:cs="宋体"/>
          <w:spacing w:val="6"/>
          <w:sz w:val="23"/>
          <w:szCs w:val="23"/>
        </w:rPr>
        <w:t>划 (</w:t>
      </w:r>
      <w:r>
        <w:rPr>
          <w:rFonts w:ascii="Times New Roman" w:hAnsi="Times New Roman" w:eastAsia="Times New Roman" w:cs="Times New Roman"/>
          <w:spacing w:val="6"/>
          <w:sz w:val="23"/>
          <w:szCs w:val="23"/>
        </w:rPr>
        <w:t xml:space="preserve">2016-2020 </w:t>
      </w:r>
      <w:r>
        <w:rPr>
          <w:rFonts w:ascii="宋体" w:hAnsi="宋体" w:eastAsia="宋体" w:cs="宋体"/>
          <w:spacing w:val="6"/>
          <w:sz w:val="23"/>
          <w:szCs w:val="23"/>
        </w:rPr>
        <w:t xml:space="preserve">年) 》通知中，对过去 </w:t>
      </w:r>
      <w:r>
        <w:rPr>
          <w:rFonts w:ascii="Times New Roman" w:hAnsi="Times New Roman" w:eastAsia="Times New Roman" w:cs="Times New Roman"/>
          <w:spacing w:val="6"/>
          <w:sz w:val="23"/>
          <w:szCs w:val="23"/>
        </w:rPr>
        <w:t xml:space="preserve">5 </w:t>
      </w:r>
      <w:r>
        <w:rPr>
          <w:rFonts w:ascii="宋体" w:hAnsi="宋体" w:eastAsia="宋体" w:cs="宋体"/>
          <w:spacing w:val="6"/>
          <w:sz w:val="23"/>
          <w:szCs w:val="23"/>
        </w:rPr>
        <w:t>年我国生猪产业的发展情况进行了系统</w:t>
      </w:r>
      <w:r>
        <w:rPr>
          <w:rFonts w:ascii="宋体" w:hAnsi="宋体" w:eastAsia="宋体" w:cs="宋体"/>
          <w:sz w:val="23"/>
          <w:szCs w:val="23"/>
        </w:rPr>
        <w:t xml:space="preserve"> </w:t>
      </w:r>
      <w:r>
        <w:rPr>
          <w:rFonts w:ascii="宋体" w:hAnsi="宋体" w:eastAsia="宋体" w:cs="宋体"/>
          <w:spacing w:val="12"/>
          <w:sz w:val="23"/>
          <w:szCs w:val="23"/>
        </w:rPr>
        <w:t>总</w:t>
      </w:r>
      <w:r>
        <w:rPr>
          <w:rFonts w:ascii="宋体" w:hAnsi="宋体" w:eastAsia="宋体" w:cs="宋体"/>
          <w:spacing w:val="7"/>
          <w:sz w:val="23"/>
          <w:szCs w:val="23"/>
        </w:rPr>
        <w:t>结，通过综合考虑环境承载能力、资源禀赋、消费偏好和屠宰加工等因素，将包括四川在</w:t>
      </w:r>
    </w:p>
    <w:p w14:paraId="0B1E6F1F">
      <w:pPr>
        <w:spacing w:before="3" w:line="373" w:lineRule="auto"/>
        <w:ind w:left="10" w:firstLine="29"/>
        <w:rPr>
          <w:rFonts w:ascii="宋体" w:hAnsi="宋体" w:eastAsia="宋体" w:cs="宋体"/>
          <w:sz w:val="23"/>
          <w:szCs w:val="23"/>
        </w:rPr>
      </w:pPr>
      <w:r>
        <w:rPr>
          <w:rFonts w:ascii="宋体" w:hAnsi="宋体" w:eastAsia="宋体" w:cs="宋体"/>
          <w:spacing w:val="10"/>
          <w:sz w:val="23"/>
          <w:szCs w:val="23"/>
        </w:rPr>
        <w:t>内</w:t>
      </w:r>
      <w:r>
        <w:rPr>
          <w:rFonts w:ascii="宋体" w:hAnsi="宋体" w:eastAsia="宋体" w:cs="宋体"/>
          <w:spacing w:val="9"/>
          <w:sz w:val="23"/>
          <w:szCs w:val="23"/>
        </w:rPr>
        <w:t>的</w:t>
      </w:r>
      <w:r>
        <w:rPr>
          <w:rFonts w:ascii="Times New Roman" w:hAnsi="Times New Roman" w:eastAsia="Times New Roman" w:cs="Times New Roman"/>
          <w:spacing w:val="9"/>
          <w:sz w:val="23"/>
          <w:szCs w:val="23"/>
        </w:rPr>
        <w:t xml:space="preserve">7 </w:t>
      </w:r>
      <w:r>
        <w:rPr>
          <w:rFonts w:ascii="宋体" w:hAnsi="宋体" w:eastAsia="宋体" w:cs="宋体"/>
          <w:spacing w:val="9"/>
          <w:sz w:val="23"/>
          <w:szCs w:val="23"/>
        </w:rPr>
        <w:t>省(市)列为了全国生猪产业生产重点发展区。生猪行情在中国的目前阶段波动较大，</w:t>
      </w:r>
      <w:r>
        <w:rPr>
          <w:rFonts w:ascii="宋体" w:hAnsi="宋体" w:eastAsia="宋体" w:cs="宋体"/>
          <w:sz w:val="23"/>
          <w:szCs w:val="23"/>
        </w:rPr>
        <w:t xml:space="preserve"> </w:t>
      </w:r>
      <w:r>
        <w:rPr>
          <w:rFonts w:ascii="宋体" w:hAnsi="宋体" w:eastAsia="宋体" w:cs="宋体"/>
          <w:spacing w:val="6"/>
          <w:sz w:val="23"/>
          <w:szCs w:val="23"/>
        </w:rPr>
        <w:t>基</w:t>
      </w:r>
      <w:r>
        <w:rPr>
          <w:rFonts w:ascii="宋体" w:hAnsi="宋体" w:eastAsia="宋体" w:cs="宋体"/>
          <w:spacing w:val="5"/>
          <w:sz w:val="23"/>
          <w:szCs w:val="23"/>
        </w:rPr>
        <w:t>本</w:t>
      </w:r>
      <w:r>
        <w:rPr>
          <w:rFonts w:ascii="宋体" w:hAnsi="宋体" w:eastAsia="宋体" w:cs="宋体"/>
          <w:spacing w:val="3"/>
          <w:sz w:val="23"/>
          <w:szCs w:val="23"/>
        </w:rPr>
        <w:t>在</w:t>
      </w:r>
      <w:r>
        <w:rPr>
          <w:rFonts w:ascii="Times New Roman" w:hAnsi="Times New Roman" w:eastAsia="Times New Roman" w:cs="Times New Roman"/>
          <w:spacing w:val="3"/>
          <w:sz w:val="23"/>
          <w:szCs w:val="23"/>
        </w:rPr>
        <w:t xml:space="preserve">3-4 </w:t>
      </w:r>
      <w:r>
        <w:rPr>
          <w:rFonts w:ascii="宋体" w:hAnsi="宋体" w:eastAsia="宋体" w:cs="宋体"/>
          <w:spacing w:val="3"/>
          <w:sz w:val="23"/>
          <w:szCs w:val="23"/>
        </w:rPr>
        <w:t xml:space="preserve">年一个波动周期，究其原因是目前中国的生猪出栏量中有 </w:t>
      </w:r>
      <w:r>
        <w:rPr>
          <w:rFonts w:ascii="Times New Roman" w:hAnsi="Times New Roman" w:eastAsia="Times New Roman" w:cs="Times New Roman"/>
          <w:spacing w:val="3"/>
          <w:sz w:val="23"/>
          <w:szCs w:val="23"/>
        </w:rPr>
        <w:t>80%</w:t>
      </w:r>
      <w:r>
        <w:rPr>
          <w:rFonts w:ascii="宋体" w:hAnsi="宋体" w:eastAsia="宋体" w:cs="宋体"/>
          <w:spacing w:val="3"/>
          <w:sz w:val="23"/>
          <w:szCs w:val="23"/>
        </w:rPr>
        <w:t>左右是农民散养的，</w:t>
      </w:r>
      <w:r>
        <w:rPr>
          <w:rFonts w:ascii="宋体" w:hAnsi="宋体" w:eastAsia="宋体" w:cs="宋体"/>
          <w:sz w:val="23"/>
          <w:szCs w:val="23"/>
        </w:rPr>
        <w:t xml:space="preserve"> </w:t>
      </w:r>
      <w:r>
        <w:rPr>
          <w:rFonts w:ascii="宋体" w:hAnsi="宋体" w:eastAsia="宋体" w:cs="宋体"/>
          <w:spacing w:val="20"/>
          <w:sz w:val="23"/>
          <w:szCs w:val="23"/>
        </w:rPr>
        <w:t>规模化</w:t>
      </w:r>
      <w:r>
        <w:rPr>
          <w:rFonts w:ascii="宋体" w:hAnsi="宋体" w:eastAsia="宋体" w:cs="宋体"/>
          <w:spacing w:val="10"/>
          <w:sz w:val="23"/>
          <w:szCs w:val="23"/>
        </w:rPr>
        <w:t xml:space="preserve">猪场出栏只占总出栏的 </w:t>
      </w:r>
      <w:r>
        <w:rPr>
          <w:rFonts w:ascii="Times New Roman" w:hAnsi="Times New Roman" w:eastAsia="Times New Roman" w:cs="Times New Roman"/>
          <w:spacing w:val="10"/>
          <w:sz w:val="23"/>
          <w:szCs w:val="23"/>
        </w:rPr>
        <w:t>20%</w:t>
      </w:r>
      <w:r>
        <w:rPr>
          <w:rFonts w:ascii="宋体" w:hAnsi="宋体" w:eastAsia="宋体" w:cs="宋体"/>
          <w:spacing w:val="10"/>
          <w:sz w:val="23"/>
          <w:szCs w:val="23"/>
        </w:rPr>
        <w:t>左右，农民养猪条件简单、成本相对较低，行情好就盲</w:t>
      </w:r>
      <w:r>
        <w:rPr>
          <w:rFonts w:ascii="宋体" w:hAnsi="宋体" w:eastAsia="宋体" w:cs="宋体"/>
          <w:sz w:val="23"/>
          <w:szCs w:val="23"/>
        </w:rPr>
        <w:t xml:space="preserve"> </w:t>
      </w:r>
      <w:r>
        <w:rPr>
          <w:rFonts w:ascii="宋体" w:hAnsi="宋体" w:eastAsia="宋体" w:cs="宋体"/>
          <w:spacing w:val="14"/>
          <w:sz w:val="23"/>
          <w:szCs w:val="23"/>
        </w:rPr>
        <w:t>目</w:t>
      </w:r>
      <w:r>
        <w:rPr>
          <w:rFonts w:ascii="宋体" w:hAnsi="宋体" w:eastAsia="宋体" w:cs="宋体"/>
          <w:spacing w:val="7"/>
          <w:sz w:val="23"/>
          <w:szCs w:val="23"/>
        </w:rPr>
        <w:t>扩产，一扩产就会导致生猪出栏多，行情就会下滑，行情一下滑，农民养殖利润就会降低</w:t>
      </w:r>
      <w:r>
        <w:rPr>
          <w:rFonts w:ascii="宋体" w:hAnsi="宋体" w:eastAsia="宋体" w:cs="宋体"/>
          <w:sz w:val="23"/>
          <w:szCs w:val="23"/>
        </w:rPr>
        <w:t xml:space="preserve"> </w:t>
      </w:r>
      <w:r>
        <w:rPr>
          <w:rFonts w:ascii="宋体" w:hAnsi="宋体" w:eastAsia="宋体" w:cs="宋体"/>
          <w:spacing w:val="14"/>
          <w:sz w:val="23"/>
          <w:szCs w:val="23"/>
        </w:rPr>
        <w:t>或</w:t>
      </w:r>
      <w:r>
        <w:rPr>
          <w:rFonts w:ascii="宋体" w:hAnsi="宋体" w:eastAsia="宋体" w:cs="宋体"/>
          <w:spacing w:val="12"/>
          <w:sz w:val="23"/>
          <w:szCs w:val="23"/>
        </w:rPr>
        <w:t>亏</w:t>
      </w:r>
      <w:r>
        <w:rPr>
          <w:rFonts w:ascii="宋体" w:hAnsi="宋体" w:eastAsia="宋体" w:cs="宋体"/>
          <w:spacing w:val="7"/>
          <w:sz w:val="23"/>
          <w:szCs w:val="23"/>
        </w:rPr>
        <w:t>本，一亏本，农民又开始减少饲养量，甚至卖母猪，经过一阶段后，行情就会上升，所</w:t>
      </w:r>
      <w:r>
        <w:rPr>
          <w:rFonts w:ascii="宋体" w:hAnsi="宋体" w:eastAsia="宋体" w:cs="宋体"/>
          <w:sz w:val="23"/>
          <w:szCs w:val="23"/>
        </w:rPr>
        <w:t xml:space="preserve"> </w:t>
      </w:r>
      <w:r>
        <w:rPr>
          <w:rFonts w:ascii="宋体" w:hAnsi="宋体" w:eastAsia="宋体" w:cs="宋体"/>
          <w:spacing w:val="18"/>
          <w:sz w:val="23"/>
          <w:szCs w:val="23"/>
        </w:rPr>
        <w:t>以</w:t>
      </w:r>
      <w:r>
        <w:rPr>
          <w:rFonts w:ascii="宋体" w:hAnsi="宋体" w:eastAsia="宋体" w:cs="宋体"/>
          <w:spacing w:val="11"/>
          <w:sz w:val="23"/>
          <w:szCs w:val="23"/>
        </w:rPr>
        <w:t>在</w:t>
      </w:r>
      <w:r>
        <w:rPr>
          <w:rFonts w:ascii="宋体" w:hAnsi="宋体" w:eastAsia="宋体" w:cs="宋体"/>
          <w:spacing w:val="9"/>
          <w:sz w:val="23"/>
          <w:szCs w:val="23"/>
        </w:rPr>
        <w:t>目前中国估计这种行情忽上忽下的情况会在相当长的时间内存在。</w:t>
      </w:r>
    </w:p>
    <w:p w14:paraId="2999BC13">
      <w:pPr>
        <w:spacing w:before="9" w:line="374" w:lineRule="auto"/>
        <w:ind w:left="8" w:right="61" w:firstLine="481"/>
        <w:rPr>
          <w:rFonts w:ascii="宋体" w:hAnsi="宋体" w:eastAsia="宋体" w:cs="宋体"/>
          <w:sz w:val="23"/>
          <w:szCs w:val="23"/>
        </w:rPr>
      </w:pPr>
      <w:r>
        <w:rPr>
          <w:rFonts w:ascii="宋体" w:hAnsi="宋体" w:eastAsia="宋体" w:cs="宋体"/>
          <w:spacing w:val="8"/>
          <w:sz w:val="23"/>
          <w:szCs w:val="23"/>
        </w:rPr>
        <w:t>井</w:t>
      </w:r>
      <w:r>
        <w:rPr>
          <w:rFonts w:ascii="宋体" w:hAnsi="宋体" w:eastAsia="宋体" w:cs="宋体"/>
          <w:spacing w:val="7"/>
          <w:sz w:val="23"/>
          <w:szCs w:val="23"/>
        </w:rPr>
        <w:t>研县属于典型的丘区农业县，是全国农业产粮大县，全国生猪调出大县，也是乐山市</w:t>
      </w:r>
      <w:r>
        <w:rPr>
          <w:rFonts w:ascii="宋体" w:hAnsi="宋体" w:eastAsia="宋体" w:cs="宋体"/>
          <w:sz w:val="23"/>
          <w:szCs w:val="23"/>
        </w:rPr>
        <w:t xml:space="preserve"> </w:t>
      </w:r>
      <w:r>
        <w:rPr>
          <w:rFonts w:ascii="宋体" w:hAnsi="宋体" w:eastAsia="宋体" w:cs="宋体"/>
          <w:spacing w:val="14"/>
          <w:sz w:val="23"/>
          <w:szCs w:val="23"/>
        </w:rPr>
        <w:t>唯一一个</w:t>
      </w:r>
      <w:r>
        <w:rPr>
          <w:rFonts w:ascii="宋体" w:hAnsi="宋体" w:eastAsia="宋体" w:cs="宋体"/>
          <w:spacing w:val="9"/>
          <w:sz w:val="23"/>
          <w:szCs w:val="23"/>
        </w:rPr>
        <w:t>现</w:t>
      </w:r>
      <w:r>
        <w:rPr>
          <w:rFonts w:ascii="宋体" w:hAnsi="宋体" w:eastAsia="宋体" w:cs="宋体"/>
          <w:spacing w:val="7"/>
          <w:sz w:val="23"/>
          <w:szCs w:val="23"/>
        </w:rPr>
        <w:t>代农业示范县。全县按照</w:t>
      </w:r>
      <w:r>
        <w:rPr>
          <w:rFonts w:ascii="Times New Roman" w:hAnsi="Times New Roman" w:eastAsia="Times New Roman" w:cs="Times New Roman"/>
          <w:spacing w:val="7"/>
          <w:sz w:val="23"/>
          <w:szCs w:val="23"/>
        </w:rPr>
        <w:t>“</w:t>
      </w:r>
      <w:r>
        <w:rPr>
          <w:rFonts w:ascii="宋体" w:hAnsi="宋体" w:eastAsia="宋体" w:cs="宋体"/>
          <w:spacing w:val="7"/>
          <w:sz w:val="23"/>
          <w:szCs w:val="23"/>
        </w:rPr>
        <w:t>生态绿色、种养循环、农旅互动</w:t>
      </w:r>
      <w:r>
        <w:rPr>
          <w:rFonts w:ascii="Times New Roman" w:hAnsi="Times New Roman" w:eastAsia="Times New Roman" w:cs="Times New Roman"/>
          <w:spacing w:val="7"/>
          <w:sz w:val="23"/>
          <w:szCs w:val="23"/>
        </w:rPr>
        <w:t>”</w:t>
      </w:r>
      <w:r>
        <w:rPr>
          <w:rFonts w:ascii="宋体" w:hAnsi="宋体" w:eastAsia="宋体" w:cs="宋体"/>
          <w:spacing w:val="7"/>
          <w:sz w:val="23"/>
          <w:szCs w:val="23"/>
        </w:rPr>
        <w:t>的基本思路，发展柑</w:t>
      </w:r>
      <w:r>
        <w:rPr>
          <w:rFonts w:ascii="宋体" w:hAnsi="宋体" w:eastAsia="宋体" w:cs="宋体"/>
          <w:sz w:val="23"/>
          <w:szCs w:val="23"/>
        </w:rPr>
        <w:t xml:space="preserve"> </w:t>
      </w:r>
      <w:r>
        <w:rPr>
          <w:rFonts w:ascii="宋体" w:hAnsi="宋体" w:eastAsia="宋体" w:cs="宋体"/>
          <w:spacing w:val="18"/>
          <w:sz w:val="23"/>
          <w:szCs w:val="23"/>
        </w:rPr>
        <w:t>橘</w:t>
      </w:r>
      <w:r>
        <w:rPr>
          <w:rFonts w:ascii="宋体" w:hAnsi="宋体" w:eastAsia="宋体" w:cs="宋体"/>
          <w:spacing w:val="9"/>
          <w:sz w:val="23"/>
          <w:szCs w:val="23"/>
        </w:rPr>
        <w:t>和畜禽 (生猪、肉兔为主) 两大主导产业，围绕</w:t>
      </w:r>
      <w:r>
        <w:rPr>
          <w:rFonts w:ascii="Times New Roman" w:hAnsi="Times New Roman" w:eastAsia="Times New Roman" w:cs="Times New Roman"/>
          <w:spacing w:val="9"/>
          <w:sz w:val="23"/>
          <w:szCs w:val="23"/>
        </w:rPr>
        <w:t>“</w:t>
      </w:r>
      <w:r>
        <w:rPr>
          <w:rFonts w:ascii="宋体" w:hAnsi="宋体" w:eastAsia="宋体" w:cs="宋体"/>
          <w:spacing w:val="9"/>
          <w:sz w:val="23"/>
          <w:szCs w:val="23"/>
        </w:rPr>
        <w:t>一区 (杂交柑橘核心示范区) 两带 (城</w:t>
      </w:r>
      <w:r>
        <w:rPr>
          <w:rFonts w:ascii="宋体" w:hAnsi="宋体" w:eastAsia="宋体" w:cs="宋体"/>
          <w:sz w:val="23"/>
          <w:szCs w:val="23"/>
        </w:rPr>
        <w:t xml:space="preserve"> </w:t>
      </w:r>
      <w:r>
        <w:rPr>
          <w:rFonts w:ascii="宋体" w:hAnsi="宋体" w:eastAsia="宋体" w:cs="宋体"/>
          <w:spacing w:val="7"/>
          <w:sz w:val="23"/>
          <w:szCs w:val="23"/>
        </w:rPr>
        <w:t>郊杂柑产业带、西北杂柑产业带) 四园 (柑橘标准化科技示范园、生态水产综合示范园、</w:t>
      </w:r>
      <w:r>
        <w:rPr>
          <w:rFonts w:ascii="宋体" w:hAnsi="宋体" w:eastAsia="宋体" w:cs="宋体"/>
          <w:spacing w:val="4"/>
          <w:sz w:val="23"/>
          <w:szCs w:val="23"/>
        </w:rPr>
        <w:t>小</w:t>
      </w:r>
      <w:r>
        <w:rPr>
          <w:rFonts w:ascii="宋体" w:hAnsi="宋体" w:eastAsia="宋体" w:cs="宋体"/>
          <w:sz w:val="23"/>
          <w:szCs w:val="23"/>
        </w:rPr>
        <w:t xml:space="preserve"> </w:t>
      </w:r>
      <w:r>
        <w:rPr>
          <w:rFonts w:ascii="宋体" w:hAnsi="宋体" w:eastAsia="宋体" w:cs="宋体"/>
          <w:spacing w:val="16"/>
          <w:sz w:val="23"/>
          <w:szCs w:val="23"/>
        </w:rPr>
        <w:t>水</w:t>
      </w:r>
      <w:r>
        <w:rPr>
          <w:rFonts w:ascii="宋体" w:hAnsi="宋体" w:eastAsia="宋体" w:cs="宋体"/>
          <w:spacing w:val="11"/>
          <w:sz w:val="23"/>
          <w:szCs w:val="23"/>
        </w:rPr>
        <w:t>果</w:t>
      </w:r>
      <w:r>
        <w:rPr>
          <w:rFonts w:ascii="宋体" w:hAnsi="宋体" w:eastAsia="宋体" w:cs="宋体"/>
          <w:spacing w:val="8"/>
          <w:sz w:val="23"/>
          <w:szCs w:val="23"/>
        </w:rPr>
        <w:t xml:space="preserve">有机种植示范园、种养循环示范园) </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，通过规模化建设、园区化发展、品牌化引领、</w:t>
      </w:r>
    </w:p>
    <w:p w14:paraId="09D0E725">
      <w:pPr>
        <w:sectPr>
          <w:headerReference r:id="rId7" w:type="default"/>
          <w:footerReference r:id="rId8" w:type="default"/>
          <w:pgSz w:w="11907" w:h="16840"/>
          <w:pgMar w:top="829" w:right="1069" w:bottom="930" w:left="1275" w:header="595" w:footer="768" w:gutter="0"/>
          <w:cols w:space="720" w:num="1"/>
        </w:sectPr>
      </w:pPr>
    </w:p>
    <w:p w14:paraId="2E40196F">
      <w:pPr>
        <w:spacing w:before="145" w:line="375" w:lineRule="auto"/>
        <w:ind w:left="10" w:right="18"/>
        <w:rPr>
          <w:rFonts w:ascii="宋体" w:hAnsi="宋体" w:eastAsia="宋体" w:cs="宋体"/>
          <w:sz w:val="23"/>
          <w:szCs w:val="23"/>
        </w:rPr>
      </w:pPr>
      <w:r>
        <w:rPr>
          <w:rFonts w:ascii="宋体" w:hAnsi="宋体" w:eastAsia="宋体" w:cs="宋体"/>
          <w:spacing w:val="14"/>
          <w:sz w:val="23"/>
          <w:szCs w:val="23"/>
        </w:rPr>
        <w:t>体</w:t>
      </w:r>
      <w:r>
        <w:rPr>
          <w:rFonts w:ascii="宋体" w:hAnsi="宋体" w:eastAsia="宋体" w:cs="宋体"/>
          <w:spacing w:val="7"/>
          <w:sz w:val="23"/>
          <w:szCs w:val="23"/>
        </w:rPr>
        <w:t>系化服务，全力打造农区变景区、田园变公园、农房变客房、产品变商品的三产融合发展</w:t>
      </w:r>
      <w:r>
        <w:rPr>
          <w:rFonts w:ascii="宋体" w:hAnsi="宋体" w:eastAsia="宋体" w:cs="宋体"/>
          <w:sz w:val="23"/>
          <w:szCs w:val="23"/>
        </w:rPr>
        <w:t xml:space="preserve"> </w:t>
      </w:r>
      <w:r>
        <w:rPr>
          <w:rFonts w:ascii="宋体" w:hAnsi="宋体" w:eastAsia="宋体" w:cs="宋体"/>
          <w:spacing w:val="8"/>
          <w:sz w:val="23"/>
          <w:szCs w:val="23"/>
        </w:rPr>
        <w:t>丘区现代农业示范区。</w:t>
      </w:r>
    </w:p>
    <w:p w14:paraId="6C1C8A7E">
      <w:pPr>
        <w:spacing w:before="1" w:line="370" w:lineRule="auto"/>
        <w:ind w:left="10" w:right="15" w:firstLine="480"/>
        <w:rPr>
          <w:rFonts w:ascii="宋体" w:hAnsi="宋体" w:eastAsia="宋体" w:cs="宋体"/>
          <w:sz w:val="23"/>
          <w:szCs w:val="23"/>
        </w:rPr>
      </w:pPr>
      <w:r>
        <w:rPr>
          <w:rFonts w:ascii="宋体" w:hAnsi="宋体" w:eastAsia="宋体" w:cs="宋体"/>
          <w:spacing w:val="6"/>
          <w:sz w:val="23"/>
          <w:szCs w:val="23"/>
        </w:rPr>
        <w:t>此外，井研县</w:t>
      </w:r>
      <w:r>
        <w:rPr>
          <w:rFonts w:ascii="宋体" w:hAnsi="宋体" w:eastAsia="宋体" w:cs="宋体"/>
          <w:spacing w:val="3"/>
          <w:sz w:val="23"/>
          <w:szCs w:val="23"/>
        </w:rPr>
        <w:t>编制的《井研县现代农业示范县建设实施方案》  (</w:t>
      </w:r>
      <w:r>
        <w:rPr>
          <w:rFonts w:ascii="Times New Roman" w:hAnsi="Times New Roman" w:eastAsia="Times New Roman" w:cs="Times New Roman"/>
          <w:spacing w:val="3"/>
          <w:sz w:val="23"/>
          <w:szCs w:val="23"/>
        </w:rPr>
        <w:t>2016—2018</w:t>
      </w:r>
      <w:r>
        <w:rPr>
          <w:rFonts w:ascii="宋体" w:hAnsi="宋体" w:eastAsia="宋体" w:cs="宋体"/>
          <w:spacing w:val="3"/>
          <w:sz w:val="23"/>
          <w:szCs w:val="23"/>
        </w:rPr>
        <w:t>) ，四川省</w:t>
      </w:r>
      <w:r>
        <w:rPr>
          <w:rFonts w:ascii="宋体" w:hAnsi="宋体" w:eastAsia="宋体" w:cs="宋体"/>
          <w:sz w:val="23"/>
          <w:szCs w:val="23"/>
        </w:rPr>
        <w:t xml:space="preserve"> </w:t>
      </w:r>
      <w:r>
        <w:rPr>
          <w:rFonts w:ascii="宋体" w:hAnsi="宋体" w:eastAsia="宋体" w:cs="宋体"/>
          <w:spacing w:val="18"/>
          <w:sz w:val="23"/>
          <w:szCs w:val="23"/>
        </w:rPr>
        <w:t>农业厅</w:t>
      </w:r>
      <w:r>
        <w:rPr>
          <w:rFonts w:ascii="宋体" w:hAnsi="宋体" w:eastAsia="宋体" w:cs="宋体"/>
          <w:spacing w:val="15"/>
          <w:sz w:val="23"/>
          <w:szCs w:val="23"/>
        </w:rPr>
        <w:t>已</w:t>
      </w:r>
      <w:r>
        <w:rPr>
          <w:rFonts w:ascii="宋体" w:hAnsi="宋体" w:eastAsia="宋体" w:cs="宋体"/>
          <w:spacing w:val="9"/>
          <w:sz w:val="23"/>
          <w:szCs w:val="23"/>
        </w:rPr>
        <w:t>以</w:t>
      </w:r>
      <w:r>
        <w:rPr>
          <w:rFonts w:ascii="Times New Roman" w:hAnsi="Times New Roman" w:eastAsia="Times New Roman" w:cs="Times New Roman"/>
          <w:spacing w:val="9"/>
          <w:sz w:val="23"/>
          <w:szCs w:val="23"/>
        </w:rPr>
        <w:t>“</w:t>
      </w:r>
      <w:r>
        <w:rPr>
          <w:rFonts w:ascii="宋体" w:hAnsi="宋体" w:eastAsia="宋体" w:cs="宋体"/>
          <w:spacing w:val="9"/>
          <w:sz w:val="23"/>
          <w:szCs w:val="23"/>
        </w:rPr>
        <w:t>川农业函</w:t>
      </w:r>
      <w:r>
        <w:rPr>
          <w:rFonts w:ascii="Times New Roman" w:hAnsi="Times New Roman" w:eastAsia="Times New Roman" w:cs="Times New Roman"/>
          <w:spacing w:val="9"/>
          <w:sz w:val="23"/>
          <w:szCs w:val="23"/>
        </w:rPr>
        <w:t xml:space="preserve">[2016]500 </w:t>
      </w:r>
      <w:r>
        <w:rPr>
          <w:rFonts w:ascii="宋体" w:hAnsi="宋体" w:eastAsia="宋体" w:cs="宋体"/>
          <w:spacing w:val="9"/>
          <w:sz w:val="23"/>
          <w:szCs w:val="23"/>
        </w:rPr>
        <w:t>号文件</w:t>
      </w:r>
      <w:r>
        <w:rPr>
          <w:rFonts w:ascii="Times New Roman" w:hAnsi="Times New Roman" w:eastAsia="Times New Roman" w:cs="Times New Roman"/>
          <w:spacing w:val="9"/>
          <w:sz w:val="23"/>
          <w:szCs w:val="23"/>
        </w:rPr>
        <w:t>”</w:t>
      </w:r>
      <w:r>
        <w:rPr>
          <w:rFonts w:ascii="宋体" w:hAnsi="宋体" w:eastAsia="宋体" w:cs="宋体"/>
          <w:spacing w:val="9"/>
          <w:sz w:val="23"/>
          <w:szCs w:val="23"/>
        </w:rPr>
        <w:t>对该实施方案进行了批复，同意了按该实施方案进</w:t>
      </w:r>
      <w:r>
        <w:rPr>
          <w:rFonts w:ascii="宋体" w:hAnsi="宋体" w:eastAsia="宋体" w:cs="宋体"/>
          <w:sz w:val="23"/>
          <w:szCs w:val="23"/>
        </w:rPr>
        <w:t xml:space="preserve"> </w:t>
      </w:r>
      <w:r>
        <w:rPr>
          <w:rFonts w:ascii="宋体" w:hAnsi="宋体" w:eastAsia="宋体" w:cs="宋体"/>
          <w:spacing w:val="5"/>
          <w:sz w:val="23"/>
          <w:szCs w:val="23"/>
        </w:rPr>
        <w:t>行建设。</w:t>
      </w:r>
    </w:p>
    <w:p w14:paraId="1DF9F571">
      <w:pPr>
        <w:spacing w:before="15" w:line="376" w:lineRule="auto"/>
        <w:ind w:left="9" w:firstLine="480"/>
        <w:rPr>
          <w:rFonts w:ascii="宋体" w:hAnsi="宋体" w:eastAsia="宋体" w:cs="宋体"/>
          <w:sz w:val="23"/>
          <w:szCs w:val="23"/>
        </w:rPr>
      </w:pPr>
      <w:r>
        <w:rPr>
          <w:rFonts w:ascii="宋体" w:hAnsi="宋体" w:eastAsia="宋体" w:cs="宋体"/>
          <w:spacing w:val="8"/>
          <w:sz w:val="23"/>
          <w:szCs w:val="23"/>
        </w:rPr>
        <w:t xml:space="preserve">在此背景下井研县丰逸养殖专业合作社拟投资 </w:t>
      </w:r>
      <w:r>
        <w:rPr>
          <w:rFonts w:ascii="Times New Roman" w:hAnsi="Times New Roman" w:eastAsia="Times New Roman" w:cs="Times New Roman"/>
          <w:spacing w:val="8"/>
          <w:sz w:val="23"/>
          <w:szCs w:val="23"/>
        </w:rPr>
        <w:t xml:space="preserve">2629 </w:t>
      </w:r>
      <w:r>
        <w:rPr>
          <w:rFonts w:ascii="宋体" w:hAnsi="宋体" w:eastAsia="宋体" w:cs="宋体"/>
          <w:spacing w:val="8"/>
          <w:sz w:val="23"/>
          <w:szCs w:val="23"/>
        </w:rPr>
        <w:t>万元在乐山市井研县周坡镇周坡</w:t>
      </w:r>
      <w:r>
        <w:rPr>
          <w:rFonts w:ascii="宋体" w:hAnsi="宋体" w:eastAsia="宋体" w:cs="宋体"/>
          <w:spacing w:val="5"/>
          <w:sz w:val="23"/>
          <w:szCs w:val="23"/>
        </w:rPr>
        <w:t>村</w:t>
      </w:r>
      <w:r>
        <w:rPr>
          <w:rFonts w:ascii="宋体" w:hAnsi="宋体" w:eastAsia="宋体" w:cs="宋体"/>
          <w:sz w:val="23"/>
          <w:szCs w:val="23"/>
        </w:rPr>
        <w:t xml:space="preserve"> </w:t>
      </w:r>
      <w:r>
        <w:rPr>
          <w:rFonts w:ascii="宋体" w:hAnsi="宋体" w:eastAsia="宋体" w:cs="宋体"/>
          <w:spacing w:val="8"/>
          <w:sz w:val="23"/>
          <w:szCs w:val="23"/>
        </w:rPr>
        <w:t>建设</w:t>
      </w:r>
      <w:r>
        <w:rPr>
          <w:rFonts w:ascii="Times New Roman" w:hAnsi="Times New Roman" w:eastAsia="Times New Roman" w:cs="Times New Roman"/>
          <w:spacing w:val="8"/>
          <w:sz w:val="23"/>
          <w:szCs w:val="23"/>
        </w:rPr>
        <w:t>“</w:t>
      </w:r>
      <w:r>
        <w:rPr>
          <w:rFonts w:ascii="宋体" w:hAnsi="宋体" w:eastAsia="宋体" w:cs="宋体"/>
          <w:spacing w:val="8"/>
          <w:sz w:val="23"/>
          <w:szCs w:val="23"/>
        </w:rPr>
        <w:t>丰逸标准化</w:t>
      </w:r>
      <w:r>
        <w:rPr>
          <w:rFonts w:ascii="宋体" w:hAnsi="宋体" w:eastAsia="宋体" w:cs="宋体"/>
          <w:spacing w:val="5"/>
          <w:sz w:val="23"/>
          <w:szCs w:val="23"/>
        </w:rPr>
        <w:t>代</w:t>
      </w:r>
      <w:r>
        <w:rPr>
          <w:rFonts w:ascii="宋体" w:hAnsi="宋体" w:eastAsia="宋体" w:cs="宋体"/>
          <w:spacing w:val="4"/>
          <w:sz w:val="23"/>
          <w:szCs w:val="23"/>
        </w:rPr>
        <w:t>养场建设项目</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 xml:space="preserve">，项目建成后将形成年存栏育肥猪 </w:t>
      </w:r>
      <w:r>
        <w:rPr>
          <w:rFonts w:ascii="Times New Roman" w:hAnsi="Times New Roman" w:eastAsia="Times New Roman" w:cs="Times New Roman"/>
          <w:spacing w:val="4"/>
          <w:sz w:val="23"/>
          <w:szCs w:val="23"/>
        </w:rPr>
        <w:t xml:space="preserve">10400 </w:t>
      </w:r>
      <w:r>
        <w:rPr>
          <w:rFonts w:ascii="宋体" w:hAnsi="宋体" w:eastAsia="宋体" w:cs="宋体"/>
          <w:spacing w:val="4"/>
          <w:sz w:val="23"/>
          <w:szCs w:val="23"/>
        </w:rPr>
        <w:t>头的养殖能力，</w:t>
      </w:r>
      <w:r>
        <w:rPr>
          <w:rFonts w:ascii="宋体" w:hAnsi="宋体" w:eastAsia="宋体" w:cs="宋体"/>
          <w:sz w:val="23"/>
          <w:szCs w:val="23"/>
        </w:rPr>
        <w:t xml:space="preserve"> </w:t>
      </w:r>
      <w:r>
        <w:rPr>
          <w:rFonts w:ascii="宋体" w:hAnsi="宋体" w:eastAsia="宋体" w:cs="宋体"/>
          <w:spacing w:val="14"/>
          <w:sz w:val="23"/>
          <w:szCs w:val="23"/>
        </w:rPr>
        <w:t>目前井研县</w:t>
      </w:r>
      <w:r>
        <w:rPr>
          <w:rFonts w:ascii="宋体" w:hAnsi="宋体" w:eastAsia="宋体" w:cs="宋体"/>
          <w:spacing w:val="11"/>
          <w:sz w:val="23"/>
          <w:szCs w:val="23"/>
        </w:rPr>
        <w:t>发</w:t>
      </w:r>
      <w:r>
        <w:rPr>
          <w:rFonts w:ascii="宋体" w:hAnsi="宋体" w:eastAsia="宋体" w:cs="宋体"/>
          <w:spacing w:val="7"/>
          <w:sz w:val="23"/>
          <w:szCs w:val="23"/>
        </w:rPr>
        <w:t>展和改革局已以</w:t>
      </w:r>
      <w:r>
        <w:rPr>
          <w:rFonts w:ascii="Times New Roman" w:hAnsi="Times New Roman" w:eastAsia="Times New Roman" w:cs="Times New Roman"/>
          <w:spacing w:val="7"/>
          <w:sz w:val="23"/>
          <w:szCs w:val="23"/>
        </w:rPr>
        <w:t>“</w:t>
      </w:r>
      <w:r>
        <w:rPr>
          <w:rFonts w:ascii="宋体" w:hAnsi="宋体" w:eastAsia="宋体" w:cs="宋体"/>
          <w:spacing w:val="7"/>
          <w:sz w:val="23"/>
          <w:szCs w:val="23"/>
        </w:rPr>
        <w:t>川投资备【</w:t>
      </w:r>
      <w:r>
        <w:rPr>
          <w:rFonts w:ascii="Times New Roman" w:hAnsi="Times New Roman" w:eastAsia="Times New Roman" w:cs="Times New Roman"/>
          <w:spacing w:val="7"/>
          <w:sz w:val="23"/>
          <w:szCs w:val="23"/>
        </w:rPr>
        <w:t>2019-511124-03-03-356213</w:t>
      </w:r>
      <w:r>
        <w:rPr>
          <w:rFonts w:ascii="宋体" w:hAnsi="宋体" w:eastAsia="宋体" w:cs="宋体"/>
          <w:spacing w:val="7"/>
          <w:sz w:val="23"/>
          <w:szCs w:val="23"/>
        </w:rPr>
        <w:t>】</w:t>
      </w:r>
      <w:r>
        <w:rPr>
          <w:rFonts w:ascii="Times New Roman" w:hAnsi="Times New Roman" w:eastAsia="Times New Roman" w:cs="Times New Roman"/>
          <w:sz w:val="23"/>
          <w:szCs w:val="23"/>
        </w:rPr>
        <w:t>FGQB</w:t>
      </w:r>
      <w:r>
        <w:rPr>
          <w:rFonts w:ascii="Times New Roman" w:hAnsi="Times New Roman" w:eastAsia="Times New Roman" w:cs="Times New Roman"/>
          <w:spacing w:val="7"/>
          <w:sz w:val="23"/>
          <w:szCs w:val="23"/>
        </w:rPr>
        <w:t xml:space="preserve">-0039 </w:t>
      </w:r>
      <w:r>
        <w:rPr>
          <w:rFonts w:ascii="宋体" w:hAnsi="宋体" w:eastAsia="宋体" w:cs="宋体"/>
          <w:spacing w:val="7"/>
          <w:sz w:val="23"/>
          <w:szCs w:val="23"/>
        </w:rPr>
        <w:t>号</w:t>
      </w:r>
      <w:r>
        <w:rPr>
          <w:rFonts w:ascii="Times New Roman" w:hAnsi="Times New Roman" w:eastAsia="Times New Roman" w:cs="Times New Roman"/>
          <w:spacing w:val="7"/>
          <w:sz w:val="23"/>
          <w:szCs w:val="23"/>
        </w:rPr>
        <w:t>”</w:t>
      </w:r>
      <w:r>
        <w:rPr>
          <w:rFonts w:ascii="宋体" w:hAnsi="宋体" w:eastAsia="宋体" w:cs="宋体"/>
          <w:spacing w:val="7"/>
          <w:sz w:val="23"/>
          <w:szCs w:val="23"/>
        </w:rPr>
        <w:t>文件</w:t>
      </w:r>
      <w:r>
        <w:rPr>
          <w:rFonts w:ascii="宋体" w:hAnsi="宋体" w:eastAsia="宋体" w:cs="宋体"/>
          <w:sz w:val="23"/>
          <w:szCs w:val="23"/>
        </w:rPr>
        <w:t xml:space="preserve"> </w:t>
      </w:r>
      <w:r>
        <w:rPr>
          <w:rFonts w:ascii="宋体" w:hAnsi="宋体" w:eastAsia="宋体" w:cs="宋体"/>
          <w:spacing w:val="9"/>
          <w:sz w:val="23"/>
          <w:szCs w:val="23"/>
        </w:rPr>
        <w:t>对本项目进行了备案，同意本项目的建设。</w:t>
      </w:r>
    </w:p>
    <w:p w14:paraId="1949B8A9">
      <w:pPr>
        <w:spacing w:line="370" w:lineRule="exact"/>
        <w:ind w:left="16"/>
        <w:outlineLvl w:val="1"/>
        <w:rPr>
          <w:rFonts w:ascii="宋体" w:hAnsi="宋体" w:eastAsia="宋体" w:cs="宋体"/>
          <w:sz w:val="28"/>
          <w:szCs w:val="28"/>
        </w:rPr>
      </w:pPr>
      <w:bookmarkStart w:id="2" w:name="_bookmark3"/>
      <w:bookmarkEnd w:id="2"/>
      <w:r>
        <w:rPr>
          <w:rFonts w:ascii="宋体" w:hAnsi="宋体" w:eastAsia="宋体" w:cs="宋体"/>
          <w:spacing w:val="-1"/>
          <w:position w:val="1"/>
          <w:sz w:val="28"/>
          <w:szCs w:val="28"/>
          <w14:textOutline w14:w="5105" w14:cap="sq" w14:cmpd="sng" w14:algn="ctr">
            <w14:solidFill>
              <w14:srgbClr w14:val="000000"/>
            </w14:solidFill>
            <w14:prstDash w14:val="solid"/>
            <w14:bevel/>
          </w14:textOutline>
        </w:rPr>
        <w:t>二、环</w:t>
      </w:r>
      <w:r>
        <w:rPr>
          <w:rFonts w:ascii="宋体" w:hAnsi="宋体" w:eastAsia="宋体" w:cs="宋体"/>
          <w:position w:val="1"/>
          <w:sz w:val="28"/>
          <w:szCs w:val="28"/>
          <w14:textOutline w14:w="5105" w14:cap="sq" w14:cmpd="sng" w14:algn="ctr">
            <w14:solidFill>
              <w14:srgbClr w14:val="000000"/>
            </w14:solidFill>
            <w14:prstDash w14:val="solid"/>
            <w14:bevel/>
          </w14:textOutline>
        </w:rPr>
        <w:t>境影响评价的工作过程</w:t>
      </w:r>
    </w:p>
    <w:p w14:paraId="3C3DDF3F">
      <w:pPr>
        <w:spacing w:before="165" w:line="375" w:lineRule="auto"/>
        <w:ind w:left="9" w:right="15" w:firstLine="480"/>
        <w:rPr>
          <w:rFonts w:ascii="宋体" w:hAnsi="宋体" w:eastAsia="宋体" w:cs="宋体"/>
          <w:sz w:val="23"/>
          <w:szCs w:val="23"/>
        </w:rPr>
      </w:pPr>
      <w:r>
        <w:rPr>
          <w:rFonts w:ascii="宋体" w:hAnsi="宋体" w:eastAsia="宋体" w:cs="宋体"/>
          <w:spacing w:val="10"/>
          <w:sz w:val="23"/>
          <w:szCs w:val="23"/>
        </w:rPr>
        <w:t>根</w:t>
      </w:r>
      <w:r>
        <w:rPr>
          <w:rFonts w:ascii="宋体" w:hAnsi="宋体" w:eastAsia="宋体" w:cs="宋体"/>
          <w:spacing w:val="7"/>
          <w:sz w:val="23"/>
          <w:szCs w:val="23"/>
        </w:rPr>
        <w:t>据《中华人民共和国环境保护法》、《中华人民共和国环境影响评价法》和《建设项</w:t>
      </w:r>
      <w:r>
        <w:rPr>
          <w:rFonts w:ascii="宋体" w:hAnsi="宋体" w:eastAsia="宋体" w:cs="宋体"/>
          <w:sz w:val="23"/>
          <w:szCs w:val="23"/>
        </w:rPr>
        <w:t xml:space="preserve"> </w:t>
      </w:r>
      <w:r>
        <w:rPr>
          <w:rFonts w:ascii="宋体" w:hAnsi="宋体" w:eastAsia="宋体" w:cs="宋体"/>
          <w:spacing w:val="14"/>
          <w:sz w:val="23"/>
          <w:szCs w:val="23"/>
        </w:rPr>
        <w:t>目</w:t>
      </w:r>
      <w:r>
        <w:rPr>
          <w:rFonts w:ascii="宋体" w:hAnsi="宋体" w:eastAsia="宋体" w:cs="宋体"/>
          <w:spacing w:val="8"/>
          <w:sz w:val="23"/>
          <w:szCs w:val="23"/>
        </w:rPr>
        <w:t>环</w:t>
      </w:r>
      <w:r>
        <w:rPr>
          <w:rFonts w:ascii="宋体" w:hAnsi="宋体" w:eastAsia="宋体" w:cs="宋体"/>
          <w:spacing w:val="7"/>
          <w:sz w:val="23"/>
          <w:szCs w:val="23"/>
        </w:rPr>
        <w:t>境保护管理条例》的相关要求，本项目应开展环境影响评价。根据《建设项目环境影响</w:t>
      </w:r>
      <w:r>
        <w:rPr>
          <w:rFonts w:ascii="宋体" w:hAnsi="宋体" w:eastAsia="宋体" w:cs="宋体"/>
          <w:sz w:val="23"/>
          <w:szCs w:val="23"/>
        </w:rPr>
        <w:t xml:space="preserve"> </w:t>
      </w:r>
      <w:r>
        <w:rPr>
          <w:rFonts w:ascii="宋体" w:hAnsi="宋体" w:eastAsia="宋体" w:cs="宋体"/>
          <w:spacing w:val="12"/>
          <w:sz w:val="23"/>
          <w:szCs w:val="23"/>
        </w:rPr>
        <w:t>评价分类</w:t>
      </w:r>
      <w:r>
        <w:rPr>
          <w:rFonts w:ascii="宋体" w:hAnsi="宋体" w:eastAsia="宋体" w:cs="宋体"/>
          <w:spacing w:val="8"/>
          <w:sz w:val="23"/>
          <w:szCs w:val="23"/>
        </w:rPr>
        <w:t>管</w:t>
      </w:r>
      <w:r>
        <w:rPr>
          <w:rFonts w:ascii="宋体" w:hAnsi="宋体" w:eastAsia="宋体" w:cs="宋体"/>
          <w:spacing w:val="6"/>
          <w:sz w:val="23"/>
          <w:szCs w:val="23"/>
        </w:rPr>
        <w:t>理名录》，本项目属于</w:t>
      </w:r>
      <w:r>
        <w:rPr>
          <w:rFonts w:ascii="Times New Roman" w:hAnsi="Times New Roman" w:eastAsia="Times New Roman" w:cs="Times New Roman"/>
          <w:spacing w:val="6"/>
          <w:sz w:val="23"/>
          <w:szCs w:val="23"/>
        </w:rPr>
        <w:t>“</w:t>
      </w:r>
      <w:r>
        <w:rPr>
          <w:rFonts w:ascii="宋体" w:hAnsi="宋体" w:eastAsia="宋体" w:cs="宋体"/>
          <w:spacing w:val="6"/>
          <w:sz w:val="23"/>
          <w:szCs w:val="23"/>
        </w:rPr>
        <w:t>一、畜牧业</w:t>
      </w:r>
      <w:r>
        <w:rPr>
          <w:rFonts w:ascii="Times New Roman" w:hAnsi="Times New Roman" w:eastAsia="Times New Roman" w:cs="Times New Roman"/>
          <w:spacing w:val="6"/>
          <w:sz w:val="23"/>
          <w:szCs w:val="23"/>
        </w:rPr>
        <w:t>”</w:t>
      </w:r>
      <w:r>
        <w:rPr>
          <w:rFonts w:ascii="宋体" w:hAnsi="宋体" w:eastAsia="宋体" w:cs="宋体"/>
          <w:spacing w:val="6"/>
          <w:sz w:val="23"/>
          <w:szCs w:val="23"/>
        </w:rPr>
        <w:t>中</w:t>
      </w:r>
      <w:r>
        <w:rPr>
          <w:rFonts w:ascii="Times New Roman" w:hAnsi="Times New Roman" w:eastAsia="Times New Roman" w:cs="Times New Roman"/>
          <w:spacing w:val="6"/>
          <w:sz w:val="23"/>
          <w:szCs w:val="23"/>
        </w:rPr>
        <w:t>“</w:t>
      </w:r>
      <w:r>
        <w:rPr>
          <w:rFonts w:ascii="宋体" w:hAnsi="宋体" w:eastAsia="宋体" w:cs="宋体"/>
          <w:spacing w:val="6"/>
          <w:sz w:val="23"/>
          <w:szCs w:val="23"/>
        </w:rPr>
        <w:t>畜禽养殖场、养殖小区</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，由于年出栏生</w:t>
      </w:r>
      <w:r>
        <w:rPr>
          <w:rFonts w:ascii="宋体" w:hAnsi="宋体" w:eastAsia="宋体" w:cs="宋体"/>
          <w:sz w:val="23"/>
          <w:szCs w:val="23"/>
        </w:rPr>
        <w:t xml:space="preserve"> </w:t>
      </w:r>
      <w:r>
        <w:rPr>
          <w:rFonts w:ascii="宋体" w:hAnsi="宋体" w:eastAsia="宋体" w:cs="宋体"/>
          <w:spacing w:val="8"/>
          <w:sz w:val="23"/>
          <w:szCs w:val="23"/>
        </w:rPr>
        <w:t xml:space="preserve">猪超过 </w:t>
      </w:r>
      <w:r>
        <w:rPr>
          <w:rFonts w:ascii="Times New Roman" w:hAnsi="Times New Roman" w:eastAsia="Times New Roman" w:cs="Times New Roman"/>
          <w:spacing w:val="8"/>
          <w:sz w:val="23"/>
          <w:szCs w:val="23"/>
        </w:rPr>
        <w:t xml:space="preserve">5000 </w:t>
      </w:r>
      <w:r>
        <w:rPr>
          <w:rFonts w:ascii="宋体" w:hAnsi="宋体" w:eastAsia="宋体" w:cs="宋体"/>
          <w:spacing w:val="8"/>
          <w:sz w:val="23"/>
          <w:szCs w:val="23"/>
        </w:rPr>
        <w:t>头，故应编制环境影响报告书。为此，井研县丰逸养殖专业合作社特委托湖</w:t>
      </w:r>
      <w:r>
        <w:rPr>
          <w:rFonts w:ascii="宋体" w:hAnsi="宋体" w:eastAsia="宋体" w:cs="宋体"/>
          <w:spacing w:val="7"/>
          <w:sz w:val="23"/>
          <w:szCs w:val="23"/>
        </w:rPr>
        <w:t>北</w:t>
      </w:r>
      <w:r>
        <w:rPr>
          <w:rFonts w:ascii="宋体" w:hAnsi="宋体" w:eastAsia="宋体" w:cs="宋体"/>
          <w:sz w:val="23"/>
          <w:szCs w:val="23"/>
        </w:rPr>
        <w:t xml:space="preserve"> </w:t>
      </w:r>
      <w:r>
        <w:rPr>
          <w:rFonts w:ascii="宋体" w:hAnsi="宋体" w:eastAsia="宋体" w:cs="宋体"/>
          <w:spacing w:val="16"/>
          <w:sz w:val="23"/>
          <w:szCs w:val="23"/>
        </w:rPr>
        <w:t>黄环环保</w:t>
      </w:r>
      <w:r>
        <w:rPr>
          <w:rFonts w:ascii="宋体" w:hAnsi="宋体" w:eastAsia="宋体" w:cs="宋体"/>
          <w:spacing w:val="11"/>
          <w:sz w:val="23"/>
          <w:szCs w:val="23"/>
        </w:rPr>
        <w:t>科</w:t>
      </w:r>
      <w:r>
        <w:rPr>
          <w:rFonts w:ascii="宋体" w:hAnsi="宋体" w:eastAsia="宋体" w:cs="宋体"/>
          <w:spacing w:val="8"/>
          <w:sz w:val="23"/>
          <w:szCs w:val="23"/>
        </w:rPr>
        <w:t xml:space="preserve">技有限公司进行该项目的环境影响评价工作。同时建设单位于 </w:t>
      </w:r>
      <w:r>
        <w:rPr>
          <w:rFonts w:ascii="Times New Roman" w:hAnsi="Times New Roman" w:eastAsia="Times New Roman" w:cs="Times New Roman"/>
          <w:spacing w:val="8"/>
          <w:sz w:val="23"/>
          <w:szCs w:val="23"/>
        </w:rPr>
        <w:t xml:space="preserve">2019 </w:t>
      </w:r>
      <w:r>
        <w:rPr>
          <w:rFonts w:ascii="宋体" w:hAnsi="宋体" w:eastAsia="宋体" w:cs="宋体"/>
          <w:spacing w:val="8"/>
          <w:sz w:val="23"/>
          <w:szCs w:val="23"/>
        </w:rPr>
        <w:t xml:space="preserve">年 </w:t>
      </w:r>
      <w:r>
        <w:rPr>
          <w:rFonts w:ascii="Times New Roman" w:hAnsi="Times New Roman" w:eastAsia="Times New Roman" w:cs="Times New Roman"/>
          <w:spacing w:val="8"/>
          <w:sz w:val="23"/>
          <w:szCs w:val="23"/>
        </w:rPr>
        <w:t xml:space="preserve">8 </w:t>
      </w:r>
      <w:r>
        <w:rPr>
          <w:rFonts w:ascii="宋体" w:hAnsi="宋体" w:eastAsia="宋体" w:cs="宋体"/>
          <w:spacing w:val="8"/>
          <w:sz w:val="23"/>
          <w:szCs w:val="23"/>
        </w:rPr>
        <w:t xml:space="preserve">月 </w:t>
      </w:r>
      <w:r>
        <w:rPr>
          <w:rFonts w:ascii="Times New Roman" w:hAnsi="Times New Roman" w:eastAsia="Times New Roman" w:cs="Times New Roman"/>
          <w:spacing w:val="8"/>
          <w:sz w:val="23"/>
          <w:szCs w:val="23"/>
        </w:rPr>
        <w:t>18</w:t>
      </w:r>
      <w:r>
        <w:rPr>
          <w:rFonts w:ascii="Times New Roman" w:hAnsi="Times New Roman" w:eastAsia="Times New Roman" w:cs="Times New Roman"/>
          <w:sz w:val="23"/>
          <w:szCs w:val="23"/>
        </w:rPr>
        <w:t xml:space="preserve"> </w:t>
      </w:r>
      <w:r>
        <w:rPr>
          <w:rFonts w:ascii="宋体" w:hAnsi="宋体" w:eastAsia="宋体" w:cs="宋体"/>
          <w:spacing w:val="14"/>
          <w:sz w:val="23"/>
          <w:szCs w:val="23"/>
        </w:rPr>
        <w:t>日</w:t>
      </w:r>
      <w:r>
        <w:rPr>
          <w:rFonts w:ascii="宋体" w:hAnsi="宋体" w:eastAsia="宋体" w:cs="宋体"/>
          <w:spacing w:val="8"/>
          <w:sz w:val="23"/>
          <w:szCs w:val="23"/>
        </w:rPr>
        <w:t>在</w:t>
      </w:r>
      <w:r>
        <w:rPr>
          <w:rFonts w:ascii="宋体" w:hAnsi="宋体" w:eastAsia="宋体" w:cs="宋体"/>
          <w:spacing w:val="7"/>
          <w:sz w:val="23"/>
          <w:szCs w:val="23"/>
        </w:rPr>
        <w:t>井研县人民政府网上进行了第一次公示，在报告书征求意见稿编制过程中公众均可对本</w:t>
      </w:r>
      <w:r>
        <w:rPr>
          <w:rFonts w:ascii="宋体" w:hAnsi="宋体" w:eastAsia="宋体" w:cs="宋体"/>
          <w:sz w:val="23"/>
          <w:szCs w:val="23"/>
        </w:rPr>
        <w:t xml:space="preserve"> </w:t>
      </w:r>
      <w:r>
        <w:rPr>
          <w:rFonts w:ascii="宋体" w:hAnsi="宋体" w:eastAsia="宋体" w:cs="宋体"/>
          <w:spacing w:val="9"/>
          <w:sz w:val="23"/>
          <w:szCs w:val="23"/>
        </w:rPr>
        <w:t>项</w:t>
      </w:r>
      <w:r>
        <w:rPr>
          <w:rFonts w:ascii="宋体" w:hAnsi="宋体" w:eastAsia="宋体" w:cs="宋体"/>
          <w:spacing w:val="7"/>
          <w:sz w:val="23"/>
          <w:szCs w:val="23"/>
        </w:rPr>
        <w:t>目提出意见。</w:t>
      </w:r>
    </w:p>
    <w:p w14:paraId="2CAA420A">
      <w:pPr>
        <w:spacing w:before="1" w:line="225" w:lineRule="auto"/>
        <w:ind w:left="489"/>
        <w:rPr>
          <w:rFonts w:ascii="宋体" w:hAnsi="宋体" w:eastAsia="宋体" w:cs="宋体"/>
          <w:sz w:val="23"/>
          <w:szCs w:val="23"/>
        </w:rPr>
      </w:pPr>
      <w:r>
        <w:rPr>
          <w:rFonts w:ascii="宋体" w:hAnsi="宋体" w:eastAsia="宋体" w:cs="宋体"/>
          <w:spacing w:val="5"/>
          <w:sz w:val="23"/>
          <w:szCs w:val="23"/>
        </w:rPr>
        <w:t>评</w:t>
      </w:r>
      <w:r>
        <w:rPr>
          <w:rFonts w:ascii="宋体" w:hAnsi="宋体" w:eastAsia="宋体" w:cs="宋体"/>
          <w:spacing w:val="4"/>
          <w:sz w:val="23"/>
          <w:szCs w:val="23"/>
        </w:rPr>
        <w:t xml:space="preserve">价的技术工作程序见下图 </w:t>
      </w:r>
      <w:r>
        <w:rPr>
          <w:rFonts w:ascii="Times New Roman" w:hAnsi="Times New Roman" w:eastAsia="Times New Roman" w:cs="Times New Roman"/>
          <w:spacing w:val="4"/>
          <w:sz w:val="23"/>
          <w:szCs w:val="23"/>
        </w:rPr>
        <w:t>1</w:t>
      </w:r>
      <w:r>
        <w:rPr>
          <w:rFonts w:ascii="宋体" w:hAnsi="宋体" w:eastAsia="宋体" w:cs="宋体"/>
          <w:spacing w:val="4"/>
          <w:sz w:val="23"/>
          <w:szCs w:val="23"/>
        </w:rPr>
        <w:t>。</w:t>
      </w:r>
    </w:p>
    <w:p w14:paraId="1AB43E6B">
      <w:pPr>
        <w:sectPr>
          <w:headerReference r:id="rId9" w:type="default"/>
          <w:footerReference r:id="rId10" w:type="default"/>
          <w:pgSz w:w="11907" w:h="16840"/>
          <w:pgMar w:top="829" w:right="1115" w:bottom="931" w:left="1275" w:header="595" w:footer="768" w:gutter="0"/>
          <w:cols w:space="720" w:num="1"/>
        </w:sectPr>
      </w:pPr>
    </w:p>
    <w:p w14:paraId="0FCB5EF9">
      <w:pPr>
        <w:spacing w:before="111" w:line="8066" w:lineRule="exact"/>
        <w:textAlignment w:val="center"/>
      </w:pPr>
      <w:r>
        <w:drawing>
          <wp:inline distT="0" distB="0" distL="0" distR="0">
            <wp:extent cx="5403850" cy="512191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353"/>
                    <a:stretch>
                      <a:fillRect/>
                    </a:stretch>
                  </pic:blipFill>
                  <pic:spPr>
                    <a:xfrm>
                      <a:off x="0" y="0"/>
                      <a:ext cx="5404103" cy="5122163"/>
                    </a:xfrm>
                    <a:prstGeom prst="rect">
                      <a:avLst/>
                    </a:prstGeom>
                  </pic:spPr>
                </pic:pic>
              </a:graphicData>
            </a:graphic>
          </wp:inline>
        </w:drawing>
      </w:r>
    </w:p>
    <w:p w14:paraId="0807309B">
      <w:pPr>
        <w:spacing w:before="178" w:line="228" w:lineRule="auto"/>
        <w:ind w:left="3963"/>
        <w:rPr>
          <w:rFonts w:ascii="宋体" w:hAnsi="宋体" w:eastAsia="宋体" w:cs="宋体"/>
          <w:sz w:val="20"/>
          <w:szCs w:val="20"/>
        </w:rPr>
      </w:pPr>
      <w:r>
        <w:rPr>
          <w:rFonts w:ascii="宋体" w:hAnsi="宋体" w:eastAsia="宋体" w:cs="宋体"/>
          <w:spacing w:val="2"/>
          <w:sz w:val="20"/>
          <w:szCs w:val="20"/>
          <w14:textOutline w14:w="3797" w14:cap="sq" w14:cmpd="sng" w14:algn="ctr">
            <w14:solidFill>
              <w14:srgbClr w14:val="000000"/>
            </w14:solidFill>
            <w14:prstDash w14:val="solid"/>
            <w14:bevel/>
          </w14:textOutline>
        </w:rPr>
        <w:t>图</w:t>
      </w:r>
      <w:r>
        <w:rPr>
          <w:rFonts w:ascii="宋体" w:hAnsi="宋体" w:eastAsia="宋体" w:cs="宋体"/>
          <w:spacing w:val="2"/>
          <w:sz w:val="20"/>
          <w:szCs w:val="20"/>
        </w:rPr>
        <w:t xml:space="preserve"> </w:t>
      </w:r>
      <w:r>
        <w:rPr>
          <w:rFonts w:ascii="Times New Roman" w:hAnsi="Times New Roman" w:eastAsia="Times New Roman" w:cs="Times New Roman"/>
          <w:b/>
          <w:bCs/>
          <w:spacing w:val="2"/>
          <w:sz w:val="20"/>
          <w:szCs w:val="20"/>
        </w:rPr>
        <w:t>1</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14:textOutline w14:w="3797" w14:cap="sq" w14:cmpd="sng" w14:algn="ctr">
            <w14:solidFill>
              <w14:srgbClr w14:val="000000"/>
            </w14:solidFill>
            <w14:prstDash w14:val="solid"/>
            <w14:bevel/>
          </w14:textOutline>
        </w:rPr>
        <w:t>技术</w:t>
      </w:r>
      <w:r>
        <w:rPr>
          <w:rFonts w:ascii="宋体" w:hAnsi="宋体" w:eastAsia="宋体" w:cs="宋体"/>
          <w:spacing w:val="1"/>
          <w:sz w:val="20"/>
          <w:szCs w:val="20"/>
          <w14:textOutline w14:w="3797" w14:cap="sq" w14:cmpd="sng" w14:algn="ctr">
            <w14:solidFill>
              <w14:srgbClr w14:val="000000"/>
            </w14:solidFill>
            <w14:prstDash w14:val="solid"/>
            <w14:bevel/>
          </w14:textOutline>
        </w:rPr>
        <w:t>工作程序图</w:t>
      </w:r>
    </w:p>
    <w:p w14:paraId="16E05BFD">
      <w:pPr>
        <w:spacing w:before="294" w:line="237" w:lineRule="auto"/>
        <w:ind w:left="11"/>
        <w:outlineLvl w:val="1"/>
        <w:rPr>
          <w:rFonts w:ascii="宋体" w:hAnsi="宋体" w:eastAsia="宋体" w:cs="宋体"/>
          <w:sz w:val="28"/>
          <w:szCs w:val="28"/>
        </w:rPr>
      </w:pPr>
      <w:bookmarkStart w:id="3" w:name="_bookmark4"/>
      <w:bookmarkEnd w:id="3"/>
      <w:r>
        <w:rPr>
          <w:rFonts w:ascii="宋体" w:hAnsi="宋体" w:eastAsia="宋体" w:cs="宋体"/>
          <w:spacing w:val="-1"/>
          <w:sz w:val="28"/>
          <w:szCs w:val="28"/>
          <w14:textOutline w14:w="5105" w14:cap="sq" w14:cmpd="sng" w14:algn="ctr">
            <w14:solidFill>
              <w14:srgbClr w14:val="000000"/>
            </w14:solidFill>
            <w14:prstDash w14:val="solid"/>
            <w14:bevel/>
          </w14:textOutline>
        </w:rPr>
        <w:t>三、评价</w:t>
      </w:r>
      <w:r>
        <w:rPr>
          <w:rFonts w:ascii="宋体" w:hAnsi="宋体" w:eastAsia="宋体" w:cs="宋体"/>
          <w:sz w:val="28"/>
          <w:szCs w:val="28"/>
          <w14:textOutline w14:w="5105" w14:cap="sq" w14:cmpd="sng" w14:algn="ctr">
            <w14:solidFill>
              <w14:srgbClr w14:val="000000"/>
            </w14:solidFill>
            <w14:prstDash w14:val="solid"/>
            <w14:bevel/>
          </w14:textOutline>
        </w:rPr>
        <w:t>目的及原则</w:t>
      </w:r>
    </w:p>
    <w:p w14:paraId="3835BCCC">
      <w:pPr>
        <w:spacing w:before="176" w:line="303" w:lineRule="exact"/>
        <w:ind w:left="496"/>
        <w:rPr>
          <w:rFonts w:ascii="宋体" w:hAnsi="宋体" w:eastAsia="宋体" w:cs="宋体"/>
          <w:sz w:val="23"/>
          <w:szCs w:val="23"/>
        </w:rPr>
      </w:pPr>
      <w:r>
        <w:rPr>
          <w:rFonts w:ascii="Times New Roman" w:hAnsi="Times New Roman" w:eastAsia="Times New Roman" w:cs="Times New Roman"/>
          <w:b/>
          <w:bCs/>
          <w:spacing w:val="-4"/>
          <w:position w:val="1"/>
          <w:sz w:val="23"/>
          <w:szCs w:val="23"/>
        </w:rPr>
        <w:t>1</w:t>
      </w:r>
      <w:r>
        <w:rPr>
          <w:rFonts w:ascii="Times New Roman" w:hAnsi="Times New Roman" w:eastAsia="Times New Roman" w:cs="Times New Roman"/>
          <w:spacing w:val="-2"/>
          <w:position w:val="1"/>
          <w:sz w:val="23"/>
          <w:szCs w:val="23"/>
        </w:rPr>
        <w:t xml:space="preserve"> </w:t>
      </w:r>
      <w:r>
        <w:rPr>
          <w:rFonts w:ascii="宋体" w:hAnsi="宋体" w:eastAsia="宋体" w:cs="宋体"/>
          <w:spacing w:val="-2"/>
          <w:position w:val="1"/>
          <w:sz w:val="23"/>
          <w:szCs w:val="23"/>
          <w14:textOutline w14:w="4356" w14:cap="sq" w14:cmpd="sng" w14:algn="ctr">
            <w14:solidFill>
              <w14:srgbClr w14:val="000000"/>
            </w14:solidFill>
            <w14:prstDash w14:val="solid"/>
            <w14:bevel/>
          </w14:textOutline>
        </w:rPr>
        <w:t>、评价目的</w:t>
      </w:r>
    </w:p>
    <w:p w14:paraId="0098A752">
      <w:pPr>
        <w:spacing w:before="164" w:line="375" w:lineRule="auto"/>
        <w:ind w:left="9" w:right="61" w:firstLine="492"/>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7"/>
          <w:sz w:val="23"/>
          <w:szCs w:val="23"/>
        </w:rPr>
        <w:t>1</w:t>
      </w:r>
      <w:r>
        <w:rPr>
          <w:rFonts w:ascii="宋体" w:hAnsi="宋体" w:eastAsia="宋体" w:cs="宋体"/>
          <w:spacing w:val="12"/>
          <w:sz w:val="23"/>
          <w:szCs w:val="23"/>
        </w:rPr>
        <w:t>) 通过国家和省市的产业政策、城市及环境规划的了解和分析，论证项目建设及其</w:t>
      </w:r>
      <w:r>
        <w:rPr>
          <w:rFonts w:ascii="宋体" w:hAnsi="宋体" w:eastAsia="宋体" w:cs="宋体"/>
          <w:sz w:val="23"/>
          <w:szCs w:val="23"/>
        </w:rPr>
        <w:t xml:space="preserve"> </w:t>
      </w:r>
      <w:r>
        <w:rPr>
          <w:rFonts w:ascii="宋体" w:hAnsi="宋体" w:eastAsia="宋体" w:cs="宋体"/>
          <w:spacing w:val="11"/>
          <w:sz w:val="23"/>
          <w:szCs w:val="23"/>
        </w:rPr>
        <w:t>选</w:t>
      </w:r>
      <w:r>
        <w:rPr>
          <w:rFonts w:ascii="宋体" w:hAnsi="宋体" w:eastAsia="宋体" w:cs="宋体"/>
          <w:spacing w:val="8"/>
          <w:sz w:val="23"/>
          <w:szCs w:val="23"/>
        </w:rPr>
        <w:t>址的可行性和合理性；</w:t>
      </w:r>
    </w:p>
    <w:p w14:paraId="7B5793A8">
      <w:pPr>
        <w:spacing w:before="2" w:line="374" w:lineRule="auto"/>
        <w:ind w:left="11" w:right="61" w:firstLine="490"/>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7"/>
          <w:sz w:val="23"/>
          <w:szCs w:val="23"/>
        </w:rPr>
        <w:t>2</w:t>
      </w:r>
      <w:r>
        <w:rPr>
          <w:rFonts w:ascii="宋体" w:hAnsi="宋体" w:eastAsia="宋体" w:cs="宋体"/>
          <w:spacing w:val="12"/>
          <w:sz w:val="23"/>
          <w:szCs w:val="23"/>
        </w:rPr>
        <w:t>) 通过对建设项目周围环境现状资料调查收集及环境现状监测，掌握评价区域的环</w:t>
      </w:r>
      <w:r>
        <w:rPr>
          <w:rFonts w:ascii="宋体" w:hAnsi="宋体" w:eastAsia="宋体" w:cs="宋体"/>
          <w:sz w:val="23"/>
          <w:szCs w:val="23"/>
        </w:rPr>
        <w:t xml:space="preserve"> </w:t>
      </w:r>
      <w:r>
        <w:rPr>
          <w:rFonts w:ascii="宋体" w:hAnsi="宋体" w:eastAsia="宋体" w:cs="宋体"/>
          <w:spacing w:val="9"/>
          <w:sz w:val="23"/>
          <w:szCs w:val="23"/>
        </w:rPr>
        <w:t>境质量现状，确定主要环境保护目标</w:t>
      </w:r>
      <w:r>
        <w:rPr>
          <w:rFonts w:ascii="宋体" w:hAnsi="宋体" w:eastAsia="宋体" w:cs="宋体"/>
          <w:spacing w:val="5"/>
          <w:sz w:val="23"/>
          <w:szCs w:val="23"/>
        </w:rPr>
        <w:t>；</w:t>
      </w:r>
    </w:p>
    <w:p w14:paraId="69C88DF0">
      <w:pPr>
        <w:spacing w:line="375" w:lineRule="auto"/>
        <w:ind w:left="9" w:right="61" w:firstLine="492"/>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7"/>
          <w:sz w:val="23"/>
          <w:szCs w:val="23"/>
        </w:rPr>
        <w:t>3</w:t>
      </w:r>
      <w:r>
        <w:rPr>
          <w:rFonts w:ascii="宋体" w:hAnsi="宋体" w:eastAsia="宋体" w:cs="宋体"/>
          <w:spacing w:val="12"/>
          <w:sz w:val="23"/>
          <w:szCs w:val="23"/>
        </w:rPr>
        <w:t>) 通过对该建设项目工程内容的分析，确定项目建成后的工程特点、污染物排放特</w:t>
      </w:r>
      <w:r>
        <w:rPr>
          <w:rFonts w:ascii="宋体" w:hAnsi="宋体" w:eastAsia="宋体" w:cs="宋体"/>
          <w:sz w:val="23"/>
          <w:szCs w:val="23"/>
        </w:rPr>
        <w:t xml:space="preserve"> </w:t>
      </w:r>
      <w:r>
        <w:rPr>
          <w:rFonts w:ascii="宋体" w:hAnsi="宋体" w:eastAsia="宋体" w:cs="宋体"/>
          <w:spacing w:val="14"/>
          <w:sz w:val="23"/>
          <w:szCs w:val="23"/>
        </w:rPr>
        <w:t>征</w:t>
      </w:r>
      <w:r>
        <w:rPr>
          <w:rFonts w:ascii="宋体" w:hAnsi="宋体" w:eastAsia="宋体" w:cs="宋体"/>
          <w:spacing w:val="8"/>
          <w:sz w:val="23"/>
          <w:szCs w:val="23"/>
        </w:rPr>
        <w:t>。</w:t>
      </w:r>
      <w:r>
        <w:rPr>
          <w:rFonts w:ascii="宋体" w:hAnsi="宋体" w:eastAsia="宋体" w:cs="宋体"/>
          <w:spacing w:val="7"/>
          <w:sz w:val="23"/>
          <w:szCs w:val="23"/>
        </w:rPr>
        <w:t>结合周围环境特点和项目污染物排放特征，主要分析预测项目运营期对周围环境的影响</w:t>
      </w:r>
      <w:r>
        <w:rPr>
          <w:rFonts w:ascii="宋体" w:hAnsi="宋体" w:eastAsia="宋体" w:cs="宋体"/>
          <w:sz w:val="23"/>
          <w:szCs w:val="23"/>
        </w:rPr>
        <w:t xml:space="preserve"> </w:t>
      </w:r>
      <w:r>
        <w:rPr>
          <w:rFonts w:ascii="宋体" w:hAnsi="宋体" w:eastAsia="宋体" w:cs="宋体"/>
          <w:spacing w:val="11"/>
          <w:sz w:val="23"/>
          <w:szCs w:val="23"/>
        </w:rPr>
        <w:t>程</w:t>
      </w:r>
      <w:r>
        <w:rPr>
          <w:rFonts w:ascii="宋体" w:hAnsi="宋体" w:eastAsia="宋体" w:cs="宋体"/>
          <w:spacing w:val="9"/>
          <w:sz w:val="23"/>
          <w:szCs w:val="23"/>
        </w:rPr>
        <w:t>度、影响范围以及环境质量可能发生的变化；</w:t>
      </w:r>
    </w:p>
    <w:p w14:paraId="4DFA29F2">
      <w:pPr>
        <w:spacing w:before="2" w:line="374" w:lineRule="auto"/>
        <w:ind w:left="12" w:firstLine="489"/>
        <w:rPr>
          <w:rFonts w:ascii="宋体" w:hAnsi="宋体" w:eastAsia="宋体" w:cs="宋体"/>
          <w:sz w:val="23"/>
          <w:szCs w:val="23"/>
        </w:rPr>
      </w:pPr>
      <w:r>
        <w:rPr>
          <w:rFonts w:ascii="宋体" w:hAnsi="宋体" w:eastAsia="宋体" w:cs="宋体"/>
          <w:spacing w:val="8"/>
          <w:sz w:val="23"/>
          <w:szCs w:val="23"/>
        </w:rPr>
        <w:t>(</w:t>
      </w:r>
      <w:r>
        <w:rPr>
          <w:rFonts w:ascii="Times New Roman" w:hAnsi="Times New Roman" w:eastAsia="Times New Roman" w:cs="Times New Roman"/>
          <w:spacing w:val="8"/>
          <w:sz w:val="23"/>
          <w:szCs w:val="23"/>
        </w:rPr>
        <w:t>4</w:t>
      </w:r>
      <w:r>
        <w:rPr>
          <w:rFonts w:ascii="宋体" w:hAnsi="宋体" w:eastAsia="宋体" w:cs="宋体"/>
          <w:spacing w:val="8"/>
          <w:sz w:val="23"/>
          <w:szCs w:val="23"/>
        </w:rPr>
        <w:t>) 根据工程分析和影响预测评价的结果，对建设单位选用的污染治理设施作出评价</w:t>
      </w:r>
      <w:r>
        <w:rPr>
          <w:rFonts w:ascii="宋体" w:hAnsi="宋体" w:eastAsia="宋体" w:cs="宋体"/>
          <w:spacing w:val="5"/>
          <w:sz w:val="23"/>
          <w:szCs w:val="23"/>
        </w:rPr>
        <w:t>，</w:t>
      </w:r>
      <w:r>
        <w:rPr>
          <w:rFonts w:ascii="宋体" w:hAnsi="宋体" w:eastAsia="宋体" w:cs="宋体"/>
          <w:sz w:val="23"/>
          <w:szCs w:val="23"/>
        </w:rPr>
        <w:t xml:space="preserve"> </w:t>
      </w:r>
      <w:r>
        <w:rPr>
          <w:rFonts w:ascii="宋体" w:hAnsi="宋体" w:eastAsia="宋体" w:cs="宋体"/>
          <w:spacing w:val="18"/>
          <w:sz w:val="23"/>
          <w:szCs w:val="23"/>
        </w:rPr>
        <w:t>论</w:t>
      </w:r>
      <w:r>
        <w:rPr>
          <w:rFonts w:ascii="宋体" w:hAnsi="宋体" w:eastAsia="宋体" w:cs="宋体"/>
          <w:spacing w:val="12"/>
          <w:sz w:val="23"/>
          <w:szCs w:val="23"/>
        </w:rPr>
        <w:t>述</w:t>
      </w:r>
      <w:r>
        <w:rPr>
          <w:rFonts w:ascii="宋体" w:hAnsi="宋体" w:eastAsia="宋体" w:cs="宋体"/>
          <w:spacing w:val="9"/>
          <w:sz w:val="23"/>
          <w:szCs w:val="23"/>
        </w:rPr>
        <w:t>本项目环保设施的可靠性和合理性，提出防治和减缓措施的对策和建议；</w:t>
      </w:r>
    </w:p>
    <w:p w14:paraId="11280920">
      <w:pPr>
        <w:spacing w:before="1" w:line="382" w:lineRule="auto"/>
        <w:ind w:left="11" w:right="61" w:firstLine="490"/>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7"/>
          <w:sz w:val="23"/>
          <w:szCs w:val="23"/>
        </w:rPr>
        <w:t>5</w:t>
      </w:r>
      <w:r>
        <w:rPr>
          <w:rFonts w:ascii="宋体" w:hAnsi="宋体" w:eastAsia="宋体" w:cs="宋体"/>
          <w:spacing w:val="12"/>
          <w:sz w:val="23"/>
          <w:szCs w:val="23"/>
        </w:rPr>
        <w:t>) 从环保的角度明确给出项目建设的可行性结论，同时对项目提出环境管理和环境</w:t>
      </w:r>
      <w:r>
        <w:rPr>
          <w:rFonts w:ascii="宋体" w:hAnsi="宋体" w:eastAsia="宋体" w:cs="宋体"/>
          <w:sz w:val="23"/>
          <w:szCs w:val="23"/>
        </w:rPr>
        <w:t xml:space="preserve"> </w:t>
      </w:r>
      <w:r>
        <w:rPr>
          <w:rFonts w:ascii="宋体" w:hAnsi="宋体" w:eastAsia="宋体" w:cs="宋体"/>
          <w:spacing w:val="12"/>
          <w:sz w:val="23"/>
          <w:szCs w:val="23"/>
        </w:rPr>
        <w:t>监</w:t>
      </w:r>
      <w:r>
        <w:rPr>
          <w:rFonts w:ascii="宋体" w:hAnsi="宋体" w:eastAsia="宋体" w:cs="宋体"/>
          <w:spacing w:val="9"/>
          <w:sz w:val="23"/>
          <w:szCs w:val="23"/>
        </w:rPr>
        <w:t>测建议，从而为环保决策和管理部门提供科学依据。</w:t>
      </w:r>
    </w:p>
    <w:p w14:paraId="47F2CCCB">
      <w:pPr>
        <w:sectPr>
          <w:headerReference r:id="rId11" w:type="default"/>
          <w:footerReference r:id="rId12" w:type="default"/>
          <w:pgSz w:w="11907" w:h="16840"/>
          <w:pgMar w:top="829" w:right="1071" w:bottom="931" w:left="1275" w:header="595" w:footer="768" w:gutter="0"/>
          <w:cols w:space="720" w:num="1"/>
        </w:sectPr>
      </w:pPr>
    </w:p>
    <w:p w14:paraId="48A75C1D">
      <w:pPr>
        <w:spacing w:before="146" w:line="303" w:lineRule="exact"/>
        <w:ind w:left="486"/>
        <w:rPr>
          <w:rFonts w:ascii="宋体" w:hAnsi="宋体" w:eastAsia="宋体" w:cs="宋体"/>
          <w:sz w:val="23"/>
          <w:szCs w:val="23"/>
        </w:rPr>
      </w:pPr>
      <w:r>
        <w:rPr>
          <w:rFonts w:ascii="Times New Roman" w:hAnsi="Times New Roman" w:eastAsia="Times New Roman" w:cs="Times New Roman"/>
          <w:b/>
          <w:bCs/>
          <w:spacing w:val="-1"/>
          <w:position w:val="1"/>
          <w:sz w:val="23"/>
          <w:szCs w:val="23"/>
        </w:rPr>
        <w:t>2</w:t>
      </w:r>
      <w:r>
        <w:rPr>
          <w:rFonts w:ascii="Times New Roman" w:hAnsi="Times New Roman" w:eastAsia="Times New Roman" w:cs="Times New Roman"/>
          <w:spacing w:val="-1"/>
          <w:position w:val="1"/>
          <w:sz w:val="23"/>
          <w:szCs w:val="23"/>
        </w:rPr>
        <w:t xml:space="preserve"> </w:t>
      </w:r>
      <w:r>
        <w:rPr>
          <w:rFonts w:ascii="宋体" w:hAnsi="宋体" w:eastAsia="宋体" w:cs="宋体"/>
          <w:spacing w:val="-1"/>
          <w:position w:val="1"/>
          <w:sz w:val="23"/>
          <w:szCs w:val="23"/>
          <w14:textOutline w14:w="4356" w14:cap="sq" w14:cmpd="sng" w14:algn="ctr">
            <w14:solidFill>
              <w14:srgbClr w14:val="000000"/>
            </w14:solidFill>
            <w14:prstDash w14:val="solid"/>
            <w14:bevel/>
          </w14:textOutline>
        </w:rPr>
        <w:t>、评价原</w:t>
      </w:r>
      <w:r>
        <w:rPr>
          <w:rFonts w:ascii="宋体" w:hAnsi="宋体" w:eastAsia="宋体" w:cs="宋体"/>
          <w:position w:val="1"/>
          <w:sz w:val="23"/>
          <w:szCs w:val="23"/>
          <w14:textOutline w14:w="4356" w14:cap="sq" w14:cmpd="sng" w14:algn="ctr">
            <w14:solidFill>
              <w14:srgbClr w14:val="000000"/>
            </w14:solidFill>
            <w14:prstDash w14:val="solid"/>
            <w14:bevel/>
          </w14:textOutline>
        </w:rPr>
        <w:t>则</w:t>
      </w:r>
    </w:p>
    <w:p w14:paraId="5785B29B">
      <w:pPr>
        <w:spacing w:before="162" w:line="226" w:lineRule="auto"/>
        <w:ind w:left="498"/>
        <w:rPr>
          <w:rFonts w:ascii="宋体" w:hAnsi="宋体" w:eastAsia="宋体" w:cs="宋体"/>
          <w:sz w:val="23"/>
          <w:szCs w:val="23"/>
        </w:rPr>
      </w:pPr>
      <w:r>
        <w:rPr>
          <w:rFonts w:ascii="宋体" w:hAnsi="宋体" w:eastAsia="宋体" w:cs="宋体"/>
          <w:spacing w:val="9"/>
          <w:sz w:val="23"/>
          <w:szCs w:val="23"/>
        </w:rPr>
        <w:t>突出环境影响评价的源头预防作用，坚持保护和改善环境质量。</w:t>
      </w:r>
    </w:p>
    <w:p w14:paraId="3F21B7A1">
      <w:pPr>
        <w:spacing w:before="186" w:line="226" w:lineRule="auto"/>
        <w:ind w:left="50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1</w:t>
      </w:r>
      <w:r>
        <w:rPr>
          <w:rFonts w:ascii="宋体" w:hAnsi="宋体" w:eastAsia="宋体" w:cs="宋体"/>
          <w:spacing w:val="20"/>
          <w:sz w:val="23"/>
          <w:szCs w:val="23"/>
        </w:rPr>
        <w:t>) 依法评</w:t>
      </w:r>
      <w:r>
        <w:rPr>
          <w:rFonts w:ascii="宋体" w:hAnsi="宋体" w:eastAsia="宋体" w:cs="宋体"/>
          <w:spacing w:val="19"/>
          <w:sz w:val="23"/>
          <w:szCs w:val="23"/>
        </w:rPr>
        <w:t>价</w:t>
      </w:r>
    </w:p>
    <w:p w14:paraId="0B8E74BB">
      <w:pPr>
        <w:spacing w:before="183" w:line="376" w:lineRule="auto"/>
        <w:ind w:left="15" w:right="61" w:firstLine="480"/>
        <w:rPr>
          <w:rFonts w:ascii="宋体" w:hAnsi="宋体" w:eastAsia="宋体" w:cs="宋体"/>
          <w:sz w:val="23"/>
          <w:szCs w:val="23"/>
        </w:rPr>
      </w:pPr>
      <w:r>
        <w:rPr>
          <w:rFonts w:ascii="宋体" w:hAnsi="宋体" w:eastAsia="宋体" w:cs="宋体"/>
          <w:spacing w:val="7"/>
          <w:sz w:val="23"/>
          <w:szCs w:val="23"/>
        </w:rPr>
        <w:t>贯彻执行我国环境保护相关法律法规、标准、政策和规划等，优化项目建设，服务环</w:t>
      </w:r>
      <w:r>
        <w:rPr>
          <w:rFonts w:ascii="宋体" w:hAnsi="宋体" w:eastAsia="宋体" w:cs="宋体"/>
          <w:spacing w:val="2"/>
          <w:sz w:val="23"/>
          <w:szCs w:val="23"/>
        </w:rPr>
        <w:t>境</w:t>
      </w:r>
      <w:r>
        <w:rPr>
          <w:rFonts w:ascii="宋体" w:hAnsi="宋体" w:eastAsia="宋体" w:cs="宋体"/>
          <w:sz w:val="23"/>
          <w:szCs w:val="23"/>
        </w:rPr>
        <w:t xml:space="preserve"> </w:t>
      </w:r>
      <w:r>
        <w:rPr>
          <w:rFonts w:ascii="宋体" w:hAnsi="宋体" w:eastAsia="宋体" w:cs="宋体"/>
          <w:spacing w:val="2"/>
          <w:sz w:val="23"/>
          <w:szCs w:val="23"/>
        </w:rPr>
        <w:t>管</w:t>
      </w:r>
      <w:r>
        <w:rPr>
          <w:rFonts w:ascii="宋体" w:hAnsi="宋体" w:eastAsia="宋体" w:cs="宋体"/>
          <w:spacing w:val="1"/>
          <w:sz w:val="23"/>
          <w:szCs w:val="23"/>
        </w:rPr>
        <w:t>理。</w:t>
      </w:r>
    </w:p>
    <w:p w14:paraId="7320EA38">
      <w:pPr>
        <w:spacing w:before="1" w:line="225" w:lineRule="auto"/>
        <w:ind w:left="50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2</w:t>
      </w:r>
      <w:r>
        <w:rPr>
          <w:rFonts w:ascii="宋体" w:hAnsi="宋体" w:eastAsia="宋体" w:cs="宋体"/>
          <w:spacing w:val="20"/>
          <w:sz w:val="23"/>
          <w:szCs w:val="23"/>
        </w:rPr>
        <w:t>) 科学评</w:t>
      </w:r>
      <w:r>
        <w:rPr>
          <w:rFonts w:ascii="宋体" w:hAnsi="宋体" w:eastAsia="宋体" w:cs="宋体"/>
          <w:spacing w:val="19"/>
          <w:sz w:val="23"/>
          <w:szCs w:val="23"/>
        </w:rPr>
        <w:t>价</w:t>
      </w:r>
    </w:p>
    <w:p w14:paraId="50C660B3">
      <w:pPr>
        <w:spacing w:before="184" w:line="226" w:lineRule="auto"/>
        <w:ind w:left="491"/>
        <w:rPr>
          <w:rFonts w:ascii="宋体" w:hAnsi="宋体" w:eastAsia="宋体" w:cs="宋体"/>
          <w:sz w:val="23"/>
          <w:szCs w:val="23"/>
        </w:rPr>
      </w:pPr>
      <w:r>
        <w:rPr>
          <w:rFonts w:ascii="宋体" w:hAnsi="宋体" w:eastAsia="宋体" w:cs="宋体"/>
          <w:spacing w:val="16"/>
          <w:sz w:val="23"/>
          <w:szCs w:val="23"/>
        </w:rPr>
        <w:t>规</w:t>
      </w:r>
      <w:r>
        <w:rPr>
          <w:rFonts w:ascii="宋体" w:hAnsi="宋体" w:eastAsia="宋体" w:cs="宋体"/>
          <w:spacing w:val="9"/>
          <w:sz w:val="23"/>
          <w:szCs w:val="23"/>
        </w:rPr>
        <w:t>范环境影响评价方法、科学分析项目建设对环境质量的影响。</w:t>
      </w:r>
    </w:p>
    <w:p w14:paraId="6578A4B1">
      <w:pPr>
        <w:spacing w:before="186" w:line="230" w:lineRule="auto"/>
        <w:ind w:left="50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3</w:t>
      </w:r>
      <w:r>
        <w:rPr>
          <w:rFonts w:ascii="宋体" w:hAnsi="宋体" w:eastAsia="宋体" w:cs="宋体"/>
          <w:spacing w:val="20"/>
          <w:sz w:val="23"/>
          <w:szCs w:val="23"/>
        </w:rPr>
        <w:t>) 突出重</w:t>
      </w:r>
      <w:r>
        <w:rPr>
          <w:rFonts w:ascii="宋体" w:hAnsi="宋体" w:eastAsia="宋体" w:cs="宋体"/>
          <w:spacing w:val="19"/>
          <w:sz w:val="23"/>
          <w:szCs w:val="23"/>
        </w:rPr>
        <w:t>点</w:t>
      </w:r>
    </w:p>
    <w:p w14:paraId="60530931">
      <w:pPr>
        <w:spacing w:before="177" w:line="377" w:lineRule="auto"/>
        <w:ind w:left="10" w:right="61" w:firstLine="480"/>
        <w:rPr>
          <w:rFonts w:ascii="宋体" w:hAnsi="宋体" w:eastAsia="宋体" w:cs="宋体"/>
          <w:sz w:val="23"/>
          <w:szCs w:val="23"/>
        </w:rPr>
      </w:pPr>
      <w:r>
        <w:rPr>
          <w:rFonts w:ascii="宋体" w:hAnsi="宋体" w:eastAsia="宋体" w:cs="宋体"/>
          <w:spacing w:val="8"/>
          <w:sz w:val="23"/>
          <w:szCs w:val="23"/>
        </w:rPr>
        <w:t>根</w:t>
      </w:r>
      <w:r>
        <w:rPr>
          <w:rFonts w:ascii="宋体" w:hAnsi="宋体" w:eastAsia="宋体" w:cs="宋体"/>
          <w:spacing w:val="7"/>
          <w:sz w:val="23"/>
          <w:szCs w:val="23"/>
        </w:rPr>
        <w:t>据建设项目的工程内容及其特点，明确与环境要素间的作用效应关系，根据规划环境</w:t>
      </w:r>
      <w:r>
        <w:rPr>
          <w:rFonts w:ascii="宋体" w:hAnsi="宋体" w:eastAsia="宋体" w:cs="宋体"/>
          <w:sz w:val="23"/>
          <w:szCs w:val="23"/>
        </w:rPr>
        <w:t xml:space="preserve"> </w:t>
      </w:r>
      <w:r>
        <w:rPr>
          <w:rFonts w:ascii="宋体" w:hAnsi="宋体" w:eastAsia="宋体" w:cs="宋体"/>
          <w:spacing w:val="14"/>
          <w:sz w:val="23"/>
          <w:szCs w:val="23"/>
        </w:rPr>
        <w:t>影</w:t>
      </w:r>
      <w:r>
        <w:rPr>
          <w:rFonts w:ascii="宋体" w:hAnsi="宋体" w:eastAsia="宋体" w:cs="宋体"/>
          <w:spacing w:val="7"/>
          <w:sz w:val="23"/>
          <w:szCs w:val="23"/>
        </w:rPr>
        <w:t>响评价结论和审查意见，充分利用符合时效的数据资料及成果，对建设项目主要环境影响</w:t>
      </w:r>
      <w:r>
        <w:rPr>
          <w:rFonts w:ascii="宋体" w:hAnsi="宋体" w:eastAsia="宋体" w:cs="宋体"/>
          <w:sz w:val="23"/>
          <w:szCs w:val="23"/>
        </w:rPr>
        <w:t xml:space="preserve"> </w:t>
      </w:r>
      <w:r>
        <w:rPr>
          <w:rFonts w:ascii="宋体" w:hAnsi="宋体" w:eastAsia="宋体" w:cs="宋体"/>
          <w:spacing w:val="8"/>
          <w:sz w:val="23"/>
          <w:szCs w:val="23"/>
        </w:rPr>
        <w:t>予以重点分析和评价。</w:t>
      </w:r>
    </w:p>
    <w:p w14:paraId="6C949668">
      <w:pPr>
        <w:spacing w:before="1" w:line="222" w:lineRule="auto"/>
        <w:ind w:left="38"/>
        <w:outlineLvl w:val="1"/>
        <w:rPr>
          <w:rFonts w:ascii="宋体" w:hAnsi="宋体" w:eastAsia="宋体" w:cs="宋体"/>
          <w:sz w:val="28"/>
          <w:szCs w:val="28"/>
        </w:rPr>
      </w:pPr>
      <w:bookmarkStart w:id="4" w:name="_bookmark5"/>
      <w:bookmarkEnd w:id="4"/>
      <w:r>
        <w:rPr>
          <w:rFonts w:ascii="宋体" w:hAnsi="宋体" w:eastAsia="宋体" w:cs="宋体"/>
          <w:spacing w:val="-2"/>
          <w:sz w:val="28"/>
          <w:szCs w:val="28"/>
          <w14:textOutline w14:w="5105" w14:cap="sq" w14:cmpd="sng" w14:algn="ctr">
            <w14:solidFill>
              <w14:srgbClr w14:val="000000"/>
            </w14:solidFill>
            <w14:prstDash w14:val="solid"/>
            <w14:bevel/>
          </w14:textOutline>
        </w:rPr>
        <w:t>四</w:t>
      </w:r>
      <w:r>
        <w:rPr>
          <w:rFonts w:ascii="宋体" w:hAnsi="宋体" w:eastAsia="宋体" w:cs="宋体"/>
          <w:spacing w:val="-1"/>
          <w:sz w:val="28"/>
          <w:szCs w:val="28"/>
          <w14:textOutline w14:w="5105" w14:cap="sq" w14:cmpd="sng" w14:algn="ctr">
            <w14:solidFill>
              <w14:srgbClr w14:val="000000"/>
            </w14:solidFill>
            <w14:prstDash w14:val="solid"/>
            <w14:bevel/>
          </w14:textOutline>
        </w:rPr>
        <w:t>、评价关注的主要环境问题及环境影响</w:t>
      </w:r>
    </w:p>
    <w:p w14:paraId="1B5B0C6B">
      <w:pPr>
        <w:spacing w:before="200" w:line="375" w:lineRule="auto"/>
        <w:ind w:left="13" w:right="61" w:firstLine="479"/>
        <w:rPr>
          <w:rFonts w:ascii="宋体" w:hAnsi="宋体" w:eastAsia="宋体" w:cs="宋体"/>
          <w:sz w:val="23"/>
          <w:szCs w:val="23"/>
        </w:rPr>
      </w:pPr>
      <w:r>
        <w:rPr>
          <w:rFonts w:ascii="宋体" w:hAnsi="宋体" w:eastAsia="宋体" w:cs="宋体"/>
          <w:spacing w:val="7"/>
          <w:sz w:val="23"/>
          <w:szCs w:val="23"/>
        </w:rPr>
        <w:t>经过对项目常规监测资料和本次环评中的调查资料的分析，项目评价范围区域内的地</w:t>
      </w:r>
      <w:r>
        <w:rPr>
          <w:rFonts w:ascii="宋体" w:hAnsi="宋体" w:eastAsia="宋体" w:cs="宋体"/>
          <w:spacing w:val="6"/>
          <w:sz w:val="23"/>
          <w:szCs w:val="23"/>
        </w:rPr>
        <w:t>表</w:t>
      </w:r>
      <w:r>
        <w:rPr>
          <w:rFonts w:ascii="宋体" w:hAnsi="宋体" w:eastAsia="宋体" w:cs="宋体"/>
          <w:sz w:val="23"/>
          <w:szCs w:val="23"/>
        </w:rPr>
        <w:t xml:space="preserve"> </w:t>
      </w:r>
      <w:r>
        <w:rPr>
          <w:rFonts w:ascii="宋体" w:hAnsi="宋体" w:eastAsia="宋体" w:cs="宋体"/>
          <w:spacing w:val="13"/>
          <w:sz w:val="23"/>
          <w:szCs w:val="23"/>
        </w:rPr>
        <w:t>水</w:t>
      </w:r>
      <w:r>
        <w:rPr>
          <w:rFonts w:ascii="宋体" w:hAnsi="宋体" w:eastAsia="宋体" w:cs="宋体"/>
          <w:spacing w:val="9"/>
          <w:sz w:val="23"/>
          <w:szCs w:val="23"/>
        </w:rPr>
        <w:t>环境、大气环境、声环境质量等均能满足其功能区的要求。</w:t>
      </w:r>
    </w:p>
    <w:p w14:paraId="0EF8296F">
      <w:pPr>
        <w:spacing w:before="2" w:line="225" w:lineRule="auto"/>
        <w:ind w:left="491"/>
        <w:rPr>
          <w:rFonts w:ascii="宋体" w:hAnsi="宋体" w:eastAsia="宋体" w:cs="宋体"/>
          <w:sz w:val="23"/>
          <w:szCs w:val="23"/>
        </w:rPr>
      </w:pPr>
      <w:r>
        <w:rPr>
          <w:rFonts w:ascii="宋体" w:hAnsi="宋体" w:eastAsia="宋体" w:cs="宋体"/>
          <w:spacing w:val="9"/>
          <w:sz w:val="23"/>
          <w:szCs w:val="23"/>
        </w:rPr>
        <w:t>本次评价关注的主要环境问题及环境影响是</w:t>
      </w:r>
      <w:r>
        <w:rPr>
          <w:rFonts w:ascii="宋体" w:hAnsi="宋体" w:eastAsia="宋体" w:cs="宋体"/>
          <w:spacing w:val="8"/>
          <w:sz w:val="23"/>
          <w:szCs w:val="23"/>
        </w:rPr>
        <w:t>：</w:t>
      </w:r>
    </w:p>
    <w:p w14:paraId="615A4284">
      <w:pPr>
        <w:spacing w:before="184" w:line="228" w:lineRule="auto"/>
        <w:ind w:left="261"/>
        <w:rPr>
          <w:rFonts w:ascii="宋体" w:hAnsi="宋体" w:eastAsia="宋体" w:cs="宋体"/>
          <w:sz w:val="23"/>
          <w:szCs w:val="23"/>
        </w:rPr>
      </w:pPr>
      <w:r>
        <w:rPr>
          <w:rFonts w:ascii="宋体" w:hAnsi="宋体" w:eastAsia="宋体" w:cs="宋体"/>
          <w:spacing w:val="13"/>
          <w:sz w:val="23"/>
          <w:szCs w:val="23"/>
        </w:rPr>
        <w:t>(</w:t>
      </w:r>
      <w:r>
        <w:rPr>
          <w:rFonts w:ascii="Times New Roman" w:hAnsi="Times New Roman" w:eastAsia="Times New Roman" w:cs="Times New Roman"/>
          <w:spacing w:val="12"/>
          <w:sz w:val="23"/>
          <w:szCs w:val="23"/>
        </w:rPr>
        <w:t>1</w:t>
      </w:r>
      <w:r>
        <w:rPr>
          <w:rFonts w:ascii="宋体" w:hAnsi="宋体" w:eastAsia="宋体" w:cs="宋体"/>
          <w:spacing w:val="12"/>
          <w:sz w:val="23"/>
          <w:szCs w:val="23"/>
        </w:rPr>
        <w:t>) 废气：养殖过程产生的恶臭污染物对附近环境及居民生活造成影响。</w:t>
      </w:r>
    </w:p>
    <w:p w14:paraId="5EB6AED3">
      <w:pPr>
        <w:spacing w:before="184" w:line="227" w:lineRule="auto"/>
        <w:ind w:left="261"/>
        <w:rPr>
          <w:rFonts w:ascii="宋体" w:hAnsi="宋体" w:eastAsia="宋体" w:cs="宋体"/>
          <w:sz w:val="23"/>
          <w:szCs w:val="23"/>
        </w:rPr>
      </w:pPr>
      <w:r>
        <w:rPr>
          <w:rFonts w:ascii="宋体" w:hAnsi="宋体" w:eastAsia="宋体" w:cs="宋体"/>
          <w:spacing w:val="12"/>
          <w:sz w:val="23"/>
          <w:szCs w:val="23"/>
        </w:rPr>
        <w:t>(</w:t>
      </w:r>
      <w:r>
        <w:rPr>
          <w:rFonts w:ascii="Times New Roman" w:hAnsi="Times New Roman" w:eastAsia="Times New Roman" w:cs="Times New Roman"/>
          <w:spacing w:val="12"/>
          <w:sz w:val="23"/>
          <w:szCs w:val="23"/>
        </w:rPr>
        <w:t>2</w:t>
      </w:r>
      <w:r>
        <w:rPr>
          <w:rFonts w:ascii="宋体" w:hAnsi="宋体" w:eastAsia="宋体" w:cs="宋体"/>
          <w:spacing w:val="12"/>
          <w:sz w:val="23"/>
          <w:szCs w:val="23"/>
        </w:rPr>
        <w:t xml:space="preserve">) </w:t>
      </w:r>
      <w:r>
        <w:rPr>
          <w:rFonts w:ascii="宋体" w:hAnsi="宋体" w:eastAsia="宋体" w:cs="宋体"/>
          <w:spacing w:val="7"/>
          <w:sz w:val="23"/>
          <w:szCs w:val="23"/>
        </w:rPr>
        <w:t>废</w:t>
      </w:r>
      <w:r>
        <w:rPr>
          <w:rFonts w:ascii="宋体" w:hAnsi="宋体" w:eastAsia="宋体" w:cs="宋体"/>
          <w:spacing w:val="6"/>
          <w:sz w:val="23"/>
          <w:szCs w:val="23"/>
        </w:rPr>
        <w:t>水：养殖过程产生的生活污水、养殖废水对附近环境造成影响。</w:t>
      </w:r>
    </w:p>
    <w:p w14:paraId="215DAB92">
      <w:pPr>
        <w:spacing w:before="182" w:line="375" w:lineRule="auto"/>
        <w:ind w:left="9" w:right="63" w:firstLine="252"/>
        <w:rPr>
          <w:rFonts w:ascii="宋体" w:hAnsi="宋体" w:eastAsia="宋体" w:cs="宋体"/>
          <w:sz w:val="23"/>
          <w:szCs w:val="23"/>
        </w:rPr>
      </w:pPr>
      <w:r>
        <w:rPr>
          <w:rFonts w:ascii="宋体" w:hAnsi="宋体" w:eastAsia="宋体" w:cs="宋体"/>
          <w:spacing w:val="22"/>
          <w:sz w:val="23"/>
          <w:szCs w:val="23"/>
        </w:rPr>
        <w:t>(</w:t>
      </w:r>
      <w:r>
        <w:rPr>
          <w:rFonts w:ascii="Times New Roman" w:hAnsi="Times New Roman" w:eastAsia="Times New Roman" w:cs="Times New Roman"/>
          <w:spacing w:val="22"/>
          <w:sz w:val="23"/>
          <w:szCs w:val="23"/>
        </w:rPr>
        <w:t>3</w:t>
      </w:r>
      <w:r>
        <w:rPr>
          <w:rFonts w:ascii="宋体" w:hAnsi="宋体" w:eastAsia="宋体" w:cs="宋体"/>
          <w:spacing w:val="20"/>
          <w:sz w:val="23"/>
          <w:szCs w:val="23"/>
        </w:rPr>
        <w:t>)</w:t>
      </w:r>
      <w:r>
        <w:rPr>
          <w:rFonts w:ascii="宋体" w:hAnsi="宋体" w:eastAsia="宋体" w:cs="宋体"/>
          <w:spacing w:val="11"/>
          <w:sz w:val="23"/>
          <w:szCs w:val="23"/>
        </w:rPr>
        <w:t xml:space="preserve"> 噪声：项目产生的噪声 (猪群叫声、猪舍排气扇、水泵和风机等) 可能在近距离内</w:t>
      </w:r>
      <w:r>
        <w:rPr>
          <w:rFonts w:ascii="宋体" w:hAnsi="宋体" w:eastAsia="宋体" w:cs="宋体"/>
          <w:sz w:val="23"/>
          <w:szCs w:val="23"/>
        </w:rPr>
        <w:t xml:space="preserve"> </w:t>
      </w:r>
      <w:r>
        <w:rPr>
          <w:rFonts w:ascii="宋体" w:hAnsi="宋体" w:eastAsia="宋体" w:cs="宋体"/>
          <w:spacing w:val="7"/>
          <w:sz w:val="23"/>
          <w:szCs w:val="23"/>
        </w:rPr>
        <w:t>造</w:t>
      </w:r>
      <w:r>
        <w:rPr>
          <w:rFonts w:ascii="宋体" w:hAnsi="宋体" w:eastAsia="宋体" w:cs="宋体"/>
          <w:spacing w:val="6"/>
          <w:sz w:val="23"/>
          <w:szCs w:val="23"/>
        </w:rPr>
        <w:t>成影响。</w:t>
      </w:r>
    </w:p>
    <w:p w14:paraId="218BCE7E">
      <w:pPr>
        <w:spacing w:before="1" w:line="375" w:lineRule="auto"/>
        <w:ind w:left="9" w:right="63" w:firstLine="252"/>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3"/>
          <w:sz w:val="23"/>
          <w:szCs w:val="23"/>
        </w:rPr>
        <w:t>4</w:t>
      </w:r>
      <w:r>
        <w:rPr>
          <w:rFonts w:ascii="宋体" w:hAnsi="宋体" w:eastAsia="宋体" w:cs="宋体"/>
          <w:spacing w:val="12"/>
          <w:sz w:val="23"/>
          <w:szCs w:val="23"/>
        </w:rPr>
        <w:t>) 固体废弃物：粪便、猪尸体、生活垃圾等固体废弃物如果不能得到妥善处理将对附</w:t>
      </w:r>
      <w:r>
        <w:rPr>
          <w:rFonts w:ascii="宋体" w:hAnsi="宋体" w:eastAsia="宋体" w:cs="宋体"/>
          <w:sz w:val="23"/>
          <w:szCs w:val="23"/>
        </w:rPr>
        <w:t xml:space="preserve"> </w:t>
      </w:r>
      <w:r>
        <w:rPr>
          <w:rFonts w:ascii="宋体" w:hAnsi="宋体" w:eastAsia="宋体" w:cs="宋体"/>
          <w:spacing w:val="12"/>
          <w:sz w:val="23"/>
          <w:szCs w:val="23"/>
        </w:rPr>
        <w:t>近</w:t>
      </w:r>
      <w:r>
        <w:rPr>
          <w:rFonts w:ascii="宋体" w:hAnsi="宋体" w:eastAsia="宋体" w:cs="宋体"/>
          <w:spacing w:val="7"/>
          <w:sz w:val="23"/>
          <w:szCs w:val="23"/>
        </w:rPr>
        <w:t>环境造成影响。</w:t>
      </w:r>
    </w:p>
    <w:p w14:paraId="0B7D7212">
      <w:pPr>
        <w:spacing w:before="1" w:line="227" w:lineRule="auto"/>
        <w:ind w:left="261"/>
        <w:rPr>
          <w:rFonts w:ascii="宋体" w:hAnsi="宋体" w:eastAsia="宋体" w:cs="宋体"/>
          <w:sz w:val="23"/>
          <w:szCs w:val="23"/>
        </w:rPr>
      </w:pPr>
      <w:r>
        <w:rPr>
          <w:rFonts w:ascii="宋体" w:hAnsi="宋体" w:eastAsia="宋体" w:cs="宋体"/>
          <w:spacing w:val="12"/>
          <w:sz w:val="23"/>
          <w:szCs w:val="23"/>
        </w:rPr>
        <w:t>(</w:t>
      </w:r>
      <w:r>
        <w:rPr>
          <w:rFonts w:ascii="Times New Roman" w:hAnsi="Times New Roman" w:eastAsia="Times New Roman" w:cs="Times New Roman"/>
          <w:spacing w:val="12"/>
          <w:sz w:val="23"/>
          <w:szCs w:val="23"/>
        </w:rPr>
        <w:t>5</w:t>
      </w:r>
      <w:r>
        <w:rPr>
          <w:rFonts w:ascii="宋体" w:hAnsi="宋体" w:eastAsia="宋体" w:cs="宋体"/>
          <w:spacing w:val="12"/>
          <w:sz w:val="23"/>
          <w:szCs w:val="23"/>
        </w:rPr>
        <w:t>) 地下水：项目涉水区域的防渗措施和要求，避免废水进入地下水系统</w:t>
      </w:r>
      <w:r>
        <w:rPr>
          <w:rFonts w:ascii="宋体" w:hAnsi="宋体" w:eastAsia="宋体" w:cs="宋体"/>
          <w:spacing w:val="11"/>
          <w:sz w:val="23"/>
          <w:szCs w:val="23"/>
        </w:rPr>
        <w:t>。</w:t>
      </w:r>
    </w:p>
    <w:p w14:paraId="668DDC27">
      <w:pPr>
        <w:spacing w:before="188" w:line="230" w:lineRule="auto"/>
        <w:ind w:left="16"/>
        <w:outlineLvl w:val="1"/>
        <w:rPr>
          <w:rFonts w:ascii="宋体" w:hAnsi="宋体" w:eastAsia="宋体" w:cs="宋体"/>
          <w:sz w:val="28"/>
          <w:szCs w:val="28"/>
        </w:rPr>
      </w:pPr>
      <w:bookmarkStart w:id="5" w:name="_bookmark6"/>
      <w:bookmarkEnd w:id="5"/>
      <w:r>
        <w:rPr>
          <w:rFonts w:ascii="宋体" w:hAnsi="宋体" w:eastAsia="宋体" w:cs="宋体"/>
          <w:spacing w:val="-1"/>
          <w:sz w:val="28"/>
          <w:szCs w:val="28"/>
          <w14:textOutline w14:w="5105" w14:cap="sq" w14:cmpd="sng" w14:algn="ctr">
            <w14:solidFill>
              <w14:srgbClr w14:val="000000"/>
            </w14:solidFill>
            <w14:prstDash w14:val="solid"/>
            <w14:bevel/>
          </w14:textOutline>
        </w:rPr>
        <w:t>五、环</w:t>
      </w:r>
      <w:r>
        <w:rPr>
          <w:rFonts w:ascii="宋体" w:hAnsi="宋体" w:eastAsia="宋体" w:cs="宋体"/>
          <w:sz w:val="28"/>
          <w:szCs w:val="28"/>
          <w14:textOutline w14:w="5105" w14:cap="sq" w14:cmpd="sng" w14:algn="ctr">
            <w14:solidFill>
              <w14:srgbClr w14:val="000000"/>
            </w14:solidFill>
            <w14:prstDash w14:val="solid"/>
            <w14:bevel/>
          </w14:textOutline>
        </w:rPr>
        <w:t>境影响评价的主要结论</w:t>
      </w:r>
    </w:p>
    <w:p w14:paraId="6B43A62C">
      <w:pPr>
        <w:spacing w:before="186" w:line="377" w:lineRule="auto"/>
        <w:ind w:left="11" w:firstLine="479"/>
        <w:rPr>
          <w:rFonts w:ascii="宋体" w:hAnsi="宋体" w:eastAsia="宋体" w:cs="宋体"/>
          <w:sz w:val="23"/>
          <w:szCs w:val="23"/>
        </w:rPr>
      </w:pPr>
      <w:r>
        <w:rPr>
          <w:rFonts w:ascii="宋体" w:hAnsi="宋体" w:eastAsia="宋体" w:cs="宋体"/>
          <w:spacing w:val="8"/>
          <w:sz w:val="23"/>
          <w:szCs w:val="23"/>
        </w:rPr>
        <w:t>井</w:t>
      </w:r>
      <w:r>
        <w:rPr>
          <w:rFonts w:ascii="宋体" w:hAnsi="宋体" w:eastAsia="宋体" w:cs="宋体"/>
          <w:spacing w:val="7"/>
          <w:sz w:val="23"/>
          <w:szCs w:val="23"/>
        </w:rPr>
        <w:t>研县丰逸养殖专业合作社丰逸标准化代养场建设项目符合现行国家产业政策；项目选</w:t>
      </w:r>
      <w:r>
        <w:rPr>
          <w:rFonts w:ascii="宋体" w:hAnsi="宋体" w:eastAsia="宋体" w:cs="宋体"/>
          <w:sz w:val="23"/>
          <w:szCs w:val="23"/>
        </w:rPr>
        <w:t xml:space="preserve"> </w:t>
      </w:r>
      <w:r>
        <w:rPr>
          <w:rFonts w:ascii="宋体" w:hAnsi="宋体" w:eastAsia="宋体" w:cs="宋体"/>
          <w:spacing w:val="1"/>
          <w:sz w:val="23"/>
          <w:szCs w:val="23"/>
        </w:rPr>
        <w:t>址位</w:t>
      </w:r>
      <w:r>
        <w:rPr>
          <w:rFonts w:ascii="宋体" w:hAnsi="宋体" w:eastAsia="宋体" w:cs="宋体"/>
          <w:sz w:val="23"/>
          <w:szCs w:val="23"/>
        </w:rPr>
        <w:t xml:space="preserve">于井研县周坡镇周坡村 </w:t>
      </w:r>
      <w:r>
        <w:rPr>
          <w:rFonts w:ascii="Times New Roman" w:hAnsi="Times New Roman" w:eastAsia="Times New Roman" w:cs="Times New Roman"/>
          <w:sz w:val="23"/>
          <w:szCs w:val="23"/>
        </w:rPr>
        <w:t xml:space="preserve">7 </w:t>
      </w:r>
      <w:r>
        <w:rPr>
          <w:rFonts w:ascii="宋体" w:hAnsi="宋体" w:eastAsia="宋体" w:cs="宋体"/>
          <w:sz w:val="23"/>
          <w:szCs w:val="23"/>
        </w:rPr>
        <w:t xml:space="preserve">组、龙桥村 </w:t>
      </w:r>
      <w:r>
        <w:rPr>
          <w:rFonts w:ascii="Times New Roman" w:hAnsi="Times New Roman" w:eastAsia="Times New Roman" w:cs="Times New Roman"/>
          <w:sz w:val="23"/>
          <w:szCs w:val="23"/>
        </w:rPr>
        <w:t xml:space="preserve">2 </w:t>
      </w:r>
      <w:r>
        <w:rPr>
          <w:rFonts w:ascii="宋体" w:hAnsi="宋体" w:eastAsia="宋体" w:cs="宋体"/>
          <w:sz w:val="23"/>
          <w:szCs w:val="23"/>
        </w:rPr>
        <w:t xml:space="preserve">组，不属于井研县畜禽养殖禁养地域和限养地域， </w:t>
      </w:r>
      <w:r>
        <w:rPr>
          <w:rFonts w:ascii="宋体" w:hAnsi="宋体" w:eastAsia="宋体" w:cs="宋体"/>
          <w:spacing w:val="13"/>
          <w:sz w:val="23"/>
          <w:szCs w:val="23"/>
        </w:rPr>
        <w:t>符</w:t>
      </w:r>
      <w:r>
        <w:rPr>
          <w:rFonts w:ascii="宋体" w:hAnsi="宋体" w:eastAsia="宋体" w:cs="宋体"/>
          <w:spacing w:val="7"/>
          <w:sz w:val="23"/>
          <w:szCs w:val="23"/>
        </w:rPr>
        <w:t>合当地发展规划；本项目实施后社会效益明显、经济效益良好，符合国家产业政策。本项</w:t>
      </w:r>
      <w:r>
        <w:rPr>
          <w:rFonts w:ascii="宋体" w:hAnsi="宋体" w:eastAsia="宋体" w:cs="宋体"/>
          <w:sz w:val="23"/>
          <w:szCs w:val="23"/>
        </w:rPr>
        <w:t xml:space="preserve"> </w:t>
      </w:r>
      <w:r>
        <w:rPr>
          <w:rFonts w:ascii="宋体" w:hAnsi="宋体" w:eastAsia="宋体" w:cs="宋体"/>
          <w:spacing w:val="13"/>
          <w:sz w:val="23"/>
          <w:szCs w:val="23"/>
        </w:rPr>
        <w:t>目</w:t>
      </w:r>
      <w:r>
        <w:rPr>
          <w:rFonts w:ascii="宋体" w:hAnsi="宋体" w:eastAsia="宋体" w:cs="宋体"/>
          <w:spacing w:val="7"/>
          <w:sz w:val="23"/>
          <w:szCs w:val="23"/>
        </w:rPr>
        <w:t>采用了国内外先进的设计理念、生产装备和工艺技术，所采用的生产工艺环境友好，配套</w:t>
      </w:r>
      <w:r>
        <w:rPr>
          <w:rFonts w:ascii="宋体" w:hAnsi="宋体" w:eastAsia="宋体" w:cs="宋体"/>
          <w:sz w:val="23"/>
          <w:szCs w:val="23"/>
        </w:rPr>
        <w:t xml:space="preserve"> </w:t>
      </w:r>
      <w:r>
        <w:rPr>
          <w:rFonts w:ascii="宋体" w:hAnsi="宋体" w:eastAsia="宋体" w:cs="宋体"/>
          <w:spacing w:val="16"/>
          <w:sz w:val="23"/>
          <w:szCs w:val="23"/>
        </w:rPr>
        <w:t>了有效</w:t>
      </w:r>
      <w:r>
        <w:rPr>
          <w:rFonts w:ascii="宋体" w:hAnsi="宋体" w:eastAsia="宋体" w:cs="宋体"/>
          <w:spacing w:val="11"/>
          <w:sz w:val="23"/>
          <w:szCs w:val="23"/>
        </w:rPr>
        <w:t>的</w:t>
      </w:r>
      <w:r>
        <w:rPr>
          <w:rFonts w:ascii="宋体" w:hAnsi="宋体" w:eastAsia="宋体" w:cs="宋体"/>
          <w:spacing w:val="8"/>
          <w:sz w:val="23"/>
          <w:szCs w:val="23"/>
        </w:rPr>
        <w:t>三废处理设施，能够做到达标排放，预测表明评价区的水、气、声环境影响较小，</w:t>
      </w:r>
      <w:r>
        <w:rPr>
          <w:rFonts w:ascii="宋体" w:hAnsi="宋体" w:eastAsia="宋体" w:cs="宋体"/>
          <w:sz w:val="23"/>
          <w:szCs w:val="23"/>
        </w:rPr>
        <w:t xml:space="preserve"> </w:t>
      </w:r>
      <w:r>
        <w:rPr>
          <w:rFonts w:ascii="宋体" w:hAnsi="宋体" w:eastAsia="宋体" w:cs="宋体"/>
          <w:spacing w:val="13"/>
          <w:sz w:val="23"/>
          <w:szCs w:val="23"/>
        </w:rPr>
        <w:t>不</w:t>
      </w:r>
      <w:r>
        <w:rPr>
          <w:rFonts w:ascii="宋体" w:hAnsi="宋体" w:eastAsia="宋体" w:cs="宋体"/>
          <w:spacing w:val="7"/>
          <w:sz w:val="23"/>
          <w:szCs w:val="23"/>
        </w:rPr>
        <w:t>会降低项目所在地的环境质量，环境风险影响可接受。项目实施后企业污染物排放总量可</w:t>
      </w:r>
      <w:r>
        <w:rPr>
          <w:rFonts w:ascii="宋体" w:hAnsi="宋体" w:eastAsia="宋体" w:cs="宋体"/>
          <w:sz w:val="23"/>
          <w:szCs w:val="23"/>
        </w:rPr>
        <w:t xml:space="preserve"> </w:t>
      </w:r>
      <w:r>
        <w:rPr>
          <w:rFonts w:ascii="宋体" w:hAnsi="宋体" w:eastAsia="宋体" w:cs="宋体"/>
          <w:spacing w:val="13"/>
          <w:sz w:val="23"/>
          <w:szCs w:val="23"/>
        </w:rPr>
        <w:t>以</w:t>
      </w:r>
      <w:r>
        <w:rPr>
          <w:rFonts w:ascii="宋体" w:hAnsi="宋体" w:eastAsia="宋体" w:cs="宋体"/>
          <w:spacing w:val="7"/>
          <w:sz w:val="23"/>
          <w:szCs w:val="23"/>
        </w:rPr>
        <w:t>实现区域总量协调平衡，项目具有良好的经济效益，有利于完善企业产品结构，增强企业</w:t>
      </w:r>
      <w:r>
        <w:rPr>
          <w:rFonts w:ascii="宋体" w:hAnsi="宋体" w:eastAsia="宋体" w:cs="宋体"/>
          <w:sz w:val="23"/>
          <w:szCs w:val="23"/>
        </w:rPr>
        <w:t xml:space="preserve"> </w:t>
      </w:r>
      <w:r>
        <w:rPr>
          <w:rFonts w:ascii="宋体" w:hAnsi="宋体" w:eastAsia="宋体" w:cs="宋体"/>
          <w:spacing w:val="11"/>
          <w:sz w:val="23"/>
          <w:szCs w:val="23"/>
        </w:rPr>
        <w:t>的</w:t>
      </w:r>
      <w:r>
        <w:rPr>
          <w:rFonts w:ascii="宋体" w:hAnsi="宋体" w:eastAsia="宋体" w:cs="宋体"/>
          <w:spacing w:val="9"/>
          <w:sz w:val="23"/>
          <w:szCs w:val="23"/>
        </w:rPr>
        <w:t>市场竞争能力，可为当地经济发展做出较大贡献。</w:t>
      </w:r>
    </w:p>
    <w:p w14:paraId="1D4AD64E">
      <w:pPr>
        <w:sectPr>
          <w:footerReference r:id="rId13" w:type="default"/>
          <w:pgSz w:w="11907" w:h="16840"/>
          <w:pgMar w:top="829" w:right="1071" w:bottom="930" w:left="1275" w:header="595" w:footer="768" w:gutter="0"/>
          <w:cols w:space="720" w:num="1"/>
        </w:sectPr>
      </w:pPr>
    </w:p>
    <w:p w14:paraId="5B0C2C9A">
      <w:pPr>
        <w:spacing w:before="143" w:line="379" w:lineRule="auto"/>
        <w:ind w:left="8" w:firstLine="482"/>
        <w:rPr>
          <w:rFonts w:ascii="宋体" w:hAnsi="宋体" w:eastAsia="宋体" w:cs="宋体"/>
          <w:sz w:val="23"/>
          <w:szCs w:val="23"/>
        </w:rPr>
      </w:pPr>
      <w:r>
        <w:rPr>
          <w:rFonts w:ascii="宋体" w:hAnsi="宋体" w:eastAsia="宋体" w:cs="宋体"/>
          <w:spacing w:val="25"/>
          <w:sz w:val="23"/>
          <w:szCs w:val="23"/>
          <w14:textOutline w14:w="4356" w14:cap="sq" w14:cmpd="sng" w14:algn="ctr">
            <w14:solidFill>
              <w14:srgbClr w14:val="000000"/>
            </w14:solidFill>
            <w14:prstDash w14:val="solid"/>
            <w14:bevel/>
          </w14:textOutline>
        </w:rPr>
        <w:t>本</w:t>
      </w:r>
      <w:r>
        <w:rPr>
          <w:rFonts w:ascii="宋体" w:hAnsi="宋体" w:eastAsia="宋体" w:cs="宋体"/>
          <w:spacing w:val="14"/>
          <w:sz w:val="23"/>
          <w:szCs w:val="23"/>
          <w14:textOutline w14:w="4356" w14:cap="sq" w14:cmpd="sng" w14:algn="ctr">
            <w14:solidFill>
              <w14:srgbClr w14:val="000000"/>
            </w14:solidFill>
            <w14:prstDash w14:val="solid"/>
            <w14:bevel/>
          </w14:textOutline>
        </w:rPr>
        <w:t>评价认为企业必须严格按照本报告提出的相关要求组织实施，对项目产生的污染物</w:t>
      </w:r>
      <w:r>
        <w:rPr>
          <w:rFonts w:ascii="宋体" w:hAnsi="宋体" w:eastAsia="宋体" w:cs="宋体"/>
          <w:sz w:val="23"/>
          <w:szCs w:val="23"/>
        </w:rPr>
        <w:t xml:space="preserve"> </w:t>
      </w:r>
      <w:r>
        <w:rPr>
          <w:rFonts w:ascii="宋体" w:hAnsi="宋体" w:eastAsia="宋体" w:cs="宋体"/>
          <w:spacing w:val="15"/>
          <w:sz w:val="23"/>
          <w:szCs w:val="23"/>
          <w14:textOutline w14:w="4356" w14:cap="sq" w14:cmpd="sng" w14:algn="ctr">
            <w14:solidFill>
              <w14:srgbClr w14:val="000000"/>
            </w14:solidFill>
            <w14:prstDash w14:val="solid"/>
            <w14:bevel/>
          </w14:textOutline>
        </w:rPr>
        <w:t>进</w:t>
      </w:r>
      <w:r>
        <w:rPr>
          <w:rFonts w:ascii="宋体" w:hAnsi="宋体" w:eastAsia="宋体" w:cs="宋体"/>
          <w:spacing w:val="12"/>
          <w:sz w:val="23"/>
          <w:szCs w:val="23"/>
          <w14:textOutline w14:w="4356" w14:cap="sq" w14:cmpd="sng" w14:algn="ctr">
            <w14:solidFill>
              <w14:srgbClr w14:val="000000"/>
            </w14:solidFill>
            <w14:prstDash w14:val="solid"/>
            <w14:bevel/>
          </w14:textOutline>
        </w:rPr>
        <w:t>行治理，减少三废污染物的产生量和排放量，严格执行</w:t>
      </w:r>
      <w:r>
        <w:rPr>
          <w:rFonts w:ascii="Times New Roman" w:hAnsi="Times New Roman" w:eastAsia="Times New Roman" w:cs="Times New Roman"/>
          <w:b/>
          <w:bCs/>
          <w:spacing w:val="12"/>
          <w:sz w:val="23"/>
          <w:szCs w:val="23"/>
        </w:rPr>
        <w:t>“</w:t>
      </w:r>
      <w:r>
        <w:rPr>
          <w:rFonts w:ascii="宋体" w:hAnsi="宋体" w:eastAsia="宋体" w:cs="宋体"/>
          <w:spacing w:val="12"/>
          <w:sz w:val="23"/>
          <w:szCs w:val="23"/>
          <w14:textOutline w14:w="4356" w14:cap="sq" w14:cmpd="sng" w14:algn="ctr">
            <w14:solidFill>
              <w14:srgbClr w14:val="000000"/>
            </w14:solidFill>
            <w14:prstDash w14:val="solid"/>
            <w14:bevel/>
          </w14:textOutline>
        </w:rPr>
        <w:t>三同时</w:t>
      </w:r>
      <w:r>
        <w:rPr>
          <w:rFonts w:ascii="Times New Roman" w:hAnsi="Times New Roman" w:eastAsia="Times New Roman" w:cs="Times New Roman"/>
          <w:b/>
          <w:bCs/>
          <w:spacing w:val="12"/>
          <w:sz w:val="23"/>
          <w:szCs w:val="23"/>
        </w:rPr>
        <w:t>”</w:t>
      </w:r>
      <w:r>
        <w:rPr>
          <w:rFonts w:ascii="Times New Roman" w:hAnsi="Times New Roman" w:eastAsia="Times New Roman" w:cs="Times New Roman"/>
          <w:spacing w:val="12"/>
          <w:sz w:val="23"/>
          <w:szCs w:val="23"/>
        </w:rPr>
        <w:t xml:space="preserve"> </w:t>
      </w:r>
      <w:r>
        <w:rPr>
          <w:rFonts w:ascii="宋体" w:hAnsi="宋体" w:eastAsia="宋体" w:cs="宋体"/>
          <w:spacing w:val="12"/>
          <w:sz w:val="23"/>
          <w:szCs w:val="23"/>
          <w14:textOutline w14:w="4356" w14:cap="sq" w14:cmpd="sng" w14:algn="ctr">
            <w14:solidFill>
              <w14:srgbClr w14:val="000000"/>
            </w14:solidFill>
            <w14:prstDash w14:val="solid"/>
            <w14:bevel/>
          </w14:textOutline>
        </w:rPr>
        <w:t>，并切实采取本报告提</w:t>
      </w:r>
      <w:r>
        <w:rPr>
          <w:rFonts w:ascii="宋体" w:hAnsi="宋体" w:eastAsia="宋体" w:cs="宋体"/>
          <w:sz w:val="23"/>
          <w:szCs w:val="23"/>
        </w:rPr>
        <w:t xml:space="preserve"> </w:t>
      </w:r>
      <w:r>
        <w:rPr>
          <w:rFonts w:ascii="宋体" w:hAnsi="宋体" w:eastAsia="宋体" w:cs="宋体"/>
          <w:spacing w:val="13"/>
          <w:sz w:val="23"/>
          <w:szCs w:val="23"/>
          <w14:textOutline w14:w="4356" w14:cap="sq" w14:cmpd="sng" w14:algn="ctr">
            <w14:solidFill>
              <w14:srgbClr w14:val="000000"/>
            </w14:solidFill>
            <w14:prstDash w14:val="solid"/>
            <w14:bevel/>
          </w14:textOutline>
        </w:rPr>
        <w:t>出</w:t>
      </w:r>
      <w:r>
        <w:rPr>
          <w:rFonts w:ascii="宋体" w:hAnsi="宋体" w:eastAsia="宋体" w:cs="宋体"/>
          <w:spacing w:val="10"/>
          <w:sz w:val="23"/>
          <w:szCs w:val="23"/>
          <w14:textOutline w14:w="4356" w14:cap="sq" w14:cmpd="sng" w14:algn="ctr">
            <w14:solidFill>
              <w14:srgbClr w14:val="000000"/>
            </w14:solidFill>
            <w14:prstDash w14:val="solid"/>
            <w14:bevel/>
          </w14:textOutline>
        </w:rPr>
        <w:t>的事故应急预案与环境风险防范措施。综上所述，本评价认为，本工程在实施总量控制、</w:t>
      </w:r>
      <w:r>
        <w:rPr>
          <w:rFonts w:ascii="宋体" w:hAnsi="宋体" w:eastAsia="宋体" w:cs="宋体"/>
          <w:sz w:val="23"/>
          <w:szCs w:val="23"/>
        </w:rPr>
        <w:t xml:space="preserve"> </w:t>
      </w:r>
      <w:r>
        <w:rPr>
          <w:rFonts w:ascii="宋体" w:hAnsi="宋体" w:eastAsia="宋体" w:cs="宋体"/>
          <w:spacing w:val="23"/>
          <w:sz w:val="23"/>
          <w:szCs w:val="23"/>
          <w14:textOutline w14:w="4356" w14:cap="sq" w14:cmpd="sng" w14:algn="ctr">
            <w14:solidFill>
              <w14:srgbClr w14:val="000000"/>
            </w14:solidFill>
            <w14:prstDash w14:val="solid"/>
            <w14:bevel/>
          </w14:textOutline>
        </w:rPr>
        <w:t>达</w:t>
      </w:r>
      <w:r>
        <w:rPr>
          <w:rFonts w:ascii="宋体" w:hAnsi="宋体" w:eastAsia="宋体" w:cs="宋体"/>
          <w:spacing w:val="14"/>
          <w:sz w:val="23"/>
          <w:szCs w:val="23"/>
          <w14:textOutline w14:w="4356" w14:cap="sq" w14:cmpd="sng" w14:algn="ctr">
            <w14:solidFill>
              <w14:srgbClr w14:val="000000"/>
            </w14:solidFill>
            <w14:prstDash w14:val="solid"/>
            <w14:bevel/>
          </w14:textOutline>
        </w:rPr>
        <w:t>标排放以及本报告书所提出的各项环保措施的前提下，项目建设从环境保护角度是可行</w:t>
      </w:r>
      <w:r>
        <w:rPr>
          <w:rFonts w:ascii="宋体" w:hAnsi="宋体" w:eastAsia="宋体" w:cs="宋体"/>
          <w:sz w:val="23"/>
          <w:szCs w:val="23"/>
        </w:rPr>
        <w:t xml:space="preserve"> </w:t>
      </w:r>
      <w:r>
        <w:rPr>
          <w:rFonts w:ascii="宋体" w:hAnsi="宋体" w:eastAsia="宋体" w:cs="宋体"/>
          <w:spacing w:val="1"/>
          <w:sz w:val="23"/>
          <w:szCs w:val="23"/>
          <w14:textOutline w14:w="4356" w14:cap="sq" w14:cmpd="sng" w14:algn="ctr">
            <w14:solidFill>
              <w14:srgbClr w14:val="000000"/>
            </w14:solidFill>
            <w14:prstDash w14:val="solid"/>
            <w14:bevel/>
          </w14:textOutline>
        </w:rPr>
        <w:t>的。</w:t>
      </w:r>
    </w:p>
    <w:p w14:paraId="7D17E79C">
      <w:pPr>
        <w:sectPr>
          <w:headerReference r:id="rId14" w:type="default"/>
          <w:footerReference r:id="rId15" w:type="default"/>
          <w:pgSz w:w="11907" w:h="16840"/>
          <w:pgMar w:top="829" w:right="1019" w:bottom="929" w:left="1275" w:header="595" w:footer="768" w:gutter="0"/>
          <w:cols w:space="720" w:num="1"/>
        </w:sectPr>
      </w:pPr>
    </w:p>
    <w:p w14:paraId="191D3972">
      <w:pPr>
        <w:spacing w:before="53" w:line="241" w:lineRule="auto"/>
        <w:ind w:left="21"/>
        <w:outlineLvl w:val="0"/>
        <w:rPr>
          <w:rFonts w:ascii="宋体" w:hAnsi="宋体" w:eastAsia="宋体" w:cs="宋体"/>
          <w:sz w:val="31"/>
          <w:szCs w:val="31"/>
        </w:rPr>
      </w:pPr>
      <w:bookmarkStart w:id="6" w:name="_bookmark7"/>
      <w:bookmarkEnd w:id="6"/>
      <w:r>
        <w:rPr>
          <w:rFonts w:ascii="Times New Roman" w:hAnsi="Times New Roman" w:eastAsia="Times New Roman" w:cs="Times New Roman"/>
          <w:b/>
          <w:bCs/>
          <w:spacing w:val="-15"/>
          <w:sz w:val="31"/>
          <w:szCs w:val="31"/>
        </w:rPr>
        <w:t>1</w:t>
      </w:r>
      <w:r>
        <w:rPr>
          <w:rFonts w:ascii="Times New Roman" w:hAnsi="Times New Roman" w:eastAsia="Times New Roman" w:cs="Times New Roman"/>
          <w:spacing w:val="-12"/>
          <w:sz w:val="31"/>
          <w:szCs w:val="31"/>
        </w:rPr>
        <w:t xml:space="preserve"> </w:t>
      </w:r>
      <w:r>
        <w:rPr>
          <w:rFonts w:ascii="宋体" w:hAnsi="宋体" w:eastAsia="宋体" w:cs="宋体"/>
          <w:spacing w:val="-12"/>
          <w:sz w:val="31"/>
          <w:szCs w:val="31"/>
          <w14:textOutline w14:w="5791" w14:cap="sq" w14:cmpd="sng" w14:algn="ctr">
            <w14:solidFill>
              <w14:srgbClr w14:val="000000"/>
            </w14:solidFill>
            <w14:prstDash w14:val="solid"/>
            <w14:bevel/>
          </w14:textOutline>
        </w:rPr>
        <w:t>、总论</w:t>
      </w:r>
    </w:p>
    <w:p w14:paraId="113181F0">
      <w:pPr>
        <w:spacing w:before="212" w:line="219" w:lineRule="auto"/>
        <w:ind w:left="19"/>
        <w:outlineLvl w:val="1"/>
        <w:rPr>
          <w:rFonts w:ascii="宋体" w:hAnsi="宋体" w:eastAsia="宋体" w:cs="宋体"/>
          <w:sz w:val="28"/>
          <w:szCs w:val="28"/>
        </w:rPr>
      </w:pPr>
      <w:bookmarkStart w:id="7" w:name="_bookmark8"/>
      <w:bookmarkEnd w:id="7"/>
      <w:r>
        <w:rPr>
          <w:rFonts w:ascii="Times New Roman" w:hAnsi="Times New Roman" w:eastAsia="Times New Roman" w:cs="Times New Roman"/>
          <w:b/>
          <w:bCs/>
          <w:spacing w:val="-2"/>
          <w:sz w:val="28"/>
          <w:szCs w:val="28"/>
        </w:rPr>
        <w:t>1.1</w:t>
      </w:r>
      <w:r>
        <w:rPr>
          <w:rFonts w:ascii="Times New Roman" w:hAnsi="Times New Roman" w:eastAsia="Times New Roman" w:cs="Times New Roman"/>
          <w:spacing w:val="-2"/>
          <w:sz w:val="28"/>
          <w:szCs w:val="28"/>
        </w:rPr>
        <w:t xml:space="preserve">   </w:t>
      </w:r>
      <w:r>
        <w:rPr>
          <w:rFonts w:ascii="Times New Roman" w:hAnsi="Times New Roman" w:eastAsia="Times New Roman" w:cs="Times New Roman"/>
          <w:spacing w:val="-1"/>
          <w:sz w:val="28"/>
          <w:szCs w:val="28"/>
        </w:rPr>
        <w:t xml:space="preserve"> </w:t>
      </w:r>
      <w:r>
        <w:rPr>
          <w:rFonts w:ascii="宋体" w:hAnsi="宋体" w:eastAsia="宋体" w:cs="宋体"/>
          <w:spacing w:val="-1"/>
          <w:sz w:val="28"/>
          <w:szCs w:val="28"/>
          <w14:textOutline w14:w="5105" w14:cap="sq" w14:cmpd="sng" w14:algn="ctr">
            <w14:solidFill>
              <w14:srgbClr w14:val="000000"/>
            </w14:solidFill>
            <w14:prstDash w14:val="solid"/>
            <w14:bevel/>
          </w14:textOutline>
        </w:rPr>
        <w:t>编制依据</w:t>
      </w:r>
    </w:p>
    <w:p w14:paraId="33529E84">
      <w:pPr>
        <w:spacing w:before="207" w:line="227" w:lineRule="auto"/>
        <w:ind w:left="16"/>
        <w:outlineLvl w:val="2"/>
        <w:rPr>
          <w:rFonts w:ascii="宋体" w:hAnsi="宋体" w:eastAsia="宋体" w:cs="宋体"/>
          <w:sz w:val="23"/>
          <w:szCs w:val="23"/>
        </w:rPr>
      </w:pPr>
      <w:r>
        <w:rPr>
          <w:rFonts w:ascii="Times New Roman" w:hAnsi="Times New Roman" w:eastAsia="Times New Roman" w:cs="Times New Roman"/>
          <w:b/>
          <w:bCs/>
          <w:spacing w:val="10"/>
          <w:sz w:val="23"/>
          <w:szCs w:val="23"/>
        </w:rPr>
        <w:t>1</w:t>
      </w:r>
      <w:r>
        <w:rPr>
          <w:rFonts w:ascii="Times New Roman" w:hAnsi="Times New Roman" w:eastAsia="Times New Roman" w:cs="Times New Roman"/>
          <w:b/>
          <w:bCs/>
          <w:spacing w:val="8"/>
          <w:sz w:val="23"/>
          <w:szCs w:val="23"/>
        </w:rPr>
        <w:t>.</w:t>
      </w:r>
      <w:r>
        <w:rPr>
          <w:rFonts w:ascii="Times New Roman" w:hAnsi="Times New Roman" w:eastAsia="Times New Roman" w:cs="Times New Roman"/>
          <w:b/>
          <w:bCs/>
          <w:spacing w:val="5"/>
          <w:sz w:val="23"/>
          <w:szCs w:val="23"/>
        </w:rPr>
        <w:t>1.1</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环境保护法律</w:t>
      </w:r>
    </w:p>
    <w:p w14:paraId="03980EFD">
      <w:pPr>
        <w:spacing w:before="184" w:line="374" w:lineRule="auto"/>
        <w:ind w:left="51" w:right="56" w:firstLine="450"/>
        <w:rPr>
          <w:rFonts w:ascii="宋体" w:hAnsi="宋体" w:eastAsia="宋体" w:cs="宋体"/>
          <w:sz w:val="23"/>
          <w:szCs w:val="23"/>
        </w:rPr>
      </w:pPr>
      <w:r>
        <w:rPr>
          <w:rFonts w:ascii="宋体" w:hAnsi="宋体" w:eastAsia="宋体" w:cs="宋体"/>
          <w:spacing w:val="-1"/>
          <w:sz w:val="23"/>
          <w:szCs w:val="23"/>
        </w:rPr>
        <w:t>(</w:t>
      </w:r>
      <w:r>
        <w:rPr>
          <w:rFonts w:ascii="Times New Roman" w:hAnsi="Times New Roman" w:eastAsia="Times New Roman" w:cs="Times New Roman"/>
          <w:spacing w:val="-1"/>
          <w:sz w:val="23"/>
          <w:szCs w:val="23"/>
        </w:rPr>
        <w:t>1</w:t>
      </w:r>
      <w:r>
        <w:rPr>
          <w:rFonts w:ascii="宋体" w:hAnsi="宋体" w:eastAsia="宋体" w:cs="宋体"/>
          <w:spacing w:val="-1"/>
          <w:sz w:val="23"/>
          <w:szCs w:val="23"/>
        </w:rPr>
        <w:t>)  《中华人民共和国环境保护法》  (</w:t>
      </w:r>
      <w:r>
        <w:rPr>
          <w:rFonts w:ascii="Times New Roman" w:hAnsi="Times New Roman" w:eastAsia="Times New Roman" w:cs="Times New Roman"/>
          <w:spacing w:val="-1"/>
          <w:sz w:val="23"/>
          <w:szCs w:val="23"/>
        </w:rPr>
        <w:t xml:space="preserve">2014 </w:t>
      </w:r>
      <w:r>
        <w:rPr>
          <w:rFonts w:ascii="宋体" w:hAnsi="宋体" w:eastAsia="宋体" w:cs="宋体"/>
          <w:spacing w:val="-1"/>
          <w:sz w:val="23"/>
          <w:szCs w:val="23"/>
        </w:rPr>
        <w:t xml:space="preserve">年 </w:t>
      </w:r>
      <w:r>
        <w:rPr>
          <w:rFonts w:ascii="Times New Roman" w:hAnsi="Times New Roman" w:eastAsia="Times New Roman" w:cs="Times New Roman"/>
          <w:spacing w:val="-1"/>
          <w:sz w:val="23"/>
          <w:szCs w:val="23"/>
        </w:rPr>
        <w:t xml:space="preserve">4 </w:t>
      </w:r>
      <w:r>
        <w:rPr>
          <w:rFonts w:ascii="宋体" w:hAnsi="宋体" w:eastAsia="宋体" w:cs="宋体"/>
          <w:spacing w:val="-1"/>
          <w:sz w:val="23"/>
          <w:szCs w:val="23"/>
        </w:rPr>
        <w:t xml:space="preserve">月 </w:t>
      </w:r>
      <w:r>
        <w:rPr>
          <w:rFonts w:ascii="Times New Roman" w:hAnsi="Times New Roman" w:eastAsia="Times New Roman" w:cs="Times New Roman"/>
          <w:spacing w:val="-1"/>
          <w:sz w:val="23"/>
          <w:szCs w:val="23"/>
        </w:rPr>
        <w:t xml:space="preserve">24 </w:t>
      </w:r>
      <w:r>
        <w:rPr>
          <w:rFonts w:ascii="宋体" w:hAnsi="宋体" w:eastAsia="宋体" w:cs="宋体"/>
          <w:sz w:val="23"/>
          <w:szCs w:val="23"/>
        </w:rPr>
        <w:t>日修订，</w:t>
      </w:r>
      <w:r>
        <w:rPr>
          <w:rFonts w:ascii="Times New Roman" w:hAnsi="Times New Roman" w:eastAsia="Times New Roman" w:cs="Times New Roman"/>
          <w:sz w:val="23"/>
          <w:szCs w:val="23"/>
        </w:rPr>
        <w:t xml:space="preserve">2015 </w:t>
      </w:r>
      <w:r>
        <w:rPr>
          <w:rFonts w:ascii="宋体" w:hAnsi="宋体" w:eastAsia="宋体" w:cs="宋体"/>
          <w:sz w:val="23"/>
          <w:szCs w:val="23"/>
        </w:rPr>
        <w:t xml:space="preserve">年 </w:t>
      </w:r>
      <w:r>
        <w:rPr>
          <w:rFonts w:ascii="Times New Roman" w:hAnsi="Times New Roman" w:eastAsia="Times New Roman" w:cs="Times New Roman"/>
          <w:sz w:val="23"/>
          <w:szCs w:val="23"/>
        </w:rPr>
        <w:t xml:space="preserve">1 </w:t>
      </w:r>
      <w:r>
        <w:rPr>
          <w:rFonts w:ascii="宋体" w:hAnsi="宋体" w:eastAsia="宋体" w:cs="宋体"/>
          <w:sz w:val="23"/>
          <w:szCs w:val="23"/>
        </w:rPr>
        <w:t xml:space="preserve">月 </w:t>
      </w:r>
      <w:r>
        <w:rPr>
          <w:rFonts w:ascii="Times New Roman" w:hAnsi="Times New Roman" w:eastAsia="Times New Roman" w:cs="Times New Roman"/>
          <w:sz w:val="23"/>
          <w:szCs w:val="23"/>
        </w:rPr>
        <w:t xml:space="preserve">1 </w:t>
      </w:r>
      <w:r>
        <w:rPr>
          <w:rFonts w:ascii="宋体" w:hAnsi="宋体" w:eastAsia="宋体" w:cs="宋体"/>
          <w:spacing w:val="-2"/>
          <w:sz w:val="23"/>
          <w:szCs w:val="23"/>
        </w:rPr>
        <w:t>日实施)</w:t>
      </w:r>
      <w:r>
        <w:rPr>
          <w:rFonts w:ascii="宋体" w:hAnsi="宋体" w:eastAsia="宋体" w:cs="宋体"/>
          <w:spacing w:val="-1"/>
          <w:sz w:val="23"/>
          <w:szCs w:val="23"/>
        </w:rPr>
        <w:t xml:space="preserve"> ；</w:t>
      </w:r>
    </w:p>
    <w:p w14:paraId="7B83BC00">
      <w:pPr>
        <w:spacing w:before="1" w:line="225" w:lineRule="auto"/>
        <w:ind w:left="501"/>
        <w:rPr>
          <w:rFonts w:ascii="宋体" w:hAnsi="宋体" w:eastAsia="宋体" w:cs="宋体"/>
          <w:sz w:val="23"/>
          <w:szCs w:val="23"/>
        </w:rPr>
      </w:pPr>
      <w:r>
        <w:rPr>
          <w:rFonts w:ascii="宋体" w:hAnsi="宋体" w:eastAsia="宋体" w:cs="宋体"/>
          <w:spacing w:val="1"/>
          <w:sz w:val="23"/>
          <w:szCs w:val="23"/>
        </w:rPr>
        <w:t>(</w:t>
      </w:r>
      <w:r>
        <w:rPr>
          <w:rFonts w:ascii="Times New Roman" w:hAnsi="Times New Roman" w:eastAsia="Times New Roman" w:cs="Times New Roman"/>
          <w:spacing w:val="1"/>
          <w:sz w:val="23"/>
          <w:szCs w:val="23"/>
        </w:rPr>
        <w:t>2</w:t>
      </w:r>
      <w:r>
        <w:rPr>
          <w:rFonts w:ascii="宋体" w:hAnsi="宋体" w:eastAsia="宋体" w:cs="宋体"/>
          <w:spacing w:val="1"/>
          <w:sz w:val="23"/>
          <w:szCs w:val="23"/>
        </w:rPr>
        <w:t>)  《中华人民共和国环境影响评价法》</w:t>
      </w:r>
      <w:r>
        <w:rPr>
          <w:rFonts w:ascii="宋体" w:hAnsi="宋体" w:eastAsia="宋体" w:cs="宋体"/>
          <w:sz w:val="23"/>
          <w:szCs w:val="23"/>
        </w:rPr>
        <w:t xml:space="preserve">  (</w:t>
      </w:r>
      <w:r>
        <w:rPr>
          <w:rFonts w:ascii="Times New Roman" w:hAnsi="Times New Roman" w:eastAsia="Times New Roman" w:cs="Times New Roman"/>
          <w:sz w:val="23"/>
          <w:szCs w:val="23"/>
        </w:rPr>
        <w:t xml:space="preserve">2018 </w:t>
      </w:r>
      <w:r>
        <w:rPr>
          <w:rFonts w:ascii="宋体" w:hAnsi="宋体" w:eastAsia="宋体" w:cs="宋体"/>
          <w:sz w:val="23"/>
          <w:szCs w:val="23"/>
        </w:rPr>
        <w:t xml:space="preserve">年 </w:t>
      </w:r>
      <w:r>
        <w:rPr>
          <w:rFonts w:ascii="Times New Roman" w:hAnsi="Times New Roman" w:eastAsia="Times New Roman" w:cs="Times New Roman"/>
          <w:sz w:val="23"/>
          <w:szCs w:val="23"/>
        </w:rPr>
        <w:t xml:space="preserve">12 </w:t>
      </w:r>
      <w:r>
        <w:rPr>
          <w:rFonts w:ascii="宋体" w:hAnsi="宋体" w:eastAsia="宋体" w:cs="宋体"/>
          <w:sz w:val="23"/>
          <w:szCs w:val="23"/>
        </w:rPr>
        <w:t xml:space="preserve">月 </w:t>
      </w:r>
      <w:r>
        <w:rPr>
          <w:rFonts w:ascii="Times New Roman" w:hAnsi="Times New Roman" w:eastAsia="Times New Roman" w:cs="Times New Roman"/>
          <w:sz w:val="23"/>
          <w:szCs w:val="23"/>
        </w:rPr>
        <w:t xml:space="preserve">29 </w:t>
      </w:r>
      <w:r>
        <w:rPr>
          <w:rFonts w:ascii="宋体" w:hAnsi="宋体" w:eastAsia="宋体" w:cs="宋体"/>
          <w:sz w:val="23"/>
          <w:szCs w:val="23"/>
        </w:rPr>
        <w:t>日修订并施行) ；</w:t>
      </w:r>
    </w:p>
    <w:p w14:paraId="07D03FC5">
      <w:pPr>
        <w:spacing w:before="186" w:line="227" w:lineRule="auto"/>
        <w:ind w:left="501"/>
        <w:rPr>
          <w:rFonts w:ascii="宋体" w:hAnsi="宋体" w:eastAsia="宋体" w:cs="宋体"/>
          <w:sz w:val="23"/>
          <w:szCs w:val="23"/>
        </w:rPr>
      </w:pPr>
      <w:r>
        <w:rPr>
          <w:rFonts w:ascii="宋体" w:hAnsi="宋体" w:eastAsia="宋体" w:cs="宋体"/>
          <w:spacing w:val="1"/>
          <w:sz w:val="23"/>
          <w:szCs w:val="23"/>
        </w:rPr>
        <w:t>(</w:t>
      </w:r>
      <w:r>
        <w:rPr>
          <w:rFonts w:ascii="Times New Roman" w:hAnsi="Times New Roman" w:eastAsia="Times New Roman" w:cs="Times New Roman"/>
          <w:spacing w:val="1"/>
          <w:sz w:val="23"/>
          <w:szCs w:val="23"/>
        </w:rPr>
        <w:t>3</w:t>
      </w:r>
      <w:r>
        <w:rPr>
          <w:rFonts w:ascii="宋体" w:hAnsi="宋体" w:eastAsia="宋体" w:cs="宋体"/>
          <w:spacing w:val="1"/>
          <w:sz w:val="23"/>
          <w:szCs w:val="23"/>
        </w:rPr>
        <w:t>)  《中华人民共和国大气污染防治法》</w:t>
      </w:r>
      <w:r>
        <w:rPr>
          <w:rFonts w:ascii="宋体" w:hAnsi="宋体" w:eastAsia="宋体" w:cs="宋体"/>
          <w:sz w:val="23"/>
          <w:szCs w:val="23"/>
        </w:rPr>
        <w:t xml:space="preserve">  (</w:t>
      </w:r>
      <w:r>
        <w:rPr>
          <w:rFonts w:ascii="Times New Roman" w:hAnsi="Times New Roman" w:eastAsia="Times New Roman" w:cs="Times New Roman"/>
          <w:sz w:val="23"/>
          <w:szCs w:val="23"/>
        </w:rPr>
        <w:t xml:space="preserve">2018 </w:t>
      </w:r>
      <w:r>
        <w:rPr>
          <w:rFonts w:ascii="宋体" w:hAnsi="宋体" w:eastAsia="宋体" w:cs="宋体"/>
          <w:sz w:val="23"/>
          <w:szCs w:val="23"/>
        </w:rPr>
        <w:t xml:space="preserve">年 </w:t>
      </w:r>
      <w:r>
        <w:rPr>
          <w:rFonts w:ascii="Times New Roman" w:hAnsi="Times New Roman" w:eastAsia="Times New Roman" w:cs="Times New Roman"/>
          <w:sz w:val="23"/>
          <w:szCs w:val="23"/>
        </w:rPr>
        <w:t xml:space="preserve">10 </w:t>
      </w:r>
      <w:r>
        <w:rPr>
          <w:rFonts w:ascii="宋体" w:hAnsi="宋体" w:eastAsia="宋体" w:cs="宋体"/>
          <w:sz w:val="23"/>
          <w:szCs w:val="23"/>
        </w:rPr>
        <w:t xml:space="preserve">月 </w:t>
      </w:r>
      <w:r>
        <w:rPr>
          <w:rFonts w:ascii="Times New Roman" w:hAnsi="Times New Roman" w:eastAsia="Times New Roman" w:cs="Times New Roman"/>
          <w:sz w:val="23"/>
          <w:szCs w:val="23"/>
        </w:rPr>
        <w:t xml:space="preserve">26 </w:t>
      </w:r>
      <w:r>
        <w:rPr>
          <w:rFonts w:ascii="宋体" w:hAnsi="宋体" w:eastAsia="宋体" w:cs="宋体"/>
          <w:sz w:val="23"/>
          <w:szCs w:val="23"/>
        </w:rPr>
        <w:t>日修订并施行) ；</w:t>
      </w:r>
    </w:p>
    <w:p w14:paraId="5B2B0E1B">
      <w:pPr>
        <w:spacing w:before="181" w:line="376" w:lineRule="auto"/>
        <w:ind w:left="28" w:right="56" w:firstLine="472"/>
        <w:rPr>
          <w:rFonts w:ascii="宋体" w:hAnsi="宋体" w:eastAsia="宋体" w:cs="宋体"/>
          <w:sz w:val="23"/>
          <w:szCs w:val="23"/>
        </w:rPr>
      </w:pPr>
      <w:r>
        <w:rPr>
          <w:rFonts w:ascii="宋体" w:hAnsi="宋体" w:eastAsia="宋体" w:cs="宋体"/>
          <w:spacing w:val="-1"/>
          <w:sz w:val="23"/>
          <w:szCs w:val="23"/>
        </w:rPr>
        <w:t>(</w:t>
      </w:r>
      <w:r>
        <w:rPr>
          <w:rFonts w:ascii="Times New Roman" w:hAnsi="Times New Roman" w:eastAsia="Times New Roman" w:cs="Times New Roman"/>
          <w:spacing w:val="-1"/>
          <w:sz w:val="23"/>
          <w:szCs w:val="23"/>
        </w:rPr>
        <w:t>4</w:t>
      </w:r>
      <w:r>
        <w:rPr>
          <w:rFonts w:ascii="宋体" w:hAnsi="宋体" w:eastAsia="宋体" w:cs="宋体"/>
          <w:spacing w:val="-1"/>
          <w:sz w:val="23"/>
          <w:szCs w:val="23"/>
        </w:rPr>
        <w:t>)  《中华人民共和国水污染防治法》  (</w:t>
      </w:r>
      <w:r>
        <w:rPr>
          <w:rFonts w:ascii="Times New Roman" w:hAnsi="Times New Roman" w:eastAsia="Times New Roman" w:cs="Times New Roman"/>
          <w:spacing w:val="-1"/>
          <w:sz w:val="23"/>
          <w:szCs w:val="23"/>
        </w:rPr>
        <w:t xml:space="preserve">2017 </w:t>
      </w:r>
      <w:r>
        <w:rPr>
          <w:rFonts w:ascii="宋体" w:hAnsi="宋体" w:eastAsia="宋体" w:cs="宋体"/>
          <w:spacing w:val="-1"/>
          <w:sz w:val="23"/>
          <w:szCs w:val="23"/>
        </w:rPr>
        <w:t xml:space="preserve">年 </w:t>
      </w:r>
      <w:r>
        <w:rPr>
          <w:rFonts w:ascii="Times New Roman" w:hAnsi="Times New Roman" w:eastAsia="Times New Roman" w:cs="Times New Roman"/>
          <w:spacing w:val="-1"/>
          <w:sz w:val="23"/>
          <w:szCs w:val="23"/>
        </w:rPr>
        <w:t xml:space="preserve">6 </w:t>
      </w:r>
      <w:r>
        <w:rPr>
          <w:rFonts w:ascii="宋体" w:hAnsi="宋体" w:eastAsia="宋体" w:cs="宋体"/>
          <w:spacing w:val="-1"/>
          <w:sz w:val="23"/>
          <w:szCs w:val="23"/>
        </w:rPr>
        <w:t xml:space="preserve">月 </w:t>
      </w:r>
      <w:r>
        <w:rPr>
          <w:rFonts w:ascii="Times New Roman" w:hAnsi="Times New Roman" w:eastAsia="Times New Roman" w:cs="Times New Roman"/>
          <w:spacing w:val="-1"/>
          <w:sz w:val="23"/>
          <w:szCs w:val="23"/>
        </w:rPr>
        <w:t>27</w:t>
      </w:r>
      <w:r>
        <w:rPr>
          <w:rFonts w:ascii="Times New Roman" w:hAnsi="Times New Roman" w:eastAsia="Times New Roman" w:cs="Times New Roman"/>
          <w:sz w:val="23"/>
          <w:szCs w:val="23"/>
        </w:rPr>
        <w:t xml:space="preserve"> </w:t>
      </w:r>
      <w:r>
        <w:rPr>
          <w:rFonts w:ascii="宋体" w:hAnsi="宋体" w:eastAsia="宋体" w:cs="宋体"/>
          <w:sz w:val="23"/>
          <w:szCs w:val="23"/>
        </w:rPr>
        <w:t>日修订，</w:t>
      </w:r>
      <w:r>
        <w:rPr>
          <w:rFonts w:ascii="Times New Roman" w:hAnsi="Times New Roman" w:eastAsia="Times New Roman" w:cs="Times New Roman"/>
          <w:sz w:val="23"/>
          <w:szCs w:val="23"/>
        </w:rPr>
        <w:t xml:space="preserve">2018 </w:t>
      </w:r>
      <w:r>
        <w:rPr>
          <w:rFonts w:ascii="宋体" w:hAnsi="宋体" w:eastAsia="宋体" w:cs="宋体"/>
          <w:sz w:val="23"/>
          <w:szCs w:val="23"/>
        </w:rPr>
        <w:t xml:space="preserve">年 </w:t>
      </w:r>
      <w:r>
        <w:rPr>
          <w:rFonts w:ascii="Times New Roman" w:hAnsi="Times New Roman" w:eastAsia="Times New Roman" w:cs="Times New Roman"/>
          <w:sz w:val="23"/>
          <w:szCs w:val="23"/>
        </w:rPr>
        <w:t xml:space="preserve">1 </w:t>
      </w:r>
      <w:r>
        <w:rPr>
          <w:rFonts w:ascii="宋体" w:hAnsi="宋体" w:eastAsia="宋体" w:cs="宋体"/>
          <w:sz w:val="23"/>
          <w:szCs w:val="23"/>
        </w:rPr>
        <w:t xml:space="preserve">月 </w:t>
      </w:r>
      <w:r>
        <w:rPr>
          <w:rFonts w:ascii="Times New Roman" w:hAnsi="Times New Roman" w:eastAsia="Times New Roman" w:cs="Times New Roman"/>
          <w:spacing w:val="4"/>
          <w:sz w:val="23"/>
          <w:szCs w:val="23"/>
        </w:rPr>
        <w:t xml:space="preserve">1 </w:t>
      </w:r>
      <w:r>
        <w:rPr>
          <w:rFonts w:ascii="宋体" w:hAnsi="宋体" w:eastAsia="宋体" w:cs="宋体"/>
          <w:spacing w:val="2"/>
          <w:sz w:val="23"/>
          <w:szCs w:val="23"/>
        </w:rPr>
        <w:t>日施行) ；</w:t>
      </w:r>
    </w:p>
    <w:p w14:paraId="1DC8FBBA">
      <w:pPr>
        <w:spacing w:before="2" w:line="374" w:lineRule="auto"/>
        <w:ind w:left="14" w:right="58" w:firstLine="487"/>
        <w:rPr>
          <w:rFonts w:ascii="宋体" w:hAnsi="宋体" w:eastAsia="宋体" w:cs="宋体"/>
          <w:sz w:val="23"/>
          <w:szCs w:val="23"/>
        </w:rPr>
      </w:pPr>
      <w:r>
        <w:rPr>
          <w:rFonts w:ascii="宋体" w:hAnsi="宋体" w:eastAsia="宋体" w:cs="宋体"/>
          <w:spacing w:val="8"/>
          <w:sz w:val="23"/>
          <w:szCs w:val="23"/>
        </w:rPr>
        <w:t>(</w:t>
      </w:r>
      <w:r>
        <w:rPr>
          <w:rFonts w:ascii="Times New Roman" w:hAnsi="Times New Roman" w:eastAsia="Times New Roman" w:cs="Times New Roman"/>
          <w:spacing w:val="8"/>
          <w:sz w:val="23"/>
          <w:szCs w:val="23"/>
        </w:rPr>
        <w:t>5</w:t>
      </w:r>
      <w:r>
        <w:rPr>
          <w:rFonts w:ascii="宋体" w:hAnsi="宋体" w:eastAsia="宋体" w:cs="宋体"/>
          <w:spacing w:val="4"/>
          <w:sz w:val="23"/>
          <w:szCs w:val="23"/>
        </w:rPr>
        <w:t>)  《中华人民共和国环境噪声污染防治法》  (</w:t>
      </w:r>
      <w:r>
        <w:rPr>
          <w:rFonts w:ascii="Times New Roman" w:hAnsi="Times New Roman" w:eastAsia="Times New Roman" w:cs="Times New Roman"/>
          <w:spacing w:val="4"/>
          <w:sz w:val="23"/>
          <w:szCs w:val="23"/>
        </w:rPr>
        <w:t xml:space="preserve">2018 </w:t>
      </w:r>
      <w:r>
        <w:rPr>
          <w:rFonts w:ascii="宋体" w:hAnsi="宋体" w:eastAsia="宋体" w:cs="宋体"/>
          <w:spacing w:val="4"/>
          <w:sz w:val="23"/>
          <w:szCs w:val="23"/>
        </w:rPr>
        <w:t xml:space="preserve">年 </w:t>
      </w:r>
      <w:r>
        <w:rPr>
          <w:rFonts w:ascii="Times New Roman" w:hAnsi="Times New Roman" w:eastAsia="Times New Roman" w:cs="Times New Roman"/>
          <w:spacing w:val="4"/>
          <w:sz w:val="23"/>
          <w:szCs w:val="23"/>
        </w:rPr>
        <w:t xml:space="preserve">12 </w:t>
      </w:r>
      <w:r>
        <w:rPr>
          <w:rFonts w:ascii="宋体" w:hAnsi="宋体" w:eastAsia="宋体" w:cs="宋体"/>
          <w:spacing w:val="4"/>
          <w:sz w:val="23"/>
          <w:szCs w:val="23"/>
        </w:rPr>
        <w:t xml:space="preserve">月 </w:t>
      </w:r>
      <w:r>
        <w:rPr>
          <w:rFonts w:ascii="Times New Roman" w:hAnsi="Times New Roman" w:eastAsia="Times New Roman" w:cs="Times New Roman"/>
          <w:spacing w:val="4"/>
          <w:sz w:val="23"/>
          <w:szCs w:val="23"/>
        </w:rPr>
        <w:t xml:space="preserve">29 </w:t>
      </w:r>
      <w:r>
        <w:rPr>
          <w:rFonts w:ascii="宋体" w:hAnsi="宋体" w:eastAsia="宋体" w:cs="宋体"/>
          <w:spacing w:val="4"/>
          <w:sz w:val="23"/>
          <w:szCs w:val="23"/>
        </w:rPr>
        <w:t>日修订并施</w:t>
      </w:r>
      <w:r>
        <w:rPr>
          <w:rFonts w:ascii="宋体" w:hAnsi="宋体" w:eastAsia="宋体" w:cs="宋体"/>
          <w:sz w:val="23"/>
          <w:szCs w:val="23"/>
        </w:rPr>
        <w:t xml:space="preserve"> </w:t>
      </w:r>
      <w:r>
        <w:rPr>
          <w:rFonts w:ascii="宋体" w:hAnsi="宋体" w:eastAsia="宋体" w:cs="宋体"/>
          <w:spacing w:val="2"/>
          <w:sz w:val="23"/>
          <w:szCs w:val="23"/>
        </w:rPr>
        <w:t>行) ；</w:t>
      </w:r>
    </w:p>
    <w:p w14:paraId="426DC0D9">
      <w:pPr>
        <w:spacing w:before="1" w:line="374" w:lineRule="auto"/>
        <w:ind w:left="13" w:right="56" w:firstLine="488"/>
        <w:rPr>
          <w:rFonts w:ascii="宋体" w:hAnsi="宋体" w:eastAsia="宋体" w:cs="宋体"/>
          <w:sz w:val="23"/>
          <w:szCs w:val="23"/>
        </w:rPr>
      </w:pPr>
      <w:r>
        <w:rPr>
          <w:rFonts w:ascii="宋体" w:hAnsi="宋体" w:eastAsia="宋体" w:cs="宋体"/>
          <w:spacing w:val="2"/>
          <w:sz w:val="23"/>
          <w:szCs w:val="23"/>
        </w:rPr>
        <w:t>(</w:t>
      </w:r>
      <w:r>
        <w:rPr>
          <w:rFonts w:ascii="Times New Roman" w:hAnsi="Times New Roman" w:eastAsia="Times New Roman" w:cs="Times New Roman"/>
          <w:spacing w:val="2"/>
          <w:sz w:val="23"/>
          <w:szCs w:val="23"/>
        </w:rPr>
        <w:t>6</w:t>
      </w:r>
      <w:r>
        <w:rPr>
          <w:rFonts w:ascii="宋体" w:hAnsi="宋体" w:eastAsia="宋体" w:cs="宋体"/>
          <w:spacing w:val="2"/>
          <w:sz w:val="23"/>
          <w:szCs w:val="23"/>
        </w:rPr>
        <w:t>)  《中华人民共和国固体废物污染环境防治法》  (</w:t>
      </w:r>
      <w:r>
        <w:rPr>
          <w:rFonts w:ascii="Times New Roman" w:hAnsi="Times New Roman" w:eastAsia="Times New Roman" w:cs="Times New Roman"/>
          <w:spacing w:val="2"/>
          <w:sz w:val="23"/>
          <w:szCs w:val="23"/>
        </w:rPr>
        <w:t>201</w:t>
      </w:r>
      <w:r>
        <w:rPr>
          <w:rFonts w:ascii="Times New Roman" w:hAnsi="Times New Roman" w:eastAsia="Times New Roman" w:cs="Times New Roman"/>
          <w:spacing w:val="1"/>
          <w:sz w:val="23"/>
          <w:szCs w:val="23"/>
        </w:rPr>
        <w:t xml:space="preserve">6 </w:t>
      </w:r>
      <w:r>
        <w:rPr>
          <w:rFonts w:ascii="宋体" w:hAnsi="宋体" w:eastAsia="宋体" w:cs="宋体"/>
          <w:spacing w:val="1"/>
          <w:sz w:val="23"/>
          <w:szCs w:val="23"/>
        </w:rPr>
        <w:t xml:space="preserve">年 </w:t>
      </w:r>
      <w:r>
        <w:rPr>
          <w:rFonts w:ascii="Times New Roman" w:hAnsi="Times New Roman" w:eastAsia="Times New Roman" w:cs="Times New Roman"/>
          <w:spacing w:val="1"/>
          <w:sz w:val="23"/>
          <w:szCs w:val="23"/>
        </w:rPr>
        <w:t xml:space="preserve">11 </w:t>
      </w:r>
      <w:r>
        <w:rPr>
          <w:rFonts w:ascii="宋体" w:hAnsi="宋体" w:eastAsia="宋体" w:cs="宋体"/>
          <w:spacing w:val="1"/>
          <w:sz w:val="23"/>
          <w:szCs w:val="23"/>
        </w:rPr>
        <w:t xml:space="preserve">月 </w:t>
      </w:r>
      <w:r>
        <w:rPr>
          <w:rFonts w:ascii="Times New Roman" w:hAnsi="Times New Roman" w:eastAsia="Times New Roman" w:cs="Times New Roman"/>
          <w:spacing w:val="1"/>
          <w:sz w:val="23"/>
          <w:szCs w:val="23"/>
        </w:rPr>
        <w:t xml:space="preserve">7 </w:t>
      </w:r>
      <w:r>
        <w:rPr>
          <w:rFonts w:ascii="宋体" w:hAnsi="宋体" w:eastAsia="宋体" w:cs="宋体"/>
          <w:spacing w:val="1"/>
          <w:sz w:val="23"/>
          <w:szCs w:val="23"/>
        </w:rPr>
        <w:t>日修</w:t>
      </w:r>
      <w:r>
        <w:rPr>
          <w:rFonts w:ascii="宋体" w:hAnsi="宋体" w:eastAsia="宋体" w:cs="宋体"/>
          <w:sz w:val="23"/>
          <w:szCs w:val="23"/>
        </w:rPr>
        <w:t xml:space="preserve"> </w:t>
      </w:r>
      <w:r>
        <w:rPr>
          <w:rFonts w:ascii="宋体" w:hAnsi="宋体" w:eastAsia="宋体" w:cs="宋体"/>
          <w:spacing w:val="3"/>
          <w:sz w:val="23"/>
          <w:szCs w:val="23"/>
        </w:rPr>
        <w:t>订</w:t>
      </w:r>
      <w:r>
        <w:rPr>
          <w:rFonts w:ascii="宋体" w:hAnsi="宋体" w:eastAsia="宋体" w:cs="宋体"/>
          <w:spacing w:val="2"/>
          <w:sz w:val="23"/>
          <w:szCs w:val="23"/>
        </w:rPr>
        <w:t>) ；</w:t>
      </w:r>
    </w:p>
    <w:p w14:paraId="078C1A1B">
      <w:pPr>
        <w:spacing w:before="1" w:line="227" w:lineRule="auto"/>
        <w:ind w:left="501"/>
        <w:rPr>
          <w:rFonts w:ascii="宋体" w:hAnsi="宋体" w:eastAsia="宋体" w:cs="宋体"/>
          <w:sz w:val="23"/>
          <w:szCs w:val="23"/>
        </w:rPr>
      </w:pPr>
      <w:r>
        <w:rPr>
          <w:rFonts w:ascii="宋体" w:hAnsi="宋体" w:eastAsia="宋体" w:cs="宋体"/>
          <w:spacing w:val="2"/>
          <w:sz w:val="23"/>
          <w:szCs w:val="23"/>
        </w:rPr>
        <w:t>(</w:t>
      </w:r>
      <w:r>
        <w:rPr>
          <w:rFonts w:ascii="Times New Roman" w:hAnsi="Times New Roman" w:eastAsia="Times New Roman" w:cs="Times New Roman"/>
          <w:spacing w:val="2"/>
          <w:sz w:val="23"/>
          <w:szCs w:val="23"/>
        </w:rPr>
        <w:t>7</w:t>
      </w:r>
      <w:r>
        <w:rPr>
          <w:rFonts w:ascii="宋体" w:hAnsi="宋体" w:eastAsia="宋体" w:cs="宋体"/>
          <w:spacing w:val="2"/>
          <w:sz w:val="23"/>
          <w:szCs w:val="23"/>
        </w:rPr>
        <w:t xml:space="preserve">) </w:t>
      </w:r>
      <w:r>
        <w:rPr>
          <w:rFonts w:ascii="宋体" w:hAnsi="宋体" w:eastAsia="宋体" w:cs="宋体"/>
          <w:spacing w:val="1"/>
          <w:sz w:val="23"/>
          <w:szCs w:val="23"/>
        </w:rPr>
        <w:t xml:space="preserve"> 《中华人民共和国土壤污染防治法》  (</w:t>
      </w:r>
      <w:r>
        <w:rPr>
          <w:rFonts w:ascii="Times New Roman" w:hAnsi="Times New Roman" w:eastAsia="Times New Roman" w:cs="Times New Roman"/>
          <w:spacing w:val="1"/>
          <w:sz w:val="23"/>
          <w:szCs w:val="23"/>
        </w:rPr>
        <w:t xml:space="preserve">2019 </w:t>
      </w:r>
      <w:r>
        <w:rPr>
          <w:rFonts w:ascii="宋体" w:hAnsi="宋体" w:eastAsia="宋体" w:cs="宋体"/>
          <w:spacing w:val="1"/>
          <w:sz w:val="23"/>
          <w:szCs w:val="23"/>
        </w:rPr>
        <w:t xml:space="preserve">年 </w:t>
      </w:r>
      <w:r>
        <w:rPr>
          <w:rFonts w:ascii="Times New Roman" w:hAnsi="Times New Roman" w:eastAsia="Times New Roman" w:cs="Times New Roman"/>
          <w:spacing w:val="1"/>
          <w:sz w:val="23"/>
          <w:szCs w:val="23"/>
        </w:rPr>
        <w:t xml:space="preserve">1 </w:t>
      </w:r>
      <w:r>
        <w:rPr>
          <w:rFonts w:ascii="宋体" w:hAnsi="宋体" w:eastAsia="宋体" w:cs="宋体"/>
          <w:spacing w:val="1"/>
          <w:sz w:val="23"/>
          <w:szCs w:val="23"/>
        </w:rPr>
        <w:t xml:space="preserve">月 </w:t>
      </w:r>
      <w:r>
        <w:rPr>
          <w:rFonts w:ascii="Times New Roman" w:hAnsi="Times New Roman" w:eastAsia="Times New Roman" w:cs="Times New Roman"/>
          <w:spacing w:val="1"/>
          <w:sz w:val="23"/>
          <w:szCs w:val="23"/>
        </w:rPr>
        <w:t xml:space="preserve">1 </w:t>
      </w:r>
      <w:r>
        <w:rPr>
          <w:rFonts w:ascii="宋体" w:hAnsi="宋体" w:eastAsia="宋体" w:cs="宋体"/>
          <w:spacing w:val="1"/>
          <w:sz w:val="23"/>
          <w:szCs w:val="23"/>
        </w:rPr>
        <w:t>日修订) ；</w:t>
      </w:r>
    </w:p>
    <w:p w14:paraId="24D2260C">
      <w:pPr>
        <w:spacing w:before="183" w:line="227" w:lineRule="auto"/>
        <w:ind w:left="501"/>
        <w:rPr>
          <w:rFonts w:ascii="宋体" w:hAnsi="宋体" w:eastAsia="宋体" w:cs="宋体"/>
          <w:sz w:val="23"/>
          <w:szCs w:val="23"/>
        </w:rPr>
      </w:pPr>
      <w:r>
        <w:rPr>
          <w:rFonts w:ascii="宋体" w:hAnsi="宋体" w:eastAsia="宋体" w:cs="宋体"/>
          <w:spacing w:val="6"/>
          <w:sz w:val="23"/>
          <w:szCs w:val="23"/>
        </w:rPr>
        <w:t>(</w:t>
      </w:r>
      <w:r>
        <w:rPr>
          <w:rFonts w:ascii="Times New Roman" w:hAnsi="Times New Roman" w:eastAsia="Times New Roman" w:cs="Times New Roman"/>
          <w:spacing w:val="3"/>
          <w:sz w:val="23"/>
          <w:szCs w:val="23"/>
        </w:rPr>
        <w:t>8</w:t>
      </w:r>
      <w:r>
        <w:rPr>
          <w:rFonts w:ascii="宋体" w:hAnsi="宋体" w:eastAsia="宋体" w:cs="宋体"/>
          <w:spacing w:val="3"/>
          <w:sz w:val="23"/>
          <w:szCs w:val="23"/>
        </w:rPr>
        <w:t>)  《中华人民共和国水法》  (</w:t>
      </w:r>
      <w:r>
        <w:rPr>
          <w:rFonts w:ascii="Times New Roman" w:hAnsi="Times New Roman" w:eastAsia="Times New Roman" w:cs="Times New Roman"/>
          <w:spacing w:val="3"/>
          <w:sz w:val="23"/>
          <w:szCs w:val="23"/>
        </w:rPr>
        <w:t xml:space="preserve">2016  </w:t>
      </w:r>
      <w:r>
        <w:rPr>
          <w:rFonts w:ascii="宋体" w:hAnsi="宋体" w:eastAsia="宋体" w:cs="宋体"/>
          <w:spacing w:val="3"/>
          <w:sz w:val="23"/>
          <w:szCs w:val="23"/>
        </w:rPr>
        <w:t xml:space="preserve">年 </w:t>
      </w:r>
      <w:r>
        <w:rPr>
          <w:rFonts w:ascii="Times New Roman" w:hAnsi="Times New Roman" w:eastAsia="Times New Roman" w:cs="Times New Roman"/>
          <w:spacing w:val="3"/>
          <w:sz w:val="23"/>
          <w:szCs w:val="23"/>
        </w:rPr>
        <w:t xml:space="preserve">7 </w:t>
      </w:r>
      <w:r>
        <w:rPr>
          <w:rFonts w:ascii="宋体" w:hAnsi="宋体" w:eastAsia="宋体" w:cs="宋体"/>
          <w:spacing w:val="3"/>
          <w:sz w:val="23"/>
          <w:szCs w:val="23"/>
        </w:rPr>
        <w:t xml:space="preserve">月 </w:t>
      </w:r>
      <w:r>
        <w:rPr>
          <w:rFonts w:ascii="Times New Roman" w:hAnsi="Times New Roman" w:eastAsia="Times New Roman" w:cs="Times New Roman"/>
          <w:spacing w:val="3"/>
          <w:sz w:val="23"/>
          <w:szCs w:val="23"/>
        </w:rPr>
        <w:t xml:space="preserve">2 </w:t>
      </w:r>
      <w:r>
        <w:rPr>
          <w:rFonts w:ascii="宋体" w:hAnsi="宋体" w:eastAsia="宋体" w:cs="宋体"/>
          <w:spacing w:val="3"/>
          <w:sz w:val="23"/>
          <w:szCs w:val="23"/>
        </w:rPr>
        <w:t>日修订) ；</w:t>
      </w:r>
    </w:p>
    <w:p w14:paraId="2D0A6297">
      <w:pPr>
        <w:spacing w:before="185" w:line="227" w:lineRule="auto"/>
        <w:ind w:left="501"/>
        <w:rPr>
          <w:rFonts w:ascii="宋体" w:hAnsi="宋体" w:eastAsia="宋体" w:cs="宋体"/>
          <w:sz w:val="23"/>
          <w:szCs w:val="23"/>
        </w:rPr>
      </w:pPr>
      <w:r>
        <w:rPr>
          <w:rFonts w:ascii="宋体" w:hAnsi="宋体" w:eastAsia="宋体" w:cs="宋体"/>
          <w:spacing w:val="6"/>
          <w:sz w:val="23"/>
          <w:szCs w:val="23"/>
        </w:rPr>
        <w:t>(</w:t>
      </w:r>
      <w:r>
        <w:rPr>
          <w:rFonts w:ascii="Times New Roman" w:hAnsi="Times New Roman" w:eastAsia="Times New Roman" w:cs="Times New Roman"/>
          <w:spacing w:val="6"/>
          <w:sz w:val="23"/>
          <w:szCs w:val="23"/>
        </w:rPr>
        <w:t>9</w:t>
      </w:r>
      <w:r>
        <w:rPr>
          <w:rFonts w:ascii="宋体" w:hAnsi="宋体" w:eastAsia="宋体" w:cs="宋体"/>
          <w:spacing w:val="6"/>
          <w:sz w:val="23"/>
          <w:szCs w:val="23"/>
        </w:rPr>
        <w:t xml:space="preserve">) </w:t>
      </w:r>
      <w:r>
        <w:rPr>
          <w:rFonts w:ascii="宋体" w:hAnsi="宋体" w:eastAsia="宋体" w:cs="宋体"/>
          <w:spacing w:val="4"/>
          <w:sz w:val="23"/>
          <w:szCs w:val="23"/>
        </w:rPr>
        <w:t xml:space="preserve"> </w:t>
      </w:r>
      <w:r>
        <w:rPr>
          <w:rFonts w:ascii="宋体" w:hAnsi="宋体" w:eastAsia="宋体" w:cs="宋体"/>
          <w:spacing w:val="3"/>
          <w:sz w:val="23"/>
          <w:szCs w:val="23"/>
        </w:rPr>
        <w:t>《中华人民共和国水土保持法》  (</w:t>
      </w:r>
      <w:r>
        <w:rPr>
          <w:rFonts w:ascii="Times New Roman" w:hAnsi="Times New Roman" w:eastAsia="Times New Roman" w:cs="Times New Roman"/>
          <w:spacing w:val="3"/>
          <w:sz w:val="23"/>
          <w:szCs w:val="23"/>
        </w:rPr>
        <w:t xml:space="preserve">2011  </w:t>
      </w:r>
      <w:r>
        <w:rPr>
          <w:rFonts w:ascii="宋体" w:hAnsi="宋体" w:eastAsia="宋体" w:cs="宋体"/>
          <w:spacing w:val="3"/>
          <w:sz w:val="23"/>
          <w:szCs w:val="23"/>
        </w:rPr>
        <w:t xml:space="preserve">年 </w:t>
      </w:r>
      <w:r>
        <w:rPr>
          <w:rFonts w:ascii="Times New Roman" w:hAnsi="Times New Roman" w:eastAsia="Times New Roman" w:cs="Times New Roman"/>
          <w:spacing w:val="3"/>
          <w:sz w:val="23"/>
          <w:szCs w:val="23"/>
        </w:rPr>
        <w:t xml:space="preserve">3  </w:t>
      </w:r>
      <w:r>
        <w:rPr>
          <w:rFonts w:ascii="宋体" w:hAnsi="宋体" w:eastAsia="宋体" w:cs="宋体"/>
          <w:spacing w:val="3"/>
          <w:sz w:val="23"/>
          <w:szCs w:val="23"/>
        </w:rPr>
        <w:t xml:space="preserve">月 </w:t>
      </w:r>
      <w:r>
        <w:rPr>
          <w:rFonts w:ascii="Times New Roman" w:hAnsi="Times New Roman" w:eastAsia="Times New Roman" w:cs="Times New Roman"/>
          <w:spacing w:val="3"/>
          <w:sz w:val="23"/>
          <w:szCs w:val="23"/>
        </w:rPr>
        <w:t xml:space="preserve">1  </w:t>
      </w:r>
      <w:r>
        <w:rPr>
          <w:rFonts w:ascii="宋体" w:hAnsi="宋体" w:eastAsia="宋体" w:cs="宋体"/>
          <w:spacing w:val="3"/>
          <w:sz w:val="23"/>
          <w:szCs w:val="23"/>
        </w:rPr>
        <w:t>日施行) ；</w:t>
      </w:r>
    </w:p>
    <w:p w14:paraId="02751898">
      <w:pPr>
        <w:spacing w:before="183" w:line="227" w:lineRule="auto"/>
        <w:ind w:left="501"/>
        <w:rPr>
          <w:rFonts w:ascii="宋体" w:hAnsi="宋体" w:eastAsia="宋体" w:cs="宋体"/>
          <w:sz w:val="23"/>
          <w:szCs w:val="23"/>
        </w:rPr>
      </w:pPr>
      <w:r>
        <w:rPr>
          <w:rFonts w:ascii="宋体" w:hAnsi="宋体" w:eastAsia="宋体" w:cs="宋体"/>
          <w:spacing w:val="1"/>
          <w:sz w:val="23"/>
          <w:szCs w:val="23"/>
        </w:rPr>
        <w:t>(</w:t>
      </w:r>
      <w:r>
        <w:rPr>
          <w:rFonts w:ascii="Times New Roman" w:hAnsi="Times New Roman" w:eastAsia="Times New Roman" w:cs="Times New Roman"/>
          <w:spacing w:val="1"/>
          <w:sz w:val="23"/>
          <w:szCs w:val="23"/>
        </w:rPr>
        <w:t>10</w:t>
      </w:r>
      <w:r>
        <w:rPr>
          <w:rFonts w:ascii="宋体" w:hAnsi="宋体" w:eastAsia="宋体" w:cs="宋体"/>
          <w:spacing w:val="1"/>
          <w:sz w:val="23"/>
          <w:szCs w:val="23"/>
        </w:rPr>
        <w:t>)  《中华人民共和国土地管理法》  (</w:t>
      </w:r>
      <w:r>
        <w:rPr>
          <w:rFonts w:ascii="Times New Roman" w:hAnsi="Times New Roman" w:eastAsia="Times New Roman" w:cs="Times New Roman"/>
          <w:spacing w:val="1"/>
          <w:sz w:val="23"/>
          <w:szCs w:val="23"/>
        </w:rPr>
        <w:t xml:space="preserve">2004 </w:t>
      </w:r>
      <w:r>
        <w:rPr>
          <w:rFonts w:ascii="宋体" w:hAnsi="宋体" w:eastAsia="宋体" w:cs="宋体"/>
          <w:spacing w:val="1"/>
          <w:sz w:val="23"/>
          <w:szCs w:val="23"/>
        </w:rPr>
        <w:t xml:space="preserve">年 </w:t>
      </w:r>
      <w:r>
        <w:rPr>
          <w:rFonts w:ascii="Times New Roman" w:hAnsi="Times New Roman" w:eastAsia="Times New Roman" w:cs="Times New Roman"/>
          <w:spacing w:val="1"/>
          <w:sz w:val="23"/>
          <w:szCs w:val="23"/>
        </w:rPr>
        <w:t xml:space="preserve">8 </w:t>
      </w:r>
      <w:r>
        <w:rPr>
          <w:rFonts w:ascii="宋体" w:hAnsi="宋体" w:eastAsia="宋体" w:cs="宋体"/>
          <w:spacing w:val="1"/>
          <w:sz w:val="23"/>
          <w:szCs w:val="23"/>
        </w:rPr>
        <w:t xml:space="preserve">月 </w:t>
      </w:r>
      <w:r>
        <w:rPr>
          <w:rFonts w:ascii="Times New Roman" w:hAnsi="Times New Roman" w:eastAsia="Times New Roman" w:cs="Times New Roman"/>
          <w:spacing w:val="1"/>
          <w:sz w:val="23"/>
          <w:szCs w:val="23"/>
        </w:rPr>
        <w:t xml:space="preserve">28 </w:t>
      </w:r>
      <w:r>
        <w:rPr>
          <w:rFonts w:ascii="宋体" w:hAnsi="宋体" w:eastAsia="宋体" w:cs="宋体"/>
          <w:sz w:val="23"/>
          <w:szCs w:val="23"/>
        </w:rPr>
        <w:t>日修订) ；</w:t>
      </w:r>
    </w:p>
    <w:p w14:paraId="613D3B9C">
      <w:pPr>
        <w:spacing w:before="184" w:line="227" w:lineRule="auto"/>
        <w:ind w:left="501"/>
        <w:rPr>
          <w:rFonts w:ascii="宋体" w:hAnsi="宋体" w:eastAsia="宋体" w:cs="宋体"/>
          <w:sz w:val="23"/>
          <w:szCs w:val="23"/>
        </w:rPr>
      </w:pPr>
      <w:r>
        <w:rPr>
          <w:rFonts w:ascii="宋体" w:hAnsi="宋体" w:eastAsia="宋体" w:cs="宋体"/>
          <w:spacing w:val="1"/>
          <w:sz w:val="23"/>
          <w:szCs w:val="23"/>
        </w:rPr>
        <w:t>(</w:t>
      </w:r>
      <w:r>
        <w:rPr>
          <w:rFonts w:ascii="Times New Roman" w:hAnsi="Times New Roman" w:eastAsia="Times New Roman" w:cs="Times New Roman"/>
          <w:spacing w:val="1"/>
          <w:sz w:val="23"/>
          <w:szCs w:val="23"/>
        </w:rPr>
        <w:t>11</w:t>
      </w:r>
      <w:r>
        <w:rPr>
          <w:rFonts w:ascii="宋体" w:hAnsi="宋体" w:eastAsia="宋体" w:cs="宋体"/>
          <w:spacing w:val="1"/>
          <w:sz w:val="23"/>
          <w:szCs w:val="23"/>
        </w:rPr>
        <w:t xml:space="preserve">) </w:t>
      </w:r>
      <w:r>
        <w:rPr>
          <w:rFonts w:ascii="宋体" w:hAnsi="宋体" w:eastAsia="宋体" w:cs="宋体"/>
          <w:sz w:val="23"/>
          <w:szCs w:val="23"/>
        </w:rPr>
        <w:t xml:space="preserve"> 《基本农田保护条例》  (国务院令第 </w:t>
      </w:r>
      <w:r>
        <w:rPr>
          <w:rFonts w:ascii="Times New Roman" w:hAnsi="Times New Roman" w:eastAsia="Times New Roman" w:cs="Times New Roman"/>
          <w:sz w:val="23"/>
          <w:szCs w:val="23"/>
        </w:rPr>
        <w:t xml:space="preserve">257 </w:t>
      </w:r>
      <w:r>
        <w:rPr>
          <w:rFonts w:ascii="宋体" w:hAnsi="宋体" w:eastAsia="宋体" w:cs="宋体"/>
          <w:sz w:val="23"/>
          <w:szCs w:val="23"/>
        </w:rPr>
        <w:t>号，</w:t>
      </w:r>
      <w:r>
        <w:rPr>
          <w:rFonts w:ascii="Times New Roman" w:hAnsi="Times New Roman" w:eastAsia="Times New Roman" w:cs="Times New Roman"/>
          <w:sz w:val="23"/>
          <w:szCs w:val="23"/>
        </w:rPr>
        <w:t xml:space="preserve">1998 </w:t>
      </w:r>
      <w:r>
        <w:rPr>
          <w:rFonts w:ascii="宋体" w:hAnsi="宋体" w:eastAsia="宋体" w:cs="宋体"/>
          <w:sz w:val="23"/>
          <w:szCs w:val="23"/>
        </w:rPr>
        <w:t xml:space="preserve">年 </w:t>
      </w:r>
      <w:r>
        <w:rPr>
          <w:rFonts w:ascii="Times New Roman" w:hAnsi="Times New Roman" w:eastAsia="Times New Roman" w:cs="Times New Roman"/>
          <w:sz w:val="23"/>
          <w:szCs w:val="23"/>
        </w:rPr>
        <w:t xml:space="preserve">12 </w:t>
      </w:r>
      <w:r>
        <w:rPr>
          <w:rFonts w:ascii="宋体" w:hAnsi="宋体" w:eastAsia="宋体" w:cs="宋体"/>
          <w:sz w:val="23"/>
          <w:szCs w:val="23"/>
        </w:rPr>
        <w:t xml:space="preserve">月 </w:t>
      </w:r>
      <w:r>
        <w:rPr>
          <w:rFonts w:ascii="Times New Roman" w:hAnsi="Times New Roman" w:eastAsia="Times New Roman" w:cs="Times New Roman"/>
          <w:sz w:val="23"/>
          <w:szCs w:val="23"/>
        </w:rPr>
        <w:t xml:space="preserve">27 </w:t>
      </w:r>
      <w:r>
        <w:rPr>
          <w:rFonts w:ascii="宋体" w:hAnsi="宋体" w:eastAsia="宋体" w:cs="宋体"/>
          <w:sz w:val="23"/>
          <w:szCs w:val="23"/>
        </w:rPr>
        <w:t>日) ；</w:t>
      </w:r>
    </w:p>
    <w:p w14:paraId="0524B8F4">
      <w:pPr>
        <w:spacing w:before="184" w:line="227" w:lineRule="auto"/>
        <w:ind w:left="501"/>
        <w:rPr>
          <w:rFonts w:ascii="宋体" w:hAnsi="宋体" w:eastAsia="宋体" w:cs="宋体"/>
          <w:sz w:val="23"/>
          <w:szCs w:val="23"/>
        </w:rPr>
      </w:pPr>
      <w:r>
        <w:rPr>
          <w:rFonts w:ascii="宋体" w:hAnsi="宋体" w:eastAsia="宋体" w:cs="宋体"/>
          <w:spacing w:val="2"/>
          <w:sz w:val="23"/>
          <w:szCs w:val="23"/>
        </w:rPr>
        <w:t>(</w:t>
      </w:r>
      <w:r>
        <w:rPr>
          <w:rFonts w:ascii="Times New Roman" w:hAnsi="Times New Roman" w:eastAsia="Times New Roman" w:cs="Times New Roman"/>
          <w:spacing w:val="2"/>
          <w:sz w:val="23"/>
          <w:szCs w:val="23"/>
        </w:rPr>
        <w:t>12</w:t>
      </w:r>
      <w:r>
        <w:rPr>
          <w:rFonts w:ascii="宋体" w:hAnsi="宋体" w:eastAsia="宋体" w:cs="宋体"/>
          <w:spacing w:val="2"/>
          <w:sz w:val="23"/>
          <w:szCs w:val="23"/>
        </w:rPr>
        <w:t>)  《中华人民共和国畜牧法》  (</w:t>
      </w:r>
      <w:r>
        <w:rPr>
          <w:rFonts w:ascii="Times New Roman" w:hAnsi="Times New Roman" w:eastAsia="Times New Roman" w:cs="Times New Roman"/>
          <w:spacing w:val="2"/>
          <w:sz w:val="23"/>
          <w:szCs w:val="23"/>
        </w:rPr>
        <w:t xml:space="preserve">2015  </w:t>
      </w:r>
      <w:r>
        <w:rPr>
          <w:rFonts w:ascii="宋体" w:hAnsi="宋体" w:eastAsia="宋体" w:cs="宋体"/>
          <w:spacing w:val="2"/>
          <w:sz w:val="23"/>
          <w:szCs w:val="23"/>
        </w:rPr>
        <w:t xml:space="preserve">年 </w:t>
      </w:r>
      <w:r>
        <w:rPr>
          <w:rFonts w:ascii="Times New Roman" w:hAnsi="Times New Roman" w:eastAsia="Times New Roman" w:cs="Times New Roman"/>
          <w:spacing w:val="2"/>
          <w:sz w:val="23"/>
          <w:szCs w:val="23"/>
        </w:rPr>
        <w:t xml:space="preserve">4 </w:t>
      </w:r>
      <w:r>
        <w:rPr>
          <w:rFonts w:ascii="宋体" w:hAnsi="宋体" w:eastAsia="宋体" w:cs="宋体"/>
          <w:spacing w:val="2"/>
          <w:sz w:val="23"/>
          <w:szCs w:val="23"/>
        </w:rPr>
        <w:t xml:space="preserve">月 </w:t>
      </w:r>
      <w:r>
        <w:rPr>
          <w:rFonts w:ascii="Times New Roman" w:hAnsi="Times New Roman" w:eastAsia="Times New Roman" w:cs="Times New Roman"/>
          <w:spacing w:val="2"/>
          <w:sz w:val="23"/>
          <w:szCs w:val="23"/>
        </w:rPr>
        <w:t xml:space="preserve">24  </w:t>
      </w:r>
      <w:r>
        <w:rPr>
          <w:rFonts w:ascii="宋体" w:hAnsi="宋体" w:eastAsia="宋体" w:cs="宋体"/>
          <w:spacing w:val="2"/>
          <w:sz w:val="23"/>
          <w:szCs w:val="23"/>
        </w:rPr>
        <w:t>日修正)</w:t>
      </w:r>
      <w:r>
        <w:rPr>
          <w:rFonts w:ascii="宋体" w:hAnsi="宋体" w:eastAsia="宋体" w:cs="宋体"/>
          <w:sz w:val="23"/>
          <w:szCs w:val="23"/>
        </w:rPr>
        <w:t xml:space="preserve"> ；</w:t>
      </w:r>
    </w:p>
    <w:p w14:paraId="6CD8149F">
      <w:pPr>
        <w:spacing w:before="185" w:line="227" w:lineRule="auto"/>
        <w:ind w:left="501"/>
        <w:rPr>
          <w:rFonts w:ascii="宋体" w:hAnsi="宋体" w:eastAsia="宋体" w:cs="宋体"/>
          <w:sz w:val="23"/>
          <w:szCs w:val="23"/>
        </w:rPr>
      </w:pPr>
      <w:r>
        <w:rPr>
          <w:rFonts w:ascii="宋体" w:hAnsi="宋体" w:eastAsia="宋体" w:cs="宋体"/>
          <w:spacing w:val="6"/>
          <w:sz w:val="23"/>
          <w:szCs w:val="23"/>
        </w:rPr>
        <w:t>(</w:t>
      </w:r>
      <w:r>
        <w:rPr>
          <w:rFonts w:ascii="Times New Roman" w:hAnsi="Times New Roman" w:eastAsia="Times New Roman" w:cs="Times New Roman"/>
          <w:spacing w:val="6"/>
          <w:sz w:val="23"/>
          <w:szCs w:val="23"/>
        </w:rPr>
        <w:t>13</w:t>
      </w:r>
      <w:r>
        <w:rPr>
          <w:rFonts w:ascii="宋体" w:hAnsi="宋体" w:eastAsia="宋体" w:cs="宋体"/>
          <w:spacing w:val="6"/>
          <w:sz w:val="23"/>
          <w:szCs w:val="23"/>
        </w:rPr>
        <w:t>)  《中华人</w:t>
      </w:r>
      <w:r>
        <w:rPr>
          <w:rFonts w:ascii="宋体" w:hAnsi="宋体" w:eastAsia="宋体" w:cs="宋体"/>
          <w:spacing w:val="5"/>
          <w:sz w:val="23"/>
          <w:szCs w:val="23"/>
        </w:rPr>
        <w:t>民</w:t>
      </w:r>
      <w:r>
        <w:rPr>
          <w:rFonts w:ascii="宋体" w:hAnsi="宋体" w:eastAsia="宋体" w:cs="宋体"/>
          <w:spacing w:val="3"/>
          <w:sz w:val="23"/>
          <w:szCs w:val="23"/>
        </w:rPr>
        <w:t>共和国动物防疫法》  (</w:t>
      </w:r>
      <w:r>
        <w:rPr>
          <w:rFonts w:ascii="Times New Roman" w:hAnsi="Times New Roman" w:eastAsia="Times New Roman" w:cs="Times New Roman"/>
          <w:spacing w:val="3"/>
          <w:sz w:val="23"/>
          <w:szCs w:val="23"/>
        </w:rPr>
        <w:t xml:space="preserve">2008  </w:t>
      </w:r>
      <w:r>
        <w:rPr>
          <w:rFonts w:ascii="宋体" w:hAnsi="宋体" w:eastAsia="宋体" w:cs="宋体"/>
          <w:spacing w:val="3"/>
          <w:sz w:val="23"/>
          <w:szCs w:val="23"/>
        </w:rPr>
        <w:t xml:space="preserve">年 </w:t>
      </w:r>
      <w:r>
        <w:rPr>
          <w:rFonts w:ascii="Times New Roman" w:hAnsi="Times New Roman" w:eastAsia="Times New Roman" w:cs="Times New Roman"/>
          <w:spacing w:val="3"/>
          <w:sz w:val="23"/>
          <w:szCs w:val="23"/>
        </w:rPr>
        <w:t xml:space="preserve">8  </w:t>
      </w:r>
      <w:r>
        <w:rPr>
          <w:rFonts w:ascii="宋体" w:hAnsi="宋体" w:eastAsia="宋体" w:cs="宋体"/>
          <w:spacing w:val="3"/>
          <w:sz w:val="23"/>
          <w:szCs w:val="23"/>
        </w:rPr>
        <w:t xml:space="preserve">月 </w:t>
      </w:r>
      <w:r>
        <w:rPr>
          <w:rFonts w:ascii="Times New Roman" w:hAnsi="Times New Roman" w:eastAsia="Times New Roman" w:cs="Times New Roman"/>
          <w:spacing w:val="3"/>
          <w:sz w:val="23"/>
          <w:szCs w:val="23"/>
        </w:rPr>
        <w:t xml:space="preserve">1  </w:t>
      </w:r>
      <w:r>
        <w:rPr>
          <w:rFonts w:ascii="宋体" w:hAnsi="宋体" w:eastAsia="宋体" w:cs="宋体"/>
          <w:spacing w:val="3"/>
          <w:sz w:val="23"/>
          <w:szCs w:val="23"/>
        </w:rPr>
        <w:t>日起施行) ；</w:t>
      </w:r>
    </w:p>
    <w:p w14:paraId="389C0981">
      <w:pPr>
        <w:spacing w:before="182" w:line="227" w:lineRule="auto"/>
        <w:ind w:left="501"/>
        <w:rPr>
          <w:rFonts w:ascii="宋体" w:hAnsi="宋体" w:eastAsia="宋体" w:cs="宋体"/>
          <w:sz w:val="23"/>
          <w:szCs w:val="23"/>
        </w:rPr>
      </w:pPr>
      <w:r>
        <w:rPr>
          <w:rFonts w:ascii="宋体" w:hAnsi="宋体" w:eastAsia="宋体" w:cs="宋体"/>
          <w:spacing w:val="4"/>
          <w:sz w:val="23"/>
          <w:szCs w:val="23"/>
        </w:rPr>
        <w:t>(</w:t>
      </w:r>
      <w:r>
        <w:rPr>
          <w:rFonts w:ascii="Times New Roman" w:hAnsi="Times New Roman" w:eastAsia="Times New Roman" w:cs="Times New Roman"/>
          <w:spacing w:val="4"/>
          <w:sz w:val="23"/>
          <w:szCs w:val="23"/>
        </w:rPr>
        <w:t>14</w:t>
      </w:r>
      <w:r>
        <w:rPr>
          <w:rFonts w:ascii="宋体" w:hAnsi="宋体" w:eastAsia="宋体" w:cs="宋体"/>
          <w:spacing w:val="4"/>
          <w:sz w:val="23"/>
          <w:szCs w:val="23"/>
        </w:rPr>
        <w:t>)  《中华人民共和国传染病防治法》  (</w:t>
      </w:r>
      <w:r>
        <w:rPr>
          <w:rFonts w:ascii="Times New Roman" w:hAnsi="Times New Roman" w:eastAsia="Times New Roman" w:cs="Times New Roman"/>
          <w:spacing w:val="4"/>
          <w:sz w:val="23"/>
          <w:szCs w:val="23"/>
        </w:rPr>
        <w:t xml:space="preserve">2004  </w:t>
      </w:r>
      <w:r>
        <w:rPr>
          <w:rFonts w:ascii="宋体" w:hAnsi="宋体" w:eastAsia="宋体" w:cs="宋体"/>
          <w:spacing w:val="4"/>
          <w:sz w:val="23"/>
          <w:szCs w:val="23"/>
        </w:rPr>
        <w:t xml:space="preserve">年 </w:t>
      </w:r>
      <w:r>
        <w:rPr>
          <w:rFonts w:ascii="Times New Roman" w:hAnsi="Times New Roman" w:eastAsia="Times New Roman" w:cs="Times New Roman"/>
          <w:spacing w:val="4"/>
          <w:sz w:val="23"/>
          <w:szCs w:val="23"/>
        </w:rPr>
        <w:t xml:space="preserve">12  </w:t>
      </w:r>
      <w:r>
        <w:rPr>
          <w:rFonts w:ascii="宋体" w:hAnsi="宋体" w:eastAsia="宋体" w:cs="宋体"/>
          <w:spacing w:val="4"/>
          <w:sz w:val="23"/>
          <w:szCs w:val="23"/>
        </w:rPr>
        <w:t xml:space="preserve">月 </w:t>
      </w:r>
      <w:r>
        <w:rPr>
          <w:rFonts w:ascii="Times New Roman" w:hAnsi="Times New Roman" w:eastAsia="Times New Roman" w:cs="Times New Roman"/>
          <w:spacing w:val="4"/>
          <w:sz w:val="23"/>
          <w:szCs w:val="23"/>
        </w:rPr>
        <w:t xml:space="preserve">1  </w:t>
      </w:r>
      <w:r>
        <w:rPr>
          <w:rFonts w:ascii="宋体" w:hAnsi="宋体" w:eastAsia="宋体" w:cs="宋体"/>
          <w:spacing w:val="4"/>
          <w:sz w:val="23"/>
          <w:szCs w:val="23"/>
        </w:rPr>
        <w:t>日起施行)</w:t>
      </w:r>
      <w:r>
        <w:rPr>
          <w:rFonts w:ascii="宋体" w:hAnsi="宋体" w:eastAsia="宋体" w:cs="宋体"/>
          <w:spacing w:val="1"/>
          <w:sz w:val="23"/>
          <w:szCs w:val="23"/>
        </w:rPr>
        <w:t xml:space="preserve"> </w:t>
      </w:r>
      <w:r>
        <w:rPr>
          <w:rFonts w:ascii="宋体" w:hAnsi="宋体" w:eastAsia="宋体" w:cs="宋体"/>
          <w:sz w:val="23"/>
          <w:szCs w:val="23"/>
        </w:rPr>
        <w:t>；</w:t>
      </w:r>
    </w:p>
    <w:p w14:paraId="55256983">
      <w:pPr>
        <w:spacing w:before="185" w:line="227" w:lineRule="auto"/>
        <w:ind w:left="16"/>
        <w:outlineLvl w:val="2"/>
        <w:rPr>
          <w:rFonts w:ascii="宋体" w:hAnsi="宋体" w:eastAsia="宋体" w:cs="宋体"/>
          <w:sz w:val="23"/>
          <w:szCs w:val="23"/>
        </w:rPr>
      </w:pPr>
      <w:r>
        <w:rPr>
          <w:rFonts w:ascii="Times New Roman" w:hAnsi="Times New Roman" w:eastAsia="Times New Roman" w:cs="Times New Roman"/>
          <w:b/>
          <w:bCs/>
          <w:spacing w:val="16"/>
          <w:sz w:val="23"/>
          <w:szCs w:val="23"/>
        </w:rPr>
        <w:t>1</w:t>
      </w:r>
      <w:r>
        <w:rPr>
          <w:rFonts w:ascii="Times New Roman" w:hAnsi="Times New Roman" w:eastAsia="Times New Roman" w:cs="Times New Roman"/>
          <w:b/>
          <w:bCs/>
          <w:spacing w:val="9"/>
          <w:sz w:val="23"/>
          <w:szCs w:val="23"/>
        </w:rPr>
        <w:t>.</w:t>
      </w:r>
      <w:r>
        <w:rPr>
          <w:rFonts w:ascii="Times New Roman" w:hAnsi="Times New Roman" w:eastAsia="Times New Roman" w:cs="Times New Roman"/>
          <w:b/>
          <w:bCs/>
          <w:spacing w:val="8"/>
          <w:sz w:val="23"/>
          <w:szCs w:val="23"/>
        </w:rPr>
        <w:t>1.2</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环境保护行政法规和国务院发布的规范性文件</w:t>
      </w:r>
    </w:p>
    <w:p w14:paraId="174DA3A7">
      <w:pPr>
        <w:spacing w:before="184" w:line="227" w:lineRule="auto"/>
        <w:ind w:left="446"/>
        <w:rPr>
          <w:rFonts w:ascii="宋体" w:hAnsi="宋体" w:eastAsia="宋体" w:cs="宋体"/>
          <w:sz w:val="23"/>
          <w:szCs w:val="23"/>
        </w:rPr>
      </w:pPr>
      <w:r>
        <w:rPr>
          <w:rFonts w:ascii="宋体" w:hAnsi="宋体" w:eastAsia="宋体" w:cs="宋体"/>
          <w:spacing w:val="5"/>
          <w:sz w:val="23"/>
          <w:szCs w:val="23"/>
        </w:rPr>
        <w:t>(</w:t>
      </w:r>
      <w:r>
        <w:rPr>
          <w:rFonts w:ascii="Times New Roman" w:hAnsi="Times New Roman" w:eastAsia="Times New Roman" w:cs="Times New Roman"/>
          <w:spacing w:val="5"/>
          <w:sz w:val="23"/>
          <w:szCs w:val="23"/>
        </w:rPr>
        <w:t>1</w:t>
      </w:r>
      <w:r>
        <w:rPr>
          <w:rFonts w:ascii="宋体" w:hAnsi="宋体" w:eastAsia="宋体" w:cs="宋体"/>
          <w:spacing w:val="5"/>
          <w:sz w:val="23"/>
          <w:szCs w:val="23"/>
        </w:rPr>
        <w:t xml:space="preserve">)  《建设项目环境保护管理条例》，国务院令第 </w:t>
      </w:r>
      <w:r>
        <w:rPr>
          <w:rFonts w:ascii="Times New Roman" w:hAnsi="Times New Roman" w:eastAsia="Times New Roman" w:cs="Times New Roman"/>
          <w:spacing w:val="5"/>
          <w:sz w:val="23"/>
          <w:szCs w:val="23"/>
        </w:rPr>
        <w:t xml:space="preserve">682 </w:t>
      </w:r>
      <w:r>
        <w:rPr>
          <w:rFonts w:ascii="宋体" w:hAnsi="宋体" w:eastAsia="宋体" w:cs="宋体"/>
          <w:spacing w:val="5"/>
          <w:sz w:val="23"/>
          <w:szCs w:val="23"/>
        </w:rPr>
        <w:t>号，</w:t>
      </w:r>
      <w:r>
        <w:rPr>
          <w:rFonts w:ascii="Times New Roman" w:hAnsi="Times New Roman" w:eastAsia="Times New Roman" w:cs="Times New Roman"/>
          <w:spacing w:val="5"/>
          <w:sz w:val="23"/>
          <w:szCs w:val="23"/>
        </w:rPr>
        <w:t xml:space="preserve">2017 </w:t>
      </w:r>
      <w:r>
        <w:rPr>
          <w:rFonts w:ascii="宋体" w:hAnsi="宋体" w:eastAsia="宋体" w:cs="宋体"/>
          <w:spacing w:val="5"/>
          <w:sz w:val="23"/>
          <w:szCs w:val="23"/>
        </w:rPr>
        <w:t xml:space="preserve">年 </w:t>
      </w:r>
      <w:r>
        <w:rPr>
          <w:rFonts w:ascii="Times New Roman" w:hAnsi="Times New Roman" w:eastAsia="Times New Roman" w:cs="Times New Roman"/>
          <w:spacing w:val="5"/>
          <w:sz w:val="23"/>
          <w:szCs w:val="23"/>
        </w:rPr>
        <w:t xml:space="preserve">10 </w:t>
      </w:r>
      <w:r>
        <w:rPr>
          <w:rFonts w:ascii="宋体" w:hAnsi="宋体" w:eastAsia="宋体" w:cs="宋体"/>
          <w:spacing w:val="5"/>
          <w:sz w:val="23"/>
          <w:szCs w:val="23"/>
        </w:rPr>
        <w:t xml:space="preserve">月 </w:t>
      </w:r>
      <w:r>
        <w:rPr>
          <w:rFonts w:ascii="Times New Roman" w:hAnsi="Times New Roman" w:eastAsia="Times New Roman" w:cs="Times New Roman"/>
          <w:spacing w:val="5"/>
          <w:sz w:val="23"/>
          <w:szCs w:val="23"/>
        </w:rPr>
        <w:t xml:space="preserve">1 </w:t>
      </w:r>
      <w:r>
        <w:rPr>
          <w:rFonts w:ascii="宋体" w:hAnsi="宋体" w:eastAsia="宋体" w:cs="宋体"/>
          <w:sz w:val="23"/>
          <w:szCs w:val="23"/>
        </w:rPr>
        <w:t>日</w:t>
      </w:r>
    </w:p>
    <w:p w14:paraId="188C0813">
      <w:pPr>
        <w:spacing w:before="185" w:line="228" w:lineRule="auto"/>
        <w:ind w:left="15"/>
        <w:rPr>
          <w:rFonts w:ascii="宋体" w:hAnsi="宋体" w:eastAsia="宋体" w:cs="宋体"/>
          <w:sz w:val="23"/>
          <w:szCs w:val="23"/>
        </w:rPr>
      </w:pPr>
      <w:r>
        <w:rPr>
          <w:rFonts w:ascii="宋体" w:hAnsi="宋体" w:eastAsia="宋体" w:cs="宋体"/>
          <w:spacing w:val="2"/>
          <w:sz w:val="23"/>
          <w:szCs w:val="23"/>
        </w:rPr>
        <w:t>实</w:t>
      </w:r>
      <w:r>
        <w:rPr>
          <w:rFonts w:ascii="宋体" w:hAnsi="宋体" w:eastAsia="宋体" w:cs="宋体"/>
          <w:spacing w:val="1"/>
          <w:sz w:val="23"/>
          <w:szCs w:val="23"/>
        </w:rPr>
        <w:t>施；</w:t>
      </w:r>
    </w:p>
    <w:p w14:paraId="4F1E828A">
      <w:pPr>
        <w:spacing w:before="184" w:line="227" w:lineRule="auto"/>
        <w:ind w:left="446"/>
        <w:rPr>
          <w:rFonts w:ascii="宋体" w:hAnsi="宋体" w:eastAsia="宋体" w:cs="宋体"/>
          <w:sz w:val="23"/>
          <w:szCs w:val="23"/>
        </w:rPr>
      </w:pPr>
      <w:r>
        <w:rPr>
          <w:rFonts w:ascii="宋体" w:hAnsi="宋体" w:eastAsia="宋体" w:cs="宋体"/>
          <w:spacing w:val="7"/>
          <w:sz w:val="23"/>
          <w:szCs w:val="23"/>
        </w:rPr>
        <w:t>(</w:t>
      </w:r>
      <w:r>
        <w:rPr>
          <w:rFonts w:ascii="Times New Roman" w:hAnsi="Times New Roman" w:eastAsia="Times New Roman" w:cs="Times New Roman"/>
          <w:spacing w:val="7"/>
          <w:sz w:val="23"/>
          <w:szCs w:val="23"/>
        </w:rPr>
        <w:t>2</w:t>
      </w:r>
      <w:r>
        <w:rPr>
          <w:rFonts w:ascii="宋体" w:hAnsi="宋体" w:eastAsia="宋体" w:cs="宋体"/>
          <w:spacing w:val="7"/>
          <w:sz w:val="23"/>
          <w:szCs w:val="23"/>
        </w:rPr>
        <w:t xml:space="preserve">)  《种畜禽管理条例》，国务院令第 </w:t>
      </w:r>
      <w:r>
        <w:rPr>
          <w:rFonts w:ascii="Times New Roman" w:hAnsi="Times New Roman" w:eastAsia="Times New Roman" w:cs="Times New Roman"/>
          <w:spacing w:val="7"/>
          <w:sz w:val="23"/>
          <w:szCs w:val="23"/>
        </w:rPr>
        <w:t xml:space="preserve">153 </w:t>
      </w:r>
      <w:r>
        <w:rPr>
          <w:rFonts w:ascii="宋体" w:hAnsi="宋体" w:eastAsia="宋体" w:cs="宋体"/>
          <w:spacing w:val="7"/>
          <w:sz w:val="23"/>
          <w:szCs w:val="23"/>
        </w:rPr>
        <w:t>号</w:t>
      </w:r>
      <w:r>
        <w:rPr>
          <w:rFonts w:ascii="宋体" w:hAnsi="宋体" w:eastAsia="宋体" w:cs="宋体"/>
          <w:spacing w:val="4"/>
          <w:sz w:val="23"/>
          <w:szCs w:val="23"/>
        </w:rPr>
        <w:t>；</w:t>
      </w:r>
    </w:p>
    <w:p w14:paraId="6082C677">
      <w:pPr>
        <w:spacing w:before="183" w:line="227" w:lineRule="auto"/>
        <w:ind w:left="446"/>
        <w:rPr>
          <w:rFonts w:ascii="宋体" w:hAnsi="宋体" w:eastAsia="宋体" w:cs="宋体"/>
          <w:sz w:val="23"/>
          <w:szCs w:val="23"/>
        </w:rPr>
      </w:pPr>
      <w:r>
        <w:rPr>
          <w:rFonts w:ascii="宋体" w:hAnsi="宋体" w:eastAsia="宋体" w:cs="宋体"/>
          <w:spacing w:val="9"/>
          <w:sz w:val="23"/>
          <w:szCs w:val="23"/>
        </w:rPr>
        <w:t>(</w:t>
      </w:r>
      <w:r>
        <w:rPr>
          <w:rFonts w:ascii="Times New Roman" w:hAnsi="Times New Roman" w:eastAsia="Times New Roman" w:cs="Times New Roman"/>
          <w:spacing w:val="7"/>
          <w:sz w:val="23"/>
          <w:szCs w:val="23"/>
        </w:rPr>
        <w:t>3</w:t>
      </w:r>
      <w:r>
        <w:rPr>
          <w:rFonts w:ascii="宋体" w:hAnsi="宋体" w:eastAsia="宋体" w:cs="宋体"/>
          <w:spacing w:val="7"/>
          <w:sz w:val="23"/>
          <w:szCs w:val="23"/>
        </w:rPr>
        <w:t xml:space="preserve">)  《重大动物疫情应急条例》，国务院令第 </w:t>
      </w:r>
      <w:r>
        <w:rPr>
          <w:rFonts w:ascii="Times New Roman" w:hAnsi="Times New Roman" w:eastAsia="Times New Roman" w:cs="Times New Roman"/>
          <w:spacing w:val="7"/>
          <w:sz w:val="23"/>
          <w:szCs w:val="23"/>
        </w:rPr>
        <w:t xml:space="preserve">450  </w:t>
      </w:r>
      <w:r>
        <w:rPr>
          <w:rFonts w:ascii="宋体" w:hAnsi="宋体" w:eastAsia="宋体" w:cs="宋体"/>
          <w:spacing w:val="7"/>
          <w:sz w:val="23"/>
          <w:szCs w:val="23"/>
        </w:rPr>
        <w:t>号；</w:t>
      </w:r>
    </w:p>
    <w:p w14:paraId="1404B75F">
      <w:pPr>
        <w:spacing w:before="139" w:line="323" w:lineRule="exact"/>
        <w:ind w:left="446"/>
        <w:rPr>
          <w:rFonts w:ascii="宋体" w:hAnsi="宋体" w:eastAsia="宋体" w:cs="宋体"/>
          <w:sz w:val="23"/>
          <w:szCs w:val="23"/>
        </w:rPr>
      </w:pPr>
      <w:r>
        <w:rPr>
          <w:rFonts w:ascii="宋体" w:hAnsi="宋体" w:eastAsia="宋体" w:cs="宋体"/>
          <w:spacing w:val="14"/>
          <w:position w:val="2"/>
          <w:sz w:val="23"/>
          <w:szCs w:val="23"/>
        </w:rPr>
        <w:t>(</w:t>
      </w:r>
      <w:r>
        <w:rPr>
          <w:rFonts w:ascii="Times New Roman" w:hAnsi="Times New Roman" w:eastAsia="Times New Roman" w:cs="Times New Roman"/>
          <w:spacing w:val="9"/>
          <w:position w:val="2"/>
          <w:sz w:val="23"/>
          <w:szCs w:val="23"/>
        </w:rPr>
        <w:t>4</w:t>
      </w:r>
      <w:r>
        <w:rPr>
          <w:rFonts w:ascii="宋体" w:hAnsi="宋体" w:eastAsia="宋体" w:cs="宋体"/>
          <w:spacing w:val="7"/>
          <w:position w:val="2"/>
          <w:sz w:val="23"/>
          <w:szCs w:val="23"/>
        </w:rPr>
        <w:t>)  《关于落实科学发展观加强环境保护的决定》，国发 [</w:t>
      </w:r>
      <w:r>
        <w:rPr>
          <w:rFonts w:ascii="Times New Roman" w:hAnsi="Times New Roman" w:eastAsia="Times New Roman" w:cs="Times New Roman"/>
          <w:spacing w:val="7"/>
          <w:position w:val="2"/>
          <w:sz w:val="23"/>
          <w:szCs w:val="23"/>
        </w:rPr>
        <w:t xml:space="preserve">2005]39 </w:t>
      </w:r>
      <w:r>
        <w:rPr>
          <w:rFonts w:ascii="宋体" w:hAnsi="宋体" w:eastAsia="宋体" w:cs="宋体"/>
          <w:spacing w:val="7"/>
          <w:position w:val="2"/>
          <w:sz w:val="23"/>
          <w:szCs w:val="23"/>
        </w:rPr>
        <w:t>号；</w:t>
      </w:r>
    </w:p>
    <w:p w14:paraId="13FB7FD2">
      <w:pPr>
        <w:spacing w:before="145" w:line="323" w:lineRule="exact"/>
        <w:ind w:left="446"/>
        <w:rPr>
          <w:rFonts w:ascii="宋体" w:hAnsi="宋体" w:eastAsia="宋体" w:cs="宋体"/>
          <w:sz w:val="23"/>
          <w:szCs w:val="23"/>
        </w:rPr>
      </w:pPr>
      <w:r>
        <w:rPr>
          <w:rFonts w:ascii="宋体" w:hAnsi="宋体" w:eastAsia="宋体" w:cs="宋体"/>
          <w:spacing w:val="7"/>
          <w:position w:val="2"/>
          <w:sz w:val="23"/>
          <w:szCs w:val="23"/>
        </w:rPr>
        <w:t>(</w:t>
      </w:r>
      <w:r>
        <w:rPr>
          <w:rFonts w:ascii="Times New Roman" w:hAnsi="Times New Roman" w:eastAsia="Times New Roman" w:cs="Times New Roman"/>
          <w:spacing w:val="7"/>
          <w:position w:val="2"/>
          <w:sz w:val="23"/>
          <w:szCs w:val="23"/>
        </w:rPr>
        <w:t>5</w:t>
      </w:r>
      <w:r>
        <w:rPr>
          <w:rFonts w:ascii="宋体" w:hAnsi="宋体" w:eastAsia="宋体" w:cs="宋体"/>
          <w:spacing w:val="7"/>
          <w:position w:val="2"/>
          <w:sz w:val="23"/>
          <w:szCs w:val="23"/>
        </w:rPr>
        <w:t>)  《关于环境保护若干问题的决定》，国发 [</w:t>
      </w:r>
      <w:r>
        <w:rPr>
          <w:rFonts w:ascii="Times New Roman" w:hAnsi="Times New Roman" w:eastAsia="Times New Roman" w:cs="Times New Roman"/>
          <w:spacing w:val="7"/>
          <w:position w:val="2"/>
          <w:sz w:val="23"/>
          <w:szCs w:val="23"/>
        </w:rPr>
        <w:t xml:space="preserve">1996]31 </w:t>
      </w:r>
      <w:r>
        <w:rPr>
          <w:rFonts w:ascii="宋体" w:hAnsi="宋体" w:eastAsia="宋体" w:cs="宋体"/>
          <w:spacing w:val="7"/>
          <w:position w:val="2"/>
          <w:sz w:val="23"/>
          <w:szCs w:val="23"/>
        </w:rPr>
        <w:t>号</w:t>
      </w:r>
      <w:r>
        <w:rPr>
          <w:rFonts w:ascii="宋体" w:hAnsi="宋体" w:eastAsia="宋体" w:cs="宋体"/>
          <w:spacing w:val="1"/>
          <w:position w:val="2"/>
          <w:sz w:val="23"/>
          <w:szCs w:val="23"/>
        </w:rPr>
        <w:t>；</w:t>
      </w:r>
    </w:p>
    <w:p w14:paraId="326359A1">
      <w:pPr>
        <w:spacing w:before="142" w:line="323" w:lineRule="exact"/>
        <w:ind w:left="446"/>
        <w:rPr>
          <w:rFonts w:ascii="宋体" w:hAnsi="宋体" w:eastAsia="宋体" w:cs="宋体"/>
          <w:sz w:val="23"/>
          <w:szCs w:val="23"/>
        </w:rPr>
      </w:pPr>
      <w:r>
        <w:rPr>
          <w:rFonts w:ascii="宋体" w:hAnsi="宋体" w:eastAsia="宋体" w:cs="宋体"/>
          <w:spacing w:val="12"/>
          <w:position w:val="3"/>
          <w:sz w:val="23"/>
          <w:szCs w:val="23"/>
        </w:rPr>
        <w:t>(</w:t>
      </w:r>
      <w:r>
        <w:rPr>
          <w:rFonts w:ascii="Times New Roman" w:hAnsi="Times New Roman" w:eastAsia="Times New Roman" w:cs="Times New Roman"/>
          <w:spacing w:val="7"/>
          <w:position w:val="3"/>
          <w:sz w:val="23"/>
          <w:szCs w:val="23"/>
        </w:rPr>
        <w:t>6</w:t>
      </w:r>
      <w:r>
        <w:rPr>
          <w:rFonts w:ascii="宋体" w:hAnsi="宋体" w:eastAsia="宋体" w:cs="宋体"/>
          <w:spacing w:val="7"/>
          <w:position w:val="3"/>
          <w:sz w:val="23"/>
          <w:szCs w:val="23"/>
        </w:rPr>
        <w:t>)  《关于促进畜牧业持续健康发展的意见》，国发 [</w:t>
      </w:r>
      <w:r>
        <w:rPr>
          <w:rFonts w:ascii="Times New Roman" w:hAnsi="Times New Roman" w:eastAsia="Times New Roman" w:cs="Times New Roman"/>
          <w:spacing w:val="7"/>
          <w:position w:val="3"/>
          <w:sz w:val="23"/>
          <w:szCs w:val="23"/>
        </w:rPr>
        <w:t xml:space="preserve">2007]4 </w:t>
      </w:r>
      <w:r>
        <w:rPr>
          <w:rFonts w:ascii="宋体" w:hAnsi="宋体" w:eastAsia="宋体" w:cs="宋体"/>
          <w:spacing w:val="7"/>
          <w:position w:val="3"/>
          <w:sz w:val="23"/>
          <w:szCs w:val="23"/>
        </w:rPr>
        <w:t>号；</w:t>
      </w:r>
    </w:p>
    <w:p w14:paraId="28725420">
      <w:pPr>
        <w:sectPr>
          <w:headerReference r:id="rId16" w:type="default"/>
          <w:footerReference r:id="rId17" w:type="default"/>
          <w:pgSz w:w="11907" w:h="16840"/>
          <w:pgMar w:top="1153" w:right="1501" w:bottom="1277" w:left="1660" w:header="919" w:footer="1114" w:gutter="0"/>
          <w:cols w:space="720" w:num="1"/>
        </w:sectPr>
      </w:pPr>
    </w:p>
    <w:p w14:paraId="451212E9">
      <w:pPr>
        <w:spacing w:before="42" w:line="372" w:lineRule="auto"/>
        <w:ind w:left="18" w:right="180" w:firstLine="428"/>
        <w:rPr>
          <w:rFonts w:ascii="宋体" w:hAnsi="宋体" w:eastAsia="宋体" w:cs="宋体"/>
          <w:sz w:val="23"/>
          <w:szCs w:val="23"/>
        </w:rPr>
      </w:pPr>
      <w:r>
        <w:rPr>
          <w:rFonts w:ascii="宋体" w:hAnsi="宋体" w:eastAsia="宋体" w:cs="宋体"/>
          <w:spacing w:val="8"/>
          <w:sz w:val="23"/>
          <w:szCs w:val="23"/>
        </w:rPr>
        <w:t>(</w:t>
      </w:r>
      <w:r>
        <w:rPr>
          <w:rFonts w:ascii="Times New Roman" w:hAnsi="Times New Roman" w:eastAsia="Times New Roman" w:cs="Times New Roman"/>
          <w:spacing w:val="8"/>
          <w:sz w:val="23"/>
          <w:szCs w:val="23"/>
        </w:rPr>
        <w:t>7</w:t>
      </w:r>
      <w:r>
        <w:rPr>
          <w:rFonts w:ascii="宋体" w:hAnsi="宋体" w:eastAsia="宋体" w:cs="宋体"/>
          <w:spacing w:val="8"/>
          <w:sz w:val="23"/>
          <w:szCs w:val="23"/>
        </w:rPr>
        <w:t>)  《国务院办公厅转发农业部关于加快畜牧业发展意见的通知》 ， 国办发</w:t>
      </w:r>
      <w:r>
        <w:rPr>
          <w:rFonts w:ascii="宋体" w:hAnsi="宋体" w:eastAsia="宋体" w:cs="宋体"/>
          <w:sz w:val="23"/>
          <w:szCs w:val="23"/>
        </w:rPr>
        <w:t xml:space="preserve"> </w:t>
      </w:r>
      <w:r>
        <w:rPr>
          <w:rFonts w:ascii="宋体" w:hAnsi="宋体" w:eastAsia="宋体" w:cs="宋体"/>
          <w:spacing w:val="14"/>
          <w:sz w:val="23"/>
          <w:szCs w:val="23"/>
        </w:rPr>
        <w:t>[</w:t>
      </w:r>
      <w:r>
        <w:rPr>
          <w:rFonts w:ascii="Times New Roman" w:hAnsi="Times New Roman" w:eastAsia="Times New Roman" w:cs="Times New Roman"/>
          <w:spacing w:val="14"/>
          <w:sz w:val="23"/>
          <w:szCs w:val="23"/>
        </w:rPr>
        <w:t xml:space="preserve">2001]76 </w:t>
      </w:r>
      <w:r>
        <w:rPr>
          <w:rFonts w:ascii="宋体" w:hAnsi="宋体" w:eastAsia="宋体" w:cs="宋体"/>
          <w:spacing w:val="14"/>
          <w:sz w:val="23"/>
          <w:szCs w:val="23"/>
        </w:rPr>
        <w:t>号</w:t>
      </w:r>
      <w:r>
        <w:rPr>
          <w:rFonts w:ascii="宋体" w:hAnsi="宋体" w:eastAsia="宋体" w:cs="宋体"/>
          <w:spacing w:val="12"/>
          <w:sz w:val="23"/>
          <w:szCs w:val="23"/>
        </w:rPr>
        <w:t>。</w:t>
      </w:r>
    </w:p>
    <w:p w14:paraId="616C52D4">
      <w:pPr>
        <w:spacing w:before="4" w:line="227" w:lineRule="auto"/>
        <w:ind w:left="16"/>
        <w:outlineLvl w:val="2"/>
        <w:rPr>
          <w:rFonts w:ascii="宋体" w:hAnsi="宋体" w:eastAsia="宋体" w:cs="宋体"/>
          <w:sz w:val="23"/>
          <w:szCs w:val="23"/>
        </w:rPr>
      </w:pPr>
      <w:r>
        <w:rPr>
          <w:rFonts w:ascii="Times New Roman" w:hAnsi="Times New Roman" w:eastAsia="Times New Roman" w:cs="Times New Roman"/>
          <w:b/>
          <w:bCs/>
          <w:spacing w:val="14"/>
          <w:sz w:val="23"/>
          <w:szCs w:val="23"/>
        </w:rPr>
        <w:t>1.</w:t>
      </w:r>
      <w:r>
        <w:rPr>
          <w:rFonts w:ascii="Times New Roman" w:hAnsi="Times New Roman" w:eastAsia="Times New Roman" w:cs="Times New Roman"/>
          <w:b/>
          <w:bCs/>
          <w:spacing w:val="10"/>
          <w:sz w:val="23"/>
          <w:szCs w:val="23"/>
        </w:rPr>
        <w:t>1</w:t>
      </w:r>
      <w:r>
        <w:rPr>
          <w:rFonts w:ascii="Times New Roman" w:hAnsi="Times New Roman" w:eastAsia="Times New Roman" w:cs="Times New Roman"/>
          <w:b/>
          <w:bCs/>
          <w:spacing w:val="7"/>
          <w:sz w:val="23"/>
          <w:szCs w:val="23"/>
        </w:rPr>
        <w:t>.3</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部门规章和部门发布的规范性文件</w:t>
      </w:r>
    </w:p>
    <w:p w14:paraId="13B27539">
      <w:pPr>
        <w:spacing w:before="185" w:line="375" w:lineRule="auto"/>
        <w:ind w:left="14" w:right="177" w:firstLine="432"/>
        <w:rPr>
          <w:rFonts w:ascii="宋体" w:hAnsi="宋体" w:eastAsia="宋体" w:cs="宋体"/>
          <w:sz w:val="23"/>
          <w:szCs w:val="23"/>
        </w:rPr>
      </w:pPr>
      <w:r>
        <w:rPr>
          <w:rFonts w:ascii="宋体" w:hAnsi="宋体" w:eastAsia="宋体" w:cs="宋体"/>
          <w:spacing w:val="12"/>
          <w:sz w:val="23"/>
          <w:szCs w:val="23"/>
        </w:rPr>
        <w:t>(</w:t>
      </w:r>
      <w:r>
        <w:rPr>
          <w:rFonts w:ascii="Times New Roman" w:hAnsi="Times New Roman" w:eastAsia="Times New Roman" w:cs="Times New Roman"/>
          <w:spacing w:val="12"/>
          <w:sz w:val="23"/>
          <w:szCs w:val="23"/>
        </w:rPr>
        <w:t>1</w:t>
      </w:r>
      <w:r>
        <w:rPr>
          <w:rFonts w:ascii="宋体" w:hAnsi="宋体" w:eastAsia="宋体" w:cs="宋体"/>
          <w:spacing w:val="7"/>
          <w:sz w:val="23"/>
          <w:szCs w:val="23"/>
        </w:rPr>
        <w:t>)</w:t>
      </w:r>
      <w:r>
        <w:rPr>
          <w:rFonts w:ascii="宋体" w:hAnsi="宋体" w:eastAsia="宋体" w:cs="宋体"/>
          <w:spacing w:val="6"/>
          <w:sz w:val="23"/>
          <w:szCs w:val="23"/>
        </w:rPr>
        <w:t xml:space="preserve"> 《建设项目环境影响评价分类管理名录》，环境保护部令第 </w:t>
      </w:r>
      <w:r>
        <w:rPr>
          <w:rFonts w:ascii="Times New Roman" w:hAnsi="Times New Roman" w:eastAsia="Times New Roman" w:cs="Times New Roman"/>
          <w:spacing w:val="6"/>
          <w:sz w:val="23"/>
          <w:szCs w:val="23"/>
        </w:rPr>
        <w:t xml:space="preserve">44 </w:t>
      </w:r>
      <w:r>
        <w:rPr>
          <w:rFonts w:ascii="宋体" w:hAnsi="宋体" w:eastAsia="宋体" w:cs="宋体"/>
          <w:spacing w:val="6"/>
          <w:sz w:val="23"/>
          <w:szCs w:val="23"/>
        </w:rPr>
        <w:t>号，及《关</w:t>
      </w:r>
      <w:r>
        <w:rPr>
          <w:rFonts w:ascii="宋体" w:hAnsi="宋体" w:eastAsia="宋体" w:cs="宋体"/>
          <w:sz w:val="23"/>
          <w:szCs w:val="23"/>
        </w:rPr>
        <w:t xml:space="preserve"> </w:t>
      </w:r>
      <w:r>
        <w:rPr>
          <w:rFonts w:ascii="宋体" w:hAnsi="宋体" w:eastAsia="宋体" w:cs="宋体"/>
          <w:spacing w:val="14"/>
          <w:sz w:val="23"/>
          <w:szCs w:val="23"/>
        </w:rPr>
        <w:t>于</w:t>
      </w:r>
      <w:r>
        <w:rPr>
          <w:rFonts w:ascii="宋体" w:hAnsi="宋体" w:eastAsia="宋体" w:cs="宋体"/>
          <w:spacing w:val="13"/>
          <w:sz w:val="23"/>
          <w:szCs w:val="23"/>
        </w:rPr>
        <w:t>修</w:t>
      </w:r>
      <w:r>
        <w:rPr>
          <w:rFonts w:ascii="宋体" w:hAnsi="宋体" w:eastAsia="宋体" w:cs="宋体"/>
          <w:spacing w:val="7"/>
          <w:sz w:val="23"/>
          <w:szCs w:val="23"/>
        </w:rPr>
        <w:t>改〈建设项目环境影响评价分类管理名录〉部分内容的决定》 (生态环保部 第</w:t>
      </w:r>
      <w:r>
        <w:rPr>
          <w:rFonts w:ascii="宋体" w:hAnsi="宋体" w:eastAsia="宋体" w:cs="宋体"/>
          <w:sz w:val="23"/>
          <w:szCs w:val="23"/>
        </w:rPr>
        <w:t xml:space="preserve"> </w:t>
      </w:r>
      <w:r>
        <w:rPr>
          <w:rFonts w:ascii="Times New Roman" w:hAnsi="Times New Roman" w:eastAsia="Times New Roman" w:cs="Times New Roman"/>
          <w:spacing w:val="4"/>
          <w:sz w:val="23"/>
          <w:szCs w:val="23"/>
        </w:rPr>
        <w:t>1</w:t>
      </w:r>
      <w:r>
        <w:rPr>
          <w:rFonts w:ascii="Times New Roman" w:hAnsi="Times New Roman" w:eastAsia="Times New Roman" w:cs="Times New Roman"/>
          <w:spacing w:val="3"/>
          <w:sz w:val="23"/>
          <w:szCs w:val="23"/>
        </w:rPr>
        <w:t xml:space="preserve"> </w:t>
      </w:r>
      <w:r>
        <w:rPr>
          <w:rFonts w:ascii="宋体" w:hAnsi="宋体" w:eastAsia="宋体" w:cs="宋体"/>
          <w:spacing w:val="2"/>
          <w:sz w:val="23"/>
          <w:szCs w:val="23"/>
        </w:rPr>
        <w:t>号) ；</w:t>
      </w:r>
    </w:p>
    <w:p w14:paraId="4047B5E4">
      <w:pPr>
        <w:spacing w:before="1" w:line="374" w:lineRule="auto"/>
        <w:ind w:left="11" w:right="180" w:firstLine="435"/>
        <w:rPr>
          <w:rFonts w:ascii="宋体" w:hAnsi="宋体" w:eastAsia="宋体" w:cs="宋体"/>
          <w:sz w:val="23"/>
          <w:szCs w:val="23"/>
        </w:rPr>
      </w:pPr>
      <w:r>
        <w:rPr>
          <w:rFonts w:ascii="宋体" w:hAnsi="宋体" w:eastAsia="宋体" w:cs="宋体"/>
          <w:spacing w:val="7"/>
          <w:sz w:val="23"/>
          <w:szCs w:val="23"/>
        </w:rPr>
        <w:t>(</w:t>
      </w:r>
      <w:r>
        <w:rPr>
          <w:rFonts w:ascii="Times New Roman" w:hAnsi="Times New Roman" w:eastAsia="Times New Roman" w:cs="Times New Roman"/>
          <w:spacing w:val="5"/>
          <w:sz w:val="23"/>
          <w:szCs w:val="23"/>
        </w:rPr>
        <w:t>2</w:t>
      </w:r>
      <w:r>
        <w:rPr>
          <w:rFonts w:ascii="宋体" w:hAnsi="宋体" w:eastAsia="宋体" w:cs="宋体"/>
          <w:spacing w:val="5"/>
          <w:sz w:val="23"/>
          <w:szCs w:val="23"/>
        </w:rPr>
        <w:t>)  《产业结构调整指导目录 (</w:t>
      </w:r>
      <w:r>
        <w:rPr>
          <w:rFonts w:ascii="Times New Roman" w:hAnsi="Times New Roman" w:eastAsia="Times New Roman" w:cs="Times New Roman"/>
          <w:spacing w:val="5"/>
          <w:sz w:val="23"/>
          <w:szCs w:val="23"/>
        </w:rPr>
        <w:t xml:space="preserve">2011  </w:t>
      </w:r>
      <w:r>
        <w:rPr>
          <w:rFonts w:ascii="宋体" w:hAnsi="宋体" w:eastAsia="宋体" w:cs="宋体"/>
          <w:spacing w:val="5"/>
          <w:sz w:val="23"/>
          <w:szCs w:val="23"/>
        </w:rPr>
        <w:t>年本) 》  (</w:t>
      </w:r>
      <w:r>
        <w:rPr>
          <w:rFonts w:ascii="Times New Roman" w:hAnsi="Times New Roman" w:eastAsia="Times New Roman" w:cs="Times New Roman"/>
          <w:spacing w:val="5"/>
          <w:sz w:val="23"/>
          <w:szCs w:val="23"/>
        </w:rPr>
        <w:t xml:space="preserve">2013 </w:t>
      </w:r>
      <w:r>
        <w:rPr>
          <w:rFonts w:ascii="宋体" w:hAnsi="宋体" w:eastAsia="宋体" w:cs="宋体"/>
          <w:spacing w:val="5"/>
          <w:sz w:val="23"/>
          <w:szCs w:val="23"/>
        </w:rPr>
        <w:t>修订本)  (中华人民共</w:t>
      </w:r>
      <w:r>
        <w:rPr>
          <w:rFonts w:ascii="宋体" w:hAnsi="宋体" w:eastAsia="宋体" w:cs="宋体"/>
          <w:sz w:val="23"/>
          <w:szCs w:val="23"/>
        </w:rPr>
        <w:t xml:space="preserve"> </w:t>
      </w:r>
      <w:r>
        <w:rPr>
          <w:rFonts w:ascii="宋体" w:hAnsi="宋体" w:eastAsia="宋体" w:cs="宋体"/>
          <w:spacing w:val="5"/>
          <w:sz w:val="23"/>
          <w:szCs w:val="23"/>
        </w:rPr>
        <w:t xml:space="preserve">和国国家发展和改革委员会令第 </w:t>
      </w:r>
      <w:r>
        <w:rPr>
          <w:rFonts w:ascii="Times New Roman" w:hAnsi="Times New Roman" w:eastAsia="Times New Roman" w:cs="Times New Roman"/>
          <w:spacing w:val="5"/>
          <w:sz w:val="23"/>
          <w:szCs w:val="23"/>
        </w:rPr>
        <w:t xml:space="preserve">21 </w:t>
      </w:r>
      <w:r>
        <w:rPr>
          <w:rFonts w:ascii="宋体" w:hAnsi="宋体" w:eastAsia="宋体" w:cs="宋体"/>
          <w:spacing w:val="5"/>
          <w:sz w:val="23"/>
          <w:szCs w:val="23"/>
        </w:rPr>
        <w:t xml:space="preserve">号) </w:t>
      </w:r>
      <w:r>
        <w:rPr>
          <w:rFonts w:ascii="宋体" w:hAnsi="宋体" w:eastAsia="宋体" w:cs="宋体"/>
          <w:spacing w:val="3"/>
          <w:sz w:val="23"/>
          <w:szCs w:val="23"/>
        </w:rPr>
        <w:t>；</w:t>
      </w:r>
    </w:p>
    <w:p w14:paraId="1A19CFC9">
      <w:pPr>
        <w:spacing w:line="227" w:lineRule="auto"/>
        <w:ind w:left="446"/>
        <w:rPr>
          <w:rFonts w:ascii="宋体" w:hAnsi="宋体" w:eastAsia="宋体" w:cs="宋体"/>
          <w:sz w:val="23"/>
          <w:szCs w:val="23"/>
        </w:rPr>
      </w:pPr>
      <w:r>
        <w:rPr>
          <w:rFonts w:ascii="宋体" w:hAnsi="宋体" w:eastAsia="宋体" w:cs="宋体"/>
          <w:spacing w:val="8"/>
          <w:sz w:val="23"/>
          <w:szCs w:val="23"/>
        </w:rPr>
        <w:t>(</w:t>
      </w:r>
      <w:r>
        <w:rPr>
          <w:rFonts w:ascii="Times New Roman" w:hAnsi="Times New Roman" w:eastAsia="Times New Roman" w:cs="Times New Roman"/>
          <w:spacing w:val="6"/>
          <w:sz w:val="23"/>
          <w:szCs w:val="23"/>
        </w:rPr>
        <w:t>3</w:t>
      </w:r>
      <w:r>
        <w:rPr>
          <w:rFonts w:ascii="宋体" w:hAnsi="宋体" w:eastAsia="宋体" w:cs="宋体"/>
          <w:spacing w:val="6"/>
          <w:sz w:val="23"/>
          <w:szCs w:val="23"/>
        </w:rPr>
        <w:t xml:space="preserve">)  《畜禽养殖业污染防治办法》，国家环境保护总局令第 </w:t>
      </w:r>
      <w:r>
        <w:rPr>
          <w:rFonts w:ascii="Times New Roman" w:hAnsi="Times New Roman" w:eastAsia="Times New Roman" w:cs="Times New Roman"/>
          <w:spacing w:val="6"/>
          <w:sz w:val="23"/>
          <w:szCs w:val="23"/>
        </w:rPr>
        <w:t xml:space="preserve">9 </w:t>
      </w:r>
      <w:r>
        <w:rPr>
          <w:rFonts w:ascii="宋体" w:hAnsi="宋体" w:eastAsia="宋体" w:cs="宋体"/>
          <w:spacing w:val="6"/>
          <w:sz w:val="23"/>
          <w:szCs w:val="23"/>
        </w:rPr>
        <w:t>号；</w:t>
      </w:r>
    </w:p>
    <w:p w14:paraId="6B451155">
      <w:pPr>
        <w:spacing w:before="139" w:line="323" w:lineRule="exact"/>
        <w:ind w:left="446"/>
        <w:rPr>
          <w:rFonts w:ascii="宋体" w:hAnsi="宋体" w:eastAsia="宋体" w:cs="宋体"/>
          <w:sz w:val="23"/>
          <w:szCs w:val="23"/>
        </w:rPr>
      </w:pPr>
      <w:r>
        <w:rPr>
          <w:rFonts w:ascii="宋体" w:hAnsi="宋体" w:eastAsia="宋体" w:cs="宋体"/>
          <w:spacing w:val="9"/>
          <w:position w:val="3"/>
          <w:sz w:val="23"/>
          <w:szCs w:val="23"/>
        </w:rPr>
        <w:t>(</w:t>
      </w:r>
      <w:r>
        <w:rPr>
          <w:rFonts w:ascii="Times New Roman" w:hAnsi="Times New Roman" w:eastAsia="Times New Roman" w:cs="Times New Roman"/>
          <w:spacing w:val="6"/>
          <w:position w:val="3"/>
          <w:sz w:val="23"/>
          <w:szCs w:val="23"/>
        </w:rPr>
        <w:t>4</w:t>
      </w:r>
      <w:r>
        <w:rPr>
          <w:rFonts w:ascii="宋体" w:hAnsi="宋体" w:eastAsia="宋体" w:cs="宋体"/>
          <w:spacing w:val="6"/>
          <w:position w:val="3"/>
          <w:sz w:val="23"/>
          <w:szCs w:val="23"/>
        </w:rPr>
        <w:t>)《关于促进规模化畜禽养殖有关用地政策的通知》，国土资发</w:t>
      </w:r>
      <w:r>
        <w:rPr>
          <w:rFonts w:ascii="Times New Roman" w:hAnsi="Times New Roman" w:eastAsia="Times New Roman" w:cs="Times New Roman"/>
          <w:spacing w:val="6"/>
          <w:position w:val="3"/>
          <w:sz w:val="23"/>
          <w:szCs w:val="23"/>
        </w:rPr>
        <w:t xml:space="preserve">[2007]220  </w:t>
      </w:r>
      <w:r>
        <w:rPr>
          <w:rFonts w:ascii="宋体" w:hAnsi="宋体" w:eastAsia="宋体" w:cs="宋体"/>
          <w:spacing w:val="6"/>
          <w:position w:val="3"/>
          <w:sz w:val="23"/>
          <w:szCs w:val="23"/>
        </w:rPr>
        <w:t>号；</w:t>
      </w:r>
    </w:p>
    <w:p w14:paraId="53B6D660">
      <w:pPr>
        <w:spacing w:before="143" w:line="323" w:lineRule="exact"/>
        <w:ind w:left="446"/>
        <w:rPr>
          <w:rFonts w:ascii="宋体" w:hAnsi="宋体" w:eastAsia="宋体" w:cs="宋体"/>
          <w:sz w:val="23"/>
          <w:szCs w:val="23"/>
        </w:rPr>
      </w:pPr>
      <w:r>
        <w:rPr>
          <w:rFonts w:ascii="宋体" w:hAnsi="宋体" w:eastAsia="宋体" w:cs="宋体"/>
          <w:spacing w:val="14"/>
          <w:position w:val="2"/>
          <w:sz w:val="23"/>
          <w:szCs w:val="23"/>
        </w:rPr>
        <w:t>(</w:t>
      </w:r>
      <w:r>
        <w:rPr>
          <w:rFonts w:ascii="Times New Roman" w:hAnsi="Times New Roman" w:eastAsia="Times New Roman" w:cs="Times New Roman"/>
          <w:spacing w:val="14"/>
          <w:position w:val="2"/>
          <w:sz w:val="23"/>
          <w:szCs w:val="23"/>
        </w:rPr>
        <w:t>5</w:t>
      </w:r>
      <w:r>
        <w:rPr>
          <w:rFonts w:ascii="宋体" w:hAnsi="宋体" w:eastAsia="宋体" w:cs="宋体"/>
          <w:spacing w:val="14"/>
          <w:position w:val="2"/>
          <w:sz w:val="23"/>
          <w:szCs w:val="23"/>
        </w:rPr>
        <w:t>)</w:t>
      </w:r>
      <w:r>
        <w:rPr>
          <w:rFonts w:ascii="宋体" w:hAnsi="宋体" w:eastAsia="宋体" w:cs="宋体"/>
          <w:spacing w:val="8"/>
          <w:position w:val="2"/>
          <w:sz w:val="23"/>
          <w:szCs w:val="23"/>
        </w:rPr>
        <w:t xml:space="preserve"> </w:t>
      </w:r>
      <w:r>
        <w:rPr>
          <w:rFonts w:ascii="宋体" w:hAnsi="宋体" w:eastAsia="宋体" w:cs="宋体"/>
          <w:spacing w:val="7"/>
          <w:position w:val="2"/>
          <w:sz w:val="23"/>
          <w:szCs w:val="23"/>
        </w:rPr>
        <w:t xml:space="preserve"> 《农业部关于加快推进畜禽标准化规模养殖的意见》，农牧发</w:t>
      </w:r>
      <w:r>
        <w:rPr>
          <w:rFonts w:ascii="Times New Roman" w:hAnsi="Times New Roman" w:eastAsia="Times New Roman" w:cs="Times New Roman"/>
          <w:spacing w:val="7"/>
          <w:position w:val="2"/>
          <w:sz w:val="23"/>
          <w:szCs w:val="23"/>
        </w:rPr>
        <w:t xml:space="preserve">[2010]6 </w:t>
      </w:r>
      <w:r>
        <w:rPr>
          <w:rFonts w:ascii="宋体" w:hAnsi="宋体" w:eastAsia="宋体" w:cs="宋体"/>
          <w:spacing w:val="7"/>
          <w:position w:val="2"/>
          <w:sz w:val="23"/>
          <w:szCs w:val="23"/>
        </w:rPr>
        <w:t>号；</w:t>
      </w:r>
    </w:p>
    <w:p w14:paraId="284AFB51">
      <w:pPr>
        <w:spacing w:before="187" w:line="374" w:lineRule="auto"/>
        <w:ind w:left="20" w:right="177" w:firstLine="425"/>
        <w:rPr>
          <w:rFonts w:ascii="宋体" w:hAnsi="宋体" w:eastAsia="宋体" w:cs="宋体"/>
          <w:sz w:val="23"/>
          <w:szCs w:val="23"/>
        </w:rPr>
      </w:pPr>
      <w:r>
        <w:rPr>
          <w:rFonts w:ascii="宋体" w:hAnsi="宋体" w:eastAsia="宋体" w:cs="宋体"/>
          <w:spacing w:val="16"/>
          <w:sz w:val="23"/>
          <w:szCs w:val="23"/>
        </w:rPr>
        <w:t>(</w:t>
      </w:r>
      <w:r>
        <w:rPr>
          <w:rFonts w:ascii="Times New Roman" w:hAnsi="Times New Roman" w:eastAsia="Times New Roman" w:cs="Times New Roman"/>
          <w:spacing w:val="11"/>
          <w:sz w:val="23"/>
          <w:szCs w:val="23"/>
        </w:rPr>
        <w:t>6</w:t>
      </w:r>
      <w:r>
        <w:rPr>
          <w:rFonts w:ascii="宋体" w:hAnsi="宋体" w:eastAsia="宋体" w:cs="宋体"/>
          <w:spacing w:val="8"/>
          <w:sz w:val="23"/>
          <w:szCs w:val="23"/>
        </w:rPr>
        <w:t>)  《农业部关于进一步加强病死动物无害化处理监管工作的通知》，农医发</w:t>
      </w:r>
      <w:r>
        <w:rPr>
          <w:rFonts w:ascii="宋体" w:hAnsi="宋体" w:eastAsia="宋体" w:cs="宋体"/>
          <w:sz w:val="23"/>
          <w:szCs w:val="23"/>
        </w:rPr>
        <w:t xml:space="preserve"> </w:t>
      </w:r>
      <w:r>
        <w:rPr>
          <w:rFonts w:ascii="Times New Roman" w:hAnsi="Times New Roman" w:eastAsia="Times New Roman" w:cs="Times New Roman"/>
          <w:spacing w:val="-4"/>
          <w:sz w:val="23"/>
          <w:szCs w:val="23"/>
        </w:rPr>
        <w:t>[20</w:t>
      </w:r>
      <w:r>
        <w:rPr>
          <w:rFonts w:ascii="Times New Roman" w:hAnsi="Times New Roman" w:eastAsia="Times New Roman" w:cs="Times New Roman"/>
          <w:spacing w:val="-2"/>
          <w:sz w:val="23"/>
          <w:szCs w:val="23"/>
        </w:rPr>
        <w:t xml:space="preserve">12] 12 </w:t>
      </w:r>
      <w:r>
        <w:rPr>
          <w:rFonts w:ascii="宋体" w:hAnsi="宋体" w:eastAsia="宋体" w:cs="宋体"/>
          <w:spacing w:val="-2"/>
          <w:sz w:val="23"/>
          <w:szCs w:val="23"/>
        </w:rPr>
        <w:t>号；</w:t>
      </w:r>
    </w:p>
    <w:p w14:paraId="5F980F1E">
      <w:pPr>
        <w:spacing w:before="2" w:line="376" w:lineRule="auto"/>
        <w:ind w:left="10" w:right="180" w:firstLine="436"/>
        <w:rPr>
          <w:rFonts w:ascii="宋体" w:hAnsi="宋体" w:eastAsia="宋体" w:cs="宋体"/>
          <w:sz w:val="23"/>
          <w:szCs w:val="23"/>
        </w:rPr>
      </w:pPr>
      <w:r>
        <w:rPr>
          <w:rFonts w:ascii="宋体" w:hAnsi="宋体" w:eastAsia="宋体" w:cs="宋体"/>
          <w:spacing w:val="16"/>
          <w:sz w:val="23"/>
          <w:szCs w:val="23"/>
        </w:rPr>
        <w:t>(</w:t>
      </w:r>
      <w:r>
        <w:rPr>
          <w:rFonts w:ascii="Times New Roman" w:hAnsi="Times New Roman" w:eastAsia="Times New Roman" w:cs="Times New Roman"/>
          <w:spacing w:val="8"/>
          <w:sz w:val="23"/>
          <w:szCs w:val="23"/>
        </w:rPr>
        <w:t>7</w:t>
      </w:r>
      <w:r>
        <w:rPr>
          <w:rFonts w:ascii="宋体" w:hAnsi="宋体" w:eastAsia="宋体" w:cs="宋体"/>
          <w:spacing w:val="8"/>
          <w:sz w:val="23"/>
          <w:szCs w:val="23"/>
        </w:rPr>
        <w:t>)  《全国规模化畜禽养殖业污染情况调查及防治对策》国家环保总局自然生</w:t>
      </w:r>
      <w:r>
        <w:rPr>
          <w:rFonts w:ascii="宋体" w:hAnsi="宋体" w:eastAsia="宋体" w:cs="宋体"/>
          <w:sz w:val="23"/>
          <w:szCs w:val="23"/>
        </w:rPr>
        <w:t xml:space="preserve"> </w:t>
      </w:r>
      <w:r>
        <w:rPr>
          <w:rFonts w:ascii="宋体" w:hAnsi="宋体" w:eastAsia="宋体" w:cs="宋体"/>
          <w:spacing w:val="16"/>
          <w:sz w:val="23"/>
          <w:szCs w:val="23"/>
        </w:rPr>
        <w:t>态</w:t>
      </w:r>
      <w:r>
        <w:rPr>
          <w:rFonts w:ascii="宋体" w:hAnsi="宋体" w:eastAsia="宋体" w:cs="宋体"/>
          <w:spacing w:val="8"/>
          <w:sz w:val="23"/>
          <w:szCs w:val="23"/>
        </w:rPr>
        <w:t>保护司编，中国环境科学出版社，北京，</w:t>
      </w:r>
      <w:r>
        <w:rPr>
          <w:rFonts w:ascii="Times New Roman" w:hAnsi="Times New Roman" w:eastAsia="Times New Roman" w:cs="Times New Roman"/>
          <w:spacing w:val="8"/>
          <w:sz w:val="23"/>
          <w:szCs w:val="23"/>
        </w:rPr>
        <w:t>2002</w:t>
      </w:r>
      <w:r>
        <w:rPr>
          <w:rFonts w:ascii="宋体" w:hAnsi="宋体" w:eastAsia="宋体" w:cs="宋体"/>
          <w:spacing w:val="8"/>
          <w:sz w:val="23"/>
          <w:szCs w:val="23"/>
        </w:rPr>
        <w:t>。</w:t>
      </w:r>
    </w:p>
    <w:p w14:paraId="6788D0AE">
      <w:pPr>
        <w:spacing w:line="227" w:lineRule="auto"/>
        <w:ind w:left="16"/>
        <w:outlineLvl w:val="2"/>
        <w:rPr>
          <w:rFonts w:ascii="宋体" w:hAnsi="宋体" w:eastAsia="宋体" w:cs="宋体"/>
          <w:sz w:val="23"/>
          <w:szCs w:val="23"/>
        </w:rPr>
      </w:pPr>
      <w:r>
        <w:rPr>
          <w:rFonts w:ascii="Times New Roman" w:hAnsi="Times New Roman" w:eastAsia="Times New Roman" w:cs="Times New Roman"/>
          <w:b/>
          <w:bCs/>
          <w:spacing w:val="12"/>
          <w:sz w:val="23"/>
          <w:szCs w:val="23"/>
        </w:rPr>
        <w:t>1</w:t>
      </w:r>
      <w:r>
        <w:rPr>
          <w:rFonts w:ascii="Times New Roman" w:hAnsi="Times New Roman" w:eastAsia="Times New Roman" w:cs="Times New Roman"/>
          <w:b/>
          <w:bCs/>
          <w:spacing w:val="6"/>
          <w:sz w:val="23"/>
          <w:szCs w:val="23"/>
        </w:rPr>
        <w:t>.1.4</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地方性法规和文件</w:t>
      </w:r>
    </w:p>
    <w:p w14:paraId="06BA9ACD">
      <w:pPr>
        <w:spacing w:before="182" w:line="375" w:lineRule="auto"/>
        <w:ind w:left="29" w:right="119" w:firstLine="471"/>
        <w:rPr>
          <w:rFonts w:ascii="宋体" w:hAnsi="宋体" w:eastAsia="宋体" w:cs="宋体"/>
          <w:sz w:val="23"/>
          <w:szCs w:val="23"/>
        </w:rPr>
      </w:pPr>
      <w:r>
        <w:rPr>
          <w:rFonts w:ascii="宋体" w:hAnsi="宋体" w:eastAsia="宋体" w:cs="宋体"/>
          <w:spacing w:val="12"/>
          <w:sz w:val="23"/>
          <w:szCs w:val="23"/>
        </w:rPr>
        <w:t>(</w:t>
      </w:r>
      <w:r>
        <w:rPr>
          <w:rFonts w:ascii="Times New Roman" w:hAnsi="Times New Roman" w:eastAsia="Times New Roman" w:cs="Times New Roman"/>
          <w:spacing w:val="12"/>
          <w:sz w:val="23"/>
          <w:szCs w:val="23"/>
        </w:rPr>
        <w:t>1</w:t>
      </w:r>
      <w:r>
        <w:rPr>
          <w:rFonts w:ascii="宋体" w:hAnsi="宋体" w:eastAsia="宋体" w:cs="宋体"/>
          <w:spacing w:val="12"/>
          <w:sz w:val="23"/>
          <w:szCs w:val="23"/>
        </w:rPr>
        <w:t>) 四川省人民政府贯彻《国务院关于落实科学发展观加强环境保护的决定</w:t>
      </w:r>
      <w:r>
        <w:rPr>
          <w:rFonts w:ascii="宋体" w:hAnsi="宋体" w:eastAsia="宋体" w:cs="宋体"/>
          <w:spacing w:val="4"/>
          <w:sz w:val="23"/>
          <w:szCs w:val="23"/>
        </w:rPr>
        <w:t>》</w:t>
      </w:r>
      <w:r>
        <w:rPr>
          <w:rFonts w:ascii="宋体" w:hAnsi="宋体" w:eastAsia="宋体" w:cs="宋体"/>
          <w:sz w:val="23"/>
          <w:szCs w:val="23"/>
        </w:rPr>
        <w:t xml:space="preserve"> </w:t>
      </w:r>
      <w:r>
        <w:rPr>
          <w:rFonts w:ascii="宋体" w:hAnsi="宋体" w:eastAsia="宋体" w:cs="宋体"/>
          <w:spacing w:val="5"/>
          <w:sz w:val="23"/>
          <w:szCs w:val="23"/>
        </w:rPr>
        <w:t>的</w:t>
      </w:r>
      <w:r>
        <w:rPr>
          <w:rFonts w:ascii="宋体" w:hAnsi="宋体" w:eastAsia="宋体" w:cs="宋体"/>
          <w:spacing w:val="3"/>
          <w:sz w:val="23"/>
          <w:szCs w:val="23"/>
        </w:rPr>
        <w:t>实施意见；</w:t>
      </w:r>
    </w:p>
    <w:p w14:paraId="3FD15A0D">
      <w:pPr>
        <w:spacing w:line="227" w:lineRule="auto"/>
        <w:ind w:left="501"/>
        <w:rPr>
          <w:rFonts w:ascii="宋体" w:hAnsi="宋体" w:eastAsia="宋体" w:cs="宋体"/>
          <w:sz w:val="23"/>
          <w:szCs w:val="23"/>
        </w:rPr>
      </w:pPr>
      <w:r>
        <w:rPr>
          <w:rFonts w:ascii="宋体" w:hAnsi="宋体" w:eastAsia="宋体" w:cs="宋体"/>
          <w:spacing w:val="8"/>
          <w:sz w:val="23"/>
          <w:szCs w:val="23"/>
        </w:rPr>
        <w:t>(</w:t>
      </w:r>
      <w:r>
        <w:rPr>
          <w:rFonts w:ascii="Times New Roman" w:hAnsi="Times New Roman" w:eastAsia="Times New Roman" w:cs="Times New Roman"/>
          <w:spacing w:val="6"/>
          <w:sz w:val="23"/>
          <w:szCs w:val="23"/>
        </w:rPr>
        <w:t>2</w:t>
      </w:r>
      <w:r>
        <w:rPr>
          <w:rFonts w:ascii="宋体" w:hAnsi="宋体" w:eastAsia="宋体" w:cs="宋体"/>
          <w:spacing w:val="6"/>
          <w:sz w:val="23"/>
          <w:szCs w:val="23"/>
        </w:rPr>
        <w:t>)  《四川省环境保护条例》；</w:t>
      </w:r>
    </w:p>
    <w:p w14:paraId="5D788BAC">
      <w:pPr>
        <w:spacing w:before="185" w:line="227" w:lineRule="auto"/>
        <w:ind w:left="501"/>
        <w:rPr>
          <w:rFonts w:ascii="宋体" w:hAnsi="宋体" w:eastAsia="宋体" w:cs="宋体"/>
          <w:sz w:val="23"/>
          <w:szCs w:val="23"/>
        </w:rPr>
      </w:pPr>
      <w:r>
        <w:rPr>
          <w:rFonts w:ascii="宋体" w:hAnsi="宋体" w:eastAsia="宋体" w:cs="宋体"/>
          <w:spacing w:val="7"/>
          <w:sz w:val="23"/>
          <w:szCs w:val="23"/>
        </w:rPr>
        <w:t>(</w:t>
      </w:r>
      <w:r>
        <w:rPr>
          <w:rFonts w:ascii="Times New Roman" w:hAnsi="Times New Roman" w:eastAsia="Times New Roman" w:cs="Times New Roman"/>
          <w:spacing w:val="7"/>
          <w:sz w:val="23"/>
          <w:szCs w:val="23"/>
        </w:rPr>
        <w:t>3</w:t>
      </w:r>
      <w:r>
        <w:rPr>
          <w:rFonts w:ascii="宋体" w:hAnsi="宋体" w:eastAsia="宋体" w:cs="宋体"/>
          <w:spacing w:val="7"/>
          <w:sz w:val="23"/>
          <w:szCs w:val="23"/>
        </w:rPr>
        <w:t>)  《四川省畜牧业发展</w:t>
      </w:r>
      <w:r>
        <w:rPr>
          <w:rFonts w:ascii="Times New Roman" w:hAnsi="Times New Roman" w:eastAsia="Times New Roman" w:cs="Times New Roman"/>
          <w:spacing w:val="7"/>
          <w:sz w:val="23"/>
          <w:szCs w:val="23"/>
        </w:rPr>
        <w:t>“</w:t>
      </w:r>
      <w:r>
        <w:rPr>
          <w:rFonts w:ascii="宋体" w:hAnsi="宋体" w:eastAsia="宋体" w:cs="宋体"/>
          <w:spacing w:val="7"/>
          <w:sz w:val="23"/>
          <w:szCs w:val="23"/>
        </w:rPr>
        <w:t>十三五</w:t>
      </w:r>
      <w:r>
        <w:rPr>
          <w:rFonts w:ascii="Times New Roman" w:hAnsi="Times New Roman" w:eastAsia="Times New Roman" w:cs="Times New Roman"/>
          <w:spacing w:val="7"/>
          <w:sz w:val="23"/>
          <w:szCs w:val="23"/>
        </w:rPr>
        <w:t>”</w:t>
      </w:r>
      <w:r>
        <w:rPr>
          <w:rFonts w:ascii="宋体" w:hAnsi="宋体" w:eastAsia="宋体" w:cs="宋体"/>
          <w:spacing w:val="7"/>
          <w:sz w:val="23"/>
          <w:szCs w:val="23"/>
        </w:rPr>
        <w:t>规划</w:t>
      </w:r>
      <w:r>
        <w:rPr>
          <w:rFonts w:ascii="宋体" w:hAnsi="宋体" w:eastAsia="宋体" w:cs="宋体"/>
          <w:spacing w:val="4"/>
          <w:sz w:val="23"/>
          <w:szCs w:val="23"/>
        </w:rPr>
        <w:t>》</w:t>
      </w:r>
    </w:p>
    <w:p w14:paraId="74933559">
      <w:pPr>
        <w:spacing w:before="183" w:line="372" w:lineRule="auto"/>
        <w:ind w:left="21" w:right="74" w:firstLine="480"/>
        <w:rPr>
          <w:rFonts w:ascii="宋体" w:hAnsi="宋体" w:eastAsia="宋体" w:cs="宋体"/>
          <w:sz w:val="23"/>
          <w:szCs w:val="23"/>
        </w:rPr>
      </w:pPr>
      <w:r>
        <w:rPr>
          <w:rFonts w:ascii="宋体" w:hAnsi="宋体" w:eastAsia="宋体" w:cs="宋体"/>
          <w:spacing w:val="10"/>
          <w:sz w:val="23"/>
          <w:szCs w:val="23"/>
        </w:rPr>
        <w:t>(</w:t>
      </w:r>
      <w:r>
        <w:rPr>
          <w:rFonts w:ascii="Times New Roman" w:hAnsi="Times New Roman" w:eastAsia="Times New Roman" w:cs="Times New Roman"/>
          <w:spacing w:val="10"/>
          <w:sz w:val="23"/>
          <w:szCs w:val="23"/>
        </w:rPr>
        <w:t>4</w:t>
      </w:r>
      <w:r>
        <w:rPr>
          <w:rFonts w:ascii="宋体" w:hAnsi="宋体" w:eastAsia="宋体" w:cs="宋体"/>
          <w:spacing w:val="10"/>
          <w:sz w:val="23"/>
          <w:szCs w:val="23"/>
        </w:rPr>
        <w:t>)《井研县人民政府办公室关于印发井研县畜禽养殖禁养区划定方案的通知</w:t>
      </w:r>
      <w:r>
        <w:rPr>
          <w:rFonts w:ascii="宋体" w:hAnsi="宋体" w:eastAsia="宋体" w:cs="宋体"/>
          <w:spacing w:val="5"/>
          <w:sz w:val="23"/>
          <w:szCs w:val="23"/>
        </w:rPr>
        <w:t>》</w:t>
      </w:r>
      <w:r>
        <w:rPr>
          <w:rFonts w:ascii="宋体" w:hAnsi="宋体" w:eastAsia="宋体" w:cs="宋体"/>
          <w:sz w:val="23"/>
          <w:szCs w:val="23"/>
        </w:rPr>
        <w:t xml:space="preserve"> </w:t>
      </w:r>
      <w:r>
        <w:rPr>
          <w:rFonts w:ascii="宋体" w:hAnsi="宋体" w:eastAsia="宋体" w:cs="宋体"/>
          <w:spacing w:val="22"/>
          <w:sz w:val="23"/>
          <w:szCs w:val="23"/>
        </w:rPr>
        <w:t>(</w:t>
      </w:r>
      <w:r>
        <w:rPr>
          <w:rFonts w:ascii="宋体" w:hAnsi="宋体" w:eastAsia="宋体" w:cs="宋体"/>
          <w:spacing w:val="12"/>
          <w:sz w:val="23"/>
          <w:szCs w:val="23"/>
        </w:rPr>
        <w:t>井</w:t>
      </w:r>
      <w:r>
        <w:rPr>
          <w:rFonts w:ascii="宋体" w:hAnsi="宋体" w:eastAsia="宋体" w:cs="宋体"/>
          <w:spacing w:val="11"/>
          <w:sz w:val="23"/>
          <w:szCs w:val="23"/>
        </w:rPr>
        <w:t>府发</w:t>
      </w:r>
      <w:r>
        <w:rPr>
          <w:rFonts w:ascii="Times New Roman" w:hAnsi="Times New Roman" w:eastAsia="Times New Roman" w:cs="Times New Roman"/>
          <w:spacing w:val="11"/>
          <w:sz w:val="23"/>
          <w:szCs w:val="23"/>
        </w:rPr>
        <w:t xml:space="preserve">(2017)2 </w:t>
      </w:r>
      <w:r>
        <w:rPr>
          <w:rFonts w:ascii="宋体" w:hAnsi="宋体" w:eastAsia="宋体" w:cs="宋体"/>
          <w:spacing w:val="11"/>
          <w:sz w:val="23"/>
          <w:szCs w:val="23"/>
        </w:rPr>
        <w:t>号) ；</w:t>
      </w:r>
    </w:p>
    <w:p w14:paraId="4E729ECD">
      <w:pPr>
        <w:spacing w:before="5" w:line="374" w:lineRule="auto"/>
        <w:ind w:left="29" w:firstLine="471"/>
        <w:rPr>
          <w:rFonts w:ascii="宋体" w:hAnsi="宋体" w:eastAsia="宋体" w:cs="宋体"/>
          <w:sz w:val="23"/>
          <w:szCs w:val="23"/>
        </w:rPr>
      </w:pPr>
      <w:r>
        <w:rPr>
          <w:rFonts w:ascii="宋体" w:hAnsi="宋体" w:eastAsia="宋体" w:cs="宋体"/>
          <w:spacing w:val="10"/>
          <w:sz w:val="23"/>
          <w:szCs w:val="23"/>
        </w:rPr>
        <w:t>(</w:t>
      </w:r>
      <w:r>
        <w:rPr>
          <w:rFonts w:ascii="Times New Roman" w:hAnsi="Times New Roman" w:eastAsia="Times New Roman" w:cs="Times New Roman"/>
          <w:spacing w:val="8"/>
          <w:sz w:val="23"/>
          <w:szCs w:val="23"/>
        </w:rPr>
        <w:t>5</w:t>
      </w:r>
      <w:r>
        <w:rPr>
          <w:rFonts w:ascii="宋体" w:hAnsi="宋体" w:eastAsia="宋体" w:cs="宋体"/>
          <w:spacing w:val="8"/>
          <w:sz w:val="23"/>
          <w:szCs w:val="23"/>
        </w:rPr>
        <w:t>) 乐山市环境保护局关于印发《乐山市建设项目环境准入负面清单 (试行) 》</w:t>
      </w:r>
      <w:r>
        <w:rPr>
          <w:rFonts w:ascii="宋体" w:hAnsi="宋体" w:eastAsia="宋体" w:cs="宋体"/>
          <w:sz w:val="23"/>
          <w:szCs w:val="23"/>
        </w:rPr>
        <w:t xml:space="preserve"> </w:t>
      </w:r>
      <w:r>
        <w:rPr>
          <w:rFonts w:ascii="宋体" w:hAnsi="宋体" w:eastAsia="宋体" w:cs="宋体"/>
          <w:spacing w:val="5"/>
          <w:sz w:val="23"/>
          <w:szCs w:val="23"/>
        </w:rPr>
        <w:t>的通知 (乐市环发</w:t>
      </w:r>
      <w:r>
        <w:rPr>
          <w:rFonts w:ascii="Times New Roman" w:hAnsi="Times New Roman" w:eastAsia="Times New Roman" w:cs="Times New Roman"/>
          <w:spacing w:val="5"/>
          <w:sz w:val="23"/>
          <w:szCs w:val="23"/>
        </w:rPr>
        <w:t xml:space="preserve">[2017]59 </w:t>
      </w:r>
      <w:r>
        <w:rPr>
          <w:rFonts w:ascii="宋体" w:hAnsi="宋体" w:eastAsia="宋体" w:cs="宋体"/>
          <w:spacing w:val="5"/>
          <w:sz w:val="23"/>
          <w:szCs w:val="23"/>
        </w:rPr>
        <w:t>号) 。</w:t>
      </w:r>
    </w:p>
    <w:p w14:paraId="1E4307E6">
      <w:pPr>
        <w:spacing w:before="3" w:line="226" w:lineRule="auto"/>
        <w:ind w:left="16"/>
        <w:outlineLvl w:val="2"/>
        <w:rPr>
          <w:rFonts w:ascii="宋体" w:hAnsi="宋体" w:eastAsia="宋体" w:cs="宋体"/>
          <w:sz w:val="23"/>
          <w:szCs w:val="23"/>
        </w:rPr>
      </w:pPr>
      <w:r>
        <w:rPr>
          <w:rFonts w:ascii="Times New Roman" w:hAnsi="Times New Roman" w:eastAsia="Times New Roman" w:cs="Times New Roman"/>
          <w:b/>
          <w:bCs/>
          <w:spacing w:val="14"/>
          <w:sz w:val="23"/>
          <w:szCs w:val="23"/>
        </w:rPr>
        <w:t>1</w:t>
      </w:r>
      <w:r>
        <w:rPr>
          <w:rFonts w:ascii="Times New Roman" w:hAnsi="Times New Roman" w:eastAsia="Times New Roman" w:cs="Times New Roman"/>
          <w:b/>
          <w:bCs/>
          <w:spacing w:val="11"/>
          <w:sz w:val="23"/>
          <w:szCs w:val="23"/>
        </w:rPr>
        <w:t>.</w:t>
      </w:r>
      <w:r>
        <w:rPr>
          <w:rFonts w:ascii="Times New Roman" w:hAnsi="Times New Roman" w:eastAsia="Times New Roman" w:cs="Times New Roman"/>
          <w:b/>
          <w:bCs/>
          <w:spacing w:val="7"/>
          <w:sz w:val="23"/>
          <w:szCs w:val="23"/>
        </w:rPr>
        <w:t>1.5</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评价技术规范及行业相关规范</w:t>
      </w:r>
    </w:p>
    <w:p w14:paraId="0C92CBD7">
      <w:pPr>
        <w:spacing w:before="187" w:line="226" w:lineRule="auto"/>
        <w:ind w:left="501"/>
        <w:rPr>
          <w:rFonts w:ascii="宋体" w:hAnsi="宋体" w:eastAsia="宋体" w:cs="宋体"/>
          <w:sz w:val="23"/>
          <w:szCs w:val="23"/>
        </w:rPr>
      </w:pPr>
      <w:r>
        <w:rPr>
          <w:rFonts w:ascii="宋体" w:hAnsi="宋体" w:eastAsia="宋体" w:cs="宋体"/>
          <w:spacing w:val="2"/>
          <w:sz w:val="23"/>
          <w:szCs w:val="23"/>
        </w:rPr>
        <w:t>(</w:t>
      </w:r>
      <w:r>
        <w:rPr>
          <w:rFonts w:ascii="Times New Roman" w:hAnsi="Times New Roman" w:eastAsia="Times New Roman" w:cs="Times New Roman"/>
          <w:spacing w:val="2"/>
          <w:sz w:val="23"/>
          <w:szCs w:val="23"/>
        </w:rPr>
        <w:t>1</w:t>
      </w:r>
      <w:r>
        <w:rPr>
          <w:rFonts w:ascii="宋体" w:hAnsi="宋体" w:eastAsia="宋体" w:cs="宋体"/>
          <w:spacing w:val="2"/>
          <w:sz w:val="23"/>
          <w:szCs w:val="23"/>
        </w:rPr>
        <w:t>)  《环境影响评价技术导</w:t>
      </w:r>
      <w:r>
        <w:rPr>
          <w:rFonts w:ascii="宋体" w:hAnsi="宋体" w:eastAsia="宋体" w:cs="宋体"/>
          <w:spacing w:val="1"/>
          <w:sz w:val="23"/>
          <w:szCs w:val="23"/>
        </w:rPr>
        <w:t>则</w:t>
      </w:r>
      <w:r>
        <w:rPr>
          <w:rFonts w:ascii="Times New Roman" w:hAnsi="Times New Roman" w:eastAsia="Times New Roman" w:cs="Times New Roman"/>
          <w:spacing w:val="1"/>
          <w:sz w:val="23"/>
          <w:szCs w:val="23"/>
        </w:rPr>
        <w:t>—</w:t>
      </w:r>
      <w:r>
        <w:rPr>
          <w:rFonts w:ascii="宋体" w:hAnsi="宋体" w:eastAsia="宋体" w:cs="宋体"/>
          <w:spacing w:val="1"/>
          <w:sz w:val="23"/>
          <w:szCs w:val="23"/>
        </w:rPr>
        <w:t>总纲》  (</w:t>
      </w:r>
      <w:r>
        <w:rPr>
          <w:rFonts w:ascii="Times New Roman" w:hAnsi="Times New Roman" w:eastAsia="Times New Roman" w:cs="Times New Roman"/>
          <w:sz w:val="23"/>
          <w:szCs w:val="23"/>
        </w:rPr>
        <w:t>HJ</w:t>
      </w:r>
      <w:r>
        <w:rPr>
          <w:rFonts w:ascii="Times New Roman" w:hAnsi="Times New Roman" w:eastAsia="Times New Roman" w:cs="Times New Roman"/>
          <w:spacing w:val="1"/>
          <w:sz w:val="23"/>
          <w:szCs w:val="23"/>
        </w:rPr>
        <w:t xml:space="preserve"> 2. 1-2016</w:t>
      </w:r>
      <w:r>
        <w:rPr>
          <w:rFonts w:ascii="宋体" w:hAnsi="宋体" w:eastAsia="宋体" w:cs="宋体"/>
          <w:spacing w:val="1"/>
          <w:sz w:val="23"/>
          <w:szCs w:val="23"/>
        </w:rPr>
        <w:t>) ；</w:t>
      </w:r>
    </w:p>
    <w:p w14:paraId="76A29CF1">
      <w:pPr>
        <w:spacing w:before="184" w:line="226" w:lineRule="auto"/>
        <w:ind w:left="501"/>
        <w:rPr>
          <w:rFonts w:ascii="宋体" w:hAnsi="宋体" w:eastAsia="宋体" w:cs="宋体"/>
          <w:sz w:val="23"/>
          <w:szCs w:val="23"/>
        </w:rPr>
      </w:pPr>
      <w:r>
        <w:rPr>
          <w:rFonts w:ascii="宋体" w:hAnsi="宋体" w:eastAsia="宋体" w:cs="宋体"/>
          <w:spacing w:val="6"/>
          <w:sz w:val="23"/>
          <w:szCs w:val="23"/>
        </w:rPr>
        <w:t>(</w:t>
      </w:r>
      <w:r>
        <w:rPr>
          <w:rFonts w:ascii="Times New Roman" w:hAnsi="Times New Roman" w:eastAsia="Times New Roman" w:cs="Times New Roman"/>
          <w:spacing w:val="6"/>
          <w:sz w:val="23"/>
          <w:szCs w:val="23"/>
        </w:rPr>
        <w:t>2</w:t>
      </w:r>
      <w:r>
        <w:rPr>
          <w:rFonts w:ascii="宋体" w:hAnsi="宋体" w:eastAsia="宋体" w:cs="宋体"/>
          <w:spacing w:val="6"/>
          <w:sz w:val="23"/>
          <w:szCs w:val="23"/>
        </w:rPr>
        <w:t xml:space="preserve">)  </w:t>
      </w:r>
      <w:r>
        <w:rPr>
          <w:rFonts w:ascii="宋体" w:hAnsi="宋体" w:eastAsia="宋体" w:cs="宋体"/>
          <w:spacing w:val="5"/>
          <w:sz w:val="23"/>
          <w:szCs w:val="23"/>
        </w:rPr>
        <w:t>《</w:t>
      </w:r>
      <w:r>
        <w:rPr>
          <w:rFonts w:ascii="宋体" w:hAnsi="宋体" w:eastAsia="宋体" w:cs="宋体"/>
          <w:spacing w:val="3"/>
          <w:sz w:val="23"/>
          <w:szCs w:val="23"/>
        </w:rPr>
        <w:t>环境影响评价技术导则</w:t>
      </w:r>
      <w:r>
        <w:rPr>
          <w:rFonts w:ascii="Times New Roman" w:hAnsi="Times New Roman" w:eastAsia="Times New Roman" w:cs="Times New Roman"/>
          <w:spacing w:val="3"/>
          <w:sz w:val="23"/>
          <w:szCs w:val="23"/>
        </w:rPr>
        <w:t>—</w:t>
      </w:r>
      <w:r>
        <w:rPr>
          <w:rFonts w:ascii="宋体" w:hAnsi="宋体" w:eastAsia="宋体" w:cs="宋体"/>
          <w:spacing w:val="3"/>
          <w:sz w:val="23"/>
          <w:szCs w:val="23"/>
        </w:rPr>
        <w:t>大气环境》  (</w:t>
      </w:r>
      <w:r>
        <w:rPr>
          <w:rFonts w:ascii="Times New Roman" w:hAnsi="Times New Roman" w:eastAsia="Times New Roman" w:cs="Times New Roman"/>
          <w:sz w:val="23"/>
          <w:szCs w:val="23"/>
        </w:rPr>
        <w:t>HJ</w:t>
      </w:r>
      <w:r>
        <w:rPr>
          <w:rFonts w:ascii="Times New Roman" w:hAnsi="Times New Roman" w:eastAsia="Times New Roman" w:cs="Times New Roman"/>
          <w:spacing w:val="3"/>
          <w:sz w:val="23"/>
          <w:szCs w:val="23"/>
        </w:rPr>
        <w:t xml:space="preserve"> 2.2-2018</w:t>
      </w:r>
      <w:r>
        <w:rPr>
          <w:rFonts w:ascii="宋体" w:hAnsi="宋体" w:eastAsia="宋体" w:cs="宋体"/>
          <w:spacing w:val="3"/>
          <w:sz w:val="23"/>
          <w:szCs w:val="23"/>
        </w:rPr>
        <w:t>) ；</w:t>
      </w:r>
    </w:p>
    <w:p w14:paraId="576BBF56">
      <w:pPr>
        <w:spacing w:before="186" w:line="226" w:lineRule="auto"/>
        <w:ind w:left="501"/>
        <w:rPr>
          <w:rFonts w:ascii="宋体" w:hAnsi="宋体" w:eastAsia="宋体" w:cs="宋体"/>
          <w:sz w:val="23"/>
          <w:szCs w:val="23"/>
        </w:rPr>
      </w:pPr>
      <w:r>
        <w:rPr>
          <w:rFonts w:ascii="宋体" w:hAnsi="宋体" w:eastAsia="宋体" w:cs="宋体"/>
          <w:spacing w:val="6"/>
          <w:sz w:val="23"/>
          <w:szCs w:val="23"/>
        </w:rPr>
        <w:t>(</w:t>
      </w:r>
      <w:r>
        <w:rPr>
          <w:rFonts w:ascii="Times New Roman" w:hAnsi="Times New Roman" w:eastAsia="Times New Roman" w:cs="Times New Roman"/>
          <w:spacing w:val="6"/>
          <w:sz w:val="23"/>
          <w:szCs w:val="23"/>
        </w:rPr>
        <w:t>3</w:t>
      </w:r>
      <w:r>
        <w:rPr>
          <w:rFonts w:ascii="宋体" w:hAnsi="宋体" w:eastAsia="宋体" w:cs="宋体"/>
          <w:spacing w:val="6"/>
          <w:sz w:val="23"/>
          <w:szCs w:val="23"/>
        </w:rPr>
        <w:t>)  《环境</w:t>
      </w:r>
      <w:r>
        <w:rPr>
          <w:rFonts w:ascii="宋体" w:hAnsi="宋体" w:eastAsia="宋体" w:cs="宋体"/>
          <w:spacing w:val="3"/>
          <w:sz w:val="23"/>
          <w:szCs w:val="23"/>
        </w:rPr>
        <w:t>影响评价技术导则</w:t>
      </w:r>
      <w:r>
        <w:rPr>
          <w:rFonts w:ascii="Times New Roman" w:hAnsi="Times New Roman" w:eastAsia="Times New Roman" w:cs="Times New Roman"/>
          <w:spacing w:val="3"/>
          <w:sz w:val="23"/>
          <w:szCs w:val="23"/>
        </w:rPr>
        <w:t>—</w:t>
      </w:r>
      <w:r>
        <w:rPr>
          <w:rFonts w:ascii="宋体" w:hAnsi="宋体" w:eastAsia="宋体" w:cs="宋体"/>
          <w:spacing w:val="3"/>
          <w:sz w:val="23"/>
          <w:szCs w:val="23"/>
        </w:rPr>
        <w:t>地表水环境》  (</w:t>
      </w:r>
      <w:r>
        <w:rPr>
          <w:rFonts w:ascii="Times New Roman" w:hAnsi="Times New Roman" w:eastAsia="Times New Roman" w:cs="Times New Roman"/>
          <w:sz w:val="23"/>
          <w:szCs w:val="23"/>
        </w:rPr>
        <w:t>HJ</w:t>
      </w:r>
      <w:r>
        <w:rPr>
          <w:rFonts w:ascii="Times New Roman" w:hAnsi="Times New Roman" w:eastAsia="Times New Roman" w:cs="Times New Roman"/>
          <w:spacing w:val="3"/>
          <w:sz w:val="23"/>
          <w:szCs w:val="23"/>
        </w:rPr>
        <w:t xml:space="preserve"> 2.3-2018</w:t>
      </w:r>
      <w:r>
        <w:rPr>
          <w:rFonts w:ascii="宋体" w:hAnsi="宋体" w:eastAsia="宋体" w:cs="宋体"/>
          <w:spacing w:val="3"/>
          <w:sz w:val="23"/>
          <w:szCs w:val="23"/>
        </w:rPr>
        <w:t>) ；</w:t>
      </w:r>
    </w:p>
    <w:p w14:paraId="5B9834C3">
      <w:pPr>
        <w:spacing w:before="184" w:line="226" w:lineRule="auto"/>
        <w:ind w:left="501"/>
        <w:rPr>
          <w:rFonts w:ascii="宋体" w:hAnsi="宋体" w:eastAsia="宋体" w:cs="宋体"/>
          <w:sz w:val="23"/>
          <w:szCs w:val="23"/>
        </w:rPr>
      </w:pPr>
      <w:r>
        <w:rPr>
          <w:rFonts w:ascii="宋体" w:hAnsi="宋体" w:eastAsia="宋体" w:cs="宋体"/>
          <w:spacing w:val="6"/>
          <w:sz w:val="23"/>
          <w:szCs w:val="23"/>
        </w:rPr>
        <w:t>(</w:t>
      </w:r>
      <w:r>
        <w:rPr>
          <w:rFonts w:ascii="Times New Roman" w:hAnsi="Times New Roman" w:eastAsia="Times New Roman" w:cs="Times New Roman"/>
          <w:spacing w:val="6"/>
          <w:sz w:val="23"/>
          <w:szCs w:val="23"/>
        </w:rPr>
        <w:t>4</w:t>
      </w:r>
      <w:r>
        <w:rPr>
          <w:rFonts w:ascii="宋体" w:hAnsi="宋体" w:eastAsia="宋体" w:cs="宋体"/>
          <w:spacing w:val="6"/>
          <w:sz w:val="23"/>
          <w:szCs w:val="23"/>
        </w:rPr>
        <w:t>)</w:t>
      </w:r>
      <w:r>
        <w:rPr>
          <w:rFonts w:ascii="宋体" w:hAnsi="宋体" w:eastAsia="宋体" w:cs="宋体"/>
          <w:spacing w:val="4"/>
          <w:sz w:val="23"/>
          <w:szCs w:val="23"/>
        </w:rPr>
        <w:t xml:space="preserve"> </w:t>
      </w:r>
      <w:r>
        <w:rPr>
          <w:rFonts w:ascii="宋体" w:hAnsi="宋体" w:eastAsia="宋体" w:cs="宋体"/>
          <w:spacing w:val="3"/>
          <w:sz w:val="23"/>
          <w:szCs w:val="23"/>
        </w:rPr>
        <w:t xml:space="preserve"> 《环境影响评价技术导则</w:t>
      </w:r>
      <w:r>
        <w:rPr>
          <w:rFonts w:ascii="Times New Roman" w:hAnsi="Times New Roman" w:eastAsia="Times New Roman" w:cs="Times New Roman"/>
          <w:spacing w:val="3"/>
          <w:sz w:val="23"/>
          <w:szCs w:val="23"/>
        </w:rPr>
        <w:t>—</w:t>
      </w:r>
      <w:r>
        <w:rPr>
          <w:rFonts w:ascii="宋体" w:hAnsi="宋体" w:eastAsia="宋体" w:cs="宋体"/>
          <w:spacing w:val="3"/>
          <w:sz w:val="23"/>
          <w:szCs w:val="23"/>
        </w:rPr>
        <w:t>声环境》  (</w:t>
      </w:r>
      <w:r>
        <w:rPr>
          <w:rFonts w:ascii="Times New Roman" w:hAnsi="Times New Roman" w:eastAsia="Times New Roman" w:cs="Times New Roman"/>
          <w:sz w:val="23"/>
          <w:szCs w:val="23"/>
        </w:rPr>
        <w:t>HJ</w:t>
      </w:r>
      <w:r>
        <w:rPr>
          <w:rFonts w:ascii="Times New Roman" w:hAnsi="Times New Roman" w:eastAsia="Times New Roman" w:cs="Times New Roman"/>
          <w:spacing w:val="3"/>
          <w:sz w:val="23"/>
          <w:szCs w:val="23"/>
        </w:rPr>
        <w:t xml:space="preserve"> 2.4-2009</w:t>
      </w:r>
      <w:r>
        <w:rPr>
          <w:rFonts w:ascii="宋体" w:hAnsi="宋体" w:eastAsia="宋体" w:cs="宋体"/>
          <w:spacing w:val="3"/>
          <w:sz w:val="23"/>
          <w:szCs w:val="23"/>
        </w:rPr>
        <w:t>) ；</w:t>
      </w:r>
    </w:p>
    <w:p w14:paraId="792CF39B">
      <w:pPr>
        <w:spacing w:before="187" w:line="226" w:lineRule="auto"/>
        <w:ind w:left="501"/>
        <w:rPr>
          <w:rFonts w:ascii="宋体" w:hAnsi="宋体" w:eastAsia="宋体" w:cs="宋体"/>
          <w:sz w:val="23"/>
          <w:szCs w:val="23"/>
        </w:rPr>
      </w:pPr>
      <w:r>
        <w:rPr>
          <w:rFonts w:ascii="宋体" w:hAnsi="宋体" w:eastAsia="宋体" w:cs="宋体"/>
          <w:spacing w:val="6"/>
          <w:sz w:val="23"/>
          <w:szCs w:val="23"/>
        </w:rPr>
        <w:t>(</w:t>
      </w:r>
      <w:r>
        <w:rPr>
          <w:rFonts w:ascii="Times New Roman" w:hAnsi="Times New Roman" w:eastAsia="Times New Roman" w:cs="Times New Roman"/>
          <w:spacing w:val="6"/>
          <w:sz w:val="23"/>
          <w:szCs w:val="23"/>
        </w:rPr>
        <w:t>5</w:t>
      </w:r>
      <w:r>
        <w:rPr>
          <w:rFonts w:ascii="宋体" w:hAnsi="宋体" w:eastAsia="宋体" w:cs="宋体"/>
          <w:spacing w:val="6"/>
          <w:sz w:val="23"/>
          <w:szCs w:val="23"/>
        </w:rPr>
        <w:t>)  《环境影</w:t>
      </w:r>
      <w:r>
        <w:rPr>
          <w:rFonts w:ascii="宋体" w:hAnsi="宋体" w:eastAsia="宋体" w:cs="宋体"/>
          <w:spacing w:val="3"/>
          <w:sz w:val="23"/>
          <w:szCs w:val="23"/>
        </w:rPr>
        <w:t>响评价技术导则</w:t>
      </w:r>
      <w:r>
        <w:rPr>
          <w:rFonts w:ascii="Times New Roman" w:hAnsi="Times New Roman" w:eastAsia="Times New Roman" w:cs="Times New Roman"/>
          <w:spacing w:val="3"/>
          <w:sz w:val="23"/>
          <w:szCs w:val="23"/>
        </w:rPr>
        <w:t>—</w:t>
      </w:r>
      <w:r>
        <w:rPr>
          <w:rFonts w:ascii="宋体" w:hAnsi="宋体" w:eastAsia="宋体" w:cs="宋体"/>
          <w:spacing w:val="3"/>
          <w:sz w:val="23"/>
          <w:szCs w:val="23"/>
        </w:rPr>
        <w:t>地下水环境》  (</w:t>
      </w:r>
      <w:r>
        <w:rPr>
          <w:rFonts w:ascii="Times New Roman" w:hAnsi="Times New Roman" w:eastAsia="Times New Roman" w:cs="Times New Roman"/>
          <w:sz w:val="23"/>
          <w:szCs w:val="23"/>
        </w:rPr>
        <w:t>HJ</w:t>
      </w:r>
      <w:r>
        <w:rPr>
          <w:rFonts w:ascii="Times New Roman" w:hAnsi="Times New Roman" w:eastAsia="Times New Roman" w:cs="Times New Roman"/>
          <w:spacing w:val="3"/>
          <w:sz w:val="23"/>
          <w:szCs w:val="23"/>
        </w:rPr>
        <w:t xml:space="preserve"> 610-2016</w:t>
      </w:r>
      <w:r>
        <w:rPr>
          <w:rFonts w:ascii="宋体" w:hAnsi="宋体" w:eastAsia="宋体" w:cs="宋体"/>
          <w:spacing w:val="3"/>
          <w:sz w:val="23"/>
          <w:szCs w:val="23"/>
        </w:rPr>
        <w:t>) ；</w:t>
      </w:r>
    </w:p>
    <w:p w14:paraId="4C8A682F">
      <w:pPr>
        <w:sectPr>
          <w:headerReference r:id="rId18" w:type="default"/>
          <w:footerReference r:id="rId19" w:type="default"/>
          <w:pgSz w:w="11907" w:h="16840"/>
          <w:pgMar w:top="1153" w:right="1380" w:bottom="1275" w:left="1660" w:header="919" w:footer="1114" w:gutter="0"/>
          <w:cols w:space="720" w:num="1"/>
        </w:sectPr>
      </w:pPr>
    </w:p>
    <w:p w14:paraId="74CBBC0C">
      <w:pPr>
        <w:spacing w:before="42" w:line="226" w:lineRule="auto"/>
        <w:ind w:left="501"/>
        <w:rPr>
          <w:rFonts w:ascii="宋体" w:hAnsi="宋体" w:eastAsia="宋体" w:cs="宋体"/>
          <w:sz w:val="23"/>
          <w:szCs w:val="23"/>
        </w:rPr>
      </w:pPr>
      <w:r>
        <w:rPr>
          <w:rFonts w:ascii="宋体" w:hAnsi="宋体" w:eastAsia="宋体" w:cs="宋体"/>
          <w:spacing w:val="6"/>
          <w:sz w:val="23"/>
          <w:szCs w:val="23"/>
        </w:rPr>
        <w:t>(</w:t>
      </w:r>
      <w:r>
        <w:rPr>
          <w:rFonts w:ascii="Times New Roman" w:hAnsi="Times New Roman" w:eastAsia="Times New Roman" w:cs="Times New Roman"/>
          <w:spacing w:val="6"/>
          <w:sz w:val="23"/>
          <w:szCs w:val="23"/>
        </w:rPr>
        <w:t>6</w:t>
      </w:r>
      <w:r>
        <w:rPr>
          <w:rFonts w:ascii="宋体" w:hAnsi="宋体" w:eastAsia="宋体" w:cs="宋体"/>
          <w:spacing w:val="5"/>
          <w:sz w:val="23"/>
          <w:szCs w:val="23"/>
        </w:rPr>
        <w:t>)</w:t>
      </w:r>
      <w:r>
        <w:rPr>
          <w:rFonts w:ascii="宋体" w:hAnsi="宋体" w:eastAsia="宋体" w:cs="宋体"/>
          <w:spacing w:val="3"/>
          <w:sz w:val="23"/>
          <w:szCs w:val="23"/>
        </w:rPr>
        <w:t xml:space="preserve">  《环境影响评价技术导则</w:t>
      </w:r>
      <w:r>
        <w:rPr>
          <w:rFonts w:ascii="Times New Roman" w:hAnsi="Times New Roman" w:eastAsia="Times New Roman" w:cs="Times New Roman"/>
          <w:spacing w:val="3"/>
          <w:sz w:val="23"/>
          <w:szCs w:val="23"/>
        </w:rPr>
        <w:t>—</w:t>
      </w:r>
      <w:r>
        <w:rPr>
          <w:rFonts w:ascii="宋体" w:hAnsi="宋体" w:eastAsia="宋体" w:cs="宋体"/>
          <w:spacing w:val="3"/>
          <w:sz w:val="23"/>
          <w:szCs w:val="23"/>
        </w:rPr>
        <w:t>生态影响》  (</w:t>
      </w:r>
      <w:r>
        <w:rPr>
          <w:rFonts w:ascii="Times New Roman" w:hAnsi="Times New Roman" w:eastAsia="Times New Roman" w:cs="Times New Roman"/>
          <w:sz w:val="23"/>
          <w:szCs w:val="23"/>
        </w:rPr>
        <w:t>HJ</w:t>
      </w:r>
      <w:r>
        <w:rPr>
          <w:rFonts w:ascii="Times New Roman" w:hAnsi="Times New Roman" w:eastAsia="Times New Roman" w:cs="Times New Roman"/>
          <w:spacing w:val="3"/>
          <w:sz w:val="23"/>
          <w:szCs w:val="23"/>
        </w:rPr>
        <w:t xml:space="preserve"> 19-2011</w:t>
      </w:r>
      <w:r>
        <w:rPr>
          <w:rFonts w:ascii="宋体" w:hAnsi="宋体" w:eastAsia="宋体" w:cs="宋体"/>
          <w:spacing w:val="3"/>
          <w:sz w:val="23"/>
          <w:szCs w:val="23"/>
        </w:rPr>
        <w:t>) ；</w:t>
      </w:r>
    </w:p>
    <w:p w14:paraId="46FA048E">
      <w:pPr>
        <w:spacing w:before="184" w:line="226" w:lineRule="auto"/>
        <w:ind w:left="501"/>
        <w:rPr>
          <w:rFonts w:ascii="宋体" w:hAnsi="宋体" w:eastAsia="宋体" w:cs="宋体"/>
          <w:sz w:val="23"/>
          <w:szCs w:val="23"/>
        </w:rPr>
      </w:pPr>
      <w:r>
        <w:rPr>
          <w:rFonts w:ascii="宋体" w:hAnsi="宋体" w:eastAsia="宋体" w:cs="宋体"/>
          <w:spacing w:val="6"/>
          <w:sz w:val="23"/>
          <w:szCs w:val="23"/>
        </w:rPr>
        <w:t>(</w:t>
      </w:r>
      <w:r>
        <w:rPr>
          <w:rFonts w:ascii="Times New Roman" w:hAnsi="Times New Roman" w:eastAsia="Times New Roman" w:cs="Times New Roman"/>
          <w:spacing w:val="6"/>
          <w:sz w:val="23"/>
          <w:szCs w:val="23"/>
        </w:rPr>
        <w:t>7</w:t>
      </w:r>
      <w:r>
        <w:rPr>
          <w:rFonts w:ascii="宋体" w:hAnsi="宋体" w:eastAsia="宋体" w:cs="宋体"/>
          <w:spacing w:val="6"/>
          <w:sz w:val="23"/>
          <w:szCs w:val="23"/>
        </w:rPr>
        <w:t xml:space="preserve">)  </w:t>
      </w:r>
      <w:r>
        <w:rPr>
          <w:rFonts w:ascii="宋体" w:hAnsi="宋体" w:eastAsia="宋体" w:cs="宋体"/>
          <w:spacing w:val="3"/>
          <w:sz w:val="23"/>
          <w:szCs w:val="23"/>
        </w:rPr>
        <w:t>《环境影响评价技术导则</w:t>
      </w:r>
      <w:r>
        <w:rPr>
          <w:rFonts w:ascii="Times New Roman" w:hAnsi="Times New Roman" w:eastAsia="Times New Roman" w:cs="Times New Roman"/>
          <w:spacing w:val="3"/>
          <w:sz w:val="23"/>
          <w:szCs w:val="23"/>
        </w:rPr>
        <w:t>—</w:t>
      </w:r>
      <w:r>
        <w:rPr>
          <w:rFonts w:ascii="宋体" w:hAnsi="宋体" w:eastAsia="宋体" w:cs="宋体"/>
          <w:spacing w:val="3"/>
          <w:sz w:val="23"/>
          <w:szCs w:val="23"/>
        </w:rPr>
        <w:t>土壤环境》  (</w:t>
      </w:r>
      <w:r>
        <w:rPr>
          <w:rFonts w:ascii="Times New Roman" w:hAnsi="Times New Roman" w:eastAsia="Times New Roman" w:cs="Times New Roman"/>
          <w:sz w:val="23"/>
          <w:szCs w:val="23"/>
        </w:rPr>
        <w:t>HJ</w:t>
      </w:r>
      <w:r>
        <w:rPr>
          <w:rFonts w:ascii="Times New Roman" w:hAnsi="Times New Roman" w:eastAsia="Times New Roman" w:cs="Times New Roman"/>
          <w:spacing w:val="3"/>
          <w:sz w:val="23"/>
          <w:szCs w:val="23"/>
        </w:rPr>
        <w:t>964-2018</w:t>
      </w:r>
      <w:r>
        <w:rPr>
          <w:rFonts w:ascii="宋体" w:hAnsi="宋体" w:eastAsia="宋体" w:cs="宋体"/>
          <w:spacing w:val="3"/>
          <w:sz w:val="23"/>
          <w:szCs w:val="23"/>
        </w:rPr>
        <w:t>)</w:t>
      </w:r>
    </w:p>
    <w:p w14:paraId="008DA085">
      <w:pPr>
        <w:spacing w:before="140" w:line="323" w:lineRule="exact"/>
        <w:ind w:left="501"/>
        <w:rPr>
          <w:rFonts w:ascii="宋体" w:hAnsi="宋体" w:eastAsia="宋体" w:cs="宋体"/>
          <w:sz w:val="23"/>
          <w:szCs w:val="23"/>
        </w:rPr>
      </w:pPr>
      <w:r>
        <w:rPr>
          <w:rFonts w:ascii="宋体" w:hAnsi="宋体" w:eastAsia="宋体" w:cs="宋体"/>
          <w:spacing w:val="3"/>
          <w:position w:val="1"/>
          <w:sz w:val="23"/>
          <w:szCs w:val="23"/>
        </w:rPr>
        <w:t>(</w:t>
      </w:r>
      <w:r>
        <w:rPr>
          <w:rFonts w:ascii="Times New Roman" w:hAnsi="Times New Roman" w:eastAsia="Times New Roman" w:cs="Times New Roman"/>
          <w:spacing w:val="3"/>
          <w:position w:val="1"/>
          <w:sz w:val="23"/>
          <w:szCs w:val="23"/>
        </w:rPr>
        <w:t>8</w:t>
      </w:r>
      <w:r>
        <w:rPr>
          <w:rFonts w:ascii="宋体" w:hAnsi="宋体" w:eastAsia="宋体" w:cs="宋体"/>
          <w:spacing w:val="3"/>
          <w:position w:val="1"/>
          <w:sz w:val="23"/>
          <w:szCs w:val="23"/>
        </w:rPr>
        <w:t>)  《地下水环境监测技术规范》  (</w:t>
      </w:r>
      <w:r>
        <w:rPr>
          <w:rFonts w:ascii="Times New Roman" w:hAnsi="Times New Roman" w:eastAsia="Times New Roman" w:cs="Times New Roman"/>
          <w:position w:val="1"/>
          <w:sz w:val="23"/>
          <w:szCs w:val="23"/>
        </w:rPr>
        <w:t>HJ</w:t>
      </w:r>
      <w:r>
        <w:rPr>
          <w:rFonts w:ascii="Times New Roman" w:hAnsi="Times New Roman" w:eastAsia="Times New Roman" w:cs="Times New Roman"/>
          <w:spacing w:val="3"/>
          <w:position w:val="1"/>
          <w:sz w:val="23"/>
          <w:szCs w:val="23"/>
        </w:rPr>
        <w:t>/</w:t>
      </w:r>
      <w:r>
        <w:rPr>
          <w:rFonts w:ascii="Times New Roman" w:hAnsi="Times New Roman" w:eastAsia="Times New Roman" w:cs="Times New Roman"/>
          <w:position w:val="1"/>
          <w:sz w:val="23"/>
          <w:szCs w:val="23"/>
        </w:rPr>
        <w:t>T</w:t>
      </w:r>
      <w:r>
        <w:rPr>
          <w:rFonts w:ascii="Times New Roman" w:hAnsi="Times New Roman" w:eastAsia="Times New Roman" w:cs="Times New Roman"/>
          <w:spacing w:val="3"/>
          <w:position w:val="1"/>
          <w:sz w:val="23"/>
          <w:szCs w:val="23"/>
        </w:rPr>
        <w:t xml:space="preserve"> 164-2004</w:t>
      </w:r>
      <w:r>
        <w:rPr>
          <w:rFonts w:ascii="宋体" w:hAnsi="宋体" w:eastAsia="宋体" w:cs="宋体"/>
          <w:spacing w:val="2"/>
          <w:position w:val="1"/>
          <w:sz w:val="23"/>
          <w:szCs w:val="23"/>
        </w:rPr>
        <w:t>)</w:t>
      </w:r>
      <w:r>
        <w:rPr>
          <w:rFonts w:ascii="宋体" w:hAnsi="宋体" w:eastAsia="宋体" w:cs="宋体"/>
          <w:position w:val="1"/>
          <w:sz w:val="23"/>
          <w:szCs w:val="23"/>
        </w:rPr>
        <w:t xml:space="preserve"> ；</w:t>
      </w:r>
    </w:p>
    <w:p w14:paraId="5453B521">
      <w:pPr>
        <w:spacing w:before="145" w:line="322" w:lineRule="exact"/>
        <w:ind w:left="501"/>
        <w:rPr>
          <w:rFonts w:ascii="宋体" w:hAnsi="宋体" w:eastAsia="宋体" w:cs="宋体"/>
          <w:sz w:val="23"/>
          <w:szCs w:val="23"/>
        </w:rPr>
      </w:pPr>
      <w:r>
        <w:rPr>
          <w:rFonts w:ascii="宋体" w:hAnsi="宋体" w:eastAsia="宋体" w:cs="宋体"/>
          <w:spacing w:val="6"/>
          <w:position w:val="1"/>
          <w:sz w:val="23"/>
          <w:szCs w:val="23"/>
        </w:rPr>
        <w:t>(</w:t>
      </w:r>
      <w:r>
        <w:rPr>
          <w:rFonts w:ascii="Times New Roman" w:hAnsi="Times New Roman" w:eastAsia="Times New Roman" w:cs="Times New Roman"/>
          <w:spacing w:val="4"/>
          <w:position w:val="1"/>
          <w:sz w:val="23"/>
          <w:szCs w:val="23"/>
        </w:rPr>
        <w:t>9</w:t>
      </w:r>
      <w:r>
        <w:rPr>
          <w:rFonts w:ascii="宋体" w:hAnsi="宋体" w:eastAsia="宋体" w:cs="宋体"/>
          <w:spacing w:val="3"/>
          <w:position w:val="1"/>
          <w:sz w:val="23"/>
          <w:szCs w:val="23"/>
        </w:rPr>
        <w:t>)  《地表水和污水监测技术规范》  (</w:t>
      </w:r>
      <w:r>
        <w:rPr>
          <w:rFonts w:ascii="Times New Roman" w:hAnsi="Times New Roman" w:eastAsia="Times New Roman" w:cs="Times New Roman"/>
          <w:position w:val="1"/>
          <w:sz w:val="23"/>
          <w:szCs w:val="23"/>
        </w:rPr>
        <w:t>HJ</w:t>
      </w:r>
      <w:r>
        <w:rPr>
          <w:rFonts w:ascii="Times New Roman" w:hAnsi="Times New Roman" w:eastAsia="Times New Roman" w:cs="Times New Roman"/>
          <w:spacing w:val="3"/>
          <w:position w:val="1"/>
          <w:sz w:val="23"/>
          <w:szCs w:val="23"/>
        </w:rPr>
        <w:t>/</w:t>
      </w:r>
      <w:r>
        <w:rPr>
          <w:rFonts w:ascii="Times New Roman" w:hAnsi="Times New Roman" w:eastAsia="Times New Roman" w:cs="Times New Roman"/>
          <w:position w:val="1"/>
          <w:sz w:val="23"/>
          <w:szCs w:val="23"/>
        </w:rPr>
        <w:t>T</w:t>
      </w:r>
      <w:r>
        <w:rPr>
          <w:rFonts w:ascii="Times New Roman" w:hAnsi="Times New Roman" w:eastAsia="Times New Roman" w:cs="Times New Roman"/>
          <w:spacing w:val="3"/>
          <w:position w:val="1"/>
          <w:sz w:val="23"/>
          <w:szCs w:val="23"/>
        </w:rPr>
        <w:t>91-2002</w:t>
      </w:r>
      <w:r>
        <w:rPr>
          <w:rFonts w:ascii="宋体" w:hAnsi="宋体" w:eastAsia="宋体" w:cs="宋体"/>
          <w:spacing w:val="3"/>
          <w:position w:val="1"/>
          <w:sz w:val="23"/>
          <w:szCs w:val="23"/>
        </w:rPr>
        <w:t>) ；</w:t>
      </w:r>
    </w:p>
    <w:p w14:paraId="2A589047">
      <w:pPr>
        <w:spacing w:before="188" w:line="226" w:lineRule="auto"/>
        <w:ind w:left="501"/>
        <w:rPr>
          <w:rFonts w:ascii="宋体" w:hAnsi="宋体" w:eastAsia="宋体" w:cs="宋体"/>
          <w:sz w:val="23"/>
          <w:szCs w:val="23"/>
        </w:rPr>
      </w:pPr>
      <w:r>
        <w:rPr>
          <w:rFonts w:ascii="宋体" w:hAnsi="宋体" w:eastAsia="宋体" w:cs="宋体"/>
          <w:spacing w:val="5"/>
          <w:sz w:val="23"/>
          <w:szCs w:val="23"/>
        </w:rPr>
        <w:t>(</w:t>
      </w:r>
      <w:r>
        <w:rPr>
          <w:rFonts w:ascii="Times New Roman" w:hAnsi="Times New Roman" w:eastAsia="Times New Roman" w:cs="Times New Roman"/>
          <w:spacing w:val="5"/>
          <w:sz w:val="23"/>
          <w:szCs w:val="23"/>
        </w:rPr>
        <w:t>10</w:t>
      </w:r>
      <w:r>
        <w:rPr>
          <w:rFonts w:ascii="宋体" w:hAnsi="宋体" w:eastAsia="宋体" w:cs="宋体"/>
          <w:spacing w:val="5"/>
          <w:sz w:val="23"/>
          <w:szCs w:val="23"/>
        </w:rPr>
        <w:t xml:space="preserve">) 《建设项目环境影响评价分类管理名录》 (生态环境部 第 </w:t>
      </w:r>
      <w:r>
        <w:rPr>
          <w:rFonts w:ascii="Times New Roman" w:hAnsi="Times New Roman" w:eastAsia="Times New Roman" w:cs="Times New Roman"/>
          <w:spacing w:val="5"/>
          <w:sz w:val="23"/>
          <w:szCs w:val="23"/>
        </w:rPr>
        <w:t xml:space="preserve">1 </w:t>
      </w:r>
      <w:r>
        <w:rPr>
          <w:rFonts w:ascii="宋体" w:hAnsi="宋体" w:eastAsia="宋体" w:cs="宋体"/>
          <w:spacing w:val="5"/>
          <w:sz w:val="23"/>
          <w:szCs w:val="23"/>
        </w:rPr>
        <w:t>号令) ；</w:t>
      </w:r>
    </w:p>
    <w:p w14:paraId="22A3B834">
      <w:pPr>
        <w:spacing w:before="184" w:line="226" w:lineRule="auto"/>
        <w:ind w:left="501"/>
        <w:rPr>
          <w:rFonts w:ascii="宋体" w:hAnsi="宋体" w:eastAsia="宋体" w:cs="宋体"/>
          <w:sz w:val="23"/>
          <w:szCs w:val="23"/>
        </w:rPr>
      </w:pPr>
      <w:r>
        <w:rPr>
          <w:rFonts w:ascii="宋体" w:hAnsi="宋体" w:eastAsia="宋体" w:cs="宋体"/>
          <w:spacing w:val="6"/>
          <w:sz w:val="23"/>
          <w:szCs w:val="23"/>
        </w:rPr>
        <w:t>(</w:t>
      </w:r>
      <w:r>
        <w:rPr>
          <w:rFonts w:ascii="Times New Roman" w:hAnsi="Times New Roman" w:eastAsia="Times New Roman" w:cs="Times New Roman"/>
          <w:spacing w:val="5"/>
          <w:sz w:val="23"/>
          <w:szCs w:val="23"/>
        </w:rPr>
        <w:t>1</w:t>
      </w:r>
      <w:r>
        <w:rPr>
          <w:rFonts w:ascii="Times New Roman" w:hAnsi="Times New Roman" w:eastAsia="Times New Roman" w:cs="Times New Roman"/>
          <w:spacing w:val="3"/>
          <w:sz w:val="23"/>
          <w:szCs w:val="23"/>
        </w:rPr>
        <w:t>1</w:t>
      </w:r>
      <w:r>
        <w:rPr>
          <w:rFonts w:ascii="宋体" w:hAnsi="宋体" w:eastAsia="宋体" w:cs="宋体"/>
          <w:spacing w:val="3"/>
          <w:sz w:val="23"/>
          <w:szCs w:val="23"/>
        </w:rPr>
        <w:t>)  《建设项目环境风险评价技术导则》  (</w:t>
      </w:r>
      <w:r>
        <w:rPr>
          <w:rFonts w:ascii="Times New Roman" w:hAnsi="Times New Roman" w:eastAsia="Times New Roman" w:cs="Times New Roman"/>
          <w:sz w:val="23"/>
          <w:szCs w:val="23"/>
        </w:rPr>
        <w:t>HJ</w:t>
      </w:r>
      <w:r>
        <w:rPr>
          <w:rFonts w:ascii="Times New Roman" w:hAnsi="Times New Roman" w:eastAsia="Times New Roman" w:cs="Times New Roman"/>
          <w:spacing w:val="3"/>
          <w:sz w:val="23"/>
          <w:szCs w:val="23"/>
        </w:rPr>
        <w:t xml:space="preserve"> 169-2018</w:t>
      </w:r>
      <w:r>
        <w:rPr>
          <w:rFonts w:ascii="宋体" w:hAnsi="宋体" w:eastAsia="宋体" w:cs="宋体"/>
          <w:spacing w:val="3"/>
          <w:sz w:val="23"/>
          <w:szCs w:val="23"/>
        </w:rPr>
        <w:t>) ；</w:t>
      </w:r>
    </w:p>
    <w:p w14:paraId="7DDE7682">
      <w:pPr>
        <w:spacing w:before="141" w:line="323" w:lineRule="exact"/>
        <w:ind w:left="501"/>
        <w:rPr>
          <w:rFonts w:ascii="宋体" w:hAnsi="宋体" w:eastAsia="宋体" w:cs="宋体"/>
          <w:sz w:val="23"/>
          <w:szCs w:val="23"/>
        </w:rPr>
      </w:pPr>
      <w:r>
        <w:rPr>
          <w:rFonts w:ascii="宋体" w:hAnsi="宋体" w:eastAsia="宋体" w:cs="宋体"/>
          <w:spacing w:val="6"/>
          <w:position w:val="1"/>
          <w:sz w:val="23"/>
          <w:szCs w:val="23"/>
        </w:rPr>
        <w:t>(</w:t>
      </w:r>
      <w:r>
        <w:rPr>
          <w:rFonts w:ascii="Times New Roman" w:hAnsi="Times New Roman" w:eastAsia="Times New Roman" w:cs="Times New Roman"/>
          <w:spacing w:val="6"/>
          <w:position w:val="1"/>
          <w:sz w:val="23"/>
          <w:szCs w:val="23"/>
        </w:rPr>
        <w:t>12</w:t>
      </w:r>
      <w:r>
        <w:rPr>
          <w:rFonts w:ascii="宋体" w:hAnsi="宋体" w:eastAsia="宋体" w:cs="宋体"/>
          <w:spacing w:val="6"/>
          <w:position w:val="1"/>
          <w:sz w:val="23"/>
          <w:szCs w:val="23"/>
        </w:rPr>
        <w:t>)</w:t>
      </w:r>
      <w:r>
        <w:rPr>
          <w:rFonts w:ascii="宋体" w:hAnsi="宋体" w:eastAsia="宋体" w:cs="宋体"/>
          <w:spacing w:val="4"/>
          <w:position w:val="1"/>
          <w:sz w:val="23"/>
          <w:szCs w:val="23"/>
        </w:rPr>
        <w:t xml:space="preserve"> </w:t>
      </w:r>
      <w:r>
        <w:rPr>
          <w:rFonts w:ascii="宋体" w:hAnsi="宋体" w:eastAsia="宋体" w:cs="宋体"/>
          <w:spacing w:val="3"/>
          <w:position w:val="1"/>
          <w:sz w:val="23"/>
          <w:szCs w:val="23"/>
        </w:rPr>
        <w:t xml:space="preserve"> 《畜禽养殖业污染防治技术规范》  (</w:t>
      </w:r>
      <w:r>
        <w:rPr>
          <w:rFonts w:ascii="Times New Roman" w:hAnsi="Times New Roman" w:eastAsia="Times New Roman" w:cs="Times New Roman"/>
          <w:position w:val="1"/>
          <w:sz w:val="23"/>
          <w:szCs w:val="23"/>
        </w:rPr>
        <w:t>HJ</w:t>
      </w:r>
      <w:r>
        <w:rPr>
          <w:rFonts w:ascii="Times New Roman" w:hAnsi="Times New Roman" w:eastAsia="Times New Roman" w:cs="Times New Roman"/>
          <w:spacing w:val="3"/>
          <w:position w:val="1"/>
          <w:sz w:val="23"/>
          <w:szCs w:val="23"/>
        </w:rPr>
        <w:t>/</w:t>
      </w:r>
      <w:r>
        <w:rPr>
          <w:rFonts w:ascii="Times New Roman" w:hAnsi="Times New Roman" w:eastAsia="Times New Roman" w:cs="Times New Roman"/>
          <w:position w:val="1"/>
          <w:sz w:val="23"/>
          <w:szCs w:val="23"/>
        </w:rPr>
        <w:t>T</w:t>
      </w:r>
      <w:r>
        <w:rPr>
          <w:rFonts w:ascii="Times New Roman" w:hAnsi="Times New Roman" w:eastAsia="Times New Roman" w:cs="Times New Roman"/>
          <w:spacing w:val="3"/>
          <w:position w:val="1"/>
          <w:sz w:val="23"/>
          <w:szCs w:val="23"/>
        </w:rPr>
        <w:t>81-2001</w:t>
      </w:r>
      <w:r>
        <w:rPr>
          <w:rFonts w:ascii="宋体" w:hAnsi="宋体" w:eastAsia="宋体" w:cs="宋体"/>
          <w:spacing w:val="3"/>
          <w:position w:val="1"/>
          <w:sz w:val="23"/>
          <w:szCs w:val="23"/>
        </w:rPr>
        <w:t>) ；</w:t>
      </w:r>
      <w:bookmarkStart w:id="78" w:name="_GoBack"/>
      <w:bookmarkEnd w:id="78"/>
    </w:p>
    <w:p w14:paraId="5A754E57">
      <w:pPr>
        <w:spacing w:before="189" w:line="227" w:lineRule="auto"/>
        <w:ind w:left="501"/>
        <w:rPr>
          <w:rFonts w:ascii="宋体" w:hAnsi="宋体" w:eastAsia="宋体" w:cs="宋体"/>
          <w:sz w:val="23"/>
          <w:szCs w:val="23"/>
        </w:rPr>
      </w:pPr>
      <w:r>
        <w:rPr>
          <w:rFonts w:ascii="宋体" w:hAnsi="宋体" w:eastAsia="宋体" w:cs="宋体"/>
          <w:spacing w:val="6"/>
          <w:sz w:val="23"/>
          <w:szCs w:val="23"/>
        </w:rPr>
        <w:t>(</w:t>
      </w:r>
      <w:r>
        <w:rPr>
          <w:rFonts w:ascii="Times New Roman" w:hAnsi="Times New Roman" w:eastAsia="Times New Roman" w:cs="Times New Roman"/>
          <w:spacing w:val="6"/>
          <w:sz w:val="23"/>
          <w:szCs w:val="23"/>
        </w:rPr>
        <w:t>13</w:t>
      </w:r>
      <w:r>
        <w:rPr>
          <w:rFonts w:ascii="宋体" w:hAnsi="宋体" w:eastAsia="宋体" w:cs="宋体"/>
          <w:spacing w:val="6"/>
          <w:sz w:val="23"/>
          <w:szCs w:val="23"/>
        </w:rPr>
        <w:t>)  《</w:t>
      </w:r>
      <w:r>
        <w:rPr>
          <w:rFonts w:ascii="宋体" w:hAnsi="宋体" w:eastAsia="宋体" w:cs="宋体"/>
          <w:spacing w:val="4"/>
          <w:sz w:val="23"/>
          <w:szCs w:val="23"/>
        </w:rPr>
        <w:t>畜</w:t>
      </w:r>
      <w:r>
        <w:rPr>
          <w:rFonts w:ascii="宋体" w:hAnsi="宋体" w:eastAsia="宋体" w:cs="宋体"/>
          <w:spacing w:val="3"/>
          <w:sz w:val="23"/>
          <w:szCs w:val="23"/>
        </w:rPr>
        <w:t>禽养殖业污染治理工程技术规范》  (</w:t>
      </w:r>
      <w:r>
        <w:rPr>
          <w:rFonts w:ascii="Times New Roman" w:hAnsi="Times New Roman" w:eastAsia="Times New Roman" w:cs="Times New Roman"/>
          <w:sz w:val="23"/>
          <w:szCs w:val="23"/>
        </w:rPr>
        <w:t>HJ</w:t>
      </w:r>
      <w:r>
        <w:rPr>
          <w:rFonts w:ascii="Times New Roman" w:hAnsi="Times New Roman" w:eastAsia="Times New Roman" w:cs="Times New Roman"/>
          <w:spacing w:val="3"/>
          <w:sz w:val="23"/>
          <w:szCs w:val="23"/>
        </w:rPr>
        <w:t>497-2009</w:t>
      </w:r>
      <w:r>
        <w:rPr>
          <w:rFonts w:ascii="宋体" w:hAnsi="宋体" w:eastAsia="宋体" w:cs="宋体"/>
          <w:spacing w:val="3"/>
          <w:sz w:val="23"/>
          <w:szCs w:val="23"/>
        </w:rPr>
        <w:t>) ；</w:t>
      </w:r>
    </w:p>
    <w:p w14:paraId="614B35D9">
      <w:pPr>
        <w:spacing w:before="185" w:line="227" w:lineRule="auto"/>
        <w:ind w:left="501"/>
        <w:rPr>
          <w:rFonts w:ascii="宋体" w:hAnsi="宋体" w:eastAsia="宋体" w:cs="宋体"/>
          <w:sz w:val="23"/>
          <w:szCs w:val="23"/>
        </w:rPr>
      </w:pPr>
      <w:r>
        <w:rPr>
          <w:rFonts w:ascii="宋体" w:hAnsi="宋体" w:eastAsia="宋体" w:cs="宋体"/>
          <w:spacing w:val="8"/>
          <w:sz w:val="23"/>
          <w:szCs w:val="23"/>
        </w:rPr>
        <w:t>(</w:t>
      </w:r>
      <w:r>
        <w:rPr>
          <w:rFonts w:ascii="Times New Roman" w:hAnsi="Times New Roman" w:eastAsia="Times New Roman" w:cs="Times New Roman"/>
          <w:spacing w:val="7"/>
          <w:sz w:val="23"/>
          <w:szCs w:val="23"/>
        </w:rPr>
        <w:t>14</w:t>
      </w:r>
      <w:r>
        <w:rPr>
          <w:rFonts w:ascii="宋体" w:hAnsi="宋体" w:eastAsia="宋体" w:cs="宋体"/>
          <w:spacing w:val="7"/>
          <w:sz w:val="23"/>
          <w:szCs w:val="23"/>
        </w:rPr>
        <w:t>)  《畜禽养殖业污染防治技术政策》环发【</w:t>
      </w:r>
      <w:r>
        <w:rPr>
          <w:rFonts w:ascii="Times New Roman" w:hAnsi="Times New Roman" w:eastAsia="Times New Roman" w:cs="Times New Roman"/>
          <w:spacing w:val="7"/>
          <w:sz w:val="23"/>
          <w:szCs w:val="23"/>
        </w:rPr>
        <w:t>2010</w:t>
      </w:r>
      <w:r>
        <w:rPr>
          <w:rFonts w:ascii="宋体" w:hAnsi="宋体" w:eastAsia="宋体" w:cs="宋体"/>
          <w:spacing w:val="7"/>
          <w:sz w:val="23"/>
          <w:szCs w:val="23"/>
        </w:rPr>
        <w:t>】</w:t>
      </w:r>
      <w:r>
        <w:rPr>
          <w:rFonts w:ascii="Times New Roman" w:hAnsi="Times New Roman" w:eastAsia="Times New Roman" w:cs="Times New Roman"/>
          <w:spacing w:val="7"/>
          <w:sz w:val="23"/>
          <w:szCs w:val="23"/>
        </w:rPr>
        <w:t xml:space="preserve">151 </w:t>
      </w:r>
      <w:r>
        <w:rPr>
          <w:rFonts w:ascii="宋体" w:hAnsi="宋体" w:eastAsia="宋体" w:cs="宋体"/>
          <w:spacing w:val="7"/>
          <w:sz w:val="23"/>
          <w:szCs w:val="23"/>
        </w:rPr>
        <w:t>号；</w:t>
      </w:r>
    </w:p>
    <w:p w14:paraId="1D5DA24C">
      <w:pPr>
        <w:spacing w:before="139" w:line="323" w:lineRule="exact"/>
        <w:ind w:left="501"/>
        <w:rPr>
          <w:rFonts w:ascii="宋体" w:hAnsi="宋体" w:eastAsia="宋体" w:cs="宋体"/>
          <w:sz w:val="23"/>
          <w:szCs w:val="23"/>
        </w:rPr>
      </w:pPr>
      <w:r>
        <w:rPr>
          <w:rFonts w:ascii="宋体" w:hAnsi="宋体" w:eastAsia="宋体" w:cs="宋体"/>
          <w:spacing w:val="6"/>
          <w:position w:val="1"/>
          <w:sz w:val="23"/>
          <w:szCs w:val="23"/>
        </w:rPr>
        <w:t>(</w:t>
      </w:r>
      <w:r>
        <w:rPr>
          <w:rFonts w:ascii="Times New Roman" w:hAnsi="Times New Roman" w:eastAsia="Times New Roman" w:cs="Times New Roman"/>
          <w:spacing w:val="6"/>
          <w:position w:val="1"/>
          <w:sz w:val="23"/>
          <w:szCs w:val="23"/>
        </w:rPr>
        <w:t>15</w:t>
      </w:r>
      <w:r>
        <w:rPr>
          <w:rFonts w:ascii="宋体" w:hAnsi="宋体" w:eastAsia="宋体" w:cs="宋体"/>
          <w:spacing w:val="6"/>
          <w:position w:val="1"/>
          <w:sz w:val="23"/>
          <w:szCs w:val="23"/>
        </w:rPr>
        <w:t xml:space="preserve">)  </w:t>
      </w:r>
      <w:r>
        <w:rPr>
          <w:rFonts w:ascii="宋体" w:hAnsi="宋体" w:eastAsia="宋体" w:cs="宋体"/>
          <w:spacing w:val="4"/>
          <w:position w:val="1"/>
          <w:sz w:val="23"/>
          <w:szCs w:val="23"/>
        </w:rPr>
        <w:t>《</w:t>
      </w:r>
      <w:r>
        <w:rPr>
          <w:rFonts w:ascii="宋体" w:hAnsi="宋体" w:eastAsia="宋体" w:cs="宋体"/>
          <w:spacing w:val="3"/>
          <w:position w:val="1"/>
          <w:sz w:val="23"/>
          <w:szCs w:val="23"/>
        </w:rPr>
        <w:t>畜禽养殖污水贮存设施设计要求》  (</w:t>
      </w:r>
      <w:r>
        <w:rPr>
          <w:rFonts w:ascii="Times New Roman" w:hAnsi="Times New Roman" w:eastAsia="Times New Roman" w:cs="Times New Roman"/>
          <w:position w:val="1"/>
          <w:sz w:val="23"/>
          <w:szCs w:val="23"/>
        </w:rPr>
        <w:t>GB</w:t>
      </w:r>
      <w:r>
        <w:rPr>
          <w:rFonts w:ascii="Times New Roman" w:hAnsi="Times New Roman" w:eastAsia="Times New Roman" w:cs="Times New Roman"/>
          <w:spacing w:val="3"/>
          <w:position w:val="1"/>
          <w:sz w:val="23"/>
          <w:szCs w:val="23"/>
        </w:rPr>
        <w:t>/</w:t>
      </w:r>
      <w:r>
        <w:rPr>
          <w:rFonts w:ascii="Times New Roman" w:hAnsi="Times New Roman" w:eastAsia="Times New Roman" w:cs="Times New Roman"/>
          <w:position w:val="1"/>
          <w:sz w:val="23"/>
          <w:szCs w:val="23"/>
        </w:rPr>
        <w:t>T</w:t>
      </w:r>
      <w:r>
        <w:rPr>
          <w:rFonts w:ascii="Times New Roman" w:hAnsi="Times New Roman" w:eastAsia="Times New Roman" w:cs="Times New Roman"/>
          <w:spacing w:val="3"/>
          <w:position w:val="1"/>
          <w:sz w:val="23"/>
          <w:szCs w:val="23"/>
        </w:rPr>
        <w:t>26624-2011</w:t>
      </w:r>
      <w:r>
        <w:rPr>
          <w:rFonts w:ascii="宋体" w:hAnsi="宋体" w:eastAsia="宋体" w:cs="宋体"/>
          <w:spacing w:val="3"/>
          <w:position w:val="1"/>
          <w:sz w:val="23"/>
          <w:szCs w:val="23"/>
        </w:rPr>
        <w:t>) ；</w:t>
      </w:r>
    </w:p>
    <w:p w14:paraId="2C27F6A2">
      <w:pPr>
        <w:spacing w:before="189" w:line="227" w:lineRule="auto"/>
        <w:ind w:left="501"/>
        <w:rPr>
          <w:rFonts w:ascii="宋体" w:hAnsi="宋体" w:eastAsia="宋体" w:cs="宋体"/>
          <w:sz w:val="23"/>
          <w:szCs w:val="23"/>
        </w:rPr>
      </w:pPr>
      <w:r>
        <w:rPr>
          <w:rFonts w:ascii="宋体" w:hAnsi="宋体" w:eastAsia="宋体" w:cs="宋体"/>
          <w:spacing w:val="12"/>
          <w:sz w:val="23"/>
          <w:szCs w:val="23"/>
        </w:rPr>
        <w:t>(</w:t>
      </w:r>
      <w:r>
        <w:rPr>
          <w:rFonts w:ascii="Times New Roman" w:hAnsi="Times New Roman" w:eastAsia="Times New Roman" w:cs="Times New Roman"/>
          <w:spacing w:val="12"/>
          <w:sz w:val="23"/>
          <w:szCs w:val="23"/>
        </w:rPr>
        <w:t>16</w:t>
      </w:r>
      <w:r>
        <w:rPr>
          <w:rFonts w:ascii="宋体" w:hAnsi="宋体" w:eastAsia="宋体" w:cs="宋体"/>
          <w:spacing w:val="8"/>
          <w:sz w:val="23"/>
          <w:szCs w:val="23"/>
        </w:rPr>
        <w:t>)</w:t>
      </w:r>
      <w:r>
        <w:rPr>
          <w:rFonts w:ascii="宋体" w:hAnsi="宋体" w:eastAsia="宋体" w:cs="宋体"/>
          <w:spacing w:val="6"/>
          <w:sz w:val="23"/>
          <w:szCs w:val="23"/>
        </w:rPr>
        <w:t xml:space="preserve">  《全国畜禽养殖污染防治</w:t>
      </w:r>
      <w:r>
        <w:rPr>
          <w:rFonts w:ascii="Times New Roman" w:hAnsi="Times New Roman" w:eastAsia="Times New Roman" w:cs="Times New Roman"/>
          <w:spacing w:val="6"/>
          <w:sz w:val="23"/>
          <w:szCs w:val="23"/>
        </w:rPr>
        <w:t>“</w:t>
      </w:r>
      <w:r>
        <w:rPr>
          <w:rFonts w:ascii="宋体" w:hAnsi="宋体" w:eastAsia="宋体" w:cs="宋体"/>
          <w:spacing w:val="6"/>
          <w:sz w:val="23"/>
          <w:szCs w:val="23"/>
        </w:rPr>
        <w:t>十二五</w:t>
      </w:r>
      <w:r>
        <w:rPr>
          <w:rFonts w:ascii="Times New Roman" w:hAnsi="Times New Roman" w:eastAsia="Times New Roman" w:cs="Times New Roman"/>
          <w:spacing w:val="6"/>
          <w:sz w:val="23"/>
          <w:szCs w:val="23"/>
        </w:rPr>
        <w:t>”</w:t>
      </w:r>
      <w:r>
        <w:rPr>
          <w:rFonts w:ascii="宋体" w:hAnsi="宋体" w:eastAsia="宋体" w:cs="宋体"/>
          <w:spacing w:val="6"/>
          <w:sz w:val="23"/>
          <w:szCs w:val="23"/>
        </w:rPr>
        <w:t>规划》；</w:t>
      </w:r>
    </w:p>
    <w:p w14:paraId="142D6119">
      <w:pPr>
        <w:spacing w:before="182" w:line="227" w:lineRule="auto"/>
        <w:ind w:left="501"/>
        <w:rPr>
          <w:rFonts w:ascii="宋体" w:hAnsi="宋体" w:eastAsia="宋体" w:cs="宋体"/>
          <w:sz w:val="23"/>
          <w:szCs w:val="23"/>
        </w:rPr>
      </w:pPr>
      <w:r>
        <w:rPr>
          <w:rFonts w:ascii="宋体" w:hAnsi="宋体" w:eastAsia="宋体" w:cs="宋体"/>
          <w:spacing w:val="1"/>
          <w:sz w:val="23"/>
          <w:szCs w:val="23"/>
        </w:rPr>
        <w:t>(</w:t>
      </w:r>
      <w:r>
        <w:rPr>
          <w:rFonts w:ascii="Times New Roman" w:hAnsi="Times New Roman" w:eastAsia="Times New Roman" w:cs="Times New Roman"/>
          <w:spacing w:val="1"/>
          <w:sz w:val="23"/>
          <w:szCs w:val="23"/>
        </w:rPr>
        <w:t>17</w:t>
      </w:r>
      <w:r>
        <w:rPr>
          <w:rFonts w:ascii="宋体" w:hAnsi="宋体" w:eastAsia="宋体" w:cs="宋体"/>
          <w:spacing w:val="1"/>
          <w:sz w:val="23"/>
          <w:szCs w:val="23"/>
        </w:rPr>
        <w:t>)  《</w:t>
      </w:r>
      <w:r>
        <w:rPr>
          <w:rFonts w:ascii="宋体" w:hAnsi="宋体" w:eastAsia="宋体" w:cs="宋体"/>
          <w:sz w:val="23"/>
          <w:szCs w:val="23"/>
        </w:rPr>
        <w:t xml:space="preserve">畜禽养殖污染防治管理办法》  ( 总局令 第 </w:t>
      </w:r>
      <w:r>
        <w:rPr>
          <w:rFonts w:ascii="Times New Roman" w:hAnsi="Times New Roman" w:eastAsia="Times New Roman" w:cs="Times New Roman"/>
          <w:sz w:val="23"/>
          <w:szCs w:val="23"/>
        </w:rPr>
        <w:t xml:space="preserve">9 </w:t>
      </w:r>
      <w:r>
        <w:rPr>
          <w:rFonts w:ascii="宋体" w:hAnsi="宋体" w:eastAsia="宋体" w:cs="宋体"/>
          <w:sz w:val="23"/>
          <w:szCs w:val="23"/>
        </w:rPr>
        <w:t>号) ；</w:t>
      </w:r>
    </w:p>
    <w:p w14:paraId="2BF2B10F">
      <w:pPr>
        <w:spacing w:before="185" w:line="227" w:lineRule="auto"/>
        <w:ind w:left="501"/>
        <w:rPr>
          <w:rFonts w:ascii="宋体" w:hAnsi="宋体" w:eastAsia="宋体" w:cs="宋体"/>
          <w:sz w:val="23"/>
          <w:szCs w:val="23"/>
        </w:rPr>
      </w:pPr>
      <w:r>
        <w:rPr>
          <w:rFonts w:ascii="宋体" w:hAnsi="宋体" w:eastAsia="宋体" w:cs="宋体"/>
          <w:spacing w:val="-2"/>
          <w:sz w:val="23"/>
          <w:szCs w:val="23"/>
        </w:rPr>
        <w:t>(</w:t>
      </w:r>
      <w:r>
        <w:rPr>
          <w:rFonts w:ascii="Times New Roman" w:hAnsi="Times New Roman" w:eastAsia="Times New Roman" w:cs="Times New Roman"/>
          <w:spacing w:val="-2"/>
          <w:sz w:val="23"/>
          <w:szCs w:val="23"/>
        </w:rPr>
        <w:t>18</w:t>
      </w:r>
      <w:r>
        <w:rPr>
          <w:rFonts w:ascii="宋体" w:hAnsi="宋体" w:eastAsia="宋体" w:cs="宋体"/>
          <w:spacing w:val="-2"/>
          <w:sz w:val="23"/>
          <w:szCs w:val="23"/>
        </w:rPr>
        <w:t>)  《规模畜禽养殖场污染防治</w:t>
      </w:r>
      <w:r>
        <w:rPr>
          <w:rFonts w:ascii="宋体" w:hAnsi="宋体" w:eastAsia="宋体" w:cs="宋体"/>
          <w:spacing w:val="-1"/>
          <w:sz w:val="23"/>
          <w:szCs w:val="23"/>
        </w:rPr>
        <w:t>最佳可行技术指南 (试行) 》  (</w:t>
      </w:r>
      <w:r>
        <w:rPr>
          <w:rFonts w:ascii="Times New Roman" w:hAnsi="Times New Roman" w:eastAsia="Times New Roman" w:cs="Times New Roman"/>
          <w:spacing w:val="-1"/>
          <w:sz w:val="23"/>
          <w:szCs w:val="23"/>
        </w:rPr>
        <w:t>HJ-BAT- 10</w:t>
      </w:r>
      <w:r>
        <w:rPr>
          <w:rFonts w:ascii="宋体" w:hAnsi="宋体" w:eastAsia="宋体" w:cs="宋体"/>
          <w:spacing w:val="-1"/>
          <w:sz w:val="23"/>
          <w:szCs w:val="23"/>
        </w:rPr>
        <w:t>) ；</w:t>
      </w:r>
    </w:p>
    <w:p w14:paraId="187F500A">
      <w:pPr>
        <w:spacing w:before="140" w:line="323" w:lineRule="exact"/>
        <w:ind w:left="501"/>
        <w:rPr>
          <w:rFonts w:ascii="宋体" w:hAnsi="宋体" w:eastAsia="宋体" w:cs="宋体"/>
          <w:sz w:val="23"/>
          <w:szCs w:val="23"/>
        </w:rPr>
      </w:pPr>
      <w:r>
        <w:rPr>
          <w:rFonts w:ascii="宋体" w:hAnsi="宋体" w:eastAsia="宋体" w:cs="宋体"/>
          <w:spacing w:val="3"/>
          <w:position w:val="1"/>
          <w:sz w:val="23"/>
          <w:szCs w:val="23"/>
        </w:rPr>
        <w:t>(</w:t>
      </w:r>
      <w:r>
        <w:rPr>
          <w:rFonts w:ascii="Times New Roman" w:hAnsi="Times New Roman" w:eastAsia="Times New Roman" w:cs="Times New Roman"/>
          <w:spacing w:val="3"/>
          <w:position w:val="1"/>
          <w:sz w:val="23"/>
          <w:szCs w:val="23"/>
        </w:rPr>
        <w:t>19</w:t>
      </w:r>
      <w:r>
        <w:rPr>
          <w:rFonts w:ascii="宋体" w:hAnsi="宋体" w:eastAsia="宋体" w:cs="宋体"/>
          <w:spacing w:val="3"/>
          <w:position w:val="1"/>
          <w:sz w:val="23"/>
          <w:szCs w:val="23"/>
        </w:rPr>
        <w:t>)  《畜禽粪便还田技术规范》  (</w:t>
      </w:r>
      <w:r>
        <w:rPr>
          <w:rFonts w:ascii="Times New Roman" w:hAnsi="Times New Roman" w:eastAsia="Times New Roman" w:cs="Times New Roman"/>
          <w:position w:val="1"/>
          <w:sz w:val="23"/>
          <w:szCs w:val="23"/>
        </w:rPr>
        <w:t>GB</w:t>
      </w:r>
      <w:r>
        <w:rPr>
          <w:rFonts w:ascii="Times New Roman" w:hAnsi="Times New Roman" w:eastAsia="Times New Roman" w:cs="Times New Roman"/>
          <w:spacing w:val="3"/>
          <w:position w:val="1"/>
          <w:sz w:val="23"/>
          <w:szCs w:val="23"/>
        </w:rPr>
        <w:t>/</w:t>
      </w:r>
      <w:r>
        <w:rPr>
          <w:rFonts w:ascii="Times New Roman" w:hAnsi="Times New Roman" w:eastAsia="Times New Roman" w:cs="Times New Roman"/>
          <w:position w:val="1"/>
          <w:sz w:val="23"/>
          <w:szCs w:val="23"/>
        </w:rPr>
        <w:t>T</w:t>
      </w:r>
      <w:r>
        <w:rPr>
          <w:rFonts w:ascii="Times New Roman" w:hAnsi="Times New Roman" w:eastAsia="Times New Roman" w:cs="Times New Roman"/>
          <w:spacing w:val="3"/>
          <w:position w:val="1"/>
          <w:sz w:val="23"/>
          <w:szCs w:val="23"/>
        </w:rPr>
        <w:t>25246-2010</w:t>
      </w:r>
      <w:r>
        <w:rPr>
          <w:rFonts w:ascii="宋体" w:hAnsi="宋体" w:eastAsia="宋体" w:cs="宋体"/>
          <w:spacing w:val="3"/>
          <w:position w:val="1"/>
          <w:sz w:val="23"/>
          <w:szCs w:val="23"/>
        </w:rPr>
        <w:t xml:space="preserve">) </w:t>
      </w:r>
      <w:r>
        <w:rPr>
          <w:rFonts w:ascii="宋体" w:hAnsi="宋体" w:eastAsia="宋体" w:cs="宋体"/>
          <w:spacing w:val="1"/>
          <w:position w:val="1"/>
          <w:sz w:val="23"/>
          <w:szCs w:val="23"/>
        </w:rPr>
        <w:t>；</w:t>
      </w:r>
    </w:p>
    <w:p w14:paraId="672E3CF6">
      <w:pPr>
        <w:spacing w:before="188" w:line="227" w:lineRule="auto"/>
        <w:ind w:left="501"/>
        <w:rPr>
          <w:rFonts w:ascii="宋体" w:hAnsi="宋体" w:eastAsia="宋体" w:cs="宋体"/>
          <w:sz w:val="23"/>
          <w:szCs w:val="23"/>
        </w:rPr>
      </w:pPr>
      <w:r>
        <w:rPr>
          <w:rFonts w:ascii="宋体" w:hAnsi="宋体" w:eastAsia="宋体" w:cs="宋体"/>
          <w:spacing w:val="-2"/>
          <w:sz w:val="23"/>
          <w:szCs w:val="23"/>
        </w:rPr>
        <w:t>(</w:t>
      </w:r>
      <w:r>
        <w:rPr>
          <w:rFonts w:ascii="Times New Roman" w:hAnsi="Times New Roman" w:eastAsia="Times New Roman" w:cs="Times New Roman"/>
          <w:spacing w:val="-2"/>
          <w:sz w:val="23"/>
          <w:szCs w:val="23"/>
        </w:rPr>
        <w:t>20</w:t>
      </w:r>
      <w:r>
        <w:rPr>
          <w:rFonts w:ascii="宋体" w:hAnsi="宋体" w:eastAsia="宋体" w:cs="宋体"/>
          <w:spacing w:val="-2"/>
          <w:sz w:val="23"/>
          <w:szCs w:val="23"/>
        </w:rPr>
        <w:t>)  《国家危险废</w:t>
      </w:r>
      <w:r>
        <w:rPr>
          <w:rFonts w:ascii="宋体" w:hAnsi="宋体" w:eastAsia="宋体" w:cs="宋体"/>
          <w:spacing w:val="-1"/>
          <w:sz w:val="23"/>
          <w:szCs w:val="23"/>
        </w:rPr>
        <w:t xml:space="preserve">物名录》  (部令 第 </w:t>
      </w:r>
      <w:r>
        <w:rPr>
          <w:rFonts w:ascii="Times New Roman" w:hAnsi="Times New Roman" w:eastAsia="Times New Roman" w:cs="Times New Roman"/>
          <w:spacing w:val="-1"/>
          <w:sz w:val="23"/>
          <w:szCs w:val="23"/>
        </w:rPr>
        <w:t xml:space="preserve">39 </w:t>
      </w:r>
      <w:r>
        <w:rPr>
          <w:rFonts w:ascii="宋体" w:hAnsi="宋体" w:eastAsia="宋体" w:cs="宋体"/>
          <w:spacing w:val="-1"/>
          <w:sz w:val="23"/>
          <w:szCs w:val="23"/>
        </w:rPr>
        <w:t xml:space="preserve">号 </w:t>
      </w:r>
      <w:r>
        <w:rPr>
          <w:rFonts w:ascii="Times New Roman" w:hAnsi="Times New Roman" w:eastAsia="Times New Roman" w:cs="Times New Roman"/>
          <w:spacing w:val="-1"/>
          <w:sz w:val="23"/>
          <w:szCs w:val="23"/>
        </w:rPr>
        <w:t xml:space="preserve">2016 </w:t>
      </w:r>
      <w:r>
        <w:rPr>
          <w:rFonts w:ascii="宋体" w:hAnsi="宋体" w:eastAsia="宋体" w:cs="宋体"/>
          <w:spacing w:val="-1"/>
          <w:sz w:val="23"/>
          <w:szCs w:val="23"/>
        </w:rPr>
        <w:t xml:space="preserve">年 </w:t>
      </w:r>
      <w:r>
        <w:rPr>
          <w:rFonts w:ascii="Times New Roman" w:hAnsi="Times New Roman" w:eastAsia="Times New Roman" w:cs="Times New Roman"/>
          <w:spacing w:val="-1"/>
          <w:sz w:val="23"/>
          <w:szCs w:val="23"/>
        </w:rPr>
        <w:t xml:space="preserve">8 </w:t>
      </w:r>
      <w:r>
        <w:rPr>
          <w:rFonts w:ascii="宋体" w:hAnsi="宋体" w:eastAsia="宋体" w:cs="宋体"/>
          <w:spacing w:val="-1"/>
          <w:sz w:val="23"/>
          <w:szCs w:val="23"/>
        </w:rPr>
        <w:t xml:space="preserve">月 </w:t>
      </w:r>
      <w:r>
        <w:rPr>
          <w:rFonts w:ascii="Times New Roman" w:hAnsi="Times New Roman" w:eastAsia="Times New Roman" w:cs="Times New Roman"/>
          <w:spacing w:val="-1"/>
          <w:sz w:val="23"/>
          <w:szCs w:val="23"/>
        </w:rPr>
        <w:t xml:space="preserve">1 </w:t>
      </w:r>
      <w:r>
        <w:rPr>
          <w:rFonts w:ascii="宋体" w:hAnsi="宋体" w:eastAsia="宋体" w:cs="宋体"/>
          <w:spacing w:val="-1"/>
          <w:sz w:val="23"/>
          <w:szCs w:val="23"/>
        </w:rPr>
        <w:t>日实施) 。</w:t>
      </w:r>
    </w:p>
    <w:p w14:paraId="73E5A572">
      <w:pPr>
        <w:spacing w:before="185" w:line="226" w:lineRule="auto"/>
        <w:ind w:left="501"/>
        <w:rPr>
          <w:rFonts w:ascii="宋体" w:hAnsi="宋体" w:eastAsia="宋体" w:cs="宋体"/>
          <w:sz w:val="23"/>
          <w:szCs w:val="23"/>
        </w:rPr>
      </w:pPr>
      <w:r>
        <w:rPr>
          <w:rFonts w:ascii="宋体" w:hAnsi="宋体" w:eastAsia="宋体" w:cs="宋体"/>
          <w:spacing w:val="10"/>
          <w:sz w:val="23"/>
          <w:szCs w:val="23"/>
        </w:rPr>
        <w:t>(</w:t>
      </w:r>
      <w:r>
        <w:rPr>
          <w:rFonts w:ascii="Times New Roman" w:hAnsi="Times New Roman" w:eastAsia="Times New Roman" w:cs="Times New Roman"/>
          <w:spacing w:val="10"/>
          <w:sz w:val="23"/>
          <w:szCs w:val="23"/>
        </w:rPr>
        <w:t>21</w:t>
      </w:r>
      <w:r>
        <w:rPr>
          <w:rFonts w:ascii="宋体" w:hAnsi="宋体" w:eastAsia="宋体" w:cs="宋体"/>
          <w:spacing w:val="10"/>
          <w:sz w:val="23"/>
          <w:szCs w:val="23"/>
        </w:rPr>
        <w:t>)</w:t>
      </w:r>
      <w:r>
        <w:rPr>
          <w:rFonts w:ascii="宋体" w:hAnsi="宋体" w:eastAsia="宋体" w:cs="宋体"/>
          <w:spacing w:val="9"/>
          <w:sz w:val="23"/>
          <w:szCs w:val="23"/>
        </w:rPr>
        <w:t xml:space="preserve"> </w:t>
      </w:r>
      <w:r>
        <w:rPr>
          <w:rFonts w:ascii="宋体" w:hAnsi="宋体" w:eastAsia="宋体" w:cs="宋体"/>
          <w:spacing w:val="5"/>
          <w:sz w:val="23"/>
          <w:szCs w:val="23"/>
        </w:rPr>
        <w:t xml:space="preserve">建设项目危险废物环境影响评价指南 (环境保护部公告 </w:t>
      </w:r>
      <w:r>
        <w:rPr>
          <w:rFonts w:ascii="Times New Roman" w:hAnsi="Times New Roman" w:eastAsia="Times New Roman" w:cs="Times New Roman"/>
          <w:spacing w:val="5"/>
          <w:sz w:val="23"/>
          <w:szCs w:val="23"/>
        </w:rPr>
        <w:t xml:space="preserve">2017 </w:t>
      </w:r>
      <w:r>
        <w:rPr>
          <w:rFonts w:ascii="宋体" w:hAnsi="宋体" w:eastAsia="宋体" w:cs="宋体"/>
          <w:spacing w:val="5"/>
          <w:sz w:val="23"/>
          <w:szCs w:val="23"/>
        </w:rPr>
        <w:t xml:space="preserve">年第 </w:t>
      </w:r>
      <w:r>
        <w:rPr>
          <w:rFonts w:ascii="Times New Roman" w:hAnsi="Times New Roman" w:eastAsia="Times New Roman" w:cs="Times New Roman"/>
          <w:spacing w:val="5"/>
          <w:sz w:val="23"/>
          <w:szCs w:val="23"/>
        </w:rPr>
        <w:t xml:space="preserve">43 </w:t>
      </w:r>
      <w:r>
        <w:rPr>
          <w:rFonts w:ascii="宋体" w:hAnsi="宋体" w:eastAsia="宋体" w:cs="宋体"/>
          <w:spacing w:val="5"/>
          <w:sz w:val="23"/>
          <w:szCs w:val="23"/>
        </w:rPr>
        <w:t>号)</w:t>
      </w:r>
    </w:p>
    <w:p w14:paraId="4C08FED3">
      <w:pPr>
        <w:spacing w:before="185" w:line="227" w:lineRule="auto"/>
        <w:ind w:left="16"/>
        <w:outlineLvl w:val="2"/>
        <w:rPr>
          <w:rFonts w:ascii="宋体" w:hAnsi="宋体" w:eastAsia="宋体" w:cs="宋体"/>
          <w:sz w:val="23"/>
          <w:szCs w:val="23"/>
        </w:rPr>
      </w:pPr>
      <w:r>
        <w:rPr>
          <w:rFonts w:ascii="Times New Roman" w:hAnsi="Times New Roman" w:eastAsia="Times New Roman" w:cs="Times New Roman"/>
          <w:b/>
          <w:bCs/>
          <w:spacing w:val="12"/>
          <w:sz w:val="23"/>
          <w:szCs w:val="23"/>
        </w:rPr>
        <w:t>1</w:t>
      </w:r>
      <w:r>
        <w:rPr>
          <w:rFonts w:ascii="Times New Roman" w:hAnsi="Times New Roman" w:eastAsia="Times New Roman" w:cs="Times New Roman"/>
          <w:b/>
          <w:bCs/>
          <w:spacing w:val="6"/>
          <w:sz w:val="23"/>
          <w:szCs w:val="23"/>
        </w:rPr>
        <w:t>.1.6</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地方性法规和文件</w:t>
      </w:r>
    </w:p>
    <w:p w14:paraId="1024BA99">
      <w:pPr>
        <w:spacing w:before="182" w:line="227" w:lineRule="auto"/>
        <w:ind w:left="501"/>
        <w:rPr>
          <w:rFonts w:ascii="宋体" w:hAnsi="宋体" w:eastAsia="宋体" w:cs="宋体"/>
          <w:sz w:val="23"/>
          <w:szCs w:val="23"/>
        </w:rPr>
      </w:pPr>
      <w:r>
        <w:rPr>
          <w:rFonts w:ascii="宋体" w:hAnsi="宋体" w:eastAsia="宋体" w:cs="宋体"/>
          <w:spacing w:val="23"/>
          <w:sz w:val="23"/>
          <w:szCs w:val="23"/>
        </w:rPr>
        <w:t>(</w:t>
      </w:r>
      <w:r>
        <w:rPr>
          <w:rFonts w:ascii="Times New Roman" w:hAnsi="Times New Roman" w:eastAsia="Times New Roman" w:cs="Times New Roman"/>
          <w:spacing w:val="14"/>
          <w:sz w:val="23"/>
          <w:szCs w:val="23"/>
        </w:rPr>
        <w:t>1</w:t>
      </w:r>
      <w:r>
        <w:rPr>
          <w:rFonts w:ascii="宋体" w:hAnsi="宋体" w:eastAsia="宋体" w:cs="宋体"/>
          <w:spacing w:val="14"/>
          <w:sz w:val="23"/>
          <w:szCs w:val="23"/>
        </w:rPr>
        <w:t>) 本项目环评工作委托书；</w:t>
      </w:r>
    </w:p>
    <w:p w14:paraId="6C17402B">
      <w:pPr>
        <w:spacing w:before="186" w:line="227" w:lineRule="auto"/>
        <w:ind w:left="501"/>
        <w:rPr>
          <w:rFonts w:ascii="宋体" w:hAnsi="宋体" w:eastAsia="宋体" w:cs="宋体"/>
          <w:sz w:val="23"/>
          <w:szCs w:val="23"/>
        </w:rPr>
      </w:pPr>
      <w:r>
        <w:rPr>
          <w:rFonts w:ascii="宋体" w:hAnsi="宋体" w:eastAsia="宋体" w:cs="宋体"/>
          <w:spacing w:val="23"/>
          <w:sz w:val="23"/>
          <w:szCs w:val="23"/>
        </w:rPr>
        <w:t>(</w:t>
      </w:r>
      <w:r>
        <w:rPr>
          <w:rFonts w:ascii="Times New Roman" w:hAnsi="Times New Roman" w:eastAsia="Times New Roman" w:cs="Times New Roman"/>
          <w:spacing w:val="17"/>
          <w:sz w:val="23"/>
          <w:szCs w:val="23"/>
        </w:rPr>
        <w:t>2</w:t>
      </w:r>
      <w:r>
        <w:rPr>
          <w:rFonts w:ascii="宋体" w:hAnsi="宋体" w:eastAsia="宋体" w:cs="宋体"/>
          <w:spacing w:val="17"/>
          <w:sz w:val="23"/>
          <w:szCs w:val="23"/>
        </w:rPr>
        <w:t>) 立项文件；</w:t>
      </w:r>
    </w:p>
    <w:p w14:paraId="5305A17D">
      <w:pPr>
        <w:spacing w:before="185" w:line="227" w:lineRule="auto"/>
        <w:ind w:left="501"/>
        <w:rPr>
          <w:rFonts w:ascii="宋体" w:hAnsi="宋体" w:eastAsia="宋体" w:cs="宋体"/>
          <w:sz w:val="23"/>
          <w:szCs w:val="23"/>
        </w:rPr>
      </w:pPr>
      <w:r>
        <w:rPr>
          <w:rFonts w:ascii="宋体" w:hAnsi="宋体" w:eastAsia="宋体" w:cs="宋体"/>
          <w:spacing w:val="14"/>
          <w:sz w:val="23"/>
          <w:szCs w:val="23"/>
        </w:rPr>
        <w:t>(</w:t>
      </w:r>
      <w:r>
        <w:rPr>
          <w:rFonts w:ascii="Times New Roman" w:hAnsi="Times New Roman" w:eastAsia="Times New Roman" w:cs="Times New Roman"/>
          <w:spacing w:val="14"/>
          <w:sz w:val="23"/>
          <w:szCs w:val="23"/>
        </w:rPr>
        <w:t>3</w:t>
      </w:r>
      <w:r>
        <w:rPr>
          <w:rFonts w:ascii="宋体" w:hAnsi="宋体" w:eastAsia="宋体" w:cs="宋体"/>
          <w:spacing w:val="14"/>
          <w:sz w:val="23"/>
          <w:szCs w:val="23"/>
        </w:rPr>
        <w:t>) 与项目有关的其他资料和文件</w:t>
      </w:r>
      <w:r>
        <w:rPr>
          <w:rFonts w:ascii="宋体" w:hAnsi="宋体" w:eastAsia="宋体" w:cs="宋体"/>
          <w:spacing w:val="11"/>
          <w:sz w:val="23"/>
          <w:szCs w:val="23"/>
        </w:rPr>
        <w:t>。</w:t>
      </w:r>
    </w:p>
    <w:p w14:paraId="1A111998">
      <w:pPr>
        <w:spacing w:before="188" w:line="221" w:lineRule="auto"/>
        <w:ind w:left="19"/>
        <w:outlineLvl w:val="1"/>
        <w:rPr>
          <w:rFonts w:ascii="宋体" w:hAnsi="宋体" w:eastAsia="宋体" w:cs="宋体"/>
          <w:sz w:val="28"/>
          <w:szCs w:val="28"/>
        </w:rPr>
      </w:pPr>
      <w:bookmarkStart w:id="8" w:name="_bookmark9"/>
      <w:bookmarkEnd w:id="8"/>
      <w:r>
        <w:rPr>
          <w:rFonts w:ascii="Times New Roman" w:hAnsi="Times New Roman" w:eastAsia="Times New Roman" w:cs="Times New Roman"/>
          <w:b/>
          <w:bCs/>
          <w:spacing w:val="-1"/>
          <w:sz w:val="28"/>
          <w:szCs w:val="28"/>
        </w:rPr>
        <w:t>1.2</w:t>
      </w:r>
      <w:r>
        <w:rPr>
          <w:rFonts w:ascii="Times New Roman" w:hAnsi="Times New Roman" w:eastAsia="Times New Roman" w:cs="Times New Roman"/>
          <w:spacing w:val="-1"/>
          <w:sz w:val="28"/>
          <w:szCs w:val="28"/>
        </w:rPr>
        <w:t xml:space="preserve">  </w:t>
      </w:r>
      <w:r>
        <w:rPr>
          <w:rFonts w:ascii="宋体" w:hAnsi="宋体" w:eastAsia="宋体" w:cs="宋体"/>
          <w:spacing w:val="-1"/>
          <w:sz w:val="28"/>
          <w:szCs w:val="28"/>
          <w14:textOutline w14:w="5105" w14:cap="sq" w14:cmpd="sng" w14:algn="ctr">
            <w14:solidFill>
              <w14:srgbClr w14:val="000000"/>
            </w14:solidFill>
            <w14:prstDash w14:val="solid"/>
            <w14:bevel/>
          </w14:textOutline>
        </w:rPr>
        <w:t>区域环境功</w:t>
      </w:r>
      <w:r>
        <w:rPr>
          <w:rFonts w:ascii="宋体" w:hAnsi="宋体" w:eastAsia="宋体" w:cs="宋体"/>
          <w:sz w:val="28"/>
          <w:szCs w:val="28"/>
          <w14:textOutline w14:w="5105" w14:cap="sq" w14:cmpd="sng" w14:algn="ctr">
            <w14:solidFill>
              <w14:srgbClr w14:val="000000"/>
            </w14:solidFill>
            <w14:prstDash w14:val="solid"/>
            <w14:bevel/>
          </w14:textOutline>
        </w:rPr>
        <w:t>能区划</w:t>
      </w:r>
    </w:p>
    <w:p w14:paraId="1D0FA640">
      <w:pPr>
        <w:spacing w:before="205" w:line="227" w:lineRule="auto"/>
        <w:ind w:left="490"/>
        <w:rPr>
          <w:rFonts w:ascii="宋体" w:hAnsi="宋体" w:eastAsia="宋体" w:cs="宋体"/>
          <w:sz w:val="23"/>
          <w:szCs w:val="23"/>
        </w:rPr>
      </w:pPr>
      <w:r>
        <w:rPr>
          <w:rFonts w:ascii="宋体" w:hAnsi="宋体" w:eastAsia="宋体" w:cs="宋体"/>
          <w:spacing w:val="16"/>
          <w:sz w:val="23"/>
          <w:szCs w:val="23"/>
        </w:rPr>
        <w:t>根</w:t>
      </w:r>
      <w:r>
        <w:rPr>
          <w:rFonts w:ascii="宋体" w:hAnsi="宋体" w:eastAsia="宋体" w:cs="宋体"/>
          <w:spacing w:val="9"/>
          <w:sz w:val="23"/>
          <w:szCs w:val="23"/>
        </w:rPr>
        <w:t>据项目所在地功能区划，评价区域相应环境功能区划如下：</w:t>
      </w:r>
    </w:p>
    <w:p w14:paraId="7C69AA68">
      <w:pPr>
        <w:spacing w:before="184" w:line="228" w:lineRule="auto"/>
        <w:ind w:left="50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1</w:t>
      </w:r>
      <w:r>
        <w:rPr>
          <w:rFonts w:ascii="宋体" w:hAnsi="宋体" w:eastAsia="宋体" w:cs="宋体"/>
          <w:spacing w:val="20"/>
          <w:sz w:val="23"/>
          <w:szCs w:val="23"/>
        </w:rPr>
        <w:t>) 空气环</w:t>
      </w:r>
      <w:r>
        <w:rPr>
          <w:rFonts w:ascii="宋体" w:hAnsi="宋体" w:eastAsia="宋体" w:cs="宋体"/>
          <w:spacing w:val="19"/>
          <w:sz w:val="23"/>
          <w:szCs w:val="23"/>
        </w:rPr>
        <w:t>境</w:t>
      </w:r>
    </w:p>
    <w:p w14:paraId="7CBB4AB8">
      <w:pPr>
        <w:spacing w:before="182" w:line="375" w:lineRule="auto"/>
        <w:ind w:left="9" w:right="150" w:firstLine="481"/>
        <w:rPr>
          <w:rFonts w:ascii="宋体" w:hAnsi="宋体" w:eastAsia="宋体" w:cs="宋体"/>
          <w:sz w:val="23"/>
          <w:szCs w:val="23"/>
        </w:rPr>
      </w:pPr>
      <w:r>
        <w:rPr>
          <w:rFonts w:ascii="宋体" w:hAnsi="宋体" w:eastAsia="宋体" w:cs="宋体"/>
          <w:spacing w:val="7"/>
          <w:sz w:val="23"/>
          <w:szCs w:val="23"/>
        </w:rPr>
        <w:t xml:space="preserve">本项目拟建地址位于井研县周坡镇周坡村 </w:t>
      </w:r>
      <w:r>
        <w:rPr>
          <w:rFonts w:ascii="Times New Roman" w:hAnsi="Times New Roman" w:eastAsia="Times New Roman" w:cs="Times New Roman"/>
          <w:spacing w:val="7"/>
          <w:sz w:val="23"/>
          <w:szCs w:val="23"/>
        </w:rPr>
        <w:t xml:space="preserve">7 </w:t>
      </w:r>
      <w:r>
        <w:rPr>
          <w:rFonts w:ascii="宋体" w:hAnsi="宋体" w:eastAsia="宋体" w:cs="宋体"/>
          <w:spacing w:val="7"/>
          <w:sz w:val="23"/>
          <w:szCs w:val="23"/>
        </w:rPr>
        <w:t xml:space="preserve">组、龙桥村 </w:t>
      </w:r>
      <w:r>
        <w:rPr>
          <w:rFonts w:ascii="Times New Roman" w:hAnsi="Times New Roman" w:eastAsia="Times New Roman" w:cs="Times New Roman"/>
          <w:spacing w:val="7"/>
          <w:sz w:val="23"/>
          <w:szCs w:val="23"/>
        </w:rPr>
        <w:t xml:space="preserve">2 </w:t>
      </w:r>
      <w:r>
        <w:rPr>
          <w:rFonts w:ascii="宋体" w:hAnsi="宋体" w:eastAsia="宋体" w:cs="宋体"/>
          <w:spacing w:val="7"/>
          <w:sz w:val="23"/>
          <w:szCs w:val="23"/>
        </w:rPr>
        <w:t>组，评价区内无自</w:t>
      </w:r>
      <w:r>
        <w:rPr>
          <w:rFonts w:ascii="宋体" w:hAnsi="宋体" w:eastAsia="宋体" w:cs="宋体"/>
          <w:spacing w:val="1"/>
          <w:sz w:val="23"/>
          <w:szCs w:val="23"/>
        </w:rPr>
        <w:t>然</w:t>
      </w:r>
      <w:r>
        <w:rPr>
          <w:rFonts w:ascii="宋体" w:hAnsi="宋体" w:eastAsia="宋体" w:cs="宋体"/>
          <w:sz w:val="23"/>
          <w:szCs w:val="23"/>
        </w:rPr>
        <w:t xml:space="preserve"> </w:t>
      </w:r>
      <w:r>
        <w:rPr>
          <w:rFonts w:ascii="宋体" w:hAnsi="宋体" w:eastAsia="宋体" w:cs="宋体"/>
          <w:spacing w:val="12"/>
          <w:sz w:val="23"/>
          <w:szCs w:val="23"/>
        </w:rPr>
        <w:t>保</w:t>
      </w:r>
      <w:r>
        <w:rPr>
          <w:rFonts w:ascii="宋体" w:hAnsi="宋体" w:eastAsia="宋体" w:cs="宋体"/>
          <w:spacing w:val="11"/>
          <w:sz w:val="23"/>
          <w:szCs w:val="23"/>
        </w:rPr>
        <w:t>护区、风景名胜区和其他需要特殊保护的区域，根据井研县生态环境局出具的环</w:t>
      </w:r>
      <w:r>
        <w:rPr>
          <w:rFonts w:ascii="宋体" w:hAnsi="宋体" w:eastAsia="宋体" w:cs="宋体"/>
          <w:sz w:val="23"/>
          <w:szCs w:val="23"/>
        </w:rPr>
        <w:t xml:space="preserve"> </w:t>
      </w:r>
      <w:r>
        <w:rPr>
          <w:rFonts w:ascii="宋体" w:hAnsi="宋体" w:eastAsia="宋体" w:cs="宋体"/>
          <w:spacing w:val="9"/>
          <w:sz w:val="23"/>
          <w:szCs w:val="23"/>
        </w:rPr>
        <w:t>评执行标准函，环境空气功能区为二类区。</w:t>
      </w:r>
    </w:p>
    <w:p w14:paraId="382E6743">
      <w:pPr>
        <w:spacing w:line="227" w:lineRule="auto"/>
        <w:ind w:left="501"/>
        <w:rPr>
          <w:rFonts w:ascii="宋体" w:hAnsi="宋体" w:eastAsia="宋体" w:cs="宋体"/>
          <w:sz w:val="23"/>
          <w:szCs w:val="23"/>
        </w:rPr>
      </w:pPr>
      <w:r>
        <w:rPr>
          <w:rFonts w:ascii="宋体" w:hAnsi="宋体" w:eastAsia="宋体" w:cs="宋体"/>
          <w:spacing w:val="25"/>
          <w:sz w:val="23"/>
          <w:szCs w:val="23"/>
        </w:rPr>
        <w:t>(</w:t>
      </w:r>
      <w:r>
        <w:rPr>
          <w:rFonts w:ascii="Times New Roman" w:hAnsi="Times New Roman" w:eastAsia="Times New Roman" w:cs="Times New Roman"/>
          <w:spacing w:val="18"/>
          <w:sz w:val="23"/>
          <w:szCs w:val="23"/>
        </w:rPr>
        <w:t>2</w:t>
      </w:r>
      <w:r>
        <w:rPr>
          <w:rFonts w:ascii="宋体" w:hAnsi="宋体" w:eastAsia="宋体" w:cs="宋体"/>
          <w:spacing w:val="18"/>
          <w:sz w:val="23"/>
          <w:szCs w:val="23"/>
        </w:rPr>
        <w:t>) 地表水环境</w:t>
      </w:r>
    </w:p>
    <w:p w14:paraId="673C36E6">
      <w:pPr>
        <w:spacing w:before="183" w:line="468" w:lineRule="exact"/>
        <w:ind w:left="494"/>
        <w:rPr>
          <w:rFonts w:ascii="宋体" w:hAnsi="宋体" w:eastAsia="宋体" w:cs="宋体"/>
          <w:sz w:val="23"/>
          <w:szCs w:val="23"/>
        </w:rPr>
      </w:pPr>
      <w:r>
        <w:rPr>
          <w:rFonts w:ascii="宋体" w:hAnsi="宋体" w:eastAsia="宋体" w:cs="宋体"/>
          <w:spacing w:val="10"/>
          <w:position w:val="17"/>
          <w:sz w:val="23"/>
          <w:szCs w:val="23"/>
        </w:rPr>
        <w:t>项目</w:t>
      </w:r>
      <w:r>
        <w:rPr>
          <w:rFonts w:ascii="宋体" w:hAnsi="宋体" w:eastAsia="宋体" w:cs="宋体"/>
          <w:spacing w:val="7"/>
          <w:position w:val="17"/>
          <w:sz w:val="23"/>
          <w:szCs w:val="23"/>
        </w:rPr>
        <w:t>区</w:t>
      </w:r>
      <w:r>
        <w:rPr>
          <w:rFonts w:ascii="宋体" w:hAnsi="宋体" w:eastAsia="宋体" w:cs="宋体"/>
          <w:spacing w:val="5"/>
          <w:position w:val="17"/>
          <w:sz w:val="23"/>
          <w:szCs w:val="23"/>
        </w:rPr>
        <w:t xml:space="preserve">域地表水体按地表水 </w:t>
      </w:r>
      <w:r>
        <w:rPr>
          <w:rFonts w:ascii="Times New Roman" w:hAnsi="Times New Roman" w:eastAsia="Times New Roman" w:cs="Times New Roman"/>
          <w:position w:val="17"/>
          <w:sz w:val="23"/>
          <w:szCs w:val="23"/>
        </w:rPr>
        <w:t>III</w:t>
      </w:r>
      <w:r>
        <w:rPr>
          <w:rFonts w:ascii="Times New Roman" w:hAnsi="Times New Roman" w:eastAsia="Times New Roman" w:cs="Times New Roman"/>
          <w:spacing w:val="5"/>
          <w:position w:val="17"/>
          <w:sz w:val="23"/>
          <w:szCs w:val="23"/>
        </w:rPr>
        <w:t xml:space="preserve"> </w:t>
      </w:r>
      <w:r>
        <w:rPr>
          <w:rFonts w:ascii="宋体" w:hAnsi="宋体" w:eastAsia="宋体" w:cs="宋体"/>
          <w:spacing w:val="5"/>
          <w:position w:val="17"/>
          <w:sz w:val="23"/>
          <w:szCs w:val="23"/>
        </w:rPr>
        <w:t>类水体执行。</w:t>
      </w:r>
    </w:p>
    <w:p w14:paraId="0C13134A">
      <w:pPr>
        <w:spacing w:line="227" w:lineRule="auto"/>
        <w:ind w:left="501"/>
        <w:rPr>
          <w:rFonts w:ascii="宋体" w:hAnsi="宋体" w:eastAsia="宋体" w:cs="宋体"/>
          <w:sz w:val="23"/>
          <w:szCs w:val="23"/>
        </w:rPr>
      </w:pPr>
      <w:r>
        <w:rPr>
          <w:rFonts w:ascii="宋体" w:hAnsi="宋体" w:eastAsia="宋体" w:cs="宋体"/>
          <w:spacing w:val="25"/>
          <w:sz w:val="23"/>
          <w:szCs w:val="23"/>
        </w:rPr>
        <w:t>(</w:t>
      </w:r>
      <w:r>
        <w:rPr>
          <w:rFonts w:ascii="Times New Roman" w:hAnsi="Times New Roman" w:eastAsia="Times New Roman" w:cs="Times New Roman"/>
          <w:spacing w:val="18"/>
          <w:sz w:val="23"/>
          <w:szCs w:val="23"/>
        </w:rPr>
        <w:t>3</w:t>
      </w:r>
      <w:r>
        <w:rPr>
          <w:rFonts w:ascii="宋体" w:hAnsi="宋体" w:eastAsia="宋体" w:cs="宋体"/>
          <w:spacing w:val="18"/>
          <w:sz w:val="23"/>
          <w:szCs w:val="23"/>
        </w:rPr>
        <w:t>) 地下水环境</w:t>
      </w:r>
    </w:p>
    <w:p w14:paraId="52D7A96A">
      <w:pPr>
        <w:spacing w:before="182" w:line="226" w:lineRule="auto"/>
        <w:ind w:left="489"/>
        <w:rPr>
          <w:rFonts w:ascii="宋体" w:hAnsi="宋体" w:eastAsia="宋体" w:cs="宋体"/>
          <w:sz w:val="23"/>
          <w:szCs w:val="23"/>
        </w:rPr>
      </w:pPr>
      <w:r>
        <w:rPr>
          <w:rFonts w:ascii="宋体" w:hAnsi="宋体" w:eastAsia="宋体" w:cs="宋体"/>
          <w:spacing w:val="5"/>
          <w:sz w:val="23"/>
          <w:szCs w:val="23"/>
        </w:rPr>
        <w:t xml:space="preserve">评价区地下水环境功能属 </w:t>
      </w:r>
      <w:r>
        <w:rPr>
          <w:rFonts w:ascii="Times New Roman" w:hAnsi="Times New Roman" w:eastAsia="Times New Roman" w:cs="Times New Roman"/>
          <w:sz w:val="23"/>
          <w:szCs w:val="23"/>
        </w:rPr>
        <w:t>III</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类区</w:t>
      </w:r>
      <w:r>
        <w:rPr>
          <w:rFonts w:ascii="宋体" w:hAnsi="宋体" w:eastAsia="宋体" w:cs="宋体"/>
          <w:spacing w:val="1"/>
          <w:sz w:val="23"/>
          <w:szCs w:val="23"/>
        </w:rPr>
        <w:t>。</w:t>
      </w:r>
    </w:p>
    <w:p w14:paraId="368B35CE">
      <w:pPr>
        <w:sectPr>
          <w:headerReference r:id="rId20" w:type="default"/>
          <w:footerReference r:id="rId21" w:type="default"/>
          <w:pgSz w:w="11907" w:h="16840"/>
          <w:pgMar w:top="1153" w:right="1410" w:bottom="1277" w:left="1660" w:header="919" w:footer="1114" w:gutter="0"/>
          <w:cols w:space="720" w:num="1"/>
        </w:sectPr>
      </w:pPr>
    </w:p>
    <w:p w14:paraId="159BE1B3">
      <w:pPr>
        <w:spacing w:line="460" w:lineRule="auto"/>
      </w:pPr>
      <w:r>
        <w:pict>
          <v:shape id="_x0000_s2050" o:spid="_x0000_s2050" style="position:absolute;left:0pt;margin-left:83pt;margin-top:57.2pt;height:0.5pt;width:434.35pt;mso-position-horizontal-relative:page;mso-position-vertical-relative:page;z-index:251694080;mso-width-relative:page;mso-height-relative:page;" fillcolor="#000000" filled="t" stroked="f" coordsize="8687,10" o:allowincell="f" path="m0,0l8686,0,8686,9,0,9,0,0xe">
            <v:fill on="t" focussize="0,0"/>
            <v:stroke on="f"/>
            <v:imagedata o:title=""/>
            <o:lock v:ext="edit"/>
          </v:shape>
        </w:pict>
      </w:r>
    </w:p>
    <w:p w14:paraId="182E5CE8">
      <w:pPr>
        <w:spacing w:before="56" w:line="229" w:lineRule="auto"/>
        <w:ind w:left="520"/>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45AEF1B2">
      <w:pPr>
        <w:spacing w:before="66" w:line="228" w:lineRule="auto"/>
        <w:ind w:left="1014"/>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4</w:t>
      </w:r>
      <w:r>
        <w:rPr>
          <w:rFonts w:ascii="宋体" w:hAnsi="宋体" w:eastAsia="宋体" w:cs="宋体"/>
          <w:spacing w:val="20"/>
          <w:sz w:val="23"/>
          <w:szCs w:val="23"/>
        </w:rPr>
        <w:t>) 环境噪</w:t>
      </w:r>
      <w:r>
        <w:rPr>
          <w:rFonts w:ascii="宋体" w:hAnsi="宋体" w:eastAsia="宋体" w:cs="宋体"/>
          <w:spacing w:val="19"/>
          <w:sz w:val="23"/>
          <w:szCs w:val="23"/>
        </w:rPr>
        <w:t>声</w:t>
      </w:r>
    </w:p>
    <w:p w14:paraId="637B0318">
      <w:pPr>
        <w:spacing w:before="135" w:line="387" w:lineRule="auto"/>
        <w:ind w:left="540" w:right="511" w:firstLine="464"/>
        <w:rPr>
          <w:rFonts w:ascii="宋体" w:hAnsi="宋体" w:eastAsia="宋体" w:cs="宋体"/>
          <w:sz w:val="23"/>
          <w:szCs w:val="23"/>
        </w:rPr>
      </w:pPr>
      <w:r>
        <w:rPr>
          <w:rFonts w:ascii="宋体" w:hAnsi="宋体" w:eastAsia="宋体" w:cs="宋体"/>
          <w:spacing w:val="10"/>
          <w:sz w:val="23"/>
          <w:szCs w:val="23"/>
        </w:rPr>
        <w:t>参照《声环境</w:t>
      </w:r>
      <w:r>
        <w:rPr>
          <w:rFonts w:ascii="宋体" w:hAnsi="宋体" w:eastAsia="宋体" w:cs="宋体"/>
          <w:spacing w:val="6"/>
          <w:sz w:val="23"/>
          <w:szCs w:val="23"/>
        </w:rPr>
        <w:t>功</w:t>
      </w:r>
      <w:r>
        <w:rPr>
          <w:rFonts w:ascii="宋体" w:hAnsi="宋体" w:eastAsia="宋体" w:cs="宋体"/>
          <w:spacing w:val="5"/>
          <w:sz w:val="23"/>
          <w:szCs w:val="23"/>
        </w:rPr>
        <w:t>能区划分技术规范》  (</w:t>
      </w:r>
      <w:r>
        <w:rPr>
          <w:rFonts w:ascii="Times New Roman" w:hAnsi="Times New Roman" w:eastAsia="Times New Roman" w:cs="Times New Roman"/>
          <w:sz w:val="23"/>
          <w:szCs w:val="23"/>
        </w:rPr>
        <w:t>GB</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5"/>
          <w:sz w:val="23"/>
          <w:szCs w:val="23"/>
        </w:rPr>
        <w:t>15190-2014</w:t>
      </w:r>
      <w:r>
        <w:rPr>
          <w:rFonts w:ascii="宋体" w:hAnsi="宋体" w:eastAsia="宋体" w:cs="宋体"/>
          <w:spacing w:val="5"/>
          <w:sz w:val="23"/>
          <w:szCs w:val="23"/>
        </w:rPr>
        <w:t>) ，评价区声环境功能</w:t>
      </w:r>
      <w:r>
        <w:rPr>
          <w:rFonts w:ascii="宋体" w:hAnsi="宋体" w:eastAsia="宋体" w:cs="宋体"/>
          <w:sz w:val="23"/>
          <w:szCs w:val="23"/>
        </w:rPr>
        <w:t xml:space="preserve"> </w:t>
      </w:r>
      <w:r>
        <w:rPr>
          <w:rFonts w:ascii="宋体" w:hAnsi="宋体" w:eastAsia="宋体" w:cs="宋体"/>
          <w:spacing w:val="4"/>
          <w:sz w:val="23"/>
          <w:szCs w:val="23"/>
        </w:rPr>
        <w:t>区执行《声环境质量标</w:t>
      </w:r>
      <w:r>
        <w:rPr>
          <w:rFonts w:ascii="宋体" w:hAnsi="宋体" w:eastAsia="宋体" w:cs="宋体"/>
          <w:spacing w:val="2"/>
          <w:sz w:val="23"/>
          <w:szCs w:val="23"/>
        </w:rPr>
        <w:t>准》  (</w:t>
      </w:r>
      <w:r>
        <w:rPr>
          <w:rFonts w:ascii="Times New Roman" w:hAnsi="Times New Roman" w:eastAsia="Times New Roman" w:cs="Times New Roman"/>
          <w:sz w:val="23"/>
          <w:szCs w:val="23"/>
        </w:rPr>
        <w:t>GB</w:t>
      </w:r>
      <w:r>
        <w:rPr>
          <w:rFonts w:ascii="Times New Roman" w:hAnsi="Times New Roman" w:eastAsia="Times New Roman" w:cs="Times New Roman"/>
          <w:spacing w:val="2"/>
          <w:sz w:val="23"/>
          <w:szCs w:val="23"/>
        </w:rPr>
        <w:t>3096-2008</w:t>
      </w:r>
      <w:r>
        <w:rPr>
          <w:rFonts w:ascii="宋体" w:hAnsi="宋体" w:eastAsia="宋体" w:cs="宋体"/>
          <w:spacing w:val="2"/>
          <w:sz w:val="23"/>
          <w:szCs w:val="23"/>
        </w:rPr>
        <w:t xml:space="preserve">) </w:t>
      </w:r>
      <w:r>
        <w:rPr>
          <w:rFonts w:ascii="Times New Roman" w:hAnsi="Times New Roman" w:eastAsia="Times New Roman" w:cs="Times New Roman"/>
          <w:spacing w:val="2"/>
          <w:sz w:val="23"/>
          <w:szCs w:val="23"/>
        </w:rPr>
        <w:t xml:space="preserve">2 </w:t>
      </w:r>
      <w:r>
        <w:rPr>
          <w:rFonts w:ascii="宋体" w:hAnsi="宋体" w:eastAsia="宋体" w:cs="宋体"/>
          <w:spacing w:val="2"/>
          <w:sz w:val="23"/>
          <w:szCs w:val="23"/>
        </w:rPr>
        <w:t>类区。</w:t>
      </w:r>
    </w:p>
    <w:p w14:paraId="013289DD">
      <w:pPr>
        <w:spacing w:before="14" w:line="229" w:lineRule="auto"/>
        <w:ind w:left="1014"/>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23"/>
          <w:sz w:val="23"/>
          <w:szCs w:val="23"/>
        </w:rPr>
        <w:t>5</w:t>
      </w:r>
      <w:r>
        <w:rPr>
          <w:rFonts w:ascii="宋体" w:hAnsi="宋体" w:eastAsia="宋体" w:cs="宋体"/>
          <w:spacing w:val="23"/>
          <w:sz w:val="23"/>
          <w:szCs w:val="23"/>
        </w:rPr>
        <w:t>) 土壤</w:t>
      </w:r>
    </w:p>
    <w:p w14:paraId="0ADF841B">
      <w:pPr>
        <w:spacing w:before="183" w:line="377" w:lineRule="auto"/>
        <w:ind w:left="534" w:right="513" w:firstLine="472"/>
        <w:rPr>
          <w:rFonts w:ascii="宋体" w:hAnsi="宋体" w:eastAsia="宋体" w:cs="宋体"/>
          <w:sz w:val="23"/>
          <w:szCs w:val="23"/>
        </w:rPr>
      </w:pPr>
      <w:r>
        <w:rPr>
          <w:rFonts w:ascii="宋体" w:hAnsi="宋体" w:eastAsia="宋体" w:cs="宋体"/>
          <w:spacing w:val="25"/>
          <w:sz w:val="23"/>
          <w:szCs w:val="23"/>
        </w:rPr>
        <w:t>项</w:t>
      </w:r>
      <w:r>
        <w:rPr>
          <w:rFonts w:ascii="宋体" w:hAnsi="宋体" w:eastAsia="宋体" w:cs="宋体"/>
          <w:spacing w:val="14"/>
          <w:sz w:val="23"/>
          <w:szCs w:val="23"/>
        </w:rPr>
        <w:t>目区土壤环境质量执行《土壤环境质量标准 农用地土壤污染风险管控标准</w:t>
      </w:r>
      <w:r>
        <w:rPr>
          <w:rFonts w:ascii="宋体" w:hAnsi="宋体" w:eastAsia="宋体" w:cs="宋体"/>
          <w:sz w:val="23"/>
          <w:szCs w:val="23"/>
        </w:rPr>
        <w:t xml:space="preserve"> </w:t>
      </w:r>
      <w:r>
        <w:rPr>
          <w:rFonts w:ascii="宋体" w:hAnsi="宋体" w:eastAsia="宋体" w:cs="宋体"/>
          <w:spacing w:val="14"/>
          <w:sz w:val="23"/>
          <w:szCs w:val="23"/>
        </w:rPr>
        <w:t>(</w:t>
      </w:r>
      <w:r>
        <w:rPr>
          <w:rFonts w:ascii="宋体" w:hAnsi="宋体" w:eastAsia="宋体" w:cs="宋体"/>
          <w:spacing w:val="7"/>
          <w:sz w:val="23"/>
          <w:szCs w:val="23"/>
        </w:rPr>
        <w:t>试行) 》  (</w:t>
      </w:r>
      <w:r>
        <w:rPr>
          <w:rFonts w:ascii="Times New Roman" w:hAnsi="Times New Roman" w:eastAsia="Times New Roman" w:cs="Times New Roman"/>
          <w:sz w:val="23"/>
          <w:szCs w:val="23"/>
        </w:rPr>
        <w:t>GB</w:t>
      </w:r>
      <w:r>
        <w:rPr>
          <w:rFonts w:ascii="Times New Roman" w:hAnsi="Times New Roman" w:eastAsia="Times New Roman" w:cs="Times New Roman"/>
          <w:spacing w:val="7"/>
          <w:sz w:val="23"/>
          <w:szCs w:val="23"/>
        </w:rPr>
        <w:t>15618-2018</w:t>
      </w:r>
      <w:r>
        <w:rPr>
          <w:rFonts w:ascii="宋体" w:hAnsi="宋体" w:eastAsia="宋体" w:cs="宋体"/>
          <w:spacing w:val="7"/>
          <w:sz w:val="23"/>
          <w:szCs w:val="23"/>
        </w:rPr>
        <w:t>) 中农用地土壤污染风险筛选值管控要求。</w:t>
      </w:r>
    </w:p>
    <w:p w14:paraId="3BDBC8B7">
      <w:pPr>
        <w:spacing w:line="218" w:lineRule="auto"/>
        <w:ind w:left="532"/>
        <w:outlineLvl w:val="1"/>
        <w:rPr>
          <w:rFonts w:ascii="宋体" w:hAnsi="宋体" w:eastAsia="宋体" w:cs="宋体"/>
          <w:sz w:val="28"/>
          <w:szCs w:val="28"/>
        </w:rPr>
      </w:pPr>
      <w:bookmarkStart w:id="9" w:name="_bookmark10"/>
      <w:bookmarkEnd w:id="9"/>
      <w:r>
        <w:rPr>
          <w:rFonts w:ascii="Times New Roman" w:hAnsi="Times New Roman" w:eastAsia="Times New Roman" w:cs="Times New Roman"/>
          <w:b/>
          <w:bCs/>
          <w:spacing w:val="-1"/>
          <w:sz w:val="28"/>
          <w:szCs w:val="28"/>
        </w:rPr>
        <w:t>1.3</w:t>
      </w:r>
      <w:r>
        <w:rPr>
          <w:rFonts w:ascii="Times New Roman" w:hAnsi="Times New Roman" w:eastAsia="Times New Roman" w:cs="Times New Roman"/>
          <w:spacing w:val="-1"/>
          <w:sz w:val="28"/>
          <w:szCs w:val="28"/>
        </w:rPr>
        <w:t xml:space="preserve">  </w:t>
      </w:r>
      <w:r>
        <w:rPr>
          <w:rFonts w:ascii="宋体" w:hAnsi="宋体" w:eastAsia="宋体" w:cs="宋体"/>
          <w:spacing w:val="-1"/>
          <w:sz w:val="28"/>
          <w:szCs w:val="28"/>
          <w14:textOutline w14:w="5105" w14:cap="sq" w14:cmpd="sng" w14:algn="ctr">
            <w14:solidFill>
              <w14:srgbClr w14:val="000000"/>
            </w14:solidFill>
            <w14:prstDash w14:val="solid"/>
            <w14:bevel/>
          </w14:textOutline>
        </w:rPr>
        <w:t>影</w:t>
      </w:r>
      <w:r>
        <w:rPr>
          <w:rFonts w:ascii="宋体" w:hAnsi="宋体" w:eastAsia="宋体" w:cs="宋体"/>
          <w:sz w:val="28"/>
          <w:szCs w:val="28"/>
          <w14:textOutline w14:w="5105" w14:cap="sq" w14:cmpd="sng" w14:algn="ctr">
            <w14:solidFill>
              <w14:srgbClr w14:val="000000"/>
            </w14:solidFill>
            <w14:prstDash w14:val="solid"/>
            <w14:bevel/>
          </w14:textOutline>
        </w:rPr>
        <w:t>响因素识别及评价因子筛选</w:t>
      </w:r>
    </w:p>
    <w:p w14:paraId="79AFEFB4">
      <w:pPr>
        <w:spacing w:before="206" w:line="227" w:lineRule="auto"/>
        <w:ind w:left="529"/>
        <w:outlineLvl w:val="2"/>
        <w:rPr>
          <w:rFonts w:ascii="宋体" w:hAnsi="宋体" w:eastAsia="宋体" w:cs="宋体"/>
          <w:sz w:val="23"/>
          <w:szCs w:val="23"/>
        </w:rPr>
      </w:pPr>
      <w:r>
        <w:rPr>
          <w:rFonts w:ascii="Times New Roman" w:hAnsi="Times New Roman" w:eastAsia="Times New Roman" w:cs="Times New Roman"/>
          <w:b/>
          <w:bCs/>
          <w:spacing w:val="12"/>
          <w:sz w:val="23"/>
          <w:szCs w:val="23"/>
        </w:rPr>
        <w:t>1</w:t>
      </w:r>
      <w:r>
        <w:rPr>
          <w:rFonts w:ascii="Times New Roman" w:hAnsi="Times New Roman" w:eastAsia="Times New Roman" w:cs="Times New Roman"/>
          <w:b/>
          <w:bCs/>
          <w:spacing w:val="6"/>
          <w:sz w:val="23"/>
          <w:szCs w:val="23"/>
        </w:rPr>
        <w:t>.3.1</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环境影响因素识别</w:t>
      </w:r>
    </w:p>
    <w:p w14:paraId="6D8BBF07">
      <w:pPr>
        <w:spacing w:before="185" w:line="227" w:lineRule="auto"/>
        <w:ind w:left="1007"/>
        <w:rPr>
          <w:rFonts w:ascii="宋体" w:hAnsi="宋体" w:eastAsia="宋体" w:cs="宋体"/>
          <w:sz w:val="23"/>
          <w:szCs w:val="23"/>
        </w:rPr>
      </w:pPr>
      <w:r>
        <w:rPr>
          <w:rFonts w:ascii="宋体" w:hAnsi="宋体" w:eastAsia="宋体" w:cs="宋体"/>
          <w:spacing w:val="1"/>
          <w:sz w:val="23"/>
          <w:szCs w:val="23"/>
        </w:rPr>
        <w:t xml:space="preserve">项目环境影响因素识别见表 </w:t>
      </w:r>
      <w:r>
        <w:rPr>
          <w:rFonts w:ascii="Times New Roman" w:hAnsi="Times New Roman" w:eastAsia="Times New Roman" w:cs="Times New Roman"/>
          <w:spacing w:val="1"/>
          <w:sz w:val="23"/>
          <w:szCs w:val="23"/>
        </w:rPr>
        <w:t>1</w:t>
      </w:r>
      <w:r>
        <w:rPr>
          <w:rFonts w:ascii="Times New Roman" w:hAnsi="Times New Roman" w:eastAsia="Times New Roman" w:cs="Times New Roman"/>
          <w:sz w:val="23"/>
          <w:szCs w:val="23"/>
        </w:rPr>
        <w:t>.3- 1</w:t>
      </w:r>
      <w:r>
        <w:rPr>
          <w:rFonts w:ascii="宋体" w:hAnsi="宋体" w:eastAsia="宋体" w:cs="宋体"/>
          <w:sz w:val="23"/>
          <w:szCs w:val="23"/>
        </w:rPr>
        <w:t>。</w:t>
      </w:r>
    </w:p>
    <w:p w14:paraId="252C6C73">
      <w:pPr>
        <w:spacing w:before="185" w:line="221" w:lineRule="auto"/>
        <w:ind w:left="2970"/>
        <w:rPr>
          <w:rFonts w:ascii="黑体" w:hAnsi="黑体" w:eastAsia="黑体" w:cs="黑体"/>
          <w:sz w:val="23"/>
          <w:szCs w:val="23"/>
        </w:rPr>
      </w:pPr>
      <w:r>
        <w:rPr>
          <w:rFonts w:ascii="黑体" w:hAnsi="黑体" w:eastAsia="黑体" w:cs="黑体"/>
          <w:spacing w:val="2"/>
          <w:sz w:val="23"/>
          <w:szCs w:val="23"/>
        </w:rPr>
        <w:t xml:space="preserve">表 </w:t>
      </w:r>
      <w:r>
        <w:rPr>
          <w:rFonts w:ascii="Times New Roman" w:hAnsi="Times New Roman" w:eastAsia="Times New Roman" w:cs="Times New Roman"/>
          <w:spacing w:val="2"/>
          <w:sz w:val="23"/>
          <w:szCs w:val="23"/>
        </w:rPr>
        <w:t>1.</w:t>
      </w:r>
      <w:r>
        <w:rPr>
          <w:rFonts w:ascii="Times New Roman" w:hAnsi="Times New Roman" w:eastAsia="Times New Roman" w:cs="Times New Roman"/>
          <w:spacing w:val="1"/>
          <w:sz w:val="23"/>
          <w:szCs w:val="23"/>
        </w:rPr>
        <w:t xml:space="preserve">3- 1      </w:t>
      </w:r>
      <w:r>
        <w:rPr>
          <w:rFonts w:ascii="黑体" w:hAnsi="黑体" w:eastAsia="黑体" w:cs="黑体"/>
          <w:spacing w:val="1"/>
          <w:sz w:val="23"/>
          <w:szCs w:val="23"/>
        </w:rPr>
        <w:t>工程环境影响识别一览表</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7"/>
        <w:gridCol w:w="496"/>
        <w:gridCol w:w="1380"/>
        <w:gridCol w:w="824"/>
        <w:gridCol w:w="939"/>
        <w:gridCol w:w="1049"/>
        <w:gridCol w:w="755"/>
        <w:gridCol w:w="763"/>
        <w:gridCol w:w="1255"/>
        <w:gridCol w:w="1314"/>
      </w:tblGrid>
      <w:tr w14:paraId="7998AE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937" w:type="dxa"/>
            <w:vMerge w:val="restart"/>
            <w:tcBorders>
              <w:left w:val="nil"/>
              <w:bottom w:val="nil"/>
            </w:tcBorders>
          </w:tcPr>
          <w:p w14:paraId="344949D3">
            <w:pPr>
              <w:spacing w:before="283" w:line="229" w:lineRule="auto"/>
              <w:ind w:left="274"/>
              <w:rPr>
                <w:rFonts w:ascii="宋体" w:hAnsi="宋体" w:eastAsia="宋体" w:cs="宋体"/>
                <w:sz w:val="20"/>
                <w:szCs w:val="20"/>
              </w:rPr>
            </w:pPr>
            <w:r>
              <w:rPr>
                <w:rFonts w:ascii="宋体" w:hAnsi="宋体" w:eastAsia="宋体" w:cs="宋体"/>
                <w:spacing w:val="2"/>
                <w:sz w:val="20"/>
                <w:szCs w:val="20"/>
                <w14:textOutline w14:w="3797" w14:cap="sq" w14:cmpd="sng" w14:algn="ctr">
                  <w14:solidFill>
                    <w14:srgbClr w14:val="000000"/>
                  </w14:solidFill>
                  <w14:prstDash w14:val="solid"/>
                  <w14:bevel/>
                </w14:textOutline>
              </w:rPr>
              <w:t>阶</w:t>
            </w:r>
            <w:r>
              <w:rPr>
                <w:rFonts w:ascii="宋体" w:hAnsi="宋体" w:eastAsia="宋体" w:cs="宋体"/>
                <w:spacing w:val="1"/>
                <w:sz w:val="20"/>
                <w:szCs w:val="20"/>
                <w14:textOutline w14:w="3797" w14:cap="sq" w14:cmpd="sng" w14:algn="ctr">
                  <w14:solidFill>
                    <w14:srgbClr w14:val="000000"/>
                  </w14:solidFill>
                  <w14:prstDash w14:val="solid"/>
                  <w14:bevel/>
                </w14:textOutline>
              </w:rPr>
              <w:t>段</w:t>
            </w:r>
          </w:p>
        </w:tc>
        <w:tc>
          <w:tcPr>
            <w:tcW w:w="1876" w:type="dxa"/>
            <w:gridSpan w:val="2"/>
            <w:vMerge w:val="restart"/>
            <w:tcBorders>
              <w:bottom w:val="nil"/>
            </w:tcBorders>
          </w:tcPr>
          <w:p w14:paraId="7AA1F984">
            <w:pPr>
              <w:spacing w:before="283" w:line="228" w:lineRule="auto"/>
              <w:ind w:left="524"/>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污染因素</w:t>
            </w:r>
          </w:p>
        </w:tc>
        <w:tc>
          <w:tcPr>
            <w:tcW w:w="6899" w:type="dxa"/>
            <w:gridSpan w:val="7"/>
            <w:tcBorders>
              <w:right w:val="nil"/>
            </w:tcBorders>
          </w:tcPr>
          <w:p w14:paraId="32EE434D">
            <w:pPr>
              <w:spacing w:before="108" w:line="228" w:lineRule="auto"/>
              <w:ind w:left="3034"/>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环</w:t>
            </w:r>
            <w:r>
              <w:rPr>
                <w:rFonts w:ascii="宋体" w:hAnsi="宋体" w:eastAsia="宋体" w:cs="宋体"/>
                <w:spacing w:val="8"/>
                <w:sz w:val="20"/>
                <w:szCs w:val="20"/>
                <w14:textOutline w14:w="3797" w14:cap="sq" w14:cmpd="sng" w14:algn="ctr">
                  <w14:solidFill>
                    <w14:srgbClr w14:val="000000"/>
                  </w14:solidFill>
                  <w14:prstDash w14:val="solid"/>
                  <w14:bevel/>
                </w14:textOutline>
              </w:rPr>
              <w:t>境要素</w:t>
            </w:r>
          </w:p>
        </w:tc>
      </w:tr>
      <w:tr w14:paraId="4DACB4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937" w:type="dxa"/>
            <w:vMerge w:val="continue"/>
            <w:tcBorders>
              <w:top w:val="nil"/>
              <w:left w:val="nil"/>
            </w:tcBorders>
          </w:tcPr>
          <w:p w14:paraId="7171E42F"/>
        </w:tc>
        <w:tc>
          <w:tcPr>
            <w:tcW w:w="1876" w:type="dxa"/>
            <w:gridSpan w:val="2"/>
            <w:vMerge w:val="continue"/>
            <w:tcBorders>
              <w:top w:val="nil"/>
            </w:tcBorders>
          </w:tcPr>
          <w:p w14:paraId="394BC7E6"/>
        </w:tc>
        <w:tc>
          <w:tcPr>
            <w:tcW w:w="824" w:type="dxa"/>
          </w:tcPr>
          <w:p w14:paraId="2B40A0E4">
            <w:pPr>
              <w:spacing w:before="85" w:line="228" w:lineRule="auto"/>
              <w:ind w:left="209"/>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大</w:t>
            </w:r>
            <w:r>
              <w:rPr>
                <w:rFonts w:ascii="宋体" w:hAnsi="宋体" w:eastAsia="宋体" w:cs="宋体"/>
                <w:spacing w:val="4"/>
                <w:sz w:val="20"/>
                <w:szCs w:val="20"/>
                <w14:textOutline w14:w="3797" w14:cap="sq" w14:cmpd="sng" w14:algn="ctr">
                  <w14:solidFill>
                    <w14:srgbClr w14:val="000000"/>
                  </w14:solidFill>
                  <w14:prstDash w14:val="solid"/>
                  <w14:bevel/>
                </w14:textOutline>
              </w:rPr>
              <w:t>气</w:t>
            </w:r>
          </w:p>
        </w:tc>
        <w:tc>
          <w:tcPr>
            <w:tcW w:w="939" w:type="dxa"/>
          </w:tcPr>
          <w:p w14:paraId="6969189A">
            <w:pPr>
              <w:spacing w:before="84" w:line="228" w:lineRule="auto"/>
              <w:ind w:left="158"/>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地</w:t>
            </w:r>
            <w:r>
              <w:rPr>
                <w:rFonts w:ascii="宋体" w:hAnsi="宋体" w:eastAsia="宋体" w:cs="宋体"/>
                <w:spacing w:val="7"/>
                <w:sz w:val="20"/>
                <w:szCs w:val="20"/>
                <w14:textOutline w14:w="3797" w14:cap="sq" w14:cmpd="sng" w14:algn="ctr">
                  <w14:solidFill>
                    <w14:srgbClr w14:val="000000"/>
                  </w14:solidFill>
                  <w14:prstDash w14:val="solid"/>
                  <w14:bevel/>
                </w14:textOutline>
              </w:rPr>
              <w:t>表水</w:t>
            </w:r>
          </w:p>
        </w:tc>
        <w:tc>
          <w:tcPr>
            <w:tcW w:w="1049" w:type="dxa"/>
          </w:tcPr>
          <w:p w14:paraId="7FE1BA9C">
            <w:pPr>
              <w:spacing w:before="84" w:line="228" w:lineRule="auto"/>
              <w:ind w:left="215"/>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地</w:t>
            </w:r>
            <w:r>
              <w:rPr>
                <w:rFonts w:ascii="宋体" w:hAnsi="宋体" w:eastAsia="宋体" w:cs="宋体"/>
                <w:spacing w:val="7"/>
                <w:sz w:val="20"/>
                <w:szCs w:val="20"/>
                <w14:textOutline w14:w="3797" w14:cap="sq" w14:cmpd="sng" w14:algn="ctr">
                  <w14:solidFill>
                    <w14:srgbClr w14:val="000000"/>
                  </w14:solidFill>
                  <w14:prstDash w14:val="solid"/>
                  <w14:bevel/>
                </w14:textOutline>
              </w:rPr>
              <w:t>下水</w:t>
            </w:r>
          </w:p>
        </w:tc>
        <w:tc>
          <w:tcPr>
            <w:tcW w:w="755" w:type="dxa"/>
          </w:tcPr>
          <w:p w14:paraId="11C0FDBE">
            <w:pPr>
              <w:spacing w:before="85" w:line="228" w:lineRule="auto"/>
              <w:ind w:left="281"/>
              <w:rPr>
                <w:rFonts w:ascii="宋体" w:hAnsi="宋体" w:eastAsia="宋体" w:cs="宋体"/>
                <w:sz w:val="20"/>
                <w:szCs w:val="20"/>
              </w:rPr>
            </w:pPr>
            <w:r>
              <w:rPr>
                <w:rFonts w:ascii="宋体" w:hAnsi="宋体" w:eastAsia="宋体" w:cs="宋体"/>
                <w:sz w:val="20"/>
                <w:szCs w:val="20"/>
                <w14:textOutline w14:w="3797" w14:cap="sq" w14:cmpd="sng" w14:algn="ctr">
                  <w14:solidFill>
                    <w14:srgbClr w14:val="000000"/>
                  </w14:solidFill>
                  <w14:prstDash w14:val="solid"/>
                  <w14:bevel/>
                </w14:textOutline>
              </w:rPr>
              <w:t>声</w:t>
            </w:r>
          </w:p>
        </w:tc>
        <w:tc>
          <w:tcPr>
            <w:tcW w:w="763" w:type="dxa"/>
          </w:tcPr>
          <w:p w14:paraId="33D31A4C">
            <w:pPr>
              <w:spacing w:before="84" w:line="233" w:lineRule="auto"/>
              <w:ind w:left="179"/>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生态</w:t>
            </w:r>
          </w:p>
        </w:tc>
        <w:tc>
          <w:tcPr>
            <w:tcW w:w="1255" w:type="dxa"/>
          </w:tcPr>
          <w:p w14:paraId="44A498E5">
            <w:pPr>
              <w:spacing w:before="84" w:line="228" w:lineRule="auto"/>
              <w:ind w:left="216"/>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水土流</w:t>
            </w:r>
            <w:r>
              <w:rPr>
                <w:rFonts w:ascii="宋体" w:hAnsi="宋体" w:eastAsia="宋体" w:cs="宋体"/>
                <w:spacing w:val="7"/>
                <w:sz w:val="20"/>
                <w:szCs w:val="20"/>
                <w14:textOutline w14:w="3797" w14:cap="sq" w14:cmpd="sng" w14:algn="ctr">
                  <w14:solidFill>
                    <w14:srgbClr w14:val="000000"/>
                  </w14:solidFill>
                  <w14:prstDash w14:val="solid"/>
                  <w14:bevel/>
                </w14:textOutline>
              </w:rPr>
              <w:t>失</w:t>
            </w:r>
          </w:p>
        </w:tc>
        <w:tc>
          <w:tcPr>
            <w:tcW w:w="1314" w:type="dxa"/>
            <w:tcBorders>
              <w:right w:val="nil"/>
            </w:tcBorders>
          </w:tcPr>
          <w:p w14:paraId="798A6760">
            <w:pPr>
              <w:spacing w:before="85" w:line="228" w:lineRule="auto"/>
              <w:ind w:left="244"/>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居民生活</w:t>
            </w:r>
          </w:p>
        </w:tc>
      </w:tr>
      <w:tr w14:paraId="73D5A7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937" w:type="dxa"/>
            <w:vMerge w:val="restart"/>
            <w:tcBorders>
              <w:left w:val="nil"/>
              <w:bottom w:val="nil"/>
            </w:tcBorders>
          </w:tcPr>
          <w:p w14:paraId="758533D0">
            <w:pPr>
              <w:spacing w:line="356" w:lineRule="auto"/>
            </w:pPr>
          </w:p>
          <w:p w14:paraId="12219685">
            <w:pPr>
              <w:spacing w:line="356" w:lineRule="auto"/>
            </w:pPr>
          </w:p>
          <w:p w14:paraId="2D982BC8">
            <w:pPr>
              <w:spacing w:before="65" w:line="228" w:lineRule="auto"/>
              <w:ind w:left="161"/>
              <w:rPr>
                <w:rFonts w:ascii="宋体" w:hAnsi="宋体" w:eastAsia="宋体" w:cs="宋体"/>
                <w:sz w:val="20"/>
                <w:szCs w:val="20"/>
              </w:rPr>
            </w:pPr>
            <w:r>
              <w:rPr>
                <w:rFonts w:ascii="宋体" w:hAnsi="宋体" w:eastAsia="宋体" w:cs="宋体"/>
                <w:spacing w:val="7"/>
                <w:sz w:val="20"/>
                <w:szCs w:val="20"/>
              </w:rPr>
              <w:t>施工期</w:t>
            </w:r>
          </w:p>
        </w:tc>
        <w:tc>
          <w:tcPr>
            <w:tcW w:w="496" w:type="dxa"/>
            <w:vMerge w:val="restart"/>
            <w:tcBorders>
              <w:bottom w:val="nil"/>
            </w:tcBorders>
            <w:textDirection w:val="tbRlV"/>
          </w:tcPr>
          <w:p w14:paraId="41D46BBA">
            <w:pPr>
              <w:spacing w:before="141" w:line="217" w:lineRule="auto"/>
              <w:ind w:left="275"/>
              <w:rPr>
                <w:rFonts w:ascii="宋体" w:hAnsi="宋体" w:eastAsia="宋体" w:cs="宋体"/>
                <w:sz w:val="20"/>
                <w:szCs w:val="20"/>
              </w:rPr>
            </w:pPr>
            <w:r>
              <w:rPr>
                <w:rFonts w:ascii="宋体" w:hAnsi="宋体" w:eastAsia="宋体" w:cs="宋体"/>
                <w:spacing w:val="9"/>
                <w:sz w:val="20"/>
                <w:szCs w:val="20"/>
              </w:rPr>
              <w:t>场 区</w:t>
            </w:r>
          </w:p>
        </w:tc>
        <w:tc>
          <w:tcPr>
            <w:tcW w:w="1380" w:type="dxa"/>
          </w:tcPr>
          <w:p w14:paraId="0D3590C5">
            <w:pPr>
              <w:spacing w:before="86" w:line="228" w:lineRule="auto"/>
              <w:ind w:left="273"/>
              <w:rPr>
                <w:rFonts w:ascii="宋体" w:hAnsi="宋体" w:eastAsia="宋体" w:cs="宋体"/>
                <w:sz w:val="20"/>
                <w:szCs w:val="20"/>
              </w:rPr>
            </w:pPr>
            <w:r>
              <w:rPr>
                <w:rFonts w:ascii="宋体" w:hAnsi="宋体" w:eastAsia="宋体" w:cs="宋体"/>
                <w:spacing w:val="9"/>
                <w:sz w:val="20"/>
                <w:szCs w:val="20"/>
              </w:rPr>
              <w:t>施</w:t>
            </w:r>
            <w:r>
              <w:rPr>
                <w:rFonts w:ascii="宋体" w:hAnsi="宋体" w:eastAsia="宋体" w:cs="宋体"/>
                <w:spacing w:val="7"/>
                <w:sz w:val="20"/>
                <w:szCs w:val="20"/>
              </w:rPr>
              <w:t>工噪声</w:t>
            </w:r>
          </w:p>
        </w:tc>
        <w:tc>
          <w:tcPr>
            <w:tcW w:w="824" w:type="dxa"/>
          </w:tcPr>
          <w:p w14:paraId="5AFF9302">
            <w:pPr>
              <w:spacing w:before="159" w:line="134" w:lineRule="exact"/>
              <w:ind w:left="363"/>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939" w:type="dxa"/>
          </w:tcPr>
          <w:p w14:paraId="19B78B78">
            <w:pPr>
              <w:spacing w:before="159" w:line="134" w:lineRule="exact"/>
              <w:ind w:left="420"/>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049" w:type="dxa"/>
          </w:tcPr>
          <w:p w14:paraId="316E48F8">
            <w:pPr>
              <w:spacing w:before="159" w:line="134" w:lineRule="exact"/>
              <w:ind w:left="477"/>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755" w:type="dxa"/>
          </w:tcPr>
          <w:p w14:paraId="6EF22BC8">
            <w:pPr>
              <w:spacing w:before="85" w:line="238" w:lineRule="auto"/>
              <w:ind w:left="233"/>
              <w:rPr>
                <w:rFonts w:ascii="Times New Roman" w:hAnsi="Times New Roman" w:eastAsia="Times New Roman" w:cs="Times New Roman"/>
                <w:sz w:val="20"/>
                <w:szCs w:val="20"/>
              </w:rPr>
            </w:pPr>
            <w:r>
              <w:rPr>
                <w:rFonts w:ascii="宋体" w:hAnsi="宋体" w:eastAsia="宋体" w:cs="宋体"/>
                <w:spacing w:val="-5"/>
                <w:sz w:val="20"/>
                <w:szCs w:val="20"/>
              </w:rPr>
              <w:t>◆</w:t>
            </w:r>
            <w:r>
              <w:rPr>
                <w:rFonts w:ascii="Times New Roman" w:hAnsi="Times New Roman" w:eastAsia="Times New Roman" w:cs="Times New Roman"/>
                <w:spacing w:val="-4"/>
                <w:sz w:val="20"/>
                <w:szCs w:val="20"/>
              </w:rPr>
              <w:t>S</w:t>
            </w:r>
          </w:p>
        </w:tc>
        <w:tc>
          <w:tcPr>
            <w:tcW w:w="763" w:type="dxa"/>
          </w:tcPr>
          <w:p w14:paraId="5B8681C1">
            <w:pPr>
              <w:spacing w:before="85" w:line="238" w:lineRule="auto"/>
              <w:ind w:left="229"/>
              <w:rPr>
                <w:rFonts w:ascii="Times New Roman" w:hAnsi="Times New Roman" w:eastAsia="Times New Roman" w:cs="Times New Roman"/>
                <w:sz w:val="20"/>
                <w:szCs w:val="20"/>
              </w:rPr>
            </w:pPr>
            <w:r>
              <w:rPr>
                <w:rFonts w:ascii="宋体" w:hAnsi="宋体" w:eastAsia="宋体" w:cs="宋体"/>
                <w:spacing w:val="1"/>
                <w:sz w:val="20"/>
                <w:szCs w:val="20"/>
              </w:rPr>
              <w:t>△</w:t>
            </w:r>
            <w:r>
              <w:rPr>
                <w:rFonts w:ascii="Times New Roman" w:hAnsi="Times New Roman" w:eastAsia="Times New Roman" w:cs="Times New Roman"/>
                <w:sz w:val="20"/>
                <w:szCs w:val="20"/>
              </w:rPr>
              <w:t>S</w:t>
            </w:r>
          </w:p>
        </w:tc>
        <w:tc>
          <w:tcPr>
            <w:tcW w:w="1255" w:type="dxa"/>
          </w:tcPr>
          <w:p w14:paraId="522CAABE">
            <w:pPr>
              <w:spacing w:before="159" w:line="134" w:lineRule="exact"/>
              <w:ind w:left="581"/>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314" w:type="dxa"/>
            <w:tcBorders>
              <w:right w:val="nil"/>
            </w:tcBorders>
          </w:tcPr>
          <w:p w14:paraId="169F2EDE">
            <w:pPr>
              <w:spacing w:before="85" w:line="238" w:lineRule="auto"/>
              <w:ind w:left="506"/>
              <w:rPr>
                <w:rFonts w:ascii="Times New Roman" w:hAnsi="Times New Roman" w:eastAsia="Times New Roman" w:cs="Times New Roman"/>
                <w:sz w:val="20"/>
                <w:szCs w:val="20"/>
              </w:rPr>
            </w:pPr>
            <w:r>
              <w:rPr>
                <w:rFonts w:ascii="宋体" w:hAnsi="宋体" w:eastAsia="宋体" w:cs="宋体"/>
                <w:spacing w:val="1"/>
                <w:sz w:val="20"/>
                <w:szCs w:val="20"/>
              </w:rPr>
              <w:t>△</w:t>
            </w:r>
            <w:r>
              <w:rPr>
                <w:rFonts w:ascii="Times New Roman" w:hAnsi="Times New Roman" w:eastAsia="Times New Roman" w:cs="Times New Roman"/>
                <w:sz w:val="20"/>
                <w:szCs w:val="20"/>
              </w:rPr>
              <w:t>S</w:t>
            </w:r>
          </w:p>
        </w:tc>
      </w:tr>
      <w:tr w14:paraId="65926C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937" w:type="dxa"/>
            <w:vMerge w:val="continue"/>
            <w:tcBorders>
              <w:top w:val="nil"/>
              <w:left w:val="nil"/>
              <w:bottom w:val="nil"/>
            </w:tcBorders>
          </w:tcPr>
          <w:p w14:paraId="66779F74"/>
        </w:tc>
        <w:tc>
          <w:tcPr>
            <w:tcW w:w="496" w:type="dxa"/>
            <w:vMerge w:val="continue"/>
            <w:tcBorders>
              <w:top w:val="nil"/>
              <w:bottom w:val="nil"/>
            </w:tcBorders>
            <w:textDirection w:val="tbRlV"/>
          </w:tcPr>
          <w:p w14:paraId="162D0248"/>
        </w:tc>
        <w:tc>
          <w:tcPr>
            <w:tcW w:w="1380" w:type="dxa"/>
          </w:tcPr>
          <w:p w14:paraId="57BD2F2A">
            <w:pPr>
              <w:spacing w:before="85" w:line="230" w:lineRule="auto"/>
              <w:ind w:left="484"/>
              <w:rPr>
                <w:rFonts w:ascii="宋体" w:hAnsi="宋体" w:eastAsia="宋体" w:cs="宋体"/>
                <w:sz w:val="20"/>
                <w:szCs w:val="20"/>
              </w:rPr>
            </w:pPr>
            <w:r>
              <w:rPr>
                <w:rFonts w:ascii="宋体" w:hAnsi="宋体" w:eastAsia="宋体" w:cs="宋体"/>
                <w:spacing w:val="5"/>
                <w:sz w:val="20"/>
                <w:szCs w:val="20"/>
              </w:rPr>
              <w:t>扬尘</w:t>
            </w:r>
          </w:p>
        </w:tc>
        <w:tc>
          <w:tcPr>
            <w:tcW w:w="824" w:type="dxa"/>
          </w:tcPr>
          <w:p w14:paraId="0FC74224">
            <w:pPr>
              <w:spacing w:before="85" w:line="237" w:lineRule="auto"/>
              <w:ind w:left="269"/>
              <w:rPr>
                <w:rFonts w:ascii="Times New Roman" w:hAnsi="Times New Roman" w:eastAsia="Times New Roman" w:cs="Times New Roman"/>
                <w:sz w:val="20"/>
                <w:szCs w:val="20"/>
              </w:rPr>
            </w:pPr>
            <w:r>
              <w:rPr>
                <w:rFonts w:ascii="宋体" w:hAnsi="宋体" w:eastAsia="宋体" w:cs="宋体"/>
                <w:spacing w:val="-5"/>
                <w:sz w:val="20"/>
                <w:szCs w:val="20"/>
              </w:rPr>
              <w:t>◆</w:t>
            </w:r>
            <w:r>
              <w:rPr>
                <w:rFonts w:ascii="Times New Roman" w:hAnsi="Times New Roman" w:eastAsia="Times New Roman" w:cs="Times New Roman"/>
                <w:spacing w:val="-4"/>
                <w:sz w:val="20"/>
                <w:szCs w:val="20"/>
              </w:rPr>
              <w:t>S</w:t>
            </w:r>
          </w:p>
        </w:tc>
        <w:tc>
          <w:tcPr>
            <w:tcW w:w="939" w:type="dxa"/>
          </w:tcPr>
          <w:p w14:paraId="6A41176C">
            <w:pPr>
              <w:spacing w:before="159" w:line="134" w:lineRule="exact"/>
              <w:ind w:left="420"/>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049" w:type="dxa"/>
          </w:tcPr>
          <w:p w14:paraId="5E2C7ADA">
            <w:pPr>
              <w:spacing w:before="159" w:line="134" w:lineRule="exact"/>
              <w:ind w:left="477"/>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755" w:type="dxa"/>
          </w:tcPr>
          <w:p w14:paraId="6B71D742">
            <w:pPr>
              <w:spacing w:before="159" w:line="134" w:lineRule="exact"/>
              <w:ind w:left="328"/>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763" w:type="dxa"/>
          </w:tcPr>
          <w:p w14:paraId="095BE58F">
            <w:pPr>
              <w:spacing w:before="159" w:line="134" w:lineRule="exact"/>
              <w:ind w:left="334"/>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255" w:type="dxa"/>
          </w:tcPr>
          <w:p w14:paraId="258245B0">
            <w:pPr>
              <w:spacing w:before="85" w:line="237" w:lineRule="auto"/>
              <w:ind w:left="477"/>
              <w:rPr>
                <w:rFonts w:ascii="Times New Roman" w:hAnsi="Times New Roman" w:eastAsia="Times New Roman" w:cs="Times New Roman"/>
                <w:sz w:val="20"/>
                <w:szCs w:val="20"/>
              </w:rPr>
            </w:pPr>
            <w:r>
              <w:rPr>
                <w:rFonts w:ascii="宋体" w:hAnsi="宋体" w:eastAsia="宋体" w:cs="宋体"/>
                <w:spacing w:val="-1"/>
                <w:sz w:val="20"/>
                <w:szCs w:val="20"/>
              </w:rPr>
              <w:t>△</w:t>
            </w:r>
            <w:r>
              <w:rPr>
                <w:rFonts w:ascii="Times New Roman" w:hAnsi="Times New Roman" w:eastAsia="Times New Roman" w:cs="Times New Roman"/>
                <w:sz w:val="20"/>
                <w:szCs w:val="20"/>
              </w:rPr>
              <w:t>S</w:t>
            </w:r>
          </w:p>
        </w:tc>
        <w:tc>
          <w:tcPr>
            <w:tcW w:w="1314" w:type="dxa"/>
            <w:tcBorders>
              <w:right w:val="nil"/>
            </w:tcBorders>
          </w:tcPr>
          <w:p w14:paraId="11B84742">
            <w:pPr>
              <w:spacing w:before="48" w:line="281" w:lineRule="exact"/>
              <w:ind w:left="525"/>
              <w:rPr>
                <w:rFonts w:ascii="Times New Roman" w:hAnsi="Times New Roman" w:eastAsia="Times New Roman" w:cs="Times New Roman"/>
                <w:sz w:val="20"/>
                <w:szCs w:val="20"/>
              </w:rPr>
            </w:pPr>
            <w:r>
              <w:rPr>
                <w:rFonts w:ascii="Times New Roman" w:hAnsi="Times New Roman" w:eastAsia="Times New Roman" w:cs="Times New Roman"/>
                <w:spacing w:val="-22"/>
                <w:position w:val="2"/>
                <w:sz w:val="20"/>
                <w:szCs w:val="20"/>
              </w:rPr>
              <w:t>▲</w:t>
            </w:r>
            <w:r>
              <w:rPr>
                <w:rFonts w:ascii="Times New Roman" w:hAnsi="Times New Roman" w:eastAsia="Times New Roman" w:cs="Times New Roman"/>
                <w:spacing w:val="-19"/>
                <w:position w:val="2"/>
                <w:sz w:val="20"/>
                <w:szCs w:val="20"/>
              </w:rPr>
              <w:t xml:space="preserve"> S</w:t>
            </w:r>
          </w:p>
        </w:tc>
      </w:tr>
      <w:tr w14:paraId="06DBEA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937" w:type="dxa"/>
            <w:vMerge w:val="continue"/>
            <w:tcBorders>
              <w:top w:val="nil"/>
              <w:left w:val="nil"/>
              <w:bottom w:val="nil"/>
            </w:tcBorders>
          </w:tcPr>
          <w:p w14:paraId="3D47BD42"/>
        </w:tc>
        <w:tc>
          <w:tcPr>
            <w:tcW w:w="496" w:type="dxa"/>
            <w:vMerge w:val="continue"/>
            <w:tcBorders>
              <w:top w:val="nil"/>
            </w:tcBorders>
            <w:textDirection w:val="tbRlV"/>
          </w:tcPr>
          <w:p w14:paraId="04346FF6"/>
        </w:tc>
        <w:tc>
          <w:tcPr>
            <w:tcW w:w="1380" w:type="dxa"/>
          </w:tcPr>
          <w:p w14:paraId="6AB7E1D1">
            <w:pPr>
              <w:spacing w:before="86" w:line="228" w:lineRule="auto"/>
              <w:ind w:left="273"/>
              <w:rPr>
                <w:rFonts w:ascii="宋体" w:hAnsi="宋体" w:eastAsia="宋体" w:cs="宋体"/>
                <w:sz w:val="20"/>
                <w:szCs w:val="20"/>
              </w:rPr>
            </w:pPr>
            <w:r>
              <w:rPr>
                <w:rFonts w:ascii="宋体" w:hAnsi="宋体" w:eastAsia="宋体" w:cs="宋体"/>
                <w:spacing w:val="9"/>
                <w:sz w:val="20"/>
                <w:szCs w:val="20"/>
              </w:rPr>
              <w:t>施</w:t>
            </w:r>
            <w:r>
              <w:rPr>
                <w:rFonts w:ascii="宋体" w:hAnsi="宋体" w:eastAsia="宋体" w:cs="宋体"/>
                <w:spacing w:val="7"/>
                <w:sz w:val="20"/>
                <w:szCs w:val="20"/>
              </w:rPr>
              <w:t>工废水</w:t>
            </w:r>
          </w:p>
        </w:tc>
        <w:tc>
          <w:tcPr>
            <w:tcW w:w="824" w:type="dxa"/>
          </w:tcPr>
          <w:p w14:paraId="2B5F0AA2">
            <w:pPr>
              <w:spacing w:before="160" w:line="134" w:lineRule="exact"/>
              <w:ind w:left="363"/>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939" w:type="dxa"/>
          </w:tcPr>
          <w:p w14:paraId="7827BE6B">
            <w:pPr>
              <w:spacing w:before="160" w:line="134" w:lineRule="exact"/>
              <w:ind w:left="420"/>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049" w:type="dxa"/>
          </w:tcPr>
          <w:p w14:paraId="27C0F959">
            <w:pPr>
              <w:spacing w:before="49" w:line="281" w:lineRule="exact"/>
              <w:ind w:left="391"/>
              <w:rPr>
                <w:rFonts w:ascii="Times New Roman" w:hAnsi="Times New Roman" w:eastAsia="Times New Roman" w:cs="Times New Roman"/>
                <w:sz w:val="20"/>
                <w:szCs w:val="20"/>
              </w:rPr>
            </w:pPr>
            <w:r>
              <w:rPr>
                <w:rFonts w:ascii="Times New Roman" w:hAnsi="Times New Roman" w:eastAsia="Times New Roman" w:cs="Times New Roman"/>
                <w:spacing w:val="-22"/>
                <w:position w:val="2"/>
                <w:sz w:val="20"/>
                <w:szCs w:val="20"/>
              </w:rPr>
              <w:t>▲</w:t>
            </w:r>
            <w:r>
              <w:rPr>
                <w:rFonts w:ascii="Times New Roman" w:hAnsi="Times New Roman" w:eastAsia="Times New Roman" w:cs="Times New Roman"/>
                <w:spacing w:val="-19"/>
                <w:position w:val="2"/>
                <w:sz w:val="20"/>
                <w:szCs w:val="20"/>
              </w:rPr>
              <w:t xml:space="preserve"> S</w:t>
            </w:r>
          </w:p>
        </w:tc>
        <w:tc>
          <w:tcPr>
            <w:tcW w:w="755" w:type="dxa"/>
          </w:tcPr>
          <w:p w14:paraId="312A8328">
            <w:pPr>
              <w:spacing w:before="160" w:line="134" w:lineRule="exact"/>
              <w:ind w:left="328"/>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763" w:type="dxa"/>
          </w:tcPr>
          <w:p w14:paraId="46F6555F">
            <w:pPr>
              <w:spacing w:before="86" w:line="236" w:lineRule="auto"/>
              <w:ind w:left="229"/>
              <w:rPr>
                <w:rFonts w:ascii="Times New Roman" w:hAnsi="Times New Roman" w:eastAsia="Times New Roman" w:cs="Times New Roman"/>
                <w:sz w:val="20"/>
                <w:szCs w:val="20"/>
              </w:rPr>
            </w:pPr>
            <w:r>
              <w:rPr>
                <w:rFonts w:ascii="宋体" w:hAnsi="宋体" w:eastAsia="宋体" w:cs="宋体"/>
                <w:spacing w:val="1"/>
                <w:sz w:val="20"/>
                <w:szCs w:val="20"/>
              </w:rPr>
              <w:t>△</w:t>
            </w:r>
            <w:r>
              <w:rPr>
                <w:rFonts w:ascii="Times New Roman" w:hAnsi="Times New Roman" w:eastAsia="Times New Roman" w:cs="Times New Roman"/>
                <w:sz w:val="20"/>
                <w:szCs w:val="20"/>
              </w:rPr>
              <w:t>S</w:t>
            </w:r>
          </w:p>
        </w:tc>
        <w:tc>
          <w:tcPr>
            <w:tcW w:w="1255" w:type="dxa"/>
          </w:tcPr>
          <w:p w14:paraId="7335EE0F">
            <w:pPr>
              <w:spacing w:before="86" w:line="236" w:lineRule="auto"/>
              <w:ind w:left="477"/>
              <w:rPr>
                <w:rFonts w:ascii="Times New Roman" w:hAnsi="Times New Roman" w:eastAsia="Times New Roman" w:cs="Times New Roman"/>
                <w:sz w:val="20"/>
                <w:szCs w:val="20"/>
              </w:rPr>
            </w:pPr>
            <w:r>
              <w:rPr>
                <w:rFonts w:ascii="宋体" w:hAnsi="宋体" w:eastAsia="宋体" w:cs="宋体"/>
                <w:spacing w:val="-1"/>
                <w:sz w:val="20"/>
                <w:szCs w:val="20"/>
              </w:rPr>
              <w:t>△</w:t>
            </w:r>
            <w:r>
              <w:rPr>
                <w:rFonts w:ascii="Times New Roman" w:hAnsi="Times New Roman" w:eastAsia="Times New Roman" w:cs="Times New Roman"/>
                <w:sz w:val="20"/>
                <w:szCs w:val="20"/>
              </w:rPr>
              <w:t>S</w:t>
            </w:r>
          </w:p>
        </w:tc>
        <w:tc>
          <w:tcPr>
            <w:tcW w:w="1314" w:type="dxa"/>
            <w:tcBorders>
              <w:right w:val="nil"/>
            </w:tcBorders>
          </w:tcPr>
          <w:p w14:paraId="76FA9967">
            <w:pPr>
              <w:spacing w:before="160" w:line="134" w:lineRule="exact"/>
              <w:ind w:left="610"/>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r>
      <w:tr w14:paraId="308E5E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937" w:type="dxa"/>
            <w:vMerge w:val="continue"/>
            <w:tcBorders>
              <w:top w:val="nil"/>
              <w:left w:val="nil"/>
              <w:bottom w:val="nil"/>
            </w:tcBorders>
          </w:tcPr>
          <w:p w14:paraId="3DB64708"/>
        </w:tc>
        <w:tc>
          <w:tcPr>
            <w:tcW w:w="1876" w:type="dxa"/>
            <w:gridSpan w:val="2"/>
          </w:tcPr>
          <w:p w14:paraId="14CFD713">
            <w:pPr>
              <w:spacing w:before="87" w:line="228" w:lineRule="auto"/>
              <w:ind w:left="524"/>
              <w:rPr>
                <w:rFonts w:ascii="宋体" w:hAnsi="宋体" w:eastAsia="宋体" w:cs="宋体"/>
                <w:sz w:val="20"/>
                <w:szCs w:val="20"/>
              </w:rPr>
            </w:pPr>
            <w:r>
              <w:rPr>
                <w:rFonts w:ascii="宋体" w:hAnsi="宋体" w:eastAsia="宋体" w:cs="宋体"/>
                <w:spacing w:val="7"/>
                <w:sz w:val="20"/>
                <w:szCs w:val="20"/>
              </w:rPr>
              <w:t>车辆运</w:t>
            </w:r>
            <w:r>
              <w:rPr>
                <w:rFonts w:ascii="宋体" w:hAnsi="宋体" w:eastAsia="宋体" w:cs="宋体"/>
                <w:spacing w:val="6"/>
                <w:sz w:val="20"/>
                <w:szCs w:val="20"/>
              </w:rPr>
              <w:t>输</w:t>
            </w:r>
          </w:p>
        </w:tc>
        <w:tc>
          <w:tcPr>
            <w:tcW w:w="824" w:type="dxa"/>
          </w:tcPr>
          <w:p w14:paraId="047AAD3A">
            <w:pPr>
              <w:spacing w:before="50" w:line="281" w:lineRule="exact"/>
              <w:ind w:left="278"/>
              <w:rPr>
                <w:rFonts w:ascii="Times New Roman" w:hAnsi="Times New Roman" w:eastAsia="Times New Roman" w:cs="Times New Roman"/>
                <w:sz w:val="20"/>
                <w:szCs w:val="20"/>
              </w:rPr>
            </w:pPr>
            <w:r>
              <w:rPr>
                <w:rFonts w:ascii="Times New Roman" w:hAnsi="Times New Roman" w:eastAsia="Times New Roman" w:cs="Times New Roman"/>
                <w:spacing w:val="-22"/>
                <w:position w:val="2"/>
                <w:sz w:val="20"/>
                <w:szCs w:val="20"/>
              </w:rPr>
              <w:t>▲</w:t>
            </w:r>
            <w:r>
              <w:rPr>
                <w:rFonts w:ascii="Times New Roman" w:hAnsi="Times New Roman" w:eastAsia="Times New Roman" w:cs="Times New Roman"/>
                <w:spacing w:val="-19"/>
                <w:position w:val="2"/>
                <w:sz w:val="20"/>
                <w:szCs w:val="20"/>
              </w:rPr>
              <w:t xml:space="preserve"> S</w:t>
            </w:r>
          </w:p>
        </w:tc>
        <w:tc>
          <w:tcPr>
            <w:tcW w:w="939" w:type="dxa"/>
          </w:tcPr>
          <w:p w14:paraId="71543BD2">
            <w:pPr>
              <w:spacing w:before="161" w:line="134" w:lineRule="exact"/>
              <w:ind w:left="420"/>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049" w:type="dxa"/>
          </w:tcPr>
          <w:p w14:paraId="4787D881">
            <w:pPr>
              <w:spacing w:before="161" w:line="134" w:lineRule="exact"/>
              <w:ind w:left="477"/>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755" w:type="dxa"/>
          </w:tcPr>
          <w:p w14:paraId="4189B863">
            <w:pPr>
              <w:spacing w:before="50" w:line="281" w:lineRule="exact"/>
              <w:ind w:left="245"/>
              <w:rPr>
                <w:rFonts w:ascii="Times New Roman" w:hAnsi="Times New Roman" w:eastAsia="Times New Roman" w:cs="Times New Roman"/>
                <w:sz w:val="20"/>
                <w:szCs w:val="20"/>
              </w:rPr>
            </w:pPr>
            <w:r>
              <w:rPr>
                <w:rFonts w:ascii="Times New Roman" w:hAnsi="Times New Roman" w:eastAsia="Times New Roman" w:cs="Times New Roman"/>
                <w:spacing w:val="-22"/>
                <w:position w:val="2"/>
                <w:sz w:val="20"/>
                <w:szCs w:val="20"/>
              </w:rPr>
              <w:t>▲</w:t>
            </w:r>
            <w:r>
              <w:rPr>
                <w:rFonts w:ascii="Times New Roman" w:hAnsi="Times New Roman" w:eastAsia="Times New Roman" w:cs="Times New Roman"/>
                <w:spacing w:val="-19"/>
                <w:position w:val="2"/>
                <w:sz w:val="20"/>
                <w:szCs w:val="20"/>
              </w:rPr>
              <w:t xml:space="preserve"> S</w:t>
            </w:r>
          </w:p>
        </w:tc>
        <w:tc>
          <w:tcPr>
            <w:tcW w:w="763" w:type="dxa"/>
          </w:tcPr>
          <w:p w14:paraId="5B737A8A">
            <w:pPr>
              <w:spacing w:before="161" w:line="134" w:lineRule="exact"/>
              <w:ind w:left="334"/>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255" w:type="dxa"/>
          </w:tcPr>
          <w:p w14:paraId="7830F265">
            <w:pPr>
              <w:spacing w:before="161" w:line="134" w:lineRule="exact"/>
              <w:ind w:left="581"/>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314" w:type="dxa"/>
            <w:tcBorders>
              <w:right w:val="nil"/>
            </w:tcBorders>
          </w:tcPr>
          <w:p w14:paraId="08D00CF9">
            <w:pPr>
              <w:spacing w:before="50" w:line="281" w:lineRule="exact"/>
              <w:ind w:left="525"/>
              <w:rPr>
                <w:rFonts w:ascii="Times New Roman" w:hAnsi="Times New Roman" w:eastAsia="Times New Roman" w:cs="Times New Roman"/>
                <w:sz w:val="20"/>
                <w:szCs w:val="20"/>
              </w:rPr>
            </w:pPr>
            <w:r>
              <w:rPr>
                <w:rFonts w:ascii="Times New Roman" w:hAnsi="Times New Roman" w:eastAsia="Times New Roman" w:cs="Times New Roman"/>
                <w:spacing w:val="-22"/>
                <w:position w:val="2"/>
                <w:sz w:val="20"/>
                <w:szCs w:val="20"/>
              </w:rPr>
              <w:t>▲</w:t>
            </w:r>
            <w:r>
              <w:rPr>
                <w:rFonts w:ascii="Times New Roman" w:hAnsi="Times New Roman" w:eastAsia="Times New Roman" w:cs="Times New Roman"/>
                <w:spacing w:val="-19"/>
                <w:position w:val="2"/>
                <w:sz w:val="20"/>
                <w:szCs w:val="20"/>
              </w:rPr>
              <w:t xml:space="preserve"> S</w:t>
            </w:r>
          </w:p>
        </w:tc>
      </w:tr>
      <w:tr w14:paraId="4066DF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937" w:type="dxa"/>
            <w:vMerge w:val="continue"/>
            <w:tcBorders>
              <w:top w:val="nil"/>
              <w:left w:val="nil"/>
            </w:tcBorders>
          </w:tcPr>
          <w:p w14:paraId="60D52790"/>
        </w:tc>
        <w:tc>
          <w:tcPr>
            <w:tcW w:w="1876" w:type="dxa"/>
            <w:gridSpan w:val="2"/>
          </w:tcPr>
          <w:p w14:paraId="6C5BB446">
            <w:pPr>
              <w:spacing w:before="88" w:line="228" w:lineRule="auto"/>
              <w:ind w:left="524"/>
              <w:rPr>
                <w:rFonts w:ascii="宋体" w:hAnsi="宋体" w:eastAsia="宋体" w:cs="宋体"/>
                <w:sz w:val="20"/>
                <w:szCs w:val="20"/>
              </w:rPr>
            </w:pPr>
            <w:r>
              <w:rPr>
                <w:rFonts w:ascii="宋体" w:hAnsi="宋体" w:eastAsia="宋体" w:cs="宋体"/>
                <w:spacing w:val="7"/>
                <w:sz w:val="20"/>
                <w:szCs w:val="20"/>
              </w:rPr>
              <w:t>路管工</w:t>
            </w:r>
            <w:r>
              <w:rPr>
                <w:rFonts w:ascii="宋体" w:hAnsi="宋体" w:eastAsia="宋体" w:cs="宋体"/>
                <w:spacing w:val="6"/>
                <w:sz w:val="20"/>
                <w:szCs w:val="20"/>
              </w:rPr>
              <w:t>程</w:t>
            </w:r>
          </w:p>
        </w:tc>
        <w:tc>
          <w:tcPr>
            <w:tcW w:w="824" w:type="dxa"/>
          </w:tcPr>
          <w:p w14:paraId="151FD007">
            <w:pPr>
              <w:spacing w:before="162" w:line="134" w:lineRule="exact"/>
              <w:ind w:left="363"/>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939" w:type="dxa"/>
          </w:tcPr>
          <w:p w14:paraId="007C53EB">
            <w:pPr>
              <w:spacing w:before="162" w:line="134" w:lineRule="exact"/>
              <w:ind w:left="420"/>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049" w:type="dxa"/>
          </w:tcPr>
          <w:p w14:paraId="3CAC1AC4">
            <w:pPr>
              <w:spacing w:before="162" w:line="134" w:lineRule="exact"/>
              <w:ind w:left="477"/>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755" w:type="dxa"/>
          </w:tcPr>
          <w:p w14:paraId="318B941E">
            <w:pPr>
              <w:spacing w:before="51" w:line="281" w:lineRule="exact"/>
              <w:ind w:left="245"/>
              <w:rPr>
                <w:rFonts w:ascii="Times New Roman" w:hAnsi="Times New Roman" w:eastAsia="Times New Roman" w:cs="Times New Roman"/>
                <w:sz w:val="20"/>
                <w:szCs w:val="20"/>
              </w:rPr>
            </w:pPr>
            <w:r>
              <w:rPr>
                <w:rFonts w:ascii="Times New Roman" w:hAnsi="Times New Roman" w:eastAsia="Times New Roman" w:cs="Times New Roman"/>
                <w:spacing w:val="-22"/>
                <w:position w:val="2"/>
                <w:sz w:val="20"/>
                <w:szCs w:val="20"/>
              </w:rPr>
              <w:t>▲</w:t>
            </w:r>
            <w:r>
              <w:rPr>
                <w:rFonts w:ascii="Times New Roman" w:hAnsi="Times New Roman" w:eastAsia="Times New Roman" w:cs="Times New Roman"/>
                <w:spacing w:val="-19"/>
                <w:position w:val="2"/>
                <w:sz w:val="20"/>
                <w:szCs w:val="20"/>
              </w:rPr>
              <w:t xml:space="preserve"> S</w:t>
            </w:r>
          </w:p>
        </w:tc>
        <w:tc>
          <w:tcPr>
            <w:tcW w:w="763" w:type="dxa"/>
          </w:tcPr>
          <w:p w14:paraId="52BE09B4">
            <w:pPr>
              <w:spacing w:before="51" w:line="281" w:lineRule="exact"/>
              <w:ind w:left="248"/>
              <w:rPr>
                <w:rFonts w:ascii="Times New Roman" w:hAnsi="Times New Roman" w:eastAsia="Times New Roman" w:cs="Times New Roman"/>
                <w:sz w:val="20"/>
                <w:szCs w:val="20"/>
              </w:rPr>
            </w:pPr>
            <w:r>
              <w:rPr>
                <w:rFonts w:ascii="Times New Roman" w:hAnsi="Times New Roman" w:eastAsia="Times New Roman" w:cs="Times New Roman"/>
                <w:spacing w:val="-22"/>
                <w:position w:val="2"/>
                <w:sz w:val="20"/>
                <w:szCs w:val="20"/>
              </w:rPr>
              <w:t>▲</w:t>
            </w:r>
            <w:r>
              <w:rPr>
                <w:rFonts w:ascii="Times New Roman" w:hAnsi="Times New Roman" w:eastAsia="Times New Roman" w:cs="Times New Roman"/>
                <w:spacing w:val="-19"/>
                <w:position w:val="2"/>
                <w:sz w:val="20"/>
                <w:szCs w:val="20"/>
              </w:rPr>
              <w:t xml:space="preserve"> S</w:t>
            </w:r>
          </w:p>
        </w:tc>
        <w:tc>
          <w:tcPr>
            <w:tcW w:w="1255" w:type="dxa"/>
          </w:tcPr>
          <w:p w14:paraId="5F87312E">
            <w:pPr>
              <w:spacing w:before="51" w:line="281" w:lineRule="exact"/>
              <w:ind w:left="496"/>
              <w:rPr>
                <w:rFonts w:ascii="Times New Roman" w:hAnsi="Times New Roman" w:eastAsia="Times New Roman" w:cs="Times New Roman"/>
                <w:sz w:val="20"/>
                <w:szCs w:val="20"/>
              </w:rPr>
            </w:pPr>
            <w:r>
              <w:rPr>
                <w:rFonts w:ascii="Times New Roman" w:hAnsi="Times New Roman" w:eastAsia="Times New Roman" w:cs="Times New Roman"/>
                <w:spacing w:val="-22"/>
                <w:position w:val="2"/>
                <w:sz w:val="20"/>
                <w:szCs w:val="20"/>
              </w:rPr>
              <w:t>▲</w:t>
            </w:r>
            <w:r>
              <w:rPr>
                <w:rFonts w:ascii="Times New Roman" w:hAnsi="Times New Roman" w:eastAsia="Times New Roman" w:cs="Times New Roman"/>
                <w:spacing w:val="-19"/>
                <w:position w:val="2"/>
                <w:sz w:val="20"/>
                <w:szCs w:val="20"/>
              </w:rPr>
              <w:t xml:space="preserve"> S</w:t>
            </w:r>
          </w:p>
        </w:tc>
        <w:tc>
          <w:tcPr>
            <w:tcW w:w="1314" w:type="dxa"/>
            <w:tcBorders>
              <w:right w:val="nil"/>
            </w:tcBorders>
          </w:tcPr>
          <w:p w14:paraId="6076960A">
            <w:pPr>
              <w:spacing w:before="51" w:line="281" w:lineRule="exact"/>
              <w:ind w:left="525"/>
              <w:rPr>
                <w:rFonts w:ascii="Times New Roman" w:hAnsi="Times New Roman" w:eastAsia="Times New Roman" w:cs="Times New Roman"/>
                <w:sz w:val="20"/>
                <w:szCs w:val="20"/>
              </w:rPr>
            </w:pPr>
            <w:r>
              <w:rPr>
                <w:rFonts w:ascii="Times New Roman" w:hAnsi="Times New Roman" w:eastAsia="Times New Roman" w:cs="Times New Roman"/>
                <w:spacing w:val="-22"/>
                <w:position w:val="2"/>
                <w:sz w:val="20"/>
                <w:szCs w:val="20"/>
              </w:rPr>
              <w:t>▲</w:t>
            </w:r>
            <w:r>
              <w:rPr>
                <w:rFonts w:ascii="Times New Roman" w:hAnsi="Times New Roman" w:eastAsia="Times New Roman" w:cs="Times New Roman"/>
                <w:spacing w:val="-19"/>
                <w:position w:val="2"/>
                <w:sz w:val="20"/>
                <w:szCs w:val="20"/>
              </w:rPr>
              <w:t xml:space="preserve"> S</w:t>
            </w:r>
          </w:p>
        </w:tc>
      </w:tr>
      <w:tr w14:paraId="1F999F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937" w:type="dxa"/>
            <w:vMerge w:val="restart"/>
            <w:tcBorders>
              <w:left w:val="nil"/>
              <w:bottom w:val="nil"/>
            </w:tcBorders>
          </w:tcPr>
          <w:p w14:paraId="45A42046">
            <w:pPr>
              <w:spacing w:line="293" w:lineRule="auto"/>
            </w:pPr>
          </w:p>
          <w:p w14:paraId="4476F9BE">
            <w:pPr>
              <w:spacing w:line="293" w:lineRule="auto"/>
            </w:pPr>
          </w:p>
          <w:p w14:paraId="2357BF79">
            <w:pPr>
              <w:spacing w:line="294" w:lineRule="auto"/>
            </w:pPr>
          </w:p>
          <w:p w14:paraId="78594970">
            <w:pPr>
              <w:spacing w:before="65" w:line="228" w:lineRule="auto"/>
              <w:ind w:left="161"/>
              <w:rPr>
                <w:rFonts w:ascii="宋体" w:hAnsi="宋体" w:eastAsia="宋体" w:cs="宋体"/>
                <w:sz w:val="20"/>
                <w:szCs w:val="20"/>
              </w:rPr>
            </w:pPr>
            <w:r>
              <w:rPr>
                <w:rFonts w:ascii="宋体" w:hAnsi="宋体" w:eastAsia="宋体" w:cs="宋体"/>
                <w:spacing w:val="7"/>
                <w:sz w:val="20"/>
                <w:szCs w:val="20"/>
              </w:rPr>
              <w:t>运营</w:t>
            </w:r>
            <w:r>
              <w:rPr>
                <w:rFonts w:ascii="宋体" w:hAnsi="宋体" w:eastAsia="宋体" w:cs="宋体"/>
                <w:spacing w:val="6"/>
                <w:sz w:val="20"/>
                <w:szCs w:val="20"/>
              </w:rPr>
              <w:t>期</w:t>
            </w:r>
          </w:p>
        </w:tc>
        <w:tc>
          <w:tcPr>
            <w:tcW w:w="496" w:type="dxa"/>
            <w:vMerge w:val="restart"/>
            <w:tcBorders>
              <w:bottom w:val="nil"/>
            </w:tcBorders>
            <w:textDirection w:val="tbRlV"/>
          </w:tcPr>
          <w:p w14:paraId="14634EA4">
            <w:pPr>
              <w:spacing w:before="141" w:line="217" w:lineRule="auto"/>
              <w:ind w:left="278"/>
              <w:rPr>
                <w:rFonts w:ascii="宋体" w:hAnsi="宋体" w:eastAsia="宋体" w:cs="宋体"/>
                <w:sz w:val="20"/>
                <w:szCs w:val="20"/>
              </w:rPr>
            </w:pPr>
            <w:r>
              <w:rPr>
                <w:rFonts w:ascii="宋体" w:hAnsi="宋体" w:eastAsia="宋体" w:cs="宋体"/>
                <w:spacing w:val="9"/>
                <w:sz w:val="20"/>
                <w:szCs w:val="20"/>
              </w:rPr>
              <w:t>场 区</w:t>
            </w:r>
          </w:p>
        </w:tc>
        <w:tc>
          <w:tcPr>
            <w:tcW w:w="1380" w:type="dxa"/>
          </w:tcPr>
          <w:p w14:paraId="40CCB448">
            <w:pPr>
              <w:spacing w:before="88" w:line="228" w:lineRule="auto"/>
              <w:ind w:left="276"/>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程废水</w:t>
            </w:r>
          </w:p>
        </w:tc>
        <w:tc>
          <w:tcPr>
            <w:tcW w:w="824" w:type="dxa"/>
          </w:tcPr>
          <w:p w14:paraId="082D0BAC">
            <w:pPr>
              <w:spacing w:before="88" w:line="235" w:lineRule="auto"/>
              <w:ind w:left="261"/>
              <w:rPr>
                <w:rFonts w:ascii="Times New Roman" w:hAnsi="Times New Roman" w:eastAsia="Times New Roman" w:cs="Times New Roman"/>
                <w:sz w:val="20"/>
                <w:szCs w:val="20"/>
              </w:rPr>
            </w:pPr>
            <w:r>
              <w:rPr>
                <w:rFonts w:ascii="宋体" w:hAnsi="宋体" w:eastAsia="宋体" w:cs="宋体"/>
                <w:spacing w:val="-4"/>
                <w:sz w:val="20"/>
                <w:szCs w:val="20"/>
              </w:rPr>
              <w:t>◆</w:t>
            </w:r>
            <w:r>
              <w:rPr>
                <w:rFonts w:ascii="Times New Roman" w:hAnsi="Times New Roman" w:eastAsia="Times New Roman" w:cs="Times New Roman"/>
                <w:spacing w:val="-2"/>
                <w:sz w:val="20"/>
                <w:szCs w:val="20"/>
              </w:rPr>
              <w:t>L</w:t>
            </w:r>
          </w:p>
        </w:tc>
        <w:tc>
          <w:tcPr>
            <w:tcW w:w="939" w:type="dxa"/>
          </w:tcPr>
          <w:p w14:paraId="43256CF9">
            <w:pPr>
              <w:spacing w:before="162" w:line="134" w:lineRule="exact"/>
              <w:ind w:left="420"/>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049" w:type="dxa"/>
          </w:tcPr>
          <w:p w14:paraId="0DD25BBC">
            <w:pPr>
              <w:spacing w:before="88" w:line="235" w:lineRule="auto"/>
              <w:ind w:left="365"/>
              <w:rPr>
                <w:rFonts w:ascii="Times New Roman" w:hAnsi="Times New Roman" w:eastAsia="Times New Roman" w:cs="Times New Roman"/>
                <w:sz w:val="20"/>
                <w:szCs w:val="20"/>
              </w:rPr>
            </w:pPr>
            <w:r>
              <w:rPr>
                <w:rFonts w:ascii="宋体" w:hAnsi="宋体" w:eastAsia="宋体" w:cs="宋体"/>
                <w:spacing w:val="1"/>
                <w:sz w:val="20"/>
                <w:szCs w:val="20"/>
              </w:rPr>
              <w:t>△</w:t>
            </w:r>
            <w:r>
              <w:rPr>
                <w:rFonts w:ascii="Times New Roman" w:hAnsi="Times New Roman" w:eastAsia="Times New Roman" w:cs="Times New Roman"/>
                <w:sz w:val="20"/>
                <w:szCs w:val="20"/>
              </w:rPr>
              <w:t>L</w:t>
            </w:r>
          </w:p>
        </w:tc>
        <w:tc>
          <w:tcPr>
            <w:tcW w:w="755" w:type="dxa"/>
          </w:tcPr>
          <w:p w14:paraId="5A15F584">
            <w:pPr>
              <w:spacing w:before="162" w:line="134" w:lineRule="exact"/>
              <w:ind w:left="328"/>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763" w:type="dxa"/>
          </w:tcPr>
          <w:p w14:paraId="1778A7F7">
            <w:pPr>
              <w:spacing w:before="88" w:line="235" w:lineRule="auto"/>
              <w:ind w:left="225"/>
              <w:rPr>
                <w:rFonts w:ascii="Times New Roman" w:hAnsi="Times New Roman" w:eastAsia="Times New Roman" w:cs="Times New Roman"/>
                <w:sz w:val="20"/>
                <w:szCs w:val="20"/>
              </w:rPr>
            </w:pPr>
            <w:r>
              <w:rPr>
                <w:rFonts w:ascii="宋体" w:hAnsi="宋体" w:eastAsia="宋体" w:cs="宋体"/>
                <w:spacing w:val="-1"/>
                <w:sz w:val="20"/>
                <w:szCs w:val="20"/>
              </w:rPr>
              <w:t>△</w:t>
            </w:r>
            <w:r>
              <w:rPr>
                <w:rFonts w:ascii="Times New Roman" w:hAnsi="Times New Roman" w:eastAsia="Times New Roman" w:cs="Times New Roman"/>
                <w:sz w:val="20"/>
                <w:szCs w:val="20"/>
              </w:rPr>
              <w:t>L</w:t>
            </w:r>
          </w:p>
        </w:tc>
        <w:tc>
          <w:tcPr>
            <w:tcW w:w="1255" w:type="dxa"/>
          </w:tcPr>
          <w:p w14:paraId="0AD06E7F">
            <w:pPr>
              <w:spacing w:before="88" w:line="235" w:lineRule="auto"/>
              <w:ind w:left="470"/>
              <w:rPr>
                <w:rFonts w:ascii="Times New Roman" w:hAnsi="Times New Roman" w:eastAsia="Times New Roman" w:cs="Times New Roman"/>
                <w:sz w:val="20"/>
                <w:szCs w:val="20"/>
              </w:rPr>
            </w:pPr>
            <w:r>
              <w:rPr>
                <w:rFonts w:ascii="宋体" w:hAnsi="宋体" w:eastAsia="宋体" w:cs="宋体"/>
                <w:spacing w:val="1"/>
                <w:sz w:val="20"/>
                <w:szCs w:val="20"/>
              </w:rPr>
              <w:t>△</w:t>
            </w:r>
            <w:r>
              <w:rPr>
                <w:rFonts w:ascii="Times New Roman" w:hAnsi="Times New Roman" w:eastAsia="Times New Roman" w:cs="Times New Roman"/>
                <w:sz w:val="20"/>
                <w:szCs w:val="20"/>
              </w:rPr>
              <w:t>L</w:t>
            </w:r>
          </w:p>
        </w:tc>
        <w:tc>
          <w:tcPr>
            <w:tcW w:w="1314" w:type="dxa"/>
            <w:tcBorders>
              <w:right w:val="nil"/>
            </w:tcBorders>
          </w:tcPr>
          <w:p w14:paraId="792BC7B7">
            <w:pPr>
              <w:spacing w:before="88" w:line="235" w:lineRule="auto"/>
              <w:ind w:left="508"/>
              <w:rPr>
                <w:rFonts w:ascii="Times New Roman" w:hAnsi="Times New Roman" w:eastAsia="Times New Roman" w:cs="Times New Roman"/>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L</w:t>
            </w:r>
          </w:p>
        </w:tc>
      </w:tr>
      <w:tr w14:paraId="3D6D6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937" w:type="dxa"/>
            <w:vMerge w:val="continue"/>
            <w:tcBorders>
              <w:top w:val="nil"/>
              <w:left w:val="nil"/>
              <w:bottom w:val="nil"/>
            </w:tcBorders>
          </w:tcPr>
          <w:p w14:paraId="638AEFF6"/>
        </w:tc>
        <w:tc>
          <w:tcPr>
            <w:tcW w:w="496" w:type="dxa"/>
            <w:vMerge w:val="continue"/>
            <w:tcBorders>
              <w:top w:val="nil"/>
              <w:bottom w:val="nil"/>
            </w:tcBorders>
            <w:textDirection w:val="tbRlV"/>
          </w:tcPr>
          <w:p w14:paraId="6424A75A"/>
        </w:tc>
        <w:tc>
          <w:tcPr>
            <w:tcW w:w="1380" w:type="dxa"/>
          </w:tcPr>
          <w:p w14:paraId="6D35129E">
            <w:pPr>
              <w:spacing w:before="88" w:line="228" w:lineRule="auto"/>
              <w:ind w:left="276"/>
              <w:rPr>
                <w:rFonts w:ascii="宋体" w:hAnsi="宋体" w:eastAsia="宋体" w:cs="宋体"/>
                <w:sz w:val="20"/>
                <w:szCs w:val="20"/>
              </w:rPr>
            </w:pPr>
            <w:r>
              <w:rPr>
                <w:rFonts w:ascii="宋体" w:hAnsi="宋体" w:eastAsia="宋体" w:cs="宋体"/>
                <w:spacing w:val="7"/>
                <w:sz w:val="20"/>
                <w:szCs w:val="20"/>
              </w:rPr>
              <w:t>生产恶</w:t>
            </w:r>
            <w:r>
              <w:rPr>
                <w:rFonts w:ascii="宋体" w:hAnsi="宋体" w:eastAsia="宋体" w:cs="宋体"/>
                <w:spacing w:val="6"/>
                <w:sz w:val="20"/>
                <w:szCs w:val="20"/>
              </w:rPr>
              <w:t>臭</w:t>
            </w:r>
          </w:p>
        </w:tc>
        <w:tc>
          <w:tcPr>
            <w:tcW w:w="824" w:type="dxa"/>
          </w:tcPr>
          <w:p w14:paraId="281818F5">
            <w:pPr>
              <w:spacing w:before="51" w:line="281" w:lineRule="exact"/>
              <w:ind w:left="273"/>
              <w:rPr>
                <w:rFonts w:ascii="Times New Roman" w:hAnsi="Times New Roman" w:eastAsia="Times New Roman" w:cs="Times New Roman"/>
                <w:sz w:val="20"/>
                <w:szCs w:val="20"/>
              </w:rPr>
            </w:pPr>
            <w:r>
              <w:rPr>
                <w:rFonts w:ascii="Times New Roman" w:hAnsi="Times New Roman" w:eastAsia="Times New Roman" w:cs="Times New Roman"/>
                <w:spacing w:val="-10"/>
                <w:position w:val="2"/>
                <w:sz w:val="20"/>
                <w:szCs w:val="20"/>
              </w:rPr>
              <w:t>▲</w:t>
            </w:r>
            <w:r>
              <w:rPr>
                <w:rFonts w:ascii="Times New Roman" w:hAnsi="Times New Roman" w:eastAsia="Times New Roman" w:cs="Times New Roman"/>
                <w:spacing w:val="-8"/>
                <w:position w:val="2"/>
                <w:sz w:val="20"/>
                <w:szCs w:val="20"/>
              </w:rPr>
              <w:t>L</w:t>
            </w:r>
          </w:p>
        </w:tc>
        <w:tc>
          <w:tcPr>
            <w:tcW w:w="939" w:type="dxa"/>
          </w:tcPr>
          <w:p w14:paraId="3F8235A9">
            <w:pPr>
              <w:spacing w:before="162" w:line="134" w:lineRule="exact"/>
              <w:ind w:left="420"/>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049" w:type="dxa"/>
          </w:tcPr>
          <w:p w14:paraId="01517941">
            <w:pPr>
              <w:spacing w:before="162" w:line="134" w:lineRule="exact"/>
              <w:ind w:left="477"/>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755" w:type="dxa"/>
          </w:tcPr>
          <w:p w14:paraId="2DA55276">
            <w:pPr>
              <w:spacing w:before="162" w:line="134" w:lineRule="exact"/>
              <w:ind w:left="328"/>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763" w:type="dxa"/>
          </w:tcPr>
          <w:p w14:paraId="3A5933EA">
            <w:pPr>
              <w:spacing w:before="162" w:line="134" w:lineRule="exact"/>
              <w:ind w:left="334"/>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255" w:type="dxa"/>
          </w:tcPr>
          <w:p w14:paraId="0B295C15">
            <w:pPr>
              <w:spacing w:before="162" w:line="134" w:lineRule="exact"/>
              <w:ind w:left="581"/>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314" w:type="dxa"/>
            <w:tcBorders>
              <w:right w:val="nil"/>
            </w:tcBorders>
          </w:tcPr>
          <w:p w14:paraId="4CBE591C">
            <w:pPr>
              <w:spacing w:before="51" w:line="281" w:lineRule="exact"/>
              <w:ind w:left="517"/>
              <w:rPr>
                <w:rFonts w:ascii="Times New Roman" w:hAnsi="Times New Roman" w:eastAsia="Times New Roman" w:cs="Times New Roman"/>
                <w:sz w:val="20"/>
                <w:szCs w:val="20"/>
              </w:rPr>
            </w:pPr>
            <w:r>
              <w:rPr>
                <w:rFonts w:ascii="Times New Roman" w:hAnsi="Times New Roman" w:eastAsia="Times New Roman" w:cs="Times New Roman"/>
                <w:spacing w:val="-10"/>
                <w:position w:val="2"/>
                <w:sz w:val="20"/>
                <w:szCs w:val="20"/>
              </w:rPr>
              <w:t>▲</w:t>
            </w:r>
            <w:r>
              <w:rPr>
                <w:rFonts w:ascii="Times New Roman" w:hAnsi="Times New Roman" w:eastAsia="Times New Roman" w:cs="Times New Roman"/>
                <w:spacing w:val="-8"/>
                <w:position w:val="2"/>
                <w:sz w:val="20"/>
                <w:szCs w:val="20"/>
              </w:rPr>
              <w:t>L</w:t>
            </w:r>
          </w:p>
        </w:tc>
      </w:tr>
      <w:tr w14:paraId="085AC5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937" w:type="dxa"/>
            <w:vMerge w:val="continue"/>
            <w:tcBorders>
              <w:top w:val="nil"/>
              <w:left w:val="nil"/>
              <w:bottom w:val="nil"/>
            </w:tcBorders>
          </w:tcPr>
          <w:p w14:paraId="29D32EE2"/>
        </w:tc>
        <w:tc>
          <w:tcPr>
            <w:tcW w:w="496" w:type="dxa"/>
            <w:vMerge w:val="continue"/>
            <w:tcBorders>
              <w:top w:val="nil"/>
            </w:tcBorders>
            <w:textDirection w:val="tbRlV"/>
          </w:tcPr>
          <w:p w14:paraId="25BA5345"/>
        </w:tc>
        <w:tc>
          <w:tcPr>
            <w:tcW w:w="1380" w:type="dxa"/>
          </w:tcPr>
          <w:p w14:paraId="78193642">
            <w:pPr>
              <w:spacing w:before="88" w:line="228" w:lineRule="auto"/>
              <w:ind w:left="276"/>
              <w:rPr>
                <w:rFonts w:ascii="宋体" w:hAnsi="宋体" w:eastAsia="宋体" w:cs="宋体"/>
                <w:sz w:val="20"/>
                <w:szCs w:val="20"/>
              </w:rPr>
            </w:pPr>
            <w:r>
              <w:rPr>
                <w:rFonts w:ascii="宋体" w:hAnsi="宋体" w:eastAsia="宋体" w:cs="宋体"/>
                <w:spacing w:val="7"/>
                <w:sz w:val="20"/>
                <w:szCs w:val="20"/>
              </w:rPr>
              <w:t>生产噪</w:t>
            </w:r>
            <w:r>
              <w:rPr>
                <w:rFonts w:ascii="宋体" w:hAnsi="宋体" w:eastAsia="宋体" w:cs="宋体"/>
                <w:spacing w:val="6"/>
                <w:sz w:val="20"/>
                <w:szCs w:val="20"/>
              </w:rPr>
              <w:t>声</w:t>
            </w:r>
          </w:p>
        </w:tc>
        <w:tc>
          <w:tcPr>
            <w:tcW w:w="824" w:type="dxa"/>
          </w:tcPr>
          <w:p w14:paraId="7A438B04">
            <w:pPr>
              <w:spacing w:before="162" w:line="134" w:lineRule="exact"/>
              <w:ind w:left="363"/>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939" w:type="dxa"/>
          </w:tcPr>
          <w:p w14:paraId="0C392133">
            <w:pPr>
              <w:spacing w:before="162" w:line="134" w:lineRule="exact"/>
              <w:ind w:left="420"/>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049" w:type="dxa"/>
          </w:tcPr>
          <w:p w14:paraId="06BB680A">
            <w:pPr>
              <w:spacing w:before="162" w:line="134" w:lineRule="exact"/>
              <w:ind w:left="477"/>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755" w:type="dxa"/>
          </w:tcPr>
          <w:p w14:paraId="5E92F82F">
            <w:pPr>
              <w:spacing w:before="88" w:line="235" w:lineRule="auto"/>
              <w:ind w:left="226"/>
              <w:rPr>
                <w:rFonts w:ascii="Times New Roman" w:hAnsi="Times New Roman" w:eastAsia="Times New Roman" w:cs="Times New Roman"/>
                <w:sz w:val="20"/>
                <w:szCs w:val="20"/>
              </w:rPr>
            </w:pPr>
            <w:r>
              <w:rPr>
                <w:rFonts w:ascii="宋体" w:hAnsi="宋体" w:eastAsia="宋体" w:cs="宋体"/>
                <w:spacing w:val="-4"/>
                <w:sz w:val="20"/>
                <w:szCs w:val="20"/>
              </w:rPr>
              <w:t>◆</w:t>
            </w:r>
            <w:r>
              <w:rPr>
                <w:rFonts w:ascii="Times New Roman" w:hAnsi="Times New Roman" w:eastAsia="Times New Roman" w:cs="Times New Roman"/>
                <w:spacing w:val="-2"/>
                <w:sz w:val="20"/>
                <w:szCs w:val="20"/>
              </w:rPr>
              <w:t>L</w:t>
            </w:r>
          </w:p>
        </w:tc>
        <w:tc>
          <w:tcPr>
            <w:tcW w:w="763" w:type="dxa"/>
          </w:tcPr>
          <w:p w14:paraId="474817E3">
            <w:pPr>
              <w:spacing w:before="162" w:line="134" w:lineRule="exact"/>
              <w:ind w:left="334"/>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255" w:type="dxa"/>
          </w:tcPr>
          <w:p w14:paraId="33C94020">
            <w:pPr>
              <w:spacing w:before="162" w:line="134" w:lineRule="exact"/>
              <w:ind w:left="581"/>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314" w:type="dxa"/>
            <w:tcBorders>
              <w:right w:val="nil"/>
            </w:tcBorders>
          </w:tcPr>
          <w:p w14:paraId="4AADCB3D">
            <w:pPr>
              <w:spacing w:before="51" w:line="281" w:lineRule="exact"/>
              <w:ind w:left="517"/>
              <w:rPr>
                <w:rFonts w:ascii="Times New Roman" w:hAnsi="Times New Roman" w:eastAsia="Times New Roman" w:cs="Times New Roman"/>
                <w:sz w:val="20"/>
                <w:szCs w:val="20"/>
              </w:rPr>
            </w:pPr>
            <w:r>
              <w:rPr>
                <w:rFonts w:ascii="Times New Roman" w:hAnsi="Times New Roman" w:eastAsia="Times New Roman" w:cs="Times New Roman"/>
                <w:spacing w:val="-10"/>
                <w:position w:val="2"/>
                <w:sz w:val="20"/>
                <w:szCs w:val="20"/>
              </w:rPr>
              <w:t>▲</w:t>
            </w:r>
            <w:r>
              <w:rPr>
                <w:rFonts w:ascii="Times New Roman" w:hAnsi="Times New Roman" w:eastAsia="Times New Roman" w:cs="Times New Roman"/>
                <w:spacing w:val="-8"/>
                <w:position w:val="2"/>
                <w:sz w:val="20"/>
                <w:szCs w:val="20"/>
              </w:rPr>
              <w:t>L</w:t>
            </w:r>
          </w:p>
        </w:tc>
      </w:tr>
      <w:tr w14:paraId="541EB5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937" w:type="dxa"/>
            <w:vMerge w:val="continue"/>
            <w:tcBorders>
              <w:top w:val="nil"/>
              <w:left w:val="nil"/>
              <w:bottom w:val="nil"/>
            </w:tcBorders>
          </w:tcPr>
          <w:p w14:paraId="1D4ACC94"/>
        </w:tc>
        <w:tc>
          <w:tcPr>
            <w:tcW w:w="1876" w:type="dxa"/>
            <w:gridSpan w:val="2"/>
          </w:tcPr>
          <w:p w14:paraId="599707F4">
            <w:pPr>
              <w:spacing w:before="89" w:line="228" w:lineRule="auto"/>
              <w:ind w:left="332"/>
              <w:rPr>
                <w:rFonts w:ascii="宋体" w:hAnsi="宋体" w:eastAsia="宋体" w:cs="宋体"/>
                <w:sz w:val="20"/>
                <w:szCs w:val="20"/>
              </w:rPr>
            </w:pPr>
            <w:r>
              <w:rPr>
                <w:rFonts w:ascii="宋体" w:hAnsi="宋体" w:eastAsia="宋体" w:cs="宋体"/>
                <w:spacing w:val="6"/>
                <w:sz w:val="20"/>
                <w:szCs w:val="20"/>
              </w:rPr>
              <w:t>固</w:t>
            </w:r>
            <w:r>
              <w:rPr>
                <w:rFonts w:ascii="宋体" w:hAnsi="宋体" w:eastAsia="宋体" w:cs="宋体"/>
                <w:spacing w:val="5"/>
                <w:sz w:val="20"/>
                <w:szCs w:val="20"/>
              </w:rPr>
              <w:t>废综合利用</w:t>
            </w:r>
          </w:p>
        </w:tc>
        <w:tc>
          <w:tcPr>
            <w:tcW w:w="824" w:type="dxa"/>
          </w:tcPr>
          <w:p w14:paraId="121912B4">
            <w:pPr>
              <w:spacing w:before="88" w:line="235" w:lineRule="auto"/>
              <w:ind w:left="261"/>
              <w:rPr>
                <w:rFonts w:ascii="Times New Roman" w:hAnsi="Times New Roman" w:eastAsia="Times New Roman" w:cs="Times New Roman"/>
                <w:sz w:val="20"/>
                <w:szCs w:val="20"/>
              </w:rPr>
            </w:pPr>
            <w:r>
              <w:rPr>
                <w:rFonts w:ascii="宋体" w:hAnsi="宋体" w:eastAsia="宋体" w:cs="宋体"/>
                <w:spacing w:val="-4"/>
                <w:sz w:val="20"/>
                <w:szCs w:val="20"/>
              </w:rPr>
              <w:t>◆</w:t>
            </w:r>
            <w:r>
              <w:rPr>
                <w:rFonts w:ascii="Times New Roman" w:hAnsi="Times New Roman" w:eastAsia="Times New Roman" w:cs="Times New Roman"/>
                <w:spacing w:val="-2"/>
                <w:sz w:val="20"/>
                <w:szCs w:val="20"/>
              </w:rPr>
              <w:t>L</w:t>
            </w:r>
          </w:p>
        </w:tc>
        <w:tc>
          <w:tcPr>
            <w:tcW w:w="939" w:type="dxa"/>
          </w:tcPr>
          <w:p w14:paraId="66EF4EEB">
            <w:pPr>
              <w:spacing w:before="88" w:line="235" w:lineRule="auto"/>
              <w:ind w:left="311"/>
              <w:rPr>
                <w:rFonts w:ascii="Times New Roman" w:hAnsi="Times New Roman" w:eastAsia="Times New Roman" w:cs="Times New Roman"/>
                <w:sz w:val="20"/>
                <w:szCs w:val="20"/>
              </w:rPr>
            </w:pPr>
            <w:r>
              <w:rPr>
                <w:rFonts w:ascii="宋体" w:hAnsi="宋体" w:eastAsia="宋体" w:cs="宋体"/>
                <w:spacing w:val="1"/>
                <w:sz w:val="20"/>
                <w:szCs w:val="20"/>
              </w:rPr>
              <w:t>△</w:t>
            </w:r>
            <w:r>
              <w:rPr>
                <w:rFonts w:ascii="Times New Roman" w:hAnsi="Times New Roman" w:eastAsia="Times New Roman" w:cs="Times New Roman"/>
                <w:sz w:val="20"/>
                <w:szCs w:val="20"/>
              </w:rPr>
              <w:t>L</w:t>
            </w:r>
          </w:p>
        </w:tc>
        <w:tc>
          <w:tcPr>
            <w:tcW w:w="1049" w:type="dxa"/>
          </w:tcPr>
          <w:p w14:paraId="05B36AD0">
            <w:pPr>
              <w:spacing w:before="88" w:line="235" w:lineRule="auto"/>
              <w:ind w:left="365"/>
              <w:rPr>
                <w:rFonts w:ascii="Times New Roman" w:hAnsi="Times New Roman" w:eastAsia="Times New Roman" w:cs="Times New Roman"/>
                <w:sz w:val="20"/>
                <w:szCs w:val="20"/>
              </w:rPr>
            </w:pPr>
            <w:r>
              <w:rPr>
                <w:rFonts w:ascii="宋体" w:hAnsi="宋体" w:eastAsia="宋体" w:cs="宋体"/>
                <w:spacing w:val="1"/>
                <w:sz w:val="20"/>
                <w:szCs w:val="20"/>
              </w:rPr>
              <w:t>△</w:t>
            </w:r>
            <w:r>
              <w:rPr>
                <w:rFonts w:ascii="Times New Roman" w:hAnsi="Times New Roman" w:eastAsia="Times New Roman" w:cs="Times New Roman"/>
                <w:sz w:val="20"/>
                <w:szCs w:val="20"/>
              </w:rPr>
              <w:t>L</w:t>
            </w:r>
          </w:p>
        </w:tc>
        <w:tc>
          <w:tcPr>
            <w:tcW w:w="755" w:type="dxa"/>
          </w:tcPr>
          <w:p w14:paraId="4F154E15">
            <w:pPr>
              <w:spacing w:before="162" w:line="134" w:lineRule="exact"/>
              <w:ind w:left="328"/>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763" w:type="dxa"/>
          </w:tcPr>
          <w:p w14:paraId="7F614F05">
            <w:pPr>
              <w:spacing w:before="162" w:line="134" w:lineRule="exact"/>
              <w:ind w:left="334"/>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255" w:type="dxa"/>
          </w:tcPr>
          <w:p w14:paraId="53217963">
            <w:pPr>
              <w:spacing w:before="162" w:line="134" w:lineRule="exact"/>
              <w:ind w:left="581"/>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314" w:type="dxa"/>
            <w:tcBorders>
              <w:right w:val="nil"/>
            </w:tcBorders>
          </w:tcPr>
          <w:p w14:paraId="463AAD7F">
            <w:pPr>
              <w:spacing w:before="88" w:line="235" w:lineRule="auto"/>
              <w:ind w:left="501"/>
              <w:rPr>
                <w:rFonts w:ascii="Times New Roman" w:hAnsi="Times New Roman" w:eastAsia="Times New Roman" w:cs="Times New Roman"/>
                <w:sz w:val="20"/>
                <w:szCs w:val="20"/>
              </w:rPr>
            </w:pPr>
            <w:r>
              <w:rPr>
                <w:rFonts w:ascii="宋体" w:hAnsi="宋体" w:eastAsia="宋体" w:cs="宋体"/>
                <w:spacing w:val="-1"/>
                <w:sz w:val="20"/>
                <w:szCs w:val="20"/>
              </w:rPr>
              <w:t>△</w:t>
            </w:r>
            <w:r>
              <w:rPr>
                <w:rFonts w:ascii="Times New Roman" w:hAnsi="Times New Roman" w:eastAsia="Times New Roman" w:cs="Times New Roman"/>
                <w:sz w:val="20"/>
                <w:szCs w:val="20"/>
              </w:rPr>
              <w:t>L</w:t>
            </w:r>
          </w:p>
        </w:tc>
      </w:tr>
      <w:tr w14:paraId="682724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937" w:type="dxa"/>
            <w:vMerge w:val="continue"/>
            <w:tcBorders>
              <w:top w:val="nil"/>
              <w:left w:val="nil"/>
              <w:bottom w:val="nil"/>
            </w:tcBorders>
          </w:tcPr>
          <w:p w14:paraId="392603EF"/>
        </w:tc>
        <w:tc>
          <w:tcPr>
            <w:tcW w:w="1876" w:type="dxa"/>
            <w:gridSpan w:val="2"/>
          </w:tcPr>
          <w:p w14:paraId="0271BB26">
            <w:pPr>
              <w:spacing w:before="88" w:line="228" w:lineRule="auto"/>
              <w:ind w:left="524"/>
              <w:rPr>
                <w:rFonts w:ascii="宋体" w:hAnsi="宋体" w:eastAsia="宋体" w:cs="宋体"/>
                <w:sz w:val="20"/>
                <w:szCs w:val="20"/>
              </w:rPr>
            </w:pPr>
            <w:r>
              <w:rPr>
                <w:rFonts w:ascii="宋体" w:hAnsi="宋体" w:eastAsia="宋体" w:cs="宋体"/>
                <w:spacing w:val="7"/>
                <w:sz w:val="20"/>
                <w:szCs w:val="20"/>
              </w:rPr>
              <w:t>车辆运</w:t>
            </w:r>
            <w:r>
              <w:rPr>
                <w:rFonts w:ascii="宋体" w:hAnsi="宋体" w:eastAsia="宋体" w:cs="宋体"/>
                <w:spacing w:val="6"/>
                <w:sz w:val="20"/>
                <w:szCs w:val="20"/>
              </w:rPr>
              <w:t>输</w:t>
            </w:r>
          </w:p>
        </w:tc>
        <w:tc>
          <w:tcPr>
            <w:tcW w:w="824" w:type="dxa"/>
          </w:tcPr>
          <w:p w14:paraId="602553AE">
            <w:pPr>
              <w:spacing w:before="51" w:line="281" w:lineRule="exact"/>
              <w:ind w:left="273"/>
              <w:rPr>
                <w:rFonts w:ascii="Times New Roman" w:hAnsi="Times New Roman" w:eastAsia="Times New Roman" w:cs="Times New Roman"/>
                <w:sz w:val="20"/>
                <w:szCs w:val="20"/>
              </w:rPr>
            </w:pPr>
            <w:r>
              <w:rPr>
                <w:rFonts w:ascii="Times New Roman" w:hAnsi="Times New Roman" w:eastAsia="Times New Roman" w:cs="Times New Roman"/>
                <w:spacing w:val="-10"/>
                <w:position w:val="2"/>
                <w:sz w:val="20"/>
                <w:szCs w:val="20"/>
              </w:rPr>
              <w:t>▲</w:t>
            </w:r>
            <w:r>
              <w:rPr>
                <w:rFonts w:ascii="Times New Roman" w:hAnsi="Times New Roman" w:eastAsia="Times New Roman" w:cs="Times New Roman"/>
                <w:spacing w:val="-8"/>
                <w:position w:val="2"/>
                <w:sz w:val="20"/>
                <w:szCs w:val="20"/>
              </w:rPr>
              <w:t>L</w:t>
            </w:r>
          </w:p>
        </w:tc>
        <w:tc>
          <w:tcPr>
            <w:tcW w:w="939" w:type="dxa"/>
          </w:tcPr>
          <w:p w14:paraId="130820DE">
            <w:pPr>
              <w:spacing w:before="162" w:line="134" w:lineRule="exact"/>
              <w:ind w:left="420"/>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049" w:type="dxa"/>
          </w:tcPr>
          <w:p w14:paraId="39E1A949">
            <w:pPr>
              <w:spacing w:before="162" w:line="134" w:lineRule="exact"/>
              <w:ind w:left="477"/>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755" w:type="dxa"/>
          </w:tcPr>
          <w:p w14:paraId="212817AF">
            <w:pPr>
              <w:spacing w:before="51" w:line="281" w:lineRule="exact"/>
              <w:ind w:left="238"/>
              <w:rPr>
                <w:rFonts w:ascii="Times New Roman" w:hAnsi="Times New Roman" w:eastAsia="Times New Roman" w:cs="Times New Roman"/>
                <w:sz w:val="20"/>
                <w:szCs w:val="20"/>
              </w:rPr>
            </w:pPr>
            <w:r>
              <w:rPr>
                <w:rFonts w:ascii="Times New Roman" w:hAnsi="Times New Roman" w:eastAsia="Times New Roman" w:cs="Times New Roman"/>
                <w:spacing w:val="-10"/>
                <w:position w:val="2"/>
                <w:sz w:val="20"/>
                <w:szCs w:val="20"/>
              </w:rPr>
              <w:t>▲</w:t>
            </w:r>
            <w:r>
              <w:rPr>
                <w:rFonts w:ascii="Times New Roman" w:hAnsi="Times New Roman" w:eastAsia="Times New Roman" w:cs="Times New Roman"/>
                <w:spacing w:val="-8"/>
                <w:position w:val="2"/>
                <w:sz w:val="20"/>
                <w:szCs w:val="20"/>
              </w:rPr>
              <w:t>L</w:t>
            </w:r>
          </w:p>
        </w:tc>
        <w:tc>
          <w:tcPr>
            <w:tcW w:w="763" w:type="dxa"/>
          </w:tcPr>
          <w:p w14:paraId="1A2156F7">
            <w:pPr>
              <w:spacing w:before="162" w:line="134" w:lineRule="exact"/>
              <w:ind w:left="334"/>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255" w:type="dxa"/>
          </w:tcPr>
          <w:p w14:paraId="0C11F2AA">
            <w:pPr>
              <w:spacing w:before="162" w:line="134" w:lineRule="exact"/>
              <w:ind w:left="581"/>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314" w:type="dxa"/>
            <w:tcBorders>
              <w:right w:val="nil"/>
            </w:tcBorders>
          </w:tcPr>
          <w:p w14:paraId="27970853">
            <w:pPr>
              <w:spacing w:before="51" w:line="281" w:lineRule="exact"/>
              <w:ind w:left="517"/>
              <w:rPr>
                <w:rFonts w:ascii="Times New Roman" w:hAnsi="Times New Roman" w:eastAsia="Times New Roman" w:cs="Times New Roman"/>
                <w:sz w:val="20"/>
                <w:szCs w:val="20"/>
              </w:rPr>
            </w:pPr>
            <w:r>
              <w:rPr>
                <w:rFonts w:ascii="Times New Roman" w:hAnsi="Times New Roman" w:eastAsia="Times New Roman" w:cs="Times New Roman"/>
                <w:spacing w:val="-10"/>
                <w:position w:val="2"/>
                <w:sz w:val="20"/>
                <w:szCs w:val="20"/>
              </w:rPr>
              <w:t>▲</w:t>
            </w:r>
            <w:r>
              <w:rPr>
                <w:rFonts w:ascii="Times New Roman" w:hAnsi="Times New Roman" w:eastAsia="Times New Roman" w:cs="Times New Roman"/>
                <w:spacing w:val="-8"/>
                <w:position w:val="2"/>
                <w:sz w:val="20"/>
                <w:szCs w:val="20"/>
              </w:rPr>
              <w:t>L</w:t>
            </w:r>
          </w:p>
        </w:tc>
      </w:tr>
      <w:tr w14:paraId="7C4CD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937" w:type="dxa"/>
            <w:vMerge w:val="continue"/>
            <w:tcBorders>
              <w:top w:val="nil"/>
              <w:left w:val="nil"/>
            </w:tcBorders>
          </w:tcPr>
          <w:p w14:paraId="40A4C6BE"/>
        </w:tc>
        <w:tc>
          <w:tcPr>
            <w:tcW w:w="1876" w:type="dxa"/>
            <w:gridSpan w:val="2"/>
          </w:tcPr>
          <w:p w14:paraId="0C69376D">
            <w:pPr>
              <w:spacing w:before="82" w:line="228" w:lineRule="auto"/>
              <w:ind w:left="735"/>
              <w:rPr>
                <w:rFonts w:ascii="宋体" w:hAnsi="宋体" w:eastAsia="宋体" w:cs="宋体"/>
                <w:sz w:val="20"/>
                <w:szCs w:val="20"/>
              </w:rPr>
            </w:pPr>
            <w:r>
              <w:rPr>
                <w:rFonts w:ascii="宋体" w:hAnsi="宋体" w:eastAsia="宋体" w:cs="宋体"/>
                <w:spacing w:val="4"/>
                <w:sz w:val="20"/>
                <w:szCs w:val="20"/>
              </w:rPr>
              <w:t>土壤</w:t>
            </w:r>
          </w:p>
        </w:tc>
        <w:tc>
          <w:tcPr>
            <w:tcW w:w="824" w:type="dxa"/>
          </w:tcPr>
          <w:p w14:paraId="3B800041">
            <w:pPr>
              <w:spacing w:before="155" w:line="134" w:lineRule="exact"/>
              <w:ind w:left="363"/>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939" w:type="dxa"/>
          </w:tcPr>
          <w:p w14:paraId="3896852C">
            <w:pPr>
              <w:spacing w:before="82" w:line="228" w:lineRule="auto"/>
              <w:ind w:left="311"/>
              <w:rPr>
                <w:rFonts w:ascii="Times New Roman" w:hAnsi="Times New Roman" w:eastAsia="Times New Roman" w:cs="Times New Roman"/>
                <w:sz w:val="20"/>
                <w:szCs w:val="20"/>
              </w:rPr>
            </w:pPr>
            <w:r>
              <w:rPr>
                <w:rFonts w:ascii="宋体" w:hAnsi="宋体" w:eastAsia="宋体" w:cs="宋体"/>
                <w:spacing w:val="1"/>
                <w:sz w:val="20"/>
                <w:szCs w:val="20"/>
              </w:rPr>
              <w:t>△</w:t>
            </w:r>
            <w:r>
              <w:rPr>
                <w:rFonts w:ascii="Times New Roman" w:hAnsi="Times New Roman" w:eastAsia="Times New Roman" w:cs="Times New Roman"/>
                <w:sz w:val="20"/>
                <w:szCs w:val="20"/>
              </w:rPr>
              <w:t>L</w:t>
            </w:r>
          </w:p>
        </w:tc>
        <w:tc>
          <w:tcPr>
            <w:tcW w:w="1049" w:type="dxa"/>
          </w:tcPr>
          <w:p w14:paraId="017FAE5F">
            <w:pPr>
              <w:spacing w:before="82" w:line="228" w:lineRule="auto"/>
              <w:ind w:left="365"/>
              <w:rPr>
                <w:rFonts w:ascii="Times New Roman" w:hAnsi="Times New Roman" w:eastAsia="Times New Roman" w:cs="Times New Roman"/>
                <w:sz w:val="20"/>
                <w:szCs w:val="20"/>
              </w:rPr>
            </w:pPr>
            <w:r>
              <w:rPr>
                <w:rFonts w:ascii="宋体" w:hAnsi="宋体" w:eastAsia="宋体" w:cs="宋体"/>
                <w:spacing w:val="1"/>
                <w:sz w:val="20"/>
                <w:szCs w:val="20"/>
              </w:rPr>
              <w:t>△</w:t>
            </w:r>
            <w:r>
              <w:rPr>
                <w:rFonts w:ascii="Times New Roman" w:hAnsi="Times New Roman" w:eastAsia="Times New Roman" w:cs="Times New Roman"/>
                <w:sz w:val="20"/>
                <w:szCs w:val="20"/>
              </w:rPr>
              <w:t>L</w:t>
            </w:r>
          </w:p>
        </w:tc>
        <w:tc>
          <w:tcPr>
            <w:tcW w:w="755" w:type="dxa"/>
          </w:tcPr>
          <w:p w14:paraId="1A512DA2">
            <w:pPr>
              <w:spacing w:before="155" w:line="134" w:lineRule="exact"/>
              <w:ind w:left="328"/>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763" w:type="dxa"/>
          </w:tcPr>
          <w:p w14:paraId="37505F65">
            <w:pPr>
              <w:spacing w:before="155" w:line="134" w:lineRule="exact"/>
              <w:ind w:left="334"/>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255" w:type="dxa"/>
          </w:tcPr>
          <w:p w14:paraId="216865DF">
            <w:pPr>
              <w:spacing w:before="155" w:line="134" w:lineRule="exact"/>
              <w:ind w:left="581"/>
              <w:rPr>
                <w:rFonts w:ascii="Times New Roman" w:hAnsi="Times New Roman" w:eastAsia="Times New Roman" w:cs="Times New Roman"/>
                <w:sz w:val="10"/>
                <w:szCs w:val="10"/>
              </w:rPr>
            </w:pPr>
            <w:r>
              <w:rPr>
                <w:rFonts w:ascii="Times New Roman" w:hAnsi="Times New Roman" w:eastAsia="Times New Roman" w:cs="Times New Roman"/>
                <w:spacing w:val="47"/>
                <w:position w:val="1"/>
                <w:sz w:val="10"/>
                <w:szCs w:val="10"/>
              </w:rPr>
              <w:t>○</w:t>
            </w:r>
          </w:p>
        </w:tc>
        <w:tc>
          <w:tcPr>
            <w:tcW w:w="1314" w:type="dxa"/>
            <w:tcBorders>
              <w:right w:val="nil"/>
            </w:tcBorders>
          </w:tcPr>
          <w:p w14:paraId="3D18D269">
            <w:pPr>
              <w:spacing w:before="43" w:line="281" w:lineRule="exact"/>
              <w:ind w:left="517"/>
              <w:rPr>
                <w:rFonts w:ascii="Times New Roman" w:hAnsi="Times New Roman" w:eastAsia="Times New Roman" w:cs="Times New Roman"/>
                <w:sz w:val="20"/>
                <w:szCs w:val="20"/>
              </w:rPr>
            </w:pPr>
            <w:r>
              <w:rPr>
                <w:rFonts w:ascii="Times New Roman" w:hAnsi="Times New Roman" w:eastAsia="Times New Roman" w:cs="Times New Roman"/>
                <w:spacing w:val="-10"/>
                <w:position w:val="2"/>
                <w:sz w:val="20"/>
                <w:szCs w:val="20"/>
              </w:rPr>
              <w:t>▲</w:t>
            </w:r>
            <w:r>
              <w:rPr>
                <w:rFonts w:ascii="Times New Roman" w:hAnsi="Times New Roman" w:eastAsia="Times New Roman" w:cs="Times New Roman"/>
                <w:spacing w:val="-8"/>
                <w:position w:val="2"/>
                <w:sz w:val="20"/>
                <w:szCs w:val="20"/>
              </w:rPr>
              <w:t>L</w:t>
            </w:r>
          </w:p>
        </w:tc>
      </w:tr>
    </w:tbl>
    <w:p w14:paraId="2B7BE0C1">
      <w:pPr>
        <w:spacing w:before="53" w:line="281" w:lineRule="exact"/>
        <w:ind w:left="130"/>
        <w:rPr>
          <w:rFonts w:ascii="宋体" w:hAnsi="宋体" w:eastAsia="宋体" w:cs="宋体"/>
          <w:sz w:val="20"/>
          <w:szCs w:val="20"/>
        </w:rPr>
      </w:pPr>
      <w:r>
        <w:rPr>
          <w:rFonts w:ascii="宋体" w:hAnsi="宋体" w:eastAsia="宋体" w:cs="宋体"/>
          <w:spacing w:val="-1"/>
          <w:position w:val="1"/>
          <w:sz w:val="20"/>
          <w:szCs w:val="20"/>
        </w:rPr>
        <w:t xml:space="preserve">◆有影响， </w:t>
      </w:r>
      <w:r>
        <w:rPr>
          <w:rFonts w:ascii="Times New Roman" w:hAnsi="Times New Roman" w:eastAsia="Times New Roman" w:cs="Times New Roman"/>
          <w:spacing w:val="-1"/>
          <w:position w:val="1"/>
          <w:sz w:val="20"/>
          <w:szCs w:val="20"/>
        </w:rPr>
        <w:t>▲</w:t>
      </w:r>
      <w:r>
        <w:rPr>
          <w:rFonts w:ascii="宋体" w:hAnsi="宋体" w:eastAsia="宋体" w:cs="宋体"/>
          <w:spacing w:val="-1"/>
          <w:position w:val="1"/>
          <w:sz w:val="20"/>
          <w:szCs w:val="20"/>
        </w:rPr>
        <w:t xml:space="preserve">有轻微影响， △可能有影响， </w:t>
      </w:r>
      <w:r>
        <w:rPr>
          <w:rFonts w:ascii="Times New Roman" w:hAnsi="Times New Roman" w:eastAsia="Times New Roman" w:cs="Times New Roman"/>
          <w:spacing w:val="-1"/>
          <w:position w:val="1"/>
          <w:sz w:val="20"/>
          <w:szCs w:val="20"/>
        </w:rPr>
        <w:t>○</w:t>
      </w:r>
      <w:r>
        <w:rPr>
          <w:rFonts w:ascii="Times New Roman" w:hAnsi="Times New Roman" w:eastAsia="Times New Roman" w:cs="Times New Roman"/>
          <w:position w:val="1"/>
          <w:sz w:val="20"/>
          <w:szCs w:val="20"/>
        </w:rPr>
        <w:t xml:space="preserve"> </w:t>
      </w:r>
      <w:r>
        <w:rPr>
          <w:rFonts w:ascii="宋体" w:hAnsi="宋体" w:eastAsia="宋体" w:cs="宋体"/>
          <w:position w:val="1"/>
          <w:sz w:val="20"/>
          <w:szCs w:val="20"/>
        </w:rPr>
        <w:t>没有影响，</w:t>
      </w:r>
      <w:r>
        <w:rPr>
          <w:rFonts w:ascii="Times New Roman" w:hAnsi="Times New Roman" w:eastAsia="Times New Roman" w:cs="Times New Roman"/>
          <w:position w:val="1"/>
          <w:sz w:val="20"/>
          <w:szCs w:val="20"/>
        </w:rPr>
        <w:t xml:space="preserve">S </w:t>
      </w:r>
      <w:r>
        <w:rPr>
          <w:rFonts w:ascii="宋体" w:hAnsi="宋体" w:eastAsia="宋体" w:cs="宋体"/>
          <w:position w:val="1"/>
          <w:sz w:val="20"/>
          <w:szCs w:val="20"/>
        </w:rPr>
        <w:t>短期影响，</w:t>
      </w:r>
      <w:r>
        <w:rPr>
          <w:rFonts w:ascii="Times New Roman" w:hAnsi="Times New Roman" w:eastAsia="Times New Roman" w:cs="Times New Roman"/>
          <w:position w:val="1"/>
          <w:sz w:val="20"/>
          <w:szCs w:val="20"/>
        </w:rPr>
        <w:t xml:space="preserve">L </w:t>
      </w:r>
      <w:r>
        <w:rPr>
          <w:rFonts w:ascii="宋体" w:hAnsi="宋体" w:eastAsia="宋体" w:cs="宋体"/>
          <w:position w:val="1"/>
          <w:sz w:val="20"/>
          <w:szCs w:val="20"/>
        </w:rPr>
        <w:t>长期影响</w:t>
      </w:r>
    </w:p>
    <w:p w14:paraId="4A6A28F3">
      <w:pPr>
        <w:spacing w:before="17" w:line="28" w:lineRule="exact"/>
        <w:textAlignment w:val="center"/>
      </w:pPr>
      <w:r>
        <w:pict>
          <v:shape id="_x0000_s2141" o:spid="_x0000_s2141" style="height:1.45pt;width:485.65pt;" filled="f" coordsize="9712,29" path="m0,14l9712,14e">
            <v:fill on="f" focussize="0,0"/>
            <v:stroke weight="1.44pt" miterlimit="2" joinstyle="bevel"/>
            <v:imagedata o:title=""/>
            <o:lock v:ext="edit"/>
            <w10:wrap type="none"/>
            <w10:anchorlock/>
          </v:shape>
        </w:pict>
      </w:r>
    </w:p>
    <w:p w14:paraId="65B1CE23">
      <w:pPr>
        <w:spacing w:before="37" w:line="226" w:lineRule="auto"/>
        <w:ind w:left="529"/>
        <w:outlineLvl w:val="2"/>
        <w:rPr>
          <w:rFonts w:ascii="宋体" w:hAnsi="宋体" w:eastAsia="宋体" w:cs="宋体"/>
          <w:sz w:val="23"/>
          <w:szCs w:val="23"/>
        </w:rPr>
      </w:pPr>
      <w:r>
        <w:rPr>
          <w:rFonts w:ascii="Times New Roman" w:hAnsi="Times New Roman" w:eastAsia="Times New Roman" w:cs="Times New Roman"/>
          <w:b/>
          <w:bCs/>
          <w:spacing w:val="10"/>
          <w:sz w:val="23"/>
          <w:szCs w:val="23"/>
        </w:rPr>
        <w:t>1</w:t>
      </w:r>
      <w:r>
        <w:rPr>
          <w:rFonts w:ascii="Times New Roman" w:hAnsi="Times New Roman" w:eastAsia="Times New Roman" w:cs="Times New Roman"/>
          <w:b/>
          <w:bCs/>
          <w:spacing w:val="8"/>
          <w:sz w:val="23"/>
          <w:szCs w:val="23"/>
        </w:rPr>
        <w:t>.</w:t>
      </w:r>
      <w:r>
        <w:rPr>
          <w:rFonts w:ascii="Times New Roman" w:hAnsi="Times New Roman" w:eastAsia="Times New Roman" w:cs="Times New Roman"/>
          <w:b/>
          <w:bCs/>
          <w:spacing w:val="5"/>
          <w:sz w:val="23"/>
          <w:szCs w:val="23"/>
        </w:rPr>
        <w:t>3.2</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评价因子筛选</w:t>
      </w:r>
    </w:p>
    <w:p w14:paraId="713E0913">
      <w:pPr>
        <w:spacing w:before="185" w:line="227" w:lineRule="auto"/>
        <w:ind w:left="1003"/>
        <w:rPr>
          <w:rFonts w:ascii="宋体" w:hAnsi="宋体" w:eastAsia="宋体" w:cs="宋体"/>
          <w:sz w:val="23"/>
          <w:szCs w:val="23"/>
        </w:rPr>
      </w:pPr>
      <w:r>
        <w:rPr>
          <w:rFonts w:ascii="宋体" w:hAnsi="宋体" w:eastAsia="宋体" w:cs="宋体"/>
          <w:spacing w:val="7"/>
          <w:sz w:val="23"/>
          <w:szCs w:val="23"/>
        </w:rPr>
        <w:t>根</w:t>
      </w:r>
      <w:r>
        <w:rPr>
          <w:rFonts w:ascii="宋体" w:hAnsi="宋体" w:eastAsia="宋体" w:cs="宋体"/>
          <w:spacing w:val="6"/>
          <w:sz w:val="23"/>
          <w:szCs w:val="23"/>
        </w:rPr>
        <w:t xml:space="preserve">据工程特点及环境影响识别，筛选评价因素见表 </w:t>
      </w:r>
      <w:r>
        <w:rPr>
          <w:rFonts w:ascii="Times New Roman" w:hAnsi="Times New Roman" w:eastAsia="Times New Roman" w:cs="Times New Roman"/>
          <w:spacing w:val="6"/>
          <w:sz w:val="23"/>
          <w:szCs w:val="23"/>
        </w:rPr>
        <w:t>1.3-2</w:t>
      </w:r>
      <w:r>
        <w:rPr>
          <w:rFonts w:ascii="宋体" w:hAnsi="宋体" w:eastAsia="宋体" w:cs="宋体"/>
          <w:spacing w:val="6"/>
          <w:sz w:val="23"/>
          <w:szCs w:val="23"/>
        </w:rPr>
        <w:t>。</w:t>
      </w:r>
    </w:p>
    <w:p w14:paraId="73EF2179">
      <w:pPr>
        <w:spacing w:before="185" w:line="221" w:lineRule="auto"/>
        <w:ind w:left="3210"/>
        <w:rPr>
          <w:rFonts w:ascii="黑体" w:hAnsi="黑体" w:eastAsia="黑体" w:cs="黑体"/>
          <w:sz w:val="23"/>
          <w:szCs w:val="23"/>
        </w:rPr>
      </w:pPr>
      <w:r>
        <w:rPr>
          <w:rFonts w:ascii="黑体" w:hAnsi="黑体" w:eastAsia="黑体" w:cs="黑体"/>
          <w:spacing w:val="3"/>
          <w:sz w:val="23"/>
          <w:szCs w:val="23"/>
        </w:rPr>
        <w:t xml:space="preserve">表 </w:t>
      </w:r>
      <w:r>
        <w:rPr>
          <w:rFonts w:ascii="Times New Roman" w:hAnsi="Times New Roman" w:eastAsia="Times New Roman" w:cs="Times New Roman"/>
          <w:spacing w:val="3"/>
          <w:sz w:val="23"/>
          <w:szCs w:val="23"/>
        </w:rPr>
        <w:t xml:space="preserve">1.3-2      </w:t>
      </w:r>
      <w:r>
        <w:rPr>
          <w:rFonts w:ascii="黑体" w:hAnsi="黑体" w:eastAsia="黑体" w:cs="黑体"/>
          <w:spacing w:val="3"/>
          <w:sz w:val="23"/>
          <w:szCs w:val="23"/>
        </w:rPr>
        <w:t>评价因子筛选结果表</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92"/>
        <w:gridCol w:w="5723"/>
        <w:gridCol w:w="2597"/>
      </w:tblGrid>
      <w:tr w14:paraId="6D150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1392" w:type="dxa"/>
            <w:tcBorders>
              <w:left w:val="nil"/>
            </w:tcBorders>
          </w:tcPr>
          <w:p w14:paraId="37E41DA9">
            <w:pPr>
              <w:spacing w:before="56" w:line="226" w:lineRule="auto"/>
              <w:ind w:left="284"/>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环</w:t>
            </w:r>
            <w:r>
              <w:rPr>
                <w:rFonts w:ascii="宋体" w:hAnsi="宋体" w:eastAsia="宋体" w:cs="宋体"/>
                <w:spacing w:val="8"/>
                <w:sz w:val="20"/>
                <w:szCs w:val="20"/>
                <w14:textOutline w14:w="3797" w14:cap="sq" w14:cmpd="sng" w14:algn="ctr">
                  <w14:solidFill>
                    <w14:srgbClr w14:val="000000"/>
                  </w14:solidFill>
                  <w14:prstDash w14:val="solid"/>
                  <w14:bevel/>
                </w14:textOutline>
              </w:rPr>
              <w:t>境要素</w:t>
            </w:r>
          </w:p>
        </w:tc>
        <w:tc>
          <w:tcPr>
            <w:tcW w:w="5723" w:type="dxa"/>
          </w:tcPr>
          <w:p w14:paraId="4552BC3A">
            <w:pPr>
              <w:spacing w:before="55" w:line="226" w:lineRule="auto"/>
              <w:ind w:left="2026"/>
              <w:rPr>
                <w:rFonts w:ascii="宋体" w:hAnsi="宋体" w:eastAsia="宋体" w:cs="宋体"/>
                <w:sz w:val="20"/>
                <w:szCs w:val="20"/>
              </w:rPr>
            </w:pPr>
            <w:r>
              <w:rPr>
                <w:rFonts w:ascii="宋体" w:hAnsi="宋体" w:eastAsia="宋体" w:cs="宋体"/>
                <w:spacing w:val="13"/>
                <w:sz w:val="20"/>
                <w:szCs w:val="20"/>
                <w14:textOutline w14:w="3797" w14:cap="sq" w14:cmpd="sng" w14:algn="ctr">
                  <w14:solidFill>
                    <w14:srgbClr w14:val="000000"/>
                  </w14:solidFill>
                  <w14:prstDash w14:val="solid"/>
                  <w14:bevel/>
                </w14:textOutline>
              </w:rPr>
              <w:t>环</w:t>
            </w:r>
            <w:r>
              <w:rPr>
                <w:rFonts w:ascii="宋体" w:hAnsi="宋体" w:eastAsia="宋体" w:cs="宋体"/>
                <w:spacing w:val="9"/>
                <w:sz w:val="20"/>
                <w:szCs w:val="20"/>
                <w14:textOutline w14:w="3797" w14:cap="sq" w14:cmpd="sng" w14:algn="ctr">
                  <w14:solidFill>
                    <w14:srgbClr w14:val="000000"/>
                  </w14:solidFill>
                  <w14:prstDash w14:val="solid"/>
                  <w14:bevel/>
                </w14:textOutline>
              </w:rPr>
              <w:t>境现状评价因子</w:t>
            </w:r>
          </w:p>
        </w:tc>
        <w:tc>
          <w:tcPr>
            <w:tcW w:w="2597" w:type="dxa"/>
            <w:tcBorders>
              <w:right w:val="nil"/>
            </w:tcBorders>
          </w:tcPr>
          <w:p w14:paraId="120BE320">
            <w:pPr>
              <w:spacing w:before="56" w:line="226" w:lineRule="auto"/>
              <w:ind w:left="465"/>
              <w:rPr>
                <w:rFonts w:ascii="宋体" w:hAnsi="宋体" w:eastAsia="宋体" w:cs="宋体"/>
                <w:sz w:val="20"/>
                <w:szCs w:val="20"/>
              </w:rPr>
            </w:pPr>
            <w:r>
              <w:rPr>
                <w:rFonts w:ascii="宋体" w:hAnsi="宋体" w:eastAsia="宋体" w:cs="宋体"/>
                <w:spacing w:val="13"/>
                <w:sz w:val="20"/>
                <w:szCs w:val="20"/>
                <w14:textOutline w14:w="3797" w14:cap="sq" w14:cmpd="sng" w14:algn="ctr">
                  <w14:solidFill>
                    <w14:srgbClr w14:val="000000"/>
                  </w14:solidFill>
                  <w14:prstDash w14:val="solid"/>
                  <w14:bevel/>
                </w14:textOutline>
              </w:rPr>
              <w:t>环</w:t>
            </w:r>
            <w:r>
              <w:rPr>
                <w:rFonts w:ascii="宋体" w:hAnsi="宋体" w:eastAsia="宋体" w:cs="宋体"/>
                <w:spacing w:val="9"/>
                <w:sz w:val="20"/>
                <w:szCs w:val="20"/>
                <w14:textOutline w14:w="3797" w14:cap="sq" w14:cmpd="sng" w14:algn="ctr">
                  <w14:solidFill>
                    <w14:srgbClr w14:val="000000"/>
                  </w14:solidFill>
                  <w14:prstDash w14:val="solid"/>
                  <w14:bevel/>
                </w14:textOutline>
              </w:rPr>
              <w:t>境影响预测因子</w:t>
            </w:r>
          </w:p>
        </w:tc>
      </w:tr>
      <w:tr w14:paraId="189FA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392" w:type="dxa"/>
            <w:tcBorders>
              <w:left w:val="nil"/>
            </w:tcBorders>
          </w:tcPr>
          <w:p w14:paraId="5A76BAFE">
            <w:pPr>
              <w:spacing w:before="167" w:line="228" w:lineRule="auto"/>
              <w:ind w:left="284"/>
              <w:rPr>
                <w:rFonts w:ascii="宋体" w:hAnsi="宋体" w:eastAsia="宋体" w:cs="宋体"/>
                <w:sz w:val="20"/>
                <w:szCs w:val="20"/>
              </w:rPr>
            </w:pPr>
            <w:r>
              <w:rPr>
                <w:rFonts w:ascii="宋体" w:hAnsi="宋体" w:eastAsia="宋体" w:cs="宋体"/>
                <w:spacing w:val="8"/>
                <w:sz w:val="20"/>
                <w:szCs w:val="20"/>
              </w:rPr>
              <w:t>环</w:t>
            </w:r>
            <w:r>
              <w:rPr>
                <w:rFonts w:ascii="宋体" w:hAnsi="宋体" w:eastAsia="宋体" w:cs="宋体"/>
                <w:spacing w:val="7"/>
                <w:sz w:val="20"/>
                <w:szCs w:val="20"/>
              </w:rPr>
              <w:t>境空气</w:t>
            </w:r>
          </w:p>
        </w:tc>
        <w:tc>
          <w:tcPr>
            <w:tcW w:w="5723" w:type="dxa"/>
          </w:tcPr>
          <w:p w14:paraId="17F08734">
            <w:pPr>
              <w:spacing w:before="33" w:line="238" w:lineRule="auto"/>
              <w:ind w:left="2492" w:right="176" w:hanging="2333"/>
              <w:rPr>
                <w:rFonts w:ascii="宋体" w:hAnsi="宋体" w:eastAsia="宋体" w:cs="宋体"/>
                <w:sz w:val="20"/>
                <w:szCs w:val="20"/>
              </w:rPr>
            </w:pPr>
            <w:r>
              <w:rPr>
                <w:rFonts w:ascii="Times New Roman" w:hAnsi="Times New Roman" w:eastAsia="Times New Roman" w:cs="Times New Roman"/>
                <w:spacing w:val="-4"/>
                <w:sz w:val="20"/>
                <w:szCs w:val="20"/>
              </w:rPr>
              <w:t>SO</w:t>
            </w:r>
            <w:r>
              <w:rPr>
                <w:rFonts w:ascii="Times New Roman" w:hAnsi="Times New Roman" w:eastAsia="Times New Roman" w:cs="Times New Roman"/>
                <w:spacing w:val="-8"/>
                <w:position w:val="-1"/>
                <w:sz w:val="13"/>
                <w:szCs w:val="13"/>
              </w:rPr>
              <w:t xml:space="preserve">2 </w:t>
            </w:r>
            <w:r>
              <w:rPr>
                <w:rFonts w:ascii="宋体" w:hAnsi="宋体" w:eastAsia="宋体" w:cs="宋体"/>
                <w:spacing w:val="-8"/>
                <w:sz w:val="20"/>
                <w:szCs w:val="20"/>
              </w:rPr>
              <w:t>、</w:t>
            </w:r>
            <w:r>
              <w:rPr>
                <w:rFonts w:ascii="Times New Roman" w:hAnsi="Times New Roman" w:eastAsia="Times New Roman" w:cs="Times New Roman"/>
                <w:spacing w:val="-4"/>
                <w:sz w:val="20"/>
                <w:szCs w:val="20"/>
              </w:rPr>
              <w:t>NO</w:t>
            </w:r>
            <w:r>
              <w:rPr>
                <w:rFonts w:ascii="Times New Roman" w:hAnsi="Times New Roman" w:eastAsia="Times New Roman" w:cs="Times New Roman"/>
                <w:spacing w:val="-8"/>
                <w:position w:val="-1"/>
                <w:sz w:val="13"/>
                <w:szCs w:val="13"/>
              </w:rPr>
              <w:t xml:space="preserve">2 </w:t>
            </w:r>
            <w:r>
              <w:rPr>
                <w:rFonts w:ascii="宋体" w:hAnsi="宋体" w:eastAsia="宋体" w:cs="宋体"/>
                <w:spacing w:val="-8"/>
                <w:sz w:val="20"/>
                <w:szCs w:val="20"/>
              </w:rPr>
              <w:t>、</w:t>
            </w:r>
            <w:r>
              <w:rPr>
                <w:rFonts w:ascii="Times New Roman" w:hAnsi="Times New Roman" w:eastAsia="Times New Roman" w:cs="Times New Roman"/>
                <w:spacing w:val="-4"/>
                <w:sz w:val="20"/>
                <w:szCs w:val="20"/>
              </w:rPr>
              <w:t>PM</w:t>
            </w:r>
            <w:r>
              <w:rPr>
                <w:rFonts w:ascii="Times New Roman" w:hAnsi="Times New Roman" w:eastAsia="Times New Roman" w:cs="Times New Roman"/>
                <w:spacing w:val="-8"/>
                <w:position w:val="-1"/>
                <w:sz w:val="13"/>
                <w:szCs w:val="13"/>
              </w:rPr>
              <w:t>10</w:t>
            </w:r>
            <w:r>
              <w:rPr>
                <w:rFonts w:ascii="Times New Roman" w:hAnsi="Times New Roman" w:eastAsia="Times New Roman" w:cs="Times New Roman"/>
                <w:spacing w:val="-7"/>
                <w:position w:val="-1"/>
                <w:sz w:val="13"/>
                <w:szCs w:val="13"/>
              </w:rPr>
              <w:t xml:space="preserve"> </w:t>
            </w:r>
            <w:r>
              <w:rPr>
                <w:rFonts w:ascii="宋体" w:hAnsi="宋体" w:eastAsia="宋体" w:cs="宋体"/>
                <w:spacing w:val="-4"/>
                <w:sz w:val="20"/>
                <w:szCs w:val="20"/>
              </w:rPr>
              <w:t>、</w:t>
            </w:r>
            <w:r>
              <w:rPr>
                <w:rFonts w:ascii="Times New Roman" w:hAnsi="Times New Roman" w:eastAsia="Times New Roman" w:cs="Times New Roman"/>
                <w:spacing w:val="-4"/>
                <w:sz w:val="20"/>
                <w:szCs w:val="20"/>
              </w:rPr>
              <w:t>PM</w:t>
            </w:r>
            <w:r>
              <w:rPr>
                <w:rFonts w:ascii="Times New Roman" w:hAnsi="Times New Roman" w:eastAsia="Times New Roman" w:cs="Times New Roman"/>
                <w:spacing w:val="-4"/>
                <w:position w:val="-1"/>
                <w:sz w:val="13"/>
                <w:szCs w:val="13"/>
              </w:rPr>
              <w:t xml:space="preserve">2.5 </w:t>
            </w:r>
            <w:r>
              <w:rPr>
                <w:rFonts w:ascii="宋体" w:hAnsi="宋体" w:eastAsia="宋体" w:cs="宋体"/>
                <w:spacing w:val="-4"/>
                <w:sz w:val="20"/>
                <w:szCs w:val="20"/>
              </w:rPr>
              <w:t>、</w:t>
            </w:r>
            <w:r>
              <w:rPr>
                <w:rFonts w:ascii="Times New Roman" w:hAnsi="Times New Roman" w:eastAsia="Times New Roman" w:cs="Times New Roman"/>
                <w:spacing w:val="-4"/>
                <w:sz w:val="20"/>
                <w:szCs w:val="20"/>
              </w:rPr>
              <w:t xml:space="preserve">CO </w:t>
            </w:r>
            <w:r>
              <w:rPr>
                <w:rFonts w:ascii="宋体" w:hAnsi="宋体" w:eastAsia="宋体" w:cs="宋体"/>
                <w:spacing w:val="-4"/>
                <w:sz w:val="20"/>
                <w:szCs w:val="20"/>
              </w:rPr>
              <w:t>、</w:t>
            </w:r>
            <w:r>
              <w:rPr>
                <w:rFonts w:ascii="Times New Roman" w:hAnsi="Times New Roman" w:eastAsia="Times New Roman" w:cs="Times New Roman"/>
                <w:spacing w:val="-4"/>
                <w:sz w:val="20"/>
                <w:szCs w:val="20"/>
              </w:rPr>
              <w:t>O</w:t>
            </w:r>
            <w:r>
              <w:rPr>
                <w:rFonts w:ascii="Times New Roman" w:hAnsi="Times New Roman" w:eastAsia="Times New Roman" w:cs="Times New Roman"/>
                <w:spacing w:val="-4"/>
                <w:position w:val="-1"/>
                <w:sz w:val="13"/>
                <w:szCs w:val="13"/>
              </w:rPr>
              <w:t xml:space="preserve">3 </w:t>
            </w:r>
            <w:r>
              <w:rPr>
                <w:rFonts w:ascii="宋体" w:hAnsi="宋体" w:eastAsia="宋体" w:cs="宋体"/>
                <w:spacing w:val="-4"/>
                <w:sz w:val="20"/>
                <w:szCs w:val="20"/>
              </w:rPr>
              <w:t>；</w:t>
            </w:r>
            <w:r>
              <w:rPr>
                <w:rFonts w:ascii="Times New Roman" w:hAnsi="Times New Roman" w:eastAsia="Times New Roman" w:cs="Times New Roman"/>
                <w:spacing w:val="-4"/>
                <w:sz w:val="20"/>
                <w:szCs w:val="20"/>
              </w:rPr>
              <w:t xml:space="preserve">TSP </w:t>
            </w:r>
            <w:r>
              <w:rPr>
                <w:rFonts w:ascii="宋体" w:hAnsi="宋体" w:eastAsia="宋体" w:cs="宋体"/>
                <w:spacing w:val="-4"/>
                <w:sz w:val="20"/>
                <w:szCs w:val="20"/>
              </w:rPr>
              <w:t>、</w:t>
            </w:r>
            <w:r>
              <w:rPr>
                <w:rFonts w:ascii="Times New Roman" w:hAnsi="Times New Roman" w:eastAsia="Times New Roman" w:cs="Times New Roman"/>
                <w:spacing w:val="-4"/>
                <w:sz w:val="20"/>
                <w:szCs w:val="20"/>
              </w:rPr>
              <w:t xml:space="preserve">H </w:t>
            </w:r>
            <w:r>
              <w:rPr>
                <w:rFonts w:ascii="Times New Roman" w:hAnsi="Times New Roman" w:eastAsia="Times New Roman" w:cs="Times New Roman"/>
                <w:spacing w:val="-4"/>
                <w:position w:val="-1"/>
                <w:sz w:val="13"/>
                <w:szCs w:val="13"/>
              </w:rPr>
              <w:t xml:space="preserve">2 </w:t>
            </w:r>
            <w:r>
              <w:rPr>
                <w:rFonts w:ascii="Times New Roman" w:hAnsi="Times New Roman" w:eastAsia="Times New Roman" w:cs="Times New Roman"/>
                <w:spacing w:val="-4"/>
                <w:sz w:val="20"/>
                <w:szCs w:val="20"/>
              </w:rPr>
              <w:t xml:space="preserve">S </w:t>
            </w:r>
            <w:r>
              <w:rPr>
                <w:rFonts w:ascii="宋体" w:hAnsi="宋体" w:eastAsia="宋体" w:cs="宋体"/>
                <w:spacing w:val="-4"/>
                <w:sz w:val="20"/>
                <w:szCs w:val="20"/>
              </w:rPr>
              <w:t xml:space="preserve">、 </w:t>
            </w:r>
            <w:r>
              <w:rPr>
                <w:rFonts w:ascii="Times New Roman" w:hAnsi="Times New Roman" w:eastAsia="Times New Roman" w:cs="Times New Roman"/>
                <w:spacing w:val="-4"/>
                <w:sz w:val="20"/>
                <w:szCs w:val="20"/>
              </w:rPr>
              <w:t xml:space="preserve">NH </w:t>
            </w:r>
            <w:r>
              <w:rPr>
                <w:rFonts w:ascii="Times New Roman" w:hAnsi="Times New Roman" w:eastAsia="Times New Roman" w:cs="Times New Roman"/>
                <w:spacing w:val="-4"/>
                <w:position w:val="-1"/>
                <w:sz w:val="13"/>
                <w:szCs w:val="13"/>
              </w:rPr>
              <w:t xml:space="preserve">3 </w:t>
            </w:r>
            <w:r>
              <w:rPr>
                <w:rFonts w:ascii="宋体" w:hAnsi="宋体" w:eastAsia="宋体" w:cs="宋体"/>
                <w:spacing w:val="-4"/>
                <w:position w:val="-2"/>
                <w:sz w:val="10"/>
                <w:szCs w:val="10"/>
              </w:rPr>
              <w:t xml:space="preserve">、  </w:t>
            </w:r>
            <w:r>
              <w:rPr>
                <w:rFonts w:ascii="宋体" w:hAnsi="宋体" w:eastAsia="宋体" w:cs="宋体"/>
                <w:spacing w:val="-4"/>
                <w:sz w:val="20"/>
                <w:szCs w:val="20"/>
              </w:rPr>
              <w:t>臭</w:t>
            </w:r>
            <w:r>
              <w:rPr>
                <w:rFonts w:ascii="宋体" w:hAnsi="宋体" w:eastAsia="宋体" w:cs="宋体"/>
                <w:sz w:val="20"/>
                <w:szCs w:val="20"/>
              </w:rPr>
              <w:t xml:space="preserve"> </w:t>
            </w:r>
            <w:r>
              <w:rPr>
                <w:rFonts w:ascii="宋体" w:hAnsi="宋体" w:eastAsia="宋体" w:cs="宋体"/>
                <w:spacing w:val="-21"/>
                <w:sz w:val="20"/>
                <w:szCs w:val="20"/>
              </w:rPr>
              <w:t>气</w:t>
            </w:r>
            <w:r>
              <w:rPr>
                <w:rFonts w:ascii="宋体" w:hAnsi="宋体" w:eastAsia="宋体" w:cs="宋体"/>
                <w:spacing w:val="-20"/>
                <w:sz w:val="20"/>
                <w:szCs w:val="20"/>
              </w:rPr>
              <w:t xml:space="preserve"> 浓 度</w:t>
            </w:r>
          </w:p>
        </w:tc>
        <w:tc>
          <w:tcPr>
            <w:tcW w:w="2597" w:type="dxa"/>
            <w:tcBorders>
              <w:right w:val="nil"/>
            </w:tcBorders>
          </w:tcPr>
          <w:p w14:paraId="017FA312">
            <w:pPr>
              <w:spacing w:before="203" w:line="192" w:lineRule="auto"/>
              <w:ind w:left="763"/>
              <w:rPr>
                <w:rFonts w:ascii="Times New Roman" w:hAnsi="Times New Roman" w:eastAsia="Times New Roman" w:cs="Times New Roman"/>
                <w:sz w:val="13"/>
                <w:szCs w:val="13"/>
              </w:rPr>
            </w:pPr>
            <w:r>
              <w:rPr>
                <w:rFonts w:ascii="Times New Roman" w:hAnsi="Times New Roman" w:eastAsia="Times New Roman" w:cs="Times New Roman"/>
                <w:spacing w:val="-8"/>
                <w:sz w:val="20"/>
                <w:szCs w:val="20"/>
              </w:rPr>
              <w:t>H</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spacing w:val="-8"/>
                <w:position w:val="-1"/>
                <w:sz w:val="13"/>
                <w:szCs w:val="13"/>
              </w:rPr>
              <w:t xml:space="preserve">2 </w:t>
            </w:r>
            <w:r>
              <w:rPr>
                <w:rFonts w:ascii="Times New Roman" w:hAnsi="Times New Roman" w:eastAsia="Times New Roman" w:cs="Times New Roman"/>
                <w:spacing w:val="-8"/>
                <w:sz w:val="20"/>
                <w:szCs w:val="20"/>
              </w:rPr>
              <w:t xml:space="preserve">S </w:t>
            </w:r>
            <w:r>
              <w:rPr>
                <w:rFonts w:ascii="宋体" w:hAnsi="宋体" w:eastAsia="宋体" w:cs="宋体"/>
                <w:spacing w:val="-8"/>
                <w:sz w:val="20"/>
                <w:szCs w:val="20"/>
              </w:rPr>
              <w:t xml:space="preserve">、 </w:t>
            </w:r>
            <w:r>
              <w:rPr>
                <w:rFonts w:ascii="Times New Roman" w:hAnsi="Times New Roman" w:eastAsia="Times New Roman" w:cs="Times New Roman"/>
                <w:spacing w:val="-8"/>
                <w:sz w:val="20"/>
                <w:szCs w:val="20"/>
              </w:rPr>
              <w:t xml:space="preserve">NH </w:t>
            </w:r>
            <w:r>
              <w:rPr>
                <w:rFonts w:ascii="Times New Roman" w:hAnsi="Times New Roman" w:eastAsia="Times New Roman" w:cs="Times New Roman"/>
                <w:spacing w:val="-8"/>
                <w:position w:val="-1"/>
                <w:sz w:val="13"/>
                <w:szCs w:val="13"/>
              </w:rPr>
              <w:t>3</w:t>
            </w:r>
          </w:p>
        </w:tc>
      </w:tr>
      <w:tr w14:paraId="4570B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92" w:type="dxa"/>
            <w:tcBorders>
              <w:left w:val="nil"/>
            </w:tcBorders>
          </w:tcPr>
          <w:p w14:paraId="3EDBAE2D">
            <w:pPr>
              <w:spacing w:before="33" w:line="225" w:lineRule="auto"/>
              <w:ind w:left="389"/>
              <w:rPr>
                <w:rFonts w:ascii="宋体" w:hAnsi="宋体" w:eastAsia="宋体" w:cs="宋体"/>
                <w:sz w:val="20"/>
                <w:szCs w:val="20"/>
              </w:rPr>
            </w:pPr>
            <w:r>
              <w:rPr>
                <w:rFonts w:ascii="宋体" w:hAnsi="宋体" w:eastAsia="宋体" w:cs="宋体"/>
                <w:spacing w:val="7"/>
                <w:sz w:val="20"/>
                <w:szCs w:val="20"/>
              </w:rPr>
              <w:t>地表</w:t>
            </w:r>
            <w:r>
              <w:rPr>
                <w:rFonts w:ascii="宋体" w:hAnsi="宋体" w:eastAsia="宋体" w:cs="宋体"/>
                <w:spacing w:val="6"/>
                <w:sz w:val="20"/>
                <w:szCs w:val="20"/>
              </w:rPr>
              <w:t>水</w:t>
            </w:r>
          </w:p>
        </w:tc>
        <w:tc>
          <w:tcPr>
            <w:tcW w:w="5723" w:type="dxa"/>
          </w:tcPr>
          <w:p w14:paraId="0CB5DB7D">
            <w:pPr>
              <w:spacing w:before="33" w:line="221" w:lineRule="auto"/>
              <w:ind w:left="426"/>
              <w:rPr>
                <w:rFonts w:ascii="宋体" w:hAnsi="宋体" w:eastAsia="宋体" w:cs="宋体"/>
                <w:sz w:val="20"/>
                <w:szCs w:val="20"/>
              </w:rPr>
            </w:pPr>
            <w:r>
              <w:rPr>
                <w:rFonts w:ascii="Times New Roman" w:hAnsi="Times New Roman" w:eastAsia="Times New Roman" w:cs="Times New Roman"/>
                <w:sz w:val="20"/>
                <w:szCs w:val="20"/>
              </w:rPr>
              <w:t>pH</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rPr>
              <w:t>、</w:t>
            </w:r>
            <w:r>
              <w:rPr>
                <w:rFonts w:ascii="Times New Roman" w:hAnsi="Times New Roman" w:eastAsia="Times New Roman" w:cs="Times New Roman"/>
                <w:sz w:val="20"/>
                <w:szCs w:val="20"/>
              </w:rPr>
              <w:t>COD</w:t>
            </w:r>
            <w:r>
              <w:rPr>
                <w:rFonts w:ascii="Times New Roman" w:hAnsi="Times New Roman" w:eastAsia="Times New Roman" w:cs="Times New Roman"/>
                <w:position w:val="-1"/>
                <w:sz w:val="13"/>
                <w:szCs w:val="13"/>
              </w:rPr>
              <w:t>cr</w:t>
            </w:r>
            <w:r>
              <w:rPr>
                <w:rFonts w:ascii="Times New Roman" w:hAnsi="Times New Roman" w:eastAsia="Times New Roman" w:cs="Times New Roman"/>
                <w:spacing w:val="1"/>
                <w:position w:val="-1"/>
                <w:sz w:val="13"/>
                <w:szCs w:val="13"/>
              </w:rPr>
              <w:t xml:space="preserve"> </w:t>
            </w:r>
            <w:r>
              <w:rPr>
                <w:rFonts w:ascii="宋体" w:hAnsi="宋体" w:eastAsia="宋体" w:cs="宋体"/>
                <w:spacing w:val="1"/>
                <w:sz w:val="20"/>
                <w:szCs w:val="20"/>
              </w:rPr>
              <w:t>、</w:t>
            </w:r>
            <w:r>
              <w:rPr>
                <w:rFonts w:ascii="Times New Roman" w:hAnsi="Times New Roman" w:eastAsia="Times New Roman" w:cs="Times New Roman"/>
                <w:sz w:val="20"/>
                <w:szCs w:val="20"/>
              </w:rPr>
              <w:t>BOD</w:t>
            </w:r>
            <w:r>
              <w:rPr>
                <w:rFonts w:ascii="Times New Roman" w:hAnsi="Times New Roman" w:eastAsia="Times New Roman" w:cs="Times New Roman"/>
                <w:spacing w:val="1"/>
                <w:position w:val="-1"/>
                <w:sz w:val="13"/>
                <w:szCs w:val="13"/>
              </w:rPr>
              <w:t xml:space="preserve">5 </w:t>
            </w:r>
            <w:r>
              <w:rPr>
                <w:rFonts w:ascii="宋体" w:hAnsi="宋体" w:eastAsia="宋体" w:cs="宋体"/>
                <w:spacing w:val="1"/>
                <w:sz w:val="20"/>
                <w:szCs w:val="20"/>
              </w:rPr>
              <w:t>、</w:t>
            </w:r>
            <w:r>
              <w:rPr>
                <w:rFonts w:ascii="Times New Roman" w:hAnsi="Times New Roman" w:eastAsia="Times New Roman" w:cs="Times New Roman"/>
                <w:sz w:val="20"/>
                <w:szCs w:val="20"/>
              </w:rPr>
              <w:t>NH</w:t>
            </w:r>
            <w:r>
              <w:rPr>
                <w:rFonts w:ascii="Times New Roman" w:hAnsi="Times New Roman" w:eastAsia="Times New Roman" w:cs="Times New Roman"/>
                <w:spacing w:val="1"/>
                <w:position w:val="-1"/>
                <w:sz w:val="13"/>
                <w:szCs w:val="13"/>
              </w:rPr>
              <w:t>3</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N</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rPr>
              <w:t>、</w:t>
            </w:r>
            <w:r>
              <w:rPr>
                <w:rFonts w:ascii="Times New Roman" w:hAnsi="Times New Roman" w:eastAsia="Times New Roman" w:cs="Times New Roman"/>
                <w:sz w:val="20"/>
                <w:szCs w:val="20"/>
              </w:rPr>
              <w:t>SS</w:t>
            </w:r>
            <w:r>
              <w:rPr>
                <w:rFonts w:ascii="Times New Roman" w:hAnsi="Times New Roman" w:eastAsia="Times New Roman" w:cs="Times New Roman"/>
                <w:spacing w:val="1"/>
                <w:sz w:val="20"/>
                <w:szCs w:val="20"/>
              </w:rPr>
              <w:t xml:space="preserve"> </w:t>
            </w:r>
            <w:r>
              <w:rPr>
                <w:rFonts w:ascii="宋体" w:hAnsi="宋体" w:eastAsia="宋体" w:cs="宋体"/>
                <w:sz w:val="20"/>
                <w:szCs w:val="20"/>
              </w:rPr>
              <w:t>、总磷、粪大肠菌群</w:t>
            </w:r>
          </w:p>
        </w:tc>
        <w:tc>
          <w:tcPr>
            <w:tcW w:w="2597" w:type="dxa"/>
            <w:tcBorders>
              <w:right w:val="nil"/>
            </w:tcBorders>
          </w:tcPr>
          <w:p w14:paraId="37B21231">
            <w:pPr>
              <w:spacing w:line="276" w:lineRule="exact"/>
              <w:ind w:left="1268"/>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2E753B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392" w:type="dxa"/>
            <w:tcBorders>
              <w:left w:val="nil"/>
            </w:tcBorders>
          </w:tcPr>
          <w:p w14:paraId="10EC937A">
            <w:pPr>
              <w:spacing w:before="305" w:line="228" w:lineRule="auto"/>
              <w:ind w:left="389"/>
              <w:rPr>
                <w:rFonts w:ascii="宋体" w:hAnsi="宋体" w:eastAsia="宋体" w:cs="宋体"/>
                <w:sz w:val="20"/>
                <w:szCs w:val="20"/>
              </w:rPr>
            </w:pPr>
            <w:r>
              <w:rPr>
                <w:rFonts w:ascii="宋体" w:hAnsi="宋体" w:eastAsia="宋体" w:cs="宋体"/>
                <w:spacing w:val="7"/>
                <w:sz w:val="20"/>
                <w:szCs w:val="20"/>
              </w:rPr>
              <w:t>地下</w:t>
            </w:r>
            <w:r>
              <w:rPr>
                <w:rFonts w:ascii="宋体" w:hAnsi="宋体" w:eastAsia="宋体" w:cs="宋体"/>
                <w:spacing w:val="6"/>
                <w:sz w:val="20"/>
                <w:szCs w:val="20"/>
              </w:rPr>
              <w:t>水</w:t>
            </w:r>
          </w:p>
        </w:tc>
        <w:tc>
          <w:tcPr>
            <w:tcW w:w="5723" w:type="dxa"/>
          </w:tcPr>
          <w:p w14:paraId="5EE26FFB">
            <w:pPr>
              <w:spacing w:line="277" w:lineRule="exact"/>
              <w:ind w:left="116"/>
              <w:rPr>
                <w:rFonts w:ascii="宋体" w:hAnsi="宋体" w:eastAsia="宋体" w:cs="宋体"/>
                <w:sz w:val="20"/>
                <w:szCs w:val="20"/>
              </w:rPr>
            </w:pPr>
            <w:r>
              <w:rPr>
                <w:rFonts w:ascii="Times New Roman" w:hAnsi="Times New Roman" w:eastAsia="Times New Roman" w:cs="Times New Roman"/>
                <w:spacing w:val="-2"/>
                <w:position w:val="4"/>
                <w:sz w:val="20"/>
                <w:szCs w:val="20"/>
              </w:rPr>
              <w:t>K</w:t>
            </w:r>
            <w:r>
              <w:rPr>
                <w:rFonts w:ascii="Times New Roman" w:hAnsi="Times New Roman" w:eastAsia="Times New Roman" w:cs="Times New Roman"/>
                <w:spacing w:val="-4"/>
                <w:position w:val="4"/>
                <w:sz w:val="20"/>
                <w:szCs w:val="20"/>
              </w:rPr>
              <w:t xml:space="preserve">+ </w:t>
            </w:r>
            <w:r>
              <w:rPr>
                <w:rFonts w:ascii="宋体" w:hAnsi="宋体" w:eastAsia="宋体" w:cs="宋体"/>
                <w:spacing w:val="-4"/>
                <w:position w:val="4"/>
                <w:sz w:val="20"/>
                <w:szCs w:val="20"/>
              </w:rPr>
              <w:t>、</w:t>
            </w:r>
            <w:r>
              <w:rPr>
                <w:rFonts w:ascii="Times New Roman" w:hAnsi="Times New Roman" w:eastAsia="Times New Roman" w:cs="Times New Roman"/>
                <w:spacing w:val="-2"/>
                <w:position w:val="4"/>
                <w:sz w:val="20"/>
                <w:szCs w:val="20"/>
              </w:rPr>
              <w:t xml:space="preserve">Na+ </w:t>
            </w:r>
            <w:r>
              <w:rPr>
                <w:rFonts w:ascii="宋体" w:hAnsi="宋体" w:eastAsia="宋体" w:cs="宋体"/>
                <w:spacing w:val="-2"/>
                <w:position w:val="4"/>
                <w:sz w:val="20"/>
                <w:szCs w:val="20"/>
              </w:rPr>
              <w:t>、</w:t>
            </w:r>
            <w:r>
              <w:rPr>
                <w:rFonts w:ascii="Times New Roman" w:hAnsi="Times New Roman" w:eastAsia="Times New Roman" w:cs="Times New Roman"/>
                <w:spacing w:val="-2"/>
                <w:position w:val="4"/>
                <w:sz w:val="20"/>
                <w:szCs w:val="20"/>
              </w:rPr>
              <w:t>Ca</w:t>
            </w:r>
            <w:r>
              <w:rPr>
                <w:rFonts w:ascii="Times New Roman" w:hAnsi="Times New Roman" w:eastAsia="Times New Roman" w:cs="Times New Roman"/>
                <w:spacing w:val="-2"/>
                <w:position w:val="9"/>
                <w:sz w:val="13"/>
                <w:szCs w:val="13"/>
              </w:rPr>
              <w:t xml:space="preserve">2+ </w:t>
            </w:r>
            <w:r>
              <w:rPr>
                <w:rFonts w:ascii="宋体" w:hAnsi="宋体" w:eastAsia="宋体" w:cs="宋体"/>
                <w:spacing w:val="-2"/>
                <w:position w:val="4"/>
                <w:sz w:val="20"/>
                <w:szCs w:val="20"/>
              </w:rPr>
              <w:t>、</w:t>
            </w:r>
            <w:r>
              <w:rPr>
                <w:rFonts w:ascii="Times New Roman" w:hAnsi="Times New Roman" w:eastAsia="Times New Roman" w:cs="Times New Roman"/>
                <w:spacing w:val="-2"/>
                <w:position w:val="4"/>
                <w:sz w:val="20"/>
                <w:szCs w:val="20"/>
              </w:rPr>
              <w:t>Mg</w:t>
            </w:r>
            <w:r>
              <w:rPr>
                <w:rFonts w:ascii="Times New Roman" w:hAnsi="Times New Roman" w:eastAsia="Times New Roman" w:cs="Times New Roman"/>
                <w:spacing w:val="-2"/>
                <w:position w:val="9"/>
                <w:sz w:val="13"/>
                <w:szCs w:val="13"/>
              </w:rPr>
              <w:t xml:space="preserve">2+ </w:t>
            </w:r>
            <w:r>
              <w:rPr>
                <w:rFonts w:ascii="宋体" w:hAnsi="宋体" w:eastAsia="宋体" w:cs="宋体"/>
                <w:spacing w:val="-2"/>
                <w:position w:val="4"/>
                <w:sz w:val="20"/>
                <w:szCs w:val="20"/>
              </w:rPr>
              <w:t>、</w:t>
            </w:r>
            <w:r>
              <w:rPr>
                <w:rFonts w:ascii="Times New Roman" w:hAnsi="Times New Roman" w:eastAsia="Times New Roman" w:cs="Times New Roman"/>
                <w:spacing w:val="-2"/>
                <w:position w:val="4"/>
                <w:sz w:val="20"/>
                <w:szCs w:val="20"/>
              </w:rPr>
              <w:t>CO</w:t>
            </w:r>
            <w:r>
              <w:rPr>
                <w:rFonts w:ascii="Times New Roman" w:hAnsi="Times New Roman" w:eastAsia="Times New Roman" w:cs="Times New Roman"/>
                <w:spacing w:val="-2"/>
                <w:position w:val="2"/>
                <w:sz w:val="13"/>
                <w:szCs w:val="13"/>
              </w:rPr>
              <w:t>3</w:t>
            </w:r>
            <w:r>
              <w:rPr>
                <w:rFonts w:ascii="Times New Roman" w:hAnsi="Times New Roman" w:eastAsia="Times New Roman" w:cs="Times New Roman"/>
                <w:spacing w:val="-2"/>
                <w:position w:val="9"/>
                <w:sz w:val="13"/>
                <w:szCs w:val="13"/>
              </w:rPr>
              <w:t xml:space="preserve">2- </w:t>
            </w:r>
            <w:r>
              <w:rPr>
                <w:rFonts w:ascii="宋体" w:hAnsi="宋体" w:eastAsia="宋体" w:cs="宋体"/>
                <w:spacing w:val="-2"/>
                <w:position w:val="4"/>
                <w:sz w:val="20"/>
                <w:szCs w:val="20"/>
              </w:rPr>
              <w:t>、</w:t>
            </w:r>
            <w:r>
              <w:rPr>
                <w:rFonts w:ascii="Times New Roman" w:hAnsi="Times New Roman" w:eastAsia="Times New Roman" w:cs="Times New Roman"/>
                <w:spacing w:val="-2"/>
                <w:position w:val="4"/>
                <w:sz w:val="20"/>
                <w:szCs w:val="20"/>
              </w:rPr>
              <w:t>HCO</w:t>
            </w:r>
            <w:r>
              <w:rPr>
                <w:rFonts w:ascii="Times New Roman" w:hAnsi="Times New Roman" w:eastAsia="Times New Roman" w:cs="Times New Roman"/>
                <w:spacing w:val="-2"/>
                <w:position w:val="2"/>
                <w:sz w:val="13"/>
                <w:szCs w:val="13"/>
              </w:rPr>
              <w:t>3</w:t>
            </w:r>
            <w:r>
              <w:rPr>
                <w:rFonts w:ascii="Times New Roman" w:hAnsi="Times New Roman" w:eastAsia="Times New Roman" w:cs="Times New Roman"/>
                <w:spacing w:val="-2"/>
                <w:position w:val="9"/>
                <w:sz w:val="13"/>
                <w:szCs w:val="13"/>
              </w:rPr>
              <w:t xml:space="preserve">- </w:t>
            </w:r>
            <w:r>
              <w:rPr>
                <w:rFonts w:ascii="宋体" w:hAnsi="宋体" w:eastAsia="宋体" w:cs="宋体"/>
                <w:spacing w:val="-2"/>
                <w:position w:val="4"/>
                <w:sz w:val="20"/>
                <w:szCs w:val="20"/>
              </w:rPr>
              <w:t>、</w:t>
            </w:r>
            <w:r>
              <w:rPr>
                <w:rFonts w:ascii="Times New Roman" w:hAnsi="Times New Roman" w:eastAsia="Times New Roman" w:cs="Times New Roman"/>
                <w:spacing w:val="-2"/>
                <w:position w:val="4"/>
                <w:sz w:val="20"/>
                <w:szCs w:val="20"/>
              </w:rPr>
              <w:t>Cl</w:t>
            </w:r>
            <w:r>
              <w:rPr>
                <w:rFonts w:ascii="Times New Roman" w:hAnsi="Times New Roman" w:eastAsia="Times New Roman" w:cs="Times New Roman"/>
                <w:spacing w:val="-2"/>
                <w:position w:val="9"/>
                <w:sz w:val="13"/>
                <w:szCs w:val="13"/>
              </w:rPr>
              <w:t xml:space="preserve">- </w:t>
            </w:r>
            <w:r>
              <w:rPr>
                <w:rFonts w:ascii="宋体" w:hAnsi="宋体" w:eastAsia="宋体" w:cs="宋体"/>
                <w:spacing w:val="-2"/>
                <w:position w:val="4"/>
                <w:sz w:val="20"/>
                <w:szCs w:val="20"/>
              </w:rPr>
              <w:t>、</w:t>
            </w:r>
            <w:r>
              <w:rPr>
                <w:rFonts w:ascii="Times New Roman" w:hAnsi="Times New Roman" w:eastAsia="Times New Roman" w:cs="Times New Roman"/>
                <w:spacing w:val="-2"/>
                <w:position w:val="4"/>
                <w:sz w:val="20"/>
                <w:szCs w:val="20"/>
              </w:rPr>
              <w:t>SO</w:t>
            </w:r>
            <w:r>
              <w:rPr>
                <w:rFonts w:ascii="Times New Roman" w:hAnsi="Times New Roman" w:eastAsia="Times New Roman" w:cs="Times New Roman"/>
                <w:spacing w:val="-2"/>
                <w:position w:val="2"/>
                <w:sz w:val="13"/>
                <w:szCs w:val="13"/>
              </w:rPr>
              <w:t>4</w:t>
            </w:r>
            <w:r>
              <w:rPr>
                <w:rFonts w:ascii="Times New Roman" w:hAnsi="Times New Roman" w:eastAsia="Times New Roman" w:cs="Times New Roman"/>
                <w:spacing w:val="-2"/>
                <w:position w:val="9"/>
                <w:sz w:val="13"/>
                <w:szCs w:val="13"/>
              </w:rPr>
              <w:t xml:space="preserve">2- </w:t>
            </w:r>
            <w:r>
              <w:rPr>
                <w:rFonts w:ascii="宋体" w:hAnsi="宋体" w:eastAsia="宋体" w:cs="宋体"/>
                <w:spacing w:val="-2"/>
                <w:position w:val="4"/>
                <w:sz w:val="20"/>
                <w:szCs w:val="20"/>
              </w:rPr>
              <w:t>、</w:t>
            </w:r>
            <w:r>
              <w:rPr>
                <w:rFonts w:ascii="Times New Roman" w:hAnsi="Times New Roman" w:eastAsia="Times New Roman" w:cs="Times New Roman"/>
                <w:spacing w:val="-2"/>
                <w:position w:val="4"/>
                <w:sz w:val="20"/>
                <w:szCs w:val="20"/>
              </w:rPr>
              <w:t xml:space="preserve">pH </w:t>
            </w:r>
            <w:r>
              <w:rPr>
                <w:rFonts w:ascii="宋体" w:hAnsi="宋体" w:eastAsia="宋体" w:cs="宋体"/>
                <w:spacing w:val="-2"/>
                <w:position w:val="4"/>
                <w:sz w:val="20"/>
                <w:szCs w:val="20"/>
              </w:rPr>
              <w:t>、氨</w:t>
            </w:r>
          </w:p>
          <w:p w14:paraId="2FEEE705">
            <w:pPr>
              <w:spacing w:before="27" w:line="227" w:lineRule="auto"/>
              <w:ind w:left="133"/>
              <w:rPr>
                <w:rFonts w:ascii="宋体" w:hAnsi="宋体" w:eastAsia="宋体" w:cs="宋体"/>
                <w:sz w:val="20"/>
                <w:szCs w:val="20"/>
              </w:rPr>
            </w:pPr>
            <w:r>
              <w:rPr>
                <w:rFonts w:ascii="宋体" w:hAnsi="宋体" w:eastAsia="宋体" w:cs="宋体"/>
                <w:spacing w:val="10"/>
                <w:sz w:val="20"/>
                <w:szCs w:val="20"/>
              </w:rPr>
              <w:t>氮、硝酸盐、亚硝酸盐、溶解性总固体、高锰酸盐指数、</w:t>
            </w:r>
            <w:r>
              <w:rPr>
                <w:rFonts w:ascii="宋体" w:hAnsi="宋体" w:eastAsia="宋体" w:cs="宋体"/>
                <w:spacing w:val="8"/>
                <w:sz w:val="20"/>
                <w:szCs w:val="20"/>
              </w:rPr>
              <w:t>总</w:t>
            </w:r>
          </w:p>
          <w:p w14:paraId="7B2187CD">
            <w:pPr>
              <w:spacing w:before="25" w:line="224" w:lineRule="auto"/>
              <w:ind w:left="2026"/>
              <w:rPr>
                <w:rFonts w:ascii="宋体" w:hAnsi="宋体" w:eastAsia="宋体" w:cs="宋体"/>
                <w:sz w:val="20"/>
                <w:szCs w:val="20"/>
              </w:rPr>
            </w:pPr>
            <w:r>
              <w:rPr>
                <w:rFonts w:ascii="宋体" w:hAnsi="宋体" w:eastAsia="宋体" w:cs="宋体"/>
                <w:spacing w:val="13"/>
                <w:sz w:val="20"/>
                <w:szCs w:val="20"/>
              </w:rPr>
              <w:t>硬</w:t>
            </w:r>
            <w:r>
              <w:rPr>
                <w:rFonts w:ascii="宋体" w:hAnsi="宋体" w:eastAsia="宋体" w:cs="宋体"/>
                <w:spacing w:val="8"/>
                <w:sz w:val="20"/>
                <w:szCs w:val="20"/>
              </w:rPr>
              <w:t>度、总大肠菌群</w:t>
            </w:r>
          </w:p>
        </w:tc>
        <w:tc>
          <w:tcPr>
            <w:tcW w:w="2597" w:type="dxa"/>
            <w:tcBorders>
              <w:right w:val="nil"/>
            </w:tcBorders>
          </w:tcPr>
          <w:p w14:paraId="5063AD45">
            <w:pPr>
              <w:spacing w:line="275" w:lineRule="auto"/>
            </w:pPr>
          </w:p>
          <w:p w14:paraId="1AFB1C31">
            <w:pPr>
              <w:spacing w:before="65" w:line="192" w:lineRule="auto"/>
              <w:ind w:left="663"/>
              <w:rPr>
                <w:rFonts w:ascii="Times New Roman" w:hAnsi="Times New Roman" w:eastAsia="Times New Roman" w:cs="Times New Roman"/>
                <w:sz w:val="20"/>
                <w:szCs w:val="20"/>
              </w:rPr>
            </w:pPr>
            <w:r>
              <w:rPr>
                <w:rFonts w:ascii="Times New Roman" w:hAnsi="Times New Roman" w:eastAsia="Times New Roman" w:cs="Times New Roman"/>
                <w:sz w:val="20"/>
                <w:szCs w:val="20"/>
              </w:rPr>
              <w:t>COD</w:t>
            </w:r>
            <w:r>
              <w:rPr>
                <w:rFonts w:ascii="Times New Roman" w:hAnsi="Times New Roman" w:eastAsia="Times New Roman" w:cs="Times New Roman"/>
                <w:position w:val="-1"/>
                <w:sz w:val="13"/>
                <w:szCs w:val="13"/>
              </w:rPr>
              <w:t>cr</w:t>
            </w:r>
            <w:r>
              <w:rPr>
                <w:rFonts w:ascii="Times New Roman" w:hAnsi="Times New Roman" w:eastAsia="Times New Roman" w:cs="Times New Roman"/>
                <w:spacing w:val="7"/>
                <w:position w:val="-1"/>
                <w:sz w:val="13"/>
                <w:szCs w:val="13"/>
              </w:rPr>
              <w:t xml:space="preserve"> </w:t>
            </w:r>
            <w:r>
              <w:rPr>
                <w:rFonts w:ascii="宋体" w:hAnsi="宋体" w:eastAsia="宋体" w:cs="宋体"/>
                <w:spacing w:val="6"/>
                <w:sz w:val="20"/>
                <w:szCs w:val="20"/>
              </w:rPr>
              <w:t>、</w:t>
            </w:r>
            <w:r>
              <w:rPr>
                <w:rFonts w:ascii="Times New Roman" w:hAnsi="Times New Roman" w:eastAsia="Times New Roman" w:cs="Times New Roman"/>
                <w:sz w:val="20"/>
                <w:szCs w:val="20"/>
              </w:rPr>
              <w:t>NH</w:t>
            </w:r>
            <w:r>
              <w:rPr>
                <w:rFonts w:ascii="Times New Roman" w:hAnsi="Times New Roman" w:eastAsia="Times New Roman" w:cs="Times New Roman"/>
                <w:spacing w:val="6"/>
                <w:position w:val="-1"/>
                <w:sz w:val="13"/>
                <w:szCs w:val="13"/>
              </w:rPr>
              <w:t>3</w:t>
            </w:r>
            <w:r>
              <w:rPr>
                <w:rFonts w:ascii="Times New Roman" w:hAnsi="Times New Roman" w:eastAsia="Times New Roman" w:cs="Times New Roman"/>
                <w:sz w:val="20"/>
                <w:szCs w:val="20"/>
              </w:rPr>
              <w:t>N</w:t>
            </w:r>
          </w:p>
        </w:tc>
      </w:tr>
      <w:tr w14:paraId="583245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92" w:type="dxa"/>
            <w:tcBorders>
              <w:left w:val="nil"/>
            </w:tcBorders>
          </w:tcPr>
          <w:p w14:paraId="6274895A">
            <w:pPr>
              <w:spacing w:before="35" w:line="223" w:lineRule="auto"/>
              <w:ind w:left="284"/>
              <w:rPr>
                <w:rFonts w:ascii="宋体" w:hAnsi="宋体" w:eastAsia="宋体" w:cs="宋体"/>
                <w:sz w:val="20"/>
                <w:szCs w:val="20"/>
              </w:rPr>
            </w:pPr>
            <w:r>
              <w:rPr>
                <w:rFonts w:ascii="宋体" w:hAnsi="宋体" w:eastAsia="宋体" w:cs="宋体"/>
                <w:spacing w:val="8"/>
                <w:sz w:val="20"/>
                <w:szCs w:val="20"/>
              </w:rPr>
              <w:t>环</w:t>
            </w:r>
            <w:r>
              <w:rPr>
                <w:rFonts w:ascii="宋体" w:hAnsi="宋体" w:eastAsia="宋体" w:cs="宋体"/>
                <w:spacing w:val="7"/>
                <w:sz w:val="20"/>
                <w:szCs w:val="20"/>
              </w:rPr>
              <w:t>境噪声</w:t>
            </w:r>
          </w:p>
        </w:tc>
        <w:tc>
          <w:tcPr>
            <w:tcW w:w="5723" w:type="dxa"/>
          </w:tcPr>
          <w:p w14:paraId="2BC61E9C">
            <w:pPr>
              <w:spacing w:before="35" w:line="223" w:lineRule="auto"/>
              <w:ind w:left="2109"/>
              <w:rPr>
                <w:rFonts w:ascii="宋体" w:hAnsi="宋体" w:eastAsia="宋体" w:cs="宋体"/>
                <w:sz w:val="20"/>
                <w:szCs w:val="20"/>
              </w:rPr>
            </w:pPr>
            <w:r>
              <w:rPr>
                <w:rFonts w:ascii="宋体" w:hAnsi="宋体" w:eastAsia="宋体" w:cs="宋体"/>
                <w:spacing w:val="2"/>
                <w:sz w:val="20"/>
                <w:szCs w:val="20"/>
              </w:rPr>
              <w:t>等效</w:t>
            </w:r>
            <w:r>
              <w:rPr>
                <w:rFonts w:ascii="宋体" w:hAnsi="宋体" w:eastAsia="宋体" w:cs="宋体"/>
                <w:spacing w:val="1"/>
                <w:sz w:val="20"/>
                <w:szCs w:val="20"/>
              </w:rPr>
              <w:t xml:space="preserve">连续 </w:t>
            </w:r>
            <w:r>
              <w:rPr>
                <w:rFonts w:ascii="Times New Roman" w:hAnsi="Times New Roman" w:eastAsia="Times New Roman" w:cs="Times New Roman"/>
                <w:sz w:val="20"/>
                <w:szCs w:val="20"/>
              </w:rPr>
              <w:t>A</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rPr>
              <w:t>声级</w:t>
            </w:r>
          </w:p>
        </w:tc>
        <w:tc>
          <w:tcPr>
            <w:tcW w:w="2597" w:type="dxa"/>
            <w:tcBorders>
              <w:right w:val="nil"/>
            </w:tcBorders>
          </w:tcPr>
          <w:p w14:paraId="6A910323">
            <w:pPr>
              <w:spacing w:before="35" w:line="223" w:lineRule="auto"/>
              <w:ind w:left="548"/>
              <w:rPr>
                <w:rFonts w:ascii="宋体" w:hAnsi="宋体" w:eastAsia="宋体" w:cs="宋体"/>
                <w:sz w:val="20"/>
                <w:szCs w:val="20"/>
              </w:rPr>
            </w:pPr>
            <w:r>
              <w:rPr>
                <w:rFonts w:ascii="宋体" w:hAnsi="宋体" w:eastAsia="宋体" w:cs="宋体"/>
                <w:spacing w:val="2"/>
                <w:sz w:val="20"/>
                <w:szCs w:val="20"/>
              </w:rPr>
              <w:t>等效</w:t>
            </w:r>
            <w:r>
              <w:rPr>
                <w:rFonts w:ascii="宋体" w:hAnsi="宋体" w:eastAsia="宋体" w:cs="宋体"/>
                <w:spacing w:val="1"/>
                <w:sz w:val="20"/>
                <w:szCs w:val="20"/>
              </w:rPr>
              <w:t xml:space="preserve">连续 </w:t>
            </w:r>
            <w:r>
              <w:rPr>
                <w:rFonts w:ascii="Times New Roman" w:hAnsi="Times New Roman" w:eastAsia="Times New Roman" w:cs="Times New Roman"/>
                <w:sz w:val="20"/>
                <w:szCs w:val="20"/>
              </w:rPr>
              <w:t>A</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rPr>
              <w:t>声级</w:t>
            </w:r>
          </w:p>
        </w:tc>
      </w:tr>
      <w:tr w14:paraId="190ACE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1392" w:type="dxa"/>
            <w:tcBorders>
              <w:left w:val="nil"/>
            </w:tcBorders>
          </w:tcPr>
          <w:p w14:paraId="1BB2A598">
            <w:pPr>
              <w:spacing w:before="36" w:line="228" w:lineRule="auto"/>
              <w:ind w:left="302"/>
              <w:rPr>
                <w:rFonts w:ascii="宋体" w:hAnsi="宋体" w:eastAsia="宋体" w:cs="宋体"/>
                <w:sz w:val="20"/>
                <w:szCs w:val="20"/>
              </w:rPr>
            </w:pPr>
            <w:r>
              <w:rPr>
                <w:rFonts w:ascii="宋体" w:hAnsi="宋体" w:eastAsia="宋体" w:cs="宋体"/>
                <w:spacing w:val="3"/>
                <w:sz w:val="20"/>
                <w:szCs w:val="20"/>
              </w:rPr>
              <w:t>固体废</w:t>
            </w:r>
            <w:r>
              <w:rPr>
                <w:rFonts w:ascii="宋体" w:hAnsi="宋体" w:eastAsia="宋体" w:cs="宋体"/>
                <w:spacing w:val="2"/>
                <w:sz w:val="20"/>
                <w:szCs w:val="20"/>
              </w:rPr>
              <w:t>物</w:t>
            </w:r>
          </w:p>
        </w:tc>
        <w:tc>
          <w:tcPr>
            <w:tcW w:w="5723" w:type="dxa"/>
          </w:tcPr>
          <w:p w14:paraId="2F8766AD">
            <w:pPr>
              <w:spacing w:before="35" w:line="228" w:lineRule="auto"/>
              <w:ind w:left="1081"/>
              <w:rPr>
                <w:rFonts w:ascii="宋体" w:hAnsi="宋体" w:eastAsia="宋体" w:cs="宋体"/>
                <w:sz w:val="20"/>
                <w:szCs w:val="20"/>
              </w:rPr>
            </w:pPr>
            <w:r>
              <w:rPr>
                <w:rFonts w:ascii="宋体" w:hAnsi="宋体" w:eastAsia="宋体" w:cs="宋体"/>
                <w:spacing w:val="16"/>
                <w:sz w:val="20"/>
                <w:szCs w:val="20"/>
              </w:rPr>
              <w:t>猪</w:t>
            </w:r>
            <w:r>
              <w:rPr>
                <w:rFonts w:ascii="宋体" w:hAnsi="宋体" w:eastAsia="宋体" w:cs="宋体"/>
                <w:spacing w:val="9"/>
                <w:sz w:val="20"/>
                <w:szCs w:val="20"/>
              </w:rPr>
              <w:t>粪、病死猪、生活垃圾、医疗废物等</w:t>
            </w:r>
          </w:p>
        </w:tc>
        <w:tc>
          <w:tcPr>
            <w:tcW w:w="2597" w:type="dxa"/>
            <w:tcBorders>
              <w:right w:val="nil"/>
            </w:tcBorders>
          </w:tcPr>
          <w:p w14:paraId="787AC5FF">
            <w:pPr>
              <w:spacing w:before="36" w:line="228" w:lineRule="auto"/>
              <w:ind w:left="466"/>
              <w:rPr>
                <w:rFonts w:ascii="宋体" w:hAnsi="宋体" w:eastAsia="宋体" w:cs="宋体"/>
                <w:sz w:val="20"/>
                <w:szCs w:val="20"/>
              </w:rPr>
            </w:pPr>
            <w:r>
              <w:rPr>
                <w:rFonts w:ascii="宋体" w:hAnsi="宋体" w:eastAsia="宋体" w:cs="宋体"/>
                <w:spacing w:val="11"/>
                <w:sz w:val="20"/>
                <w:szCs w:val="20"/>
              </w:rPr>
              <w:t>生</w:t>
            </w:r>
            <w:r>
              <w:rPr>
                <w:rFonts w:ascii="宋体" w:hAnsi="宋体" w:eastAsia="宋体" w:cs="宋体"/>
                <w:spacing w:val="8"/>
                <w:sz w:val="20"/>
                <w:szCs w:val="20"/>
              </w:rPr>
              <w:t>活垃圾、猪粪等</w:t>
            </w:r>
          </w:p>
        </w:tc>
      </w:tr>
    </w:tbl>
    <w:p w14:paraId="4EB268A4">
      <w:pPr>
        <w:spacing w:before="42" w:line="219" w:lineRule="auto"/>
        <w:ind w:left="532"/>
        <w:outlineLvl w:val="1"/>
        <w:rPr>
          <w:rFonts w:ascii="宋体" w:hAnsi="宋体" w:eastAsia="宋体" w:cs="宋体"/>
          <w:sz w:val="28"/>
          <w:szCs w:val="28"/>
        </w:rPr>
      </w:pPr>
      <w:bookmarkStart w:id="10" w:name="_bookmark11"/>
      <w:bookmarkEnd w:id="10"/>
      <w:r>
        <w:rPr>
          <w:rFonts w:ascii="Times New Roman" w:hAnsi="Times New Roman" w:eastAsia="Times New Roman" w:cs="Times New Roman"/>
          <w:b/>
          <w:bCs/>
          <w:spacing w:val="-2"/>
          <w:sz w:val="28"/>
          <w:szCs w:val="28"/>
        </w:rPr>
        <w:t>1.4</w:t>
      </w:r>
      <w:r>
        <w:rPr>
          <w:rFonts w:ascii="Times New Roman" w:hAnsi="Times New Roman" w:eastAsia="Times New Roman" w:cs="Times New Roman"/>
          <w:spacing w:val="-2"/>
          <w:sz w:val="28"/>
          <w:szCs w:val="28"/>
        </w:rPr>
        <w:t xml:space="preserve">  </w:t>
      </w:r>
      <w:r>
        <w:rPr>
          <w:rFonts w:ascii="宋体" w:hAnsi="宋体" w:eastAsia="宋体" w:cs="宋体"/>
          <w:spacing w:val="-2"/>
          <w:sz w:val="28"/>
          <w:szCs w:val="28"/>
          <w14:textOutline w14:w="5105" w14:cap="sq" w14:cmpd="sng" w14:algn="ctr">
            <w14:solidFill>
              <w14:srgbClr w14:val="000000"/>
            </w14:solidFill>
            <w14:prstDash w14:val="solid"/>
            <w14:bevel/>
          </w14:textOutline>
        </w:rPr>
        <w:t>评价</w:t>
      </w:r>
      <w:r>
        <w:rPr>
          <w:rFonts w:ascii="宋体" w:hAnsi="宋体" w:eastAsia="宋体" w:cs="宋体"/>
          <w:spacing w:val="-1"/>
          <w:sz w:val="28"/>
          <w:szCs w:val="28"/>
          <w14:textOutline w14:w="5105" w14:cap="sq" w14:cmpd="sng" w14:algn="ctr">
            <w14:solidFill>
              <w14:srgbClr w14:val="000000"/>
            </w14:solidFill>
            <w14:prstDash w14:val="solid"/>
            <w14:bevel/>
          </w14:textOutline>
        </w:rPr>
        <w:t>标准</w:t>
      </w:r>
    </w:p>
    <w:p w14:paraId="2D653B0A">
      <w:pPr>
        <w:spacing w:before="206" w:line="228" w:lineRule="auto"/>
        <w:ind w:left="529"/>
        <w:outlineLvl w:val="2"/>
        <w:rPr>
          <w:rFonts w:ascii="宋体" w:hAnsi="宋体" w:eastAsia="宋体" w:cs="宋体"/>
          <w:sz w:val="23"/>
          <w:szCs w:val="23"/>
        </w:rPr>
      </w:pPr>
      <w:r>
        <w:rPr>
          <w:rFonts w:ascii="Times New Roman" w:hAnsi="Times New Roman" w:eastAsia="Times New Roman" w:cs="Times New Roman"/>
          <w:b/>
          <w:bCs/>
          <w:spacing w:val="10"/>
          <w:sz w:val="23"/>
          <w:szCs w:val="23"/>
        </w:rPr>
        <w:t>1</w:t>
      </w:r>
      <w:r>
        <w:rPr>
          <w:rFonts w:ascii="Times New Roman" w:hAnsi="Times New Roman" w:eastAsia="Times New Roman" w:cs="Times New Roman"/>
          <w:b/>
          <w:bCs/>
          <w:spacing w:val="8"/>
          <w:sz w:val="23"/>
          <w:szCs w:val="23"/>
        </w:rPr>
        <w:t>.</w:t>
      </w:r>
      <w:r>
        <w:rPr>
          <w:rFonts w:ascii="Times New Roman" w:hAnsi="Times New Roman" w:eastAsia="Times New Roman" w:cs="Times New Roman"/>
          <w:b/>
          <w:bCs/>
          <w:spacing w:val="5"/>
          <w:sz w:val="23"/>
          <w:szCs w:val="23"/>
        </w:rPr>
        <w:t>4.1</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环境质量标准</w:t>
      </w:r>
    </w:p>
    <w:p w14:paraId="1F96B1D9">
      <w:pPr>
        <w:sectPr>
          <w:headerReference r:id="rId22" w:type="default"/>
          <w:footerReference r:id="rId23" w:type="default"/>
          <w:pgSz w:w="11907" w:h="16840"/>
          <w:pgMar w:top="400" w:right="1046" w:bottom="1277" w:left="1146" w:header="0" w:footer="1114" w:gutter="0"/>
          <w:cols w:space="720" w:num="1"/>
        </w:sectPr>
      </w:pPr>
    </w:p>
    <w:p w14:paraId="733182AF">
      <w:pPr>
        <w:spacing w:before="42" w:line="228" w:lineRule="auto"/>
        <w:ind w:left="1141"/>
        <w:rPr>
          <w:rFonts w:ascii="宋体" w:hAnsi="宋体" w:eastAsia="宋体" w:cs="宋体"/>
          <w:sz w:val="23"/>
          <w:szCs w:val="23"/>
        </w:rPr>
      </w:pPr>
      <w:r>
        <w:rPr>
          <w:rFonts w:ascii="Times New Roman" w:hAnsi="Times New Roman" w:eastAsia="Times New Roman" w:cs="Times New Roman"/>
          <w:spacing w:val="4"/>
          <w:sz w:val="23"/>
          <w:szCs w:val="23"/>
        </w:rPr>
        <w:t>1</w:t>
      </w:r>
      <w:r>
        <w:rPr>
          <w:rFonts w:ascii="宋体" w:hAnsi="宋体" w:eastAsia="宋体" w:cs="宋体"/>
          <w:spacing w:val="4"/>
          <w:sz w:val="23"/>
          <w:szCs w:val="23"/>
        </w:rPr>
        <w:t>) 环境空</w:t>
      </w:r>
      <w:r>
        <w:rPr>
          <w:rFonts w:ascii="宋体" w:hAnsi="宋体" w:eastAsia="宋体" w:cs="宋体"/>
          <w:spacing w:val="2"/>
          <w:sz w:val="23"/>
          <w:szCs w:val="23"/>
        </w:rPr>
        <w:t>气</w:t>
      </w:r>
    </w:p>
    <w:p w14:paraId="4D6F5DE6">
      <w:pPr>
        <w:spacing w:before="181" w:line="226" w:lineRule="auto"/>
        <w:ind w:left="1002"/>
        <w:rPr>
          <w:rFonts w:ascii="宋体" w:hAnsi="宋体" w:eastAsia="宋体" w:cs="宋体"/>
          <w:sz w:val="23"/>
          <w:szCs w:val="23"/>
        </w:rPr>
      </w:pPr>
      <w:r>
        <w:rPr>
          <w:rFonts w:ascii="宋体" w:hAnsi="宋体" w:eastAsia="宋体" w:cs="宋体"/>
          <w:spacing w:val="16"/>
          <w:sz w:val="23"/>
          <w:szCs w:val="23"/>
        </w:rPr>
        <w:t>评</w:t>
      </w:r>
      <w:r>
        <w:rPr>
          <w:rFonts w:ascii="宋体" w:hAnsi="宋体" w:eastAsia="宋体" w:cs="宋体"/>
          <w:spacing w:val="11"/>
          <w:sz w:val="23"/>
          <w:szCs w:val="23"/>
        </w:rPr>
        <w:t>价</w:t>
      </w:r>
      <w:r>
        <w:rPr>
          <w:rFonts w:ascii="宋体" w:hAnsi="宋体" w:eastAsia="宋体" w:cs="宋体"/>
          <w:spacing w:val="8"/>
          <w:sz w:val="23"/>
          <w:szCs w:val="23"/>
        </w:rPr>
        <w:t>区域大气环境基本污染物执行《环境空气质量标准》  (</w:t>
      </w:r>
      <w:r>
        <w:rPr>
          <w:rFonts w:ascii="Times New Roman" w:hAnsi="Times New Roman" w:eastAsia="Times New Roman" w:cs="Times New Roman"/>
          <w:sz w:val="23"/>
          <w:szCs w:val="23"/>
        </w:rPr>
        <w:t>GB</w:t>
      </w:r>
      <w:r>
        <w:rPr>
          <w:rFonts w:ascii="Times New Roman" w:hAnsi="Times New Roman" w:eastAsia="Times New Roman" w:cs="Times New Roman"/>
          <w:spacing w:val="8"/>
          <w:sz w:val="23"/>
          <w:szCs w:val="23"/>
        </w:rPr>
        <w:t>3095-2012</w:t>
      </w:r>
      <w:r>
        <w:rPr>
          <w:rFonts w:ascii="宋体" w:hAnsi="宋体" w:eastAsia="宋体" w:cs="宋体"/>
          <w:spacing w:val="8"/>
          <w:sz w:val="23"/>
          <w:szCs w:val="23"/>
        </w:rPr>
        <w:t>) 二</w:t>
      </w:r>
    </w:p>
    <w:p w14:paraId="447210CE">
      <w:pPr>
        <w:spacing w:before="183" w:line="227" w:lineRule="auto"/>
        <w:ind w:left="527"/>
        <w:rPr>
          <w:rFonts w:ascii="宋体" w:hAnsi="宋体" w:eastAsia="宋体" w:cs="宋体"/>
          <w:sz w:val="23"/>
          <w:szCs w:val="23"/>
        </w:rPr>
      </w:pPr>
      <w:r>
        <w:rPr>
          <w:rFonts w:ascii="宋体" w:hAnsi="宋体" w:eastAsia="宋体" w:cs="宋体"/>
          <w:spacing w:val="5"/>
          <w:sz w:val="23"/>
          <w:szCs w:val="23"/>
        </w:rPr>
        <w:t>级</w:t>
      </w:r>
      <w:r>
        <w:rPr>
          <w:rFonts w:ascii="宋体" w:hAnsi="宋体" w:eastAsia="宋体" w:cs="宋体"/>
          <w:spacing w:val="4"/>
          <w:sz w:val="23"/>
          <w:szCs w:val="23"/>
        </w:rPr>
        <w:t>，</w:t>
      </w:r>
      <w:r>
        <w:rPr>
          <w:rFonts w:ascii="Times New Roman" w:hAnsi="Times New Roman" w:eastAsia="Times New Roman" w:cs="Times New Roman"/>
          <w:sz w:val="23"/>
          <w:szCs w:val="23"/>
        </w:rPr>
        <w:t>NH</w:t>
      </w:r>
      <w:r>
        <w:rPr>
          <w:rFonts w:ascii="Times New Roman" w:hAnsi="Times New Roman" w:eastAsia="Times New Roman" w:cs="Times New Roman"/>
          <w:spacing w:val="4"/>
          <w:position w:val="-1"/>
          <w:sz w:val="15"/>
          <w:szCs w:val="15"/>
        </w:rPr>
        <w:t xml:space="preserve">3 </w:t>
      </w:r>
      <w:r>
        <w:rPr>
          <w:rFonts w:ascii="宋体" w:hAnsi="宋体" w:eastAsia="宋体" w:cs="宋体"/>
          <w:spacing w:val="4"/>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4"/>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参照《环境影响评价技术导则 大气环境》  (</w:t>
      </w:r>
      <w:r>
        <w:rPr>
          <w:rFonts w:ascii="Times New Roman" w:hAnsi="Times New Roman" w:eastAsia="Times New Roman" w:cs="Times New Roman"/>
          <w:sz w:val="23"/>
          <w:szCs w:val="23"/>
        </w:rPr>
        <w:t>HJ</w:t>
      </w:r>
      <w:r>
        <w:rPr>
          <w:rFonts w:ascii="Times New Roman" w:hAnsi="Times New Roman" w:eastAsia="Times New Roman" w:cs="Times New Roman"/>
          <w:spacing w:val="4"/>
          <w:sz w:val="23"/>
          <w:szCs w:val="23"/>
        </w:rPr>
        <w:t>2.2-2018</w:t>
      </w:r>
      <w:r>
        <w:rPr>
          <w:rFonts w:ascii="宋体" w:hAnsi="宋体" w:eastAsia="宋体" w:cs="宋体"/>
          <w:spacing w:val="4"/>
          <w:sz w:val="23"/>
          <w:szCs w:val="23"/>
        </w:rPr>
        <w:t xml:space="preserve">) 附录 </w:t>
      </w:r>
      <w:r>
        <w:rPr>
          <w:rFonts w:ascii="Times New Roman" w:hAnsi="Times New Roman" w:eastAsia="Times New Roman" w:cs="Times New Roman"/>
          <w:sz w:val="23"/>
          <w:szCs w:val="23"/>
        </w:rPr>
        <w:t>D</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标</w:t>
      </w:r>
    </w:p>
    <w:p w14:paraId="66FB76EA">
      <w:pPr>
        <w:spacing w:before="185" w:line="229" w:lineRule="auto"/>
        <w:ind w:left="525"/>
        <w:rPr>
          <w:rFonts w:ascii="宋体" w:hAnsi="宋体" w:eastAsia="宋体" w:cs="宋体"/>
          <w:sz w:val="23"/>
          <w:szCs w:val="23"/>
        </w:rPr>
      </w:pPr>
      <w:r>
        <w:rPr>
          <w:rFonts w:ascii="宋体" w:hAnsi="宋体" w:eastAsia="宋体" w:cs="宋体"/>
          <w:spacing w:val="-1"/>
          <w:sz w:val="23"/>
          <w:szCs w:val="23"/>
        </w:rPr>
        <w:t>准，具体</w:t>
      </w:r>
      <w:r>
        <w:rPr>
          <w:rFonts w:ascii="宋体" w:hAnsi="宋体" w:eastAsia="宋体" w:cs="宋体"/>
          <w:sz w:val="23"/>
          <w:szCs w:val="23"/>
        </w:rPr>
        <w:t xml:space="preserve">标准限值见表 </w:t>
      </w:r>
      <w:r>
        <w:rPr>
          <w:rFonts w:ascii="Times New Roman" w:hAnsi="Times New Roman" w:eastAsia="Times New Roman" w:cs="Times New Roman"/>
          <w:sz w:val="23"/>
          <w:szCs w:val="23"/>
        </w:rPr>
        <w:t>1.4- 1</w:t>
      </w:r>
      <w:r>
        <w:rPr>
          <w:rFonts w:ascii="宋体" w:hAnsi="宋体" w:eastAsia="宋体" w:cs="宋体"/>
          <w:sz w:val="23"/>
          <w:szCs w:val="23"/>
        </w:rPr>
        <w:t>；</w:t>
      </w:r>
    </w:p>
    <w:p w14:paraId="580DE52B">
      <w:pPr>
        <w:spacing w:before="183" w:line="222" w:lineRule="auto"/>
        <w:ind w:left="3450"/>
        <w:rPr>
          <w:rFonts w:ascii="黑体" w:hAnsi="黑体" w:eastAsia="黑体" w:cs="黑体"/>
          <w:sz w:val="23"/>
          <w:szCs w:val="23"/>
        </w:rPr>
      </w:pPr>
      <w:r>
        <w:rPr>
          <w:rFonts w:ascii="黑体" w:hAnsi="黑体" w:eastAsia="黑体" w:cs="黑体"/>
          <w:spacing w:val="-1"/>
          <w:sz w:val="23"/>
          <w:szCs w:val="23"/>
        </w:rPr>
        <w:t xml:space="preserve">表 </w:t>
      </w:r>
      <w:r>
        <w:rPr>
          <w:rFonts w:ascii="Times New Roman" w:hAnsi="Times New Roman" w:eastAsia="Times New Roman" w:cs="Times New Roman"/>
          <w:spacing w:val="-1"/>
          <w:sz w:val="23"/>
          <w:szCs w:val="23"/>
        </w:rPr>
        <w:t xml:space="preserve">1.4- 1  </w:t>
      </w:r>
      <w:r>
        <w:rPr>
          <w:rFonts w:ascii="黑体" w:hAnsi="黑体" w:eastAsia="黑体" w:cs="黑体"/>
          <w:spacing w:val="-1"/>
          <w:sz w:val="23"/>
          <w:szCs w:val="23"/>
        </w:rPr>
        <w:t>环</w:t>
      </w:r>
      <w:r>
        <w:rPr>
          <w:rFonts w:ascii="黑体" w:hAnsi="黑体" w:eastAsia="黑体" w:cs="黑体"/>
          <w:sz w:val="23"/>
          <w:szCs w:val="23"/>
        </w:rPr>
        <w:t>境空气质量标准</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62"/>
        <w:gridCol w:w="1652"/>
        <w:gridCol w:w="1839"/>
        <w:gridCol w:w="1437"/>
        <w:gridCol w:w="3522"/>
      </w:tblGrid>
      <w:tr w14:paraId="79BCAF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262" w:type="dxa"/>
            <w:vMerge w:val="restart"/>
            <w:tcBorders>
              <w:left w:val="nil"/>
              <w:bottom w:val="nil"/>
            </w:tcBorders>
          </w:tcPr>
          <w:p w14:paraId="281D8D9F">
            <w:pPr>
              <w:spacing w:line="312" w:lineRule="auto"/>
            </w:pPr>
          </w:p>
          <w:p w14:paraId="10CECEED">
            <w:pPr>
              <w:spacing w:before="65" w:line="228" w:lineRule="auto"/>
              <w:ind w:left="326"/>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污染物</w:t>
            </w:r>
          </w:p>
        </w:tc>
        <w:tc>
          <w:tcPr>
            <w:tcW w:w="4928" w:type="dxa"/>
            <w:gridSpan w:val="3"/>
          </w:tcPr>
          <w:p w14:paraId="68E51C7B">
            <w:pPr>
              <w:spacing w:before="105" w:line="288" w:lineRule="exact"/>
              <w:ind w:left="949"/>
              <w:rPr>
                <w:rFonts w:ascii="宋体" w:hAnsi="宋体" w:eastAsia="宋体" w:cs="宋体"/>
                <w:sz w:val="20"/>
                <w:szCs w:val="20"/>
              </w:rPr>
            </w:pPr>
            <w:r>
              <w:rPr>
                <w:rFonts w:ascii="宋体" w:hAnsi="宋体" w:eastAsia="宋体" w:cs="宋体"/>
                <w:spacing w:val="14"/>
                <w:position w:val="3"/>
                <w:sz w:val="20"/>
                <w:szCs w:val="20"/>
                <w14:textOutline w14:w="3797" w14:cap="sq" w14:cmpd="sng" w14:algn="ctr">
                  <w14:solidFill>
                    <w14:srgbClr w14:val="000000"/>
                  </w14:solidFill>
                  <w14:prstDash w14:val="solid"/>
                  <w14:bevel/>
                </w14:textOutline>
              </w:rPr>
              <w:t>各</w:t>
            </w:r>
            <w:r>
              <w:rPr>
                <w:rFonts w:ascii="宋体" w:hAnsi="宋体" w:eastAsia="宋体" w:cs="宋体"/>
                <w:spacing w:val="11"/>
                <w:position w:val="3"/>
                <w:sz w:val="20"/>
                <w:szCs w:val="20"/>
                <w14:textOutline w14:w="3797" w14:cap="sq" w14:cmpd="sng" w14:algn="ctr">
                  <w14:solidFill>
                    <w14:srgbClr w14:val="000000"/>
                  </w14:solidFill>
                  <w14:prstDash w14:val="solid"/>
                  <w14:bevel/>
                </w14:textOutline>
              </w:rPr>
              <w:t>项</w:t>
            </w:r>
            <w:r>
              <w:rPr>
                <w:rFonts w:ascii="宋体" w:hAnsi="宋体" w:eastAsia="宋体" w:cs="宋体"/>
                <w:spacing w:val="7"/>
                <w:position w:val="3"/>
                <w:sz w:val="20"/>
                <w:szCs w:val="20"/>
                <w14:textOutline w14:w="3797" w14:cap="sq" w14:cmpd="sng" w14:algn="ctr">
                  <w14:solidFill>
                    <w14:srgbClr w14:val="000000"/>
                  </w14:solidFill>
                  <w14:prstDash w14:val="solid"/>
                  <w14:bevel/>
                </w14:textOutline>
              </w:rPr>
              <w:t>污染物的浓度限值</w:t>
            </w:r>
            <w:r>
              <w:rPr>
                <w:rFonts w:ascii="宋体" w:hAnsi="宋体" w:eastAsia="宋体" w:cs="宋体"/>
                <w:spacing w:val="7"/>
                <w:position w:val="3"/>
                <w:sz w:val="20"/>
                <w:szCs w:val="20"/>
              </w:rPr>
              <w:t xml:space="preserve"> </w:t>
            </w:r>
            <w:r>
              <w:rPr>
                <w:rFonts w:ascii="宋体" w:hAnsi="宋体" w:eastAsia="宋体" w:cs="宋体"/>
                <w:spacing w:val="7"/>
                <w:position w:val="3"/>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spacing w:val="7"/>
                <w:position w:val="3"/>
                <w:sz w:val="20"/>
                <w:szCs w:val="20"/>
              </w:rPr>
              <w:t>μ</w:t>
            </w:r>
            <w:r>
              <w:rPr>
                <w:rFonts w:ascii="Times New Roman" w:hAnsi="Times New Roman" w:eastAsia="Times New Roman" w:cs="Times New Roman"/>
                <w:b/>
                <w:bCs/>
                <w:position w:val="3"/>
                <w:sz w:val="20"/>
                <w:szCs w:val="20"/>
              </w:rPr>
              <w:t>g</w:t>
            </w:r>
            <w:r>
              <w:rPr>
                <w:rFonts w:ascii="Times New Roman" w:hAnsi="Times New Roman" w:eastAsia="Times New Roman" w:cs="Times New Roman"/>
                <w:b/>
                <w:bCs/>
                <w:spacing w:val="7"/>
                <w:position w:val="3"/>
                <w:sz w:val="20"/>
                <w:szCs w:val="20"/>
              </w:rPr>
              <w:t>/</w:t>
            </w:r>
            <w:r>
              <w:rPr>
                <w:rFonts w:ascii="Times New Roman" w:hAnsi="Times New Roman" w:eastAsia="Times New Roman" w:cs="Times New Roman"/>
                <w:b/>
                <w:bCs/>
                <w:position w:val="3"/>
                <w:sz w:val="20"/>
                <w:szCs w:val="20"/>
              </w:rPr>
              <w:t>m</w:t>
            </w:r>
            <w:r>
              <w:rPr>
                <w:rFonts w:ascii="Times New Roman" w:hAnsi="Times New Roman" w:eastAsia="Times New Roman" w:cs="Times New Roman"/>
                <w:b/>
                <w:bCs/>
                <w:spacing w:val="7"/>
                <w:position w:val="9"/>
                <w:sz w:val="13"/>
                <w:szCs w:val="13"/>
              </w:rPr>
              <w:t>3</w:t>
            </w:r>
            <w:r>
              <w:rPr>
                <w:rFonts w:ascii="Times New Roman" w:hAnsi="Times New Roman" w:eastAsia="Times New Roman" w:cs="Times New Roman"/>
                <w:spacing w:val="7"/>
                <w:position w:val="9"/>
                <w:sz w:val="13"/>
                <w:szCs w:val="13"/>
              </w:rPr>
              <w:t xml:space="preserve"> </w:t>
            </w:r>
            <w:r>
              <w:rPr>
                <w:rFonts w:ascii="宋体" w:hAnsi="宋体" w:eastAsia="宋体" w:cs="宋体"/>
                <w:spacing w:val="7"/>
                <w:position w:val="3"/>
                <w:sz w:val="20"/>
                <w:szCs w:val="20"/>
                <w14:textOutline w14:w="3797" w14:cap="sq" w14:cmpd="sng" w14:algn="ctr">
                  <w14:solidFill>
                    <w14:srgbClr w14:val="000000"/>
                  </w14:solidFill>
                  <w14:prstDash w14:val="solid"/>
                  <w14:bevel/>
                </w14:textOutline>
              </w:rPr>
              <w:t>)</w:t>
            </w:r>
          </w:p>
        </w:tc>
        <w:tc>
          <w:tcPr>
            <w:tcW w:w="3522" w:type="dxa"/>
            <w:vMerge w:val="restart"/>
            <w:tcBorders>
              <w:bottom w:val="nil"/>
              <w:right w:val="nil"/>
            </w:tcBorders>
          </w:tcPr>
          <w:p w14:paraId="38829857">
            <w:pPr>
              <w:spacing w:line="311" w:lineRule="auto"/>
            </w:pPr>
          </w:p>
          <w:p w14:paraId="051B0C8A">
            <w:pPr>
              <w:spacing w:before="65" w:line="227" w:lineRule="auto"/>
              <w:ind w:left="1559"/>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依据</w:t>
            </w:r>
          </w:p>
        </w:tc>
      </w:tr>
      <w:tr w14:paraId="51B3D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262" w:type="dxa"/>
            <w:vMerge w:val="continue"/>
            <w:tcBorders>
              <w:top w:val="nil"/>
              <w:left w:val="nil"/>
            </w:tcBorders>
          </w:tcPr>
          <w:p w14:paraId="56B1F323"/>
        </w:tc>
        <w:tc>
          <w:tcPr>
            <w:tcW w:w="1652" w:type="dxa"/>
          </w:tcPr>
          <w:p w14:paraId="03C97CA1">
            <w:pPr>
              <w:spacing w:before="121" w:line="228" w:lineRule="auto"/>
              <w:ind w:left="338"/>
              <w:rPr>
                <w:rFonts w:ascii="宋体" w:hAnsi="宋体" w:eastAsia="宋体" w:cs="宋体"/>
                <w:sz w:val="20"/>
                <w:szCs w:val="20"/>
              </w:rPr>
            </w:pPr>
            <w:r>
              <w:rPr>
                <w:rFonts w:ascii="Times New Roman" w:hAnsi="Times New Roman" w:eastAsia="Times New Roman" w:cs="Times New Roman"/>
                <w:b/>
                <w:bCs/>
                <w:spacing w:val="9"/>
                <w:sz w:val="20"/>
                <w:szCs w:val="20"/>
              </w:rPr>
              <w:t>1</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14:textOutline w14:w="3797" w14:cap="sq" w14:cmpd="sng" w14:algn="ctr">
                  <w14:solidFill>
                    <w14:srgbClr w14:val="000000"/>
                  </w14:solidFill>
                  <w14:prstDash w14:val="solid"/>
                  <w14:bevel/>
                </w14:textOutline>
              </w:rPr>
              <w:t>小时平均</w:t>
            </w:r>
          </w:p>
        </w:tc>
        <w:tc>
          <w:tcPr>
            <w:tcW w:w="1839" w:type="dxa"/>
          </w:tcPr>
          <w:p w14:paraId="63BEEA14">
            <w:pPr>
              <w:spacing w:before="121" w:line="228" w:lineRule="auto"/>
              <w:ind w:left="646"/>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日</w:t>
            </w:r>
            <w:r>
              <w:rPr>
                <w:rFonts w:ascii="宋体" w:hAnsi="宋体" w:eastAsia="宋体" w:cs="宋体"/>
                <w:spacing w:val="-4"/>
                <w:sz w:val="20"/>
                <w:szCs w:val="20"/>
                <w14:textOutline w14:w="3797" w14:cap="sq" w14:cmpd="sng" w14:algn="ctr">
                  <w14:solidFill>
                    <w14:srgbClr w14:val="000000"/>
                  </w14:solidFill>
                  <w14:prstDash w14:val="solid"/>
                  <w14:bevel/>
                </w14:textOutline>
              </w:rPr>
              <w:t>平均</w:t>
            </w:r>
          </w:p>
        </w:tc>
        <w:tc>
          <w:tcPr>
            <w:tcW w:w="1437" w:type="dxa"/>
          </w:tcPr>
          <w:p w14:paraId="2E26E6F2">
            <w:pPr>
              <w:spacing w:before="120" w:line="228" w:lineRule="auto"/>
              <w:ind w:left="411"/>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年</w:t>
            </w:r>
            <w:r>
              <w:rPr>
                <w:rFonts w:ascii="宋体" w:hAnsi="宋体" w:eastAsia="宋体" w:cs="宋体"/>
                <w:spacing w:val="7"/>
                <w:sz w:val="20"/>
                <w:szCs w:val="20"/>
                <w14:textOutline w14:w="3797" w14:cap="sq" w14:cmpd="sng" w14:algn="ctr">
                  <w14:solidFill>
                    <w14:srgbClr w14:val="000000"/>
                  </w14:solidFill>
                  <w14:prstDash w14:val="solid"/>
                  <w14:bevel/>
                </w14:textOutline>
              </w:rPr>
              <w:t>平均</w:t>
            </w:r>
          </w:p>
        </w:tc>
        <w:tc>
          <w:tcPr>
            <w:tcW w:w="3522" w:type="dxa"/>
            <w:vMerge w:val="continue"/>
            <w:tcBorders>
              <w:top w:val="nil"/>
              <w:right w:val="nil"/>
            </w:tcBorders>
          </w:tcPr>
          <w:p w14:paraId="2576980D"/>
        </w:tc>
      </w:tr>
      <w:tr w14:paraId="1EB1FD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1262" w:type="dxa"/>
            <w:tcBorders>
              <w:left w:val="nil"/>
            </w:tcBorders>
          </w:tcPr>
          <w:p w14:paraId="7C771B29">
            <w:pPr>
              <w:spacing w:before="107" w:line="202" w:lineRule="auto"/>
              <w:ind w:left="476"/>
              <w:rPr>
                <w:rFonts w:ascii="Times New Roman" w:hAnsi="Times New Roman" w:eastAsia="Times New Roman" w:cs="Times New Roman"/>
                <w:sz w:val="13"/>
                <w:szCs w:val="13"/>
              </w:rPr>
            </w:pPr>
            <w:r>
              <w:rPr>
                <w:rFonts w:ascii="Times New Roman" w:hAnsi="Times New Roman" w:eastAsia="Times New Roman" w:cs="Times New Roman"/>
                <w:sz w:val="20"/>
                <w:szCs w:val="20"/>
              </w:rPr>
              <w:t>SO</w:t>
            </w:r>
            <w:r>
              <w:rPr>
                <w:rFonts w:ascii="Times New Roman" w:hAnsi="Times New Roman" w:eastAsia="Times New Roman" w:cs="Times New Roman"/>
                <w:spacing w:val="1"/>
                <w:position w:val="-1"/>
                <w:sz w:val="13"/>
                <w:szCs w:val="13"/>
              </w:rPr>
              <w:t>2</w:t>
            </w:r>
          </w:p>
        </w:tc>
        <w:tc>
          <w:tcPr>
            <w:tcW w:w="1652" w:type="dxa"/>
          </w:tcPr>
          <w:p w14:paraId="0059F90C">
            <w:pPr>
              <w:spacing w:before="106" w:line="195" w:lineRule="auto"/>
              <w:ind w:left="67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w:t>
            </w:r>
            <w:r>
              <w:rPr>
                <w:rFonts w:ascii="Times New Roman" w:hAnsi="Times New Roman" w:eastAsia="Times New Roman" w:cs="Times New Roman"/>
                <w:spacing w:val="1"/>
                <w:sz w:val="20"/>
                <w:szCs w:val="20"/>
              </w:rPr>
              <w:t>0</w:t>
            </w:r>
          </w:p>
        </w:tc>
        <w:tc>
          <w:tcPr>
            <w:tcW w:w="1839" w:type="dxa"/>
          </w:tcPr>
          <w:p w14:paraId="16B3EC4C">
            <w:pPr>
              <w:spacing w:before="106" w:line="195" w:lineRule="auto"/>
              <w:ind w:left="78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150</w:t>
            </w:r>
          </w:p>
        </w:tc>
        <w:tc>
          <w:tcPr>
            <w:tcW w:w="1437" w:type="dxa"/>
          </w:tcPr>
          <w:p w14:paraId="0F7CD629">
            <w:pPr>
              <w:spacing w:before="106" w:line="195" w:lineRule="auto"/>
              <w:ind w:left="62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0</w:t>
            </w:r>
          </w:p>
        </w:tc>
        <w:tc>
          <w:tcPr>
            <w:tcW w:w="3522" w:type="dxa"/>
            <w:vMerge w:val="restart"/>
            <w:tcBorders>
              <w:bottom w:val="nil"/>
              <w:right w:val="nil"/>
            </w:tcBorders>
          </w:tcPr>
          <w:p w14:paraId="4330ADBB">
            <w:pPr>
              <w:spacing w:line="287" w:lineRule="auto"/>
            </w:pPr>
          </w:p>
          <w:p w14:paraId="3D85ABDE">
            <w:pPr>
              <w:spacing w:line="287" w:lineRule="auto"/>
            </w:pPr>
          </w:p>
          <w:p w14:paraId="4C1F33E5">
            <w:pPr>
              <w:spacing w:line="287" w:lineRule="auto"/>
            </w:pPr>
          </w:p>
          <w:p w14:paraId="6416C6A2">
            <w:pPr>
              <w:spacing w:line="288" w:lineRule="auto"/>
            </w:pPr>
          </w:p>
          <w:p w14:paraId="58CF2B03">
            <w:pPr>
              <w:spacing w:before="65" w:line="267" w:lineRule="auto"/>
              <w:ind w:left="548" w:right="529" w:firstLine="175"/>
              <w:rPr>
                <w:rFonts w:ascii="宋体" w:hAnsi="宋体" w:eastAsia="宋体" w:cs="宋体"/>
                <w:sz w:val="20"/>
                <w:szCs w:val="20"/>
              </w:rPr>
            </w:pPr>
            <w:r>
              <w:rPr>
                <w:rFonts w:ascii="宋体" w:hAnsi="宋体" w:eastAsia="宋体" w:cs="宋体"/>
                <w:spacing w:val="8"/>
                <w:sz w:val="20"/>
                <w:szCs w:val="20"/>
              </w:rPr>
              <w:t>《</w:t>
            </w:r>
            <w:r>
              <w:rPr>
                <w:rFonts w:ascii="宋体" w:hAnsi="宋体" w:eastAsia="宋体" w:cs="宋体"/>
                <w:spacing w:val="7"/>
                <w:sz w:val="20"/>
                <w:szCs w:val="20"/>
              </w:rPr>
              <w:t>环境空气质量标准》</w:t>
            </w:r>
            <w:r>
              <w:rPr>
                <w:rFonts w:ascii="宋体" w:hAnsi="宋体" w:eastAsia="宋体" w:cs="宋体"/>
                <w:sz w:val="20"/>
                <w:szCs w:val="20"/>
              </w:rPr>
              <w:t xml:space="preserve">  </w:t>
            </w:r>
            <w:r>
              <w:rPr>
                <w:rFonts w:ascii="宋体" w:hAnsi="宋体" w:eastAsia="宋体" w:cs="宋体"/>
                <w:spacing w:val="17"/>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12"/>
                <w:sz w:val="20"/>
                <w:szCs w:val="20"/>
              </w:rPr>
              <w:t>3095-2012</w:t>
            </w:r>
            <w:r>
              <w:rPr>
                <w:rFonts w:ascii="宋体" w:hAnsi="宋体" w:eastAsia="宋体" w:cs="宋体"/>
                <w:spacing w:val="12"/>
                <w:sz w:val="20"/>
                <w:szCs w:val="20"/>
              </w:rPr>
              <w:t>) 二级标准</w:t>
            </w:r>
          </w:p>
        </w:tc>
      </w:tr>
      <w:tr w14:paraId="0F1A64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1262" w:type="dxa"/>
            <w:tcBorders>
              <w:left w:val="nil"/>
            </w:tcBorders>
          </w:tcPr>
          <w:p w14:paraId="2D471D85">
            <w:pPr>
              <w:spacing w:before="106" w:line="202" w:lineRule="auto"/>
              <w:ind w:left="444"/>
              <w:rPr>
                <w:rFonts w:ascii="Times New Roman" w:hAnsi="Times New Roman" w:eastAsia="Times New Roman" w:cs="Times New Roman"/>
                <w:sz w:val="13"/>
                <w:szCs w:val="13"/>
              </w:rPr>
            </w:pPr>
            <w:r>
              <w:rPr>
                <w:rFonts w:ascii="Times New Roman" w:hAnsi="Times New Roman" w:eastAsia="Times New Roman" w:cs="Times New Roman"/>
                <w:sz w:val="20"/>
                <w:szCs w:val="20"/>
              </w:rPr>
              <w:t>NO</w:t>
            </w:r>
            <w:r>
              <w:rPr>
                <w:rFonts w:ascii="Times New Roman" w:hAnsi="Times New Roman" w:eastAsia="Times New Roman" w:cs="Times New Roman"/>
                <w:spacing w:val="19"/>
                <w:position w:val="-1"/>
                <w:sz w:val="13"/>
                <w:szCs w:val="13"/>
              </w:rPr>
              <w:t>2</w:t>
            </w:r>
          </w:p>
        </w:tc>
        <w:tc>
          <w:tcPr>
            <w:tcW w:w="1652" w:type="dxa"/>
          </w:tcPr>
          <w:p w14:paraId="1C4439B5">
            <w:pPr>
              <w:spacing w:before="106" w:line="195" w:lineRule="auto"/>
              <w:ind w:left="669"/>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00</w:t>
            </w:r>
          </w:p>
        </w:tc>
        <w:tc>
          <w:tcPr>
            <w:tcW w:w="1839" w:type="dxa"/>
          </w:tcPr>
          <w:p w14:paraId="006685B0">
            <w:pPr>
              <w:spacing w:before="106" w:line="195" w:lineRule="auto"/>
              <w:ind w:left="82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w:t>
            </w:r>
            <w:r>
              <w:rPr>
                <w:rFonts w:ascii="Times New Roman" w:hAnsi="Times New Roman" w:eastAsia="Times New Roman" w:cs="Times New Roman"/>
                <w:spacing w:val="-1"/>
                <w:sz w:val="20"/>
                <w:szCs w:val="20"/>
              </w:rPr>
              <w:t>0</w:t>
            </w:r>
          </w:p>
        </w:tc>
        <w:tc>
          <w:tcPr>
            <w:tcW w:w="1437" w:type="dxa"/>
          </w:tcPr>
          <w:p w14:paraId="78235580">
            <w:pPr>
              <w:spacing w:before="106" w:line="195" w:lineRule="auto"/>
              <w:ind w:left="61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c>
          <w:tcPr>
            <w:tcW w:w="3522" w:type="dxa"/>
            <w:vMerge w:val="continue"/>
            <w:tcBorders>
              <w:top w:val="nil"/>
              <w:bottom w:val="nil"/>
              <w:right w:val="nil"/>
            </w:tcBorders>
          </w:tcPr>
          <w:p w14:paraId="7E9401EA"/>
        </w:tc>
      </w:tr>
      <w:tr w14:paraId="7925D6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62" w:type="dxa"/>
            <w:tcBorders>
              <w:left w:val="nil"/>
            </w:tcBorders>
          </w:tcPr>
          <w:p w14:paraId="02877070">
            <w:pPr>
              <w:spacing w:before="102" w:line="199" w:lineRule="auto"/>
              <w:ind w:left="416"/>
              <w:rPr>
                <w:rFonts w:ascii="Times New Roman" w:hAnsi="Times New Roman" w:eastAsia="Times New Roman" w:cs="Times New Roman"/>
                <w:sz w:val="13"/>
                <w:szCs w:val="13"/>
              </w:rPr>
            </w:pPr>
            <w:r>
              <w:rPr>
                <w:rFonts w:ascii="Times New Roman" w:hAnsi="Times New Roman" w:eastAsia="Times New Roman" w:cs="Times New Roman"/>
                <w:sz w:val="20"/>
                <w:szCs w:val="20"/>
              </w:rPr>
              <w:t>PM</w:t>
            </w:r>
            <w:r>
              <w:rPr>
                <w:rFonts w:ascii="Times New Roman" w:hAnsi="Times New Roman" w:eastAsia="Times New Roman" w:cs="Times New Roman"/>
                <w:spacing w:val="9"/>
                <w:position w:val="-1"/>
                <w:sz w:val="13"/>
                <w:szCs w:val="13"/>
              </w:rPr>
              <w:t>1</w:t>
            </w:r>
            <w:r>
              <w:rPr>
                <w:rFonts w:ascii="Times New Roman" w:hAnsi="Times New Roman" w:eastAsia="Times New Roman" w:cs="Times New Roman"/>
                <w:spacing w:val="8"/>
                <w:position w:val="-1"/>
                <w:sz w:val="13"/>
                <w:szCs w:val="13"/>
              </w:rPr>
              <w:t>0</w:t>
            </w:r>
          </w:p>
        </w:tc>
        <w:tc>
          <w:tcPr>
            <w:tcW w:w="1652" w:type="dxa"/>
          </w:tcPr>
          <w:p w14:paraId="20F13994">
            <w:pPr>
              <w:spacing w:before="188" w:line="142" w:lineRule="exact"/>
              <w:ind w:left="716"/>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w:t>
            </w:r>
          </w:p>
        </w:tc>
        <w:tc>
          <w:tcPr>
            <w:tcW w:w="1839" w:type="dxa"/>
          </w:tcPr>
          <w:p w14:paraId="613AA1C8">
            <w:pPr>
              <w:spacing w:before="99" w:line="195" w:lineRule="auto"/>
              <w:ind w:left="78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150</w:t>
            </w:r>
          </w:p>
        </w:tc>
        <w:tc>
          <w:tcPr>
            <w:tcW w:w="1437" w:type="dxa"/>
          </w:tcPr>
          <w:p w14:paraId="215D5D49">
            <w:pPr>
              <w:spacing w:before="99" w:line="195" w:lineRule="auto"/>
              <w:ind w:left="61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70</w:t>
            </w:r>
          </w:p>
        </w:tc>
        <w:tc>
          <w:tcPr>
            <w:tcW w:w="3522" w:type="dxa"/>
            <w:vMerge w:val="continue"/>
            <w:tcBorders>
              <w:top w:val="nil"/>
              <w:bottom w:val="nil"/>
              <w:right w:val="nil"/>
            </w:tcBorders>
          </w:tcPr>
          <w:p w14:paraId="15D07504"/>
        </w:tc>
      </w:tr>
      <w:tr w14:paraId="2BB91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62" w:type="dxa"/>
            <w:tcBorders>
              <w:left w:val="nil"/>
            </w:tcBorders>
          </w:tcPr>
          <w:p w14:paraId="3BA1A664">
            <w:pPr>
              <w:spacing w:before="103" w:line="201" w:lineRule="auto"/>
              <w:ind w:left="397"/>
              <w:rPr>
                <w:rFonts w:ascii="Times New Roman" w:hAnsi="Times New Roman" w:eastAsia="Times New Roman" w:cs="Times New Roman"/>
                <w:sz w:val="13"/>
                <w:szCs w:val="13"/>
              </w:rPr>
            </w:pPr>
            <w:r>
              <w:rPr>
                <w:rFonts w:ascii="Times New Roman" w:hAnsi="Times New Roman" w:eastAsia="Times New Roman" w:cs="Times New Roman"/>
                <w:sz w:val="20"/>
                <w:szCs w:val="20"/>
              </w:rPr>
              <w:t>PM</w:t>
            </w:r>
            <w:r>
              <w:rPr>
                <w:rFonts w:ascii="Times New Roman" w:hAnsi="Times New Roman" w:eastAsia="Times New Roman" w:cs="Times New Roman"/>
                <w:spacing w:val="8"/>
                <w:position w:val="-1"/>
                <w:sz w:val="13"/>
                <w:szCs w:val="13"/>
              </w:rPr>
              <w:t>2.5</w:t>
            </w:r>
          </w:p>
        </w:tc>
        <w:tc>
          <w:tcPr>
            <w:tcW w:w="1652" w:type="dxa"/>
          </w:tcPr>
          <w:p w14:paraId="43791A47">
            <w:pPr>
              <w:spacing w:before="189" w:line="142" w:lineRule="exact"/>
              <w:ind w:left="716"/>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w:t>
            </w:r>
          </w:p>
        </w:tc>
        <w:tc>
          <w:tcPr>
            <w:tcW w:w="1839" w:type="dxa"/>
          </w:tcPr>
          <w:p w14:paraId="17F1E85E">
            <w:pPr>
              <w:spacing w:before="103" w:line="192" w:lineRule="auto"/>
              <w:ind w:left="82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75</w:t>
            </w:r>
          </w:p>
        </w:tc>
        <w:tc>
          <w:tcPr>
            <w:tcW w:w="1437" w:type="dxa"/>
          </w:tcPr>
          <w:p w14:paraId="366C1812">
            <w:pPr>
              <w:spacing w:before="100" w:line="195" w:lineRule="auto"/>
              <w:ind w:left="61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z w:val="20"/>
                <w:szCs w:val="20"/>
              </w:rPr>
              <w:t>5</w:t>
            </w:r>
          </w:p>
        </w:tc>
        <w:tc>
          <w:tcPr>
            <w:tcW w:w="3522" w:type="dxa"/>
            <w:vMerge w:val="continue"/>
            <w:tcBorders>
              <w:top w:val="nil"/>
              <w:bottom w:val="nil"/>
              <w:right w:val="nil"/>
            </w:tcBorders>
          </w:tcPr>
          <w:p w14:paraId="6BE42DAC"/>
        </w:tc>
      </w:tr>
      <w:tr w14:paraId="55BAAF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62" w:type="dxa"/>
            <w:tcBorders>
              <w:left w:val="nil"/>
            </w:tcBorders>
          </w:tcPr>
          <w:p w14:paraId="7691853C">
            <w:pPr>
              <w:spacing w:before="101" w:line="195" w:lineRule="auto"/>
              <w:ind w:left="49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CO</w:t>
            </w:r>
          </w:p>
        </w:tc>
        <w:tc>
          <w:tcPr>
            <w:tcW w:w="1652" w:type="dxa"/>
          </w:tcPr>
          <w:p w14:paraId="47B14BED">
            <w:pPr>
              <w:spacing w:before="101" w:line="195" w:lineRule="auto"/>
              <w:ind w:left="584"/>
              <w:rPr>
                <w:rFonts w:ascii="Times New Roman" w:hAnsi="Times New Roman" w:eastAsia="Times New Roman" w:cs="Times New Roman"/>
                <w:sz w:val="20"/>
                <w:szCs w:val="20"/>
              </w:rPr>
            </w:pPr>
            <w:r>
              <w:rPr>
                <w:rFonts w:ascii="Times New Roman" w:hAnsi="Times New Roman" w:eastAsia="Times New Roman" w:cs="Times New Roman"/>
                <w:sz w:val="20"/>
                <w:szCs w:val="20"/>
              </w:rPr>
              <w:t>10000</w:t>
            </w:r>
          </w:p>
        </w:tc>
        <w:tc>
          <w:tcPr>
            <w:tcW w:w="1839" w:type="dxa"/>
          </w:tcPr>
          <w:p w14:paraId="77BAAA1F">
            <w:pPr>
              <w:spacing w:before="101" w:line="195" w:lineRule="auto"/>
              <w:ind w:left="711"/>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4</w:t>
            </w:r>
            <w:r>
              <w:rPr>
                <w:rFonts w:ascii="Times New Roman" w:hAnsi="Times New Roman" w:eastAsia="Times New Roman" w:cs="Times New Roman"/>
                <w:spacing w:val="4"/>
                <w:sz w:val="20"/>
                <w:szCs w:val="20"/>
              </w:rPr>
              <w:t>000</w:t>
            </w:r>
          </w:p>
        </w:tc>
        <w:tc>
          <w:tcPr>
            <w:tcW w:w="1437" w:type="dxa"/>
          </w:tcPr>
          <w:p w14:paraId="4F1D5E19">
            <w:pPr>
              <w:spacing w:before="190" w:line="142" w:lineRule="exact"/>
              <w:ind w:left="609"/>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w:t>
            </w:r>
          </w:p>
        </w:tc>
        <w:tc>
          <w:tcPr>
            <w:tcW w:w="3522" w:type="dxa"/>
            <w:vMerge w:val="continue"/>
            <w:tcBorders>
              <w:top w:val="nil"/>
              <w:bottom w:val="nil"/>
              <w:right w:val="nil"/>
            </w:tcBorders>
          </w:tcPr>
          <w:p w14:paraId="34AFC238"/>
        </w:tc>
      </w:tr>
      <w:tr w14:paraId="10FD2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1262" w:type="dxa"/>
            <w:tcBorders>
              <w:left w:val="nil"/>
            </w:tcBorders>
          </w:tcPr>
          <w:p w14:paraId="75F3E35B">
            <w:pPr>
              <w:spacing w:before="119" w:line="202" w:lineRule="auto"/>
              <w:ind w:left="528"/>
              <w:rPr>
                <w:rFonts w:ascii="Times New Roman" w:hAnsi="Times New Roman" w:eastAsia="Times New Roman" w:cs="Times New Roman"/>
                <w:sz w:val="13"/>
                <w:szCs w:val="13"/>
              </w:rPr>
            </w:pPr>
            <w:r>
              <w:rPr>
                <w:rFonts w:ascii="Times New Roman" w:hAnsi="Times New Roman" w:eastAsia="Times New Roman" w:cs="Times New Roman"/>
                <w:sz w:val="20"/>
                <w:szCs w:val="20"/>
              </w:rPr>
              <w:t>O</w:t>
            </w:r>
            <w:r>
              <w:rPr>
                <w:rFonts w:ascii="Times New Roman" w:hAnsi="Times New Roman" w:eastAsia="Times New Roman" w:cs="Times New Roman"/>
                <w:spacing w:val="2"/>
                <w:position w:val="-1"/>
                <w:sz w:val="13"/>
                <w:szCs w:val="13"/>
              </w:rPr>
              <w:t>3</w:t>
            </w:r>
          </w:p>
        </w:tc>
        <w:tc>
          <w:tcPr>
            <w:tcW w:w="1652" w:type="dxa"/>
          </w:tcPr>
          <w:p w14:paraId="28661F22">
            <w:pPr>
              <w:spacing w:before="118" w:line="195" w:lineRule="auto"/>
              <w:ind w:left="669"/>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00</w:t>
            </w:r>
          </w:p>
        </w:tc>
        <w:tc>
          <w:tcPr>
            <w:tcW w:w="1839" w:type="dxa"/>
          </w:tcPr>
          <w:p w14:paraId="70C5259A">
            <w:pPr>
              <w:spacing w:before="83" w:line="228" w:lineRule="auto"/>
              <w:ind w:left="129"/>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3"/>
                <w:sz w:val="20"/>
                <w:szCs w:val="20"/>
              </w:rPr>
              <w:t xml:space="preserve">60  </w:t>
            </w:r>
            <w:r>
              <w:rPr>
                <w:rFonts w:ascii="宋体" w:hAnsi="宋体" w:eastAsia="宋体" w:cs="宋体"/>
                <w:spacing w:val="3"/>
                <w:sz w:val="20"/>
                <w:szCs w:val="20"/>
              </w:rPr>
              <w:t>(</w:t>
            </w:r>
            <w:r>
              <w:rPr>
                <w:rFonts w:ascii="Times New Roman" w:hAnsi="Times New Roman" w:eastAsia="Times New Roman" w:cs="Times New Roman"/>
                <w:spacing w:val="3"/>
                <w:sz w:val="20"/>
                <w:szCs w:val="20"/>
              </w:rPr>
              <w:t xml:space="preserve">8 </w:t>
            </w:r>
            <w:r>
              <w:rPr>
                <w:rFonts w:ascii="宋体" w:hAnsi="宋体" w:eastAsia="宋体" w:cs="宋体"/>
                <w:spacing w:val="3"/>
                <w:sz w:val="20"/>
                <w:szCs w:val="20"/>
              </w:rPr>
              <w:t>小时平均)</w:t>
            </w:r>
          </w:p>
        </w:tc>
        <w:tc>
          <w:tcPr>
            <w:tcW w:w="1437" w:type="dxa"/>
          </w:tcPr>
          <w:p w14:paraId="5640855F">
            <w:pPr>
              <w:spacing w:before="208" w:line="142" w:lineRule="exact"/>
              <w:ind w:left="609"/>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w:t>
            </w:r>
          </w:p>
        </w:tc>
        <w:tc>
          <w:tcPr>
            <w:tcW w:w="3522" w:type="dxa"/>
            <w:vMerge w:val="continue"/>
            <w:tcBorders>
              <w:top w:val="nil"/>
              <w:bottom w:val="nil"/>
              <w:right w:val="nil"/>
            </w:tcBorders>
          </w:tcPr>
          <w:p w14:paraId="0449743E"/>
        </w:tc>
      </w:tr>
      <w:tr w14:paraId="60629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62" w:type="dxa"/>
            <w:tcBorders>
              <w:left w:val="nil"/>
            </w:tcBorders>
          </w:tcPr>
          <w:p w14:paraId="5A3949BB">
            <w:pPr>
              <w:spacing w:before="100" w:line="195" w:lineRule="auto"/>
              <w:ind w:left="45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T</w:t>
            </w:r>
            <w:r>
              <w:rPr>
                <w:rFonts w:ascii="Times New Roman" w:hAnsi="Times New Roman" w:eastAsia="Times New Roman" w:cs="Times New Roman"/>
                <w:spacing w:val="2"/>
                <w:sz w:val="20"/>
                <w:szCs w:val="20"/>
              </w:rPr>
              <w:t>SP</w:t>
            </w:r>
          </w:p>
        </w:tc>
        <w:tc>
          <w:tcPr>
            <w:tcW w:w="1652" w:type="dxa"/>
          </w:tcPr>
          <w:p w14:paraId="62CE733B">
            <w:pPr>
              <w:spacing w:before="190" w:line="142" w:lineRule="exact"/>
              <w:ind w:left="716"/>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w:t>
            </w:r>
          </w:p>
        </w:tc>
        <w:tc>
          <w:tcPr>
            <w:tcW w:w="1839" w:type="dxa"/>
          </w:tcPr>
          <w:p w14:paraId="252798A5">
            <w:pPr>
              <w:spacing w:before="100" w:line="195" w:lineRule="auto"/>
              <w:ind w:left="76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w:t>
            </w:r>
            <w:r>
              <w:rPr>
                <w:rFonts w:ascii="Times New Roman" w:hAnsi="Times New Roman" w:eastAsia="Times New Roman" w:cs="Times New Roman"/>
                <w:spacing w:val="2"/>
                <w:sz w:val="20"/>
                <w:szCs w:val="20"/>
              </w:rPr>
              <w:t>00</w:t>
            </w:r>
          </w:p>
        </w:tc>
        <w:tc>
          <w:tcPr>
            <w:tcW w:w="1437" w:type="dxa"/>
          </w:tcPr>
          <w:p w14:paraId="7B17AF3B">
            <w:pPr>
              <w:spacing w:before="100" w:line="195" w:lineRule="auto"/>
              <w:ind w:left="562"/>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00</w:t>
            </w:r>
          </w:p>
        </w:tc>
        <w:tc>
          <w:tcPr>
            <w:tcW w:w="3522" w:type="dxa"/>
            <w:vMerge w:val="continue"/>
            <w:tcBorders>
              <w:top w:val="nil"/>
              <w:right w:val="nil"/>
            </w:tcBorders>
          </w:tcPr>
          <w:p w14:paraId="56AA5A9A"/>
        </w:tc>
      </w:tr>
      <w:tr w14:paraId="354D6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62" w:type="dxa"/>
            <w:tcBorders>
              <w:left w:val="nil"/>
            </w:tcBorders>
          </w:tcPr>
          <w:p w14:paraId="421FF920">
            <w:pPr>
              <w:spacing w:before="101" w:line="202" w:lineRule="auto"/>
              <w:ind w:left="466"/>
              <w:rPr>
                <w:rFonts w:ascii="Times New Roman" w:hAnsi="Times New Roman" w:eastAsia="Times New Roman" w:cs="Times New Roman"/>
                <w:sz w:val="20"/>
                <w:szCs w:val="20"/>
              </w:rPr>
            </w:pPr>
            <w:r>
              <w:rPr>
                <w:rFonts w:ascii="Times New Roman" w:hAnsi="Times New Roman" w:eastAsia="Times New Roman" w:cs="Times New Roman"/>
                <w:sz w:val="20"/>
                <w:szCs w:val="20"/>
              </w:rPr>
              <w:t>H</w:t>
            </w:r>
            <w:r>
              <w:rPr>
                <w:rFonts w:ascii="Times New Roman" w:hAnsi="Times New Roman" w:eastAsia="Times New Roman" w:cs="Times New Roman"/>
                <w:spacing w:val="18"/>
                <w:position w:val="-1"/>
                <w:sz w:val="13"/>
                <w:szCs w:val="13"/>
              </w:rPr>
              <w:t>2</w:t>
            </w:r>
            <w:r>
              <w:rPr>
                <w:rFonts w:ascii="Times New Roman" w:hAnsi="Times New Roman" w:eastAsia="Times New Roman" w:cs="Times New Roman"/>
                <w:sz w:val="20"/>
                <w:szCs w:val="20"/>
              </w:rPr>
              <w:t>S</w:t>
            </w:r>
          </w:p>
        </w:tc>
        <w:tc>
          <w:tcPr>
            <w:tcW w:w="1652" w:type="dxa"/>
          </w:tcPr>
          <w:p w14:paraId="5FA50748">
            <w:pPr>
              <w:spacing w:before="101" w:line="195" w:lineRule="auto"/>
              <w:ind w:left="742"/>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7"/>
                <w:sz w:val="20"/>
                <w:szCs w:val="20"/>
              </w:rPr>
              <w:t>0</w:t>
            </w:r>
          </w:p>
        </w:tc>
        <w:tc>
          <w:tcPr>
            <w:tcW w:w="1839" w:type="dxa"/>
          </w:tcPr>
          <w:p w14:paraId="59153A02">
            <w:pPr>
              <w:spacing w:before="190" w:line="142" w:lineRule="exact"/>
              <w:ind w:left="811"/>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w:t>
            </w:r>
          </w:p>
        </w:tc>
        <w:tc>
          <w:tcPr>
            <w:tcW w:w="1437" w:type="dxa"/>
          </w:tcPr>
          <w:p w14:paraId="1E5F4B4D">
            <w:pPr>
              <w:spacing w:before="190" w:line="142" w:lineRule="exact"/>
              <w:ind w:left="609"/>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w:t>
            </w:r>
          </w:p>
        </w:tc>
        <w:tc>
          <w:tcPr>
            <w:tcW w:w="3522" w:type="dxa"/>
            <w:vMerge w:val="restart"/>
            <w:tcBorders>
              <w:bottom w:val="nil"/>
              <w:right w:val="nil"/>
            </w:tcBorders>
          </w:tcPr>
          <w:p w14:paraId="48D88404">
            <w:pPr>
              <w:spacing w:before="153" w:line="265" w:lineRule="auto"/>
              <w:ind w:left="114" w:right="109" w:firstLine="212"/>
              <w:rPr>
                <w:rFonts w:ascii="Times New Roman" w:hAnsi="Times New Roman" w:eastAsia="Times New Roman" w:cs="Times New Roman"/>
                <w:sz w:val="20"/>
                <w:szCs w:val="20"/>
              </w:rPr>
            </w:pPr>
            <w:r>
              <w:rPr>
                <w:rFonts w:ascii="宋体" w:hAnsi="宋体" w:eastAsia="宋体" w:cs="宋体"/>
                <w:spacing w:val="15"/>
                <w:sz w:val="20"/>
                <w:szCs w:val="20"/>
              </w:rPr>
              <w:t>参</w:t>
            </w:r>
            <w:r>
              <w:rPr>
                <w:rFonts w:ascii="宋体" w:hAnsi="宋体" w:eastAsia="宋体" w:cs="宋体"/>
                <w:spacing w:val="12"/>
                <w:sz w:val="20"/>
                <w:szCs w:val="20"/>
              </w:rPr>
              <w:t>照《环境影响评价技术导则 大</w:t>
            </w:r>
            <w:r>
              <w:rPr>
                <w:rFonts w:ascii="宋体" w:hAnsi="宋体" w:eastAsia="宋体" w:cs="宋体"/>
                <w:sz w:val="20"/>
                <w:szCs w:val="20"/>
              </w:rPr>
              <w:t xml:space="preserve"> </w:t>
            </w:r>
            <w:r>
              <w:rPr>
                <w:rFonts w:ascii="宋体" w:hAnsi="宋体" w:eastAsia="宋体" w:cs="宋体"/>
                <w:spacing w:val="-1"/>
                <w:sz w:val="20"/>
                <w:szCs w:val="20"/>
              </w:rPr>
              <w:t>气环境》  (</w:t>
            </w:r>
            <w:r>
              <w:rPr>
                <w:rFonts w:ascii="Times New Roman" w:hAnsi="Times New Roman" w:eastAsia="Times New Roman" w:cs="Times New Roman"/>
                <w:spacing w:val="-1"/>
                <w:sz w:val="20"/>
                <w:szCs w:val="20"/>
              </w:rPr>
              <w:t>HJ2.2-2018</w:t>
            </w:r>
            <w:r>
              <w:rPr>
                <w:rFonts w:ascii="宋体" w:hAnsi="宋体" w:eastAsia="宋体" w:cs="宋体"/>
                <w:spacing w:val="-1"/>
                <w:sz w:val="20"/>
                <w:szCs w:val="20"/>
              </w:rPr>
              <w:t xml:space="preserve">) 附录 </w:t>
            </w:r>
            <w:r>
              <w:rPr>
                <w:rFonts w:ascii="Times New Roman" w:hAnsi="Times New Roman" w:eastAsia="Times New Roman" w:cs="Times New Roman"/>
                <w:spacing w:val="-1"/>
                <w:sz w:val="20"/>
                <w:szCs w:val="20"/>
              </w:rPr>
              <w:t>D</w:t>
            </w:r>
          </w:p>
        </w:tc>
      </w:tr>
      <w:tr w14:paraId="67156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1262" w:type="dxa"/>
            <w:tcBorders>
              <w:left w:val="nil"/>
            </w:tcBorders>
          </w:tcPr>
          <w:p w14:paraId="7643F11F">
            <w:pPr>
              <w:spacing w:before="160" w:line="199" w:lineRule="auto"/>
              <w:ind w:left="444"/>
              <w:rPr>
                <w:rFonts w:ascii="Times New Roman" w:hAnsi="Times New Roman" w:eastAsia="Times New Roman" w:cs="Times New Roman"/>
                <w:sz w:val="13"/>
                <w:szCs w:val="13"/>
              </w:rPr>
            </w:pPr>
            <w:r>
              <w:rPr>
                <w:rFonts w:ascii="Times New Roman" w:hAnsi="Times New Roman" w:eastAsia="Times New Roman" w:cs="Times New Roman"/>
                <w:sz w:val="20"/>
                <w:szCs w:val="20"/>
              </w:rPr>
              <w:t>NH</w:t>
            </w:r>
            <w:r>
              <w:rPr>
                <w:rFonts w:ascii="Times New Roman" w:hAnsi="Times New Roman" w:eastAsia="Times New Roman" w:cs="Times New Roman"/>
                <w:spacing w:val="19"/>
                <w:position w:val="-1"/>
                <w:sz w:val="13"/>
                <w:szCs w:val="13"/>
              </w:rPr>
              <w:t>3</w:t>
            </w:r>
          </w:p>
        </w:tc>
        <w:tc>
          <w:tcPr>
            <w:tcW w:w="1652" w:type="dxa"/>
          </w:tcPr>
          <w:p w14:paraId="27862654">
            <w:pPr>
              <w:spacing w:before="157" w:line="195" w:lineRule="auto"/>
              <w:ind w:left="669"/>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00</w:t>
            </w:r>
          </w:p>
        </w:tc>
        <w:tc>
          <w:tcPr>
            <w:tcW w:w="1839" w:type="dxa"/>
          </w:tcPr>
          <w:p w14:paraId="607925ED">
            <w:pPr>
              <w:spacing w:before="246" w:line="142" w:lineRule="exact"/>
              <w:ind w:left="811"/>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w:t>
            </w:r>
          </w:p>
        </w:tc>
        <w:tc>
          <w:tcPr>
            <w:tcW w:w="1437" w:type="dxa"/>
          </w:tcPr>
          <w:p w14:paraId="22B0E4E5">
            <w:pPr>
              <w:spacing w:before="246" w:line="142" w:lineRule="exact"/>
              <w:ind w:left="609"/>
              <w:rPr>
                <w:rFonts w:ascii="Times New Roman" w:hAnsi="Times New Roman" w:eastAsia="Times New Roman" w:cs="Times New Roman"/>
                <w:sz w:val="20"/>
                <w:szCs w:val="20"/>
              </w:rPr>
            </w:pPr>
            <w:r>
              <w:rPr>
                <w:rFonts w:ascii="Times New Roman" w:hAnsi="Times New Roman" w:eastAsia="Times New Roman" w:cs="Times New Roman"/>
                <w:spacing w:val="12"/>
                <w:position w:val="-1"/>
                <w:sz w:val="20"/>
                <w:szCs w:val="20"/>
              </w:rPr>
              <w:t>—</w:t>
            </w:r>
          </w:p>
        </w:tc>
        <w:tc>
          <w:tcPr>
            <w:tcW w:w="3522" w:type="dxa"/>
            <w:vMerge w:val="continue"/>
            <w:tcBorders>
              <w:top w:val="nil"/>
              <w:right w:val="nil"/>
            </w:tcBorders>
          </w:tcPr>
          <w:p w14:paraId="7749D8F7"/>
        </w:tc>
      </w:tr>
    </w:tbl>
    <w:p w14:paraId="3B7491D9">
      <w:pPr>
        <w:spacing w:before="37" w:line="227" w:lineRule="auto"/>
        <w:ind w:left="998"/>
        <w:rPr>
          <w:rFonts w:ascii="宋体" w:hAnsi="宋体" w:eastAsia="宋体" w:cs="宋体"/>
          <w:sz w:val="23"/>
          <w:szCs w:val="23"/>
        </w:rPr>
      </w:pPr>
      <w:r>
        <w:rPr>
          <w:rFonts w:ascii="Times New Roman" w:hAnsi="Times New Roman" w:eastAsia="Times New Roman" w:cs="Times New Roman"/>
          <w:spacing w:val="8"/>
          <w:sz w:val="23"/>
          <w:szCs w:val="23"/>
        </w:rPr>
        <w:t>2</w:t>
      </w:r>
      <w:r>
        <w:rPr>
          <w:rFonts w:ascii="宋体" w:hAnsi="宋体" w:eastAsia="宋体" w:cs="宋体"/>
          <w:spacing w:val="8"/>
          <w:sz w:val="23"/>
          <w:szCs w:val="23"/>
        </w:rPr>
        <w:t>) 地表水环境质</w:t>
      </w:r>
      <w:r>
        <w:rPr>
          <w:rFonts w:ascii="宋体" w:hAnsi="宋体" w:eastAsia="宋体" w:cs="宋体"/>
          <w:spacing w:val="7"/>
          <w:sz w:val="23"/>
          <w:szCs w:val="23"/>
        </w:rPr>
        <w:t>量</w:t>
      </w:r>
    </w:p>
    <w:p w14:paraId="020C0F7F">
      <w:pPr>
        <w:spacing w:before="185" w:line="227" w:lineRule="auto"/>
        <w:ind w:left="1020"/>
        <w:rPr>
          <w:rFonts w:ascii="宋体" w:hAnsi="宋体" w:eastAsia="宋体" w:cs="宋体"/>
          <w:sz w:val="23"/>
          <w:szCs w:val="23"/>
        </w:rPr>
      </w:pPr>
      <w:r>
        <w:rPr>
          <w:rFonts w:ascii="宋体" w:hAnsi="宋体" w:eastAsia="宋体" w:cs="宋体"/>
          <w:spacing w:val="8"/>
          <w:sz w:val="23"/>
          <w:szCs w:val="23"/>
        </w:rPr>
        <w:t>区</w:t>
      </w:r>
      <w:r>
        <w:rPr>
          <w:rFonts w:ascii="宋体" w:hAnsi="宋体" w:eastAsia="宋体" w:cs="宋体"/>
          <w:spacing w:val="6"/>
          <w:sz w:val="23"/>
          <w:szCs w:val="23"/>
        </w:rPr>
        <w:t>域功能地表水体执行《地表水环境质量标准》  (</w:t>
      </w:r>
      <w:r>
        <w:rPr>
          <w:rFonts w:ascii="Times New Roman" w:hAnsi="Times New Roman" w:eastAsia="Times New Roman" w:cs="Times New Roman"/>
          <w:sz w:val="23"/>
          <w:szCs w:val="23"/>
        </w:rPr>
        <w:t>GB</w:t>
      </w:r>
      <w:r>
        <w:rPr>
          <w:rFonts w:ascii="Times New Roman" w:hAnsi="Times New Roman" w:eastAsia="Times New Roman" w:cs="Times New Roman"/>
          <w:spacing w:val="6"/>
          <w:sz w:val="23"/>
          <w:szCs w:val="23"/>
        </w:rPr>
        <w:t>3838-2002</w:t>
      </w:r>
      <w:r>
        <w:rPr>
          <w:rFonts w:ascii="宋体" w:hAnsi="宋体" w:eastAsia="宋体" w:cs="宋体"/>
          <w:spacing w:val="6"/>
          <w:sz w:val="23"/>
          <w:szCs w:val="23"/>
        </w:rPr>
        <w:t xml:space="preserve">) </w:t>
      </w:r>
      <w:r>
        <w:rPr>
          <w:rFonts w:ascii="Times New Roman" w:hAnsi="Times New Roman" w:eastAsia="Times New Roman" w:cs="Times New Roman"/>
          <w:sz w:val="23"/>
          <w:szCs w:val="23"/>
        </w:rPr>
        <w:t>III</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类标准，</w:t>
      </w:r>
    </w:p>
    <w:p w14:paraId="23BB3090">
      <w:pPr>
        <w:spacing w:before="183" w:line="227" w:lineRule="auto"/>
        <w:ind w:left="527"/>
        <w:rPr>
          <w:rFonts w:ascii="宋体" w:hAnsi="宋体" w:eastAsia="宋体" w:cs="宋体"/>
          <w:sz w:val="23"/>
          <w:szCs w:val="23"/>
        </w:rPr>
      </w:pPr>
      <w:r>
        <w:rPr>
          <w:rFonts w:ascii="宋体" w:hAnsi="宋体" w:eastAsia="宋体" w:cs="宋体"/>
          <w:spacing w:val="2"/>
          <w:sz w:val="23"/>
          <w:szCs w:val="23"/>
        </w:rPr>
        <w:t xml:space="preserve">具体标准限值见表 </w:t>
      </w:r>
      <w:r>
        <w:rPr>
          <w:rFonts w:ascii="Times New Roman" w:hAnsi="Times New Roman" w:eastAsia="Times New Roman" w:cs="Times New Roman"/>
          <w:spacing w:val="2"/>
          <w:sz w:val="23"/>
          <w:szCs w:val="23"/>
        </w:rPr>
        <w:t>1.4-2</w:t>
      </w:r>
      <w:r>
        <w:rPr>
          <w:rFonts w:ascii="宋体" w:hAnsi="宋体" w:eastAsia="宋体" w:cs="宋体"/>
          <w:spacing w:val="2"/>
          <w:sz w:val="23"/>
          <w:szCs w:val="23"/>
        </w:rPr>
        <w:t>；</w:t>
      </w:r>
    </w:p>
    <w:p w14:paraId="5F42CB58">
      <w:pPr>
        <w:spacing w:before="185" w:line="221" w:lineRule="auto"/>
        <w:ind w:left="3330"/>
        <w:rPr>
          <w:rFonts w:ascii="黑体" w:hAnsi="黑体" w:eastAsia="黑体" w:cs="黑体"/>
          <w:sz w:val="23"/>
          <w:szCs w:val="23"/>
        </w:rPr>
      </w:pPr>
      <w:r>
        <w:rPr>
          <w:rFonts w:ascii="黑体" w:hAnsi="黑体" w:eastAsia="黑体" w:cs="黑体"/>
          <w:spacing w:val="5"/>
          <w:sz w:val="23"/>
          <w:szCs w:val="23"/>
        </w:rPr>
        <w:t>表</w:t>
      </w:r>
      <w:r>
        <w:rPr>
          <w:rFonts w:ascii="黑体" w:hAnsi="黑体" w:eastAsia="黑体" w:cs="黑体"/>
          <w:spacing w:val="3"/>
          <w:sz w:val="23"/>
          <w:szCs w:val="23"/>
        </w:rPr>
        <w:t xml:space="preserve"> </w:t>
      </w:r>
      <w:r>
        <w:rPr>
          <w:rFonts w:ascii="Times New Roman" w:hAnsi="Times New Roman" w:eastAsia="Times New Roman" w:cs="Times New Roman"/>
          <w:spacing w:val="3"/>
          <w:sz w:val="23"/>
          <w:szCs w:val="23"/>
        </w:rPr>
        <w:t xml:space="preserve">1.4-2  </w:t>
      </w:r>
      <w:r>
        <w:rPr>
          <w:rFonts w:ascii="黑体" w:hAnsi="黑体" w:eastAsia="黑体" w:cs="黑体"/>
          <w:spacing w:val="3"/>
          <w:sz w:val="23"/>
          <w:szCs w:val="23"/>
        </w:rPr>
        <w:t>地表水环境质量标准</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86"/>
        <w:gridCol w:w="4174"/>
        <w:gridCol w:w="3052"/>
      </w:tblGrid>
      <w:tr w14:paraId="427E62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2486" w:type="dxa"/>
            <w:tcBorders>
              <w:left w:val="nil"/>
            </w:tcBorders>
          </w:tcPr>
          <w:p w14:paraId="207FE74E">
            <w:pPr>
              <w:spacing w:before="149" w:line="228" w:lineRule="auto"/>
              <w:ind w:left="1042"/>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指</w:t>
            </w:r>
            <w:r>
              <w:rPr>
                <w:rFonts w:ascii="宋体" w:hAnsi="宋体" w:eastAsia="宋体" w:cs="宋体"/>
                <w:spacing w:val="4"/>
                <w:sz w:val="20"/>
                <w:szCs w:val="20"/>
                <w14:textOutline w14:w="3797" w14:cap="sq" w14:cmpd="sng" w14:algn="ctr">
                  <w14:solidFill>
                    <w14:srgbClr w14:val="000000"/>
                  </w14:solidFill>
                  <w14:prstDash w14:val="solid"/>
                  <w14:bevel/>
                </w14:textOutline>
              </w:rPr>
              <w:t>标</w:t>
            </w:r>
          </w:p>
        </w:tc>
        <w:tc>
          <w:tcPr>
            <w:tcW w:w="4174" w:type="dxa"/>
          </w:tcPr>
          <w:p w14:paraId="65D96A3C">
            <w:pPr>
              <w:spacing w:before="108" w:line="289" w:lineRule="exact"/>
              <w:ind w:left="1226"/>
              <w:rPr>
                <w:rFonts w:ascii="宋体" w:hAnsi="宋体" w:eastAsia="宋体" w:cs="宋体"/>
                <w:sz w:val="20"/>
                <w:szCs w:val="20"/>
              </w:rPr>
            </w:pPr>
            <w:r>
              <w:rPr>
                <w:rFonts w:ascii="宋体" w:hAnsi="宋体" w:eastAsia="宋体" w:cs="宋体"/>
                <w:spacing w:val="-3"/>
                <w:position w:val="3"/>
                <w:sz w:val="20"/>
                <w:szCs w:val="20"/>
                <w14:textOutline w14:w="3797" w14:cap="sq" w14:cmpd="sng" w14:algn="ctr">
                  <w14:solidFill>
                    <w14:srgbClr w14:val="000000"/>
                  </w14:solidFill>
                  <w14:prstDash w14:val="solid"/>
                  <w14:bevel/>
                </w14:textOutline>
              </w:rPr>
              <w:t>标准限值</w:t>
            </w:r>
            <w:r>
              <w:rPr>
                <w:rFonts w:ascii="宋体" w:hAnsi="宋体" w:eastAsia="宋体" w:cs="宋体"/>
                <w:spacing w:val="-3"/>
                <w:position w:val="3"/>
                <w:sz w:val="20"/>
                <w:szCs w:val="20"/>
              </w:rPr>
              <w:t xml:space="preserve"> </w:t>
            </w:r>
            <w:r>
              <w:rPr>
                <w:rFonts w:ascii="宋体" w:hAnsi="宋体" w:eastAsia="宋体" w:cs="宋体"/>
                <w:spacing w:val="-3"/>
                <w:position w:val="3"/>
                <w:sz w:val="20"/>
                <w:szCs w:val="20"/>
                <w14:textOutline w14:w="3797" w14:cap="sq" w14:cmpd="sng" w14:algn="ctr">
                  <w14:solidFill>
                    <w14:srgbClr w14:val="000000"/>
                  </w14:solidFill>
                  <w14:prstDash w14:val="solid"/>
                  <w14:bevel/>
                </w14:textOutline>
              </w:rPr>
              <w:t>(</w:t>
            </w:r>
            <w:r>
              <w:rPr>
                <w:rFonts w:ascii="宋体" w:hAnsi="宋体" w:eastAsia="宋体" w:cs="宋体"/>
                <w:spacing w:val="-3"/>
                <w:position w:val="3"/>
                <w:sz w:val="20"/>
                <w:szCs w:val="20"/>
              </w:rPr>
              <w:t xml:space="preserve"> </w:t>
            </w:r>
            <w:r>
              <w:rPr>
                <w:rFonts w:ascii="Times New Roman" w:hAnsi="Times New Roman" w:eastAsia="Times New Roman" w:cs="Times New Roman"/>
                <w:b/>
                <w:bCs/>
                <w:spacing w:val="-3"/>
                <w:position w:val="3"/>
                <w:sz w:val="20"/>
                <w:szCs w:val="20"/>
              </w:rPr>
              <w:t>mg/L</w:t>
            </w:r>
            <w:r>
              <w:rPr>
                <w:rFonts w:ascii="宋体" w:hAnsi="宋体" w:eastAsia="宋体" w:cs="宋体"/>
                <w:spacing w:val="-3"/>
                <w:position w:val="3"/>
                <w:sz w:val="20"/>
                <w:szCs w:val="20"/>
                <w14:textOutline w14:w="3797" w14:cap="sq" w14:cmpd="sng" w14:algn="ctr">
                  <w14:solidFill>
                    <w14:srgbClr w14:val="000000"/>
                  </w14:solidFill>
                  <w14:prstDash w14:val="solid"/>
                  <w14:bevel/>
                </w14:textOutline>
              </w:rPr>
              <w:t>)</w:t>
            </w:r>
          </w:p>
        </w:tc>
        <w:tc>
          <w:tcPr>
            <w:tcW w:w="3052" w:type="dxa"/>
            <w:tcBorders>
              <w:right w:val="nil"/>
            </w:tcBorders>
          </w:tcPr>
          <w:p w14:paraId="60CD63E6">
            <w:pPr>
              <w:spacing w:before="149" w:line="227" w:lineRule="auto"/>
              <w:ind w:left="1166"/>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依据</w:t>
            </w:r>
          </w:p>
        </w:tc>
      </w:tr>
      <w:tr w14:paraId="353569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2486" w:type="dxa"/>
            <w:tcBorders>
              <w:left w:val="nil"/>
            </w:tcBorders>
          </w:tcPr>
          <w:p w14:paraId="0588EFE1">
            <w:pPr>
              <w:spacing w:before="109" w:line="194" w:lineRule="auto"/>
              <w:ind w:left="111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pH</w:t>
            </w:r>
          </w:p>
        </w:tc>
        <w:tc>
          <w:tcPr>
            <w:tcW w:w="4174" w:type="dxa"/>
          </w:tcPr>
          <w:p w14:paraId="71673F8F">
            <w:pPr>
              <w:spacing w:before="71" w:line="228" w:lineRule="auto"/>
              <w:ind w:left="1358"/>
              <w:rPr>
                <w:rFonts w:ascii="宋体" w:hAnsi="宋体" w:eastAsia="宋体" w:cs="宋体"/>
                <w:sz w:val="20"/>
                <w:szCs w:val="20"/>
              </w:rPr>
            </w:pPr>
            <w:r>
              <w:rPr>
                <w:rFonts w:ascii="Times New Roman" w:hAnsi="Times New Roman" w:eastAsia="Times New Roman" w:cs="Times New Roman"/>
                <w:spacing w:val="15"/>
                <w:sz w:val="20"/>
                <w:szCs w:val="20"/>
              </w:rPr>
              <w:t>6</w:t>
            </w:r>
            <w:r>
              <w:rPr>
                <w:rFonts w:ascii="宋体" w:hAnsi="宋体" w:eastAsia="宋体" w:cs="宋体"/>
                <w:spacing w:val="15"/>
                <w:sz w:val="20"/>
                <w:szCs w:val="20"/>
              </w:rPr>
              <w:t>~</w:t>
            </w:r>
            <w:r>
              <w:rPr>
                <w:rFonts w:ascii="Times New Roman" w:hAnsi="Times New Roman" w:eastAsia="Times New Roman" w:cs="Times New Roman"/>
                <w:spacing w:val="15"/>
                <w:sz w:val="20"/>
                <w:szCs w:val="20"/>
              </w:rPr>
              <w:t xml:space="preserve">9  </w:t>
            </w:r>
            <w:r>
              <w:rPr>
                <w:rFonts w:ascii="宋体" w:hAnsi="宋体" w:eastAsia="宋体" w:cs="宋体"/>
                <w:spacing w:val="15"/>
                <w:sz w:val="20"/>
                <w:szCs w:val="20"/>
              </w:rPr>
              <w:t>(无量纲</w:t>
            </w:r>
            <w:r>
              <w:rPr>
                <w:rFonts w:ascii="宋体" w:hAnsi="宋体" w:eastAsia="宋体" w:cs="宋体"/>
                <w:spacing w:val="13"/>
                <w:sz w:val="20"/>
                <w:szCs w:val="20"/>
              </w:rPr>
              <w:t>)</w:t>
            </w:r>
          </w:p>
        </w:tc>
        <w:tc>
          <w:tcPr>
            <w:tcW w:w="3052" w:type="dxa"/>
            <w:vMerge w:val="restart"/>
            <w:tcBorders>
              <w:bottom w:val="nil"/>
              <w:right w:val="nil"/>
            </w:tcBorders>
          </w:tcPr>
          <w:p w14:paraId="20FE5354">
            <w:pPr>
              <w:spacing w:line="264" w:lineRule="auto"/>
            </w:pPr>
          </w:p>
          <w:p w14:paraId="57CF7317">
            <w:pPr>
              <w:spacing w:line="264" w:lineRule="auto"/>
            </w:pPr>
          </w:p>
          <w:p w14:paraId="4C7F0E53">
            <w:pPr>
              <w:spacing w:line="264" w:lineRule="auto"/>
            </w:pPr>
          </w:p>
          <w:p w14:paraId="41555F3E">
            <w:pPr>
              <w:spacing w:line="265" w:lineRule="auto"/>
            </w:pPr>
          </w:p>
          <w:p w14:paraId="0333A63E">
            <w:pPr>
              <w:spacing w:line="265" w:lineRule="auto"/>
            </w:pPr>
          </w:p>
          <w:p w14:paraId="6F7D4E65">
            <w:pPr>
              <w:spacing w:before="65" w:line="265" w:lineRule="auto"/>
              <w:ind w:left="123" w:right="121" w:firstLine="100"/>
              <w:rPr>
                <w:rFonts w:ascii="宋体" w:hAnsi="宋体" w:eastAsia="宋体" w:cs="宋体"/>
                <w:sz w:val="20"/>
                <w:szCs w:val="20"/>
              </w:rPr>
            </w:pPr>
            <w:r>
              <w:rPr>
                <w:rFonts w:ascii="宋体" w:hAnsi="宋体" w:eastAsia="宋体" w:cs="宋体"/>
                <w:spacing w:val="-38"/>
                <w:sz w:val="20"/>
                <w:szCs w:val="20"/>
              </w:rPr>
              <w:t>《</w:t>
            </w:r>
            <w:r>
              <w:rPr>
                <w:rFonts w:ascii="宋体" w:hAnsi="宋体" w:eastAsia="宋体" w:cs="宋体"/>
                <w:spacing w:val="-23"/>
                <w:sz w:val="20"/>
                <w:szCs w:val="20"/>
              </w:rPr>
              <w:t xml:space="preserve"> 地 表 水 环 境 质 量 标 准 》</w:t>
            </w:r>
            <w:r>
              <w:rPr>
                <w:rFonts w:ascii="宋体" w:hAnsi="宋体" w:eastAsia="宋体" w:cs="宋体"/>
                <w:sz w:val="20"/>
                <w:szCs w:val="20"/>
              </w:rPr>
              <w:t xml:space="preserve"> </w:t>
            </w:r>
            <w:r>
              <w:rPr>
                <w:rFonts w:ascii="宋体" w:hAnsi="宋体" w:eastAsia="宋体" w:cs="宋体"/>
                <w:spacing w:val="14"/>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12"/>
                <w:sz w:val="20"/>
                <w:szCs w:val="20"/>
              </w:rPr>
              <w:t>3838-2002</w:t>
            </w:r>
            <w:r>
              <w:rPr>
                <w:rFonts w:ascii="宋体" w:hAnsi="宋体" w:eastAsia="宋体" w:cs="宋体"/>
                <w:spacing w:val="12"/>
                <w:sz w:val="20"/>
                <w:szCs w:val="20"/>
              </w:rPr>
              <w:t>) Ⅲ类水标准</w:t>
            </w:r>
          </w:p>
        </w:tc>
      </w:tr>
      <w:tr w14:paraId="44C42C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2486" w:type="dxa"/>
            <w:tcBorders>
              <w:left w:val="nil"/>
            </w:tcBorders>
          </w:tcPr>
          <w:p w14:paraId="5D1E8C74">
            <w:pPr>
              <w:spacing w:before="109" w:line="202" w:lineRule="auto"/>
              <w:ind w:left="977"/>
              <w:rPr>
                <w:rFonts w:ascii="Times New Roman" w:hAnsi="Times New Roman" w:eastAsia="Times New Roman" w:cs="Times New Roman"/>
                <w:sz w:val="13"/>
                <w:szCs w:val="13"/>
              </w:rPr>
            </w:pPr>
            <w:r>
              <w:rPr>
                <w:rFonts w:ascii="Times New Roman" w:hAnsi="Times New Roman" w:eastAsia="Times New Roman" w:cs="Times New Roman"/>
                <w:spacing w:val="5"/>
                <w:sz w:val="20"/>
                <w:szCs w:val="20"/>
              </w:rPr>
              <w:t>C</w:t>
            </w:r>
            <w:r>
              <w:rPr>
                <w:rFonts w:ascii="Times New Roman" w:hAnsi="Times New Roman" w:eastAsia="Times New Roman" w:cs="Times New Roman"/>
                <w:spacing w:val="3"/>
                <w:sz w:val="20"/>
                <w:szCs w:val="20"/>
              </w:rPr>
              <w:t>OD</w:t>
            </w:r>
            <w:r>
              <w:rPr>
                <w:rFonts w:ascii="Times New Roman" w:hAnsi="Times New Roman" w:eastAsia="Times New Roman" w:cs="Times New Roman"/>
                <w:spacing w:val="3"/>
                <w:position w:val="-1"/>
                <w:sz w:val="13"/>
                <w:szCs w:val="13"/>
              </w:rPr>
              <w:t>cr</w:t>
            </w:r>
          </w:p>
        </w:tc>
        <w:tc>
          <w:tcPr>
            <w:tcW w:w="4174" w:type="dxa"/>
          </w:tcPr>
          <w:p w14:paraId="77FF1641">
            <w:pPr>
              <w:spacing w:before="35" w:line="281" w:lineRule="exact"/>
              <w:ind w:left="1925"/>
              <w:rPr>
                <w:rFonts w:ascii="Times New Roman" w:hAnsi="Times New Roman" w:eastAsia="Times New Roman" w:cs="Times New Roman"/>
                <w:sz w:val="20"/>
                <w:szCs w:val="20"/>
              </w:rPr>
            </w:pPr>
            <w:r>
              <w:rPr>
                <w:rFonts w:ascii="Times New Roman" w:hAnsi="Times New Roman" w:eastAsia="Times New Roman" w:cs="Times New Roman"/>
                <w:spacing w:val="5"/>
                <w:position w:val="2"/>
                <w:sz w:val="20"/>
                <w:szCs w:val="20"/>
              </w:rPr>
              <w:t>≤</w:t>
            </w:r>
            <w:r>
              <w:rPr>
                <w:rFonts w:ascii="Times New Roman" w:hAnsi="Times New Roman" w:eastAsia="Times New Roman" w:cs="Times New Roman"/>
                <w:spacing w:val="4"/>
                <w:position w:val="2"/>
                <w:sz w:val="20"/>
                <w:szCs w:val="20"/>
              </w:rPr>
              <w:t>20</w:t>
            </w:r>
          </w:p>
        </w:tc>
        <w:tc>
          <w:tcPr>
            <w:tcW w:w="3052" w:type="dxa"/>
            <w:vMerge w:val="continue"/>
            <w:tcBorders>
              <w:top w:val="nil"/>
              <w:bottom w:val="nil"/>
              <w:right w:val="nil"/>
            </w:tcBorders>
          </w:tcPr>
          <w:p w14:paraId="1005ACD5"/>
        </w:tc>
      </w:tr>
      <w:tr w14:paraId="1862E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2486" w:type="dxa"/>
            <w:tcBorders>
              <w:left w:val="nil"/>
            </w:tcBorders>
          </w:tcPr>
          <w:p w14:paraId="34ED76B6">
            <w:pPr>
              <w:spacing w:before="110" w:line="202" w:lineRule="auto"/>
              <w:ind w:left="992"/>
              <w:rPr>
                <w:rFonts w:ascii="Times New Roman" w:hAnsi="Times New Roman" w:eastAsia="Times New Roman" w:cs="Times New Roman"/>
                <w:sz w:val="13"/>
                <w:szCs w:val="13"/>
              </w:rPr>
            </w:pPr>
            <w:r>
              <w:rPr>
                <w:rFonts w:ascii="Times New Roman" w:hAnsi="Times New Roman" w:eastAsia="Times New Roman" w:cs="Times New Roman"/>
                <w:sz w:val="20"/>
                <w:szCs w:val="20"/>
              </w:rPr>
              <w:t>BOD</w:t>
            </w:r>
            <w:r>
              <w:rPr>
                <w:rFonts w:ascii="Times New Roman" w:hAnsi="Times New Roman" w:eastAsia="Times New Roman" w:cs="Times New Roman"/>
                <w:spacing w:val="19"/>
                <w:position w:val="-1"/>
                <w:sz w:val="13"/>
                <w:szCs w:val="13"/>
              </w:rPr>
              <w:t>5</w:t>
            </w:r>
          </w:p>
        </w:tc>
        <w:tc>
          <w:tcPr>
            <w:tcW w:w="4174" w:type="dxa"/>
          </w:tcPr>
          <w:p w14:paraId="14EFF006">
            <w:pPr>
              <w:spacing w:before="36" w:line="281" w:lineRule="exact"/>
              <w:ind w:left="1975"/>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w:t>
            </w:r>
            <w:r>
              <w:rPr>
                <w:rFonts w:ascii="Times New Roman" w:hAnsi="Times New Roman" w:eastAsia="Times New Roman" w:cs="Times New Roman"/>
                <w:spacing w:val="3"/>
                <w:position w:val="2"/>
                <w:sz w:val="20"/>
                <w:szCs w:val="20"/>
              </w:rPr>
              <w:t>4</w:t>
            </w:r>
          </w:p>
        </w:tc>
        <w:tc>
          <w:tcPr>
            <w:tcW w:w="3052" w:type="dxa"/>
            <w:vMerge w:val="continue"/>
            <w:tcBorders>
              <w:top w:val="nil"/>
              <w:bottom w:val="nil"/>
              <w:right w:val="nil"/>
            </w:tcBorders>
          </w:tcPr>
          <w:p w14:paraId="53D7C9BB"/>
        </w:tc>
      </w:tr>
      <w:tr w14:paraId="74CF4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2486" w:type="dxa"/>
            <w:tcBorders>
              <w:left w:val="nil"/>
            </w:tcBorders>
          </w:tcPr>
          <w:p w14:paraId="24C153AC">
            <w:pPr>
              <w:spacing w:before="112" w:line="199" w:lineRule="auto"/>
              <w:ind w:left="945"/>
              <w:rPr>
                <w:rFonts w:ascii="Times New Roman" w:hAnsi="Times New Roman" w:eastAsia="Times New Roman" w:cs="Times New Roman"/>
                <w:sz w:val="20"/>
                <w:szCs w:val="20"/>
              </w:rPr>
            </w:pPr>
            <w:r>
              <w:rPr>
                <w:rFonts w:ascii="Times New Roman" w:hAnsi="Times New Roman" w:eastAsia="Times New Roman" w:cs="Times New Roman"/>
                <w:sz w:val="20"/>
                <w:szCs w:val="20"/>
              </w:rPr>
              <w:t>NH</w:t>
            </w:r>
            <w:r>
              <w:rPr>
                <w:rFonts w:ascii="Times New Roman" w:hAnsi="Times New Roman" w:eastAsia="Times New Roman" w:cs="Times New Roman"/>
                <w:spacing w:val="14"/>
                <w:position w:val="-1"/>
                <w:sz w:val="13"/>
                <w:szCs w:val="13"/>
              </w:rPr>
              <w:t>3</w:t>
            </w:r>
            <w:r>
              <w:rPr>
                <w:rFonts w:ascii="Times New Roman" w:hAnsi="Times New Roman" w:eastAsia="Times New Roman" w:cs="Times New Roman"/>
                <w:spacing w:val="13"/>
                <w:sz w:val="20"/>
                <w:szCs w:val="20"/>
              </w:rPr>
              <w:t>-</w:t>
            </w:r>
            <w:r>
              <w:rPr>
                <w:rFonts w:ascii="Times New Roman" w:hAnsi="Times New Roman" w:eastAsia="Times New Roman" w:cs="Times New Roman"/>
                <w:sz w:val="20"/>
                <w:szCs w:val="20"/>
              </w:rPr>
              <w:t>N</w:t>
            </w:r>
          </w:p>
        </w:tc>
        <w:tc>
          <w:tcPr>
            <w:tcW w:w="4174" w:type="dxa"/>
          </w:tcPr>
          <w:p w14:paraId="27B3BC16">
            <w:pPr>
              <w:spacing w:before="36" w:line="281" w:lineRule="exact"/>
              <w:ind w:left="1899"/>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w:t>
            </w:r>
            <w:r>
              <w:rPr>
                <w:rFonts w:ascii="Times New Roman" w:hAnsi="Times New Roman" w:eastAsia="Times New Roman" w:cs="Times New Roman"/>
                <w:spacing w:val="-6"/>
                <w:position w:val="2"/>
                <w:sz w:val="20"/>
                <w:szCs w:val="20"/>
              </w:rPr>
              <w:t xml:space="preserve"> 1.0</w:t>
            </w:r>
          </w:p>
        </w:tc>
        <w:tc>
          <w:tcPr>
            <w:tcW w:w="3052" w:type="dxa"/>
            <w:vMerge w:val="continue"/>
            <w:tcBorders>
              <w:top w:val="nil"/>
              <w:bottom w:val="nil"/>
              <w:right w:val="nil"/>
            </w:tcBorders>
          </w:tcPr>
          <w:p w14:paraId="35436039"/>
        </w:tc>
      </w:tr>
      <w:tr w14:paraId="0ED82B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2486" w:type="dxa"/>
            <w:tcBorders>
              <w:left w:val="nil"/>
            </w:tcBorders>
          </w:tcPr>
          <w:p w14:paraId="4F1AF9CE">
            <w:pPr>
              <w:spacing w:before="74" w:line="227" w:lineRule="auto"/>
              <w:ind w:left="939"/>
              <w:rPr>
                <w:rFonts w:ascii="宋体" w:hAnsi="宋体" w:eastAsia="宋体" w:cs="宋体"/>
                <w:sz w:val="20"/>
                <w:szCs w:val="20"/>
              </w:rPr>
            </w:pPr>
            <w:r>
              <w:rPr>
                <w:rFonts w:ascii="宋体" w:hAnsi="宋体" w:eastAsia="宋体" w:cs="宋体"/>
                <w:spacing w:val="6"/>
                <w:sz w:val="20"/>
                <w:szCs w:val="20"/>
              </w:rPr>
              <w:t>溶解氧</w:t>
            </w:r>
          </w:p>
        </w:tc>
        <w:tc>
          <w:tcPr>
            <w:tcW w:w="4174" w:type="dxa"/>
          </w:tcPr>
          <w:p w14:paraId="58EE3D42">
            <w:pPr>
              <w:spacing w:before="37" w:line="281" w:lineRule="exact"/>
              <w:ind w:left="1975"/>
              <w:rPr>
                <w:rFonts w:ascii="Times New Roman" w:hAnsi="Times New Roman" w:eastAsia="Times New Roman" w:cs="Times New Roman"/>
                <w:sz w:val="20"/>
                <w:szCs w:val="20"/>
              </w:rPr>
            </w:pPr>
            <w:r>
              <w:rPr>
                <w:rFonts w:ascii="Times New Roman" w:hAnsi="Times New Roman" w:eastAsia="Times New Roman" w:cs="Times New Roman"/>
                <w:spacing w:val="6"/>
                <w:position w:val="3"/>
                <w:sz w:val="20"/>
                <w:szCs w:val="20"/>
              </w:rPr>
              <w:t>≥5</w:t>
            </w:r>
          </w:p>
        </w:tc>
        <w:tc>
          <w:tcPr>
            <w:tcW w:w="3052" w:type="dxa"/>
            <w:vMerge w:val="continue"/>
            <w:tcBorders>
              <w:top w:val="nil"/>
              <w:bottom w:val="nil"/>
              <w:right w:val="nil"/>
            </w:tcBorders>
          </w:tcPr>
          <w:p w14:paraId="46B0FC9F"/>
        </w:tc>
      </w:tr>
      <w:tr w14:paraId="77EF2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2486" w:type="dxa"/>
            <w:tcBorders>
              <w:left w:val="nil"/>
            </w:tcBorders>
          </w:tcPr>
          <w:p w14:paraId="161B7228">
            <w:pPr>
              <w:spacing w:before="110" w:line="195" w:lineRule="auto"/>
              <w:ind w:left="113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S</w:t>
            </w:r>
            <w:r>
              <w:rPr>
                <w:rFonts w:ascii="Times New Roman" w:hAnsi="Times New Roman" w:eastAsia="Times New Roman" w:cs="Times New Roman"/>
                <w:spacing w:val="-2"/>
                <w:sz w:val="20"/>
                <w:szCs w:val="20"/>
              </w:rPr>
              <w:t>S</w:t>
            </w:r>
          </w:p>
        </w:tc>
        <w:tc>
          <w:tcPr>
            <w:tcW w:w="4174" w:type="dxa"/>
          </w:tcPr>
          <w:p w14:paraId="35F730B0">
            <w:pPr>
              <w:spacing w:before="37" w:line="281" w:lineRule="exact"/>
              <w:ind w:left="2055"/>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3052" w:type="dxa"/>
            <w:vMerge w:val="continue"/>
            <w:tcBorders>
              <w:top w:val="nil"/>
              <w:bottom w:val="nil"/>
              <w:right w:val="nil"/>
            </w:tcBorders>
          </w:tcPr>
          <w:p w14:paraId="6713A6B4"/>
        </w:tc>
      </w:tr>
      <w:tr w14:paraId="0F1F8F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2486" w:type="dxa"/>
            <w:tcBorders>
              <w:left w:val="nil"/>
            </w:tcBorders>
          </w:tcPr>
          <w:p w14:paraId="2DCECF9B">
            <w:pPr>
              <w:spacing w:before="75" w:line="228" w:lineRule="auto"/>
              <w:ind w:left="727"/>
              <w:rPr>
                <w:rFonts w:ascii="宋体" w:hAnsi="宋体" w:eastAsia="宋体" w:cs="宋体"/>
                <w:sz w:val="20"/>
                <w:szCs w:val="20"/>
              </w:rPr>
            </w:pPr>
            <w:r>
              <w:rPr>
                <w:rFonts w:ascii="宋体" w:hAnsi="宋体" w:eastAsia="宋体" w:cs="宋体"/>
                <w:spacing w:val="8"/>
                <w:sz w:val="20"/>
                <w:szCs w:val="20"/>
              </w:rPr>
              <w:t>粪大肠菌</w:t>
            </w:r>
            <w:r>
              <w:rPr>
                <w:rFonts w:ascii="宋体" w:hAnsi="宋体" w:eastAsia="宋体" w:cs="宋体"/>
                <w:spacing w:val="7"/>
                <w:sz w:val="20"/>
                <w:szCs w:val="20"/>
              </w:rPr>
              <w:t>群</w:t>
            </w:r>
          </w:p>
        </w:tc>
        <w:tc>
          <w:tcPr>
            <w:tcW w:w="4174" w:type="dxa"/>
          </w:tcPr>
          <w:p w14:paraId="71FF2C2C">
            <w:pPr>
              <w:spacing w:before="37" w:line="281" w:lineRule="exact"/>
              <w:ind w:left="1359"/>
              <w:rPr>
                <w:rFonts w:ascii="宋体" w:hAnsi="宋体" w:eastAsia="宋体" w:cs="宋体"/>
                <w:sz w:val="20"/>
                <w:szCs w:val="20"/>
              </w:rPr>
            </w:pPr>
            <w:r>
              <w:rPr>
                <w:rFonts w:ascii="Times New Roman" w:hAnsi="Times New Roman" w:eastAsia="Times New Roman" w:cs="Times New Roman"/>
                <w:spacing w:val="1"/>
                <w:position w:val="1"/>
                <w:sz w:val="20"/>
                <w:szCs w:val="20"/>
              </w:rPr>
              <w:t>≤ 100</w:t>
            </w:r>
            <w:r>
              <w:rPr>
                <w:rFonts w:ascii="Times New Roman" w:hAnsi="Times New Roman" w:eastAsia="Times New Roman" w:cs="Times New Roman"/>
                <w:position w:val="1"/>
                <w:sz w:val="20"/>
                <w:szCs w:val="20"/>
              </w:rPr>
              <w:t xml:space="preserve">00  </w:t>
            </w:r>
            <w:r>
              <w:rPr>
                <w:rFonts w:ascii="宋体" w:hAnsi="宋体" w:eastAsia="宋体" w:cs="宋体"/>
                <w:position w:val="1"/>
                <w:sz w:val="20"/>
                <w:szCs w:val="20"/>
              </w:rPr>
              <w:t>(个</w:t>
            </w:r>
            <w:r>
              <w:rPr>
                <w:rFonts w:ascii="Times New Roman" w:hAnsi="Times New Roman" w:eastAsia="Times New Roman" w:cs="Times New Roman"/>
                <w:position w:val="1"/>
                <w:sz w:val="20"/>
                <w:szCs w:val="20"/>
              </w:rPr>
              <w:t>/L</w:t>
            </w:r>
            <w:r>
              <w:rPr>
                <w:rFonts w:ascii="宋体" w:hAnsi="宋体" w:eastAsia="宋体" w:cs="宋体"/>
                <w:position w:val="1"/>
                <w:sz w:val="20"/>
                <w:szCs w:val="20"/>
              </w:rPr>
              <w:t>)</w:t>
            </w:r>
          </w:p>
        </w:tc>
        <w:tc>
          <w:tcPr>
            <w:tcW w:w="3052" w:type="dxa"/>
            <w:vMerge w:val="continue"/>
            <w:tcBorders>
              <w:top w:val="nil"/>
              <w:bottom w:val="nil"/>
              <w:right w:val="nil"/>
            </w:tcBorders>
          </w:tcPr>
          <w:p w14:paraId="654E7D08"/>
        </w:tc>
      </w:tr>
      <w:tr w14:paraId="6E6152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2486" w:type="dxa"/>
            <w:tcBorders>
              <w:left w:val="nil"/>
            </w:tcBorders>
          </w:tcPr>
          <w:p w14:paraId="48C64616">
            <w:pPr>
              <w:spacing w:before="75" w:line="227" w:lineRule="auto"/>
              <w:ind w:left="1045"/>
              <w:rPr>
                <w:rFonts w:ascii="宋体" w:hAnsi="宋体" w:eastAsia="宋体" w:cs="宋体"/>
                <w:sz w:val="20"/>
                <w:szCs w:val="20"/>
              </w:rPr>
            </w:pPr>
            <w:r>
              <w:rPr>
                <w:rFonts w:ascii="宋体" w:hAnsi="宋体" w:eastAsia="宋体" w:cs="宋体"/>
                <w:spacing w:val="2"/>
                <w:sz w:val="20"/>
                <w:szCs w:val="20"/>
              </w:rPr>
              <w:t>总氮</w:t>
            </w:r>
          </w:p>
        </w:tc>
        <w:tc>
          <w:tcPr>
            <w:tcW w:w="4174" w:type="dxa"/>
          </w:tcPr>
          <w:p w14:paraId="797BA5A9">
            <w:pPr>
              <w:spacing w:before="37" w:line="281" w:lineRule="exact"/>
              <w:ind w:left="1899"/>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w:t>
            </w:r>
            <w:r>
              <w:rPr>
                <w:rFonts w:ascii="Times New Roman" w:hAnsi="Times New Roman" w:eastAsia="Times New Roman" w:cs="Times New Roman"/>
                <w:spacing w:val="-6"/>
                <w:position w:val="2"/>
                <w:sz w:val="20"/>
                <w:szCs w:val="20"/>
              </w:rPr>
              <w:t xml:space="preserve"> 1.0</w:t>
            </w:r>
          </w:p>
        </w:tc>
        <w:tc>
          <w:tcPr>
            <w:tcW w:w="3052" w:type="dxa"/>
            <w:vMerge w:val="continue"/>
            <w:tcBorders>
              <w:top w:val="nil"/>
              <w:bottom w:val="nil"/>
              <w:right w:val="nil"/>
            </w:tcBorders>
          </w:tcPr>
          <w:p w14:paraId="178F4546"/>
        </w:tc>
      </w:tr>
      <w:tr w14:paraId="448200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3" w:hRule="atLeast"/>
        </w:trPr>
        <w:tc>
          <w:tcPr>
            <w:tcW w:w="2486" w:type="dxa"/>
            <w:tcBorders>
              <w:left w:val="nil"/>
            </w:tcBorders>
          </w:tcPr>
          <w:p w14:paraId="26971705">
            <w:pPr>
              <w:spacing w:before="75" w:line="228" w:lineRule="auto"/>
              <w:ind w:left="1045"/>
              <w:rPr>
                <w:rFonts w:ascii="宋体" w:hAnsi="宋体" w:eastAsia="宋体" w:cs="宋体"/>
                <w:sz w:val="20"/>
                <w:szCs w:val="20"/>
              </w:rPr>
            </w:pPr>
            <w:r>
              <w:rPr>
                <w:rFonts w:ascii="宋体" w:hAnsi="宋体" w:eastAsia="宋体" w:cs="宋体"/>
                <w:spacing w:val="2"/>
                <w:sz w:val="20"/>
                <w:szCs w:val="20"/>
              </w:rPr>
              <w:t>总磷</w:t>
            </w:r>
          </w:p>
        </w:tc>
        <w:tc>
          <w:tcPr>
            <w:tcW w:w="4174" w:type="dxa"/>
          </w:tcPr>
          <w:p w14:paraId="0D5AEC91">
            <w:pPr>
              <w:spacing w:before="38" w:line="281" w:lineRule="exact"/>
              <w:ind w:left="1899"/>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≤0.</w:t>
            </w:r>
            <w:r>
              <w:rPr>
                <w:rFonts w:ascii="Times New Roman" w:hAnsi="Times New Roman" w:eastAsia="Times New Roman" w:cs="Times New Roman"/>
                <w:spacing w:val="3"/>
                <w:position w:val="2"/>
                <w:sz w:val="20"/>
                <w:szCs w:val="20"/>
              </w:rPr>
              <w:t>2</w:t>
            </w:r>
          </w:p>
        </w:tc>
        <w:tc>
          <w:tcPr>
            <w:tcW w:w="3052" w:type="dxa"/>
            <w:vMerge w:val="continue"/>
            <w:tcBorders>
              <w:top w:val="nil"/>
              <w:right w:val="nil"/>
            </w:tcBorders>
          </w:tcPr>
          <w:p w14:paraId="743230AB"/>
        </w:tc>
      </w:tr>
    </w:tbl>
    <w:p w14:paraId="4A5D6D0F">
      <w:pPr>
        <w:spacing w:before="35" w:line="228" w:lineRule="auto"/>
        <w:ind w:left="1003"/>
        <w:rPr>
          <w:rFonts w:ascii="宋体" w:hAnsi="宋体" w:eastAsia="宋体" w:cs="宋体"/>
          <w:sz w:val="23"/>
          <w:szCs w:val="23"/>
        </w:rPr>
      </w:pPr>
      <w:r>
        <w:rPr>
          <w:rFonts w:ascii="Times New Roman" w:hAnsi="Times New Roman" w:eastAsia="Times New Roman" w:cs="Times New Roman"/>
          <w:spacing w:val="7"/>
          <w:sz w:val="23"/>
          <w:szCs w:val="23"/>
        </w:rPr>
        <w:t>3</w:t>
      </w:r>
      <w:r>
        <w:rPr>
          <w:rFonts w:ascii="宋体" w:hAnsi="宋体" w:eastAsia="宋体" w:cs="宋体"/>
          <w:spacing w:val="7"/>
          <w:sz w:val="23"/>
          <w:szCs w:val="23"/>
        </w:rPr>
        <w:t>) 声环境质</w:t>
      </w:r>
      <w:r>
        <w:rPr>
          <w:rFonts w:ascii="宋体" w:hAnsi="宋体" w:eastAsia="宋体" w:cs="宋体"/>
          <w:spacing w:val="6"/>
          <w:sz w:val="23"/>
          <w:szCs w:val="23"/>
        </w:rPr>
        <w:t>量</w:t>
      </w:r>
    </w:p>
    <w:p w14:paraId="7D2DA7DF">
      <w:pPr>
        <w:spacing w:before="183" w:line="375" w:lineRule="auto"/>
        <w:ind w:left="525" w:right="508" w:firstLine="477"/>
        <w:rPr>
          <w:rFonts w:ascii="宋体" w:hAnsi="宋体" w:eastAsia="宋体" w:cs="宋体"/>
          <w:sz w:val="23"/>
          <w:szCs w:val="23"/>
        </w:rPr>
      </w:pPr>
      <w:r>
        <w:rPr>
          <w:rFonts w:ascii="宋体" w:hAnsi="宋体" w:eastAsia="宋体" w:cs="宋体"/>
          <w:spacing w:val="6"/>
          <w:sz w:val="23"/>
          <w:szCs w:val="23"/>
        </w:rPr>
        <w:t>评价区声环境质量执行</w:t>
      </w:r>
      <w:r>
        <w:rPr>
          <w:rFonts w:ascii="宋体" w:hAnsi="宋体" w:eastAsia="宋体" w:cs="宋体"/>
          <w:spacing w:val="5"/>
          <w:sz w:val="23"/>
          <w:szCs w:val="23"/>
        </w:rPr>
        <w:t>《</w:t>
      </w:r>
      <w:r>
        <w:rPr>
          <w:rFonts w:ascii="宋体" w:hAnsi="宋体" w:eastAsia="宋体" w:cs="宋体"/>
          <w:spacing w:val="3"/>
          <w:sz w:val="23"/>
          <w:szCs w:val="23"/>
        </w:rPr>
        <w:t>声环境质量标准》  (</w:t>
      </w:r>
      <w:r>
        <w:rPr>
          <w:rFonts w:ascii="Times New Roman" w:hAnsi="Times New Roman" w:eastAsia="Times New Roman" w:cs="Times New Roman"/>
          <w:sz w:val="23"/>
          <w:szCs w:val="23"/>
        </w:rPr>
        <w:t>GB</w:t>
      </w:r>
      <w:r>
        <w:rPr>
          <w:rFonts w:ascii="Times New Roman" w:hAnsi="Times New Roman" w:eastAsia="Times New Roman" w:cs="Times New Roman"/>
          <w:spacing w:val="3"/>
          <w:sz w:val="23"/>
          <w:szCs w:val="23"/>
        </w:rPr>
        <w:t>3096-2008</w:t>
      </w:r>
      <w:r>
        <w:rPr>
          <w:rFonts w:ascii="宋体" w:hAnsi="宋体" w:eastAsia="宋体" w:cs="宋体"/>
          <w:spacing w:val="3"/>
          <w:sz w:val="23"/>
          <w:szCs w:val="23"/>
        </w:rPr>
        <w:t xml:space="preserve">) </w:t>
      </w:r>
      <w:r>
        <w:rPr>
          <w:rFonts w:ascii="Times New Roman" w:hAnsi="Times New Roman" w:eastAsia="Times New Roman" w:cs="Times New Roman"/>
          <w:spacing w:val="3"/>
          <w:sz w:val="23"/>
          <w:szCs w:val="23"/>
        </w:rPr>
        <w:t xml:space="preserve">2 </w:t>
      </w:r>
      <w:r>
        <w:rPr>
          <w:rFonts w:ascii="宋体" w:hAnsi="宋体" w:eastAsia="宋体" w:cs="宋体"/>
          <w:spacing w:val="3"/>
          <w:sz w:val="23"/>
          <w:szCs w:val="23"/>
        </w:rPr>
        <w:t>类标准，具体标</w:t>
      </w:r>
      <w:r>
        <w:rPr>
          <w:rFonts w:ascii="宋体" w:hAnsi="宋体" w:eastAsia="宋体" w:cs="宋体"/>
          <w:sz w:val="23"/>
          <w:szCs w:val="23"/>
        </w:rPr>
        <w:t xml:space="preserve"> </w:t>
      </w:r>
      <w:r>
        <w:rPr>
          <w:rFonts w:ascii="宋体" w:hAnsi="宋体" w:eastAsia="宋体" w:cs="宋体"/>
          <w:spacing w:val="1"/>
          <w:sz w:val="23"/>
          <w:szCs w:val="23"/>
        </w:rPr>
        <w:t>准限值</w:t>
      </w:r>
      <w:r>
        <w:rPr>
          <w:rFonts w:ascii="宋体" w:hAnsi="宋体" w:eastAsia="宋体" w:cs="宋体"/>
          <w:sz w:val="23"/>
          <w:szCs w:val="23"/>
        </w:rPr>
        <w:t xml:space="preserve">见表 </w:t>
      </w:r>
      <w:r>
        <w:rPr>
          <w:rFonts w:ascii="Times New Roman" w:hAnsi="Times New Roman" w:eastAsia="Times New Roman" w:cs="Times New Roman"/>
          <w:sz w:val="23"/>
          <w:szCs w:val="23"/>
        </w:rPr>
        <w:t>1.4-3</w:t>
      </w:r>
      <w:r>
        <w:rPr>
          <w:rFonts w:ascii="宋体" w:hAnsi="宋体" w:eastAsia="宋体" w:cs="宋体"/>
          <w:sz w:val="23"/>
          <w:szCs w:val="23"/>
        </w:rPr>
        <w:t>；</w:t>
      </w:r>
    </w:p>
    <w:p w14:paraId="5B8E0488">
      <w:pPr>
        <w:spacing w:before="2" w:line="221" w:lineRule="auto"/>
        <w:ind w:left="3570"/>
        <w:rPr>
          <w:rFonts w:ascii="黑体" w:hAnsi="黑体" w:eastAsia="黑体" w:cs="黑体"/>
          <w:sz w:val="23"/>
          <w:szCs w:val="23"/>
        </w:rPr>
      </w:pPr>
      <w:r>
        <w:rPr>
          <w:rFonts w:ascii="黑体" w:hAnsi="黑体" w:eastAsia="黑体" w:cs="黑体"/>
          <w:spacing w:val="4"/>
          <w:sz w:val="23"/>
          <w:szCs w:val="23"/>
        </w:rPr>
        <w:t xml:space="preserve">表 </w:t>
      </w:r>
      <w:r>
        <w:rPr>
          <w:rFonts w:ascii="Times New Roman" w:hAnsi="Times New Roman" w:eastAsia="Times New Roman" w:cs="Times New Roman"/>
          <w:spacing w:val="2"/>
          <w:sz w:val="23"/>
          <w:szCs w:val="23"/>
        </w:rPr>
        <w:t xml:space="preserve">1.4-3  </w:t>
      </w:r>
      <w:r>
        <w:rPr>
          <w:rFonts w:ascii="黑体" w:hAnsi="黑体" w:eastAsia="黑体" w:cs="黑体"/>
          <w:spacing w:val="2"/>
          <w:sz w:val="23"/>
          <w:szCs w:val="23"/>
        </w:rPr>
        <w:t>声环境质量标准</w:t>
      </w:r>
    </w:p>
    <w:tbl>
      <w:tblPr>
        <w:tblStyle w:val="4"/>
        <w:tblW w:w="971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41"/>
        <w:gridCol w:w="5072"/>
      </w:tblGrid>
      <w:tr w14:paraId="68901C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4641" w:type="dxa"/>
            <w:tcBorders>
              <w:left w:val="nil"/>
            </w:tcBorders>
          </w:tcPr>
          <w:p w14:paraId="7250AC3F">
            <w:pPr>
              <w:spacing w:before="61" w:line="289" w:lineRule="exact"/>
              <w:ind w:left="1177"/>
              <w:rPr>
                <w:rFonts w:ascii="宋体" w:hAnsi="宋体" w:eastAsia="宋体" w:cs="宋体"/>
                <w:sz w:val="20"/>
                <w:szCs w:val="20"/>
              </w:rPr>
            </w:pPr>
            <w:r>
              <w:rPr>
                <w:rFonts w:ascii="宋体" w:hAnsi="宋体" w:eastAsia="宋体" w:cs="宋体"/>
                <w:spacing w:val="10"/>
                <w:position w:val="3"/>
                <w:sz w:val="20"/>
                <w:szCs w:val="20"/>
                <w14:textOutline w14:w="3797" w14:cap="sq" w14:cmpd="sng" w14:algn="ctr">
                  <w14:solidFill>
                    <w14:srgbClr w14:val="000000"/>
                  </w14:solidFill>
                  <w14:prstDash w14:val="solid"/>
                  <w14:bevel/>
                </w14:textOutline>
              </w:rPr>
              <w:t>标准值</w:t>
            </w:r>
            <w:r>
              <w:rPr>
                <w:rFonts w:ascii="宋体" w:hAnsi="宋体" w:eastAsia="宋体" w:cs="宋体"/>
                <w:spacing w:val="10"/>
                <w:position w:val="3"/>
                <w:sz w:val="20"/>
                <w:szCs w:val="20"/>
              </w:rPr>
              <w:t xml:space="preserve"> </w:t>
            </w:r>
            <w:r>
              <w:rPr>
                <w:rFonts w:ascii="宋体" w:hAnsi="宋体" w:eastAsia="宋体" w:cs="宋体"/>
                <w:spacing w:val="10"/>
                <w:position w:val="3"/>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position w:val="3"/>
                <w:sz w:val="20"/>
                <w:szCs w:val="20"/>
              </w:rPr>
              <w:t>LAeq</w:t>
            </w:r>
            <w:r>
              <w:rPr>
                <w:rFonts w:ascii="宋体" w:hAnsi="宋体" w:eastAsia="宋体" w:cs="宋体"/>
                <w:spacing w:val="10"/>
                <w:position w:val="3"/>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position w:val="3"/>
                <w:sz w:val="20"/>
                <w:szCs w:val="20"/>
              </w:rPr>
              <w:t>dB</w:t>
            </w:r>
            <w:r>
              <w:rPr>
                <w:rFonts w:ascii="Times New Roman" w:hAnsi="Times New Roman" w:eastAsia="Times New Roman" w:cs="Times New Roman"/>
                <w:b/>
                <w:bCs/>
                <w:spacing w:val="10"/>
                <w:position w:val="3"/>
                <w:sz w:val="20"/>
                <w:szCs w:val="20"/>
              </w:rPr>
              <w:t>(</w:t>
            </w:r>
            <w:r>
              <w:rPr>
                <w:rFonts w:ascii="Times New Roman" w:hAnsi="Times New Roman" w:eastAsia="Times New Roman" w:cs="Times New Roman"/>
                <w:b/>
                <w:bCs/>
                <w:position w:val="3"/>
                <w:sz w:val="20"/>
                <w:szCs w:val="20"/>
              </w:rPr>
              <w:t>A</w:t>
            </w:r>
            <w:r>
              <w:rPr>
                <w:rFonts w:ascii="Times New Roman" w:hAnsi="Times New Roman" w:eastAsia="Times New Roman" w:cs="Times New Roman"/>
                <w:b/>
                <w:bCs/>
                <w:spacing w:val="10"/>
                <w:position w:val="3"/>
                <w:sz w:val="20"/>
                <w:szCs w:val="20"/>
              </w:rPr>
              <w:t>)</w:t>
            </w:r>
            <w:r>
              <w:rPr>
                <w:rFonts w:ascii="宋体" w:hAnsi="宋体" w:eastAsia="宋体" w:cs="宋体"/>
                <w:spacing w:val="10"/>
                <w:position w:val="3"/>
                <w:sz w:val="20"/>
                <w:szCs w:val="20"/>
                <w14:textOutline w14:w="3797" w14:cap="sq" w14:cmpd="sng" w14:algn="ctr">
                  <w14:solidFill>
                    <w14:srgbClr w14:val="000000"/>
                  </w14:solidFill>
                  <w14:prstDash w14:val="solid"/>
                  <w14:bevel/>
                </w14:textOutline>
              </w:rPr>
              <w:t>)</w:t>
            </w:r>
          </w:p>
        </w:tc>
        <w:tc>
          <w:tcPr>
            <w:tcW w:w="5072" w:type="dxa"/>
            <w:tcBorders>
              <w:right w:val="nil"/>
            </w:tcBorders>
          </w:tcPr>
          <w:p w14:paraId="1BECDABC">
            <w:pPr>
              <w:spacing w:before="102" w:line="227" w:lineRule="auto"/>
              <w:ind w:left="2333"/>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依据</w:t>
            </w:r>
          </w:p>
        </w:tc>
      </w:tr>
    </w:tbl>
    <w:p w14:paraId="7BB01775"/>
    <w:p w14:paraId="2D80E728">
      <w:pPr>
        <w:sectPr>
          <w:headerReference r:id="rId24" w:type="default"/>
          <w:footerReference r:id="rId25" w:type="default"/>
          <w:pgSz w:w="11907" w:h="16840"/>
          <w:pgMar w:top="1153" w:right="1046" w:bottom="1277" w:left="1146" w:header="919" w:footer="1114" w:gutter="0"/>
          <w:cols w:space="720" w:num="1"/>
        </w:sectPr>
      </w:pPr>
    </w:p>
    <w:p w14:paraId="4530A28D">
      <w:pPr>
        <w:spacing w:line="460" w:lineRule="auto"/>
      </w:pPr>
    </w:p>
    <w:p w14:paraId="75D8DDD3">
      <w:pPr>
        <w:spacing w:before="56" w:line="229" w:lineRule="auto"/>
        <w:ind w:left="520"/>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1BC2E95B">
      <w:pPr>
        <w:spacing w:line="14" w:lineRule="exact"/>
      </w:pPr>
    </w:p>
    <w:tbl>
      <w:tblPr>
        <w:tblStyle w:val="4"/>
        <w:tblW w:w="971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55"/>
        <w:gridCol w:w="2486"/>
        <w:gridCol w:w="5072"/>
      </w:tblGrid>
      <w:tr w14:paraId="2E79D9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2155" w:type="dxa"/>
            <w:tcBorders>
              <w:left w:val="nil"/>
            </w:tcBorders>
          </w:tcPr>
          <w:p w14:paraId="1F7F0BB9">
            <w:pPr>
              <w:spacing w:before="116" w:line="231" w:lineRule="auto"/>
              <w:ind w:left="873"/>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昼间</w:t>
            </w:r>
          </w:p>
        </w:tc>
        <w:tc>
          <w:tcPr>
            <w:tcW w:w="2486" w:type="dxa"/>
          </w:tcPr>
          <w:p w14:paraId="67F16C81">
            <w:pPr>
              <w:spacing w:before="116" w:line="228" w:lineRule="auto"/>
              <w:ind w:left="1041"/>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夜间</w:t>
            </w:r>
          </w:p>
        </w:tc>
        <w:tc>
          <w:tcPr>
            <w:tcW w:w="5072" w:type="dxa"/>
            <w:tcBorders>
              <w:right w:val="nil"/>
            </w:tcBorders>
          </w:tcPr>
          <w:p w14:paraId="33DC88D3"/>
        </w:tc>
      </w:tr>
      <w:tr w14:paraId="29B3FE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2155" w:type="dxa"/>
            <w:tcBorders>
              <w:left w:val="nil"/>
            </w:tcBorders>
          </w:tcPr>
          <w:p w14:paraId="13898040">
            <w:pPr>
              <w:spacing w:before="117" w:line="195" w:lineRule="auto"/>
              <w:ind w:left="98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0</w:t>
            </w:r>
          </w:p>
        </w:tc>
        <w:tc>
          <w:tcPr>
            <w:tcW w:w="2486" w:type="dxa"/>
          </w:tcPr>
          <w:p w14:paraId="1D09E2A1">
            <w:pPr>
              <w:spacing w:before="117" w:line="195" w:lineRule="auto"/>
              <w:ind w:left="1145"/>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c>
          <w:tcPr>
            <w:tcW w:w="5072" w:type="dxa"/>
            <w:tcBorders>
              <w:right w:val="nil"/>
            </w:tcBorders>
          </w:tcPr>
          <w:p w14:paraId="1F4809FD">
            <w:pPr>
              <w:spacing w:before="78" w:line="228" w:lineRule="auto"/>
              <w:ind w:left="398"/>
              <w:rPr>
                <w:rFonts w:ascii="宋体" w:hAnsi="宋体" w:eastAsia="宋体" w:cs="宋体"/>
                <w:sz w:val="20"/>
                <w:szCs w:val="20"/>
              </w:rPr>
            </w:pPr>
            <w:r>
              <w:rPr>
                <w:rFonts w:ascii="宋体" w:hAnsi="宋体" w:eastAsia="宋体" w:cs="宋体"/>
                <w:spacing w:val="6"/>
                <w:sz w:val="20"/>
                <w:szCs w:val="20"/>
              </w:rPr>
              <w:t>《声</w:t>
            </w:r>
            <w:r>
              <w:rPr>
                <w:rFonts w:ascii="宋体" w:hAnsi="宋体" w:eastAsia="宋体" w:cs="宋体"/>
                <w:spacing w:val="3"/>
                <w:sz w:val="20"/>
                <w:szCs w:val="20"/>
              </w:rPr>
              <w:t>环境质量标准》  (</w:t>
            </w:r>
            <w:r>
              <w:rPr>
                <w:rFonts w:ascii="Times New Roman" w:hAnsi="Times New Roman" w:eastAsia="Times New Roman" w:cs="Times New Roman"/>
                <w:sz w:val="20"/>
                <w:szCs w:val="20"/>
              </w:rPr>
              <w:t>GB</w:t>
            </w:r>
            <w:r>
              <w:rPr>
                <w:rFonts w:ascii="Times New Roman" w:hAnsi="Times New Roman" w:eastAsia="Times New Roman" w:cs="Times New Roman"/>
                <w:spacing w:val="3"/>
                <w:sz w:val="20"/>
                <w:szCs w:val="20"/>
              </w:rPr>
              <w:t>3096-2008</w:t>
            </w:r>
            <w:r>
              <w:rPr>
                <w:rFonts w:ascii="宋体" w:hAnsi="宋体" w:eastAsia="宋体" w:cs="宋体"/>
                <w:spacing w:val="3"/>
                <w:sz w:val="20"/>
                <w:szCs w:val="20"/>
              </w:rPr>
              <w:t xml:space="preserve">) </w:t>
            </w:r>
            <w:r>
              <w:rPr>
                <w:rFonts w:ascii="Times New Roman" w:hAnsi="Times New Roman" w:eastAsia="Times New Roman" w:cs="Times New Roman"/>
                <w:spacing w:val="3"/>
                <w:sz w:val="20"/>
                <w:szCs w:val="20"/>
              </w:rPr>
              <w:t xml:space="preserve">2 </w:t>
            </w:r>
            <w:r>
              <w:rPr>
                <w:rFonts w:ascii="宋体" w:hAnsi="宋体" w:eastAsia="宋体" w:cs="宋体"/>
                <w:spacing w:val="3"/>
                <w:sz w:val="20"/>
                <w:szCs w:val="20"/>
              </w:rPr>
              <w:t>类标准</w:t>
            </w:r>
          </w:p>
        </w:tc>
      </w:tr>
    </w:tbl>
    <w:p w14:paraId="792571EA">
      <w:pPr>
        <w:spacing w:before="36" w:line="227" w:lineRule="auto"/>
        <w:ind w:left="997"/>
        <w:rPr>
          <w:rFonts w:ascii="宋体" w:hAnsi="宋体" w:eastAsia="宋体" w:cs="宋体"/>
          <w:sz w:val="23"/>
          <w:szCs w:val="23"/>
        </w:rPr>
      </w:pPr>
      <w:r>
        <w:rPr>
          <w:rFonts w:ascii="Times New Roman" w:hAnsi="Times New Roman" w:eastAsia="Times New Roman" w:cs="Times New Roman"/>
          <w:spacing w:val="9"/>
          <w:sz w:val="23"/>
          <w:szCs w:val="23"/>
        </w:rPr>
        <w:t>4</w:t>
      </w:r>
      <w:r>
        <w:rPr>
          <w:rFonts w:ascii="宋体" w:hAnsi="宋体" w:eastAsia="宋体" w:cs="宋体"/>
          <w:spacing w:val="8"/>
          <w:sz w:val="23"/>
          <w:szCs w:val="23"/>
        </w:rPr>
        <w:t>) 地下水环境质量</w:t>
      </w:r>
    </w:p>
    <w:p w14:paraId="2C900543">
      <w:pPr>
        <w:spacing w:before="138" w:line="387" w:lineRule="auto"/>
        <w:ind w:left="524" w:right="504" w:firstLine="478"/>
        <w:rPr>
          <w:rFonts w:ascii="宋体" w:hAnsi="宋体" w:eastAsia="宋体" w:cs="宋体"/>
          <w:sz w:val="23"/>
          <w:szCs w:val="23"/>
        </w:rPr>
      </w:pPr>
      <w:r>
        <w:rPr>
          <w:rFonts w:ascii="宋体" w:hAnsi="宋体" w:eastAsia="宋体" w:cs="宋体"/>
          <w:spacing w:val="6"/>
          <w:sz w:val="23"/>
          <w:szCs w:val="23"/>
        </w:rPr>
        <w:t>评价区域地下水执行《地下水质量标准》 (</w:t>
      </w:r>
      <w:r>
        <w:rPr>
          <w:rFonts w:ascii="Times New Roman" w:hAnsi="Times New Roman" w:eastAsia="Times New Roman" w:cs="Times New Roman"/>
          <w:sz w:val="23"/>
          <w:szCs w:val="23"/>
        </w:rPr>
        <w:t>GB</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6"/>
          <w:sz w:val="23"/>
          <w:szCs w:val="23"/>
        </w:rPr>
        <w:t xml:space="preserve"> 14848-2017</w:t>
      </w:r>
      <w:r>
        <w:rPr>
          <w:rFonts w:ascii="宋体" w:hAnsi="宋体" w:eastAsia="宋体" w:cs="宋体"/>
          <w:spacing w:val="6"/>
          <w:sz w:val="23"/>
          <w:szCs w:val="23"/>
        </w:rPr>
        <w:t xml:space="preserve">) </w:t>
      </w:r>
      <w:r>
        <w:rPr>
          <w:rFonts w:ascii="Times New Roman" w:hAnsi="Times New Roman" w:eastAsia="Times New Roman" w:cs="Times New Roman"/>
          <w:sz w:val="23"/>
          <w:szCs w:val="23"/>
        </w:rPr>
        <w:t>III</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类标准，具体</w:t>
      </w:r>
      <w:r>
        <w:rPr>
          <w:rFonts w:ascii="宋体" w:hAnsi="宋体" w:eastAsia="宋体" w:cs="宋体"/>
          <w:sz w:val="23"/>
          <w:szCs w:val="23"/>
        </w:rPr>
        <w:t xml:space="preserve"> </w:t>
      </w:r>
      <w:r>
        <w:rPr>
          <w:rFonts w:ascii="宋体" w:hAnsi="宋体" w:eastAsia="宋体" w:cs="宋体"/>
          <w:spacing w:val="2"/>
          <w:sz w:val="23"/>
          <w:szCs w:val="23"/>
        </w:rPr>
        <w:t>标</w:t>
      </w:r>
      <w:r>
        <w:rPr>
          <w:rFonts w:ascii="宋体" w:hAnsi="宋体" w:eastAsia="宋体" w:cs="宋体"/>
          <w:spacing w:val="1"/>
          <w:sz w:val="23"/>
          <w:szCs w:val="23"/>
        </w:rPr>
        <w:t xml:space="preserve">准限值见表 </w:t>
      </w:r>
      <w:r>
        <w:rPr>
          <w:rFonts w:ascii="Times New Roman" w:hAnsi="Times New Roman" w:eastAsia="Times New Roman" w:cs="Times New Roman"/>
          <w:spacing w:val="1"/>
          <w:sz w:val="23"/>
          <w:szCs w:val="23"/>
        </w:rPr>
        <w:t>1.4-4</w:t>
      </w:r>
      <w:r>
        <w:rPr>
          <w:rFonts w:ascii="宋体" w:hAnsi="宋体" w:eastAsia="宋体" w:cs="宋体"/>
          <w:spacing w:val="1"/>
          <w:sz w:val="23"/>
          <w:szCs w:val="23"/>
        </w:rPr>
        <w:t>；</w:t>
      </w:r>
    </w:p>
    <w:p w14:paraId="2C269A82">
      <w:pPr>
        <w:spacing w:before="15" w:line="221" w:lineRule="auto"/>
        <w:ind w:left="3330"/>
        <w:rPr>
          <w:rFonts w:ascii="黑体" w:hAnsi="黑体" w:eastAsia="黑体" w:cs="黑体"/>
          <w:sz w:val="23"/>
          <w:szCs w:val="23"/>
        </w:rPr>
      </w:pPr>
      <w:r>
        <w:rPr>
          <w:rFonts w:ascii="黑体" w:hAnsi="黑体" w:eastAsia="黑体" w:cs="黑体"/>
          <w:spacing w:val="5"/>
          <w:sz w:val="23"/>
          <w:szCs w:val="23"/>
        </w:rPr>
        <w:t>表</w:t>
      </w:r>
      <w:r>
        <w:rPr>
          <w:rFonts w:ascii="黑体" w:hAnsi="黑体" w:eastAsia="黑体" w:cs="黑体"/>
          <w:spacing w:val="3"/>
          <w:sz w:val="23"/>
          <w:szCs w:val="23"/>
        </w:rPr>
        <w:t xml:space="preserve"> </w:t>
      </w:r>
      <w:r>
        <w:rPr>
          <w:rFonts w:ascii="Times New Roman" w:hAnsi="Times New Roman" w:eastAsia="Times New Roman" w:cs="Times New Roman"/>
          <w:spacing w:val="3"/>
          <w:sz w:val="23"/>
          <w:szCs w:val="23"/>
        </w:rPr>
        <w:t xml:space="preserve">1.4-4  </w:t>
      </w:r>
      <w:r>
        <w:rPr>
          <w:rFonts w:ascii="黑体" w:hAnsi="黑体" w:eastAsia="黑体" w:cs="黑体"/>
          <w:spacing w:val="3"/>
          <w:sz w:val="23"/>
          <w:szCs w:val="23"/>
        </w:rPr>
        <w:t>地下水环境质量标准</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74"/>
        <w:gridCol w:w="4076"/>
        <w:gridCol w:w="4062"/>
      </w:tblGrid>
      <w:tr w14:paraId="13E83B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574" w:type="dxa"/>
            <w:tcBorders>
              <w:left w:val="nil"/>
            </w:tcBorders>
          </w:tcPr>
          <w:p w14:paraId="6002256C">
            <w:pPr>
              <w:spacing w:before="144" w:line="229" w:lineRule="auto"/>
              <w:ind w:left="429"/>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4076" w:type="dxa"/>
          </w:tcPr>
          <w:p w14:paraId="4D6282EA">
            <w:pPr>
              <w:spacing w:before="144" w:line="228" w:lineRule="auto"/>
              <w:ind w:left="1834"/>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参数</w:t>
            </w:r>
          </w:p>
        </w:tc>
        <w:tc>
          <w:tcPr>
            <w:tcW w:w="4062" w:type="dxa"/>
            <w:tcBorders>
              <w:right w:val="nil"/>
            </w:tcBorders>
          </w:tcPr>
          <w:p w14:paraId="57452D50">
            <w:pPr>
              <w:spacing w:before="103" w:line="289" w:lineRule="exact"/>
              <w:ind w:left="1309"/>
              <w:rPr>
                <w:rFonts w:ascii="Times New Roman" w:hAnsi="Times New Roman" w:eastAsia="Times New Roman" w:cs="Times New Roman"/>
                <w:sz w:val="20"/>
                <w:szCs w:val="20"/>
              </w:rPr>
            </w:pPr>
            <w:r>
              <w:rPr>
                <w:rFonts w:ascii="宋体" w:hAnsi="宋体" w:eastAsia="宋体" w:cs="宋体"/>
                <w:spacing w:val="9"/>
                <w:position w:val="3"/>
                <w:sz w:val="20"/>
                <w:szCs w:val="20"/>
                <w14:textOutline w14:w="3797" w14:cap="sq" w14:cmpd="sng" w14:algn="ctr">
                  <w14:solidFill>
                    <w14:srgbClr w14:val="000000"/>
                  </w14:solidFill>
                  <w14:prstDash w14:val="solid"/>
                  <w14:bevel/>
                </w14:textOutline>
              </w:rPr>
              <w:t>标准限值</w:t>
            </w:r>
            <w:r>
              <w:rPr>
                <w:rFonts w:ascii="Times New Roman" w:hAnsi="Times New Roman" w:eastAsia="Times New Roman" w:cs="Times New Roman"/>
                <w:b/>
                <w:bCs/>
                <w:spacing w:val="9"/>
                <w:position w:val="3"/>
                <w:sz w:val="20"/>
                <w:szCs w:val="20"/>
              </w:rPr>
              <w:t>(</w:t>
            </w:r>
            <w:r>
              <w:rPr>
                <w:rFonts w:ascii="Times New Roman" w:hAnsi="Times New Roman" w:eastAsia="Times New Roman" w:cs="Times New Roman"/>
                <w:b/>
                <w:bCs/>
                <w:position w:val="3"/>
                <w:sz w:val="20"/>
                <w:szCs w:val="20"/>
              </w:rPr>
              <w:t>mg</w:t>
            </w:r>
            <w:r>
              <w:rPr>
                <w:rFonts w:ascii="Times New Roman" w:hAnsi="Times New Roman" w:eastAsia="Times New Roman" w:cs="Times New Roman"/>
                <w:b/>
                <w:bCs/>
                <w:spacing w:val="9"/>
                <w:position w:val="3"/>
                <w:sz w:val="20"/>
                <w:szCs w:val="20"/>
              </w:rPr>
              <w:t>/</w:t>
            </w:r>
            <w:r>
              <w:rPr>
                <w:rFonts w:ascii="Times New Roman" w:hAnsi="Times New Roman" w:eastAsia="Times New Roman" w:cs="Times New Roman"/>
                <w:b/>
                <w:bCs/>
                <w:position w:val="3"/>
                <w:sz w:val="20"/>
                <w:szCs w:val="20"/>
              </w:rPr>
              <w:t>L</w:t>
            </w:r>
            <w:r>
              <w:rPr>
                <w:rFonts w:ascii="Times New Roman" w:hAnsi="Times New Roman" w:eastAsia="Times New Roman" w:cs="Times New Roman"/>
                <w:b/>
                <w:bCs/>
                <w:spacing w:val="9"/>
                <w:position w:val="3"/>
                <w:sz w:val="20"/>
                <w:szCs w:val="20"/>
              </w:rPr>
              <w:t>)</w:t>
            </w:r>
          </w:p>
        </w:tc>
      </w:tr>
      <w:tr w14:paraId="090FF6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574" w:type="dxa"/>
            <w:tcBorders>
              <w:left w:val="nil"/>
            </w:tcBorders>
          </w:tcPr>
          <w:p w14:paraId="4F4E6DE6">
            <w:pPr>
              <w:spacing w:before="68" w:line="195" w:lineRule="auto"/>
              <w:ind w:left="75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4076" w:type="dxa"/>
          </w:tcPr>
          <w:p w14:paraId="0EDAE2C1">
            <w:pPr>
              <w:spacing w:before="70" w:line="194" w:lineRule="auto"/>
              <w:ind w:left="190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pH</w:t>
            </w:r>
          </w:p>
        </w:tc>
        <w:tc>
          <w:tcPr>
            <w:tcW w:w="4062" w:type="dxa"/>
            <w:tcBorders>
              <w:right w:val="nil"/>
            </w:tcBorders>
          </w:tcPr>
          <w:p w14:paraId="7E39C38D">
            <w:pPr>
              <w:spacing w:before="32" w:line="225" w:lineRule="auto"/>
              <w:ind w:left="1352"/>
              <w:rPr>
                <w:rFonts w:ascii="宋体" w:hAnsi="宋体" w:eastAsia="宋体" w:cs="宋体"/>
                <w:sz w:val="20"/>
                <w:szCs w:val="20"/>
              </w:rPr>
            </w:pPr>
            <w:r>
              <w:rPr>
                <w:rFonts w:ascii="Times New Roman" w:hAnsi="Times New Roman" w:eastAsia="Times New Roman" w:cs="Times New Roman"/>
                <w:spacing w:val="7"/>
                <w:sz w:val="20"/>
                <w:szCs w:val="20"/>
              </w:rPr>
              <w:t>6</w:t>
            </w:r>
            <w:r>
              <w:rPr>
                <w:rFonts w:ascii="Times New Roman" w:hAnsi="Times New Roman" w:eastAsia="Times New Roman" w:cs="Times New Roman"/>
                <w:spacing w:val="4"/>
                <w:sz w:val="20"/>
                <w:szCs w:val="20"/>
              </w:rPr>
              <w:t xml:space="preserve">.5~8.5  </w:t>
            </w:r>
            <w:r>
              <w:rPr>
                <w:rFonts w:ascii="宋体" w:hAnsi="宋体" w:eastAsia="宋体" w:cs="宋体"/>
                <w:spacing w:val="4"/>
                <w:sz w:val="20"/>
                <w:szCs w:val="20"/>
              </w:rPr>
              <w:t>(无量纲)</w:t>
            </w:r>
          </w:p>
        </w:tc>
      </w:tr>
      <w:tr w14:paraId="3926B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574" w:type="dxa"/>
            <w:tcBorders>
              <w:left w:val="nil"/>
            </w:tcBorders>
          </w:tcPr>
          <w:p w14:paraId="4469C2F7">
            <w:pPr>
              <w:spacing w:before="70" w:line="195" w:lineRule="auto"/>
              <w:ind w:left="73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4076" w:type="dxa"/>
          </w:tcPr>
          <w:p w14:paraId="28695E64">
            <w:pPr>
              <w:spacing w:before="34" w:line="225" w:lineRule="auto"/>
              <w:ind w:left="1832"/>
              <w:rPr>
                <w:rFonts w:ascii="宋体" w:hAnsi="宋体" w:eastAsia="宋体" w:cs="宋体"/>
                <w:sz w:val="20"/>
                <w:szCs w:val="20"/>
              </w:rPr>
            </w:pPr>
            <w:r>
              <w:rPr>
                <w:rFonts w:ascii="宋体" w:hAnsi="宋体" w:eastAsia="宋体" w:cs="宋体"/>
                <w:spacing w:val="5"/>
                <w:sz w:val="20"/>
                <w:szCs w:val="20"/>
              </w:rPr>
              <w:t>氨</w:t>
            </w:r>
            <w:r>
              <w:rPr>
                <w:rFonts w:ascii="宋体" w:hAnsi="宋体" w:eastAsia="宋体" w:cs="宋体"/>
                <w:spacing w:val="4"/>
                <w:sz w:val="20"/>
                <w:szCs w:val="20"/>
              </w:rPr>
              <w:t>氮</w:t>
            </w:r>
          </w:p>
        </w:tc>
        <w:tc>
          <w:tcPr>
            <w:tcW w:w="4062" w:type="dxa"/>
            <w:tcBorders>
              <w:right w:val="nil"/>
            </w:tcBorders>
          </w:tcPr>
          <w:p w14:paraId="6D56E1F1">
            <w:pPr>
              <w:spacing w:before="70" w:line="195" w:lineRule="auto"/>
              <w:ind w:left="190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.5</w:t>
            </w:r>
          </w:p>
        </w:tc>
      </w:tr>
      <w:tr w14:paraId="4C7D8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574" w:type="dxa"/>
            <w:tcBorders>
              <w:left w:val="nil"/>
            </w:tcBorders>
          </w:tcPr>
          <w:p w14:paraId="1E1C83E8">
            <w:pPr>
              <w:spacing w:before="68" w:line="195" w:lineRule="auto"/>
              <w:ind w:left="743"/>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4076" w:type="dxa"/>
          </w:tcPr>
          <w:p w14:paraId="46FD1979">
            <w:pPr>
              <w:spacing w:before="32" w:line="225" w:lineRule="auto"/>
              <w:ind w:left="1728"/>
              <w:rPr>
                <w:rFonts w:ascii="宋体" w:hAnsi="宋体" w:eastAsia="宋体" w:cs="宋体"/>
                <w:sz w:val="20"/>
                <w:szCs w:val="20"/>
              </w:rPr>
            </w:pPr>
            <w:r>
              <w:rPr>
                <w:rFonts w:ascii="宋体" w:hAnsi="宋体" w:eastAsia="宋体" w:cs="宋体"/>
                <w:spacing w:val="7"/>
                <w:sz w:val="20"/>
                <w:szCs w:val="20"/>
              </w:rPr>
              <w:t>硫酸盐</w:t>
            </w:r>
          </w:p>
        </w:tc>
        <w:tc>
          <w:tcPr>
            <w:tcW w:w="4062" w:type="dxa"/>
            <w:tcBorders>
              <w:right w:val="nil"/>
            </w:tcBorders>
          </w:tcPr>
          <w:p w14:paraId="76C707A7">
            <w:pPr>
              <w:spacing w:before="68" w:line="195" w:lineRule="auto"/>
              <w:ind w:left="187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50</w:t>
            </w:r>
          </w:p>
        </w:tc>
      </w:tr>
      <w:tr w14:paraId="39E86F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574" w:type="dxa"/>
            <w:tcBorders>
              <w:left w:val="nil"/>
            </w:tcBorders>
          </w:tcPr>
          <w:p w14:paraId="062CE263">
            <w:pPr>
              <w:spacing w:before="70" w:line="195" w:lineRule="auto"/>
              <w:ind w:left="73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4076" w:type="dxa"/>
          </w:tcPr>
          <w:p w14:paraId="02F5B6DA">
            <w:pPr>
              <w:spacing w:before="34" w:line="223" w:lineRule="auto"/>
              <w:ind w:left="1731"/>
              <w:rPr>
                <w:rFonts w:ascii="宋体" w:hAnsi="宋体" w:eastAsia="宋体" w:cs="宋体"/>
                <w:sz w:val="20"/>
                <w:szCs w:val="20"/>
              </w:rPr>
            </w:pPr>
            <w:r>
              <w:rPr>
                <w:rFonts w:ascii="宋体" w:hAnsi="宋体" w:eastAsia="宋体" w:cs="宋体"/>
                <w:spacing w:val="7"/>
                <w:sz w:val="20"/>
                <w:szCs w:val="20"/>
              </w:rPr>
              <w:t>硝</w:t>
            </w:r>
            <w:r>
              <w:rPr>
                <w:rFonts w:ascii="宋体" w:hAnsi="宋体" w:eastAsia="宋体" w:cs="宋体"/>
                <w:spacing w:val="6"/>
                <w:sz w:val="20"/>
                <w:szCs w:val="20"/>
              </w:rPr>
              <w:t>酸盐</w:t>
            </w:r>
          </w:p>
        </w:tc>
        <w:tc>
          <w:tcPr>
            <w:tcW w:w="4062" w:type="dxa"/>
            <w:tcBorders>
              <w:right w:val="nil"/>
            </w:tcBorders>
          </w:tcPr>
          <w:p w14:paraId="2774763B">
            <w:pPr>
              <w:spacing w:before="70" w:line="195" w:lineRule="auto"/>
              <w:ind w:left="1849"/>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4"/>
                <w:sz w:val="20"/>
                <w:szCs w:val="20"/>
              </w:rPr>
              <w:t>0.0</w:t>
            </w:r>
          </w:p>
        </w:tc>
      </w:tr>
      <w:tr w14:paraId="7AD36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574" w:type="dxa"/>
            <w:tcBorders>
              <w:left w:val="nil"/>
            </w:tcBorders>
          </w:tcPr>
          <w:p w14:paraId="2501F054">
            <w:pPr>
              <w:spacing w:before="73" w:line="192" w:lineRule="auto"/>
              <w:ind w:left="744"/>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4076" w:type="dxa"/>
          </w:tcPr>
          <w:p w14:paraId="566D91D1">
            <w:pPr>
              <w:spacing w:before="34" w:line="225" w:lineRule="auto"/>
              <w:ind w:left="1625"/>
              <w:rPr>
                <w:rFonts w:ascii="宋体" w:hAnsi="宋体" w:eastAsia="宋体" w:cs="宋体"/>
                <w:sz w:val="20"/>
                <w:szCs w:val="20"/>
              </w:rPr>
            </w:pPr>
            <w:r>
              <w:rPr>
                <w:rFonts w:ascii="宋体" w:hAnsi="宋体" w:eastAsia="宋体" w:cs="宋体"/>
                <w:spacing w:val="7"/>
                <w:sz w:val="20"/>
                <w:szCs w:val="20"/>
              </w:rPr>
              <w:t>亚硝酸</w:t>
            </w:r>
            <w:r>
              <w:rPr>
                <w:rFonts w:ascii="宋体" w:hAnsi="宋体" w:eastAsia="宋体" w:cs="宋体"/>
                <w:spacing w:val="6"/>
                <w:sz w:val="20"/>
                <w:szCs w:val="20"/>
              </w:rPr>
              <w:t>盐</w:t>
            </w:r>
          </w:p>
        </w:tc>
        <w:tc>
          <w:tcPr>
            <w:tcW w:w="4062" w:type="dxa"/>
            <w:tcBorders>
              <w:right w:val="nil"/>
            </w:tcBorders>
          </w:tcPr>
          <w:p w14:paraId="447FEDD2">
            <w:pPr>
              <w:spacing w:before="70" w:line="198" w:lineRule="auto"/>
              <w:ind w:left="186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1"/>
                <w:sz w:val="20"/>
                <w:szCs w:val="20"/>
              </w:rPr>
              <w:t>00</w:t>
            </w:r>
          </w:p>
        </w:tc>
      </w:tr>
      <w:tr w14:paraId="18EBD6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574" w:type="dxa"/>
            <w:tcBorders>
              <w:left w:val="nil"/>
            </w:tcBorders>
          </w:tcPr>
          <w:p w14:paraId="1AC4AE0B">
            <w:pPr>
              <w:spacing w:before="70" w:line="195" w:lineRule="auto"/>
              <w:ind w:left="743"/>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4076" w:type="dxa"/>
          </w:tcPr>
          <w:p w14:paraId="0655A08F">
            <w:pPr>
              <w:spacing w:before="34" w:line="224" w:lineRule="auto"/>
              <w:ind w:left="1415"/>
              <w:rPr>
                <w:rFonts w:ascii="宋体" w:hAnsi="宋体" w:eastAsia="宋体" w:cs="宋体"/>
                <w:sz w:val="20"/>
                <w:szCs w:val="20"/>
              </w:rPr>
            </w:pPr>
            <w:r>
              <w:rPr>
                <w:rFonts w:ascii="宋体" w:hAnsi="宋体" w:eastAsia="宋体" w:cs="宋体"/>
                <w:spacing w:val="8"/>
                <w:sz w:val="20"/>
                <w:szCs w:val="20"/>
              </w:rPr>
              <w:t>溶解性总固</w:t>
            </w:r>
            <w:r>
              <w:rPr>
                <w:rFonts w:ascii="宋体" w:hAnsi="宋体" w:eastAsia="宋体" w:cs="宋体"/>
                <w:spacing w:val="7"/>
                <w:sz w:val="20"/>
                <w:szCs w:val="20"/>
              </w:rPr>
              <w:t>体</w:t>
            </w:r>
          </w:p>
        </w:tc>
        <w:tc>
          <w:tcPr>
            <w:tcW w:w="4062" w:type="dxa"/>
            <w:tcBorders>
              <w:right w:val="nil"/>
            </w:tcBorders>
          </w:tcPr>
          <w:p w14:paraId="1DFD4925">
            <w:pPr>
              <w:spacing w:before="70" w:line="195" w:lineRule="auto"/>
              <w:ind w:left="184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1000</w:t>
            </w:r>
          </w:p>
        </w:tc>
      </w:tr>
      <w:tr w14:paraId="63187E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574" w:type="dxa"/>
            <w:tcBorders>
              <w:left w:val="nil"/>
            </w:tcBorders>
          </w:tcPr>
          <w:p w14:paraId="2AA1FF32">
            <w:pPr>
              <w:spacing w:before="72" w:line="192" w:lineRule="auto"/>
              <w:ind w:left="742"/>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4076" w:type="dxa"/>
          </w:tcPr>
          <w:p w14:paraId="23C7EF9E">
            <w:pPr>
              <w:spacing w:before="33" w:line="225" w:lineRule="auto"/>
              <w:ind w:left="1046"/>
              <w:rPr>
                <w:rFonts w:ascii="宋体" w:hAnsi="宋体" w:eastAsia="宋体" w:cs="宋体"/>
                <w:sz w:val="20"/>
                <w:szCs w:val="20"/>
              </w:rPr>
            </w:pPr>
            <w:r>
              <w:rPr>
                <w:rFonts w:ascii="宋体" w:hAnsi="宋体" w:eastAsia="宋体" w:cs="宋体"/>
                <w:spacing w:val="13"/>
                <w:sz w:val="20"/>
                <w:szCs w:val="20"/>
              </w:rPr>
              <w:t>耗</w:t>
            </w:r>
            <w:r>
              <w:rPr>
                <w:rFonts w:ascii="宋体" w:hAnsi="宋体" w:eastAsia="宋体" w:cs="宋体"/>
                <w:spacing w:val="9"/>
                <w:sz w:val="20"/>
                <w:szCs w:val="20"/>
              </w:rPr>
              <w:t>氧量  (</w:t>
            </w:r>
            <w:r>
              <w:rPr>
                <w:rFonts w:ascii="Times New Roman" w:hAnsi="Times New Roman" w:eastAsia="Times New Roman" w:cs="Times New Roman"/>
                <w:sz w:val="20"/>
                <w:szCs w:val="20"/>
              </w:rPr>
              <w:t>COD</w:t>
            </w:r>
            <w:r>
              <w:rPr>
                <w:rFonts w:ascii="Times New Roman" w:hAnsi="Times New Roman" w:eastAsia="Times New Roman" w:cs="Times New Roman"/>
                <w:position w:val="-1"/>
                <w:sz w:val="13"/>
                <w:szCs w:val="13"/>
              </w:rPr>
              <w:t>Mn</w:t>
            </w:r>
            <w:r>
              <w:rPr>
                <w:rFonts w:ascii="宋体" w:hAnsi="宋体" w:eastAsia="宋体" w:cs="宋体"/>
                <w:spacing w:val="9"/>
                <w:sz w:val="20"/>
                <w:szCs w:val="20"/>
              </w:rPr>
              <w:t>法)</w:t>
            </w:r>
          </w:p>
        </w:tc>
        <w:tc>
          <w:tcPr>
            <w:tcW w:w="4062" w:type="dxa"/>
            <w:tcBorders>
              <w:right w:val="nil"/>
            </w:tcBorders>
          </w:tcPr>
          <w:p w14:paraId="48403AB1">
            <w:pPr>
              <w:spacing w:before="69" w:line="195" w:lineRule="auto"/>
              <w:ind w:left="190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w:t>
            </w:r>
            <w:r>
              <w:rPr>
                <w:rFonts w:ascii="Times New Roman" w:hAnsi="Times New Roman" w:eastAsia="Times New Roman" w:cs="Times New Roman"/>
                <w:spacing w:val="2"/>
                <w:sz w:val="20"/>
                <w:szCs w:val="20"/>
              </w:rPr>
              <w:t>.0</w:t>
            </w:r>
          </w:p>
        </w:tc>
      </w:tr>
      <w:tr w14:paraId="457E4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574" w:type="dxa"/>
            <w:tcBorders>
              <w:left w:val="nil"/>
            </w:tcBorders>
          </w:tcPr>
          <w:p w14:paraId="3DB14BCD">
            <w:pPr>
              <w:spacing w:before="70" w:line="195" w:lineRule="auto"/>
              <w:ind w:left="747"/>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4076" w:type="dxa"/>
          </w:tcPr>
          <w:p w14:paraId="55B5C16D">
            <w:pPr>
              <w:spacing w:before="34" w:line="224" w:lineRule="auto"/>
              <w:ind w:left="1523"/>
              <w:rPr>
                <w:rFonts w:ascii="宋体" w:hAnsi="宋体" w:eastAsia="宋体" w:cs="宋体"/>
                <w:sz w:val="20"/>
                <w:szCs w:val="20"/>
              </w:rPr>
            </w:pPr>
            <w:r>
              <w:rPr>
                <w:rFonts w:ascii="宋体" w:hAnsi="宋体" w:eastAsia="宋体" w:cs="宋体"/>
                <w:spacing w:val="7"/>
                <w:sz w:val="20"/>
                <w:szCs w:val="20"/>
              </w:rPr>
              <w:t>总大肠菌群</w:t>
            </w:r>
          </w:p>
        </w:tc>
        <w:tc>
          <w:tcPr>
            <w:tcW w:w="4062" w:type="dxa"/>
            <w:tcBorders>
              <w:right w:val="nil"/>
            </w:tcBorders>
          </w:tcPr>
          <w:p w14:paraId="38CA5727">
            <w:pPr>
              <w:spacing w:line="276" w:lineRule="exact"/>
              <w:ind w:left="1126"/>
              <w:rPr>
                <w:rFonts w:ascii="宋体" w:hAnsi="宋体" w:eastAsia="宋体" w:cs="宋体"/>
                <w:sz w:val="20"/>
                <w:szCs w:val="20"/>
              </w:rPr>
            </w:pPr>
            <w:r>
              <w:rPr>
                <w:rFonts w:ascii="Times New Roman" w:hAnsi="Times New Roman" w:eastAsia="Times New Roman" w:cs="Times New Roman"/>
                <w:spacing w:val="2"/>
                <w:position w:val="1"/>
                <w:sz w:val="20"/>
                <w:szCs w:val="20"/>
              </w:rPr>
              <w:t>3.0</w:t>
            </w:r>
            <w:r>
              <w:rPr>
                <w:rFonts w:ascii="Times New Roman" w:hAnsi="Times New Roman" w:eastAsia="Times New Roman" w:cs="Times New Roman"/>
                <w:spacing w:val="1"/>
                <w:position w:val="1"/>
                <w:sz w:val="20"/>
                <w:szCs w:val="20"/>
              </w:rPr>
              <w:t xml:space="preserve">  </w:t>
            </w:r>
            <w:r>
              <w:rPr>
                <w:rFonts w:ascii="宋体" w:hAnsi="宋体" w:eastAsia="宋体" w:cs="宋体"/>
                <w:spacing w:val="1"/>
                <w:position w:val="1"/>
                <w:sz w:val="20"/>
                <w:szCs w:val="20"/>
              </w:rPr>
              <w:t>(</w:t>
            </w:r>
            <w:r>
              <w:rPr>
                <w:rFonts w:ascii="Times New Roman" w:hAnsi="Times New Roman" w:eastAsia="Times New Roman" w:cs="Times New Roman"/>
                <w:position w:val="1"/>
                <w:sz w:val="20"/>
                <w:szCs w:val="20"/>
              </w:rPr>
              <w:t>MPN</w:t>
            </w:r>
            <w:r>
              <w:rPr>
                <w:rFonts w:ascii="Times New Roman" w:hAnsi="Times New Roman" w:eastAsia="Times New Roman" w:cs="Times New Roman"/>
                <w:spacing w:val="1"/>
                <w:position w:val="1"/>
                <w:sz w:val="20"/>
                <w:szCs w:val="20"/>
              </w:rPr>
              <w:t>/ 100</w:t>
            </w:r>
            <w:r>
              <w:rPr>
                <w:rFonts w:ascii="Times New Roman" w:hAnsi="Times New Roman" w:eastAsia="Times New Roman" w:cs="Times New Roman"/>
                <w:position w:val="1"/>
                <w:sz w:val="20"/>
                <w:szCs w:val="20"/>
              </w:rPr>
              <w:t>ML</w:t>
            </w:r>
            <w:r>
              <w:rPr>
                <w:rFonts w:ascii="宋体" w:hAnsi="宋体" w:eastAsia="宋体" w:cs="宋体"/>
                <w:spacing w:val="1"/>
                <w:position w:val="1"/>
                <w:sz w:val="20"/>
                <w:szCs w:val="20"/>
              </w:rPr>
              <w:t>)</w:t>
            </w:r>
          </w:p>
        </w:tc>
      </w:tr>
      <w:tr w14:paraId="560658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574" w:type="dxa"/>
            <w:tcBorders>
              <w:left w:val="nil"/>
            </w:tcBorders>
          </w:tcPr>
          <w:p w14:paraId="17FE672E">
            <w:pPr>
              <w:spacing w:before="71" w:line="195" w:lineRule="auto"/>
              <w:ind w:left="742"/>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4076" w:type="dxa"/>
          </w:tcPr>
          <w:p w14:paraId="15C906C9">
            <w:pPr>
              <w:spacing w:before="35" w:line="223" w:lineRule="auto"/>
              <w:ind w:left="1735"/>
              <w:rPr>
                <w:rFonts w:ascii="宋体" w:hAnsi="宋体" w:eastAsia="宋体" w:cs="宋体"/>
                <w:sz w:val="20"/>
                <w:szCs w:val="20"/>
              </w:rPr>
            </w:pPr>
            <w:r>
              <w:rPr>
                <w:rFonts w:ascii="宋体" w:hAnsi="宋体" w:eastAsia="宋体" w:cs="宋体"/>
                <w:spacing w:val="5"/>
                <w:sz w:val="20"/>
                <w:szCs w:val="20"/>
              </w:rPr>
              <w:t>总硬度</w:t>
            </w:r>
          </w:p>
        </w:tc>
        <w:tc>
          <w:tcPr>
            <w:tcW w:w="4062" w:type="dxa"/>
            <w:tcBorders>
              <w:right w:val="nil"/>
            </w:tcBorders>
          </w:tcPr>
          <w:p w14:paraId="5C1613E6">
            <w:pPr>
              <w:spacing w:before="71" w:line="195" w:lineRule="auto"/>
              <w:ind w:left="187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450</w:t>
            </w:r>
          </w:p>
        </w:tc>
      </w:tr>
      <w:tr w14:paraId="1ADF5F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574" w:type="dxa"/>
            <w:tcBorders>
              <w:left w:val="nil"/>
            </w:tcBorders>
          </w:tcPr>
          <w:p w14:paraId="4C76D545">
            <w:pPr>
              <w:spacing w:before="70" w:line="195" w:lineRule="auto"/>
              <w:ind w:left="706"/>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7"/>
                <w:sz w:val="20"/>
                <w:szCs w:val="20"/>
              </w:rPr>
              <w:t>0</w:t>
            </w:r>
          </w:p>
        </w:tc>
        <w:tc>
          <w:tcPr>
            <w:tcW w:w="4076" w:type="dxa"/>
          </w:tcPr>
          <w:p w14:paraId="05E09A9A">
            <w:pPr>
              <w:spacing w:before="34" w:line="224" w:lineRule="auto"/>
              <w:ind w:left="1100"/>
              <w:rPr>
                <w:rFonts w:ascii="宋体" w:hAnsi="宋体" w:eastAsia="宋体" w:cs="宋体"/>
                <w:sz w:val="20"/>
                <w:szCs w:val="20"/>
              </w:rPr>
            </w:pPr>
            <w:r>
              <w:rPr>
                <w:rFonts w:ascii="宋体" w:hAnsi="宋体" w:eastAsia="宋体" w:cs="宋体"/>
                <w:spacing w:val="12"/>
                <w:sz w:val="20"/>
                <w:szCs w:val="20"/>
              </w:rPr>
              <w:t>色</w:t>
            </w:r>
            <w:r>
              <w:rPr>
                <w:rFonts w:ascii="宋体" w:hAnsi="宋体" w:eastAsia="宋体" w:cs="宋体"/>
                <w:spacing w:val="7"/>
                <w:sz w:val="20"/>
                <w:szCs w:val="20"/>
              </w:rPr>
              <w:t xml:space="preserve"> </w:t>
            </w:r>
            <w:r>
              <w:rPr>
                <w:rFonts w:ascii="宋体" w:hAnsi="宋体" w:eastAsia="宋体" w:cs="宋体"/>
                <w:spacing w:val="6"/>
                <w:sz w:val="20"/>
                <w:szCs w:val="20"/>
              </w:rPr>
              <w:t>(铂钴色度单位)</w:t>
            </w:r>
          </w:p>
        </w:tc>
        <w:tc>
          <w:tcPr>
            <w:tcW w:w="4062" w:type="dxa"/>
            <w:tcBorders>
              <w:right w:val="nil"/>
            </w:tcBorders>
          </w:tcPr>
          <w:p w14:paraId="1497B3F4">
            <w:pPr>
              <w:spacing w:before="70" w:line="195" w:lineRule="auto"/>
              <w:ind w:left="194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7"/>
                <w:sz w:val="20"/>
                <w:szCs w:val="20"/>
              </w:rPr>
              <w:t>5</w:t>
            </w:r>
          </w:p>
        </w:tc>
      </w:tr>
      <w:tr w14:paraId="283CD9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1574" w:type="dxa"/>
            <w:tcBorders>
              <w:left w:val="nil"/>
            </w:tcBorders>
          </w:tcPr>
          <w:p w14:paraId="0659ACA8">
            <w:pPr>
              <w:spacing w:before="71" w:line="195" w:lineRule="auto"/>
              <w:ind w:left="711"/>
              <w:rPr>
                <w:rFonts w:ascii="Times New Roman" w:hAnsi="Times New Roman" w:eastAsia="Times New Roman" w:cs="Times New Roman"/>
                <w:sz w:val="20"/>
                <w:szCs w:val="20"/>
              </w:rPr>
            </w:pPr>
            <w:r>
              <w:rPr>
                <w:rFonts w:ascii="Times New Roman" w:hAnsi="Times New Roman" w:eastAsia="Times New Roman" w:cs="Times New Roman"/>
                <w:spacing w:val="-11"/>
                <w:sz w:val="20"/>
                <w:szCs w:val="20"/>
              </w:rPr>
              <w:t>1</w:t>
            </w:r>
            <w:r>
              <w:rPr>
                <w:rFonts w:ascii="Times New Roman" w:hAnsi="Times New Roman" w:eastAsia="Times New Roman" w:cs="Times New Roman"/>
                <w:spacing w:val="-9"/>
                <w:sz w:val="20"/>
                <w:szCs w:val="20"/>
              </w:rPr>
              <w:t>1</w:t>
            </w:r>
          </w:p>
        </w:tc>
        <w:tc>
          <w:tcPr>
            <w:tcW w:w="4076" w:type="dxa"/>
          </w:tcPr>
          <w:p w14:paraId="39415BE9">
            <w:pPr>
              <w:spacing w:line="279" w:lineRule="exact"/>
              <w:ind w:left="1486"/>
              <w:rPr>
                <w:rFonts w:ascii="Times New Roman" w:hAnsi="Times New Roman" w:eastAsia="Times New Roman" w:cs="Times New Roman"/>
                <w:sz w:val="20"/>
                <w:szCs w:val="20"/>
              </w:rPr>
            </w:pPr>
            <w:r>
              <w:rPr>
                <w:rFonts w:ascii="宋体" w:hAnsi="宋体" w:eastAsia="宋体" w:cs="宋体"/>
                <w:spacing w:val="10"/>
                <w:position w:val="1"/>
                <w:sz w:val="20"/>
                <w:szCs w:val="20"/>
              </w:rPr>
              <w:t>浑浊度</w:t>
            </w:r>
            <w:r>
              <w:rPr>
                <w:rFonts w:ascii="Times New Roman" w:hAnsi="Times New Roman" w:eastAsia="Times New Roman" w:cs="Times New Roman"/>
                <w:spacing w:val="9"/>
                <w:position w:val="1"/>
                <w:sz w:val="20"/>
                <w:szCs w:val="20"/>
              </w:rPr>
              <w:t>/</w:t>
            </w:r>
            <w:r>
              <w:rPr>
                <w:rFonts w:ascii="Times New Roman" w:hAnsi="Times New Roman" w:eastAsia="Times New Roman" w:cs="Times New Roman"/>
                <w:position w:val="1"/>
                <w:sz w:val="20"/>
                <w:szCs w:val="20"/>
              </w:rPr>
              <w:t>NTU</w:t>
            </w:r>
          </w:p>
        </w:tc>
        <w:tc>
          <w:tcPr>
            <w:tcW w:w="4062" w:type="dxa"/>
            <w:tcBorders>
              <w:right w:val="nil"/>
            </w:tcBorders>
          </w:tcPr>
          <w:p w14:paraId="1B6FB9F0">
            <w:pPr>
              <w:spacing w:before="71" w:line="195" w:lineRule="auto"/>
              <w:ind w:left="1985"/>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r>
    </w:tbl>
    <w:p w14:paraId="417D1884">
      <w:pPr>
        <w:spacing w:before="36" w:line="228" w:lineRule="auto"/>
        <w:ind w:left="885"/>
        <w:rPr>
          <w:rFonts w:ascii="宋体" w:hAnsi="宋体" w:eastAsia="宋体" w:cs="宋体"/>
          <w:sz w:val="23"/>
          <w:szCs w:val="23"/>
        </w:rPr>
      </w:pPr>
      <w:r>
        <w:rPr>
          <w:rFonts w:ascii="Times New Roman" w:hAnsi="Times New Roman" w:eastAsia="Times New Roman" w:cs="Times New Roman"/>
          <w:spacing w:val="7"/>
          <w:sz w:val="23"/>
          <w:szCs w:val="23"/>
        </w:rPr>
        <w:t>5</w:t>
      </w:r>
      <w:r>
        <w:rPr>
          <w:rFonts w:ascii="宋体" w:hAnsi="宋体" w:eastAsia="宋体" w:cs="宋体"/>
          <w:spacing w:val="7"/>
          <w:sz w:val="23"/>
          <w:szCs w:val="23"/>
        </w:rPr>
        <w:t>) 土壤质量标准</w:t>
      </w:r>
    </w:p>
    <w:p w14:paraId="772267E0">
      <w:pPr>
        <w:spacing w:before="183" w:line="466" w:lineRule="exact"/>
        <w:ind w:left="884"/>
        <w:rPr>
          <w:rFonts w:ascii="宋体" w:hAnsi="宋体" w:eastAsia="宋体" w:cs="宋体"/>
          <w:sz w:val="23"/>
          <w:szCs w:val="23"/>
        </w:rPr>
      </w:pPr>
      <w:r>
        <w:rPr>
          <w:rFonts w:ascii="宋体" w:hAnsi="宋体" w:eastAsia="宋体" w:cs="宋体"/>
          <w:spacing w:val="32"/>
          <w:position w:val="17"/>
          <w:sz w:val="23"/>
          <w:szCs w:val="23"/>
        </w:rPr>
        <w:t xml:space="preserve">土壤执行《土壤环境质量标准 农用地土壤污染风险管控标准 (试行) </w:t>
      </w:r>
      <w:r>
        <w:rPr>
          <w:rFonts w:ascii="宋体" w:hAnsi="宋体" w:eastAsia="宋体" w:cs="宋体"/>
          <w:spacing w:val="26"/>
          <w:position w:val="17"/>
          <w:sz w:val="23"/>
          <w:szCs w:val="23"/>
        </w:rPr>
        <w:t>》</w:t>
      </w:r>
    </w:p>
    <w:p w14:paraId="7DF7FA1A">
      <w:pPr>
        <w:spacing w:line="227" w:lineRule="auto"/>
        <w:ind w:left="534"/>
        <w:rPr>
          <w:rFonts w:ascii="宋体" w:hAnsi="宋体" w:eastAsia="宋体" w:cs="宋体"/>
          <w:sz w:val="23"/>
          <w:szCs w:val="23"/>
        </w:rPr>
      </w:pPr>
      <w:r>
        <w:rPr>
          <w:rFonts w:ascii="宋体" w:hAnsi="宋体" w:eastAsia="宋体" w:cs="宋体"/>
          <w:spacing w:val="11"/>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11"/>
          <w:sz w:val="23"/>
          <w:szCs w:val="23"/>
        </w:rPr>
        <w:t>15618-2018</w:t>
      </w:r>
      <w:r>
        <w:rPr>
          <w:rFonts w:ascii="宋体" w:hAnsi="宋体" w:eastAsia="宋体" w:cs="宋体"/>
          <w:spacing w:val="11"/>
          <w:sz w:val="23"/>
          <w:szCs w:val="23"/>
        </w:rPr>
        <w:t>) 农用地土壤污染风险筛选值，具体标准限值见下表</w:t>
      </w:r>
      <w:r>
        <w:rPr>
          <w:rFonts w:ascii="宋体" w:hAnsi="宋体" w:eastAsia="宋体" w:cs="宋体"/>
          <w:spacing w:val="10"/>
          <w:sz w:val="23"/>
          <w:szCs w:val="23"/>
        </w:rPr>
        <w:t>；</w:t>
      </w:r>
    </w:p>
    <w:p w14:paraId="2D42AFDB">
      <w:pPr>
        <w:spacing w:before="140" w:line="322" w:lineRule="exact"/>
        <w:ind w:left="2423"/>
        <w:rPr>
          <w:rFonts w:ascii="Times New Roman" w:hAnsi="Times New Roman" w:eastAsia="Times New Roman" w:cs="Times New Roman"/>
          <w:sz w:val="23"/>
          <w:szCs w:val="23"/>
        </w:rPr>
      </w:pPr>
      <w:r>
        <w:rPr>
          <w:rFonts w:ascii="黑体" w:hAnsi="黑体" w:eastAsia="黑体" w:cs="黑体"/>
          <w:spacing w:val="5"/>
          <w:position w:val="3"/>
          <w:sz w:val="23"/>
          <w:szCs w:val="23"/>
        </w:rPr>
        <w:t xml:space="preserve">表 </w:t>
      </w:r>
      <w:r>
        <w:rPr>
          <w:rFonts w:ascii="Times New Roman" w:hAnsi="Times New Roman" w:eastAsia="Times New Roman" w:cs="Times New Roman"/>
          <w:spacing w:val="5"/>
          <w:position w:val="3"/>
          <w:sz w:val="23"/>
          <w:szCs w:val="23"/>
        </w:rPr>
        <w:t xml:space="preserve">1.4-5  </w:t>
      </w:r>
      <w:r>
        <w:rPr>
          <w:rFonts w:ascii="黑体" w:hAnsi="黑体" w:eastAsia="黑体" w:cs="黑体"/>
          <w:spacing w:val="5"/>
          <w:position w:val="3"/>
          <w:sz w:val="23"/>
          <w:szCs w:val="23"/>
        </w:rPr>
        <w:t>土壤环境质量标准      单位：</w:t>
      </w:r>
      <w:r>
        <w:rPr>
          <w:rFonts w:ascii="Times New Roman" w:hAnsi="Times New Roman" w:eastAsia="Times New Roman" w:cs="Times New Roman"/>
          <w:position w:val="3"/>
          <w:sz w:val="23"/>
          <w:szCs w:val="23"/>
        </w:rPr>
        <w:t>mg</w:t>
      </w:r>
      <w:r>
        <w:rPr>
          <w:rFonts w:ascii="Times New Roman" w:hAnsi="Times New Roman" w:eastAsia="Times New Roman" w:cs="Times New Roman"/>
          <w:spacing w:val="1"/>
          <w:position w:val="3"/>
          <w:sz w:val="23"/>
          <w:szCs w:val="23"/>
        </w:rPr>
        <w:t>/</w:t>
      </w:r>
      <w:r>
        <w:rPr>
          <w:rFonts w:ascii="Times New Roman" w:hAnsi="Times New Roman" w:eastAsia="Times New Roman" w:cs="Times New Roman"/>
          <w:position w:val="3"/>
          <w:sz w:val="23"/>
          <w:szCs w:val="23"/>
        </w:rPr>
        <w:t>kg</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0"/>
        <w:gridCol w:w="664"/>
        <w:gridCol w:w="996"/>
        <w:gridCol w:w="1493"/>
        <w:gridCol w:w="2158"/>
        <w:gridCol w:w="2182"/>
        <w:gridCol w:w="1389"/>
      </w:tblGrid>
      <w:tr w14:paraId="156A98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830" w:type="dxa"/>
            <w:vMerge w:val="restart"/>
            <w:tcBorders>
              <w:left w:val="nil"/>
              <w:bottom w:val="nil"/>
            </w:tcBorders>
          </w:tcPr>
          <w:p w14:paraId="72613A80">
            <w:pPr>
              <w:spacing w:before="194" w:line="229" w:lineRule="auto"/>
              <w:ind w:left="115"/>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1660" w:type="dxa"/>
            <w:gridSpan w:val="2"/>
            <w:vMerge w:val="restart"/>
            <w:tcBorders>
              <w:bottom w:val="nil"/>
            </w:tcBorders>
          </w:tcPr>
          <w:p w14:paraId="170E2774">
            <w:pPr>
              <w:spacing w:before="194" w:line="228" w:lineRule="auto"/>
              <w:ind w:left="219"/>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污</w:t>
            </w:r>
            <w:r>
              <w:rPr>
                <w:rFonts w:ascii="宋体" w:hAnsi="宋体" w:eastAsia="宋体" w:cs="宋体"/>
                <w:spacing w:val="8"/>
                <w:sz w:val="20"/>
                <w:szCs w:val="20"/>
                <w14:textOutline w14:w="3797" w14:cap="sq" w14:cmpd="sng" w14:algn="ctr">
                  <w14:solidFill>
                    <w14:srgbClr w14:val="000000"/>
                  </w14:solidFill>
                  <w14:prstDash w14:val="solid"/>
                  <w14:bevel/>
                </w14:textOutline>
              </w:rPr>
              <w:t>染物项目</w:t>
            </w:r>
          </w:p>
        </w:tc>
        <w:tc>
          <w:tcPr>
            <w:tcW w:w="7222" w:type="dxa"/>
            <w:gridSpan w:val="4"/>
            <w:tcBorders>
              <w:right w:val="nil"/>
            </w:tcBorders>
          </w:tcPr>
          <w:p w14:paraId="150C56CC">
            <w:pPr>
              <w:spacing w:before="55" w:line="227" w:lineRule="auto"/>
              <w:ind w:left="2319"/>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风</w:t>
            </w:r>
            <w:r>
              <w:rPr>
                <w:rFonts w:ascii="宋体" w:hAnsi="宋体" w:eastAsia="宋体" w:cs="宋体"/>
                <w:spacing w:val="8"/>
                <w:sz w:val="20"/>
                <w:szCs w:val="20"/>
                <w14:textOutline w14:w="3797" w14:cap="sq" w14:cmpd="sng" w14:algn="ctr">
                  <w14:solidFill>
                    <w14:srgbClr w14:val="000000"/>
                  </w14:solidFill>
                  <w14:prstDash w14:val="solid"/>
                  <w14:bevel/>
                </w14:textOutline>
              </w:rPr>
              <w:t>险筛选值</w:t>
            </w:r>
          </w:p>
        </w:tc>
      </w:tr>
      <w:tr w14:paraId="459C6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30" w:type="dxa"/>
            <w:vMerge w:val="continue"/>
            <w:tcBorders>
              <w:top w:val="nil"/>
              <w:left w:val="nil"/>
            </w:tcBorders>
          </w:tcPr>
          <w:p w14:paraId="35745E91"/>
        </w:tc>
        <w:tc>
          <w:tcPr>
            <w:tcW w:w="1660" w:type="dxa"/>
            <w:gridSpan w:val="2"/>
            <w:vMerge w:val="continue"/>
            <w:tcBorders>
              <w:top w:val="nil"/>
            </w:tcBorders>
          </w:tcPr>
          <w:p w14:paraId="4C5CAAB4"/>
        </w:tc>
        <w:tc>
          <w:tcPr>
            <w:tcW w:w="1493" w:type="dxa"/>
          </w:tcPr>
          <w:p w14:paraId="1A0DA6EA">
            <w:pPr>
              <w:spacing w:line="277" w:lineRule="exact"/>
              <w:ind w:left="319"/>
              <w:rPr>
                <w:rFonts w:ascii="Times New Roman" w:hAnsi="Times New Roman" w:eastAsia="Times New Roman" w:cs="Times New Roman"/>
                <w:sz w:val="20"/>
                <w:szCs w:val="20"/>
              </w:rPr>
            </w:pPr>
            <w:r>
              <w:rPr>
                <w:rFonts w:ascii="Times New Roman" w:hAnsi="Times New Roman" w:eastAsia="Times New Roman" w:cs="Times New Roman"/>
                <w:b/>
                <w:bCs/>
                <w:position w:val="4"/>
                <w:sz w:val="20"/>
                <w:szCs w:val="20"/>
              </w:rPr>
              <w:t>pH</w:t>
            </w:r>
            <w:r>
              <w:rPr>
                <w:rFonts w:ascii="Times New Roman" w:hAnsi="Times New Roman" w:eastAsia="Times New Roman" w:cs="Times New Roman"/>
                <w:b/>
                <w:bCs/>
                <w:spacing w:val="7"/>
                <w:position w:val="4"/>
                <w:sz w:val="20"/>
                <w:szCs w:val="20"/>
              </w:rPr>
              <w:t>≤</w:t>
            </w:r>
            <w:r>
              <w:rPr>
                <w:rFonts w:ascii="Times New Roman" w:hAnsi="Times New Roman" w:eastAsia="Times New Roman" w:cs="Times New Roman"/>
                <w:b/>
                <w:bCs/>
                <w:spacing w:val="6"/>
                <w:position w:val="4"/>
                <w:sz w:val="20"/>
                <w:szCs w:val="20"/>
              </w:rPr>
              <w:t>5.5</w:t>
            </w:r>
          </w:p>
        </w:tc>
        <w:tc>
          <w:tcPr>
            <w:tcW w:w="2158" w:type="dxa"/>
          </w:tcPr>
          <w:p w14:paraId="18C92B96">
            <w:pPr>
              <w:spacing w:line="277" w:lineRule="exact"/>
              <w:ind w:left="322"/>
              <w:rPr>
                <w:rFonts w:ascii="Times New Roman" w:hAnsi="Times New Roman" w:eastAsia="Times New Roman" w:cs="Times New Roman"/>
                <w:sz w:val="20"/>
                <w:szCs w:val="20"/>
              </w:rPr>
            </w:pPr>
            <w:r>
              <w:rPr>
                <w:rFonts w:ascii="Times New Roman" w:hAnsi="Times New Roman" w:eastAsia="Times New Roman" w:cs="Times New Roman"/>
                <w:b/>
                <w:bCs/>
                <w:spacing w:val="6"/>
                <w:position w:val="4"/>
                <w:sz w:val="20"/>
                <w:szCs w:val="20"/>
              </w:rPr>
              <w:t>5.5</w:t>
            </w:r>
            <w:r>
              <w:rPr>
                <w:rFonts w:ascii="宋体" w:hAnsi="宋体" w:eastAsia="宋体" w:cs="宋体"/>
                <w:spacing w:val="6"/>
                <w:position w:val="4"/>
                <w:sz w:val="20"/>
                <w:szCs w:val="20"/>
                <w14:textOutline w14:w="3644" w14:cap="sq" w14:cmpd="sng" w14:algn="ctr">
                  <w14:solidFill>
                    <w14:srgbClr w14:val="000000"/>
                  </w14:solidFill>
                  <w14:prstDash w14:val="solid"/>
                  <w14:bevel/>
                </w14:textOutline>
              </w:rPr>
              <w:t>＜</w:t>
            </w:r>
            <w:r>
              <w:rPr>
                <w:rFonts w:ascii="Times New Roman" w:hAnsi="Times New Roman" w:eastAsia="Times New Roman" w:cs="Times New Roman"/>
                <w:b/>
                <w:bCs/>
                <w:position w:val="4"/>
                <w:sz w:val="20"/>
                <w:szCs w:val="20"/>
              </w:rPr>
              <w:t>pH</w:t>
            </w:r>
            <w:r>
              <w:rPr>
                <w:rFonts w:ascii="Times New Roman" w:hAnsi="Times New Roman" w:eastAsia="Times New Roman" w:cs="Times New Roman"/>
                <w:b/>
                <w:bCs/>
                <w:spacing w:val="6"/>
                <w:position w:val="4"/>
                <w:sz w:val="20"/>
                <w:szCs w:val="20"/>
              </w:rPr>
              <w:t>≤6.5</w:t>
            </w:r>
          </w:p>
        </w:tc>
        <w:tc>
          <w:tcPr>
            <w:tcW w:w="2182" w:type="dxa"/>
          </w:tcPr>
          <w:p w14:paraId="7899E564">
            <w:pPr>
              <w:spacing w:line="277" w:lineRule="exact"/>
              <w:ind w:left="322"/>
              <w:rPr>
                <w:rFonts w:ascii="Times New Roman" w:hAnsi="Times New Roman" w:eastAsia="Times New Roman" w:cs="Times New Roman"/>
                <w:sz w:val="20"/>
                <w:szCs w:val="20"/>
              </w:rPr>
            </w:pPr>
            <w:r>
              <w:rPr>
                <w:rFonts w:ascii="Times New Roman" w:hAnsi="Times New Roman" w:eastAsia="Times New Roman" w:cs="Times New Roman"/>
                <w:b/>
                <w:bCs/>
                <w:spacing w:val="6"/>
                <w:position w:val="4"/>
                <w:sz w:val="20"/>
                <w:szCs w:val="20"/>
              </w:rPr>
              <w:t>6.5</w:t>
            </w:r>
            <w:r>
              <w:rPr>
                <w:rFonts w:ascii="宋体" w:hAnsi="宋体" w:eastAsia="宋体" w:cs="宋体"/>
                <w:spacing w:val="6"/>
                <w:position w:val="4"/>
                <w:sz w:val="20"/>
                <w:szCs w:val="20"/>
                <w14:textOutline w14:w="3644" w14:cap="sq" w14:cmpd="sng" w14:algn="ctr">
                  <w14:solidFill>
                    <w14:srgbClr w14:val="000000"/>
                  </w14:solidFill>
                  <w14:prstDash w14:val="solid"/>
                  <w14:bevel/>
                </w14:textOutline>
              </w:rPr>
              <w:t>＜</w:t>
            </w:r>
            <w:r>
              <w:rPr>
                <w:rFonts w:ascii="Times New Roman" w:hAnsi="Times New Roman" w:eastAsia="Times New Roman" w:cs="Times New Roman"/>
                <w:b/>
                <w:bCs/>
                <w:position w:val="4"/>
                <w:sz w:val="20"/>
                <w:szCs w:val="20"/>
              </w:rPr>
              <w:t>pH</w:t>
            </w:r>
            <w:r>
              <w:rPr>
                <w:rFonts w:ascii="Times New Roman" w:hAnsi="Times New Roman" w:eastAsia="Times New Roman" w:cs="Times New Roman"/>
                <w:b/>
                <w:bCs/>
                <w:spacing w:val="6"/>
                <w:position w:val="4"/>
                <w:sz w:val="20"/>
                <w:szCs w:val="20"/>
              </w:rPr>
              <w:t>≤7.</w:t>
            </w:r>
            <w:r>
              <w:rPr>
                <w:rFonts w:ascii="Times New Roman" w:hAnsi="Times New Roman" w:eastAsia="Times New Roman" w:cs="Times New Roman"/>
                <w:b/>
                <w:bCs/>
                <w:spacing w:val="5"/>
                <w:position w:val="4"/>
                <w:sz w:val="20"/>
                <w:szCs w:val="20"/>
              </w:rPr>
              <w:t>5</w:t>
            </w:r>
          </w:p>
        </w:tc>
        <w:tc>
          <w:tcPr>
            <w:tcW w:w="1389" w:type="dxa"/>
            <w:tcBorders>
              <w:right w:val="nil"/>
            </w:tcBorders>
          </w:tcPr>
          <w:p w14:paraId="43022D9B">
            <w:pPr>
              <w:spacing w:before="29" w:line="221" w:lineRule="auto"/>
              <w:ind w:left="215"/>
              <w:rPr>
                <w:rFonts w:ascii="Times New Roman" w:hAnsi="Times New Roman" w:eastAsia="Times New Roman" w:cs="Times New Roman"/>
                <w:sz w:val="20"/>
                <w:szCs w:val="20"/>
              </w:rPr>
            </w:pPr>
            <w:r>
              <w:rPr>
                <w:rFonts w:ascii="Times New Roman" w:hAnsi="Times New Roman" w:eastAsia="Times New Roman" w:cs="Times New Roman"/>
                <w:b/>
                <w:bCs/>
                <w:sz w:val="20"/>
                <w:szCs w:val="20"/>
              </w:rPr>
              <w:t>pH</w:t>
            </w:r>
            <w:r>
              <w:rPr>
                <w:rFonts w:ascii="宋体" w:hAnsi="宋体" w:eastAsia="宋体" w:cs="宋体"/>
                <w:spacing w:val="8"/>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spacing w:val="8"/>
                <w:sz w:val="20"/>
                <w:szCs w:val="20"/>
              </w:rPr>
              <w:t>7.</w:t>
            </w:r>
            <w:r>
              <w:rPr>
                <w:rFonts w:ascii="Times New Roman" w:hAnsi="Times New Roman" w:eastAsia="Times New Roman" w:cs="Times New Roman"/>
                <w:b/>
                <w:bCs/>
                <w:spacing w:val="7"/>
                <w:sz w:val="20"/>
                <w:szCs w:val="20"/>
              </w:rPr>
              <w:t>5</w:t>
            </w:r>
          </w:p>
        </w:tc>
      </w:tr>
      <w:tr w14:paraId="3B3D2C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30" w:type="dxa"/>
            <w:vMerge w:val="restart"/>
            <w:tcBorders>
              <w:left w:val="nil"/>
              <w:bottom w:val="nil"/>
            </w:tcBorders>
          </w:tcPr>
          <w:p w14:paraId="1CE61E8C">
            <w:pPr>
              <w:spacing w:before="208" w:line="195" w:lineRule="auto"/>
              <w:ind w:left="387"/>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664" w:type="dxa"/>
            <w:vMerge w:val="restart"/>
            <w:tcBorders>
              <w:bottom w:val="nil"/>
            </w:tcBorders>
          </w:tcPr>
          <w:p w14:paraId="432EAF76">
            <w:pPr>
              <w:spacing w:before="171" w:line="231" w:lineRule="auto"/>
              <w:ind w:left="230"/>
              <w:rPr>
                <w:rFonts w:ascii="宋体" w:hAnsi="宋体" w:eastAsia="宋体" w:cs="宋体"/>
                <w:sz w:val="20"/>
                <w:szCs w:val="20"/>
              </w:rPr>
            </w:pPr>
            <w:r>
              <w:rPr>
                <w:rFonts w:ascii="宋体" w:hAnsi="宋体" w:eastAsia="宋体" w:cs="宋体"/>
                <w:spacing w:val="2"/>
                <w:sz w:val="20"/>
                <w:szCs w:val="20"/>
              </w:rPr>
              <w:t>镉</w:t>
            </w:r>
          </w:p>
        </w:tc>
        <w:tc>
          <w:tcPr>
            <w:tcW w:w="996" w:type="dxa"/>
          </w:tcPr>
          <w:p w14:paraId="710E0A18">
            <w:pPr>
              <w:spacing w:before="30" w:line="228" w:lineRule="auto"/>
              <w:ind w:left="295"/>
              <w:rPr>
                <w:rFonts w:ascii="宋体" w:hAnsi="宋体" w:eastAsia="宋体" w:cs="宋体"/>
                <w:sz w:val="20"/>
                <w:szCs w:val="20"/>
              </w:rPr>
            </w:pPr>
            <w:r>
              <w:rPr>
                <w:rFonts w:ascii="宋体" w:hAnsi="宋体" w:eastAsia="宋体" w:cs="宋体"/>
                <w:spacing w:val="4"/>
                <w:sz w:val="20"/>
                <w:szCs w:val="20"/>
              </w:rPr>
              <w:t>水</w:t>
            </w:r>
            <w:r>
              <w:rPr>
                <w:rFonts w:ascii="宋体" w:hAnsi="宋体" w:eastAsia="宋体" w:cs="宋体"/>
                <w:spacing w:val="3"/>
                <w:sz w:val="20"/>
                <w:szCs w:val="20"/>
              </w:rPr>
              <w:t>田</w:t>
            </w:r>
          </w:p>
        </w:tc>
        <w:tc>
          <w:tcPr>
            <w:tcW w:w="1493" w:type="dxa"/>
          </w:tcPr>
          <w:p w14:paraId="42A63ED1">
            <w:pPr>
              <w:spacing w:before="67" w:line="195" w:lineRule="auto"/>
              <w:ind w:left="62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0.3</w:t>
            </w:r>
          </w:p>
        </w:tc>
        <w:tc>
          <w:tcPr>
            <w:tcW w:w="2158" w:type="dxa"/>
          </w:tcPr>
          <w:p w14:paraId="7EC4BAC1">
            <w:pPr>
              <w:spacing w:before="67" w:line="195" w:lineRule="auto"/>
              <w:ind w:left="95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w:t>
            </w:r>
            <w:r>
              <w:rPr>
                <w:rFonts w:ascii="Times New Roman" w:hAnsi="Times New Roman" w:eastAsia="Times New Roman" w:cs="Times New Roman"/>
                <w:spacing w:val="1"/>
                <w:sz w:val="20"/>
                <w:szCs w:val="20"/>
              </w:rPr>
              <w:t>4</w:t>
            </w:r>
          </w:p>
        </w:tc>
        <w:tc>
          <w:tcPr>
            <w:tcW w:w="2182" w:type="dxa"/>
          </w:tcPr>
          <w:p w14:paraId="5C3D6E5B">
            <w:pPr>
              <w:spacing w:before="67" w:line="195" w:lineRule="auto"/>
              <w:ind w:left="96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0.6</w:t>
            </w:r>
          </w:p>
        </w:tc>
        <w:tc>
          <w:tcPr>
            <w:tcW w:w="1389" w:type="dxa"/>
            <w:tcBorders>
              <w:right w:val="nil"/>
            </w:tcBorders>
          </w:tcPr>
          <w:p w14:paraId="3BBF76CB">
            <w:pPr>
              <w:spacing w:before="67" w:line="195" w:lineRule="auto"/>
              <w:ind w:left="569"/>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0</w:t>
            </w:r>
            <w:r>
              <w:rPr>
                <w:rFonts w:ascii="Times New Roman" w:hAnsi="Times New Roman" w:eastAsia="Times New Roman" w:cs="Times New Roman"/>
                <w:spacing w:val="4"/>
                <w:sz w:val="20"/>
                <w:szCs w:val="20"/>
              </w:rPr>
              <w:t>.8</w:t>
            </w:r>
          </w:p>
        </w:tc>
      </w:tr>
      <w:tr w14:paraId="101FF1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 w:hRule="atLeast"/>
        </w:trPr>
        <w:tc>
          <w:tcPr>
            <w:tcW w:w="830" w:type="dxa"/>
            <w:vMerge w:val="continue"/>
            <w:tcBorders>
              <w:top w:val="nil"/>
              <w:left w:val="nil"/>
            </w:tcBorders>
          </w:tcPr>
          <w:p w14:paraId="34E113C6"/>
        </w:tc>
        <w:tc>
          <w:tcPr>
            <w:tcW w:w="664" w:type="dxa"/>
            <w:vMerge w:val="continue"/>
            <w:tcBorders>
              <w:top w:val="nil"/>
            </w:tcBorders>
          </w:tcPr>
          <w:p w14:paraId="39C074A3"/>
        </w:tc>
        <w:tc>
          <w:tcPr>
            <w:tcW w:w="996" w:type="dxa"/>
          </w:tcPr>
          <w:p w14:paraId="274765A9">
            <w:pPr>
              <w:spacing w:before="31" w:line="211" w:lineRule="auto"/>
              <w:ind w:left="293"/>
              <w:rPr>
                <w:rFonts w:ascii="宋体" w:hAnsi="宋体" w:eastAsia="宋体" w:cs="宋体"/>
                <w:sz w:val="20"/>
                <w:szCs w:val="20"/>
              </w:rPr>
            </w:pPr>
            <w:r>
              <w:rPr>
                <w:rFonts w:ascii="宋体" w:hAnsi="宋体" w:eastAsia="宋体" w:cs="宋体"/>
                <w:spacing w:val="4"/>
                <w:sz w:val="20"/>
                <w:szCs w:val="20"/>
              </w:rPr>
              <w:t>其他</w:t>
            </w:r>
          </w:p>
        </w:tc>
        <w:tc>
          <w:tcPr>
            <w:tcW w:w="1493" w:type="dxa"/>
          </w:tcPr>
          <w:p w14:paraId="7913D311">
            <w:pPr>
              <w:spacing w:before="66" w:line="195" w:lineRule="auto"/>
              <w:ind w:left="62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0 3</w:t>
            </w:r>
          </w:p>
        </w:tc>
        <w:tc>
          <w:tcPr>
            <w:tcW w:w="2158" w:type="dxa"/>
          </w:tcPr>
          <w:p w14:paraId="089528BE">
            <w:pPr>
              <w:spacing w:before="66" w:line="195" w:lineRule="auto"/>
              <w:ind w:left="95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0 3</w:t>
            </w:r>
          </w:p>
        </w:tc>
        <w:tc>
          <w:tcPr>
            <w:tcW w:w="2182" w:type="dxa"/>
          </w:tcPr>
          <w:p w14:paraId="5D48B459">
            <w:pPr>
              <w:spacing w:before="66" w:line="195" w:lineRule="auto"/>
              <w:ind w:left="96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0 3</w:t>
            </w:r>
          </w:p>
        </w:tc>
        <w:tc>
          <w:tcPr>
            <w:tcW w:w="1389" w:type="dxa"/>
            <w:tcBorders>
              <w:right w:val="nil"/>
            </w:tcBorders>
          </w:tcPr>
          <w:p w14:paraId="493BA46E">
            <w:pPr>
              <w:spacing w:before="66" w:line="195" w:lineRule="auto"/>
              <w:ind w:left="56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0 6</w:t>
            </w:r>
          </w:p>
        </w:tc>
      </w:tr>
      <w:tr w14:paraId="006421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830" w:type="dxa"/>
            <w:vMerge w:val="restart"/>
            <w:tcBorders>
              <w:left w:val="nil"/>
              <w:bottom w:val="nil"/>
            </w:tcBorders>
          </w:tcPr>
          <w:p w14:paraId="348421B2">
            <w:pPr>
              <w:spacing w:before="224" w:line="195" w:lineRule="auto"/>
              <w:ind w:left="36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664" w:type="dxa"/>
            <w:vMerge w:val="restart"/>
            <w:tcBorders>
              <w:bottom w:val="nil"/>
            </w:tcBorders>
          </w:tcPr>
          <w:p w14:paraId="4C0D7C76">
            <w:pPr>
              <w:spacing w:before="188" w:line="228" w:lineRule="auto"/>
              <w:ind w:left="232"/>
              <w:rPr>
                <w:rFonts w:ascii="宋体" w:hAnsi="宋体" w:eastAsia="宋体" w:cs="宋体"/>
                <w:sz w:val="20"/>
                <w:szCs w:val="20"/>
              </w:rPr>
            </w:pPr>
            <w:r>
              <w:rPr>
                <w:rFonts w:ascii="宋体" w:hAnsi="宋体" w:eastAsia="宋体" w:cs="宋体"/>
                <w:sz w:val="20"/>
                <w:szCs w:val="20"/>
              </w:rPr>
              <w:t>汞</w:t>
            </w:r>
          </w:p>
        </w:tc>
        <w:tc>
          <w:tcPr>
            <w:tcW w:w="996" w:type="dxa"/>
          </w:tcPr>
          <w:p w14:paraId="3C6C89B1">
            <w:pPr>
              <w:spacing w:before="47" w:line="227" w:lineRule="auto"/>
              <w:ind w:left="295"/>
              <w:rPr>
                <w:rFonts w:ascii="宋体" w:hAnsi="宋体" w:eastAsia="宋体" w:cs="宋体"/>
                <w:sz w:val="20"/>
                <w:szCs w:val="20"/>
              </w:rPr>
            </w:pPr>
            <w:r>
              <w:rPr>
                <w:rFonts w:ascii="宋体" w:hAnsi="宋体" w:eastAsia="宋体" w:cs="宋体"/>
                <w:spacing w:val="4"/>
                <w:sz w:val="20"/>
                <w:szCs w:val="20"/>
              </w:rPr>
              <w:t>水</w:t>
            </w:r>
            <w:r>
              <w:rPr>
                <w:rFonts w:ascii="宋体" w:hAnsi="宋体" w:eastAsia="宋体" w:cs="宋体"/>
                <w:spacing w:val="3"/>
                <w:sz w:val="20"/>
                <w:szCs w:val="20"/>
              </w:rPr>
              <w:t>田</w:t>
            </w:r>
          </w:p>
        </w:tc>
        <w:tc>
          <w:tcPr>
            <w:tcW w:w="1493" w:type="dxa"/>
          </w:tcPr>
          <w:p w14:paraId="2AEB2870">
            <w:pPr>
              <w:spacing w:before="83" w:line="195" w:lineRule="auto"/>
              <w:ind w:left="62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.5</w:t>
            </w:r>
          </w:p>
        </w:tc>
        <w:tc>
          <w:tcPr>
            <w:tcW w:w="2158" w:type="dxa"/>
          </w:tcPr>
          <w:p w14:paraId="1A7B2210">
            <w:pPr>
              <w:spacing w:before="83" w:line="195" w:lineRule="auto"/>
              <w:ind w:left="95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.5</w:t>
            </w:r>
          </w:p>
        </w:tc>
        <w:tc>
          <w:tcPr>
            <w:tcW w:w="2182" w:type="dxa"/>
          </w:tcPr>
          <w:p w14:paraId="00D67D55">
            <w:pPr>
              <w:spacing w:before="83" w:line="195" w:lineRule="auto"/>
              <w:ind w:left="96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0.6</w:t>
            </w:r>
          </w:p>
        </w:tc>
        <w:tc>
          <w:tcPr>
            <w:tcW w:w="1389" w:type="dxa"/>
            <w:tcBorders>
              <w:right w:val="nil"/>
            </w:tcBorders>
          </w:tcPr>
          <w:p w14:paraId="3F92DE3A">
            <w:pPr>
              <w:spacing w:before="82" w:line="198" w:lineRule="auto"/>
              <w:ind w:left="58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w:t>
            </w:r>
          </w:p>
        </w:tc>
      </w:tr>
      <w:tr w14:paraId="4BE8F0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30" w:type="dxa"/>
            <w:vMerge w:val="continue"/>
            <w:tcBorders>
              <w:top w:val="nil"/>
              <w:left w:val="nil"/>
            </w:tcBorders>
          </w:tcPr>
          <w:p w14:paraId="1C5F52AF"/>
        </w:tc>
        <w:tc>
          <w:tcPr>
            <w:tcW w:w="664" w:type="dxa"/>
            <w:vMerge w:val="continue"/>
            <w:tcBorders>
              <w:top w:val="nil"/>
            </w:tcBorders>
          </w:tcPr>
          <w:p w14:paraId="0FF3BBC6"/>
        </w:tc>
        <w:tc>
          <w:tcPr>
            <w:tcW w:w="996" w:type="dxa"/>
          </w:tcPr>
          <w:p w14:paraId="147765A3">
            <w:pPr>
              <w:spacing w:before="32" w:line="227" w:lineRule="auto"/>
              <w:ind w:left="293"/>
              <w:rPr>
                <w:rFonts w:ascii="宋体" w:hAnsi="宋体" w:eastAsia="宋体" w:cs="宋体"/>
                <w:sz w:val="20"/>
                <w:szCs w:val="20"/>
              </w:rPr>
            </w:pPr>
            <w:r>
              <w:rPr>
                <w:rFonts w:ascii="宋体" w:hAnsi="宋体" w:eastAsia="宋体" w:cs="宋体"/>
                <w:spacing w:val="4"/>
                <w:sz w:val="20"/>
                <w:szCs w:val="20"/>
              </w:rPr>
              <w:t>其他</w:t>
            </w:r>
          </w:p>
        </w:tc>
        <w:tc>
          <w:tcPr>
            <w:tcW w:w="1493" w:type="dxa"/>
          </w:tcPr>
          <w:p w14:paraId="4382D55D">
            <w:pPr>
              <w:spacing w:before="67" w:line="198" w:lineRule="auto"/>
              <w:ind w:left="63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2"/>
                <w:sz w:val="20"/>
                <w:szCs w:val="20"/>
              </w:rPr>
              <w:t>.3</w:t>
            </w:r>
          </w:p>
        </w:tc>
        <w:tc>
          <w:tcPr>
            <w:tcW w:w="2158" w:type="dxa"/>
          </w:tcPr>
          <w:p w14:paraId="0D401EA4">
            <w:pPr>
              <w:spacing w:before="67" w:line="198" w:lineRule="auto"/>
              <w:ind w:left="96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1"/>
                <w:sz w:val="20"/>
                <w:szCs w:val="20"/>
              </w:rPr>
              <w:t>.8</w:t>
            </w:r>
          </w:p>
        </w:tc>
        <w:tc>
          <w:tcPr>
            <w:tcW w:w="2182" w:type="dxa"/>
          </w:tcPr>
          <w:p w14:paraId="6FE4227D">
            <w:pPr>
              <w:spacing w:before="67" w:line="198" w:lineRule="auto"/>
              <w:ind w:left="96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
                <w:sz w:val="20"/>
                <w:szCs w:val="20"/>
              </w:rPr>
              <w:t>4</w:t>
            </w:r>
          </w:p>
        </w:tc>
        <w:tc>
          <w:tcPr>
            <w:tcW w:w="1389" w:type="dxa"/>
            <w:tcBorders>
              <w:right w:val="nil"/>
            </w:tcBorders>
          </w:tcPr>
          <w:p w14:paraId="1E0BF5FF">
            <w:pPr>
              <w:spacing w:before="68" w:line="195" w:lineRule="auto"/>
              <w:ind w:left="57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w:t>
            </w:r>
            <w:r>
              <w:rPr>
                <w:rFonts w:ascii="Times New Roman" w:hAnsi="Times New Roman" w:eastAsia="Times New Roman" w:cs="Times New Roman"/>
                <w:spacing w:val="1"/>
                <w:sz w:val="20"/>
                <w:szCs w:val="20"/>
              </w:rPr>
              <w:t>.4</w:t>
            </w:r>
          </w:p>
        </w:tc>
      </w:tr>
      <w:tr w14:paraId="1B62E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30" w:type="dxa"/>
            <w:vMerge w:val="restart"/>
            <w:tcBorders>
              <w:left w:val="nil"/>
              <w:bottom w:val="nil"/>
            </w:tcBorders>
          </w:tcPr>
          <w:p w14:paraId="4259C028">
            <w:pPr>
              <w:spacing w:before="209" w:line="195" w:lineRule="auto"/>
              <w:ind w:left="371"/>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664" w:type="dxa"/>
            <w:vMerge w:val="restart"/>
            <w:tcBorders>
              <w:bottom w:val="nil"/>
            </w:tcBorders>
          </w:tcPr>
          <w:p w14:paraId="082D83FE">
            <w:pPr>
              <w:spacing w:before="171" w:line="228" w:lineRule="auto"/>
              <w:ind w:left="230"/>
              <w:rPr>
                <w:rFonts w:ascii="宋体" w:hAnsi="宋体" w:eastAsia="宋体" w:cs="宋体"/>
                <w:sz w:val="20"/>
                <w:szCs w:val="20"/>
              </w:rPr>
            </w:pPr>
            <w:r>
              <w:rPr>
                <w:rFonts w:ascii="宋体" w:hAnsi="宋体" w:eastAsia="宋体" w:cs="宋体"/>
                <w:spacing w:val="1"/>
                <w:sz w:val="20"/>
                <w:szCs w:val="20"/>
              </w:rPr>
              <w:t>砷</w:t>
            </w:r>
          </w:p>
        </w:tc>
        <w:tc>
          <w:tcPr>
            <w:tcW w:w="996" w:type="dxa"/>
          </w:tcPr>
          <w:p w14:paraId="552D695C">
            <w:pPr>
              <w:spacing w:before="32" w:line="226" w:lineRule="auto"/>
              <w:ind w:left="295"/>
              <w:rPr>
                <w:rFonts w:ascii="宋体" w:hAnsi="宋体" w:eastAsia="宋体" w:cs="宋体"/>
                <w:sz w:val="20"/>
                <w:szCs w:val="20"/>
              </w:rPr>
            </w:pPr>
            <w:r>
              <w:rPr>
                <w:rFonts w:ascii="宋体" w:hAnsi="宋体" w:eastAsia="宋体" w:cs="宋体"/>
                <w:spacing w:val="4"/>
                <w:sz w:val="20"/>
                <w:szCs w:val="20"/>
              </w:rPr>
              <w:t>水</w:t>
            </w:r>
            <w:r>
              <w:rPr>
                <w:rFonts w:ascii="宋体" w:hAnsi="宋体" w:eastAsia="宋体" w:cs="宋体"/>
                <w:spacing w:val="3"/>
                <w:sz w:val="20"/>
                <w:szCs w:val="20"/>
              </w:rPr>
              <w:t>田</w:t>
            </w:r>
          </w:p>
        </w:tc>
        <w:tc>
          <w:tcPr>
            <w:tcW w:w="1493" w:type="dxa"/>
          </w:tcPr>
          <w:p w14:paraId="4A2FD034">
            <w:pPr>
              <w:spacing w:before="68" w:line="195" w:lineRule="auto"/>
              <w:ind w:left="64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z w:val="20"/>
                <w:szCs w:val="20"/>
              </w:rPr>
              <w:t>0</w:t>
            </w:r>
          </w:p>
        </w:tc>
        <w:tc>
          <w:tcPr>
            <w:tcW w:w="2158" w:type="dxa"/>
          </w:tcPr>
          <w:p w14:paraId="2753364E">
            <w:pPr>
              <w:spacing w:before="68" w:line="195" w:lineRule="auto"/>
              <w:ind w:left="97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z w:val="20"/>
                <w:szCs w:val="20"/>
              </w:rPr>
              <w:t>0</w:t>
            </w:r>
          </w:p>
        </w:tc>
        <w:tc>
          <w:tcPr>
            <w:tcW w:w="2182" w:type="dxa"/>
          </w:tcPr>
          <w:p w14:paraId="3E5718E4">
            <w:pPr>
              <w:spacing w:before="68" w:line="195" w:lineRule="auto"/>
              <w:ind w:left="98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
                <w:sz w:val="20"/>
                <w:szCs w:val="20"/>
              </w:rPr>
              <w:t>5</w:t>
            </w:r>
          </w:p>
        </w:tc>
        <w:tc>
          <w:tcPr>
            <w:tcW w:w="1389" w:type="dxa"/>
            <w:tcBorders>
              <w:right w:val="nil"/>
            </w:tcBorders>
          </w:tcPr>
          <w:p w14:paraId="2E62B267">
            <w:pPr>
              <w:spacing w:before="68" w:line="195" w:lineRule="auto"/>
              <w:ind w:left="59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
                <w:sz w:val="20"/>
                <w:szCs w:val="20"/>
              </w:rPr>
              <w:t>0</w:t>
            </w:r>
          </w:p>
        </w:tc>
      </w:tr>
      <w:tr w14:paraId="72528F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30" w:type="dxa"/>
            <w:vMerge w:val="continue"/>
            <w:tcBorders>
              <w:top w:val="nil"/>
              <w:left w:val="nil"/>
            </w:tcBorders>
          </w:tcPr>
          <w:p w14:paraId="3D8B431D"/>
        </w:tc>
        <w:tc>
          <w:tcPr>
            <w:tcW w:w="664" w:type="dxa"/>
            <w:vMerge w:val="continue"/>
            <w:tcBorders>
              <w:top w:val="nil"/>
            </w:tcBorders>
          </w:tcPr>
          <w:p w14:paraId="229A972A"/>
        </w:tc>
        <w:tc>
          <w:tcPr>
            <w:tcW w:w="996" w:type="dxa"/>
          </w:tcPr>
          <w:p w14:paraId="1FA5E1C1">
            <w:pPr>
              <w:spacing w:before="31" w:line="227" w:lineRule="auto"/>
              <w:ind w:left="293"/>
              <w:rPr>
                <w:rFonts w:ascii="宋体" w:hAnsi="宋体" w:eastAsia="宋体" w:cs="宋体"/>
                <w:sz w:val="20"/>
                <w:szCs w:val="20"/>
              </w:rPr>
            </w:pPr>
            <w:r>
              <w:rPr>
                <w:rFonts w:ascii="宋体" w:hAnsi="宋体" w:eastAsia="宋体" w:cs="宋体"/>
                <w:spacing w:val="4"/>
                <w:sz w:val="20"/>
                <w:szCs w:val="20"/>
              </w:rPr>
              <w:t>其他</w:t>
            </w:r>
          </w:p>
        </w:tc>
        <w:tc>
          <w:tcPr>
            <w:tcW w:w="1493" w:type="dxa"/>
          </w:tcPr>
          <w:p w14:paraId="39D26522">
            <w:pPr>
              <w:spacing w:before="66" w:line="195" w:lineRule="auto"/>
              <w:ind w:left="64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c>
          <w:tcPr>
            <w:tcW w:w="2158" w:type="dxa"/>
          </w:tcPr>
          <w:p w14:paraId="577E8FC8">
            <w:pPr>
              <w:spacing w:before="66" w:line="195" w:lineRule="auto"/>
              <w:ind w:left="97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c>
          <w:tcPr>
            <w:tcW w:w="2182" w:type="dxa"/>
          </w:tcPr>
          <w:p w14:paraId="2D5EE1F8">
            <w:pPr>
              <w:spacing w:before="66" w:line="195" w:lineRule="auto"/>
              <w:ind w:left="99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z w:val="20"/>
                <w:szCs w:val="20"/>
              </w:rPr>
              <w:t>0</w:t>
            </w:r>
          </w:p>
        </w:tc>
        <w:tc>
          <w:tcPr>
            <w:tcW w:w="1389" w:type="dxa"/>
            <w:tcBorders>
              <w:right w:val="nil"/>
            </w:tcBorders>
          </w:tcPr>
          <w:p w14:paraId="2C0FB9AB">
            <w:pPr>
              <w:spacing w:before="66" w:line="195" w:lineRule="auto"/>
              <w:ind w:left="59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
                <w:sz w:val="20"/>
                <w:szCs w:val="20"/>
              </w:rPr>
              <w:t>5</w:t>
            </w:r>
          </w:p>
        </w:tc>
      </w:tr>
      <w:tr w14:paraId="37DBA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30" w:type="dxa"/>
            <w:vMerge w:val="restart"/>
            <w:tcBorders>
              <w:left w:val="nil"/>
              <w:bottom w:val="nil"/>
            </w:tcBorders>
          </w:tcPr>
          <w:p w14:paraId="64465C21">
            <w:pPr>
              <w:spacing w:before="209" w:line="195" w:lineRule="auto"/>
              <w:ind w:left="36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664" w:type="dxa"/>
            <w:vMerge w:val="restart"/>
            <w:tcBorders>
              <w:bottom w:val="nil"/>
            </w:tcBorders>
          </w:tcPr>
          <w:p w14:paraId="7A495499">
            <w:pPr>
              <w:spacing w:before="173" w:line="232" w:lineRule="auto"/>
              <w:ind w:left="231"/>
              <w:rPr>
                <w:rFonts w:ascii="宋体" w:hAnsi="宋体" w:eastAsia="宋体" w:cs="宋体"/>
                <w:sz w:val="20"/>
                <w:szCs w:val="20"/>
              </w:rPr>
            </w:pPr>
            <w:r>
              <w:rPr>
                <w:rFonts w:ascii="宋体" w:hAnsi="宋体" w:eastAsia="宋体" w:cs="宋体"/>
                <w:sz w:val="20"/>
                <w:szCs w:val="20"/>
              </w:rPr>
              <w:t>铅</w:t>
            </w:r>
          </w:p>
        </w:tc>
        <w:tc>
          <w:tcPr>
            <w:tcW w:w="996" w:type="dxa"/>
          </w:tcPr>
          <w:p w14:paraId="6A3F6006">
            <w:pPr>
              <w:spacing w:before="32" w:line="226" w:lineRule="auto"/>
              <w:ind w:left="295"/>
              <w:rPr>
                <w:rFonts w:ascii="宋体" w:hAnsi="宋体" w:eastAsia="宋体" w:cs="宋体"/>
                <w:sz w:val="20"/>
                <w:szCs w:val="20"/>
              </w:rPr>
            </w:pPr>
            <w:r>
              <w:rPr>
                <w:rFonts w:ascii="宋体" w:hAnsi="宋体" w:eastAsia="宋体" w:cs="宋体"/>
                <w:spacing w:val="4"/>
                <w:sz w:val="20"/>
                <w:szCs w:val="20"/>
              </w:rPr>
              <w:t>水</w:t>
            </w:r>
            <w:r>
              <w:rPr>
                <w:rFonts w:ascii="宋体" w:hAnsi="宋体" w:eastAsia="宋体" w:cs="宋体"/>
                <w:spacing w:val="3"/>
                <w:sz w:val="20"/>
                <w:szCs w:val="20"/>
              </w:rPr>
              <w:t>田</w:t>
            </w:r>
          </w:p>
        </w:tc>
        <w:tc>
          <w:tcPr>
            <w:tcW w:w="1493" w:type="dxa"/>
          </w:tcPr>
          <w:p w14:paraId="1C53BC7E">
            <w:pPr>
              <w:spacing w:before="68" w:line="195" w:lineRule="auto"/>
              <w:ind w:left="65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w:t>
            </w:r>
            <w:r>
              <w:rPr>
                <w:rFonts w:ascii="Times New Roman" w:hAnsi="Times New Roman" w:eastAsia="Times New Roman" w:cs="Times New Roman"/>
                <w:spacing w:val="-1"/>
                <w:sz w:val="20"/>
                <w:szCs w:val="20"/>
              </w:rPr>
              <w:t>0</w:t>
            </w:r>
          </w:p>
        </w:tc>
        <w:tc>
          <w:tcPr>
            <w:tcW w:w="2158" w:type="dxa"/>
          </w:tcPr>
          <w:p w14:paraId="53730058">
            <w:pPr>
              <w:spacing w:before="68" w:line="195" w:lineRule="auto"/>
              <w:ind w:left="94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tc>
        <w:tc>
          <w:tcPr>
            <w:tcW w:w="2182" w:type="dxa"/>
          </w:tcPr>
          <w:p w14:paraId="7DE11040">
            <w:pPr>
              <w:spacing w:before="68" w:line="195" w:lineRule="auto"/>
              <w:ind w:left="95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140</w:t>
            </w:r>
          </w:p>
        </w:tc>
        <w:tc>
          <w:tcPr>
            <w:tcW w:w="1389" w:type="dxa"/>
            <w:tcBorders>
              <w:right w:val="nil"/>
            </w:tcBorders>
          </w:tcPr>
          <w:p w14:paraId="3E3950C0">
            <w:pPr>
              <w:spacing w:before="68" w:line="195" w:lineRule="auto"/>
              <w:ind w:left="539"/>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40</w:t>
            </w:r>
          </w:p>
        </w:tc>
      </w:tr>
      <w:tr w14:paraId="4C7EF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30" w:type="dxa"/>
            <w:vMerge w:val="continue"/>
            <w:tcBorders>
              <w:top w:val="nil"/>
              <w:left w:val="nil"/>
            </w:tcBorders>
          </w:tcPr>
          <w:p w14:paraId="007C1616"/>
        </w:tc>
        <w:tc>
          <w:tcPr>
            <w:tcW w:w="664" w:type="dxa"/>
            <w:vMerge w:val="continue"/>
            <w:tcBorders>
              <w:top w:val="nil"/>
            </w:tcBorders>
          </w:tcPr>
          <w:p w14:paraId="3367F36E"/>
        </w:tc>
        <w:tc>
          <w:tcPr>
            <w:tcW w:w="996" w:type="dxa"/>
          </w:tcPr>
          <w:p w14:paraId="35F28799">
            <w:pPr>
              <w:spacing w:before="33" w:line="225" w:lineRule="auto"/>
              <w:ind w:left="293"/>
              <w:rPr>
                <w:rFonts w:ascii="宋体" w:hAnsi="宋体" w:eastAsia="宋体" w:cs="宋体"/>
                <w:sz w:val="20"/>
                <w:szCs w:val="20"/>
              </w:rPr>
            </w:pPr>
            <w:r>
              <w:rPr>
                <w:rFonts w:ascii="宋体" w:hAnsi="宋体" w:eastAsia="宋体" w:cs="宋体"/>
                <w:spacing w:val="4"/>
                <w:sz w:val="20"/>
                <w:szCs w:val="20"/>
              </w:rPr>
              <w:t>其他</w:t>
            </w:r>
          </w:p>
        </w:tc>
        <w:tc>
          <w:tcPr>
            <w:tcW w:w="1493" w:type="dxa"/>
          </w:tcPr>
          <w:p w14:paraId="3448C63F">
            <w:pPr>
              <w:spacing w:before="69" w:line="195" w:lineRule="auto"/>
              <w:ind w:left="64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70</w:t>
            </w:r>
          </w:p>
        </w:tc>
        <w:tc>
          <w:tcPr>
            <w:tcW w:w="2158" w:type="dxa"/>
          </w:tcPr>
          <w:p w14:paraId="66EA2FF5">
            <w:pPr>
              <w:spacing w:before="69" w:line="195" w:lineRule="auto"/>
              <w:ind w:left="97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w:t>
            </w:r>
            <w:r>
              <w:rPr>
                <w:rFonts w:ascii="Times New Roman" w:hAnsi="Times New Roman" w:eastAsia="Times New Roman" w:cs="Times New Roman"/>
                <w:sz w:val="20"/>
                <w:szCs w:val="20"/>
              </w:rPr>
              <w:t>0</w:t>
            </w:r>
          </w:p>
        </w:tc>
        <w:tc>
          <w:tcPr>
            <w:tcW w:w="2182" w:type="dxa"/>
          </w:tcPr>
          <w:p w14:paraId="413EB860">
            <w:pPr>
              <w:spacing w:before="69" w:line="195" w:lineRule="auto"/>
              <w:ind w:left="95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120</w:t>
            </w:r>
          </w:p>
        </w:tc>
        <w:tc>
          <w:tcPr>
            <w:tcW w:w="1389" w:type="dxa"/>
            <w:tcBorders>
              <w:right w:val="nil"/>
            </w:tcBorders>
          </w:tcPr>
          <w:p w14:paraId="1E3403B5">
            <w:pPr>
              <w:spacing w:before="69" w:line="195" w:lineRule="auto"/>
              <w:ind w:left="55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170</w:t>
            </w:r>
          </w:p>
        </w:tc>
      </w:tr>
      <w:tr w14:paraId="2BA28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30" w:type="dxa"/>
            <w:vMerge w:val="restart"/>
            <w:tcBorders>
              <w:left w:val="nil"/>
              <w:bottom w:val="nil"/>
            </w:tcBorders>
          </w:tcPr>
          <w:p w14:paraId="3F1D0661">
            <w:pPr>
              <w:spacing w:before="212" w:line="192" w:lineRule="auto"/>
              <w:ind w:left="372"/>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664" w:type="dxa"/>
            <w:vMerge w:val="restart"/>
            <w:tcBorders>
              <w:bottom w:val="nil"/>
            </w:tcBorders>
          </w:tcPr>
          <w:p w14:paraId="578A7D25">
            <w:pPr>
              <w:spacing w:before="173" w:line="230" w:lineRule="auto"/>
              <w:ind w:left="230"/>
              <w:rPr>
                <w:rFonts w:ascii="宋体" w:hAnsi="宋体" w:eastAsia="宋体" w:cs="宋体"/>
                <w:sz w:val="20"/>
                <w:szCs w:val="20"/>
              </w:rPr>
            </w:pPr>
            <w:r>
              <w:rPr>
                <w:rFonts w:ascii="宋体" w:hAnsi="宋体" w:eastAsia="宋体" w:cs="宋体"/>
                <w:spacing w:val="1"/>
                <w:sz w:val="20"/>
                <w:szCs w:val="20"/>
              </w:rPr>
              <w:t>铬</w:t>
            </w:r>
          </w:p>
        </w:tc>
        <w:tc>
          <w:tcPr>
            <w:tcW w:w="996" w:type="dxa"/>
          </w:tcPr>
          <w:p w14:paraId="76EFE056">
            <w:pPr>
              <w:spacing w:before="32" w:line="226" w:lineRule="auto"/>
              <w:ind w:left="295"/>
              <w:rPr>
                <w:rFonts w:ascii="宋体" w:hAnsi="宋体" w:eastAsia="宋体" w:cs="宋体"/>
                <w:sz w:val="20"/>
                <w:szCs w:val="20"/>
              </w:rPr>
            </w:pPr>
            <w:r>
              <w:rPr>
                <w:rFonts w:ascii="宋体" w:hAnsi="宋体" w:eastAsia="宋体" w:cs="宋体"/>
                <w:spacing w:val="4"/>
                <w:sz w:val="20"/>
                <w:szCs w:val="20"/>
              </w:rPr>
              <w:t>水</w:t>
            </w:r>
            <w:r>
              <w:rPr>
                <w:rFonts w:ascii="宋体" w:hAnsi="宋体" w:eastAsia="宋体" w:cs="宋体"/>
                <w:spacing w:val="3"/>
                <w:sz w:val="20"/>
                <w:szCs w:val="20"/>
              </w:rPr>
              <w:t>田</w:t>
            </w:r>
          </w:p>
        </w:tc>
        <w:tc>
          <w:tcPr>
            <w:tcW w:w="1493" w:type="dxa"/>
          </w:tcPr>
          <w:p w14:paraId="6B7E32A9">
            <w:pPr>
              <w:spacing w:before="68" w:line="195" w:lineRule="auto"/>
              <w:ind w:left="591"/>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50</w:t>
            </w:r>
          </w:p>
        </w:tc>
        <w:tc>
          <w:tcPr>
            <w:tcW w:w="2158" w:type="dxa"/>
          </w:tcPr>
          <w:p w14:paraId="636A5B21">
            <w:pPr>
              <w:spacing w:before="68" w:line="195" w:lineRule="auto"/>
              <w:ind w:left="922"/>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50</w:t>
            </w:r>
          </w:p>
        </w:tc>
        <w:tc>
          <w:tcPr>
            <w:tcW w:w="2182" w:type="dxa"/>
          </w:tcPr>
          <w:p w14:paraId="0236E3D3">
            <w:pPr>
              <w:spacing w:before="68" w:line="195" w:lineRule="auto"/>
              <w:ind w:left="94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w:t>
            </w:r>
            <w:r>
              <w:rPr>
                <w:rFonts w:ascii="Times New Roman" w:hAnsi="Times New Roman" w:eastAsia="Times New Roman" w:cs="Times New Roman"/>
                <w:spacing w:val="2"/>
                <w:sz w:val="20"/>
                <w:szCs w:val="20"/>
              </w:rPr>
              <w:t>00</w:t>
            </w:r>
          </w:p>
        </w:tc>
        <w:tc>
          <w:tcPr>
            <w:tcW w:w="1389" w:type="dxa"/>
            <w:tcBorders>
              <w:right w:val="nil"/>
            </w:tcBorders>
          </w:tcPr>
          <w:p w14:paraId="0ECEB92C">
            <w:pPr>
              <w:spacing w:before="68" w:line="195" w:lineRule="auto"/>
              <w:ind w:left="54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w:t>
            </w:r>
            <w:r>
              <w:rPr>
                <w:rFonts w:ascii="Times New Roman" w:hAnsi="Times New Roman" w:eastAsia="Times New Roman" w:cs="Times New Roman"/>
                <w:spacing w:val="2"/>
                <w:sz w:val="20"/>
                <w:szCs w:val="20"/>
              </w:rPr>
              <w:t>50</w:t>
            </w:r>
          </w:p>
        </w:tc>
      </w:tr>
      <w:tr w14:paraId="349E1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30" w:type="dxa"/>
            <w:vMerge w:val="continue"/>
            <w:tcBorders>
              <w:top w:val="nil"/>
              <w:left w:val="nil"/>
            </w:tcBorders>
          </w:tcPr>
          <w:p w14:paraId="14B6D114"/>
        </w:tc>
        <w:tc>
          <w:tcPr>
            <w:tcW w:w="664" w:type="dxa"/>
            <w:vMerge w:val="continue"/>
            <w:tcBorders>
              <w:top w:val="nil"/>
            </w:tcBorders>
          </w:tcPr>
          <w:p w14:paraId="447FAE5A"/>
        </w:tc>
        <w:tc>
          <w:tcPr>
            <w:tcW w:w="996" w:type="dxa"/>
          </w:tcPr>
          <w:p w14:paraId="71509479">
            <w:pPr>
              <w:spacing w:before="33" w:line="225" w:lineRule="auto"/>
              <w:ind w:left="293"/>
              <w:rPr>
                <w:rFonts w:ascii="宋体" w:hAnsi="宋体" w:eastAsia="宋体" w:cs="宋体"/>
                <w:sz w:val="20"/>
                <w:szCs w:val="20"/>
              </w:rPr>
            </w:pPr>
            <w:r>
              <w:rPr>
                <w:rFonts w:ascii="宋体" w:hAnsi="宋体" w:eastAsia="宋体" w:cs="宋体"/>
                <w:spacing w:val="4"/>
                <w:sz w:val="20"/>
                <w:szCs w:val="20"/>
              </w:rPr>
              <w:t>其他</w:t>
            </w:r>
          </w:p>
        </w:tc>
        <w:tc>
          <w:tcPr>
            <w:tcW w:w="1493" w:type="dxa"/>
          </w:tcPr>
          <w:p w14:paraId="3B5CE7BC">
            <w:pPr>
              <w:spacing w:before="69" w:line="195" w:lineRule="auto"/>
              <w:ind w:left="61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150</w:t>
            </w:r>
          </w:p>
        </w:tc>
        <w:tc>
          <w:tcPr>
            <w:tcW w:w="2158" w:type="dxa"/>
          </w:tcPr>
          <w:p w14:paraId="7632E1D9">
            <w:pPr>
              <w:spacing w:before="69" w:line="195" w:lineRule="auto"/>
              <w:ind w:left="94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150</w:t>
            </w:r>
          </w:p>
        </w:tc>
        <w:tc>
          <w:tcPr>
            <w:tcW w:w="2182" w:type="dxa"/>
          </w:tcPr>
          <w:p w14:paraId="190F37C6">
            <w:pPr>
              <w:spacing w:before="69" w:line="195" w:lineRule="auto"/>
              <w:ind w:left="93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00</w:t>
            </w:r>
          </w:p>
        </w:tc>
        <w:tc>
          <w:tcPr>
            <w:tcW w:w="1389" w:type="dxa"/>
            <w:tcBorders>
              <w:right w:val="nil"/>
            </w:tcBorders>
          </w:tcPr>
          <w:p w14:paraId="77DB56CE">
            <w:pPr>
              <w:spacing w:before="69" w:line="195" w:lineRule="auto"/>
              <w:ind w:left="539"/>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50</w:t>
            </w:r>
          </w:p>
        </w:tc>
      </w:tr>
      <w:tr w14:paraId="274DFC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30" w:type="dxa"/>
            <w:vMerge w:val="restart"/>
            <w:tcBorders>
              <w:left w:val="nil"/>
              <w:bottom w:val="nil"/>
            </w:tcBorders>
          </w:tcPr>
          <w:p w14:paraId="313175EE">
            <w:pPr>
              <w:spacing w:before="209" w:line="195" w:lineRule="auto"/>
              <w:ind w:left="371"/>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664" w:type="dxa"/>
            <w:vMerge w:val="restart"/>
            <w:tcBorders>
              <w:bottom w:val="nil"/>
            </w:tcBorders>
          </w:tcPr>
          <w:p w14:paraId="5185F5A4">
            <w:pPr>
              <w:spacing w:before="173" w:line="229" w:lineRule="auto"/>
              <w:ind w:left="231"/>
              <w:rPr>
                <w:rFonts w:ascii="宋体" w:hAnsi="宋体" w:eastAsia="宋体" w:cs="宋体"/>
                <w:sz w:val="20"/>
                <w:szCs w:val="20"/>
              </w:rPr>
            </w:pPr>
            <w:r>
              <w:rPr>
                <w:rFonts w:ascii="宋体" w:hAnsi="宋体" w:eastAsia="宋体" w:cs="宋体"/>
                <w:sz w:val="20"/>
                <w:szCs w:val="20"/>
              </w:rPr>
              <w:t>铜</w:t>
            </w:r>
          </w:p>
        </w:tc>
        <w:tc>
          <w:tcPr>
            <w:tcW w:w="996" w:type="dxa"/>
          </w:tcPr>
          <w:p w14:paraId="1B2D67AD">
            <w:pPr>
              <w:spacing w:before="34" w:line="224" w:lineRule="auto"/>
              <w:ind w:left="295"/>
              <w:rPr>
                <w:rFonts w:ascii="宋体" w:hAnsi="宋体" w:eastAsia="宋体" w:cs="宋体"/>
                <w:sz w:val="20"/>
                <w:szCs w:val="20"/>
              </w:rPr>
            </w:pPr>
            <w:r>
              <w:rPr>
                <w:rFonts w:ascii="宋体" w:hAnsi="宋体" w:eastAsia="宋体" w:cs="宋体"/>
                <w:spacing w:val="4"/>
                <w:sz w:val="20"/>
                <w:szCs w:val="20"/>
              </w:rPr>
              <w:t>水</w:t>
            </w:r>
            <w:r>
              <w:rPr>
                <w:rFonts w:ascii="宋体" w:hAnsi="宋体" w:eastAsia="宋体" w:cs="宋体"/>
                <w:spacing w:val="3"/>
                <w:sz w:val="20"/>
                <w:szCs w:val="20"/>
              </w:rPr>
              <w:t>田</w:t>
            </w:r>
          </w:p>
        </w:tc>
        <w:tc>
          <w:tcPr>
            <w:tcW w:w="1493" w:type="dxa"/>
          </w:tcPr>
          <w:p w14:paraId="37EF1C2F">
            <w:pPr>
              <w:spacing w:before="70" w:line="195" w:lineRule="auto"/>
              <w:ind w:left="61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150</w:t>
            </w:r>
          </w:p>
        </w:tc>
        <w:tc>
          <w:tcPr>
            <w:tcW w:w="2158" w:type="dxa"/>
          </w:tcPr>
          <w:p w14:paraId="6B1903B9">
            <w:pPr>
              <w:spacing w:before="70" w:line="195" w:lineRule="auto"/>
              <w:ind w:left="94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150</w:t>
            </w:r>
          </w:p>
        </w:tc>
        <w:tc>
          <w:tcPr>
            <w:tcW w:w="2182" w:type="dxa"/>
          </w:tcPr>
          <w:p w14:paraId="39B0C971">
            <w:pPr>
              <w:spacing w:before="70" w:line="195" w:lineRule="auto"/>
              <w:ind w:left="93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00</w:t>
            </w:r>
          </w:p>
        </w:tc>
        <w:tc>
          <w:tcPr>
            <w:tcW w:w="1389" w:type="dxa"/>
            <w:tcBorders>
              <w:right w:val="nil"/>
            </w:tcBorders>
          </w:tcPr>
          <w:p w14:paraId="4E2CC9FE">
            <w:pPr>
              <w:spacing w:before="70" w:line="195" w:lineRule="auto"/>
              <w:ind w:left="539"/>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00</w:t>
            </w:r>
          </w:p>
        </w:tc>
      </w:tr>
      <w:tr w14:paraId="3364B4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30" w:type="dxa"/>
            <w:vMerge w:val="continue"/>
            <w:tcBorders>
              <w:top w:val="nil"/>
              <w:left w:val="nil"/>
            </w:tcBorders>
          </w:tcPr>
          <w:p w14:paraId="75D20692"/>
        </w:tc>
        <w:tc>
          <w:tcPr>
            <w:tcW w:w="664" w:type="dxa"/>
            <w:vMerge w:val="continue"/>
            <w:tcBorders>
              <w:top w:val="nil"/>
            </w:tcBorders>
          </w:tcPr>
          <w:p w14:paraId="15531683"/>
        </w:tc>
        <w:tc>
          <w:tcPr>
            <w:tcW w:w="996" w:type="dxa"/>
          </w:tcPr>
          <w:p w14:paraId="2F9362A7">
            <w:pPr>
              <w:spacing w:before="35" w:line="223" w:lineRule="auto"/>
              <w:ind w:left="293"/>
              <w:rPr>
                <w:rFonts w:ascii="宋体" w:hAnsi="宋体" w:eastAsia="宋体" w:cs="宋体"/>
                <w:sz w:val="20"/>
                <w:szCs w:val="20"/>
              </w:rPr>
            </w:pPr>
            <w:r>
              <w:rPr>
                <w:rFonts w:ascii="宋体" w:hAnsi="宋体" w:eastAsia="宋体" w:cs="宋体"/>
                <w:spacing w:val="4"/>
                <w:sz w:val="20"/>
                <w:szCs w:val="20"/>
              </w:rPr>
              <w:t>其他</w:t>
            </w:r>
          </w:p>
        </w:tc>
        <w:tc>
          <w:tcPr>
            <w:tcW w:w="1493" w:type="dxa"/>
          </w:tcPr>
          <w:p w14:paraId="443C69F3">
            <w:pPr>
              <w:spacing w:before="71" w:line="195" w:lineRule="auto"/>
              <w:ind w:left="647"/>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c>
          <w:tcPr>
            <w:tcW w:w="2158" w:type="dxa"/>
          </w:tcPr>
          <w:p w14:paraId="5CB95B7A">
            <w:pPr>
              <w:spacing w:before="71" w:line="195" w:lineRule="auto"/>
              <w:ind w:left="980"/>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c>
          <w:tcPr>
            <w:tcW w:w="2182" w:type="dxa"/>
          </w:tcPr>
          <w:p w14:paraId="4DF74D1B">
            <w:pPr>
              <w:spacing w:before="71" w:line="195" w:lineRule="auto"/>
              <w:ind w:left="95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tc>
        <w:tc>
          <w:tcPr>
            <w:tcW w:w="1389" w:type="dxa"/>
            <w:tcBorders>
              <w:right w:val="nil"/>
            </w:tcBorders>
          </w:tcPr>
          <w:p w14:paraId="2355F354">
            <w:pPr>
              <w:spacing w:before="71" w:line="195" w:lineRule="auto"/>
              <w:ind w:left="55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tc>
      </w:tr>
      <w:tr w14:paraId="6411E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30" w:type="dxa"/>
            <w:tcBorders>
              <w:left w:val="nil"/>
            </w:tcBorders>
          </w:tcPr>
          <w:p w14:paraId="39651509">
            <w:pPr>
              <w:spacing w:before="118" w:line="192" w:lineRule="auto"/>
              <w:ind w:left="370"/>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660" w:type="dxa"/>
            <w:gridSpan w:val="2"/>
          </w:tcPr>
          <w:p w14:paraId="75E4BCCE">
            <w:pPr>
              <w:spacing w:before="80" w:line="228" w:lineRule="auto"/>
              <w:ind w:left="533"/>
              <w:rPr>
                <w:rFonts w:ascii="宋体" w:hAnsi="宋体" w:eastAsia="宋体" w:cs="宋体"/>
                <w:sz w:val="20"/>
                <w:szCs w:val="20"/>
              </w:rPr>
            </w:pPr>
            <w:r>
              <w:rPr>
                <w:rFonts w:ascii="宋体" w:hAnsi="宋体" w:eastAsia="宋体" w:cs="宋体"/>
                <w:spacing w:val="1"/>
                <w:sz w:val="20"/>
                <w:szCs w:val="20"/>
              </w:rPr>
              <w:t>镍</w:t>
            </w:r>
          </w:p>
        </w:tc>
        <w:tc>
          <w:tcPr>
            <w:tcW w:w="1493" w:type="dxa"/>
          </w:tcPr>
          <w:p w14:paraId="632C1010">
            <w:pPr>
              <w:spacing w:before="116" w:line="195" w:lineRule="auto"/>
              <w:ind w:left="64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0</w:t>
            </w:r>
          </w:p>
        </w:tc>
        <w:tc>
          <w:tcPr>
            <w:tcW w:w="2158" w:type="dxa"/>
          </w:tcPr>
          <w:p w14:paraId="2C711EF0">
            <w:pPr>
              <w:spacing w:before="116" w:line="195" w:lineRule="auto"/>
              <w:ind w:left="97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70</w:t>
            </w:r>
          </w:p>
        </w:tc>
        <w:tc>
          <w:tcPr>
            <w:tcW w:w="2182" w:type="dxa"/>
          </w:tcPr>
          <w:p w14:paraId="0ABCB0F6">
            <w:pPr>
              <w:spacing w:before="116" w:line="195" w:lineRule="auto"/>
              <w:ind w:left="95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tc>
        <w:tc>
          <w:tcPr>
            <w:tcW w:w="1389" w:type="dxa"/>
            <w:tcBorders>
              <w:right w:val="nil"/>
            </w:tcBorders>
          </w:tcPr>
          <w:p w14:paraId="03DD83B2">
            <w:pPr>
              <w:spacing w:before="116" w:line="195" w:lineRule="auto"/>
              <w:ind w:left="55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190</w:t>
            </w:r>
          </w:p>
        </w:tc>
      </w:tr>
      <w:tr w14:paraId="51F12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830" w:type="dxa"/>
            <w:tcBorders>
              <w:left w:val="nil"/>
            </w:tcBorders>
          </w:tcPr>
          <w:p w14:paraId="1E79E651">
            <w:pPr>
              <w:spacing w:before="78" w:line="195" w:lineRule="auto"/>
              <w:ind w:left="375"/>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1660" w:type="dxa"/>
            <w:gridSpan w:val="2"/>
          </w:tcPr>
          <w:p w14:paraId="45856786">
            <w:pPr>
              <w:spacing w:before="40" w:line="228" w:lineRule="auto"/>
              <w:ind w:left="533"/>
              <w:rPr>
                <w:rFonts w:ascii="宋体" w:hAnsi="宋体" w:eastAsia="宋体" w:cs="宋体"/>
                <w:sz w:val="20"/>
                <w:szCs w:val="20"/>
              </w:rPr>
            </w:pPr>
            <w:r>
              <w:rPr>
                <w:rFonts w:ascii="宋体" w:hAnsi="宋体" w:eastAsia="宋体" w:cs="宋体"/>
                <w:spacing w:val="1"/>
                <w:sz w:val="20"/>
                <w:szCs w:val="20"/>
              </w:rPr>
              <w:t>锌</w:t>
            </w:r>
          </w:p>
        </w:tc>
        <w:tc>
          <w:tcPr>
            <w:tcW w:w="1493" w:type="dxa"/>
          </w:tcPr>
          <w:p w14:paraId="29E15F11">
            <w:pPr>
              <w:spacing w:before="78" w:line="195" w:lineRule="auto"/>
              <w:ind w:left="591"/>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00</w:t>
            </w:r>
          </w:p>
        </w:tc>
        <w:tc>
          <w:tcPr>
            <w:tcW w:w="2158" w:type="dxa"/>
          </w:tcPr>
          <w:p w14:paraId="4608CB6B">
            <w:pPr>
              <w:spacing w:before="78" w:line="195" w:lineRule="auto"/>
              <w:ind w:left="922"/>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00</w:t>
            </w:r>
          </w:p>
        </w:tc>
        <w:tc>
          <w:tcPr>
            <w:tcW w:w="2182" w:type="dxa"/>
          </w:tcPr>
          <w:p w14:paraId="5A70A335">
            <w:pPr>
              <w:spacing w:before="78" w:line="195" w:lineRule="auto"/>
              <w:ind w:left="93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50</w:t>
            </w:r>
          </w:p>
        </w:tc>
        <w:tc>
          <w:tcPr>
            <w:tcW w:w="1389" w:type="dxa"/>
            <w:tcBorders>
              <w:right w:val="nil"/>
            </w:tcBorders>
          </w:tcPr>
          <w:p w14:paraId="2E321234">
            <w:pPr>
              <w:spacing w:before="78" w:line="195" w:lineRule="auto"/>
              <w:ind w:left="54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w:t>
            </w:r>
            <w:r>
              <w:rPr>
                <w:rFonts w:ascii="Times New Roman" w:hAnsi="Times New Roman" w:eastAsia="Times New Roman" w:cs="Times New Roman"/>
                <w:spacing w:val="2"/>
                <w:sz w:val="20"/>
                <w:szCs w:val="20"/>
              </w:rPr>
              <w:t>00</w:t>
            </w:r>
          </w:p>
        </w:tc>
      </w:tr>
    </w:tbl>
    <w:p w14:paraId="2BAED836">
      <w:pPr>
        <w:spacing w:before="37" w:line="228" w:lineRule="auto"/>
        <w:ind w:left="529"/>
        <w:outlineLvl w:val="2"/>
        <w:rPr>
          <w:rFonts w:ascii="宋体" w:hAnsi="宋体" w:eastAsia="宋体" w:cs="宋体"/>
          <w:sz w:val="23"/>
          <w:szCs w:val="23"/>
        </w:rPr>
      </w:pPr>
      <w:r>
        <w:rPr>
          <w:rFonts w:ascii="Times New Roman" w:hAnsi="Times New Roman" w:eastAsia="Times New Roman" w:cs="Times New Roman"/>
          <w:b/>
          <w:bCs/>
          <w:spacing w:val="6"/>
          <w:sz w:val="23"/>
          <w:szCs w:val="23"/>
        </w:rPr>
        <w:t>1.4.2</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污染物排放标</w:t>
      </w:r>
      <w:r>
        <w:rPr>
          <w:rFonts w:ascii="宋体" w:hAnsi="宋体" w:eastAsia="宋体" w:cs="宋体"/>
          <w:spacing w:val="5"/>
          <w:sz w:val="23"/>
          <w:szCs w:val="23"/>
          <w14:textOutline w14:w="4356" w14:cap="sq" w14:cmpd="sng" w14:algn="ctr">
            <w14:solidFill>
              <w14:srgbClr w14:val="000000"/>
            </w14:solidFill>
            <w14:prstDash w14:val="solid"/>
            <w14:bevel/>
          </w14:textOutline>
        </w:rPr>
        <w:t>准</w:t>
      </w:r>
    </w:p>
    <w:p w14:paraId="6DA961A9">
      <w:pPr>
        <w:spacing w:before="184" w:line="228" w:lineRule="auto"/>
        <w:ind w:left="1014"/>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1</w:t>
      </w:r>
      <w:r>
        <w:rPr>
          <w:rFonts w:ascii="宋体" w:hAnsi="宋体" w:eastAsia="宋体" w:cs="宋体"/>
          <w:spacing w:val="20"/>
          <w:sz w:val="23"/>
          <w:szCs w:val="23"/>
        </w:rPr>
        <w:t>) 废气排</w:t>
      </w:r>
      <w:r>
        <w:rPr>
          <w:rFonts w:ascii="宋体" w:hAnsi="宋体" w:eastAsia="宋体" w:cs="宋体"/>
          <w:spacing w:val="19"/>
          <w:sz w:val="23"/>
          <w:szCs w:val="23"/>
        </w:rPr>
        <w:t>放</w:t>
      </w:r>
    </w:p>
    <w:p w14:paraId="16148CA1">
      <w:pPr>
        <w:spacing w:before="182" w:line="370" w:lineRule="auto"/>
        <w:ind w:left="523" w:right="508" w:firstLine="480"/>
        <w:rPr>
          <w:rFonts w:ascii="宋体" w:hAnsi="宋体" w:eastAsia="宋体" w:cs="宋体"/>
          <w:sz w:val="23"/>
          <w:szCs w:val="23"/>
        </w:rPr>
      </w:pPr>
      <w:r>
        <w:rPr>
          <w:rFonts w:ascii="宋体" w:hAnsi="宋体" w:eastAsia="宋体" w:cs="宋体"/>
          <w:spacing w:val="6"/>
          <w:sz w:val="23"/>
          <w:szCs w:val="23"/>
        </w:rPr>
        <w:t>臭气浓度执行《畜禽养</w:t>
      </w:r>
      <w:r>
        <w:rPr>
          <w:rFonts w:ascii="宋体" w:hAnsi="宋体" w:eastAsia="宋体" w:cs="宋体"/>
          <w:spacing w:val="4"/>
          <w:sz w:val="23"/>
          <w:szCs w:val="23"/>
        </w:rPr>
        <w:t>殖</w:t>
      </w:r>
      <w:r>
        <w:rPr>
          <w:rFonts w:ascii="宋体" w:hAnsi="宋体" w:eastAsia="宋体" w:cs="宋体"/>
          <w:spacing w:val="3"/>
          <w:sz w:val="23"/>
          <w:szCs w:val="23"/>
        </w:rPr>
        <w:t>业污染物排放标准》  (</w:t>
      </w:r>
      <w:r>
        <w:rPr>
          <w:rFonts w:ascii="Times New Roman" w:hAnsi="Times New Roman" w:eastAsia="Times New Roman" w:cs="Times New Roman"/>
          <w:sz w:val="23"/>
          <w:szCs w:val="23"/>
        </w:rPr>
        <w:t>GB</w:t>
      </w:r>
      <w:r>
        <w:rPr>
          <w:rFonts w:ascii="Times New Roman" w:hAnsi="Times New Roman" w:eastAsia="Times New Roman" w:cs="Times New Roman"/>
          <w:spacing w:val="3"/>
          <w:sz w:val="23"/>
          <w:szCs w:val="23"/>
        </w:rPr>
        <w:t>18596-2001</w:t>
      </w:r>
      <w:r>
        <w:rPr>
          <w:rFonts w:ascii="宋体" w:hAnsi="宋体" w:eastAsia="宋体" w:cs="宋体"/>
          <w:spacing w:val="3"/>
          <w:sz w:val="23"/>
          <w:szCs w:val="23"/>
        </w:rPr>
        <w:t>) ；</w:t>
      </w:r>
      <w:r>
        <w:rPr>
          <w:rFonts w:ascii="Times New Roman" w:hAnsi="Times New Roman" w:eastAsia="Times New Roman" w:cs="Times New Roman"/>
          <w:sz w:val="23"/>
          <w:szCs w:val="23"/>
        </w:rPr>
        <w:t>H</w:t>
      </w:r>
      <w:r>
        <w:rPr>
          <w:rFonts w:ascii="Times New Roman" w:hAnsi="Times New Roman" w:eastAsia="Times New Roman" w:cs="Times New Roman"/>
          <w:spacing w:val="3"/>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w:t>
      </w:r>
      <w:r>
        <w:rPr>
          <w:rFonts w:ascii="Times New Roman" w:hAnsi="Times New Roman" w:eastAsia="Times New Roman" w:cs="Times New Roman"/>
          <w:sz w:val="23"/>
          <w:szCs w:val="23"/>
        </w:rPr>
        <w:t>NH</w:t>
      </w:r>
      <w:r>
        <w:rPr>
          <w:rFonts w:ascii="Times New Roman" w:hAnsi="Times New Roman" w:eastAsia="Times New Roman" w:cs="Times New Roman"/>
          <w:spacing w:val="3"/>
          <w:position w:val="-1"/>
          <w:sz w:val="15"/>
          <w:szCs w:val="15"/>
        </w:rPr>
        <w:t>3</w:t>
      </w:r>
      <w:r>
        <w:rPr>
          <w:rFonts w:ascii="Times New Roman" w:hAnsi="Times New Roman" w:eastAsia="Times New Roman" w:cs="Times New Roman"/>
          <w:position w:val="-1"/>
          <w:sz w:val="15"/>
          <w:szCs w:val="15"/>
        </w:rPr>
        <w:t xml:space="preserve">    </w:t>
      </w:r>
      <w:r>
        <w:rPr>
          <w:rFonts w:ascii="宋体" w:hAnsi="宋体" w:eastAsia="宋体" w:cs="宋体"/>
          <w:spacing w:val="10"/>
          <w:sz w:val="23"/>
          <w:szCs w:val="23"/>
        </w:rPr>
        <w:t>执行《恶</w:t>
      </w:r>
      <w:r>
        <w:rPr>
          <w:rFonts w:ascii="宋体" w:hAnsi="宋体" w:eastAsia="宋体" w:cs="宋体"/>
          <w:spacing w:val="9"/>
          <w:sz w:val="23"/>
          <w:szCs w:val="23"/>
        </w:rPr>
        <w:t>臭</w:t>
      </w:r>
      <w:r>
        <w:rPr>
          <w:rFonts w:ascii="宋体" w:hAnsi="宋体" w:eastAsia="宋体" w:cs="宋体"/>
          <w:spacing w:val="5"/>
          <w:sz w:val="23"/>
          <w:szCs w:val="23"/>
        </w:rPr>
        <w:t>污染物排放标准》  (</w:t>
      </w:r>
      <w:r>
        <w:rPr>
          <w:rFonts w:ascii="Times New Roman" w:hAnsi="Times New Roman" w:eastAsia="Times New Roman" w:cs="Times New Roman"/>
          <w:sz w:val="23"/>
          <w:szCs w:val="23"/>
        </w:rPr>
        <w:t>GB</w:t>
      </w:r>
      <w:r>
        <w:rPr>
          <w:rFonts w:ascii="Times New Roman" w:hAnsi="Times New Roman" w:eastAsia="Times New Roman" w:cs="Times New Roman"/>
          <w:spacing w:val="5"/>
          <w:sz w:val="23"/>
          <w:szCs w:val="23"/>
        </w:rPr>
        <w:t>14554-93</w:t>
      </w:r>
      <w:r>
        <w:rPr>
          <w:rFonts w:ascii="宋体" w:hAnsi="宋体" w:eastAsia="宋体" w:cs="宋体"/>
          <w:spacing w:val="5"/>
          <w:sz w:val="23"/>
          <w:szCs w:val="23"/>
        </w:rPr>
        <w:t>) ；食堂油烟参照执行《饮食业油烟排</w:t>
      </w:r>
    </w:p>
    <w:p w14:paraId="2D63B642">
      <w:pPr>
        <w:sectPr>
          <w:headerReference r:id="rId26" w:type="default"/>
          <w:footerReference r:id="rId27" w:type="default"/>
          <w:pgSz w:w="11907" w:h="16840"/>
          <w:pgMar w:top="400" w:right="1046" w:bottom="1275" w:left="1146" w:header="0" w:footer="1114" w:gutter="0"/>
          <w:cols w:space="720" w:num="1"/>
        </w:sectPr>
      </w:pPr>
    </w:p>
    <w:p w14:paraId="6553DD89">
      <w:pPr>
        <w:spacing w:line="460" w:lineRule="auto"/>
      </w:pPr>
      <w:r>
        <w:pict>
          <v:shape id="_x0000_s2052" o:spid="_x0000_s2052" style="position:absolute;left:0pt;margin-left:83pt;margin-top:57.2pt;height:0.5pt;width:434.35pt;mso-position-horizontal-relative:page;mso-position-vertical-relative:page;z-index:251695104;mso-width-relative:page;mso-height-relative:page;" fillcolor="#000000" filled="t" stroked="f" coordsize="8687,10" o:allowincell="f" path="m0,0l8686,0,8686,9,0,9,0,0xe">
            <v:fill on="t" focussize="0,0"/>
            <v:stroke on="f"/>
            <v:imagedata o:title=""/>
            <o:lock v:ext="edit"/>
          </v:shape>
        </w:pict>
      </w:r>
    </w:p>
    <w:p w14:paraId="5D66CF9F">
      <w:pPr>
        <w:spacing w:before="56" w:line="229" w:lineRule="auto"/>
        <w:ind w:left="534"/>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4C37F475">
      <w:pPr>
        <w:spacing w:before="65" w:line="374" w:lineRule="auto"/>
        <w:ind w:left="542" w:right="520" w:hanging="5"/>
        <w:rPr>
          <w:rFonts w:ascii="宋体" w:hAnsi="宋体" w:eastAsia="宋体" w:cs="宋体"/>
          <w:sz w:val="23"/>
          <w:szCs w:val="23"/>
        </w:rPr>
      </w:pPr>
      <w:r>
        <w:rPr>
          <w:rFonts w:ascii="宋体" w:hAnsi="宋体" w:eastAsia="宋体" w:cs="宋体"/>
          <w:spacing w:val="4"/>
          <w:sz w:val="23"/>
          <w:szCs w:val="23"/>
        </w:rPr>
        <w:t>放标准 (试行) 》  (</w:t>
      </w:r>
      <w:r>
        <w:rPr>
          <w:rFonts w:ascii="Times New Roman" w:hAnsi="Times New Roman" w:eastAsia="Times New Roman" w:cs="Times New Roman"/>
          <w:sz w:val="23"/>
          <w:szCs w:val="23"/>
        </w:rPr>
        <w:t>GB</w:t>
      </w:r>
      <w:r>
        <w:rPr>
          <w:rFonts w:ascii="Times New Roman" w:hAnsi="Times New Roman" w:eastAsia="Times New Roman" w:cs="Times New Roman"/>
          <w:spacing w:val="4"/>
          <w:sz w:val="23"/>
          <w:szCs w:val="23"/>
        </w:rPr>
        <w:t>18483-2001</w:t>
      </w:r>
      <w:r>
        <w:rPr>
          <w:rFonts w:ascii="宋体" w:hAnsi="宋体" w:eastAsia="宋体" w:cs="宋体"/>
          <w:spacing w:val="4"/>
          <w:sz w:val="23"/>
          <w:szCs w:val="23"/>
        </w:rPr>
        <w:t xml:space="preserve">) 表 </w:t>
      </w:r>
      <w:r>
        <w:rPr>
          <w:rFonts w:ascii="Times New Roman" w:hAnsi="Times New Roman" w:eastAsia="Times New Roman" w:cs="Times New Roman"/>
          <w:spacing w:val="4"/>
          <w:sz w:val="23"/>
          <w:szCs w:val="23"/>
        </w:rPr>
        <w:t xml:space="preserve">2 </w:t>
      </w:r>
      <w:r>
        <w:rPr>
          <w:rFonts w:ascii="宋体" w:hAnsi="宋体" w:eastAsia="宋体" w:cs="宋体"/>
          <w:spacing w:val="4"/>
          <w:sz w:val="23"/>
          <w:szCs w:val="23"/>
        </w:rPr>
        <w:t>中最高允许排放浓度；其他大气污</w:t>
      </w:r>
      <w:r>
        <w:rPr>
          <w:rFonts w:ascii="宋体" w:hAnsi="宋体" w:eastAsia="宋体" w:cs="宋体"/>
          <w:spacing w:val="3"/>
          <w:sz w:val="23"/>
          <w:szCs w:val="23"/>
        </w:rPr>
        <w:t>染</w:t>
      </w:r>
      <w:r>
        <w:rPr>
          <w:rFonts w:ascii="宋体" w:hAnsi="宋体" w:eastAsia="宋体" w:cs="宋体"/>
          <w:sz w:val="23"/>
          <w:szCs w:val="23"/>
        </w:rPr>
        <w:t xml:space="preserve">执行 </w:t>
      </w:r>
      <w:r>
        <w:rPr>
          <w:rFonts w:ascii="宋体" w:hAnsi="宋体" w:eastAsia="宋体" w:cs="宋体"/>
          <w:spacing w:val="4"/>
          <w:sz w:val="23"/>
          <w:szCs w:val="23"/>
        </w:rPr>
        <w:t>《大气污染</w:t>
      </w:r>
      <w:r>
        <w:rPr>
          <w:rFonts w:ascii="宋体" w:hAnsi="宋体" w:eastAsia="宋体" w:cs="宋体"/>
          <w:spacing w:val="3"/>
          <w:sz w:val="23"/>
          <w:szCs w:val="23"/>
        </w:rPr>
        <w:t>物</w:t>
      </w:r>
      <w:r>
        <w:rPr>
          <w:rFonts w:ascii="宋体" w:hAnsi="宋体" w:eastAsia="宋体" w:cs="宋体"/>
          <w:spacing w:val="2"/>
          <w:sz w:val="23"/>
          <w:szCs w:val="23"/>
        </w:rPr>
        <w:t>综合排放标准》  (</w:t>
      </w:r>
      <w:r>
        <w:rPr>
          <w:rFonts w:ascii="Times New Roman" w:hAnsi="Times New Roman" w:eastAsia="Times New Roman" w:cs="Times New Roman"/>
          <w:sz w:val="23"/>
          <w:szCs w:val="23"/>
        </w:rPr>
        <w:t>GB</w:t>
      </w:r>
      <w:r>
        <w:rPr>
          <w:rFonts w:ascii="Times New Roman" w:hAnsi="Times New Roman" w:eastAsia="Times New Roman" w:cs="Times New Roman"/>
          <w:spacing w:val="2"/>
          <w:sz w:val="23"/>
          <w:szCs w:val="23"/>
        </w:rPr>
        <w:t>16297- 1996</w:t>
      </w:r>
      <w:r>
        <w:rPr>
          <w:rFonts w:ascii="宋体" w:hAnsi="宋体" w:eastAsia="宋体" w:cs="宋体"/>
          <w:spacing w:val="2"/>
          <w:sz w:val="23"/>
          <w:szCs w:val="23"/>
        </w:rPr>
        <w:t>) 相关排放限值。</w:t>
      </w:r>
    </w:p>
    <w:p w14:paraId="19AA0359">
      <w:pPr>
        <w:spacing w:line="222" w:lineRule="auto"/>
        <w:ind w:left="1337"/>
        <w:rPr>
          <w:rFonts w:ascii="黑体" w:hAnsi="黑体" w:eastAsia="黑体" w:cs="黑体"/>
          <w:sz w:val="23"/>
          <w:szCs w:val="23"/>
        </w:rPr>
      </w:pPr>
      <w:r>
        <w:rPr>
          <w:rFonts w:ascii="黑体" w:hAnsi="黑体" w:eastAsia="黑体" w:cs="黑体"/>
          <w:spacing w:val="4"/>
          <w:sz w:val="23"/>
          <w:szCs w:val="23"/>
        </w:rPr>
        <w:t xml:space="preserve">表 </w:t>
      </w:r>
      <w:r>
        <w:rPr>
          <w:rFonts w:ascii="Times New Roman" w:hAnsi="Times New Roman" w:eastAsia="Times New Roman" w:cs="Times New Roman"/>
          <w:spacing w:val="4"/>
          <w:sz w:val="23"/>
          <w:szCs w:val="23"/>
        </w:rPr>
        <w:t>1.4-6</w:t>
      </w:r>
      <w:r>
        <w:rPr>
          <w:rFonts w:ascii="黑体" w:hAnsi="黑体" w:eastAsia="黑体" w:cs="黑体"/>
          <w:spacing w:val="4"/>
          <w:sz w:val="23"/>
          <w:szCs w:val="23"/>
        </w:rPr>
        <w:t>《畜</w:t>
      </w:r>
      <w:r>
        <w:rPr>
          <w:rFonts w:ascii="黑体" w:hAnsi="黑体" w:eastAsia="黑体" w:cs="黑体"/>
          <w:spacing w:val="3"/>
          <w:sz w:val="23"/>
          <w:szCs w:val="23"/>
        </w:rPr>
        <w:t>禽</w:t>
      </w:r>
      <w:r>
        <w:rPr>
          <w:rFonts w:ascii="黑体" w:hAnsi="黑体" w:eastAsia="黑体" w:cs="黑体"/>
          <w:spacing w:val="2"/>
          <w:sz w:val="23"/>
          <w:szCs w:val="23"/>
        </w:rPr>
        <w:t>养殖业污染物排放标准》  (</w:t>
      </w:r>
      <w:r>
        <w:rPr>
          <w:rFonts w:ascii="Times New Roman" w:hAnsi="Times New Roman" w:eastAsia="Times New Roman" w:cs="Times New Roman"/>
          <w:sz w:val="23"/>
          <w:szCs w:val="23"/>
        </w:rPr>
        <w:t>GB</w:t>
      </w:r>
      <w:r>
        <w:rPr>
          <w:rFonts w:ascii="Times New Roman" w:hAnsi="Times New Roman" w:eastAsia="Times New Roman" w:cs="Times New Roman"/>
          <w:spacing w:val="2"/>
          <w:sz w:val="23"/>
          <w:szCs w:val="23"/>
        </w:rPr>
        <w:t>18596-2001</w:t>
      </w:r>
      <w:r>
        <w:rPr>
          <w:rFonts w:ascii="黑体" w:hAnsi="黑体" w:eastAsia="黑体" w:cs="黑体"/>
          <w:spacing w:val="2"/>
          <w:sz w:val="23"/>
          <w:szCs w:val="23"/>
        </w:rPr>
        <w:t>)  (摘录)</w:t>
      </w:r>
    </w:p>
    <w:tbl>
      <w:tblPr>
        <w:tblStyle w:val="4"/>
        <w:tblW w:w="973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71"/>
        <w:gridCol w:w="4868"/>
      </w:tblGrid>
      <w:tr w14:paraId="020F9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10" w:hRule="atLeast"/>
        </w:trPr>
        <w:tc>
          <w:tcPr>
            <w:tcW w:w="4871" w:type="dxa"/>
            <w:tcBorders>
              <w:left w:val="nil"/>
            </w:tcBorders>
          </w:tcPr>
          <w:p w14:paraId="2A4F34D1">
            <w:pPr>
              <w:spacing w:before="111" w:line="228" w:lineRule="auto"/>
              <w:ind w:left="1689"/>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控制项</w:t>
            </w:r>
            <w:r>
              <w:rPr>
                <w:rFonts w:ascii="宋体" w:hAnsi="宋体" w:eastAsia="宋体" w:cs="宋体"/>
                <w:spacing w:val="8"/>
                <w:sz w:val="20"/>
                <w:szCs w:val="20"/>
                <w14:textOutline w14:w="3797" w14:cap="sq" w14:cmpd="sng" w14:algn="ctr">
                  <w14:solidFill>
                    <w14:srgbClr w14:val="000000"/>
                  </w14:solidFill>
                  <w14:prstDash w14:val="solid"/>
                  <w14:bevel/>
                </w14:textOutline>
              </w:rPr>
              <w:t>目</w:t>
            </w:r>
          </w:p>
        </w:tc>
        <w:tc>
          <w:tcPr>
            <w:tcW w:w="4868" w:type="dxa"/>
            <w:tcBorders>
              <w:right w:val="nil"/>
            </w:tcBorders>
          </w:tcPr>
          <w:p w14:paraId="3BA9F457">
            <w:pPr>
              <w:spacing w:before="111" w:line="228" w:lineRule="auto"/>
              <w:ind w:left="1478"/>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标</w:t>
            </w:r>
            <w:r>
              <w:rPr>
                <w:rFonts w:ascii="宋体" w:hAnsi="宋体" w:eastAsia="宋体" w:cs="宋体"/>
                <w:spacing w:val="7"/>
                <w:sz w:val="20"/>
                <w:szCs w:val="20"/>
                <w14:textOutline w14:w="3797" w14:cap="sq" w14:cmpd="sng" w14:algn="ctr">
                  <w14:solidFill>
                    <w14:srgbClr w14:val="000000"/>
                  </w14:solidFill>
                  <w14:prstDash w14:val="solid"/>
                  <w14:bevel/>
                </w14:textOutline>
              </w:rPr>
              <w:t>准值</w:t>
            </w:r>
          </w:p>
        </w:tc>
      </w:tr>
      <w:tr w14:paraId="030F37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4871" w:type="dxa"/>
            <w:tcBorders>
              <w:left w:val="nil"/>
            </w:tcBorders>
          </w:tcPr>
          <w:p w14:paraId="2A8F3DC9">
            <w:pPr>
              <w:spacing w:before="94" w:line="228" w:lineRule="auto"/>
              <w:ind w:left="1270"/>
              <w:rPr>
                <w:rFonts w:ascii="宋体" w:hAnsi="宋体" w:eastAsia="宋体" w:cs="宋体"/>
                <w:sz w:val="20"/>
                <w:szCs w:val="20"/>
              </w:rPr>
            </w:pPr>
            <w:r>
              <w:rPr>
                <w:rFonts w:ascii="宋体" w:hAnsi="宋体" w:eastAsia="宋体" w:cs="宋体"/>
                <w:spacing w:val="7"/>
                <w:sz w:val="20"/>
                <w:szCs w:val="20"/>
              </w:rPr>
              <w:t>臭气浓度 (无量纲</w:t>
            </w:r>
            <w:r>
              <w:rPr>
                <w:rFonts w:ascii="宋体" w:hAnsi="宋体" w:eastAsia="宋体" w:cs="宋体"/>
                <w:spacing w:val="6"/>
                <w:sz w:val="20"/>
                <w:szCs w:val="20"/>
              </w:rPr>
              <w:t>)</w:t>
            </w:r>
          </w:p>
        </w:tc>
        <w:tc>
          <w:tcPr>
            <w:tcW w:w="4868" w:type="dxa"/>
            <w:tcBorders>
              <w:right w:val="nil"/>
            </w:tcBorders>
          </w:tcPr>
          <w:p w14:paraId="54420038">
            <w:pPr>
              <w:spacing w:before="130" w:line="195" w:lineRule="auto"/>
              <w:ind w:left="179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70</w:t>
            </w:r>
          </w:p>
        </w:tc>
      </w:tr>
    </w:tbl>
    <w:p w14:paraId="79D74DFF">
      <w:pPr>
        <w:spacing w:line="473" w:lineRule="auto"/>
      </w:pPr>
    </w:p>
    <w:p w14:paraId="53D8164A">
      <w:pPr>
        <w:spacing w:before="75" w:line="222" w:lineRule="auto"/>
        <w:ind w:left="1397"/>
        <w:rPr>
          <w:rFonts w:ascii="黑体" w:hAnsi="黑体" w:eastAsia="黑体" w:cs="黑体"/>
          <w:sz w:val="23"/>
          <w:szCs w:val="23"/>
        </w:rPr>
      </w:pPr>
      <w:r>
        <w:rPr>
          <w:rFonts w:ascii="黑体" w:hAnsi="黑体" w:eastAsia="黑体" w:cs="黑体"/>
          <w:spacing w:val="-1"/>
          <w:sz w:val="23"/>
          <w:szCs w:val="23"/>
        </w:rPr>
        <w:t xml:space="preserve">表 </w:t>
      </w:r>
      <w:r>
        <w:rPr>
          <w:rFonts w:ascii="Times New Roman" w:hAnsi="Times New Roman" w:eastAsia="Times New Roman" w:cs="Times New Roman"/>
          <w:spacing w:val="-1"/>
          <w:sz w:val="23"/>
          <w:szCs w:val="23"/>
        </w:rPr>
        <w:t xml:space="preserve">1.4-7  </w:t>
      </w:r>
      <w:r>
        <w:rPr>
          <w:rFonts w:ascii="Times New Roman" w:hAnsi="Times New Roman" w:eastAsia="Times New Roman" w:cs="Times New Roman"/>
          <w:sz w:val="23"/>
          <w:szCs w:val="23"/>
        </w:rPr>
        <w:t xml:space="preserve">  </w:t>
      </w:r>
      <w:r>
        <w:rPr>
          <w:rFonts w:ascii="黑体" w:hAnsi="黑体" w:eastAsia="黑体" w:cs="黑体"/>
          <w:sz w:val="23"/>
          <w:szCs w:val="23"/>
        </w:rPr>
        <w:t>《饮食业油烟排放标准 (试行) 》  (</w:t>
      </w:r>
      <w:r>
        <w:rPr>
          <w:rFonts w:ascii="Times New Roman" w:hAnsi="Times New Roman" w:eastAsia="Times New Roman" w:cs="Times New Roman"/>
          <w:sz w:val="23"/>
          <w:szCs w:val="23"/>
        </w:rPr>
        <w:t>GB18483-2001</w:t>
      </w:r>
      <w:r>
        <w:rPr>
          <w:rFonts w:ascii="黑体" w:hAnsi="黑体" w:eastAsia="黑体" w:cs="黑体"/>
          <w:sz w:val="23"/>
          <w:szCs w:val="23"/>
        </w:rPr>
        <w:t>) 摘录</w:t>
      </w:r>
    </w:p>
    <w:tbl>
      <w:tblPr>
        <w:tblStyle w:val="4"/>
        <w:tblW w:w="9720"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88"/>
        <w:gridCol w:w="1974"/>
        <w:gridCol w:w="1823"/>
        <w:gridCol w:w="2335"/>
      </w:tblGrid>
      <w:tr w14:paraId="641021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3588" w:type="dxa"/>
            <w:tcBorders>
              <w:left w:val="nil"/>
            </w:tcBorders>
          </w:tcPr>
          <w:p w14:paraId="23DBFFF5">
            <w:pPr>
              <w:spacing w:before="140" w:line="228" w:lineRule="auto"/>
              <w:ind w:left="1593"/>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规</w:t>
            </w:r>
            <w:r>
              <w:rPr>
                <w:rFonts w:ascii="宋体" w:hAnsi="宋体" w:eastAsia="宋体" w:cs="宋体"/>
                <w:spacing w:val="5"/>
                <w:sz w:val="20"/>
                <w:szCs w:val="20"/>
                <w14:textOutline w14:w="3797" w14:cap="sq" w14:cmpd="sng" w14:algn="ctr">
                  <w14:solidFill>
                    <w14:srgbClr w14:val="000000"/>
                  </w14:solidFill>
                  <w14:prstDash w14:val="solid"/>
                  <w14:bevel/>
                </w14:textOutline>
              </w:rPr>
              <w:t>模</w:t>
            </w:r>
          </w:p>
        </w:tc>
        <w:tc>
          <w:tcPr>
            <w:tcW w:w="1974" w:type="dxa"/>
          </w:tcPr>
          <w:p w14:paraId="49F72322">
            <w:pPr>
              <w:spacing w:before="140" w:line="230" w:lineRule="auto"/>
              <w:ind w:left="748"/>
              <w:rPr>
                <w:rFonts w:ascii="宋体" w:hAnsi="宋体" w:eastAsia="宋体" w:cs="宋体"/>
                <w:sz w:val="20"/>
                <w:szCs w:val="20"/>
              </w:rPr>
            </w:pPr>
            <w:r>
              <w:rPr>
                <w:rFonts w:ascii="宋体" w:hAnsi="宋体" w:eastAsia="宋体" w:cs="宋体"/>
                <w:spacing w:val="3"/>
                <w:sz w:val="20"/>
                <w:szCs w:val="20"/>
                <w14:textOutline w14:w="3797" w14:cap="sq" w14:cmpd="sng" w14:algn="ctr">
                  <w14:solidFill>
                    <w14:srgbClr w14:val="000000"/>
                  </w14:solidFill>
                  <w14:prstDash w14:val="solid"/>
                  <w14:bevel/>
                </w14:textOutline>
              </w:rPr>
              <w:t>小型</w:t>
            </w:r>
          </w:p>
        </w:tc>
        <w:tc>
          <w:tcPr>
            <w:tcW w:w="1823" w:type="dxa"/>
          </w:tcPr>
          <w:p w14:paraId="290BB3FB">
            <w:pPr>
              <w:spacing w:before="140" w:line="228" w:lineRule="auto"/>
              <w:ind w:left="725"/>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中型</w:t>
            </w:r>
          </w:p>
        </w:tc>
        <w:tc>
          <w:tcPr>
            <w:tcW w:w="2335" w:type="dxa"/>
            <w:tcBorders>
              <w:right w:val="nil"/>
            </w:tcBorders>
          </w:tcPr>
          <w:p w14:paraId="41047BDA">
            <w:pPr>
              <w:spacing w:before="140" w:line="228" w:lineRule="auto"/>
              <w:ind w:left="965"/>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大</w:t>
            </w:r>
            <w:r>
              <w:rPr>
                <w:rFonts w:ascii="宋体" w:hAnsi="宋体" w:eastAsia="宋体" w:cs="宋体"/>
                <w:spacing w:val="4"/>
                <w:sz w:val="20"/>
                <w:szCs w:val="20"/>
                <w14:textOutline w14:w="3797" w14:cap="sq" w14:cmpd="sng" w14:algn="ctr">
                  <w14:solidFill>
                    <w14:srgbClr w14:val="000000"/>
                  </w14:solidFill>
                  <w14:prstDash w14:val="solid"/>
                  <w14:bevel/>
                </w14:textOutline>
              </w:rPr>
              <w:t>型</w:t>
            </w:r>
          </w:p>
        </w:tc>
      </w:tr>
      <w:tr w14:paraId="7B6C7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3588" w:type="dxa"/>
            <w:tcBorders>
              <w:left w:val="nil"/>
            </w:tcBorders>
          </w:tcPr>
          <w:p w14:paraId="59E5EEC1">
            <w:pPr>
              <w:spacing w:before="55" w:line="281" w:lineRule="exact"/>
              <w:ind w:left="476"/>
              <w:rPr>
                <w:rFonts w:ascii="宋体" w:hAnsi="宋体" w:eastAsia="宋体" w:cs="宋体"/>
                <w:sz w:val="20"/>
                <w:szCs w:val="20"/>
              </w:rPr>
            </w:pPr>
            <w:r>
              <w:rPr>
                <w:rFonts w:ascii="宋体" w:hAnsi="宋体" w:eastAsia="宋体" w:cs="宋体"/>
                <w:spacing w:val="12"/>
                <w:position w:val="2"/>
                <w:sz w:val="20"/>
                <w:szCs w:val="20"/>
              </w:rPr>
              <w:t>最</w:t>
            </w:r>
            <w:r>
              <w:rPr>
                <w:rFonts w:ascii="宋体" w:hAnsi="宋体" w:eastAsia="宋体" w:cs="宋体"/>
                <w:spacing w:val="7"/>
                <w:position w:val="2"/>
                <w:sz w:val="20"/>
                <w:szCs w:val="20"/>
              </w:rPr>
              <w:t>高允许排放浓度 (</w:t>
            </w:r>
            <w:r>
              <w:rPr>
                <w:rFonts w:ascii="Times New Roman" w:hAnsi="Times New Roman" w:eastAsia="Times New Roman" w:cs="Times New Roman"/>
                <w:position w:val="2"/>
                <w:sz w:val="20"/>
                <w:szCs w:val="20"/>
              </w:rPr>
              <w:t>mg</w:t>
            </w:r>
            <w:r>
              <w:rPr>
                <w:rFonts w:ascii="Times New Roman" w:hAnsi="Times New Roman" w:eastAsia="Times New Roman" w:cs="Times New Roman"/>
                <w:spacing w:val="7"/>
                <w:position w:val="2"/>
                <w:sz w:val="20"/>
                <w:szCs w:val="20"/>
              </w:rPr>
              <w:t>/</w:t>
            </w:r>
            <w:r>
              <w:rPr>
                <w:rFonts w:ascii="Times New Roman" w:hAnsi="Times New Roman" w:eastAsia="Times New Roman" w:cs="Times New Roman"/>
                <w:position w:val="2"/>
                <w:sz w:val="20"/>
                <w:szCs w:val="20"/>
              </w:rPr>
              <w:t>m</w:t>
            </w:r>
            <w:r>
              <w:rPr>
                <w:rFonts w:ascii="Times New Roman" w:hAnsi="Times New Roman" w:eastAsia="Times New Roman" w:cs="Times New Roman"/>
                <w:spacing w:val="7"/>
                <w:position w:val="8"/>
                <w:sz w:val="13"/>
                <w:szCs w:val="13"/>
              </w:rPr>
              <w:t xml:space="preserve">3 </w:t>
            </w:r>
            <w:r>
              <w:rPr>
                <w:rFonts w:ascii="宋体" w:hAnsi="宋体" w:eastAsia="宋体" w:cs="宋体"/>
                <w:spacing w:val="7"/>
                <w:position w:val="2"/>
                <w:sz w:val="20"/>
                <w:szCs w:val="20"/>
              </w:rPr>
              <w:t>)</w:t>
            </w:r>
          </w:p>
        </w:tc>
        <w:tc>
          <w:tcPr>
            <w:tcW w:w="1974" w:type="dxa"/>
            <w:tcBorders>
              <w:right w:val="nil"/>
            </w:tcBorders>
          </w:tcPr>
          <w:p w14:paraId="65054BD6"/>
        </w:tc>
        <w:tc>
          <w:tcPr>
            <w:tcW w:w="1823" w:type="dxa"/>
            <w:tcBorders>
              <w:left w:val="nil"/>
              <w:right w:val="nil"/>
            </w:tcBorders>
          </w:tcPr>
          <w:p w14:paraId="173B35E6">
            <w:pPr>
              <w:spacing w:before="128" w:line="198" w:lineRule="auto"/>
              <w:ind w:left="34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w:t>
            </w:r>
            <w:r>
              <w:rPr>
                <w:rFonts w:ascii="Times New Roman" w:hAnsi="Times New Roman" w:eastAsia="Times New Roman" w:cs="Times New Roman"/>
                <w:spacing w:val="3"/>
                <w:sz w:val="20"/>
                <w:szCs w:val="20"/>
              </w:rPr>
              <w:t>0</w:t>
            </w:r>
          </w:p>
        </w:tc>
        <w:tc>
          <w:tcPr>
            <w:tcW w:w="2335" w:type="dxa"/>
            <w:tcBorders>
              <w:left w:val="nil"/>
              <w:right w:val="nil"/>
            </w:tcBorders>
          </w:tcPr>
          <w:p w14:paraId="558F7446"/>
        </w:tc>
      </w:tr>
      <w:tr w14:paraId="74F9F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3588" w:type="dxa"/>
            <w:tcBorders>
              <w:left w:val="nil"/>
            </w:tcBorders>
          </w:tcPr>
          <w:p w14:paraId="0A6BC722">
            <w:pPr>
              <w:spacing w:before="95" w:line="281" w:lineRule="exact"/>
              <w:ind w:left="457"/>
              <w:rPr>
                <w:rFonts w:ascii="宋体" w:hAnsi="宋体" w:eastAsia="宋体" w:cs="宋体"/>
                <w:sz w:val="20"/>
                <w:szCs w:val="20"/>
              </w:rPr>
            </w:pPr>
            <w:r>
              <w:rPr>
                <w:rFonts w:ascii="宋体" w:hAnsi="宋体" w:eastAsia="宋体" w:cs="宋体"/>
                <w:spacing w:val="14"/>
                <w:position w:val="1"/>
                <w:sz w:val="20"/>
                <w:szCs w:val="20"/>
              </w:rPr>
              <w:t>净</w:t>
            </w:r>
            <w:r>
              <w:rPr>
                <w:rFonts w:ascii="宋体" w:hAnsi="宋体" w:eastAsia="宋体" w:cs="宋体"/>
                <w:spacing w:val="10"/>
                <w:position w:val="1"/>
                <w:sz w:val="20"/>
                <w:szCs w:val="20"/>
              </w:rPr>
              <w:t>化</w:t>
            </w:r>
            <w:r>
              <w:rPr>
                <w:rFonts w:ascii="宋体" w:hAnsi="宋体" w:eastAsia="宋体" w:cs="宋体"/>
                <w:spacing w:val="7"/>
                <w:position w:val="1"/>
                <w:sz w:val="20"/>
                <w:szCs w:val="20"/>
              </w:rPr>
              <w:t>设施最低去除效率 (</w:t>
            </w:r>
            <w:r>
              <w:rPr>
                <w:rFonts w:ascii="Times New Roman" w:hAnsi="Times New Roman" w:eastAsia="Times New Roman" w:cs="Times New Roman"/>
                <w:spacing w:val="7"/>
                <w:position w:val="1"/>
                <w:sz w:val="20"/>
                <w:szCs w:val="20"/>
              </w:rPr>
              <w:t>%</w:t>
            </w:r>
            <w:r>
              <w:rPr>
                <w:rFonts w:ascii="宋体" w:hAnsi="宋体" w:eastAsia="宋体" w:cs="宋体"/>
                <w:spacing w:val="7"/>
                <w:position w:val="1"/>
                <w:sz w:val="20"/>
                <w:szCs w:val="20"/>
              </w:rPr>
              <w:t>)</w:t>
            </w:r>
          </w:p>
        </w:tc>
        <w:tc>
          <w:tcPr>
            <w:tcW w:w="1974" w:type="dxa"/>
          </w:tcPr>
          <w:p w14:paraId="63C30E22">
            <w:pPr>
              <w:spacing w:before="169" w:line="195" w:lineRule="auto"/>
              <w:ind w:left="88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0</w:t>
            </w:r>
          </w:p>
        </w:tc>
        <w:tc>
          <w:tcPr>
            <w:tcW w:w="1823" w:type="dxa"/>
          </w:tcPr>
          <w:p w14:paraId="4D0223B0">
            <w:pPr>
              <w:spacing w:before="172" w:line="192" w:lineRule="auto"/>
              <w:ind w:left="81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75</w:t>
            </w:r>
          </w:p>
        </w:tc>
        <w:tc>
          <w:tcPr>
            <w:tcW w:w="2335" w:type="dxa"/>
            <w:tcBorders>
              <w:right w:val="nil"/>
            </w:tcBorders>
          </w:tcPr>
          <w:p w14:paraId="66200202">
            <w:pPr>
              <w:spacing w:before="169" w:line="195" w:lineRule="auto"/>
              <w:ind w:left="107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w:t>
            </w:r>
            <w:r>
              <w:rPr>
                <w:rFonts w:ascii="Times New Roman" w:hAnsi="Times New Roman" w:eastAsia="Times New Roman" w:cs="Times New Roman"/>
                <w:spacing w:val="-1"/>
                <w:sz w:val="20"/>
                <w:szCs w:val="20"/>
              </w:rPr>
              <w:t>5</w:t>
            </w:r>
          </w:p>
        </w:tc>
      </w:tr>
    </w:tbl>
    <w:p w14:paraId="3467A6F9">
      <w:pPr>
        <w:spacing w:before="313" w:line="221" w:lineRule="auto"/>
        <w:ind w:left="1637"/>
        <w:rPr>
          <w:rFonts w:ascii="黑体" w:hAnsi="黑体" w:eastAsia="黑体" w:cs="黑体"/>
          <w:sz w:val="23"/>
          <w:szCs w:val="23"/>
        </w:rPr>
      </w:pPr>
      <w:r>
        <w:rPr>
          <w:rFonts w:ascii="黑体" w:hAnsi="黑体" w:eastAsia="黑体" w:cs="黑体"/>
          <w:spacing w:val="-1"/>
          <w:sz w:val="23"/>
          <w:szCs w:val="23"/>
        </w:rPr>
        <w:t xml:space="preserve">表 </w:t>
      </w:r>
      <w:r>
        <w:rPr>
          <w:rFonts w:ascii="Times New Roman" w:hAnsi="Times New Roman" w:eastAsia="Times New Roman" w:cs="Times New Roman"/>
          <w:spacing w:val="-1"/>
          <w:sz w:val="23"/>
          <w:szCs w:val="23"/>
        </w:rPr>
        <w:t xml:space="preserve">1.4-8    </w:t>
      </w:r>
      <w:r>
        <w:rPr>
          <w:rFonts w:ascii="黑体" w:hAnsi="黑体" w:eastAsia="黑体" w:cs="黑体"/>
          <w:spacing w:val="-1"/>
          <w:sz w:val="23"/>
          <w:szCs w:val="23"/>
        </w:rPr>
        <w:t>《恶臭染物排放标准》  (</w:t>
      </w:r>
      <w:r>
        <w:rPr>
          <w:rFonts w:ascii="Times New Roman" w:hAnsi="Times New Roman" w:eastAsia="Times New Roman" w:cs="Times New Roman"/>
          <w:sz w:val="23"/>
          <w:szCs w:val="23"/>
        </w:rPr>
        <w:t>GB</w:t>
      </w:r>
      <w:r>
        <w:rPr>
          <w:rFonts w:ascii="Times New Roman" w:hAnsi="Times New Roman" w:eastAsia="Times New Roman" w:cs="Times New Roman"/>
          <w:spacing w:val="-1"/>
          <w:sz w:val="23"/>
          <w:szCs w:val="23"/>
        </w:rPr>
        <w:t>14554-93</w:t>
      </w:r>
      <w:r>
        <w:rPr>
          <w:rFonts w:ascii="黑体" w:hAnsi="黑体" w:eastAsia="黑体" w:cs="黑体"/>
          <w:spacing w:val="-1"/>
          <w:sz w:val="23"/>
          <w:szCs w:val="23"/>
        </w:rPr>
        <w:t>) 二级 (摘</w:t>
      </w:r>
      <w:r>
        <w:rPr>
          <w:rFonts w:ascii="黑体" w:hAnsi="黑体" w:eastAsia="黑体" w:cs="黑体"/>
          <w:sz w:val="23"/>
          <w:szCs w:val="23"/>
        </w:rPr>
        <w:t>录)</w:t>
      </w:r>
    </w:p>
    <w:tbl>
      <w:tblPr>
        <w:tblStyle w:val="4"/>
        <w:tblW w:w="9679" w:type="dxa"/>
        <w:tblInd w:w="3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9"/>
        <w:gridCol w:w="2149"/>
        <w:gridCol w:w="2315"/>
        <w:gridCol w:w="4056"/>
      </w:tblGrid>
      <w:tr w14:paraId="4F156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1159" w:type="dxa"/>
            <w:tcBorders>
              <w:left w:val="nil"/>
            </w:tcBorders>
          </w:tcPr>
          <w:p w14:paraId="077D7634">
            <w:pPr>
              <w:spacing w:before="101" w:line="229" w:lineRule="auto"/>
              <w:ind w:left="219"/>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2149" w:type="dxa"/>
          </w:tcPr>
          <w:p w14:paraId="732C50E6">
            <w:pPr>
              <w:spacing w:before="101" w:line="228" w:lineRule="auto"/>
              <w:ind w:left="531"/>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控制项</w:t>
            </w:r>
            <w:r>
              <w:rPr>
                <w:rFonts w:ascii="宋体" w:hAnsi="宋体" w:eastAsia="宋体" w:cs="宋体"/>
                <w:spacing w:val="8"/>
                <w:sz w:val="20"/>
                <w:szCs w:val="20"/>
                <w14:textOutline w14:w="3797" w14:cap="sq" w14:cmpd="sng" w14:algn="ctr">
                  <w14:solidFill>
                    <w14:srgbClr w14:val="000000"/>
                  </w14:solidFill>
                  <w14:prstDash w14:val="solid"/>
                  <w14:bevel/>
                </w14:textOutline>
              </w:rPr>
              <w:t>目</w:t>
            </w:r>
          </w:p>
        </w:tc>
        <w:tc>
          <w:tcPr>
            <w:tcW w:w="2315" w:type="dxa"/>
          </w:tcPr>
          <w:p w14:paraId="0628879C">
            <w:pPr>
              <w:spacing w:before="101" w:line="228" w:lineRule="auto"/>
              <w:ind w:left="744"/>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单位</w:t>
            </w:r>
          </w:p>
        </w:tc>
        <w:tc>
          <w:tcPr>
            <w:tcW w:w="4056" w:type="dxa"/>
            <w:tcBorders>
              <w:right w:val="nil"/>
            </w:tcBorders>
          </w:tcPr>
          <w:p w14:paraId="5BE72F7B">
            <w:pPr>
              <w:spacing w:before="100" w:line="230" w:lineRule="auto"/>
              <w:ind w:left="1483"/>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二级</w:t>
            </w:r>
          </w:p>
        </w:tc>
      </w:tr>
      <w:tr w14:paraId="352074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159" w:type="dxa"/>
            <w:tcBorders>
              <w:left w:val="nil"/>
            </w:tcBorders>
          </w:tcPr>
          <w:p w14:paraId="039B3BE1">
            <w:pPr>
              <w:spacing w:before="102" w:line="195" w:lineRule="auto"/>
              <w:ind w:left="55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2149" w:type="dxa"/>
          </w:tcPr>
          <w:p w14:paraId="7554D38B">
            <w:pPr>
              <w:spacing w:before="66" w:line="228" w:lineRule="auto"/>
              <w:ind w:left="974"/>
              <w:rPr>
                <w:rFonts w:ascii="宋体" w:hAnsi="宋体" w:eastAsia="宋体" w:cs="宋体"/>
                <w:sz w:val="20"/>
                <w:szCs w:val="20"/>
              </w:rPr>
            </w:pPr>
            <w:r>
              <w:rPr>
                <w:rFonts w:ascii="宋体" w:hAnsi="宋体" w:eastAsia="宋体" w:cs="宋体"/>
                <w:sz w:val="20"/>
                <w:szCs w:val="20"/>
              </w:rPr>
              <w:t>氨</w:t>
            </w:r>
          </w:p>
        </w:tc>
        <w:tc>
          <w:tcPr>
            <w:tcW w:w="2315" w:type="dxa"/>
          </w:tcPr>
          <w:p w14:paraId="52446D29">
            <w:pPr>
              <w:spacing w:before="28" w:line="281" w:lineRule="exact"/>
              <w:ind w:left="877"/>
              <w:rPr>
                <w:rFonts w:ascii="Times New Roman" w:hAnsi="Times New Roman" w:eastAsia="Times New Roman" w:cs="Times New Roman"/>
                <w:sz w:val="13"/>
                <w:szCs w:val="13"/>
              </w:rPr>
            </w:pPr>
            <w:r>
              <w:rPr>
                <w:rFonts w:ascii="Times New Roman" w:hAnsi="Times New Roman" w:eastAsia="Times New Roman" w:cs="Times New Roman"/>
                <w:position w:val="3"/>
                <w:sz w:val="20"/>
                <w:szCs w:val="20"/>
              </w:rPr>
              <w:t>mg</w:t>
            </w:r>
            <w:r>
              <w:rPr>
                <w:rFonts w:ascii="Times New Roman" w:hAnsi="Times New Roman" w:eastAsia="Times New Roman" w:cs="Times New Roman"/>
                <w:spacing w:val="12"/>
                <w:position w:val="3"/>
                <w:sz w:val="20"/>
                <w:szCs w:val="20"/>
              </w:rPr>
              <w:t>/</w:t>
            </w:r>
            <w:r>
              <w:rPr>
                <w:rFonts w:ascii="Times New Roman" w:hAnsi="Times New Roman" w:eastAsia="Times New Roman" w:cs="Times New Roman"/>
                <w:position w:val="3"/>
                <w:sz w:val="20"/>
                <w:szCs w:val="20"/>
              </w:rPr>
              <w:t>m</w:t>
            </w:r>
            <w:r>
              <w:rPr>
                <w:rFonts w:ascii="Times New Roman" w:hAnsi="Times New Roman" w:eastAsia="Times New Roman" w:cs="Times New Roman"/>
                <w:spacing w:val="12"/>
                <w:position w:val="9"/>
                <w:sz w:val="13"/>
                <w:szCs w:val="13"/>
              </w:rPr>
              <w:t>3</w:t>
            </w:r>
          </w:p>
        </w:tc>
        <w:tc>
          <w:tcPr>
            <w:tcW w:w="4056" w:type="dxa"/>
            <w:tcBorders>
              <w:right w:val="nil"/>
            </w:tcBorders>
          </w:tcPr>
          <w:p w14:paraId="261CACDE">
            <w:pPr>
              <w:spacing w:before="101" w:line="198" w:lineRule="auto"/>
              <w:ind w:left="19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2"/>
                <w:sz w:val="20"/>
                <w:szCs w:val="20"/>
              </w:rPr>
              <w:t>.5</w:t>
            </w:r>
          </w:p>
        </w:tc>
      </w:tr>
      <w:tr w14:paraId="597125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159" w:type="dxa"/>
            <w:tcBorders>
              <w:left w:val="nil"/>
            </w:tcBorders>
          </w:tcPr>
          <w:p w14:paraId="392220A7">
            <w:pPr>
              <w:spacing w:before="123" w:line="195" w:lineRule="auto"/>
              <w:ind w:left="530"/>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2149" w:type="dxa"/>
          </w:tcPr>
          <w:p w14:paraId="6D4B6B73">
            <w:pPr>
              <w:spacing w:before="84" w:line="229" w:lineRule="auto"/>
              <w:ind w:left="764"/>
              <w:rPr>
                <w:rFonts w:ascii="宋体" w:hAnsi="宋体" w:eastAsia="宋体" w:cs="宋体"/>
                <w:sz w:val="20"/>
                <w:szCs w:val="20"/>
              </w:rPr>
            </w:pPr>
            <w:r>
              <w:rPr>
                <w:rFonts w:ascii="宋体" w:hAnsi="宋体" w:eastAsia="宋体" w:cs="宋体"/>
                <w:spacing w:val="7"/>
                <w:sz w:val="20"/>
                <w:szCs w:val="20"/>
              </w:rPr>
              <w:t>硫化氢</w:t>
            </w:r>
          </w:p>
        </w:tc>
        <w:tc>
          <w:tcPr>
            <w:tcW w:w="2315" w:type="dxa"/>
          </w:tcPr>
          <w:p w14:paraId="0166113E">
            <w:pPr>
              <w:spacing w:before="49" w:line="281" w:lineRule="exact"/>
              <w:ind w:left="877"/>
              <w:rPr>
                <w:rFonts w:ascii="Times New Roman" w:hAnsi="Times New Roman" w:eastAsia="Times New Roman" w:cs="Times New Roman"/>
                <w:sz w:val="13"/>
                <w:szCs w:val="13"/>
              </w:rPr>
            </w:pPr>
            <w:r>
              <w:rPr>
                <w:rFonts w:ascii="Times New Roman" w:hAnsi="Times New Roman" w:eastAsia="Times New Roman" w:cs="Times New Roman"/>
                <w:position w:val="3"/>
                <w:sz w:val="20"/>
                <w:szCs w:val="20"/>
              </w:rPr>
              <w:t>mg</w:t>
            </w:r>
            <w:r>
              <w:rPr>
                <w:rFonts w:ascii="Times New Roman" w:hAnsi="Times New Roman" w:eastAsia="Times New Roman" w:cs="Times New Roman"/>
                <w:spacing w:val="12"/>
                <w:position w:val="3"/>
                <w:sz w:val="20"/>
                <w:szCs w:val="20"/>
              </w:rPr>
              <w:t>/</w:t>
            </w:r>
            <w:r>
              <w:rPr>
                <w:rFonts w:ascii="Times New Roman" w:hAnsi="Times New Roman" w:eastAsia="Times New Roman" w:cs="Times New Roman"/>
                <w:position w:val="3"/>
                <w:sz w:val="20"/>
                <w:szCs w:val="20"/>
              </w:rPr>
              <w:t>m</w:t>
            </w:r>
            <w:r>
              <w:rPr>
                <w:rFonts w:ascii="Times New Roman" w:hAnsi="Times New Roman" w:eastAsia="Times New Roman" w:cs="Times New Roman"/>
                <w:spacing w:val="12"/>
                <w:position w:val="9"/>
                <w:sz w:val="13"/>
                <w:szCs w:val="13"/>
              </w:rPr>
              <w:t>3</w:t>
            </w:r>
          </w:p>
        </w:tc>
        <w:tc>
          <w:tcPr>
            <w:tcW w:w="4056" w:type="dxa"/>
            <w:tcBorders>
              <w:right w:val="nil"/>
            </w:tcBorders>
          </w:tcPr>
          <w:p w14:paraId="43B031BE">
            <w:pPr>
              <w:spacing w:before="123" w:line="195" w:lineRule="auto"/>
              <w:ind w:left="184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2"/>
                <w:sz w:val="20"/>
                <w:szCs w:val="20"/>
              </w:rPr>
              <w:t>.06</w:t>
            </w:r>
          </w:p>
        </w:tc>
      </w:tr>
    </w:tbl>
    <w:p w14:paraId="64A6957F">
      <w:pPr>
        <w:spacing w:before="268" w:line="322" w:lineRule="exact"/>
        <w:ind w:left="1558"/>
        <w:rPr>
          <w:rFonts w:ascii="Times New Roman" w:hAnsi="Times New Roman" w:eastAsia="Times New Roman" w:cs="Times New Roman"/>
          <w:sz w:val="23"/>
          <w:szCs w:val="23"/>
        </w:rPr>
      </w:pPr>
      <w:r>
        <w:rPr>
          <w:rFonts w:ascii="黑体" w:hAnsi="黑体" w:eastAsia="黑体" w:cs="黑体"/>
          <w:spacing w:val="-2"/>
          <w:position w:val="3"/>
          <w:sz w:val="23"/>
          <w:szCs w:val="23"/>
        </w:rPr>
        <w:t xml:space="preserve">表 </w:t>
      </w:r>
      <w:r>
        <w:rPr>
          <w:rFonts w:ascii="Times New Roman" w:hAnsi="Times New Roman" w:eastAsia="Times New Roman" w:cs="Times New Roman"/>
          <w:spacing w:val="-2"/>
          <w:position w:val="3"/>
          <w:sz w:val="23"/>
          <w:szCs w:val="23"/>
        </w:rPr>
        <w:t xml:space="preserve">1.4-9    </w:t>
      </w:r>
      <w:r>
        <w:rPr>
          <w:rFonts w:ascii="黑体" w:hAnsi="黑体" w:eastAsia="黑体" w:cs="黑体"/>
          <w:spacing w:val="-2"/>
          <w:position w:val="3"/>
          <w:sz w:val="23"/>
          <w:szCs w:val="23"/>
        </w:rPr>
        <w:t>《大气污染物综合排放标准》  (</w:t>
      </w:r>
      <w:r>
        <w:rPr>
          <w:rFonts w:ascii="Times New Roman" w:hAnsi="Times New Roman" w:eastAsia="Times New Roman" w:cs="Times New Roman"/>
          <w:spacing w:val="-1"/>
          <w:position w:val="3"/>
          <w:sz w:val="23"/>
          <w:szCs w:val="23"/>
        </w:rPr>
        <w:t>GB</w:t>
      </w:r>
      <w:r>
        <w:rPr>
          <w:rFonts w:ascii="Times New Roman" w:hAnsi="Times New Roman" w:eastAsia="Times New Roman" w:cs="Times New Roman"/>
          <w:spacing w:val="-2"/>
          <w:position w:val="3"/>
          <w:sz w:val="23"/>
          <w:szCs w:val="23"/>
        </w:rPr>
        <w:t>16297- 1</w:t>
      </w:r>
      <w:r>
        <w:rPr>
          <w:rFonts w:ascii="Times New Roman" w:hAnsi="Times New Roman" w:eastAsia="Times New Roman" w:cs="Times New Roman"/>
          <w:spacing w:val="-1"/>
          <w:position w:val="3"/>
          <w:sz w:val="23"/>
          <w:szCs w:val="23"/>
        </w:rPr>
        <w:t>996</w:t>
      </w:r>
      <w:r>
        <w:rPr>
          <w:rFonts w:ascii="黑体" w:hAnsi="黑体" w:eastAsia="黑体" w:cs="黑体"/>
          <w:spacing w:val="-1"/>
          <w:position w:val="3"/>
          <w:sz w:val="23"/>
          <w:szCs w:val="23"/>
        </w:rPr>
        <w:t xml:space="preserve">) </w:t>
      </w:r>
      <w:r>
        <w:rPr>
          <w:rFonts w:ascii="Times New Roman" w:hAnsi="Times New Roman" w:eastAsia="Times New Roman" w:cs="Times New Roman"/>
          <w:spacing w:val="-1"/>
          <w:position w:val="3"/>
          <w:sz w:val="23"/>
          <w:szCs w:val="23"/>
        </w:rPr>
        <w:t>(</w:t>
      </w:r>
      <w:r>
        <w:rPr>
          <w:rFonts w:ascii="黑体" w:hAnsi="黑体" w:eastAsia="黑体" w:cs="黑体"/>
          <w:spacing w:val="-1"/>
          <w:position w:val="3"/>
          <w:sz w:val="23"/>
          <w:szCs w:val="23"/>
        </w:rPr>
        <w:t>摘录</w:t>
      </w:r>
      <w:r>
        <w:rPr>
          <w:rFonts w:ascii="Times New Roman" w:hAnsi="Times New Roman" w:eastAsia="Times New Roman" w:cs="Times New Roman"/>
          <w:spacing w:val="-1"/>
          <w:position w:val="3"/>
          <w:sz w:val="23"/>
          <w:szCs w:val="23"/>
        </w:rPr>
        <w:t>)</w:t>
      </w:r>
    </w:p>
    <w:tbl>
      <w:tblPr>
        <w:tblStyle w:val="4"/>
        <w:tblW w:w="9713"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53"/>
        <w:gridCol w:w="1487"/>
        <w:gridCol w:w="1913"/>
        <w:gridCol w:w="1887"/>
        <w:gridCol w:w="1353"/>
        <w:gridCol w:w="1620"/>
      </w:tblGrid>
      <w:tr w14:paraId="65526F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453" w:type="dxa"/>
            <w:vMerge w:val="restart"/>
            <w:tcBorders>
              <w:left w:val="nil"/>
              <w:bottom w:val="nil"/>
            </w:tcBorders>
          </w:tcPr>
          <w:p w14:paraId="65C2110F">
            <w:pPr>
              <w:spacing w:line="262" w:lineRule="auto"/>
            </w:pPr>
          </w:p>
          <w:p w14:paraId="61156A2D">
            <w:pPr>
              <w:spacing w:before="65" w:line="228" w:lineRule="auto"/>
              <w:ind w:left="420"/>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污染物</w:t>
            </w:r>
          </w:p>
        </w:tc>
        <w:tc>
          <w:tcPr>
            <w:tcW w:w="1487" w:type="dxa"/>
            <w:vMerge w:val="restart"/>
            <w:tcBorders>
              <w:bottom w:val="nil"/>
            </w:tcBorders>
          </w:tcPr>
          <w:p w14:paraId="0D97389C">
            <w:pPr>
              <w:spacing w:before="191" w:line="213" w:lineRule="auto"/>
              <w:ind w:left="120"/>
              <w:rPr>
                <w:rFonts w:ascii="宋体" w:hAnsi="宋体" w:eastAsia="宋体" w:cs="宋体"/>
                <w:sz w:val="20"/>
                <w:szCs w:val="20"/>
              </w:rPr>
            </w:pPr>
            <w:r>
              <w:rPr>
                <w:rFonts w:ascii="宋体" w:hAnsi="宋体" w:eastAsia="宋体" w:cs="宋体"/>
                <w:spacing w:val="11"/>
                <w:sz w:val="20"/>
                <w:szCs w:val="20"/>
                <w14:textOutline w14:w="3797" w14:cap="sq" w14:cmpd="sng" w14:algn="ctr">
                  <w14:solidFill>
                    <w14:srgbClr w14:val="000000"/>
                  </w14:solidFill>
                  <w14:prstDash w14:val="solid"/>
                  <w14:bevel/>
                </w14:textOutline>
              </w:rPr>
              <w:t>最</w:t>
            </w:r>
            <w:r>
              <w:rPr>
                <w:rFonts w:ascii="宋体" w:hAnsi="宋体" w:eastAsia="宋体" w:cs="宋体"/>
                <w:spacing w:val="8"/>
                <w:sz w:val="20"/>
                <w:szCs w:val="20"/>
                <w14:textOutline w14:w="3797" w14:cap="sq" w14:cmpd="sng" w14:algn="ctr">
                  <w14:solidFill>
                    <w14:srgbClr w14:val="000000"/>
                  </w14:solidFill>
                  <w14:prstDash w14:val="solid"/>
                  <w14:bevel/>
                </w14:textOutline>
              </w:rPr>
              <w:t>高允许排放</w:t>
            </w:r>
          </w:p>
          <w:p w14:paraId="7D63809A">
            <w:pPr>
              <w:spacing w:line="288" w:lineRule="exact"/>
              <w:ind w:left="180"/>
              <w:rPr>
                <w:rFonts w:ascii="Times New Roman" w:hAnsi="Times New Roman" w:eastAsia="Times New Roman" w:cs="Times New Roman"/>
                <w:sz w:val="20"/>
                <w:szCs w:val="20"/>
              </w:rPr>
            </w:pPr>
            <w:r>
              <w:rPr>
                <w:rFonts w:ascii="宋体" w:hAnsi="宋体" w:eastAsia="宋体" w:cs="宋体"/>
                <w:spacing w:val="8"/>
                <w:position w:val="3"/>
                <w:sz w:val="20"/>
                <w:szCs w:val="20"/>
                <w14:textOutline w14:w="3797" w14:cap="sq" w14:cmpd="sng" w14:algn="ctr">
                  <w14:solidFill>
                    <w14:srgbClr w14:val="000000"/>
                  </w14:solidFill>
                  <w14:prstDash w14:val="solid"/>
                  <w14:bevel/>
                </w14:textOutline>
              </w:rPr>
              <w:t>浓度</w:t>
            </w:r>
            <w:r>
              <w:rPr>
                <w:rFonts w:ascii="Times New Roman" w:hAnsi="Times New Roman" w:eastAsia="Times New Roman" w:cs="Times New Roman"/>
                <w:b/>
                <w:bCs/>
                <w:spacing w:val="8"/>
                <w:position w:val="3"/>
                <w:sz w:val="20"/>
                <w:szCs w:val="20"/>
              </w:rPr>
              <w:t>(</w:t>
            </w:r>
            <w:r>
              <w:rPr>
                <w:rFonts w:ascii="Times New Roman" w:hAnsi="Times New Roman" w:eastAsia="Times New Roman" w:cs="Times New Roman"/>
                <w:b/>
                <w:bCs/>
                <w:position w:val="3"/>
                <w:sz w:val="20"/>
                <w:szCs w:val="20"/>
              </w:rPr>
              <w:t>mg</w:t>
            </w:r>
            <w:r>
              <w:rPr>
                <w:rFonts w:ascii="Times New Roman" w:hAnsi="Times New Roman" w:eastAsia="Times New Roman" w:cs="Times New Roman"/>
                <w:b/>
                <w:bCs/>
                <w:spacing w:val="8"/>
                <w:position w:val="3"/>
                <w:sz w:val="20"/>
                <w:szCs w:val="20"/>
              </w:rPr>
              <w:t>/</w:t>
            </w:r>
            <w:r>
              <w:rPr>
                <w:rFonts w:ascii="Times New Roman" w:hAnsi="Times New Roman" w:eastAsia="Times New Roman" w:cs="Times New Roman"/>
                <w:b/>
                <w:bCs/>
                <w:position w:val="3"/>
                <w:sz w:val="20"/>
                <w:szCs w:val="20"/>
              </w:rPr>
              <w:t>m</w:t>
            </w:r>
            <w:r>
              <w:rPr>
                <w:rFonts w:ascii="Times New Roman" w:hAnsi="Times New Roman" w:eastAsia="Times New Roman" w:cs="Times New Roman"/>
                <w:b/>
                <w:bCs/>
                <w:spacing w:val="8"/>
                <w:position w:val="9"/>
                <w:sz w:val="13"/>
                <w:szCs w:val="13"/>
              </w:rPr>
              <w:t>3</w:t>
            </w:r>
            <w:r>
              <w:rPr>
                <w:rFonts w:ascii="Times New Roman" w:hAnsi="Times New Roman" w:eastAsia="Times New Roman" w:cs="Times New Roman"/>
                <w:b/>
                <w:bCs/>
                <w:spacing w:val="7"/>
                <w:position w:val="3"/>
                <w:sz w:val="20"/>
                <w:szCs w:val="20"/>
              </w:rPr>
              <w:t>)</w:t>
            </w:r>
          </w:p>
        </w:tc>
        <w:tc>
          <w:tcPr>
            <w:tcW w:w="3800" w:type="dxa"/>
            <w:gridSpan w:val="2"/>
          </w:tcPr>
          <w:p w14:paraId="6D497C2B">
            <w:pPr>
              <w:spacing w:before="102" w:line="289" w:lineRule="exact"/>
              <w:ind w:left="661"/>
              <w:rPr>
                <w:rFonts w:ascii="宋体" w:hAnsi="宋体" w:eastAsia="宋体" w:cs="宋体"/>
                <w:sz w:val="20"/>
                <w:szCs w:val="20"/>
              </w:rPr>
            </w:pPr>
            <w:r>
              <w:rPr>
                <w:rFonts w:ascii="宋体" w:hAnsi="宋体" w:eastAsia="宋体" w:cs="宋体"/>
                <w:spacing w:val="13"/>
                <w:position w:val="3"/>
                <w:sz w:val="20"/>
                <w:szCs w:val="20"/>
                <w14:textOutline w14:w="3797" w14:cap="sq" w14:cmpd="sng" w14:algn="ctr">
                  <w14:solidFill>
                    <w14:srgbClr w14:val="000000"/>
                  </w14:solidFill>
                  <w14:prstDash w14:val="solid"/>
                  <w14:bevel/>
                </w14:textOutline>
              </w:rPr>
              <w:t>最</w:t>
            </w:r>
            <w:r>
              <w:rPr>
                <w:rFonts w:ascii="宋体" w:hAnsi="宋体" w:eastAsia="宋体" w:cs="宋体"/>
                <w:spacing w:val="8"/>
                <w:position w:val="3"/>
                <w:sz w:val="20"/>
                <w:szCs w:val="20"/>
                <w14:textOutline w14:w="3797" w14:cap="sq" w14:cmpd="sng" w14:algn="ctr">
                  <w14:solidFill>
                    <w14:srgbClr w14:val="000000"/>
                  </w14:solidFill>
                  <w14:prstDash w14:val="solid"/>
                  <w14:bevel/>
                </w14:textOutline>
              </w:rPr>
              <w:t>高允许排放速率</w:t>
            </w:r>
            <w:r>
              <w:rPr>
                <w:rFonts w:ascii="宋体" w:hAnsi="宋体" w:eastAsia="宋体" w:cs="宋体"/>
                <w:spacing w:val="8"/>
                <w:position w:val="3"/>
                <w:sz w:val="20"/>
                <w:szCs w:val="20"/>
              </w:rPr>
              <w:t xml:space="preserve"> </w:t>
            </w:r>
            <w:r>
              <w:rPr>
                <w:rFonts w:ascii="宋体" w:hAnsi="宋体" w:eastAsia="宋体" w:cs="宋体"/>
                <w:spacing w:val="8"/>
                <w:position w:val="3"/>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position w:val="3"/>
                <w:sz w:val="20"/>
                <w:szCs w:val="20"/>
              </w:rPr>
              <w:t>kg</w:t>
            </w:r>
            <w:r>
              <w:rPr>
                <w:rFonts w:ascii="Times New Roman" w:hAnsi="Times New Roman" w:eastAsia="Times New Roman" w:cs="Times New Roman"/>
                <w:b/>
                <w:bCs/>
                <w:spacing w:val="8"/>
                <w:position w:val="3"/>
                <w:sz w:val="20"/>
                <w:szCs w:val="20"/>
              </w:rPr>
              <w:t>/</w:t>
            </w:r>
            <w:r>
              <w:rPr>
                <w:rFonts w:ascii="Times New Roman" w:hAnsi="Times New Roman" w:eastAsia="Times New Roman" w:cs="Times New Roman"/>
                <w:b/>
                <w:bCs/>
                <w:position w:val="3"/>
                <w:sz w:val="20"/>
                <w:szCs w:val="20"/>
              </w:rPr>
              <w:t>h</w:t>
            </w:r>
            <w:r>
              <w:rPr>
                <w:rFonts w:ascii="宋体" w:hAnsi="宋体" w:eastAsia="宋体" w:cs="宋体"/>
                <w:spacing w:val="8"/>
                <w:position w:val="3"/>
                <w:sz w:val="20"/>
                <w:szCs w:val="20"/>
                <w14:textOutline w14:w="3797" w14:cap="sq" w14:cmpd="sng" w14:algn="ctr">
                  <w14:solidFill>
                    <w14:srgbClr w14:val="000000"/>
                  </w14:solidFill>
                  <w14:prstDash w14:val="solid"/>
                  <w14:bevel/>
                </w14:textOutline>
              </w:rPr>
              <w:t>)</w:t>
            </w:r>
          </w:p>
        </w:tc>
        <w:tc>
          <w:tcPr>
            <w:tcW w:w="2973" w:type="dxa"/>
            <w:gridSpan w:val="2"/>
            <w:tcBorders>
              <w:right w:val="nil"/>
            </w:tcBorders>
          </w:tcPr>
          <w:p w14:paraId="372D70F0">
            <w:pPr>
              <w:spacing w:before="143" w:line="228" w:lineRule="auto"/>
              <w:ind w:left="337"/>
              <w:rPr>
                <w:rFonts w:ascii="宋体" w:hAnsi="宋体" w:eastAsia="宋体" w:cs="宋体"/>
                <w:sz w:val="20"/>
                <w:szCs w:val="20"/>
              </w:rPr>
            </w:pPr>
            <w:r>
              <w:rPr>
                <w:rFonts w:ascii="宋体" w:hAnsi="宋体" w:eastAsia="宋体" w:cs="宋体"/>
                <w:spacing w:val="16"/>
                <w:sz w:val="20"/>
                <w:szCs w:val="20"/>
                <w14:textOutline w14:w="3797" w14:cap="sq" w14:cmpd="sng" w14:algn="ctr">
                  <w14:solidFill>
                    <w14:srgbClr w14:val="000000"/>
                  </w14:solidFill>
                  <w14:prstDash w14:val="solid"/>
                  <w14:bevel/>
                </w14:textOutline>
              </w:rPr>
              <w:t>无</w:t>
            </w:r>
            <w:r>
              <w:rPr>
                <w:rFonts w:ascii="宋体" w:hAnsi="宋体" w:eastAsia="宋体" w:cs="宋体"/>
                <w:spacing w:val="9"/>
                <w:sz w:val="20"/>
                <w:szCs w:val="20"/>
                <w14:textOutline w14:w="3797" w14:cap="sq" w14:cmpd="sng" w14:algn="ctr">
                  <w14:solidFill>
                    <w14:srgbClr w14:val="000000"/>
                  </w14:solidFill>
                  <w14:prstDash w14:val="solid"/>
                  <w14:bevel/>
                </w14:textOutline>
              </w:rPr>
              <w:t>组织排放监控浓度限值</w:t>
            </w:r>
          </w:p>
        </w:tc>
      </w:tr>
      <w:tr w14:paraId="2A179F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453" w:type="dxa"/>
            <w:vMerge w:val="continue"/>
            <w:tcBorders>
              <w:top w:val="nil"/>
              <w:left w:val="nil"/>
            </w:tcBorders>
          </w:tcPr>
          <w:p w14:paraId="2691D938"/>
        </w:tc>
        <w:tc>
          <w:tcPr>
            <w:tcW w:w="1487" w:type="dxa"/>
            <w:vMerge w:val="continue"/>
            <w:tcBorders>
              <w:top w:val="nil"/>
            </w:tcBorders>
          </w:tcPr>
          <w:p w14:paraId="44470FBC"/>
        </w:tc>
        <w:tc>
          <w:tcPr>
            <w:tcW w:w="1913" w:type="dxa"/>
          </w:tcPr>
          <w:p w14:paraId="753389B1">
            <w:pPr>
              <w:spacing w:before="71" w:line="228" w:lineRule="auto"/>
              <w:ind w:left="140"/>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排</w:t>
            </w:r>
            <w:r>
              <w:rPr>
                <w:rFonts w:ascii="宋体" w:hAnsi="宋体" w:eastAsia="宋体" w:cs="宋体"/>
                <w:spacing w:val="7"/>
                <w:sz w:val="20"/>
                <w:szCs w:val="20"/>
                <w14:textOutline w14:w="3797" w14:cap="sq" w14:cmpd="sng" w14:algn="ctr">
                  <w14:solidFill>
                    <w14:srgbClr w14:val="000000"/>
                  </w14:solidFill>
                  <w14:prstDash w14:val="solid"/>
                  <w14:bevel/>
                </w14:textOutline>
              </w:rPr>
              <w:t>气</w:t>
            </w:r>
            <w:r>
              <w:rPr>
                <w:rFonts w:ascii="宋体" w:hAnsi="宋体" w:eastAsia="宋体" w:cs="宋体"/>
                <w:spacing w:val="4"/>
                <w:sz w:val="20"/>
                <w:szCs w:val="20"/>
                <w14:textOutline w14:w="3797" w14:cap="sq" w14:cmpd="sng" w14:algn="ctr">
                  <w14:solidFill>
                    <w14:srgbClr w14:val="000000"/>
                  </w14:solidFill>
                  <w14:prstDash w14:val="solid"/>
                  <w14:bevel/>
                </w14:textOutline>
              </w:rPr>
              <w:t>筒高度</w:t>
            </w:r>
            <w:r>
              <w:rPr>
                <w:rFonts w:ascii="宋体" w:hAnsi="宋体" w:eastAsia="宋体" w:cs="宋体"/>
                <w:spacing w:val="4"/>
                <w:sz w:val="20"/>
                <w:szCs w:val="20"/>
              </w:rPr>
              <w:t xml:space="preserve"> </w:t>
            </w:r>
            <w:r>
              <w:rPr>
                <w:rFonts w:ascii="宋体" w:hAnsi="宋体" w:eastAsia="宋体" w:cs="宋体"/>
                <w:spacing w:val="4"/>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sz w:val="20"/>
                <w:szCs w:val="20"/>
              </w:rPr>
              <w:t>m</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14:textOutline w14:w="3797" w14:cap="sq" w14:cmpd="sng" w14:algn="ctr">
                  <w14:solidFill>
                    <w14:srgbClr w14:val="000000"/>
                  </w14:solidFill>
                  <w14:prstDash w14:val="solid"/>
                  <w14:bevel/>
                </w14:textOutline>
              </w:rPr>
              <w:t>)</w:t>
            </w:r>
          </w:p>
        </w:tc>
        <w:tc>
          <w:tcPr>
            <w:tcW w:w="1887" w:type="dxa"/>
          </w:tcPr>
          <w:p w14:paraId="553648CE">
            <w:pPr>
              <w:spacing w:before="71" w:line="228" w:lineRule="auto"/>
              <w:ind w:left="119"/>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二级</w:t>
            </w:r>
            <w:r>
              <w:rPr>
                <w:rFonts w:ascii="宋体" w:hAnsi="宋体" w:eastAsia="宋体" w:cs="宋体"/>
                <w:spacing w:val="7"/>
                <w:sz w:val="20"/>
                <w:szCs w:val="20"/>
              </w:rPr>
              <w:t xml:space="preserve"> </w:t>
            </w:r>
            <w:r>
              <w:rPr>
                <w:rFonts w:ascii="宋体" w:hAnsi="宋体" w:eastAsia="宋体" w:cs="宋体"/>
                <w:spacing w:val="7"/>
                <w:sz w:val="20"/>
                <w:szCs w:val="20"/>
                <w14:textOutline w14:w="3797" w14:cap="sq" w14:cmpd="sng" w14:algn="ctr">
                  <w14:solidFill>
                    <w14:srgbClr w14:val="000000"/>
                  </w14:solidFill>
                  <w14:prstDash w14:val="solid"/>
                  <w14:bevel/>
                </w14:textOutline>
              </w:rPr>
              <w:t>(排放速率</w:t>
            </w:r>
            <w:r>
              <w:rPr>
                <w:rFonts w:ascii="宋体" w:hAnsi="宋体" w:eastAsia="宋体" w:cs="宋体"/>
                <w:spacing w:val="6"/>
                <w:sz w:val="20"/>
                <w:szCs w:val="20"/>
                <w14:textOutline w14:w="3797" w14:cap="sq" w14:cmpd="sng" w14:algn="ctr">
                  <w14:solidFill>
                    <w14:srgbClr w14:val="000000"/>
                  </w14:solidFill>
                  <w14:prstDash w14:val="solid"/>
                  <w14:bevel/>
                </w14:textOutline>
              </w:rPr>
              <w:t>)</w:t>
            </w:r>
          </w:p>
        </w:tc>
        <w:tc>
          <w:tcPr>
            <w:tcW w:w="1353" w:type="dxa"/>
          </w:tcPr>
          <w:p w14:paraId="1E93EA45">
            <w:pPr>
              <w:spacing w:before="72" w:line="228" w:lineRule="auto"/>
              <w:ind w:left="368"/>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监</w:t>
            </w:r>
            <w:r>
              <w:rPr>
                <w:rFonts w:ascii="宋体" w:hAnsi="宋体" w:eastAsia="宋体" w:cs="宋体"/>
                <w:spacing w:val="7"/>
                <w:sz w:val="20"/>
                <w:szCs w:val="20"/>
                <w14:textOutline w14:w="3797" w14:cap="sq" w14:cmpd="sng" w14:algn="ctr">
                  <w14:solidFill>
                    <w14:srgbClr w14:val="000000"/>
                  </w14:solidFill>
                  <w14:prstDash w14:val="solid"/>
                  <w14:bevel/>
                </w14:textOutline>
              </w:rPr>
              <w:t>控点</w:t>
            </w:r>
          </w:p>
        </w:tc>
        <w:tc>
          <w:tcPr>
            <w:tcW w:w="1620" w:type="dxa"/>
            <w:tcBorders>
              <w:right w:val="nil"/>
            </w:tcBorders>
          </w:tcPr>
          <w:p w14:paraId="2B8F0DF8">
            <w:pPr>
              <w:spacing w:before="30" w:line="289" w:lineRule="exact"/>
              <w:ind w:left="245"/>
              <w:rPr>
                <w:rFonts w:ascii="Times New Roman" w:hAnsi="Times New Roman" w:eastAsia="Times New Roman" w:cs="Times New Roman"/>
                <w:sz w:val="20"/>
                <w:szCs w:val="20"/>
              </w:rPr>
            </w:pPr>
            <w:r>
              <w:rPr>
                <w:rFonts w:ascii="宋体" w:hAnsi="宋体" w:eastAsia="宋体" w:cs="宋体"/>
                <w:spacing w:val="8"/>
                <w:position w:val="3"/>
                <w:sz w:val="20"/>
                <w:szCs w:val="20"/>
                <w14:textOutline w14:w="3797" w14:cap="sq" w14:cmpd="sng" w14:algn="ctr">
                  <w14:solidFill>
                    <w14:srgbClr w14:val="000000"/>
                  </w14:solidFill>
                  <w14:prstDash w14:val="solid"/>
                  <w14:bevel/>
                </w14:textOutline>
              </w:rPr>
              <w:t>浓度</w:t>
            </w:r>
            <w:r>
              <w:rPr>
                <w:rFonts w:ascii="Times New Roman" w:hAnsi="Times New Roman" w:eastAsia="Times New Roman" w:cs="Times New Roman"/>
                <w:b/>
                <w:bCs/>
                <w:spacing w:val="8"/>
                <w:position w:val="3"/>
                <w:sz w:val="20"/>
                <w:szCs w:val="20"/>
              </w:rPr>
              <w:t>(</w:t>
            </w:r>
            <w:r>
              <w:rPr>
                <w:rFonts w:ascii="Times New Roman" w:hAnsi="Times New Roman" w:eastAsia="Times New Roman" w:cs="Times New Roman"/>
                <w:b/>
                <w:bCs/>
                <w:position w:val="3"/>
                <w:sz w:val="20"/>
                <w:szCs w:val="20"/>
              </w:rPr>
              <w:t>mg</w:t>
            </w:r>
            <w:r>
              <w:rPr>
                <w:rFonts w:ascii="Times New Roman" w:hAnsi="Times New Roman" w:eastAsia="Times New Roman" w:cs="Times New Roman"/>
                <w:b/>
                <w:bCs/>
                <w:spacing w:val="8"/>
                <w:position w:val="3"/>
                <w:sz w:val="20"/>
                <w:szCs w:val="20"/>
              </w:rPr>
              <w:t>/</w:t>
            </w:r>
            <w:r>
              <w:rPr>
                <w:rFonts w:ascii="Times New Roman" w:hAnsi="Times New Roman" w:eastAsia="Times New Roman" w:cs="Times New Roman"/>
                <w:b/>
                <w:bCs/>
                <w:position w:val="3"/>
                <w:sz w:val="20"/>
                <w:szCs w:val="20"/>
              </w:rPr>
              <w:t>m</w:t>
            </w:r>
            <w:r>
              <w:rPr>
                <w:rFonts w:ascii="Times New Roman" w:hAnsi="Times New Roman" w:eastAsia="Times New Roman" w:cs="Times New Roman"/>
                <w:b/>
                <w:bCs/>
                <w:spacing w:val="8"/>
                <w:position w:val="9"/>
                <w:sz w:val="13"/>
                <w:szCs w:val="13"/>
              </w:rPr>
              <w:t>3</w:t>
            </w:r>
            <w:r>
              <w:rPr>
                <w:rFonts w:ascii="Times New Roman" w:hAnsi="Times New Roman" w:eastAsia="Times New Roman" w:cs="Times New Roman"/>
                <w:b/>
                <w:bCs/>
                <w:spacing w:val="7"/>
                <w:position w:val="3"/>
                <w:sz w:val="20"/>
                <w:szCs w:val="20"/>
              </w:rPr>
              <w:t>)</w:t>
            </w:r>
          </w:p>
        </w:tc>
      </w:tr>
      <w:tr w14:paraId="05CEFE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453" w:type="dxa"/>
            <w:tcBorders>
              <w:left w:val="nil"/>
            </w:tcBorders>
          </w:tcPr>
          <w:p w14:paraId="6756E0EE">
            <w:pPr>
              <w:spacing w:before="61" w:line="228" w:lineRule="auto"/>
              <w:ind w:left="417"/>
              <w:rPr>
                <w:rFonts w:ascii="宋体" w:hAnsi="宋体" w:eastAsia="宋体" w:cs="宋体"/>
                <w:sz w:val="20"/>
                <w:szCs w:val="20"/>
              </w:rPr>
            </w:pPr>
            <w:r>
              <w:rPr>
                <w:rFonts w:ascii="宋体" w:hAnsi="宋体" w:eastAsia="宋体" w:cs="宋体"/>
                <w:spacing w:val="7"/>
                <w:sz w:val="20"/>
                <w:szCs w:val="20"/>
              </w:rPr>
              <w:t>颗粒物</w:t>
            </w:r>
          </w:p>
        </w:tc>
        <w:tc>
          <w:tcPr>
            <w:tcW w:w="1487" w:type="dxa"/>
          </w:tcPr>
          <w:p w14:paraId="0B00062C">
            <w:pPr>
              <w:spacing w:before="99" w:line="195" w:lineRule="auto"/>
              <w:ind w:left="60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120</w:t>
            </w:r>
          </w:p>
        </w:tc>
        <w:tc>
          <w:tcPr>
            <w:tcW w:w="1913" w:type="dxa"/>
          </w:tcPr>
          <w:p w14:paraId="1AF97531">
            <w:pPr>
              <w:spacing w:before="99" w:line="195" w:lineRule="auto"/>
              <w:ind w:left="87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7"/>
                <w:sz w:val="20"/>
                <w:szCs w:val="20"/>
              </w:rPr>
              <w:t>5</w:t>
            </w:r>
          </w:p>
        </w:tc>
        <w:tc>
          <w:tcPr>
            <w:tcW w:w="1887" w:type="dxa"/>
          </w:tcPr>
          <w:p w14:paraId="6F119CE8">
            <w:pPr>
              <w:spacing w:before="99" w:line="195" w:lineRule="auto"/>
              <w:ind w:left="81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w:t>
            </w:r>
          </w:p>
        </w:tc>
        <w:tc>
          <w:tcPr>
            <w:tcW w:w="1353" w:type="dxa"/>
            <w:vMerge w:val="restart"/>
            <w:tcBorders>
              <w:bottom w:val="nil"/>
            </w:tcBorders>
          </w:tcPr>
          <w:p w14:paraId="11BD74C2">
            <w:pPr>
              <w:spacing w:before="264" w:line="267" w:lineRule="auto"/>
              <w:ind w:left="369" w:right="150" w:hanging="212"/>
              <w:rPr>
                <w:rFonts w:ascii="宋体" w:hAnsi="宋体" w:eastAsia="宋体" w:cs="宋体"/>
                <w:sz w:val="20"/>
                <w:szCs w:val="20"/>
              </w:rPr>
            </w:pPr>
            <w:r>
              <w:rPr>
                <w:rFonts w:ascii="宋体" w:hAnsi="宋体" w:eastAsia="宋体" w:cs="宋体"/>
                <w:spacing w:val="8"/>
                <w:sz w:val="20"/>
                <w:szCs w:val="20"/>
              </w:rPr>
              <w:t>周界外浓</w:t>
            </w:r>
            <w:r>
              <w:rPr>
                <w:rFonts w:ascii="宋体" w:hAnsi="宋体" w:eastAsia="宋体" w:cs="宋体"/>
                <w:spacing w:val="7"/>
                <w:sz w:val="20"/>
                <w:szCs w:val="20"/>
              </w:rPr>
              <w:t>度</w:t>
            </w:r>
            <w:r>
              <w:rPr>
                <w:rFonts w:ascii="宋体" w:hAnsi="宋体" w:eastAsia="宋体" w:cs="宋体"/>
                <w:sz w:val="20"/>
                <w:szCs w:val="20"/>
              </w:rPr>
              <w:t xml:space="preserve"> </w:t>
            </w:r>
            <w:r>
              <w:rPr>
                <w:rFonts w:ascii="宋体" w:hAnsi="宋体" w:eastAsia="宋体" w:cs="宋体"/>
                <w:spacing w:val="6"/>
                <w:sz w:val="20"/>
                <w:szCs w:val="20"/>
              </w:rPr>
              <w:t>最高点</w:t>
            </w:r>
          </w:p>
        </w:tc>
        <w:tc>
          <w:tcPr>
            <w:tcW w:w="1620" w:type="dxa"/>
            <w:tcBorders>
              <w:right w:val="nil"/>
            </w:tcBorders>
          </w:tcPr>
          <w:p w14:paraId="2C34EF59">
            <w:pPr>
              <w:spacing w:before="98" w:line="198" w:lineRule="auto"/>
              <w:ind w:left="70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w:t>
            </w:r>
          </w:p>
        </w:tc>
      </w:tr>
      <w:tr w14:paraId="793C1B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34" w:hRule="atLeast"/>
        </w:trPr>
        <w:tc>
          <w:tcPr>
            <w:tcW w:w="1453" w:type="dxa"/>
            <w:tcBorders>
              <w:left w:val="nil"/>
            </w:tcBorders>
          </w:tcPr>
          <w:p w14:paraId="70F32994">
            <w:pPr>
              <w:spacing w:before="62" w:line="227" w:lineRule="auto"/>
              <w:ind w:left="316"/>
              <w:rPr>
                <w:rFonts w:ascii="宋体" w:hAnsi="宋体" w:eastAsia="宋体" w:cs="宋体"/>
                <w:sz w:val="20"/>
                <w:szCs w:val="20"/>
              </w:rPr>
            </w:pPr>
            <w:r>
              <w:rPr>
                <w:rFonts w:ascii="宋体" w:hAnsi="宋体" w:eastAsia="宋体" w:cs="宋体"/>
                <w:spacing w:val="8"/>
                <w:sz w:val="20"/>
                <w:szCs w:val="20"/>
              </w:rPr>
              <w:t>二</w:t>
            </w:r>
            <w:r>
              <w:rPr>
                <w:rFonts w:ascii="宋体" w:hAnsi="宋体" w:eastAsia="宋体" w:cs="宋体"/>
                <w:spacing w:val="6"/>
                <w:sz w:val="20"/>
                <w:szCs w:val="20"/>
              </w:rPr>
              <w:t>氧化硫</w:t>
            </w:r>
          </w:p>
        </w:tc>
        <w:tc>
          <w:tcPr>
            <w:tcW w:w="1487" w:type="dxa"/>
          </w:tcPr>
          <w:p w14:paraId="3B8EFBF7">
            <w:pPr>
              <w:spacing w:before="98" w:line="195" w:lineRule="auto"/>
              <w:ind w:left="59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55</w:t>
            </w:r>
            <w:r>
              <w:rPr>
                <w:rFonts w:ascii="Times New Roman" w:hAnsi="Times New Roman" w:eastAsia="Times New Roman" w:cs="Times New Roman"/>
                <w:spacing w:val="1"/>
                <w:sz w:val="20"/>
                <w:szCs w:val="20"/>
              </w:rPr>
              <w:t>0</w:t>
            </w:r>
          </w:p>
        </w:tc>
        <w:tc>
          <w:tcPr>
            <w:tcW w:w="1913" w:type="dxa"/>
          </w:tcPr>
          <w:p w14:paraId="77650D77">
            <w:pPr>
              <w:spacing w:before="98" w:line="195" w:lineRule="auto"/>
              <w:ind w:left="87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7"/>
                <w:sz w:val="20"/>
                <w:szCs w:val="20"/>
              </w:rPr>
              <w:t>5</w:t>
            </w:r>
          </w:p>
        </w:tc>
        <w:tc>
          <w:tcPr>
            <w:tcW w:w="1887" w:type="dxa"/>
          </w:tcPr>
          <w:p w14:paraId="7AC28D28">
            <w:pPr>
              <w:spacing w:before="98" w:line="198" w:lineRule="auto"/>
              <w:ind w:left="81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2.6</w:t>
            </w:r>
          </w:p>
        </w:tc>
        <w:tc>
          <w:tcPr>
            <w:tcW w:w="1353" w:type="dxa"/>
            <w:vMerge w:val="continue"/>
            <w:tcBorders>
              <w:top w:val="nil"/>
              <w:bottom w:val="nil"/>
            </w:tcBorders>
          </w:tcPr>
          <w:p w14:paraId="14AE2C59"/>
        </w:tc>
        <w:tc>
          <w:tcPr>
            <w:tcW w:w="1620" w:type="dxa"/>
            <w:tcBorders>
              <w:right w:val="nil"/>
            </w:tcBorders>
          </w:tcPr>
          <w:p w14:paraId="78E80CB3">
            <w:pPr>
              <w:spacing w:before="98" w:line="195" w:lineRule="auto"/>
              <w:ind w:left="68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w:t>
            </w:r>
            <w:r>
              <w:rPr>
                <w:rFonts w:ascii="Times New Roman" w:hAnsi="Times New Roman" w:eastAsia="Times New Roman" w:cs="Times New Roman"/>
                <w:spacing w:val="1"/>
                <w:sz w:val="20"/>
                <w:szCs w:val="20"/>
              </w:rPr>
              <w:t>4</w:t>
            </w:r>
          </w:p>
        </w:tc>
      </w:tr>
      <w:tr w14:paraId="410CD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1453" w:type="dxa"/>
            <w:tcBorders>
              <w:left w:val="nil"/>
            </w:tcBorders>
          </w:tcPr>
          <w:p w14:paraId="1209FD7F">
            <w:pPr>
              <w:spacing w:before="64" w:line="227" w:lineRule="auto"/>
              <w:ind w:left="311"/>
              <w:rPr>
                <w:rFonts w:ascii="宋体" w:hAnsi="宋体" w:eastAsia="宋体" w:cs="宋体"/>
                <w:sz w:val="20"/>
                <w:szCs w:val="20"/>
              </w:rPr>
            </w:pPr>
            <w:r>
              <w:rPr>
                <w:rFonts w:ascii="宋体" w:hAnsi="宋体" w:eastAsia="宋体" w:cs="宋体"/>
                <w:spacing w:val="8"/>
                <w:sz w:val="20"/>
                <w:szCs w:val="20"/>
              </w:rPr>
              <w:t>氮氧化</w:t>
            </w:r>
            <w:r>
              <w:rPr>
                <w:rFonts w:ascii="宋体" w:hAnsi="宋体" w:eastAsia="宋体" w:cs="宋体"/>
                <w:spacing w:val="7"/>
                <w:sz w:val="20"/>
                <w:szCs w:val="20"/>
              </w:rPr>
              <w:t>物</w:t>
            </w:r>
          </w:p>
        </w:tc>
        <w:tc>
          <w:tcPr>
            <w:tcW w:w="1487" w:type="dxa"/>
          </w:tcPr>
          <w:p w14:paraId="244EA31E">
            <w:pPr>
              <w:spacing w:before="100" w:line="195" w:lineRule="auto"/>
              <w:ind w:left="58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40</w:t>
            </w:r>
          </w:p>
        </w:tc>
        <w:tc>
          <w:tcPr>
            <w:tcW w:w="1913" w:type="dxa"/>
          </w:tcPr>
          <w:p w14:paraId="77D46F4A">
            <w:pPr>
              <w:spacing w:before="100" w:line="195" w:lineRule="auto"/>
              <w:ind w:left="87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7"/>
                <w:sz w:val="20"/>
                <w:szCs w:val="20"/>
              </w:rPr>
              <w:t>5</w:t>
            </w:r>
          </w:p>
        </w:tc>
        <w:tc>
          <w:tcPr>
            <w:tcW w:w="1887" w:type="dxa"/>
          </w:tcPr>
          <w:p w14:paraId="2BBE6F55">
            <w:pPr>
              <w:spacing w:before="100" w:line="195" w:lineRule="auto"/>
              <w:ind w:left="76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2"/>
                <w:sz w:val="20"/>
                <w:szCs w:val="20"/>
              </w:rPr>
              <w:t>.77</w:t>
            </w:r>
          </w:p>
        </w:tc>
        <w:tc>
          <w:tcPr>
            <w:tcW w:w="1353" w:type="dxa"/>
            <w:vMerge w:val="continue"/>
            <w:tcBorders>
              <w:top w:val="nil"/>
            </w:tcBorders>
          </w:tcPr>
          <w:p w14:paraId="43C1D6B0"/>
        </w:tc>
        <w:tc>
          <w:tcPr>
            <w:tcW w:w="1620" w:type="dxa"/>
            <w:tcBorders>
              <w:right w:val="nil"/>
            </w:tcBorders>
          </w:tcPr>
          <w:p w14:paraId="7E55EA5C">
            <w:pPr>
              <w:spacing w:before="100" w:line="195" w:lineRule="auto"/>
              <w:ind w:left="63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0. 12</w:t>
            </w:r>
          </w:p>
        </w:tc>
      </w:tr>
    </w:tbl>
    <w:p w14:paraId="247EF8C5">
      <w:pPr>
        <w:spacing w:before="37" w:line="227" w:lineRule="auto"/>
        <w:ind w:left="1028"/>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2</w:t>
      </w:r>
      <w:r>
        <w:rPr>
          <w:rFonts w:ascii="宋体" w:hAnsi="宋体" w:eastAsia="宋体" w:cs="宋体"/>
          <w:spacing w:val="20"/>
          <w:sz w:val="23"/>
          <w:szCs w:val="23"/>
        </w:rPr>
        <w:t>) 废水排</w:t>
      </w:r>
      <w:r>
        <w:rPr>
          <w:rFonts w:ascii="宋体" w:hAnsi="宋体" w:eastAsia="宋体" w:cs="宋体"/>
          <w:spacing w:val="19"/>
          <w:sz w:val="23"/>
          <w:szCs w:val="23"/>
        </w:rPr>
        <w:t>放</w:t>
      </w:r>
    </w:p>
    <w:p w14:paraId="361A5610">
      <w:pPr>
        <w:spacing w:before="181" w:line="375" w:lineRule="auto"/>
        <w:ind w:left="536" w:right="573" w:firstLine="481"/>
        <w:rPr>
          <w:rFonts w:ascii="宋体" w:hAnsi="宋体" w:eastAsia="宋体" w:cs="宋体"/>
          <w:sz w:val="23"/>
          <w:szCs w:val="23"/>
        </w:rPr>
      </w:pPr>
      <w:r>
        <w:rPr>
          <w:rFonts w:ascii="宋体" w:hAnsi="宋体" w:eastAsia="宋体" w:cs="宋体"/>
          <w:spacing w:val="18"/>
          <w:sz w:val="23"/>
          <w:szCs w:val="23"/>
        </w:rPr>
        <w:t>本项</w:t>
      </w:r>
      <w:r>
        <w:rPr>
          <w:rFonts w:ascii="宋体" w:hAnsi="宋体" w:eastAsia="宋体" w:cs="宋体"/>
          <w:spacing w:val="14"/>
          <w:sz w:val="23"/>
          <w:szCs w:val="23"/>
        </w:rPr>
        <w:t>目</w:t>
      </w:r>
      <w:r>
        <w:rPr>
          <w:rFonts w:ascii="宋体" w:hAnsi="宋体" w:eastAsia="宋体" w:cs="宋体"/>
          <w:spacing w:val="9"/>
          <w:sz w:val="23"/>
          <w:szCs w:val="23"/>
        </w:rPr>
        <w:t>生活污水经隔油池、化粪池处理后用作业主自有林地灌溉；养殖废水目</w:t>
      </w:r>
      <w:r>
        <w:rPr>
          <w:rFonts w:ascii="宋体" w:hAnsi="宋体" w:eastAsia="宋体" w:cs="宋体"/>
          <w:sz w:val="23"/>
          <w:szCs w:val="23"/>
        </w:rPr>
        <w:t xml:space="preserve"> </w:t>
      </w:r>
      <w:r>
        <w:rPr>
          <w:rFonts w:ascii="宋体" w:hAnsi="宋体" w:eastAsia="宋体" w:cs="宋体"/>
          <w:spacing w:val="18"/>
          <w:sz w:val="23"/>
          <w:szCs w:val="23"/>
        </w:rPr>
        <w:t>前</w:t>
      </w:r>
      <w:r>
        <w:rPr>
          <w:rFonts w:ascii="宋体" w:hAnsi="宋体" w:eastAsia="宋体" w:cs="宋体"/>
          <w:spacing w:val="9"/>
          <w:sz w:val="23"/>
          <w:szCs w:val="23"/>
        </w:rPr>
        <w:t>拟运输至乐山乐高勤力生物质能源综合利用有限公司集中处置 (协议见附件) ，</w:t>
      </w:r>
      <w:r>
        <w:rPr>
          <w:rFonts w:ascii="宋体" w:hAnsi="宋体" w:eastAsia="宋体" w:cs="宋体"/>
          <w:sz w:val="23"/>
          <w:szCs w:val="23"/>
        </w:rPr>
        <w:t xml:space="preserve"> </w:t>
      </w:r>
      <w:r>
        <w:rPr>
          <w:rFonts w:ascii="宋体" w:hAnsi="宋体" w:eastAsia="宋体" w:cs="宋体"/>
          <w:spacing w:val="18"/>
          <w:sz w:val="23"/>
          <w:szCs w:val="23"/>
        </w:rPr>
        <w:t>日产日</w:t>
      </w:r>
      <w:r>
        <w:rPr>
          <w:rFonts w:ascii="宋体" w:hAnsi="宋体" w:eastAsia="宋体" w:cs="宋体"/>
          <w:spacing w:val="9"/>
          <w:sz w:val="23"/>
          <w:szCs w:val="23"/>
        </w:rPr>
        <w:t>清，同时，厂区还配套建设一套发酵床备用，若后期乐山乐高勤力生物质能</w:t>
      </w:r>
      <w:r>
        <w:rPr>
          <w:rFonts w:ascii="宋体" w:hAnsi="宋体" w:eastAsia="宋体" w:cs="宋体"/>
          <w:sz w:val="23"/>
          <w:szCs w:val="23"/>
        </w:rPr>
        <w:t xml:space="preserve"> </w:t>
      </w:r>
      <w:r>
        <w:rPr>
          <w:rFonts w:ascii="宋体" w:hAnsi="宋体" w:eastAsia="宋体" w:cs="宋体"/>
          <w:spacing w:val="18"/>
          <w:sz w:val="23"/>
          <w:szCs w:val="23"/>
        </w:rPr>
        <w:t>源综合</w:t>
      </w:r>
      <w:r>
        <w:rPr>
          <w:rFonts w:ascii="宋体" w:hAnsi="宋体" w:eastAsia="宋体" w:cs="宋体"/>
          <w:spacing w:val="9"/>
          <w:sz w:val="23"/>
          <w:szCs w:val="23"/>
        </w:rPr>
        <w:t>利用有限公司不再回收厂区内的养殖废水，可将通过异位发酵床自行处置，</w:t>
      </w:r>
      <w:r>
        <w:rPr>
          <w:rFonts w:ascii="宋体" w:hAnsi="宋体" w:eastAsia="宋体" w:cs="宋体"/>
          <w:sz w:val="23"/>
          <w:szCs w:val="23"/>
        </w:rPr>
        <w:t xml:space="preserve"> </w:t>
      </w:r>
      <w:r>
        <w:rPr>
          <w:rFonts w:ascii="宋体" w:hAnsi="宋体" w:eastAsia="宋体" w:cs="宋体"/>
          <w:spacing w:val="9"/>
          <w:sz w:val="23"/>
          <w:szCs w:val="23"/>
        </w:rPr>
        <w:t>处理产生的有机肥外售处理，不外排</w:t>
      </w:r>
      <w:r>
        <w:rPr>
          <w:rFonts w:ascii="宋体" w:hAnsi="宋体" w:eastAsia="宋体" w:cs="宋体"/>
          <w:spacing w:val="7"/>
          <w:sz w:val="23"/>
          <w:szCs w:val="23"/>
        </w:rPr>
        <w:t>。</w:t>
      </w:r>
    </w:p>
    <w:p w14:paraId="2B647C01">
      <w:pPr>
        <w:spacing w:before="2" w:line="374" w:lineRule="auto"/>
        <w:ind w:left="536" w:right="458" w:firstLine="484"/>
        <w:rPr>
          <w:rFonts w:ascii="宋体" w:hAnsi="宋体" w:eastAsia="宋体" w:cs="宋体"/>
          <w:sz w:val="23"/>
          <w:szCs w:val="23"/>
        </w:rPr>
      </w:pPr>
      <w:r>
        <w:rPr>
          <w:rFonts w:ascii="宋体" w:hAnsi="宋体" w:eastAsia="宋体" w:cs="宋体"/>
          <w:spacing w:val="4"/>
          <w:sz w:val="23"/>
          <w:szCs w:val="23"/>
        </w:rPr>
        <w:t>项目采用尿泡粪工艺，根据《畜禽养殖业污染物排放标准》 (</w:t>
      </w:r>
      <w:r>
        <w:rPr>
          <w:rFonts w:ascii="Times New Roman" w:hAnsi="Times New Roman" w:eastAsia="Times New Roman" w:cs="Times New Roman"/>
          <w:sz w:val="23"/>
          <w:szCs w:val="23"/>
        </w:rPr>
        <w:t>GB</w:t>
      </w:r>
      <w:r>
        <w:rPr>
          <w:rFonts w:ascii="Times New Roman" w:hAnsi="Times New Roman" w:eastAsia="Times New Roman" w:cs="Times New Roman"/>
          <w:spacing w:val="4"/>
          <w:sz w:val="23"/>
          <w:szCs w:val="23"/>
        </w:rPr>
        <w:t>18596-2001</w:t>
      </w:r>
      <w:r>
        <w:rPr>
          <w:rFonts w:ascii="宋体" w:hAnsi="宋体" w:eastAsia="宋体" w:cs="宋体"/>
          <w:spacing w:val="4"/>
          <w:sz w:val="23"/>
          <w:szCs w:val="23"/>
        </w:rPr>
        <w:t>)</w:t>
      </w:r>
      <w:r>
        <w:rPr>
          <w:rFonts w:ascii="宋体" w:hAnsi="宋体" w:eastAsia="宋体" w:cs="宋体"/>
          <w:spacing w:val="3"/>
          <w:sz w:val="23"/>
          <w:szCs w:val="23"/>
        </w:rPr>
        <w:t xml:space="preserve"> </w:t>
      </w:r>
      <w:r>
        <w:rPr>
          <w:rFonts w:ascii="宋体" w:hAnsi="宋体" w:eastAsia="宋体" w:cs="宋体"/>
          <w:sz w:val="23"/>
          <w:szCs w:val="23"/>
        </w:rPr>
        <w:t xml:space="preserve">， </w:t>
      </w:r>
      <w:r>
        <w:rPr>
          <w:rFonts w:ascii="宋体" w:hAnsi="宋体" w:eastAsia="宋体" w:cs="宋体"/>
          <w:spacing w:val="2"/>
          <w:sz w:val="23"/>
          <w:szCs w:val="23"/>
        </w:rPr>
        <w:t xml:space="preserve">尿泡粪工艺最高允许排水量见表 </w:t>
      </w:r>
      <w:r>
        <w:rPr>
          <w:rFonts w:ascii="Times New Roman" w:hAnsi="Times New Roman" w:eastAsia="Times New Roman" w:cs="Times New Roman"/>
          <w:spacing w:val="2"/>
          <w:sz w:val="23"/>
          <w:szCs w:val="23"/>
        </w:rPr>
        <w:t>1.4- 10</w:t>
      </w:r>
      <w:r>
        <w:rPr>
          <w:rFonts w:ascii="宋体" w:hAnsi="宋体" w:eastAsia="宋体" w:cs="宋体"/>
          <w:sz w:val="23"/>
          <w:szCs w:val="23"/>
        </w:rPr>
        <w:t>。</w:t>
      </w:r>
    </w:p>
    <w:p w14:paraId="48F6042F">
      <w:pPr>
        <w:spacing w:before="1" w:line="221" w:lineRule="auto"/>
        <w:ind w:left="2024"/>
        <w:rPr>
          <w:rFonts w:ascii="黑体" w:hAnsi="黑体" w:eastAsia="黑体" w:cs="黑体"/>
          <w:sz w:val="23"/>
          <w:szCs w:val="23"/>
        </w:rPr>
      </w:pPr>
      <w:r>
        <w:rPr>
          <w:rFonts w:ascii="黑体" w:hAnsi="黑体" w:eastAsia="黑体" w:cs="黑体"/>
          <w:spacing w:val="6"/>
          <w:sz w:val="23"/>
          <w:szCs w:val="23"/>
        </w:rPr>
        <w:t xml:space="preserve">表 </w:t>
      </w:r>
      <w:r>
        <w:rPr>
          <w:rFonts w:ascii="Times New Roman" w:hAnsi="Times New Roman" w:eastAsia="Times New Roman" w:cs="Times New Roman"/>
          <w:spacing w:val="6"/>
          <w:sz w:val="23"/>
          <w:szCs w:val="23"/>
        </w:rPr>
        <w:t>1.</w:t>
      </w:r>
      <w:r>
        <w:rPr>
          <w:rFonts w:ascii="Times New Roman" w:hAnsi="Times New Roman" w:eastAsia="Times New Roman" w:cs="Times New Roman"/>
          <w:spacing w:val="4"/>
          <w:sz w:val="23"/>
          <w:szCs w:val="23"/>
        </w:rPr>
        <w:t>4</w:t>
      </w:r>
      <w:r>
        <w:rPr>
          <w:rFonts w:ascii="Times New Roman" w:hAnsi="Times New Roman" w:eastAsia="Times New Roman" w:cs="Times New Roman"/>
          <w:spacing w:val="3"/>
          <w:sz w:val="23"/>
          <w:szCs w:val="23"/>
        </w:rPr>
        <w:t xml:space="preserve">- 10    </w:t>
      </w:r>
      <w:r>
        <w:rPr>
          <w:rFonts w:ascii="黑体" w:hAnsi="黑体" w:eastAsia="黑体" w:cs="黑体"/>
          <w:spacing w:val="3"/>
          <w:sz w:val="23"/>
          <w:szCs w:val="23"/>
        </w:rPr>
        <w:t>集约化畜禽养殖业尿泡粪工艺最高允许排水</w:t>
      </w:r>
    </w:p>
    <w:p w14:paraId="210B6667">
      <w:pPr>
        <w:spacing w:line="29" w:lineRule="exact"/>
        <w:ind w:firstLine="335"/>
        <w:textAlignment w:val="center"/>
      </w:pPr>
      <w:r>
        <w:pict>
          <v:shape id="_x0000_s2140" o:spid="_x0000_s2140" style="height:0pt;width:453.55pt;" filled="f" coordsize="9072,29" path="m0,0l9072,0e">
            <v:fill on="f" focussize="0,0"/>
            <v:stroke weight="1.44pt" miterlimit="2" joinstyle="bevel"/>
            <v:imagedata o:title=""/>
            <o:lock v:ext="edit"/>
            <w10:wrap type="none"/>
            <w10:anchorlock/>
          </v:shape>
        </w:pict>
      </w:r>
    </w:p>
    <w:p w14:paraId="4D644367">
      <w:pPr>
        <w:spacing w:before="31" w:line="224" w:lineRule="auto"/>
        <w:ind w:left="2777"/>
        <w:rPr>
          <w:rFonts w:ascii="宋体" w:hAnsi="宋体" w:eastAsia="宋体" w:cs="宋体"/>
          <w:sz w:val="20"/>
          <w:szCs w:val="20"/>
        </w:rPr>
      </w:pPr>
      <w:r>
        <w:rPr>
          <w:rFonts w:ascii="宋体" w:hAnsi="宋体" w:eastAsia="宋体" w:cs="宋体"/>
          <w:spacing w:val="16"/>
          <w:sz w:val="20"/>
          <w:szCs w:val="20"/>
          <w14:textOutline w14:w="3797" w14:cap="sq" w14:cmpd="sng" w14:algn="ctr">
            <w14:solidFill>
              <w14:srgbClr w14:val="000000"/>
            </w14:solidFill>
            <w14:prstDash w14:val="solid"/>
            <w14:bevel/>
          </w14:textOutline>
        </w:rPr>
        <w:t>集</w:t>
      </w:r>
      <w:r>
        <w:rPr>
          <w:rFonts w:ascii="宋体" w:hAnsi="宋体" w:eastAsia="宋体" w:cs="宋体"/>
          <w:spacing w:val="10"/>
          <w:sz w:val="20"/>
          <w:szCs w:val="20"/>
          <w14:textOutline w14:w="3797" w14:cap="sq" w14:cmpd="sng" w14:algn="ctr">
            <w14:solidFill>
              <w14:srgbClr w14:val="000000"/>
            </w14:solidFill>
            <w14:prstDash w14:val="solid"/>
            <w14:bevel/>
          </w14:textOutline>
        </w:rPr>
        <w:t>约化畜禽养殖业尿泡粪工艺最高允许排水量</w:t>
      </w:r>
    </w:p>
    <w:tbl>
      <w:tblPr>
        <w:tblStyle w:val="4"/>
        <w:tblW w:w="9071" w:type="dxa"/>
        <w:tblInd w:w="33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88"/>
        <w:gridCol w:w="3157"/>
        <w:gridCol w:w="3226"/>
      </w:tblGrid>
      <w:tr w14:paraId="56B57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2688" w:type="dxa"/>
            <w:tcBorders>
              <w:left w:val="nil"/>
            </w:tcBorders>
          </w:tcPr>
          <w:p w14:paraId="1A7A92EC">
            <w:pPr>
              <w:spacing w:before="69" w:line="228" w:lineRule="auto"/>
              <w:ind w:left="1141"/>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种类</w:t>
            </w:r>
          </w:p>
        </w:tc>
        <w:tc>
          <w:tcPr>
            <w:tcW w:w="6383" w:type="dxa"/>
            <w:gridSpan w:val="2"/>
            <w:tcBorders>
              <w:right w:val="nil"/>
            </w:tcBorders>
          </w:tcPr>
          <w:p w14:paraId="6B632CAB">
            <w:pPr>
              <w:spacing w:before="28" w:line="289" w:lineRule="exact"/>
              <w:ind w:left="2382"/>
              <w:rPr>
                <w:rFonts w:ascii="宋体" w:hAnsi="宋体" w:eastAsia="宋体" w:cs="宋体"/>
                <w:sz w:val="20"/>
                <w:szCs w:val="20"/>
              </w:rPr>
            </w:pPr>
            <w:r>
              <w:rPr>
                <w:rFonts w:ascii="宋体" w:hAnsi="宋体" w:eastAsia="宋体" w:cs="宋体"/>
                <w:spacing w:val="1"/>
                <w:position w:val="2"/>
                <w:sz w:val="20"/>
                <w:szCs w:val="20"/>
                <w14:textOutline w14:w="3797" w14:cap="sq" w14:cmpd="sng" w14:algn="ctr">
                  <w14:solidFill>
                    <w14:srgbClr w14:val="000000"/>
                  </w14:solidFill>
                  <w14:prstDash w14:val="solid"/>
                  <w14:bevel/>
                </w14:textOutline>
              </w:rPr>
              <w:t>猪</w:t>
            </w:r>
            <w:r>
              <w:rPr>
                <w:rFonts w:ascii="宋体" w:hAnsi="宋体" w:eastAsia="宋体" w:cs="宋体"/>
                <w:spacing w:val="1"/>
                <w:position w:val="2"/>
                <w:sz w:val="20"/>
                <w:szCs w:val="20"/>
              </w:rPr>
              <w:t xml:space="preserve"> </w:t>
            </w:r>
            <w:r>
              <w:rPr>
                <w:rFonts w:ascii="宋体" w:hAnsi="宋体" w:eastAsia="宋体" w:cs="宋体"/>
                <w:spacing w:val="1"/>
                <w:position w:val="2"/>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position w:val="2"/>
                <w:sz w:val="20"/>
                <w:szCs w:val="20"/>
              </w:rPr>
              <w:t>m</w:t>
            </w:r>
            <w:r>
              <w:rPr>
                <w:rFonts w:ascii="Times New Roman" w:hAnsi="Times New Roman" w:eastAsia="Times New Roman" w:cs="Times New Roman"/>
                <w:b/>
                <w:bCs/>
                <w:spacing w:val="1"/>
                <w:position w:val="8"/>
                <w:sz w:val="13"/>
                <w:szCs w:val="13"/>
              </w:rPr>
              <w:t>3</w:t>
            </w:r>
            <w:r>
              <w:rPr>
                <w:rFonts w:ascii="Times New Roman" w:hAnsi="Times New Roman" w:eastAsia="Times New Roman" w:cs="Times New Roman"/>
                <w:b/>
                <w:bCs/>
                <w:spacing w:val="1"/>
                <w:position w:val="2"/>
                <w:sz w:val="20"/>
                <w:szCs w:val="20"/>
              </w:rPr>
              <w:t>/</w:t>
            </w:r>
            <w:r>
              <w:rPr>
                <w:rFonts w:ascii="宋体" w:hAnsi="宋体" w:eastAsia="宋体" w:cs="宋体"/>
                <w:spacing w:val="1"/>
                <w:position w:val="2"/>
                <w:sz w:val="20"/>
                <w:szCs w:val="20"/>
                <w14:textOutline w14:w="3797" w14:cap="sq" w14:cmpd="sng" w14:algn="ctr">
                  <w14:solidFill>
                    <w14:srgbClr w14:val="000000"/>
                  </w14:solidFill>
                  <w14:prstDash w14:val="solid"/>
                  <w14:bevel/>
                </w14:textOutline>
              </w:rPr>
              <w:t>百头</w:t>
            </w:r>
            <w:r>
              <w:rPr>
                <w:rFonts w:ascii="Times New Roman" w:hAnsi="Times New Roman" w:eastAsia="Times New Roman" w:cs="Times New Roman"/>
                <w:b/>
                <w:bCs/>
                <w:spacing w:val="1"/>
                <w:position w:val="2"/>
                <w:sz w:val="20"/>
                <w:szCs w:val="20"/>
              </w:rPr>
              <w:t>·</w:t>
            </w:r>
            <w:r>
              <w:rPr>
                <w:rFonts w:ascii="Times New Roman" w:hAnsi="Times New Roman" w:eastAsia="Times New Roman" w:cs="Times New Roman"/>
                <w:position w:val="2"/>
                <w:sz w:val="20"/>
                <w:szCs w:val="20"/>
              </w:rPr>
              <w:t xml:space="preserve"> </w:t>
            </w:r>
            <w:r>
              <w:rPr>
                <w:rFonts w:ascii="宋体" w:hAnsi="宋体" w:eastAsia="宋体" w:cs="宋体"/>
                <w:position w:val="2"/>
                <w:sz w:val="20"/>
                <w:szCs w:val="20"/>
                <w14:textOutline w14:w="3797" w14:cap="sq" w14:cmpd="sng" w14:algn="ctr">
                  <w14:solidFill>
                    <w14:srgbClr w14:val="000000"/>
                  </w14:solidFill>
                  <w14:prstDash w14:val="solid"/>
                  <w14:bevel/>
                </w14:textOutline>
              </w:rPr>
              <w:t>天)</w:t>
            </w:r>
          </w:p>
        </w:tc>
      </w:tr>
      <w:tr w14:paraId="2D2B03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2688" w:type="dxa"/>
            <w:tcBorders>
              <w:left w:val="nil"/>
            </w:tcBorders>
          </w:tcPr>
          <w:p w14:paraId="0B1C28E0">
            <w:pPr>
              <w:spacing w:before="66" w:line="228" w:lineRule="auto"/>
              <w:ind w:left="1142"/>
              <w:rPr>
                <w:rFonts w:ascii="宋体" w:hAnsi="宋体" w:eastAsia="宋体" w:cs="宋体"/>
                <w:sz w:val="20"/>
                <w:szCs w:val="20"/>
              </w:rPr>
            </w:pPr>
            <w:r>
              <w:rPr>
                <w:rFonts w:ascii="宋体" w:hAnsi="宋体" w:eastAsia="宋体" w:cs="宋体"/>
                <w:spacing w:val="4"/>
                <w:sz w:val="20"/>
                <w:szCs w:val="20"/>
              </w:rPr>
              <w:t>季节</w:t>
            </w:r>
          </w:p>
        </w:tc>
        <w:tc>
          <w:tcPr>
            <w:tcW w:w="3157" w:type="dxa"/>
          </w:tcPr>
          <w:p w14:paraId="5258D2C5">
            <w:pPr>
              <w:spacing w:before="66" w:line="228" w:lineRule="auto"/>
              <w:ind w:left="1379"/>
              <w:rPr>
                <w:rFonts w:ascii="宋体" w:hAnsi="宋体" w:eastAsia="宋体" w:cs="宋体"/>
                <w:sz w:val="20"/>
                <w:szCs w:val="20"/>
              </w:rPr>
            </w:pPr>
            <w:r>
              <w:rPr>
                <w:rFonts w:ascii="宋体" w:hAnsi="宋体" w:eastAsia="宋体" w:cs="宋体"/>
                <w:spacing w:val="2"/>
                <w:sz w:val="20"/>
                <w:szCs w:val="20"/>
              </w:rPr>
              <w:t>冬季</w:t>
            </w:r>
          </w:p>
        </w:tc>
        <w:tc>
          <w:tcPr>
            <w:tcW w:w="3226" w:type="dxa"/>
            <w:tcBorders>
              <w:right w:val="nil"/>
            </w:tcBorders>
          </w:tcPr>
          <w:p w14:paraId="349AAEA7">
            <w:pPr>
              <w:spacing w:before="66" w:line="228" w:lineRule="auto"/>
              <w:ind w:left="1409"/>
              <w:rPr>
                <w:rFonts w:ascii="宋体" w:hAnsi="宋体" w:eastAsia="宋体" w:cs="宋体"/>
                <w:sz w:val="20"/>
                <w:szCs w:val="20"/>
              </w:rPr>
            </w:pPr>
            <w:r>
              <w:rPr>
                <w:rFonts w:ascii="宋体" w:hAnsi="宋体" w:eastAsia="宋体" w:cs="宋体"/>
                <w:spacing w:val="5"/>
                <w:sz w:val="20"/>
                <w:szCs w:val="20"/>
              </w:rPr>
              <w:t>夏</w:t>
            </w:r>
            <w:r>
              <w:rPr>
                <w:rFonts w:ascii="宋体" w:hAnsi="宋体" w:eastAsia="宋体" w:cs="宋体"/>
                <w:spacing w:val="4"/>
                <w:sz w:val="20"/>
                <w:szCs w:val="20"/>
              </w:rPr>
              <w:t>季</w:t>
            </w:r>
          </w:p>
        </w:tc>
      </w:tr>
      <w:tr w14:paraId="7D9975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2688" w:type="dxa"/>
            <w:tcBorders>
              <w:left w:val="nil"/>
            </w:tcBorders>
          </w:tcPr>
          <w:p w14:paraId="662E4BE0">
            <w:pPr>
              <w:spacing w:before="68" w:line="228" w:lineRule="auto"/>
              <w:ind w:left="1036"/>
              <w:rPr>
                <w:rFonts w:ascii="宋体" w:hAnsi="宋体" w:eastAsia="宋体" w:cs="宋体"/>
                <w:sz w:val="20"/>
                <w:szCs w:val="20"/>
              </w:rPr>
            </w:pPr>
            <w:r>
              <w:rPr>
                <w:rFonts w:ascii="宋体" w:hAnsi="宋体" w:eastAsia="宋体" w:cs="宋体"/>
                <w:spacing w:val="7"/>
                <w:sz w:val="20"/>
                <w:szCs w:val="20"/>
              </w:rPr>
              <w:t>标</w:t>
            </w:r>
            <w:r>
              <w:rPr>
                <w:rFonts w:ascii="宋体" w:hAnsi="宋体" w:eastAsia="宋体" w:cs="宋体"/>
                <w:spacing w:val="6"/>
                <w:sz w:val="20"/>
                <w:szCs w:val="20"/>
              </w:rPr>
              <w:t>准值</w:t>
            </w:r>
          </w:p>
        </w:tc>
        <w:tc>
          <w:tcPr>
            <w:tcW w:w="3157" w:type="dxa"/>
          </w:tcPr>
          <w:p w14:paraId="1921B8D4">
            <w:pPr>
              <w:spacing w:before="105" w:line="198" w:lineRule="auto"/>
              <w:ind w:left="146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1.2</w:t>
            </w:r>
          </w:p>
        </w:tc>
        <w:tc>
          <w:tcPr>
            <w:tcW w:w="3226" w:type="dxa"/>
            <w:tcBorders>
              <w:right w:val="nil"/>
            </w:tcBorders>
          </w:tcPr>
          <w:p w14:paraId="3DBC586F">
            <w:pPr>
              <w:spacing w:before="105" w:line="198" w:lineRule="auto"/>
              <w:ind w:left="150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1"/>
                <w:sz w:val="20"/>
                <w:szCs w:val="20"/>
              </w:rPr>
              <w:t>.8</w:t>
            </w:r>
          </w:p>
        </w:tc>
      </w:tr>
    </w:tbl>
    <w:p w14:paraId="03469E38">
      <w:pPr>
        <w:spacing w:before="37" w:line="228" w:lineRule="auto"/>
        <w:ind w:left="788"/>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3</w:t>
      </w:r>
      <w:r>
        <w:rPr>
          <w:rFonts w:ascii="宋体" w:hAnsi="宋体" w:eastAsia="宋体" w:cs="宋体"/>
          <w:spacing w:val="20"/>
          <w:sz w:val="23"/>
          <w:szCs w:val="23"/>
        </w:rPr>
        <w:t>) 噪声排</w:t>
      </w:r>
      <w:r>
        <w:rPr>
          <w:rFonts w:ascii="宋体" w:hAnsi="宋体" w:eastAsia="宋体" w:cs="宋体"/>
          <w:spacing w:val="19"/>
          <w:sz w:val="23"/>
          <w:szCs w:val="23"/>
        </w:rPr>
        <w:t>放</w:t>
      </w:r>
    </w:p>
    <w:p w14:paraId="473073A1">
      <w:pPr>
        <w:sectPr>
          <w:footerReference r:id="rId28" w:type="default"/>
          <w:pgSz w:w="11907" w:h="16840"/>
          <w:pgMar w:top="400" w:right="1032" w:bottom="1277" w:left="1132" w:header="0" w:footer="1114" w:gutter="0"/>
          <w:cols w:space="720" w:num="1"/>
        </w:sectPr>
      </w:pPr>
    </w:p>
    <w:p w14:paraId="28D0C48E">
      <w:pPr>
        <w:spacing w:line="460" w:lineRule="auto"/>
      </w:pPr>
      <w:r>
        <w:pict>
          <v:shape id="_x0000_s2054" o:spid="_x0000_s2054" style="position:absolute;left:0pt;margin-left:83pt;margin-top:57.2pt;height:0.5pt;width:434.35pt;mso-position-horizontal-relative:page;mso-position-vertical-relative:page;z-index:251696128;mso-width-relative:page;mso-height-relative:page;" fillcolor="#000000" filled="t" stroked="f" coordsize="8687,10" o:allowincell="f" path="m0,0l8686,0,8686,9,0,9,0,0xe">
            <v:fill on="t" focussize="0,0"/>
            <v:stroke on="f"/>
            <v:imagedata o:title=""/>
            <o:lock v:ext="edit"/>
          </v:shape>
        </w:pict>
      </w:r>
    </w:p>
    <w:p w14:paraId="6C1136A1">
      <w:pPr>
        <w:spacing w:before="56" w:line="229" w:lineRule="auto"/>
        <w:ind w:left="520"/>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6B699D6C">
      <w:pPr>
        <w:spacing w:before="65" w:line="374" w:lineRule="auto"/>
        <w:ind w:left="523" w:right="515" w:firstLine="479"/>
        <w:rPr>
          <w:rFonts w:ascii="宋体" w:hAnsi="宋体" w:eastAsia="宋体" w:cs="宋体"/>
          <w:sz w:val="23"/>
          <w:szCs w:val="23"/>
        </w:rPr>
      </w:pPr>
      <w:r>
        <w:rPr>
          <w:rFonts w:ascii="宋体" w:hAnsi="宋体" w:eastAsia="宋体" w:cs="宋体"/>
          <w:spacing w:val="8"/>
          <w:sz w:val="23"/>
          <w:szCs w:val="23"/>
        </w:rPr>
        <w:t>施</w:t>
      </w:r>
      <w:r>
        <w:rPr>
          <w:rFonts w:ascii="宋体" w:hAnsi="宋体" w:eastAsia="宋体" w:cs="宋体"/>
          <w:spacing w:val="5"/>
          <w:sz w:val="23"/>
          <w:szCs w:val="23"/>
        </w:rPr>
        <w:t>工期噪声执行《建筑施工厂界环境噪声排放标准》  (</w:t>
      </w:r>
      <w:r>
        <w:rPr>
          <w:rFonts w:ascii="Times New Roman" w:hAnsi="Times New Roman" w:eastAsia="Times New Roman" w:cs="Times New Roman"/>
          <w:sz w:val="23"/>
          <w:szCs w:val="23"/>
        </w:rPr>
        <w:t>GB</w:t>
      </w:r>
      <w:r>
        <w:rPr>
          <w:rFonts w:ascii="Times New Roman" w:hAnsi="Times New Roman" w:eastAsia="Times New Roman" w:cs="Times New Roman"/>
          <w:spacing w:val="5"/>
          <w:sz w:val="23"/>
          <w:szCs w:val="23"/>
        </w:rPr>
        <w:t>12523-2011</w:t>
      </w:r>
      <w:r>
        <w:rPr>
          <w:rFonts w:ascii="宋体" w:hAnsi="宋体" w:eastAsia="宋体" w:cs="宋体"/>
          <w:spacing w:val="5"/>
          <w:sz w:val="23"/>
          <w:szCs w:val="23"/>
        </w:rPr>
        <w:t>) 噪声限</w:t>
      </w:r>
      <w:r>
        <w:rPr>
          <w:rFonts w:ascii="宋体" w:hAnsi="宋体" w:eastAsia="宋体" w:cs="宋体"/>
          <w:sz w:val="23"/>
          <w:szCs w:val="23"/>
        </w:rPr>
        <w:t xml:space="preserve"> </w:t>
      </w:r>
      <w:r>
        <w:rPr>
          <w:rFonts w:ascii="宋体" w:hAnsi="宋体" w:eastAsia="宋体" w:cs="宋体"/>
          <w:spacing w:val="5"/>
          <w:sz w:val="23"/>
          <w:szCs w:val="23"/>
        </w:rPr>
        <w:t xml:space="preserve">值见表 </w:t>
      </w:r>
      <w:r>
        <w:rPr>
          <w:rFonts w:ascii="Times New Roman" w:hAnsi="Times New Roman" w:eastAsia="Times New Roman" w:cs="Times New Roman"/>
          <w:spacing w:val="5"/>
          <w:sz w:val="23"/>
          <w:szCs w:val="23"/>
        </w:rPr>
        <w:t>1.4- 11</w:t>
      </w:r>
      <w:r>
        <w:rPr>
          <w:rFonts w:ascii="宋体" w:hAnsi="宋体" w:eastAsia="宋体" w:cs="宋体"/>
          <w:spacing w:val="5"/>
          <w:sz w:val="23"/>
          <w:szCs w:val="23"/>
        </w:rPr>
        <w:t>；项目建成后营运期执行《工业企业厂界环境噪声排放标</w:t>
      </w:r>
      <w:r>
        <w:rPr>
          <w:rFonts w:ascii="宋体" w:hAnsi="宋体" w:eastAsia="宋体" w:cs="宋体"/>
          <w:spacing w:val="3"/>
          <w:sz w:val="23"/>
          <w:szCs w:val="23"/>
        </w:rPr>
        <w:t>准</w:t>
      </w:r>
      <w:r>
        <w:rPr>
          <w:rFonts w:ascii="宋体" w:hAnsi="宋体" w:eastAsia="宋体" w:cs="宋体"/>
          <w:sz w:val="23"/>
          <w:szCs w:val="23"/>
        </w:rPr>
        <w:t>》</w:t>
      </w:r>
    </w:p>
    <w:p w14:paraId="4DC91778">
      <w:pPr>
        <w:spacing w:line="227" w:lineRule="auto"/>
        <w:ind w:left="534"/>
        <w:rPr>
          <w:rFonts w:ascii="宋体" w:hAnsi="宋体" w:eastAsia="宋体" w:cs="宋体"/>
          <w:sz w:val="23"/>
          <w:szCs w:val="23"/>
        </w:rPr>
      </w:pPr>
      <w:r>
        <w:rPr>
          <w:rFonts w:ascii="宋体" w:hAnsi="宋体" w:eastAsia="宋体" w:cs="宋体"/>
          <w:spacing w:val="10"/>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5"/>
          <w:sz w:val="23"/>
          <w:szCs w:val="23"/>
        </w:rPr>
        <w:t>12348-2008</w:t>
      </w:r>
      <w:r>
        <w:rPr>
          <w:rFonts w:ascii="宋体" w:hAnsi="宋体" w:eastAsia="宋体" w:cs="宋体"/>
          <w:spacing w:val="5"/>
          <w:sz w:val="23"/>
          <w:szCs w:val="23"/>
        </w:rPr>
        <w:t xml:space="preserve">) </w:t>
      </w:r>
      <w:r>
        <w:rPr>
          <w:rFonts w:ascii="Times New Roman" w:hAnsi="Times New Roman" w:eastAsia="Times New Roman" w:cs="Times New Roman"/>
          <w:spacing w:val="5"/>
          <w:sz w:val="23"/>
          <w:szCs w:val="23"/>
        </w:rPr>
        <w:t xml:space="preserve">2 </w:t>
      </w:r>
      <w:r>
        <w:rPr>
          <w:rFonts w:ascii="宋体" w:hAnsi="宋体" w:eastAsia="宋体" w:cs="宋体"/>
          <w:spacing w:val="5"/>
          <w:sz w:val="23"/>
          <w:szCs w:val="23"/>
        </w:rPr>
        <w:t xml:space="preserve">类标准，见表 </w:t>
      </w:r>
      <w:r>
        <w:rPr>
          <w:rFonts w:ascii="Times New Roman" w:hAnsi="Times New Roman" w:eastAsia="Times New Roman" w:cs="Times New Roman"/>
          <w:spacing w:val="5"/>
          <w:sz w:val="23"/>
          <w:szCs w:val="23"/>
        </w:rPr>
        <w:t>1.4- 12</w:t>
      </w:r>
      <w:r>
        <w:rPr>
          <w:rFonts w:ascii="宋体" w:hAnsi="宋体" w:eastAsia="宋体" w:cs="宋体"/>
          <w:spacing w:val="5"/>
          <w:sz w:val="23"/>
          <w:szCs w:val="23"/>
        </w:rPr>
        <w:t>。</w:t>
      </w:r>
    </w:p>
    <w:p w14:paraId="36962B57">
      <w:pPr>
        <w:spacing w:before="141" w:line="321" w:lineRule="exact"/>
        <w:ind w:left="1307"/>
        <w:rPr>
          <w:rFonts w:ascii="黑体" w:hAnsi="黑体" w:eastAsia="黑体" w:cs="黑体"/>
          <w:sz w:val="23"/>
          <w:szCs w:val="23"/>
        </w:rPr>
      </w:pPr>
      <w:r>
        <w:rPr>
          <w:rFonts w:ascii="黑体" w:hAnsi="黑体" w:eastAsia="黑体" w:cs="黑体"/>
          <w:spacing w:val="4"/>
          <w:position w:val="1"/>
          <w:sz w:val="23"/>
          <w:szCs w:val="23"/>
        </w:rPr>
        <w:t xml:space="preserve">表 </w:t>
      </w:r>
      <w:r>
        <w:rPr>
          <w:rFonts w:ascii="Times New Roman" w:hAnsi="Times New Roman" w:eastAsia="Times New Roman" w:cs="Times New Roman"/>
          <w:spacing w:val="4"/>
          <w:position w:val="1"/>
          <w:sz w:val="23"/>
          <w:szCs w:val="23"/>
        </w:rPr>
        <w:t xml:space="preserve">1.4- 11  </w:t>
      </w:r>
      <w:r>
        <w:rPr>
          <w:rFonts w:ascii="黑体" w:hAnsi="黑体" w:eastAsia="黑体" w:cs="黑体"/>
          <w:spacing w:val="4"/>
          <w:position w:val="1"/>
          <w:sz w:val="23"/>
          <w:szCs w:val="23"/>
        </w:rPr>
        <w:t>建筑施工场界环境噪声排放标准 (摘录)  单位：</w:t>
      </w:r>
      <w:r>
        <w:rPr>
          <w:rFonts w:ascii="Times New Roman" w:hAnsi="Times New Roman" w:eastAsia="Times New Roman" w:cs="Times New Roman"/>
          <w:position w:val="1"/>
          <w:sz w:val="23"/>
          <w:szCs w:val="23"/>
        </w:rPr>
        <w:t>dB</w:t>
      </w:r>
      <w:r>
        <w:rPr>
          <w:rFonts w:ascii="Times New Roman" w:hAnsi="Times New Roman" w:eastAsia="Times New Roman" w:cs="Times New Roman"/>
          <w:spacing w:val="4"/>
          <w:position w:val="1"/>
          <w:sz w:val="23"/>
          <w:szCs w:val="23"/>
        </w:rPr>
        <w:t xml:space="preserve">  </w:t>
      </w:r>
      <w:r>
        <w:rPr>
          <w:rFonts w:ascii="黑体" w:hAnsi="黑体" w:eastAsia="黑体" w:cs="黑体"/>
          <w:spacing w:val="3"/>
          <w:position w:val="1"/>
          <w:sz w:val="23"/>
          <w:szCs w:val="23"/>
        </w:rPr>
        <w:t>(</w:t>
      </w:r>
      <w:r>
        <w:rPr>
          <w:rFonts w:ascii="Times New Roman" w:hAnsi="Times New Roman" w:eastAsia="Times New Roman" w:cs="Times New Roman"/>
          <w:position w:val="1"/>
          <w:sz w:val="23"/>
          <w:szCs w:val="23"/>
        </w:rPr>
        <w:t>A</w:t>
      </w:r>
      <w:r>
        <w:rPr>
          <w:rFonts w:ascii="黑体" w:hAnsi="黑体" w:eastAsia="黑体" w:cs="黑体"/>
          <w:position w:val="1"/>
          <w:sz w:val="23"/>
          <w:szCs w:val="23"/>
        </w:rPr>
        <w:t>)</w:t>
      </w:r>
    </w:p>
    <w:p w14:paraId="3A096CCA">
      <w:pPr>
        <w:spacing w:line="581" w:lineRule="exact"/>
        <w:textAlignment w:val="center"/>
      </w:pPr>
      <w:r>
        <w:pict>
          <v:group id="_x0000_s2055" o:spid="_x0000_s2055" o:spt="203" style="height:29.1pt;width:485.65pt;" coordsize="9712,582">
            <o:lock v:ext="edit"/>
            <v:group id="_x0000_s2056" o:spid="_x0000_s2056" o:spt="203" style="position:absolute;left:0;top:-1;height:582;width:9712;" coordsize="9712,582">
              <o:lock v:ext="edit"/>
              <v:shape id="_x0000_s2057" o:spid="_x0000_s2057" o:spt="100" style="position:absolute;left:0;top:0;height:582;width:9712;" filled="f" coordsize="9712,582" adj=",," path="m0,14l9712,14m0,568l9712,568e">
                <v:path o:connecttype="segments"/>
                <v:fill on="f" focussize="0,0"/>
                <v:stroke weight="1.44pt" miterlimit="2" joinstyle="bevel"/>
                <v:imagedata o:title=""/>
                <o:lock v:ext="edit"/>
              </v:shape>
              <v:shape id="_x0000_s2058" o:spid="_x0000_s2058" o:spt="100" style="position:absolute;left:0;top:28;height:525;width:9712;" filled="f" coordsize="9712,525" adj=",," path="m0,278l9712,278m4857,0l4857,525e">
                <v:path o:connecttype="segments"/>
                <v:fill on="f" focussize="0,0"/>
                <v:stroke weight="0.48pt" miterlimit="2" joinstyle="bevel"/>
                <v:imagedata o:title=""/>
                <o:lock v:ext="edit"/>
              </v:shape>
            </v:group>
            <v:shape id="_x0000_s2059" o:spid="_x0000_s2059" o:spt="202" type="#_x0000_t202" style="position:absolute;left:2205;top:38;height:532;width:452;" filled="f" stroked="f" coordsize="21600,21600">
              <v:path/>
              <v:fill on="f" focussize="0,0"/>
              <v:stroke on="f" joinstyle="miter"/>
              <v:imagedata o:title=""/>
              <o:lock v:ext="edit"/>
              <v:textbox inset="0mm,0mm,0mm,0mm">
                <w:txbxContent>
                  <w:p w14:paraId="76AC6F2D">
                    <w:pPr>
                      <w:spacing w:before="19" w:line="231" w:lineRule="auto"/>
                      <w:ind w:left="20"/>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昼间</w:t>
                    </w:r>
                  </w:p>
                  <w:p w14:paraId="503204A9">
                    <w:pPr>
                      <w:spacing w:before="54" w:line="195" w:lineRule="auto"/>
                      <w:ind w:left="12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70</w:t>
                    </w:r>
                  </w:p>
                </w:txbxContent>
              </v:textbox>
            </v:shape>
            <v:shape id="_x0000_s2060" o:spid="_x0000_s2060" o:spt="202" type="#_x0000_t202" style="position:absolute;left:7066;top:38;height:532;width:449;" filled="f" stroked="f" coordsize="21600,21600">
              <v:path/>
              <v:fill on="f" focussize="0,0"/>
              <v:stroke on="f" joinstyle="miter"/>
              <v:imagedata o:title=""/>
              <o:lock v:ext="edit"/>
              <v:textbox inset="0mm,0mm,0mm,0mm">
                <w:txbxContent>
                  <w:p w14:paraId="06002843">
                    <w:pPr>
                      <w:spacing w:before="19" w:line="228" w:lineRule="auto"/>
                      <w:ind w:left="20"/>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夜间</w:t>
                    </w:r>
                  </w:p>
                  <w:p w14:paraId="4F15425E">
                    <w:pPr>
                      <w:spacing w:before="60" w:line="192" w:lineRule="auto"/>
                      <w:ind w:left="124"/>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xbxContent>
              </v:textbox>
            </v:shape>
            <w10:wrap type="none"/>
            <w10:anchorlock/>
          </v:group>
        </w:pict>
      </w:r>
    </w:p>
    <w:p w14:paraId="169F6677">
      <w:pPr>
        <w:spacing w:before="269" w:line="321" w:lineRule="exact"/>
        <w:ind w:left="1362"/>
        <w:rPr>
          <w:rFonts w:ascii="黑体" w:hAnsi="黑体" w:eastAsia="黑体" w:cs="黑体"/>
          <w:sz w:val="23"/>
          <w:szCs w:val="23"/>
        </w:rPr>
      </w:pPr>
      <w:r>
        <w:rPr>
          <w:rFonts w:ascii="黑体" w:hAnsi="黑体" w:eastAsia="黑体" w:cs="黑体"/>
          <w:spacing w:val="5"/>
          <w:position w:val="1"/>
          <w:sz w:val="23"/>
          <w:szCs w:val="23"/>
        </w:rPr>
        <w:t>表</w:t>
      </w:r>
      <w:r>
        <w:rPr>
          <w:rFonts w:ascii="黑体" w:hAnsi="黑体" w:eastAsia="黑体" w:cs="黑体"/>
          <w:spacing w:val="4"/>
          <w:position w:val="1"/>
          <w:sz w:val="23"/>
          <w:szCs w:val="23"/>
        </w:rPr>
        <w:t xml:space="preserve"> </w:t>
      </w:r>
      <w:r>
        <w:rPr>
          <w:rFonts w:ascii="Times New Roman" w:hAnsi="Times New Roman" w:eastAsia="Times New Roman" w:cs="Times New Roman"/>
          <w:spacing w:val="4"/>
          <w:position w:val="1"/>
          <w:sz w:val="23"/>
          <w:szCs w:val="23"/>
        </w:rPr>
        <w:t xml:space="preserve">1.4- 12  </w:t>
      </w:r>
      <w:r>
        <w:rPr>
          <w:rFonts w:ascii="黑体" w:hAnsi="黑体" w:eastAsia="黑体" w:cs="黑体"/>
          <w:spacing w:val="4"/>
          <w:position w:val="1"/>
          <w:sz w:val="23"/>
          <w:szCs w:val="23"/>
        </w:rPr>
        <w:t>工业企业厂界环境噪声排放标准 (摘录) 单位：</w:t>
      </w:r>
      <w:r>
        <w:rPr>
          <w:rFonts w:ascii="Times New Roman" w:hAnsi="Times New Roman" w:eastAsia="Times New Roman" w:cs="Times New Roman"/>
          <w:position w:val="1"/>
          <w:sz w:val="23"/>
          <w:szCs w:val="23"/>
        </w:rPr>
        <w:t>dB</w:t>
      </w:r>
      <w:r>
        <w:rPr>
          <w:rFonts w:ascii="Times New Roman" w:hAnsi="Times New Roman" w:eastAsia="Times New Roman" w:cs="Times New Roman"/>
          <w:spacing w:val="4"/>
          <w:position w:val="1"/>
          <w:sz w:val="23"/>
          <w:szCs w:val="23"/>
        </w:rPr>
        <w:t xml:space="preserve">  </w:t>
      </w:r>
      <w:r>
        <w:rPr>
          <w:rFonts w:ascii="黑体" w:hAnsi="黑体" w:eastAsia="黑体" w:cs="黑体"/>
          <w:spacing w:val="4"/>
          <w:position w:val="1"/>
          <w:sz w:val="23"/>
          <w:szCs w:val="23"/>
        </w:rPr>
        <w:t>(</w:t>
      </w:r>
      <w:r>
        <w:rPr>
          <w:rFonts w:ascii="Times New Roman" w:hAnsi="Times New Roman" w:eastAsia="Times New Roman" w:cs="Times New Roman"/>
          <w:position w:val="1"/>
          <w:sz w:val="23"/>
          <w:szCs w:val="23"/>
        </w:rPr>
        <w:t>A</w:t>
      </w:r>
      <w:r>
        <w:rPr>
          <w:rFonts w:ascii="黑体" w:hAnsi="黑体" w:eastAsia="黑体" w:cs="黑体"/>
          <w:spacing w:val="4"/>
          <w:position w:val="1"/>
          <w:sz w:val="23"/>
          <w:szCs w:val="23"/>
        </w:rPr>
        <w:t>)</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92"/>
        <w:gridCol w:w="3298"/>
        <w:gridCol w:w="3222"/>
      </w:tblGrid>
      <w:tr w14:paraId="11408A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3192" w:type="dxa"/>
            <w:vMerge w:val="restart"/>
            <w:tcBorders>
              <w:left w:val="nil"/>
              <w:bottom w:val="nil"/>
            </w:tcBorders>
          </w:tcPr>
          <w:p w14:paraId="7C2A97FA">
            <w:pPr>
              <w:spacing w:before="192" w:line="228" w:lineRule="auto"/>
              <w:ind w:left="850"/>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类别</w:t>
            </w:r>
          </w:p>
        </w:tc>
        <w:tc>
          <w:tcPr>
            <w:tcW w:w="6520" w:type="dxa"/>
            <w:gridSpan w:val="2"/>
            <w:tcBorders>
              <w:right w:val="nil"/>
            </w:tcBorders>
          </w:tcPr>
          <w:p w14:paraId="09154D3B">
            <w:pPr>
              <w:spacing w:before="53" w:line="227" w:lineRule="auto"/>
              <w:ind w:left="3066"/>
              <w:rPr>
                <w:rFonts w:ascii="宋体" w:hAnsi="宋体" w:eastAsia="宋体" w:cs="宋体"/>
                <w:sz w:val="20"/>
                <w:szCs w:val="20"/>
              </w:rPr>
            </w:pPr>
            <w:r>
              <w:rPr>
                <w:rFonts w:ascii="宋体" w:hAnsi="宋体" w:eastAsia="宋体" w:cs="宋体"/>
                <w:spacing w:val="1"/>
                <w:sz w:val="20"/>
                <w:szCs w:val="20"/>
                <w14:textOutline w14:w="3797" w14:cap="sq" w14:cmpd="sng" w14:algn="ctr">
                  <w14:solidFill>
                    <w14:srgbClr w14:val="000000"/>
                  </w14:solidFill>
                  <w14:prstDash w14:val="solid"/>
                  <w14:bevel/>
                </w14:textOutline>
              </w:rPr>
              <w:t>时段</w:t>
            </w:r>
          </w:p>
        </w:tc>
      </w:tr>
      <w:tr w14:paraId="217C4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3192" w:type="dxa"/>
            <w:vMerge w:val="continue"/>
            <w:tcBorders>
              <w:top w:val="nil"/>
              <w:left w:val="nil"/>
            </w:tcBorders>
          </w:tcPr>
          <w:p w14:paraId="7402C873"/>
        </w:tc>
        <w:tc>
          <w:tcPr>
            <w:tcW w:w="3298" w:type="dxa"/>
          </w:tcPr>
          <w:p w14:paraId="29D0E2A2">
            <w:pPr>
              <w:spacing w:before="32" w:line="225" w:lineRule="auto"/>
              <w:ind w:left="149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昼间</w:t>
            </w:r>
          </w:p>
        </w:tc>
        <w:tc>
          <w:tcPr>
            <w:tcW w:w="3222" w:type="dxa"/>
            <w:tcBorders>
              <w:right w:val="nil"/>
            </w:tcBorders>
          </w:tcPr>
          <w:p w14:paraId="4D932842">
            <w:pPr>
              <w:spacing w:before="32" w:line="225" w:lineRule="auto"/>
              <w:ind w:left="1410"/>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夜间</w:t>
            </w:r>
          </w:p>
        </w:tc>
      </w:tr>
      <w:tr w14:paraId="10CCFB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3192" w:type="dxa"/>
            <w:tcBorders>
              <w:left w:val="nil"/>
            </w:tcBorders>
          </w:tcPr>
          <w:p w14:paraId="38278DBF">
            <w:pPr>
              <w:spacing w:before="53" w:line="195" w:lineRule="auto"/>
              <w:ind w:left="95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3298" w:type="dxa"/>
          </w:tcPr>
          <w:p w14:paraId="6075972D">
            <w:pPr>
              <w:spacing w:before="53" w:line="195" w:lineRule="auto"/>
              <w:ind w:left="148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0</w:t>
            </w:r>
          </w:p>
        </w:tc>
        <w:tc>
          <w:tcPr>
            <w:tcW w:w="3222" w:type="dxa"/>
            <w:tcBorders>
              <w:right w:val="nil"/>
            </w:tcBorders>
          </w:tcPr>
          <w:p w14:paraId="1A357B6E">
            <w:pPr>
              <w:spacing w:before="53" w:line="195" w:lineRule="auto"/>
              <w:ind w:left="1375"/>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r>
    </w:tbl>
    <w:p w14:paraId="22E7ED89">
      <w:pPr>
        <w:spacing w:before="157" w:line="228" w:lineRule="auto"/>
        <w:ind w:left="1014"/>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23"/>
          <w:sz w:val="23"/>
          <w:szCs w:val="23"/>
        </w:rPr>
        <w:t>4</w:t>
      </w:r>
      <w:r>
        <w:rPr>
          <w:rFonts w:ascii="宋体" w:hAnsi="宋体" w:eastAsia="宋体" w:cs="宋体"/>
          <w:spacing w:val="23"/>
          <w:sz w:val="23"/>
          <w:szCs w:val="23"/>
        </w:rPr>
        <w:t>) 固废</w:t>
      </w:r>
    </w:p>
    <w:p w14:paraId="369071D8">
      <w:pPr>
        <w:tabs>
          <w:tab w:val="left" w:pos="649"/>
        </w:tabs>
        <w:spacing w:before="181" w:line="375" w:lineRule="auto"/>
        <w:ind w:left="522" w:right="430" w:firstLine="484"/>
        <w:rPr>
          <w:rFonts w:ascii="宋体" w:hAnsi="宋体" w:eastAsia="宋体" w:cs="宋体"/>
          <w:sz w:val="23"/>
          <w:szCs w:val="23"/>
        </w:rPr>
      </w:pPr>
      <w:r>
        <w:rPr>
          <w:rFonts w:ascii="宋体" w:hAnsi="宋体" w:eastAsia="宋体" w:cs="宋体"/>
          <w:spacing w:val="8"/>
          <w:sz w:val="23"/>
          <w:szCs w:val="23"/>
        </w:rPr>
        <w:t>一般固体废物执行</w:t>
      </w:r>
      <w:r>
        <w:rPr>
          <w:rFonts w:ascii="宋体" w:hAnsi="宋体" w:eastAsia="宋体" w:cs="宋体"/>
          <w:spacing w:val="4"/>
          <w:sz w:val="23"/>
          <w:szCs w:val="23"/>
        </w:rPr>
        <w:t>《畜禽养殖业污染物排放标准》  (</w:t>
      </w:r>
      <w:r>
        <w:rPr>
          <w:rFonts w:ascii="Times New Roman" w:hAnsi="Times New Roman" w:eastAsia="Times New Roman" w:cs="Times New Roman"/>
          <w:sz w:val="23"/>
          <w:szCs w:val="23"/>
        </w:rPr>
        <w:t>GB</w:t>
      </w:r>
      <w:r>
        <w:rPr>
          <w:rFonts w:ascii="Times New Roman" w:hAnsi="Times New Roman" w:eastAsia="Times New Roman" w:cs="Times New Roman"/>
          <w:spacing w:val="4"/>
          <w:sz w:val="23"/>
          <w:szCs w:val="23"/>
        </w:rPr>
        <w:t>18596-2001</w:t>
      </w:r>
      <w:r>
        <w:rPr>
          <w:rFonts w:ascii="宋体" w:hAnsi="宋体" w:eastAsia="宋体" w:cs="宋体"/>
          <w:spacing w:val="4"/>
          <w:sz w:val="23"/>
          <w:szCs w:val="23"/>
        </w:rPr>
        <w:t xml:space="preserve">) 中 </w:t>
      </w:r>
      <w:r>
        <w:rPr>
          <w:rFonts w:ascii="Times New Roman" w:hAnsi="Times New Roman" w:eastAsia="Times New Roman" w:cs="Times New Roman"/>
          <w:spacing w:val="4"/>
          <w:sz w:val="23"/>
          <w:szCs w:val="23"/>
        </w:rPr>
        <w:t xml:space="preserve">3.2 </w:t>
      </w:r>
      <w:r>
        <w:rPr>
          <w:rFonts w:ascii="宋体" w:hAnsi="宋体" w:eastAsia="宋体" w:cs="宋体"/>
          <w:spacing w:val="4"/>
          <w:sz w:val="23"/>
          <w:szCs w:val="23"/>
        </w:rPr>
        <w:t>畜</w:t>
      </w:r>
      <w:r>
        <w:rPr>
          <w:rFonts w:ascii="宋体" w:hAnsi="宋体" w:eastAsia="宋体" w:cs="宋体"/>
          <w:sz w:val="23"/>
          <w:szCs w:val="23"/>
        </w:rPr>
        <w:t xml:space="preserve"> </w:t>
      </w:r>
      <w:r>
        <w:rPr>
          <w:rFonts w:ascii="宋体" w:hAnsi="宋体" w:eastAsia="宋体" w:cs="宋体"/>
          <w:spacing w:val="21"/>
          <w:sz w:val="23"/>
          <w:szCs w:val="23"/>
        </w:rPr>
        <w:t>禽养殖业废渣无害化环境标准； 危险废物执行《危险废物贮存污染控制标准</w:t>
      </w:r>
      <w:r>
        <w:rPr>
          <w:rFonts w:ascii="宋体" w:hAnsi="宋体" w:eastAsia="宋体" w:cs="宋体"/>
          <w:spacing w:val="16"/>
          <w:sz w:val="23"/>
          <w:szCs w:val="23"/>
        </w:rPr>
        <w:t>》</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4"/>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4"/>
          <w:sz w:val="23"/>
          <w:szCs w:val="23"/>
        </w:rPr>
        <w:t>18597-2001</w:t>
      </w:r>
      <w:r>
        <w:rPr>
          <w:rFonts w:ascii="宋体" w:hAnsi="宋体" w:eastAsia="宋体" w:cs="宋体"/>
          <w:spacing w:val="3"/>
          <w:sz w:val="23"/>
          <w:szCs w:val="23"/>
        </w:rPr>
        <w:t>)</w:t>
      </w:r>
      <w:r>
        <w:rPr>
          <w:rFonts w:ascii="宋体" w:hAnsi="宋体" w:eastAsia="宋体" w:cs="宋体"/>
          <w:spacing w:val="2"/>
          <w:sz w:val="23"/>
          <w:szCs w:val="23"/>
        </w:rPr>
        <w:t xml:space="preserve"> 及其 </w:t>
      </w:r>
      <w:r>
        <w:rPr>
          <w:rFonts w:ascii="Times New Roman" w:hAnsi="Times New Roman" w:eastAsia="Times New Roman" w:cs="Times New Roman"/>
          <w:spacing w:val="2"/>
          <w:sz w:val="23"/>
          <w:szCs w:val="23"/>
        </w:rPr>
        <w:t xml:space="preserve">2013 </w:t>
      </w:r>
      <w:r>
        <w:rPr>
          <w:rFonts w:ascii="宋体" w:hAnsi="宋体" w:eastAsia="宋体" w:cs="宋体"/>
          <w:spacing w:val="2"/>
          <w:sz w:val="23"/>
          <w:szCs w:val="23"/>
        </w:rPr>
        <w:t xml:space="preserve">年修改单 (环境保护部公告 </w:t>
      </w:r>
      <w:r>
        <w:rPr>
          <w:rFonts w:ascii="Times New Roman" w:hAnsi="Times New Roman" w:eastAsia="Times New Roman" w:cs="Times New Roman"/>
          <w:spacing w:val="2"/>
          <w:sz w:val="23"/>
          <w:szCs w:val="23"/>
        </w:rPr>
        <w:t xml:space="preserve">2013 </w:t>
      </w:r>
      <w:r>
        <w:rPr>
          <w:rFonts w:ascii="宋体" w:hAnsi="宋体" w:eastAsia="宋体" w:cs="宋体"/>
          <w:spacing w:val="2"/>
          <w:sz w:val="23"/>
          <w:szCs w:val="23"/>
        </w:rPr>
        <w:t xml:space="preserve">年 </w:t>
      </w:r>
      <w:r>
        <w:rPr>
          <w:rFonts w:ascii="Times New Roman" w:hAnsi="Times New Roman" w:eastAsia="Times New Roman" w:cs="Times New Roman"/>
          <w:spacing w:val="2"/>
          <w:sz w:val="23"/>
          <w:szCs w:val="23"/>
        </w:rPr>
        <w:t xml:space="preserve">36 </w:t>
      </w:r>
      <w:r>
        <w:rPr>
          <w:rFonts w:ascii="宋体" w:hAnsi="宋体" w:eastAsia="宋体" w:cs="宋体"/>
          <w:spacing w:val="2"/>
          <w:sz w:val="23"/>
          <w:szCs w:val="23"/>
        </w:rPr>
        <w:t>号) 相关要求。</w:t>
      </w:r>
      <w:r>
        <w:rPr>
          <w:rFonts w:ascii="宋体" w:hAnsi="宋体" w:eastAsia="宋体" w:cs="宋体"/>
          <w:sz w:val="23"/>
          <w:szCs w:val="23"/>
        </w:rPr>
        <w:t xml:space="preserve"> </w:t>
      </w:r>
      <w:r>
        <w:rPr>
          <w:rFonts w:ascii="宋体" w:hAnsi="宋体" w:eastAsia="宋体" w:cs="宋体"/>
          <w:spacing w:val="5"/>
          <w:sz w:val="23"/>
          <w:szCs w:val="23"/>
        </w:rPr>
        <w:t>病死猪的处理与处置参照《畜禽养殖业污染防治技术规范》  (</w:t>
      </w:r>
      <w:r>
        <w:rPr>
          <w:rFonts w:ascii="Times New Roman" w:hAnsi="Times New Roman" w:eastAsia="Times New Roman" w:cs="Times New Roman"/>
          <w:sz w:val="23"/>
          <w:szCs w:val="23"/>
        </w:rPr>
        <w:t>HJ</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5"/>
          <w:sz w:val="23"/>
          <w:szCs w:val="23"/>
        </w:rPr>
        <w:t>81-2001</w:t>
      </w:r>
      <w:r>
        <w:rPr>
          <w:rFonts w:ascii="宋体" w:hAnsi="宋体" w:eastAsia="宋体" w:cs="宋体"/>
          <w:spacing w:val="5"/>
          <w:sz w:val="23"/>
          <w:szCs w:val="23"/>
        </w:rPr>
        <w:t>) 及《病</w:t>
      </w:r>
      <w:r>
        <w:rPr>
          <w:rFonts w:ascii="宋体" w:hAnsi="宋体" w:eastAsia="宋体" w:cs="宋体"/>
          <w:sz w:val="23"/>
          <w:szCs w:val="23"/>
        </w:rPr>
        <w:t xml:space="preserve"> </w:t>
      </w:r>
      <w:r>
        <w:rPr>
          <w:rFonts w:ascii="宋体" w:hAnsi="宋体" w:eastAsia="宋体" w:cs="宋体"/>
          <w:spacing w:val="12"/>
          <w:sz w:val="23"/>
          <w:szCs w:val="23"/>
        </w:rPr>
        <w:t>死</w:t>
      </w:r>
      <w:r>
        <w:rPr>
          <w:rFonts w:ascii="宋体" w:hAnsi="宋体" w:eastAsia="宋体" w:cs="宋体"/>
          <w:spacing w:val="9"/>
          <w:sz w:val="23"/>
          <w:szCs w:val="23"/>
        </w:rPr>
        <w:t>及病害动物无害化处理技术规范》中相关规定。</w:t>
      </w:r>
    </w:p>
    <w:p w14:paraId="5E6C3379">
      <w:pPr>
        <w:spacing w:before="1" w:line="221" w:lineRule="auto"/>
        <w:ind w:left="2670"/>
        <w:rPr>
          <w:rFonts w:ascii="黑体" w:hAnsi="黑体" w:eastAsia="黑体" w:cs="黑体"/>
          <w:sz w:val="23"/>
          <w:szCs w:val="23"/>
        </w:rPr>
      </w:pPr>
      <w:r>
        <w:rPr>
          <w:rFonts w:ascii="黑体" w:hAnsi="黑体" w:eastAsia="黑体" w:cs="黑体"/>
          <w:spacing w:val="4"/>
          <w:sz w:val="23"/>
          <w:szCs w:val="23"/>
        </w:rPr>
        <w:t xml:space="preserve">表 </w:t>
      </w:r>
      <w:r>
        <w:rPr>
          <w:rFonts w:ascii="Times New Roman" w:hAnsi="Times New Roman" w:eastAsia="Times New Roman" w:cs="Times New Roman"/>
          <w:spacing w:val="2"/>
          <w:sz w:val="23"/>
          <w:szCs w:val="23"/>
        </w:rPr>
        <w:t xml:space="preserve">1.4- 13  </w:t>
      </w:r>
      <w:r>
        <w:rPr>
          <w:rFonts w:ascii="黑体" w:hAnsi="黑体" w:eastAsia="黑体" w:cs="黑体"/>
          <w:spacing w:val="2"/>
          <w:sz w:val="23"/>
          <w:szCs w:val="23"/>
        </w:rPr>
        <w:t>畜禽养殖业废渣无害化环境标准</w:t>
      </w:r>
    </w:p>
    <w:tbl>
      <w:tblPr>
        <w:tblStyle w:val="4"/>
        <w:tblW w:w="9011" w:type="dxa"/>
        <w:tblInd w:w="35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55"/>
        <w:gridCol w:w="4856"/>
      </w:tblGrid>
      <w:tr w14:paraId="079ABD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4155" w:type="dxa"/>
            <w:tcBorders>
              <w:left w:val="nil"/>
            </w:tcBorders>
          </w:tcPr>
          <w:p w14:paraId="77FF9826">
            <w:pPr>
              <w:spacing w:before="55" w:line="226" w:lineRule="auto"/>
              <w:ind w:left="1665"/>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控制项</w:t>
            </w:r>
            <w:r>
              <w:rPr>
                <w:rFonts w:ascii="宋体" w:hAnsi="宋体" w:eastAsia="宋体" w:cs="宋体"/>
                <w:spacing w:val="8"/>
                <w:sz w:val="20"/>
                <w:szCs w:val="20"/>
                <w14:textOutline w14:w="3797" w14:cap="sq" w14:cmpd="sng" w14:algn="ctr">
                  <w14:solidFill>
                    <w14:srgbClr w14:val="000000"/>
                  </w14:solidFill>
                  <w14:prstDash w14:val="solid"/>
                  <w14:bevel/>
                </w14:textOutline>
              </w:rPr>
              <w:t>目</w:t>
            </w:r>
          </w:p>
        </w:tc>
        <w:tc>
          <w:tcPr>
            <w:tcW w:w="4856" w:type="dxa"/>
            <w:tcBorders>
              <w:right w:val="nil"/>
            </w:tcBorders>
          </w:tcPr>
          <w:p w14:paraId="237CD8ED">
            <w:pPr>
              <w:spacing w:before="55" w:line="226" w:lineRule="auto"/>
              <w:ind w:left="2227"/>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指</w:t>
            </w:r>
            <w:r>
              <w:rPr>
                <w:rFonts w:ascii="宋体" w:hAnsi="宋体" w:eastAsia="宋体" w:cs="宋体"/>
                <w:spacing w:val="4"/>
                <w:sz w:val="20"/>
                <w:szCs w:val="20"/>
                <w14:textOutline w14:w="3797" w14:cap="sq" w14:cmpd="sng" w14:algn="ctr">
                  <w14:solidFill>
                    <w14:srgbClr w14:val="000000"/>
                  </w14:solidFill>
                  <w14:prstDash w14:val="solid"/>
                  <w14:bevel/>
                </w14:textOutline>
              </w:rPr>
              <w:t>标</w:t>
            </w:r>
          </w:p>
        </w:tc>
      </w:tr>
      <w:tr w14:paraId="68C2A8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4155" w:type="dxa"/>
            <w:tcBorders>
              <w:left w:val="nil"/>
            </w:tcBorders>
          </w:tcPr>
          <w:p w14:paraId="5676533E">
            <w:pPr>
              <w:spacing w:before="33" w:line="223" w:lineRule="auto"/>
              <w:ind w:left="1769"/>
              <w:rPr>
                <w:rFonts w:ascii="宋体" w:hAnsi="宋体" w:eastAsia="宋体" w:cs="宋体"/>
                <w:sz w:val="20"/>
                <w:szCs w:val="20"/>
              </w:rPr>
            </w:pPr>
            <w:r>
              <w:rPr>
                <w:rFonts w:ascii="宋体" w:hAnsi="宋体" w:eastAsia="宋体" w:cs="宋体"/>
                <w:spacing w:val="7"/>
                <w:sz w:val="20"/>
                <w:szCs w:val="20"/>
              </w:rPr>
              <w:t>蛔虫</w:t>
            </w:r>
            <w:r>
              <w:rPr>
                <w:rFonts w:ascii="宋体" w:hAnsi="宋体" w:eastAsia="宋体" w:cs="宋体"/>
                <w:spacing w:val="6"/>
                <w:sz w:val="20"/>
                <w:szCs w:val="20"/>
              </w:rPr>
              <w:t>卵</w:t>
            </w:r>
          </w:p>
        </w:tc>
        <w:tc>
          <w:tcPr>
            <w:tcW w:w="4856" w:type="dxa"/>
            <w:tcBorders>
              <w:right w:val="nil"/>
            </w:tcBorders>
          </w:tcPr>
          <w:p w14:paraId="1464594D">
            <w:pPr>
              <w:spacing w:line="275" w:lineRule="exact"/>
              <w:ind w:left="1870"/>
              <w:rPr>
                <w:rFonts w:ascii="Times New Roman" w:hAnsi="Times New Roman" w:eastAsia="Times New Roman" w:cs="Times New Roman"/>
                <w:sz w:val="20"/>
                <w:szCs w:val="20"/>
              </w:rPr>
            </w:pPr>
            <w:r>
              <w:rPr>
                <w:rFonts w:ascii="宋体" w:hAnsi="宋体" w:eastAsia="宋体" w:cs="宋体"/>
                <w:spacing w:val="7"/>
                <w:position w:val="1"/>
                <w:sz w:val="20"/>
                <w:szCs w:val="20"/>
              </w:rPr>
              <w:t>死</w:t>
            </w:r>
            <w:r>
              <w:rPr>
                <w:rFonts w:ascii="宋体" w:hAnsi="宋体" w:eastAsia="宋体" w:cs="宋体"/>
                <w:spacing w:val="6"/>
                <w:position w:val="1"/>
                <w:sz w:val="20"/>
                <w:szCs w:val="20"/>
              </w:rPr>
              <w:t>亡率</w:t>
            </w:r>
            <w:r>
              <w:rPr>
                <w:rFonts w:ascii="Times New Roman" w:hAnsi="Times New Roman" w:eastAsia="Times New Roman" w:cs="Times New Roman"/>
                <w:spacing w:val="6"/>
                <w:position w:val="1"/>
                <w:sz w:val="20"/>
                <w:szCs w:val="20"/>
              </w:rPr>
              <w:t>≥95%</w:t>
            </w:r>
          </w:p>
        </w:tc>
      </w:tr>
      <w:tr w14:paraId="4384BB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4155" w:type="dxa"/>
            <w:tcBorders>
              <w:left w:val="nil"/>
            </w:tcBorders>
          </w:tcPr>
          <w:p w14:paraId="0EC3518F">
            <w:pPr>
              <w:spacing w:before="33" w:line="228" w:lineRule="auto"/>
              <w:ind w:left="1456"/>
              <w:rPr>
                <w:rFonts w:ascii="宋体" w:hAnsi="宋体" w:eastAsia="宋体" w:cs="宋体"/>
                <w:sz w:val="20"/>
                <w:szCs w:val="20"/>
              </w:rPr>
            </w:pPr>
            <w:r>
              <w:rPr>
                <w:rFonts w:ascii="宋体" w:hAnsi="宋体" w:eastAsia="宋体" w:cs="宋体"/>
                <w:spacing w:val="8"/>
                <w:sz w:val="20"/>
                <w:szCs w:val="20"/>
              </w:rPr>
              <w:t>粪大肠菌群</w:t>
            </w:r>
            <w:r>
              <w:rPr>
                <w:rFonts w:ascii="宋体" w:hAnsi="宋体" w:eastAsia="宋体" w:cs="宋体"/>
                <w:spacing w:val="7"/>
                <w:sz w:val="20"/>
                <w:szCs w:val="20"/>
              </w:rPr>
              <w:t>数</w:t>
            </w:r>
          </w:p>
        </w:tc>
        <w:tc>
          <w:tcPr>
            <w:tcW w:w="4856" w:type="dxa"/>
            <w:tcBorders>
              <w:right w:val="nil"/>
            </w:tcBorders>
          </w:tcPr>
          <w:p w14:paraId="761CA221">
            <w:pPr>
              <w:spacing w:line="277" w:lineRule="exact"/>
              <w:ind w:left="1974"/>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 xml:space="preserve">≤ </w:t>
            </w:r>
            <w:r>
              <w:rPr>
                <w:rFonts w:ascii="Times New Roman" w:hAnsi="Times New Roman" w:eastAsia="Times New Roman" w:cs="Times New Roman"/>
                <w:spacing w:val="-1"/>
                <w:position w:val="2"/>
                <w:sz w:val="20"/>
                <w:szCs w:val="20"/>
              </w:rPr>
              <w:t>10</w:t>
            </w:r>
            <w:r>
              <w:rPr>
                <w:rFonts w:ascii="Times New Roman" w:hAnsi="Times New Roman" w:eastAsia="Times New Roman" w:cs="Times New Roman"/>
                <w:spacing w:val="-1"/>
                <w:position w:val="8"/>
                <w:sz w:val="13"/>
                <w:szCs w:val="13"/>
              </w:rPr>
              <w:t xml:space="preserve">5 </w:t>
            </w:r>
            <w:r>
              <w:rPr>
                <w:rFonts w:ascii="宋体" w:hAnsi="宋体" w:eastAsia="宋体" w:cs="宋体"/>
                <w:spacing w:val="-1"/>
                <w:position w:val="2"/>
                <w:sz w:val="20"/>
                <w:szCs w:val="20"/>
              </w:rPr>
              <w:t>个</w:t>
            </w:r>
            <w:r>
              <w:rPr>
                <w:rFonts w:ascii="Times New Roman" w:hAnsi="Times New Roman" w:eastAsia="Times New Roman" w:cs="Times New Roman"/>
                <w:spacing w:val="-1"/>
                <w:position w:val="2"/>
                <w:sz w:val="20"/>
                <w:szCs w:val="20"/>
              </w:rPr>
              <w:t>/kg</w:t>
            </w:r>
          </w:p>
        </w:tc>
      </w:tr>
    </w:tbl>
    <w:p w14:paraId="5610A2C6">
      <w:pPr>
        <w:spacing w:before="36" w:line="227" w:lineRule="auto"/>
        <w:ind w:left="1005"/>
        <w:rPr>
          <w:rFonts w:ascii="宋体" w:hAnsi="宋体" w:eastAsia="宋体" w:cs="宋体"/>
          <w:sz w:val="23"/>
          <w:szCs w:val="23"/>
        </w:rPr>
      </w:pPr>
      <w:r>
        <w:rPr>
          <w:rFonts w:ascii="Times New Roman" w:hAnsi="Times New Roman" w:eastAsia="Times New Roman" w:cs="Times New Roman"/>
          <w:spacing w:val="9"/>
          <w:sz w:val="23"/>
          <w:szCs w:val="23"/>
        </w:rPr>
        <w:t>5</w:t>
      </w:r>
      <w:r>
        <w:rPr>
          <w:rFonts w:ascii="宋体" w:hAnsi="宋体" w:eastAsia="宋体" w:cs="宋体"/>
          <w:spacing w:val="8"/>
          <w:sz w:val="23"/>
          <w:szCs w:val="23"/>
        </w:rPr>
        <w:t>) 其他按国家有关规定执行</w:t>
      </w:r>
    </w:p>
    <w:p w14:paraId="574170ED">
      <w:pPr>
        <w:spacing w:before="189" w:line="219" w:lineRule="auto"/>
        <w:ind w:left="532"/>
        <w:outlineLvl w:val="1"/>
        <w:rPr>
          <w:rFonts w:ascii="宋体" w:hAnsi="宋体" w:eastAsia="宋体" w:cs="宋体"/>
          <w:sz w:val="28"/>
          <w:szCs w:val="28"/>
        </w:rPr>
      </w:pPr>
      <w:bookmarkStart w:id="11" w:name="_bookmark12"/>
      <w:bookmarkEnd w:id="11"/>
      <w:r>
        <w:rPr>
          <w:rFonts w:ascii="Times New Roman" w:hAnsi="Times New Roman" w:eastAsia="Times New Roman" w:cs="Times New Roman"/>
          <w:b/>
          <w:bCs/>
          <w:spacing w:val="-1"/>
          <w:sz w:val="28"/>
          <w:szCs w:val="28"/>
        </w:rPr>
        <w:t>1.5</w:t>
      </w:r>
      <w:r>
        <w:rPr>
          <w:rFonts w:ascii="Times New Roman" w:hAnsi="Times New Roman" w:eastAsia="Times New Roman" w:cs="Times New Roman"/>
          <w:spacing w:val="-1"/>
          <w:sz w:val="28"/>
          <w:szCs w:val="28"/>
        </w:rPr>
        <w:t xml:space="preserve">  </w:t>
      </w:r>
      <w:r>
        <w:rPr>
          <w:rFonts w:ascii="宋体" w:hAnsi="宋体" w:eastAsia="宋体" w:cs="宋体"/>
          <w:spacing w:val="-1"/>
          <w:sz w:val="28"/>
          <w:szCs w:val="28"/>
          <w14:textOutline w14:w="5105" w14:cap="sq" w14:cmpd="sng" w14:algn="ctr">
            <w14:solidFill>
              <w14:srgbClr w14:val="000000"/>
            </w14:solidFill>
            <w14:prstDash w14:val="solid"/>
            <w14:bevel/>
          </w14:textOutline>
        </w:rPr>
        <w:t>评价工作等</w:t>
      </w:r>
      <w:r>
        <w:rPr>
          <w:rFonts w:ascii="宋体" w:hAnsi="宋体" w:eastAsia="宋体" w:cs="宋体"/>
          <w:sz w:val="28"/>
          <w:szCs w:val="28"/>
          <w14:textOutline w14:w="5105" w14:cap="sq" w14:cmpd="sng" w14:algn="ctr">
            <w14:solidFill>
              <w14:srgbClr w14:val="000000"/>
            </w14:solidFill>
            <w14:prstDash w14:val="solid"/>
            <w14:bevel/>
          </w14:textOutline>
        </w:rPr>
        <w:t>级与范围</w:t>
      </w:r>
    </w:p>
    <w:p w14:paraId="04961CA0">
      <w:pPr>
        <w:spacing w:before="208" w:line="228" w:lineRule="auto"/>
        <w:ind w:left="529"/>
        <w:outlineLvl w:val="2"/>
        <w:rPr>
          <w:rFonts w:ascii="宋体" w:hAnsi="宋体" w:eastAsia="宋体" w:cs="宋体"/>
          <w:sz w:val="23"/>
          <w:szCs w:val="23"/>
        </w:rPr>
      </w:pPr>
      <w:r>
        <w:rPr>
          <w:rFonts w:ascii="Times New Roman" w:hAnsi="Times New Roman" w:eastAsia="Times New Roman" w:cs="Times New Roman"/>
          <w:b/>
          <w:bCs/>
          <w:spacing w:val="8"/>
          <w:sz w:val="23"/>
          <w:szCs w:val="23"/>
        </w:rPr>
        <w:t>1</w:t>
      </w:r>
      <w:r>
        <w:rPr>
          <w:rFonts w:ascii="Times New Roman" w:hAnsi="Times New Roman" w:eastAsia="Times New Roman" w:cs="Times New Roman"/>
          <w:b/>
          <w:bCs/>
          <w:spacing w:val="6"/>
          <w:sz w:val="23"/>
          <w:szCs w:val="23"/>
        </w:rPr>
        <w:t>.5.</w:t>
      </w:r>
      <w:r>
        <w:rPr>
          <w:rFonts w:ascii="Times New Roman" w:hAnsi="Times New Roman" w:eastAsia="Times New Roman" w:cs="Times New Roman"/>
          <w:spacing w:val="6"/>
          <w:sz w:val="23"/>
          <w:szCs w:val="23"/>
        </w:rPr>
        <w:t xml:space="preserve"> </w:t>
      </w:r>
      <w:r>
        <w:rPr>
          <w:rFonts w:ascii="Times New Roman" w:hAnsi="Times New Roman" w:eastAsia="Times New Roman" w:cs="Times New Roman"/>
          <w:b/>
          <w:bCs/>
          <w:spacing w:val="6"/>
          <w:sz w:val="23"/>
          <w:szCs w:val="23"/>
        </w:rPr>
        <w:t>1</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大气</w:t>
      </w:r>
    </w:p>
    <w:p w14:paraId="0DD4E884">
      <w:pPr>
        <w:spacing w:before="181" w:line="226" w:lineRule="auto"/>
        <w:ind w:left="1014"/>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1</w:t>
      </w:r>
      <w:r>
        <w:rPr>
          <w:rFonts w:ascii="宋体" w:hAnsi="宋体" w:eastAsia="宋体" w:cs="宋体"/>
          <w:spacing w:val="20"/>
          <w:sz w:val="23"/>
          <w:szCs w:val="23"/>
        </w:rPr>
        <w:t>) 评价等</w:t>
      </w:r>
      <w:r>
        <w:rPr>
          <w:rFonts w:ascii="宋体" w:hAnsi="宋体" w:eastAsia="宋体" w:cs="宋体"/>
          <w:spacing w:val="19"/>
          <w:sz w:val="23"/>
          <w:szCs w:val="23"/>
        </w:rPr>
        <w:t>级</w:t>
      </w:r>
    </w:p>
    <w:p w14:paraId="3BE8C0E2">
      <w:pPr>
        <w:spacing w:before="186" w:line="375" w:lineRule="auto"/>
        <w:ind w:left="524" w:right="511" w:firstLine="481"/>
        <w:rPr>
          <w:rFonts w:ascii="宋体" w:hAnsi="宋体" w:eastAsia="宋体" w:cs="宋体"/>
          <w:sz w:val="23"/>
          <w:szCs w:val="23"/>
        </w:rPr>
      </w:pPr>
      <w:r>
        <w:rPr>
          <w:rFonts w:ascii="宋体" w:hAnsi="宋体" w:eastAsia="宋体" w:cs="宋体"/>
          <w:spacing w:val="12"/>
          <w:sz w:val="23"/>
          <w:szCs w:val="23"/>
        </w:rPr>
        <w:t>大</w:t>
      </w:r>
      <w:r>
        <w:rPr>
          <w:rFonts w:ascii="宋体" w:hAnsi="宋体" w:eastAsia="宋体" w:cs="宋体"/>
          <w:spacing w:val="11"/>
          <w:sz w:val="23"/>
          <w:szCs w:val="23"/>
        </w:rPr>
        <w:t>气环境影响评价工作等级根据评价项目的主要污染物排放量、周围地形的复</w:t>
      </w:r>
      <w:r>
        <w:rPr>
          <w:rFonts w:ascii="宋体" w:hAnsi="宋体" w:eastAsia="宋体" w:cs="宋体"/>
          <w:sz w:val="23"/>
          <w:szCs w:val="23"/>
        </w:rPr>
        <w:t xml:space="preserve"> </w:t>
      </w:r>
      <w:r>
        <w:rPr>
          <w:rFonts w:ascii="宋体" w:hAnsi="宋体" w:eastAsia="宋体" w:cs="宋体"/>
          <w:spacing w:val="12"/>
          <w:sz w:val="23"/>
          <w:szCs w:val="23"/>
        </w:rPr>
        <w:t>杂</w:t>
      </w:r>
      <w:r>
        <w:rPr>
          <w:rFonts w:ascii="宋体" w:hAnsi="宋体" w:eastAsia="宋体" w:cs="宋体"/>
          <w:spacing w:val="11"/>
          <w:sz w:val="23"/>
          <w:szCs w:val="23"/>
        </w:rPr>
        <w:t>程度以及当地执行的大气环境质量标准等因素确定。大气污染物主要为圈舍及粪</w:t>
      </w:r>
      <w:r>
        <w:rPr>
          <w:rFonts w:ascii="宋体" w:hAnsi="宋体" w:eastAsia="宋体" w:cs="宋体"/>
          <w:sz w:val="23"/>
          <w:szCs w:val="23"/>
        </w:rPr>
        <w:t xml:space="preserve"> </w:t>
      </w:r>
      <w:r>
        <w:rPr>
          <w:rFonts w:ascii="宋体" w:hAnsi="宋体" w:eastAsia="宋体" w:cs="宋体"/>
          <w:spacing w:val="14"/>
          <w:sz w:val="23"/>
          <w:szCs w:val="23"/>
        </w:rPr>
        <w:t>污</w:t>
      </w:r>
      <w:r>
        <w:rPr>
          <w:rFonts w:ascii="宋体" w:hAnsi="宋体" w:eastAsia="宋体" w:cs="宋体"/>
          <w:spacing w:val="13"/>
          <w:sz w:val="23"/>
          <w:szCs w:val="23"/>
        </w:rPr>
        <w:t>处</w:t>
      </w:r>
      <w:r>
        <w:rPr>
          <w:rFonts w:ascii="宋体" w:hAnsi="宋体" w:eastAsia="宋体" w:cs="宋体"/>
          <w:spacing w:val="7"/>
          <w:sz w:val="23"/>
          <w:szCs w:val="23"/>
        </w:rPr>
        <w:t xml:space="preserve">理过程中产生的恶臭 (以 </w:t>
      </w:r>
      <w:r>
        <w:rPr>
          <w:rFonts w:ascii="Times New Roman" w:hAnsi="Times New Roman" w:eastAsia="Times New Roman" w:cs="Times New Roman"/>
          <w:sz w:val="23"/>
          <w:szCs w:val="23"/>
        </w:rPr>
        <w:t>H</w:t>
      </w:r>
      <w:r>
        <w:rPr>
          <w:rFonts w:ascii="Times New Roman" w:hAnsi="Times New Roman" w:eastAsia="Times New Roman" w:cs="Times New Roman"/>
          <w:spacing w:val="7"/>
          <w:position w:val="-1"/>
          <w:sz w:val="15"/>
          <w:szCs w:val="15"/>
        </w:rPr>
        <w:t xml:space="preserve">2 </w:t>
      </w:r>
      <w:r>
        <w:rPr>
          <w:rFonts w:ascii="Times New Roman" w:hAnsi="Times New Roman" w:eastAsia="Times New Roman" w:cs="Times New Roman"/>
          <w:sz w:val="23"/>
          <w:szCs w:val="23"/>
        </w:rPr>
        <w:t>S</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w:t>
      </w:r>
      <w:r>
        <w:rPr>
          <w:rFonts w:ascii="Times New Roman" w:hAnsi="Times New Roman" w:eastAsia="Times New Roman" w:cs="Times New Roman"/>
          <w:sz w:val="23"/>
          <w:szCs w:val="23"/>
        </w:rPr>
        <w:t>NH</w:t>
      </w:r>
      <w:r>
        <w:rPr>
          <w:rFonts w:ascii="Times New Roman" w:hAnsi="Times New Roman" w:eastAsia="Times New Roman" w:cs="Times New Roman"/>
          <w:spacing w:val="7"/>
          <w:position w:val="-1"/>
          <w:sz w:val="15"/>
          <w:szCs w:val="15"/>
        </w:rPr>
        <w:t xml:space="preserve">3 </w:t>
      </w:r>
      <w:r>
        <w:rPr>
          <w:rFonts w:ascii="宋体" w:hAnsi="宋体" w:eastAsia="宋体" w:cs="宋体"/>
          <w:spacing w:val="7"/>
          <w:sz w:val="23"/>
          <w:szCs w:val="23"/>
        </w:rPr>
        <w:t>计) 。根据《环境影响评价技术导则</w:t>
      </w:r>
      <w:r>
        <w:rPr>
          <w:rFonts w:ascii="Times New Roman" w:hAnsi="Times New Roman" w:eastAsia="Times New Roman" w:cs="Times New Roman"/>
          <w:spacing w:val="7"/>
          <w:sz w:val="23"/>
          <w:szCs w:val="23"/>
        </w:rPr>
        <w:t>—</w:t>
      </w:r>
      <w:r>
        <w:rPr>
          <w:rFonts w:ascii="宋体" w:hAnsi="宋体" w:eastAsia="宋体" w:cs="宋体"/>
          <w:spacing w:val="7"/>
          <w:sz w:val="23"/>
          <w:szCs w:val="23"/>
        </w:rPr>
        <w:t>大</w:t>
      </w:r>
      <w:r>
        <w:rPr>
          <w:rFonts w:ascii="宋体" w:hAnsi="宋体" w:eastAsia="宋体" w:cs="宋体"/>
          <w:sz w:val="23"/>
          <w:szCs w:val="23"/>
        </w:rPr>
        <w:t xml:space="preserve"> </w:t>
      </w:r>
      <w:r>
        <w:rPr>
          <w:rFonts w:ascii="宋体" w:hAnsi="宋体" w:eastAsia="宋体" w:cs="宋体"/>
          <w:spacing w:val="8"/>
          <w:sz w:val="23"/>
          <w:szCs w:val="23"/>
        </w:rPr>
        <w:t>气环境》  (</w:t>
      </w:r>
      <w:r>
        <w:rPr>
          <w:rFonts w:ascii="Times New Roman" w:hAnsi="Times New Roman" w:eastAsia="Times New Roman" w:cs="Times New Roman"/>
          <w:sz w:val="23"/>
          <w:szCs w:val="23"/>
        </w:rPr>
        <w:t>HJ</w:t>
      </w:r>
      <w:r>
        <w:rPr>
          <w:rFonts w:ascii="Times New Roman" w:hAnsi="Times New Roman" w:eastAsia="Times New Roman" w:cs="Times New Roman"/>
          <w:spacing w:val="5"/>
          <w:sz w:val="23"/>
          <w:szCs w:val="23"/>
        </w:rPr>
        <w:t>2</w:t>
      </w:r>
      <w:r>
        <w:rPr>
          <w:rFonts w:ascii="Times New Roman" w:hAnsi="Times New Roman" w:eastAsia="Times New Roman" w:cs="Times New Roman"/>
          <w:spacing w:val="4"/>
          <w:sz w:val="23"/>
          <w:szCs w:val="23"/>
        </w:rPr>
        <w:t>.2</w:t>
      </w:r>
      <w:r>
        <w:rPr>
          <w:rFonts w:ascii="宋体" w:hAnsi="宋体" w:eastAsia="宋体" w:cs="宋体"/>
          <w:spacing w:val="4"/>
          <w:sz w:val="23"/>
          <w:szCs w:val="23"/>
        </w:rPr>
        <w:t>－</w:t>
      </w:r>
      <w:r>
        <w:rPr>
          <w:rFonts w:ascii="Times New Roman" w:hAnsi="Times New Roman" w:eastAsia="Times New Roman" w:cs="Times New Roman"/>
          <w:spacing w:val="4"/>
          <w:sz w:val="23"/>
          <w:szCs w:val="23"/>
        </w:rPr>
        <w:t>2018</w:t>
      </w:r>
      <w:r>
        <w:rPr>
          <w:rFonts w:ascii="宋体" w:hAnsi="宋体" w:eastAsia="宋体" w:cs="宋体"/>
          <w:spacing w:val="4"/>
          <w:sz w:val="23"/>
          <w:szCs w:val="23"/>
        </w:rPr>
        <w:t>) 的规定，环境空气评价等级按最大地面空气质量浓度占标</w:t>
      </w:r>
      <w:r>
        <w:rPr>
          <w:rFonts w:ascii="宋体" w:hAnsi="宋体" w:eastAsia="宋体" w:cs="宋体"/>
          <w:sz w:val="23"/>
          <w:szCs w:val="23"/>
        </w:rPr>
        <w:t xml:space="preserve"> </w:t>
      </w:r>
      <w:r>
        <w:rPr>
          <w:rFonts w:ascii="宋体" w:hAnsi="宋体" w:eastAsia="宋体" w:cs="宋体"/>
          <w:spacing w:val="6"/>
          <w:sz w:val="23"/>
          <w:szCs w:val="23"/>
        </w:rPr>
        <w:t>率来判断</w:t>
      </w:r>
      <w:r>
        <w:rPr>
          <w:rFonts w:ascii="宋体" w:hAnsi="宋体" w:eastAsia="宋体" w:cs="宋体"/>
          <w:spacing w:val="5"/>
          <w:sz w:val="23"/>
          <w:szCs w:val="23"/>
        </w:rPr>
        <w:t>。</w:t>
      </w:r>
    </w:p>
    <w:p w14:paraId="6B3C6907">
      <w:pPr>
        <w:spacing w:before="1" w:line="220" w:lineRule="auto"/>
        <w:ind w:left="2850"/>
        <w:rPr>
          <w:rFonts w:ascii="黑体" w:hAnsi="黑体" w:eastAsia="黑体" w:cs="黑体"/>
          <w:sz w:val="23"/>
          <w:szCs w:val="23"/>
        </w:rPr>
      </w:pPr>
      <w:r>
        <w:rPr>
          <w:rFonts w:ascii="黑体" w:hAnsi="黑体" w:eastAsia="黑体" w:cs="黑体"/>
          <w:spacing w:val="2"/>
          <w:sz w:val="23"/>
          <w:szCs w:val="23"/>
        </w:rPr>
        <w:t xml:space="preserve">表 </w:t>
      </w:r>
      <w:r>
        <w:rPr>
          <w:rFonts w:ascii="Times New Roman" w:hAnsi="Times New Roman" w:eastAsia="Times New Roman" w:cs="Times New Roman"/>
          <w:spacing w:val="2"/>
          <w:sz w:val="23"/>
          <w:szCs w:val="23"/>
        </w:rPr>
        <w:t xml:space="preserve">1.5- 1     </w:t>
      </w:r>
      <w:r>
        <w:rPr>
          <w:rFonts w:ascii="Times New Roman" w:hAnsi="Times New Roman" w:eastAsia="Times New Roman" w:cs="Times New Roman"/>
          <w:spacing w:val="1"/>
          <w:sz w:val="23"/>
          <w:szCs w:val="23"/>
        </w:rPr>
        <w:t xml:space="preserve"> </w:t>
      </w:r>
      <w:r>
        <w:rPr>
          <w:rFonts w:ascii="黑体" w:hAnsi="黑体" w:eastAsia="黑体" w:cs="黑体"/>
          <w:spacing w:val="1"/>
          <w:sz w:val="23"/>
          <w:szCs w:val="23"/>
        </w:rPr>
        <w:t>大气环境影响评价等级划分</w:t>
      </w:r>
    </w:p>
    <w:tbl>
      <w:tblPr>
        <w:tblStyle w:val="4"/>
        <w:tblW w:w="9553" w:type="dxa"/>
        <w:tblInd w:w="8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66"/>
        <w:gridCol w:w="6487"/>
      </w:tblGrid>
      <w:tr w14:paraId="43636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3066" w:type="dxa"/>
            <w:tcBorders>
              <w:left w:val="nil"/>
            </w:tcBorders>
          </w:tcPr>
          <w:p w14:paraId="079623F6">
            <w:pPr>
              <w:spacing w:before="87" w:line="226" w:lineRule="auto"/>
              <w:ind w:left="909"/>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评</w:t>
            </w:r>
            <w:r>
              <w:rPr>
                <w:rFonts w:ascii="宋体" w:hAnsi="宋体" w:eastAsia="宋体" w:cs="宋体"/>
                <w:spacing w:val="9"/>
                <w:sz w:val="20"/>
                <w:szCs w:val="20"/>
                <w14:textOutline w14:w="3797" w14:cap="sq" w14:cmpd="sng" w14:algn="ctr">
                  <w14:solidFill>
                    <w14:srgbClr w14:val="000000"/>
                  </w14:solidFill>
                  <w14:prstDash w14:val="solid"/>
                  <w14:bevel/>
                </w14:textOutline>
              </w:rPr>
              <w:t>价工作等级</w:t>
            </w:r>
          </w:p>
        </w:tc>
        <w:tc>
          <w:tcPr>
            <w:tcW w:w="6487" w:type="dxa"/>
            <w:tcBorders>
              <w:right w:val="nil"/>
            </w:tcBorders>
          </w:tcPr>
          <w:p w14:paraId="25EE55EE">
            <w:pPr>
              <w:spacing w:before="87" w:line="226" w:lineRule="auto"/>
              <w:ind w:left="2407"/>
              <w:rPr>
                <w:rFonts w:ascii="宋体" w:hAnsi="宋体" w:eastAsia="宋体" w:cs="宋体"/>
                <w:sz w:val="20"/>
                <w:szCs w:val="20"/>
              </w:rPr>
            </w:pPr>
            <w:r>
              <w:rPr>
                <w:rFonts w:ascii="宋体" w:hAnsi="宋体" w:eastAsia="宋体" w:cs="宋体"/>
                <w:spacing w:val="14"/>
                <w:sz w:val="20"/>
                <w:szCs w:val="20"/>
                <w14:textOutline w14:w="3797" w14:cap="sq" w14:cmpd="sng" w14:algn="ctr">
                  <w14:solidFill>
                    <w14:srgbClr w14:val="000000"/>
                  </w14:solidFill>
                  <w14:prstDash w14:val="solid"/>
                  <w14:bevel/>
                </w14:textOutline>
              </w:rPr>
              <w:t>评</w:t>
            </w:r>
            <w:r>
              <w:rPr>
                <w:rFonts w:ascii="宋体" w:hAnsi="宋体" w:eastAsia="宋体" w:cs="宋体"/>
                <w:spacing w:val="9"/>
                <w:sz w:val="20"/>
                <w:szCs w:val="20"/>
                <w14:textOutline w14:w="3797" w14:cap="sq" w14:cmpd="sng" w14:algn="ctr">
                  <w14:solidFill>
                    <w14:srgbClr w14:val="000000"/>
                  </w14:solidFill>
                  <w14:prstDash w14:val="solid"/>
                  <w14:bevel/>
                </w14:textOutline>
              </w:rPr>
              <w:t>价工作分级判据</w:t>
            </w:r>
          </w:p>
        </w:tc>
      </w:tr>
      <w:tr w14:paraId="7BE30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3066" w:type="dxa"/>
            <w:tcBorders>
              <w:left w:val="nil"/>
            </w:tcBorders>
          </w:tcPr>
          <w:p w14:paraId="56D330E9">
            <w:pPr>
              <w:spacing w:before="65" w:line="278" w:lineRule="exact"/>
              <w:ind w:left="1333"/>
              <w:rPr>
                <w:rFonts w:ascii="宋体" w:hAnsi="宋体" w:eastAsia="宋体" w:cs="宋体"/>
                <w:sz w:val="20"/>
                <w:szCs w:val="20"/>
              </w:rPr>
            </w:pPr>
            <w:r>
              <w:rPr>
                <w:rFonts w:ascii="宋体" w:hAnsi="宋体" w:eastAsia="宋体" w:cs="宋体"/>
                <w:spacing w:val="4"/>
                <w:sz w:val="20"/>
                <w:szCs w:val="20"/>
              </w:rPr>
              <w:t>一级</w:t>
            </w:r>
          </w:p>
        </w:tc>
        <w:tc>
          <w:tcPr>
            <w:tcW w:w="6487" w:type="dxa"/>
            <w:tcBorders>
              <w:right w:val="nil"/>
            </w:tcBorders>
          </w:tcPr>
          <w:p w14:paraId="7F0848EF">
            <w:pPr>
              <w:spacing w:before="30" w:line="281" w:lineRule="exact"/>
              <w:ind w:left="275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Pma</w:t>
            </w:r>
            <w:r>
              <w:rPr>
                <w:rFonts w:ascii="Times New Roman" w:hAnsi="Times New Roman" w:eastAsia="Times New Roman" w:cs="Times New Roman"/>
                <w:position w:val="2"/>
                <w:sz w:val="20"/>
                <w:szCs w:val="20"/>
              </w:rPr>
              <w:t>x</w:t>
            </w:r>
            <w:r>
              <w:rPr>
                <w:rFonts w:ascii="Times New Roman" w:hAnsi="Times New Roman" w:eastAsia="Times New Roman" w:cs="Times New Roman"/>
                <w:spacing w:val="-1"/>
                <w:position w:val="2"/>
                <w:sz w:val="20"/>
                <w:szCs w:val="20"/>
              </w:rPr>
              <w:t>≥ 10%</w:t>
            </w:r>
          </w:p>
        </w:tc>
      </w:tr>
      <w:tr w14:paraId="10740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3066" w:type="dxa"/>
            <w:tcBorders>
              <w:left w:val="nil"/>
            </w:tcBorders>
          </w:tcPr>
          <w:p w14:paraId="4FA03A75">
            <w:pPr>
              <w:spacing w:before="67" w:line="230" w:lineRule="auto"/>
              <w:ind w:left="1333"/>
              <w:rPr>
                <w:rFonts w:ascii="宋体" w:hAnsi="宋体" w:eastAsia="宋体" w:cs="宋体"/>
                <w:sz w:val="20"/>
                <w:szCs w:val="20"/>
              </w:rPr>
            </w:pPr>
            <w:r>
              <w:rPr>
                <w:rFonts w:ascii="宋体" w:hAnsi="宋体" w:eastAsia="宋体" w:cs="宋体"/>
                <w:spacing w:val="3"/>
                <w:sz w:val="20"/>
                <w:szCs w:val="20"/>
              </w:rPr>
              <w:t>二级</w:t>
            </w:r>
          </w:p>
        </w:tc>
        <w:tc>
          <w:tcPr>
            <w:tcW w:w="6487" w:type="dxa"/>
            <w:tcBorders>
              <w:right w:val="nil"/>
            </w:tcBorders>
          </w:tcPr>
          <w:p w14:paraId="50EF8952">
            <w:pPr>
              <w:spacing w:before="30" w:line="281" w:lineRule="exact"/>
              <w:ind w:left="2532"/>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w:t>
            </w:r>
            <w:r>
              <w:rPr>
                <w:rFonts w:ascii="Times New Roman" w:hAnsi="Times New Roman" w:eastAsia="Times New Roman" w:cs="Times New Roman"/>
                <w:spacing w:val="6"/>
                <w:position w:val="2"/>
                <w:sz w:val="20"/>
                <w:szCs w:val="20"/>
              </w:rPr>
              <w:t>%≤</w:t>
            </w:r>
            <w:r>
              <w:rPr>
                <w:rFonts w:ascii="Times New Roman" w:hAnsi="Times New Roman" w:eastAsia="Times New Roman" w:cs="Times New Roman"/>
                <w:position w:val="2"/>
                <w:sz w:val="20"/>
                <w:szCs w:val="20"/>
              </w:rPr>
              <w:t>Pmax</w:t>
            </w:r>
            <w:r>
              <w:rPr>
                <w:rFonts w:ascii="宋体" w:hAnsi="宋体" w:eastAsia="宋体" w:cs="宋体"/>
                <w:spacing w:val="6"/>
                <w:position w:val="2"/>
                <w:sz w:val="20"/>
                <w:szCs w:val="20"/>
              </w:rPr>
              <w:t>＜</w:t>
            </w:r>
            <w:r>
              <w:rPr>
                <w:rFonts w:ascii="Times New Roman" w:hAnsi="Times New Roman" w:eastAsia="Times New Roman" w:cs="Times New Roman"/>
                <w:spacing w:val="6"/>
                <w:position w:val="2"/>
                <w:sz w:val="20"/>
                <w:szCs w:val="20"/>
              </w:rPr>
              <w:t>10%</w:t>
            </w:r>
          </w:p>
        </w:tc>
      </w:tr>
      <w:tr w14:paraId="428D4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3066" w:type="dxa"/>
            <w:tcBorders>
              <w:left w:val="nil"/>
            </w:tcBorders>
          </w:tcPr>
          <w:p w14:paraId="4D67AF5A">
            <w:pPr>
              <w:spacing w:before="70" w:line="230" w:lineRule="auto"/>
              <w:ind w:left="1329"/>
              <w:rPr>
                <w:rFonts w:ascii="宋体" w:hAnsi="宋体" w:eastAsia="宋体" w:cs="宋体"/>
                <w:sz w:val="20"/>
                <w:szCs w:val="20"/>
              </w:rPr>
            </w:pPr>
            <w:r>
              <w:rPr>
                <w:rFonts w:ascii="宋体" w:hAnsi="宋体" w:eastAsia="宋体" w:cs="宋体"/>
                <w:spacing w:val="5"/>
                <w:sz w:val="20"/>
                <w:szCs w:val="20"/>
              </w:rPr>
              <w:t>三</w:t>
            </w:r>
            <w:r>
              <w:rPr>
                <w:rFonts w:ascii="宋体" w:hAnsi="宋体" w:eastAsia="宋体" w:cs="宋体"/>
                <w:spacing w:val="4"/>
                <w:sz w:val="20"/>
                <w:szCs w:val="20"/>
              </w:rPr>
              <w:t>级</w:t>
            </w:r>
          </w:p>
        </w:tc>
        <w:tc>
          <w:tcPr>
            <w:tcW w:w="6487" w:type="dxa"/>
            <w:tcBorders>
              <w:right w:val="nil"/>
            </w:tcBorders>
          </w:tcPr>
          <w:p w14:paraId="1DBEFA19">
            <w:pPr>
              <w:spacing w:before="32" w:line="281" w:lineRule="exact"/>
              <w:ind w:left="2761"/>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Pmax</w:t>
            </w:r>
            <w:r>
              <w:rPr>
                <w:rFonts w:ascii="宋体" w:hAnsi="宋体" w:eastAsia="宋体" w:cs="宋体"/>
                <w:spacing w:val="14"/>
                <w:position w:val="2"/>
                <w:sz w:val="20"/>
                <w:szCs w:val="20"/>
              </w:rPr>
              <w:t>＜</w:t>
            </w:r>
            <w:r>
              <w:rPr>
                <w:rFonts w:ascii="Times New Roman" w:hAnsi="Times New Roman" w:eastAsia="Times New Roman" w:cs="Times New Roman"/>
                <w:spacing w:val="13"/>
                <w:position w:val="2"/>
                <w:sz w:val="20"/>
                <w:szCs w:val="20"/>
              </w:rPr>
              <w:t>1%</w:t>
            </w:r>
          </w:p>
        </w:tc>
      </w:tr>
    </w:tbl>
    <w:p w14:paraId="40247847">
      <w:pPr>
        <w:spacing w:line="319" w:lineRule="exact"/>
        <w:ind w:left="1004"/>
        <w:rPr>
          <w:rFonts w:ascii="宋体" w:hAnsi="宋体" w:eastAsia="宋体" w:cs="宋体"/>
          <w:sz w:val="23"/>
          <w:szCs w:val="23"/>
        </w:rPr>
      </w:pPr>
      <w:r>
        <w:rPr>
          <w:rFonts w:ascii="宋体" w:hAnsi="宋体" w:eastAsia="宋体" w:cs="宋体"/>
          <w:spacing w:val="8"/>
          <w:position w:val="1"/>
          <w:sz w:val="23"/>
          <w:szCs w:val="23"/>
        </w:rPr>
        <w:t xml:space="preserve">其中 </w:t>
      </w:r>
      <w:r>
        <w:rPr>
          <w:rFonts w:ascii="Times New Roman" w:hAnsi="Times New Roman" w:eastAsia="Times New Roman" w:cs="Times New Roman"/>
          <w:position w:val="1"/>
          <w:sz w:val="23"/>
          <w:szCs w:val="23"/>
        </w:rPr>
        <w:t>P</w:t>
      </w:r>
      <w:r>
        <w:rPr>
          <w:rFonts w:ascii="Times New Roman" w:hAnsi="Times New Roman" w:eastAsia="Times New Roman" w:cs="Times New Roman"/>
          <w:sz w:val="15"/>
          <w:szCs w:val="15"/>
        </w:rPr>
        <w:t>max</w:t>
      </w:r>
      <w:r>
        <w:rPr>
          <w:rFonts w:ascii="Times New Roman" w:hAnsi="Times New Roman" w:eastAsia="Times New Roman" w:cs="Times New Roman"/>
          <w:spacing w:val="8"/>
          <w:sz w:val="15"/>
          <w:szCs w:val="15"/>
        </w:rPr>
        <w:t xml:space="preserve"> </w:t>
      </w:r>
      <w:r>
        <w:rPr>
          <w:rFonts w:ascii="宋体" w:hAnsi="宋体" w:eastAsia="宋体" w:cs="宋体"/>
          <w:spacing w:val="8"/>
          <w:position w:val="1"/>
          <w:sz w:val="23"/>
          <w:szCs w:val="23"/>
        </w:rPr>
        <w:t>为选</w:t>
      </w:r>
      <w:r>
        <w:rPr>
          <w:rFonts w:ascii="宋体" w:hAnsi="宋体" w:eastAsia="宋体" w:cs="宋体"/>
          <w:spacing w:val="7"/>
          <w:position w:val="1"/>
          <w:sz w:val="23"/>
          <w:szCs w:val="23"/>
        </w:rPr>
        <w:t>择</w:t>
      </w:r>
      <w:r>
        <w:rPr>
          <w:rFonts w:ascii="宋体" w:hAnsi="宋体" w:eastAsia="宋体" w:cs="宋体"/>
          <w:spacing w:val="4"/>
          <w:position w:val="1"/>
          <w:sz w:val="23"/>
          <w:szCs w:val="23"/>
        </w:rPr>
        <w:t xml:space="preserve">的主要污染物的最大地面空气质量浓度占标率 </w:t>
      </w:r>
      <w:r>
        <w:rPr>
          <w:rFonts w:ascii="Times New Roman" w:hAnsi="Times New Roman" w:eastAsia="Times New Roman" w:cs="Times New Roman"/>
          <w:position w:val="1"/>
          <w:sz w:val="23"/>
          <w:szCs w:val="23"/>
        </w:rPr>
        <w:t>Pi</w:t>
      </w:r>
      <w:r>
        <w:rPr>
          <w:rFonts w:ascii="Times New Roman" w:hAnsi="Times New Roman" w:eastAsia="Times New Roman" w:cs="Times New Roman"/>
          <w:spacing w:val="4"/>
          <w:position w:val="1"/>
          <w:sz w:val="23"/>
          <w:szCs w:val="23"/>
        </w:rPr>
        <w:t xml:space="preserve"> </w:t>
      </w:r>
      <w:r>
        <w:rPr>
          <w:rFonts w:ascii="宋体" w:hAnsi="宋体" w:eastAsia="宋体" w:cs="宋体"/>
          <w:spacing w:val="4"/>
          <w:position w:val="1"/>
          <w:sz w:val="23"/>
          <w:szCs w:val="23"/>
        </w:rPr>
        <w:t>值最大者。其</w:t>
      </w:r>
    </w:p>
    <w:p w14:paraId="52271016">
      <w:pPr>
        <w:sectPr>
          <w:footerReference r:id="rId29" w:type="default"/>
          <w:pgSz w:w="11907" w:h="16840"/>
          <w:pgMar w:top="400" w:right="1046" w:bottom="1277" w:left="1146" w:header="0" w:footer="1114" w:gutter="0"/>
          <w:cols w:space="720" w:num="1"/>
        </w:sectPr>
      </w:pPr>
    </w:p>
    <w:p w14:paraId="3FA10318">
      <w:pPr>
        <w:spacing w:line="320" w:lineRule="exact"/>
        <w:ind w:left="140"/>
        <w:rPr>
          <w:rFonts w:ascii="宋体" w:hAnsi="宋体" w:eastAsia="宋体" w:cs="宋体"/>
          <w:sz w:val="23"/>
          <w:szCs w:val="23"/>
        </w:rPr>
      </w:pPr>
      <w:r>
        <w:rPr>
          <w:rFonts w:ascii="宋体" w:hAnsi="宋体" w:eastAsia="宋体" w:cs="宋体"/>
          <w:spacing w:val="-6"/>
          <w:position w:val="1"/>
          <w:sz w:val="23"/>
          <w:szCs w:val="23"/>
        </w:rPr>
        <w:t>中</w:t>
      </w:r>
      <w:r>
        <w:rPr>
          <w:rFonts w:ascii="宋体" w:hAnsi="宋体" w:eastAsia="宋体" w:cs="宋体"/>
          <w:spacing w:val="-4"/>
          <w:position w:val="1"/>
          <w:sz w:val="23"/>
          <w:szCs w:val="23"/>
        </w:rPr>
        <w:t xml:space="preserve"> </w:t>
      </w:r>
      <w:r>
        <w:rPr>
          <w:rFonts w:ascii="Times New Roman" w:hAnsi="Times New Roman" w:eastAsia="Times New Roman" w:cs="Times New Roman"/>
          <w:spacing w:val="-4"/>
          <w:position w:val="1"/>
          <w:sz w:val="23"/>
          <w:szCs w:val="23"/>
        </w:rPr>
        <w:t xml:space="preserve">Pi </w:t>
      </w:r>
      <w:r>
        <w:rPr>
          <w:rFonts w:ascii="宋体" w:hAnsi="宋体" w:eastAsia="宋体" w:cs="宋体"/>
          <w:spacing w:val="-4"/>
          <w:position w:val="1"/>
          <w:sz w:val="23"/>
          <w:szCs w:val="23"/>
        </w:rPr>
        <w:t>定义为：</w:t>
      </w:r>
    </w:p>
    <w:p w14:paraId="1F00872A">
      <w:pPr>
        <w:spacing w:before="217"/>
        <w:ind w:left="4066"/>
        <w:rPr>
          <w:rFonts w:ascii="Times New Roman" w:hAnsi="Times New Roman" w:eastAsia="Times New Roman" w:cs="Times New Roman"/>
          <w:sz w:val="23"/>
          <w:szCs w:val="23"/>
        </w:rPr>
      </w:pPr>
      <w:r>
        <w:rPr>
          <w:rFonts w:ascii="Times New Roman" w:hAnsi="Times New Roman" w:eastAsia="Times New Roman" w:cs="Times New Roman"/>
          <w:i/>
          <w:iCs/>
          <w:spacing w:val="-2"/>
          <w:position w:val="2"/>
          <w:sz w:val="23"/>
          <w:szCs w:val="23"/>
        </w:rPr>
        <w:t>P</w:t>
      </w:r>
      <w:r>
        <w:rPr>
          <w:rFonts w:ascii="Times New Roman" w:hAnsi="Times New Roman" w:eastAsia="Times New Roman" w:cs="Times New Roman"/>
          <w:i/>
          <w:iCs/>
          <w:spacing w:val="-2"/>
          <w:position w:val="-3"/>
          <w:sz w:val="13"/>
          <w:szCs w:val="13"/>
        </w:rPr>
        <w:t>i</w:t>
      </w:r>
      <w:r>
        <w:rPr>
          <w:rFonts w:ascii="Times New Roman" w:hAnsi="Times New Roman" w:eastAsia="Times New Roman" w:cs="Times New Roman"/>
          <w:spacing w:val="-4"/>
          <w:position w:val="-3"/>
          <w:sz w:val="13"/>
          <w:szCs w:val="13"/>
        </w:rPr>
        <w:t xml:space="preserve">  </w:t>
      </w:r>
      <w:r>
        <w:rPr>
          <w:rFonts w:ascii="Symbol" w:hAnsi="Symbol" w:eastAsia="Symbol" w:cs="Symbol"/>
          <w:spacing w:val="-2"/>
          <w:position w:val="2"/>
          <w:sz w:val="23"/>
          <w:szCs w:val="23"/>
        </w:rPr>
        <w:t xml:space="preserve">= </w:t>
      </w:r>
      <w:r>
        <w:rPr>
          <w:position w:val="-26"/>
          <w:sz w:val="23"/>
          <w:szCs w:val="23"/>
        </w:rPr>
        <w:drawing>
          <wp:inline distT="0" distB="0" distL="0" distR="0">
            <wp:extent cx="213995" cy="382905"/>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r:embed="rId354"/>
                    <a:stretch>
                      <a:fillRect/>
                    </a:stretch>
                  </pic:blipFill>
                  <pic:spPr>
                    <a:xfrm>
                      <a:off x="0" y="0"/>
                      <a:ext cx="214186" cy="383335"/>
                    </a:xfrm>
                    <a:prstGeom prst="rect">
                      <a:avLst/>
                    </a:prstGeom>
                  </pic:spPr>
                </pic:pic>
              </a:graphicData>
            </a:graphic>
          </wp:inline>
        </w:drawing>
      </w:r>
      <w:r>
        <w:rPr>
          <w:rFonts w:ascii="Symbol" w:hAnsi="Symbol" w:eastAsia="Symbol" w:cs="Symbol"/>
          <w:spacing w:val="-2"/>
          <w:position w:val="2"/>
          <w:sz w:val="23"/>
          <w:szCs w:val="23"/>
        </w:rPr>
        <w:t xml:space="preserve"> </w:t>
      </w:r>
      <w:r>
        <w:rPr>
          <w:position w:val="-2"/>
          <w:sz w:val="23"/>
          <w:szCs w:val="23"/>
        </w:rPr>
        <w:drawing>
          <wp:inline distT="0" distB="0" distL="0" distR="0">
            <wp:extent cx="64770" cy="18478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355"/>
                    <a:stretch>
                      <a:fillRect/>
                    </a:stretch>
                  </pic:blipFill>
                  <pic:spPr>
                    <a:xfrm>
                      <a:off x="0" y="0"/>
                      <a:ext cx="65158" cy="185045"/>
                    </a:xfrm>
                    <a:prstGeom prst="rect">
                      <a:avLst/>
                    </a:prstGeom>
                  </pic:spPr>
                </pic:pic>
              </a:graphicData>
            </a:graphic>
          </wp:inline>
        </w:drawing>
      </w:r>
      <w:r>
        <w:rPr>
          <w:rFonts w:ascii="Symbol" w:hAnsi="Symbol" w:eastAsia="Symbol" w:cs="Symbol"/>
          <w:spacing w:val="-2"/>
          <w:position w:val="2"/>
          <w:sz w:val="23"/>
          <w:szCs w:val="23"/>
        </w:rPr>
        <w:t xml:space="preserve"> </w:t>
      </w:r>
      <w:r>
        <w:rPr>
          <w:rFonts w:ascii="Times New Roman" w:hAnsi="Times New Roman" w:eastAsia="Times New Roman" w:cs="Times New Roman"/>
          <w:spacing w:val="-2"/>
          <w:position w:val="2"/>
          <w:sz w:val="23"/>
          <w:szCs w:val="23"/>
        </w:rPr>
        <w:t>100%</w:t>
      </w:r>
    </w:p>
    <w:p w14:paraId="724E08C2">
      <w:pPr>
        <w:spacing w:before="44" w:line="228" w:lineRule="auto"/>
        <w:ind w:left="602"/>
        <w:rPr>
          <w:rFonts w:ascii="宋体" w:hAnsi="宋体" w:eastAsia="宋体" w:cs="宋体"/>
          <w:sz w:val="23"/>
          <w:szCs w:val="23"/>
        </w:rPr>
      </w:pPr>
      <w:r>
        <w:rPr>
          <w:rFonts w:ascii="宋体" w:hAnsi="宋体" w:eastAsia="宋体" w:cs="宋体"/>
          <w:spacing w:val="2"/>
          <w:sz w:val="23"/>
          <w:szCs w:val="23"/>
        </w:rPr>
        <w:t>式中</w:t>
      </w:r>
      <w:r>
        <w:rPr>
          <w:rFonts w:ascii="宋体" w:hAnsi="宋体" w:eastAsia="宋体" w:cs="宋体"/>
          <w:spacing w:val="1"/>
          <w:sz w:val="23"/>
          <w:szCs w:val="23"/>
        </w:rPr>
        <w:t>：</w:t>
      </w:r>
    </w:p>
    <w:p w14:paraId="36B2E4A7">
      <w:pPr>
        <w:spacing w:before="138" w:line="323" w:lineRule="exact"/>
        <w:ind w:left="592"/>
        <w:rPr>
          <w:rFonts w:ascii="宋体" w:hAnsi="宋体" w:eastAsia="宋体" w:cs="宋体"/>
          <w:sz w:val="23"/>
          <w:szCs w:val="23"/>
        </w:rPr>
      </w:pPr>
      <w:r>
        <w:rPr>
          <w:rFonts w:ascii="Times New Roman" w:hAnsi="Times New Roman" w:eastAsia="Times New Roman" w:cs="Times New Roman"/>
          <w:position w:val="1"/>
          <w:sz w:val="23"/>
          <w:szCs w:val="23"/>
        </w:rPr>
        <w:t>P</w:t>
      </w:r>
      <w:r>
        <w:rPr>
          <w:rFonts w:ascii="Times New Roman" w:hAnsi="Times New Roman" w:eastAsia="Times New Roman" w:cs="Times New Roman"/>
          <w:sz w:val="15"/>
          <w:szCs w:val="15"/>
        </w:rPr>
        <w:t>i</w:t>
      </w:r>
      <w:r>
        <w:rPr>
          <w:rFonts w:ascii="Times New Roman" w:hAnsi="Times New Roman" w:eastAsia="Times New Roman" w:cs="Times New Roman"/>
          <w:spacing w:val="10"/>
          <w:position w:val="1"/>
          <w:sz w:val="23"/>
          <w:szCs w:val="23"/>
        </w:rPr>
        <w:t>—</w:t>
      </w:r>
      <w:r>
        <w:rPr>
          <w:rFonts w:ascii="宋体" w:hAnsi="宋体" w:eastAsia="宋体" w:cs="宋体"/>
          <w:spacing w:val="6"/>
          <w:position w:val="1"/>
          <w:sz w:val="23"/>
          <w:szCs w:val="23"/>
        </w:rPr>
        <w:t xml:space="preserve">第 </w:t>
      </w:r>
      <w:r>
        <w:rPr>
          <w:rFonts w:ascii="Times New Roman" w:hAnsi="Times New Roman" w:eastAsia="Times New Roman" w:cs="Times New Roman"/>
          <w:position w:val="1"/>
          <w:sz w:val="23"/>
          <w:szCs w:val="23"/>
        </w:rPr>
        <w:t>i</w:t>
      </w:r>
      <w:r>
        <w:rPr>
          <w:rFonts w:ascii="Times New Roman" w:hAnsi="Times New Roman" w:eastAsia="Times New Roman" w:cs="Times New Roman"/>
          <w:spacing w:val="6"/>
          <w:position w:val="1"/>
          <w:sz w:val="23"/>
          <w:szCs w:val="23"/>
        </w:rPr>
        <w:t xml:space="preserve"> </w:t>
      </w:r>
      <w:r>
        <w:rPr>
          <w:rFonts w:ascii="宋体" w:hAnsi="宋体" w:eastAsia="宋体" w:cs="宋体"/>
          <w:spacing w:val="6"/>
          <w:position w:val="1"/>
          <w:sz w:val="23"/>
          <w:szCs w:val="23"/>
        </w:rPr>
        <w:t>个污染物的最大地面浓度占标率，</w:t>
      </w:r>
      <w:r>
        <w:rPr>
          <w:rFonts w:ascii="Times New Roman" w:hAnsi="Times New Roman" w:eastAsia="Times New Roman" w:cs="Times New Roman"/>
          <w:spacing w:val="6"/>
          <w:position w:val="1"/>
          <w:sz w:val="23"/>
          <w:szCs w:val="23"/>
        </w:rPr>
        <w:t>%</w:t>
      </w:r>
      <w:r>
        <w:rPr>
          <w:rFonts w:ascii="宋体" w:hAnsi="宋体" w:eastAsia="宋体" w:cs="宋体"/>
          <w:spacing w:val="6"/>
          <w:position w:val="1"/>
          <w:sz w:val="23"/>
          <w:szCs w:val="23"/>
        </w:rPr>
        <w:t>；</w:t>
      </w:r>
    </w:p>
    <w:p w14:paraId="07FA9CFC">
      <w:pPr>
        <w:spacing w:before="142" w:line="323" w:lineRule="exact"/>
        <w:ind w:left="597"/>
        <w:rPr>
          <w:rFonts w:ascii="宋体" w:hAnsi="宋体" w:eastAsia="宋体" w:cs="宋体"/>
          <w:sz w:val="23"/>
          <w:szCs w:val="23"/>
        </w:rPr>
      </w:pPr>
      <w:r>
        <w:rPr>
          <w:rFonts w:ascii="Times New Roman" w:hAnsi="Times New Roman" w:eastAsia="Times New Roman" w:cs="Times New Roman"/>
          <w:position w:val="3"/>
          <w:sz w:val="23"/>
          <w:szCs w:val="23"/>
        </w:rPr>
        <w:t>C</w:t>
      </w:r>
      <w:r>
        <w:rPr>
          <w:rFonts w:ascii="Times New Roman" w:hAnsi="Times New Roman" w:eastAsia="Times New Roman" w:cs="Times New Roman"/>
          <w:position w:val="2"/>
          <w:sz w:val="15"/>
          <w:szCs w:val="15"/>
        </w:rPr>
        <w:t>i</w:t>
      </w:r>
      <w:r>
        <w:rPr>
          <w:rFonts w:ascii="Times New Roman" w:hAnsi="Times New Roman" w:eastAsia="Times New Roman" w:cs="Times New Roman"/>
          <w:spacing w:val="6"/>
          <w:position w:val="3"/>
          <w:sz w:val="23"/>
          <w:szCs w:val="23"/>
        </w:rPr>
        <w:t>—</w:t>
      </w:r>
      <w:r>
        <w:rPr>
          <w:rFonts w:ascii="宋体" w:hAnsi="宋体" w:eastAsia="宋体" w:cs="宋体"/>
          <w:spacing w:val="6"/>
          <w:position w:val="3"/>
          <w:sz w:val="23"/>
          <w:szCs w:val="23"/>
        </w:rPr>
        <w:t xml:space="preserve">采用估算模型计算出的第 </w:t>
      </w:r>
      <w:r>
        <w:rPr>
          <w:rFonts w:ascii="Times New Roman" w:hAnsi="Times New Roman" w:eastAsia="Times New Roman" w:cs="Times New Roman"/>
          <w:position w:val="3"/>
          <w:sz w:val="23"/>
          <w:szCs w:val="23"/>
        </w:rPr>
        <w:t>i</w:t>
      </w:r>
      <w:r>
        <w:rPr>
          <w:rFonts w:ascii="Times New Roman" w:hAnsi="Times New Roman" w:eastAsia="Times New Roman" w:cs="Times New Roman"/>
          <w:spacing w:val="6"/>
          <w:position w:val="3"/>
          <w:sz w:val="23"/>
          <w:szCs w:val="23"/>
        </w:rPr>
        <w:t xml:space="preserve"> </w:t>
      </w:r>
      <w:r>
        <w:rPr>
          <w:rFonts w:ascii="宋体" w:hAnsi="宋体" w:eastAsia="宋体" w:cs="宋体"/>
          <w:spacing w:val="6"/>
          <w:position w:val="3"/>
          <w:sz w:val="23"/>
          <w:szCs w:val="23"/>
        </w:rPr>
        <w:t xml:space="preserve">个污染物的最大 </w:t>
      </w:r>
      <w:r>
        <w:rPr>
          <w:rFonts w:ascii="Times New Roman" w:hAnsi="Times New Roman" w:eastAsia="Times New Roman" w:cs="Times New Roman"/>
          <w:spacing w:val="6"/>
          <w:position w:val="3"/>
          <w:sz w:val="23"/>
          <w:szCs w:val="23"/>
        </w:rPr>
        <w:t>1</w:t>
      </w:r>
      <w:r>
        <w:rPr>
          <w:rFonts w:ascii="Times New Roman" w:hAnsi="Times New Roman" w:eastAsia="Times New Roman" w:cs="Times New Roman"/>
          <w:position w:val="3"/>
          <w:sz w:val="23"/>
          <w:szCs w:val="23"/>
        </w:rPr>
        <w:t>h</w:t>
      </w:r>
      <w:r>
        <w:rPr>
          <w:rFonts w:ascii="Times New Roman" w:hAnsi="Times New Roman" w:eastAsia="Times New Roman" w:cs="Times New Roman"/>
          <w:spacing w:val="6"/>
          <w:position w:val="3"/>
          <w:sz w:val="23"/>
          <w:szCs w:val="23"/>
        </w:rPr>
        <w:t xml:space="preserve"> </w:t>
      </w:r>
      <w:r>
        <w:rPr>
          <w:rFonts w:ascii="宋体" w:hAnsi="宋体" w:eastAsia="宋体" w:cs="宋体"/>
          <w:spacing w:val="6"/>
          <w:position w:val="3"/>
          <w:sz w:val="23"/>
          <w:szCs w:val="23"/>
        </w:rPr>
        <w:t>地面空气质量浓度，</w:t>
      </w:r>
      <w:r>
        <w:rPr>
          <w:rFonts w:ascii="Times New Roman" w:hAnsi="Times New Roman" w:eastAsia="Times New Roman" w:cs="Times New Roman"/>
          <w:position w:val="3"/>
          <w:sz w:val="23"/>
          <w:szCs w:val="23"/>
        </w:rPr>
        <w:t>ug</w:t>
      </w:r>
      <w:r>
        <w:rPr>
          <w:rFonts w:ascii="Times New Roman" w:hAnsi="Times New Roman" w:eastAsia="Times New Roman" w:cs="Times New Roman"/>
          <w:spacing w:val="6"/>
          <w:position w:val="3"/>
          <w:sz w:val="23"/>
          <w:szCs w:val="23"/>
        </w:rPr>
        <w:t>/</w:t>
      </w:r>
      <w:r>
        <w:rPr>
          <w:rFonts w:ascii="Times New Roman" w:hAnsi="Times New Roman" w:eastAsia="Times New Roman" w:cs="Times New Roman"/>
          <w:position w:val="3"/>
          <w:sz w:val="23"/>
          <w:szCs w:val="23"/>
        </w:rPr>
        <w:t>m</w:t>
      </w:r>
      <w:r>
        <w:rPr>
          <w:rFonts w:ascii="Times New Roman" w:hAnsi="Times New Roman" w:eastAsia="Times New Roman" w:cs="Times New Roman"/>
          <w:spacing w:val="6"/>
          <w:position w:val="11"/>
          <w:sz w:val="15"/>
          <w:szCs w:val="15"/>
        </w:rPr>
        <w:t>3</w:t>
      </w:r>
      <w:r>
        <w:rPr>
          <w:rFonts w:ascii="宋体" w:hAnsi="宋体" w:eastAsia="宋体" w:cs="宋体"/>
          <w:position w:val="3"/>
          <w:sz w:val="23"/>
          <w:szCs w:val="23"/>
        </w:rPr>
        <w:t>；</w:t>
      </w:r>
    </w:p>
    <w:p w14:paraId="34651982">
      <w:pPr>
        <w:spacing w:before="144" w:line="387" w:lineRule="auto"/>
        <w:ind w:left="117" w:right="106" w:firstLine="480"/>
        <w:rPr>
          <w:rFonts w:ascii="宋体" w:hAnsi="宋体" w:eastAsia="宋体" w:cs="宋体"/>
          <w:sz w:val="23"/>
          <w:szCs w:val="23"/>
        </w:rPr>
      </w:pPr>
      <w:r>
        <w:rPr>
          <w:rFonts w:ascii="Times New Roman" w:hAnsi="Times New Roman" w:eastAsia="Times New Roman" w:cs="Times New Roman"/>
          <w:sz w:val="23"/>
          <w:szCs w:val="23"/>
        </w:rPr>
        <w:t>C</w:t>
      </w:r>
      <w:r>
        <w:rPr>
          <w:rFonts w:ascii="Times New Roman" w:hAnsi="Times New Roman" w:eastAsia="Times New Roman" w:cs="Times New Roman"/>
          <w:spacing w:val="6"/>
          <w:position w:val="-1"/>
          <w:sz w:val="15"/>
          <w:szCs w:val="15"/>
        </w:rPr>
        <w:t>0</w:t>
      </w:r>
      <w:r>
        <w:rPr>
          <w:rFonts w:ascii="Times New Roman" w:hAnsi="Times New Roman" w:eastAsia="Times New Roman" w:cs="Times New Roman"/>
          <w:position w:val="-1"/>
          <w:sz w:val="15"/>
          <w:szCs w:val="15"/>
        </w:rPr>
        <w:t>i</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 xml:space="preserve">第 </w:t>
      </w:r>
      <w:r>
        <w:rPr>
          <w:rFonts w:ascii="Times New Roman" w:hAnsi="Times New Roman" w:eastAsia="Times New Roman" w:cs="Times New Roman"/>
          <w:sz w:val="23"/>
          <w:szCs w:val="23"/>
        </w:rPr>
        <w:t>i</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个污染物</w:t>
      </w:r>
      <w:r>
        <w:rPr>
          <w:rFonts w:ascii="宋体" w:hAnsi="宋体" w:eastAsia="宋体" w:cs="宋体"/>
          <w:spacing w:val="5"/>
          <w:sz w:val="23"/>
          <w:szCs w:val="23"/>
        </w:rPr>
        <w:t>的</w:t>
      </w:r>
      <w:r>
        <w:rPr>
          <w:rFonts w:ascii="宋体" w:hAnsi="宋体" w:eastAsia="宋体" w:cs="宋体"/>
          <w:spacing w:val="3"/>
          <w:sz w:val="23"/>
          <w:szCs w:val="23"/>
        </w:rPr>
        <w:t>环境空气质量浓度标准，</w:t>
      </w:r>
      <w:r>
        <w:rPr>
          <w:rFonts w:ascii="Times New Roman" w:hAnsi="Times New Roman" w:eastAsia="Times New Roman" w:cs="Times New Roman"/>
          <w:sz w:val="23"/>
          <w:szCs w:val="23"/>
        </w:rPr>
        <w:t>ug</w:t>
      </w:r>
      <w:r>
        <w:rPr>
          <w:rFonts w:ascii="Times New Roman" w:hAnsi="Times New Roman" w:eastAsia="Times New Roman" w:cs="Times New Roman"/>
          <w:spacing w:val="3"/>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3"/>
          <w:position w:val="7"/>
          <w:sz w:val="15"/>
          <w:szCs w:val="15"/>
        </w:rPr>
        <w:t xml:space="preserve">3   </w:t>
      </w:r>
      <w:r>
        <w:rPr>
          <w:rFonts w:ascii="宋体" w:hAnsi="宋体" w:eastAsia="宋体" w:cs="宋体"/>
          <w:spacing w:val="3"/>
          <w:sz w:val="23"/>
          <w:szCs w:val="23"/>
        </w:rPr>
        <w:t xml:space="preserve">( 一般选取 </w:t>
      </w:r>
      <w:r>
        <w:rPr>
          <w:rFonts w:ascii="Times New Roman" w:hAnsi="Times New Roman" w:eastAsia="Times New Roman" w:cs="Times New Roman"/>
          <w:sz w:val="23"/>
          <w:szCs w:val="23"/>
        </w:rPr>
        <w:t>GB</w:t>
      </w:r>
      <w:r>
        <w:rPr>
          <w:rFonts w:ascii="Times New Roman" w:hAnsi="Times New Roman" w:eastAsia="Times New Roman" w:cs="Times New Roman"/>
          <w:spacing w:val="3"/>
          <w:sz w:val="23"/>
          <w:szCs w:val="23"/>
        </w:rPr>
        <w:t xml:space="preserve">3095 </w:t>
      </w:r>
      <w:r>
        <w:rPr>
          <w:rFonts w:ascii="宋体" w:hAnsi="宋体" w:eastAsia="宋体" w:cs="宋体"/>
          <w:spacing w:val="3"/>
          <w:sz w:val="23"/>
          <w:szCs w:val="23"/>
        </w:rPr>
        <w:t xml:space="preserve">中 </w:t>
      </w:r>
      <w:r>
        <w:rPr>
          <w:rFonts w:ascii="Times New Roman" w:hAnsi="Times New Roman" w:eastAsia="Times New Roman" w:cs="Times New Roman"/>
          <w:spacing w:val="3"/>
          <w:sz w:val="23"/>
          <w:szCs w:val="23"/>
        </w:rPr>
        <w:t>1</w:t>
      </w:r>
      <w:r>
        <w:rPr>
          <w:rFonts w:ascii="Times New Roman" w:hAnsi="Times New Roman" w:eastAsia="Times New Roman" w:cs="Times New Roman"/>
          <w:sz w:val="23"/>
          <w:szCs w:val="23"/>
        </w:rPr>
        <w:t xml:space="preserve">h </w:t>
      </w:r>
      <w:r>
        <w:rPr>
          <w:rFonts w:ascii="宋体" w:hAnsi="宋体" w:eastAsia="宋体" w:cs="宋体"/>
          <w:spacing w:val="13"/>
          <w:sz w:val="23"/>
          <w:szCs w:val="23"/>
        </w:rPr>
        <w:t>平</w:t>
      </w:r>
      <w:r>
        <w:rPr>
          <w:rFonts w:ascii="宋体" w:hAnsi="宋体" w:eastAsia="宋体" w:cs="宋体"/>
          <w:spacing w:val="8"/>
          <w:sz w:val="23"/>
          <w:szCs w:val="23"/>
        </w:rPr>
        <w:t>均质量浓度的二级浓度限值) 。</w:t>
      </w:r>
    </w:p>
    <w:p w14:paraId="25905F47">
      <w:pPr>
        <w:spacing w:before="12" w:line="226" w:lineRule="auto"/>
        <w:ind w:left="609"/>
        <w:rPr>
          <w:rFonts w:ascii="宋体" w:hAnsi="宋体" w:eastAsia="宋体" w:cs="宋体"/>
          <w:sz w:val="23"/>
          <w:szCs w:val="23"/>
        </w:rPr>
      </w:pPr>
      <w:r>
        <w:rPr>
          <w:rFonts w:ascii="宋体" w:hAnsi="宋体" w:eastAsia="宋体" w:cs="宋体"/>
          <w:spacing w:val="17"/>
          <w:sz w:val="23"/>
          <w:szCs w:val="23"/>
        </w:rPr>
        <w:t>(</w:t>
      </w:r>
      <w:r>
        <w:rPr>
          <w:rFonts w:ascii="Times New Roman" w:hAnsi="Times New Roman" w:eastAsia="Times New Roman" w:cs="Times New Roman"/>
          <w:spacing w:val="16"/>
          <w:sz w:val="23"/>
          <w:szCs w:val="23"/>
        </w:rPr>
        <w:t>2</w:t>
      </w:r>
      <w:r>
        <w:rPr>
          <w:rFonts w:ascii="宋体" w:hAnsi="宋体" w:eastAsia="宋体" w:cs="宋体"/>
          <w:spacing w:val="16"/>
          <w:sz w:val="23"/>
          <w:szCs w:val="23"/>
        </w:rPr>
        <w:t>) 评价因子及评价标准</w:t>
      </w:r>
    </w:p>
    <w:p w14:paraId="2EA3F279">
      <w:pPr>
        <w:spacing w:before="186" w:line="375" w:lineRule="auto"/>
        <w:ind w:left="121" w:right="106" w:firstLine="477"/>
        <w:rPr>
          <w:rFonts w:ascii="宋体" w:hAnsi="宋体" w:eastAsia="宋体" w:cs="宋体"/>
          <w:sz w:val="23"/>
          <w:szCs w:val="23"/>
        </w:rPr>
      </w:pPr>
      <w:r>
        <w:rPr>
          <w:rFonts w:ascii="宋体" w:hAnsi="宋体" w:eastAsia="宋体" w:cs="宋体"/>
          <w:spacing w:val="8"/>
          <w:sz w:val="23"/>
          <w:szCs w:val="23"/>
        </w:rPr>
        <w:t>根据</w:t>
      </w:r>
      <w:r>
        <w:rPr>
          <w:rFonts w:ascii="宋体" w:hAnsi="宋体" w:eastAsia="宋体" w:cs="宋体"/>
          <w:spacing w:val="7"/>
          <w:sz w:val="23"/>
          <w:szCs w:val="23"/>
        </w:rPr>
        <w:t>工</w:t>
      </w:r>
      <w:r>
        <w:rPr>
          <w:rFonts w:ascii="宋体" w:hAnsi="宋体" w:eastAsia="宋体" w:cs="宋体"/>
          <w:spacing w:val="4"/>
          <w:sz w:val="23"/>
          <w:szCs w:val="23"/>
        </w:rPr>
        <w:t xml:space="preserve">程分析，本项目无组织排放的恶臭气体以 </w:t>
      </w:r>
      <w:r>
        <w:rPr>
          <w:rFonts w:ascii="Times New Roman" w:hAnsi="Times New Roman" w:eastAsia="Times New Roman" w:cs="Times New Roman"/>
          <w:sz w:val="23"/>
          <w:szCs w:val="23"/>
        </w:rPr>
        <w:t>H</w:t>
      </w:r>
      <w:r>
        <w:rPr>
          <w:rFonts w:ascii="Times New Roman" w:hAnsi="Times New Roman" w:eastAsia="Times New Roman" w:cs="Times New Roman"/>
          <w:spacing w:val="4"/>
          <w:position w:val="-1"/>
          <w:sz w:val="15"/>
          <w:szCs w:val="15"/>
        </w:rPr>
        <w:t xml:space="preserve">2 </w:t>
      </w:r>
      <w:r>
        <w:rPr>
          <w:rFonts w:ascii="Times New Roman" w:hAnsi="Times New Roman" w:eastAsia="Times New Roman" w:cs="Times New Roman"/>
          <w:sz w:val="23"/>
          <w:szCs w:val="23"/>
        </w:rPr>
        <w:t>S</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 xml:space="preserve">和 </w:t>
      </w:r>
      <w:r>
        <w:rPr>
          <w:rFonts w:ascii="Times New Roman" w:hAnsi="Times New Roman" w:eastAsia="Times New Roman" w:cs="Times New Roman"/>
          <w:sz w:val="23"/>
          <w:szCs w:val="23"/>
        </w:rPr>
        <w:t>NH</w:t>
      </w:r>
      <w:r>
        <w:rPr>
          <w:rFonts w:ascii="Times New Roman" w:hAnsi="Times New Roman" w:eastAsia="Times New Roman" w:cs="Times New Roman"/>
          <w:spacing w:val="4"/>
          <w:position w:val="-1"/>
          <w:sz w:val="15"/>
          <w:szCs w:val="15"/>
        </w:rPr>
        <w:t xml:space="preserve">3 </w:t>
      </w:r>
      <w:r>
        <w:rPr>
          <w:rFonts w:ascii="宋体" w:hAnsi="宋体" w:eastAsia="宋体" w:cs="宋体"/>
          <w:spacing w:val="4"/>
          <w:sz w:val="23"/>
          <w:szCs w:val="23"/>
        </w:rPr>
        <w:t>为主，本次环评选</w:t>
      </w:r>
      <w:r>
        <w:rPr>
          <w:rFonts w:ascii="宋体" w:hAnsi="宋体" w:eastAsia="宋体" w:cs="宋体"/>
          <w:sz w:val="23"/>
          <w:szCs w:val="23"/>
        </w:rPr>
        <w:t xml:space="preserve"> </w:t>
      </w:r>
      <w:r>
        <w:rPr>
          <w:rFonts w:ascii="宋体" w:hAnsi="宋体" w:eastAsia="宋体" w:cs="宋体"/>
          <w:spacing w:val="-1"/>
          <w:sz w:val="23"/>
          <w:szCs w:val="23"/>
        </w:rPr>
        <w:t xml:space="preserve">取 </w:t>
      </w:r>
      <w:r>
        <w:rPr>
          <w:rFonts w:ascii="Times New Roman" w:hAnsi="Times New Roman" w:eastAsia="Times New Roman" w:cs="Times New Roman"/>
          <w:spacing w:val="-1"/>
          <w:sz w:val="23"/>
          <w:szCs w:val="23"/>
        </w:rPr>
        <w:t>H</w:t>
      </w:r>
      <w:r>
        <w:rPr>
          <w:rFonts w:ascii="Times New Roman" w:hAnsi="Times New Roman" w:eastAsia="Times New Roman" w:cs="Times New Roman"/>
          <w:spacing w:val="-1"/>
          <w:position w:val="-1"/>
          <w:sz w:val="15"/>
          <w:szCs w:val="15"/>
        </w:rPr>
        <w:t>2</w:t>
      </w:r>
      <w:r>
        <w:rPr>
          <w:rFonts w:ascii="Times New Roman" w:hAnsi="Times New Roman" w:eastAsia="Times New Roman" w:cs="Times New Roman"/>
          <w:spacing w:val="-1"/>
          <w:sz w:val="23"/>
          <w:szCs w:val="23"/>
        </w:rPr>
        <w:t xml:space="preserve">S </w:t>
      </w:r>
      <w:r>
        <w:rPr>
          <w:rFonts w:ascii="宋体" w:hAnsi="宋体" w:eastAsia="宋体" w:cs="宋体"/>
          <w:spacing w:val="-1"/>
          <w:sz w:val="23"/>
          <w:szCs w:val="23"/>
        </w:rPr>
        <w:t xml:space="preserve">和 </w:t>
      </w:r>
      <w:r>
        <w:rPr>
          <w:rFonts w:ascii="Times New Roman" w:hAnsi="Times New Roman" w:eastAsia="Times New Roman" w:cs="Times New Roman"/>
          <w:spacing w:val="-1"/>
          <w:sz w:val="23"/>
          <w:szCs w:val="23"/>
        </w:rPr>
        <w:t>N</w:t>
      </w:r>
      <w:r>
        <w:rPr>
          <w:rFonts w:ascii="Times New Roman" w:hAnsi="Times New Roman" w:eastAsia="Times New Roman" w:cs="Times New Roman"/>
          <w:sz w:val="23"/>
          <w:szCs w:val="23"/>
        </w:rPr>
        <w:t>H</w:t>
      </w:r>
      <w:r>
        <w:rPr>
          <w:rFonts w:ascii="Times New Roman" w:hAnsi="Times New Roman" w:eastAsia="Times New Roman" w:cs="Times New Roman"/>
          <w:spacing w:val="-1"/>
          <w:position w:val="-1"/>
          <w:sz w:val="15"/>
          <w:szCs w:val="15"/>
        </w:rPr>
        <w:t xml:space="preserve">3 </w:t>
      </w:r>
      <w:r>
        <w:rPr>
          <w:rFonts w:ascii="宋体" w:hAnsi="宋体" w:eastAsia="宋体" w:cs="宋体"/>
          <w:spacing w:val="-1"/>
          <w:sz w:val="23"/>
          <w:szCs w:val="23"/>
        </w:rPr>
        <w:t>为预测因子。</w:t>
      </w:r>
    </w:p>
    <w:p w14:paraId="6299D0F7">
      <w:pPr>
        <w:spacing w:before="1" w:line="225" w:lineRule="auto"/>
        <w:ind w:left="599"/>
        <w:rPr>
          <w:rFonts w:ascii="宋体" w:hAnsi="宋体" w:eastAsia="宋体" w:cs="宋体"/>
          <w:sz w:val="23"/>
          <w:szCs w:val="23"/>
        </w:rPr>
      </w:pPr>
      <w:r>
        <w:rPr>
          <w:rFonts w:ascii="宋体" w:hAnsi="宋体" w:eastAsia="宋体" w:cs="宋体"/>
          <w:spacing w:val="9"/>
          <w:sz w:val="23"/>
          <w:szCs w:val="23"/>
        </w:rPr>
        <w:t>本项目评价因子及评价标准详见下表</w:t>
      </w:r>
      <w:r>
        <w:rPr>
          <w:rFonts w:ascii="宋体" w:hAnsi="宋体" w:eastAsia="宋体" w:cs="宋体"/>
          <w:spacing w:val="5"/>
          <w:sz w:val="23"/>
          <w:szCs w:val="23"/>
        </w:rPr>
        <w:t>。</w:t>
      </w:r>
    </w:p>
    <w:p w14:paraId="41F278BC">
      <w:pPr>
        <w:spacing w:before="185" w:line="222" w:lineRule="auto"/>
        <w:ind w:left="2745"/>
        <w:rPr>
          <w:rFonts w:ascii="黑体" w:hAnsi="黑体" w:eastAsia="黑体" w:cs="黑体"/>
          <w:sz w:val="23"/>
          <w:szCs w:val="23"/>
        </w:rPr>
      </w:pPr>
      <w:r>
        <w:rPr>
          <w:rFonts w:ascii="黑体" w:hAnsi="黑体" w:eastAsia="黑体" w:cs="黑体"/>
          <w:spacing w:val="6"/>
          <w:sz w:val="23"/>
          <w:szCs w:val="23"/>
        </w:rPr>
        <w:t xml:space="preserve">表 </w:t>
      </w:r>
      <w:r>
        <w:rPr>
          <w:rFonts w:ascii="Times New Roman" w:hAnsi="Times New Roman" w:eastAsia="Times New Roman" w:cs="Times New Roman"/>
          <w:spacing w:val="5"/>
          <w:sz w:val="23"/>
          <w:szCs w:val="23"/>
        </w:rPr>
        <w:t>1</w:t>
      </w:r>
      <w:r>
        <w:rPr>
          <w:rFonts w:ascii="Times New Roman" w:hAnsi="Times New Roman" w:eastAsia="Times New Roman" w:cs="Times New Roman"/>
          <w:spacing w:val="3"/>
          <w:sz w:val="23"/>
          <w:szCs w:val="23"/>
        </w:rPr>
        <w:t xml:space="preserve">.5-2    </w:t>
      </w:r>
      <w:r>
        <w:rPr>
          <w:rFonts w:ascii="黑体" w:hAnsi="黑体" w:eastAsia="黑体" w:cs="黑体"/>
          <w:spacing w:val="3"/>
          <w:sz w:val="23"/>
          <w:szCs w:val="23"/>
        </w:rPr>
        <w:t>评价因子和评价标准表</w:t>
      </w:r>
    </w:p>
    <w:tbl>
      <w:tblPr>
        <w:tblStyle w:val="4"/>
        <w:tblW w:w="890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7"/>
        <w:gridCol w:w="1290"/>
        <w:gridCol w:w="2143"/>
        <w:gridCol w:w="3982"/>
      </w:tblGrid>
      <w:tr w14:paraId="22038E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1487" w:type="dxa"/>
            <w:tcBorders>
              <w:left w:val="nil"/>
            </w:tcBorders>
          </w:tcPr>
          <w:p w14:paraId="0E0E9872">
            <w:pPr>
              <w:spacing w:before="56" w:line="225" w:lineRule="auto"/>
              <w:ind w:left="329"/>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评价因</w:t>
            </w:r>
            <w:r>
              <w:rPr>
                <w:rFonts w:ascii="宋体" w:hAnsi="宋体" w:eastAsia="宋体" w:cs="宋体"/>
                <w:spacing w:val="8"/>
                <w:sz w:val="20"/>
                <w:szCs w:val="20"/>
                <w14:textOutline w14:w="3797" w14:cap="sq" w14:cmpd="sng" w14:algn="ctr">
                  <w14:solidFill>
                    <w14:srgbClr w14:val="000000"/>
                  </w14:solidFill>
                  <w14:prstDash w14:val="solid"/>
                  <w14:bevel/>
                </w14:textOutline>
              </w:rPr>
              <w:t>子</w:t>
            </w:r>
          </w:p>
        </w:tc>
        <w:tc>
          <w:tcPr>
            <w:tcW w:w="1290" w:type="dxa"/>
          </w:tcPr>
          <w:p w14:paraId="60FB0037">
            <w:pPr>
              <w:spacing w:before="56" w:line="225" w:lineRule="auto"/>
              <w:ind w:left="229"/>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平均时</w:t>
            </w:r>
            <w:r>
              <w:rPr>
                <w:rFonts w:ascii="宋体" w:hAnsi="宋体" w:eastAsia="宋体" w:cs="宋体"/>
                <w:spacing w:val="8"/>
                <w:sz w:val="20"/>
                <w:szCs w:val="20"/>
                <w14:textOutline w14:w="3797" w14:cap="sq" w14:cmpd="sng" w14:algn="ctr">
                  <w14:solidFill>
                    <w14:srgbClr w14:val="000000"/>
                  </w14:solidFill>
                  <w14:prstDash w14:val="solid"/>
                  <w14:bevel/>
                </w14:textOutline>
              </w:rPr>
              <w:t>段</w:t>
            </w:r>
          </w:p>
        </w:tc>
        <w:tc>
          <w:tcPr>
            <w:tcW w:w="2143" w:type="dxa"/>
          </w:tcPr>
          <w:p w14:paraId="18441DAB">
            <w:pPr>
              <w:spacing w:before="15" w:line="285" w:lineRule="exact"/>
              <w:ind w:left="263"/>
              <w:rPr>
                <w:rFonts w:ascii="宋体" w:hAnsi="宋体" w:eastAsia="宋体" w:cs="宋体"/>
                <w:sz w:val="20"/>
                <w:szCs w:val="20"/>
              </w:rPr>
            </w:pPr>
            <w:r>
              <w:rPr>
                <w:rFonts w:ascii="宋体" w:hAnsi="宋体" w:eastAsia="宋体" w:cs="宋体"/>
                <w:spacing w:val="8"/>
                <w:position w:val="2"/>
                <w:sz w:val="20"/>
                <w:szCs w:val="20"/>
                <w14:textOutline w14:w="3733" w14:cap="sq" w14:cmpd="sng" w14:algn="ctr">
                  <w14:solidFill>
                    <w14:srgbClr w14:val="000000"/>
                  </w14:solidFill>
                  <w14:prstDash w14:val="solid"/>
                  <w14:bevel/>
                </w14:textOutline>
              </w:rPr>
              <w:t>标</w:t>
            </w:r>
            <w:r>
              <w:rPr>
                <w:rFonts w:ascii="宋体" w:hAnsi="宋体" w:eastAsia="宋体" w:cs="宋体"/>
                <w:spacing w:val="5"/>
                <w:position w:val="2"/>
                <w:sz w:val="20"/>
                <w:szCs w:val="20"/>
                <w14:textOutline w14:w="3733" w14:cap="sq" w14:cmpd="sng" w14:algn="ctr">
                  <w14:solidFill>
                    <w14:srgbClr w14:val="000000"/>
                  </w14:solidFill>
                  <w14:prstDash w14:val="solid"/>
                  <w14:bevel/>
                </w14:textOutline>
              </w:rPr>
              <w:t>准值</w:t>
            </w:r>
            <w:r>
              <w:rPr>
                <w:rFonts w:ascii="Times New Roman" w:hAnsi="Times New Roman" w:eastAsia="Times New Roman" w:cs="Times New Roman"/>
                <w:b/>
                <w:bCs/>
                <w:spacing w:val="5"/>
                <w:position w:val="2"/>
                <w:sz w:val="20"/>
                <w:szCs w:val="20"/>
              </w:rPr>
              <w:t>/</w:t>
            </w:r>
            <w:r>
              <w:rPr>
                <w:rFonts w:ascii="Times New Roman" w:hAnsi="Times New Roman" w:eastAsia="Times New Roman" w:cs="Times New Roman"/>
                <w:spacing w:val="5"/>
                <w:position w:val="2"/>
                <w:sz w:val="20"/>
                <w:szCs w:val="20"/>
              </w:rPr>
              <w:t xml:space="preserve">  </w:t>
            </w:r>
            <w:r>
              <w:rPr>
                <w:rFonts w:ascii="宋体" w:hAnsi="宋体" w:eastAsia="宋体" w:cs="宋体"/>
                <w:spacing w:val="5"/>
                <w:position w:val="2"/>
                <w:sz w:val="20"/>
                <w:szCs w:val="20"/>
                <w14:textOutline w14:w="3733" w14:cap="sq" w14:cmpd="sng" w14:algn="ctr">
                  <w14:solidFill>
                    <w14:srgbClr w14:val="000000"/>
                  </w14:solidFill>
                  <w14:prstDash w14:val="solid"/>
                  <w14:bevel/>
                </w14:textOutline>
              </w:rPr>
              <w:t>(</w:t>
            </w:r>
            <w:r>
              <w:rPr>
                <w:rFonts w:ascii="Times New Roman" w:hAnsi="Times New Roman" w:eastAsia="Times New Roman" w:cs="Times New Roman"/>
                <w:b/>
                <w:bCs/>
                <w:position w:val="2"/>
                <w:sz w:val="20"/>
                <w:szCs w:val="20"/>
              </w:rPr>
              <w:t>ug</w:t>
            </w:r>
            <w:r>
              <w:rPr>
                <w:rFonts w:ascii="Times New Roman" w:hAnsi="Times New Roman" w:eastAsia="Times New Roman" w:cs="Times New Roman"/>
                <w:b/>
                <w:bCs/>
                <w:spacing w:val="5"/>
                <w:position w:val="2"/>
                <w:sz w:val="20"/>
                <w:szCs w:val="20"/>
              </w:rPr>
              <w:t>/</w:t>
            </w:r>
            <w:r>
              <w:rPr>
                <w:rFonts w:ascii="Times New Roman" w:hAnsi="Times New Roman" w:eastAsia="Times New Roman" w:cs="Times New Roman"/>
                <w:b/>
                <w:bCs/>
                <w:position w:val="2"/>
                <w:sz w:val="20"/>
                <w:szCs w:val="20"/>
              </w:rPr>
              <w:t>m</w:t>
            </w:r>
            <w:r>
              <w:rPr>
                <w:rFonts w:ascii="Times New Roman" w:hAnsi="Times New Roman" w:eastAsia="Times New Roman" w:cs="Times New Roman"/>
                <w:b/>
                <w:bCs/>
                <w:spacing w:val="5"/>
                <w:position w:val="8"/>
                <w:sz w:val="13"/>
                <w:szCs w:val="13"/>
              </w:rPr>
              <w:t>3</w:t>
            </w:r>
            <w:r>
              <w:rPr>
                <w:rFonts w:ascii="Times New Roman" w:hAnsi="Times New Roman" w:eastAsia="Times New Roman" w:cs="Times New Roman"/>
                <w:spacing w:val="5"/>
                <w:position w:val="8"/>
                <w:sz w:val="13"/>
                <w:szCs w:val="13"/>
              </w:rPr>
              <w:t xml:space="preserve"> </w:t>
            </w:r>
            <w:r>
              <w:rPr>
                <w:rFonts w:ascii="宋体" w:hAnsi="宋体" w:eastAsia="宋体" w:cs="宋体"/>
                <w:spacing w:val="5"/>
                <w:position w:val="2"/>
                <w:sz w:val="20"/>
                <w:szCs w:val="20"/>
                <w14:textOutline w14:w="3733" w14:cap="sq" w14:cmpd="sng" w14:algn="ctr">
                  <w14:solidFill>
                    <w14:srgbClr w14:val="000000"/>
                  </w14:solidFill>
                  <w14:prstDash w14:val="solid"/>
                  <w14:bevel/>
                </w14:textOutline>
              </w:rPr>
              <w:t>)</w:t>
            </w:r>
          </w:p>
        </w:tc>
        <w:tc>
          <w:tcPr>
            <w:tcW w:w="3982" w:type="dxa"/>
            <w:tcBorders>
              <w:right w:val="nil"/>
            </w:tcBorders>
          </w:tcPr>
          <w:p w14:paraId="0832DAE1">
            <w:pPr>
              <w:spacing w:before="56" w:line="225" w:lineRule="auto"/>
              <w:ind w:left="1579"/>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标</w:t>
            </w:r>
            <w:r>
              <w:rPr>
                <w:rFonts w:ascii="宋体" w:hAnsi="宋体" w:eastAsia="宋体" w:cs="宋体"/>
                <w:spacing w:val="8"/>
                <w:sz w:val="20"/>
                <w:szCs w:val="20"/>
                <w14:textOutline w14:w="3797" w14:cap="sq" w14:cmpd="sng" w14:algn="ctr">
                  <w14:solidFill>
                    <w14:srgbClr w14:val="000000"/>
                  </w14:solidFill>
                  <w14:prstDash w14:val="solid"/>
                  <w14:bevel/>
                </w14:textOutline>
              </w:rPr>
              <w:t>准来源</w:t>
            </w:r>
          </w:p>
        </w:tc>
      </w:tr>
      <w:tr w14:paraId="38D9A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487" w:type="dxa"/>
            <w:tcBorders>
              <w:left w:val="nil"/>
            </w:tcBorders>
          </w:tcPr>
          <w:p w14:paraId="7D743284">
            <w:pPr>
              <w:spacing w:before="53" w:line="200" w:lineRule="auto"/>
              <w:ind w:left="580"/>
              <w:rPr>
                <w:rFonts w:ascii="Times New Roman" w:hAnsi="Times New Roman" w:eastAsia="Times New Roman" w:cs="Times New Roman"/>
                <w:sz w:val="20"/>
                <w:szCs w:val="20"/>
              </w:rPr>
            </w:pPr>
            <w:r>
              <w:rPr>
                <w:rFonts w:ascii="Times New Roman" w:hAnsi="Times New Roman" w:eastAsia="Times New Roman" w:cs="Times New Roman"/>
                <w:sz w:val="20"/>
                <w:szCs w:val="20"/>
              </w:rPr>
              <w:t>H</w:t>
            </w:r>
            <w:r>
              <w:rPr>
                <w:rFonts w:ascii="Times New Roman" w:hAnsi="Times New Roman" w:eastAsia="Times New Roman" w:cs="Times New Roman"/>
                <w:spacing w:val="18"/>
                <w:position w:val="-1"/>
                <w:sz w:val="13"/>
                <w:szCs w:val="13"/>
              </w:rPr>
              <w:t>2</w:t>
            </w:r>
            <w:r>
              <w:rPr>
                <w:rFonts w:ascii="Times New Roman" w:hAnsi="Times New Roman" w:eastAsia="Times New Roman" w:cs="Times New Roman"/>
                <w:sz w:val="20"/>
                <w:szCs w:val="20"/>
              </w:rPr>
              <w:t>S</w:t>
            </w:r>
          </w:p>
        </w:tc>
        <w:tc>
          <w:tcPr>
            <w:tcW w:w="1290" w:type="dxa"/>
          </w:tcPr>
          <w:p w14:paraId="6DC2DDEC">
            <w:pPr>
              <w:spacing w:line="245" w:lineRule="exact"/>
              <w:ind w:left="561"/>
              <w:rPr>
                <w:rFonts w:ascii="Times New Roman" w:hAnsi="Times New Roman" w:eastAsia="Times New Roman" w:cs="Times New Roman"/>
                <w:sz w:val="18"/>
                <w:szCs w:val="18"/>
              </w:rPr>
            </w:pPr>
            <w:r>
              <w:rPr>
                <w:rFonts w:ascii="Times New Roman" w:hAnsi="Times New Roman" w:eastAsia="Times New Roman" w:cs="Times New Roman"/>
                <w:spacing w:val="5"/>
                <w:position w:val="1"/>
                <w:sz w:val="18"/>
                <w:szCs w:val="18"/>
              </w:rPr>
              <w:t>1</w:t>
            </w:r>
            <w:r>
              <w:rPr>
                <w:rFonts w:ascii="Times New Roman" w:hAnsi="Times New Roman" w:eastAsia="Times New Roman" w:cs="Times New Roman"/>
                <w:position w:val="1"/>
                <w:sz w:val="18"/>
                <w:szCs w:val="18"/>
              </w:rPr>
              <w:t>h</w:t>
            </w:r>
          </w:p>
        </w:tc>
        <w:tc>
          <w:tcPr>
            <w:tcW w:w="2143" w:type="dxa"/>
          </w:tcPr>
          <w:p w14:paraId="67C89D32">
            <w:pPr>
              <w:spacing w:before="53" w:line="195" w:lineRule="auto"/>
              <w:ind w:left="98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7"/>
                <w:sz w:val="20"/>
                <w:szCs w:val="20"/>
              </w:rPr>
              <w:t>0</w:t>
            </w:r>
          </w:p>
        </w:tc>
        <w:tc>
          <w:tcPr>
            <w:tcW w:w="3982" w:type="dxa"/>
            <w:vMerge w:val="restart"/>
            <w:tcBorders>
              <w:bottom w:val="nil"/>
              <w:right w:val="nil"/>
            </w:tcBorders>
          </w:tcPr>
          <w:p w14:paraId="164367C0">
            <w:pPr>
              <w:spacing w:before="32" w:line="226" w:lineRule="auto"/>
              <w:ind w:left="218"/>
              <w:rPr>
                <w:rFonts w:ascii="宋体" w:hAnsi="宋体" w:eastAsia="宋体" w:cs="宋体"/>
                <w:sz w:val="20"/>
                <w:szCs w:val="20"/>
              </w:rPr>
            </w:pPr>
            <w:r>
              <w:rPr>
                <w:rFonts w:ascii="宋体" w:hAnsi="宋体" w:eastAsia="宋体" w:cs="宋体"/>
                <w:spacing w:val="16"/>
                <w:sz w:val="20"/>
                <w:szCs w:val="20"/>
              </w:rPr>
              <w:t>《</w:t>
            </w:r>
            <w:r>
              <w:rPr>
                <w:rFonts w:ascii="宋体" w:hAnsi="宋体" w:eastAsia="宋体" w:cs="宋体"/>
                <w:spacing w:val="8"/>
                <w:sz w:val="20"/>
                <w:szCs w:val="20"/>
              </w:rPr>
              <w:t>环境影响评价技术导则</w:t>
            </w:r>
            <w:r>
              <w:rPr>
                <w:rFonts w:ascii="Times New Roman" w:hAnsi="Times New Roman" w:eastAsia="Times New Roman" w:cs="Times New Roman"/>
                <w:spacing w:val="8"/>
                <w:sz w:val="20"/>
                <w:szCs w:val="20"/>
              </w:rPr>
              <w:t>—</w:t>
            </w:r>
            <w:r>
              <w:rPr>
                <w:rFonts w:ascii="宋体" w:hAnsi="宋体" w:eastAsia="宋体" w:cs="宋体"/>
                <w:spacing w:val="8"/>
                <w:sz w:val="20"/>
                <w:szCs w:val="20"/>
              </w:rPr>
              <w:t>大气环境》</w:t>
            </w:r>
          </w:p>
          <w:p w14:paraId="32EFE966">
            <w:pPr>
              <w:spacing w:before="28" w:line="227" w:lineRule="auto"/>
              <w:ind w:left="758"/>
              <w:rPr>
                <w:rFonts w:ascii="宋体" w:hAnsi="宋体" w:eastAsia="宋体" w:cs="宋体"/>
                <w:sz w:val="20"/>
                <w:szCs w:val="20"/>
              </w:rPr>
            </w:pPr>
            <w:r>
              <w:rPr>
                <w:rFonts w:ascii="宋体" w:hAnsi="宋体" w:eastAsia="宋体" w:cs="宋体"/>
                <w:spacing w:val="14"/>
                <w:sz w:val="20"/>
                <w:szCs w:val="20"/>
              </w:rPr>
              <w:t>(</w:t>
            </w:r>
            <w:r>
              <w:rPr>
                <w:rFonts w:ascii="Times New Roman" w:hAnsi="Times New Roman" w:eastAsia="Times New Roman" w:cs="Times New Roman"/>
                <w:sz w:val="20"/>
                <w:szCs w:val="20"/>
              </w:rPr>
              <w:t>HJ</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spacing w:val="7"/>
                <w:sz w:val="20"/>
                <w:szCs w:val="20"/>
              </w:rPr>
              <w:t>2.2-2018</w:t>
            </w:r>
            <w:r>
              <w:rPr>
                <w:rFonts w:ascii="宋体" w:hAnsi="宋体" w:eastAsia="宋体" w:cs="宋体"/>
                <w:spacing w:val="7"/>
                <w:sz w:val="20"/>
                <w:szCs w:val="20"/>
              </w:rPr>
              <w:t xml:space="preserve">)  (附录 </w:t>
            </w:r>
            <w:r>
              <w:rPr>
                <w:rFonts w:ascii="Times New Roman" w:hAnsi="Times New Roman" w:eastAsia="Times New Roman" w:cs="Times New Roman"/>
                <w:sz w:val="20"/>
                <w:szCs w:val="20"/>
              </w:rPr>
              <w:t>D</w:t>
            </w:r>
            <w:r>
              <w:rPr>
                <w:rFonts w:ascii="宋体" w:hAnsi="宋体" w:eastAsia="宋体" w:cs="宋体"/>
                <w:spacing w:val="7"/>
                <w:sz w:val="20"/>
                <w:szCs w:val="20"/>
              </w:rPr>
              <w:t>)</w:t>
            </w:r>
          </w:p>
        </w:tc>
      </w:tr>
      <w:tr w14:paraId="05693C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487" w:type="dxa"/>
            <w:tcBorders>
              <w:left w:val="nil"/>
            </w:tcBorders>
          </w:tcPr>
          <w:p w14:paraId="11EE1ADF">
            <w:pPr>
              <w:spacing w:before="82" w:line="199" w:lineRule="auto"/>
              <w:ind w:left="555"/>
              <w:rPr>
                <w:rFonts w:ascii="Times New Roman" w:hAnsi="Times New Roman" w:eastAsia="Times New Roman" w:cs="Times New Roman"/>
                <w:sz w:val="13"/>
                <w:szCs w:val="13"/>
              </w:rPr>
            </w:pPr>
            <w:r>
              <w:rPr>
                <w:rFonts w:ascii="Times New Roman" w:hAnsi="Times New Roman" w:eastAsia="Times New Roman" w:cs="Times New Roman"/>
                <w:sz w:val="20"/>
                <w:szCs w:val="20"/>
              </w:rPr>
              <w:t>NH</w:t>
            </w:r>
            <w:r>
              <w:rPr>
                <w:rFonts w:ascii="Times New Roman" w:hAnsi="Times New Roman" w:eastAsia="Times New Roman" w:cs="Times New Roman"/>
                <w:spacing w:val="19"/>
                <w:position w:val="-1"/>
                <w:sz w:val="13"/>
                <w:szCs w:val="13"/>
              </w:rPr>
              <w:t>3</w:t>
            </w:r>
          </w:p>
        </w:tc>
        <w:tc>
          <w:tcPr>
            <w:tcW w:w="1290" w:type="dxa"/>
          </w:tcPr>
          <w:p w14:paraId="76899EB9">
            <w:pPr>
              <w:spacing w:before="6" w:line="281" w:lineRule="exact"/>
              <w:ind w:left="561"/>
              <w:rPr>
                <w:rFonts w:ascii="Times New Roman" w:hAnsi="Times New Roman" w:eastAsia="Times New Roman" w:cs="Times New Roman"/>
                <w:sz w:val="20"/>
                <w:szCs w:val="20"/>
              </w:rPr>
            </w:pPr>
            <w:r>
              <w:rPr>
                <w:rFonts w:ascii="Times New Roman" w:hAnsi="Times New Roman" w:eastAsia="Times New Roman" w:cs="Times New Roman"/>
                <w:spacing w:val="-8"/>
                <w:position w:val="1"/>
                <w:sz w:val="20"/>
                <w:szCs w:val="20"/>
              </w:rPr>
              <w:t>1</w:t>
            </w:r>
            <w:r>
              <w:rPr>
                <w:rFonts w:ascii="Times New Roman" w:hAnsi="Times New Roman" w:eastAsia="Times New Roman" w:cs="Times New Roman"/>
                <w:spacing w:val="-7"/>
                <w:position w:val="1"/>
                <w:sz w:val="20"/>
                <w:szCs w:val="20"/>
              </w:rPr>
              <w:t>h</w:t>
            </w:r>
          </w:p>
        </w:tc>
        <w:tc>
          <w:tcPr>
            <w:tcW w:w="2143" w:type="dxa"/>
          </w:tcPr>
          <w:p w14:paraId="189B0483">
            <w:pPr>
              <w:spacing w:before="79" w:line="195" w:lineRule="auto"/>
              <w:ind w:left="91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00</w:t>
            </w:r>
          </w:p>
        </w:tc>
        <w:tc>
          <w:tcPr>
            <w:tcW w:w="3982" w:type="dxa"/>
            <w:vMerge w:val="continue"/>
            <w:tcBorders>
              <w:top w:val="nil"/>
              <w:right w:val="nil"/>
            </w:tcBorders>
          </w:tcPr>
          <w:p w14:paraId="0E08DF3F"/>
        </w:tc>
      </w:tr>
    </w:tbl>
    <w:p w14:paraId="314567DC">
      <w:pPr>
        <w:spacing w:before="37" w:line="226" w:lineRule="auto"/>
        <w:ind w:left="609"/>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8"/>
          <w:sz w:val="23"/>
          <w:szCs w:val="23"/>
        </w:rPr>
        <w:t>3</w:t>
      </w:r>
      <w:r>
        <w:rPr>
          <w:rFonts w:ascii="宋体" w:hAnsi="宋体" w:eastAsia="宋体" w:cs="宋体"/>
          <w:spacing w:val="18"/>
          <w:sz w:val="23"/>
          <w:szCs w:val="23"/>
        </w:rPr>
        <w:t>) 估算模型参</w:t>
      </w:r>
      <w:r>
        <w:rPr>
          <w:rFonts w:ascii="宋体" w:hAnsi="宋体" w:eastAsia="宋体" w:cs="宋体"/>
          <w:spacing w:val="17"/>
          <w:sz w:val="23"/>
          <w:szCs w:val="23"/>
        </w:rPr>
        <w:t>数</w:t>
      </w:r>
    </w:p>
    <w:p w14:paraId="4EAE2CF3">
      <w:pPr>
        <w:spacing w:before="184" w:line="226" w:lineRule="auto"/>
        <w:ind w:left="599"/>
        <w:rPr>
          <w:rFonts w:ascii="宋体" w:hAnsi="宋体" w:eastAsia="宋体" w:cs="宋体"/>
          <w:sz w:val="23"/>
          <w:szCs w:val="23"/>
        </w:rPr>
      </w:pPr>
      <w:r>
        <w:rPr>
          <w:rFonts w:ascii="宋体" w:hAnsi="宋体" w:eastAsia="宋体" w:cs="宋体"/>
          <w:spacing w:val="13"/>
          <w:sz w:val="23"/>
          <w:szCs w:val="23"/>
        </w:rPr>
        <w:t>本</w:t>
      </w:r>
      <w:r>
        <w:rPr>
          <w:rFonts w:ascii="宋体" w:hAnsi="宋体" w:eastAsia="宋体" w:cs="宋体"/>
          <w:spacing w:val="8"/>
          <w:sz w:val="23"/>
          <w:szCs w:val="23"/>
        </w:rPr>
        <w:t>项目估算模型参数见下表。</w:t>
      </w:r>
    </w:p>
    <w:p w14:paraId="0AFF51CE">
      <w:pPr>
        <w:spacing w:before="187" w:line="221" w:lineRule="auto"/>
        <w:ind w:left="3105"/>
        <w:rPr>
          <w:rFonts w:ascii="黑体" w:hAnsi="黑体" w:eastAsia="黑体" w:cs="黑体"/>
          <w:sz w:val="23"/>
          <w:szCs w:val="23"/>
        </w:rPr>
      </w:pPr>
      <w:r>
        <w:rPr>
          <w:rFonts w:ascii="黑体" w:hAnsi="黑体" w:eastAsia="黑体" w:cs="黑体"/>
          <w:spacing w:val="4"/>
          <w:sz w:val="23"/>
          <w:szCs w:val="23"/>
        </w:rPr>
        <w:t xml:space="preserve">表 </w:t>
      </w:r>
      <w:r>
        <w:rPr>
          <w:rFonts w:ascii="Times New Roman" w:hAnsi="Times New Roman" w:eastAsia="Times New Roman" w:cs="Times New Roman"/>
          <w:spacing w:val="3"/>
          <w:sz w:val="23"/>
          <w:szCs w:val="23"/>
        </w:rPr>
        <w:t>1</w:t>
      </w:r>
      <w:r>
        <w:rPr>
          <w:rFonts w:ascii="Times New Roman" w:hAnsi="Times New Roman" w:eastAsia="Times New Roman" w:cs="Times New Roman"/>
          <w:spacing w:val="2"/>
          <w:sz w:val="23"/>
          <w:szCs w:val="23"/>
        </w:rPr>
        <w:t xml:space="preserve">.5-3    </w:t>
      </w:r>
      <w:r>
        <w:rPr>
          <w:rFonts w:ascii="黑体" w:hAnsi="黑体" w:eastAsia="黑体" w:cs="黑体"/>
          <w:spacing w:val="2"/>
          <w:sz w:val="23"/>
          <w:szCs w:val="23"/>
        </w:rPr>
        <w:t>估算模型参数表</w:t>
      </w:r>
    </w:p>
    <w:tbl>
      <w:tblPr>
        <w:tblStyle w:val="4"/>
        <w:tblW w:w="8882" w:type="dxa"/>
        <w:tblInd w:w="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60"/>
        <w:gridCol w:w="2962"/>
        <w:gridCol w:w="2960"/>
      </w:tblGrid>
      <w:tr w14:paraId="4254DC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5922" w:type="dxa"/>
            <w:gridSpan w:val="2"/>
            <w:tcBorders>
              <w:left w:val="nil"/>
            </w:tcBorders>
          </w:tcPr>
          <w:p w14:paraId="7FF1F20C">
            <w:pPr>
              <w:spacing w:before="56" w:line="226" w:lineRule="auto"/>
              <w:ind w:left="2760"/>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参数</w:t>
            </w:r>
          </w:p>
        </w:tc>
        <w:tc>
          <w:tcPr>
            <w:tcW w:w="2960" w:type="dxa"/>
            <w:tcBorders>
              <w:right w:val="nil"/>
            </w:tcBorders>
          </w:tcPr>
          <w:p w14:paraId="7FDFA89F">
            <w:pPr>
              <w:spacing w:before="56" w:line="226" w:lineRule="auto"/>
              <w:ind w:left="1276"/>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取</w:t>
            </w:r>
            <w:r>
              <w:rPr>
                <w:rFonts w:ascii="宋体" w:hAnsi="宋体" w:eastAsia="宋体" w:cs="宋体"/>
                <w:spacing w:val="4"/>
                <w:sz w:val="20"/>
                <w:szCs w:val="20"/>
                <w14:textOutline w14:w="3797" w14:cap="sq" w14:cmpd="sng" w14:algn="ctr">
                  <w14:solidFill>
                    <w14:srgbClr w14:val="000000"/>
                  </w14:solidFill>
                  <w14:prstDash w14:val="solid"/>
                  <w14:bevel/>
                </w14:textOutline>
              </w:rPr>
              <w:t>值</w:t>
            </w:r>
          </w:p>
        </w:tc>
      </w:tr>
      <w:tr w14:paraId="1F0A4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960" w:type="dxa"/>
            <w:vMerge w:val="restart"/>
            <w:tcBorders>
              <w:left w:val="nil"/>
              <w:bottom w:val="nil"/>
            </w:tcBorders>
          </w:tcPr>
          <w:p w14:paraId="4C8D2438">
            <w:pPr>
              <w:spacing w:before="134" w:line="281" w:lineRule="exact"/>
              <w:ind w:left="829"/>
              <w:rPr>
                <w:rFonts w:ascii="宋体" w:hAnsi="宋体" w:eastAsia="宋体" w:cs="宋体"/>
                <w:sz w:val="20"/>
                <w:szCs w:val="20"/>
              </w:rPr>
            </w:pPr>
            <w:r>
              <w:rPr>
                <w:rFonts w:ascii="宋体" w:hAnsi="宋体" w:eastAsia="宋体" w:cs="宋体"/>
                <w:spacing w:val="9"/>
                <w:position w:val="1"/>
                <w:sz w:val="20"/>
                <w:szCs w:val="20"/>
              </w:rPr>
              <w:t>城</w:t>
            </w:r>
            <w:r>
              <w:rPr>
                <w:rFonts w:ascii="宋体" w:hAnsi="宋体" w:eastAsia="宋体" w:cs="宋体"/>
                <w:spacing w:val="7"/>
                <w:position w:val="1"/>
                <w:sz w:val="20"/>
                <w:szCs w:val="20"/>
              </w:rPr>
              <w:t>市</w:t>
            </w:r>
            <w:r>
              <w:rPr>
                <w:rFonts w:ascii="Times New Roman" w:hAnsi="Times New Roman" w:eastAsia="Times New Roman" w:cs="Times New Roman"/>
                <w:spacing w:val="7"/>
                <w:position w:val="1"/>
                <w:sz w:val="20"/>
                <w:szCs w:val="20"/>
              </w:rPr>
              <w:t>/</w:t>
            </w:r>
            <w:r>
              <w:rPr>
                <w:rFonts w:ascii="宋体" w:hAnsi="宋体" w:eastAsia="宋体" w:cs="宋体"/>
                <w:spacing w:val="7"/>
                <w:position w:val="1"/>
                <w:sz w:val="20"/>
                <w:szCs w:val="20"/>
              </w:rPr>
              <w:t>农村选项</w:t>
            </w:r>
          </w:p>
        </w:tc>
        <w:tc>
          <w:tcPr>
            <w:tcW w:w="2962" w:type="dxa"/>
          </w:tcPr>
          <w:p w14:paraId="5DB35075">
            <w:pPr>
              <w:spacing w:line="276" w:lineRule="exact"/>
              <w:ind w:left="1037"/>
              <w:rPr>
                <w:rFonts w:ascii="宋体" w:hAnsi="宋体" w:eastAsia="宋体" w:cs="宋体"/>
                <w:sz w:val="20"/>
                <w:szCs w:val="20"/>
              </w:rPr>
            </w:pPr>
            <w:r>
              <w:rPr>
                <w:rFonts w:ascii="宋体" w:hAnsi="宋体" w:eastAsia="宋体" w:cs="宋体"/>
                <w:spacing w:val="7"/>
                <w:position w:val="1"/>
                <w:sz w:val="20"/>
                <w:szCs w:val="20"/>
              </w:rPr>
              <w:t>城</w:t>
            </w:r>
            <w:r>
              <w:rPr>
                <w:rFonts w:ascii="宋体" w:hAnsi="宋体" w:eastAsia="宋体" w:cs="宋体"/>
                <w:spacing w:val="6"/>
                <w:position w:val="1"/>
                <w:sz w:val="20"/>
                <w:szCs w:val="20"/>
              </w:rPr>
              <w:t>市</w:t>
            </w:r>
            <w:r>
              <w:rPr>
                <w:rFonts w:ascii="Times New Roman" w:hAnsi="Times New Roman" w:eastAsia="Times New Roman" w:cs="Times New Roman"/>
                <w:spacing w:val="6"/>
                <w:position w:val="1"/>
                <w:sz w:val="20"/>
                <w:szCs w:val="20"/>
              </w:rPr>
              <w:t>/</w:t>
            </w:r>
            <w:r>
              <w:rPr>
                <w:rFonts w:ascii="宋体" w:hAnsi="宋体" w:eastAsia="宋体" w:cs="宋体"/>
                <w:spacing w:val="6"/>
                <w:position w:val="1"/>
                <w:sz w:val="20"/>
                <w:szCs w:val="20"/>
              </w:rPr>
              <w:t>农村</w:t>
            </w:r>
          </w:p>
        </w:tc>
        <w:tc>
          <w:tcPr>
            <w:tcW w:w="2960" w:type="dxa"/>
            <w:tcBorders>
              <w:right w:val="nil"/>
            </w:tcBorders>
          </w:tcPr>
          <w:p w14:paraId="432289B8">
            <w:pPr>
              <w:spacing w:before="33" w:line="225" w:lineRule="auto"/>
              <w:ind w:left="1274"/>
              <w:rPr>
                <w:rFonts w:ascii="宋体" w:hAnsi="宋体" w:eastAsia="宋体" w:cs="宋体"/>
                <w:sz w:val="20"/>
                <w:szCs w:val="20"/>
              </w:rPr>
            </w:pPr>
            <w:r>
              <w:rPr>
                <w:rFonts w:ascii="宋体" w:hAnsi="宋体" w:eastAsia="宋体" w:cs="宋体"/>
                <w:spacing w:val="5"/>
                <w:sz w:val="20"/>
                <w:szCs w:val="20"/>
              </w:rPr>
              <w:t>农</w:t>
            </w:r>
            <w:r>
              <w:rPr>
                <w:rFonts w:ascii="宋体" w:hAnsi="宋体" w:eastAsia="宋体" w:cs="宋体"/>
                <w:spacing w:val="4"/>
                <w:sz w:val="20"/>
                <w:szCs w:val="20"/>
              </w:rPr>
              <w:t>村</w:t>
            </w:r>
          </w:p>
        </w:tc>
      </w:tr>
      <w:tr w14:paraId="1CA9F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960" w:type="dxa"/>
            <w:vMerge w:val="continue"/>
            <w:tcBorders>
              <w:top w:val="nil"/>
              <w:left w:val="nil"/>
            </w:tcBorders>
          </w:tcPr>
          <w:p w14:paraId="67C459DA"/>
        </w:tc>
        <w:tc>
          <w:tcPr>
            <w:tcW w:w="2962" w:type="dxa"/>
          </w:tcPr>
          <w:p w14:paraId="72B7F694">
            <w:pPr>
              <w:spacing w:before="32" w:line="226" w:lineRule="auto"/>
              <w:ind w:left="438"/>
              <w:rPr>
                <w:rFonts w:ascii="宋体" w:hAnsi="宋体" w:eastAsia="宋体" w:cs="宋体"/>
                <w:sz w:val="20"/>
                <w:szCs w:val="20"/>
              </w:rPr>
            </w:pPr>
            <w:r>
              <w:rPr>
                <w:rFonts w:ascii="宋体" w:hAnsi="宋体" w:eastAsia="宋体" w:cs="宋体"/>
                <w:spacing w:val="9"/>
                <w:sz w:val="20"/>
                <w:szCs w:val="20"/>
              </w:rPr>
              <w:t>人</w:t>
            </w:r>
            <w:r>
              <w:rPr>
                <w:rFonts w:ascii="宋体" w:hAnsi="宋体" w:eastAsia="宋体" w:cs="宋体"/>
                <w:spacing w:val="7"/>
                <w:sz w:val="20"/>
                <w:szCs w:val="20"/>
              </w:rPr>
              <w:t>口数 (城市选项时)</w:t>
            </w:r>
          </w:p>
        </w:tc>
        <w:tc>
          <w:tcPr>
            <w:tcW w:w="2960" w:type="dxa"/>
            <w:tcBorders>
              <w:right w:val="nil"/>
            </w:tcBorders>
          </w:tcPr>
          <w:p w14:paraId="167B8BAC">
            <w:pPr>
              <w:spacing w:before="67" w:line="195" w:lineRule="auto"/>
              <w:ind w:left="1432"/>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r>
      <w:tr w14:paraId="544B4E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5922" w:type="dxa"/>
            <w:gridSpan w:val="2"/>
            <w:tcBorders>
              <w:left w:val="nil"/>
            </w:tcBorders>
          </w:tcPr>
          <w:p w14:paraId="401CC2E7">
            <w:pPr>
              <w:spacing w:line="276" w:lineRule="exact"/>
              <w:ind w:left="2207"/>
              <w:rPr>
                <w:rFonts w:ascii="宋体" w:hAnsi="宋体" w:eastAsia="宋体" w:cs="宋体"/>
                <w:sz w:val="20"/>
                <w:szCs w:val="20"/>
              </w:rPr>
            </w:pPr>
            <w:r>
              <w:rPr>
                <w:rFonts w:ascii="宋体" w:hAnsi="宋体" w:eastAsia="宋体" w:cs="宋体"/>
                <w:spacing w:val="11"/>
                <w:position w:val="1"/>
                <w:sz w:val="20"/>
                <w:szCs w:val="20"/>
              </w:rPr>
              <w:t>最</w:t>
            </w:r>
            <w:r>
              <w:rPr>
                <w:rFonts w:ascii="宋体" w:hAnsi="宋体" w:eastAsia="宋体" w:cs="宋体"/>
                <w:spacing w:val="7"/>
                <w:position w:val="1"/>
                <w:sz w:val="20"/>
                <w:szCs w:val="20"/>
              </w:rPr>
              <w:t>高环境温度</w:t>
            </w:r>
            <w:r>
              <w:rPr>
                <w:rFonts w:ascii="Times New Roman" w:hAnsi="Times New Roman" w:eastAsia="Times New Roman" w:cs="Times New Roman"/>
                <w:spacing w:val="7"/>
                <w:position w:val="1"/>
                <w:sz w:val="20"/>
                <w:szCs w:val="20"/>
              </w:rPr>
              <w:t>/</w:t>
            </w:r>
            <w:r>
              <w:rPr>
                <w:rFonts w:ascii="宋体" w:hAnsi="宋体" w:eastAsia="宋体" w:cs="宋体"/>
                <w:spacing w:val="7"/>
                <w:position w:val="1"/>
                <w:sz w:val="20"/>
                <w:szCs w:val="20"/>
              </w:rPr>
              <w:t>℃</w:t>
            </w:r>
          </w:p>
        </w:tc>
        <w:tc>
          <w:tcPr>
            <w:tcW w:w="2960" w:type="dxa"/>
            <w:tcBorders>
              <w:right w:val="nil"/>
            </w:tcBorders>
          </w:tcPr>
          <w:p w14:paraId="2A6DE086">
            <w:pPr>
              <w:spacing w:before="68" w:line="195" w:lineRule="auto"/>
              <w:ind w:left="130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 xml:space="preserve">38 </w:t>
            </w:r>
            <w:r>
              <w:rPr>
                <w:rFonts w:ascii="Times New Roman" w:hAnsi="Times New Roman" w:eastAsia="Times New Roman" w:cs="Times New Roman"/>
                <w:spacing w:val="1"/>
                <w:sz w:val="20"/>
                <w:szCs w:val="20"/>
              </w:rPr>
              <w:t>4</w:t>
            </w:r>
          </w:p>
        </w:tc>
      </w:tr>
      <w:tr w14:paraId="551A3D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5922" w:type="dxa"/>
            <w:gridSpan w:val="2"/>
            <w:tcBorders>
              <w:left w:val="nil"/>
            </w:tcBorders>
          </w:tcPr>
          <w:p w14:paraId="681E7557">
            <w:pPr>
              <w:spacing w:line="277" w:lineRule="exact"/>
              <w:ind w:left="2207"/>
              <w:rPr>
                <w:rFonts w:ascii="宋体" w:hAnsi="宋体" w:eastAsia="宋体" w:cs="宋体"/>
                <w:sz w:val="20"/>
                <w:szCs w:val="20"/>
              </w:rPr>
            </w:pPr>
            <w:r>
              <w:rPr>
                <w:rFonts w:ascii="宋体" w:hAnsi="宋体" w:eastAsia="宋体" w:cs="宋体"/>
                <w:spacing w:val="11"/>
                <w:position w:val="1"/>
                <w:sz w:val="20"/>
                <w:szCs w:val="20"/>
              </w:rPr>
              <w:t>最</w:t>
            </w:r>
            <w:r>
              <w:rPr>
                <w:rFonts w:ascii="宋体" w:hAnsi="宋体" w:eastAsia="宋体" w:cs="宋体"/>
                <w:spacing w:val="7"/>
                <w:position w:val="1"/>
                <w:sz w:val="20"/>
                <w:szCs w:val="20"/>
              </w:rPr>
              <w:t>低环境温度</w:t>
            </w:r>
            <w:r>
              <w:rPr>
                <w:rFonts w:ascii="Times New Roman" w:hAnsi="Times New Roman" w:eastAsia="Times New Roman" w:cs="Times New Roman"/>
                <w:spacing w:val="7"/>
                <w:position w:val="1"/>
                <w:sz w:val="20"/>
                <w:szCs w:val="20"/>
              </w:rPr>
              <w:t>/</w:t>
            </w:r>
            <w:r>
              <w:rPr>
                <w:rFonts w:ascii="宋体" w:hAnsi="宋体" w:eastAsia="宋体" w:cs="宋体"/>
                <w:spacing w:val="7"/>
                <w:position w:val="1"/>
                <w:sz w:val="20"/>
                <w:szCs w:val="20"/>
              </w:rPr>
              <w:t>℃</w:t>
            </w:r>
          </w:p>
        </w:tc>
        <w:tc>
          <w:tcPr>
            <w:tcW w:w="2960" w:type="dxa"/>
            <w:tcBorders>
              <w:right w:val="nil"/>
            </w:tcBorders>
          </w:tcPr>
          <w:p w14:paraId="738875C0">
            <w:pPr>
              <w:spacing w:before="70" w:line="195" w:lineRule="auto"/>
              <w:ind w:left="13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-4</w:t>
            </w:r>
          </w:p>
        </w:tc>
      </w:tr>
      <w:tr w14:paraId="33C0E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5922" w:type="dxa"/>
            <w:gridSpan w:val="2"/>
            <w:tcBorders>
              <w:left w:val="nil"/>
            </w:tcBorders>
          </w:tcPr>
          <w:p w14:paraId="6AAB2133">
            <w:pPr>
              <w:spacing w:before="33" w:line="225" w:lineRule="auto"/>
              <w:ind w:left="2339"/>
              <w:rPr>
                <w:rFonts w:ascii="宋体" w:hAnsi="宋体" w:eastAsia="宋体" w:cs="宋体"/>
                <w:sz w:val="20"/>
                <w:szCs w:val="20"/>
              </w:rPr>
            </w:pPr>
            <w:r>
              <w:rPr>
                <w:rFonts w:ascii="宋体" w:hAnsi="宋体" w:eastAsia="宋体" w:cs="宋体"/>
                <w:spacing w:val="8"/>
                <w:sz w:val="20"/>
                <w:szCs w:val="20"/>
              </w:rPr>
              <w:t>土地利用类型</w:t>
            </w:r>
          </w:p>
        </w:tc>
        <w:tc>
          <w:tcPr>
            <w:tcW w:w="2960" w:type="dxa"/>
            <w:tcBorders>
              <w:right w:val="nil"/>
            </w:tcBorders>
          </w:tcPr>
          <w:p w14:paraId="42258089">
            <w:pPr>
              <w:spacing w:before="33" w:line="225" w:lineRule="auto"/>
              <w:ind w:left="1275"/>
              <w:rPr>
                <w:rFonts w:ascii="宋体" w:hAnsi="宋体" w:eastAsia="宋体" w:cs="宋体"/>
                <w:sz w:val="20"/>
                <w:szCs w:val="20"/>
              </w:rPr>
            </w:pPr>
            <w:r>
              <w:rPr>
                <w:rFonts w:ascii="宋体" w:hAnsi="宋体" w:eastAsia="宋体" w:cs="宋体"/>
                <w:spacing w:val="4"/>
                <w:sz w:val="20"/>
                <w:szCs w:val="20"/>
              </w:rPr>
              <w:t>林地</w:t>
            </w:r>
          </w:p>
        </w:tc>
      </w:tr>
      <w:tr w14:paraId="69AAE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5922" w:type="dxa"/>
            <w:gridSpan w:val="2"/>
            <w:tcBorders>
              <w:left w:val="nil"/>
            </w:tcBorders>
          </w:tcPr>
          <w:p w14:paraId="0B735A23">
            <w:pPr>
              <w:spacing w:before="34" w:line="224" w:lineRule="auto"/>
              <w:ind w:left="2354"/>
              <w:rPr>
                <w:rFonts w:ascii="宋体" w:hAnsi="宋体" w:eastAsia="宋体" w:cs="宋体"/>
                <w:sz w:val="20"/>
                <w:szCs w:val="20"/>
              </w:rPr>
            </w:pPr>
            <w:r>
              <w:rPr>
                <w:rFonts w:ascii="宋体" w:hAnsi="宋体" w:eastAsia="宋体" w:cs="宋体"/>
                <w:spacing w:val="9"/>
                <w:sz w:val="20"/>
                <w:szCs w:val="20"/>
              </w:rPr>
              <w:t>区</w:t>
            </w:r>
            <w:r>
              <w:rPr>
                <w:rFonts w:ascii="宋体" w:hAnsi="宋体" w:eastAsia="宋体" w:cs="宋体"/>
                <w:spacing w:val="5"/>
                <w:sz w:val="20"/>
                <w:szCs w:val="20"/>
              </w:rPr>
              <w:t>域湿度条件</w:t>
            </w:r>
          </w:p>
        </w:tc>
        <w:tc>
          <w:tcPr>
            <w:tcW w:w="2960" w:type="dxa"/>
            <w:tcBorders>
              <w:right w:val="nil"/>
            </w:tcBorders>
          </w:tcPr>
          <w:p w14:paraId="6355B26D">
            <w:pPr>
              <w:spacing w:before="34" w:line="224" w:lineRule="auto"/>
              <w:ind w:left="1273"/>
              <w:rPr>
                <w:rFonts w:ascii="宋体" w:hAnsi="宋体" w:eastAsia="宋体" w:cs="宋体"/>
                <w:sz w:val="20"/>
                <w:szCs w:val="20"/>
              </w:rPr>
            </w:pPr>
            <w:r>
              <w:rPr>
                <w:rFonts w:ascii="宋体" w:hAnsi="宋体" w:eastAsia="宋体" w:cs="宋体"/>
                <w:spacing w:val="5"/>
                <w:sz w:val="20"/>
                <w:szCs w:val="20"/>
              </w:rPr>
              <w:t>潮湿</w:t>
            </w:r>
          </w:p>
        </w:tc>
      </w:tr>
      <w:tr w14:paraId="7E6C9A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2960" w:type="dxa"/>
            <w:vMerge w:val="restart"/>
            <w:tcBorders>
              <w:left w:val="nil"/>
              <w:bottom w:val="nil"/>
            </w:tcBorders>
          </w:tcPr>
          <w:p w14:paraId="5C1C3B92">
            <w:pPr>
              <w:spacing w:before="174" w:line="227" w:lineRule="auto"/>
              <w:ind w:left="861"/>
              <w:rPr>
                <w:rFonts w:ascii="宋体" w:hAnsi="宋体" w:eastAsia="宋体" w:cs="宋体"/>
                <w:sz w:val="20"/>
                <w:szCs w:val="20"/>
              </w:rPr>
            </w:pPr>
            <w:r>
              <w:rPr>
                <w:rFonts w:ascii="宋体" w:hAnsi="宋体" w:eastAsia="宋体" w:cs="宋体"/>
                <w:spacing w:val="11"/>
                <w:sz w:val="20"/>
                <w:szCs w:val="20"/>
              </w:rPr>
              <w:t>是</w:t>
            </w:r>
            <w:r>
              <w:rPr>
                <w:rFonts w:ascii="宋体" w:hAnsi="宋体" w:eastAsia="宋体" w:cs="宋体"/>
                <w:spacing w:val="7"/>
                <w:sz w:val="20"/>
                <w:szCs w:val="20"/>
              </w:rPr>
              <w:t>否考虑地形</w:t>
            </w:r>
          </w:p>
        </w:tc>
        <w:tc>
          <w:tcPr>
            <w:tcW w:w="2962" w:type="dxa"/>
          </w:tcPr>
          <w:p w14:paraId="42263F15">
            <w:pPr>
              <w:spacing w:before="35" w:line="224" w:lineRule="auto"/>
              <w:ind w:left="1066"/>
              <w:rPr>
                <w:rFonts w:ascii="宋体" w:hAnsi="宋体" w:eastAsia="宋体" w:cs="宋体"/>
                <w:sz w:val="20"/>
                <w:szCs w:val="20"/>
              </w:rPr>
            </w:pPr>
            <w:r>
              <w:rPr>
                <w:rFonts w:ascii="宋体" w:hAnsi="宋体" w:eastAsia="宋体" w:cs="宋体"/>
                <w:spacing w:val="8"/>
                <w:sz w:val="20"/>
                <w:szCs w:val="20"/>
              </w:rPr>
              <w:t>考</w:t>
            </w:r>
            <w:r>
              <w:rPr>
                <w:rFonts w:ascii="宋体" w:hAnsi="宋体" w:eastAsia="宋体" w:cs="宋体"/>
                <w:spacing w:val="7"/>
                <w:sz w:val="20"/>
                <w:szCs w:val="20"/>
              </w:rPr>
              <w:t>虑地形</w:t>
            </w:r>
          </w:p>
        </w:tc>
        <w:tc>
          <w:tcPr>
            <w:tcW w:w="2960" w:type="dxa"/>
            <w:tcBorders>
              <w:right w:val="nil"/>
            </w:tcBorders>
          </w:tcPr>
          <w:p w14:paraId="504EE9CF">
            <w:pPr>
              <w:spacing w:before="35" w:line="224" w:lineRule="auto"/>
              <w:ind w:left="1383"/>
              <w:rPr>
                <w:rFonts w:ascii="宋体" w:hAnsi="宋体" w:eastAsia="宋体" w:cs="宋体"/>
                <w:sz w:val="20"/>
                <w:szCs w:val="20"/>
              </w:rPr>
            </w:pPr>
            <w:r>
              <w:rPr>
                <w:rFonts w:ascii="宋体" w:hAnsi="宋体" w:eastAsia="宋体" w:cs="宋体"/>
                <w:sz w:val="20"/>
                <w:szCs w:val="20"/>
              </w:rPr>
              <w:t>是</w:t>
            </w:r>
          </w:p>
        </w:tc>
      </w:tr>
      <w:tr w14:paraId="2FAFC4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960" w:type="dxa"/>
            <w:vMerge w:val="continue"/>
            <w:tcBorders>
              <w:top w:val="nil"/>
              <w:left w:val="nil"/>
            </w:tcBorders>
          </w:tcPr>
          <w:p w14:paraId="27737E61"/>
        </w:tc>
        <w:tc>
          <w:tcPr>
            <w:tcW w:w="2962" w:type="dxa"/>
          </w:tcPr>
          <w:p w14:paraId="14C41BE5">
            <w:pPr>
              <w:spacing w:line="275" w:lineRule="exact"/>
              <w:ind w:left="641"/>
              <w:rPr>
                <w:rFonts w:ascii="Times New Roman" w:hAnsi="Times New Roman" w:eastAsia="Times New Roman" w:cs="Times New Roman"/>
                <w:sz w:val="20"/>
                <w:szCs w:val="20"/>
              </w:rPr>
            </w:pPr>
            <w:r>
              <w:rPr>
                <w:rFonts w:ascii="宋体" w:hAnsi="宋体" w:eastAsia="宋体" w:cs="宋体"/>
                <w:spacing w:val="13"/>
                <w:position w:val="1"/>
                <w:sz w:val="20"/>
                <w:szCs w:val="20"/>
              </w:rPr>
              <w:t>地</w:t>
            </w:r>
            <w:r>
              <w:rPr>
                <w:rFonts w:ascii="宋体" w:hAnsi="宋体" w:eastAsia="宋体" w:cs="宋体"/>
                <w:spacing w:val="8"/>
                <w:position w:val="1"/>
                <w:sz w:val="20"/>
                <w:szCs w:val="20"/>
              </w:rPr>
              <w:t>形数据分辨率</w:t>
            </w:r>
            <w:r>
              <w:rPr>
                <w:rFonts w:ascii="Times New Roman" w:hAnsi="Times New Roman" w:eastAsia="Times New Roman" w:cs="Times New Roman"/>
                <w:spacing w:val="8"/>
                <w:position w:val="1"/>
                <w:sz w:val="20"/>
                <w:szCs w:val="20"/>
              </w:rPr>
              <w:t>/</w:t>
            </w:r>
            <w:r>
              <w:rPr>
                <w:rFonts w:ascii="Times New Roman" w:hAnsi="Times New Roman" w:eastAsia="Times New Roman" w:cs="Times New Roman"/>
                <w:position w:val="1"/>
                <w:sz w:val="20"/>
                <w:szCs w:val="20"/>
              </w:rPr>
              <w:t>m</w:t>
            </w:r>
          </w:p>
        </w:tc>
        <w:tc>
          <w:tcPr>
            <w:tcW w:w="2960" w:type="dxa"/>
            <w:tcBorders>
              <w:right w:val="nil"/>
            </w:tcBorders>
          </w:tcPr>
          <w:p w14:paraId="426ECCB3">
            <w:pPr>
              <w:spacing w:before="68" w:line="195" w:lineRule="auto"/>
              <w:ind w:left="138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w:t>
            </w:r>
            <w:r>
              <w:rPr>
                <w:rFonts w:ascii="Times New Roman" w:hAnsi="Times New Roman" w:eastAsia="Times New Roman" w:cs="Times New Roman"/>
                <w:sz w:val="20"/>
                <w:szCs w:val="20"/>
              </w:rPr>
              <w:t>0</w:t>
            </w:r>
          </w:p>
        </w:tc>
      </w:tr>
      <w:tr w14:paraId="39F395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960" w:type="dxa"/>
            <w:vMerge w:val="restart"/>
            <w:tcBorders>
              <w:left w:val="nil"/>
              <w:bottom w:val="nil"/>
            </w:tcBorders>
          </w:tcPr>
          <w:p w14:paraId="051E854F">
            <w:pPr>
              <w:spacing w:line="251" w:lineRule="auto"/>
            </w:pPr>
          </w:p>
          <w:p w14:paraId="7EECD314">
            <w:pPr>
              <w:spacing w:before="65" w:line="227" w:lineRule="auto"/>
              <w:ind w:left="650"/>
              <w:rPr>
                <w:rFonts w:ascii="宋体" w:hAnsi="宋体" w:eastAsia="宋体" w:cs="宋体"/>
                <w:sz w:val="20"/>
                <w:szCs w:val="20"/>
              </w:rPr>
            </w:pPr>
            <w:r>
              <w:rPr>
                <w:rFonts w:ascii="宋体" w:hAnsi="宋体" w:eastAsia="宋体" w:cs="宋体"/>
                <w:spacing w:val="10"/>
                <w:sz w:val="20"/>
                <w:szCs w:val="20"/>
              </w:rPr>
              <w:t>是</w:t>
            </w:r>
            <w:r>
              <w:rPr>
                <w:rFonts w:ascii="宋体" w:hAnsi="宋体" w:eastAsia="宋体" w:cs="宋体"/>
                <w:spacing w:val="8"/>
                <w:sz w:val="20"/>
                <w:szCs w:val="20"/>
              </w:rPr>
              <w:t>否考虑岸线熏烟</w:t>
            </w:r>
          </w:p>
        </w:tc>
        <w:tc>
          <w:tcPr>
            <w:tcW w:w="2962" w:type="dxa"/>
          </w:tcPr>
          <w:p w14:paraId="5E6AACFC">
            <w:pPr>
              <w:spacing w:before="35" w:line="223" w:lineRule="auto"/>
              <w:ind w:left="857"/>
              <w:rPr>
                <w:rFonts w:ascii="宋体" w:hAnsi="宋体" w:eastAsia="宋体" w:cs="宋体"/>
                <w:sz w:val="20"/>
                <w:szCs w:val="20"/>
              </w:rPr>
            </w:pPr>
            <w:r>
              <w:rPr>
                <w:rFonts w:ascii="宋体" w:hAnsi="宋体" w:eastAsia="宋体" w:cs="宋体"/>
                <w:spacing w:val="9"/>
                <w:sz w:val="20"/>
                <w:szCs w:val="20"/>
              </w:rPr>
              <w:t>考</w:t>
            </w:r>
            <w:r>
              <w:rPr>
                <w:rFonts w:ascii="宋体" w:hAnsi="宋体" w:eastAsia="宋体" w:cs="宋体"/>
                <w:spacing w:val="8"/>
                <w:sz w:val="20"/>
                <w:szCs w:val="20"/>
              </w:rPr>
              <w:t>虑岸线熏烟</w:t>
            </w:r>
          </w:p>
        </w:tc>
        <w:tc>
          <w:tcPr>
            <w:tcW w:w="2960" w:type="dxa"/>
            <w:tcBorders>
              <w:right w:val="nil"/>
            </w:tcBorders>
          </w:tcPr>
          <w:p w14:paraId="3D7B302A">
            <w:pPr>
              <w:spacing w:before="35" w:line="223" w:lineRule="auto"/>
              <w:ind w:left="1386"/>
              <w:rPr>
                <w:rFonts w:ascii="宋体" w:hAnsi="宋体" w:eastAsia="宋体" w:cs="宋体"/>
                <w:sz w:val="20"/>
                <w:szCs w:val="20"/>
              </w:rPr>
            </w:pPr>
            <w:r>
              <w:rPr>
                <w:rFonts w:ascii="宋体" w:hAnsi="宋体" w:eastAsia="宋体" w:cs="宋体"/>
                <w:sz w:val="20"/>
                <w:szCs w:val="20"/>
              </w:rPr>
              <w:t>否</w:t>
            </w:r>
          </w:p>
        </w:tc>
      </w:tr>
      <w:tr w14:paraId="0CB09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960" w:type="dxa"/>
            <w:vMerge w:val="continue"/>
            <w:tcBorders>
              <w:top w:val="nil"/>
              <w:left w:val="nil"/>
              <w:bottom w:val="nil"/>
            </w:tcBorders>
          </w:tcPr>
          <w:p w14:paraId="50B4515D"/>
        </w:tc>
        <w:tc>
          <w:tcPr>
            <w:tcW w:w="2962" w:type="dxa"/>
          </w:tcPr>
          <w:p w14:paraId="30A2502D">
            <w:pPr>
              <w:spacing w:line="277" w:lineRule="exact"/>
              <w:ind w:left="902"/>
              <w:rPr>
                <w:rFonts w:ascii="Times New Roman" w:hAnsi="Times New Roman" w:eastAsia="Times New Roman" w:cs="Times New Roman"/>
                <w:sz w:val="20"/>
                <w:szCs w:val="20"/>
              </w:rPr>
            </w:pPr>
            <w:r>
              <w:rPr>
                <w:rFonts w:ascii="宋体" w:hAnsi="宋体" w:eastAsia="宋体" w:cs="宋体"/>
                <w:spacing w:val="10"/>
                <w:position w:val="1"/>
                <w:sz w:val="20"/>
                <w:szCs w:val="20"/>
              </w:rPr>
              <w:t>岸</w:t>
            </w:r>
            <w:r>
              <w:rPr>
                <w:rFonts w:ascii="宋体" w:hAnsi="宋体" w:eastAsia="宋体" w:cs="宋体"/>
                <w:spacing w:val="9"/>
                <w:position w:val="1"/>
                <w:sz w:val="20"/>
                <w:szCs w:val="20"/>
              </w:rPr>
              <w:t>线距离</w:t>
            </w:r>
            <w:r>
              <w:rPr>
                <w:rFonts w:ascii="Times New Roman" w:hAnsi="Times New Roman" w:eastAsia="Times New Roman" w:cs="Times New Roman"/>
                <w:spacing w:val="9"/>
                <w:position w:val="1"/>
                <w:sz w:val="20"/>
                <w:szCs w:val="20"/>
              </w:rPr>
              <w:t>/</w:t>
            </w:r>
            <w:r>
              <w:rPr>
                <w:rFonts w:ascii="Times New Roman" w:hAnsi="Times New Roman" w:eastAsia="Times New Roman" w:cs="Times New Roman"/>
                <w:position w:val="1"/>
                <w:sz w:val="20"/>
                <w:szCs w:val="20"/>
              </w:rPr>
              <w:t>km</w:t>
            </w:r>
          </w:p>
        </w:tc>
        <w:tc>
          <w:tcPr>
            <w:tcW w:w="2960" w:type="dxa"/>
            <w:tcBorders>
              <w:right w:val="nil"/>
            </w:tcBorders>
          </w:tcPr>
          <w:p w14:paraId="5DEA9DB2">
            <w:pPr>
              <w:spacing w:line="277" w:lineRule="exact"/>
              <w:ind w:left="1448"/>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0BD052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2960" w:type="dxa"/>
            <w:vMerge w:val="continue"/>
            <w:tcBorders>
              <w:top w:val="nil"/>
              <w:left w:val="nil"/>
            </w:tcBorders>
          </w:tcPr>
          <w:p w14:paraId="6E8C21DE"/>
        </w:tc>
        <w:tc>
          <w:tcPr>
            <w:tcW w:w="2962" w:type="dxa"/>
          </w:tcPr>
          <w:p w14:paraId="10FC2827">
            <w:pPr>
              <w:spacing w:line="278" w:lineRule="exact"/>
              <w:ind w:left="996"/>
              <w:rPr>
                <w:rFonts w:ascii="Times New Roman" w:hAnsi="Times New Roman" w:eastAsia="Times New Roman" w:cs="Times New Roman"/>
                <w:sz w:val="20"/>
                <w:szCs w:val="20"/>
              </w:rPr>
            </w:pPr>
            <w:r>
              <w:rPr>
                <w:rFonts w:ascii="宋体" w:hAnsi="宋体" w:eastAsia="宋体" w:cs="宋体"/>
                <w:spacing w:val="7"/>
                <w:position w:val="1"/>
                <w:sz w:val="20"/>
                <w:szCs w:val="20"/>
              </w:rPr>
              <w:t>岸</w:t>
            </w:r>
            <w:r>
              <w:rPr>
                <w:rFonts w:ascii="宋体" w:hAnsi="宋体" w:eastAsia="宋体" w:cs="宋体"/>
                <w:spacing w:val="6"/>
                <w:position w:val="1"/>
                <w:sz w:val="20"/>
                <w:szCs w:val="20"/>
              </w:rPr>
              <w:t>线方向</w:t>
            </w:r>
            <w:r>
              <w:rPr>
                <w:rFonts w:ascii="Times New Roman" w:hAnsi="Times New Roman" w:eastAsia="Times New Roman" w:cs="Times New Roman"/>
                <w:spacing w:val="6"/>
                <w:position w:val="1"/>
                <w:sz w:val="20"/>
                <w:szCs w:val="20"/>
              </w:rPr>
              <w:t>/°</w:t>
            </w:r>
          </w:p>
        </w:tc>
        <w:tc>
          <w:tcPr>
            <w:tcW w:w="2960" w:type="dxa"/>
            <w:tcBorders>
              <w:right w:val="nil"/>
            </w:tcBorders>
          </w:tcPr>
          <w:p w14:paraId="349D263A">
            <w:pPr>
              <w:spacing w:line="278" w:lineRule="exact"/>
              <w:ind w:left="1448"/>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bl>
    <w:p w14:paraId="51FB5F4F">
      <w:pPr>
        <w:spacing w:before="37" w:line="225" w:lineRule="auto"/>
        <w:ind w:left="596"/>
        <w:rPr>
          <w:rFonts w:ascii="宋体" w:hAnsi="宋体" w:eastAsia="宋体" w:cs="宋体"/>
          <w:sz w:val="23"/>
          <w:szCs w:val="23"/>
        </w:rPr>
      </w:pPr>
      <w:r>
        <w:rPr>
          <w:rFonts w:ascii="宋体" w:hAnsi="宋体" w:eastAsia="宋体" w:cs="宋体"/>
          <w:spacing w:val="9"/>
          <w:sz w:val="23"/>
          <w:szCs w:val="23"/>
        </w:rPr>
        <w:t>④主要污染源调查</w:t>
      </w:r>
    </w:p>
    <w:p w14:paraId="3384381C">
      <w:pPr>
        <w:spacing w:before="185" w:line="379" w:lineRule="auto"/>
        <w:ind w:left="117" w:right="103" w:firstLine="481"/>
        <w:rPr>
          <w:rFonts w:ascii="宋体" w:hAnsi="宋体" w:eastAsia="宋体" w:cs="宋体"/>
          <w:sz w:val="23"/>
          <w:szCs w:val="23"/>
        </w:rPr>
      </w:pPr>
      <w:r>
        <w:rPr>
          <w:rFonts w:ascii="宋体" w:hAnsi="宋体" w:eastAsia="宋体" w:cs="宋体"/>
          <w:spacing w:val="14"/>
          <w:sz w:val="23"/>
          <w:szCs w:val="23"/>
        </w:rPr>
        <w:t>养</w:t>
      </w:r>
      <w:r>
        <w:rPr>
          <w:rFonts w:ascii="宋体" w:hAnsi="宋体" w:eastAsia="宋体" w:cs="宋体"/>
          <w:spacing w:val="11"/>
          <w:sz w:val="23"/>
          <w:szCs w:val="23"/>
        </w:rPr>
        <w:t>殖场恶臭气体主要来自猪舍、异位微生物发酵床、集污池等，主要为污染物</w:t>
      </w:r>
      <w:r>
        <w:rPr>
          <w:rFonts w:ascii="宋体" w:hAnsi="宋体" w:eastAsia="宋体" w:cs="宋体"/>
          <w:sz w:val="23"/>
          <w:szCs w:val="23"/>
        </w:rPr>
        <w:t xml:space="preserve"> </w:t>
      </w:r>
      <w:r>
        <w:rPr>
          <w:rFonts w:ascii="宋体" w:hAnsi="宋体" w:eastAsia="宋体" w:cs="宋体"/>
          <w:spacing w:val="10"/>
          <w:sz w:val="23"/>
          <w:szCs w:val="23"/>
        </w:rPr>
        <w:t xml:space="preserve">为 </w:t>
      </w:r>
      <w:r>
        <w:rPr>
          <w:rFonts w:ascii="Times New Roman" w:hAnsi="Times New Roman" w:eastAsia="Times New Roman" w:cs="Times New Roman"/>
          <w:sz w:val="23"/>
          <w:szCs w:val="23"/>
        </w:rPr>
        <w:t>NH</w:t>
      </w:r>
      <w:r>
        <w:rPr>
          <w:rFonts w:ascii="Times New Roman" w:hAnsi="Times New Roman" w:eastAsia="Times New Roman" w:cs="Times New Roman"/>
          <w:spacing w:val="10"/>
          <w:position w:val="-1"/>
          <w:sz w:val="15"/>
          <w:szCs w:val="15"/>
        </w:rPr>
        <w:t>3</w:t>
      </w:r>
      <w:r>
        <w:rPr>
          <w:rFonts w:ascii="宋体" w:hAnsi="宋体" w:eastAsia="宋体" w:cs="宋体"/>
          <w:spacing w:val="10"/>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5"/>
          <w:position w:val="-1"/>
          <w:sz w:val="15"/>
          <w:szCs w:val="15"/>
        </w:rPr>
        <w:t>2</w:t>
      </w:r>
      <w:r>
        <w:rPr>
          <w:rFonts w:ascii="Times New Roman" w:hAnsi="Times New Roman" w:eastAsia="Times New Roman" w:cs="Times New Roman"/>
          <w:sz w:val="23"/>
          <w:szCs w:val="23"/>
        </w:rPr>
        <w:t>S</w:t>
      </w:r>
      <w:r>
        <w:rPr>
          <w:rFonts w:ascii="宋体" w:hAnsi="宋体" w:eastAsia="宋体" w:cs="宋体"/>
          <w:spacing w:val="5"/>
          <w:sz w:val="23"/>
          <w:szCs w:val="23"/>
        </w:rPr>
        <w:t>，均为无组织排放。由于项目猪舍与异位微生物发酵床、集污池相邻较</w:t>
      </w:r>
      <w:r>
        <w:rPr>
          <w:rFonts w:ascii="宋体" w:hAnsi="宋体" w:eastAsia="宋体" w:cs="宋体"/>
          <w:sz w:val="23"/>
          <w:szCs w:val="23"/>
        </w:rPr>
        <w:t xml:space="preserve"> </w:t>
      </w:r>
      <w:r>
        <w:rPr>
          <w:rFonts w:ascii="宋体" w:hAnsi="宋体" w:eastAsia="宋体" w:cs="宋体"/>
          <w:spacing w:val="14"/>
          <w:sz w:val="23"/>
          <w:szCs w:val="23"/>
        </w:rPr>
        <w:t>近</w:t>
      </w:r>
      <w:r>
        <w:rPr>
          <w:rFonts w:ascii="宋体" w:hAnsi="宋体" w:eastAsia="宋体" w:cs="宋体"/>
          <w:spacing w:val="11"/>
          <w:sz w:val="23"/>
          <w:szCs w:val="23"/>
        </w:rPr>
        <w:t>，项目将猪舍与异位微生物发酵床、集污池作为一个整体进行分析，本项目污染</w:t>
      </w:r>
      <w:r>
        <w:rPr>
          <w:rFonts w:ascii="宋体" w:hAnsi="宋体" w:eastAsia="宋体" w:cs="宋体"/>
          <w:sz w:val="23"/>
          <w:szCs w:val="23"/>
        </w:rPr>
        <w:t xml:space="preserve"> </w:t>
      </w:r>
      <w:r>
        <w:rPr>
          <w:rFonts w:ascii="宋体" w:hAnsi="宋体" w:eastAsia="宋体" w:cs="宋体"/>
          <w:spacing w:val="2"/>
          <w:sz w:val="23"/>
          <w:szCs w:val="23"/>
        </w:rPr>
        <w:t xml:space="preserve">源排放参数见表 </w:t>
      </w:r>
      <w:r>
        <w:rPr>
          <w:rFonts w:ascii="Times New Roman" w:hAnsi="Times New Roman" w:eastAsia="Times New Roman" w:cs="Times New Roman"/>
          <w:spacing w:val="2"/>
          <w:sz w:val="23"/>
          <w:szCs w:val="23"/>
        </w:rPr>
        <w:t>1.5-4</w:t>
      </w:r>
      <w:r>
        <w:rPr>
          <w:rFonts w:ascii="宋体" w:hAnsi="宋体" w:eastAsia="宋体" w:cs="宋体"/>
          <w:sz w:val="23"/>
          <w:szCs w:val="23"/>
        </w:rPr>
        <w:t>。</w:t>
      </w:r>
    </w:p>
    <w:p w14:paraId="72695EEA">
      <w:pPr>
        <w:spacing w:before="55" w:line="323" w:lineRule="exact"/>
        <w:ind w:left="1511"/>
        <w:rPr>
          <w:rFonts w:ascii="Times New Roman" w:hAnsi="Times New Roman" w:eastAsia="Times New Roman" w:cs="Times New Roman"/>
          <w:sz w:val="23"/>
          <w:szCs w:val="23"/>
        </w:rPr>
      </w:pPr>
      <w:r>
        <w:rPr>
          <w:rFonts w:ascii="黑体" w:hAnsi="黑体" w:eastAsia="黑体" w:cs="黑体"/>
          <w:spacing w:val="6"/>
          <w:position w:val="3"/>
          <w:sz w:val="23"/>
          <w:szCs w:val="23"/>
        </w:rPr>
        <w:t xml:space="preserve">表 </w:t>
      </w:r>
      <w:r>
        <w:rPr>
          <w:rFonts w:ascii="Times New Roman" w:hAnsi="Times New Roman" w:eastAsia="Times New Roman" w:cs="Times New Roman"/>
          <w:spacing w:val="6"/>
          <w:position w:val="3"/>
          <w:sz w:val="23"/>
          <w:szCs w:val="23"/>
        </w:rPr>
        <w:t xml:space="preserve">1.5-4  </w:t>
      </w:r>
      <w:r>
        <w:rPr>
          <w:rFonts w:ascii="黑体" w:hAnsi="黑体" w:eastAsia="黑体" w:cs="黑体"/>
          <w:spacing w:val="6"/>
          <w:position w:val="3"/>
          <w:sz w:val="23"/>
          <w:szCs w:val="23"/>
        </w:rPr>
        <w:t>项目无组织排放污染源排放参数一览表  单位：</w:t>
      </w:r>
      <w:r>
        <w:rPr>
          <w:rFonts w:ascii="Times New Roman" w:hAnsi="Times New Roman" w:eastAsia="Times New Roman" w:cs="Times New Roman"/>
          <w:position w:val="3"/>
          <w:sz w:val="23"/>
          <w:szCs w:val="23"/>
        </w:rPr>
        <w:t>kg</w:t>
      </w:r>
      <w:r>
        <w:rPr>
          <w:rFonts w:ascii="Times New Roman" w:hAnsi="Times New Roman" w:eastAsia="Times New Roman" w:cs="Times New Roman"/>
          <w:spacing w:val="6"/>
          <w:position w:val="3"/>
          <w:sz w:val="23"/>
          <w:szCs w:val="23"/>
        </w:rPr>
        <w:t>/</w:t>
      </w:r>
      <w:r>
        <w:rPr>
          <w:rFonts w:ascii="Times New Roman" w:hAnsi="Times New Roman" w:eastAsia="Times New Roman" w:cs="Times New Roman"/>
          <w:position w:val="3"/>
          <w:sz w:val="23"/>
          <w:szCs w:val="23"/>
        </w:rPr>
        <w:t>h</w:t>
      </w:r>
    </w:p>
    <w:p w14:paraId="4F6B218E">
      <w:pPr>
        <w:sectPr>
          <w:headerReference r:id="rId30" w:type="default"/>
          <w:footerReference r:id="rId31" w:type="default"/>
          <w:pgSz w:w="11907" w:h="16840"/>
          <w:pgMar w:top="1153" w:right="1451" w:bottom="1275" w:left="1551" w:header="919" w:footer="1114" w:gutter="0"/>
          <w:cols w:space="720" w:num="1"/>
        </w:sectPr>
      </w:pPr>
    </w:p>
    <w:p w14:paraId="5BF329D0">
      <w:pPr>
        <w:spacing w:line="460" w:lineRule="auto"/>
      </w:pPr>
    </w:p>
    <w:p w14:paraId="1A97F99D">
      <w:pPr>
        <w:spacing w:before="56" w:line="229" w:lineRule="auto"/>
        <w:ind w:left="115"/>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534FC8D6">
      <w:pPr>
        <w:spacing w:line="14" w:lineRule="exact"/>
      </w:pPr>
    </w:p>
    <w:tbl>
      <w:tblPr>
        <w:tblStyle w:val="4"/>
        <w:tblW w:w="8882" w:type="dxa"/>
        <w:tblInd w:w="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2"/>
        <w:gridCol w:w="1153"/>
        <w:gridCol w:w="965"/>
        <w:gridCol w:w="803"/>
        <w:gridCol w:w="803"/>
        <w:gridCol w:w="1084"/>
        <w:gridCol w:w="846"/>
        <w:gridCol w:w="805"/>
        <w:gridCol w:w="1021"/>
      </w:tblGrid>
      <w:tr w14:paraId="4C3EC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0" w:hRule="atLeast"/>
        </w:trPr>
        <w:tc>
          <w:tcPr>
            <w:tcW w:w="1402" w:type="dxa"/>
            <w:tcBorders>
              <w:left w:val="nil"/>
            </w:tcBorders>
          </w:tcPr>
          <w:p w14:paraId="36D89A8D">
            <w:pPr>
              <w:spacing w:before="208" w:line="228" w:lineRule="auto"/>
              <w:ind w:left="185"/>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污</w:t>
            </w:r>
            <w:r>
              <w:rPr>
                <w:rFonts w:ascii="宋体" w:hAnsi="宋体" w:eastAsia="宋体" w:cs="宋体"/>
                <w:spacing w:val="8"/>
                <w:sz w:val="20"/>
                <w:szCs w:val="20"/>
                <w14:textOutline w14:w="3797" w14:cap="sq" w14:cmpd="sng" w14:algn="ctr">
                  <w14:solidFill>
                    <w14:srgbClr w14:val="000000"/>
                  </w14:solidFill>
                  <w14:prstDash w14:val="solid"/>
                  <w14:bevel/>
                </w14:textOutline>
              </w:rPr>
              <w:t>染源名称</w:t>
            </w:r>
          </w:p>
          <w:p w14:paraId="2EADE0C6">
            <w:pPr>
              <w:spacing w:before="23" w:line="229" w:lineRule="auto"/>
              <w:ind w:left="299"/>
              <w:rPr>
                <w:rFonts w:ascii="宋体" w:hAnsi="宋体" w:eastAsia="宋体" w:cs="宋体"/>
                <w:sz w:val="20"/>
                <w:szCs w:val="20"/>
              </w:rPr>
            </w:pPr>
            <w:r>
              <w:rPr>
                <w:rFonts w:ascii="宋体" w:hAnsi="宋体" w:eastAsia="宋体" w:cs="宋体"/>
                <w:spacing w:val="29"/>
                <w:sz w:val="20"/>
                <w:szCs w:val="20"/>
                <w14:textOutline w14:w="3797" w14:cap="sq" w14:cmpd="sng" w14:algn="ctr">
                  <w14:solidFill>
                    <w14:srgbClr w14:val="000000"/>
                  </w14:solidFill>
                  <w14:prstDash w14:val="solid"/>
                  <w14:bevel/>
                </w14:textOutline>
              </w:rPr>
              <w:t>(</w:t>
            </w:r>
            <w:r>
              <w:rPr>
                <w:rFonts w:ascii="宋体" w:hAnsi="宋体" w:eastAsia="宋体" w:cs="宋体"/>
                <w:spacing w:val="28"/>
                <w:sz w:val="20"/>
                <w:szCs w:val="20"/>
                <w14:textOutline w14:w="3797" w14:cap="sq" w14:cmpd="sng" w14:algn="ctr">
                  <w14:solidFill>
                    <w14:srgbClr w14:val="000000"/>
                  </w14:solidFill>
                  <w14:prstDash w14:val="solid"/>
                  <w14:bevel/>
                </w14:textOutline>
              </w:rPr>
              <w:t>面源)</w:t>
            </w:r>
          </w:p>
        </w:tc>
        <w:tc>
          <w:tcPr>
            <w:tcW w:w="1153" w:type="dxa"/>
          </w:tcPr>
          <w:p w14:paraId="5F94E5B1">
            <w:pPr>
              <w:spacing w:before="208" w:line="266" w:lineRule="auto"/>
              <w:ind w:left="474" w:right="151" w:hanging="311"/>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污染物名</w:t>
            </w:r>
            <w:r>
              <w:rPr>
                <w:rFonts w:ascii="宋体" w:hAnsi="宋体" w:eastAsia="宋体" w:cs="宋体"/>
                <w:sz w:val="20"/>
                <w:szCs w:val="20"/>
              </w:rPr>
              <w:t xml:space="preserve"> </w:t>
            </w:r>
            <w:r>
              <w:rPr>
                <w:rFonts w:ascii="宋体" w:hAnsi="宋体" w:eastAsia="宋体" w:cs="宋体"/>
                <w:spacing w:val="1"/>
                <w:sz w:val="20"/>
                <w:szCs w:val="20"/>
                <w14:textOutline w14:w="3797" w14:cap="sq" w14:cmpd="sng" w14:algn="ctr">
                  <w14:solidFill>
                    <w14:srgbClr w14:val="000000"/>
                  </w14:solidFill>
                  <w14:prstDash w14:val="solid"/>
                  <w14:bevel/>
                </w14:textOutline>
              </w:rPr>
              <w:t>称</w:t>
            </w:r>
          </w:p>
        </w:tc>
        <w:tc>
          <w:tcPr>
            <w:tcW w:w="965" w:type="dxa"/>
          </w:tcPr>
          <w:p w14:paraId="6E3CA85D">
            <w:pPr>
              <w:tabs>
                <w:tab w:val="left" w:pos="298"/>
              </w:tabs>
              <w:spacing w:before="70" w:line="243" w:lineRule="auto"/>
              <w:ind w:left="172" w:right="164"/>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面</w:t>
            </w:r>
            <w:r>
              <w:rPr>
                <w:rFonts w:ascii="宋体" w:hAnsi="宋体" w:eastAsia="宋体" w:cs="宋体"/>
                <w:spacing w:val="7"/>
                <w:sz w:val="20"/>
                <w:szCs w:val="20"/>
                <w14:textOutline w14:w="3797" w14:cap="sq" w14:cmpd="sng" w14:algn="ctr">
                  <w14:solidFill>
                    <w14:srgbClr w14:val="000000"/>
                  </w14:solidFill>
                  <w14:prstDash w14:val="solid"/>
                  <w14:bevel/>
                </w14:textOutline>
              </w:rPr>
              <w:t>源海</w:t>
            </w:r>
            <w:r>
              <w:rPr>
                <w:rFonts w:ascii="宋体" w:hAnsi="宋体" w:eastAsia="宋体" w:cs="宋体"/>
                <w:sz w:val="20"/>
                <w:szCs w:val="20"/>
              </w:rPr>
              <w:t xml:space="preserve"> </w:t>
            </w:r>
            <w:r>
              <w:rPr>
                <w:rFonts w:ascii="宋体" w:hAnsi="宋体" w:eastAsia="宋体" w:cs="宋体"/>
                <w:spacing w:val="9"/>
                <w:sz w:val="20"/>
                <w:szCs w:val="20"/>
                <w14:textOutline w14:w="3797" w14:cap="sq" w14:cmpd="sng" w14:algn="ctr">
                  <w14:solidFill>
                    <w14:srgbClr w14:val="000000"/>
                  </w14:solidFill>
                  <w14:prstDash w14:val="solid"/>
                  <w14:bevel/>
                </w14:textOutline>
              </w:rPr>
              <w:t>拔</w:t>
            </w:r>
            <w:r>
              <w:rPr>
                <w:rFonts w:ascii="宋体" w:hAnsi="宋体" w:eastAsia="宋体" w:cs="宋体"/>
                <w:spacing w:val="7"/>
                <w:sz w:val="20"/>
                <w:szCs w:val="20"/>
                <w14:textOutline w14:w="3797" w14:cap="sq" w14:cmpd="sng" w14:algn="ctr">
                  <w14:solidFill>
                    <w14:srgbClr w14:val="000000"/>
                  </w14:solidFill>
                  <w14:prstDash w14:val="solid"/>
                  <w14:bevel/>
                </w14:textOutline>
              </w:rPr>
              <w:t>高度</w:t>
            </w:r>
            <w:r>
              <w:rPr>
                <w:rFonts w:ascii="宋体" w:hAnsi="宋体" w:eastAsia="宋体" w:cs="宋体"/>
                <w:sz w:val="20"/>
                <w:szCs w:val="20"/>
              </w:rPr>
              <w:t xml:space="preserve"> </w:t>
            </w:r>
            <w:r>
              <w:rPr>
                <w:rFonts w:ascii="宋体" w:hAnsi="宋体" w:eastAsia="宋体" w:cs="宋体"/>
                <w:b/>
                <w:bCs/>
                <w:sz w:val="20"/>
                <w:szCs w:val="20"/>
              </w:rPr>
              <w:tab/>
            </w:r>
            <w:r>
              <w:rPr>
                <w:rFonts w:ascii="宋体" w:hAnsi="宋体" w:eastAsia="宋体" w:cs="宋体"/>
                <w:spacing w:val="-8"/>
                <w:w w:val="85"/>
                <w:sz w:val="20"/>
                <w:szCs w:val="20"/>
                <w14:textOutline w14:w="3797" w14:cap="sq" w14:cmpd="sng" w14:algn="ctr">
                  <w14:solidFill>
                    <w14:srgbClr w14:val="000000"/>
                  </w14:solidFill>
                  <w14:prstDash w14:val="solid"/>
                  <w14:bevel/>
                </w14:textOutline>
              </w:rPr>
              <w:t>(</w:t>
            </w:r>
            <w:r>
              <w:rPr>
                <w:rFonts w:ascii="宋体" w:hAnsi="宋体" w:eastAsia="宋体" w:cs="宋体"/>
                <w:spacing w:val="-60"/>
                <w:sz w:val="20"/>
                <w:szCs w:val="20"/>
              </w:rPr>
              <w:t xml:space="preserve"> </w:t>
            </w:r>
            <w:r>
              <w:rPr>
                <w:rFonts w:ascii="Times New Roman" w:hAnsi="Times New Roman" w:eastAsia="Times New Roman" w:cs="Times New Roman"/>
                <w:b/>
                <w:bCs/>
                <w:spacing w:val="-8"/>
                <w:w w:val="85"/>
                <w:sz w:val="20"/>
                <w:szCs w:val="20"/>
              </w:rPr>
              <w:t>m</w:t>
            </w:r>
            <w:r>
              <w:rPr>
                <w:rFonts w:ascii="Times New Roman" w:hAnsi="Times New Roman" w:eastAsia="Times New Roman" w:cs="Times New Roman"/>
                <w:spacing w:val="-19"/>
                <w:sz w:val="20"/>
                <w:szCs w:val="20"/>
              </w:rPr>
              <w:t xml:space="preserve"> </w:t>
            </w:r>
            <w:r>
              <w:rPr>
                <w:rFonts w:ascii="宋体" w:hAnsi="宋体" w:eastAsia="宋体" w:cs="宋体"/>
                <w:spacing w:val="-8"/>
                <w:w w:val="85"/>
                <w:sz w:val="20"/>
                <w:szCs w:val="20"/>
                <w14:textOutline w14:w="3797" w14:cap="sq" w14:cmpd="sng" w14:algn="ctr">
                  <w14:solidFill>
                    <w14:srgbClr w14:val="000000"/>
                  </w14:solidFill>
                  <w14:prstDash w14:val="solid"/>
                  <w14:bevel/>
                </w14:textOutline>
              </w:rPr>
              <w:t>)</w:t>
            </w:r>
          </w:p>
        </w:tc>
        <w:tc>
          <w:tcPr>
            <w:tcW w:w="803" w:type="dxa"/>
          </w:tcPr>
          <w:p w14:paraId="2813FBA9">
            <w:pPr>
              <w:spacing w:before="88" w:line="229" w:lineRule="auto"/>
              <w:ind w:left="19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面</w:t>
            </w:r>
            <w:r>
              <w:rPr>
                <w:rFonts w:ascii="宋体" w:hAnsi="宋体" w:eastAsia="宋体" w:cs="宋体"/>
                <w:spacing w:val="5"/>
                <w:sz w:val="20"/>
                <w:szCs w:val="20"/>
                <w14:textOutline w14:w="3797" w14:cap="sq" w14:cmpd="sng" w14:algn="ctr">
                  <w14:solidFill>
                    <w14:srgbClr w14:val="000000"/>
                  </w14:solidFill>
                  <w14:prstDash w14:val="solid"/>
                  <w14:bevel/>
                </w14:textOutline>
              </w:rPr>
              <w:t>源</w:t>
            </w:r>
          </w:p>
          <w:p w14:paraId="21AA503F">
            <w:pPr>
              <w:spacing w:before="23" w:line="199" w:lineRule="auto"/>
              <w:ind w:left="19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长</w:t>
            </w:r>
            <w:r>
              <w:rPr>
                <w:rFonts w:ascii="宋体" w:hAnsi="宋体" w:eastAsia="宋体" w:cs="宋体"/>
                <w:spacing w:val="5"/>
                <w:sz w:val="20"/>
                <w:szCs w:val="20"/>
                <w14:textOutline w14:w="3797" w14:cap="sq" w14:cmpd="sng" w14:algn="ctr">
                  <w14:solidFill>
                    <w14:srgbClr w14:val="000000"/>
                  </w14:solidFill>
                  <w14:prstDash w14:val="solid"/>
                  <w14:bevel/>
                </w14:textOutline>
              </w:rPr>
              <w:t>度</w:t>
            </w:r>
          </w:p>
          <w:p w14:paraId="1DD5502A">
            <w:pPr>
              <w:spacing w:line="284" w:lineRule="exact"/>
              <w:ind w:left="251"/>
              <w:rPr>
                <w:rFonts w:ascii="Times New Roman" w:hAnsi="Times New Roman" w:eastAsia="Times New Roman" w:cs="Times New Roman"/>
                <w:sz w:val="20"/>
                <w:szCs w:val="20"/>
              </w:rPr>
            </w:pPr>
            <w:r>
              <w:rPr>
                <w:rFonts w:ascii="Times New Roman" w:hAnsi="Times New Roman" w:eastAsia="Times New Roman" w:cs="Times New Roman"/>
                <w:b/>
                <w:bCs/>
                <w:spacing w:val="3"/>
                <w:position w:val="4"/>
                <w:sz w:val="20"/>
                <w:szCs w:val="20"/>
              </w:rPr>
              <w:t>(</w:t>
            </w:r>
            <w:r>
              <w:rPr>
                <w:rFonts w:ascii="Times New Roman" w:hAnsi="Times New Roman" w:eastAsia="Times New Roman" w:cs="Times New Roman"/>
                <w:b/>
                <w:bCs/>
                <w:position w:val="4"/>
                <w:sz w:val="20"/>
                <w:szCs w:val="20"/>
              </w:rPr>
              <w:t>m</w:t>
            </w:r>
            <w:r>
              <w:rPr>
                <w:rFonts w:ascii="Times New Roman" w:hAnsi="Times New Roman" w:eastAsia="Times New Roman" w:cs="Times New Roman"/>
                <w:b/>
                <w:bCs/>
                <w:spacing w:val="3"/>
                <w:position w:val="4"/>
                <w:sz w:val="20"/>
                <w:szCs w:val="20"/>
              </w:rPr>
              <w:t>)</w:t>
            </w:r>
          </w:p>
        </w:tc>
        <w:tc>
          <w:tcPr>
            <w:tcW w:w="803" w:type="dxa"/>
          </w:tcPr>
          <w:p w14:paraId="1B71157B">
            <w:pPr>
              <w:spacing w:before="70" w:line="243" w:lineRule="auto"/>
              <w:ind w:left="125" w:right="115" w:firstLine="72"/>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面</w:t>
            </w:r>
            <w:r>
              <w:rPr>
                <w:rFonts w:ascii="宋体" w:hAnsi="宋体" w:eastAsia="宋体" w:cs="宋体"/>
                <w:spacing w:val="5"/>
                <w:sz w:val="20"/>
                <w:szCs w:val="20"/>
                <w14:textOutline w14:w="3797" w14:cap="sq" w14:cmpd="sng" w14:algn="ctr">
                  <w14:solidFill>
                    <w14:srgbClr w14:val="000000"/>
                  </w14:solidFill>
                  <w14:prstDash w14:val="solid"/>
                  <w14:bevel/>
                </w14:textOutline>
              </w:rPr>
              <w:t>源</w:t>
            </w:r>
            <w:r>
              <w:rPr>
                <w:rFonts w:ascii="宋体" w:hAnsi="宋体" w:eastAsia="宋体" w:cs="宋体"/>
                <w:sz w:val="20"/>
                <w:szCs w:val="20"/>
              </w:rPr>
              <w:t xml:space="preserve"> </w:t>
            </w:r>
            <w:r>
              <w:rPr>
                <w:rFonts w:ascii="宋体" w:hAnsi="宋体" w:eastAsia="宋体" w:cs="宋体"/>
                <w:spacing w:val="42"/>
                <w:sz w:val="20"/>
                <w:szCs w:val="20"/>
                <w14:textOutline w14:w="3797" w14:cap="sq" w14:cmpd="sng" w14:algn="ctr">
                  <w14:solidFill>
                    <w14:srgbClr w14:val="000000"/>
                  </w14:solidFill>
                  <w14:prstDash w14:val="solid"/>
                  <w14:bevel/>
                </w14:textOutline>
              </w:rPr>
              <w:t>宽</w:t>
            </w:r>
            <w:r>
              <w:rPr>
                <w:rFonts w:ascii="宋体" w:hAnsi="宋体" w:eastAsia="宋体" w:cs="宋体"/>
                <w:spacing w:val="41"/>
                <w:sz w:val="20"/>
                <w:szCs w:val="20"/>
                <w14:textOutline w14:w="3797" w14:cap="sq" w14:cmpd="sng" w14:algn="ctr">
                  <w14:solidFill>
                    <w14:srgbClr w14:val="000000"/>
                  </w14:solidFill>
                  <w14:prstDash w14:val="solid"/>
                  <w14:bevel/>
                </w14:textOutline>
              </w:rPr>
              <w:t>度</w:t>
            </w:r>
            <w:r>
              <w:rPr>
                <w:rFonts w:ascii="宋体" w:hAnsi="宋体" w:eastAsia="宋体" w:cs="宋体"/>
                <w:sz w:val="20"/>
                <w:szCs w:val="20"/>
              </w:rPr>
              <w:t xml:space="preserve"> </w:t>
            </w:r>
            <w:r>
              <w:rPr>
                <w:rFonts w:ascii="宋体" w:hAnsi="宋体" w:eastAsia="宋体" w:cs="宋体"/>
                <w:spacing w:val="-13"/>
                <w:sz w:val="20"/>
                <w:szCs w:val="20"/>
                <w14:textOutline w14:w="3797" w14:cap="sq" w14:cmpd="sng" w14:algn="ctr">
                  <w14:solidFill>
                    <w14:srgbClr w14:val="000000"/>
                  </w14:solidFill>
                  <w14:prstDash w14:val="solid"/>
                  <w14:bevel/>
                </w14:textOutline>
              </w:rPr>
              <w:t>(</w:t>
            </w:r>
            <w:r>
              <w:rPr>
                <w:rFonts w:ascii="宋体" w:hAnsi="宋体" w:eastAsia="宋体" w:cs="宋体"/>
                <w:spacing w:val="-12"/>
                <w:sz w:val="20"/>
                <w:szCs w:val="20"/>
              </w:rPr>
              <w:t xml:space="preserve"> </w:t>
            </w:r>
            <w:r>
              <w:rPr>
                <w:rFonts w:ascii="Times New Roman" w:hAnsi="Times New Roman" w:eastAsia="Times New Roman" w:cs="Times New Roman"/>
                <w:b/>
                <w:bCs/>
                <w:spacing w:val="-12"/>
                <w:sz w:val="20"/>
                <w:szCs w:val="20"/>
              </w:rPr>
              <w:t>m</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14:textOutline w14:w="3797" w14:cap="sq" w14:cmpd="sng" w14:algn="ctr">
                  <w14:solidFill>
                    <w14:srgbClr w14:val="000000"/>
                  </w14:solidFill>
                  <w14:prstDash w14:val="solid"/>
                  <w14:bevel/>
                </w14:textOutline>
              </w:rPr>
              <w:t>)</w:t>
            </w:r>
          </w:p>
        </w:tc>
        <w:tc>
          <w:tcPr>
            <w:tcW w:w="1084" w:type="dxa"/>
          </w:tcPr>
          <w:p w14:paraId="5C51C854">
            <w:pPr>
              <w:spacing w:before="72" w:line="228" w:lineRule="auto"/>
              <w:ind w:left="129"/>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面</w:t>
            </w:r>
            <w:r>
              <w:rPr>
                <w:rFonts w:ascii="宋体" w:hAnsi="宋体" w:eastAsia="宋体" w:cs="宋体"/>
                <w:spacing w:val="8"/>
                <w:sz w:val="20"/>
                <w:szCs w:val="20"/>
                <w14:textOutline w14:w="3797" w14:cap="sq" w14:cmpd="sng" w14:algn="ctr">
                  <w14:solidFill>
                    <w14:srgbClr w14:val="000000"/>
                  </w14:solidFill>
                  <w14:prstDash w14:val="solid"/>
                  <w14:bevel/>
                </w14:textOutline>
              </w:rPr>
              <w:t>源有效</w:t>
            </w:r>
          </w:p>
          <w:p w14:paraId="487F24A5">
            <w:pPr>
              <w:spacing w:before="25" w:line="228" w:lineRule="auto"/>
              <w:ind w:left="128"/>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排</w:t>
            </w:r>
            <w:r>
              <w:rPr>
                <w:rFonts w:ascii="宋体" w:hAnsi="宋体" w:eastAsia="宋体" w:cs="宋体"/>
                <w:spacing w:val="8"/>
                <w:sz w:val="20"/>
                <w:szCs w:val="20"/>
                <w14:textOutline w14:w="3797" w14:cap="sq" w14:cmpd="sng" w14:algn="ctr">
                  <w14:solidFill>
                    <w14:srgbClr w14:val="000000"/>
                  </w14:solidFill>
                  <w14:prstDash w14:val="solid"/>
                  <w14:bevel/>
                </w14:textOutline>
              </w:rPr>
              <w:t>放高度</w:t>
            </w:r>
          </w:p>
          <w:p w14:paraId="50AD9785">
            <w:pPr>
              <w:spacing w:before="24" w:line="225" w:lineRule="auto"/>
              <w:ind w:left="261"/>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w:t>
            </w:r>
            <w:r>
              <w:rPr>
                <w:rFonts w:ascii="宋体" w:hAnsi="宋体" w:eastAsia="宋体" w:cs="宋体"/>
                <w:spacing w:val="-4"/>
                <w:sz w:val="20"/>
                <w:szCs w:val="20"/>
              </w:rPr>
              <w:t xml:space="preserve"> </w:t>
            </w:r>
            <w:r>
              <w:rPr>
                <w:rFonts w:ascii="Times New Roman" w:hAnsi="Times New Roman" w:eastAsia="Times New Roman" w:cs="Times New Roman"/>
                <w:b/>
                <w:bCs/>
                <w:spacing w:val="-3"/>
                <w:sz w:val="20"/>
                <w:szCs w:val="20"/>
              </w:rPr>
              <w:t>m</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14:textOutline w14:w="3797" w14:cap="sq" w14:cmpd="sng" w14:algn="ctr">
                  <w14:solidFill>
                    <w14:srgbClr w14:val="000000"/>
                  </w14:solidFill>
                  <w14:prstDash w14:val="solid"/>
                  <w14:bevel/>
                </w14:textOutline>
              </w:rPr>
              <w:t>)</w:t>
            </w:r>
          </w:p>
        </w:tc>
        <w:tc>
          <w:tcPr>
            <w:tcW w:w="846" w:type="dxa"/>
          </w:tcPr>
          <w:p w14:paraId="2E9AB165">
            <w:pPr>
              <w:spacing w:before="71" w:line="228" w:lineRule="auto"/>
              <w:ind w:left="219"/>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年</w:t>
            </w:r>
            <w:r>
              <w:rPr>
                <w:rFonts w:ascii="宋体" w:hAnsi="宋体" w:eastAsia="宋体" w:cs="宋体"/>
                <w:spacing w:val="5"/>
                <w:sz w:val="20"/>
                <w:szCs w:val="20"/>
                <w14:textOutline w14:w="3797" w14:cap="sq" w14:cmpd="sng" w14:algn="ctr">
                  <w14:solidFill>
                    <w14:srgbClr w14:val="000000"/>
                  </w14:solidFill>
                  <w14:prstDash w14:val="solid"/>
                  <w14:bevel/>
                </w14:textOutline>
              </w:rPr>
              <w:t>排</w:t>
            </w:r>
          </w:p>
          <w:p w14:paraId="7F942EA1">
            <w:pPr>
              <w:spacing w:before="26" w:line="213" w:lineRule="auto"/>
              <w:ind w:left="218"/>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放小</w:t>
            </w:r>
          </w:p>
          <w:p w14:paraId="72CDC681">
            <w:pPr>
              <w:spacing w:line="284" w:lineRule="exact"/>
              <w:ind w:left="141"/>
              <w:rPr>
                <w:rFonts w:ascii="Times New Roman" w:hAnsi="Times New Roman" w:eastAsia="Times New Roman" w:cs="Times New Roman"/>
                <w:sz w:val="20"/>
                <w:szCs w:val="20"/>
              </w:rPr>
            </w:pPr>
            <w:r>
              <w:rPr>
                <w:rFonts w:ascii="宋体" w:hAnsi="宋体" w:eastAsia="宋体" w:cs="宋体"/>
                <w:spacing w:val="4"/>
                <w:position w:val="1"/>
                <w:sz w:val="20"/>
                <w:szCs w:val="20"/>
                <w14:textOutline w14:w="3733" w14:cap="sq" w14:cmpd="sng" w14:algn="ctr">
                  <w14:solidFill>
                    <w14:srgbClr w14:val="000000"/>
                  </w14:solidFill>
                  <w14:prstDash w14:val="solid"/>
                  <w14:bevel/>
                </w14:textOutline>
              </w:rPr>
              <w:t>时数</w:t>
            </w:r>
            <w:r>
              <w:rPr>
                <w:rFonts w:ascii="Times New Roman" w:hAnsi="Times New Roman" w:eastAsia="Times New Roman" w:cs="Times New Roman"/>
                <w:b/>
                <w:bCs/>
                <w:spacing w:val="3"/>
                <w:position w:val="1"/>
                <w:sz w:val="20"/>
                <w:szCs w:val="20"/>
              </w:rPr>
              <w:t>/</w:t>
            </w:r>
            <w:r>
              <w:rPr>
                <w:rFonts w:ascii="Times New Roman" w:hAnsi="Times New Roman" w:eastAsia="Times New Roman" w:cs="Times New Roman"/>
                <w:b/>
                <w:bCs/>
                <w:position w:val="1"/>
                <w:sz w:val="20"/>
                <w:szCs w:val="20"/>
              </w:rPr>
              <w:t>h</w:t>
            </w:r>
          </w:p>
        </w:tc>
        <w:tc>
          <w:tcPr>
            <w:tcW w:w="805" w:type="dxa"/>
          </w:tcPr>
          <w:p w14:paraId="5B4531FB">
            <w:pPr>
              <w:spacing w:before="208" w:line="271" w:lineRule="exact"/>
              <w:ind w:left="198"/>
              <w:rPr>
                <w:rFonts w:ascii="宋体" w:hAnsi="宋体" w:eastAsia="宋体" w:cs="宋体"/>
                <w:sz w:val="20"/>
                <w:szCs w:val="20"/>
              </w:rPr>
            </w:pPr>
            <w:r>
              <w:rPr>
                <w:rFonts w:ascii="宋体" w:hAnsi="宋体" w:eastAsia="宋体" w:cs="宋体"/>
                <w:spacing w:val="6"/>
                <w:position w:val="4"/>
                <w:sz w:val="20"/>
                <w:szCs w:val="20"/>
                <w14:textOutline w14:w="3797" w14:cap="sq" w14:cmpd="sng" w14:algn="ctr">
                  <w14:solidFill>
                    <w14:srgbClr w14:val="000000"/>
                  </w14:solidFill>
                  <w14:prstDash w14:val="solid"/>
                  <w14:bevel/>
                </w14:textOutline>
              </w:rPr>
              <w:t>排放</w:t>
            </w:r>
          </w:p>
          <w:p w14:paraId="089B526A">
            <w:pPr>
              <w:spacing w:line="228" w:lineRule="auto"/>
              <w:ind w:left="200"/>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工</w:t>
            </w:r>
            <w:r>
              <w:rPr>
                <w:rFonts w:ascii="宋体" w:hAnsi="宋体" w:eastAsia="宋体" w:cs="宋体"/>
                <w:spacing w:val="4"/>
                <w:sz w:val="20"/>
                <w:szCs w:val="20"/>
                <w14:textOutline w14:w="3797" w14:cap="sq" w14:cmpd="sng" w14:algn="ctr">
                  <w14:solidFill>
                    <w14:srgbClr w14:val="000000"/>
                  </w14:solidFill>
                  <w14:prstDash w14:val="solid"/>
                  <w14:bevel/>
                </w14:textOutline>
              </w:rPr>
              <w:t>况</w:t>
            </w:r>
          </w:p>
        </w:tc>
        <w:tc>
          <w:tcPr>
            <w:tcW w:w="1021" w:type="dxa"/>
            <w:tcBorders>
              <w:right w:val="nil"/>
            </w:tcBorders>
          </w:tcPr>
          <w:p w14:paraId="49B55305">
            <w:pPr>
              <w:spacing w:before="209" w:line="255" w:lineRule="auto"/>
              <w:ind w:left="148" w:right="136" w:firstLine="53"/>
              <w:rPr>
                <w:rFonts w:ascii="Times New Roman" w:hAnsi="Times New Roman" w:eastAsia="Times New Roman" w:cs="Times New Roman"/>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排</w:t>
            </w:r>
            <w:r>
              <w:rPr>
                <w:rFonts w:ascii="宋体" w:hAnsi="宋体" w:eastAsia="宋体" w:cs="宋体"/>
                <w:spacing w:val="7"/>
                <w:sz w:val="20"/>
                <w:szCs w:val="20"/>
                <w14:textOutline w14:w="3797" w14:cap="sq" w14:cmpd="sng" w14:algn="ctr">
                  <w14:solidFill>
                    <w14:srgbClr w14:val="000000"/>
                  </w14:solidFill>
                  <w14:prstDash w14:val="solid"/>
                  <w14:bevel/>
                </w14:textOutline>
              </w:rPr>
              <w:t>放速</w:t>
            </w:r>
            <w:r>
              <w:rPr>
                <w:rFonts w:ascii="宋体" w:hAnsi="宋体" w:eastAsia="宋体" w:cs="宋体"/>
                <w:sz w:val="20"/>
                <w:szCs w:val="20"/>
              </w:rPr>
              <w:t xml:space="preserve"> </w:t>
            </w:r>
            <w:r>
              <w:rPr>
                <w:rFonts w:ascii="宋体" w:hAnsi="宋体" w:eastAsia="宋体" w:cs="宋体"/>
                <w:spacing w:val="7"/>
                <w:sz w:val="20"/>
                <w:szCs w:val="20"/>
                <w14:textOutline w14:w="3797" w14:cap="sq" w14:cmpd="sng" w14:algn="ctr">
                  <w14:solidFill>
                    <w14:srgbClr w14:val="000000"/>
                  </w14:solidFill>
                  <w14:prstDash w14:val="solid"/>
                  <w14:bevel/>
                </w14:textOutline>
              </w:rPr>
              <w:t>率</w:t>
            </w:r>
            <w:r>
              <w:rPr>
                <w:rFonts w:ascii="Times New Roman" w:hAnsi="Times New Roman" w:eastAsia="Times New Roman" w:cs="Times New Roman"/>
                <w:b/>
                <w:bCs/>
                <w:spacing w:val="5"/>
                <w:sz w:val="20"/>
                <w:szCs w:val="20"/>
              </w:rPr>
              <w:t>(</w:t>
            </w:r>
            <w:r>
              <w:rPr>
                <w:rFonts w:ascii="Times New Roman" w:hAnsi="Times New Roman" w:eastAsia="Times New Roman" w:cs="Times New Roman"/>
                <w:b/>
                <w:bCs/>
                <w:sz w:val="20"/>
                <w:szCs w:val="20"/>
              </w:rPr>
              <w:t>kg</w:t>
            </w:r>
            <w:r>
              <w:rPr>
                <w:rFonts w:ascii="Times New Roman" w:hAnsi="Times New Roman" w:eastAsia="Times New Roman" w:cs="Times New Roman"/>
                <w:b/>
                <w:bCs/>
                <w:spacing w:val="5"/>
                <w:sz w:val="20"/>
                <w:szCs w:val="20"/>
              </w:rPr>
              <w:t>/</w:t>
            </w:r>
            <w:r>
              <w:rPr>
                <w:rFonts w:ascii="Times New Roman" w:hAnsi="Times New Roman" w:eastAsia="Times New Roman" w:cs="Times New Roman"/>
                <w:b/>
                <w:bCs/>
                <w:sz w:val="20"/>
                <w:szCs w:val="20"/>
              </w:rPr>
              <w:t>h</w:t>
            </w:r>
            <w:r>
              <w:rPr>
                <w:rFonts w:ascii="Times New Roman" w:hAnsi="Times New Roman" w:eastAsia="Times New Roman" w:cs="Times New Roman"/>
                <w:b/>
                <w:bCs/>
                <w:spacing w:val="5"/>
                <w:sz w:val="20"/>
                <w:szCs w:val="20"/>
              </w:rPr>
              <w:t>)</w:t>
            </w:r>
          </w:p>
        </w:tc>
      </w:tr>
      <w:tr w14:paraId="06DB46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1402" w:type="dxa"/>
            <w:vMerge w:val="restart"/>
            <w:tcBorders>
              <w:left w:val="nil"/>
              <w:bottom w:val="nil"/>
            </w:tcBorders>
          </w:tcPr>
          <w:p w14:paraId="208866A7">
            <w:pPr>
              <w:spacing w:before="135" w:line="228" w:lineRule="auto"/>
              <w:ind w:left="326"/>
              <w:rPr>
                <w:rFonts w:ascii="宋体" w:hAnsi="宋体" w:eastAsia="宋体" w:cs="宋体"/>
                <w:sz w:val="20"/>
                <w:szCs w:val="20"/>
              </w:rPr>
            </w:pPr>
            <w:r>
              <w:rPr>
                <w:rFonts w:ascii="宋体" w:hAnsi="宋体" w:eastAsia="宋体" w:cs="宋体"/>
                <w:spacing w:val="7"/>
                <w:sz w:val="20"/>
                <w:szCs w:val="20"/>
              </w:rPr>
              <w:t>养殖厂区</w:t>
            </w:r>
          </w:p>
        </w:tc>
        <w:tc>
          <w:tcPr>
            <w:tcW w:w="1153" w:type="dxa"/>
          </w:tcPr>
          <w:p w14:paraId="2BD6C872">
            <w:pPr>
              <w:spacing w:before="71" w:line="199" w:lineRule="auto"/>
              <w:ind w:left="386"/>
              <w:rPr>
                <w:rFonts w:ascii="Times New Roman" w:hAnsi="Times New Roman" w:eastAsia="Times New Roman" w:cs="Times New Roman"/>
                <w:sz w:val="13"/>
                <w:szCs w:val="13"/>
              </w:rPr>
            </w:pPr>
            <w:r>
              <w:rPr>
                <w:rFonts w:ascii="Times New Roman" w:hAnsi="Times New Roman" w:eastAsia="Times New Roman" w:cs="Times New Roman"/>
                <w:sz w:val="20"/>
                <w:szCs w:val="20"/>
              </w:rPr>
              <w:t>NH</w:t>
            </w:r>
            <w:r>
              <w:rPr>
                <w:rFonts w:ascii="Times New Roman" w:hAnsi="Times New Roman" w:eastAsia="Times New Roman" w:cs="Times New Roman"/>
                <w:spacing w:val="19"/>
                <w:position w:val="-1"/>
                <w:sz w:val="13"/>
                <w:szCs w:val="13"/>
              </w:rPr>
              <w:t>3</w:t>
            </w:r>
          </w:p>
        </w:tc>
        <w:tc>
          <w:tcPr>
            <w:tcW w:w="965" w:type="dxa"/>
            <w:vMerge w:val="restart"/>
            <w:tcBorders>
              <w:bottom w:val="nil"/>
            </w:tcBorders>
          </w:tcPr>
          <w:p w14:paraId="69D48498">
            <w:pPr>
              <w:spacing w:before="241" w:line="195" w:lineRule="auto"/>
              <w:ind w:left="20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560.7</w:t>
            </w:r>
            <w:r>
              <w:rPr>
                <w:rFonts w:ascii="Times New Roman" w:hAnsi="Times New Roman" w:eastAsia="Times New Roman" w:cs="Times New Roman"/>
                <w:spacing w:val="2"/>
                <w:sz w:val="20"/>
                <w:szCs w:val="20"/>
              </w:rPr>
              <w:t>7</w:t>
            </w:r>
          </w:p>
        </w:tc>
        <w:tc>
          <w:tcPr>
            <w:tcW w:w="803" w:type="dxa"/>
            <w:vMerge w:val="restart"/>
            <w:tcBorders>
              <w:bottom w:val="nil"/>
            </w:tcBorders>
          </w:tcPr>
          <w:p w14:paraId="18EFAA7D">
            <w:pPr>
              <w:spacing w:before="240" w:line="195" w:lineRule="auto"/>
              <w:ind w:left="245"/>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27</w:t>
            </w:r>
          </w:p>
        </w:tc>
        <w:tc>
          <w:tcPr>
            <w:tcW w:w="803" w:type="dxa"/>
            <w:vMerge w:val="restart"/>
            <w:tcBorders>
              <w:bottom w:val="nil"/>
            </w:tcBorders>
          </w:tcPr>
          <w:p w14:paraId="3D6C4D22">
            <w:pPr>
              <w:spacing w:before="241" w:line="195" w:lineRule="auto"/>
              <w:ind w:left="26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141</w:t>
            </w:r>
          </w:p>
        </w:tc>
        <w:tc>
          <w:tcPr>
            <w:tcW w:w="1084" w:type="dxa"/>
            <w:vMerge w:val="restart"/>
            <w:tcBorders>
              <w:bottom w:val="nil"/>
            </w:tcBorders>
          </w:tcPr>
          <w:p w14:paraId="7ED7F561">
            <w:pPr>
              <w:spacing w:before="240" w:line="195" w:lineRule="auto"/>
              <w:ind w:left="500"/>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846" w:type="dxa"/>
            <w:vMerge w:val="restart"/>
            <w:tcBorders>
              <w:bottom w:val="nil"/>
            </w:tcBorders>
          </w:tcPr>
          <w:p w14:paraId="3DED76E3">
            <w:pPr>
              <w:spacing w:before="240" w:line="195" w:lineRule="auto"/>
              <w:ind w:left="22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8760</w:t>
            </w:r>
          </w:p>
        </w:tc>
        <w:tc>
          <w:tcPr>
            <w:tcW w:w="805" w:type="dxa"/>
            <w:vMerge w:val="restart"/>
            <w:tcBorders>
              <w:bottom w:val="nil"/>
            </w:tcBorders>
          </w:tcPr>
          <w:p w14:paraId="59F6A4A0">
            <w:pPr>
              <w:spacing w:before="205" w:line="228" w:lineRule="auto"/>
              <w:ind w:left="202"/>
              <w:rPr>
                <w:rFonts w:ascii="宋体" w:hAnsi="宋体" w:eastAsia="宋体" w:cs="宋体"/>
                <w:sz w:val="20"/>
                <w:szCs w:val="20"/>
              </w:rPr>
            </w:pPr>
            <w:r>
              <w:rPr>
                <w:rFonts w:ascii="宋体" w:hAnsi="宋体" w:eastAsia="宋体" w:cs="宋体"/>
                <w:spacing w:val="3"/>
                <w:sz w:val="20"/>
                <w:szCs w:val="20"/>
              </w:rPr>
              <w:t>正</w:t>
            </w:r>
            <w:r>
              <w:rPr>
                <w:rFonts w:ascii="宋体" w:hAnsi="宋体" w:eastAsia="宋体" w:cs="宋体"/>
                <w:spacing w:val="2"/>
                <w:sz w:val="20"/>
                <w:szCs w:val="20"/>
              </w:rPr>
              <w:t>常</w:t>
            </w:r>
          </w:p>
        </w:tc>
        <w:tc>
          <w:tcPr>
            <w:tcW w:w="1021" w:type="dxa"/>
            <w:tcBorders>
              <w:right w:val="nil"/>
            </w:tcBorders>
          </w:tcPr>
          <w:p w14:paraId="661676DF">
            <w:pPr>
              <w:spacing w:before="68" w:line="195" w:lineRule="auto"/>
              <w:ind w:left="28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0 03</w:t>
            </w:r>
            <w:r>
              <w:rPr>
                <w:rFonts w:ascii="Times New Roman" w:hAnsi="Times New Roman" w:eastAsia="Times New Roman" w:cs="Times New Roman"/>
                <w:spacing w:val="2"/>
                <w:sz w:val="20"/>
                <w:szCs w:val="20"/>
              </w:rPr>
              <w:t>1</w:t>
            </w:r>
          </w:p>
        </w:tc>
      </w:tr>
      <w:tr w14:paraId="67E9B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402" w:type="dxa"/>
            <w:vMerge w:val="continue"/>
            <w:tcBorders>
              <w:top w:val="nil"/>
              <w:left w:val="nil"/>
            </w:tcBorders>
          </w:tcPr>
          <w:p w14:paraId="2532D90D"/>
        </w:tc>
        <w:tc>
          <w:tcPr>
            <w:tcW w:w="1153" w:type="dxa"/>
          </w:tcPr>
          <w:p w14:paraId="2ABD93C7">
            <w:pPr>
              <w:spacing w:before="103" w:line="202" w:lineRule="auto"/>
              <w:ind w:left="40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H</w:t>
            </w:r>
            <w:r>
              <w:rPr>
                <w:rFonts w:ascii="Times New Roman" w:hAnsi="Times New Roman" w:eastAsia="Times New Roman" w:cs="Times New Roman"/>
                <w:spacing w:val="-3"/>
                <w:position w:val="-1"/>
                <w:sz w:val="13"/>
                <w:szCs w:val="13"/>
              </w:rPr>
              <w:t xml:space="preserve">2 </w:t>
            </w:r>
            <w:r>
              <w:rPr>
                <w:rFonts w:ascii="Times New Roman" w:hAnsi="Times New Roman" w:eastAsia="Times New Roman" w:cs="Times New Roman"/>
                <w:spacing w:val="-3"/>
                <w:sz w:val="20"/>
                <w:szCs w:val="20"/>
              </w:rPr>
              <w:t>S</w:t>
            </w:r>
          </w:p>
        </w:tc>
        <w:tc>
          <w:tcPr>
            <w:tcW w:w="965" w:type="dxa"/>
            <w:vMerge w:val="continue"/>
            <w:tcBorders>
              <w:top w:val="nil"/>
            </w:tcBorders>
          </w:tcPr>
          <w:p w14:paraId="45DAFAC8"/>
        </w:tc>
        <w:tc>
          <w:tcPr>
            <w:tcW w:w="803" w:type="dxa"/>
            <w:vMerge w:val="continue"/>
            <w:tcBorders>
              <w:top w:val="nil"/>
            </w:tcBorders>
          </w:tcPr>
          <w:p w14:paraId="7CD39B0D"/>
        </w:tc>
        <w:tc>
          <w:tcPr>
            <w:tcW w:w="803" w:type="dxa"/>
            <w:vMerge w:val="continue"/>
            <w:tcBorders>
              <w:top w:val="nil"/>
            </w:tcBorders>
          </w:tcPr>
          <w:p w14:paraId="5CF03E1A"/>
        </w:tc>
        <w:tc>
          <w:tcPr>
            <w:tcW w:w="1084" w:type="dxa"/>
            <w:vMerge w:val="continue"/>
            <w:tcBorders>
              <w:top w:val="nil"/>
            </w:tcBorders>
          </w:tcPr>
          <w:p w14:paraId="078B595E"/>
        </w:tc>
        <w:tc>
          <w:tcPr>
            <w:tcW w:w="846" w:type="dxa"/>
            <w:vMerge w:val="continue"/>
            <w:tcBorders>
              <w:top w:val="nil"/>
            </w:tcBorders>
          </w:tcPr>
          <w:p w14:paraId="07F03089"/>
        </w:tc>
        <w:tc>
          <w:tcPr>
            <w:tcW w:w="805" w:type="dxa"/>
            <w:vMerge w:val="continue"/>
            <w:tcBorders>
              <w:top w:val="nil"/>
            </w:tcBorders>
          </w:tcPr>
          <w:p w14:paraId="2482B2E4"/>
        </w:tc>
        <w:tc>
          <w:tcPr>
            <w:tcW w:w="1021" w:type="dxa"/>
            <w:tcBorders>
              <w:right w:val="nil"/>
            </w:tcBorders>
          </w:tcPr>
          <w:p w14:paraId="4515945E">
            <w:pPr>
              <w:spacing w:before="103" w:line="195" w:lineRule="auto"/>
              <w:ind w:left="22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.0038</w:t>
            </w:r>
          </w:p>
        </w:tc>
      </w:tr>
    </w:tbl>
    <w:p w14:paraId="0BD8C084">
      <w:pPr>
        <w:spacing w:before="36" w:line="225" w:lineRule="auto"/>
        <w:ind w:left="596"/>
        <w:rPr>
          <w:rFonts w:ascii="宋体" w:hAnsi="宋体" w:eastAsia="宋体" w:cs="宋体"/>
          <w:sz w:val="23"/>
          <w:szCs w:val="23"/>
        </w:rPr>
      </w:pPr>
      <w:r>
        <w:rPr>
          <w:rFonts w:ascii="宋体" w:hAnsi="宋体" w:eastAsia="宋体" w:cs="宋体"/>
          <w:spacing w:val="10"/>
          <w:sz w:val="23"/>
          <w:szCs w:val="23"/>
        </w:rPr>
        <w:t>⑤</w:t>
      </w:r>
      <w:r>
        <w:rPr>
          <w:rFonts w:ascii="宋体" w:hAnsi="宋体" w:eastAsia="宋体" w:cs="宋体"/>
          <w:spacing w:val="9"/>
          <w:sz w:val="23"/>
          <w:szCs w:val="23"/>
        </w:rPr>
        <w:t>估算模式预测结果</w:t>
      </w:r>
    </w:p>
    <w:p w14:paraId="155E45C6">
      <w:pPr>
        <w:spacing w:before="185" w:line="375" w:lineRule="auto"/>
        <w:ind w:left="118" w:right="434" w:firstLine="479"/>
        <w:rPr>
          <w:rFonts w:ascii="宋体" w:hAnsi="宋体" w:eastAsia="宋体" w:cs="宋体"/>
          <w:sz w:val="23"/>
          <w:szCs w:val="23"/>
        </w:rPr>
      </w:pPr>
      <w:r>
        <w:rPr>
          <w:rFonts w:ascii="宋体" w:hAnsi="宋体" w:eastAsia="宋体" w:cs="宋体"/>
          <w:spacing w:val="12"/>
          <w:sz w:val="23"/>
          <w:szCs w:val="23"/>
        </w:rPr>
        <w:t>采用《环境</w:t>
      </w:r>
      <w:r>
        <w:rPr>
          <w:rFonts w:ascii="宋体" w:hAnsi="宋体" w:eastAsia="宋体" w:cs="宋体"/>
          <w:spacing w:val="7"/>
          <w:sz w:val="23"/>
          <w:szCs w:val="23"/>
        </w:rPr>
        <w:t>影</w:t>
      </w:r>
      <w:r>
        <w:rPr>
          <w:rFonts w:ascii="宋体" w:hAnsi="宋体" w:eastAsia="宋体" w:cs="宋体"/>
          <w:spacing w:val="6"/>
          <w:sz w:val="23"/>
          <w:szCs w:val="23"/>
        </w:rPr>
        <w:t>响评价技术导则</w:t>
      </w:r>
      <w:r>
        <w:rPr>
          <w:rFonts w:ascii="Times New Roman" w:hAnsi="Times New Roman" w:eastAsia="Times New Roman" w:cs="Times New Roman"/>
          <w:spacing w:val="6"/>
          <w:sz w:val="23"/>
          <w:szCs w:val="23"/>
        </w:rPr>
        <w:t>—</w:t>
      </w:r>
      <w:r>
        <w:rPr>
          <w:rFonts w:ascii="宋体" w:hAnsi="宋体" w:eastAsia="宋体" w:cs="宋体"/>
          <w:spacing w:val="6"/>
          <w:sz w:val="23"/>
          <w:szCs w:val="23"/>
        </w:rPr>
        <w:t>大气环境》  (</w:t>
      </w:r>
      <w:r>
        <w:rPr>
          <w:rFonts w:ascii="Times New Roman" w:hAnsi="Times New Roman" w:eastAsia="Times New Roman" w:cs="Times New Roman"/>
          <w:sz w:val="23"/>
          <w:szCs w:val="23"/>
        </w:rPr>
        <w:t>HJ</w:t>
      </w:r>
      <w:r>
        <w:rPr>
          <w:rFonts w:ascii="Times New Roman" w:hAnsi="Times New Roman" w:eastAsia="Times New Roman" w:cs="Times New Roman"/>
          <w:spacing w:val="6"/>
          <w:sz w:val="23"/>
          <w:szCs w:val="23"/>
        </w:rPr>
        <w:t xml:space="preserve"> 2.2-2018</w:t>
      </w:r>
      <w:r>
        <w:rPr>
          <w:rFonts w:ascii="宋体" w:hAnsi="宋体" w:eastAsia="宋体" w:cs="宋体"/>
          <w:spacing w:val="6"/>
          <w:sz w:val="23"/>
          <w:szCs w:val="23"/>
        </w:rPr>
        <w:t>) 推荐模式清单中的</w:t>
      </w:r>
      <w:r>
        <w:rPr>
          <w:rFonts w:ascii="宋体" w:hAnsi="宋体" w:eastAsia="宋体" w:cs="宋体"/>
          <w:sz w:val="23"/>
          <w:szCs w:val="23"/>
        </w:rPr>
        <w:t xml:space="preserve"> </w:t>
      </w:r>
      <w:r>
        <w:rPr>
          <w:rFonts w:ascii="宋体" w:hAnsi="宋体" w:eastAsia="宋体" w:cs="宋体"/>
          <w:spacing w:val="13"/>
          <w:sz w:val="23"/>
          <w:szCs w:val="23"/>
        </w:rPr>
        <w:t>估</w:t>
      </w:r>
      <w:r>
        <w:rPr>
          <w:rFonts w:ascii="宋体" w:hAnsi="宋体" w:eastAsia="宋体" w:cs="宋体"/>
          <w:spacing w:val="11"/>
          <w:sz w:val="23"/>
          <w:szCs w:val="23"/>
        </w:rPr>
        <w:t>算模式计算污染源下风向轴线浓度，并计算相应浓度的占标率。估算模式软件采</w:t>
      </w:r>
      <w:r>
        <w:rPr>
          <w:rFonts w:ascii="宋体" w:hAnsi="宋体" w:eastAsia="宋体" w:cs="宋体"/>
          <w:sz w:val="23"/>
          <w:szCs w:val="23"/>
        </w:rPr>
        <w:t xml:space="preserve"> </w:t>
      </w:r>
      <w:r>
        <w:rPr>
          <w:rFonts w:ascii="宋体" w:hAnsi="宋体" w:eastAsia="宋体" w:cs="宋体"/>
          <w:spacing w:val="9"/>
          <w:sz w:val="23"/>
          <w:szCs w:val="23"/>
        </w:rPr>
        <w:t xml:space="preserve">用国家环境保护环境影响评数值模拟重点实验室推荐的 </w:t>
      </w:r>
      <w:r>
        <w:rPr>
          <w:rFonts w:ascii="Times New Roman" w:hAnsi="Times New Roman" w:eastAsia="Times New Roman" w:cs="Times New Roman"/>
          <w:sz w:val="23"/>
          <w:szCs w:val="23"/>
        </w:rPr>
        <w:t>AERSCREEN</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模式</w:t>
      </w:r>
      <w:r>
        <w:rPr>
          <w:rFonts w:ascii="宋体" w:hAnsi="宋体" w:eastAsia="宋体" w:cs="宋体"/>
          <w:spacing w:val="3"/>
          <w:sz w:val="23"/>
          <w:szCs w:val="23"/>
        </w:rPr>
        <w:t>。</w:t>
      </w:r>
    </w:p>
    <w:p w14:paraId="5CA76AC9">
      <w:pPr>
        <w:spacing w:line="228" w:lineRule="auto"/>
        <w:ind w:left="600"/>
        <w:rPr>
          <w:rFonts w:ascii="宋体" w:hAnsi="宋体" w:eastAsia="宋体" w:cs="宋体"/>
          <w:sz w:val="23"/>
          <w:szCs w:val="23"/>
        </w:rPr>
      </w:pPr>
      <w:r>
        <w:rPr>
          <w:rFonts w:ascii="宋体" w:hAnsi="宋体" w:eastAsia="宋体" w:cs="宋体"/>
          <w:spacing w:val="9"/>
          <w:sz w:val="23"/>
          <w:szCs w:val="23"/>
        </w:rPr>
        <w:t>预</w:t>
      </w:r>
      <w:r>
        <w:rPr>
          <w:rFonts w:ascii="宋体" w:hAnsi="宋体" w:eastAsia="宋体" w:cs="宋体"/>
          <w:spacing w:val="7"/>
          <w:sz w:val="23"/>
          <w:szCs w:val="23"/>
        </w:rPr>
        <w:t>测结果如下示：</w:t>
      </w:r>
    </w:p>
    <w:p w14:paraId="1DB88128">
      <w:pPr>
        <w:spacing w:before="146" w:line="809" w:lineRule="exact"/>
        <w:ind w:firstLine="108"/>
        <w:textAlignment w:val="center"/>
      </w:pPr>
      <w:r>
        <w:drawing>
          <wp:inline distT="0" distB="0" distL="0" distR="0">
            <wp:extent cx="5792470" cy="51308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r:embed="rId356"/>
                    <a:stretch>
                      <a:fillRect/>
                    </a:stretch>
                  </pic:blipFill>
                  <pic:spPr>
                    <a:xfrm>
                      <a:off x="0" y="0"/>
                      <a:ext cx="5792723" cy="513588"/>
                    </a:xfrm>
                    <a:prstGeom prst="rect">
                      <a:avLst/>
                    </a:prstGeom>
                  </pic:spPr>
                </pic:pic>
              </a:graphicData>
            </a:graphic>
          </wp:inline>
        </w:drawing>
      </w:r>
    </w:p>
    <w:p w14:paraId="4A3F90BB">
      <w:pPr>
        <w:spacing w:before="37" w:line="468" w:lineRule="exact"/>
        <w:ind w:left="972"/>
        <w:rPr>
          <w:rFonts w:ascii="黑体" w:hAnsi="黑体" w:eastAsia="黑体" w:cs="黑体"/>
          <w:sz w:val="23"/>
          <w:szCs w:val="23"/>
        </w:rPr>
      </w:pPr>
      <w:r>
        <w:rPr>
          <w:rFonts w:ascii="黑体" w:hAnsi="黑体" w:eastAsia="黑体" w:cs="黑体"/>
          <w:spacing w:val="2"/>
          <w:position w:val="17"/>
          <w:sz w:val="23"/>
          <w:szCs w:val="23"/>
        </w:rPr>
        <w:t xml:space="preserve">图 </w:t>
      </w:r>
      <w:r>
        <w:rPr>
          <w:rFonts w:ascii="Times New Roman" w:hAnsi="Times New Roman" w:eastAsia="Times New Roman" w:cs="Times New Roman"/>
          <w:spacing w:val="2"/>
          <w:position w:val="17"/>
          <w:sz w:val="23"/>
          <w:szCs w:val="23"/>
        </w:rPr>
        <w:t xml:space="preserve">1.5- 1    </w:t>
      </w:r>
      <w:r>
        <w:rPr>
          <w:rFonts w:ascii="黑体" w:hAnsi="黑体" w:eastAsia="黑体" w:cs="黑体"/>
          <w:spacing w:val="2"/>
          <w:position w:val="17"/>
          <w:sz w:val="23"/>
          <w:szCs w:val="23"/>
        </w:rPr>
        <w:t xml:space="preserve">项目猪舍、异位发酵床、集污池 </w:t>
      </w:r>
      <w:r>
        <w:rPr>
          <w:rFonts w:ascii="Times New Roman" w:hAnsi="Times New Roman" w:eastAsia="Times New Roman" w:cs="Times New Roman"/>
          <w:position w:val="17"/>
          <w:sz w:val="23"/>
          <w:szCs w:val="23"/>
        </w:rPr>
        <w:t>NH</w:t>
      </w:r>
      <w:r>
        <w:rPr>
          <w:rFonts w:ascii="Times New Roman" w:hAnsi="Times New Roman" w:eastAsia="Times New Roman" w:cs="Times New Roman"/>
          <w:spacing w:val="2"/>
          <w:position w:val="16"/>
          <w:sz w:val="15"/>
          <w:szCs w:val="15"/>
        </w:rPr>
        <w:t xml:space="preserve">3 </w:t>
      </w:r>
      <w:r>
        <w:rPr>
          <w:rFonts w:ascii="黑体" w:hAnsi="黑体" w:eastAsia="黑体" w:cs="黑体"/>
          <w:spacing w:val="2"/>
          <w:position w:val="17"/>
          <w:sz w:val="23"/>
          <w:szCs w:val="23"/>
        </w:rPr>
        <w:t>、</w:t>
      </w:r>
      <w:r>
        <w:rPr>
          <w:rFonts w:ascii="Times New Roman" w:hAnsi="Times New Roman" w:eastAsia="Times New Roman" w:cs="Times New Roman"/>
          <w:position w:val="17"/>
          <w:sz w:val="23"/>
          <w:szCs w:val="23"/>
        </w:rPr>
        <w:t>H</w:t>
      </w:r>
      <w:r>
        <w:rPr>
          <w:rFonts w:ascii="Times New Roman" w:hAnsi="Times New Roman" w:eastAsia="Times New Roman" w:cs="Times New Roman"/>
          <w:spacing w:val="2"/>
          <w:position w:val="16"/>
          <w:sz w:val="15"/>
          <w:szCs w:val="15"/>
        </w:rPr>
        <w:t>2</w:t>
      </w:r>
      <w:r>
        <w:rPr>
          <w:rFonts w:ascii="Times New Roman" w:hAnsi="Times New Roman" w:eastAsia="Times New Roman" w:cs="Times New Roman"/>
          <w:position w:val="17"/>
          <w:sz w:val="23"/>
          <w:szCs w:val="23"/>
        </w:rPr>
        <w:t>S</w:t>
      </w:r>
      <w:r>
        <w:rPr>
          <w:rFonts w:ascii="Times New Roman" w:hAnsi="Times New Roman" w:eastAsia="Times New Roman" w:cs="Times New Roman"/>
          <w:spacing w:val="2"/>
          <w:position w:val="17"/>
          <w:sz w:val="23"/>
          <w:szCs w:val="23"/>
        </w:rPr>
        <w:t xml:space="preserve"> </w:t>
      </w:r>
      <w:r>
        <w:rPr>
          <w:rFonts w:ascii="黑体" w:hAnsi="黑体" w:eastAsia="黑体" w:cs="黑体"/>
          <w:spacing w:val="2"/>
          <w:position w:val="17"/>
          <w:sz w:val="23"/>
          <w:szCs w:val="23"/>
        </w:rPr>
        <w:t>估算模式计算</w:t>
      </w:r>
      <w:r>
        <w:rPr>
          <w:rFonts w:ascii="黑体" w:hAnsi="黑体" w:eastAsia="黑体" w:cs="黑体"/>
          <w:position w:val="17"/>
          <w:sz w:val="23"/>
          <w:szCs w:val="23"/>
        </w:rPr>
        <w:t>结果</w:t>
      </w:r>
    </w:p>
    <w:p w14:paraId="03A02E6E">
      <w:pPr>
        <w:spacing w:line="225" w:lineRule="auto"/>
        <w:ind w:left="596"/>
        <w:rPr>
          <w:rFonts w:ascii="宋体" w:hAnsi="宋体" w:eastAsia="宋体" w:cs="宋体"/>
          <w:sz w:val="23"/>
          <w:szCs w:val="23"/>
        </w:rPr>
      </w:pPr>
      <w:r>
        <w:rPr>
          <w:rFonts w:ascii="宋体" w:hAnsi="宋体" w:eastAsia="宋体" w:cs="宋体"/>
          <w:spacing w:val="10"/>
          <w:sz w:val="23"/>
          <w:szCs w:val="23"/>
        </w:rPr>
        <w:t>⑥</w:t>
      </w:r>
      <w:r>
        <w:rPr>
          <w:rFonts w:ascii="宋体" w:hAnsi="宋体" w:eastAsia="宋体" w:cs="宋体"/>
          <w:spacing w:val="8"/>
          <w:sz w:val="23"/>
          <w:szCs w:val="23"/>
        </w:rPr>
        <w:t>评价等级</w:t>
      </w:r>
    </w:p>
    <w:p w14:paraId="3321D2EE">
      <w:pPr>
        <w:spacing w:before="140" w:line="387" w:lineRule="auto"/>
        <w:ind w:left="121" w:right="434" w:firstLine="476"/>
        <w:rPr>
          <w:rFonts w:ascii="宋体" w:hAnsi="宋体" w:eastAsia="宋体" w:cs="宋体"/>
          <w:sz w:val="23"/>
          <w:szCs w:val="23"/>
        </w:rPr>
      </w:pPr>
      <w:r>
        <w:rPr>
          <w:rFonts w:ascii="宋体" w:hAnsi="宋体" w:eastAsia="宋体" w:cs="宋体"/>
          <w:spacing w:val="2"/>
          <w:sz w:val="23"/>
          <w:szCs w:val="23"/>
        </w:rPr>
        <w:t xml:space="preserve">评价工作等级按下表的分级判据进行划分，如果污染物数 </w:t>
      </w:r>
      <w:r>
        <w:rPr>
          <w:rFonts w:ascii="Times New Roman" w:hAnsi="Times New Roman" w:eastAsia="Times New Roman" w:cs="Times New Roman"/>
          <w:sz w:val="23"/>
          <w:szCs w:val="23"/>
        </w:rPr>
        <w:t>i</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 xml:space="preserve">大于 </w:t>
      </w:r>
      <w:r>
        <w:rPr>
          <w:rFonts w:ascii="Times New Roman" w:hAnsi="Times New Roman" w:eastAsia="Times New Roman" w:cs="Times New Roman"/>
          <w:spacing w:val="2"/>
          <w:sz w:val="23"/>
          <w:szCs w:val="23"/>
        </w:rPr>
        <w:t>1</w:t>
      </w:r>
      <w:r>
        <w:rPr>
          <w:rFonts w:ascii="宋体" w:hAnsi="宋体" w:eastAsia="宋体" w:cs="宋体"/>
          <w:spacing w:val="2"/>
          <w:sz w:val="23"/>
          <w:szCs w:val="23"/>
        </w:rPr>
        <w:t xml:space="preserve">，取 </w:t>
      </w:r>
      <w:r>
        <w:rPr>
          <w:rFonts w:ascii="Times New Roman" w:hAnsi="Times New Roman" w:eastAsia="Times New Roman" w:cs="Times New Roman"/>
          <w:sz w:val="23"/>
          <w:szCs w:val="23"/>
        </w:rPr>
        <w:t>P</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值</w:t>
      </w:r>
      <w:r>
        <w:rPr>
          <w:rFonts w:ascii="宋体" w:hAnsi="宋体" w:eastAsia="宋体" w:cs="宋体"/>
          <w:sz w:val="23"/>
          <w:szCs w:val="23"/>
        </w:rPr>
        <w:t xml:space="preserve">中最 </w:t>
      </w:r>
      <w:r>
        <w:rPr>
          <w:rFonts w:ascii="宋体" w:hAnsi="宋体" w:eastAsia="宋体" w:cs="宋体"/>
          <w:spacing w:val="10"/>
          <w:sz w:val="23"/>
          <w:szCs w:val="23"/>
        </w:rPr>
        <w:t>大者</w:t>
      </w:r>
      <w:r>
        <w:rPr>
          <w:rFonts w:ascii="宋体" w:hAnsi="宋体" w:eastAsia="宋体" w:cs="宋体"/>
          <w:spacing w:val="7"/>
          <w:sz w:val="23"/>
          <w:szCs w:val="23"/>
        </w:rPr>
        <w:t xml:space="preserve"> </w:t>
      </w:r>
      <w:r>
        <w:rPr>
          <w:rFonts w:ascii="宋体" w:hAnsi="宋体" w:eastAsia="宋体" w:cs="宋体"/>
          <w:spacing w:val="5"/>
          <w:sz w:val="23"/>
          <w:szCs w:val="23"/>
        </w:rPr>
        <w:t>(</w:t>
      </w:r>
      <w:r>
        <w:rPr>
          <w:rFonts w:ascii="Times New Roman" w:hAnsi="Times New Roman" w:eastAsia="Times New Roman" w:cs="Times New Roman"/>
          <w:sz w:val="23"/>
          <w:szCs w:val="23"/>
        </w:rPr>
        <w:t>P</w:t>
      </w:r>
      <w:r>
        <w:rPr>
          <w:rFonts w:ascii="Times New Roman" w:hAnsi="Times New Roman" w:eastAsia="Times New Roman" w:cs="Times New Roman"/>
          <w:position w:val="-1"/>
          <w:sz w:val="15"/>
          <w:szCs w:val="15"/>
        </w:rPr>
        <w:t>max</w:t>
      </w:r>
      <w:r>
        <w:rPr>
          <w:rFonts w:ascii="Times New Roman" w:hAnsi="Times New Roman" w:eastAsia="Times New Roman" w:cs="Times New Roman"/>
          <w:spacing w:val="5"/>
          <w:position w:val="-1"/>
          <w:sz w:val="15"/>
          <w:szCs w:val="15"/>
        </w:rPr>
        <w:t xml:space="preserve"> </w:t>
      </w:r>
      <w:r>
        <w:rPr>
          <w:rFonts w:ascii="宋体" w:hAnsi="宋体" w:eastAsia="宋体" w:cs="宋体"/>
          <w:spacing w:val="5"/>
          <w:sz w:val="23"/>
          <w:szCs w:val="23"/>
        </w:rPr>
        <w:t>) 。评价工作等级划分依据如下表所示：根据计算，本项目最大地面浓度</w:t>
      </w:r>
      <w:r>
        <w:rPr>
          <w:rFonts w:ascii="宋体" w:hAnsi="宋体" w:eastAsia="宋体" w:cs="宋体"/>
          <w:sz w:val="23"/>
          <w:szCs w:val="23"/>
        </w:rPr>
        <w:t xml:space="preserve"> </w:t>
      </w:r>
      <w:r>
        <w:rPr>
          <w:rFonts w:ascii="宋体" w:hAnsi="宋体" w:eastAsia="宋体" w:cs="宋体"/>
          <w:spacing w:val="-4"/>
          <w:sz w:val="23"/>
          <w:szCs w:val="23"/>
        </w:rPr>
        <w:t>占</w:t>
      </w:r>
      <w:r>
        <w:rPr>
          <w:rFonts w:ascii="宋体" w:hAnsi="宋体" w:eastAsia="宋体" w:cs="宋体"/>
          <w:spacing w:val="-2"/>
          <w:sz w:val="23"/>
          <w:szCs w:val="23"/>
        </w:rPr>
        <w:t xml:space="preserve">标率 </w:t>
      </w:r>
      <w:r>
        <w:rPr>
          <w:rFonts w:ascii="Times New Roman" w:hAnsi="Times New Roman" w:eastAsia="Times New Roman" w:cs="Times New Roman"/>
          <w:i/>
          <w:iCs/>
          <w:spacing w:val="-2"/>
          <w:sz w:val="23"/>
          <w:szCs w:val="23"/>
        </w:rPr>
        <w:t>P</w:t>
      </w:r>
      <w:r>
        <w:rPr>
          <w:rFonts w:ascii="Times New Roman" w:hAnsi="Times New Roman" w:eastAsia="Times New Roman" w:cs="Times New Roman"/>
          <w:spacing w:val="-2"/>
          <w:position w:val="-1"/>
          <w:sz w:val="15"/>
          <w:szCs w:val="15"/>
        </w:rPr>
        <w:t xml:space="preserve">max </w:t>
      </w:r>
      <w:r>
        <w:rPr>
          <w:rFonts w:ascii="宋体" w:hAnsi="宋体" w:eastAsia="宋体" w:cs="宋体"/>
          <w:spacing w:val="-2"/>
          <w:sz w:val="23"/>
          <w:szCs w:val="23"/>
        </w:rPr>
        <w:t xml:space="preserve">见表 </w:t>
      </w:r>
      <w:r>
        <w:rPr>
          <w:rFonts w:ascii="Times New Roman" w:hAnsi="Times New Roman" w:eastAsia="Times New Roman" w:cs="Times New Roman"/>
          <w:spacing w:val="-2"/>
          <w:sz w:val="23"/>
          <w:szCs w:val="23"/>
        </w:rPr>
        <w:t>1.5-5</w:t>
      </w:r>
      <w:r>
        <w:rPr>
          <w:rFonts w:ascii="宋体" w:hAnsi="宋体" w:eastAsia="宋体" w:cs="宋体"/>
          <w:spacing w:val="-2"/>
          <w:sz w:val="23"/>
          <w:szCs w:val="23"/>
        </w:rPr>
        <w:t>。</w:t>
      </w:r>
    </w:p>
    <w:p w14:paraId="33A5CB4E">
      <w:pPr>
        <w:spacing w:line="221" w:lineRule="auto"/>
        <w:ind w:left="2325"/>
        <w:rPr>
          <w:rFonts w:ascii="黑体" w:hAnsi="黑体" w:eastAsia="黑体" w:cs="黑体"/>
          <w:sz w:val="23"/>
          <w:szCs w:val="23"/>
        </w:rPr>
      </w:pPr>
      <w:r>
        <w:rPr>
          <w:rFonts w:ascii="黑体" w:hAnsi="黑体" w:eastAsia="黑体" w:cs="黑体"/>
          <w:spacing w:val="6"/>
          <w:sz w:val="23"/>
          <w:szCs w:val="23"/>
        </w:rPr>
        <w:t>表</w:t>
      </w:r>
      <w:r>
        <w:rPr>
          <w:rFonts w:ascii="黑体" w:hAnsi="黑体" w:eastAsia="黑体" w:cs="黑体"/>
          <w:spacing w:val="4"/>
          <w:sz w:val="23"/>
          <w:szCs w:val="23"/>
        </w:rPr>
        <w:t xml:space="preserve"> </w:t>
      </w:r>
      <w:r>
        <w:rPr>
          <w:rFonts w:ascii="Times New Roman" w:hAnsi="Times New Roman" w:eastAsia="Times New Roman" w:cs="Times New Roman"/>
          <w:spacing w:val="4"/>
          <w:sz w:val="23"/>
          <w:szCs w:val="23"/>
        </w:rPr>
        <w:t xml:space="preserve">1.5-5      </w:t>
      </w:r>
      <w:r>
        <w:rPr>
          <w:rFonts w:ascii="黑体" w:hAnsi="黑体" w:eastAsia="黑体" w:cs="黑体"/>
          <w:spacing w:val="4"/>
          <w:sz w:val="23"/>
          <w:szCs w:val="23"/>
        </w:rPr>
        <w:t>大气环境评价工作等级计算值</w:t>
      </w:r>
    </w:p>
    <w:tbl>
      <w:tblPr>
        <w:tblStyle w:val="4"/>
        <w:tblW w:w="890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2"/>
        <w:gridCol w:w="1653"/>
        <w:gridCol w:w="2020"/>
        <w:gridCol w:w="2004"/>
        <w:gridCol w:w="2243"/>
      </w:tblGrid>
      <w:tr w14:paraId="2EF888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982" w:type="dxa"/>
            <w:tcBorders>
              <w:left w:val="nil"/>
            </w:tcBorders>
          </w:tcPr>
          <w:p w14:paraId="7A7536D0">
            <w:pPr>
              <w:spacing w:before="189" w:line="228" w:lineRule="auto"/>
              <w:ind w:left="289"/>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类别</w:t>
            </w:r>
          </w:p>
        </w:tc>
        <w:tc>
          <w:tcPr>
            <w:tcW w:w="1653" w:type="dxa"/>
          </w:tcPr>
          <w:p w14:paraId="7DC4D4B3">
            <w:pPr>
              <w:spacing w:before="190" w:line="228" w:lineRule="auto"/>
              <w:ind w:left="518"/>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污染源</w:t>
            </w:r>
          </w:p>
        </w:tc>
        <w:tc>
          <w:tcPr>
            <w:tcW w:w="2020" w:type="dxa"/>
          </w:tcPr>
          <w:p w14:paraId="0320E313">
            <w:pPr>
              <w:spacing w:before="190" w:line="228" w:lineRule="auto"/>
              <w:ind w:left="701"/>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污染物</w:t>
            </w:r>
          </w:p>
        </w:tc>
        <w:tc>
          <w:tcPr>
            <w:tcW w:w="2004" w:type="dxa"/>
          </w:tcPr>
          <w:p w14:paraId="1FB3EFC0">
            <w:pPr>
              <w:spacing w:before="190" w:line="228" w:lineRule="auto"/>
              <w:ind w:left="308"/>
              <w:rPr>
                <w:rFonts w:ascii="宋体" w:hAnsi="宋体" w:eastAsia="宋体" w:cs="宋体"/>
                <w:sz w:val="20"/>
                <w:szCs w:val="20"/>
              </w:rPr>
            </w:pPr>
            <w:r>
              <w:rPr>
                <w:rFonts w:ascii="宋体" w:hAnsi="宋体" w:eastAsia="宋体" w:cs="宋体"/>
                <w:spacing w:val="-12"/>
                <w:sz w:val="20"/>
                <w:szCs w:val="20"/>
                <w14:textOutline w14:w="3797" w14:cap="sq" w14:cmpd="sng" w14:algn="ctr">
                  <w14:solidFill>
                    <w14:srgbClr w14:val="000000"/>
                  </w14:solidFill>
                  <w14:prstDash w14:val="solid"/>
                  <w14:bevel/>
                </w14:textOutline>
              </w:rPr>
              <w:t>出</w:t>
            </w:r>
            <w:r>
              <w:rPr>
                <w:rFonts w:ascii="宋体" w:hAnsi="宋体" w:eastAsia="宋体" w:cs="宋体"/>
                <w:spacing w:val="-8"/>
                <w:sz w:val="20"/>
                <w:szCs w:val="20"/>
                <w14:textOutline w14:w="3797" w14:cap="sq" w14:cmpd="sng" w14:algn="ctr">
                  <w14:solidFill>
                    <w14:srgbClr w14:val="000000"/>
                  </w14:solidFill>
                  <w14:prstDash w14:val="solid"/>
                  <w14:bevel/>
                </w14:textOutline>
              </w:rPr>
              <w:t>现距离</w:t>
            </w:r>
            <w:r>
              <w:rPr>
                <w:rFonts w:ascii="宋体" w:hAnsi="宋体" w:eastAsia="宋体" w:cs="宋体"/>
                <w:spacing w:val="-8"/>
                <w:sz w:val="20"/>
                <w:szCs w:val="20"/>
              </w:rPr>
              <w:t xml:space="preserve"> </w:t>
            </w:r>
            <w:r>
              <w:rPr>
                <w:rFonts w:ascii="宋体" w:hAnsi="宋体" w:eastAsia="宋体" w:cs="宋体"/>
                <w:spacing w:val="-8"/>
                <w:sz w:val="20"/>
                <w:szCs w:val="20"/>
                <w14:textOutline w14:w="3797" w14:cap="sq" w14:cmpd="sng" w14:algn="ctr">
                  <w14:solidFill>
                    <w14:srgbClr w14:val="000000"/>
                  </w14:solidFill>
                  <w14:prstDash w14:val="solid"/>
                  <w14:bevel/>
                </w14:textOutline>
              </w:rPr>
              <w:t>(</w:t>
            </w:r>
            <w:r>
              <w:rPr>
                <w:rFonts w:ascii="宋体" w:hAnsi="宋体" w:eastAsia="宋体" w:cs="宋体"/>
                <w:spacing w:val="-8"/>
                <w:sz w:val="20"/>
                <w:szCs w:val="20"/>
              </w:rPr>
              <w:t xml:space="preserve"> </w:t>
            </w:r>
            <w:r>
              <w:rPr>
                <w:rFonts w:ascii="Times New Roman" w:hAnsi="Times New Roman" w:eastAsia="Times New Roman" w:cs="Times New Roman"/>
                <w:b/>
                <w:bCs/>
                <w:spacing w:val="-8"/>
                <w:sz w:val="20"/>
                <w:szCs w:val="20"/>
              </w:rPr>
              <w:t>m</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14:textOutline w14:w="3797" w14:cap="sq" w14:cmpd="sng" w14:algn="ctr">
                  <w14:solidFill>
                    <w14:srgbClr w14:val="000000"/>
                  </w14:solidFill>
                  <w14:prstDash w14:val="solid"/>
                  <w14:bevel/>
                </w14:textOutline>
              </w:rPr>
              <w:t>)</w:t>
            </w:r>
          </w:p>
        </w:tc>
        <w:tc>
          <w:tcPr>
            <w:tcW w:w="2243" w:type="dxa"/>
            <w:tcBorders>
              <w:right w:val="nil"/>
            </w:tcBorders>
          </w:tcPr>
          <w:p w14:paraId="550153CB">
            <w:pPr>
              <w:spacing w:before="56" w:line="238" w:lineRule="auto"/>
              <w:ind w:left="621" w:right="172" w:hanging="436"/>
              <w:rPr>
                <w:rFonts w:ascii="宋体" w:hAnsi="宋体" w:eastAsia="宋体" w:cs="宋体"/>
                <w:sz w:val="20"/>
                <w:szCs w:val="20"/>
              </w:rPr>
            </w:pPr>
            <w:r>
              <w:rPr>
                <w:rFonts w:ascii="宋体" w:hAnsi="宋体" w:eastAsia="宋体" w:cs="宋体"/>
                <w:spacing w:val="11"/>
                <w:sz w:val="20"/>
                <w:szCs w:val="20"/>
                <w14:textOutline w14:w="3759" w14:cap="sq" w14:cmpd="sng" w14:algn="ctr">
                  <w14:solidFill>
                    <w14:srgbClr w14:val="000000"/>
                  </w14:solidFill>
                  <w14:prstDash w14:val="solid"/>
                  <w14:bevel/>
                </w14:textOutline>
              </w:rPr>
              <w:t>最</w:t>
            </w:r>
            <w:r>
              <w:rPr>
                <w:rFonts w:ascii="宋体" w:hAnsi="宋体" w:eastAsia="宋体" w:cs="宋体"/>
                <w:spacing w:val="9"/>
                <w:sz w:val="20"/>
                <w:szCs w:val="20"/>
                <w14:textOutline w14:w="3759" w14:cap="sq" w14:cmpd="sng" w14:algn="ctr">
                  <w14:solidFill>
                    <w14:srgbClr w14:val="000000"/>
                  </w14:solidFill>
                  <w14:prstDash w14:val="solid"/>
                  <w14:bevel/>
                </w14:textOutline>
              </w:rPr>
              <w:t>大落地浓度占标率</w:t>
            </w:r>
            <w:r>
              <w:rPr>
                <w:rFonts w:ascii="宋体" w:hAnsi="宋体" w:eastAsia="宋体" w:cs="宋体"/>
                <w:sz w:val="20"/>
                <w:szCs w:val="20"/>
              </w:rPr>
              <w:t xml:space="preserve"> </w:t>
            </w:r>
            <w:r>
              <w:rPr>
                <w:rFonts w:ascii="Times New Roman" w:hAnsi="Times New Roman" w:eastAsia="Times New Roman" w:cs="Times New Roman"/>
                <w:b/>
                <w:bCs/>
                <w:sz w:val="20"/>
                <w:szCs w:val="20"/>
              </w:rPr>
              <w:t>P</w:t>
            </w:r>
            <w:r>
              <w:rPr>
                <w:rFonts w:ascii="Times New Roman" w:hAnsi="Times New Roman" w:eastAsia="Times New Roman" w:cs="Times New Roman"/>
                <w:b/>
                <w:bCs/>
                <w:position w:val="-1"/>
                <w:sz w:val="13"/>
                <w:szCs w:val="13"/>
              </w:rPr>
              <w:t>max</w:t>
            </w:r>
            <w:r>
              <w:rPr>
                <w:rFonts w:ascii="Times New Roman" w:hAnsi="Times New Roman" w:eastAsia="Times New Roman" w:cs="Times New Roman"/>
                <w:spacing w:val="8"/>
                <w:position w:val="-1"/>
                <w:sz w:val="13"/>
                <w:szCs w:val="13"/>
              </w:rPr>
              <w:t xml:space="preserve"> </w:t>
            </w:r>
            <w:r>
              <w:rPr>
                <w:rFonts w:ascii="Times New Roman" w:hAnsi="Times New Roman" w:eastAsia="Times New Roman" w:cs="Times New Roman"/>
                <w:spacing w:val="5"/>
                <w:position w:val="-1"/>
                <w:sz w:val="13"/>
                <w:szCs w:val="13"/>
              </w:rPr>
              <w:t xml:space="preserve">  </w:t>
            </w:r>
            <w:r>
              <w:rPr>
                <w:rFonts w:ascii="宋体" w:hAnsi="宋体" w:eastAsia="宋体" w:cs="宋体"/>
                <w:spacing w:val="5"/>
                <w:sz w:val="20"/>
                <w:szCs w:val="20"/>
                <w14:textOutline w14:w="3759" w14:cap="sq" w14:cmpd="sng" w14:algn="ctr">
                  <w14:solidFill>
                    <w14:srgbClr w14:val="000000"/>
                  </w14:solidFill>
                  <w14:prstDash w14:val="solid"/>
                  <w14:bevel/>
                </w14:textOutline>
              </w:rPr>
              <w:t>(</w:t>
            </w:r>
            <w:r>
              <w:rPr>
                <w:rFonts w:ascii="Times New Roman" w:hAnsi="Times New Roman" w:eastAsia="Times New Roman" w:cs="Times New Roman"/>
                <w:b/>
                <w:bCs/>
                <w:spacing w:val="5"/>
                <w:sz w:val="20"/>
                <w:szCs w:val="20"/>
              </w:rPr>
              <w:t>%</w:t>
            </w:r>
            <w:r>
              <w:rPr>
                <w:rFonts w:ascii="宋体" w:hAnsi="宋体" w:eastAsia="宋体" w:cs="宋体"/>
                <w:spacing w:val="5"/>
                <w:sz w:val="20"/>
                <w:szCs w:val="20"/>
                <w14:textOutline w14:w="3759" w14:cap="sq" w14:cmpd="sng" w14:algn="ctr">
                  <w14:solidFill>
                    <w14:srgbClr w14:val="000000"/>
                  </w14:solidFill>
                  <w14:prstDash w14:val="solid"/>
                  <w14:bevel/>
                </w14:textOutline>
              </w:rPr>
              <w:t>)</w:t>
            </w:r>
          </w:p>
        </w:tc>
      </w:tr>
      <w:tr w14:paraId="57A2F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982" w:type="dxa"/>
            <w:vMerge w:val="restart"/>
            <w:tcBorders>
              <w:left w:val="nil"/>
              <w:bottom w:val="nil"/>
            </w:tcBorders>
          </w:tcPr>
          <w:p w14:paraId="0FA077AC">
            <w:pPr>
              <w:spacing w:before="141" w:line="229" w:lineRule="auto"/>
              <w:ind w:left="290"/>
              <w:rPr>
                <w:rFonts w:ascii="宋体" w:hAnsi="宋体" w:eastAsia="宋体" w:cs="宋体"/>
                <w:sz w:val="20"/>
                <w:szCs w:val="20"/>
              </w:rPr>
            </w:pPr>
            <w:r>
              <w:rPr>
                <w:rFonts w:ascii="宋体" w:hAnsi="宋体" w:eastAsia="宋体" w:cs="宋体"/>
                <w:spacing w:val="4"/>
                <w:sz w:val="20"/>
                <w:szCs w:val="20"/>
              </w:rPr>
              <w:t>面源</w:t>
            </w:r>
          </w:p>
        </w:tc>
        <w:tc>
          <w:tcPr>
            <w:tcW w:w="1653" w:type="dxa"/>
            <w:vMerge w:val="restart"/>
            <w:tcBorders>
              <w:bottom w:val="nil"/>
            </w:tcBorders>
          </w:tcPr>
          <w:p w14:paraId="1A1BA9A6">
            <w:pPr>
              <w:spacing w:before="140" w:line="228" w:lineRule="auto"/>
              <w:ind w:left="412"/>
              <w:rPr>
                <w:rFonts w:ascii="宋体" w:hAnsi="宋体" w:eastAsia="宋体" w:cs="宋体"/>
                <w:sz w:val="20"/>
                <w:szCs w:val="20"/>
              </w:rPr>
            </w:pPr>
            <w:r>
              <w:rPr>
                <w:rFonts w:ascii="宋体" w:hAnsi="宋体" w:eastAsia="宋体" w:cs="宋体"/>
                <w:spacing w:val="7"/>
                <w:sz w:val="20"/>
                <w:szCs w:val="20"/>
              </w:rPr>
              <w:t>养殖厂区</w:t>
            </w:r>
          </w:p>
        </w:tc>
        <w:tc>
          <w:tcPr>
            <w:tcW w:w="2020" w:type="dxa"/>
          </w:tcPr>
          <w:p w14:paraId="32480692">
            <w:pPr>
              <w:spacing w:before="58" w:line="195" w:lineRule="auto"/>
              <w:ind w:left="819"/>
              <w:rPr>
                <w:rFonts w:ascii="Times New Roman" w:hAnsi="Times New Roman" w:eastAsia="Times New Roman" w:cs="Times New Roman"/>
                <w:sz w:val="13"/>
                <w:szCs w:val="13"/>
              </w:rPr>
            </w:pPr>
            <w:r>
              <w:rPr>
                <w:rFonts w:ascii="Times New Roman" w:hAnsi="Times New Roman" w:eastAsia="Times New Roman" w:cs="Times New Roman"/>
                <w:sz w:val="20"/>
                <w:szCs w:val="20"/>
              </w:rPr>
              <w:t>NH</w:t>
            </w:r>
            <w:r>
              <w:rPr>
                <w:rFonts w:ascii="Times New Roman" w:hAnsi="Times New Roman" w:eastAsia="Times New Roman" w:cs="Times New Roman"/>
                <w:spacing w:val="21"/>
                <w:position w:val="-1"/>
                <w:sz w:val="13"/>
                <w:szCs w:val="13"/>
              </w:rPr>
              <w:t>3</w:t>
            </w:r>
          </w:p>
        </w:tc>
        <w:tc>
          <w:tcPr>
            <w:tcW w:w="2004" w:type="dxa"/>
          </w:tcPr>
          <w:p w14:paraId="1030CA89">
            <w:pPr>
              <w:spacing w:before="54" w:line="195" w:lineRule="auto"/>
              <w:ind w:left="86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131</w:t>
            </w:r>
          </w:p>
        </w:tc>
        <w:tc>
          <w:tcPr>
            <w:tcW w:w="2243" w:type="dxa"/>
            <w:tcBorders>
              <w:right w:val="nil"/>
            </w:tcBorders>
          </w:tcPr>
          <w:p w14:paraId="3AD6A5CA">
            <w:pPr>
              <w:spacing w:before="54" w:line="195" w:lineRule="auto"/>
              <w:ind w:left="83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 xml:space="preserve"> 9746</w:t>
            </w:r>
          </w:p>
        </w:tc>
      </w:tr>
      <w:tr w14:paraId="0B8C85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982" w:type="dxa"/>
            <w:vMerge w:val="continue"/>
            <w:tcBorders>
              <w:top w:val="nil"/>
              <w:left w:val="nil"/>
            </w:tcBorders>
          </w:tcPr>
          <w:p w14:paraId="22C9ADE0"/>
        </w:tc>
        <w:tc>
          <w:tcPr>
            <w:tcW w:w="1653" w:type="dxa"/>
            <w:vMerge w:val="continue"/>
            <w:tcBorders>
              <w:top w:val="nil"/>
            </w:tcBorders>
          </w:tcPr>
          <w:p w14:paraId="2E203CF3"/>
        </w:tc>
        <w:tc>
          <w:tcPr>
            <w:tcW w:w="2020" w:type="dxa"/>
          </w:tcPr>
          <w:p w14:paraId="25CEF033">
            <w:pPr>
              <w:spacing w:before="56" w:line="202" w:lineRule="auto"/>
              <w:ind w:left="844"/>
              <w:rPr>
                <w:rFonts w:ascii="Times New Roman" w:hAnsi="Times New Roman" w:eastAsia="Times New Roman" w:cs="Times New Roman"/>
                <w:sz w:val="20"/>
                <w:szCs w:val="20"/>
              </w:rPr>
            </w:pPr>
            <w:r>
              <w:rPr>
                <w:rFonts w:ascii="Times New Roman" w:hAnsi="Times New Roman" w:eastAsia="Times New Roman" w:cs="Times New Roman"/>
                <w:sz w:val="20"/>
                <w:szCs w:val="20"/>
              </w:rPr>
              <w:t>H</w:t>
            </w:r>
            <w:r>
              <w:rPr>
                <w:rFonts w:ascii="Times New Roman" w:hAnsi="Times New Roman" w:eastAsia="Times New Roman" w:cs="Times New Roman"/>
                <w:spacing w:val="18"/>
                <w:position w:val="-1"/>
                <w:sz w:val="13"/>
                <w:szCs w:val="13"/>
              </w:rPr>
              <w:t>2</w:t>
            </w:r>
            <w:r>
              <w:rPr>
                <w:rFonts w:ascii="Times New Roman" w:hAnsi="Times New Roman" w:eastAsia="Times New Roman" w:cs="Times New Roman"/>
                <w:sz w:val="20"/>
                <w:szCs w:val="20"/>
              </w:rPr>
              <w:t>S</w:t>
            </w:r>
          </w:p>
        </w:tc>
        <w:tc>
          <w:tcPr>
            <w:tcW w:w="2004" w:type="dxa"/>
          </w:tcPr>
          <w:p w14:paraId="0EE197AB">
            <w:pPr>
              <w:spacing w:before="56" w:line="195" w:lineRule="auto"/>
              <w:ind w:left="86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131</w:t>
            </w:r>
          </w:p>
        </w:tc>
        <w:tc>
          <w:tcPr>
            <w:tcW w:w="2243" w:type="dxa"/>
            <w:tcBorders>
              <w:right w:val="nil"/>
            </w:tcBorders>
          </w:tcPr>
          <w:p w14:paraId="7F842501">
            <w:pPr>
              <w:spacing w:before="56" w:line="198" w:lineRule="auto"/>
              <w:ind w:left="83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2.463</w:t>
            </w:r>
            <w:r>
              <w:rPr>
                <w:rFonts w:ascii="Times New Roman" w:hAnsi="Times New Roman" w:eastAsia="Times New Roman" w:cs="Times New Roman"/>
                <w:spacing w:val="2"/>
                <w:sz w:val="20"/>
                <w:szCs w:val="20"/>
              </w:rPr>
              <w:t>1</w:t>
            </w:r>
          </w:p>
        </w:tc>
      </w:tr>
    </w:tbl>
    <w:p w14:paraId="28F62626">
      <w:pPr>
        <w:spacing w:before="35" w:line="375" w:lineRule="auto"/>
        <w:ind w:left="110" w:right="408" w:firstLine="487"/>
        <w:rPr>
          <w:rFonts w:ascii="宋体" w:hAnsi="宋体" w:eastAsia="宋体" w:cs="宋体"/>
          <w:sz w:val="23"/>
          <w:szCs w:val="23"/>
        </w:rPr>
      </w:pPr>
      <w:r>
        <w:rPr>
          <w:rFonts w:ascii="宋体" w:hAnsi="宋体" w:eastAsia="宋体" w:cs="宋体"/>
          <w:spacing w:val="4"/>
          <w:sz w:val="23"/>
          <w:szCs w:val="23"/>
        </w:rPr>
        <w:t xml:space="preserve">根据 </w:t>
      </w:r>
      <w:r>
        <w:rPr>
          <w:rFonts w:ascii="Times New Roman" w:hAnsi="Times New Roman" w:eastAsia="Times New Roman" w:cs="Times New Roman"/>
          <w:sz w:val="23"/>
          <w:szCs w:val="23"/>
        </w:rPr>
        <w:t>HJ</w:t>
      </w:r>
      <w:r>
        <w:rPr>
          <w:rFonts w:ascii="Times New Roman" w:hAnsi="Times New Roman" w:eastAsia="Times New Roman" w:cs="Times New Roman"/>
          <w:spacing w:val="3"/>
          <w:sz w:val="23"/>
          <w:szCs w:val="23"/>
        </w:rPr>
        <w:t>2</w:t>
      </w:r>
      <w:r>
        <w:rPr>
          <w:rFonts w:ascii="Times New Roman" w:hAnsi="Times New Roman" w:eastAsia="Times New Roman" w:cs="Times New Roman"/>
          <w:spacing w:val="2"/>
          <w:sz w:val="23"/>
          <w:szCs w:val="23"/>
        </w:rPr>
        <w:t xml:space="preserve">.2-2018 </w:t>
      </w:r>
      <w:r>
        <w:rPr>
          <w:rFonts w:ascii="宋体" w:hAnsi="宋体" w:eastAsia="宋体" w:cs="宋体"/>
          <w:spacing w:val="2"/>
          <w:sz w:val="23"/>
          <w:szCs w:val="23"/>
        </w:rPr>
        <w:t xml:space="preserve">中 </w:t>
      </w:r>
      <w:r>
        <w:rPr>
          <w:rFonts w:ascii="Times New Roman" w:hAnsi="Times New Roman" w:eastAsia="Times New Roman" w:cs="Times New Roman"/>
          <w:spacing w:val="2"/>
          <w:sz w:val="23"/>
          <w:szCs w:val="23"/>
        </w:rPr>
        <w:t xml:space="preserve">5.3.3. 1 </w:t>
      </w:r>
      <w:r>
        <w:rPr>
          <w:rFonts w:ascii="宋体" w:hAnsi="宋体" w:eastAsia="宋体" w:cs="宋体"/>
          <w:spacing w:val="2"/>
          <w:sz w:val="23"/>
          <w:szCs w:val="23"/>
        </w:rPr>
        <w:t>同一项目有多个污染源 (两个及以上) 时，则按各污</w:t>
      </w:r>
      <w:r>
        <w:rPr>
          <w:rFonts w:ascii="宋体" w:hAnsi="宋体" w:eastAsia="宋体" w:cs="宋体"/>
          <w:sz w:val="23"/>
          <w:szCs w:val="23"/>
        </w:rPr>
        <w:t xml:space="preserve"> </w:t>
      </w:r>
      <w:r>
        <w:rPr>
          <w:rFonts w:ascii="宋体" w:hAnsi="宋体" w:eastAsia="宋体" w:cs="宋体"/>
          <w:spacing w:val="10"/>
          <w:sz w:val="23"/>
          <w:szCs w:val="23"/>
        </w:rPr>
        <w:t>染源分别确定评价等级，并取评价等级最高者作为项目的评价等级。估算模式采</w:t>
      </w:r>
      <w:r>
        <w:rPr>
          <w:rFonts w:ascii="宋体" w:hAnsi="宋体" w:eastAsia="宋体" w:cs="宋体"/>
          <w:spacing w:val="8"/>
          <w:sz w:val="23"/>
          <w:szCs w:val="23"/>
        </w:rPr>
        <w:t>用</w:t>
      </w:r>
      <w:r>
        <w:rPr>
          <w:rFonts w:ascii="宋体" w:hAnsi="宋体" w:eastAsia="宋体" w:cs="宋体"/>
          <w:sz w:val="23"/>
          <w:szCs w:val="23"/>
        </w:rPr>
        <w:t xml:space="preserve"> </w:t>
      </w:r>
      <w:r>
        <w:rPr>
          <w:rFonts w:ascii="Times New Roman" w:hAnsi="Times New Roman" w:eastAsia="Times New Roman" w:cs="Times New Roman"/>
          <w:sz w:val="23"/>
          <w:szCs w:val="23"/>
        </w:rPr>
        <w:t>ARESCREEN</w:t>
      </w:r>
      <w:r>
        <w:rPr>
          <w:rFonts w:ascii="Times New Roman" w:hAnsi="Times New Roman" w:eastAsia="Times New Roman" w:cs="Times New Roman"/>
          <w:spacing w:val="21"/>
          <w:sz w:val="23"/>
          <w:szCs w:val="23"/>
        </w:rPr>
        <w:t xml:space="preserve"> </w:t>
      </w:r>
      <w:r>
        <w:rPr>
          <w:rFonts w:ascii="宋体" w:hAnsi="宋体" w:eastAsia="宋体" w:cs="宋体"/>
          <w:spacing w:val="12"/>
          <w:sz w:val="23"/>
          <w:szCs w:val="23"/>
        </w:rPr>
        <w:t>。无组织排放有一个污染源 (猪舍、异位微生物发酵床、集污池) ，</w:t>
      </w:r>
      <w:r>
        <w:rPr>
          <w:rFonts w:ascii="宋体" w:hAnsi="宋体" w:eastAsia="宋体" w:cs="宋体"/>
          <w:sz w:val="23"/>
          <w:szCs w:val="23"/>
        </w:rPr>
        <w:t xml:space="preserve"> </w:t>
      </w:r>
      <w:r>
        <w:rPr>
          <w:rFonts w:ascii="宋体" w:hAnsi="宋体" w:eastAsia="宋体" w:cs="宋体"/>
          <w:spacing w:val="10"/>
          <w:sz w:val="23"/>
          <w:szCs w:val="23"/>
        </w:rPr>
        <w:t>根</w:t>
      </w:r>
      <w:r>
        <w:rPr>
          <w:rFonts w:ascii="宋体" w:hAnsi="宋体" w:eastAsia="宋体" w:cs="宋体"/>
          <w:spacing w:val="7"/>
          <w:sz w:val="23"/>
          <w:szCs w:val="23"/>
        </w:rPr>
        <w:t>据</w:t>
      </w:r>
      <w:r>
        <w:rPr>
          <w:rFonts w:ascii="宋体" w:hAnsi="宋体" w:eastAsia="宋体" w:cs="宋体"/>
          <w:spacing w:val="5"/>
          <w:sz w:val="23"/>
          <w:szCs w:val="23"/>
        </w:rPr>
        <w:t xml:space="preserve">软件计算，取最高等级。根据表 </w:t>
      </w:r>
      <w:r>
        <w:rPr>
          <w:rFonts w:ascii="Times New Roman" w:hAnsi="Times New Roman" w:eastAsia="Times New Roman" w:cs="Times New Roman"/>
          <w:spacing w:val="5"/>
          <w:sz w:val="23"/>
          <w:szCs w:val="23"/>
        </w:rPr>
        <w:t xml:space="preserve">1.5-5 </w:t>
      </w:r>
      <w:r>
        <w:rPr>
          <w:rFonts w:ascii="宋体" w:hAnsi="宋体" w:eastAsia="宋体" w:cs="宋体"/>
          <w:spacing w:val="5"/>
          <w:sz w:val="23"/>
          <w:szCs w:val="23"/>
        </w:rPr>
        <w:t>，项目主要污染源最大地面空气质量浓度</w:t>
      </w:r>
      <w:r>
        <w:rPr>
          <w:rFonts w:ascii="宋体" w:hAnsi="宋体" w:eastAsia="宋体" w:cs="宋体"/>
          <w:sz w:val="23"/>
          <w:szCs w:val="23"/>
        </w:rPr>
        <w:t xml:space="preserve"> </w:t>
      </w:r>
      <w:r>
        <w:rPr>
          <w:rFonts w:ascii="宋体" w:hAnsi="宋体" w:eastAsia="宋体" w:cs="宋体"/>
          <w:spacing w:val="16"/>
          <w:sz w:val="23"/>
          <w:szCs w:val="23"/>
        </w:rPr>
        <w:t>占</w:t>
      </w:r>
      <w:r>
        <w:rPr>
          <w:rFonts w:ascii="宋体" w:hAnsi="宋体" w:eastAsia="宋体" w:cs="宋体"/>
          <w:spacing w:val="12"/>
          <w:sz w:val="23"/>
          <w:szCs w:val="23"/>
        </w:rPr>
        <w:t>标</w:t>
      </w:r>
      <w:r>
        <w:rPr>
          <w:rFonts w:ascii="宋体" w:hAnsi="宋体" w:eastAsia="宋体" w:cs="宋体"/>
          <w:spacing w:val="8"/>
          <w:sz w:val="23"/>
          <w:szCs w:val="23"/>
        </w:rPr>
        <w:t xml:space="preserve">率 </w:t>
      </w:r>
      <w:r>
        <w:rPr>
          <w:rFonts w:ascii="Times New Roman" w:hAnsi="Times New Roman" w:eastAsia="Times New Roman" w:cs="Times New Roman"/>
          <w:sz w:val="23"/>
          <w:szCs w:val="23"/>
        </w:rPr>
        <w:t>Pmax</w:t>
      </w:r>
      <w:r>
        <w:rPr>
          <w:rFonts w:ascii="Times New Roman" w:hAnsi="Times New Roman" w:eastAsia="Times New Roman" w:cs="Times New Roman"/>
          <w:spacing w:val="8"/>
          <w:sz w:val="23"/>
          <w:szCs w:val="23"/>
        </w:rPr>
        <w:t xml:space="preserve">=2.4631%  </w:t>
      </w:r>
      <w:r>
        <w:rPr>
          <w:rFonts w:ascii="宋体" w:hAnsi="宋体" w:eastAsia="宋体" w:cs="宋体"/>
          <w:spacing w:val="8"/>
          <w:sz w:val="23"/>
          <w:szCs w:val="23"/>
        </w:rPr>
        <w:t>(</w:t>
      </w:r>
      <w:r>
        <w:rPr>
          <w:rFonts w:ascii="Times New Roman" w:hAnsi="Times New Roman" w:eastAsia="Times New Roman" w:cs="Times New Roman"/>
          <w:spacing w:val="8"/>
          <w:sz w:val="23"/>
          <w:szCs w:val="23"/>
        </w:rPr>
        <w:t>1%</w:t>
      </w:r>
      <w:r>
        <w:rPr>
          <w:rFonts w:ascii="宋体" w:hAnsi="宋体" w:eastAsia="宋体" w:cs="宋体"/>
          <w:spacing w:val="8"/>
          <w:sz w:val="23"/>
          <w:szCs w:val="23"/>
        </w:rPr>
        <w:t>＜</w:t>
      </w:r>
      <w:r>
        <w:rPr>
          <w:rFonts w:ascii="Times New Roman" w:hAnsi="Times New Roman" w:eastAsia="Times New Roman" w:cs="Times New Roman"/>
          <w:sz w:val="23"/>
          <w:szCs w:val="23"/>
        </w:rPr>
        <w:t>Pmax</w:t>
      </w:r>
      <w:r>
        <w:rPr>
          <w:rFonts w:ascii="宋体" w:hAnsi="宋体" w:eastAsia="宋体" w:cs="宋体"/>
          <w:spacing w:val="8"/>
          <w:sz w:val="23"/>
          <w:szCs w:val="23"/>
        </w:rPr>
        <w:t>＜</w:t>
      </w:r>
      <w:r>
        <w:rPr>
          <w:rFonts w:ascii="Times New Roman" w:hAnsi="Times New Roman" w:eastAsia="Times New Roman" w:cs="Times New Roman"/>
          <w:spacing w:val="8"/>
          <w:sz w:val="23"/>
          <w:szCs w:val="23"/>
        </w:rPr>
        <w:t>10%</w:t>
      </w:r>
      <w:r>
        <w:rPr>
          <w:rFonts w:ascii="宋体" w:hAnsi="宋体" w:eastAsia="宋体" w:cs="宋体"/>
          <w:spacing w:val="8"/>
          <w:sz w:val="23"/>
          <w:szCs w:val="23"/>
        </w:rPr>
        <w:t>) ，</w:t>
      </w:r>
      <w:r>
        <w:rPr>
          <w:rFonts w:ascii="宋体" w:hAnsi="宋体" w:eastAsia="宋体" w:cs="宋体"/>
          <w:spacing w:val="8"/>
          <w:sz w:val="23"/>
          <w:szCs w:val="23"/>
          <w14:textOutline w14:w="4356" w14:cap="sq" w14:cmpd="sng" w14:algn="ctr">
            <w14:solidFill>
              <w14:srgbClr w14:val="000000"/>
            </w14:solidFill>
            <w14:prstDash w14:val="solid"/>
            <w14:bevel/>
          </w14:textOutline>
        </w:rPr>
        <w:t>确定本项目大气环境影响评价等级为</w:t>
      </w:r>
      <w:r>
        <w:rPr>
          <w:rFonts w:ascii="宋体" w:hAnsi="宋体" w:eastAsia="宋体" w:cs="宋体"/>
          <w:sz w:val="23"/>
          <w:szCs w:val="23"/>
        </w:rPr>
        <w:t xml:space="preserve"> </w:t>
      </w:r>
      <w:r>
        <w:rPr>
          <w:rFonts w:ascii="宋体" w:hAnsi="宋体" w:eastAsia="宋体" w:cs="宋体"/>
          <w:spacing w:val="10"/>
          <w:sz w:val="23"/>
          <w:szCs w:val="23"/>
          <w14:textOutline w14:w="4356" w14:cap="sq" w14:cmpd="sng" w14:algn="ctr">
            <w14:solidFill>
              <w14:srgbClr w14:val="000000"/>
            </w14:solidFill>
            <w14:prstDash w14:val="solid"/>
            <w14:bevel/>
          </w14:textOutline>
        </w:rPr>
        <w:t>二级。</w:t>
      </w:r>
      <w:r>
        <w:rPr>
          <w:rFonts w:ascii="宋体" w:hAnsi="宋体" w:eastAsia="宋体" w:cs="宋体"/>
          <w:spacing w:val="9"/>
          <w:sz w:val="23"/>
          <w:szCs w:val="23"/>
          <w14:textOutline w14:w="4356" w14:cap="sq" w14:cmpd="sng" w14:algn="ctr">
            <w14:solidFill>
              <w14:srgbClr w14:val="000000"/>
            </w14:solidFill>
            <w14:prstDash w14:val="solid"/>
            <w14:bevel/>
          </w14:textOutline>
        </w:rPr>
        <w:t>根</w:t>
      </w:r>
      <w:r>
        <w:rPr>
          <w:rFonts w:ascii="宋体" w:hAnsi="宋体" w:eastAsia="宋体" w:cs="宋体"/>
          <w:spacing w:val="5"/>
          <w:sz w:val="23"/>
          <w:szCs w:val="23"/>
          <w14:textOutline w14:w="4356" w14:cap="sq" w14:cmpd="sng" w14:algn="ctr">
            <w14:solidFill>
              <w14:srgbClr w14:val="000000"/>
            </w14:solidFill>
            <w14:prstDash w14:val="solid"/>
            <w14:bevel/>
          </w14:textOutline>
        </w:rPr>
        <w:t>据《环境影响评价技术导则</w:t>
      </w:r>
      <w:r>
        <w:rPr>
          <w:rFonts w:ascii="宋体" w:hAnsi="宋体" w:eastAsia="宋体" w:cs="宋体"/>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大气环境》</w:t>
      </w:r>
      <w:r>
        <w:rPr>
          <w:rFonts w:ascii="宋体" w:hAnsi="宋体" w:eastAsia="宋体" w:cs="宋体"/>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z w:val="23"/>
          <w:szCs w:val="23"/>
        </w:rPr>
        <w:t>HJ</w:t>
      </w:r>
      <w:r>
        <w:rPr>
          <w:rFonts w:ascii="Times New Roman" w:hAnsi="Times New Roman" w:eastAsia="Times New Roman" w:cs="Times New Roman"/>
          <w:b/>
          <w:bCs/>
          <w:spacing w:val="5"/>
          <w:sz w:val="23"/>
          <w:szCs w:val="23"/>
        </w:rPr>
        <w:t>2.2-2018</w:t>
      </w:r>
      <w:r>
        <w:rPr>
          <w:rFonts w:ascii="宋体" w:hAnsi="宋体" w:eastAsia="宋体" w:cs="宋体"/>
          <w:spacing w:val="5"/>
          <w:sz w:val="23"/>
          <w:szCs w:val="23"/>
          <w14:textOutline w14:w="4356" w14:cap="sq" w14:cmpd="sng" w14:algn="ctr">
            <w14:solidFill>
              <w14:srgbClr w14:val="000000"/>
            </w14:solidFill>
            <w14:prstDash w14:val="solid"/>
            <w14:bevel/>
          </w14:textOutline>
        </w:rPr>
        <w:t>)</w:t>
      </w:r>
      <w:r>
        <w:rPr>
          <w:rFonts w:ascii="宋体" w:hAnsi="宋体" w:eastAsia="宋体" w:cs="宋体"/>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，不进行进一步预</w:t>
      </w:r>
      <w:r>
        <w:rPr>
          <w:rFonts w:ascii="宋体" w:hAnsi="宋体" w:eastAsia="宋体" w:cs="宋体"/>
          <w:sz w:val="23"/>
          <w:szCs w:val="23"/>
        </w:rPr>
        <w:t xml:space="preserve"> </w:t>
      </w:r>
      <w:r>
        <w:rPr>
          <w:rFonts w:ascii="宋体" w:hAnsi="宋体" w:eastAsia="宋体" w:cs="宋体"/>
          <w:spacing w:val="12"/>
          <w:sz w:val="23"/>
          <w:szCs w:val="23"/>
          <w14:textOutline w14:w="4356" w14:cap="sq" w14:cmpd="sng" w14:algn="ctr">
            <w14:solidFill>
              <w14:srgbClr w14:val="000000"/>
            </w14:solidFill>
            <w14:prstDash w14:val="solid"/>
            <w14:bevel/>
          </w14:textOutline>
        </w:rPr>
        <w:t>测</w:t>
      </w:r>
      <w:r>
        <w:rPr>
          <w:rFonts w:ascii="宋体" w:hAnsi="宋体" w:eastAsia="宋体" w:cs="宋体"/>
          <w:spacing w:val="10"/>
          <w:sz w:val="23"/>
          <w:szCs w:val="23"/>
          <w14:textOutline w14:w="4356" w14:cap="sq" w14:cmpd="sng" w14:algn="ctr">
            <w14:solidFill>
              <w14:srgbClr w14:val="000000"/>
            </w14:solidFill>
            <w14:prstDash w14:val="solid"/>
            <w14:bevel/>
          </w14:textOutline>
        </w:rPr>
        <w:t>与评价，只对污染物排放量进行核算。</w:t>
      </w:r>
    </w:p>
    <w:p w14:paraId="06225261">
      <w:pPr>
        <w:spacing w:before="1" w:line="225" w:lineRule="auto"/>
        <w:ind w:left="609"/>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2</w:t>
      </w:r>
      <w:r>
        <w:rPr>
          <w:rFonts w:ascii="宋体" w:hAnsi="宋体" w:eastAsia="宋体" w:cs="宋体"/>
          <w:spacing w:val="20"/>
          <w:sz w:val="23"/>
          <w:szCs w:val="23"/>
        </w:rPr>
        <w:t>) 评价范</w:t>
      </w:r>
      <w:r>
        <w:rPr>
          <w:rFonts w:ascii="宋体" w:hAnsi="宋体" w:eastAsia="宋体" w:cs="宋体"/>
          <w:spacing w:val="19"/>
          <w:sz w:val="23"/>
          <w:szCs w:val="23"/>
        </w:rPr>
        <w:t>围</w:t>
      </w:r>
    </w:p>
    <w:p w14:paraId="6DBF0D28">
      <w:pPr>
        <w:spacing w:before="183" w:line="375" w:lineRule="auto"/>
        <w:ind w:left="121" w:right="434" w:firstLine="477"/>
        <w:rPr>
          <w:rFonts w:ascii="宋体" w:hAnsi="宋体" w:eastAsia="宋体" w:cs="宋体"/>
          <w:sz w:val="23"/>
          <w:szCs w:val="23"/>
        </w:rPr>
      </w:pPr>
      <w:r>
        <w:rPr>
          <w:rFonts w:ascii="宋体" w:hAnsi="宋体" w:eastAsia="宋体" w:cs="宋体"/>
          <w:spacing w:val="10"/>
          <w:sz w:val="23"/>
          <w:szCs w:val="23"/>
        </w:rPr>
        <w:t>根据《</w:t>
      </w:r>
      <w:r>
        <w:rPr>
          <w:rFonts w:ascii="宋体" w:hAnsi="宋体" w:eastAsia="宋体" w:cs="宋体"/>
          <w:spacing w:val="8"/>
          <w:sz w:val="23"/>
          <w:szCs w:val="23"/>
        </w:rPr>
        <w:t>环</w:t>
      </w:r>
      <w:r>
        <w:rPr>
          <w:rFonts w:ascii="宋体" w:hAnsi="宋体" w:eastAsia="宋体" w:cs="宋体"/>
          <w:spacing w:val="5"/>
          <w:sz w:val="23"/>
          <w:szCs w:val="23"/>
        </w:rPr>
        <w:t>境影响评价技术导则大气环境》 (</w:t>
      </w:r>
      <w:r>
        <w:rPr>
          <w:rFonts w:ascii="Times New Roman" w:hAnsi="Times New Roman" w:eastAsia="Times New Roman" w:cs="Times New Roman"/>
          <w:sz w:val="23"/>
          <w:szCs w:val="23"/>
        </w:rPr>
        <w:t>HJ</w:t>
      </w:r>
      <w:r>
        <w:rPr>
          <w:rFonts w:ascii="Times New Roman" w:hAnsi="Times New Roman" w:eastAsia="Times New Roman" w:cs="Times New Roman"/>
          <w:spacing w:val="5"/>
          <w:sz w:val="23"/>
          <w:szCs w:val="23"/>
        </w:rPr>
        <w:t>2.2-2018</w:t>
      </w:r>
      <w:r>
        <w:rPr>
          <w:rFonts w:ascii="宋体" w:hAnsi="宋体" w:eastAsia="宋体" w:cs="宋体"/>
          <w:spacing w:val="5"/>
          <w:sz w:val="23"/>
          <w:szCs w:val="23"/>
        </w:rPr>
        <w:t>) ，二级评价项目以场址</w:t>
      </w:r>
      <w:r>
        <w:rPr>
          <w:rFonts w:ascii="宋体" w:hAnsi="宋体" w:eastAsia="宋体" w:cs="宋体"/>
          <w:sz w:val="23"/>
          <w:szCs w:val="23"/>
        </w:rPr>
        <w:t xml:space="preserve"> </w:t>
      </w:r>
      <w:r>
        <w:rPr>
          <w:rFonts w:ascii="宋体" w:hAnsi="宋体" w:eastAsia="宋体" w:cs="宋体"/>
          <w:spacing w:val="8"/>
          <w:sz w:val="23"/>
          <w:szCs w:val="23"/>
        </w:rPr>
        <w:t>为</w:t>
      </w:r>
      <w:r>
        <w:rPr>
          <w:rFonts w:ascii="宋体" w:hAnsi="宋体" w:eastAsia="宋体" w:cs="宋体"/>
          <w:spacing w:val="7"/>
          <w:sz w:val="23"/>
          <w:szCs w:val="23"/>
        </w:rPr>
        <w:t xml:space="preserve">中心区域，边长为 </w:t>
      </w:r>
      <w:r>
        <w:rPr>
          <w:rFonts w:ascii="Times New Roman" w:hAnsi="Times New Roman" w:eastAsia="Times New Roman" w:cs="Times New Roman"/>
          <w:spacing w:val="7"/>
          <w:sz w:val="23"/>
          <w:szCs w:val="23"/>
        </w:rPr>
        <w:t>5</w:t>
      </w:r>
      <w:r>
        <w:rPr>
          <w:rFonts w:ascii="Times New Roman" w:hAnsi="Times New Roman" w:eastAsia="Times New Roman" w:cs="Times New Roman"/>
          <w:sz w:val="23"/>
          <w:szCs w:val="23"/>
        </w:rPr>
        <w:t>km</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的矩形区域作为大气环境影响评价范围。</w:t>
      </w:r>
    </w:p>
    <w:p w14:paraId="5568A108">
      <w:pPr>
        <w:spacing w:before="1" w:line="227" w:lineRule="auto"/>
        <w:ind w:left="124"/>
        <w:outlineLvl w:val="2"/>
        <w:rPr>
          <w:rFonts w:ascii="宋体" w:hAnsi="宋体" w:eastAsia="宋体" w:cs="宋体"/>
          <w:sz w:val="23"/>
          <w:szCs w:val="23"/>
        </w:rPr>
      </w:pPr>
      <w:r>
        <w:rPr>
          <w:rFonts w:ascii="Times New Roman" w:hAnsi="Times New Roman" w:eastAsia="Times New Roman" w:cs="Times New Roman"/>
          <w:b/>
          <w:bCs/>
          <w:spacing w:val="15"/>
          <w:sz w:val="23"/>
          <w:szCs w:val="23"/>
        </w:rPr>
        <w:t>1.5.2</w:t>
      </w:r>
      <w:r>
        <w:rPr>
          <w:rFonts w:ascii="Times New Roman" w:hAnsi="Times New Roman" w:eastAsia="Times New Roman" w:cs="Times New Roman"/>
          <w:spacing w:val="15"/>
          <w:sz w:val="23"/>
          <w:szCs w:val="23"/>
        </w:rPr>
        <w:t xml:space="preserve">  </w:t>
      </w:r>
      <w:r>
        <w:rPr>
          <w:rFonts w:ascii="宋体" w:hAnsi="宋体" w:eastAsia="宋体" w:cs="宋体"/>
          <w:spacing w:val="15"/>
          <w:sz w:val="23"/>
          <w:szCs w:val="23"/>
          <w14:textOutline w14:w="4356" w14:cap="sq" w14:cmpd="sng" w14:algn="ctr">
            <w14:solidFill>
              <w14:srgbClr w14:val="000000"/>
            </w14:solidFill>
            <w14:prstDash w14:val="solid"/>
            <w14:bevel/>
          </w14:textOutline>
        </w:rPr>
        <w:t>地表</w:t>
      </w:r>
      <w:r>
        <w:rPr>
          <w:rFonts w:ascii="宋体" w:hAnsi="宋体" w:eastAsia="宋体" w:cs="宋体"/>
          <w:spacing w:val="14"/>
          <w:sz w:val="23"/>
          <w:szCs w:val="23"/>
          <w14:textOutline w14:w="4356" w14:cap="sq" w14:cmpd="sng" w14:algn="ctr">
            <w14:solidFill>
              <w14:srgbClr w14:val="000000"/>
            </w14:solidFill>
            <w14:prstDash w14:val="solid"/>
            <w14:bevel/>
          </w14:textOutline>
        </w:rPr>
        <w:t>水</w:t>
      </w:r>
    </w:p>
    <w:p w14:paraId="29F68028">
      <w:pPr>
        <w:spacing w:before="184" w:line="226" w:lineRule="auto"/>
        <w:ind w:left="609"/>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1</w:t>
      </w:r>
      <w:r>
        <w:rPr>
          <w:rFonts w:ascii="宋体" w:hAnsi="宋体" w:eastAsia="宋体" w:cs="宋体"/>
          <w:spacing w:val="20"/>
          <w:sz w:val="23"/>
          <w:szCs w:val="23"/>
        </w:rPr>
        <w:t>) 评价等</w:t>
      </w:r>
      <w:r>
        <w:rPr>
          <w:rFonts w:ascii="宋体" w:hAnsi="宋体" w:eastAsia="宋体" w:cs="宋体"/>
          <w:spacing w:val="19"/>
          <w:sz w:val="23"/>
          <w:szCs w:val="23"/>
        </w:rPr>
        <w:t>级</w:t>
      </w:r>
    </w:p>
    <w:p w14:paraId="709F469C">
      <w:pPr>
        <w:sectPr>
          <w:headerReference r:id="rId32" w:type="default"/>
          <w:footerReference r:id="rId33" w:type="default"/>
          <w:pgSz w:w="11907" w:h="16840"/>
          <w:pgMar w:top="400" w:right="1123" w:bottom="1275" w:left="1551" w:header="0" w:footer="1114" w:gutter="0"/>
          <w:cols w:space="720" w:num="1"/>
        </w:sectPr>
      </w:pPr>
    </w:p>
    <w:p w14:paraId="2964C4D6">
      <w:pPr>
        <w:spacing w:line="460" w:lineRule="auto"/>
      </w:pPr>
      <w:r>
        <w:pict>
          <v:shape id="_x0000_s2061" o:spid="_x0000_s2061" style="position:absolute;left:0pt;margin-left:83pt;margin-top:57.2pt;height:0.5pt;width:434.35pt;mso-position-horizontal-relative:page;mso-position-vertical-relative:page;z-index:251697152;mso-width-relative:page;mso-height-relative:page;" fillcolor="#000000" filled="t" stroked="f" coordsize="8687,10" o:allowincell="f" path="m0,0l8686,0,8686,9,0,9,0,0xe">
            <v:fill on="t" focussize="0,0"/>
            <v:stroke on="f"/>
            <v:imagedata o:title=""/>
            <o:lock v:ext="edit"/>
          </v:shape>
        </w:pict>
      </w:r>
    </w:p>
    <w:p w14:paraId="19E00A74">
      <w:pPr>
        <w:spacing w:before="56" w:line="229" w:lineRule="auto"/>
        <w:ind w:left="520"/>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42FDCD45">
      <w:pPr>
        <w:spacing w:before="67" w:line="227" w:lineRule="auto"/>
        <w:ind w:left="1003"/>
        <w:rPr>
          <w:rFonts w:ascii="宋体" w:hAnsi="宋体" w:eastAsia="宋体" w:cs="宋体"/>
          <w:sz w:val="23"/>
          <w:szCs w:val="23"/>
        </w:rPr>
      </w:pPr>
      <w:r>
        <w:rPr>
          <w:rFonts w:ascii="宋体" w:hAnsi="宋体" w:eastAsia="宋体" w:cs="宋体"/>
          <w:spacing w:val="13"/>
          <w:sz w:val="23"/>
          <w:szCs w:val="23"/>
        </w:rPr>
        <w:t>根</w:t>
      </w:r>
      <w:r>
        <w:rPr>
          <w:rFonts w:ascii="宋体" w:hAnsi="宋体" w:eastAsia="宋体" w:cs="宋体"/>
          <w:spacing w:val="8"/>
          <w:sz w:val="23"/>
          <w:szCs w:val="23"/>
        </w:rPr>
        <w:t>据《环境影响评价技术导则  地表水环境》  (</w:t>
      </w:r>
      <w:r>
        <w:rPr>
          <w:rFonts w:ascii="Times New Roman" w:hAnsi="Times New Roman" w:eastAsia="Times New Roman" w:cs="Times New Roman"/>
          <w:sz w:val="23"/>
          <w:szCs w:val="23"/>
        </w:rPr>
        <w:t>HJ</w:t>
      </w:r>
      <w:r>
        <w:rPr>
          <w:rFonts w:ascii="Times New Roman" w:hAnsi="Times New Roman" w:eastAsia="Times New Roman" w:cs="Times New Roman"/>
          <w:spacing w:val="8"/>
          <w:sz w:val="23"/>
          <w:szCs w:val="23"/>
        </w:rPr>
        <w:t>2.3-2018</w:t>
      </w:r>
      <w:r>
        <w:rPr>
          <w:rFonts w:ascii="宋体" w:hAnsi="宋体" w:eastAsia="宋体" w:cs="宋体"/>
          <w:spacing w:val="8"/>
          <w:sz w:val="23"/>
          <w:szCs w:val="23"/>
        </w:rPr>
        <w:t>) ，本项目为水污</w:t>
      </w:r>
    </w:p>
    <w:p w14:paraId="1DB8B4B3">
      <w:pPr>
        <w:spacing w:before="182" w:line="228" w:lineRule="auto"/>
        <w:ind w:left="527"/>
        <w:rPr>
          <w:rFonts w:ascii="宋体" w:hAnsi="宋体" w:eastAsia="宋体" w:cs="宋体"/>
          <w:sz w:val="23"/>
          <w:szCs w:val="23"/>
        </w:rPr>
      </w:pPr>
      <w:r>
        <w:rPr>
          <w:rFonts w:ascii="宋体" w:hAnsi="宋体" w:eastAsia="宋体" w:cs="宋体"/>
          <w:spacing w:val="16"/>
          <w:sz w:val="23"/>
          <w:szCs w:val="23"/>
        </w:rPr>
        <w:t>染</w:t>
      </w:r>
      <w:r>
        <w:rPr>
          <w:rFonts w:ascii="宋体" w:hAnsi="宋体" w:eastAsia="宋体" w:cs="宋体"/>
          <w:spacing w:val="14"/>
          <w:sz w:val="23"/>
          <w:szCs w:val="23"/>
        </w:rPr>
        <w:t>型</w:t>
      </w:r>
      <w:r>
        <w:rPr>
          <w:rFonts w:ascii="宋体" w:hAnsi="宋体" w:eastAsia="宋体" w:cs="宋体"/>
          <w:spacing w:val="8"/>
          <w:sz w:val="23"/>
          <w:szCs w:val="23"/>
        </w:rPr>
        <w:t>建设项目，排放等级判定可依据下表；</w:t>
      </w:r>
    </w:p>
    <w:p w14:paraId="51F8E854">
      <w:pPr>
        <w:spacing w:before="181" w:line="223" w:lineRule="auto"/>
        <w:ind w:left="2550"/>
        <w:rPr>
          <w:rFonts w:ascii="黑体" w:hAnsi="黑体" w:eastAsia="黑体" w:cs="黑体"/>
          <w:sz w:val="23"/>
          <w:szCs w:val="23"/>
        </w:rPr>
      </w:pPr>
      <w:r>
        <w:rPr>
          <w:rFonts w:ascii="黑体" w:hAnsi="黑体" w:eastAsia="黑体" w:cs="黑体"/>
          <w:spacing w:val="8"/>
          <w:sz w:val="23"/>
          <w:szCs w:val="23"/>
        </w:rPr>
        <w:t xml:space="preserve">表 </w:t>
      </w:r>
      <w:r>
        <w:rPr>
          <w:rFonts w:ascii="Times New Roman" w:hAnsi="Times New Roman" w:eastAsia="Times New Roman" w:cs="Times New Roman"/>
          <w:spacing w:val="8"/>
          <w:sz w:val="23"/>
          <w:szCs w:val="23"/>
        </w:rPr>
        <w:t>1.</w:t>
      </w:r>
      <w:r>
        <w:rPr>
          <w:rFonts w:ascii="Times New Roman" w:hAnsi="Times New Roman" w:eastAsia="Times New Roman" w:cs="Times New Roman"/>
          <w:spacing w:val="5"/>
          <w:sz w:val="23"/>
          <w:szCs w:val="23"/>
        </w:rPr>
        <w:t>5</w:t>
      </w:r>
      <w:r>
        <w:rPr>
          <w:rFonts w:ascii="Times New Roman" w:hAnsi="Times New Roman" w:eastAsia="Times New Roman" w:cs="Times New Roman"/>
          <w:spacing w:val="4"/>
          <w:sz w:val="23"/>
          <w:szCs w:val="23"/>
        </w:rPr>
        <w:t xml:space="preserve">-6    </w:t>
      </w:r>
      <w:r>
        <w:rPr>
          <w:rFonts w:ascii="黑体" w:hAnsi="黑体" w:eastAsia="黑体" w:cs="黑体"/>
          <w:spacing w:val="4"/>
          <w:sz w:val="23"/>
          <w:szCs w:val="23"/>
        </w:rPr>
        <w:t>建设项目地表水环境评价等级划分</w:t>
      </w:r>
    </w:p>
    <w:tbl>
      <w:tblPr>
        <w:tblStyle w:val="4"/>
        <w:tblW w:w="971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43"/>
        <w:gridCol w:w="1834"/>
        <w:gridCol w:w="6136"/>
      </w:tblGrid>
      <w:tr w14:paraId="5BEC82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1743" w:type="dxa"/>
            <w:vMerge w:val="restart"/>
            <w:tcBorders>
              <w:left w:val="nil"/>
              <w:bottom w:val="nil"/>
            </w:tcBorders>
          </w:tcPr>
          <w:p w14:paraId="54F5CC49">
            <w:pPr>
              <w:spacing w:before="207" w:line="226" w:lineRule="auto"/>
              <w:ind w:left="458"/>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评价等</w:t>
            </w:r>
            <w:r>
              <w:rPr>
                <w:rFonts w:ascii="宋体" w:hAnsi="宋体" w:eastAsia="宋体" w:cs="宋体"/>
                <w:spacing w:val="8"/>
                <w:sz w:val="20"/>
                <w:szCs w:val="20"/>
                <w14:textOutline w14:w="3797" w14:cap="sq" w14:cmpd="sng" w14:algn="ctr">
                  <w14:solidFill>
                    <w14:srgbClr w14:val="000000"/>
                  </w14:solidFill>
                  <w14:prstDash w14:val="solid"/>
                  <w14:bevel/>
                </w14:textOutline>
              </w:rPr>
              <w:t>级</w:t>
            </w:r>
          </w:p>
        </w:tc>
        <w:tc>
          <w:tcPr>
            <w:tcW w:w="7970" w:type="dxa"/>
            <w:gridSpan w:val="2"/>
            <w:tcBorders>
              <w:right w:val="nil"/>
            </w:tcBorders>
          </w:tcPr>
          <w:p w14:paraId="74AAEA54">
            <w:pPr>
              <w:spacing w:before="56" w:line="226" w:lineRule="auto"/>
              <w:ind w:left="3571"/>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判</w:t>
            </w:r>
            <w:r>
              <w:rPr>
                <w:rFonts w:ascii="宋体" w:hAnsi="宋体" w:eastAsia="宋体" w:cs="宋体"/>
                <w:spacing w:val="8"/>
                <w:sz w:val="20"/>
                <w:szCs w:val="20"/>
                <w14:textOutline w14:w="3797" w14:cap="sq" w14:cmpd="sng" w14:algn="ctr">
                  <w14:solidFill>
                    <w14:srgbClr w14:val="000000"/>
                  </w14:solidFill>
                  <w14:prstDash w14:val="solid"/>
                  <w14:bevel/>
                </w14:textOutline>
              </w:rPr>
              <w:t>定依据</w:t>
            </w:r>
          </w:p>
        </w:tc>
      </w:tr>
      <w:tr w14:paraId="4FBEF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1743" w:type="dxa"/>
            <w:vMerge w:val="continue"/>
            <w:tcBorders>
              <w:top w:val="nil"/>
              <w:left w:val="nil"/>
            </w:tcBorders>
          </w:tcPr>
          <w:p w14:paraId="1B4D4364"/>
        </w:tc>
        <w:tc>
          <w:tcPr>
            <w:tcW w:w="1834" w:type="dxa"/>
          </w:tcPr>
          <w:p w14:paraId="7E1F1603">
            <w:pPr>
              <w:spacing w:before="52" w:line="226" w:lineRule="auto"/>
              <w:ind w:left="502"/>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排</w:t>
            </w:r>
            <w:r>
              <w:rPr>
                <w:rFonts w:ascii="宋体" w:hAnsi="宋体" w:eastAsia="宋体" w:cs="宋体"/>
                <w:spacing w:val="8"/>
                <w:sz w:val="20"/>
                <w:szCs w:val="20"/>
                <w14:textOutline w14:w="3797" w14:cap="sq" w14:cmpd="sng" w14:algn="ctr">
                  <w14:solidFill>
                    <w14:srgbClr w14:val="000000"/>
                  </w14:solidFill>
                  <w14:prstDash w14:val="solid"/>
                  <w14:bevel/>
                </w14:textOutline>
              </w:rPr>
              <w:t>放方式</w:t>
            </w:r>
          </w:p>
        </w:tc>
        <w:tc>
          <w:tcPr>
            <w:tcW w:w="6136" w:type="dxa"/>
            <w:tcBorders>
              <w:right w:val="nil"/>
            </w:tcBorders>
          </w:tcPr>
          <w:p w14:paraId="099C6442">
            <w:pPr>
              <w:spacing w:before="11" w:line="285" w:lineRule="exact"/>
              <w:ind w:left="390"/>
              <w:rPr>
                <w:rFonts w:ascii="宋体" w:hAnsi="宋体" w:eastAsia="宋体" w:cs="宋体"/>
                <w:sz w:val="20"/>
                <w:szCs w:val="20"/>
              </w:rPr>
            </w:pPr>
            <w:r>
              <w:rPr>
                <w:rFonts w:ascii="宋体" w:hAnsi="宋体" w:eastAsia="宋体" w:cs="宋体"/>
                <w:spacing w:val="-4"/>
                <w:position w:val="2"/>
                <w:sz w:val="20"/>
                <w:szCs w:val="20"/>
                <w14:textOutline w14:w="3746" w14:cap="sq" w14:cmpd="sng" w14:algn="ctr">
                  <w14:solidFill>
                    <w14:srgbClr w14:val="000000"/>
                  </w14:solidFill>
                  <w14:prstDash w14:val="solid"/>
                  <w14:bevel/>
                </w14:textOutline>
              </w:rPr>
              <w:t>废水排放量</w:t>
            </w:r>
            <w:r>
              <w:rPr>
                <w:rFonts w:ascii="宋体" w:hAnsi="宋体" w:eastAsia="宋体" w:cs="宋体"/>
                <w:spacing w:val="-4"/>
                <w:position w:val="2"/>
                <w:sz w:val="20"/>
                <w:szCs w:val="20"/>
              </w:rPr>
              <w:t xml:space="preserve"> </w:t>
            </w:r>
            <w:r>
              <w:rPr>
                <w:rFonts w:ascii="Times New Roman" w:hAnsi="Times New Roman" w:eastAsia="Times New Roman" w:cs="Times New Roman"/>
                <w:b/>
                <w:bCs/>
                <w:spacing w:val="-2"/>
                <w:position w:val="2"/>
                <w:sz w:val="20"/>
                <w:szCs w:val="20"/>
              </w:rPr>
              <w:t>Q</w:t>
            </w:r>
            <w:r>
              <w:rPr>
                <w:rFonts w:ascii="Times New Roman" w:hAnsi="Times New Roman" w:eastAsia="Times New Roman" w:cs="Times New Roman"/>
                <w:b/>
                <w:bCs/>
                <w:spacing w:val="-4"/>
                <w:position w:val="2"/>
                <w:sz w:val="20"/>
                <w:szCs w:val="20"/>
              </w:rPr>
              <w:t>/</w:t>
            </w:r>
            <w:r>
              <w:rPr>
                <w:rFonts w:ascii="Times New Roman" w:hAnsi="Times New Roman" w:eastAsia="Times New Roman" w:cs="Times New Roman"/>
                <w:spacing w:val="-4"/>
                <w:position w:val="2"/>
                <w:sz w:val="20"/>
                <w:szCs w:val="20"/>
              </w:rPr>
              <w:t xml:space="preserve">  </w:t>
            </w:r>
            <w:r>
              <w:rPr>
                <w:rFonts w:ascii="宋体" w:hAnsi="宋体" w:eastAsia="宋体" w:cs="宋体"/>
                <w:spacing w:val="-4"/>
                <w:position w:val="2"/>
                <w:sz w:val="20"/>
                <w:szCs w:val="20"/>
                <w14:textOutline w14:w="3746" w14:cap="sq" w14:cmpd="sng" w14:algn="ctr">
                  <w14:solidFill>
                    <w14:srgbClr w14:val="000000"/>
                  </w14:solidFill>
                  <w14:prstDash w14:val="solid"/>
                  <w14:bevel/>
                </w14:textOutline>
              </w:rPr>
              <w:t>(</w:t>
            </w:r>
            <w:r>
              <w:rPr>
                <w:rFonts w:ascii="宋体" w:hAnsi="宋体" w:eastAsia="宋体" w:cs="宋体"/>
                <w:spacing w:val="-4"/>
                <w:position w:val="2"/>
                <w:sz w:val="20"/>
                <w:szCs w:val="20"/>
              </w:rPr>
              <w:t xml:space="preserve"> </w:t>
            </w:r>
            <w:r>
              <w:rPr>
                <w:rFonts w:ascii="Times New Roman" w:hAnsi="Times New Roman" w:eastAsia="Times New Roman" w:cs="Times New Roman"/>
                <w:b/>
                <w:bCs/>
                <w:spacing w:val="-2"/>
                <w:position w:val="2"/>
                <w:sz w:val="20"/>
                <w:szCs w:val="20"/>
              </w:rPr>
              <w:t>m</w:t>
            </w:r>
            <w:r>
              <w:rPr>
                <w:rFonts w:ascii="Times New Roman" w:hAnsi="Times New Roman" w:eastAsia="Times New Roman" w:cs="Times New Roman"/>
                <w:b/>
                <w:bCs/>
                <w:spacing w:val="-4"/>
                <w:position w:val="8"/>
                <w:sz w:val="13"/>
                <w:szCs w:val="13"/>
              </w:rPr>
              <w:t>3</w:t>
            </w:r>
            <w:r>
              <w:rPr>
                <w:rFonts w:ascii="Times New Roman" w:hAnsi="Times New Roman" w:eastAsia="Times New Roman" w:cs="Times New Roman"/>
                <w:b/>
                <w:bCs/>
                <w:spacing w:val="-2"/>
                <w:position w:val="2"/>
                <w:sz w:val="20"/>
                <w:szCs w:val="20"/>
              </w:rPr>
              <w:t>/d</w:t>
            </w:r>
            <w:r>
              <w:rPr>
                <w:rFonts w:ascii="宋体" w:hAnsi="宋体" w:eastAsia="宋体" w:cs="宋体"/>
                <w:spacing w:val="-2"/>
                <w:position w:val="2"/>
                <w:sz w:val="20"/>
                <w:szCs w:val="20"/>
                <w14:textOutline w14:w="3746" w14:cap="sq" w14:cmpd="sng" w14:algn="ctr">
                  <w14:solidFill>
                    <w14:srgbClr w14:val="000000"/>
                  </w14:solidFill>
                  <w14:prstDash w14:val="solid"/>
                  <w14:bevel/>
                </w14:textOutline>
              </w:rPr>
              <w:t>)</w:t>
            </w:r>
            <w:r>
              <w:rPr>
                <w:rFonts w:ascii="宋体" w:hAnsi="宋体" w:eastAsia="宋体" w:cs="宋体"/>
                <w:spacing w:val="-2"/>
                <w:position w:val="2"/>
                <w:sz w:val="20"/>
                <w:szCs w:val="20"/>
              </w:rPr>
              <w:t xml:space="preserve"> </w:t>
            </w:r>
            <w:r>
              <w:rPr>
                <w:rFonts w:ascii="宋体" w:hAnsi="宋体" w:eastAsia="宋体" w:cs="宋体"/>
                <w:spacing w:val="-2"/>
                <w:position w:val="2"/>
                <w:sz w:val="20"/>
                <w:szCs w:val="20"/>
                <w14:textOutline w14:w="3746" w14:cap="sq" w14:cmpd="sng" w14:algn="ctr">
                  <w14:solidFill>
                    <w14:srgbClr w14:val="000000"/>
                  </w14:solidFill>
                  <w14:prstDash w14:val="solid"/>
                  <w14:bevel/>
                </w14:textOutline>
              </w:rPr>
              <w:t>；水污染物当量数</w:t>
            </w:r>
            <w:r>
              <w:rPr>
                <w:rFonts w:ascii="宋体" w:hAnsi="宋体" w:eastAsia="宋体" w:cs="宋体"/>
                <w:spacing w:val="-2"/>
                <w:position w:val="2"/>
                <w:sz w:val="20"/>
                <w:szCs w:val="20"/>
              </w:rPr>
              <w:t xml:space="preserve"> </w:t>
            </w:r>
            <w:r>
              <w:rPr>
                <w:rFonts w:ascii="Times New Roman" w:hAnsi="Times New Roman" w:eastAsia="Times New Roman" w:cs="Times New Roman"/>
                <w:b/>
                <w:bCs/>
                <w:spacing w:val="-2"/>
                <w:position w:val="2"/>
                <w:sz w:val="20"/>
                <w:szCs w:val="20"/>
              </w:rPr>
              <w:t>W</w:t>
            </w:r>
            <w:r>
              <w:rPr>
                <w:rFonts w:ascii="Times New Roman" w:hAnsi="Times New Roman" w:eastAsia="Times New Roman" w:cs="Times New Roman"/>
                <w:spacing w:val="-2"/>
                <w:position w:val="2"/>
                <w:sz w:val="20"/>
                <w:szCs w:val="20"/>
              </w:rPr>
              <w:t xml:space="preserve"> </w:t>
            </w:r>
            <w:r>
              <w:rPr>
                <w:rFonts w:ascii="宋体" w:hAnsi="宋体" w:eastAsia="宋体" w:cs="宋体"/>
                <w:spacing w:val="-2"/>
                <w:position w:val="2"/>
                <w:sz w:val="20"/>
                <w:szCs w:val="20"/>
                <w14:textOutline w14:w="3746" w14:cap="sq" w14:cmpd="sng" w14:algn="ctr">
                  <w14:solidFill>
                    <w14:srgbClr w14:val="000000"/>
                  </w14:solidFill>
                  <w14:prstDash w14:val="solid"/>
                  <w14:bevel/>
                </w14:textOutline>
              </w:rPr>
              <w:t>、</w:t>
            </w:r>
            <w:r>
              <w:rPr>
                <w:rFonts w:ascii="宋体" w:hAnsi="宋体" w:eastAsia="宋体" w:cs="宋体"/>
                <w:spacing w:val="-2"/>
                <w:position w:val="2"/>
                <w:sz w:val="20"/>
                <w:szCs w:val="20"/>
              </w:rPr>
              <w:t xml:space="preserve">  </w:t>
            </w:r>
            <w:r>
              <w:rPr>
                <w:rFonts w:ascii="宋体" w:hAnsi="宋体" w:eastAsia="宋体" w:cs="宋体"/>
                <w:spacing w:val="-2"/>
                <w:position w:val="2"/>
                <w:sz w:val="20"/>
                <w:szCs w:val="20"/>
                <w14:textOutline w14:w="3746" w14:cap="sq" w14:cmpd="sng" w14:algn="ctr">
                  <w14:solidFill>
                    <w14:srgbClr w14:val="000000"/>
                  </w14:solidFill>
                  <w14:prstDash w14:val="solid"/>
                  <w14:bevel/>
                </w14:textOutline>
              </w:rPr>
              <w:t>(无量纲)</w:t>
            </w:r>
          </w:p>
        </w:tc>
      </w:tr>
      <w:tr w14:paraId="03802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743" w:type="dxa"/>
            <w:tcBorders>
              <w:left w:val="nil"/>
            </w:tcBorders>
          </w:tcPr>
          <w:p w14:paraId="6B69C6A7">
            <w:pPr>
              <w:spacing w:before="31" w:line="226" w:lineRule="auto"/>
              <w:ind w:left="671"/>
              <w:rPr>
                <w:rFonts w:ascii="宋体" w:hAnsi="宋体" w:eastAsia="宋体" w:cs="宋体"/>
                <w:sz w:val="20"/>
                <w:szCs w:val="20"/>
              </w:rPr>
            </w:pPr>
            <w:r>
              <w:rPr>
                <w:rFonts w:ascii="宋体" w:hAnsi="宋体" w:eastAsia="宋体" w:cs="宋体"/>
                <w:spacing w:val="4"/>
                <w:sz w:val="20"/>
                <w:szCs w:val="20"/>
              </w:rPr>
              <w:t>一级</w:t>
            </w:r>
          </w:p>
        </w:tc>
        <w:tc>
          <w:tcPr>
            <w:tcW w:w="1834" w:type="dxa"/>
          </w:tcPr>
          <w:p w14:paraId="53F6F0AC">
            <w:pPr>
              <w:spacing w:before="31" w:line="226" w:lineRule="auto"/>
              <w:ind w:left="503"/>
              <w:rPr>
                <w:rFonts w:ascii="宋体" w:hAnsi="宋体" w:eastAsia="宋体" w:cs="宋体"/>
                <w:sz w:val="20"/>
                <w:szCs w:val="20"/>
              </w:rPr>
            </w:pPr>
            <w:r>
              <w:rPr>
                <w:rFonts w:ascii="宋体" w:hAnsi="宋体" w:eastAsia="宋体" w:cs="宋体"/>
                <w:spacing w:val="7"/>
                <w:sz w:val="20"/>
                <w:szCs w:val="20"/>
              </w:rPr>
              <w:t>直接排</w:t>
            </w:r>
            <w:r>
              <w:rPr>
                <w:rFonts w:ascii="宋体" w:hAnsi="宋体" w:eastAsia="宋体" w:cs="宋体"/>
                <w:spacing w:val="6"/>
                <w:sz w:val="20"/>
                <w:szCs w:val="20"/>
              </w:rPr>
              <w:t>放</w:t>
            </w:r>
          </w:p>
        </w:tc>
        <w:tc>
          <w:tcPr>
            <w:tcW w:w="6136" w:type="dxa"/>
            <w:tcBorders>
              <w:right w:val="nil"/>
            </w:tcBorders>
          </w:tcPr>
          <w:p w14:paraId="437BE800">
            <w:pPr>
              <w:spacing w:line="274" w:lineRule="exact"/>
              <w:ind w:left="2048"/>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Q</w:t>
            </w:r>
            <w:r>
              <w:rPr>
                <w:rFonts w:ascii="Times New Roman" w:hAnsi="Times New Roman" w:eastAsia="Times New Roman" w:cs="Times New Roman"/>
                <w:spacing w:val="4"/>
                <w:position w:val="2"/>
                <w:sz w:val="20"/>
                <w:szCs w:val="20"/>
              </w:rPr>
              <w:t>≥200</w:t>
            </w:r>
            <w:r>
              <w:rPr>
                <w:rFonts w:ascii="Times New Roman" w:hAnsi="Times New Roman" w:eastAsia="Times New Roman" w:cs="Times New Roman"/>
                <w:spacing w:val="2"/>
                <w:position w:val="2"/>
                <w:sz w:val="20"/>
                <w:szCs w:val="20"/>
              </w:rPr>
              <w:t xml:space="preserve">00 </w:t>
            </w:r>
            <w:r>
              <w:rPr>
                <w:rFonts w:ascii="宋体" w:hAnsi="宋体" w:eastAsia="宋体" w:cs="宋体"/>
                <w:spacing w:val="2"/>
                <w:position w:val="2"/>
                <w:sz w:val="20"/>
                <w:szCs w:val="20"/>
              </w:rPr>
              <w:t xml:space="preserve">或 </w:t>
            </w:r>
            <w:r>
              <w:rPr>
                <w:rFonts w:ascii="Times New Roman" w:hAnsi="Times New Roman" w:eastAsia="Times New Roman" w:cs="Times New Roman"/>
                <w:position w:val="2"/>
                <w:sz w:val="20"/>
                <w:szCs w:val="20"/>
              </w:rPr>
              <w:t>W</w:t>
            </w:r>
            <w:r>
              <w:rPr>
                <w:rFonts w:ascii="Times New Roman" w:hAnsi="Times New Roman" w:eastAsia="Times New Roman" w:cs="Times New Roman"/>
                <w:spacing w:val="2"/>
                <w:position w:val="2"/>
                <w:sz w:val="20"/>
                <w:szCs w:val="20"/>
              </w:rPr>
              <w:t>≥600000</w:t>
            </w:r>
          </w:p>
        </w:tc>
      </w:tr>
      <w:tr w14:paraId="4D9D5C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743" w:type="dxa"/>
            <w:tcBorders>
              <w:left w:val="nil"/>
            </w:tcBorders>
          </w:tcPr>
          <w:p w14:paraId="66B01A7D">
            <w:pPr>
              <w:spacing w:before="33" w:line="224" w:lineRule="auto"/>
              <w:ind w:left="671"/>
              <w:rPr>
                <w:rFonts w:ascii="宋体" w:hAnsi="宋体" w:eastAsia="宋体" w:cs="宋体"/>
                <w:sz w:val="20"/>
                <w:szCs w:val="20"/>
              </w:rPr>
            </w:pPr>
            <w:r>
              <w:rPr>
                <w:rFonts w:ascii="宋体" w:hAnsi="宋体" w:eastAsia="宋体" w:cs="宋体"/>
                <w:spacing w:val="3"/>
                <w:sz w:val="20"/>
                <w:szCs w:val="20"/>
              </w:rPr>
              <w:t>二级</w:t>
            </w:r>
          </w:p>
        </w:tc>
        <w:tc>
          <w:tcPr>
            <w:tcW w:w="1834" w:type="dxa"/>
          </w:tcPr>
          <w:p w14:paraId="0CF5254D">
            <w:pPr>
              <w:spacing w:before="33" w:line="224" w:lineRule="auto"/>
              <w:ind w:left="503"/>
              <w:rPr>
                <w:rFonts w:ascii="宋体" w:hAnsi="宋体" w:eastAsia="宋体" w:cs="宋体"/>
                <w:sz w:val="20"/>
                <w:szCs w:val="20"/>
              </w:rPr>
            </w:pPr>
            <w:r>
              <w:rPr>
                <w:rFonts w:ascii="宋体" w:hAnsi="宋体" w:eastAsia="宋体" w:cs="宋体"/>
                <w:spacing w:val="7"/>
                <w:sz w:val="20"/>
                <w:szCs w:val="20"/>
              </w:rPr>
              <w:t>直接排</w:t>
            </w:r>
            <w:r>
              <w:rPr>
                <w:rFonts w:ascii="宋体" w:hAnsi="宋体" w:eastAsia="宋体" w:cs="宋体"/>
                <w:spacing w:val="6"/>
                <w:sz w:val="20"/>
                <w:szCs w:val="20"/>
              </w:rPr>
              <w:t>放</w:t>
            </w:r>
          </w:p>
        </w:tc>
        <w:tc>
          <w:tcPr>
            <w:tcW w:w="6136" w:type="dxa"/>
            <w:tcBorders>
              <w:right w:val="nil"/>
            </w:tcBorders>
          </w:tcPr>
          <w:p w14:paraId="33A4A010">
            <w:pPr>
              <w:spacing w:before="33" w:line="224" w:lineRule="auto"/>
              <w:ind w:left="2864"/>
              <w:rPr>
                <w:rFonts w:ascii="宋体" w:hAnsi="宋体" w:eastAsia="宋体" w:cs="宋体"/>
                <w:sz w:val="20"/>
                <w:szCs w:val="20"/>
              </w:rPr>
            </w:pPr>
            <w:r>
              <w:rPr>
                <w:rFonts w:ascii="宋体" w:hAnsi="宋体" w:eastAsia="宋体" w:cs="宋体"/>
                <w:spacing w:val="4"/>
                <w:sz w:val="20"/>
                <w:szCs w:val="20"/>
              </w:rPr>
              <w:t>其他</w:t>
            </w:r>
          </w:p>
        </w:tc>
      </w:tr>
      <w:tr w14:paraId="1565B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743" w:type="dxa"/>
            <w:tcBorders>
              <w:left w:val="nil"/>
            </w:tcBorders>
          </w:tcPr>
          <w:p w14:paraId="28EA0129">
            <w:pPr>
              <w:spacing w:before="35" w:line="223" w:lineRule="auto"/>
              <w:ind w:left="567"/>
              <w:rPr>
                <w:rFonts w:ascii="Times New Roman" w:hAnsi="Times New Roman" w:eastAsia="Times New Roman" w:cs="Times New Roman"/>
                <w:sz w:val="20"/>
                <w:szCs w:val="20"/>
              </w:rPr>
            </w:pPr>
            <w:r>
              <w:rPr>
                <w:rFonts w:ascii="宋体" w:hAnsi="宋体" w:eastAsia="宋体" w:cs="宋体"/>
                <w:spacing w:val="-8"/>
                <w:sz w:val="20"/>
                <w:szCs w:val="20"/>
              </w:rPr>
              <w:t>三</w:t>
            </w:r>
            <w:r>
              <w:rPr>
                <w:rFonts w:ascii="宋体" w:hAnsi="宋体" w:eastAsia="宋体" w:cs="宋体"/>
                <w:spacing w:val="-7"/>
                <w:sz w:val="20"/>
                <w:szCs w:val="20"/>
              </w:rPr>
              <w:t xml:space="preserve">级 </w:t>
            </w:r>
            <w:r>
              <w:rPr>
                <w:rFonts w:ascii="Times New Roman" w:hAnsi="Times New Roman" w:eastAsia="Times New Roman" w:cs="Times New Roman"/>
                <w:spacing w:val="-7"/>
                <w:sz w:val="20"/>
                <w:szCs w:val="20"/>
              </w:rPr>
              <w:t>A</w:t>
            </w:r>
          </w:p>
        </w:tc>
        <w:tc>
          <w:tcPr>
            <w:tcW w:w="1834" w:type="dxa"/>
          </w:tcPr>
          <w:p w14:paraId="343B54EB">
            <w:pPr>
              <w:spacing w:before="35" w:line="223" w:lineRule="auto"/>
              <w:ind w:left="503"/>
              <w:rPr>
                <w:rFonts w:ascii="宋体" w:hAnsi="宋体" w:eastAsia="宋体" w:cs="宋体"/>
                <w:sz w:val="20"/>
                <w:szCs w:val="20"/>
              </w:rPr>
            </w:pPr>
            <w:r>
              <w:rPr>
                <w:rFonts w:ascii="宋体" w:hAnsi="宋体" w:eastAsia="宋体" w:cs="宋体"/>
                <w:spacing w:val="7"/>
                <w:sz w:val="20"/>
                <w:szCs w:val="20"/>
              </w:rPr>
              <w:t>直接排</w:t>
            </w:r>
            <w:r>
              <w:rPr>
                <w:rFonts w:ascii="宋体" w:hAnsi="宋体" w:eastAsia="宋体" w:cs="宋体"/>
                <w:spacing w:val="6"/>
                <w:sz w:val="20"/>
                <w:szCs w:val="20"/>
              </w:rPr>
              <w:t>放</w:t>
            </w:r>
          </w:p>
        </w:tc>
        <w:tc>
          <w:tcPr>
            <w:tcW w:w="6136" w:type="dxa"/>
            <w:tcBorders>
              <w:right w:val="nil"/>
            </w:tcBorders>
          </w:tcPr>
          <w:p w14:paraId="633578BC">
            <w:pPr>
              <w:spacing w:before="35" w:line="221" w:lineRule="auto"/>
              <w:ind w:left="2163"/>
              <w:rPr>
                <w:rFonts w:ascii="Times New Roman" w:hAnsi="Times New Roman" w:eastAsia="Times New Roman" w:cs="Times New Roman"/>
                <w:sz w:val="20"/>
                <w:szCs w:val="20"/>
              </w:rPr>
            </w:pPr>
            <w:r>
              <w:rPr>
                <w:rFonts w:ascii="Times New Roman" w:hAnsi="Times New Roman" w:eastAsia="Times New Roman" w:cs="Times New Roman"/>
                <w:sz w:val="20"/>
                <w:szCs w:val="20"/>
              </w:rPr>
              <w:t>Q</w:t>
            </w:r>
            <w:r>
              <w:rPr>
                <w:rFonts w:ascii="宋体" w:hAnsi="宋体" w:eastAsia="宋体" w:cs="宋体"/>
                <w:spacing w:val="4"/>
                <w:sz w:val="20"/>
                <w:szCs w:val="20"/>
              </w:rPr>
              <w:t>＜</w:t>
            </w:r>
            <w:r>
              <w:rPr>
                <w:rFonts w:ascii="Times New Roman" w:hAnsi="Times New Roman" w:eastAsia="Times New Roman" w:cs="Times New Roman"/>
                <w:spacing w:val="4"/>
                <w:sz w:val="20"/>
                <w:szCs w:val="20"/>
              </w:rPr>
              <w:t>2</w:t>
            </w:r>
            <w:r>
              <w:rPr>
                <w:rFonts w:ascii="Times New Roman" w:hAnsi="Times New Roman" w:eastAsia="Times New Roman" w:cs="Times New Roman"/>
                <w:spacing w:val="3"/>
                <w:sz w:val="20"/>
                <w:szCs w:val="20"/>
              </w:rPr>
              <w:t>0</w:t>
            </w:r>
            <w:r>
              <w:rPr>
                <w:rFonts w:ascii="Times New Roman" w:hAnsi="Times New Roman" w:eastAsia="Times New Roman" w:cs="Times New Roman"/>
                <w:spacing w:val="2"/>
                <w:sz w:val="20"/>
                <w:szCs w:val="20"/>
              </w:rPr>
              <w:t xml:space="preserve">0 </w:t>
            </w:r>
            <w:r>
              <w:rPr>
                <w:rFonts w:ascii="宋体" w:hAnsi="宋体" w:eastAsia="宋体" w:cs="宋体"/>
                <w:spacing w:val="2"/>
                <w:sz w:val="20"/>
                <w:szCs w:val="20"/>
              </w:rPr>
              <w:t xml:space="preserve">且 </w:t>
            </w:r>
            <w:r>
              <w:rPr>
                <w:rFonts w:ascii="Times New Roman" w:hAnsi="Times New Roman" w:eastAsia="Times New Roman" w:cs="Times New Roman"/>
                <w:sz w:val="20"/>
                <w:szCs w:val="20"/>
              </w:rPr>
              <w:t>W</w:t>
            </w:r>
            <w:r>
              <w:rPr>
                <w:rFonts w:ascii="宋体" w:hAnsi="宋体" w:eastAsia="宋体" w:cs="宋体"/>
                <w:spacing w:val="2"/>
                <w:sz w:val="20"/>
                <w:szCs w:val="20"/>
              </w:rPr>
              <w:t>＜</w:t>
            </w:r>
            <w:r>
              <w:rPr>
                <w:rFonts w:ascii="Times New Roman" w:hAnsi="Times New Roman" w:eastAsia="Times New Roman" w:cs="Times New Roman"/>
                <w:spacing w:val="2"/>
                <w:sz w:val="20"/>
                <w:szCs w:val="20"/>
              </w:rPr>
              <w:t>6000</w:t>
            </w:r>
          </w:p>
        </w:tc>
      </w:tr>
      <w:tr w14:paraId="38736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1743" w:type="dxa"/>
            <w:tcBorders>
              <w:left w:val="nil"/>
            </w:tcBorders>
          </w:tcPr>
          <w:p w14:paraId="7AD463D1">
            <w:pPr>
              <w:spacing w:before="34" w:line="230" w:lineRule="auto"/>
              <w:ind w:left="572"/>
              <w:rPr>
                <w:rFonts w:ascii="Times New Roman" w:hAnsi="Times New Roman" w:eastAsia="Times New Roman" w:cs="Times New Roman"/>
                <w:sz w:val="20"/>
                <w:szCs w:val="20"/>
              </w:rPr>
            </w:pPr>
            <w:r>
              <w:rPr>
                <w:rFonts w:ascii="宋体" w:hAnsi="宋体" w:eastAsia="宋体" w:cs="宋体"/>
                <w:spacing w:val="-9"/>
                <w:sz w:val="20"/>
                <w:szCs w:val="20"/>
              </w:rPr>
              <w:t>三</w:t>
            </w:r>
            <w:r>
              <w:rPr>
                <w:rFonts w:ascii="宋体" w:hAnsi="宋体" w:eastAsia="宋体" w:cs="宋体"/>
                <w:spacing w:val="-7"/>
                <w:sz w:val="20"/>
                <w:szCs w:val="20"/>
              </w:rPr>
              <w:t xml:space="preserve">级 </w:t>
            </w:r>
            <w:r>
              <w:rPr>
                <w:rFonts w:ascii="Times New Roman" w:hAnsi="Times New Roman" w:eastAsia="Times New Roman" w:cs="Times New Roman"/>
                <w:spacing w:val="-7"/>
                <w:sz w:val="20"/>
                <w:szCs w:val="20"/>
              </w:rPr>
              <w:t>B</w:t>
            </w:r>
          </w:p>
        </w:tc>
        <w:tc>
          <w:tcPr>
            <w:tcW w:w="1834" w:type="dxa"/>
          </w:tcPr>
          <w:p w14:paraId="4106489B">
            <w:pPr>
              <w:spacing w:before="34" w:line="229" w:lineRule="auto"/>
              <w:ind w:left="518"/>
              <w:rPr>
                <w:rFonts w:ascii="宋体" w:hAnsi="宋体" w:eastAsia="宋体" w:cs="宋体"/>
                <w:sz w:val="20"/>
                <w:szCs w:val="20"/>
              </w:rPr>
            </w:pPr>
            <w:r>
              <w:rPr>
                <w:rFonts w:ascii="宋体" w:hAnsi="宋体" w:eastAsia="宋体" w:cs="宋体"/>
                <w:spacing w:val="4"/>
                <w:sz w:val="20"/>
                <w:szCs w:val="20"/>
              </w:rPr>
              <w:t>间</w:t>
            </w:r>
            <w:r>
              <w:rPr>
                <w:rFonts w:ascii="宋体" w:hAnsi="宋体" w:eastAsia="宋体" w:cs="宋体"/>
                <w:spacing w:val="3"/>
                <w:sz w:val="20"/>
                <w:szCs w:val="20"/>
              </w:rPr>
              <w:t>接排放</w:t>
            </w:r>
          </w:p>
        </w:tc>
        <w:tc>
          <w:tcPr>
            <w:tcW w:w="6136" w:type="dxa"/>
            <w:tcBorders>
              <w:right w:val="nil"/>
            </w:tcBorders>
          </w:tcPr>
          <w:p w14:paraId="291C2991">
            <w:pPr>
              <w:spacing w:line="278" w:lineRule="exact"/>
              <w:ind w:left="303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bl>
    <w:p w14:paraId="3F8B3FD3">
      <w:pPr>
        <w:spacing w:before="35" w:line="375" w:lineRule="auto"/>
        <w:ind w:left="510" w:right="452" w:firstLine="446"/>
        <w:rPr>
          <w:rFonts w:ascii="宋体" w:hAnsi="宋体" w:eastAsia="宋体" w:cs="宋体"/>
          <w:sz w:val="23"/>
          <w:szCs w:val="23"/>
        </w:rPr>
      </w:pPr>
      <w:r>
        <w:rPr>
          <w:rFonts w:ascii="宋体" w:hAnsi="宋体" w:eastAsia="宋体" w:cs="宋体"/>
          <w:spacing w:val="10"/>
          <w:sz w:val="23"/>
          <w:szCs w:val="23"/>
        </w:rPr>
        <w:t>拟建项</w:t>
      </w:r>
      <w:r>
        <w:rPr>
          <w:rFonts w:ascii="宋体" w:hAnsi="宋体" w:eastAsia="宋体" w:cs="宋体"/>
          <w:spacing w:val="9"/>
          <w:sz w:val="23"/>
          <w:szCs w:val="23"/>
        </w:rPr>
        <w:t>目</w:t>
      </w:r>
      <w:r>
        <w:rPr>
          <w:rFonts w:ascii="宋体" w:hAnsi="宋体" w:eastAsia="宋体" w:cs="宋体"/>
          <w:spacing w:val="5"/>
          <w:sz w:val="23"/>
          <w:szCs w:val="23"/>
        </w:rPr>
        <w:t xml:space="preserve">所产生的废水类型属简单类型有机废水，主要污染物为 </w:t>
      </w:r>
      <w:r>
        <w:rPr>
          <w:rFonts w:ascii="Times New Roman" w:hAnsi="Times New Roman" w:eastAsia="Times New Roman" w:cs="Times New Roman"/>
          <w:sz w:val="23"/>
          <w:szCs w:val="23"/>
        </w:rPr>
        <w:t>COD</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w:t>
      </w:r>
      <w:r>
        <w:rPr>
          <w:rFonts w:ascii="Times New Roman" w:hAnsi="Times New Roman" w:eastAsia="Times New Roman" w:cs="Times New Roman"/>
          <w:sz w:val="23"/>
          <w:szCs w:val="23"/>
        </w:rPr>
        <w:t>BOD</w:t>
      </w:r>
      <w:r>
        <w:rPr>
          <w:rFonts w:ascii="Times New Roman" w:hAnsi="Times New Roman" w:eastAsia="Times New Roman" w:cs="Times New Roman"/>
          <w:spacing w:val="5"/>
          <w:position w:val="-1"/>
          <w:sz w:val="15"/>
          <w:szCs w:val="15"/>
        </w:rPr>
        <w:t>5</w:t>
      </w:r>
      <w:r>
        <w:rPr>
          <w:rFonts w:ascii="宋体" w:hAnsi="宋体" w:eastAsia="宋体" w:cs="宋体"/>
          <w:spacing w:val="5"/>
          <w:sz w:val="23"/>
          <w:szCs w:val="23"/>
        </w:rPr>
        <w:t>、</w:t>
      </w:r>
      <w:r>
        <w:rPr>
          <w:rFonts w:ascii="宋体" w:hAnsi="宋体" w:eastAsia="宋体" w:cs="宋体"/>
          <w:sz w:val="23"/>
          <w:szCs w:val="23"/>
        </w:rPr>
        <w:t xml:space="preserve"> </w:t>
      </w:r>
      <w:r>
        <w:rPr>
          <w:rFonts w:ascii="Times New Roman" w:hAnsi="Times New Roman" w:eastAsia="Times New Roman" w:cs="Times New Roman"/>
          <w:sz w:val="23"/>
          <w:szCs w:val="23"/>
        </w:rPr>
        <w:t>NH</w:t>
      </w:r>
      <w:r>
        <w:rPr>
          <w:rFonts w:ascii="Times New Roman" w:hAnsi="Times New Roman" w:eastAsia="Times New Roman" w:cs="Times New Roman"/>
          <w:spacing w:val="20"/>
          <w:position w:val="-1"/>
          <w:sz w:val="15"/>
          <w:szCs w:val="15"/>
        </w:rPr>
        <w:t>3</w:t>
      </w:r>
      <w:r>
        <w:rPr>
          <w:rFonts w:ascii="Times New Roman" w:hAnsi="Times New Roman" w:eastAsia="Times New Roman" w:cs="Times New Roman"/>
          <w:spacing w:val="20"/>
          <w:sz w:val="23"/>
          <w:szCs w:val="23"/>
        </w:rPr>
        <w:t>-</w:t>
      </w:r>
      <w:r>
        <w:rPr>
          <w:rFonts w:ascii="Times New Roman" w:hAnsi="Times New Roman" w:eastAsia="Times New Roman" w:cs="Times New Roman"/>
          <w:sz w:val="23"/>
          <w:szCs w:val="23"/>
        </w:rPr>
        <w:t>N</w:t>
      </w:r>
      <w:r>
        <w:rPr>
          <w:rFonts w:ascii="Times New Roman" w:hAnsi="Times New Roman" w:eastAsia="Times New Roman" w:cs="Times New Roman"/>
          <w:spacing w:val="13"/>
          <w:sz w:val="23"/>
          <w:szCs w:val="23"/>
        </w:rPr>
        <w:t xml:space="preserve"> </w:t>
      </w:r>
      <w:r>
        <w:rPr>
          <w:rFonts w:ascii="宋体" w:hAnsi="宋体" w:eastAsia="宋体" w:cs="宋体"/>
          <w:spacing w:val="10"/>
          <w:sz w:val="23"/>
          <w:szCs w:val="23"/>
        </w:rPr>
        <w:t>等，全部实现综合利用，无废水外排。根据《环境影响评价技术导则  地表</w:t>
      </w:r>
      <w:r>
        <w:rPr>
          <w:rFonts w:ascii="宋体" w:hAnsi="宋体" w:eastAsia="宋体" w:cs="宋体"/>
          <w:sz w:val="23"/>
          <w:szCs w:val="23"/>
        </w:rPr>
        <w:t xml:space="preserve"> </w:t>
      </w:r>
      <w:r>
        <w:rPr>
          <w:rFonts w:ascii="宋体" w:hAnsi="宋体" w:eastAsia="宋体" w:cs="宋体"/>
          <w:spacing w:val="8"/>
          <w:sz w:val="23"/>
          <w:szCs w:val="23"/>
        </w:rPr>
        <w:t>水</w:t>
      </w:r>
      <w:r>
        <w:rPr>
          <w:rFonts w:ascii="宋体" w:hAnsi="宋体" w:eastAsia="宋体" w:cs="宋体"/>
          <w:spacing w:val="5"/>
          <w:sz w:val="23"/>
          <w:szCs w:val="23"/>
        </w:rPr>
        <w:t>环</w:t>
      </w:r>
      <w:r>
        <w:rPr>
          <w:rFonts w:ascii="宋体" w:hAnsi="宋体" w:eastAsia="宋体" w:cs="宋体"/>
          <w:spacing w:val="4"/>
          <w:sz w:val="23"/>
          <w:szCs w:val="23"/>
        </w:rPr>
        <w:t>境》  (</w:t>
      </w:r>
      <w:r>
        <w:rPr>
          <w:rFonts w:ascii="Times New Roman" w:hAnsi="Times New Roman" w:eastAsia="Times New Roman" w:cs="Times New Roman"/>
          <w:sz w:val="23"/>
          <w:szCs w:val="23"/>
        </w:rPr>
        <w:t>HJ</w:t>
      </w:r>
      <w:r>
        <w:rPr>
          <w:rFonts w:ascii="Times New Roman" w:hAnsi="Times New Roman" w:eastAsia="Times New Roman" w:cs="Times New Roman"/>
          <w:spacing w:val="4"/>
          <w:sz w:val="23"/>
          <w:szCs w:val="23"/>
        </w:rPr>
        <w:t>2.3-2018</w:t>
      </w:r>
      <w:r>
        <w:rPr>
          <w:rFonts w:ascii="宋体" w:hAnsi="宋体" w:eastAsia="宋体" w:cs="宋体"/>
          <w:spacing w:val="4"/>
          <w:sz w:val="23"/>
          <w:szCs w:val="23"/>
        </w:rPr>
        <w:t>) ，</w:t>
      </w:r>
      <w:r>
        <w:rPr>
          <w:rFonts w:ascii="宋体" w:hAnsi="宋体" w:eastAsia="宋体" w:cs="宋体"/>
          <w:spacing w:val="4"/>
          <w:sz w:val="23"/>
          <w:szCs w:val="23"/>
          <w14:textOutline w14:w="4356" w14:cap="sq" w14:cmpd="sng" w14:algn="ctr">
            <w14:solidFill>
              <w14:srgbClr w14:val="000000"/>
            </w14:solidFill>
            <w14:prstDash w14:val="solid"/>
            <w14:bevel/>
          </w14:textOutline>
        </w:rPr>
        <w:t>确定本项目地表水环境影响评价等级为三级</w:t>
      </w:r>
      <w:r>
        <w:rPr>
          <w:rFonts w:ascii="宋体" w:hAnsi="宋体" w:eastAsia="宋体" w:cs="宋体"/>
          <w:spacing w:val="4"/>
          <w:sz w:val="23"/>
          <w:szCs w:val="23"/>
        </w:rPr>
        <w:t xml:space="preserve"> </w:t>
      </w:r>
      <w:r>
        <w:rPr>
          <w:rFonts w:ascii="Times New Roman" w:hAnsi="Times New Roman" w:eastAsia="Times New Roman" w:cs="Times New Roman"/>
          <w:b/>
          <w:bCs/>
          <w:sz w:val="23"/>
          <w:szCs w:val="23"/>
        </w:rPr>
        <w:t>B</w:t>
      </w:r>
      <w:r>
        <w:rPr>
          <w:rFonts w:ascii="宋体" w:hAnsi="宋体" w:eastAsia="宋体" w:cs="宋体"/>
          <w:spacing w:val="4"/>
          <w:sz w:val="23"/>
          <w:szCs w:val="23"/>
          <w14:textOutline w14:w="4356" w14:cap="sq" w14:cmpd="sng" w14:algn="ctr">
            <w14:solidFill>
              <w14:srgbClr w14:val="000000"/>
            </w14:solidFill>
            <w14:prstDash w14:val="solid"/>
            <w14:bevel/>
          </w14:textOutline>
        </w:rPr>
        <w:t>。</w:t>
      </w:r>
    </w:p>
    <w:p w14:paraId="5C1C660E">
      <w:pPr>
        <w:spacing w:before="1" w:line="225" w:lineRule="auto"/>
        <w:ind w:left="1014"/>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2</w:t>
      </w:r>
      <w:r>
        <w:rPr>
          <w:rFonts w:ascii="宋体" w:hAnsi="宋体" w:eastAsia="宋体" w:cs="宋体"/>
          <w:spacing w:val="20"/>
          <w:sz w:val="23"/>
          <w:szCs w:val="23"/>
        </w:rPr>
        <w:t>) 评价范</w:t>
      </w:r>
      <w:r>
        <w:rPr>
          <w:rFonts w:ascii="宋体" w:hAnsi="宋体" w:eastAsia="宋体" w:cs="宋体"/>
          <w:spacing w:val="19"/>
          <w:sz w:val="23"/>
          <w:szCs w:val="23"/>
        </w:rPr>
        <w:t>围</w:t>
      </w:r>
    </w:p>
    <w:p w14:paraId="48841036">
      <w:pPr>
        <w:spacing w:before="184" w:line="226" w:lineRule="auto"/>
        <w:ind w:left="1003"/>
        <w:rPr>
          <w:rFonts w:ascii="宋体" w:hAnsi="宋体" w:eastAsia="宋体" w:cs="宋体"/>
          <w:sz w:val="23"/>
          <w:szCs w:val="23"/>
        </w:rPr>
      </w:pPr>
      <w:r>
        <w:rPr>
          <w:rFonts w:ascii="宋体" w:hAnsi="宋体" w:eastAsia="宋体" w:cs="宋体"/>
          <w:spacing w:val="10"/>
          <w:sz w:val="23"/>
          <w:szCs w:val="23"/>
        </w:rPr>
        <w:t>三级</w:t>
      </w:r>
      <w:r>
        <w:rPr>
          <w:rFonts w:ascii="宋体" w:hAnsi="宋体" w:eastAsia="宋体" w:cs="宋体"/>
          <w:spacing w:val="8"/>
          <w:sz w:val="23"/>
          <w:szCs w:val="23"/>
        </w:rPr>
        <w:t xml:space="preserve"> </w:t>
      </w:r>
      <w:r>
        <w:rPr>
          <w:rFonts w:ascii="Times New Roman" w:hAnsi="Times New Roman" w:eastAsia="Times New Roman" w:cs="Times New Roman"/>
          <w:sz w:val="23"/>
          <w:szCs w:val="23"/>
        </w:rPr>
        <w:t>B</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评价项目不进行进一步评价与预测。</w:t>
      </w:r>
    </w:p>
    <w:p w14:paraId="0D6EBB64">
      <w:pPr>
        <w:spacing w:before="186" w:line="228" w:lineRule="auto"/>
        <w:ind w:left="1048"/>
        <w:outlineLvl w:val="2"/>
        <w:rPr>
          <w:rFonts w:ascii="宋体" w:hAnsi="宋体" w:eastAsia="宋体" w:cs="宋体"/>
          <w:sz w:val="23"/>
          <w:szCs w:val="23"/>
        </w:rPr>
      </w:pPr>
      <w:r>
        <w:rPr>
          <w:rFonts w:ascii="Times New Roman" w:hAnsi="Times New Roman" w:eastAsia="Times New Roman" w:cs="Times New Roman"/>
          <w:b/>
          <w:bCs/>
          <w:spacing w:val="15"/>
          <w:sz w:val="23"/>
          <w:szCs w:val="23"/>
        </w:rPr>
        <w:t>1.5.3</w:t>
      </w:r>
      <w:r>
        <w:rPr>
          <w:rFonts w:ascii="Times New Roman" w:hAnsi="Times New Roman" w:eastAsia="Times New Roman" w:cs="Times New Roman"/>
          <w:spacing w:val="15"/>
          <w:sz w:val="23"/>
          <w:szCs w:val="23"/>
        </w:rPr>
        <w:t xml:space="preserve">  </w:t>
      </w:r>
      <w:r>
        <w:rPr>
          <w:rFonts w:ascii="宋体" w:hAnsi="宋体" w:eastAsia="宋体" w:cs="宋体"/>
          <w:spacing w:val="15"/>
          <w:sz w:val="23"/>
          <w:szCs w:val="23"/>
          <w14:textOutline w14:w="4356" w14:cap="sq" w14:cmpd="sng" w14:algn="ctr">
            <w14:solidFill>
              <w14:srgbClr w14:val="000000"/>
            </w14:solidFill>
            <w14:prstDash w14:val="solid"/>
            <w14:bevel/>
          </w14:textOutline>
        </w:rPr>
        <w:t>声环</w:t>
      </w:r>
      <w:r>
        <w:rPr>
          <w:rFonts w:ascii="宋体" w:hAnsi="宋体" w:eastAsia="宋体" w:cs="宋体"/>
          <w:spacing w:val="14"/>
          <w:sz w:val="23"/>
          <w:szCs w:val="23"/>
          <w14:textOutline w14:w="4356" w14:cap="sq" w14:cmpd="sng" w14:algn="ctr">
            <w14:solidFill>
              <w14:srgbClr w14:val="000000"/>
            </w14:solidFill>
            <w14:prstDash w14:val="solid"/>
            <w14:bevel/>
          </w14:textOutline>
        </w:rPr>
        <w:t>境</w:t>
      </w:r>
    </w:p>
    <w:p w14:paraId="6C17A1A6">
      <w:pPr>
        <w:spacing w:before="184" w:line="226" w:lineRule="auto"/>
        <w:ind w:left="1014"/>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1</w:t>
      </w:r>
      <w:r>
        <w:rPr>
          <w:rFonts w:ascii="宋体" w:hAnsi="宋体" w:eastAsia="宋体" w:cs="宋体"/>
          <w:spacing w:val="20"/>
          <w:sz w:val="23"/>
          <w:szCs w:val="23"/>
        </w:rPr>
        <w:t>) 评价等</w:t>
      </w:r>
      <w:r>
        <w:rPr>
          <w:rFonts w:ascii="宋体" w:hAnsi="宋体" w:eastAsia="宋体" w:cs="宋体"/>
          <w:spacing w:val="19"/>
          <w:sz w:val="23"/>
          <w:szCs w:val="23"/>
        </w:rPr>
        <w:t>级</w:t>
      </w:r>
    </w:p>
    <w:p w14:paraId="61A15197">
      <w:pPr>
        <w:spacing w:before="183" w:line="375" w:lineRule="auto"/>
        <w:ind w:left="523" w:right="513" w:firstLine="480"/>
        <w:rPr>
          <w:rFonts w:ascii="宋体" w:hAnsi="宋体" w:eastAsia="宋体" w:cs="宋体"/>
          <w:sz w:val="23"/>
          <w:szCs w:val="23"/>
        </w:rPr>
      </w:pPr>
      <w:r>
        <w:rPr>
          <w:rFonts w:ascii="宋体" w:hAnsi="宋体" w:eastAsia="宋体" w:cs="宋体"/>
          <w:spacing w:val="9"/>
          <w:sz w:val="23"/>
          <w:szCs w:val="23"/>
        </w:rPr>
        <w:t xml:space="preserve">根据本项目执行标准确认的函，项目所处的区域为 </w:t>
      </w:r>
      <w:r>
        <w:rPr>
          <w:rFonts w:ascii="Times New Roman" w:hAnsi="Times New Roman" w:eastAsia="Times New Roman" w:cs="Times New Roman"/>
          <w:spacing w:val="9"/>
          <w:sz w:val="23"/>
          <w:szCs w:val="23"/>
        </w:rPr>
        <w:t xml:space="preserve">2 </w:t>
      </w:r>
      <w:r>
        <w:rPr>
          <w:rFonts w:ascii="宋体" w:hAnsi="宋体" w:eastAsia="宋体" w:cs="宋体"/>
          <w:spacing w:val="9"/>
          <w:sz w:val="23"/>
          <w:szCs w:val="23"/>
        </w:rPr>
        <w:t>类声功能区，依据《环</w:t>
      </w:r>
      <w:r>
        <w:rPr>
          <w:rFonts w:ascii="宋体" w:hAnsi="宋体" w:eastAsia="宋体" w:cs="宋体"/>
          <w:spacing w:val="3"/>
          <w:sz w:val="23"/>
          <w:szCs w:val="23"/>
        </w:rPr>
        <w:t>境</w:t>
      </w:r>
      <w:r>
        <w:rPr>
          <w:rFonts w:ascii="宋体" w:hAnsi="宋体" w:eastAsia="宋体" w:cs="宋体"/>
          <w:sz w:val="23"/>
          <w:szCs w:val="23"/>
        </w:rPr>
        <w:t xml:space="preserve"> </w:t>
      </w:r>
      <w:r>
        <w:rPr>
          <w:rFonts w:ascii="宋体" w:hAnsi="宋体" w:eastAsia="宋体" w:cs="宋体"/>
          <w:spacing w:val="10"/>
          <w:sz w:val="23"/>
          <w:szCs w:val="23"/>
        </w:rPr>
        <w:t>影</w:t>
      </w:r>
      <w:r>
        <w:rPr>
          <w:rFonts w:ascii="宋体" w:hAnsi="宋体" w:eastAsia="宋体" w:cs="宋体"/>
          <w:spacing w:val="9"/>
          <w:sz w:val="23"/>
          <w:szCs w:val="23"/>
        </w:rPr>
        <w:t>响</w:t>
      </w:r>
      <w:r>
        <w:rPr>
          <w:rFonts w:ascii="宋体" w:hAnsi="宋体" w:eastAsia="宋体" w:cs="宋体"/>
          <w:spacing w:val="5"/>
          <w:sz w:val="23"/>
          <w:szCs w:val="23"/>
        </w:rPr>
        <w:t>评价技术导则</w:t>
      </w:r>
      <w:r>
        <w:rPr>
          <w:rFonts w:ascii="Times New Roman" w:hAnsi="Times New Roman" w:eastAsia="Times New Roman" w:cs="Times New Roman"/>
          <w:spacing w:val="5"/>
          <w:sz w:val="23"/>
          <w:szCs w:val="23"/>
        </w:rPr>
        <w:t>-</w:t>
      </w:r>
      <w:r>
        <w:rPr>
          <w:rFonts w:ascii="宋体" w:hAnsi="宋体" w:eastAsia="宋体" w:cs="宋体"/>
          <w:spacing w:val="5"/>
          <w:sz w:val="23"/>
          <w:szCs w:val="23"/>
        </w:rPr>
        <w:t>声环境》  (</w:t>
      </w:r>
      <w:r>
        <w:rPr>
          <w:rFonts w:ascii="Times New Roman" w:hAnsi="Times New Roman" w:eastAsia="Times New Roman" w:cs="Times New Roman"/>
          <w:sz w:val="23"/>
          <w:szCs w:val="23"/>
        </w:rPr>
        <w:t>HJ</w:t>
      </w:r>
      <w:r>
        <w:rPr>
          <w:rFonts w:ascii="Times New Roman" w:hAnsi="Times New Roman" w:eastAsia="Times New Roman" w:cs="Times New Roman"/>
          <w:spacing w:val="5"/>
          <w:sz w:val="23"/>
          <w:szCs w:val="23"/>
        </w:rPr>
        <w:t>2.4-2009</w:t>
      </w:r>
      <w:r>
        <w:rPr>
          <w:rFonts w:ascii="宋体" w:hAnsi="宋体" w:eastAsia="宋体" w:cs="宋体"/>
          <w:spacing w:val="5"/>
          <w:sz w:val="23"/>
          <w:szCs w:val="23"/>
        </w:rPr>
        <w:t>) 规定，声环境影响评价等级定为二级。</w:t>
      </w:r>
    </w:p>
    <w:p w14:paraId="04C40A77">
      <w:pPr>
        <w:spacing w:line="466" w:lineRule="exact"/>
        <w:ind w:left="1014"/>
        <w:rPr>
          <w:rFonts w:ascii="宋体" w:hAnsi="宋体" w:eastAsia="宋体" w:cs="宋体"/>
          <w:sz w:val="23"/>
          <w:szCs w:val="23"/>
        </w:rPr>
      </w:pPr>
      <w:r>
        <w:rPr>
          <w:rFonts w:ascii="宋体" w:hAnsi="宋体" w:eastAsia="宋体" w:cs="宋体"/>
          <w:spacing w:val="20"/>
          <w:position w:val="17"/>
          <w:sz w:val="23"/>
          <w:szCs w:val="23"/>
        </w:rPr>
        <w:t>(</w:t>
      </w:r>
      <w:r>
        <w:rPr>
          <w:rFonts w:ascii="Times New Roman" w:hAnsi="Times New Roman" w:eastAsia="Times New Roman" w:cs="Times New Roman"/>
          <w:spacing w:val="20"/>
          <w:position w:val="17"/>
          <w:sz w:val="23"/>
          <w:szCs w:val="23"/>
        </w:rPr>
        <w:t>2</w:t>
      </w:r>
      <w:r>
        <w:rPr>
          <w:rFonts w:ascii="宋体" w:hAnsi="宋体" w:eastAsia="宋体" w:cs="宋体"/>
          <w:spacing w:val="20"/>
          <w:position w:val="17"/>
          <w:sz w:val="23"/>
          <w:szCs w:val="23"/>
        </w:rPr>
        <w:t>) 评价范</w:t>
      </w:r>
      <w:r>
        <w:rPr>
          <w:rFonts w:ascii="宋体" w:hAnsi="宋体" w:eastAsia="宋体" w:cs="宋体"/>
          <w:spacing w:val="19"/>
          <w:position w:val="17"/>
          <w:sz w:val="23"/>
          <w:szCs w:val="23"/>
        </w:rPr>
        <w:t>围</w:t>
      </w:r>
    </w:p>
    <w:p w14:paraId="6FD22D53">
      <w:pPr>
        <w:spacing w:line="228" w:lineRule="auto"/>
        <w:ind w:left="1007"/>
        <w:rPr>
          <w:rFonts w:ascii="宋体" w:hAnsi="宋体" w:eastAsia="宋体" w:cs="宋体"/>
          <w:sz w:val="23"/>
          <w:szCs w:val="23"/>
        </w:rPr>
      </w:pPr>
      <w:r>
        <w:rPr>
          <w:rFonts w:ascii="宋体" w:hAnsi="宋体" w:eastAsia="宋体" w:cs="宋体"/>
          <w:spacing w:val="1"/>
          <w:sz w:val="23"/>
          <w:szCs w:val="23"/>
        </w:rPr>
        <w:t>项目场界</w:t>
      </w:r>
      <w:r>
        <w:rPr>
          <w:rFonts w:ascii="宋体" w:hAnsi="宋体" w:eastAsia="宋体" w:cs="宋体"/>
          <w:sz w:val="23"/>
          <w:szCs w:val="23"/>
        </w:rPr>
        <w:t xml:space="preserve">外 </w:t>
      </w:r>
      <w:r>
        <w:rPr>
          <w:rFonts w:ascii="Times New Roman" w:hAnsi="Times New Roman" w:eastAsia="Times New Roman" w:cs="Times New Roman"/>
          <w:sz w:val="23"/>
          <w:szCs w:val="23"/>
        </w:rPr>
        <w:t>200m</w:t>
      </w:r>
      <w:r>
        <w:rPr>
          <w:rFonts w:ascii="宋体" w:hAnsi="宋体" w:eastAsia="宋体" w:cs="宋体"/>
          <w:sz w:val="23"/>
          <w:szCs w:val="23"/>
        </w:rPr>
        <w:t>。</w:t>
      </w:r>
    </w:p>
    <w:p w14:paraId="6D21CEE6">
      <w:pPr>
        <w:spacing w:before="184" w:line="227" w:lineRule="auto"/>
        <w:ind w:left="1048"/>
        <w:outlineLvl w:val="2"/>
        <w:rPr>
          <w:rFonts w:ascii="宋体" w:hAnsi="宋体" w:eastAsia="宋体" w:cs="宋体"/>
          <w:sz w:val="23"/>
          <w:szCs w:val="23"/>
        </w:rPr>
      </w:pPr>
      <w:r>
        <w:rPr>
          <w:rFonts w:ascii="Times New Roman" w:hAnsi="Times New Roman" w:eastAsia="Times New Roman" w:cs="Times New Roman"/>
          <w:b/>
          <w:bCs/>
          <w:spacing w:val="15"/>
          <w:sz w:val="23"/>
          <w:szCs w:val="23"/>
        </w:rPr>
        <w:t>1.5.4</w:t>
      </w:r>
      <w:r>
        <w:rPr>
          <w:rFonts w:ascii="Times New Roman" w:hAnsi="Times New Roman" w:eastAsia="Times New Roman" w:cs="Times New Roman"/>
          <w:spacing w:val="15"/>
          <w:sz w:val="23"/>
          <w:szCs w:val="23"/>
        </w:rPr>
        <w:t xml:space="preserve">  </w:t>
      </w:r>
      <w:r>
        <w:rPr>
          <w:rFonts w:ascii="宋体" w:hAnsi="宋体" w:eastAsia="宋体" w:cs="宋体"/>
          <w:spacing w:val="15"/>
          <w:sz w:val="23"/>
          <w:szCs w:val="23"/>
          <w14:textOutline w14:w="4356" w14:cap="sq" w14:cmpd="sng" w14:algn="ctr">
            <w14:solidFill>
              <w14:srgbClr w14:val="000000"/>
            </w14:solidFill>
            <w14:prstDash w14:val="solid"/>
            <w14:bevel/>
          </w14:textOutline>
        </w:rPr>
        <w:t>地下</w:t>
      </w:r>
      <w:r>
        <w:rPr>
          <w:rFonts w:ascii="宋体" w:hAnsi="宋体" w:eastAsia="宋体" w:cs="宋体"/>
          <w:spacing w:val="14"/>
          <w:sz w:val="23"/>
          <w:szCs w:val="23"/>
          <w14:textOutline w14:w="4356" w14:cap="sq" w14:cmpd="sng" w14:algn="ctr">
            <w14:solidFill>
              <w14:srgbClr w14:val="000000"/>
            </w14:solidFill>
            <w14:prstDash w14:val="solid"/>
            <w14:bevel/>
          </w14:textOutline>
        </w:rPr>
        <w:t>水</w:t>
      </w:r>
    </w:p>
    <w:p w14:paraId="450B303C">
      <w:pPr>
        <w:spacing w:before="185" w:line="226" w:lineRule="auto"/>
        <w:ind w:left="1014"/>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1</w:t>
      </w:r>
      <w:r>
        <w:rPr>
          <w:rFonts w:ascii="宋体" w:hAnsi="宋体" w:eastAsia="宋体" w:cs="宋体"/>
          <w:spacing w:val="20"/>
          <w:sz w:val="23"/>
          <w:szCs w:val="23"/>
        </w:rPr>
        <w:t>) 评价等</w:t>
      </w:r>
      <w:r>
        <w:rPr>
          <w:rFonts w:ascii="宋体" w:hAnsi="宋体" w:eastAsia="宋体" w:cs="宋体"/>
          <w:spacing w:val="19"/>
          <w:sz w:val="23"/>
          <w:szCs w:val="23"/>
        </w:rPr>
        <w:t>级</w:t>
      </w:r>
    </w:p>
    <w:p w14:paraId="5946502D">
      <w:pPr>
        <w:spacing w:before="139" w:line="382" w:lineRule="auto"/>
        <w:ind w:left="522" w:right="426" w:firstLine="480"/>
        <w:rPr>
          <w:rFonts w:ascii="宋体" w:hAnsi="宋体" w:eastAsia="宋体" w:cs="宋体"/>
          <w:sz w:val="23"/>
          <w:szCs w:val="23"/>
        </w:rPr>
      </w:pPr>
      <w:r>
        <w:rPr>
          <w:rFonts w:ascii="宋体" w:hAnsi="宋体" w:eastAsia="宋体" w:cs="宋体"/>
          <w:spacing w:val="4"/>
          <w:sz w:val="23"/>
          <w:szCs w:val="23"/>
        </w:rPr>
        <w:t>根据《环境影</w:t>
      </w:r>
      <w:r>
        <w:rPr>
          <w:rFonts w:ascii="宋体" w:hAnsi="宋体" w:eastAsia="宋体" w:cs="宋体"/>
          <w:spacing w:val="3"/>
          <w:sz w:val="23"/>
          <w:szCs w:val="23"/>
        </w:rPr>
        <w:t>响</w:t>
      </w:r>
      <w:r>
        <w:rPr>
          <w:rFonts w:ascii="宋体" w:hAnsi="宋体" w:eastAsia="宋体" w:cs="宋体"/>
          <w:spacing w:val="2"/>
          <w:sz w:val="23"/>
          <w:szCs w:val="23"/>
        </w:rPr>
        <w:t>评价技术导则</w:t>
      </w:r>
      <w:r>
        <w:rPr>
          <w:rFonts w:ascii="Times New Roman" w:hAnsi="Times New Roman" w:eastAsia="Times New Roman" w:cs="Times New Roman"/>
          <w:spacing w:val="2"/>
          <w:sz w:val="23"/>
          <w:szCs w:val="23"/>
        </w:rPr>
        <w:t>—</w:t>
      </w:r>
      <w:r>
        <w:rPr>
          <w:rFonts w:ascii="宋体" w:hAnsi="宋体" w:eastAsia="宋体" w:cs="宋体"/>
          <w:spacing w:val="2"/>
          <w:sz w:val="23"/>
          <w:szCs w:val="23"/>
        </w:rPr>
        <w:t>地下水环境》</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HJ</w:t>
      </w:r>
      <w:r>
        <w:rPr>
          <w:rFonts w:ascii="Times New Roman" w:hAnsi="Times New Roman" w:eastAsia="Times New Roman" w:cs="Times New Roman"/>
          <w:spacing w:val="2"/>
          <w:sz w:val="23"/>
          <w:szCs w:val="23"/>
        </w:rPr>
        <w:t>610-2016)</w:t>
      </w:r>
      <w:r>
        <w:rPr>
          <w:rFonts w:ascii="宋体" w:hAnsi="宋体" w:eastAsia="宋体" w:cs="宋体"/>
          <w:spacing w:val="2"/>
          <w:sz w:val="23"/>
          <w:szCs w:val="23"/>
        </w:rPr>
        <w:t>的规定，畜禽养殖场、</w:t>
      </w:r>
      <w:r>
        <w:rPr>
          <w:rFonts w:ascii="宋体" w:hAnsi="宋体" w:eastAsia="宋体" w:cs="宋体"/>
          <w:sz w:val="23"/>
          <w:szCs w:val="23"/>
        </w:rPr>
        <w:t xml:space="preserve"> </w:t>
      </w:r>
      <w:r>
        <w:rPr>
          <w:rFonts w:ascii="宋体" w:hAnsi="宋体" w:eastAsia="宋体" w:cs="宋体"/>
          <w:spacing w:val="12"/>
          <w:sz w:val="23"/>
          <w:szCs w:val="23"/>
        </w:rPr>
        <w:t>养</w:t>
      </w:r>
      <w:r>
        <w:rPr>
          <w:rFonts w:ascii="宋体" w:hAnsi="宋体" w:eastAsia="宋体" w:cs="宋体"/>
          <w:spacing w:val="11"/>
          <w:sz w:val="23"/>
          <w:szCs w:val="23"/>
        </w:rPr>
        <w:t>殖全部为Ⅲ类项目，项目附近无集中式饮用水水源准保护区以及其他国家或地方</w:t>
      </w:r>
      <w:r>
        <w:rPr>
          <w:rFonts w:ascii="宋体" w:hAnsi="宋体" w:eastAsia="宋体" w:cs="宋体"/>
          <w:sz w:val="23"/>
          <w:szCs w:val="23"/>
        </w:rPr>
        <w:t xml:space="preserve"> </w:t>
      </w:r>
      <w:r>
        <w:rPr>
          <w:rFonts w:ascii="宋体" w:hAnsi="宋体" w:eastAsia="宋体" w:cs="宋体"/>
          <w:spacing w:val="12"/>
          <w:sz w:val="23"/>
          <w:szCs w:val="23"/>
        </w:rPr>
        <w:t>政</w:t>
      </w:r>
      <w:r>
        <w:rPr>
          <w:rFonts w:ascii="宋体" w:hAnsi="宋体" w:eastAsia="宋体" w:cs="宋体"/>
          <w:spacing w:val="11"/>
          <w:sz w:val="23"/>
          <w:szCs w:val="23"/>
        </w:rPr>
        <w:t>府设定的与地下水环境相关的其它保护区。项目周边农户日常用水主要来源于水</w:t>
      </w:r>
      <w:r>
        <w:rPr>
          <w:rFonts w:ascii="宋体" w:hAnsi="宋体" w:eastAsia="宋体" w:cs="宋体"/>
          <w:sz w:val="23"/>
          <w:szCs w:val="23"/>
        </w:rPr>
        <w:t xml:space="preserve"> </w:t>
      </w:r>
      <w:r>
        <w:rPr>
          <w:rFonts w:ascii="宋体" w:hAnsi="宋体" w:eastAsia="宋体" w:cs="宋体"/>
          <w:spacing w:val="14"/>
          <w:sz w:val="23"/>
          <w:szCs w:val="23"/>
        </w:rPr>
        <w:t>井，</w:t>
      </w:r>
      <w:r>
        <w:rPr>
          <w:rFonts w:ascii="宋体" w:hAnsi="宋体" w:eastAsia="宋体" w:cs="宋体"/>
          <w:spacing w:val="10"/>
          <w:sz w:val="23"/>
          <w:szCs w:val="23"/>
        </w:rPr>
        <w:t>水</w:t>
      </w:r>
      <w:r>
        <w:rPr>
          <w:rFonts w:ascii="宋体" w:hAnsi="宋体" w:eastAsia="宋体" w:cs="宋体"/>
          <w:spacing w:val="7"/>
          <w:sz w:val="23"/>
          <w:szCs w:val="23"/>
        </w:rPr>
        <w:t xml:space="preserve">井属于分散式饮用水水源地。因此，项目属于较敏感项目。根据 </w:t>
      </w:r>
      <w:r>
        <w:rPr>
          <w:rFonts w:ascii="Times New Roman" w:hAnsi="Times New Roman" w:eastAsia="Times New Roman" w:cs="Times New Roman"/>
          <w:sz w:val="23"/>
          <w:szCs w:val="23"/>
        </w:rPr>
        <w:t>HJ</w:t>
      </w:r>
      <w:r>
        <w:rPr>
          <w:rFonts w:ascii="Times New Roman" w:hAnsi="Times New Roman" w:eastAsia="Times New Roman" w:cs="Times New Roman"/>
          <w:spacing w:val="7"/>
          <w:sz w:val="23"/>
          <w:szCs w:val="23"/>
        </w:rPr>
        <w:t>610-2016</w:t>
      </w:r>
      <w:r>
        <w:rPr>
          <w:rFonts w:ascii="Times New Roman" w:hAnsi="Times New Roman" w:eastAsia="Times New Roman" w:cs="Times New Roman"/>
          <w:sz w:val="23"/>
          <w:szCs w:val="23"/>
        </w:rPr>
        <w:t xml:space="preserve"> </w:t>
      </w:r>
      <w:r>
        <w:rPr>
          <w:rFonts w:ascii="宋体" w:hAnsi="宋体" w:eastAsia="宋体" w:cs="宋体"/>
          <w:spacing w:val="5"/>
          <w:sz w:val="23"/>
          <w:szCs w:val="23"/>
        </w:rPr>
        <w:t xml:space="preserve">中表 </w:t>
      </w:r>
      <w:r>
        <w:rPr>
          <w:rFonts w:ascii="Times New Roman" w:hAnsi="Times New Roman" w:eastAsia="Times New Roman" w:cs="Times New Roman"/>
          <w:spacing w:val="5"/>
          <w:sz w:val="23"/>
          <w:szCs w:val="23"/>
        </w:rPr>
        <w:t xml:space="preserve">2 </w:t>
      </w:r>
      <w:r>
        <w:rPr>
          <w:rFonts w:ascii="宋体" w:hAnsi="宋体" w:eastAsia="宋体" w:cs="宋体"/>
          <w:spacing w:val="5"/>
          <w:sz w:val="23"/>
          <w:szCs w:val="23"/>
        </w:rPr>
        <w:t>评价工作等级分级表判断，</w:t>
      </w:r>
      <w:r>
        <w:rPr>
          <w:rFonts w:ascii="宋体" w:hAnsi="宋体" w:eastAsia="宋体" w:cs="宋体"/>
          <w:spacing w:val="5"/>
          <w:sz w:val="23"/>
          <w:szCs w:val="23"/>
          <w14:textOutline w14:w="4356" w14:cap="sq" w14:cmpd="sng" w14:algn="ctr">
            <w14:solidFill>
              <w14:srgbClr w14:val="000000"/>
            </w14:solidFill>
            <w14:prstDash w14:val="solid"/>
            <w14:bevel/>
          </w14:textOutline>
        </w:rPr>
        <w:t>确定本项目地下水环境影响评价工作等级为三</w:t>
      </w:r>
      <w:r>
        <w:rPr>
          <w:rFonts w:ascii="宋体" w:hAnsi="宋体" w:eastAsia="宋体" w:cs="宋体"/>
          <w:spacing w:val="4"/>
          <w:sz w:val="23"/>
          <w:szCs w:val="23"/>
          <w14:textOutline w14:w="4356" w14:cap="sq" w14:cmpd="sng" w14:algn="ctr">
            <w14:solidFill>
              <w14:srgbClr w14:val="000000"/>
            </w14:solidFill>
            <w14:prstDash w14:val="solid"/>
            <w14:bevel/>
          </w14:textOutline>
        </w:rPr>
        <w:t>级</w:t>
      </w:r>
      <w:r>
        <w:rPr>
          <w:rFonts w:ascii="宋体" w:hAnsi="宋体" w:eastAsia="宋体" w:cs="宋体"/>
          <w:sz w:val="23"/>
          <w:szCs w:val="23"/>
          <w14:textOutline w14:w="4356" w14:cap="sq" w14:cmpd="sng" w14:algn="ctr">
            <w14:solidFill>
              <w14:srgbClr w14:val="000000"/>
            </w14:solidFill>
            <w14:prstDash w14:val="solid"/>
            <w14:bevel/>
          </w14:textOutline>
        </w:rPr>
        <w:t>。</w:t>
      </w:r>
    </w:p>
    <w:p w14:paraId="797EBB24">
      <w:pPr>
        <w:spacing w:before="2" w:line="225" w:lineRule="auto"/>
        <w:ind w:left="1014"/>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2</w:t>
      </w:r>
      <w:r>
        <w:rPr>
          <w:rFonts w:ascii="宋体" w:hAnsi="宋体" w:eastAsia="宋体" w:cs="宋体"/>
          <w:spacing w:val="20"/>
          <w:sz w:val="23"/>
          <w:szCs w:val="23"/>
        </w:rPr>
        <w:t>) 评价范</w:t>
      </w:r>
      <w:r>
        <w:rPr>
          <w:rFonts w:ascii="宋体" w:hAnsi="宋体" w:eastAsia="宋体" w:cs="宋体"/>
          <w:spacing w:val="19"/>
          <w:sz w:val="23"/>
          <w:szCs w:val="23"/>
        </w:rPr>
        <w:t>围</w:t>
      </w:r>
    </w:p>
    <w:p w14:paraId="0DDE4A65">
      <w:pPr>
        <w:spacing w:before="184" w:line="375" w:lineRule="auto"/>
        <w:ind w:left="524" w:right="511" w:firstLine="479"/>
        <w:rPr>
          <w:rFonts w:ascii="宋体" w:hAnsi="宋体" w:eastAsia="宋体" w:cs="宋体"/>
          <w:sz w:val="23"/>
          <w:szCs w:val="23"/>
        </w:rPr>
      </w:pPr>
      <w:r>
        <w:rPr>
          <w:rFonts w:ascii="宋体" w:hAnsi="宋体" w:eastAsia="宋体" w:cs="宋体"/>
          <w:spacing w:val="15"/>
          <w:sz w:val="23"/>
          <w:szCs w:val="23"/>
        </w:rPr>
        <w:t>地</w:t>
      </w:r>
      <w:r>
        <w:rPr>
          <w:rFonts w:ascii="宋体" w:hAnsi="宋体" w:eastAsia="宋体" w:cs="宋体"/>
          <w:spacing w:val="11"/>
          <w:sz w:val="23"/>
          <w:szCs w:val="23"/>
        </w:rPr>
        <w:t>下水环境现状调查评价范围应包括与建设项目相关的地下水环境保护目标，</w:t>
      </w:r>
      <w:r>
        <w:rPr>
          <w:rFonts w:ascii="宋体" w:hAnsi="宋体" w:eastAsia="宋体" w:cs="宋体"/>
          <w:sz w:val="23"/>
          <w:szCs w:val="23"/>
        </w:rPr>
        <w:t xml:space="preserve"> </w:t>
      </w:r>
      <w:r>
        <w:rPr>
          <w:rFonts w:ascii="宋体" w:hAnsi="宋体" w:eastAsia="宋体" w:cs="宋体"/>
          <w:spacing w:val="12"/>
          <w:sz w:val="23"/>
          <w:szCs w:val="23"/>
        </w:rPr>
        <w:t>以</w:t>
      </w:r>
      <w:r>
        <w:rPr>
          <w:rFonts w:ascii="宋体" w:hAnsi="宋体" w:eastAsia="宋体" w:cs="宋体"/>
          <w:spacing w:val="11"/>
          <w:sz w:val="23"/>
          <w:szCs w:val="23"/>
        </w:rPr>
        <w:t>能说明地下水环境的现状，反应调查评价区地下水基本流场特征，满足地下水环</w:t>
      </w:r>
      <w:r>
        <w:rPr>
          <w:rFonts w:ascii="宋体" w:hAnsi="宋体" w:eastAsia="宋体" w:cs="宋体"/>
          <w:sz w:val="23"/>
          <w:szCs w:val="23"/>
        </w:rPr>
        <w:t xml:space="preserve"> </w:t>
      </w:r>
      <w:r>
        <w:rPr>
          <w:rFonts w:ascii="宋体" w:hAnsi="宋体" w:eastAsia="宋体" w:cs="宋体"/>
          <w:spacing w:val="15"/>
          <w:sz w:val="23"/>
          <w:szCs w:val="23"/>
        </w:rPr>
        <w:t>境</w:t>
      </w:r>
      <w:r>
        <w:rPr>
          <w:rFonts w:ascii="宋体" w:hAnsi="宋体" w:eastAsia="宋体" w:cs="宋体"/>
          <w:spacing w:val="8"/>
          <w:sz w:val="23"/>
          <w:szCs w:val="23"/>
        </w:rPr>
        <w:t>影响预测和评价为基本原则。</w:t>
      </w:r>
    </w:p>
    <w:p w14:paraId="23D8B0FA">
      <w:pPr>
        <w:spacing w:before="2" w:line="381" w:lineRule="auto"/>
        <w:ind w:left="525" w:right="511" w:firstLine="478"/>
        <w:rPr>
          <w:rFonts w:ascii="宋体" w:hAnsi="宋体" w:eastAsia="宋体" w:cs="宋体"/>
          <w:sz w:val="23"/>
          <w:szCs w:val="23"/>
        </w:rPr>
      </w:pPr>
      <w:r>
        <w:rPr>
          <w:rFonts w:ascii="宋体" w:hAnsi="宋体" w:eastAsia="宋体" w:cs="宋体"/>
          <w:spacing w:val="10"/>
          <w:sz w:val="23"/>
          <w:szCs w:val="23"/>
        </w:rPr>
        <w:t>根据</w:t>
      </w:r>
      <w:r>
        <w:rPr>
          <w:rFonts w:ascii="宋体" w:hAnsi="宋体" w:eastAsia="宋体" w:cs="宋体"/>
          <w:spacing w:val="8"/>
          <w:sz w:val="23"/>
          <w:szCs w:val="23"/>
        </w:rPr>
        <w:t>《</w:t>
      </w:r>
      <w:r>
        <w:rPr>
          <w:rFonts w:ascii="宋体" w:hAnsi="宋体" w:eastAsia="宋体" w:cs="宋体"/>
          <w:spacing w:val="5"/>
          <w:sz w:val="23"/>
          <w:szCs w:val="23"/>
        </w:rPr>
        <w:t>环境影响评价技术导则地下水环境》  (</w:t>
      </w:r>
      <w:r>
        <w:rPr>
          <w:rFonts w:ascii="Times New Roman" w:hAnsi="Times New Roman" w:eastAsia="Times New Roman" w:cs="Times New Roman"/>
          <w:sz w:val="23"/>
          <w:szCs w:val="23"/>
        </w:rPr>
        <w:t>HJ</w:t>
      </w:r>
      <w:r>
        <w:rPr>
          <w:rFonts w:ascii="Times New Roman" w:hAnsi="Times New Roman" w:eastAsia="Times New Roman" w:cs="Times New Roman"/>
          <w:spacing w:val="5"/>
          <w:sz w:val="23"/>
          <w:szCs w:val="23"/>
        </w:rPr>
        <w:t xml:space="preserve"> 610-2016</w:t>
      </w:r>
      <w:r>
        <w:rPr>
          <w:rFonts w:ascii="宋体" w:hAnsi="宋体" w:eastAsia="宋体" w:cs="宋体"/>
          <w:spacing w:val="5"/>
          <w:sz w:val="23"/>
          <w:szCs w:val="23"/>
        </w:rPr>
        <w:t>) 查表法，可知项目</w:t>
      </w:r>
      <w:r>
        <w:rPr>
          <w:rFonts w:ascii="宋体" w:hAnsi="宋体" w:eastAsia="宋体" w:cs="宋体"/>
          <w:sz w:val="23"/>
          <w:szCs w:val="23"/>
        </w:rPr>
        <w:t xml:space="preserve"> </w:t>
      </w:r>
      <w:r>
        <w:rPr>
          <w:rFonts w:ascii="宋体" w:hAnsi="宋体" w:eastAsia="宋体" w:cs="宋体"/>
          <w:spacing w:val="2"/>
          <w:sz w:val="23"/>
          <w:szCs w:val="23"/>
        </w:rPr>
        <w:t xml:space="preserve">调查评价面积 </w:t>
      </w:r>
      <w:r>
        <w:rPr>
          <w:rFonts w:ascii="Times New Roman" w:hAnsi="Times New Roman" w:eastAsia="Times New Roman" w:cs="Times New Roman"/>
          <w:spacing w:val="2"/>
          <w:sz w:val="23"/>
          <w:szCs w:val="23"/>
        </w:rPr>
        <w:t>4.56</w:t>
      </w:r>
      <w:r>
        <w:rPr>
          <w:rFonts w:ascii="Times New Roman" w:hAnsi="Times New Roman" w:eastAsia="Times New Roman" w:cs="Times New Roman"/>
          <w:sz w:val="23"/>
          <w:szCs w:val="23"/>
        </w:rPr>
        <w:t>km</w:t>
      </w:r>
      <w:r>
        <w:rPr>
          <w:rFonts w:ascii="Times New Roman" w:hAnsi="Times New Roman" w:eastAsia="Times New Roman" w:cs="Times New Roman"/>
          <w:spacing w:val="2"/>
          <w:position w:val="7"/>
          <w:sz w:val="15"/>
          <w:szCs w:val="15"/>
        </w:rPr>
        <w:t>2</w:t>
      </w:r>
      <w:r>
        <w:rPr>
          <w:rFonts w:ascii="宋体" w:hAnsi="宋体" w:eastAsia="宋体" w:cs="宋体"/>
          <w:spacing w:val="1"/>
          <w:sz w:val="23"/>
          <w:szCs w:val="23"/>
        </w:rPr>
        <w:t>。</w:t>
      </w:r>
    </w:p>
    <w:p w14:paraId="4B0A27B5">
      <w:pPr>
        <w:sectPr>
          <w:footerReference r:id="rId34" w:type="default"/>
          <w:pgSz w:w="11907" w:h="16840"/>
          <w:pgMar w:top="400" w:right="1046" w:bottom="1277" w:left="1146" w:header="0" w:footer="1114" w:gutter="0"/>
          <w:cols w:space="720" w:num="1"/>
        </w:sectPr>
      </w:pPr>
    </w:p>
    <w:p w14:paraId="5FA23021">
      <w:pPr>
        <w:spacing w:line="460" w:lineRule="auto"/>
      </w:pPr>
      <w:r>
        <w:pict>
          <v:shape id="_x0000_s2062" o:spid="_x0000_s2062" style="position:absolute;left:0pt;margin-left:83pt;margin-top:57.2pt;height:0.5pt;width:434.35pt;mso-position-horizontal-relative:page;mso-position-vertical-relative:page;z-index:251698176;mso-width-relative:page;mso-height-relative:page;" fillcolor="#000000" filled="t" stroked="f" coordsize="8687,10" o:allowincell="f" path="m0,0l8686,0,8686,9,0,9,0,0xe">
            <v:fill on="t" focussize="0,0"/>
            <v:stroke on="f"/>
            <v:imagedata o:title=""/>
            <o:lock v:ext="edit"/>
          </v:shape>
        </w:pict>
      </w:r>
    </w:p>
    <w:p w14:paraId="6C1D58F9">
      <w:pPr>
        <w:spacing w:before="56" w:line="229" w:lineRule="auto"/>
        <w:ind w:left="412"/>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3CEB3361">
      <w:pPr>
        <w:spacing w:before="67" w:line="220" w:lineRule="auto"/>
        <w:ind w:left="2382"/>
        <w:rPr>
          <w:rFonts w:ascii="黑体" w:hAnsi="黑体" w:eastAsia="黑体" w:cs="黑体"/>
          <w:sz w:val="23"/>
          <w:szCs w:val="23"/>
        </w:rPr>
      </w:pPr>
      <w:r>
        <w:rPr>
          <w:rFonts w:ascii="黑体" w:hAnsi="黑体" w:eastAsia="黑体" w:cs="黑体"/>
          <w:spacing w:val="6"/>
          <w:sz w:val="23"/>
          <w:szCs w:val="23"/>
        </w:rPr>
        <w:t>表</w:t>
      </w:r>
      <w:r>
        <w:rPr>
          <w:rFonts w:ascii="黑体" w:hAnsi="黑体" w:eastAsia="黑体" w:cs="黑体"/>
          <w:spacing w:val="5"/>
          <w:sz w:val="23"/>
          <w:szCs w:val="23"/>
        </w:rPr>
        <w:t xml:space="preserve"> </w:t>
      </w:r>
      <w:r>
        <w:rPr>
          <w:rFonts w:ascii="Times New Roman" w:hAnsi="Times New Roman" w:eastAsia="Times New Roman" w:cs="Times New Roman"/>
          <w:spacing w:val="5"/>
          <w:sz w:val="23"/>
          <w:szCs w:val="23"/>
        </w:rPr>
        <w:t xml:space="preserve">1.5-7  </w:t>
      </w:r>
      <w:r>
        <w:rPr>
          <w:rFonts w:ascii="黑体" w:hAnsi="黑体" w:eastAsia="黑体" w:cs="黑体"/>
          <w:spacing w:val="5"/>
          <w:sz w:val="23"/>
          <w:szCs w:val="23"/>
        </w:rPr>
        <w:t>地下水环境现状调查评价范围参照表</w:t>
      </w:r>
    </w:p>
    <w:tbl>
      <w:tblPr>
        <w:tblStyle w:val="4"/>
        <w:tblW w:w="9712" w:type="dxa"/>
        <w:tblInd w:w="29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01"/>
        <w:gridCol w:w="3553"/>
        <w:gridCol w:w="4258"/>
      </w:tblGrid>
      <w:tr w14:paraId="712403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1901" w:type="dxa"/>
            <w:tcBorders>
              <w:left w:val="nil"/>
            </w:tcBorders>
          </w:tcPr>
          <w:p w14:paraId="261EF1DF">
            <w:pPr>
              <w:spacing w:before="56" w:line="226" w:lineRule="auto"/>
              <w:ind w:left="536"/>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评价等</w:t>
            </w:r>
            <w:r>
              <w:rPr>
                <w:rFonts w:ascii="宋体" w:hAnsi="宋体" w:eastAsia="宋体" w:cs="宋体"/>
                <w:spacing w:val="8"/>
                <w:sz w:val="20"/>
                <w:szCs w:val="20"/>
                <w14:textOutline w14:w="3797" w14:cap="sq" w14:cmpd="sng" w14:algn="ctr">
                  <w14:solidFill>
                    <w14:srgbClr w14:val="000000"/>
                  </w14:solidFill>
                  <w14:prstDash w14:val="solid"/>
                  <w14:bevel/>
                </w14:textOutline>
              </w:rPr>
              <w:t>级</w:t>
            </w:r>
          </w:p>
        </w:tc>
        <w:tc>
          <w:tcPr>
            <w:tcW w:w="3553" w:type="dxa"/>
          </w:tcPr>
          <w:p w14:paraId="0C31C57E">
            <w:pPr>
              <w:spacing w:before="15" w:line="285" w:lineRule="exact"/>
              <w:ind w:left="766"/>
              <w:rPr>
                <w:rFonts w:ascii="宋体" w:hAnsi="宋体" w:eastAsia="宋体" w:cs="宋体"/>
                <w:sz w:val="20"/>
                <w:szCs w:val="20"/>
              </w:rPr>
            </w:pPr>
            <w:r>
              <w:rPr>
                <w:rFonts w:ascii="宋体" w:hAnsi="宋体" w:eastAsia="宋体" w:cs="宋体"/>
                <w:spacing w:val="8"/>
                <w:position w:val="1"/>
                <w:sz w:val="20"/>
                <w:szCs w:val="20"/>
                <w14:textOutline w14:w="3746" w14:cap="sq" w14:cmpd="sng" w14:algn="ctr">
                  <w14:solidFill>
                    <w14:srgbClr w14:val="000000"/>
                  </w14:solidFill>
                  <w14:prstDash w14:val="solid"/>
                  <w14:bevel/>
                </w14:textOutline>
              </w:rPr>
              <w:t>调</w:t>
            </w:r>
            <w:r>
              <w:rPr>
                <w:rFonts w:ascii="宋体" w:hAnsi="宋体" w:eastAsia="宋体" w:cs="宋体"/>
                <w:spacing w:val="7"/>
                <w:position w:val="1"/>
                <w:sz w:val="20"/>
                <w:szCs w:val="20"/>
                <w14:textOutline w14:w="3746" w14:cap="sq" w14:cmpd="sng" w14:algn="ctr">
                  <w14:solidFill>
                    <w14:srgbClr w14:val="000000"/>
                  </w14:solidFill>
                  <w14:prstDash w14:val="solid"/>
                  <w14:bevel/>
                </w14:textOutline>
              </w:rPr>
              <w:t>查评价面积</w:t>
            </w:r>
            <w:r>
              <w:rPr>
                <w:rFonts w:ascii="宋体" w:hAnsi="宋体" w:eastAsia="宋体" w:cs="宋体"/>
                <w:spacing w:val="7"/>
                <w:position w:val="1"/>
                <w:sz w:val="20"/>
                <w:szCs w:val="20"/>
              </w:rPr>
              <w:t xml:space="preserve"> </w:t>
            </w:r>
            <w:r>
              <w:rPr>
                <w:rFonts w:ascii="宋体" w:hAnsi="宋体" w:eastAsia="宋体" w:cs="宋体"/>
                <w:spacing w:val="7"/>
                <w:position w:val="1"/>
                <w:sz w:val="20"/>
                <w:szCs w:val="20"/>
                <w14:textOutline w14:w="3746" w14:cap="sq" w14:cmpd="sng" w14:algn="ctr">
                  <w14:solidFill>
                    <w14:srgbClr w14:val="000000"/>
                  </w14:solidFill>
                  <w14:prstDash w14:val="solid"/>
                  <w14:bevel/>
                </w14:textOutline>
              </w:rPr>
              <w:t>(</w:t>
            </w:r>
            <w:r>
              <w:rPr>
                <w:rFonts w:ascii="Times New Roman" w:hAnsi="Times New Roman" w:eastAsia="Times New Roman" w:cs="Times New Roman"/>
                <w:b/>
                <w:bCs/>
                <w:position w:val="1"/>
                <w:sz w:val="20"/>
                <w:szCs w:val="20"/>
              </w:rPr>
              <w:t>km</w:t>
            </w:r>
            <w:r>
              <w:rPr>
                <w:rFonts w:ascii="Times New Roman" w:hAnsi="Times New Roman" w:eastAsia="Times New Roman" w:cs="Times New Roman"/>
                <w:b/>
                <w:bCs/>
                <w:spacing w:val="7"/>
                <w:position w:val="7"/>
                <w:sz w:val="13"/>
                <w:szCs w:val="13"/>
              </w:rPr>
              <w:t>2</w:t>
            </w:r>
            <w:r>
              <w:rPr>
                <w:rFonts w:ascii="Times New Roman" w:hAnsi="Times New Roman" w:eastAsia="Times New Roman" w:cs="Times New Roman"/>
                <w:spacing w:val="7"/>
                <w:position w:val="7"/>
                <w:sz w:val="13"/>
                <w:szCs w:val="13"/>
              </w:rPr>
              <w:t xml:space="preserve"> </w:t>
            </w:r>
            <w:r>
              <w:rPr>
                <w:rFonts w:ascii="宋体" w:hAnsi="宋体" w:eastAsia="宋体" w:cs="宋体"/>
                <w:spacing w:val="7"/>
                <w:position w:val="1"/>
                <w:sz w:val="20"/>
                <w:szCs w:val="20"/>
                <w14:textOutline w14:w="3746" w14:cap="sq" w14:cmpd="sng" w14:algn="ctr">
                  <w14:solidFill>
                    <w14:srgbClr w14:val="000000"/>
                  </w14:solidFill>
                  <w14:prstDash w14:val="solid"/>
                  <w14:bevel/>
                </w14:textOutline>
              </w:rPr>
              <w:t>)</w:t>
            </w:r>
          </w:p>
        </w:tc>
        <w:tc>
          <w:tcPr>
            <w:tcW w:w="4258" w:type="dxa"/>
            <w:tcBorders>
              <w:right w:val="nil"/>
            </w:tcBorders>
          </w:tcPr>
          <w:p w14:paraId="6C721F34">
            <w:pPr>
              <w:spacing w:before="56" w:line="226" w:lineRule="auto"/>
              <w:ind w:left="1927"/>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备</w:t>
            </w:r>
            <w:r>
              <w:rPr>
                <w:rFonts w:ascii="宋体" w:hAnsi="宋体" w:eastAsia="宋体" w:cs="宋体"/>
                <w:spacing w:val="4"/>
                <w:sz w:val="20"/>
                <w:szCs w:val="20"/>
                <w14:textOutline w14:w="3797" w14:cap="sq" w14:cmpd="sng" w14:algn="ctr">
                  <w14:solidFill>
                    <w14:srgbClr w14:val="000000"/>
                  </w14:solidFill>
                  <w14:prstDash w14:val="solid"/>
                  <w14:bevel/>
                </w14:textOutline>
              </w:rPr>
              <w:t>注</w:t>
            </w:r>
          </w:p>
        </w:tc>
      </w:tr>
      <w:tr w14:paraId="2F5A3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901" w:type="dxa"/>
            <w:tcBorders>
              <w:left w:val="nil"/>
            </w:tcBorders>
          </w:tcPr>
          <w:p w14:paraId="0D96F368">
            <w:pPr>
              <w:spacing w:before="31" w:line="226" w:lineRule="auto"/>
              <w:ind w:left="751"/>
              <w:rPr>
                <w:rFonts w:ascii="宋体" w:hAnsi="宋体" w:eastAsia="宋体" w:cs="宋体"/>
                <w:sz w:val="20"/>
                <w:szCs w:val="20"/>
              </w:rPr>
            </w:pPr>
            <w:r>
              <w:rPr>
                <w:rFonts w:ascii="宋体" w:hAnsi="宋体" w:eastAsia="宋体" w:cs="宋体"/>
                <w:spacing w:val="4"/>
                <w:sz w:val="20"/>
                <w:szCs w:val="20"/>
              </w:rPr>
              <w:t>一级</w:t>
            </w:r>
          </w:p>
        </w:tc>
        <w:tc>
          <w:tcPr>
            <w:tcW w:w="3553" w:type="dxa"/>
          </w:tcPr>
          <w:p w14:paraId="730487DD">
            <w:pPr>
              <w:spacing w:line="274" w:lineRule="exact"/>
              <w:ind w:left="1613"/>
              <w:rPr>
                <w:rFonts w:ascii="Times New Roman" w:hAnsi="Times New Roman" w:eastAsia="Times New Roman" w:cs="Times New Roman"/>
                <w:sz w:val="20"/>
                <w:szCs w:val="20"/>
              </w:rPr>
            </w:pPr>
            <w:r>
              <w:rPr>
                <w:rFonts w:ascii="Times New Roman" w:hAnsi="Times New Roman" w:eastAsia="Times New Roman" w:cs="Times New Roman"/>
                <w:spacing w:val="5"/>
                <w:position w:val="2"/>
                <w:sz w:val="20"/>
                <w:szCs w:val="20"/>
              </w:rPr>
              <w:t>≥</w:t>
            </w:r>
            <w:r>
              <w:rPr>
                <w:rFonts w:ascii="Times New Roman" w:hAnsi="Times New Roman" w:eastAsia="Times New Roman" w:cs="Times New Roman"/>
                <w:spacing w:val="4"/>
                <w:position w:val="2"/>
                <w:sz w:val="20"/>
                <w:szCs w:val="20"/>
              </w:rPr>
              <w:t>20</w:t>
            </w:r>
          </w:p>
        </w:tc>
        <w:tc>
          <w:tcPr>
            <w:tcW w:w="4258" w:type="dxa"/>
            <w:vMerge w:val="restart"/>
            <w:tcBorders>
              <w:bottom w:val="nil"/>
              <w:right w:val="nil"/>
            </w:tcBorders>
          </w:tcPr>
          <w:p w14:paraId="0FDD1423">
            <w:pPr>
              <w:spacing w:before="178" w:line="267" w:lineRule="auto"/>
              <w:ind w:left="1504" w:right="135" w:hanging="1365"/>
              <w:rPr>
                <w:rFonts w:ascii="宋体" w:hAnsi="宋体" w:eastAsia="宋体" w:cs="宋体"/>
                <w:sz w:val="20"/>
                <w:szCs w:val="20"/>
              </w:rPr>
            </w:pPr>
            <w:r>
              <w:rPr>
                <w:rFonts w:ascii="宋体" w:hAnsi="宋体" w:eastAsia="宋体" w:cs="宋体"/>
                <w:spacing w:val="18"/>
                <w:sz w:val="20"/>
                <w:szCs w:val="20"/>
              </w:rPr>
              <w:t>应</w:t>
            </w:r>
            <w:r>
              <w:rPr>
                <w:rFonts w:ascii="宋体" w:hAnsi="宋体" w:eastAsia="宋体" w:cs="宋体"/>
                <w:spacing w:val="9"/>
                <w:sz w:val="20"/>
                <w:szCs w:val="20"/>
              </w:rPr>
              <w:t>包括重要的地下水环境保护目标，必要时</w:t>
            </w:r>
            <w:r>
              <w:rPr>
                <w:rFonts w:ascii="宋体" w:hAnsi="宋体" w:eastAsia="宋体" w:cs="宋体"/>
                <w:sz w:val="20"/>
                <w:szCs w:val="20"/>
              </w:rPr>
              <w:t xml:space="preserve"> </w:t>
            </w:r>
            <w:r>
              <w:rPr>
                <w:rFonts w:ascii="宋体" w:hAnsi="宋体" w:eastAsia="宋体" w:cs="宋体"/>
                <w:spacing w:val="9"/>
                <w:sz w:val="20"/>
                <w:szCs w:val="20"/>
              </w:rPr>
              <w:t>适</w:t>
            </w:r>
            <w:r>
              <w:rPr>
                <w:rFonts w:ascii="宋体" w:hAnsi="宋体" w:eastAsia="宋体" w:cs="宋体"/>
                <w:spacing w:val="8"/>
                <w:sz w:val="20"/>
                <w:szCs w:val="20"/>
              </w:rPr>
              <w:t>当扩大范围</w:t>
            </w:r>
          </w:p>
        </w:tc>
      </w:tr>
      <w:tr w14:paraId="5AF25C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901" w:type="dxa"/>
            <w:tcBorders>
              <w:left w:val="nil"/>
            </w:tcBorders>
          </w:tcPr>
          <w:p w14:paraId="330045EC">
            <w:pPr>
              <w:spacing w:before="33" w:line="224" w:lineRule="auto"/>
              <w:ind w:left="751"/>
              <w:rPr>
                <w:rFonts w:ascii="宋体" w:hAnsi="宋体" w:eastAsia="宋体" w:cs="宋体"/>
                <w:sz w:val="20"/>
                <w:szCs w:val="20"/>
              </w:rPr>
            </w:pPr>
            <w:r>
              <w:rPr>
                <w:rFonts w:ascii="宋体" w:hAnsi="宋体" w:eastAsia="宋体" w:cs="宋体"/>
                <w:spacing w:val="3"/>
                <w:sz w:val="20"/>
                <w:szCs w:val="20"/>
              </w:rPr>
              <w:t>二级</w:t>
            </w:r>
          </w:p>
        </w:tc>
        <w:tc>
          <w:tcPr>
            <w:tcW w:w="3553" w:type="dxa"/>
          </w:tcPr>
          <w:p w14:paraId="2C873D09">
            <w:pPr>
              <w:spacing w:before="69" w:line="195" w:lineRule="auto"/>
              <w:ind w:left="156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6~2</w:t>
            </w:r>
            <w:r>
              <w:rPr>
                <w:rFonts w:ascii="Times New Roman" w:hAnsi="Times New Roman" w:eastAsia="Times New Roman" w:cs="Times New Roman"/>
                <w:spacing w:val="2"/>
                <w:sz w:val="20"/>
                <w:szCs w:val="20"/>
              </w:rPr>
              <w:t>0</w:t>
            </w:r>
          </w:p>
        </w:tc>
        <w:tc>
          <w:tcPr>
            <w:tcW w:w="4258" w:type="dxa"/>
            <w:vMerge w:val="continue"/>
            <w:tcBorders>
              <w:top w:val="nil"/>
              <w:bottom w:val="nil"/>
              <w:right w:val="nil"/>
            </w:tcBorders>
          </w:tcPr>
          <w:p w14:paraId="5B3D54FD"/>
        </w:tc>
      </w:tr>
      <w:tr w14:paraId="3DE3F6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1901" w:type="dxa"/>
            <w:tcBorders>
              <w:left w:val="nil"/>
            </w:tcBorders>
          </w:tcPr>
          <w:p w14:paraId="1EC53F3F">
            <w:pPr>
              <w:spacing w:before="35" w:line="230" w:lineRule="auto"/>
              <w:ind w:left="748"/>
              <w:rPr>
                <w:rFonts w:ascii="宋体" w:hAnsi="宋体" w:eastAsia="宋体" w:cs="宋体"/>
                <w:sz w:val="20"/>
                <w:szCs w:val="20"/>
              </w:rPr>
            </w:pPr>
            <w:r>
              <w:rPr>
                <w:rFonts w:ascii="宋体" w:hAnsi="宋体" w:eastAsia="宋体" w:cs="宋体"/>
                <w:spacing w:val="5"/>
                <w:sz w:val="20"/>
                <w:szCs w:val="20"/>
              </w:rPr>
              <w:t>三</w:t>
            </w:r>
            <w:r>
              <w:rPr>
                <w:rFonts w:ascii="宋体" w:hAnsi="宋体" w:eastAsia="宋体" w:cs="宋体"/>
                <w:spacing w:val="4"/>
                <w:sz w:val="20"/>
                <w:szCs w:val="20"/>
              </w:rPr>
              <w:t>级</w:t>
            </w:r>
          </w:p>
        </w:tc>
        <w:tc>
          <w:tcPr>
            <w:tcW w:w="3553" w:type="dxa"/>
          </w:tcPr>
          <w:p w14:paraId="101824E3">
            <w:pPr>
              <w:spacing w:line="279" w:lineRule="exact"/>
              <w:ind w:left="1666"/>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w:t>
            </w:r>
            <w:r>
              <w:rPr>
                <w:rFonts w:ascii="Times New Roman" w:hAnsi="Times New Roman" w:eastAsia="Times New Roman" w:cs="Times New Roman"/>
                <w:spacing w:val="3"/>
                <w:position w:val="2"/>
                <w:sz w:val="20"/>
                <w:szCs w:val="20"/>
              </w:rPr>
              <w:t>6</w:t>
            </w:r>
          </w:p>
        </w:tc>
        <w:tc>
          <w:tcPr>
            <w:tcW w:w="4258" w:type="dxa"/>
            <w:vMerge w:val="continue"/>
            <w:tcBorders>
              <w:top w:val="nil"/>
              <w:right w:val="nil"/>
            </w:tcBorders>
          </w:tcPr>
          <w:p w14:paraId="094BD982"/>
        </w:tc>
      </w:tr>
    </w:tbl>
    <w:p w14:paraId="6D80784E">
      <w:pPr>
        <w:spacing w:before="36" w:line="229" w:lineRule="auto"/>
        <w:ind w:left="940"/>
        <w:outlineLvl w:val="2"/>
        <w:rPr>
          <w:rFonts w:ascii="宋体" w:hAnsi="宋体" w:eastAsia="宋体" w:cs="宋体"/>
          <w:sz w:val="23"/>
          <w:szCs w:val="23"/>
        </w:rPr>
      </w:pPr>
      <w:r>
        <w:rPr>
          <w:rFonts w:ascii="Times New Roman" w:hAnsi="Times New Roman" w:eastAsia="Times New Roman" w:cs="Times New Roman"/>
          <w:b/>
          <w:bCs/>
          <w:spacing w:val="16"/>
          <w:sz w:val="23"/>
          <w:szCs w:val="23"/>
        </w:rPr>
        <w:t>1</w:t>
      </w:r>
      <w:r>
        <w:rPr>
          <w:rFonts w:ascii="Times New Roman" w:hAnsi="Times New Roman" w:eastAsia="Times New Roman" w:cs="Times New Roman"/>
          <w:b/>
          <w:bCs/>
          <w:spacing w:val="13"/>
          <w:sz w:val="23"/>
          <w:szCs w:val="23"/>
        </w:rPr>
        <w:t>.5.5</w:t>
      </w:r>
      <w:r>
        <w:rPr>
          <w:rFonts w:ascii="Times New Roman" w:hAnsi="Times New Roman" w:eastAsia="Times New Roman" w:cs="Times New Roman"/>
          <w:spacing w:val="13"/>
          <w:sz w:val="23"/>
          <w:szCs w:val="23"/>
        </w:rPr>
        <w:t xml:space="preserve">  </w:t>
      </w:r>
      <w:r>
        <w:rPr>
          <w:rFonts w:ascii="宋体" w:hAnsi="宋体" w:eastAsia="宋体" w:cs="宋体"/>
          <w:spacing w:val="13"/>
          <w:sz w:val="23"/>
          <w:szCs w:val="23"/>
          <w14:textOutline w14:w="4356" w14:cap="sq" w14:cmpd="sng" w14:algn="ctr">
            <w14:solidFill>
              <w14:srgbClr w14:val="000000"/>
            </w14:solidFill>
            <w14:prstDash w14:val="solid"/>
            <w14:bevel/>
          </w14:textOutline>
        </w:rPr>
        <w:t>土壤</w:t>
      </w:r>
    </w:p>
    <w:p w14:paraId="74943401">
      <w:pPr>
        <w:spacing w:before="180" w:line="375" w:lineRule="auto"/>
        <w:ind w:left="415" w:right="913" w:firstLine="480"/>
        <w:rPr>
          <w:rFonts w:ascii="宋体" w:hAnsi="宋体" w:eastAsia="宋体" w:cs="宋体"/>
          <w:sz w:val="23"/>
          <w:szCs w:val="23"/>
        </w:rPr>
      </w:pPr>
      <w:r>
        <w:rPr>
          <w:rFonts w:ascii="宋体" w:hAnsi="宋体" w:eastAsia="宋体" w:cs="宋体"/>
          <w:spacing w:val="2"/>
          <w:sz w:val="23"/>
          <w:szCs w:val="23"/>
        </w:rPr>
        <w:t>根据《环境影响评价技术</w:t>
      </w:r>
      <w:r>
        <w:rPr>
          <w:rFonts w:ascii="宋体" w:hAnsi="宋体" w:eastAsia="宋体" w:cs="宋体"/>
          <w:spacing w:val="1"/>
          <w:sz w:val="23"/>
          <w:szCs w:val="23"/>
        </w:rPr>
        <w:t>导则 土壤环境 (试行) 》  (</w:t>
      </w:r>
      <w:r>
        <w:rPr>
          <w:rFonts w:ascii="Times New Roman" w:hAnsi="Times New Roman" w:eastAsia="Times New Roman" w:cs="Times New Roman"/>
          <w:sz w:val="23"/>
          <w:szCs w:val="23"/>
        </w:rPr>
        <w:t>HJ</w:t>
      </w:r>
      <w:r>
        <w:rPr>
          <w:rFonts w:ascii="Times New Roman" w:hAnsi="Times New Roman" w:eastAsia="Times New Roman" w:cs="Times New Roman"/>
          <w:spacing w:val="1"/>
          <w:sz w:val="23"/>
          <w:szCs w:val="23"/>
        </w:rPr>
        <w:t>964-2018</w:t>
      </w:r>
      <w:r>
        <w:rPr>
          <w:rFonts w:ascii="宋体" w:hAnsi="宋体" w:eastAsia="宋体" w:cs="宋体"/>
          <w:spacing w:val="1"/>
          <w:sz w:val="23"/>
          <w:szCs w:val="23"/>
        </w:rPr>
        <w:t xml:space="preserve">) 附录 </w:t>
      </w:r>
      <w:r>
        <w:rPr>
          <w:rFonts w:ascii="Times New Roman" w:hAnsi="Times New Roman" w:eastAsia="Times New Roman" w:cs="Times New Roman"/>
          <w:sz w:val="23"/>
          <w:szCs w:val="23"/>
        </w:rPr>
        <w:t>A</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，本</w:t>
      </w:r>
      <w:r>
        <w:rPr>
          <w:rFonts w:ascii="宋体" w:hAnsi="宋体" w:eastAsia="宋体" w:cs="宋体"/>
          <w:sz w:val="23"/>
          <w:szCs w:val="23"/>
        </w:rPr>
        <w:t xml:space="preserve"> </w:t>
      </w:r>
      <w:r>
        <w:rPr>
          <w:rFonts w:ascii="宋体" w:hAnsi="宋体" w:eastAsia="宋体" w:cs="宋体"/>
          <w:spacing w:val="15"/>
          <w:sz w:val="23"/>
          <w:szCs w:val="23"/>
        </w:rPr>
        <w:t>项</w:t>
      </w:r>
      <w:r>
        <w:rPr>
          <w:rFonts w:ascii="宋体" w:hAnsi="宋体" w:eastAsia="宋体" w:cs="宋体"/>
          <w:spacing w:val="9"/>
          <w:sz w:val="23"/>
          <w:szCs w:val="23"/>
        </w:rPr>
        <w:t>目属于农林牧渔业中</w:t>
      </w:r>
      <w:r>
        <w:rPr>
          <w:rFonts w:ascii="Times New Roman" w:hAnsi="Times New Roman" w:eastAsia="Times New Roman" w:cs="Times New Roman"/>
          <w:spacing w:val="9"/>
          <w:sz w:val="23"/>
          <w:szCs w:val="23"/>
        </w:rPr>
        <w:t>“</w:t>
      </w:r>
      <w:r>
        <w:rPr>
          <w:rFonts w:ascii="宋体" w:hAnsi="宋体" w:eastAsia="宋体" w:cs="宋体"/>
          <w:spacing w:val="9"/>
          <w:sz w:val="23"/>
          <w:szCs w:val="23"/>
        </w:rPr>
        <w:t>年出栏生猪</w:t>
      </w:r>
      <w:r>
        <w:rPr>
          <w:rFonts w:ascii="Times New Roman" w:hAnsi="Times New Roman" w:eastAsia="Times New Roman" w:cs="Times New Roman"/>
          <w:spacing w:val="9"/>
          <w:sz w:val="23"/>
          <w:szCs w:val="23"/>
        </w:rPr>
        <w:t xml:space="preserve">5000 </w:t>
      </w:r>
      <w:r>
        <w:rPr>
          <w:rFonts w:ascii="宋体" w:hAnsi="宋体" w:eastAsia="宋体" w:cs="宋体"/>
          <w:spacing w:val="9"/>
          <w:sz w:val="23"/>
          <w:szCs w:val="23"/>
        </w:rPr>
        <w:t>头及养殖场或养殖小区</w:t>
      </w:r>
      <w:r>
        <w:rPr>
          <w:rFonts w:ascii="Times New Roman" w:hAnsi="Times New Roman" w:eastAsia="Times New Roman" w:cs="Times New Roman"/>
          <w:spacing w:val="9"/>
          <w:sz w:val="23"/>
          <w:szCs w:val="23"/>
        </w:rPr>
        <w:t>”</w:t>
      </w:r>
      <w:r>
        <w:rPr>
          <w:rFonts w:ascii="宋体" w:hAnsi="宋体" w:eastAsia="宋体" w:cs="宋体"/>
          <w:spacing w:val="9"/>
          <w:sz w:val="23"/>
          <w:szCs w:val="23"/>
        </w:rPr>
        <w:t>项目，在土壤环境</w:t>
      </w:r>
      <w:r>
        <w:rPr>
          <w:rFonts w:ascii="宋体" w:hAnsi="宋体" w:eastAsia="宋体" w:cs="宋体"/>
          <w:sz w:val="23"/>
          <w:szCs w:val="23"/>
        </w:rPr>
        <w:t xml:space="preserve"> </w:t>
      </w:r>
      <w:r>
        <w:rPr>
          <w:rFonts w:ascii="宋体" w:hAnsi="宋体" w:eastAsia="宋体" w:cs="宋体"/>
          <w:spacing w:val="9"/>
          <w:sz w:val="23"/>
          <w:szCs w:val="23"/>
        </w:rPr>
        <w:t>影响评价项目类别中判定为</w:t>
      </w:r>
      <w:r>
        <w:rPr>
          <w:rFonts w:ascii="Times New Roman" w:hAnsi="Times New Roman" w:eastAsia="Times New Roman" w:cs="Times New Roman"/>
          <w:spacing w:val="9"/>
          <w:sz w:val="23"/>
          <w:szCs w:val="23"/>
        </w:rPr>
        <w:t>“</w:t>
      </w:r>
      <w:r>
        <w:rPr>
          <w:rFonts w:ascii="宋体" w:hAnsi="宋体" w:eastAsia="宋体" w:cs="宋体"/>
          <w:spacing w:val="9"/>
          <w:sz w:val="23"/>
          <w:szCs w:val="23"/>
          <w14:textOutline w14:w="4356" w14:cap="sq" w14:cmpd="sng" w14:algn="ctr">
            <w14:solidFill>
              <w14:srgbClr w14:val="000000"/>
            </w14:solidFill>
            <w14:prstDash w14:val="solid"/>
            <w14:bevel/>
          </w14:textOutline>
        </w:rPr>
        <w:t>Ⅲ类</w:t>
      </w:r>
      <w:r>
        <w:rPr>
          <w:rFonts w:ascii="Times New Roman" w:hAnsi="Times New Roman" w:eastAsia="Times New Roman" w:cs="Times New Roman"/>
          <w:spacing w:val="9"/>
          <w:sz w:val="23"/>
          <w:szCs w:val="23"/>
        </w:rPr>
        <w:t>”</w:t>
      </w:r>
      <w:r>
        <w:rPr>
          <w:rFonts w:ascii="宋体" w:hAnsi="宋体" w:eastAsia="宋体" w:cs="宋体"/>
          <w:spacing w:val="9"/>
          <w:sz w:val="23"/>
          <w:szCs w:val="23"/>
        </w:rPr>
        <w:t>项目。判定表见下表</w:t>
      </w:r>
      <w:r>
        <w:rPr>
          <w:rFonts w:ascii="宋体" w:hAnsi="宋体" w:eastAsia="宋体" w:cs="宋体"/>
          <w:spacing w:val="5"/>
          <w:sz w:val="23"/>
          <w:szCs w:val="23"/>
        </w:rPr>
        <w:t>。</w:t>
      </w:r>
    </w:p>
    <w:p w14:paraId="749C0B50">
      <w:pPr>
        <w:spacing w:line="220" w:lineRule="auto"/>
        <w:ind w:left="2862"/>
        <w:rPr>
          <w:rFonts w:ascii="黑体" w:hAnsi="黑体" w:eastAsia="黑体" w:cs="黑体"/>
          <w:sz w:val="23"/>
          <w:szCs w:val="23"/>
        </w:rPr>
      </w:pPr>
      <w:r>
        <w:rPr>
          <w:rFonts w:ascii="黑体" w:hAnsi="黑体" w:eastAsia="黑体" w:cs="黑体"/>
          <w:spacing w:val="6"/>
          <w:sz w:val="23"/>
          <w:szCs w:val="23"/>
        </w:rPr>
        <w:t>表</w:t>
      </w:r>
      <w:r>
        <w:rPr>
          <w:rFonts w:ascii="黑体" w:hAnsi="黑体" w:eastAsia="黑体" w:cs="黑体"/>
          <w:spacing w:val="4"/>
          <w:sz w:val="23"/>
          <w:szCs w:val="23"/>
        </w:rPr>
        <w:t xml:space="preserve"> </w:t>
      </w:r>
      <w:r>
        <w:rPr>
          <w:rFonts w:ascii="Times New Roman" w:hAnsi="Times New Roman" w:eastAsia="Times New Roman" w:cs="Times New Roman"/>
          <w:spacing w:val="4"/>
          <w:sz w:val="23"/>
          <w:szCs w:val="23"/>
        </w:rPr>
        <w:t xml:space="preserve">1.5-8  </w:t>
      </w:r>
      <w:r>
        <w:rPr>
          <w:rFonts w:ascii="黑体" w:hAnsi="黑体" w:eastAsia="黑体" w:cs="黑体"/>
          <w:spacing w:val="4"/>
          <w:sz w:val="23"/>
          <w:szCs w:val="23"/>
        </w:rPr>
        <w:t>土壤环境影响评价项目类别</w:t>
      </w:r>
    </w:p>
    <w:tbl>
      <w:tblPr>
        <w:tblStyle w:val="4"/>
        <w:tblW w:w="9496" w:type="dxa"/>
        <w:tblInd w:w="4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3"/>
        <w:gridCol w:w="1785"/>
        <w:gridCol w:w="3210"/>
        <w:gridCol w:w="2048"/>
        <w:gridCol w:w="730"/>
      </w:tblGrid>
      <w:tr w14:paraId="16422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1723" w:type="dxa"/>
            <w:vMerge w:val="restart"/>
            <w:tcBorders>
              <w:left w:val="nil"/>
              <w:bottom w:val="nil"/>
            </w:tcBorders>
          </w:tcPr>
          <w:p w14:paraId="216AED22">
            <w:pPr>
              <w:spacing w:before="257" w:line="228" w:lineRule="auto"/>
              <w:ind w:left="451"/>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行</w:t>
            </w:r>
            <w:r>
              <w:rPr>
                <w:rFonts w:ascii="宋体" w:hAnsi="宋体" w:eastAsia="宋体" w:cs="宋体"/>
                <w:spacing w:val="7"/>
                <w:sz w:val="20"/>
                <w:szCs w:val="20"/>
                <w14:textOutline w14:w="3797" w14:cap="sq" w14:cmpd="sng" w14:algn="ctr">
                  <w14:solidFill>
                    <w14:srgbClr w14:val="000000"/>
                  </w14:solidFill>
                  <w14:prstDash w14:val="solid"/>
                  <w14:bevel/>
                </w14:textOutline>
              </w:rPr>
              <w:t>业类别</w:t>
            </w:r>
          </w:p>
        </w:tc>
        <w:tc>
          <w:tcPr>
            <w:tcW w:w="7773" w:type="dxa"/>
            <w:gridSpan w:val="4"/>
            <w:tcBorders>
              <w:right w:val="nil"/>
            </w:tcBorders>
          </w:tcPr>
          <w:p w14:paraId="1E17E893">
            <w:pPr>
              <w:spacing w:before="91" w:line="228" w:lineRule="auto"/>
              <w:ind w:left="3477"/>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项</w:t>
            </w:r>
            <w:r>
              <w:rPr>
                <w:rFonts w:ascii="宋体" w:hAnsi="宋体" w:eastAsia="宋体" w:cs="宋体"/>
                <w:spacing w:val="7"/>
                <w:sz w:val="20"/>
                <w:szCs w:val="20"/>
                <w14:textOutline w14:w="3797" w14:cap="sq" w14:cmpd="sng" w14:algn="ctr">
                  <w14:solidFill>
                    <w14:srgbClr w14:val="000000"/>
                  </w14:solidFill>
                  <w14:prstDash w14:val="solid"/>
                  <w14:bevel/>
                </w14:textOutline>
              </w:rPr>
              <w:t>目类别</w:t>
            </w:r>
          </w:p>
        </w:tc>
      </w:tr>
      <w:tr w14:paraId="77070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723" w:type="dxa"/>
            <w:vMerge w:val="continue"/>
            <w:tcBorders>
              <w:top w:val="nil"/>
              <w:left w:val="nil"/>
            </w:tcBorders>
          </w:tcPr>
          <w:p w14:paraId="027469DD"/>
        </w:tc>
        <w:tc>
          <w:tcPr>
            <w:tcW w:w="1785" w:type="dxa"/>
          </w:tcPr>
          <w:p w14:paraId="470DFDE1">
            <w:pPr>
              <w:spacing w:before="55" w:line="228" w:lineRule="auto"/>
              <w:ind w:left="755"/>
              <w:rPr>
                <w:rFonts w:ascii="宋体" w:hAnsi="宋体" w:eastAsia="宋体" w:cs="宋体"/>
                <w:sz w:val="20"/>
                <w:szCs w:val="20"/>
              </w:rPr>
            </w:pPr>
            <w:r>
              <w:rPr>
                <w:rFonts w:ascii="宋体" w:hAnsi="宋体" w:eastAsia="宋体" w:cs="宋体"/>
                <w:spacing w:val="-30"/>
                <w:sz w:val="20"/>
                <w:szCs w:val="20"/>
                <w14:textOutline w14:w="3797" w14:cap="sq" w14:cmpd="sng" w14:algn="ctr">
                  <w14:solidFill>
                    <w14:srgbClr w14:val="000000"/>
                  </w14:solidFill>
                  <w14:prstDash w14:val="solid"/>
                  <w14:bevel/>
                </w14:textOutline>
              </w:rPr>
              <w:t>Ⅰ</w:t>
            </w:r>
            <w:r>
              <w:rPr>
                <w:rFonts w:ascii="宋体" w:hAnsi="宋体" w:eastAsia="宋体" w:cs="宋体"/>
                <w:spacing w:val="-29"/>
                <w:sz w:val="20"/>
                <w:szCs w:val="20"/>
                <w14:textOutline w14:w="3797" w14:cap="sq" w14:cmpd="sng" w14:algn="ctr">
                  <w14:solidFill>
                    <w14:srgbClr w14:val="000000"/>
                  </w14:solidFill>
                  <w14:prstDash w14:val="solid"/>
                  <w14:bevel/>
                </w14:textOutline>
              </w:rPr>
              <w:t>类</w:t>
            </w:r>
          </w:p>
        </w:tc>
        <w:tc>
          <w:tcPr>
            <w:tcW w:w="3210" w:type="dxa"/>
          </w:tcPr>
          <w:p w14:paraId="7ED17C39">
            <w:pPr>
              <w:spacing w:before="55" w:line="228" w:lineRule="auto"/>
              <w:ind w:left="1437"/>
              <w:rPr>
                <w:rFonts w:ascii="宋体" w:hAnsi="宋体" w:eastAsia="宋体" w:cs="宋体"/>
                <w:sz w:val="20"/>
                <w:szCs w:val="20"/>
              </w:rPr>
            </w:pPr>
            <w:r>
              <w:rPr>
                <w:rFonts w:ascii="宋体" w:hAnsi="宋体" w:eastAsia="宋体" w:cs="宋体"/>
                <w:spacing w:val="-14"/>
                <w:sz w:val="20"/>
                <w:szCs w:val="20"/>
                <w14:textOutline w14:w="3797" w14:cap="sq" w14:cmpd="sng" w14:algn="ctr">
                  <w14:solidFill>
                    <w14:srgbClr w14:val="000000"/>
                  </w14:solidFill>
                  <w14:prstDash w14:val="solid"/>
                  <w14:bevel/>
                </w14:textOutline>
              </w:rPr>
              <w:t>Ⅱ</w:t>
            </w:r>
            <w:r>
              <w:rPr>
                <w:rFonts w:ascii="宋体" w:hAnsi="宋体" w:eastAsia="宋体" w:cs="宋体"/>
                <w:spacing w:val="-13"/>
                <w:sz w:val="20"/>
                <w:szCs w:val="20"/>
                <w14:textOutline w14:w="3797" w14:cap="sq" w14:cmpd="sng" w14:algn="ctr">
                  <w14:solidFill>
                    <w14:srgbClr w14:val="000000"/>
                  </w14:solidFill>
                  <w14:prstDash w14:val="solid"/>
                  <w14:bevel/>
                </w14:textOutline>
              </w:rPr>
              <w:t>类</w:t>
            </w:r>
          </w:p>
        </w:tc>
        <w:tc>
          <w:tcPr>
            <w:tcW w:w="2048" w:type="dxa"/>
          </w:tcPr>
          <w:p w14:paraId="4597A598">
            <w:pPr>
              <w:spacing w:before="55" w:line="228" w:lineRule="auto"/>
              <w:ind w:left="818"/>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Ⅲ类</w:t>
            </w:r>
          </w:p>
        </w:tc>
        <w:tc>
          <w:tcPr>
            <w:tcW w:w="730" w:type="dxa"/>
            <w:tcBorders>
              <w:right w:val="nil"/>
            </w:tcBorders>
          </w:tcPr>
          <w:p w14:paraId="65B8A10B">
            <w:pPr>
              <w:spacing w:before="55" w:line="228" w:lineRule="auto"/>
              <w:ind w:left="171"/>
              <w:rPr>
                <w:rFonts w:ascii="宋体" w:hAnsi="宋体" w:eastAsia="宋体" w:cs="宋体"/>
                <w:sz w:val="20"/>
                <w:szCs w:val="20"/>
              </w:rPr>
            </w:pPr>
            <w:r>
              <w:rPr>
                <w:rFonts w:ascii="宋体" w:hAnsi="宋体" w:eastAsia="宋体" w:cs="宋体"/>
                <w:spacing w:val="1"/>
                <w:sz w:val="20"/>
                <w:szCs w:val="20"/>
                <w14:textOutline w14:w="3797" w14:cap="sq" w14:cmpd="sng" w14:algn="ctr">
                  <w14:solidFill>
                    <w14:srgbClr w14:val="000000"/>
                  </w14:solidFill>
                  <w14:prstDash w14:val="solid"/>
                  <w14:bevel/>
                </w14:textOutline>
              </w:rPr>
              <w:t>Ⅳ</w:t>
            </w:r>
            <w:r>
              <w:rPr>
                <w:rFonts w:ascii="宋体" w:hAnsi="宋体" w:eastAsia="宋体" w:cs="宋体"/>
                <w:sz w:val="20"/>
                <w:szCs w:val="20"/>
                <w14:textOutline w14:w="3797" w14:cap="sq" w14:cmpd="sng" w14:algn="ctr">
                  <w14:solidFill>
                    <w14:srgbClr w14:val="000000"/>
                  </w14:solidFill>
                  <w14:prstDash w14:val="solid"/>
                  <w14:bevel/>
                </w14:textOutline>
              </w:rPr>
              <w:t>类</w:t>
            </w:r>
          </w:p>
        </w:tc>
      </w:tr>
      <w:tr w14:paraId="44E80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1723" w:type="dxa"/>
            <w:tcBorders>
              <w:left w:val="nil"/>
            </w:tcBorders>
          </w:tcPr>
          <w:p w14:paraId="62C807C8">
            <w:pPr>
              <w:spacing w:line="303" w:lineRule="auto"/>
            </w:pPr>
          </w:p>
          <w:p w14:paraId="2EDF7686">
            <w:pPr>
              <w:spacing w:line="303" w:lineRule="auto"/>
            </w:pPr>
          </w:p>
          <w:p w14:paraId="4DD2B79D">
            <w:pPr>
              <w:spacing w:before="65" w:line="228" w:lineRule="auto"/>
              <w:ind w:left="342"/>
              <w:rPr>
                <w:rFonts w:ascii="宋体" w:hAnsi="宋体" w:eastAsia="宋体" w:cs="宋体"/>
                <w:sz w:val="20"/>
                <w:szCs w:val="20"/>
              </w:rPr>
            </w:pPr>
            <w:r>
              <w:rPr>
                <w:rFonts w:ascii="宋体" w:hAnsi="宋体" w:eastAsia="宋体" w:cs="宋体"/>
                <w:spacing w:val="8"/>
                <w:sz w:val="20"/>
                <w:szCs w:val="20"/>
              </w:rPr>
              <w:t>农林牧渔业</w:t>
            </w:r>
          </w:p>
        </w:tc>
        <w:tc>
          <w:tcPr>
            <w:tcW w:w="1785" w:type="dxa"/>
          </w:tcPr>
          <w:p w14:paraId="27DAE012">
            <w:pPr>
              <w:spacing w:line="470" w:lineRule="auto"/>
            </w:pPr>
          </w:p>
          <w:p w14:paraId="12D2EACF">
            <w:pPr>
              <w:spacing w:before="65" w:line="267" w:lineRule="auto"/>
              <w:ind w:left="114" w:right="103" w:firstLine="43"/>
              <w:rPr>
                <w:rFonts w:ascii="宋体" w:hAnsi="宋体" w:eastAsia="宋体" w:cs="宋体"/>
                <w:sz w:val="20"/>
                <w:szCs w:val="20"/>
              </w:rPr>
            </w:pPr>
            <w:r>
              <w:rPr>
                <w:rFonts w:ascii="宋体" w:hAnsi="宋体" w:eastAsia="宋体" w:cs="宋体"/>
                <w:spacing w:val="10"/>
                <w:sz w:val="20"/>
                <w:szCs w:val="20"/>
              </w:rPr>
              <w:t>灌</w:t>
            </w:r>
            <w:r>
              <w:rPr>
                <w:rFonts w:ascii="宋体" w:hAnsi="宋体" w:eastAsia="宋体" w:cs="宋体"/>
                <w:spacing w:val="9"/>
                <w:sz w:val="20"/>
                <w:szCs w:val="20"/>
              </w:rPr>
              <w:t>溉面积大于</w:t>
            </w:r>
            <w:r>
              <w:rPr>
                <w:rFonts w:ascii="Times New Roman" w:hAnsi="Times New Roman" w:eastAsia="Times New Roman" w:cs="Times New Roman"/>
                <w:spacing w:val="9"/>
                <w:sz w:val="20"/>
                <w:szCs w:val="20"/>
              </w:rPr>
              <w:t>50</w:t>
            </w:r>
            <w:r>
              <w:rPr>
                <w:rFonts w:ascii="Times New Roman" w:hAnsi="Times New Roman" w:eastAsia="Times New Roman" w:cs="Times New Roman"/>
                <w:sz w:val="20"/>
                <w:szCs w:val="20"/>
              </w:rPr>
              <w:t xml:space="preserve"> </w:t>
            </w:r>
            <w:r>
              <w:rPr>
                <w:rFonts w:ascii="宋体" w:hAnsi="宋体" w:eastAsia="宋体" w:cs="宋体"/>
                <w:spacing w:val="12"/>
                <w:sz w:val="20"/>
                <w:szCs w:val="20"/>
              </w:rPr>
              <w:t>万</w:t>
            </w:r>
            <w:r>
              <w:rPr>
                <w:rFonts w:ascii="宋体" w:hAnsi="宋体" w:eastAsia="宋体" w:cs="宋体"/>
                <w:spacing w:val="7"/>
                <w:sz w:val="20"/>
                <w:szCs w:val="20"/>
              </w:rPr>
              <w:t>亩的 灌区工程</w:t>
            </w:r>
          </w:p>
        </w:tc>
        <w:tc>
          <w:tcPr>
            <w:tcW w:w="3210" w:type="dxa"/>
          </w:tcPr>
          <w:p w14:paraId="4086B9A0">
            <w:pPr>
              <w:spacing w:before="267" w:line="228" w:lineRule="auto"/>
              <w:ind w:left="12"/>
              <w:rPr>
                <w:rFonts w:ascii="宋体" w:hAnsi="宋体" w:eastAsia="宋体" w:cs="宋体"/>
                <w:sz w:val="20"/>
                <w:szCs w:val="20"/>
              </w:rPr>
            </w:pPr>
            <w:r>
              <w:rPr>
                <w:rFonts w:ascii="宋体" w:hAnsi="宋体" w:eastAsia="宋体" w:cs="宋体"/>
                <w:spacing w:val="7"/>
                <w:sz w:val="20"/>
                <w:szCs w:val="20"/>
              </w:rPr>
              <w:t>新建</w:t>
            </w:r>
            <w:r>
              <w:rPr>
                <w:rFonts w:ascii="Times New Roman" w:hAnsi="Times New Roman" w:eastAsia="Times New Roman" w:cs="Times New Roman"/>
                <w:spacing w:val="7"/>
                <w:sz w:val="20"/>
                <w:szCs w:val="20"/>
              </w:rPr>
              <w:t xml:space="preserve">5 </w:t>
            </w:r>
            <w:r>
              <w:rPr>
                <w:rFonts w:ascii="宋体" w:hAnsi="宋体" w:eastAsia="宋体" w:cs="宋体"/>
                <w:spacing w:val="7"/>
                <w:sz w:val="20"/>
                <w:szCs w:val="20"/>
              </w:rPr>
              <w:t>万亩至</w:t>
            </w:r>
            <w:r>
              <w:rPr>
                <w:rFonts w:ascii="Times New Roman" w:hAnsi="Times New Roman" w:eastAsia="Times New Roman" w:cs="Times New Roman"/>
                <w:spacing w:val="7"/>
                <w:sz w:val="20"/>
                <w:szCs w:val="20"/>
              </w:rPr>
              <w:t xml:space="preserve">50 </w:t>
            </w:r>
            <w:r>
              <w:rPr>
                <w:rFonts w:ascii="宋体" w:hAnsi="宋体" w:eastAsia="宋体" w:cs="宋体"/>
                <w:spacing w:val="7"/>
                <w:sz w:val="20"/>
                <w:szCs w:val="20"/>
              </w:rPr>
              <w:t>万亩的、改造</w:t>
            </w:r>
            <w:r>
              <w:rPr>
                <w:rFonts w:ascii="Times New Roman" w:hAnsi="Times New Roman" w:eastAsia="Times New Roman" w:cs="Times New Roman"/>
                <w:spacing w:val="7"/>
                <w:sz w:val="20"/>
                <w:szCs w:val="20"/>
              </w:rPr>
              <w:t xml:space="preserve">30 </w:t>
            </w:r>
            <w:r>
              <w:rPr>
                <w:rFonts w:ascii="宋体" w:hAnsi="宋体" w:eastAsia="宋体" w:cs="宋体"/>
                <w:spacing w:val="7"/>
                <w:sz w:val="20"/>
                <w:szCs w:val="20"/>
              </w:rPr>
              <w:t>万</w:t>
            </w:r>
          </w:p>
          <w:p w14:paraId="0B8C1255">
            <w:pPr>
              <w:spacing w:before="23" w:line="228" w:lineRule="auto"/>
              <w:ind w:left="9"/>
              <w:rPr>
                <w:rFonts w:ascii="宋体" w:hAnsi="宋体" w:eastAsia="宋体" w:cs="宋体"/>
                <w:sz w:val="20"/>
                <w:szCs w:val="20"/>
              </w:rPr>
            </w:pPr>
            <w:r>
              <w:rPr>
                <w:rFonts w:ascii="宋体" w:hAnsi="宋体" w:eastAsia="宋体" w:cs="宋体"/>
                <w:spacing w:val="10"/>
                <w:sz w:val="20"/>
                <w:szCs w:val="20"/>
              </w:rPr>
              <w:t>亩及</w:t>
            </w:r>
            <w:r>
              <w:rPr>
                <w:rFonts w:ascii="宋体" w:hAnsi="宋体" w:eastAsia="宋体" w:cs="宋体"/>
                <w:spacing w:val="6"/>
                <w:sz w:val="20"/>
                <w:szCs w:val="20"/>
              </w:rPr>
              <w:t>以</w:t>
            </w:r>
            <w:r>
              <w:rPr>
                <w:rFonts w:ascii="宋体" w:hAnsi="宋体" w:eastAsia="宋体" w:cs="宋体"/>
                <w:spacing w:val="5"/>
                <w:sz w:val="20"/>
                <w:szCs w:val="20"/>
              </w:rPr>
              <w:t>上的灌区工程；年出栏生 猪</w:t>
            </w:r>
          </w:p>
          <w:p w14:paraId="17A80D3D">
            <w:pPr>
              <w:spacing w:before="24" w:line="228" w:lineRule="auto"/>
              <w:ind w:left="25"/>
              <w:rPr>
                <w:rFonts w:ascii="宋体" w:hAnsi="宋体" w:eastAsia="宋体" w:cs="宋体"/>
                <w:sz w:val="20"/>
                <w:szCs w:val="20"/>
              </w:rPr>
            </w:pPr>
            <w:r>
              <w:rPr>
                <w:rFonts w:ascii="Times New Roman" w:hAnsi="Times New Roman" w:eastAsia="Times New Roman" w:cs="Times New Roman"/>
                <w:spacing w:val="2"/>
                <w:sz w:val="20"/>
                <w:szCs w:val="20"/>
              </w:rPr>
              <w:t xml:space="preserve">10 </w:t>
            </w:r>
            <w:r>
              <w:rPr>
                <w:rFonts w:ascii="宋体" w:hAnsi="宋体" w:eastAsia="宋体" w:cs="宋体"/>
                <w:spacing w:val="2"/>
                <w:sz w:val="20"/>
                <w:szCs w:val="20"/>
              </w:rPr>
              <w:t>万头</w:t>
            </w:r>
            <w:r>
              <w:rPr>
                <w:rFonts w:ascii="宋体" w:hAnsi="宋体" w:eastAsia="宋体" w:cs="宋体"/>
                <w:spacing w:val="1"/>
                <w:sz w:val="20"/>
                <w:szCs w:val="20"/>
              </w:rPr>
              <w:t xml:space="preserve"> (其他畜禽种类折合猪的 养</w:t>
            </w:r>
          </w:p>
          <w:p w14:paraId="2510A624">
            <w:pPr>
              <w:spacing w:before="26" w:line="228" w:lineRule="auto"/>
              <w:ind w:left="245"/>
              <w:rPr>
                <w:rFonts w:ascii="宋体" w:hAnsi="宋体" w:eastAsia="宋体" w:cs="宋体"/>
                <w:sz w:val="20"/>
                <w:szCs w:val="20"/>
              </w:rPr>
            </w:pPr>
            <w:r>
              <w:rPr>
                <w:rFonts w:ascii="宋体" w:hAnsi="宋体" w:eastAsia="宋体" w:cs="宋体"/>
                <w:spacing w:val="15"/>
                <w:sz w:val="20"/>
                <w:szCs w:val="20"/>
              </w:rPr>
              <w:t>殖</w:t>
            </w:r>
            <w:r>
              <w:rPr>
                <w:rFonts w:ascii="宋体" w:hAnsi="宋体" w:eastAsia="宋体" w:cs="宋体"/>
                <w:spacing w:val="8"/>
                <w:sz w:val="20"/>
                <w:szCs w:val="20"/>
              </w:rPr>
              <w:t>规模) 及以上的畜养殖小区</w:t>
            </w:r>
          </w:p>
        </w:tc>
        <w:tc>
          <w:tcPr>
            <w:tcW w:w="2048" w:type="dxa"/>
          </w:tcPr>
          <w:p w14:paraId="0AC289C6">
            <w:pPr>
              <w:spacing w:before="267" w:line="228" w:lineRule="auto"/>
              <w:ind w:left="11"/>
              <w:rPr>
                <w:rFonts w:ascii="宋体" w:hAnsi="宋体" w:eastAsia="宋体" w:cs="宋体"/>
                <w:sz w:val="20"/>
                <w:szCs w:val="20"/>
              </w:rPr>
            </w:pPr>
            <w:r>
              <w:rPr>
                <w:rFonts w:ascii="宋体" w:hAnsi="宋体" w:eastAsia="宋体" w:cs="宋体"/>
                <w:spacing w:val="6"/>
                <w:sz w:val="20"/>
                <w:szCs w:val="20"/>
              </w:rPr>
              <w:t>年出栏生猪</w:t>
            </w:r>
            <w:r>
              <w:rPr>
                <w:rFonts w:ascii="Times New Roman" w:hAnsi="Times New Roman" w:eastAsia="Times New Roman" w:cs="Times New Roman"/>
                <w:spacing w:val="6"/>
                <w:sz w:val="20"/>
                <w:szCs w:val="20"/>
              </w:rPr>
              <w:t xml:space="preserve">5000 </w:t>
            </w:r>
            <w:r>
              <w:rPr>
                <w:rFonts w:ascii="宋体" w:hAnsi="宋体" w:eastAsia="宋体" w:cs="宋体"/>
                <w:spacing w:val="6"/>
                <w:sz w:val="20"/>
                <w:szCs w:val="20"/>
              </w:rPr>
              <w:t>头(其</w:t>
            </w:r>
          </w:p>
          <w:p w14:paraId="642C2A79">
            <w:pPr>
              <w:spacing w:before="24" w:line="228" w:lineRule="auto"/>
              <w:ind w:left="32"/>
              <w:rPr>
                <w:rFonts w:ascii="宋体" w:hAnsi="宋体" w:eastAsia="宋体" w:cs="宋体"/>
                <w:sz w:val="20"/>
                <w:szCs w:val="20"/>
              </w:rPr>
            </w:pPr>
            <w:r>
              <w:rPr>
                <w:rFonts w:ascii="宋体" w:hAnsi="宋体" w:eastAsia="宋体" w:cs="宋体"/>
                <w:spacing w:val="12"/>
                <w:sz w:val="20"/>
                <w:szCs w:val="20"/>
              </w:rPr>
              <w:t>他</w:t>
            </w:r>
            <w:r>
              <w:rPr>
                <w:rFonts w:ascii="宋体" w:hAnsi="宋体" w:eastAsia="宋体" w:cs="宋体"/>
                <w:spacing w:val="8"/>
                <w:sz w:val="20"/>
                <w:szCs w:val="20"/>
              </w:rPr>
              <w:t>畜禽种类 折合猪的</w:t>
            </w:r>
          </w:p>
          <w:p w14:paraId="0D6650FB">
            <w:pPr>
              <w:spacing w:before="24" w:line="228" w:lineRule="auto"/>
              <w:ind w:left="33"/>
              <w:rPr>
                <w:rFonts w:ascii="宋体" w:hAnsi="宋体" w:eastAsia="宋体" w:cs="宋体"/>
                <w:sz w:val="20"/>
                <w:szCs w:val="20"/>
              </w:rPr>
            </w:pPr>
            <w:r>
              <w:rPr>
                <w:rFonts w:ascii="宋体" w:hAnsi="宋体" w:eastAsia="宋体" w:cs="宋体"/>
                <w:spacing w:val="13"/>
                <w:sz w:val="20"/>
                <w:szCs w:val="20"/>
              </w:rPr>
              <w:t>养</w:t>
            </w:r>
            <w:r>
              <w:rPr>
                <w:rFonts w:ascii="宋体" w:hAnsi="宋体" w:eastAsia="宋体" w:cs="宋体"/>
                <w:spacing w:val="7"/>
                <w:sz w:val="20"/>
                <w:szCs w:val="20"/>
              </w:rPr>
              <w:t>殖规 模) 及养殖场</w:t>
            </w:r>
          </w:p>
          <w:p w14:paraId="293D6BAD">
            <w:pPr>
              <w:spacing w:before="26" w:line="228" w:lineRule="auto"/>
              <w:ind w:left="507"/>
              <w:rPr>
                <w:rFonts w:ascii="宋体" w:hAnsi="宋体" w:eastAsia="宋体" w:cs="宋体"/>
                <w:sz w:val="20"/>
                <w:szCs w:val="20"/>
              </w:rPr>
            </w:pPr>
            <w:r>
              <w:rPr>
                <w:rFonts w:ascii="宋体" w:hAnsi="宋体" w:eastAsia="宋体" w:cs="宋体"/>
                <w:spacing w:val="10"/>
                <w:sz w:val="20"/>
                <w:szCs w:val="20"/>
              </w:rPr>
              <w:t>或</w:t>
            </w:r>
            <w:r>
              <w:rPr>
                <w:rFonts w:ascii="宋体" w:hAnsi="宋体" w:eastAsia="宋体" w:cs="宋体"/>
                <w:spacing w:val="7"/>
                <w:sz w:val="20"/>
                <w:szCs w:val="20"/>
              </w:rPr>
              <w:t>养殖小区</w:t>
            </w:r>
          </w:p>
        </w:tc>
        <w:tc>
          <w:tcPr>
            <w:tcW w:w="730" w:type="dxa"/>
            <w:tcBorders>
              <w:right w:val="nil"/>
            </w:tcBorders>
          </w:tcPr>
          <w:p w14:paraId="3458920E"/>
        </w:tc>
      </w:tr>
    </w:tbl>
    <w:p w14:paraId="140134B6">
      <w:pPr>
        <w:spacing w:before="39" w:line="362" w:lineRule="auto"/>
        <w:ind w:left="416" w:right="916" w:firstLine="480"/>
        <w:rPr>
          <w:rFonts w:ascii="宋体" w:hAnsi="宋体" w:eastAsia="宋体" w:cs="宋体"/>
          <w:sz w:val="23"/>
          <w:szCs w:val="23"/>
        </w:rPr>
      </w:pPr>
      <w:r>
        <w:rPr>
          <w:rFonts w:ascii="宋体" w:hAnsi="宋体" w:eastAsia="宋体" w:cs="宋体"/>
          <w:spacing w:val="14"/>
          <w:sz w:val="23"/>
          <w:szCs w:val="23"/>
        </w:rPr>
        <w:t>本</w:t>
      </w:r>
      <w:r>
        <w:rPr>
          <w:rFonts w:ascii="宋体" w:hAnsi="宋体" w:eastAsia="宋体" w:cs="宋体"/>
          <w:spacing w:val="11"/>
          <w:sz w:val="23"/>
          <w:szCs w:val="23"/>
        </w:rPr>
        <w:t>项目为畜禽养殖项目，对土壤环境的影响主要为大气沉降的影响，根据大气</w:t>
      </w:r>
      <w:r>
        <w:rPr>
          <w:rFonts w:ascii="宋体" w:hAnsi="宋体" w:eastAsia="宋体" w:cs="宋体"/>
          <w:sz w:val="23"/>
          <w:szCs w:val="23"/>
        </w:rPr>
        <w:t xml:space="preserve"> </w:t>
      </w:r>
      <w:r>
        <w:rPr>
          <w:rFonts w:ascii="宋体" w:hAnsi="宋体" w:eastAsia="宋体" w:cs="宋体"/>
          <w:spacing w:val="6"/>
          <w:sz w:val="23"/>
          <w:szCs w:val="23"/>
        </w:rPr>
        <w:t>预测，大气最大浓度落</w:t>
      </w:r>
      <w:r>
        <w:rPr>
          <w:rFonts w:ascii="宋体" w:hAnsi="宋体" w:eastAsia="宋体" w:cs="宋体"/>
          <w:spacing w:val="4"/>
          <w:sz w:val="23"/>
          <w:szCs w:val="23"/>
        </w:rPr>
        <w:t>地</w:t>
      </w:r>
      <w:r>
        <w:rPr>
          <w:rFonts w:ascii="宋体" w:hAnsi="宋体" w:eastAsia="宋体" w:cs="宋体"/>
          <w:spacing w:val="3"/>
          <w:sz w:val="23"/>
          <w:szCs w:val="23"/>
        </w:rPr>
        <w:t xml:space="preserve">点距离为 </w:t>
      </w:r>
      <w:r>
        <w:rPr>
          <w:rFonts w:ascii="Times New Roman" w:hAnsi="Times New Roman" w:eastAsia="Times New Roman" w:cs="Times New Roman"/>
          <w:spacing w:val="3"/>
          <w:sz w:val="23"/>
          <w:szCs w:val="23"/>
        </w:rPr>
        <w:t>131</w:t>
      </w:r>
      <w:r>
        <w:rPr>
          <w:rFonts w:ascii="Times New Roman" w:hAnsi="Times New Roman" w:eastAsia="Times New Roman" w:cs="Times New Roman"/>
          <w:sz w:val="23"/>
          <w:szCs w:val="23"/>
        </w:rPr>
        <w:t>m</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 xml:space="preserve">，根据现场勘查，项目所在地 </w:t>
      </w:r>
      <w:r>
        <w:rPr>
          <w:rFonts w:ascii="Times New Roman" w:hAnsi="Times New Roman" w:eastAsia="Times New Roman" w:cs="Times New Roman"/>
          <w:spacing w:val="3"/>
          <w:sz w:val="23"/>
          <w:szCs w:val="23"/>
        </w:rPr>
        <w:t>131</w:t>
      </w:r>
      <w:r>
        <w:rPr>
          <w:rFonts w:ascii="Times New Roman" w:hAnsi="Times New Roman" w:eastAsia="Times New Roman" w:cs="Times New Roman"/>
          <w:sz w:val="23"/>
          <w:szCs w:val="23"/>
        </w:rPr>
        <w:t>m</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范围内</w:t>
      </w:r>
      <w:r>
        <w:rPr>
          <w:rFonts w:ascii="宋体" w:hAnsi="宋体" w:eastAsia="宋体" w:cs="宋体"/>
          <w:sz w:val="23"/>
          <w:szCs w:val="23"/>
        </w:rPr>
        <w:t xml:space="preserve"> </w:t>
      </w:r>
      <w:r>
        <w:rPr>
          <w:rFonts w:ascii="宋体" w:hAnsi="宋体" w:eastAsia="宋体" w:cs="宋体"/>
          <w:spacing w:val="12"/>
          <w:sz w:val="23"/>
          <w:szCs w:val="23"/>
        </w:rPr>
        <w:t>有</w:t>
      </w:r>
      <w:r>
        <w:rPr>
          <w:rFonts w:ascii="宋体" w:hAnsi="宋体" w:eastAsia="宋体" w:cs="宋体"/>
          <w:spacing w:val="11"/>
          <w:sz w:val="23"/>
          <w:szCs w:val="23"/>
        </w:rPr>
        <w:t>耕地和</w:t>
      </w:r>
      <w:r>
        <w:rPr>
          <w:rFonts w:ascii="宋体" w:hAnsi="宋体" w:eastAsia="宋体" w:cs="宋体"/>
          <w:spacing w:val="11"/>
          <w:sz w:val="23"/>
          <w:szCs w:val="23"/>
          <w14:textOutline w14:w="4356" w14:cap="sq" w14:cmpd="sng" w14:algn="ctr">
            <w14:solidFill>
              <w14:srgbClr w14:val="000000"/>
            </w14:solidFill>
            <w14:prstDash w14:val="solid"/>
            <w14:bevel/>
          </w14:textOutline>
        </w:rPr>
        <w:t>基本农田</w:t>
      </w:r>
      <w:r>
        <w:rPr>
          <w:rFonts w:ascii="宋体" w:hAnsi="宋体" w:eastAsia="宋体" w:cs="宋体"/>
          <w:spacing w:val="11"/>
          <w:sz w:val="23"/>
          <w:szCs w:val="23"/>
        </w:rPr>
        <w:t>等土壤环境敏感目标。根据污染影响型敏感程度分级表，本项目</w:t>
      </w:r>
      <w:r>
        <w:rPr>
          <w:rFonts w:ascii="宋体" w:hAnsi="宋体" w:eastAsia="宋体" w:cs="宋体"/>
          <w:sz w:val="23"/>
          <w:szCs w:val="23"/>
        </w:rPr>
        <w:t xml:space="preserve"> </w:t>
      </w:r>
      <w:r>
        <w:rPr>
          <w:rFonts w:ascii="宋体" w:hAnsi="宋体" w:eastAsia="宋体" w:cs="宋体"/>
          <w:spacing w:val="12"/>
          <w:sz w:val="23"/>
          <w:szCs w:val="23"/>
        </w:rPr>
        <w:t>敏感</w:t>
      </w:r>
      <w:r>
        <w:rPr>
          <w:rFonts w:ascii="宋体" w:hAnsi="宋体" w:eastAsia="宋体" w:cs="宋体"/>
          <w:spacing w:val="7"/>
          <w:sz w:val="23"/>
          <w:szCs w:val="23"/>
        </w:rPr>
        <w:t>程</w:t>
      </w:r>
      <w:r>
        <w:rPr>
          <w:rFonts w:ascii="宋体" w:hAnsi="宋体" w:eastAsia="宋体" w:cs="宋体"/>
          <w:spacing w:val="6"/>
          <w:sz w:val="23"/>
          <w:szCs w:val="23"/>
        </w:rPr>
        <w:t>度分级为</w:t>
      </w:r>
      <w:r>
        <w:rPr>
          <w:rFonts w:ascii="Times New Roman" w:hAnsi="Times New Roman" w:eastAsia="Times New Roman" w:cs="Times New Roman"/>
          <w:spacing w:val="6"/>
          <w:sz w:val="23"/>
          <w:szCs w:val="23"/>
        </w:rPr>
        <w:t>“</w:t>
      </w:r>
      <w:r>
        <w:rPr>
          <w:rFonts w:ascii="宋体" w:hAnsi="宋体" w:eastAsia="宋体" w:cs="宋体"/>
          <w:spacing w:val="6"/>
          <w:sz w:val="23"/>
          <w:szCs w:val="23"/>
          <w14:textOutline w14:w="4356" w14:cap="sq" w14:cmpd="sng" w14:algn="ctr">
            <w14:solidFill>
              <w14:srgbClr w14:val="000000"/>
            </w14:solidFill>
            <w14:prstDash w14:val="solid"/>
            <w14:bevel/>
          </w14:textOutline>
        </w:rPr>
        <w:t>敏感</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。污染影响型敏感程度分级表如下。</w:t>
      </w:r>
    </w:p>
    <w:p w14:paraId="0D4FE2EB">
      <w:pPr>
        <w:spacing w:line="221" w:lineRule="auto"/>
        <w:ind w:left="2802"/>
        <w:rPr>
          <w:rFonts w:ascii="黑体" w:hAnsi="黑体" w:eastAsia="黑体" w:cs="黑体"/>
          <w:sz w:val="23"/>
          <w:szCs w:val="23"/>
        </w:rPr>
      </w:pPr>
      <w:r>
        <w:rPr>
          <w:rFonts w:ascii="黑体" w:hAnsi="黑体" w:eastAsia="黑体" w:cs="黑体"/>
          <w:spacing w:val="4"/>
          <w:sz w:val="23"/>
          <w:szCs w:val="23"/>
        </w:rPr>
        <w:t xml:space="preserve">表 </w:t>
      </w:r>
      <w:r>
        <w:rPr>
          <w:rFonts w:ascii="Times New Roman" w:hAnsi="Times New Roman" w:eastAsia="Times New Roman" w:cs="Times New Roman"/>
          <w:spacing w:val="4"/>
          <w:sz w:val="23"/>
          <w:szCs w:val="23"/>
        </w:rPr>
        <w:t xml:space="preserve">1.5-9    </w:t>
      </w:r>
      <w:r>
        <w:rPr>
          <w:rFonts w:ascii="黑体" w:hAnsi="黑体" w:eastAsia="黑体" w:cs="黑体"/>
          <w:spacing w:val="4"/>
          <w:sz w:val="23"/>
          <w:szCs w:val="23"/>
        </w:rPr>
        <w:t>污染影响型敏感程度分级</w:t>
      </w:r>
      <w:r>
        <w:rPr>
          <w:rFonts w:ascii="黑体" w:hAnsi="黑体" w:eastAsia="黑体" w:cs="黑体"/>
          <w:spacing w:val="3"/>
          <w:sz w:val="23"/>
          <w:szCs w:val="23"/>
        </w:rPr>
        <w:t>表</w:t>
      </w:r>
    </w:p>
    <w:tbl>
      <w:tblPr>
        <w:tblStyle w:val="4"/>
        <w:tblW w:w="949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75"/>
        <w:gridCol w:w="7722"/>
      </w:tblGrid>
      <w:tr w14:paraId="2C4D8D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1775" w:type="dxa"/>
            <w:tcBorders>
              <w:left w:val="nil"/>
            </w:tcBorders>
          </w:tcPr>
          <w:p w14:paraId="4CC0F8B5">
            <w:pPr>
              <w:spacing w:before="69" w:line="228" w:lineRule="auto"/>
              <w:ind w:left="474"/>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敏</w:t>
            </w:r>
            <w:r>
              <w:rPr>
                <w:rFonts w:ascii="宋体" w:hAnsi="宋体" w:eastAsia="宋体" w:cs="宋体"/>
                <w:spacing w:val="8"/>
                <w:sz w:val="20"/>
                <w:szCs w:val="20"/>
                <w14:textOutline w14:w="3797" w14:cap="sq" w14:cmpd="sng" w14:algn="ctr">
                  <w14:solidFill>
                    <w14:srgbClr w14:val="000000"/>
                  </w14:solidFill>
                  <w14:prstDash w14:val="solid"/>
                  <w14:bevel/>
                </w14:textOutline>
              </w:rPr>
              <w:t>感程度</w:t>
            </w:r>
          </w:p>
        </w:tc>
        <w:tc>
          <w:tcPr>
            <w:tcW w:w="7722" w:type="dxa"/>
            <w:tcBorders>
              <w:right w:val="nil"/>
            </w:tcBorders>
          </w:tcPr>
          <w:p w14:paraId="22121F75">
            <w:pPr>
              <w:spacing w:before="69" w:line="227" w:lineRule="auto"/>
              <w:ind w:left="3448"/>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判</w:t>
            </w:r>
            <w:r>
              <w:rPr>
                <w:rFonts w:ascii="宋体" w:hAnsi="宋体" w:eastAsia="宋体" w:cs="宋体"/>
                <w:spacing w:val="8"/>
                <w:sz w:val="20"/>
                <w:szCs w:val="20"/>
                <w14:textOutline w14:w="3797" w14:cap="sq" w14:cmpd="sng" w14:algn="ctr">
                  <w14:solidFill>
                    <w14:srgbClr w14:val="000000"/>
                  </w14:solidFill>
                  <w14:prstDash w14:val="solid"/>
                  <w14:bevel/>
                </w14:textOutline>
              </w:rPr>
              <w:t>别依据</w:t>
            </w:r>
          </w:p>
        </w:tc>
      </w:tr>
      <w:tr w14:paraId="3F647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775" w:type="dxa"/>
            <w:tcBorders>
              <w:left w:val="nil"/>
            </w:tcBorders>
          </w:tcPr>
          <w:p w14:paraId="364C1AFE">
            <w:pPr>
              <w:spacing w:before="209" w:line="228" w:lineRule="auto"/>
              <w:ind w:left="683"/>
              <w:rPr>
                <w:rFonts w:ascii="宋体" w:hAnsi="宋体" w:eastAsia="宋体" w:cs="宋体"/>
                <w:sz w:val="20"/>
                <w:szCs w:val="20"/>
              </w:rPr>
            </w:pPr>
            <w:r>
              <w:rPr>
                <w:rFonts w:ascii="宋体" w:hAnsi="宋体" w:eastAsia="宋体" w:cs="宋体"/>
                <w:spacing w:val="4"/>
                <w:sz w:val="20"/>
                <w:szCs w:val="20"/>
              </w:rPr>
              <w:t>敏感</w:t>
            </w:r>
          </w:p>
        </w:tc>
        <w:tc>
          <w:tcPr>
            <w:tcW w:w="7722" w:type="dxa"/>
            <w:tcBorders>
              <w:right w:val="nil"/>
            </w:tcBorders>
          </w:tcPr>
          <w:p w14:paraId="20B44915">
            <w:pPr>
              <w:spacing w:before="76" w:line="257" w:lineRule="auto"/>
              <w:ind w:left="2307" w:hanging="2291"/>
              <w:rPr>
                <w:rFonts w:ascii="宋体" w:hAnsi="宋体" w:eastAsia="宋体" w:cs="宋体"/>
                <w:sz w:val="20"/>
                <w:szCs w:val="20"/>
              </w:rPr>
            </w:pPr>
            <w:r>
              <w:rPr>
                <w:rFonts w:ascii="宋体" w:hAnsi="宋体" w:eastAsia="宋体" w:cs="宋体"/>
                <w:spacing w:val="14"/>
                <w:sz w:val="20"/>
                <w:szCs w:val="20"/>
              </w:rPr>
              <w:t>建</w:t>
            </w:r>
            <w:r>
              <w:rPr>
                <w:rFonts w:ascii="宋体" w:hAnsi="宋体" w:eastAsia="宋体" w:cs="宋体"/>
                <w:spacing w:val="8"/>
                <w:sz w:val="20"/>
                <w:szCs w:val="20"/>
              </w:rPr>
              <w:t>设项目周边存在耕地、园地、牧草地、饮用水水源地或</w:t>
            </w:r>
            <w:r>
              <w:rPr>
                <w:rFonts w:ascii="宋体" w:hAnsi="宋体" w:eastAsia="宋体" w:cs="宋体"/>
                <w:spacing w:val="8"/>
                <w:sz w:val="20"/>
                <w:szCs w:val="20"/>
                <w14:textOutline w14:w="3797" w14:cap="sq" w14:cmpd="sng" w14:algn="ctr">
                  <w14:solidFill>
                    <w14:srgbClr w14:val="000000"/>
                  </w14:solidFill>
                  <w14:prstDash w14:val="solid"/>
                  <w14:bevel/>
                </w14:textOutline>
              </w:rPr>
              <w:t>居民区</w:t>
            </w:r>
            <w:r>
              <w:rPr>
                <w:rFonts w:ascii="宋体" w:hAnsi="宋体" w:eastAsia="宋体" w:cs="宋体"/>
                <w:spacing w:val="8"/>
                <w:sz w:val="20"/>
                <w:szCs w:val="20"/>
              </w:rPr>
              <w:t>、学校、医院、疗养</w:t>
            </w:r>
            <w:r>
              <w:rPr>
                <w:rFonts w:ascii="宋体" w:hAnsi="宋体" w:eastAsia="宋体" w:cs="宋体"/>
                <w:sz w:val="20"/>
                <w:szCs w:val="20"/>
              </w:rPr>
              <w:t xml:space="preserve"> </w:t>
            </w:r>
            <w:r>
              <w:rPr>
                <w:rFonts w:ascii="宋体" w:hAnsi="宋体" w:eastAsia="宋体" w:cs="宋体"/>
                <w:spacing w:val="14"/>
                <w:sz w:val="20"/>
                <w:szCs w:val="20"/>
              </w:rPr>
              <w:t>院</w:t>
            </w:r>
            <w:r>
              <w:rPr>
                <w:rFonts w:ascii="宋体" w:hAnsi="宋体" w:eastAsia="宋体" w:cs="宋体"/>
                <w:spacing w:val="8"/>
                <w:sz w:val="20"/>
                <w:szCs w:val="20"/>
              </w:rPr>
              <w:t>、养老院等土壤环境敏感目标的</w:t>
            </w:r>
          </w:p>
        </w:tc>
      </w:tr>
      <w:tr w14:paraId="1B2D7D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775" w:type="dxa"/>
            <w:tcBorders>
              <w:left w:val="nil"/>
            </w:tcBorders>
          </w:tcPr>
          <w:p w14:paraId="0C38386B">
            <w:pPr>
              <w:spacing w:before="63" w:line="228" w:lineRule="auto"/>
              <w:ind w:left="577"/>
              <w:rPr>
                <w:rFonts w:ascii="宋体" w:hAnsi="宋体" w:eastAsia="宋体" w:cs="宋体"/>
                <w:sz w:val="20"/>
                <w:szCs w:val="20"/>
              </w:rPr>
            </w:pPr>
            <w:r>
              <w:rPr>
                <w:rFonts w:ascii="宋体" w:hAnsi="宋体" w:eastAsia="宋体" w:cs="宋体"/>
                <w:spacing w:val="7"/>
                <w:sz w:val="20"/>
                <w:szCs w:val="20"/>
              </w:rPr>
              <w:t>较敏</w:t>
            </w:r>
            <w:r>
              <w:rPr>
                <w:rFonts w:ascii="宋体" w:hAnsi="宋体" w:eastAsia="宋体" w:cs="宋体"/>
                <w:spacing w:val="6"/>
                <w:sz w:val="20"/>
                <w:szCs w:val="20"/>
              </w:rPr>
              <w:t>感</w:t>
            </w:r>
          </w:p>
        </w:tc>
        <w:tc>
          <w:tcPr>
            <w:tcW w:w="7722" w:type="dxa"/>
            <w:tcBorders>
              <w:right w:val="nil"/>
            </w:tcBorders>
          </w:tcPr>
          <w:p w14:paraId="63D91CA9">
            <w:pPr>
              <w:spacing w:before="63" w:line="228" w:lineRule="auto"/>
              <w:ind w:left="1876"/>
              <w:rPr>
                <w:rFonts w:ascii="宋体" w:hAnsi="宋体" w:eastAsia="宋体" w:cs="宋体"/>
                <w:sz w:val="20"/>
                <w:szCs w:val="20"/>
              </w:rPr>
            </w:pPr>
            <w:r>
              <w:rPr>
                <w:rFonts w:ascii="宋体" w:hAnsi="宋体" w:eastAsia="宋体" w:cs="宋体"/>
                <w:spacing w:val="16"/>
                <w:sz w:val="20"/>
                <w:szCs w:val="20"/>
              </w:rPr>
              <w:t>建</w:t>
            </w:r>
            <w:r>
              <w:rPr>
                <w:rFonts w:ascii="宋体" w:hAnsi="宋体" w:eastAsia="宋体" w:cs="宋体"/>
                <w:spacing w:val="9"/>
                <w:sz w:val="20"/>
                <w:szCs w:val="20"/>
              </w:rPr>
              <w:t>设项目周边存在其他土壤环境敏感目标的</w:t>
            </w:r>
          </w:p>
        </w:tc>
      </w:tr>
      <w:tr w14:paraId="6B1B1C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6" w:hRule="atLeast"/>
        </w:trPr>
        <w:tc>
          <w:tcPr>
            <w:tcW w:w="1775" w:type="dxa"/>
            <w:tcBorders>
              <w:left w:val="nil"/>
            </w:tcBorders>
          </w:tcPr>
          <w:p w14:paraId="3B3A259E">
            <w:pPr>
              <w:spacing w:before="60" w:line="228" w:lineRule="auto"/>
              <w:ind w:left="580"/>
              <w:rPr>
                <w:rFonts w:ascii="宋体" w:hAnsi="宋体" w:eastAsia="宋体" w:cs="宋体"/>
                <w:sz w:val="20"/>
                <w:szCs w:val="20"/>
              </w:rPr>
            </w:pPr>
            <w:r>
              <w:rPr>
                <w:rFonts w:ascii="宋体" w:hAnsi="宋体" w:eastAsia="宋体" w:cs="宋体"/>
                <w:spacing w:val="6"/>
                <w:sz w:val="20"/>
                <w:szCs w:val="20"/>
              </w:rPr>
              <w:t>不敏</w:t>
            </w:r>
            <w:r>
              <w:rPr>
                <w:rFonts w:ascii="宋体" w:hAnsi="宋体" w:eastAsia="宋体" w:cs="宋体"/>
                <w:spacing w:val="5"/>
                <w:sz w:val="20"/>
                <w:szCs w:val="20"/>
              </w:rPr>
              <w:t>感</w:t>
            </w:r>
          </w:p>
        </w:tc>
        <w:tc>
          <w:tcPr>
            <w:tcW w:w="7722" w:type="dxa"/>
            <w:tcBorders>
              <w:right w:val="nil"/>
            </w:tcBorders>
          </w:tcPr>
          <w:p w14:paraId="40C1EFD9">
            <w:pPr>
              <w:spacing w:before="61" w:line="228" w:lineRule="auto"/>
              <w:ind w:left="3449"/>
              <w:rPr>
                <w:rFonts w:ascii="宋体" w:hAnsi="宋体" w:eastAsia="宋体" w:cs="宋体"/>
                <w:sz w:val="20"/>
                <w:szCs w:val="20"/>
              </w:rPr>
            </w:pPr>
            <w:r>
              <w:rPr>
                <w:rFonts w:ascii="宋体" w:hAnsi="宋体" w:eastAsia="宋体" w:cs="宋体"/>
                <w:spacing w:val="7"/>
                <w:sz w:val="20"/>
                <w:szCs w:val="20"/>
              </w:rPr>
              <w:t>其他情况</w:t>
            </w:r>
          </w:p>
        </w:tc>
      </w:tr>
    </w:tbl>
    <w:p w14:paraId="0A1A2A05">
      <w:pPr>
        <w:spacing w:before="1" w:line="376" w:lineRule="auto"/>
        <w:ind w:left="407" w:right="849" w:firstLine="494"/>
        <w:rPr>
          <w:rFonts w:ascii="宋体" w:hAnsi="宋体" w:eastAsia="宋体" w:cs="宋体"/>
          <w:sz w:val="23"/>
          <w:szCs w:val="23"/>
        </w:rPr>
      </w:pPr>
      <w:r>
        <w:rPr>
          <w:rFonts w:ascii="宋体" w:hAnsi="宋体" w:eastAsia="宋体" w:cs="宋体"/>
          <w:spacing w:val="8"/>
          <w:sz w:val="23"/>
          <w:szCs w:val="23"/>
        </w:rPr>
        <w:t>导则将建设项目占</w:t>
      </w:r>
      <w:r>
        <w:rPr>
          <w:rFonts w:ascii="宋体" w:hAnsi="宋体" w:eastAsia="宋体" w:cs="宋体"/>
          <w:spacing w:val="7"/>
          <w:sz w:val="23"/>
          <w:szCs w:val="23"/>
        </w:rPr>
        <w:t>地</w:t>
      </w:r>
      <w:r>
        <w:rPr>
          <w:rFonts w:ascii="宋体" w:hAnsi="宋体" w:eastAsia="宋体" w:cs="宋体"/>
          <w:spacing w:val="4"/>
          <w:sz w:val="23"/>
          <w:szCs w:val="23"/>
        </w:rPr>
        <w:t>规模分为大型 (</w:t>
      </w:r>
      <w:r>
        <w:rPr>
          <w:rFonts w:ascii="Times New Roman" w:hAnsi="Times New Roman" w:eastAsia="Times New Roman" w:cs="Times New Roman"/>
          <w:spacing w:val="4"/>
          <w:sz w:val="23"/>
          <w:szCs w:val="23"/>
        </w:rPr>
        <w:t xml:space="preserve">≥50 </w:t>
      </w:r>
      <w:r>
        <w:rPr>
          <w:rFonts w:ascii="Times New Roman" w:hAnsi="Times New Roman" w:eastAsia="Times New Roman" w:cs="Times New Roman"/>
          <w:sz w:val="23"/>
          <w:szCs w:val="23"/>
        </w:rPr>
        <w:t>hm</w:t>
      </w:r>
      <w:r>
        <w:rPr>
          <w:rFonts w:ascii="Times New Roman" w:hAnsi="Times New Roman" w:eastAsia="Times New Roman" w:cs="Times New Roman"/>
          <w:spacing w:val="4"/>
          <w:position w:val="7"/>
          <w:sz w:val="15"/>
          <w:szCs w:val="15"/>
        </w:rPr>
        <w:t xml:space="preserve">2 </w:t>
      </w:r>
      <w:r>
        <w:rPr>
          <w:rFonts w:ascii="宋体" w:hAnsi="宋体" w:eastAsia="宋体" w:cs="宋体"/>
          <w:spacing w:val="4"/>
          <w:sz w:val="23"/>
          <w:szCs w:val="23"/>
        </w:rPr>
        <w:t>) 、中型 (</w:t>
      </w:r>
      <w:r>
        <w:rPr>
          <w:rFonts w:ascii="Times New Roman" w:hAnsi="Times New Roman" w:eastAsia="Times New Roman" w:cs="Times New Roman"/>
          <w:spacing w:val="4"/>
          <w:sz w:val="23"/>
          <w:szCs w:val="23"/>
        </w:rPr>
        <w:t xml:space="preserve">5~50 </w:t>
      </w:r>
      <w:r>
        <w:rPr>
          <w:rFonts w:ascii="Times New Roman" w:hAnsi="Times New Roman" w:eastAsia="Times New Roman" w:cs="Times New Roman"/>
          <w:sz w:val="23"/>
          <w:szCs w:val="23"/>
        </w:rPr>
        <w:t>hm</w:t>
      </w:r>
      <w:r>
        <w:rPr>
          <w:rFonts w:ascii="Times New Roman" w:hAnsi="Times New Roman" w:eastAsia="Times New Roman" w:cs="Times New Roman"/>
          <w:spacing w:val="4"/>
          <w:position w:val="7"/>
          <w:sz w:val="15"/>
          <w:szCs w:val="15"/>
        </w:rPr>
        <w:t xml:space="preserve">2 </w:t>
      </w:r>
      <w:r>
        <w:rPr>
          <w:rFonts w:ascii="宋体" w:hAnsi="宋体" w:eastAsia="宋体" w:cs="宋体"/>
          <w:spacing w:val="4"/>
          <w:sz w:val="23"/>
          <w:szCs w:val="23"/>
        </w:rPr>
        <w:t>) 、小型 (</w:t>
      </w:r>
      <w:r>
        <w:rPr>
          <w:rFonts w:ascii="Times New Roman" w:hAnsi="Times New Roman" w:eastAsia="Times New Roman" w:cs="Times New Roman"/>
          <w:spacing w:val="4"/>
          <w:sz w:val="23"/>
          <w:szCs w:val="23"/>
        </w:rPr>
        <w:t>≤5</w:t>
      </w:r>
      <w:r>
        <w:rPr>
          <w:rFonts w:ascii="Times New Roman" w:hAnsi="Times New Roman" w:eastAsia="Times New Roman" w:cs="Times New Roman"/>
          <w:sz w:val="23"/>
          <w:szCs w:val="23"/>
        </w:rPr>
        <w:t xml:space="preserve"> </w:t>
      </w:r>
      <w:r>
        <w:rPr>
          <w:rFonts w:ascii="Times New Roman" w:hAnsi="Times New Roman" w:eastAsia="Times New Roman" w:cs="Times New Roman"/>
          <w:spacing w:val="-3"/>
          <w:sz w:val="23"/>
          <w:szCs w:val="23"/>
        </w:rPr>
        <w:t>hm</w:t>
      </w:r>
      <w:r>
        <w:rPr>
          <w:rFonts w:ascii="Times New Roman" w:hAnsi="Times New Roman" w:eastAsia="Times New Roman" w:cs="Times New Roman"/>
          <w:spacing w:val="-6"/>
          <w:position w:val="7"/>
          <w:sz w:val="15"/>
          <w:szCs w:val="15"/>
        </w:rPr>
        <w:t xml:space="preserve">2 </w:t>
      </w:r>
      <w:r>
        <w:rPr>
          <w:rFonts w:ascii="宋体" w:hAnsi="宋体" w:eastAsia="宋体" w:cs="宋体"/>
          <w:spacing w:val="-6"/>
          <w:sz w:val="23"/>
          <w:szCs w:val="23"/>
        </w:rPr>
        <w:t>)，建设项目占地主</w:t>
      </w:r>
      <w:r>
        <w:rPr>
          <w:rFonts w:ascii="宋体" w:hAnsi="宋体" w:eastAsia="宋体" w:cs="宋体"/>
          <w:spacing w:val="-5"/>
          <w:sz w:val="23"/>
          <w:szCs w:val="23"/>
        </w:rPr>
        <w:t>要</w:t>
      </w:r>
      <w:r>
        <w:rPr>
          <w:rFonts w:ascii="宋体" w:hAnsi="宋体" w:eastAsia="宋体" w:cs="宋体"/>
          <w:spacing w:val="-3"/>
          <w:sz w:val="23"/>
          <w:szCs w:val="23"/>
        </w:rPr>
        <w:t xml:space="preserve">为永久占地。本项目占地范围合计 </w:t>
      </w:r>
      <w:r>
        <w:rPr>
          <w:rFonts w:ascii="Times New Roman" w:hAnsi="Times New Roman" w:eastAsia="Times New Roman" w:cs="Times New Roman"/>
          <w:spacing w:val="-3"/>
          <w:sz w:val="23"/>
          <w:szCs w:val="23"/>
        </w:rPr>
        <w:t xml:space="preserve">48. 11 </w:t>
      </w:r>
      <w:r>
        <w:rPr>
          <w:rFonts w:ascii="宋体" w:hAnsi="宋体" w:eastAsia="宋体" w:cs="宋体"/>
          <w:spacing w:val="-3"/>
          <w:sz w:val="23"/>
          <w:szCs w:val="23"/>
        </w:rPr>
        <w:t xml:space="preserve">亩，即为 </w:t>
      </w:r>
      <w:r>
        <w:rPr>
          <w:rFonts w:ascii="Times New Roman" w:hAnsi="Times New Roman" w:eastAsia="Times New Roman" w:cs="Times New Roman"/>
          <w:spacing w:val="-3"/>
          <w:sz w:val="23"/>
          <w:szCs w:val="23"/>
        </w:rPr>
        <w:t>3.207hm</w:t>
      </w:r>
      <w:r>
        <w:rPr>
          <w:rFonts w:ascii="Times New Roman" w:hAnsi="Times New Roman" w:eastAsia="Times New Roman" w:cs="Times New Roman"/>
          <w:spacing w:val="-3"/>
          <w:position w:val="7"/>
          <w:sz w:val="15"/>
          <w:szCs w:val="15"/>
        </w:rPr>
        <w:t>2</w:t>
      </w:r>
      <w:r>
        <w:rPr>
          <w:rFonts w:ascii="宋体" w:hAnsi="宋体" w:eastAsia="宋体" w:cs="宋体"/>
          <w:spacing w:val="-3"/>
          <w:sz w:val="23"/>
          <w:szCs w:val="23"/>
        </w:rPr>
        <w:t>，</w:t>
      </w:r>
      <w:r>
        <w:rPr>
          <w:rFonts w:ascii="宋体" w:hAnsi="宋体" w:eastAsia="宋体" w:cs="宋体"/>
          <w:sz w:val="23"/>
          <w:szCs w:val="23"/>
        </w:rPr>
        <w:t xml:space="preserve"> </w:t>
      </w:r>
      <w:r>
        <w:rPr>
          <w:rFonts w:ascii="宋体" w:hAnsi="宋体" w:eastAsia="宋体" w:cs="宋体"/>
          <w:spacing w:val="12"/>
          <w:sz w:val="23"/>
          <w:szCs w:val="23"/>
        </w:rPr>
        <w:t>则</w:t>
      </w:r>
      <w:r>
        <w:rPr>
          <w:rFonts w:ascii="宋体" w:hAnsi="宋体" w:eastAsia="宋体" w:cs="宋体"/>
          <w:spacing w:val="8"/>
          <w:sz w:val="23"/>
          <w:szCs w:val="23"/>
        </w:rPr>
        <w:t>本项目占地规模为</w:t>
      </w:r>
      <w:r>
        <w:rPr>
          <w:rFonts w:ascii="Times New Roman" w:hAnsi="Times New Roman" w:eastAsia="Times New Roman" w:cs="Times New Roman"/>
          <w:spacing w:val="8"/>
          <w:sz w:val="23"/>
          <w:szCs w:val="23"/>
        </w:rPr>
        <w:t>“</w:t>
      </w:r>
      <w:r>
        <w:rPr>
          <w:rFonts w:ascii="宋体" w:hAnsi="宋体" w:eastAsia="宋体" w:cs="宋体"/>
          <w:spacing w:val="8"/>
          <w:sz w:val="23"/>
          <w:szCs w:val="23"/>
        </w:rPr>
        <w:t>小型</w:t>
      </w:r>
      <w:r>
        <w:rPr>
          <w:rFonts w:ascii="Times New Roman" w:hAnsi="Times New Roman" w:eastAsia="Times New Roman" w:cs="Times New Roman"/>
          <w:spacing w:val="8"/>
          <w:sz w:val="23"/>
          <w:szCs w:val="23"/>
        </w:rPr>
        <w:t>”</w:t>
      </w:r>
      <w:r>
        <w:rPr>
          <w:rFonts w:ascii="宋体" w:hAnsi="宋体" w:eastAsia="宋体" w:cs="宋体"/>
          <w:spacing w:val="8"/>
          <w:sz w:val="23"/>
          <w:szCs w:val="23"/>
        </w:rPr>
        <w:t>。</w:t>
      </w:r>
    </w:p>
    <w:p w14:paraId="28CAA629">
      <w:pPr>
        <w:spacing w:before="37" w:line="381" w:lineRule="auto"/>
        <w:ind w:left="427" w:right="911" w:firstLine="468"/>
        <w:rPr>
          <w:rFonts w:ascii="宋体" w:hAnsi="宋体" w:eastAsia="宋体" w:cs="宋体"/>
          <w:sz w:val="23"/>
          <w:szCs w:val="23"/>
        </w:rPr>
      </w:pPr>
      <w:r>
        <w:rPr>
          <w:rFonts w:ascii="宋体" w:hAnsi="宋体" w:eastAsia="宋体" w:cs="宋体"/>
          <w:spacing w:val="7"/>
          <w:sz w:val="23"/>
          <w:szCs w:val="23"/>
        </w:rPr>
        <w:t>本</w:t>
      </w:r>
      <w:r>
        <w:rPr>
          <w:rFonts w:ascii="宋体" w:hAnsi="宋体" w:eastAsia="宋体" w:cs="宋体"/>
          <w:spacing w:val="6"/>
          <w:sz w:val="23"/>
          <w:szCs w:val="23"/>
        </w:rPr>
        <w:t>项目为</w:t>
      </w:r>
      <w:r>
        <w:rPr>
          <w:rFonts w:ascii="Times New Roman" w:hAnsi="Times New Roman" w:eastAsia="Times New Roman" w:cs="Times New Roman"/>
          <w:spacing w:val="6"/>
          <w:sz w:val="23"/>
          <w:szCs w:val="23"/>
        </w:rPr>
        <w:t>“</w:t>
      </w:r>
      <w:r>
        <w:rPr>
          <w:rFonts w:ascii="宋体" w:hAnsi="宋体" w:eastAsia="宋体" w:cs="宋体"/>
          <w:spacing w:val="6"/>
          <w:sz w:val="23"/>
          <w:szCs w:val="23"/>
          <w14:textOutline w14:w="4356" w14:cap="sq" w14:cmpd="sng" w14:algn="ctr">
            <w14:solidFill>
              <w14:srgbClr w14:val="000000"/>
            </w14:solidFill>
            <w14:prstDash w14:val="solid"/>
            <w14:bevel/>
          </w14:textOutline>
        </w:rPr>
        <w:t>Ⅲ类</w:t>
      </w:r>
      <w:r>
        <w:rPr>
          <w:rFonts w:ascii="Times New Roman" w:hAnsi="Times New Roman" w:eastAsia="Times New Roman" w:cs="Times New Roman"/>
          <w:spacing w:val="6"/>
          <w:sz w:val="23"/>
          <w:szCs w:val="23"/>
        </w:rPr>
        <w:t>”</w:t>
      </w:r>
      <w:r>
        <w:rPr>
          <w:rFonts w:ascii="宋体" w:hAnsi="宋体" w:eastAsia="宋体" w:cs="宋体"/>
          <w:spacing w:val="6"/>
          <w:sz w:val="23"/>
          <w:szCs w:val="23"/>
        </w:rPr>
        <w:t>项目，占地规模为</w:t>
      </w:r>
      <w:r>
        <w:rPr>
          <w:rFonts w:ascii="Times New Roman" w:hAnsi="Times New Roman" w:eastAsia="Times New Roman" w:cs="Times New Roman"/>
          <w:spacing w:val="6"/>
          <w:sz w:val="23"/>
          <w:szCs w:val="23"/>
        </w:rPr>
        <w:t>“</w:t>
      </w:r>
      <w:r>
        <w:rPr>
          <w:rFonts w:ascii="宋体" w:hAnsi="宋体" w:eastAsia="宋体" w:cs="宋体"/>
          <w:spacing w:val="6"/>
          <w:sz w:val="23"/>
          <w:szCs w:val="23"/>
        </w:rPr>
        <w:t>小型</w:t>
      </w:r>
      <w:r>
        <w:rPr>
          <w:rFonts w:ascii="Times New Roman" w:hAnsi="Times New Roman" w:eastAsia="Times New Roman" w:cs="Times New Roman"/>
          <w:spacing w:val="6"/>
          <w:sz w:val="23"/>
          <w:szCs w:val="23"/>
        </w:rPr>
        <w:t>”</w:t>
      </w:r>
      <w:r>
        <w:rPr>
          <w:rFonts w:ascii="宋体" w:hAnsi="宋体" w:eastAsia="宋体" w:cs="宋体"/>
          <w:spacing w:val="6"/>
          <w:sz w:val="23"/>
          <w:szCs w:val="23"/>
        </w:rPr>
        <w:t>，敏感程度分级为</w:t>
      </w:r>
      <w:r>
        <w:rPr>
          <w:rFonts w:ascii="Times New Roman" w:hAnsi="Times New Roman" w:eastAsia="Times New Roman" w:cs="Times New Roman"/>
          <w:spacing w:val="6"/>
          <w:sz w:val="23"/>
          <w:szCs w:val="23"/>
        </w:rPr>
        <w:t>“</w:t>
      </w:r>
      <w:r>
        <w:rPr>
          <w:rFonts w:ascii="宋体" w:hAnsi="宋体" w:eastAsia="宋体" w:cs="宋体"/>
          <w:spacing w:val="6"/>
          <w:sz w:val="23"/>
          <w:szCs w:val="23"/>
        </w:rPr>
        <w:t>敏感</w:t>
      </w:r>
      <w:r>
        <w:rPr>
          <w:rFonts w:ascii="Times New Roman" w:hAnsi="Times New Roman" w:eastAsia="Times New Roman" w:cs="Times New Roman"/>
          <w:spacing w:val="6"/>
          <w:sz w:val="23"/>
          <w:szCs w:val="23"/>
        </w:rPr>
        <w:t>”</w:t>
      </w:r>
      <w:r>
        <w:rPr>
          <w:rFonts w:ascii="宋体" w:hAnsi="宋体" w:eastAsia="宋体" w:cs="宋体"/>
          <w:spacing w:val="6"/>
          <w:sz w:val="23"/>
          <w:szCs w:val="23"/>
        </w:rPr>
        <w:t>，根据污染影</w:t>
      </w:r>
      <w:r>
        <w:rPr>
          <w:rFonts w:ascii="宋体" w:hAnsi="宋体" w:eastAsia="宋体" w:cs="宋体"/>
          <w:sz w:val="23"/>
          <w:szCs w:val="23"/>
        </w:rPr>
        <w:t xml:space="preserve"> </w:t>
      </w:r>
      <w:r>
        <w:rPr>
          <w:rFonts w:ascii="宋体" w:hAnsi="宋体" w:eastAsia="宋体" w:cs="宋体"/>
          <w:spacing w:val="16"/>
          <w:sz w:val="23"/>
          <w:szCs w:val="23"/>
        </w:rPr>
        <w:t>响型</w:t>
      </w:r>
      <w:r>
        <w:rPr>
          <w:rFonts w:ascii="宋体" w:hAnsi="宋体" w:eastAsia="宋体" w:cs="宋体"/>
          <w:spacing w:val="14"/>
          <w:sz w:val="23"/>
          <w:szCs w:val="23"/>
        </w:rPr>
        <w:t>项</w:t>
      </w:r>
      <w:r>
        <w:rPr>
          <w:rFonts w:ascii="宋体" w:hAnsi="宋体" w:eastAsia="宋体" w:cs="宋体"/>
          <w:spacing w:val="8"/>
          <w:sz w:val="23"/>
          <w:szCs w:val="23"/>
        </w:rPr>
        <w:t>目评价工作等级划分表，本项目土壤环境评价工作等级为</w:t>
      </w:r>
      <w:r>
        <w:rPr>
          <w:rFonts w:ascii="Times New Roman" w:hAnsi="Times New Roman" w:eastAsia="Times New Roman" w:cs="Times New Roman"/>
          <w:spacing w:val="8"/>
          <w:sz w:val="23"/>
          <w:szCs w:val="23"/>
        </w:rPr>
        <w:t>“</w:t>
      </w:r>
      <w:r>
        <w:rPr>
          <w:rFonts w:ascii="宋体" w:hAnsi="宋体" w:eastAsia="宋体" w:cs="宋体"/>
          <w:spacing w:val="8"/>
          <w:sz w:val="23"/>
          <w:szCs w:val="23"/>
        </w:rPr>
        <w:t>三级</w:t>
      </w:r>
      <w:r>
        <w:rPr>
          <w:rFonts w:ascii="Times New Roman" w:hAnsi="Times New Roman" w:eastAsia="Times New Roman" w:cs="Times New Roman"/>
          <w:spacing w:val="8"/>
          <w:sz w:val="23"/>
          <w:szCs w:val="23"/>
        </w:rPr>
        <w:t>”</w:t>
      </w:r>
      <w:r>
        <w:rPr>
          <w:rFonts w:ascii="宋体" w:hAnsi="宋体" w:eastAsia="宋体" w:cs="宋体"/>
          <w:spacing w:val="8"/>
          <w:sz w:val="23"/>
          <w:szCs w:val="23"/>
        </w:rPr>
        <w:t>。</w:t>
      </w:r>
    </w:p>
    <w:p w14:paraId="01552A0C">
      <w:pPr>
        <w:sectPr>
          <w:footerReference r:id="rId35" w:type="default"/>
          <w:pgSz w:w="11907" w:h="16840"/>
          <w:pgMar w:top="400" w:right="641" w:bottom="1275" w:left="1255" w:header="0" w:footer="1114" w:gutter="0"/>
          <w:cols w:space="720" w:num="1"/>
        </w:sectPr>
      </w:pPr>
    </w:p>
    <w:p w14:paraId="3B3AB5D9">
      <w:pPr>
        <w:spacing w:line="460" w:lineRule="auto"/>
      </w:pPr>
      <w:r>
        <w:pict>
          <v:shape id="_x0000_s2063" o:spid="_x0000_s2063" style="position:absolute;left:0pt;margin-left:83pt;margin-top:57.2pt;height:0.5pt;width:434.35pt;mso-position-horizontal-relative:page;mso-position-vertical-relative:page;z-index:251699200;mso-width-relative:page;mso-height-relative:page;" fillcolor="#000000" filled="t" stroked="f" coordsize="8687,10" o:allowincell="f" path="m0,0l8686,0,8686,9,0,9,0,0xe">
            <v:fill on="t" focussize="0,0"/>
            <v:stroke on="f"/>
            <v:imagedata o:title=""/>
            <o:lock v:ext="edit"/>
          </v:shape>
        </w:pict>
      </w:r>
    </w:p>
    <w:p w14:paraId="565F151B">
      <w:pPr>
        <w:spacing w:before="56" w:line="229" w:lineRule="auto"/>
        <w:ind w:left="520"/>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18B998DC">
      <w:pPr>
        <w:spacing w:before="66" w:line="221" w:lineRule="auto"/>
        <w:ind w:left="2610"/>
        <w:rPr>
          <w:rFonts w:ascii="黑体" w:hAnsi="黑体" w:eastAsia="黑体" w:cs="黑体"/>
          <w:sz w:val="23"/>
          <w:szCs w:val="23"/>
        </w:rPr>
      </w:pPr>
      <w:r>
        <w:rPr>
          <w:rFonts w:ascii="黑体" w:hAnsi="黑体" w:eastAsia="黑体" w:cs="黑体"/>
          <w:spacing w:val="4"/>
          <w:sz w:val="23"/>
          <w:szCs w:val="23"/>
        </w:rPr>
        <w:t xml:space="preserve">表 </w:t>
      </w:r>
      <w:r>
        <w:rPr>
          <w:rFonts w:ascii="Times New Roman" w:hAnsi="Times New Roman" w:eastAsia="Times New Roman" w:cs="Times New Roman"/>
          <w:spacing w:val="3"/>
          <w:sz w:val="23"/>
          <w:szCs w:val="23"/>
        </w:rPr>
        <w:t>1</w:t>
      </w:r>
      <w:r>
        <w:rPr>
          <w:rFonts w:ascii="Times New Roman" w:hAnsi="Times New Roman" w:eastAsia="Times New Roman" w:cs="Times New Roman"/>
          <w:spacing w:val="2"/>
          <w:sz w:val="23"/>
          <w:szCs w:val="23"/>
        </w:rPr>
        <w:t xml:space="preserve">.5- 10    </w:t>
      </w:r>
      <w:r>
        <w:rPr>
          <w:rFonts w:ascii="黑体" w:hAnsi="黑体" w:eastAsia="黑体" w:cs="黑体"/>
          <w:spacing w:val="2"/>
          <w:sz w:val="23"/>
          <w:szCs w:val="23"/>
        </w:rPr>
        <w:t>污染影响型评价工作等级划分表</w:t>
      </w:r>
    </w:p>
    <w:p w14:paraId="2329E08D">
      <w:pPr>
        <w:spacing w:line="2332" w:lineRule="exact"/>
        <w:ind w:firstLine="513"/>
        <w:textAlignment w:val="center"/>
      </w:pPr>
      <w:r>
        <w:drawing>
          <wp:inline distT="0" distB="0" distL="0" distR="0">
            <wp:extent cx="5927725" cy="148082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357"/>
                    <a:stretch>
                      <a:fillRect/>
                    </a:stretch>
                  </pic:blipFill>
                  <pic:spPr>
                    <a:xfrm>
                      <a:off x="0" y="0"/>
                      <a:ext cx="5928359" cy="1481328"/>
                    </a:xfrm>
                    <a:prstGeom prst="rect">
                      <a:avLst/>
                    </a:prstGeom>
                  </pic:spPr>
                </pic:pic>
              </a:graphicData>
            </a:graphic>
          </wp:inline>
        </w:drawing>
      </w:r>
    </w:p>
    <w:p w14:paraId="189856A5">
      <w:pPr>
        <w:spacing w:before="183" w:line="370" w:lineRule="auto"/>
        <w:ind w:left="523" w:right="646" w:firstLine="599"/>
        <w:rPr>
          <w:rFonts w:ascii="宋体" w:hAnsi="宋体" w:eastAsia="宋体" w:cs="宋体"/>
          <w:sz w:val="23"/>
          <w:szCs w:val="23"/>
        </w:rPr>
      </w:pPr>
      <w:r>
        <w:rPr>
          <w:rFonts w:ascii="宋体" w:hAnsi="宋体" w:eastAsia="宋体" w:cs="宋体"/>
          <w:spacing w:val="8"/>
          <w:sz w:val="23"/>
          <w:szCs w:val="23"/>
        </w:rPr>
        <w:t>评</w:t>
      </w:r>
      <w:r>
        <w:rPr>
          <w:rFonts w:ascii="宋体" w:hAnsi="宋体" w:eastAsia="宋体" w:cs="宋体"/>
          <w:spacing w:val="4"/>
          <w:sz w:val="23"/>
          <w:szCs w:val="23"/>
        </w:rPr>
        <w:t>价的范围确定为：本项目评价等级为三级，根据《环境影响评价技术导则 土</w:t>
      </w:r>
      <w:r>
        <w:rPr>
          <w:rFonts w:ascii="宋体" w:hAnsi="宋体" w:eastAsia="宋体" w:cs="宋体"/>
          <w:sz w:val="23"/>
          <w:szCs w:val="23"/>
        </w:rPr>
        <w:t xml:space="preserve"> </w:t>
      </w:r>
      <w:r>
        <w:rPr>
          <w:rFonts w:ascii="宋体" w:hAnsi="宋体" w:eastAsia="宋体" w:cs="宋体"/>
          <w:spacing w:val="2"/>
          <w:sz w:val="23"/>
          <w:szCs w:val="23"/>
        </w:rPr>
        <w:t>壤环境》(</w:t>
      </w:r>
      <w:r>
        <w:rPr>
          <w:rFonts w:ascii="Times New Roman" w:hAnsi="Times New Roman" w:eastAsia="Times New Roman" w:cs="Times New Roman"/>
          <w:sz w:val="23"/>
          <w:szCs w:val="23"/>
        </w:rPr>
        <w:t>HJ</w:t>
      </w:r>
      <w:r>
        <w:rPr>
          <w:rFonts w:ascii="Times New Roman" w:hAnsi="Times New Roman" w:eastAsia="Times New Roman" w:cs="Times New Roman"/>
          <w:spacing w:val="2"/>
          <w:sz w:val="23"/>
          <w:szCs w:val="23"/>
        </w:rPr>
        <w:t>964-2018</w:t>
      </w:r>
      <w:r>
        <w:rPr>
          <w:rFonts w:ascii="宋体" w:hAnsi="宋体" w:eastAsia="宋体" w:cs="宋体"/>
          <w:spacing w:val="2"/>
          <w:sz w:val="23"/>
          <w:szCs w:val="23"/>
        </w:rPr>
        <w:t xml:space="preserve">)表 </w:t>
      </w:r>
      <w:r>
        <w:rPr>
          <w:rFonts w:ascii="Times New Roman" w:hAnsi="Times New Roman" w:eastAsia="Times New Roman" w:cs="Times New Roman"/>
          <w:spacing w:val="2"/>
          <w:sz w:val="23"/>
          <w:szCs w:val="23"/>
        </w:rPr>
        <w:t>5</w:t>
      </w:r>
      <w:r>
        <w:rPr>
          <w:rFonts w:ascii="宋体" w:hAnsi="宋体" w:eastAsia="宋体" w:cs="宋体"/>
          <w:spacing w:val="1"/>
          <w:sz w:val="23"/>
          <w:szCs w:val="23"/>
        </w:rPr>
        <w:t xml:space="preserve">，确定本项目评价范围为占地范围内和占地范围外 </w:t>
      </w:r>
      <w:r>
        <w:rPr>
          <w:rFonts w:ascii="Times New Roman" w:hAnsi="Times New Roman" w:eastAsia="Times New Roman" w:cs="Times New Roman"/>
          <w:spacing w:val="1"/>
          <w:sz w:val="23"/>
          <w:szCs w:val="23"/>
        </w:rPr>
        <w:t>0.05</w:t>
      </w:r>
      <w:r>
        <w:rPr>
          <w:rFonts w:ascii="Times New Roman" w:hAnsi="Times New Roman" w:eastAsia="Times New Roman" w:cs="Times New Roman"/>
          <w:sz w:val="23"/>
          <w:szCs w:val="23"/>
        </w:rPr>
        <w:t xml:space="preserve">km </w:t>
      </w:r>
      <w:r>
        <w:rPr>
          <w:rFonts w:ascii="宋体" w:hAnsi="宋体" w:eastAsia="宋体" w:cs="宋体"/>
          <w:spacing w:val="4"/>
          <w:sz w:val="23"/>
          <w:szCs w:val="23"/>
        </w:rPr>
        <w:t>范</w:t>
      </w:r>
      <w:r>
        <w:rPr>
          <w:rFonts w:ascii="宋体" w:hAnsi="宋体" w:eastAsia="宋体" w:cs="宋体"/>
          <w:spacing w:val="3"/>
          <w:sz w:val="23"/>
          <w:szCs w:val="23"/>
        </w:rPr>
        <w:t>围。</w:t>
      </w:r>
    </w:p>
    <w:p w14:paraId="2740AE1E">
      <w:pPr>
        <w:spacing w:before="14" w:line="228" w:lineRule="auto"/>
        <w:ind w:left="1048"/>
        <w:outlineLvl w:val="2"/>
        <w:rPr>
          <w:rFonts w:ascii="宋体" w:hAnsi="宋体" w:eastAsia="宋体" w:cs="宋体"/>
          <w:sz w:val="23"/>
          <w:szCs w:val="23"/>
        </w:rPr>
      </w:pPr>
      <w:r>
        <w:rPr>
          <w:rFonts w:ascii="Times New Roman" w:hAnsi="Times New Roman" w:eastAsia="Times New Roman" w:cs="Times New Roman"/>
          <w:b/>
          <w:bCs/>
          <w:spacing w:val="13"/>
          <w:sz w:val="23"/>
          <w:szCs w:val="23"/>
        </w:rPr>
        <w:t>1</w:t>
      </w:r>
      <w:r>
        <w:rPr>
          <w:rFonts w:ascii="Times New Roman" w:hAnsi="Times New Roman" w:eastAsia="Times New Roman" w:cs="Times New Roman"/>
          <w:b/>
          <w:bCs/>
          <w:spacing w:val="10"/>
          <w:sz w:val="23"/>
          <w:szCs w:val="23"/>
        </w:rPr>
        <w:t>.5.</w:t>
      </w:r>
      <w:r>
        <w:rPr>
          <w:rFonts w:ascii="Times New Roman" w:hAnsi="Times New Roman" w:eastAsia="Times New Roman" w:cs="Times New Roman"/>
          <w:spacing w:val="10"/>
          <w:sz w:val="23"/>
          <w:szCs w:val="23"/>
        </w:rPr>
        <w:t xml:space="preserve"> </w:t>
      </w:r>
      <w:r>
        <w:rPr>
          <w:rFonts w:ascii="Times New Roman" w:hAnsi="Times New Roman" w:eastAsia="Times New Roman" w:cs="Times New Roman"/>
          <w:b/>
          <w:bCs/>
          <w:spacing w:val="10"/>
          <w:sz w:val="23"/>
          <w:szCs w:val="23"/>
        </w:rPr>
        <w:t>6</w:t>
      </w:r>
      <w:r>
        <w:rPr>
          <w:rFonts w:ascii="Times New Roman" w:hAnsi="Times New Roman" w:eastAsia="Times New Roman" w:cs="Times New Roman"/>
          <w:spacing w:val="10"/>
          <w:sz w:val="23"/>
          <w:szCs w:val="23"/>
        </w:rPr>
        <w:t xml:space="preserve">  </w:t>
      </w:r>
      <w:r>
        <w:rPr>
          <w:rFonts w:ascii="宋体" w:hAnsi="宋体" w:eastAsia="宋体" w:cs="宋体"/>
          <w:spacing w:val="10"/>
          <w:sz w:val="23"/>
          <w:szCs w:val="23"/>
          <w14:textOutline w14:w="4356" w14:cap="sq" w14:cmpd="sng" w14:algn="ctr">
            <w14:solidFill>
              <w14:srgbClr w14:val="000000"/>
            </w14:solidFill>
            <w14:prstDash w14:val="solid"/>
            <w14:bevel/>
          </w14:textOutline>
        </w:rPr>
        <w:t>生态环境</w:t>
      </w:r>
    </w:p>
    <w:p w14:paraId="776474E2">
      <w:pPr>
        <w:spacing w:before="183" w:line="226" w:lineRule="auto"/>
        <w:ind w:left="1014"/>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1</w:t>
      </w:r>
      <w:r>
        <w:rPr>
          <w:rFonts w:ascii="宋体" w:hAnsi="宋体" w:eastAsia="宋体" w:cs="宋体"/>
          <w:spacing w:val="20"/>
          <w:sz w:val="23"/>
          <w:szCs w:val="23"/>
        </w:rPr>
        <w:t>) 评价等</w:t>
      </w:r>
      <w:r>
        <w:rPr>
          <w:rFonts w:ascii="宋体" w:hAnsi="宋体" w:eastAsia="宋体" w:cs="宋体"/>
          <w:spacing w:val="19"/>
          <w:sz w:val="23"/>
          <w:szCs w:val="23"/>
        </w:rPr>
        <w:t>级</w:t>
      </w:r>
    </w:p>
    <w:p w14:paraId="63E506F3">
      <w:pPr>
        <w:spacing w:before="183" w:line="375" w:lineRule="auto"/>
        <w:ind w:left="522" w:right="633" w:firstLine="480"/>
        <w:rPr>
          <w:rFonts w:ascii="宋体" w:hAnsi="宋体" w:eastAsia="宋体" w:cs="宋体"/>
          <w:sz w:val="23"/>
          <w:szCs w:val="23"/>
        </w:rPr>
      </w:pPr>
      <w:r>
        <w:rPr>
          <w:rFonts w:ascii="宋体" w:hAnsi="宋体" w:eastAsia="宋体" w:cs="宋体"/>
          <w:spacing w:val="6"/>
          <w:sz w:val="23"/>
          <w:szCs w:val="23"/>
        </w:rPr>
        <w:t>根</w:t>
      </w:r>
      <w:r>
        <w:rPr>
          <w:rFonts w:ascii="宋体" w:hAnsi="宋体" w:eastAsia="宋体" w:cs="宋体"/>
          <w:spacing w:val="4"/>
          <w:sz w:val="23"/>
          <w:szCs w:val="23"/>
        </w:rPr>
        <w:t>据《环境影响评价技术导则  生态环境》  (</w:t>
      </w:r>
      <w:r>
        <w:rPr>
          <w:rFonts w:ascii="Times New Roman" w:hAnsi="Times New Roman" w:eastAsia="Times New Roman" w:cs="Times New Roman"/>
          <w:sz w:val="23"/>
          <w:szCs w:val="23"/>
        </w:rPr>
        <w:t>HJ</w:t>
      </w:r>
      <w:r>
        <w:rPr>
          <w:rFonts w:ascii="Times New Roman" w:hAnsi="Times New Roman" w:eastAsia="Times New Roman" w:cs="Times New Roman"/>
          <w:spacing w:val="4"/>
          <w:sz w:val="23"/>
          <w:szCs w:val="23"/>
        </w:rPr>
        <w:t>19-2011</w:t>
      </w:r>
      <w:r>
        <w:rPr>
          <w:rFonts w:ascii="宋体" w:hAnsi="宋体" w:eastAsia="宋体" w:cs="宋体"/>
          <w:spacing w:val="4"/>
          <w:sz w:val="23"/>
          <w:szCs w:val="23"/>
        </w:rPr>
        <w:t>) ，项目评价区域面积</w:t>
      </w:r>
      <w:r>
        <w:rPr>
          <w:rFonts w:ascii="宋体" w:hAnsi="宋体" w:eastAsia="宋体" w:cs="宋体"/>
          <w:sz w:val="23"/>
          <w:szCs w:val="23"/>
        </w:rPr>
        <w:t xml:space="preserve"> </w:t>
      </w:r>
      <w:r>
        <w:rPr>
          <w:rFonts w:ascii="宋体" w:hAnsi="宋体" w:eastAsia="宋体" w:cs="宋体"/>
          <w:spacing w:val="9"/>
          <w:sz w:val="23"/>
          <w:szCs w:val="23"/>
        </w:rPr>
        <w:t xml:space="preserve">为 </w:t>
      </w:r>
      <w:r>
        <w:rPr>
          <w:rFonts w:ascii="Times New Roman" w:hAnsi="Times New Roman" w:eastAsia="Times New Roman" w:cs="Times New Roman"/>
          <w:spacing w:val="9"/>
          <w:sz w:val="23"/>
          <w:szCs w:val="23"/>
        </w:rPr>
        <w:t>0.032</w:t>
      </w:r>
      <w:r>
        <w:rPr>
          <w:rFonts w:ascii="Times New Roman" w:hAnsi="Times New Roman" w:eastAsia="Times New Roman" w:cs="Times New Roman"/>
          <w:sz w:val="23"/>
          <w:szCs w:val="23"/>
        </w:rPr>
        <w:t>km</w:t>
      </w:r>
      <w:r>
        <w:rPr>
          <w:rFonts w:ascii="Times New Roman" w:hAnsi="Times New Roman" w:eastAsia="Times New Roman" w:cs="Times New Roman"/>
          <w:spacing w:val="9"/>
          <w:position w:val="8"/>
          <w:sz w:val="15"/>
          <w:szCs w:val="15"/>
        </w:rPr>
        <w:t>2</w:t>
      </w:r>
      <w:r>
        <w:rPr>
          <w:rFonts w:ascii="Times New Roman" w:hAnsi="Times New Roman" w:eastAsia="Times New Roman" w:cs="Times New Roman"/>
          <w:spacing w:val="9"/>
          <w:sz w:val="23"/>
          <w:szCs w:val="23"/>
        </w:rPr>
        <w:t>&lt;2</w:t>
      </w:r>
      <w:r>
        <w:rPr>
          <w:rFonts w:ascii="Times New Roman" w:hAnsi="Times New Roman" w:eastAsia="Times New Roman" w:cs="Times New Roman"/>
          <w:sz w:val="23"/>
          <w:szCs w:val="23"/>
        </w:rPr>
        <w:t>km</w:t>
      </w:r>
      <w:r>
        <w:rPr>
          <w:rFonts w:ascii="Times New Roman" w:hAnsi="Times New Roman" w:eastAsia="Times New Roman" w:cs="Times New Roman"/>
          <w:spacing w:val="9"/>
          <w:position w:val="8"/>
          <w:sz w:val="15"/>
          <w:szCs w:val="15"/>
        </w:rPr>
        <w:t xml:space="preserve">2 </w:t>
      </w:r>
      <w:r>
        <w:rPr>
          <w:rFonts w:ascii="宋体" w:hAnsi="宋体" w:eastAsia="宋体" w:cs="宋体"/>
          <w:spacing w:val="9"/>
          <w:sz w:val="23"/>
          <w:szCs w:val="23"/>
        </w:rPr>
        <w:t>，项目影响区域为一般区域，不属于特殊生态敏感区和重要生</w:t>
      </w:r>
      <w:r>
        <w:rPr>
          <w:rFonts w:ascii="宋体" w:hAnsi="宋体" w:eastAsia="宋体" w:cs="宋体"/>
          <w:spacing w:val="5"/>
          <w:sz w:val="23"/>
          <w:szCs w:val="23"/>
        </w:rPr>
        <w:t>态</w:t>
      </w:r>
      <w:r>
        <w:rPr>
          <w:rFonts w:ascii="宋体" w:hAnsi="宋体" w:eastAsia="宋体" w:cs="宋体"/>
          <w:sz w:val="23"/>
          <w:szCs w:val="23"/>
        </w:rPr>
        <w:t xml:space="preserve"> </w:t>
      </w:r>
      <w:r>
        <w:rPr>
          <w:rFonts w:ascii="宋体" w:hAnsi="宋体" w:eastAsia="宋体" w:cs="宋体"/>
          <w:spacing w:val="12"/>
          <w:sz w:val="23"/>
          <w:szCs w:val="23"/>
        </w:rPr>
        <w:t>敏感区</w:t>
      </w:r>
      <w:r>
        <w:rPr>
          <w:rFonts w:ascii="宋体" w:hAnsi="宋体" w:eastAsia="宋体" w:cs="宋体"/>
          <w:spacing w:val="12"/>
          <w:sz w:val="23"/>
          <w:szCs w:val="23"/>
          <w14:textOutline w14:w="4356" w14:cap="sq" w14:cmpd="sng" w14:algn="ctr">
            <w14:solidFill>
              <w14:srgbClr w14:val="000000"/>
            </w14:solidFill>
            <w14:prstDash w14:val="solid"/>
            <w14:bevel/>
          </w14:textOutline>
        </w:rPr>
        <w:t>，</w:t>
      </w:r>
      <w:r>
        <w:rPr>
          <w:rFonts w:ascii="宋体" w:hAnsi="宋体" w:eastAsia="宋体" w:cs="宋体"/>
          <w:spacing w:val="9"/>
          <w:sz w:val="23"/>
          <w:szCs w:val="23"/>
          <w14:textOutline w14:w="4356" w14:cap="sq" w14:cmpd="sng" w14:algn="ctr">
            <w14:solidFill>
              <w14:srgbClr w14:val="000000"/>
            </w14:solidFill>
            <w14:prstDash w14:val="solid"/>
            <w14:bevel/>
          </w14:textOutline>
        </w:rPr>
        <w:t>因</w:t>
      </w:r>
      <w:r>
        <w:rPr>
          <w:rFonts w:ascii="宋体" w:hAnsi="宋体" w:eastAsia="宋体" w:cs="宋体"/>
          <w:spacing w:val="6"/>
          <w:sz w:val="23"/>
          <w:szCs w:val="23"/>
          <w14:textOutline w14:w="4356" w14:cap="sq" w14:cmpd="sng" w14:algn="ctr">
            <w14:solidFill>
              <w14:srgbClr w14:val="000000"/>
            </w14:solidFill>
            <w14:prstDash w14:val="solid"/>
            <w14:bevel/>
          </w14:textOutline>
        </w:rPr>
        <w:t>此，确定该项目生态影响评价为三级，</w:t>
      </w:r>
      <w:r>
        <w:rPr>
          <w:rFonts w:ascii="宋体" w:hAnsi="宋体" w:eastAsia="宋体" w:cs="宋体"/>
          <w:spacing w:val="6"/>
          <w:sz w:val="23"/>
          <w:szCs w:val="23"/>
        </w:rPr>
        <w:t xml:space="preserve">具体判别依据见表 </w:t>
      </w:r>
      <w:r>
        <w:rPr>
          <w:rFonts w:ascii="Times New Roman" w:hAnsi="Times New Roman" w:eastAsia="Times New Roman" w:cs="Times New Roman"/>
          <w:spacing w:val="6"/>
          <w:sz w:val="23"/>
          <w:szCs w:val="23"/>
        </w:rPr>
        <w:t xml:space="preserve">1.5- 11 </w:t>
      </w:r>
      <w:r>
        <w:rPr>
          <w:rFonts w:ascii="宋体" w:hAnsi="宋体" w:eastAsia="宋体" w:cs="宋体"/>
          <w:spacing w:val="6"/>
          <w:sz w:val="23"/>
          <w:szCs w:val="23"/>
        </w:rPr>
        <w:t>。通过</w:t>
      </w:r>
      <w:r>
        <w:rPr>
          <w:rFonts w:ascii="宋体" w:hAnsi="宋体" w:eastAsia="宋体" w:cs="宋体"/>
          <w:sz w:val="23"/>
          <w:szCs w:val="23"/>
        </w:rPr>
        <w:t xml:space="preserve"> </w:t>
      </w:r>
      <w:r>
        <w:rPr>
          <w:rFonts w:ascii="宋体" w:hAnsi="宋体" w:eastAsia="宋体" w:cs="宋体"/>
          <w:spacing w:val="14"/>
          <w:sz w:val="23"/>
          <w:szCs w:val="23"/>
        </w:rPr>
        <w:t>对</w:t>
      </w:r>
      <w:r>
        <w:rPr>
          <w:rFonts w:ascii="宋体" w:hAnsi="宋体" w:eastAsia="宋体" w:cs="宋体"/>
          <w:spacing w:val="11"/>
          <w:sz w:val="23"/>
          <w:szCs w:val="23"/>
        </w:rPr>
        <w:t>该工程和项目所在区域基本情况的初步分析，项目所在地生态敏感程度低，生态</w:t>
      </w:r>
      <w:r>
        <w:rPr>
          <w:rFonts w:ascii="宋体" w:hAnsi="宋体" w:eastAsia="宋体" w:cs="宋体"/>
          <w:sz w:val="23"/>
          <w:szCs w:val="23"/>
        </w:rPr>
        <w:t xml:space="preserve"> </w:t>
      </w:r>
      <w:r>
        <w:rPr>
          <w:rFonts w:ascii="宋体" w:hAnsi="宋体" w:eastAsia="宋体" w:cs="宋体"/>
          <w:spacing w:val="16"/>
          <w:sz w:val="23"/>
          <w:szCs w:val="23"/>
        </w:rPr>
        <w:t>环</w:t>
      </w:r>
      <w:r>
        <w:rPr>
          <w:rFonts w:ascii="宋体" w:hAnsi="宋体" w:eastAsia="宋体" w:cs="宋体"/>
          <w:spacing w:val="9"/>
          <w:sz w:val="23"/>
          <w:szCs w:val="23"/>
        </w:rPr>
        <w:t>境</w:t>
      </w:r>
      <w:r>
        <w:rPr>
          <w:rFonts w:ascii="宋体" w:hAnsi="宋体" w:eastAsia="宋体" w:cs="宋体"/>
          <w:spacing w:val="8"/>
          <w:sz w:val="23"/>
          <w:szCs w:val="23"/>
        </w:rPr>
        <w:t>影响评价工作可适当简化。</w:t>
      </w:r>
    </w:p>
    <w:p w14:paraId="64487410">
      <w:pPr>
        <w:spacing w:before="1" w:line="221" w:lineRule="auto"/>
        <w:ind w:left="2675"/>
        <w:rPr>
          <w:rFonts w:ascii="黑体" w:hAnsi="黑体" w:eastAsia="黑体" w:cs="黑体"/>
          <w:sz w:val="23"/>
          <w:szCs w:val="23"/>
        </w:rPr>
      </w:pPr>
      <w:r>
        <w:rPr>
          <w:rFonts w:ascii="黑体" w:hAnsi="黑体" w:eastAsia="黑体" w:cs="黑体"/>
          <w:spacing w:val="2"/>
          <w:sz w:val="23"/>
          <w:szCs w:val="23"/>
        </w:rPr>
        <w:t xml:space="preserve">表 </w:t>
      </w:r>
      <w:r>
        <w:rPr>
          <w:rFonts w:ascii="Times New Roman" w:hAnsi="Times New Roman" w:eastAsia="Times New Roman" w:cs="Times New Roman"/>
          <w:spacing w:val="2"/>
          <w:sz w:val="23"/>
          <w:szCs w:val="23"/>
        </w:rPr>
        <w:t xml:space="preserve">1.5- 11      </w:t>
      </w:r>
      <w:r>
        <w:rPr>
          <w:rFonts w:ascii="黑体" w:hAnsi="黑体" w:eastAsia="黑体" w:cs="黑体"/>
          <w:spacing w:val="2"/>
          <w:sz w:val="23"/>
          <w:szCs w:val="23"/>
        </w:rPr>
        <w:t>生</w:t>
      </w:r>
      <w:r>
        <w:rPr>
          <w:rFonts w:ascii="黑体" w:hAnsi="黑体" w:eastAsia="黑体" w:cs="黑体"/>
          <w:spacing w:val="1"/>
          <w:sz w:val="23"/>
          <w:szCs w:val="23"/>
        </w:rPr>
        <w:t>态影响评价工作等级划分表</w:t>
      </w:r>
    </w:p>
    <w:tbl>
      <w:tblPr>
        <w:tblStyle w:val="4"/>
        <w:tblW w:w="971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00"/>
        <w:gridCol w:w="2486"/>
        <w:gridCol w:w="2283"/>
        <w:gridCol w:w="2444"/>
      </w:tblGrid>
      <w:tr w14:paraId="74796A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2500" w:type="dxa"/>
            <w:vMerge w:val="restart"/>
            <w:tcBorders>
              <w:left w:val="nil"/>
              <w:bottom w:val="nil"/>
            </w:tcBorders>
          </w:tcPr>
          <w:p w14:paraId="4A997735">
            <w:pPr>
              <w:spacing w:line="276" w:lineRule="auto"/>
            </w:pPr>
          </w:p>
          <w:p w14:paraId="7C7F0D95">
            <w:pPr>
              <w:spacing w:before="65" w:line="228" w:lineRule="auto"/>
              <w:ind w:left="313"/>
              <w:rPr>
                <w:rFonts w:ascii="宋体" w:hAnsi="宋体" w:eastAsia="宋体" w:cs="宋体"/>
                <w:sz w:val="20"/>
                <w:szCs w:val="20"/>
              </w:rPr>
            </w:pPr>
            <w:r>
              <w:rPr>
                <w:rFonts w:ascii="宋体" w:hAnsi="宋体" w:eastAsia="宋体" w:cs="宋体"/>
                <w:spacing w:val="15"/>
                <w:sz w:val="20"/>
                <w:szCs w:val="20"/>
                <w14:textOutline w14:w="3797" w14:cap="sq" w14:cmpd="sng" w14:algn="ctr">
                  <w14:solidFill>
                    <w14:srgbClr w14:val="000000"/>
                  </w14:solidFill>
                  <w14:prstDash w14:val="solid"/>
                  <w14:bevel/>
                </w14:textOutline>
              </w:rPr>
              <w:t>影</w:t>
            </w:r>
            <w:r>
              <w:rPr>
                <w:rFonts w:ascii="宋体" w:hAnsi="宋体" w:eastAsia="宋体" w:cs="宋体"/>
                <w:spacing w:val="9"/>
                <w:sz w:val="20"/>
                <w:szCs w:val="20"/>
                <w14:textOutline w14:w="3797" w14:cap="sq" w14:cmpd="sng" w14:algn="ctr">
                  <w14:solidFill>
                    <w14:srgbClr w14:val="000000"/>
                  </w14:solidFill>
                  <w14:prstDash w14:val="solid"/>
                  <w14:bevel/>
                </w14:textOutline>
              </w:rPr>
              <w:t>响区域生态敏感性</w:t>
            </w:r>
          </w:p>
        </w:tc>
        <w:tc>
          <w:tcPr>
            <w:tcW w:w="7213" w:type="dxa"/>
            <w:gridSpan w:val="3"/>
            <w:tcBorders>
              <w:right w:val="nil"/>
            </w:tcBorders>
          </w:tcPr>
          <w:p w14:paraId="31390B76">
            <w:pPr>
              <w:spacing w:before="55" w:line="228" w:lineRule="auto"/>
              <w:ind w:left="2565"/>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工程占地</w:t>
            </w:r>
            <w:r>
              <w:rPr>
                <w:rFonts w:ascii="宋体" w:hAnsi="宋体" w:eastAsia="宋体" w:cs="宋体"/>
                <w:spacing w:val="8"/>
                <w:sz w:val="20"/>
                <w:szCs w:val="20"/>
              </w:rPr>
              <w:t xml:space="preserve"> </w:t>
            </w:r>
            <w:r>
              <w:rPr>
                <w:rFonts w:ascii="宋体" w:hAnsi="宋体" w:eastAsia="宋体" w:cs="宋体"/>
                <w:spacing w:val="8"/>
                <w:sz w:val="20"/>
                <w:szCs w:val="20"/>
                <w14:textOutline w14:w="3797" w14:cap="sq" w14:cmpd="sng" w14:algn="ctr">
                  <w14:solidFill>
                    <w14:srgbClr w14:val="000000"/>
                  </w14:solidFill>
                  <w14:prstDash w14:val="solid"/>
                  <w14:bevel/>
                </w14:textOutline>
              </w:rPr>
              <w:t>(水域)</w:t>
            </w:r>
            <w:r>
              <w:rPr>
                <w:rFonts w:ascii="宋体" w:hAnsi="宋体" w:eastAsia="宋体" w:cs="宋体"/>
                <w:spacing w:val="8"/>
                <w:sz w:val="20"/>
                <w:szCs w:val="20"/>
              </w:rPr>
              <w:t xml:space="preserve"> </w:t>
            </w:r>
            <w:r>
              <w:rPr>
                <w:rFonts w:ascii="宋体" w:hAnsi="宋体" w:eastAsia="宋体" w:cs="宋体"/>
                <w:spacing w:val="8"/>
                <w:sz w:val="20"/>
                <w:szCs w:val="20"/>
                <w14:textOutline w14:w="3797" w14:cap="sq" w14:cmpd="sng" w14:algn="ctr">
                  <w14:solidFill>
                    <w14:srgbClr w14:val="000000"/>
                  </w14:solidFill>
                  <w14:prstDash w14:val="solid"/>
                  <w14:bevel/>
                </w14:textOutline>
              </w:rPr>
              <w:t>范围</w:t>
            </w:r>
          </w:p>
        </w:tc>
      </w:tr>
      <w:tr w14:paraId="1CBFF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2500" w:type="dxa"/>
            <w:vMerge w:val="continue"/>
            <w:tcBorders>
              <w:top w:val="nil"/>
              <w:left w:val="nil"/>
            </w:tcBorders>
          </w:tcPr>
          <w:p w14:paraId="71082E16"/>
        </w:tc>
        <w:tc>
          <w:tcPr>
            <w:tcW w:w="2486" w:type="dxa"/>
          </w:tcPr>
          <w:p w14:paraId="61DCE51F">
            <w:pPr>
              <w:spacing w:before="9" w:line="297" w:lineRule="exact"/>
              <w:ind w:left="696"/>
              <w:rPr>
                <w:rFonts w:ascii="Times New Roman" w:hAnsi="Times New Roman" w:eastAsia="Times New Roman" w:cs="Times New Roman"/>
                <w:sz w:val="13"/>
                <w:szCs w:val="13"/>
              </w:rPr>
            </w:pPr>
            <w:r>
              <w:rPr>
                <w:rFonts w:ascii="宋体" w:hAnsi="宋体" w:eastAsia="宋体" w:cs="宋体"/>
                <w:spacing w:val="11"/>
                <w:position w:val="2"/>
                <w:sz w:val="20"/>
                <w:szCs w:val="20"/>
                <w14:textOutline w14:w="3797" w14:cap="sq" w14:cmpd="sng" w14:algn="ctr">
                  <w14:solidFill>
                    <w14:srgbClr w14:val="000000"/>
                  </w14:solidFill>
                  <w14:prstDash w14:val="solid"/>
                  <w14:bevel/>
                </w14:textOutline>
              </w:rPr>
              <w:t>面</w:t>
            </w:r>
            <w:r>
              <w:rPr>
                <w:rFonts w:ascii="宋体" w:hAnsi="宋体" w:eastAsia="宋体" w:cs="宋体"/>
                <w:spacing w:val="7"/>
                <w:position w:val="2"/>
                <w:sz w:val="20"/>
                <w:szCs w:val="20"/>
                <w14:textOutline w14:w="3797" w14:cap="sq" w14:cmpd="sng" w14:algn="ctr">
                  <w14:solidFill>
                    <w14:srgbClr w14:val="000000"/>
                  </w14:solidFill>
                  <w14:prstDash w14:val="solid"/>
                  <w14:bevel/>
                </w14:textOutline>
              </w:rPr>
              <w:t>积</w:t>
            </w:r>
            <w:r>
              <w:rPr>
                <w:rFonts w:ascii="Times New Roman" w:hAnsi="Times New Roman" w:eastAsia="Times New Roman" w:cs="Times New Roman"/>
                <w:b/>
                <w:bCs/>
                <w:spacing w:val="7"/>
                <w:position w:val="2"/>
                <w:sz w:val="20"/>
                <w:szCs w:val="20"/>
              </w:rPr>
              <w:t>≥20</w:t>
            </w:r>
            <w:r>
              <w:rPr>
                <w:rFonts w:ascii="Times New Roman" w:hAnsi="Times New Roman" w:eastAsia="Times New Roman" w:cs="Times New Roman"/>
                <w:b/>
                <w:bCs/>
                <w:position w:val="2"/>
                <w:sz w:val="20"/>
                <w:szCs w:val="20"/>
              </w:rPr>
              <w:t>km</w:t>
            </w:r>
            <w:r>
              <w:rPr>
                <w:rFonts w:ascii="Times New Roman" w:hAnsi="Times New Roman" w:eastAsia="Times New Roman" w:cs="Times New Roman"/>
                <w:b/>
                <w:bCs/>
                <w:spacing w:val="7"/>
                <w:position w:val="8"/>
                <w:sz w:val="13"/>
                <w:szCs w:val="13"/>
              </w:rPr>
              <w:t>2</w:t>
            </w:r>
          </w:p>
          <w:p w14:paraId="724EBC16">
            <w:pPr>
              <w:spacing w:line="266" w:lineRule="exact"/>
              <w:ind w:left="575"/>
              <w:rPr>
                <w:rFonts w:ascii="Times New Roman" w:hAnsi="Times New Roman" w:eastAsia="Times New Roman" w:cs="Times New Roman"/>
                <w:sz w:val="20"/>
                <w:szCs w:val="20"/>
              </w:rPr>
            </w:pPr>
            <w:r>
              <w:rPr>
                <w:rFonts w:ascii="宋体" w:hAnsi="宋体" w:eastAsia="宋体" w:cs="宋体"/>
                <w:spacing w:val="9"/>
                <w:position w:val="1"/>
                <w:sz w:val="20"/>
                <w:szCs w:val="20"/>
                <w14:textOutline w14:w="3797" w14:cap="sq" w14:cmpd="sng" w14:algn="ctr">
                  <w14:solidFill>
                    <w14:srgbClr w14:val="000000"/>
                  </w14:solidFill>
                  <w14:prstDash w14:val="solid"/>
                  <w14:bevel/>
                </w14:textOutline>
              </w:rPr>
              <w:t>或</w:t>
            </w:r>
            <w:r>
              <w:rPr>
                <w:rFonts w:ascii="宋体" w:hAnsi="宋体" w:eastAsia="宋体" w:cs="宋体"/>
                <w:spacing w:val="7"/>
                <w:position w:val="1"/>
                <w:sz w:val="20"/>
                <w:szCs w:val="20"/>
                <w14:textOutline w14:w="3797" w14:cap="sq" w14:cmpd="sng" w14:algn="ctr">
                  <w14:solidFill>
                    <w14:srgbClr w14:val="000000"/>
                  </w14:solidFill>
                  <w14:prstDash w14:val="solid"/>
                  <w14:bevel/>
                </w14:textOutline>
              </w:rPr>
              <w:t>长度</w:t>
            </w:r>
            <w:r>
              <w:rPr>
                <w:rFonts w:ascii="Times New Roman" w:hAnsi="Times New Roman" w:eastAsia="Times New Roman" w:cs="Times New Roman"/>
                <w:b/>
                <w:bCs/>
                <w:spacing w:val="7"/>
                <w:position w:val="1"/>
                <w:sz w:val="20"/>
                <w:szCs w:val="20"/>
              </w:rPr>
              <w:t>≥100</w:t>
            </w:r>
            <w:r>
              <w:rPr>
                <w:rFonts w:ascii="Times New Roman" w:hAnsi="Times New Roman" w:eastAsia="Times New Roman" w:cs="Times New Roman"/>
                <w:b/>
                <w:bCs/>
                <w:position w:val="1"/>
                <w:sz w:val="20"/>
                <w:szCs w:val="20"/>
              </w:rPr>
              <w:t>km</w:t>
            </w:r>
          </w:p>
        </w:tc>
        <w:tc>
          <w:tcPr>
            <w:tcW w:w="2283" w:type="dxa"/>
          </w:tcPr>
          <w:p w14:paraId="5192926D">
            <w:pPr>
              <w:spacing w:before="9" w:line="262" w:lineRule="auto"/>
              <w:ind w:left="295" w:right="285" w:firstLine="173"/>
              <w:rPr>
                <w:rFonts w:ascii="Times New Roman" w:hAnsi="Times New Roman" w:eastAsia="Times New Roman" w:cs="Times New Roman"/>
                <w:sz w:val="20"/>
                <w:szCs w:val="20"/>
              </w:rPr>
            </w:pPr>
            <w:r>
              <w:rPr>
                <w:rFonts w:ascii="宋体" w:hAnsi="宋体" w:eastAsia="宋体" w:cs="宋体"/>
                <w:spacing w:val="16"/>
                <w:sz w:val="20"/>
                <w:szCs w:val="20"/>
                <w14:textOutline w14:w="3797" w14:cap="sq" w14:cmpd="sng" w14:algn="ctr">
                  <w14:solidFill>
                    <w14:srgbClr w14:val="000000"/>
                  </w14:solidFill>
                  <w14:prstDash w14:val="solid"/>
                  <w14:bevel/>
                </w14:textOutline>
              </w:rPr>
              <w:t>面</w:t>
            </w:r>
            <w:r>
              <w:rPr>
                <w:rFonts w:ascii="宋体" w:hAnsi="宋体" w:eastAsia="宋体" w:cs="宋体"/>
                <w:spacing w:val="13"/>
                <w:sz w:val="20"/>
                <w:szCs w:val="20"/>
                <w14:textOutline w14:w="3797" w14:cap="sq" w14:cmpd="sng" w14:algn="ctr">
                  <w14:solidFill>
                    <w14:srgbClr w14:val="000000"/>
                  </w14:solidFill>
                  <w14:prstDash w14:val="solid"/>
                  <w14:bevel/>
                </w14:textOutline>
              </w:rPr>
              <w:t>积</w:t>
            </w:r>
            <w:r>
              <w:rPr>
                <w:rFonts w:ascii="宋体" w:hAnsi="宋体" w:eastAsia="宋体" w:cs="宋体"/>
                <w:spacing w:val="13"/>
                <w:sz w:val="20"/>
                <w:szCs w:val="20"/>
              </w:rPr>
              <w:t xml:space="preserve"> </w:t>
            </w:r>
            <w:r>
              <w:rPr>
                <w:rFonts w:ascii="Times New Roman" w:hAnsi="Times New Roman" w:eastAsia="Times New Roman" w:cs="Times New Roman"/>
                <w:b/>
                <w:bCs/>
                <w:spacing w:val="13"/>
                <w:sz w:val="20"/>
                <w:szCs w:val="20"/>
              </w:rPr>
              <w:t>2</w:t>
            </w:r>
            <w:r>
              <w:rPr>
                <w:rFonts w:ascii="宋体" w:hAnsi="宋体" w:eastAsia="宋体" w:cs="宋体"/>
                <w:spacing w:val="13"/>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spacing w:val="13"/>
                <w:sz w:val="20"/>
                <w:szCs w:val="20"/>
              </w:rPr>
              <w:t>20</w:t>
            </w:r>
            <w:r>
              <w:rPr>
                <w:rFonts w:ascii="Times New Roman" w:hAnsi="Times New Roman" w:eastAsia="Times New Roman" w:cs="Times New Roman"/>
                <w:b/>
                <w:bCs/>
                <w:sz w:val="20"/>
                <w:szCs w:val="20"/>
              </w:rPr>
              <w:t>km</w:t>
            </w:r>
            <w:r>
              <w:rPr>
                <w:rFonts w:ascii="Times New Roman" w:hAnsi="Times New Roman" w:eastAsia="Times New Roman" w:cs="Times New Roman"/>
                <w:b/>
                <w:bCs/>
                <w:spacing w:val="13"/>
                <w:position w:val="6"/>
                <w:sz w:val="13"/>
                <w:szCs w:val="13"/>
              </w:rPr>
              <w:t>2</w:t>
            </w:r>
            <w:r>
              <w:rPr>
                <w:rFonts w:ascii="Times New Roman" w:hAnsi="Times New Roman" w:eastAsia="Times New Roman" w:cs="Times New Roman"/>
                <w:position w:val="6"/>
                <w:sz w:val="13"/>
                <w:szCs w:val="13"/>
              </w:rPr>
              <w:t xml:space="preserve">     </w:t>
            </w:r>
            <w:r>
              <w:rPr>
                <w:rFonts w:ascii="宋体" w:hAnsi="宋体" w:eastAsia="宋体" w:cs="宋体"/>
                <w:spacing w:val="12"/>
                <w:sz w:val="20"/>
                <w:szCs w:val="20"/>
                <w14:textOutline w14:w="3797" w14:cap="sq" w14:cmpd="sng" w14:algn="ctr">
                  <w14:solidFill>
                    <w14:srgbClr w14:val="000000"/>
                  </w14:solidFill>
                  <w14:prstDash w14:val="solid"/>
                  <w14:bevel/>
                </w14:textOutline>
              </w:rPr>
              <w:t>或长度</w:t>
            </w:r>
            <w:r>
              <w:rPr>
                <w:rFonts w:ascii="宋体" w:hAnsi="宋体" w:eastAsia="宋体" w:cs="宋体"/>
                <w:spacing w:val="12"/>
                <w:sz w:val="20"/>
                <w:szCs w:val="20"/>
              </w:rPr>
              <w:t xml:space="preserve"> </w:t>
            </w:r>
            <w:r>
              <w:rPr>
                <w:rFonts w:ascii="Times New Roman" w:hAnsi="Times New Roman" w:eastAsia="Times New Roman" w:cs="Times New Roman"/>
                <w:b/>
                <w:bCs/>
                <w:spacing w:val="12"/>
                <w:sz w:val="20"/>
                <w:szCs w:val="20"/>
              </w:rPr>
              <w:t>50</w:t>
            </w:r>
            <w:r>
              <w:rPr>
                <w:rFonts w:ascii="宋体" w:hAnsi="宋体" w:eastAsia="宋体" w:cs="宋体"/>
                <w:spacing w:val="12"/>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spacing w:val="12"/>
                <w:sz w:val="20"/>
                <w:szCs w:val="20"/>
              </w:rPr>
              <w:t>10</w:t>
            </w:r>
            <w:r>
              <w:rPr>
                <w:rFonts w:ascii="Times New Roman" w:hAnsi="Times New Roman" w:eastAsia="Times New Roman" w:cs="Times New Roman"/>
                <w:b/>
                <w:bCs/>
                <w:spacing w:val="11"/>
                <w:sz w:val="20"/>
                <w:szCs w:val="20"/>
              </w:rPr>
              <w:t>0</w:t>
            </w:r>
            <w:r>
              <w:rPr>
                <w:rFonts w:ascii="Times New Roman" w:hAnsi="Times New Roman" w:eastAsia="Times New Roman" w:cs="Times New Roman"/>
                <w:b/>
                <w:bCs/>
                <w:sz w:val="20"/>
                <w:szCs w:val="20"/>
              </w:rPr>
              <w:t>km</w:t>
            </w:r>
          </w:p>
        </w:tc>
        <w:tc>
          <w:tcPr>
            <w:tcW w:w="2444" w:type="dxa"/>
            <w:tcBorders>
              <w:right w:val="nil"/>
            </w:tcBorders>
          </w:tcPr>
          <w:p w14:paraId="7F0831F1">
            <w:pPr>
              <w:spacing w:before="9" w:line="297" w:lineRule="exact"/>
              <w:ind w:left="729"/>
              <w:rPr>
                <w:rFonts w:ascii="Times New Roman" w:hAnsi="Times New Roman" w:eastAsia="Times New Roman" w:cs="Times New Roman"/>
                <w:sz w:val="13"/>
                <w:szCs w:val="13"/>
              </w:rPr>
            </w:pPr>
            <w:r>
              <w:rPr>
                <w:rFonts w:ascii="宋体" w:hAnsi="宋体" w:eastAsia="宋体" w:cs="宋体"/>
                <w:spacing w:val="8"/>
                <w:position w:val="2"/>
                <w:sz w:val="20"/>
                <w:szCs w:val="20"/>
                <w14:textOutline w14:w="3797" w14:cap="sq" w14:cmpd="sng" w14:algn="ctr">
                  <w14:solidFill>
                    <w14:srgbClr w14:val="000000"/>
                  </w14:solidFill>
                  <w14:prstDash w14:val="solid"/>
                  <w14:bevel/>
                </w14:textOutline>
              </w:rPr>
              <w:t>面积</w:t>
            </w:r>
            <w:r>
              <w:rPr>
                <w:rFonts w:ascii="Times New Roman" w:hAnsi="Times New Roman" w:eastAsia="Times New Roman" w:cs="Times New Roman"/>
                <w:b/>
                <w:bCs/>
                <w:spacing w:val="8"/>
                <w:position w:val="2"/>
                <w:sz w:val="20"/>
                <w:szCs w:val="20"/>
              </w:rPr>
              <w:t>≤2</w:t>
            </w:r>
            <w:r>
              <w:rPr>
                <w:rFonts w:ascii="Times New Roman" w:hAnsi="Times New Roman" w:eastAsia="Times New Roman" w:cs="Times New Roman"/>
                <w:b/>
                <w:bCs/>
                <w:position w:val="2"/>
                <w:sz w:val="20"/>
                <w:szCs w:val="20"/>
              </w:rPr>
              <w:t>km</w:t>
            </w:r>
            <w:r>
              <w:rPr>
                <w:rFonts w:ascii="Times New Roman" w:hAnsi="Times New Roman" w:eastAsia="Times New Roman" w:cs="Times New Roman"/>
                <w:b/>
                <w:bCs/>
                <w:spacing w:val="8"/>
                <w:position w:val="8"/>
                <w:sz w:val="13"/>
                <w:szCs w:val="13"/>
              </w:rPr>
              <w:t>2</w:t>
            </w:r>
          </w:p>
          <w:p w14:paraId="7870DC4A">
            <w:pPr>
              <w:spacing w:line="266" w:lineRule="exact"/>
              <w:ind w:left="606"/>
              <w:rPr>
                <w:rFonts w:ascii="Times New Roman" w:hAnsi="Times New Roman" w:eastAsia="Times New Roman" w:cs="Times New Roman"/>
                <w:sz w:val="20"/>
                <w:szCs w:val="20"/>
              </w:rPr>
            </w:pPr>
            <w:r>
              <w:rPr>
                <w:rFonts w:ascii="宋体" w:hAnsi="宋体" w:eastAsia="宋体" w:cs="宋体"/>
                <w:spacing w:val="8"/>
                <w:position w:val="1"/>
                <w:sz w:val="20"/>
                <w:szCs w:val="20"/>
                <w14:textOutline w14:w="3797" w14:cap="sq" w14:cmpd="sng" w14:algn="ctr">
                  <w14:solidFill>
                    <w14:srgbClr w14:val="000000"/>
                  </w14:solidFill>
                  <w14:prstDash w14:val="solid"/>
                  <w14:bevel/>
                </w14:textOutline>
              </w:rPr>
              <w:t>或长度</w:t>
            </w:r>
            <w:r>
              <w:rPr>
                <w:rFonts w:ascii="Times New Roman" w:hAnsi="Times New Roman" w:eastAsia="Times New Roman" w:cs="Times New Roman"/>
                <w:b/>
                <w:bCs/>
                <w:spacing w:val="8"/>
                <w:position w:val="1"/>
                <w:sz w:val="20"/>
                <w:szCs w:val="20"/>
              </w:rPr>
              <w:t>≤50</w:t>
            </w:r>
            <w:r>
              <w:rPr>
                <w:rFonts w:ascii="Times New Roman" w:hAnsi="Times New Roman" w:eastAsia="Times New Roman" w:cs="Times New Roman"/>
                <w:b/>
                <w:bCs/>
                <w:position w:val="1"/>
                <w:sz w:val="20"/>
                <w:szCs w:val="20"/>
              </w:rPr>
              <w:t>km</w:t>
            </w:r>
          </w:p>
        </w:tc>
      </w:tr>
      <w:tr w14:paraId="3CA444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2500" w:type="dxa"/>
            <w:tcBorders>
              <w:left w:val="nil"/>
            </w:tcBorders>
          </w:tcPr>
          <w:p w14:paraId="0BBC4655">
            <w:pPr>
              <w:spacing w:before="44" w:line="224" w:lineRule="auto"/>
              <w:ind w:left="521"/>
              <w:rPr>
                <w:rFonts w:ascii="宋体" w:hAnsi="宋体" w:eastAsia="宋体" w:cs="宋体"/>
                <w:sz w:val="20"/>
                <w:szCs w:val="20"/>
              </w:rPr>
            </w:pPr>
            <w:r>
              <w:rPr>
                <w:rFonts w:ascii="宋体" w:hAnsi="宋体" w:eastAsia="宋体" w:cs="宋体"/>
                <w:spacing w:val="12"/>
                <w:sz w:val="20"/>
                <w:szCs w:val="20"/>
              </w:rPr>
              <w:t>特</w:t>
            </w:r>
            <w:r>
              <w:rPr>
                <w:rFonts w:ascii="宋体" w:hAnsi="宋体" w:eastAsia="宋体" w:cs="宋体"/>
                <w:spacing w:val="8"/>
                <w:sz w:val="20"/>
                <w:szCs w:val="20"/>
              </w:rPr>
              <w:t>殊生态敏感区</w:t>
            </w:r>
          </w:p>
        </w:tc>
        <w:tc>
          <w:tcPr>
            <w:tcW w:w="2486" w:type="dxa"/>
          </w:tcPr>
          <w:p w14:paraId="50E2D5E3">
            <w:pPr>
              <w:spacing w:before="44" w:line="224" w:lineRule="auto"/>
              <w:ind w:left="1041"/>
              <w:rPr>
                <w:rFonts w:ascii="宋体" w:hAnsi="宋体" w:eastAsia="宋体" w:cs="宋体"/>
                <w:sz w:val="20"/>
                <w:szCs w:val="20"/>
              </w:rPr>
            </w:pPr>
            <w:r>
              <w:rPr>
                <w:rFonts w:ascii="宋体" w:hAnsi="宋体" w:eastAsia="宋体" w:cs="宋体"/>
                <w:spacing w:val="4"/>
                <w:sz w:val="20"/>
                <w:szCs w:val="20"/>
              </w:rPr>
              <w:t>一级</w:t>
            </w:r>
          </w:p>
        </w:tc>
        <w:tc>
          <w:tcPr>
            <w:tcW w:w="2283" w:type="dxa"/>
          </w:tcPr>
          <w:p w14:paraId="29344959">
            <w:pPr>
              <w:spacing w:before="44" w:line="224" w:lineRule="auto"/>
              <w:ind w:left="939"/>
              <w:rPr>
                <w:rFonts w:ascii="宋体" w:hAnsi="宋体" w:eastAsia="宋体" w:cs="宋体"/>
                <w:sz w:val="20"/>
                <w:szCs w:val="20"/>
              </w:rPr>
            </w:pPr>
            <w:r>
              <w:rPr>
                <w:rFonts w:ascii="宋体" w:hAnsi="宋体" w:eastAsia="宋体" w:cs="宋体"/>
                <w:spacing w:val="4"/>
                <w:sz w:val="20"/>
                <w:szCs w:val="20"/>
              </w:rPr>
              <w:t>一级</w:t>
            </w:r>
          </w:p>
        </w:tc>
        <w:tc>
          <w:tcPr>
            <w:tcW w:w="2444" w:type="dxa"/>
            <w:tcBorders>
              <w:right w:val="nil"/>
            </w:tcBorders>
          </w:tcPr>
          <w:p w14:paraId="55EE93AD">
            <w:pPr>
              <w:spacing w:before="44" w:line="224" w:lineRule="auto"/>
              <w:ind w:left="1020"/>
              <w:rPr>
                <w:rFonts w:ascii="宋体" w:hAnsi="宋体" w:eastAsia="宋体" w:cs="宋体"/>
                <w:sz w:val="20"/>
                <w:szCs w:val="20"/>
              </w:rPr>
            </w:pPr>
            <w:r>
              <w:rPr>
                <w:rFonts w:ascii="宋体" w:hAnsi="宋体" w:eastAsia="宋体" w:cs="宋体"/>
                <w:spacing w:val="4"/>
                <w:sz w:val="20"/>
                <w:szCs w:val="20"/>
              </w:rPr>
              <w:t>一级</w:t>
            </w:r>
          </w:p>
        </w:tc>
      </w:tr>
      <w:tr w14:paraId="49F6F4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500" w:type="dxa"/>
            <w:tcBorders>
              <w:left w:val="nil"/>
            </w:tcBorders>
          </w:tcPr>
          <w:p w14:paraId="04E3634C">
            <w:pPr>
              <w:spacing w:before="33" w:line="224" w:lineRule="auto"/>
              <w:ind w:left="522"/>
              <w:rPr>
                <w:rFonts w:ascii="宋体" w:hAnsi="宋体" w:eastAsia="宋体" w:cs="宋体"/>
                <w:sz w:val="20"/>
                <w:szCs w:val="20"/>
              </w:rPr>
            </w:pPr>
            <w:r>
              <w:rPr>
                <w:rFonts w:ascii="宋体" w:hAnsi="宋体" w:eastAsia="宋体" w:cs="宋体"/>
                <w:spacing w:val="11"/>
                <w:sz w:val="20"/>
                <w:szCs w:val="20"/>
              </w:rPr>
              <w:t>重</w:t>
            </w:r>
            <w:r>
              <w:rPr>
                <w:rFonts w:ascii="宋体" w:hAnsi="宋体" w:eastAsia="宋体" w:cs="宋体"/>
                <w:spacing w:val="8"/>
                <w:sz w:val="20"/>
                <w:szCs w:val="20"/>
              </w:rPr>
              <w:t>要生态敏感区</w:t>
            </w:r>
          </w:p>
        </w:tc>
        <w:tc>
          <w:tcPr>
            <w:tcW w:w="2486" w:type="dxa"/>
          </w:tcPr>
          <w:p w14:paraId="22651AD3">
            <w:pPr>
              <w:spacing w:before="33" w:line="224" w:lineRule="auto"/>
              <w:ind w:left="1041"/>
              <w:rPr>
                <w:rFonts w:ascii="宋体" w:hAnsi="宋体" w:eastAsia="宋体" w:cs="宋体"/>
                <w:sz w:val="20"/>
                <w:szCs w:val="20"/>
              </w:rPr>
            </w:pPr>
            <w:r>
              <w:rPr>
                <w:rFonts w:ascii="宋体" w:hAnsi="宋体" w:eastAsia="宋体" w:cs="宋体"/>
                <w:spacing w:val="4"/>
                <w:sz w:val="20"/>
                <w:szCs w:val="20"/>
              </w:rPr>
              <w:t>一级</w:t>
            </w:r>
          </w:p>
        </w:tc>
        <w:tc>
          <w:tcPr>
            <w:tcW w:w="2283" w:type="dxa"/>
          </w:tcPr>
          <w:p w14:paraId="1BC2DDAE">
            <w:pPr>
              <w:spacing w:before="33" w:line="224" w:lineRule="auto"/>
              <w:ind w:left="939"/>
              <w:rPr>
                <w:rFonts w:ascii="宋体" w:hAnsi="宋体" w:eastAsia="宋体" w:cs="宋体"/>
                <w:sz w:val="20"/>
                <w:szCs w:val="20"/>
              </w:rPr>
            </w:pPr>
            <w:r>
              <w:rPr>
                <w:rFonts w:ascii="宋体" w:hAnsi="宋体" w:eastAsia="宋体" w:cs="宋体"/>
                <w:spacing w:val="3"/>
                <w:sz w:val="20"/>
                <w:szCs w:val="20"/>
              </w:rPr>
              <w:t>二级</w:t>
            </w:r>
          </w:p>
        </w:tc>
        <w:tc>
          <w:tcPr>
            <w:tcW w:w="2444" w:type="dxa"/>
            <w:tcBorders>
              <w:right w:val="nil"/>
            </w:tcBorders>
          </w:tcPr>
          <w:p w14:paraId="1DBF2B90">
            <w:pPr>
              <w:spacing w:before="33" w:line="224" w:lineRule="auto"/>
              <w:ind w:left="1016"/>
              <w:rPr>
                <w:rFonts w:ascii="宋体" w:hAnsi="宋体" w:eastAsia="宋体" w:cs="宋体"/>
                <w:sz w:val="20"/>
                <w:szCs w:val="20"/>
              </w:rPr>
            </w:pPr>
            <w:r>
              <w:rPr>
                <w:rFonts w:ascii="宋体" w:hAnsi="宋体" w:eastAsia="宋体" w:cs="宋体"/>
                <w:spacing w:val="5"/>
                <w:sz w:val="20"/>
                <w:szCs w:val="20"/>
              </w:rPr>
              <w:t>三</w:t>
            </w:r>
            <w:r>
              <w:rPr>
                <w:rFonts w:ascii="宋体" w:hAnsi="宋体" w:eastAsia="宋体" w:cs="宋体"/>
                <w:spacing w:val="4"/>
                <w:sz w:val="20"/>
                <w:szCs w:val="20"/>
              </w:rPr>
              <w:t>级</w:t>
            </w:r>
          </w:p>
        </w:tc>
      </w:tr>
      <w:tr w14:paraId="10D1C9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2500" w:type="dxa"/>
            <w:tcBorders>
              <w:left w:val="nil"/>
            </w:tcBorders>
          </w:tcPr>
          <w:p w14:paraId="220EAD64">
            <w:pPr>
              <w:spacing w:before="36" w:line="228" w:lineRule="auto"/>
              <w:ind w:left="842"/>
              <w:rPr>
                <w:rFonts w:ascii="宋体" w:hAnsi="宋体" w:eastAsia="宋体" w:cs="宋体"/>
                <w:sz w:val="20"/>
                <w:szCs w:val="20"/>
              </w:rPr>
            </w:pPr>
            <w:r>
              <w:rPr>
                <w:rFonts w:ascii="宋体" w:hAnsi="宋体" w:eastAsia="宋体" w:cs="宋体"/>
                <w:spacing w:val="8"/>
                <w:sz w:val="20"/>
                <w:szCs w:val="20"/>
              </w:rPr>
              <w:t>一</w:t>
            </w:r>
            <w:r>
              <w:rPr>
                <w:rFonts w:ascii="宋体" w:hAnsi="宋体" w:eastAsia="宋体" w:cs="宋体"/>
                <w:spacing w:val="6"/>
                <w:sz w:val="20"/>
                <w:szCs w:val="20"/>
              </w:rPr>
              <w:t>般区域</w:t>
            </w:r>
          </w:p>
        </w:tc>
        <w:tc>
          <w:tcPr>
            <w:tcW w:w="2486" w:type="dxa"/>
          </w:tcPr>
          <w:p w14:paraId="281E9578">
            <w:pPr>
              <w:spacing w:before="35" w:line="230" w:lineRule="auto"/>
              <w:ind w:left="1041"/>
              <w:rPr>
                <w:rFonts w:ascii="宋体" w:hAnsi="宋体" w:eastAsia="宋体" w:cs="宋体"/>
                <w:sz w:val="20"/>
                <w:szCs w:val="20"/>
              </w:rPr>
            </w:pPr>
            <w:r>
              <w:rPr>
                <w:rFonts w:ascii="宋体" w:hAnsi="宋体" w:eastAsia="宋体" w:cs="宋体"/>
                <w:spacing w:val="3"/>
                <w:sz w:val="20"/>
                <w:szCs w:val="20"/>
              </w:rPr>
              <w:t>二级</w:t>
            </w:r>
          </w:p>
        </w:tc>
        <w:tc>
          <w:tcPr>
            <w:tcW w:w="2283" w:type="dxa"/>
          </w:tcPr>
          <w:p w14:paraId="3858E2A7">
            <w:pPr>
              <w:spacing w:before="35" w:line="230" w:lineRule="auto"/>
              <w:ind w:left="935"/>
              <w:rPr>
                <w:rFonts w:ascii="宋体" w:hAnsi="宋体" w:eastAsia="宋体" w:cs="宋体"/>
                <w:sz w:val="20"/>
                <w:szCs w:val="20"/>
              </w:rPr>
            </w:pPr>
            <w:r>
              <w:rPr>
                <w:rFonts w:ascii="宋体" w:hAnsi="宋体" w:eastAsia="宋体" w:cs="宋体"/>
                <w:spacing w:val="5"/>
                <w:sz w:val="20"/>
                <w:szCs w:val="20"/>
              </w:rPr>
              <w:t>三</w:t>
            </w:r>
            <w:r>
              <w:rPr>
                <w:rFonts w:ascii="宋体" w:hAnsi="宋体" w:eastAsia="宋体" w:cs="宋体"/>
                <w:spacing w:val="4"/>
                <w:sz w:val="20"/>
                <w:szCs w:val="20"/>
              </w:rPr>
              <w:t>级</w:t>
            </w:r>
          </w:p>
        </w:tc>
        <w:tc>
          <w:tcPr>
            <w:tcW w:w="2444" w:type="dxa"/>
            <w:tcBorders>
              <w:right w:val="nil"/>
            </w:tcBorders>
          </w:tcPr>
          <w:p w14:paraId="44FBF423">
            <w:pPr>
              <w:spacing w:before="35" w:line="230" w:lineRule="auto"/>
              <w:ind w:left="1016"/>
              <w:rPr>
                <w:rFonts w:ascii="宋体" w:hAnsi="宋体" w:eastAsia="宋体" w:cs="宋体"/>
                <w:sz w:val="20"/>
                <w:szCs w:val="20"/>
              </w:rPr>
            </w:pPr>
            <w:r>
              <w:rPr>
                <w:rFonts w:ascii="宋体" w:hAnsi="宋体" w:eastAsia="宋体" w:cs="宋体"/>
                <w:spacing w:val="5"/>
                <w:sz w:val="20"/>
                <w:szCs w:val="20"/>
              </w:rPr>
              <w:t>三</w:t>
            </w:r>
            <w:r>
              <w:rPr>
                <w:rFonts w:ascii="宋体" w:hAnsi="宋体" w:eastAsia="宋体" w:cs="宋体"/>
                <w:spacing w:val="4"/>
                <w:sz w:val="20"/>
                <w:szCs w:val="20"/>
              </w:rPr>
              <w:t>级</w:t>
            </w:r>
          </w:p>
        </w:tc>
      </w:tr>
    </w:tbl>
    <w:p w14:paraId="5B3B0E3D">
      <w:pPr>
        <w:spacing w:before="37" w:line="226" w:lineRule="auto"/>
        <w:ind w:left="1014"/>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2</w:t>
      </w:r>
      <w:r>
        <w:rPr>
          <w:rFonts w:ascii="宋体" w:hAnsi="宋体" w:eastAsia="宋体" w:cs="宋体"/>
          <w:spacing w:val="20"/>
          <w:sz w:val="23"/>
          <w:szCs w:val="23"/>
        </w:rPr>
        <w:t>) 评价范</w:t>
      </w:r>
      <w:r>
        <w:rPr>
          <w:rFonts w:ascii="宋体" w:hAnsi="宋体" w:eastAsia="宋体" w:cs="宋体"/>
          <w:spacing w:val="19"/>
          <w:sz w:val="23"/>
          <w:szCs w:val="23"/>
        </w:rPr>
        <w:t>围</w:t>
      </w:r>
    </w:p>
    <w:p w14:paraId="039E0EE8">
      <w:pPr>
        <w:spacing w:before="186" w:line="228" w:lineRule="auto"/>
        <w:ind w:left="1006"/>
        <w:rPr>
          <w:rFonts w:ascii="宋体" w:hAnsi="宋体" w:eastAsia="宋体" w:cs="宋体"/>
          <w:sz w:val="23"/>
          <w:szCs w:val="23"/>
        </w:rPr>
      </w:pPr>
      <w:r>
        <w:rPr>
          <w:rFonts w:ascii="宋体" w:hAnsi="宋体" w:eastAsia="宋体" w:cs="宋体"/>
          <w:spacing w:val="4"/>
          <w:sz w:val="23"/>
          <w:szCs w:val="23"/>
        </w:rPr>
        <w:t>工</w:t>
      </w:r>
      <w:r>
        <w:rPr>
          <w:rFonts w:ascii="宋体" w:hAnsi="宋体" w:eastAsia="宋体" w:cs="宋体"/>
          <w:spacing w:val="2"/>
          <w:sz w:val="23"/>
          <w:szCs w:val="23"/>
        </w:rPr>
        <w:t xml:space="preserve">程厂界外 </w:t>
      </w:r>
      <w:r>
        <w:rPr>
          <w:rFonts w:ascii="Times New Roman" w:hAnsi="Times New Roman" w:eastAsia="Times New Roman" w:cs="Times New Roman"/>
          <w:spacing w:val="2"/>
          <w:sz w:val="23"/>
          <w:szCs w:val="23"/>
        </w:rPr>
        <w:t>200</w:t>
      </w:r>
      <w:r>
        <w:rPr>
          <w:rFonts w:ascii="Times New Roman" w:hAnsi="Times New Roman" w:eastAsia="Times New Roman" w:cs="Times New Roman"/>
          <w:sz w:val="23"/>
          <w:szCs w:val="23"/>
        </w:rPr>
        <w:t>m</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范围</w:t>
      </w:r>
    </w:p>
    <w:p w14:paraId="61AE9E77">
      <w:pPr>
        <w:spacing w:before="182" w:line="228" w:lineRule="auto"/>
        <w:ind w:left="1009"/>
        <w:outlineLvl w:val="2"/>
        <w:rPr>
          <w:rFonts w:ascii="宋体" w:hAnsi="宋体" w:eastAsia="宋体" w:cs="宋体"/>
          <w:sz w:val="23"/>
          <w:szCs w:val="23"/>
        </w:rPr>
      </w:pPr>
      <w:r>
        <w:rPr>
          <w:rFonts w:ascii="Times New Roman" w:hAnsi="Times New Roman" w:eastAsia="Times New Roman" w:cs="Times New Roman"/>
          <w:b/>
          <w:bCs/>
          <w:spacing w:val="8"/>
          <w:sz w:val="23"/>
          <w:szCs w:val="23"/>
        </w:rPr>
        <w:t>1</w:t>
      </w:r>
      <w:r>
        <w:rPr>
          <w:rFonts w:ascii="Times New Roman" w:hAnsi="Times New Roman" w:eastAsia="Times New Roman" w:cs="Times New Roman"/>
          <w:b/>
          <w:bCs/>
          <w:spacing w:val="7"/>
          <w:sz w:val="23"/>
          <w:szCs w:val="23"/>
        </w:rPr>
        <w:t>.</w:t>
      </w:r>
      <w:r>
        <w:rPr>
          <w:rFonts w:ascii="Times New Roman" w:hAnsi="Times New Roman" w:eastAsia="Times New Roman" w:cs="Times New Roman"/>
          <w:b/>
          <w:bCs/>
          <w:spacing w:val="4"/>
          <w:sz w:val="23"/>
          <w:szCs w:val="23"/>
        </w:rPr>
        <w:t>5.6</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14:textOutline w14:w="4356" w14:cap="sq" w14:cmpd="sng" w14:algn="ctr">
            <w14:solidFill>
              <w14:srgbClr w14:val="000000"/>
            </w14:solidFill>
            <w14:prstDash w14:val="solid"/>
            <w14:bevel/>
          </w14:textOutline>
        </w:rPr>
        <w:t>环境风险</w:t>
      </w:r>
    </w:p>
    <w:p w14:paraId="03022050">
      <w:pPr>
        <w:spacing w:before="182" w:line="227" w:lineRule="auto"/>
        <w:ind w:left="1003"/>
        <w:rPr>
          <w:rFonts w:ascii="宋体" w:hAnsi="宋体" w:eastAsia="宋体" w:cs="宋体"/>
          <w:sz w:val="23"/>
          <w:szCs w:val="23"/>
        </w:rPr>
      </w:pPr>
      <w:r>
        <w:rPr>
          <w:rFonts w:ascii="宋体" w:hAnsi="宋体" w:eastAsia="宋体" w:cs="宋体"/>
          <w:spacing w:val="2"/>
          <w:sz w:val="23"/>
          <w:szCs w:val="23"/>
        </w:rPr>
        <w:t xml:space="preserve">根据《建设项目环境风险评价技术导则》  </w:t>
      </w:r>
      <w:r>
        <w:rPr>
          <w:rFonts w:ascii="宋体" w:hAnsi="宋体" w:eastAsia="宋体" w:cs="宋体"/>
          <w:spacing w:val="1"/>
          <w:sz w:val="23"/>
          <w:szCs w:val="23"/>
        </w:rPr>
        <w:t>(</w:t>
      </w:r>
      <w:r>
        <w:rPr>
          <w:rFonts w:ascii="Times New Roman" w:hAnsi="Times New Roman" w:eastAsia="Times New Roman" w:cs="Times New Roman"/>
          <w:sz w:val="23"/>
          <w:szCs w:val="23"/>
        </w:rPr>
        <w:t>HJ</w:t>
      </w:r>
      <w:r>
        <w:rPr>
          <w:rFonts w:ascii="Times New Roman" w:hAnsi="Times New Roman" w:eastAsia="Times New Roman" w:cs="Times New Roman"/>
          <w:spacing w:val="1"/>
          <w:sz w:val="23"/>
          <w:szCs w:val="23"/>
        </w:rPr>
        <w:t xml:space="preserve"> 169-2018</w:t>
      </w:r>
      <w:r>
        <w:rPr>
          <w:rFonts w:ascii="宋体" w:hAnsi="宋体" w:eastAsia="宋体" w:cs="宋体"/>
          <w:spacing w:val="1"/>
          <w:sz w:val="23"/>
          <w:szCs w:val="23"/>
        </w:rPr>
        <w:t>) 中</w:t>
      </w:r>
      <w:r>
        <w:rPr>
          <w:rFonts w:ascii="Times New Roman" w:hAnsi="Times New Roman" w:eastAsia="Times New Roman" w:cs="Times New Roman"/>
          <w:sz w:val="23"/>
          <w:szCs w:val="23"/>
        </w:rPr>
        <w:t>C</w:t>
      </w:r>
      <w:r>
        <w:rPr>
          <w:rFonts w:ascii="Times New Roman" w:hAnsi="Times New Roman" w:eastAsia="Times New Roman" w:cs="Times New Roman"/>
          <w:spacing w:val="1"/>
          <w:sz w:val="23"/>
          <w:szCs w:val="23"/>
        </w:rPr>
        <w:t>. 1. 1</w:t>
      </w:r>
      <w:r>
        <w:rPr>
          <w:rFonts w:ascii="宋体" w:hAnsi="宋体" w:eastAsia="宋体" w:cs="宋体"/>
          <w:spacing w:val="1"/>
          <w:sz w:val="23"/>
          <w:szCs w:val="23"/>
        </w:rPr>
        <w:t>危险物质与临</w:t>
      </w:r>
    </w:p>
    <w:p w14:paraId="039E51D1">
      <w:pPr>
        <w:spacing w:before="185" w:line="227" w:lineRule="auto"/>
        <w:ind w:left="528"/>
        <w:rPr>
          <w:rFonts w:ascii="宋体" w:hAnsi="宋体" w:eastAsia="宋体" w:cs="宋体"/>
          <w:sz w:val="23"/>
          <w:szCs w:val="23"/>
        </w:rPr>
      </w:pPr>
      <w:r>
        <w:rPr>
          <w:rFonts w:ascii="宋体" w:hAnsi="宋体" w:eastAsia="宋体" w:cs="宋体"/>
          <w:spacing w:val="8"/>
          <w:sz w:val="23"/>
          <w:szCs w:val="23"/>
        </w:rPr>
        <w:t>界量比值计算方式如下示</w:t>
      </w:r>
      <w:r>
        <w:rPr>
          <w:rFonts w:ascii="宋体" w:hAnsi="宋体" w:eastAsia="宋体" w:cs="宋体"/>
          <w:spacing w:val="6"/>
          <w:sz w:val="23"/>
          <w:szCs w:val="23"/>
        </w:rPr>
        <w:t>：</w:t>
      </w:r>
    </w:p>
    <w:p w14:paraId="6BB56D9B">
      <w:pPr>
        <w:spacing w:before="258"/>
        <w:ind w:left="3809"/>
      </w:pPr>
      <w:r>
        <w:rPr>
          <w:rFonts w:ascii="Times New Roman" w:hAnsi="Times New Roman" w:eastAsia="Times New Roman" w:cs="Times New Roman"/>
          <w:i/>
          <w:iCs/>
          <w:position w:val="2"/>
        </w:rPr>
        <w:t>Q</w:t>
      </w:r>
      <w:r>
        <w:rPr>
          <w:rFonts w:ascii="Times New Roman" w:hAnsi="Times New Roman" w:eastAsia="Times New Roman" w:cs="Times New Roman"/>
          <w:spacing w:val="1"/>
          <w:position w:val="2"/>
        </w:rPr>
        <w:t xml:space="preserve"> </w:t>
      </w:r>
      <w:r>
        <w:rPr>
          <w:rFonts w:ascii="Symbol" w:hAnsi="Symbol" w:eastAsia="Symbol" w:cs="Symbol"/>
          <w:spacing w:val="1"/>
          <w:position w:val="2"/>
        </w:rPr>
        <w:t xml:space="preserve">= </w:t>
      </w:r>
      <w:r>
        <w:rPr>
          <w:position w:val="-19"/>
        </w:rPr>
        <w:drawing>
          <wp:inline distT="0" distB="0" distL="0" distR="0">
            <wp:extent cx="153670" cy="289560"/>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r:embed="rId358"/>
                    <a:stretch>
                      <a:fillRect/>
                    </a:stretch>
                  </pic:blipFill>
                  <pic:spPr>
                    <a:xfrm>
                      <a:off x="0" y="0"/>
                      <a:ext cx="154266" cy="289800"/>
                    </a:xfrm>
                    <a:prstGeom prst="rect">
                      <a:avLst/>
                    </a:prstGeom>
                  </pic:spPr>
                </pic:pic>
              </a:graphicData>
            </a:graphic>
          </wp:inline>
        </w:drawing>
      </w:r>
      <w:r>
        <w:rPr>
          <w:rFonts w:ascii="Symbol" w:hAnsi="Symbol" w:eastAsia="Symbol" w:cs="Symbol"/>
          <w:spacing w:val="1"/>
          <w:position w:val="2"/>
        </w:rPr>
        <w:t xml:space="preserve"> + </w:t>
      </w:r>
      <w:r>
        <w:rPr>
          <w:position w:val="-19"/>
        </w:rPr>
        <w:drawing>
          <wp:inline distT="0" distB="0" distL="0" distR="0">
            <wp:extent cx="168910" cy="28956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359"/>
                    <a:stretch>
                      <a:fillRect/>
                    </a:stretch>
                  </pic:blipFill>
                  <pic:spPr>
                    <a:xfrm>
                      <a:off x="0" y="0"/>
                      <a:ext cx="169455" cy="289800"/>
                    </a:xfrm>
                    <a:prstGeom prst="rect">
                      <a:avLst/>
                    </a:prstGeom>
                  </pic:spPr>
                </pic:pic>
              </a:graphicData>
            </a:graphic>
          </wp:inline>
        </w:drawing>
      </w:r>
      <w:r>
        <w:rPr>
          <w:rFonts w:ascii="Symbol" w:hAnsi="Symbol" w:eastAsia="Symbol" w:cs="Symbol"/>
          <w:spacing w:val="1"/>
          <w:position w:val="2"/>
        </w:rPr>
        <w:t xml:space="preserve"> + . . </w:t>
      </w:r>
      <w:r>
        <w:rPr>
          <w:rFonts w:ascii="Symbol" w:hAnsi="Symbol" w:eastAsia="Symbol" w:cs="Symbol"/>
          <w:position w:val="2"/>
        </w:rPr>
        <w:t xml:space="preserve">. + </w:t>
      </w:r>
      <w:r>
        <w:rPr>
          <w:position w:val="-19"/>
        </w:rPr>
        <w:drawing>
          <wp:inline distT="0" distB="0" distL="0" distR="0">
            <wp:extent cx="170815" cy="290830"/>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r:embed="rId360"/>
                    <a:stretch>
                      <a:fillRect/>
                    </a:stretch>
                  </pic:blipFill>
                  <pic:spPr>
                    <a:xfrm>
                      <a:off x="0" y="0"/>
                      <a:ext cx="170891" cy="291044"/>
                    </a:xfrm>
                    <a:prstGeom prst="rect">
                      <a:avLst/>
                    </a:prstGeom>
                  </pic:spPr>
                </pic:pic>
              </a:graphicData>
            </a:graphic>
          </wp:inline>
        </w:drawing>
      </w:r>
    </w:p>
    <w:p w14:paraId="2A3ACA5D">
      <w:pPr>
        <w:spacing w:before="174" w:line="323" w:lineRule="exact"/>
        <w:ind w:left="1127"/>
        <w:rPr>
          <w:rFonts w:ascii="宋体" w:hAnsi="宋体" w:eastAsia="宋体" w:cs="宋体"/>
          <w:sz w:val="23"/>
          <w:szCs w:val="23"/>
        </w:rPr>
      </w:pPr>
      <w:r>
        <w:rPr>
          <w:rFonts w:ascii="宋体" w:hAnsi="宋体" w:eastAsia="宋体" w:cs="宋体"/>
          <w:spacing w:val="6"/>
          <w:position w:val="3"/>
          <w:sz w:val="23"/>
          <w:szCs w:val="23"/>
        </w:rPr>
        <w:t>式中：</w:t>
      </w:r>
      <w:r>
        <w:rPr>
          <w:rFonts w:ascii="Times New Roman" w:hAnsi="Times New Roman" w:eastAsia="Times New Roman" w:cs="Times New Roman"/>
          <w:position w:val="3"/>
          <w:sz w:val="23"/>
          <w:szCs w:val="23"/>
        </w:rPr>
        <w:t>q</w:t>
      </w:r>
      <w:r>
        <w:rPr>
          <w:rFonts w:ascii="Times New Roman" w:hAnsi="Times New Roman" w:eastAsia="Times New Roman" w:cs="Times New Roman"/>
          <w:spacing w:val="5"/>
          <w:position w:val="2"/>
          <w:sz w:val="15"/>
          <w:szCs w:val="15"/>
        </w:rPr>
        <w:t>1</w:t>
      </w:r>
      <w:r>
        <w:rPr>
          <w:rFonts w:ascii="Times New Roman" w:hAnsi="Times New Roman" w:eastAsia="Times New Roman" w:cs="Times New Roman"/>
          <w:spacing w:val="3"/>
          <w:position w:val="2"/>
          <w:sz w:val="15"/>
          <w:szCs w:val="15"/>
        </w:rPr>
        <w:t xml:space="preserve"> </w:t>
      </w:r>
      <w:r>
        <w:rPr>
          <w:rFonts w:ascii="宋体" w:hAnsi="宋体" w:eastAsia="宋体" w:cs="宋体"/>
          <w:spacing w:val="3"/>
          <w:position w:val="3"/>
          <w:sz w:val="23"/>
          <w:szCs w:val="23"/>
        </w:rPr>
        <w:t>，</w:t>
      </w:r>
      <w:r>
        <w:rPr>
          <w:rFonts w:ascii="Times New Roman" w:hAnsi="Times New Roman" w:eastAsia="Times New Roman" w:cs="Times New Roman"/>
          <w:position w:val="3"/>
          <w:sz w:val="23"/>
          <w:szCs w:val="23"/>
        </w:rPr>
        <w:t>q</w:t>
      </w:r>
      <w:r>
        <w:rPr>
          <w:rFonts w:ascii="Times New Roman" w:hAnsi="Times New Roman" w:eastAsia="Times New Roman" w:cs="Times New Roman"/>
          <w:spacing w:val="3"/>
          <w:position w:val="2"/>
          <w:sz w:val="15"/>
          <w:szCs w:val="15"/>
        </w:rPr>
        <w:t xml:space="preserve">2 </w:t>
      </w:r>
      <w:r>
        <w:rPr>
          <w:rFonts w:ascii="宋体" w:hAnsi="宋体" w:eastAsia="宋体" w:cs="宋体"/>
          <w:spacing w:val="3"/>
          <w:position w:val="3"/>
          <w:sz w:val="23"/>
          <w:szCs w:val="23"/>
        </w:rPr>
        <w:t>，</w:t>
      </w:r>
      <w:r>
        <w:rPr>
          <w:rFonts w:ascii="Times New Roman" w:hAnsi="Times New Roman" w:eastAsia="Times New Roman" w:cs="Times New Roman"/>
          <w:spacing w:val="3"/>
          <w:position w:val="3"/>
          <w:sz w:val="23"/>
          <w:szCs w:val="23"/>
        </w:rPr>
        <w:t xml:space="preserve">... </w:t>
      </w:r>
      <w:r>
        <w:rPr>
          <w:rFonts w:ascii="宋体" w:hAnsi="宋体" w:eastAsia="宋体" w:cs="宋体"/>
          <w:spacing w:val="3"/>
          <w:position w:val="3"/>
          <w:sz w:val="23"/>
          <w:szCs w:val="23"/>
        </w:rPr>
        <w:t>，</w:t>
      </w:r>
      <w:r>
        <w:rPr>
          <w:rFonts w:ascii="Times New Roman" w:hAnsi="Times New Roman" w:eastAsia="Times New Roman" w:cs="Times New Roman"/>
          <w:position w:val="3"/>
          <w:sz w:val="23"/>
          <w:szCs w:val="23"/>
        </w:rPr>
        <w:t>q</w:t>
      </w:r>
      <w:r>
        <w:rPr>
          <w:rFonts w:ascii="Times New Roman" w:hAnsi="Times New Roman" w:eastAsia="Times New Roman" w:cs="Times New Roman"/>
          <w:position w:val="2"/>
          <w:sz w:val="15"/>
          <w:szCs w:val="15"/>
        </w:rPr>
        <w:t>n</w:t>
      </w:r>
      <w:r>
        <w:rPr>
          <w:rFonts w:ascii="Times New Roman" w:hAnsi="Times New Roman" w:eastAsia="Times New Roman" w:cs="Times New Roman"/>
          <w:spacing w:val="3"/>
          <w:position w:val="3"/>
          <w:sz w:val="23"/>
          <w:szCs w:val="23"/>
        </w:rPr>
        <w:t>——</w:t>
      </w:r>
      <w:r>
        <w:rPr>
          <w:rFonts w:ascii="宋体" w:hAnsi="宋体" w:eastAsia="宋体" w:cs="宋体"/>
          <w:spacing w:val="3"/>
          <w:position w:val="3"/>
          <w:sz w:val="23"/>
          <w:szCs w:val="23"/>
        </w:rPr>
        <w:t>每种危险物质的最大存在总量，</w:t>
      </w:r>
      <w:r>
        <w:rPr>
          <w:rFonts w:ascii="Times New Roman" w:hAnsi="Times New Roman" w:eastAsia="Times New Roman" w:cs="Times New Roman"/>
          <w:position w:val="3"/>
          <w:sz w:val="23"/>
          <w:szCs w:val="23"/>
        </w:rPr>
        <w:t>t</w:t>
      </w:r>
      <w:r>
        <w:rPr>
          <w:rFonts w:ascii="宋体" w:hAnsi="宋体" w:eastAsia="宋体" w:cs="宋体"/>
          <w:spacing w:val="3"/>
          <w:position w:val="3"/>
          <w:sz w:val="23"/>
          <w:szCs w:val="23"/>
        </w:rPr>
        <w:t>。</w:t>
      </w:r>
    </w:p>
    <w:p w14:paraId="2C720E1B">
      <w:pPr>
        <w:spacing w:before="145" w:line="511" w:lineRule="exact"/>
        <w:ind w:left="1842"/>
        <w:rPr>
          <w:rFonts w:ascii="宋体" w:hAnsi="宋体" w:eastAsia="宋体" w:cs="宋体"/>
          <w:sz w:val="23"/>
          <w:szCs w:val="23"/>
        </w:rPr>
      </w:pPr>
      <w:r>
        <w:rPr>
          <w:rFonts w:ascii="Times New Roman" w:hAnsi="Times New Roman" w:eastAsia="Times New Roman" w:cs="Times New Roman"/>
          <w:position w:val="18"/>
          <w:sz w:val="23"/>
          <w:szCs w:val="23"/>
        </w:rPr>
        <w:t>Q</w:t>
      </w:r>
      <w:r>
        <w:rPr>
          <w:rFonts w:ascii="Times New Roman" w:hAnsi="Times New Roman" w:eastAsia="Times New Roman" w:cs="Times New Roman"/>
          <w:spacing w:val="4"/>
          <w:position w:val="17"/>
          <w:sz w:val="15"/>
          <w:szCs w:val="15"/>
        </w:rPr>
        <w:t xml:space="preserve">1 </w:t>
      </w:r>
      <w:r>
        <w:rPr>
          <w:rFonts w:ascii="宋体" w:hAnsi="宋体" w:eastAsia="宋体" w:cs="宋体"/>
          <w:spacing w:val="4"/>
          <w:position w:val="18"/>
          <w:sz w:val="23"/>
          <w:szCs w:val="23"/>
        </w:rPr>
        <w:t>，</w:t>
      </w:r>
      <w:r>
        <w:rPr>
          <w:rFonts w:ascii="Times New Roman" w:hAnsi="Times New Roman" w:eastAsia="Times New Roman" w:cs="Times New Roman"/>
          <w:position w:val="18"/>
          <w:sz w:val="23"/>
          <w:szCs w:val="23"/>
        </w:rPr>
        <w:t>Q</w:t>
      </w:r>
      <w:r>
        <w:rPr>
          <w:rFonts w:ascii="Times New Roman" w:hAnsi="Times New Roman" w:eastAsia="Times New Roman" w:cs="Times New Roman"/>
          <w:spacing w:val="3"/>
          <w:position w:val="17"/>
          <w:sz w:val="15"/>
          <w:szCs w:val="15"/>
        </w:rPr>
        <w:t>1</w:t>
      </w:r>
      <w:r>
        <w:rPr>
          <w:rFonts w:ascii="Times New Roman" w:hAnsi="Times New Roman" w:eastAsia="Times New Roman" w:cs="Times New Roman"/>
          <w:spacing w:val="2"/>
          <w:position w:val="17"/>
          <w:sz w:val="15"/>
          <w:szCs w:val="15"/>
        </w:rPr>
        <w:t xml:space="preserve"> </w:t>
      </w:r>
      <w:r>
        <w:rPr>
          <w:rFonts w:ascii="宋体" w:hAnsi="宋体" w:eastAsia="宋体" w:cs="宋体"/>
          <w:spacing w:val="2"/>
          <w:position w:val="18"/>
          <w:sz w:val="23"/>
          <w:szCs w:val="23"/>
        </w:rPr>
        <w:t>，</w:t>
      </w:r>
      <w:r>
        <w:rPr>
          <w:rFonts w:ascii="Times New Roman" w:hAnsi="Times New Roman" w:eastAsia="Times New Roman" w:cs="Times New Roman"/>
          <w:spacing w:val="2"/>
          <w:position w:val="18"/>
          <w:sz w:val="23"/>
          <w:szCs w:val="23"/>
        </w:rPr>
        <w:t xml:space="preserve">... </w:t>
      </w:r>
      <w:r>
        <w:rPr>
          <w:rFonts w:ascii="宋体" w:hAnsi="宋体" w:eastAsia="宋体" w:cs="宋体"/>
          <w:spacing w:val="2"/>
          <w:position w:val="18"/>
          <w:sz w:val="23"/>
          <w:szCs w:val="23"/>
        </w:rPr>
        <w:t>，</w:t>
      </w:r>
      <w:r>
        <w:rPr>
          <w:rFonts w:ascii="Times New Roman" w:hAnsi="Times New Roman" w:eastAsia="Times New Roman" w:cs="Times New Roman"/>
          <w:position w:val="18"/>
          <w:sz w:val="23"/>
          <w:szCs w:val="23"/>
        </w:rPr>
        <w:t>Q</w:t>
      </w:r>
      <w:r>
        <w:rPr>
          <w:rFonts w:ascii="Times New Roman" w:hAnsi="Times New Roman" w:eastAsia="Times New Roman" w:cs="Times New Roman"/>
          <w:position w:val="17"/>
          <w:sz w:val="15"/>
          <w:szCs w:val="15"/>
        </w:rPr>
        <w:t>n</w:t>
      </w:r>
      <w:r>
        <w:rPr>
          <w:rFonts w:ascii="Times New Roman" w:hAnsi="Times New Roman" w:eastAsia="Times New Roman" w:cs="Times New Roman"/>
          <w:spacing w:val="2"/>
          <w:position w:val="18"/>
          <w:sz w:val="23"/>
          <w:szCs w:val="23"/>
        </w:rPr>
        <w:t>——</w:t>
      </w:r>
      <w:r>
        <w:rPr>
          <w:rFonts w:ascii="宋体" w:hAnsi="宋体" w:eastAsia="宋体" w:cs="宋体"/>
          <w:spacing w:val="2"/>
          <w:position w:val="18"/>
          <w:sz w:val="23"/>
          <w:szCs w:val="23"/>
        </w:rPr>
        <w:t>每种危险物质的临界量，</w:t>
      </w:r>
      <w:r>
        <w:rPr>
          <w:rFonts w:ascii="Times New Roman" w:hAnsi="Times New Roman" w:eastAsia="Times New Roman" w:cs="Times New Roman"/>
          <w:position w:val="18"/>
          <w:sz w:val="23"/>
          <w:szCs w:val="23"/>
        </w:rPr>
        <w:t>t</w:t>
      </w:r>
      <w:r>
        <w:rPr>
          <w:rFonts w:ascii="宋体" w:hAnsi="宋体" w:eastAsia="宋体" w:cs="宋体"/>
          <w:spacing w:val="2"/>
          <w:position w:val="18"/>
          <w:sz w:val="23"/>
          <w:szCs w:val="23"/>
        </w:rPr>
        <w:t>。</w:t>
      </w:r>
    </w:p>
    <w:p w14:paraId="2E93DDC1">
      <w:pPr>
        <w:spacing w:before="1" w:line="220" w:lineRule="auto"/>
        <w:ind w:left="1858"/>
        <w:rPr>
          <w:rFonts w:ascii="宋体" w:hAnsi="宋体" w:eastAsia="宋体" w:cs="宋体"/>
          <w:sz w:val="23"/>
          <w:szCs w:val="23"/>
        </w:rPr>
      </w:pPr>
      <w:r>
        <w:rPr>
          <w:rFonts w:ascii="宋体" w:hAnsi="宋体" w:eastAsia="宋体" w:cs="宋体"/>
          <w:spacing w:val="10"/>
          <w:sz w:val="23"/>
          <w:szCs w:val="23"/>
        </w:rPr>
        <w:t>当</w:t>
      </w:r>
      <w:r>
        <w:rPr>
          <w:rFonts w:ascii="Times New Roman" w:hAnsi="Times New Roman" w:eastAsia="Times New Roman" w:cs="Times New Roman"/>
          <w:sz w:val="23"/>
          <w:szCs w:val="23"/>
        </w:rPr>
        <w:t>Q</w:t>
      </w:r>
      <w:r>
        <w:rPr>
          <w:rFonts w:ascii="宋体" w:hAnsi="宋体" w:eastAsia="宋体" w:cs="宋体"/>
          <w:spacing w:val="8"/>
          <w:sz w:val="23"/>
          <w:szCs w:val="23"/>
        </w:rPr>
        <w:t>＜</w:t>
      </w:r>
      <w:r>
        <w:rPr>
          <w:rFonts w:ascii="Times New Roman" w:hAnsi="Times New Roman" w:eastAsia="Times New Roman" w:cs="Times New Roman"/>
          <w:spacing w:val="8"/>
          <w:sz w:val="23"/>
          <w:szCs w:val="23"/>
        </w:rPr>
        <w:t>1</w:t>
      </w:r>
      <w:r>
        <w:rPr>
          <w:rFonts w:ascii="宋体" w:hAnsi="宋体" w:eastAsia="宋体" w:cs="宋体"/>
          <w:spacing w:val="8"/>
          <w:sz w:val="23"/>
          <w:szCs w:val="23"/>
        </w:rPr>
        <w:t>时，该项目环境风险潜势为</w:t>
      </w:r>
      <w:r>
        <w:rPr>
          <w:rFonts w:ascii="Times New Roman" w:hAnsi="Times New Roman" w:eastAsia="Times New Roman" w:cs="Times New Roman"/>
          <w:sz w:val="23"/>
          <w:szCs w:val="23"/>
        </w:rPr>
        <w:t>I</w:t>
      </w:r>
      <w:r>
        <w:rPr>
          <w:rFonts w:ascii="宋体" w:hAnsi="宋体" w:eastAsia="宋体" w:cs="宋体"/>
          <w:spacing w:val="8"/>
          <w:sz w:val="23"/>
          <w:szCs w:val="23"/>
        </w:rPr>
        <w:t>。</w:t>
      </w:r>
    </w:p>
    <w:p w14:paraId="79AEF493">
      <w:pPr>
        <w:sectPr>
          <w:footerReference r:id="rId36" w:type="default"/>
          <w:pgSz w:w="11907" w:h="16840"/>
          <w:pgMar w:top="400" w:right="910" w:bottom="1277" w:left="1146" w:header="0" w:footer="1114" w:gutter="0"/>
          <w:cols w:space="720" w:num="1"/>
        </w:sectPr>
      </w:pPr>
    </w:p>
    <w:p w14:paraId="47E9A5D6">
      <w:pPr>
        <w:spacing w:line="460" w:lineRule="auto"/>
      </w:pPr>
    </w:p>
    <w:p w14:paraId="698BD516">
      <w:pPr>
        <w:spacing w:before="56" w:line="229" w:lineRule="auto"/>
        <w:ind w:left="115"/>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347A9EBC">
      <w:pPr>
        <w:spacing w:before="21" w:line="322" w:lineRule="exact"/>
        <w:ind w:left="1453"/>
        <w:rPr>
          <w:rFonts w:ascii="宋体" w:hAnsi="宋体" w:eastAsia="宋体" w:cs="宋体"/>
          <w:sz w:val="23"/>
          <w:szCs w:val="23"/>
        </w:rPr>
      </w:pPr>
      <w:r>
        <w:pict>
          <v:shape id="_x0000_s2064" o:spid="_x0000_s2064" style="position:absolute;left:0pt;margin-left:5.4pt;margin-top:0.7pt;height:0.5pt;width:434.35pt;z-index:-251616256;mso-width-relative:page;mso-height-relative:page;" fillcolor="#000000" filled="t" stroked="f" coordsize="8687,10" path="m0,0l8686,0,8686,9,0,9,0,0xe">
            <v:fill on="t" focussize="0,0"/>
            <v:stroke on="f"/>
            <v:imagedata o:title=""/>
            <o:lock v:ext="edit"/>
          </v:shape>
        </w:pict>
      </w:r>
      <w:r>
        <w:rPr>
          <w:rFonts w:ascii="宋体" w:hAnsi="宋体" w:eastAsia="宋体" w:cs="宋体"/>
          <w:spacing w:val="-16"/>
          <w:position w:val="3"/>
          <w:sz w:val="23"/>
          <w:szCs w:val="23"/>
        </w:rPr>
        <w:t>当</w:t>
      </w:r>
      <w:r>
        <w:rPr>
          <w:rFonts w:ascii="Times New Roman" w:hAnsi="Times New Roman" w:eastAsia="Times New Roman" w:cs="Times New Roman"/>
          <w:spacing w:val="-8"/>
          <w:position w:val="3"/>
          <w:sz w:val="23"/>
          <w:szCs w:val="23"/>
        </w:rPr>
        <w:t>Q</w:t>
      </w:r>
      <w:r>
        <w:rPr>
          <w:rFonts w:ascii="Times New Roman" w:hAnsi="Times New Roman" w:eastAsia="Times New Roman" w:cs="Times New Roman"/>
          <w:spacing w:val="-16"/>
          <w:position w:val="3"/>
          <w:sz w:val="23"/>
          <w:szCs w:val="23"/>
        </w:rPr>
        <w:t>≥1</w:t>
      </w:r>
      <w:r>
        <w:rPr>
          <w:rFonts w:ascii="宋体" w:hAnsi="宋体" w:eastAsia="宋体" w:cs="宋体"/>
          <w:spacing w:val="-11"/>
          <w:position w:val="3"/>
          <w:sz w:val="23"/>
          <w:szCs w:val="23"/>
        </w:rPr>
        <w:t>时</w:t>
      </w:r>
      <w:r>
        <w:rPr>
          <w:rFonts w:ascii="宋体" w:hAnsi="宋体" w:eastAsia="宋体" w:cs="宋体"/>
          <w:spacing w:val="-8"/>
          <w:position w:val="3"/>
          <w:sz w:val="23"/>
          <w:szCs w:val="23"/>
        </w:rPr>
        <w:t>，将</w:t>
      </w:r>
      <w:r>
        <w:rPr>
          <w:rFonts w:ascii="Times New Roman" w:hAnsi="Times New Roman" w:eastAsia="Times New Roman" w:cs="Times New Roman"/>
          <w:spacing w:val="-8"/>
          <w:position w:val="3"/>
          <w:sz w:val="23"/>
          <w:szCs w:val="23"/>
        </w:rPr>
        <w:t>Q</w:t>
      </w:r>
      <w:r>
        <w:rPr>
          <w:rFonts w:ascii="宋体" w:hAnsi="宋体" w:eastAsia="宋体" w:cs="宋体"/>
          <w:spacing w:val="-8"/>
          <w:position w:val="3"/>
          <w:sz w:val="23"/>
          <w:szCs w:val="23"/>
        </w:rPr>
        <w:t>值划分为：  (</w:t>
      </w:r>
      <w:r>
        <w:rPr>
          <w:rFonts w:ascii="Times New Roman" w:hAnsi="Times New Roman" w:eastAsia="Times New Roman" w:cs="Times New Roman"/>
          <w:spacing w:val="-8"/>
          <w:position w:val="3"/>
          <w:sz w:val="23"/>
          <w:szCs w:val="23"/>
        </w:rPr>
        <w:t>1</w:t>
      </w:r>
      <w:r>
        <w:rPr>
          <w:rFonts w:ascii="宋体" w:hAnsi="宋体" w:eastAsia="宋体" w:cs="宋体"/>
          <w:spacing w:val="-8"/>
          <w:position w:val="3"/>
          <w:sz w:val="23"/>
          <w:szCs w:val="23"/>
        </w:rPr>
        <w:t xml:space="preserve">) </w:t>
      </w:r>
      <w:r>
        <w:rPr>
          <w:rFonts w:ascii="Times New Roman" w:hAnsi="Times New Roman" w:eastAsia="Times New Roman" w:cs="Times New Roman"/>
          <w:spacing w:val="-8"/>
          <w:position w:val="3"/>
          <w:sz w:val="23"/>
          <w:szCs w:val="23"/>
        </w:rPr>
        <w:t>1≤Q</w:t>
      </w:r>
      <w:r>
        <w:rPr>
          <w:rFonts w:ascii="宋体" w:hAnsi="宋体" w:eastAsia="宋体" w:cs="宋体"/>
          <w:spacing w:val="-8"/>
          <w:position w:val="3"/>
          <w:sz w:val="23"/>
          <w:szCs w:val="23"/>
        </w:rPr>
        <w:t>＜</w:t>
      </w:r>
      <w:r>
        <w:rPr>
          <w:rFonts w:ascii="Times New Roman" w:hAnsi="Times New Roman" w:eastAsia="Times New Roman" w:cs="Times New Roman"/>
          <w:spacing w:val="-8"/>
          <w:position w:val="3"/>
          <w:sz w:val="23"/>
          <w:szCs w:val="23"/>
        </w:rPr>
        <w:t>10</w:t>
      </w:r>
      <w:r>
        <w:rPr>
          <w:rFonts w:ascii="宋体" w:hAnsi="宋体" w:eastAsia="宋体" w:cs="宋体"/>
          <w:spacing w:val="-8"/>
          <w:position w:val="3"/>
          <w:sz w:val="23"/>
          <w:szCs w:val="23"/>
        </w:rPr>
        <w:t>；  (</w:t>
      </w:r>
      <w:r>
        <w:rPr>
          <w:rFonts w:ascii="Times New Roman" w:hAnsi="Times New Roman" w:eastAsia="Times New Roman" w:cs="Times New Roman"/>
          <w:spacing w:val="-8"/>
          <w:position w:val="3"/>
          <w:sz w:val="23"/>
          <w:szCs w:val="23"/>
        </w:rPr>
        <w:t>2</w:t>
      </w:r>
      <w:r>
        <w:rPr>
          <w:rFonts w:ascii="宋体" w:hAnsi="宋体" w:eastAsia="宋体" w:cs="宋体"/>
          <w:spacing w:val="-8"/>
          <w:position w:val="3"/>
          <w:sz w:val="23"/>
          <w:szCs w:val="23"/>
        </w:rPr>
        <w:t xml:space="preserve">) </w:t>
      </w:r>
      <w:r>
        <w:rPr>
          <w:rFonts w:ascii="Times New Roman" w:hAnsi="Times New Roman" w:eastAsia="Times New Roman" w:cs="Times New Roman"/>
          <w:spacing w:val="-8"/>
          <w:position w:val="3"/>
          <w:sz w:val="23"/>
          <w:szCs w:val="23"/>
        </w:rPr>
        <w:t>10≤Q≤100</w:t>
      </w:r>
      <w:r>
        <w:rPr>
          <w:rFonts w:ascii="宋体" w:hAnsi="宋体" w:eastAsia="宋体" w:cs="宋体"/>
          <w:spacing w:val="-8"/>
          <w:position w:val="3"/>
          <w:sz w:val="23"/>
          <w:szCs w:val="23"/>
        </w:rPr>
        <w:t>；  (</w:t>
      </w:r>
      <w:r>
        <w:rPr>
          <w:rFonts w:ascii="Times New Roman" w:hAnsi="Times New Roman" w:eastAsia="Times New Roman" w:cs="Times New Roman"/>
          <w:spacing w:val="-8"/>
          <w:position w:val="3"/>
          <w:sz w:val="23"/>
          <w:szCs w:val="23"/>
        </w:rPr>
        <w:t>3</w:t>
      </w:r>
      <w:r>
        <w:rPr>
          <w:rFonts w:ascii="宋体" w:hAnsi="宋体" w:eastAsia="宋体" w:cs="宋体"/>
          <w:spacing w:val="-8"/>
          <w:position w:val="3"/>
          <w:sz w:val="23"/>
          <w:szCs w:val="23"/>
        </w:rPr>
        <w:t xml:space="preserve">) </w:t>
      </w:r>
      <w:r>
        <w:rPr>
          <w:rFonts w:ascii="Times New Roman" w:hAnsi="Times New Roman" w:eastAsia="Times New Roman" w:cs="Times New Roman"/>
          <w:spacing w:val="-8"/>
          <w:position w:val="3"/>
          <w:sz w:val="23"/>
          <w:szCs w:val="23"/>
        </w:rPr>
        <w:t>Q≥100</w:t>
      </w:r>
      <w:r>
        <w:rPr>
          <w:rFonts w:ascii="宋体" w:hAnsi="宋体" w:eastAsia="宋体" w:cs="宋体"/>
          <w:spacing w:val="-8"/>
          <w:position w:val="3"/>
          <w:sz w:val="23"/>
          <w:szCs w:val="23"/>
        </w:rPr>
        <w:t>。</w:t>
      </w:r>
    </w:p>
    <w:p w14:paraId="5F2861CB">
      <w:pPr>
        <w:spacing w:before="186" w:line="371" w:lineRule="auto"/>
        <w:ind w:left="119" w:right="489" w:firstLine="480"/>
        <w:rPr>
          <w:rFonts w:ascii="宋体" w:hAnsi="宋体" w:eastAsia="宋体" w:cs="宋体"/>
          <w:sz w:val="23"/>
          <w:szCs w:val="23"/>
        </w:rPr>
      </w:pPr>
      <w:r>
        <w:rPr>
          <w:rFonts w:ascii="宋体" w:hAnsi="宋体" w:eastAsia="宋体" w:cs="宋体"/>
          <w:spacing w:val="14"/>
          <w:sz w:val="23"/>
          <w:szCs w:val="23"/>
        </w:rPr>
        <w:t>本</w:t>
      </w:r>
      <w:r>
        <w:rPr>
          <w:rFonts w:ascii="宋体" w:hAnsi="宋体" w:eastAsia="宋体" w:cs="宋体"/>
          <w:spacing w:val="11"/>
          <w:sz w:val="23"/>
          <w:szCs w:val="23"/>
        </w:rPr>
        <w:t>项目运营期过程中涉及到的危险物品为消毒液，项目生猪消毒需要使用到的</w:t>
      </w:r>
      <w:r>
        <w:rPr>
          <w:rFonts w:ascii="宋体" w:hAnsi="宋体" w:eastAsia="宋体" w:cs="宋体"/>
          <w:sz w:val="23"/>
          <w:szCs w:val="23"/>
        </w:rPr>
        <w:t xml:space="preserve"> </w:t>
      </w:r>
      <w:r>
        <w:rPr>
          <w:rFonts w:ascii="宋体" w:hAnsi="宋体" w:eastAsia="宋体" w:cs="宋体"/>
          <w:spacing w:val="20"/>
          <w:sz w:val="23"/>
          <w:szCs w:val="23"/>
        </w:rPr>
        <w:t>消</w:t>
      </w:r>
      <w:r>
        <w:rPr>
          <w:rFonts w:ascii="宋体" w:hAnsi="宋体" w:eastAsia="宋体" w:cs="宋体"/>
          <w:spacing w:val="15"/>
          <w:sz w:val="23"/>
          <w:szCs w:val="23"/>
        </w:rPr>
        <w:t>毒</w:t>
      </w:r>
      <w:r>
        <w:rPr>
          <w:rFonts w:ascii="宋体" w:hAnsi="宋体" w:eastAsia="宋体" w:cs="宋体"/>
          <w:spacing w:val="10"/>
          <w:sz w:val="23"/>
          <w:szCs w:val="23"/>
        </w:rPr>
        <w:t>液有烧碱、卫可 (过硫酸氢钾复合物) 、戊二醛等消毒液等消毒液。消毒液年</w:t>
      </w:r>
      <w:r>
        <w:rPr>
          <w:rFonts w:ascii="宋体" w:hAnsi="宋体" w:eastAsia="宋体" w:cs="宋体"/>
          <w:sz w:val="23"/>
          <w:szCs w:val="23"/>
        </w:rPr>
        <w:t xml:space="preserve"> </w:t>
      </w:r>
      <w:r>
        <w:rPr>
          <w:rFonts w:ascii="宋体" w:hAnsi="宋体" w:eastAsia="宋体" w:cs="宋体"/>
          <w:spacing w:val="3"/>
          <w:sz w:val="23"/>
          <w:szCs w:val="23"/>
        </w:rPr>
        <w:t xml:space="preserve">使用约 </w:t>
      </w:r>
      <w:r>
        <w:rPr>
          <w:rFonts w:ascii="Times New Roman" w:hAnsi="Times New Roman" w:eastAsia="Times New Roman" w:cs="Times New Roman"/>
          <w:spacing w:val="3"/>
          <w:sz w:val="23"/>
          <w:szCs w:val="23"/>
        </w:rPr>
        <w:t xml:space="preserve">1800 </w:t>
      </w:r>
      <w:r>
        <w:rPr>
          <w:rFonts w:ascii="宋体" w:hAnsi="宋体" w:eastAsia="宋体" w:cs="宋体"/>
          <w:spacing w:val="3"/>
          <w:sz w:val="23"/>
          <w:szCs w:val="23"/>
        </w:rPr>
        <w:t xml:space="preserve">瓶，项目内储存量不大，最大储存量约 </w:t>
      </w:r>
      <w:r>
        <w:rPr>
          <w:rFonts w:ascii="Times New Roman" w:hAnsi="Times New Roman" w:eastAsia="Times New Roman" w:cs="Times New Roman"/>
          <w:spacing w:val="3"/>
          <w:sz w:val="23"/>
          <w:szCs w:val="23"/>
        </w:rPr>
        <w:t xml:space="preserve">100 </w:t>
      </w:r>
      <w:r>
        <w:rPr>
          <w:rFonts w:ascii="宋体" w:hAnsi="宋体" w:eastAsia="宋体" w:cs="宋体"/>
          <w:spacing w:val="3"/>
          <w:sz w:val="23"/>
          <w:szCs w:val="23"/>
        </w:rPr>
        <w:t>瓶 (</w:t>
      </w:r>
      <w:r>
        <w:rPr>
          <w:rFonts w:ascii="Times New Roman" w:hAnsi="Times New Roman" w:eastAsia="Times New Roman" w:cs="Times New Roman"/>
          <w:spacing w:val="3"/>
          <w:sz w:val="23"/>
          <w:szCs w:val="23"/>
        </w:rPr>
        <w:t>0.5</w:t>
      </w:r>
      <w:r>
        <w:rPr>
          <w:rFonts w:ascii="Times New Roman" w:hAnsi="Times New Roman" w:eastAsia="Times New Roman" w:cs="Times New Roman"/>
          <w:sz w:val="23"/>
          <w:szCs w:val="23"/>
        </w:rPr>
        <w:t>L</w:t>
      </w:r>
      <w:r>
        <w:rPr>
          <w:rFonts w:ascii="Times New Roman" w:hAnsi="Times New Roman" w:eastAsia="Times New Roman" w:cs="Times New Roman"/>
          <w:spacing w:val="3"/>
          <w:sz w:val="23"/>
          <w:szCs w:val="23"/>
        </w:rPr>
        <w:t>/</w:t>
      </w:r>
      <w:r>
        <w:rPr>
          <w:rFonts w:ascii="宋体" w:hAnsi="宋体" w:eastAsia="宋体" w:cs="宋体"/>
          <w:spacing w:val="3"/>
          <w:sz w:val="23"/>
          <w:szCs w:val="23"/>
        </w:rPr>
        <w:t>瓶) ，小于危险</w:t>
      </w:r>
      <w:r>
        <w:rPr>
          <w:rFonts w:ascii="宋体" w:hAnsi="宋体" w:eastAsia="宋体" w:cs="宋体"/>
          <w:sz w:val="23"/>
          <w:szCs w:val="23"/>
        </w:rPr>
        <w:t xml:space="preserve">化 </w:t>
      </w:r>
      <w:r>
        <w:rPr>
          <w:rFonts w:ascii="宋体" w:hAnsi="宋体" w:eastAsia="宋体" w:cs="宋体"/>
          <w:spacing w:val="14"/>
          <w:sz w:val="23"/>
          <w:szCs w:val="23"/>
        </w:rPr>
        <w:t>学品临</w:t>
      </w:r>
      <w:r>
        <w:rPr>
          <w:rFonts w:ascii="宋体" w:hAnsi="宋体" w:eastAsia="宋体" w:cs="宋体"/>
          <w:spacing w:val="11"/>
          <w:sz w:val="23"/>
          <w:szCs w:val="23"/>
        </w:rPr>
        <w:t>界</w:t>
      </w:r>
      <w:r>
        <w:rPr>
          <w:rFonts w:ascii="宋体" w:hAnsi="宋体" w:eastAsia="宋体" w:cs="宋体"/>
          <w:spacing w:val="7"/>
          <w:sz w:val="23"/>
          <w:szCs w:val="23"/>
        </w:rPr>
        <w:t xml:space="preserve">量 (有机过氧化物 </w:t>
      </w:r>
      <w:r>
        <w:rPr>
          <w:rFonts w:ascii="Times New Roman" w:hAnsi="Times New Roman" w:eastAsia="Times New Roman" w:cs="Times New Roman"/>
          <w:spacing w:val="7"/>
          <w:sz w:val="23"/>
          <w:szCs w:val="23"/>
        </w:rPr>
        <w:t>10</w:t>
      </w:r>
      <w:r>
        <w:rPr>
          <w:rFonts w:ascii="Times New Roman" w:hAnsi="Times New Roman" w:eastAsia="Times New Roman" w:cs="Times New Roman"/>
          <w:sz w:val="23"/>
          <w:szCs w:val="23"/>
        </w:rPr>
        <w:t>t</w:t>
      </w:r>
      <w:r>
        <w:rPr>
          <w:rFonts w:ascii="宋体" w:hAnsi="宋体" w:eastAsia="宋体" w:cs="宋体"/>
          <w:spacing w:val="7"/>
          <w:sz w:val="23"/>
          <w:szCs w:val="23"/>
        </w:rPr>
        <w:t>) 。根据《建设项目环境风险评价技术导则》  (</w:t>
      </w:r>
      <w:r>
        <w:rPr>
          <w:rFonts w:ascii="Times New Roman" w:hAnsi="Times New Roman" w:eastAsia="Times New Roman" w:cs="Times New Roman"/>
          <w:sz w:val="23"/>
          <w:szCs w:val="23"/>
        </w:rPr>
        <w:t xml:space="preserve">HJ </w:t>
      </w:r>
      <w:r>
        <w:rPr>
          <w:rFonts w:ascii="Times New Roman" w:hAnsi="Times New Roman" w:eastAsia="Times New Roman" w:cs="Times New Roman"/>
          <w:spacing w:val="-8"/>
          <w:sz w:val="23"/>
          <w:szCs w:val="23"/>
        </w:rPr>
        <w:t>169-</w:t>
      </w:r>
      <w:r>
        <w:rPr>
          <w:rFonts w:ascii="Times New Roman" w:hAnsi="Times New Roman" w:eastAsia="Times New Roman" w:cs="Times New Roman"/>
          <w:spacing w:val="-6"/>
          <w:sz w:val="23"/>
          <w:szCs w:val="23"/>
        </w:rPr>
        <w:t>2</w:t>
      </w:r>
      <w:r>
        <w:rPr>
          <w:rFonts w:ascii="Times New Roman" w:hAnsi="Times New Roman" w:eastAsia="Times New Roman" w:cs="Times New Roman"/>
          <w:spacing w:val="-4"/>
          <w:sz w:val="23"/>
          <w:szCs w:val="23"/>
        </w:rPr>
        <w:t>018</w:t>
      </w:r>
      <w:r>
        <w:rPr>
          <w:rFonts w:ascii="宋体" w:hAnsi="宋体" w:eastAsia="宋体" w:cs="宋体"/>
          <w:spacing w:val="-4"/>
          <w:sz w:val="23"/>
          <w:szCs w:val="23"/>
        </w:rPr>
        <w:t xml:space="preserve">) 附录 </w:t>
      </w:r>
      <w:r>
        <w:rPr>
          <w:rFonts w:ascii="Times New Roman" w:hAnsi="Times New Roman" w:eastAsia="Times New Roman" w:cs="Times New Roman"/>
          <w:spacing w:val="-4"/>
          <w:sz w:val="23"/>
          <w:szCs w:val="23"/>
        </w:rPr>
        <w:t xml:space="preserve">C </w:t>
      </w:r>
      <w:r>
        <w:rPr>
          <w:rFonts w:ascii="宋体" w:hAnsi="宋体" w:eastAsia="宋体" w:cs="宋体"/>
          <w:spacing w:val="-4"/>
          <w:sz w:val="23"/>
          <w:szCs w:val="23"/>
        </w:rPr>
        <w:t xml:space="preserve">，项目 </w:t>
      </w:r>
      <w:r>
        <w:rPr>
          <w:rFonts w:ascii="Times New Roman" w:hAnsi="Times New Roman" w:eastAsia="Times New Roman" w:cs="Times New Roman"/>
          <w:spacing w:val="-4"/>
          <w:sz w:val="23"/>
          <w:szCs w:val="23"/>
        </w:rPr>
        <w:t>Q</w:t>
      </w:r>
      <w:r>
        <w:rPr>
          <w:rFonts w:ascii="宋体" w:hAnsi="宋体" w:eastAsia="宋体" w:cs="宋体"/>
          <w:spacing w:val="-4"/>
          <w:sz w:val="23"/>
          <w:szCs w:val="23"/>
        </w:rPr>
        <w:t>＜</w:t>
      </w:r>
      <w:r>
        <w:rPr>
          <w:rFonts w:ascii="Times New Roman" w:hAnsi="Times New Roman" w:eastAsia="Times New Roman" w:cs="Times New Roman"/>
          <w:spacing w:val="-4"/>
          <w:sz w:val="23"/>
          <w:szCs w:val="23"/>
        </w:rPr>
        <w:t xml:space="preserve">1 </w:t>
      </w:r>
      <w:r>
        <w:rPr>
          <w:rFonts w:ascii="宋体" w:hAnsi="宋体" w:eastAsia="宋体" w:cs="宋体"/>
          <w:spacing w:val="-4"/>
          <w:sz w:val="23"/>
          <w:szCs w:val="23"/>
        </w:rPr>
        <w:t>，项目环境风险潜势为 Ⅰ。</w:t>
      </w:r>
    </w:p>
    <w:p w14:paraId="2B3C9E3C">
      <w:pPr>
        <w:spacing w:before="25" w:line="375" w:lineRule="auto"/>
        <w:ind w:left="119" w:right="489" w:firstLine="469"/>
        <w:rPr>
          <w:rFonts w:ascii="宋体" w:hAnsi="宋体" w:eastAsia="宋体" w:cs="宋体"/>
          <w:sz w:val="23"/>
          <w:szCs w:val="23"/>
        </w:rPr>
      </w:pPr>
      <w:r>
        <w:rPr>
          <w:rFonts w:ascii="宋体" w:hAnsi="宋体" w:eastAsia="宋体" w:cs="宋体"/>
          <w:spacing w:val="3"/>
          <w:sz w:val="23"/>
          <w:szCs w:val="23"/>
        </w:rPr>
        <w:t>根据《建设项目环境风险评价技术导则》 (</w:t>
      </w:r>
      <w:r>
        <w:rPr>
          <w:rFonts w:ascii="Times New Roman" w:hAnsi="Times New Roman" w:eastAsia="Times New Roman" w:cs="Times New Roman"/>
          <w:sz w:val="23"/>
          <w:szCs w:val="23"/>
        </w:rPr>
        <w:t>HJ</w:t>
      </w:r>
      <w:r>
        <w:rPr>
          <w:rFonts w:ascii="Times New Roman" w:hAnsi="Times New Roman" w:eastAsia="Times New Roman" w:cs="Times New Roman"/>
          <w:spacing w:val="3"/>
          <w:sz w:val="23"/>
          <w:szCs w:val="23"/>
        </w:rPr>
        <w:t xml:space="preserve"> 169-2018</w:t>
      </w:r>
      <w:r>
        <w:rPr>
          <w:rFonts w:ascii="宋体" w:hAnsi="宋体" w:eastAsia="宋体" w:cs="宋体"/>
          <w:spacing w:val="3"/>
          <w:sz w:val="23"/>
          <w:szCs w:val="23"/>
        </w:rPr>
        <w:t>) ，建设项目环境</w:t>
      </w:r>
      <w:r>
        <w:rPr>
          <w:rFonts w:ascii="宋体" w:hAnsi="宋体" w:eastAsia="宋体" w:cs="宋体"/>
          <w:spacing w:val="1"/>
          <w:sz w:val="23"/>
          <w:szCs w:val="23"/>
        </w:rPr>
        <w:t>风</w:t>
      </w:r>
      <w:r>
        <w:rPr>
          <w:rFonts w:ascii="宋体" w:hAnsi="宋体" w:eastAsia="宋体" w:cs="宋体"/>
          <w:sz w:val="23"/>
          <w:szCs w:val="23"/>
        </w:rPr>
        <w:t xml:space="preserve">险评 </w:t>
      </w:r>
      <w:r>
        <w:rPr>
          <w:rFonts w:ascii="宋体" w:hAnsi="宋体" w:eastAsia="宋体" w:cs="宋体"/>
          <w:spacing w:val="-1"/>
          <w:sz w:val="23"/>
          <w:szCs w:val="23"/>
        </w:rPr>
        <w:t xml:space="preserve">价工作等级划分原则详见下表 </w:t>
      </w:r>
      <w:r>
        <w:rPr>
          <w:rFonts w:ascii="Times New Roman" w:hAnsi="Times New Roman" w:eastAsia="Times New Roman" w:cs="Times New Roman"/>
          <w:spacing w:val="-1"/>
          <w:sz w:val="23"/>
          <w:szCs w:val="23"/>
        </w:rPr>
        <w:t>1.5- 12</w:t>
      </w:r>
      <w:r>
        <w:rPr>
          <w:rFonts w:ascii="宋体" w:hAnsi="宋体" w:eastAsia="宋体" w:cs="宋体"/>
          <w:sz w:val="23"/>
          <w:szCs w:val="23"/>
        </w:rPr>
        <w:t>。</w:t>
      </w:r>
    </w:p>
    <w:p w14:paraId="4F8F3671">
      <w:pPr>
        <w:spacing w:before="1" w:line="220" w:lineRule="auto"/>
        <w:ind w:left="2894"/>
        <w:rPr>
          <w:rFonts w:ascii="黑体" w:hAnsi="黑体" w:eastAsia="黑体" w:cs="黑体"/>
          <w:sz w:val="23"/>
          <w:szCs w:val="23"/>
        </w:rPr>
      </w:pPr>
      <w:r>
        <w:rPr>
          <w:rFonts w:ascii="黑体" w:hAnsi="黑体" w:eastAsia="黑体" w:cs="黑体"/>
          <w:spacing w:val="3"/>
          <w:sz w:val="23"/>
          <w:szCs w:val="23"/>
        </w:rPr>
        <w:t xml:space="preserve">表 </w:t>
      </w:r>
      <w:r>
        <w:rPr>
          <w:rFonts w:ascii="Times New Roman" w:hAnsi="Times New Roman" w:eastAsia="Times New Roman" w:cs="Times New Roman"/>
          <w:spacing w:val="3"/>
          <w:sz w:val="23"/>
          <w:szCs w:val="23"/>
        </w:rPr>
        <w:t xml:space="preserve">1.5- 12    </w:t>
      </w:r>
      <w:r>
        <w:rPr>
          <w:rFonts w:ascii="黑体" w:hAnsi="黑体" w:eastAsia="黑体" w:cs="黑体"/>
          <w:spacing w:val="3"/>
          <w:sz w:val="23"/>
          <w:szCs w:val="23"/>
        </w:rPr>
        <w:t>评价工作等级</w:t>
      </w:r>
      <w:r>
        <w:rPr>
          <w:rFonts w:ascii="黑体" w:hAnsi="黑体" w:eastAsia="黑体" w:cs="黑体"/>
          <w:spacing w:val="2"/>
          <w:sz w:val="23"/>
          <w:szCs w:val="23"/>
        </w:rPr>
        <w:t>划</w:t>
      </w:r>
      <w:r>
        <w:rPr>
          <w:rFonts w:ascii="黑体" w:hAnsi="黑体" w:eastAsia="黑体" w:cs="黑体"/>
          <w:sz w:val="23"/>
          <w:szCs w:val="23"/>
        </w:rPr>
        <w:t>分</w:t>
      </w:r>
    </w:p>
    <w:tbl>
      <w:tblPr>
        <w:tblStyle w:val="4"/>
        <w:tblW w:w="928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57"/>
        <w:gridCol w:w="1857"/>
        <w:gridCol w:w="1858"/>
        <w:gridCol w:w="1858"/>
        <w:gridCol w:w="1858"/>
      </w:tblGrid>
      <w:tr w14:paraId="14CB79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1857" w:type="dxa"/>
            <w:tcBorders>
              <w:left w:val="nil"/>
            </w:tcBorders>
          </w:tcPr>
          <w:p w14:paraId="4428744D">
            <w:pPr>
              <w:spacing w:before="56" w:line="225" w:lineRule="auto"/>
              <w:ind w:left="318"/>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环境风险潜</w:t>
            </w:r>
            <w:r>
              <w:rPr>
                <w:rFonts w:ascii="宋体" w:hAnsi="宋体" w:eastAsia="宋体" w:cs="宋体"/>
                <w:spacing w:val="5"/>
                <w:sz w:val="20"/>
                <w:szCs w:val="20"/>
                <w14:textOutline w14:w="3797" w14:cap="sq" w14:cmpd="sng" w14:algn="ctr">
                  <w14:solidFill>
                    <w14:srgbClr w14:val="000000"/>
                  </w14:solidFill>
                  <w14:prstDash w14:val="solid"/>
                  <w14:bevel/>
                </w14:textOutline>
              </w:rPr>
              <w:t>势</w:t>
            </w:r>
          </w:p>
        </w:tc>
        <w:tc>
          <w:tcPr>
            <w:tcW w:w="1857" w:type="dxa"/>
          </w:tcPr>
          <w:p w14:paraId="5F029359">
            <w:pPr>
              <w:spacing w:before="23" w:line="277" w:lineRule="exact"/>
              <w:ind w:left="593"/>
              <w:rPr>
                <w:rFonts w:ascii="Times New Roman" w:hAnsi="Times New Roman" w:eastAsia="Times New Roman" w:cs="Times New Roman"/>
                <w:sz w:val="13"/>
                <w:szCs w:val="13"/>
              </w:rPr>
            </w:pPr>
            <w:r>
              <w:rPr>
                <w:rFonts w:ascii="宋体" w:hAnsi="宋体" w:eastAsia="宋体" w:cs="宋体"/>
                <w:spacing w:val="3"/>
                <w:position w:val="1"/>
                <w:sz w:val="20"/>
                <w:szCs w:val="20"/>
              </w:rPr>
              <w:t>Ⅳ</w:t>
            </w:r>
            <w:r>
              <w:rPr>
                <w:rFonts w:ascii="宋体" w:hAnsi="宋体" w:eastAsia="宋体" w:cs="宋体"/>
                <w:spacing w:val="2"/>
                <w:position w:val="1"/>
                <w:sz w:val="20"/>
                <w:szCs w:val="20"/>
              </w:rPr>
              <w:t>、Ⅳ</w:t>
            </w:r>
            <w:r>
              <w:rPr>
                <w:rFonts w:ascii="Times New Roman" w:hAnsi="Times New Roman" w:eastAsia="Times New Roman" w:cs="Times New Roman"/>
                <w:spacing w:val="2"/>
                <w:position w:val="7"/>
                <w:sz w:val="13"/>
                <w:szCs w:val="13"/>
              </w:rPr>
              <w:t>+</w:t>
            </w:r>
          </w:p>
        </w:tc>
        <w:tc>
          <w:tcPr>
            <w:tcW w:w="1858" w:type="dxa"/>
          </w:tcPr>
          <w:p w14:paraId="00DBB453">
            <w:pPr>
              <w:spacing w:before="56" w:line="225" w:lineRule="auto"/>
              <w:ind w:left="829"/>
              <w:rPr>
                <w:rFonts w:ascii="宋体" w:hAnsi="宋体" w:eastAsia="宋体" w:cs="宋体"/>
                <w:sz w:val="20"/>
                <w:szCs w:val="20"/>
              </w:rPr>
            </w:pPr>
            <w:r>
              <w:rPr>
                <w:rFonts w:ascii="宋体" w:hAnsi="宋体" w:eastAsia="宋体" w:cs="宋体"/>
                <w:spacing w:val="1"/>
                <w:sz w:val="20"/>
                <w:szCs w:val="20"/>
              </w:rPr>
              <w:t>Ⅲ</w:t>
            </w:r>
          </w:p>
        </w:tc>
        <w:tc>
          <w:tcPr>
            <w:tcW w:w="1858" w:type="dxa"/>
          </w:tcPr>
          <w:p w14:paraId="07A1725A">
            <w:pPr>
              <w:spacing w:before="56" w:line="225" w:lineRule="auto"/>
              <w:ind w:left="866"/>
              <w:rPr>
                <w:rFonts w:ascii="宋体" w:hAnsi="宋体" w:eastAsia="宋体" w:cs="宋体"/>
                <w:sz w:val="20"/>
                <w:szCs w:val="20"/>
              </w:rPr>
            </w:pPr>
            <w:r>
              <w:rPr>
                <w:rFonts w:ascii="宋体" w:hAnsi="宋体" w:eastAsia="宋体" w:cs="宋体"/>
                <w:sz w:val="20"/>
                <w:szCs w:val="20"/>
              </w:rPr>
              <w:t>Ⅱ</w:t>
            </w:r>
          </w:p>
        </w:tc>
        <w:tc>
          <w:tcPr>
            <w:tcW w:w="1858" w:type="dxa"/>
            <w:tcBorders>
              <w:right w:val="nil"/>
            </w:tcBorders>
            <w:shd w:val="clear" w:color="auto" w:fill="BEBEBE"/>
          </w:tcPr>
          <w:p w14:paraId="57ACA1E4">
            <w:pPr>
              <w:spacing w:before="56" w:line="225" w:lineRule="auto"/>
              <w:ind w:left="897"/>
              <w:rPr>
                <w:rFonts w:ascii="宋体" w:hAnsi="宋体" w:eastAsia="宋体" w:cs="宋体"/>
                <w:sz w:val="20"/>
                <w:szCs w:val="20"/>
              </w:rPr>
            </w:pPr>
            <w:r>
              <w:rPr>
                <w:rFonts w:ascii="宋体" w:hAnsi="宋体" w:eastAsia="宋体" w:cs="宋体"/>
                <w:sz w:val="20"/>
                <w:szCs w:val="20"/>
              </w:rPr>
              <w:t>Ⅰ</w:t>
            </w:r>
          </w:p>
        </w:tc>
      </w:tr>
      <w:tr w14:paraId="71AC2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857" w:type="dxa"/>
            <w:tcBorders>
              <w:left w:val="nil"/>
            </w:tcBorders>
          </w:tcPr>
          <w:p w14:paraId="5D0DEC58">
            <w:pPr>
              <w:spacing w:before="56" w:line="226" w:lineRule="auto"/>
              <w:ind w:left="31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评价工作等级</w:t>
            </w:r>
          </w:p>
        </w:tc>
        <w:tc>
          <w:tcPr>
            <w:tcW w:w="1857" w:type="dxa"/>
          </w:tcPr>
          <w:p w14:paraId="7A30D17E">
            <w:pPr>
              <w:spacing w:before="134" w:line="168" w:lineRule="exact"/>
              <w:ind w:left="833"/>
              <w:rPr>
                <w:rFonts w:ascii="宋体" w:hAnsi="宋体" w:eastAsia="宋体" w:cs="宋体"/>
                <w:sz w:val="10"/>
                <w:szCs w:val="10"/>
              </w:rPr>
            </w:pPr>
            <w:r>
              <w:rPr>
                <w:rFonts w:ascii="宋体" w:hAnsi="宋体" w:eastAsia="宋体" w:cs="宋体"/>
                <w:spacing w:val="97"/>
                <w:position w:val="1"/>
                <w:sz w:val="10"/>
                <w:szCs w:val="10"/>
              </w:rPr>
              <w:t>一</w:t>
            </w:r>
          </w:p>
        </w:tc>
        <w:tc>
          <w:tcPr>
            <w:tcW w:w="1858" w:type="dxa"/>
          </w:tcPr>
          <w:p w14:paraId="3DE1D3B2">
            <w:pPr>
              <w:spacing w:before="95" w:line="189" w:lineRule="auto"/>
              <w:ind w:left="834"/>
              <w:rPr>
                <w:rFonts w:ascii="宋体" w:hAnsi="宋体" w:eastAsia="宋体" w:cs="宋体"/>
                <w:sz w:val="20"/>
                <w:szCs w:val="20"/>
              </w:rPr>
            </w:pPr>
            <w:r>
              <w:rPr>
                <w:rFonts w:ascii="宋体" w:hAnsi="宋体" w:eastAsia="宋体" w:cs="宋体"/>
                <w:sz w:val="20"/>
                <w:szCs w:val="20"/>
              </w:rPr>
              <w:t>二</w:t>
            </w:r>
          </w:p>
        </w:tc>
        <w:tc>
          <w:tcPr>
            <w:tcW w:w="1858" w:type="dxa"/>
          </w:tcPr>
          <w:p w14:paraId="1B83367F">
            <w:pPr>
              <w:spacing w:before="55" w:line="266" w:lineRule="exact"/>
              <w:ind w:left="830"/>
              <w:rPr>
                <w:rFonts w:ascii="宋体" w:hAnsi="宋体" w:eastAsia="宋体" w:cs="宋体"/>
                <w:sz w:val="20"/>
                <w:szCs w:val="20"/>
              </w:rPr>
            </w:pPr>
            <w:r>
              <w:rPr>
                <w:rFonts w:ascii="宋体" w:hAnsi="宋体" w:eastAsia="宋体" w:cs="宋体"/>
                <w:position w:val="1"/>
                <w:sz w:val="20"/>
                <w:szCs w:val="20"/>
              </w:rPr>
              <w:t>三</w:t>
            </w:r>
          </w:p>
        </w:tc>
        <w:tc>
          <w:tcPr>
            <w:tcW w:w="1858" w:type="dxa"/>
            <w:tcBorders>
              <w:right w:val="nil"/>
            </w:tcBorders>
            <w:shd w:val="clear" w:color="auto" w:fill="BEBEBE"/>
          </w:tcPr>
          <w:p w14:paraId="13CE7005">
            <w:pPr>
              <w:spacing w:before="55" w:line="227" w:lineRule="auto"/>
              <w:ind w:left="471"/>
              <w:rPr>
                <w:rFonts w:ascii="Times New Roman" w:hAnsi="Times New Roman" w:eastAsia="Times New Roman" w:cs="Times New Roman"/>
                <w:sz w:val="13"/>
                <w:szCs w:val="13"/>
              </w:rPr>
            </w:pPr>
            <w:r>
              <w:rPr>
                <w:rFonts w:ascii="宋体" w:hAnsi="宋体" w:eastAsia="宋体" w:cs="宋体"/>
                <w:spacing w:val="-7"/>
                <w:sz w:val="20"/>
                <w:szCs w:val="20"/>
              </w:rPr>
              <w:t>简</w:t>
            </w:r>
            <w:r>
              <w:rPr>
                <w:rFonts w:ascii="宋体" w:hAnsi="宋体" w:eastAsia="宋体" w:cs="宋体"/>
                <w:spacing w:val="-5"/>
                <w:sz w:val="20"/>
                <w:szCs w:val="20"/>
              </w:rPr>
              <w:t xml:space="preserve">单分析 </w:t>
            </w:r>
            <w:r>
              <w:rPr>
                <w:rFonts w:ascii="Times New Roman" w:hAnsi="Times New Roman" w:eastAsia="Times New Roman" w:cs="Times New Roman"/>
                <w:spacing w:val="-5"/>
                <w:position w:val="6"/>
                <w:sz w:val="13"/>
                <w:szCs w:val="13"/>
              </w:rPr>
              <w:t>a</w:t>
            </w:r>
          </w:p>
        </w:tc>
      </w:tr>
    </w:tbl>
    <w:p w14:paraId="74627F73">
      <w:pPr>
        <w:spacing w:before="30" w:line="237" w:lineRule="auto"/>
        <w:ind w:left="117" w:right="199" w:hanging="4"/>
        <w:rPr>
          <w:rFonts w:ascii="宋体" w:hAnsi="宋体" w:eastAsia="宋体" w:cs="宋体"/>
          <w:sz w:val="20"/>
          <w:szCs w:val="20"/>
        </w:rPr>
      </w:pPr>
      <w:r>
        <w:rPr>
          <w:rFonts w:ascii="Times New Roman" w:hAnsi="Times New Roman" w:eastAsia="Times New Roman" w:cs="Times New Roman"/>
          <w:position w:val="6"/>
          <w:sz w:val="13"/>
          <w:szCs w:val="13"/>
        </w:rPr>
        <w:t>a</w:t>
      </w:r>
      <w:r>
        <w:rPr>
          <w:rFonts w:ascii="Times New Roman" w:hAnsi="Times New Roman" w:eastAsia="Times New Roman" w:cs="Times New Roman"/>
          <w:spacing w:val="10"/>
          <w:position w:val="6"/>
          <w:sz w:val="13"/>
          <w:szCs w:val="13"/>
        </w:rPr>
        <w:t xml:space="preserve">  </w:t>
      </w:r>
      <w:r>
        <w:rPr>
          <w:rFonts w:ascii="宋体" w:hAnsi="宋体" w:eastAsia="宋体" w:cs="宋体"/>
          <w:spacing w:val="10"/>
          <w:sz w:val="20"/>
          <w:szCs w:val="20"/>
        </w:rPr>
        <w:t>是相对</w:t>
      </w:r>
      <w:r>
        <w:rPr>
          <w:rFonts w:ascii="宋体" w:hAnsi="宋体" w:eastAsia="宋体" w:cs="宋体"/>
          <w:spacing w:val="8"/>
          <w:sz w:val="20"/>
          <w:szCs w:val="20"/>
        </w:rPr>
        <w:t>于</w:t>
      </w:r>
      <w:r>
        <w:rPr>
          <w:rFonts w:ascii="宋体" w:hAnsi="宋体" w:eastAsia="宋体" w:cs="宋体"/>
          <w:spacing w:val="5"/>
          <w:sz w:val="20"/>
          <w:szCs w:val="20"/>
        </w:rPr>
        <w:t>详细评价工作内容而言，在描述危险物质、环境影响途径、环境危害后果、风险防范措施</w:t>
      </w:r>
      <w:r>
        <w:rPr>
          <w:rFonts w:ascii="宋体" w:hAnsi="宋体" w:eastAsia="宋体" w:cs="宋体"/>
          <w:sz w:val="20"/>
          <w:szCs w:val="20"/>
        </w:rPr>
        <w:t xml:space="preserve"> </w:t>
      </w:r>
      <w:r>
        <w:rPr>
          <w:rFonts w:ascii="宋体" w:hAnsi="宋体" w:eastAsia="宋体" w:cs="宋体"/>
          <w:spacing w:val="8"/>
          <w:sz w:val="20"/>
          <w:szCs w:val="20"/>
        </w:rPr>
        <w:t>等</w:t>
      </w:r>
      <w:r>
        <w:rPr>
          <w:rFonts w:ascii="宋体" w:hAnsi="宋体" w:eastAsia="宋体" w:cs="宋体"/>
          <w:spacing w:val="7"/>
          <w:sz w:val="20"/>
          <w:szCs w:val="20"/>
        </w:rPr>
        <w:t>方</w:t>
      </w:r>
      <w:r>
        <w:rPr>
          <w:rFonts w:ascii="宋体" w:hAnsi="宋体" w:eastAsia="宋体" w:cs="宋体"/>
          <w:spacing w:val="4"/>
          <w:sz w:val="20"/>
          <w:szCs w:val="20"/>
        </w:rPr>
        <w:t>面给出定性的说明。</w:t>
      </w:r>
    </w:p>
    <w:p w14:paraId="01C0504C">
      <w:pPr>
        <w:spacing w:line="29" w:lineRule="exact"/>
        <w:textAlignment w:val="center"/>
      </w:pPr>
      <w:r>
        <w:pict>
          <v:shape id="_x0000_s2139" o:spid="_x0000_s2139" style="height:1.45pt;width:464.4pt;" filled="f" coordsize="9287,29" path="m0,14l9287,14e">
            <v:fill on="f" focussize="0,0"/>
            <v:stroke weight="1.44pt" miterlimit="2" joinstyle="bevel"/>
            <v:imagedata o:title=""/>
            <o:lock v:ext="edit"/>
            <w10:wrap type="none"/>
            <w10:anchorlock/>
          </v:shape>
        </w:pict>
      </w:r>
    </w:p>
    <w:p w14:paraId="49D52E47">
      <w:pPr>
        <w:spacing w:before="156" w:line="226" w:lineRule="auto"/>
        <w:ind w:left="598"/>
        <w:rPr>
          <w:rFonts w:ascii="宋体" w:hAnsi="宋体" w:eastAsia="宋体" w:cs="宋体"/>
          <w:sz w:val="23"/>
          <w:szCs w:val="23"/>
        </w:rPr>
      </w:pPr>
      <w:r>
        <w:rPr>
          <w:rFonts w:ascii="宋体" w:hAnsi="宋体" w:eastAsia="宋体" w:cs="宋体"/>
          <w:spacing w:val="9"/>
          <w:sz w:val="23"/>
          <w:szCs w:val="23"/>
        </w:rPr>
        <w:t>确定本项目环境风险等级为简单评价</w:t>
      </w:r>
      <w:r>
        <w:rPr>
          <w:rFonts w:ascii="宋体" w:hAnsi="宋体" w:eastAsia="宋体" w:cs="宋体"/>
          <w:spacing w:val="6"/>
          <w:sz w:val="23"/>
          <w:szCs w:val="23"/>
        </w:rPr>
        <w:t>。</w:t>
      </w:r>
    </w:p>
    <w:p w14:paraId="125D3C41">
      <w:pPr>
        <w:spacing w:before="192" w:line="220" w:lineRule="auto"/>
        <w:ind w:left="127"/>
        <w:outlineLvl w:val="1"/>
        <w:rPr>
          <w:rFonts w:ascii="宋体" w:hAnsi="宋体" w:eastAsia="宋体" w:cs="宋体"/>
          <w:sz w:val="28"/>
          <w:szCs w:val="28"/>
        </w:rPr>
      </w:pPr>
      <w:bookmarkStart w:id="12" w:name="_bookmark13"/>
      <w:bookmarkEnd w:id="12"/>
      <w:r>
        <w:rPr>
          <w:rFonts w:ascii="Times New Roman" w:hAnsi="Times New Roman" w:eastAsia="Times New Roman" w:cs="Times New Roman"/>
          <w:b/>
          <w:bCs/>
          <w:spacing w:val="-1"/>
          <w:sz w:val="28"/>
          <w:szCs w:val="28"/>
        </w:rPr>
        <w:t>1.6</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产业政策及相关规划符合性分析</w:t>
      </w:r>
    </w:p>
    <w:p w14:paraId="1DDD47A8">
      <w:pPr>
        <w:spacing w:before="206" w:line="227" w:lineRule="auto"/>
        <w:ind w:left="124"/>
        <w:outlineLvl w:val="2"/>
        <w:rPr>
          <w:rFonts w:ascii="宋体" w:hAnsi="宋体" w:eastAsia="宋体" w:cs="宋体"/>
          <w:sz w:val="23"/>
          <w:szCs w:val="23"/>
        </w:rPr>
      </w:pPr>
      <w:r>
        <w:rPr>
          <w:rFonts w:ascii="Times New Roman" w:hAnsi="Times New Roman" w:eastAsia="Times New Roman" w:cs="Times New Roman"/>
          <w:b/>
          <w:bCs/>
          <w:spacing w:val="12"/>
          <w:sz w:val="23"/>
          <w:szCs w:val="23"/>
        </w:rPr>
        <w:t>1</w:t>
      </w:r>
      <w:r>
        <w:rPr>
          <w:rFonts w:ascii="Times New Roman" w:hAnsi="Times New Roman" w:eastAsia="Times New Roman" w:cs="Times New Roman"/>
          <w:b/>
          <w:bCs/>
          <w:spacing w:val="10"/>
          <w:sz w:val="23"/>
          <w:szCs w:val="23"/>
        </w:rPr>
        <w:t>.</w:t>
      </w:r>
      <w:r>
        <w:rPr>
          <w:rFonts w:ascii="Times New Roman" w:hAnsi="Times New Roman" w:eastAsia="Times New Roman" w:cs="Times New Roman"/>
          <w:b/>
          <w:bCs/>
          <w:spacing w:val="6"/>
          <w:sz w:val="23"/>
          <w:szCs w:val="23"/>
        </w:rPr>
        <w:t>6.1</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产业政策符合性分析</w:t>
      </w:r>
    </w:p>
    <w:p w14:paraId="4D12BACB">
      <w:pPr>
        <w:tabs>
          <w:tab w:val="left" w:pos="243"/>
        </w:tabs>
        <w:spacing w:before="182" w:line="375" w:lineRule="auto"/>
        <w:ind w:left="119" w:right="499" w:firstLine="494"/>
        <w:rPr>
          <w:rFonts w:ascii="宋体" w:hAnsi="宋体" w:eastAsia="宋体" w:cs="宋体"/>
          <w:sz w:val="23"/>
          <w:szCs w:val="23"/>
        </w:rPr>
      </w:pPr>
      <w:r>
        <w:rPr>
          <w:rFonts w:ascii="宋体" w:hAnsi="宋体" w:eastAsia="宋体" w:cs="宋体"/>
          <w:spacing w:val="26"/>
          <w:sz w:val="23"/>
          <w:szCs w:val="23"/>
        </w:rPr>
        <w:t>本</w:t>
      </w:r>
      <w:r>
        <w:rPr>
          <w:rFonts w:ascii="宋体" w:hAnsi="宋体" w:eastAsia="宋体" w:cs="宋体"/>
          <w:spacing w:val="21"/>
          <w:sz w:val="23"/>
          <w:szCs w:val="23"/>
        </w:rPr>
        <w:t>项目为生猪标准化规模养殖建设项 目，根据《国民经济行业分类与代码</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17"/>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14"/>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14"/>
          <w:sz w:val="23"/>
          <w:szCs w:val="23"/>
        </w:rPr>
        <w:t>4754-2017</w:t>
      </w:r>
      <w:r>
        <w:rPr>
          <w:rFonts w:ascii="宋体" w:hAnsi="宋体" w:eastAsia="宋体" w:cs="宋体"/>
          <w:spacing w:val="14"/>
          <w:sz w:val="23"/>
          <w:szCs w:val="23"/>
        </w:rPr>
        <w:t xml:space="preserve">) 》，项目属于 </w:t>
      </w:r>
      <w:r>
        <w:rPr>
          <w:rFonts w:ascii="Times New Roman" w:hAnsi="Times New Roman" w:eastAsia="Times New Roman" w:cs="Times New Roman"/>
          <w:sz w:val="23"/>
          <w:szCs w:val="23"/>
        </w:rPr>
        <w:t>A</w:t>
      </w:r>
      <w:r>
        <w:rPr>
          <w:rFonts w:ascii="Times New Roman" w:hAnsi="Times New Roman" w:eastAsia="Times New Roman" w:cs="Times New Roman"/>
          <w:spacing w:val="14"/>
          <w:sz w:val="23"/>
          <w:szCs w:val="23"/>
        </w:rPr>
        <w:t xml:space="preserve">0313 </w:t>
      </w:r>
      <w:r>
        <w:rPr>
          <w:rFonts w:ascii="宋体" w:hAnsi="宋体" w:eastAsia="宋体" w:cs="宋体"/>
          <w:spacing w:val="14"/>
          <w:sz w:val="23"/>
          <w:szCs w:val="23"/>
        </w:rPr>
        <w:t>猪的饲养，为《产业结构调整指导目录</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18"/>
          <w:sz w:val="23"/>
          <w:szCs w:val="23"/>
        </w:rPr>
        <w:t>(</w:t>
      </w:r>
      <w:r>
        <w:rPr>
          <w:rFonts w:ascii="Times New Roman" w:hAnsi="Times New Roman" w:eastAsia="Times New Roman" w:cs="Times New Roman"/>
          <w:spacing w:val="18"/>
          <w:sz w:val="23"/>
          <w:szCs w:val="23"/>
        </w:rPr>
        <w:t>20</w:t>
      </w:r>
      <w:r>
        <w:rPr>
          <w:rFonts w:ascii="Times New Roman" w:hAnsi="Times New Roman" w:eastAsia="Times New Roman" w:cs="Times New Roman"/>
          <w:spacing w:val="9"/>
          <w:sz w:val="23"/>
          <w:szCs w:val="23"/>
        </w:rPr>
        <w:t xml:space="preserve">11 </w:t>
      </w:r>
      <w:r>
        <w:rPr>
          <w:rFonts w:ascii="宋体" w:hAnsi="宋体" w:eastAsia="宋体" w:cs="宋体"/>
          <w:spacing w:val="9"/>
          <w:sz w:val="23"/>
          <w:szCs w:val="23"/>
        </w:rPr>
        <w:t>年本) 》  (</w:t>
      </w:r>
      <w:r>
        <w:rPr>
          <w:rFonts w:ascii="Times New Roman" w:hAnsi="Times New Roman" w:eastAsia="Times New Roman" w:cs="Times New Roman"/>
          <w:spacing w:val="9"/>
          <w:sz w:val="23"/>
          <w:szCs w:val="23"/>
        </w:rPr>
        <w:t xml:space="preserve">2013 </w:t>
      </w:r>
      <w:r>
        <w:rPr>
          <w:rFonts w:ascii="宋体" w:hAnsi="宋体" w:eastAsia="宋体" w:cs="宋体"/>
          <w:spacing w:val="9"/>
          <w:sz w:val="23"/>
          <w:szCs w:val="23"/>
        </w:rPr>
        <w:t>年修订) 中的第一类</w:t>
      </w:r>
      <w:r>
        <w:rPr>
          <w:rFonts w:ascii="宋体" w:hAnsi="宋体" w:eastAsia="宋体" w:cs="宋体"/>
          <w:spacing w:val="9"/>
          <w:sz w:val="23"/>
          <w:szCs w:val="23"/>
          <w14:textOutline w14:w="4356" w14:cap="sq" w14:cmpd="sng" w14:algn="ctr">
            <w14:solidFill>
              <w14:srgbClr w14:val="000000"/>
            </w14:solidFill>
            <w14:prstDash w14:val="solid"/>
            <w14:bevel/>
          </w14:textOutline>
        </w:rPr>
        <w:t>鼓励类</w:t>
      </w:r>
      <w:r>
        <w:rPr>
          <w:rFonts w:ascii="宋体" w:hAnsi="宋体" w:eastAsia="宋体" w:cs="宋体"/>
          <w:spacing w:val="9"/>
          <w:sz w:val="23"/>
          <w:szCs w:val="23"/>
        </w:rPr>
        <w:t xml:space="preserve"> 一、农林业中的</w:t>
      </w:r>
      <w:r>
        <w:rPr>
          <w:rFonts w:ascii="Times New Roman" w:hAnsi="Times New Roman" w:eastAsia="Times New Roman" w:cs="Times New Roman"/>
          <w:spacing w:val="9"/>
          <w:sz w:val="23"/>
          <w:szCs w:val="23"/>
        </w:rPr>
        <w:t xml:space="preserve">“5 </w:t>
      </w:r>
      <w:r>
        <w:rPr>
          <w:rFonts w:ascii="宋体" w:hAnsi="宋体" w:eastAsia="宋体" w:cs="宋体"/>
          <w:spacing w:val="9"/>
          <w:sz w:val="23"/>
          <w:szCs w:val="23"/>
        </w:rPr>
        <w:t>、畜禽标</w:t>
      </w:r>
      <w:r>
        <w:rPr>
          <w:rFonts w:ascii="宋体" w:hAnsi="宋体" w:eastAsia="宋体" w:cs="宋体"/>
          <w:sz w:val="23"/>
          <w:szCs w:val="23"/>
        </w:rPr>
        <w:t xml:space="preserve"> </w:t>
      </w:r>
      <w:r>
        <w:rPr>
          <w:rFonts w:ascii="宋体" w:hAnsi="宋体" w:eastAsia="宋体" w:cs="宋体"/>
          <w:spacing w:val="24"/>
          <w:sz w:val="23"/>
          <w:szCs w:val="23"/>
        </w:rPr>
        <w:t>准</w:t>
      </w:r>
      <w:r>
        <w:rPr>
          <w:rFonts w:ascii="宋体" w:hAnsi="宋体" w:eastAsia="宋体" w:cs="宋体"/>
          <w:spacing w:val="16"/>
          <w:sz w:val="23"/>
          <w:szCs w:val="23"/>
        </w:rPr>
        <w:t>化</w:t>
      </w:r>
      <w:r>
        <w:rPr>
          <w:rFonts w:ascii="宋体" w:hAnsi="宋体" w:eastAsia="宋体" w:cs="宋体"/>
          <w:spacing w:val="12"/>
          <w:sz w:val="23"/>
          <w:szCs w:val="23"/>
        </w:rPr>
        <w:t>规模养殖技术开发与应用</w:t>
      </w:r>
      <w:r>
        <w:rPr>
          <w:rFonts w:ascii="Times New Roman" w:hAnsi="Times New Roman" w:eastAsia="Times New Roman" w:cs="Times New Roman"/>
          <w:spacing w:val="12"/>
          <w:sz w:val="23"/>
          <w:szCs w:val="23"/>
        </w:rPr>
        <w:t xml:space="preserve">” </w:t>
      </w:r>
      <w:r>
        <w:rPr>
          <w:rFonts w:ascii="宋体" w:hAnsi="宋体" w:eastAsia="宋体" w:cs="宋体"/>
          <w:spacing w:val="12"/>
          <w:sz w:val="23"/>
          <w:szCs w:val="23"/>
        </w:rPr>
        <w:t>，为国家鼓励类项目，不属于限制类或淘汰类，符</w:t>
      </w:r>
      <w:r>
        <w:rPr>
          <w:rFonts w:ascii="宋体" w:hAnsi="宋体" w:eastAsia="宋体" w:cs="宋体"/>
          <w:sz w:val="23"/>
          <w:szCs w:val="23"/>
        </w:rPr>
        <w:t xml:space="preserve"> </w:t>
      </w:r>
      <w:r>
        <w:rPr>
          <w:rFonts w:ascii="宋体" w:hAnsi="宋体" w:eastAsia="宋体" w:cs="宋体"/>
          <w:spacing w:val="21"/>
          <w:sz w:val="23"/>
          <w:szCs w:val="23"/>
        </w:rPr>
        <w:t>合</w:t>
      </w:r>
      <w:r>
        <w:rPr>
          <w:rFonts w:ascii="宋体" w:hAnsi="宋体" w:eastAsia="宋体" w:cs="宋体"/>
          <w:spacing w:val="14"/>
          <w:sz w:val="23"/>
          <w:szCs w:val="23"/>
        </w:rPr>
        <w:t>国家产业政策的要求。</w:t>
      </w:r>
    </w:p>
    <w:p w14:paraId="6294D184">
      <w:pPr>
        <w:spacing w:before="1" w:line="374" w:lineRule="auto"/>
        <w:ind w:left="121" w:right="494" w:firstLine="500"/>
        <w:rPr>
          <w:rFonts w:ascii="宋体" w:hAnsi="宋体" w:eastAsia="宋体" w:cs="宋体"/>
          <w:sz w:val="23"/>
          <w:szCs w:val="23"/>
        </w:rPr>
      </w:pPr>
      <w:r>
        <w:rPr>
          <w:rFonts w:ascii="宋体" w:hAnsi="宋体" w:eastAsia="宋体" w:cs="宋体"/>
          <w:spacing w:val="10"/>
          <w:sz w:val="23"/>
          <w:szCs w:val="23"/>
        </w:rPr>
        <w:t>同时，</w:t>
      </w:r>
      <w:r>
        <w:rPr>
          <w:rFonts w:ascii="Times New Roman" w:hAnsi="Times New Roman" w:eastAsia="Times New Roman" w:cs="Times New Roman"/>
          <w:spacing w:val="10"/>
          <w:sz w:val="23"/>
          <w:szCs w:val="23"/>
        </w:rPr>
        <w:t>20</w:t>
      </w:r>
      <w:r>
        <w:rPr>
          <w:rFonts w:ascii="Times New Roman" w:hAnsi="Times New Roman" w:eastAsia="Times New Roman" w:cs="Times New Roman"/>
          <w:spacing w:val="7"/>
          <w:sz w:val="23"/>
          <w:szCs w:val="23"/>
        </w:rPr>
        <w:t>1</w:t>
      </w:r>
      <w:r>
        <w:rPr>
          <w:rFonts w:ascii="Times New Roman" w:hAnsi="Times New Roman" w:eastAsia="Times New Roman" w:cs="Times New Roman"/>
          <w:spacing w:val="5"/>
          <w:sz w:val="23"/>
          <w:szCs w:val="23"/>
        </w:rPr>
        <w:t xml:space="preserve">9 </w:t>
      </w:r>
      <w:r>
        <w:rPr>
          <w:rFonts w:ascii="宋体" w:hAnsi="宋体" w:eastAsia="宋体" w:cs="宋体"/>
          <w:spacing w:val="5"/>
          <w:sz w:val="23"/>
          <w:szCs w:val="23"/>
        </w:rPr>
        <w:t xml:space="preserve">年 </w:t>
      </w:r>
      <w:r>
        <w:rPr>
          <w:rFonts w:ascii="Times New Roman" w:hAnsi="Times New Roman" w:eastAsia="Times New Roman" w:cs="Times New Roman"/>
          <w:spacing w:val="5"/>
          <w:sz w:val="23"/>
          <w:szCs w:val="23"/>
        </w:rPr>
        <w:t xml:space="preserve">5 </w:t>
      </w:r>
      <w:r>
        <w:rPr>
          <w:rFonts w:ascii="宋体" w:hAnsi="宋体" w:eastAsia="宋体" w:cs="宋体"/>
          <w:spacing w:val="5"/>
          <w:sz w:val="23"/>
          <w:szCs w:val="23"/>
        </w:rPr>
        <w:t xml:space="preserve">月 </w:t>
      </w:r>
      <w:r>
        <w:rPr>
          <w:rFonts w:ascii="Times New Roman" w:hAnsi="Times New Roman" w:eastAsia="Times New Roman" w:cs="Times New Roman"/>
          <w:spacing w:val="5"/>
          <w:sz w:val="23"/>
          <w:szCs w:val="23"/>
        </w:rPr>
        <w:t xml:space="preserve">28  </w:t>
      </w:r>
      <w:r>
        <w:rPr>
          <w:rFonts w:ascii="宋体" w:hAnsi="宋体" w:eastAsia="宋体" w:cs="宋体"/>
          <w:spacing w:val="5"/>
          <w:sz w:val="23"/>
          <w:szCs w:val="23"/>
        </w:rPr>
        <w:t>日井研县发展和改革局同意项目备案，备案文号为：川</w:t>
      </w:r>
      <w:r>
        <w:rPr>
          <w:rFonts w:ascii="宋体" w:hAnsi="宋体" w:eastAsia="宋体" w:cs="宋体"/>
          <w:sz w:val="23"/>
          <w:szCs w:val="23"/>
        </w:rPr>
        <w:t xml:space="preserve"> </w:t>
      </w:r>
      <w:r>
        <w:rPr>
          <w:rFonts w:ascii="宋体" w:hAnsi="宋体" w:eastAsia="宋体" w:cs="宋体"/>
          <w:spacing w:val="10"/>
          <w:sz w:val="23"/>
          <w:szCs w:val="23"/>
        </w:rPr>
        <w:t>投</w:t>
      </w:r>
      <w:r>
        <w:rPr>
          <w:rFonts w:ascii="宋体" w:hAnsi="宋体" w:eastAsia="宋体" w:cs="宋体"/>
          <w:spacing w:val="8"/>
          <w:sz w:val="23"/>
          <w:szCs w:val="23"/>
        </w:rPr>
        <w:t>资</w:t>
      </w:r>
      <w:r>
        <w:rPr>
          <w:rFonts w:ascii="宋体" w:hAnsi="宋体" w:eastAsia="宋体" w:cs="宋体"/>
          <w:spacing w:val="5"/>
          <w:sz w:val="23"/>
          <w:szCs w:val="23"/>
        </w:rPr>
        <w:t>备【</w:t>
      </w:r>
      <w:r>
        <w:rPr>
          <w:rFonts w:ascii="Times New Roman" w:hAnsi="Times New Roman" w:eastAsia="Times New Roman" w:cs="Times New Roman"/>
          <w:spacing w:val="5"/>
          <w:sz w:val="23"/>
          <w:szCs w:val="23"/>
        </w:rPr>
        <w:t>2019-511124-03-03-356213</w:t>
      </w:r>
      <w:r>
        <w:rPr>
          <w:rFonts w:ascii="宋体" w:hAnsi="宋体" w:eastAsia="宋体" w:cs="宋体"/>
          <w:spacing w:val="5"/>
          <w:sz w:val="23"/>
          <w:szCs w:val="23"/>
        </w:rPr>
        <w:t>】</w:t>
      </w:r>
      <w:r>
        <w:rPr>
          <w:rFonts w:ascii="Times New Roman" w:hAnsi="Times New Roman" w:eastAsia="Times New Roman" w:cs="Times New Roman"/>
          <w:sz w:val="23"/>
          <w:szCs w:val="23"/>
        </w:rPr>
        <w:t>FGQB</w:t>
      </w:r>
      <w:r>
        <w:rPr>
          <w:rFonts w:ascii="Times New Roman" w:hAnsi="Times New Roman" w:eastAsia="Times New Roman" w:cs="Times New Roman"/>
          <w:spacing w:val="5"/>
          <w:sz w:val="23"/>
          <w:szCs w:val="23"/>
        </w:rPr>
        <w:t xml:space="preserve">-0039 </w:t>
      </w:r>
      <w:r>
        <w:rPr>
          <w:rFonts w:ascii="宋体" w:hAnsi="宋体" w:eastAsia="宋体" w:cs="宋体"/>
          <w:spacing w:val="5"/>
          <w:sz w:val="23"/>
          <w:szCs w:val="23"/>
        </w:rPr>
        <w:t>号。</w:t>
      </w:r>
    </w:p>
    <w:p w14:paraId="023691A5">
      <w:pPr>
        <w:spacing w:before="1" w:line="230" w:lineRule="auto"/>
        <w:ind w:left="561"/>
        <w:rPr>
          <w:rFonts w:ascii="宋体" w:hAnsi="宋体" w:eastAsia="宋体" w:cs="宋体"/>
          <w:sz w:val="23"/>
          <w:szCs w:val="23"/>
        </w:rPr>
      </w:pPr>
      <w:r>
        <w:rPr>
          <w:rFonts w:ascii="宋体" w:hAnsi="宋体" w:eastAsia="宋体" w:cs="宋体"/>
          <w:spacing w:val="14"/>
          <w:sz w:val="23"/>
          <w:szCs w:val="23"/>
        </w:rPr>
        <w:t>因</w:t>
      </w:r>
      <w:r>
        <w:rPr>
          <w:rFonts w:ascii="宋体" w:hAnsi="宋体" w:eastAsia="宋体" w:cs="宋体"/>
          <w:spacing w:val="12"/>
          <w:sz w:val="23"/>
          <w:szCs w:val="23"/>
        </w:rPr>
        <w:t>此</w:t>
      </w:r>
      <w:r>
        <w:rPr>
          <w:rFonts w:ascii="宋体" w:hAnsi="宋体" w:eastAsia="宋体" w:cs="宋体"/>
          <w:spacing w:val="7"/>
          <w:sz w:val="23"/>
          <w:szCs w:val="23"/>
        </w:rPr>
        <w:t>，该项目符合国家现行产业政策。</w:t>
      </w:r>
    </w:p>
    <w:p w14:paraId="027E0E82">
      <w:pPr>
        <w:spacing w:before="179" w:line="227" w:lineRule="auto"/>
        <w:ind w:left="124"/>
        <w:outlineLvl w:val="2"/>
        <w:rPr>
          <w:rFonts w:ascii="宋体" w:hAnsi="宋体" w:eastAsia="宋体" w:cs="宋体"/>
          <w:sz w:val="23"/>
          <w:szCs w:val="23"/>
        </w:rPr>
      </w:pPr>
      <w:r>
        <w:rPr>
          <w:rFonts w:ascii="Times New Roman" w:hAnsi="Times New Roman" w:eastAsia="Times New Roman" w:cs="Times New Roman"/>
          <w:b/>
          <w:bCs/>
          <w:spacing w:val="12"/>
          <w:sz w:val="23"/>
          <w:szCs w:val="23"/>
        </w:rPr>
        <w:t>1</w:t>
      </w:r>
      <w:r>
        <w:rPr>
          <w:rFonts w:ascii="Times New Roman" w:hAnsi="Times New Roman" w:eastAsia="Times New Roman" w:cs="Times New Roman"/>
          <w:b/>
          <w:bCs/>
          <w:spacing w:val="7"/>
          <w:sz w:val="23"/>
          <w:szCs w:val="23"/>
        </w:rPr>
        <w:t>.6.2</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与国家相关规划符合性分析</w:t>
      </w:r>
    </w:p>
    <w:p w14:paraId="38FF411C">
      <w:pPr>
        <w:spacing w:before="139" w:line="388" w:lineRule="auto"/>
        <w:ind w:left="138" w:right="465" w:firstLine="415"/>
        <w:rPr>
          <w:rFonts w:ascii="宋体" w:hAnsi="宋体" w:eastAsia="宋体" w:cs="宋体"/>
          <w:sz w:val="23"/>
          <w:szCs w:val="23"/>
        </w:rPr>
      </w:pPr>
      <w:r>
        <w:rPr>
          <w:rFonts w:ascii="宋体" w:hAnsi="宋体" w:eastAsia="宋体" w:cs="宋体"/>
          <w:spacing w:val="8"/>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8"/>
          <w:sz w:val="23"/>
          <w:szCs w:val="23"/>
        </w:rPr>
        <w:t>1</w:t>
      </w:r>
      <w:r>
        <w:rPr>
          <w:rFonts w:ascii="宋体" w:hAnsi="宋体" w:eastAsia="宋体" w:cs="宋体"/>
          <w:spacing w:val="8"/>
          <w:sz w:val="23"/>
          <w:szCs w:val="23"/>
          <w14:textOutline w14:w="4356" w14:cap="sq" w14:cmpd="sng" w14:algn="ctr">
            <w14:solidFill>
              <w14:srgbClr w14:val="000000"/>
            </w14:solidFill>
            <w14:prstDash w14:val="solid"/>
            <w14:bevel/>
          </w14:textOutline>
        </w:rPr>
        <w:t>)</w:t>
      </w:r>
      <w:r>
        <w:rPr>
          <w:rFonts w:ascii="宋体" w:hAnsi="宋体" w:eastAsia="宋体" w:cs="宋体"/>
          <w:spacing w:val="8"/>
          <w:sz w:val="23"/>
          <w:szCs w:val="23"/>
        </w:rPr>
        <w:t xml:space="preserve"> </w:t>
      </w:r>
      <w:r>
        <w:rPr>
          <w:rFonts w:ascii="宋体" w:hAnsi="宋体" w:eastAsia="宋体" w:cs="宋体"/>
          <w:spacing w:val="7"/>
          <w:sz w:val="23"/>
          <w:szCs w:val="23"/>
        </w:rPr>
        <w:t xml:space="preserve"> </w:t>
      </w:r>
      <w:r>
        <w:rPr>
          <w:rFonts w:ascii="宋体" w:hAnsi="宋体" w:eastAsia="宋体" w:cs="宋体"/>
          <w:spacing w:val="4"/>
          <w:sz w:val="23"/>
          <w:szCs w:val="23"/>
          <w14:textOutline w14:w="4356" w14:cap="sq" w14:cmpd="sng" w14:algn="ctr">
            <w14:solidFill>
              <w14:srgbClr w14:val="000000"/>
            </w14:solidFill>
            <w14:prstDash w14:val="solid"/>
            <w14:bevel/>
          </w14:textOutline>
        </w:rPr>
        <w:t>《国务院关于促进畜牧业持续健康发展的意见》</w:t>
      </w:r>
      <w:r>
        <w:rPr>
          <w:rFonts w:ascii="宋体" w:hAnsi="宋体" w:eastAsia="宋体" w:cs="宋体"/>
          <w:spacing w:val="4"/>
          <w:sz w:val="23"/>
          <w:szCs w:val="23"/>
        </w:rPr>
        <w:t xml:space="preserve">  </w:t>
      </w:r>
      <w:r>
        <w:rPr>
          <w:rFonts w:ascii="宋体" w:hAnsi="宋体" w:eastAsia="宋体" w:cs="宋体"/>
          <w:spacing w:val="4"/>
          <w:sz w:val="23"/>
          <w:szCs w:val="23"/>
          <w14:textOutline w14:w="4356" w14:cap="sq" w14:cmpd="sng" w14:algn="ctr">
            <w14:solidFill>
              <w14:srgbClr w14:val="000000"/>
            </w14:solidFill>
            <w14:prstDash w14:val="solid"/>
            <w14:bevel/>
          </w14:textOutline>
        </w:rPr>
        <w:t>(国发</w:t>
      </w:r>
      <w:r>
        <w:rPr>
          <w:rFonts w:ascii="宋体" w:hAnsi="宋体" w:eastAsia="宋体" w:cs="宋体"/>
          <w:spacing w:val="4"/>
          <w:sz w:val="23"/>
          <w:szCs w:val="23"/>
        </w:rPr>
        <w:t xml:space="preserve"> </w:t>
      </w:r>
      <w:r>
        <w:rPr>
          <w:rFonts w:ascii="宋体" w:hAnsi="宋体" w:eastAsia="宋体" w:cs="宋体"/>
          <w:spacing w:val="4"/>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4"/>
          <w:sz w:val="23"/>
          <w:szCs w:val="23"/>
        </w:rPr>
        <w:t>2007]4</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14:textOutline w14:w="4356" w14:cap="sq" w14:cmpd="sng" w14:algn="ctr">
            <w14:solidFill>
              <w14:srgbClr w14:val="000000"/>
            </w14:solidFill>
            <w14:prstDash w14:val="solid"/>
            <w14:bevel/>
          </w14:textOutline>
        </w:rPr>
        <w:t>号)</w:t>
      </w:r>
      <w:r>
        <w:rPr>
          <w:rFonts w:ascii="宋体" w:hAnsi="宋体" w:eastAsia="宋体" w:cs="宋体"/>
          <w:spacing w:val="4"/>
          <w:sz w:val="23"/>
          <w:szCs w:val="23"/>
        </w:rPr>
        <w:t xml:space="preserve"> </w:t>
      </w:r>
      <w:r>
        <w:rPr>
          <w:rFonts w:ascii="宋体" w:hAnsi="宋体" w:eastAsia="宋体" w:cs="宋体"/>
          <w:spacing w:val="4"/>
          <w:sz w:val="23"/>
          <w:szCs w:val="23"/>
          <w14:textOutline w14:w="4356" w14:cap="sq" w14:cmpd="sng" w14:algn="ctr">
            <w14:solidFill>
              <w14:srgbClr w14:val="000000"/>
            </w14:solidFill>
            <w14:prstDash w14:val="solid"/>
            <w14:bevel/>
          </w14:textOutline>
        </w:rPr>
        <w:t>中指</w:t>
      </w:r>
      <w:r>
        <w:rPr>
          <w:rFonts w:ascii="宋体" w:hAnsi="宋体" w:eastAsia="宋体" w:cs="宋体"/>
          <w:sz w:val="23"/>
          <w:szCs w:val="23"/>
        </w:rPr>
        <w:t xml:space="preserve"> </w:t>
      </w:r>
      <w:r>
        <w:rPr>
          <w:rFonts w:ascii="宋体" w:hAnsi="宋体" w:eastAsia="宋体" w:cs="宋体"/>
          <w:spacing w:val="-10"/>
          <w:sz w:val="23"/>
          <w:szCs w:val="23"/>
          <w14:textOutline w14:w="4356" w14:cap="sq" w14:cmpd="sng" w14:algn="ctr">
            <w14:solidFill>
              <w14:srgbClr w14:val="000000"/>
            </w14:solidFill>
            <w14:prstDash w14:val="solid"/>
            <w14:bevel/>
          </w14:textOutline>
        </w:rPr>
        <w:t>出：</w:t>
      </w:r>
    </w:p>
    <w:p w14:paraId="33719C45">
      <w:pPr>
        <w:spacing w:before="14" w:line="378" w:lineRule="auto"/>
        <w:ind w:left="117" w:right="411" w:firstLine="373"/>
        <w:rPr>
          <w:rFonts w:ascii="Times New Roman" w:hAnsi="Times New Roman" w:eastAsia="Times New Roman" w:cs="Times New Roman"/>
          <w:sz w:val="23"/>
          <w:szCs w:val="23"/>
        </w:rPr>
      </w:pPr>
      <w:r>
        <w:rPr>
          <w:rFonts w:ascii="Times New Roman" w:hAnsi="Times New Roman" w:eastAsia="Times New Roman" w:cs="Times New Roman"/>
          <w:spacing w:val="12"/>
          <w:sz w:val="23"/>
          <w:szCs w:val="23"/>
        </w:rPr>
        <w:t>“</w:t>
      </w:r>
      <w:r>
        <w:rPr>
          <w:rFonts w:ascii="宋体" w:hAnsi="宋体" w:eastAsia="宋体" w:cs="宋体"/>
          <w:spacing w:val="12"/>
          <w:sz w:val="23"/>
          <w:szCs w:val="23"/>
        </w:rPr>
        <w:t>规模</w:t>
      </w:r>
      <w:r>
        <w:rPr>
          <w:rFonts w:ascii="宋体" w:hAnsi="宋体" w:eastAsia="宋体" w:cs="宋体"/>
          <w:spacing w:val="6"/>
          <w:sz w:val="23"/>
          <w:szCs w:val="23"/>
        </w:rPr>
        <w:t>化、标准化、产业化程度进一步提高，畜牧业生产初步实现向技术集约型、</w:t>
      </w:r>
      <w:r>
        <w:rPr>
          <w:rFonts w:ascii="宋体" w:hAnsi="宋体" w:eastAsia="宋体" w:cs="宋体"/>
          <w:sz w:val="23"/>
          <w:szCs w:val="23"/>
        </w:rPr>
        <w:t xml:space="preserve"> </w:t>
      </w:r>
      <w:r>
        <w:rPr>
          <w:rFonts w:ascii="宋体" w:hAnsi="宋体" w:eastAsia="宋体" w:cs="宋体"/>
          <w:spacing w:val="14"/>
          <w:sz w:val="23"/>
          <w:szCs w:val="23"/>
        </w:rPr>
        <w:t>资</w:t>
      </w:r>
      <w:r>
        <w:rPr>
          <w:rFonts w:ascii="宋体" w:hAnsi="宋体" w:eastAsia="宋体" w:cs="宋体"/>
          <w:spacing w:val="11"/>
          <w:sz w:val="23"/>
          <w:szCs w:val="23"/>
        </w:rPr>
        <w:t>源高效利用型、环境友好型转变，大力发展奶业，加快发展特种养殖业，发展规</w:t>
      </w:r>
      <w:r>
        <w:rPr>
          <w:rFonts w:ascii="宋体" w:hAnsi="宋体" w:eastAsia="宋体" w:cs="宋体"/>
          <w:sz w:val="23"/>
          <w:szCs w:val="23"/>
        </w:rPr>
        <w:t xml:space="preserve"> </w:t>
      </w:r>
      <w:r>
        <w:rPr>
          <w:rFonts w:ascii="宋体" w:hAnsi="宋体" w:eastAsia="宋体" w:cs="宋体"/>
          <w:spacing w:val="14"/>
          <w:sz w:val="23"/>
          <w:szCs w:val="23"/>
        </w:rPr>
        <w:t>模</w:t>
      </w:r>
      <w:r>
        <w:rPr>
          <w:rFonts w:ascii="宋体" w:hAnsi="宋体" w:eastAsia="宋体" w:cs="宋体"/>
          <w:spacing w:val="11"/>
          <w:sz w:val="23"/>
          <w:szCs w:val="23"/>
        </w:rPr>
        <w:t>养殖和畜禽养殖小区，抓好畜禽良种、饲料供给、动物防疫、养殖环境等基础工</w:t>
      </w:r>
      <w:r>
        <w:rPr>
          <w:rFonts w:ascii="宋体" w:hAnsi="宋体" w:eastAsia="宋体" w:cs="宋体"/>
          <w:sz w:val="23"/>
          <w:szCs w:val="23"/>
        </w:rPr>
        <w:t xml:space="preserve"> </w:t>
      </w:r>
      <w:r>
        <w:rPr>
          <w:rFonts w:ascii="宋体" w:hAnsi="宋体" w:eastAsia="宋体" w:cs="宋体"/>
          <w:spacing w:val="14"/>
          <w:sz w:val="23"/>
          <w:szCs w:val="23"/>
        </w:rPr>
        <w:t>作</w:t>
      </w:r>
      <w:r>
        <w:rPr>
          <w:rFonts w:ascii="宋体" w:hAnsi="宋体" w:eastAsia="宋体" w:cs="宋体"/>
          <w:spacing w:val="11"/>
          <w:sz w:val="23"/>
          <w:szCs w:val="23"/>
        </w:rPr>
        <w:t>，按照市场需求，加快建立一批标准化、规模化生产示范基地。全面推行草畜平</w:t>
      </w:r>
      <w:r>
        <w:rPr>
          <w:rFonts w:ascii="宋体" w:hAnsi="宋体" w:eastAsia="宋体" w:cs="宋体"/>
          <w:sz w:val="23"/>
          <w:szCs w:val="23"/>
        </w:rPr>
        <w:t xml:space="preserve"> </w:t>
      </w:r>
      <w:r>
        <w:rPr>
          <w:rFonts w:ascii="宋体" w:hAnsi="宋体" w:eastAsia="宋体" w:cs="宋体"/>
          <w:spacing w:val="22"/>
          <w:sz w:val="23"/>
          <w:szCs w:val="23"/>
        </w:rPr>
        <w:t>衡。</w:t>
      </w:r>
      <w:r>
        <w:rPr>
          <w:rFonts w:ascii="Times New Roman" w:hAnsi="Times New Roman" w:eastAsia="Times New Roman" w:cs="Times New Roman"/>
          <w:spacing w:val="22"/>
          <w:sz w:val="23"/>
          <w:szCs w:val="23"/>
        </w:rPr>
        <w:t>”</w:t>
      </w:r>
    </w:p>
    <w:p w14:paraId="2884D1BE">
      <w:pPr>
        <w:sectPr>
          <w:footerReference r:id="rId37" w:type="default"/>
          <w:pgSz w:w="11907" w:h="16840"/>
          <w:pgMar w:top="400" w:right="1065" w:bottom="1277" w:left="1551" w:header="0" w:footer="1114" w:gutter="0"/>
          <w:cols w:space="720" w:num="1"/>
        </w:sectPr>
      </w:pPr>
    </w:p>
    <w:p w14:paraId="0A6F353A">
      <w:pPr>
        <w:spacing w:line="460" w:lineRule="auto"/>
      </w:pPr>
      <w:r>
        <w:pict>
          <v:shape id="_x0000_s2066" o:spid="_x0000_s2066" style="position:absolute;left:0pt;margin-left:83pt;margin-top:57.2pt;height:0.5pt;width:434.35pt;mso-position-horizontal-relative:page;mso-position-vertical-relative:page;z-index:251701248;mso-width-relative:page;mso-height-relative:page;" fillcolor="#000000" filled="t" stroked="f" coordsize="8687,10" o:allowincell="f" path="m0,0l8686,0,8686,9,0,9,0,0xe">
            <v:fill on="t" focussize="0,0"/>
            <v:stroke on="f"/>
            <v:imagedata o:title=""/>
            <o:lock v:ext="edit"/>
          </v:shape>
        </w:pict>
      </w:r>
    </w:p>
    <w:p w14:paraId="6759A552">
      <w:pPr>
        <w:spacing w:before="56" w:line="229" w:lineRule="auto"/>
        <w:ind w:left="469"/>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75281DEB">
      <w:pPr>
        <w:spacing w:before="65" w:line="374" w:lineRule="auto"/>
        <w:ind w:left="473" w:right="462" w:firstLine="424"/>
        <w:rPr>
          <w:rFonts w:ascii="宋体" w:hAnsi="宋体" w:eastAsia="宋体" w:cs="宋体"/>
          <w:sz w:val="23"/>
          <w:szCs w:val="23"/>
        </w:rPr>
      </w:pPr>
      <w:r>
        <w:rPr>
          <w:rFonts w:ascii="宋体" w:hAnsi="宋体" w:eastAsia="宋体" w:cs="宋体"/>
          <w:spacing w:val="24"/>
          <w:sz w:val="23"/>
          <w:szCs w:val="23"/>
        </w:rPr>
        <w:t>本</w:t>
      </w:r>
      <w:r>
        <w:rPr>
          <w:rFonts w:ascii="宋体" w:hAnsi="宋体" w:eastAsia="宋体" w:cs="宋体"/>
          <w:spacing w:val="22"/>
          <w:sz w:val="23"/>
          <w:szCs w:val="23"/>
        </w:rPr>
        <w:t>项</w:t>
      </w:r>
      <w:r>
        <w:rPr>
          <w:rFonts w:ascii="宋体" w:hAnsi="宋体" w:eastAsia="宋体" w:cs="宋体"/>
          <w:spacing w:val="12"/>
          <w:sz w:val="23"/>
          <w:szCs w:val="23"/>
        </w:rPr>
        <w:t>目的建设对生猪养殖业健康发展起到积极作用，符合《国务院关于促进畜</w:t>
      </w:r>
      <w:r>
        <w:rPr>
          <w:rFonts w:ascii="宋体" w:hAnsi="宋体" w:eastAsia="宋体" w:cs="宋体"/>
          <w:sz w:val="23"/>
          <w:szCs w:val="23"/>
        </w:rPr>
        <w:t xml:space="preserve"> </w:t>
      </w:r>
      <w:r>
        <w:rPr>
          <w:rFonts w:ascii="宋体" w:hAnsi="宋体" w:eastAsia="宋体" w:cs="宋体"/>
          <w:spacing w:val="9"/>
          <w:sz w:val="23"/>
          <w:szCs w:val="23"/>
        </w:rPr>
        <w:t>牧业持续健康发展的意见》相关规定</w:t>
      </w:r>
      <w:r>
        <w:rPr>
          <w:rFonts w:ascii="宋体" w:hAnsi="宋体" w:eastAsia="宋体" w:cs="宋体"/>
          <w:spacing w:val="5"/>
          <w:sz w:val="23"/>
          <w:szCs w:val="23"/>
        </w:rPr>
        <w:t>。</w:t>
      </w:r>
    </w:p>
    <w:p w14:paraId="1F10A620">
      <w:pPr>
        <w:spacing w:line="226" w:lineRule="auto"/>
        <w:ind w:left="908"/>
        <w:rPr>
          <w:rFonts w:ascii="宋体" w:hAnsi="宋体" w:eastAsia="宋体" w:cs="宋体"/>
          <w:sz w:val="23"/>
          <w:szCs w:val="23"/>
        </w:rPr>
      </w:pPr>
      <w:r>
        <w:rPr>
          <w:rFonts w:ascii="宋体" w:hAnsi="宋体" w:eastAsia="宋体" w:cs="宋体"/>
          <w:spacing w:val="16"/>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5"/>
          <w:sz w:val="23"/>
          <w:szCs w:val="23"/>
        </w:rPr>
        <w:t>2</w:t>
      </w:r>
      <w:r>
        <w:rPr>
          <w:rFonts w:ascii="宋体" w:hAnsi="宋体" w:eastAsia="宋体" w:cs="宋体"/>
          <w:spacing w:val="8"/>
          <w:sz w:val="23"/>
          <w:szCs w:val="23"/>
          <w14:textOutline w14:w="4356" w14:cap="sq" w14:cmpd="sng" w14:algn="ctr">
            <w14:solidFill>
              <w14:srgbClr w14:val="000000"/>
            </w14:solidFill>
            <w14:prstDash w14:val="solid"/>
            <w14:bevel/>
          </w14:textOutline>
        </w:rPr>
        <w:t>)</w:t>
      </w:r>
      <w:r>
        <w:rPr>
          <w:rFonts w:ascii="宋体" w:hAnsi="宋体" w:eastAsia="宋体" w:cs="宋体"/>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《全国农垦经济和社会发展第十二个五年规划》</w:t>
      </w:r>
    </w:p>
    <w:p w14:paraId="5CC1E6E0">
      <w:pPr>
        <w:spacing w:before="184" w:line="375" w:lineRule="auto"/>
        <w:ind w:left="498" w:right="460" w:firstLine="454"/>
        <w:rPr>
          <w:rFonts w:ascii="宋体" w:hAnsi="宋体" w:eastAsia="宋体" w:cs="宋体"/>
          <w:sz w:val="23"/>
          <w:szCs w:val="23"/>
        </w:rPr>
      </w:pPr>
      <w:r>
        <w:rPr>
          <w:rFonts w:ascii="宋体" w:hAnsi="宋体" w:eastAsia="宋体" w:cs="宋体"/>
          <w:spacing w:val="22"/>
          <w:sz w:val="23"/>
          <w:szCs w:val="23"/>
        </w:rPr>
        <w:t>其</w:t>
      </w:r>
      <w:r>
        <w:rPr>
          <w:rFonts w:ascii="Times New Roman" w:hAnsi="Times New Roman" w:eastAsia="Times New Roman" w:cs="Times New Roman"/>
          <w:spacing w:val="18"/>
          <w:sz w:val="23"/>
          <w:szCs w:val="23"/>
        </w:rPr>
        <w:t>“</w:t>
      </w:r>
      <w:r>
        <w:rPr>
          <w:rFonts w:ascii="宋体" w:hAnsi="宋体" w:eastAsia="宋体" w:cs="宋体"/>
          <w:spacing w:val="11"/>
          <w:sz w:val="23"/>
          <w:szCs w:val="23"/>
        </w:rPr>
        <w:t>十二五</w:t>
      </w:r>
      <w:r>
        <w:rPr>
          <w:rFonts w:ascii="Times New Roman" w:hAnsi="Times New Roman" w:eastAsia="Times New Roman" w:cs="Times New Roman"/>
          <w:spacing w:val="11"/>
          <w:sz w:val="23"/>
          <w:szCs w:val="23"/>
        </w:rPr>
        <w:t>”</w:t>
      </w:r>
      <w:r>
        <w:rPr>
          <w:rFonts w:ascii="宋体" w:hAnsi="宋体" w:eastAsia="宋体" w:cs="宋体"/>
          <w:spacing w:val="11"/>
          <w:sz w:val="23"/>
          <w:szCs w:val="23"/>
        </w:rPr>
        <w:t>农垦规划主要内容有：加快养殖业生产方式转变，大幅提高养殖业</w:t>
      </w:r>
      <w:r>
        <w:rPr>
          <w:rFonts w:ascii="宋体" w:hAnsi="宋体" w:eastAsia="宋体" w:cs="宋体"/>
          <w:sz w:val="23"/>
          <w:szCs w:val="23"/>
        </w:rPr>
        <w:t xml:space="preserve"> </w:t>
      </w:r>
      <w:r>
        <w:rPr>
          <w:rFonts w:ascii="宋体" w:hAnsi="宋体" w:eastAsia="宋体" w:cs="宋体"/>
          <w:spacing w:val="16"/>
          <w:sz w:val="23"/>
          <w:szCs w:val="23"/>
        </w:rPr>
        <w:t>比重，</w:t>
      </w:r>
      <w:r>
        <w:rPr>
          <w:rFonts w:ascii="宋体" w:hAnsi="宋体" w:eastAsia="宋体" w:cs="宋体"/>
          <w:spacing w:val="10"/>
          <w:sz w:val="23"/>
          <w:szCs w:val="23"/>
        </w:rPr>
        <w:t>使</w:t>
      </w:r>
      <w:r>
        <w:rPr>
          <w:rFonts w:ascii="宋体" w:hAnsi="宋体" w:eastAsia="宋体" w:cs="宋体"/>
          <w:spacing w:val="8"/>
          <w:sz w:val="23"/>
          <w:szCs w:val="23"/>
        </w:rPr>
        <w:t>养殖业成为垦区的支柱产业之一。围绕奶牛、生猪、家禽等优势养殖业。</w:t>
      </w:r>
    </w:p>
    <w:p w14:paraId="15C303A2">
      <w:pPr>
        <w:spacing w:before="6" w:line="374" w:lineRule="auto"/>
        <w:ind w:left="473" w:right="462" w:firstLine="480"/>
        <w:rPr>
          <w:rFonts w:ascii="宋体" w:hAnsi="宋体" w:eastAsia="宋体" w:cs="宋体"/>
          <w:sz w:val="23"/>
          <w:szCs w:val="23"/>
        </w:rPr>
      </w:pPr>
      <w:r>
        <w:rPr>
          <w:rFonts w:ascii="宋体" w:hAnsi="宋体" w:eastAsia="宋体" w:cs="宋体"/>
          <w:spacing w:val="8"/>
          <w:sz w:val="23"/>
          <w:szCs w:val="23"/>
        </w:rPr>
        <w:t>本</w:t>
      </w:r>
      <w:r>
        <w:rPr>
          <w:rFonts w:ascii="宋体" w:hAnsi="宋体" w:eastAsia="宋体" w:cs="宋体"/>
          <w:spacing w:val="7"/>
          <w:sz w:val="23"/>
          <w:szCs w:val="23"/>
        </w:rPr>
        <w:t>项目为年出栏</w:t>
      </w:r>
      <w:r>
        <w:rPr>
          <w:rFonts w:ascii="Times New Roman" w:hAnsi="Times New Roman" w:eastAsia="Times New Roman" w:cs="Times New Roman"/>
          <w:spacing w:val="7"/>
          <w:sz w:val="23"/>
          <w:szCs w:val="23"/>
        </w:rPr>
        <w:t>10400</w:t>
      </w:r>
      <w:r>
        <w:rPr>
          <w:rFonts w:ascii="宋体" w:hAnsi="宋体" w:eastAsia="宋体" w:cs="宋体"/>
          <w:spacing w:val="7"/>
          <w:sz w:val="23"/>
          <w:szCs w:val="23"/>
        </w:rPr>
        <w:t>头生猪规模化养殖场，生活污水经隔油池、化粪池处理后</w:t>
      </w:r>
      <w:r>
        <w:rPr>
          <w:rFonts w:ascii="宋体" w:hAnsi="宋体" w:eastAsia="宋体" w:cs="宋体"/>
          <w:sz w:val="23"/>
          <w:szCs w:val="23"/>
        </w:rPr>
        <w:t xml:space="preserve"> </w:t>
      </w:r>
      <w:r>
        <w:rPr>
          <w:rFonts w:ascii="宋体" w:hAnsi="宋体" w:eastAsia="宋体" w:cs="宋体"/>
          <w:spacing w:val="18"/>
          <w:sz w:val="23"/>
          <w:szCs w:val="23"/>
        </w:rPr>
        <w:t>用作</w:t>
      </w:r>
      <w:r>
        <w:rPr>
          <w:rFonts w:ascii="宋体" w:hAnsi="宋体" w:eastAsia="宋体" w:cs="宋体"/>
          <w:spacing w:val="16"/>
          <w:sz w:val="23"/>
          <w:szCs w:val="23"/>
        </w:rPr>
        <w:t>业</w:t>
      </w:r>
      <w:r>
        <w:rPr>
          <w:rFonts w:ascii="宋体" w:hAnsi="宋体" w:eastAsia="宋体" w:cs="宋体"/>
          <w:spacing w:val="9"/>
          <w:sz w:val="23"/>
          <w:szCs w:val="23"/>
        </w:rPr>
        <w:t>主自有林地灌溉；养殖废水目前拟运输至乐山乐高勤力生物质能源综合利用</w:t>
      </w:r>
      <w:r>
        <w:rPr>
          <w:rFonts w:ascii="宋体" w:hAnsi="宋体" w:eastAsia="宋体" w:cs="宋体"/>
          <w:sz w:val="23"/>
          <w:szCs w:val="23"/>
        </w:rPr>
        <w:t xml:space="preserve"> </w:t>
      </w:r>
      <w:r>
        <w:rPr>
          <w:rFonts w:ascii="宋体" w:hAnsi="宋体" w:eastAsia="宋体" w:cs="宋体"/>
          <w:spacing w:val="6"/>
          <w:sz w:val="23"/>
          <w:szCs w:val="23"/>
        </w:rPr>
        <w:t>有限公司集中处置 (协议见附件) ， 日产日清，同时，厂区还配套建设一套发酵床</w:t>
      </w:r>
      <w:r>
        <w:rPr>
          <w:rFonts w:ascii="宋体" w:hAnsi="宋体" w:eastAsia="宋体" w:cs="宋体"/>
          <w:sz w:val="23"/>
          <w:szCs w:val="23"/>
        </w:rPr>
        <w:t xml:space="preserve"> </w:t>
      </w:r>
      <w:r>
        <w:rPr>
          <w:rFonts w:ascii="宋体" w:hAnsi="宋体" w:eastAsia="宋体" w:cs="宋体"/>
          <w:spacing w:val="18"/>
          <w:sz w:val="23"/>
          <w:szCs w:val="23"/>
        </w:rPr>
        <w:t>备用</w:t>
      </w:r>
      <w:r>
        <w:rPr>
          <w:rFonts w:ascii="宋体" w:hAnsi="宋体" w:eastAsia="宋体" w:cs="宋体"/>
          <w:spacing w:val="16"/>
          <w:sz w:val="23"/>
          <w:szCs w:val="23"/>
        </w:rPr>
        <w:t>，</w:t>
      </w:r>
      <w:r>
        <w:rPr>
          <w:rFonts w:ascii="宋体" w:hAnsi="宋体" w:eastAsia="宋体" w:cs="宋体"/>
          <w:spacing w:val="9"/>
          <w:sz w:val="23"/>
          <w:szCs w:val="23"/>
        </w:rPr>
        <w:t>若后期乐山乐高勤力生物质能源综合利用有限公司不再回收厂区内的养殖废</w:t>
      </w:r>
      <w:r>
        <w:rPr>
          <w:rFonts w:ascii="宋体" w:hAnsi="宋体" w:eastAsia="宋体" w:cs="宋体"/>
          <w:sz w:val="23"/>
          <w:szCs w:val="23"/>
        </w:rPr>
        <w:t xml:space="preserve"> </w:t>
      </w:r>
      <w:r>
        <w:rPr>
          <w:rFonts w:ascii="宋体" w:hAnsi="宋体" w:eastAsia="宋体" w:cs="宋体"/>
          <w:spacing w:val="18"/>
          <w:sz w:val="23"/>
          <w:szCs w:val="23"/>
        </w:rPr>
        <w:t>水，</w:t>
      </w:r>
      <w:r>
        <w:rPr>
          <w:rFonts w:ascii="宋体" w:hAnsi="宋体" w:eastAsia="宋体" w:cs="宋体"/>
          <w:spacing w:val="16"/>
          <w:sz w:val="23"/>
          <w:szCs w:val="23"/>
        </w:rPr>
        <w:t>可</w:t>
      </w:r>
      <w:r>
        <w:rPr>
          <w:rFonts w:ascii="宋体" w:hAnsi="宋体" w:eastAsia="宋体" w:cs="宋体"/>
          <w:spacing w:val="9"/>
          <w:sz w:val="23"/>
          <w:szCs w:val="23"/>
        </w:rPr>
        <w:t>将通过异位发酵床自行处置，处理产生的有机肥外售处理，形成良好的生态</w:t>
      </w:r>
    </w:p>
    <w:p w14:paraId="756F12AC">
      <w:pPr>
        <w:spacing w:before="1" w:line="230" w:lineRule="auto"/>
        <w:ind w:left="471"/>
        <w:rPr>
          <w:rFonts w:ascii="宋体" w:hAnsi="宋体" w:eastAsia="宋体" w:cs="宋体"/>
          <w:sz w:val="23"/>
          <w:szCs w:val="23"/>
        </w:rPr>
      </w:pPr>
      <w:r>
        <w:rPr>
          <w:rFonts w:ascii="宋体" w:hAnsi="宋体" w:eastAsia="宋体" w:cs="宋体"/>
          <w:spacing w:val="16"/>
          <w:sz w:val="23"/>
          <w:szCs w:val="23"/>
        </w:rPr>
        <w:t>链</w:t>
      </w:r>
      <w:r>
        <w:rPr>
          <w:rFonts w:ascii="宋体" w:hAnsi="宋体" w:eastAsia="宋体" w:cs="宋体"/>
          <w:spacing w:val="9"/>
          <w:sz w:val="23"/>
          <w:szCs w:val="23"/>
        </w:rPr>
        <w:t>，</w:t>
      </w:r>
      <w:r>
        <w:rPr>
          <w:rFonts w:ascii="宋体" w:hAnsi="宋体" w:eastAsia="宋体" w:cs="宋体"/>
          <w:spacing w:val="8"/>
          <w:sz w:val="23"/>
          <w:szCs w:val="23"/>
        </w:rPr>
        <w:t>符合国家相关规划的要求。</w:t>
      </w:r>
    </w:p>
    <w:p w14:paraId="412C52DC">
      <w:pPr>
        <w:spacing w:before="132" w:line="387" w:lineRule="auto"/>
        <w:ind w:left="473" w:right="436" w:firstLine="435"/>
        <w:rPr>
          <w:rFonts w:ascii="宋体" w:hAnsi="宋体" w:eastAsia="宋体" w:cs="宋体"/>
          <w:sz w:val="23"/>
          <w:szCs w:val="23"/>
        </w:rPr>
      </w:pP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3</w:t>
      </w:r>
      <w:r>
        <w:rPr>
          <w:rFonts w:ascii="宋体" w:hAnsi="宋体" w:eastAsia="宋体" w:cs="宋体"/>
          <w:spacing w:val="14"/>
          <w:sz w:val="23"/>
          <w:szCs w:val="23"/>
          <w14:textOutline w14:w="4356" w14:cap="sq" w14:cmpd="sng" w14:algn="ctr">
            <w14:solidFill>
              <w14:srgbClr w14:val="000000"/>
            </w14:solidFill>
            <w14:prstDash w14:val="solid"/>
            <w14:bevel/>
          </w14:textOutline>
        </w:rPr>
        <w:t>)</w:t>
      </w:r>
      <w:r>
        <w:rPr>
          <w:rFonts w:ascii="宋体" w:hAnsi="宋体" w:eastAsia="宋体" w:cs="宋体"/>
          <w:spacing w:val="10"/>
          <w:sz w:val="23"/>
          <w:szCs w:val="23"/>
        </w:rPr>
        <w:t xml:space="preserve"> </w:t>
      </w:r>
      <w:r>
        <w:rPr>
          <w:rFonts w:ascii="宋体" w:hAnsi="宋体" w:eastAsia="宋体" w:cs="宋体"/>
          <w:spacing w:val="10"/>
          <w:sz w:val="23"/>
          <w:szCs w:val="23"/>
          <w14:textOutline w14:w="4356" w14:cap="sq" w14:cmpd="sng" w14:algn="ctr">
            <w14:solidFill>
              <w14:srgbClr w14:val="000000"/>
            </w14:solidFill>
            <w14:prstDash w14:val="solid"/>
            <w14:bevel/>
          </w14:textOutline>
        </w:rPr>
        <w:t>与《全国畜禽养殖污染防治</w:t>
      </w:r>
      <w:r>
        <w:rPr>
          <w:rFonts w:ascii="Times New Roman" w:hAnsi="Times New Roman" w:eastAsia="Times New Roman" w:cs="Times New Roman"/>
          <w:b/>
          <w:bCs/>
          <w:spacing w:val="10"/>
          <w:sz w:val="23"/>
          <w:szCs w:val="23"/>
        </w:rPr>
        <w:t>“</w:t>
      </w:r>
      <w:r>
        <w:rPr>
          <w:rFonts w:ascii="宋体" w:hAnsi="宋体" w:eastAsia="宋体" w:cs="宋体"/>
          <w:spacing w:val="10"/>
          <w:sz w:val="23"/>
          <w:szCs w:val="23"/>
          <w14:textOutline w14:w="4356" w14:cap="sq" w14:cmpd="sng" w14:algn="ctr">
            <w14:solidFill>
              <w14:srgbClr w14:val="000000"/>
            </w14:solidFill>
            <w14:prstDash w14:val="solid"/>
            <w14:bevel/>
          </w14:textOutline>
        </w:rPr>
        <w:t>十二五</w:t>
      </w:r>
      <w:r>
        <w:rPr>
          <w:rFonts w:ascii="Times New Roman" w:hAnsi="Times New Roman" w:eastAsia="Times New Roman" w:cs="Times New Roman"/>
          <w:b/>
          <w:bCs/>
          <w:spacing w:val="10"/>
          <w:sz w:val="23"/>
          <w:szCs w:val="23"/>
        </w:rPr>
        <w:t>”</w:t>
      </w:r>
      <w:r>
        <w:rPr>
          <w:rFonts w:ascii="宋体" w:hAnsi="宋体" w:eastAsia="宋体" w:cs="宋体"/>
          <w:spacing w:val="10"/>
          <w:sz w:val="23"/>
          <w:szCs w:val="23"/>
          <w14:textOutline w14:w="4356" w14:cap="sq" w14:cmpd="sng" w14:algn="ctr">
            <w14:solidFill>
              <w14:srgbClr w14:val="000000"/>
            </w14:solidFill>
            <w14:prstDash w14:val="solid"/>
            <w14:bevel/>
          </w14:textOutline>
        </w:rPr>
        <w:t>规划》</w:t>
      </w:r>
      <w:r>
        <w:rPr>
          <w:rFonts w:ascii="宋体" w:hAnsi="宋体" w:eastAsia="宋体" w:cs="宋体"/>
          <w:spacing w:val="10"/>
          <w:sz w:val="23"/>
          <w:szCs w:val="23"/>
        </w:rPr>
        <w:t xml:space="preserve">  </w:t>
      </w:r>
      <w:r>
        <w:rPr>
          <w:rFonts w:ascii="宋体" w:hAnsi="宋体" w:eastAsia="宋体" w:cs="宋体"/>
          <w:spacing w:val="10"/>
          <w:sz w:val="23"/>
          <w:szCs w:val="23"/>
          <w14:textOutline w14:w="4356" w14:cap="sq" w14:cmpd="sng" w14:algn="ctr">
            <w14:solidFill>
              <w14:srgbClr w14:val="000000"/>
            </w14:solidFill>
            <w14:prstDash w14:val="solid"/>
            <w14:bevel/>
          </w14:textOutline>
        </w:rPr>
        <w:t>(环发正</w:t>
      </w:r>
      <w:r>
        <w:rPr>
          <w:rFonts w:ascii="宋体" w:hAnsi="宋体" w:eastAsia="宋体" w:cs="宋体"/>
          <w:spacing w:val="10"/>
          <w:sz w:val="23"/>
          <w:szCs w:val="23"/>
        </w:rPr>
        <w:t xml:space="preserve"> </w:t>
      </w:r>
      <w:r>
        <w:rPr>
          <w:rFonts w:ascii="宋体" w:hAnsi="宋体" w:eastAsia="宋体" w:cs="宋体"/>
          <w:spacing w:val="10"/>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0"/>
          <w:sz w:val="23"/>
          <w:szCs w:val="23"/>
        </w:rPr>
        <w:t>2012]135</w:t>
      </w:r>
      <w:r>
        <w:rPr>
          <w:rFonts w:ascii="Times New Roman" w:hAnsi="Times New Roman" w:eastAsia="Times New Roman" w:cs="Times New Roman"/>
          <w:spacing w:val="10"/>
          <w:sz w:val="23"/>
          <w:szCs w:val="23"/>
        </w:rPr>
        <w:t xml:space="preserve">  </w:t>
      </w:r>
      <w:r>
        <w:rPr>
          <w:rFonts w:ascii="宋体" w:hAnsi="宋体" w:eastAsia="宋体" w:cs="宋体"/>
          <w:spacing w:val="10"/>
          <w:sz w:val="23"/>
          <w:szCs w:val="23"/>
          <w14:textOutline w14:w="4356" w14:cap="sq" w14:cmpd="sng" w14:algn="ctr">
            <w14:solidFill>
              <w14:srgbClr w14:val="000000"/>
            </w14:solidFill>
            <w14:prstDash w14:val="solid"/>
            <w14:bevel/>
          </w14:textOutline>
        </w:rPr>
        <w:t>号)</w:t>
      </w:r>
      <w:r>
        <w:rPr>
          <w:rFonts w:ascii="宋体" w:hAnsi="宋体" w:eastAsia="宋体" w:cs="宋体"/>
          <w:spacing w:val="10"/>
          <w:sz w:val="23"/>
          <w:szCs w:val="23"/>
        </w:rPr>
        <w:t xml:space="preserve"> </w:t>
      </w:r>
      <w:r>
        <w:rPr>
          <w:rFonts w:ascii="宋体" w:hAnsi="宋体" w:eastAsia="宋体" w:cs="宋体"/>
          <w:spacing w:val="10"/>
          <w:sz w:val="23"/>
          <w:szCs w:val="23"/>
          <w14:textOutline w14:w="4356" w14:cap="sq" w14:cmpd="sng" w14:algn="ctr">
            <w14:solidFill>
              <w14:srgbClr w14:val="000000"/>
            </w14:solidFill>
            <w14:prstDash w14:val="solid"/>
            <w14:bevel/>
          </w14:textOutline>
        </w:rPr>
        <w:t>符</w:t>
      </w:r>
      <w:r>
        <w:rPr>
          <w:rFonts w:ascii="宋体" w:hAnsi="宋体" w:eastAsia="宋体" w:cs="宋体"/>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合</w:t>
      </w:r>
      <w:r>
        <w:rPr>
          <w:rFonts w:ascii="宋体" w:hAnsi="宋体" w:eastAsia="宋体" w:cs="宋体"/>
          <w:spacing w:val="4"/>
          <w:sz w:val="23"/>
          <w:szCs w:val="23"/>
          <w14:textOutline w14:w="4356" w14:cap="sq" w14:cmpd="sng" w14:algn="ctr">
            <w14:solidFill>
              <w14:srgbClr w14:val="000000"/>
            </w14:solidFill>
            <w14:prstDash w14:val="solid"/>
            <w14:bevel/>
          </w14:textOutline>
        </w:rPr>
        <w:t>性</w:t>
      </w:r>
    </w:p>
    <w:p w14:paraId="5C739DDC">
      <w:pPr>
        <w:spacing w:before="14" w:line="375" w:lineRule="auto"/>
        <w:ind w:left="471" w:right="403" w:firstLine="481"/>
        <w:rPr>
          <w:rFonts w:ascii="宋体" w:hAnsi="宋体" w:eastAsia="宋体" w:cs="宋体"/>
          <w:sz w:val="23"/>
          <w:szCs w:val="23"/>
        </w:rPr>
      </w:pPr>
      <w:r>
        <w:rPr>
          <w:rFonts w:ascii="宋体" w:hAnsi="宋体" w:eastAsia="宋体" w:cs="宋体"/>
          <w:spacing w:val="10"/>
          <w:sz w:val="23"/>
          <w:szCs w:val="23"/>
        </w:rPr>
        <w:t>本</w:t>
      </w:r>
      <w:r>
        <w:rPr>
          <w:rFonts w:ascii="宋体" w:hAnsi="宋体" w:eastAsia="宋体" w:cs="宋体"/>
          <w:spacing w:val="8"/>
          <w:sz w:val="23"/>
          <w:szCs w:val="23"/>
        </w:rPr>
        <w:t>项</w:t>
      </w:r>
      <w:r>
        <w:rPr>
          <w:rFonts w:ascii="宋体" w:hAnsi="宋体" w:eastAsia="宋体" w:cs="宋体"/>
          <w:spacing w:val="5"/>
          <w:sz w:val="23"/>
          <w:szCs w:val="23"/>
        </w:rPr>
        <w:t>目所在区域不在井研县畜禽养殖区域的</w:t>
      </w:r>
      <w:r>
        <w:rPr>
          <w:rFonts w:ascii="Times New Roman" w:hAnsi="Times New Roman" w:eastAsia="Times New Roman" w:cs="Times New Roman"/>
          <w:spacing w:val="5"/>
          <w:sz w:val="23"/>
          <w:szCs w:val="23"/>
        </w:rPr>
        <w:t>“</w:t>
      </w:r>
      <w:r>
        <w:rPr>
          <w:rFonts w:ascii="宋体" w:hAnsi="宋体" w:eastAsia="宋体" w:cs="宋体"/>
          <w:spacing w:val="5"/>
          <w:sz w:val="23"/>
          <w:szCs w:val="23"/>
        </w:rPr>
        <w:t>禁养区和限养区</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，属于</w:t>
      </w:r>
      <w:r>
        <w:rPr>
          <w:rFonts w:ascii="Times New Roman" w:hAnsi="Times New Roman" w:eastAsia="Times New Roman" w:cs="Times New Roman"/>
          <w:spacing w:val="5"/>
          <w:sz w:val="23"/>
          <w:szCs w:val="23"/>
        </w:rPr>
        <w:t>“</w:t>
      </w:r>
      <w:r>
        <w:rPr>
          <w:rFonts w:ascii="宋体" w:hAnsi="宋体" w:eastAsia="宋体" w:cs="宋体"/>
          <w:spacing w:val="5"/>
          <w:sz w:val="23"/>
          <w:szCs w:val="23"/>
        </w:rPr>
        <w:t>养殖区</w:t>
      </w:r>
      <w:r>
        <w:rPr>
          <w:rFonts w:ascii="Times New Roman" w:hAnsi="Times New Roman" w:eastAsia="Times New Roman" w:cs="Times New Roman"/>
          <w:spacing w:val="5"/>
          <w:sz w:val="23"/>
          <w:szCs w:val="23"/>
        </w:rPr>
        <w:t>”</w:t>
      </w:r>
      <w:r>
        <w:rPr>
          <w:rFonts w:ascii="宋体" w:hAnsi="宋体" w:eastAsia="宋体" w:cs="宋体"/>
          <w:spacing w:val="5"/>
          <w:sz w:val="23"/>
          <w:szCs w:val="23"/>
        </w:rPr>
        <w:t>；</w:t>
      </w:r>
      <w:r>
        <w:rPr>
          <w:rFonts w:ascii="宋体" w:hAnsi="宋体" w:eastAsia="宋体" w:cs="宋体"/>
          <w:sz w:val="23"/>
          <w:szCs w:val="23"/>
        </w:rPr>
        <w:t xml:space="preserve"> </w:t>
      </w:r>
      <w:r>
        <w:rPr>
          <w:rFonts w:ascii="宋体" w:hAnsi="宋体" w:eastAsia="宋体" w:cs="宋体"/>
          <w:spacing w:val="18"/>
          <w:sz w:val="23"/>
          <w:szCs w:val="23"/>
        </w:rPr>
        <w:t>本项目</w:t>
      </w:r>
      <w:r>
        <w:rPr>
          <w:rFonts w:ascii="宋体" w:hAnsi="宋体" w:eastAsia="宋体" w:cs="宋体"/>
          <w:spacing w:val="9"/>
          <w:sz w:val="23"/>
          <w:szCs w:val="23"/>
        </w:rPr>
        <w:t>采用生活污水经隔油池、化粪池处理后用作业主自有林地灌溉；养殖废水目</w:t>
      </w:r>
      <w:r>
        <w:rPr>
          <w:rFonts w:ascii="宋体" w:hAnsi="宋体" w:eastAsia="宋体" w:cs="宋体"/>
          <w:sz w:val="23"/>
          <w:szCs w:val="23"/>
        </w:rPr>
        <w:t xml:space="preserve"> </w:t>
      </w:r>
      <w:r>
        <w:rPr>
          <w:rFonts w:ascii="宋体" w:hAnsi="宋体" w:eastAsia="宋体" w:cs="宋体"/>
          <w:spacing w:val="18"/>
          <w:sz w:val="23"/>
          <w:szCs w:val="23"/>
        </w:rPr>
        <w:t>前拟运</w:t>
      </w:r>
      <w:r>
        <w:rPr>
          <w:rFonts w:ascii="宋体" w:hAnsi="宋体" w:eastAsia="宋体" w:cs="宋体"/>
          <w:spacing w:val="10"/>
          <w:sz w:val="23"/>
          <w:szCs w:val="23"/>
        </w:rPr>
        <w:t>输</w:t>
      </w:r>
      <w:r>
        <w:rPr>
          <w:rFonts w:ascii="宋体" w:hAnsi="宋体" w:eastAsia="宋体" w:cs="宋体"/>
          <w:spacing w:val="9"/>
          <w:sz w:val="23"/>
          <w:szCs w:val="23"/>
        </w:rPr>
        <w:t>至乐山乐高勤力生物质能源综合利用有限公司集中处置 (协议见附件) ，</w:t>
      </w:r>
      <w:r>
        <w:rPr>
          <w:rFonts w:ascii="宋体" w:hAnsi="宋体" w:eastAsia="宋体" w:cs="宋体"/>
          <w:sz w:val="23"/>
          <w:szCs w:val="23"/>
        </w:rPr>
        <w:t xml:space="preserve"> </w:t>
      </w:r>
      <w:r>
        <w:rPr>
          <w:rFonts w:ascii="宋体" w:hAnsi="宋体" w:eastAsia="宋体" w:cs="宋体"/>
          <w:spacing w:val="18"/>
          <w:sz w:val="23"/>
          <w:szCs w:val="23"/>
        </w:rPr>
        <w:t>日产日</w:t>
      </w:r>
      <w:r>
        <w:rPr>
          <w:rFonts w:ascii="宋体" w:hAnsi="宋体" w:eastAsia="宋体" w:cs="宋体"/>
          <w:spacing w:val="9"/>
          <w:sz w:val="23"/>
          <w:szCs w:val="23"/>
        </w:rPr>
        <w:t>清，同时，厂区还配套建设一套发酵床备用，若后期乐山乐高勤力生物质能</w:t>
      </w:r>
      <w:r>
        <w:rPr>
          <w:rFonts w:ascii="宋体" w:hAnsi="宋体" w:eastAsia="宋体" w:cs="宋体"/>
          <w:sz w:val="23"/>
          <w:szCs w:val="23"/>
        </w:rPr>
        <w:t xml:space="preserve"> </w:t>
      </w:r>
      <w:r>
        <w:rPr>
          <w:rFonts w:ascii="宋体" w:hAnsi="宋体" w:eastAsia="宋体" w:cs="宋体"/>
          <w:spacing w:val="20"/>
          <w:sz w:val="23"/>
          <w:szCs w:val="23"/>
        </w:rPr>
        <w:t>源</w:t>
      </w:r>
      <w:r>
        <w:rPr>
          <w:rFonts w:ascii="宋体" w:hAnsi="宋体" w:eastAsia="宋体" w:cs="宋体"/>
          <w:spacing w:val="10"/>
          <w:sz w:val="23"/>
          <w:szCs w:val="23"/>
        </w:rPr>
        <w:t>综合利用有限公司不再回收厂区内的养殖废水，可将通过异位发酵床自行处置，</w:t>
      </w:r>
      <w:r>
        <w:rPr>
          <w:rFonts w:ascii="宋体" w:hAnsi="宋体" w:eastAsia="宋体" w:cs="宋体"/>
          <w:sz w:val="23"/>
          <w:szCs w:val="23"/>
        </w:rPr>
        <w:t xml:space="preserve"> </w:t>
      </w:r>
      <w:r>
        <w:rPr>
          <w:rFonts w:ascii="宋体" w:hAnsi="宋体" w:eastAsia="宋体" w:cs="宋体"/>
          <w:spacing w:val="8"/>
          <w:sz w:val="23"/>
          <w:szCs w:val="23"/>
        </w:rPr>
        <w:t>处理产生的有机肥外售处理。以上污染物治理措施符合《全国畜禽养殖污染防治</w:t>
      </w:r>
      <w:r>
        <w:rPr>
          <w:rFonts w:ascii="Times New Roman" w:hAnsi="Times New Roman" w:eastAsia="Times New Roman" w:cs="Times New Roman"/>
          <w:spacing w:val="8"/>
          <w:sz w:val="23"/>
          <w:szCs w:val="23"/>
        </w:rPr>
        <w:t>“</w:t>
      </w:r>
      <w:r>
        <w:rPr>
          <w:rFonts w:ascii="宋体" w:hAnsi="宋体" w:eastAsia="宋体" w:cs="宋体"/>
          <w:spacing w:val="7"/>
          <w:sz w:val="23"/>
          <w:szCs w:val="23"/>
        </w:rPr>
        <w:t>十</w:t>
      </w:r>
      <w:r>
        <w:rPr>
          <w:rFonts w:ascii="宋体" w:hAnsi="宋体" w:eastAsia="宋体" w:cs="宋体"/>
          <w:sz w:val="23"/>
          <w:szCs w:val="23"/>
        </w:rPr>
        <w:t xml:space="preserve"> </w:t>
      </w:r>
      <w:r>
        <w:rPr>
          <w:rFonts w:ascii="宋体" w:hAnsi="宋体" w:eastAsia="宋体" w:cs="宋体"/>
          <w:spacing w:val="14"/>
          <w:sz w:val="23"/>
          <w:szCs w:val="23"/>
        </w:rPr>
        <w:t>二</w:t>
      </w:r>
      <w:r>
        <w:rPr>
          <w:rFonts w:ascii="宋体" w:hAnsi="宋体" w:eastAsia="宋体" w:cs="宋体"/>
          <w:spacing w:val="8"/>
          <w:sz w:val="23"/>
          <w:szCs w:val="23"/>
        </w:rPr>
        <w:t>五</w:t>
      </w:r>
      <w:r>
        <w:rPr>
          <w:rFonts w:ascii="Times New Roman" w:hAnsi="Times New Roman" w:eastAsia="Times New Roman" w:cs="Times New Roman"/>
          <w:spacing w:val="7"/>
          <w:sz w:val="23"/>
          <w:szCs w:val="23"/>
        </w:rPr>
        <w:t>”</w:t>
      </w:r>
      <w:r>
        <w:rPr>
          <w:rFonts w:ascii="宋体" w:hAnsi="宋体" w:eastAsia="宋体" w:cs="宋体"/>
          <w:spacing w:val="7"/>
          <w:sz w:val="23"/>
          <w:szCs w:val="23"/>
        </w:rPr>
        <w:t>规划》相关规定。</w:t>
      </w:r>
    </w:p>
    <w:p w14:paraId="5A7BD5E4">
      <w:pPr>
        <w:spacing w:line="227" w:lineRule="auto"/>
        <w:ind w:left="478"/>
        <w:outlineLvl w:val="2"/>
        <w:rPr>
          <w:rFonts w:ascii="宋体" w:hAnsi="宋体" w:eastAsia="宋体" w:cs="宋体"/>
          <w:sz w:val="23"/>
          <w:szCs w:val="23"/>
        </w:rPr>
      </w:pPr>
      <w:r>
        <w:rPr>
          <w:rFonts w:ascii="Times New Roman" w:hAnsi="Times New Roman" w:eastAsia="Times New Roman" w:cs="Times New Roman"/>
          <w:b/>
          <w:bCs/>
          <w:spacing w:val="6"/>
          <w:sz w:val="23"/>
          <w:szCs w:val="23"/>
        </w:rPr>
        <w:t>1.6.3</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养殖符合性分</w:t>
      </w:r>
      <w:r>
        <w:rPr>
          <w:rFonts w:ascii="宋体" w:hAnsi="宋体" w:eastAsia="宋体" w:cs="宋体"/>
          <w:spacing w:val="5"/>
          <w:sz w:val="23"/>
          <w:szCs w:val="23"/>
          <w14:textOutline w14:w="4356" w14:cap="sq" w14:cmpd="sng" w14:algn="ctr">
            <w14:solidFill>
              <w14:srgbClr w14:val="000000"/>
            </w14:solidFill>
            <w14:prstDash w14:val="solid"/>
            <w14:bevel/>
          </w14:textOutline>
        </w:rPr>
        <w:t>析</w:t>
      </w:r>
    </w:p>
    <w:p w14:paraId="5BC964EB">
      <w:pPr>
        <w:spacing w:before="184" w:line="227" w:lineRule="auto"/>
        <w:ind w:left="953"/>
        <w:rPr>
          <w:rFonts w:ascii="宋体" w:hAnsi="宋体" w:eastAsia="宋体" w:cs="宋体"/>
          <w:sz w:val="23"/>
          <w:szCs w:val="23"/>
        </w:rPr>
      </w:pPr>
      <w:r>
        <w:rPr>
          <w:rFonts w:ascii="宋体" w:hAnsi="宋体" w:eastAsia="宋体" w:cs="宋体"/>
          <w:spacing w:val="14"/>
          <w:sz w:val="23"/>
          <w:szCs w:val="23"/>
        </w:rPr>
        <w:t>本</w:t>
      </w:r>
      <w:r>
        <w:rPr>
          <w:rFonts w:ascii="宋体" w:hAnsi="宋体" w:eastAsia="宋体" w:cs="宋体"/>
          <w:spacing w:val="11"/>
          <w:sz w:val="23"/>
          <w:szCs w:val="23"/>
        </w:rPr>
        <w:t>项目养殖区建设遵循《畜禽养殖污染防治管理办法》、《畜禽养殖业污染防</w:t>
      </w:r>
    </w:p>
    <w:p w14:paraId="58316416">
      <w:pPr>
        <w:spacing w:before="184" w:line="227" w:lineRule="auto"/>
        <w:ind w:left="477"/>
        <w:rPr>
          <w:rFonts w:ascii="宋体" w:hAnsi="宋体" w:eastAsia="宋体" w:cs="宋体"/>
          <w:sz w:val="23"/>
          <w:szCs w:val="23"/>
        </w:rPr>
      </w:pPr>
      <w:r>
        <w:rPr>
          <w:rFonts w:ascii="宋体" w:hAnsi="宋体" w:eastAsia="宋体" w:cs="宋体"/>
          <w:spacing w:val="20"/>
          <w:sz w:val="23"/>
          <w:szCs w:val="23"/>
        </w:rPr>
        <w:t>治</w:t>
      </w:r>
      <w:r>
        <w:rPr>
          <w:rFonts w:ascii="宋体" w:hAnsi="宋体" w:eastAsia="宋体" w:cs="宋体"/>
          <w:spacing w:val="12"/>
          <w:sz w:val="23"/>
          <w:szCs w:val="23"/>
        </w:rPr>
        <w:t>技</w:t>
      </w:r>
      <w:r>
        <w:rPr>
          <w:rFonts w:ascii="宋体" w:hAnsi="宋体" w:eastAsia="宋体" w:cs="宋体"/>
          <w:spacing w:val="10"/>
          <w:sz w:val="23"/>
          <w:szCs w:val="23"/>
        </w:rPr>
        <w:t>术规范》、《畜禽养殖场 (小区) 环境监察工作指南》、《畜禽粪便无害化处</w:t>
      </w:r>
    </w:p>
    <w:p w14:paraId="79D97C3A">
      <w:pPr>
        <w:spacing w:before="185" w:line="227" w:lineRule="auto"/>
        <w:ind w:left="475"/>
        <w:rPr>
          <w:rFonts w:ascii="宋体" w:hAnsi="宋体" w:eastAsia="宋体" w:cs="宋体"/>
          <w:sz w:val="23"/>
          <w:szCs w:val="23"/>
        </w:rPr>
      </w:pPr>
      <w:r>
        <w:rPr>
          <w:rFonts w:ascii="宋体" w:hAnsi="宋体" w:eastAsia="宋体" w:cs="宋体"/>
          <w:spacing w:val="6"/>
          <w:sz w:val="23"/>
          <w:szCs w:val="23"/>
        </w:rPr>
        <w:t>理技术规范》</w:t>
      </w:r>
      <w:r>
        <w:rPr>
          <w:rFonts w:ascii="宋体" w:hAnsi="宋体" w:eastAsia="宋体" w:cs="宋体"/>
          <w:spacing w:val="3"/>
          <w:sz w:val="23"/>
          <w:szCs w:val="23"/>
        </w:rPr>
        <w:t xml:space="preserve">等进行建设，其养殖符合性详见表 </w:t>
      </w:r>
      <w:r>
        <w:rPr>
          <w:rFonts w:ascii="Times New Roman" w:hAnsi="Times New Roman" w:eastAsia="Times New Roman" w:cs="Times New Roman"/>
          <w:spacing w:val="3"/>
          <w:sz w:val="23"/>
          <w:szCs w:val="23"/>
        </w:rPr>
        <w:t>1.6- 1</w:t>
      </w:r>
      <w:r>
        <w:rPr>
          <w:rFonts w:ascii="宋体" w:hAnsi="宋体" w:eastAsia="宋体" w:cs="宋体"/>
          <w:spacing w:val="3"/>
          <w:sz w:val="23"/>
          <w:szCs w:val="23"/>
        </w:rPr>
        <w:t>。</w:t>
      </w:r>
    </w:p>
    <w:p w14:paraId="277FADEA">
      <w:pPr>
        <w:spacing w:before="182" w:line="222" w:lineRule="auto"/>
        <w:ind w:left="2499"/>
        <w:rPr>
          <w:rFonts w:ascii="黑体" w:hAnsi="黑体" w:eastAsia="黑体" w:cs="黑体"/>
          <w:sz w:val="23"/>
          <w:szCs w:val="23"/>
        </w:rPr>
      </w:pPr>
      <w:r>
        <w:rPr>
          <w:rFonts w:ascii="黑体" w:hAnsi="黑体" w:eastAsia="黑体" w:cs="黑体"/>
          <w:spacing w:val="4"/>
          <w:sz w:val="23"/>
          <w:szCs w:val="23"/>
        </w:rPr>
        <w:t xml:space="preserve">表 </w:t>
      </w:r>
      <w:r>
        <w:rPr>
          <w:rFonts w:ascii="Times New Roman" w:hAnsi="Times New Roman" w:eastAsia="Times New Roman" w:cs="Times New Roman"/>
          <w:spacing w:val="4"/>
          <w:sz w:val="23"/>
          <w:szCs w:val="23"/>
        </w:rPr>
        <w:t>1.6</w:t>
      </w:r>
      <w:r>
        <w:rPr>
          <w:rFonts w:ascii="Times New Roman" w:hAnsi="Times New Roman" w:eastAsia="Times New Roman" w:cs="Times New Roman"/>
          <w:spacing w:val="2"/>
          <w:sz w:val="23"/>
          <w:szCs w:val="23"/>
        </w:rPr>
        <w:t xml:space="preserve">- 1    </w:t>
      </w:r>
      <w:r>
        <w:rPr>
          <w:rFonts w:ascii="黑体" w:hAnsi="黑体" w:eastAsia="黑体" w:cs="黑体"/>
          <w:spacing w:val="2"/>
          <w:sz w:val="23"/>
          <w:szCs w:val="23"/>
        </w:rPr>
        <w:t>畜禽养殖相关规范的符合性一览表</w:t>
      </w:r>
    </w:p>
    <w:tbl>
      <w:tblPr>
        <w:tblStyle w:val="4"/>
        <w:tblW w:w="961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2"/>
        <w:gridCol w:w="3680"/>
        <w:gridCol w:w="3360"/>
        <w:gridCol w:w="1089"/>
      </w:tblGrid>
      <w:tr w14:paraId="585128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5162" w:type="dxa"/>
            <w:gridSpan w:val="2"/>
            <w:tcBorders>
              <w:left w:val="nil"/>
              <w:right w:val="single" w:color="000000" w:sz="4" w:space="0"/>
            </w:tcBorders>
          </w:tcPr>
          <w:p w14:paraId="683FB2C3">
            <w:pPr>
              <w:spacing w:before="112" w:line="228" w:lineRule="auto"/>
              <w:ind w:left="1763"/>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畜禽养殖相关规</w:t>
            </w:r>
            <w:r>
              <w:rPr>
                <w:rFonts w:ascii="宋体" w:hAnsi="宋体" w:eastAsia="宋体" w:cs="宋体"/>
                <w:spacing w:val="7"/>
                <w:sz w:val="20"/>
                <w:szCs w:val="20"/>
                <w14:textOutline w14:w="3797" w14:cap="sq" w14:cmpd="sng" w14:algn="ctr">
                  <w14:solidFill>
                    <w14:srgbClr w14:val="000000"/>
                  </w14:solidFill>
                  <w14:prstDash w14:val="solid"/>
                  <w14:bevel/>
                </w14:textOutline>
              </w:rPr>
              <w:t>范</w:t>
            </w:r>
          </w:p>
        </w:tc>
        <w:tc>
          <w:tcPr>
            <w:tcW w:w="3360" w:type="dxa"/>
            <w:tcBorders>
              <w:left w:val="single" w:color="000000" w:sz="4" w:space="0"/>
              <w:right w:val="single" w:color="000000" w:sz="4" w:space="0"/>
            </w:tcBorders>
          </w:tcPr>
          <w:p w14:paraId="6EB9CAFD">
            <w:pPr>
              <w:spacing w:before="112" w:line="227" w:lineRule="auto"/>
              <w:ind w:left="949"/>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本</w:t>
            </w:r>
            <w:r>
              <w:rPr>
                <w:rFonts w:ascii="宋体" w:hAnsi="宋体" w:eastAsia="宋体" w:cs="宋体"/>
                <w:spacing w:val="9"/>
                <w:sz w:val="20"/>
                <w:szCs w:val="20"/>
                <w14:textOutline w14:w="3797" w14:cap="sq" w14:cmpd="sng" w14:algn="ctr">
                  <w14:solidFill>
                    <w14:srgbClr w14:val="000000"/>
                  </w14:solidFill>
                  <w14:prstDash w14:val="solid"/>
                  <w14:bevel/>
                </w14:textOutline>
              </w:rPr>
              <w:t>项目具体情况</w:t>
            </w:r>
          </w:p>
        </w:tc>
        <w:tc>
          <w:tcPr>
            <w:tcW w:w="1089" w:type="dxa"/>
            <w:tcBorders>
              <w:left w:val="single" w:color="000000" w:sz="4" w:space="0"/>
              <w:right w:val="nil"/>
            </w:tcBorders>
          </w:tcPr>
          <w:p w14:paraId="68AD382E">
            <w:pPr>
              <w:spacing w:before="112" w:line="228" w:lineRule="auto"/>
              <w:ind w:left="131"/>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是</w:t>
            </w:r>
            <w:r>
              <w:rPr>
                <w:rFonts w:ascii="宋体" w:hAnsi="宋体" w:eastAsia="宋体" w:cs="宋体"/>
                <w:spacing w:val="7"/>
                <w:sz w:val="20"/>
                <w:szCs w:val="20"/>
                <w14:textOutline w14:w="3797" w14:cap="sq" w14:cmpd="sng" w14:algn="ctr">
                  <w14:solidFill>
                    <w14:srgbClr w14:val="000000"/>
                  </w14:solidFill>
                  <w14:prstDash w14:val="solid"/>
                  <w14:bevel/>
                </w14:textOutline>
              </w:rPr>
              <w:t>否符合</w:t>
            </w:r>
          </w:p>
        </w:tc>
      </w:tr>
      <w:tr w14:paraId="55E72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1482" w:type="dxa"/>
            <w:vMerge w:val="restart"/>
            <w:tcBorders>
              <w:left w:val="nil"/>
              <w:bottom w:val="nil"/>
              <w:right w:val="single" w:color="000000" w:sz="4" w:space="0"/>
            </w:tcBorders>
          </w:tcPr>
          <w:p w14:paraId="3C929199">
            <w:pPr>
              <w:spacing w:line="277" w:lineRule="auto"/>
            </w:pPr>
          </w:p>
          <w:p w14:paraId="5DE8741F">
            <w:pPr>
              <w:spacing w:line="277" w:lineRule="auto"/>
            </w:pPr>
          </w:p>
          <w:p w14:paraId="39BBA56D">
            <w:pPr>
              <w:spacing w:line="277" w:lineRule="auto"/>
            </w:pPr>
          </w:p>
          <w:p w14:paraId="6EC60A1B">
            <w:pPr>
              <w:spacing w:before="65" w:line="265" w:lineRule="auto"/>
              <w:ind w:left="78" w:right="54"/>
              <w:rPr>
                <w:rFonts w:ascii="宋体" w:hAnsi="宋体" w:eastAsia="宋体" w:cs="宋体"/>
                <w:sz w:val="20"/>
                <w:szCs w:val="20"/>
              </w:rPr>
            </w:pPr>
            <w:r>
              <w:rPr>
                <w:rFonts w:ascii="宋体" w:hAnsi="宋体" w:eastAsia="宋体" w:cs="宋体"/>
                <w:spacing w:val="24"/>
                <w:sz w:val="20"/>
                <w:szCs w:val="20"/>
              </w:rPr>
              <w:t>畜禽养殖污染</w:t>
            </w:r>
            <w:r>
              <w:rPr>
                <w:rFonts w:ascii="宋体" w:hAnsi="宋体" w:eastAsia="宋体" w:cs="宋体"/>
                <w:sz w:val="20"/>
                <w:szCs w:val="20"/>
              </w:rPr>
              <w:t xml:space="preserve"> </w:t>
            </w:r>
            <w:r>
              <w:rPr>
                <w:rFonts w:ascii="宋体" w:hAnsi="宋体" w:eastAsia="宋体" w:cs="宋体"/>
                <w:spacing w:val="6"/>
                <w:sz w:val="20"/>
                <w:szCs w:val="20"/>
              </w:rPr>
              <w:t>防治管理办法</w:t>
            </w:r>
          </w:p>
        </w:tc>
        <w:tc>
          <w:tcPr>
            <w:tcW w:w="3680" w:type="dxa"/>
            <w:tcBorders>
              <w:left w:val="single" w:color="000000" w:sz="4" w:space="0"/>
              <w:right w:val="single" w:color="000000" w:sz="4" w:space="0"/>
            </w:tcBorders>
          </w:tcPr>
          <w:p w14:paraId="3E7EA0E6">
            <w:pPr>
              <w:spacing w:before="89" w:line="228" w:lineRule="auto"/>
              <w:ind w:left="494"/>
              <w:rPr>
                <w:rFonts w:ascii="宋体" w:hAnsi="宋体" w:eastAsia="宋体" w:cs="宋体"/>
                <w:sz w:val="20"/>
                <w:szCs w:val="20"/>
              </w:rPr>
            </w:pPr>
            <w:r>
              <w:rPr>
                <w:rFonts w:ascii="宋体" w:hAnsi="宋体" w:eastAsia="宋体" w:cs="宋体"/>
                <w:spacing w:val="11"/>
                <w:sz w:val="20"/>
                <w:szCs w:val="20"/>
              </w:rPr>
              <w:t>不</w:t>
            </w:r>
            <w:r>
              <w:rPr>
                <w:rFonts w:ascii="宋体" w:hAnsi="宋体" w:eastAsia="宋体" w:cs="宋体"/>
                <w:spacing w:val="8"/>
                <w:sz w:val="20"/>
                <w:szCs w:val="20"/>
              </w:rPr>
              <w:t>在规范</w:t>
            </w:r>
            <w:r>
              <w:rPr>
                <w:rFonts w:ascii="Times New Roman" w:hAnsi="Times New Roman" w:eastAsia="Times New Roman" w:cs="Times New Roman"/>
                <w:spacing w:val="8"/>
                <w:sz w:val="20"/>
                <w:szCs w:val="20"/>
              </w:rPr>
              <w:t>“</w:t>
            </w:r>
            <w:r>
              <w:rPr>
                <w:rFonts w:ascii="宋体" w:hAnsi="宋体" w:eastAsia="宋体" w:cs="宋体"/>
                <w:spacing w:val="8"/>
                <w:sz w:val="20"/>
                <w:szCs w:val="20"/>
              </w:rPr>
              <w:t>第七条</w:t>
            </w:r>
            <w:r>
              <w:rPr>
                <w:rFonts w:ascii="Times New Roman" w:hAnsi="Times New Roman" w:eastAsia="Times New Roman" w:cs="Times New Roman"/>
                <w:spacing w:val="8"/>
                <w:sz w:val="20"/>
                <w:szCs w:val="20"/>
              </w:rPr>
              <w:t>”</w:t>
            </w:r>
            <w:r>
              <w:rPr>
                <w:rFonts w:ascii="宋体" w:hAnsi="宋体" w:eastAsia="宋体" w:cs="宋体"/>
                <w:spacing w:val="8"/>
                <w:sz w:val="20"/>
                <w:szCs w:val="20"/>
              </w:rPr>
              <w:t>区域内养殖</w:t>
            </w:r>
          </w:p>
        </w:tc>
        <w:tc>
          <w:tcPr>
            <w:tcW w:w="3360" w:type="dxa"/>
            <w:tcBorders>
              <w:left w:val="single" w:color="000000" w:sz="4" w:space="0"/>
              <w:right w:val="single" w:color="000000" w:sz="4" w:space="0"/>
            </w:tcBorders>
          </w:tcPr>
          <w:p w14:paraId="1AEF7165">
            <w:pPr>
              <w:spacing w:before="89" w:line="228" w:lineRule="auto"/>
              <w:ind w:left="947"/>
              <w:rPr>
                <w:rFonts w:ascii="宋体" w:hAnsi="宋体" w:eastAsia="宋体" w:cs="宋体"/>
                <w:sz w:val="20"/>
                <w:szCs w:val="20"/>
              </w:rPr>
            </w:pPr>
            <w:r>
              <w:rPr>
                <w:rFonts w:ascii="宋体" w:hAnsi="宋体" w:eastAsia="宋体" w:cs="宋体"/>
                <w:spacing w:val="9"/>
                <w:sz w:val="20"/>
                <w:szCs w:val="20"/>
              </w:rPr>
              <w:t>选址未在禁养</w:t>
            </w:r>
            <w:r>
              <w:rPr>
                <w:rFonts w:ascii="宋体" w:hAnsi="宋体" w:eastAsia="宋体" w:cs="宋体"/>
                <w:spacing w:val="7"/>
                <w:sz w:val="20"/>
                <w:szCs w:val="20"/>
              </w:rPr>
              <w:t>区</w:t>
            </w:r>
          </w:p>
        </w:tc>
        <w:tc>
          <w:tcPr>
            <w:tcW w:w="1089" w:type="dxa"/>
            <w:tcBorders>
              <w:left w:val="single" w:color="000000" w:sz="4" w:space="0"/>
              <w:right w:val="nil"/>
            </w:tcBorders>
          </w:tcPr>
          <w:p w14:paraId="6EDE015C">
            <w:pPr>
              <w:spacing w:before="89" w:line="228" w:lineRule="auto"/>
              <w:ind w:left="338"/>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r w14:paraId="63886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1482" w:type="dxa"/>
            <w:vMerge w:val="continue"/>
            <w:tcBorders>
              <w:top w:val="nil"/>
              <w:left w:val="nil"/>
              <w:bottom w:val="nil"/>
              <w:right w:val="single" w:color="000000" w:sz="4" w:space="0"/>
            </w:tcBorders>
          </w:tcPr>
          <w:p w14:paraId="1FB05AA6"/>
        </w:tc>
        <w:tc>
          <w:tcPr>
            <w:tcW w:w="3680" w:type="dxa"/>
            <w:tcBorders>
              <w:left w:val="single" w:color="000000" w:sz="4" w:space="0"/>
              <w:right w:val="single" w:color="000000" w:sz="4" w:space="0"/>
            </w:tcBorders>
          </w:tcPr>
          <w:p w14:paraId="4B926506">
            <w:pPr>
              <w:spacing w:before="93" w:line="260" w:lineRule="auto"/>
              <w:ind w:left="59" w:right="52"/>
              <w:rPr>
                <w:rFonts w:ascii="宋体" w:hAnsi="宋体" w:eastAsia="宋体" w:cs="宋体"/>
                <w:sz w:val="20"/>
                <w:szCs w:val="20"/>
              </w:rPr>
            </w:pPr>
            <w:r>
              <w:rPr>
                <w:rFonts w:ascii="宋体" w:hAnsi="宋体" w:eastAsia="宋体" w:cs="宋体"/>
                <w:spacing w:val="13"/>
                <w:sz w:val="20"/>
                <w:szCs w:val="20"/>
              </w:rPr>
              <w:t>养</w:t>
            </w:r>
            <w:r>
              <w:rPr>
                <w:rFonts w:ascii="宋体" w:hAnsi="宋体" w:eastAsia="宋体" w:cs="宋体"/>
                <w:spacing w:val="9"/>
                <w:sz w:val="20"/>
                <w:szCs w:val="20"/>
              </w:rPr>
              <w:t>殖场应当保持环境整洁，采取清污分</w:t>
            </w:r>
            <w:r>
              <w:rPr>
                <w:rFonts w:ascii="宋体" w:hAnsi="宋体" w:eastAsia="宋体" w:cs="宋体"/>
                <w:sz w:val="20"/>
                <w:szCs w:val="20"/>
              </w:rPr>
              <w:t xml:space="preserve"> </w:t>
            </w:r>
            <w:r>
              <w:rPr>
                <w:rFonts w:ascii="宋体" w:hAnsi="宋体" w:eastAsia="宋体" w:cs="宋体"/>
                <w:spacing w:val="11"/>
                <w:sz w:val="20"/>
                <w:szCs w:val="20"/>
              </w:rPr>
              <w:t>流</w:t>
            </w:r>
            <w:r>
              <w:rPr>
                <w:rFonts w:ascii="宋体" w:hAnsi="宋体" w:eastAsia="宋体" w:cs="宋体"/>
                <w:spacing w:val="9"/>
                <w:sz w:val="20"/>
                <w:szCs w:val="20"/>
              </w:rPr>
              <w:t>和粪尿的干湿分离等措施，实现清洁</w:t>
            </w:r>
            <w:r>
              <w:rPr>
                <w:rFonts w:ascii="宋体" w:hAnsi="宋体" w:eastAsia="宋体" w:cs="宋体"/>
                <w:sz w:val="20"/>
                <w:szCs w:val="20"/>
              </w:rPr>
              <w:t xml:space="preserve"> </w:t>
            </w:r>
            <w:r>
              <w:rPr>
                <w:rFonts w:ascii="宋体" w:hAnsi="宋体" w:eastAsia="宋体" w:cs="宋体"/>
                <w:spacing w:val="4"/>
                <w:sz w:val="20"/>
                <w:szCs w:val="20"/>
              </w:rPr>
              <w:t>养殖</w:t>
            </w:r>
          </w:p>
        </w:tc>
        <w:tc>
          <w:tcPr>
            <w:tcW w:w="3360" w:type="dxa"/>
            <w:tcBorders>
              <w:left w:val="single" w:color="000000" w:sz="4" w:space="0"/>
              <w:right w:val="single" w:color="000000" w:sz="4" w:space="0"/>
            </w:tcBorders>
          </w:tcPr>
          <w:p w14:paraId="4A3A8566">
            <w:pPr>
              <w:spacing w:line="297" w:lineRule="auto"/>
            </w:pPr>
          </w:p>
          <w:p w14:paraId="421C7B50">
            <w:pPr>
              <w:spacing w:before="65" w:line="228" w:lineRule="auto"/>
              <w:ind w:left="61"/>
              <w:rPr>
                <w:rFonts w:ascii="宋体" w:hAnsi="宋体" w:eastAsia="宋体" w:cs="宋体"/>
                <w:sz w:val="20"/>
                <w:szCs w:val="20"/>
              </w:rPr>
            </w:pPr>
            <w:r>
              <w:rPr>
                <w:rFonts w:ascii="宋体" w:hAnsi="宋体" w:eastAsia="宋体" w:cs="宋体"/>
                <w:spacing w:val="11"/>
                <w:sz w:val="20"/>
                <w:szCs w:val="20"/>
              </w:rPr>
              <w:t>保</w:t>
            </w:r>
            <w:r>
              <w:rPr>
                <w:rFonts w:ascii="宋体" w:hAnsi="宋体" w:eastAsia="宋体" w:cs="宋体"/>
                <w:spacing w:val="9"/>
                <w:sz w:val="20"/>
                <w:szCs w:val="20"/>
              </w:rPr>
              <w:t>持环境整洁，采取干清粪工艺</w:t>
            </w:r>
          </w:p>
        </w:tc>
        <w:tc>
          <w:tcPr>
            <w:tcW w:w="1089" w:type="dxa"/>
            <w:tcBorders>
              <w:left w:val="single" w:color="000000" w:sz="4" w:space="0"/>
              <w:right w:val="nil"/>
            </w:tcBorders>
          </w:tcPr>
          <w:p w14:paraId="59B37D0F">
            <w:pPr>
              <w:spacing w:line="297" w:lineRule="auto"/>
            </w:pPr>
          </w:p>
          <w:p w14:paraId="55D18FD9">
            <w:pPr>
              <w:spacing w:before="65" w:line="228" w:lineRule="auto"/>
              <w:ind w:left="338"/>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r w14:paraId="1C69F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trPr>
        <w:tc>
          <w:tcPr>
            <w:tcW w:w="1482" w:type="dxa"/>
            <w:vMerge w:val="continue"/>
            <w:tcBorders>
              <w:top w:val="nil"/>
              <w:left w:val="nil"/>
              <w:right w:val="single" w:color="000000" w:sz="4" w:space="0"/>
            </w:tcBorders>
          </w:tcPr>
          <w:p w14:paraId="03835930"/>
        </w:tc>
        <w:tc>
          <w:tcPr>
            <w:tcW w:w="3680" w:type="dxa"/>
            <w:tcBorders>
              <w:left w:val="single" w:color="000000" w:sz="4" w:space="0"/>
              <w:right w:val="single" w:color="000000" w:sz="4" w:space="0"/>
            </w:tcBorders>
          </w:tcPr>
          <w:p w14:paraId="61014BBF">
            <w:pPr>
              <w:spacing w:before="95" w:line="260" w:lineRule="auto"/>
              <w:ind w:left="61" w:right="52" w:firstLine="10"/>
              <w:rPr>
                <w:rFonts w:ascii="宋体" w:hAnsi="宋体" w:eastAsia="宋体" w:cs="宋体"/>
                <w:sz w:val="20"/>
                <w:szCs w:val="20"/>
              </w:rPr>
            </w:pPr>
            <w:r>
              <w:rPr>
                <w:rFonts w:ascii="宋体" w:hAnsi="宋体" w:eastAsia="宋体" w:cs="宋体"/>
                <w:spacing w:val="27"/>
                <w:sz w:val="20"/>
                <w:szCs w:val="20"/>
              </w:rPr>
              <w:t>畜</w:t>
            </w:r>
            <w:r>
              <w:rPr>
                <w:rFonts w:ascii="宋体" w:hAnsi="宋体" w:eastAsia="宋体" w:cs="宋体"/>
                <w:spacing w:val="21"/>
                <w:sz w:val="20"/>
                <w:szCs w:val="20"/>
              </w:rPr>
              <w:t>禽养殖场必须设置畜禽废渣的储存</w:t>
            </w:r>
            <w:r>
              <w:rPr>
                <w:rFonts w:ascii="宋体" w:hAnsi="宋体" w:eastAsia="宋体" w:cs="宋体"/>
                <w:sz w:val="20"/>
                <w:szCs w:val="20"/>
              </w:rPr>
              <w:t xml:space="preserve"> </w:t>
            </w:r>
            <w:r>
              <w:rPr>
                <w:rFonts w:ascii="宋体" w:hAnsi="宋体" w:eastAsia="宋体" w:cs="宋体"/>
                <w:spacing w:val="11"/>
                <w:sz w:val="20"/>
                <w:szCs w:val="20"/>
              </w:rPr>
              <w:t>设</w:t>
            </w:r>
            <w:r>
              <w:rPr>
                <w:rFonts w:ascii="宋体" w:hAnsi="宋体" w:eastAsia="宋体" w:cs="宋体"/>
                <w:spacing w:val="9"/>
                <w:sz w:val="20"/>
                <w:szCs w:val="20"/>
              </w:rPr>
              <w:t>施和场所，采取对储存场所地面进行</w:t>
            </w:r>
            <w:r>
              <w:rPr>
                <w:rFonts w:ascii="宋体" w:hAnsi="宋体" w:eastAsia="宋体" w:cs="宋体"/>
                <w:sz w:val="20"/>
                <w:szCs w:val="20"/>
              </w:rPr>
              <w:t xml:space="preserve"> </w:t>
            </w:r>
            <w:r>
              <w:rPr>
                <w:rFonts w:ascii="宋体" w:hAnsi="宋体" w:eastAsia="宋体" w:cs="宋体"/>
                <w:spacing w:val="16"/>
                <w:sz w:val="20"/>
                <w:szCs w:val="20"/>
              </w:rPr>
              <w:t>水</w:t>
            </w:r>
            <w:r>
              <w:rPr>
                <w:rFonts w:ascii="宋体" w:hAnsi="宋体" w:eastAsia="宋体" w:cs="宋体"/>
                <w:spacing w:val="11"/>
                <w:sz w:val="20"/>
                <w:szCs w:val="20"/>
              </w:rPr>
              <w:t>泥</w:t>
            </w:r>
            <w:r>
              <w:rPr>
                <w:rFonts w:ascii="宋体" w:hAnsi="宋体" w:eastAsia="宋体" w:cs="宋体"/>
                <w:spacing w:val="8"/>
                <w:sz w:val="20"/>
                <w:szCs w:val="20"/>
              </w:rPr>
              <w:t>硬化等措施，防止畜禽废渣渗漏、</w:t>
            </w:r>
          </w:p>
        </w:tc>
        <w:tc>
          <w:tcPr>
            <w:tcW w:w="3360" w:type="dxa"/>
            <w:tcBorders>
              <w:left w:val="single" w:color="000000" w:sz="4" w:space="0"/>
              <w:right w:val="single" w:color="000000" w:sz="4" w:space="0"/>
            </w:tcBorders>
          </w:tcPr>
          <w:p w14:paraId="09C3B8E7">
            <w:pPr>
              <w:spacing w:before="95" w:line="260" w:lineRule="auto"/>
              <w:ind w:left="60" w:right="52"/>
              <w:rPr>
                <w:rFonts w:ascii="宋体" w:hAnsi="宋体" w:eastAsia="宋体" w:cs="宋体"/>
                <w:sz w:val="20"/>
                <w:szCs w:val="20"/>
              </w:rPr>
            </w:pPr>
            <w:r>
              <w:rPr>
                <w:rFonts w:ascii="宋体" w:hAnsi="宋体" w:eastAsia="宋体" w:cs="宋体"/>
                <w:spacing w:val="24"/>
                <w:sz w:val="20"/>
                <w:szCs w:val="20"/>
              </w:rPr>
              <w:t>猪</w:t>
            </w:r>
            <w:r>
              <w:rPr>
                <w:rFonts w:ascii="宋体" w:hAnsi="宋体" w:eastAsia="宋体" w:cs="宋体"/>
                <w:spacing w:val="15"/>
                <w:sz w:val="20"/>
                <w:szCs w:val="20"/>
              </w:rPr>
              <w:t>粪与养殖废水一起交由乐山乐高</w:t>
            </w:r>
            <w:r>
              <w:rPr>
                <w:rFonts w:ascii="宋体" w:hAnsi="宋体" w:eastAsia="宋体" w:cs="宋体"/>
                <w:sz w:val="20"/>
                <w:szCs w:val="20"/>
              </w:rPr>
              <w:t xml:space="preserve"> </w:t>
            </w:r>
            <w:r>
              <w:rPr>
                <w:rFonts w:ascii="宋体" w:hAnsi="宋体" w:eastAsia="宋体" w:cs="宋体"/>
                <w:spacing w:val="26"/>
                <w:sz w:val="20"/>
                <w:szCs w:val="20"/>
              </w:rPr>
              <w:t>勤</w:t>
            </w:r>
            <w:r>
              <w:rPr>
                <w:rFonts w:ascii="宋体" w:hAnsi="宋体" w:eastAsia="宋体" w:cs="宋体"/>
                <w:spacing w:val="15"/>
                <w:sz w:val="20"/>
                <w:szCs w:val="20"/>
              </w:rPr>
              <w:t>力生物质能源综合利用有限公司</w:t>
            </w:r>
            <w:r>
              <w:rPr>
                <w:rFonts w:ascii="宋体" w:hAnsi="宋体" w:eastAsia="宋体" w:cs="宋体"/>
                <w:sz w:val="20"/>
                <w:szCs w:val="20"/>
              </w:rPr>
              <w:t xml:space="preserve"> </w:t>
            </w:r>
            <w:r>
              <w:rPr>
                <w:rFonts w:ascii="宋体" w:hAnsi="宋体" w:eastAsia="宋体" w:cs="宋体"/>
                <w:spacing w:val="24"/>
                <w:sz w:val="20"/>
                <w:szCs w:val="20"/>
              </w:rPr>
              <w:t>集</w:t>
            </w:r>
            <w:r>
              <w:rPr>
                <w:rFonts w:ascii="宋体" w:hAnsi="宋体" w:eastAsia="宋体" w:cs="宋体"/>
                <w:spacing w:val="15"/>
                <w:sz w:val="20"/>
                <w:szCs w:val="20"/>
              </w:rPr>
              <w:t>中处置，直接每天清运，不在厂</w:t>
            </w:r>
          </w:p>
        </w:tc>
        <w:tc>
          <w:tcPr>
            <w:tcW w:w="1089" w:type="dxa"/>
            <w:tcBorders>
              <w:left w:val="single" w:color="000000" w:sz="4" w:space="0"/>
              <w:right w:val="nil"/>
            </w:tcBorders>
          </w:tcPr>
          <w:p w14:paraId="34993994">
            <w:pPr>
              <w:spacing w:line="299" w:lineRule="auto"/>
            </w:pPr>
          </w:p>
          <w:p w14:paraId="7542BD6D">
            <w:pPr>
              <w:spacing w:before="65" w:line="228" w:lineRule="auto"/>
              <w:ind w:left="338"/>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bl>
    <w:p w14:paraId="28249E72">
      <w:pPr>
        <w:spacing w:line="151" w:lineRule="exact"/>
        <w:rPr>
          <w:sz w:val="13"/>
        </w:rPr>
      </w:pPr>
    </w:p>
    <w:p w14:paraId="1FDF54BB">
      <w:pPr>
        <w:sectPr>
          <w:footerReference r:id="rId38" w:type="default"/>
          <w:pgSz w:w="11907" w:h="16840"/>
          <w:pgMar w:top="400" w:right="1097" w:bottom="1277" w:left="1198" w:header="0" w:footer="1114" w:gutter="0"/>
          <w:cols w:space="720" w:num="1"/>
        </w:sectPr>
      </w:pPr>
    </w:p>
    <w:p w14:paraId="55C25130">
      <w:pPr>
        <w:spacing w:line="460" w:lineRule="auto"/>
      </w:pPr>
    </w:p>
    <w:p w14:paraId="1AB194AD">
      <w:pPr>
        <w:spacing w:before="56" w:line="229" w:lineRule="auto"/>
        <w:ind w:left="469"/>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29A17C74">
      <w:pPr>
        <w:spacing w:line="14" w:lineRule="exact"/>
      </w:pPr>
    </w:p>
    <w:tbl>
      <w:tblPr>
        <w:tblStyle w:val="4"/>
        <w:tblW w:w="961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2"/>
        <w:gridCol w:w="3680"/>
        <w:gridCol w:w="3360"/>
        <w:gridCol w:w="1089"/>
      </w:tblGrid>
      <w:tr w14:paraId="417CF1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1482" w:type="dxa"/>
            <w:vMerge w:val="restart"/>
            <w:tcBorders>
              <w:left w:val="nil"/>
              <w:bottom w:val="nil"/>
              <w:right w:val="single" w:color="000000" w:sz="4" w:space="0"/>
            </w:tcBorders>
          </w:tcPr>
          <w:p w14:paraId="33302C2F"/>
        </w:tc>
        <w:tc>
          <w:tcPr>
            <w:tcW w:w="3680" w:type="dxa"/>
            <w:tcBorders>
              <w:left w:val="single" w:color="000000" w:sz="4" w:space="0"/>
              <w:right w:val="single" w:color="000000" w:sz="4" w:space="0"/>
            </w:tcBorders>
          </w:tcPr>
          <w:p w14:paraId="5A1BC9D6">
            <w:pPr>
              <w:spacing w:before="115" w:line="265" w:lineRule="auto"/>
              <w:ind w:left="59" w:right="50" w:hanging="1"/>
              <w:rPr>
                <w:rFonts w:ascii="宋体" w:hAnsi="宋体" w:eastAsia="宋体" w:cs="宋体"/>
                <w:sz w:val="20"/>
                <w:szCs w:val="20"/>
              </w:rPr>
            </w:pPr>
            <w:r>
              <w:rPr>
                <w:rFonts w:ascii="宋体" w:hAnsi="宋体" w:eastAsia="宋体" w:cs="宋体"/>
                <w:spacing w:val="17"/>
                <w:sz w:val="20"/>
                <w:szCs w:val="20"/>
              </w:rPr>
              <w:t>散</w:t>
            </w:r>
            <w:r>
              <w:rPr>
                <w:rFonts w:ascii="宋体" w:hAnsi="宋体" w:eastAsia="宋体" w:cs="宋体"/>
                <w:spacing w:val="9"/>
                <w:sz w:val="20"/>
                <w:szCs w:val="20"/>
              </w:rPr>
              <w:t>落、溢流、雨水淋失、恶臭气味等对</w:t>
            </w:r>
            <w:r>
              <w:rPr>
                <w:rFonts w:ascii="宋体" w:hAnsi="宋体" w:eastAsia="宋体" w:cs="宋体"/>
                <w:sz w:val="20"/>
                <w:szCs w:val="20"/>
              </w:rPr>
              <w:t xml:space="preserve"> </w:t>
            </w:r>
            <w:r>
              <w:rPr>
                <w:rFonts w:ascii="宋体" w:hAnsi="宋体" w:eastAsia="宋体" w:cs="宋体"/>
                <w:spacing w:val="9"/>
                <w:sz w:val="20"/>
                <w:szCs w:val="20"/>
              </w:rPr>
              <w:t>周围环境造成污染和危害</w:t>
            </w:r>
          </w:p>
        </w:tc>
        <w:tc>
          <w:tcPr>
            <w:tcW w:w="3360" w:type="dxa"/>
            <w:vMerge w:val="restart"/>
            <w:tcBorders>
              <w:left w:val="single" w:color="000000" w:sz="4" w:space="0"/>
              <w:bottom w:val="nil"/>
              <w:right w:val="single" w:color="000000" w:sz="4" w:space="0"/>
            </w:tcBorders>
          </w:tcPr>
          <w:p w14:paraId="771AEA82">
            <w:pPr>
              <w:spacing w:before="115" w:line="257" w:lineRule="auto"/>
              <w:ind w:left="60" w:right="52" w:firstLine="15"/>
              <w:rPr>
                <w:rFonts w:ascii="宋体" w:hAnsi="宋体" w:eastAsia="宋体" w:cs="宋体"/>
                <w:sz w:val="20"/>
                <w:szCs w:val="20"/>
              </w:rPr>
            </w:pPr>
            <w:r>
              <w:rPr>
                <w:rFonts w:ascii="宋体" w:hAnsi="宋体" w:eastAsia="宋体" w:cs="宋体"/>
                <w:spacing w:val="25"/>
                <w:sz w:val="20"/>
                <w:szCs w:val="20"/>
              </w:rPr>
              <w:t>区</w:t>
            </w:r>
            <w:r>
              <w:rPr>
                <w:rFonts w:ascii="宋体" w:hAnsi="宋体" w:eastAsia="宋体" w:cs="宋体"/>
                <w:spacing w:val="14"/>
                <w:sz w:val="20"/>
                <w:szCs w:val="20"/>
              </w:rPr>
              <w:t>储存；厂区还配套建设有异位发</w:t>
            </w:r>
            <w:r>
              <w:rPr>
                <w:rFonts w:ascii="宋体" w:hAnsi="宋体" w:eastAsia="宋体" w:cs="宋体"/>
                <w:sz w:val="20"/>
                <w:szCs w:val="20"/>
              </w:rPr>
              <w:t xml:space="preserve"> </w:t>
            </w:r>
            <w:r>
              <w:rPr>
                <w:rFonts w:ascii="宋体" w:hAnsi="宋体" w:eastAsia="宋体" w:cs="宋体"/>
                <w:spacing w:val="26"/>
                <w:sz w:val="20"/>
                <w:szCs w:val="20"/>
              </w:rPr>
              <w:t>酵</w:t>
            </w:r>
            <w:r>
              <w:rPr>
                <w:rFonts w:ascii="宋体" w:hAnsi="宋体" w:eastAsia="宋体" w:cs="宋体"/>
                <w:spacing w:val="15"/>
                <w:sz w:val="20"/>
                <w:szCs w:val="20"/>
              </w:rPr>
              <w:t>床备用，若后期乐山乐高勤力生</w:t>
            </w:r>
            <w:r>
              <w:rPr>
                <w:rFonts w:ascii="宋体" w:hAnsi="宋体" w:eastAsia="宋体" w:cs="宋体"/>
                <w:sz w:val="20"/>
                <w:szCs w:val="20"/>
              </w:rPr>
              <w:t xml:space="preserve"> </w:t>
            </w:r>
            <w:r>
              <w:rPr>
                <w:rFonts w:ascii="宋体" w:hAnsi="宋体" w:eastAsia="宋体" w:cs="宋体"/>
                <w:spacing w:val="26"/>
                <w:sz w:val="20"/>
                <w:szCs w:val="20"/>
              </w:rPr>
              <w:t>物</w:t>
            </w:r>
            <w:r>
              <w:rPr>
                <w:rFonts w:ascii="宋体" w:hAnsi="宋体" w:eastAsia="宋体" w:cs="宋体"/>
                <w:spacing w:val="15"/>
                <w:sz w:val="20"/>
                <w:szCs w:val="20"/>
              </w:rPr>
              <w:t>质能源综合利用有限公司不再回</w:t>
            </w:r>
            <w:r>
              <w:rPr>
                <w:rFonts w:ascii="宋体" w:hAnsi="宋体" w:eastAsia="宋体" w:cs="宋体"/>
                <w:sz w:val="20"/>
                <w:szCs w:val="20"/>
              </w:rPr>
              <w:t xml:space="preserve"> </w:t>
            </w:r>
            <w:r>
              <w:rPr>
                <w:rFonts w:ascii="宋体" w:hAnsi="宋体" w:eastAsia="宋体" w:cs="宋体"/>
                <w:spacing w:val="26"/>
                <w:sz w:val="20"/>
                <w:szCs w:val="20"/>
              </w:rPr>
              <w:t>收</w:t>
            </w:r>
            <w:r>
              <w:rPr>
                <w:rFonts w:ascii="宋体" w:hAnsi="宋体" w:eastAsia="宋体" w:cs="宋体"/>
                <w:spacing w:val="15"/>
                <w:sz w:val="20"/>
                <w:szCs w:val="20"/>
              </w:rPr>
              <w:t>厂区内的养殖废水，可将与厂区</w:t>
            </w:r>
            <w:r>
              <w:rPr>
                <w:rFonts w:ascii="宋体" w:hAnsi="宋体" w:eastAsia="宋体" w:cs="宋体"/>
                <w:sz w:val="20"/>
                <w:szCs w:val="20"/>
              </w:rPr>
              <w:t xml:space="preserve"> </w:t>
            </w:r>
            <w:r>
              <w:rPr>
                <w:rFonts w:ascii="宋体" w:hAnsi="宋体" w:eastAsia="宋体" w:cs="宋体"/>
                <w:spacing w:val="24"/>
                <w:sz w:val="20"/>
                <w:szCs w:val="20"/>
              </w:rPr>
              <w:t>内</w:t>
            </w:r>
            <w:r>
              <w:rPr>
                <w:rFonts w:ascii="宋体" w:hAnsi="宋体" w:eastAsia="宋体" w:cs="宋体"/>
                <w:spacing w:val="15"/>
                <w:sz w:val="20"/>
                <w:szCs w:val="20"/>
              </w:rPr>
              <w:t>养殖废水一起通过异位发酵床自</w:t>
            </w:r>
            <w:r>
              <w:rPr>
                <w:rFonts w:ascii="宋体" w:hAnsi="宋体" w:eastAsia="宋体" w:cs="宋体"/>
                <w:sz w:val="20"/>
                <w:szCs w:val="20"/>
              </w:rPr>
              <w:t xml:space="preserve"> </w:t>
            </w:r>
            <w:r>
              <w:rPr>
                <w:rFonts w:ascii="宋体" w:hAnsi="宋体" w:eastAsia="宋体" w:cs="宋体"/>
                <w:spacing w:val="26"/>
                <w:sz w:val="20"/>
                <w:szCs w:val="20"/>
              </w:rPr>
              <w:t>行</w:t>
            </w:r>
            <w:r>
              <w:rPr>
                <w:rFonts w:ascii="宋体" w:hAnsi="宋体" w:eastAsia="宋体" w:cs="宋体"/>
                <w:spacing w:val="15"/>
                <w:sz w:val="20"/>
                <w:szCs w:val="20"/>
              </w:rPr>
              <w:t>处置，处理产生的有机肥外售处</w:t>
            </w:r>
            <w:r>
              <w:rPr>
                <w:rFonts w:ascii="宋体" w:hAnsi="宋体" w:eastAsia="宋体" w:cs="宋体"/>
                <w:sz w:val="20"/>
                <w:szCs w:val="20"/>
              </w:rPr>
              <w:t xml:space="preserve"> 理</w:t>
            </w:r>
          </w:p>
        </w:tc>
        <w:tc>
          <w:tcPr>
            <w:tcW w:w="1089" w:type="dxa"/>
            <w:tcBorders>
              <w:left w:val="single" w:color="000000" w:sz="4" w:space="0"/>
              <w:right w:val="nil"/>
            </w:tcBorders>
          </w:tcPr>
          <w:p w14:paraId="5EA38046"/>
        </w:tc>
      </w:tr>
      <w:tr w14:paraId="416CF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4" w:hRule="atLeast"/>
        </w:trPr>
        <w:tc>
          <w:tcPr>
            <w:tcW w:w="1482" w:type="dxa"/>
            <w:vMerge w:val="continue"/>
            <w:tcBorders>
              <w:top w:val="nil"/>
              <w:left w:val="nil"/>
              <w:bottom w:val="nil"/>
              <w:right w:val="single" w:color="000000" w:sz="4" w:space="0"/>
            </w:tcBorders>
          </w:tcPr>
          <w:p w14:paraId="7154D5F4"/>
        </w:tc>
        <w:tc>
          <w:tcPr>
            <w:tcW w:w="3680" w:type="dxa"/>
            <w:tcBorders>
              <w:left w:val="single" w:color="000000" w:sz="4" w:space="0"/>
              <w:right w:val="single" w:color="000000" w:sz="4" w:space="0"/>
            </w:tcBorders>
          </w:tcPr>
          <w:p w14:paraId="5EA0F058">
            <w:pPr>
              <w:spacing w:before="91" w:line="257" w:lineRule="auto"/>
              <w:ind w:left="59" w:right="52" w:firstLine="13"/>
              <w:rPr>
                <w:rFonts w:ascii="宋体" w:hAnsi="宋体" w:eastAsia="宋体" w:cs="宋体"/>
                <w:sz w:val="20"/>
                <w:szCs w:val="20"/>
              </w:rPr>
            </w:pPr>
            <w:r>
              <w:rPr>
                <w:rFonts w:ascii="宋体" w:hAnsi="宋体" w:eastAsia="宋体" w:cs="宋体"/>
                <w:spacing w:val="16"/>
                <w:sz w:val="20"/>
                <w:szCs w:val="20"/>
              </w:rPr>
              <w:t>畜</w:t>
            </w:r>
            <w:r>
              <w:rPr>
                <w:rFonts w:ascii="宋体" w:hAnsi="宋体" w:eastAsia="宋体" w:cs="宋体"/>
                <w:spacing w:val="9"/>
                <w:sz w:val="20"/>
                <w:szCs w:val="20"/>
              </w:rPr>
              <w:t>禽</w:t>
            </w:r>
            <w:r>
              <w:rPr>
                <w:rFonts w:ascii="宋体" w:hAnsi="宋体" w:eastAsia="宋体" w:cs="宋体"/>
                <w:spacing w:val="8"/>
                <w:sz w:val="20"/>
                <w:szCs w:val="20"/>
              </w:rPr>
              <w:t>养殖场应采取将畜禽废渣还田、生</w:t>
            </w:r>
            <w:r>
              <w:rPr>
                <w:rFonts w:ascii="宋体" w:hAnsi="宋体" w:eastAsia="宋体" w:cs="宋体"/>
                <w:sz w:val="20"/>
                <w:szCs w:val="20"/>
              </w:rPr>
              <w:t xml:space="preserve"> </w:t>
            </w:r>
            <w:r>
              <w:rPr>
                <w:rFonts w:ascii="宋体" w:hAnsi="宋体" w:eastAsia="宋体" w:cs="宋体"/>
                <w:spacing w:val="12"/>
                <w:sz w:val="20"/>
                <w:szCs w:val="20"/>
              </w:rPr>
              <w:t>产</w:t>
            </w:r>
            <w:r>
              <w:rPr>
                <w:rFonts w:ascii="宋体" w:hAnsi="宋体" w:eastAsia="宋体" w:cs="宋体"/>
                <w:spacing w:val="9"/>
                <w:sz w:val="20"/>
                <w:szCs w:val="20"/>
              </w:rPr>
              <w:t>沼气、制造有机肥料、制造再生饲料</w:t>
            </w:r>
            <w:r>
              <w:rPr>
                <w:rFonts w:ascii="宋体" w:hAnsi="宋体" w:eastAsia="宋体" w:cs="宋体"/>
                <w:sz w:val="20"/>
                <w:szCs w:val="20"/>
              </w:rPr>
              <w:t xml:space="preserve"> </w:t>
            </w:r>
            <w:r>
              <w:rPr>
                <w:rFonts w:ascii="宋体" w:hAnsi="宋体" w:eastAsia="宋体" w:cs="宋体"/>
                <w:spacing w:val="14"/>
                <w:sz w:val="20"/>
                <w:szCs w:val="20"/>
              </w:rPr>
              <w:t>等</w:t>
            </w:r>
            <w:r>
              <w:rPr>
                <w:rFonts w:ascii="宋体" w:hAnsi="宋体" w:eastAsia="宋体" w:cs="宋体"/>
                <w:spacing w:val="9"/>
                <w:sz w:val="20"/>
                <w:szCs w:val="20"/>
              </w:rPr>
              <w:t>方法进行综合利用，用于直接还田利</w:t>
            </w:r>
            <w:r>
              <w:rPr>
                <w:rFonts w:ascii="宋体" w:hAnsi="宋体" w:eastAsia="宋体" w:cs="宋体"/>
                <w:sz w:val="20"/>
                <w:szCs w:val="20"/>
              </w:rPr>
              <w:t xml:space="preserve"> </w:t>
            </w:r>
            <w:r>
              <w:rPr>
                <w:rFonts w:ascii="宋体" w:hAnsi="宋体" w:eastAsia="宋体" w:cs="宋体"/>
                <w:spacing w:val="11"/>
                <w:sz w:val="20"/>
                <w:szCs w:val="20"/>
              </w:rPr>
              <w:t>用</w:t>
            </w:r>
            <w:r>
              <w:rPr>
                <w:rFonts w:ascii="宋体" w:hAnsi="宋体" w:eastAsia="宋体" w:cs="宋体"/>
                <w:spacing w:val="9"/>
                <w:sz w:val="20"/>
                <w:szCs w:val="20"/>
              </w:rPr>
              <w:t>的畜禽粪便，应当经处理达到规定的</w:t>
            </w:r>
            <w:r>
              <w:rPr>
                <w:rFonts w:ascii="宋体" w:hAnsi="宋体" w:eastAsia="宋体" w:cs="宋体"/>
                <w:sz w:val="20"/>
                <w:szCs w:val="20"/>
              </w:rPr>
              <w:t xml:space="preserve"> </w:t>
            </w:r>
            <w:r>
              <w:rPr>
                <w:rFonts w:ascii="宋体" w:hAnsi="宋体" w:eastAsia="宋体" w:cs="宋体"/>
                <w:spacing w:val="10"/>
                <w:sz w:val="20"/>
                <w:szCs w:val="20"/>
              </w:rPr>
              <w:t>无</w:t>
            </w:r>
            <w:r>
              <w:rPr>
                <w:rFonts w:ascii="宋体" w:hAnsi="宋体" w:eastAsia="宋体" w:cs="宋体"/>
                <w:spacing w:val="9"/>
                <w:sz w:val="20"/>
                <w:szCs w:val="20"/>
              </w:rPr>
              <w:t>害化标准，防止病菌传播</w:t>
            </w:r>
          </w:p>
        </w:tc>
        <w:tc>
          <w:tcPr>
            <w:tcW w:w="3360" w:type="dxa"/>
            <w:vMerge w:val="continue"/>
            <w:tcBorders>
              <w:top w:val="nil"/>
              <w:left w:val="single" w:color="000000" w:sz="4" w:space="0"/>
              <w:bottom w:val="nil"/>
              <w:right w:val="single" w:color="000000" w:sz="4" w:space="0"/>
            </w:tcBorders>
          </w:tcPr>
          <w:p w14:paraId="5F313FCD"/>
        </w:tc>
        <w:tc>
          <w:tcPr>
            <w:tcW w:w="1089" w:type="dxa"/>
            <w:tcBorders>
              <w:left w:val="single" w:color="000000" w:sz="4" w:space="0"/>
              <w:right w:val="nil"/>
            </w:tcBorders>
          </w:tcPr>
          <w:p w14:paraId="7F698185">
            <w:pPr>
              <w:spacing w:line="282" w:lineRule="auto"/>
            </w:pPr>
          </w:p>
          <w:p w14:paraId="0D9ADAA8">
            <w:pPr>
              <w:spacing w:line="283" w:lineRule="auto"/>
            </w:pPr>
          </w:p>
          <w:p w14:paraId="08C324F1">
            <w:pPr>
              <w:spacing w:before="65" w:line="228" w:lineRule="auto"/>
              <w:ind w:left="338"/>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r w14:paraId="0166F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482" w:type="dxa"/>
            <w:vMerge w:val="continue"/>
            <w:tcBorders>
              <w:top w:val="nil"/>
              <w:left w:val="nil"/>
              <w:right w:val="single" w:color="000000" w:sz="4" w:space="0"/>
            </w:tcBorders>
          </w:tcPr>
          <w:p w14:paraId="0C4FD00D"/>
        </w:tc>
        <w:tc>
          <w:tcPr>
            <w:tcW w:w="3680" w:type="dxa"/>
            <w:tcBorders>
              <w:left w:val="single" w:color="000000" w:sz="4" w:space="0"/>
              <w:right w:val="single" w:color="000000" w:sz="4" w:space="0"/>
            </w:tcBorders>
          </w:tcPr>
          <w:p w14:paraId="6CED3A04">
            <w:pPr>
              <w:spacing w:before="90" w:line="228" w:lineRule="auto"/>
              <w:ind w:left="687"/>
              <w:rPr>
                <w:rFonts w:ascii="宋体" w:hAnsi="宋体" w:eastAsia="宋体" w:cs="宋体"/>
                <w:sz w:val="20"/>
                <w:szCs w:val="20"/>
              </w:rPr>
            </w:pPr>
            <w:r>
              <w:rPr>
                <w:rFonts w:ascii="宋体" w:hAnsi="宋体" w:eastAsia="宋体" w:cs="宋体"/>
                <w:spacing w:val="10"/>
                <w:sz w:val="20"/>
                <w:szCs w:val="20"/>
              </w:rPr>
              <w:t>禁</w:t>
            </w:r>
            <w:r>
              <w:rPr>
                <w:rFonts w:ascii="宋体" w:hAnsi="宋体" w:eastAsia="宋体" w:cs="宋体"/>
                <w:spacing w:val="9"/>
                <w:sz w:val="20"/>
                <w:szCs w:val="20"/>
              </w:rPr>
              <w:t>止向水体倾倒畜禽废渣</w:t>
            </w:r>
          </w:p>
        </w:tc>
        <w:tc>
          <w:tcPr>
            <w:tcW w:w="3360" w:type="dxa"/>
            <w:vMerge w:val="continue"/>
            <w:tcBorders>
              <w:top w:val="nil"/>
              <w:left w:val="single" w:color="000000" w:sz="4" w:space="0"/>
              <w:right w:val="single" w:color="000000" w:sz="4" w:space="0"/>
            </w:tcBorders>
          </w:tcPr>
          <w:p w14:paraId="63D7AD9A"/>
        </w:tc>
        <w:tc>
          <w:tcPr>
            <w:tcW w:w="1089" w:type="dxa"/>
            <w:tcBorders>
              <w:left w:val="single" w:color="000000" w:sz="4" w:space="0"/>
              <w:right w:val="nil"/>
            </w:tcBorders>
          </w:tcPr>
          <w:p w14:paraId="642BDA6A">
            <w:pPr>
              <w:spacing w:before="90" w:line="228" w:lineRule="auto"/>
              <w:ind w:left="338"/>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r w14:paraId="097C9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9" w:hRule="atLeast"/>
        </w:trPr>
        <w:tc>
          <w:tcPr>
            <w:tcW w:w="1482" w:type="dxa"/>
            <w:vMerge w:val="restart"/>
            <w:tcBorders>
              <w:left w:val="nil"/>
              <w:bottom w:val="nil"/>
              <w:right w:val="single" w:color="000000" w:sz="4" w:space="0"/>
            </w:tcBorders>
          </w:tcPr>
          <w:p w14:paraId="66FD650B">
            <w:pPr>
              <w:spacing w:line="242" w:lineRule="auto"/>
            </w:pPr>
          </w:p>
          <w:p w14:paraId="221A3AA7">
            <w:pPr>
              <w:spacing w:line="242" w:lineRule="auto"/>
            </w:pPr>
          </w:p>
          <w:p w14:paraId="6348EDEF">
            <w:pPr>
              <w:spacing w:line="242" w:lineRule="auto"/>
            </w:pPr>
          </w:p>
          <w:p w14:paraId="7FDCDEC9">
            <w:pPr>
              <w:spacing w:line="242" w:lineRule="auto"/>
            </w:pPr>
          </w:p>
          <w:p w14:paraId="575BB39D">
            <w:pPr>
              <w:spacing w:line="242" w:lineRule="auto"/>
            </w:pPr>
          </w:p>
          <w:p w14:paraId="74066BC5">
            <w:pPr>
              <w:spacing w:line="242" w:lineRule="auto"/>
            </w:pPr>
          </w:p>
          <w:p w14:paraId="35614753">
            <w:pPr>
              <w:spacing w:line="242" w:lineRule="auto"/>
            </w:pPr>
          </w:p>
          <w:p w14:paraId="6FF9FE36">
            <w:pPr>
              <w:spacing w:line="242" w:lineRule="auto"/>
            </w:pPr>
          </w:p>
          <w:p w14:paraId="649A4D42">
            <w:pPr>
              <w:spacing w:line="242" w:lineRule="auto"/>
            </w:pPr>
          </w:p>
          <w:p w14:paraId="0E92CFB2">
            <w:pPr>
              <w:spacing w:line="242" w:lineRule="auto"/>
            </w:pPr>
          </w:p>
          <w:p w14:paraId="313696AA">
            <w:pPr>
              <w:spacing w:line="242" w:lineRule="auto"/>
            </w:pPr>
          </w:p>
          <w:p w14:paraId="163EB7AD">
            <w:pPr>
              <w:spacing w:line="242" w:lineRule="auto"/>
            </w:pPr>
          </w:p>
          <w:p w14:paraId="7F1918FF">
            <w:pPr>
              <w:spacing w:line="242" w:lineRule="auto"/>
            </w:pPr>
          </w:p>
          <w:p w14:paraId="00E0F4D6">
            <w:pPr>
              <w:spacing w:line="242" w:lineRule="auto"/>
            </w:pPr>
          </w:p>
          <w:p w14:paraId="511D7581">
            <w:pPr>
              <w:spacing w:line="242" w:lineRule="auto"/>
            </w:pPr>
          </w:p>
          <w:p w14:paraId="7231C5CE">
            <w:pPr>
              <w:spacing w:line="242" w:lineRule="auto"/>
            </w:pPr>
          </w:p>
          <w:p w14:paraId="7A7E635F">
            <w:pPr>
              <w:spacing w:line="242" w:lineRule="auto"/>
            </w:pPr>
          </w:p>
          <w:p w14:paraId="5DB7374F">
            <w:pPr>
              <w:spacing w:line="242" w:lineRule="auto"/>
            </w:pPr>
          </w:p>
          <w:p w14:paraId="58D1BF05">
            <w:pPr>
              <w:spacing w:line="243" w:lineRule="auto"/>
            </w:pPr>
          </w:p>
          <w:p w14:paraId="0199FD2F">
            <w:pPr>
              <w:spacing w:line="243" w:lineRule="auto"/>
            </w:pPr>
          </w:p>
          <w:p w14:paraId="0B92A9CD">
            <w:pPr>
              <w:spacing w:line="243" w:lineRule="auto"/>
            </w:pPr>
          </w:p>
          <w:p w14:paraId="1488DA05">
            <w:pPr>
              <w:spacing w:before="65" w:line="261" w:lineRule="auto"/>
              <w:ind w:left="68" w:right="54" w:firstLine="9"/>
              <w:rPr>
                <w:rFonts w:ascii="宋体" w:hAnsi="宋体" w:eastAsia="宋体" w:cs="宋体"/>
                <w:sz w:val="20"/>
                <w:szCs w:val="20"/>
              </w:rPr>
            </w:pPr>
            <w:r>
              <w:rPr>
                <w:rFonts w:ascii="宋体" w:hAnsi="宋体" w:eastAsia="宋体" w:cs="宋体"/>
                <w:spacing w:val="24"/>
                <w:sz w:val="20"/>
                <w:szCs w:val="20"/>
              </w:rPr>
              <w:t>畜禽养殖业污</w:t>
            </w:r>
            <w:r>
              <w:rPr>
                <w:rFonts w:ascii="宋体" w:hAnsi="宋体" w:eastAsia="宋体" w:cs="宋体"/>
                <w:sz w:val="20"/>
                <w:szCs w:val="20"/>
              </w:rPr>
              <w:t xml:space="preserve"> </w:t>
            </w:r>
            <w:r>
              <w:rPr>
                <w:rFonts w:ascii="宋体" w:hAnsi="宋体" w:eastAsia="宋体" w:cs="宋体"/>
                <w:spacing w:val="29"/>
                <w:sz w:val="20"/>
                <w:szCs w:val="20"/>
              </w:rPr>
              <w:t>染</w:t>
            </w:r>
            <w:r>
              <w:rPr>
                <w:rFonts w:ascii="宋体" w:hAnsi="宋体" w:eastAsia="宋体" w:cs="宋体"/>
                <w:spacing w:val="25"/>
                <w:sz w:val="20"/>
                <w:szCs w:val="20"/>
              </w:rPr>
              <w:t>防治技术规</w:t>
            </w:r>
            <w:r>
              <w:rPr>
                <w:rFonts w:ascii="宋体" w:hAnsi="宋体" w:eastAsia="宋体" w:cs="宋体"/>
                <w:sz w:val="20"/>
                <w:szCs w:val="20"/>
              </w:rPr>
              <w:t xml:space="preserve"> 范</w:t>
            </w:r>
          </w:p>
        </w:tc>
        <w:tc>
          <w:tcPr>
            <w:tcW w:w="3680" w:type="dxa"/>
            <w:tcBorders>
              <w:left w:val="single" w:color="000000" w:sz="4" w:space="0"/>
              <w:right w:val="single" w:color="000000" w:sz="4" w:space="0"/>
            </w:tcBorders>
          </w:tcPr>
          <w:p w14:paraId="6120A7CD">
            <w:pPr>
              <w:spacing w:line="277" w:lineRule="auto"/>
            </w:pPr>
          </w:p>
          <w:p w14:paraId="3CD24B96">
            <w:pPr>
              <w:spacing w:line="277" w:lineRule="auto"/>
            </w:pPr>
          </w:p>
          <w:p w14:paraId="6AAA8F0F">
            <w:pPr>
              <w:spacing w:line="277" w:lineRule="auto"/>
            </w:pPr>
          </w:p>
          <w:p w14:paraId="2C3F1CED">
            <w:pPr>
              <w:spacing w:line="277" w:lineRule="auto"/>
            </w:pPr>
          </w:p>
          <w:p w14:paraId="0C4567D9">
            <w:pPr>
              <w:spacing w:before="65" w:line="261" w:lineRule="auto"/>
              <w:ind w:left="59" w:right="52"/>
              <w:rPr>
                <w:rFonts w:ascii="宋体" w:hAnsi="宋体" w:eastAsia="宋体" w:cs="宋体"/>
                <w:sz w:val="20"/>
                <w:szCs w:val="20"/>
              </w:rPr>
            </w:pPr>
            <w:r>
              <w:rPr>
                <w:rFonts w:ascii="宋体" w:hAnsi="宋体" w:eastAsia="宋体" w:cs="宋体"/>
                <w:spacing w:val="13"/>
                <w:sz w:val="20"/>
                <w:szCs w:val="20"/>
              </w:rPr>
              <w:t>新</w:t>
            </w:r>
            <w:r>
              <w:rPr>
                <w:rFonts w:ascii="宋体" w:hAnsi="宋体" w:eastAsia="宋体" w:cs="宋体"/>
                <w:spacing w:val="9"/>
                <w:sz w:val="20"/>
                <w:szCs w:val="20"/>
              </w:rPr>
              <w:t>建、改建、扩建的畜禽养殖场应实现</w:t>
            </w:r>
            <w:r>
              <w:rPr>
                <w:rFonts w:ascii="宋体" w:hAnsi="宋体" w:eastAsia="宋体" w:cs="宋体"/>
                <w:sz w:val="20"/>
                <w:szCs w:val="20"/>
              </w:rPr>
              <w:t xml:space="preserve"> </w:t>
            </w:r>
            <w:r>
              <w:rPr>
                <w:rFonts w:ascii="宋体" w:hAnsi="宋体" w:eastAsia="宋体" w:cs="宋体"/>
                <w:spacing w:val="10"/>
                <w:sz w:val="20"/>
                <w:szCs w:val="20"/>
              </w:rPr>
              <w:t>生</w:t>
            </w:r>
            <w:r>
              <w:rPr>
                <w:rFonts w:ascii="宋体" w:hAnsi="宋体" w:eastAsia="宋体" w:cs="宋体"/>
                <w:spacing w:val="9"/>
                <w:sz w:val="20"/>
                <w:szCs w:val="20"/>
              </w:rPr>
              <w:t>产区、生活管理区的隔离，建设粪便</w:t>
            </w:r>
            <w:r>
              <w:rPr>
                <w:rFonts w:ascii="宋体" w:hAnsi="宋体" w:eastAsia="宋体" w:cs="宋体"/>
                <w:sz w:val="20"/>
                <w:szCs w:val="20"/>
              </w:rPr>
              <w:t xml:space="preserve"> </w:t>
            </w:r>
            <w:r>
              <w:rPr>
                <w:rFonts w:ascii="宋体" w:hAnsi="宋体" w:eastAsia="宋体" w:cs="宋体"/>
                <w:spacing w:val="8"/>
                <w:sz w:val="20"/>
                <w:szCs w:val="20"/>
              </w:rPr>
              <w:t>污水处理设</w:t>
            </w:r>
            <w:r>
              <w:rPr>
                <w:rFonts w:ascii="宋体" w:hAnsi="宋体" w:eastAsia="宋体" w:cs="宋体"/>
                <w:spacing w:val="7"/>
                <w:sz w:val="20"/>
                <w:szCs w:val="20"/>
              </w:rPr>
              <w:t>施</w:t>
            </w:r>
          </w:p>
        </w:tc>
        <w:tc>
          <w:tcPr>
            <w:tcW w:w="3360" w:type="dxa"/>
            <w:tcBorders>
              <w:left w:val="single" w:color="000000" w:sz="4" w:space="0"/>
              <w:right w:val="single" w:color="000000" w:sz="4" w:space="0"/>
            </w:tcBorders>
          </w:tcPr>
          <w:p w14:paraId="5DADA8B3">
            <w:pPr>
              <w:spacing w:before="90" w:line="254" w:lineRule="auto"/>
              <w:ind w:left="59" w:firstLine="4"/>
              <w:rPr>
                <w:rFonts w:ascii="宋体" w:hAnsi="宋体" w:eastAsia="宋体" w:cs="宋体"/>
                <w:sz w:val="20"/>
                <w:szCs w:val="20"/>
              </w:rPr>
            </w:pPr>
            <w:r>
              <w:rPr>
                <w:rFonts w:ascii="宋体" w:hAnsi="宋体" w:eastAsia="宋体" w:cs="宋体"/>
                <w:spacing w:val="10"/>
                <w:sz w:val="20"/>
                <w:szCs w:val="20"/>
              </w:rPr>
              <w:t>项</w:t>
            </w:r>
            <w:r>
              <w:rPr>
                <w:rFonts w:ascii="宋体" w:hAnsi="宋体" w:eastAsia="宋体" w:cs="宋体"/>
                <w:spacing w:val="5"/>
                <w:sz w:val="20"/>
                <w:szCs w:val="20"/>
              </w:rPr>
              <w:t>目为新建，生活、生产分区建设，</w:t>
            </w:r>
            <w:r>
              <w:rPr>
                <w:rFonts w:ascii="宋体" w:hAnsi="宋体" w:eastAsia="宋体" w:cs="宋体"/>
                <w:sz w:val="20"/>
                <w:szCs w:val="20"/>
              </w:rPr>
              <w:t xml:space="preserve"> </w:t>
            </w:r>
            <w:r>
              <w:rPr>
                <w:rFonts w:ascii="宋体" w:hAnsi="宋体" w:eastAsia="宋体" w:cs="宋体"/>
                <w:spacing w:val="23"/>
                <w:sz w:val="20"/>
                <w:szCs w:val="20"/>
              </w:rPr>
              <w:t>日</w:t>
            </w:r>
            <w:r>
              <w:rPr>
                <w:rFonts w:ascii="宋体" w:hAnsi="宋体" w:eastAsia="宋体" w:cs="宋体"/>
                <w:spacing w:val="15"/>
                <w:sz w:val="20"/>
                <w:szCs w:val="20"/>
              </w:rPr>
              <w:t>常养殖时产生的猪粪与养殖废水</w:t>
            </w:r>
            <w:r>
              <w:rPr>
                <w:rFonts w:ascii="宋体" w:hAnsi="宋体" w:eastAsia="宋体" w:cs="宋体"/>
                <w:sz w:val="20"/>
                <w:szCs w:val="20"/>
              </w:rPr>
              <w:t xml:space="preserve"> </w:t>
            </w:r>
            <w:r>
              <w:rPr>
                <w:rFonts w:ascii="宋体" w:hAnsi="宋体" w:eastAsia="宋体" w:cs="宋体"/>
                <w:spacing w:val="25"/>
                <w:sz w:val="20"/>
                <w:szCs w:val="20"/>
              </w:rPr>
              <w:t>一</w:t>
            </w:r>
            <w:r>
              <w:rPr>
                <w:rFonts w:ascii="宋体" w:hAnsi="宋体" w:eastAsia="宋体" w:cs="宋体"/>
                <w:spacing w:val="15"/>
                <w:sz w:val="20"/>
                <w:szCs w:val="20"/>
              </w:rPr>
              <w:t>起交由乐山乐高勤力生物质能源</w:t>
            </w:r>
            <w:r>
              <w:rPr>
                <w:rFonts w:ascii="宋体" w:hAnsi="宋体" w:eastAsia="宋体" w:cs="宋体"/>
                <w:sz w:val="20"/>
                <w:szCs w:val="20"/>
              </w:rPr>
              <w:t xml:space="preserve"> </w:t>
            </w:r>
            <w:r>
              <w:rPr>
                <w:rFonts w:ascii="宋体" w:hAnsi="宋体" w:eastAsia="宋体" w:cs="宋体"/>
                <w:spacing w:val="25"/>
                <w:sz w:val="20"/>
                <w:szCs w:val="20"/>
              </w:rPr>
              <w:t>综</w:t>
            </w:r>
            <w:r>
              <w:rPr>
                <w:rFonts w:ascii="宋体" w:hAnsi="宋体" w:eastAsia="宋体" w:cs="宋体"/>
                <w:spacing w:val="15"/>
                <w:sz w:val="20"/>
                <w:szCs w:val="20"/>
              </w:rPr>
              <w:t>合利用有限公司集中处置，直接</w:t>
            </w:r>
            <w:r>
              <w:rPr>
                <w:rFonts w:ascii="宋体" w:hAnsi="宋体" w:eastAsia="宋体" w:cs="宋体"/>
                <w:sz w:val="20"/>
                <w:szCs w:val="20"/>
              </w:rPr>
              <w:t xml:space="preserve"> </w:t>
            </w:r>
            <w:r>
              <w:rPr>
                <w:rFonts w:ascii="宋体" w:hAnsi="宋体" w:eastAsia="宋体" w:cs="宋体"/>
                <w:spacing w:val="25"/>
                <w:sz w:val="20"/>
                <w:szCs w:val="20"/>
              </w:rPr>
              <w:t>每</w:t>
            </w:r>
            <w:r>
              <w:rPr>
                <w:rFonts w:ascii="宋体" w:hAnsi="宋体" w:eastAsia="宋体" w:cs="宋体"/>
                <w:spacing w:val="15"/>
                <w:sz w:val="20"/>
                <w:szCs w:val="20"/>
              </w:rPr>
              <w:t>天清运，不在厂区储存；厂区还</w:t>
            </w:r>
            <w:r>
              <w:rPr>
                <w:rFonts w:ascii="宋体" w:hAnsi="宋体" w:eastAsia="宋体" w:cs="宋体"/>
                <w:sz w:val="20"/>
                <w:szCs w:val="20"/>
              </w:rPr>
              <w:t xml:space="preserve"> </w:t>
            </w:r>
            <w:r>
              <w:rPr>
                <w:rFonts w:ascii="宋体" w:hAnsi="宋体" w:eastAsia="宋体" w:cs="宋体"/>
                <w:spacing w:val="23"/>
                <w:sz w:val="20"/>
                <w:szCs w:val="20"/>
              </w:rPr>
              <w:t>配</w:t>
            </w:r>
            <w:r>
              <w:rPr>
                <w:rFonts w:ascii="宋体" w:hAnsi="宋体" w:eastAsia="宋体" w:cs="宋体"/>
                <w:spacing w:val="15"/>
                <w:sz w:val="20"/>
                <w:szCs w:val="20"/>
              </w:rPr>
              <w:t>套建设有异位发酵床备用，若后</w:t>
            </w:r>
            <w:r>
              <w:rPr>
                <w:rFonts w:ascii="宋体" w:hAnsi="宋体" w:eastAsia="宋体" w:cs="宋体"/>
                <w:sz w:val="20"/>
                <w:szCs w:val="20"/>
              </w:rPr>
              <w:t xml:space="preserve"> </w:t>
            </w:r>
            <w:r>
              <w:rPr>
                <w:rFonts w:ascii="宋体" w:hAnsi="宋体" w:eastAsia="宋体" w:cs="宋体"/>
                <w:spacing w:val="25"/>
                <w:sz w:val="20"/>
                <w:szCs w:val="20"/>
              </w:rPr>
              <w:t>期</w:t>
            </w:r>
            <w:r>
              <w:rPr>
                <w:rFonts w:ascii="宋体" w:hAnsi="宋体" w:eastAsia="宋体" w:cs="宋体"/>
                <w:spacing w:val="15"/>
                <w:sz w:val="20"/>
                <w:szCs w:val="20"/>
              </w:rPr>
              <w:t>乐山乐高勤力生物质能源综合利</w:t>
            </w:r>
            <w:r>
              <w:rPr>
                <w:rFonts w:ascii="宋体" w:hAnsi="宋体" w:eastAsia="宋体" w:cs="宋体"/>
                <w:sz w:val="20"/>
                <w:szCs w:val="20"/>
              </w:rPr>
              <w:t xml:space="preserve"> </w:t>
            </w:r>
            <w:r>
              <w:rPr>
                <w:rFonts w:ascii="宋体" w:hAnsi="宋体" w:eastAsia="宋体" w:cs="宋体"/>
                <w:spacing w:val="25"/>
                <w:sz w:val="20"/>
                <w:szCs w:val="20"/>
              </w:rPr>
              <w:t>用</w:t>
            </w:r>
            <w:r>
              <w:rPr>
                <w:rFonts w:ascii="宋体" w:hAnsi="宋体" w:eastAsia="宋体" w:cs="宋体"/>
                <w:spacing w:val="15"/>
                <w:sz w:val="20"/>
                <w:szCs w:val="20"/>
              </w:rPr>
              <w:t>有限公司不再回收厂区内的养殖</w:t>
            </w:r>
            <w:r>
              <w:rPr>
                <w:rFonts w:ascii="宋体" w:hAnsi="宋体" w:eastAsia="宋体" w:cs="宋体"/>
                <w:sz w:val="20"/>
                <w:szCs w:val="20"/>
              </w:rPr>
              <w:t xml:space="preserve"> </w:t>
            </w:r>
            <w:r>
              <w:rPr>
                <w:rFonts w:ascii="宋体" w:hAnsi="宋体" w:eastAsia="宋体" w:cs="宋体"/>
                <w:spacing w:val="23"/>
                <w:sz w:val="20"/>
                <w:szCs w:val="20"/>
              </w:rPr>
              <w:t>废</w:t>
            </w:r>
            <w:r>
              <w:rPr>
                <w:rFonts w:ascii="宋体" w:hAnsi="宋体" w:eastAsia="宋体" w:cs="宋体"/>
                <w:spacing w:val="15"/>
                <w:sz w:val="20"/>
                <w:szCs w:val="20"/>
              </w:rPr>
              <w:t>水，可将与厂区内养殖废水一起</w:t>
            </w:r>
            <w:r>
              <w:rPr>
                <w:rFonts w:ascii="宋体" w:hAnsi="宋体" w:eastAsia="宋体" w:cs="宋体"/>
                <w:sz w:val="20"/>
                <w:szCs w:val="20"/>
              </w:rPr>
              <w:t xml:space="preserve"> </w:t>
            </w:r>
            <w:r>
              <w:rPr>
                <w:rFonts w:ascii="宋体" w:hAnsi="宋体" w:eastAsia="宋体" w:cs="宋体"/>
                <w:spacing w:val="23"/>
                <w:sz w:val="20"/>
                <w:szCs w:val="20"/>
              </w:rPr>
              <w:t>通</w:t>
            </w:r>
            <w:r>
              <w:rPr>
                <w:rFonts w:ascii="宋体" w:hAnsi="宋体" w:eastAsia="宋体" w:cs="宋体"/>
                <w:spacing w:val="15"/>
                <w:sz w:val="20"/>
                <w:szCs w:val="20"/>
              </w:rPr>
              <w:t>过异位发酵床自行处置，处理产</w:t>
            </w:r>
            <w:r>
              <w:rPr>
                <w:rFonts w:ascii="宋体" w:hAnsi="宋体" w:eastAsia="宋体" w:cs="宋体"/>
                <w:sz w:val="20"/>
                <w:szCs w:val="20"/>
              </w:rPr>
              <w:t xml:space="preserve"> </w:t>
            </w:r>
            <w:r>
              <w:rPr>
                <w:rFonts w:ascii="宋体" w:hAnsi="宋体" w:eastAsia="宋体" w:cs="宋体"/>
                <w:spacing w:val="9"/>
                <w:sz w:val="20"/>
                <w:szCs w:val="20"/>
              </w:rPr>
              <w:t>生的有机肥外售处</w:t>
            </w:r>
            <w:r>
              <w:rPr>
                <w:rFonts w:ascii="宋体" w:hAnsi="宋体" w:eastAsia="宋体" w:cs="宋体"/>
                <w:spacing w:val="8"/>
                <w:sz w:val="20"/>
                <w:szCs w:val="20"/>
              </w:rPr>
              <w:t>理</w:t>
            </w:r>
          </w:p>
        </w:tc>
        <w:tc>
          <w:tcPr>
            <w:tcW w:w="1089" w:type="dxa"/>
            <w:tcBorders>
              <w:left w:val="single" w:color="000000" w:sz="4" w:space="0"/>
              <w:right w:val="nil"/>
            </w:tcBorders>
          </w:tcPr>
          <w:p w14:paraId="6A2DD60F">
            <w:pPr>
              <w:spacing w:line="275" w:lineRule="auto"/>
            </w:pPr>
          </w:p>
          <w:p w14:paraId="7B79E107">
            <w:pPr>
              <w:spacing w:line="276" w:lineRule="auto"/>
            </w:pPr>
          </w:p>
          <w:p w14:paraId="0DBAB2BF">
            <w:pPr>
              <w:spacing w:line="276" w:lineRule="auto"/>
            </w:pPr>
          </w:p>
          <w:p w14:paraId="4E67FDC3">
            <w:pPr>
              <w:spacing w:line="276" w:lineRule="auto"/>
            </w:pPr>
          </w:p>
          <w:p w14:paraId="067EFA69">
            <w:pPr>
              <w:spacing w:line="276" w:lineRule="auto"/>
            </w:pPr>
          </w:p>
          <w:p w14:paraId="50593615">
            <w:pPr>
              <w:spacing w:before="65" w:line="228" w:lineRule="auto"/>
              <w:ind w:left="338"/>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r w14:paraId="4AFB08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1482" w:type="dxa"/>
            <w:vMerge w:val="continue"/>
            <w:tcBorders>
              <w:top w:val="nil"/>
              <w:left w:val="nil"/>
              <w:bottom w:val="nil"/>
              <w:right w:val="single" w:color="000000" w:sz="4" w:space="0"/>
            </w:tcBorders>
          </w:tcPr>
          <w:p w14:paraId="0BA0C28E"/>
        </w:tc>
        <w:tc>
          <w:tcPr>
            <w:tcW w:w="3680" w:type="dxa"/>
            <w:tcBorders>
              <w:left w:val="single" w:color="000000" w:sz="4" w:space="0"/>
              <w:right w:val="single" w:color="000000" w:sz="4" w:space="0"/>
            </w:tcBorders>
          </w:tcPr>
          <w:p w14:paraId="31547C7B">
            <w:pPr>
              <w:spacing w:before="93" w:line="265" w:lineRule="auto"/>
              <w:ind w:left="64" w:right="54" w:hanging="5"/>
              <w:rPr>
                <w:rFonts w:ascii="宋体" w:hAnsi="宋体" w:eastAsia="宋体" w:cs="宋体"/>
                <w:sz w:val="20"/>
                <w:szCs w:val="20"/>
              </w:rPr>
            </w:pPr>
            <w:r>
              <w:rPr>
                <w:rFonts w:ascii="宋体" w:hAnsi="宋体" w:eastAsia="宋体" w:cs="宋体"/>
                <w:spacing w:val="12"/>
                <w:sz w:val="20"/>
                <w:szCs w:val="20"/>
              </w:rPr>
              <w:t>应</w:t>
            </w:r>
            <w:r>
              <w:rPr>
                <w:rFonts w:ascii="宋体" w:hAnsi="宋体" w:eastAsia="宋体" w:cs="宋体"/>
                <w:spacing w:val="9"/>
                <w:sz w:val="20"/>
                <w:szCs w:val="20"/>
              </w:rPr>
              <w:t>设在养殖场的生产区、生活管理区的</w:t>
            </w:r>
            <w:r>
              <w:rPr>
                <w:rFonts w:ascii="宋体" w:hAnsi="宋体" w:eastAsia="宋体" w:cs="宋体"/>
                <w:sz w:val="20"/>
                <w:szCs w:val="20"/>
              </w:rPr>
              <w:t xml:space="preserve"> </w:t>
            </w:r>
            <w:r>
              <w:rPr>
                <w:rFonts w:ascii="宋体" w:hAnsi="宋体" w:eastAsia="宋体" w:cs="宋体"/>
                <w:spacing w:val="9"/>
                <w:sz w:val="20"/>
                <w:szCs w:val="20"/>
              </w:rPr>
              <w:t>常年主导风向的下风向或侧风向处</w:t>
            </w:r>
          </w:p>
        </w:tc>
        <w:tc>
          <w:tcPr>
            <w:tcW w:w="3360" w:type="dxa"/>
            <w:tcBorders>
              <w:left w:val="single" w:color="000000" w:sz="4" w:space="0"/>
              <w:right w:val="single" w:color="000000" w:sz="4" w:space="0"/>
            </w:tcBorders>
          </w:tcPr>
          <w:p w14:paraId="11384BAF">
            <w:pPr>
              <w:spacing w:before="228" w:line="228" w:lineRule="auto"/>
              <w:ind w:left="843"/>
              <w:rPr>
                <w:rFonts w:ascii="宋体" w:hAnsi="宋体" w:eastAsia="宋体" w:cs="宋体"/>
                <w:sz w:val="20"/>
                <w:szCs w:val="20"/>
              </w:rPr>
            </w:pPr>
            <w:r>
              <w:rPr>
                <w:rFonts w:ascii="宋体" w:hAnsi="宋体" w:eastAsia="宋体" w:cs="宋体"/>
                <w:spacing w:val="13"/>
                <w:sz w:val="20"/>
                <w:szCs w:val="20"/>
              </w:rPr>
              <w:t>位</w:t>
            </w:r>
            <w:r>
              <w:rPr>
                <w:rFonts w:ascii="宋体" w:hAnsi="宋体" w:eastAsia="宋体" w:cs="宋体"/>
                <w:spacing w:val="8"/>
                <w:sz w:val="20"/>
                <w:szCs w:val="20"/>
              </w:rPr>
              <w:t>于主导风下风向</w:t>
            </w:r>
          </w:p>
        </w:tc>
        <w:tc>
          <w:tcPr>
            <w:tcW w:w="1089" w:type="dxa"/>
            <w:tcBorders>
              <w:left w:val="single" w:color="000000" w:sz="4" w:space="0"/>
              <w:right w:val="nil"/>
            </w:tcBorders>
          </w:tcPr>
          <w:p w14:paraId="37BC399D">
            <w:pPr>
              <w:spacing w:before="227" w:line="228" w:lineRule="auto"/>
              <w:ind w:left="338"/>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r w14:paraId="2B8D1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1482" w:type="dxa"/>
            <w:vMerge w:val="continue"/>
            <w:tcBorders>
              <w:top w:val="nil"/>
              <w:left w:val="nil"/>
              <w:bottom w:val="nil"/>
              <w:right w:val="single" w:color="000000" w:sz="4" w:space="0"/>
            </w:tcBorders>
          </w:tcPr>
          <w:p w14:paraId="1B949A4B"/>
        </w:tc>
        <w:tc>
          <w:tcPr>
            <w:tcW w:w="3680" w:type="dxa"/>
            <w:tcBorders>
              <w:left w:val="single" w:color="000000" w:sz="4" w:space="0"/>
              <w:right w:val="single" w:color="000000" w:sz="4" w:space="0"/>
            </w:tcBorders>
          </w:tcPr>
          <w:p w14:paraId="2EEFF48E">
            <w:pPr>
              <w:spacing w:before="92" w:line="261" w:lineRule="auto"/>
              <w:ind w:left="59" w:right="54"/>
              <w:rPr>
                <w:rFonts w:ascii="宋体" w:hAnsi="宋体" w:eastAsia="宋体" w:cs="宋体"/>
                <w:sz w:val="20"/>
                <w:szCs w:val="20"/>
              </w:rPr>
            </w:pPr>
            <w:r>
              <w:rPr>
                <w:rFonts w:ascii="宋体" w:hAnsi="宋体" w:eastAsia="宋体" w:cs="宋体"/>
                <w:spacing w:val="25"/>
                <w:sz w:val="20"/>
                <w:szCs w:val="20"/>
              </w:rPr>
              <w:t>养</w:t>
            </w:r>
            <w:r>
              <w:rPr>
                <w:rFonts w:ascii="宋体" w:hAnsi="宋体" w:eastAsia="宋体" w:cs="宋体"/>
                <w:spacing w:val="22"/>
                <w:sz w:val="20"/>
                <w:szCs w:val="20"/>
              </w:rPr>
              <w:t>殖场的排水系统应实行雨水和污水</w:t>
            </w:r>
            <w:r>
              <w:rPr>
                <w:rFonts w:ascii="宋体" w:hAnsi="宋体" w:eastAsia="宋体" w:cs="宋体"/>
                <w:sz w:val="20"/>
                <w:szCs w:val="20"/>
              </w:rPr>
              <w:t xml:space="preserve"> </w:t>
            </w:r>
            <w:r>
              <w:rPr>
                <w:rFonts w:ascii="宋体" w:hAnsi="宋体" w:eastAsia="宋体" w:cs="宋体"/>
                <w:spacing w:val="10"/>
                <w:sz w:val="20"/>
                <w:szCs w:val="20"/>
              </w:rPr>
              <w:t>收</w:t>
            </w:r>
            <w:r>
              <w:rPr>
                <w:rFonts w:ascii="宋体" w:hAnsi="宋体" w:eastAsia="宋体" w:cs="宋体"/>
                <w:spacing w:val="9"/>
                <w:sz w:val="20"/>
                <w:szCs w:val="20"/>
              </w:rPr>
              <w:t>集输送系统分离，在场区内外设置的</w:t>
            </w:r>
            <w:r>
              <w:rPr>
                <w:rFonts w:ascii="宋体" w:hAnsi="宋体" w:eastAsia="宋体" w:cs="宋体"/>
                <w:sz w:val="20"/>
                <w:szCs w:val="20"/>
              </w:rPr>
              <w:t xml:space="preserve"> </w:t>
            </w:r>
            <w:r>
              <w:rPr>
                <w:rFonts w:ascii="宋体" w:hAnsi="宋体" w:eastAsia="宋体" w:cs="宋体"/>
                <w:spacing w:val="10"/>
                <w:sz w:val="20"/>
                <w:szCs w:val="20"/>
              </w:rPr>
              <w:t>污</w:t>
            </w:r>
            <w:r>
              <w:rPr>
                <w:rFonts w:ascii="宋体" w:hAnsi="宋体" w:eastAsia="宋体" w:cs="宋体"/>
                <w:spacing w:val="9"/>
                <w:sz w:val="20"/>
                <w:szCs w:val="20"/>
              </w:rPr>
              <w:t>水收集输送系统，不得采取明沟布设</w:t>
            </w:r>
          </w:p>
        </w:tc>
        <w:tc>
          <w:tcPr>
            <w:tcW w:w="3360" w:type="dxa"/>
            <w:tcBorders>
              <w:left w:val="single" w:color="000000" w:sz="4" w:space="0"/>
              <w:right w:val="single" w:color="000000" w:sz="4" w:space="0"/>
            </w:tcBorders>
          </w:tcPr>
          <w:p w14:paraId="4685C619">
            <w:pPr>
              <w:spacing w:before="92" w:line="261" w:lineRule="auto"/>
              <w:ind w:left="60" w:right="52" w:hanging="1"/>
              <w:rPr>
                <w:rFonts w:ascii="宋体" w:hAnsi="宋体" w:eastAsia="宋体" w:cs="宋体"/>
                <w:sz w:val="20"/>
                <w:szCs w:val="20"/>
              </w:rPr>
            </w:pPr>
            <w:r>
              <w:rPr>
                <w:rFonts w:ascii="宋体" w:hAnsi="宋体" w:eastAsia="宋体" w:cs="宋体"/>
                <w:spacing w:val="16"/>
                <w:sz w:val="20"/>
                <w:szCs w:val="20"/>
              </w:rPr>
              <w:t>采取雨污分流措施，污水不外排</w:t>
            </w:r>
            <w:r>
              <w:rPr>
                <w:rFonts w:ascii="宋体" w:hAnsi="宋体" w:eastAsia="宋体" w:cs="宋体"/>
                <w:spacing w:val="13"/>
                <w:sz w:val="20"/>
                <w:szCs w:val="20"/>
              </w:rPr>
              <w:t>，</w:t>
            </w:r>
            <w:r>
              <w:rPr>
                <w:rFonts w:ascii="宋体" w:hAnsi="宋体" w:eastAsia="宋体" w:cs="宋体"/>
                <w:sz w:val="20"/>
                <w:szCs w:val="20"/>
              </w:rPr>
              <w:t xml:space="preserve"> </w:t>
            </w:r>
            <w:r>
              <w:rPr>
                <w:rFonts w:ascii="宋体" w:hAnsi="宋体" w:eastAsia="宋体" w:cs="宋体"/>
                <w:spacing w:val="25"/>
                <w:sz w:val="20"/>
                <w:szCs w:val="20"/>
              </w:rPr>
              <w:t>直</w:t>
            </w:r>
            <w:r>
              <w:rPr>
                <w:rFonts w:ascii="宋体" w:hAnsi="宋体" w:eastAsia="宋体" w:cs="宋体"/>
                <w:spacing w:val="15"/>
                <w:sz w:val="20"/>
                <w:szCs w:val="20"/>
              </w:rPr>
              <w:t>接由乐山乐高勤力生物质能源综</w:t>
            </w:r>
            <w:r>
              <w:rPr>
                <w:rFonts w:ascii="宋体" w:hAnsi="宋体" w:eastAsia="宋体" w:cs="宋体"/>
                <w:sz w:val="20"/>
                <w:szCs w:val="20"/>
              </w:rPr>
              <w:t xml:space="preserve"> </w:t>
            </w:r>
            <w:r>
              <w:rPr>
                <w:rFonts w:ascii="宋体" w:hAnsi="宋体" w:eastAsia="宋体" w:cs="宋体"/>
                <w:spacing w:val="9"/>
                <w:sz w:val="20"/>
                <w:szCs w:val="20"/>
              </w:rPr>
              <w:t>合利用有限公司，每天拉运</w:t>
            </w:r>
          </w:p>
        </w:tc>
        <w:tc>
          <w:tcPr>
            <w:tcW w:w="1089" w:type="dxa"/>
            <w:tcBorders>
              <w:left w:val="single" w:color="000000" w:sz="4" w:space="0"/>
              <w:right w:val="nil"/>
            </w:tcBorders>
          </w:tcPr>
          <w:p w14:paraId="150D971C">
            <w:pPr>
              <w:spacing w:line="298" w:lineRule="auto"/>
            </w:pPr>
          </w:p>
          <w:p w14:paraId="456AC179">
            <w:pPr>
              <w:spacing w:before="65" w:line="228" w:lineRule="auto"/>
              <w:ind w:left="338"/>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r w14:paraId="40B3A4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7" w:hRule="atLeast"/>
        </w:trPr>
        <w:tc>
          <w:tcPr>
            <w:tcW w:w="1482" w:type="dxa"/>
            <w:vMerge w:val="continue"/>
            <w:tcBorders>
              <w:top w:val="nil"/>
              <w:left w:val="nil"/>
              <w:bottom w:val="nil"/>
              <w:right w:val="single" w:color="000000" w:sz="4" w:space="0"/>
            </w:tcBorders>
          </w:tcPr>
          <w:p w14:paraId="5DC0EA01"/>
        </w:tc>
        <w:tc>
          <w:tcPr>
            <w:tcW w:w="3680" w:type="dxa"/>
            <w:tcBorders>
              <w:left w:val="single" w:color="000000" w:sz="4" w:space="0"/>
              <w:right w:val="single" w:color="000000" w:sz="4" w:space="0"/>
            </w:tcBorders>
          </w:tcPr>
          <w:p w14:paraId="4CDE2113">
            <w:pPr>
              <w:spacing w:line="353" w:lineRule="auto"/>
            </w:pPr>
          </w:p>
          <w:p w14:paraId="00A7A149">
            <w:pPr>
              <w:spacing w:line="353" w:lineRule="auto"/>
            </w:pPr>
          </w:p>
          <w:p w14:paraId="39E316A8">
            <w:pPr>
              <w:spacing w:before="65" w:line="257" w:lineRule="auto"/>
              <w:ind w:left="58" w:right="52" w:firstLine="1"/>
              <w:rPr>
                <w:rFonts w:ascii="宋体" w:hAnsi="宋体" w:eastAsia="宋体" w:cs="宋体"/>
                <w:sz w:val="20"/>
                <w:szCs w:val="20"/>
              </w:rPr>
            </w:pPr>
            <w:r>
              <w:rPr>
                <w:rFonts w:ascii="宋体" w:hAnsi="宋体" w:eastAsia="宋体" w:cs="宋体"/>
                <w:spacing w:val="13"/>
                <w:sz w:val="20"/>
                <w:szCs w:val="20"/>
              </w:rPr>
              <w:t>新</w:t>
            </w:r>
            <w:r>
              <w:rPr>
                <w:rFonts w:ascii="宋体" w:hAnsi="宋体" w:eastAsia="宋体" w:cs="宋体"/>
                <w:spacing w:val="9"/>
                <w:sz w:val="20"/>
                <w:szCs w:val="20"/>
              </w:rPr>
              <w:t>建、改建、扩建的畜禽养殖场应采取</w:t>
            </w:r>
            <w:r>
              <w:rPr>
                <w:rFonts w:ascii="宋体" w:hAnsi="宋体" w:eastAsia="宋体" w:cs="宋体"/>
                <w:sz w:val="20"/>
                <w:szCs w:val="20"/>
              </w:rPr>
              <w:t xml:space="preserve"> </w:t>
            </w:r>
            <w:r>
              <w:rPr>
                <w:rFonts w:ascii="宋体" w:hAnsi="宋体" w:eastAsia="宋体" w:cs="宋体"/>
                <w:spacing w:val="26"/>
                <w:sz w:val="20"/>
                <w:szCs w:val="20"/>
              </w:rPr>
              <w:t>干</w:t>
            </w:r>
            <w:r>
              <w:rPr>
                <w:rFonts w:ascii="宋体" w:hAnsi="宋体" w:eastAsia="宋体" w:cs="宋体"/>
                <w:spacing w:val="22"/>
                <w:sz w:val="20"/>
                <w:szCs w:val="20"/>
              </w:rPr>
              <w:t>法清粪工艺，采取有效措施将粪及</w:t>
            </w:r>
            <w:r>
              <w:rPr>
                <w:rFonts w:ascii="宋体" w:hAnsi="宋体" w:eastAsia="宋体" w:cs="宋体"/>
                <w:sz w:val="20"/>
                <w:szCs w:val="20"/>
              </w:rPr>
              <w:t xml:space="preserve"> </w:t>
            </w:r>
            <w:r>
              <w:rPr>
                <w:rFonts w:ascii="宋体" w:hAnsi="宋体" w:eastAsia="宋体" w:cs="宋体"/>
                <w:spacing w:val="15"/>
                <w:sz w:val="20"/>
                <w:szCs w:val="20"/>
              </w:rPr>
              <w:t>时</w:t>
            </w:r>
            <w:r>
              <w:rPr>
                <w:rFonts w:ascii="宋体" w:hAnsi="宋体" w:eastAsia="宋体" w:cs="宋体"/>
                <w:spacing w:val="9"/>
                <w:sz w:val="20"/>
                <w:szCs w:val="20"/>
              </w:rPr>
              <w:t>、单独清出，不可与尿、污水混合排</w:t>
            </w:r>
            <w:r>
              <w:rPr>
                <w:rFonts w:ascii="宋体" w:hAnsi="宋体" w:eastAsia="宋体" w:cs="宋体"/>
                <w:sz w:val="20"/>
                <w:szCs w:val="20"/>
              </w:rPr>
              <w:t xml:space="preserve"> </w:t>
            </w:r>
            <w:r>
              <w:rPr>
                <w:rFonts w:ascii="宋体" w:hAnsi="宋体" w:eastAsia="宋体" w:cs="宋体"/>
                <w:spacing w:val="15"/>
                <w:sz w:val="20"/>
                <w:szCs w:val="20"/>
              </w:rPr>
              <w:t>出</w:t>
            </w:r>
            <w:r>
              <w:rPr>
                <w:rFonts w:ascii="宋体" w:hAnsi="宋体" w:eastAsia="宋体" w:cs="宋体"/>
                <w:spacing w:val="9"/>
                <w:sz w:val="20"/>
                <w:szCs w:val="20"/>
              </w:rPr>
              <w:t>，并将产生的粪渣及时运至贮存或处</w:t>
            </w:r>
            <w:r>
              <w:rPr>
                <w:rFonts w:ascii="宋体" w:hAnsi="宋体" w:eastAsia="宋体" w:cs="宋体"/>
                <w:sz w:val="20"/>
                <w:szCs w:val="20"/>
              </w:rPr>
              <w:t xml:space="preserve"> </w:t>
            </w:r>
            <w:r>
              <w:rPr>
                <w:rFonts w:ascii="宋体" w:hAnsi="宋体" w:eastAsia="宋体" w:cs="宋体"/>
                <w:spacing w:val="9"/>
                <w:sz w:val="20"/>
                <w:szCs w:val="20"/>
              </w:rPr>
              <w:t>理场所，实现日产日清</w:t>
            </w:r>
          </w:p>
        </w:tc>
        <w:tc>
          <w:tcPr>
            <w:tcW w:w="3360" w:type="dxa"/>
            <w:tcBorders>
              <w:left w:val="single" w:color="000000" w:sz="4" w:space="0"/>
              <w:right w:val="single" w:color="000000" w:sz="4" w:space="0"/>
            </w:tcBorders>
          </w:tcPr>
          <w:p w14:paraId="57E8FA28">
            <w:pPr>
              <w:spacing w:before="95" w:line="254" w:lineRule="auto"/>
              <w:ind w:left="60" w:right="52"/>
              <w:rPr>
                <w:rFonts w:ascii="宋体" w:hAnsi="宋体" w:eastAsia="宋体" w:cs="宋体"/>
                <w:sz w:val="20"/>
                <w:szCs w:val="20"/>
              </w:rPr>
            </w:pPr>
            <w:r>
              <w:rPr>
                <w:rFonts w:ascii="宋体" w:hAnsi="宋体" w:eastAsia="宋体" w:cs="宋体"/>
                <w:spacing w:val="24"/>
                <w:sz w:val="20"/>
                <w:szCs w:val="20"/>
              </w:rPr>
              <w:t>猪</w:t>
            </w:r>
            <w:r>
              <w:rPr>
                <w:rFonts w:ascii="宋体" w:hAnsi="宋体" w:eastAsia="宋体" w:cs="宋体"/>
                <w:spacing w:val="15"/>
                <w:sz w:val="20"/>
                <w:szCs w:val="20"/>
              </w:rPr>
              <w:t>粪与养殖废水一起交由乐山乐高</w:t>
            </w:r>
            <w:r>
              <w:rPr>
                <w:rFonts w:ascii="宋体" w:hAnsi="宋体" w:eastAsia="宋体" w:cs="宋体"/>
                <w:sz w:val="20"/>
                <w:szCs w:val="20"/>
              </w:rPr>
              <w:t xml:space="preserve"> </w:t>
            </w:r>
            <w:r>
              <w:rPr>
                <w:rFonts w:ascii="宋体" w:hAnsi="宋体" w:eastAsia="宋体" w:cs="宋体"/>
                <w:spacing w:val="26"/>
                <w:sz w:val="20"/>
                <w:szCs w:val="20"/>
              </w:rPr>
              <w:t>勤</w:t>
            </w:r>
            <w:r>
              <w:rPr>
                <w:rFonts w:ascii="宋体" w:hAnsi="宋体" w:eastAsia="宋体" w:cs="宋体"/>
                <w:spacing w:val="15"/>
                <w:sz w:val="20"/>
                <w:szCs w:val="20"/>
              </w:rPr>
              <w:t>力生物质能源综合利用有限公司</w:t>
            </w:r>
            <w:r>
              <w:rPr>
                <w:rFonts w:ascii="宋体" w:hAnsi="宋体" w:eastAsia="宋体" w:cs="宋体"/>
                <w:sz w:val="20"/>
                <w:szCs w:val="20"/>
              </w:rPr>
              <w:t xml:space="preserve"> </w:t>
            </w:r>
            <w:r>
              <w:rPr>
                <w:rFonts w:ascii="宋体" w:hAnsi="宋体" w:eastAsia="宋体" w:cs="宋体"/>
                <w:spacing w:val="24"/>
                <w:sz w:val="20"/>
                <w:szCs w:val="20"/>
              </w:rPr>
              <w:t>集</w:t>
            </w:r>
            <w:r>
              <w:rPr>
                <w:rFonts w:ascii="宋体" w:hAnsi="宋体" w:eastAsia="宋体" w:cs="宋体"/>
                <w:spacing w:val="15"/>
                <w:sz w:val="20"/>
                <w:szCs w:val="20"/>
              </w:rPr>
              <w:t>中处置，直接每天清运，不在厂</w:t>
            </w:r>
            <w:r>
              <w:rPr>
                <w:rFonts w:ascii="宋体" w:hAnsi="宋体" w:eastAsia="宋体" w:cs="宋体"/>
                <w:sz w:val="20"/>
                <w:szCs w:val="20"/>
              </w:rPr>
              <w:t xml:space="preserve"> </w:t>
            </w:r>
            <w:r>
              <w:rPr>
                <w:rFonts w:ascii="宋体" w:hAnsi="宋体" w:eastAsia="宋体" w:cs="宋体"/>
                <w:spacing w:val="26"/>
                <w:sz w:val="20"/>
                <w:szCs w:val="20"/>
              </w:rPr>
              <w:t>区</w:t>
            </w:r>
            <w:r>
              <w:rPr>
                <w:rFonts w:ascii="宋体" w:hAnsi="宋体" w:eastAsia="宋体" w:cs="宋体"/>
                <w:spacing w:val="15"/>
                <w:sz w:val="20"/>
                <w:szCs w:val="20"/>
              </w:rPr>
              <w:t>储存；厂区还配套建设有异位发</w:t>
            </w:r>
            <w:r>
              <w:rPr>
                <w:rFonts w:ascii="宋体" w:hAnsi="宋体" w:eastAsia="宋体" w:cs="宋体"/>
                <w:sz w:val="20"/>
                <w:szCs w:val="20"/>
              </w:rPr>
              <w:t xml:space="preserve"> </w:t>
            </w:r>
            <w:r>
              <w:rPr>
                <w:rFonts w:ascii="宋体" w:hAnsi="宋体" w:eastAsia="宋体" w:cs="宋体"/>
                <w:spacing w:val="26"/>
                <w:sz w:val="20"/>
                <w:szCs w:val="20"/>
              </w:rPr>
              <w:t>酵</w:t>
            </w:r>
            <w:r>
              <w:rPr>
                <w:rFonts w:ascii="宋体" w:hAnsi="宋体" w:eastAsia="宋体" w:cs="宋体"/>
                <w:spacing w:val="15"/>
                <w:sz w:val="20"/>
                <w:szCs w:val="20"/>
              </w:rPr>
              <w:t>床备用，若后期乐山乐高勤力生</w:t>
            </w:r>
            <w:r>
              <w:rPr>
                <w:rFonts w:ascii="宋体" w:hAnsi="宋体" w:eastAsia="宋体" w:cs="宋体"/>
                <w:sz w:val="20"/>
                <w:szCs w:val="20"/>
              </w:rPr>
              <w:t xml:space="preserve"> </w:t>
            </w:r>
            <w:r>
              <w:rPr>
                <w:rFonts w:ascii="宋体" w:hAnsi="宋体" w:eastAsia="宋体" w:cs="宋体"/>
                <w:spacing w:val="26"/>
                <w:sz w:val="20"/>
                <w:szCs w:val="20"/>
              </w:rPr>
              <w:t>物</w:t>
            </w:r>
            <w:r>
              <w:rPr>
                <w:rFonts w:ascii="宋体" w:hAnsi="宋体" w:eastAsia="宋体" w:cs="宋体"/>
                <w:spacing w:val="15"/>
                <w:sz w:val="20"/>
                <w:szCs w:val="20"/>
              </w:rPr>
              <w:t>质能源综合利用有限公司不再回</w:t>
            </w:r>
            <w:r>
              <w:rPr>
                <w:rFonts w:ascii="宋体" w:hAnsi="宋体" w:eastAsia="宋体" w:cs="宋体"/>
                <w:sz w:val="20"/>
                <w:szCs w:val="20"/>
              </w:rPr>
              <w:t xml:space="preserve"> </w:t>
            </w:r>
            <w:r>
              <w:rPr>
                <w:rFonts w:ascii="宋体" w:hAnsi="宋体" w:eastAsia="宋体" w:cs="宋体"/>
                <w:spacing w:val="26"/>
                <w:sz w:val="20"/>
                <w:szCs w:val="20"/>
              </w:rPr>
              <w:t>收</w:t>
            </w:r>
            <w:r>
              <w:rPr>
                <w:rFonts w:ascii="宋体" w:hAnsi="宋体" w:eastAsia="宋体" w:cs="宋体"/>
                <w:spacing w:val="15"/>
                <w:sz w:val="20"/>
                <w:szCs w:val="20"/>
              </w:rPr>
              <w:t>厂区内的养殖废水，可将与厂区</w:t>
            </w:r>
            <w:r>
              <w:rPr>
                <w:rFonts w:ascii="宋体" w:hAnsi="宋体" w:eastAsia="宋体" w:cs="宋体"/>
                <w:sz w:val="20"/>
                <w:szCs w:val="20"/>
              </w:rPr>
              <w:t xml:space="preserve"> </w:t>
            </w:r>
            <w:r>
              <w:rPr>
                <w:rFonts w:ascii="宋体" w:hAnsi="宋体" w:eastAsia="宋体" w:cs="宋体"/>
                <w:spacing w:val="24"/>
                <w:sz w:val="20"/>
                <w:szCs w:val="20"/>
              </w:rPr>
              <w:t>内</w:t>
            </w:r>
            <w:r>
              <w:rPr>
                <w:rFonts w:ascii="宋体" w:hAnsi="宋体" w:eastAsia="宋体" w:cs="宋体"/>
                <w:spacing w:val="15"/>
                <w:sz w:val="20"/>
                <w:szCs w:val="20"/>
              </w:rPr>
              <w:t>养殖废水一起通过异位发酵床自</w:t>
            </w:r>
            <w:r>
              <w:rPr>
                <w:rFonts w:ascii="宋体" w:hAnsi="宋体" w:eastAsia="宋体" w:cs="宋体"/>
                <w:sz w:val="20"/>
                <w:szCs w:val="20"/>
              </w:rPr>
              <w:t xml:space="preserve"> </w:t>
            </w:r>
            <w:r>
              <w:rPr>
                <w:rFonts w:ascii="宋体" w:hAnsi="宋体" w:eastAsia="宋体" w:cs="宋体"/>
                <w:spacing w:val="26"/>
                <w:sz w:val="20"/>
                <w:szCs w:val="20"/>
              </w:rPr>
              <w:t>行</w:t>
            </w:r>
            <w:r>
              <w:rPr>
                <w:rFonts w:ascii="宋体" w:hAnsi="宋体" w:eastAsia="宋体" w:cs="宋体"/>
                <w:spacing w:val="15"/>
                <w:sz w:val="20"/>
                <w:szCs w:val="20"/>
              </w:rPr>
              <w:t>处置，处理产生的有机肥外售处</w:t>
            </w:r>
            <w:r>
              <w:rPr>
                <w:rFonts w:ascii="宋体" w:hAnsi="宋体" w:eastAsia="宋体" w:cs="宋体"/>
                <w:sz w:val="20"/>
                <w:szCs w:val="20"/>
              </w:rPr>
              <w:t xml:space="preserve"> 理</w:t>
            </w:r>
          </w:p>
        </w:tc>
        <w:tc>
          <w:tcPr>
            <w:tcW w:w="1089" w:type="dxa"/>
            <w:tcBorders>
              <w:left w:val="single" w:color="000000" w:sz="4" w:space="0"/>
              <w:right w:val="nil"/>
            </w:tcBorders>
          </w:tcPr>
          <w:p w14:paraId="1FD1AEA5">
            <w:pPr>
              <w:spacing w:line="249" w:lineRule="auto"/>
            </w:pPr>
          </w:p>
          <w:p w14:paraId="4A25A8D0">
            <w:pPr>
              <w:spacing w:line="249" w:lineRule="auto"/>
            </w:pPr>
          </w:p>
          <w:p w14:paraId="21CA083C">
            <w:pPr>
              <w:spacing w:line="249" w:lineRule="auto"/>
            </w:pPr>
          </w:p>
          <w:p w14:paraId="5EAAA303">
            <w:pPr>
              <w:spacing w:line="249" w:lineRule="auto"/>
            </w:pPr>
          </w:p>
          <w:p w14:paraId="533C934A">
            <w:pPr>
              <w:spacing w:line="249" w:lineRule="auto"/>
            </w:pPr>
          </w:p>
          <w:p w14:paraId="55EB589F">
            <w:pPr>
              <w:spacing w:before="65" w:line="228" w:lineRule="auto"/>
              <w:ind w:left="338"/>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r w14:paraId="6A188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4" w:hRule="atLeast"/>
        </w:trPr>
        <w:tc>
          <w:tcPr>
            <w:tcW w:w="1482" w:type="dxa"/>
            <w:vMerge w:val="continue"/>
            <w:tcBorders>
              <w:top w:val="nil"/>
              <w:left w:val="nil"/>
              <w:bottom w:val="nil"/>
              <w:right w:val="single" w:color="000000" w:sz="4" w:space="0"/>
            </w:tcBorders>
          </w:tcPr>
          <w:p w14:paraId="46B3F8D1"/>
        </w:tc>
        <w:tc>
          <w:tcPr>
            <w:tcW w:w="3680" w:type="dxa"/>
            <w:tcBorders>
              <w:left w:val="single" w:color="000000" w:sz="4" w:space="0"/>
              <w:right w:val="single" w:color="000000" w:sz="4" w:space="0"/>
            </w:tcBorders>
          </w:tcPr>
          <w:p w14:paraId="015D3CA7">
            <w:pPr>
              <w:spacing w:before="94" w:line="254" w:lineRule="auto"/>
              <w:ind w:left="58" w:right="52"/>
              <w:rPr>
                <w:rFonts w:ascii="宋体" w:hAnsi="宋体" w:eastAsia="宋体" w:cs="宋体"/>
                <w:sz w:val="20"/>
                <w:szCs w:val="20"/>
              </w:rPr>
            </w:pPr>
            <w:r>
              <w:rPr>
                <w:rFonts w:ascii="宋体" w:hAnsi="宋体" w:eastAsia="宋体" w:cs="宋体"/>
                <w:spacing w:val="26"/>
                <w:sz w:val="20"/>
                <w:szCs w:val="20"/>
              </w:rPr>
              <w:t>在</w:t>
            </w:r>
            <w:r>
              <w:rPr>
                <w:rFonts w:ascii="宋体" w:hAnsi="宋体" w:eastAsia="宋体" w:cs="宋体"/>
                <w:spacing w:val="22"/>
                <w:sz w:val="20"/>
                <w:szCs w:val="20"/>
              </w:rPr>
              <w:t>畜禽养殖场与还田利用的农田之间</w:t>
            </w:r>
            <w:r>
              <w:rPr>
                <w:rFonts w:ascii="宋体" w:hAnsi="宋体" w:eastAsia="宋体" w:cs="宋体"/>
                <w:sz w:val="20"/>
                <w:szCs w:val="20"/>
              </w:rPr>
              <w:t xml:space="preserve"> </w:t>
            </w:r>
            <w:r>
              <w:rPr>
                <w:rFonts w:ascii="宋体" w:hAnsi="宋体" w:eastAsia="宋体" w:cs="宋体"/>
                <w:spacing w:val="12"/>
                <w:sz w:val="20"/>
                <w:szCs w:val="20"/>
              </w:rPr>
              <w:t>应</w:t>
            </w:r>
            <w:r>
              <w:rPr>
                <w:rFonts w:ascii="宋体" w:hAnsi="宋体" w:eastAsia="宋体" w:cs="宋体"/>
                <w:spacing w:val="9"/>
                <w:sz w:val="20"/>
                <w:szCs w:val="20"/>
              </w:rPr>
              <w:t>建立有效的污水输送网络，通过车载</w:t>
            </w:r>
            <w:r>
              <w:rPr>
                <w:rFonts w:ascii="宋体" w:hAnsi="宋体" w:eastAsia="宋体" w:cs="宋体"/>
                <w:sz w:val="20"/>
                <w:szCs w:val="20"/>
              </w:rPr>
              <w:t xml:space="preserve"> </w:t>
            </w:r>
            <w:r>
              <w:rPr>
                <w:rFonts w:ascii="宋体" w:hAnsi="宋体" w:eastAsia="宋体" w:cs="宋体"/>
                <w:spacing w:val="21"/>
                <w:sz w:val="20"/>
                <w:szCs w:val="20"/>
              </w:rPr>
              <w:t>或</w:t>
            </w:r>
            <w:r>
              <w:rPr>
                <w:rFonts w:ascii="宋体" w:hAnsi="宋体" w:eastAsia="宋体" w:cs="宋体"/>
                <w:spacing w:val="12"/>
                <w:sz w:val="20"/>
                <w:szCs w:val="20"/>
              </w:rPr>
              <w:t>管道形式将处理</w:t>
            </w:r>
            <w:r>
              <w:rPr>
                <w:rFonts w:ascii="Times New Roman" w:hAnsi="Times New Roman" w:eastAsia="Times New Roman" w:cs="Times New Roman"/>
                <w:spacing w:val="12"/>
                <w:sz w:val="20"/>
                <w:szCs w:val="20"/>
              </w:rPr>
              <w:t>(</w:t>
            </w:r>
            <w:r>
              <w:rPr>
                <w:rFonts w:ascii="宋体" w:hAnsi="宋体" w:eastAsia="宋体" w:cs="宋体"/>
                <w:spacing w:val="12"/>
                <w:sz w:val="20"/>
                <w:szCs w:val="20"/>
              </w:rPr>
              <w:t>置</w:t>
            </w:r>
            <w:r>
              <w:rPr>
                <w:rFonts w:ascii="Times New Roman" w:hAnsi="Times New Roman" w:eastAsia="Times New Roman" w:cs="Times New Roman"/>
                <w:spacing w:val="12"/>
                <w:sz w:val="20"/>
                <w:szCs w:val="20"/>
              </w:rPr>
              <w:t>)</w:t>
            </w:r>
            <w:r>
              <w:rPr>
                <w:rFonts w:ascii="宋体" w:hAnsi="宋体" w:eastAsia="宋体" w:cs="宋体"/>
                <w:spacing w:val="12"/>
                <w:sz w:val="20"/>
                <w:szCs w:val="20"/>
              </w:rPr>
              <w:t>后的污水输送至</w:t>
            </w:r>
            <w:r>
              <w:rPr>
                <w:rFonts w:ascii="宋体" w:hAnsi="宋体" w:eastAsia="宋体" w:cs="宋体"/>
                <w:sz w:val="20"/>
                <w:szCs w:val="20"/>
              </w:rPr>
              <w:t xml:space="preserve"> </w:t>
            </w:r>
            <w:r>
              <w:rPr>
                <w:rFonts w:ascii="宋体" w:hAnsi="宋体" w:eastAsia="宋体" w:cs="宋体"/>
                <w:spacing w:val="12"/>
                <w:sz w:val="20"/>
                <w:szCs w:val="20"/>
              </w:rPr>
              <w:t>农</w:t>
            </w:r>
            <w:r>
              <w:rPr>
                <w:rFonts w:ascii="宋体" w:hAnsi="宋体" w:eastAsia="宋体" w:cs="宋体"/>
                <w:spacing w:val="9"/>
                <w:sz w:val="20"/>
                <w:szCs w:val="20"/>
              </w:rPr>
              <w:t>田，要加强管理，严格控制污水输送</w:t>
            </w:r>
            <w:r>
              <w:rPr>
                <w:rFonts w:ascii="宋体" w:hAnsi="宋体" w:eastAsia="宋体" w:cs="宋体"/>
                <w:sz w:val="20"/>
                <w:szCs w:val="20"/>
              </w:rPr>
              <w:t xml:space="preserve"> </w:t>
            </w:r>
            <w:r>
              <w:rPr>
                <w:rFonts w:ascii="宋体" w:hAnsi="宋体" w:eastAsia="宋体" w:cs="宋体"/>
                <w:spacing w:val="12"/>
                <w:sz w:val="20"/>
                <w:szCs w:val="20"/>
              </w:rPr>
              <w:t>沿</w:t>
            </w:r>
            <w:r>
              <w:rPr>
                <w:rFonts w:ascii="宋体" w:hAnsi="宋体" w:eastAsia="宋体" w:cs="宋体"/>
                <w:spacing w:val="9"/>
                <w:sz w:val="20"/>
                <w:szCs w:val="20"/>
              </w:rPr>
              <w:t>途的弃、撒和跑、冒、滴、漏</w:t>
            </w:r>
          </w:p>
        </w:tc>
        <w:tc>
          <w:tcPr>
            <w:tcW w:w="3360" w:type="dxa"/>
            <w:tcBorders>
              <w:left w:val="single" w:color="000000" w:sz="4" w:space="0"/>
              <w:right w:val="single" w:color="000000" w:sz="4" w:space="0"/>
            </w:tcBorders>
          </w:tcPr>
          <w:p w14:paraId="70EC7429">
            <w:pPr>
              <w:spacing w:before="91" w:line="257" w:lineRule="auto"/>
              <w:ind w:left="61" w:hanging="1"/>
              <w:rPr>
                <w:rFonts w:ascii="宋体" w:hAnsi="宋体" w:eastAsia="宋体" w:cs="宋体"/>
                <w:sz w:val="20"/>
                <w:szCs w:val="20"/>
              </w:rPr>
            </w:pPr>
            <w:r>
              <w:rPr>
                <w:rFonts w:ascii="宋体" w:hAnsi="宋体" w:eastAsia="宋体" w:cs="宋体"/>
                <w:spacing w:val="10"/>
                <w:sz w:val="20"/>
                <w:szCs w:val="20"/>
              </w:rPr>
              <w:t>猪</w:t>
            </w:r>
            <w:r>
              <w:rPr>
                <w:rFonts w:ascii="宋体" w:hAnsi="宋体" w:eastAsia="宋体" w:cs="宋体"/>
                <w:spacing w:val="8"/>
                <w:sz w:val="20"/>
                <w:szCs w:val="20"/>
              </w:rPr>
              <w:t>舍</w:t>
            </w:r>
            <w:r>
              <w:rPr>
                <w:rFonts w:ascii="宋体" w:hAnsi="宋体" w:eastAsia="宋体" w:cs="宋体"/>
                <w:spacing w:val="5"/>
                <w:sz w:val="20"/>
                <w:szCs w:val="20"/>
              </w:rPr>
              <w:t>采用干式清理，全部为自动化，</w:t>
            </w:r>
            <w:r>
              <w:rPr>
                <w:rFonts w:ascii="宋体" w:hAnsi="宋体" w:eastAsia="宋体" w:cs="宋体"/>
                <w:sz w:val="20"/>
                <w:szCs w:val="20"/>
              </w:rPr>
              <w:t xml:space="preserve"> </w:t>
            </w:r>
            <w:r>
              <w:rPr>
                <w:rFonts w:ascii="宋体" w:hAnsi="宋体" w:eastAsia="宋体" w:cs="宋体"/>
                <w:spacing w:val="25"/>
                <w:sz w:val="20"/>
                <w:szCs w:val="20"/>
              </w:rPr>
              <w:t>不</w:t>
            </w:r>
            <w:r>
              <w:rPr>
                <w:rFonts w:ascii="宋体" w:hAnsi="宋体" w:eastAsia="宋体" w:cs="宋体"/>
                <w:spacing w:val="15"/>
                <w:sz w:val="20"/>
                <w:szCs w:val="20"/>
              </w:rPr>
              <w:t>用水冲洗，猪粪通过车载运输至</w:t>
            </w:r>
            <w:r>
              <w:rPr>
                <w:rFonts w:ascii="宋体" w:hAnsi="宋体" w:eastAsia="宋体" w:cs="宋体"/>
                <w:sz w:val="20"/>
                <w:szCs w:val="20"/>
              </w:rPr>
              <w:t xml:space="preserve"> </w:t>
            </w:r>
            <w:r>
              <w:rPr>
                <w:rFonts w:ascii="宋体" w:hAnsi="宋体" w:eastAsia="宋体" w:cs="宋体"/>
                <w:spacing w:val="22"/>
                <w:sz w:val="20"/>
                <w:szCs w:val="20"/>
              </w:rPr>
              <w:t>收</w:t>
            </w:r>
            <w:r>
              <w:rPr>
                <w:rFonts w:ascii="宋体" w:hAnsi="宋体" w:eastAsia="宋体" w:cs="宋体"/>
                <w:spacing w:val="15"/>
                <w:sz w:val="20"/>
                <w:szCs w:val="20"/>
              </w:rPr>
              <w:t>纳单位，在运输过程中严格控制</w:t>
            </w:r>
            <w:r>
              <w:rPr>
                <w:rFonts w:ascii="宋体" w:hAnsi="宋体" w:eastAsia="宋体" w:cs="宋体"/>
                <w:sz w:val="20"/>
                <w:szCs w:val="20"/>
              </w:rPr>
              <w:t xml:space="preserve"> </w:t>
            </w:r>
            <w:r>
              <w:rPr>
                <w:rFonts w:ascii="宋体" w:hAnsi="宋体" w:eastAsia="宋体" w:cs="宋体"/>
                <w:spacing w:val="13"/>
                <w:sz w:val="20"/>
                <w:szCs w:val="20"/>
              </w:rPr>
              <w:t>污</w:t>
            </w:r>
            <w:r>
              <w:rPr>
                <w:rFonts w:ascii="宋体" w:hAnsi="宋体" w:eastAsia="宋体" w:cs="宋体"/>
                <w:spacing w:val="9"/>
                <w:sz w:val="20"/>
                <w:szCs w:val="20"/>
              </w:rPr>
              <w:t>水输送沿途的弃、撒和跑、 冒、</w:t>
            </w:r>
            <w:r>
              <w:rPr>
                <w:rFonts w:ascii="宋体" w:hAnsi="宋体" w:eastAsia="宋体" w:cs="宋体"/>
                <w:sz w:val="20"/>
                <w:szCs w:val="20"/>
              </w:rPr>
              <w:t xml:space="preserve"> </w:t>
            </w:r>
            <w:r>
              <w:rPr>
                <w:rFonts w:ascii="宋体" w:hAnsi="宋体" w:eastAsia="宋体" w:cs="宋体"/>
                <w:spacing w:val="7"/>
                <w:sz w:val="20"/>
                <w:szCs w:val="20"/>
              </w:rPr>
              <w:t>滴</w:t>
            </w:r>
            <w:r>
              <w:rPr>
                <w:rFonts w:ascii="宋体" w:hAnsi="宋体" w:eastAsia="宋体" w:cs="宋体"/>
                <w:spacing w:val="6"/>
                <w:sz w:val="20"/>
                <w:szCs w:val="20"/>
              </w:rPr>
              <w:t>、漏</w:t>
            </w:r>
          </w:p>
        </w:tc>
        <w:tc>
          <w:tcPr>
            <w:tcW w:w="1089" w:type="dxa"/>
            <w:tcBorders>
              <w:left w:val="single" w:color="000000" w:sz="4" w:space="0"/>
              <w:right w:val="nil"/>
            </w:tcBorders>
          </w:tcPr>
          <w:p w14:paraId="3A312A27">
            <w:pPr>
              <w:spacing w:line="284" w:lineRule="auto"/>
            </w:pPr>
          </w:p>
          <w:p w14:paraId="0B2AF6B5">
            <w:pPr>
              <w:spacing w:line="285" w:lineRule="auto"/>
            </w:pPr>
          </w:p>
          <w:p w14:paraId="0A473DBF">
            <w:pPr>
              <w:spacing w:before="65" w:line="228" w:lineRule="auto"/>
              <w:ind w:left="338"/>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r w14:paraId="22E86D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0" w:hRule="atLeast"/>
        </w:trPr>
        <w:tc>
          <w:tcPr>
            <w:tcW w:w="1482" w:type="dxa"/>
            <w:vMerge w:val="continue"/>
            <w:tcBorders>
              <w:top w:val="nil"/>
              <w:left w:val="nil"/>
              <w:right w:val="single" w:color="000000" w:sz="4" w:space="0"/>
            </w:tcBorders>
          </w:tcPr>
          <w:p w14:paraId="4906D6F0"/>
        </w:tc>
        <w:tc>
          <w:tcPr>
            <w:tcW w:w="3680" w:type="dxa"/>
            <w:tcBorders>
              <w:left w:val="single" w:color="000000" w:sz="4" w:space="0"/>
              <w:right w:val="single" w:color="000000" w:sz="4" w:space="0"/>
            </w:tcBorders>
          </w:tcPr>
          <w:p w14:paraId="26709B9E">
            <w:pPr>
              <w:spacing w:line="353" w:lineRule="auto"/>
            </w:pPr>
          </w:p>
          <w:p w14:paraId="490EBB7D">
            <w:pPr>
              <w:spacing w:line="353" w:lineRule="auto"/>
            </w:pPr>
          </w:p>
          <w:p w14:paraId="553B8200">
            <w:pPr>
              <w:spacing w:before="65" w:line="265" w:lineRule="auto"/>
              <w:ind w:left="62" w:right="52" w:hanging="4"/>
              <w:rPr>
                <w:rFonts w:ascii="宋体" w:hAnsi="宋体" w:eastAsia="宋体" w:cs="宋体"/>
                <w:sz w:val="20"/>
                <w:szCs w:val="20"/>
              </w:rPr>
            </w:pPr>
            <w:r>
              <w:rPr>
                <w:rFonts w:ascii="宋体" w:hAnsi="宋体" w:eastAsia="宋体" w:cs="宋体"/>
                <w:spacing w:val="15"/>
                <w:sz w:val="20"/>
                <w:szCs w:val="20"/>
              </w:rPr>
              <w:t>病</w:t>
            </w:r>
            <w:r>
              <w:rPr>
                <w:rFonts w:ascii="宋体" w:hAnsi="宋体" w:eastAsia="宋体" w:cs="宋体"/>
                <w:spacing w:val="9"/>
                <w:sz w:val="20"/>
                <w:szCs w:val="20"/>
              </w:rPr>
              <w:t>死畜禽尸体要及时处理，严禁随意丢</w:t>
            </w:r>
            <w:r>
              <w:rPr>
                <w:rFonts w:ascii="宋体" w:hAnsi="宋体" w:eastAsia="宋体" w:cs="宋体"/>
                <w:sz w:val="20"/>
                <w:szCs w:val="20"/>
              </w:rPr>
              <w:t xml:space="preserve"> </w:t>
            </w:r>
            <w:r>
              <w:rPr>
                <w:rFonts w:ascii="宋体" w:hAnsi="宋体" w:eastAsia="宋体" w:cs="宋体"/>
                <w:spacing w:val="9"/>
                <w:sz w:val="20"/>
                <w:szCs w:val="20"/>
              </w:rPr>
              <w:t>弃，严禁出售或作为饲料再利用</w:t>
            </w:r>
          </w:p>
        </w:tc>
        <w:tc>
          <w:tcPr>
            <w:tcW w:w="3360" w:type="dxa"/>
            <w:tcBorders>
              <w:left w:val="single" w:color="000000" w:sz="4" w:space="0"/>
              <w:right w:val="single" w:color="000000" w:sz="4" w:space="0"/>
            </w:tcBorders>
          </w:tcPr>
          <w:p w14:paraId="66F720CD">
            <w:pPr>
              <w:spacing w:before="96" w:line="255" w:lineRule="auto"/>
              <w:ind w:left="59" w:right="52"/>
              <w:rPr>
                <w:rFonts w:ascii="宋体" w:hAnsi="宋体" w:eastAsia="宋体" w:cs="宋体"/>
                <w:sz w:val="20"/>
                <w:szCs w:val="20"/>
              </w:rPr>
            </w:pPr>
            <w:r>
              <w:rPr>
                <w:rFonts w:ascii="宋体" w:hAnsi="宋体" w:eastAsia="宋体" w:cs="宋体"/>
                <w:spacing w:val="4"/>
                <w:sz w:val="20"/>
                <w:szCs w:val="20"/>
              </w:rPr>
              <w:t>病死</w:t>
            </w:r>
            <w:r>
              <w:rPr>
                <w:rFonts w:ascii="宋体" w:hAnsi="宋体" w:eastAsia="宋体" w:cs="宋体"/>
                <w:spacing w:val="3"/>
                <w:sz w:val="20"/>
                <w:szCs w:val="20"/>
              </w:rPr>
              <w:t>猪</w:t>
            </w:r>
            <w:r>
              <w:rPr>
                <w:rFonts w:ascii="宋体" w:hAnsi="宋体" w:eastAsia="宋体" w:cs="宋体"/>
                <w:spacing w:val="2"/>
                <w:sz w:val="20"/>
                <w:szCs w:val="20"/>
              </w:rPr>
              <w:t>在农业部门指导下，按照《乐</w:t>
            </w:r>
            <w:r>
              <w:rPr>
                <w:rFonts w:ascii="宋体" w:hAnsi="宋体" w:eastAsia="宋体" w:cs="宋体"/>
                <w:sz w:val="20"/>
                <w:szCs w:val="20"/>
              </w:rPr>
              <w:t xml:space="preserve"> </w:t>
            </w:r>
            <w:r>
              <w:rPr>
                <w:rFonts w:ascii="宋体" w:hAnsi="宋体" w:eastAsia="宋体" w:cs="宋体"/>
                <w:spacing w:val="16"/>
                <w:sz w:val="20"/>
                <w:szCs w:val="20"/>
              </w:rPr>
              <w:t>山市人民政府办公室关于建立病</w:t>
            </w:r>
            <w:r>
              <w:rPr>
                <w:rFonts w:ascii="宋体" w:hAnsi="宋体" w:eastAsia="宋体" w:cs="宋体"/>
                <w:spacing w:val="13"/>
                <w:sz w:val="20"/>
                <w:szCs w:val="20"/>
              </w:rPr>
              <w:t>死</w:t>
            </w:r>
            <w:r>
              <w:rPr>
                <w:rFonts w:ascii="宋体" w:hAnsi="宋体" w:eastAsia="宋体" w:cs="宋体"/>
                <w:sz w:val="20"/>
                <w:szCs w:val="20"/>
              </w:rPr>
              <w:t xml:space="preserve"> </w:t>
            </w:r>
            <w:r>
              <w:rPr>
                <w:rFonts w:ascii="宋体" w:hAnsi="宋体" w:eastAsia="宋体" w:cs="宋体"/>
                <w:spacing w:val="9"/>
                <w:sz w:val="20"/>
                <w:szCs w:val="20"/>
              </w:rPr>
              <w:t>畜</w:t>
            </w:r>
            <w:r>
              <w:rPr>
                <w:rFonts w:ascii="宋体" w:hAnsi="宋体" w:eastAsia="宋体" w:cs="宋体"/>
                <w:spacing w:val="8"/>
                <w:sz w:val="20"/>
                <w:szCs w:val="20"/>
              </w:rPr>
              <w:t>禽无害化处理机制的通知》  (乐</w:t>
            </w:r>
            <w:r>
              <w:rPr>
                <w:rFonts w:ascii="宋体" w:hAnsi="宋体" w:eastAsia="宋体" w:cs="宋体"/>
                <w:sz w:val="20"/>
                <w:szCs w:val="20"/>
              </w:rPr>
              <w:t xml:space="preserve"> </w:t>
            </w:r>
            <w:r>
              <w:rPr>
                <w:rFonts w:ascii="宋体" w:hAnsi="宋体" w:eastAsia="宋体" w:cs="宋体"/>
                <w:spacing w:val="14"/>
                <w:sz w:val="20"/>
                <w:szCs w:val="20"/>
              </w:rPr>
              <w:t>府</w:t>
            </w:r>
            <w:r>
              <w:rPr>
                <w:rFonts w:ascii="宋体" w:hAnsi="宋体" w:eastAsia="宋体" w:cs="宋体"/>
                <w:spacing w:val="9"/>
                <w:sz w:val="20"/>
                <w:szCs w:val="20"/>
              </w:rPr>
              <w:t>办函〔</w:t>
            </w:r>
            <w:r>
              <w:rPr>
                <w:rFonts w:ascii="Times New Roman" w:hAnsi="Times New Roman" w:eastAsia="Times New Roman" w:cs="Times New Roman"/>
                <w:spacing w:val="9"/>
                <w:sz w:val="20"/>
                <w:szCs w:val="20"/>
              </w:rPr>
              <w:t>2016</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24 </w:t>
            </w:r>
            <w:r>
              <w:rPr>
                <w:rFonts w:ascii="宋体" w:hAnsi="宋体" w:eastAsia="宋体" w:cs="宋体"/>
                <w:spacing w:val="9"/>
                <w:sz w:val="20"/>
                <w:szCs w:val="20"/>
              </w:rPr>
              <w:t>号) 要求，在乐</w:t>
            </w:r>
            <w:r>
              <w:rPr>
                <w:rFonts w:ascii="宋体" w:hAnsi="宋体" w:eastAsia="宋体" w:cs="宋体"/>
                <w:sz w:val="20"/>
                <w:szCs w:val="20"/>
              </w:rPr>
              <w:t xml:space="preserve"> </w:t>
            </w:r>
            <w:r>
              <w:rPr>
                <w:rFonts w:ascii="宋体" w:hAnsi="宋体" w:eastAsia="宋体" w:cs="宋体"/>
                <w:spacing w:val="16"/>
                <w:sz w:val="20"/>
                <w:szCs w:val="20"/>
              </w:rPr>
              <w:t>山市集中无害化处理场建成之前</w:t>
            </w:r>
            <w:r>
              <w:rPr>
                <w:rFonts w:ascii="宋体" w:hAnsi="宋体" w:eastAsia="宋体" w:cs="宋体"/>
                <w:spacing w:val="13"/>
                <w:sz w:val="20"/>
                <w:szCs w:val="20"/>
              </w:rPr>
              <w:t>，</w:t>
            </w:r>
            <w:r>
              <w:rPr>
                <w:rFonts w:ascii="宋体" w:hAnsi="宋体" w:eastAsia="宋体" w:cs="宋体"/>
                <w:sz w:val="20"/>
                <w:szCs w:val="20"/>
              </w:rPr>
              <w:t xml:space="preserve"> </w:t>
            </w:r>
            <w:r>
              <w:rPr>
                <w:rFonts w:ascii="宋体" w:hAnsi="宋体" w:eastAsia="宋体" w:cs="宋体"/>
                <w:spacing w:val="16"/>
                <w:sz w:val="20"/>
                <w:szCs w:val="20"/>
              </w:rPr>
              <w:t>委托有资质的公司对病死猪进行</w:t>
            </w:r>
            <w:r>
              <w:rPr>
                <w:rFonts w:ascii="宋体" w:hAnsi="宋体" w:eastAsia="宋体" w:cs="宋体"/>
                <w:spacing w:val="13"/>
                <w:sz w:val="20"/>
                <w:szCs w:val="20"/>
              </w:rPr>
              <w:t>收</w:t>
            </w:r>
            <w:r>
              <w:rPr>
                <w:rFonts w:ascii="宋体" w:hAnsi="宋体" w:eastAsia="宋体" w:cs="宋体"/>
                <w:sz w:val="20"/>
                <w:szCs w:val="20"/>
              </w:rPr>
              <w:t xml:space="preserve"> </w:t>
            </w:r>
            <w:r>
              <w:rPr>
                <w:rFonts w:ascii="宋体" w:hAnsi="宋体" w:eastAsia="宋体" w:cs="宋体"/>
                <w:spacing w:val="9"/>
                <w:sz w:val="20"/>
                <w:szCs w:val="20"/>
              </w:rPr>
              <w:t>集</w:t>
            </w:r>
            <w:r>
              <w:rPr>
                <w:rFonts w:ascii="宋体" w:hAnsi="宋体" w:eastAsia="宋体" w:cs="宋体"/>
                <w:spacing w:val="8"/>
                <w:sz w:val="20"/>
                <w:szCs w:val="20"/>
              </w:rPr>
              <w:t>并集中无害化处理。</w:t>
            </w:r>
          </w:p>
        </w:tc>
        <w:tc>
          <w:tcPr>
            <w:tcW w:w="1089" w:type="dxa"/>
            <w:tcBorders>
              <w:left w:val="single" w:color="000000" w:sz="4" w:space="0"/>
              <w:right w:val="nil"/>
            </w:tcBorders>
          </w:tcPr>
          <w:p w14:paraId="31B23A68">
            <w:pPr>
              <w:spacing w:line="280" w:lineRule="auto"/>
            </w:pPr>
          </w:p>
          <w:p w14:paraId="1D776AC5">
            <w:pPr>
              <w:spacing w:line="280" w:lineRule="auto"/>
            </w:pPr>
          </w:p>
          <w:p w14:paraId="0947C9E2">
            <w:pPr>
              <w:spacing w:line="280" w:lineRule="auto"/>
            </w:pPr>
          </w:p>
          <w:p w14:paraId="22188D10">
            <w:pPr>
              <w:spacing w:before="65" w:line="228" w:lineRule="auto"/>
              <w:ind w:left="338"/>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r w14:paraId="162AA9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1482" w:type="dxa"/>
            <w:tcBorders>
              <w:left w:val="nil"/>
              <w:right w:val="single" w:color="000000" w:sz="4" w:space="0"/>
            </w:tcBorders>
          </w:tcPr>
          <w:p w14:paraId="49CB82F6">
            <w:pPr>
              <w:spacing w:before="94" w:line="228" w:lineRule="auto"/>
              <w:ind w:left="78"/>
              <w:rPr>
                <w:rFonts w:ascii="宋体" w:hAnsi="宋体" w:eastAsia="宋体" w:cs="宋体"/>
                <w:sz w:val="20"/>
                <w:szCs w:val="20"/>
              </w:rPr>
            </w:pPr>
            <w:r>
              <w:rPr>
                <w:rFonts w:ascii="宋体" w:hAnsi="宋体" w:eastAsia="宋体" w:cs="宋体"/>
                <w:spacing w:val="8"/>
                <w:sz w:val="20"/>
                <w:szCs w:val="20"/>
              </w:rPr>
              <w:t>畜</w:t>
            </w:r>
            <w:r>
              <w:rPr>
                <w:rFonts w:ascii="宋体" w:hAnsi="宋体" w:eastAsia="宋体" w:cs="宋体"/>
                <w:spacing w:val="6"/>
                <w:sz w:val="20"/>
                <w:szCs w:val="20"/>
              </w:rPr>
              <w:t>禽养殖场(小</w:t>
            </w:r>
          </w:p>
        </w:tc>
        <w:tc>
          <w:tcPr>
            <w:tcW w:w="3680" w:type="dxa"/>
            <w:tcBorders>
              <w:left w:val="single" w:color="000000" w:sz="4" w:space="0"/>
              <w:right w:val="single" w:color="000000" w:sz="4" w:space="0"/>
            </w:tcBorders>
          </w:tcPr>
          <w:p w14:paraId="1F6C02BE">
            <w:pPr>
              <w:spacing w:before="94" w:line="228" w:lineRule="auto"/>
              <w:ind w:left="59"/>
              <w:rPr>
                <w:rFonts w:ascii="宋体" w:hAnsi="宋体" w:eastAsia="宋体" w:cs="宋体"/>
                <w:sz w:val="20"/>
                <w:szCs w:val="20"/>
              </w:rPr>
            </w:pPr>
            <w:r>
              <w:rPr>
                <w:rFonts w:ascii="宋体" w:hAnsi="宋体" w:eastAsia="宋体" w:cs="宋体"/>
                <w:spacing w:val="11"/>
                <w:sz w:val="20"/>
                <w:szCs w:val="20"/>
              </w:rPr>
              <w:t>养</w:t>
            </w:r>
            <w:r>
              <w:rPr>
                <w:rFonts w:ascii="宋体" w:hAnsi="宋体" w:eastAsia="宋体" w:cs="宋体"/>
                <w:spacing w:val="9"/>
                <w:sz w:val="20"/>
                <w:szCs w:val="20"/>
              </w:rPr>
              <w:t>殖场环境需满足指南要求，并做好污</w:t>
            </w:r>
          </w:p>
        </w:tc>
        <w:tc>
          <w:tcPr>
            <w:tcW w:w="3360" w:type="dxa"/>
            <w:tcBorders>
              <w:left w:val="single" w:color="000000" w:sz="4" w:space="0"/>
              <w:right w:val="single" w:color="000000" w:sz="4" w:space="0"/>
            </w:tcBorders>
          </w:tcPr>
          <w:p w14:paraId="0DB1F1AB">
            <w:pPr>
              <w:spacing w:before="95" w:line="231" w:lineRule="auto"/>
              <w:ind w:left="59"/>
              <w:rPr>
                <w:rFonts w:ascii="宋体" w:hAnsi="宋体" w:eastAsia="宋体" w:cs="宋体"/>
                <w:sz w:val="20"/>
                <w:szCs w:val="20"/>
              </w:rPr>
            </w:pPr>
            <w:r>
              <w:rPr>
                <w:rFonts w:ascii="宋体" w:hAnsi="宋体" w:eastAsia="宋体" w:cs="宋体"/>
                <w:spacing w:val="16"/>
                <w:sz w:val="20"/>
                <w:szCs w:val="20"/>
              </w:rPr>
              <w:t>选址合理，废水、废气、固废均</w:t>
            </w:r>
            <w:r>
              <w:rPr>
                <w:rFonts w:ascii="宋体" w:hAnsi="宋体" w:eastAsia="宋体" w:cs="宋体"/>
                <w:spacing w:val="13"/>
                <w:sz w:val="20"/>
                <w:szCs w:val="20"/>
              </w:rPr>
              <w:t>合</w:t>
            </w:r>
          </w:p>
        </w:tc>
        <w:tc>
          <w:tcPr>
            <w:tcW w:w="1089" w:type="dxa"/>
            <w:tcBorders>
              <w:left w:val="single" w:color="000000" w:sz="4" w:space="0"/>
              <w:right w:val="nil"/>
            </w:tcBorders>
          </w:tcPr>
          <w:p w14:paraId="7E90DAE6">
            <w:pPr>
              <w:spacing w:before="94" w:line="228" w:lineRule="auto"/>
              <w:ind w:left="338"/>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bl>
    <w:p w14:paraId="7DA56A75"/>
    <w:p w14:paraId="4DF216EB">
      <w:pPr>
        <w:sectPr>
          <w:footerReference r:id="rId39" w:type="default"/>
          <w:pgSz w:w="11907" w:h="16840"/>
          <w:pgMar w:top="400" w:right="1097" w:bottom="1277" w:left="1198" w:header="0" w:footer="1114" w:gutter="0"/>
          <w:cols w:space="720" w:num="1"/>
        </w:sectPr>
      </w:pPr>
    </w:p>
    <w:p w14:paraId="5B661E7E">
      <w:pPr>
        <w:spacing w:line="460" w:lineRule="auto"/>
      </w:pPr>
    </w:p>
    <w:p w14:paraId="77ACC1E7">
      <w:pPr>
        <w:spacing w:before="56" w:line="229" w:lineRule="auto"/>
        <w:ind w:left="469"/>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3997BDF8">
      <w:pPr>
        <w:spacing w:line="14" w:lineRule="exact"/>
      </w:pPr>
    </w:p>
    <w:tbl>
      <w:tblPr>
        <w:tblStyle w:val="4"/>
        <w:tblW w:w="961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2"/>
        <w:gridCol w:w="3680"/>
        <w:gridCol w:w="3360"/>
        <w:gridCol w:w="1089"/>
      </w:tblGrid>
      <w:tr w14:paraId="701FBA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1482" w:type="dxa"/>
            <w:tcBorders>
              <w:left w:val="nil"/>
              <w:right w:val="single" w:color="000000" w:sz="4" w:space="0"/>
            </w:tcBorders>
          </w:tcPr>
          <w:p w14:paraId="0D5FA119">
            <w:pPr>
              <w:spacing w:before="115" w:line="265" w:lineRule="auto"/>
              <w:ind w:left="66" w:right="54" w:firstLine="14"/>
              <w:rPr>
                <w:rFonts w:ascii="宋体" w:hAnsi="宋体" w:eastAsia="宋体" w:cs="宋体"/>
                <w:sz w:val="20"/>
                <w:szCs w:val="20"/>
              </w:rPr>
            </w:pPr>
            <w:r>
              <w:rPr>
                <w:rFonts w:ascii="宋体" w:hAnsi="宋体" w:eastAsia="宋体" w:cs="宋体"/>
                <w:spacing w:val="6"/>
                <w:sz w:val="20"/>
                <w:szCs w:val="20"/>
              </w:rPr>
              <w:t>区)环境监察工</w:t>
            </w:r>
            <w:r>
              <w:rPr>
                <w:rFonts w:ascii="宋体" w:hAnsi="宋体" w:eastAsia="宋体" w:cs="宋体"/>
                <w:sz w:val="20"/>
                <w:szCs w:val="20"/>
              </w:rPr>
              <w:t xml:space="preserve"> </w:t>
            </w:r>
            <w:r>
              <w:rPr>
                <w:rFonts w:ascii="宋体" w:hAnsi="宋体" w:eastAsia="宋体" w:cs="宋体"/>
                <w:spacing w:val="7"/>
                <w:sz w:val="20"/>
                <w:szCs w:val="20"/>
              </w:rPr>
              <w:t>作</w:t>
            </w:r>
            <w:r>
              <w:rPr>
                <w:rFonts w:ascii="宋体" w:hAnsi="宋体" w:eastAsia="宋体" w:cs="宋体"/>
                <w:spacing w:val="6"/>
                <w:sz w:val="20"/>
                <w:szCs w:val="20"/>
              </w:rPr>
              <w:t>指南</w:t>
            </w:r>
          </w:p>
        </w:tc>
        <w:tc>
          <w:tcPr>
            <w:tcW w:w="3680" w:type="dxa"/>
            <w:tcBorders>
              <w:left w:val="single" w:color="000000" w:sz="4" w:space="0"/>
              <w:right w:val="single" w:color="000000" w:sz="4" w:space="0"/>
            </w:tcBorders>
          </w:tcPr>
          <w:p w14:paraId="28B3F2EE">
            <w:pPr>
              <w:spacing w:before="115" w:line="228" w:lineRule="auto"/>
              <w:ind w:left="1425"/>
              <w:rPr>
                <w:rFonts w:ascii="宋体" w:hAnsi="宋体" w:eastAsia="宋体" w:cs="宋体"/>
                <w:sz w:val="20"/>
                <w:szCs w:val="20"/>
              </w:rPr>
            </w:pPr>
            <w:r>
              <w:rPr>
                <w:rFonts w:ascii="宋体" w:hAnsi="宋体" w:eastAsia="宋体" w:cs="宋体"/>
                <w:spacing w:val="8"/>
                <w:sz w:val="20"/>
                <w:szCs w:val="20"/>
              </w:rPr>
              <w:t>染</w:t>
            </w:r>
            <w:r>
              <w:rPr>
                <w:rFonts w:ascii="宋体" w:hAnsi="宋体" w:eastAsia="宋体" w:cs="宋体"/>
                <w:spacing w:val="6"/>
                <w:sz w:val="20"/>
                <w:szCs w:val="20"/>
              </w:rPr>
              <w:t>物处置</w:t>
            </w:r>
          </w:p>
        </w:tc>
        <w:tc>
          <w:tcPr>
            <w:tcW w:w="3360" w:type="dxa"/>
            <w:tcBorders>
              <w:left w:val="single" w:color="000000" w:sz="4" w:space="0"/>
              <w:right w:val="single" w:color="000000" w:sz="4" w:space="0"/>
            </w:tcBorders>
          </w:tcPr>
          <w:p w14:paraId="1A7B6CCE">
            <w:pPr>
              <w:spacing w:before="114" w:line="266" w:lineRule="auto"/>
              <w:ind w:left="71" w:right="52" w:hanging="8"/>
              <w:rPr>
                <w:rFonts w:ascii="宋体" w:hAnsi="宋体" w:eastAsia="宋体" w:cs="宋体"/>
                <w:sz w:val="20"/>
                <w:szCs w:val="20"/>
              </w:rPr>
            </w:pPr>
            <w:r>
              <w:rPr>
                <w:rFonts w:ascii="宋体" w:hAnsi="宋体" w:eastAsia="宋体" w:cs="宋体"/>
                <w:spacing w:val="24"/>
                <w:sz w:val="20"/>
                <w:szCs w:val="20"/>
              </w:rPr>
              <w:t>理</w:t>
            </w:r>
            <w:r>
              <w:rPr>
                <w:rFonts w:ascii="宋体" w:hAnsi="宋体" w:eastAsia="宋体" w:cs="宋体"/>
                <w:spacing w:val="15"/>
                <w:sz w:val="20"/>
                <w:szCs w:val="20"/>
              </w:rPr>
              <w:t>处置，不对外界环境造成较大影</w:t>
            </w:r>
            <w:r>
              <w:rPr>
                <w:rFonts w:ascii="宋体" w:hAnsi="宋体" w:eastAsia="宋体" w:cs="宋体"/>
                <w:sz w:val="20"/>
                <w:szCs w:val="20"/>
              </w:rPr>
              <w:t xml:space="preserve"> 响</w:t>
            </w:r>
          </w:p>
        </w:tc>
        <w:tc>
          <w:tcPr>
            <w:tcW w:w="1089" w:type="dxa"/>
            <w:tcBorders>
              <w:left w:val="single" w:color="000000" w:sz="4" w:space="0"/>
              <w:right w:val="nil"/>
            </w:tcBorders>
          </w:tcPr>
          <w:p w14:paraId="0C09D43C"/>
        </w:tc>
      </w:tr>
      <w:tr w14:paraId="438BC2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4" w:hRule="atLeast"/>
        </w:trPr>
        <w:tc>
          <w:tcPr>
            <w:tcW w:w="1482" w:type="dxa"/>
            <w:vMerge w:val="restart"/>
            <w:tcBorders>
              <w:left w:val="nil"/>
              <w:bottom w:val="nil"/>
              <w:right w:val="single" w:color="000000" w:sz="4" w:space="0"/>
            </w:tcBorders>
          </w:tcPr>
          <w:p w14:paraId="0C43470D">
            <w:pPr>
              <w:spacing w:line="262" w:lineRule="auto"/>
            </w:pPr>
          </w:p>
          <w:p w14:paraId="0C09832F">
            <w:pPr>
              <w:spacing w:line="263" w:lineRule="auto"/>
            </w:pPr>
          </w:p>
          <w:p w14:paraId="63FA6429">
            <w:pPr>
              <w:spacing w:line="263" w:lineRule="auto"/>
            </w:pPr>
          </w:p>
          <w:p w14:paraId="17E15AAE">
            <w:pPr>
              <w:spacing w:line="263" w:lineRule="auto"/>
            </w:pPr>
          </w:p>
          <w:p w14:paraId="3B607A43">
            <w:pPr>
              <w:spacing w:line="263" w:lineRule="auto"/>
            </w:pPr>
          </w:p>
          <w:p w14:paraId="7F3F26E4">
            <w:pPr>
              <w:spacing w:line="263" w:lineRule="auto"/>
            </w:pPr>
          </w:p>
          <w:p w14:paraId="34C3EEC4">
            <w:pPr>
              <w:spacing w:line="263" w:lineRule="auto"/>
            </w:pPr>
          </w:p>
          <w:p w14:paraId="5BABAB72">
            <w:pPr>
              <w:spacing w:before="65" w:line="261" w:lineRule="auto"/>
              <w:ind w:left="66" w:right="54" w:firstLine="12"/>
              <w:rPr>
                <w:rFonts w:ascii="宋体" w:hAnsi="宋体" w:eastAsia="宋体" w:cs="宋体"/>
                <w:sz w:val="20"/>
                <w:szCs w:val="20"/>
              </w:rPr>
            </w:pPr>
            <w:r>
              <w:rPr>
                <w:rFonts w:ascii="宋体" w:hAnsi="宋体" w:eastAsia="宋体" w:cs="宋体"/>
                <w:spacing w:val="24"/>
                <w:sz w:val="20"/>
                <w:szCs w:val="20"/>
              </w:rPr>
              <w:t>畜禽粪便无害</w:t>
            </w:r>
            <w:r>
              <w:rPr>
                <w:rFonts w:ascii="宋体" w:hAnsi="宋体" w:eastAsia="宋体" w:cs="宋体"/>
                <w:sz w:val="20"/>
                <w:szCs w:val="20"/>
              </w:rPr>
              <w:t xml:space="preserve"> </w:t>
            </w:r>
            <w:r>
              <w:rPr>
                <w:rFonts w:ascii="宋体" w:hAnsi="宋体" w:eastAsia="宋体" w:cs="宋体"/>
                <w:spacing w:val="26"/>
                <w:sz w:val="20"/>
                <w:szCs w:val="20"/>
              </w:rPr>
              <w:t>化处理技术规</w:t>
            </w:r>
            <w:r>
              <w:rPr>
                <w:rFonts w:ascii="宋体" w:hAnsi="宋体" w:eastAsia="宋体" w:cs="宋体"/>
                <w:sz w:val="20"/>
                <w:szCs w:val="20"/>
              </w:rPr>
              <w:t xml:space="preserve"> 范</w:t>
            </w:r>
          </w:p>
        </w:tc>
        <w:tc>
          <w:tcPr>
            <w:tcW w:w="3680" w:type="dxa"/>
            <w:tcBorders>
              <w:left w:val="single" w:color="000000" w:sz="4" w:space="0"/>
              <w:right w:val="single" w:color="000000" w:sz="4" w:space="0"/>
            </w:tcBorders>
          </w:tcPr>
          <w:p w14:paraId="63DD10E0">
            <w:pPr>
              <w:spacing w:line="277" w:lineRule="auto"/>
            </w:pPr>
          </w:p>
          <w:p w14:paraId="32DD40C3">
            <w:pPr>
              <w:spacing w:line="277" w:lineRule="auto"/>
            </w:pPr>
          </w:p>
          <w:p w14:paraId="6D0A3514">
            <w:pPr>
              <w:spacing w:line="277" w:lineRule="auto"/>
            </w:pPr>
          </w:p>
          <w:p w14:paraId="3BA341F8">
            <w:pPr>
              <w:spacing w:line="277" w:lineRule="auto"/>
            </w:pPr>
          </w:p>
          <w:p w14:paraId="01268AC2">
            <w:pPr>
              <w:spacing w:before="65" w:line="265" w:lineRule="auto"/>
              <w:ind w:left="64" w:right="101" w:firstLine="8"/>
              <w:rPr>
                <w:rFonts w:ascii="宋体" w:hAnsi="宋体" w:eastAsia="宋体" w:cs="宋体"/>
                <w:sz w:val="20"/>
                <w:szCs w:val="20"/>
              </w:rPr>
            </w:pPr>
            <w:r>
              <w:rPr>
                <w:rFonts w:ascii="宋体" w:hAnsi="宋体" w:eastAsia="宋体" w:cs="宋体"/>
                <w:spacing w:val="10"/>
                <w:sz w:val="20"/>
                <w:szCs w:val="20"/>
              </w:rPr>
              <w:t>畜禽</w:t>
            </w:r>
            <w:r>
              <w:rPr>
                <w:rFonts w:ascii="宋体" w:hAnsi="宋体" w:eastAsia="宋体" w:cs="宋体"/>
                <w:spacing w:val="6"/>
                <w:sz w:val="20"/>
                <w:szCs w:val="20"/>
              </w:rPr>
              <w:t>粪</w:t>
            </w:r>
            <w:r>
              <w:rPr>
                <w:rFonts w:ascii="宋体" w:hAnsi="宋体" w:eastAsia="宋体" w:cs="宋体"/>
                <w:spacing w:val="5"/>
                <w:sz w:val="20"/>
                <w:szCs w:val="20"/>
              </w:rPr>
              <w:t>便处理应坚持综合利用的原则，</w:t>
            </w:r>
            <w:r>
              <w:rPr>
                <w:rFonts w:ascii="宋体" w:hAnsi="宋体" w:eastAsia="宋体" w:cs="宋体"/>
                <w:sz w:val="20"/>
                <w:szCs w:val="20"/>
              </w:rPr>
              <w:t xml:space="preserve"> </w:t>
            </w:r>
            <w:r>
              <w:rPr>
                <w:rFonts w:ascii="宋体" w:hAnsi="宋体" w:eastAsia="宋体" w:cs="宋体"/>
                <w:spacing w:val="8"/>
                <w:sz w:val="20"/>
                <w:szCs w:val="20"/>
              </w:rPr>
              <w:t>实现粪便的资源化</w:t>
            </w:r>
          </w:p>
        </w:tc>
        <w:tc>
          <w:tcPr>
            <w:tcW w:w="3360" w:type="dxa"/>
            <w:tcBorders>
              <w:left w:val="single" w:color="000000" w:sz="4" w:space="0"/>
              <w:right w:val="single" w:color="000000" w:sz="4" w:space="0"/>
            </w:tcBorders>
          </w:tcPr>
          <w:p w14:paraId="3EA5E8C7">
            <w:pPr>
              <w:spacing w:before="92" w:line="254" w:lineRule="auto"/>
              <w:ind w:left="60" w:right="52"/>
              <w:rPr>
                <w:rFonts w:ascii="宋体" w:hAnsi="宋体" w:eastAsia="宋体" w:cs="宋体"/>
                <w:sz w:val="20"/>
                <w:szCs w:val="20"/>
              </w:rPr>
            </w:pPr>
            <w:r>
              <w:rPr>
                <w:rFonts w:ascii="宋体" w:hAnsi="宋体" w:eastAsia="宋体" w:cs="宋体"/>
                <w:spacing w:val="24"/>
                <w:sz w:val="20"/>
                <w:szCs w:val="20"/>
              </w:rPr>
              <w:t>猪</w:t>
            </w:r>
            <w:r>
              <w:rPr>
                <w:rFonts w:ascii="宋体" w:hAnsi="宋体" w:eastAsia="宋体" w:cs="宋体"/>
                <w:spacing w:val="15"/>
                <w:sz w:val="20"/>
                <w:szCs w:val="20"/>
              </w:rPr>
              <w:t>粪与养殖废水一起交由乐山乐高</w:t>
            </w:r>
            <w:r>
              <w:rPr>
                <w:rFonts w:ascii="宋体" w:hAnsi="宋体" w:eastAsia="宋体" w:cs="宋体"/>
                <w:sz w:val="20"/>
                <w:szCs w:val="20"/>
              </w:rPr>
              <w:t xml:space="preserve"> </w:t>
            </w:r>
            <w:r>
              <w:rPr>
                <w:rFonts w:ascii="宋体" w:hAnsi="宋体" w:eastAsia="宋体" w:cs="宋体"/>
                <w:spacing w:val="26"/>
                <w:sz w:val="20"/>
                <w:szCs w:val="20"/>
              </w:rPr>
              <w:t>勤</w:t>
            </w:r>
            <w:r>
              <w:rPr>
                <w:rFonts w:ascii="宋体" w:hAnsi="宋体" w:eastAsia="宋体" w:cs="宋体"/>
                <w:spacing w:val="15"/>
                <w:sz w:val="20"/>
                <w:szCs w:val="20"/>
              </w:rPr>
              <w:t>力生物质能源综合利用有限公司</w:t>
            </w:r>
            <w:r>
              <w:rPr>
                <w:rFonts w:ascii="宋体" w:hAnsi="宋体" w:eastAsia="宋体" w:cs="宋体"/>
                <w:sz w:val="20"/>
                <w:szCs w:val="20"/>
              </w:rPr>
              <w:t xml:space="preserve"> </w:t>
            </w:r>
            <w:r>
              <w:rPr>
                <w:rFonts w:ascii="宋体" w:hAnsi="宋体" w:eastAsia="宋体" w:cs="宋体"/>
                <w:spacing w:val="24"/>
                <w:sz w:val="20"/>
                <w:szCs w:val="20"/>
              </w:rPr>
              <w:t>集</w:t>
            </w:r>
            <w:r>
              <w:rPr>
                <w:rFonts w:ascii="宋体" w:hAnsi="宋体" w:eastAsia="宋体" w:cs="宋体"/>
                <w:spacing w:val="15"/>
                <w:sz w:val="20"/>
                <w:szCs w:val="20"/>
              </w:rPr>
              <w:t>中处置，直接每天清运，不在厂</w:t>
            </w:r>
            <w:r>
              <w:rPr>
                <w:rFonts w:ascii="宋体" w:hAnsi="宋体" w:eastAsia="宋体" w:cs="宋体"/>
                <w:sz w:val="20"/>
                <w:szCs w:val="20"/>
              </w:rPr>
              <w:t xml:space="preserve"> </w:t>
            </w:r>
            <w:r>
              <w:rPr>
                <w:rFonts w:ascii="宋体" w:hAnsi="宋体" w:eastAsia="宋体" w:cs="宋体"/>
                <w:spacing w:val="26"/>
                <w:sz w:val="20"/>
                <w:szCs w:val="20"/>
              </w:rPr>
              <w:t>区</w:t>
            </w:r>
            <w:r>
              <w:rPr>
                <w:rFonts w:ascii="宋体" w:hAnsi="宋体" w:eastAsia="宋体" w:cs="宋体"/>
                <w:spacing w:val="15"/>
                <w:sz w:val="20"/>
                <w:szCs w:val="20"/>
              </w:rPr>
              <w:t>储存；厂区还配套建设有异位发</w:t>
            </w:r>
            <w:r>
              <w:rPr>
                <w:rFonts w:ascii="宋体" w:hAnsi="宋体" w:eastAsia="宋体" w:cs="宋体"/>
                <w:sz w:val="20"/>
                <w:szCs w:val="20"/>
              </w:rPr>
              <w:t xml:space="preserve"> </w:t>
            </w:r>
            <w:r>
              <w:rPr>
                <w:rFonts w:ascii="宋体" w:hAnsi="宋体" w:eastAsia="宋体" w:cs="宋体"/>
                <w:spacing w:val="26"/>
                <w:sz w:val="20"/>
                <w:szCs w:val="20"/>
              </w:rPr>
              <w:t>酵</w:t>
            </w:r>
            <w:r>
              <w:rPr>
                <w:rFonts w:ascii="宋体" w:hAnsi="宋体" w:eastAsia="宋体" w:cs="宋体"/>
                <w:spacing w:val="15"/>
                <w:sz w:val="20"/>
                <w:szCs w:val="20"/>
              </w:rPr>
              <w:t>床备用，若后期乐山乐高勤力生</w:t>
            </w:r>
            <w:r>
              <w:rPr>
                <w:rFonts w:ascii="宋体" w:hAnsi="宋体" w:eastAsia="宋体" w:cs="宋体"/>
                <w:sz w:val="20"/>
                <w:szCs w:val="20"/>
              </w:rPr>
              <w:t xml:space="preserve"> </w:t>
            </w:r>
            <w:r>
              <w:rPr>
                <w:rFonts w:ascii="宋体" w:hAnsi="宋体" w:eastAsia="宋体" w:cs="宋体"/>
                <w:spacing w:val="26"/>
                <w:sz w:val="20"/>
                <w:szCs w:val="20"/>
              </w:rPr>
              <w:t>物</w:t>
            </w:r>
            <w:r>
              <w:rPr>
                <w:rFonts w:ascii="宋体" w:hAnsi="宋体" w:eastAsia="宋体" w:cs="宋体"/>
                <w:spacing w:val="15"/>
                <w:sz w:val="20"/>
                <w:szCs w:val="20"/>
              </w:rPr>
              <w:t>质能源综合利用有限公司不再回</w:t>
            </w:r>
            <w:r>
              <w:rPr>
                <w:rFonts w:ascii="宋体" w:hAnsi="宋体" w:eastAsia="宋体" w:cs="宋体"/>
                <w:sz w:val="20"/>
                <w:szCs w:val="20"/>
              </w:rPr>
              <w:t xml:space="preserve"> </w:t>
            </w:r>
            <w:r>
              <w:rPr>
                <w:rFonts w:ascii="宋体" w:hAnsi="宋体" w:eastAsia="宋体" w:cs="宋体"/>
                <w:spacing w:val="26"/>
                <w:sz w:val="20"/>
                <w:szCs w:val="20"/>
              </w:rPr>
              <w:t>收</w:t>
            </w:r>
            <w:r>
              <w:rPr>
                <w:rFonts w:ascii="宋体" w:hAnsi="宋体" w:eastAsia="宋体" w:cs="宋体"/>
                <w:spacing w:val="15"/>
                <w:sz w:val="20"/>
                <w:szCs w:val="20"/>
              </w:rPr>
              <w:t>厂区内的养殖废水，可将与厂区</w:t>
            </w:r>
            <w:r>
              <w:rPr>
                <w:rFonts w:ascii="宋体" w:hAnsi="宋体" w:eastAsia="宋体" w:cs="宋体"/>
                <w:sz w:val="20"/>
                <w:szCs w:val="20"/>
              </w:rPr>
              <w:t xml:space="preserve"> </w:t>
            </w:r>
            <w:r>
              <w:rPr>
                <w:rFonts w:ascii="宋体" w:hAnsi="宋体" w:eastAsia="宋体" w:cs="宋体"/>
                <w:spacing w:val="24"/>
                <w:sz w:val="20"/>
                <w:szCs w:val="20"/>
              </w:rPr>
              <w:t>内</w:t>
            </w:r>
            <w:r>
              <w:rPr>
                <w:rFonts w:ascii="宋体" w:hAnsi="宋体" w:eastAsia="宋体" w:cs="宋体"/>
                <w:spacing w:val="15"/>
                <w:sz w:val="20"/>
                <w:szCs w:val="20"/>
              </w:rPr>
              <w:t>养殖废水一起通过异位发酵床自</w:t>
            </w:r>
            <w:r>
              <w:rPr>
                <w:rFonts w:ascii="宋体" w:hAnsi="宋体" w:eastAsia="宋体" w:cs="宋体"/>
                <w:sz w:val="20"/>
                <w:szCs w:val="20"/>
              </w:rPr>
              <w:t xml:space="preserve"> </w:t>
            </w:r>
            <w:r>
              <w:rPr>
                <w:rFonts w:ascii="宋体" w:hAnsi="宋体" w:eastAsia="宋体" w:cs="宋体"/>
                <w:spacing w:val="26"/>
                <w:sz w:val="20"/>
                <w:szCs w:val="20"/>
              </w:rPr>
              <w:t>行</w:t>
            </w:r>
            <w:r>
              <w:rPr>
                <w:rFonts w:ascii="宋体" w:hAnsi="宋体" w:eastAsia="宋体" w:cs="宋体"/>
                <w:spacing w:val="15"/>
                <w:sz w:val="20"/>
                <w:szCs w:val="20"/>
              </w:rPr>
              <w:t>处置，处理产生的有机肥外售处</w:t>
            </w:r>
            <w:r>
              <w:rPr>
                <w:rFonts w:ascii="宋体" w:hAnsi="宋体" w:eastAsia="宋体" w:cs="宋体"/>
                <w:sz w:val="20"/>
                <w:szCs w:val="20"/>
              </w:rPr>
              <w:t xml:space="preserve"> 理</w:t>
            </w:r>
          </w:p>
        </w:tc>
        <w:tc>
          <w:tcPr>
            <w:tcW w:w="1089" w:type="dxa"/>
            <w:tcBorders>
              <w:left w:val="single" w:color="000000" w:sz="4" w:space="0"/>
              <w:right w:val="nil"/>
            </w:tcBorders>
          </w:tcPr>
          <w:p w14:paraId="7DDFEBE3">
            <w:pPr>
              <w:spacing w:line="248" w:lineRule="auto"/>
            </w:pPr>
          </w:p>
          <w:p w14:paraId="126967B7">
            <w:pPr>
              <w:spacing w:line="249" w:lineRule="auto"/>
            </w:pPr>
          </w:p>
          <w:p w14:paraId="70BCA1E2">
            <w:pPr>
              <w:spacing w:line="249" w:lineRule="auto"/>
            </w:pPr>
          </w:p>
          <w:p w14:paraId="0F9B431B">
            <w:pPr>
              <w:spacing w:line="249" w:lineRule="auto"/>
            </w:pPr>
          </w:p>
          <w:p w14:paraId="526A1AC7">
            <w:pPr>
              <w:spacing w:line="249" w:lineRule="auto"/>
            </w:pPr>
          </w:p>
          <w:p w14:paraId="4B92386E">
            <w:pPr>
              <w:spacing w:before="65" w:line="228" w:lineRule="auto"/>
              <w:ind w:left="338"/>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r w14:paraId="46B6CF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1482" w:type="dxa"/>
            <w:vMerge w:val="continue"/>
            <w:tcBorders>
              <w:top w:val="nil"/>
              <w:left w:val="nil"/>
              <w:bottom w:val="nil"/>
              <w:right w:val="single" w:color="000000" w:sz="4" w:space="0"/>
            </w:tcBorders>
          </w:tcPr>
          <w:p w14:paraId="63B67F31"/>
        </w:tc>
        <w:tc>
          <w:tcPr>
            <w:tcW w:w="3680" w:type="dxa"/>
            <w:tcBorders>
              <w:left w:val="single" w:color="000000" w:sz="4" w:space="0"/>
              <w:right w:val="single" w:color="000000" w:sz="4" w:space="0"/>
            </w:tcBorders>
          </w:tcPr>
          <w:p w14:paraId="6B3A596F">
            <w:pPr>
              <w:spacing w:before="96" w:line="264" w:lineRule="auto"/>
              <w:ind w:left="1633" w:right="54" w:hanging="1561"/>
              <w:rPr>
                <w:rFonts w:ascii="宋体" w:hAnsi="宋体" w:eastAsia="宋体" w:cs="宋体"/>
                <w:sz w:val="20"/>
                <w:szCs w:val="20"/>
              </w:rPr>
            </w:pPr>
            <w:r>
              <w:rPr>
                <w:rFonts w:ascii="宋体" w:hAnsi="宋体" w:eastAsia="宋体" w:cs="宋体"/>
                <w:spacing w:val="14"/>
                <w:sz w:val="20"/>
                <w:szCs w:val="20"/>
              </w:rPr>
              <w:t>畜</w:t>
            </w:r>
            <w:r>
              <w:rPr>
                <w:rFonts w:ascii="宋体" w:hAnsi="宋体" w:eastAsia="宋体" w:cs="宋体"/>
                <w:spacing w:val="8"/>
                <w:sz w:val="20"/>
                <w:szCs w:val="20"/>
              </w:rPr>
              <w:t>禽粪便贮存设施必须进行防渗、防雨</w:t>
            </w:r>
            <w:r>
              <w:rPr>
                <w:rFonts w:ascii="宋体" w:hAnsi="宋体" w:eastAsia="宋体" w:cs="宋体"/>
                <w:sz w:val="20"/>
                <w:szCs w:val="20"/>
              </w:rPr>
              <w:t xml:space="preserve"> </w:t>
            </w:r>
            <w:r>
              <w:rPr>
                <w:rFonts w:ascii="宋体" w:hAnsi="宋体" w:eastAsia="宋体" w:cs="宋体"/>
                <w:spacing w:val="5"/>
                <w:sz w:val="20"/>
                <w:szCs w:val="20"/>
              </w:rPr>
              <w:t>措</w:t>
            </w:r>
            <w:r>
              <w:rPr>
                <w:rFonts w:ascii="宋体" w:hAnsi="宋体" w:eastAsia="宋体" w:cs="宋体"/>
                <w:spacing w:val="4"/>
                <w:sz w:val="20"/>
                <w:szCs w:val="20"/>
              </w:rPr>
              <w:t>施</w:t>
            </w:r>
          </w:p>
        </w:tc>
        <w:tc>
          <w:tcPr>
            <w:tcW w:w="3360" w:type="dxa"/>
            <w:tcBorders>
              <w:left w:val="single" w:color="000000" w:sz="4" w:space="0"/>
              <w:right w:val="single" w:color="000000" w:sz="4" w:space="0"/>
            </w:tcBorders>
          </w:tcPr>
          <w:p w14:paraId="3885E0F9">
            <w:pPr>
              <w:spacing w:before="96" w:line="264" w:lineRule="auto"/>
              <w:ind w:left="61" w:right="52" w:firstLine="2"/>
              <w:rPr>
                <w:rFonts w:ascii="宋体" w:hAnsi="宋体" w:eastAsia="宋体" w:cs="宋体"/>
                <w:sz w:val="20"/>
                <w:szCs w:val="20"/>
              </w:rPr>
            </w:pPr>
            <w:r>
              <w:rPr>
                <w:rFonts w:ascii="宋体" w:hAnsi="宋体" w:eastAsia="宋体" w:cs="宋体"/>
                <w:spacing w:val="23"/>
                <w:sz w:val="20"/>
                <w:szCs w:val="20"/>
              </w:rPr>
              <w:t>项</w:t>
            </w:r>
            <w:r>
              <w:rPr>
                <w:rFonts w:ascii="宋体" w:hAnsi="宋体" w:eastAsia="宋体" w:cs="宋体"/>
                <w:spacing w:val="15"/>
                <w:sz w:val="20"/>
                <w:szCs w:val="20"/>
              </w:rPr>
              <w:t>目粪便日产日清，不在项目地内</w:t>
            </w:r>
            <w:r>
              <w:rPr>
                <w:rFonts w:ascii="宋体" w:hAnsi="宋体" w:eastAsia="宋体" w:cs="宋体"/>
                <w:sz w:val="20"/>
                <w:szCs w:val="20"/>
              </w:rPr>
              <w:t xml:space="preserve"> </w:t>
            </w:r>
            <w:r>
              <w:rPr>
                <w:rFonts w:ascii="宋体" w:hAnsi="宋体" w:eastAsia="宋体" w:cs="宋体"/>
                <w:spacing w:val="4"/>
                <w:sz w:val="20"/>
                <w:szCs w:val="20"/>
              </w:rPr>
              <w:t>堆存</w:t>
            </w:r>
          </w:p>
        </w:tc>
        <w:tc>
          <w:tcPr>
            <w:tcW w:w="1089" w:type="dxa"/>
            <w:tcBorders>
              <w:left w:val="single" w:color="000000" w:sz="4" w:space="0"/>
              <w:right w:val="nil"/>
            </w:tcBorders>
          </w:tcPr>
          <w:p w14:paraId="03148ECC">
            <w:pPr>
              <w:spacing w:before="229" w:line="228" w:lineRule="auto"/>
              <w:ind w:left="338"/>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r w14:paraId="0A1AC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1482" w:type="dxa"/>
            <w:vMerge w:val="continue"/>
            <w:tcBorders>
              <w:top w:val="nil"/>
              <w:left w:val="nil"/>
              <w:right w:val="single" w:color="000000" w:sz="4" w:space="0"/>
            </w:tcBorders>
          </w:tcPr>
          <w:p w14:paraId="6E440FFC"/>
        </w:tc>
        <w:tc>
          <w:tcPr>
            <w:tcW w:w="3680" w:type="dxa"/>
            <w:tcBorders>
              <w:left w:val="single" w:color="000000" w:sz="4" w:space="0"/>
              <w:right w:val="single" w:color="000000" w:sz="4" w:space="0"/>
            </w:tcBorders>
          </w:tcPr>
          <w:p w14:paraId="44263241">
            <w:pPr>
              <w:spacing w:before="291" w:line="267" w:lineRule="auto"/>
              <w:ind w:left="61" w:right="54" w:hanging="2"/>
              <w:rPr>
                <w:rFonts w:ascii="宋体" w:hAnsi="宋体" w:eastAsia="宋体" w:cs="宋体"/>
                <w:sz w:val="20"/>
                <w:szCs w:val="20"/>
              </w:rPr>
            </w:pPr>
            <w:r>
              <w:rPr>
                <w:rFonts w:ascii="宋体" w:hAnsi="宋体" w:eastAsia="宋体" w:cs="宋体"/>
                <w:spacing w:val="25"/>
                <w:sz w:val="20"/>
                <w:szCs w:val="20"/>
              </w:rPr>
              <w:t>新</w:t>
            </w:r>
            <w:r>
              <w:rPr>
                <w:rFonts w:ascii="宋体" w:hAnsi="宋体" w:eastAsia="宋体" w:cs="宋体"/>
                <w:spacing w:val="22"/>
                <w:sz w:val="20"/>
                <w:szCs w:val="20"/>
              </w:rPr>
              <w:t>建畜禽养殖场须配置畜禽粪便处理</w:t>
            </w:r>
            <w:r>
              <w:rPr>
                <w:rFonts w:ascii="宋体" w:hAnsi="宋体" w:eastAsia="宋体" w:cs="宋体"/>
                <w:sz w:val="20"/>
                <w:szCs w:val="20"/>
              </w:rPr>
              <w:t xml:space="preserve"> </w:t>
            </w:r>
            <w:r>
              <w:rPr>
                <w:rFonts w:ascii="宋体" w:hAnsi="宋体" w:eastAsia="宋体" w:cs="宋体"/>
                <w:spacing w:val="14"/>
                <w:sz w:val="20"/>
                <w:szCs w:val="20"/>
              </w:rPr>
              <w:t>设</w:t>
            </w:r>
            <w:r>
              <w:rPr>
                <w:rFonts w:ascii="宋体" w:hAnsi="宋体" w:eastAsia="宋体" w:cs="宋体"/>
                <w:spacing w:val="8"/>
                <w:sz w:val="20"/>
                <w:szCs w:val="20"/>
              </w:rPr>
              <w:t>施或畜禽粪便处理场</w:t>
            </w:r>
          </w:p>
        </w:tc>
        <w:tc>
          <w:tcPr>
            <w:tcW w:w="3360" w:type="dxa"/>
            <w:tcBorders>
              <w:left w:val="single" w:color="000000" w:sz="4" w:space="0"/>
              <w:right w:val="single" w:color="000000" w:sz="4" w:space="0"/>
            </w:tcBorders>
          </w:tcPr>
          <w:p w14:paraId="0862BD43">
            <w:pPr>
              <w:spacing w:line="360" w:lineRule="auto"/>
            </w:pPr>
          </w:p>
          <w:p w14:paraId="4F03580E">
            <w:pPr>
              <w:spacing w:before="65" w:line="228" w:lineRule="auto"/>
              <w:ind w:left="60"/>
              <w:rPr>
                <w:rFonts w:ascii="宋体" w:hAnsi="宋体" w:eastAsia="宋体" w:cs="宋体"/>
                <w:sz w:val="20"/>
                <w:szCs w:val="20"/>
              </w:rPr>
            </w:pPr>
            <w:r>
              <w:rPr>
                <w:rFonts w:ascii="宋体" w:hAnsi="宋体" w:eastAsia="宋体" w:cs="宋体"/>
                <w:spacing w:val="13"/>
                <w:sz w:val="20"/>
                <w:szCs w:val="20"/>
              </w:rPr>
              <w:t>猪</w:t>
            </w:r>
            <w:r>
              <w:rPr>
                <w:rFonts w:ascii="宋体" w:hAnsi="宋体" w:eastAsia="宋体" w:cs="宋体"/>
                <w:spacing w:val="7"/>
                <w:sz w:val="20"/>
                <w:szCs w:val="20"/>
              </w:rPr>
              <w:t>粪不在厂区储存。</w:t>
            </w:r>
          </w:p>
        </w:tc>
        <w:tc>
          <w:tcPr>
            <w:tcW w:w="1089" w:type="dxa"/>
            <w:tcBorders>
              <w:left w:val="single" w:color="000000" w:sz="4" w:space="0"/>
              <w:right w:val="nil"/>
            </w:tcBorders>
          </w:tcPr>
          <w:p w14:paraId="4E55EB13">
            <w:pPr>
              <w:spacing w:line="360" w:lineRule="auto"/>
            </w:pPr>
          </w:p>
          <w:p w14:paraId="51281783">
            <w:pPr>
              <w:spacing w:before="65" w:line="228" w:lineRule="auto"/>
              <w:ind w:left="338"/>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bl>
    <w:p w14:paraId="41539AA3">
      <w:pPr>
        <w:spacing w:before="36" w:line="227" w:lineRule="auto"/>
        <w:ind w:left="952"/>
        <w:rPr>
          <w:rFonts w:ascii="宋体" w:hAnsi="宋体" w:eastAsia="宋体" w:cs="宋体"/>
          <w:sz w:val="23"/>
          <w:szCs w:val="23"/>
        </w:rPr>
      </w:pPr>
      <w:r>
        <w:rPr>
          <w:rFonts w:ascii="宋体" w:hAnsi="宋体" w:eastAsia="宋体" w:cs="宋体"/>
          <w:spacing w:val="11"/>
          <w:sz w:val="23"/>
          <w:szCs w:val="23"/>
        </w:rPr>
        <w:t>根</w:t>
      </w:r>
      <w:r>
        <w:rPr>
          <w:rFonts w:ascii="宋体" w:hAnsi="宋体" w:eastAsia="宋体" w:cs="宋体"/>
          <w:spacing w:val="9"/>
          <w:sz w:val="23"/>
          <w:szCs w:val="23"/>
        </w:rPr>
        <w:t>据以上分析，该项目选址符合要求，选址合理。</w:t>
      </w:r>
    </w:p>
    <w:p w14:paraId="3F6023ED">
      <w:pPr>
        <w:spacing w:before="182" w:line="227" w:lineRule="auto"/>
        <w:ind w:left="478"/>
        <w:outlineLvl w:val="2"/>
        <w:rPr>
          <w:rFonts w:ascii="宋体" w:hAnsi="宋体" w:eastAsia="宋体" w:cs="宋体"/>
          <w:sz w:val="23"/>
          <w:szCs w:val="23"/>
        </w:rPr>
      </w:pPr>
      <w:r>
        <w:rPr>
          <w:rFonts w:ascii="Times New Roman" w:hAnsi="Times New Roman" w:eastAsia="Times New Roman" w:cs="Times New Roman"/>
          <w:b/>
          <w:bCs/>
          <w:spacing w:val="14"/>
          <w:sz w:val="23"/>
          <w:szCs w:val="23"/>
        </w:rPr>
        <w:t>1.</w:t>
      </w:r>
      <w:r>
        <w:rPr>
          <w:rFonts w:ascii="Times New Roman" w:hAnsi="Times New Roman" w:eastAsia="Times New Roman" w:cs="Times New Roman"/>
          <w:b/>
          <w:bCs/>
          <w:spacing w:val="7"/>
          <w:sz w:val="23"/>
          <w:szCs w:val="23"/>
        </w:rPr>
        <w:t>6.4</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与四川省主体功能区规划符合性</w:t>
      </w:r>
    </w:p>
    <w:p w14:paraId="664F043A">
      <w:pPr>
        <w:spacing w:before="183" w:line="375" w:lineRule="auto"/>
        <w:ind w:left="471" w:right="460" w:firstLine="480"/>
        <w:rPr>
          <w:rFonts w:ascii="宋体" w:hAnsi="宋体" w:eastAsia="宋体" w:cs="宋体"/>
          <w:sz w:val="23"/>
          <w:szCs w:val="23"/>
        </w:rPr>
      </w:pPr>
      <w:r>
        <w:rPr>
          <w:rFonts w:ascii="宋体" w:hAnsi="宋体" w:eastAsia="宋体" w:cs="宋体"/>
          <w:spacing w:val="20"/>
          <w:sz w:val="23"/>
          <w:szCs w:val="23"/>
        </w:rPr>
        <w:t>根</w:t>
      </w:r>
      <w:r>
        <w:rPr>
          <w:rFonts w:ascii="宋体" w:hAnsi="宋体" w:eastAsia="宋体" w:cs="宋体"/>
          <w:spacing w:val="18"/>
          <w:sz w:val="23"/>
          <w:szCs w:val="23"/>
        </w:rPr>
        <w:t>据</w:t>
      </w:r>
      <w:r>
        <w:rPr>
          <w:rFonts w:ascii="宋体" w:hAnsi="宋体" w:eastAsia="宋体" w:cs="宋体"/>
          <w:spacing w:val="10"/>
          <w:sz w:val="23"/>
          <w:szCs w:val="23"/>
        </w:rPr>
        <w:t>四川省主体功能区规划，井研县不属于限制开发区域 (农产品主产区) ，</w:t>
      </w:r>
      <w:r>
        <w:rPr>
          <w:rFonts w:ascii="宋体" w:hAnsi="宋体" w:eastAsia="宋体" w:cs="宋体"/>
          <w:sz w:val="23"/>
          <w:szCs w:val="23"/>
        </w:rPr>
        <w:t xml:space="preserve"> </w:t>
      </w:r>
      <w:r>
        <w:rPr>
          <w:rFonts w:ascii="宋体" w:hAnsi="宋体" w:eastAsia="宋体" w:cs="宋体"/>
          <w:spacing w:val="14"/>
          <w:sz w:val="23"/>
          <w:szCs w:val="23"/>
        </w:rPr>
        <w:t>限</w:t>
      </w:r>
      <w:r>
        <w:rPr>
          <w:rFonts w:ascii="宋体" w:hAnsi="宋体" w:eastAsia="宋体" w:cs="宋体"/>
          <w:spacing w:val="11"/>
          <w:sz w:val="23"/>
          <w:szCs w:val="23"/>
        </w:rPr>
        <w:t>制开发的主产区功能定位和发展方向是：国家优质商品猪战略保障基地，现代农</w:t>
      </w:r>
      <w:r>
        <w:rPr>
          <w:rFonts w:ascii="宋体" w:hAnsi="宋体" w:eastAsia="宋体" w:cs="宋体"/>
          <w:sz w:val="23"/>
          <w:szCs w:val="23"/>
        </w:rPr>
        <w:t xml:space="preserve"> </w:t>
      </w:r>
      <w:r>
        <w:rPr>
          <w:rFonts w:ascii="宋体" w:hAnsi="宋体" w:eastAsia="宋体" w:cs="宋体"/>
          <w:spacing w:val="14"/>
          <w:sz w:val="23"/>
          <w:szCs w:val="23"/>
        </w:rPr>
        <w:t>业</w:t>
      </w:r>
      <w:r>
        <w:rPr>
          <w:rFonts w:ascii="宋体" w:hAnsi="宋体" w:eastAsia="宋体" w:cs="宋体"/>
          <w:spacing w:val="11"/>
          <w:sz w:val="23"/>
          <w:szCs w:val="23"/>
        </w:rPr>
        <w:t>示范区，现代林业产业基地，特色农产品加工业发展的重点区域，农民安居乐业</w:t>
      </w:r>
      <w:r>
        <w:rPr>
          <w:rFonts w:ascii="宋体" w:hAnsi="宋体" w:eastAsia="宋体" w:cs="宋体"/>
          <w:sz w:val="23"/>
          <w:szCs w:val="23"/>
        </w:rPr>
        <w:t xml:space="preserve"> </w:t>
      </w:r>
      <w:r>
        <w:rPr>
          <w:rFonts w:ascii="宋体" w:hAnsi="宋体" w:eastAsia="宋体" w:cs="宋体"/>
          <w:spacing w:val="7"/>
          <w:sz w:val="23"/>
          <w:szCs w:val="23"/>
        </w:rPr>
        <w:t>的美好家园</w:t>
      </w:r>
      <w:r>
        <w:rPr>
          <w:rFonts w:ascii="宋体" w:hAnsi="宋体" w:eastAsia="宋体" w:cs="宋体"/>
          <w:spacing w:val="6"/>
          <w:sz w:val="23"/>
          <w:szCs w:val="23"/>
        </w:rPr>
        <w:t>。</w:t>
      </w:r>
    </w:p>
    <w:p w14:paraId="006209B4">
      <w:pPr>
        <w:spacing w:line="375" w:lineRule="auto"/>
        <w:ind w:left="471" w:right="462" w:firstLine="484"/>
        <w:rPr>
          <w:rFonts w:ascii="宋体" w:hAnsi="宋体" w:eastAsia="宋体" w:cs="宋体"/>
          <w:sz w:val="23"/>
          <w:szCs w:val="23"/>
        </w:rPr>
      </w:pPr>
      <w:r>
        <w:rPr>
          <w:rFonts w:ascii="宋体" w:hAnsi="宋体" w:eastAsia="宋体" w:cs="宋体"/>
          <w:spacing w:val="12"/>
          <w:sz w:val="23"/>
          <w:szCs w:val="23"/>
        </w:rPr>
        <w:t>项目位于</w:t>
      </w:r>
      <w:r>
        <w:rPr>
          <w:rFonts w:ascii="宋体" w:hAnsi="宋体" w:eastAsia="宋体" w:cs="宋体"/>
          <w:spacing w:val="11"/>
          <w:sz w:val="23"/>
          <w:szCs w:val="23"/>
        </w:rPr>
        <w:t>井</w:t>
      </w:r>
      <w:r>
        <w:rPr>
          <w:rFonts w:ascii="宋体" w:hAnsi="宋体" w:eastAsia="宋体" w:cs="宋体"/>
          <w:spacing w:val="6"/>
          <w:sz w:val="23"/>
          <w:szCs w:val="23"/>
        </w:rPr>
        <w:t xml:space="preserve">研县周坡镇周坡村 </w:t>
      </w:r>
      <w:r>
        <w:rPr>
          <w:rFonts w:ascii="Times New Roman" w:hAnsi="Times New Roman" w:eastAsia="Times New Roman" w:cs="Times New Roman"/>
          <w:spacing w:val="6"/>
          <w:sz w:val="23"/>
          <w:szCs w:val="23"/>
        </w:rPr>
        <w:t xml:space="preserve">7 </w:t>
      </w:r>
      <w:r>
        <w:rPr>
          <w:rFonts w:ascii="宋体" w:hAnsi="宋体" w:eastAsia="宋体" w:cs="宋体"/>
          <w:spacing w:val="6"/>
          <w:sz w:val="23"/>
          <w:szCs w:val="23"/>
        </w:rPr>
        <w:t xml:space="preserve">组、龙桥村 </w:t>
      </w:r>
      <w:r>
        <w:rPr>
          <w:rFonts w:ascii="Times New Roman" w:hAnsi="Times New Roman" w:eastAsia="Times New Roman" w:cs="Times New Roman"/>
          <w:spacing w:val="6"/>
          <w:sz w:val="23"/>
          <w:szCs w:val="23"/>
        </w:rPr>
        <w:t xml:space="preserve">2 </w:t>
      </w:r>
      <w:r>
        <w:rPr>
          <w:rFonts w:ascii="宋体" w:hAnsi="宋体" w:eastAsia="宋体" w:cs="宋体"/>
          <w:spacing w:val="6"/>
          <w:sz w:val="23"/>
          <w:szCs w:val="23"/>
        </w:rPr>
        <w:t>组，建设育肥猪养殖项目，建成</w:t>
      </w:r>
      <w:r>
        <w:rPr>
          <w:rFonts w:ascii="宋体" w:hAnsi="宋体" w:eastAsia="宋体" w:cs="宋体"/>
          <w:sz w:val="23"/>
          <w:szCs w:val="23"/>
        </w:rPr>
        <w:t xml:space="preserve"> </w:t>
      </w:r>
      <w:r>
        <w:rPr>
          <w:rFonts w:ascii="宋体" w:hAnsi="宋体" w:eastAsia="宋体" w:cs="宋体"/>
          <w:spacing w:val="16"/>
          <w:sz w:val="23"/>
          <w:szCs w:val="23"/>
        </w:rPr>
        <w:t>后年</w:t>
      </w:r>
      <w:r>
        <w:rPr>
          <w:rFonts w:ascii="宋体" w:hAnsi="宋体" w:eastAsia="宋体" w:cs="宋体"/>
          <w:spacing w:val="9"/>
          <w:sz w:val="23"/>
          <w:szCs w:val="23"/>
        </w:rPr>
        <w:t>出</w:t>
      </w:r>
      <w:r>
        <w:rPr>
          <w:rFonts w:ascii="宋体" w:hAnsi="宋体" w:eastAsia="宋体" w:cs="宋体"/>
          <w:spacing w:val="8"/>
          <w:sz w:val="23"/>
          <w:szCs w:val="23"/>
        </w:rPr>
        <w:t xml:space="preserve">栏生猪 </w:t>
      </w:r>
      <w:r>
        <w:rPr>
          <w:rFonts w:ascii="Times New Roman" w:hAnsi="Times New Roman" w:eastAsia="Times New Roman" w:cs="Times New Roman"/>
          <w:spacing w:val="8"/>
          <w:sz w:val="23"/>
          <w:szCs w:val="23"/>
        </w:rPr>
        <w:t xml:space="preserve">10400 </w:t>
      </w:r>
      <w:r>
        <w:rPr>
          <w:rFonts w:ascii="宋体" w:hAnsi="宋体" w:eastAsia="宋体" w:cs="宋体"/>
          <w:spacing w:val="8"/>
          <w:sz w:val="23"/>
          <w:szCs w:val="23"/>
        </w:rPr>
        <w:t>头，为国家提供了优质的商品猪，符合《四川省主体功能区规</w:t>
      </w:r>
      <w:r>
        <w:rPr>
          <w:rFonts w:ascii="宋体" w:hAnsi="宋体" w:eastAsia="宋体" w:cs="宋体"/>
          <w:sz w:val="23"/>
          <w:szCs w:val="23"/>
        </w:rPr>
        <w:t xml:space="preserve"> </w:t>
      </w:r>
      <w:r>
        <w:rPr>
          <w:rFonts w:ascii="宋体" w:hAnsi="宋体" w:eastAsia="宋体" w:cs="宋体"/>
          <w:spacing w:val="1"/>
          <w:sz w:val="23"/>
          <w:szCs w:val="23"/>
        </w:rPr>
        <w:t>划</w:t>
      </w:r>
      <w:r>
        <w:rPr>
          <w:rFonts w:ascii="宋体" w:hAnsi="宋体" w:eastAsia="宋体" w:cs="宋体"/>
          <w:sz w:val="23"/>
          <w:szCs w:val="23"/>
        </w:rPr>
        <w:t>》。</w:t>
      </w:r>
    </w:p>
    <w:p w14:paraId="4C1AEFB1">
      <w:pPr>
        <w:spacing w:line="228" w:lineRule="auto"/>
        <w:ind w:left="478"/>
        <w:outlineLvl w:val="2"/>
        <w:rPr>
          <w:rFonts w:ascii="宋体" w:hAnsi="宋体" w:eastAsia="宋体" w:cs="宋体"/>
          <w:sz w:val="23"/>
          <w:szCs w:val="23"/>
        </w:rPr>
      </w:pPr>
      <w:r>
        <w:rPr>
          <w:rFonts w:ascii="Times New Roman" w:hAnsi="Times New Roman" w:eastAsia="Times New Roman" w:cs="Times New Roman"/>
          <w:b/>
          <w:bCs/>
          <w:spacing w:val="10"/>
          <w:sz w:val="23"/>
          <w:szCs w:val="23"/>
        </w:rPr>
        <w:t>1</w:t>
      </w:r>
      <w:r>
        <w:rPr>
          <w:rFonts w:ascii="Times New Roman" w:hAnsi="Times New Roman" w:eastAsia="Times New Roman" w:cs="Times New Roman"/>
          <w:b/>
          <w:bCs/>
          <w:spacing w:val="8"/>
          <w:sz w:val="23"/>
          <w:szCs w:val="23"/>
        </w:rPr>
        <w:t>.6.5</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与《四川省畜牧业</w:t>
      </w:r>
      <w:r>
        <w:rPr>
          <w:rFonts w:ascii="宋体" w:hAnsi="宋体" w:eastAsia="宋体" w:cs="宋体"/>
          <w:spacing w:val="8"/>
          <w:sz w:val="23"/>
          <w:szCs w:val="23"/>
        </w:rPr>
        <w:t xml:space="preserve"> </w:t>
      </w:r>
      <w:r>
        <w:rPr>
          <w:rFonts w:ascii="Times New Roman" w:hAnsi="Times New Roman" w:eastAsia="Times New Roman" w:cs="Times New Roman"/>
          <w:b/>
          <w:bCs/>
          <w:spacing w:val="8"/>
          <w:sz w:val="23"/>
          <w:szCs w:val="23"/>
        </w:rPr>
        <w:t>“</w:t>
      </w:r>
      <w:r>
        <w:rPr>
          <w:rFonts w:ascii="宋体" w:hAnsi="宋体" w:eastAsia="宋体" w:cs="宋体"/>
          <w:spacing w:val="8"/>
          <w:sz w:val="23"/>
          <w:szCs w:val="23"/>
          <w14:textOutline w14:w="4356" w14:cap="sq" w14:cmpd="sng" w14:algn="ctr">
            <w14:solidFill>
              <w14:srgbClr w14:val="000000"/>
            </w14:solidFill>
            <w14:prstDash w14:val="solid"/>
            <w14:bevel/>
          </w14:textOutline>
        </w:rPr>
        <w:t>十三五</w:t>
      </w:r>
      <w:r>
        <w:rPr>
          <w:rFonts w:ascii="Times New Roman" w:hAnsi="Times New Roman" w:eastAsia="Times New Roman" w:cs="Times New Roman"/>
          <w:b/>
          <w:bCs/>
          <w:spacing w:val="8"/>
          <w:sz w:val="23"/>
          <w:szCs w:val="23"/>
        </w:rPr>
        <w:t>”</w:t>
      </w:r>
      <w:r>
        <w:rPr>
          <w:rFonts w:ascii="宋体" w:hAnsi="宋体" w:eastAsia="宋体" w:cs="宋体"/>
          <w:spacing w:val="8"/>
          <w:sz w:val="23"/>
          <w:szCs w:val="23"/>
          <w14:textOutline w14:w="4356" w14:cap="sq" w14:cmpd="sng" w14:algn="ctr">
            <w14:solidFill>
              <w14:srgbClr w14:val="000000"/>
            </w14:solidFill>
            <w14:prstDash w14:val="solid"/>
            <w14:bevel/>
          </w14:textOutline>
        </w:rPr>
        <w:t>发展规划》符合性分析</w:t>
      </w:r>
    </w:p>
    <w:p w14:paraId="406A4713">
      <w:pPr>
        <w:spacing w:before="180" w:line="374" w:lineRule="auto"/>
        <w:ind w:left="471" w:right="460" w:firstLine="486"/>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8"/>
          <w:sz w:val="23"/>
          <w:szCs w:val="23"/>
        </w:rPr>
        <w:t>四</w:t>
      </w:r>
      <w:r>
        <w:rPr>
          <w:rFonts w:ascii="宋体" w:hAnsi="宋体" w:eastAsia="宋体" w:cs="宋体"/>
          <w:spacing w:val="7"/>
          <w:sz w:val="23"/>
          <w:szCs w:val="23"/>
        </w:rPr>
        <w:t xml:space="preserve">川省畜牧业 </w:t>
      </w:r>
      <w:r>
        <w:rPr>
          <w:rFonts w:ascii="Times New Roman" w:hAnsi="Times New Roman" w:eastAsia="Times New Roman" w:cs="Times New Roman"/>
          <w:spacing w:val="7"/>
          <w:sz w:val="23"/>
          <w:szCs w:val="23"/>
        </w:rPr>
        <w:t>“</w:t>
      </w:r>
      <w:r>
        <w:rPr>
          <w:rFonts w:ascii="宋体" w:hAnsi="宋体" w:eastAsia="宋体" w:cs="宋体"/>
          <w:spacing w:val="7"/>
          <w:sz w:val="23"/>
          <w:szCs w:val="23"/>
        </w:rPr>
        <w:t>十三五</w:t>
      </w:r>
      <w:r>
        <w:rPr>
          <w:rFonts w:ascii="Times New Roman" w:hAnsi="Times New Roman" w:eastAsia="Times New Roman" w:cs="Times New Roman"/>
          <w:spacing w:val="7"/>
          <w:sz w:val="23"/>
          <w:szCs w:val="23"/>
        </w:rPr>
        <w:t>”</w:t>
      </w:r>
      <w:r>
        <w:rPr>
          <w:rFonts w:ascii="宋体" w:hAnsi="宋体" w:eastAsia="宋体" w:cs="宋体"/>
          <w:spacing w:val="7"/>
          <w:sz w:val="23"/>
          <w:szCs w:val="23"/>
        </w:rPr>
        <w:t>发展规划》  (</w:t>
      </w:r>
      <w:r>
        <w:rPr>
          <w:rFonts w:ascii="Times New Roman" w:hAnsi="Times New Roman" w:eastAsia="Times New Roman" w:cs="Times New Roman"/>
          <w:spacing w:val="7"/>
          <w:sz w:val="23"/>
          <w:szCs w:val="23"/>
        </w:rPr>
        <w:t>2016-2020</w:t>
      </w:r>
      <w:r>
        <w:rPr>
          <w:rFonts w:ascii="宋体" w:hAnsi="宋体" w:eastAsia="宋体" w:cs="宋体"/>
          <w:spacing w:val="7"/>
          <w:sz w:val="23"/>
          <w:szCs w:val="23"/>
        </w:rPr>
        <w:t>) 明确提出十大工作重点：</w:t>
      </w:r>
      <w:r>
        <w:rPr>
          <w:rFonts w:ascii="宋体" w:hAnsi="宋体" w:eastAsia="宋体" w:cs="宋体"/>
          <w:sz w:val="23"/>
          <w:szCs w:val="23"/>
        </w:rPr>
        <w:t xml:space="preserve"> </w:t>
      </w:r>
      <w:r>
        <w:rPr>
          <w:rFonts w:ascii="宋体" w:hAnsi="宋体" w:eastAsia="宋体" w:cs="宋体"/>
          <w:spacing w:val="22"/>
          <w:sz w:val="23"/>
          <w:szCs w:val="23"/>
        </w:rPr>
        <w:t>一</w:t>
      </w:r>
      <w:r>
        <w:rPr>
          <w:rFonts w:ascii="宋体" w:hAnsi="宋体" w:eastAsia="宋体" w:cs="宋体"/>
          <w:spacing w:val="18"/>
          <w:sz w:val="23"/>
          <w:szCs w:val="23"/>
        </w:rPr>
        <w:t>、</w:t>
      </w:r>
      <w:r>
        <w:rPr>
          <w:rFonts w:ascii="宋体" w:hAnsi="宋体" w:eastAsia="宋体" w:cs="宋体"/>
          <w:spacing w:val="11"/>
          <w:sz w:val="23"/>
          <w:szCs w:val="23"/>
        </w:rPr>
        <w:t>积极推动</w:t>
      </w:r>
      <w:r>
        <w:rPr>
          <w:rFonts w:ascii="Times New Roman" w:hAnsi="Times New Roman" w:eastAsia="Times New Roman" w:cs="Times New Roman"/>
          <w:spacing w:val="11"/>
          <w:sz w:val="23"/>
          <w:szCs w:val="23"/>
        </w:rPr>
        <w:t>“</w:t>
      </w:r>
      <w:r>
        <w:rPr>
          <w:rFonts w:ascii="宋体" w:hAnsi="宋体" w:eastAsia="宋体" w:cs="宋体"/>
          <w:spacing w:val="11"/>
          <w:sz w:val="23"/>
          <w:szCs w:val="23"/>
        </w:rPr>
        <w:t>粮改饲</w:t>
      </w:r>
      <w:r>
        <w:rPr>
          <w:rFonts w:ascii="Times New Roman" w:hAnsi="Times New Roman" w:eastAsia="Times New Roman" w:cs="Times New Roman"/>
          <w:spacing w:val="11"/>
          <w:sz w:val="23"/>
          <w:szCs w:val="23"/>
        </w:rPr>
        <w:t>”</w:t>
      </w:r>
      <w:r>
        <w:rPr>
          <w:rFonts w:ascii="宋体" w:hAnsi="宋体" w:eastAsia="宋体" w:cs="宋体"/>
          <w:spacing w:val="11"/>
          <w:sz w:val="23"/>
          <w:szCs w:val="23"/>
        </w:rPr>
        <w:t>；二、粪污的资源化利用及无害化处理问题，争取将粪污变</w:t>
      </w:r>
      <w:r>
        <w:rPr>
          <w:rFonts w:ascii="宋体" w:hAnsi="宋体" w:eastAsia="宋体" w:cs="宋体"/>
          <w:sz w:val="23"/>
          <w:szCs w:val="23"/>
        </w:rPr>
        <w:t xml:space="preserve"> </w:t>
      </w:r>
      <w:r>
        <w:rPr>
          <w:rFonts w:ascii="宋体" w:hAnsi="宋体" w:eastAsia="宋体" w:cs="宋体"/>
          <w:spacing w:val="16"/>
          <w:sz w:val="23"/>
          <w:szCs w:val="23"/>
        </w:rPr>
        <w:t>废为</w:t>
      </w:r>
      <w:r>
        <w:rPr>
          <w:rFonts w:ascii="宋体" w:hAnsi="宋体" w:eastAsia="宋体" w:cs="宋体"/>
          <w:spacing w:val="10"/>
          <w:sz w:val="23"/>
          <w:szCs w:val="23"/>
        </w:rPr>
        <w:t>宝</w:t>
      </w:r>
      <w:r>
        <w:rPr>
          <w:rFonts w:ascii="宋体" w:hAnsi="宋体" w:eastAsia="宋体" w:cs="宋体"/>
          <w:spacing w:val="8"/>
          <w:sz w:val="23"/>
          <w:szCs w:val="23"/>
        </w:rPr>
        <w:t xml:space="preserve">，实现利用 </w:t>
      </w:r>
      <w:r>
        <w:rPr>
          <w:rFonts w:ascii="Times New Roman" w:hAnsi="Times New Roman" w:eastAsia="Times New Roman" w:cs="Times New Roman"/>
          <w:spacing w:val="8"/>
          <w:sz w:val="23"/>
          <w:szCs w:val="23"/>
        </w:rPr>
        <w:t>70%</w:t>
      </w:r>
      <w:r>
        <w:rPr>
          <w:rFonts w:ascii="宋体" w:hAnsi="宋体" w:eastAsia="宋体" w:cs="宋体"/>
          <w:spacing w:val="8"/>
          <w:sz w:val="23"/>
          <w:szCs w:val="23"/>
        </w:rPr>
        <w:t>以上；三、秸秆的饲料化运用。四、规模养殖。这是现代畜</w:t>
      </w:r>
      <w:r>
        <w:rPr>
          <w:rFonts w:ascii="宋体" w:hAnsi="宋体" w:eastAsia="宋体" w:cs="宋体"/>
          <w:sz w:val="23"/>
          <w:szCs w:val="23"/>
        </w:rPr>
        <w:t xml:space="preserve"> </w:t>
      </w:r>
      <w:r>
        <w:rPr>
          <w:rFonts w:ascii="宋体" w:hAnsi="宋体" w:eastAsia="宋体" w:cs="宋体"/>
          <w:spacing w:val="14"/>
          <w:sz w:val="23"/>
          <w:szCs w:val="23"/>
        </w:rPr>
        <w:t>牧业的</w:t>
      </w:r>
      <w:r>
        <w:rPr>
          <w:rFonts w:ascii="宋体" w:hAnsi="宋体" w:eastAsia="宋体" w:cs="宋体"/>
          <w:spacing w:val="11"/>
          <w:sz w:val="23"/>
          <w:szCs w:val="23"/>
        </w:rPr>
        <w:t>重</w:t>
      </w:r>
      <w:r>
        <w:rPr>
          <w:rFonts w:ascii="宋体" w:hAnsi="宋体" w:eastAsia="宋体" w:cs="宋体"/>
          <w:spacing w:val="7"/>
          <w:sz w:val="23"/>
          <w:szCs w:val="23"/>
        </w:rPr>
        <w:t>要标志，是各项工作的重要抓手。 目前蛋鸡和肉鸡的规模化水平最高，牛</w:t>
      </w:r>
      <w:r>
        <w:rPr>
          <w:rFonts w:ascii="宋体" w:hAnsi="宋体" w:eastAsia="宋体" w:cs="宋体"/>
          <w:sz w:val="23"/>
          <w:szCs w:val="23"/>
        </w:rPr>
        <w:t xml:space="preserve"> </w:t>
      </w:r>
      <w:r>
        <w:rPr>
          <w:rFonts w:ascii="宋体" w:hAnsi="宋体" w:eastAsia="宋体" w:cs="宋体"/>
          <w:spacing w:val="8"/>
          <w:sz w:val="23"/>
          <w:szCs w:val="23"/>
        </w:rPr>
        <w:t xml:space="preserve">羊差一些。综合来看，现在，整个畜牧业规模化率 </w:t>
      </w:r>
      <w:r>
        <w:rPr>
          <w:rFonts w:ascii="Times New Roman" w:hAnsi="Times New Roman" w:eastAsia="Times New Roman" w:cs="Times New Roman"/>
          <w:spacing w:val="8"/>
          <w:sz w:val="23"/>
          <w:szCs w:val="23"/>
        </w:rPr>
        <w:t xml:space="preserve">39.6% </w:t>
      </w:r>
      <w:r>
        <w:rPr>
          <w:rFonts w:ascii="宋体" w:hAnsi="宋体" w:eastAsia="宋体" w:cs="宋体"/>
          <w:spacing w:val="8"/>
          <w:sz w:val="23"/>
          <w:szCs w:val="23"/>
        </w:rPr>
        <w:t>，十三五期间，使畜牧业</w:t>
      </w:r>
      <w:r>
        <w:rPr>
          <w:rFonts w:ascii="宋体" w:hAnsi="宋体" w:eastAsia="宋体" w:cs="宋体"/>
          <w:sz w:val="23"/>
          <w:szCs w:val="23"/>
        </w:rPr>
        <w:t xml:space="preserve"> </w:t>
      </w:r>
      <w:r>
        <w:rPr>
          <w:rFonts w:ascii="宋体" w:hAnsi="宋体" w:eastAsia="宋体" w:cs="宋体"/>
          <w:spacing w:val="-1"/>
          <w:sz w:val="23"/>
          <w:szCs w:val="23"/>
        </w:rPr>
        <w:t xml:space="preserve">规模化率达到 </w:t>
      </w:r>
      <w:r>
        <w:rPr>
          <w:rFonts w:ascii="Times New Roman" w:hAnsi="Times New Roman" w:eastAsia="Times New Roman" w:cs="Times New Roman"/>
          <w:spacing w:val="-1"/>
          <w:sz w:val="23"/>
          <w:szCs w:val="23"/>
        </w:rPr>
        <w:t>50%</w:t>
      </w:r>
      <w:r>
        <w:rPr>
          <w:rFonts w:ascii="宋体" w:hAnsi="宋体" w:eastAsia="宋体" w:cs="宋体"/>
          <w:spacing w:val="-1"/>
          <w:sz w:val="23"/>
          <w:szCs w:val="23"/>
        </w:rPr>
        <w:t>以上。五、畜禽良种方面工作。六</w:t>
      </w:r>
      <w:r>
        <w:rPr>
          <w:rFonts w:ascii="宋体" w:hAnsi="宋体" w:eastAsia="宋体" w:cs="宋体"/>
          <w:sz w:val="23"/>
          <w:szCs w:val="23"/>
        </w:rPr>
        <w:t>、奶业问题。七、饲料问题。</w:t>
      </w:r>
      <w:r>
        <w:rPr>
          <w:rFonts w:ascii="Times New Roman" w:hAnsi="Times New Roman" w:eastAsia="Times New Roman" w:cs="Times New Roman"/>
          <w:sz w:val="23"/>
          <w:szCs w:val="23"/>
        </w:rPr>
        <w:t xml:space="preserve">… . </w:t>
      </w:r>
      <w:r>
        <w:rPr>
          <w:rFonts w:ascii="宋体" w:hAnsi="宋体" w:eastAsia="宋体" w:cs="宋体"/>
          <w:spacing w:val="14"/>
          <w:sz w:val="23"/>
          <w:szCs w:val="23"/>
        </w:rPr>
        <w:t>八</w:t>
      </w:r>
      <w:r>
        <w:rPr>
          <w:rFonts w:ascii="宋体" w:hAnsi="宋体" w:eastAsia="宋体" w:cs="宋体"/>
          <w:spacing w:val="11"/>
          <w:sz w:val="23"/>
          <w:szCs w:val="23"/>
        </w:rPr>
        <w:t>、草原生态。十三五在十二五的基础上，继续实施，经费投入增加。九、科技方</w:t>
      </w:r>
      <w:r>
        <w:rPr>
          <w:rFonts w:ascii="宋体" w:hAnsi="宋体" w:eastAsia="宋体" w:cs="宋体"/>
          <w:sz w:val="23"/>
          <w:szCs w:val="23"/>
        </w:rPr>
        <w:t xml:space="preserve"> </w:t>
      </w:r>
      <w:r>
        <w:rPr>
          <w:rFonts w:ascii="宋体" w:hAnsi="宋体" w:eastAsia="宋体" w:cs="宋体"/>
          <w:spacing w:val="18"/>
          <w:sz w:val="23"/>
          <w:szCs w:val="23"/>
        </w:rPr>
        <w:t>面</w:t>
      </w:r>
      <w:r>
        <w:rPr>
          <w:rFonts w:ascii="宋体" w:hAnsi="宋体" w:eastAsia="宋体" w:cs="宋体"/>
          <w:spacing w:val="11"/>
          <w:sz w:val="23"/>
          <w:szCs w:val="23"/>
        </w:rPr>
        <w:t>。</w:t>
      </w:r>
      <w:r>
        <w:rPr>
          <w:rFonts w:ascii="宋体" w:hAnsi="宋体" w:eastAsia="宋体" w:cs="宋体"/>
          <w:spacing w:val="9"/>
          <w:sz w:val="23"/>
          <w:szCs w:val="23"/>
        </w:rPr>
        <w:t>十三五期间，继续加强对科技的投入。十、畜牧发展的精准化。</w:t>
      </w:r>
    </w:p>
    <w:p w14:paraId="483569BC">
      <w:pPr>
        <w:spacing w:before="8" w:line="227" w:lineRule="auto"/>
        <w:ind w:left="952"/>
        <w:rPr>
          <w:rFonts w:ascii="Times New Roman" w:hAnsi="Times New Roman" w:eastAsia="Times New Roman" w:cs="Times New Roman"/>
          <w:sz w:val="23"/>
          <w:szCs w:val="23"/>
        </w:rPr>
      </w:pPr>
      <w:r>
        <w:rPr>
          <w:rFonts w:ascii="宋体" w:hAnsi="宋体" w:eastAsia="宋体" w:cs="宋体"/>
          <w:spacing w:val="10"/>
          <w:sz w:val="23"/>
          <w:szCs w:val="23"/>
        </w:rPr>
        <w:t>井研</w:t>
      </w:r>
      <w:r>
        <w:rPr>
          <w:rFonts w:ascii="宋体" w:hAnsi="宋体" w:eastAsia="宋体" w:cs="宋体"/>
          <w:spacing w:val="7"/>
          <w:sz w:val="23"/>
          <w:szCs w:val="23"/>
        </w:rPr>
        <w:t>县</w:t>
      </w:r>
      <w:r>
        <w:rPr>
          <w:rFonts w:ascii="宋体" w:hAnsi="宋体" w:eastAsia="宋体" w:cs="宋体"/>
          <w:spacing w:val="5"/>
          <w:sz w:val="23"/>
          <w:szCs w:val="23"/>
        </w:rPr>
        <w:t xml:space="preserve">丰逸养殖专业合作社拟投资 </w:t>
      </w:r>
      <w:r>
        <w:rPr>
          <w:rFonts w:ascii="Times New Roman" w:hAnsi="Times New Roman" w:eastAsia="Times New Roman" w:cs="Times New Roman"/>
          <w:spacing w:val="5"/>
          <w:sz w:val="23"/>
          <w:szCs w:val="23"/>
        </w:rPr>
        <w:t xml:space="preserve">2629 </w:t>
      </w:r>
      <w:r>
        <w:rPr>
          <w:rFonts w:ascii="宋体" w:hAnsi="宋体" w:eastAsia="宋体" w:cs="宋体"/>
          <w:spacing w:val="5"/>
          <w:sz w:val="23"/>
          <w:szCs w:val="23"/>
        </w:rPr>
        <w:t xml:space="preserve">万元，在乐山市井研县周坡镇周坡村 </w:t>
      </w:r>
      <w:r>
        <w:rPr>
          <w:rFonts w:ascii="Times New Roman" w:hAnsi="Times New Roman" w:eastAsia="Times New Roman" w:cs="Times New Roman"/>
          <w:spacing w:val="5"/>
          <w:sz w:val="23"/>
          <w:szCs w:val="23"/>
        </w:rPr>
        <w:t>7</w:t>
      </w:r>
    </w:p>
    <w:p w14:paraId="4426363A">
      <w:pPr>
        <w:sectPr>
          <w:footerReference r:id="rId40" w:type="default"/>
          <w:pgSz w:w="11907" w:h="16840"/>
          <w:pgMar w:top="400" w:right="1097" w:bottom="1277" w:left="1198" w:header="0" w:footer="1114" w:gutter="0"/>
          <w:cols w:space="720" w:num="1"/>
        </w:sectPr>
      </w:pPr>
    </w:p>
    <w:p w14:paraId="08FB1C40">
      <w:pPr>
        <w:spacing w:before="41" w:line="375" w:lineRule="auto"/>
        <w:ind w:left="10" w:right="75" w:firstLine="2"/>
        <w:rPr>
          <w:rFonts w:ascii="宋体" w:hAnsi="宋体" w:eastAsia="宋体" w:cs="宋体"/>
          <w:sz w:val="23"/>
          <w:szCs w:val="23"/>
        </w:rPr>
      </w:pPr>
      <w:r>
        <w:rPr>
          <w:rFonts w:ascii="宋体" w:hAnsi="宋体" w:eastAsia="宋体" w:cs="宋体"/>
          <w:spacing w:val="2"/>
          <w:sz w:val="23"/>
          <w:szCs w:val="23"/>
        </w:rPr>
        <w:t xml:space="preserve">组、龙桥村 </w:t>
      </w:r>
      <w:r>
        <w:rPr>
          <w:rFonts w:ascii="Times New Roman" w:hAnsi="Times New Roman" w:eastAsia="Times New Roman" w:cs="Times New Roman"/>
          <w:spacing w:val="2"/>
          <w:sz w:val="23"/>
          <w:szCs w:val="23"/>
        </w:rPr>
        <w:t xml:space="preserve">2 </w:t>
      </w:r>
      <w:r>
        <w:rPr>
          <w:rFonts w:ascii="宋体" w:hAnsi="宋体" w:eastAsia="宋体" w:cs="宋体"/>
          <w:spacing w:val="2"/>
          <w:sz w:val="23"/>
          <w:szCs w:val="23"/>
        </w:rPr>
        <w:t>组建设</w:t>
      </w:r>
      <w:r>
        <w:rPr>
          <w:rFonts w:ascii="Times New Roman" w:hAnsi="Times New Roman" w:eastAsia="Times New Roman" w:cs="Times New Roman"/>
          <w:spacing w:val="2"/>
          <w:sz w:val="23"/>
          <w:szCs w:val="23"/>
        </w:rPr>
        <w:t>“</w:t>
      </w:r>
      <w:r>
        <w:rPr>
          <w:rFonts w:ascii="宋体" w:hAnsi="宋体" w:eastAsia="宋体" w:cs="宋体"/>
          <w:spacing w:val="2"/>
          <w:sz w:val="23"/>
          <w:szCs w:val="23"/>
        </w:rPr>
        <w:t>丰逸标准化代养场建设项目</w:t>
      </w:r>
      <w:r>
        <w:rPr>
          <w:rFonts w:ascii="Times New Roman" w:hAnsi="Times New Roman" w:eastAsia="Times New Roman" w:cs="Times New Roman"/>
          <w:spacing w:val="2"/>
          <w:sz w:val="23"/>
          <w:szCs w:val="23"/>
        </w:rPr>
        <w:t>”</w:t>
      </w:r>
      <w:r>
        <w:rPr>
          <w:rFonts w:ascii="宋体" w:hAnsi="宋体" w:eastAsia="宋体" w:cs="宋体"/>
          <w:spacing w:val="2"/>
          <w:sz w:val="23"/>
          <w:szCs w:val="23"/>
        </w:rPr>
        <w:t xml:space="preserve">。项目占地 </w:t>
      </w:r>
      <w:r>
        <w:rPr>
          <w:rFonts w:ascii="Times New Roman" w:hAnsi="Times New Roman" w:eastAsia="Times New Roman" w:cs="Times New Roman"/>
          <w:spacing w:val="1"/>
          <w:sz w:val="23"/>
          <w:szCs w:val="23"/>
        </w:rPr>
        <w:t xml:space="preserve">48. 11 </w:t>
      </w:r>
      <w:r>
        <w:rPr>
          <w:rFonts w:ascii="宋体" w:hAnsi="宋体" w:eastAsia="宋体" w:cs="宋体"/>
          <w:spacing w:val="1"/>
          <w:sz w:val="23"/>
          <w:szCs w:val="23"/>
        </w:rPr>
        <w:t>亩，建设标准化</w:t>
      </w:r>
      <w:r>
        <w:rPr>
          <w:rFonts w:ascii="宋体" w:hAnsi="宋体" w:eastAsia="宋体" w:cs="宋体"/>
          <w:sz w:val="23"/>
          <w:szCs w:val="23"/>
        </w:rPr>
        <w:t xml:space="preserve"> </w:t>
      </w:r>
      <w:r>
        <w:rPr>
          <w:rFonts w:ascii="宋体" w:hAnsi="宋体" w:eastAsia="宋体" w:cs="宋体"/>
          <w:spacing w:val="11"/>
          <w:sz w:val="23"/>
          <w:szCs w:val="23"/>
        </w:rPr>
        <w:t>集约式猪舍等主体工程并配套办公区、饲料库房等基础设施，对项目产生的污染物</w:t>
      </w:r>
      <w:r>
        <w:rPr>
          <w:rFonts w:ascii="宋体" w:hAnsi="宋体" w:eastAsia="宋体" w:cs="宋体"/>
          <w:sz w:val="23"/>
          <w:szCs w:val="23"/>
        </w:rPr>
        <w:t xml:space="preserve"> </w:t>
      </w:r>
      <w:r>
        <w:rPr>
          <w:rFonts w:ascii="宋体" w:hAnsi="宋体" w:eastAsia="宋体" w:cs="宋体"/>
          <w:spacing w:val="13"/>
          <w:sz w:val="23"/>
          <w:szCs w:val="23"/>
        </w:rPr>
        <w:t>按</w:t>
      </w:r>
      <w:r>
        <w:rPr>
          <w:rFonts w:ascii="宋体" w:hAnsi="宋体" w:eastAsia="宋体" w:cs="宋体"/>
          <w:spacing w:val="8"/>
          <w:sz w:val="23"/>
          <w:szCs w:val="23"/>
        </w:rPr>
        <w:t xml:space="preserve">照相关要求进行规范化、无害化、资源化处理，符合四川省畜牧业 </w:t>
      </w:r>
      <w:r>
        <w:rPr>
          <w:rFonts w:ascii="Times New Roman" w:hAnsi="Times New Roman" w:eastAsia="Times New Roman" w:cs="Times New Roman"/>
          <w:spacing w:val="8"/>
          <w:sz w:val="23"/>
          <w:szCs w:val="23"/>
        </w:rPr>
        <w:t>“</w:t>
      </w:r>
      <w:r>
        <w:rPr>
          <w:rFonts w:ascii="宋体" w:hAnsi="宋体" w:eastAsia="宋体" w:cs="宋体"/>
          <w:spacing w:val="8"/>
          <w:sz w:val="23"/>
          <w:szCs w:val="23"/>
        </w:rPr>
        <w:t>十三五</w:t>
      </w:r>
      <w:r>
        <w:rPr>
          <w:rFonts w:ascii="Times New Roman" w:hAnsi="Times New Roman" w:eastAsia="Times New Roman" w:cs="Times New Roman"/>
          <w:spacing w:val="8"/>
          <w:sz w:val="23"/>
          <w:szCs w:val="23"/>
        </w:rPr>
        <w:t>”</w:t>
      </w:r>
      <w:r>
        <w:rPr>
          <w:rFonts w:ascii="宋体" w:hAnsi="宋体" w:eastAsia="宋体" w:cs="宋体"/>
          <w:spacing w:val="8"/>
          <w:sz w:val="23"/>
          <w:szCs w:val="23"/>
        </w:rPr>
        <w:t>发展</w:t>
      </w:r>
      <w:r>
        <w:rPr>
          <w:rFonts w:ascii="宋体" w:hAnsi="宋体" w:eastAsia="宋体" w:cs="宋体"/>
          <w:sz w:val="23"/>
          <w:szCs w:val="23"/>
        </w:rPr>
        <w:t xml:space="preserve"> </w:t>
      </w:r>
      <w:r>
        <w:rPr>
          <w:rFonts w:ascii="宋体" w:hAnsi="宋体" w:eastAsia="宋体" w:cs="宋体"/>
          <w:spacing w:val="8"/>
          <w:sz w:val="23"/>
          <w:szCs w:val="23"/>
        </w:rPr>
        <w:t>规划中的相关要求</w:t>
      </w:r>
      <w:r>
        <w:rPr>
          <w:rFonts w:ascii="宋体" w:hAnsi="宋体" w:eastAsia="宋体" w:cs="宋体"/>
          <w:spacing w:val="6"/>
          <w:sz w:val="23"/>
          <w:szCs w:val="23"/>
        </w:rPr>
        <w:t>。</w:t>
      </w:r>
    </w:p>
    <w:p w14:paraId="24777A2D">
      <w:pPr>
        <w:spacing w:before="1" w:line="374" w:lineRule="auto"/>
        <w:ind w:left="10" w:right="82" w:firstLine="497"/>
        <w:rPr>
          <w:rFonts w:ascii="宋体" w:hAnsi="宋体" w:eastAsia="宋体" w:cs="宋体"/>
          <w:sz w:val="23"/>
          <w:szCs w:val="23"/>
        </w:rPr>
      </w:pPr>
      <w:r>
        <w:rPr>
          <w:rFonts w:ascii="宋体" w:hAnsi="宋体" w:eastAsia="宋体" w:cs="宋体"/>
          <w:spacing w:val="18"/>
          <w:sz w:val="23"/>
          <w:szCs w:val="23"/>
        </w:rPr>
        <w:t>综</w:t>
      </w:r>
      <w:r>
        <w:rPr>
          <w:rFonts w:ascii="宋体" w:hAnsi="宋体" w:eastAsia="宋体" w:cs="宋体"/>
          <w:spacing w:val="14"/>
          <w:sz w:val="23"/>
          <w:szCs w:val="23"/>
        </w:rPr>
        <w:t xml:space="preserve">上所述，本项目建设与《四川省畜牧业 </w:t>
      </w:r>
      <w:r>
        <w:rPr>
          <w:rFonts w:ascii="Times New Roman" w:hAnsi="Times New Roman" w:eastAsia="Times New Roman" w:cs="Times New Roman"/>
          <w:spacing w:val="14"/>
          <w:sz w:val="23"/>
          <w:szCs w:val="23"/>
        </w:rPr>
        <w:t>“</w:t>
      </w:r>
      <w:r>
        <w:rPr>
          <w:rFonts w:ascii="宋体" w:hAnsi="宋体" w:eastAsia="宋体" w:cs="宋体"/>
          <w:spacing w:val="14"/>
          <w:sz w:val="23"/>
          <w:szCs w:val="23"/>
        </w:rPr>
        <w:t>十三五</w:t>
      </w:r>
      <w:r>
        <w:rPr>
          <w:rFonts w:ascii="Times New Roman" w:hAnsi="Times New Roman" w:eastAsia="Times New Roman" w:cs="Times New Roman"/>
          <w:spacing w:val="14"/>
          <w:sz w:val="23"/>
          <w:szCs w:val="23"/>
        </w:rPr>
        <w:t>”</w:t>
      </w:r>
      <w:r>
        <w:rPr>
          <w:rFonts w:ascii="宋体" w:hAnsi="宋体" w:eastAsia="宋体" w:cs="宋体"/>
          <w:spacing w:val="14"/>
          <w:sz w:val="23"/>
          <w:szCs w:val="23"/>
        </w:rPr>
        <w:t>发展规划》中相关要求一</w:t>
      </w:r>
      <w:r>
        <w:rPr>
          <w:rFonts w:ascii="宋体" w:hAnsi="宋体" w:eastAsia="宋体" w:cs="宋体"/>
          <w:sz w:val="23"/>
          <w:szCs w:val="23"/>
        </w:rPr>
        <w:t xml:space="preserve"> 致。</w:t>
      </w:r>
    </w:p>
    <w:p w14:paraId="1696C94C">
      <w:pPr>
        <w:spacing w:line="227" w:lineRule="auto"/>
        <w:ind w:left="16"/>
        <w:rPr>
          <w:rFonts w:ascii="宋体" w:hAnsi="宋体" w:eastAsia="宋体" w:cs="宋体"/>
          <w:sz w:val="23"/>
          <w:szCs w:val="23"/>
        </w:rPr>
      </w:pPr>
      <w:r>
        <w:rPr>
          <w:rFonts w:ascii="Times New Roman" w:hAnsi="Times New Roman" w:eastAsia="Times New Roman" w:cs="Times New Roman"/>
          <w:b/>
          <w:bCs/>
          <w:spacing w:val="16"/>
          <w:sz w:val="23"/>
          <w:szCs w:val="23"/>
        </w:rPr>
        <w:t>1</w:t>
      </w:r>
      <w:r>
        <w:rPr>
          <w:rFonts w:ascii="Times New Roman" w:hAnsi="Times New Roman" w:eastAsia="Times New Roman" w:cs="Times New Roman"/>
          <w:b/>
          <w:bCs/>
          <w:spacing w:val="15"/>
          <w:sz w:val="23"/>
          <w:szCs w:val="23"/>
        </w:rPr>
        <w:t>.</w:t>
      </w:r>
      <w:r>
        <w:rPr>
          <w:rFonts w:ascii="Times New Roman" w:hAnsi="Times New Roman" w:eastAsia="Times New Roman" w:cs="Times New Roman"/>
          <w:b/>
          <w:bCs/>
          <w:spacing w:val="8"/>
          <w:sz w:val="23"/>
          <w:szCs w:val="23"/>
        </w:rPr>
        <w:t>6.6</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与《四川省打好农业农村污染治理攻坚战役实施方案</w:t>
      </w:r>
      <w:r>
        <w:rPr>
          <w:rFonts w:ascii="宋体" w:hAnsi="宋体" w:eastAsia="宋体" w:cs="宋体"/>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8"/>
          <w:sz w:val="23"/>
          <w:szCs w:val="23"/>
        </w:rPr>
        <w:t>2018-2020</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年)</w:t>
      </w:r>
      <w:r>
        <w:rPr>
          <w:rFonts w:ascii="宋体" w:hAnsi="宋体" w:eastAsia="宋体" w:cs="宋体"/>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》符合</w:t>
      </w:r>
    </w:p>
    <w:p w14:paraId="31B51DE2">
      <w:pPr>
        <w:spacing w:before="182" w:line="228" w:lineRule="auto"/>
        <w:ind w:left="13"/>
        <w:outlineLvl w:val="2"/>
        <w:rPr>
          <w:rFonts w:ascii="宋体" w:hAnsi="宋体" w:eastAsia="宋体" w:cs="宋体"/>
          <w:sz w:val="23"/>
          <w:szCs w:val="23"/>
        </w:rPr>
      </w:pPr>
      <w:r>
        <w:rPr>
          <w:rFonts w:ascii="宋体" w:hAnsi="宋体" w:eastAsia="宋体" w:cs="宋体"/>
          <w:spacing w:val="6"/>
          <w:sz w:val="23"/>
          <w:szCs w:val="23"/>
          <w14:textOutline w14:w="4356" w14:cap="sq" w14:cmpd="sng" w14:algn="ctr">
            <w14:solidFill>
              <w14:srgbClr w14:val="000000"/>
            </w14:solidFill>
            <w14:prstDash w14:val="solid"/>
            <w14:bevel/>
          </w14:textOutline>
        </w:rPr>
        <w:t>性分</w:t>
      </w:r>
      <w:r>
        <w:rPr>
          <w:rFonts w:ascii="宋体" w:hAnsi="宋体" w:eastAsia="宋体" w:cs="宋体"/>
          <w:spacing w:val="5"/>
          <w:sz w:val="23"/>
          <w:szCs w:val="23"/>
          <w14:textOutline w14:w="4356" w14:cap="sq" w14:cmpd="sng" w14:algn="ctr">
            <w14:solidFill>
              <w14:srgbClr w14:val="000000"/>
            </w14:solidFill>
            <w14:prstDash w14:val="solid"/>
            <w14:bevel/>
          </w14:textOutline>
        </w:rPr>
        <w:t>析</w:t>
      </w:r>
    </w:p>
    <w:p w14:paraId="0C484690">
      <w:pPr>
        <w:spacing w:before="141" w:line="377" w:lineRule="auto"/>
        <w:ind w:left="9" w:firstLine="495"/>
        <w:rPr>
          <w:rFonts w:ascii="宋体" w:hAnsi="宋体" w:eastAsia="宋体" w:cs="宋体"/>
          <w:sz w:val="23"/>
          <w:szCs w:val="23"/>
        </w:rPr>
      </w:pPr>
      <w:r>
        <w:rPr>
          <w:rFonts w:ascii="宋体" w:hAnsi="宋体" w:eastAsia="宋体" w:cs="宋体"/>
          <w:spacing w:val="22"/>
          <w:sz w:val="23"/>
          <w:szCs w:val="23"/>
        </w:rPr>
        <w:t>根</w:t>
      </w:r>
      <w:r>
        <w:rPr>
          <w:rFonts w:ascii="宋体" w:hAnsi="宋体" w:eastAsia="宋体" w:cs="宋体"/>
          <w:spacing w:val="13"/>
          <w:sz w:val="23"/>
          <w:szCs w:val="23"/>
        </w:rPr>
        <w:t>据《四川省打好农业农村污染治理攻坚战役实施方案</w:t>
      </w:r>
      <w:r>
        <w:rPr>
          <w:rFonts w:ascii="Times New Roman" w:hAnsi="Times New Roman" w:eastAsia="Times New Roman" w:cs="Times New Roman"/>
          <w:spacing w:val="13"/>
          <w:sz w:val="23"/>
          <w:szCs w:val="23"/>
        </w:rPr>
        <w:t xml:space="preserve">(2018-2020 </w:t>
      </w:r>
      <w:r>
        <w:rPr>
          <w:rFonts w:ascii="宋体" w:hAnsi="宋体" w:eastAsia="宋体" w:cs="宋体"/>
          <w:spacing w:val="13"/>
          <w:sz w:val="23"/>
          <w:szCs w:val="23"/>
        </w:rPr>
        <w:t>年</w:t>
      </w:r>
      <w:r>
        <w:rPr>
          <w:rFonts w:ascii="Times New Roman" w:hAnsi="Times New Roman" w:eastAsia="Times New Roman" w:cs="Times New Roman"/>
          <w:spacing w:val="13"/>
          <w:sz w:val="23"/>
          <w:szCs w:val="23"/>
        </w:rPr>
        <w:t>)</w:t>
      </w:r>
      <w:r>
        <w:rPr>
          <w:rFonts w:ascii="宋体" w:hAnsi="宋体" w:eastAsia="宋体" w:cs="宋体"/>
          <w:spacing w:val="13"/>
          <w:sz w:val="23"/>
          <w:szCs w:val="23"/>
        </w:rPr>
        <w:t>》，四</w:t>
      </w:r>
      <w:r>
        <w:rPr>
          <w:rFonts w:ascii="宋体" w:hAnsi="宋体" w:eastAsia="宋体" w:cs="宋体"/>
          <w:sz w:val="23"/>
          <w:szCs w:val="23"/>
        </w:rPr>
        <w:t xml:space="preserve"> </w:t>
      </w:r>
      <w:r>
        <w:rPr>
          <w:rFonts w:ascii="宋体" w:hAnsi="宋体" w:eastAsia="宋体" w:cs="宋体"/>
          <w:spacing w:val="20"/>
          <w:sz w:val="23"/>
          <w:szCs w:val="23"/>
        </w:rPr>
        <w:t>川</w:t>
      </w:r>
      <w:r>
        <w:rPr>
          <w:rFonts w:ascii="宋体" w:hAnsi="宋体" w:eastAsia="宋体" w:cs="宋体"/>
          <w:spacing w:val="13"/>
          <w:sz w:val="23"/>
          <w:szCs w:val="23"/>
        </w:rPr>
        <w:t>省将严格畜禽规模养殖环境监管，将规模以上畜禽养殖场纳入重点污染源管理，</w:t>
      </w:r>
      <w:r>
        <w:rPr>
          <w:rFonts w:ascii="宋体" w:hAnsi="宋体" w:eastAsia="宋体" w:cs="宋体"/>
          <w:sz w:val="23"/>
          <w:szCs w:val="23"/>
        </w:rPr>
        <w:t xml:space="preserve"> </w:t>
      </w:r>
      <w:r>
        <w:rPr>
          <w:rFonts w:ascii="宋体" w:hAnsi="宋体" w:eastAsia="宋体" w:cs="宋体"/>
          <w:spacing w:val="32"/>
          <w:sz w:val="23"/>
          <w:szCs w:val="23"/>
        </w:rPr>
        <w:t>依</w:t>
      </w:r>
      <w:r>
        <w:rPr>
          <w:rFonts w:ascii="宋体" w:hAnsi="宋体" w:eastAsia="宋体" w:cs="宋体"/>
          <w:spacing w:val="27"/>
          <w:sz w:val="23"/>
          <w:szCs w:val="23"/>
        </w:rPr>
        <w:t>法</w:t>
      </w:r>
      <w:r>
        <w:rPr>
          <w:rFonts w:ascii="宋体" w:hAnsi="宋体" w:eastAsia="宋体" w:cs="宋体"/>
          <w:spacing w:val="16"/>
          <w:sz w:val="23"/>
          <w:szCs w:val="23"/>
        </w:rPr>
        <w:t>执行环评和排污许可制度。全面落实畜禽养殖场 (户) 赋码备案制度，完善</w:t>
      </w:r>
      <w:r>
        <w:rPr>
          <w:rFonts w:ascii="宋体" w:hAnsi="宋体" w:eastAsia="宋体" w:cs="宋体"/>
          <w:sz w:val="23"/>
          <w:szCs w:val="23"/>
        </w:rPr>
        <w:t xml:space="preserve"> </w:t>
      </w:r>
      <w:r>
        <w:rPr>
          <w:rFonts w:ascii="宋体" w:hAnsi="宋体" w:eastAsia="宋体" w:cs="宋体"/>
          <w:spacing w:val="34"/>
          <w:sz w:val="23"/>
          <w:szCs w:val="23"/>
        </w:rPr>
        <w:t>畜</w:t>
      </w:r>
      <w:r>
        <w:rPr>
          <w:rFonts w:ascii="宋体" w:hAnsi="宋体" w:eastAsia="宋体" w:cs="宋体"/>
          <w:spacing w:val="24"/>
          <w:sz w:val="23"/>
          <w:szCs w:val="23"/>
        </w:rPr>
        <w:t>禽</w:t>
      </w:r>
      <w:r>
        <w:rPr>
          <w:rFonts w:ascii="宋体" w:hAnsi="宋体" w:eastAsia="宋体" w:cs="宋体"/>
          <w:spacing w:val="17"/>
          <w:sz w:val="23"/>
          <w:szCs w:val="23"/>
        </w:rPr>
        <w:t>规模养殖场直联直报信息系统，构建统一管理、分组使用、共享直联的管理</w:t>
      </w:r>
      <w:r>
        <w:rPr>
          <w:rFonts w:ascii="宋体" w:hAnsi="宋体" w:eastAsia="宋体" w:cs="宋体"/>
          <w:sz w:val="23"/>
          <w:szCs w:val="23"/>
        </w:rPr>
        <w:t xml:space="preserve"> </w:t>
      </w:r>
      <w:r>
        <w:rPr>
          <w:rFonts w:ascii="宋体" w:hAnsi="宋体" w:eastAsia="宋体" w:cs="宋体"/>
          <w:spacing w:val="34"/>
          <w:sz w:val="23"/>
          <w:szCs w:val="23"/>
        </w:rPr>
        <w:t>平</w:t>
      </w:r>
      <w:r>
        <w:rPr>
          <w:rFonts w:ascii="宋体" w:hAnsi="宋体" w:eastAsia="宋体" w:cs="宋体"/>
          <w:spacing w:val="24"/>
          <w:sz w:val="23"/>
          <w:szCs w:val="23"/>
        </w:rPr>
        <w:t>台</w:t>
      </w:r>
      <w:r>
        <w:rPr>
          <w:rFonts w:ascii="宋体" w:hAnsi="宋体" w:eastAsia="宋体" w:cs="宋体"/>
          <w:spacing w:val="17"/>
          <w:sz w:val="23"/>
          <w:szCs w:val="23"/>
        </w:rPr>
        <w:t>。建立畜禽规模养殖场废弃物减排核算制度，将无害化还田利用量作为统计</w:t>
      </w:r>
      <w:r>
        <w:rPr>
          <w:rFonts w:ascii="宋体" w:hAnsi="宋体" w:eastAsia="宋体" w:cs="宋体"/>
          <w:sz w:val="23"/>
          <w:szCs w:val="23"/>
        </w:rPr>
        <w:t xml:space="preserve"> </w:t>
      </w:r>
      <w:r>
        <w:rPr>
          <w:rFonts w:ascii="宋体" w:hAnsi="宋体" w:eastAsia="宋体" w:cs="宋体"/>
          <w:spacing w:val="20"/>
          <w:sz w:val="23"/>
          <w:szCs w:val="23"/>
        </w:rPr>
        <w:t>污</w:t>
      </w:r>
      <w:r>
        <w:rPr>
          <w:rFonts w:ascii="宋体" w:hAnsi="宋体" w:eastAsia="宋体" w:cs="宋体"/>
          <w:spacing w:val="13"/>
          <w:sz w:val="23"/>
          <w:szCs w:val="23"/>
        </w:rPr>
        <w:t>染物削减量的重要依据。支持规模养殖场配套完善畜禽粪污收集、处理、储存、</w:t>
      </w:r>
      <w:r>
        <w:rPr>
          <w:rFonts w:ascii="宋体" w:hAnsi="宋体" w:eastAsia="宋体" w:cs="宋体"/>
          <w:sz w:val="23"/>
          <w:szCs w:val="23"/>
        </w:rPr>
        <w:t xml:space="preserve"> </w:t>
      </w:r>
      <w:r>
        <w:rPr>
          <w:rFonts w:ascii="宋体" w:hAnsi="宋体" w:eastAsia="宋体" w:cs="宋体"/>
          <w:spacing w:val="14"/>
          <w:sz w:val="23"/>
          <w:szCs w:val="23"/>
        </w:rPr>
        <w:t>利用设施， 以农用有机肥和农村能源为主要利用方向，深入推进畜禽粪污资源化</w:t>
      </w:r>
      <w:r>
        <w:rPr>
          <w:rFonts w:ascii="宋体" w:hAnsi="宋体" w:eastAsia="宋体" w:cs="宋体"/>
          <w:sz w:val="23"/>
          <w:szCs w:val="23"/>
        </w:rPr>
        <w:t xml:space="preserve"> </w:t>
      </w:r>
      <w:r>
        <w:rPr>
          <w:rFonts w:ascii="宋体" w:hAnsi="宋体" w:eastAsia="宋体" w:cs="宋体"/>
          <w:spacing w:val="14"/>
          <w:sz w:val="23"/>
          <w:szCs w:val="23"/>
        </w:rPr>
        <w:t>利用，构建畜禽粪污资源化利用绩效评价考核制度。 以畜禽养殖区域水环境质量</w:t>
      </w:r>
      <w:r>
        <w:rPr>
          <w:rFonts w:ascii="宋体" w:hAnsi="宋体" w:eastAsia="宋体" w:cs="宋体"/>
          <w:sz w:val="23"/>
          <w:szCs w:val="23"/>
        </w:rPr>
        <w:t xml:space="preserve"> </w:t>
      </w:r>
      <w:r>
        <w:rPr>
          <w:rFonts w:ascii="宋体" w:hAnsi="宋体" w:eastAsia="宋体" w:cs="宋体"/>
          <w:spacing w:val="34"/>
          <w:sz w:val="23"/>
          <w:szCs w:val="23"/>
        </w:rPr>
        <w:t>改</w:t>
      </w:r>
      <w:r>
        <w:rPr>
          <w:rFonts w:ascii="宋体" w:hAnsi="宋体" w:eastAsia="宋体" w:cs="宋体"/>
          <w:spacing w:val="24"/>
          <w:sz w:val="23"/>
          <w:szCs w:val="23"/>
        </w:rPr>
        <w:t>善</w:t>
      </w:r>
      <w:r>
        <w:rPr>
          <w:rFonts w:ascii="宋体" w:hAnsi="宋体" w:eastAsia="宋体" w:cs="宋体"/>
          <w:spacing w:val="17"/>
          <w:sz w:val="23"/>
          <w:szCs w:val="23"/>
        </w:rPr>
        <w:t>为导向，紧密结合水体达标方案编制实施，强化流域环境管理，加快畜禽养</w:t>
      </w:r>
      <w:r>
        <w:rPr>
          <w:rFonts w:ascii="宋体" w:hAnsi="宋体" w:eastAsia="宋体" w:cs="宋体"/>
          <w:sz w:val="23"/>
          <w:szCs w:val="23"/>
        </w:rPr>
        <w:t xml:space="preserve"> </w:t>
      </w:r>
      <w:r>
        <w:rPr>
          <w:rFonts w:ascii="宋体" w:hAnsi="宋体" w:eastAsia="宋体" w:cs="宋体"/>
          <w:spacing w:val="34"/>
          <w:sz w:val="23"/>
          <w:szCs w:val="23"/>
        </w:rPr>
        <w:t>殖</w:t>
      </w:r>
      <w:r>
        <w:rPr>
          <w:rFonts w:ascii="宋体" w:hAnsi="宋体" w:eastAsia="宋体" w:cs="宋体"/>
          <w:spacing w:val="24"/>
          <w:sz w:val="23"/>
          <w:szCs w:val="23"/>
        </w:rPr>
        <w:t>废</w:t>
      </w:r>
      <w:r>
        <w:rPr>
          <w:rFonts w:ascii="宋体" w:hAnsi="宋体" w:eastAsia="宋体" w:cs="宋体"/>
          <w:spacing w:val="17"/>
          <w:sz w:val="23"/>
          <w:szCs w:val="23"/>
        </w:rPr>
        <w:t>弃物资源化利用和无害化处理。实施畜禽粪污资源化利用试点，整县推进畜</w:t>
      </w:r>
      <w:r>
        <w:rPr>
          <w:rFonts w:ascii="宋体" w:hAnsi="宋体" w:eastAsia="宋体" w:cs="宋体"/>
          <w:sz w:val="23"/>
          <w:szCs w:val="23"/>
        </w:rPr>
        <w:t xml:space="preserve"> </w:t>
      </w:r>
      <w:r>
        <w:rPr>
          <w:rFonts w:ascii="宋体" w:hAnsi="宋体" w:eastAsia="宋体" w:cs="宋体"/>
          <w:spacing w:val="34"/>
          <w:sz w:val="23"/>
          <w:szCs w:val="23"/>
        </w:rPr>
        <w:t>禽</w:t>
      </w:r>
      <w:r>
        <w:rPr>
          <w:rFonts w:ascii="宋体" w:hAnsi="宋体" w:eastAsia="宋体" w:cs="宋体"/>
          <w:spacing w:val="24"/>
          <w:sz w:val="23"/>
          <w:szCs w:val="23"/>
        </w:rPr>
        <w:t>粪</w:t>
      </w:r>
      <w:r>
        <w:rPr>
          <w:rFonts w:ascii="宋体" w:hAnsi="宋体" w:eastAsia="宋体" w:cs="宋体"/>
          <w:spacing w:val="17"/>
          <w:sz w:val="23"/>
          <w:szCs w:val="23"/>
        </w:rPr>
        <w:t>污资源化利用。加强畜禽粪污资源化利用技术集成，因地制宜推广粪污全量</w:t>
      </w:r>
      <w:r>
        <w:rPr>
          <w:rFonts w:ascii="宋体" w:hAnsi="宋体" w:eastAsia="宋体" w:cs="宋体"/>
          <w:sz w:val="23"/>
          <w:szCs w:val="23"/>
        </w:rPr>
        <w:t xml:space="preserve"> </w:t>
      </w:r>
      <w:r>
        <w:rPr>
          <w:rFonts w:ascii="宋体" w:hAnsi="宋体" w:eastAsia="宋体" w:cs="宋体"/>
          <w:spacing w:val="15"/>
          <w:sz w:val="23"/>
          <w:szCs w:val="23"/>
        </w:rPr>
        <w:t>收集还田利用技术模式。</w:t>
      </w:r>
      <w:r>
        <w:rPr>
          <w:rFonts w:ascii="Times New Roman" w:hAnsi="Times New Roman" w:eastAsia="Times New Roman" w:cs="Times New Roman"/>
          <w:spacing w:val="15"/>
          <w:sz w:val="23"/>
          <w:szCs w:val="23"/>
        </w:rPr>
        <w:t xml:space="preserve">2019 </w:t>
      </w:r>
      <w:r>
        <w:rPr>
          <w:rFonts w:ascii="宋体" w:hAnsi="宋体" w:eastAsia="宋体" w:cs="宋体"/>
          <w:spacing w:val="15"/>
          <w:sz w:val="23"/>
          <w:szCs w:val="23"/>
        </w:rPr>
        <w:t>年，大型规模养殖场粪污处理设施装备配套率达</w:t>
      </w:r>
      <w:r>
        <w:rPr>
          <w:rFonts w:ascii="宋体" w:hAnsi="宋体" w:eastAsia="宋体" w:cs="宋体"/>
          <w:spacing w:val="7"/>
          <w:sz w:val="23"/>
          <w:szCs w:val="23"/>
        </w:rPr>
        <w:t>到</w:t>
      </w:r>
      <w:r>
        <w:rPr>
          <w:rFonts w:ascii="宋体" w:hAnsi="宋体" w:eastAsia="宋体" w:cs="宋体"/>
          <w:sz w:val="23"/>
          <w:szCs w:val="23"/>
        </w:rPr>
        <w:t xml:space="preserve"> </w:t>
      </w:r>
      <w:r>
        <w:rPr>
          <w:rFonts w:ascii="Times New Roman" w:hAnsi="Times New Roman" w:eastAsia="Times New Roman" w:cs="Times New Roman"/>
          <w:spacing w:val="14"/>
          <w:sz w:val="23"/>
          <w:szCs w:val="23"/>
        </w:rPr>
        <w:t xml:space="preserve">100% </w:t>
      </w:r>
      <w:r>
        <w:rPr>
          <w:rFonts w:ascii="宋体" w:hAnsi="宋体" w:eastAsia="宋体" w:cs="宋体"/>
          <w:spacing w:val="14"/>
          <w:sz w:val="23"/>
          <w:szCs w:val="23"/>
        </w:rPr>
        <w:t>；</w:t>
      </w:r>
      <w:r>
        <w:rPr>
          <w:rFonts w:ascii="Times New Roman" w:hAnsi="Times New Roman" w:eastAsia="Times New Roman" w:cs="Times New Roman"/>
          <w:spacing w:val="14"/>
          <w:sz w:val="23"/>
          <w:szCs w:val="23"/>
        </w:rPr>
        <w:t xml:space="preserve">2020 </w:t>
      </w:r>
      <w:r>
        <w:rPr>
          <w:rFonts w:ascii="宋体" w:hAnsi="宋体" w:eastAsia="宋体" w:cs="宋体"/>
          <w:spacing w:val="14"/>
          <w:sz w:val="23"/>
          <w:szCs w:val="23"/>
        </w:rPr>
        <w:t xml:space="preserve">年，所有规模养殖场粪污处理设施装备配套率达到 </w:t>
      </w:r>
      <w:r>
        <w:rPr>
          <w:rFonts w:ascii="Times New Roman" w:hAnsi="Times New Roman" w:eastAsia="Times New Roman" w:cs="Times New Roman"/>
          <w:spacing w:val="14"/>
          <w:sz w:val="23"/>
          <w:szCs w:val="23"/>
        </w:rPr>
        <w:t>95%</w:t>
      </w:r>
      <w:r>
        <w:rPr>
          <w:rFonts w:ascii="宋体" w:hAnsi="宋体" w:eastAsia="宋体" w:cs="宋体"/>
          <w:spacing w:val="14"/>
          <w:sz w:val="23"/>
          <w:szCs w:val="23"/>
        </w:rPr>
        <w:t>以上。长</w:t>
      </w:r>
      <w:r>
        <w:rPr>
          <w:rFonts w:ascii="宋体" w:hAnsi="宋体" w:eastAsia="宋体" w:cs="宋体"/>
          <w:spacing w:val="10"/>
          <w:sz w:val="23"/>
          <w:szCs w:val="23"/>
        </w:rPr>
        <w:t>江</w:t>
      </w:r>
      <w:r>
        <w:rPr>
          <w:rFonts w:ascii="宋体" w:hAnsi="宋体" w:eastAsia="宋体" w:cs="宋体"/>
          <w:sz w:val="23"/>
          <w:szCs w:val="23"/>
        </w:rPr>
        <w:t xml:space="preserve"> </w:t>
      </w:r>
      <w:r>
        <w:rPr>
          <w:rFonts w:ascii="宋体" w:hAnsi="宋体" w:eastAsia="宋体" w:cs="宋体"/>
          <w:spacing w:val="19"/>
          <w:sz w:val="23"/>
          <w:szCs w:val="23"/>
        </w:rPr>
        <w:t>流</w:t>
      </w:r>
      <w:r>
        <w:rPr>
          <w:rFonts w:ascii="宋体" w:hAnsi="宋体" w:eastAsia="宋体" w:cs="宋体"/>
          <w:spacing w:val="15"/>
          <w:sz w:val="23"/>
          <w:szCs w:val="23"/>
        </w:rPr>
        <w:t xml:space="preserve">域 </w:t>
      </w:r>
      <w:r>
        <w:rPr>
          <w:rFonts w:ascii="Times New Roman" w:hAnsi="Times New Roman" w:eastAsia="Times New Roman" w:cs="Times New Roman"/>
          <w:spacing w:val="15"/>
          <w:sz w:val="23"/>
          <w:szCs w:val="23"/>
        </w:rPr>
        <w:t xml:space="preserve">2018 </w:t>
      </w:r>
      <w:r>
        <w:rPr>
          <w:rFonts w:ascii="宋体" w:hAnsi="宋体" w:eastAsia="宋体" w:cs="宋体"/>
          <w:spacing w:val="15"/>
          <w:sz w:val="23"/>
          <w:szCs w:val="23"/>
        </w:rPr>
        <w:t>年，全面依法取缔超标排放的畜禽养殖场；</w:t>
      </w:r>
      <w:r>
        <w:rPr>
          <w:rFonts w:ascii="Times New Roman" w:hAnsi="Times New Roman" w:eastAsia="Times New Roman" w:cs="Times New Roman"/>
          <w:spacing w:val="15"/>
          <w:sz w:val="23"/>
          <w:szCs w:val="23"/>
        </w:rPr>
        <w:t xml:space="preserve">2020 </w:t>
      </w:r>
      <w:r>
        <w:rPr>
          <w:rFonts w:ascii="宋体" w:hAnsi="宋体" w:eastAsia="宋体" w:cs="宋体"/>
          <w:spacing w:val="15"/>
          <w:sz w:val="23"/>
          <w:szCs w:val="23"/>
        </w:rPr>
        <w:t>年，畜牧大县、沿江</w:t>
      </w:r>
      <w:r>
        <w:rPr>
          <w:rFonts w:ascii="宋体" w:hAnsi="宋体" w:eastAsia="宋体" w:cs="宋体"/>
          <w:sz w:val="23"/>
          <w:szCs w:val="23"/>
        </w:rPr>
        <w:t xml:space="preserve"> </w:t>
      </w:r>
      <w:r>
        <w:rPr>
          <w:rFonts w:ascii="宋体" w:hAnsi="宋体" w:eastAsia="宋体" w:cs="宋体"/>
          <w:spacing w:val="16"/>
          <w:sz w:val="23"/>
          <w:szCs w:val="23"/>
        </w:rPr>
        <w:t>县市畜禽粪污基本实现资源化利用</w:t>
      </w:r>
      <w:r>
        <w:rPr>
          <w:rFonts w:ascii="宋体" w:hAnsi="宋体" w:eastAsia="宋体" w:cs="宋体"/>
          <w:spacing w:val="14"/>
          <w:sz w:val="23"/>
          <w:szCs w:val="23"/>
        </w:rPr>
        <w:t>。</w:t>
      </w:r>
    </w:p>
    <w:p w14:paraId="4BC7C586">
      <w:pPr>
        <w:spacing w:before="5" w:line="374" w:lineRule="auto"/>
        <w:ind w:left="11" w:right="123" w:firstLine="480"/>
        <w:rPr>
          <w:rFonts w:ascii="宋体" w:hAnsi="宋体" w:eastAsia="宋体" w:cs="宋体"/>
          <w:sz w:val="23"/>
          <w:szCs w:val="23"/>
        </w:rPr>
      </w:pPr>
      <w:r>
        <w:rPr>
          <w:rFonts w:ascii="宋体" w:hAnsi="宋体" w:eastAsia="宋体" w:cs="宋体"/>
          <w:spacing w:val="18"/>
          <w:sz w:val="23"/>
          <w:szCs w:val="23"/>
        </w:rPr>
        <w:t>本项</w:t>
      </w:r>
      <w:r>
        <w:rPr>
          <w:rFonts w:ascii="宋体" w:hAnsi="宋体" w:eastAsia="宋体" w:cs="宋体"/>
          <w:spacing w:val="14"/>
          <w:sz w:val="23"/>
          <w:szCs w:val="23"/>
        </w:rPr>
        <w:t>目</w:t>
      </w:r>
      <w:r>
        <w:rPr>
          <w:rFonts w:ascii="宋体" w:hAnsi="宋体" w:eastAsia="宋体" w:cs="宋体"/>
          <w:spacing w:val="9"/>
          <w:sz w:val="23"/>
          <w:szCs w:val="23"/>
        </w:rPr>
        <w:t>已在井研县发展和改革局备案，并按要求开展环评手续，项目生活污水</w:t>
      </w:r>
      <w:r>
        <w:rPr>
          <w:rFonts w:ascii="宋体" w:hAnsi="宋体" w:eastAsia="宋体" w:cs="宋体"/>
          <w:sz w:val="23"/>
          <w:szCs w:val="23"/>
        </w:rPr>
        <w:t xml:space="preserve"> </w:t>
      </w:r>
      <w:r>
        <w:rPr>
          <w:rFonts w:ascii="宋体" w:hAnsi="宋体" w:eastAsia="宋体" w:cs="宋体"/>
          <w:spacing w:val="16"/>
          <w:sz w:val="23"/>
          <w:szCs w:val="23"/>
        </w:rPr>
        <w:t>和</w:t>
      </w:r>
      <w:r>
        <w:rPr>
          <w:rFonts w:ascii="宋体" w:hAnsi="宋体" w:eastAsia="宋体" w:cs="宋体"/>
          <w:spacing w:val="9"/>
          <w:sz w:val="23"/>
          <w:szCs w:val="23"/>
        </w:rPr>
        <w:t>生产废水 (猪粪水) 分开处置，生活污水经隔油池、化粪池处理后用作业主自有</w:t>
      </w:r>
      <w:r>
        <w:rPr>
          <w:rFonts w:ascii="宋体" w:hAnsi="宋体" w:eastAsia="宋体" w:cs="宋体"/>
          <w:sz w:val="23"/>
          <w:szCs w:val="23"/>
        </w:rPr>
        <w:t xml:space="preserve"> </w:t>
      </w:r>
      <w:r>
        <w:rPr>
          <w:rFonts w:ascii="宋体" w:hAnsi="宋体" w:eastAsia="宋体" w:cs="宋体"/>
          <w:spacing w:val="18"/>
          <w:sz w:val="23"/>
          <w:szCs w:val="23"/>
        </w:rPr>
        <w:t>林地</w:t>
      </w:r>
      <w:r>
        <w:rPr>
          <w:rFonts w:ascii="宋体" w:hAnsi="宋体" w:eastAsia="宋体" w:cs="宋体"/>
          <w:spacing w:val="16"/>
          <w:sz w:val="23"/>
          <w:szCs w:val="23"/>
        </w:rPr>
        <w:t>灌</w:t>
      </w:r>
      <w:r>
        <w:rPr>
          <w:rFonts w:ascii="宋体" w:hAnsi="宋体" w:eastAsia="宋体" w:cs="宋体"/>
          <w:spacing w:val="9"/>
          <w:sz w:val="23"/>
          <w:szCs w:val="23"/>
        </w:rPr>
        <w:t>溉；养殖废水目前拟运输至乐山乐高勤力生物质能源综合利用有限公司集中</w:t>
      </w:r>
      <w:r>
        <w:rPr>
          <w:rFonts w:ascii="宋体" w:hAnsi="宋体" w:eastAsia="宋体" w:cs="宋体"/>
          <w:sz w:val="23"/>
          <w:szCs w:val="23"/>
        </w:rPr>
        <w:t xml:space="preserve"> </w:t>
      </w:r>
      <w:r>
        <w:rPr>
          <w:rFonts w:ascii="宋体" w:hAnsi="宋体" w:eastAsia="宋体" w:cs="宋体"/>
          <w:spacing w:val="6"/>
          <w:sz w:val="23"/>
          <w:szCs w:val="23"/>
        </w:rPr>
        <w:t>处置 (协议见附件) ， 日产日清，同时，厂区还配套建设一套发酵床备用，若后期</w:t>
      </w:r>
      <w:r>
        <w:rPr>
          <w:rFonts w:ascii="宋体" w:hAnsi="宋体" w:eastAsia="宋体" w:cs="宋体"/>
          <w:sz w:val="23"/>
          <w:szCs w:val="23"/>
        </w:rPr>
        <w:t xml:space="preserve"> </w:t>
      </w:r>
      <w:r>
        <w:rPr>
          <w:rFonts w:ascii="宋体" w:hAnsi="宋体" w:eastAsia="宋体" w:cs="宋体"/>
          <w:spacing w:val="18"/>
          <w:sz w:val="23"/>
          <w:szCs w:val="23"/>
        </w:rPr>
        <w:t>乐山</w:t>
      </w:r>
      <w:r>
        <w:rPr>
          <w:rFonts w:ascii="宋体" w:hAnsi="宋体" w:eastAsia="宋体" w:cs="宋体"/>
          <w:spacing w:val="16"/>
          <w:sz w:val="23"/>
          <w:szCs w:val="23"/>
        </w:rPr>
        <w:t>乐</w:t>
      </w:r>
      <w:r>
        <w:rPr>
          <w:rFonts w:ascii="宋体" w:hAnsi="宋体" w:eastAsia="宋体" w:cs="宋体"/>
          <w:spacing w:val="9"/>
          <w:sz w:val="23"/>
          <w:szCs w:val="23"/>
        </w:rPr>
        <w:t>高勤力生物质能源综合利用有限公司不再回收厂区内的养殖废水，可将通过</w:t>
      </w:r>
      <w:r>
        <w:rPr>
          <w:rFonts w:ascii="宋体" w:hAnsi="宋体" w:eastAsia="宋体" w:cs="宋体"/>
          <w:sz w:val="23"/>
          <w:szCs w:val="23"/>
        </w:rPr>
        <w:t xml:space="preserve"> </w:t>
      </w:r>
      <w:r>
        <w:rPr>
          <w:rFonts w:ascii="宋体" w:hAnsi="宋体" w:eastAsia="宋体" w:cs="宋体"/>
          <w:spacing w:val="11"/>
          <w:sz w:val="23"/>
          <w:szCs w:val="23"/>
        </w:rPr>
        <w:t>异</w:t>
      </w:r>
      <w:r>
        <w:rPr>
          <w:rFonts w:ascii="宋体" w:hAnsi="宋体" w:eastAsia="宋体" w:cs="宋体"/>
          <w:spacing w:val="9"/>
          <w:sz w:val="23"/>
          <w:szCs w:val="23"/>
        </w:rPr>
        <w:t>位发酵床自行处置，处理产生的有机肥外售处理。</w:t>
      </w:r>
    </w:p>
    <w:p w14:paraId="49F17CE5">
      <w:pPr>
        <w:spacing w:before="1" w:line="226" w:lineRule="auto"/>
        <w:ind w:left="511"/>
        <w:rPr>
          <w:rFonts w:ascii="宋体" w:hAnsi="宋体" w:eastAsia="宋体" w:cs="宋体"/>
          <w:sz w:val="23"/>
          <w:szCs w:val="23"/>
        </w:rPr>
      </w:pPr>
      <w:r>
        <w:rPr>
          <w:rFonts w:ascii="宋体" w:hAnsi="宋体" w:eastAsia="宋体" w:cs="宋体"/>
          <w:spacing w:val="10"/>
          <w:sz w:val="23"/>
          <w:szCs w:val="23"/>
        </w:rPr>
        <w:t>乐山乐</w:t>
      </w:r>
      <w:r>
        <w:rPr>
          <w:rFonts w:ascii="宋体" w:hAnsi="宋体" w:eastAsia="宋体" w:cs="宋体"/>
          <w:spacing w:val="7"/>
          <w:sz w:val="23"/>
          <w:szCs w:val="23"/>
        </w:rPr>
        <w:t>高</w:t>
      </w:r>
      <w:r>
        <w:rPr>
          <w:rFonts w:ascii="宋体" w:hAnsi="宋体" w:eastAsia="宋体" w:cs="宋体"/>
          <w:spacing w:val="5"/>
          <w:sz w:val="23"/>
          <w:szCs w:val="23"/>
        </w:rPr>
        <w:t xml:space="preserve">勤力生物质能源综合利用有限公司成立于 </w:t>
      </w:r>
      <w:r>
        <w:rPr>
          <w:rFonts w:ascii="Times New Roman" w:hAnsi="Times New Roman" w:eastAsia="Times New Roman" w:cs="Times New Roman"/>
          <w:spacing w:val="5"/>
          <w:sz w:val="23"/>
          <w:szCs w:val="23"/>
        </w:rPr>
        <w:t xml:space="preserve">2018 </w:t>
      </w:r>
      <w:r>
        <w:rPr>
          <w:rFonts w:ascii="宋体" w:hAnsi="宋体" w:eastAsia="宋体" w:cs="宋体"/>
          <w:spacing w:val="5"/>
          <w:sz w:val="23"/>
          <w:szCs w:val="23"/>
        </w:rPr>
        <w:t xml:space="preserve">年 </w:t>
      </w:r>
      <w:r>
        <w:rPr>
          <w:rFonts w:ascii="Times New Roman" w:hAnsi="Times New Roman" w:eastAsia="Times New Roman" w:cs="Times New Roman"/>
          <w:spacing w:val="5"/>
          <w:sz w:val="23"/>
          <w:szCs w:val="23"/>
        </w:rPr>
        <w:t xml:space="preserve">04 </w:t>
      </w:r>
      <w:r>
        <w:rPr>
          <w:rFonts w:ascii="宋体" w:hAnsi="宋体" w:eastAsia="宋体" w:cs="宋体"/>
          <w:spacing w:val="5"/>
          <w:sz w:val="23"/>
          <w:szCs w:val="23"/>
        </w:rPr>
        <w:t xml:space="preserve">月 </w:t>
      </w:r>
      <w:r>
        <w:rPr>
          <w:rFonts w:ascii="Times New Roman" w:hAnsi="Times New Roman" w:eastAsia="Times New Roman" w:cs="Times New Roman"/>
          <w:spacing w:val="5"/>
          <w:sz w:val="23"/>
          <w:szCs w:val="23"/>
        </w:rPr>
        <w:t xml:space="preserve">16  </w:t>
      </w:r>
      <w:r>
        <w:rPr>
          <w:rFonts w:ascii="宋体" w:hAnsi="宋体" w:eastAsia="宋体" w:cs="宋体"/>
          <w:spacing w:val="5"/>
          <w:sz w:val="23"/>
          <w:szCs w:val="23"/>
        </w:rPr>
        <w:t>日，主要</w:t>
      </w:r>
    </w:p>
    <w:p w14:paraId="50514784">
      <w:pPr>
        <w:sectPr>
          <w:headerReference r:id="rId41" w:type="default"/>
          <w:footerReference r:id="rId42" w:type="default"/>
          <w:pgSz w:w="11907" w:h="16840"/>
          <w:pgMar w:top="1153" w:right="1482" w:bottom="1277" w:left="1660" w:header="919" w:footer="1114" w:gutter="0"/>
          <w:cols w:space="720" w:num="1"/>
        </w:sectPr>
      </w:pPr>
    </w:p>
    <w:p w14:paraId="59316320">
      <w:pPr>
        <w:spacing w:line="460" w:lineRule="auto"/>
      </w:pPr>
      <w:r>
        <w:pict>
          <v:shape id="_x0000_s2067" o:spid="_x0000_s2067" style="position:absolute;left:0pt;margin-left:83pt;margin-top:57.2pt;height:0.5pt;width:434.35pt;mso-position-horizontal-relative:page;mso-position-vertical-relative:page;z-index:251702272;mso-width-relative:page;mso-height-relative:page;" fillcolor="#000000" filled="t" stroked="f" coordsize="8687,10" o:allowincell="f" path="m0,0l8686,0,8686,9,0,9,0,0xe">
            <v:fill on="t" focussize="0,0"/>
            <v:stroke on="f"/>
            <v:imagedata o:title=""/>
            <o:lock v:ext="edit"/>
          </v:shape>
        </w:pict>
      </w:r>
    </w:p>
    <w:p w14:paraId="56B4AA1A">
      <w:pPr>
        <w:spacing w:before="56" w:line="229" w:lineRule="auto"/>
        <w:ind w:left="520"/>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6BEE7B5D">
      <w:pPr>
        <w:spacing w:before="69" w:line="374" w:lineRule="auto"/>
        <w:ind w:left="522" w:right="520" w:firstLine="3"/>
        <w:rPr>
          <w:rFonts w:ascii="宋体" w:hAnsi="宋体" w:eastAsia="宋体" w:cs="宋体"/>
          <w:sz w:val="23"/>
          <w:szCs w:val="23"/>
        </w:rPr>
      </w:pPr>
      <w:r>
        <w:rPr>
          <w:rFonts w:ascii="宋体" w:hAnsi="宋体" w:eastAsia="宋体" w:cs="宋体"/>
          <w:spacing w:val="34"/>
          <w:sz w:val="23"/>
          <w:szCs w:val="23"/>
        </w:rPr>
        <w:t>从</w:t>
      </w:r>
      <w:r>
        <w:rPr>
          <w:rFonts w:ascii="宋体" w:hAnsi="宋体" w:eastAsia="宋体" w:cs="宋体"/>
          <w:spacing w:val="20"/>
          <w:sz w:val="23"/>
          <w:szCs w:val="23"/>
        </w:rPr>
        <w:t>事</w:t>
      </w:r>
      <w:r>
        <w:rPr>
          <w:rFonts w:ascii="宋体" w:hAnsi="宋体" w:eastAsia="宋体" w:cs="宋体"/>
          <w:spacing w:val="17"/>
          <w:sz w:val="23"/>
          <w:szCs w:val="23"/>
        </w:rPr>
        <w:t>环保及污水处理技术服务、水污染和固体废物治理、畜禽无害化收集处理及</w:t>
      </w:r>
      <w:r>
        <w:rPr>
          <w:rFonts w:ascii="宋体" w:hAnsi="宋体" w:eastAsia="宋体" w:cs="宋体"/>
          <w:sz w:val="23"/>
          <w:szCs w:val="23"/>
        </w:rPr>
        <w:t xml:space="preserve"> </w:t>
      </w:r>
      <w:r>
        <w:rPr>
          <w:rFonts w:ascii="宋体" w:hAnsi="宋体" w:eastAsia="宋体" w:cs="宋体"/>
          <w:spacing w:val="34"/>
          <w:sz w:val="23"/>
          <w:szCs w:val="23"/>
        </w:rPr>
        <w:t>运</w:t>
      </w:r>
      <w:r>
        <w:rPr>
          <w:rFonts w:ascii="宋体" w:hAnsi="宋体" w:eastAsia="宋体" w:cs="宋体"/>
          <w:spacing w:val="24"/>
          <w:sz w:val="23"/>
          <w:szCs w:val="23"/>
        </w:rPr>
        <w:t>输</w:t>
      </w:r>
      <w:r>
        <w:rPr>
          <w:rFonts w:ascii="宋体" w:hAnsi="宋体" w:eastAsia="宋体" w:cs="宋体"/>
          <w:spacing w:val="17"/>
          <w:sz w:val="23"/>
          <w:szCs w:val="23"/>
        </w:rPr>
        <w:t>、粪污收集处理及运输、农作物秸秆收集处理及运输、有机肥生产及加工、</w:t>
      </w:r>
      <w:r>
        <w:rPr>
          <w:rFonts w:ascii="宋体" w:hAnsi="宋体" w:eastAsia="宋体" w:cs="宋体"/>
          <w:sz w:val="23"/>
          <w:szCs w:val="23"/>
        </w:rPr>
        <w:t xml:space="preserve"> </w:t>
      </w:r>
      <w:r>
        <w:rPr>
          <w:rFonts w:ascii="宋体" w:hAnsi="宋体" w:eastAsia="宋体" w:cs="宋体"/>
          <w:spacing w:val="18"/>
          <w:sz w:val="23"/>
          <w:szCs w:val="23"/>
        </w:rPr>
        <w:t>沼</w:t>
      </w:r>
      <w:r>
        <w:rPr>
          <w:rFonts w:ascii="宋体" w:hAnsi="宋体" w:eastAsia="宋体" w:cs="宋体"/>
          <w:spacing w:val="17"/>
          <w:sz w:val="23"/>
          <w:szCs w:val="23"/>
        </w:rPr>
        <w:t xml:space="preserve">气发电及供热等行业，距离本项目 </w:t>
      </w:r>
      <w:r>
        <w:rPr>
          <w:rFonts w:ascii="Times New Roman" w:hAnsi="Times New Roman" w:eastAsia="Times New Roman" w:cs="Times New Roman"/>
          <w:spacing w:val="17"/>
          <w:sz w:val="23"/>
          <w:szCs w:val="23"/>
        </w:rPr>
        <w:t>13</w:t>
      </w:r>
      <w:r>
        <w:rPr>
          <w:rFonts w:ascii="Times New Roman" w:hAnsi="Times New Roman" w:eastAsia="Times New Roman" w:cs="Times New Roman"/>
          <w:sz w:val="23"/>
          <w:szCs w:val="23"/>
        </w:rPr>
        <w:t>km</w:t>
      </w:r>
      <w:r>
        <w:rPr>
          <w:rFonts w:ascii="Times New Roman" w:hAnsi="Times New Roman" w:eastAsia="Times New Roman" w:cs="Times New Roman"/>
          <w:spacing w:val="17"/>
          <w:sz w:val="23"/>
          <w:szCs w:val="23"/>
        </w:rPr>
        <w:t xml:space="preserve"> </w:t>
      </w:r>
      <w:r>
        <w:rPr>
          <w:rFonts w:ascii="宋体" w:hAnsi="宋体" w:eastAsia="宋体" w:cs="宋体"/>
          <w:spacing w:val="17"/>
          <w:sz w:val="23"/>
          <w:szCs w:val="23"/>
        </w:rPr>
        <w:t>左右，交通方便，运输便捷，且有足</w:t>
      </w:r>
      <w:r>
        <w:rPr>
          <w:rFonts w:ascii="宋体" w:hAnsi="宋体" w:eastAsia="宋体" w:cs="宋体"/>
          <w:sz w:val="23"/>
          <w:szCs w:val="23"/>
        </w:rPr>
        <w:t xml:space="preserve"> </w:t>
      </w:r>
      <w:r>
        <w:rPr>
          <w:rFonts w:ascii="宋体" w:hAnsi="宋体" w:eastAsia="宋体" w:cs="宋体"/>
          <w:spacing w:val="34"/>
          <w:sz w:val="23"/>
          <w:szCs w:val="23"/>
        </w:rPr>
        <w:t>够</w:t>
      </w:r>
      <w:r>
        <w:rPr>
          <w:rFonts w:ascii="宋体" w:hAnsi="宋体" w:eastAsia="宋体" w:cs="宋体"/>
          <w:spacing w:val="24"/>
          <w:sz w:val="23"/>
          <w:szCs w:val="23"/>
        </w:rPr>
        <w:t>的</w:t>
      </w:r>
      <w:r>
        <w:rPr>
          <w:rFonts w:ascii="宋体" w:hAnsi="宋体" w:eastAsia="宋体" w:cs="宋体"/>
          <w:spacing w:val="17"/>
          <w:sz w:val="23"/>
          <w:szCs w:val="23"/>
        </w:rPr>
        <w:t>处理能力处理本项目污水，建设单位将粪水运至该公司既节省了建设成本，</w:t>
      </w:r>
      <w:r>
        <w:rPr>
          <w:rFonts w:ascii="宋体" w:hAnsi="宋体" w:eastAsia="宋体" w:cs="宋体"/>
          <w:sz w:val="23"/>
          <w:szCs w:val="23"/>
        </w:rPr>
        <w:t xml:space="preserve"> </w:t>
      </w:r>
      <w:r>
        <w:rPr>
          <w:rFonts w:ascii="宋体" w:hAnsi="宋体" w:eastAsia="宋体" w:cs="宋体"/>
          <w:spacing w:val="16"/>
          <w:sz w:val="23"/>
          <w:szCs w:val="23"/>
        </w:rPr>
        <w:t>又能实现畜禽粪污基本实现资源化利用。</w:t>
      </w:r>
    </w:p>
    <w:p w14:paraId="36FF8969">
      <w:pPr>
        <w:spacing w:line="230" w:lineRule="auto"/>
        <w:ind w:left="1036"/>
        <w:rPr>
          <w:rFonts w:ascii="Times New Roman" w:hAnsi="Times New Roman" w:eastAsia="Times New Roman" w:cs="Times New Roman"/>
          <w:sz w:val="23"/>
          <w:szCs w:val="23"/>
        </w:rPr>
      </w:pPr>
      <w:r>
        <w:rPr>
          <w:rFonts w:ascii="宋体" w:hAnsi="宋体" w:eastAsia="宋体" w:cs="宋体"/>
          <w:spacing w:val="18"/>
          <w:sz w:val="23"/>
          <w:szCs w:val="23"/>
        </w:rPr>
        <w:t>因此，</w:t>
      </w:r>
      <w:r>
        <w:rPr>
          <w:rFonts w:ascii="宋体" w:hAnsi="宋体" w:eastAsia="宋体" w:cs="宋体"/>
          <w:spacing w:val="12"/>
          <w:sz w:val="23"/>
          <w:szCs w:val="23"/>
        </w:rPr>
        <w:t>本</w:t>
      </w:r>
      <w:r>
        <w:rPr>
          <w:rFonts w:ascii="宋体" w:hAnsi="宋体" w:eastAsia="宋体" w:cs="宋体"/>
          <w:spacing w:val="9"/>
          <w:sz w:val="23"/>
          <w:szCs w:val="23"/>
        </w:rPr>
        <w:t>项目与《四川省打好农业农村污染治理攻坚战役实施方案(</w:t>
      </w:r>
      <w:r>
        <w:rPr>
          <w:rFonts w:ascii="Times New Roman" w:hAnsi="Times New Roman" w:eastAsia="Times New Roman" w:cs="Times New Roman"/>
          <w:spacing w:val="9"/>
          <w:sz w:val="23"/>
          <w:szCs w:val="23"/>
        </w:rPr>
        <w:t>2018-2020</w:t>
      </w:r>
    </w:p>
    <w:p w14:paraId="044746E8">
      <w:pPr>
        <w:spacing w:before="181" w:line="227" w:lineRule="auto"/>
        <w:ind w:left="524"/>
        <w:rPr>
          <w:rFonts w:ascii="宋体" w:hAnsi="宋体" w:eastAsia="宋体" w:cs="宋体"/>
          <w:sz w:val="23"/>
          <w:szCs w:val="23"/>
        </w:rPr>
      </w:pPr>
      <w:r>
        <w:rPr>
          <w:rFonts w:ascii="宋体" w:hAnsi="宋体" w:eastAsia="宋体" w:cs="宋体"/>
          <w:spacing w:val="10"/>
          <w:sz w:val="23"/>
          <w:szCs w:val="23"/>
        </w:rPr>
        <w:t>年) 》相符。</w:t>
      </w:r>
    </w:p>
    <w:p w14:paraId="3D77E9E1">
      <w:pPr>
        <w:spacing w:before="181" w:line="230" w:lineRule="auto"/>
        <w:ind w:left="529"/>
        <w:outlineLvl w:val="2"/>
        <w:rPr>
          <w:rFonts w:ascii="宋体" w:hAnsi="宋体" w:eastAsia="宋体" w:cs="宋体"/>
          <w:sz w:val="23"/>
          <w:szCs w:val="23"/>
        </w:rPr>
      </w:pPr>
      <w:r>
        <w:rPr>
          <w:rFonts w:ascii="Times New Roman" w:hAnsi="Times New Roman" w:eastAsia="Times New Roman" w:cs="Times New Roman"/>
          <w:b/>
          <w:bCs/>
          <w:spacing w:val="18"/>
          <w:sz w:val="23"/>
          <w:szCs w:val="23"/>
        </w:rPr>
        <w:t>1.6</w:t>
      </w:r>
      <w:r>
        <w:rPr>
          <w:rFonts w:ascii="Times New Roman" w:hAnsi="Times New Roman" w:eastAsia="Times New Roman" w:cs="Times New Roman"/>
          <w:b/>
          <w:bCs/>
          <w:spacing w:val="9"/>
          <w:sz w:val="23"/>
          <w:szCs w:val="23"/>
        </w:rPr>
        <w:t>.7</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14:textOutline w14:w="4356" w14:cap="sq" w14:cmpd="sng" w14:algn="ctr">
            <w14:solidFill>
              <w14:srgbClr w14:val="000000"/>
            </w14:solidFill>
            <w14:prstDash w14:val="solid"/>
            <w14:bevel/>
          </w14:textOutline>
        </w:rPr>
        <w:t>与《井研县人民政府办公室关于印发井研县畜禽养殖禁养区划定方案的通知》</w:t>
      </w:r>
    </w:p>
    <w:p w14:paraId="3C542E09">
      <w:pPr>
        <w:spacing w:before="182" w:line="227" w:lineRule="auto"/>
        <w:ind w:left="534"/>
        <w:rPr>
          <w:rFonts w:ascii="宋体" w:hAnsi="宋体" w:eastAsia="宋体" w:cs="宋体"/>
          <w:sz w:val="23"/>
          <w:szCs w:val="23"/>
        </w:rPr>
      </w:pPr>
      <w:r>
        <w:rPr>
          <w:rFonts w:ascii="宋体" w:hAnsi="宋体" w:eastAsia="宋体" w:cs="宋体"/>
          <w:spacing w:val="12"/>
          <w:sz w:val="23"/>
          <w:szCs w:val="23"/>
          <w14:textOutline w14:w="4356" w14:cap="sq" w14:cmpd="sng" w14:algn="ctr">
            <w14:solidFill>
              <w14:srgbClr w14:val="000000"/>
            </w14:solidFill>
            <w14:prstDash w14:val="solid"/>
            <w14:bevel/>
          </w14:textOutline>
        </w:rPr>
        <w:t>(井府发</w:t>
      </w:r>
      <w:r>
        <w:rPr>
          <w:rFonts w:ascii="宋体" w:hAnsi="宋体" w:eastAsia="宋体" w:cs="宋体"/>
          <w:spacing w:val="12"/>
          <w:sz w:val="23"/>
          <w:szCs w:val="23"/>
        </w:rPr>
        <w:t xml:space="preserve"> </w:t>
      </w:r>
      <w:r>
        <w:rPr>
          <w:rFonts w:ascii="宋体" w:hAnsi="宋体" w:eastAsia="宋体" w:cs="宋体"/>
          <w:spacing w:val="12"/>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2"/>
          <w:sz w:val="23"/>
          <w:szCs w:val="23"/>
        </w:rPr>
        <w:t>2017</w:t>
      </w:r>
      <w:r>
        <w:rPr>
          <w:rFonts w:ascii="宋体" w:hAnsi="宋体" w:eastAsia="宋体" w:cs="宋体"/>
          <w:spacing w:val="12"/>
          <w:sz w:val="23"/>
          <w:szCs w:val="23"/>
          <w14:textOutline w14:w="4356" w14:cap="sq" w14:cmpd="sng" w14:algn="ctr">
            <w14:solidFill>
              <w14:srgbClr w14:val="000000"/>
            </w14:solidFill>
            <w14:prstDash w14:val="solid"/>
            <w14:bevel/>
          </w14:textOutline>
        </w:rPr>
        <w:t>)</w:t>
      </w:r>
      <w:r>
        <w:rPr>
          <w:rFonts w:ascii="宋体" w:hAnsi="宋体" w:eastAsia="宋体" w:cs="宋体"/>
          <w:spacing w:val="12"/>
          <w:sz w:val="23"/>
          <w:szCs w:val="23"/>
        </w:rPr>
        <w:t xml:space="preserve"> </w:t>
      </w:r>
      <w:r>
        <w:rPr>
          <w:rFonts w:ascii="Times New Roman" w:hAnsi="Times New Roman" w:eastAsia="Times New Roman" w:cs="Times New Roman"/>
          <w:b/>
          <w:bCs/>
          <w:spacing w:val="12"/>
          <w:sz w:val="23"/>
          <w:szCs w:val="23"/>
        </w:rPr>
        <w:t>2</w:t>
      </w:r>
      <w:r>
        <w:rPr>
          <w:rFonts w:ascii="Times New Roman" w:hAnsi="Times New Roman" w:eastAsia="Times New Roman" w:cs="Times New Roman"/>
          <w:spacing w:val="12"/>
          <w:sz w:val="23"/>
          <w:szCs w:val="23"/>
        </w:rPr>
        <w:t xml:space="preserve"> </w:t>
      </w:r>
      <w:r>
        <w:rPr>
          <w:rFonts w:ascii="宋体" w:hAnsi="宋体" w:eastAsia="宋体" w:cs="宋体"/>
          <w:spacing w:val="12"/>
          <w:sz w:val="23"/>
          <w:szCs w:val="23"/>
          <w14:textOutline w14:w="4356" w14:cap="sq" w14:cmpd="sng" w14:algn="ctr">
            <w14:solidFill>
              <w14:srgbClr w14:val="000000"/>
            </w14:solidFill>
            <w14:prstDash w14:val="solid"/>
            <w14:bevel/>
          </w14:textOutline>
        </w:rPr>
        <w:t>号)</w:t>
      </w:r>
      <w:r>
        <w:rPr>
          <w:rFonts w:ascii="宋体" w:hAnsi="宋体" w:eastAsia="宋体" w:cs="宋体"/>
          <w:spacing w:val="12"/>
          <w:sz w:val="23"/>
          <w:szCs w:val="23"/>
        </w:rPr>
        <w:t xml:space="preserve"> </w:t>
      </w:r>
      <w:r>
        <w:rPr>
          <w:rFonts w:ascii="宋体" w:hAnsi="宋体" w:eastAsia="宋体" w:cs="宋体"/>
          <w:spacing w:val="12"/>
          <w:sz w:val="23"/>
          <w:szCs w:val="23"/>
          <w14:textOutline w14:w="4356" w14:cap="sq" w14:cmpd="sng" w14:algn="ctr">
            <w14:solidFill>
              <w14:srgbClr w14:val="000000"/>
            </w14:solidFill>
            <w14:prstDash w14:val="solid"/>
            <w14:bevel/>
          </w14:textOutline>
        </w:rPr>
        <w:t>符合性分</w:t>
      </w:r>
      <w:r>
        <w:rPr>
          <w:rFonts w:ascii="宋体" w:hAnsi="宋体" w:eastAsia="宋体" w:cs="宋体"/>
          <w:spacing w:val="11"/>
          <w:sz w:val="23"/>
          <w:szCs w:val="23"/>
          <w14:textOutline w14:w="4356" w14:cap="sq" w14:cmpd="sng" w14:algn="ctr">
            <w14:solidFill>
              <w14:srgbClr w14:val="000000"/>
            </w14:solidFill>
            <w14:prstDash w14:val="solid"/>
            <w14:bevel/>
          </w14:textOutline>
        </w:rPr>
        <w:t>析</w:t>
      </w:r>
    </w:p>
    <w:p w14:paraId="0476EC2F">
      <w:pPr>
        <w:spacing w:before="182" w:line="375" w:lineRule="auto"/>
        <w:ind w:left="523" w:right="513" w:firstLine="480"/>
        <w:rPr>
          <w:rFonts w:ascii="宋体" w:hAnsi="宋体" w:eastAsia="宋体" w:cs="宋体"/>
          <w:sz w:val="23"/>
          <w:szCs w:val="23"/>
        </w:rPr>
      </w:pPr>
      <w:r>
        <w:rPr>
          <w:rFonts w:ascii="宋体" w:hAnsi="宋体" w:eastAsia="宋体" w:cs="宋体"/>
          <w:spacing w:val="12"/>
          <w:sz w:val="23"/>
          <w:szCs w:val="23"/>
        </w:rPr>
        <w:t>本</w:t>
      </w:r>
      <w:r>
        <w:rPr>
          <w:rFonts w:ascii="宋体" w:hAnsi="宋体" w:eastAsia="宋体" w:cs="宋体"/>
          <w:spacing w:val="11"/>
          <w:sz w:val="23"/>
          <w:szCs w:val="23"/>
        </w:rPr>
        <w:t>项目与《井研县人民政府办公室关于印发井研县畜禽养殖禁养区划定方案的</w:t>
      </w:r>
      <w:r>
        <w:rPr>
          <w:rFonts w:ascii="宋体" w:hAnsi="宋体" w:eastAsia="宋体" w:cs="宋体"/>
          <w:sz w:val="23"/>
          <w:szCs w:val="23"/>
        </w:rPr>
        <w:t xml:space="preserve"> </w:t>
      </w:r>
      <w:r>
        <w:rPr>
          <w:rFonts w:ascii="宋体" w:hAnsi="宋体" w:eastAsia="宋体" w:cs="宋体"/>
          <w:spacing w:val="3"/>
          <w:sz w:val="23"/>
          <w:szCs w:val="23"/>
        </w:rPr>
        <w:t>通知》  (井府发 (</w:t>
      </w:r>
      <w:r>
        <w:rPr>
          <w:rFonts w:ascii="Times New Roman" w:hAnsi="Times New Roman" w:eastAsia="Times New Roman" w:cs="Times New Roman"/>
          <w:spacing w:val="3"/>
          <w:sz w:val="23"/>
          <w:szCs w:val="23"/>
        </w:rPr>
        <w:t>2017</w:t>
      </w:r>
      <w:r>
        <w:rPr>
          <w:rFonts w:ascii="宋体" w:hAnsi="宋体" w:eastAsia="宋体" w:cs="宋体"/>
          <w:spacing w:val="3"/>
          <w:sz w:val="23"/>
          <w:szCs w:val="23"/>
        </w:rPr>
        <w:t xml:space="preserve">) </w:t>
      </w:r>
      <w:r>
        <w:rPr>
          <w:rFonts w:ascii="Times New Roman" w:hAnsi="Times New Roman" w:eastAsia="Times New Roman" w:cs="Times New Roman"/>
          <w:spacing w:val="3"/>
          <w:sz w:val="23"/>
          <w:szCs w:val="23"/>
        </w:rPr>
        <w:t xml:space="preserve">2 </w:t>
      </w:r>
      <w:r>
        <w:rPr>
          <w:rFonts w:ascii="宋体" w:hAnsi="宋体" w:eastAsia="宋体" w:cs="宋体"/>
          <w:spacing w:val="3"/>
          <w:sz w:val="23"/>
          <w:szCs w:val="23"/>
        </w:rPr>
        <w:t>号) 符合性分析见下表。</w:t>
      </w:r>
    </w:p>
    <w:p w14:paraId="614F838A">
      <w:pPr>
        <w:spacing w:line="222" w:lineRule="auto"/>
        <w:ind w:left="1350"/>
        <w:rPr>
          <w:rFonts w:ascii="黑体" w:hAnsi="黑体" w:eastAsia="黑体" w:cs="黑体"/>
          <w:sz w:val="23"/>
          <w:szCs w:val="23"/>
        </w:rPr>
      </w:pPr>
      <w:r>
        <w:rPr>
          <w:rFonts w:ascii="黑体" w:hAnsi="黑体" w:eastAsia="黑体" w:cs="黑体"/>
          <w:spacing w:val="11"/>
          <w:sz w:val="23"/>
          <w:szCs w:val="23"/>
        </w:rPr>
        <w:t>表</w:t>
      </w:r>
      <w:r>
        <w:rPr>
          <w:rFonts w:ascii="黑体" w:hAnsi="黑体" w:eastAsia="黑体" w:cs="黑体"/>
          <w:spacing w:val="6"/>
          <w:sz w:val="23"/>
          <w:szCs w:val="23"/>
        </w:rPr>
        <w:t xml:space="preserve"> </w:t>
      </w:r>
      <w:r>
        <w:rPr>
          <w:rFonts w:ascii="Times New Roman" w:hAnsi="Times New Roman" w:eastAsia="Times New Roman" w:cs="Times New Roman"/>
          <w:spacing w:val="6"/>
          <w:sz w:val="23"/>
          <w:szCs w:val="23"/>
        </w:rPr>
        <w:t xml:space="preserve">1.6-2    </w:t>
      </w:r>
      <w:r>
        <w:rPr>
          <w:rFonts w:ascii="黑体" w:hAnsi="黑体" w:eastAsia="黑体" w:cs="黑体"/>
          <w:spacing w:val="6"/>
          <w:sz w:val="23"/>
          <w:szCs w:val="23"/>
        </w:rPr>
        <w:t>本项目与《井研县畜禽养殖禁养区划定方案》符合性分析</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36"/>
        <w:gridCol w:w="3894"/>
        <w:gridCol w:w="982"/>
      </w:tblGrid>
      <w:tr w14:paraId="780B0B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4836" w:type="dxa"/>
            <w:tcBorders>
              <w:left w:val="nil"/>
            </w:tcBorders>
          </w:tcPr>
          <w:p w14:paraId="42763560">
            <w:pPr>
              <w:spacing w:before="190" w:line="228" w:lineRule="auto"/>
              <w:ind w:left="548"/>
              <w:rPr>
                <w:rFonts w:ascii="宋体" w:hAnsi="宋体" w:eastAsia="宋体" w:cs="宋体"/>
                <w:sz w:val="20"/>
                <w:szCs w:val="20"/>
              </w:rPr>
            </w:pPr>
            <w:r>
              <w:rPr>
                <w:rFonts w:ascii="宋体" w:hAnsi="宋体" w:eastAsia="宋体" w:cs="宋体"/>
                <w:spacing w:val="13"/>
                <w:sz w:val="20"/>
                <w:szCs w:val="20"/>
                <w14:textOutline w14:w="3797" w14:cap="sq" w14:cmpd="sng" w14:algn="ctr">
                  <w14:solidFill>
                    <w14:srgbClr w14:val="000000"/>
                  </w14:solidFill>
                  <w14:prstDash w14:val="solid"/>
                  <w14:bevel/>
                </w14:textOutline>
              </w:rPr>
              <w:t>《</w:t>
            </w:r>
            <w:r>
              <w:rPr>
                <w:rFonts w:ascii="宋体" w:hAnsi="宋体" w:eastAsia="宋体" w:cs="宋体"/>
                <w:spacing w:val="9"/>
                <w:sz w:val="20"/>
                <w:szCs w:val="20"/>
                <w14:textOutline w14:w="3797" w14:cap="sq" w14:cmpd="sng" w14:algn="ctr">
                  <w14:solidFill>
                    <w14:srgbClr w14:val="000000"/>
                  </w14:solidFill>
                  <w14:prstDash w14:val="solid"/>
                  <w14:bevel/>
                </w14:textOutline>
              </w:rPr>
              <w:t>井研县畜禽养殖禁养区划定方案》规定</w:t>
            </w:r>
          </w:p>
        </w:tc>
        <w:tc>
          <w:tcPr>
            <w:tcW w:w="3894" w:type="dxa"/>
          </w:tcPr>
          <w:p w14:paraId="4BEA8176">
            <w:pPr>
              <w:spacing w:before="190" w:line="227" w:lineRule="auto"/>
              <w:ind w:left="1439"/>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本</w:t>
            </w:r>
            <w:r>
              <w:rPr>
                <w:rFonts w:ascii="宋体" w:hAnsi="宋体" w:eastAsia="宋体" w:cs="宋体"/>
                <w:spacing w:val="5"/>
                <w:sz w:val="20"/>
                <w:szCs w:val="20"/>
                <w14:textOutline w14:w="3797" w14:cap="sq" w14:cmpd="sng" w14:algn="ctr">
                  <w14:solidFill>
                    <w14:srgbClr w14:val="000000"/>
                  </w14:solidFill>
                  <w14:prstDash w14:val="solid"/>
                  <w14:bevel/>
                </w14:textOutline>
              </w:rPr>
              <w:t>项目情况</w:t>
            </w:r>
          </w:p>
        </w:tc>
        <w:tc>
          <w:tcPr>
            <w:tcW w:w="982" w:type="dxa"/>
            <w:tcBorders>
              <w:right w:val="nil"/>
            </w:tcBorders>
          </w:tcPr>
          <w:p w14:paraId="7E7560AF">
            <w:pPr>
              <w:spacing w:before="54"/>
              <w:ind w:left="292" w:right="176" w:hanging="101"/>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符合</w:t>
            </w:r>
            <w:r>
              <w:rPr>
                <w:rFonts w:ascii="宋体" w:hAnsi="宋体" w:eastAsia="宋体" w:cs="宋体"/>
                <w:spacing w:val="3"/>
                <w:sz w:val="20"/>
                <w:szCs w:val="20"/>
                <w14:textOutline w14:w="3797" w14:cap="sq" w14:cmpd="sng" w14:algn="ctr">
                  <w14:solidFill>
                    <w14:srgbClr w14:val="000000"/>
                  </w14:solidFill>
                  <w14:prstDash w14:val="solid"/>
                  <w14:bevel/>
                </w14:textOutline>
              </w:rPr>
              <w:t>性</w:t>
            </w:r>
            <w:r>
              <w:rPr>
                <w:rFonts w:ascii="宋体" w:hAnsi="宋体" w:eastAsia="宋体" w:cs="宋体"/>
                <w:sz w:val="20"/>
                <w:szCs w:val="20"/>
              </w:rPr>
              <w:t xml:space="preserve"> </w:t>
            </w:r>
            <w:r>
              <w:rPr>
                <w:rFonts w:ascii="宋体" w:hAnsi="宋体" w:eastAsia="宋体" w:cs="宋体"/>
                <w:spacing w:val="4"/>
                <w:sz w:val="20"/>
                <w:szCs w:val="20"/>
                <w14:textOutline w14:w="3797" w14:cap="sq" w14:cmpd="sng" w14:algn="ctr">
                  <w14:solidFill>
                    <w14:srgbClr w14:val="000000"/>
                  </w14:solidFill>
                  <w14:prstDash w14:val="solid"/>
                  <w14:bevel/>
                </w14:textOutline>
              </w:rPr>
              <w:t>分</w:t>
            </w:r>
            <w:r>
              <w:rPr>
                <w:rFonts w:ascii="宋体" w:hAnsi="宋体" w:eastAsia="宋体" w:cs="宋体"/>
                <w:spacing w:val="3"/>
                <w:sz w:val="20"/>
                <w:szCs w:val="20"/>
                <w14:textOutline w14:w="3797" w14:cap="sq" w14:cmpd="sng" w14:algn="ctr">
                  <w14:solidFill>
                    <w14:srgbClr w14:val="000000"/>
                  </w14:solidFill>
                  <w14:prstDash w14:val="solid"/>
                  <w14:bevel/>
                </w14:textOutline>
              </w:rPr>
              <w:t>析</w:t>
            </w:r>
          </w:p>
        </w:tc>
      </w:tr>
      <w:tr w14:paraId="4F745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8" w:hRule="atLeast"/>
        </w:trPr>
        <w:tc>
          <w:tcPr>
            <w:tcW w:w="4836" w:type="dxa"/>
            <w:tcBorders>
              <w:left w:val="nil"/>
            </w:tcBorders>
          </w:tcPr>
          <w:p w14:paraId="5AB55263">
            <w:pPr>
              <w:spacing w:before="31" w:line="228" w:lineRule="auto"/>
              <w:ind w:left="217"/>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禁</w:t>
            </w:r>
            <w:r>
              <w:rPr>
                <w:rFonts w:ascii="宋体" w:hAnsi="宋体" w:eastAsia="宋体" w:cs="宋体"/>
                <w:spacing w:val="3"/>
                <w:sz w:val="20"/>
                <w:szCs w:val="20"/>
                <w14:textOutline w14:w="3797" w14:cap="sq" w14:cmpd="sng" w14:algn="ctr">
                  <w14:solidFill>
                    <w14:srgbClr w14:val="000000"/>
                  </w14:solidFill>
                  <w14:prstDash w14:val="solid"/>
                  <w14:bevel/>
                </w14:textOutline>
              </w:rPr>
              <w:t>养区：</w:t>
            </w:r>
          </w:p>
          <w:p w14:paraId="7926827E">
            <w:pPr>
              <w:spacing w:before="24" w:line="228" w:lineRule="auto"/>
              <w:ind w:left="227"/>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1</w:t>
            </w:r>
            <w:r>
              <w:rPr>
                <w:rFonts w:ascii="宋体" w:hAnsi="宋体" w:eastAsia="宋体" w:cs="宋体"/>
                <w:spacing w:val="9"/>
                <w:sz w:val="20"/>
                <w:szCs w:val="20"/>
              </w:rPr>
              <w:t>)</w:t>
            </w:r>
            <w:r>
              <w:rPr>
                <w:rFonts w:ascii="宋体" w:hAnsi="宋体" w:eastAsia="宋体" w:cs="宋体"/>
                <w:spacing w:val="5"/>
                <w:sz w:val="20"/>
                <w:szCs w:val="20"/>
              </w:rPr>
              <w:t xml:space="preserve"> 县城、乡 (镇) 城镇建成区范围内。</w:t>
            </w:r>
          </w:p>
          <w:p w14:paraId="55691681">
            <w:pPr>
              <w:spacing w:before="24" w:line="228" w:lineRule="auto"/>
              <w:ind w:left="227"/>
              <w:rPr>
                <w:rFonts w:ascii="宋体" w:hAnsi="宋体" w:eastAsia="宋体" w:cs="宋体"/>
                <w:sz w:val="20"/>
                <w:szCs w:val="20"/>
              </w:rPr>
            </w:pPr>
            <w:r>
              <w:rPr>
                <w:rFonts w:ascii="宋体" w:hAnsi="宋体" w:eastAsia="宋体" w:cs="宋体"/>
                <w:spacing w:val="12"/>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 集中式饮用水水源保护区。</w:t>
            </w:r>
          </w:p>
          <w:p w14:paraId="3B914115">
            <w:pPr>
              <w:spacing w:before="25" w:line="244" w:lineRule="auto"/>
              <w:ind w:left="218" w:right="198" w:firstLine="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7"/>
                <w:sz w:val="20"/>
                <w:szCs w:val="20"/>
              </w:rPr>
              <w:t>3</w:t>
            </w:r>
            <w:r>
              <w:rPr>
                <w:rFonts w:ascii="宋体" w:hAnsi="宋体" w:eastAsia="宋体" w:cs="宋体"/>
                <w:spacing w:val="4"/>
                <w:sz w:val="20"/>
                <w:szCs w:val="20"/>
              </w:rPr>
              <w:t>) 中型水库管理范围及校核洪水位以上</w:t>
            </w:r>
            <w:r>
              <w:rPr>
                <w:rFonts w:ascii="Times New Roman" w:hAnsi="Times New Roman" w:eastAsia="Times New Roman" w:cs="Times New Roman"/>
                <w:spacing w:val="4"/>
                <w:sz w:val="20"/>
                <w:szCs w:val="20"/>
              </w:rPr>
              <w:t>200</w:t>
            </w:r>
            <w:r>
              <w:rPr>
                <w:rFonts w:ascii="宋体" w:hAnsi="宋体" w:eastAsia="宋体" w:cs="宋体"/>
                <w:spacing w:val="4"/>
                <w:sz w:val="20"/>
                <w:szCs w:val="20"/>
              </w:rPr>
              <w:t>米范</w:t>
            </w:r>
            <w:r>
              <w:rPr>
                <w:rFonts w:ascii="宋体" w:hAnsi="宋体" w:eastAsia="宋体" w:cs="宋体"/>
                <w:sz w:val="20"/>
                <w:szCs w:val="20"/>
              </w:rPr>
              <w:t xml:space="preserve"> </w:t>
            </w:r>
            <w:r>
              <w:rPr>
                <w:rFonts w:ascii="宋体" w:hAnsi="宋体" w:eastAsia="宋体" w:cs="宋体"/>
                <w:spacing w:val="1"/>
                <w:sz w:val="20"/>
                <w:szCs w:val="20"/>
              </w:rPr>
              <w:t>围内的区域；小一型、小二型水库</w:t>
            </w:r>
            <w:r>
              <w:rPr>
                <w:rFonts w:ascii="宋体" w:hAnsi="宋体" w:eastAsia="宋体" w:cs="宋体"/>
                <w:sz w:val="20"/>
                <w:szCs w:val="20"/>
              </w:rPr>
              <w:t xml:space="preserve">管理范围及校核 </w:t>
            </w:r>
            <w:r>
              <w:rPr>
                <w:rFonts w:ascii="宋体" w:hAnsi="宋体" w:eastAsia="宋体" w:cs="宋体"/>
                <w:spacing w:val="2"/>
                <w:sz w:val="20"/>
                <w:szCs w:val="20"/>
              </w:rPr>
              <w:t>洪水位以上</w:t>
            </w:r>
            <w:r>
              <w:rPr>
                <w:rFonts w:ascii="Times New Roman" w:hAnsi="Times New Roman" w:eastAsia="Times New Roman" w:cs="Times New Roman"/>
                <w:spacing w:val="2"/>
                <w:sz w:val="20"/>
                <w:szCs w:val="20"/>
              </w:rPr>
              <w:t>10</w:t>
            </w:r>
            <w:r>
              <w:rPr>
                <w:rFonts w:ascii="Times New Roman" w:hAnsi="Times New Roman" w:eastAsia="Times New Roman" w:cs="Times New Roman"/>
                <w:spacing w:val="1"/>
                <w:sz w:val="20"/>
                <w:szCs w:val="20"/>
              </w:rPr>
              <w:t>0</w:t>
            </w:r>
            <w:r>
              <w:rPr>
                <w:rFonts w:ascii="宋体" w:hAnsi="宋体" w:eastAsia="宋体" w:cs="宋体"/>
                <w:spacing w:val="1"/>
                <w:sz w:val="20"/>
                <w:szCs w:val="20"/>
              </w:rPr>
              <w:t>米范围内的区域。</w:t>
            </w:r>
          </w:p>
          <w:p w14:paraId="4E7AA3E3">
            <w:pPr>
              <w:spacing w:before="27" w:line="239" w:lineRule="auto"/>
              <w:ind w:left="217" w:right="198" w:firstLine="9"/>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 风景名胜区、旅游度假区、文物历史遗迹保</w:t>
            </w:r>
            <w:r>
              <w:rPr>
                <w:rFonts w:ascii="宋体" w:hAnsi="宋体" w:eastAsia="宋体" w:cs="宋体"/>
                <w:sz w:val="20"/>
                <w:szCs w:val="20"/>
              </w:rPr>
              <w:t xml:space="preserve"> </w:t>
            </w:r>
            <w:r>
              <w:rPr>
                <w:rFonts w:ascii="宋体" w:hAnsi="宋体" w:eastAsia="宋体" w:cs="宋体"/>
                <w:spacing w:val="1"/>
                <w:sz w:val="20"/>
                <w:szCs w:val="20"/>
              </w:rPr>
              <w:t>护区以及自然 (</w:t>
            </w:r>
            <w:r>
              <w:rPr>
                <w:rFonts w:ascii="宋体" w:hAnsi="宋体" w:eastAsia="宋体" w:cs="宋体"/>
                <w:sz w:val="20"/>
                <w:szCs w:val="20"/>
              </w:rPr>
              <w:t>湿地) 保护区、核心区和缓冲区。</w:t>
            </w:r>
          </w:p>
          <w:p w14:paraId="51EE0C76">
            <w:pPr>
              <w:spacing w:before="23" w:line="227" w:lineRule="auto"/>
              <w:ind w:left="22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 政府划定的基本农田保护区。</w:t>
            </w:r>
          </w:p>
          <w:p w14:paraId="3460F245">
            <w:pPr>
              <w:spacing w:before="28" w:line="238" w:lineRule="auto"/>
              <w:ind w:left="217" w:right="198" w:firstLine="9"/>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6</w:t>
            </w:r>
            <w:r>
              <w:rPr>
                <w:rFonts w:ascii="宋体" w:hAnsi="宋体" w:eastAsia="宋体" w:cs="宋体"/>
                <w:spacing w:val="9"/>
                <w:sz w:val="20"/>
                <w:szCs w:val="20"/>
              </w:rPr>
              <w:t>) 国家法律、法规规定需要特殊保护的其他区</w:t>
            </w:r>
            <w:r>
              <w:rPr>
                <w:rFonts w:ascii="宋体" w:hAnsi="宋体" w:eastAsia="宋体" w:cs="宋体"/>
                <w:sz w:val="20"/>
                <w:szCs w:val="20"/>
              </w:rPr>
              <w:t xml:space="preserve"> 域</w:t>
            </w:r>
          </w:p>
        </w:tc>
        <w:tc>
          <w:tcPr>
            <w:tcW w:w="3894" w:type="dxa"/>
          </w:tcPr>
          <w:p w14:paraId="063B0E06">
            <w:pPr>
              <w:spacing w:before="167" w:line="245" w:lineRule="auto"/>
              <w:ind w:left="217" w:right="97" w:firstLine="7"/>
              <w:rPr>
                <w:rFonts w:ascii="宋体" w:hAnsi="宋体" w:eastAsia="宋体" w:cs="宋体"/>
                <w:sz w:val="20"/>
                <w:szCs w:val="20"/>
              </w:rPr>
            </w:pPr>
            <w:r>
              <w:rPr>
                <w:rFonts w:ascii="宋体" w:hAnsi="宋体" w:eastAsia="宋体" w:cs="宋体"/>
                <w:spacing w:val="21"/>
                <w:sz w:val="20"/>
                <w:szCs w:val="20"/>
              </w:rPr>
              <w:t>(</w:t>
            </w:r>
            <w:r>
              <w:rPr>
                <w:rFonts w:ascii="Times New Roman" w:hAnsi="Times New Roman" w:eastAsia="Times New Roman" w:cs="Times New Roman"/>
                <w:spacing w:val="16"/>
                <w:sz w:val="20"/>
                <w:szCs w:val="20"/>
              </w:rPr>
              <w:t>1</w:t>
            </w:r>
            <w:r>
              <w:rPr>
                <w:rFonts w:ascii="宋体" w:hAnsi="宋体" w:eastAsia="宋体" w:cs="宋体"/>
                <w:spacing w:val="16"/>
                <w:sz w:val="20"/>
                <w:szCs w:val="20"/>
              </w:rPr>
              <w:t>) 本项目不在集中饮用水水源保护</w:t>
            </w:r>
            <w:r>
              <w:rPr>
                <w:rFonts w:ascii="宋体" w:hAnsi="宋体" w:eastAsia="宋体" w:cs="宋体"/>
                <w:sz w:val="20"/>
                <w:szCs w:val="20"/>
              </w:rPr>
              <w:t xml:space="preserve"> </w:t>
            </w:r>
            <w:r>
              <w:rPr>
                <w:rFonts w:ascii="宋体" w:hAnsi="宋体" w:eastAsia="宋体" w:cs="宋体"/>
                <w:spacing w:val="11"/>
                <w:sz w:val="20"/>
                <w:szCs w:val="20"/>
              </w:rPr>
              <w:t>区</w:t>
            </w:r>
            <w:r>
              <w:rPr>
                <w:rFonts w:ascii="宋体" w:hAnsi="宋体" w:eastAsia="宋体" w:cs="宋体"/>
                <w:spacing w:val="6"/>
                <w:sz w:val="20"/>
                <w:szCs w:val="20"/>
              </w:rPr>
              <w:t>、风景名胜区、旅游度假区、文物历</w:t>
            </w:r>
            <w:r>
              <w:rPr>
                <w:rFonts w:ascii="宋体" w:hAnsi="宋体" w:eastAsia="宋体" w:cs="宋体"/>
                <w:sz w:val="20"/>
                <w:szCs w:val="20"/>
              </w:rPr>
              <w:t xml:space="preserve"> </w:t>
            </w:r>
            <w:r>
              <w:rPr>
                <w:rFonts w:ascii="宋体" w:hAnsi="宋体" w:eastAsia="宋体" w:cs="宋体"/>
                <w:spacing w:val="-2"/>
                <w:sz w:val="20"/>
                <w:szCs w:val="20"/>
              </w:rPr>
              <w:t>史遗迹保护区以</w:t>
            </w:r>
            <w:r>
              <w:rPr>
                <w:rFonts w:ascii="宋体" w:hAnsi="宋体" w:eastAsia="宋体" w:cs="宋体"/>
                <w:spacing w:val="-1"/>
                <w:sz w:val="20"/>
                <w:szCs w:val="20"/>
              </w:rPr>
              <w:t>及自然 (湿地) 保护区、</w:t>
            </w:r>
            <w:r>
              <w:rPr>
                <w:rFonts w:ascii="宋体" w:hAnsi="宋体" w:eastAsia="宋体" w:cs="宋体"/>
                <w:sz w:val="20"/>
                <w:szCs w:val="20"/>
              </w:rPr>
              <w:t xml:space="preserve"> </w:t>
            </w:r>
            <w:r>
              <w:rPr>
                <w:rFonts w:ascii="宋体" w:hAnsi="宋体" w:eastAsia="宋体" w:cs="宋体"/>
                <w:spacing w:val="2"/>
                <w:sz w:val="20"/>
                <w:szCs w:val="20"/>
              </w:rPr>
              <w:t>核心</w:t>
            </w:r>
            <w:r>
              <w:rPr>
                <w:rFonts w:ascii="宋体" w:hAnsi="宋体" w:eastAsia="宋体" w:cs="宋体"/>
                <w:spacing w:val="1"/>
                <w:sz w:val="20"/>
                <w:szCs w:val="20"/>
              </w:rPr>
              <w:t>区和缓冲区；</w:t>
            </w:r>
          </w:p>
          <w:p w14:paraId="22959E33">
            <w:pPr>
              <w:spacing w:before="29" w:line="247" w:lineRule="auto"/>
              <w:ind w:left="215" w:right="197" w:firstLine="9"/>
              <w:rPr>
                <w:rFonts w:ascii="宋体" w:hAnsi="宋体" w:eastAsia="宋体" w:cs="宋体"/>
                <w:sz w:val="20"/>
                <w:szCs w:val="20"/>
              </w:rPr>
            </w:pPr>
            <w:r>
              <w:rPr>
                <w:rFonts w:ascii="宋体" w:hAnsi="宋体" w:eastAsia="宋体" w:cs="宋体"/>
                <w:spacing w:val="14"/>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 本项目位于井研县周坡镇周坡村</w:t>
            </w:r>
            <w:r>
              <w:rPr>
                <w:rFonts w:ascii="Times New Roman" w:hAnsi="Times New Roman" w:eastAsia="Times New Roman" w:cs="Times New Roman"/>
                <w:spacing w:val="8"/>
                <w:sz w:val="20"/>
                <w:szCs w:val="20"/>
              </w:rPr>
              <w:t>7</w:t>
            </w:r>
            <w:r>
              <w:rPr>
                <w:rFonts w:ascii="Times New Roman" w:hAnsi="Times New Roman" w:eastAsia="Times New Roman" w:cs="Times New Roman"/>
                <w:sz w:val="20"/>
                <w:szCs w:val="20"/>
              </w:rPr>
              <w:t xml:space="preserve"> </w:t>
            </w:r>
            <w:r>
              <w:rPr>
                <w:rFonts w:ascii="宋体" w:hAnsi="宋体" w:eastAsia="宋体" w:cs="宋体"/>
                <w:spacing w:val="15"/>
                <w:sz w:val="20"/>
                <w:szCs w:val="20"/>
              </w:rPr>
              <w:t>组</w:t>
            </w:r>
            <w:r>
              <w:rPr>
                <w:rFonts w:ascii="宋体" w:hAnsi="宋体" w:eastAsia="宋体" w:cs="宋体"/>
                <w:spacing w:val="10"/>
                <w:sz w:val="20"/>
                <w:szCs w:val="20"/>
              </w:rPr>
              <w:t>、龙桥村</w:t>
            </w:r>
            <w:r>
              <w:rPr>
                <w:rFonts w:ascii="Times New Roman" w:hAnsi="Times New Roman" w:eastAsia="Times New Roman" w:cs="Times New Roman"/>
                <w:spacing w:val="10"/>
                <w:sz w:val="20"/>
                <w:szCs w:val="20"/>
              </w:rPr>
              <w:t>2</w:t>
            </w:r>
            <w:r>
              <w:rPr>
                <w:rFonts w:ascii="宋体" w:hAnsi="宋体" w:eastAsia="宋体" w:cs="宋体"/>
                <w:spacing w:val="10"/>
                <w:sz w:val="20"/>
                <w:szCs w:val="20"/>
              </w:rPr>
              <w:t>组，不在井研县城镇规划</w:t>
            </w:r>
            <w:r>
              <w:rPr>
                <w:rFonts w:ascii="宋体" w:hAnsi="宋体" w:eastAsia="宋体" w:cs="宋体"/>
                <w:sz w:val="20"/>
                <w:szCs w:val="20"/>
              </w:rPr>
              <w:t xml:space="preserve"> </w:t>
            </w:r>
            <w:r>
              <w:rPr>
                <w:rFonts w:ascii="宋体" w:hAnsi="宋体" w:eastAsia="宋体" w:cs="宋体"/>
                <w:spacing w:val="8"/>
                <w:sz w:val="20"/>
                <w:szCs w:val="20"/>
              </w:rPr>
              <w:t>范围</w:t>
            </w:r>
            <w:r>
              <w:rPr>
                <w:rFonts w:ascii="宋体" w:hAnsi="宋体" w:eastAsia="宋体" w:cs="宋体"/>
                <w:spacing w:val="4"/>
                <w:sz w:val="20"/>
                <w:szCs w:val="20"/>
              </w:rPr>
              <w:t>内，不占用政府划定的基本农田保</w:t>
            </w:r>
            <w:r>
              <w:rPr>
                <w:rFonts w:ascii="宋体" w:hAnsi="宋体" w:eastAsia="宋体" w:cs="宋体"/>
                <w:sz w:val="20"/>
                <w:szCs w:val="20"/>
              </w:rPr>
              <w:t xml:space="preserve"> </w:t>
            </w:r>
            <w:r>
              <w:rPr>
                <w:rFonts w:ascii="宋体" w:hAnsi="宋体" w:eastAsia="宋体" w:cs="宋体"/>
                <w:spacing w:val="8"/>
                <w:sz w:val="20"/>
                <w:szCs w:val="20"/>
              </w:rPr>
              <w:t>护</w:t>
            </w:r>
            <w:r>
              <w:rPr>
                <w:rFonts w:ascii="宋体" w:hAnsi="宋体" w:eastAsia="宋体" w:cs="宋体"/>
                <w:spacing w:val="7"/>
                <w:sz w:val="20"/>
                <w:szCs w:val="20"/>
              </w:rPr>
              <w:t>区</w:t>
            </w:r>
            <w:r>
              <w:rPr>
                <w:rFonts w:ascii="宋体" w:hAnsi="宋体" w:eastAsia="宋体" w:cs="宋体"/>
                <w:spacing w:val="4"/>
                <w:sz w:val="20"/>
                <w:szCs w:val="20"/>
              </w:rPr>
              <w:t>，不在小一型、小二型水库管理范</w:t>
            </w:r>
            <w:r>
              <w:rPr>
                <w:rFonts w:ascii="宋体" w:hAnsi="宋体" w:eastAsia="宋体" w:cs="宋体"/>
                <w:sz w:val="20"/>
                <w:szCs w:val="20"/>
              </w:rPr>
              <w:t xml:space="preserve"> </w:t>
            </w:r>
            <w:r>
              <w:rPr>
                <w:rFonts w:ascii="宋体" w:hAnsi="宋体" w:eastAsia="宋体" w:cs="宋体"/>
                <w:spacing w:val="18"/>
                <w:sz w:val="20"/>
                <w:szCs w:val="20"/>
              </w:rPr>
              <w:t>围</w:t>
            </w:r>
            <w:r>
              <w:rPr>
                <w:rFonts w:ascii="宋体" w:hAnsi="宋体" w:eastAsia="宋体" w:cs="宋体"/>
                <w:spacing w:val="13"/>
                <w:sz w:val="20"/>
                <w:szCs w:val="20"/>
              </w:rPr>
              <w:t>及</w:t>
            </w:r>
            <w:r>
              <w:rPr>
                <w:rFonts w:ascii="宋体" w:hAnsi="宋体" w:eastAsia="宋体" w:cs="宋体"/>
                <w:spacing w:val="9"/>
                <w:sz w:val="20"/>
                <w:szCs w:val="20"/>
              </w:rPr>
              <w:t>校核洪水位以上</w:t>
            </w:r>
            <w:r>
              <w:rPr>
                <w:rFonts w:ascii="Times New Roman" w:hAnsi="Times New Roman" w:eastAsia="Times New Roman" w:cs="Times New Roman"/>
                <w:spacing w:val="9"/>
                <w:sz w:val="20"/>
                <w:szCs w:val="20"/>
              </w:rPr>
              <w:t>100</w:t>
            </w:r>
            <w:r>
              <w:rPr>
                <w:rFonts w:ascii="宋体" w:hAnsi="宋体" w:eastAsia="宋体" w:cs="宋体"/>
                <w:spacing w:val="9"/>
                <w:sz w:val="20"/>
                <w:szCs w:val="20"/>
              </w:rPr>
              <w:t>米范围内的区</w:t>
            </w:r>
            <w:r>
              <w:rPr>
                <w:rFonts w:ascii="宋体" w:hAnsi="宋体" w:eastAsia="宋体" w:cs="宋体"/>
                <w:sz w:val="20"/>
                <w:szCs w:val="20"/>
              </w:rPr>
              <w:t xml:space="preserve"> 域。</w:t>
            </w:r>
          </w:p>
        </w:tc>
        <w:tc>
          <w:tcPr>
            <w:tcW w:w="982" w:type="dxa"/>
            <w:tcBorders>
              <w:right w:val="nil"/>
            </w:tcBorders>
          </w:tcPr>
          <w:p w14:paraId="60E2CFD6">
            <w:pPr>
              <w:spacing w:line="263" w:lineRule="auto"/>
            </w:pPr>
          </w:p>
          <w:p w14:paraId="784C1F41">
            <w:pPr>
              <w:spacing w:line="264" w:lineRule="auto"/>
            </w:pPr>
          </w:p>
          <w:p w14:paraId="1B57EAA4">
            <w:pPr>
              <w:spacing w:line="264" w:lineRule="auto"/>
            </w:pPr>
          </w:p>
          <w:p w14:paraId="16D149F5">
            <w:pPr>
              <w:spacing w:line="264" w:lineRule="auto"/>
            </w:pPr>
          </w:p>
          <w:p w14:paraId="760EEE34">
            <w:pPr>
              <w:spacing w:line="264" w:lineRule="auto"/>
            </w:pPr>
          </w:p>
          <w:p w14:paraId="35D5358E">
            <w:pPr>
              <w:spacing w:before="65" w:line="228" w:lineRule="auto"/>
              <w:ind w:left="291"/>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r w14:paraId="2A3F3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2" w:hRule="atLeast"/>
        </w:trPr>
        <w:tc>
          <w:tcPr>
            <w:tcW w:w="4836" w:type="dxa"/>
            <w:tcBorders>
              <w:left w:val="nil"/>
            </w:tcBorders>
          </w:tcPr>
          <w:p w14:paraId="3DE28D6D">
            <w:pPr>
              <w:spacing w:before="33" w:line="228" w:lineRule="auto"/>
              <w:ind w:left="231"/>
              <w:rPr>
                <w:rFonts w:ascii="宋体" w:hAnsi="宋体" w:eastAsia="宋体" w:cs="宋体"/>
                <w:sz w:val="20"/>
                <w:szCs w:val="20"/>
              </w:rPr>
            </w:pPr>
            <w:r>
              <w:rPr>
                <w:rFonts w:ascii="宋体" w:hAnsi="宋体" w:eastAsia="宋体" w:cs="宋体"/>
                <w:spacing w:val="1"/>
                <w:sz w:val="20"/>
                <w:szCs w:val="20"/>
                <w14:textOutline w14:w="3797" w14:cap="sq" w14:cmpd="sng" w14:algn="ctr">
                  <w14:solidFill>
                    <w14:srgbClr w14:val="000000"/>
                  </w14:solidFill>
                  <w14:prstDash w14:val="solid"/>
                  <w14:bevel/>
                </w14:textOutline>
              </w:rPr>
              <w:t>限养区</w:t>
            </w:r>
            <w:r>
              <w:rPr>
                <w:rFonts w:ascii="宋体" w:hAnsi="宋体" w:eastAsia="宋体" w:cs="宋体"/>
                <w:sz w:val="20"/>
                <w:szCs w:val="20"/>
                <w14:textOutline w14:w="3797" w14:cap="sq" w14:cmpd="sng" w14:algn="ctr">
                  <w14:solidFill>
                    <w14:srgbClr w14:val="000000"/>
                  </w14:solidFill>
                  <w14:prstDash w14:val="solid"/>
                  <w14:bevel/>
                </w14:textOutline>
              </w:rPr>
              <w:t>：</w:t>
            </w:r>
          </w:p>
          <w:p w14:paraId="37586BBC">
            <w:pPr>
              <w:spacing w:before="26" w:line="239" w:lineRule="auto"/>
              <w:ind w:left="220" w:right="146" w:firstLine="6"/>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1</w:t>
            </w:r>
            <w:r>
              <w:rPr>
                <w:rFonts w:ascii="宋体" w:hAnsi="宋体" w:eastAsia="宋体" w:cs="宋体"/>
                <w:spacing w:val="4"/>
                <w:sz w:val="20"/>
                <w:szCs w:val="20"/>
              </w:rPr>
              <w:t>)</w:t>
            </w:r>
            <w:r>
              <w:rPr>
                <w:rFonts w:ascii="宋体" w:hAnsi="宋体" w:eastAsia="宋体" w:cs="宋体"/>
                <w:spacing w:val="3"/>
                <w:sz w:val="20"/>
                <w:szCs w:val="20"/>
              </w:rPr>
              <w:t xml:space="preserve"> </w:t>
            </w:r>
            <w:r>
              <w:rPr>
                <w:rFonts w:ascii="宋体" w:hAnsi="宋体" w:eastAsia="宋体" w:cs="宋体"/>
                <w:spacing w:val="2"/>
                <w:sz w:val="20"/>
                <w:szCs w:val="20"/>
              </w:rPr>
              <w:t>县城建成区、乡 (镇) 城镇建成区外规划区，</w:t>
            </w:r>
            <w:r>
              <w:rPr>
                <w:rFonts w:ascii="宋体" w:hAnsi="宋体" w:eastAsia="宋体" w:cs="宋体"/>
                <w:sz w:val="20"/>
                <w:szCs w:val="20"/>
              </w:rPr>
              <w:t xml:space="preserve"> </w:t>
            </w:r>
            <w:r>
              <w:rPr>
                <w:rFonts w:ascii="宋体" w:hAnsi="宋体" w:eastAsia="宋体" w:cs="宋体"/>
                <w:spacing w:val="2"/>
                <w:sz w:val="20"/>
                <w:szCs w:val="20"/>
              </w:rPr>
              <w:t>行政村人口集居点外延</w:t>
            </w:r>
            <w:r>
              <w:rPr>
                <w:rFonts w:ascii="Times New Roman" w:hAnsi="Times New Roman" w:eastAsia="Times New Roman" w:cs="Times New Roman"/>
                <w:spacing w:val="2"/>
                <w:sz w:val="20"/>
                <w:szCs w:val="20"/>
              </w:rPr>
              <w:t>2</w:t>
            </w:r>
            <w:r>
              <w:rPr>
                <w:rFonts w:ascii="Times New Roman" w:hAnsi="Times New Roman" w:eastAsia="Times New Roman" w:cs="Times New Roman"/>
                <w:spacing w:val="1"/>
                <w:sz w:val="20"/>
                <w:szCs w:val="20"/>
              </w:rPr>
              <w:t>00</w:t>
            </w:r>
            <w:r>
              <w:rPr>
                <w:rFonts w:ascii="宋体" w:hAnsi="宋体" w:eastAsia="宋体" w:cs="宋体"/>
                <w:spacing w:val="1"/>
                <w:sz w:val="20"/>
                <w:szCs w:val="20"/>
              </w:rPr>
              <w:t>米范围内的区域。</w:t>
            </w:r>
          </w:p>
          <w:p w14:paraId="5629DCAB">
            <w:pPr>
              <w:spacing w:before="27" w:line="239" w:lineRule="auto"/>
              <w:ind w:left="222" w:right="198" w:firstLine="5"/>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7"/>
                <w:sz w:val="20"/>
                <w:szCs w:val="20"/>
              </w:rPr>
              <w:t>2</w:t>
            </w:r>
            <w:r>
              <w:rPr>
                <w:rFonts w:ascii="宋体" w:hAnsi="宋体" w:eastAsia="宋体" w:cs="宋体"/>
                <w:spacing w:val="4"/>
                <w:sz w:val="20"/>
                <w:szCs w:val="20"/>
              </w:rPr>
              <w:t>) 集中式饮用水水源地保护区禁养区外延</w:t>
            </w:r>
            <w:r>
              <w:rPr>
                <w:rFonts w:ascii="Times New Roman" w:hAnsi="Times New Roman" w:eastAsia="Times New Roman" w:cs="Times New Roman"/>
                <w:spacing w:val="4"/>
                <w:sz w:val="20"/>
                <w:szCs w:val="20"/>
              </w:rPr>
              <w:t>300</w:t>
            </w:r>
            <w:r>
              <w:rPr>
                <w:rFonts w:ascii="宋体" w:hAnsi="宋体" w:eastAsia="宋体" w:cs="宋体"/>
                <w:spacing w:val="4"/>
                <w:sz w:val="20"/>
                <w:szCs w:val="20"/>
              </w:rPr>
              <w:t>米</w:t>
            </w:r>
            <w:r>
              <w:rPr>
                <w:rFonts w:ascii="宋体" w:hAnsi="宋体" w:eastAsia="宋体" w:cs="宋体"/>
                <w:sz w:val="20"/>
                <w:szCs w:val="20"/>
              </w:rPr>
              <w:t xml:space="preserve"> </w:t>
            </w:r>
            <w:r>
              <w:rPr>
                <w:rFonts w:ascii="宋体" w:hAnsi="宋体" w:eastAsia="宋体" w:cs="宋体"/>
                <w:spacing w:val="1"/>
                <w:sz w:val="20"/>
                <w:szCs w:val="20"/>
              </w:rPr>
              <w:t>范围内的区域</w:t>
            </w:r>
            <w:r>
              <w:rPr>
                <w:rFonts w:ascii="宋体" w:hAnsi="宋体" w:eastAsia="宋体" w:cs="宋体"/>
                <w:sz w:val="20"/>
                <w:szCs w:val="20"/>
              </w:rPr>
              <w:t>。</w:t>
            </w:r>
          </w:p>
          <w:p w14:paraId="1F037001">
            <w:pPr>
              <w:spacing w:before="22" w:line="247" w:lineRule="auto"/>
              <w:ind w:left="216" w:right="116" w:firstLine="1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 县</w:t>
            </w:r>
            <w:r>
              <w:rPr>
                <w:rFonts w:ascii="宋体" w:hAnsi="宋体" w:eastAsia="宋体" w:cs="宋体"/>
                <w:spacing w:val="3"/>
                <w:sz w:val="20"/>
                <w:szCs w:val="20"/>
              </w:rPr>
              <w:t>域内茫溪河 (新桥水坝至茫溪河出境断面)</w:t>
            </w:r>
            <w:r>
              <w:rPr>
                <w:rFonts w:ascii="宋体" w:hAnsi="宋体" w:eastAsia="宋体" w:cs="宋体"/>
                <w:sz w:val="20"/>
                <w:szCs w:val="20"/>
              </w:rPr>
              <w:t xml:space="preserve"> </w:t>
            </w:r>
            <w:r>
              <w:rPr>
                <w:rFonts w:ascii="宋体" w:hAnsi="宋体" w:eastAsia="宋体" w:cs="宋体"/>
                <w:spacing w:val="1"/>
                <w:sz w:val="20"/>
                <w:szCs w:val="20"/>
              </w:rPr>
              <w:t>干流两岸纵深外延</w:t>
            </w:r>
            <w:r>
              <w:rPr>
                <w:rFonts w:ascii="Times New Roman" w:hAnsi="Times New Roman" w:eastAsia="Times New Roman" w:cs="Times New Roman"/>
                <w:spacing w:val="1"/>
                <w:sz w:val="20"/>
                <w:szCs w:val="20"/>
              </w:rPr>
              <w:t>500</w:t>
            </w:r>
            <w:r>
              <w:rPr>
                <w:rFonts w:ascii="宋体" w:hAnsi="宋体" w:eastAsia="宋体" w:cs="宋体"/>
                <w:spacing w:val="1"/>
                <w:sz w:val="20"/>
                <w:szCs w:val="20"/>
              </w:rPr>
              <w:t>米范围内区域，</w:t>
            </w:r>
            <w:r>
              <w:rPr>
                <w:rFonts w:ascii="宋体" w:hAnsi="宋体" w:eastAsia="宋体" w:cs="宋体"/>
                <w:sz w:val="20"/>
                <w:szCs w:val="20"/>
              </w:rPr>
              <w:t xml:space="preserve">主要支流(研 </w:t>
            </w:r>
            <w:r>
              <w:rPr>
                <w:rFonts w:ascii="宋体" w:hAnsi="宋体" w:eastAsia="宋体" w:cs="宋体"/>
                <w:spacing w:val="-8"/>
                <w:sz w:val="20"/>
                <w:szCs w:val="20"/>
              </w:rPr>
              <w:t>溪河</w:t>
            </w:r>
            <w:r>
              <w:rPr>
                <w:rFonts w:ascii="宋体" w:hAnsi="宋体" w:eastAsia="宋体" w:cs="宋体"/>
                <w:spacing w:val="-4"/>
                <w:sz w:val="20"/>
                <w:szCs w:val="20"/>
              </w:rPr>
              <w:t>、赛公河、殷家河、东林河、月波河、黄钵河、</w:t>
            </w:r>
            <w:r>
              <w:rPr>
                <w:rFonts w:ascii="宋体" w:hAnsi="宋体" w:eastAsia="宋体" w:cs="宋体"/>
                <w:sz w:val="20"/>
                <w:szCs w:val="20"/>
              </w:rPr>
              <w:t xml:space="preserve"> </w:t>
            </w:r>
            <w:r>
              <w:rPr>
                <w:rFonts w:ascii="宋体" w:hAnsi="宋体" w:eastAsia="宋体" w:cs="宋体"/>
                <w:spacing w:val="1"/>
                <w:sz w:val="20"/>
                <w:szCs w:val="20"/>
              </w:rPr>
              <w:t>磨池河、泥溪河、球溪河、花椒溪、麻柳沟)</w:t>
            </w:r>
            <w:r>
              <w:rPr>
                <w:rFonts w:ascii="宋体" w:hAnsi="宋体" w:eastAsia="宋体" w:cs="宋体"/>
                <w:sz w:val="20"/>
                <w:szCs w:val="20"/>
              </w:rPr>
              <w:t xml:space="preserve"> 两岸 </w:t>
            </w:r>
            <w:r>
              <w:rPr>
                <w:rFonts w:ascii="宋体" w:hAnsi="宋体" w:eastAsia="宋体" w:cs="宋体"/>
                <w:spacing w:val="2"/>
                <w:sz w:val="20"/>
                <w:szCs w:val="20"/>
              </w:rPr>
              <w:t>纵深外延</w:t>
            </w:r>
            <w:r>
              <w:rPr>
                <w:rFonts w:ascii="Times New Roman" w:hAnsi="Times New Roman" w:eastAsia="Times New Roman" w:cs="Times New Roman"/>
                <w:spacing w:val="2"/>
                <w:sz w:val="20"/>
                <w:szCs w:val="20"/>
              </w:rPr>
              <w:t>300</w:t>
            </w:r>
            <w:r>
              <w:rPr>
                <w:rFonts w:ascii="宋体" w:hAnsi="宋体" w:eastAsia="宋体" w:cs="宋体"/>
                <w:spacing w:val="2"/>
                <w:sz w:val="20"/>
                <w:szCs w:val="20"/>
              </w:rPr>
              <w:t>米范</w:t>
            </w:r>
            <w:r>
              <w:rPr>
                <w:rFonts w:ascii="宋体" w:hAnsi="宋体" w:eastAsia="宋体" w:cs="宋体"/>
                <w:spacing w:val="1"/>
                <w:sz w:val="20"/>
                <w:szCs w:val="20"/>
              </w:rPr>
              <w:t>围内的区域。</w:t>
            </w:r>
          </w:p>
          <w:p w14:paraId="61EC8EB5">
            <w:pPr>
              <w:spacing w:before="28" w:line="239" w:lineRule="auto"/>
              <w:ind w:left="217" w:right="198" w:firstLine="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7"/>
                <w:sz w:val="20"/>
                <w:szCs w:val="20"/>
              </w:rPr>
              <w:t>4</w:t>
            </w:r>
            <w:r>
              <w:rPr>
                <w:rFonts w:ascii="宋体" w:hAnsi="宋体" w:eastAsia="宋体" w:cs="宋体"/>
                <w:spacing w:val="4"/>
                <w:sz w:val="20"/>
                <w:szCs w:val="20"/>
              </w:rPr>
              <w:t>) 工业集中区规划区及其外延</w:t>
            </w:r>
            <w:r>
              <w:rPr>
                <w:rFonts w:ascii="Times New Roman" w:hAnsi="Times New Roman" w:eastAsia="Times New Roman" w:cs="Times New Roman"/>
                <w:spacing w:val="4"/>
                <w:sz w:val="20"/>
                <w:szCs w:val="20"/>
              </w:rPr>
              <w:t>200</w:t>
            </w:r>
            <w:r>
              <w:rPr>
                <w:rFonts w:ascii="宋体" w:hAnsi="宋体" w:eastAsia="宋体" w:cs="宋体"/>
                <w:spacing w:val="4"/>
                <w:sz w:val="20"/>
                <w:szCs w:val="20"/>
              </w:rPr>
              <w:t>米范围内的区</w:t>
            </w:r>
            <w:r>
              <w:rPr>
                <w:rFonts w:ascii="宋体" w:hAnsi="宋体" w:eastAsia="宋体" w:cs="宋体"/>
                <w:sz w:val="20"/>
                <w:szCs w:val="20"/>
              </w:rPr>
              <w:t xml:space="preserve"> 域。</w:t>
            </w:r>
          </w:p>
          <w:p w14:paraId="4B2BA65F">
            <w:pPr>
              <w:spacing w:before="26" w:line="239" w:lineRule="auto"/>
              <w:ind w:left="222" w:right="198" w:firstLine="5"/>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7"/>
                <w:sz w:val="20"/>
                <w:szCs w:val="20"/>
              </w:rPr>
              <w:t>5</w:t>
            </w:r>
            <w:r>
              <w:rPr>
                <w:rFonts w:ascii="宋体" w:hAnsi="宋体" w:eastAsia="宋体" w:cs="宋体"/>
                <w:spacing w:val="4"/>
                <w:sz w:val="20"/>
                <w:szCs w:val="20"/>
              </w:rPr>
              <w:t>) 县域内通乡公路以上主要交通干线两侧</w:t>
            </w:r>
            <w:r>
              <w:rPr>
                <w:rFonts w:ascii="Times New Roman" w:hAnsi="Times New Roman" w:eastAsia="Times New Roman" w:cs="Times New Roman"/>
                <w:spacing w:val="4"/>
                <w:sz w:val="20"/>
                <w:szCs w:val="20"/>
              </w:rPr>
              <w:t>200</w:t>
            </w:r>
            <w:r>
              <w:rPr>
                <w:rFonts w:ascii="宋体" w:hAnsi="宋体" w:eastAsia="宋体" w:cs="宋体"/>
                <w:spacing w:val="4"/>
                <w:sz w:val="20"/>
                <w:szCs w:val="20"/>
              </w:rPr>
              <w:t>米</w:t>
            </w:r>
            <w:r>
              <w:rPr>
                <w:rFonts w:ascii="宋体" w:hAnsi="宋体" w:eastAsia="宋体" w:cs="宋体"/>
                <w:sz w:val="20"/>
                <w:szCs w:val="20"/>
              </w:rPr>
              <w:t xml:space="preserve"> </w:t>
            </w:r>
            <w:r>
              <w:rPr>
                <w:rFonts w:ascii="宋体" w:hAnsi="宋体" w:eastAsia="宋体" w:cs="宋体"/>
                <w:spacing w:val="1"/>
                <w:sz w:val="20"/>
                <w:szCs w:val="20"/>
              </w:rPr>
              <w:t>范围内的区域</w:t>
            </w:r>
            <w:r>
              <w:rPr>
                <w:rFonts w:ascii="宋体" w:hAnsi="宋体" w:eastAsia="宋体" w:cs="宋体"/>
                <w:sz w:val="20"/>
                <w:szCs w:val="20"/>
              </w:rPr>
              <w:t>。</w:t>
            </w:r>
          </w:p>
          <w:p w14:paraId="649A6493">
            <w:pPr>
              <w:spacing w:before="27" w:line="239" w:lineRule="auto"/>
              <w:ind w:left="220" w:right="198" w:firstLine="6"/>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6</w:t>
            </w:r>
            <w:r>
              <w:rPr>
                <w:rFonts w:ascii="宋体" w:hAnsi="宋体" w:eastAsia="宋体" w:cs="宋体"/>
                <w:spacing w:val="9"/>
                <w:sz w:val="20"/>
                <w:szCs w:val="20"/>
              </w:rPr>
              <w:t>) 根据城镇发展规划和区域环境总量控制及污</w:t>
            </w:r>
            <w:r>
              <w:rPr>
                <w:rFonts w:ascii="宋体" w:hAnsi="宋体" w:eastAsia="宋体" w:cs="宋体"/>
                <w:sz w:val="20"/>
                <w:szCs w:val="20"/>
              </w:rPr>
              <w:t xml:space="preserve"> </w:t>
            </w:r>
            <w:r>
              <w:rPr>
                <w:rFonts w:ascii="宋体" w:hAnsi="宋体" w:eastAsia="宋体" w:cs="宋体"/>
                <w:spacing w:val="2"/>
                <w:sz w:val="20"/>
                <w:szCs w:val="20"/>
              </w:rPr>
              <w:t>染物排放总量控制要求，应当限</w:t>
            </w:r>
            <w:r>
              <w:rPr>
                <w:rFonts w:ascii="宋体" w:hAnsi="宋体" w:eastAsia="宋体" w:cs="宋体"/>
                <w:spacing w:val="1"/>
                <w:sz w:val="20"/>
                <w:szCs w:val="20"/>
              </w:rPr>
              <w:t>制养殖的区域。</w:t>
            </w:r>
          </w:p>
          <w:p w14:paraId="121141FB">
            <w:pPr>
              <w:spacing w:before="27" w:line="221" w:lineRule="auto"/>
              <w:ind w:left="227"/>
              <w:rPr>
                <w:rFonts w:ascii="宋体" w:hAnsi="宋体" w:eastAsia="宋体" w:cs="宋体"/>
                <w:sz w:val="20"/>
                <w:szCs w:val="20"/>
              </w:rPr>
            </w:pPr>
            <w:r>
              <w:rPr>
                <w:rFonts w:ascii="宋体" w:hAnsi="宋体" w:eastAsia="宋体" w:cs="宋体"/>
                <w:spacing w:val="12"/>
                <w:sz w:val="20"/>
                <w:szCs w:val="20"/>
              </w:rPr>
              <w:t>(</w:t>
            </w:r>
            <w:r>
              <w:rPr>
                <w:rFonts w:ascii="Times New Roman" w:hAnsi="Times New Roman" w:eastAsia="Times New Roman" w:cs="Times New Roman"/>
                <w:spacing w:val="8"/>
                <w:sz w:val="20"/>
                <w:szCs w:val="20"/>
              </w:rPr>
              <w:t>7</w:t>
            </w:r>
            <w:r>
              <w:rPr>
                <w:rFonts w:ascii="宋体" w:hAnsi="宋体" w:eastAsia="宋体" w:cs="宋体"/>
                <w:spacing w:val="6"/>
                <w:sz w:val="20"/>
                <w:szCs w:val="20"/>
              </w:rPr>
              <w:t>) 法律、法规规定的其他限养区域。</w:t>
            </w:r>
          </w:p>
        </w:tc>
        <w:tc>
          <w:tcPr>
            <w:tcW w:w="3894" w:type="dxa"/>
          </w:tcPr>
          <w:p w14:paraId="3B1D0736">
            <w:pPr>
              <w:spacing w:line="256" w:lineRule="auto"/>
            </w:pPr>
          </w:p>
          <w:p w14:paraId="63AA71F7">
            <w:pPr>
              <w:spacing w:line="256" w:lineRule="auto"/>
            </w:pPr>
          </w:p>
          <w:p w14:paraId="1CE2F849">
            <w:pPr>
              <w:spacing w:before="65" w:line="251" w:lineRule="auto"/>
              <w:ind w:left="214" w:right="114" w:firstLine="10"/>
              <w:rPr>
                <w:rFonts w:ascii="宋体" w:hAnsi="宋体" w:eastAsia="宋体" w:cs="宋体"/>
                <w:sz w:val="20"/>
                <w:szCs w:val="20"/>
              </w:rPr>
            </w:pPr>
            <w:r>
              <w:rPr>
                <w:rFonts w:ascii="宋体" w:hAnsi="宋体" w:eastAsia="宋体" w:cs="宋体"/>
                <w:spacing w:val="14"/>
                <w:sz w:val="20"/>
                <w:szCs w:val="20"/>
              </w:rPr>
              <w:t>(</w:t>
            </w:r>
            <w:r>
              <w:rPr>
                <w:rFonts w:ascii="Times New Roman" w:hAnsi="Times New Roman" w:eastAsia="Times New Roman" w:cs="Times New Roman"/>
                <w:spacing w:val="9"/>
                <w:sz w:val="20"/>
                <w:szCs w:val="20"/>
              </w:rPr>
              <w:t>1</w:t>
            </w:r>
            <w:r>
              <w:rPr>
                <w:rFonts w:ascii="宋体" w:hAnsi="宋体" w:eastAsia="宋体" w:cs="宋体"/>
                <w:spacing w:val="7"/>
                <w:sz w:val="20"/>
                <w:szCs w:val="20"/>
              </w:rPr>
              <w:t>) 本项目不在县城建成区、乡 (镇)</w:t>
            </w:r>
            <w:r>
              <w:rPr>
                <w:rFonts w:ascii="宋体" w:hAnsi="宋体" w:eastAsia="宋体" w:cs="宋体"/>
                <w:sz w:val="20"/>
                <w:szCs w:val="20"/>
              </w:rPr>
              <w:t xml:space="preserve"> </w:t>
            </w:r>
            <w:r>
              <w:rPr>
                <w:rFonts w:ascii="宋体" w:hAnsi="宋体" w:eastAsia="宋体" w:cs="宋体"/>
                <w:spacing w:val="2"/>
                <w:sz w:val="20"/>
                <w:szCs w:val="20"/>
              </w:rPr>
              <w:t>城镇建成区外规划区，行政村人口集</w:t>
            </w:r>
            <w:r>
              <w:rPr>
                <w:rFonts w:ascii="宋体" w:hAnsi="宋体" w:eastAsia="宋体" w:cs="宋体"/>
                <w:spacing w:val="1"/>
                <w:sz w:val="20"/>
                <w:szCs w:val="20"/>
              </w:rPr>
              <w:t>居</w:t>
            </w:r>
            <w:r>
              <w:rPr>
                <w:rFonts w:ascii="宋体" w:hAnsi="宋体" w:eastAsia="宋体" w:cs="宋体"/>
                <w:sz w:val="20"/>
                <w:szCs w:val="20"/>
              </w:rPr>
              <w:t xml:space="preserve"> </w:t>
            </w:r>
            <w:r>
              <w:rPr>
                <w:rFonts w:ascii="宋体" w:hAnsi="宋体" w:eastAsia="宋体" w:cs="宋体"/>
                <w:spacing w:val="-2"/>
                <w:sz w:val="20"/>
                <w:szCs w:val="20"/>
              </w:rPr>
              <w:t>点外延</w:t>
            </w:r>
            <w:r>
              <w:rPr>
                <w:rFonts w:ascii="Times New Roman" w:hAnsi="Times New Roman" w:eastAsia="Times New Roman" w:cs="Times New Roman"/>
                <w:spacing w:val="-2"/>
                <w:sz w:val="20"/>
                <w:szCs w:val="20"/>
              </w:rPr>
              <w:t>20</w:t>
            </w:r>
            <w:r>
              <w:rPr>
                <w:rFonts w:ascii="Times New Roman" w:hAnsi="Times New Roman" w:eastAsia="Times New Roman" w:cs="Times New Roman"/>
                <w:spacing w:val="-1"/>
                <w:sz w:val="20"/>
                <w:szCs w:val="20"/>
              </w:rPr>
              <w:t>0</w:t>
            </w:r>
            <w:r>
              <w:rPr>
                <w:rFonts w:ascii="宋体" w:hAnsi="宋体" w:eastAsia="宋体" w:cs="宋体"/>
                <w:spacing w:val="-1"/>
                <w:sz w:val="20"/>
                <w:szCs w:val="20"/>
              </w:rPr>
              <w:t>米范围内的区域；周边无集中</w:t>
            </w:r>
            <w:r>
              <w:rPr>
                <w:rFonts w:ascii="宋体" w:hAnsi="宋体" w:eastAsia="宋体" w:cs="宋体"/>
                <w:sz w:val="20"/>
                <w:szCs w:val="20"/>
              </w:rPr>
              <w:t xml:space="preserve"> </w:t>
            </w:r>
            <w:r>
              <w:rPr>
                <w:rFonts w:ascii="宋体" w:hAnsi="宋体" w:eastAsia="宋体" w:cs="宋体"/>
                <w:spacing w:val="2"/>
                <w:sz w:val="20"/>
                <w:szCs w:val="20"/>
              </w:rPr>
              <w:t>式饮用水水源地保护区</w:t>
            </w:r>
            <w:r>
              <w:rPr>
                <w:rFonts w:ascii="宋体" w:hAnsi="宋体" w:eastAsia="宋体" w:cs="宋体"/>
                <w:spacing w:val="1"/>
                <w:sz w:val="20"/>
                <w:szCs w:val="20"/>
              </w:rPr>
              <w:t>禁养区；</w:t>
            </w:r>
          </w:p>
          <w:p w14:paraId="4A5BBD0B">
            <w:pPr>
              <w:spacing w:line="251" w:lineRule="auto"/>
              <w:ind w:left="214" w:right="131" w:firstLine="10"/>
              <w:rPr>
                <w:rFonts w:ascii="宋体" w:hAnsi="宋体" w:eastAsia="宋体" w:cs="宋体"/>
                <w:sz w:val="20"/>
                <w:szCs w:val="20"/>
              </w:rPr>
            </w:pPr>
            <w:r>
              <w:rPr>
                <w:rFonts w:ascii="宋体" w:hAnsi="宋体" w:eastAsia="宋体" w:cs="宋体"/>
                <w:spacing w:val="19"/>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 本项目位于茫溪河 (新桥水坝至</w:t>
            </w:r>
            <w:r>
              <w:rPr>
                <w:rFonts w:ascii="宋体" w:hAnsi="宋体" w:eastAsia="宋体" w:cs="宋体"/>
                <w:sz w:val="20"/>
                <w:szCs w:val="20"/>
              </w:rPr>
              <w:t xml:space="preserve"> </w:t>
            </w:r>
            <w:r>
              <w:rPr>
                <w:rFonts w:ascii="宋体" w:hAnsi="宋体" w:eastAsia="宋体" w:cs="宋体"/>
                <w:spacing w:val="5"/>
                <w:sz w:val="20"/>
                <w:szCs w:val="20"/>
              </w:rPr>
              <w:t>茫</w:t>
            </w:r>
            <w:r>
              <w:rPr>
                <w:rFonts w:ascii="宋体" w:hAnsi="宋体" w:eastAsia="宋体" w:cs="宋体"/>
                <w:spacing w:val="4"/>
                <w:sz w:val="20"/>
                <w:szCs w:val="20"/>
              </w:rPr>
              <w:t>溪河出境断面)干流两岸纵深外延</w:t>
            </w:r>
            <w:r>
              <w:rPr>
                <w:rFonts w:ascii="Times New Roman" w:hAnsi="Times New Roman" w:eastAsia="Times New Roman" w:cs="Times New Roman"/>
                <w:spacing w:val="4"/>
                <w:sz w:val="20"/>
                <w:szCs w:val="20"/>
              </w:rPr>
              <w:t>500</w:t>
            </w:r>
            <w:r>
              <w:rPr>
                <w:rFonts w:ascii="Times New Roman" w:hAnsi="Times New Roman" w:eastAsia="Times New Roman" w:cs="Times New Roman"/>
                <w:sz w:val="20"/>
                <w:szCs w:val="20"/>
              </w:rPr>
              <w:t xml:space="preserve"> </w:t>
            </w:r>
            <w:r>
              <w:rPr>
                <w:rFonts w:ascii="宋体" w:hAnsi="宋体" w:eastAsia="宋体" w:cs="宋体"/>
                <w:spacing w:val="-4"/>
                <w:sz w:val="20"/>
                <w:szCs w:val="20"/>
              </w:rPr>
              <w:t>米</w:t>
            </w:r>
            <w:r>
              <w:rPr>
                <w:rFonts w:ascii="宋体" w:hAnsi="宋体" w:eastAsia="宋体" w:cs="宋体"/>
                <w:spacing w:val="-3"/>
                <w:sz w:val="20"/>
                <w:szCs w:val="20"/>
              </w:rPr>
              <w:t>范围外，主要支流 (研溪河、赛公河、</w:t>
            </w:r>
            <w:r>
              <w:rPr>
                <w:rFonts w:ascii="宋体" w:hAnsi="宋体" w:eastAsia="宋体" w:cs="宋体"/>
                <w:sz w:val="20"/>
                <w:szCs w:val="20"/>
              </w:rPr>
              <w:t xml:space="preserve"> </w:t>
            </w:r>
            <w:r>
              <w:rPr>
                <w:rFonts w:ascii="宋体" w:hAnsi="宋体" w:eastAsia="宋体" w:cs="宋体"/>
                <w:spacing w:val="2"/>
                <w:sz w:val="20"/>
                <w:szCs w:val="20"/>
              </w:rPr>
              <w:t>殷家河、东林河、月波河、黄钵河、</w:t>
            </w:r>
            <w:r>
              <w:rPr>
                <w:rFonts w:ascii="宋体" w:hAnsi="宋体" w:eastAsia="宋体" w:cs="宋体"/>
                <w:spacing w:val="1"/>
                <w:sz w:val="20"/>
                <w:szCs w:val="20"/>
              </w:rPr>
              <w:t>磨</w:t>
            </w:r>
            <w:r>
              <w:rPr>
                <w:rFonts w:ascii="宋体" w:hAnsi="宋体" w:eastAsia="宋体" w:cs="宋体"/>
                <w:sz w:val="20"/>
                <w:szCs w:val="20"/>
              </w:rPr>
              <w:t xml:space="preserve"> </w:t>
            </w:r>
            <w:r>
              <w:rPr>
                <w:rFonts w:ascii="宋体" w:hAnsi="宋体" w:eastAsia="宋体" w:cs="宋体"/>
                <w:spacing w:val="2"/>
                <w:sz w:val="20"/>
                <w:szCs w:val="20"/>
              </w:rPr>
              <w:t>池河、泥溪河、球溪河、花椒溪、麻</w:t>
            </w:r>
            <w:r>
              <w:rPr>
                <w:rFonts w:ascii="宋体" w:hAnsi="宋体" w:eastAsia="宋体" w:cs="宋体"/>
                <w:spacing w:val="1"/>
                <w:sz w:val="20"/>
                <w:szCs w:val="20"/>
              </w:rPr>
              <w:t>柳</w:t>
            </w:r>
            <w:r>
              <w:rPr>
                <w:rFonts w:ascii="宋体" w:hAnsi="宋体" w:eastAsia="宋体" w:cs="宋体"/>
                <w:sz w:val="20"/>
                <w:szCs w:val="20"/>
              </w:rPr>
              <w:t xml:space="preserve"> </w:t>
            </w:r>
            <w:r>
              <w:rPr>
                <w:rFonts w:ascii="宋体" w:hAnsi="宋体" w:eastAsia="宋体" w:cs="宋体"/>
                <w:spacing w:val="2"/>
                <w:sz w:val="20"/>
                <w:szCs w:val="20"/>
              </w:rPr>
              <w:t>沟) 两岸纵深外</w:t>
            </w:r>
            <w:r>
              <w:rPr>
                <w:rFonts w:ascii="宋体" w:hAnsi="宋体" w:eastAsia="宋体" w:cs="宋体"/>
                <w:spacing w:val="1"/>
                <w:sz w:val="20"/>
                <w:szCs w:val="20"/>
              </w:rPr>
              <w:t>延</w:t>
            </w:r>
            <w:r>
              <w:rPr>
                <w:rFonts w:ascii="Times New Roman" w:hAnsi="Times New Roman" w:eastAsia="Times New Roman" w:cs="Times New Roman"/>
                <w:spacing w:val="1"/>
                <w:sz w:val="20"/>
                <w:szCs w:val="20"/>
              </w:rPr>
              <w:t>300</w:t>
            </w:r>
            <w:r>
              <w:rPr>
                <w:rFonts w:ascii="宋体" w:hAnsi="宋体" w:eastAsia="宋体" w:cs="宋体"/>
                <w:spacing w:val="1"/>
                <w:sz w:val="20"/>
                <w:szCs w:val="20"/>
              </w:rPr>
              <w:t>米范围外；</w:t>
            </w:r>
          </w:p>
          <w:p w14:paraId="3C703580">
            <w:pPr>
              <w:spacing w:line="262" w:lineRule="auto"/>
              <w:ind w:left="112" w:right="47" w:firstLine="220"/>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3</w:t>
            </w:r>
            <w:r>
              <w:rPr>
                <w:rFonts w:ascii="宋体" w:hAnsi="宋体" w:eastAsia="宋体" w:cs="宋体"/>
                <w:spacing w:val="9"/>
                <w:sz w:val="20"/>
                <w:szCs w:val="20"/>
              </w:rPr>
              <w:t>)</w:t>
            </w:r>
            <w:r>
              <w:rPr>
                <w:rFonts w:ascii="宋体" w:hAnsi="宋体" w:eastAsia="宋体" w:cs="宋体"/>
                <w:spacing w:val="5"/>
                <w:sz w:val="20"/>
                <w:szCs w:val="20"/>
              </w:rPr>
              <w:t xml:space="preserve"> 本项目周边无工业集中区规划区，</w:t>
            </w:r>
            <w:r>
              <w:rPr>
                <w:rFonts w:ascii="宋体" w:hAnsi="宋体" w:eastAsia="宋体" w:cs="宋体"/>
                <w:sz w:val="20"/>
                <w:szCs w:val="20"/>
              </w:rPr>
              <w:t xml:space="preserve"> </w:t>
            </w:r>
            <w:r>
              <w:rPr>
                <w:rFonts w:ascii="宋体" w:hAnsi="宋体" w:eastAsia="宋体" w:cs="宋体"/>
                <w:spacing w:val="8"/>
                <w:sz w:val="20"/>
                <w:szCs w:val="20"/>
              </w:rPr>
              <w:t>距</w:t>
            </w:r>
            <w:r>
              <w:rPr>
                <w:rFonts w:ascii="宋体" w:hAnsi="宋体" w:eastAsia="宋体" w:cs="宋体"/>
                <w:spacing w:val="5"/>
                <w:sz w:val="20"/>
                <w:szCs w:val="20"/>
              </w:rPr>
              <w:t>离</w:t>
            </w:r>
            <w:r>
              <w:rPr>
                <w:rFonts w:ascii="宋体" w:hAnsi="宋体" w:eastAsia="宋体" w:cs="宋体"/>
                <w:spacing w:val="4"/>
                <w:sz w:val="20"/>
                <w:szCs w:val="20"/>
              </w:rPr>
              <w:t>县域内通乡公路以上主要交通干线两</w:t>
            </w:r>
            <w:r>
              <w:rPr>
                <w:rFonts w:ascii="宋体" w:hAnsi="宋体" w:eastAsia="宋体" w:cs="宋体"/>
                <w:sz w:val="20"/>
                <w:szCs w:val="20"/>
              </w:rPr>
              <w:t xml:space="preserve"> </w:t>
            </w:r>
            <w:r>
              <w:rPr>
                <w:rFonts w:ascii="宋体" w:hAnsi="宋体" w:eastAsia="宋体" w:cs="宋体"/>
                <w:spacing w:val="2"/>
                <w:sz w:val="20"/>
                <w:szCs w:val="20"/>
              </w:rPr>
              <w:t>侧</w:t>
            </w:r>
            <w:r>
              <w:rPr>
                <w:rFonts w:ascii="Times New Roman" w:hAnsi="Times New Roman" w:eastAsia="Times New Roman" w:cs="Times New Roman"/>
                <w:spacing w:val="2"/>
                <w:sz w:val="20"/>
                <w:szCs w:val="20"/>
              </w:rPr>
              <w:t>200</w:t>
            </w:r>
            <w:r>
              <w:rPr>
                <w:rFonts w:ascii="宋体" w:hAnsi="宋体" w:eastAsia="宋体" w:cs="宋体"/>
                <w:spacing w:val="2"/>
                <w:sz w:val="20"/>
                <w:szCs w:val="20"/>
              </w:rPr>
              <w:t>米</w:t>
            </w:r>
            <w:r>
              <w:rPr>
                <w:rFonts w:ascii="宋体" w:hAnsi="宋体" w:eastAsia="宋体" w:cs="宋体"/>
                <w:spacing w:val="1"/>
                <w:sz w:val="20"/>
                <w:szCs w:val="20"/>
              </w:rPr>
              <w:t>范围外</w:t>
            </w:r>
          </w:p>
        </w:tc>
        <w:tc>
          <w:tcPr>
            <w:tcW w:w="982" w:type="dxa"/>
            <w:tcBorders>
              <w:right w:val="nil"/>
            </w:tcBorders>
          </w:tcPr>
          <w:p w14:paraId="37C1358F">
            <w:pPr>
              <w:spacing w:line="266" w:lineRule="auto"/>
            </w:pPr>
          </w:p>
          <w:p w14:paraId="0A30826C">
            <w:pPr>
              <w:spacing w:line="266" w:lineRule="auto"/>
            </w:pPr>
          </w:p>
          <w:p w14:paraId="02082A0D">
            <w:pPr>
              <w:spacing w:line="267" w:lineRule="auto"/>
            </w:pPr>
          </w:p>
          <w:p w14:paraId="0E41ECC6">
            <w:pPr>
              <w:spacing w:line="267" w:lineRule="auto"/>
            </w:pPr>
          </w:p>
          <w:p w14:paraId="12251651">
            <w:pPr>
              <w:spacing w:line="267" w:lineRule="auto"/>
            </w:pPr>
          </w:p>
          <w:p w14:paraId="33D5D640">
            <w:pPr>
              <w:spacing w:line="267" w:lineRule="auto"/>
            </w:pPr>
          </w:p>
          <w:p w14:paraId="2D893143">
            <w:pPr>
              <w:spacing w:line="267" w:lineRule="auto"/>
            </w:pPr>
          </w:p>
          <w:p w14:paraId="0333B348">
            <w:pPr>
              <w:spacing w:line="267" w:lineRule="auto"/>
            </w:pPr>
          </w:p>
          <w:p w14:paraId="71717FC2">
            <w:pPr>
              <w:spacing w:before="65" w:line="228" w:lineRule="auto"/>
              <w:ind w:left="291"/>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r w14:paraId="2E7418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4836" w:type="dxa"/>
            <w:tcBorders>
              <w:left w:val="nil"/>
            </w:tcBorders>
          </w:tcPr>
          <w:p w14:paraId="55DE7E2E">
            <w:pPr>
              <w:spacing w:before="38" w:line="228" w:lineRule="auto"/>
              <w:ind w:left="221"/>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宜</w:t>
            </w:r>
            <w:r>
              <w:rPr>
                <w:rFonts w:ascii="宋体" w:hAnsi="宋体" w:eastAsia="宋体" w:cs="宋体"/>
                <w:spacing w:val="3"/>
                <w:sz w:val="20"/>
                <w:szCs w:val="20"/>
                <w14:textOutline w14:w="3797" w14:cap="sq" w14:cmpd="sng" w14:algn="ctr">
                  <w14:solidFill>
                    <w14:srgbClr w14:val="000000"/>
                  </w14:solidFill>
                  <w14:prstDash w14:val="solid"/>
                  <w14:bevel/>
                </w14:textOutline>
              </w:rPr>
              <w:t>养区：</w:t>
            </w:r>
          </w:p>
          <w:p w14:paraId="539B7DE1">
            <w:pPr>
              <w:spacing w:before="24" w:line="227" w:lineRule="auto"/>
              <w:ind w:left="117"/>
              <w:rPr>
                <w:rFonts w:ascii="宋体" w:hAnsi="宋体" w:eastAsia="宋体" w:cs="宋体"/>
                <w:sz w:val="20"/>
                <w:szCs w:val="20"/>
              </w:rPr>
            </w:pPr>
            <w:r>
              <w:rPr>
                <w:rFonts w:ascii="宋体" w:hAnsi="宋体" w:eastAsia="宋体" w:cs="宋体"/>
                <w:spacing w:val="18"/>
                <w:sz w:val="20"/>
                <w:szCs w:val="20"/>
              </w:rPr>
              <w:t>本</w:t>
            </w:r>
            <w:r>
              <w:rPr>
                <w:rFonts w:ascii="宋体" w:hAnsi="宋体" w:eastAsia="宋体" w:cs="宋体"/>
                <w:spacing w:val="10"/>
                <w:sz w:val="20"/>
                <w:szCs w:val="20"/>
              </w:rPr>
              <w:t>县</w:t>
            </w:r>
            <w:r>
              <w:rPr>
                <w:rFonts w:ascii="宋体" w:hAnsi="宋体" w:eastAsia="宋体" w:cs="宋体"/>
                <w:spacing w:val="9"/>
                <w:sz w:val="20"/>
                <w:szCs w:val="20"/>
              </w:rPr>
              <w:t>行政区域内在禁养区、限养区外，符合本县农</w:t>
            </w:r>
          </w:p>
        </w:tc>
        <w:tc>
          <w:tcPr>
            <w:tcW w:w="3894" w:type="dxa"/>
          </w:tcPr>
          <w:p w14:paraId="0F391268">
            <w:pPr>
              <w:spacing w:before="38" w:line="260" w:lineRule="auto"/>
              <w:ind w:left="113" w:right="101"/>
              <w:rPr>
                <w:rFonts w:ascii="宋体" w:hAnsi="宋体" w:eastAsia="宋体" w:cs="宋体"/>
                <w:sz w:val="20"/>
                <w:szCs w:val="20"/>
              </w:rPr>
            </w:pPr>
            <w:r>
              <w:rPr>
                <w:rFonts w:ascii="宋体" w:hAnsi="宋体" w:eastAsia="宋体" w:cs="宋体"/>
                <w:spacing w:val="15"/>
                <w:sz w:val="20"/>
                <w:szCs w:val="20"/>
              </w:rPr>
              <w:t>本</w:t>
            </w:r>
            <w:r>
              <w:rPr>
                <w:rFonts w:ascii="宋体" w:hAnsi="宋体" w:eastAsia="宋体" w:cs="宋体"/>
                <w:spacing w:val="9"/>
                <w:sz w:val="20"/>
                <w:szCs w:val="20"/>
              </w:rPr>
              <w:t>项目位于井研县周坡镇周坡村</w:t>
            </w:r>
            <w:r>
              <w:rPr>
                <w:rFonts w:ascii="Times New Roman" w:hAnsi="Times New Roman" w:eastAsia="Times New Roman" w:cs="Times New Roman"/>
                <w:spacing w:val="9"/>
                <w:sz w:val="20"/>
                <w:szCs w:val="20"/>
              </w:rPr>
              <w:t>7</w:t>
            </w:r>
            <w:r>
              <w:rPr>
                <w:rFonts w:ascii="宋体" w:hAnsi="宋体" w:eastAsia="宋体" w:cs="宋体"/>
                <w:spacing w:val="9"/>
                <w:sz w:val="20"/>
                <w:szCs w:val="20"/>
              </w:rPr>
              <w:t>组、龙</w:t>
            </w:r>
            <w:r>
              <w:rPr>
                <w:rFonts w:ascii="宋体" w:hAnsi="宋体" w:eastAsia="宋体" w:cs="宋体"/>
                <w:sz w:val="20"/>
                <w:szCs w:val="20"/>
              </w:rPr>
              <w:t xml:space="preserve"> </w:t>
            </w:r>
            <w:r>
              <w:rPr>
                <w:rFonts w:ascii="宋体" w:hAnsi="宋体" w:eastAsia="宋体" w:cs="宋体"/>
                <w:spacing w:val="18"/>
                <w:sz w:val="20"/>
                <w:szCs w:val="20"/>
              </w:rPr>
              <w:t>桥</w:t>
            </w:r>
            <w:r>
              <w:rPr>
                <w:rFonts w:ascii="宋体" w:hAnsi="宋体" w:eastAsia="宋体" w:cs="宋体"/>
                <w:spacing w:val="11"/>
                <w:sz w:val="20"/>
                <w:szCs w:val="20"/>
              </w:rPr>
              <w:t>村</w:t>
            </w:r>
            <w:r>
              <w:rPr>
                <w:rFonts w:ascii="Times New Roman" w:hAnsi="Times New Roman" w:eastAsia="Times New Roman" w:cs="Times New Roman"/>
                <w:spacing w:val="9"/>
                <w:sz w:val="20"/>
                <w:szCs w:val="20"/>
              </w:rPr>
              <w:t>2</w:t>
            </w:r>
            <w:r>
              <w:rPr>
                <w:rFonts w:ascii="宋体" w:hAnsi="宋体" w:eastAsia="宋体" w:cs="宋体"/>
                <w:spacing w:val="9"/>
                <w:sz w:val="20"/>
                <w:szCs w:val="20"/>
              </w:rPr>
              <w:t>组，位于山区。</w:t>
            </w:r>
            <w:r>
              <w:rPr>
                <w:rFonts w:ascii="宋体" w:hAnsi="宋体" w:eastAsia="宋体" w:cs="宋体"/>
                <w:spacing w:val="9"/>
                <w:sz w:val="20"/>
                <w:szCs w:val="20"/>
                <w:u w:val="single"/>
                <w14:textOutline w14:w="3797" w14:cap="sq" w14:cmpd="sng" w14:algn="ctr">
                  <w14:solidFill>
                    <w14:srgbClr w14:val="000000"/>
                  </w14:solidFill>
                  <w14:prstDash w14:val="solid"/>
                  <w14:bevel/>
                </w14:textOutline>
              </w:rPr>
              <w:t>同时，井研县周坡</w:t>
            </w:r>
          </w:p>
        </w:tc>
        <w:tc>
          <w:tcPr>
            <w:tcW w:w="982" w:type="dxa"/>
            <w:tcBorders>
              <w:right w:val="nil"/>
            </w:tcBorders>
          </w:tcPr>
          <w:p w14:paraId="1B83E850">
            <w:pPr>
              <w:spacing w:before="172" w:line="228" w:lineRule="auto"/>
              <w:ind w:left="291"/>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bl>
    <w:p w14:paraId="36D560F9">
      <w:pPr>
        <w:spacing w:line="125" w:lineRule="exact"/>
        <w:rPr>
          <w:sz w:val="10"/>
        </w:rPr>
      </w:pPr>
    </w:p>
    <w:p w14:paraId="32F5F4DE">
      <w:pPr>
        <w:sectPr>
          <w:headerReference r:id="rId43" w:type="default"/>
          <w:footerReference r:id="rId44" w:type="default"/>
          <w:pgSz w:w="11907" w:h="16840"/>
          <w:pgMar w:top="400" w:right="1046" w:bottom="1277" w:left="1146" w:header="0" w:footer="1114" w:gutter="0"/>
          <w:cols w:space="720" w:num="1"/>
        </w:sectPr>
      </w:pPr>
    </w:p>
    <w:p w14:paraId="20BFBC45">
      <w:pPr>
        <w:spacing w:line="460" w:lineRule="auto"/>
      </w:pPr>
    </w:p>
    <w:p w14:paraId="76A671D0">
      <w:pPr>
        <w:spacing w:before="56" w:line="229" w:lineRule="auto"/>
        <w:ind w:left="520"/>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6A693517">
      <w:pPr>
        <w:spacing w:line="14" w:lineRule="exact"/>
      </w:pP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35"/>
        <w:gridCol w:w="3895"/>
        <w:gridCol w:w="982"/>
      </w:tblGrid>
      <w:tr w14:paraId="7261E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4835" w:type="dxa"/>
            <w:vMerge w:val="restart"/>
            <w:tcBorders>
              <w:left w:val="nil"/>
              <w:bottom w:val="nil"/>
            </w:tcBorders>
          </w:tcPr>
          <w:p w14:paraId="6126AF5C">
            <w:pPr>
              <w:spacing w:before="52" w:line="245" w:lineRule="auto"/>
              <w:ind w:left="115" w:right="106"/>
              <w:rPr>
                <w:rFonts w:ascii="宋体" w:hAnsi="宋体" w:eastAsia="宋体" w:cs="宋体"/>
                <w:sz w:val="20"/>
                <w:szCs w:val="20"/>
              </w:rPr>
            </w:pPr>
            <w:r>
              <w:rPr>
                <w:rFonts w:ascii="宋体" w:hAnsi="宋体" w:eastAsia="宋体" w:cs="宋体"/>
                <w:spacing w:val="18"/>
                <w:sz w:val="20"/>
                <w:szCs w:val="20"/>
              </w:rPr>
              <w:t>业</w:t>
            </w:r>
            <w:r>
              <w:rPr>
                <w:rFonts w:ascii="宋体" w:hAnsi="宋体" w:eastAsia="宋体" w:cs="宋体"/>
                <w:spacing w:val="12"/>
                <w:sz w:val="20"/>
                <w:szCs w:val="20"/>
              </w:rPr>
              <w:t>发</w:t>
            </w:r>
            <w:r>
              <w:rPr>
                <w:rFonts w:ascii="宋体" w:hAnsi="宋体" w:eastAsia="宋体" w:cs="宋体"/>
                <w:spacing w:val="9"/>
                <w:sz w:val="20"/>
                <w:szCs w:val="20"/>
              </w:rPr>
              <w:t>展规划和土地利用总体规划的区域为宜养区。</w:t>
            </w:r>
            <w:r>
              <w:rPr>
                <w:rFonts w:ascii="宋体" w:hAnsi="宋体" w:eastAsia="宋体" w:cs="宋体"/>
                <w:sz w:val="20"/>
                <w:szCs w:val="20"/>
              </w:rPr>
              <w:t xml:space="preserve"> </w:t>
            </w:r>
            <w:r>
              <w:rPr>
                <w:rFonts w:ascii="宋体" w:hAnsi="宋体" w:eastAsia="宋体" w:cs="宋体"/>
                <w:spacing w:val="16"/>
                <w:sz w:val="20"/>
                <w:szCs w:val="20"/>
              </w:rPr>
              <w:t>在</w:t>
            </w:r>
            <w:r>
              <w:rPr>
                <w:rFonts w:ascii="宋体" w:hAnsi="宋体" w:eastAsia="宋体" w:cs="宋体"/>
                <w:spacing w:val="8"/>
                <w:sz w:val="20"/>
                <w:szCs w:val="20"/>
              </w:rPr>
              <w:t>宜养区内新建、改建、扩建畜禽养殖场 (小区)</w:t>
            </w:r>
            <w:r>
              <w:rPr>
                <w:rFonts w:ascii="宋体" w:hAnsi="宋体" w:eastAsia="宋体" w:cs="宋体"/>
                <w:sz w:val="20"/>
                <w:szCs w:val="20"/>
              </w:rPr>
              <w:t xml:space="preserve"> </w:t>
            </w:r>
            <w:r>
              <w:rPr>
                <w:rFonts w:ascii="宋体" w:hAnsi="宋体" w:eastAsia="宋体" w:cs="宋体"/>
                <w:spacing w:val="18"/>
                <w:sz w:val="20"/>
                <w:szCs w:val="20"/>
              </w:rPr>
              <w:t>应</w:t>
            </w:r>
            <w:r>
              <w:rPr>
                <w:rFonts w:ascii="宋体" w:hAnsi="宋体" w:eastAsia="宋体" w:cs="宋体"/>
                <w:spacing w:val="12"/>
                <w:sz w:val="20"/>
                <w:szCs w:val="20"/>
              </w:rPr>
              <w:t>当</w:t>
            </w:r>
            <w:r>
              <w:rPr>
                <w:rFonts w:ascii="宋体" w:hAnsi="宋体" w:eastAsia="宋体" w:cs="宋体"/>
                <w:spacing w:val="9"/>
                <w:sz w:val="20"/>
                <w:szCs w:val="20"/>
              </w:rPr>
              <w:t>符合产业发展政策和当地环境承载量要求，并</w:t>
            </w:r>
            <w:r>
              <w:rPr>
                <w:rFonts w:ascii="宋体" w:hAnsi="宋体" w:eastAsia="宋体" w:cs="宋体"/>
                <w:sz w:val="20"/>
                <w:szCs w:val="20"/>
              </w:rPr>
              <w:t xml:space="preserve"> </w:t>
            </w:r>
            <w:r>
              <w:rPr>
                <w:rFonts w:ascii="宋体" w:hAnsi="宋体" w:eastAsia="宋体" w:cs="宋体"/>
                <w:spacing w:val="10"/>
                <w:sz w:val="20"/>
                <w:szCs w:val="20"/>
              </w:rPr>
              <w:t>合</w:t>
            </w:r>
            <w:r>
              <w:rPr>
                <w:rFonts w:ascii="宋体" w:hAnsi="宋体" w:eastAsia="宋体" w:cs="宋体"/>
                <w:spacing w:val="9"/>
                <w:sz w:val="20"/>
                <w:szCs w:val="20"/>
              </w:rPr>
              <w:t>理布局，完善相关手续，进行标准化养殖。</w:t>
            </w:r>
          </w:p>
        </w:tc>
        <w:tc>
          <w:tcPr>
            <w:tcW w:w="3895" w:type="dxa"/>
          </w:tcPr>
          <w:p w14:paraId="24224DDE">
            <w:pPr>
              <w:spacing w:before="52" w:line="186" w:lineRule="auto"/>
              <w:ind w:left="114"/>
              <w:rPr>
                <w:rFonts w:ascii="宋体" w:hAnsi="宋体" w:eastAsia="宋体" w:cs="宋体"/>
                <w:sz w:val="20"/>
                <w:szCs w:val="20"/>
              </w:rPr>
            </w:pPr>
            <w:r>
              <w:rPr>
                <w:rFonts w:ascii="宋体" w:hAnsi="宋体" w:eastAsia="宋体" w:cs="宋体"/>
                <w:spacing w:val="25"/>
                <w:sz w:val="20"/>
                <w:szCs w:val="20"/>
                <w14:textOutline w14:w="3657" w14:cap="sq" w14:cmpd="sng" w14:algn="ctr">
                  <w14:solidFill>
                    <w14:srgbClr w14:val="000000"/>
                  </w14:solidFill>
                  <w14:prstDash w14:val="solid"/>
                  <w14:bevel/>
                </w14:textOutline>
              </w:rPr>
              <w:t>镇</w:t>
            </w:r>
            <w:r>
              <w:rPr>
                <w:rFonts w:ascii="宋体" w:hAnsi="宋体" w:eastAsia="宋体" w:cs="宋体"/>
                <w:spacing w:val="15"/>
                <w:sz w:val="20"/>
                <w:szCs w:val="20"/>
                <w14:textOutline w14:w="3657" w14:cap="sq" w14:cmpd="sng" w14:algn="ctr">
                  <w14:solidFill>
                    <w14:srgbClr w14:val="000000"/>
                  </w14:solidFill>
                  <w14:prstDash w14:val="solid"/>
                  <w14:bevel/>
                </w14:textOutline>
              </w:rPr>
              <w:t>人民政府为本项目出具了证明</w:t>
            </w:r>
            <w:r>
              <w:rPr>
                <w:rFonts w:ascii="宋体" w:hAnsi="宋体" w:eastAsia="宋体" w:cs="宋体"/>
                <w:spacing w:val="15"/>
                <w:sz w:val="20"/>
                <w:szCs w:val="20"/>
              </w:rPr>
              <w:t xml:space="preserve"> </w:t>
            </w:r>
            <w:r>
              <w:rPr>
                <w:rFonts w:ascii="宋体" w:hAnsi="宋体" w:eastAsia="宋体" w:cs="宋体"/>
                <w:spacing w:val="15"/>
                <w:sz w:val="20"/>
                <w:szCs w:val="20"/>
                <w14:textOutline w14:w="3657" w14:cap="sq" w14:cmpd="sng" w14:algn="ctr">
                  <w14:solidFill>
                    <w14:srgbClr w14:val="000000"/>
                  </w14:solidFill>
                  <w14:prstDash w14:val="solid"/>
                  <w14:bevel/>
                </w14:textOutline>
              </w:rPr>
              <w:t>(见附</w:t>
            </w:r>
          </w:p>
        </w:tc>
        <w:tc>
          <w:tcPr>
            <w:tcW w:w="982" w:type="dxa"/>
            <w:vMerge w:val="restart"/>
            <w:tcBorders>
              <w:bottom w:val="nil"/>
              <w:right w:val="nil"/>
            </w:tcBorders>
          </w:tcPr>
          <w:p w14:paraId="5311F146"/>
        </w:tc>
      </w:tr>
      <w:tr w14:paraId="74DE9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4835" w:type="dxa"/>
            <w:vMerge w:val="continue"/>
            <w:tcBorders>
              <w:top w:val="nil"/>
              <w:left w:val="nil"/>
              <w:bottom w:val="nil"/>
            </w:tcBorders>
          </w:tcPr>
          <w:p w14:paraId="315C52C8"/>
        </w:tc>
        <w:tc>
          <w:tcPr>
            <w:tcW w:w="3895" w:type="dxa"/>
          </w:tcPr>
          <w:p w14:paraId="3DE091B5">
            <w:pPr>
              <w:spacing w:before="65" w:line="192" w:lineRule="auto"/>
              <w:ind w:left="113"/>
              <w:rPr>
                <w:rFonts w:ascii="宋体" w:hAnsi="宋体" w:eastAsia="宋体" w:cs="宋体"/>
                <w:sz w:val="20"/>
                <w:szCs w:val="20"/>
              </w:rPr>
            </w:pPr>
            <w:r>
              <w:rPr>
                <w:rFonts w:ascii="宋体" w:hAnsi="宋体" w:eastAsia="宋体" w:cs="宋体"/>
                <w:spacing w:val="18"/>
                <w:sz w:val="20"/>
                <w:szCs w:val="20"/>
                <w14:textOutline w14:w="3784" w14:cap="sq" w14:cmpd="sng" w14:algn="ctr">
                  <w14:solidFill>
                    <w14:srgbClr w14:val="000000"/>
                  </w14:solidFill>
                  <w14:prstDash w14:val="solid"/>
                  <w14:bevel/>
                </w14:textOutline>
              </w:rPr>
              <w:t>件</w:t>
            </w:r>
            <w:r>
              <w:rPr>
                <w:rFonts w:ascii="Times New Roman" w:hAnsi="Times New Roman" w:eastAsia="Times New Roman" w:cs="Times New Roman"/>
                <w:b/>
                <w:bCs/>
                <w:spacing w:val="10"/>
                <w:sz w:val="20"/>
                <w:szCs w:val="20"/>
              </w:rPr>
              <w:t>5</w:t>
            </w:r>
            <w:r>
              <w:rPr>
                <w:rFonts w:ascii="宋体" w:hAnsi="宋体" w:eastAsia="宋体" w:cs="宋体"/>
                <w:spacing w:val="9"/>
                <w:sz w:val="20"/>
                <w:szCs w:val="20"/>
                <w14:textOutline w14:w="3784" w14:cap="sq" w14:cmpd="sng" w14:algn="ctr">
                  <w14:solidFill>
                    <w14:srgbClr w14:val="000000"/>
                  </w14:solidFill>
                  <w14:prstDash w14:val="solid"/>
                  <w14:bevel/>
                </w14:textOutline>
              </w:rPr>
              <w:t>)</w:t>
            </w:r>
            <w:r>
              <w:rPr>
                <w:rFonts w:ascii="宋体" w:hAnsi="宋体" w:eastAsia="宋体" w:cs="宋体"/>
                <w:spacing w:val="9"/>
                <w:sz w:val="20"/>
                <w:szCs w:val="20"/>
              </w:rPr>
              <w:t xml:space="preserve"> </w:t>
            </w:r>
            <w:r>
              <w:rPr>
                <w:rFonts w:ascii="宋体" w:hAnsi="宋体" w:eastAsia="宋体" w:cs="宋体"/>
                <w:spacing w:val="9"/>
                <w:sz w:val="20"/>
                <w:szCs w:val="20"/>
                <w14:textOutline w14:w="3784" w14:cap="sq" w14:cmpd="sng" w14:algn="ctr">
                  <w14:solidFill>
                    <w14:srgbClr w14:val="000000"/>
                  </w14:solidFill>
                  <w14:prstDash w14:val="solid"/>
                  <w14:bevel/>
                </w14:textOutline>
              </w:rPr>
              <w:t>，证明项目选址不属于畜禽养殖禁</w:t>
            </w:r>
          </w:p>
        </w:tc>
        <w:tc>
          <w:tcPr>
            <w:tcW w:w="982" w:type="dxa"/>
            <w:vMerge w:val="continue"/>
            <w:tcBorders>
              <w:top w:val="nil"/>
              <w:bottom w:val="nil"/>
              <w:right w:val="nil"/>
            </w:tcBorders>
          </w:tcPr>
          <w:p w14:paraId="6B42986E"/>
        </w:tc>
      </w:tr>
      <w:tr w14:paraId="6DCB24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 w:hRule="atLeast"/>
        </w:trPr>
        <w:tc>
          <w:tcPr>
            <w:tcW w:w="4835" w:type="dxa"/>
            <w:vMerge w:val="continue"/>
            <w:tcBorders>
              <w:top w:val="nil"/>
              <w:left w:val="nil"/>
            </w:tcBorders>
          </w:tcPr>
          <w:p w14:paraId="1B9364F6"/>
        </w:tc>
        <w:tc>
          <w:tcPr>
            <w:tcW w:w="3895" w:type="dxa"/>
          </w:tcPr>
          <w:p w14:paraId="0094E632">
            <w:pPr>
              <w:spacing w:before="59" w:line="228" w:lineRule="auto"/>
              <w:ind w:left="115"/>
              <w:rPr>
                <w:rFonts w:ascii="宋体" w:hAnsi="宋体" w:eastAsia="宋体" w:cs="宋体"/>
                <w:sz w:val="20"/>
                <w:szCs w:val="20"/>
              </w:rPr>
            </w:pPr>
            <w:r>
              <w:rPr>
                <w:rFonts w:ascii="宋体" w:hAnsi="宋体" w:eastAsia="宋体" w:cs="宋体"/>
                <w:spacing w:val="16"/>
                <w:sz w:val="20"/>
                <w:szCs w:val="20"/>
                <w:u w:val="single"/>
                <w14:textOutline w14:w="3797" w14:cap="sq" w14:cmpd="sng" w14:algn="ctr">
                  <w14:solidFill>
                    <w14:srgbClr w14:val="000000"/>
                  </w14:solidFill>
                  <w14:prstDash w14:val="solid"/>
                  <w14:bevel/>
                </w14:textOutline>
              </w:rPr>
              <w:t>养</w:t>
            </w:r>
            <w:r>
              <w:rPr>
                <w:rFonts w:ascii="宋体" w:hAnsi="宋体" w:eastAsia="宋体" w:cs="宋体"/>
                <w:spacing w:val="11"/>
                <w:sz w:val="20"/>
                <w:szCs w:val="20"/>
                <w:u w:val="single"/>
                <w14:textOutline w14:w="3797" w14:cap="sq" w14:cmpd="sng" w14:algn="ctr">
                  <w14:solidFill>
                    <w14:srgbClr w14:val="000000"/>
                  </w14:solidFill>
                  <w14:prstDash w14:val="solid"/>
                  <w14:bevel/>
                </w14:textOutline>
              </w:rPr>
              <w:t>地域和限养地域。</w:t>
            </w:r>
          </w:p>
        </w:tc>
        <w:tc>
          <w:tcPr>
            <w:tcW w:w="982" w:type="dxa"/>
            <w:vMerge w:val="continue"/>
            <w:tcBorders>
              <w:top w:val="nil"/>
              <w:right w:val="nil"/>
            </w:tcBorders>
          </w:tcPr>
          <w:p w14:paraId="6B4FC1CF"/>
        </w:tc>
      </w:tr>
    </w:tbl>
    <w:p w14:paraId="25442316">
      <w:pPr>
        <w:spacing w:before="155" w:line="375" w:lineRule="auto"/>
        <w:ind w:left="524" w:right="511" w:firstLine="508"/>
        <w:rPr>
          <w:rFonts w:ascii="宋体" w:hAnsi="宋体" w:eastAsia="宋体" w:cs="宋体"/>
          <w:sz w:val="23"/>
          <w:szCs w:val="23"/>
        </w:rPr>
      </w:pPr>
      <w:r>
        <w:rPr>
          <w:rFonts w:ascii="宋体" w:hAnsi="宋体" w:eastAsia="宋体" w:cs="宋体"/>
          <w:spacing w:val="19"/>
          <w:sz w:val="23"/>
          <w:szCs w:val="23"/>
        </w:rPr>
        <w:t>由</w:t>
      </w:r>
      <w:r>
        <w:rPr>
          <w:rFonts w:ascii="宋体" w:hAnsi="宋体" w:eastAsia="宋体" w:cs="宋体"/>
          <w:spacing w:val="10"/>
          <w:sz w:val="23"/>
          <w:szCs w:val="23"/>
        </w:rPr>
        <w:t>上表可知，项目位于井研县畜禽养殖区，符合《井研县畜禽养殖禁养区划定</w:t>
      </w:r>
      <w:r>
        <w:rPr>
          <w:rFonts w:ascii="宋体" w:hAnsi="宋体" w:eastAsia="宋体" w:cs="宋体"/>
          <w:sz w:val="23"/>
          <w:szCs w:val="23"/>
        </w:rPr>
        <w:t xml:space="preserve"> </w:t>
      </w:r>
      <w:r>
        <w:rPr>
          <w:rFonts w:ascii="宋体" w:hAnsi="宋体" w:eastAsia="宋体" w:cs="宋体"/>
          <w:spacing w:val="9"/>
          <w:sz w:val="23"/>
          <w:szCs w:val="23"/>
        </w:rPr>
        <w:t>方</w:t>
      </w:r>
      <w:r>
        <w:rPr>
          <w:rFonts w:ascii="宋体" w:hAnsi="宋体" w:eastAsia="宋体" w:cs="宋体"/>
          <w:spacing w:val="6"/>
          <w:sz w:val="23"/>
          <w:szCs w:val="23"/>
        </w:rPr>
        <w:t>案》要求。</w:t>
      </w:r>
    </w:p>
    <w:p w14:paraId="4202BBB7">
      <w:pPr>
        <w:spacing w:line="227" w:lineRule="auto"/>
        <w:ind w:left="529"/>
        <w:outlineLvl w:val="2"/>
        <w:rPr>
          <w:rFonts w:ascii="宋体" w:hAnsi="宋体" w:eastAsia="宋体" w:cs="宋体"/>
          <w:sz w:val="23"/>
          <w:szCs w:val="23"/>
        </w:rPr>
      </w:pPr>
      <w:r>
        <w:rPr>
          <w:rFonts w:ascii="Times New Roman" w:hAnsi="Times New Roman" w:eastAsia="Times New Roman" w:cs="Times New Roman"/>
          <w:b/>
          <w:bCs/>
          <w:spacing w:val="12"/>
          <w:sz w:val="23"/>
          <w:szCs w:val="23"/>
        </w:rPr>
        <w:t>1</w:t>
      </w:r>
      <w:r>
        <w:rPr>
          <w:rFonts w:ascii="Times New Roman" w:hAnsi="Times New Roman" w:eastAsia="Times New Roman" w:cs="Times New Roman"/>
          <w:b/>
          <w:bCs/>
          <w:spacing w:val="6"/>
          <w:sz w:val="23"/>
          <w:szCs w:val="23"/>
        </w:rPr>
        <w:t>.6.8</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与当地规划符合性</w:t>
      </w:r>
    </w:p>
    <w:p w14:paraId="7DE82236">
      <w:pPr>
        <w:spacing w:before="184" w:line="375" w:lineRule="auto"/>
        <w:ind w:left="518" w:right="513" w:firstLine="485"/>
        <w:rPr>
          <w:rFonts w:ascii="宋体" w:hAnsi="宋体" w:eastAsia="宋体" w:cs="宋体"/>
          <w:sz w:val="23"/>
          <w:szCs w:val="23"/>
        </w:rPr>
      </w:pPr>
      <w:r>
        <w:rPr>
          <w:rFonts w:ascii="宋体" w:hAnsi="宋体" w:eastAsia="宋体" w:cs="宋体"/>
          <w:spacing w:val="10"/>
          <w:sz w:val="23"/>
          <w:szCs w:val="23"/>
        </w:rPr>
        <w:t>本项目位</w:t>
      </w:r>
      <w:r>
        <w:rPr>
          <w:rFonts w:ascii="宋体" w:hAnsi="宋体" w:eastAsia="宋体" w:cs="宋体"/>
          <w:spacing w:val="9"/>
          <w:sz w:val="23"/>
          <w:szCs w:val="23"/>
        </w:rPr>
        <w:t>于</w:t>
      </w:r>
      <w:r>
        <w:rPr>
          <w:rFonts w:ascii="宋体" w:hAnsi="宋体" w:eastAsia="宋体" w:cs="宋体"/>
          <w:spacing w:val="5"/>
          <w:sz w:val="23"/>
          <w:szCs w:val="23"/>
        </w:rPr>
        <w:t xml:space="preserve">井研县周坡镇周坡村 </w:t>
      </w:r>
      <w:r>
        <w:rPr>
          <w:rFonts w:ascii="Times New Roman" w:hAnsi="Times New Roman" w:eastAsia="Times New Roman" w:cs="Times New Roman"/>
          <w:spacing w:val="5"/>
          <w:sz w:val="23"/>
          <w:szCs w:val="23"/>
        </w:rPr>
        <w:t xml:space="preserve">7 </w:t>
      </w:r>
      <w:r>
        <w:rPr>
          <w:rFonts w:ascii="宋体" w:hAnsi="宋体" w:eastAsia="宋体" w:cs="宋体"/>
          <w:spacing w:val="5"/>
          <w:sz w:val="23"/>
          <w:szCs w:val="23"/>
        </w:rPr>
        <w:t xml:space="preserve">组、龙桥村 </w:t>
      </w:r>
      <w:r>
        <w:rPr>
          <w:rFonts w:ascii="Times New Roman" w:hAnsi="Times New Roman" w:eastAsia="Times New Roman" w:cs="Times New Roman"/>
          <w:spacing w:val="5"/>
          <w:sz w:val="23"/>
          <w:szCs w:val="23"/>
        </w:rPr>
        <w:t xml:space="preserve">2 </w:t>
      </w:r>
      <w:r>
        <w:rPr>
          <w:rFonts w:ascii="宋体" w:hAnsi="宋体" w:eastAsia="宋体" w:cs="宋体"/>
          <w:spacing w:val="5"/>
          <w:sz w:val="23"/>
          <w:szCs w:val="23"/>
        </w:rPr>
        <w:t>组，井研县周坡镇人民政府于</w:t>
      </w:r>
      <w:r>
        <w:rPr>
          <w:rFonts w:ascii="宋体" w:hAnsi="宋体" w:eastAsia="宋体" w:cs="宋体"/>
          <w:sz w:val="23"/>
          <w:szCs w:val="23"/>
        </w:rPr>
        <w:t xml:space="preserve"> </w:t>
      </w:r>
      <w:r>
        <w:rPr>
          <w:rFonts w:ascii="Times New Roman" w:hAnsi="Times New Roman" w:eastAsia="Times New Roman" w:cs="Times New Roman"/>
          <w:spacing w:val="10"/>
          <w:sz w:val="23"/>
          <w:szCs w:val="23"/>
        </w:rPr>
        <w:t>20</w:t>
      </w:r>
      <w:r>
        <w:rPr>
          <w:rFonts w:ascii="Times New Roman" w:hAnsi="Times New Roman" w:eastAsia="Times New Roman" w:cs="Times New Roman"/>
          <w:spacing w:val="8"/>
          <w:sz w:val="23"/>
          <w:szCs w:val="23"/>
        </w:rPr>
        <w:t>1</w:t>
      </w:r>
      <w:r>
        <w:rPr>
          <w:rFonts w:ascii="Times New Roman" w:hAnsi="Times New Roman" w:eastAsia="Times New Roman" w:cs="Times New Roman"/>
          <w:spacing w:val="5"/>
          <w:sz w:val="23"/>
          <w:szCs w:val="23"/>
        </w:rPr>
        <w:t xml:space="preserve">9 </w:t>
      </w:r>
      <w:r>
        <w:rPr>
          <w:rFonts w:ascii="宋体" w:hAnsi="宋体" w:eastAsia="宋体" w:cs="宋体"/>
          <w:spacing w:val="5"/>
          <w:sz w:val="23"/>
          <w:szCs w:val="23"/>
        </w:rPr>
        <w:t xml:space="preserve">年 </w:t>
      </w:r>
      <w:r>
        <w:rPr>
          <w:rFonts w:ascii="Times New Roman" w:hAnsi="Times New Roman" w:eastAsia="Times New Roman" w:cs="Times New Roman"/>
          <w:spacing w:val="5"/>
          <w:sz w:val="23"/>
          <w:szCs w:val="23"/>
        </w:rPr>
        <w:t xml:space="preserve">3 </w:t>
      </w:r>
      <w:r>
        <w:rPr>
          <w:rFonts w:ascii="宋体" w:hAnsi="宋体" w:eastAsia="宋体" w:cs="宋体"/>
          <w:spacing w:val="5"/>
          <w:sz w:val="23"/>
          <w:szCs w:val="23"/>
        </w:rPr>
        <w:t xml:space="preserve">月 </w:t>
      </w:r>
      <w:r>
        <w:rPr>
          <w:rFonts w:ascii="Times New Roman" w:hAnsi="Times New Roman" w:eastAsia="Times New Roman" w:cs="Times New Roman"/>
          <w:spacing w:val="5"/>
          <w:sz w:val="23"/>
          <w:szCs w:val="23"/>
        </w:rPr>
        <w:t xml:space="preserve">8 </w:t>
      </w:r>
      <w:r>
        <w:rPr>
          <w:rFonts w:ascii="宋体" w:hAnsi="宋体" w:eastAsia="宋体" w:cs="宋体"/>
          <w:spacing w:val="5"/>
          <w:sz w:val="23"/>
          <w:szCs w:val="23"/>
        </w:rPr>
        <w:t>日出具了证明，明确本项目养殖场不属于畜禽养殖禁养地域和限养地</w:t>
      </w:r>
    </w:p>
    <w:p w14:paraId="4D755D70">
      <w:pPr>
        <w:spacing w:before="4" w:line="374" w:lineRule="auto"/>
        <w:ind w:left="522" w:right="511" w:firstLine="1"/>
        <w:rPr>
          <w:rFonts w:ascii="宋体" w:hAnsi="宋体" w:eastAsia="宋体" w:cs="宋体"/>
          <w:sz w:val="23"/>
          <w:szCs w:val="23"/>
        </w:rPr>
      </w:pPr>
      <w:r>
        <w:rPr>
          <w:rFonts w:ascii="宋体" w:hAnsi="宋体" w:eastAsia="宋体" w:cs="宋体"/>
          <w:spacing w:val="11"/>
          <w:sz w:val="23"/>
          <w:szCs w:val="23"/>
        </w:rPr>
        <w:t>域；同时，井研县周坡镇人民政府、井研县农业农村局、井研县自然资源局联合</w:t>
      </w:r>
      <w:r>
        <w:rPr>
          <w:rFonts w:ascii="宋体" w:hAnsi="宋体" w:eastAsia="宋体" w:cs="宋体"/>
          <w:spacing w:val="7"/>
          <w:sz w:val="23"/>
          <w:szCs w:val="23"/>
        </w:rPr>
        <w:t>为</w:t>
      </w:r>
      <w:r>
        <w:rPr>
          <w:rFonts w:ascii="宋体" w:hAnsi="宋体" w:eastAsia="宋体" w:cs="宋体"/>
          <w:sz w:val="23"/>
          <w:szCs w:val="23"/>
        </w:rPr>
        <w:t xml:space="preserve"> </w:t>
      </w:r>
      <w:r>
        <w:rPr>
          <w:rFonts w:ascii="宋体" w:hAnsi="宋体" w:eastAsia="宋体" w:cs="宋体"/>
          <w:spacing w:val="4"/>
          <w:sz w:val="23"/>
          <w:szCs w:val="23"/>
        </w:rPr>
        <w:t>本项目出具了《设施农业用</w:t>
      </w:r>
      <w:r>
        <w:rPr>
          <w:rFonts w:ascii="宋体" w:hAnsi="宋体" w:eastAsia="宋体" w:cs="宋体"/>
          <w:spacing w:val="2"/>
          <w:sz w:val="23"/>
          <w:szCs w:val="23"/>
        </w:rPr>
        <w:t>地备案表》  (井设农备字【</w:t>
      </w:r>
      <w:r>
        <w:rPr>
          <w:rFonts w:ascii="Times New Roman" w:hAnsi="Times New Roman" w:eastAsia="Times New Roman" w:cs="Times New Roman"/>
          <w:spacing w:val="2"/>
          <w:sz w:val="23"/>
          <w:szCs w:val="23"/>
        </w:rPr>
        <w:t>2019</w:t>
      </w:r>
      <w:r>
        <w:rPr>
          <w:rFonts w:ascii="宋体" w:hAnsi="宋体" w:eastAsia="宋体" w:cs="宋体"/>
          <w:spacing w:val="2"/>
          <w:sz w:val="23"/>
          <w:szCs w:val="23"/>
        </w:rPr>
        <w:t xml:space="preserve">】第 </w:t>
      </w:r>
      <w:r>
        <w:rPr>
          <w:rFonts w:ascii="Times New Roman" w:hAnsi="Times New Roman" w:eastAsia="Times New Roman" w:cs="Times New Roman"/>
          <w:spacing w:val="2"/>
          <w:sz w:val="23"/>
          <w:szCs w:val="23"/>
        </w:rPr>
        <w:t xml:space="preserve">21 </w:t>
      </w:r>
      <w:r>
        <w:rPr>
          <w:rFonts w:ascii="宋体" w:hAnsi="宋体" w:eastAsia="宋体" w:cs="宋体"/>
          <w:spacing w:val="2"/>
          <w:sz w:val="23"/>
          <w:szCs w:val="23"/>
        </w:rPr>
        <w:t>号) ，明确本项</w:t>
      </w:r>
      <w:r>
        <w:rPr>
          <w:rFonts w:ascii="宋体" w:hAnsi="宋体" w:eastAsia="宋体" w:cs="宋体"/>
          <w:sz w:val="23"/>
          <w:szCs w:val="23"/>
        </w:rPr>
        <w:t xml:space="preserve"> </w:t>
      </w:r>
      <w:r>
        <w:rPr>
          <w:rFonts w:ascii="宋体" w:hAnsi="宋体" w:eastAsia="宋体" w:cs="宋体"/>
          <w:spacing w:val="14"/>
          <w:sz w:val="23"/>
          <w:szCs w:val="23"/>
        </w:rPr>
        <w:t>目</w:t>
      </w:r>
      <w:r>
        <w:rPr>
          <w:rFonts w:ascii="宋体" w:hAnsi="宋体" w:eastAsia="宋体" w:cs="宋体"/>
          <w:spacing w:val="11"/>
          <w:sz w:val="23"/>
          <w:szCs w:val="23"/>
        </w:rPr>
        <w:t>符合农业发展政策和规划，建设内容符合有关要求，农村土地经营权流转符合相</w:t>
      </w:r>
      <w:r>
        <w:rPr>
          <w:rFonts w:ascii="宋体" w:hAnsi="宋体" w:eastAsia="宋体" w:cs="宋体"/>
          <w:sz w:val="23"/>
          <w:szCs w:val="23"/>
        </w:rPr>
        <w:t xml:space="preserve"> </w:t>
      </w:r>
      <w:r>
        <w:rPr>
          <w:rFonts w:ascii="宋体" w:hAnsi="宋体" w:eastAsia="宋体" w:cs="宋体"/>
          <w:spacing w:val="14"/>
          <w:sz w:val="23"/>
          <w:szCs w:val="23"/>
        </w:rPr>
        <w:t>关</w:t>
      </w:r>
      <w:r>
        <w:rPr>
          <w:rFonts w:ascii="宋体" w:hAnsi="宋体" w:eastAsia="宋体" w:cs="宋体"/>
          <w:spacing w:val="11"/>
          <w:sz w:val="23"/>
          <w:szCs w:val="23"/>
        </w:rPr>
        <w:t>规定，用地未超过控制规模和比例，同意项目的备案；此外，井研县周坡镇人民</w:t>
      </w:r>
      <w:r>
        <w:rPr>
          <w:rFonts w:ascii="宋体" w:hAnsi="宋体" w:eastAsia="宋体" w:cs="宋体"/>
          <w:sz w:val="23"/>
          <w:szCs w:val="23"/>
        </w:rPr>
        <w:t xml:space="preserve"> </w:t>
      </w:r>
      <w:r>
        <w:rPr>
          <w:rFonts w:ascii="宋体" w:hAnsi="宋体" w:eastAsia="宋体" w:cs="宋体"/>
          <w:spacing w:val="12"/>
          <w:sz w:val="23"/>
          <w:szCs w:val="23"/>
        </w:rPr>
        <w:t>政</w:t>
      </w:r>
      <w:r>
        <w:rPr>
          <w:rFonts w:ascii="宋体" w:hAnsi="宋体" w:eastAsia="宋体" w:cs="宋体"/>
          <w:spacing w:val="11"/>
          <w:sz w:val="23"/>
          <w:szCs w:val="23"/>
        </w:rPr>
        <w:t>府、井研县周坡镇周坡村村民委员会、井研县周坡镇龙桥村村民委员会与本项目</w:t>
      </w:r>
      <w:r>
        <w:rPr>
          <w:rFonts w:ascii="宋体" w:hAnsi="宋体" w:eastAsia="宋体" w:cs="宋体"/>
          <w:sz w:val="23"/>
          <w:szCs w:val="23"/>
        </w:rPr>
        <w:t xml:space="preserve"> </w:t>
      </w:r>
      <w:r>
        <w:rPr>
          <w:rFonts w:ascii="宋体" w:hAnsi="宋体" w:eastAsia="宋体" w:cs="宋体"/>
          <w:spacing w:val="14"/>
          <w:sz w:val="23"/>
          <w:szCs w:val="23"/>
        </w:rPr>
        <w:t>建</w:t>
      </w:r>
      <w:r>
        <w:rPr>
          <w:rFonts w:ascii="宋体" w:hAnsi="宋体" w:eastAsia="宋体" w:cs="宋体"/>
          <w:spacing w:val="11"/>
          <w:sz w:val="23"/>
          <w:szCs w:val="23"/>
        </w:rPr>
        <w:t>设单位井研县丰逸养殖专业合作社签订了设施农用地使用协议书及土地复垦协议</w:t>
      </w:r>
      <w:r>
        <w:rPr>
          <w:rFonts w:ascii="宋体" w:hAnsi="宋体" w:eastAsia="宋体" w:cs="宋体"/>
          <w:sz w:val="23"/>
          <w:szCs w:val="23"/>
        </w:rPr>
        <w:t xml:space="preserve"> </w:t>
      </w:r>
      <w:r>
        <w:rPr>
          <w:rFonts w:ascii="宋体" w:hAnsi="宋体" w:eastAsia="宋体" w:cs="宋体"/>
          <w:spacing w:val="18"/>
          <w:sz w:val="23"/>
          <w:szCs w:val="23"/>
        </w:rPr>
        <w:t>书</w:t>
      </w:r>
      <w:r>
        <w:rPr>
          <w:rFonts w:ascii="宋体" w:hAnsi="宋体" w:eastAsia="宋体" w:cs="宋体"/>
          <w:spacing w:val="9"/>
          <w:sz w:val="23"/>
          <w:szCs w:val="23"/>
        </w:rPr>
        <w:t>，在用地期满后，及时按国家复垦技术标准，恢复土地原貌。</w:t>
      </w:r>
    </w:p>
    <w:p w14:paraId="2A8E7A37">
      <w:pPr>
        <w:spacing w:line="375" w:lineRule="auto"/>
        <w:ind w:left="524" w:right="511" w:firstLine="514"/>
        <w:rPr>
          <w:rFonts w:ascii="宋体" w:hAnsi="宋体" w:eastAsia="宋体" w:cs="宋体"/>
          <w:sz w:val="23"/>
          <w:szCs w:val="23"/>
        </w:rPr>
      </w:pPr>
      <w:r>
        <w:rPr>
          <w:rFonts w:ascii="宋体" w:hAnsi="宋体" w:eastAsia="宋体" w:cs="宋体"/>
          <w:spacing w:val="6"/>
          <w:sz w:val="23"/>
          <w:szCs w:val="23"/>
        </w:rPr>
        <w:t>项 目 四周为农田、林地以及少量散居住户，不属于《限制用地项目目录(</w:t>
      </w:r>
      <w:r>
        <w:rPr>
          <w:rFonts w:ascii="Times New Roman" w:hAnsi="Times New Roman" w:eastAsia="Times New Roman" w:cs="Times New Roman"/>
          <w:spacing w:val="6"/>
          <w:sz w:val="23"/>
          <w:szCs w:val="23"/>
        </w:rPr>
        <w:t>2012</w:t>
      </w:r>
      <w:r>
        <w:rPr>
          <w:rFonts w:ascii="Times New Roman" w:hAnsi="Times New Roman" w:eastAsia="Times New Roman" w:cs="Times New Roman"/>
          <w:sz w:val="23"/>
          <w:szCs w:val="23"/>
        </w:rPr>
        <w:t xml:space="preserve"> </w:t>
      </w:r>
      <w:r>
        <w:rPr>
          <w:rFonts w:ascii="宋体" w:hAnsi="宋体" w:eastAsia="宋体" w:cs="宋体"/>
          <w:spacing w:val="9"/>
          <w:sz w:val="23"/>
          <w:szCs w:val="23"/>
        </w:rPr>
        <w:t>年</w:t>
      </w:r>
      <w:r>
        <w:rPr>
          <w:rFonts w:ascii="宋体" w:hAnsi="宋体" w:eastAsia="宋体" w:cs="宋体"/>
          <w:spacing w:val="8"/>
          <w:sz w:val="23"/>
          <w:szCs w:val="23"/>
        </w:rPr>
        <w:t>本) 》和《禁止用地项目目录 (</w:t>
      </w:r>
      <w:r>
        <w:rPr>
          <w:rFonts w:ascii="Times New Roman" w:hAnsi="Times New Roman" w:eastAsia="Times New Roman" w:cs="Times New Roman"/>
          <w:spacing w:val="8"/>
          <w:sz w:val="23"/>
          <w:szCs w:val="23"/>
        </w:rPr>
        <w:t xml:space="preserve">2012 </w:t>
      </w:r>
      <w:r>
        <w:rPr>
          <w:rFonts w:ascii="宋体" w:hAnsi="宋体" w:eastAsia="宋体" w:cs="宋体"/>
          <w:spacing w:val="8"/>
          <w:sz w:val="23"/>
          <w:szCs w:val="23"/>
        </w:rPr>
        <w:t>年本) 》中的限制和禁止用地项目，属于允</w:t>
      </w:r>
      <w:r>
        <w:rPr>
          <w:rFonts w:ascii="宋体" w:hAnsi="宋体" w:eastAsia="宋体" w:cs="宋体"/>
          <w:sz w:val="23"/>
          <w:szCs w:val="23"/>
        </w:rPr>
        <w:t xml:space="preserve"> </w:t>
      </w:r>
      <w:r>
        <w:rPr>
          <w:rFonts w:ascii="宋体" w:hAnsi="宋体" w:eastAsia="宋体" w:cs="宋体"/>
          <w:spacing w:val="9"/>
          <w:sz w:val="23"/>
          <w:szCs w:val="23"/>
        </w:rPr>
        <w:t>许</w:t>
      </w:r>
      <w:r>
        <w:rPr>
          <w:rFonts w:ascii="宋体" w:hAnsi="宋体" w:eastAsia="宋体" w:cs="宋体"/>
          <w:spacing w:val="6"/>
          <w:sz w:val="23"/>
          <w:szCs w:val="23"/>
        </w:rPr>
        <w:t>建设项目。</w:t>
      </w:r>
    </w:p>
    <w:p w14:paraId="36F3525E">
      <w:pPr>
        <w:spacing w:line="375" w:lineRule="auto"/>
        <w:ind w:left="523" w:right="513" w:firstLine="482"/>
        <w:rPr>
          <w:rFonts w:ascii="宋体" w:hAnsi="宋体" w:eastAsia="宋体" w:cs="宋体"/>
          <w:sz w:val="23"/>
          <w:szCs w:val="23"/>
        </w:rPr>
      </w:pPr>
      <w:r>
        <w:rPr>
          <w:rFonts w:ascii="宋体" w:hAnsi="宋体" w:eastAsia="宋体" w:cs="宋体"/>
          <w:spacing w:val="12"/>
          <w:sz w:val="23"/>
          <w:szCs w:val="23"/>
        </w:rPr>
        <w:t>综上所述，</w:t>
      </w:r>
      <w:r>
        <w:rPr>
          <w:rFonts w:ascii="宋体" w:hAnsi="宋体" w:eastAsia="宋体" w:cs="宋体"/>
          <w:spacing w:val="6"/>
          <w:sz w:val="23"/>
          <w:szCs w:val="23"/>
        </w:rPr>
        <w:t xml:space="preserve">本项目位于井研县周坡镇周坡村 </w:t>
      </w:r>
      <w:r>
        <w:rPr>
          <w:rFonts w:ascii="Times New Roman" w:hAnsi="Times New Roman" w:eastAsia="Times New Roman" w:cs="Times New Roman"/>
          <w:spacing w:val="6"/>
          <w:sz w:val="23"/>
          <w:szCs w:val="23"/>
        </w:rPr>
        <w:t xml:space="preserve">7 </w:t>
      </w:r>
      <w:r>
        <w:rPr>
          <w:rFonts w:ascii="宋体" w:hAnsi="宋体" w:eastAsia="宋体" w:cs="宋体"/>
          <w:spacing w:val="6"/>
          <w:sz w:val="23"/>
          <w:szCs w:val="23"/>
        </w:rPr>
        <w:t xml:space="preserve">组、龙桥村 </w:t>
      </w:r>
      <w:r>
        <w:rPr>
          <w:rFonts w:ascii="Times New Roman" w:hAnsi="Times New Roman" w:eastAsia="Times New Roman" w:cs="Times New Roman"/>
          <w:spacing w:val="6"/>
          <w:sz w:val="23"/>
          <w:szCs w:val="23"/>
        </w:rPr>
        <w:t xml:space="preserve">2 </w:t>
      </w:r>
      <w:r>
        <w:rPr>
          <w:rFonts w:ascii="宋体" w:hAnsi="宋体" w:eastAsia="宋体" w:cs="宋体"/>
          <w:spacing w:val="6"/>
          <w:sz w:val="23"/>
          <w:szCs w:val="23"/>
        </w:rPr>
        <w:t>组，项目属于农村</w:t>
      </w:r>
      <w:r>
        <w:rPr>
          <w:rFonts w:ascii="宋体" w:hAnsi="宋体" w:eastAsia="宋体" w:cs="宋体"/>
          <w:sz w:val="23"/>
          <w:szCs w:val="23"/>
        </w:rPr>
        <w:t xml:space="preserve"> </w:t>
      </w:r>
      <w:r>
        <w:rPr>
          <w:rFonts w:ascii="宋体" w:hAnsi="宋体" w:eastAsia="宋体" w:cs="宋体"/>
          <w:spacing w:val="11"/>
          <w:sz w:val="23"/>
          <w:szCs w:val="23"/>
        </w:rPr>
        <w:t>环境地区，周围无重大环境制约因素，项目建设符合井研县畜禽养殖禁养区划定方</w:t>
      </w:r>
      <w:r>
        <w:rPr>
          <w:rFonts w:ascii="宋体" w:hAnsi="宋体" w:eastAsia="宋体" w:cs="宋体"/>
          <w:sz w:val="23"/>
          <w:szCs w:val="23"/>
        </w:rPr>
        <w:t xml:space="preserve"> 案。</w:t>
      </w:r>
    </w:p>
    <w:p w14:paraId="2FABB771">
      <w:pPr>
        <w:spacing w:line="228" w:lineRule="auto"/>
        <w:ind w:left="529"/>
        <w:outlineLvl w:val="2"/>
        <w:rPr>
          <w:rFonts w:ascii="宋体" w:hAnsi="宋体" w:eastAsia="宋体" w:cs="宋体"/>
          <w:sz w:val="23"/>
          <w:szCs w:val="23"/>
        </w:rPr>
      </w:pPr>
      <w:r>
        <w:rPr>
          <w:rFonts w:ascii="Times New Roman" w:hAnsi="Times New Roman" w:eastAsia="Times New Roman" w:cs="Times New Roman"/>
          <w:b/>
          <w:bCs/>
          <w:spacing w:val="6"/>
          <w:sz w:val="23"/>
          <w:szCs w:val="23"/>
        </w:rPr>
        <w:t>1.6.9</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选址合理性分</w:t>
      </w:r>
      <w:r>
        <w:rPr>
          <w:rFonts w:ascii="宋体" w:hAnsi="宋体" w:eastAsia="宋体" w:cs="宋体"/>
          <w:spacing w:val="5"/>
          <w:sz w:val="23"/>
          <w:szCs w:val="23"/>
          <w14:textOutline w14:w="4356" w14:cap="sq" w14:cmpd="sng" w14:algn="ctr">
            <w14:solidFill>
              <w14:srgbClr w14:val="000000"/>
            </w14:solidFill>
            <w14:prstDash w14:val="solid"/>
            <w14:bevel/>
          </w14:textOutline>
        </w:rPr>
        <w:t>析</w:t>
      </w:r>
    </w:p>
    <w:p w14:paraId="69A934FA">
      <w:pPr>
        <w:spacing w:before="182" w:line="303" w:lineRule="exact"/>
        <w:ind w:left="997"/>
        <w:rPr>
          <w:rFonts w:ascii="宋体" w:hAnsi="宋体" w:eastAsia="宋体" w:cs="宋体"/>
          <w:sz w:val="23"/>
          <w:szCs w:val="23"/>
        </w:rPr>
      </w:pPr>
      <w:r>
        <w:rPr>
          <w:rFonts w:ascii="Times New Roman" w:hAnsi="Times New Roman" w:eastAsia="Times New Roman" w:cs="Times New Roman"/>
          <w:b/>
          <w:bCs/>
          <w:spacing w:val="-4"/>
          <w:position w:val="1"/>
          <w:sz w:val="23"/>
          <w:szCs w:val="23"/>
        </w:rPr>
        <w:t>1</w:t>
      </w:r>
      <w:r>
        <w:rPr>
          <w:rFonts w:ascii="Times New Roman" w:hAnsi="Times New Roman" w:eastAsia="Times New Roman" w:cs="Times New Roman"/>
          <w:spacing w:val="-2"/>
          <w:position w:val="1"/>
          <w:sz w:val="23"/>
          <w:szCs w:val="23"/>
        </w:rPr>
        <w:t xml:space="preserve"> </w:t>
      </w:r>
      <w:r>
        <w:rPr>
          <w:rFonts w:ascii="宋体" w:hAnsi="宋体" w:eastAsia="宋体" w:cs="宋体"/>
          <w:spacing w:val="-2"/>
          <w:position w:val="1"/>
          <w:sz w:val="23"/>
          <w:szCs w:val="23"/>
          <w14:textOutline w14:w="4356" w14:cap="sq" w14:cmpd="sng" w14:algn="ctr">
            <w14:solidFill>
              <w14:srgbClr w14:val="000000"/>
            </w14:solidFill>
            <w14:prstDash w14:val="solid"/>
            <w14:bevel/>
          </w14:textOutline>
        </w:rPr>
        <w:t>、相关要求</w:t>
      </w:r>
    </w:p>
    <w:p w14:paraId="1B624D3D">
      <w:pPr>
        <w:spacing w:before="117" w:line="381" w:lineRule="auto"/>
        <w:ind w:left="523" w:right="511" w:firstLine="491"/>
        <w:rPr>
          <w:rFonts w:ascii="宋体" w:hAnsi="宋体" w:eastAsia="宋体" w:cs="宋体"/>
          <w:sz w:val="23"/>
          <w:szCs w:val="23"/>
        </w:rPr>
      </w:pPr>
      <w:r>
        <w:rPr>
          <w:rFonts w:ascii="宋体" w:hAnsi="宋体" w:eastAsia="宋体" w:cs="宋体"/>
          <w:spacing w:val="4"/>
          <w:sz w:val="23"/>
          <w:szCs w:val="23"/>
        </w:rPr>
        <w:t>(</w:t>
      </w:r>
      <w:r>
        <w:rPr>
          <w:rFonts w:ascii="Times New Roman" w:hAnsi="Times New Roman" w:eastAsia="Times New Roman" w:cs="Times New Roman"/>
          <w:spacing w:val="3"/>
          <w:sz w:val="23"/>
          <w:szCs w:val="23"/>
        </w:rPr>
        <w:t>1</w:t>
      </w:r>
      <w:r>
        <w:rPr>
          <w:rFonts w:ascii="宋体" w:hAnsi="宋体" w:eastAsia="宋体" w:cs="宋体"/>
          <w:spacing w:val="3"/>
          <w:sz w:val="23"/>
          <w:szCs w:val="23"/>
        </w:rPr>
        <w:t>)  《农产品安全质量</w:t>
      </w:r>
      <w:r>
        <w:rPr>
          <w:rFonts w:ascii="Times New Roman" w:hAnsi="Times New Roman" w:eastAsia="Times New Roman" w:cs="Times New Roman"/>
          <w:spacing w:val="3"/>
          <w:sz w:val="23"/>
          <w:szCs w:val="23"/>
        </w:rPr>
        <w:t>—</w:t>
      </w:r>
      <w:r>
        <w:rPr>
          <w:rFonts w:ascii="宋体" w:hAnsi="宋体" w:eastAsia="宋体" w:cs="宋体"/>
          <w:spacing w:val="3"/>
          <w:sz w:val="23"/>
          <w:szCs w:val="23"/>
        </w:rPr>
        <w:t>无公害畜禽肉产地环境要求》  (</w:t>
      </w:r>
      <w:r>
        <w:rPr>
          <w:rFonts w:ascii="Times New Roman" w:hAnsi="Times New Roman" w:eastAsia="Times New Roman" w:cs="Times New Roman"/>
          <w:sz w:val="23"/>
          <w:szCs w:val="23"/>
        </w:rPr>
        <w:t>GB</w:t>
      </w:r>
      <w:r>
        <w:rPr>
          <w:rFonts w:ascii="Times New Roman" w:hAnsi="Times New Roman" w:eastAsia="Times New Roman" w:cs="Times New Roman"/>
          <w:spacing w:val="3"/>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3"/>
          <w:sz w:val="23"/>
          <w:szCs w:val="23"/>
        </w:rPr>
        <w:t>18407</w:t>
      </w:r>
      <w:r>
        <w:rPr>
          <w:rFonts w:ascii="宋体" w:hAnsi="宋体" w:eastAsia="宋体" w:cs="宋体"/>
          <w:spacing w:val="3"/>
          <w:sz w:val="23"/>
          <w:szCs w:val="23"/>
        </w:rPr>
        <w:t xml:space="preserve">) 第 </w:t>
      </w:r>
      <w:r>
        <w:rPr>
          <w:rFonts w:ascii="Times New Roman" w:hAnsi="Times New Roman" w:eastAsia="Times New Roman" w:cs="Times New Roman"/>
          <w:spacing w:val="3"/>
          <w:sz w:val="23"/>
          <w:szCs w:val="23"/>
        </w:rPr>
        <w:t xml:space="preserve">4 </w:t>
      </w:r>
      <w:r>
        <w:rPr>
          <w:rFonts w:ascii="宋体" w:hAnsi="宋体" w:eastAsia="宋体" w:cs="宋体"/>
          <w:spacing w:val="3"/>
          <w:sz w:val="23"/>
          <w:szCs w:val="23"/>
        </w:rPr>
        <w:t>条</w:t>
      </w:r>
      <w:r>
        <w:rPr>
          <w:rFonts w:ascii="宋体" w:hAnsi="宋体" w:eastAsia="宋体" w:cs="宋体"/>
          <w:sz w:val="23"/>
          <w:szCs w:val="23"/>
        </w:rPr>
        <w:t xml:space="preserve"> </w:t>
      </w:r>
      <w:r>
        <w:rPr>
          <w:rFonts w:ascii="宋体" w:hAnsi="宋体" w:eastAsia="宋体" w:cs="宋体"/>
          <w:spacing w:val="8"/>
          <w:sz w:val="23"/>
          <w:szCs w:val="23"/>
        </w:rPr>
        <w:t>中关于畜禽养殖地的选址做了如下规定：</w:t>
      </w:r>
      <w:r>
        <w:rPr>
          <w:rFonts w:ascii="Times New Roman" w:hAnsi="Times New Roman" w:eastAsia="Times New Roman" w:cs="Times New Roman"/>
          <w:spacing w:val="8"/>
          <w:sz w:val="23"/>
          <w:szCs w:val="23"/>
        </w:rPr>
        <w:t>“</w:t>
      </w:r>
      <w:r>
        <w:rPr>
          <w:rFonts w:ascii="宋体" w:hAnsi="宋体" w:eastAsia="宋体" w:cs="宋体"/>
          <w:spacing w:val="8"/>
          <w:sz w:val="23"/>
          <w:szCs w:val="23"/>
        </w:rPr>
        <w:t>畜禽养殖地必须选择在生态环境良好、</w:t>
      </w:r>
      <w:r>
        <w:rPr>
          <w:rFonts w:ascii="宋体" w:hAnsi="宋体" w:eastAsia="宋体" w:cs="宋体"/>
          <w:spacing w:val="6"/>
          <w:sz w:val="23"/>
          <w:szCs w:val="23"/>
        </w:rPr>
        <w:t>无</w:t>
      </w:r>
      <w:r>
        <w:rPr>
          <w:rFonts w:ascii="宋体" w:hAnsi="宋体" w:eastAsia="宋体" w:cs="宋体"/>
          <w:sz w:val="23"/>
          <w:szCs w:val="23"/>
        </w:rPr>
        <w:t xml:space="preserve"> </w:t>
      </w:r>
      <w:r>
        <w:rPr>
          <w:rFonts w:ascii="宋体" w:hAnsi="宋体" w:eastAsia="宋体" w:cs="宋体"/>
          <w:spacing w:val="22"/>
          <w:sz w:val="23"/>
          <w:szCs w:val="23"/>
        </w:rPr>
        <w:t>或</w:t>
      </w:r>
      <w:r>
        <w:rPr>
          <w:rFonts w:ascii="宋体" w:hAnsi="宋体" w:eastAsia="宋体" w:cs="宋体"/>
          <w:spacing w:val="17"/>
          <w:sz w:val="23"/>
          <w:szCs w:val="23"/>
        </w:rPr>
        <w:t>不</w:t>
      </w:r>
      <w:r>
        <w:rPr>
          <w:rFonts w:ascii="宋体" w:hAnsi="宋体" w:eastAsia="宋体" w:cs="宋体"/>
          <w:spacing w:val="11"/>
          <w:sz w:val="23"/>
          <w:szCs w:val="23"/>
        </w:rPr>
        <w:t>直接受工业</w:t>
      </w:r>
      <w:r>
        <w:rPr>
          <w:rFonts w:ascii="Times New Roman" w:hAnsi="Times New Roman" w:eastAsia="Times New Roman" w:cs="Times New Roman"/>
          <w:spacing w:val="11"/>
          <w:sz w:val="23"/>
          <w:szCs w:val="23"/>
        </w:rPr>
        <w:t>“</w:t>
      </w:r>
      <w:r>
        <w:rPr>
          <w:rFonts w:ascii="宋体" w:hAnsi="宋体" w:eastAsia="宋体" w:cs="宋体"/>
          <w:spacing w:val="11"/>
          <w:sz w:val="23"/>
          <w:szCs w:val="23"/>
        </w:rPr>
        <w:t>三废</w:t>
      </w:r>
      <w:r>
        <w:rPr>
          <w:rFonts w:ascii="Times New Roman" w:hAnsi="Times New Roman" w:eastAsia="Times New Roman" w:cs="Times New Roman"/>
          <w:spacing w:val="11"/>
          <w:sz w:val="23"/>
          <w:szCs w:val="23"/>
        </w:rPr>
        <w:t>”</w:t>
      </w:r>
      <w:r>
        <w:rPr>
          <w:rFonts w:ascii="宋体" w:hAnsi="宋体" w:eastAsia="宋体" w:cs="宋体"/>
          <w:spacing w:val="11"/>
          <w:sz w:val="23"/>
          <w:szCs w:val="23"/>
        </w:rPr>
        <w:t>及农业、城镇生活、医疗废弃物污染的生产区域。选址应参</w:t>
      </w:r>
      <w:r>
        <w:rPr>
          <w:rFonts w:ascii="宋体" w:hAnsi="宋体" w:eastAsia="宋体" w:cs="宋体"/>
          <w:sz w:val="23"/>
          <w:szCs w:val="23"/>
        </w:rPr>
        <w:t xml:space="preserve"> </w:t>
      </w:r>
      <w:r>
        <w:rPr>
          <w:rFonts w:ascii="宋体" w:hAnsi="宋体" w:eastAsia="宋体" w:cs="宋体"/>
          <w:spacing w:val="13"/>
          <w:sz w:val="23"/>
          <w:szCs w:val="23"/>
        </w:rPr>
        <w:t>照</w:t>
      </w:r>
      <w:r>
        <w:rPr>
          <w:rFonts w:ascii="宋体" w:hAnsi="宋体" w:eastAsia="宋体" w:cs="宋体"/>
          <w:spacing w:val="11"/>
          <w:sz w:val="23"/>
          <w:szCs w:val="23"/>
        </w:rPr>
        <w:t>国家相关标准的规定，避开水源防护区、风景名胜区、人口密集区等环境敏感地</w:t>
      </w:r>
      <w:r>
        <w:rPr>
          <w:rFonts w:ascii="宋体" w:hAnsi="宋体" w:eastAsia="宋体" w:cs="宋体"/>
          <w:sz w:val="23"/>
          <w:szCs w:val="23"/>
        </w:rPr>
        <w:t xml:space="preserve"> </w:t>
      </w:r>
      <w:r>
        <w:rPr>
          <w:rFonts w:ascii="宋体" w:hAnsi="宋体" w:eastAsia="宋体" w:cs="宋体"/>
          <w:spacing w:val="19"/>
          <w:sz w:val="23"/>
          <w:szCs w:val="23"/>
        </w:rPr>
        <w:t>区</w:t>
      </w:r>
      <w:r>
        <w:rPr>
          <w:rFonts w:ascii="宋体" w:hAnsi="宋体" w:eastAsia="宋体" w:cs="宋体"/>
          <w:spacing w:val="10"/>
          <w:sz w:val="23"/>
          <w:szCs w:val="23"/>
        </w:rPr>
        <w:t xml:space="preserve">，符合环境保护、兽医防疫要求。养殖区周围 </w:t>
      </w:r>
      <w:r>
        <w:rPr>
          <w:rFonts w:ascii="Times New Roman" w:hAnsi="Times New Roman" w:eastAsia="Times New Roman" w:cs="Times New Roman"/>
          <w:spacing w:val="10"/>
          <w:sz w:val="23"/>
          <w:szCs w:val="23"/>
        </w:rPr>
        <w:t>500</w:t>
      </w:r>
      <w:r>
        <w:rPr>
          <w:rFonts w:ascii="Times New Roman" w:hAnsi="Times New Roman" w:eastAsia="Times New Roman" w:cs="Times New Roman"/>
          <w:sz w:val="23"/>
          <w:szCs w:val="23"/>
        </w:rPr>
        <w:t>m</w:t>
      </w:r>
      <w:r>
        <w:rPr>
          <w:rFonts w:ascii="Times New Roman" w:hAnsi="Times New Roman" w:eastAsia="Times New Roman" w:cs="Times New Roman"/>
          <w:spacing w:val="10"/>
          <w:sz w:val="23"/>
          <w:szCs w:val="23"/>
        </w:rPr>
        <w:t xml:space="preserve"> </w:t>
      </w:r>
      <w:r>
        <w:rPr>
          <w:rFonts w:ascii="宋体" w:hAnsi="宋体" w:eastAsia="宋体" w:cs="宋体"/>
          <w:spacing w:val="10"/>
          <w:sz w:val="23"/>
          <w:szCs w:val="23"/>
        </w:rPr>
        <w:t>范围内、水源上游没有对产</w:t>
      </w:r>
      <w:r>
        <w:rPr>
          <w:rFonts w:ascii="宋体" w:hAnsi="宋体" w:eastAsia="宋体" w:cs="宋体"/>
          <w:sz w:val="23"/>
          <w:szCs w:val="23"/>
        </w:rPr>
        <w:t xml:space="preserve"> </w:t>
      </w:r>
      <w:r>
        <w:rPr>
          <w:rFonts w:ascii="宋体" w:hAnsi="宋体" w:eastAsia="宋体" w:cs="宋体"/>
          <w:spacing w:val="18"/>
          <w:sz w:val="23"/>
          <w:szCs w:val="23"/>
        </w:rPr>
        <w:t>地环</w:t>
      </w:r>
      <w:r>
        <w:rPr>
          <w:rFonts w:ascii="宋体" w:hAnsi="宋体" w:eastAsia="宋体" w:cs="宋体"/>
          <w:spacing w:val="13"/>
          <w:sz w:val="23"/>
          <w:szCs w:val="23"/>
        </w:rPr>
        <w:t>境</w:t>
      </w:r>
      <w:r>
        <w:rPr>
          <w:rFonts w:ascii="宋体" w:hAnsi="宋体" w:eastAsia="宋体" w:cs="宋体"/>
          <w:spacing w:val="9"/>
          <w:sz w:val="23"/>
          <w:szCs w:val="23"/>
        </w:rPr>
        <w:t>构成威胁的污染源，包括工业</w:t>
      </w:r>
      <w:r>
        <w:rPr>
          <w:rFonts w:ascii="Times New Roman" w:hAnsi="Times New Roman" w:eastAsia="Times New Roman" w:cs="Times New Roman"/>
          <w:spacing w:val="9"/>
          <w:sz w:val="23"/>
          <w:szCs w:val="23"/>
        </w:rPr>
        <w:t>“</w:t>
      </w:r>
      <w:r>
        <w:rPr>
          <w:rFonts w:ascii="宋体" w:hAnsi="宋体" w:eastAsia="宋体" w:cs="宋体"/>
          <w:spacing w:val="9"/>
          <w:sz w:val="23"/>
          <w:szCs w:val="23"/>
        </w:rPr>
        <w:t>三废</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、农业废弃物、医院污水及废弃物、城</w:t>
      </w:r>
    </w:p>
    <w:p w14:paraId="2539DEA6">
      <w:pPr>
        <w:spacing w:before="1" w:line="227" w:lineRule="auto"/>
        <w:ind w:left="529"/>
        <w:rPr>
          <w:rFonts w:ascii="宋体" w:hAnsi="宋体" w:eastAsia="宋体" w:cs="宋体"/>
          <w:sz w:val="23"/>
          <w:szCs w:val="23"/>
        </w:rPr>
      </w:pPr>
      <w:r>
        <w:rPr>
          <w:rFonts w:ascii="宋体" w:hAnsi="宋体" w:eastAsia="宋体" w:cs="宋体"/>
          <w:spacing w:val="8"/>
          <w:sz w:val="23"/>
          <w:szCs w:val="23"/>
        </w:rPr>
        <w:t>市垃圾和生活污水等污染物。</w:t>
      </w:r>
    </w:p>
    <w:p w14:paraId="381F56B4">
      <w:pPr>
        <w:spacing w:before="139" w:line="323" w:lineRule="exact"/>
        <w:ind w:left="1014"/>
        <w:rPr>
          <w:rFonts w:ascii="宋体" w:hAnsi="宋体" w:eastAsia="宋体" w:cs="宋体"/>
          <w:sz w:val="23"/>
          <w:szCs w:val="23"/>
        </w:rPr>
      </w:pPr>
      <w:r>
        <w:rPr>
          <w:rFonts w:ascii="宋体" w:hAnsi="宋体" w:eastAsia="宋体" w:cs="宋体"/>
          <w:spacing w:val="10"/>
          <w:position w:val="1"/>
          <w:sz w:val="23"/>
          <w:szCs w:val="23"/>
        </w:rPr>
        <w:t>(</w:t>
      </w:r>
      <w:r>
        <w:rPr>
          <w:rFonts w:ascii="Times New Roman" w:hAnsi="Times New Roman" w:eastAsia="Times New Roman" w:cs="Times New Roman"/>
          <w:spacing w:val="10"/>
          <w:position w:val="1"/>
          <w:sz w:val="23"/>
          <w:szCs w:val="23"/>
        </w:rPr>
        <w:t>2</w:t>
      </w:r>
      <w:r>
        <w:rPr>
          <w:rFonts w:ascii="宋体" w:hAnsi="宋体" w:eastAsia="宋体" w:cs="宋体"/>
          <w:spacing w:val="10"/>
          <w:position w:val="1"/>
          <w:sz w:val="23"/>
          <w:szCs w:val="23"/>
        </w:rPr>
        <w:t>) 根据《畜禽养殖业污染防治技术规范》  (</w:t>
      </w:r>
      <w:r>
        <w:rPr>
          <w:rFonts w:ascii="Times New Roman" w:hAnsi="Times New Roman" w:eastAsia="Times New Roman" w:cs="Times New Roman"/>
          <w:position w:val="1"/>
          <w:sz w:val="23"/>
          <w:szCs w:val="23"/>
        </w:rPr>
        <w:t>HJ</w:t>
      </w:r>
      <w:r>
        <w:rPr>
          <w:rFonts w:ascii="Times New Roman" w:hAnsi="Times New Roman" w:eastAsia="Times New Roman" w:cs="Times New Roman"/>
          <w:spacing w:val="10"/>
          <w:position w:val="1"/>
          <w:sz w:val="23"/>
          <w:szCs w:val="23"/>
        </w:rPr>
        <w:t>/</w:t>
      </w:r>
      <w:r>
        <w:rPr>
          <w:rFonts w:ascii="Times New Roman" w:hAnsi="Times New Roman" w:eastAsia="Times New Roman" w:cs="Times New Roman"/>
          <w:position w:val="1"/>
          <w:sz w:val="23"/>
          <w:szCs w:val="23"/>
        </w:rPr>
        <w:t>T</w:t>
      </w:r>
      <w:r>
        <w:rPr>
          <w:rFonts w:ascii="Times New Roman" w:hAnsi="Times New Roman" w:eastAsia="Times New Roman" w:cs="Times New Roman"/>
          <w:spacing w:val="10"/>
          <w:position w:val="1"/>
          <w:sz w:val="23"/>
          <w:szCs w:val="23"/>
        </w:rPr>
        <w:t>81-2001</w:t>
      </w:r>
      <w:r>
        <w:rPr>
          <w:rFonts w:ascii="宋体" w:hAnsi="宋体" w:eastAsia="宋体" w:cs="宋体"/>
          <w:spacing w:val="10"/>
          <w:position w:val="1"/>
          <w:sz w:val="23"/>
          <w:szCs w:val="23"/>
        </w:rPr>
        <w:t>) 对养殖场选址</w:t>
      </w:r>
      <w:r>
        <w:rPr>
          <w:rFonts w:ascii="宋体" w:hAnsi="宋体" w:eastAsia="宋体" w:cs="宋体"/>
          <w:spacing w:val="5"/>
          <w:position w:val="1"/>
          <w:sz w:val="23"/>
          <w:szCs w:val="23"/>
        </w:rPr>
        <w:t>的</w:t>
      </w:r>
    </w:p>
    <w:p w14:paraId="254E0D69">
      <w:pPr>
        <w:sectPr>
          <w:footerReference r:id="rId45" w:type="default"/>
          <w:pgSz w:w="11907" w:h="16840"/>
          <w:pgMar w:top="400" w:right="1046" w:bottom="1277" w:left="1146" w:header="0" w:footer="1114" w:gutter="0"/>
          <w:cols w:space="720" w:num="1"/>
        </w:sectPr>
      </w:pPr>
    </w:p>
    <w:p w14:paraId="3E653CB4">
      <w:pPr>
        <w:spacing w:before="39" w:line="375" w:lineRule="auto"/>
        <w:ind w:left="9" w:firstLine="1"/>
        <w:rPr>
          <w:rFonts w:ascii="宋体" w:hAnsi="宋体" w:eastAsia="宋体" w:cs="宋体"/>
          <w:sz w:val="23"/>
          <w:szCs w:val="23"/>
        </w:rPr>
      </w:pPr>
      <w:r>
        <w:rPr>
          <w:rFonts w:ascii="宋体" w:hAnsi="宋体" w:eastAsia="宋体" w:cs="宋体"/>
          <w:spacing w:val="12"/>
          <w:sz w:val="23"/>
          <w:szCs w:val="23"/>
        </w:rPr>
        <w:t>有关要求</w:t>
      </w:r>
      <w:r>
        <w:rPr>
          <w:rFonts w:ascii="宋体" w:hAnsi="宋体" w:eastAsia="宋体" w:cs="宋体"/>
          <w:spacing w:val="7"/>
          <w:sz w:val="23"/>
          <w:szCs w:val="23"/>
        </w:rPr>
        <w:t>，</w:t>
      </w:r>
      <w:r>
        <w:rPr>
          <w:rFonts w:ascii="宋体" w:hAnsi="宋体" w:eastAsia="宋体" w:cs="宋体"/>
          <w:spacing w:val="6"/>
          <w:sz w:val="23"/>
          <w:szCs w:val="23"/>
        </w:rPr>
        <w:t>畜禽养殖场应避开以下禁建区域：生活饮用水水源保护区、风景名胜区、</w:t>
      </w:r>
      <w:r>
        <w:rPr>
          <w:rFonts w:ascii="宋体" w:hAnsi="宋体" w:eastAsia="宋体" w:cs="宋体"/>
          <w:sz w:val="23"/>
          <w:szCs w:val="23"/>
        </w:rPr>
        <w:t xml:space="preserve"> </w:t>
      </w:r>
      <w:r>
        <w:rPr>
          <w:rFonts w:ascii="宋体" w:hAnsi="宋体" w:eastAsia="宋体" w:cs="宋体"/>
          <w:spacing w:val="14"/>
          <w:sz w:val="23"/>
          <w:szCs w:val="23"/>
        </w:rPr>
        <w:t>自</w:t>
      </w:r>
      <w:r>
        <w:rPr>
          <w:rFonts w:ascii="宋体" w:hAnsi="宋体" w:eastAsia="宋体" w:cs="宋体"/>
          <w:spacing w:val="11"/>
          <w:sz w:val="23"/>
          <w:szCs w:val="23"/>
        </w:rPr>
        <w:t>然保护区的核心区及缓冲区；城市和城镇居民区，包括文教科研区、医疗区、商</w:t>
      </w:r>
      <w:r>
        <w:rPr>
          <w:rFonts w:ascii="宋体" w:hAnsi="宋体" w:eastAsia="宋体" w:cs="宋体"/>
          <w:sz w:val="23"/>
          <w:szCs w:val="23"/>
        </w:rPr>
        <w:t xml:space="preserve"> </w:t>
      </w:r>
      <w:r>
        <w:rPr>
          <w:rFonts w:ascii="宋体" w:hAnsi="宋体" w:eastAsia="宋体" w:cs="宋体"/>
          <w:spacing w:val="14"/>
          <w:sz w:val="23"/>
          <w:szCs w:val="23"/>
        </w:rPr>
        <w:t>业</w:t>
      </w:r>
      <w:r>
        <w:rPr>
          <w:rFonts w:ascii="宋体" w:hAnsi="宋体" w:eastAsia="宋体" w:cs="宋体"/>
          <w:spacing w:val="11"/>
          <w:sz w:val="23"/>
          <w:szCs w:val="23"/>
        </w:rPr>
        <w:t>区、工业区、游览区等人口集中地区；县级人民政府依法划定的禁养区域；国家</w:t>
      </w:r>
      <w:r>
        <w:rPr>
          <w:rFonts w:ascii="宋体" w:hAnsi="宋体" w:eastAsia="宋体" w:cs="宋体"/>
          <w:sz w:val="23"/>
          <w:szCs w:val="23"/>
        </w:rPr>
        <w:t xml:space="preserve"> </w:t>
      </w:r>
      <w:r>
        <w:rPr>
          <w:rFonts w:ascii="宋体" w:hAnsi="宋体" w:eastAsia="宋体" w:cs="宋体"/>
          <w:spacing w:val="14"/>
          <w:sz w:val="23"/>
          <w:szCs w:val="23"/>
        </w:rPr>
        <w:t>或</w:t>
      </w:r>
      <w:r>
        <w:rPr>
          <w:rFonts w:ascii="宋体" w:hAnsi="宋体" w:eastAsia="宋体" w:cs="宋体"/>
          <w:spacing w:val="11"/>
          <w:sz w:val="23"/>
          <w:szCs w:val="23"/>
        </w:rPr>
        <w:t>地方法律、法规规定需特殊保护的其他区域，在禁建区域附近建设的，应设在上</w:t>
      </w:r>
      <w:r>
        <w:rPr>
          <w:rFonts w:ascii="宋体" w:hAnsi="宋体" w:eastAsia="宋体" w:cs="宋体"/>
          <w:sz w:val="23"/>
          <w:szCs w:val="23"/>
        </w:rPr>
        <w:t xml:space="preserve"> </w:t>
      </w:r>
      <w:r>
        <w:rPr>
          <w:rFonts w:ascii="宋体" w:hAnsi="宋体" w:eastAsia="宋体" w:cs="宋体"/>
          <w:spacing w:val="14"/>
          <w:sz w:val="23"/>
          <w:szCs w:val="23"/>
        </w:rPr>
        <w:t>述</w:t>
      </w:r>
      <w:r>
        <w:rPr>
          <w:rFonts w:ascii="宋体" w:hAnsi="宋体" w:eastAsia="宋体" w:cs="宋体"/>
          <w:spacing w:val="11"/>
          <w:sz w:val="23"/>
          <w:szCs w:val="23"/>
        </w:rPr>
        <w:t>禁建区域常年主导风向的下风向或侧风向处，场界与禁建区域边界的最小距离不</w:t>
      </w:r>
      <w:r>
        <w:rPr>
          <w:rFonts w:ascii="宋体" w:hAnsi="宋体" w:eastAsia="宋体" w:cs="宋体"/>
          <w:sz w:val="23"/>
          <w:szCs w:val="23"/>
        </w:rPr>
        <w:t xml:space="preserve"> </w:t>
      </w:r>
      <w:r>
        <w:rPr>
          <w:rFonts w:ascii="宋体" w:hAnsi="宋体" w:eastAsia="宋体" w:cs="宋体"/>
          <w:spacing w:val="10"/>
          <w:sz w:val="23"/>
          <w:szCs w:val="23"/>
        </w:rPr>
        <w:t xml:space="preserve">得小于 </w:t>
      </w:r>
      <w:r>
        <w:rPr>
          <w:rFonts w:ascii="Times New Roman" w:hAnsi="Times New Roman" w:eastAsia="Times New Roman" w:cs="Times New Roman"/>
          <w:spacing w:val="8"/>
          <w:sz w:val="23"/>
          <w:szCs w:val="23"/>
        </w:rPr>
        <w:t>5</w:t>
      </w:r>
      <w:r>
        <w:rPr>
          <w:rFonts w:ascii="Times New Roman" w:hAnsi="Times New Roman" w:eastAsia="Times New Roman" w:cs="Times New Roman"/>
          <w:spacing w:val="5"/>
          <w:sz w:val="23"/>
          <w:szCs w:val="23"/>
        </w:rPr>
        <w:t>00</w:t>
      </w:r>
      <w:r>
        <w:rPr>
          <w:rFonts w:ascii="Times New Roman" w:hAnsi="Times New Roman" w:eastAsia="Times New Roman" w:cs="Times New Roman"/>
          <w:sz w:val="23"/>
          <w:szCs w:val="23"/>
        </w:rPr>
        <w:t>m</w:t>
      </w:r>
      <w:r>
        <w:rPr>
          <w:rFonts w:ascii="宋体" w:hAnsi="宋体" w:eastAsia="宋体" w:cs="宋体"/>
          <w:spacing w:val="5"/>
          <w:sz w:val="23"/>
          <w:szCs w:val="23"/>
        </w:rPr>
        <w:t>。且畜禽粪便的贮存设施的位置必须远离各类功能地表水体 (距离不得</w:t>
      </w:r>
      <w:r>
        <w:rPr>
          <w:rFonts w:ascii="宋体" w:hAnsi="宋体" w:eastAsia="宋体" w:cs="宋体"/>
          <w:sz w:val="23"/>
          <w:szCs w:val="23"/>
        </w:rPr>
        <w:t xml:space="preserve"> </w:t>
      </w:r>
      <w:r>
        <w:rPr>
          <w:rFonts w:ascii="宋体" w:hAnsi="宋体" w:eastAsia="宋体" w:cs="宋体"/>
          <w:spacing w:val="10"/>
          <w:sz w:val="23"/>
          <w:szCs w:val="23"/>
        </w:rPr>
        <w:t xml:space="preserve">小于 </w:t>
      </w:r>
      <w:r>
        <w:rPr>
          <w:rFonts w:ascii="Times New Roman" w:hAnsi="Times New Roman" w:eastAsia="Times New Roman" w:cs="Times New Roman"/>
          <w:spacing w:val="10"/>
          <w:sz w:val="23"/>
          <w:szCs w:val="23"/>
        </w:rPr>
        <w:t>4</w:t>
      </w:r>
      <w:r>
        <w:rPr>
          <w:rFonts w:ascii="Times New Roman" w:hAnsi="Times New Roman" w:eastAsia="Times New Roman" w:cs="Times New Roman"/>
          <w:spacing w:val="8"/>
          <w:sz w:val="23"/>
          <w:szCs w:val="23"/>
        </w:rPr>
        <w:t>0</w:t>
      </w:r>
      <w:r>
        <w:rPr>
          <w:rFonts w:ascii="Times New Roman" w:hAnsi="Times New Roman" w:eastAsia="Times New Roman" w:cs="Times New Roman"/>
          <w:spacing w:val="5"/>
          <w:sz w:val="23"/>
          <w:szCs w:val="23"/>
        </w:rPr>
        <w:t>0</w:t>
      </w:r>
      <w:r>
        <w:rPr>
          <w:rFonts w:ascii="Times New Roman" w:hAnsi="Times New Roman" w:eastAsia="Times New Roman" w:cs="Times New Roman"/>
          <w:sz w:val="23"/>
          <w:szCs w:val="23"/>
        </w:rPr>
        <w:t>m</w:t>
      </w:r>
      <w:r>
        <w:rPr>
          <w:rFonts w:ascii="宋体" w:hAnsi="宋体" w:eastAsia="宋体" w:cs="宋体"/>
          <w:spacing w:val="5"/>
          <w:sz w:val="23"/>
          <w:szCs w:val="23"/>
        </w:rPr>
        <w:t>) ，并应设在养殖场生产及生活管理区的常年主导风向的下风向或侧风向</w:t>
      </w:r>
      <w:r>
        <w:rPr>
          <w:rFonts w:ascii="宋体" w:hAnsi="宋体" w:eastAsia="宋体" w:cs="宋体"/>
          <w:sz w:val="23"/>
          <w:szCs w:val="23"/>
        </w:rPr>
        <w:t xml:space="preserve"> </w:t>
      </w:r>
      <w:r>
        <w:rPr>
          <w:rFonts w:ascii="宋体" w:hAnsi="宋体" w:eastAsia="宋体" w:cs="宋体"/>
          <w:spacing w:val="1"/>
          <w:sz w:val="23"/>
          <w:szCs w:val="23"/>
        </w:rPr>
        <w:t>处</w:t>
      </w:r>
      <w:r>
        <w:rPr>
          <w:rFonts w:ascii="宋体" w:hAnsi="宋体" w:eastAsia="宋体" w:cs="宋体"/>
          <w:sz w:val="23"/>
          <w:szCs w:val="23"/>
        </w:rPr>
        <w:t>。</w:t>
      </w:r>
    </w:p>
    <w:p w14:paraId="4CD68AC6">
      <w:pPr>
        <w:spacing w:before="5" w:line="374" w:lineRule="auto"/>
        <w:ind w:left="10" w:right="80" w:firstLine="491"/>
        <w:rPr>
          <w:rFonts w:ascii="宋体" w:hAnsi="宋体" w:eastAsia="宋体" w:cs="宋体"/>
          <w:sz w:val="23"/>
          <w:szCs w:val="23"/>
        </w:rPr>
      </w:pPr>
      <w:r>
        <w:rPr>
          <w:rFonts w:ascii="宋体" w:hAnsi="宋体" w:eastAsia="宋体" w:cs="宋体"/>
          <w:spacing w:val="14"/>
          <w:sz w:val="23"/>
          <w:szCs w:val="23"/>
        </w:rPr>
        <w:t>(</w:t>
      </w:r>
      <w:r>
        <w:rPr>
          <w:rFonts w:ascii="Times New Roman" w:hAnsi="Times New Roman" w:eastAsia="Times New Roman" w:cs="Times New Roman"/>
          <w:spacing w:val="13"/>
          <w:sz w:val="23"/>
          <w:szCs w:val="23"/>
        </w:rPr>
        <w:t>3</w:t>
      </w:r>
      <w:r>
        <w:rPr>
          <w:rFonts w:ascii="宋体" w:hAnsi="宋体" w:eastAsia="宋体" w:cs="宋体"/>
          <w:spacing w:val="7"/>
          <w:sz w:val="23"/>
          <w:szCs w:val="23"/>
        </w:rPr>
        <w:t xml:space="preserve">) 根据《动物防疫条件审查办法》  (中华人民共和国农业部令 </w:t>
      </w:r>
      <w:r>
        <w:rPr>
          <w:rFonts w:ascii="Times New Roman" w:hAnsi="Times New Roman" w:eastAsia="Times New Roman" w:cs="Times New Roman"/>
          <w:spacing w:val="7"/>
          <w:sz w:val="23"/>
          <w:szCs w:val="23"/>
        </w:rPr>
        <w:t xml:space="preserve">2010 </w:t>
      </w:r>
      <w:r>
        <w:rPr>
          <w:rFonts w:ascii="宋体" w:hAnsi="宋体" w:eastAsia="宋体" w:cs="宋体"/>
          <w:spacing w:val="7"/>
          <w:sz w:val="23"/>
          <w:szCs w:val="23"/>
        </w:rPr>
        <w:t xml:space="preserve">年第 </w:t>
      </w:r>
      <w:r>
        <w:rPr>
          <w:rFonts w:ascii="Times New Roman" w:hAnsi="Times New Roman" w:eastAsia="Times New Roman" w:cs="Times New Roman"/>
          <w:spacing w:val="7"/>
          <w:sz w:val="23"/>
          <w:szCs w:val="23"/>
        </w:rPr>
        <w:t>7</w:t>
      </w:r>
      <w:r>
        <w:rPr>
          <w:rFonts w:ascii="Times New Roman" w:hAnsi="Times New Roman" w:eastAsia="Times New Roman" w:cs="Times New Roman"/>
          <w:sz w:val="23"/>
          <w:szCs w:val="23"/>
        </w:rPr>
        <w:t xml:space="preserve"> </w:t>
      </w:r>
      <w:r>
        <w:rPr>
          <w:rFonts w:ascii="宋体" w:hAnsi="宋体" w:eastAsia="宋体" w:cs="宋体"/>
          <w:spacing w:val="20"/>
          <w:sz w:val="23"/>
          <w:szCs w:val="23"/>
        </w:rPr>
        <w:t>号)</w:t>
      </w:r>
      <w:r>
        <w:rPr>
          <w:rFonts w:ascii="宋体" w:hAnsi="宋体" w:eastAsia="宋体" w:cs="宋体"/>
          <w:spacing w:val="18"/>
          <w:sz w:val="23"/>
          <w:szCs w:val="23"/>
        </w:rPr>
        <w:t xml:space="preserve"> </w:t>
      </w:r>
      <w:r>
        <w:rPr>
          <w:rFonts w:ascii="宋体" w:hAnsi="宋体" w:eastAsia="宋体" w:cs="宋体"/>
          <w:spacing w:val="10"/>
          <w:sz w:val="23"/>
          <w:szCs w:val="23"/>
        </w:rPr>
        <w:t>动物饲养场、养殖小区选址应符合以下条件：距离生活饮用水源地、动物屠宰</w:t>
      </w:r>
      <w:r>
        <w:rPr>
          <w:rFonts w:ascii="宋体" w:hAnsi="宋体" w:eastAsia="宋体" w:cs="宋体"/>
          <w:sz w:val="23"/>
          <w:szCs w:val="23"/>
        </w:rPr>
        <w:t xml:space="preserve"> </w:t>
      </w:r>
      <w:r>
        <w:rPr>
          <w:rFonts w:ascii="宋体" w:hAnsi="宋体" w:eastAsia="宋体" w:cs="宋体"/>
          <w:spacing w:val="12"/>
          <w:sz w:val="23"/>
          <w:szCs w:val="23"/>
        </w:rPr>
        <w:t>加工场所</w:t>
      </w:r>
      <w:r>
        <w:rPr>
          <w:rFonts w:ascii="宋体" w:hAnsi="宋体" w:eastAsia="宋体" w:cs="宋体"/>
          <w:spacing w:val="6"/>
          <w:sz w:val="23"/>
          <w:szCs w:val="23"/>
        </w:rPr>
        <w:t xml:space="preserve">、动物和动物产品集贸市场 </w:t>
      </w:r>
      <w:r>
        <w:rPr>
          <w:rFonts w:ascii="Times New Roman" w:hAnsi="Times New Roman" w:eastAsia="Times New Roman" w:cs="Times New Roman"/>
          <w:spacing w:val="6"/>
          <w:sz w:val="23"/>
          <w:szCs w:val="23"/>
        </w:rPr>
        <w:t>500</w:t>
      </w:r>
      <w:r>
        <w:rPr>
          <w:rFonts w:ascii="Times New Roman" w:hAnsi="Times New Roman" w:eastAsia="Times New Roman" w:cs="Times New Roman"/>
          <w:sz w:val="23"/>
          <w:szCs w:val="23"/>
        </w:rPr>
        <w:t>m</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 xml:space="preserve">以上，距离种畜禽场 </w:t>
      </w:r>
      <w:r>
        <w:rPr>
          <w:rFonts w:ascii="Times New Roman" w:hAnsi="Times New Roman" w:eastAsia="Times New Roman" w:cs="Times New Roman"/>
          <w:spacing w:val="6"/>
          <w:sz w:val="23"/>
          <w:szCs w:val="23"/>
        </w:rPr>
        <w:t>1000</w:t>
      </w:r>
      <w:r>
        <w:rPr>
          <w:rFonts w:ascii="Times New Roman" w:hAnsi="Times New Roman" w:eastAsia="Times New Roman" w:cs="Times New Roman"/>
          <w:sz w:val="23"/>
          <w:szCs w:val="23"/>
        </w:rPr>
        <w:t>m</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以上，距离</w:t>
      </w:r>
      <w:r>
        <w:rPr>
          <w:rFonts w:ascii="宋体" w:hAnsi="宋体" w:eastAsia="宋体" w:cs="宋体"/>
          <w:sz w:val="23"/>
          <w:szCs w:val="23"/>
        </w:rPr>
        <w:t xml:space="preserve"> </w:t>
      </w:r>
      <w:r>
        <w:rPr>
          <w:rFonts w:ascii="宋体" w:hAnsi="宋体" w:eastAsia="宋体" w:cs="宋体"/>
          <w:spacing w:val="8"/>
          <w:sz w:val="23"/>
          <w:szCs w:val="23"/>
        </w:rPr>
        <w:t>动</w:t>
      </w:r>
      <w:r>
        <w:rPr>
          <w:rFonts w:ascii="宋体" w:hAnsi="宋体" w:eastAsia="宋体" w:cs="宋体"/>
          <w:spacing w:val="5"/>
          <w:sz w:val="23"/>
          <w:szCs w:val="23"/>
        </w:rPr>
        <w:t xml:space="preserve">物诊疗场所 </w:t>
      </w:r>
      <w:r>
        <w:rPr>
          <w:rFonts w:ascii="Times New Roman" w:hAnsi="Times New Roman" w:eastAsia="Times New Roman" w:cs="Times New Roman"/>
          <w:spacing w:val="5"/>
          <w:sz w:val="23"/>
          <w:szCs w:val="23"/>
        </w:rPr>
        <w:t>200</w:t>
      </w:r>
      <w:r>
        <w:rPr>
          <w:rFonts w:ascii="Times New Roman" w:hAnsi="Times New Roman" w:eastAsia="Times New Roman" w:cs="Times New Roman"/>
          <w:sz w:val="23"/>
          <w:szCs w:val="23"/>
        </w:rPr>
        <w:t>m</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 xml:space="preserve">以上，动物养殖场 (养殖小区) 之间距离不少于 </w:t>
      </w:r>
      <w:r>
        <w:rPr>
          <w:rFonts w:ascii="Times New Roman" w:hAnsi="Times New Roman" w:eastAsia="Times New Roman" w:cs="Times New Roman"/>
          <w:spacing w:val="5"/>
          <w:sz w:val="23"/>
          <w:szCs w:val="23"/>
        </w:rPr>
        <w:t>500</w:t>
      </w:r>
      <w:r>
        <w:rPr>
          <w:rFonts w:ascii="Times New Roman" w:hAnsi="Times New Roman" w:eastAsia="Times New Roman" w:cs="Times New Roman"/>
          <w:sz w:val="23"/>
          <w:szCs w:val="23"/>
        </w:rPr>
        <w:t>m</w:t>
      </w:r>
      <w:r>
        <w:rPr>
          <w:rFonts w:ascii="宋体" w:hAnsi="宋体" w:eastAsia="宋体" w:cs="宋体"/>
          <w:spacing w:val="5"/>
          <w:sz w:val="23"/>
          <w:szCs w:val="23"/>
        </w:rPr>
        <w:t>；距离动</w:t>
      </w:r>
      <w:r>
        <w:rPr>
          <w:rFonts w:ascii="宋体" w:hAnsi="宋体" w:eastAsia="宋体" w:cs="宋体"/>
          <w:sz w:val="23"/>
          <w:szCs w:val="23"/>
        </w:rPr>
        <w:t xml:space="preserve"> </w:t>
      </w:r>
      <w:r>
        <w:rPr>
          <w:rFonts w:ascii="宋体" w:hAnsi="宋体" w:eastAsia="宋体" w:cs="宋体"/>
          <w:spacing w:val="11"/>
          <w:sz w:val="23"/>
          <w:szCs w:val="23"/>
        </w:rPr>
        <w:t>物</w:t>
      </w:r>
      <w:r>
        <w:rPr>
          <w:rFonts w:ascii="宋体" w:hAnsi="宋体" w:eastAsia="宋体" w:cs="宋体"/>
          <w:spacing w:val="7"/>
          <w:sz w:val="23"/>
          <w:szCs w:val="23"/>
        </w:rPr>
        <w:t xml:space="preserve">隔离场所、无害化处理场所 </w:t>
      </w:r>
      <w:r>
        <w:rPr>
          <w:rFonts w:ascii="Times New Roman" w:hAnsi="Times New Roman" w:eastAsia="Times New Roman" w:cs="Times New Roman"/>
          <w:spacing w:val="7"/>
          <w:sz w:val="23"/>
          <w:szCs w:val="23"/>
        </w:rPr>
        <w:t>3000</w:t>
      </w:r>
      <w:r>
        <w:rPr>
          <w:rFonts w:ascii="Times New Roman" w:hAnsi="Times New Roman" w:eastAsia="Times New Roman" w:cs="Times New Roman"/>
          <w:sz w:val="23"/>
          <w:szCs w:val="23"/>
        </w:rPr>
        <w:t>m</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以上；距离城镇居民区、文化教育科研等人口</w:t>
      </w:r>
      <w:r>
        <w:rPr>
          <w:rFonts w:ascii="宋体" w:hAnsi="宋体" w:eastAsia="宋体" w:cs="宋体"/>
          <w:sz w:val="23"/>
          <w:szCs w:val="23"/>
        </w:rPr>
        <w:t xml:space="preserve"> </w:t>
      </w:r>
      <w:r>
        <w:rPr>
          <w:rFonts w:ascii="宋体" w:hAnsi="宋体" w:eastAsia="宋体" w:cs="宋体"/>
          <w:spacing w:val="6"/>
          <w:sz w:val="23"/>
          <w:szCs w:val="23"/>
        </w:rPr>
        <w:t xml:space="preserve">集中区域及公路、铁路等主要交通干线 </w:t>
      </w:r>
      <w:r>
        <w:rPr>
          <w:rFonts w:ascii="Times New Roman" w:hAnsi="Times New Roman" w:eastAsia="Times New Roman" w:cs="Times New Roman"/>
          <w:spacing w:val="6"/>
          <w:sz w:val="23"/>
          <w:szCs w:val="23"/>
        </w:rPr>
        <w:t>500</w:t>
      </w:r>
      <w:r>
        <w:rPr>
          <w:rFonts w:ascii="Times New Roman" w:hAnsi="Times New Roman" w:eastAsia="Times New Roman" w:cs="Times New Roman"/>
          <w:sz w:val="23"/>
          <w:szCs w:val="23"/>
        </w:rPr>
        <w:t>m</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以上</w:t>
      </w:r>
      <w:r>
        <w:rPr>
          <w:rFonts w:ascii="宋体" w:hAnsi="宋体" w:eastAsia="宋体" w:cs="宋体"/>
          <w:spacing w:val="5"/>
          <w:sz w:val="23"/>
          <w:szCs w:val="23"/>
        </w:rPr>
        <w:t>。</w:t>
      </w:r>
    </w:p>
    <w:p w14:paraId="5D96AF69">
      <w:pPr>
        <w:spacing w:before="5" w:line="374" w:lineRule="auto"/>
        <w:ind w:left="110" w:right="171" w:firstLine="492"/>
        <w:rPr>
          <w:rFonts w:ascii="宋体" w:hAnsi="宋体" w:eastAsia="宋体" w:cs="宋体"/>
          <w:sz w:val="23"/>
          <w:szCs w:val="23"/>
        </w:rPr>
      </w:pPr>
      <w:r>
        <w:rPr>
          <w:rFonts w:ascii="宋体" w:hAnsi="宋体" w:eastAsia="宋体" w:cs="宋体"/>
          <w:spacing w:val="22"/>
          <w:sz w:val="23"/>
          <w:szCs w:val="23"/>
        </w:rPr>
        <w:t>(</w:t>
      </w:r>
      <w:r>
        <w:rPr>
          <w:rFonts w:ascii="Times New Roman" w:hAnsi="Times New Roman" w:eastAsia="Times New Roman" w:cs="Times New Roman"/>
          <w:spacing w:val="20"/>
          <w:sz w:val="23"/>
          <w:szCs w:val="23"/>
        </w:rPr>
        <w:t>4</w:t>
      </w:r>
      <w:r>
        <w:rPr>
          <w:rFonts w:ascii="宋体" w:hAnsi="宋体" w:eastAsia="宋体" w:cs="宋体"/>
          <w:spacing w:val="11"/>
          <w:sz w:val="23"/>
          <w:szCs w:val="23"/>
        </w:rPr>
        <w:t>) 根据《井研县畜禽养殖禁养区划定方案》，禁养区划定范围如下：①县</w:t>
      </w:r>
      <w:r>
        <w:rPr>
          <w:rFonts w:ascii="宋体" w:hAnsi="宋体" w:eastAsia="宋体" w:cs="宋体"/>
          <w:sz w:val="23"/>
          <w:szCs w:val="23"/>
        </w:rPr>
        <w:t xml:space="preserve"> </w:t>
      </w:r>
      <w:r>
        <w:rPr>
          <w:rFonts w:ascii="宋体" w:hAnsi="宋体" w:eastAsia="宋体" w:cs="宋体"/>
          <w:spacing w:val="-1"/>
          <w:sz w:val="23"/>
          <w:szCs w:val="23"/>
        </w:rPr>
        <w:t>城、乡 (镇) 城镇建成区范围内；②集中式饮用水水</w:t>
      </w:r>
      <w:r>
        <w:rPr>
          <w:rFonts w:ascii="宋体" w:hAnsi="宋体" w:eastAsia="宋体" w:cs="宋体"/>
          <w:sz w:val="23"/>
          <w:szCs w:val="23"/>
        </w:rPr>
        <w:t xml:space="preserve">源保护区；③中型水库管理范围 </w:t>
      </w:r>
      <w:r>
        <w:rPr>
          <w:rFonts w:ascii="宋体" w:hAnsi="宋体" w:eastAsia="宋体" w:cs="宋体"/>
          <w:spacing w:val="4"/>
          <w:sz w:val="23"/>
          <w:szCs w:val="23"/>
        </w:rPr>
        <w:t>及校核洪水位以</w:t>
      </w:r>
      <w:r>
        <w:rPr>
          <w:rFonts w:ascii="宋体" w:hAnsi="宋体" w:eastAsia="宋体" w:cs="宋体"/>
          <w:spacing w:val="2"/>
          <w:sz w:val="23"/>
          <w:szCs w:val="23"/>
        </w:rPr>
        <w:t>上</w:t>
      </w:r>
      <w:r>
        <w:rPr>
          <w:rFonts w:ascii="Times New Roman" w:hAnsi="Times New Roman" w:eastAsia="Times New Roman" w:cs="Times New Roman"/>
          <w:spacing w:val="2"/>
          <w:sz w:val="23"/>
          <w:szCs w:val="23"/>
        </w:rPr>
        <w:t>200</w:t>
      </w:r>
      <w:r>
        <w:rPr>
          <w:rFonts w:ascii="宋体" w:hAnsi="宋体" w:eastAsia="宋体" w:cs="宋体"/>
          <w:spacing w:val="2"/>
          <w:sz w:val="23"/>
          <w:szCs w:val="23"/>
        </w:rPr>
        <w:t>米范围内的区域；小一型、小二型水库管理范围及校核洪水位</w:t>
      </w:r>
      <w:r>
        <w:rPr>
          <w:rFonts w:ascii="宋体" w:hAnsi="宋体" w:eastAsia="宋体" w:cs="宋体"/>
          <w:sz w:val="23"/>
          <w:szCs w:val="23"/>
        </w:rPr>
        <w:t xml:space="preserve"> </w:t>
      </w:r>
      <w:r>
        <w:rPr>
          <w:rFonts w:ascii="宋体" w:hAnsi="宋体" w:eastAsia="宋体" w:cs="宋体"/>
          <w:spacing w:val="4"/>
          <w:sz w:val="23"/>
          <w:szCs w:val="23"/>
        </w:rPr>
        <w:t>以上</w:t>
      </w:r>
      <w:r>
        <w:rPr>
          <w:rFonts w:ascii="Times New Roman" w:hAnsi="Times New Roman" w:eastAsia="Times New Roman" w:cs="Times New Roman"/>
          <w:spacing w:val="4"/>
          <w:sz w:val="23"/>
          <w:szCs w:val="23"/>
        </w:rPr>
        <w:t>100</w:t>
      </w:r>
      <w:r>
        <w:rPr>
          <w:rFonts w:ascii="宋体" w:hAnsi="宋体" w:eastAsia="宋体" w:cs="宋体"/>
          <w:spacing w:val="4"/>
          <w:sz w:val="23"/>
          <w:szCs w:val="23"/>
        </w:rPr>
        <w:t>米范</w:t>
      </w:r>
      <w:r>
        <w:rPr>
          <w:rFonts w:ascii="宋体" w:hAnsi="宋体" w:eastAsia="宋体" w:cs="宋体"/>
          <w:spacing w:val="2"/>
          <w:sz w:val="23"/>
          <w:szCs w:val="23"/>
        </w:rPr>
        <w:t>围内的区域；④风景名胜区、旅游度假区、文物历史遗迹保护区以及自</w:t>
      </w:r>
      <w:r>
        <w:rPr>
          <w:rFonts w:ascii="宋体" w:hAnsi="宋体" w:eastAsia="宋体" w:cs="宋体"/>
          <w:sz w:val="23"/>
          <w:szCs w:val="23"/>
        </w:rPr>
        <w:t xml:space="preserve"> </w:t>
      </w:r>
      <w:r>
        <w:rPr>
          <w:rFonts w:ascii="宋体" w:hAnsi="宋体" w:eastAsia="宋体" w:cs="宋体"/>
          <w:spacing w:val="2"/>
          <w:sz w:val="23"/>
          <w:szCs w:val="23"/>
        </w:rPr>
        <w:t>然 (湿地) 保护区、核心区和缓冲区；⑤政府划定的基本农田保护区</w:t>
      </w:r>
      <w:r>
        <w:rPr>
          <w:rFonts w:ascii="宋体" w:hAnsi="宋体" w:eastAsia="宋体" w:cs="宋体"/>
          <w:spacing w:val="1"/>
          <w:sz w:val="23"/>
          <w:szCs w:val="23"/>
        </w:rPr>
        <w:t>。</w:t>
      </w:r>
    </w:p>
    <w:p w14:paraId="78D4350B">
      <w:pPr>
        <w:spacing w:line="303" w:lineRule="exact"/>
        <w:ind w:left="474"/>
        <w:rPr>
          <w:rFonts w:ascii="宋体" w:hAnsi="宋体" w:eastAsia="宋体" w:cs="宋体"/>
          <w:sz w:val="23"/>
          <w:szCs w:val="23"/>
        </w:rPr>
      </w:pPr>
      <w:r>
        <w:rPr>
          <w:rFonts w:ascii="Times New Roman" w:hAnsi="Times New Roman" w:eastAsia="Times New Roman" w:cs="Times New Roman"/>
          <w:b/>
          <w:bCs/>
          <w:spacing w:val="4"/>
          <w:position w:val="1"/>
          <w:sz w:val="23"/>
          <w:szCs w:val="23"/>
        </w:rPr>
        <w:t>2</w:t>
      </w:r>
      <w:r>
        <w:rPr>
          <w:rFonts w:ascii="Times New Roman" w:hAnsi="Times New Roman" w:eastAsia="Times New Roman" w:cs="Times New Roman"/>
          <w:spacing w:val="4"/>
          <w:position w:val="1"/>
          <w:sz w:val="23"/>
          <w:szCs w:val="23"/>
        </w:rPr>
        <w:t xml:space="preserve"> </w:t>
      </w:r>
      <w:r>
        <w:rPr>
          <w:rFonts w:ascii="宋体" w:hAnsi="宋体" w:eastAsia="宋体" w:cs="宋体"/>
          <w:spacing w:val="4"/>
          <w:position w:val="1"/>
          <w:sz w:val="23"/>
          <w:szCs w:val="23"/>
          <w14:textOutline w14:w="4356" w14:cap="sq" w14:cmpd="sng" w14:algn="ctr">
            <w14:solidFill>
              <w14:srgbClr w14:val="000000"/>
            </w14:solidFill>
            <w14:prstDash w14:val="solid"/>
            <w14:bevel/>
          </w14:textOutline>
        </w:rPr>
        <w:t>、</w:t>
      </w:r>
      <w:r>
        <w:rPr>
          <w:rFonts w:ascii="宋体" w:hAnsi="宋体" w:eastAsia="宋体" w:cs="宋体"/>
          <w:spacing w:val="2"/>
          <w:position w:val="1"/>
          <w:sz w:val="23"/>
          <w:szCs w:val="23"/>
          <w14:textOutline w14:w="4356" w14:cap="sq" w14:cmpd="sng" w14:algn="ctr">
            <w14:solidFill>
              <w14:srgbClr w14:val="000000"/>
            </w14:solidFill>
            <w14:prstDash w14:val="solid"/>
            <w14:bevel/>
          </w14:textOutline>
        </w:rPr>
        <w:t>选址合理性分析</w:t>
      </w:r>
    </w:p>
    <w:p w14:paraId="0003E867">
      <w:pPr>
        <w:spacing w:before="159" w:line="376" w:lineRule="auto"/>
        <w:ind w:left="9" w:firstLine="481"/>
        <w:rPr>
          <w:rFonts w:ascii="宋体" w:hAnsi="宋体" w:eastAsia="宋体" w:cs="宋体"/>
          <w:sz w:val="23"/>
          <w:szCs w:val="23"/>
        </w:rPr>
      </w:pPr>
      <w:r>
        <w:rPr>
          <w:rFonts w:ascii="宋体" w:hAnsi="宋体" w:eastAsia="宋体" w:cs="宋体"/>
          <w:spacing w:val="7"/>
          <w:sz w:val="23"/>
          <w:szCs w:val="23"/>
        </w:rPr>
        <w:t xml:space="preserve">本项目拟选场址位于井研县周坡镇周坡村 </w:t>
      </w:r>
      <w:r>
        <w:rPr>
          <w:rFonts w:ascii="Times New Roman" w:hAnsi="Times New Roman" w:eastAsia="Times New Roman" w:cs="Times New Roman"/>
          <w:spacing w:val="7"/>
          <w:sz w:val="23"/>
          <w:szCs w:val="23"/>
        </w:rPr>
        <w:t xml:space="preserve">7 </w:t>
      </w:r>
      <w:r>
        <w:rPr>
          <w:rFonts w:ascii="宋体" w:hAnsi="宋体" w:eastAsia="宋体" w:cs="宋体"/>
          <w:spacing w:val="7"/>
          <w:sz w:val="23"/>
          <w:szCs w:val="23"/>
        </w:rPr>
        <w:t xml:space="preserve">组、龙桥村 </w:t>
      </w:r>
      <w:r>
        <w:rPr>
          <w:rFonts w:ascii="Times New Roman" w:hAnsi="Times New Roman" w:eastAsia="Times New Roman" w:cs="Times New Roman"/>
          <w:spacing w:val="7"/>
          <w:sz w:val="23"/>
          <w:szCs w:val="23"/>
        </w:rPr>
        <w:t xml:space="preserve">2 </w:t>
      </w:r>
      <w:r>
        <w:rPr>
          <w:rFonts w:ascii="宋体" w:hAnsi="宋体" w:eastAsia="宋体" w:cs="宋体"/>
          <w:spacing w:val="7"/>
          <w:sz w:val="23"/>
          <w:szCs w:val="23"/>
        </w:rPr>
        <w:t>组，不属于城镇居</w:t>
      </w:r>
      <w:r>
        <w:rPr>
          <w:rFonts w:ascii="宋体" w:hAnsi="宋体" w:eastAsia="宋体" w:cs="宋体"/>
          <w:spacing w:val="1"/>
          <w:sz w:val="23"/>
          <w:szCs w:val="23"/>
        </w:rPr>
        <w:t>民</w:t>
      </w:r>
      <w:r>
        <w:rPr>
          <w:rFonts w:ascii="宋体" w:hAnsi="宋体" w:eastAsia="宋体" w:cs="宋体"/>
          <w:sz w:val="23"/>
          <w:szCs w:val="23"/>
        </w:rPr>
        <w:t xml:space="preserve"> </w:t>
      </w:r>
      <w:r>
        <w:rPr>
          <w:rFonts w:ascii="宋体" w:hAnsi="宋体" w:eastAsia="宋体" w:cs="宋体"/>
          <w:spacing w:val="12"/>
          <w:sz w:val="23"/>
          <w:szCs w:val="23"/>
        </w:rPr>
        <w:t>生活区内</w:t>
      </w:r>
      <w:r>
        <w:rPr>
          <w:rFonts w:ascii="宋体" w:hAnsi="宋体" w:eastAsia="宋体" w:cs="宋体"/>
          <w:spacing w:val="9"/>
          <w:sz w:val="23"/>
          <w:szCs w:val="23"/>
        </w:rPr>
        <w:t>，</w:t>
      </w:r>
      <w:r>
        <w:rPr>
          <w:rFonts w:ascii="宋体" w:hAnsi="宋体" w:eastAsia="宋体" w:cs="宋体"/>
          <w:spacing w:val="6"/>
          <w:sz w:val="23"/>
          <w:szCs w:val="23"/>
        </w:rPr>
        <w:t>项目周围属农村环境，生态环境良好，人口较稀疏，不涉及水源保护区、</w:t>
      </w:r>
      <w:r>
        <w:rPr>
          <w:rFonts w:ascii="宋体" w:hAnsi="宋体" w:eastAsia="宋体" w:cs="宋体"/>
          <w:sz w:val="23"/>
          <w:szCs w:val="23"/>
        </w:rPr>
        <w:t xml:space="preserve"> </w:t>
      </w:r>
      <w:r>
        <w:rPr>
          <w:rFonts w:ascii="宋体" w:hAnsi="宋体" w:eastAsia="宋体" w:cs="宋体"/>
          <w:spacing w:val="9"/>
          <w:sz w:val="23"/>
          <w:szCs w:val="23"/>
        </w:rPr>
        <w:t>风</w:t>
      </w:r>
      <w:r>
        <w:rPr>
          <w:rFonts w:ascii="宋体" w:hAnsi="宋体" w:eastAsia="宋体" w:cs="宋体"/>
          <w:spacing w:val="7"/>
          <w:sz w:val="23"/>
          <w:szCs w:val="23"/>
        </w:rPr>
        <w:t xml:space="preserve">景名胜区、 自然保护区等环境敏感区，养殖区周围 </w:t>
      </w:r>
      <w:r>
        <w:rPr>
          <w:rFonts w:ascii="Times New Roman" w:hAnsi="Times New Roman" w:eastAsia="Times New Roman" w:cs="Times New Roman"/>
          <w:spacing w:val="7"/>
          <w:sz w:val="23"/>
          <w:szCs w:val="23"/>
        </w:rPr>
        <w:t>500</w:t>
      </w:r>
      <w:r>
        <w:rPr>
          <w:rFonts w:ascii="Times New Roman" w:hAnsi="Times New Roman" w:eastAsia="Times New Roman" w:cs="Times New Roman"/>
          <w:sz w:val="23"/>
          <w:szCs w:val="23"/>
        </w:rPr>
        <w:t>m</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范围内没有对产地环境</w:t>
      </w:r>
      <w:r>
        <w:rPr>
          <w:rFonts w:ascii="宋体" w:hAnsi="宋体" w:eastAsia="宋体" w:cs="宋体"/>
          <w:sz w:val="23"/>
          <w:szCs w:val="23"/>
        </w:rPr>
        <w:t xml:space="preserve"> </w:t>
      </w:r>
      <w:r>
        <w:rPr>
          <w:rFonts w:ascii="宋体" w:hAnsi="宋体" w:eastAsia="宋体" w:cs="宋体"/>
          <w:spacing w:val="14"/>
          <w:sz w:val="23"/>
          <w:szCs w:val="23"/>
        </w:rPr>
        <w:t>构</w:t>
      </w:r>
      <w:r>
        <w:rPr>
          <w:rFonts w:ascii="宋体" w:hAnsi="宋体" w:eastAsia="宋体" w:cs="宋体"/>
          <w:spacing w:val="11"/>
          <w:sz w:val="23"/>
          <w:szCs w:val="23"/>
        </w:rPr>
        <w:t>成威胁的污染源，外环境关系相对简单，场址周围无明显环境制约因素。项目场</w:t>
      </w:r>
      <w:r>
        <w:rPr>
          <w:rFonts w:ascii="宋体" w:hAnsi="宋体" w:eastAsia="宋体" w:cs="宋体"/>
          <w:sz w:val="23"/>
          <w:szCs w:val="23"/>
        </w:rPr>
        <w:t xml:space="preserve"> </w:t>
      </w:r>
      <w:r>
        <w:rPr>
          <w:rFonts w:ascii="宋体" w:hAnsi="宋体" w:eastAsia="宋体" w:cs="宋体"/>
          <w:spacing w:val="6"/>
          <w:sz w:val="23"/>
          <w:szCs w:val="23"/>
        </w:rPr>
        <w:t>界距离</w:t>
      </w:r>
      <w:r>
        <w:rPr>
          <w:rFonts w:ascii="宋体" w:hAnsi="宋体" w:eastAsia="宋体" w:cs="宋体"/>
          <w:spacing w:val="5"/>
          <w:sz w:val="23"/>
          <w:szCs w:val="23"/>
        </w:rPr>
        <w:t>临</w:t>
      </w:r>
      <w:r>
        <w:rPr>
          <w:rFonts w:ascii="宋体" w:hAnsi="宋体" w:eastAsia="宋体" w:cs="宋体"/>
          <w:spacing w:val="3"/>
          <w:sz w:val="23"/>
          <w:szCs w:val="23"/>
        </w:rPr>
        <w:t xml:space="preserve">江河约 </w:t>
      </w:r>
      <w:r>
        <w:rPr>
          <w:rFonts w:ascii="Times New Roman" w:hAnsi="Times New Roman" w:eastAsia="Times New Roman" w:cs="Times New Roman"/>
          <w:spacing w:val="3"/>
          <w:sz w:val="23"/>
          <w:szCs w:val="23"/>
        </w:rPr>
        <w:t>1.85</w:t>
      </w:r>
      <w:r>
        <w:rPr>
          <w:rFonts w:ascii="Times New Roman" w:hAnsi="Times New Roman" w:eastAsia="Times New Roman" w:cs="Times New Roman"/>
          <w:sz w:val="23"/>
          <w:szCs w:val="23"/>
        </w:rPr>
        <w:t>km</w:t>
      </w:r>
      <w:r>
        <w:rPr>
          <w:rFonts w:ascii="宋体" w:hAnsi="宋体" w:eastAsia="宋体" w:cs="宋体"/>
          <w:spacing w:val="3"/>
          <w:sz w:val="23"/>
          <w:szCs w:val="23"/>
        </w:rPr>
        <w:t>，项目粪污处理异位微生物发酵床距离人口集中区域及公路、</w:t>
      </w:r>
      <w:r>
        <w:rPr>
          <w:rFonts w:ascii="宋体" w:hAnsi="宋体" w:eastAsia="宋体" w:cs="宋体"/>
          <w:sz w:val="23"/>
          <w:szCs w:val="23"/>
        </w:rPr>
        <w:t xml:space="preserve"> </w:t>
      </w:r>
      <w:r>
        <w:rPr>
          <w:rFonts w:ascii="宋体" w:hAnsi="宋体" w:eastAsia="宋体" w:cs="宋体"/>
          <w:spacing w:val="20"/>
          <w:sz w:val="23"/>
          <w:szCs w:val="23"/>
        </w:rPr>
        <w:t>铁</w:t>
      </w:r>
      <w:r>
        <w:rPr>
          <w:rFonts w:ascii="宋体" w:hAnsi="宋体" w:eastAsia="宋体" w:cs="宋体"/>
          <w:spacing w:val="10"/>
          <w:sz w:val="23"/>
          <w:szCs w:val="23"/>
        </w:rPr>
        <w:t xml:space="preserve">路等主要交通干线 </w:t>
      </w:r>
      <w:r>
        <w:rPr>
          <w:rFonts w:ascii="Times New Roman" w:hAnsi="Times New Roman" w:eastAsia="Times New Roman" w:cs="Times New Roman"/>
          <w:spacing w:val="10"/>
          <w:sz w:val="23"/>
          <w:szCs w:val="23"/>
        </w:rPr>
        <w:t>500</w:t>
      </w:r>
      <w:r>
        <w:rPr>
          <w:rFonts w:ascii="Times New Roman" w:hAnsi="Times New Roman" w:eastAsia="Times New Roman" w:cs="Times New Roman"/>
          <w:sz w:val="23"/>
          <w:szCs w:val="23"/>
        </w:rPr>
        <w:t>m</w:t>
      </w:r>
      <w:r>
        <w:rPr>
          <w:rFonts w:ascii="Times New Roman" w:hAnsi="Times New Roman" w:eastAsia="Times New Roman" w:cs="Times New Roman"/>
          <w:spacing w:val="10"/>
          <w:sz w:val="23"/>
          <w:szCs w:val="23"/>
        </w:rPr>
        <w:t xml:space="preserve"> </w:t>
      </w:r>
      <w:r>
        <w:rPr>
          <w:rFonts w:ascii="宋体" w:hAnsi="宋体" w:eastAsia="宋体" w:cs="宋体"/>
          <w:spacing w:val="10"/>
          <w:sz w:val="23"/>
          <w:szCs w:val="23"/>
        </w:rPr>
        <w:t>以上，不在城镇规划区、农村集中居住区以及主要河流</w:t>
      </w:r>
      <w:r>
        <w:rPr>
          <w:rFonts w:ascii="宋体" w:hAnsi="宋体" w:eastAsia="宋体" w:cs="宋体"/>
          <w:sz w:val="23"/>
          <w:szCs w:val="23"/>
        </w:rPr>
        <w:t xml:space="preserve"> </w:t>
      </w:r>
      <w:r>
        <w:rPr>
          <w:rFonts w:ascii="宋体" w:hAnsi="宋体" w:eastAsia="宋体" w:cs="宋体"/>
          <w:spacing w:val="10"/>
          <w:sz w:val="23"/>
          <w:szCs w:val="23"/>
        </w:rPr>
        <w:t xml:space="preserve">纵深 </w:t>
      </w:r>
      <w:r>
        <w:rPr>
          <w:rFonts w:ascii="Times New Roman" w:hAnsi="Times New Roman" w:eastAsia="Times New Roman" w:cs="Times New Roman"/>
          <w:spacing w:val="10"/>
          <w:sz w:val="23"/>
          <w:szCs w:val="23"/>
        </w:rPr>
        <w:t>5</w:t>
      </w:r>
      <w:r>
        <w:rPr>
          <w:rFonts w:ascii="Times New Roman" w:hAnsi="Times New Roman" w:eastAsia="Times New Roman" w:cs="Times New Roman"/>
          <w:spacing w:val="9"/>
          <w:sz w:val="23"/>
          <w:szCs w:val="23"/>
        </w:rPr>
        <w:t>0</w:t>
      </w:r>
      <w:r>
        <w:rPr>
          <w:rFonts w:ascii="Times New Roman" w:hAnsi="Times New Roman" w:eastAsia="Times New Roman" w:cs="Times New Roman"/>
          <w:spacing w:val="5"/>
          <w:sz w:val="23"/>
          <w:szCs w:val="23"/>
        </w:rPr>
        <w:t xml:space="preserve">0 </w:t>
      </w:r>
      <w:r>
        <w:rPr>
          <w:rFonts w:ascii="宋体" w:hAnsi="宋体" w:eastAsia="宋体" w:cs="宋体"/>
          <w:spacing w:val="5"/>
          <w:sz w:val="23"/>
          <w:szCs w:val="23"/>
        </w:rPr>
        <w:t>米范围内。项目占地不涉及饮用水水源保护区、风景名胜区、 自然保护区</w:t>
      </w:r>
      <w:r>
        <w:rPr>
          <w:rFonts w:ascii="宋体" w:hAnsi="宋体" w:eastAsia="宋体" w:cs="宋体"/>
          <w:sz w:val="23"/>
          <w:szCs w:val="23"/>
        </w:rPr>
        <w:t xml:space="preserve"> </w:t>
      </w:r>
      <w:r>
        <w:rPr>
          <w:rFonts w:ascii="宋体" w:hAnsi="宋体" w:eastAsia="宋体" w:cs="宋体"/>
          <w:spacing w:val="12"/>
          <w:sz w:val="23"/>
          <w:szCs w:val="23"/>
        </w:rPr>
        <w:t>等</w:t>
      </w:r>
      <w:r>
        <w:rPr>
          <w:rFonts w:ascii="宋体" w:hAnsi="宋体" w:eastAsia="宋体" w:cs="宋体"/>
          <w:spacing w:val="11"/>
          <w:sz w:val="23"/>
          <w:szCs w:val="23"/>
        </w:rPr>
        <w:t>环境敏感区。因此本项目选址不在井研县划定的畜禽养殖禁养区范围内，与《农</w:t>
      </w:r>
      <w:r>
        <w:rPr>
          <w:rFonts w:ascii="宋体" w:hAnsi="宋体" w:eastAsia="宋体" w:cs="宋体"/>
          <w:sz w:val="23"/>
          <w:szCs w:val="23"/>
        </w:rPr>
        <w:t xml:space="preserve"> </w:t>
      </w:r>
      <w:r>
        <w:rPr>
          <w:rFonts w:ascii="宋体" w:hAnsi="宋体" w:eastAsia="宋体" w:cs="宋体"/>
          <w:spacing w:val="20"/>
          <w:sz w:val="23"/>
          <w:szCs w:val="23"/>
        </w:rPr>
        <w:t>产品</w:t>
      </w:r>
      <w:r>
        <w:rPr>
          <w:rFonts w:ascii="宋体" w:hAnsi="宋体" w:eastAsia="宋体" w:cs="宋体"/>
          <w:spacing w:val="12"/>
          <w:sz w:val="23"/>
          <w:szCs w:val="23"/>
        </w:rPr>
        <w:t>安</w:t>
      </w:r>
      <w:r>
        <w:rPr>
          <w:rFonts w:ascii="宋体" w:hAnsi="宋体" w:eastAsia="宋体" w:cs="宋体"/>
          <w:spacing w:val="10"/>
          <w:sz w:val="23"/>
          <w:szCs w:val="23"/>
        </w:rPr>
        <w:t>全质量</w:t>
      </w:r>
      <w:r>
        <w:rPr>
          <w:rFonts w:ascii="Times New Roman" w:hAnsi="Times New Roman" w:eastAsia="Times New Roman" w:cs="Times New Roman"/>
          <w:spacing w:val="10"/>
          <w:sz w:val="23"/>
          <w:szCs w:val="23"/>
        </w:rPr>
        <w:t>—</w:t>
      </w:r>
      <w:r>
        <w:rPr>
          <w:rFonts w:ascii="宋体" w:hAnsi="宋体" w:eastAsia="宋体" w:cs="宋体"/>
          <w:spacing w:val="10"/>
          <w:sz w:val="23"/>
          <w:szCs w:val="23"/>
        </w:rPr>
        <w:t>无公害畜禽肉产地环境要求》、《畜禽养殖业污染防治技术规范》</w:t>
      </w:r>
      <w:r>
        <w:rPr>
          <w:rFonts w:ascii="宋体" w:hAnsi="宋体" w:eastAsia="宋体" w:cs="宋体"/>
          <w:sz w:val="23"/>
          <w:szCs w:val="23"/>
        </w:rPr>
        <w:t xml:space="preserve"> </w:t>
      </w:r>
      <w:r>
        <w:rPr>
          <w:rFonts w:ascii="宋体" w:hAnsi="宋体" w:eastAsia="宋体" w:cs="宋体"/>
          <w:spacing w:val="4"/>
          <w:sz w:val="23"/>
          <w:szCs w:val="23"/>
        </w:rPr>
        <w:t>及《动物防疫条件审查办法》</w:t>
      </w:r>
      <w:r>
        <w:rPr>
          <w:rFonts w:ascii="宋体" w:hAnsi="宋体" w:eastAsia="宋体" w:cs="宋体"/>
          <w:spacing w:val="2"/>
          <w:sz w:val="23"/>
          <w:szCs w:val="23"/>
        </w:rPr>
        <w:t xml:space="preserve">  (中华人民共和国农业部令 </w:t>
      </w:r>
      <w:r>
        <w:rPr>
          <w:rFonts w:ascii="Times New Roman" w:hAnsi="Times New Roman" w:eastAsia="Times New Roman" w:cs="Times New Roman"/>
          <w:spacing w:val="2"/>
          <w:sz w:val="23"/>
          <w:szCs w:val="23"/>
        </w:rPr>
        <w:t xml:space="preserve">2010 </w:t>
      </w:r>
      <w:r>
        <w:rPr>
          <w:rFonts w:ascii="宋体" w:hAnsi="宋体" w:eastAsia="宋体" w:cs="宋体"/>
          <w:spacing w:val="2"/>
          <w:sz w:val="23"/>
          <w:szCs w:val="23"/>
        </w:rPr>
        <w:t xml:space="preserve">年第 </w:t>
      </w:r>
      <w:r>
        <w:rPr>
          <w:rFonts w:ascii="Times New Roman" w:hAnsi="Times New Roman" w:eastAsia="Times New Roman" w:cs="Times New Roman"/>
          <w:spacing w:val="2"/>
          <w:sz w:val="23"/>
          <w:szCs w:val="23"/>
        </w:rPr>
        <w:t xml:space="preserve">7 </w:t>
      </w:r>
      <w:r>
        <w:rPr>
          <w:rFonts w:ascii="宋体" w:hAnsi="宋体" w:eastAsia="宋体" w:cs="宋体"/>
          <w:spacing w:val="2"/>
          <w:sz w:val="23"/>
          <w:szCs w:val="23"/>
        </w:rPr>
        <w:t>号) 相符合。</w:t>
      </w:r>
    </w:p>
    <w:p w14:paraId="30F75F35">
      <w:pPr>
        <w:sectPr>
          <w:headerReference r:id="rId46" w:type="default"/>
          <w:footerReference r:id="rId47" w:type="default"/>
          <w:pgSz w:w="11907" w:h="16840"/>
          <w:pgMar w:top="1153" w:right="1477" w:bottom="1277" w:left="1660" w:header="919" w:footer="1114" w:gutter="0"/>
          <w:cols w:space="720" w:num="1"/>
        </w:sectPr>
      </w:pPr>
    </w:p>
    <w:p w14:paraId="1D0C390B">
      <w:pPr>
        <w:spacing w:before="42" w:line="227" w:lineRule="auto"/>
        <w:ind w:left="490"/>
        <w:rPr>
          <w:rFonts w:ascii="宋体" w:hAnsi="宋体" w:eastAsia="宋体" w:cs="宋体"/>
          <w:sz w:val="23"/>
          <w:szCs w:val="23"/>
        </w:rPr>
      </w:pPr>
      <w:r>
        <w:rPr>
          <w:rFonts w:ascii="宋体" w:hAnsi="宋体" w:eastAsia="宋体" w:cs="宋体"/>
          <w:spacing w:val="10"/>
          <w:sz w:val="23"/>
          <w:szCs w:val="23"/>
        </w:rPr>
        <w:t>根据</w:t>
      </w:r>
      <w:r>
        <w:rPr>
          <w:rFonts w:ascii="宋体" w:hAnsi="宋体" w:eastAsia="宋体" w:cs="宋体"/>
          <w:spacing w:val="8"/>
          <w:sz w:val="23"/>
          <w:szCs w:val="23"/>
        </w:rPr>
        <w:t>乐</w:t>
      </w:r>
      <w:r>
        <w:rPr>
          <w:rFonts w:ascii="宋体" w:hAnsi="宋体" w:eastAsia="宋体" w:cs="宋体"/>
          <w:spacing w:val="5"/>
          <w:sz w:val="23"/>
          <w:szCs w:val="23"/>
        </w:rPr>
        <w:t xml:space="preserve">山市环境保护局公布的《乐山市 </w:t>
      </w:r>
      <w:r>
        <w:rPr>
          <w:rFonts w:ascii="Times New Roman" w:hAnsi="Times New Roman" w:eastAsia="Times New Roman" w:cs="Times New Roman"/>
          <w:spacing w:val="5"/>
          <w:sz w:val="23"/>
          <w:szCs w:val="23"/>
        </w:rPr>
        <w:t xml:space="preserve">2017 </w:t>
      </w:r>
      <w:r>
        <w:rPr>
          <w:rFonts w:ascii="宋体" w:hAnsi="宋体" w:eastAsia="宋体" w:cs="宋体"/>
          <w:spacing w:val="5"/>
          <w:sz w:val="23"/>
          <w:szCs w:val="23"/>
        </w:rPr>
        <w:t>年环境质量公报》中的统计数据可</w:t>
      </w:r>
    </w:p>
    <w:p w14:paraId="78F5128D">
      <w:pPr>
        <w:tabs>
          <w:tab w:val="left" w:pos="136"/>
        </w:tabs>
        <w:spacing w:before="177" w:line="375" w:lineRule="auto"/>
        <w:ind w:left="5" w:firstLine="9"/>
        <w:rPr>
          <w:rFonts w:ascii="宋体" w:hAnsi="宋体" w:eastAsia="宋体" w:cs="宋体"/>
          <w:sz w:val="23"/>
          <w:szCs w:val="23"/>
        </w:rPr>
      </w:pPr>
      <w:r>
        <w:rPr>
          <w:rFonts w:ascii="宋体" w:hAnsi="宋体" w:eastAsia="宋体" w:cs="宋体"/>
          <w:spacing w:val="13"/>
          <w:sz w:val="23"/>
          <w:szCs w:val="23"/>
        </w:rPr>
        <w:t>知</w:t>
      </w:r>
      <w:r>
        <w:rPr>
          <w:rFonts w:ascii="宋体" w:hAnsi="宋体" w:eastAsia="宋体" w:cs="宋体"/>
          <w:spacing w:val="9"/>
          <w:sz w:val="23"/>
          <w:szCs w:val="23"/>
        </w:rPr>
        <w:t>，项目所在区域二氧化硫 (</w:t>
      </w:r>
      <w:r>
        <w:rPr>
          <w:rFonts w:ascii="Times New Roman" w:hAnsi="Times New Roman" w:eastAsia="Times New Roman" w:cs="Times New Roman"/>
          <w:sz w:val="23"/>
          <w:szCs w:val="23"/>
        </w:rPr>
        <w:t>SO</w:t>
      </w:r>
      <w:r>
        <w:rPr>
          <w:rFonts w:ascii="Times New Roman" w:hAnsi="Times New Roman" w:eastAsia="Times New Roman" w:cs="Times New Roman"/>
          <w:spacing w:val="9"/>
          <w:position w:val="-1"/>
          <w:sz w:val="15"/>
          <w:szCs w:val="15"/>
        </w:rPr>
        <w:t xml:space="preserve">2 </w:t>
      </w:r>
      <w:r>
        <w:rPr>
          <w:rFonts w:ascii="宋体" w:hAnsi="宋体" w:eastAsia="宋体" w:cs="宋体"/>
          <w:spacing w:val="9"/>
          <w:sz w:val="23"/>
          <w:szCs w:val="23"/>
        </w:rPr>
        <w:t>) 、二氧化氮 (</w:t>
      </w:r>
      <w:r>
        <w:rPr>
          <w:rFonts w:ascii="Times New Roman" w:hAnsi="Times New Roman" w:eastAsia="Times New Roman" w:cs="Times New Roman"/>
          <w:sz w:val="23"/>
          <w:szCs w:val="23"/>
        </w:rPr>
        <w:t>NO</w:t>
      </w:r>
      <w:r>
        <w:rPr>
          <w:rFonts w:ascii="Times New Roman" w:hAnsi="Times New Roman" w:eastAsia="Times New Roman" w:cs="Times New Roman"/>
          <w:spacing w:val="9"/>
          <w:position w:val="-1"/>
          <w:sz w:val="15"/>
          <w:szCs w:val="15"/>
        </w:rPr>
        <w:t xml:space="preserve">2 </w:t>
      </w:r>
      <w:r>
        <w:rPr>
          <w:rFonts w:ascii="宋体" w:hAnsi="宋体" w:eastAsia="宋体" w:cs="宋体"/>
          <w:spacing w:val="9"/>
          <w:sz w:val="23"/>
          <w:szCs w:val="23"/>
        </w:rPr>
        <w:t>) 、一氧化碳 (</w:t>
      </w:r>
      <w:r>
        <w:rPr>
          <w:rFonts w:ascii="Times New Roman" w:hAnsi="Times New Roman" w:eastAsia="Times New Roman" w:cs="Times New Roman"/>
          <w:sz w:val="23"/>
          <w:szCs w:val="23"/>
        </w:rPr>
        <w:t>CO</w:t>
      </w:r>
      <w:r>
        <w:rPr>
          <w:rFonts w:ascii="宋体" w:hAnsi="宋体" w:eastAsia="宋体" w:cs="宋体"/>
          <w:spacing w:val="9"/>
          <w:sz w:val="23"/>
          <w:szCs w:val="23"/>
        </w:rPr>
        <w:t>) 、臭氧</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10"/>
          <w:sz w:val="23"/>
          <w:szCs w:val="23"/>
        </w:rPr>
        <w:t>(</w:t>
      </w:r>
      <w:r>
        <w:rPr>
          <w:rFonts w:ascii="Times New Roman" w:hAnsi="Times New Roman" w:eastAsia="Times New Roman" w:cs="Times New Roman"/>
          <w:sz w:val="23"/>
          <w:szCs w:val="23"/>
        </w:rPr>
        <w:t>O</w:t>
      </w:r>
      <w:r>
        <w:rPr>
          <w:rFonts w:ascii="Times New Roman" w:hAnsi="Times New Roman" w:eastAsia="Times New Roman" w:cs="Times New Roman"/>
          <w:spacing w:val="10"/>
          <w:position w:val="-1"/>
          <w:sz w:val="15"/>
          <w:szCs w:val="15"/>
        </w:rPr>
        <w:t xml:space="preserve">3 </w:t>
      </w:r>
      <w:r>
        <w:rPr>
          <w:rFonts w:ascii="宋体" w:hAnsi="宋体" w:eastAsia="宋体" w:cs="宋体"/>
          <w:spacing w:val="10"/>
          <w:sz w:val="23"/>
          <w:szCs w:val="23"/>
        </w:rPr>
        <w:t>)</w:t>
      </w:r>
      <w:r>
        <w:rPr>
          <w:rFonts w:ascii="宋体" w:hAnsi="宋体" w:eastAsia="宋体" w:cs="宋体"/>
          <w:spacing w:val="7"/>
          <w:sz w:val="23"/>
          <w:szCs w:val="23"/>
        </w:rPr>
        <w:t xml:space="preserve"> </w:t>
      </w:r>
      <w:r>
        <w:rPr>
          <w:rFonts w:ascii="宋体" w:hAnsi="宋体" w:eastAsia="宋体" w:cs="宋体"/>
          <w:spacing w:val="5"/>
          <w:sz w:val="23"/>
          <w:szCs w:val="23"/>
        </w:rPr>
        <w:t>环境空气质量达到《环境空气质量标准》  (</w:t>
      </w:r>
      <w:r>
        <w:rPr>
          <w:rFonts w:ascii="Times New Roman" w:hAnsi="Times New Roman" w:eastAsia="Times New Roman" w:cs="Times New Roman"/>
          <w:sz w:val="23"/>
          <w:szCs w:val="23"/>
        </w:rPr>
        <w:t>GB</w:t>
      </w:r>
      <w:r>
        <w:rPr>
          <w:rFonts w:ascii="Times New Roman" w:hAnsi="Times New Roman" w:eastAsia="Times New Roman" w:cs="Times New Roman"/>
          <w:spacing w:val="5"/>
          <w:sz w:val="23"/>
          <w:szCs w:val="23"/>
        </w:rPr>
        <w:t xml:space="preserve"> 3095-2012</w:t>
      </w:r>
      <w:r>
        <w:rPr>
          <w:rFonts w:ascii="宋体" w:hAnsi="宋体" w:eastAsia="宋体" w:cs="宋体"/>
          <w:spacing w:val="5"/>
          <w:sz w:val="23"/>
          <w:szCs w:val="23"/>
        </w:rPr>
        <w:t>) 中的二级标准，</w:t>
      </w:r>
      <w:r>
        <w:rPr>
          <w:rFonts w:ascii="宋体" w:hAnsi="宋体" w:eastAsia="宋体" w:cs="宋体"/>
          <w:sz w:val="23"/>
          <w:szCs w:val="23"/>
        </w:rPr>
        <w:t xml:space="preserve"> </w:t>
      </w:r>
      <w:r>
        <w:rPr>
          <w:rFonts w:ascii="宋体" w:hAnsi="宋体" w:eastAsia="宋体" w:cs="宋体"/>
          <w:spacing w:val="10"/>
          <w:sz w:val="23"/>
          <w:szCs w:val="23"/>
        </w:rPr>
        <w:t>可吸入颗粒物</w:t>
      </w:r>
      <w:r>
        <w:rPr>
          <w:rFonts w:ascii="宋体" w:hAnsi="宋体" w:eastAsia="宋体" w:cs="宋体"/>
          <w:spacing w:val="7"/>
          <w:sz w:val="23"/>
          <w:szCs w:val="23"/>
        </w:rPr>
        <w:t xml:space="preserve"> </w:t>
      </w:r>
      <w:r>
        <w:rPr>
          <w:rFonts w:ascii="宋体" w:hAnsi="宋体" w:eastAsia="宋体" w:cs="宋体"/>
          <w:spacing w:val="5"/>
          <w:sz w:val="23"/>
          <w:szCs w:val="23"/>
        </w:rPr>
        <w:t>(</w:t>
      </w:r>
      <w:r>
        <w:rPr>
          <w:rFonts w:ascii="Times New Roman" w:hAnsi="Times New Roman" w:eastAsia="Times New Roman" w:cs="Times New Roman"/>
          <w:sz w:val="23"/>
          <w:szCs w:val="23"/>
        </w:rPr>
        <w:t>PM</w:t>
      </w:r>
      <w:r>
        <w:rPr>
          <w:rFonts w:ascii="Times New Roman" w:hAnsi="Times New Roman" w:eastAsia="Times New Roman" w:cs="Times New Roman"/>
          <w:spacing w:val="5"/>
          <w:position w:val="-1"/>
          <w:sz w:val="15"/>
          <w:szCs w:val="15"/>
        </w:rPr>
        <w:t xml:space="preserve">10 </w:t>
      </w:r>
      <w:r>
        <w:rPr>
          <w:rFonts w:ascii="宋体" w:hAnsi="宋体" w:eastAsia="宋体" w:cs="宋体"/>
          <w:spacing w:val="5"/>
          <w:sz w:val="23"/>
          <w:szCs w:val="23"/>
        </w:rPr>
        <w:t>) 、细颗粒物 (</w:t>
      </w:r>
      <w:r>
        <w:rPr>
          <w:rFonts w:ascii="Times New Roman" w:hAnsi="Times New Roman" w:eastAsia="Times New Roman" w:cs="Times New Roman"/>
          <w:sz w:val="23"/>
          <w:szCs w:val="23"/>
        </w:rPr>
        <w:t>PM</w:t>
      </w:r>
      <w:r>
        <w:rPr>
          <w:rFonts w:ascii="Times New Roman" w:hAnsi="Times New Roman" w:eastAsia="Times New Roman" w:cs="Times New Roman"/>
          <w:spacing w:val="5"/>
          <w:position w:val="-1"/>
          <w:sz w:val="15"/>
          <w:szCs w:val="15"/>
        </w:rPr>
        <w:t xml:space="preserve">2.5 </w:t>
      </w:r>
      <w:r>
        <w:rPr>
          <w:rFonts w:ascii="宋体" w:hAnsi="宋体" w:eastAsia="宋体" w:cs="宋体"/>
          <w:spacing w:val="5"/>
          <w:sz w:val="23"/>
          <w:szCs w:val="23"/>
        </w:rPr>
        <w:t>) 环境空气质量现状未达到《环境空气质</w:t>
      </w:r>
      <w:r>
        <w:rPr>
          <w:rFonts w:ascii="宋体" w:hAnsi="宋体" w:eastAsia="宋体" w:cs="宋体"/>
          <w:sz w:val="23"/>
          <w:szCs w:val="23"/>
        </w:rPr>
        <w:t xml:space="preserve"> </w:t>
      </w:r>
      <w:r>
        <w:rPr>
          <w:rFonts w:ascii="宋体" w:hAnsi="宋体" w:eastAsia="宋体" w:cs="宋体"/>
          <w:spacing w:val="6"/>
          <w:sz w:val="23"/>
          <w:szCs w:val="23"/>
        </w:rPr>
        <w:t>量标准》 (</w:t>
      </w:r>
      <w:r>
        <w:rPr>
          <w:rFonts w:ascii="Times New Roman" w:hAnsi="Times New Roman" w:eastAsia="Times New Roman" w:cs="Times New Roman"/>
          <w:sz w:val="23"/>
          <w:szCs w:val="23"/>
        </w:rPr>
        <w:t>GB</w:t>
      </w:r>
      <w:r>
        <w:rPr>
          <w:rFonts w:ascii="Times New Roman" w:hAnsi="Times New Roman" w:eastAsia="Times New Roman" w:cs="Times New Roman"/>
          <w:spacing w:val="5"/>
          <w:sz w:val="23"/>
          <w:szCs w:val="23"/>
        </w:rPr>
        <w:t xml:space="preserve"> </w:t>
      </w:r>
      <w:r>
        <w:rPr>
          <w:rFonts w:ascii="Times New Roman" w:hAnsi="Times New Roman" w:eastAsia="Times New Roman" w:cs="Times New Roman"/>
          <w:spacing w:val="3"/>
          <w:sz w:val="23"/>
          <w:szCs w:val="23"/>
        </w:rPr>
        <w:t>3095-2012</w:t>
      </w:r>
      <w:r>
        <w:rPr>
          <w:rFonts w:ascii="宋体" w:hAnsi="宋体" w:eastAsia="宋体" w:cs="宋体"/>
          <w:spacing w:val="3"/>
          <w:sz w:val="23"/>
          <w:szCs w:val="23"/>
        </w:rPr>
        <w:t xml:space="preserve">) 中的二级标准，超标倍数分别为 </w:t>
      </w:r>
      <w:r>
        <w:rPr>
          <w:rFonts w:ascii="Times New Roman" w:hAnsi="Times New Roman" w:eastAsia="Times New Roman" w:cs="Times New Roman"/>
          <w:spacing w:val="3"/>
          <w:sz w:val="23"/>
          <w:szCs w:val="23"/>
        </w:rPr>
        <w:t xml:space="preserve">0.20 </w:t>
      </w:r>
      <w:r>
        <w:rPr>
          <w:rFonts w:ascii="宋体" w:hAnsi="宋体" w:eastAsia="宋体" w:cs="宋体"/>
          <w:spacing w:val="3"/>
          <w:sz w:val="23"/>
          <w:szCs w:val="23"/>
        </w:rPr>
        <w:t>倍、</w:t>
      </w:r>
      <w:r>
        <w:rPr>
          <w:rFonts w:ascii="Times New Roman" w:hAnsi="Times New Roman" w:eastAsia="Times New Roman" w:cs="Times New Roman"/>
          <w:spacing w:val="3"/>
          <w:sz w:val="23"/>
          <w:szCs w:val="23"/>
        </w:rPr>
        <w:t xml:space="preserve">0.58 </w:t>
      </w:r>
      <w:r>
        <w:rPr>
          <w:rFonts w:ascii="宋体" w:hAnsi="宋体" w:eastAsia="宋体" w:cs="宋体"/>
          <w:spacing w:val="3"/>
          <w:sz w:val="23"/>
          <w:szCs w:val="23"/>
        </w:rPr>
        <w:t>倍。因此，</w:t>
      </w:r>
      <w:r>
        <w:rPr>
          <w:rFonts w:ascii="宋体" w:hAnsi="宋体" w:eastAsia="宋体" w:cs="宋体"/>
          <w:sz w:val="23"/>
          <w:szCs w:val="23"/>
        </w:rPr>
        <w:t xml:space="preserve"> </w:t>
      </w:r>
      <w:r>
        <w:rPr>
          <w:rFonts w:ascii="宋体" w:hAnsi="宋体" w:eastAsia="宋体" w:cs="宋体"/>
          <w:spacing w:val="12"/>
          <w:sz w:val="23"/>
          <w:szCs w:val="23"/>
        </w:rPr>
        <w:t>项</w:t>
      </w:r>
      <w:r>
        <w:rPr>
          <w:rFonts w:ascii="宋体" w:hAnsi="宋体" w:eastAsia="宋体" w:cs="宋体"/>
          <w:spacing w:val="11"/>
          <w:sz w:val="23"/>
          <w:szCs w:val="23"/>
        </w:rPr>
        <w:t>目</w:t>
      </w:r>
      <w:r>
        <w:rPr>
          <w:rFonts w:ascii="宋体" w:hAnsi="宋体" w:eastAsia="宋体" w:cs="宋体"/>
          <w:spacing w:val="6"/>
          <w:sz w:val="23"/>
          <w:szCs w:val="23"/>
        </w:rPr>
        <w:t>所在区域为不达标区，不达标因子为可吸入颗粒物</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PM</w:t>
      </w:r>
      <w:r>
        <w:rPr>
          <w:rFonts w:ascii="Times New Roman" w:hAnsi="Times New Roman" w:eastAsia="Times New Roman" w:cs="Times New Roman"/>
          <w:spacing w:val="6"/>
          <w:position w:val="-1"/>
          <w:sz w:val="15"/>
          <w:szCs w:val="15"/>
        </w:rPr>
        <w:t>10</w:t>
      </w:r>
      <w:r>
        <w:rPr>
          <w:rFonts w:ascii="Times New Roman" w:hAnsi="Times New Roman" w:eastAsia="Times New Roman" w:cs="Times New Roman"/>
          <w:spacing w:val="6"/>
          <w:sz w:val="23"/>
          <w:szCs w:val="23"/>
        </w:rPr>
        <w:t>)</w:t>
      </w:r>
      <w:r>
        <w:rPr>
          <w:rFonts w:ascii="宋体" w:hAnsi="宋体" w:eastAsia="宋体" w:cs="宋体"/>
          <w:spacing w:val="6"/>
          <w:sz w:val="23"/>
          <w:szCs w:val="23"/>
        </w:rPr>
        <w:t>、细颗粒物</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PM</w:t>
      </w:r>
      <w:r>
        <w:rPr>
          <w:rFonts w:ascii="Times New Roman" w:hAnsi="Times New Roman" w:eastAsia="Times New Roman" w:cs="Times New Roman"/>
          <w:spacing w:val="6"/>
          <w:position w:val="-1"/>
          <w:sz w:val="15"/>
          <w:szCs w:val="15"/>
        </w:rPr>
        <w:t>2.5</w:t>
      </w:r>
      <w:r>
        <w:rPr>
          <w:rFonts w:ascii="Times New Roman" w:hAnsi="Times New Roman" w:eastAsia="Times New Roman" w:cs="Times New Roman"/>
          <w:spacing w:val="6"/>
          <w:sz w:val="23"/>
          <w:szCs w:val="23"/>
        </w:rPr>
        <w:t>)</w:t>
      </w:r>
      <w:r>
        <w:rPr>
          <w:rFonts w:ascii="宋体" w:hAnsi="宋体" w:eastAsia="宋体" w:cs="宋体"/>
          <w:spacing w:val="6"/>
          <w:sz w:val="23"/>
          <w:szCs w:val="23"/>
        </w:rPr>
        <w:t>。根</w:t>
      </w:r>
      <w:r>
        <w:rPr>
          <w:rFonts w:ascii="宋体" w:hAnsi="宋体" w:eastAsia="宋体" w:cs="宋体"/>
          <w:sz w:val="23"/>
          <w:szCs w:val="23"/>
        </w:rPr>
        <w:t xml:space="preserve"> </w:t>
      </w:r>
      <w:r>
        <w:rPr>
          <w:rFonts w:ascii="宋体" w:hAnsi="宋体" w:eastAsia="宋体" w:cs="宋体"/>
          <w:spacing w:val="4"/>
          <w:sz w:val="23"/>
          <w:szCs w:val="23"/>
        </w:rPr>
        <w:t>据环境现状监测，</w:t>
      </w:r>
      <w:r>
        <w:rPr>
          <w:rFonts w:ascii="Times New Roman" w:hAnsi="Times New Roman" w:eastAsia="Times New Roman" w:cs="Times New Roman"/>
          <w:sz w:val="23"/>
          <w:szCs w:val="23"/>
        </w:rPr>
        <w:t>NH</w:t>
      </w:r>
      <w:r>
        <w:rPr>
          <w:rFonts w:ascii="Times New Roman" w:hAnsi="Times New Roman" w:eastAsia="Times New Roman" w:cs="Times New Roman"/>
          <w:spacing w:val="4"/>
          <w:position w:val="-1"/>
          <w:sz w:val="15"/>
          <w:szCs w:val="15"/>
        </w:rPr>
        <w:t xml:space="preserve">3 </w:t>
      </w:r>
      <w:r>
        <w:rPr>
          <w:rFonts w:ascii="宋体" w:hAnsi="宋体" w:eastAsia="宋体" w:cs="宋体"/>
          <w:spacing w:val="4"/>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4"/>
          <w:position w:val="-1"/>
          <w:sz w:val="15"/>
          <w:szCs w:val="15"/>
        </w:rPr>
        <w:t xml:space="preserve">2 </w:t>
      </w:r>
      <w:r>
        <w:rPr>
          <w:rFonts w:ascii="Times New Roman" w:hAnsi="Times New Roman" w:eastAsia="Times New Roman" w:cs="Times New Roman"/>
          <w:sz w:val="23"/>
          <w:szCs w:val="23"/>
        </w:rPr>
        <w:t>S</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满足《环境影响评价技术导则</w:t>
      </w:r>
      <w:r>
        <w:rPr>
          <w:rFonts w:ascii="Times New Roman" w:hAnsi="Times New Roman" w:eastAsia="Times New Roman" w:cs="Times New Roman"/>
          <w:spacing w:val="4"/>
          <w:sz w:val="23"/>
          <w:szCs w:val="23"/>
        </w:rPr>
        <w:t>—</w:t>
      </w:r>
      <w:r>
        <w:rPr>
          <w:rFonts w:ascii="宋体" w:hAnsi="宋体" w:eastAsia="宋体" w:cs="宋体"/>
          <w:spacing w:val="4"/>
          <w:sz w:val="23"/>
          <w:szCs w:val="23"/>
        </w:rPr>
        <w:t>大气环境》  (</w:t>
      </w:r>
      <w:r>
        <w:rPr>
          <w:rFonts w:ascii="Times New Roman" w:hAnsi="Times New Roman" w:eastAsia="Times New Roman" w:cs="Times New Roman"/>
          <w:sz w:val="23"/>
          <w:szCs w:val="23"/>
        </w:rPr>
        <w:t>HJ</w:t>
      </w:r>
      <w:r>
        <w:rPr>
          <w:rFonts w:ascii="Times New Roman" w:hAnsi="Times New Roman" w:eastAsia="Times New Roman" w:cs="Times New Roman"/>
          <w:spacing w:val="4"/>
          <w:sz w:val="23"/>
          <w:szCs w:val="23"/>
        </w:rPr>
        <w:t>2.2</w:t>
      </w:r>
      <w:r>
        <w:rPr>
          <w:rFonts w:ascii="Times New Roman" w:hAnsi="Times New Roman" w:eastAsia="Times New Roman" w:cs="Times New Roman"/>
          <w:spacing w:val="1"/>
          <w:sz w:val="23"/>
          <w:szCs w:val="23"/>
        </w:rPr>
        <w:t xml:space="preserve"> </w:t>
      </w:r>
      <w:r>
        <w:rPr>
          <w:rFonts w:ascii="宋体" w:hAnsi="宋体" w:eastAsia="宋体" w:cs="宋体"/>
          <w:sz w:val="23"/>
          <w:szCs w:val="23"/>
        </w:rPr>
        <w:t xml:space="preserve">－ </w:t>
      </w:r>
      <w:r>
        <w:rPr>
          <w:rFonts w:ascii="Times New Roman" w:hAnsi="Times New Roman" w:eastAsia="Times New Roman" w:cs="Times New Roman"/>
          <w:spacing w:val="16"/>
          <w:sz w:val="23"/>
          <w:szCs w:val="23"/>
        </w:rPr>
        <w:t>201</w:t>
      </w:r>
      <w:r>
        <w:rPr>
          <w:rFonts w:ascii="Times New Roman" w:hAnsi="Times New Roman" w:eastAsia="Times New Roman" w:cs="Times New Roman"/>
          <w:spacing w:val="13"/>
          <w:sz w:val="23"/>
          <w:szCs w:val="23"/>
        </w:rPr>
        <w:t>8</w:t>
      </w:r>
      <w:r>
        <w:rPr>
          <w:rFonts w:ascii="宋体" w:hAnsi="宋体" w:eastAsia="宋体" w:cs="宋体"/>
          <w:spacing w:val="8"/>
          <w:sz w:val="23"/>
          <w:szCs w:val="23"/>
        </w:rPr>
        <w:t xml:space="preserve">) 附录 </w:t>
      </w:r>
      <w:r>
        <w:rPr>
          <w:rFonts w:ascii="Times New Roman" w:hAnsi="Times New Roman" w:eastAsia="Times New Roman" w:cs="Times New Roman"/>
          <w:sz w:val="23"/>
          <w:szCs w:val="23"/>
        </w:rPr>
        <w:t>D</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 xml:space="preserve">中相关限值；地表水除 </w:t>
      </w:r>
      <w:r>
        <w:rPr>
          <w:rFonts w:ascii="Times New Roman" w:hAnsi="Times New Roman" w:eastAsia="Times New Roman" w:cs="Times New Roman"/>
          <w:sz w:val="23"/>
          <w:szCs w:val="23"/>
        </w:rPr>
        <w:t>SW</w:t>
      </w:r>
      <w:r>
        <w:rPr>
          <w:rFonts w:ascii="Times New Roman" w:hAnsi="Times New Roman" w:eastAsia="Times New Roman" w:cs="Times New Roman"/>
          <w:spacing w:val="8"/>
          <w:sz w:val="23"/>
          <w:szCs w:val="23"/>
        </w:rPr>
        <w:t xml:space="preserve">1 </w:t>
      </w:r>
      <w:r>
        <w:rPr>
          <w:rFonts w:ascii="宋体" w:hAnsi="宋体" w:eastAsia="宋体" w:cs="宋体"/>
          <w:spacing w:val="8"/>
          <w:sz w:val="23"/>
          <w:szCs w:val="23"/>
        </w:rPr>
        <w:t>断面五日生化需氧量超标外，其他各监</w:t>
      </w:r>
      <w:r>
        <w:rPr>
          <w:rFonts w:ascii="宋体" w:hAnsi="宋体" w:eastAsia="宋体" w:cs="宋体"/>
          <w:sz w:val="23"/>
          <w:szCs w:val="23"/>
        </w:rPr>
        <w:t xml:space="preserve"> </w:t>
      </w:r>
      <w:r>
        <w:rPr>
          <w:rFonts w:ascii="宋体" w:hAnsi="宋体" w:eastAsia="宋体" w:cs="宋体"/>
          <w:spacing w:val="-23"/>
          <w:sz w:val="23"/>
          <w:szCs w:val="23"/>
        </w:rPr>
        <w:t xml:space="preserve">测 断 面 各 项 监 测 指 标 现 状 监 测结 果 均能 达 到 《 地 表 水 环 境 质 量 标 准 </w:t>
      </w:r>
      <w:r>
        <w:rPr>
          <w:rFonts w:ascii="宋体" w:hAnsi="宋体" w:eastAsia="宋体" w:cs="宋体"/>
          <w:spacing w:val="-22"/>
          <w:sz w:val="23"/>
          <w:szCs w:val="23"/>
        </w:rPr>
        <w:t>》</w:t>
      </w:r>
      <w:r>
        <w:rPr>
          <w:rFonts w:ascii="宋体" w:hAnsi="宋体" w:eastAsia="宋体" w:cs="宋体"/>
          <w:sz w:val="23"/>
          <w:szCs w:val="23"/>
        </w:rPr>
        <w:t xml:space="preserve"> </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5"/>
          <w:sz w:val="23"/>
          <w:szCs w:val="23"/>
        </w:rPr>
        <w:t>3838-2002)</w:t>
      </w:r>
      <w:r>
        <w:rPr>
          <w:rFonts w:ascii="宋体" w:hAnsi="宋体" w:eastAsia="宋体" w:cs="宋体"/>
          <w:spacing w:val="5"/>
          <w:sz w:val="23"/>
          <w:szCs w:val="23"/>
        </w:rPr>
        <w:t>Ⅲ类水质标准的要求，</w:t>
      </w:r>
      <w:r>
        <w:rPr>
          <w:rFonts w:ascii="Times New Roman" w:hAnsi="Times New Roman" w:eastAsia="Times New Roman" w:cs="Times New Roman"/>
          <w:sz w:val="23"/>
          <w:szCs w:val="23"/>
        </w:rPr>
        <w:t>SS</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能达到《地表水资源质量标准》 (</w:t>
      </w:r>
      <w:r>
        <w:rPr>
          <w:rFonts w:ascii="Times New Roman" w:hAnsi="Times New Roman" w:eastAsia="Times New Roman" w:cs="Times New Roman"/>
          <w:sz w:val="23"/>
          <w:szCs w:val="23"/>
        </w:rPr>
        <w:t>SL</w:t>
      </w:r>
      <w:r>
        <w:rPr>
          <w:rFonts w:ascii="Times New Roman" w:hAnsi="Times New Roman" w:eastAsia="Times New Roman" w:cs="Times New Roman"/>
          <w:spacing w:val="5"/>
          <w:sz w:val="23"/>
          <w:szCs w:val="23"/>
        </w:rPr>
        <w:t>63-94</w:t>
      </w:r>
      <w:r>
        <w:rPr>
          <w:rFonts w:ascii="宋体" w:hAnsi="宋体" w:eastAsia="宋体" w:cs="宋体"/>
          <w:spacing w:val="5"/>
          <w:sz w:val="23"/>
          <w:szCs w:val="23"/>
        </w:rPr>
        <w:t>)</w:t>
      </w:r>
      <w:r>
        <w:rPr>
          <w:rFonts w:ascii="宋体" w:hAnsi="宋体" w:eastAsia="宋体" w:cs="宋体"/>
          <w:sz w:val="23"/>
          <w:szCs w:val="23"/>
        </w:rPr>
        <w:t xml:space="preserve"> </w:t>
      </w:r>
      <w:r>
        <w:rPr>
          <w:rFonts w:ascii="宋体" w:hAnsi="宋体" w:eastAsia="宋体" w:cs="宋体"/>
          <w:spacing w:val="18"/>
          <w:sz w:val="23"/>
          <w:szCs w:val="23"/>
        </w:rPr>
        <w:t>三级</w:t>
      </w:r>
      <w:r>
        <w:rPr>
          <w:rFonts w:ascii="宋体" w:hAnsi="宋体" w:eastAsia="宋体" w:cs="宋体"/>
          <w:spacing w:val="10"/>
          <w:sz w:val="23"/>
          <w:szCs w:val="23"/>
        </w:rPr>
        <w:t>标</w:t>
      </w:r>
      <w:r>
        <w:rPr>
          <w:rFonts w:ascii="宋体" w:hAnsi="宋体" w:eastAsia="宋体" w:cs="宋体"/>
          <w:spacing w:val="9"/>
          <w:sz w:val="23"/>
          <w:szCs w:val="23"/>
        </w:rPr>
        <w:t>准限值要求，</w:t>
      </w:r>
      <w:r>
        <w:rPr>
          <w:rFonts w:ascii="Times New Roman" w:hAnsi="Times New Roman" w:eastAsia="Times New Roman" w:cs="Times New Roman"/>
          <w:sz w:val="23"/>
          <w:szCs w:val="23"/>
        </w:rPr>
        <w:t>SW</w:t>
      </w:r>
      <w:r>
        <w:rPr>
          <w:rFonts w:ascii="Times New Roman" w:hAnsi="Times New Roman" w:eastAsia="Times New Roman" w:cs="Times New Roman"/>
          <w:spacing w:val="9"/>
          <w:sz w:val="23"/>
          <w:szCs w:val="23"/>
        </w:rPr>
        <w:t xml:space="preserve">1 </w:t>
      </w:r>
      <w:r>
        <w:rPr>
          <w:rFonts w:ascii="宋体" w:hAnsi="宋体" w:eastAsia="宋体" w:cs="宋体"/>
          <w:spacing w:val="9"/>
          <w:sz w:val="23"/>
          <w:szCs w:val="23"/>
        </w:rPr>
        <w:t>五日生化需氧量超标原因主要是周边农业废水随地表径流</w:t>
      </w:r>
      <w:r>
        <w:rPr>
          <w:rFonts w:ascii="宋体" w:hAnsi="宋体" w:eastAsia="宋体" w:cs="宋体"/>
          <w:sz w:val="23"/>
          <w:szCs w:val="23"/>
        </w:rPr>
        <w:t xml:space="preserve"> </w:t>
      </w:r>
      <w:r>
        <w:rPr>
          <w:rFonts w:ascii="宋体" w:hAnsi="宋体" w:eastAsia="宋体" w:cs="宋体"/>
          <w:spacing w:val="14"/>
          <w:sz w:val="23"/>
          <w:szCs w:val="23"/>
        </w:rPr>
        <w:t>汇</w:t>
      </w:r>
      <w:r>
        <w:rPr>
          <w:rFonts w:ascii="宋体" w:hAnsi="宋体" w:eastAsia="宋体" w:cs="宋体"/>
          <w:spacing w:val="11"/>
          <w:sz w:val="23"/>
          <w:szCs w:val="23"/>
        </w:rPr>
        <w:t>入</w:t>
      </w:r>
      <w:r>
        <w:rPr>
          <w:rFonts w:ascii="宋体" w:hAnsi="宋体" w:eastAsia="宋体" w:cs="宋体"/>
          <w:spacing w:val="7"/>
          <w:sz w:val="23"/>
          <w:szCs w:val="23"/>
        </w:rPr>
        <w:t>水库 中 导致 的； 项 目所在地地 下水质量现状满足《 地 下水质量标准 》</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9"/>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9"/>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9"/>
          <w:sz w:val="23"/>
          <w:szCs w:val="23"/>
        </w:rPr>
        <w:t>14848-2017</w:t>
      </w:r>
      <w:r>
        <w:rPr>
          <w:rFonts w:ascii="宋体" w:hAnsi="宋体" w:eastAsia="宋体" w:cs="宋体"/>
          <w:spacing w:val="9"/>
          <w:sz w:val="23"/>
          <w:szCs w:val="23"/>
        </w:rPr>
        <w:t>) 中Ⅲ类水质标准；项目厂界噪声及敏感点噪声均满足《声环</w:t>
      </w:r>
      <w:r>
        <w:rPr>
          <w:rFonts w:ascii="宋体" w:hAnsi="宋体" w:eastAsia="宋体" w:cs="宋体"/>
          <w:spacing w:val="2"/>
          <w:sz w:val="23"/>
          <w:szCs w:val="23"/>
        </w:rPr>
        <w:t>境</w:t>
      </w:r>
      <w:r>
        <w:rPr>
          <w:rFonts w:ascii="宋体" w:hAnsi="宋体" w:eastAsia="宋体" w:cs="宋体"/>
          <w:sz w:val="23"/>
          <w:szCs w:val="23"/>
        </w:rPr>
        <w:t xml:space="preserve"> </w:t>
      </w:r>
      <w:r>
        <w:rPr>
          <w:rFonts w:ascii="宋体" w:hAnsi="宋体" w:eastAsia="宋体" w:cs="宋体"/>
          <w:spacing w:val="6"/>
          <w:sz w:val="23"/>
          <w:szCs w:val="23"/>
        </w:rPr>
        <w:t>质量标准》  (</w:t>
      </w:r>
      <w:r>
        <w:rPr>
          <w:rFonts w:ascii="Times New Roman" w:hAnsi="Times New Roman" w:eastAsia="Times New Roman" w:cs="Times New Roman"/>
          <w:sz w:val="23"/>
          <w:szCs w:val="23"/>
        </w:rPr>
        <w:t>GB</w:t>
      </w:r>
      <w:r>
        <w:rPr>
          <w:rFonts w:ascii="Times New Roman" w:hAnsi="Times New Roman" w:eastAsia="Times New Roman" w:cs="Times New Roman"/>
          <w:spacing w:val="6"/>
          <w:sz w:val="23"/>
          <w:szCs w:val="23"/>
        </w:rPr>
        <w:t>309</w:t>
      </w:r>
      <w:r>
        <w:rPr>
          <w:rFonts w:ascii="Times New Roman" w:hAnsi="Times New Roman" w:eastAsia="Times New Roman" w:cs="Times New Roman"/>
          <w:spacing w:val="5"/>
          <w:sz w:val="23"/>
          <w:szCs w:val="23"/>
        </w:rPr>
        <w:t>6</w:t>
      </w:r>
      <w:r>
        <w:rPr>
          <w:rFonts w:ascii="Times New Roman" w:hAnsi="Times New Roman" w:eastAsia="Times New Roman" w:cs="Times New Roman"/>
          <w:spacing w:val="3"/>
          <w:sz w:val="23"/>
          <w:szCs w:val="23"/>
        </w:rPr>
        <w:t>-2008</w:t>
      </w:r>
      <w:r>
        <w:rPr>
          <w:rFonts w:ascii="宋体" w:hAnsi="宋体" w:eastAsia="宋体" w:cs="宋体"/>
          <w:spacing w:val="3"/>
          <w:sz w:val="23"/>
          <w:szCs w:val="23"/>
        </w:rPr>
        <w:t xml:space="preserve">) 中的 </w:t>
      </w:r>
      <w:r>
        <w:rPr>
          <w:rFonts w:ascii="Times New Roman" w:hAnsi="Times New Roman" w:eastAsia="Times New Roman" w:cs="Times New Roman"/>
          <w:spacing w:val="3"/>
          <w:sz w:val="23"/>
          <w:szCs w:val="23"/>
        </w:rPr>
        <w:t xml:space="preserve">2 </w:t>
      </w:r>
      <w:r>
        <w:rPr>
          <w:rFonts w:ascii="宋体" w:hAnsi="宋体" w:eastAsia="宋体" w:cs="宋体"/>
          <w:spacing w:val="3"/>
          <w:sz w:val="23"/>
          <w:szCs w:val="23"/>
        </w:rPr>
        <w:t>类功能区标准。上述表明项目地环境质量良好。</w:t>
      </w:r>
      <w:r>
        <w:rPr>
          <w:rFonts w:ascii="宋体" w:hAnsi="宋体" w:eastAsia="宋体" w:cs="宋体"/>
          <w:sz w:val="23"/>
          <w:szCs w:val="23"/>
        </w:rPr>
        <w:t xml:space="preserve"> </w:t>
      </w:r>
      <w:r>
        <w:rPr>
          <w:rFonts w:ascii="宋体" w:hAnsi="宋体" w:eastAsia="宋体" w:cs="宋体"/>
          <w:spacing w:val="17"/>
          <w:sz w:val="23"/>
          <w:szCs w:val="23"/>
        </w:rPr>
        <w:t>项</w:t>
      </w:r>
      <w:r>
        <w:rPr>
          <w:rFonts w:ascii="宋体" w:hAnsi="宋体" w:eastAsia="宋体" w:cs="宋体"/>
          <w:spacing w:val="11"/>
          <w:sz w:val="23"/>
          <w:szCs w:val="23"/>
        </w:rPr>
        <w:t>目所在地区为农田，附近主要为旱作农作物等，土壤环境质量未受到污染。区域</w:t>
      </w:r>
      <w:r>
        <w:rPr>
          <w:rFonts w:ascii="宋体" w:hAnsi="宋体" w:eastAsia="宋体" w:cs="宋体"/>
          <w:sz w:val="23"/>
          <w:szCs w:val="23"/>
        </w:rPr>
        <w:t xml:space="preserve"> </w:t>
      </w:r>
      <w:r>
        <w:rPr>
          <w:rFonts w:ascii="宋体" w:hAnsi="宋体" w:eastAsia="宋体" w:cs="宋体"/>
          <w:spacing w:val="13"/>
          <w:sz w:val="23"/>
          <w:szCs w:val="23"/>
        </w:rPr>
        <w:t>环</w:t>
      </w:r>
      <w:r>
        <w:rPr>
          <w:rFonts w:ascii="宋体" w:hAnsi="宋体" w:eastAsia="宋体" w:cs="宋体"/>
          <w:spacing w:val="7"/>
          <w:sz w:val="23"/>
          <w:szCs w:val="23"/>
        </w:rPr>
        <w:t>境各项污染物环境质量满足《畜禽养殖产地环境评价规范》  (</w:t>
      </w:r>
      <w:r>
        <w:rPr>
          <w:rFonts w:ascii="Times New Roman" w:hAnsi="Times New Roman" w:eastAsia="Times New Roman" w:cs="Times New Roman"/>
          <w:sz w:val="23"/>
          <w:szCs w:val="23"/>
        </w:rPr>
        <w:t>HJ</w:t>
      </w:r>
      <w:r>
        <w:rPr>
          <w:rFonts w:ascii="Times New Roman" w:hAnsi="Times New Roman" w:eastAsia="Times New Roman" w:cs="Times New Roman"/>
          <w:spacing w:val="7"/>
          <w:sz w:val="23"/>
          <w:szCs w:val="23"/>
        </w:rPr>
        <w:t>568-2010</w:t>
      </w:r>
      <w:r>
        <w:rPr>
          <w:rFonts w:ascii="宋体" w:hAnsi="宋体" w:eastAsia="宋体" w:cs="宋体"/>
          <w:spacing w:val="7"/>
          <w:sz w:val="23"/>
          <w:szCs w:val="23"/>
        </w:rPr>
        <w:t>) 的相</w:t>
      </w:r>
      <w:r>
        <w:rPr>
          <w:rFonts w:ascii="宋体" w:hAnsi="宋体" w:eastAsia="宋体" w:cs="宋体"/>
          <w:sz w:val="23"/>
          <w:szCs w:val="23"/>
        </w:rPr>
        <w:t xml:space="preserve"> </w:t>
      </w:r>
      <w:r>
        <w:rPr>
          <w:rFonts w:ascii="宋体" w:hAnsi="宋体" w:eastAsia="宋体" w:cs="宋体"/>
          <w:spacing w:val="6"/>
          <w:sz w:val="23"/>
          <w:szCs w:val="23"/>
        </w:rPr>
        <w:t>关要求。</w:t>
      </w:r>
    </w:p>
    <w:p w14:paraId="6CD5B294">
      <w:pPr>
        <w:spacing w:line="375" w:lineRule="auto"/>
        <w:ind w:left="10" w:right="106" w:firstLine="480"/>
        <w:rPr>
          <w:rFonts w:ascii="宋体" w:hAnsi="宋体" w:eastAsia="宋体" w:cs="宋体"/>
          <w:sz w:val="23"/>
          <w:szCs w:val="23"/>
        </w:rPr>
      </w:pPr>
      <w:r>
        <w:rPr>
          <w:rFonts w:ascii="宋体" w:hAnsi="宋体" w:eastAsia="宋体" w:cs="宋体"/>
          <w:spacing w:val="15"/>
          <w:sz w:val="23"/>
          <w:szCs w:val="23"/>
        </w:rPr>
        <w:t>井</w:t>
      </w:r>
      <w:r>
        <w:rPr>
          <w:rFonts w:ascii="宋体" w:hAnsi="宋体" w:eastAsia="宋体" w:cs="宋体"/>
          <w:spacing w:val="11"/>
          <w:sz w:val="23"/>
          <w:szCs w:val="23"/>
        </w:rPr>
        <w:t>研县周坡镇人民政府、井研县农业农村局、井研县自然资源局联合为本项目</w:t>
      </w:r>
      <w:r>
        <w:rPr>
          <w:rFonts w:ascii="宋体" w:hAnsi="宋体" w:eastAsia="宋体" w:cs="宋体"/>
          <w:sz w:val="23"/>
          <w:szCs w:val="23"/>
        </w:rPr>
        <w:t xml:space="preserve"> </w:t>
      </w:r>
      <w:r>
        <w:rPr>
          <w:rFonts w:ascii="宋体" w:hAnsi="宋体" w:eastAsia="宋体" w:cs="宋体"/>
          <w:spacing w:val="4"/>
          <w:sz w:val="23"/>
          <w:szCs w:val="23"/>
        </w:rPr>
        <w:t>出具了《设施农业用地备</w:t>
      </w:r>
      <w:r>
        <w:rPr>
          <w:rFonts w:ascii="宋体" w:hAnsi="宋体" w:eastAsia="宋体" w:cs="宋体"/>
          <w:spacing w:val="3"/>
          <w:sz w:val="23"/>
          <w:szCs w:val="23"/>
        </w:rPr>
        <w:t>案</w:t>
      </w:r>
      <w:r>
        <w:rPr>
          <w:rFonts w:ascii="宋体" w:hAnsi="宋体" w:eastAsia="宋体" w:cs="宋体"/>
          <w:spacing w:val="2"/>
          <w:sz w:val="23"/>
          <w:szCs w:val="23"/>
        </w:rPr>
        <w:t>表》  (井设农备字【</w:t>
      </w:r>
      <w:r>
        <w:rPr>
          <w:rFonts w:ascii="Times New Roman" w:hAnsi="Times New Roman" w:eastAsia="Times New Roman" w:cs="Times New Roman"/>
          <w:spacing w:val="2"/>
          <w:sz w:val="23"/>
          <w:szCs w:val="23"/>
        </w:rPr>
        <w:t>2019</w:t>
      </w:r>
      <w:r>
        <w:rPr>
          <w:rFonts w:ascii="宋体" w:hAnsi="宋体" w:eastAsia="宋体" w:cs="宋体"/>
          <w:spacing w:val="2"/>
          <w:sz w:val="23"/>
          <w:szCs w:val="23"/>
        </w:rPr>
        <w:t xml:space="preserve">】第 </w:t>
      </w:r>
      <w:r>
        <w:rPr>
          <w:rFonts w:ascii="Times New Roman" w:hAnsi="Times New Roman" w:eastAsia="Times New Roman" w:cs="Times New Roman"/>
          <w:spacing w:val="2"/>
          <w:sz w:val="23"/>
          <w:szCs w:val="23"/>
        </w:rPr>
        <w:t xml:space="preserve">21 </w:t>
      </w:r>
      <w:r>
        <w:rPr>
          <w:rFonts w:ascii="宋体" w:hAnsi="宋体" w:eastAsia="宋体" w:cs="宋体"/>
          <w:spacing w:val="2"/>
          <w:sz w:val="23"/>
          <w:szCs w:val="23"/>
        </w:rPr>
        <w:t>号) ，并与井研县周坡</w:t>
      </w:r>
      <w:r>
        <w:rPr>
          <w:rFonts w:ascii="宋体" w:hAnsi="宋体" w:eastAsia="宋体" w:cs="宋体"/>
          <w:sz w:val="23"/>
          <w:szCs w:val="23"/>
        </w:rPr>
        <w:t xml:space="preserve"> </w:t>
      </w:r>
      <w:r>
        <w:rPr>
          <w:rFonts w:ascii="宋体" w:hAnsi="宋体" w:eastAsia="宋体" w:cs="宋体"/>
          <w:spacing w:val="11"/>
          <w:sz w:val="23"/>
          <w:szCs w:val="23"/>
        </w:rPr>
        <w:t>镇人民政府、井研县周坡镇周坡村村民委员会、井研县周坡镇龙桥村村民委员会签</w:t>
      </w:r>
      <w:r>
        <w:rPr>
          <w:rFonts w:ascii="宋体" w:hAnsi="宋体" w:eastAsia="宋体" w:cs="宋体"/>
          <w:sz w:val="23"/>
          <w:szCs w:val="23"/>
        </w:rPr>
        <w:t xml:space="preserve"> </w:t>
      </w:r>
      <w:r>
        <w:rPr>
          <w:rFonts w:ascii="宋体" w:hAnsi="宋体" w:eastAsia="宋体" w:cs="宋体"/>
          <w:spacing w:val="18"/>
          <w:sz w:val="23"/>
          <w:szCs w:val="23"/>
        </w:rPr>
        <w:t>订</w:t>
      </w:r>
      <w:r>
        <w:rPr>
          <w:rFonts w:ascii="宋体" w:hAnsi="宋体" w:eastAsia="宋体" w:cs="宋体"/>
          <w:spacing w:val="10"/>
          <w:sz w:val="23"/>
          <w:szCs w:val="23"/>
        </w:rPr>
        <w:t>了</w:t>
      </w:r>
      <w:r>
        <w:rPr>
          <w:rFonts w:ascii="宋体" w:hAnsi="宋体" w:eastAsia="宋体" w:cs="宋体"/>
          <w:spacing w:val="9"/>
          <w:sz w:val="23"/>
          <w:szCs w:val="23"/>
        </w:rPr>
        <w:t>土地流转协议及土地复垦协议，项目符合农业发展政策和规划。</w:t>
      </w:r>
    </w:p>
    <w:p w14:paraId="5D30CA08">
      <w:pPr>
        <w:spacing w:before="3" w:line="374" w:lineRule="auto"/>
        <w:ind w:left="10" w:right="106" w:firstLine="479"/>
        <w:rPr>
          <w:rFonts w:ascii="宋体" w:hAnsi="宋体" w:eastAsia="宋体" w:cs="宋体"/>
          <w:sz w:val="23"/>
          <w:szCs w:val="23"/>
        </w:rPr>
      </w:pPr>
      <w:r>
        <w:rPr>
          <w:rFonts w:ascii="宋体" w:hAnsi="宋体" w:eastAsia="宋体" w:cs="宋体"/>
          <w:spacing w:val="14"/>
          <w:sz w:val="23"/>
          <w:szCs w:val="23"/>
        </w:rPr>
        <w:t>评价</w:t>
      </w:r>
      <w:r>
        <w:rPr>
          <w:rFonts w:ascii="宋体" w:hAnsi="宋体" w:eastAsia="宋体" w:cs="宋体"/>
          <w:spacing w:val="12"/>
          <w:sz w:val="23"/>
          <w:szCs w:val="23"/>
        </w:rPr>
        <w:t>要</w:t>
      </w:r>
      <w:r>
        <w:rPr>
          <w:rFonts w:ascii="宋体" w:hAnsi="宋体" w:eastAsia="宋体" w:cs="宋体"/>
          <w:spacing w:val="7"/>
          <w:sz w:val="23"/>
          <w:szCs w:val="23"/>
        </w:rPr>
        <w:t>求，在卫生防护距离内，今后不得引入居民区、机关、食品厂、 自来水</w:t>
      </w:r>
      <w:r>
        <w:rPr>
          <w:rFonts w:ascii="宋体" w:hAnsi="宋体" w:eastAsia="宋体" w:cs="宋体"/>
          <w:sz w:val="23"/>
          <w:szCs w:val="23"/>
        </w:rPr>
        <w:t xml:space="preserve"> </w:t>
      </w:r>
      <w:r>
        <w:rPr>
          <w:rFonts w:ascii="宋体" w:hAnsi="宋体" w:eastAsia="宋体" w:cs="宋体"/>
          <w:spacing w:val="13"/>
          <w:sz w:val="23"/>
          <w:szCs w:val="23"/>
        </w:rPr>
        <w:t>水</w:t>
      </w:r>
      <w:r>
        <w:rPr>
          <w:rFonts w:ascii="宋体" w:hAnsi="宋体" w:eastAsia="宋体" w:cs="宋体"/>
          <w:spacing w:val="11"/>
          <w:sz w:val="23"/>
          <w:szCs w:val="23"/>
        </w:rPr>
        <w:t>厂等对外环境要求较高的企业，学校、医院等公共场所以及其他与本项目不相容</w:t>
      </w:r>
      <w:r>
        <w:rPr>
          <w:rFonts w:ascii="宋体" w:hAnsi="宋体" w:eastAsia="宋体" w:cs="宋体"/>
          <w:sz w:val="23"/>
          <w:szCs w:val="23"/>
        </w:rPr>
        <w:t xml:space="preserve"> </w:t>
      </w:r>
      <w:r>
        <w:rPr>
          <w:rFonts w:ascii="宋体" w:hAnsi="宋体" w:eastAsia="宋体" w:cs="宋体"/>
          <w:spacing w:val="19"/>
          <w:sz w:val="23"/>
          <w:szCs w:val="23"/>
        </w:rPr>
        <w:t>的</w:t>
      </w:r>
      <w:r>
        <w:rPr>
          <w:rFonts w:ascii="宋体" w:hAnsi="宋体" w:eastAsia="宋体" w:cs="宋体"/>
          <w:spacing w:val="10"/>
          <w:sz w:val="23"/>
          <w:szCs w:val="23"/>
        </w:rPr>
        <w:t xml:space="preserve">行业及敏感目标。根据外环境关系，与本项目厂界最近居民点为东侧 </w:t>
      </w:r>
      <w:r>
        <w:rPr>
          <w:rFonts w:ascii="Times New Roman" w:hAnsi="Times New Roman" w:eastAsia="Times New Roman" w:cs="Times New Roman"/>
          <w:spacing w:val="10"/>
          <w:sz w:val="23"/>
          <w:szCs w:val="23"/>
        </w:rPr>
        <w:t>175</w:t>
      </w:r>
      <w:r>
        <w:rPr>
          <w:rFonts w:ascii="Times New Roman" w:hAnsi="Times New Roman" w:eastAsia="Times New Roman" w:cs="Times New Roman"/>
          <w:sz w:val="23"/>
          <w:szCs w:val="23"/>
        </w:rPr>
        <w:t>m</w:t>
      </w:r>
      <w:r>
        <w:rPr>
          <w:rFonts w:ascii="Times New Roman" w:hAnsi="Times New Roman" w:eastAsia="Times New Roman" w:cs="Times New Roman"/>
          <w:spacing w:val="10"/>
          <w:sz w:val="23"/>
          <w:szCs w:val="23"/>
        </w:rPr>
        <w:t xml:space="preserve"> </w:t>
      </w:r>
      <w:r>
        <w:rPr>
          <w:rFonts w:ascii="宋体" w:hAnsi="宋体" w:eastAsia="宋体" w:cs="宋体"/>
          <w:spacing w:val="10"/>
          <w:sz w:val="23"/>
          <w:szCs w:val="23"/>
        </w:rPr>
        <w:t>的周</w:t>
      </w:r>
      <w:r>
        <w:rPr>
          <w:rFonts w:ascii="宋体" w:hAnsi="宋体" w:eastAsia="宋体" w:cs="宋体"/>
          <w:sz w:val="23"/>
          <w:szCs w:val="23"/>
        </w:rPr>
        <w:t xml:space="preserve"> </w:t>
      </w:r>
      <w:r>
        <w:rPr>
          <w:rFonts w:ascii="宋体" w:hAnsi="宋体" w:eastAsia="宋体" w:cs="宋体"/>
          <w:spacing w:val="10"/>
          <w:sz w:val="23"/>
          <w:szCs w:val="23"/>
        </w:rPr>
        <w:t xml:space="preserve">坡村 </w:t>
      </w:r>
      <w:r>
        <w:rPr>
          <w:rFonts w:ascii="Times New Roman" w:hAnsi="Times New Roman" w:eastAsia="Times New Roman" w:cs="Times New Roman"/>
          <w:spacing w:val="10"/>
          <w:sz w:val="23"/>
          <w:szCs w:val="23"/>
        </w:rPr>
        <w:t>7</w:t>
      </w:r>
      <w:r>
        <w:rPr>
          <w:rFonts w:ascii="Times New Roman" w:hAnsi="Times New Roman" w:eastAsia="Times New Roman" w:cs="Times New Roman"/>
          <w:spacing w:val="6"/>
          <w:sz w:val="23"/>
          <w:szCs w:val="23"/>
        </w:rPr>
        <w:t xml:space="preserve"> </w:t>
      </w:r>
      <w:r>
        <w:rPr>
          <w:rFonts w:ascii="宋体" w:hAnsi="宋体" w:eastAsia="宋体" w:cs="宋体"/>
          <w:spacing w:val="5"/>
          <w:sz w:val="23"/>
          <w:szCs w:val="23"/>
        </w:rPr>
        <w:t xml:space="preserve">组居民，项目场界外 </w:t>
      </w:r>
      <w:r>
        <w:rPr>
          <w:rFonts w:ascii="Times New Roman" w:hAnsi="Times New Roman" w:eastAsia="Times New Roman" w:cs="Times New Roman"/>
          <w:spacing w:val="5"/>
          <w:sz w:val="23"/>
          <w:szCs w:val="23"/>
        </w:rPr>
        <w:t>100</w:t>
      </w:r>
      <w:r>
        <w:rPr>
          <w:rFonts w:ascii="Times New Roman" w:hAnsi="Times New Roman" w:eastAsia="Times New Roman" w:cs="Times New Roman"/>
          <w:sz w:val="23"/>
          <w:szCs w:val="23"/>
        </w:rPr>
        <w:t>m</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的卫生防护距离范围内没有环境敏感保护目标。</w:t>
      </w:r>
    </w:p>
    <w:p w14:paraId="33C36EE5">
      <w:pPr>
        <w:spacing w:line="228" w:lineRule="auto"/>
        <w:ind w:left="493"/>
        <w:rPr>
          <w:rFonts w:ascii="宋体" w:hAnsi="宋体" w:eastAsia="宋体" w:cs="宋体"/>
          <w:sz w:val="23"/>
          <w:szCs w:val="23"/>
        </w:rPr>
      </w:pPr>
      <w:r>
        <w:rPr>
          <w:rFonts w:ascii="宋体" w:hAnsi="宋体" w:eastAsia="宋体" w:cs="宋体"/>
          <w:spacing w:val="9"/>
          <w:sz w:val="23"/>
          <w:szCs w:val="23"/>
        </w:rPr>
        <w:t>综上所述，从综合因素考虑，拟建项目选址合理</w:t>
      </w:r>
      <w:r>
        <w:rPr>
          <w:rFonts w:ascii="宋体" w:hAnsi="宋体" w:eastAsia="宋体" w:cs="宋体"/>
          <w:spacing w:val="8"/>
          <w:sz w:val="23"/>
          <w:szCs w:val="23"/>
        </w:rPr>
        <w:t>。</w:t>
      </w:r>
    </w:p>
    <w:p w14:paraId="6B8226CC">
      <w:pPr>
        <w:spacing w:before="187" w:line="219" w:lineRule="auto"/>
        <w:ind w:left="19"/>
        <w:outlineLvl w:val="1"/>
        <w:rPr>
          <w:rFonts w:ascii="宋体" w:hAnsi="宋体" w:eastAsia="宋体" w:cs="宋体"/>
          <w:sz w:val="28"/>
          <w:szCs w:val="28"/>
        </w:rPr>
      </w:pPr>
      <w:bookmarkStart w:id="13" w:name="_bookmark14"/>
      <w:bookmarkEnd w:id="13"/>
      <w:r>
        <w:rPr>
          <w:rFonts w:ascii="Times New Roman" w:hAnsi="Times New Roman" w:eastAsia="Times New Roman" w:cs="Times New Roman"/>
          <w:b/>
          <w:bCs/>
          <w:spacing w:val="-1"/>
          <w:sz w:val="28"/>
          <w:szCs w:val="28"/>
        </w:rPr>
        <w:t>1.7</w:t>
      </w:r>
      <w:r>
        <w:rPr>
          <w:rFonts w:ascii="Times New Roman" w:hAnsi="Times New Roman" w:eastAsia="Times New Roman" w:cs="Times New Roman"/>
          <w:spacing w:val="-1"/>
          <w:sz w:val="28"/>
          <w:szCs w:val="28"/>
        </w:rPr>
        <w:t xml:space="preserve">  </w:t>
      </w:r>
      <w:r>
        <w:rPr>
          <w:rFonts w:ascii="宋体" w:hAnsi="宋体" w:eastAsia="宋体" w:cs="宋体"/>
          <w:spacing w:val="-1"/>
          <w:sz w:val="28"/>
          <w:szCs w:val="28"/>
          <w14:textOutline w14:w="5105" w14:cap="sq" w14:cmpd="sng" w14:algn="ctr">
            <w14:solidFill>
              <w14:srgbClr w14:val="000000"/>
            </w14:solidFill>
            <w14:prstDash w14:val="solid"/>
            <w14:bevel/>
          </w14:textOutline>
        </w:rPr>
        <w:t>本</w:t>
      </w:r>
      <w:r>
        <w:rPr>
          <w:rFonts w:ascii="宋体" w:hAnsi="宋体" w:eastAsia="宋体" w:cs="宋体"/>
          <w:sz w:val="28"/>
          <w:szCs w:val="28"/>
          <w14:textOutline w14:w="5105" w14:cap="sq" w14:cmpd="sng" w14:algn="ctr">
            <w14:solidFill>
              <w14:srgbClr w14:val="000000"/>
            </w14:solidFill>
            <w14:prstDash w14:val="solid"/>
            <w14:bevel/>
          </w14:textOutline>
        </w:rPr>
        <w:t>项目建设与</w:t>
      </w:r>
      <w:r>
        <w:rPr>
          <w:rFonts w:ascii="Times New Roman" w:hAnsi="Times New Roman" w:eastAsia="Times New Roman" w:cs="Times New Roman"/>
          <w:b/>
          <w:bCs/>
          <w:sz w:val="28"/>
          <w:szCs w:val="28"/>
        </w:rPr>
        <w:t>“</w:t>
      </w:r>
      <w:r>
        <w:rPr>
          <w:rFonts w:ascii="宋体" w:hAnsi="宋体" w:eastAsia="宋体" w:cs="宋体"/>
          <w:sz w:val="28"/>
          <w:szCs w:val="28"/>
          <w14:textOutline w14:w="5105" w14:cap="sq" w14:cmpd="sng" w14:algn="ctr">
            <w14:solidFill>
              <w14:srgbClr w14:val="000000"/>
            </w14:solidFill>
            <w14:prstDash w14:val="solid"/>
            <w14:bevel/>
          </w14:textOutline>
        </w:rPr>
        <w:t>三线一单</w:t>
      </w:r>
      <w:r>
        <w:rPr>
          <w:rFonts w:ascii="Times New Roman" w:hAnsi="Times New Roman" w:eastAsia="Times New Roman" w:cs="Times New Roman"/>
          <w:b/>
          <w:bCs/>
          <w:sz w:val="28"/>
          <w:szCs w:val="28"/>
        </w:rPr>
        <w:t>”</w:t>
      </w:r>
      <w:r>
        <w:rPr>
          <w:rFonts w:ascii="宋体" w:hAnsi="宋体" w:eastAsia="宋体" w:cs="宋体"/>
          <w:sz w:val="28"/>
          <w:szCs w:val="28"/>
          <w14:textOutline w14:w="5105" w14:cap="sq" w14:cmpd="sng" w14:algn="ctr">
            <w14:solidFill>
              <w14:srgbClr w14:val="000000"/>
            </w14:solidFill>
            <w14:prstDash w14:val="solid"/>
            <w14:bevel/>
          </w14:textOutline>
        </w:rPr>
        <w:t>符合性分析</w:t>
      </w:r>
    </w:p>
    <w:p w14:paraId="7B17579E">
      <w:pPr>
        <w:spacing w:before="207" w:line="380" w:lineRule="auto"/>
        <w:ind w:left="11" w:right="106" w:firstLine="599"/>
        <w:rPr>
          <w:rFonts w:ascii="宋体" w:hAnsi="宋体" w:eastAsia="宋体" w:cs="宋体"/>
          <w:sz w:val="23"/>
          <w:szCs w:val="23"/>
        </w:rPr>
      </w:pPr>
      <w:r>
        <w:rPr>
          <w:rFonts w:ascii="宋体" w:hAnsi="宋体" w:eastAsia="宋体" w:cs="宋体"/>
          <w:spacing w:val="15"/>
          <w:sz w:val="23"/>
          <w:szCs w:val="23"/>
        </w:rPr>
        <w:t>根据环保部发布的《关于以改善环境质量为核心加强环境影响评价管理的</w:t>
      </w:r>
      <w:r>
        <w:rPr>
          <w:rFonts w:ascii="宋体" w:hAnsi="宋体" w:eastAsia="宋体" w:cs="宋体"/>
          <w:spacing w:val="8"/>
          <w:sz w:val="23"/>
          <w:szCs w:val="23"/>
        </w:rPr>
        <w:t>通</w:t>
      </w:r>
      <w:r>
        <w:rPr>
          <w:rFonts w:ascii="宋体" w:hAnsi="宋体" w:eastAsia="宋体" w:cs="宋体"/>
          <w:sz w:val="23"/>
          <w:szCs w:val="23"/>
        </w:rPr>
        <w:t xml:space="preserve"> </w:t>
      </w:r>
      <w:r>
        <w:rPr>
          <w:rFonts w:ascii="宋体" w:hAnsi="宋体" w:eastAsia="宋体" w:cs="宋体"/>
          <w:spacing w:val="8"/>
          <w:sz w:val="23"/>
          <w:szCs w:val="23"/>
        </w:rPr>
        <w:t>知》  (</w:t>
      </w:r>
      <w:r>
        <w:rPr>
          <w:rFonts w:ascii="宋体" w:hAnsi="宋体" w:eastAsia="宋体" w:cs="宋体"/>
          <w:spacing w:val="4"/>
          <w:sz w:val="23"/>
          <w:szCs w:val="23"/>
        </w:rPr>
        <w:t>以下简称《通知》) ，《通知》要求切实加强环境影响评价管理，落实</w:t>
      </w:r>
      <w:r>
        <w:rPr>
          <w:rFonts w:ascii="Times New Roman" w:hAnsi="Times New Roman" w:eastAsia="Times New Roman" w:cs="Times New Roman"/>
          <w:spacing w:val="4"/>
          <w:sz w:val="23"/>
          <w:szCs w:val="23"/>
        </w:rPr>
        <w:t>“</w:t>
      </w:r>
      <w:r>
        <w:rPr>
          <w:rFonts w:ascii="宋体" w:hAnsi="宋体" w:eastAsia="宋体" w:cs="宋体"/>
          <w:spacing w:val="4"/>
          <w:sz w:val="23"/>
          <w:szCs w:val="23"/>
        </w:rPr>
        <w:t>生态</w:t>
      </w:r>
      <w:r>
        <w:rPr>
          <w:rFonts w:ascii="宋体" w:hAnsi="宋体" w:eastAsia="宋体" w:cs="宋体"/>
          <w:sz w:val="23"/>
          <w:szCs w:val="23"/>
        </w:rPr>
        <w:t xml:space="preserve"> </w:t>
      </w:r>
      <w:r>
        <w:rPr>
          <w:rFonts w:ascii="宋体" w:hAnsi="宋体" w:eastAsia="宋体" w:cs="宋体"/>
          <w:spacing w:val="8"/>
          <w:sz w:val="23"/>
          <w:szCs w:val="23"/>
        </w:rPr>
        <w:t>保护红线、环境质量底线、资源利用上线和环境准入负面清单</w:t>
      </w:r>
      <w:r>
        <w:rPr>
          <w:rFonts w:ascii="Times New Roman" w:hAnsi="Times New Roman" w:eastAsia="Times New Roman" w:cs="Times New Roman"/>
          <w:spacing w:val="8"/>
          <w:sz w:val="23"/>
          <w:szCs w:val="23"/>
        </w:rPr>
        <w:t>”</w:t>
      </w:r>
      <w:r>
        <w:rPr>
          <w:rFonts w:ascii="宋体" w:hAnsi="宋体" w:eastAsia="宋体" w:cs="宋体"/>
          <w:spacing w:val="8"/>
          <w:sz w:val="23"/>
          <w:szCs w:val="23"/>
        </w:rPr>
        <w:t>约束，建立项目环</w:t>
      </w:r>
      <w:r>
        <w:rPr>
          <w:rFonts w:ascii="宋体" w:hAnsi="宋体" w:eastAsia="宋体" w:cs="宋体"/>
          <w:spacing w:val="5"/>
          <w:sz w:val="23"/>
          <w:szCs w:val="23"/>
        </w:rPr>
        <w:t>评</w:t>
      </w:r>
    </w:p>
    <w:p w14:paraId="49893DD0">
      <w:pPr>
        <w:sectPr>
          <w:headerReference r:id="rId48" w:type="default"/>
          <w:footerReference r:id="rId49" w:type="default"/>
          <w:pgSz w:w="11907" w:h="16840"/>
          <w:pgMar w:top="1153" w:right="1451" w:bottom="1277" w:left="1660" w:header="919" w:footer="1114" w:gutter="0"/>
          <w:cols w:space="720" w:num="1"/>
        </w:sectPr>
      </w:pPr>
    </w:p>
    <w:p w14:paraId="31152051">
      <w:pPr>
        <w:spacing w:before="42" w:line="374" w:lineRule="auto"/>
        <w:ind w:left="11" w:right="108" w:firstLine="13"/>
        <w:rPr>
          <w:rFonts w:ascii="宋体" w:hAnsi="宋体" w:eastAsia="宋体" w:cs="宋体"/>
          <w:sz w:val="23"/>
          <w:szCs w:val="23"/>
        </w:rPr>
      </w:pPr>
      <w:r>
        <w:rPr>
          <w:rFonts w:ascii="宋体" w:hAnsi="宋体" w:eastAsia="宋体" w:cs="宋体"/>
          <w:spacing w:val="20"/>
          <w:sz w:val="23"/>
          <w:szCs w:val="23"/>
        </w:rPr>
        <w:t>审批</w:t>
      </w:r>
      <w:r>
        <w:rPr>
          <w:rFonts w:ascii="宋体" w:hAnsi="宋体" w:eastAsia="宋体" w:cs="宋体"/>
          <w:spacing w:val="16"/>
          <w:sz w:val="23"/>
          <w:szCs w:val="23"/>
        </w:rPr>
        <w:t>与</w:t>
      </w:r>
      <w:r>
        <w:rPr>
          <w:rFonts w:ascii="宋体" w:hAnsi="宋体" w:eastAsia="宋体" w:cs="宋体"/>
          <w:spacing w:val="10"/>
          <w:sz w:val="23"/>
          <w:szCs w:val="23"/>
        </w:rPr>
        <w:t>规划环评、现有项目环境管理、区域环境质量联动机制，更好地发挥环评制</w:t>
      </w:r>
      <w:r>
        <w:rPr>
          <w:rFonts w:ascii="宋体" w:hAnsi="宋体" w:eastAsia="宋体" w:cs="宋体"/>
          <w:sz w:val="23"/>
          <w:szCs w:val="23"/>
        </w:rPr>
        <w:t xml:space="preserve"> </w:t>
      </w:r>
      <w:r>
        <w:rPr>
          <w:rFonts w:ascii="宋体" w:hAnsi="宋体" w:eastAsia="宋体" w:cs="宋体"/>
          <w:spacing w:val="18"/>
          <w:sz w:val="23"/>
          <w:szCs w:val="23"/>
        </w:rPr>
        <w:t>度</w:t>
      </w:r>
      <w:r>
        <w:rPr>
          <w:rFonts w:ascii="宋体" w:hAnsi="宋体" w:eastAsia="宋体" w:cs="宋体"/>
          <w:spacing w:val="11"/>
          <w:sz w:val="23"/>
          <w:szCs w:val="23"/>
        </w:rPr>
        <w:t>从</w:t>
      </w:r>
      <w:r>
        <w:rPr>
          <w:rFonts w:ascii="宋体" w:hAnsi="宋体" w:eastAsia="宋体" w:cs="宋体"/>
          <w:spacing w:val="9"/>
          <w:sz w:val="23"/>
          <w:szCs w:val="23"/>
        </w:rPr>
        <w:t>源头防范环境污染和生态破坏的作用，加快推进改善环境质量。</w:t>
      </w:r>
    </w:p>
    <w:p w14:paraId="12858F68">
      <w:pPr>
        <w:spacing w:line="228" w:lineRule="auto"/>
        <w:ind w:left="18"/>
        <w:outlineLvl w:val="2"/>
        <w:rPr>
          <w:rFonts w:ascii="宋体" w:hAnsi="宋体" w:eastAsia="宋体" w:cs="宋体"/>
          <w:sz w:val="23"/>
          <w:szCs w:val="23"/>
        </w:rPr>
      </w:pPr>
      <w:r>
        <w:rPr>
          <w:rFonts w:ascii="Times New Roman" w:hAnsi="Times New Roman" w:eastAsia="Times New Roman" w:cs="Times New Roman"/>
          <w:b/>
          <w:bCs/>
          <w:spacing w:val="10"/>
          <w:sz w:val="23"/>
          <w:szCs w:val="23"/>
        </w:rPr>
        <w:t>1</w:t>
      </w:r>
      <w:r>
        <w:rPr>
          <w:rFonts w:ascii="Times New Roman" w:hAnsi="Times New Roman" w:eastAsia="Times New Roman" w:cs="Times New Roman"/>
          <w:b/>
          <w:bCs/>
          <w:spacing w:val="8"/>
          <w:sz w:val="23"/>
          <w:szCs w:val="23"/>
        </w:rPr>
        <w:t>.</w:t>
      </w:r>
      <w:r>
        <w:rPr>
          <w:rFonts w:ascii="Times New Roman" w:hAnsi="Times New Roman" w:eastAsia="Times New Roman" w:cs="Times New Roman"/>
          <w:b/>
          <w:bCs/>
          <w:spacing w:val="5"/>
          <w:sz w:val="23"/>
          <w:szCs w:val="23"/>
        </w:rPr>
        <w:t>7.1</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生态保护红线</w:t>
      </w:r>
    </w:p>
    <w:p w14:paraId="28DB434D">
      <w:pPr>
        <w:spacing w:before="181" w:line="375" w:lineRule="auto"/>
        <w:ind w:left="14" w:right="105" w:firstLine="478"/>
        <w:rPr>
          <w:rFonts w:ascii="宋体" w:hAnsi="宋体" w:eastAsia="宋体" w:cs="宋体"/>
          <w:sz w:val="23"/>
          <w:szCs w:val="23"/>
        </w:rPr>
      </w:pPr>
      <w:r>
        <w:rPr>
          <w:rFonts w:ascii="宋体" w:hAnsi="宋体" w:eastAsia="宋体" w:cs="宋体"/>
          <w:spacing w:val="15"/>
          <w:sz w:val="23"/>
          <w:szCs w:val="23"/>
        </w:rPr>
        <w:t>根</w:t>
      </w:r>
      <w:r>
        <w:rPr>
          <w:rFonts w:ascii="宋体" w:hAnsi="宋体" w:eastAsia="宋体" w:cs="宋体"/>
          <w:spacing w:val="11"/>
          <w:sz w:val="23"/>
          <w:szCs w:val="23"/>
        </w:rPr>
        <w:t>据环境保护部文件《关于以改善环境质量为核心加强环境影响评价管理的通</w:t>
      </w:r>
      <w:r>
        <w:rPr>
          <w:rFonts w:ascii="宋体" w:hAnsi="宋体" w:eastAsia="宋体" w:cs="宋体"/>
          <w:sz w:val="23"/>
          <w:szCs w:val="23"/>
        </w:rPr>
        <w:t xml:space="preserve"> </w:t>
      </w:r>
      <w:r>
        <w:rPr>
          <w:rFonts w:ascii="宋体" w:hAnsi="宋体" w:eastAsia="宋体" w:cs="宋体"/>
          <w:spacing w:val="3"/>
          <w:sz w:val="23"/>
          <w:szCs w:val="23"/>
        </w:rPr>
        <w:t>知》  (环环评</w:t>
      </w:r>
      <w:r>
        <w:rPr>
          <w:rFonts w:ascii="Times New Roman" w:hAnsi="Times New Roman" w:eastAsia="Times New Roman" w:cs="Times New Roman"/>
          <w:spacing w:val="3"/>
          <w:sz w:val="23"/>
          <w:szCs w:val="23"/>
        </w:rPr>
        <w:t xml:space="preserve">[2016] 150 </w:t>
      </w:r>
      <w:r>
        <w:rPr>
          <w:rFonts w:ascii="宋体" w:hAnsi="宋体" w:eastAsia="宋体" w:cs="宋体"/>
          <w:spacing w:val="3"/>
          <w:sz w:val="23"/>
          <w:szCs w:val="23"/>
        </w:rPr>
        <w:t>号) ，生态保护红线是生态空间范围内具有特殊重要</w:t>
      </w:r>
      <w:r>
        <w:rPr>
          <w:rFonts w:ascii="宋体" w:hAnsi="宋体" w:eastAsia="宋体" w:cs="宋体"/>
          <w:spacing w:val="1"/>
          <w:sz w:val="23"/>
          <w:szCs w:val="23"/>
        </w:rPr>
        <w:t>生</w:t>
      </w:r>
      <w:r>
        <w:rPr>
          <w:rFonts w:ascii="宋体" w:hAnsi="宋体" w:eastAsia="宋体" w:cs="宋体"/>
          <w:sz w:val="23"/>
          <w:szCs w:val="23"/>
        </w:rPr>
        <w:t xml:space="preserve">态功 </w:t>
      </w:r>
      <w:r>
        <w:rPr>
          <w:rFonts w:ascii="宋体" w:hAnsi="宋体" w:eastAsia="宋体" w:cs="宋体"/>
          <w:spacing w:val="11"/>
          <w:sz w:val="23"/>
          <w:szCs w:val="23"/>
        </w:rPr>
        <w:t>能必须实行强制性严格保护的区域。除受自然条件限制、确实无法避让的铁路、公</w:t>
      </w:r>
      <w:r>
        <w:rPr>
          <w:rFonts w:ascii="宋体" w:hAnsi="宋体" w:eastAsia="宋体" w:cs="宋体"/>
          <w:sz w:val="23"/>
          <w:szCs w:val="23"/>
        </w:rPr>
        <w:t xml:space="preserve"> </w:t>
      </w:r>
      <w:r>
        <w:rPr>
          <w:rFonts w:ascii="宋体" w:hAnsi="宋体" w:eastAsia="宋体" w:cs="宋体"/>
          <w:spacing w:val="11"/>
          <w:sz w:val="23"/>
          <w:szCs w:val="23"/>
        </w:rPr>
        <w:t>路、航道、防洪、管道、干渠、通讯、输变电等重要基础设施项目外，在生态保护</w:t>
      </w:r>
      <w:r>
        <w:rPr>
          <w:rFonts w:ascii="宋体" w:hAnsi="宋体" w:eastAsia="宋体" w:cs="宋体"/>
          <w:sz w:val="23"/>
          <w:szCs w:val="23"/>
        </w:rPr>
        <w:t xml:space="preserve"> </w:t>
      </w:r>
      <w:r>
        <w:rPr>
          <w:rFonts w:ascii="宋体" w:hAnsi="宋体" w:eastAsia="宋体" w:cs="宋体"/>
          <w:spacing w:val="11"/>
          <w:sz w:val="23"/>
          <w:szCs w:val="23"/>
        </w:rPr>
        <w:t>红线范围内，严控各类开发建设活动，依法不予审批新建工业项目和矿产开发项目</w:t>
      </w:r>
      <w:r>
        <w:rPr>
          <w:rFonts w:ascii="宋体" w:hAnsi="宋体" w:eastAsia="宋体" w:cs="宋体"/>
          <w:sz w:val="23"/>
          <w:szCs w:val="23"/>
        </w:rPr>
        <w:t xml:space="preserve"> </w:t>
      </w:r>
      <w:r>
        <w:rPr>
          <w:rFonts w:ascii="宋体" w:hAnsi="宋体" w:eastAsia="宋体" w:cs="宋体"/>
          <w:spacing w:val="8"/>
          <w:sz w:val="23"/>
          <w:szCs w:val="23"/>
        </w:rPr>
        <w:t>的</w:t>
      </w:r>
      <w:r>
        <w:rPr>
          <w:rFonts w:ascii="宋体" w:hAnsi="宋体" w:eastAsia="宋体" w:cs="宋体"/>
          <w:spacing w:val="6"/>
          <w:sz w:val="23"/>
          <w:szCs w:val="23"/>
        </w:rPr>
        <w:t>环评文件。</w:t>
      </w:r>
    </w:p>
    <w:p w14:paraId="7EB1B57D">
      <w:pPr>
        <w:spacing w:before="1" w:line="374" w:lineRule="auto"/>
        <w:ind w:right="46" w:firstLine="493"/>
        <w:rPr>
          <w:rFonts w:ascii="宋体" w:hAnsi="宋体" w:eastAsia="宋体" w:cs="宋体"/>
          <w:sz w:val="23"/>
          <w:szCs w:val="23"/>
        </w:rPr>
      </w:pPr>
      <w:r>
        <w:rPr>
          <w:rFonts w:ascii="宋体" w:hAnsi="宋体" w:eastAsia="宋体" w:cs="宋体"/>
          <w:spacing w:val="-4"/>
          <w:sz w:val="23"/>
          <w:szCs w:val="23"/>
        </w:rPr>
        <w:t>本项目位于井</w:t>
      </w:r>
      <w:r>
        <w:rPr>
          <w:rFonts w:ascii="宋体" w:hAnsi="宋体" w:eastAsia="宋体" w:cs="宋体"/>
          <w:spacing w:val="-2"/>
          <w:sz w:val="23"/>
          <w:szCs w:val="23"/>
        </w:rPr>
        <w:t xml:space="preserve">研县周坡镇周坡村 </w:t>
      </w:r>
      <w:r>
        <w:rPr>
          <w:rFonts w:ascii="Times New Roman" w:hAnsi="Times New Roman" w:eastAsia="Times New Roman" w:cs="Times New Roman"/>
          <w:spacing w:val="-2"/>
          <w:sz w:val="23"/>
          <w:szCs w:val="23"/>
        </w:rPr>
        <w:t xml:space="preserve">7 </w:t>
      </w:r>
      <w:r>
        <w:rPr>
          <w:rFonts w:ascii="宋体" w:hAnsi="宋体" w:eastAsia="宋体" w:cs="宋体"/>
          <w:spacing w:val="-2"/>
          <w:sz w:val="23"/>
          <w:szCs w:val="23"/>
        </w:rPr>
        <w:t xml:space="preserve">组、龙桥村 </w:t>
      </w:r>
      <w:r>
        <w:rPr>
          <w:rFonts w:ascii="Times New Roman" w:hAnsi="Times New Roman" w:eastAsia="Times New Roman" w:cs="Times New Roman"/>
          <w:spacing w:val="-2"/>
          <w:sz w:val="23"/>
          <w:szCs w:val="23"/>
        </w:rPr>
        <w:t xml:space="preserve">2 </w:t>
      </w:r>
      <w:r>
        <w:rPr>
          <w:rFonts w:ascii="宋体" w:hAnsi="宋体" w:eastAsia="宋体" w:cs="宋体"/>
          <w:spacing w:val="-2"/>
          <w:sz w:val="23"/>
          <w:szCs w:val="23"/>
        </w:rPr>
        <w:t xml:space="preserve">组，中心坐标为 </w:t>
      </w:r>
      <w:r>
        <w:rPr>
          <w:rFonts w:ascii="Times New Roman" w:hAnsi="Times New Roman" w:eastAsia="Times New Roman" w:cs="Times New Roman"/>
          <w:spacing w:val="-2"/>
          <w:sz w:val="23"/>
          <w:szCs w:val="23"/>
        </w:rPr>
        <w:t>E</w:t>
      </w:r>
      <w:r>
        <w:rPr>
          <w:rFonts w:ascii="宋体" w:hAnsi="宋体" w:eastAsia="宋体" w:cs="宋体"/>
          <w:spacing w:val="-2"/>
          <w:sz w:val="23"/>
          <w:szCs w:val="23"/>
        </w:rPr>
        <w:t>：</w:t>
      </w:r>
      <w:r>
        <w:rPr>
          <w:rFonts w:ascii="Times New Roman" w:hAnsi="Times New Roman" w:eastAsia="Times New Roman" w:cs="Times New Roman"/>
          <w:spacing w:val="-2"/>
          <w:sz w:val="23"/>
          <w:szCs w:val="23"/>
        </w:rPr>
        <w:t>103.996496</w:t>
      </w:r>
      <w:r>
        <w:rPr>
          <w:rFonts w:ascii="宋体" w:hAnsi="宋体" w:eastAsia="宋体" w:cs="宋体"/>
          <w:spacing w:val="-2"/>
          <w:sz w:val="23"/>
          <w:szCs w:val="23"/>
        </w:rPr>
        <w:t>，</w:t>
      </w:r>
      <w:r>
        <w:rPr>
          <w:rFonts w:ascii="宋体" w:hAnsi="宋体" w:eastAsia="宋体" w:cs="宋体"/>
          <w:sz w:val="23"/>
          <w:szCs w:val="23"/>
        </w:rPr>
        <w:t xml:space="preserve"> </w:t>
      </w:r>
      <w:r>
        <w:rPr>
          <w:rFonts w:ascii="Times New Roman" w:hAnsi="Times New Roman" w:eastAsia="Times New Roman" w:cs="Times New Roman"/>
          <w:sz w:val="23"/>
          <w:szCs w:val="23"/>
        </w:rPr>
        <w:t>N</w:t>
      </w:r>
      <w:r>
        <w:rPr>
          <w:rFonts w:ascii="宋体" w:hAnsi="宋体" w:eastAsia="宋体" w:cs="宋体"/>
          <w:spacing w:val="5"/>
          <w:sz w:val="23"/>
          <w:szCs w:val="23"/>
        </w:rPr>
        <w:t>：</w:t>
      </w:r>
      <w:r>
        <w:rPr>
          <w:rFonts w:ascii="Times New Roman" w:hAnsi="Times New Roman" w:eastAsia="Times New Roman" w:cs="Times New Roman"/>
          <w:spacing w:val="5"/>
          <w:sz w:val="23"/>
          <w:szCs w:val="23"/>
        </w:rPr>
        <w:t xml:space="preserve">29.775329 </w:t>
      </w:r>
      <w:r>
        <w:rPr>
          <w:rFonts w:ascii="宋体" w:hAnsi="宋体" w:eastAsia="宋体" w:cs="宋体"/>
          <w:spacing w:val="5"/>
          <w:sz w:val="23"/>
          <w:szCs w:val="23"/>
        </w:rPr>
        <w:t>，本项目不涉及生态红线</w:t>
      </w:r>
      <w:r>
        <w:rPr>
          <w:rFonts w:ascii="宋体" w:hAnsi="宋体" w:eastAsia="宋体" w:cs="宋体"/>
          <w:spacing w:val="4"/>
          <w:sz w:val="23"/>
          <w:szCs w:val="23"/>
        </w:rPr>
        <w:t>。</w:t>
      </w:r>
    </w:p>
    <w:p w14:paraId="028C786C">
      <w:pPr>
        <w:spacing w:line="375" w:lineRule="auto"/>
        <w:ind w:left="13" w:right="110" w:firstLine="484"/>
        <w:rPr>
          <w:rFonts w:ascii="宋体" w:hAnsi="宋体" w:eastAsia="宋体" w:cs="宋体"/>
          <w:sz w:val="23"/>
          <w:szCs w:val="23"/>
        </w:rPr>
      </w:pPr>
      <w:r>
        <w:rPr>
          <w:rFonts w:ascii="宋体" w:hAnsi="宋体" w:eastAsia="宋体" w:cs="宋体"/>
          <w:spacing w:val="11"/>
          <w:sz w:val="23"/>
          <w:szCs w:val="23"/>
        </w:rPr>
        <w:t>另井研县周坡镇政府出具证明说明本项目选址区域不属于井研县畜禽养殖禁</w:t>
      </w:r>
      <w:r>
        <w:rPr>
          <w:rFonts w:ascii="宋体" w:hAnsi="宋体" w:eastAsia="宋体" w:cs="宋体"/>
          <w:spacing w:val="7"/>
          <w:sz w:val="23"/>
          <w:szCs w:val="23"/>
        </w:rPr>
        <w:t>养</w:t>
      </w:r>
      <w:r>
        <w:rPr>
          <w:rFonts w:ascii="宋体" w:hAnsi="宋体" w:eastAsia="宋体" w:cs="宋体"/>
          <w:sz w:val="23"/>
          <w:szCs w:val="23"/>
        </w:rPr>
        <w:t xml:space="preserve"> </w:t>
      </w:r>
      <w:r>
        <w:rPr>
          <w:rFonts w:ascii="宋体" w:hAnsi="宋体" w:eastAsia="宋体" w:cs="宋体"/>
          <w:spacing w:val="7"/>
          <w:sz w:val="23"/>
          <w:szCs w:val="23"/>
        </w:rPr>
        <w:t>区和限养区范围，根据《井研县畜禽养殖禁养区划定方案》  (</w:t>
      </w:r>
      <w:r>
        <w:rPr>
          <w:rFonts w:ascii="Times New Roman" w:hAnsi="Times New Roman" w:eastAsia="Times New Roman" w:cs="Times New Roman"/>
          <w:spacing w:val="7"/>
          <w:sz w:val="23"/>
          <w:szCs w:val="23"/>
        </w:rPr>
        <w:t>2017</w:t>
      </w:r>
      <w:r>
        <w:rPr>
          <w:rFonts w:ascii="宋体" w:hAnsi="宋体" w:eastAsia="宋体" w:cs="宋体"/>
          <w:spacing w:val="7"/>
          <w:sz w:val="23"/>
          <w:szCs w:val="23"/>
        </w:rPr>
        <w:t>) 文件，项目</w:t>
      </w:r>
      <w:r>
        <w:rPr>
          <w:rFonts w:ascii="宋体" w:hAnsi="宋体" w:eastAsia="宋体" w:cs="宋体"/>
          <w:sz w:val="23"/>
          <w:szCs w:val="23"/>
        </w:rPr>
        <w:t xml:space="preserve">区 </w:t>
      </w:r>
      <w:r>
        <w:rPr>
          <w:rFonts w:ascii="宋体" w:hAnsi="宋体" w:eastAsia="宋体" w:cs="宋体"/>
          <w:spacing w:val="7"/>
          <w:sz w:val="23"/>
          <w:szCs w:val="23"/>
        </w:rPr>
        <w:t>域属于宜养区。</w:t>
      </w:r>
    </w:p>
    <w:p w14:paraId="61F46C06">
      <w:pPr>
        <w:spacing w:line="228" w:lineRule="auto"/>
        <w:ind w:left="18"/>
        <w:outlineLvl w:val="2"/>
        <w:rPr>
          <w:rFonts w:ascii="宋体" w:hAnsi="宋体" w:eastAsia="宋体" w:cs="宋体"/>
          <w:sz w:val="23"/>
          <w:szCs w:val="23"/>
        </w:rPr>
      </w:pPr>
      <w:r>
        <w:rPr>
          <w:rFonts w:ascii="Times New Roman" w:hAnsi="Times New Roman" w:eastAsia="Times New Roman" w:cs="Times New Roman"/>
          <w:b/>
          <w:bCs/>
          <w:spacing w:val="10"/>
          <w:sz w:val="23"/>
          <w:szCs w:val="23"/>
        </w:rPr>
        <w:t>1</w:t>
      </w:r>
      <w:r>
        <w:rPr>
          <w:rFonts w:ascii="Times New Roman" w:hAnsi="Times New Roman" w:eastAsia="Times New Roman" w:cs="Times New Roman"/>
          <w:b/>
          <w:bCs/>
          <w:spacing w:val="8"/>
          <w:sz w:val="23"/>
          <w:szCs w:val="23"/>
        </w:rPr>
        <w:t>.</w:t>
      </w:r>
      <w:r>
        <w:rPr>
          <w:rFonts w:ascii="Times New Roman" w:hAnsi="Times New Roman" w:eastAsia="Times New Roman" w:cs="Times New Roman"/>
          <w:b/>
          <w:bCs/>
          <w:spacing w:val="5"/>
          <w:sz w:val="23"/>
          <w:szCs w:val="23"/>
        </w:rPr>
        <w:t>7.2</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环境质量底线</w:t>
      </w:r>
    </w:p>
    <w:p w14:paraId="78E10323">
      <w:pPr>
        <w:spacing w:before="186" w:line="374" w:lineRule="auto"/>
        <w:ind w:left="11" w:right="48" w:firstLine="373"/>
        <w:rPr>
          <w:rFonts w:ascii="宋体" w:hAnsi="宋体" w:eastAsia="宋体" w:cs="宋体"/>
          <w:sz w:val="23"/>
          <w:szCs w:val="23"/>
        </w:rPr>
      </w:pPr>
      <w:r>
        <w:rPr>
          <w:rFonts w:ascii="Times New Roman" w:hAnsi="Times New Roman" w:eastAsia="Times New Roman" w:cs="Times New Roman"/>
          <w:spacing w:val="8"/>
          <w:sz w:val="23"/>
          <w:szCs w:val="23"/>
        </w:rPr>
        <w:t>“</w:t>
      </w:r>
      <w:r>
        <w:rPr>
          <w:rFonts w:ascii="宋体" w:hAnsi="宋体" w:eastAsia="宋体" w:cs="宋体"/>
          <w:spacing w:val="8"/>
          <w:sz w:val="23"/>
          <w:szCs w:val="23"/>
        </w:rPr>
        <w:t>环境质量底线</w:t>
      </w:r>
      <w:r>
        <w:rPr>
          <w:rFonts w:ascii="Times New Roman" w:hAnsi="Times New Roman" w:eastAsia="Times New Roman" w:cs="Times New Roman"/>
          <w:spacing w:val="8"/>
          <w:sz w:val="23"/>
          <w:szCs w:val="23"/>
        </w:rPr>
        <w:t>”</w:t>
      </w:r>
      <w:r>
        <w:rPr>
          <w:rFonts w:ascii="宋体" w:hAnsi="宋体" w:eastAsia="宋体" w:cs="宋体"/>
          <w:spacing w:val="8"/>
          <w:sz w:val="23"/>
          <w:szCs w:val="23"/>
        </w:rPr>
        <w:t>是国家和地方设置的大气、水和土壤环境质量目标，也是改善</w:t>
      </w:r>
      <w:r>
        <w:rPr>
          <w:rFonts w:ascii="宋体" w:hAnsi="宋体" w:eastAsia="宋体" w:cs="宋体"/>
          <w:spacing w:val="2"/>
          <w:sz w:val="23"/>
          <w:szCs w:val="23"/>
        </w:rPr>
        <w:t>环</w:t>
      </w:r>
      <w:r>
        <w:rPr>
          <w:rFonts w:ascii="宋体" w:hAnsi="宋体" w:eastAsia="宋体" w:cs="宋体"/>
          <w:sz w:val="23"/>
          <w:szCs w:val="23"/>
        </w:rPr>
        <w:t xml:space="preserve"> </w:t>
      </w:r>
      <w:r>
        <w:rPr>
          <w:rFonts w:ascii="宋体" w:hAnsi="宋体" w:eastAsia="宋体" w:cs="宋体"/>
          <w:spacing w:val="14"/>
          <w:sz w:val="23"/>
          <w:szCs w:val="23"/>
        </w:rPr>
        <w:t>境</w:t>
      </w:r>
      <w:r>
        <w:rPr>
          <w:rFonts w:ascii="宋体" w:hAnsi="宋体" w:eastAsia="宋体" w:cs="宋体"/>
          <w:spacing w:val="11"/>
          <w:sz w:val="23"/>
          <w:szCs w:val="23"/>
        </w:rPr>
        <w:t>质量的基准线。有关规划环评应落实区域环境质量目标管理要求，提出区域或者</w:t>
      </w:r>
      <w:r>
        <w:rPr>
          <w:rFonts w:ascii="宋体" w:hAnsi="宋体" w:eastAsia="宋体" w:cs="宋体"/>
          <w:sz w:val="23"/>
          <w:szCs w:val="23"/>
        </w:rPr>
        <w:t xml:space="preserve"> </w:t>
      </w:r>
      <w:r>
        <w:rPr>
          <w:rFonts w:ascii="宋体" w:hAnsi="宋体" w:eastAsia="宋体" w:cs="宋体"/>
          <w:spacing w:val="14"/>
          <w:sz w:val="23"/>
          <w:szCs w:val="23"/>
        </w:rPr>
        <w:t>行</w:t>
      </w:r>
      <w:r>
        <w:rPr>
          <w:rFonts w:ascii="宋体" w:hAnsi="宋体" w:eastAsia="宋体" w:cs="宋体"/>
          <w:spacing w:val="11"/>
          <w:sz w:val="23"/>
          <w:szCs w:val="23"/>
        </w:rPr>
        <w:t>业污染物排放总量管控建议以及优化区域或行业发展布局、结构和规模的对策措</w:t>
      </w:r>
      <w:r>
        <w:rPr>
          <w:rFonts w:ascii="宋体" w:hAnsi="宋体" w:eastAsia="宋体" w:cs="宋体"/>
          <w:sz w:val="23"/>
          <w:szCs w:val="23"/>
        </w:rPr>
        <w:t xml:space="preserve"> </w:t>
      </w:r>
      <w:r>
        <w:rPr>
          <w:rFonts w:ascii="宋体" w:hAnsi="宋体" w:eastAsia="宋体" w:cs="宋体"/>
          <w:spacing w:val="12"/>
          <w:sz w:val="23"/>
          <w:szCs w:val="23"/>
        </w:rPr>
        <w:t>施</w:t>
      </w:r>
      <w:r>
        <w:rPr>
          <w:rFonts w:ascii="宋体" w:hAnsi="宋体" w:eastAsia="宋体" w:cs="宋体"/>
          <w:spacing w:val="6"/>
          <w:sz w:val="23"/>
          <w:szCs w:val="23"/>
        </w:rPr>
        <w:t>。项目环评应对照区域环境质量目标，深入分析预测项目建设对环境质量的影响，</w:t>
      </w:r>
      <w:r>
        <w:rPr>
          <w:rFonts w:ascii="宋体" w:hAnsi="宋体" w:eastAsia="宋体" w:cs="宋体"/>
          <w:sz w:val="23"/>
          <w:szCs w:val="23"/>
        </w:rPr>
        <w:t xml:space="preserve"> </w:t>
      </w:r>
      <w:r>
        <w:rPr>
          <w:rFonts w:ascii="宋体" w:hAnsi="宋体" w:eastAsia="宋体" w:cs="宋体"/>
          <w:spacing w:val="9"/>
          <w:sz w:val="23"/>
          <w:szCs w:val="23"/>
        </w:rPr>
        <w:t>强化污染防治措施和污染物排放控制要求。</w:t>
      </w:r>
    </w:p>
    <w:p w14:paraId="6B424834">
      <w:pPr>
        <w:tabs>
          <w:tab w:val="left" w:pos="138"/>
        </w:tabs>
        <w:spacing w:before="5" w:line="374" w:lineRule="auto"/>
        <w:ind w:left="11" w:firstLine="425"/>
        <w:rPr>
          <w:rFonts w:ascii="宋体" w:hAnsi="宋体" w:eastAsia="宋体" w:cs="宋体"/>
          <w:sz w:val="23"/>
          <w:szCs w:val="23"/>
        </w:rPr>
      </w:pPr>
      <w:r>
        <w:rPr>
          <w:rFonts w:ascii="宋体" w:hAnsi="宋体" w:eastAsia="宋体" w:cs="宋体"/>
          <w:spacing w:val="16"/>
          <w:sz w:val="23"/>
          <w:szCs w:val="23"/>
        </w:rPr>
        <w:t>根</w:t>
      </w:r>
      <w:r>
        <w:rPr>
          <w:rFonts w:ascii="宋体" w:hAnsi="宋体" w:eastAsia="宋体" w:cs="宋体"/>
          <w:spacing w:val="14"/>
          <w:sz w:val="23"/>
          <w:szCs w:val="23"/>
        </w:rPr>
        <w:t>据</w:t>
      </w:r>
      <w:r>
        <w:rPr>
          <w:rFonts w:ascii="宋体" w:hAnsi="宋体" w:eastAsia="宋体" w:cs="宋体"/>
          <w:spacing w:val="8"/>
          <w:sz w:val="23"/>
          <w:szCs w:val="23"/>
        </w:rPr>
        <w:t>《</w:t>
      </w:r>
      <w:r>
        <w:rPr>
          <w:rFonts w:ascii="Times New Roman" w:hAnsi="Times New Roman" w:eastAsia="Times New Roman" w:cs="Times New Roman"/>
          <w:spacing w:val="8"/>
          <w:sz w:val="23"/>
          <w:szCs w:val="23"/>
        </w:rPr>
        <w:t xml:space="preserve">2017  </w:t>
      </w:r>
      <w:r>
        <w:rPr>
          <w:rFonts w:ascii="宋体" w:hAnsi="宋体" w:eastAsia="宋体" w:cs="宋体"/>
          <w:spacing w:val="8"/>
          <w:sz w:val="23"/>
          <w:szCs w:val="23"/>
        </w:rPr>
        <w:t>年乐山市环境质量公报》，乐山市为不达标区。根据实地监测，项</w:t>
      </w:r>
      <w:r>
        <w:rPr>
          <w:rFonts w:ascii="宋体" w:hAnsi="宋体" w:eastAsia="宋体" w:cs="宋体"/>
          <w:sz w:val="23"/>
          <w:szCs w:val="23"/>
        </w:rPr>
        <w:t xml:space="preserve"> </w:t>
      </w:r>
      <w:r>
        <w:rPr>
          <w:rFonts w:ascii="宋体" w:hAnsi="宋体" w:eastAsia="宋体" w:cs="宋体"/>
          <w:spacing w:val="10"/>
          <w:sz w:val="23"/>
          <w:szCs w:val="23"/>
        </w:rPr>
        <w:t>目所</w:t>
      </w:r>
      <w:r>
        <w:rPr>
          <w:rFonts w:ascii="宋体" w:hAnsi="宋体" w:eastAsia="宋体" w:cs="宋体"/>
          <w:spacing w:val="6"/>
          <w:sz w:val="23"/>
          <w:szCs w:val="23"/>
        </w:rPr>
        <w:t>在</w:t>
      </w:r>
      <w:r>
        <w:rPr>
          <w:rFonts w:ascii="宋体" w:hAnsi="宋体" w:eastAsia="宋体" w:cs="宋体"/>
          <w:spacing w:val="5"/>
          <w:sz w:val="23"/>
          <w:szCs w:val="23"/>
        </w:rPr>
        <w:t>地的特征监测因子 (</w:t>
      </w:r>
      <w:r>
        <w:rPr>
          <w:rFonts w:ascii="Times New Roman" w:hAnsi="Times New Roman" w:eastAsia="Times New Roman" w:cs="Times New Roman"/>
          <w:sz w:val="23"/>
          <w:szCs w:val="23"/>
        </w:rPr>
        <w:t>H</w:t>
      </w:r>
      <w:r>
        <w:rPr>
          <w:rFonts w:ascii="Times New Roman" w:hAnsi="Times New Roman" w:eastAsia="Times New Roman" w:cs="Times New Roman"/>
          <w:spacing w:val="5"/>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w:t>
      </w:r>
      <w:r>
        <w:rPr>
          <w:rFonts w:ascii="Times New Roman" w:hAnsi="Times New Roman" w:eastAsia="Times New Roman" w:cs="Times New Roman"/>
          <w:sz w:val="23"/>
          <w:szCs w:val="23"/>
        </w:rPr>
        <w:t>NH</w:t>
      </w:r>
      <w:r>
        <w:rPr>
          <w:rFonts w:ascii="Times New Roman" w:hAnsi="Times New Roman" w:eastAsia="Times New Roman" w:cs="Times New Roman"/>
          <w:spacing w:val="5"/>
          <w:position w:val="-1"/>
          <w:sz w:val="15"/>
          <w:szCs w:val="15"/>
        </w:rPr>
        <w:t xml:space="preserve">3 </w:t>
      </w:r>
      <w:r>
        <w:rPr>
          <w:rFonts w:ascii="宋体" w:hAnsi="宋体" w:eastAsia="宋体" w:cs="宋体"/>
          <w:spacing w:val="5"/>
          <w:sz w:val="23"/>
          <w:szCs w:val="23"/>
        </w:rPr>
        <w:t>) 均满足《环境影响评价技术导则 大气环境》</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4"/>
          <w:sz w:val="23"/>
          <w:szCs w:val="23"/>
        </w:rPr>
        <w:t>(</w:t>
      </w:r>
      <w:r>
        <w:rPr>
          <w:rFonts w:ascii="Times New Roman" w:hAnsi="Times New Roman" w:eastAsia="Times New Roman" w:cs="Times New Roman"/>
          <w:sz w:val="23"/>
          <w:szCs w:val="23"/>
        </w:rPr>
        <w:t>HJ</w:t>
      </w:r>
      <w:r>
        <w:rPr>
          <w:rFonts w:ascii="Times New Roman" w:hAnsi="Times New Roman" w:eastAsia="Times New Roman" w:cs="Times New Roman"/>
          <w:spacing w:val="4"/>
          <w:sz w:val="23"/>
          <w:szCs w:val="23"/>
        </w:rPr>
        <w:t>2.2-2018</w:t>
      </w:r>
      <w:r>
        <w:rPr>
          <w:rFonts w:ascii="宋体" w:hAnsi="宋体" w:eastAsia="宋体" w:cs="宋体"/>
          <w:spacing w:val="4"/>
          <w:sz w:val="23"/>
          <w:szCs w:val="23"/>
        </w:rPr>
        <w:t xml:space="preserve">) </w:t>
      </w:r>
      <w:r>
        <w:rPr>
          <w:rFonts w:ascii="宋体" w:hAnsi="宋体" w:eastAsia="宋体" w:cs="宋体"/>
          <w:spacing w:val="3"/>
          <w:sz w:val="23"/>
          <w:szCs w:val="23"/>
        </w:rPr>
        <w:t>中</w:t>
      </w:r>
      <w:r>
        <w:rPr>
          <w:rFonts w:ascii="宋体" w:hAnsi="宋体" w:eastAsia="宋体" w:cs="宋体"/>
          <w:spacing w:val="2"/>
          <w:sz w:val="23"/>
          <w:szCs w:val="23"/>
        </w:rPr>
        <w:t xml:space="preserve">附录 </w:t>
      </w:r>
      <w:r>
        <w:rPr>
          <w:rFonts w:ascii="Times New Roman" w:hAnsi="Times New Roman" w:eastAsia="Times New Roman" w:cs="Times New Roman"/>
          <w:sz w:val="23"/>
          <w:szCs w:val="23"/>
        </w:rPr>
        <w:t>D</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中的浓度限值 (</w:t>
      </w:r>
      <w:r>
        <w:rPr>
          <w:rFonts w:ascii="Times New Roman" w:hAnsi="Times New Roman" w:eastAsia="Times New Roman" w:cs="Times New Roman"/>
          <w:sz w:val="23"/>
          <w:szCs w:val="23"/>
        </w:rPr>
        <w:t>H</w:t>
      </w:r>
      <w:r>
        <w:rPr>
          <w:rFonts w:ascii="Times New Roman" w:hAnsi="Times New Roman" w:eastAsia="Times New Roman" w:cs="Times New Roman"/>
          <w:spacing w:val="2"/>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2"/>
          <w:sz w:val="23"/>
          <w:szCs w:val="23"/>
        </w:rPr>
        <w:t>:10μ</w:t>
      </w:r>
      <w:r>
        <w:rPr>
          <w:rFonts w:ascii="Times New Roman" w:hAnsi="Times New Roman" w:eastAsia="Times New Roman" w:cs="Times New Roman"/>
          <w:sz w:val="23"/>
          <w:szCs w:val="23"/>
        </w:rPr>
        <w:t>g</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7"/>
          <w:sz w:val="15"/>
          <w:szCs w:val="15"/>
        </w:rPr>
        <w:t xml:space="preserve">3 </w:t>
      </w:r>
      <w:r>
        <w:rPr>
          <w:rFonts w:ascii="宋体" w:hAnsi="宋体" w:eastAsia="宋体" w:cs="宋体"/>
          <w:spacing w:val="2"/>
          <w:sz w:val="23"/>
          <w:szCs w:val="23"/>
        </w:rPr>
        <w:t xml:space="preserve">和 </w:t>
      </w:r>
      <w:r>
        <w:rPr>
          <w:rFonts w:ascii="Times New Roman" w:hAnsi="Times New Roman" w:eastAsia="Times New Roman" w:cs="Times New Roman"/>
          <w:sz w:val="23"/>
          <w:szCs w:val="23"/>
        </w:rPr>
        <w:t>NH</w:t>
      </w:r>
      <w:r>
        <w:rPr>
          <w:rFonts w:ascii="Times New Roman" w:hAnsi="Times New Roman" w:eastAsia="Times New Roman" w:cs="Times New Roman"/>
          <w:spacing w:val="2"/>
          <w:position w:val="-1"/>
          <w:sz w:val="15"/>
          <w:szCs w:val="15"/>
        </w:rPr>
        <w:t xml:space="preserve">3 </w:t>
      </w:r>
      <w:r>
        <w:rPr>
          <w:rFonts w:ascii="Times New Roman" w:hAnsi="Times New Roman" w:eastAsia="Times New Roman" w:cs="Times New Roman"/>
          <w:spacing w:val="2"/>
          <w:sz w:val="23"/>
          <w:szCs w:val="23"/>
        </w:rPr>
        <w:t>:200μ</w:t>
      </w:r>
      <w:r>
        <w:rPr>
          <w:rFonts w:ascii="Times New Roman" w:hAnsi="Times New Roman" w:eastAsia="Times New Roman" w:cs="Times New Roman"/>
          <w:sz w:val="23"/>
          <w:szCs w:val="23"/>
        </w:rPr>
        <w:t>g</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7"/>
          <w:sz w:val="15"/>
          <w:szCs w:val="15"/>
        </w:rPr>
        <w:t xml:space="preserve">3 </w:t>
      </w:r>
      <w:r>
        <w:rPr>
          <w:rFonts w:ascii="宋体" w:hAnsi="宋体" w:eastAsia="宋体" w:cs="宋体"/>
          <w:spacing w:val="2"/>
          <w:sz w:val="23"/>
          <w:szCs w:val="23"/>
        </w:rPr>
        <w:t xml:space="preserve">，均为 </w:t>
      </w:r>
      <w:r>
        <w:rPr>
          <w:rFonts w:ascii="Times New Roman" w:hAnsi="Times New Roman" w:eastAsia="Times New Roman" w:cs="Times New Roman"/>
          <w:spacing w:val="2"/>
          <w:sz w:val="23"/>
          <w:szCs w:val="23"/>
        </w:rPr>
        <w:t>1</w:t>
      </w:r>
      <w:r>
        <w:rPr>
          <w:rFonts w:ascii="Times New Roman" w:hAnsi="Times New Roman" w:eastAsia="Times New Roman" w:cs="Times New Roman"/>
          <w:sz w:val="23"/>
          <w:szCs w:val="23"/>
        </w:rPr>
        <w:t>h</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浓</w:t>
      </w:r>
      <w:r>
        <w:rPr>
          <w:rFonts w:ascii="宋体" w:hAnsi="宋体" w:eastAsia="宋体" w:cs="宋体"/>
          <w:sz w:val="23"/>
          <w:szCs w:val="23"/>
        </w:rPr>
        <w:t xml:space="preserve"> </w:t>
      </w:r>
      <w:r>
        <w:rPr>
          <w:rFonts w:ascii="宋体" w:hAnsi="宋体" w:eastAsia="宋体" w:cs="宋体"/>
          <w:spacing w:val="4"/>
          <w:sz w:val="23"/>
          <w:szCs w:val="23"/>
        </w:rPr>
        <w:t>度限值) ；场址四周声环境均可以满足《声环境质量标准》  (</w:t>
      </w:r>
      <w:r>
        <w:rPr>
          <w:rFonts w:ascii="Times New Roman" w:hAnsi="Times New Roman" w:eastAsia="Times New Roman" w:cs="Times New Roman"/>
          <w:sz w:val="23"/>
          <w:szCs w:val="23"/>
        </w:rPr>
        <w:t>GB</w:t>
      </w:r>
      <w:r>
        <w:rPr>
          <w:rFonts w:ascii="Times New Roman" w:hAnsi="Times New Roman" w:eastAsia="Times New Roman" w:cs="Times New Roman"/>
          <w:spacing w:val="4"/>
          <w:sz w:val="23"/>
          <w:szCs w:val="23"/>
        </w:rPr>
        <w:t>3096-2008</w:t>
      </w:r>
      <w:r>
        <w:rPr>
          <w:rFonts w:ascii="宋体" w:hAnsi="宋体" w:eastAsia="宋体" w:cs="宋体"/>
          <w:spacing w:val="4"/>
          <w:sz w:val="23"/>
          <w:szCs w:val="23"/>
        </w:rPr>
        <w:t xml:space="preserve">) </w:t>
      </w:r>
      <w:r>
        <w:rPr>
          <w:rFonts w:ascii="Times New Roman" w:hAnsi="Times New Roman" w:eastAsia="Times New Roman" w:cs="Times New Roman"/>
          <w:spacing w:val="4"/>
          <w:sz w:val="23"/>
          <w:szCs w:val="23"/>
        </w:rPr>
        <w:t xml:space="preserve">2 </w:t>
      </w:r>
      <w:r>
        <w:rPr>
          <w:rFonts w:ascii="宋体" w:hAnsi="宋体" w:eastAsia="宋体" w:cs="宋体"/>
          <w:spacing w:val="4"/>
          <w:sz w:val="23"/>
          <w:szCs w:val="23"/>
        </w:rPr>
        <w:t>类标</w:t>
      </w:r>
      <w:r>
        <w:rPr>
          <w:rFonts w:ascii="宋体" w:hAnsi="宋体" w:eastAsia="宋体" w:cs="宋体"/>
          <w:sz w:val="23"/>
          <w:szCs w:val="23"/>
        </w:rPr>
        <w:t xml:space="preserve"> </w:t>
      </w:r>
      <w:r>
        <w:rPr>
          <w:rFonts w:ascii="宋体" w:hAnsi="宋体" w:eastAsia="宋体" w:cs="宋体"/>
          <w:spacing w:val="20"/>
          <w:sz w:val="23"/>
          <w:szCs w:val="23"/>
        </w:rPr>
        <w:t>准要</w:t>
      </w:r>
      <w:r>
        <w:rPr>
          <w:rFonts w:ascii="宋体" w:hAnsi="宋体" w:eastAsia="宋体" w:cs="宋体"/>
          <w:spacing w:val="12"/>
          <w:sz w:val="23"/>
          <w:szCs w:val="23"/>
        </w:rPr>
        <w:t>求</w:t>
      </w:r>
      <w:r>
        <w:rPr>
          <w:rFonts w:ascii="宋体" w:hAnsi="宋体" w:eastAsia="宋体" w:cs="宋体"/>
          <w:spacing w:val="10"/>
          <w:sz w:val="23"/>
          <w:szCs w:val="23"/>
        </w:rPr>
        <w:t>；本项目废水交由乐山乐高勤力生物质能源综合利用有限公司集中处置，不</w:t>
      </w:r>
      <w:r>
        <w:rPr>
          <w:rFonts w:ascii="宋体" w:hAnsi="宋体" w:eastAsia="宋体" w:cs="宋体"/>
          <w:sz w:val="23"/>
          <w:szCs w:val="23"/>
        </w:rPr>
        <w:t xml:space="preserve"> </w:t>
      </w:r>
      <w:r>
        <w:rPr>
          <w:rFonts w:ascii="宋体" w:hAnsi="宋体" w:eastAsia="宋体" w:cs="宋体"/>
          <w:spacing w:val="22"/>
          <w:sz w:val="23"/>
          <w:szCs w:val="23"/>
        </w:rPr>
        <w:t>排</w:t>
      </w:r>
      <w:r>
        <w:rPr>
          <w:rFonts w:ascii="宋体" w:hAnsi="宋体" w:eastAsia="宋体" w:cs="宋体"/>
          <w:spacing w:val="18"/>
          <w:sz w:val="23"/>
          <w:szCs w:val="23"/>
        </w:rPr>
        <w:t>入地表水体。</w:t>
      </w:r>
    </w:p>
    <w:p w14:paraId="68D8E1B5">
      <w:pPr>
        <w:spacing w:before="1" w:line="374" w:lineRule="auto"/>
        <w:ind w:left="11" w:right="105" w:firstLine="484"/>
        <w:rPr>
          <w:rFonts w:ascii="宋体" w:hAnsi="宋体" w:eastAsia="宋体" w:cs="宋体"/>
          <w:sz w:val="23"/>
          <w:szCs w:val="23"/>
        </w:rPr>
      </w:pPr>
      <w:r>
        <w:rPr>
          <w:rFonts w:ascii="宋体" w:hAnsi="宋体" w:eastAsia="宋体" w:cs="宋体"/>
          <w:spacing w:val="11"/>
          <w:sz w:val="23"/>
          <w:szCs w:val="23"/>
        </w:rPr>
        <w:t>项目选址区域羊叉水库、全胜水库适用地表水环境质量为Ⅲ类的水域。除羊</w:t>
      </w:r>
      <w:r>
        <w:rPr>
          <w:rFonts w:ascii="宋体" w:hAnsi="宋体" w:eastAsia="宋体" w:cs="宋体"/>
          <w:spacing w:val="9"/>
          <w:sz w:val="23"/>
          <w:szCs w:val="23"/>
        </w:rPr>
        <w:t>叉</w:t>
      </w:r>
      <w:r>
        <w:rPr>
          <w:rFonts w:ascii="宋体" w:hAnsi="宋体" w:eastAsia="宋体" w:cs="宋体"/>
          <w:sz w:val="23"/>
          <w:szCs w:val="23"/>
        </w:rPr>
        <w:t xml:space="preserve"> </w:t>
      </w:r>
      <w:r>
        <w:rPr>
          <w:rFonts w:ascii="宋体" w:hAnsi="宋体" w:eastAsia="宋体" w:cs="宋体"/>
          <w:spacing w:val="11"/>
          <w:sz w:val="23"/>
          <w:szCs w:val="23"/>
        </w:rPr>
        <w:t>水库断面五日生化需氧量超标外，其他各监测断面各项监测指标现状监测结果均</w:t>
      </w:r>
      <w:r>
        <w:rPr>
          <w:rFonts w:ascii="宋体" w:hAnsi="宋体" w:eastAsia="宋体" w:cs="宋体"/>
          <w:spacing w:val="9"/>
          <w:sz w:val="23"/>
          <w:szCs w:val="23"/>
        </w:rPr>
        <w:t>能</w:t>
      </w:r>
      <w:r>
        <w:rPr>
          <w:rFonts w:ascii="宋体" w:hAnsi="宋体" w:eastAsia="宋体" w:cs="宋体"/>
          <w:sz w:val="23"/>
          <w:szCs w:val="23"/>
        </w:rPr>
        <w:t xml:space="preserve"> </w:t>
      </w:r>
      <w:r>
        <w:rPr>
          <w:rFonts w:ascii="宋体" w:hAnsi="宋体" w:eastAsia="宋体" w:cs="宋体"/>
          <w:spacing w:val="22"/>
          <w:sz w:val="23"/>
          <w:szCs w:val="23"/>
        </w:rPr>
        <w:t>达</w:t>
      </w:r>
      <w:r>
        <w:rPr>
          <w:rFonts w:ascii="宋体" w:hAnsi="宋体" w:eastAsia="宋体" w:cs="宋体"/>
          <w:spacing w:val="19"/>
          <w:sz w:val="23"/>
          <w:szCs w:val="23"/>
        </w:rPr>
        <w:t>到</w:t>
      </w:r>
      <w:r>
        <w:rPr>
          <w:rFonts w:ascii="宋体" w:hAnsi="宋体" w:eastAsia="宋体" w:cs="宋体"/>
          <w:spacing w:val="11"/>
          <w:sz w:val="23"/>
          <w:szCs w:val="23"/>
        </w:rPr>
        <w:t>《地表水环境质量标准》</w:t>
      </w:r>
      <w:r>
        <w:rPr>
          <w:rFonts w:ascii="Times New Roman" w:hAnsi="Times New Roman" w:eastAsia="Times New Roman" w:cs="Times New Roman"/>
          <w:spacing w:val="11"/>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11"/>
          <w:sz w:val="23"/>
          <w:szCs w:val="23"/>
        </w:rPr>
        <w:t>3838-2002)</w:t>
      </w:r>
      <w:r>
        <w:rPr>
          <w:rFonts w:ascii="宋体" w:hAnsi="宋体" w:eastAsia="宋体" w:cs="宋体"/>
          <w:spacing w:val="11"/>
          <w:sz w:val="23"/>
          <w:szCs w:val="23"/>
        </w:rPr>
        <w:t>Ⅲ类水质标准的要求，</w:t>
      </w:r>
      <w:r>
        <w:rPr>
          <w:rFonts w:ascii="Times New Roman" w:hAnsi="Times New Roman" w:eastAsia="Times New Roman" w:cs="Times New Roman"/>
          <w:sz w:val="23"/>
          <w:szCs w:val="23"/>
        </w:rPr>
        <w:t>SS</w:t>
      </w:r>
      <w:r>
        <w:rPr>
          <w:rFonts w:ascii="Times New Roman" w:hAnsi="Times New Roman" w:eastAsia="Times New Roman" w:cs="Times New Roman"/>
          <w:spacing w:val="11"/>
          <w:sz w:val="23"/>
          <w:szCs w:val="23"/>
        </w:rPr>
        <w:t xml:space="preserve"> </w:t>
      </w:r>
      <w:r>
        <w:rPr>
          <w:rFonts w:ascii="宋体" w:hAnsi="宋体" w:eastAsia="宋体" w:cs="宋体"/>
          <w:spacing w:val="11"/>
          <w:sz w:val="23"/>
          <w:szCs w:val="23"/>
        </w:rPr>
        <w:t>能达到《地</w:t>
      </w:r>
      <w:r>
        <w:rPr>
          <w:rFonts w:ascii="宋体" w:hAnsi="宋体" w:eastAsia="宋体" w:cs="宋体"/>
          <w:sz w:val="23"/>
          <w:szCs w:val="23"/>
        </w:rPr>
        <w:t xml:space="preserve"> </w:t>
      </w:r>
      <w:r>
        <w:rPr>
          <w:rFonts w:ascii="宋体" w:hAnsi="宋体" w:eastAsia="宋体" w:cs="宋体"/>
          <w:spacing w:val="13"/>
          <w:sz w:val="23"/>
          <w:szCs w:val="23"/>
        </w:rPr>
        <w:t>表</w:t>
      </w:r>
      <w:r>
        <w:rPr>
          <w:rFonts w:ascii="宋体" w:hAnsi="宋体" w:eastAsia="宋体" w:cs="宋体"/>
          <w:spacing w:val="7"/>
          <w:sz w:val="23"/>
          <w:szCs w:val="23"/>
        </w:rPr>
        <w:t>水资源质量标准》 (</w:t>
      </w:r>
      <w:r>
        <w:rPr>
          <w:rFonts w:ascii="Times New Roman" w:hAnsi="Times New Roman" w:eastAsia="Times New Roman" w:cs="Times New Roman"/>
          <w:sz w:val="23"/>
          <w:szCs w:val="23"/>
        </w:rPr>
        <w:t>SL</w:t>
      </w:r>
      <w:r>
        <w:rPr>
          <w:rFonts w:ascii="Times New Roman" w:hAnsi="Times New Roman" w:eastAsia="Times New Roman" w:cs="Times New Roman"/>
          <w:spacing w:val="7"/>
          <w:sz w:val="23"/>
          <w:szCs w:val="23"/>
        </w:rPr>
        <w:t>63-94</w:t>
      </w:r>
      <w:r>
        <w:rPr>
          <w:rFonts w:ascii="宋体" w:hAnsi="宋体" w:eastAsia="宋体" w:cs="宋体"/>
          <w:spacing w:val="7"/>
          <w:sz w:val="23"/>
          <w:szCs w:val="23"/>
        </w:rPr>
        <w:t>) 三级标准限值要求，羊叉水库五日生化需氧量超标</w:t>
      </w:r>
    </w:p>
    <w:p w14:paraId="6357CF78">
      <w:pPr>
        <w:sectPr>
          <w:headerReference r:id="rId50" w:type="default"/>
          <w:footerReference r:id="rId51" w:type="default"/>
          <w:pgSz w:w="11907" w:h="16840"/>
          <w:pgMar w:top="1153" w:right="1450" w:bottom="1277" w:left="1657" w:header="919" w:footer="1114" w:gutter="0"/>
          <w:cols w:space="720" w:num="1"/>
        </w:sectPr>
      </w:pPr>
    </w:p>
    <w:p w14:paraId="3ABF0BF4">
      <w:pPr>
        <w:spacing w:before="42" w:line="466" w:lineRule="exact"/>
        <w:ind w:left="15"/>
        <w:rPr>
          <w:rFonts w:ascii="宋体" w:hAnsi="宋体" w:eastAsia="宋体" w:cs="宋体"/>
          <w:sz w:val="23"/>
          <w:szCs w:val="23"/>
        </w:rPr>
      </w:pPr>
      <w:r>
        <w:rPr>
          <w:rFonts w:ascii="宋体" w:hAnsi="宋体" w:eastAsia="宋体" w:cs="宋体"/>
          <w:spacing w:val="11"/>
          <w:position w:val="17"/>
          <w:sz w:val="23"/>
          <w:szCs w:val="23"/>
        </w:rPr>
        <w:t>原因主要是周边农业废水随地表径流汇入水库中导致的。本项目施工期废水沉淀</w:t>
      </w:r>
      <w:r>
        <w:rPr>
          <w:rFonts w:ascii="宋体" w:hAnsi="宋体" w:eastAsia="宋体" w:cs="宋体"/>
          <w:spacing w:val="5"/>
          <w:position w:val="17"/>
          <w:sz w:val="23"/>
          <w:szCs w:val="23"/>
        </w:rPr>
        <w:t>后</w:t>
      </w:r>
    </w:p>
    <w:p w14:paraId="4E3A75EB">
      <w:pPr>
        <w:spacing w:line="228" w:lineRule="auto"/>
        <w:ind w:left="33"/>
        <w:rPr>
          <w:rFonts w:ascii="宋体" w:hAnsi="宋体" w:eastAsia="宋体" w:cs="宋体"/>
          <w:sz w:val="23"/>
          <w:szCs w:val="23"/>
        </w:rPr>
      </w:pPr>
      <w:r>
        <w:rPr>
          <w:rFonts w:ascii="宋体" w:hAnsi="宋体" w:eastAsia="宋体" w:cs="宋体"/>
          <w:spacing w:val="16"/>
          <w:sz w:val="23"/>
          <w:szCs w:val="23"/>
        </w:rPr>
        <w:t>回</w:t>
      </w:r>
      <w:r>
        <w:rPr>
          <w:rFonts w:ascii="宋体" w:hAnsi="宋体" w:eastAsia="宋体" w:cs="宋体"/>
          <w:spacing w:val="9"/>
          <w:sz w:val="23"/>
          <w:szCs w:val="23"/>
        </w:rPr>
        <w:t>用</w:t>
      </w:r>
      <w:r>
        <w:rPr>
          <w:rFonts w:ascii="宋体" w:hAnsi="宋体" w:eastAsia="宋体" w:cs="宋体"/>
          <w:spacing w:val="8"/>
          <w:sz w:val="23"/>
          <w:szCs w:val="23"/>
        </w:rPr>
        <w:t>，运营期无废水排放，不会增加区域水环境质量负荷。</w:t>
      </w:r>
    </w:p>
    <w:p w14:paraId="33CA8FE3">
      <w:pPr>
        <w:spacing w:before="138" w:line="380" w:lineRule="auto"/>
        <w:ind w:left="13" w:right="79" w:firstLine="541"/>
        <w:rPr>
          <w:rFonts w:ascii="宋体" w:hAnsi="宋体" w:eastAsia="宋体" w:cs="宋体"/>
          <w:sz w:val="23"/>
          <w:szCs w:val="23"/>
        </w:rPr>
      </w:pPr>
      <w:r>
        <w:rPr>
          <w:rFonts w:ascii="宋体" w:hAnsi="宋体" w:eastAsia="宋体" w:cs="宋体"/>
          <w:spacing w:val="12"/>
          <w:sz w:val="23"/>
          <w:szCs w:val="23"/>
        </w:rPr>
        <w:t>根据地下</w:t>
      </w:r>
      <w:r>
        <w:rPr>
          <w:rFonts w:ascii="宋体" w:hAnsi="宋体" w:eastAsia="宋体" w:cs="宋体"/>
          <w:spacing w:val="8"/>
          <w:sz w:val="23"/>
          <w:szCs w:val="23"/>
        </w:rPr>
        <w:t>水</w:t>
      </w:r>
      <w:r>
        <w:rPr>
          <w:rFonts w:ascii="宋体" w:hAnsi="宋体" w:eastAsia="宋体" w:cs="宋体"/>
          <w:spacing w:val="6"/>
          <w:sz w:val="23"/>
          <w:szCs w:val="23"/>
        </w:rPr>
        <w:t>现状监测结果，地下水监测因子的标准指数值均</w:t>
      </w:r>
      <w:r>
        <w:rPr>
          <w:rFonts w:ascii="Times New Roman" w:hAnsi="Times New Roman" w:eastAsia="Times New Roman" w:cs="Times New Roman"/>
          <w:spacing w:val="6"/>
          <w:sz w:val="23"/>
          <w:szCs w:val="23"/>
        </w:rPr>
        <w:t xml:space="preserve">≤1 </w:t>
      </w:r>
      <w:r>
        <w:rPr>
          <w:rFonts w:ascii="宋体" w:hAnsi="宋体" w:eastAsia="宋体" w:cs="宋体"/>
          <w:spacing w:val="6"/>
          <w:sz w:val="23"/>
          <w:szCs w:val="23"/>
        </w:rPr>
        <w:t>，评价因子均满</w:t>
      </w:r>
      <w:r>
        <w:rPr>
          <w:rFonts w:ascii="宋体" w:hAnsi="宋体" w:eastAsia="宋体" w:cs="宋体"/>
          <w:sz w:val="23"/>
          <w:szCs w:val="23"/>
        </w:rPr>
        <w:t xml:space="preserve"> </w:t>
      </w:r>
      <w:r>
        <w:rPr>
          <w:rFonts w:ascii="宋体" w:hAnsi="宋体" w:eastAsia="宋体" w:cs="宋体"/>
          <w:spacing w:val="12"/>
          <w:sz w:val="23"/>
          <w:szCs w:val="23"/>
        </w:rPr>
        <w:t>足《地下</w:t>
      </w:r>
      <w:r>
        <w:rPr>
          <w:rFonts w:ascii="宋体" w:hAnsi="宋体" w:eastAsia="宋体" w:cs="宋体"/>
          <w:spacing w:val="11"/>
          <w:sz w:val="23"/>
          <w:szCs w:val="23"/>
        </w:rPr>
        <w:t>水</w:t>
      </w:r>
      <w:r>
        <w:rPr>
          <w:rFonts w:ascii="宋体" w:hAnsi="宋体" w:eastAsia="宋体" w:cs="宋体"/>
          <w:spacing w:val="6"/>
          <w:sz w:val="23"/>
          <w:szCs w:val="23"/>
        </w:rPr>
        <w:t>质量标准》</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6"/>
          <w:sz w:val="23"/>
          <w:szCs w:val="23"/>
        </w:rPr>
        <w:t>14848-2017)</w:t>
      </w:r>
      <w:r>
        <w:rPr>
          <w:rFonts w:ascii="宋体" w:hAnsi="宋体" w:eastAsia="宋体" w:cs="宋体"/>
          <w:spacing w:val="6"/>
          <w:sz w:val="23"/>
          <w:szCs w:val="23"/>
        </w:rPr>
        <w:t xml:space="preserve">中的 </w:t>
      </w:r>
      <w:r>
        <w:rPr>
          <w:rFonts w:ascii="Times New Roman" w:hAnsi="Times New Roman" w:eastAsia="Times New Roman" w:cs="Times New Roman"/>
          <w:sz w:val="23"/>
          <w:szCs w:val="23"/>
        </w:rPr>
        <w:t>III</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类标准限值要求。本项目施工期废</w:t>
      </w:r>
      <w:r>
        <w:rPr>
          <w:rFonts w:ascii="宋体" w:hAnsi="宋体" w:eastAsia="宋体" w:cs="宋体"/>
          <w:sz w:val="23"/>
          <w:szCs w:val="23"/>
        </w:rPr>
        <w:t xml:space="preserve"> </w:t>
      </w:r>
      <w:r>
        <w:rPr>
          <w:rFonts w:ascii="宋体" w:hAnsi="宋体" w:eastAsia="宋体" w:cs="宋体"/>
          <w:spacing w:val="11"/>
          <w:sz w:val="23"/>
          <w:szCs w:val="23"/>
        </w:rPr>
        <w:t>水沉淀后回用，运营期无废水排放，各区域严格按照相关要求做分区防渗处理，</w:t>
      </w:r>
      <w:r>
        <w:rPr>
          <w:rFonts w:ascii="宋体" w:hAnsi="宋体" w:eastAsia="宋体" w:cs="宋体"/>
          <w:spacing w:val="8"/>
          <w:sz w:val="23"/>
          <w:szCs w:val="23"/>
        </w:rPr>
        <w:t>项</w:t>
      </w:r>
      <w:r>
        <w:rPr>
          <w:rFonts w:ascii="宋体" w:hAnsi="宋体" w:eastAsia="宋体" w:cs="宋体"/>
          <w:sz w:val="23"/>
          <w:szCs w:val="23"/>
        </w:rPr>
        <w:t xml:space="preserve"> </w:t>
      </w:r>
      <w:r>
        <w:rPr>
          <w:rFonts w:ascii="宋体" w:hAnsi="宋体" w:eastAsia="宋体" w:cs="宋体"/>
          <w:spacing w:val="16"/>
          <w:sz w:val="23"/>
          <w:szCs w:val="23"/>
        </w:rPr>
        <w:t>目</w:t>
      </w:r>
      <w:r>
        <w:rPr>
          <w:rFonts w:ascii="宋体" w:hAnsi="宋体" w:eastAsia="宋体" w:cs="宋体"/>
          <w:spacing w:val="13"/>
          <w:sz w:val="23"/>
          <w:szCs w:val="23"/>
        </w:rPr>
        <w:t>运</w:t>
      </w:r>
      <w:r>
        <w:rPr>
          <w:rFonts w:ascii="宋体" w:hAnsi="宋体" w:eastAsia="宋体" w:cs="宋体"/>
          <w:spacing w:val="8"/>
          <w:sz w:val="23"/>
          <w:szCs w:val="23"/>
        </w:rPr>
        <w:t>营不会对地下水环境产生大的影响。</w:t>
      </w:r>
    </w:p>
    <w:p w14:paraId="7CFED74B">
      <w:pPr>
        <w:spacing w:before="19" w:line="374" w:lineRule="auto"/>
        <w:ind w:left="11" w:right="89" w:firstLine="543"/>
        <w:rPr>
          <w:rFonts w:ascii="宋体" w:hAnsi="宋体" w:eastAsia="宋体" w:cs="宋体"/>
          <w:sz w:val="23"/>
          <w:szCs w:val="23"/>
        </w:rPr>
      </w:pPr>
      <w:r>
        <w:rPr>
          <w:rFonts w:ascii="宋体" w:hAnsi="宋体" w:eastAsia="宋体" w:cs="宋体"/>
          <w:spacing w:val="14"/>
          <w:sz w:val="23"/>
          <w:szCs w:val="23"/>
        </w:rPr>
        <w:t>根</w:t>
      </w:r>
      <w:r>
        <w:rPr>
          <w:rFonts w:ascii="宋体" w:hAnsi="宋体" w:eastAsia="宋体" w:cs="宋体"/>
          <w:spacing w:val="9"/>
          <w:sz w:val="23"/>
          <w:szCs w:val="23"/>
        </w:rPr>
        <w:t>据土壤现状监测结果，项目周边土壤各项监测因子均能达到《土壤环境质量</w:t>
      </w:r>
      <w:r>
        <w:rPr>
          <w:rFonts w:ascii="宋体" w:hAnsi="宋体" w:eastAsia="宋体" w:cs="宋体"/>
          <w:sz w:val="23"/>
          <w:szCs w:val="23"/>
        </w:rPr>
        <w:t xml:space="preserve"> </w:t>
      </w:r>
      <w:r>
        <w:rPr>
          <w:rFonts w:ascii="宋体" w:hAnsi="宋体" w:eastAsia="宋体" w:cs="宋体"/>
          <w:spacing w:val="14"/>
          <w:sz w:val="23"/>
          <w:szCs w:val="23"/>
        </w:rPr>
        <w:t>标准 农</w:t>
      </w:r>
      <w:r>
        <w:rPr>
          <w:rFonts w:ascii="宋体" w:hAnsi="宋体" w:eastAsia="宋体" w:cs="宋体"/>
          <w:spacing w:val="8"/>
          <w:sz w:val="23"/>
          <w:szCs w:val="23"/>
        </w:rPr>
        <w:t>用</w:t>
      </w:r>
      <w:r>
        <w:rPr>
          <w:rFonts w:ascii="宋体" w:hAnsi="宋体" w:eastAsia="宋体" w:cs="宋体"/>
          <w:spacing w:val="7"/>
          <w:sz w:val="23"/>
          <w:szCs w:val="23"/>
        </w:rPr>
        <w:t>地土壤污染风险管控标准 (试行) 》  (</w:t>
      </w:r>
      <w:r>
        <w:rPr>
          <w:rFonts w:ascii="Times New Roman" w:hAnsi="Times New Roman" w:eastAsia="Times New Roman" w:cs="Times New Roman"/>
          <w:sz w:val="23"/>
          <w:szCs w:val="23"/>
        </w:rPr>
        <w:t>GB</w:t>
      </w:r>
      <w:r>
        <w:rPr>
          <w:rFonts w:ascii="Times New Roman" w:hAnsi="Times New Roman" w:eastAsia="Times New Roman" w:cs="Times New Roman"/>
          <w:spacing w:val="7"/>
          <w:sz w:val="23"/>
          <w:szCs w:val="23"/>
        </w:rPr>
        <w:t>15618-2018</w:t>
      </w:r>
      <w:r>
        <w:rPr>
          <w:rFonts w:ascii="宋体" w:hAnsi="宋体" w:eastAsia="宋体" w:cs="宋体"/>
          <w:spacing w:val="7"/>
          <w:sz w:val="23"/>
          <w:szCs w:val="23"/>
        </w:rPr>
        <w:t>) 农用地土壤污染</w:t>
      </w:r>
      <w:r>
        <w:rPr>
          <w:rFonts w:ascii="宋体" w:hAnsi="宋体" w:eastAsia="宋体" w:cs="宋体"/>
          <w:sz w:val="23"/>
          <w:szCs w:val="23"/>
        </w:rPr>
        <w:t xml:space="preserve"> </w:t>
      </w:r>
      <w:r>
        <w:rPr>
          <w:rFonts w:ascii="宋体" w:hAnsi="宋体" w:eastAsia="宋体" w:cs="宋体"/>
          <w:spacing w:val="9"/>
          <w:sz w:val="23"/>
          <w:szCs w:val="23"/>
        </w:rPr>
        <w:t>风险筛选值，项目所在地土壤质地良好</w:t>
      </w:r>
      <w:r>
        <w:rPr>
          <w:rFonts w:ascii="宋体" w:hAnsi="宋体" w:eastAsia="宋体" w:cs="宋体"/>
          <w:spacing w:val="6"/>
          <w:sz w:val="23"/>
          <w:szCs w:val="23"/>
        </w:rPr>
        <w:t>。</w:t>
      </w:r>
    </w:p>
    <w:p w14:paraId="579664A9">
      <w:pPr>
        <w:spacing w:before="3" w:line="374" w:lineRule="auto"/>
        <w:ind w:left="14" w:right="87" w:firstLine="543"/>
        <w:rPr>
          <w:rFonts w:ascii="宋体" w:hAnsi="宋体" w:eastAsia="宋体" w:cs="宋体"/>
          <w:sz w:val="23"/>
          <w:szCs w:val="23"/>
        </w:rPr>
      </w:pPr>
      <w:r>
        <w:rPr>
          <w:rFonts w:ascii="宋体" w:hAnsi="宋体" w:eastAsia="宋体" w:cs="宋体"/>
          <w:spacing w:val="7"/>
          <w:sz w:val="23"/>
          <w:szCs w:val="23"/>
        </w:rPr>
        <w:t xml:space="preserve">项目所在区域为 </w:t>
      </w:r>
      <w:r>
        <w:rPr>
          <w:rFonts w:ascii="Times New Roman" w:hAnsi="Times New Roman" w:eastAsia="Times New Roman" w:cs="Times New Roman"/>
          <w:spacing w:val="7"/>
          <w:sz w:val="23"/>
          <w:szCs w:val="23"/>
        </w:rPr>
        <w:t xml:space="preserve">2 </w:t>
      </w:r>
      <w:r>
        <w:rPr>
          <w:rFonts w:ascii="宋体" w:hAnsi="宋体" w:eastAsia="宋体" w:cs="宋体"/>
          <w:spacing w:val="7"/>
          <w:sz w:val="23"/>
          <w:szCs w:val="23"/>
        </w:rPr>
        <w:t>类声环境功能区，根据环境噪声现状监测结果，项目区域</w:t>
      </w:r>
      <w:r>
        <w:rPr>
          <w:rFonts w:ascii="宋体" w:hAnsi="宋体" w:eastAsia="宋体" w:cs="宋体"/>
          <w:spacing w:val="5"/>
          <w:sz w:val="23"/>
          <w:szCs w:val="23"/>
        </w:rPr>
        <w:t>各</w:t>
      </w:r>
      <w:r>
        <w:rPr>
          <w:rFonts w:ascii="宋体" w:hAnsi="宋体" w:eastAsia="宋体" w:cs="宋体"/>
          <w:sz w:val="23"/>
          <w:szCs w:val="23"/>
        </w:rPr>
        <w:t xml:space="preserve"> </w:t>
      </w:r>
      <w:r>
        <w:rPr>
          <w:rFonts w:ascii="宋体" w:hAnsi="宋体" w:eastAsia="宋体" w:cs="宋体"/>
          <w:spacing w:val="12"/>
          <w:sz w:val="23"/>
          <w:szCs w:val="23"/>
        </w:rPr>
        <w:t>点位噪</w:t>
      </w:r>
      <w:r>
        <w:rPr>
          <w:rFonts w:ascii="宋体" w:hAnsi="宋体" w:eastAsia="宋体" w:cs="宋体"/>
          <w:spacing w:val="9"/>
          <w:sz w:val="23"/>
          <w:szCs w:val="23"/>
        </w:rPr>
        <w:t>声</w:t>
      </w:r>
      <w:r>
        <w:rPr>
          <w:rFonts w:ascii="宋体" w:hAnsi="宋体" w:eastAsia="宋体" w:cs="宋体"/>
          <w:spacing w:val="6"/>
          <w:sz w:val="23"/>
          <w:szCs w:val="23"/>
        </w:rPr>
        <w:t>满足《声环境质量标准》  (</w:t>
      </w:r>
      <w:r>
        <w:rPr>
          <w:rFonts w:ascii="Times New Roman" w:hAnsi="Times New Roman" w:eastAsia="Times New Roman" w:cs="Times New Roman"/>
          <w:sz w:val="23"/>
          <w:szCs w:val="23"/>
        </w:rPr>
        <w:t>GB</w:t>
      </w:r>
      <w:r>
        <w:rPr>
          <w:rFonts w:ascii="Times New Roman" w:hAnsi="Times New Roman" w:eastAsia="Times New Roman" w:cs="Times New Roman"/>
          <w:spacing w:val="6"/>
          <w:sz w:val="23"/>
          <w:szCs w:val="23"/>
        </w:rPr>
        <w:t>3096-2008</w:t>
      </w:r>
      <w:r>
        <w:rPr>
          <w:rFonts w:ascii="宋体" w:hAnsi="宋体" w:eastAsia="宋体" w:cs="宋体"/>
          <w:spacing w:val="6"/>
          <w:sz w:val="23"/>
          <w:szCs w:val="23"/>
        </w:rPr>
        <w:t xml:space="preserve">) 中 </w:t>
      </w:r>
      <w:r>
        <w:rPr>
          <w:rFonts w:ascii="Times New Roman" w:hAnsi="Times New Roman" w:eastAsia="Times New Roman" w:cs="Times New Roman"/>
          <w:spacing w:val="6"/>
          <w:sz w:val="23"/>
          <w:szCs w:val="23"/>
        </w:rPr>
        <w:t xml:space="preserve">2 </w:t>
      </w:r>
      <w:r>
        <w:rPr>
          <w:rFonts w:ascii="宋体" w:hAnsi="宋体" w:eastAsia="宋体" w:cs="宋体"/>
          <w:spacing w:val="6"/>
          <w:sz w:val="23"/>
          <w:szCs w:val="23"/>
        </w:rPr>
        <w:t>类标准，表明项目所在地</w:t>
      </w:r>
      <w:r>
        <w:rPr>
          <w:rFonts w:ascii="宋体" w:hAnsi="宋体" w:eastAsia="宋体" w:cs="宋体"/>
          <w:sz w:val="23"/>
          <w:szCs w:val="23"/>
        </w:rPr>
        <w:t xml:space="preserve"> </w:t>
      </w:r>
      <w:r>
        <w:rPr>
          <w:rFonts w:ascii="宋体" w:hAnsi="宋体" w:eastAsia="宋体" w:cs="宋体"/>
          <w:spacing w:val="11"/>
          <w:sz w:val="23"/>
          <w:szCs w:val="23"/>
        </w:rPr>
        <w:t>声环境质量良好。本项目运营期产噪小，可实现达标排放，不会改变项目所在区</w:t>
      </w:r>
      <w:r>
        <w:rPr>
          <w:rFonts w:ascii="宋体" w:hAnsi="宋体" w:eastAsia="宋体" w:cs="宋体"/>
          <w:spacing w:val="8"/>
          <w:sz w:val="23"/>
          <w:szCs w:val="23"/>
        </w:rPr>
        <w:t>域</w:t>
      </w:r>
      <w:r>
        <w:rPr>
          <w:rFonts w:ascii="宋体" w:hAnsi="宋体" w:eastAsia="宋体" w:cs="宋体"/>
          <w:sz w:val="23"/>
          <w:szCs w:val="23"/>
        </w:rPr>
        <w:t xml:space="preserve"> </w:t>
      </w:r>
      <w:r>
        <w:rPr>
          <w:rFonts w:ascii="宋体" w:hAnsi="宋体" w:eastAsia="宋体" w:cs="宋体"/>
          <w:spacing w:val="9"/>
          <w:sz w:val="23"/>
          <w:szCs w:val="23"/>
        </w:rPr>
        <w:t>的</w:t>
      </w:r>
      <w:r>
        <w:rPr>
          <w:rFonts w:ascii="宋体" w:hAnsi="宋体" w:eastAsia="宋体" w:cs="宋体"/>
          <w:spacing w:val="6"/>
          <w:sz w:val="23"/>
          <w:szCs w:val="23"/>
        </w:rPr>
        <w:t>声环境功能。</w:t>
      </w:r>
    </w:p>
    <w:p w14:paraId="3FA09085">
      <w:pPr>
        <w:spacing w:line="228" w:lineRule="auto"/>
        <w:ind w:left="557"/>
        <w:rPr>
          <w:rFonts w:ascii="宋体" w:hAnsi="宋体" w:eastAsia="宋体" w:cs="宋体"/>
          <w:sz w:val="23"/>
          <w:szCs w:val="23"/>
        </w:rPr>
      </w:pPr>
      <w:r>
        <w:rPr>
          <w:rFonts w:ascii="宋体" w:hAnsi="宋体" w:eastAsia="宋体" w:cs="宋体"/>
          <w:spacing w:val="9"/>
          <w:sz w:val="23"/>
          <w:szCs w:val="23"/>
        </w:rPr>
        <w:t>综上，本项目建设符合环境质量底线要求</w:t>
      </w:r>
      <w:r>
        <w:rPr>
          <w:rFonts w:ascii="宋体" w:hAnsi="宋体" w:eastAsia="宋体" w:cs="宋体"/>
          <w:spacing w:val="5"/>
          <w:sz w:val="23"/>
          <w:szCs w:val="23"/>
        </w:rPr>
        <w:t>。</w:t>
      </w:r>
    </w:p>
    <w:p w14:paraId="0DD51217">
      <w:pPr>
        <w:spacing w:before="184" w:line="228" w:lineRule="auto"/>
        <w:ind w:left="16"/>
        <w:outlineLvl w:val="2"/>
        <w:rPr>
          <w:rFonts w:ascii="宋体" w:hAnsi="宋体" w:eastAsia="宋体" w:cs="宋体"/>
          <w:sz w:val="23"/>
          <w:szCs w:val="23"/>
        </w:rPr>
      </w:pPr>
      <w:r>
        <w:rPr>
          <w:rFonts w:ascii="Times New Roman" w:hAnsi="Times New Roman" w:eastAsia="Times New Roman" w:cs="Times New Roman"/>
          <w:b/>
          <w:bCs/>
          <w:spacing w:val="10"/>
          <w:sz w:val="23"/>
          <w:szCs w:val="23"/>
        </w:rPr>
        <w:t>1</w:t>
      </w:r>
      <w:r>
        <w:rPr>
          <w:rFonts w:ascii="Times New Roman" w:hAnsi="Times New Roman" w:eastAsia="Times New Roman" w:cs="Times New Roman"/>
          <w:b/>
          <w:bCs/>
          <w:spacing w:val="8"/>
          <w:sz w:val="23"/>
          <w:szCs w:val="23"/>
        </w:rPr>
        <w:t>.</w:t>
      </w:r>
      <w:r>
        <w:rPr>
          <w:rFonts w:ascii="Times New Roman" w:hAnsi="Times New Roman" w:eastAsia="Times New Roman" w:cs="Times New Roman"/>
          <w:b/>
          <w:bCs/>
          <w:spacing w:val="5"/>
          <w:sz w:val="23"/>
          <w:szCs w:val="23"/>
        </w:rPr>
        <w:t>7.3</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资源利用上线</w:t>
      </w:r>
    </w:p>
    <w:p w14:paraId="4223B2AE">
      <w:pPr>
        <w:spacing w:before="187" w:line="374" w:lineRule="auto"/>
        <w:ind w:left="9" w:right="87" w:firstLine="491"/>
        <w:rPr>
          <w:rFonts w:ascii="宋体" w:hAnsi="宋体" w:eastAsia="宋体" w:cs="宋体"/>
          <w:sz w:val="23"/>
          <w:szCs w:val="23"/>
        </w:rPr>
      </w:pPr>
      <w:r>
        <w:rPr>
          <w:rFonts w:ascii="宋体" w:hAnsi="宋体" w:eastAsia="宋体" w:cs="宋体"/>
          <w:spacing w:val="20"/>
          <w:sz w:val="23"/>
          <w:szCs w:val="23"/>
        </w:rPr>
        <w:t>资</w:t>
      </w:r>
      <w:r>
        <w:rPr>
          <w:rFonts w:ascii="宋体" w:hAnsi="宋体" w:eastAsia="宋体" w:cs="宋体"/>
          <w:spacing w:val="11"/>
          <w:sz w:val="23"/>
          <w:szCs w:val="23"/>
        </w:rPr>
        <w:t>源是环境的载体，</w:t>
      </w:r>
      <w:r>
        <w:rPr>
          <w:rFonts w:ascii="Times New Roman" w:hAnsi="Times New Roman" w:eastAsia="Times New Roman" w:cs="Times New Roman"/>
          <w:spacing w:val="11"/>
          <w:sz w:val="23"/>
          <w:szCs w:val="23"/>
        </w:rPr>
        <w:t>“</w:t>
      </w:r>
      <w:r>
        <w:rPr>
          <w:rFonts w:ascii="宋体" w:hAnsi="宋体" w:eastAsia="宋体" w:cs="宋体"/>
          <w:spacing w:val="11"/>
          <w:sz w:val="23"/>
          <w:szCs w:val="23"/>
        </w:rPr>
        <w:t>资源利用上线</w:t>
      </w:r>
      <w:r>
        <w:rPr>
          <w:rFonts w:ascii="Times New Roman" w:hAnsi="Times New Roman" w:eastAsia="Times New Roman" w:cs="Times New Roman"/>
          <w:spacing w:val="11"/>
          <w:sz w:val="23"/>
          <w:szCs w:val="23"/>
        </w:rPr>
        <w:t>”</w:t>
      </w:r>
      <w:r>
        <w:rPr>
          <w:rFonts w:ascii="宋体" w:hAnsi="宋体" w:eastAsia="宋体" w:cs="宋体"/>
          <w:spacing w:val="11"/>
          <w:sz w:val="23"/>
          <w:szCs w:val="23"/>
        </w:rPr>
        <w:t>是地区能源、水、土地等资源消耗不得突</w:t>
      </w:r>
      <w:r>
        <w:rPr>
          <w:rFonts w:ascii="宋体" w:hAnsi="宋体" w:eastAsia="宋体" w:cs="宋体"/>
          <w:sz w:val="23"/>
          <w:szCs w:val="23"/>
        </w:rPr>
        <w:t xml:space="preserve"> </w:t>
      </w:r>
      <w:r>
        <w:rPr>
          <w:rFonts w:ascii="宋体" w:hAnsi="宋体" w:eastAsia="宋体" w:cs="宋体"/>
          <w:spacing w:val="18"/>
          <w:sz w:val="23"/>
          <w:szCs w:val="23"/>
        </w:rPr>
        <w:t>破的</w:t>
      </w:r>
      <w:r>
        <w:rPr>
          <w:rFonts w:ascii="Times New Roman" w:hAnsi="Times New Roman" w:eastAsia="Times New Roman" w:cs="Times New Roman"/>
          <w:spacing w:val="14"/>
          <w:sz w:val="23"/>
          <w:szCs w:val="23"/>
        </w:rPr>
        <w:t>“</w:t>
      </w:r>
      <w:r>
        <w:rPr>
          <w:rFonts w:ascii="宋体" w:hAnsi="宋体" w:eastAsia="宋体" w:cs="宋体"/>
          <w:spacing w:val="9"/>
          <w:sz w:val="23"/>
          <w:szCs w:val="23"/>
        </w:rPr>
        <w:t>天花板</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。相关规划环评应依据有关资源利用上线，对规划实施以及规划内项</w:t>
      </w:r>
      <w:r>
        <w:rPr>
          <w:rFonts w:ascii="宋体" w:hAnsi="宋体" w:eastAsia="宋体" w:cs="宋体"/>
          <w:sz w:val="23"/>
          <w:szCs w:val="23"/>
        </w:rPr>
        <w:t xml:space="preserve"> </w:t>
      </w:r>
      <w:r>
        <w:rPr>
          <w:rFonts w:ascii="宋体" w:hAnsi="宋体" w:eastAsia="宋体" w:cs="宋体"/>
          <w:spacing w:val="14"/>
          <w:sz w:val="23"/>
          <w:szCs w:val="23"/>
        </w:rPr>
        <w:t>目</w:t>
      </w:r>
      <w:r>
        <w:rPr>
          <w:rFonts w:ascii="宋体" w:hAnsi="宋体" w:eastAsia="宋体" w:cs="宋体"/>
          <w:spacing w:val="11"/>
          <w:sz w:val="23"/>
          <w:szCs w:val="23"/>
        </w:rPr>
        <w:t>的资源开发利用，区分不同行业，从能源资源开发等量或减量替代、开采方式和</w:t>
      </w:r>
      <w:r>
        <w:rPr>
          <w:rFonts w:ascii="宋体" w:hAnsi="宋体" w:eastAsia="宋体" w:cs="宋体"/>
          <w:sz w:val="23"/>
          <w:szCs w:val="23"/>
        </w:rPr>
        <w:t xml:space="preserve"> </w:t>
      </w:r>
      <w:r>
        <w:rPr>
          <w:rFonts w:ascii="宋体" w:hAnsi="宋体" w:eastAsia="宋体" w:cs="宋体"/>
          <w:spacing w:val="14"/>
          <w:sz w:val="23"/>
          <w:szCs w:val="23"/>
        </w:rPr>
        <w:t>规</w:t>
      </w:r>
      <w:r>
        <w:rPr>
          <w:rFonts w:ascii="宋体" w:hAnsi="宋体" w:eastAsia="宋体" w:cs="宋体"/>
          <w:spacing w:val="11"/>
          <w:sz w:val="23"/>
          <w:szCs w:val="23"/>
        </w:rPr>
        <w:t>模控制、利用效率和保护措施等方面提出建议，为规划编制和审批决策提供重要</w:t>
      </w:r>
      <w:r>
        <w:rPr>
          <w:rFonts w:ascii="宋体" w:hAnsi="宋体" w:eastAsia="宋体" w:cs="宋体"/>
          <w:sz w:val="23"/>
          <w:szCs w:val="23"/>
        </w:rPr>
        <w:t xml:space="preserve"> </w:t>
      </w:r>
      <w:r>
        <w:rPr>
          <w:rFonts w:ascii="宋体" w:hAnsi="宋体" w:eastAsia="宋体" w:cs="宋体"/>
          <w:spacing w:val="4"/>
          <w:sz w:val="23"/>
          <w:szCs w:val="23"/>
        </w:rPr>
        <w:t>依据</w:t>
      </w:r>
      <w:r>
        <w:rPr>
          <w:rFonts w:ascii="宋体" w:hAnsi="宋体" w:eastAsia="宋体" w:cs="宋体"/>
          <w:spacing w:val="3"/>
          <w:sz w:val="23"/>
          <w:szCs w:val="23"/>
        </w:rPr>
        <w:t>。</w:t>
      </w:r>
    </w:p>
    <w:p w14:paraId="6E8A8B22">
      <w:pPr>
        <w:spacing w:before="2" w:line="374" w:lineRule="auto"/>
        <w:ind w:left="10" w:right="87" w:firstLine="480"/>
        <w:rPr>
          <w:rFonts w:ascii="宋体" w:hAnsi="宋体" w:eastAsia="宋体" w:cs="宋体"/>
          <w:sz w:val="23"/>
          <w:szCs w:val="23"/>
        </w:rPr>
      </w:pPr>
      <w:r>
        <w:rPr>
          <w:rFonts w:ascii="宋体" w:hAnsi="宋体" w:eastAsia="宋体" w:cs="宋体"/>
          <w:spacing w:val="14"/>
          <w:sz w:val="23"/>
          <w:szCs w:val="23"/>
        </w:rPr>
        <w:t>本</w:t>
      </w:r>
      <w:r>
        <w:rPr>
          <w:rFonts w:ascii="宋体" w:hAnsi="宋体" w:eastAsia="宋体" w:cs="宋体"/>
          <w:spacing w:val="11"/>
          <w:sz w:val="23"/>
          <w:szCs w:val="23"/>
        </w:rPr>
        <w:t>项目施工期及运营期用电、用水量不会超过区域水、电负荷，且项目建设用</w:t>
      </w:r>
      <w:r>
        <w:rPr>
          <w:rFonts w:ascii="宋体" w:hAnsi="宋体" w:eastAsia="宋体" w:cs="宋体"/>
          <w:sz w:val="23"/>
          <w:szCs w:val="23"/>
        </w:rPr>
        <w:t xml:space="preserve"> </w:t>
      </w:r>
      <w:r>
        <w:rPr>
          <w:rFonts w:ascii="宋体" w:hAnsi="宋体" w:eastAsia="宋体" w:cs="宋体"/>
          <w:spacing w:val="18"/>
          <w:sz w:val="23"/>
          <w:szCs w:val="23"/>
        </w:rPr>
        <w:t>地</w:t>
      </w:r>
      <w:r>
        <w:rPr>
          <w:rFonts w:ascii="宋体" w:hAnsi="宋体" w:eastAsia="宋体" w:cs="宋体"/>
          <w:spacing w:val="14"/>
          <w:sz w:val="23"/>
          <w:szCs w:val="23"/>
        </w:rPr>
        <w:t>不</w:t>
      </w:r>
      <w:r>
        <w:rPr>
          <w:rFonts w:ascii="宋体" w:hAnsi="宋体" w:eastAsia="宋体" w:cs="宋体"/>
          <w:spacing w:val="9"/>
          <w:sz w:val="23"/>
          <w:szCs w:val="23"/>
        </w:rPr>
        <w:t>涉及基本农田，土地资源消耗符合要求。因此，项目资源利用满足要求。</w:t>
      </w:r>
    </w:p>
    <w:p w14:paraId="540893F5">
      <w:pPr>
        <w:spacing w:line="227" w:lineRule="auto"/>
        <w:ind w:left="16"/>
        <w:outlineLvl w:val="2"/>
        <w:rPr>
          <w:rFonts w:ascii="宋体" w:hAnsi="宋体" w:eastAsia="宋体" w:cs="宋体"/>
          <w:sz w:val="23"/>
          <w:szCs w:val="23"/>
        </w:rPr>
      </w:pPr>
      <w:r>
        <w:rPr>
          <w:rFonts w:ascii="Times New Roman" w:hAnsi="Times New Roman" w:eastAsia="Times New Roman" w:cs="Times New Roman"/>
          <w:b/>
          <w:bCs/>
          <w:spacing w:val="12"/>
          <w:sz w:val="23"/>
          <w:szCs w:val="23"/>
        </w:rPr>
        <w:t>1</w:t>
      </w:r>
      <w:r>
        <w:rPr>
          <w:rFonts w:ascii="Times New Roman" w:hAnsi="Times New Roman" w:eastAsia="Times New Roman" w:cs="Times New Roman"/>
          <w:b/>
          <w:bCs/>
          <w:spacing w:val="6"/>
          <w:sz w:val="23"/>
          <w:szCs w:val="23"/>
        </w:rPr>
        <w:t>.7.4</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环境准入负面清单</w:t>
      </w:r>
    </w:p>
    <w:p w14:paraId="6820FA8A">
      <w:pPr>
        <w:spacing w:before="140" w:line="375" w:lineRule="auto"/>
        <w:ind w:left="12" w:firstLine="478"/>
        <w:rPr>
          <w:rFonts w:ascii="宋体" w:hAnsi="宋体" w:eastAsia="宋体" w:cs="宋体"/>
          <w:sz w:val="23"/>
          <w:szCs w:val="23"/>
        </w:rPr>
      </w:pPr>
      <w:r>
        <w:rPr>
          <w:rFonts w:ascii="宋体" w:hAnsi="宋体" w:eastAsia="宋体" w:cs="宋体"/>
          <w:spacing w:val="10"/>
          <w:sz w:val="23"/>
          <w:szCs w:val="23"/>
        </w:rPr>
        <w:t>根据乐</w:t>
      </w:r>
      <w:r>
        <w:rPr>
          <w:rFonts w:ascii="宋体" w:hAnsi="宋体" w:eastAsia="宋体" w:cs="宋体"/>
          <w:spacing w:val="6"/>
          <w:sz w:val="23"/>
          <w:szCs w:val="23"/>
        </w:rPr>
        <w:t>山</w:t>
      </w:r>
      <w:r>
        <w:rPr>
          <w:rFonts w:ascii="宋体" w:hAnsi="宋体" w:eastAsia="宋体" w:cs="宋体"/>
          <w:spacing w:val="5"/>
          <w:sz w:val="23"/>
          <w:szCs w:val="23"/>
        </w:rPr>
        <w:t>市环境保护局《关于印发</w:t>
      </w:r>
      <w:r>
        <w:rPr>
          <w:rFonts w:ascii="Times New Roman" w:hAnsi="Times New Roman" w:eastAsia="Times New Roman" w:cs="Times New Roman"/>
          <w:spacing w:val="5"/>
          <w:sz w:val="23"/>
          <w:szCs w:val="23"/>
        </w:rPr>
        <w:t>&lt;</w:t>
      </w:r>
      <w:r>
        <w:rPr>
          <w:rFonts w:ascii="宋体" w:hAnsi="宋体" w:eastAsia="宋体" w:cs="宋体"/>
          <w:spacing w:val="5"/>
          <w:sz w:val="23"/>
          <w:szCs w:val="23"/>
        </w:rPr>
        <w:t xml:space="preserve">乐山市建设项目环境准入负面清单 (试行) </w:t>
      </w:r>
      <w:r>
        <w:rPr>
          <w:rFonts w:ascii="Times New Roman" w:hAnsi="Times New Roman" w:eastAsia="Times New Roman" w:cs="Times New Roman"/>
          <w:spacing w:val="5"/>
          <w:sz w:val="23"/>
          <w:szCs w:val="23"/>
        </w:rPr>
        <w:t>&gt;</w:t>
      </w:r>
      <w:r>
        <w:rPr>
          <w:rFonts w:ascii="Times New Roman" w:hAnsi="Times New Roman" w:eastAsia="Times New Roman" w:cs="Times New Roman"/>
          <w:sz w:val="23"/>
          <w:szCs w:val="23"/>
        </w:rPr>
        <w:t xml:space="preserve"> </w:t>
      </w:r>
      <w:r>
        <w:rPr>
          <w:rFonts w:ascii="宋体" w:hAnsi="宋体" w:eastAsia="宋体" w:cs="宋体"/>
          <w:spacing w:val="7"/>
          <w:sz w:val="23"/>
          <w:szCs w:val="23"/>
        </w:rPr>
        <w:t>的通知》  (乐市环发</w:t>
      </w:r>
      <w:r>
        <w:rPr>
          <w:rFonts w:ascii="Times New Roman" w:hAnsi="Times New Roman" w:eastAsia="Times New Roman" w:cs="Times New Roman"/>
          <w:spacing w:val="7"/>
          <w:sz w:val="23"/>
          <w:szCs w:val="23"/>
        </w:rPr>
        <w:t xml:space="preserve">[2017]59 </w:t>
      </w:r>
      <w:r>
        <w:rPr>
          <w:rFonts w:ascii="宋体" w:hAnsi="宋体" w:eastAsia="宋体" w:cs="宋体"/>
          <w:spacing w:val="7"/>
          <w:sz w:val="23"/>
          <w:szCs w:val="23"/>
        </w:rPr>
        <w:t>号) ，本项目符合现行产业政策，项目区域不涉</w:t>
      </w:r>
      <w:r>
        <w:rPr>
          <w:rFonts w:ascii="宋体" w:hAnsi="宋体" w:eastAsia="宋体" w:cs="宋体"/>
          <w:spacing w:val="6"/>
          <w:sz w:val="23"/>
          <w:szCs w:val="23"/>
        </w:rPr>
        <w:t>及</w:t>
      </w:r>
      <w:r>
        <w:rPr>
          <w:rFonts w:ascii="宋体" w:hAnsi="宋体" w:eastAsia="宋体" w:cs="宋体"/>
          <w:sz w:val="23"/>
          <w:szCs w:val="23"/>
        </w:rPr>
        <w:t xml:space="preserve">饮 </w:t>
      </w:r>
      <w:r>
        <w:rPr>
          <w:rFonts w:ascii="宋体" w:hAnsi="宋体" w:eastAsia="宋体" w:cs="宋体"/>
          <w:spacing w:val="8"/>
          <w:sz w:val="23"/>
          <w:szCs w:val="23"/>
        </w:rPr>
        <w:t>用</w:t>
      </w:r>
      <w:r>
        <w:rPr>
          <w:rFonts w:ascii="宋体" w:hAnsi="宋体" w:eastAsia="宋体" w:cs="宋体"/>
          <w:spacing w:val="7"/>
          <w:sz w:val="23"/>
          <w:szCs w:val="23"/>
        </w:rPr>
        <w:t>水源，不在乐山市环境保护局《关于印发</w:t>
      </w:r>
      <w:r>
        <w:rPr>
          <w:rFonts w:ascii="Times New Roman" w:hAnsi="Times New Roman" w:eastAsia="Times New Roman" w:cs="Times New Roman"/>
          <w:spacing w:val="7"/>
          <w:sz w:val="23"/>
          <w:szCs w:val="23"/>
        </w:rPr>
        <w:t>&lt;</w:t>
      </w:r>
      <w:r>
        <w:rPr>
          <w:rFonts w:ascii="宋体" w:hAnsi="宋体" w:eastAsia="宋体" w:cs="宋体"/>
          <w:spacing w:val="7"/>
          <w:sz w:val="23"/>
          <w:szCs w:val="23"/>
        </w:rPr>
        <w:t>乐山市建设项目环境准入负面清单 (试</w:t>
      </w:r>
      <w:r>
        <w:rPr>
          <w:rFonts w:ascii="宋体" w:hAnsi="宋体" w:eastAsia="宋体" w:cs="宋体"/>
          <w:sz w:val="23"/>
          <w:szCs w:val="23"/>
        </w:rPr>
        <w:t xml:space="preserve"> </w:t>
      </w:r>
      <w:r>
        <w:rPr>
          <w:rFonts w:ascii="宋体" w:hAnsi="宋体" w:eastAsia="宋体" w:cs="宋体"/>
          <w:spacing w:val="6"/>
          <w:sz w:val="23"/>
          <w:szCs w:val="23"/>
        </w:rPr>
        <w:t xml:space="preserve">行) </w:t>
      </w:r>
      <w:r>
        <w:rPr>
          <w:rFonts w:ascii="Times New Roman" w:hAnsi="Times New Roman" w:eastAsia="Times New Roman" w:cs="Times New Roman"/>
          <w:spacing w:val="6"/>
          <w:sz w:val="23"/>
          <w:szCs w:val="23"/>
        </w:rPr>
        <w:t>&gt;</w:t>
      </w:r>
      <w:r>
        <w:rPr>
          <w:rFonts w:ascii="宋体" w:hAnsi="宋体" w:eastAsia="宋体" w:cs="宋体"/>
          <w:spacing w:val="6"/>
          <w:sz w:val="23"/>
          <w:szCs w:val="23"/>
        </w:rPr>
        <w:t xml:space="preserve">的通知》  </w:t>
      </w:r>
      <w:r>
        <w:rPr>
          <w:rFonts w:ascii="宋体" w:hAnsi="宋体" w:eastAsia="宋体" w:cs="宋体"/>
          <w:spacing w:val="3"/>
          <w:sz w:val="23"/>
          <w:szCs w:val="23"/>
        </w:rPr>
        <w:t>(乐市环发</w:t>
      </w:r>
      <w:r>
        <w:rPr>
          <w:rFonts w:ascii="Times New Roman" w:hAnsi="Times New Roman" w:eastAsia="Times New Roman" w:cs="Times New Roman"/>
          <w:spacing w:val="3"/>
          <w:sz w:val="23"/>
          <w:szCs w:val="23"/>
        </w:rPr>
        <w:t xml:space="preserve">[2017]59 </w:t>
      </w:r>
      <w:r>
        <w:rPr>
          <w:rFonts w:ascii="宋体" w:hAnsi="宋体" w:eastAsia="宋体" w:cs="宋体"/>
          <w:spacing w:val="3"/>
          <w:sz w:val="23"/>
          <w:szCs w:val="23"/>
        </w:rPr>
        <w:t>号) 中的乐山市建设项目环境准入负面清单 (试</w:t>
      </w:r>
      <w:r>
        <w:rPr>
          <w:rFonts w:ascii="宋体" w:hAnsi="宋体" w:eastAsia="宋体" w:cs="宋体"/>
          <w:sz w:val="23"/>
          <w:szCs w:val="23"/>
        </w:rPr>
        <w:t xml:space="preserve"> </w:t>
      </w:r>
      <w:r>
        <w:rPr>
          <w:rFonts w:ascii="宋体" w:hAnsi="宋体" w:eastAsia="宋体" w:cs="宋体"/>
          <w:spacing w:val="6"/>
          <w:sz w:val="23"/>
          <w:szCs w:val="23"/>
        </w:rPr>
        <w:t>行</w:t>
      </w:r>
      <w:r>
        <w:rPr>
          <w:rFonts w:ascii="宋体" w:hAnsi="宋体" w:eastAsia="宋体" w:cs="宋体"/>
          <w:spacing w:val="3"/>
          <w:sz w:val="23"/>
          <w:szCs w:val="23"/>
        </w:rPr>
        <w:t>) 中。</w:t>
      </w:r>
    </w:p>
    <w:p w14:paraId="5438667C">
      <w:pPr>
        <w:spacing w:before="42" w:line="384" w:lineRule="auto"/>
        <w:ind w:left="11" w:right="87" w:firstLine="481"/>
        <w:rPr>
          <w:rFonts w:ascii="宋体" w:hAnsi="宋体" w:eastAsia="宋体" w:cs="宋体"/>
          <w:sz w:val="23"/>
          <w:szCs w:val="23"/>
        </w:rPr>
      </w:pPr>
      <w:r>
        <w:rPr>
          <w:rFonts w:ascii="宋体" w:hAnsi="宋体" w:eastAsia="宋体" w:cs="宋体"/>
          <w:spacing w:val="14"/>
          <w:sz w:val="23"/>
          <w:szCs w:val="23"/>
        </w:rPr>
        <w:t>综上</w:t>
      </w:r>
      <w:r>
        <w:rPr>
          <w:rFonts w:ascii="宋体" w:hAnsi="宋体" w:eastAsia="宋体" w:cs="宋体"/>
          <w:spacing w:val="8"/>
          <w:sz w:val="23"/>
          <w:szCs w:val="23"/>
        </w:rPr>
        <w:t>，</w:t>
      </w:r>
      <w:r>
        <w:rPr>
          <w:rFonts w:ascii="宋体" w:hAnsi="宋体" w:eastAsia="宋体" w:cs="宋体"/>
          <w:spacing w:val="7"/>
          <w:sz w:val="23"/>
          <w:szCs w:val="23"/>
        </w:rPr>
        <w:t>本项目不涉及饮用水源、生态保护区、 自然保护区、风景旅游区等环境</w:t>
      </w:r>
      <w:r>
        <w:rPr>
          <w:rFonts w:ascii="宋体" w:hAnsi="宋体" w:eastAsia="宋体" w:cs="宋体"/>
          <w:sz w:val="23"/>
          <w:szCs w:val="23"/>
        </w:rPr>
        <w:t xml:space="preserve"> </w:t>
      </w:r>
      <w:r>
        <w:rPr>
          <w:rFonts w:ascii="宋体" w:hAnsi="宋体" w:eastAsia="宋体" w:cs="宋体"/>
          <w:spacing w:val="15"/>
          <w:sz w:val="23"/>
          <w:szCs w:val="23"/>
        </w:rPr>
        <w:t>敏</w:t>
      </w:r>
      <w:r>
        <w:rPr>
          <w:rFonts w:ascii="宋体" w:hAnsi="宋体" w:eastAsia="宋体" w:cs="宋体"/>
          <w:spacing w:val="8"/>
          <w:sz w:val="23"/>
          <w:szCs w:val="23"/>
        </w:rPr>
        <w:t>感区，项目符合当地发规划。</w:t>
      </w:r>
    </w:p>
    <w:p w14:paraId="12C08189">
      <w:pPr>
        <w:sectPr>
          <w:headerReference r:id="rId52" w:type="default"/>
          <w:footerReference r:id="rId53" w:type="default"/>
          <w:pgSz w:w="11907" w:h="16840"/>
          <w:pgMar w:top="1153" w:right="1471" w:bottom="1277" w:left="1660" w:header="919" w:footer="1114" w:gutter="0"/>
          <w:cols w:space="720" w:num="1"/>
        </w:sectPr>
      </w:pPr>
    </w:p>
    <w:p w14:paraId="7E361A1D">
      <w:pPr>
        <w:spacing w:line="460" w:lineRule="auto"/>
      </w:pPr>
      <w:r>
        <w:pict>
          <v:rect id="_x0000_s2068" o:spid="_x0000_s2068" o:spt="1" style="position:absolute;left:0pt;margin-left:83pt;margin-top:57.2pt;height:0.5pt;width:434.35pt;mso-position-horizontal-relative:page;mso-position-vertical-relative:page;z-index:251703296;mso-width-relative:page;mso-height-relative:page;" fillcolor="#000000" filled="t" stroked="f" coordsize="21600,21600" o:allowincell="f">
            <v:path/>
            <v:fill on="t" focussize="0,0"/>
            <v:stroke on="f"/>
            <v:imagedata o:title=""/>
            <o:lock v:ext="edit"/>
          </v:rect>
        </w:pict>
      </w:r>
      <w:r>
        <w:drawing>
          <wp:anchor distT="0" distB="0" distL="0" distR="0" simplePos="0" relativeHeight="251688960" behindDoc="1" locked="0" layoutInCell="0" allowOverlap="1">
            <wp:simplePos x="0" y="0"/>
            <wp:positionH relativeFrom="page">
              <wp:posOffset>5514975</wp:posOffset>
            </wp:positionH>
            <wp:positionV relativeFrom="page">
              <wp:posOffset>1695450</wp:posOffset>
            </wp:positionV>
            <wp:extent cx="114935" cy="142875"/>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361"/>
                    <a:stretch>
                      <a:fillRect/>
                    </a:stretch>
                  </pic:blipFill>
                  <pic:spPr>
                    <a:xfrm>
                      <a:off x="0" y="0"/>
                      <a:ext cx="114934" cy="142875"/>
                    </a:xfrm>
                    <a:prstGeom prst="rect">
                      <a:avLst/>
                    </a:prstGeom>
                  </pic:spPr>
                </pic:pic>
              </a:graphicData>
            </a:graphic>
          </wp:anchor>
        </w:drawing>
      </w:r>
    </w:p>
    <w:p w14:paraId="7C94D752">
      <w:pPr>
        <w:spacing w:before="56" w:line="229" w:lineRule="auto"/>
        <w:ind w:left="7"/>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751570AD">
      <w:pPr>
        <w:spacing w:line="307" w:lineRule="auto"/>
      </w:pPr>
    </w:p>
    <w:p w14:paraId="5290A1D8">
      <w:pPr>
        <w:spacing w:line="308" w:lineRule="auto"/>
      </w:pPr>
    </w:p>
    <w:p w14:paraId="119DC532">
      <w:pPr>
        <w:spacing w:before="65" w:line="228" w:lineRule="auto"/>
        <w:ind w:left="6271"/>
        <w:rPr>
          <w:rFonts w:ascii="宋体" w:hAnsi="宋体" w:eastAsia="宋体" w:cs="宋体"/>
          <w:sz w:val="20"/>
          <w:szCs w:val="20"/>
        </w:rPr>
      </w:pPr>
      <w:r>
        <w:drawing>
          <wp:anchor distT="0" distB="0" distL="0" distR="0" simplePos="0" relativeHeight="251687936" behindDoc="1" locked="0" layoutInCell="1" allowOverlap="1">
            <wp:simplePos x="0" y="0"/>
            <wp:positionH relativeFrom="column">
              <wp:posOffset>733425</wp:posOffset>
            </wp:positionH>
            <wp:positionV relativeFrom="paragraph">
              <wp:posOffset>-374015</wp:posOffset>
            </wp:positionV>
            <wp:extent cx="4428490" cy="457962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362"/>
                    <a:stretch>
                      <a:fillRect/>
                    </a:stretch>
                  </pic:blipFill>
                  <pic:spPr>
                    <a:xfrm>
                      <a:off x="0" y="0"/>
                      <a:ext cx="4428743" cy="4579620"/>
                    </a:xfrm>
                    <a:prstGeom prst="rect">
                      <a:avLst/>
                    </a:prstGeom>
                  </pic:spPr>
                </pic:pic>
              </a:graphicData>
            </a:graphic>
          </wp:anchor>
        </w:drawing>
      </w:r>
      <w:r>
        <w:drawing>
          <wp:anchor distT="0" distB="0" distL="0" distR="0" simplePos="0" relativeHeight="251689984" behindDoc="1" locked="0" layoutInCell="1" allowOverlap="1">
            <wp:simplePos x="0" y="0"/>
            <wp:positionH relativeFrom="column">
              <wp:posOffset>3736975</wp:posOffset>
            </wp:positionH>
            <wp:positionV relativeFrom="paragraph">
              <wp:posOffset>-37465</wp:posOffset>
            </wp:positionV>
            <wp:extent cx="898525" cy="702945"/>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363"/>
                    <a:stretch>
                      <a:fillRect/>
                    </a:stretch>
                  </pic:blipFill>
                  <pic:spPr>
                    <a:xfrm>
                      <a:off x="0" y="0"/>
                      <a:ext cx="898525" cy="703147"/>
                    </a:xfrm>
                    <a:prstGeom prst="rect">
                      <a:avLst/>
                    </a:prstGeom>
                  </pic:spPr>
                </pic:pic>
              </a:graphicData>
            </a:graphic>
          </wp:anchor>
        </w:drawing>
      </w:r>
      <w:r>
        <w:rPr>
          <w:rFonts w:ascii="宋体" w:hAnsi="宋体" w:eastAsia="宋体" w:cs="宋体"/>
          <w:color w:val="FF0000"/>
          <w:spacing w:val="10"/>
          <w:sz w:val="20"/>
          <w:szCs w:val="20"/>
          <w14:textOutline w14:w="3797" w14:cap="sq" w14:cmpd="sng" w14:algn="ctr">
            <w14:solidFill>
              <w14:srgbClr w14:val="FF0000"/>
            </w14:solidFill>
            <w14:prstDash w14:val="solid"/>
            <w14:bevel/>
          </w14:textOutline>
        </w:rPr>
        <w:t>项</w:t>
      </w:r>
      <w:r>
        <w:rPr>
          <w:rFonts w:ascii="宋体" w:hAnsi="宋体" w:eastAsia="宋体" w:cs="宋体"/>
          <w:color w:val="FF0000"/>
          <w:spacing w:val="7"/>
          <w:sz w:val="20"/>
          <w:szCs w:val="20"/>
          <w14:textOutline w14:w="3797" w14:cap="sq" w14:cmpd="sng" w14:algn="ctr">
            <w14:solidFill>
              <w14:srgbClr w14:val="FF0000"/>
            </w14:solidFill>
            <w14:prstDash w14:val="solid"/>
            <w14:bevel/>
          </w14:textOutline>
        </w:rPr>
        <w:t>目位置</w:t>
      </w:r>
    </w:p>
    <w:p w14:paraId="6CA2CDF4">
      <w:pPr>
        <w:spacing w:line="253" w:lineRule="auto"/>
      </w:pPr>
    </w:p>
    <w:p w14:paraId="3CC3EBB9">
      <w:pPr>
        <w:spacing w:line="253" w:lineRule="auto"/>
      </w:pPr>
    </w:p>
    <w:p w14:paraId="4336E934">
      <w:pPr>
        <w:spacing w:line="253" w:lineRule="auto"/>
      </w:pPr>
    </w:p>
    <w:p w14:paraId="2C9D574B">
      <w:pPr>
        <w:spacing w:line="253" w:lineRule="auto"/>
      </w:pPr>
    </w:p>
    <w:p w14:paraId="2B2AA533">
      <w:pPr>
        <w:spacing w:line="253" w:lineRule="auto"/>
      </w:pPr>
    </w:p>
    <w:p w14:paraId="1E105DE9">
      <w:pPr>
        <w:spacing w:line="253" w:lineRule="auto"/>
      </w:pPr>
    </w:p>
    <w:p w14:paraId="74EF78F3">
      <w:pPr>
        <w:spacing w:line="253" w:lineRule="auto"/>
      </w:pPr>
    </w:p>
    <w:p w14:paraId="22000328">
      <w:pPr>
        <w:spacing w:line="254" w:lineRule="auto"/>
      </w:pPr>
    </w:p>
    <w:p w14:paraId="7585D930">
      <w:pPr>
        <w:spacing w:line="165" w:lineRule="exact"/>
        <w:ind w:firstLine="7455"/>
        <w:textAlignment w:val="center"/>
      </w:pPr>
      <w:r>
        <w:drawing>
          <wp:inline distT="0" distB="0" distL="0" distR="0">
            <wp:extent cx="104775" cy="104775"/>
            <wp:effectExtent l="0" t="0" r="0" b="0"/>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364"/>
                    <a:stretch>
                      <a:fillRect/>
                    </a:stretch>
                  </pic:blipFill>
                  <pic:spPr>
                    <a:xfrm>
                      <a:off x="0" y="0"/>
                      <a:ext cx="104800" cy="104800"/>
                    </a:xfrm>
                    <a:prstGeom prst="rect">
                      <a:avLst/>
                    </a:prstGeom>
                  </pic:spPr>
                </pic:pic>
              </a:graphicData>
            </a:graphic>
          </wp:inline>
        </w:drawing>
      </w:r>
    </w:p>
    <w:p w14:paraId="2AEA0777">
      <w:pPr>
        <w:spacing w:line="246" w:lineRule="auto"/>
      </w:pPr>
    </w:p>
    <w:p w14:paraId="6F2D31FA">
      <w:pPr>
        <w:spacing w:line="246" w:lineRule="auto"/>
      </w:pPr>
    </w:p>
    <w:p w14:paraId="33E3242E">
      <w:pPr>
        <w:spacing w:line="246" w:lineRule="auto"/>
      </w:pPr>
    </w:p>
    <w:p w14:paraId="2BEFC2F7">
      <w:pPr>
        <w:spacing w:line="246" w:lineRule="auto"/>
      </w:pPr>
    </w:p>
    <w:p w14:paraId="281757CC">
      <w:pPr>
        <w:spacing w:line="246" w:lineRule="auto"/>
      </w:pPr>
    </w:p>
    <w:p w14:paraId="228FED53">
      <w:pPr>
        <w:spacing w:line="246" w:lineRule="auto"/>
      </w:pPr>
    </w:p>
    <w:p w14:paraId="0690562F">
      <w:pPr>
        <w:spacing w:line="246" w:lineRule="auto"/>
      </w:pPr>
    </w:p>
    <w:p w14:paraId="6A46F20F">
      <w:pPr>
        <w:spacing w:line="246" w:lineRule="auto"/>
      </w:pPr>
    </w:p>
    <w:p w14:paraId="3EC11100">
      <w:pPr>
        <w:spacing w:line="246" w:lineRule="auto"/>
      </w:pPr>
    </w:p>
    <w:p w14:paraId="0FB607E4">
      <w:pPr>
        <w:spacing w:line="246" w:lineRule="auto"/>
      </w:pPr>
    </w:p>
    <w:p w14:paraId="555975F7">
      <w:pPr>
        <w:spacing w:line="246" w:lineRule="auto"/>
      </w:pPr>
    </w:p>
    <w:p w14:paraId="640F7126">
      <w:pPr>
        <w:spacing w:line="246" w:lineRule="auto"/>
      </w:pPr>
    </w:p>
    <w:p w14:paraId="3F74B8A3">
      <w:pPr>
        <w:spacing w:line="246" w:lineRule="auto"/>
      </w:pPr>
    </w:p>
    <w:p w14:paraId="7BDC2C63">
      <w:pPr>
        <w:spacing w:line="246" w:lineRule="auto"/>
      </w:pPr>
    </w:p>
    <w:p w14:paraId="489FD6BD">
      <w:pPr>
        <w:spacing w:line="247" w:lineRule="auto"/>
      </w:pPr>
    </w:p>
    <w:p w14:paraId="36FDE568">
      <w:pPr>
        <w:spacing w:line="247" w:lineRule="auto"/>
      </w:pPr>
    </w:p>
    <w:p w14:paraId="45568AF7">
      <w:pPr>
        <w:spacing w:line="247" w:lineRule="auto"/>
      </w:pPr>
    </w:p>
    <w:p w14:paraId="241E0AD0">
      <w:pPr>
        <w:spacing w:before="65" w:line="227" w:lineRule="auto"/>
        <w:ind w:left="2868"/>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图</w:t>
      </w:r>
      <w:r>
        <w:rPr>
          <w:rFonts w:ascii="宋体" w:hAnsi="宋体" w:eastAsia="宋体" w:cs="宋体"/>
          <w:spacing w:val="6"/>
          <w:sz w:val="20"/>
          <w:szCs w:val="20"/>
        </w:rPr>
        <w:t xml:space="preserve"> </w:t>
      </w:r>
      <w:r>
        <w:rPr>
          <w:rFonts w:ascii="Times New Roman" w:hAnsi="Times New Roman" w:eastAsia="Times New Roman" w:cs="Times New Roman"/>
          <w:b/>
          <w:bCs/>
          <w:spacing w:val="5"/>
          <w:sz w:val="20"/>
          <w:szCs w:val="20"/>
        </w:rPr>
        <w:t>1</w:t>
      </w:r>
      <w:r>
        <w:rPr>
          <w:rFonts w:ascii="Times New Roman" w:hAnsi="Times New Roman" w:eastAsia="Times New Roman" w:cs="Times New Roman"/>
          <w:b/>
          <w:bCs/>
          <w:spacing w:val="3"/>
          <w:sz w:val="20"/>
          <w:szCs w:val="20"/>
        </w:rPr>
        <w:t>.7-1</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14:textOutline w14:w="3797" w14:cap="sq" w14:cmpd="sng" w14:algn="ctr">
            <w14:solidFill>
              <w14:srgbClr w14:val="000000"/>
            </w14:solidFill>
            <w14:prstDash w14:val="solid"/>
            <w14:bevel/>
          </w14:textOutline>
        </w:rPr>
        <w:t>乐山市生态红线分布图</w:t>
      </w:r>
    </w:p>
    <w:p w14:paraId="2F918250">
      <w:pPr>
        <w:spacing w:before="313" w:line="221" w:lineRule="auto"/>
        <w:ind w:left="19"/>
        <w:outlineLvl w:val="1"/>
        <w:rPr>
          <w:rFonts w:ascii="宋体" w:hAnsi="宋体" w:eastAsia="宋体" w:cs="宋体"/>
          <w:sz w:val="28"/>
          <w:szCs w:val="28"/>
        </w:rPr>
      </w:pPr>
      <w:bookmarkStart w:id="14" w:name="_bookmark15"/>
      <w:bookmarkEnd w:id="14"/>
      <w:r>
        <w:rPr>
          <w:rFonts w:ascii="Times New Roman" w:hAnsi="Times New Roman" w:eastAsia="Times New Roman" w:cs="Times New Roman"/>
          <w:b/>
          <w:bCs/>
          <w:spacing w:val="-2"/>
          <w:sz w:val="28"/>
          <w:szCs w:val="28"/>
        </w:rPr>
        <w:t>1</w:t>
      </w:r>
      <w:r>
        <w:rPr>
          <w:rFonts w:ascii="Times New Roman" w:hAnsi="Times New Roman" w:eastAsia="Times New Roman" w:cs="Times New Roman"/>
          <w:b/>
          <w:bCs/>
          <w:spacing w:val="-1"/>
          <w:sz w:val="28"/>
          <w:szCs w:val="28"/>
        </w:rPr>
        <w:t>.8</w:t>
      </w:r>
      <w:r>
        <w:rPr>
          <w:rFonts w:ascii="Times New Roman" w:hAnsi="Times New Roman" w:eastAsia="Times New Roman" w:cs="Times New Roman"/>
          <w:spacing w:val="-1"/>
          <w:sz w:val="28"/>
          <w:szCs w:val="28"/>
        </w:rPr>
        <w:t xml:space="preserve">  </w:t>
      </w:r>
      <w:r>
        <w:rPr>
          <w:rFonts w:ascii="宋体" w:hAnsi="宋体" w:eastAsia="宋体" w:cs="宋体"/>
          <w:spacing w:val="-1"/>
          <w:sz w:val="28"/>
          <w:szCs w:val="28"/>
          <w14:textOutline w14:w="5105" w14:cap="sq" w14:cmpd="sng" w14:algn="ctr">
            <w14:solidFill>
              <w14:srgbClr w14:val="000000"/>
            </w14:solidFill>
            <w14:prstDash w14:val="solid"/>
            <w14:bevel/>
          </w14:textOutline>
        </w:rPr>
        <w:t>主要保护目标</w:t>
      </w:r>
    </w:p>
    <w:p w14:paraId="7C410C1A">
      <w:pPr>
        <w:spacing w:before="205" w:line="227" w:lineRule="auto"/>
        <w:ind w:left="535"/>
        <w:outlineLvl w:val="2"/>
        <w:rPr>
          <w:rFonts w:ascii="宋体" w:hAnsi="宋体" w:eastAsia="宋体" w:cs="宋体"/>
          <w:sz w:val="23"/>
          <w:szCs w:val="23"/>
        </w:rPr>
      </w:pPr>
      <w:r>
        <w:rPr>
          <w:rFonts w:ascii="Times New Roman" w:hAnsi="Times New Roman" w:eastAsia="Times New Roman" w:cs="Times New Roman"/>
          <w:b/>
          <w:bCs/>
          <w:spacing w:val="26"/>
          <w:sz w:val="23"/>
          <w:szCs w:val="23"/>
        </w:rPr>
        <w:t>1</w:t>
      </w:r>
      <w:r>
        <w:rPr>
          <w:rFonts w:ascii="Times New Roman" w:hAnsi="Times New Roman" w:eastAsia="Times New Roman" w:cs="Times New Roman"/>
          <w:b/>
          <w:bCs/>
          <w:spacing w:val="18"/>
          <w:sz w:val="23"/>
          <w:szCs w:val="23"/>
        </w:rPr>
        <w:t>.</w:t>
      </w:r>
      <w:r>
        <w:rPr>
          <w:rFonts w:ascii="Times New Roman" w:hAnsi="Times New Roman" w:eastAsia="Times New Roman" w:cs="Times New Roman"/>
          <w:b/>
          <w:bCs/>
          <w:spacing w:val="13"/>
          <w:sz w:val="23"/>
          <w:szCs w:val="23"/>
        </w:rPr>
        <w:t>8.</w:t>
      </w:r>
      <w:r>
        <w:rPr>
          <w:rFonts w:ascii="Times New Roman" w:hAnsi="Times New Roman" w:eastAsia="Times New Roman" w:cs="Times New Roman"/>
          <w:spacing w:val="13"/>
          <w:sz w:val="23"/>
          <w:szCs w:val="23"/>
        </w:rPr>
        <w:t xml:space="preserve"> </w:t>
      </w:r>
      <w:r>
        <w:rPr>
          <w:rFonts w:ascii="Times New Roman" w:hAnsi="Times New Roman" w:eastAsia="Times New Roman" w:cs="Times New Roman"/>
          <w:b/>
          <w:bCs/>
          <w:spacing w:val="13"/>
          <w:sz w:val="23"/>
          <w:szCs w:val="23"/>
        </w:rPr>
        <w:t>1</w:t>
      </w:r>
      <w:r>
        <w:rPr>
          <w:rFonts w:ascii="Times New Roman" w:hAnsi="Times New Roman" w:eastAsia="Times New Roman" w:cs="Times New Roman"/>
          <w:spacing w:val="13"/>
          <w:sz w:val="23"/>
          <w:szCs w:val="23"/>
        </w:rPr>
        <w:t xml:space="preserve">  </w:t>
      </w:r>
      <w:r>
        <w:rPr>
          <w:rFonts w:ascii="宋体" w:hAnsi="宋体" w:eastAsia="宋体" w:cs="宋体"/>
          <w:spacing w:val="13"/>
          <w:sz w:val="23"/>
          <w:szCs w:val="23"/>
          <w14:textOutline w14:w="4356" w14:cap="sq" w14:cmpd="sng" w14:algn="ctr">
            <w14:solidFill>
              <w14:srgbClr w14:val="000000"/>
            </w14:solidFill>
            <w14:prstDash w14:val="solid"/>
            <w14:bevel/>
          </w14:textOutline>
        </w:rPr>
        <w:t>外环境关系及项</w:t>
      </w:r>
      <w:r>
        <w:rPr>
          <w:rFonts w:ascii="宋体" w:hAnsi="宋体" w:eastAsia="宋体" w:cs="宋体"/>
          <w:spacing w:val="13"/>
          <w:sz w:val="23"/>
          <w:szCs w:val="23"/>
        </w:rPr>
        <w:t xml:space="preserve"> </w:t>
      </w:r>
      <w:r>
        <w:rPr>
          <w:rFonts w:ascii="宋体" w:hAnsi="宋体" w:eastAsia="宋体" w:cs="宋体"/>
          <w:spacing w:val="13"/>
          <w:sz w:val="23"/>
          <w:szCs w:val="23"/>
          <w14:textOutline w14:w="4356" w14:cap="sq" w14:cmpd="sng" w14:algn="ctr">
            <w14:solidFill>
              <w14:srgbClr w14:val="000000"/>
            </w14:solidFill>
            <w14:prstDash w14:val="solid"/>
            <w14:bevel/>
          </w14:textOutline>
        </w:rPr>
        <w:t>目周围环境特点</w:t>
      </w:r>
    </w:p>
    <w:p w14:paraId="667A47DD">
      <w:pPr>
        <w:spacing w:before="177" w:line="376" w:lineRule="auto"/>
        <w:ind w:left="9" w:firstLine="481"/>
        <w:rPr>
          <w:rFonts w:ascii="宋体" w:hAnsi="宋体" w:eastAsia="宋体" w:cs="宋体"/>
          <w:sz w:val="23"/>
          <w:szCs w:val="23"/>
        </w:rPr>
      </w:pPr>
      <w:r>
        <w:rPr>
          <w:rFonts w:ascii="宋体" w:hAnsi="宋体" w:eastAsia="宋体" w:cs="宋体"/>
          <w:spacing w:val="7"/>
          <w:sz w:val="23"/>
          <w:szCs w:val="23"/>
        </w:rPr>
        <w:t xml:space="preserve">本项目位于井研县周坡镇周坡村 </w:t>
      </w:r>
      <w:r>
        <w:rPr>
          <w:rFonts w:ascii="Times New Roman" w:hAnsi="Times New Roman" w:eastAsia="Times New Roman" w:cs="Times New Roman"/>
          <w:spacing w:val="7"/>
          <w:sz w:val="23"/>
          <w:szCs w:val="23"/>
        </w:rPr>
        <w:t xml:space="preserve">7 </w:t>
      </w:r>
      <w:r>
        <w:rPr>
          <w:rFonts w:ascii="宋体" w:hAnsi="宋体" w:eastAsia="宋体" w:cs="宋体"/>
          <w:spacing w:val="7"/>
          <w:sz w:val="23"/>
          <w:szCs w:val="23"/>
        </w:rPr>
        <w:t xml:space="preserve">组、龙桥村 </w:t>
      </w:r>
      <w:r>
        <w:rPr>
          <w:rFonts w:ascii="Times New Roman" w:hAnsi="Times New Roman" w:eastAsia="Times New Roman" w:cs="Times New Roman"/>
          <w:spacing w:val="7"/>
          <w:sz w:val="23"/>
          <w:szCs w:val="23"/>
        </w:rPr>
        <w:t xml:space="preserve">2 </w:t>
      </w:r>
      <w:r>
        <w:rPr>
          <w:rFonts w:ascii="宋体" w:hAnsi="宋体" w:eastAsia="宋体" w:cs="宋体"/>
          <w:spacing w:val="7"/>
          <w:sz w:val="23"/>
          <w:szCs w:val="23"/>
        </w:rPr>
        <w:t>组，处于农村环境，距周坡</w:t>
      </w:r>
      <w:r>
        <w:rPr>
          <w:rFonts w:ascii="宋体" w:hAnsi="宋体" w:eastAsia="宋体" w:cs="宋体"/>
          <w:spacing w:val="1"/>
          <w:sz w:val="23"/>
          <w:szCs w:val="23"/>
        </w:rPr>
        <w:t>镇</w:t>
      </w:r>
      <w:r>
        <w:rPr>
          <w:rFonts w:ascii="宋体" w:hAnsi="宋体" w:eastAsia="宋体" w:cs="宋体"/>
          <w:sz w:val="23"/>
          <w:szCs w:val="23"/>
        </w:rPr>
        <w:t xml:space="preserve"> </w:t>
      </w:r>
      <w:r>
        <w:rPr>
          <w:rFonts w:ascii="宋体" w:hAnsi="宋体" w:eastAsia="宋体" w:cs="宋体"/>
          <w:spacing w:val="4"/>
          <w:sz w:val="23"/>
          <w:szCs w:val="23"/>
        </w:rPr>
        <w:t xml:space="preserve">场镇直线距离 </w:t>
      </w:r>
      <w:r>
        <w:rPr>
          <w:rFonts w:ascii="Times New Roman" w:hAnsi="Times New Roman" w:eastAsia="Times New Roman" w:cs="Times New Roman"/>
          <w:spacing w:val="4"/>
          <w:sz w:val="23"/>
          <w:szCs w:val="23"/>
        </w:rPr>
        <w:t>2470</w:t>
      </w:r>
      <w:r>
        <w:rPr>
          <w:rFonts w:ascii="Times New Roman" w:hAnsi="Times New Roman" w:eastAsia="Times New Roman" w:cs="Times New Roman"/>
          <w:sz w:val="23"/>
          <w:szCs w:val="23"/>
        </w:rPr>
        <w:t>m</w:t>
      </w:r>
      <w:r>
        <w:rPr>
          <w:rFonts w:ascii="宋体" w:hAnsi="宋体" w:eastAsia="宋体" w:cs="宋体"/>
          <w:spacing w:val="4"/>
          <w:sz w:val="23"/>
          <w:szCs w:val="23"/>
        </w:rPr>
        <w:t xml:space="preserve">，距井研县县城直线距离 </w:t>
      </w:r>
      <w:r>
        <w:rPr>
          <w:rFonts w:ascii="Times New Roman" w:hAnsi="Times New Roman" w:eastAsia="Times New Roman" w:cs="Times New Roman"/>
          <w:spacing w:val="4"/>
          <w:sz w:val="23"/>
          <w:szCs w:val="23"/>
        </w:rPr>
        <w:t>10</w:t>
      </w:r>
      <w:r>
        <w:rPr>
          <w:rFonts w:ascii="Times New Roman" w:hAnsi="Times New Roman" w:eastAsia="Times New Roman" w:cs="Times New Roman"/>
          <w:sz w:val="23"/>
          <w:szCs w:val="23"/>
        </w:rPr>
        <w:t>km</w:t>
      </w:r>
      <w:r>
        <w:rPr>
          <w:rFonts w:ascii="宋体" w:hAnsi="宋体" w:eastAsia="宋体" w:cs="宋体"/>
          <w:spacing w:val="4"/>
          <w:sz w:val="23"/>
          <w:szCs w:val="23"/>
        </w:rPr>
        <w:t>。项目场址内地势西高东低北高</w:t>
      </w:r>
      <w:r>
        <w:rPr>
          <w:rFonts w:ascii="宋体" w:hAnsi="宋体" w:eastAsia="宋体" w:cs="宋体"/>
          <w:sz w:val="23"/>
          <w:szCs w:val="23"/>
        </w:rPr>
        <w:t xml:space="preserve"> </w:t>
      </w:r>
      <w:r>
        <w:rPr>
          <w:rFonts w:ascii="宋体" w:hAnsi="宋体" w:eastAsia="宋体" w:cs="宋体"/>
          <w:spacing w:val="-1"/>
          <w:sz w:val="23"/>
          <w:szCs w:val="23"/>
        </w:rPr>
        <w:t>南低，项目附近无地表河流，分别为位</w:t>
      </w:r>
      <w:r>
        <w:rPr>
          <w:rFonts w:ascii="宋体" w:hAnsi="宋体" w:eastAsia="宋体" w:cs="宋体"/>
          <w:sz w:val="23"/>
          <w:szCs w:val="23"/>
        </w:rPr>
        <w:t xml:space="preserve">于场地东北侧 </w:t>
      </w:r>
      <w:r>
        <w:rPr>
          <w:rFonts w:ascii="Times New Roman" w:hAnsi="Times New Roman" w:eastAsia="Times New Roman" w:cs="Times New Roman"/>
          <w:sz w:val="23"/>
          <w:szCs w:val="23"/>
        </w:rPr>
        <w:t xml:space="preserve">256m </w:t>
      </w:r>
      <w:r>
        <w:rPr>
          <w:rFonts w:ascii="宋体" w:hAnsi="宋体" w:eastAsia="宋体" w:cs="宋体"/>
          <w:sz w:val="23"/>
          <w:szCs w:val="23"/>
        </w:rPr>
        <w:t xml:space="preserve">的羊叉水库、东南侧 </w:t>
      </w:r>
      <w:r>
        <w:rPr>
          <w:rFonts w:ascii="Times New Roman" w:hAnsi="Times New Roman" w:eastAsia="Times New Roman" w:cs="Times New Roman"/>
          <w:sz w:val="23"/>
          <w:szCs w:val="23"/>
        </w:rPr>
        <w:t xml:space="preserve">612m </w:t>
      </w:r>
      <w:r>
        <w:rPr>
          <w:rFonts w:ascii="宋体" w:hAnsi="宋体" w:eastAsia="宋体" w:cs="宋体"/>
          <w:spacing w:val="9"/>
          <w:sz w:val="23"/>
          <w:szCs w:val="23"/>
        </w:rPr>
        <w:t>的</w:t>
      </w:r>
      <w:r>
        <w:rPr>
          <w:rFonts w:ascii="宋体" w:hAnsi="宋体" w:eastAsia="宋体" w:cs="宋体"/>
          <w:spacing w:val="8"/>
          <w:sz w:val="23"/>
          <w:szCs w:val="23"/>
        </w:rPr>
        <w:t xml:space="preserve">全胜水库和西侧 </w:t>
      </w:r>
      <w:r>
        <w:rPr>
          <w:rFonts w:ascii="Times New Roman" w:hAnsi="Times New Roman" w:eastAsia="Times New Roman" w:cs="Times New Roman"/>
          <w:spacing w:val="8"/>
          <w:sz w:val="23"/>
          <w:szCs w:val="23"/>
        </w:rPr>
        <w:t>1820</w:t>
      </w:r>
      <w:r>
        <w:rPr>
          <w:rFonts w:ascii="Times New Roman" w:hAnsi="Times New Roman" w:eastAsia="Times New Roman" w:cs="Times New Roman"/>
          <w:sz w:val="23"/>
          <w:szCs w:val="23"/>
        </w:rPr>
        <w:t>m</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的毛坝水库，项目周边主要分布为一般耕地、山体林地、</w:t>
      </w:r>
      <w:r>
        <w:rPr>
          <w:rFonts w:ascii="宋体" w:hAnsi="宋体" w:eastAsia="宋体" w:cs="宋体"/>
          <w:sz w:val="23"/>
          <w:szCs w:val="23"/>
        </w:rPr>
        <w:t xml:space="preserve"> </w:t>
      </w:r>
      <w:r>
        <w:rPr>
          <w:rFonts w:ascii="宋体" w:hAnsi="宋体" w:eastAsia="宋体" w:cs="宋体"/>
          <w:spacing w:val="1"/>
          <w:sz w:val="23"/>
          <w:szCs w:val="23"/>
        </w:rPr>
        <w:t xml:space="preserve">农田、待开发地。项目东侧 </w:t>
      </w:r>
      <w:r>
        <w:rPr>
          <w:rFonts w:ascii="Times New Roman" w:hAnsi="Times New Roman" w:eastAsia="Times New Roman" w:cs="Times New Roman"/>
          <w:spacing w:val="1"/>
          <w:sz w:val="23"/>
          <w:szCs w:val="23"/>
        </w:rPr>
        <w:t>175</w:t>
      </w:r>
      <w:r>
        <w:rPr>
          <w:rFonts w:ascii="Times New Roman" w:hAnsi="Times New Roman" w:eastAsia="Times New Roman" w:cs="Times New Roman"/>
          <w:sz w:val="23"/>
          <w:szCs w:val="23"/>
        </w:rPr>
        <w:t>m</w:t>
      </w:r>
      <w:r>
        <w:rPr>
          <w:rFonts w:ascii="Times New Roman" w:hAnsi="Times New Roman" w:eastAsia="Times New Roman" w:cs="Times New Roman"/>
          <w:spacing w:val="1"/>
          <w:sz w:val="23"/>
          <w:szCs w:val="23"/>
        </w:rPr>
        <w:t>~220</w:t>
      </w:r>
      <w:r>
        <w:rPr>
          <w:rFonts w:ascii="Times New Roman" w:hAnsi="Times New Roman" w:eastAsia="Times New Roman" w:cs="Times New Roman"/>
          <w:sz w:val="23"/>
          <w:szCs w:val="23"/>
        </w:rPr>
        <w:t>m</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 xml:space="preserve">分布有周坡村 </w:t>
      </w:r>
      <w:r>
        <w:rPr>
          <w:rFonts w:ascii="Times New Roman" w:hAnsi="Times New Roman" w:eastAsia="Times New Roman" w:cs="Times New Roman"/>
          <w:spacing w:val="1"/>
          <w:sz w:val="23"/>
          <w:szCs w:val="23"/>
        </w:rPr>
        <w:t xml:space="preserve">7 </w:t>
      </w:r>
      <w:r>
        <w:rPr>
          <w:rFonts w:ascii="宋体" w:hAnsi="宋体" w:eastAsia="宋体" w:cs="宋体"/>
          <w:spacing w:val="1"/>
          <w:sz w:val="23"/>
          <w:szCs w:val="23"/>
        </w:rPr>
        <w:t xml:space="preserve">组散户 </w:t>
      </w:r>
      <w:r>
        <w:rPr>
          <w:rFonts w:ascii="Times New Roman" w:hAnsi="Times New Roman" w:eastAsia="Times New Roman" w:cs="Times New Roman"/>
          <w:sz w:val="23"/>
          <w:szCs w:val="23"/>
        </w:rPr>
        <w:t xml:space="preserve">3 </w:t>
      </w:r>
      <w:r>
        <w:rPr>
          <w:rFonts w:ascii="宋体" w:hAnsi="宋体" w:eastAsia="宋体" w:cs="宋体"/>
          <w:sz w:val="23"/>
          <w:szCs w:val="23"/>
        </w:rPr>
        <w:t xml:space="preserve">户 (约 </w:t>
      </w:r>
      <w:r>
        <w:rPr>
          <w:rFonts w:ascii="Times New Roman" w:hAnsi="Times New Roman" w:eastAsia="Times New Roman" w:cs="Times New Roman"/>
          <w:sz w:val="23"/>
          <w:szCs w:val="23"/>
        </w:rPr>
        <w:t xml:space="preserve">10 </w:t>
      </w:r>
      <w:r>
        <w:rPr>
          <w:rFonts w:ascii="宋体" w:hAnsi="宋体" w:eastAsia="宋体" w:cs="宋体"/>
          <w:sz w:val="23"/>
          <w:szCs w:val="23"/>
        </w:rPr>
        <w:t xml:space="preserve">人) (租 </w:t>
      </w:r>
      <w:r>
        <w:rPr>
          <w:rFonts w:ascii="宋体" w:hAnsi="宋体" w:eastAsia="宋体" w:cs="宋体"/>
          <w:spacing w:val="3"/>
          <w:sz w:val="23"/>
          <w:szCs w:val="23"/>
        </w:rPr>
        <w:t xml:space="preserve">赁房屋) ；项目北侧 </w:t>
      </w:r>
      <w:r>
        <w:rPr>
          <w:rFonts w:ascii="Times New Roman" w:hAnsi="Times New Roman" w:eastAsia="Times New Roman" w:cs="Times New Roman"/>
          <w:spacing w:val="3"/>
          <w:sz w:val="23"/>
          <w:szCs w:val="23"/>
        </w:rPr>
        <w:t>188</w:t>
      </w:r>
      <w:r>
        <w:rPr>
          <w:rFonts w:ascii="Times New Roman" w:hAnsi="Times New Roman" w:eastAsia="Times New Roman" w:cs="Times New Roman"/>
          <w:sz w:val="23"/>
          <w:szCs w:val="23"/>
        </w:rPr>
        <w:t>m</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 xml:space="preserve">分布有周坡村 </w:t>
      </w:r>
      <w:r>
        <w:rPr>
          <w:rFonts w:ascii="Times New Roman" w:hAnsi="Times New Roman" w:eastAsia="Times New Roman" w:cs="Times New Roman"/>
          <w:spacing w:val="3"/>
          <w:sz w:val="23"/>
          <w:szCs w:val="23"/>
        </w:rPr>
        <w:t xml:space="preserve">7 </w:t>
      </w:r>
      <w:r>
        <w:rPr>
          <w:rFonts w:ascii="宋体" w:hAnsi="宋体" w:eastAsia="宋体" w:cs="宋体"/>
          <w:spacing w:val="3"/>
          <w:sz w:val="23"/>
          <w:szCs w:val="23"/>
        </w:rPr>
        <w:t xml:space="preserve">组散户 </w:t>
      </w:r>
      <w:r>
        <w:rPr>
          <w:rFonts w:ascii="Times New Roman" w:hAnsi="Times New Roman" w:eastAsia="Times New Roman" w:cs="Times New Roman"/>
          <w:spacing w:val="3"/>
          <w:sz w:val="23"/>
          <w:szCs w:val="23"/>
        </w:rPr>
        <w:t xml:space="preserve">1 </w:t>
      </w:r>
      <w:r>
        <w:rPr>
          <w:rFonts w:ascii="宋体" w:hAnsi="宋体" w:eastAsia="宋体" w:cs="宋体"/>
          <w:spacing w:val="3"/>
          <w:sz w:val="23"/>
          <w:szCs w:val="23"/>
        </w:rPr>
        <w:t xml:space="preserve">户 (约 </w:t>
      </w:r>
      <w:r>
        <w:rPr>
          <w:rFonts w:ascii="Times New Roman" w:hAnsi="Times New Roman" w:eastAsia="Times New Roman" w:cs="Times New Roman"/>
          <w:spacing w:val="3"/>
          <w:sz w:val="23"/>
          <w:szCs w:val="23"/>
        </w:rPr>
        <w:t xml:space="preserve">4 </w:t>
      </w:r>
      <w:r>
        <w:rPr>
          <w:rFonts w:ascii="宋体" w:hAnsi="宋体" w:eastAsia="宋体" w:cs="宋体"/>
          <w:spacing w:val="3"/>
          <w:sz w:val="23"/>
          <w:szCs w:val="23"/>
        </w:rPr>
        <w:t>人) ，</w:t>
      </w:r>
      <w:r>
        <w:rPr>
          <w:rFonts w:ascii="Times New Roman" w:hAnsi="Times New Roman" w:eastAsia="Times New Roman" w:cs="Times New Roman"/>
          <w:spacing w:val="3"/>
          <w:sz w:val="23"/>
          <w:szCs w:val="23"/>
        </w:rPr>
        <w:t>741~ 113</w:t>
      </w:r>
      <w:r>
        <w:rPr>
          <w:rFonts w:ascii="Times New Roman" w:hAnsi="Times New Roman" w:eastAsia="Times New Roman" w:cs="Times New Roman"/>
          <w:sz w:val="23"/>
          <w:szCs w:val="23"/>
        </w:rPr>
        <w:t xml:space="preserve">5m </w:t>
      </w:r>
      <w:r>
        <w:rPr>
          <w:rFonts w:ascii="宋体" w:hAnsi="宋体" w:eastAsia="宋体" w:cs="宋体"/>
          <w:sz w:val="23"/>
          <w:szCs w:val="23"/>
        </w:rPr>
        <w:t xml:space="preserve">为 </w:t>
      </w:r>
      <w:r>
        <w:rPr>
          <w:rFonts w:ascii="宋体" w:hAnsi="宋体" w:eastAsia="宋体" w:cs="宋体"/>
          <w:spacing w:val="4"/>
          <w:sz w:val="23"/>
          <w:szCs w:val="23"/>
        </w:rPr>
        <w:t>罗家湾居</w:t>
      </w:r>
      <w:r>
        <w:rPr>
          <w:rFonts w:ascii="宋体" w:hAnsi="宋体" w:eastAsia="宋体" w:cs="宋体"/>
          <w:spacing w:val="3"/>
          <w:sz w:val="23"/>
          <w:szCs w:val="23"/>
        </w:rPr>
        <w:t>民</w:t>
      </w:r>
      <w:r>
        <w:rPr>
          <w:rFonts w:ascii="宋体" w:hAnsi="宋体" w:eastAsia="宋体" w:cs="宋体"/>
          <w:spacing w:val="2"/>
          <w:sz w:val="23"/>
          <w:szCs w:val="23"/>
        </w:rPr>
        <w:t>聚集点 (</w:t>
      </w:r>
      <w:r>
        <w:rPr>
          <w:rFonts w:ascii="Times New Roman" w:hAnsi="Times New Roman" w:eastAsia="Times New Roman" w:cs="Times New Roman"/>
          <w:spacing w:val="2"/>
          <w:sz w:val="23"/>
          <w:szCs w:val="23"/>
        </w:rPr>
        <w:t xml:space="preserve">17 </w:t>
      </w:r>
      <w:r>
        <w:rPr>
          <w:rFonts w:ascii="宋体" w:hAnsi="宋体" w:eastAsia="宋体" w:cs="宋体"/>
          <w:spacing w:val="2"/>
          <w:sz w:val="23"/>
          <w:szCs w:val="23"/>
        </w:rPr>
        <w:t xml:space="preserve">户 </w:t>
      </w:r>
      <w:r>
        <w:rPr>
          <w:rFonts w:ascii="Times New Roman" w:hAnsi="Times New Roman" w:eastAsia="Times New Roman" w:cs="Times New Roman"/>
          <w:spacing w:val="2"/>
          <w:sz w:val="23"/>
          <w:szCs w:val="23"/>
        </w:rPr>
        <w:t xml:space="preserve">65 </w:t>
      </w:r>
      <w:r>
        <w:rPr>
          <w:rFonts w:ascii="宋体" w:hAnsi="宋体" w:eastAsia="宋体" w:cs="宋体"/>
          <w:spacing w:val="2"/>
          <w:sz w:val="23"/>
          <w:szCs w:val="23"/>
        </w:rPr>
        <w:t xml:space="preserve">人) ；项目西侧 </w:t>
      </w:r>
      <w:r>
        <w:rPr>
          <w:rFonts w:ascii="Times New Roman" w:hAnsi="Times New Roman" w:eastAsia="Times New Roman" w:cs="Times New Roman"/>
          <w:spacing w:val="2"/>
          <w:sz w:val="23"/>
          <w:szCs w:val="23"/>
        </w:rPr>
        <w:t>178</w:t>
      </w:r>
      <w:r>
        <w:rPr>
          <w:rFonts w:ascii="Times New Roman" w:hAnsi="Times New Roman" w:eastAsia="Times New Roman" w:cs="Times New Roman"/>
          <w:sz w:val="23"/>
          <w:szCs w:val="23"/>
        </w:rPr>
        <w:t>m</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 xml:space="preserve">范围内分布有龙桥村 </w:t>
      </w:r>
      <w:r>
        <w:rPr>
          <w:rFonts w:ascii="Times New Roman" w:hAnsi="Times New Roman" w:eastAsia="Times New Roman" w:cs="Times New Roman"/>
          <w:spacing w:val="2"/>
          <w:sz w:val="23"/>
          <w:szCs w:val="23"/>
        </w:rPr>
        <w:t xml:space="preserve">2 </w:t>
      </w:r>
      <w:r>
        <w:rPr>
          <w:rFonts w:ascii="宋体" w:hAnsi="宋体" w:eastAsia="宋体" w:cs="宋体"/>
          <w:spacing w:val="2"/>
          <w:sz w:val="23"/>
          <w:szCs w:val="23"/>
        </w:rPr>
        <w:t xml:space="preserve">组散户 </w:t>
      </w:r>
      <w:r>
        <w:rPr>
          <w:rFonts w:ascii="Times New Roman" w:hAnsi="Times New Roman" w:eastAsia="Times New Roman" w:cs="Times New Roman"/>
          <w:spacing w:val="2"/>
          <w:sz w:val="23"/>
          <w:szCs w:val="23"/>
        </w:rPr>
        <w:t>3</w:t>
      </w:r>
      <w:r>
        <w:rPr>
          <w:rFonts w:ascii="Times New Roman" w:hAnsi="Times New Roman" w:eastAsia="Times New Roman" w:cs="Times New Roman"/>
          <w:sz w:val="23"/>
          <w:szCs w:val="23"/>
        </w:rPr>
        <w:t xml:space="preserve"> </w:t>
      </w:r>
      <w:r>
        <w:rPr>
          <w:rFonts w:ascii="宋体" w:hAnsi="宋体" w:eastAsia="宋体" w:cs="宋体"/>
          <w:spacing w:val="8"/>
          <w:sz w:val="23"/>
          <w:szCs w:val="23"/>
        </w:rPr>
        <w:t xml:space="preserve">户 (约 </w:t>
      </w:r>
      <w:r>
        <w:rPr>
          <w:rFonts w:ascii="Times New Roman" w:hAnsi="Times New Roman" w:eastAsia="Times New Roman" w:cs="Times New Roman"/>
          <w:spacing w:val="8"/>
          <w:sz w:val="23"/>
          <w:szCs w:val="23"/>
        </w:rPr>
        <w:t xml:space="preserve">8 </w:t>
      </w:r>
      <w:r>
        <w:rPr>
          <w:rFonts w:ascii="宋体" w:hAnsi="宋体" w:eastAsia="宋体" w:cs="宋体"/>
          <w:spacing w:val="4"/>
          <w:sz w:val="23"/>
          <w:szCs w:val="23"/>
        </w:rPr>
        <w:t xml:space="preserve">人) ，相隔山体林地；项目西南面 </w:t>
      </w:r>
      <w:r>
        <w:rPr>
          <w:rFonts w:ascii="Times New Roman" w:hAnsi="Times New Roman" w:eastAsia="Times New Roman" w:cs="Times New Roman"/>
          <w:spacing w:val="4"/>
          <w:sz w:val="23"/>
          <w:szCs w:val="23"/>
        </w:rPr>
        <w:t>433</w:t>
      </w:r>
      <w:r>
        <w:rPr>
          <w:rFonts w:ascii="Times New Roman" w:hAnsi="Times New Roman" w:eastAsia="Times New Roman" w:cs="Times New Roman"/>
          <w:sz w:val="23"/>
          <w:szCs w:val="23"/>
        </w:rPr>
        <w:t>m</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 xml:space="preserve">为方家沟村民 </w:t>
      </w:r>
      <w:r>
        <w:rPr>
          <w:rFonts w:ascii="Times New Roman" w:hAnsi="Times New Roman" w:eastAsia="Times New Roman" w:cs="Times New Roman"/>
          <w:spacing w:val="4"/>
          <w:sz w:val="23"/>
          <w:szCs w:val="23"/>
        </w:rPr>
        <w:t xml:space="preserve">7 </w:t>
      </w:r>
      <w:r>
        <w:rPr>
          <w:rFonts w:ascii="宋体" w:hAnsi="宋体" w:eastAsia="宋体" w:cs="宋体"/>
          <w:spacing w:val="4"/>
          <w:sz w:val="23"/>
          <w:szCs w:val="23"/>
        </w:rPr>
        <w:t>户 (</w:t>
      </w:r>
      <w:r>
        <w:rPr>
          <w:rFonts w:ascii="Times New Roman" w:hAnsi="Times New Roman" w:eastAsia="Times New Roman" w:cs="Times New Roman"/>
          <w:spacing w:val="4"/>
          <w:sz w:val="23"/>
          <w:szCs w:val="23"/>
        </w:rPr>
        <w:t xml:space="preserve">25 </w:t>
      </w:r>
      <w:r>
        <w:rPr>
          <w:rFonts w:ascii="宋体" w:hAnsi="宋体" w:eastAsia="宋体" w:cs="宋体"/>
          <w:spacing w:val="4"/>
          <w:sz w:val="23"/>
          <w:szCs w:val="23"/>
        </w:rPr>
        <w:t>人) ；南</w:t>
      </w:r>
      <w:r>
        <w:rPr>
          <w:rFonts w:ascii="宋体" w:hAnsi="宋体" w:eastAsia="宋体" w:cs="宋体"/>
          <w:sz w:val="23"/>
          <w:szCs w:val="23"/>
        </w:rPr>
        <w:t xml:space="preserve"> </w:t>
      </w:r>
      <w:r>
        <w:rPr>
          <w:rFonts w:ascii="宋体" w:hAnsi="宋体" w:eastAsia="宋体" w:cs="宋体"/>
          <w:spacing w:val="7"/>
          <w:sz w:val="23"/>
          <w:szCs w:val="23"/>
        </w:rPr>
        <w:t>面</w:t>
      </w:r>
      <w:r>
        <w:rPr>
          <w:rFonts w:ascii="宋体" w:hAnsi="宋体" w:eastAsia="宋体" w:cs="宋体"/>
          <w:spacing w:val="5"/>
          <w:sz w:val="23"/>
          <w:szCs w:val="23"/>
        </w:rPr>
        <w:t xml:space="preserve"> </w:t>
      </w:r>
      <w:r>
        <w:rPr>
          <w:rFonts w:ascii="Times New Roman" w:hAnsi="Times New Roman" w:eastAsia="Times New Roman" w:cs="Times New Roman"/>
          <w:spacing w:val="5"/>
          <w:sz w:val="23"/>
          <w:szCs w:val="23"/>
        </w:rPr>
        <w:t>607~710</w:t>
      </w:r>
      <w:r>
        <w:rPr>
          <w:rFonts w:ascii="Times New Roman" w:hAnsi="Times New Roman" w:eastAsia="Times New Roman" w:cs="Times New Roman"/>
          <w:sz w:val="23"/>
          <w:szCs w:val="23"/>
        </w:rPr>
        <w:t>m</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为吴家沟居民聚集点 (</w:t>
      </w:r>
      <w:r>
        <w:rPr>
          <w:rFonts w:ascii="Times New Roman" w:hAnsi="Times New Roman" w:eastAsia="Times New Roman" w:cs="Times New Roman"/>
          <w:spacing w:val="5"/>
          <w:sz w:val="23"/>
          <w:szCs w:val="23"/>
        </w:rPr>
        <w:t xml:space="preserve">6 </w:t>
      </w:r>
      <w:r>
        <w:rPr>
          <w:rFonts w:ascii="宋体" w:hAnsi="宋体" w:eastAsia="宋体" w:cs="宋体"/>
          <w:spacing w:val="5"/>
          <w:sz w:val="23"/>
          <w:szCs w:val="23"/>
        </w:rPr>
        <w:t xml:space="preserve">户 </w:t>
      </w:r>
      <w:r>
        <w:rPr>
          <w:rFonts w:ascii="Times New Roman" w:hAnsi="Times New Roman" w:eastAsia="Times New Roman" w:cs="Times New Roman"/>
          <w:spacing w:val="5"/>
          <w:sz w:val="23"/>
          <w:szCs w:val="23"/>
        </w:rPr>
        <w:t xml:space="preserve">20 </w:t>
      </w:r>
      <w:r>
        <w:rPr>
          <w:rFonts w:ascii="宋体" w:hAnsi="宋体" w:eastAsia="宋体" w:cs="宋体"/>
          <w:spacing w:val="5"/>
          <w:sz w:val="23"/>
          <w:szCs w:val="23"/>
        </w:rPr>
        <w:t xml:space="preserve">人) ；西北侧 </w:t>
      </w:r>
      <w:r>
        <w:rPr>
          <w:rFonts w:ascii="Times New Roman" w:hAnsi="Times New Roman" w:eastAsia="Times New Roman" w:cs="Times New Roman"/>
          <w:spacing w:val="5"/>
          <w:sz w:val="23"/>
          <w:szCs w:val="23"/>
        </w:rPr>
        <w:t>319~322</w:t>
      </w:r>
      <w:r>
        <w:rPr>
          <w:rFonts w:ascii="Times New Roman" w:hAnsi="Times New Roman" w:eastAsia="Times New Roman" w:cs="Times New Roman"/>
          <w:sz w:val="23"/>
          <w:szCs w:val="23"/>
        </w:rPr>
        <w:t>m</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为徐家湾村民</w:t>
      </w:r>
      <w:r>
        <w:rPr>
          <w:rFonts w:ascii="宋体" w:hAnsi="宋体" w:eastAsia="宋体" w:cs="宋体"/>
          <w:sz w:val="23"/>
          <w:szCs w:val="23"/>
        </w:rPr>
        <w:t xml:space="preserve"> </w:t>
      </w:r>
      <w:r>
        <w:rPr>
          <w:rFonts w:ascii="宋体" w:hAnsi="宋体" w:eastAsia="宋体" w:cs="宋体"/>
          <w:spacing w:val="-1"/>
          <w:sz w:val="23"/>
          <w:szCs w:val="23"/>
        </w:rPr>
        <w:t>点 (</w:t>
      </w:r>
      <w:r>
        <w:rPr>
          <w:rFonts w:ascii="Times New Roman" w:hAnsi="Times New Roman" w:eastAsia="Times New Roman" w:cs="Times New Roman"/>
          <w:spacing w:val="-1"/>
          <w:sz w:val="23"/>
          <w:szCs w:val="23"/>
        </w:rPr>
        <w:t xml:space="preserve">3 </w:t>
      </w:r>
      <w:r>
        <w:rPr>
          <w:rFonts w:ascii="宋体" w:hAnsi="宋体" w:eastAsia="宋体" w:cs="宋体"/>
          <w:spacing w:val="-1"/>
          <w:sz w:val="23"/>
          <w:szCs w:val="23"/>
        </w:rPr>
        <w:t xml:space="preserve">户 </w:t>
      </w:r>
      <w:r>
        <w:rPr>
          <w:rFonts w:ascii="Times New Roman" w:hAnsi="Times New Roman" w:eastAsia="Times New Roman" w:cs="Times New Roman"/>
          <w:spacing w:val="-1"/>
          <w:sz w:val="23"/>
          <w:szCs w:val="23"/>
        </w:rPr>
        <w:t xml:space="preserve">10 </w:t>
      </w:r>
      <w:r>
        <w:rPr>
          <w:rFonts w:ascii="宋体" w:hAnsi="宋体" w:eastAsia="宋体" w:cs="宋体"/>
          <w:spacing w:val="-1"/>
          <w:sz w:val="23"/>
          <w:szCs w:val="23"/>
        </w:rPr>
        <w:t>人) ，</w:t>
      </w:r>
      <w:r>
        <w:rPr>
          <w:rFonts w:ascii="Times New Roman" w:hAnsi="Times New Roman" w:eastAsia="Times New Roman" w:cs="Times New Roman"/>
          <w:spacing w:val="-1"/>
          <w:sz w:val="23"/>
          <w:szCs w:val="23"/>
        </w:rPr>
        <w:t>808~ 1098</w:t>
      </w:r>
      <w:r>
        <w:rPr>
          <w:rFonts w:ascii="Times New Roman" w:hAnsi="Times New Roman" w:eastAsia="Times New Roman" w:cs="Times New Roman"/>
          <w:sz w:val="23"/>
          <w:szCs w:val="23"/>
        </w:rPr>
        <w:t>m</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为贾家湾村民点 (</w:t>
      </w:r>
      <w:r>
        <w:rPr>
          <w:rFonts w:ascii="Times New Roman" w:hAnsi="Times New Roman" w:eastAsia="Times New Roman" w:cs="Times New Roman"/>
          <w:spacing w:val="-1"/>
          <w:sz w:val="23"/>
          <w:szCs w:val="23"/>
        </w:rPr>
        <w:t xml:space="preserve">6 </w:t>
      </w:r>
      <w:r>
        <w:rPr>
          <w:rFonts w:ascii="宋体" w:hAnsi="宋体" w:eastAsia="宋体" w:cs="宋体"/>
          <w:spacing w:val="-1"/>
          <w:sz w:val="23"/>
          <w:szCs w:val="23"/>
        </w:rPr>
        <w:t xml:space="preserve">户 </w:t>
      </w:r>
      <w:r>
        <w:rPr>
          <w:rFonts w:ascii="Times New Roman" w:hAnsi="Times New Roman" w:eastAsia="Times New Roman" w:cs="Times New Roman"/>
          <w:spacing w:val="-1"/>
          <w:sz w:val="23"/>
          <w:szCs w:val="23"/>
        </w:rPr>
        <w:t xml:space="preserve">25 </w:t>
      </w:r>
      <w:r>
        <w:rPr>
          <w:rFonts w:ascii="宋体" w:hAnsi="宋体" w:eastAsia="宋体" w:cs="宋体"/>
          <w:spacing w:val="-1"/>
          <w:sz w:val="23"/>
          <w:szCs w:val="23"/>
        </w:rPr>
        <w:t>人) ；其余均为林地及耕地。</w:t>
      </w:r>
      <w:r>
        <w:rPr>
          <w:rFonts w:ascii="宋体" w:hAnsi="宋体" w:eastAsia="宋体" w:cs="宋体"/>
          <w:sz w:val="23"/>
          <w:szCs w:val="23"/>
        </w:rPr>
        <w:t xml:space="preserve"> </w:t>
      </w:r>
      <w:r>
        <w:rPr>
          <w:rFonts w:ascii="宋体" w:hAnsi="宋体" w:eastAsia="宋体" w:cs="宋体"/>
          <w:spacing w:val="13"/>
          <w:sz w:val="23"/>
          <w:szCs w:val="23"/>
        </w:rPr>
        <w:t>项</w:t>
      </w:r>
      <w:r>
        <w:rPr>
          <w:rFonts w:ascii="宋体" w:hAnsi="宋体" w:eastAsia="宋体" w:cs="宋体"/>
          <w:spacing w:val="9"/>
          <w:sz w:val="23"/>
          <w:szCs w:val="23"/>
        </w:rPr>
        <w:t>目周边住户饮用水主要来源于农户自家打的井水。</w:t>
      </w:r>
    </w:p>
    <w:p w14:paraId="7C23E464">
      <w:pPr>
        <w:sectPr>
          <w:headerReference r:id="rId54" w:type="default"/>
          <w:footerReference r:id="rId55" w:type="default"/>
          <w:pgSz w:w="11907" w:h="16840"/>
          <w:pgMar w:top="400" w:right="1477" w:bottom="1277" w:left="1660" w:header="0" w:footer="1114" w:gutter="0"/>
          <w:cols w:space="720" w:num="1"/>
        </w:sectPr>
      </w:pPr>
    </w:p>
    <w:p w14:paraId="07FDBAE1">
      <w:pPr>
        <w:spacing w:before="42" w:line="228" w:lineRule="auto"/>
        <w:ind w:left="535"/>
        <w:outlineLvl w:val="2"/>
        <w:rPr>
          <w:rFonts w:ascii="宋体" w:hAnsi="宋体" w:eastAsia="宋体" w:cs="宋体"/>
          <w:sz w:val="23"/>
          <w:szCs w:val="23"/>
        </w:rPr>
      </w:pPr>
      <w:r>
        <w:rPr>
          <w:rFonts w:ascii="Times New Roman" w:hAnsi="Times New Roman" w:eastAsia="Times New Roman" w:cs="Times New Roman"/>
          <w:b/>
          <w:bCs/>
          <w:spacing w:val="12"/>
          <w:sz w:val="23"/>
          <w:szCs w:val="23"/>
        </w:rPr>
        <w:t>1</w:t>
      </w:r>
      <w:r>
        <w:rPr>
          <w:rFonts w:ascii="Times New Roman" w:hAnsi="Times New Roman" w:eastAsia="Times New Roman" w:cs="Times New Roman"/>
          <w:b/>
          <w:bCs/>
          <w:spacing w:val="9"/>
          <w:sz w:val="23"/>
          <w:szCs w:val="23"/>
        </w:rPr>
        <w:t>.8.2</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14:textOutline w14:w="4356" w14:cap="sq" w14:cmpd="sng" w14:algn="ctr">
            <w14:solidFill>
              <w14:srgbClr w14:val="000000"/>
            </w14:solidFill>
            <w14:prstDash w14:val="solid"/>
            <w14:bevel/>
          </w14:textOutline>
        </w:rPr>
        <w:t>主要保护</w:t>
      </w:r>
      <w:r>
        <w:rPr>
          <w:rFonts w:ascii="宋体" w:hAnsi="宋体" w:eastAsia="宋体" w:cs="宋体"/>
          <w:spacing w:val="9"/>
          <w:sz w:val="23"/>
          <w:szCs w:val="23"/>
        </w:rPr>
        <w:t xml:space="preserve"> </w:t>
      </w:r>
      <w:r>
        <w:rPr>
          <w:rFonts w:ascii="宋体" w:hAnsi="宋体" w:eastAsia="宋体" w:cs="宋体"/>
          <w:spacing w:val="9"/>
          <w:sz w:val="23"/>
          <w:szCs w:val="23"/>
          <w14:textOutline w14:w="4356" w14:cap="sq" w14:cmpd="sng" w14:algn="ctr">
            <w14:solidFill>
              <w14:srgbClr w14:val="000000"/>
            </w14:solidFill>
            <w14:prstDash w14:val="solid"/>
            <w14:bevel/>
          </w14:textOutline>
        </w:rPr>
        <w:t>目标</w:t>
      </w:r>
    </w:p>
    <w:p w14:paraId="2BF7089B">
      <w:pPr>
        <w:spacing w:before="181" w:line="466" w:lineRule="exact"/>
        <w:ind w:left="490"/>
        <w:rPr>
          <w:rFonts w:ascii="宋体" w:hAnsi="宋体" w:eastAsia="宋体" w:cs="宋体"/>
          <w:sz w:val="23"/>
          <w:szCs w:val="23"/>
        </w:rPr>
      </w:pPr>
      <w:r>
        <w:rPr>
          <w:rFonts w:ascii="宋体" w:hAnsi="宋体" w:eastAsia="宋体" w:cs="宋体"/>
          <w:spacing w:val="17"/>
          <w:position w:val="17"/>
          <w:sz w:val="23"/>
          <w:szCs w:val="23"/>
          <w14:textOutline w14:w="4356" w14:cap="sq" w14:cmpd="sng" w14:algn="ctr">
            <w14:solidFill>
              <w14:srgbClr w14:val="000000"/>
            </w14:solidFill>
            <w14:prstDash w14:val="solid"/>
            <w14:bevel/>
          </w14:textOutline>
        </w:rPr>
        <w:t>地</w:t>
      </w:r>
      <w:r>
        <w:rPr>
          <w:rFonts w:ascii="宋体" w:hAnsi="宋体" w:eastAsia="宋体" w:cs="宋体"/>
          <w:spacing w:val="11"/>
          <w:position w:val="17"/>
          <w:sz w:val="23"/>
          <w:szCs w:val="23"/>
          <w14:textOutline w14:w="4356" w14:cap="sq" w14:cmpd="sng" w14:algn="ctr">
            <w14:solidFill>
              <w14:srgbClr w14:val="000000"/>
            </w14:solidFill>
            <w14:prstDash w14:val="solid"/>
            <w14:bevel/>
          </w14:textOutline>
        </w:rPr>
        <w:t>表水环境：</w:t>
      </w:r>
      <w:r>
        <w:rPr>
          <w:rFonts w:ascii="宋体" w:hAnsi="宋体" w:eastAsia="宋体" w:cs="宋体"/>
          <w:spacing w:val="11"/>
          <w:position w:val="17"/>
          <w:sz w:val="23"/>
          <w:szCs w:val="23"/>
        </w:rPr>
        <w:t>地表水水质和水体功能不因本项目的建设而发生变化，应使其符</w:t>
      </w:r>
    </w:p>
    <w:p w14:paraId="3F11E4FF">
      <w:pPr>
        <w:spacing w:line="227" w:lineRule="auto"/>
        <w:ind w:left="11"/>
        <w:rPr>
          <w:rFonts w:ascii="宋体" w:hAnsi="宋体" w:eastAsia="宋体" w:cs="宋体"/>
          <w:sz w:val="23"/>
          <w:szCs w:val="23"/>
        </w:rPr>
      </w:pPr>
      <w:r>
        <w:rPr>
          <w:rFonts w:ascii="宋体" w:hAnsi="宋体" w:eastAsia="宋体" w:cs="宋体"/>
          <w:spacing w:val="8"/>
          <w:sz w:val="23"/>
          <w:szCs w:val="23"/>
        </w:rPr>
        <w:t>合《地表</w:t>
      </w:r>
      <w:r>
        <w:rPr>
          <w:rFonts w:ascii="宋体" w:hAnsi="宋体" w:eastAsia="宋体" w:cs="宋体"/>
          <w:spacing w:val="5"/>
          <w:sz w:val="23"/>
          <w:szCs w:val="23"/>
        </w:rPr>
        <w:t>水</w:t>
      </w:r>
      <w:r>
        <w:rPr>
          <w:rFonts w:ascii="宋体" w:hAnsi="宋体" w:eastAsia="宋体" w:cs="宋体"/>
          <w:spacing w:val="4"/>
          <w:sz w:val="23"/>
          <w:szCs w:val="23"/>
        </w:rPr>
        <w:t>环境质量标准》  (</w:t>
      </w:r>
      <w:r>
        <w:rPr>
          <w:rFonts w:ascii="Times New Roman" w:hAnsi="Times New Roman" w:eastAsia="Times New Roman" w:cs="Times New Roman"/>
          <w:sz w:val="23"/>
          <w:szCs w:val="23"/>
        </w:rPr>
        <w:t>GB</w:t>
      </w:r>
      <w:r>
        <w:rPr>
          <w:rFonts w:ascii="Times New Roman" w:hAnsi="Times New Roman" w:eastAsia="Times New Roman" w:cs="Times New Roman"/>
          <w:spacing w:val="4"/>
          <w:sz w:val="23"/>
          <w:szCs w:val="23"/>
        </w:rPr>
        <w:t>3838-2002</w:t>
      </w:r>
      <w:r>
        <w:rPr>
          <w:rFonts w:ascii="宋体" w:hAnsi="宋体" w:eastAsia="宋体" w:cs="宋体"/>
          <w:spacing w:val="4"/>
          <w:sz w:val="23"/>
          <w:szCs w:val="23"/>
        </w:rPr>
        <w:t>) Ⅲ类水域标准的要求。</w:t>
      </w:r>
    </w:p>
    <w:p w14:paraId="2C8AD771">
      <w:pPr>
        <w:spacing w:before="141" w:line="387" w:lineRule="auto"/>
        <w:ind w:left="28" w:firstLine="461"/>
        <w:rPr>
          <w:rFonts w:ascii="宋体" w:hAnsi="宋体" w:eastAsia="宋体" w:cs="宋体"/>
          <w:sz w:val="23"/>
          <w:szCs w:val="23"/>
        </w:rPr>
      </w:pPr>
      <w:r>
        <w:rPr>
          <w:rFonts w:ascii="宋体" w:hAnsi="宋体" w:eastAsia="宋体" w:cs="宋体"/>
          <w:spacing w:val="11"/>
          <w:sz w:val="23"/>
          <w:szCs w:val="23"/>
          <w14:textOutline w14:w="4356" w14:cap="sq" w14:cmpd="sng" w14:algn="ctr">
            <w14:solidFill>
              <w14:srgbClr w14:val="000000"/>
            </w14:solidFill>
            <w14:prstDash w14:val="solid"/>
            <w14:bevel/>
          </w14:textOutline>
        </w:rPr>
        <w:t>地</w:t>
      </w:r>
      <w:r>
        <w:rPr>
          <w:rFonts w:ascii="宋体" w:hAnsi="宋体" w:eastAsia="宋体" w:cs="宋体"/>
          <w:spacing w:val="6"/>
          <w:sz w:val="23"/>
          <w:szCs w:val="23"/>
          <w14:textOutline w14:w="4356" w14:cap="sq" w14:cmpd="sng" w14:algn="ctr">
            <w14:solidFill>
              <w14:srgbClr w14:val="000000"/>
            </w14:solidFill>
            <w14:prstDash w14:val="solid"/>
            <w14:bevel/>
          </w14:textOutline>
        </w:rPr>
        <w:t>下水环境：</w:t>
      </w:r>
      <w:r>
        <w:rPr>
          <w:rFonts w:ascii="宋体" w:hAnsi="宋体" w:eastAsia="宋体" w:cs="宋体"/>
          <w:spacing w:val="6"/>
          <w:sz w:val="23"/>
          <w:szCs w:val="23"/>
        </w:rPr>
        <w:t>确保项目区域地下水环境质量，应达到《地下水质量标准》(</w:t>
      </w:r>
      <w:r>
        <w:rPr>
          <w:rFonts w:ascii="Times New Roman" w:hAnsi="Times New Roman" w:eastAsia="Times New Roman" w:cs="Times New Roman"/>
          <w:sz w:val="23"/>
          <w:szCs w:val="23"/>
        </w:rPr>
        <w:t>GB</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 xml:space="preserve">T </w:t>
      </w:r>
      <w:r>
        <w:rPr>
          <w:rFonts w:ascii="Times New Roman" w:hAnsi="Times New Roman" w:eastAsia="Times New Roman" w:cs="Times New Roman"/>
          <w:spacing w:val="5"/>
          <w:sz w:val="23"/>
          <w:szCs w:val="23"/>
        </w:rPr>
        <w:t>14848-2017</w:t>
      </w:r>
      <w:r>
        <w:rPr>
          <w:rFonts w:ascii="宋体" w:hAnsi="宋体" w:eastAsia="宋体" w:cs="宋体"/>
          <w:spacing w:val="5"/>
          <w:sz w:val="23"/>
          <w:szCs w:val="23"/>
        </w:rPr>
        <w:t>) 中Ⅲ类标准要求</w:t>
      </w:r>
      <w:r>
        <w:rPr>
          <w:rFonts w:ascii="宋体" w:hAnsi="宋体" w:eastAsia="宋体" w:cs="宋体"/>
          <w:spacing w:val="4"/>
          <w:sz w:val="23"/>
          <w:szCs w:val="23"/>
        </w:rPr>
        <w:t>。</w:t>
      </w:r>
    </w:p>
    <w:p w14:paraId="6577C47E">
      <w:pPr>
        <w:spacing w:before="12" w:line="375" w:lineRule="auto"/>
        <w:ind w:left="21" w:right="21" w:firstLine="468"/>
        <w:rPr>
          <w:rFonts w:ascii="宋体" w:hAnsi="宋体" w:eastAsia="宋体" w:cs="宋体"/>
          <w:sz w:val="23"/>
          <w:szCs w:val="23"/>
        </w:rPr>
      </w:pPr>
      <w:r>
        <w:rPr>
          <w:rFonts w:ascii="宋体" w:hAnsi="宋体" w:eastAsia="宋体" w:cs="宋体"/>
          <w:spacing w:val="39"/>
          <w:sz w:val="23"/>
          <w:szCs w:val="23"/>
          <w14:textOutline w14:w="4356" w14:cap="sq" w14:cmpd="sng" w14:algn="ctr">
            <w14:solidFill>
              <w14:srgbClr w14:val="000000"/>
            </w14:solidFill>
            <w14:prstDash w14:val="solid"/>
            <w14:bevel/>
          </w14:textOutline>
        </w:rPr>
        <w:t>环</w:t>
      </w:r>
      <w:r>
        <w:rPr>
          <w:rFonts w:ascii="宋体" w:hAnsi="宋体" w:eastAsia="宋体" w:cs="宋体"/>
          <w:spacing w:val="21"/>
          <w:sz w:val="23"/>
          <w:szCs w:val="23"/>
          <w14:textOutline w14:w="4356" w14:cap="sq" w14:cmpd="sng" w14:algn="ctr">
            <w14:solidFill>
              <w14:srgbClr w14:val="000000"/>
            </w14:solidFill>
            <w14:prstDash w14:val="solid"/>
            <w14:bevel/>
          </w14:textOutline>
        </w:rPr>
        <w:t>境空气：</w:t>
      </w:r>
      <w:r>
        <w:rPr>
          <w:rFonts w:ascii="宋体" w:hAnsi="宋体" w:eastAsia="宋体" w:cs="宋体"/>
          <w:spacing w:val="21"/>
          <w:sz w:val="23"/>
          <w:szCs w:val="23"/>
        </w:rPr>
        <w:t xml:space="preserve"> 项目所在区域的环境空气质量，应达到《环境空气质量标准》</w:t>
      </w:r>
      <w:r>
        <w:rPr>
          <w:rFonts w:ascii="宋体" w:hAnsi="宋体" w:eastAsia="宋体" w:cs="宋体"/>
          <w:sz w:val="23"/>
          <w:szCs w:val="23"/>
        </w:rPr>
        <w:t xml:space="preserve"> </w:t>
      </w:r>
      <w:r>
        <w:rPr>
          <w:rFonts w:ascii="宋体" w:hAnsi="宋体" w:eastAsia="宋体" w:cs="宋体"/>
          <w:spacing w:val="14"/>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12"/>
          <w:sz w:val="23"/>
          <w:szCs w:val="23"/>
        </w:rPr>
        <w:t>3095-2012</w:t>
      </w:r>
      <w:r>
        <w:rPr>
          <w:rFonts w:ascii="宋体" w:hAnsi="宋体" w:eastAsia="宋体" w:cs="宋体"/>
          <w:spacing w:val="12"/>
          <w:sz w:val="23"/>
          <w:szCs w:val="23"/>
        </w:rPr>
        <w:t>) 二级标准要求。</w:t>
      </w:r>
    </w:p>
    <w:p w14:paraId="3EBA09B0">
      <w:pPr>
        <w:spacing w:before="1" w:line="374" w:lineRule="auto"/>
        <w:ind w:left="21" w:right="19" w:firstLine="473"/>
        <w:rPr>
          <w:rFonts w:ascii="宋体" w:hAnsi="宋体" w:eastAsia="宋体" w:cs="宋体"/>
          <w:sz w:val="23"/>
          <w:szCs w:val="23"/>
        </w:rPr>
      </w:pPr>
      <w:r>
        <w:rPr>
          <w:rFonts w:ascii="宋体" w:hAnsi="宋体" w:eastAsia="宋体" w:cs="宋体"/>
          <w:spacing w:val="18"/>
          <w:sz w:val="23"/>
          <w:szCs w:val="23"/>
          <w14:textOutline w14:w="4356" w14:cap="sq" w14:cmpd="sng" w14:algn="ctr">
            <w14:solidFill>
              <w14:srgbClr w14:val="000000"/>
            </w14:solidFill>
            <w14:prstDash w14:val="solid"/>
            <w14:bevel/>
          </w14:textOutline>
        </w:rPr>
        <w:t>声学</w:t>
      </w:r>
      <w:r>
        <w:rPr>
          <w:rFonts w:ascii="宋体" w:hAnsi="宋体" w:eastAsia="宋体" w:cs="宋体"/>
          <w:spacing w:val="15"/>
          <w:sz w:val="23"/>
          <w:szCs w:val="23"/>
          <w14:textOutline w14:w="4356" w14:cap="sq" w14:cmpd="sng" w14:algn="ctr">
            <w14:solidFill>
              <w14:srgbClr w14:val="000000"/>
            </w14:solidFill>
            <w14:prstDash w14:val="solid"/>
            <w14:bevel/>
          </w14:textOutline>
        </w:rPr>
        <w:t>环</w:t>
      </w:r>
      <w:r>
        <w:rPr>
          <w:rFonts w:ascii="宋体" w:hAnsi="宋体" w:eastAsia="宋体" w:cs="宋体"/>
          <w:spacing w:val="9"/>
          <w:sz w:val="23"/>
          <w:szCs w:val="23"/>
          <w14:textOutline w14:w="4356" w14:cap="sq" w14:cmpd="sng" w14:algn="ctr">
            <w14:solidFill>
              <w14:srgbClr w14:val="000000"/>
            </w14:solidFill>
            <w14:prstDash w14:val="solid"/>
            <w14:bevel/>
          </w14:textOutline>
        </w:rPr>
        <w:t>境：</w:t>
      </w:r>
      <w:r>
        <w:rPr>
          <w:rFonts w:ascii="宋体" w:hAnsi="宋体" w:eastAsia="宋体" w:cs="宋体"/>
          <w:spacing w:val="9"/>
          <w:sz w:val="23"/>
          <w:szCs w:val="23"/>
        </w:rPr>
        <w:t xml:space="preserve"> 项 目四周 </w:t>
      </w:r>
      <w:r>
        <w:rPr>
          <w:rFonts w:ascii="Times New Roman" w:hAnsi="Times New Roman" w:eastAsia="Times New Roman" w:cs="Times New Roman"/>
          <w:spacing w:val="9"/>
          <w:sz w:val="23"/>
          <w:szCs w:val="23"/>
        </w:rPr>
        <w:t>200</w:t>
      </w:r>
      <w:r>
        <w:rPr>
          <w:rFonts w:ascii="Times New Roman" w:hAnsi="Times New Roman" w:eastAsia="Times New Roman" w:cs="Times New Roman"/>
          <w:sz w:val="23"/>
          <w:szCs w:val="23"/>
        </w:rPr>
        <w:t>m</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范围内声学环境质量应达到《声环境质量标准》</w:t>
      </w:r>
      <w:r>
        <w:rPr>
          <w:rFonts w:ascii="宋体" w:hAnsi="宋体" w:eastAsia="宋体" w:cs="宋体"/>
          <w:sz w:val="23"/>
          <w:szCs w:val="23"/>
        </w:rPr>
        <w:t xml:space="preserve"> </w:t>
      </w:r>
      <w:r>
        <w:rPr>
          <w:rFonts w:ascii="宋体" w:hAnsi="宋体" w:eastAsia="宋体" w:cs="宋体"/>
          <w:spacing w:val="16"/>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11"/>
          <w:sz w:val="23"/>
          <w:szCs w:val="23"/>
        </w:rPr>
        <w:t>3</w:t>
      </w:r>
      <w:r>
        <w:rPr>
          <w:rFonts w:ascii="Times New Roman" w:hAnsi="Times New Roman" w:eastAsia="Times New Roman" w:cs="Times New Roman"/>
          <w:spacing w:val="8"/>
          <w:sz w:val="23"/>
          <w:szCs w:val="23"/>
        </w:rPr>
        <w:t>096-2008</w:t>
      </w:r>
      <w:r>
        <w:rPr>
          <w:rFonts w:ascii="宋体" w:hAnsi="宋体" w:eastAsia="宋体" w:cs="宋体"/>
          <w:spacing w:val="8"/>
          <w:sz w:val="23"/>
          <w:szCs w:val="23"/>
        </w:rPr>
        <w:t xml:space="preserve">) 规定的 </w:t>
      </w:r>
      <w:r>
        <w:rPr>
          <w:rFonts w:ascii="Times New Roman" w:hAnsi="Times New Roman" w:eastAsia="Times New Roman" w:cs="Times New Roman"/>
          <w:spacing w:val="8"/>
          <w:sz w:val="23"/>
          <w:szCs w:val="23"/>
        </w:rPr>
        <w:t xml:space="preserve">2 </w:t>
      </w:r>
      <w:r>
        <w:rPr>
          <w:rFonts w:ascii="宋体" w:hAnsi="宋体" w:eastAsia="宋体" w:cs="宋体"/>
          <w:spacing w:val="8"/>
          <w:sz w:val="23"/>
          <w:szCs w:val="23"/>
        </w:rPr>
        <w:t>类标准要求。</w:t>
      </w:r>
    </w:p>
    <w:p w14:paraId="02127EB5">
      <w:pPr>
        <w:spacing w:before="2" w:line="374" w:lineRule="auto"/>
        <w:ind w:left="12" w:right="7" w:firstLine="479"/>
        <w:rPr>
          <w:rFonts w:ascii="宋体" w:hAnsi="宋体" w:eastAsia="宋体" w:cs="宋体"/>
          <w:sz w:val="23"/>
          <w:szCs w:val="23"/>
        </w:rPr>
      </w:pPr>
      <w:r>
        <w:rPr>
          <w:rFonts w:ascii="宋体" w:hAnsi="宋体" w:eastAsia="宋体" w:cs="宋体"/>
          <w:spacing w:val="11"/>
          <w:sz w:val="23"/>
          <w:szCs w:val="23"/>
          <w14:textOutline w14:w="4356" w14:cap="sq" w14:cmpd="sng" w14:algn="ctr">
            <w14:solidFill>
              <w14:srgbClr w14:val="000000"/>
            </w14:solidFill>
            <w14:prstDash w14:val="solid"/>
            <w14:bevel/>
          </w14:textOutline>
        </w:rPr>
        <w:t>土壤环境：</w:t>
      </w:r>
      <w:r>
        <w:rPr>
          <w:rFonts w:ascii="宋体" w:hAnsi="宋体" w:eastAsia="宋体" w:cs="宋体"/>
          <w:spacing w:val="11"/>
          <w:sz w:val="23"/>
          <w:szCs w:val="23"/>
        </w:rPr>
        <w:t>项目场地及周边农用地土壤达到《土壤环境质量标准  农用地土</w:t>
      </w:r>
      <w:r>
        <w:rPr>
          <w:rFonts w:ascii="宋体" w:hAnsi="宋体" w:eastAsia="宋体" w:cs="宋体"/>
          <w:spacing w:val="6"/>
          <w:sz w:val="23"/>
          <w:szCs w:val="23"/>
        </w:rPr>
        <w:t>壤</w:t>
      </w:r>
      <w:r>
        <w:rPr>
          <w:rFonts w:ascii="宋体" w:hAnsi="宋体" w:eastAsia="宋体" w:cs="宋体"/>
          <w:sz w:val="23"/>
          <w:szCs w:val="23"/>
        </w:rPr>
        <w:t xml:space="preserve"> </w:t>
      </w:r>
      <w:r>
        <w:rPr>
          <w:rFonts w:ascii="宋体" w:hAnsi="宋体" w:eastAsia="宋体" w:cs="宋体"/>
          <w:spacing w:val="8"/>
          <w:sz w:val="23"/>
          <w:szCs w:val="23"/>
        </w:rPr>
        <w:t>污染风险管控标准</w:t>
      </w:r>
      <w:r>
        <w:rPr>
          <w:rFonts w:ascii="宋体" w:hAnsi="宋体" w:eastAsia="宋体" w:cs="宋体"/>
          <w:spacing w:val="5"/>
          <w:sz w:val="23"/>
          <w:szCs w:val="23"/>
        </w:rPr>
        <w:t xml:space="preserve"> </w:t>
      </w:r>
      <w:r>
        <w:rPr>
          <w:rFonts w:ascii="宋体" w:hAnsi="宋体" w:eastAsia="宋体" w:cs="宋体"/>
          <w:spacing w:val="4"/>
          <w:sz w:val="23"/>
          <w:szCs w:val="23"/>
        </w:rPr>
        <w:t>(试行) 》  (</w:t>
      </w:r>
      <w:r>
        <w:rPr>
          <w:rFonts w:ascii="Times New Roman" w:hAnsi="Times New Roman" w:eastAsia="Times New Roman" w:cs="Times New Roman"/>
          <w:sz w:val="23"/>
          <w:szCs w:val="23"/>
        </w:rPr>
        <w:t>GB</w:t>
      </w:r>
      <w:r>
        <w:rPr>
          <w:rFonts w:ascii="Times New Roman" w:hAnsi="Times New Roman" w:eastAsia="Times New Roman" w:cs="Times New Roman"/>
          <w:spacing w:val="4"/>
          <w:sz w:val="23"/>
          <w:szCs w:val="23"/>
        </w:rPr>
        <w:t>15618-2018</w:t>
      </w:r>
      <w:r>
        <w:rPr>
          <w:rFonts w:ascii="宋体" w:hAnsi="宋体" w:eastAsia="宋体" w:cs="宋体"/>
          <w:spacing w:val="4"/>
          <w:sz w:val="23"/>
          <w:szCs w:val="23"/>
        </w:rPr>
        <w:t>) 农用地土壤污染风险筛选值。</w:t>
      </w:r>
    </w:p>
    <w:p w14:paraId="1A938A19">
      <w:pPr>
        <w:spacing w:before="1" w:line="374" w:lineRule="auto"/>
        <w:ind w:left="10" w:right="9" w:firstLine="481"/>
        <w:rPr>
          <w:rFonts w:ascii="宋体" w:hAnsi="宋体" w:eastAsia="宋体" w:cs="宋体"/>
          <w:sz w:val="23"/>
          <w:szCs w:val="23"/>
        </w:rPr>
      </w:pPr>
      <w:r>
        <w:rPr>
          <w:rFonts w:ascii="宋体" w:hAnsi="宋体" w:eastAsia="宋体" w:cs="宋体"/>
          <w:spacing w:val="14"/>
          <w:sz w:val="23"/>
          <w:szCs w:val="23"/>
          <w14:textOutline w14:w="4356" w14:cap="sq" w14:cmpd="sng" w14:algn="ctr">
            <w14:solidFill>
              <w14:srgbClr w14:val="000000"/>
            </w14:solidFill>
            <w14:prstDash w14:val="solid"/>
            <w14:bevel/>
          </w14:textOutline>
        </w:rPr>
        <w:t>生态</w:t>
      </w:r>
      <w:r>
        <w:rPr>
          <w:rFonts w:ascii="宋体" w:hAnsi="宋体" w:eastAsia="宋体" w:cs="宋体"/>
          <w:spacing w:val="9"/>
          <w:sz w:val="23"/>
          <w:szCs w:val="23"/>
          <w14:textOutline w14:w="4356" w14:cap="sq" w14:cmpd="sng" w14:algn="ctr">
            <w14:solidFill>
              <w14:srgbClr w14:val="000000"/>
            </w14:solidFill>
            <w14:prstDash w14:val="solid"/>
            <w14:bevel/>
          </w14:textOutline>
        </w:rPr>
        <w:t>环</w:t>
      </w:r>
      <w:r>
        <w:rPr>
          <w:rFonts w:ascii="宋体" w:hAnsi="宋体" w:eastAsia="宋体" w:cs="宋体"/>
          <w:spacing w:val="7"/>
          <w:sz w:val="23"/>
          <w:szCs w:val="23"/>
          <w14:textOutline w14:w="4356" w14:cap="sq" w14:cmpd="sng" w14:algn="ctr">
            <w14:solidFill>
              <w14:srgbClr w14:val="000000"/>
            </w14:solidFill>
            <w14:prstDash w14:val="solid"/>
            <w14:bevel/>
          </w14:textOutline>
        </w:rPr>
        <w:t>境</w:t>
      </w:r>
      <w:r>
        <w:rPr>
          <w:rFonts w:ascii="宋体" w:hAnsi="宋体" w:eastAsia="宋体" w:cs="宋体"/>
          <w:spacing w:val="7"/>
          <w:sz w:val="23"/>
          <w:szCs w:val="23"/>
        </w:rPr>
        <w:t>： 以不破坏区域内生态系统完整性为标准，控制和减轻由项目建设对</w:t>
      </w:r>
      <w:r>
        <w:rPr>
          <w:rFonts w:ascii="宋体" w:hAnsi="宋体" w:eastAsia="宋体" w:cs="宋体"/>
          <w:sz w:val="23"/>
          <w:szCs w:val="23"/>
        </w:rPr>
        <w:t xml:space="preserve"> </w:t>
      </w:r>
      <w:r>
        <w:rPr>
          <w:rFonts w:ascii="宋体" w:hAnsi="宋体" w:eastAsia="宋体" w:cs="宋体"/>
          <w:spacing w:val="18"/>
          <w:sz w:val="23"/>
          <w:szCs w:val="23"/>
        </w:rPr>
        <w:t>地</w:t>
      </w:r>
      <w:r>
        <w:rPr>
          <w:rFonts w:ascii="宋体" w:hAnsi="宋体" w:eastAsia="宋体" w:cs="宋体"/>
          <w:spacing w:val="13"/>
          <w:sz w:val="23"/>
          <w:szCs w:val="23"/>
        </w:rPr>
        <w:t>表</w:t>
      </w:r>
      <w:r>
        <w:rPr>
          <w:rFonts w:ascii="宋体" w:hAnsi="宋体" w:eastAsia="宋体" w:cs="宋体"/>
          <w:spacing w:val="9"/>
          <w:sz w:val="23"/>
          <w:szCs w:val="23"/>
        </w:rPr>
        <w:t>植被和土壤的破坏而造成的水土流失，保护地表植被，保护生态环境。</w:t>
      </w:r>
    </w:p>
    <w:p w14:paraId="2925983C">
      <w:pPr>
        <w:spacing w:before="1" w:line="227" w:lineRule="auto"/>
        <w:ind w:left="494"/>
        <w:rPr>
          <w:rFonts w:ascii="宋体" w:hAnsi="宋体" w:eastAsia="宋体" w:cs="宋体"/>
          <w:sz w:val="23"/>
          <w:szCs w:val="23"/>
        </w:rPr>
      </w:pPr>
      <w:r>
        <w:rPr>
          <w:rFonts w:ascii="宋体" w:hAnsi="宋体" w:eastAsia="宋体" w:cs="宋体"/>
          <w:spacing w:val="1"/>
          <w:sz w:val="23"/>
          <w:szCs w:val="23"/>
        </w:rPr>
        <w:t xml:space="preserve">项目周围环境保护目标见表 </w:t>
      </w:r>
      <w:r>
        <w:rPr>
          <w:rFonts w:ascii="Times New Roman" w:hAnsi="Times New Roman" w:eastAsia="Times New Roman" w:cs="Times New Roman"/>
          <w:spacing w:val="1"/>
          <w:sz w:val="23"/>
          <w:szCs w:val="23"/>
        </w:rPr>
        <w:t>1</w:t>
      </w:r>
      <w:r>
        <w:rPr>
          <w:rFonts w:ascii="Times New Roman" w:hAnsi="Times New Roman" w:eastAsia="Times New Roman" w:cs="Times New Roman"/>
          <w:sz w:val="23"/>
          <w:szCs w:val="23"/>
        </w:rPr>
        <w:t>.8- 1</w:t>
      </w:r>
      <w:r>
        <w:rPr>
          <w:rFonts w:ascii="宋体" w:hAnsi="宋体" w:eastAsia="宋体" w:cs="宋体"/>
          <w:sz w:val="23"/>
          <w:szCs w:val="23"/>
        </w:rPr>
        <w:t>。</w:t>
      </w:r>
    </w:p>
    <w:p w14:paraId="224DF44A">
      <w:pPr>
        <w:sectPr>
          <w:headerReference r:id="rId56" w:type="default"/>
          <w:footerReference r:id="rId57" w:type="default"/>
          <w:pgSz w:w="11907" w:h="16840"/>
          <w:pgMar w:top="1153" w:right="1548" w:bottom="1277" w:left="1660" w:header="919" w:footer="1114" w:gutter="0"/>
          <w:cols w:space="720" w:num="1"/>
        </w:sectPr>
      </w:pPr>
    </w:p>
    <w:p w14:paraId="23A18118">
      <w:pPr>
        <w:spacing w:line="460" w:lineRule="auto"/>
      </w:pPr>
      <w:r>
        <w:pict>
          <v:shape id="_x0000_s2069" o:spid="_x0000_s2069" style="position:absolute;left:0pt;margin-left:83pt;margin-top:57.2pt;height:0.5pt;width:434.35pt;mso-position-horizontal-relative:page;mso-position-vertical-relative:page;z-index:251704320;mso-width-relative:page;mso-height-relative:page;" fillcolor="#000000" filled="t" stroked="f" coordsize="8687,10" o:allowincell="f" path="m0,0l8686,0,8686,9,0,9,0,0xe">
            <v:fill on="t" focussize="0,0"/>
            <v:stroke on="f"/>
            <v:imagedata o:title=""/>
            <o:lock v:ext="edit"/>
          </v:shape>
        </w:pict>
      </w:r>
    </w:p>
    <w:p w14:paraId="05E230C4">
      <w:pPr>
        <w:spacing w:before="56" w:line="229" w:lineRule="auto"/>
        <w:ind w:left="115"/>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517587C6">
      <w:pPr>
        <w:spacing w:before="67" w:line="220" w:lineRule="auto"/>
        <w:ind w:left="2445"/>
        <w:rPr>
          <w:rFonts w:ascii="黑体" w:hAnsi="黑体" w:eastAsia="黑体" w:cs="黑体"/>
          <w:sz w:val="23"/>
          <w:szCs w:val="23"/>
        </w:rPr>
      </w:pPr>
      <w:r>
        <w:rPr>
          <w:rFonts w:ascii="黑体" w:hAnsi="黑体" w:eastAsia="黑体" w:cs="黑体"/>
          <w:spacing w:val="2"/>
          <w:sz w:val="23"/>
          <w:szCs w:val="23"/>
        </w:rPr>
        <w:t xml:space="preserve">表 </w:t>
      </w:r>
      <w:r>
        <w:rPr>
          <w:rFonts w:ascii="Times New Roman" w:hAnsi="Times New Roman" w:eastAsia="Times New Roman" w:cs="Times New Roman"/>
          <w:spacing w:val="2"/>
          <w:sz w:val="23"/>
          <w:szCs w:val="23"/>
        </w:rPr>
        <w:t xml:space="preserve">1.8- 1     </w:t>
      </w:r>
      <w:r>
        <w:rPr>
          <w:rFonts w:ascii="Times New Roman" w:hAnsi="Times New Roman" w:eastAsia="Times New Roman" w:cs="Times New Roman"/>
          <w:spacing w:val="1"/>
          <w:sz w:val="23"/>
          <w:szCs w:val="23"/>
        </w:rPr>
        <w:t xml:space="preserve"> </w:t>
      </w:r>
      <w:r>
        <w:rPr>
          <w:rFonts w:ascii="黑体" w:hAnsi="黑体" w:eastAsia="黑体" w:cs="黑体"/>
          <w:spacing w:val="1"/>
          <w:sz w:val="23"/>
          <w:szCs w:val="23"/>
        </w:rPr>
        <w:t>养殖区环境保护目标一览表</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6"/>
        <w:gridCol w:w="1821"/>
        <w:gridCol w:w="895"/>
        <w:gridCol w:w="1245"/>
        <w:gridCol w:w="690"/>
        <w:gridCol w:w="1215"/>
        <w:gridCol w:w="2610"/>
      </w:tblGrid>
      <w:tr w14:paraId="25139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236" w:type="dxa"/>
            <w:tcBorders>
              <w:left w:val="nil"/>
            </w:tcBorders>
          </w:tcPr>
          <w:p w14:paraId="24E69617">
            <w:pPr>
              <w:spacing w:before="190" w:line="228" w:lineRule="auto"/>
              <w:ind w:left="205"/>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环</w:t>
            </w:r>
            <w:r>
              <w:rPr>
                <w:rFonts w:ascii="宋体" w:hAnsi="宋体" w:eastAsia="宋体" w:cs="宋体"/>
                <w:spacing w:val="8"/>
                <w:sz w:val="20"/>
                <w:szCs w:val="20"/>
                <w14:textOutline w14:w="3797" w14:cap="sq" w14:cmpd="sng" w14:algn="ctr">
                  <w14:solidFill>
                    <w14:srgbClr w14:val="000000"/>
                  </w14:solidFill>
                  <w14:prstDash w14:val="solid"/>
                  <w14:bevel/>
                </w14:textOutline>
              </w:rPr>
              <w:t>境要素</w:t>
            </w:r>
          </w:p>
        </w:tc>
        <w:tc>
          <w:tcPr>
            <w:tcW w:w="1821" w:type="dxa"/>
          </w:tcPr>
          <w:p w14:paraId="3D18BE0E">
            <w:pPr>
              <w:spacing w:before="56" w:line="271" w:lineRule="exact"/>
              <w:ind w:left="496"/>
              <w:rPr>
                <w:rFonts w:ascii="宋体" w:hAnsi="宋体" w:eastAsia="宋体" w:cs="宋体"/>
                <w:sz w:val="20"/>
                <w:szCs w:val="20"/>
              </w:rPr>
            </w:pPr>
            <w:r>
              <w:rPr>
                <w:rFonts w:ascii="宋体" w:hAnsi="宋体" w:eastAsia="宋体" w:cs="宋体"/>
                <w:spacing w:val="10"/>
                <w:position w:val="4"/>
                <w:sz w:val="20"/>
                <w:szCs w:val="20"/>
                <w14:textOutline w14:w="3797" w14:cap="sq" w14:cmpd="sng" w14:algn="ctr">
                  <w14:solidFill>
                    <w14:srgbClr w14:val="000000"/>
                  </w14:solidFill>
                  <w14:prstDash w14:val="solid"/>
                  <w14:bevel/>
                </w14:textOutline>
              </w:rPr>
              <w:t>环</w:t>
            </w:r>
            <w:r>
              <w:rPr>
                <w:rFonts w:ascii="宋体" w:hAnsi="宋体" w:eastAsia="宋体" w:cs="宋体"/>
                <w:spacing w:val="8"/>
                <w:position w:val="4"/>
                <w:sz w:val="20"/>
                <w:szCs w:val="20"/>
                <w14:textOutline w14:w="3797" w14:cap="sq" w14:cmpd="sng" w14:algn="ctr">
                  <w14:solidFill>
                    <w14:srgbClr w14:val="000000"/>
                  </w14:solidFill>
                  <w14:prstDash w14:val="solid"/>
                  <w14:bevel/>
                </w14:textOutline>
              </w:rPr>
              <w:t>境保护</w:t>
            </w:r>
          </w:p>
          <w:p w14:paraId="794006C9">
            <w:pPr>
              <w:spacing w:line="227" w:lineRule="auto"/>
              <w:ind w:left="495"/>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对象名</w:t>
            </w:r>
            <w:r>
              <w:rPr>
                <w:rFonts w:ascii="宋体" w:hAnsi="宋体" w:eastAsia="宋体" w:cs="宋体"/>
                <w:spacing w:val="8"/>
                <w:sz w:val="20"/>
                <w:szCs w:val="20"/>
                <w14:textOutline w14:w="3797" w14:cap="sq" w14:cmpd="sng" w14:algn="ctr">
                  <w14:solidFill>
                    <w14:srgbClr w14:val="000000"/>
                  </w14:solidFill>
                  <w14:prstDash w14:val="solid"/>
                  <w14:bevel/>
                </w14:textOutline>
              </w:rPr>
              <w:t>称</w:t>
            </w:r>
          </w:p>
        </w:tc>
        <w:tc>
          <w:tcPr>
            <w:tcW w:w="895" w:type="dxa"/>
          </w:tcPr>
          <w:p w14:paraId="285135D9">
            <w:pPr>
              <w:spacing w:before="191" w:line="228" w:lineRule="auto"/>
              <w:ind w:left="244"/>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性</w:t>
            </w:r>
            <w:r>
              <w:rPr>
                <w:rFonts w:ascii="宋体" w:hAnsi="宋体" w:eastAsia="宋体" w:cs="宋体"/>
                <w:spacing w:val="4"/>
                <w:sz w:val="20"/>
                <w:szCs w:val="20"/>
                <w14:textOutline w14:w="3797" w14:cap="sq" w14:cmpd="sng" w14:algn="ctr">
                  <w14:solidFill>
                    <w14:srgbClr w14:val="000000"/>
                  </w14:solidFill>
                  <w14:prstDash w14:val="solid"/>
                  <w14:bevel/>
                </w14:textOutline>
              </w:rPr>
              <w:t>质</w:t>
            </w:r>
          </w:p>
        </w:tc>
        <w:tc>
          <w:tcPr>
            <w:tcW w:w="1245" w:type="dxa"/>
          </w:tcPr>
          <w:p w14:paraId="4E8B7DCE">
            <w:pPr>
              <w:spacing w:before="150" w:line="288" w:lineRule="exact"/>
              <w:ind w:left="242"/>
              <w:rPr>
                <w:rFonts w:ascii="Times New Roman" w:hAnsi="Times New Roman" w:eastAsia="Times New Roman" w:cs="Times New Roman"/>
                <w:sz w:val="20"/>
                <w:szCs w:val="20"/>
              </w:rPr>
            </w:pPr>
            <w:r>
              <w:rPr>
                <w:rFonts w:ascii="宋体" w:hAnsi="宋体" w:eastAsia="宋体" w:cs="宋体"/>
                <w:spacing w:val="7"/>
                <w:position w:val="2"/>
                <w:sz w:val="20"/>
                <w:szCs w:val="20"/>
                <w14:textOutline w14:w="3797" w14:cap="sq" w14:cmpd="sng" w14:algn="ctr">
                  <w14:solidFill>
                    <w14:srgbClr w14:val="000000"/>
                  </w14:solidFill>
                  <w14:prstDash w14:val="solid"/>
                  <w14:bevel/>
                </w14:textOutline>
              </w:rPr>
              <w:t>概</w:t>
            </w:r>
            <w:r>
              <w:rPr>
                <w:rFonts w:ascii="宋体" w:hAnsi="宋体" w:eastAsia="宋体" w:cs="宋体"/>
                <w:spacing w:val="6"/>
                <w:position w:val="2"/>
                <w:sz w:val="20"/>
                <w:szCs w:val="20"/>
                <w14:textOutline w14:w="3797" w14:cap="sq" w14:cmpd="sng" w14:algn="ctr">
                  <w14:solidFill>
                    <w14:srgbClr w14:val="000000"/>
                  </w14:solidFill>
                  <w14:prstDash w14:val="solid"/>
                  <w14:bevel/>
                </w14:textOutline>
              </w:rPr>
              <w:t>况</w:t>
            </w:r>
            <w:r>
              <w:rPr>
                <w:rFonts w:ascii="Times New Roman" w:hAnsi="Times New Roman" w:eastAsia="Times New Roman" w:cs="Times New Roman"/>
                <w:b/>
                <w:bCs/>
                <w:spacing w:val="6"/>
                <w:position w:val="2"/>
                <w:sz w:val="20"/>
                <w:szCs w:val="20"/>
              </w:rPr>
              <w:t>(</w:t>
            </w:r>
            <w:r>
              <w:rPr>
                <w:rFonts w:ascii="宋体" w:hAnsi="宋体" w:eastAsia="宋体" w:cs="宋体"/>
                <w:spacing w:val="6"/>
                <w:position w:val="2"/>
                <w:sz w:val="20"/>
                <w:szCs w:val="20"/>
                <w14:textOutline w14:w="3797" w14:cap="sq" w14:cmpd="sng" w14:algn="ctr">
                  <w14:solidFill>
                    <w14:srgbClr w14:val="000000"/>
                  </w14:solidFill>
                  <w14:prstDash w14:val="solid"/>
                  <w14:bevel/>
                </w14:textOutline>
              </w:rPr>
              <w:t>人</w:t>
            </w:r>
            <w:r>
              <w:rPr>
                <w:rFonts w:ascii="Times New Roman" w:hAnsi="Times New Roman" w:eastAsia="Times New Roman" w:cs="Times New Roman"/>
                <w:b/>
                <w:bCs/>
                <w:spacing w:val="6"/>
                <w:position w:val="2"/>
                <w:sz w:val="20"/>
                <w:szCs w:val="20"/>
              </w:rPr>
              <w:t>)</w:t>
            </w:r>
          </w:p>
        </w:tc>
        <w:tc>
          <w:tcPr>
            <w:tcW w:w="690" w:type="dxa"/>
          </w:tcPr>
          <w:p w14:paraId="5866159C">
            <w:pPr>
              <w:spacing w:before="191" w:line="229" w:lineRule="auto"/>
              <w:ind w:left="140"/>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方</w:t>
            </w:r>
            <w:r>
              <w:rPr>
                <w:rFonts w:ascii="宋体" w:hAnsi="宋体" w:eastAsia="宋体" w:cs="宋体"/>
                <w:spacing w:val="5"/>
                <w:sz w:val="20"/>
                <w:szCs w:val="20"/>
                <w14:textOutline w14:w="3797" w14:cap="sq" w14:cmpd="sng" w14:algn="ctr">
                  <w14:solidFill>
                    <w14:srgbClr w14:val="000000"/>
                  </w14:solidFill>
                  <w14:prstDash w14:val="solid"/>
                  <w14:bevel/>
                </w14:textOutline>
              </w:rPr>
              <w:t>位</w:t>
            </w:r>
          </w:p>
        </w:tc>
        <w:tc>
          <w:tcPr>
            <w:tcW w:w="1215" w:type="dxa"/>
          </w:tcPr>
          <w:p w14:paraId="5F57F057">
            <w:pPr>
              <w:spacing w:before="191" w:line="228" w:lineRule="auto"/>
              <w:ind w:left="113"/>
              <w:rPr>
                <w:rFonts w:ascii="宋体" w:hAnsi="宋体" w:eastAsia="宋体" w:cs="宋体"/>
                <w:sz w:val="20"/>
                <w:szCs w:val="20"/>
              </w:rPr>
            </w:pPr>
            <w:r>
              <w:rPr>
                <w:rFonts w:ascii="宋体" w:hAnsi="宋体" w:eastAsia="宋体" w:cs="宋体"/>
                <w:spacing w:val="-15"/>
                <w:sz w:val="20"/>
                <w:szCs w:val="20"/>
                <w14:textOutline w14:w="3797" w14:cap="sq" w14:cmpd="sng" w14:algn="ctr">
                  <w14:solidFill>
                    <w14:srgbClr w14:val="000000"/>
                  </w14:solidFill>
                  <w14:prstDash w14:val="solid"/>
                  <w14:bevel/>
                </w14:textOutline>
              </w:rPr>
              <w:t>距</w:t>
            </w:r>
            <w:r>
              <w:rPr>
                <w:rFonts w:ascii="宋体" w:hAnsi="宋体" w:eastAsia="宋体" w:cs="宋体"/>
                <w:spacing w:val="-10"/>
                <w:sz w:val="20"/>
                <w:szCs w:val="20"/>
                <w14:textOutline w14:w="3797" w14:cap="sq" w14:cmpd="sng" w14:algn="ctr">
                  <w14:solidFill>
                    <w14:srgbClr w14:val="000000"/>
                  </w14:solidFill>
                  <w14:prstDash w14:val="solid"/>
                  <w14:bevel/>
                </w14:textOutline>
              </w:rPr>
              <w:t>离</w:t>
            </w:r>
            <w:r>
              <w:rPr>
                <w:rFonts w:ascii="宋体" w:hAnsi="宋体" w:eastAsia="宋体" w:cs="宋体"/>
                <w:spacing w:val="-10"/>
                <w:sz w:val="20"/>
                <w:szCs w:val="20"/>
              </w:rPr>
              <w:t xml:space="preserve"> </w:t>
            </w:r>
            <w:r>
              <w:rPr>
                <w:rFonts w:ascii="宋体" w:hAnsi="宋体" w:eastAsia="宋体" w:cs="宋体"/>
                <w:spacing w:val="-10"/>
                <w:sz w:val="20"/>
                <w:szCs w:val="20"/>
                <w14:textOutline w14:w="3797" w14:cap="sq" w14:cmpd="sng" w14:algn="ctr">
                  <w14:solidFill>
                    <w14:srgbClr w14:val="000000"/>
                  </w14:solidFill>
                  <w14:prstDash w14:val="solid"/>
                  <w14:bevel/>
                </w14:textOutline>
              </w:rPr>
              <w:t>(</w:t>
            </w:r>
            <w:r>
              <w:rPr>
                <w:rFonts w:ascii="宋体" w:hAnsi="宋体" w:eastAsia="宋体" w:cs="宋体"/>
                <w:spacing w:val="-10"/>
                <w:sz w:val="20"/>
                <w:szCs w:val="20"/>
              </w:rPr>
              <w:t xml:space="preserve"> </w:t>
            </w:r>
            <w:r>
              <w:rPr>
                <w:rFonts w:ascii="Times New Roman" w:hAnsi="Times New Roman" w:eastAsia="Times New Roman" w:cs="Times New Roman"/>
                <w:b/>
                <w:bCs/>
                <w:spacing w:val="-10"/>
                <w:sz w:val="20"/>
                <w:szCs w:val="20"/>
              </w:rPr>
              <w:t>m</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14:textOutline w14:w="3797" w14:cap="sq" w14:cmpd="sng" w14:algn="ctr">
                  <w14:solidFill>
                    <w14:srgbClr w14:val="000000"/>
                  </w14:solidFill>
                  <w14:prstDash w14:val="solid"/>
                  <w14:bevel/>
                </w14:textOutline>
              </w:rPr>
              <w:t>)</w:t>
            </w:r>
          </w:p>
        </w:tc>
        <w:tc>
          <w:tcPr>
            <w:tcW w:w="2610" w:type="dxa"/>
            <w:tcBorders>
              <w:right w:val="nil"/>
            </w:tcBorders>
          </w:tcPr>
          <w:p w14:paraId="4BAC1E4F">
            <w:pPr>
              <w:spacing w:before="191" w:line="228" w:lineRule="auto"/>
              <w:ind w:left="891"/>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环</w:t>
            </w:r>
            <w:r>
              <w:rPr>
                <w:rFonts w:ascii="宋体" w:hAnsi="宋体" w:eastAsia="宋体" w:cs="宋体"/>
                <w:spacing w:val="8"/>
                <w:sz w:val="20"/>
                <w:szCs w:val="20"/>
                <w14:textOutline w14:w="3797" w14:cap="sq" w14:cmpd="sng" w14:algn="ctr">
                  <w14:solidFill>
                    <w14:srgbClr w14:val="000000"/>
                  </w14:solidFill>
                  <w14:prstDash w14:val="solid"/>
                  <w14:bevel/>
                </w14:textOutline>
              </w:rPr>
              <w:t>境功能</w:t>
            </w:r>
          </w:p>
        </w:tc>
      </w:tr>
      <w:tr w14:paraId="52BB14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1236" w:type="dxa"/>
            <w:vMerge w:val="restart"/>
            <w:tcBorders>
              <w:left w:val="nil"/>
              <w:bottom w:val="nil"/>
            </w:tcBorders>
          </w:tcPr>
          <w:p w14:paraId="7C3AF586">
            <w:pPr>
              <w:spacing w:line="273" w:lineRule="auto"/>
            </w:pPr>
          </w:p>
          <w:p w14:paraId="7CEA1A39">
            <w:pPr>
              <w:spacing w:line="273" w:lineRule="auto"/>
            </w:pPr>
          </w:p>
          <w:p w14:paraId="3BFD0959">
            <w:pPr>
              <w:spacing w:line="274" w:lineRule="auto"/>
            </w:pPr>
          </w:p>
          <w:p w14:paraId="755C72EC">
            <w:pPr>
              <w:spacing w:line="274" w:lineRule="auto"/>
            </w:pPr>
          </w:p>
          <w:p w14:paraId="76B1AE88">
            <w:pPr>
              <w:spacing w:line="274" w:lineRule="auto"/>
            </w:pPr>
          </w:p>
          <w:p w14:paraId="19819FB4">
            <w:pPr>
              <w:spacing w:before="65" w:line="267" w:lineRule="auto"/>
              <w:ind w:left="120" w:right="110" w:hanging="1"/>
              <w:rPr>
                <w:rFonts w:ascii="宋体" w:hAnsi="宋体" w:eastAsia="宋体" w:cs="宋体"/>
                <w:sz w:val="20"/>
                <w:szCs w:val="20"/>
              </w:rPr>
            </w:pPr>
            <w:r>
              <w:rPr>
                <w:rFonts w:ascii="宋体" w:hAnsi="宋体" w:eastAsia="宋体" w:cs="宋体"/>
                <w:spacing w:val="1"/>
                <w:sz w:val="20"/>
                <w:szCs w:val="20"/>
              </w:rPr>
              <w:t>大气环</w:t>
            </w:r>
            <w:r>
              <w:rPr>
                <w:rFonts w:ascii="宋体" w:hAnsi="宋体" w:eastAsia="宋体" w:cs="宋体"/>
                <w:sz w:val="20"/>
                <w:szCs w:val="20"/>
              </w:rPr>
              <w:t xml:space="preserve">境、 </w:t>
            </w:r>
            <w:r>
              <w:rPr>
                <w:rFonts w:ascii="宋体" w:hAnsi="宋体" w:eastAsia="宋体" w:cs="宋体"/>
                <w:spacing w:val="6"/>
                <w:sz w:val="20"/>
                <w:szCs w:val="20"/>
              </w:rPr>
              <w:t>声</w:t>
            </w:r>
            <w:r>
              <w:rPr>
                <w:rFonts w:ascii="宋体" w:hAnsi="宋体" w:eastAsia="宋体" w:cs="宋体"/>
                <w:spacing w:val="5"/>
                <w:sz w:val="20"/>
                <w:szCs w:val="20"/>
              </w:rPr>
              <w:t>环境</w:t>
            </w:r>
          </w:p>
        </w:tc>
        <w:tc>
          <w:tcPr>
            <w:tcW w:w="1821" w:type="dxa"/>
          </w:tcPr>
          <w:p w14:paraId="1CD87F74">
            <w:pPr>
              <w:spacing w:before="96" w:line="227" w:lineRule="auto"/>
              <w:ind w:left="182"/>
              <w:rPr>
                <w:rFonts w:ascii="宋体" w:hAnsi="宋体" w:eastAsia="宋体" w:cs="宋体"/>
                <w:sz w:val="20"/>
                <w:szCs w:val="20"/>
              </w:rPr>
            </w:pPr>
            <w:r>
              <w:rPr>
                <w:rFonts w:ascii="宋体" w:hAnsi="宋体" w:eastAsia="宋体" w:cs="宋体"/>
                <w:spacing w:val="1"/>
                <w:sz w:val="20"/>
                <w:szCs w:val="20"/>
              </w:rPr>
              <w:t xml:space="preserve">周坡村 </w:t>
            </w:r>
            <w:r>
              <w:rPr>
                <w:rFonts w:ascii="Times New Roman" w:hAnsi="Times New Roman" w:eastAsia="Times New Roman" w:cs="Times New Roman"/>
                <w:spacing w:val="1"/>
                <w:sz w:val="20"/>
                <w:szCs w:val="20"/>
              </w:rPr>
              <w:t xml:space="preserve">7 </w:t>
            </w:r>
            <w:r>
              <w:rPr>
                <w:rFonts w:ascii="宋体" w:hAnsi="宋体" w:eastAsia="宋体" w:cs="宋体"/>
                <w:spacing w:val="1"/>
                <w:sz w:val="20"/>
                <w:szCs w:val="20"/>
              </w:rPr>
              <w:t>组村民</w:t>
            </w:r>
          </w:p>
        </w:tc>
        <w:tc>
          <w:tcPr>
            <w:tcW w:w="895" w:type="dxa"/>
          </w:tcPr>
          <w:p w14:paraId="389E4E6C">
            <w:pPr>
              <w:spacing w:before="96" w:line="228" w:lineRule="auto"/>
              <w:ind w:left="241"/>
              <w:rPr>
                <w:rFonts w:ascii="宋体" w:hAnsi="宋体" w:eastAsia="宋体" w:cs="宋体"/>
                <w:sz w:val="20"/>
                <w:szCs w:val="20"/>
              </w:rPr>
            </w:pPr>
            <w:r>
              <w:rPr>
                <w:rFonts w:ascii="宋体" w:hAnsi="宋体" w:eastAsia="宋体" w:cs="宋体"/>
                <w:spacing w:val="5"/>
                <w:sz w:val="20"/>
                <w:szCs w:val="20"/>
              </w:rPr>
              <w:t>散户</w:t>
            </w:r>
          </w:p>
        </w:tc>
        <w:tc>
          <w:tcPr>
            <w:tcW w:w="1245" w:type="dxa"/>
          </w:tcPr>
          <w:p w14:paraId="2C335170">
            <w:pPr>
              <w:spacing w:before="97" w:line="228" w:lineRule="auto"/>
              <w:ind w:left="182"/>
              <w:rPr>
                <w:rFonts w:ascii="宋体" w:hAnsi="宋体" w:eastAsia="宋体" w:cs="宋体"/>
                <w:sz w:val="20"/>
                <w:szCs w:val="20"/>
              </w:rPr>
            </w:pPr>
            <w:r>
              <w:rPr>
                <w:rFonts w:ascii="Times New Roman" w:hAnsi="Times New Roman" w:eastAsia="Times New Roman" w:cs="Times New Roman"/>
                <w:spacing w:val="-4"/>
                <w:sz w:val="20"/>
                <w:szCs w:val="20"/>
              </w:rPr>
              <w:t>3</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 xml:space="preserve">户 </w:t>
            </w:r>
            <w:r>
              <w:rPr>
                <w:rFonts w:ascii="Times New Roman" w:hAnsi="Times New Roman" w:eastAsia="Times New Roman" w:cs="Times New Roman"/>
                <w:spacing w:val="-2"/>
                <w:sz w:val="20"/>
                <w:szCs w:val="20"/>
              </w:rPr>
              <w:t xml:space="preserve">10 </w:t>
            </w:r>
            <w:r>
              <w:rPr>
                <w:rFonts w:ascii="宋体" w:hAnsi="宋体" w:eastAsia="宋体" w:cs="宋体"/>
                <w:spacing w:val="-2"/>
                <w:sz w:val="20"/>
                <w:szCs w:val="20"/>
              </w:rPr>
              <w:t>人</w:t>
            </w:r>
          </w:p>
        </w:tc>
        <w:tc>
          <w:tcPr>
            <w:tcW w:w="690" w:type="dxa"/>
          </w:tcPr>
          <w:p w14:paraId="47C8051D">
            <w:pPr>
              <w:spacing w:before="135" w:line="192" w:lineRule="auto"/>
              <w:ind w:left="282"/>
              <w:rPr>
                <w:rFonts w:ascii="Times New Roman" w:hAnsi="Times New Roman" w:eastAsia="Times New Roman" w:cs="Times New Roman"/>
                <w:sz w:val="20"/>
                <w:szCs w:val="20"/>
              </w:rPr>
            </w:pPr>
            <w:r>
              <w:rPr>
                <w:rFonts w:ascii="Times New Roman" w:hAnsi="Times New Roman" w:eastAsia="Times New Roman" w:cs="Times New Roman"/>
                <w:sz w:val="20"/>
                <w:szCs w:val="20"/>
              </w:rPr>
              <w:t>E</w:t>
            </w:r>
          </w:p>
        </w:tc>
        <w:tc>
          <w:tcPr>
            <w:tcW w:w="1215" w:type="dxa"/>
          </w:tcPr>
          <w:p w14:paraId="5F78F1B1">
            <w:pPr>
              <w:spacing w:before="132" w:line="195" w:lineRule="auto"/>
              <w:ind w:left="25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175~22</w:t>
            </w:r>
            <w:r>
              <w:rPr>
                <w:rFonts w:ascii="Times New Roman" w:hAnsi="Times New Roman" w:eastAsia="Times New Roman" w:cs="Times New Roman"/>
                <w:sz w:val="20"/>
                <w:szCs w:val="20"/>
              </w:rPr>
              <w:t>0</w:t>
            </w:r>
          </w:p>
        </w:tc>
        <w:tc>
          <w:tcPr>
            <w:tcW w:w="2610" w:type="dxa"/>
            <w:vMerge w:val="restart"/>
            <w:tcBorders>
              <w:bottom w:val="nil"/>
              <w:right w:val="nil"/>
            </w:tcBorders>
          </w:tcPr>
          <w:p w14:paraId="3DDCEA11">
            <w:pPr>
              <w:spacing w:line="244" w:lineRule="auto"/>
            </w:pPr>
          </w:p>
          <w:p w14:paraId="5F0C750D">
            <w:pPr>
              <w:spacing w:line="244" w:lineRule="auto"/>
            </w:pPr>
          </w:p>
          <w:p w14:paraId="7BF35C9E">
            <w:pPr>
              <w:spacing w:line="244" w:lineRule="auto"/>
            </w:pPr>
          </w:p>
          <w:p w14:paraId="423524FD">
            <w:pPr>
              <w:spacing w:line="244" w:lineRule="auto"/>
            </w:pPr>
          </w:p>
          <w:p w14:paraId="0BD8E70A">
            <w:pPr>
              <w:spacing w:before="65" w:line="228" w:lineRule="auto"/>
              <w:ind w:left="119"/>
              <w:rPr>
                <w:rFonts w:ascii="宋体" w:hAnsi="宋体" w:eastAsia="宋体" w:cs="宋体"/>
                <w:sz w:val="20"/>
                <w:szCs w:val="20"/>
              </w:rPr>
            </w:pPr>
            <w:r>
              <w:rPr>
                <w:rFonts w:ascii="宋体" w:hAnsi="宋体" w:eastAsia="宋体" w:cs="宋体"/>
                <w:spacing w:val="-3"/>
                <w:sz w:val="20"/>
                <w:szCs w:val="20"/>
              </w:rPr>
              <w:t>《</w:t>
            </w:r>
            <w:r>
              <w:rPr>
                <w:rFonts w:ascii="宋体" w:hAnsi="宋体" w:eastAsia="宋体" w:cs="宋体"/>
                <w:spacing w:val="-38"/>
                <w:sz w:val="20"/>
                <w:szCs w:val="20"/>
              </w:rPr>
              <w:t xml:space="preserve"> </w:t>
            </w:r>
            <w:r>
              <w:rPr>
                <w:rFonts w:ascii="宋体" w:hAnsi="宋体" w:eastAsia="宋体" w:cs="宋体"/>
                <w:spacing w:val="-3"/>
                <w:sz w:val="20"/>
                <w:szCs w:val="20"/>
              </w:rPr>
              <w:t>环</w:t>
            </w:r>
            <w:r>
              <w:rPr>
                <w:rFonts w:ascii="宋体" w:hAnsi="宋体" w:eastAsia="宋体" w:cs="宋体"/>
                <w:spacing w:val="-58"/>
                <w:sz w:val="20"/>
                <w:szCs w:val="20"/>
              </w:rPr>
              <w:t xml:space="preserve"> </w:t>
            </w:r>
            <w:r>
              <w:rPr>
                <w:rFonts w:ascii="宋体" w:hAnsi="宋体" w:eastAsia="宋体" w:cs="宋体"/>
                <w:spacing w:val="-3"/>
                <w:sz w:val="20"/>
                <w:szCs w:val="20"/>
              </w:rPr>
              <w:t>境</w:t>
            </w:r>
            <w:r>
              <w:rPr>
                <w:rFonts w:ascii="宋体" w:hAnsi="宋体" w:eastAsia="宋体" w:cs="宋体"/>
                <w:spacing w:val="-52"/>
                <w:sz w:val="20"/>
                <w:szCs w:val="20"/>
              </w:rPr>
              <w:t xml:space="preserve"> </w:t>
            </w:r>
            <w:r>
              <w:rPr>
                <w:rFonts w:ascii="宋体" w:hAnsi="宋体" w:eastAsia="宋体" w:cs="宋体"/>
                <w:spacing w:val="-3"/>
                <w:sz w:val="20"/>
                <w:szCs w:val="20"/>
              </w:rPr>
              <w:t>空</w:t>
            </w:r>
            <w:r>
              <w:rPr>
                <w:rFonts w:ascii="宋体" w:hAnsi="宋体" w:eastAsia="宋体" w:cs="宋体"/>
                <w:spacing w:val="-55"/>
                <w:sz w:val="20"/>
                <w:szCs w:val="20"/>
              </w:rPr>
              <w:t xml:space="preserve"> </w:t>
            </w:r>
            <w:r>
              <w:rPr>
                <w:rFonts w:ascii="宋体" w:hAnsi="宋体" w:eastAsia="宋体" w:cs="宋体"/>
                <w:spacing w:val="-3"/>
                <w:sz w:val="20"/>
                <w:szCs w:val="20"/>
              </w:rPr>
              <w:t>气</w:t>
            </w:r>
            <w:r>
              <w:rPr>
                <w:rFonts w:ascii="宋体" w:hAnsi="宋体" w:eastAsia="宋体" w:cs="宋体"/>
                <w:spacing w:val="-58"/>
                <w:sz w:val="20"/>
                <w:szCs w:val="20"/>
              </w:rPr>
              <w:t xml:space="preserve"> </w:t>
            </w:r>
            <w:r>
              <w:rPr>
                <w:rFonts w:ascii="宋体" w:hAnsi="宋体" w:eastAsia="宋体" w:cs="宋体"/>
                <w:spacing w:val="-3"/>
                <w:sz w:val="20"/>
                <w:szCs w:val="20"/>
              </w:rPr>
              <w:t>质</w:t>
            </w:r>
            <w:r>
              <w:rPr>
                <w:rFonts w:ascii="宋体" w:hAnsi="宋体" w:eastAsia="宋体" w:cs="宋体"/>
                <w:spacing w:val="-58"/>
                <w:sz w:val="20"/>
                <w:szCs w:val="20"/>
              </w:rPr>
              <w:t xml:space="preserve"> </w:t>
            </w:r>
            <w:r>
              <w:rPr>
                <w:rFonts w:ascii="宋体" w:hAnsi="宋体" w:eastAsia="宋体" w:cs="宋体"/>
                <w:spacing w:val="-3"/>
                <w:sz w:val="20"/>
                <w:szCs w:val="20"/>
              </w:rPr>
              <w:t>量</w:t>
            </w:r>
            <w:r>
              <w:rPr>
                <w:rFonts w:ascii="宋体" w:hAnsi="宋体" w:eastAsia="宋体" w:cs="宋体"/>
                <w:spacing w:val="-58"/>
                <w:sz w:val="20"/>
                <w:szCs w:val="20"/>
              </w:rPr>
              <w:t xml:space="preserve"> </w:t>
            </w:r>
            <w:r>
              <w:rPr>
                <w:rFonts w:ascii="宋体" w:hAnsi="宋体" w:eastAsia="宋体" w:cs="宋体"/>
                <w:spacing w:val="-3"/>
                <w:sz w:val="20"/>
                <w:szCs w:val="20"/>
              </w:rPr>
              <w:t>标</w:t>
            </w:r>
            <w:r>
              <w:rPr>
                <w:rFonts w:ascii="宋体" w:hAnsi="宋体" w:eastAsia="宋体" w:cs="宋体"/>
                <w:spacing w:val="-56"/>
                <w:sz w:val="20"/>
                <w:szCs w:val="20"/>
              </w:rPr>
              <w:t xml:space="preserve"> </w:t>
            </w:r>
            <w:r>
              <w:rPr>
                <w:rFonts w:ascii="宋体" w:hAnsi="宋体" w:eastAsia="宋体" w:cs="宋体"/>
                <w:spacing w:val="-3"/>
                <w:sz w:val="20"/>
                <w:szCs w:val="20"/>
              </w:rPr>
              <w:t>准</w:t>
            </w:r>
            <w:r>
              <w:rPr>
                <w:rFonts w:ascii="宋体" w:hAnsi="宋体" w:eastAsia="宋体" w:cs="宋体"/>
                <w:spacing w:val="-47"/>
                <w:sz w:val="20"/>
                <w:szCs w:val="20"/>
              </w:rPr>
              <w:t xml:space="preserve"> </w:t>
            </w:r>
            <w:r>
              <w:rPr>
                <w:rFonts w:ascii="宋体" w:hAnsi="宋体" w:eastAsia="宋体" w:cs="宋体"/>
                <w:spacing w:val="-3"/>
                <w:sz w:val="20"/>
                <w:szCs w:val="20"/>
              </w:rPr>
              <w:t>》</w:t>
            </w:r>
          </w:p>
          <w:p w14:paraId="1B24180B">
            <w:pPr>
              <w:spacing w:before="26" w:line="261" w:lineRule="auto"/>
              <w:ind w:left="113" w:right="106"/>
              <w:rPr>
                <w:rFonts w:ascii="宋体" w:hAnsi="宋体" w:eastAsia="宋体" w:cs="宋体"/>
                <w:sz w:val="20"/>
                <w:szCs w:val="20"/>
              </w:rPr>
            </w:pPr>
            <w:r>
              <w:rPr>
                <w:rFonts w:ascii="Times New Roman" w:hAnsi="Times New Roman" w:eastAsia="Times New Roman" w:cs="Times New Roman"/>
                <w:spacing w:val="-5"/>
                <w:sz w:val="20"/>
                <w:szCs w:val="20"/>
              </w:rPr>
              <w:t>GB</w:t>
            </w:r>
            <w:r>
              <w:rPr>
                <w:rFonts w:ascii="Times New Roman" w:hAnsi="Times New Roman" w:eastAsia="Times New Roman" w:cs="Times New Roman"/>
                <w:spacing w:val="-10"/>
                <w:sz w:val="20"/>
                <w:szCs w:val="20"/>
              </w:rPr>
              <w:t>3</w:t>
            </w:r>
            <w:r>
              <w:rPr>
                <w:rFonts w:ascii="Times New Roman" w:hAnsi="Times New Roman" w:eastAsia="Times New Roman" w:cs="Times New Roman"/>
                <w:spacing w:val="-7"/>
                <w:sz w:val="20"/>
                <w:szCs w:val="20"/>
              </w:rPr>
              <w:t>0</w:t>
            </w:r>
            <w:r>
              <w:rPr>
                <w:rFonts w:ascii="Times New Roman" w:hAnsi="Times New Roman" w:eastAsia="Times New Roman" w:cs="Times New Roman"/>
                <w:spacing w:val="-5"/>
                <w:sz w:val="20"/>
                <w:szCs w:val="20"/>
              </w:rPr>
              <w:t xml:space="preserve">95-2012 </w:t>
            </w:r>
            <w:r>
              <w:rPr>
                <w:rFonts w:ascii="宋体" w:hAnsi="宋体" w:eastAsia="宋体" w:cs="宋体"/>
                <w:spacing w:val="-5"/>
                <w:sz w:val="20"/>
                <w:szCs w:val="20"/>
              </w:rPr>
              <w:t>二级 、  《声</w:t>
            </w:r>
            <w:r>
              <w:rPr>
                <w:rFonts w:ascii="宋体" w:hAnsi="宋体" w:eastAsia="宋体" w:cs="宋体"/>
                <w:sz w:val="20"/>
                <w:szCs w:val="20"/>
              </w:rPr>
              <w:t xml:space="preserve"> </w:t>
            </w:r>
            <w:r>
              <w:rPr>
                <w:rFonts w:ascii="宋体" w:hAnsi="宋体" w:eastAsia="宋体" w:cs="宋体"/>
                <w:spacing w:val="1"/>
                <w:sz w:val="20"/>
                <w:szCs w:val="20"/>
              </w:rPr>
              <w:t xml:space="preserve">环境质量标准》 </w:t>
            </w:r>
            <w:r>
              <w:rPr>
                <w:rFonts w:ascii="宋体" w:hAnsi="宋体" w:eastAsia="宋体" w:cs="宋体"/>
                <w:sz w:val="20"/>
                <w:szCs w:val="20"/>
              </w:rPr>
              <w:t xml:space="preserve"> (</w:t>
            </w:r>
            <w:r>
              <w:rPr>
                <w:rFonts w:ascii="Times New Roman" w:hAnsi="Times New Roman" w:eastAsia="Times New Roman" w:cs="Times New Roman"/>
                <w:sz w:val="20"/>
                <w:szCs w:val="20"/>
              </w:rPr>
              <w:t xml:space="preserve">GB3096 </w:t>
            </w:r>
            <w:r>
              <w:rPr>
                <w:rFonts w:ascii="宋体" w:hAnsi="宋体" w:eastAsia="宋体" w:cs="宋体"/>
                <w:spacing w:val="10"/>
                <w:sz w:val="20"/>
                <w:szCs w:val="20"/>
              </w:rPr>
              <w:t>－</w:t>
            </w:r>
            <w:r>
              <w:rPr>
                <w:rFonts w:ascii="Times New Roman" w:hAnsi="Times New Roman" w:eastAsia="Times New Roman" w:cs="Times New Roman"/>
                <w:spacing w:val="6"/>
                <w:sz w:val="20"/>
                <w:szCs w:val="20"/>
              </w:rPr>
              <w:t>2</w:t>
            </w:r>
            <w:r>
              <w:rPr>
                <w:rFonts w:ascii="Times New Roman" w:hAnsi="Times New Roman" w:eastAsia="Times New Roman" w:cs="Times New Roman"/>
                <w:spacing w:val="5"/>
                <w:sz w:val="20"/>
                <w:szCs w:val="20"/>
              </w:rPr>
              <w:t>008</w:t>
            </w:r>
            <w:r>
              <w:rPr>
                <w:rFonts w:ascii="宋体" w:hAnsi="宋体" w:eastAsia="宋体" w:cs="宋体"/>
                <w:spacing w:val="5"/>
                <w:sz w:val="20"/>
                <w:szCs w:val="20"/>
              </w:rPr>
              <w:t xml:space="preserve">) </w:t>
            </w:r>
            <w:r>
              <w:rPr>
                <w:rFonts w:ascii="Times New Roman" w:hAnsi="Times New Roman" w:eastAsia="Times New Roman" w:cs="Times New Roman"/>
                <w:spacing w:val="5"/>
                <w:sz w:val="20"/>
                <w:szCs w:val="20"/>
              </w:rPr>
              <w:t xml:space="preserve">2 </w:t>
            </w:r>
            <w:r>
              <w:rPr>
                <w:rFonts w:ascii="宋体" w:hAnsi="宋体" w:eastAsia="宋体" w:cs="宋体"/>
                <w:spacing w:val="5"/>
                <w:sz w:val="20"/>
                <w:szCs w:val="20"/>
              </w:rPr>
              <w:t>类标准</w:t>
            </w:r>
          </w:p>
        </w:tc>
      </w:tr>
      <w:tr w14:paraId="3F7DCE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1236" w:type="dxa"/>
            <w:vMerge w:val="continue"/>
            <w:tcBorders>
              <w:top w:val="nil"/>
              <w:left w:val="nil"/>
              <w:bottom w:val="nil"/>
            </w:tcBorders>
          </w:tcPr>
          <w:p w14:paraId="6E075BB6"/>
        </w:tc>
        <w:tc>
          <w:tcPr>
            <w:tcW w:w="1821" w:type="dxa"/>
          </w:tcPr>
          <w:p w14:paraId="2B5651B9">
            <w:pPr>
              <w:spacing w:before="96" w:line="227" w:lineRule="auto"/>
              <w:ind w:left="182"/>
              <w:rPr>
                <w:rFonts w:ascii="宋体" w:hAnsi="宋体" w:eastAsia="宋体" w:cs="宋体"/>
                <w:sz w:val="20"/>
                <w:szCs w:val="20"/>
              </w:rPr>
            </w:pPr>
            <w:r>
              <w:rPr>
                <w:rFonts w:ascii="宋体" w:hAnsi="宋体" w:eastAsia="宋体" w:cs="宋体"/>
                <w:spacing w:val="1"/>
                <w:sz w:val="20"/>
                <w:szCs w:val="20"/>
              </w:rPr>
              <w:t xml:space="preserve">周坡村 </w:t>
            </w:r>
            <w:r>
              <w:rPr>
                <w:rFonts w:ascii="Times New Roman" w:hAnsi="Times New Roman" w:eastAsia="Times New Roman" w:cs="Times New Roman"/>
                <w:spacing w:val="1"/>
                <w:sz w:val="20"/>
                <w:szCs w:val="20"/>
              </w:rPr>
              <w:t xml:space="preserve">7 </w:t>
            </w:r>
            <w:r>
              <w:rPr>
                <w:rFonts w:ascii="宋体" w:hAnsi="宋体" w:eastAsia="宋体" w:cs="宋体"/>
                <w:spacing w:val="1"/>
                <w:sz w:val="20"/>
                <w:szCs w:val="20"/>
              </w:rPr>
              <w:t>组村民</w:t>
            </w:r>
          </w:p>
        </w:tc>
        <w:tc>
          <w:tcPr>
            <w:tcW w:w="895" w:type="dxa"/>
          </w:tcPr>
          <w:p w14:paraId="298A02BF">
            <w:pPr>
              <w:spacing w:before="96" w:line="228" w:lineRule="auto"/>
              <w:ind w:left="241"/>
              <w:rPr>
                <w:rFonts w:ascii="宋体" w:hAnsi="宋体" w:eastAsia="宋体" w:cs="宋体"/>
                <w:sz w:val="20"/>
                <w:szCs w:val="20"/>
              </w:rPr>
            </w:pPr>
            <w:r>
              <w:rPr>
                <w:rFonts w:ascii="宋体" w:hAnsi="宋体" w:eastAsia="宋体" w:cs="宋体"/>
                <w:spacing w:val="5"/>
                <w:sz w:val="20"/>
                <w:szCs w:val="20"/>
              </w:rPr>
              <w:t>散户</w:t>
            </w:r>
          </w:p>
        </w:tc>
        <w:tc>
          <w:tcPr>
            <w:tcW w:w="1245" w:type="dxa"/>
          </w:tcPr>
          <w:p w14:paraId="2E981960">
            <w:pPr>
              <w:spacing w:before="97" w:line="228" w:lineRule="auto"/>
              <w:ind w:left="251"/>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 xml:space="preserve">户 </w:t>
            </w:r>
            <w:r>
              <w:rPr>
                <w:rFonts w:ascii="Times New Roman" w:hAnsi="Times New Roman" w:eastAsia="Times New Roman" w:cs="Times New Roman"/>
                <w:spacing w:val="-5"/>
                <w:sz w:val="20"/>
                <w:szCs w:val="20"/>
              </w:rPr>
              <w:t xml:space="preserve">4 </w:t>
            </w:r>
            <w:r>
              <w:rPr>
                <w:rFonts w:ascii="宋体" w:hAnsi="宋体" w:eastAsia="宋体" w:cs="宋体"/>
                <w:spacing w:val="-5"/>
                <w:sz w:val="20"/>
                <w:szCs w:val="20"/>
              </w:rPr>
              <w:t>人</w:t>
            </w:r>
          </w:p>
        </w:tc>
        <w:tc>
          <w:tcPr>
            <w:tcW w:w="690" w:type="dxa"/>
            <w:vMerge w:val="restart"/>
            <w:tcBorders>
              <w:bottom w:val="nil"/>
            </w:tcBorders>
          </w:tcPr>
          <w:p w14:paraId="1C12565D">
            <w:pPr>
              <w:spacing w:line="285" w:lineRule="auto"/>
            </w:pPr>
          </w:p>
          <w:p w14:paraId="0687E323">
            <w:pPr>
              <w:spacing w:before="57" w:line="192" w:lineRule="auto"/>
              <w:ind w:left="263"/>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N</w:t>
            </w:r>
          </w:p>
        </w:tc>
        <w:tc>
          <w:tcPr>
            <w:tcW w:w="1215" w:type="dxa"/>
          </w:tcPr>
          <w:p w14:paraId="262175C8">
            <w:pPr>
              <w:spacing w:before="132" w:line="195" w:lineRule="auto"/>
              <w:ind w:left="47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188</w:t>
            </w:r>
          </w:p>
        </w:tc>
        <w:tc>
          <w:tcPr>
            <w:tcW w:w="2610" w:type="dxa"/>
            <w:vMerge w:val="continue"/>
            <w:tcBorders>
              <w:top w:val="nil"/>
              <w:bottom w:val="nil"/>
              <w:right w:val="nil"/>
            </w:tcBorders>
          </w:tcPr>
          <w:p w14:paraId="6CB038BE"/>
        </w:tc>
      </w:tr>
      <w:tr w14:paraId="380B0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1236" w:type="dxa"/>
            <w:vMerge w:val="continue"/>
            <w:tcBorders>
              <w:top w:val="nil"/>
              <w:left w:val="nil"/>
              <w:bottom w:val="nil"/>
            </w:tcBorders>
          </w:tcPr>
          <w:p w14:paraId="587A33B2"/>
        </w:tc>
        <w:tc>
          <w:tcPr>
            <w:tcW w:w="1821" w:type="dxa"/>
          </w:tcPr>
          <w:p w14:paraId="631E1C90">
            <w:pPr>
              <w:spacing w:before="97" w:line="228" w:lineRule="auto"/>
              <w:ind w:left="392"/>
              <w:rPr>
                <w:rFonts w:ascii="宋体" w:hAnsi="宋体" w:eastAsia="宋体" w:cs="宋体"/>
                <w:sz w:val="20"/>
                <w:szCs w:val="20"/>
              </w:rPr>
            </w:pPr>
            <w:r>
              <w:rPr>
                <w:rFonts w:ascii="宋体" w:hAnsi="宋体" w:eastAsia="宋体" w:cs="宋体"/>
                <w:spacing w:val="8"/>
                <w:sz w:val="20"/>
                <w:szCs w:val="20"/>
              </w:rPr>
              <w:t>罗家湾居</w:t>
            </w:r>
            <w:r>
              <w:rPr>
                <w:rFonts w:ascii="宋体" w:hAnsi="宋体" w:eastAsia="宋体" w:cs="宋体"/>
                <w:spacing w:val="7"/>
                <w:sz w:val="20"/>
                <w:szCs w:val="20"/>
              </w:rPr>
              <w:t>民</w:t>
            </w:r>
          </w:p>
        </w:tc>
        <w:tc>
          <w:tcPr>
            <w:tcW w:w="895" w:type="dxa"/>
          </w:tcPr>
          <w:p w14:paraId="153AA58B">
            <w:pPr>
              <w:spacing w:before="97" w:line="227" w:lineRule="auto"/>
              <w:ind w:left="243"/>
              <w:rPr>
                <w:rFonts w:ascii="宋体" w:hAnsi="宋体" w:eastAsia="宋体" w:cs="宋体"/>
                <w:sz w:val="20"/>
                <w:szCs w:val="20"/>
              </w:rPr>
            </w:pPr>
            <w:r>
              <w:rPr>
                <w:rFonts w:ascii="宋体" w:hAnsi="宋体" w:eastAsia="宋体" w:cs="宋体"/>
                <w:spacing w:val="4"/>
                <w:sz w:val="20"/>
                <w:szCs w:val="20"/>
              </w:rPr>
              <w:t>村落</w:t>
            </w:r>
          </w:p>
        </w:tc>
        <w:tc>
          <w:tcPr>
            <w:tcW w:w="1245" w:type="dxa"/>
          </w:tcPr>
          <w:p w14:paraId="05ED8830">
            <w:pPr>
              <w:spacing w:before="97" w:line="228" w:lineRule="auto"/>
              <w:ind w:left="145"/>
              <w:rPr>
                <w:rFonts w:ascii="宋体" w:hAnsi="宋体" w:eastAsia="宋体" w:cs="宋体"/>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3"/>
                <w:sz w:val="20"/>
                <w:szCs w:val="20"/>
              </w:rPr>
              <w:t xml:space="preserve">7 </w:t>
            </w:r>
            <w:r>
              <w:rPr>
                <w:rFonts w:ascii="宋体" w:hAnsi="宋体" w:eastAsia="宋体" w:cs="宋体"/>
                <w:spacing w:val="-3"/>
                <w:sz w:val="20"/>
                <w:szCs w:val="20"/>
              </w:rPr>
              <w:t xml:space="preserve">户 </w:t>
            </w:r>
            <w:r>
              <w:rPr>
                <w:rFonts w:ascii="Times New Roman" w:hAnsi="Times New Roman" w:eastAsia="Times New Roman" w:cs="Times New Roman"/>
                <w:spacing w:val="-3"/>
                <w:sz w:val="20"/>
                <w:szCs w:val="20"/>
              </w:rPr>
              <w:t xml:space="preserve">65 </w:t>
            </w:r>
            <w:r>
              <w:rPr>
                <w:rFonts w:ascii="宋体" w:hAnsi="宋体" w:eastAsia="宋体" w:cs="宋体"/>
                <w:spacing w:val="-3"/>
                <w:sz w:val="20"/>
                <w:szCs w:val="20"/>
              </w:rPr>
              <w:t>人</w:t>
            </w:r>
          </w:p>
        </w:tc>
        <w:tc>
          <w:tcPr>
            <w:tcW w:w="690" w:type="dxa"/>
            <w:vMerge w:val="continue"/>
            <w:tcBorders>
              <w:top w:val="nil"/>
            </w:tcBorders>
          </w:tcPr>
          <w:p w14:paraId="048E3FE1"/>
        </w:tc>
        <w:tc>
          <w:tcPr>
            <w:tcW w:w="1215" w:type="dxa"/>
          </w:tcPr>
          <w:p w14:paraId="6035552E">
            <w:pPr>
              <w:spacing w:before="133" w:line="195" w:lineRule="auto"/>
              <w:ind w:left="19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741</w:t>
            </w:r>
            <w:r>
              <w:rPr>
                <w:rFonts w:ascii="Times New Roman" w:hAnsi="Times New Roman" w:eastAsia="Times New Roman" w:cs="Times New Roman"/>
                <w:spacing w:val="-3"/>
                <w:sz w:val="20"/>
                <w:szCs w:val="20"/>
              </w:rPr>
              <w:t>~</w:t>
            </w:r>
            <w:r>
              <w:rPr>
                <w:rFonts w:ascii="Times New Roman" w:hAnsi="Times New Roman" w:eastAsia="Times New Roman" w:cs="Times New Roman"/>
                <w:spacing w:val="-2"/>
                <w:sz w:val="20"/>
                <w:szCs w:val="20"/>
              </w:rPr>
              <w:t xml:space="preserve"> 1135</w:t>
            </w:r>
          </w:p>
        </w:tc>
        <w:tc>
          <w:tcPr>
            <w:tcW w:w="2610" w:type="dxa"/>
            <w:vMerge w:val="continue"/>
            <w:tcBorders>
              <w:top w:val="nil"/>
              <w:bottom w:val="nil"/>
              <w:right w:val="nil"/>
            </w:tcBorders>
          </w:tcPr>
          <w:p w14:paraId="7911B99F"/>
        </w:tc>
      </w:tr>
      <w:tr w14:paraId="01330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236" w:type="dxa"/>
            <w:vMerge w:val="continue"/>
            <w:tcBorders>
              <w:top w:val="nil"/>
              <w:left w:val="nil"/>
              <w:bottom w:val="nil"/>
            </w:tcBorders>
          </w:tcPr>
          <w:p w14:paraId="1A60DDAF"/>
        </w:tc>
        <w:tc>
          <w:tcPr>
            <w:tcW w:w="1821" w:type="dxa"/>
          </w:tcPr>
          <w:p w14:paraId="112547A9">
            <w:pPr>
              <w:spacing w:before="94" w:line="227" w:lineRule="auto"/>
              <w:ind w:left="392"/>
              <w:rPr>
                <w:rFonts w:ascii="宋体" w:hAnsi="宋体" w:eastAsia="宋体" w:cs="宋体"/>
                <w:sz w:val="20"/>
                <w:szCs w:val="20"/>
              </w:rPr>
            </w:pPr>
            <w:r>
              <w:rPr>
                <w:rFonts w:ascii="宋体" w:hAnsi="宋体" w:eastAsia="宋体" w:cs="宋体"/>
                <w:spacing w:val="-2"/>
                <w:sz w:val="20"/>
                <w:szCs w:val="20"/>
              </w:rPr>
              <w:t>龙桥村</w:t>
            </w:r>
            <w:r>
              <w:rPr>
                <w:rFonts w:ascii="宋体" w:hAnsi="宋体" w:eastAsia="宋体" w:cs="宋体"/>
                <w:spacing w:val="-1"/>
                <w:sz w:val="20"/>
                <w:szCs w:val="20"/>
              </w:rPr>
              <w:t xml:space="preserve"> </w:t>
            </w:r>
            <w:r>
              <w:rPr>
                <w:rFonts w:ascii="Times New Roman" w:hAnsi="Times New Roman" w:eastAsia="Times New Roman" w:cs="Times New Roman"/>
                <w:spacing w:val="-1"/>
                <w:sz w:val="20"/>
                <w:szCs w:val="20"/>
              </w:rPr>
              <w:t xml:space="preserve">2 </w:t>
            </w:r>
            <w:r>
              <w:rPr>
                <w:rFonts w:ascii="宋体" w:hAnsi="宋体" w:eastAsia="宋体" w:cs="宋体"/>
                <w:spacing w:val="-1"/>
                <w:sz w:val="20"/>
                <w:szCs w:val="20"/>
              </w:rPr>
              <w:t>组</w:t>
            </w:r>
          </w:p>
        </w:tc>
        <w:tc>
          <w:tcPr>
            <w:tcW w:w="895" w:type="dxa"/>
          </w:tcPr>
          <w:p w14:paraId="5E3AE400">
            <w:pPr>
              <w:spacing w:before="94" w:line="228" w:lineRule="auto"/>
              <w:ind w:left="241"/>
              <w:rPr>
                <w:rFonts w:ascii="宋体" w:hAnsi="宋体" w:eastAsia="宋体" w:cs="宋体"/>
                <w:sz w:val="20"/>
                <w:szCs w:val="20"/>
              </w:rPr>
            </w:pPr>
            <w:r>
              <w:rPr>
                <w:rFonts w:ascii="宋体" w:hAnsi="宋体" w:eastAsia="宋体" w:cs="宋体"/>
                <w:spacing w:val="5"/>
                <w:sz w:val="20"/>
                <w:szCs w:val="20"/>
              </w:rPr>
              <w:t>散户</w:t>
            </w:r>
          </w:p>
        </w:tc>
        <w:tc>
          <w:tcPr>
            <w:tcW w:w="1245" w:type="dxa"/>
          </w:tcPr>
          <w:p w14:paraId="1449CA64">
            <w:pPr>
              <w:spacing w:before="95" w:line="228" w:lineRule="auto"/>
              <w:ind w:left="235"/>
              <w:rPr>
                <w:rFonts w:ascii="宋体" w:hAnsi="宋体" w:eastAsia="宋体" w:cs="宋体"/>
                <w:sz w:val="20"/>
                <w:szCs w:val="20"/>
              </w:rPr>
            </w:pPr>
            <w:r>
              <w:rPr>
                <w:rFonts w:ascii="Times New Roman" w:hAnsi="Times New Roman" w:eastAsia="Times New Roman" w:cs="Times New Roman"/>
                <w:spacing w:val="-5"/>
                <w:sz w:val="20"/>
                <w:szCs w:val="20"/>
              </w:rPr>
              <w:t>3</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 xml:space="preserve">户 </w:t>
            </w:r>
            <w:r>
              <w:rPr>
                <w:rFonts w:ascii="Times New Roman" w:hAnsi="Times New Roman" w:eastAsia="Times New Roman" w:cs="Times New Roman"/>
                <w:spacing w:val="-3"/>
                <w:sz w:val="20"/>
                <w:szCs w:val="20"/>
              </w:rPr>
              <w:t xml:space="preserve">8 </w:t>
            </w:r>
            <w:r>
              <w:rPr>
                <w:rFonts w:ascii="宋体" w:hAnsi="宋体" w:eastAsia="宋体" w:cs="宋体"/>
                <w:spacing w:val="-3"/>
                <w:sz w:val="20"/>
                <w:szCs w:val="20"/>
              </w:rPr>
              <w:t>人</w:t>
            </w:r>
          </w:p>
        </w:tc>
        <w:tc>
          <w:tcPr>
            <w:tcW w:w="690" w:type="dxa"/>
          </w:tcPr>
          <w:p w14:paraId="6DE61180">
            <w:pPr>
              <w:spacing w:before="136" w:line="192" w:lineRule="auto"/>
              <w:ind w:left="247"/>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W</w:t>
            </w:r>
          </w:p>
        </w:tc>
        <w:tc>
          <w:tcPr>
            <w:tcW w:w="1215" w:type="dxa"/>
          </w:tcPr>
          <w:p w14:paraId="2E3A5E07">
            <w:pPr>
              <w:spacing w:before="133" w:line="195" w:lineRule="auto"/>
              <w:ind w:left="47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178</w:t>
            </w:r>
          </w:p>
        </w:tc>
        <w:tc>
          <w:tcPr>
            <w:tcW w:w="2610" w:type="dxa"/>
            <w:vMerge w:val="continue"/>
            <w:tcBorders>
              <w:top w:val="nil"/>
              <w:bottom w:val="nil"/>
              <w:right w:val="nil"/>
            </w:tcBorders>
          </w:tcPr>
          <w:p w14:paraId="1035F635"/>
        </w:tc>
      </w:tr>
      <w:tr w14:paraId="4A0FB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2" w:hRule="atLeast"/>
        </w:trPr>
        <w:tc>
          <w:tcPr>
            <w:tcW w:w="1236" w:type="dxa"/>
            <w:vMerge w:val="continue"/>
            <w:tcBorders>
              <w:top w:val="nil"/>
              <w:left w:val="nil"/>
              <w:bottom w:val="nil"/>
            </w:tcBorders>
          </w:tcPr>
          <w:p w14:paraId="1D1C302F"/>
        </w:tc>
        <w:tc>
          <w:tcPr>
            <w:tcW w:w="1821" w:type="dxa"/>
          </w:tcPr>
          <w:p w14:paraId="5D714D7F">
            <w:pPr>
              <w:spacing w:before="83" w:line="227" w:lineRule="auto"/>
              <w:ind w:left="391"/>
              <w:rPr>
                <w:rFonts w:ascii="宋体" w:hAnsi="宋体" w:eastAsia="宋体" w:cs="宋体"/>
                <w:sz w:val="20"/>
                <w:szCs w:val="20"/>
              </w:rPr>
            </w:pPr>
            <w:r>
              <w:rPr>
                <w:rFonts w:ascii="宋体" w:hAnsi="宋体" w:eastAsia="宋体" w:cs="宋体"/>
                <w:spacing w:val="8"/>
                <w:sz w:val="20"/>
                <w:szCs w:val="20"/>
              </w:rPr>
              <w:t>方家沟村</w:t>
            </w:r>
            <w:r>
              <w:rPr>
                <w:rFonts w:ascii="宋体" w:hAnsi="宋体" w:eastAsia="宋体" w:cs="宋体"/>
                <w:spacing w:val="7"/>
                <w:sz w:val="20"/>
                <w:szCs w:val="20"/>
              </w:rPr>
              <w:t>民</w:t>
            </w:r>
          </w:p>
        </w:tc>
        <w:tc>
          <w:tcPr>
            <w:tcW w:w="895" w:type="dxa"/>
          </w:tcPr>
          <w:p w14:paraId="5EB6DEFC">
            <w:pPr>
              <w:spacing w:before="83" w:line="227" w:lineRule="auto"/>
              <w:ind w:left="243"/>
              <w:rPr>
                <w:rFonts w:ascii="宋体" w:hAnsi="宋体" w:eastAsia="宋体" w:cs="宋体"/>
                <w:sz w:val="20"/>
                <w:szCs w:val="20"/>
              </w:rPr>
            </w:pPr>
            <w:r>
              <w:rPr>
                <w:rFonts w:ascii="宋体" w:hAnsi="宋体" w:eastAsia="宋体" w:cs="宋体"/>
                <w:spacing w:val="4"/>
                <w:sz w:val="20"/>
                <w:szCs w:val="20"/>
              </w:rPr>
              <w:t>村落</w:t>
            </w:r>
          </w:p>
        </w:tc>
        <w:tc>
          <w:tcPr>
            <w:tcW w:w="1245" w:type="dxa"/>
          </w:tcPr>
          <w:p w14:paraId="2895439D">
            <w:pPr>
              <w:spacing w:before="84" w:line="228" w:lineRule="auto"/>
              <w:ind w:left="182"/>
              <w:rPr>
                <w:rFonts w:ascii="宋体" w:hAnsi="宋体" w:eastAsia="宋体" w:cs="宋体"/>
                <w:sz w:val="20"/>
                <w:szCs w:val="20"/>
              </w:rPr>
            </w:pPr>
            <w:r>
              <w:rPr>
                <w:rFonts w:ascii="Times New Roman" w:hAnsi="Times New Roman" w:eastAsia="Times New Roman" w:cs="Times New Roman"/>
                <w:spacing w:val="-3"/>
                <w:sz w:val="20"/>
                <w:szCs w:val="20"/>
              </w:rPr>
              <w:t>7</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 xml:space="preserve">户 </w:t>
            </w:r>
            <w:r>
              <w:rPr>
                <w:rFonts w:ascii="Times New Roman" w:hAnsi="Times New Roman" w:eastAsia="Times New Roman" w:cs="Times New Roman"/>
                <w:spacing w:val="-2"/>
                <w:sz w:val="20"/>
                <w:szCs w:val="20"/>
              </w:rPr>
              <w:t xml:space="preserve">25 </w:t>
            </w:r>
            <w:r>
              <w:rPr>
                <w:rFonts w:ascii="宋体" w:hAnsi="宋体" w:eastAsia="宋体" w:cs="宋体"/>
                <w:spacing w:val="-2"/>
                <w:sz w:val="20"/>
                <w:szCs w:val="20"/>
              </w:rPr>
              <w:t>人</w:t>
            </w:r>
          </w:p>
        </w:tc>
        <w:tc>
          <w:tcPr>
            <w:tcW w:w="690" w:type="dxa"/>
          </w:tcPr>
          <w:p w14:paraId="014F9E41">
            <w:pPr>
              <w:spacing w:before="119" w:line="195" w:lineRule="auto"/>
              <w:ind w:left="19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S</w:t>
            </w:r>
            <w:r>
              <w:rPr>
                <w:rFonts w:ascii="Times New Roman" w:hAnsi="Times New Roman" w:eastAsia="Times New Roman" w:cs="Times New Roman"/>
                <w:sz w:val="20"/>
                <w:szCs w:val="20"/>
              </w:rPr>
              <w:t>W</w:t>
            </w:r>
          </w:p>
        </w:tc>
        <w:tc>
          <w:tcPr>
            <w:tcW w:w="1215" w:type="dxa"/>
          </w:tcPr>
          <w:p w14:paraId="6676CA46">
            <w:pPr>
              <w:spacing w:before="119" w:line="195" w:lineRule="auto"/>
              <w:ind w:left="45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433</w:t>
            </w:r>
          </w:p>
        </w:tc>
        <w:tc>
          <w:tcPr>
            <w:tcW w:w="2610" w:type="dxa"/>
            <w:vMerge w:val="continue"/>
            <w:tcBorders>
              <w:top w:val="nil"/>
              <w:bottom w:val="nil"/>
              <w:right w:val="nil"/>
            </w:tcBorders>
          </w:tcPr>
          <w:p w14:paraId="763AD524"/>
        </w:tc>
      </w:tr>
      <w:tr w14:paraId="037CE8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1236" w:type="dxa"/>
            <w:vMerge w:val="continue"/>
            <w:tcBorders>
              <w:top w:val="nil"/>
              <w:left w:val="nil"/>
              <w:bottom w:val="nil"/>
            </w:tcBorders>
          </w:tcPr>
          <w:p w14:paraId="583CA0AA"/>
        </w:tc>
        <w:tc>
          <w:tcPr>
            <w:tcW w:w="1821" w:type="dxa"/>
          </w:tcPr>
          <w:p w14:paraId="28EC7685">
            <w:pPr>
              <w:spacing w:before="63" w:line="228" w:lineRule="auto"/>
              <w:ind w:left="392"/>
              <w:rPr>
                <w:rFonts w:ascii="宋体" w:hAnsi="宋体" w:eastAsia="宋体" w:cs="宋体"/>
                <w:sz w:val="20"/>
                <w:szCs w:val="20"/>
              </w:rPr>
            </w:pPr>
            <w:r>
              <w:rPr>
                <w:rFonts w:ascii="宋体" w:hAnsi="宋体" w:eastAsia="宋体" w:cs="宋体"/>
                <w:spacing w:val="8"/>
                <w:sz w:val="20"/>
                <w:szCs w:val="20"/>
              </w:rPr>
              <w:t>吴家沟居</w:t>
            </w:r>
            <w:r>
              <w:rPr>
                <w:rFonts w:ascii="宋体" w:hAnsi="宋体" w:eastAsia="宋体" w:cs="宋体"/>
                <w:spacing w:val="7"/>
                <w:sz w:val="20"/>
                <w:szCs w:val="20"/>
              </w:rPr>
              <w:t>民</w:t>
            </w:r>
          </w:p>
        </w:tc>
        <w:tc>
          <w:tcPr>
            <w:tcW w:w="895" w:type="dxa"/>
          </w:tcPr>
          <w:p w14:paraId="128BA137">
            <w:pPr>
              <w:spacing w:before="63" w:line="227" w:lineRule="auto"/>
              <w:ind w:left="243"/>
              <w:rPr>
                <w:rFonts w:ascii="宋体" w:hAnsi="宋体" w:eastAsia="宋体" w:cs="宋体"/>
                <w:sz w:val="20"/>
                <w:szCs w:val="20"/>
              </w:rPr>
            </w:pPr>
            <w:r>
              <w:rPr>
                <w:rFonts w:ascii="宋体" w:hAnsi="宋体" w:eastAsia="宋体" w:cs="宋体"/>
                <w:spacing w:val="4"/>
                <w:sz w:val="20"/>
                <w:szCs w:val="20"/>
              </w:rPr>
              <w:t>村落</w:t>
            </w:r>
          </w:p>
        </w:tc>
        <w:tc>
          <w:tcPr>
            <w:tcW w:w="1245" w:type="dxa"/>
          </w:tcPr>
          <w:p w14:paraId="11B466BE">
            <w:pPr>
              <w:spacing w:before="64" w:line="228" w:lineRule="auto"/>
              <w:ind w:left="183"/>
              <w:rPr>
                <w:rFonts w:ascii="宋体" w:hAnsi="宋体" w:eastAsia="宋体" w:cs="宋体"/>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 xml:space="preserve">户 </w:t>
            </w:r>
            <w:r>
              <w:rPr>
                <w:rFonts w:ascii="Times New Roman" w:hAnsi="Times New Roman" w:eastAsia="Times New Roman" w:cs="Times New Roman"/>
                <w:spacing w:val="-2"/>
                <w:sz w:val="20"/>
                <w:szCs w:val="20"/>
              </w:rPr>
              <w:t xml:space="preserve">20 </w:t>
            </w:r>
            <w:r>
              <w:rPr>
                <w:rFonts w:ascii="宋体" w:hAnsi="宋体" w:eastAsia="宋体" w:cs="宋体"/>
                <w:spacing w:val="-2"/>
                <w:sz w:val="20"/>
                <w:szCs w:val="20"/>
              </w:rPr>
              <w:t>人</w:t>
            </w:r>
          </w:p>
        </w:tc>
        <w:tc>
          <w:tcPr>
            <w:tcW w:w="690" w:type="dxa"/>
          </w:tcPr>
          <w:p w14:paraId="50D63D7F">
            <w:pPr>
              <w:spacing w:before="99" w:line="195" w:lineRule="auto"/>
              <w:ind w:left="298"/>
              <w:rPr>
                <w:rFonts w:ascii="Times New Roman" w:hAnsi="Times New Roman" w:eastAsia="Times New Roman" w:cs="Times New Roman"/>
                <w:sz w:val="20"/>
                <w:szCs w:val="20"/>
              </w:rPr>
            </w:pPr>
            <w:r>
              <w:rPr>
                <w:rFonts w:ascii="Times New Roman" w:hAnsi="Times New Roman" w:eastAsia="Times New Roman" w:cs="Times New Roman"/>
                <w:sz w:val="20"/>
                <w:szCs w:val="20"/>
              </w:rPr>
              <w:t>S</w:t>
            </w:r>
          </w:p>
        </w:tc>
        <w:tc>
          <w:tcPr>
            <w:tcW w:w="1215" w:type="dxa"/>
          </w:tcPr>
          <w:p w14:paraId="46020D00">
            <w:pPr>
              <w:spacing w:before="99" w:line="195" w:lineRule="auto"/>
              <w:ind w:left="24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607~710</w:t>
            </w:r>
          </w:p>
        </w:tc>
        <w:tc>
          <w:tcPr>
            <w:tcW w:w="2610" w:type="dxa"/>
            <w:vMerge w:val="continue"/>
            <w:tcBorders>
              <w:top w:val="nil"/>
              <w:bottom w:val="nil"/>
              <w:right w:val="nil"/>
            </w:tcBorders>
          </w:tcPr>
          <w:p w14:paraId="57B98700"/>
        </w:tc>
      </w:tr>
      <w:tr w14:paraId="2D19AB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1236" w:type="dxa"/>
            <w:vMerge w:val="continue"/>
            <w:tcBorders>
              <w:top w:val="nil"/>
              <w:left w:val="nil"/>
              <w:bottom w:val="nil"/>
            </w:tcBorders>
          </w:tcPr>
          <w:p w14:paraId="69E537F5"/>
        </w:tc>
        <w:tc>
          <w:tcPr>
            <w:tcW w:w="1821" w:type="dxa"/>
          </w:tcPr>
          <w:p w14:paraId="19A091C4">
            <w:pPr>
              <w:spacing w:before="74" w:line="227" w:lineRule="auto"/>
              <w:ind w:left="390"/>
              <w:rPr>
                <w:rFonts w:ascii="宋体" w:hAnsi="宋体" w:eastAsia="宋体" w:cs="宋体"/>
                <w:sz w:val="20"/>
                <w:szCs w:val="20"/>
              </w:rPr>
            </w:pPr>
            <w:r>
              <w:rPr>
                <w:rFonts w:ascii="宋体" w:hAnsi="宋体" w:eastAsia="宋体" w:cs="宋体"/>
                <w:spacing w:val="8"/>
                <w:sz w:val="20"/>
                <w:szCs w:val="20"/>
              </w:rPr>
              <w:t>徐家湾村民</w:t>
            </w:r>
          </w:p>
        </w:tc>
        <w:tc>
          <w:tcPr>
            <w:tcW w:w="895" w:type="dxa"/>
          </w:tcPr>
          <w:p w14:paraId="4004C4ED">
            <w:pPr>
              <w:spacing w:before="74" w:line="228" w:lineRule="auto"/>
              <w:ind w:left="241"/>
              <w:rPr>
                <w:rFonts w:ascii="宋体" w:hAnsi="宋体" w:eastAsia="宋体" w:cs="宋体"/>
                <w:sz w:val="20"/>
                <w:szCs w:val="20"/>
              </w:rPr>
            </w:pPr>
            <w:r>
              <w:rPr>
                <w:rFonts w:ascii="宋体" w:hAnsi="宋体" w:eastAsia="宋体" w:cs="宋体"/>
                <w:spacing w:val="5"/>
                <w:sz w:val="20"/>
                <w:szCs w:val="20"/>
              </w:rPr>
              <w:t>散户</w:t>
            </w:r>
          </w:p>
        </w:tc>
        <w:tc>
          <w:tcPr>
            <w:tcW w:w="1245" w:type="dxa"/>
          </w:tcPr>
          <w:p w14:paraId="12037ED5">
            <w:pPr>
              <w:spacing w:before="75" w:line="228" w:lineRule="auto"/>
              <w:ind w:left="182"/>
              <w:rPr>
                <w:rFonts w:ascii="宋体" w:hAnsi="宋体" w:eastAsia="宋体" w:cs="宋体"/>
                <w:sz w:val="20"/>
                <w:szCs w:val="20"/>
              </w:rPr>
            </w:pPr>
            <w:r>
              <w:rPr>
                <w:rFonts w:ascii="Times New Roman" w:hAnsi="Times New Roman" w:eastAsia="Times New Roman" w:cs="Times New Roman"/>
                <w:spacing w:val="-4"/>
                <w:sz w:val="20"/>
                <w:szCs w:val="20"/>
              </w:rPr>
              <w:t>3</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 xml:space="preserve">户 </w:t>
            </w:r>
            <w:r>
              <w:rPr>
                <w:rFonts w:ascii="Times New Roman" w:hAnsi="Times New Roman" w:eastAsia="Times New Roman" w:cs="Times New Roman"/>
                <w:spacing w:val="-2"/>
                <w:sz w:val="20"/>
                <w:szCs w:val="20"/>
              </w:rPr>
              <w:t xml:space="preserve">10 </w:t>
            </w:r>
            <w:r>
              <w:rPr>
                <w:rFonts w:ascii="宋体" w:hAnsi="宋体" w:eastAsia="宋体" w:cs="宋体"/>
                <w:spacing w:val="-2"/>
                <w:sz w:val="20"/>
                <w:szCs w:val="20"/>
              </w:rPr>
              <w:t>人</w:t>
            </w:r>
          </w:p>
        </w:tc>
        <w:tc>
          <w:tcPr>
            <w:tcW w:w="690" w:type="dxa"/>
            <w:vMerge w:val="restart"/>
            <w:tcBorders>
              <w:bottom w:val="nil"/>
            </w:tcBorders>
          </w:tcPr>
          <w:p w14:paraId="2B2576D7">
            <w:pPr>
              <w:spacing w:line="241" w:lineRule="auto"/>
            </w:pPr>
          </w:p>
          <w:p w14:paraId="574CD831">
            <w:pPr>
              <w:spacing w:before="58" w:line="192" w:lineRule="auto"/>
              <w:ind w:left="165"/>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N</w:t>
            </w:r>
            <w:r>
              <w:rPr>
                <w:rFonts w:ascii="Times New Roman" w:hAnsi="Times New Roman" w:eastAsia="Times New Roman" w:cs="Times New Roman"/>
                <w:spacing w:val="8"/>
                <w:sz w:val="20"/>
                <w:szCs w:val="20"/>
              </w:rPr>
              <w:t>W</w:t>
            </w:r>
          </w:p>
        </w:tc>
        <w:tc>
          <w:tcPr>
            <w:tcW w:w="1215" w:type="dxa"/>
          </w:tcPr>
          <w:p w14:paraId="3A0EB195">
            <w:pPr>
              <w:spacing w:before="112" w:line="195" w:lineRule="auto"/>
              <w:ind w:left="24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319~322</w:t>
            </w:r>
          </w:p>
        </w:tc>
        <w:tc>
          <w:tcPr>
            <w:tcW w:w="2610" w:type="dxa"/>
            <w:vMerge w:val="continue"/>
            <w:tcBorders>
              <w:top w:val="nil"/>
              <w:bottom w:val="nil"/>
              <w:right w:val="nil"/>
            </w:tcBorders>
          </w:tcPr>
          <w:p w14:paraId="60BF7C8A"/>
        </w:tc>
      </w:tr>
      <w:tr w14:paraId="48506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1236" w:type="dxa"/>
            <w:vMerge w:val="continue"/>
            <w:tcBorders>
              <w:top w:val="nil"/>
              <w:left w:val="nil"/>
            </w:tcBorders>
          </w:tcPr>
          <w:p w14:paraId="4CC3E14C"/>
        </w:tc>
        <w:tc>
          <w:tcPr>
            <w:tcW w:w="1821" w:type="dxa"/>
          </w:tcPr>
          <w:p w14:paraId="11A6F6B5">
            <w:pPr>
              <w:spacing w:before="74" w:line="227" w:lineRule="auto"/>
              <w:ind w:left="394"/>
              <w:rPr>
                <w:rFonts w:ascii="宋体" w:hAnsi="宋体" w:eastAsia="宋体" w:cs="宋体"/>
                <w:sz w:val="20"/>
                <w:szCs w:val="20"/>
              </w:rPr>
            </w:pPr>
            <w:r>
              <w:rPr>
                <w:rFonts w:ascii="宋体" w:hAnsi="宋体" w:eastAsia="宋体" w:cs="宋体"/>
                <w:spacing w:val="8"/>
                <w:sz w:val="20"/>
                <w:szCs w:val="20"/>
              </w:rPr>
              <w:t>贾</w:t>
            </w:r>
            <w:r>
              <w:rPr>
                <w:rFonts w:ascii="宋体" w:hAnsi="宋体" w:eastAsia="宋体" w:cs="宋体"/>
                <w:spacing w:val="7"/>
                <w:sz w:val="20"/>
                <w:szCs w:val="20"/>
              </w:rPr>
              <w:t>家湾村民</w:t>
            </w:r>
          </w:p>
        </w:tc>
        <w:tc>
          <w:tcPr>
            <w:tcW w:w="895" w:type="dxa"/>
          </w:tcPr>
          <w:p w14:paraId="4D5325EA">
            <w:pPr>
              <w:spacing w:before="74" w:line="227" w:lineRule="auto"/>
              <w:ind w:left="243"/>
              <w:rPr>
                <w:rFonts w:ascii="宋体" w:hAnsi="宋体" w:eastAsia="宋体" w:cs="宋体"/>
                <w:sz w:val="20"/>
                <w:szCs w:val="20"/>
              </w:rPr>
            </w:pPr>
            <w:r>
              <w:rPr>
                <w:rFonts w:ascii="宋体" w:hAnsi="宋体" w:eastAsia="宋体" w:cs="宋体"/>
                <w:spacing w:val="4"/>
                <w:sz w:val="20"/>
                <w:szCs w:val="20"/>
              </w:rPr>
              <w:t>村落</w:t>
            </w:r>
          </w:p>
        </w:tc>
        <w:tc>
          <w:tcPr>
            <w:tcW w:w="1245" w:type="dxa"/>
          </w:tcPr>
          <w:p w14:paraId="09E269A3">
            <w:pPr>
              <w:spacing w:before="75" w:line="228" w:lineRule="auto"/>
              <w:ind w:left="183"/>
              <w:rPr>
                <w:rFonts w:ascii="宋体" w:hAnsi="宋体" w:eastAsia="宋体" w:cs="宋体"/>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 xml:space="preserve">户 </w:t>
            </w:r>
            <w:r>
              <w:rPr>
                <w:rFonts w:ascii="Times New Roman" w:hAnsi="Times New Roman" w:eastAsia="Times New Roman" w:cs="Times New Roman"/>
                <w:spacing w:val="-2"/>
                <w:sz w:val="20"/>
                <w:szCs w:val="20"/>
              </w:rPr>
              <w:t xml:space="preserve">25 </w:t>
            </w:r>
            <w:r>
              <w:rPr>
                <w:rFonts w:ascii="宋体" w:hAnsi="宋体" w:eastAsia="宋体" w:cs="宋体"/>
                <w:spacing w:val="-2"/>
                <w:sz w:val="20"/>
                <w:szCs w:val="20"/>
              </w:rPr>
              <w:t>人</w:t>
            </w:r>
          </w:p>
        </w:tc>
        <w:tc>
          <w:tcPr>
            <w:tcW w:w="690" w:type="dxa"/>
            <w:vMerge w:val="continue"/>
            <w:tcBorders>
              <w:top w:val="nil"/>
            </w:tcBorders>
          </w:tcPr>
          <w:p w14:paraId="4DFB4DB5"/>
        </w:tc>
        <w:tc>
          <w:tcPr>
            <w:tcW w:w="1215" w:type="dxa"/>
          </w:tcPr>
          <w:p w14:paraId="3CE0FB23">
            <w:pPr>
              <w:spacing w:before="112" w:line="195" w:lineRule="auto"/>
              <w:ind w:left="19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80</w:t>
            </w:r>
            <w:r>
              <w:rPr>
                <w:rFonts w:ascii="Times New Roman" w:hAnsi="Times New Roman" w:eastAsia="Times New Roman" w:cs="Times New Roman"/>
                <w:spacing w:val="-3"/>
                <w:sz w:val="20"/>
                <w:szCs w:val="20"/>
              </w:rPr>
              <w:t>8</w:t>
            </w:r>
            <w:r>
              <w:rPr>
                <w:rFonts w:ascii="Times New Roman" w:hAnsi="Times New Roman" w:eastAsia="Times New Roman" w:cs="Times New Roman"/>
                <w:spacing w:val="-2"/>
                <w:sz w:val="20"/>
                <w:szCs w:val="20"/>
              </w:rPr>
              <w:t>~ 1098</w:t>
            </w:r>
          </w:p>
        </w:tc>
        <w:tc>
          <w:tcPr>
            <w:tcW w:w="2610" w:type="dxa"/>
            <w:vMerge w:val="continue"/>
            <w:tcBorders>
              <w:top w:val="nil"/>
              <w:right w:val="nil"/>
            </w:tcBorders>
          </w:tcPr>
          <w:p w14:paraId="1E0F3426"/>
        </w:tc>
      </w:tr>
      <w:tr w14:paraId="789356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1236" w:type="dxa"/>
            <w:vMerge w:val="restart"/>
            <w:tcBorders>
              <w:left w:val="nil"/>
              <w:bottom w:val="nil"/>
            </w:tcBorders>
          </w:tcPr>
          <w:p w14:paraId="4F5C6FAF">
            <w:pPr>
              <w:spacing w:line="261" w:lineRule="auto"/>
            </w:pPr>
          </w:p>
          <w:p w14:paraId="28356CDC">
            <w:pPr>
              <w:spacing w:line="262" w:lineRule="auto"/>
            </w:pPr>
          </w:p>
          <w:p w14:paraId="249DF70F">
            <w:pPr>
              <w:spacing w:before="65" w:line="265" w:lineRule="auto"/>
              <w:ind w:left="520" w:right="198" w:hanging="315"/>
              <w:rPr>
                <w:rFonts w:ascii="宋体" w:hAnsi="宋体" w:eastAsia="宋体" w:cs="宋体"/>
                <w:sz w:val="20"/>
                <w:szCs w:val="20"/>
              </w:rPr>
            </w:pPr>
            <w:r>
              <w:rPr>
                <w:rFonts w:ascii="宋体" w:hAnsi="宋体" w:eastAsia="宋体" w:cs="宋体"/>
                <w:spacing w:val="8"/>
                <w:sz w:val="20"/>
                <w:szCs w:val="20"/>
              </w:rPr>
              <w:t>地</w:t>
            </w:r>
            <w:r>
              <w:rPr>
                <w:rFonts w:ascii="宋体" w:hAnsi="宋体" w:eastAsia="宋体" w:cs="宋体"/>
                <w:spacing w:val="7"/>
                <w:sz w:val="20"/>
                <w:szCs w:val="20"/>
              </w:rPr>
              <w:t>表水环</w:t>
            </w:r>
            <w:r>
              <w:rPr>
                <w:rFonts w:ascii="宋体" w:hAnsi="宋体" w:eastAsia="宋体" w:cs="宋体"/>
                <w:sz w:val="20"/>
                <w:szCs w:val="20"/>
              </w:rPr>
              <w:t xml:space="preserve"> 境</w:t>
            </w:r>
          </w:p>
        </w:tc>
        <w:tc>
          <w:tcPr>
            <w:tcW w:w="1821" w:type="dxa"/>
          </w:tcPr>
          <w:p w14:paraId="5B1BCAB2">
            <w:pPr>
              <w:spacing w:before="167" w:line="228" w:lineRule="auto"/>
              <w:ind w:left="502"/>
              <w:rPr>
                <w:rFonts w:ascii="宋体" w:hAnsi="宋体" w:eastAsia="宋体" w:cs="宋体"/>
                <w:sz w:val="20"/>
                <w:szCs w:val="20"/>
              </w:rPr>
            </w:pPr>
            <w:r>
              <w:rPr>
                <w:rFonts w:ascii="宋体" w:hAnsi="宋体" w:eastAsia="宋体" w:cs="宋体"/>
                <w:spacing w:val="8"/>
                <w:sz w:val="20"/>
                <w:szCs w:val="20"/>
              </w:rPr>
              <w:t>羊</w:t>
            </w:r>
            <w:r>
              <w:rPr>
                <w:rFonts w:ascii="宋体" w:hAnsi="宋体" w:eastAsia="宋体" w:cs="宋体"/>
                <w:spacing w:val="5"/>
                <w:sz w:val="20"/>
                <w:szCs w:val="20"/>
              </w:rPr>
              <w:t>叉水库</w:t>
            </w:r>
          </w:p>
        </w:tc>
        <w:tc>
          <w:tcPr>
            <w:tcW w:w="895" w:type="dxa"/>
            <w:vMerge w:val="restart"/>
            <w:tcBorders>
              <w:bottom w:val="nil"/>
            </w:tcBorders>
          </w:tcPr>
          <w:p w14:paraId="543BFD1C">
            <w:pPr>
              <w:spacing w:line="261" w:lineRule="auto"/>
            </w:pPr>
          </w:p>
          <w:p w14:paraId="1C69EAF9">
            <w:pPr>
              <w:spacing w:line="261" w:lineRule="auto"/>
            </w:pPr>
          </w:p>
          <w:p w14:paraId="26681718">
            <w:pPr>
              <w:spacing w:before="65" w:line="265" w:lineRule="auto"/>
              <w:ind w:left="240" w:right="132" w:hanging="88"/>
              <w:rPr>
                <w:rFonts w:ascii="宋体" w:hAnsi="宋体" w:eastAsia="宋体" w:cs="宋体"/>
                <w:sz w:val="20"/>
                <w:szCs w:val="20"/>
              </w:rPr>
            </w:pPr>
            <w:r>
              <w:rPr>
                <w:rFonts w:ascii="宋体" w:hAnsi="宋体" w:eastAsia="宋体" w:cs="宋体"/>
                <w:spacing w:val="2"/>
                <w:sz w:val="20"/>
                <w:szCs w:val="20"/>
              </w:rPr>
              <w:t>附</w:t>
            </w:r>
            <w:r>
              <w:rPr>
                <w:rFonts w:ascii="宋体" w:hAnsi="宋体" w:eastAsia="宋体" w:cs="宋体"/>
                <w:spacing w:val="1"/>
                <w:sz w:val="20"/>
                <w:szCs w:val="20"/>
              </w:rPr>
              <w:t>近地</w:t>
            </w:r>
            <w:r>
              <w:rPr>
                <w:rFonts w:ascii="宋体" w:hAnsi="宋体" w:eastAsia="宋体" w:cs="宋体"/>
                <w:sz w:val="20"/>
                <w:szCs w:val="20"/>
              </w:rPr>
              <w:t xml:space="preserve"> </w:t>
            </w:r>
            <w:r>
              <w:rPr>
                <w:rFonts w:ascii="宋体" w:hAnsi="宋体" w:eastAsia="宋体" w:cs="宋体"/>
                <w:spacing w:val="5"/>
                <w:sz w:val="20"/>
                <w:szCs w:val="20"/>
              </w:rPr>
              <w:t>表水</w:t>
            </w:r>
          </w:p>
        </w:tc>
        <w:tc>
          <w:tcPr>
            <w:tcW w:w="1245" w:type="dxa"/>
          </w:tcPr>
          <w:p w14:paraId="024AB5E2">
            <w:pPr>
              <w:spacing w:before="130" w:line="281" w:lineRule="exact"/>
              <w:ind w:left="589"/>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690" w:type="dxa"/>
          </w:tcPr>
          <w:p w14:paraId="0730617E">
            <w:pPr>
              <w:spacing w:before="207" w:line="192" w:lineRule="auto"/>
              <w:ind w:left="198"/>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NE</w:t>
            </w:r>
          </w:p>
        </w:tc>
        <w:tc>
          <w:tcPr>
            <w:tcW w:w="1215" w:type="dxa"/>
          </w:tcPr>
          <w:p w14:paraId="6618CFB4">
            <w:pPr>
              <w:spacing w:before="204" w:line="195" w:lineRule="auto"/>
              <w:ind w:left="451"/>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56</w:t>
            </w:r>
          </w:p>
        </w:tc>
        <w:tc>
          <w:tcPr>
            <w:tcW w:w="2610" w:type="dxa"/>
            <w:vMerge w:val="restart"/>
            <w:tcBorders>
              <w:bottom w:val="nil"/>
              <w:right w:val="nil"/>
            </w:tcBorders>
          </w:tcPr>
          <w:p w14:paraId="60E50E50">
            <w:pPr>
              <w:spacing w:line="261" w:lineRule="auto"/>
            </w:pPr>
          </w:p>
          <w:p w14:paraId="4E62ED20">
            <w:pPr>
              <w:spacing w:line="261" w:lineRule="auto"/>
            </w:pPr>
          </w:p>
          <w:p w14:paraId="442FCB34">
            <w:pPr>
              <w:spacing w:before="65" w:line="265" w:lineRule="auto"/>
              <w:ind w:left="264" w:right="164" w:hanging="104"/>
              <w:rPr>
                <w:rFonts w:ascii="宋体" w:hAnsi="宋体" w:eastAsia="宋体" w:cs="宋体"/>
                <w:sz w:val="20"/>
                <w:szCs w:val="20"/>
              </w:rPr>
            </w:pPr>
            <w:r>
              <w:rPr>
                <w:rFonts w:ascii="宋体" w:hAnsi="宋体" w:eastAsia="宋体" w:cs="宋体"/>
                <w:spacing w:val="12"/>
                <w:sz w:val="20"/>
                <w:szCs w:val="20"/>
              </w:rPr>
              <w:t>《</w:t>
            </w:r>
            <w:r>
              <w:rPr>
                <w:rFonts w:ascii="宋体" w:hAnsi="宋体" w:eastAsia="宋体" w:cs="宋体"/>
                <w:spacing w:val="7"/>
                <w:sz w:val="20"/>
                <w:szCs w:val="20"/>
              </w:rPr>
              <w:t>地表水环境质量标准》</w:t>
            </w:r>
            <w:r>
              <w:rPr>
                <w:rFonts w:ascii="宋体" w:hAnsi="宋体" w:eastAsia="宋体" w:cs="宋体"/>
                <w:sz w:val="20"/>
                <w:szCs w:val="20"/>
              </w:rPr>
              <w:t xml:space="preserve"> </w:t>
            </w:r>
            <w:r>
              <w:rPr>
                <w:rFonts w:ascii="Times New Roman" w:hAnsi="Times New Roman" w:eastAsia="Times New Roman" w:cs="Times New Roman"/>
                <w:sz w:val="20"/>
                <w:szCs w:val="20"/>
              </w:rPr>
              <w:t>GB</w:t>
            </w:r>
            <w:r>
              <w:rPr>
                <w:rFonts w:ascii="Times New Roman" w:hAnsi="Times New Roman" w:eastAsia="Times New Roman" w:cs="Times New Roman"/>
                <w:spacing w:val="12"/>
                <w:sz w:val="20"/>
                <w:szCs w:val="20"/>
              </w:rPr>
              <w:t>3</w:t>
            </w:r>
            <w:r>
              <w:rPr>
                <w:rFonts w:ascii="Times New Roman" w:hAnsi="Times New Roman" w:eastAsia="Times New Roman" w:cs="Times New Roman"/>
                <w:spacing w:val="7"/>
                <w:sz w:val="20"/>
                <w:szCs w:val="20"/>
              </w:rPr>
              <w:t>8</w:t>
            </w:r>
            <w:r>
              <w:rPr>
                <w:rFonts w:ascii="Times New Roman" w:hAnsi="Times New Roman" w:eastAsia="Times New Roman" w:cs="Times New Roman"/>
                <w:spacing w:val="6"/>
                <w:sz w:val="20"/>
                <w:szCs w:val="20"/>
              </w:rPr>
              <w:t xml:space="preserve">38-2002 </w:t>
            </w:r>
            <w:r>
              <w:rPr>
                <w:rFonts w:ascii="宋体" w:hAnsi="宋体" w:eastAsia="宋体" w:cs="宋体"/>
                <w:spacing w:val="6"/>
                <w:sz w:val="20"/>
                <w:szCs w:val="20"/>
              </w:rPr>
              <w:t>Ⅲ类标准</w:t>
            </w:r>
          </w:p>
        </w:tc>
      </w:tr>
      <w:tr w14:paraId="24EC85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1236" w:type="dxa"/>
            <w:vMerge w:val="continue"/>
            <w:tcBorders>
              <w:top w:val="nil"/>
              <w:left w:val="nil"/>
              <w:bottom w:val="nil"/>
            </w:tcBorders>
          </w:tcPr>
          <w:p w14:paraId="477A44B8"/>
        </w:tc>
        <w:tc>
          <w:tcPr>
            <w:tcW w:w="1821" w:type="dxa"/>
          </w:tcPr>
          <w:p w14:paraId="38AB2E78">
            <w:pPr>
              <w:spacing w:before="170" w:line="228" w:lineRule="auto"/>
              <w:ind w:left="496"/>
              <w:rPr>
                <w:rFonts w:ascii="宋体" w:hAnsi="宋体" w:eastAsia="宋体" w:cs="宋体"/>
                <w:sz w:val="20"/>
                <w:szCs w:val="20"/>
              </w:rPr>
            </w:pPr>
            <w:r>
              <w:rPr>
                <w:rFonts w:ascii="宋体" w:hAnsi="宋体" w:eastAsia="宋体" w:cs="宋体"/>
                <w:spacing w:val="8"/>
                <w:sz w:val="20"/>
                <w:szCs w:val="20"/>
              </w:rPr>
              <w:t>全</w:t>
            </w:r>
            <w:r>
              <w:rPr>
                <w:rFonts w:ascii="宋体" w:hAnsi="宋体" w:eastAsia="宋体" w:cs="宋体"/>
                <w:spacing w:val="7"/>
                <w:sz w:val="20"/>
                <w:szCs w:val="20"/>
              </w:rPr>
              <w:t>胜水库</w:t>
            </w:r>
          </w:p>
        </w:tc>
        <w:tc>
          <w:tcPr>
            <w:tcW w:w="895" w:type="dxa"/>
            <w:vMerge w:val="continue"/>
            <w:tcBorders>
              <w:top w:val="nil"/>
              <w:bottom w:val="nil"/>
            </w:tcBorders>
          </w:tcPr>
          <w:p w14:paraId="1A229374"/>
        </w:tc>
        <w:tc>
          <w:tcPr>
            <w:tcW w:w="1245" w:type="dxa"/>
          </w:tcPr>
          <w:p w14:paraId="3B7F8529">
            <w:pPr>
              <w:spacing w:before="132" w:line="281" w:lineRule="exact"/>
              <w:ind w:left="589"/>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690" w:type="dxa"/>
          </w:tcPr>
          <w:p w14:paraId="26243C54">
            <w:pPr>
              <w:spacing w:before="206" w:line="195" w:lineRule="auto"/>
              <w:ind w:left="23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SE</w:t>
            </w:r>
          </w:p>
        </w:tc>
        <w:tc>
          <w:tcPr>
            <w:tcW w:w="1215" w:type="dxa"/>
          </w:tcPr>
          <w:p w14:paraId="572B3277">
            <w:pPr>
              <w:spacing w:before="206" w:line="195" w:lineRule="auto"/>
              <w:ind w:left="45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612</w:t>
            </w:r>
          </w:p>
        </w:tc>
        <w:tc>
          <w:tcPr>
            <w:tcW w:w="2610" w:type="dxa"/>
            <w:vMerge w:val="continue"/>
            <w:tcBorders>
              <w:top w:val="nil"/>
              <w:bottom w:val="nil"/>
              <w:right w:val="nil"/>
            </w:tcBorders>
          </w:tcPr>
          <w:p w14:paraId="2F3BD1CE"/>
        </w:tc>
      </w:tr>
      <w:tr w14:paraId="543788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1236" w:type="dxa"/>
            <w:vMerge w:val="continue"/>
            <w:tcBorders>
              <w:top w:val="nil"/>
              <w:left w:val="nil"/>
            </w:tcBorders>
          </w:tcPr>
          <w:p w14:paraId="20D4269D"/>
        </w:tc>
        <w:tc>
          <w:tcPr>
            <w:tcW w:w="1821" w:type="dxa"/>
          </w:tcPr>
          <w:p w14:paraId="05DA254A">
            <w:pPr>
              <w:spacing w:before="169" w:line="228" w:lineRule="auto"/>
              <w:ind w:left="496"/>
              <w:rPr>
                <w:rFonts w:ascii="宋体" w:hAnsi="宋体" w:eastAsia="宋体" w:cs="宋体"/>
                <w:sz w:val="20"/>
                <w:szCs w:val="20"/>
              </w:rPr>
            </w:pPr>
            <w:r>
              <w:rPr>
                <w:rFonts w:ascii="宋体" w:hAnsi="宋体" w:eastAsia="宋体" w:cs="宋体"/>
                <w:spacing w:val="7"/>
                <w:sz w:val="20"/>
                <w:szCs w:val="20"/>
              </w:rPr>
              <w:t>毛坝水库</w:t>
            </w:r>
          </w:p>
        </w:tc>
        <w:tc>
          <w:tcPr>
            <w:tcW w:w="895" w:type="dxa"/>
            <w:vMerge w:val="continue"/>
            <w:tcBorders>
              <w:top w:val="nil"/>
            </w:tcBorders>
          </w:tcPr>
          <w:p w14:paraId="1CD5299A"/>
        </w:tc>
        <w:tc>
          <w:tcPr>
            <w:tcW w:w="1245" w:type="dxa"/>
          </w:tcPr>
          <w:p w14:paraId="38A9C8BF">
            <w:pPr>
              <w:spacing w:before="132" w:line="281" w:lineRule="exact"/>
              <w:ind w:left="589"/>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690" w:type="dxa"/>
          </w:tcPr>
          <w:p w14:paraId="64870C05">
            <w:pPr>
              <w:spacing w:before="208" w:line="192" w:lineRule="auto"/>
              <w:ind w:left="247"/>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W</w:t>
            </w:r>
          </w:p>
        </w:tc>
        <w:tc>
          <w:tcPr>
            <w:tcW w:w="1215" w:type="dxa"/>
          </w:tcPr>
          <w:p w14:paraId="2BE50458">
            <w:pPr>
              <w:spacing w:before="206" w:line="195" w:lineRule="auto"/>
              <w:ind w:left="41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1820</w:t>
            </w:r>
          </w:p>
        </w:tc>
        <w:tc>
          <w:tcPr>
            <w:tcW w:w="2610" w:type="dxa"/>
            <w:vMerge w:val="continue"/>
            <w:tcBorders>
              <w:top w:val="nil"/>
              <w:right w:val="nil"/>
            </w:tcBorders>
          </w:tcPr>
          <w:p w14:paraId="0BE4665C"/>
        </w:tc>
      </w:tr>
      <w:tr w14:paraId="23397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7" w:hRule="atLeast"/>
        </w:trPr>
        <w:tc>
          <w:tcPr>
            <w:tcW w:w="1236" w:type="dxa"/>
            <w:tcBorders>
              <w:left w:val="nil"/>
            </w:tcBorders>
          </w:tcPr>
          <w:p w14:paraId="7176AF9F">
            <w:pPr>
              <w:spacing w:before="287" w:line="267" w:lineRule="auto"/>
              <w:ind w:left="520" w:right="198" w:hanging="315"/>
              <w:rPr>
                <w:rFonts w:ascii="宋体" w:hAnsi="宋体" w:eastAsia="宋体" w:cs="宋体"/>
                <w:sz w:val="20"/>
                <w:szCs w:val="20"/>
              </w:rPr>
            </w:pPr>
            <w:r>
              <w:rPr>
                <w:rFonts w:ascii="宋体" w:hAnsi="宋体" w:eastAsia="宋体" w:cs="宋体"/>
                <w:spacing w:val="8"/>
                <w:sz w:val="20"/>
                <w:szCs w:val="20"/>
              </w:rPr>
              <w:t>地</w:t>
            </w:r>
            <w:r>
              <w:rPr>
                <w:rFonts w:ascii="宋体" w:hAnsi="宋体" w:eastAsia="宋体" w:cs="宋体"/>
                <w:spacing w:val="7"/>
                <w:sz w:val="20"/>
                <w:szCs w:val="20"/>
              </w:rPr>
              <w:t>下水环</w:t>
            </w:r>
            <w:r>
              <w:rPr>
                <w:rFonts w:ascii="宋体" w:hAnsi="宋体" w:eastAsia="宋体" w:cs="宋体"/>
                <w:sz w:val="20"/>
                <w:szCs w:val="20"/>
              </w:rPr>
              <w:t xml:space="preserve"> 境</w:t>
            </w:r>
          </w:p>
        </w:tc>
        <w:tc>
          <w:tcPr>
            <w:tcW w:w="1821" w:type="dxa"/>
          </w:tcPr>
          <w:p w14:paraId="713C592D">
            <w:pPr>
              <w:spacing w:before="149" w:line="227" w:lineRule="auto"/>
              <w:ind w:left="180"/>
              <w:rPr>
                <w:rFonts w:ascii="宋体" w:hAnsi="宋体" w:eastAsia="宋体" w:cs="宋体"/>
                <w:sz w:val="20"/>
                <w:szCs w:val="20"/>
              </w:rPr>
            </w:pPr>
            <w:r>
              <w:rPr>
                <w:rFonts w:ascii="宋体" w:hAnsi="宋体" w:eastAsia="宋体" w:cs="宋体"/>
                <w:spacing w:val="9"/>
                <w:sz w:val="20"/>
                <w:szCs w:val="20"/>
              </w:rPr>
              <w:t>场区下游村庄</w:t>
            </w:r>
            <w:r>
              <w:rPr>
                <w:rFonts w:ascii="宋体" w:hAnsi="宋体" w:eastAsia="宋体" w:cs="宋体"/>
                <w:spacing w:val="7"/>
                <w:sz w:val="20"/>
                <w:szCs w:val="20"/>
              </w:rPr>
              <w:t>地</w:t>
            </w:r>
          </w:p>
          <w:p w14:paraId="3335FB46">
            <w:pPr>
              <w:spacing w:before="27" w:line="228" w:lineRule="auto"/>
              <w:ind w:left="120"/>
              <w:rPr>
                <w:rFonts w:ascii="宋体" w:hAnsi="宋体" w:eastAsia="宋体" w:cs="宋体"/>
                <w:sz w:val="20"/>
                <w:szCs w:val="20"/>
              </w:rPr>
            </w:pPr>
            <w:r>
              <w:rPr>
                <w:rFonts w:ascii="宋体" w:hAnsi="宋体" w:eastAsia="宋体" w:cs="宋体"/>
                <w:spacing w:val="-2"/>
                <w:sz w:val="20"/>
                <w:szCs w:val="20"/>
              </w:rPr>
              <w:t>下水、配</w:t>
            </w:r>
            <w:r>
              <w:rPr>
                <w:rFonts w:ascii="宋体" w:hAnsi="宋体" w:eastAsia="宋体" w:cs="宋体"/>
                <w:spacing w:val="-1"/>
                <w:sz w:val="20"/>
                <w:szCs w:val="20"/>
              </w:rPr>
              <w:t>套农田附</w:t>
            </w:r>
          </w:p>
          <w:p w14:paraId="38F583DF">
            <w:pPr>
              <w:spacing w:before="24" w:line="227" w:lineRule="auto"/>
              <w:ind w:left="283"/>
              <w:rPr>
                <w:rFonts w:ascii="宋体" w:hAnsi="宋体" w:eastAsia="宋体" w:cs="宋体"/>
                <w:sz w:val="20"/>
                <w:szCs w:val="20"/>
              </w:rPr>
            </w:pPr>
            <w:r>
              <w:rPr>
                <w:rFonts w:ascii="宋体" w:hAnsi="宋体" w:eastAsia="宋体" w:cs="宋体"/>
                <w:spacing w:val="10"/>
                <w:sz w:val="20"/>
                <w:szCs w:val="20"/>
              </w:rPr>
              <w:t>近</w:t>
            </w:r>
            <w:r>
              <w:rPr>
                <w:rFonts w:ascii="宋体" w:hAnsi="宋体" w:eastAsia="宋体" w:cs="宋体"/>
                <w:spacing w:val="8"/>
                <w:sz w:val="20"/>
                <w:szCs w:val="20"/>
              </w:rPr>
              <w:t>村庄地下水</w:t>
            </w:r>
          </w:p>
        </w:tc>
        <w:tc>
          <w:tcPr>
            <w:tcW w:w="895" w:type="dxa"/>
          </w:tcPr>
          <w:p w14:paraId="3DD0DAE1">
            <w:pPr>
              <w:spacing w:line="243" w:lineRule="auto"/>
            </w:pPr>
          </w:p>
          <w:p w14:paraId="1069AD8D">
            <w:pPr>
              <w:spacing w:line="244" w:lineRule="auto"/>
            </w:pPr>
          </w:p>
          <w:p w14:paraId="4133BC76">
            <w:pPr>
              <w:spacing w:before="57" w:line="136" w:lineRule="exact"/>
              <w:ind w:left="35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w:t>
            </w:r>
          </w:p>
        </w:tc>
        <w:tc>
          <w:tcPr>
            <w:tcW w:w="1245" w:type="dxa"/>
          </w:tcPr>
          <w:p w14:paraId="78D1C438">
            <w:pPr>
              <w:spacing w:line="243" w:lineRule="auto"/>
            </w:pPr>
          </w:p>
          <w:p w14:paraId="226191E1">
            <w:pPr>
              <w:spacing w:line="244" w:lineRule="auto"/>
            </w:pPr>
          </w:p>
          <w:p w14:paraId="14263032">
            <w:pPr>
              <w:spacing w:before="57" w:line="136" w:lineRule="exact"/>
              <w:ind w:left="52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w:t>
            </w:r>
          </w:p>
        </w:tc>
        <w:tc>
          <w:tcPr>
            <w:tcW w:w="690" w:type="dxa"/>
          </w:tcPr>
          <w:p w14:paraId="18139E45">
            <w:pPr>
              <w:spacing w:line="243" w:lineRule="auto"/>
            </w:pPr>
          </w:p>
          <w:p w14:paraId="43AB8812">
            <w:pPr>
              <w:spacing w:line="244" w:lineRule="auto"/>
            </w:pPr>
          </w:p>
          <w:p w14:paraId="268FED90">
            <w:pPr>
              <w:spacing w:before="57" w:line="136" w:lineRule="exact"/>
              <w:ind w:left="245"/>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1215" w:type="dxa"/>
          </w:tcPr>
          <w:p w14:paraId="7A996AAD">
            <w:pPr>
              <w:spacing w:line="243" w:lineRule="auto"/>
            </w:pPr>
          </w:p>
          <w:p w14:paraId="6A9E65FB">
            <w:pPr>
              <w:spacing w:line="244" w:lineRule="auto"/>
            </w:pPr>
          </w:p>
          <w:p w14:paraId="59BB4731">
            <w:pPr>
              <w:spacing w:before="57" w:line="136" w:lineRule="exact"/>
              <w:ind w:left="51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w:t>
            </w:r>
          </w:p>
        </w:tc>
        <w:tc>
          <w:tcPr>
            <w:tcW w:w="2610" w:type="dxa"/>
            <w:tcBorders>
              <w:right w:val="nil"/>
            </w:tcBorders>
          </w:tcPr>
          <w:p w14:paraId="00A70A0E">
            <w:pPr>
              <w:spacing w:before="287" w:line="267" w:lineRule="auto"/>
              <w:ind w:left="155" w:right="137" w:firstLine="215"/>
              <w:rPr>
                <w:rFonts w:ascii="宋体" w:hAnsi="宋体" w:eastAsia="宋体" w:cs="宋体"/>
                <w:sz w:val="20"/>
                <w:szCs w:val="20"/>
              </w:rPr>
            </w:pPr>
            <w:r>
              <w:rPr>
                <w:rFonts w:ascii="宋体" w:hAnsi="宋体" w:eastAsia="宋体" w:cs="宋体"/>
                <w:spacing w:val="7"/>
                <w:sz w:val="20"/>
                <w:szCs w:val="20"/>
              </w:rPr>
              <w:t>《地下水质量标准</w:t>
            </w:r>
            <w:r>
              <w:rPr>
                <w:rFonts w:ascii="宋体" w:hAnsi="宋体" w:eastAsia="宋体" w:cs="宋体"/>
                <w:spacing w:val="6"/>
                <w:sz w:val="20"/>
                <w:szCs w:val="20"/>
              </w:rPr>
              <w:t>》</w:t>
            </w:r>
            <w:r>
              <w:rPr>
                <w:rFonts w:ascii="宋体" w:hAnsi="宋体" w:eastAsia="宋体" w:cs="宋体"/>
                <w:sz w:val="20"/>
                <w:szCs w:val="20"/>
              </w:rPr>
              <w:t xml:space="preserve">  </w:t>
            </w:r>
            <w:r>
              <w:rPr>
                <w:rFonts w:ascii="宋体" w:hAnsi="宋体" w:eastAsia="宋体" w:cs="宋体"/>
                <w:spacing w:val="12"/>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12"/>
                <w:sz w:val="20"/>
                <w:szCs w:val="20"/>
              </w:rPr>
              <w:t>/</w:t>
            </w:r>
            <w:r>
              <w:rPr>
                <w:rFonts w:ascii="Times New Roman" w:hAnsi="Times New Roman" w:eastAsia="Times New Roman" w:cs="Times New Roman"/>
                <w:sz w:val="20"/>
                <w:szCs w:val="20"/>
              </w:rPr>
              <w:t>T</w:t>
            </w:r>
            <w:r>
              <w:rPr>
                <w:rFonts w:ascii="Times New Roman" w:hAnsi="Times New Roman" w:eastAsia="Times New Roman" w:cs="Times New Roman"/>
                <w:spacing w:val="12"/>
                <w:sz w:val="20"/>
                <w:szCs w:val="20"/>
              </w:rPr>
              <w:t>14848-2017</w:t>
            </w:r>
            <w:r>
              <w:rPr>
                <w:rFonts w:ascii="宋体" w:hAnsi="宋体" w:eastAsia="宋体" w:cs="宋体"/>
                <w:spacing w:val="12"/>
                <w:sz w:val="20"/>
                <w:szCs w:val="20"/>
              </w:rPr>
              <w:t>) Ⅲ类</w:t>
            </w:r>
          </w:p>
        </w:tc>
      </w:tr>
      <w:tr w14:paraId="6D4CBB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1236" w:type="dxa"/>
            <w:tcBorders>
              <w:left w:val="nil"/>
            </w:tcBorders>
          </w:tcPr>
          <w:p w14:paraId="6F0E0811">
            <w:pPr>
              <w:spacing w:line="374" w:lineRule="auto"/>
            </w:pPr>
          </w:p>
          <w:p w14:paraId="08586A9B">
            <w:pPr>
              <w:spacing w:before="65" w:line="229" w:lineRule="auto"/>
              <w:ind w:left="417"/>
              <w:rPr>
                <w:rFonts w:ascii="宋体" w:hAnsi="宋体" w:eastAsia="宋体" w:cs="宋体"/>
                <w:sz w:val="20"/>
                <w:szCs w:val="20"/>
              </w:rPr>
            </w:pPr>
            <w:r>
              <w:rPr>
                <w:rFonts w:ascii="宋体" w:hAnsi="宋体" w:eastAsia="宋体" w:cs="宋体"/>
                <w:spacing w:val="4"/>
                <w:sz w:val="20"/>
                <w:szCs w:val="20"/>
              </w:rPr>
              <w:t>土壤</w:t>
            </w:r>
          </w:p>
        </w:tc>
        <w:tc>
          <w:tcPr>
            <w:tcW w:w="1821" w:type="dxa"/>
          </w:tcPr>
          <w:p w14:paraId="42FE5FE6">
            <w:pPr>
              <w:spacing w:before="306" w:line="265" w:lineRule="auto"/>
              <w:ind w:left="390" w:right="173" w:hanging="206"/>
              <w:rPr>
                <w:rFonts w:ascii="宋体" w:hAnsi="宋体" w:eastAsia="宋体" w:cs="宋体"/>
                <w:sz w:val="20"/>
                <w:szCs w:val="20"/>
              </w:rPr>
            </w:pPr>
            <w:r>
              <w:rPr>
                <w:rFonts w:ascii="宋体" w:hAnsi="宋体" w:eastAsia="宋体" w:cs="宋体"/>
                <w:spacing w:val="10"/>
                <w:sz w:val="20"/>
                <w:szCs w:val="20"/>
              </w:rPr>
              <w:t>厂</w:t>
            </w:r>
            <w:r>
              <w:rPr>
                <w:rFonts w:ascii="宋体" w:hAnsi="宋体" w:eastAsia="宋体" w:cs="宋体"/>
                <w:spacing w:val="8"/>
                <w:sz w:val="20"/>
                <w:szCs w:val="20"/>
              </w:rPr>
              <w:t>区及厂区外施</w:t>
            </w:r>
            <w:r>
              <w:rPr>
                <w:rFonts w:ascii="宋体" w:hAnsi="宋体" w:eastAsia="宋体" w:cs="宋体"/>
                <w:sz w:val="20"/>
                <w:szCs w:val="20"/>
              </w:rPr>
              <w:t xml:space="preserve"> </w:t>
            </w:r>
            <w:r>
              <w:rPr>
                <w:rFonts w:ascii="宋体" w:hAnsi="宋体" w:eastAsia="宋体" w:cs="宋体"/>
                <w:spacing w:val="8"/>
                <w:sz w:val="20"/>
                <w:szCs w:val="20"/>
              </w:rPr>
              <w:t>肥林地土壤</w:t>
            </w:r>
          </w:p>
        </w:tc>
        <w:tc>
          <w:tcPr>
            <w:tcW w:w="895" w:type="dxa"/>
          </w:tcPr>
          <w:p w14:paraId="33B1DF1C">
            <w:pPr>
              <w:spacing w:line="252" w:lineRule="auto"/>
            </w:pPr>
          </w:p>
          <w:p w14:paraId="49C905DF">
            <w:pPr>
              <w:spacing w:line="253" w:lineRule="auto"/>
            </w:pPr>
          </w:p>
          <w:p w14:paraId="3FF3078A">
            <w:pPr>
              <w:spacing w:before="57" w:line="136" w:lineRule="exact"/>
              <w:ind w:left="35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w:t>
            </w:r>
          </w:p>
        </w:tc>
        <w:tc>
          <w:tcPr>
            <w:tcW w:w="1245" w:type="dxa"/>
          </w:tcPr>
          <w:p w14:paraId="69751691">
            <w:pPr>
              <w:spacing w:line="252" w:lineRule="auto"/>
            </w:pPr>
          </w:p>
          <w:p w14:paraId="4BEFA5EC">
            <w:pPr>
              <w:spacing w:line="253" w:lineRule="auto"/>
            </w:pPr>
          </w:p>
          <w:p w14:paraId="43BD2221">
            <w:pPr>
              <w:spacing w:before="57" w:line="136" w:lineRule="exact"/>
              <w:ind w:left="52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w:t>
            </w:r>
          </w:p>
        </w:tc>
        <w:tc>
          <w:tcPr>
            <w:tcW w:w="690" w:type="dxa"/>
          </w:tcPr>
          <w:p w14:paraId="49D32C32">
            <w:pPr>
              <w:spacing w:line="252" w:lineRule="auto"/>
            </w:pPr>
          </w:p>
          <w:p w14:paraId="45535CB2">
            <w:pPr>
              <w:spacing w:line="253" w:lineRule="auto"/>
            </w:pPr>
          </w:p>
          <w:p w14:paraId="2A17ED09">
            <w:pPr>
              <w:spacing w:before="57" w:line="136" w:lineRule="exact"/>
              <w:ind w:left="245"/>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1215" w:type="dxa"/>
          </w:tcPr>
          <w:p w14:paraId="72ED39F9">
            <w:pPr>
              <w:spacing w:line="252" w:lineRule="auto"/>
            </w:pPr>
          </w:p>
          <w:p w14:paraId="11D5FF25">
            <w:pPr>
              <w:spacing w:line="253" w:lineRule="auto"/>
            </w:pPr>
          </w:p>
          <w:p w14:paraId="59A9E151">
            <w:pPr>
              <w:spacing w:before="57" w:line="136" w:lineRule="exact"/>
              <w:ind w:left="51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w:t>
            </w:r>
          </w:p>
        </w:tc>
        <w:tc>
          <w:tcPr>
            <w:tcW w:w="2610" w:type="dxa"/>
            <w:tcBorders>
              <w:right w:val="nil"/>
            </w:tcBorders>
          </w:tcPr>
          <w:p w14:paraId="6535C713">
            <w:pPr>
              <w:spacing w:before="34" w:line="251" w:lineRule="auto"/>
              <w:ind w:left="156" w:right="151" w:firstLine="56"/>
              <w:rPr>
                <w:rFonts w:ascii="宋体" w:hAnsi="宋体" w:eastAsia="宋体" w:cs="宋体"/>
                <w:sz w:val="20"/>
                <w:szCs w:val="20"/>
              </w:rPr>
            </w:pPr>
            <w:r>
              <w:rPr>
                <w:rFonts w:ascii="宋体" w:hAnsi="宋体" w:eastAsia="宋体" w:cs="宋体"/>
                <w:spacing w:val="12"/>
                <w:sz w:val="20"/>
                <w:szCs w:val="20"/>
              </w:rPr>
              <w:t>《</w:t>
            </w:r>
            <w:r>
              <w:rPr>
                <w:rFonts w:ascii="宋体" w:hAnsi="宋体" w:eastAsia="宋体" w:cs="宋体"/>
                <w:spacing w:val="8"/>
                <w:sz w:val="20"/>
                <w:szCs w:val="20"/>
              </w:rPr>
              <w:t>土壤环境质量标准 农</w:t>
            </w:r>
            <w:r>
              <w:rPr>
                <w:rFonts w:ascii="宋体" w:hAnsi="宋体" w:eastAsia="宋体" w:cs="宋体"/>
                <w:sz w:val="20"/>
                <w:szCs w:val="20"/>
              </w:rPr>
              <w:t xml:space="preserve"> </w:t>
            </w:r>
            <w:r>
              <w:rPr>
                <w:rFonts w:ascii="宋体" w:hAnsi="宋体" w:eastAsia="宋体" w:cs="宋体"/>
                <w:spacing w:val="9"/>
                <w:sz w:val="20"/>
                <w:szCs w:val="20"/>
              </w:rPr>
              <w:t>用地土壤污染风险管控标</w:t>
            </w:r>
          </w:p>
          <w:p w14:paraId="5B231E42">
            <w:pPr>
              <w:spacing w:before="1" w:line="237" w:lineRule="auto"/>
              <w:ind w:left="457" w:right="460" w:firstLine="224"/>
              <w:rPr>
                <w:rFonts w:ascii="宋体" w:hAnsi="宋体" w:eastAsia="宋体" w:cs="宋体"/>
                <w:sz w:val="20"/>
                <w:szCs w:val="20"/>
              </w:rPr>
            </w:pPr>
            <w:r>
              <w:rPr>
                <w:rFonts w:ascii="宋体" w:hAnsi="宋体" w:eastAsia="宋体" w:cs="宋体"/>
                <w:spacing w:val="9"/>
                <w:sz w:val="20"/>
                <w:szCs w:val="20"/>
              </w:rPr>
              <w:t>准</w:t>
            </w:r>
            <w:r>
              <w:rPr>
                <w:rFonts w:ascii="宋体" w:hAnsi="宋体" w:eastAsia="宋体" w:cs="宋体"/>
                <w:spacing w:val="7"/>
                <w:sz w:val="20"/>
                <w:szCs w:val="20"/>
              </w:rPr>
              <w:t xml:space="preserve"> (试行) 》</w:t>
            </w:r>
            <w:r>
              <w:rPr>
                <w:rFonts w:ascii="宋体" w:hAnsi="宋体" w:eastAsia="宋体" w:cs="宋体"/>
                <w:sz w:val="20"/>
                <w:szCs w:val="20"/>
              </w:rPr>
              <w:t xml:space="preserve">  </w:t>
            </w:r>
            <w:r>
              <w:rPr>
                <w:rFonts w:ascii="宋体" w:hAnsi="宋体" w:eastAsia="宋体" w:cs="宋体"/>
                <w:spacing w:val="12"/>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12"/>
                <w:sz w:val="20"/>
                <w:szCs w:val="20"/>
              </w:rPr>
              <w:t>15618-2018</w:t>
            </w:r>
            <w:r>
              <w:rPr>
                <w:rFonts w:ascii="宋体" w:hAnsi="宋体" w:eastAsia="宋体" w:cs="宋体"/>
                <w:spacing w:val="12"/>
                <w:sz w:val="20"/>
                <w:szCs w:val="20"/>
              </w:rPr>
              <w:t>)</w:t>
            </w:r>
          </w:p>
        </w:tc>
      </w:tr>
      <w:tr w14:paraId="01986F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1" w:hRule="atLeast"/>
        </w:trPr>
        <w:tc>
          <w:tcPr>
            <w:tcW w:w="1236" w:type="dxa"/>
            <w:tcBorders>
              <w:left w:val="nil"/>
            </w:tcBorders>
          </w:tcPr>
          <w:p w14:paraId="33C4919A">
            <w:pPr>
              <w:spacing w:line="358" w:lineRule="auto"/>
            </w:pPr>
          </w:p>
          <w:p w14:paraId="17129864">
            <w:pPr>
              <w:spacing w:before="65" w:line="230" w:lineRule="auto"/>
              <w:ind w:left="207"/>
              <w:outlineLvl w:val="0"/>
              <w:rPr>
                <w:rFonts w:ascii="宋体" w:hAnsi="宋体" w:eastAsia="宋体" w:cs="宋体"/>
                <w:sz w:val="20"/>
                <w:szCs w:val="20"/>
              </w:rPr>
            </w:pPr>
            <w:r>
              <w:rPr>
                <w:rFonts w:ascii="宋体" w:hAnsi="宋体" w:eastAsia="宋体" w:cs="宋体"/>
                <w:spacing w:val="7"/>
                <w:sz w:val="20"/>
                <w:szCs w:val="20"/>
              </w:rPr>
              <w:t>生态影</w:t>
            </w:r>
            <w:r>
              <w:rPr>
                <w:rFonts w:ascii="宋体" w:hAnsi="宋体" w:eastAsia="宋体" w:cs="宋体"/>
                <w:spacing w:val="6"/>
                <w:sz w:val="20"/>
                <w:szCs w:val="20"/>
              </w:rPr>
              <w:t>响</w:t>
            </w:r>
          </w:p>
        </w:tc>
        <w:tc>
          <w:tcPr>
            <w:tcW w:w="1821" w:type="dxa"/>
          </w:tcPr>
          <w:p w14:paraId="3F6CE6D5">
            <w:pPr>
              <w:spacing w:line="358" w:lineRule="auto"/>
            </w:pPr>
          </w:p>
          <w:p w14:paraId="4FE03D30">
            <w:pPr>
              <w:spacing w:before="65" w:line="228" w:lineRule="auto"/>
              <w:ind w:left="705"/>
              <w:rPr>
                <w:rFonts w:ascii="宋体" w:hAnsi="宋体" w:eastAsia="宋体" w:cs="宋体"/>
                <w:sz w:val="20"/>
                <w:szCs w:val="20"/>
              </w:rPr>
            </w:pPr>
            <w:r>
              <w:rPr>
                <w:rFonts w:ascii="宋体" w:hAnsi="宋体" w:eastAsia="宋体" w:cs="宋体"/>
                <w:spacing w:val="4"/>
                <w:sz w:val="20"/>
                <w:szCs w:val="20"/>
              </w:rPr>
              <w:t>植被</w:t>
            </w:r>
          </w:p>
        </w:tc>
        <w:tc>
          <w:tcPr>
            <w:tcW w:w="895" w:type="dxa"/>
          </w:tcPr>
          <w:p w14:paraId="68984309">
            <w:pPr>
              <w:spacing w:line="244" w:lineRule="auto"/>
            </w:pPr>
          </w:p>
          <w:p w14:paraId="34509FFD">
            <w:pPr>
              <w:spacing w:line="245" w:lineRule="auto"/>
            </w:pPr>
          </w:p>
          <w:p w14:paraId="14168015">
            <w:pPr>
              <w:spacing w:before="57" w:line="137" w:lineRule="exact"/>
              <w:ind w:left="35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w:t>
            </w:r>
          </w:p>
        </w:tc>
        <w:tc>
          <w:tcPr>
            <w:tcW w:w="1245" w:type="dxa"/>
          </w:tcPr>
          <w:p w14:paraId="3E3C70EF">
            <w:pPr>
              <w:spacing w:line="244" w:lineRule="auto"/>
            </w:pPr>
          </w:p>
          <w:p w14:paraId="2FC5495B">
            <w:pPr>
              <w:spacing w:line="245" w:lineRule="auto"/>
            </w:pPr>
          </w:p>
          <w:p w14:paraId="3E9BFB4E">
            <w:pPr>
              <w:spacing w:before="57" w:line="137" w:lineRule="exact"/>
              <w:ind w:left="52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w:t>
            </w:r>
          </w:p>
        </w:tc>
        <w:tc>
          <w:tcPr>
            <w:tcW w:w="690" w:type="dxa"/>
          </w:tcPr>
          <w:p w14:paraId="0104B19D">
            <w:pPr>
              <w:spacing w:line="244" w:lineRule="auto"/>
            </w:pPr>
          </w:p>
          <w:p w14:paraId="2C1E7215">
            <w:pPr>
              <w:spacing w:line="245" w:lineRule="auto"/>
            </w:pPr>
          </w:p>
          <w:p w14:paraId="270B6340">
            <w:pPr>
              <w:spacing w:before="57" w:line="137" w:lineRule="exact"/>
              <w:ind w:left="245"/>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1215" w:type="dxa"/>
          </w:tcPr>
          <w:p w14:paraId="7AEB687F">
            <w:pPr>
              <w:spacing w:line="244" w:lineRule="auto"/>
            </w:pPr>
          </w:p>
          <w:p w14:paraId="3414DB51">
            <w:pPr>
              <w:spacing w:line="245" w:lineRule="auto"/>
            </w:pPr>
          </w:p>
          <w:p w14:paraId="1F2E885F">
            <w:pPr>
              <w:spacing w:before="57" w:line="137" w:lineRule="exact"/>
              <w:ind w:left="51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w:t>
            </w:r>
          </w:p>
        </w:tc>
        <w:tc>
          <w:tcPr>
            <w:tcW w:w="2610" w:type="dxa"/>
            <w:tcBorders>
              <w:right w:val="nil"/>
            </w:tcBorders>
          </w:tcPr>
          <w:p w14:paraId="57326519">
            <w:pPr>
              <w:spacing w:line="244" w:lineRule="auto"/>
            </w:pPr>
          </w:p>
          <w:p w14:paraId="435D5FF3">
            <w:pPr>
              <w:spacing w:line="245" w:lineRule="auto"/>
            </w:pPr>
          </w:p>
          <w:p w14:paraId="7036CE62">
            <w:pPr>
              <w:spacing w:before="57" w:line="137" w:lineRule="exact"/>
              <w:ind w:left="120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w:t>
            </w:r>
          </w:p>
        </w:tc>
      </w:tr>
    </w:tbl>
    <w:p w14:paraId="4FE828E6"/>
    <w:p w14:paraId="1875D2BB">
      <w:pPr>
        <w:sectPr>
          <w:headerReference r:id="rId58" w:type="default"/>
          <w:footerReference r:id="rId59" w:type="default"/>
          <w:pgSz w:w="11907" w:h="16840"/>
          <w:pgMar w:top="400" w:right="641" w:bottom="1277" w:left="1551" w:header="0" w:footer="1114" w:gutter="0"/>
          <w:cols w:space="720" w:num="1"/>
        </w:sectPr>
      </w:pPr>
    </w:p>
    <w:p w14:paraId="7B220056">
      <w:pPr>
        <w:spacing w:before="53" w:line="241" w:lineRule="auto"/>
        <w:ind w:left="10"/>
        <w:rPr>
          <w:rFonts w:ascii="宋体" w:hAnsi="宋体" w:eastAsia="宋体" w:cs="宋体"/>
          <w:sz w:val="31"/>
          <w:szCs w:val="31"/>
        </w:rPr>
      </w:pPr>
      <w:bookmarkStart w:id="15" w:name="_bookmark16"/>
      <w:bookmarkEnd w:id="15"/>
      <w:r>
        <w:rPr>
          <w:rFonts w:ascii="Times New Roman" w:hAnsi="Times New Roman" w:eastAsia="Times New Roman" w:cs="Times New Roman"/>
          <w:b/>
          <w:bCs/>
          <w:spacing w:val="1"/>
          <w:sz w:val="31"/>
          <w:szCs w:val="31"/>
        </w:rPr>
        <w:t>2</w:t>
      </w:r>
      <w:r>
        <w:rPr>
          <w:rFonts w:ascii="Times New Roman" w:hAnsi="Times New Roman" w:eastAsia="Times New Roman" w:cs="Times New Roman"/>
          <w:spacing w:val="1"/>
          <w:sz w:val="31"/>
          <w:szCs w:val="31"/>
        </w:rPr>
        <w:t xml:space="preserve"> </w:t>
      </w:r>
      <w:r>
        <w:rPr>
          <w:rFonts w:ascii="宋体" w:hAnsi="宋体" w:eastAsia="宋体" w:cs="宋体"/>
          <w:spacing w:val="1"/>
          <w:sz w:val="31"/>
          <w:szCs w:val="31"/>
          <w14:textOutline w14:w="5791" w14:cap="sq" w14:cmpd="sng" w14:algn="ctr">
            <w14:solidFill>
              <w14:srgbClr w14:val="000000"/>
            </w14:solidFill>
            <w14:prstDash w14:val="solid"/>
            <w14:bevel/>
          </w14:textOutline>
        </w:rPr>
        <w:t>、建设项</w:t>
      </w:r>
      <w:r>
        <w:rPr>
          <w:rFonts w:ascii="宋体" w:hAnsi="宋体" w:eastAsia="宋体" w:cs="宋体"/>
          <w:sz w:val="31"/>
          <w:szCs w:val="31"/>
          <w14:textOutline w14:w="5791" w14:cap="sq" w14:cmpd="sng" w14:algn="ctr">
            <w14:solidFill>
              <w14:srgbClr w14:val="000000"/>
            </w14:solidFill>
            <w14:prstDash w14:val="solid"/>
            <w14:bevel/>
          </w14:textOutline>
        </w:rPr>
        <w:t>目概况</w:t>
      </w:r>
    </w:p>
    <w:p w14:paraId="6273CA1E">
      <w:pPr>
        <w:spacing w:before="211" w:line="220" w:lineRule="auto"/>
        <w:ind w:left="9"/>
        <w:outlineLvl w:val="1"/>
        <w:rPr>
          <w:rFonts w:ascii="宋体" w:hAnsi="宋体" w:eastAsia="宋体" w:cs="宋体"/>
          <w:sz w:val="28"/>
          <w:szCs w:val="28"/>
        </w:rPr>
      </w:pPr>
      <w:bookmarkStart w:id="16" w:name="_bookmark17"/>
      <w:bookmarkEnd w:id="16"/>
      <w:r>
        <w:rPr>
          <w:rFonts w:ascii="Times New Roman" w:hAnsi="Times New Roman" w:eastAsia="Times New Roman" w:cs="Times New Roman"/>
          <w:b/>
          <w:bCs/>
          <w:spacing w:val="-1"/>
          <w:sz w:val="28"/>
          <w:szCs w:val="28"/>
        </w:rPr>
        <w:t>2.1</w:t>
      </w:r>
      <w:r>
        <w:rPr>
          <w:rFonts w:ascii="Times New Roman" w:hAnsi="Times New Roman" w:eastAsia="Times New Roman" w:cs="Times New Roman"/>
          <w:spacing w:val="-1"/>
          <w:sz w:val="28"/>
          <w:szCs w:val="28"/>
        </w:rPr>
        <w:t xml:space="preserve"> </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项目概况</w:t>
      </w:r>
    </w:p>
    <w:p w14:paraId="0F1DC9E0">
      <w:pPr>
        <w:spacing w:before="205" w:line="227" w:lineRule="auto"/>
        <w:ind w:left="8"/>
        <w:outlineLvl w:val="2"/>
        <w:rPr>
          <w:rFonts w:ascii="宋体" w:hAnsi="宋体" w:eastAsia="宋体" w:cs="宋体"/>
          <w:sz w:val="23"/>
          <w:szCs w:val="23"/>
        </w:rPr>
      </w:pPr>
      <w:bookmarkStart w:id="17" w:name="_bookmark18"/>
      <w:bookmarkEnd w:id="17"/>
      <w:r>
        <w:rPr>
          <w:rFonts w:ascii="Times New Roman" w:hAnsi="Times New Roman" w:eastAsia="Times New Roman" w:cs="Times New Roman"/>
          <w:b/>
          <w:bCs/>
          <w:spacing w:val="10"/>
          <w:sz w:val="23"/>
          <w:szCs w:val="23"/>
        </w:rPr>
        <w:t>2</w:t>
      </w:r>
      <w:r>
        <w:rPr>
          <w:rFonts w:ascii="Times New Roman" w:hAnsi="Times New Roman" w:eastAsia="Times New Roman" w:cs="Times New Roman"/>
          <w:b/>
          <w:bCs/>
          <w:spacing w:val="6"/>
          <w:sz w:val="23"/>
          <w:szCs w:val="23"/>
        </w:rPr>
        <w:t>.</w:t>
      </w:r>
      <w:r>
        <w:rPr>
          <w:rFonts w:ascii="Times New Roman" w:hAnsi="Times New Roman" w:eastAsia="Times New Roman" w:cs="Times New Roman"/>
          <w:b/>
          <w:bCs/>
          <w:spacing w:val="5"/>
          <w:sz w:val="23"/>
          <w:szCs w:val="23"/>
        </w:rPr>
        <w:t>1.1</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基本情况</w:t>
      </w:r>
    </w:p>
    <w:p w14:paraId="04D65C36">
      <w:pPr>
        <w:spacing w:before="185" w:line="466" w:lineRule="exact"/>
        <w:ind w:left="496"/>
        <w:rPr>
          <w:rFonts w:ascii="宋体" w:hAnsi="宋体" w:eastAsia="宋体" w:cs="宋体"/>
          <w:sz w:val="23"/>
          <w:szCs w:val="23"/>
        </w:rPr>
      </w:pPr>
      <w:r>
        <w:rPr>
          <w:rFonts w:ascii="宋体" w:hAnsi="宋体" w:eastAsia="宋体" w:cs="宋体"/>
          <w:spacing w:val="9"/>
          <w:position w:val="17"/>
          <w:sz w:val="23"/>
          <w:szCs w:val="23"/>
          <w14:textOutline w14:w="4356" w14:cap="sq" w14:cmpd="sng" w14:algn="ctr">
            <w14:solidFill>
              <w14:srgbClr w14:val="000000"/>
            </w14:solidFill>
            <w14:prstDash w14:val="solid"/>
            <w14:bevel/>
          </w14:textOutline>
        </w:rPr>
        <w:t>项目名称</w:t>
      </w:r>
      <w:r>
        <w:rPr>
          <w:rFonts w:ascii="宋体" w:hAnsi="宋体" w:eastAsia="宋体" w:cs="宋体"/>
          <w:spacing w:val="9"/>
          <w:position w:val="17"/>
          <w:sz w:val="23"/>
          <w:szCs w:val="23"/>
        </w:rPr>
        <w:t>：丰逸标准化代养场建设项目</w:t>
      </w:r>
      <w:r>
        <w:rPr>
          <w:rFonts w:ascii="宋体" w:hAnsi="宋体" w:eastAsia="宋体" w:cs="宋体"/>
          <w:spacing w:val="6"/>
          <w:position w:val="17"/>
          <w:sz w:val="23"/>
          <w:szCs w:val="23"/>
        </w:rPr>
        <w:t>；</w:t>
      </w:r>
    </w:p>
    <w:p w14:paraId="2E9C422F">
      <w:pPr>
        <w:spacing w:line="227" w:lineRule="auto"/>
        <w:ind w:left="495"/>
        <w:rPr>
          <w:rFonts w:ascii="宋体" w:hAnsi="宋体" w:eastAsia="宋体" w:cs="宋体"/>
          <w:sz w:val="23"/>
          <w:szCs w:val="23"/>
        </w:rPr>
      </w:pPr>
      <w:r>
        <w:rPr>
          <w:rFonts w:ascii="宋体" w:hAnsi="宋体" w:eastAsia="宋体" w:cs="宋体"/>
          <w:spacing w:val="9"/>
          <w:sz w:val="23"/>
          <w:szCs w:val="23"/>
          <w14:textOutline w14:w="4356" w14:cap="sq" w14:cmpd="sng" w14:algn="ctr">
            <w14:solidFill>
              <w14:srgbClr w14:val="000000"/>
            </w14:solidFill>
            <w14:prstDash w14:val="solid"/>
            <w14:bevel/>
          </w14:textOutline>
        </w:rPr>
        <w:t>建设单位：</w:t>
      </w:r>
      <w:r>
        <w:rPr>
          <w:rFonts w:ascii="宋体" w:hAnsi="宋体" w:eastAsia="宋体" w:cs="宋体"/>
          <w:spacing w:val="9"/>
          <w:sz w:val="23"/>
          <w:szCs w:val="23"/>
        </w:rPr>
        <w:t>井研县丰逸养殖专业合作社</w:t>
      </w:r>
      <w:r>
        <w:rPr>
          <w:rFonts w:ascii="宋体" w:hAnsi="宋体" w:eastAsia="宋体" w:cs="宋体"/>
          <w:spacing w:val="7"/>
          <w:sz w:val="23"/>
          <w:szCs w:val="23"/>
        </w:rPr>
        <w:t>；</w:t>
      </w:r>
    </w:p>
    <w:p w14:paraId="3BA3D240">
      <w:pPr>
        <w:spacing w:before="182" w:line="228" w:lineRule="auto"/>
        <w:ind w:left="495"/>
        <w:rPr>
          <w:rFonts w:ascii="宋体" w:hAnsi="宋体" w:eastAsia="宋体" w:cs="宋体"/>
          <w:sz w:val="23"/>
          <w:szCs w:val="23"/>
        </w:rPr>
      </w:pPr>
      <w:r>
        <w:rPr>
          <w:rFonts w:ascii="宋体" w:hAnsi="宋体" w:eastAsia="宋体" w:cs="宋体"/>
          <w:spacing w:val="11"/>
          <w:sz w:val="23"/>
          <w:szCs w:val="23"/>
          <w14:textOutline w14:w="4356" w14:cap="sq" w14:cmpd="sng" w14:algn="ctr">
            <w14:solidFill>
              <w14:srgbClr w14:val="000000"/>
            </w14:solidFill>
            <w14:prstDash w14:val="solid"/>
            <w14:bevel/>
          </w14:textOutline>
        </w:rPr>
        <w:t>建</w:t>
      </w:r>
      <w:r>
        <w:rPr>
          <w:rFonts w:ascii="宋体" w:hAnsi="宋体" w:eastAsia="宋体" w:cs="宋体"/>
          <w:spacing w:val="7"/>
          <w:sz w:val="23"/>
          <w:szCs w:val="23"/>
          <w14:textOutline w14:w="4356" w14:cap="sq" w14:cmpd="sng" w14:algn="ctr">
            <w14:solidFill>
              <w14:srgbClr w14:val="000000"/>
            </w14:solidFill>
            <w14:prstDash w14:val="solid"/>
            <w14:bevel/>
          </w14:textOutline>
        </w:rPr>
        <w:t>设性质：</w:t>
      </w:r>
      <w:r>
        <w:rPr>
          <w:rFonts w:ascii="宋体" w:hAnsi="宋体" w:eastAsia="宋体" w:cs="宋体"/>
          <w:spacing w:val="7"/>
          <w:sz w:val="23"/>
          <w:szCs w:val="23"/>
        </w:rPr>
        <w:t>新建；</w:t>
      </w:r>
    </w:p>
    <w:p w14:paraId="16C5BE8A">
      <w:pPr>
        <w:spacing w:before="183" w:line="375" w:lineRule="auto"/>
        <w:ind w:right="16" w:firstLine="495"/>
        <w:rPr>
          <w:rFonts w:ascii="宋体" w:hAnsi="宋体" w:eastAsia="宋体" w:cs="宋体"/>
          <w:sz w:val="23"/>
          <w:szCs w:val="23"/>
        </w:rPr>
      </w:pPr>
      <w:r>
        <w:rPr>
          <w:rFonts w:ascii="宋体" w:hAnsi="宋体" w:eastAsia="宋体" w:cs="宋体"/>
          <w:spacing w:val="-4"/>
          <w:sz w:val="23"/>
          <w:szCs w:val="23"/>
          <w14:textOutline w14:w="4356" w14:cap="sq" w14:cmpd="sng" w14:algn="ctr">
            <w14:solidFill>
              <w14:srgbClr w14:val="000000"/>
            </w14:solidFill>
            <w14:prstDash w14:val="solid"/>
            <w14:bevel/>
          </w14:textOutline>
        </w:rPr>
        <w:t>建设地点</w:t>
      </w:r>
      <w:r>
        <w:rPr>
          <w:rFonts w:ascii="宋体" w:hAnsi="宋体" w:eastAsia="宋体" w:cs="宋体"/>
          <w:spacing w:val="-4"/>
          <w:sz w:val="23"/>
          <w:szCs w:val="23"/>
        </w:rPr>
        <w:t>：井</w:t>
      </w:r>
      <w:r>
        <w:rPr>
          <w:rFonts w:ascii="宋体" w:hAnsi="宋体" w:eastAsia="宋体" w:cs="宋体"/>
          <w:spacing w:val="-2"/>
          <w:sz w:val="23"/>
          <w:szCs w:val="23"/>
        </w:rPr>
        <w:t xml:space="preserve">研县周坡镇周坡村 </w:t>
      </w:r>
      <w:r>
        <w:rPr>
          <w:rFonts w:ascii="Times New Roman" w:hAnsi="Times New Roman" w:eastAsia="Times New Roman" w:cs="Times New Roman"/>
          <w:spacing w:val="-2"/>
          <w:sz w:val="23"/>
          <w:szCs w:val="23"/>
        </w:rPr>
        <w:t xml:space="preserve">7 </w:t>
      </w:r>
      <w:r>
        <w:rPr>
          <w:rFonts w:ascii="宋体" w:hAnsi="宋体" w:eastAsia="宋体" w:cs="宋体"/>
          <w:spacing w:val="-2"/>
          <w:sz w:val="23"/>
          <w:szCs w:val="23"/>
        </w:rPr>
        <w:t xml:space="preserve">组、龙桥村 </w:t>
      </w:r>
      <w:r>
        <w:rPr>
          <w:rFonts w:ascii="Times New Roman" w:hAnsi="Times New Roman" w:eastAsia="Times New Roman" w:cs="Times New Roman"/>
          <w:spacing w:val="-2"/>
          <w:sz w:val="23"/>
          <w:szCs w:val="23"/>
        </w:rPr>
        <w:t xml:space="preserve">2 </w:t>
      </w:r>
      <w:r>
        <w:rPr>
          <w:rFonts w:ascii="宋体" w:hAnsi="宋体" w:eastAsia="宋体" w:cs="宋体"/>
          <w:spacing w:val="-2"/>
          <w:sz w:val="23"/>
          <w:szCs w:val="23"/>
        </w:rPr>
        <w:t xml:space="preserve">组，中心坐标为 </w:t>
      </w:r>
      <w:r>
        <w:rPr>
          <w:rFonts w:ascii="Times New Roman" w:hAnsi="Times New Roman" w:eastAsia="Times New Roman" w:cs="Times New Roman"/>
          <w:spacing w:val="-2"/>
          <w:sz w:val="23"/>
          <w:szCs w:val="23"/>
        </w:rPr>
        <w:t>E</w:t>
      </w:r>
      <w:r>
        <w:rPr>
          <w:rFonts w:ascii="宋体" w:hAnsi="宋体" w:eastAsia="宋体" w:cs="宋体"/>
          <w:spacing w:val="-2"/>
          <w:sz w:val="23"/>
          <w:szCs w:val="23"/>
        </w:rPr>
        <w:t>：</w:t>
      </w:r>
      <w:r>
        <w:rPr>
          <w:rFonts w:ascii="Times New Roman" w:hAnsi="Times New Roman" w:eastAsia="Times New Roman" w:cs="Times New Roman"/>
          <w:spacing w:val="-2"/>
          <w:sz w:val="23"/>
          <w:szCs w:val="23"/>
        </w:rPr>
        <w:t>103.996496</w:t>
      </w:r>
      <w:r>
        <w:rPr>
          <w:rFonts w:ascii="宋体" w:hAnsi="宋体" w:eastAsia="宋体" w:cs="宋体"/>
          <w:spacing w:val="-2"/>
          <w:sz w:val="23"/>
          <w:szCs w:val="23"/>
        </w:rPr>
        <w:t>，</w:t>
      </w:r>
      <w:r>
        <w:rPr>
          <w:rFonts w:ascii="宋体" w:hAnsi="宋体" w:eastAsia="宋体" w:cs="宋体"/>
          <w:sz w:val="23"/>
          <w:szCs w:val="23"/>
        </w:rPr>
        <w:t xml:space="preserve"> </w:t>
      </w:r>
      <w:r>
        <w:rPr>
          <w:rFonts w:ascii="Times New Roman" w:hAnsi="Times New Roman" w:eastAsia="Times New Roman" w:cs="Times New Roman"/>
          <w:sz w:val="23"/>
          <w:szCs w:val="23"/>
        </w:rPr>
        <w:t>N</w:t>
      </w:r>
      <w:r>
        <w:rPr>
          <w:rFonts w:ascii="宋体" w:hAnsi="宋体" w:eastAsia="宋体" w:cs="宋体"/>
          <w:spacing w:val="4"/>
          <w:sz w:val="23"/>
          <w:szCs w:val="23"/>
        </w:rPr>
        <w:t>：</w:t>
      </w:r>
      <w:r>
        <w:rPr>
          <w:rFonts w:ascii="Times New Roman" w:hAnsi="Times New Roman" w:eastAsia="Times New Roman" w:cs="Times New Roman"/>
          <w:spacing w:val="4"/>
          <w:sz w:val="23"/>
          <w:szCs w:val="23"/>
        </w:rPr>
        <w:t>29.775</w:t>
      </w:r>
      <w:r>
        <w:rPr>
          <w:rFonts w:ascii="Times New Roman" w:hAnsi="Times New Roman" w:eastAsia="Times New Roman" w:cs="Times New Roman"/>
          <w:spacing w:val="2"/>
          <w:sz w:val="23"/>
          <w:szCs w:val="23"/>
        </w:rPr>
        <w:t xml:space="preserve">329 </w:t>
      </w:r>
      <w:r>
        <w:rPr>
          <w:rFonts w:ascii="宋体" w:hAnsi="宋体" w:eastAsia="宋体" w:cs="宋体"/>
          <w:spacing w:val="2"/>
          <w:sz w:val="23"/>
          <w:szCs w:val="23"/>
        </w:rPr>
        <w:t xml:space="preserve">。项目地理位置详见附图 </w:t>
      </w:r>
      <w:r>
        <w:rPr>
          <w:rFonts w:ascii="Times New Roman" w:hAnsi="Times New Roman" w:eastAsia="Times New Roman" w:cs="Times New Roman"/>
          <w:spacing w:val="2"/>
          <w:sz w:val="23"/>
          <w:szCs w:val="23"/>
        </w:rPr>
        <w:t>1</w:t>
      </w:r>
      <w:r>
        <w:rPr>
          <w:rFonts w:ascii="宋体" w:hAnsi="宋体" w:eastAsia="宋体" w:cs="宋体"/>
          <w:spacing w:val="2"/>
          <w:sz w:val="23"/>
          <w:szCs w:val="23"/>
        </w:rPr>
        <w:t>；</w:t>
      </w:r>
    </w:p>
    <w:p w14:paraId="3B2B6D14">
      <w:pPr>
        <w:spacing w:line="468" w:lineRule="exact"/>
        <w:ind w:left="496"/>
        <w:rPr>
          <w:rFonts w:ascii="宋体" w:hAnsi="宋体" w:eastAsia="宋体" w:cs="宋体"/>
          <w:sz w:val="23"/>
          <w:szCs w:val="23"/>
        </w:rPr>
      </w:pPr>
      <w:r>
        <w:rPr>
          <w:rFonts w:ascii="宋体" w:hAnsi="宋体" w:eastAsia="宋体" w:cs="宋体"/>
          <w:spacing w:val="8"/>
          <w:position w:val="17"/>
          <w:sz w:val="23"/>
          <w:szCs w:val="23"/>
          <w14:textOutline w14:w="4356" w14:cap="sq" w14:cmpd="sng" w14:algn="ctr">
            <w14:solidFill>
              <w14:srgbClr w14:val="000000"/>
            </w14:solidFill>
            <w14:prstDash w14:val="solid"/>
            <w14:bevel/>
          </w14:textOutline>
        </w:rPr>
        <w:t>项目投</w:t>
      </w:r>
      <w:r>
        <w:rPr>
          <w:rFonts w:ascii="宋体" w:hAnsi="宋体" w:eastAsia="宋体" w:cs="宋体"/>
          <w:spacing w:val="4"/>
          <w:position w:val="17"/>
          <w:sz w:val="23"/>
          <w:szCs w:val="23"/>
          <w14:textOutline w14:w="4356" w14:cap="sq" w14:cmpd="sng" w14:algn="ctr">
            <w14:solidFill>
              <w14:srgbClr w14:val="000000"/>
            </w14:solidFill>
            <w14:prstDash w14:val="solid"/>
            <w14:bevel/>
          </w14:textOutline>
        </w:rPr>
        <w:t>资</w:t>
      </w:r>
      <w:r>
        <w:rPr>
          <w:rFonts w:ascii="宋体" w:hAnsi="宋体" w:eastAsia="宋体" w:cs="宋体"/>
          <w:spacing w:val="4"/>
          <w:position w:val="17"/>
          <w:sz w:val="23"/>
          <w:szCs w:val="23"/>
        </w:rPr>
        <w:t xml:space="preserve">：本项目总投资为 </w:t>
      </w:r>
      <w:r>
        <w:rPr>
          <w:rFonts w:ascii="Times New Roman" w:hAnsi="Times New Roman" w:eastAsia="Times New Roman" w:cs="Times New Roman"/>
          <w:spacing w:val="4"/>
          <w:position w:val="17"/>
          <w:sz w:val="23"/>
          <w:szCs w:val="23"/>
        </w:rPr>
        <w:t xml:space="preserve">2629 </w:t>
      </w:r>
      <w:r>
        <w:rPr>
          <w:rFonts w:ascii="宋体" w:hAnsi="宋体" w:eastAsia="宋体" w:cs="宋体"/>
          <w:spacing w:val="4"/>
          <w:position w:val="17"/>
          <w:sz w:val="23"/>
          <w:szCs w:val="23"/>
        </w:rPr>
        <w:t>万元；</w:t>
      </w:r>
    </w:p>
    <w:p w14:paraId="0C0473E8">
      <w:pPr>
        <w:spacing w:line="228" w:lineRule="auto"/>
        <w:ind w:left="494"/>
        <w:rPr>
          <w:rFonts w:ascii="宋体" w:hAnsi="宋体" w:eastAsia="宋体" w:cs="宋体"/>
          <w:sz w:val="23"/>
          <w:szCs w:val="23"/>
        </w:rPr>
      </w:pPr>
      <w:r>
        <w:rPr>
          <w:rFonts w:ascii="宋体" w:hAnsi="宋体" w:eastAsia="宋体" w:cs="宋体"/>
          <w:spacing w:val="1"/>
          <w:sz w:val="23"/>
          <w:szCs w:val="23"/>
          <w14:textOutline w14:w="4356" w14:cap="sq" w14:cmpd="sng" w14:algn="ctr">
            <w14:solidFill>
              <w14:srgbClr w14:val="000000"/>
            </w14:solidFill>
            <w14:prstDash w14:val="solid"/>
            <w14:bevel/>
          </w14:textOutline>
        </w:rPr>
        <w:t>用地面积：</w:t>
      </w:r>
      <w:r>
        <w:rPr>
          <w:rFonts w:ascii="Times New Roman" w:hAnsi="Times New Roman" w:eastAsia="Times New Roman" w:cs="Times New Roman"/>
          <w:spacing w:val="1"/>
          <w:sz w:val="23"/>
          <w:szCs w:val="23"/>
        </w:rPr>
        <w:t>48. 11</w:t>
      </w:r>
      <w:r>
        <w:rPr>
          <w:rFonts w:ascii="Times New Roman" w:hAnsi="Times New Roman" w:eastAsia="Times New Roman" w:cs="Times New Roman"/>
          <w:sz w:val="23"/>
          <w:szCs w:val="23"/>
        </w:rPr>
        <w:t xml:space="preserve"> </w:t>
      </w:r>
      <w:r>
        <w:rPr>
          <w:rFonts w:ascii="宋体" w:hAnsi="宋体" w:eastAsia="宋体" w:cs="宋体"/>
          <w:sz w:val="23"/>
          <w:szCs w:val="23"/>
        </w:rPr>
        <w:t>亩；</w:t>
      </w:r>
    </w:p>
    <w:p w14:paraId="21DF4461">
      <w:pPr>
        <w:spacing w:before="181" w:line="227" w:lineRule="auto"/>
        <w:ind w:left="495"/>
        <w:rPr>
          <w:rFonts w:ascii="宋体" w:hAnsi="宋体" w:eastAsia="宋体" w:cs="宋体"/>
          <w:sz w:val="23"/>
          <w:szCs w:val="23"/>
        </w:rPr>
      </w:pPr>
      <w:r>
        <w:rPr>
          <w:rFonts w:ascii="宋体" w:hAnsi="宋体" w:eastAsia="宋体" w:cs="宋体"/>
          <w:spacing w:val="4"/>
          <w:sz w:val="23"/>
          <w:szCs w:val="23"/>
          <w14:textOutline w14:w="4356" w14:cap="sq" w14:cmpd="sng" w14:algn="ctr">
            <w14:solidFill>
              <w14:srgbClr w14:val="000000"/>
            </w14:solidFill>
            <w14:prstDash w14:val="solid"/>
            <w14:bevel/>
          </w14:textOutline>
        </w:rPr>
        <w:t>建设规模：</w:t>
      </w:r>
      <w:r>
        <w:rPr>
          <w:rFonts w:ascii="宋体" w:hAnsi="宋体" w:eastAsia="宋体" w:cs="宋体"/>
          <w:spacing w:val="4"/>
          <w:sz w:val="23"/>
          <w:szCs w:val="23"/>
        </w:rPr>
        <w:t xml:space="preserve">年存栏量育肥猪 </w:t>
      </w:r>
      <w:r>
        <w:rPr>
          <w:rFonts w:ascii="Times New Roman" w:hAnsi="Times New Roman" w:eastAsia="Times New Roman" w:cs="Times New Roman"/>
          <w:spacing w:val="4"/>
          <w:sz w:val="23"/>
          <w:szCs w:val="23"/>
        </w:rPr>
        <w:t xml:space="preserve">10400 </w:t>
      </w:r>
      <w:r>
        <w:rPr>
          <w:rFonts w:ascii="宋体" w:hAnsi="宋体" w:eastAsia="宋体" w:cs="宋体"/>
          <w:spacing w:val="4"/>
          <w:sz w:val="23"/>
          <w:szCs w:val="23"/>
        </w:rPr>
        <w:t xml:space="preserve">头，出栏育肥猪 </w:t>
      </w:r>
      <w:r>
        <w:rPr>
          <w:rFonts w:ascii="Times New Roman" w:hAnsi="Times New Roman" w:eastAsia="Times New Roman" w:cs="Times New Roman"/>
          <w:spacing w:val="4"/>
          <w:sz w:val="23"/>
          <w:szCs w:val="23"/>
        </w:rPr>
        <w:t xml:space="preserve">20800 </w:t>
      </w:r>
      <w:r>
        <w:rPr>
          <w:rFonts w:ascii="宋体" w:hAnsi="宋体" w:eastAsia="宋体" w:cs="宋体"/>
          <w:spacing w:val="3"/>
          <w:sz w:val="23"/>
          <w:szCs w:val="23"/>
        </w:rPr>
        <w:t>头</w:t>
      </w:r>
      <w:r>
        <w:rPr>
          <w:rFonts w:ascii="宋体" w:hAnsi="宋体" w:eastAsia="宋体" w:cs="宋体"/>
          <w:sz w:val="23"/>
          <w:szCs w:val="23"/>
        </w:rPr>
        <w:t>；</w:t>
      </w:r>
    </w:p>
    <w:p w14:paraId="0D4F0074">
      <w:pPr>
        <w:spacing w:before="185" w:line="375" w:lineRule="auto"/>
        <w:ind w:left="14" w:right="73" w:firstLine="483"/>
        <w:rPr>
          <w:rFonts w:ascii="宋体" w:hAnsi="宋体" w:eastAsia="宋体" w:cs="宋体"/>
          <w:sz w:val="23"/>
          <w:szCs w:val="23"/>
        </w:rPr>
      </w:pPr>
      <w:r>
        <w:rPr>
          <w:rFonts w:ascii="宋体" w:hAnsi="宋体" w:eastAsia="宋体" w:cs="宋体"/>
          <w:spacing w:val="10"/>
          <w:sz w:val="23"/>
          <w:szCs w:val="23"/>
          <w14:textOutline w14:w="4356" w14:cap="sq" w14:cmpd="sng" w14:algn="ctr">
            <w14:solidFill>
              <w14:srgbClr w14:val="000000"/>
            </w14:solidFill>
            <w14:prstDash w14:val="solid"/>
            <w14:bevel/>
          </w14:textOutline>
        </w:rPr>
        <w:t>劳动定</w:t>
      </w:r>
      <w:r>
        <w:rPr>
          <w:rFonts w:ascii="宋体" w:hAnsi="宋体" w:eastAsia="宋体" w:cs="宋体"/>
          <w:spacing w:val="7"/>
          <w:sz w:val="23"/>
          <w:szCs w:val="23"/>
          <w14:textOutline w14:w="4356" w14:cap="sq" w14:cmpd="sng" w14:algn="ctr">
            <w14:solidFill>
              <w14:srgbClr w14:val="000000"/>
            </w14:solidFill>
            <w14:prstDash w14:val="solid"/>
            <w14:bevel/>
          </w14:textOutline>
        </w:rPr>
        <w:t>员</w:t>
      </w:r>
      <w:r>
        <w:rPr>
          <w:rFonts w:ascii="宋体" w:hAnsi="宋体" w:eastAsia="宋体" w:cs="宋体"/>
          <w:spacing w:val="5"/>
          <w:sz w:val="23"/>
          <w:szCs w:val="23"/>
          <w14:textOutline w14:w="4356" w14:cap="sq" w14:cmpd="sng" w14:algn="ctr">
            <w14:solidFill>
              <w14:srgbClr w14:val="000000"/>
            </w14:solidFill>
            <w14:prstDash w14:val="solid"/>
            <w14:bevel/>
          </w14:textOutline>
        </w:rPr>
        <w:t>及工作制度：</w:t>
      </w:r>
      <w:r>
        <w:rPr>
          <w:rFonts w:ascii="宋体" w:hAnsi="宋体" w:eastAsia="宋体" w:cs="宋体"/>
          <w:spacing w:val="5"/>
          <w:sz w:val="23"/>
          <w:szCs w:val="23"/>
        </w:rPr>
        <w:t xml:space="preserve">项目建成后，劳动定员 </w:t>
      </w:r>
      <w:r>
        <w:rPr>
          <w:rFonts w:ascii="Times New Roman" w:hAnsi="Times New Roman" w:eastAsia="Times New Roman" w:cs="Times New Roman"/>
          <w:spacing w:val="5"/>
          <w:sz w:val="23"/>
          <w:szCs w:val="23"/>
        </w:rPr>
        <w:t xml:space="preserve">12 </w:t>
      </w:r>
      <w:r>
        <w:rPr>
          <w:rFonts w:ascii="宋体" w:hAnsi="宋体" w:eastAsia="宋体" w:cs="宋体"/>
          <w:spacing w:val="5"/>
          <w:sz w:val="23"/>
          <w:szCs w:val="23"/>
        </w:rPr>
        <w:t xml:space="preserve">人，均在厂区内就餐，其中 </w:t>
      </w:r>
      <w:r>
        <w:rPr>
          <w:rFonts w:ascii="Times New Roman" w:hAnsi="Times New Roman" w:eastAsia="Times New Roman" w:cs="Times New Roman"/>
          <w:spacing w:val="5"/>
          <w:sz w:val="23"/>
          <w:szCs w:val="23"/>
        </w:rPr>
        <w:t>8</w:t>
      </w:r>
      <w:r>
        <w:rPr>
          <w:rFonts w:ascii="Times New Roman" w:hAnsi="Times New Roman" w:eastAsia="Times New Roman" w:cs="Times New Roman"/>
          <w:sz w:val="23"/>
          <w:szCs w:val="23"/>
        </w:rPr>
        <w:t xml:space="preserve"> </w:t>
      </w:r>
      <w:r>
        <w:rPr>
          <w:rFonts w:ascii="宋体" w:hAnsi="宋体" w:eastAsia="宋体" w:cs="宋体"/>
          <w:spacing w:val="5"/>
          <w:sz w:val="23"/>
          <w:szCs w:val="23"/>
        </w:rPr>
        <w:t xml:space="preserve">人在厂区内住宿。项目年工作日为 </w:t>
      </w:r>
      <w:r>
        <w:rPr>
          <w:rFonts w:ascii="Times New Roman" w:hAnsi="Times New Roman" w:eastAsia="Times New Roman" w:cs="Times New Roman"/>
          <w:spacing w:val="5"/>
          <w:sz w:val="23"/>
          <w:szCs w:val="23"/>
        </w:rPr>
        <w:t xml:space="preserve">365 </w:t>
      </w:r>
      <w:r>
        <w:rPr>
          <w:rFonts w:ascii="宋体" w:hAnsi="宋体" w:eastAsia="宋体" w:cs="宋体"/>
          <w:spacing w:val="5"/>
          <w:sz w:val="23"/>
          <w:szCs w:val="23"/>
        </w:rPr>
        <w:t xml:space="preserve">天，每天两班，每班工作 </w:t>
      </w:r>
      <w:r>
        <w:rPr>
          <w:rFonts w:ascii="Times New Roman" w:hAnsi="Times New Roman" w:eastAsia="Times New Roman" w:cs="Times New Roman"/>
          <w:spacing w:val="5"/>
          <w:sz w:val="23"/>
          <w:szCs w:val="23"/>
        </w:rPr>
        <w:t xml:space="preserve">8 </w:t>
      </w:r>
      <w:r>
        <w:rPr>
          <w:rFonts w:ascii="宋体" w:hAnsi="宋体" w:eastAsia="宋体" w:cs="宋体"/>
          <w:spacing w:val="5"/>
          <w:sz w:val="23"/>
          <w:szCs w:val="23"/>
        </w:rPr>
        <w:t>小时</w:t>
      </w:r>
      <w:r>
        <w:rPr>
          <w:rFonts w:ascii="宋体" w:hAnsi="宋体" w:eastAsia="宋体" w:cs="宋体"/>
          <w:spacing w:val="3"/>
          <w:sz w:val="23"/>
          <w:szCs w:val="23"/>
        </w:rPr>
        <w:t>。</w:t>
      </w:r>
    </w:p>
    <w:p w14:paraId="2AD112FF">
      <w:pPr>
        <w:spacing w:before="1" w:line="227" w:lineRule="auto"/>
        <w:ind w:left="8"/>
        <w:outlineLvl w:val="2"/>
        <w:rPr>
          <w:rFonts w:ascii="宋体" w:hAnsi="宋体" w:eastAsia="宋体" w:cs="宋体"/>
          <w:sz w:val="23"/>
          <w:szCs w:val="23"/>
        </w:rPr>
      </w:pPr>
      <w:bookmarkStart w:id="18" w:name="_bookmark19"/>
      <w:bookmarkEnd w:id="18"/>
      <w:r>
        <w:rPr>
          <w:rFonts w:ascii="Times New Roman" w:hAnsi="Times New Roman" w:eastAsia="Times New Roman" w:cs="Times New Roman"/>
          <w:b/>
          <w:bCs/>
          <w:spacing w:val="12"/>
          <w:sz w:val="23"/>
          <w:szCs w:val="23"/>
        </w:rPr>
        <w:t>2</w:t>
      </w:r>
      <w:r>
        <w:rPr>
          <w:rFonts w:ascii="Times New Roman" w:hAnsi="Times New Roman" w:eastAsia="Times New Roman" w:cs="Times New Roman"/>
          <w:b/>
          <w:bCs/>
          <w:spacing w:val="6"/>
          <w:sz w:val="23"/>
          <w:szCs w:val="23"/>
        </w:rPr>
        <w:t>.1.2</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工程建设内容</w:t>
      </w:r>
    </w:p>
    <w:p w14:paraId="31D28499">
      <w:pPr>
        <w:spacing w:before="179" w:line="375" w:lineRule="auto"/>
        <w:ind w:left="10" w:firstLine="481"/>
        <w:rPr>
          <w:rFonts w:ascii="宋体" w:hAnsi="宋体" w:eastAsia="宋体" w:cs="宋体"/>
          <w:sz w:val="23"/>
          <w:szCs w:val="23"/>
        </w:rPr>
      </w:pPr>
      <w:r>
        <w:rPr>
          <w:rFonts w:ascii="宋体" w:hAnsi="宋体" w:eastAsia="宋体" w:cs="宋体"/>
          <w:spacing w:val="15"/>
          <w:sz w:val="23"/>
          <w:szCs w:val="23"/>
        </w:rPr>
        <w:t>井</w:t>
      </w:r>
      <w:r>
        <w:rPr>
          <w:rFonts w:ascii="宋体" w:hAnsi="宋体" w:eastAsia="宋体" w:cs="宋体"/>
          <w:spacing w:val="11"/>
          <w:sz w:val="23"/>
          <w:szCs w:val="23"/>
        </w:rPr>
        <w:t>研县丰逸养殖专业合作社拟建丰逸标准化代养场建设项目位于井研县周坡镇</w:t>
      </w:r>
      <w:r>
        <w:rPr>
          <w:rFonts w:ascii="宋体" w:hAnsi="宋体" w:eastAsia="宋体" w:cs="宋体"/>
          <w:sz w:val="23"/>
          <w:szCs w:val="23"/>
        </w:rPr>
        <w:t xml:space="preserve"> </w:t>
      </w:r>
      <w:r>
        <w:rPr>
          <w:rFonts w:ascii="宋体" w:hAnsi="宋体" w:eastAsia="宋体" w:cs="宋体"/>
          <w:spacing w:val="2"/>
          <w:sz w:val="23"/>
          <w:szCs w:val="23"/>
        </w:rPr>
        <w:t xml:space="preserve">周坡村 </w:t>
      </w:r>
      <w:r>
        <w:rPr>
          <w:rFonts w:ascii="Times New Roman" w:hAnsi="Times New Roman" w:eastAsia="Times New Roman" w:cs="Times New Roman"/>
          <w:spacing w:val="2"/>
          <w:sz w:val="23"/>
          <w:szCs w:val="23"/>
        </w:rPr>
        <w:t xml:space="preserve">7 </w:t>
      </w:r>
      <w:r>
        <w:rPr>
          <w:rFonts w:ascii="宋体" w:hAnsi="宋体" w:eastAsia="宋体" w:cs="宋体"/>
          <w:spacing w:val="2"/>
          <w:sz w:val="23"/>
          <w:szCs w:val="23"/>
        </w:rPr>
        <w:t xml:space="preserve">组、龙桥村 </w:t>
      </w:r>
      <w:r>
        <w:rPr>
          <w:rFonts w:ascii="Times New Roman" w:hAnsi="Times New Roman" w:eastAsia="Times New Roman" w:cs="Times New Roman"/>
          <w:spacing w:val="2"/>
          <w:sz w:val="23"/>
          <w:szCs w:val="23"/>
        </w:rPr>
        <w:t xml:space="preserve">2 </w:t>
      </w:r>
      <w:r>
        <w:rPr>
          <w:rFonts w:ascii="宋体" w:hAnsi="宋体" w:eastAsia="宋体" w:cs="宋体"/>
          <w:spacing w:val="2"/>
          <w:sz w:val="23"/>
          <w:szCs w:val="23"/>
        </w:rPr>
        <w:t xml:space="preserve">组，项目占地面积 </w:t>
      </w:r>
      <w:r>
        <w:rPr>
          <w:rFonts w:ascii="Times New Roman" w:hAnsi="Times New Roman" w:eastAsia="Times New Roman" w:cs="Times New Roman"/>
          <w:spacing w:val="2"/>
          <w:sz w:val="23"/>
          <w:szCs w:val="23"/>
        </w:rPr>
        <w:t xml:space="preserve">48. </w:t>
      </w:r>
      <w:r>
        <w:rPr>
          <w:rFonts w:ascii="Times New Roman" w:hAnsi="Times New Roman" w:eastAsia="Times New Roman" w:cs="Times New Roman"/>
          <w:spacing w:val="1"/>
          <w:sz w:val="23"/>
          <w:szCs w:val="23"/>
        </w:rPr>
        <w:t xml:space="preserve">11 </w:t>
      </w:r>
      <w:r>
        <w:rPr>
          <w:rFonts w:ascii="宋体" w:hAnsi="宋体" w:eastAsia="宋体" w:cs="宋体"/>
          <w:spacing w:val="1"/>
          <w:sz w:val="23"/>
          <w:szCs w:val="23"/>
        </w:rPr>
        <w:t xml:space="preserve">亩，猪场建筑面积 </w:t>
      </w:r>
      <w:r>
        <w:rPr>
          <w:rFonts w:ascii="Times New Roman" w:hAnsi="Times New Roman" w:eastAsia="Times New Roman" w:cs="Times New Roman"/>
          <w:spacing w:val="1"/>
          <w:sz w:val="23"/>
          <w:szCs w:val="23"/>
        </w:rPr>
        <w:t xml:space="preserve">16547.5 </w:t>
      </w:r>
      <w:r>
        <w:rPr>
          <w:rFonts w:ascii="宋体" w:hAnsi="宋体" w:eastAsia="宋体" w:cs="宋体"/>
          <w:spacing w:val="1"/>
          <w:sz w:val="23"/>
          <w:szCs w:val="23"/>
        </w:rPr>
        <w:t>平方米，</w:t>
      </w:r>
      <w:r>
        <w:rPr>
          <w:rFonts w:ascii="宋体" w:hAnsi="宋体" w:eastAsia="宋体" w:cs="宋体"/>
          <w:sz w:val="23"/>
          <w:szCs w:val="23"/>
        </w:rPr>
        <w:t xml:space="preserve"> </w:t>
      </w:r>
      <w:r>
        <w:rPr>
          <w:rFonts w:ascii="宋体" w:hAnsi="宋体" w:eastAsia="宋体" w:cs="宋体"/>
          <w:spacing w:val="12"/>
          <w:sz w:val="23"/>
          <w:szCs w:val="23"/>
        </w:rPr>
        <w:t>其中</w:t>
      </w:r>
      <w:r>
        <w:rPr>
          <w:rFonts w:ascii="宋体" w:hAnsi="宋体" w:eastAsia="宋体" w:cs="宋体"/>
          <w:spacing w:val="7"/>
          <w:sz w:val="23"/>
          <w:szCs w:val="23"/>
        </w:rPr>
        <w:t>建</w:t>
      </w:r>
      <w:r>
        <w:rPr>
          <w:rFonts w:ascii="宋体" w:hAnsi="宋体" w:eastAsia="宋体" w:cs="宋体"/>
          <w:spacing w:val="6"/>
          <w:sz w:val="23"/>
          <w:szCs w:val="23"/>
        </w:rPr>
        <w:t xml:space="preserve">设标准化圈舍 </w:t>
      </w:r>
      <w:r>
        <w:rPr>
          <w:rFonts w:ascii="Times New Roman" w:hAnsi="Times New Roman" w:eastAsia="Times New Roman" w:cs="Times New Roman"/>
          <w:spacing w:val="6"/>
          <w:sz w:val="23"/>
          <w:szCs w:val="23"/>
        </w:rPr>
        <w:t xml:space="preserve">14755 </w:t>
      </w:r>
      <w:r>
        <w:rPr>
          <w:rFonts w:ascii="宋体" w:hAnsi="宋体" w:eastAsia="宋体" w:cs="宋体"/>
          <w:spacing w:val="6"/>
          <w:sz w:val="23"/>
          <w:szCs w:val="23"/>
        </w:rPr>
        <w:t xml:space="preserve">平方米，饲料库房 </w:t>
      </w:r>
      <w:r>
        <w:rPr>
          <w:rFonts w:ascii="Times New Roman" w:hAnsi="Times New Roman" w:eastAsia="Times New Roman" w:cs="Times New Roman"/>
          <w:spacing w:val="6"/>
          <w:sz w:val="23"/>
          <w:szCs w:val="23"/>
        </w:rPr>
        <w:t xml:space="preserve">300 </w:t>
      </w:r>
      <w:r>
        <w:rPr>
          <w:rFonts w:ascii="宋体" w:hAnsi="宋体" w:eastAsia="宋体" w:cs="宋体"/>
          <w:spacing w:val="6"/>
          <w:sz w:val="23"/>
          <w:szCs w:val="23"/>
        </w:rPr>
        <w:t xml:space="preserve">平方米，办公室、生活用房 </w:t>
      </w:r>
      <w:r>
        <w:rPr>
          <w:rFonts w:ascii="Times New Roman" w:hAnsi="Times New Roman" w:eastAsia="Times New Roman" w:cs="Times New Roman"/>
          <w:spacing w:val="6"/>
          <w:sz w:val="23"/>
          <w:szCs w:val="23"/>
        </w:rPr>
        <w:t>420</w:t>
      </w:r>
      <w:r>
        <w:rPr>
          <w:rFonts w:ascii="Times New Roman" w:hAnsi="Times New Roman" w:eastAsia="Times New Roman" w:cs="Times New Roman"/>
          <w:sz w:val="23"/>
          <w:szCs w:val="23"/>
        </w:rPr>
        <w:t xml:space="preserve"> </w:t>
      </w:r>
      <w:r>
        <w:rPr>
          <w:rFonts w:ascii="宋体" w:hAnsi="宋体" w:eastAsia="宋体" w:cs="宋体"/>
          <w:spacing w:val="6"/>
          <w:sz w:val="23"/>
          <w:szCs w:val="23"/>
        </w:rPr>
        <w:t xml:space="preserve">平方米，附属用房 </w:t>
      </w:r>
      <w:r>
        <w:rPr>
          <w:rFonts w:ascii="Times New Roman" w:hAnsi="Times New Roman" w:eastAsia="Times New Roman" w:cs="Times New Roman"/>
          <w:spacing w:val="6"/>
          <w:sz w:val="23"/>
          <w:szCs w:val="23"/>
        </w:rPr>
        <w:t xml:space="preserve">51 </w:t>
      </w:r>
      <w:r>
        <w:rPr>
          <w:rFonts w:ascii="宋体" w:hAnsi="宋体" w:eastAsia="宋体" w:cs="宋体"/>
          <w:spacing w:val="6"/>
          <w:sz w:val="23"/>
          <w:szCs w:val="23"/>
        </w:rPr>
        <w:t>平方米。配置自动化输料、通风、照明、温控有害气体控制</w:t>
      </w:r>
      <w:r>
        <w:rPr>
          <w:rFonts w:ascii="宋体" w:hAnsi="宋体" w:eastAsia="宋体" w:cs="宋体"/>
          <w:sz w:val="23"/>
          <w:szCs w:val="23"/>
        </w:rPr>
        <w:t xml:space="preserve">等 </w:t>
      </w:r>
      <w:r>
        <w:rPr>
          <w:rFonts w:ascii="宋体" w:hAnsi="宋体" w:eastAsia="宋体" w:cs="宋体"/>
          <w:spacing w:val="16"/>
          <w:sz w:val="23"/>
          <w:szCs w:val="23"/>
        </w:rPr>
        <w:t>系统</w:t>
      </w:r>
      <w:r>
        <w:rPr>
          <w:rFonts w:ascii="宋体" w:hAnsi="宋体" w:eastAsia="宋体" w:cs="宋体"/>
          <w:spacing w:val="12"/>
          <w:sz w:val="23"/>
          <w:szCs w:val="23"/>
        </w:rPr>
        <w:t>以</w:t>
      </w:r>
      <w:r>
        <w:rPr>
          <w:rFonts w:ascii="宋体" w:hAnsi="宋体" w:eastAsia="宋体" w:cs="宋体"/>
          <w:spacing w:val="8"/>
          <w:sz w:val="23"/>
          <w:szCs w:val="23"/>
        </w:rPr>
        <w:t xml:space="preserve">及污水处理、畜禽消毒与无害化处理等设施设备、存栏育肥猪 </w:t>
      </w:r>
      <w:r>
        <w:rPr>
          <w:rFonts w:ascii="Times New Roman" w:hAnsi="Times New Roman" w:eastAsia="Times New Roman" w:cs="Times New Roman"/>
          <w:spacing w:val="8"/>
          <w:sz w:val="23"/>
          <w:szCs w:val="23"/>
        </w:rPr>
        <w:t xml:space="preserve">10400 </w:t>
      </w:r>
      <w:r>
        <w:rPr>
          <w:rFonts w:ascii="宋体" w:hAnsi="宋体" w:eastAsia="宋体" w:cs="宋体"/>
          <w:spacing w:val="8"/>
          <w:sz w:val="23"/>
          <w:szCs w:val="23"/>
        </w:rPr>
        <w:t>头。厂</w:t>
      </w:r>
      <w:r>
        <w:rPr>
          <w:rFonts w:ascii="宋体" w:hAnsi="宋体" w:eastAsia="宋体" w:cs="宋体"/>
          <w:sz w:val="23"/>
          <w:szCs w:val="23"/>
        </w:rPr>
        <w:t xml:space="preserve"> </w:t>
      </w:r>
      <w:r>
        <w:rPr>
          <w:rFonts w:ascii="宋体" w:hAnsi="宋体" w:eastAsia="宋体" w:cs="宋体"/>
          <w:spacing w:val="10"/>
          <w:sz w:val="23"/>
          <w:szCs w:val="23"/>
        </w:rPr>
        <w:t>区内建设有</w:t>
      </w:r>
      <w:r>
        <w:rPr>
          <w:rFonts w:ascii="宋体" w:hAnsi="宋体" w:eastAsia="宋体" w:cs="宋体"/>
          <w:spacing w:val="5"/>
          <w:sz w:val="23"/>
          <w:szCs w:val="23"/>
        </w:rPr>
        <w:t xml:space="preserve">粪水储存池 </w:t>
      </w:r>
      <w:r>
        <w:rPr>
          <w:rFonts w:ascii="Times New Roman" w:hAnsi="Times New Roman" w:eastAsia="Times New Roman" w:cs="Times New Roman"/>
          <w:spacing w:val="5"/>
          <w:sz w:val="23"/>
          <w:szCs w:val="23"/>
        </w:rPr>
        <w:t xml:space="preserve">1000 </w:t>
      </w:r>
      <w:r>
        <w:rPr>
          <w:rFonts w:ascii="宋体" w:hAnsi="宋体" w:eastAsia="宋体" w:cs="宋体"/>
          <w:spacing w:val="5"/>
          <w:sz w:val="23"/>
          <w:szCs w:val="23"/>
        </w:rPr>
        <w:t>立方米，养殖废水每日运输至乐山乐高勤力生物质能源</w:t>
      </w:r>
      <w:r>
        <w:rPr>
          <w:rFonts w:ascii="宋体" w:hAnsi="宋体" w:eastAsia="宋体" w:cs="宋体"/>
          <w:sz w:val="23"/>
          <w:szCs w:val="23"/>
        </w:rPr>
        <w:t xml:space="preserve"> </w:t>
      </w:r>
      <w:r>
        <w:rPr>
          <w:rFonts w:ascii="宋体" w:hAnsi="宋体" w:eastAsia="宋体" w:cs="宋体"/>
          <w:spacing w:val="10"/>
          <w:sz w:val="23"/>
          <w:szCs w:val="23"/>
        </w:rPr>
        <w:t>综合利用</w:t>
      </w:r>
      <w:r>
        <w:rPr>
          <w:rFonts w:ascii="宋体" w:hAnsi="宋体" w:eastAsia="宋体" w:cs="宋体"/>
          <w:spacing w:val="9"/>
          <w:sz w:val="23"/>
          <w:szCs w:val="23"/>
        </w:rPr>
        <w:t>有</w:t>
      </w:r>
      <w:r>
        <w:rPr>
          <w:rFonts w:ascii="宋体" w:hAnsi="宋体" w:eastAsia="宋体" w:cs="宋体"/>
          <w:spacing w:val="5"/>
          <w:sz w:val="23"/>
          <w:szCs w:val="23"/>
        </w:rPr>
        <w:t xml:space="preserve">限公司集中处置，日产日清，此外，厂区还配套建设有一 </w:t>
      </w:r>
      <w:r>
        <w:rPr>
          <w:rFonts w:ascii="Times New Roman" w:hAnsi="Times New Roman" w:eastAsia="Times New Roman" w:cs="Times New Roman"/>
          <w:spacing w:val="5"/>
          <w:sz w:val="23"/>
          <w:szCs w:val="23"/>
        </w:rPr>
        <w:t>1600</w:t>
      </w:r>
      <w:r>
        <w:rPr>
          <w:rFonts w:ascii="Times New Roman" w:hAnsi="Times New Roman" w:eastAsia="Times New Roman" w:cs="Times New Roman"/>
          <w:sz w:val="23"/>
          <w:szCs w:val="23"/>
        </w:rPr>
        <w:t>m</w:t>
      </w:r>
      <w:r>
        <w:rPr>
          <w:rFonts w:ascii="Times New Roman" w:hAnsi="Times New Roman" w:eastAsia="Times New Roman" w:cs="Times New Roman"/>
          <w:spacing w:val="5"/>
          <w:position w:val="8"/>
          <w:sz w:val="15"/>
          <w:szCs w:val="15"/>
        </w:rPr>
        <w:t xml:space="preserve">2 </w:t>
      </w:r>
      <w:r>
        <w:rPr>
          <w:rFonts w:ascii="宋体" w:hAnsi="宋体" w:eastAsia="宋体" w:cs="宋体"/>
          <w:spacing w:val="5"/>
          <w:sz w:val="23"/>
          <w:szCs w:val="23"/>
        </w:rPr>
        <w:t>的发酵</w:t>
      </w:r>
      <w:r>
        <w:rPr>
          <w:rFonts w:ascii="宋体" w:hAnsi="宋体" w:eastAsia="宋体" w:cs="宋体"/>
          <w:sz w:val="23"/>
          <w:szCs w:val="23"/>
        </w:rPr>
        <w:t xml:space="preserve"> </w:t>
      </w:r>
      <w:r>
        <w:rPr>
          <w:rFonts w:ascii="宋体" w:hAnsi="宋体" w:eastAsia="宋体" w:cs="宋体"/>
          <w:spacing w:val="15"/>
          <w:sz w:val="23"/>
          <w:szCs w:val="23"/>
        </w:rPr>
        <w:t>床</w:t>
      </w:r>
      <w:r>
        <w:rPr>
          <w:rFonts w:ascii="宋体" w:hAnsi="宋体" w:eastAsia="宋体" w:cs="宋体"/>
          <w:spacing w:val="11"/>
          <w:sz w:val="23"/>
          <w:szCs w:val="23"/>
        </w:rPr>
        <w:t>备用，若后期乐山乐高勤力生物质能源综合利用有限公司不再回收厂区内的养殖</w:t>
      </w:r>
      <w:r>
        <w:rPr>
          <w:rFonts w:ascii="宋体" w:hAnsi="宋体" w:eastAsia="宋体" w:cs="宋体"/>
          <w:sz w:val="23"/>
          <w:szCs w:val="23"/>
        </w:rPr>
        <w:t xml:space="preserve"> </w:t>
      </w:r>
      <w:r>
        <w:rPr>
          <w:rFonts w:ascii="宋体" w:hAnsi="宋体" w:eastAsia="宋体" w:cs="宋体"/>
          <w:spacing w:val="12"/>
          <w:sz w:val="23"/>
          <w:szCs w:val="23"/>
        </w:rPr>
        <w:t>废水，可</w:t>
      </w:r>
      <w:r>
        <w:rPr>
          <w:rFonts w:ascii="宋体" w:hAnsi="宋体" w:eastAsia="宋体" w:cs="宋体"/>
          <w:spacing w:val="10"/>
          <w:sz w:val="23"/>
          <w:szCs w:val="23"/>
        </w:rPr>
        <w:t>将</w:t>
      </w:r>
      <w:r>
        <w:rPr>
          <w:rFonts w:ascii="宋体" w:hAnsi="宋体" w:eastAsia="宋体" w:cs="宋体"/>
          <w:spacing w:val="6"/>
          <w:sz w:val="23"/>
          <w:szCs w:val="23"/>
        </w:rPr>
        <w:t>通过异位发酵床自行处置，处理产生的有机肥外售处理。配套入场道路、</w:t>
      </w:r>
      <w:r>
        <w:rPr>
          <w:rFonts w:ascii="宋体" w:hAnsi="宋体" w:eastAsia="宋体" w:cs="宋体"/>
          <w:sz w:val="23"/>
          <w:szCs w:val="23"/>
        </w:rPr>
        <w:t xml:space="preserve"> </w:t>
      </w:r>
      <w:r>
        <w:rPr>
          <w:rFonts w:ascii="宋体" w:hAnsi="宋体" w:eastAsia="宋体" w:cs="宋体"/>
          <w:spacing w:val="13"/>
          <w:sz w:val="23"/>
          <w:szCs w:val="23"/>
        </w:rPr>
        <w:t>场</w:t>
      </w:r>
      <w:r>
        <w:rPr>
          <w:rFonts w:ascii="宋体" w:hAnsi="宋体" w:eastAsia="宋体" w:cs="宋体"/>
          <w:spacing w:val="11"/>
          <w:sz w:val="23"/>
          <w:szCs w:val="23"/>
        </w:rPr>
        <w:t>区围墙、排水、供电、粪污处理、绿化设施等，工程饲料来源外购，本项目不生</w:t>
      </w:r>
      <w:r>
        <w:rPr>
          <w:rFonts w:ascii="宋体" w:hAnsi="宋体" w:eastAsia="宋体" w:cs="宋体"/>
          <w:sz w:val="23"/>
          <w:szCs w:val="23"/>
        </w:rPr>
        <w:t xml:space="preserve"> </w:t>
      </w:r>
      <w:r>
        <w:rPr>
          <w:rFonts w:ascii="宋体" w:hAnsi="宋体" w:eastAsia="宋体" w:cs="宋体"/>
          <w:spacing w:val="8"/>
          <w:sz w:val="23"/>
          <w:szCs w:val="23"/>
        </w:rPr>
        <w:t>产</w:t>
      </w:r>
      <w:r>
        <w:rPr>
          <w:rFonts w:ascii="宋体" w:hAnsi="宋体" w:eastAsia="宋体" w:cs="宋体"/>
          <w:spacing w:val="4"/>
          <w:sz w:val="23"/>
          <w:szCs w:val="23"/>
        </w:rPr>
        <w:t xml:space="preserve">饲料，项目总投资为 </w:t>
      </w:r>
      <w:r>
        <w:rPr>
          <w:rFonts w:ascii="Times New Roman" w:hAnsi="Times New Roman" w:eastAsia="Times New Roman" w:cs="Times New Roman"/>
          <w:spacing w:val="4"/>
          <w:sz w:val="23"/>
          <w:szCs w:val="23"/>
        </w:rPr>
        <w:t xml:space="preserve">2629 </w:t>
      </w:r>
      <w:r>
        <w:rPr>
          <w:rFonts w:ascii="宋体" w:hAnsi="宋体" w:eastAsia="宋体" w:cs="宋体"/>
          <w:spacing w:val="4"/>
          <w:sz w:val="23"/>
          <w:szCs w:val="23"/>
        </w:rPr>
        <w:t>万元。</w:t>
      </w:r>
    </w:p>
    <w:p w14:paraId="7435B1C1">
      <w:pPr>
        <w:spacing w:line="227" w:lineRule="auto"/>
        <w:ind w:left="8"/>
        <w:outlineLvl w:val="2"/>
        <w:rPr>
          <w:rFonts w:ascii="宋体" w:hAnsi="宋体" w:eastAsia="宋体" w:cs="宋体"/>
          <w:sz w:val="23"/>
          <w:szCs w:val="23"/>
        </w:rPr>
      </w:pPr>
      <w:bookmarkStart w:id="19" w:name="_bookmark20"/>
      <w:bookmarkEnd w:id="19"/>
      <w:r>
        <w:rPr>
          <w:rFonts w:ascii="Times New Roman" w:hAnsi="Times New Roman" w:eastAsia="Times New Roman" w:cs="Times New Roman"/>
          <w:b/>
          <w:bCs/>
          <w:spacing w:val="10"/>
          <w:sz w:val="23"/>
          <w:szCs w:val="23"/>
        </w:rPr>
        <w:t>2</w:t>
      </w:r>
      <w:r>
        <w:rPr>
          <w:rFonts w:ascii="Times New Roman" w:hAnsi="Times New Roman" w:eastAsia="Times New Roman" w:cs="Times New Roman"/>
          <w:b/>
          <w:bCs/>
          <w:spacing w:val="6"/>
          <w:sz w:val="23"/>
          <w:szCs w:val="23"/>
        </w:rPr>
        <w:t>.</w:t>
      </w:r>
      <w:r>
        <w:rPr>
          <w:rFonts w:ascii="Times New Roman" w:hAnsi="Times New Roman" w:eastAsia="Times New Roman" w:cs="Times New Roman"/>
          <w:b/>
          <w:bCs/>
          <w:spacing w:val="5"/>
          <w:sz w:val="23"/>
          <w:szCs w:val="23"/>
        </w:rPr>
        <w:t>1.3</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产品规模</w:t>
      </w:r>
    </w:p>
    <w:p w14:paraId="4AF12097">
      <w:pPr>
        <w:spacing w:before="186" w:line="227" w:lineRule="auto"/>
        <w:ind w:left="503"/>
        <w:rPr>
          <w:rFonts w:ascii="宋体" w:hAnsi="宋体" w:eastAsia="宋体" w:cs="宋体"/>
          <w:sz w:val="23"/>
          <w:szCs w:val="23"/>
        </w:rPr>
      </w:pP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1</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养殖规模</w:t>
      </w:r>
    </w:p>
    <w:p w14:paraId="1F7C14DA">
      <w:pPr>
        <w:spacing w:before="181" w:line="379" w:lineRule="auto"/>
        <w:ind w:left="10" w:right="18" w:firstLine="485"/>
        <w:rPr>
          <w:rFonts w:ascii="宋体" w:hAnsi="宋体" w:eastAsia="宋体" w:cs="宋体"/>
          <w:sz w:val="23"/>
          <w:szCs w:val="23"/>
        </w:rPr>
      </w:pPr>
      <w:r>
        <w:rPr>
          <w:rFonts w:ascii="宋体" w:hAnsi="宋体" w:eastAsia="宋体" w:cs="宋体"/>
          <w:spacing w:val="10"/>
          <w:sz w:val="23"/>
          <w:szCs w:val="23"/>
        </w:rPr>
        <w:t>项</w:t>
      </w:r>
      <w:r>
        <w:rPr>
          <w:rFonts w:ascii="宋体" w:hAnsi="宋体" w:eastAsia="宋体" w:cs="宋体"/>
          <w:spacing w:val="8"/>
          <w:sz w:val="23"/>
          <w:szCs w:val="23"/>
        </w:rPr>
        <w:t xml:space="preserve">目为生猪养殖，公司采取托养方式养殖生猪，流转土地 </w:t>
      </w:r>
      <w:r>
        <w:rPr>
          <w:rFonts w:ascii="Times New Roman" w:hAnsi="Times New Roman" w:eastAsia="Times New Roman" w:cs="Times New Roman"/>
          <w:spacing w:val="8"/>
          <w:sz w:val="23"/>
          <w:szCs w:val="23"/>
        </w:rPr>
        <w:t xml:space="preserve">48. 11 </w:t>
      </w:r>
      <w:r>
        <w:rPr>
          <w:rFonts w:ascii="宋体" w:hAnsi="宋体" w:eastAsia="宋体" w:cs="宋体"/>
          <w:spacing w:val="8"/>
          <w:sz w:val="23"/>
          <w:szCs w:val="23"/>
        </w:rPr>
        <w:t>亩，建设完成</w:t>
      </w:r>
      <w:r>
        <w:rPr>
          <w:rFonts w:ascii="宋体" w:hAnsi="宋体" w:eastAsia="宋体" w:cs="宋体"/>
          <w:sz w:val="23"/>
          <w:szCs w:val="23"/>
        </w:rPr>
        <w:t xml:space="preserve"> </w:t>
      </w:r>
      <w:r>
        <w:rPr>
          <w:rFonts w:ascii="宋体" w:hAnsi="宋体" w:eastAsia="宋体" w:cs="宋体"/>
          <w:spacing w:val="12"/>
          <w:sz w:val="23"/>
          <w:szCs w:val="23"/>
        </w:rPr>
        <w:t>后计划</w:t>
      </w:r>
      <w:r>
        <w:rPr>
          <w:rFonts w:ascii="宋体" w:hAnsi="宋体" w:eastAsia="宋体" w:cs="宋体"/>
          <w:spacing w:val="7"/>
          <w:sz w:val="23"/>
          <w:szCs w:val="23"/>
        </w:rPr>
        <w:t>年</w:t>
      </w:r>
      <w:r>
        <w:rPr>
          <w:rFonts w:ascii="宋体" w:hAnsi="宋体" w:eastAsia="宋体" w:cs="宋体"/>
          <w:spacing w:val="6"/>
          <w:sz w:val="23"/>
          <w:szCs w:val="23"/>
        </w:rPr>
        <w:t xml:space="preserve">存栏育肥猪 </w:t>
      </w:r>
      <w:r>
        <w:rPr>
          <w:rFonts w:ascii="Times New Roman" w:hAnsi="Times New Roman" w:eastAsia="Times New Roman" w:cs="Times New Roman"/>
          <w:spacing w:val="6"/>
          <w:sz w:val="23"/>
          <w:szCs w:val="23"/>
        </w:rPr>
        <w:t xml:space="preserve">10400 </w:t>
      </w:r>
      <w:r>
        <w:rPr>
          <w:rFonts w:ascii="宋体" w:hAnsi="宋体" w:eastAsia="宋体" w:cs="宋体"/>
          <w:spacing w:val="6"/>
          <w:sz w:val="23"/>
          <w:szCs w:val="23"/>
        </w:rPr>
        <w:t xml:space="preserve">头，年出栏量生猪 </w:t>
      </w:r>
      <w:r>
        <w:rPr>
          <w:rFonts w:ascii="Times New Roman" w:hAnsi="Times New Roman" w:eastAsia="Times New Roman" w:cs="Times New Roman"/>
          <w:spacing w:val="6"/>
          <w:sz w:val="23"/>
          <w:szCs w:val="23"/>
        </w:rPr>
        <w:t xml:space="preserve">20800 </w:t>
      </w:r>
      <w:r>
        <w:rPr>
          <w:rFonts w:ascii="宋体" w:hAnsi="宋体" w:eastAsia="宋体" w:cs="宋体"/>
          <w:spacing w:val="6"/>
          <w:sz w:val="23"/>
          <w:szCs w:val="23"/>
        </w:rPr>
        <w:t>头，不在场内养殖母猪，仅外</w:t>
      </w:r>
      <w:r>
        <w:rPr>
          <w:rFonts w:ascii="宋体" w:hAnsi="宋体" w:eastAsia="宋体" w:cs="宋体"/>
          <w:sz w:val="23"/>
          <w:szCs w:val="23"/>
        </w:rPr>
        <w:t xml:space="preserve"> </w:t>
      </w:r>
      <w:r>
        <w:rPr>
          <w:rFonts w:ascii="宋体" w:hAnsi="宋体" w:eastAsia="宋体" w:cs="宋体"/>
          <w:spacing w:val="4"/>
          <w:sz w:val="23"/>
          <w:szCs w:val="23"/>
        </w:rPr>
        <w:t>购猪仔育肥，外购仔猪</w:t>
      </w:r>
      <w:r>
        <w:rPr>
          <w:rFonts w:ascii="宋体" w:hAnsi="宋体" w:eastAsia="宋体" w:cs="宋体"/>
          <w:spacing w:val="3"/>
          <w:sz w:val="23"/>
          <w:szCs w:val="23"/>
        </w:rPr>
        <w:t>来</w:t>
      </w:r>
      <w:r>
        <w:rPr>
          <w:rFonts w:ascii="宋体" w:hAnsi="宋体" w:eastAsia="宋体" w:cs="宋体"/>
          <w:spacing w:val="2"/>
          <w:sz w:val="23"/>
          <w:szCs w:val="23"/>
        </w:rPr>
        <w:t xml:space="preserve">自正邦集团。仔猪 </w:t>
      </w:r>
      <w:r>
        <w:rPr>
          <w:rFonts w:ascii="Times New Roman" w:hAnsi="Times New Roman" w:eastAsia="Times New Roman" w:cs="Times New Roman"/>
          <w:spacing w:val="2"/>
          <w:sz w:val="23"/>
          <w:szCs w:val="23"/>
        </w:rPr>
        <w:t>10~20</w:t>
      </w:r>
      <w:r>
        <w:rPr>
          <w:rFonts w:ascii="Times New Roman" w:hAnsi="Times New Roman" w:eastAsia="Times New Roman" w:cs="Times New Roman"/>
          <w:sz w:val="23"/>
          <w:szCs w:val="23"/>
        </w:rPr>
        <w:t>kg</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 xml:space="preserve">进场，场内养殖周期为 </w:t>
      </w:r>
      <w:r>
        <w:rPr>
          <w:rFonts w:ascii="Times New Roman" w:hAnsi="Times New Roman" w:eastAsia="Times New Roman" w:cs="Times New Roman"/>
          <w:spacing w:val="2"/>
          <w:sz w:val="23"/>
          <w:szCs w:val="23"/>
        </w:rPr>
        <w:t xml:space="preserve">150 </w:t>
      </w:r>
      <w:r>
        <w:rPr>
          <w:rFonts w:ascii="宋体" w:hAnsi="宋体" w:eastAsia="宋体" w:cs="宋体"/>
          <w:spacing w:val="2"/>
          <w:sz w:val="23"/>
          <w:szCs w:val="23"/>
        </w:rPr>
        <w:t>天，</w:t>
      </w:r>
    </w:p>
    <w:p w14:paraId="7638BA6C">
      <w:pPr>
        <w:sectPr>
          <w:headerReference r:id="rId60" w:type="default"/>
          <w:footerReference r:id="rId61" w:type="default"/>
          <w:pgSz w:w="11907" w:h="16840"/>
          <w:pgMar w:top="1153" w:right="1477" w:bottom="1277" w:left="1657" w:header="919" w:footer="1114" w:gutter="0"/>
          <w:cols w:space="720" w:num="1"/>
        </w:sectPr>
      </w:pPr>
    </w:p>
    <w:p w14:paraId="7954A928">
      <w:pPr>
        <w:spacing w:before="1" w:line="385" w:lineRule="auto"/>
        <w:ind w:left="165" w:right="61" w:firstLine="2"/>
        <w:rPr>
          <w:rFonts w:ascii="宋体" w:hAnsi="宋体" w:eastAsia="宋体" w:cs="宋体"/>
          <w:sz w:val="23"/>
          <w:szCs w:val="23"/>
        </w:rPr>
      </w:pPr>
      <w:r>
        <w:rPr>
          <w:rFonts w:ascii="宋体" w:hAnsi="宋体" w:eastAsia="宋体" w:cs="宋体"/>
          <w:spacing w:val="5"/>
          <w:sz w:val="23"/>
          <w:szCs w:val="23"/>
        </w:rPr>
        <w:t xml:space="preserve">不超过 </w:t>
      </w:r>
      <w:r>
        <w:rPr>
          <w:rFonts w:ascii="Times New Roman" w:hAnsi="Times New Roman" w:eastAsia="Times New Roman" w:cs="Times New Roman"/>
          <w:spacing w:val="5"/>
          <w:sz w:val="23"/>
          <w:szCs w:val="23"/>
        </w:rPr>
        <w:t xml:space="preserve">180 </w:t>
      </w:r>
      <w:r>
        <w:rPr>
          <w:rFonts w:ascii="宋体" w:hAnsi="宋体" w:eastAsia="宋体" w:cs="宋体"/>
          <w:spacing w:val="5"/>
          <w:sz w:val="23"/>
          <w:szCs w:val="23"/>
        </w:rPr>
        <w:t xml:space="preserve">天，出栏重量控制在 </w:t>
      </w:r>
      <w:r>
        <w:rPr>
          <w:rFonts w:ascii="Times New Roman" w:hAnsi="Times New Roman" w:eastAsia="Times New Roman" w:cs="Times New Roman"/>
          <w:spacing w:val="5"/>
          <w:sz w:val="23"/>
          <w:szCs w:val="23"/>
        </w:rPr>
        <w:t>150</w:t>
      </w:r>
      <w:r>
        <w:rPr>
          <w:rFonts w:ascii="Times New Roman" w:hAnsi="Times New Roman" w:eastAsia="Times New Roman" w:cs="Times New Roman"/>
          <w:sz w:val="23"/>
          <w:szCs w:val="23"/>
        </w:rPr>
        <w:t>kg</w:t>
      </w:r>
      <w:r>
        <w:rPr>
          <w:rFonts w:ascii="Times New Roman" w:hAnsi="Times New Roman" w:eastAsia="Times New Roman" w:cs="Times New Roman"/>
          <w:spacing w:val="5"/>
          <w:sz w:val="23"/>
          <w:szCs w:val="23"/>
        </w:rPr>
        <w:t>~ 170</w:t>
      </w:r>
      <w:r>
        <w:rPr>
          <w:rFonts w:ascii="Times New Roman" w:hAnsi="Times New Roman" w:eastAsia="Times New Roman" w:cs="Times New Roman"/>
          <w:sz w:val="23"/>
          <w:szCs w:val="23"/>
        </w:rPr>
        <w:t>kg</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，每年出栏两批次，间隔时间用于</w:t>
      </w:r>
      <w:r>
        <w:rPr>
          <w:rFonts w:ascii="宋体" w:hAnsi="宋体" w:eastAsia="宋体" w:cs="宋体"/>
          <w:sz w:val="23"/>
          <w:szCs w:val="23"/>
        </w:rPr>
        <w:t xml:space="preserve">圈 </w:t>
      </w:r>
      <w:r>
        <w:rPr>
          <w:rFonts w:ascii="宋体" w:hAnsi="宋体" w:eastAsia="宋体" w:cs="宋体"/>
          <w:spacing w:val="9"/>
          <w:sz w:val="23"/>
          <w:szCs w:val="23"/>
        </w:rPr>
        <w:t>舍</w:t>
      </w:r>
      <w:r>
        <w:rPr>
          <w:rFonts w:ascii="宋体" w:hAnsi="宋体" w:eastAsia="宋体" w:cs="宋体"/>
          <w:spacing w:val="6"/>
          <w:sz w:val="23"/>
          <w:szCs w:val="23"/>
        </w:rPr>
        <w:t>空置消毒。</w:t>
      </w:r>
    </w:p>
    <w:p w14:paraId="3FEA6156">
      <w:pPr>
        <w:spacing w:before="13" w:line="223" w:lineRule="auto"/>
        <w:ind w:left="3091"/>
        <w:rPr>
          <w:rFonts w:ascii="黑体" w:hAnsi="黑体" w:eastAsia="黑体" w:cs="黑体"/>
          <w:sz w:val="23"/>
          <w:szCs w:val="23"/>
        </w:rPr>
      </w:pPr>
      <w:r>
        <w:rPr>
          <w:rFonts w:ascii="黑体" w:hAnsi="黑体" w:eastAsia="黑体" w:cs="黑体"/>
          <w:spacing w:val="-6"/>
          <w:sz w:val="23"/>
          <w:szCs w:val="23"/>
        </w:rPr>
        <w:t>表</w:t>
      </w:r>
      <w:r>
        <w:rPr>
          <w:rFonts w:ascii="黑体" w:hAnsi="黑体" w:eastAsia="黑体" w:cs="黑体"/>
          <w:spacing w:val="-3"/>
          <w:sz w:val="23"/>
          <w:szCs w:val="23"/>
        </w:rPr>
        <w:t xml:space="preserve"> </w:t>
      </w:r>
      <w:r>
        <w:rPr>
          <w:rFonts w:ascii="Times New Roman" w:hAnsi="Times New Roman" w:eastAsia="Times New Roman" w:cs="Times New Roman"/>
          <w:spacing w:val="-3"/>
          <w:sz w:val="23"/>
          <w:szCs w:val="23"/>
        </w:rPr>
        <w:t xml:space="preserve">2. 1- 1      </w:t>
      </w:r>
      <w:r>
        <w:rPr>
          <w:rFonts w:ascii="黑体" w:hAnsi="黑体" w:eastAsia="黑体" w:cs="黑体"/>
          <w:spacing w:val="-3"/>
          <w:sz w:val="23"/>
          <w:szCs w:val="23"/>
        </w:rPr>
        <w:t>本项目产品方案</w:t>
      </w:r>
    </w:p>
    <w:tbl>
      <w:tblPr>
        <w:tblStyle w:val="4"/>
        <w:tblW w:w="852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53"/>
        <w:gridCol w:w="1143"/>
        <w:gridCol w:w="3000"/>
        <w:gridCol w:w="2532"/>
      </w:tblGrid>
      <w:tr w14:paraId="2A38D4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1853" w:type="dxa"/>
            <w:tcBorders>
              <w:left w:val="nil"/>
              <w:right w:val="single" w:color="000000" w:sz="4" w:space="0"/>
            </w:tcBorders>
          </w:tcPr>
          <w:p w14:paraId="1DA4F92F">
            <w:pPr>
              <w:spacing w:before="55" w:line="227" w:lineRule="auto"/>
              <w:ind w:left="513"/>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产</w:t>
            </w:r>
            <w:r>
              <w:rPr>
                <w:rFonts w:ascii="宋体" w:hAnsi="宋体" w:eastAsia="宋体" w:cs="宋体"/>
                <w:spacing w:val="8"/>
                <w:sz w:val="20"/>
                <w:szCs w:val="20"/>
                <w14:textOutline w14:w="3797" w14:cap="sq" w14:cmpd="sng" w14:algn="ctr">
                  <w14:solidFill>
                    <w14:srgbClr w14:val="000000"/>
                  </w14:solidFill>
                  <w14:prstDash w14:val="solid"/>
                  <w14:bevel/>
                </w14:textOutline>
              </w:rPr>
              <w:t>品名称</w:t>
            </w:r>
          </w:p>
        </w:tc>
        <w:tc>
          <w:tcPr>
            <w:tcW w:w="1143" w:type="dxa"/>
            <w:tcBorders>
              <w:left w:val="single" w:color="000000" w:sz="4" w:space="0"/>
              <w:right w:val="single" w:color="000000" w:sz="4" w:space="0"/>
            </w:tcBorders>
          </w:tcPr>
          <w:p w14:paraId="5CF84ADA">
            <w:pPr>
              <w:spacing w:before="55" w:line="227" w:lineRule="auto"/>
              <w:ind w:left="365"/>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单位</w:t>
            </w:r>
          </w:p>
        </w:tc>
        <w:tc>
          <w:tcPr>
            <w:tcW w:w="3000" w:type="dxa"/>
            <w:tcBorders>
              <w:left w:val="single" w:color="000000" w:sz="4" w:space="0"/>
              <w:right w:val="single" w:color="000000" w:sz="4" w:space="0"/>
            </w:tcBorders>
          </w:tcPr>
          <w:p w14:paraId="3C5C71AD">
            <w:pPr>
              <w:spacing w:before="55" w:line="227" w:lineRule="auto"/>
              <w:ind w:left="1188"/>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存栏量</w:t>
            </w:r>
          </w:p>
        </w:tc>
        <w:tc>
          <w:tcPr>
            <w:tcW w:w="2532" w:type="dxa"/>
            <w:tcBorders>
              <w:left w:val="single" w:color="000000" w:sz="4" w:space="0"/>
              <w:right w:val="nil"/>
            </w:tcBorders>
          </w:tcPr>
          <w:p w14:paraId="4181C394">
            <w:pPr>
              <w:spacing w:before="55" w:line="227" w:lineRule="auto"/>
              <w:ind w:left="971"/>
              <w:rPr>
                <w:rFonts w:ascii="宋体" w:hAnsi="宋体" w:eastAsia="宋体" w:cs="宋体"/>
                <w:sz w:val="20"/>
                <w:szCs w:val="20"/>
              </w:rPr>
            </w:pPr>
            <w:r>
              <w:rPr>
                <w:rFonts w:ascii="宋体" w:hAnsi="宋体" w:eastAsia="宋体" w:cs="宋体"/>
                <w:spacing w:val="2"/>
                <w:sz w:val="20"/>
                <w:szCs w:val="20"/>
                <w14:textOutline w14:w="3797" w14:cap="sq" w14:cmpd="sng" w14:algn="ctr">
                  <w14:solidFill>
                    <w14:srgbClr w14:val="000000"/>
                  </w14:solidFill>
                  <w14:prstDash w14:val="solid"/>
                  <w14:bevel/>
                </w14:textOutline>
              </w:rPr>
              <w:t>出栏</w:t>
            </w:r>
            <w:r>
              <w:rPr>
                <w:rFonts w:ascii="宋体" w:hAnsi="宋体" w:eastAsia="宋体" w:cs="宋体"/>
                <w:spacing w:val="1"/>
                <w:sz w:val="20"/>
                <w:szCs w:val="20"/>
                <w14:textOutline w14:w="3797" w14:cap="sq" w14:cmpd="sng" w14:algn="ctr">
                  <w14:solidFill>
                    <w14:srgbClr w14:val="000000"/>
                  </w14:solidFill>
                  <w14:prstDash w14:val="solid"/>
                  <w14:bevel/>
                </w14:textOutline>
              </w:rPr>
              <w:t>量</w:t>
            </w:r>
          </w:p>
        </w:tc>
      </w:tr>
      <w:tr w14:paraId="69826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853" w:type="dxa"/>
            <w:tcBorders>
              <w:left w:val="nil"/>
              <w:right w:val="single" w:color="000000" w:sz="4" w:space="0"/>
            </w:tcBorders>
          </w:tcPr>
          <w:p w14:paraId="6139C391">
            <w:pPr>
              <w:spacing w:before="37" w:line="227" w:lineRule="auto"/>
              <w:ind w:left="627"/>
              <w:rPr>
                <w:rFonts w:ascii="宋体" w:hAnsi="宋体" w:eastAsia="宋体" w:cs="宋体"/>
                <w:sz w:val="20"/>
                <w:szCs w:val="20"/>
              </w:rPr>
            </w:pPr>
            <w:r>
              <w:rPr>
                <w:rFonts w:ascii="宋体" w:hAnsi="宋体" w:eastAsia="宋体" w:cs="宋体"/>
                <w:spacing w:val="4"/>
                <w:sz w:val="20"/>
                <w:szCs w:val="20"/>
              </w:rPr>
              <w:t>育肥猪</w:t>
            </w:r>
          </w:p>
        </w:tc>
        <w:tc>
          <w:tcPr>
            <w:tcW w:w="1143" w:type="dxa"/>
            <w:tcBorders>
              <w:left w:val="single" w:color="000000" w:sz="4" w:space="0"/>
              <w:right w:val="single" w:color="000000" w:sz="4" w:space="0"/>
            </w:tcBorders>
          </w:tcPr>
          <w:p w14:paraId="00108272">
            <w:pPr>
              <w:spacing w:before="119" w:line="140" w:lineRule="exact"/>
              <w:ind w:left="661"/>
              <w:rPr>
                <w:rFonts w:ascii="Times New Roman" w:hAnsi="Times New Roman" w:eastAsia="Times New Roman" w:cs="Times New Roman"/>
                <w:sz w:val="20"/>
                <w:szCs w:val="20"/>
              </w:rPr>
            </w:pPr>
            <w:r>
              <w:pict>
                <v:shape id="_x0000_s2070" o:spid="_x0000_s2070" o:spt="202" type="#_x0000_t202" style="position:absolute;left:0pt;margin-left:19.1pt;margin-top:-0.75pt;height:16.1pt;width:14.95pt;mso-position-horizontal-relative:page;mso-position-vertical-relative:page;z-index:251705344;mso-width-relative:page;mso-height-relative:page;" filled="f" stroked="f" coordsize="21600,21600">
                  <v:path/>
                  <v:fill on="f" focussize="0,0"/>
                  <v:stroke on="f" joinstyle="miter"/>
                  <v:imagedata o:title=""/>
                  <o:lock v:ext="edit"/>
                  <v:textbox inset="0mm,0mm,0mm,0mm">
                    <w:txbxContent>
                      <w:p w14:paraId="7D5BA3FF">
                        <w:pPr>
                          <w:spacing w:before="20" w:line="281" w:lineRule="exact"/>
                          <w:ind w:left="20"/>
                          <w:rPr>
                            <w:rFonts w:ascii="Times New Roman" w:hAnsi="Times New Roman" w:eastAsia="Times New Roman" w:cs="Times New Roman"/>
                            <w:sz w:val="20"/>
                            <w:szCs w:val="20"/>
                          </w:rPr>
                        </w:pPr>
                        <w:r>
                          <w:rPr>
                            <w:rFonts w:ascii="宋体" w:hAnsi="宋体" w:eastAsia="宋体" w:cs="宋体"/>
                            <w:spacing w:val="1"/>
                            <w:position w:val="1"/>
                            <w:sz w:val="20"/>
                            <w:szCs w:val="20"/>
                          </w:rPr>
                          <w:t>头</w:t>
                        </w:r>
                        <w:r>
                          <w:rPr>
                            <w:rFonts w:ascii="Times New Roman" w:hAnsi="Times New Roman" w:eastAsia="Times New Roman" w:cs="Times New Roman"/>
                            <w:spacing w:val="1"/>
                            <w:position w:val="1"/>
                            <w:sz w:val="20"/>
                            <w:szCs w:val="20"/>
                          </w:rPr>
                          <w:t>/</w:t>
                        </w:r>
                      </w:p>
                    </w:txbxContent>
                  </v:textbox>
                </v:shape>
              </w:pict>
            </w:r>
            <w:r>
              <w:rPr>
                <w:rFonts w:ascii="Times New Roman" w:hAnsi="Times New Roman" w:eastAsia="Times New Roman" w:cs="Times New Roman"/>
                <w:sz w:val="20"/>
                <w:szCs w:val="20"/>
              </w:rPr>
              <w:t>a</w:t>
            </w:r>
          </w:p>
        </w:tc>
        <w:tc>
          <w:tcPr>
            <w:tcW w:w="3000" w:type="dxa"/>
            <w:tcBorders>
              <w:left w:val="single" w:color="000000" w:sz="4" w:space="0"/>
              <w:right w:val="single" w:color="000000" w:sz="4" w:space="0"/>
            </w:tcBorders>
          </w:tcPr>
          <w:p w14:paraId="1469110E">
            <w:pPr>
              <w:spacing w:before="73" w:line="195" w:lineRule="auto"/>
              <w:ind w:left="1255"/>
              <w:rPr>
                <w:rFonts w:ascii="Times New Roman" w:hAnsi="Times New Roman" w:eastAsia="Times New Roman" w:cs="Times New Roman"/>
                <w:sz w:val="20"/>
                <w:szCs w:val="20"/>
              </w:rPr>
            </w:pPr>
            <w:r>
              <w:rPr>
                <w:rFonts w:ascii="Times New Roman" w:hAnsi="Times New Roman" w:eastAsia="Times New Roman" w:cs="Times New Roman"/>
                <w:sz w:val="20"/>
                <w:szCs w:val="20"/>
              </w:rPr>
              <w:t>10400</w:t>
            </w:r>
          </w:p>
        </w:tc>
        <w:tc>
          <w:tcPr>
            <w:tcW w:w="2532" w:type="dxa"/>
            <w:tcBorders>
              <w:left w:val="single" w:color="000000" w:sz="4" w:space="0"/>
              <w:right w:val="nil"/>
            </w:tcBorders>
          </w:tcPr>
          <w:p w14:paraId="1DBFFE10">
            <w:pPr>
              <w:spacing w:before="73" w:line="195" w:lineRule="auto"/>
              <w:ind w:left="100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20800</w:t>
            </w:r>
          </w:p>
        </w:tc>
      </w:tr>
    </w:tbl>
    <w:p w14:paraId="49CB80CA">
      <w:pPr>
        <w:spacing w:before="38" w:line="227" w:lineRule="auto"/>
        <w:ind w:left="655"/>
        <w:rPr>
          <w:rFonts w:ascii="宋体" w:hAnsi="宋体" w:eastAsia="宋体" w:cs="宋体"/>
          <w:sz w:val="23"/>
          <w:szCs w:val="23"/>
        </w:rPr>
      </w:pPr>
      <w:r>
        <w:rPr>
          <w:rFonts w:ascii="宋体" w:hAnsi="宋体" w:eastAsia="宋体" w:cs="宋体"/>
          <w:spacing w:val="25"/>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1"/>
          <w:sz w:val="23"/>
          <w:szCs w:val="23"/>
        </w:rPr>
        <w:t>2</w:t>
      </w: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宋体" w:hAnsi="宋体" w:eastAsia="宋体" w:cs="宋体"/>
          <w:spacing w:val="21"/>
          <w:sz w:val="23"/>
          <w:szCs w:val="23"/>
        </w:rPr>
        <w:t xml:space="preserve"> </w:t>
      </w:r>
      <w:r>
        <w:rPr>
          <w:rFonts w:ascii="宋体" w:hAnsi="宋体" w:eastAsia="宋体" w:cs="宋体"/>
          <w:spacing w:val="21"/>
          <w:sz w:val="23"/>
          <w:szCs w:val="23"/>
          <w14:textOutline w14:w="4356" w14:cap="sq" w14:cmpd="sng" w14:algn="ctr">
            <w14:solidFill>
              <w14:srgbClr w14:val="000000"/>
            </w14:solidFill>
            <w14:prstDash w14:val="solid"/>
            <w14:bevel/>
          </w14:textOutline>
        </w:rPr>
        <w:t>复合肥</w:t>
      </w:r>
    </w:p>
    <w:p w14:paraId="1F189230">
      <w:pPr>
        <w:spacing w:before="183" w:line="375" w:lineRule="auto"/>
        <w:ind w:left="165" w:firstLine="480"/>
        <w:rPr>
          <w:rFonts w:ascii="宋体" w:hAnsi="宋体" w:eastAsia="宋体" w:cs="宋体"/>
          <w:sz w:val="23"/>
          <w:szCs w:val="23"/>
        </w:rPr>
      </w:pPr>
      <w:r>
        <w:rPr>
          <w:rFonts w:ascii="宋体" w:hAnsi="宋体" w:eastAsia="宋体" w:cs="宋体"/>
          <w:spacing w:val="14"/>
          <w:sz w:val="23"/>
          <w:szCs w:val="23"/>
        </w:rPr>
        <w:t>若</w:t>
      </w:r>
      <w:r>
        <w:rPr>
          <w:rFonts w:ascii="宋体" w:hAnsi="宋体" w:eastAsia="宋体" w:cs="宋体"/>
          <w:spacing w:val="11"/>
          <w:sz w:val="23"/>
          <w:szCs w:val="23"/>
        </w:rPr>
        <w:t>后期乐山乐高勤力生物质能源综合利用有限公司不再回收本项目厂区内的养</w:t>
      </w:r>
      <w:r>
        <w:rPr>
          <w:rFonts w:ascii="宋体" w:hAnsi="宋体" w:eastAsia="宋体" w:cs="宋体"/>
          <w:sz w:val="23"/>
          <w:szCs w:val="23"/>
        </w:rPr>
        <w:t xml:space="preserve"> </w:t>
      </w:r>
      <w:r>
        <w:rPr>
          <w:rFonts w:ascii="宋体" w:hAnsi="宋体" w:eastAsia="宋体" w:cs="宋体"/>
          <w:spacing w:val="10"/>
          <w:sz w:val="23"/>
          <w:szCs w:val="23"/>
        </w:rPr>
        <w:t>殖</w:t>
      </w:r>
      <w:r>
        <w:rPr>
          <w:rFonts w:ascii="宋体" w:hAnsi="宋体" w:eastAsia="宋体" w:cs="宋体"/>
          <w:spacing w:val="6"/>
          <w:sz w:val="23"/>
          <w:szCs w:val="23"/>
        </w:rPr>
        <w:t>废水，则本项目产生的养殖废水将通过厂区内建设的异位微生物发酵床自行处置，</w:t>
      </w:r>
      <w:r>
        <w:rPr>
          <w:rFonts w:ascii="宋体" w:hAnsi="宋体" w:eastAsia="宋体" w:cs="宋体"/>
          <w:sz w:val="23"/>
          <w:szCs w:val="23"/>
        </w:rPr>
        <w:t xml:space="preserve"> </w:t>
      </w:r>
      <w:r>
        <w:rPr>
          <w:rFonts w:ascii="宋体" w:hAnsi="宋体" w:eastAsia="宋体" w:cs="宋体"/>
          <w:spacing w:val="13"/>
          <w:sz w:val="23"/>
          <w:szCs w:val="23"/>
        </w:rPr>
        <w:t>处</w:t>
      </w:r>
      <w:r>
        <w:rPr>
          <w:rFonts w:ascii="宋体" w:hAnsi="宋体" w:eastAsia="宋体" w:cs="宋体"/>
          <w:spacing w:val="8"/>
          <w:sz w:val="23"/>
          <w:szCs w:val="23"/>
        </w:rPr>
        <w:t>理产生的有机肥外售处理。</w:t>
      </w:r>
    </w:p>
    <w:p w14:paraId="0CACF5E3">
      <w:pPr>
        <w:spacing w:before="1" w:line="220" w:lineRule="auto"/>
        <w:ind w:left="2640"/>
        <w:rPr>
          <w:rFonts w:ascii="黑体" w:hAnsi="黑体" w:eastAsia="黑体" w:cs="黑体"/>
          <w:sz w:val="23"/>
          <w:szCs w:val="23"/>
        </w:rPr>
      </w:pPr>
      <w:r>
        <w:rPr>
          <w:rFonts w:ascii="黑体" w:hAnsi="黑体" w:eastAsia="黑体" w:cs="黑体"/>
          <w:spacing w:val="6"/>
          <w:sz w:val="23"/>
          <w:szCs w:val="23"/>
        </w:rPr>
        <w:t xml:space="preserve">表 </w:t>
      </w:r>
      <w:r>
        <w:rPr>
          <w:rFonts w:ascii="Times New Roman" w:hAnsi="Times New Roman" w:eastAsia="Times New Roman" w:cs="Times New Roman"/>
          <w:spacing w:val="6"/>
          <w:sz w:val="23"/>
          <w:szCs w:val="23"/>
        </w:rPr>
        <w:t xml:space="preserve">2. </w:t>
      </w:r>
      <w:r>
        <w:rPr>
          <w:rFonts w:ascii="Times New Roman" w:hAnsi="Times New Roman" w:eastAsia="Times New Roman" w:cs="Times New Roman"/>
          <w:spacing w:val="3"/>
          <w:sz w:val="23"/>
          <w:szCs w:val="23"/>
        </w:rPr>
        <w:t xml:space="preserve">1-2    </w:t>
      </w:r>
      <w:r>
        <w:rPr>
          <w:rFonts w:ascii="黑体" w:hAnsi="黑体" w:eastAsia="黑体" w:cs="黑体"/>
          <w:spacing w:val="3"/>
          <w:sz w:val="23"/>
          <w:szCs w:val="23"/>
        </w:rPr>
        <w:t>有机肥料产品方案一览表</w:t>
      </w:r>
    </w:p>
    <w:tbl>
      <w:tblPr>
        <w:tblStyle w:val="4"/>
        <w:tblW w:w="8686" w:type="dxa"/>
        <w:tblInd w:w="15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49"/>
        <w:gridCol w:w="3111"/>
        <w:gridCol w:w="2074"/>
        <w:gridCol w:w="2152"/>
      </w:tblGrid>
      <w:tr w14:paraId="331B4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1349" w:type="dxa"/>
            <w:tcBorders>
              <w:left w:val="nil"/>
            </w:tcBorders>
          </w:tcPr>
          <w:p w14:paraId="6261ACA7">
            <w:pPr>
              <w:spacing w:before="51" w:line="229" w:lineRule="auto"/>
              <w:ind w:left="44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3111" w:type="dxa"/>
          </w:tcPr>
          <w:p w14:paraId="58295C6E">
            <w:pPr>
              <w:spacing w:before="51" w:line="230" w:lineRule="auto"/>
              <w:ind w:left="1352"/>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名</w:t>
            </w:r>
            <w:r>
              <w:rPr>
                <w:rFonts w:ascii="宋体" w:hAnsi="宋体" w:eastAsia="宋体" w:cs="宋体"/>
                <w:spacing w:val="4"/>
                <w:sz w:val="20"/>
                <w:szCs w:val="20"/>
                <w14:textOutline w14:w="3797" w14:cap="sq" w14:cmpd="sng" w14:algn="ctr">
                  <w14:solidFill>
                    <w14:srgbClr w14:val="000000"/>
                  </w14:solidFill>
                  <w14:prstDash w14:val="solid"/>
                  <w14:bevel/>
                </w14:textOutline>
              </w:rPr>
              <w:t>称</w:t>
            </w:r>
          </w:p>
        </w:tc>
        <w:tc>
          <w:tcPr>
            <w:tcW w:w="2074" w:type="dxa"/>
          </w:tcPr>
          <w:p w14:paraId="45CBD907">
            <w:pPr>
              <w:spacing w:before="51" w:line="228" w:lineRule="auto"/>
              <w:ind w:left="835"/>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单位</w:t>
            </w:r>
          </w:p>
        </w:tc>
        <w:tc>
          <w:tcPr>
            <w:tcW w:w="2152" w:type="dxa"/>
            <w:tcBorders>
              <w:right w:val="nil"/>
            </w:tcBorders>
          </w:tcPr>
          <w:p w14:paraId="3851BF0E">
            <w:pPr>
              <w:spacing w:before="50" w:line="228" w:lineRule="auto"/>
              <w:ind w:left="873"/>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数量</w:t>
            </w:r>
          </w:p>
        </w:tc>
      </w:tr>
      <w:tr w14:paraId="14F0B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349" w:type="dxa"/>
            <w:tcBorders>
              <w:left w:val="nil"/>
            </w:tcBorders>
          </w:tcPr>
          <w:p w14:paraId="38F04B76">
            <w:pPr>
              <w:spacing w:before="87" w:line="195" w:lineRule="auto"/>
              <w:ind w:left="654"/>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3111" w:type="dxa"/>
          </w:tcPr>
          <w:p w14:paraId="758BCE72">
            <w:pPr>
              <w:spacing w:before="30" w:line="227" w:lineRule="auto"/>
              <w:ind w:left="1147"/>
              <w:rPr>
                <w:rFonts w:ascii="宋体" w:hAnsi="宋体" w:eastAsia="宋体" w:cs="宋体"/>
                <w:sz w:val="20"/>
                <w:szCs w:val="20"/>
              </w:rPr>
            </w:pPr>
            <w:r>
              <w:rPr>
                <w:rFonts w:ascii="宋体" w:hAnsi="宋体" w:eastAsia="宋体" w:cs="宋体"/>
                <w:spacing w:val="6"/>
                <w:sz w:val="20"/>
                <w:szCs w:val="20"/>
              </w:rPr>
              <w:t>有机肥</w:t>
            </w:r>
            <w:r>
              <w:rPr>
                <w:rFonts w:ascii="宋体" w:hAnsi="宋体" w:eastAsia="宋体" w:cs="宋体"/>
                <w:spacing w:val="5"/>
                <w:sz w:val="20"/>
                <w:szCs w:val="20"/>
              </w:rPr>
              <w:t>料</w:t>
            </w:r>
          </w:p>
        </w:tc>
        <w:tc>
          <w:tcPr>
            <w:tcW w:w="2074" w:type="dxa"/>
          </w:tcPr>
          <w:p w14:paraId="0F7BF0CA">
            <w:pPr>
              <w:spacing w:before="73" w:line="205" w:lineRule="auto"/>
              <w:ind w:left="920"/>
              <w:rPr>
                <w:rFonts w:ascii="Times New Roman" w:hAnsi="Times New Roman" w:eastAsia="Times New Roman" w:cs="Times New Roman"/>
                <w:sz w:val="13"/>
                <w:szCs w:val="13"/>
              </w:rPr>
            </w:pPr>
            <w:r>
              <w:rPr>
                <w:rFonts w:ascii="Times New Roman" w:hAnsi="Times New Roman" w:eastAsia="Times New Roman" w:cs="Times New Roman"/>
                <w:position w:val="-2"/>
                <w:sz w:val="20"/>
                <w:szCs w:val="20"/>
              </w:rPr>
              <w:t>m</w:t>
            </w:r>
            <w:r>
              <w:rPr>
                <w:rFonts w:ascii="Times New Roman" w:hAnsi="Times New Roman" w:eastAsia="Times New Roman" w:cs="Times New Roman"/>
                <w:spacing w:val="8"/>
                <w:position w:val="2"/>
                <w:sz w:val="13"/>
                <w:szCs w:val="13"/>
              </w:rPr>
              <w:t>3</w:t>
            </w:r>
          </w:p>
        </w:tc>
        <w:tc>
          <w:tcPr>
            <w:tcW w:w="2152" w:type="dxa"/>
            <w:tcBorders>
              <w:right w:val="nil"/>
            </w:tcBorders>
          </w:tcPr>
          <w:p w14:paraId="20D13526">
            <w:pPr>
              <w:spacing w:before="88" w:line="195" w:lineRule="auto"/>
              <w:ind w:left="63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2410.97</w:t>
            </w:r>
          </w:p>
        </w:tc>
      </w:tr>
    </w:tbl>
    <w:p w14:paraId="7277E3AD">
      <w:pPr>
        <w:spacing w:before="95" w:line="361" w:lineRule="auto"/>
        <w:ind w:left="165" w:right="61" w:firstLine="480"/>
        <w:rPr>
          <w:rFonts w:ascii="宋体" w:hAnsi="宋体" w:eastAsia="宋体" w:cs="宋体"/>
          <w:sz w:val="23"/>
          <w:szCs w:val="23"/>
        </w:rPr>
      </w:pPr>
      <w:r>
        <w:rPr>
          <w:rFonts w:ascii="宋体" w:hAnsi="宋体" w:eastAsia="宋体" w:cs="宋体"/>
          <w:spacing w:val="5"/>
          <w:sz w:val="23"/>
          <w:szCs w:val="23"/>
        </w:rPr>
        <w:t>项目异位发酵床处置后生成的有机肥料需满足《有机肥料》  (</w:t>
      </w:r>
      <w:r>
        <w:rPr>
          <w:rFonts w:ascii="Times New Roman" w:hAnsi="Times New Roman" w:eastAsia="Times New Roman" w:cs="Times New Roman"/>
          <w:sz w:val="23"/>
          <w:szCs w:val="23"/>
        </w:rPr>
        <w:t>NY</w:t>
      </w:r>
      <w:r>
        <w:rPr>
          <w:rFonts w:ascii="Times New Roman" w:hAnsi="Times New Roman" w:eastAsia="Times New Roman" w:cs="Times New Roman"/>
          <w:spacing w:val="5"/>
          <w:sz w:val="23"/>
          <w:szCs w:val="23"/>
        </w:rPr>
        <w:t>525-2012</w:t>
      </w:r>
      <w:r>
        <w:rPr>
          <w:rFonts w:ascii="宋体" w:hAnsi="宋体" w:eastAsia="宋体" w:cs="宋体"/>
          <w:spacing w:val="5"/>
          <w:sz w:val="23"/>
          <w:szCs w:val="23"/>
        </w:rPr>
        <w:t xml:space="preserve">) </w:t>
      </w:r>
      <w:r>
        <w:rPr>
          <w:rFonts w:ascii="宋体" w:hAnsi="宋体" w:eastAsia="宋体" w:cs="宋体"/>
          <w:sz w:val="23"/>
          <w:szCs w:val="23"/>
        </w:rPr>
        <w:t xml:space="preserve">及 </w:t>
      </w:r>
      <w:r>
        <w:rPr>
          <w:rFonts w:ascii="宋体" w:hAnsi="宋体" w:eastAsia="宋体" w:cs="宋体"/>
          <w:spacing w:val="4"/>
          <w:sz w:val="23"/>
          <w:szCs w:val="23"/>
        </w:rPr>
        <w:t>《畜禽养殖业污染物排放标准》  (</w:t>
      </w:r>
      <w:r>
        <w:rPr>
          <w:rFonts w:ascii="Times New Roman" w:hAnsi="Times New Roman" w:eastAsia="Times New Roman" w:cs="Times New Roman"/>
          <w:sz w:val="23"/>
          <w:szCs w:val="23"/>
        </w:rPr>
        <w:t>GB</w:t>
      </w:r>
      <w:r>
        <w:rPr>
          <w:rFonts w:ascii="Times New Roman" w:hAnsi="Times New Roman" w:eastAsia="Times New Roman" w:cs="Times New Roman"/>
          <w:spacing w:val="4"/>
          <w:sz w:val="23"/>
          <w:szCs w:val="23"/>
        </w:rPr>
        <w:t>18596-2001</w:t>
      </w:r>
      <w:r>
        <w:rPr>
          <w:rFonts w:ascii="宋体" w:hAnsi="宋体" w:eastAsia="宋体" w:cs="宋体"/>
          <w:spacing w:val="4"/>
          <w:sz w:val="23"/>
          <w:szCs w:val="23"/>
        </w:rPr>
        <w:t xml:space="preserve">) 中 </w:t>
      </w:r>
      <w:r>
        <w:rPr>
          <w:rFonts w:ascii="Times New Roman" w:hAnsi="Times New Roman" w:eastAsia="Times New Roman" w:cs="Times New Roman"/>
          <w:spacing w:val="4"/>
          <w:sz w:val="23"/>
          <w:szCs w:val="23"/>
        </w:rPr>
        <w:t xml:space="preserve">3.2 </w:t>
      </w:r>
      <w:r>
        <w:rPr>
          <w:rFonts w:ascii="宋体" w:hAnsi="宋体" w:eastAsia="宋体" w:cs="宋体"/>
          <w:spacing w:val="4"/>
          <w:sz w:val="23"/>
          <w:szCs w:val="23"/>
        </w:rPr>
        <w:t>畜禽养殖业废渣无害</w:t>
      </w:r>
      <w:r>
        <w:rPr>
          <w:rFonts w:ascii="宋体" w:hAnsi="宋体" w:eastAsia="宋体" w:cs="宋体"/>
          <w:sz w:val="23"/>
          <w:szCs w:val="23"/>
        </w:rPr>
        <w:t xml:space="preserve">化环 </w:t>
      </w:r>
      <w:r>
        <w:rPr>
          <w:rFonts w:ascii="宋体" w:hAnsi="宋体" w:eastAsia="宋体" w:cs="宋体"/>
          <w:spacing w:val="6"/>
          <w:sz w:val="23"/>
          <w:szCs w:val="23"/>
        </w:rPr>
        <w:t xml:space="preserve">境标准 (详见表 </w:t>
      </w:r>
      <w:r>
        <w:rPr>
          <w:rFonts w:ascii="Times New Roman" w:hAnsi="Times New Roman" w:eastAsia="Times New Roman" w:cs="Times New Roman"/>
          <w:spacing w:val="6"/>
          <w:sz w:val="23"/>
          <w:szCs w:val="23"/>
        </w:rPr>
        <w:t>2.</w:t>
      </w:r>
      <w:r>
        <w:rPr>
          <w:rFonts w:ascii="Times New Roman" w:hAnsi="Times New Roman" w:eastAsia="Times New Roman" w:cs="Times New Roman"/>
          <w:spacing w:val="3"/>
          <w:sz w:val="23"/>
          <w:szCs w:val="23"/>
        </w:rPr>
        <w:t xml:space="preserve"> 1-3</w:t>
      </w:r>
      <w:r>
        <w:rPr>
          <w:rFonts w:ascii="宋体" w:hAnsi="宋体" w:eastAsia="宋体" w:cs="宋体"/>
          <w:spacing w:val="3"/>
          <w:sz w:val="23"/>
          <w:szCs w:val="23"/>
        </w:rPr>
        <w:t xml:space="preserve">) 中相关要求，其中有机肥料的技术指标应符合表 </w:t>
      </w:r>
      <w:r>
        <w:rPr>
          <w:rFonts w:ascii="Times New Roman" w:hAnsi="Times New Roman" w:eastAsia="Times New Roman" w:cs="Times New Roman"/>
          <w:spacing w:val="3"/>
          <w:sz w:val="23"/>
          <w:szCs w:val="23"/>
        </w:rPr>
        <w:t xml:space="preserve">2. 1-4 </w:t>
      </w:r>
      <w:r>
        <w:rPr>
          <w:rFonts w:ascii="宋体" w:hAnsi="宋体" w:eastAsia="宋体" w:cs="宋体"/>
          <w:spacing w:val="3"/>
          <w:sz w:val="23"/>
          <w:szCs w:val="23"/>
        </w:rPr>
        <w:t>的要</w:t>
      </w:r>
      <w:r>
        <w:rPr>
          <w:rFonts w:ascii="宋体" w:hAnsi="宋体" w:eastAsia="宋体" w:cs="宋体"/>
          <w:sz w:val="23"/>
          <w:szCs w:val="23"/>
        </w:rPr>
        <w:t xml:space="preserve"> </w:t>
      </w:r>
      <w:r>
        <w:rPr>
          <w:rFonts w:ascii="宋体" w:hAnsi="宋体" w:eastAsia="宋体" w:cs="宋体"/>
          <w:spacing w:val="10"/>
          <w:sz w:val="23"/>
          <w:szCs w:val="23"/>
        </w:rPr>
        <w:t>求，有机</w:t>
      </w:r>
      <w:r>
        <w:rPr>
          <w:rFonts w:ascii="宋体" w:hAnsi="宋体" w:eastAsia="宋体" w:cs="宋体"/>
          <w:spacing w:val="9"/>
          <w:sz w:val="23"/>
          <w:szCs w:val="23"/>
        </w:rPr>
        <w:t>肥</w:t>
      </w:r>
      <w:r>
        <w:rPr>
          <w:rFonts w:ascii="宋体" w:hAnsi="宋体" w:eastAsia="宋体" w:cs="宋体"/>
          <w:spacing w:val="5"/>
          <w:sz w:val="23"/>
          <w:szCs w:val="23"/>
        </w:rPr>
        <w:t xml:space="preserve">料中重金属的限量指标应符合表 </w:t>
      </w:r>
      <w:r>
        <w:rPr>
          <w:rFonts w:ascii="Times New Roman" w:hAnsi="Times New Roman" w:eastAsia="Times New Roman" w:cs="Times New Roman"/>
          <w:spacing w:val="5"/>
          <w:sz w:val="23"/>
          <w:szCs w:val="23"/>
        </w:rPr>
        <w:t xml:space="preserve">2. 1-5 </w:t>
      </w:r>
      <w:r>
        <w:rPr>
          <w:rFonts w:ascii="宋体" w:hAnsi="宋体" w:eastAsia="宋体" w:cs="宋体"/>
          <w:spacing w:val="5"/>
          <w:sz w:val="23"/>
          <w:szCs w:val="23"/>
        </w:rPr>
        <w:t>的要求。</w:t>
      </w:r>
    </w:p>
    <w:p w14:paraId="7C664926">
      <w:pPr>
        <w:spacing w:before="96" w:line="229" w:lineRule="auto"/>
        <w:ind w:left="2707"/>
        <w:rPr>
          <w:rFonts w:ascii="黑体" w:hAnsi="黑体" w:eastAsia="黑体" w:cs="黑体"/>
          <w:sz w:val="23"/>
          <w:szCs w:val="23"/>
        </w:rPr>
      </w:pPr>
      <w:r>
        <w:rPr>
          <w:rFonts w:ascii="黑体" w:hAnsi="黑体" w:eastAsia="黑体" w:cs="黑体"/>
          <w:spacing w:val="8"/>
          <w:sz w:val="23"/>
          <w:szCs w:val="23"/>
        </w:rPr>
        <w:t xml:space="preserve">表 </w:t>
      </w:r>
      <w:r>
        <w:rPr>
          <w:rFonts w:ascii="Times New Roman" w:hAnsi="Times New Roman" w:eastAsia="Times New Roman" w:cs="Times New Roman"/>
          <w:spacing w:val="8"/>
          <w:sz w:val="23"/>
          <w:szCs w:val="23"/>
        </w:rPr>
        <w:t>2</w:t>
      </w:r>
      <w:r>
        <w:rPr>
          <w:rFonts w:ascii="Times New Roman" w:hAnsi="Times New Roman" w:eastAsia="Times New Roman" w:cs="Times New Roman"/>
          <w:spacing w:val="5"/>
          <w:sz w:val="23"/>
          <w:szCs w:val="23"/>
        </w:rPr>
        <w:t>.</w:t>
      </w:r>
      <w:r>
        <w:rPr>
          <w:rFonts w:ascii="Times New Roman" w:hAnsi="Times New Roman" w:eastAsia="Times New Roman" w:cs="Times New Roman"/>
          <w:spacing w:val="4"/>
          <w:sz w:val="23"/>
          <w:szCs w:val="23"/>
        </w:rPr>
        <w:t xml:space="preserve"> 1-3  </w:t>
      </w:r>
      <w:r>
        <w:rPr>
          <w:rFonts w:ascii="黑体" w:hAnsi="黑体" w:eastAsia="黑体" w:cs="黑体"/>
          <w:spacing w:val="4"/>
          <w:sz w:val="23"/>
          <w:szCs w:val="23"/>
        </w:rPr>
        <w:t>畜禽养殖业废渣无害化环境标准</w:t>
      </w:r>
    </w:p>
    <w:p w14:paraId="7B1126D2">
      <w:pPr>
        <w:spacing w:line="110" w:lineRule="exact"/>
      </w:pPr>
    </w:p>
    <w:tbl>
      <w:tblPr>
        <w:tblStyle w:val="4"/>
        <w:tblW w:w="8686" w:type="dxa"/>
        <w:tblInd w:w="15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49"/>
        <w:gridCol w:w="4337"/>
      </w:tblGrid>
      <w:tr w14:paraId="45087C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4349" w:type="dxa"/>
            <w:tcBorders>
              <w:left w:val="nil"/>
            </w:tcBorders>
          </w:tcPr>
          <w:p w14:paraId="5C0B3568">
            <w:pPr>
              <w:spacing w:before="53" w:line="228" w:lineRule="auto"/>
              <w:ind w:left="1772"/>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控制项目</w:t>
            </w:r>
          </w:p>
        </w:tc>
        <w:tc>
          <w:tcPr>
            <w:tcW w:w="4337" w:type="dxa"/>
            <w:tcBorders>
              <w:right w:val="nil"/>
            </w:tcBorders>
          </w:tcPr>
          <w:p w14:paraId="350CBF02">
            <w:pPr>
              <w:spacing w:before="53" w:line="228" w:lineRule="auto"/>
              <w:ind w:left="1964"/>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指</w:t>
            </w:r>
            <w:r>
              <w:rPr>
                <w:rFonts w:ascii="宋体" w:hAnsi="宋体" w:eastAsia="宋体" w:cs="宋体"/>
                <w:spacing w:val="4"/>
                <w:sz w:val="20"/>
                <w:szCs w:val="20"/>
                <w14:textOutline w14:w="3797" w14:cap="sq" w14:cmpd="sng" w14:algn="ctr">
                  <w14:solidFill>
                    <w14:srgbClr w14:val="000000"/>
                  </w14:solidFill>
                  <w14:prstDash w14:val="solid"/>
                  <w14:bevel/>
                </w14:textOutline>
              </w:rPr>
              <w:t>标</w:t>
            </w:r>
          </w:p>
        </w:tc>
      </w:tr>
      <w:tr w14:paraId="4EC20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4349" w:type="dxa"/>
            <w:tcBorders>
              <w:left w:val="nil"/>
            </w:tcBorders>
          </w:tcPr>
          <w:p w14:paraId="71A107B8">
            <w:pPr>
              <w:spacing w:before="31" w:line="228" w:lineRule="auto"/>
              <w:ind w:left="1873"/>
              <w:rPr>
                <w:rFonts w:ascii="宋体" w:hAnsi="宋体" w:eastAsia="宋体" w:cs="宋体"/>
                <w:sz w:val="20"/>
                <w:szCs w:val="20"/>
              </w:rPr>
            </w:pPr>
            <w:r>
              <w:rPr>
                <w:rFonts w:ascii="宋体" w:hAnsi="宋体" w:eastAsia="宋体" w:cs="宋体"/>
                <w:spacing w:val="7"/>
                <w:sz w:val="20"/>
                <w:szCs w:val="20"/>
              </w:rPr>
              <w:t>蛔虫</w:t>
            </w:r>
            <w:r>
              <w:rPr>
                <w:rFonts w:ascii="宋体" w:hAnsi="宋体" w:eastAsia="宋体" w:cs="宋体"/>
                <w:spacing w:val="6"/>
                <w:sz w:val="20"/>
                <w:szCs w:val="20"/>
              </w:rPr>
              <w:t>卵</w:t>
            </w:r>
          </w:p>
        </w:tc>
        <w:tc>
          <w:tcPr>
            <w:tcW w:w="4337" w:type="dxa"/>
            <w:tcBorders>
              <w:right w:val="nil"/>
            </w:tcBorders>
          </w:tcPr>
          <w:p w14:paraId="49B20DA3">
            <w:pPr>
              <w:spacing w:before="5" w:line="281" w:lineRule="exact"/>
              <w:ind w:left="1615"/>
              <w:rPr>
                <w:rFonts w:ascii="Times New Roman" w:hAnsi="Times New Roman" w:eastAsia="Times New Roman" w:cs="Times New Roman"/>
                <w:sz w:val="20"/>
                <w:szCs w:val="20"/>
              </w:rPr>
            </w:pPr>
            <w:r>
              <w:rPr>
                <w:rFonts w:ascii="宋体" w:hAnsi="宋体" w:eastAsia="宋体" w:cs="宋体"/>
                <w:spacing w:val="5"/>
                <w:position w:val="1"/>
                <w:sz w:val="20"/>
                <w:szCs w:val="20"/>
              </w:rPr>
              <w:t>死亡率</w:t>
            </w:r>
            <w:r>
              <w:rPr>
                <w:rFonts w:ascii="Times New Roman" w:hAnsi="Times New Roman" w:eastAsia="Times New Roman" w:cs="Times New Roman"/>
                <w:spacing w:val="5"/>
                <w:position w:val="1"/>
                <w:sz w:val="20"/>
                <w:szCs w:val="20"/>
              </w:rPr>
              <w:t>≥95</w:t>
            </w:r>
            <w:r>
              <w:rPr>
                <w:rFonts w:ascii="Times New Roman" w:hAnsi="Times New Roman" w:eastAsia="Times New Roman" w:cs="Times New Roman"/>
                <w:spacing w:val="4"/>
                <w:position w:val="1"/>
                <w:sz w:val="20"/>
                <w:szCs w:val="20"/>
              </w:rPr>
              <w:t>%</w:t>
            </w:r>
          </w:p>
        </w:tc>
      </w:tr>
      <w:tr w14:paraId="30BD6C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4349" w:type="dxa"/>
            <w:tcBorders>
              <w:left w:val="nil"/>
            </w:tcBorders>
          </w:tcPr>
          <w:p w14:paraId="03946A3F">
            <w:pPr>
              <w:spacing w:before="34" w:line="228" w:lineRule="auto"/>
              <w:ind w:left="1565"/>
              <w:rPr>
                <w:rFonts w:ascii="宋体" w:hAnsi="宋体" w:eastAsia="宋体" w:cs="宋体"/>
                <w:sz w:val="20"/>
                <w:szCs w:val="20"/>
              </w:rPr>
            </w:pPr>
            <w:r>
              <w:rPr>
                <w:rFonts w:ascii="宋体" w:hAnsi="宋体" w:eastAsia="宋体" w:cs="宋体"/>
                <w:spacing w:val="8"/>
                <w:sz w:val="20"/>
                <w:szCs w:val="20"/>
              </w:rPr>
              <w:t>粪</w:t>
            </w:r>
            <w:r>
              <w:rPr>
                <w:rFonts w:ascii="宋体" w:hAnsi="宋体" w:eastAsia="宋体" w:cs="宋体"/>
                <w:spacing w:val="6"/>
                <w:sz w:val="20"/>
                <w:szCs w:val="20"/>
              </w:rPr>
              <w:t>大肠菌群数</w:t>
            </w:r>
          </w:p>
        </w:tc>
        <w:tc>
          <w:tcPr>
            <w:tcW w:w="4337" w:type="dxa"/>
            <w:tcBorders>
              <w:right w:val="nil"/>
            </w:tcBorders>
          </w:tcPr>
          <w:p w14:paraId="6FBC956D">
            <w:pPr>
              <w:spacing w:before="11" w:line="281" w:lineRule="exact"/>
              <w:ind w:left="1699"/>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 xml:space="preserve">≤ </w:t>
            </w:r>
            <w:r>
              <w:rPr>
                <w:rFonts w:ascii="Times New Roman" w:hAnsi="Times New Roman" w:eastAsia="Times New Roman" w:cs="Times New Roman"/>
                <w:spacing w:val="-1"/>
                <w:position w:val="2"/>
                <w:sz w:val="20"/>
                <w:szCs w:val="20"/>
              </w:rPr>
              <w:t>10</w:t>
            </w:r>
            <w:r>
              <w:rPr>
                <w:rFonts w:ascii="Times New Roman" w:hAnsi="Times New Roman" w:eastAsia="Times New Roman" w:cs="Times New Roman"/>
                <w:spacing w:val="-1"/>
                <w:position w:val="8"/>
                <w:sz w:val="13"/>
                <w:szCs w:val="13"/>
              </w:rPr>
              <w:t xml:space="preserve">5  </w:t>
            </w:r>
            <w:r>
              <w:rPr>
                <w:rFonts w:ascii="宋体" w:hAnsi="宋体" w:eastAsia="宋体" w:cs="宋体"/>
                <w:spacing w:val="-1"/>
                <w:position w:val="2"/>
                <w:sz w:val="20"/>
                <w:szCs w:val="20"/>
              </w:rPr>
              <w:t>个</w:t>
            </w:r>
            <w:r>
              <w:rPr>
                <w:rFonts w:ascii="Times New Roman" w:hAnsi="Times New Roman" w:eastAsia="Times New Roman" w:cs="Times New Roman"/>
                <w:spacing w:val="-1"/>
                <w:position w:val="2"/>
                <w:sz w:val="20"/>
                <w:szCs w:val="20"/>
              </w:rPr>
              <w:t>/kg</w:t>
            </w:r>
          </w:p>
        </w:tc>
      </w:tr>
    </w:tbl>
    <w:p w14:paraId="6DFF599A">
      <w:pPr>
        <w:spacing w:before="207" w:line="230" w:lineRule="auto"/>
        <w:ind w:left="2707"/>
        <w:rPr>
          <w:rFonts w:ascii="黑体" w:hAnsi="黑体" w:eastAsia="黑体" w:cs="黑体"/>
          <w:sz w:val="23"/>
          <w:szCs w:val="23"/>
        </w:rPr>
      </w:pPr>
      <w:r>
        <w:rPr>
          <w:rFonts w:ascii="黑体" w:hAnsi="黑体" w:eastAsia="黑体" w:cs="黑体"/>
          <w:spacing w:val="4"/>
          <w:sz w:val="23"/>
          <w:szCs w:val="23"/>
        </w:rPr>
        <w:t xml:space="preserve">表 </w:t>
      </w:r>
      <w:r>
        <w:rPr>
          <w:rFonts w:ascii="Times New Roman" w:hAnsi="Times New Roman" w:eastAsia="Times New Roman" w:cs="Times New Roman"/>
          <w:spacing w:val="4"/>
          <w:sz w:val="23"/>
          <w:szCs w:val="23"/>
        </w:rPr>
        <w:t>2. 1</w:t>
      </w:r>
      <w:r>
        <w:rPr>
          <w:rFonts w:ascii="Times New Roman" w:hAnsi="Times New Roman" w:eastAsia="Times New Roman" w:cs="Times New Roman"/>
          <w:spacing w:val="3"/>
          <w:sz w:val="23"/>
          <w:szCs w:val="23"/>
        </w:rPr>
        <w:t>-</w:t>
      </w:r>
      <w:r>
        <w:rPr>
          <w:rFonts w:ascii="Times New Roman" w:hAnsi="Times New Roman" w:eastAsia="Times New Roman" w:cs="Times New Roman"/>
          <w:spacing w:val="2"/>
          <w:sz w:val="23"/>
          <w:szCs w:val="23"/>
        </w:rPr>
        <w:t xml:space="preserve">4  </w:t>
      </w:r>
      <w:r>
        <w:rPr>
          <w:rFonts w:ascii="黑体" w:hAnsi="黑体" w:eastAsia="黑体" w:cs="黑体"/>
          <w:spacing w:val="2"/>
          <w:sz w:val="23"/>
          <w:szCs w:val="23"/>
        </w:rPr>
        <w:t>有机肥料技术指标</w:t>
      </w:r>
    </w:p>
    <w:p w14:paraId="781D5597">
      <w:pPr>
        <w:spacing w:line="107" w:lineRule="exact"/>
      </w:pPr>
    </w:p>
    <w:tbl>
      <w:tblPr>
        <w:tblStyle w:val="4"/>
        <w:tblW w:w="8686" w:type="dxa"/>
        <w:tblInd w:w="15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03"/>
        <w:gridCol w:w="3783"/>
      </w:tblGrid>
      <w:tr w14:paraId="1AF9E8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4903" w:type="dxa"/>
            <w:tcBorders>
              <w:left w:val="nil"/>
            </w:tcBorders>
          </w:tcPr>
          <w:p w14:paraId="18696A62">
            <w:pPr>
              <w:spacing w:before="57" w:line="228" w:lineRule="auto"/>
              <w:ind w:left="2263"/>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项目</w:t>
            </w:r>
          </w:p>
        </w:tc>
        <w:tc>
          <w:tcPr>
            <w:tcW w:w="3783" w:type="dxa"/>
            <w:tcBorders>
              <w:right w:val="nil"/>
            </w:tcBorders>
          </w:tcPr>
          <w:p w14:paraId="1F22F411">
            <w:pPr>
              <w:spacing w:before="57" w:line="228" w:lineRule="auto"/>
              <w:ind w:left="1689"/>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指</w:t>
            </w:r>
            <w:r>
              <w:rPr>
                <w:rFonts w:ascii="宋体" w:hAnsi="宋体" w:eastAsia="宋体" w:cs="宋体"/>
                <w:spacing w:val="4"/>
                <w:sz w:val="20"/>
                <w:szCs w:val="20"/>
                <w14:textOutline w14:w="3797" w14:cap="sq" w14:cmpd="sng" w14:algn="ctr">
                  <w14:solidFill>
                    <w14:srgbClr w14:val="000000"/>
                  </w14:solidFill>
                  <w14:prstDash w14:val="solid"/>
                  <w14:bevel/>
                </w14:textOutline>
              </w:rPr>
              <w:t>标</w:t>
            </w:r>
          </w:p>
        </w:tc>
      </w:tr>
      <w:tr w14:paraId="5024A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903" w:type="dxa"/>
            <w:tcBorders>
              <w:left w:val="nil"/>
            </w:tcBorders>
          </w:tcPr>
          <w:p w14:paraId="0048E7B7">
            <w:pPr>
              <w:spacing w:line="276" w:lineRule="exact"/>
              <w:ind w:left="643"/>
              <w:rPr>
                <w:rFonts w:ascii="Times New Roman" w:hAnsi="Times New Roman" w:eastAsia="Times New Roman" w:cs="Times New Roman"/>
                <w:sz w:val="20"/>
                <w:szCs w:val="20"/>
              </w:rPr>
            </w:pPr>
            <w:r>
              <w:rPr>
                <w:rFonts w:ascii="宋体" w:hAnsi="宋体" w:eastAsia="宋体" w:cs="宋体"/>
                <w:spacing w:val="-8"/>
                <w:position w:val="1"/>
                <w:sz w:val="20"/>
                <w:szCs w:val="20"/>
              </w:rPr>
              <w:t>有机</w:t>
            </w:r>
            <w:r>
              <w:rPr>
                <w:rFonts w:ascii="宋体" w:hAnsi="宋体" w:eastAsia="宋体" w:cs="宋体"/>
                <w:spacing w:val="-7"/>
                <w:position w:val="1"/>
                <w:sz w:val="20"/>
                <w:szCs w:val="20"/>
              </w:rPr>
              <w:t>质</w:t>
            </w:r>
            <w:r>
              <w:rPr>
                <w:rFonts w:ascii="宋体" w:hAnsi="宋体" w:eastAsia="宋体" w:cs="宋体"/>
                <w:spacing w:val="-4"/>
                <w:position w:val="1"/>
                <w:sz w:val="20"/>
                <w:szCs w:val="20"/>
              </w:rPr>
              <w:t xml:space="preserve">的质量分数 (以烘干基计，) </w:t>
            </w:r>
            <w:r>
              <w:rPr>
                <w:rFonts w:ascii="Times New Roman" w:hAnsi="Times New Roman" w:eastAsia="Times New Roman" w:cs="Times New Roman"/>
                <w:spacing w:val="-4"/>
                <w:position w:val="1"/>
                <w:sz w:val="20"/>
                <w:szCs w:val="20"/>
              </w:rPr>
              <w:t>%</w:t>
            </w:r>
          </w:p>
        </w:tc>
        <w:tc>
          <w:tcPr>
            <w:tcW w:w="3783" w:type="dxa"/>
            <w:tcBorders>
              <w:right w:val="nil"/>
            </w:tcBorders>
          </w:tcPr>
          <w:p w14:paraId="07EDFD8C">
            <w:pPr>
              <w:spacing w:before="12" w:line="281" w:lineRule="exact"/>
              <w:ind w:left="1731"/>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w:t>
            </w:r>
            <w:r>
              <w:rPr>
                <w:rFonts w:ascii="Times New Roman" w:hAnsi="Times New Roman" w:eastAsia="Times New Roman" w:cs="Times New Roman"/>
                <w:spacing w:val="3"/>
                <w:position w:val="2"/>
                <w:sz w:val="20"/>
                <w:szCs w:val="20"/>
              </w:rPr>
              <w:t>45</w:t>
            </w:r>
          </w:p>
        </w:tc>
      </w:tr>
      <w:tr w14:paraId="35C2C6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4903" w:type="dxa"/>
            <w:tcBorders>
              <w:left w:val="nil"/>
            </w:tcBorders>
          </w:tcPr>
          <w:p w14:paraId="28610C30">
            <w:pPr>
              <w:spacing w:line="287" w:lineRule="auto"/>
              <w:ind w:left="1662" w:right="365" w:hanging="1264"/>
              <w:rPr>
                <w:rFonts w:ascii="Times New Roman" w:hAnsi="Times New Roman" w:eastAsia="Times New Roman" w:cs="Times New Roman"/>
                <w:sz w:val="20"/>
                <w:szCs w:val="20"/>
              </w:rPr>
            </w:pPr>
            <w:r>
              <w:rPr>
                <w:rFonts w:ascii="宋体" w:hAnsi="宋体" w:eastAsia="宋体" w:cs="宋体"/>
                <w:spacing w:val="8"/>
                <w:sz w:val="20"/>
                <w:szCs w:val="20"/>
              </w:rPr>
              <w:t xml:space="preserve">总养分 </w:t>
            </w:r>
            <w:r>
              <w:rPr>
                <w:rFonts w:ascii="宋体" w:hAnsi="宋体" w:eastAsia="宋体" w:cs="宋体"/>
                <w:spacing w:val="6"/>
                <w:sz w:val="20"/>
                <w:szCs w:val="20"/>
              </w:rPr>
              <w:t>(</w:t>
            </w:r>
            <w:r>
              <w:rPr>
                <w:rFonts w:ascii="宋体" w:hAnsi="宋体" w:eastAsia="宋体" w:cs="宋体"/>
                <w:spacing w:val="4"/>
                <w:sz w:val="20"/>
                <w:szCs w:val="20"/>
              </w:rPr>
              <w:t>氮</w:t>
            </w:r>
            <w:r>
              <w:rPr>
                <w:rFonts w:ascii="Times New Roman" w:hAnsi="Times New Roman" w:eastAsia="Times New Roman" w:cs="Times New Roman"/>
                <w:spacing w:val="4"/>
                <w:sz w:val="20"/>
                <w:szCs w:val="20"/>
              </w:rPr>
              <w:t>+</w:t>
            </w:r>
            <w:r>
              <w:rPr>
                <w:rFonts w:ascii="宋体" w:hAnsi="宋体" w:eastAsia="宋体" w:cs="宋体"/>
                <w:spacing w:val="4"/>
                <w:sz w:val="20"/>
                <w:szCs w:val="20"/>
              </w:rPr>
              <w:t>五氧化二磷</w:t>
            </w:r>
            <w:r>
              <w:rPr>
                <w:rFonts w:ascii="Times New Roman" w:hAnsi="Times New Roman" w:eastAsia="Times New Roman" w:cs="Times New Roman"/>
                <w:spacing w:val="4"/>
                <w:sz w:val="20"/>
                <w:szCs w:val="20"/>
              </w:rPr>
              <w:t>+</w:t>
            </w:r>
            <w:r>
              <w:rPr>
                <w:rFonts w:ascii="宋体" w:hAnsi="宋体" w:eastAsia="宋体" w:cs="宋体"/>
                <w:spacing w:val="4"/>
                <w:sz w:val="20"/>
                <w:szCs w:val="20"/>
              </w:rPr>
              <w:t>氧化钾) 的质量分数</w:t>
            </w:r>
            <w:r>
              <w:rPr>
                <w:rFonts w:ascii="宋体" w:hAnsi="宋体" w:eastAsia="宋体" w:cs="宋体"/>
                <w:sz w:val="20"/>
                <w:szCs w:val="20"/>
              </w:rPr>
              <w:t xml:space="preserve"> </w:t>
            </w:r>
            <w:r>
              <w:rPr>
                <w:rFonts w:ascii="宋体" w:hAnsi="宋体" w:eastAsia="宋体" w:cs="宋体"/>
                <w:spacing w:val="-9"/>
                <w:sz w:val="20"/>
                <w:szCs w:val="20"/>
              </w:rPr>
              <w:t>(</w:t>
            </w:r>
            <w:r>
              <w:rPr>
                <w:rFonts w:ascii="宋体" w:hAnsi="宋体" w:eastAsia="宋体" w:cs="宋体"/>
                <w:spacing w:val="-5"/>
                <w:sz w:val="20"/>
                <w:szCs w:val="20"/>
              </w:rPr>
              <w:t xml:space="preserve">以烘干基计，) </w:t>
            </w:r>
            <w:r>
              <w:rPr>
                <w:rFonts w:ascii="Times New Roman" w:hAnsi="Times New Roman" w:eastAsia="Times New Roman" w:cs="Times New Roman"/>
                <w:spacing w:val="-5"/>
                <w:sz w:val="20"/>
                <w:szCs w:val="20"/>
              </w:rPr>
              <w:t>%</w:t>
            </w:r>
          </w:p>
        </w:tc>
        <w:tc>
          <w:tcPr>
            <w:tcW w:w="3783" w:type="dxa"/>
            <w:tcBorders>
              <w:right w:val="nil"/>
            </w:tcBorders>
          </w:tcPr>
          <w:p w14:paraId="2E1D5140">
            <w:pPr>
              <w:spacing w:before="231" w:line="281" w:lineRule="exact"/>
              <w:ind w:left="1705"/>
              <w:rPr>
                <w:rFonts w:ascii="Times New Roman" w:hAnsi="Times New Roman" w:eastAsia="Times New Roman" w:cs="Times New Roman"/>
                <w:sz w:val="20"/>
                <w:szCs w:val="20"/>
              </w:rPr>
            </w:pPr>
            <w:r>
              <w:rPr>
                <w:rFonts w:ascii="Times New Roman" w:hAnsi="Times New Roman" w:eastAsia="Times New Roman" w:cs="Times New Roman"/>
                <w:spacing w:val="4"/>
                <w:position w:val="3"/>
                <w:sz w:val="20"/>
                <w:szCs w:val="20"/>
              </w:rPr>
              <w:t>≥</w:t>
            </w:r>
            <w:r>
              <w:rPr>
                <w:rFonts w:ascii="Times New Roman" w:hAnsi="Times New Roman" w:eastAsia="Times New Roman" w:cs="Times New Roman"/>
                <w:spacing w:val="3"/>
                <w:position w:val="3"/>
                <w:sz w:val="20"/>
                <w:szCs w:val="20"/>
              </w:rPr>
              <w:t>5</w:t>
            </w:r>
            <w:r>
              <w:rPr>
                <w:rFonts w:ascii="Times New Roman" w:hAnsi="Times New Roman" w:eastAsia="Times New Roman" w:cs="Times New Roman"/>
                <w:spacing w:val="2"/>
                <w:position w:val="3"/>
                <w:sz w:val="20"/>
                <w:szCs w:val="20"/>
              </w:rPr>
              <w:t>.0</w:t>
            </w:r>
          </w:p>
        </w:tc>
      </w:tr>
      <w:tr w14:paraId="328BDA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903" w:type="dxa"/>
            <w:tcBorders>
              <w:left w:val="nil"/>
            </w:tcBorders>
          </w:tcPr>
          <w:p w14:paraId="0C4572C5">
            <w:pPr>
              <w:spacing w:line="278" w:lineRule="exact"/>
              <w:ind w:left="1014"/>
              <w:rPr>
                <w:rFonts w:ascii="Times New Roman" w:hAnsi="Times New Roman" w:eastAsia="Times New Roman" w:cs="Times New Roman"/>
                <w:sz w:val="20"/>
                <w:szCs w:val="20"/>
              </w:rPr>
            </w:pPr>
            <w:r>
              <w:rPr>
                <w:rFonts w:ascii="宋体" w:hAnsi="宋体" w:eastAsia="宋体" w:cs="宋体"/>
                <w:spacing w:val="8"/>
                <w:position w:val="1"/>
                <w:sz w:val="20"/>
                <w:szCs w:val="20"/>
              </w:rPr>
              <w:t>水分</w:t>
            </w:r>
            <w:r>
              <w:rPr>
                <w:rFonts w:ascii="宋体" w:hAnsi="宋体" w:eastAsia="宋体" w:cs="宋体"/>
                <w:spacing w:val="4"/>
                <w:position w:val="1"/>
                <w:sz w:val="20"/>
                <w:szCs w:val="20"/>
              </w:rPr>
              <w:t xml:space="preserve"> (鲜样) 的质量分数，</w:t>
            </w:r>
            <w:r>
              <w:rPr>
                <w:rFonts w:ascii="Times New Roman" w:hAnsi="Times New Roman" w:eastAsia="Times New Roman" w:cs="Times New Roman"/>
                <w:spacing w:val="4"/>
                <w:position w:val="1"/>
                <w:sz w:val="20"/>
                <w:szCs w:val="20"/>
              </w:rPr>
              <w:t>%</w:t>
            </w:r>
          </w:p>
        </w:tc>
        <w:tc>
          <w:tcPr>
            <w:tcW w:w="3783" w:type="dxa"/>
            <w:tcBorders>
              <w:right w:val="nil"/>
            </w:tcBorders>
          </w:tcPr>
          <w:p w14:paraId="5F509C5F">
            <w:pPr>
              <w:spacing w:before="14" w:line="281" w:lineRule="exact"/>
              <w:ind w:left="1731"/>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w:t>
            </w:r>
            <w:r>
              <w:rPr>
                <w:rFonts w:ascii="Times New Roman" w:hAnsi="Times New Roman" w:eastAsia="Times New Roman" w:cs="Times New Roman"/>
                <w:spacing w:val="3"/>
                <w:position w:val="2"/>
                <w:sz w:val="20"/>
                <w:szCs w:val="20"/>
              </w:rPr>
              <w:t>30</w:t>
            </w:r>
          </w:p>
        </w:tc>
      </w:tr>
      <w:tr w14:paraId="03B7F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4903" w:type="dxa"/>
            <w:tcBorders>
              <w:left w:val="nil"/>
            </w:tcBorders>
          </w:tcPr>
          <w:p w14:paraId="3A3DDF3E">
            <w:pPr>
              <w:spacing w:before="36" w:line="221" w:lineRule="auto"/>
              <w:ind w:left="1826"/>
              <w:rPr>
                <w:rFonts w:ascii="宋体" w:hAnsi="宋体" w:eastAsia="宋体" w:cs="宋体"/>
                <w:sz w:val="20"/>
                <w:szCs w:val="20"/>
              </w:rPr>
            </w:pPr>
            <w:r>
              <w:rPr>
                <w:rFonts w:ascii="宋体" w:hAnsi="宋体" w:eastAsia="宋体" w:cs="宋体"/>
                <w:spacing w:val="4"/>
                <w:sz w:val="20"/>
                <w:szCs w:val="20"/>
              </w:rPr>
              <w:t>酸碱度 (</w:t>
            </w:r>
            <w:r>
              <w:rPr>
                <w:rFonts w:ascii="Times New Roman" w:hAnsi="Times New Roman" w:eastAsia="Times New Roman" w:cs="Times New Roman"/>
                <w:sz w:val="20"/>
                <w:szCs w:val="20"/>
              </w:rPr>
              <w:t>pH</w:t>
            </w:r>
            <w:r>
              <w:rPr>
                <w:rFonts w:ascii="宋体" w:hAnsi="宋体" w:eastAsia="宋体" w:cs="宋体"/>
                <w:spacing w:val="3"/>
                <w:sz w:val="20"/>
                <w:szCs w:val="20"/>
              </w:rPr>
              <w:t>)</w:t>
            </w:r>
          </w:p>
        </w:tc>
        <w:tc>
          <w:tcPr>
            <w:tcW w:w="3783" w:type="dxa"/>
            <w:tcBorders>
              <w:right w:val="nil"/>
            </w:tcBorders>
          </w:tcPr>
          <w:p w14:paraId="72AA20C4">
            <w:pPr>
              <w:spacing w:before="91" w:line="195" w:lineRule="auto"/>
              <w:ind w:left="158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5.5~8.</w:t>
            </w:r>
            <w:r>
              <w:rPr>
                <w:rFonts w:ascii="Times New Roman" w:hAnsi="Times New Roman" w:eastAsia="Times New Roman" w:cs="Times New Roman"/>
                <w:spacing w:val="1"/>
                <w:sz w:val="20"/>
                <w:szCs w:val="20"/>
              </w:rPr>
              <w:t>5</w:t>
            </w:r>
          </w:p>
        </w:tc>
      </w:tr>
    </w:tbl>
    <w:p w14:paraId="43ABB7AA">
      <w:pPr>
        <w:spacing w:before="207" w:line="230" w:lineRule="auto"/>
        <w:ind w:left="2707"/>
        <w:rPr>
          <w:rFonts w:ascii="黑体" w:hAnsi="黑体" w:eastAsia="黑体" w:cs="黑体"/>
          <w:sz w:val="23"/>
          <w:szCs w:val="23"/>
        </w:rPr>
      </w:pPr>
      <w:r>
        <w:rPr>
          <w:rFonts w:ascii="黑体" w:hAnsi="黑体" w:eastAsia="黑体" w:cs="黑体"/>
          <w:spacing w:val="8"/>
          <w:sz w:val="23"/>
          <w:szCs w:val="23"/>
        </w:rPr>
        <w:t>表</w:t>
      </w:r>
      <w:r>
        <w:rPr>
          <w:rFonts w:ascii="黑体" w:hAnsi="黑体" w:eastAsia="黑体" w:cs="黑体"/>
          <w:spacing w:val="4"/>
          <w:sz w:val="23"/>
          <w:szCs w:val="23"/>
        </w:rPr>
        <w:t xml:space="preserve"> </w:t>
      </w:r>
      <w:r>
        <w:rPr>
          <w:rFonts w:ascii="Times New Roman" w:hAnsi="Times New Roman" w:eastAsia="Times New Roman" w:cs="Times New Roman"/>
          <w:spacing w:val="4"/>
          <w:sz w:val="23"/>
          <w:szCs w:val="23"/>
        </w:rPr>
        <w:t xml:space="preserve">2. 1-5    </w:t>
      </w:r>
      <w:r>
        <w:rPr>
          <w:rFonts w:ascii="黑体" w:hAnsi="黑体" w:eastAsia="黑体" w:cs="黑体"/>
          <w:spacing w:val="4"/>
          <w:sz w:val="23"/>
          <w:szCs w:val="23"/>
        </w:rPr>
        <w:t>有机肥料中重金属的限量指标</w:t>
      </w:r>
    </w:p>
    <w:p w14:paraId="2DB1D651">
      <w:pPr>
        <w:spacing w:line="108" w:lineRule="exact"/>
      </w:pPr>
    </w:p>
    <w:tbl>
      <w:tblPr>
        <w:tblStyle w:val="4"/>
        <w:tblW w:w="8312" w:type="dxa"/>
        <w:tblInd w:w="2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62"/>
        <w:gridCol w:w="4150"/>
      </w:tblGrid>
      <w:tr w14:paraId="6BDD11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4162" w:type="dxa"/>
            <w:tcBorders>
              <w:left w:val="nil"/>
            </w:tcBorders>
          </w:tcPr>
          <w:p w14:paraId="1A77A7F0">
            <w:pPr>
              <w:spacing w:before="56" w:line="228" w:lineRule="auto"/>
              <w:ind w:left="1889"/>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项目</w:t>
            </w:r>
          </w:p>
        </w:tc>
        <w:tc>
          <w:tcPr>
            <w:tcW w:w="4150" w:type="dxa"/>
            <w:tcBorders>
              <w:right w:val="nil"/>
            </w:tcBorders>
          </w:tcPr>
          <w:p w14:paraId="7B7252BD">
            <w:pPr>
              <w:spacing w:before="56" w:line="228" w:lineRule="auto"/>
              <w:ind w:left="1679"/>
              <w:rPr>
                <w:rFonts w:ascii="宋体" w:hAnsi="宋体" w:eastAsia="宋体" w:cs="宋体"/>
                <w:sz w:val="20"/>
                <w:szCs w:val="20"/>
              </w:rPr>
            </w:pPr>
            <w:r>
              <w:rPr>
                <w:rFonts w:ascii="宋体" w:hAnsi="宋体" w:eastAsia="宋体" w:cs="宋体"/>
                <w:spacing w:val="3"/>
                <w:sz w:val="20"/>
                <w:szCs w:val="20"/>
                <w14:textOutline w14:w="3797" w14:cap="sq" w14:cmpd="sng" w14:algn="ctr">
                  <w14:solidFill>
                    <w14:srgbClr w14:val="000000"/>
                  </w14:solidFill>
                  <w14:prstDash w14:val="solid"/>
                  <w14:bevel/>
                </w14:textOutline>
              </w:rPr>
              <w:t>限量指标</w:t>
            </w:r>
          </w:p>
        </w:tc>
      </w:tr>
      <w:tr w14:paraId="4F2C1E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162" w:type="dxa"/>
            <w:tcBorders>
              <w:left w:val="nil"/>
            </w:tcBorders>
          </w:tcPr>
          <w:p w14:paraId="1AF42FB1">
            <w:pPr>
              <w:spacing w:before="31" w:line="227" w:lineRule="auto"/>
              <w:ind w:left="881"/>
              <w:rPr>
                <w:rFonts w:ascii="宋体" w:hAnsi="宋体" w:eastAsia="宋体" w:cs="宋体"/>
                <w:sz w:val="20"/>
                <w:szCs w:val="20"/>
              </w:rPr>
            </w:pPr>
            <w:r>
              <w:rPr>
                <w:rFonts w:ascii="宋体" w:hAnsi="宋体" w:eastAsia="宋体" w:cs="宋体"/>
                <w:spacing w:val="10"/>
                <w:sz w:val="20"/>
                <w:szCs w:val="20"/>
              </w:rPr>
              <w:t>总</w:t>
            </w:r>
            <w:r>
              <w:rPr>
                <w:rFonts w:ascii="宋体" w:hAnsi="宋体" w:eastAsia="宋体" w:cs="宋体"/>
                <w:spacing w:val="8"/>
                <w:sz w:val="20"/>
                <w:szCs w:val="20"/>
              </w:rPr>
              <w:t>砷</w:t>
            </w:r>
            <w:r>
              <w:rPr>
                <w:rFonts w:ascii="宋体" w:hAnsi="宋体" w:eastAsia="宋体" w:cs="宋体"/>
                <w:spacing w:val="5"/>
                <w:sz w:val="20"/>
                <w:szCs w:val="20"/>
              </w:rPr>
              <w:t xml:space="preserve"> (</w:t>
            </w:r>
            <w:r>
              <w:rPr>
                <w:rFonts w:ascii="Times New Roman" w:hAnsi="Times New Roman" w:eastAsia="Times New Roman" w:cs="Times New Roman"/>
                <w:sz w:val="20"/>
                <w:szCs w:val="20"/>
              </w:rPr>
              <w:t>As</w:t>
            </w:r>
            <w:r>
              <w:rPr>
                <w:rFonts w:ascii="宋体" w:hAnsi="宋体" w:eastAsia="宋体" w:cs="宋体"/>
                <w:spacing w:val="5"/>
                <w:sz w:val="20"/>
                <w:szCs w:val="20"/>
              </w:rPr>
              <w:t>)(以烘干基计)</w:t>
            </w:r>
          </w:p>
        </w:tc>
        <w:tc>
          <w:tcPr>
            <w:tcW w:w="4150" w:type="dxa"/>
            <w:tcBorders>
              <w:right w:val="nil"/>
            </w:tcBorders>
          </w:tcPr>
          <w:p w14:paraId="24D65FF6">
            <w:pPr>
              <w:spacing w:before="13" w:line="281" w:lineRule="exact"/>
              <w:ind w:left="1913"/>
              <w:rPr>
                <w:rFonts w:ascii="Times New Roman" w:hAnsi="Times New Roman" w:eastAsia="Times New Roman" w:cs="Times New Roman"/>
                <w:sz w:val="20"/>
                <w:szCs w:val="20"/>
              </w:rPr>
            </w:pPr>
            <w:r>
              <w:rPr>
                <w:rFonts w:ascii="Times New Roman" w:hAnsi="Times New Roman" w:eastAsia="Times New Roman" w:cs="Times New Roman"/>
                <w:spacing w:val="-10"/>
                <w:position w:val="2"/>
                <w:sz w:val="20"/>
                <w:szCs w:val="20"/>
              </w:rPr>
              <w:t>≤ 15</w:t>
            </w:r>
          </w:p>
        </w:tc>
      </w:tr>
      <w:tr w14:paraId="31646C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4162" w:type="dxa"/>
            <w:tcBorders>
              <w:left w:val="nil"/>
            </w:tcBorders>
          </w:tcPr>
          <w:p w14:paraId="6AA8A421">
            <w:pPr>
              <w:spacing w:before="32" w:line="221" w:lineRule="auto"/>
              <w:ind w:left="869"/>
              <w:rPr>
                <w:rFonts w:ascii="宋体" w:hAnsi="宋体" w:eastAsia="宋体" w:cs="宋体"/>
                <w:sz w:val="20"/>
                <w:szCs w:val="20"/>
              </w:rPr>
            </w:pPr>
            <w:r>
              <w:rPr>
                <w:rFonts w:ascii="宋体" w:hAnsi="宋体" w:eastAsia="宋体" w:cs="宋体"/>
                <w:spacing w:val="6"/>
                <w:sz w:val="20"/>
                <w:szCs w:val="20"/>
              </w:rPr>
              <w:t>总</w:t>
            </w:r>
            <w:r>
              <w:rPr>
                <w:rFonts w:ascii="宋体" w:hAnsi="宋体" w:eastAsia="宋体" w:cs="宋体"/>
                <w:spacing w:val="5"/>
                <w:sz w:val="20"/>
                <w:szCs w:val="20"/>
              </w:rPr>
              <w:t>汞 (</w:t>
            </w:r>
            <w:r>
              <w:rPr>
                <w:rFonts w:ascii="Times New Roman" w:hAnsi="Times New Roman" w:eastAsia="Times New Roman" w:cs="Times New Roman"/>
                <w:sz w:val="20"/>
                <w:szCs w:val="20"/>
              </w:rPr>
              <w:t>Hg</w:t>
            </w:r>
            <w:r>
              <w:rPr>
                <w:rFonts w:ascii="宋体" w:hAnsi="宋体" w:eastAsia="宋体" w:cs="宋体"/>
                <w:spacing w:val="5"/>
                <w:sz w:val="20"/>
                <w:szCs w:val="20"/>
              </w:rPr>
              <w:t>)(以烘干基计)</w:t>
            </w:r>
          </w:p>
        </w:tc>
        <w:tc>
          <w:tcPr>
            <w:tcW w:w="4150" w:type="dxa"/>
            <w:tcBorders>
              <w:right w:val="nil"/>
            </w:tcBorders>
          </w:tcPr>
          <w:p w14:paraId="62AD6765">
            <w:pPr>
              <w:spacing w:before="16" w:line="281" w:lineRule="exact"/>
              <w:ind w:left="1964"/>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w:t>
            </w:r>
            <w:r>
              <w:rPr>
                <w:rFonts w:ascii="Times New Roman" w:hAnsi="Times New Roman" w:eastAsia="Times New Roman" w:cs="Times New Roman"/>
                <w:spacing w:val="2"/>
                <w:position w:val="2"/>
                <w:sz w:val="20"/>
                <w:szCs w:val="20"/>
              </w:rPr>
              <w:t>2</w:t>
            </w:r>
          </w:p>
        </w:tc>
      </w:tr>
      <w:tr w14:paraId="5362CF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162" w:type="dxa"/>
            <w:tcBorders>
              <w:left w:val="nil"/>
            </w:tcBorders>
          </w:tcPr>
          <w:p w14:paraId="74A81548">
            <w:pPr>
              <w:spacing w:line="276" w:lineRule="exact"/>
              <w:ind w:left="886"/>
              <w:rPr>
                <w:rFonts w:ascii="宋体" w:hAnsi="宋体" w:eastAsia="宋体" w:cs="宋体"/>
                <w:sz w:val="20"/>
                <w:szCs w:val="20"/>
              </w:rPr>
            </w:pPr>
            <w:r>
              <w:rPr>
                <w:rFonts w:ascii="宋体" w:hAnsi="宋体" w:eastAsia="宋体" w:cs="宋体"/>
                <w:spacing w:val="10"/>
                <w:position w:val="1"/>
                <w:sz w:val="20"/>
                <w:szCs w:val="20"/>
              </w:rPr>
              <w:t>总</w:t>
            </w:r>
            <w:r>
              <w:rPr>
                <w:rFonts w:ascii="宋体" w:hAnsi="宋体" w:eastAsia="宋体" w:cs="宋体"/>
                <w:spacing w:val="7"/>
                <w:position w:val="1"/>
                <w:sz w:val="20"/>
                <w:szCs w:val="20"/>
              </w:rPr>
              <w:t>铅</w:t>
            </w:r>
            <w:r>
              <w:rPr>
                <w:rFonts w:ascii="宋体" w:hAnsi="宋体" w:eastAsia="宋体" w:cs="宋体"/>
                <w:spacing w:val="5"/>
                <w:position w:val="1"/>
                <w:sz w:val="20"/>
                <w:szCs w:val="20"/>
              </w:rPr>
              <w:t xml:space="preserve"> (</w:t>
            </w:r>
            <w:r>
              <w:rPr>
                <w:rFonts w:ascii="Times New Roman" w:hAnsi="Times New Roman" w:eastAsia="Times New Roman" w:cs="Times New Roman"/>
                <w:position w:val="1"/>
                <w:sz w:val="20"/>
                <w:szCs w:val="20"/>
              </w:rPr>
              <w:t>Pb</w:t>
            </w:r>
            <w:r>
              <w:rPr>
                <w:rFonts w:ascii="宋体" w:hAnsi="宋体" w:eastAsia="宋体" w:cs="宋体"/>
                <w:spacing w:val="5"/>
                <w:position w:val="1"/>
                <w:sz w:val="20"/>
                <w:szCs w:val="20"/>
              </w:rPr>
              <w:t>)(以烘干基计)</w:t>
            </w:r>
          </w:p>
        </w:tc>
        <w:tc>
          <w:tcPr>
            <w:tcW w:w="4150" w:type="dxa"/>
            <w:tcBorders>
              <w:right w:val="nil"/>
            </w:tcBorders>
          </w:tcPr>
          <w:p w14:paraId="6F455F38">
            <w:pPr>
              <w:spacing w:before="14" w:line="281" w:lineRule="exact"/>
              <w:ind w:left="1913"/>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w:t>
            </w:r>
            <w:r>
              <w:rPr>
                <w:rFonts w:ascii="Times New Roman" w:hAnsi="Times New Roman" w:eastAsia="Times New Roman" w:cs="Times New Roman"/>
                <w:spacing w:val="3"/>
                <w:position w:val="2"/>
                <w:sz w:val="20"/>
                <w:szCs w:val="20"/>
              </w:rPr>
              <w:t>50</w:t>
            </w:r>
          </w:p>
        </w:tc>
      </w:tr>
      <w:tr w14:paraId="5F7D69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4162" w:type="dxa"/>
            <w:tcBorders>
              <w:left w:val="nil"/>
            </w:tcBorders>
          </w:tcPr>
          <w:p w14:paraId="10B0A1C5">
            <w:pPr>
              <w:spacing w:line="279" w:lineRule="exact"/>
              <w:ind w:left="874"/>
              <w:rPr>
                <w:rFonts w:ascii="宋体" w:hAnsi="宋体" w:eastAsia="宋体" w:cs="宋体"/>
                <w:sz w:val="20"/>
                <w:szCs w:val="20"/>
              </w:rPr>
            </w:pPr>
            <w:r>
              <w:rPr>
                <w:rFonts w:ascii="宋体" w:hAnsi="宋体" w:eastAsia="宋体" w:cs="宋体"/>
                <w:spacing w:val="5"/>
                <w:position w:val="1"/>
                <w:sz w:val="20"/>
                <w:szCs w:val="20"/>
              </w:rPr>
              <w:t>总镉 (</w:t>
            </w:r>
            <w:r>
              <w:rPr>
                <w:rFonts w:ascii="Times New Roman" w:hAnsi="Times New Roman" w:eastAsia="Times New Roman" w:cs="Times New Roman"/>
                <w:position w:val="1"/>
                <w:sz w:val="20"/>
                <w:szCs w:val="20"/>
              </w:rPr>
              <w:t>Cd</w:t>
            </w:r>
            <w:r>
              <w:rPr>
                <w:rFonts w:ascii="宋体" w:hAnsi="宋体" w:eastAsia="宋体" w:cs="宋体"/>
                <w:spacing w:val="5"/>
                <w:position w:val="1"/>
                <w:sz w:val="20"/>
                <w:szCs w:val="20"/>
              </w:rPr>
              <w:t>)(以烘干基计)</w:t>
            </w:r>
          </w:p>
        </w:tc>
        <w:tc>
          <w:tcPr>
            <w:tcW w:w="4150" w:type="dxa"/>
            <w:tcBorders>
              <w:right w:val="nil"/>
            </w:tcBorders>
          </w:tcPr>
          <w:p w14:paraId="633ABD4F">
            <w:pPr>
              <w:spacing w:before="15" w:line="281" w:lineRule="exact"/>
              <w:ind w:left="1964"/>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w:t>
            </w:r>
            <w:r>
              <w:rPr>
                <w:rFonts w:ascii="Times New Roman" w:hAnsi="Times New Roman" w:eastAsia="Times New Roman" w:cs="Times New Roman"/>
                <w:spacing w:val="2"/>
                <w:position w:val="2"/>
                <w:sz w:val="20"/>
                <w:szCs w:val="20"/>
              </w:rPr>
              <w:t>3</w:t>
            </w:r>
          </w:p>
        </w:tc>
      </w:tr>
    </w:tbl>
    <w:p w14:paraId="6936B9E7"/>
    <w:p w14:paraId="7386C57B">
      <w:pPr>
        <w:sectPr>
          <w:headerReference r:id="rId62" w:type="default"/>
          <w:footerReference r:id="rId63" w:type="default"/>
          <w:pgSz w:w="11907" w:h="16840"/>
          <w:pgMar w:top="1153" w:right="1499" w:bottom="1277" w:left="1506" w:header="919" w:footer="1114" w:gutter="0"/>
          <w:cols w:space="720" w:num="1"/>
        </w:sectPr>
      </w:pPr>
    </w:p>
    <w:p w14:paraId="1452F579">
      <w:pPr>
        <w:spacing w:line="324" w:lineRule="auto"/>
      </w:pPr>
    </w:p>
    <w:p w14:paraId="4D9FEB1D">
      <w:pPr>
        <w:spacing w:before="65" w:line="320" w:lineRule="exact"/>
        <w:ind w:left="1177"/>
        <w:rPr>
          <w:rFonts w:ascii="Times New Roman" w:hAnsi="Times New Roman" w:eastAsia="Times New Roman" w:cs="Times New Roman"/>
          <w:sz w:val="20"/>
          <w:szCs w:val="20"/>
        </w:rPr>
      </w:pPr>
      <w:r>
        <w:pict>
          <v:rect id="_x0000_s2071" o:spid="_x0000_s2071" o:spt="1" style="position:absolute;left:0pt;margin-left:34pt;margin-top:2.35pt;height:1.55pt;width:414.9pt;z-index:251706368;mso-width-relative:page;mso-height-relative:page;" fillcolor="#000000" filled="t" stroked="f" coordsize="21600,21600">
            <v:path/>
            <v:fill on="t" focussize="0,0"/>
            <v:stroke on="f"/>
            <v:imagedata o:title=""/>
            <o:lock v:ext="edit"/>
          </v:rect>
        </w:pict>
      </w:r>
      <w:r>
        <w:rPr>
          <w:rFonts w:ascii="宋体" w:hAnsi="宋体" w:eastAsia="宋体" w:cs="宋体"/>
          <w:spacing w:val="7"/>
          <w:position w:val="4"/>
          <w:sz w:val="20"/>
          <w:szCs w:val="20"/>
        </w:rPr>
        <w:t>总</w:t>
      </w:r>
      <w:r>
        <w:rPr>
          <w:rFonts w:ascii="宋体" w:hAnsi="宋体" w:eastAsia="宋体" w:cs="宋体"/>
          <w:spacing w:val="4"/>
          <w:position w:val="4"/>
          <w:sz w:val="20"/>
          <w:szCs w:val="20"/>
        </w:rPr>
        <w:t>铬 (</w:t>
      </w:r>
      <w:r>
        <w:rPr>
          <w:rFonts w:ascii="Times New Roman" w:hAnsi="Times New Roman" w:eastAsia="Times New Roman" w:cs="Times New Roman"/>
          <w:position w:val="4"/>
          <w:sz w:val="20"/>
          <w:szCs w:val="20"/>
        </w:rPr>
        <w:t>Cr</w:t>
      </w:r>
      <w:r>
        <w:rPr>
          <w:rFonts w:ascii="宋体" w:hAnsi="宋体" w:eastAsia="宋体" w:cs="宋体"/>
          <w:spacing w:val="4"/>
          <w:position w:val="4"/>
          <w:sz w:val="20"/>
          <w:szCs w:val="20"/>
        </w:rPr>
        <w:t xml:space="preserve">)(以烘干基计)              </w:t>
      </w:r>
      <w:r>
        <w:rPr>
          <w:position w:val="-6"/>
          <w:sz w:val="20"/>
          <w:szCs w:val="20"/>
        </w:rPr>
        <w:drawing>
          <wp:inline distT="0" distB="0" distL="0" distR="0">
            <wp:extent cx="7620" cy="19875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365"/>
                    <a:stretch>
                      <a:fillRect/>
                    </a:stretch>
                  </pic:blipFill>
                  <pic:spPr>
                    <a:xfrm>
                      <a:off x="0" y="0"/>
                      <a:ext cx="7620" cy="199105"/>
                    </a:xfrm>
                    <a:prstGeom prst="rect">
                      <a:avLst/>
                    </a:prstGeom>
                  </pic:spPr>
                </pic:pic>
              </a:graphicData>
            </a:graphic>
          </wp:inline>
        </w:drawing>
      </w:r>
      <w:r>
        <w:rPr>
          <w:rFonts w:ascii="宋体" w:hAnsi="宋体" w:eastAsia="宋体" w:cs="宋体"/>
          <w:spacing w:val="4"/>
          <w:position w:val="4"/>
          <w:sz w:val="20"/>
          <w:szCs w:val="20"/>
        </w:rPr>
        <w:t xml:space="preserve">              </w:t>
      </w:r>
      <w:r>
        <w:rPr>
          <w:rFonts w:ascii="Times New Roman" w:hAnsi="Times New Roman" w:eastAsia="Times New Roman" w:cs="Times New Roman"/>
          <w:spacing w:val="4"/>
          <w:position w:val="4"/>
          <w:sz w:val="20"/>
          <w:szCs w:val="20"/>
        </w:rPr>
        <w:t>≤ 150</w:t>
      </w:r>
    </w:p>
    <w:p w14:paraId="0B0B8E4E">
      <w:pPr>
        <w:spacing w:line="222" w:lineRule="auto"/>
        <w:ind w:left="163"/>
        <w:outlineLvl w:val="2"/>
        <w:rPr>
          <w:rFonts w:ascii="宋体" w:hAnsi="宋体" w:eastAsia="宋体" w:cs="宋体"/>
          <w:sz w:val="23"/>
          <w:szCs w:val="23"/>
        </w:rPr>
      </w:pPr>
      <w:r>
        <w:drawing>
          <wp:anchor distT="0" distB="0" distL="0" distR="0" simplePos="0" relativeHeight="251691008" behindDoc="0" locked="0" layoutInCell="1" allowOverlap="1">
            <wp:simplePos x="0" y="0"/>
            <wp:positionH relativeFrom="column">
              <wp:posOffset>422275</wp:posOffset>
            </wp:positionH>
            <wp:positionV relativeFrom="paragraph">
              <wp:posOffset>3810</wp:posOffset>
            </wp:positionV>
            <wp:extent cx="5278120" cy="19685"/>
            <wp:effectExtent l="0" t="0" r="0" b="0"/>
            <wp:wrapNone/>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r:embed="rId366"/>
                    <a:stretch>
                      <a:fillRect/>
                    </a:stretch>
                  </pic:blipFill>
                  <pic:spPr>
                    <a:xfrm>
                      <a:off x="0" y="0"/>
                      <a:ext cx="5278120" cy="19557"/>
                    </a:xfrm>
                    <a:prstGeom prst="rect">
                      <a:avLst/>
                    </a:prstGeom>
                  </pic:spPr>
                </pic:pic>
              </a:graphicData>
            </a:graphic>
          </wp:anchor>
        </w:drawing>
      </w:r>
      <w:bookmarkStart w:id="20" w:name="_bookmark21"/>
      <w:bookmarkEnd w:id="20"/>
      <w:r>
        <w:rPr>
          <w:rFonts w:ascii="Times New Roman" w:hAnsi="Times New Roman" w:eastAsia="Times New Roman" w:cs="Times New Roman"/>
          <w:b/>
          <w:bCs/>
          <w:spacing w:val="14"/>
          <w:sz w:val="23"/>
          <w:szCs w:val="23"/>
        </w:rPr>
        <w:t>2</w:t>
      </w:r>
      <w:r>
        <w:rPr>
          <w:rFonts w:ascii="Times New Roman" w:hAnsi="Times New Roman" w:eastAsia="Times New Roman" w:cs="Times New Roman"/>
          <w:b/>
          <w:bCs/>
          <w:spacing w:val="12"/>
          <w:sz w:val="23"/>
          <w:szCs w:val="23"/>
        </w:rPr>
        <w:t>.</w:t>
      </w:r>
      <w:r>
        <w:rPr>
          <w:rFonts w:ascii="Times New Roman" w:hAnsi="Times New Roman" w:eastAsia="Times New Roman" w:cs="Times New Roman"/>
          <w:b/>
          <w:bCs/>
          <w:spacing w:val="7"/>
          <w:sz w:val="23"/>
          <w:szCs w:val="23"/>
        </w:rPr>
        <w:t>1.4</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241" w14:cap="sq" w14:cmpd="sng" w14:algn="ctr">
            <w14:solidFill>
              <w14:srgbClr w14:val="000000"/>
            </w14:solidFill>
            <w14:prstDash w14:val="solid"/>
            <w14:bevel/>
          </w14:textOutline>
        </w:rPr>
        <w:t>项目组成及主要环境问题</w:t>
      </w:r>
      <w:r>
        <w:rPr>
          <w:rFonts w:ascii="宋体" w:hAnsi="宋体" w:eastAsia="宋体" w:cs="宋体"/>
          <w:sz w:val="23"/>
          <w:szCs w:val="23"/>
        </w:rPr>
        <w:t xml:space="preserve">                                                </w:t>
      </w:r>
    </w:p>
    <w:p w14:paraId="555F06D9">
      <w:pPr>
        <w:spacing w:before="183" w:line="374" w:lineRule="auto"/>
        <w:ind w:left="171" w:right="92" w:firstLine="476"/>
        <w:rPr>
          <w:rFonts w:ascii="宋体" w:hAnsi="宋体" w:eastAsia="宋体" w:cs="宋体"/>
          <w:sz w:val="23"/>
          <w:szCs w:val="23"/>
        </w:rPr>
      </w:pPr>
      <w:r>
        <w:rPr>
          <w:rFonts w:ascii="宋体" w:hAnsi="宋体" w:eastAsia="宋体" w:cs="宋体"/>
          <w:spacing w:val="4"/>
          <w:sz w:val="23"/>
          <w:szCs w:val="23"/>
        </w:rPr>
        <w:t>本项目主要建设内容包括</w:t>
      </w:r>
      <w:r>
        <w:rPr>
          <w:rFonts w:ascii="宋体" w:hAnsi="宋体" w:eastAsia="宋体" w:cs="宋体"/>
          <w:spacing w:val="2"/>
          <w:sz w:val="23"/>
          <w:szCs w:val="23"/>
        </w:rPr>
        <w:t>猪舍、隔离舍、异位发酵床、生活区、库房、办公室等的建设，</w:t>
      </w:r>
      <w:r>
        <w:rPr>
          <w:rFonts w:ascii="宋体" w:hAnsi="宋体" w:eastAsia="宋体" w:cs="宋体"/>
          <w:sz w:val="23"/>
          <w:szCs w:val="23"/>
        </w:rPr>
        <w:t xml:space="preserve"> </w:t>
      </w:r>
      <w:r>
        <w:rPr>
          <w:rFonts w:ascii="宋体" w:hAnsi="宋体" w:eastAsia="宋体" w:cs="宋体"/>
          <w:spacing w:val="9"/>
          <w:sz w:val="23"/>
          <w:szCs w:val="23"/>
        </w:rPr>
        <w:t>具</w:t>
      </w:r>
      <w:r>
        <w:rPr>
          <w:rFonts w:ascii="宋体" w:hAnsi="宋体" w:eastAsia="宋体" w:cs="宋体"/>
          <w:spacing w:val="8"/>
          <w:sz w:val="23"/>
          <w:szCs w:val="23"/>
        </w:rPr>
        <w:t>体项目建设内容如下表示：</w:t>
      </w:r>
    </w:p>
    <w:p w14:paraId="39969BBB">
      <w:pPr>
        <w:spacing w:line="222" w:lineRule="auto"/>
        <w:ind w:left="3739"/>
        <w:rPr>
          <w:rFonts w:ascii="黑体" w:hAnsi="黑体" w:eastAsia="黑体" w:cs="黑体"/>
          <w:sz w:val="23"/>
          <w:szCs w:val="23"/>
        </w:rPr>
      </w:pPr>
      <w:r>
        <w:rPr>
          <w:rFonts w:ascii="黑体" w:hAnsi="黑体" w:eastAsia="黑体" w:cs="黑体"/>
          <w:spacing w:val="-2"/>
          <w:sz w:val="23"/>
          <w:szCs w:val="23"/>
        </w:rPr>
        <w:t xml:space="preserve">表 </w:t>
      </w:r>
      <w:r>
        <w:rPr>
          <w:rFonts w:ascii="Times New Roman" w:hAnsi="Times New Roman" w:eastAsia="Times New Roman" w:cs="Times New Roman"/>
          <w:spacing w:val="-2"/>
          <w:sz w:val="23"/>
          <w:szCs w:val="23"/>
        </w:rPr>
        <w:t xml:space="preserve">2. 1-6    </w:t>
      </w:r>
      <w:r>
        <w:rPr>
          <w:rFonts w:ascii="Times New Roman" w:hAnsi="Times New Roman" w:eastAsia="Times New Roman" w:cs="Times New Roman"/>
          <w:spacing w:val="-1"/>
          <w:sz w:val="23"/>
          <w:szCs w:val="23"/>
        </w:rPr>
        <w:t xml:space="preserve">  </w:t>
      </w:r>
      <w:r>
        <w:rPr>
          <w:rFonts w:ascii="黑体" w:hAnsi="黑体" w:eastAsia="黑体" w:cs="黑体"/>
          <w:spacing w:val="-1"/>
          <w:sz w:val="23"/>
          <w:szCs w:val="23"/>
        </w:rPr>
        <w:t>项目组成表</w:t>
      </w:r>
    </w:p>
    <w:tbl>
      <w:tblPr>
        <w:tblStyle w:val="4"/>
        <w:tblW w:w="981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8"/>
        <w:gridCol w:w="689"/>
        <w:gridCol w:w="689"/>
        <w:gridCol w:w="5525"/>
        <w:gridCol w:w="887"/>
        <w:gridCol w:w="1262"/>
      </w:tblGrid>
      <w:tr w14:paraId="667964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758" w:type="dxa"/>
            <w:vMerge w:val="restart"/>
            <w:tcBorders>
              <w:left w:val="nil"/>
              <w:bottom w:val="nil"/>
              <w:right w:val="single" w:color="000000" w:sz="4" w:space="0"/>
            </w:tcBorders>
          </w:tcPr>
          <w:p w14:paraId="61E13A29">
            <w:pPr>
              <w:spacing w:before="126" w:line="271" w:lineRule="exact"/>
              <w:ind w:left="180"/>
              <w:rPr>
                <w:rFonts w:ascii="宋体" w:hAnsi="宋体" w:eastAsia="宋体" w:cs="宋体"/>
                <w:sz w:val="20"/>
                <w:szCs w:val="20"/>
              </w:rPr>
            </w:pPr>
            <w:r>
              <w:rPr>
                <w:rFonts w:ascii="宋体" w:hAnsi="宋体" w:eastAsia="宋体" w:cs="宋体"/>
                <w:spacing w:val="5"/>
                <w:position w:val="4"/>
                <w:sz w:val="20"/>
                <w:szCs w:val="20"/>
                <w14:textOutline w14:w="3797" w14:cap="sq" w14:cmpd="sng" w14:algn="ctr">
                  <w14:solidFill>
                    <w14:srgbClr w14:val="000000"/>
                  </w14:solidFill>
                  <w14:prstDash w14:val="solid"/>
                  <w14:bevel/>
                </w14:textOutline>
              </w:rPr>
              <w:t>工</w:t>
            </w:r>
            <w:r>
              <w:rPr>
                <w:rFonts w:ascii="宋体" w:hAnsi="宋体" w:eastAsia="宋体" w:cs="宋体"/>
                <w:spacing w:val="4"/>
                <w:position w:val="4"/>
                <w:sz w:val="20"/>
                <w:szCs w:val="20"/>
                <w14:textOutline w14:w="3797" w14:cap="sq" w14:cmpd="sng" w14:algn="ctr">
                  <w14:solidFill>
                    <w14:srgbClr w14:val="000000"/>
                  </w14:solidFill>
                  <w14:prstDash w14:val="solid"/>
                  <w14:bevel/>
                </w14:textOutline>
              </w:rPr>
              <w:t>程</w:t>
            </w:r>
          </w:p>
          <w:p w14:paraId="18811FF2">
            <w:pPr>
              <w:spacing w:line="227" w:lineRule="auto"/>
              <w:ind w:left="180"/>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分</w:t>
            </w:r>
            <w:r>
              <w:rPr>
                <w:rFonts w:ascii="宋体" w:hAnsi="宋体" w:eastAsia="宋体" w:cs="宋体"/>
                <w:spacing w:val="4"/>
                <w:sz w:val="20"/>
                <w:szCs w:val="20"/>
                <w14:textOutline w14:w="3797" w14:cap="sq" w14:cmpd="sng" w14:algn="ctr">
                  <w14:solidFill>
                    <w14:srgbClr w14:val="000000"/>
                  </w14:solidFill>
                  <w14:prstDash w14:val="solid"/>
                  <w14:bevel/>
                </w14:textOutline>
              </w:rPr>
              <w:t>类</w:t>
            </w:r>
          </w:p>
        </w:tc>
        <w:tc>
          <w:tcPr>
            <w:tcW w:w="1378" w:type="dxa"/>
            <w:gridSpan w:val="2"/>
            <w:vMerge w:val="restart"/>
            <w:tcBorders>
              <w:left w:val="single" w:color="000000" w:sz="4" w:space="0"/>
              <w:bottom w:val="nil"/>
              <w:right w:val="single" w:color="000000" w:sz="4" w:space="0"/>
            </w:tcBorders>
          </w:tcPr>
          <w:p w14:paraId="2CB353B8">
            <w:pPr>
              <w:spacing w:before="263" w:line="228" w:lineRule="auto"/>
              <w:ind w:left="275"/>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项</w:t>
            </w:r>
            <w:r>
              <w:rPr>
                <w:rFonts w:ascii="宋体" w:hAnsi="宋体" w:eastAsia="宋体" w:cs="宋体"/>
                <w:spacing w:val="7"/>
                <w:sz w:val="20"/>
                <w:szCs w:val="20"/>
                <w14:textOutline w14:w="3797" w14:cap="sq" w14:cmpd="sng" w14:algn="ctr">
                  <w14:solidFill>
                    <w14:srgbClr w14:val="000000"/>
                  </w14:solidFill>
                  <w14:prstDash w14:val="solid"/>
                  <w14:bevel/>
                </w14:textOutline>
              </w:rPr>
              <w:t>目名称</w:t>
            </w:r>
          </w:p>
        </w:tc>
        <w:tc>
          <w:tcPr>
            <w:tcW w:w="5525" w:type="dxa"/>
            <w:vMerge w:val="restart"/>
            <w:tcBorders>
              <w:left w:val="single" w:color="000000" w:sz="4" w:space="0"/>
              <w:bottom w:val="nil"/>
              <w:right w:val="single" w:color="000000" w:sz="4" w:space="0"/>
            </w:tcBorders>
          </w:tcPr>
          <w:p w14:paraId="769F7449">
            <w:pPr>
              <w:spacing w:before="262" w:line="228" w:lineRule="auto"/>
              <w:ind w:left="2033"/>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建设内容及规模</w:t>
            </w:r>
          </w:p>
        </w:tc>
        <w:tc>
          <w:tcPr>
            <w:tcW w:w="2149" w:type="dxa"/>
            <w:gridSpan w:val="2"/>
            <w:tcBorders>
              <w:left w:val="single" w:color="000000" w:sz="4" w:space="0"/>
              <w:right w:val="nil"/>
            </w:tcBorders>
          </w:tcPr>
          <w:p w14:paraId="5E3D086F">
            <w:pPr>
              <w:spacing w:before="118" w:line="228" w:lineRule="auto"/>
              <w:ind w:left="133"/>
              <w:rPr>
                <w:rFonts w:ascii="宋体" w:hAnsi="宋体" w:eastAsia="宋体" w:cs="宋体"/>
                <w:sz w:val="20"/>
                <w:szCs w:val="20"/>
              </w:rPr>
            </w:pPr>
            <w:r>
              <w:rPr>
                <w:rFonts w:ascii="宋体" w:hAnsi="宋体" w:eastAsia="宋体" w:cs="宋体"/>
                <w:spacing w:val="14"/>
                <w:sz w:val="20"/>
                <w:szCs w:val="20"/>
                <w14:textOutline w14:w="3797" w14:cap="sq" w14:cmpd="sng" w14:algn="ctr">
                  <w14:solidFill>
                    <w14:srgbClr w14:val="000000"/>
                  </w14:solidFill>
                  <w14:prstDash w14:val="solid"/>
                  <w14:bevel/>
                </w14:textOutline>
              </w:rPr>
              <w:t>可</w:t>
            </w:r>
            <w:r>
              <w:rPr>
                <w:rFonts w:ascii="宋体" w:hAnsi="宋体" w:eastAsia="宋体" w:cs="宋体"/>
                <w:spacing w:val="9"/>
                <w:sz w:val="20"/>
                <w:szCs w:val="20"/>
                <w14:textOutline w14:w="3797" w14:cap="sq" w14:cmpd="sng" w14:algn="ctr">
                  <w14:solidFill>
                    <w14:srgbClr w14:val="000000"/>
                  </w14:solidFill>
                  <w14:prstDash w14:val="solid"/>
                  <w14:bevel/>
                </w14:textOutline>
              </w:rPr>
              <w:t>能产生的环境问题</w:t>
            </w:r>
          </w:p>
        </w:tc>
      </w:tr>
      <w:tr w14:paraId="50E1F0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58" w:type="dxa"/>
            <w:vMerge w:val="continue"/>
            <w:tcBorders>
              <w:top w:val="nil"/>
              <w:left w:val="nil"/>
              <w:right w:val="single" w:color="000000" w:sz="4" w:space="0"/>
            </w:tcBorders>
          </w:tcPr>
          <w:p w14:paraId="5A0470EE"/>
        </w:tc>
        <w:tc>
          <w:tcPr>
            <w:tcW w:w="1378" w:type="dxa"/>
            <w:gridSpan w:val="2"/>
            <w:vMerge w:val="continue"/>
            <w:tcBorders>
              <w:top w:val="nil"/>
              <w:left w:val="single" w:color="000000" w:sz="4" w:space="0"/>
              <w:right w:val="single" w:color="000000" w:sz="4" w:space="0"/>
            </w:tcBorders>
          </w:tcPr>
          <w:p w14:paraId="776D33D9"/>
        </w:tc>
        <w:tc>
          <w:tcPr>
            <w:tcW w:w="5525" w:type="dxa"/>
            <w:vMerge w:val="continue"/>
            <w:tcBorders>
              <w:top w:val="nil"/>
              <w:left w:val="single" w:color="000000" w:sz="4" w:space="0"/>
              <w:right w:val="single" w:color="000000" w:sz="4" w:space="0"/>
            </w:tcBorders>
          </w:tcPr>
          <w:p w14:paraId="336B006C"/>
        </w:tc>
        <w:tc>
          <w:tcPr>
            <w:tcW w:w="887" w:type="dxa"/>
            <w:tcBorders>
              <w:left w:val="single" w:color="000000" w:sz="4" w:space="0"/>
              <w:right w:val="single" w:color="000000" w:sz="4" w:space="0"/>
            </w:tcBorders>
          </w:tcPr>
          <w:p w14:paraId="2AFBFAFD">
            <w:pPr>
              <w:spacing w:before="33" w:line="228" w:lineRule="auto"/>
              <w:ind w:left="131"/>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施工期</w:t>
            </w:r>
          </w:p>
        </w:tc>
        <w:tc>
          <w:tcPr>
            <w:tcW w:w="1262" w:type="dxa"/>
            <w:tcBorders>
              <w:left w:val="single" w:color="000000" w:sz="4" w:space="0"/>
              <w:right w:val="nil"/>
            </w:tcBorders>
          </w:tcPr>
          <w:p w14:paraId="1FD887E4">
            <w:pPr>
              <w:spacing w:before="33" w:line="228" w:lineRule="auto"/>
              <w:ind w:left="326"/>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营</w:t>
            </w:r>
            <w:r>
              <w:rPr>
                <w:rFonts w:ascii="宋体" w:hAnsi="宋体" w:eastAsia="宋体" w:cs="宋体"/>
                <w:spacing w:val="5"/>
                <w:sz w:val="20"/>
                <w:szCs w:val="20"/>
                <w14:textOutline w14:w="3797" w14:cap="sq" w14:cmpd="sng" w14:algn="ctr">
                  <w14:solidFill>
                    <w14:srgbClr w14:val="000000"/>
                  </w14:solidFill>
                  <w14:prstDash w14:val="solid"/>
                  <w14:bevel/>
                </w14:textOutline>
              </w:rPr>
              <w:t>运期</w:t>
            </w:r>
          </w:p>
        </w:tc>
      </w:tr>
      <w:tr w14:paraId="4E46F5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1" w:hRule="atLeast"/>
        </w:trPr>
        <w:tc>
          <w:tcPr>
            <w:tcW w:w="758" w:type="dxa"/>
            <w:tcBorders>
              <w:left w:val="nil"/>
              <w:right w:val="single" w:color="000000" w:sz="4" w:space="0"/>
            </w:tcBorders>
          </w:tcPr>
          <w:p w14:paraId="06CE5ADB">
            <w:pPr>
              <w:spacing w:line="375" w:lineRule="auto"/>
            </w:pPr>
          </w:p>
          <w:p w14:paraId="358032D7">
            <w:pPr>
              <w:spacing w:before="65" w:line="271" w:lineRule="exact"/>
              <w:ind w:left="179"/>
              <w:rPr>
                <w:rFonts w:ascii="宋体" w:hAnsi="宋体" w:eastAsia="宋体" w:cs="宋体"/>
                <w:sz w:val="20"/>
                <w:szCs w:val="20"/>
              </w:rPr>
            </w:pPr>
            <w:r>
              <w:rPr>
                <w:rFonts w:ascii="宋体" w:hAnsi="宋体" w:eastAsia="宋体" w:cs="宋体"/>
                <w:spacing w:val="4"/>
                <w:position w:val="4"/>
                <w:sz w:val="20"/>
                <w:szCs w:val="20"/>
              </w:rPr>
              <w:t>主</w:t>
            </w:r>
            <w:r>
              <w:rPr>
                <w:rFonts w:ascii="宋体" w:hAnsi="宋体" w:eastAsia="宋体" w:cs="宋体"/>
                <w:spacing w:val="3"/>
                <w:position w:val="4"/>
                <w:sz w:val="20"/>
                <w:szCs w:val="20"/>
              </w:rPr>
              <w:t>体</w:t>
            </w:r>
          </w:p>
          <w:p w14:paraId="122B2D30">
            <w:pPr>
              <w:spacing w:line="228" w:lineRule="auto"/>
              <w:ind w:left="180"/>
              <w:rPr>
                <w:rFonts w:ascii="宋体" w:hAnsi="宋体" w:eastAsia="宋体" w:cs="宋体"/>
                <w:sz w:val="20"/>
                <w:szCs w:val="20"/>
              </w:rPr>
            </w:pPr>
            <w:r>
              <w:rPr>
                <w:rFonts w:ascii="宋体" w:hAnsi="宋体" w:eastAsia="宋体" w:cs="宋体"/>
                <w:spacing w:val="4"/>
                <w:sz w:val="20"/>
                <w:szCs w:val="20"/>
              </w:rPr>
              <w:t>工</w:t>
            </w:r>
            <w:r>
              <w:rPr>
                <w:rFonts w:ascii="宋体" w:hAnsi="宋体" w:eastAsia="宋体" w:cs="宋体"/>
                <w:spacing w:val="3"/>
                <w:sz w:val="20"/>
                <w:szCs w:val="20"/>
              </w:rPr>
              <w:t>程</w:t>
            </w:r>
          </w:p>
        </w:tc>
        <w:tc>
          <w:tcPr>
            <w:tcW w:w="1378" w:type="dxa"/>
            <w:gridSpan w:val="2"/>
            <w:tcBorders>
              <w:left w:val="single" w:color="000000" w:sz="4" w:space="0"/>
              <w:right w:val="single" w:color="000000" w:sz="4" w:space="0"/>
            </w:tcBorders>
          </w:tcPr>
          <w:p w14:paraId="1D713E11">
            <w:pPr>
              <w:spacing w:line="255" w:lineRule="auto"/>
            </w:pPr>
          </w:p>
          <w:p w14:paraId="1C66CB6C">
            <w:pPr>
              <w:spacing w:line="256" w:lineRule="auto"/>
            </w:pPr>
          </w:p>
          <w:p w14:paraId="2E96BF62">
            <w:pPr>
              <w:spacing w:before="65" w:line="228" w:lineRule="auto"/>
              <w:ind w:left="482"/>
              <w:rPr>
                <w:rFonts w:ascii="宋体" w:hAnsi="宋体" w:eastAsia="宋体" w:cs="宋体"/>
                <w:sz w:val="20"/>
                <w:szCs w:val="20"/>
              </w:rPr>
            </w:pPr>
            <w:r>
              <w:rPr>
                <w:rFonts w:ascii="宋体" w:hAnsi="宋体" w:eastAsia="宋体" w:cs="宋体"/>
                <w:spacing w:val="5"/>
                <w:sz w:val="20"/>
                <w:szCs w:val="20"/>
              </w:rPr>
              <w:t>猪</w:t>
            </w:r>
            <w:r>
              <w:rPr>
                <w:rFonts w:ascii="宋体" w:hAnsi="宋体" w:eastAsia="宋体" w:cs="宋体"/>
                <w:spacing w:val="4"/>
                <w:sz w:val="20"/>
                <w:szCs w:val="20"/>
              </w:rPr>
              <w:t>舍</w:t>
            </w:r>
          </w:p>
        </w:tc>
        <w:tc>
          <w:tcPr>
            <w:tcW w:w="5525" w:type="dxa"/>
            <w:tcBorders>
              <w:left w:val="single" w:color="000000" w:sz="4" w:space="0"/>
              <w:right w:val="single" w:color="000000" w:sz="4" w:space="0"/>
            </w:tcBorders>
          </w:tcPr>
          <w:p w14:paraId="6838E193">
            <w:pPr>
              <w:tabs>
                <w:tab w:val="left" w:pos="220"/>
              </w:tabs>
              <w:spacing w:before="33" w:line="247" w:lineRule="auto"/>
              <w:ind w:left="110" w:right="85" w:firstLine="4"/>
              <w:rPr>
                <w:rFonts w:ascii="宋体" w:hAnsi="宋体" w:eastAsia="宋体" w:cs="宋体"/>
                <w:sz w:val="20"/>
                <w:szCs w:val="20"/>
              </w:rPr>
            </w:pPr>
            <w:r>
              <w:rPr>
                <w:rFonts w:ascii="Times New Roman" w:hAnsi="Times New Roman" w:eastAsia="Times New Roman" w:cs="Times New Roman"/>
                <w:spacing w:val="6"/>
                <w:sz w:val="20"/>
                <w:szCs w:val="20"/>
              </w:rPr>
              <w:t xml:space="preserve">8 </w:t>
            </w:r>
            <w:r>
              <w:rPr>
                <w:rFonts w:ascii="宋体" w:hAnsi="宋体" w:eastAsia="宋体" w:cs="宋体"/>
                <w:spacing w:val="6"/>
                <w:sz w:val="20"/>
                <w:szCs w:val="20"/>
              </w:rPr>
              <w:t>栋，位于</w:t>
            </w:r>
            <w:r>
              <w:rPr>
                <w:rFonts w:ascii="宋体" w:hAnsi="宋体" w:eastAsia="宋体" w:cs="宋体"/>
                <w:spacing w:val="3"/>
                <w:sz w:val="20"/>
                <w:szCs w:val="20"/>
              </w:rPr>
              <w:t xml:space="preserve">厂区东南侧，总建筑面积 </w:t>
            </w:r>
            <w:r>
              <w:rPr>
                <w:rFonts w:ascii="Times New Roman" w:hAnsi="Times New Roman" w:eastAsia="Times New Roman" w:cs="Times New Roman"/>
                <w:spacing w:val="3"/>
                <w:sz w:val="20"/>
                <w:szCs w:val="20"/>
              </w:rPr>
              <w:t>14755</w:t>
            </w:r>
            <w:r>
              <w:rPr>
                <w:rFonts w:ascii="Times New Roman" w:hAnsi="Times New Roman" w:eastAsia="Times New Roman" w:cs="Times New Roman"/>
                <w:sz w:val="20"/>
                <w:szCs w:val="20"/>
              </w:rPr>
              <w:t>m</w:t>
            </w:r>
            <w:r>
              <w:rPr>
                <w:rFonts w:ascii="Times New Roman" w:hAnsi="Times New Roman" w:eastAsia="Times New Roman" w:cs="Times New Roman"/>
                <w:spacing w:val="3"/>
                <w:position w:val="6"/>
                <w:sz w:val="13"/>
                <w:szCs w:val="13"/>
              </w:rPr>
              <w:t xml:space="preserve">2 </w:t>
            </w:r>
            <w:r>
              <w:rPr>
                <w:rFonts w:ascii="宋体" w:hAnsi="宋体" w:eastAsia="宋体" w:cs="宋体"/>
                <w:spacing w:val="3"/>
                <w:sz w:val="20"/>
                <w:szCs w:val="20"/>
              </w:rPr>
              <w:t>，砖混结构，</w:t>
            </w:r>
            <w:r>
              <w:rPr>
                <w:rFonts w:ascii="宋体" w:hAnsi="宋体" w:eastAsia="宋体" w:cs="宋体"/>
                <w:sz w:val="20"/>
                <w:szCs w:val="20"/>
              </w:rPr>
              <w:t xml:space="preserve"> </w:t>
            </w:r>
            <w:r>
              <w:rPr>
                <w:rFonts w:ascii="宋体" w:hAnsi="宋体" w:eastAsia="宋体" w:cs="宋体"/>
                <w:spacing w:val="14"/>
                <w:sz w:val="20"/>
                <w:szCs w:val="20"/>
              </w:rPr>
              <w:t>单层结</w:t>
            </w:r>
            <w:r>
              <w:rPr>
                <w:rFonts w:ascii="宋体" w:hAnsi="宋体" w:eastAsia="宋体" w:cs="宋体"/>
                <w:spacing w:val="7"/>
                <w:sz w:val="20"/>
                <w:szCs w:val="20"/>
              </w:rPr>
              <w:t xml:space="preserve">构，混凝土硬化地坪 。除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 xml:space="preserve">号猪舍面积为 </w:t>
            </w:r>
            <w:r>
              <w:rPr>
                <w:rFonts w:ascii="Times New Roman" w:hAnsi="Times New Roman" w:eastAsia="Times New Roman" w:cs="Times New Roman"/>
                <w:spacing w:val="7"/>
                <w:sz w:val="20"/>
                <w:szCs w:val="20"/>
              </w:rPr>
              <w:t>1407</w:t>
            </w:r>
            <w:r>
              <w:rPr>
                <w:rFonts w:ascii="Times New Roman" w:hAnsi="Times New Roman" w:eastAsia="Times New Roman" w:cs="Times New Roman"/>
                <w:sz w:val="20"/>
                <w:szCs w:val="20"/>
              </w:rPr>
              <w:t>m</w:t>
            </w:r>
            <w:r>
              <w:rPr>
                <w:rFonts w:ascii="Times New Roman" w:hAnsi="Times New Roman" w:eastAsia="Times New Roman" w:cs="Times New Roman"/>
                <w:spacing w:val="7"/>
                <w:position w:val="6"/>
                <w:sz w:val="13"/>
                <w:szCs w:val="13"/>
              </w:rPr>
              <w:t>2</w:t>
            </w:r>
            <w:r>
              <w:rPr>
                <w:rFonts w:ascii="Times New Roman" w:hAnsi="Times New Roman" w:eastAsia="Times New Roman" w:cs="Times New Roman"/>
                <w:position w:val="6"/>
                <w:sz w:val="13"/>
                <w:szCs w:val="13"/>
              </w:rPr>
              <w:t xml:space="preserve"> </w:t>
            </w:r>
            <w:r>
              <w:rPr>
                <w:rFonts w:ascii="宋体" w:hAnsi="宋体" w:eastAsia="宋体" w:cs="宋体"/>
                <w:sz w:val="20"/>
                <w:szCs w:val="20"/>
              </w:rPr>
              <w:tab/>
            </w:r>
            <w:r>
              <w:rPr>
                <w:rFonts w:ascii="宋体" w:hAnsi="宋体" w:eastAsia="宋体" w:cs="宋体"/>
                <w:spacing w:val="-7"/>
                <w:sz w:val="20"/>
                <w:szCs w:val="20"/>
              </w:rPr>
              <w:t xml:space="preserve">( </w:t>
            </w:r>
            <w:r>
              <w:rPr>
                <w:rFonts w:ascii="Times New Roman" w:hAnsi="Times New Roman" w:eastAsia="Times New Roman" w:cs="Times New Roman"/>
                <w:spacing w:val="-7"/>
                <w:sz w:val="20"/>
                <w:szCs w:val="20"/>
              </w:rPr>
              <w:t>67m×21</w:t>
            </w:r>
            <w:r>
              <w:rPr>
                <w:rFonts w:ascii="Times New Roman" w:hAnsi="Times New Roman" w:eastAsia="Times New Roman" w:cs="Times New Roman"/>
                <w:spacing w:val="-6"/>
                <w:sz w:val="20"/>
                <w:szCs w:val="20"/>
              </w:rPr>
              <w:t>m</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 xml:space="preserve">) 外 ，  其 余 </w:t>
            </w:r>
            <w:r>
              <w:rPr>
                <w:rFonts w:ascii="Times New Roman" w:hAnsi="Times New Roman" w:eastAsia="Times New Roman" w:cs="Times New Roman"/>
                <w:spacing w:val="-7"/>
                <w:sz w:val="20"/>
                <w:szCs w:val="20"/>
              </w:rPr>
              <w:t xml:space="preserve">7  </w:t>
            </w:r>
            <w:r>
              <w:rPr>
                <w:rFonts w:ascii="宋体" w:hAnsi="宋体" w:eastAsia="宋体" w:cs="宋体"/>
                <w:spacing w:val="-7"/>
                <w:sz w:val="20"/>
                <w:szCs w:val="20"/>
              </w:rPr>
              <w:t xml:space="preserve">间 猪 舍 面 积 均 为 </w:t>
            </w:r>
            <w:r>
              <w:rPr>
                <w:rFonts w:ascii="Times New Roman" w:hAnsi="Times New Roman" w:eastAsia="Times New Roman" w:cs="Times New Roman"/>
                <w:spacing w:val="-7"/>
                <w:sz w:val="20"/>
                <w:szCs w:val="20"/>
              </w:rPr>
              <w:t>1470</w:t>
            </w:r>
            <w:r>
              <w:rPr>
                <w:rFonts w:ascii="Times New Roman" w:hAnsi="Times New Roman" w:eastAsia="Times New Roman" w:cs="Times New Roman"/>
                <w:sz w:val="20"/>
                <w:szCs w:val="20"/>
              </w:rPr>
              <w:t>m</w:t>
            </w:r>
            <w:r>
              <w:rPr>
                <w:rFonts w:ascii="Times New Roman" w:hAnsi="Times New Roman" w:eastAsia="Times New Roman" w:cs="Times New Roman"/>
                <w:spacing w:val="-7"/>
                <w:position w:val="6"/>
                <w:sz w:val="13"/>
                <w:szCs w:val="13"/>
              </w:rPr>
              <w:t>2</w:t>
            </w:r>
            <w:r>
              <w:rPr>
                <w:rFonts w:ascii="Times New Roman" w:hAnsi="Times New Roman" w:eastAsia="Times New Roman" w:cs="Times New Roman"/>
                <w:position w:val="6"/>
                <w:sz w:val="13"/>
                <w:szCs w:val="13"/>
              </w:rPr>
              <w:t xml:space="preserve"> </w:t>
            </w:r>
            <w:r>
              <w:rPr>
                <w:rFonts w:ascii="宋体" w:hAnsi="宋体" w:eastAsia="宋体" w:cs="宋体"/>
                <w:sz w:val="20"/>
                <w:szCs w:val="20"/>
              </w:rPr>
              <w:tab/>
            </w:r>
            <w:r>
              <w:rPr>
                <w:rFonts w:ascii="宋体" w:hAnsi="宋体" w:eastAsia="宋体" w:cs="宋体"/>
                <w:spacing w:val="9"/>
                <w:sz w:val="20"/>
                <w:szCs w:val="20"/>
              </w:rPr>
              <w:t>(</w:t>
            </w:r>
            <w:r>
              <w:rPr>
                <w:rFonts w:ascii="Times New Roman" w:hAnsi="Times New Roman" w:eastAsia="Times New Roman" w:cs="Times New Roman"/>
                <w:spacing w:val="5"/>
                <w:sz w:val="20"/>
                <w:szCs w:val="20"/>
              </w:rPr>
              <w:t>70</w:t>
            </w:r>
            <w:r>
              <w:rPr>
                <w:rFonts w:ascii="Times New Roman" w:hAnsi="Times New Roman" w:eastAsia="Times New Roman" w:cs="Times New Roman"/>
                <w:sz w:val="20"/>
                <w:szCs w:val="20"/>
              </w:rPr>
              <w:t>m</w:t>
            </w:r>
            <w:r>
              <w:rPr>
                <w:rFonts w:ascii="Times New Roman" w:hAnsi="Times New Roman" w:eastAsia="Times New Roman" w:cs="Times New Roman"/>
                <w:spacing w:val="5"/>
                <w:sz w:val="20"/>
                <w:szCs w:val="20"/>
              </w:rPr>
              <w:t>×21</w:t>
            </w:r>
            <w:r>
              <w:rPr>
                <w:rFonts w:ascii="Times New Roman" w:hAnsi="Times New Roman" w:eastAsia="Times New Roman" w:cs="Times New Roman"/>
                <w:sz w:val="20"/>
                <w:szCs w:val="20"/>
              </w:rPr>
              <w:t>m</w:t>
            </w:r>
            <w:r>
              <w:rPr>
                <w:rFonts w:ascii="宋体" w:hAnsi="宋体" w:eastAsia="宋体" w:cs="宋体"/>
                <w:spacing w:val="5"/>
                <w:sz w:val="20"/>
                <w:szCs w:val="20"/>
              </w:rPr>
              <w:t xml:space="preserve">) 。每个猪舍设置栏位 </w:t>
            </w:r>
            <w:r>
              <w:rPr>
                <w:rFonts w:ascii="Times New Roman" w:hAnsi="Times New Roman" w:eastAsia="Times New Roman" w:cs="Times New Roman"/>
                <w:spacing w:val="5"/>
                <w:sz w:val="20"/>
                <w:szCs w:val="20"/>
              </w:rPr>
              <w:t xml:space="preserve">22 </w:t>
            </w:r>
            <w:r>
              <w:rPr>
                <w:rFonts w:ascii="宋体" w:hAnsi="宋体" w:eastAsia="宋体" w:cs="宋体"/>
                <w:spacing w:val="5"/>
                <w:sz w:val="20"/>
                <w:szCs w:val="20"/>
              </w:rPr>
              <w:t xml:space="preserve">个，可养殖 </w:t>
            </w:r>
            <w:r>
              <w:rPr>
                <w:rFonts w:ascii="Times New Roman" w:hAnsi="Times New Roman" w:eastAsia="Times New Roman" w:cs="Times New Roman"/>
                <w:spacing w:val="5"/>
                <w:sz w:val="20"/>
                <w:szCs w:val="20"/>
              </w:rPr>
              <w:t xml:space="preserve">1300 </w:t>
            </w:r>
            <w:r>
              <w:rPr>
                <w:rFonts w:ascii="宋体" w:hAnsi="宋体" w:eastAsia="宋体" w:cs="宋体"/>
                <w:spacing w:val="5"/>
                <w:sz w:val="20"/>
                <w:szCs w:val="20"/>
              </w:rPr>
              <w:t>只</w:t>
            </w:r>
            <w:r>
              <w:rPr>
                <w:rFonts w:ascii="宋体" w:hAnsi="宋体" w:eastAsia="宋体" w:cs="宋体"/>
                <w:sz w:val="20"/>
                <w:szCs w:val="20"/>
              </w:rPr>
              <w:t xml:space="preserve"> 猪</w:t>
            </w:r>
          </w:p>
        </w:tc>
        <w:tc>
          <w:tcPr>
            <w:tcW w:w="887" w:type="dxa"/>
            <w:vMerge w:val="restart"/>
            <w:tcBorders>
              <w:left w:val="single" w:color="000000" w:sz="4" w:space="0"/>
              <w:bottom w:val="nil"/>
              <w:right w:val="single" w:color="000000" w:sz="4" w:space="0"/>
            </w:tcBorders>
          </w:tcPr>
          <w:p w14:paraId="6932AF79">
            <w:pPr>
              <w:spacing w:line="248" w:lineRule="auto"/>
            </w:pPr>
          </w:p>
          <w:p w14:paraId="5882A473">
            <w:pPr>
              <w:spacing w:line="248" w:lineRule="auto"/>
            </w:pPr>
          </w:p>
          <w:p w14:paraId="26EBB468">
            <w:pPr>
              <w:spacing w:line="249" w:lineRule="auto"/>
            </w:pPr>
          </w:p>
          <w:p w14:paraId="3B74D173">
            <w:pPr>
              <w:spacing w:line="249" w:lineRule="auto"/>
            </w:pPr>
          </w:p>
          <w:p w14:paraId="0B93F030">
            <w:pPr>
              <w:spacing w:line="249" w:lineRule="auto"/>
            </w:pPr>
          </w:p>
          <w:p w14:paraId="457218E2">
            <w:pPr>
              <w:spacing w:line="249" w:lineRule="auto"/>
            </w:pPr>
          </w:p>
          <w:p w14:paraId="45317FD3">
            <w:pPr>
              <w:spacing w:line="249" w:lineRule="auto"/>
            </w:pPr>
          </w:p>
          <w:p w14:paraId="1701A6CF">
            <w:pPr>
              <w:spacing w:line="249" w:lineRule="auto"/>
            </w:pPr>
          </w:p>
          <w:p w14:paraId="35690EEB">
            <w:pPr>
              <w:spacing w:line="249" w:lineRule="auto"/>
            </w:pPr>
          </w:p>
          <w:p w14:paraId="1A6E1E4C">
            <w:pPr>
              <w:spacing w:line="249" w:lineRule="auto"/>
            </w:pPr>
          </w:p>
          <w:p w14:paraId="0D8D03AF">
            <w:pPr>
              <w:spacing w:line="249" w:lineRule="auto"/>
            </w:pPr>
          </w:p>
          <w:p w14:paraId="75D2FB48">
            <w:pPr>
              <w:spacing w:line="249" w:lineRule="auto"/>
            </w:pPr>
          </w:p>
          <w:p w14:paraId="39FEE787">
            <w:pPr>
              <w:spacing w:line="249" w:lineRule="auto"/>
            </w:pPr>
          </w:p>
          <w:p w14:paraId="0304EEF4">
            <w:pPr>
              <w:spacing w:line="249" w:lineRule="auto"/>
            </w:pPr>
          </w:p>
          <w:p w14:paraId="6F4FB000">
            <w:pPr>
              <w:spacing w:line="249" w:lineRule="auto"/>
            </w:pPr>
          </w:p>
          <w:p w14:paraId="5F1FD408">
            <w:pPr>
              <w:spacing w:line="249" w:lineRule="auto"/>
            </w:pPr>
          </w:p>
          <w:p w14:paraId="63161431">
            <w:pPr>
              <w:spacing w:line="249" w:lineRule="auto"/>
            </w:pPr>
          </w:p>
          <w:p w14:paraId="61117B1C">
            <w:pPr>
              <w:spacing w:line="249" w:lineRule="auto"/>
            </w:pPr>
          </w:p>
          <w:p w14:paraId="76ACBCCE">
            <w:pPr>
              <w:spacing w:before="65" w:line="230" w:lineRule="auto"/>
              <w:ind w:left="131"/>
              <w:rPr>
                <w:rFonts w:ascii="宋体" w:hAnsi="宋体" w:eastAsia="宋体" w:cs="宋体"/>
                <w:sz w:val="20"/>
                <w:szCs w:val="20"/>
              </w:rPr>
            </w:pPr>
            <w:r>
              <w:rPr>
                <w:rFonts w:ascii="宋体" w:hAnsi="宋体" w:eastAsia="宋体" w:cs="宋体"/>
                <w:spacing w:val="7"/>
                <w:sz w:val="20"/>
                <w:szCs w:val="20"/>
              </w:rPr>
              <w:t>施工扬</w:t>
            </w:r>
          </w:p>
          <w:p w14:paraId="5BD430A8">
            <w:pPr>
              <w:spacing w:before="24" w:line="234" w:lineRule="auto"/>
              <w:ind w:left="133"/>
              <w:rPr>
                <w:rFonts w:ascii="宋体" w:hAnsi="宋体" w:eastAsia="宋体" w:cs="宋体"/>
                <w:sz w:val="20"/>
                <w:szCs w:val="20"/>
              </w:rPr>
            </w:pPr>
            <w:r>
              <w:rPr>
                <w:rFonts w:ascii="宋体" w:hAnsi="宋体" w:eastAsia="宋体" w:cs="宋体"/>
                <w:spacing w:val="7"/>
                <w:sz w:val="20"/>
                <w:szCs w:val="20"/>
              </w:rPr>
              <w:t>尘</w:t>
            </w:r>
            <w:r>
              <w:rPr>
                <w:rFonts w:ascii="宋体" w:hAnsi="宋体" w:eastAsia="宋体" w:cs="宋体"/>
                <w:spacing w:val="6"/>
                <w:sz w:val="20"/>
                <w:szCs w:val="20"/>
              </w:rPr>
              <w:t>、施</w:t>
            </w:r>
          </w:p>
          <w:p w14:paraId="765B86C1">
            <w:pPr>
              <w:spacing w:before="17" w:line="229" w:lineRule="auto"/>
              <w:ind w:left="237"/>
              <w:rPr>
                <w:rFonts w:ascii="宋体" w:hAnsi="宋体" w:eastAsia="宋体" w:cs="宋体"/>
                <w:sz w:val="20"/>
                <w:szCs w:val="20"/>
              </w:rPr>
            </w:pPr>
            <w:r>
              <w:rPr>
                <w:rFonts w:ascii="宋体" w:hAnsi="宋体" w:eastAsia="宋体" w:cs="宋体"/>
                <w:spacing w:val="4"/>
                <w:sz w:val="20"/>
                <w:szCs w:val="20"/>
              </w:rPr>
              <w:t>工</w:t>
            </w:r>
            <w:r>
              <w:rPr>
                <w:rFonts w:ascii="宋体" w:hAnsi="宋体" w:eastAsia="宋体" w:cs="宋体"/>
                <w:spacing w:val="3"/>
                <w:sz w:val="20"/>
                <w:szCs w:val="20"/>
              </w:rPr>
              <w:t>噪</w:t>
            </w:r>
          </w:p>
          <w:p w14:paraId="304D7F45">
            <w:pPr>
              <w:spacing w:before="25" w:line="228" w:lineRule="auto"/>
              <w:ind w:left="136"/>
              <w:rPr>
                <w:rFonts w:ascii="宋体" w:hAnsi="宋体" w:eastAsia="宋体" w:cs="宋体"/>
                <w:sz w:val="20"/>
                <w:szCs w:val="20"/>
              </w:rPr>
            </w:pPr>
            <w:r>
              <w:rPr>
                <w:rFonts w:ascii="宋体" w:hAnsi="宋体" w:eastAsia="宋体" w:cs="宋体"/>
                <w:spacing w:val="6"/>
                <w:sz w:val="20"/>
                <w:szCs w:val="20"/>
              </w:rPr>
              <w:t>声</w:t>
            </w:r>
            <w:r>
              <w:rPr>
                <w:rFonts w:ascii="宋体" w:hAnsi="宋体" w:eastAsia="宋体" w:cs="宋体"/>
                <w:spacing w:val="5"/>
                <w:sz w:val="20"/>
                <w:szCs w:val="20"/>
              </w:rPr>
              <w:t>、施</w:t>
            </w:r>
          </w:p>
          <w:p w14:paraId="281835F0">
            <w:pPr>
              <w:spacing w:before="24" w:line="228" w:lineRule="auto"/>
              <w:ind w:left="237"/>
              <w:rPr>
                <w:rFonts w:ascii="宋体" w:hAnsi="宋体" w:eastAsia="宋体" w:cs="宋体"/>
                <w:sz w:val="20"/>
                <w:szCs w:val="20"/>
              </w:rPr>
            </w:pPr>
            <w:r>
              <w:rPr>
                <w:rFonts w:ascii="宋体" w:hAnsi="宋体" w:eastAsia="宋体" w:cs="宋体"/>
                <w:spacing w:val="4"/>
                <w:sz w:val="20"/>
                <w:szCs w:val="20"/>
              </w:rPr>
              <w:t>工</w:t>
            </w:r>
            <w:r>
              <w:rPr>
                <w:rFonts w:ascii="宋体" w:hAnsi="宋体" w:eastAsia="宋体" w:cs="宋体"/>
                <w:spacing w:val="3"/>
                <w:sz w:val="20"/>
                <w:szCs w:val="20"/>
              </w:rPr>
              <w:t>废</w:t>
            </w:r>
          </w:p>
          <w:p w14:paraId="43D9F0AF">
            <w:pPr>
              <w:spacing w:before="26" w:line="228" w:lineRule="auto"/>
              <w:ind w:left="134"/>
              <w:rPr>
                <w:rFonts w:ascii="宋体" w:hAnsi="宋体" w:eastAsia="宋体" w:cs="宋体"/>
                <w:sz w:val="20"/>
                <w:szCs w:val="20"/>
              </w:rPr>
            </w:pPr>
            <w:r>
              <w:rPr>
                <w:rFonts w:ascii="宋体" w:hAnsi="宋体" w:eastAsia="宋体" w:cs="宋体"/>
                <w:spacing w:val="6"/>
                <w:sz w:val="20"/>
                <w:szCs w:val="20"/>
              </w:rPr>
              <w:t>水、施</w:t>
            </w:r>
          </w:p>
          <w:p w14:paraId="1AF341C4">
            <w:pPr>
              <w:spacing w:before="25" w:line="228" w:lineRule="auto"/>
              <w:ind w:left="237"/>
              <w:rPr>
                <w:rFonts w:ascii="宋体" w:hAnsi="宋体" w:eastAsia="宋体" w:cs="宋体"/>
                <w:sz w:val="20"/>
                <w:szCs w:val="20"/>
              </w:rPr>
            </w:pPr>
            <w:r>
              <w:rPr>
                <w:rFonts w:ascii="宋体" w:hAnsi="宋体" w:eastAsia="宋体" w:cs="宋体"/>
                <w:spacing w:val="4"/>
                <w:sz w:val="20"/>
                <w:szCs w:val="20"/>
              </w:rPr>
              <w:t>工</w:t>
            </w:r>
            <w:r>
              <w:rPr>
                <w:rFonts w:ascii="宋体" w:hAnsi="宋体" w:eastAsia="宋体" w:cs="宋体"/>
                <w:spacing w:val="3"/>
                <w:sz w:val="20"/>
                <w:szCs w:val="20"/>
              </w:rPr>
              <w:t>固</w:t>
            </w:r>
          </w:p>
          <w:p w14:paraId="012ECE07">
            <w:pPr>
              <w:spacing w:before="26" w:line="228" w:lineRule="auto"/>
              <w:ind w:left="131"/>
              <w:rPr>
                <w:rFonts w:ascii="宋体" w:hAnsi="宋体" w:eastAsia="宋体" w:cs="宋体"/>
                <w:sz w:val="20"/>
                <w:szCs w:val="20"/>
              </w:rPr>
            </w:pPr>
            <w:r>
              <w:rPr>
                <w:rFonts w:ascii="宋体" w:hAnsi="宋体" w:eastAsia="宋体" w:cs="宋体"/>
                <w:spacing w:val="9"/>
                <w:sz w:val="20"/>
                <w:szCs w:val="20"/>
              </w:rPr>
              <w:t>废</w:t>
            </w:r>
            <w:r>
              <w:rPr>
                <w:rFonts w:ascii="宋体" w:hAnsi="宋体" w:eastAsia="宋体" w:cs="宋体"/>
                <w:spacing w:val="7"/>
                <w:sz w:val="20"/>
                <w:szCs w:val="20"/>
              </w:rPr>
              <w:t>、水</w:t>
            </w:r>
          </w:p>
          <w:p w14:paraId="7BA2A381">
            <w:pPr>
              <w:spacing w:before="24" w:line="231" w:lineRule="auto"/>
              <w:ind w:left="235"/>
              <w:rPr>
                <w:rFonts w:ascii="宋体" w:hAnsi="宋体" w:eastAsia="宋体" w:cs="宋体"/>
                <w:sz w:val="20"/>
                <w:szCs w:val="20"/>
              </w:rPr>
            </w:pPr>
            <w:r>
              <w:rPr>
                <w:rFonts w:ascii="宋体" w:hAnsi="宋体" w:eastAsia="宋体" w:cs="宋体"/>
                <w:spacing w:val="4"/>
                <w:sz w:val="20"/>
                <w:szCs w:val="20"/>
              </w:rPr>
              <w:t>土流</w:t>
            </w:r>
          </w:p>
          <w:p w14:paraId="29677836">
            <w:pPr>
              <w:spacing w:before="24" w:line="229" w:lineRule="auto"/>
              <w:ind w:left="136"/>
              <w:rPr>
                <w:rFonts w:ascii="宋体" w:hAnsi="宋体" w:eastAsia="宋体" w:cs="宋体"/>
                <w:sz w:val="20"/>
                <w:szCs w:val="20"/>
              </w:rPr>
            </w:pPr>
            <w:r>
              <w:rPr>
                <w:rFonts w:ascii="宋体" w:hAnsi="宋体" w:eastAsia="宋体" w:cs="宋体"/>
                <w:spacing w:val="5"/>
                <w:sz w:val="20"/>
                <w:szCs w:val="20"/>
              </w:rPr>
              <w:t>失、植</w:t>
            </w:r>
          </w:p>
          <w:p w14:paraId="017B87A9">
            <w:pPr>
              <w:spacing w:before="22" w:line="228" w:lineRule="auto"/>
              <w:ind w:left="131"/>
              <w:rPr>
                <w:rFonts w:ascii="宋体" w:hAnsi="宋体" w:eastAsia="宋体" w:cs="宋体"/>
                <w:sz w:val="20"/>
                <w:szCs w:val="20"/>
              </w:rPr>
            </w:pPr>
            <w:r>
              <w:rPr>
                <w:rFonts w:ascii="宋体" w:hAnsi="宋体" w:eastAsia="宋体" w:cs="宋体"/>
                <w:spacing w:val="7"/>
                <w:sz w:val="20"/>
                <w:szCs w:val="20"/>
              </w:rPr>
              <w:t>被破</w:t>
            </w:r>
            <w:r>
              <w:rPr>
                <w:rFonts w:ascii="宋体" w:hAnsi="宋体" w:eastAsia="宋体" w:cs="宋体"/>
                <w:spacing w:val="6"/>
                <w:sz w:val="20"/>
                <w:szCs w:val="20"/>
              </w:rPr>
              <w:t>坏</w:t>
            </w:r>
          </w:p>
        </w:tc>
        <w:tc>
          <w:tcPr>
            <w:tcW w:w="1262" w:type="dxa"/>
            <w:tcBorders>
              <w:left w:val="single" w:color="000000" w:sz="4" w:space="0"/>
              <w:right w:val="nil"/>
            </w:tcBorders>
          </w:tcPr>
          <w:p w14:paraId="7B102247"/>
          <w:p w14:paraId="34FFED5D">
            <w:pPr>
              <w:spacing w:before="65" w:line="251" w:lineRule="auto"/>
              <w:ind w:left="113" w:right="139" w:firstLine="101"/>
              <w:rPr>
                <w:rFonts w:ascii="宋体" w:hAnsi="宋体" w:eastAsia="宋体" w:cs="宋体"/>
                <w:sz w:val="20"/>
                <w:szCs w:val="20"/>
              </w:rPr>
            </w:pPr>
            <w:r>
              <w:rPr>
                <w:rFonts w:ascii="宋体" w:hAnsi="宋体" w:eastAsia="宋体" w:cs="宋体"/>
                <w:spacing w:val="7"/>
                <w:sz w:val="20"/>
                <w:szCs w:val="20"/>
              </w:rPr>
              <w:t>恶臭、废</w:t>
            </w:r>
            <w:r>
              <w:rPr>
                <w:rFonts w:ascii="宋体" w:hAnsi="宋体" w:eastAsia="宋体" w:cs="宋体"/>
                <w:sz w:val="20"/>
                <w:szCs w:val="20"/>
              </w:rPr>
              <w:t xml:space="preserve"> </w:t>
            </w:r>
            <w:r>
              <w:rPr>
                <w:rFonts w:ascii="宋体" w:hAnsi="宋体" w:eastAsia="宋体" w:cs="宋体"/>
                <w:spacing w:val="1"/>
                <w:sz w:val="20"/>
                <w:szCs w:val="20"/>
              </w:rPr>
              <w:t>水、固</w:t>
            </w:r>
            <w:r>
              <w:rPr>
                <w:rFonts w:ascii="宋体" w:hAnsi="宋体" w:eastAsia="宋体" w:cs="宋体"/>
                <w:sz w:val="20"/>
                <w:szCs w:val="20"/>
              </w:rPr>
              <w:t>废、</w:t>
            </w:r>
          </w:p>
          <w:p w14:paraId="5941D9A2">
            <w:pPr>
              <w:spacing w:line="228" w:lineRule="auto"/>
              <w:ind w:left="433"/>
              <w:rPr>
                <w:rFonts w:ascii="宋体" w:hAnsi="宋体" w:eastAsia="宋体" w:cs="宋体"/>
                <w:sz w:val="20"/>
                <w:szCs w:val="20"/>
              </w:rPr>
            </w:pPr>
            <w:r>
              <w:rPr>
                <w:rFonts w:ascii="宋体" w:hAnsi="宋体" w:eastAsia="宋体" w:cs="宋体"/>
                <w:spacing w:val="-1"/>
                <w:sz w:val="20"/>
                <w:szCs w:val="20"/>
              </w:rPr>
              <w:t>噪</w:t>
            </w:r>
            <w:r>
              <w:rPr>
                <w:rFonts w:ascii="宋体" w:hAnsi="宋体" w:eastAsia="宋体" w:cs="宋体"/>
                <w:sz w:val="20"/>
                <w:szCs w:val="20"/>
              </w:rPr>
              <w:t>声</w:t>
            </w:r>
          </w:p>
        </w:tc>
      </w:tr>
      <w:tr w14:paraId="2F021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58" w:type="dxa"/>
            <w:vMerge w:val="restart"/>
            <w:tcBorders>
              <w:left w:val="nil"/>
              <w:bottom w:val="nil"/>
              <w:right w:val="single" w:color="000000" w:sz="4" w:space="0"/>
            </w:tcBorders>
          </w:tcPr>
          <w:p w14:paraId="133DF99F">
            <w:pPr>
              <w:spacing w:line="248" w:lineRule="auto"/>
            </w:pPr>
          </w:p>
          <w:p w14:paraId="4B9E1065">
            <w:pPr>
              <w:spacing w:line="248" w:lineRule="auto"/>
            </w:pPr>
          </w:p>
          <w:p w14:paraId="09E7BF0C">
            <w:pPr>
              <w:spacing w:line="248" w:lineRule="auto"/>
            </w:pPr>
          </w:p>
          <w:p w14:paraId="1A98E65C">
            <w:pPr>
              <w:spacing w:line="248" w:lineRule="auto"/>
            </w:pPr>
          </w:p>
          <w:p w14:paraId="76CA1755">
            <w:pPr>
              <w:spacing w:line="249" w:lineRule="auto"/>
            </w:pPr>
          </w:p>
          <w:p w14:paraId="41EE15C2">
            <w:pPr>
              <w:spacing w:line="249" w:lineRule="auto"/>
            </w:pPr>
          </w:p>
          <w:p w14:paraId="65C5934F">
            <w:pPr>
              <w:spacing w:before="65" w:line="274" w:lineRule="exact"/>
              <w:ind w:left="179"/>
              <w:rPr>
                <w:rFonts w:ascii="宋体" w:hAnsi="宋体" w:eastAsia="宋体" w:cs="宋体"/>
                <w:sz w:val="20"/>
                <w:szCs w:val="20"/>
              </w:rPr>
            </w:pPr>
            <w:r>
              <w:rPr>
                <w:rFonts w:ascii="宋体" w:hAnsi="宋体" w:eastAsia="宋体" w:cs="宋体"/>
                <w:spacing w:val="4"/>
                <w:position w:val="4"/>
                <w:sz w:val="20"/>
                <w:szCs w:val="20"/>
              </w:rPr>
              <w:t>辅</w:t>
            </w:r>
            <w:r>
              <w:rPr>
                <w:rFonts w:ascii="宋体" w:hAnsi="宋体" w:eastAsia="宋体" w:cs="宋体"/>
                <w:spacing w:val="3"/>
                <w:position w:val="4"/>
                <w:sz w:val="20"/>
                <w:szCs w:val="20"/>
              </w:rPr>
              <w:t>助</w:t>
            </w:r>
          </w:p>
          <w:p w14:paraId="67B123C0">
            <w:pPr>
              <w:spacing w:line="228" w:lineRule="auto"/>
              <w:ind w:left="180"/>
              <w:rPr>
                <w:rFonts w:ascii="宋体" w:hAnsi="宋体" w:eastAsia="宋体" w:cs="宋体"/>
                <w:sz w:val="20"/>
                <w:szCs w:val="20"/>
              </w:rPr>
            </w:pPr>
            <w:r>
              <w:rPr>
                <w:rFonts w:ascii="宋体" w:hAnsi="宋体" w:eastAsia="宋体" w:cs="宋体"/>
                <w:spacing w:val="4"/>
                <w:sz w:val="20"/>
                <w:szCs w:val="20"/>
              </w:rPr>
              <w:t>工</w:t>
            </w:r>
            <w:r>
              <w:rPr>
                <w:rFonts w:ascii="宋体" w:hAnsi="宋体" w:eastAsia="宋体" w:cs="宋体"/>
                <w:spacing w:val="3"/>
                <w:sz w:val="20"/>
                <w:szCs w:val="20"/>
              </w:rPr>
              <w:t>程</w:t>
            </w:r>
          </w:p>
        </w:tc>
        <w:tc>
          <w:tcPr>
            <w:tcW w:w="1378" w:type="dxa"/>
            <w:gridSpan w:val="2"/>
            <w:tcBorders>
              <w:left w:val="single" w:color="000000" w:sz="4" w:space="0"/>
              <w:right w:val="single" w:color="000000" w:sz="4" w:space="0"/>
            </w:tcBorders>
          </w:tcPr>
          <w:p w14:paraId="11B565BA">
            <w:pPr>
              <w:spacing w:line="241" w:lineRule="auto"/>
            </w:pPr>
          </w:p>
          <w:p w14:paraId="770C5667">
            <w:pPr>
              <w:spacing w:before="65" w:line="228" w:lineRule="auto"/>
              <w:ind w:left="389"/>
              <w:rPr>
                <w:rFonts w:ascii="宋体" w:hAnsi="宋体" w:eastAsia="宋体" w:cs="宋体"/>
                <w:sz w:val="20"/>
                <w:szCs w:val="20"/>
              </w:rPr>
            </w:pPr>
            <w:r>
              <w:rPr>
                <w:rFonts w:ascii="宋体" w:hAnsi="宋体" w:eastAsia="宋体" w:cs="宋体"/>
                <w:spacing w:val="3"/>
                <w:sz w:val="20"/>
                <w:szCs w:val="20"/>
              </w:rPr>
              <w:t>隔离</w:t>
            </w:r>
            <w:r>
              <w:rPr>
                <w:rFonts w:ascii="宋体" w:hAnsi="宋体" w:eastAsia="宋体" w:cs="宋体"/>
                <w:spacing w:val="2"/>
                <w:sz w:val="20"/>
                <w:szCs w:val="20"/>
              </w:rPr>
              <w:t>区</w:t>
            </w:r>
          </w:p>
        </w:tc>
        <w:tc>
          <w:tcPr>
            <w:tcW w:w="5525" w:type="dxa"/>
            <w:tcBorders>
              <w:left w:val="single" w:color="000000" w:sz="4" w:space="0"/>
              <w:right w:val="single" w:color="000000" w:sz="4" w:space="0"/>
            </w:tcBorders>
          </w:tcPr>
          <w:p w14:paraId="2F5B9259">
            <w:pPr>
              <w:spacing w:before="36" w:line="243" w:lineRule="auto"/>
              <w:ind w:left="109" w:right="101" w:firstLine="17"/>
              <w:rPr>
                <w:rFonts w:ascii="宋体" w:hAnsi="宋体" w:eastAsia="宋体" w:cs="宋体"/>
                <w:sz w:val="20"/>
                <w:szCs w:val="20"/>
              </w:rPr>
            </w:pP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栋，单层砖混结构，</w:t>
            </w:r>
            <w:r>
              <w:rPr>
                <w:rFonts w:ascii="宋体" w:hAnsi="宋体" w:eastAsia="宋体" w:cs="宋体"/>
                <w:spacing w:val="3"/>
                <w:sz w:val="20"/>
                <w:szCs w:val="20"/>
              </w:rPr>
              <w:t>占</w:t>
            </w:r>
            <w:r>
              <w:rPr>
                <w:rFonts w:ascii="宋体" w:hAnsi="宋体" w:eastAsia="宋体" w:cs="宋体"/>
                <w:spacing w:val="2"/>
                <w:sz w:val="20"/>
                <w:szCs w:val="20"/>
              </w:rPr>
              <w:t xml:space="preserve">地面积 </w:t>
            </w:r>
            <w:r>
              <w:rPr>
                <w:rFonts w:ascii="Times New Roman" w:hAnsi="Times New Roman" w:eastAsia="Times New Roman" w:cs="Times New Roman"/>
                <w:spacing w:val="2"/>
                <w:sz w:val="20"/>
                <w:szCs w:val="20"/>
              </w:rPr>
              <w:t>675</w:t>
            </w:r>
            <w:r>
              <w:rPr>
                <w:rFonts w:ascii="Times New Roman" w:hAnsi="Times New Roman" w:eastAsia="Times New Roman" w:cs="Times New Roman"/>
                <w:sz w:val="20"/>
                <w:szCs w:val="20"/>
              </w:rPr>
              <w:t>m</w:t>
            </w:r>
            <w:r>
              <w:rPr>
                <w:rFonts w:ascii="Times New Roman" w:hAnsi="Times New Roman" w:eastAsia="Times New Roman" w:cs="Times New Roman"/>
                <w:spacing w:val="2"/>
                <w:position w:val="6"/>
                <w:sz w:val="13"/>
                <w:szCs w:val="13"/>
              </w:rPr>
              <w:t xml:space="preserve">2 </w:t>
            </w:r>
            <w:r>
              <w:rPr>
                <w:rFonts w:ascii="宋体" w:hAnsi="宋体" w:eastAsia="宋体" w:cs="宋体"/>
                <w:spacing w:val="2"/>
                <w:sz w:val="20"/>
                <w:szCs w:val="20"/>
              </w:rPr>
              <w:t>，位于厂区西侧，靠</w:t>
            </w:r>
            <w:r>
              <w:rPr>
                <w:rFonts w:ascii="宋体" w:hAnsi="宋体" w:eastAsia="宋体" w:cs="宋体"/>
                <w:sz w:val="20"/>
                <w:szCs w:val="20"/>
              </w:rPr>
              <w:t xml:space="preserve"> </w:t>
            </w:r>
            <w:r>
              <w:rPr>
                <w:rFonts w:ascii="宋体" w:hAnsi="宋体" w:eastAsia="宋体" w:cs="宋体"/>
                <w:spacing w:val="13"/>
                <w:sz w:val="20"/>
                <w:szCs w:val="20"/>
              </w:rPr>
              <w:t>近</w:t>
            </w:r>
            <w:r>
              <w:rPr>
                <w:rFonts w:ascii="宋体" w:hAnsi="宋体" w:eastAsia="宋体" w:cs="宋体"/>
                <w:spacing w:val="12"/>
                <w:sz w:val="20"/>
                <w:szCs w:val="20"/>
              </w:rPr>
              <w:t>厂区侧门，主要用于患病猪只的隔离饲养、治疗，防止</w:t>
            </w:r>
            <w:r>
              <w:rPr>
                <w:rFonts w:ascii="宋体" w:hAnsi="宋体" w:eastAsia="宋体" w:cs="宋体"/>
                <w:sz w:val="20"/>
                <w:szCs w:val="20"/>
              </w:rPr>
              <w:t xml:space="preserve"> </w:t>
            </w:r>
            <w:r>
              <w:rPr>
                <w:rFonts w:ascii="宋体" w:hAnsi="宋体" w:eastAsia="宋体" w:cs="宋体"/>
                <w:spacing w:val="10"/>
                <w:sz w:val="20"/>
                <w:szCs w:val="20"/>
              </w:rPr>
              <w:t>相</w:t>
            </w:r>
            <w:r>
              <w:rPr>
                <w:rFonts w:ascii="宋体" w:hAnsi="宋体" w:eastAsia="宋体" w:cs="宋体"/>
                <w:spacing w:val="8"/>
                <w:sz w:val="20"/>
                <w:szCs w:val="20"/>
              </w:rPr>
              <w:t>互交叉感染</w:t>
            </w:r>
          </w:p>
        </w:tc>
        <w:tc>
          <w:tcPr>
            <w:tcW w:w="887" w:type="dxa"/>
            <w:vMerge w:val="continue"/>
            <w:tcBorders>
              <w:top w:val="nil"/>
              <w:left w:val="single" w:color="000000" w:sz="4" w:space="0"/>
              <w:bottom w:val="nil"/>
              <w:right w:val="single" w:color="000000" w:sz="4" w:space="0"/>
            </w:tcBorders>
          </w:tcPr>
          <w:p w14:paraId="670A2D95"/>
        </w:tc>
        <w:tc>
          <w:tcPr>
            <w:tcW w:w="1262" w:type="dxa"/>
            <w:tcBorders>
              <w:left w:val="single" w:color="000000" w:sz="4" w:space="0"/>
              <w:right w:val="nil"/>
            </w:tcBorders>
          </w:tcPr>
          <w:p w14:paraId="0C839163">
            <w:pPr>
              <w:spacing w:before="36" w:line="250" w:lineRule="auto"/>
              <w:ind w:left="113" w:right="139" w:firstLine="101"/>
              <w:rPr>
                <w:rFonts w:ascii="宋体" w:hAnsi="宋体" w:eastAsia="宋体" w:cs="宋体"/>
                <w:sz w:val="20"/>
                <w:szCs w:val="20"/>
              </w:rPr>
            </w:pPr>
            <w:r>
              <w:rPr>
                <w:rFonts w:ascii="宋体" w:hAnsi="宋体" w:eastAsia="宋体" w:cs="宋体"/>
                <w:spacing w:val="7"/>
                <w:sz w:val="20"/>
                <w:szCs w:val="20"/>
              </w:rPr>
              <w:t>恶臭、废</w:t>
            </w:r>
            <w:r>
              <w:rPr>
                <w:rFonts w:ascii="宋体" w:hAnsi="宋体" w:eastAsia="宋体" w:cs="宋体"/>
                <w:sz w:val="20"/>
                <w:szCs w:val="20"/>
              </w:rPr>
              <w:t xml:space="preserve"> </w:t>
            </w:r>
            <w:r>
              <w:rPr>
                <w:rFonts w:ascii="宋体" w:hAnsi="宋体" w:eastAsia="宋体" w:cs="宋体"/>
                <w:spacing w:val="1"/>
                <w:sz w:val="20"/>
                <w:szCs w:val="20"/>
              </w:rPr>
              <w:t>水、固</w:t>
            </w:r>
            <w:r>
              <w:rPr>
                <w:rFonts w:ascii="宋体" w:hAnsi="宋体" w:eastAsia="宋体" w:cs="宋体"/>
                <w:sz w:val="20"/>
                <w:szCs w:val="20"/>
              </w:rPr>
              <w:t>废、</w:t>
            </w:r>
          </w:p>
          <w:p w14:paraId="2E6D37CA">
            <w:pPr>
              <w:spacing w:line="228" w:lineRule="auto"/>
              <w:ind w:left="433"/>
              <w:rPr>
                <w:rFonts w:ascii="宋体" w:hAnsi="宋体" w:eastAsia="宋体" w:cs="宋体"/>
                <w:sz w:val="20"/>
                <w:szCs w:val="20"/>
              </w:rPr>
            </w:pPr>
            <w:r>
              <w:rPr>
                <w:rFonts w:ascii="宋体" w:hAnsi="宋体" w:eastAsia="宋体" w:cs="宋体"/>
                <w:spacing w:val="-1"/>
                <w:sz w:val="20"/>
                <w:szCs w:val="20"/>
              </w:rPr>
              <w:t>噪</w:t>
            </w:r>
            <w:r>
              <w:rPr>
                <w:rFonts w:ascii="宋体" w:hAnsi="宋体" w:eastAsia="宋体" w:cs="宋体"/>
                <w:sz w:val="20"/>
                <w:szCs w:val="20"/>
              </w:rPr>
              <w:t>声</w:t>
            </w:r>
          </w:p>
        </w:tc>
      </w:tr>
      <w:tr w14:paraId="6A2BB6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758" w:type="dxa"/>
            <w:vMerge w:val="continue"/>
            <w:tcBorders>
              <w:top w:val="nil"/>
              <w:left w:val="nil"/>
              <w:bottom w:val="nil"/>
              <w:right w:val="single" w:color="000000" w:sz="4" w:space="0"/>
            </w:tcBorders>
          </w:tcPr>
          <w:p w14:paraId="7F082AA0"/>
        </w:tc>
        <w:tc>
          <w:tcPr>
            <w:tcW w:w="1378" w:type="dxa"/>
            <w:gridSpan w:val="2"/>
            <w:tcBorders>
              <w:left w:val="single" w:color="000000" w:sz="4" w:space="0"/>
              <w:right w:val="single" w:color="000000" w:sz="4" w:space="0"/>
            </w:tcBorders>
          </w:tcPr>
          <w:p w14:paraId="77583774">
            <w:pPr>
              <w:spacing w:before="171" w:line="228" w:lineRule="auto"/>
              <w:ind w:left="170"/>
              <w:rPr>
                <w:rFonts w:ascii="宋体" w:hAnsi="宋体" w:eastAsia="宋体" w:cs="宋体"/>
                <w:sz w:val="20"/>
                <w:szCs w:val="20"/>
              </w:rPr>
            </w:pPr>
            <w:r>
              <w:rPr>
                <w:rFonts w:ascii="宋体" w:hAnsi="宋体" w:eastAsia="宋体" w:cs="宋体"/>
                <w:spacing w:val="8"/>
                <w:sz w:val="20"/>
                <w:szCs w:val="20"/>
              </w:rPr>
              <w:t>消</w:t>
            </w:r>
            <w:r>
              <w:rPr>
                <w:rFonts w:ascii="宋体" w:hAnsi="宋体" w:eastAsia="宋体" w:cs="宋体"/>
                <w:spacing w:val="7"/>
                <w:sz w:val="20"/>
                <w:szCs w:val="20"/>
              </w:rPr>
              <w:t>毒更衣室</w:t>
            </w:r>
          </w:p>
        </w:tc>
        <w:tc>
          <w:tcPr>
            <w:tcW w:w="5525" w:type="dxa"/>
            <w:tcBorders>
              <w:left w:val="single" w:color="000000" w:sz="4" w:space="0"/>
              <w:right w:val="single" w:color="000000" w:sz="4" w:space="0"/>
            </w:tcBorders>
          </w:tcPr>
          <w:p w14:paraId="0E545CBF">
            <w:pPr>
              <w:spacing w:before="35"/>
              <w:ind w:left="888" w:right="103" w:hanging="775"/>
              <w:rPr>
                <w:rFonts w:ascii="宋体" w:hAnsi="宋体" w:eastAsia="宋体" w:cs="宋体"/>
                <w:sz w:val="20"/>
                <w:szCs w:val="20"/>
              </w:rPr>
            </w:pPr>
            <w:r>
              <w:rPr>
                <w:rFonts w:ascii="Times New Roman" w:hAnsi="Times New Roman" w:eastAsia="Times New Roman" w:cs="Times New Roman"/>
                <w:spacing w:val="6"/>
                <w:sz w:val="20"/>
                <w:szCs w:val="20"/>
              </w:rPr>
              <w:t xml:space="preserve">3 </w:t>
            </w:r>
            <w:r>
              <w:rPr>
                <w:rFonts w:ascii="宋体" w:hAnsi="宋体" w:eastAsia="宋体" w:cs="宋体"/>
                <w:spacing w:val="4"/>
                <w:sz w:val="20"/>
                <w:szCs w:val="20"/>
              </w:rPr>
              <w:t>间</w:t>
            </w:r>
            <w:r>
              <w:rPr>
                <w:rFonts w:ascii="宋体" w:hAnsi="宋体" w:eastAsia="宋体" w:cs="宋体"/>
                <w:spacing w:val="3"/>
                <w:sz w:val="20"/>
                <w:szCs w:val="20"/>
              </w:rPr>
              <w:t xml:space="preserve">，建筑面积均为 </w:t>
            </w:r>
            <w:r>
              <w:rPr>
                <w:rFonts w:ascii="Times New Roman" w:hAnsi="Times New Roman" w:eastAsia="Times New Roman" w:cs="Times New Roman"/>
                <w:spacing w:val="3"/>
                <w:sz w:val="20"/>
                <w:szCs w:val="20"/>
              </w:rPr>
              <w:t>8</w:t>
            </w:r>
            <w:r>
              <w:rPr>
                <w:rFonts w:ascii="Times New Roman" w:hAnsi="Times New Roman" w:eastAsia="Times New Roman" w:cs="Times New Roman"/>
                <w:sz w:val="20"/>
                <w:szCs w:val="20"/>
              </w:rPr>
              <w:t>m</w:t>
            </w:r>
            <w:r>
              <w:rPr>
                <w:rFonts w:ascii="Times New Roman" w:hAnsi="Times New Roman" w:eastAsia="Times New Roman" w:cs="Times New Roman"/>
                <w:spacing w:val="3"/>
                <w:position w:val="6"/>
                <w:sz w:val="13"/>
                <w:szCs w:val="13"/>
              </w:rPr>
              <w:t xml:space="preserve">2 </w:t>
            </w:r>
            <w:r>
              <w:rPr>
                <w:rFonts w:ascii="宋体" w:hAnsi="宋体" w:eastAsia="宋体" w:cs="宋体"/>
                <w:spacing w:val="3"/>
                <w:sz w:val="20"/>
                <w:szCs w:val="20"/>
              </w:rPr>
              <w:t>左右，砖混结构，分别位于猪舍及</w:t>
            </w:r>
            <w:r>
              <w:rPr>
                <w:rFonts w:ascii="宋体" w:hAnsi="宋体" w:eastAsia="宋体" w:cs="宋体"/>
                <w:sz w:val="20"/>
                <w:szCs w:val="20"/>
              </w:rPr>
              <w:t xml:space="preserve"> </w:t>
            </w:r>
            <w:r>
              <w:rPr>
                <w:rFonts w:ascii="宋体" w:hAnsi="宋体" w:eastAsia="宋体" w:cs="宋体"/>
                <w:spacing w:val="16"/>
                <w:sz w:val="20"/>
                <w:szCs w:val="20"/>
              </w:rPr>
              <w:t>隔</w:t>
            </w:r>
            <w:r>
              <w:rPr>
                <w:rFonts w:ascii="宋体" w:hAnsi="宋体" w:eastAsia="宋体" w:cs="宋体"/>
                <w:spacing w:val="13"/>
                <w:sz w:val="20"/>
                <w:szCs w:val="20"/>
              </w:rPr>
              <w:t>离</w:t>
            </w:r>
            <w:r>
              <w:rPr>
                <w:rFonts w:ascii="宋体" w:hAnsi="宋体" w:eastAsia="宋体" w:cs="宋体"/>
                <w:spacing w:val="8"/>
                <w:sz w:val="20"/>
                <w:szCs w:val="20"/>
              </w:rPr>
              <w:t>舍出入口旁，人员进入时需更衣消毒</w:t>
            </w:r>
          </w:p>
        </w:tc>
        <w:tc>
          <w:tcPr>
            <w:tcW w:w="887" w:type="dxa"/>
            <w:vMerge w:val="continue"/>
            <w:tcBorders>
              <w:top w:val="nil"/>
              <w:left w:val="single" w:color="000000" w:sz="4" w:space="0"/>
              <w:bottom w:val="nil"/>
              <w:right w:val="single" w:color="000000" w:sz="4" w:space="0"/>
            </w:tcBorders>
          </w:tcPr>
          <w:p w14:paraId="5576CBC0"/>
        </w:tc>
        <w:tc>
          <w:tcPr>
            <w:tcW w:w="1262" w:type="dxa"/>
            <w:tcBorders>
              <w:left w:val="single" w:color="000000" w:sz="4" w:space="0"/>
              <w:right w:val="nil"/>
            </w:tcBorders>
          </w:tcPr>
          <w:p w14:paraId="49735FB6">
            <w:pPr>
              <w:spacing w:before="134" w:line="281" w:lineRule="exact"/>
              <w:ind w:left="59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5B02AA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758" w:type="dxa"/>
            <w:vMerge w:val="continue"/>
            <w:tcBorders>
              <w:top w:val="nil"/>
              <w:left w:val="nil"/>
              <w:bottom w:val="nil"/>
              <w:right w:val="single" w:color="000000" w:sz="4" w:space="0"/>
            </w:tcBorders>
          </w:tcPr>
          <w:p w14:paraId="2A0880CB"/>
        </w:tc>
        <w:tc>
          <w:tcPr>
            <w:tcW w:w="1378" w:type="dxa"/>
            <w:gridSpan w:val="2"/>
            <w:tcBorders>
              <w:left w:val="single" w:color="000000" w:sz="4" w:space="0"/>
              <w:right w:val="single" w:color="000000" w:sz="4" w:space="0"/>
            </w:tcBorders>
          </w:tcPr>
          <w:p w14:paraId="2341BF98">
            <w:pPr>
              <w:spacing w:before="37" w:line="239" w:lineRule="auto"/>
              <w:ind w:left="584" w:right="161" w:hanging="417"/>
              <w:rPr>
                <w:rFonts w:ascii="宋体" w:hAnsi="宋体" w:eastAsia="宋体" w:cs="宋体"/>
                <w:sz w:val="20"/>
                <w:szCs w:val="20"/>
              </w:rPr>
            </w:pPr>
            <w:r>
              <w:rPr>
                <w:rFonts w:ascii="宋体" w:hAnsi="宋体" w:eastAsia="宋体" w:cs="宋体"/>
                <w:spacing w:val="8"/>
                <w:sz w:val="20"/>
                <w:szCs w:val="20"/>
              </w:rPr>
              <w:t>人员消毒</w:t>
            </w:r>
            <w:r>
              <w:rPr>
                <w:rFonts w:ascii="宋体" w:hAnsi="宋体" w:eastAsia="宋体" w:cs="宋体"/>
                <w:spacing w:val="7"/>
                <w:sz w:val="20"/>
                <w:szCs w:val="20"/>
              </w:rPr>
              <w:t>通</w:t>
            </w:r>
            <w:r>
              <w:rPr>
                <w:rFonts w:ascii="宋体" w:hAnsi="宋体" w:eastAsia="宋体" w:cs="宋体"/>
                <w:sz w:val="20"/>
                <w:szCs w:val="20"/>
              </w:rPr>
              <w:t xml:space="preserve"> </w:t>
            </w:r>
            <w:r>
              <w:rPr>
                <w:rFonts w:ascii="宋体" w:hAnsi="宋体" w:eastAsia="宋体" w:cs="宋体"/>
                <w:spacing w:val="1"/>
                <w:sz w:val="20"/>
                <w:szCs w:val="20"/>
              </w:rPr>
              <w:t>道</w:t>
            </w:r>
          </w:p>
        </w:tc>
        <w:tc>
          <w:tcPr>
            <w:tcW w:w="5525" w:type="dxa"/>
            <w:tcBorders>
              <w:left w:val="single" w:color="000000" w:sz="4" w:space="0"/>
              <w:right w:val="single" w:color="000000" w:sz="4" w:space="0"/>
            </w:tcBorders>
          </w:tcPr>
          <w:p w14:paraId="2C5FE783">
            <w:pPr>
              <w:spacing w:before="171" w:line="228" w:lineRule="auto"/>
              <w:ind w:left="664"/>
              <w:rPr>
                <w:rFonts w:ascii="宋体" w:hAnsi="宋体" w:eastAsia="宋体" w:cs="宋体"/>
                <w:sz w:val="20"/>
                <w:szCs w:val="20"/>
              </w:rPr>
            </w:pPr>
            <w:r>
              <w:rPr>
                <w:rFonts w:ascii="宋体" w:hAnsi="宋体" w:eastAsia="宋体" w:cs="宋体"/>
                <w:spacing w:val="18"/>
                <w:sz w:val="20"/>
                <w:szCs w:val="20"/>
              </w:rPr>
              <w:t>位</w:t>
            </w:r>
            <w:r>
              <w:rPr>
                <w:rFonts w:ascii="宋体" w:hAnsi="宋体" w:eastAsia="宋体" w:cs="宋体"/>
                <w:spacing w:val="9"/>
                <w:sz w:val="20"/>
                <w:szCs w:val="20"/>
              </w:rPr>
              <w:t>于厂区大门口，对进出厂区的人员进行消毒</w:t>
            </w:r>
          </w:p>
        </w:tc>
        <w:tc>
          <w:tcPr>
            <w:tcW w:w="887" w:type="dxa"/>
            <w:vMerge w:val="continue"/>
            <w:tcBorders>
              <w:top w:val="nil"/>
              <w:left w:val="single" w:color="000000" w:sz="4" w:space="0"/>
              <w:bottom w:val="nil"/>
              <w:right w:val="single" w:color="000000" w:sz="4" w:space="0"/>
            </w:tcBorders>
          </w:tcPr>
          <w:p w14:paraId="76415664"/>
        </w:tc>
        <w:tc>
          <w:tcPr>
            <w:tcW w:w="1262" w:type="dxa"/>
            <w:tcBorders>
              <w:left w:val="single" w:color="000000" w:sz="4" w:space="0"/>
              <w:right w:val="nil"/>
            </w:tcBorders>
          </w:tcPr>
          <w:p w14:paraId="439C374F">
            <w:pPr>
              <w:spacing w:before="133" w:line="281" w:lineRule="exact"/>
              <w:ind w:left="59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0C2EE6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8" w:type="dxa"/>
            <w:vMerge w:val="continue"/>
            <w:tcBorders>
              <w:top w:val="nil"/>
              <w:left w:val="nil"/>
              <w:bottom w:val="nil"/>
              <w:right w:val="single" w:color="000000" w:sz="4" w:space="0"/>
            </w:tcBorders>
          </w:tcPr>
          <w:p w14:paraId="1059205C"/>
        </w:tc>
        <w:tc>
          <w:tcPr>
            <w:tcW w:w="1378" w:type="dxa"/>
            <w:gridSpan w:val="2"/>
            <w:tcBorders>
              <w:left w:val="single" w:color="000000" w:sz="4" w:space="0"/>
              <w:right w:val="single" w:color="000000" w:sz="4" w:space="0"/>
            </w:tcBorders>
          </w:tcPr>
          <w:p w14:paraId="463B278A">
            <w:pPr>
              <w:spacing w:before="170" w:line="228" w:lineRule="auto"/>
              <w:ind w:left="167"/>
              <w:rPr>
                <w:rFonts w:ascii="宋体" w:hAnsi="宋体" w:eastAsia="宋体" w:cs="宋体"/>
                <w:sz w:val="20"/>
                <w:szCs w:val="20"/>
              </w:rPr>
            </w:pPr>
            <w:r>
              <w:rPr>
                <w:rFonts w:ascii="宋体" w:hAnsi="宋体" w:eastAsia="宋体" w:cs="宋体"/>
                <w:spacing w:val="8"/>
                <w:sz w:val="20"/>
                <w:szCs w:val="20"/>
              </w:rPr>
              <w:t>车辆消毒</w:t>
            </w:r>
            <w:r>
              <w:rPr>
                <w:rFonts w:ascii="宋体" w:hAnsi="宋体" w:eastAsia="宋体" w:cs="宋体"/>
                <w:spacing w:val="7"/>
                <w:sz w:val="20"/>
                <w:szCs w:val="20"/>
              </w:rPr>
              <w:t>池</w:t>
            </w:r>
          </w:p>
        </w:tc>
        <w:tc>
          <w:tcPr>
            <w:tcW w:w="5525" w:type="dxa"/>
            <w:tcBorders>
              <w:left w:val="single" w:color="000000" w:sz="4" w:space="0"/>
              <w:right w:val="single" w:color="000000" w:sz="4" w:space="0"/>
            </w:tcBorders>
          </w:tcPr>
          <w:p w14:paraId="6668A2DC">
            <w:pPr>
              <w:spacing w:before="36" w:line="239" w:lineRule="auto"/>
              <w:ind w:left="2242" w:right="151" w:hanging="2070"/>
              <w:rPr>
                <w:rFonts w:ascii="宋体" w:hAnsi="宋体" w:eastAsia="宋体" w:cs="宋体"/>
                <w:sz w:val="20"/>
                <w:szCs w:val="20"/>
              </w:rPr>
            </w:pPr>
            <w:r>
              <w:rPr>
                <w:rFonts w:ascii="Times New Roman" w:hAnsi="Times New Roman" w:eastAsia="Times New Roman" w:cs="Times New Roman"/>
                <w:spacing w:val="12"/>
                <w:sz w:val="20"/>
                <w:szCs w:val="20"/>
              </w:rPr>
              <w:t xml:space="preserve">1 </w:t>
            </w:r>
            <w:r>
              <w:rPr>
                <w:rFonts w:ascii="宋体" w:hAnsi="宋体" w:eastAsia="宋体" w:cs="宋体"/>
                <w:spacing w:val="12"/>
                <w:sz w:val="20"/>
                <w:szCs w:val="20"/>
              </w:rPr>
              <w:t>个</w:t>
            </w:r>
            <w:r>
              <w:rPr>
                <w:rFonts w:ascii="宋体" w:hAnsi="宋体" w:eastAsia="宋体" w:cs="宋体"/>
                <w:spacing w:val="7"/>
                <w:sz w:val="20"/>
                <w:szCs w:val="20"/>
              </w:rPr>
              <w:t>，</w:t>
            </w:r>
            <w:r>
              <w:rPr>
                <w:rFonts w:ascii="Times New Roman" w:hAnsi="Times New Roman" w:eastAsia="Times New Roman" w:cs="Times New Roman"/>
                <w:spacing w:val="6"/>
                <w:sz w:val="20"/>
                <w:szCs w:val="20"/>
              </w:rPr>
              <w:t>42</w:t>
            </w:r>
            <w:r>
              <w:rPr>
                <w:rFonts w:ascii="Times New Roman" w:hAnsi="Times New Roman" w:eastAsia="Times New Roman" w:cs="Times New Roman"/>
                <w:sz w:val="20"/>
                <w:szCs w:val="20"/>
              </w:rPr>
              <w:t>m</w:t>
            </w:r>
            <w:r>
              <w:rPr>
                <w:rFonts w:ascii="Times New Roman" w:hAnsi="Times New Roman" w:eastAsia="Times New Roman" w:cs="Times New Roman"/>
                <w:spacing w:val="6"/>
                <w:position w:val="6"/>
                <w:sz w:val="13"/>
                <w:szCs w:val="13"/>
              </w:rPr>
              <w:t xml:space="preserve">3 </w:t>
            </w:r>
            <w:r>
              <w:rPr>
                <w:rFonts w:ascii="宋体" w:hAnsi="宋体" w:eastAsia="宋体" w:cs="宋体"/>
                <w:spacing w:val="6"/>
                <w:sz w:val="20"/>
                <w:szCs w:val="20"/>
              </w:rPr>
              <w:t>，位于厂区主入口处，主要对进出厂区车辆进</w:t>
            </w:r>
            <w:r>
              <w:rPr>
                <w:rFonts w:ascii="宋体" w:hAnsi="宋体" w:eastAsia="宋体" w:cs="宋体"/>
                <w:sz w:val="20"/>
                <w:szCs w:val="20"/>
              </w:rPr>
              <w:t xml:space="preserve"> </w:t>
            </w:r>
            <w:r>
              <w:rPr>
                <w:rFonts w:ascii="宋体" w:hAnsi="宋体" w:eastAsia="宋体" w:cs="宋体"/>
                <w:spacing w:val="9"/>
                <w:sz w:val="20"/>
                <w:szCs w:val="20"/>
              </w:rPr>
              <w:t>行</w:t>
            </w:r>
            <w:r>
              <w:rPr>
                <w:rFonts w:ascii="宋体" w:hAnsi="宋体" w:eastAsia="宋体" w:cs="宋体"/>
                <w:spacing w:val="7"/>
                <w:sz w:val="20"/>
                <w:szCs w:val="20"/>
              </w:rPr>
              <w:t>消毒处理</w:t>
            </w:r>
          </w:p>
        </w:tc>
        <w:tc>
          <w:tcPr>
            <w:tcW w:w="887" w:type="dxa"/>
            <w:vMerge w:val="continue"/>
            <w:tcBorders>
              <w:top w:val="nil"/>
              <w:left w:val="single" w:color="000000" w:sz="4" w:space="0"/>
              <w:bottom w:val="nil"/>
              <w:right w:val="single" w:color="000000" w:sz="4" w:space="0"/>
            </w:tcBorders>
          </w:tcPr>
          <w:p w14:paraId="573CC7EF"/>
        </w:tc>
        <w:tc>
          <w:tcPr>
            <w:tcW w:w="1262" w:type="dxa"/>
            <w:tcBorders>
              <w:left w:val="single" w:color="000000" w:sz="4" w:space="0"/>
              <w:right w:val="nil"/>
            </w:tcBorders>
          </w:tcPr>
          <w:p w14:paraId="51CEF8E2">
            <w:pPr>
              <w:spacing w:before="133" w:line="281" w:lineRule="exact"/>
              <w:ind w:left="59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1BA82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758" w:type="dxa"/>
            <w:vMerge w:val="continue"/>
            <w:tcBorders>
              <w:top w:val="nil"/>
              <w:left w:val="nil"/>
              <w:bottom w:val="nil"/>
              <w:right w:val="single" w:color="000000" w:sz="4" w:space="0"/>
            </w:tcBorders>
          </w:tcPr>
          <w:p w14:paraId="7E5BBAA5"/>
        </w:tc>
        <w:tc>
          <w:tcPr>
            <w:tcW w:w="1378" w:type="dxa"/>
            <w:gridSpan w:val="2"/>
            <w:tcBorders>
              <w:left w:val="single" w:color="000000" w:sz="4" w:space="0"/>
              <w:right w:val="single" w:color="000000" w:sz="4" w:space="0"/>
            </w:tcBorders>
          </w:tcPr>
          <w:p w14:paraId="201450A4">
            <w:pPr>
              <w:spacing w:before="170" w:line="228" w:lineRule="auto"/>
              <w:ind w:left="378"/>
              <w:rPr>
                <w:rFonts w:ascii="宋体" w:hAnsi="宋体" w:eastAsia="宋体" w:cs="宋体"/>
                <w:sz w:val="20"/>
                <w:szCs w:val="20"/>
              </w:rPr>
            </w:pPr>
            <w:r>
              <w:rPr>
                <w:rFonts w:ascii="宋体" w:hAnsi="宋体" w:eastAsia="宋体" w:cs="宋体"/>
                <w:spacing w:val="7"/>
                <w:sz w:val="20"/>
                <w:szCs w:val="20"/>
              </w:rPr>
              <w:t>停</w:t>
            </w:r>
            <w:r>
              <w:rPr>
                <w:rFonts w:ascii="宋体" w:hAnsi="宋体" w:eastAsia="宋体" w:cs="宋体"/>
                <w:spacing w:val="6"/>
                <w:sz w:val="20"/>
                <w:szCs w:val="20"/>
              </w:rPr>
              <w:t>车场</w:t>
            </w:r>
          </w:p>
        </w:tc>
        <w:tc>
          <w:tcPr>
            <w:tcW w:w="5525" w:type="dxa"/>
            <w:tcBorders>
              <w:left w:val="single" w:color="000000" w:sz="4" w:space="0"/>
              <w:right w:val="single" w:color="000000" w:sz="4" w:space="0"/>
            </w:tcBorders>
          </w:tcPr>
          <w:p w14:paraId="4666716E">
            <w:pPr>
              <w:spacing w:before="170" w:line="228" w:lineRule="auto"/>
              <w:ind w:left="142"/>
              <w:rPr>
                <w:rFonts w:ascii="宋体" w:hAnsi="宋体" w:eastAsia="宋体" w:cs="宋体"/>
                <w:sz w:val="20"/>
                <w:szCs w:val="20"/>
              </w:rPr>
            </w:pPr>
            <w:r>
              <w:rPr>
                <w:rFonts w:ascii="宋体" w:hAnsi="宋体" w:eastAsia="宋体" w:cs="宋体"/>
                <w:spacing w:val="18"/>
                <w:sz w:val="20"/>
                <w:szCs w:val="20"/>
              </w:rPr>
              <w:t>项</w:t>
            </w:r>
            <w:r>
              <w:rPr>
                <w:rFonts w:ascii="宋体" w:hAnsi="宋体" w:eastAsia="宋体" w:cs="宋体"/>
                <w:spacing w:val="12"/>
                <w:sz w:val="20"/>
                <w:szCs w:val="20"/>
              </w:rPr>
              <w:t>目</w:t>
            </w:r>
            <w:r>
              <w:rPr>
                <w:rFonts w:ascii="宋体" w:hAnsi="宋体" w:eastAsia="宋体" w:cs="宋体"/>
                <w:spacing w:val="9"/>
                <w:sz w:val="20"/>
                <w:szCs w:val="20"/>
              </w:rPr>
              <w:t>内人员较少，不设置集中停车场，在场内空坝处停车</w:t>
            </w:r>
          </w:p>
        </w:tc>
        <w:tc>
          <w:tcPr>
            <w:tcW w:w="887" w:type="dxa"/>
            <w:vMerge w:val="continue"/>
            <w:tcBorders>
              <w:top w:val="nil"/>
              <w:left w:val="single" w:color="000000" w:sz="4" w:space="0"/>
              <w:bottom w:val="nil"/>
              <w:right w:val="single" w:color="000000" w:sz="4" w:space="0"/>
            </w:tcBorders>
          </w:tcPr>
          <w:p w14:paraId="631A583C"/>
        </w:tc>
        <w:tc>
          <w:tcPr>
            <w:tcW w:w="1262" w:type="dxa"/>
            <w:tcBorders>
              <w:left w:val="single" w:color="000000" w:sz="4" w:space="0"/>
              <w:right w:val="nil"/>
            </w:tcBorders>
          </w:tcPr>
          <w:p w14:paraId="04B7D662">
            <w:pPr>
              <w:spacing w:before="37" w:line="239" w:lineRule="auto"/>
              <w:ind w:left="432" w:right="139" w:hanging="321"/>
              <w:rPr>
                <w:rFonts w:ascii="宋体" w:hAnsi="宋体" w:eastAsia="宋体" w:cs="宋体"/>
                <w:sz w:val="20"/>
                <w:szCs w:val="20"/>
              </w:rPr>
            </w:pPr>
            <w:r>
              <w:rPr>
                <w:rFonts w:ascii="宋体" w:hAnsi="宋体" w:eastAsia="宋体" w:cs="宋体"/>
                <w:spacing w:val="2"/>
                <w:sz w:val="20"/>
                <w:szCs w:val="20"/>
              </w:rPr>
              <w:t>汽</w:t>
            </w:r>
            <w:r>
              <w:rPr>
                <w:rFonts w:ascii="宋体" w:hAnsi="宋体" w:eastAsia="宋体" w:cs="宋体"/>
                <w:spacing w:val="1"/>
                <w:sz w:val="20"/>
                <w:szCs w:val="20"/>
              </w:rPr>
              <w:t>车尾气、</w:t>
            </w:r>
            <w:r>
              <w:rPr>
                <w:rFonts w:ascii="宋体" w:hAnsi="宋体" w:eastAsia="宋体" w:cs="宋体"/>
                <w:sz w:val="20"/>
                <w:szCs w:val="20"/>
              </w:rPr>
              <w:t xml:space="preserve"> </w:t>
            </w:r>
            <w:r>
              <w:rPr>
                <w:rFonts w:ascii="宋体" w:hAnsi="宋体" w:eastAsia="宋体" w:cs="宋体"/>
                <w:spacing w:val="-1"/>
                <w:sz w:val="20"/>
                <w:szCs w:val="20"/>
              </w:rPr>
              <w:t>噪</w:t>
            </w:r>
            <w:r>
              <w:rPr>
                <w:rFonts w:ascii="宋体" w:hAnsi="宋体" w:eastAsia="宋体" w:cs="宋体"/>
                <w:sz w:val="20"/>
                <w:szCs w:val="20"/>
              </w:rPr>
              <w:t>声</w:t>
            </w:r>
          </w:p>
        </w:tc>
      </w:tr>
      <w:tr w14:paraId="3460B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758" w:type="dxa"/>
            <w:vMerge w:val="continue"/>
            <w:tcBorders>
              <w:top w:val="nil"/>
              <w:left w:val="nil"/>
              <w:right w:val="single" w:color="000000" w:sz="4" w:space="0"/>
            </w:tcBorders>
          </w:tcPr>
          <w:p w14:paraId="1CD02504"/>
        </w:tc>
        <w:tc>
          <w:tcPr>
            <w:tcW w:w="1378" w:type="dxa"/>
            <w:gridSpan w:val="2"/>
            <w:tcBorders>
              <w:left w:val="single" w:color="000000" w:sz="4" w:space="0"/>
              <w:right w:val="single" w:color="000000" w:sz="4" w:space="0"/>
            </w:tcBorders>
          </w:tcPr>
          <w:p w14:paraId="7828D408">
            <w:pPr>
              <w:spacing w:before="167" w:line="231" w:lineRule="auto"/>
              <w:ind w:left="400"/>
              <w:rPr>
                <w:rFonts w:ascii="宋体" w:hAnsi="宋体" w:eastAsia="宋体" w:cs="宋体"/>
                <w:sz w:val="20"/>
                <w:szCs w:val="20"/>
              </w:rPr>
            </w:pPr>
            <w:r>
              <w:rPr>
                <w:rFonts w:ascii="宋体" w:hAnsi="宋体" w:eastAsia="宋体" w:cs="宋体"/>
                <w:spacing w:val="-1"/>
                <w:sz w:val="20"/>
                <w:szCs w:val="20"/>
              </w:rPr>
              <w:t>门卫室</w:t>
            </w:r>
          </w:p>
        </w:tc>
        <w:tc>
          <w:tcPr>
            <w:tcW w:w="5525" w:type="dxa"/>
            <w:tcBorders>
              <w:left w:val="single" w:color="000000" w:sz="4" w:space="0"/>
              <w:right w:val="single" w:color="000000" w:sz="4" w:space="0"/>
            </w:tcBorders>
          </w:tcPr>
          <w:p w14:paraId="515B1EFB">
            <w:pPr>
              <w:spacing w:before="168" w:line="228" w:lineRule="auto"/>
              <w:ind w:left="1363"/>
              <w:rPr>
                <w:rFonts w:ascii="Times New Roman" w:hAnsi="Times New Roman" w:eastAsia="Times New Roman" w:cs="Times New Roman"/>
                <w:sz w:val="13"/>
                <w:szCs w:val="13"/>
              </w:rPr>
            </w:pPr>
            <w:r>
              <w:rPr>
                <w:rFonts w:ascii="宋体" w:hAnsi="宋体" w:eastAsia="宋体" w:cs="宋体"/>
                <w:spacing w:val="5"/>
                <w:sz w:val="20"/>
                <w:szCs w:val="20"/>
              </w:rPr>
              <w:t xml:space="preserve">位于厂区大门口，面积约 </w:t>
            </w:r>
            <w:r>
              <w:rPr>
                <w:rFonts w:ascii="Times New Roman" w:hAnsi="Times New Roman" w:eastAsia="Times New Roman" w:cs="Times New Roman"/>
                <w:spacing w:val="5"/>
                <w:sz w:val="20"/>
                <w:szCs w:val="20"/>
              </w:rPr>
              <w:t>15</w:t>
            </w:r>
            <w:r>
              <w:rPr>
                <w:rFonts w:ascii="Times New Roman" w:hAnsi="Times New Roman" w:eastAsia="Times New Roman" w:cs="Times New Roman"/>
                <w:sz w:val="20"/>
                <w:szCs w:val="20"/>
              </w:rPr>
              <w:t>m</w:t>
            </w:r>
            <w:r>
              <w:rPr>
                <w:rFonts w:ascii="Times New Roman" w:hAnsi="Times New Roman" w:eastAsia="Times New Roman" w:cs="Times New Roman"/>
                <w:spacing w:val="5"/>
                <w:position w:val="6"/>
                <w:sz w:val="13"/>
                <w:szCs w:val="13"/>
              </w:rPr>
              <w:t>2</w:t>
            </w:r>
          </w:p>
        </w:tc>
        <w:tc>
          <w:tcPr>
            <w:tcW w:w="887" w:type="dxa"/>
            <w:vMerge w:val="continue"/>
            <w:tcBorders>
              <w:top w:val="nil"/>
              <w:left w:val="single" w:color="000000" w:sz="4" w:space="0"/>
              <w:bottom w:val="nil"/>
              <w:right w:val="single" w:color="000000" w:sz="4" w:space="0"/>
            </w:tcBorders>
          </w:tcPr>
          <w:p w14:paraId="2FC06890"/>
        </w:tc>
        <w:tc>
          <w:tcPr>
            <w:tcW w:w="1262" w:type="dxa"/>
            <w:tcBorders>
              <w:left w:val="single" w:color="000000" w:sz="4" w:space="0"/>
              <w:right w:val="nil"/>
            </w:tcBorders>
          </w:tcPr>
          <w:p w14:paraId="03782CF0">
            <w:pPr>
              <w:spacing w:before="130" w:line="281" w:lineRule="exact"/>
              <w:ind w:left="59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11E98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2" w:hRule="atLeast"/>
        </w:trPr>
        <w:tc>
          <w:tcPr>
            <w:tcW w:w="758" w:type="dxa"/>
            <w:vMerge w:val="restart"/>
            <w:tcBorders>
              <w:left w:val="nil"/>
              <w:bottom w:val="nil"/>
              <w:right w:val="single" w:color="000000" w:sz="4" w:space="0"/>
            </w:tcBorders>
          </w:tcPr>
          <w:p w14:paraId="7D75FBF1">
            <w:pPr>
              <w:spacing w:line="290" w:lineRule="auto"/>
            </w:pPr>
          </w:p>
          <w:p w14:paraId="324F396C">
            <w:pPr>
              <w:spacing w:line="290" w:lineRule="auto"/>
            </w:pPr>
          </w:p>
          <w:p w14:paraId="245ABB3A">
            <w:pPr>
              <w:spacing w:before="65" w:line="271" w:lineRule="exact"/>
              <w:ind w:left="184"/>
              <w:rPr>
                <w:rFonts w:ascii="宋体" w:hAnsi="宋体" w:eastAsia="宋体" w:cs="宋体"/>
                <w:sz w:val="20"/>
                <w:szCs w:val="20"/>
              </w:rPr>
            </w:pPr>
            <w:r>
              <w:rPr>
                <w:rFonts w:ascii="宋体" w:hAnsi="宋体" w:eastAsia="宋体" w:cs="宋体"/>
                <w:spacing w:val="2"/>
                <w:position w:val="4"/>
                <w:sz w:val="20"/>
                <w:szCs w:val="20"/>
              </w:rPr>
              <w:t>公</w:t>
            </w:r>
            <w:r>
              <w:rPr>
                <w:rFonts w:ascii="宋体" w:hAnsi="宋体" w:eastAsia="宋体" w:cs="宋体"/>
                <w:spacing w:val="1"/>
                <w:position w:val="4"/>
                <w:sz w:val="20"/>
                <w:szCs w:val="20"/>
              </w:rPr>
              <w:t>用</w:t>
            </w:r>
          </w:p>
          <w:p w14:paraId="47CD757D">
            <w:pPr>
              <w:spacing w:line="228" w:lineRule="auto"/>
              <w:ind w:left="180"/>
              <w:rPr>
                <w:rFonts w:ascii="宋体" w:hAnsi="宋体" w:eastAsia="宋体" w:cs="宋体"/>
                <w:sz w:val="20"/>
                <w:szCs w:val="20"/>
              </w:rPr>
            </w:pPr>
            <w:r>
              <w:rPr>
                <w:rFonts w:ascii="宋体" w:hAnsi="宋体" w:eastAsia="宋体" w:cs="宋体"/>
                <w:spacing w:val="4"/>
                <w:sz w:val="20"/>
                <w:szCs w:val="20"/>
              </w:rPr>
              <w:t>工</w:t>
            </w:r>
            <w:r>
              <w:rPr>
                <w:rFonts w:ascii="宋体" w:hAnsi="宋体" w:eastAsia="宋体" w:cs="宋体"/>
                <w:spacing w:val="3"/>
                <w:sz w:val="20"/>
                <w:szCs w:val="20"/>
              </w:rPr>
              <w:t>程</w:t>
            </w:r>
          </w:p>
        </w:tc>
        <w:tc>
          <w:tcPr>
            <w:tcW w:w="1378" w:type="dxa"/>
            <w:gridSpan w:val="2"/>
            <w:tcBorders>
              <w:left w:val="single" w:color="000000" w:sz="4" w:space="0"/>
              <w:right w:val="single" w:color="000000" w:sz="4" w:space="0"/>
            </w:tcBorders>
          </w:tcPr>
          <w:p w14:paraId="302118F3">
            <w:pPr>
              <w:spacing w:before="85" w:line="228" w:lineRule="auto"/>
              <w:ind w:left="377"/>
              <w:rPr>
                <w:rFonts w:ascii="宋体" w:hAnsi="宋体" w:eastAsia="宋体" w:cs="宋体"/>
                <w:sz w:val="20"/>
                <w:szCs w:val="20"/>
              </w:rPr>
            </w:pPr>
            <w:r>
              <w:rPr>
                <w:rFonts w:ascii="宋体" w:hAnsi="宋体" w:eastAsia="宋体" w:cs="宋体"/>
                <w:spacing w:val="7"/>
                <w:sz w:val="20"/>
                <w:szCs w:val="20"/>
              </w:rPr>
              <w:t>配电</w:t>
            </w:r>
            <w:r>
              <w:rPr>
                <w:rFonts w:ascii="宋体" w:hAnsi="宋体" w:eastAsia="宋体" w:cs="宋体"/>
                <w:spacing w:val="6"/>
                <w:sz w:val="20"/>
                <w:szCs w:val="20"/>
              </w:rPr>
              <w:t>房</w:t>
            </w:r>
          </w:p>
        </w:tc>
        <w:tc>
          <w:tcPr>
            <w:tcW w:w="5525" w:type="dxa"/>
            <w:tcBorders>
              <w:left w:val="single" w:color="000000" w:sz="4" w:space="0"/>
              <w:right w:val="single" w:color="000000" w:sz="4" w:space="0"/>
            </w:tcBorders>
          </w:tcPr>
          <w:p w14:paraId="00C6E245">
            <w:pPr>
              <w:spacing w:before="84" w:line="231" w:lineRule="auto"/>
              <w:ind w:left="498"/>
              <w:rPr>
                <w:rFonts w:ascii="宋体" w:hAnsi="宋体" w:eastAsia="宋体" w:cs="宋体"/>
                <w:sz w:val="20"/>
                <w:szCs w:val="20"/>
              </w:rPr>
            </w:pPr>
            <w:r>
              <w:rPr>
                <w:rFonts w:ascii="Times New Roman" w:hAnsi="Times New Roman" w:eastAsia="Times New Roman" w:cs="Times New Roman"/>
                <w:spacing w:val="14"/>
                <w:sz w:val="20"/>
                <w:szCs w:val="20"/>
              </w:rPr>
              <w:t>1</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rPr>
              <w:t>间，供电电源由市政电网供给，位于厂区东北角</w:t>
            </w:r>
          </w:p>
        </w:tc>
        <w:tc>
          <w:tcPr>
            <w:tcW w:w="887" w:type="dxa"/>
            <w:vMerge w:val="continue"/>
            <w:tcBorders>
              <w:top w:val="nil"/>
              <w:left w:val="single" w:color="000000" w:sz="4" w:space="0"/>
              <w:bottom w:val="nil"/>
              <w:right w:val="single" w:color="000000" w:sz="4" w:space="0"/>
            </w:tcBorders>
          </w:tcPr>
          <w:p w14:paraId="68E3292F"/>
        </w:tc>
        <w:tc>
          <w:tcPr>
            <w:tcW w:w="1262" w:type="dxa"/>
            <w:tcBorders>
              <w:left w:val="single" w:color="000000" w:sz="4" w:space="0"/>
              <w:right w:val="nil"/>
            </w:tcBorders>
          </w:tcPr>
          <w:p w14:paraId="6DAFF226">
            <w:pPr>
              <w:spacing w:before="85" w:line="228" w:lineRule="auto"/>
              <w:ind w:left="217"/>
              <w:rPr>
                <w:rFonts w:ascii="宋体" w:hAnsi="宋体" w:eastAsia="宋体" w:cs="宋体"/>
                <w:sz w:val="20"/>
                <w:szCs w:val="20"/>
              </w:rPr>
            </w:pPr>
            <w:r>
              <w:rPr>
                <w:rFonts w:ascii="宋体" w:hAnsi="宋体" w:eastAsia="宋体" w:cs="宋体"/>
                <w:spacing w:val="8"/>
                <w:sz w:val="20"/>
                <w:szCs w:val="20"/>
              </w:rPr>
              <w:t>设</w:t>
            </w:r>
            <w:r>
              <w:rPr>
                <w:rFonts w:ascii="宋体" w:hAnsi="宋体" w:eastAsia="宋体" w:cs="宋体"/>
                <w:spacing w:val="6"/>
                <w:sz w:val="20"/>
                <w:szCs w:val="20"/>
              </w:rPr>
              <w:t>备噪声</w:t>
            </w:r>
          </w:p>
        </w:tc>
      </w:tr>
      <w:tr w14:paraId="0AF387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758" w:type="dxa"/>
            <w:vMerge w:val="continue"/>
            <w:tcBorders>
              <w:top w:val="nil"/>
              <w:left w:val="nil"/>
              <w:bottom w:val="nil"/>
              <w:right w:val="single" w:color="000000" w:sz="4" w:space="0"/>
            </w:tcBorders>
          </w:tcPr>
          <w:p w14:paraId="47EDC319"/>
        </w:tc>
        <w:tc>
          <w:tcPr>
            <w:tcW w:w="1378" w:type="dxa"/>
            <w:gridSpan w:val="2"/>
            <w:tcBorders>
              <w:left w:val="single" w:color="000000" w:sz="4" w:space="0"/>
              <w:right w:val="single" w:color="000000" w:sz="4" w:space="0"/>
            </w:tcBorders>
          </w:tcPr>
          <w:p w14:paraId="07628355">
            <w:pPr>
              <w:spacing w:before="175" w:line="227" w:lineRule="auto"/>
              <w:ind w:left="275"/>
              <w:rPr>
                <w:rFonts w:ascii="宋体" w:hAnsi="宋体" w:eastAsia="宋体" w:cs="宋体"/>
                <w:sz w:val="20"/>
                <w:szCs w:val="20"/>
              </w:rPr>
            </w:pPr>
            <w:r>
              <w:rPr>
                <w:rFonts w:ascii="宋体" w:hAnsi="宋体" w:eastAsia="宋体" w:cs="宋体"/>
                <w:spacing w:val="8"/>
                <w:sz w:val="20"/>
                <w:szCs w:val="20"/>
              </w:rPr>
              <w:t>发</w:t>
            </w:r>
            <w:r>
              <w:rPr>
                <w:rFonts w:ascii="宋体" w:hAnsi="宋体" w:eastAsia="宋体" w:cs="宋体"/>
                <w:spacing w:val="6"/>
                <w:sz w:val="20"/>
                <w:szCs w:val="20"/>
              </w:rPr>
              <w:t>电机房</w:t>
            </w:r>
          </w:p>
        </w:tc>
        <w:tc>
          <w:tcPr>
            <w:tcW w:w="5525" w:type="dxa"/>
            <w:tcBorders>
              <w:left w:val="single" w:color="000000" w:sz="4" w:space="0"/>
              <w:right w:val="single" w:color="000000" w:sz="4" w:space="0"/>
            </w:tcBorders>
          </w:tcPr>
          <w:p w14:paraId="695500E9">
            <w:pPr>
              <w:spacing w:before="137" w:line="281" w:lineRule="exact"/>
              <w:ind w:left="177"/>
              <w:rPr>
                <w:rFonts w:ascii="宋体" w:hAnsi="宋体" w:eastAsia="宋体" w:cs="宋体"/>
                <w:sz w:val="20"/>
                <w:szCs w:val="20"/>
              </w:rPr>
            </w:pPr>
            <w:r>
              <w:rPr>
                <w:rFonts w:ascii="Times New Roman" w:hAnsi="Times New Roman" w:eastAsia="Times New Roman" w:cs="Times New Roman"/>
                <w:spacing w:val="8"/>
                <w:position w:val="1"/>
                <w:sz w:val="20"/>
                <w:szCs w:val="20"/>
              </w:rPr>
              <w:t>1</w:t>
            </w:r>
            <w:r>
              <w:rPr>
                <w:rFonts w:ascii="Times New Roman" w:hAnsi="Times New Roman" w:eastAsia="Times New Roman" w:cs="Times New Roman"/>
                <w:spacing w:val="6"/>
                <w:position w:val="1"/>
                <w:sz w:val="20"/>
                <w:szCs w:val="20"/>
              </w:rPr>
              <w:t xml:space="preserve"> </w:t>
            </w:r>
            <w:r>
              <w:rPr>
                <w:rFonts w:ascii="宋体" w:hAnsi="宋体" w:eastAsia="宋体" w:cs="宋体"/>
                <w:spacing w:val="4"/>
                <w:position w:val="1"/>
                <w:sz w:val="20"/>
                <w:szCs w:val="20"/>
              </w:rPr>
              <w:t xml:space="preserve">间，设置备用发电机 </w:t>
            </w:r>
            <w:r>
              <w:rPr>
                <w:rFonts w:ascii="Times New Roman" w:hAnsi="Times New Roman" w:eastAsia="Times New Roman" w:cs="Times New Roman"/>
                <w:spacing w:val="4"/>
                <w:position w:val="1"/>
                <w:sz w:val="20"/>
                <w:szCs w:val="20"/>
              </w:rPr>
              <w:t xml:space="preserve">1 </w:t>
            </w:r>
            <w:r>
              <w:rPr>
                <w:rFonts w:ascii="宋体" w:hAnsi="宋体" w:eastAsia="宋体" w:cs="宋体"/>
                <w:spacing w:val="4"/>
                <w:position w:val="1"/>
                <w:sz w:val="20"/>
                <w:szCs w:val="20"/>
              </w:rPr>
              <w:t>台，</w:t>
            </w:r>
            <w:r>
              <w:rPr>
                <w:rFonts w:ascii="Times New Roman" w:hAnsi="Times New Roman" w:eastAsia="Times New Roman" w:cs="Times New Roman"/>
                <w:spacing w:val="4"/>
                <w:position w:val="1"/>
                <w:sz w:val="20"/>
                <w:szCs w:val="20"/>
              </w:rPr>
              <w:t>16</w:t>
            </w:r>
            <w:r>
              <w:rPr>
                <w:rFonts w:ascii="Times New Roman" w:hAnsi="Times New Roman" w:eastAsia="Times New Roman" w:cs="Times New Roman"/>
                <w:position w:val="1"/>
                <w:sz w:val="20"/>
                <w:szCs w:val="20"/>
              </w:rPr>
              <w:t>kw</w:t>
            </w:r>
            <w:r>
              <w:rPr>
                <w:rFonts w:ascii="Times New Roman" w:hAnsi="Times New Roman" w:eastAsia="Times New Roman" w:cs="Times New Roman"/>
                <w:spacing w:val="4"/>
                <w:position w:val="1"/>
                <w:sz w:val="20"/>
                <w:szCs w:val="20"/>
              </w:rPr>
              <w:t>·</w:t>
            </w:r>
            <w:r>
              <w:rPr>
                <w:rFonts w:ascii="Times New Roman" w:hAnsi="Times New Roman" w:eastAsia="Times New Roman" w:cs="Times New Roman"/>
                <w:position w:val="1"/>
                <w:sz w:val="20"/>
                <w:szCs w:val="20"/>
              </w:rPr>
              <w:t>h</w:t>
            </w:r>
            <w:r>
              <w:rPr>
                <w:rFonts w:ascii="Times New Roman" w:hAnsi="Times New Roman" w:eastAsia="Times New Roman" w:cs="Times New Roman"/>
                <w:spacing w:val="4"/>
                <w:position w:val="1"/>
                <w:sz w:val="20"/>
                <w:szCs w:val="20"/>
              </w:rPr>
              <w:t xml:space="preserve"> </w:t>
            </w:r>
            <w:r>
              <w:rPr>
                <w:rFonts w:ascii="宋体" w:hAnsi="宋体" w:eastAsia="宋体" w:cs="宋体"/>
                <w:spacing w:val="4"/>
                <w:position w:val="1"/>
                <w:sz w:val="20"/>
                <w:szCs w:val="20"/>
              </w:rPr>
              <w:t>，位于生活办公区内</w:t>
            </w:r>
          </w:p>
        </w:tc>
        <w:tc>
          <w:tcPr>
            <w:tcW w:w="887" w:type="dxa"/>
            <w:vMerge w:val="continue"/>
            <w:tcBorders>
              <w:top w:val="nil"/>
              <w:left w:val="single" w:color="000000" w:sz="4" w:space="0"/>
              <w:bottom w:val="nil"/>
              <w:right w:val="single" w:color="000000" w:sz="4" w:space="0"/>
            </w:tcBorders>
          </w:tcPr>
          <w:p w14:paraId="7D10CAD9"/>
        </w:tc>
        <w:tc>
          <w:tcPr>
            <w:tcW w:w="1262" w:type="dxa"/>
            <w:tcBorders>
              <w:left w:val="single" w:color="000000" w:sz="4" w:space="0"/>
              <w:right w:val="nil"/>
            </w:tcBorders>
          </w:tcPr>
          <w:p w14:paraId="0842EFBB">
            <w:pPr>
              <w:spacing w:before="37"/>
              <w:ind w:left="215" w:right="212" w:firstLine="2"/>
              <w:rPr>
                <w:rFonts w:ascii="宋体" w:hAnsi="宋体" w:eastAsia="宋体" w:cs="宋体"/>
                <w:sz w:val="20"/>
                <w:szCs w:val="20"/>
              </w:rPr>
            </w:pPr>
            <w:r>
              <w:rPr>
                <w:rFonts w:ascii="宋体" w:hAnsi="宋体" w:eastAsia="宋体" w:cs="宋体"/>
                <w:spacing w:val="8"/>
                <w:sz w:val="20"/>
                <w:szCs w:val="20"/>
              </w:rPr>
              <w:t>发</w:t>
            </w:r>
            <w:r>
              <w:rPr>
                <w:rFonts w:ascii="宋体" w:hAnsi="宋体" w:eastAsia="宋体" w:cs="宋体"/>
                <w:spacing w:val="6"/>
                <w:sz w:val="20"/>
                <w:szCs w:val="20"/>
              </w:rPr>
              <w:t>电机烟</w:t>
            </w:r>
            <w:r>
              <w:rPr>
                <w:rFonts w:ascii="宋体" w:hAnsi="宋体" w:eastAsia="宋体" w:cs="宋体"/>
                <w:sz w:val="20"/>
                <w:szCs w:val="20"/>
              </w:rPr>
              <w:t xml:space="preserve"> </w:t>
            </w:r>
            <w:r>
              <w:rPr>
                <w:rFonts w:ascii="宋体" w:hAnsi="宋体" w:eastAsia="宋体" w:cs="宋体"/>
                <w:spacing w:val="7"/>
                <w:sz w:val="20"/>
                <w:szCs w:val="20"/>
              </w:rPr>
              <w:t>气、噪声</w:t>
            </w:r>
          </w:p>
        </w:tc>
      </w:tr>
      <w:tr w14:paraId="7D0F0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58" w:type="dxa"/>
            <w:vMerge w:val="continue"/>
            <w:tcBorders>
              <w:top w:val="nil"/>
              <w:left w:val="nil"/>
              <w:right w:val="single" w:color="000000" w:sz="4" w:space="0"/>
            </w:tcBorders>
          </w:tcPr>
          <w:p w14:paraId="3B8F7321"/>
        </w:tc>
        <w:tc>
          <w:tcPr>
            <w:tcW w:w="1378" w:type="dxa"/>
            <w:gridSpan w:val="2"/>
            <w:tcBorders>
              <w:left w:val="single" w:color="000000" w:sz="4" w:space="0"/>
              <w:right w:val="single" w:color="000000" w:sz="4" w:space="0"/>
            </w:tcBorders>
          </w:tcPr>
          <w:p w14:paraId="09408831">
            <w:pPr>
              <w:spacing w:line="242" w:lineRule="auto"/>
            </w:pPr>
          </w:p>
          <w:p w14:paraId="0BB5730E">
            <w:pPr>
              <w:spacing w:before="65" w:line="228" w:lineRule="auto"/>
              <w:ind w:left="483"/>
              <w:rPr>
                <w:rFonts w:ascii="宋体" w:hAnsi="宋体" w:eastAsia="宋体" w:cs="宋体"/>
                <w:sz w:val="20"/>
                <w:szCs w:val="20"/>
              </w:rPr>
            </w:pPr>
            <w:r>
              <w:rPr>
                <w:rFonts w:ascii="宋体" w:hAnsi="宋体" w:eastAsia="宋体" w:cs="宋体"/>
                <w:spacing w:val="4"/>
                <w:sz w:val="20"/>
                <w:szCs w:val="20"/>
              </w:rPr>
              <w:t>给水</w:t>
            </w:r>
          </w:p>
        </w:tc>
        <w:tc>
          <w:tcPr>
            <w:tcW w:w="5525" w:type="dxa"/>
            <w:tcBorders>
              <w:left w:val="single" w:color="000000" w:sz="4" w:space="0"/>
              <w:right w:val="single" w:color="000000" w:sz="4" w:space="0"/>
            </w:tcBorders>
          </w:tcPr>
          <w:p w14:paraId="4B0B9CDA">
            <w:pPr>
              <w:spacing w:before="39" w:line="250" w:lineRule="auto"/>
              <w:ind w:left="141" w:right="134" w:firstLine="18"/>
              <w:rPr>
                <w:rFonts w:ascii="宋体" w:hAnsi="宋体" w:eastAsia="宋体" w:cs="宋体"/>
                <w:sz w:val="20"/>
                <w:szCs w:val="20"/>
              </w:rPr>
            </w:pPr>
            <w:r>
              <w:rPr>
                <w:rFonts w:ascii="宋体" w:hAnsi="宋体" w:eastAsia="宋体" w:cs="宋体"/>
                <w:spacing w:val="6"/>
                <w:sz w:val="20"/>
                <w:szCs w:val="20"/>
              </w:rPr>
              <w:t>采用打井取水</w:t>
            </w:r>
            <w:r>
              <w:rPr>
                <w:rFonts w:ascii="宋体" w:hAnsi="宋体" w:eastAsia="宋体" w:cs="宋体"/>
                <w:spacing w:val="4"/>
                <w:sz w:val="20"/>
                <w:szCs w:val="20"/>
              </w:rPr>
              <w:t>，</w:t>
            </w:r>
            <w:r>
              <w:rPr>
                <w:rFonts w:ascii="宋体" w:hAnsi="宋体" w:eastAsia="宋体" w:cs="宋体"/>
                <w:spacing w:val="3"/>
                <w:sz w:val="20"/>
                <w:szCs w:val="20"/>
              </w:rPr>
              <w:t xml:space="preserve">水井位于场地东侧 </w:t>
            </w:r>
            <w:r>
              <w:rPr>
                <w:rFonts w:ascii="Times New Roman" w:hAnsi="Times New Roman" w:eastAsia="Times New Roman" w:cs="Times New Roman"/>
                <w:spacing w:val="3"/>
                <w:sz w:val="20"/>
                <w:szCs w:val="20"/>
              </w:rPr>
              <w:t>300</w:t>
            </w:r>
            <w:r>
              <w:rPr>
                <w:rFonts w:ascii="Times New Roman" w:hAnsi="Times New Roman" w:eastAsia="Times New Roman" w:cs="Times New Roman"/>
                <w:sz w:val="20"/>
                <w:szCs w:val="20"/>
              </w:rPr>
              <w:t>m</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 xml:space="preserve">左右，深 </w:t>
            </w:r>
            <w:r>
              <w:rPr>
                <w:rFonts w:ascii="Times New Roman" w:hAnsi="Times New Roman" w:eastAsia="Times New Roman" w:cs="Times New Roman"/>
                <w:spacing w:val="3"/>
                <w:sz w:val="20"/>
                <w:szCs w:val="20"/>
              </w:rPr>
              <w:t>90</w:t>
            </w:r>
            <w:r>
              <w:rPr>
                <w:rFonts w:ascii="Times New Roman" w:hAnsi="Times New Roman" w:eastAsia="Times New Roman" w:cs="Times New Roman"/>
                <w:sz w:val="20"/>
                <w:szCs w:val="20"/>
              </w:rPr>
              <w:t>m</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w:t>
            </w:r>
            <w:r>
              <w:rPr>
                <w:rFonts w:ascii="宋体" w:hAnsi="宋体" w:eastAsia="宋体" w:cs="宋体"/>
                <w:sz w:val="20"/>
                <w:szCs w:val="20"/>
              </w:rPr>
              <w:t xml:space="preserve"> </w:t>
            </w:r>
            <w:r>
              <w:rPr>
                <w:rFonts w:ascii="宋体" w:hAnsi="宋体" w:eastAsia="宋体" w:cs="宋体"/>
                <w:spacing w:val="12"/>
                <w:sz w:val="20"/>
                <w:szCs w:val="20"/>
              </w:rPr>
              <w:t>厂区</w:t>
            </w:r>
            <w:r>
              <w:rPr>
                <w:rFonts w:ascii="宋体" w:hAnsi="宋体" w:eastAsia="宋体" w:cs="宋体"/>
                <w:spacing w:val="11"/>
                <w:sz w:val="20"/>
                <w:szCs w:val="20"/>
              </w:rPr>
              <w:t>内</w:t>
            </w:r>
            <w:r>
              <w:rPr>
                <w:rFonts w:ascii="宋体" w:hAnsi="宋体" w:eastAsia="宋体" w:cs="宋体"/>
                <w:spacing w:val="6"/>
                <w:sz w:val="20"/>
                <w:szCs w:val="20"/>
              </w:rPr>
              <w:t xml:space="preserve">设置有一个 </w:t>
            </w:r>
            <w:r>
              <w:rPr>
                <w:rFonts w:ascii="Times New Roman" w:hAnsi="Times New Roman" w:eastAsia="Times New Roman" w:cs="Times New Roman"/>
                <w:spacing w:val="6"/>
                <w:sz w:val="20"/>
                <w:szCs w:val="20"/>
              </w:rPr>
              <w:t>300</w:t>
            </w:r>
            <w:r>
              <w:rPr>
                <w:rFonts w:ascii="Times New Roman" w:hAnsi="Times New Roman" w:eastAsia="Times New Roman" w:cs="Times New Roman"/>
                <w:sz w:val="20"/>
                <w:szCs w:val="20"/>
              </w:rPr>
              <w:t>m</w:t>
            </w:r>
            <w:r>
              <w:rPr>
                <w:rFonts w:ascii="Times New Roman" w:hAnsi="Times New Roman" w:eastAsia="Times New Roman" w:cs="Times New Roman"/>
                <w:spacing w:val="6"/>
                <w:position w:val="6"/>
                <w:sz w:val="13"/>
                <w:szCs w:val="13"/>
              </w:rPr>
              <w:t xml:space="preserve">3 </w:t>
            </w:r>
            <w:r>
              <w:rPr>
                <w:rFonts w:ascii="宋体" w:hAnsi="宋体" w:eastAsia="宋体" w:cs="宋体"/>
                <w:spacing w:val="6"/>
                <w:sz w:val="20"/>
                <w:szCs w:val="20"/>
              </w:rPr>
              <w:t>的蓄水池，通过水泵抽入蓄水池</w:t>
            </w:r>
          </w:p>
          <w:p w14:paraId="178D3CF3">
            <w:pPr>
              <w:spacing w:line="226" w:lineRule="auto"/>
              <w:ind w:left="2684"/>
              <w:rPr>
                <w:rFonts w:ascii="宋体" w:hAnsi="宋体" w:eastAsia="宋体" w:cs="宋体"/>
                <w:sz w:val="20"/>
                <w:szCs w:val="20"/>
              </w:rPr>
            </w:pPr>
            <w:r>
              <w:rPr>
                <w:rFonts w:ascii="宋体" w:hAnsi="宋体" w:eastAsia="宋体" w:cs="宋体"/>
                <w:sz w:val="20"/>
                <w:szCs w:val="20"/>
              </w:rPr>
              <w:t>内</w:t>
            </w:r>
          </w:p>
        </w:tc>
        <w:tc>
          <w:tcPr>
            <w:tcW w:w="887" w:type="dxa"/>
            <w:vMerge w:val="continue"/>
            <w:tcBorders>
              <w:top w:val="nil"/>
              <w:left w:val="single" w:color="000000" w:sz="4" w:space="0"/>
              <w:bottom w:val="nil"/>
              <w:right w:val="single" w:color="000000" w:sz="4" w:space="0"/>
            </w:tcBorders>
          </w:tcPr>
          <w:p w14:paraId="20680361"/>
        </w:tc>
        <w:tc>
          <w:tcPr>
            <w:tcW w:w="1262" w:type="dxa"/>
            <w:tcBorders>
              <w:left w:val="single" w:color="000000" w:sz="4" w:space="0"/>
              <w:right w:val="nil"/>
            </w:tcBorders>
          </w:tcPr>
          <w:p w14:paraId="5156768E">
            <w:pPr>
              <w:spacing w:before="272" w:line="281" w:lineRule="exact"/>
              <w:ind w:left="59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6DC07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758" w:type="dxa"/>
            <w:vMerge w:val="restart"/>
            <w:tcBorders>
              <w:left w:val="nil"/>
              <w:bottom w:val="nil"/>
              <w:right w:val="single" w:color="000000" w:sz="4" w:space="0"/>
            </w:tcBorders>
          </w:tcPr>
          <w:p w14:paraId="44D9B9B7">
            <w:pPr>
              <w:spacing w:before="181" w:line="272" w:lineRule="exact"/>
              <w:ind w:left="182"/>
              <w:rPr>
                <w:rFonts w:ascii="宋体" w:hAnsi="宋体" w:eastAsia="宋体" w:cs="宋体"/>
                <w:sz w:val="20"/>
                <w:szCs w:val="20"/>
              </w:rPr>
            </w:pPr>
            <w:r>
              <w:rPr>
                <w:rFonts w:ascii="宋体" w:hAnsi="宋体" w:eastAsia="宋体" w:cs="宋体"/>
                <w:spacing w:val="3"/>
                <w:position w:val="4"/>
                <w:sz w:val="20"/>
                <w:szCs w:val="20"/>
              </w:rPr>
              <w:t>办</w:t>
            </w:r>
            <w:r>
              <w:rPr>
                <w:rFonts w:ascii="宋体" w:hAnsi="宋体" w:eastAsia="宋体" w:cs="宋体"/>
                <w:spacing w:val="2"/>
                <w:position w:val="4"/>
                <w:sz w:val="20"/>
                <w:szCs w:val="20"/>
              </w:rPr>
              <w:t>公</w:t>
            </w:r>
          </w:p>
          <w:p w14:paraId="6FB6849C">
            <w:pPr>
              <w:spacing w:line="228" w:lineRule="auto"/>
              <w:ind w:left="179"/>
              <w:rPr>
                <w:rFonts w:ascii="宋体" w:hAnsi="宋体" w:eastAsia="宋体" w:cs="宋体"/>
                <w:sz w:val="20"/>
                <w:szCs w:val="20"/>
              </w:rPr>
            </w:pPr>
            <w:r>
              <w:rPr>
                <w:rFonts w:ascii="宋体" w:hAnsi="宋体" w:eastAsia="宋体" w:cs="宋体"/>
                <w:spacing w:val="4"/>
                <w:sz w:val="20"/>
                <w:szCs w:val="20"/>
              </w:rPr>
              <w:t>生</w:t>
            </w:r>
            <w:r>
              <w:rPr>
                <w:rFonts w:ascii="宋体" w:hAnsi="宋体" w:eastAsia="宋体" w:cs="宋体"/>
                <w:spacing w:val="3"/>
                <w:sz w:val="20"/>
                <w:szCs w:val="20"/>
              </w:rPr>
              <w:t>活</w:t>
            </w:r>
          </w:p>
          <w:p w14:paraId="480A3A6D">
            <w:pPr>
              <w:spacing w:before="23" w:line="229" w:lineRule="auto"/>
              <w:ind w:left="181"/>
              <w:rPr>
                <w:rFonts w:ascii="宋体" w:hAnsi="宋体" w:eastAsia="宋体" w:cs="宋体"/>
                <w:sz w:val="20"/>
                <w:szCs w:val="20"/>
              </w:rPr>
            </w:pPr>
            <w:r>
              <w:rPr>
                <w:rFonts w:ascii="宋体" w:hAnsi="宋体" w:eastAsia="宋体" w:cs="宋体"/>
                <w:spacing w:val="3"/>
                <w:sz w:val="20"/>
                <w:szCs w:val="20"/>
              </w:rPr>
              <w:t>设施</w:t>
            </w:r>
          </w:p>
        </w:tc>
        <w:tc>
          <w:tcPr>
            <w:tcW w:w="1378" w:type="dxa"/>
            <w:gridSpan w:val="2"/>
            <w:tcBorders>
              <w:left w:val="single" w:color="000000" w:sz="4" w:space="0"/>
              <w:right w:val="single" w:color="000000" w:sz="4" w:space="0"/>
            </w:tcBorders>
          </w:tcPr>
          <w:p w14:paraId="4B7034D9">
            <w:pPr>
              <w:spacing w:before="171" w:line="228" w:lineRule="auto"/>
              <w:ind w:left="381"/>
              <w:rPr>
                <w:rFonts w:ascii="宋体" w:hAnsi="宋体" w:eastAsia="宋体" w:cs="宋体"/>
                <w:sz w:val="20"/>
                <w:szCs w:val="20"/>
              </w:rPr>
            </w:pPr>
            <w:r>
              <w:rPr>
                <w:rFonts w:ascii="宋体" w:hAnsi="宋体" w:eastAsia="宋体" w:cs="宋体"/>
                <w:spacing w:val="6"/>
                <w:sz w:val="20"/>
                <w:szCs w:val="20"/>
              </w:rPr>
              <w:t>办</w:t>
            </w:r>
            <w:r>
              <w:rPr>
                <w:rFonts w:ascii="宋体" w:hAnsi="宋体" w:eastAsia="宋体" w:cs="宋体"/>
                <w:spacing w:val="5"/>
                <w:sz w:val="20"/>
                <w:szCs w:val="20"/>
              </w:rPr>
              <w:t>公区</w:t>
            </w:r>
          </w:p>
        </w:tc>
        <w:tc>
          <w:tcPr>
            <w:tcW w:w="5525" w:type="dxa"/>
            <w:tcBorders>
              <w:left w:val="single" w:color="000000" w:sz="4" w:space="0"/>
              <w:right w:val="single" w:color="000000" w:sz="4" w:space="0"/>
            </w:tcBorders>
          </w:tcPr>
          <w:p w14:paraId="2AA84D16">
            <w:pPr>
              <w:spacing w:before="37" w:line="239" w:lineRule="auto"/>
              <w:ind w:left="1820" w:right="195" w:hanging="1653"/>
              <w:rPr>
                <w:rFonts w:ascii="宋体" w:hAnsi="宋体" w:eastAsia="宋体" w:cs="宋体"/>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z w:val="20"/>
                <w:szCs w:val="20"/>
              </w:rPr>
              <w:t>F</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，靠近厂区西</w:t>
            </w:r>
            <w:r>
              <w:rPr>
                <w:rFonts w:ascii="宋体" w:hAnsi="宋体" w:eastAsia="宋体" w:cs="宋体"/>
                <w:spacing w:val="1"/>
                <w:sz w:val="20"/>
                <w:szCs w:val="20"/>
              </w:rPr>
              <w:t xml:space="preserve">北侧侧门，建筑面积 </w:t>
            </w:r>
            <w:r>
              <w:rPr>
                <w:rFonts w:ascii="Times New Roman" w:hAnsi="Times New Roman" w:eastAsia="Times New Roman" w:cs="Times New Roman"/>
                <w:spacing w:val="1"/>
                <w:sz w:val="20"/>
                <w:szCs w:val="20"/>
              </w:rPr>
              <w:t>240</w:t>
            </w:r>
            <w:r>
              <w:rPr>
                <w:rFonts w:ascii="Times New Roman" w:hAnsi="Times New Roman" w:eastAsia="Times New Roman" w:cs="Times New Roman"/>
                <w:sz w:val="20"/>
                <w:szCs w:val="20"/>
              </w:rPr>
              <w:t>m</w:t>
            </w:r>
            <w:r>
              <w:rPr>
                <w:rFonts w:ascii="Times New Roman" w:hAnsi="Times New Roman" w:eastAsia="Times New Roman" w:cs="Times New Roman"/>
                <w:spacing w:val="1"/>
                <w:position w:val="6"/>
                <w:sz w:val="13"/>
                <w:szCs w:val="13"/>
              </w:rPr>
              <w:t xml:space="preserve">2 </w:t>
            </w:r>
            <w:r>
              <w:rPr>
                <w:rFonts w:ascii="宋体" w:hAnsi="宋体" w:eastAsia="宋体" w:cs="宋体"/>
                <w:spacing w:val="1"/>
                <w:sz w:val="20"/>
                <w:szCs w:val="20"/>
              </w:rPr>
              <w:t>，砖混结构，</w:t>
            </w:r>
            <w:r>
              <w:rPr>
                <w:rFonts w:ascii="宋体" w:hAnsi="宋体" w:eastAsia="宋体" w:cs="宋体"/>
                <w:sz w:val="20"/>
                <w:szCs w:val="20"/>
              </w:rPr>
              <w:t xml:space="preserve"> </w:t>
            </w:r>
            <w:r>
              <w:rPr>
                <w:rFonts w:ascii="宋体" w:hAnsi="宋体" w:eastAsia="宋体" w:cs="宋体"/>
                <w:spacing w:val="15"/>
                <w:sz w:val="20"/>
                <w:szCs w:val="20"/>
              </w:rPr>
              <w:t>用</w:t>
            </w:r>
            <w:r>
              <w:rPr>
                <w:rFonts w:ascii="宋体" w:hAnsi="宋体" w:eastAsia="宋体" w:cs="宋体"/>
                <w:spacing w:val="8"/>
                <w:sz w:val="20"/>
                <w:szCs w:val="20"/>
              </w:rPr>
              <w:t>于员工休息、办公</w:t>
            </w:r>
          </w:p>
        </w:tc>
        <w:tc>
          <w:tcPr>
            <w:tcW w:w="887" w:type="dxa"/>
            <w:vMerge w:val="continue"/>
            <w:tcBorders>
              <w:top w:val="nil"/>
              <w:left w:val="single" w:color="000000" w:sz="4" w:space="0"/>
              <w:bottom w:val="nil"/>
              <w:right w:val="single" w:color="000000" w:sz="4" w:space="0"/>
            </w:tcBorders>
          </w:tcPr>
          <w:p w14:paraId="15A2202F"/>
        </w:tc>
        <w:tc>
          <w:tcPr>
            <w:tcW w:w="1262" w:type="dxa"/>
            <w:vMerge w:val="restart"/>
            <w:tcBorders>
              <w:left w:val="single" w:color="000000" w:sz="4" w:space="0"/>
              <w:bottom w:val="nil"/>
              <w:right w:val="nil"/>
            </w:tcBorders>
          </w:tcPr>
          <w:p w14:paraId="07B960BA">
            <w:pPr>
              <w:spacing w:before="182" w:line="260" w:lineRule="auto"/>
              <w:ind w:left="113" w:right="139"/>
              <w:jc w:val="right"/>
              <w:rPr>
                <w:rFonts w:ascii="宋体" w:hAnsi="宋体" w:eastAsia="宋体" w:cs="宋体"/>
                <w:sz w:val="20"/>
                <w:szCs w:val="20"/>
              </w:rPr>
            </w:pPr>
            <w:r>
              <w:rPr>
                <w:rFonts w:ascii="宋体" w:hAnsi="宋体" w:eastAsia="宋体" w:cs="宋体"/>
                <w:spacing w:val="1"/>
                <w:sz w:val="20"/>
                <w:szCs w:val="20"/>
              </w:rPr>
              <w:t>生活垃圾</w:t>
            </w:r>
            <w:r>
              <w:rPr>
                <w:rFonts w:ascii="宋体" w:hAnsi="宋体" w:eastAsia="宋体" w:cs="宋体"/>
                <w:sz w:val="20"/>
                <w:szCs w:val="20"/>
              </w:rPr>
              <w:t xml:space="preserve">、 </w:t>
            </w:r>
            <w:r>
              <w:rPr>
                <w:rFonts w:ascii="宋体" w:hAnsi="宋体" w:eastAsia="宋体" w:cs="宋体"/>
                <w:spacing w:val="1"/>
                <w:sz w:val="20"/>
                <w:szCs w:val="20"/>
              </w:rPr>
              <w:t>生活污水</w:t>
            </w:r>
            <w:r>
              <w:rPr>
                <w:rFonts w:ascii="宋体" w:hAnsi="宋体" w:eastAsia="宋体" w:cs="宋体"/>
                <w:sz w:val="20"/>
                <w:szCs w:val="20"/>
              </w:rPr>
              <w:t xml:space="preserve">、 </w:t>
            </w:r>
            <w:r>
              <w:rPr>
                <w:rFonts w:ascii="宋体" w:hAnsi="宋体" w:eastAsia="宋体" w:cs="宋体"/>
                <w:spacing w:val="8"/>
                <w:sz w:val="20"/>
                <w:szCs w:val="20"/>
              </w:rPr>
              <w:t>食</w:t>
            </w:r>
            <w:r>
              <w:rPr>
                <w:rFonts w:ascii="宋体" w:hAnsi="宋体" w:eastAsia="宋体" w:cs="宋体"/>
                <w:spacing w:val="7"/>
                <w:sz w:val="20"/>
                <w:szCs w:val="20"/>
              </w:rPr>
              <w:t>堂油烟</w:t>
            </w:r>
          </w:p>
        </w:tc>
      </w:tr>
      <w:tr w14:paraId="19DAB7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8" w:type="dxa"/>
            <w:vMerge w:val="continue"/>
            <w:tcBorders>
              <w:top w:val="nil"/>
              <w:left w:val="nil"/>
              <w:right w:val="single" w:color="000000" w:sz="4" w:space="0"/>
            </w:tcBorders>
          </w:tcPr>
          <w:p w14:paraId="0B5AE16A"/>
        </w:tc>
        <w:tc>
          <w:tcPr>
            <w:tcW w:w="1378" w:type="dxa"/>
            <w:gridSpan w:val="2"/>
            <w:tcBorders>
              <w:left w:val="single" w:color="000000" w:sz="4" w:space="0"/>
              <w:right w:val="single" w:color="000000" w:sz="4" w:space="0"/>
            </w:tcBorders>
          </w:tcPr>
          <w:p w14:paraId="38865263">
            <w:pPr>
              <w:spacing w:before="171" w:line="228" w:lineRule="auto"/>
              <w:ind w:left="379"/>
              <w:rPr>
                <w:rFonts w:ascii="宋体" w:hAnsi="宋体" w:eastAsia="宋体" w:cs="宋体"/>
                <w:sz w:val="20"/>
                <w:szCs w:val="20"/>
              </w:rPr>
            </w:pPr>
            <w:r>
              <w:rPr>
                <w:rFonts w:ascii="宋体" w:hAnsi="宋体" w:eastAsia="宋体" w:cs="宋体"/>
                <w:spacing w:val="7"/>
                <w:sz w:val="20"/>
                <w:szCs w:val="20"/>
              </w:rPr>
              <w:t>生</w:t>
            </w:r>
            <w:r>
              <w:rPr>
                <w:rFonts w:ascii="宋体" w:hAnsi="宋体" w:eastAsia="宋体" w:cs="宋体"/>
                <w:spacing w:val="6"/>
                <w:sz w:val="20"/>
                <w:szCs w:val="20"/>
              </w:rPr>
              <w:t>活区</w:t>
            </w:r>
          </w:p>
        </w:tc>
        <w:tc>
          <w:tcPr>
            <w:tcW w:w="5525" w:type="dxa"/>
            <w:tcBorders>
              <w:left w:val="single" w:color="000000" w:sz="4" w:space="0"/>
              <w:right w:val="single" w:color="000000" w:sz="4" w:space="0"/>
            </w:tcBorders>
          </w:tcPr>
          <w:p w14:paraId="14136042">
            <w:pPr>
              <w:spacing w:before="36" w:line="239" w:lineRule="auto"/>
              <w:ind w:left="1927" w:right="135" w:hanging="1788"/>
              <w:rPr>
                <w:rFonts w:ascii="宋体" w:hAnsi="宋体" w:eastAsia="宋体" w:cs="宋体"/>
                <w:sz w:val="20"/>
                <w:szCs w:val="20"/>
              </w:rPr>
            </w:pPr>
            <w:r>
              <w:rPr>
                <w:rFonts w:ascii="宋体" w:hAnsi="宋体" w:eastAsia="宋体" w:cs="宋体"/>
                <w:spacing w:val="18"/>
                <w:sz w:val="20"/>
                <w:szCs w:val="20"/>
              </w:rPr>
              <w:t>位</w:t>
            </w:r>
            <w:r>
              <w:rPr>
                <w:rFonts w:ascii="宋体" w:hAnsi="宋体" w:eastAsia="宋体" w:cs="宋体"/>
                <w:spacing w:val="15"/>
                <w:sz w:val="20"/>
                <w:szCs w:val="20"/>
              </w:rPr>
              <w:t>于</w:t>
            </w:r>
            <w:r>
              <w:rPr>
                <w:rFonts w:ascii="宋体" w:hAnsi="宋体" w:eastAsia="宋体" w:cs="宋体"/>
                <w:spacing w:val="9"/>
                <w:sz w:val="20"/>
                <w:szCs w:val="20"/>
              </w:rPr>
              <w:t>厂区中央，靠近办公区，设置有食堂和宿舍，主要用</w:t>
            </w:r>
            <w:r>
              <w:rPr>
                <w:rFonts w:ascii="宋体" w:hAnsi="宋体" w:eastAsia="宋体" w:cs="宋体"/>
                <w:sz w:val="20"/>
                <w:szCs w:val="20"/>
              </w:rPr>
              <w:t xml:space="preserve"> </w:t>
            </w:r>
            <w:r>
              <w:rPr>
                <w:rFonts w:ascii="宋体" w:hAnsi="宋体" w:eastAsia="宋体" w:cs="宋体"/>
                <w:spacing w:val="10"/>
                <w:sz w:val="20"/>
                <w:szCs w:val="20"/>
              </w:rPr>
              <w:t>于</w:t>
            </w:r>
            <w:r>
              <w:rPr>
                <w:rFonts w:ascii="宋体" w:hAnsi="宋体" w:eastAsia="宋体" w:cs="宋体"/>
                <w:spacing w:val="8"/>
                <w:sz w:val="20"/>
                <w:szCs w:val="20"/>
              </w:rPr>
              <w:t>员工就餐、住宿</w:t>
            </w:r>
          </w:p>
        </w:tc>
        <w:tc>
          <w:tcPr>
            <w:tcW w:w="887" w:type="dxa"/>
            <w:vMerge w:val="continue"/>
            <w:tcBorders>
              <w:top w:val="nil"/>
              <w:left w:val="single" w:color="000000" w:sz="4" w:space="0"/>
              <w:bottom w:val="nil"/>
              <w:right w:val="single" w:color="000000" w:sz="4" w:space="0"/>
            </w:tcBorders>
          </w:tcPr>
          <w:p w14:paraId="4660719C"/>
        </w:tc>
        <w:tc>
          <w:tcPr>
            <w:tcW w:w="1262" w:type="dxa"/>
            <w:vMerge w:val="continue"/>
            <w:tcBorders>
              <w:top w:val="nil"/>
              <w:left w:val="single" w:color="000000" w:sz="4" w:space="0"/>
              <w:right w:val="nil"/>
            </w:tcBorders>
          </w:tcPr>
          <w:p w14:paraId="7CF338E6"/>
        </w:tc>
      </w:tr>
      <w:tr w14:paraId="7A828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758" w:type="dxa"/>
            <w:tcBorders>
              <w:left w:val="nil"/>
              <w:right w:val="single" w:color="000000" w:sz="4" w:space="0"/>
            </w:tcBorders>
          </w:tcPr>
          <w:p w14:paraId="76BDC11F">
            <w:pPr>
              <w:spacing w:before="37" w:line="273" w:lineRule="exact"/>
              <w:ind w:left="177"/>
              <w:rPr>
                <w:rFonts w:ascii="宋体" w:hAnsi="宋体" w:eastAsia="宋体" w:cs="宋体"/>
                <w:sz w:val="20"/>
                <w:szCs w:val="20"/>
              </w:rPr>
            </w:pPr>
            <w:r>
              <w:rPr>
                <w:rFonts w:ascii="宋体" w:hAnsi="宋体" w:eastAsia="宋体" w:cs="宋体"/>
                <w:spacing w:val="5"/>
                <w:position w:val="4"/>
                <w:sz w:val="20"/>
                <w:szCs w:val="20"/>
              </w:rPr>
              <w:t>仓储</w:t>
            </w:r>
          </w:p>
          <w:p w14:paraId="68A6C17D">
            <w:pPr>
              <w:spacing w:line="225" w:lineRule="auto"/>
              <w:ind w:left="181"/>
              <w:rPr>
                <w:rFonts w:ascii="宋体" w:hAnsi="宋体" w:eastAsia="宋体" w:cs="宋体"/>
                <w:sz w:val="20"/>
                <w:szCs w:val="20"/>
              </w:rPr>
            </w:pPr>
            <w:r>
              <w:rPr>
                <w:rFonts w:ascii="宋体" w:hAnsi="宋体" w:eastAsia="宋体" w:cs="宋体"/>
                <w:spacing w:val="3"/>
                <w:sz w:val="20"/>
                <w:szCs w:val="20"/>
              </w:rPr>
              <w:t>设施</w:t>
            </w:r>
          </w:p>
        </w:tc>
        <w:tc>
          <w:tcPr>
            <w:tcW w:w="1378" w:type="dxa"/>
            <w:gridSpan w:val="2"/>
            <w:tcBorders>
              <w:left w:val="single" w:color="000000" w:sz="4" w:space="0"/>
              <w:right w:val="single" w:color="000000" w:sz="4" w:space="0"/>
            </w:tcBorders>
          </w:tcPr>
          <w:p w14:paraId="6059C2BB">
            <w:pPr>
              <w:spacing w:before="173" w:line="228" w:lineRule="auto"/>
              <w:ind w:left="483"/>
              <w:rPr>
                <w:rFonts w:ascii="宋体" w:hAnsi="宋体" w:eastAsia="宋体" w:cs="宋体"/>
                <w:sz w:val="20"/>
                <w:szCs w:val="20"/>
              </w:rPr>
            </w:pPr>
            <w:r>
              <w:rPr>
                <w:rFonts w:ascii="宋体" w:hAnsi="宋体" w:eastAsia="宋体" w:cs="宋体"/>
                <w:spacing w:val="4"/>
                <w:sz w:val="20"/>
                <w:szCs w:val="20"/>
              </w:rPr>
              <w:t>库房</w:t>
            </w:r>
          </w:p>
        </w:tc>
        <w:tc>
          <w:tcPr>
            <w:tcW w:w="5525" w:type="dxa"/>
            <w:tcBorders>
              <w:left w:val="single" w:color="000000" w:sz="4" w:space="0"/>
              <w:right w:val="single" w:color="000000" w:sz="4" w:space="0"/>
            </w:tcBorders>
          </w:tcPr>
          <w:p w14:paraId="6E907678">
            <w:pPr>
              <w:spacing w:before="173" w:line="228" w:lineRule="auto"/>
              <w:ind w:left="350"/>
              <w:rPr>
                <w:rFonts w:ascii="宋体" w:hAnsi="宋体" w:eastAsia="宋体" w:cs="宋体"/>
                <w:sz w:val="20"/>
                <w:szCs w:val="20"/>
              </w:rPr>
            </w:pPr>
            <w:r>
              <w:rPr>
                <w:rFonts w:ascii="宋体" w:hAnsi="宋体" w:eastAsia="宋体" w:cs="宋体"/>
                <w:spacing w:val="18"/>
                <w:sz w:val="20"/>
                <w:szCs w:val="20"/>
              </w:rPr>
              <w:t>位</w:t>
            </w:r>
            <w:r>
              <w:rPr>
                <w:rFonts w:ascii="宋体" w:hAnsi="宋体" w:eastAsia="宋体" w:cs="宋体"/>
                <w:spacing w:val="13"/>
                <w:sz w:val="20"/>
                <w:szCs w:val="20"/>
              </w:rPr>
              <w:t>于</w:t>
            </w:r>
            <w:r>
              <w:rPr>
                <w:rFonts w:ascii="宋体" w:hAnsi="宋体" w:eastAsia="宋体" w:cs="宋体"/>
                <w:spacing w:val="9"/>
                <w:sz w:val="20"/>
                <w:szCs w:val="20"/>
              </w:rPr>
              <w:t>生活区旁边，主要用于储存猪饲料、消毒用品等</w:t>
            </w:r>
          </w:p>
        </w:tc>
        <w:tc>
          <w:tcPr>
            <w:tcW w:w="887" w:type="dxa"/>
            <w:vMerge w:val="continue"/>
            <w:tcBorders>
              <w:top w:val="nil"/>
              <w:left w:val="single" w:color="000000" w:sz="4" w:space="0"/>
              <w:bottom w:val="nil"/>
              <w:right w:val="single" w:color="000000" w:sz="4" w:space="0"/>
            </w:tcBorders>
          </w:tcPr>
          <w:p w14:paraId="371DC112"/>
        </w:tc>
        <w:tc>
          <w:tcPr>
            <w:tcW w:w="1262" w:type="dxa"/>
            <w:tcBorders>
              <w:left w:val="single" w:color="000000" w:sz="4" w:space="0"/>
              <w:right w:val="nil"/>
            </w:tcBorders>
          </w:tcPr>
          <w:p w14:paraId="0B84A38A">
            <w:pPr>
              <w:spacing w:before="173" w:line="228" w:lineRule="auto"/>
              <w:ind w:left="425"/>
              <w:rPr>
                <w:rFonts w:ascii="宋体" w:hAnsi="宋体" w:eastAsia="宋体" w:cs="宋体"/>
                <w:sz w:val="20"/>
                <w:szCs w:val="20"/>
              </w:rPr>
            </w:pPr>
            <w:r>
              <w:rPr>
                <w:rFonts w:ascii="宋体" w:hAnsi="宋体" w:eastAsia="宋体" w:cs="宋体"/>
                <w:spacing w:val="4"/>
                <w:sz w:val="20"/>
                <w:szCs w:val="20"/>
              </w:rPr>
              <w:t>异</w:t>
            </w:r>
            <w:r>
              <w:rPr>
                <w:rFonts w:ascii="宋体" w:hAnsi="宋体" w:eastAsia="宋体" w:cs="宋体"/>
                <w:spacing w:val="3"/>
                <w:sz w:val="20"/>
                <w:szCs w:val="20"/>
              </w:rPr>
              <w:t>味</w:t>
            </w:r>
          </w:p>
        </w:tc>
      </w:tr>
      <w:tr w14:paraId="199026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1" w:hRule="atLeast"/>
        </w:trPr>
        <w:tc>
          <w:tcPr>
            <w:tcW w:w="758" w:type="dxa"/>
            <w:vMerge w:val="restart"/>
            <w:tcBorders>
              <w:left w:val="nil"/>
              <w:bottom w:val="nil"/>
              <w:right w:val="single" w:color="000000" w:sz="4" w:space="0"/>
            </w:tcBorders>
          </w:tcPr>
          <w:p w14:paraId="7CF4E38F">
            <w:pPr>
              <w:spacing w:line="299" w:lineRule="auto"/>
            </w:pPr>
          </w:p>
          <w:p w14:paraId="59CAE2C1">
            <w:pPr>
              <w:spacing w:line="299" w:lineRule="auto"/>
            </w:pPr>
          </w:p>
          <w:p w14:paraId="5769DF0D">
            <w:pPr>
              <w:spacing w:line="299" w:lineRule="auto"/>
            </w:pPr>
          </w:p>
          <w:p w14:paraId="139EE6DE">
            <w:pPr>
              <w:spacing w:line="300" w:lineRule="auto"/>
            </w:pPr>
          </w:p>
          <w:p w14:paraId="520B90C3">
            <w:pPr>
              <w:spacing w:before="65" w:line="271" w:lineRule="exact"/>
              <w:ind w:left="177"/>
              <w:rPr>
                <w:rFonts w:ascii="宋体" w:hAnsi="宋体" w:eastAsia="宋体" w:cs="宋体"/>
                <w:sz w:val="20"/>
                <w:szCs w:val="20"/>
              </w:rPr>
            </w:pPr>
            <w:r>
              <w:rPr>
                <w:rFonts w:ascii="宋体" w:hAnsi="宋体" w:eastAsia="宋体" w:cs="宋体"/>
                <w:spacing w:val="5"/>
                <w:position w:val="4"/>
                <w:sz w:val="20"/>
                <w:szCs w:val="20"/>
              </w:rPr>
              <w:t>环</w:t>
            </w:r>
            <w:r>
              <w:rPr>
                <w:rFonts w:ascii="宋体" w:hAnsi="宋体" w:eastAsia="宋体" w:cs="宋体"/>
                <w:spacing w:val="4"/>
                <w:position w:val="4"/>
                <w:sz w:val="20"/>
                <w:szCs w:val="20"/>
              </w:rPr>
              <w:t>保</w:t>
            </w:r>
          </w:p>
          <w:p w14:paraId="20BD78EF">
            <w:pPr>
              <w:spacing w:line="228" w:lineRule="auto"/>
              <w:ind w:left="180"/>
              <w:rPr>
                <w:rFonts w:ascii="宋体" w:hAnsi="宋体" w:eastAsia="宋体" w:cs="宋体"/>
                <w:sz w:val="20"/>
                <w:szCs w:val="20"/>
              </w:rPr>
            </w:pPr>
            <w:r>
              <w:rPr>
                <w:rFonts w:ascii="宋体" w:hAnsi="宋体" w:eastAsia="宋体" w:cs="宋体"/>
                <w:spacing w:val="4"/>
                <w:sz w:val="20"/>
                <w:szCs w:val="20"/>
              </w:rPr>
              <w:t>工</w:t>
            </w:r>
            <w:r>
              <w:rPr>
                <w:rFonts w:ascii="宋体" w:hAnsi="宋体" w:eastAsia="宋体" w:cs="宋体"/>
                <w:spacing w:val="3"/>
                <w:sz w:val="20"/>
                <w:szCs w:val="20"/>
              </w:rPr>
              <w:t>程</w:t>
            </w:r>
          </w:p>
        </w:tc>
        <w:tc>
          <w:tcPr>
            <w:tcW w:w="689" w:type="dxa"/>
            <w:vMerge w:val="restart"/>
            <w:tcBorders>
              <w:left w:val="single" w:color="000000" w:sz="4" w:space="0"/>
              <w:bottom w:val="nil"/>
              <w:right w:val="single" w:color="000000" w:sz="4" w:space="0"/>
            </w:tcBorders>
          </w:tcPr>
          <w:p w14:paraId="1FD5387A">
            <w:pPr>
              <w:spacing w:line="299" w:lineRule="auto"/>
            </w:pPr>
          </w:p>
          <w:p w14:paraId="51E45704">
            <w:pPr>
              <w:spacing w:line="299" w:lineRule="auto"/>
            </w:pPr>
          </w:p>
          <w:p w14:paraId="3FEB2538">
            <w:pPr>
              <w:spacing w:line="299" w:lineRule="auto"/>
            </w:pPr>
          </w:p>
          <w:p w14:paraId="3AFFBD58">
            <w:pPr>
              <w:spacing w:line="299" w:lineRule="auto"/>
            </w:pPr>
          </w:p>
          <w:p w14:paraId="000FB74F">
            <w:pPr>
              <w:spacing w:before="65" w:line="266" w:lineRule="auto"/>
              <w:ind w:left="141" w:right="132" w:hanging="4"/>
              <w:rPr>
                <w:rFonts w:ascii="宋体" w:hAnsi="宋体" w:eastAsia="宋体" w:cs="宋体"/>
                <w:sz w:val="20"/>
                <w:szCs w:val="20"/>
              </w:rPr>
            </w:pPr>
            <w:r>
              <w:rPr>
                <w:rFonts w:ascii="宋体" w:hAnsi="宋体" w:eastAsia="宋体" w:cs="宋体"/>
                <w:spacing w:val="5"/>
                <w:sz w:val="20"/>
                <w:szCs w:val="20"/>
              </w:rPr>
              <w:t>排</w:t>
            </w:r>
            <w:r>
              <w:rPr>
                <w:rFonts w:ascii="宋体" w:hAnsi="宋体" w:eastAsia="宋体" w:cs="宋体"/>
                <w:spacing w:val="4"/>
                <w:sz w:val="20"/>
                <w:szCs w:val="20"/>
              </w:rPr>
              <w:t>水</w:t>
            </w:r>
            <w:r>
              <w:rPr>
                <w:rFonts w:ascii="宋体" w:hAnsi="宋体" w:eastAsia="宋体" w:cs="宋体"/>
                <w:sz w:val="20"/>
                <w:szCs w:val="20"/>
              </w:rPr>
              <w:t xml:space="preserve"> </w:t>
            </w:r>
            <w:r>
              <w:rPr>
                <w:rFonts w:ascii="宋体" w:hAnsi="宋体" w:eastAsia="宋体" w:cs="宋体"/>
                <w:spacing w:val="3"/>
                <w:sz w:val="20"/>
                <w:szCs w:val="20"/>
              </w:rPr>
              <w:t>系</w:t>
            </w:r>
            <w:r>
              <w:rPr>
                <w:rFonts w:ascii="宋体" w:hAnsi="宋体" w:eastAsia="宋体" w:cs="宋体"/>
                <w:spacing w:val="2"/>
                <w:sz w:val="20"/>
                <w:szCs w:val="20"/>
              </w:rPr>
              <w:t>统</w:t>
            </w:r>
          </w:p>
        </w:tc>
        <w:tc>
          <w:tcPr>
            <w:tcW w:w="689" w:type="dxa"/>
            <w:tcBorders>
              <w:left w:val="single" w:color="000000" w:sz="4" w:space="0"/>
              <w:right w:val="single" w:color="000000" w:sz="4" w:space="0"/>
            </w:tcBorders>
          </w:tcPr>
          <w:p w14:paraId="75F7F91C">
            <w:pPr>
              <w:spacing w:line="256" w:lineRule="auto"/>
            </w:pPr>
          </w:p>
          <w:p w14:paraId="451C95D8">
            <w:pPr>
              <w:spacing w:line="256" w:lineRule="auto"/>
            </w:pPr>
          </w:p>
          <w:p w14:paraId="74AD4B85">
            <w:pPr>
              <w:spacing w:before="65" w:line="228" w:lineRule="auto"/>
              <w:ind w:left="145"/>
              <w:rPr>
                <w:rFonts w:ascii="宋体" w:hAnsi="宋体" w:eastAsia="宋体" w:cs="宋体"/>
                <w:sz w:val="20"/>
                <w:szCs w:val="20"/>
              </w:rPr>
            </w:pPr>
            <w:r>
              <w:rPr>
                <w:rFonts w:ascii="宋体" w:hAnsi="宋体" w:eastAsia="宋体" w:cs="宋体"/>
                <w:spacing w:val="1"/>
                <w:sz w:val="20"/>
                <w:szCs w:val="20"/>
              </w:rPr>
              <w:t>雨</w:t>
            </w:r>
            <w:r>
              <w:rPr>
                <w:rFonts w:ascii="宋体" w:hAnsi="宋体" w:eastAsia="宋体" w:cs="宋体"/>
                <w:sz w:val="20"/>
                <w:szCs w:val="20"/>
              </w:rPr>
              <w:t>水</w:t>
            </w:r>
          </w:p>
        </w:tc>
        <w:tc>
          <w:tcPr>
            <w:tcW w:w="5525" w:type="dxa"/>
            <w:tcBorders>
              <w:left w:val="single" w:color="000000" w:sz="4" w:space="0"/>
              <w:right w:val="single" w:color="000000" w:sz="4" w:space="0"/>
            </w:tcBorders>
          </w:tcPr>
          <w:p w14:paraId="3737152B">
            <w:pPr>
              <w:spacing w:before="38" w:line="228" w:lineRule="auto"/>
              <w:ind w:left="141"/>
              <w:rPr>
                <w:rFonts w:ascii="宋体" w:hAnsi="宋体" w:eastAsia="宋体" w:cs="宋体"/>
                <w:sz w:val="20"/>
                <w:szCs w:val="20"/>
              </w:rPr>
            </w:pPr>
            <w:r>
              <w:rPr>
                <w:rFonts w:ascii="宋体" w:hAnsi="宋体" w:eastAsia="宋体" w:cs="宋体"/>
                <w:spacing w:val="18"/>
                <w:sz w:val="20"/>
                <w:szCs w:val="20"/>
              </w:rPr>
              <w:t>建</w:t>
            </w:r>
            <w:r>
              <w:rPr>
                <w:rFonts w:ascii="宋体" w:hAnsi="宋体" w:eastAsia="宋体" w:cs="宋体"/>
                <w:spacing w:val="13"/>
                <w:sz w:val="20"/>
                <w:szCs w:val="20"/>
              </w:rPr>
              <w:t>立</w:t>
            </w:r>
            <w:r>
              <w:rPr>
                <w:rFonts w:ascii="宋体" w:hAnsi="宋体" w:eastAsia="宋体" w:cs="宋体"/>
                <w:spacing w:val="9"/>
                <w:sz w:val="20"/>
                <w:szCs w:val="20"/>
              </w:rPr>
              <w:t>独立的雨水收集管网系统和污水收集管网系统，净区</w:t>
            </w:r>
          </w:p>
          <w:p w14:paraId="5733E32B">
            <w:pPr>
              <w:spacing w:before="24" w:line="228" w:lineRule="auto"/>
              <w:ind w:left="149"/>
              <w:rPr>
                <w:rFonts w:ascii="宋体" w:hAnsi="宋体" w:eastAsia="宋体" w:cs="宋体"/>
                <w:sz w:val="20"/>
                <w:szCs w:val="20"/>
              </w:rPr>
            </w:pPr>
            <w:r>
              <w:rPr>
                <w:rFonts w:ascii="宋体" w:hAnsi="宋体" w:eastAsia="宋体" w:cs="宋体"/>
                <w:spacing w:val="18"/>
                <w:sz w:val="20"/>
                <w:szCs w:val="20"/>
              </w:rPr>
              <w:t>(</w:t>
            </w:r>
            <w:r>
              <w:rPr>
                <w:rFonts w:ascii="宋体" w:hAnsi="宋体" w:eastAsia="宋体" w:cs="宋体"/>
                <w:spacing w:val="12"/>
                <w:sz w:val="20"/>
                <w:szCs w:val="20"/>
              </w:rPr>
              <w:t>办公生活区) 雨水经雨水沟就近排入农灌渠，污区 (养</w:t>
            </w:r>
          </w:p>
          <w:p w14:paraId="7C9ECC92">
            <w:pPr>
              <w:spacing w:before="24" w:line="228" w:lineRule="auto"/>
              <w:ind w:left="140"/>
              <w:rPr>
                <w:rFonts w:ascii="宋体" w:hAnsi="宋体" w:eastAsia="宋体" w:cs="宋体"/>
                <w:sz w:val="20"/>
                <w:szCs w:val="20"/>
              </w:rPr>
            </w:pPr>
            <w:r>
              <w:rPr>
                <w:rFonts w:ascii="宋体" w:hAnsi="宋体" w:eastAsia="宋体" w:cs="宋体"/>
                <w:spacing w:val="14"/>
                <w:sz w:val="20"/>
                <w:szCs w:val="20"/>
              </w:rPr>
              <w:t>殖</w:t>
            </w:r>
            <w:r>
              <w:rPr>
                <w:rFonts w:ascii="宋体" w:hAnsi="宋体" w:eastAsia="宋体" w:cs="宋体"/>
                <w:spacing w:val="9"/>
                <w:sz w:val="20"/>
                <w:szCs w:val="20"/>
              </w:rPr>
              <w:t>区) 设置初期雨水收集池，初期雨水经简单沉淀处理后</w:t>
            </w:r>
          </w:p>
          <w:p w14:paraId="731B0914">
            <w:pPr>
              <w:spacing w:before="26" w:line="228" w:lineRule="auto"/>
              <w:ind w:left="141"/>
              <w:rPr>
                <w:rFonts w:ascii="宋体" w:hAnsi="宋体" w:eastAsia="宋体" w:cs="宋体"/>
                <w:sz w:val="20"/>
                <w:szCs w:val="20"/>
              </w:rPr>
            </w:pPr>
            <w:r>
              <w:rPr>
                <w:rFonts w:ascii="宋体" w:hAnsi="宋体" w:eastAsia="宋体" w:cs="宋体"/>
                <w:spacing w:val="18"/>
                <w:sz w:val="20"/>
                <w:szCs w:val="20"/>
              </w:rPr>
              <w:t>用</w:t>
            </w:r>
            <w:r>
              <w:rPr>
                <w:rFonts w:ascii="宋体" w:hAnsi="宋体" w:eastAsia="宋体" w:cs="宋体"/>
                <w:spacing w:val="14"/>
                <w:sz w:val="20"/>
                <w:szCs w:val="20"/>
              </w:rPr>
              <w:t>于</w:t>
            </w:r>
            <w:r>
              <w:rPr>
                <w:rFonts w:ascii="宋体" w:hAnsi="宋体" w:eastAsia="宋体" w:cs="宋体"/>
                <w:spacing w:val="9"/>
                <w:sz w:val="20"/>
                <w:szCs w:val="20"/>
              </w:rPr>
              <w:t>场内绿化用水，不外排，后期雨水就近排入附近沟渠</w:t>
            </w:r>
          </w:p>
          <w:p w14:paraId="6F3830D6">
            <w:pPr>
              <w:spacing w:before="26" w:line="224" w:lineRule="auto"/>
              <w:ind w:left="2556"/>
              <w:rPr>
                <w:rFonts w:ascii="宋体" w:hAnsi="宋体" w:eastAsia="宋体" w:cs="宋体"/>
                <w:sz w:val="20"/>
                <w:szCs w:val="20"/>
              </w:rPr>
            </w:pPr>
            <w:r>
              <w:rPr>
                <w:rFonts w:ascii="宋体" w:hAnsi="宋体" w:eastAsia="宋体" w:cs="宋体"/>
                <w:spacing w:val="5"/>
                <w:sz w:val="20"/>
                <w:szCs w:val="20"/>
              </w:rPr>
              <w:t>排</w:t>
            </w:r>
            <w:r>
              <w:rPr>
                <w:rFonts w:ascii="宋体" w:hAnsi="宋体" w:eastAsia="宋体" w:cs="宋体"/>
                <w:spacing w:val="4"/>
                <w:sz w:val="20"/>
                <w:szCs w:val="20"/>
              </w:rPr>
              <w:t>放</w:t>
            </w:r>
          </w:p>
        </w:tc>
        <w:tc>
          <w:tcPr>
            <w:tcW w:w="887" w:type="dxa"/>
            <w:vMerge w:val="continue"/>
            <w:tcBorders>
              <w:top w:val="nil"/>
              <w:left w:val="single" w:color="000000" w:sz="4" w:space="0"/>
              <w:bottom w:val="nil"/>
              <w:right w:val="single" w:color="000000" w:sz="4" w:space="0"/>
            </w:tcBorders>
          </w:tcPr>
          <w:p w14:paraId="59B66339"/>
        </w:tc>
        <w:tc>
          <w:tcPr>
            <w:tcW w:w="1262" w:type="dxa"/>
            <w:tcBorders>
              <w:left w:val="single" w:color="000000" w:sz="4" w:space="0"/>
              <w:right w:val="nil"/>
            </w:tcBorders>
          </w:tcPr>
          <w:p w14:paraId="450967AF">
            <w:pPr>
              <w:spacing w:line="256" w:lineRule="auto"/>
            </w:pPr>
          </w:p>
          <w:p w14:paraId="14DB8695">
            <w:pPr>
              <w:spacing w:line="256" w:lineRule="auto"/>
            </w:pPr>
          </w:p>
          <w:p w14:paraId="44C6CC15">
            <w:pPr>
              <w:spacing w:before="65" w:line="228" w:lineRule="auto"/>
              <w:ind w:left="431"/>
              <w:rPr>
                <w:rFonts w:ascii="宋体" w:hAnsi="宋体" w:eastAsia="宋体" w:cs="宋体"/>
                <w:sz w:val="20"/>
                <w:szCs w:val="20"/>
              </w:rPr>
            </w:pPr>
            <w:r>
              <w:rPr>
                <w:rFonts w:ascii="宋体" w:hAnsi="宋体" w:eastAsia="宋体" w:cs="宋体"/>
                <w:spacing w:val="1"/>
                <w:sz w:val="20"/>
                <w:szCs w:val="20"/>
              </w:rPr>
              <w:t>雨</w:t>
            </w:r>
            <w:r>
              <w:rPr>
                <w:rFonts w:ascii="宋体" w:hAnsi="宋体" w:eastAsia="宋体" w:cs="宋体"/>
                <w:sz w:val="20"/>
                <w:szCs w:val="20"/>
              </w:rPr>
              <w:t>水</w:t>
            </w:r>
          </w:p>
        </w:tc>
      </w:tr>
      <w:tr w14:paraId="2AD56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3" w:hRule="atLeast"/>
        </w:trPr>
        <w:tc>
          <w:tcPr>
            <w:tcW w:w="758" w:type="dxa"/>
            <w:vMerge w:val="continue"/>
            <w:tcBorders>
              <w:top w:val="nil"/>
              <w:left w:val="nil"/>
              <w:right w:val="single" w:color="000000" w:sz="4" w:space="0"/>
            </w:tcBorders>
          </w:tcPr>
          <w:p w14:paraId="4A15A9C6"/>
        </w:tc>
        <w:tc>
          <w:tcPr>
            <w:tcW w:w="689" w:type="dxa"/>
            <w:vMerge w:val="continue"/>
            <w:tcBorders>
              <w:top w:val="nil"/>
              <w:left w:val="single" w:color="000000" w:sz="4" w:space="0"/>
              <w:right w:val="single" w:color="000000" w:sz="4" w:space="0"/>
            </w:tcBorders>
          </w:tcPr>
          <w:p w14:paraId="3C1EDC75"/>
        </w:tc>
        <w:tc>
          <w:tcPr>
            <w:tcW w:w="689" w:type="dxa"/>
            <w:tcBorders>
              <w:left w:val="single" w:color="000000" w:sz="4" w:space="0"/>
              <w:right w:val="single" w:color="000000" w:sz="4" w:space="0"/>
            </w:tcBorders>
          </w:tcPr>
          <w:p w14:paraId="06FC51F1">
            <w:pPr>
              <w:spacing w:line="323" w:lineRule="auto"/>
            </w:pPr>
          </w:p>
          <w:p w14:paraId="18E05170">
            <w:pPr>
              <w:spacing w:line="324" w:lineRule="auto"/>
            </w:pPr>
          </w:p>
          <w:p w14:paraId="70A0E2B7">
            <w:pPr>
              <w:spacing w:before="65" w:line="228" w:lineRule="auto"/>
              <w:ind w:left="138"/>
              <w:rPr>
                <w:rFonts w:ascii="宋体" w:hAnsi="宋体" w:eastAsia="宋体" w:cs="宋体"/>
                <w:sz w:val="20"/>
                <w:szCs w:val="20"/>
              </w:rPr>
            </w:pPr>
            <w:r>
              <w:rPr>
                <w:rFonts w:ascii="宋体" w:hAnsi="宋体" w:eastAsia="宋体" w:cs="宋体"/>
                <w:spacing w:val="4"/>
                <w:sz w:val="20"/>
                <w:szCs w:val="20"/>
              </w:rPr>
              <w:t>污</w:t>
            </w:r>
            <w:r>
              <w:rPr>
                <w:rFonts w:ascii="宋体" w:hAnsi="宋体" w:eastAsia="宋体" w:cs="宋体"/>
                <w:spacing w:val="3"/>
                <w:sz w:val="20"/>
                <w:szCs w:val="20"/>
              </w:rPr>
              <w:t>水</w:t>
            </w:r>
          </w:p>
        </w:tc>
        <w:tc>
          <w:tcPr>
            <w:tcW w:w="5525" w:type="dxa"/>
            <w:tcBorders>
              <w:left w:val="single" w:color="000000" w:sz="4" w:space="0"/>
              <w:right w:val="single" w:color="000000" w:sz="4" w:space="0"/>
            </w:tcBorders>
          </w:tcPr>
          <w:p w14:paraId="67268D0D">
            <w:pPr>
              <w:spacing w:before="39" w:line="247" w:lineRule="auto"/>
              <w:ind w:left="113" w:right="103" w:firstLine="26"/>
              <w:rPr>
                <w:rFonts w:ascii="宋体" w:hAnsi="宋体" w:eastAsia="宋体" w:cs="宋体"/>
                <w:sz w:val="20"/>
                <w:szCs w:val="20"/>
              </w:rPr>
            </w:pPr>
            <w:r>
              <w:rPr>
                <w:rFonts w:ascii="宋体" w:hAnsi="宋体" w:eastAsia="宋体" w:cs="宋体"/>
                <w:spacing w:val="18"/>
                <w:sz w:val="20"/>
                <w:szCs w:val="20"/>
              </w:rPr>
              <w:t>养</w:t>
            </w:r>
            <w:r>
              <w:rPr>
                <w:rFonts w:ascii="宋体" w:hAnsi="宋体" w:eastAsia="宋体" w:cs="宋体"/>
                <w:spacing w:val="14"/>
                <w:sz w:val="20"/>
                <w:szCs w:val="20"/>
              </w:rPr>
              <w:t>殖</w:t>
            </w:r>
            <w:r>
              <w:rPr>
                <w:rFonts w:ascii="宋体" w:hAnsi="宋体" w:eastAsia="宋体" w:cs="宋体"/>
                <w:spacing w:val="9"/>
                <w:sz w:val="20"/>
                <w:szCs w:val="20"/>
              </w:rPr>
              <w:t>废水和生活污水分开排放，分别处理。其中生活污水</w:t>
            </w:r>
            <w:r>
              <w:rPr>
                <w:rFonts w:ascii="宋体" w:hAnsi="宋体" w:eastAsia="宋体" w:cs="宋体"/>
                <w:sz w:val="20"/>
                <w:szCs w:val="20"/>
              </w:rPr>
              <w:t xml:space="preserve"> </w:t>
            </w:r>
            <w:r>
              <w:rPr>
                <w:rFonts w:ascii="宋体" w:hAnsi="宋体" w:eastAsia="宋体" w:cs="宋体"/>
                <w:spacing w:val="20"/>
                <w:sz w:val="20"/>
                <w:szCs w:val="20"/>
              </w:rPr>
              <w:t>经</w:t>
            </w:r>
            <w:r>
              <w:rPr>
                <w:rFonts w:ascii="宋体" w:hAnsi="宋体" w:eastAsia="宋体" w:cs="宋体"/>
                <w:spacing w:val="16"/>
                <w:sz w:val="20"/>
                <w:szCs w:val="20"/>
              </w:rPr>
              <w:t>办</w:t>
            </w:r>
            <w:r>
              <w:rPr>
                <w:rFonts w:ascii="宋体" w:hAnsi="宋体" w:eastAsia="宋体" w:cs="宋体"/>
                <w:spacing w:val="10"/>
                <w:sz w:val="20"/>
                <w:szCs w:val="20"/>
              </w:rPr>
              <w:t>公生活区化粪池收集处理后用于建设单位自家林地浇</w:t>
            </w:r>
            <w:r>
              <w:rPr>
                <w:rFonts w:ascii="宋体" w:hAnsi="宋体" w:eastAsia="宋体" w:cs="宋体"/>
                <w:sz w:val="20"/>
                <w:szCs w:val="20"/>
              </w:rPr>
              <w:t xml:space="preserve"> </w:t>
            </w:r>
            <w:r>
              <w:rPr>
                <w:rFonts w:ascii="宋体" w:hAnsi="宋体" w:eastAsia="宋体" w:cs="宋体"/>
                <w:spacing w:val="20"/>
                <w:sz w:val="20"/>
                <w:szCs w:val="20"/>
              </w:rPr>
              <w:t>灌</w:t>
            </w:r>
            <w:r>
              <w:rPr>
                <w:rFonts w:ascii="宋体" w:hAnsi="宋体" w:eastAsia="宋体" w:cs="宋体"/>
                <w:spacing w:val="16"/>
                <w:sz w:val="20"/>
                <w:szCs w:val="20"/>
              </w:rPr>
              <w:t>；</w:t>
            </w:r>
            <w:r>
              <w:rPr>
                <w:rFonts w:ascii="宋体" w:hAnsi="宋体" w:eastAsia="宋体" w:cs="宋体"/>
                <w:spacing w:val="10"/>
                <w:sz w:val="20"/>
                <w:szCs w:val="20"/>
              </w:rPr>
              <w:t>养殖废水每日运输至乐山乐高勤力生物质能源综合利</w:t>
            </w:r>
            <w:r>
              <w:rPr>
                <w:rFonts w:ascii="宋体" w:hAnsi="宋体" w:eastAsia="宋体" w:cs="宋体"/>
                <w:sz w:val="20"/>
                <w:szCs w:val="20"/>
              </w:rPr>
              <w:t xml:space="preserve"> </w:t>
            </w:r>
            <w:r>
              <w:rPr>
                <w:rFonts w:ascii="宋体" w:hAnsi="宋体" w:eastAsia="宋体" w:cs="宋体"/>
                <w:spacing w:val="12"/>
                <w:sz w:val="20"/>
                <w:szCs w:val="20"/>
              </w:rPr>
              <w:t>用</w:t>
            </w:r>
            <w:r>
              <w:rPr>
                <w:rFonts w:ascii="宋体" w:hAnsi="宋体" w:eastAsia="宋体" w:cs="宋体"/>
                <w:spacing w:val="10"/>
                <w:sz w:val="20"/>
                <w:szCs w:val="20"/>
              </w:rPr>
              <w:t>有</w:t>
            </w:r>
            <w:r>
              <w:rPr>
                <w:rFonts w:ascii="宋体" w:hAnsi="宋体" w:eastAsia="宋体" w:cs="宋体"/>
                <w:spacing w:val="6"/>
                <w:sz w:val="20"/>
                <w:szCs w:val="20"/>
              </w:rPr>
              <w:t>限公司集中处置， 日产日清，此外，厂区内同时建设</w:t>
            </w:r>
            <w:r>
              <w:rPr>
                <w:rFonts w:ascii="宋体" w:hAnsi="宋体" w:eastAsia="宋体" w:cs="宋体"/>
                <w:sz w:val="20"/>
                <w:szCs w:val="20"/>
              </w:rPr>
              <w:t xml:space="preserve"> </w:t>
            </w:r>
            <w:r>
              <w:rPr>
                <w:rFonts w:ascii="宋体" w:hAnsi="宋体" w:eastAsia="宋体" w:cs="宋体"/>
                <w:spacing w:val="5"/>
                <w:sz w:val="20"/>
                <w:szCs w:val="20"/>
              </w:rPr>
              <w:t xml:space="preserve">一座 </w:t>
            </w:r>
            <w:r>
              <w:rPr>
                <w:rFonts w:ascii="Times New Roman" w:hAnsi="Times New Roman" w:eastAsia="Times New Roman" w:cs="Times New Roman"/>
                <w:spacing w:val="5"/>
                <w:sz w:val="20"/>
                <w:szCs w:val="20"/>
              </w:rPr>
              <w:t>1600</w:t>
            </w:r>
            <w:r>
              <w:rPr>
                <w:rFonts w:ascii="Times New Roman" w:hAnsi="Times New Roman" w:eastAsia="Times New Roman" w:cs="Times New Roman"/>
                <w:sz w:val="20"/>
                <w:szCs w:val="20"/>
              </w:rPr>
              <w:t>m</w:t>
            </w:r>
            <w:r>
              <w:rPr>
                <w:rFonts w:ascii="Times New Roman" w:hAnsi="Times New Roman" w:eastAsia="Times New Roman" w:cs="Times New Roman"/>
                <w:spacing w:val="5"/>
                <w:position w:val="6"/>
                <w:sz w:val="13"/>
                <w:szCs w:val="13"/>
              </w:rPr>
              <w:t xml:space="preserve">2 </w:t>
            </w:r>
            <w:r>
              <w:rPr>
                <w:rFonts w:ascii="宋体" w:hAnsi="宋体" w:eastAsia="宋体" w:cs="宋体"/>
                <w:spacing w:val="5"/>
                <w:sz w:val="20"/>
                <w:szCs w:val="20"/>
              </w:rPr>
              <w:t>的异位发酵床备用，若后期乐山乐高勤力生</w:t>
            </w:r>
            <w:r>
              <w:rPr>
                <w:rFonts w:ascii="宋体" w:hAnsi="宋体" w:eastAsia="宋体" w:cs="宋体"/>
                <w:spacing w:val="4"/>
                <w:sz w:val="20"/>
                <w:szCs w:val="20"/>
              </w:rPr>
              <w:t>物</w:t>
            </w:r>
            <w:r>
              <w:rPr>
                <w:rFonts w:ascii="宋体" w:hAnsi="宋体" w:eastAsia="宋体" w:cs="宋体"/>
                <w:sz w:val="20"/>
                <w:szCs w:val="20"/>
              </w:rPr>
              <w:t xml:space="preserve"> </w:t>
            </w:r>
            <w:r>
              <w:rPr>
                <w:rFonts w:ascii="宋体" w:hAnsi="宋体" w:eastAsia="宋体" w:cs="宋体"/>
                <w:spacing w:val="20"/>
                <w:sz w:val="20"/>
                <w:szCs w:val="20"/>
              </w:rPr>
              <w:t>质</w:t>
            </w:r>
            <w:r>
              <w:rPr>
                <w:rFonts w:ascii="宋体" w:hAnsi="宋体" w:eastAsia="宋体" w:cs="宋体"/>
                <w:spacing w:val="16"/>
                <w:sz w:val="20"/>
                <w:szCs w:val="20"/>
              </w:rPr>
              <w:t>能</w:t>
            </w:r>
            <w:r>
              <w:rPr>
                <w:rFonts w:ascii="宋体" w:hAnsi="宋体" w:eastAsia="宋体" w:cs="宋体"/>
                <w:spacing w:val="10"/>
                <w:sz w:val="20"/>
                <w:szCs w:val="20"/>
              </w:rPr>
              <w:t>源综合利用有限公司不再回收厂区内的养殖废水，可</w:t>
            </w:r>
          </w:p>
        </w:tc>
        <w:tc>
          <w:tcPr>
            <w:tcW w:w="887" w:type="dxa"/>
            <w:vMerge w:val="continue"/>
            <w:tcBorders>
              <w:top w:val="nil"/>
              <w:left w:val="single" w:color="000000" w:sz="4" w:space="0"/>
              <w:right w:val="single" w:color="000000" w:sz="4" w:space="0"/>
            </w:tcBorders>
          </w:tcPr>
          <w:p w14:paraId="4CFE0E41"/>
        </w:tc>
        <w:tc>
          <w:tcPr>
            <w:tcW w:w="1262" w:type="dxa"/>
            <w:tcBorders>
              <w:left w:val="single" w:color="000000" w:sz="4" w:space="0"/>
              <w:right w:val="nil"/>
            </w:tcBorders>
          </w:tcPr>
          <w:p w14:paraId="4975A7FB">
            <w:pPr>
              <w:spacing w:line="257" w:lineRule="auto"/>
            </w:pPr>
          </w:p>
          <w:p w14:paraId="41BA3641">
            <w:pPr>
              <w:spacing w:line="257" w:lineRule="auto"/>
            </w:pPr>
          </w:p>
          <w:p w14:paraId="1FC02EF0">
            <w:pPr>
              <w:spacing w:before="65" w:line="265" w:lineRule="auto"/>
              <w:ind w:left="215" w:right="139" w:hanging="102"/>
              <w:rPr>
                <w:rFonts w:ascii="宋体" w:hAnsi="宋体" w:eastAsia="宋体" w:cs="宋体"/>
                <w:sz w:val="20"/>
                <w:szCs w:val="20"/>
              </w:rPr>
            </w:pPr>
            <w:r>
              <w:rPr>
                <w:rFonts w:ascii="宋体" w:hAnsi="宋体" w:eastAsia="宋体" w:cs="宋体"/>
                <w:spacing w:val="1"/>
                <w:sz w:val="20"/>
                <w:szCs w:val="20"/>
              </w:rPr>
              <w:t>生活污水</w:t>
            </w:r>
            <w:r>
              <w:rPr>
                <w:rFonts w:ascii="宋体" w:hAnsi="宋体" w:eastAsia="宋体" w:cs="宋体"/>
                <w:sz w:val="20"/>
                <w:szCs w:val="20"/>
              </w:rPr>
              <w:t xml:space="preserve">、 </w:t>
            </w:r>
            <w:r>
              <w:rPr>
                <w:rFonts w:ascii="宋体" w:hAnsi="宋体" w:eastAsia="宋体" w:cs="宋体"/>
                <w:spacing w:val="7"/>
                <w:sz w:val="20"/>
                <w:szCs w:val="20"/>
              </w:rPr>
              <w:t>养殖废水</w:t>
            </w:r>
          </w:p>
        </w:tc>
      </w:tr>
    </w:tbl>
    <w:p w14:paraId="56D32C77"/>
    <w:p w14:paraId="7E5DA539">
      <w:pPr>
        <w:sectPr>
          <w:headerReference r:id="rId64" w:type="default"/>
          <w:footerReference r:id="rId65" w:type="default"/>
          <w:pgSz w:w="11907" w:h="16840"/>
          <w:pgMar w:top="829" w:right="976" w:bottom="1139" w:left="1119" w:header="595" w:footer="953" w:gutter="0"/>
          <w:cols w:space="720" w:num="1"/>
        </w:sectPr>
      </w:pPr>
    </w:p>
    <w:p w14:paraId="69986D4C">
      <w:pPr>
        <w:spacing w:before="194" w:line="229" w:lineRule="auto"/>
        <w:ind w:left="164"/>
        <w:rPr>
          <w:rFonts w:ascii="宋体" w:hAnsi="宋体" w:eastAsia="宋体" w:cs="宋体"/>
          <w:sz w:val="17"/>
          <w:szCs w:val="17"/>
        </w:rPr>
      </w:pPr>
      <w:r>
        <w:pict>
          <v:rect id="_x0000_s2072" o:spid="_x0000_s2072" o:spt="1" style="position:absolute;left:0pt;margin-left:55.95pt;margin-top:47pt;height:1.45pt;width:490.55pt;mso-position-horizontal-relative:page;mso-position-vertical-relative:page;z-index:251707392;mso-width-relative:page;mso-height-relative:page;" fillcolor="#000000" filled="t" stroked="f" coordsize="21600,21600" o:allowincell="f">
            <v:path/>
            <v:fill on="t" focussize="0,0"/>
            <v:stroke on="f"/>
            <v:imagedata o:title=""/>
            <o:lock v:ext="edit"/>
          </v:rect>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17A5E48A">
      <w:pPr>
        <w:spacing w:line="14" w:lineRule="exact"/>
      </w:pPr>
    </w:p>
    <w:tbl>
      <w:tblPr>
        <w:tblStyle w:val="4"/>
        <w:tblW w:w="981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8"/>
        <w:gridCol w:w="532"/>
        <w:gridCol w:w="157"/>
        <w:gridCol w:w="689"/>
        <w:gridCol w:w="2309"/>
        <w:gridCol w:w="3216"/>
        <w:gridCol w:w="887"/>
        <w:gridCol w:w="1262"/>
      </w:tblGrid>
      <w:tr w14:paraId="1CC7BC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758" w:type="dxa"/>
            <w:vMerge w:val="restart"/>
            <w:tcBorders>
              <w:left w:val="nil"/>
              <w:bottom w:val="nil"/>
              <w:right w:val="single" w:color="000000" w:sz="4" w:space="0"/>
            </w:tcBorders>
          </w:tcPr>
          <w:p w14:paraId="523D3323">
            <w:pPr>
              <w:spacing w:before="246" w:line="272" w:lineRule="exact"/>
              <w:ind w:left="180"/>
              <w:rPr>
                <w:rFonts w:ascii="宋体" w:hAnsi="宋体" w:eastAsia="宋体" w:cs="宋体"/>
                <w:sz w:val="20"/>
                <w:szCs w:val="20"/>
              </w:rPr>
            </w:pPr>
            <w:r>
              <w:rPr>
                <w:rFonts w:ascii="宋体" w:hAnsi="宋体" w:eastAsia="宋体" w:cs="宋体"/>
                <w:spacing w:val="5"/>
                <w:position w:val="4"/>
                <w:sz w:val="20"/>
                <w:szCs w:val="20"/>
                <w14:textOutline w14:w="3797" w14:cap="sq" w14:cmpd="sng" w14:algn="ctr">
                  <w14:solidFill>
                    <w14:srgbClr w14:val="000000"/>
                  </w14:solidFill>
                  <w14:prstDash w14:val="solid"/>
                  <w14:bevel/>
                </w14:textOutline>
              </w:rPr>
              <w:t>工</w:t>
            </w:r>
            <w:r>
              <w:rPr>
                <w:rFonts w:ascii="宋体" w:hAnsi="宋体" w:eastAsia="宋体" w:cs="宋体"/>
                <w:spacing w:val="4"/>
                <w:position w:val="4"/>
                <w:sz w:val="20"/>
                <w:szCs w:val="20"/>
                <w14:textOutline w14:w="3797" w14:cap="sq" w14:cmpd="sng" w14:algn="ctr">
                  <w14:solidFill>
                    <w14:srgbClr w14:val="000000"/>
                  </w14:solidFill>
                  <w14:prstDash w14:val="solid"/>
                  <w14:bevel/>
                </w14:textOutline>
              </w:rPr>
              <w:t>程</w:t>
            </w:r>
          </w:p>
          <w:p w14:paraId="10DF979D">
            <w:pPr>
              <w:spacing w:line="227" w:lineRule="auto"/>
              <w:ind w:left="180"/>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分</w:t>
            </w:r>
            <w:r>
              <w:rPr>
                <w:rFonts w:ascii="宋体" w:hAnsi="宋体" w:eastAsia="宋体" w:cs="宋体"/>
                <w:spacing w:val="4"/>
                <w:sz w:val="20"/>
                <w:szCs w:val="20"/>
                <w14:textOutline w14:w="3797" w14:cap="sq" w14:cmpd="sng" w14:algn="ctr">
                  <w14:solidFill>
                    <w14:srgbClr w14:val="000000"/>
                  </w14:solidFill>
                  <w14:prstDash w14:val="solid"/>
                  <w14:bevel/>
                </w14:textOutline>
              </w:rPr>
              <w:t>类</w:t>
            </w:r>
          </w:p>
        </w:tc>
        <w:tc>
          <w:tcPr>
            <w:tcW w:w="1378" w:type="dxa"/>
            <w:gridSpan w:val="3"/>
            <w:vMerge w:val="restart"/>
            <w:tcBorders>
              <w:left w:val="single" w:color="000000" w:sz="4" w:space="0"/>
              <w:bottom w:val="nil"/>
              <w:right w:val="single" w:color="000000" w:sz="4" w:space="0"/>
            </w:tcBorders>
          </w:tcPr>
          <w:p w14:paraId="6CC829F7">
            <w:pPr>
              <w:spacing w:line="314" w:lineRule="auto"/>
            </w:pPr>
          </w:p>
          <w:p w14:paraId="55FED0F4">
            <w:pPr>
              <w:spacing w:before="65" w:line="228" w:lineRule="auto"/>
              <w:ind w:left="275"/>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项</w:t>
            </w:r>
            <w:r>
              <w:rPr>
                <w:rFonts w:ascii="宋体" w:hAnsi="宋体" w:eastAsia="宋体" w:cs="宋体"/>
                <w:spacing w:val="7"/>
                <w:sz w:val="20"/>
                <w:szCs w:val="20"/>
                <w14:textOutline w14:w="3797" w14:cap="sq" w14:cmpd="sng" w14:algn="ctr">
                  <w14:solidFill>
                    <w14:srgbClr w14:val="000000"/>
                  </w14:solidFill>
                  <w14:prstDash w14:val="solid"/>
                  <w14:bevel/>
                </w14:textOutline>
              </w:rPr>
              <w:t>目名称</w:t>
            </w:r>
          </w:p>
        </w:tc>
        <w:tc>
          <w:tcPr>
            <w:tcW w:w="5525" w:type="dxa"/>
            <w:gridSpan w:val="2"/>
            <w:vMerge w:val="restart"/>
            <w:tcBorders>
              <w:left w:val="single" w:color="000000" w:sz="4" w:space="0"/>
              <w:bottom w:val="nil"/>
              <w:right w:val="single" w:color="000000" w:sz="4" w:space="0"/>
            </w:tcBorders>
          </w:tcPr>
          <w:p w14:paraId="2BA313F5">
            <w:pPr>
              <w:spacing w:line="313" w:lineRule="auto"/>
            </w:pPr>
          </w:p>
          <w:p w14:paraId="2A416663">
            <w:pPr>
              <w:spacing w:before="65" w:line="228" w:lineRule="auto"/>
              <w:ind w:left="2033"/>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建设内容及规模</w:t>
            </w:r>
          </w:p>
        </w:tc>
        <w:tc>
          <w:tcPr>
            <w:tcW w:w="2149" w:type="dxa"/>
            <w:gridSpan w:val="2"/>
            <w:tcBorders>
              <w:left w:val="single" w:color="000000" w:sz="4" w:space="0"/>
              <w:right w:val="nil"/>
            </w:tcBorders>
          </w:tcPr>
          <w:p w14:paraId="2A01A946">
            <w:pPr>
              <w:spacing w:before="239" w:line="228" w:lineRule="auto"/>
              <w:ind w:left="133"/>
              <w:rPr>
                <w:rFonts w:ascii="宋体" w:hAnsi="宋体" w:eastAsia="宋体" w:cs="宋体"/>
                <w:sz w:val="20"/>
                <w:szCs w:val="20"/>
              </w:rPr>
            </w:pPr>
            <w:r>
              <w:rPr>
                <w:rFonts w:ascii="宋体" w:hAnsi="宋体" w:eastAsia="宋体" w:cs="宋体"/>
                <w:spacing w:val="14"/>
                <w:sz w:val="20"/>
                <w:szCs w:val="20"/>
                <w14:textOutline w14:w="3797" w14:cap="sq" w14:cmpd="sng" w14:algn="ctr">
                  <w14:solidFill>
                    <w14:srgbClr w14:val="000000"/>
                  </w14:solidFill>
                  <w14:prstDash w14:val="solid"/>
                  <w14:bevel/>
                </w14:textOutline>
              </w:rPr>
              <w:t>可</w:t>
            </w:r>
            <w:r>
              <w:rPr>
                <w:rFonts w:ascii="宋体" w:hAnsi="宋体" w:eastAsia="宋体" w:cs="宋体"/>
                <w:spacing w:val="9"/>
                <w:sz w:val="20"/>
                <w:szCs w:val="20"/>
                <w14:textOutline w14:w="3797" w14:cap="sq" w14:cmpd="sng" w14:algn="ctr">
                  <w14:solidFill>
                    <w14:srgbClr w14:val="000000"/>
                  </w14:solidFill>
                  <w14:prstDash w14:val="solid"/>
                  <w14:bevel/>
                </w14:textOutline>
              </w:rPr>
              <w:t>能产生的环境问题</w:t>
            </w:r>
          </w:p>
        </w:tc>
      </w:tr>
      <w:tr w14:paraId="63E03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758" w:type="dxa"/>
            <w:vMerge w:val="continue"/>
            <w:tcBorders>
              <w:top w:val="nil"/>
              <w:left w:val="nil"/>
              <w:right w:val="single" w:color="000000" w:sz="4" w:space="0"/>
            </w:tcBorders>
          </w:tcPr>
          <w:p w14:paraId="35A85393"/>
        </w:tc>
        <w:tc>
          <w:tcPr>
            <w:tcW w:w="1378" w:type="dxa"/>
            <w:gridSpan w:val="3"/>
            <w:vMerge w:val="continue"/>
            <w:tcBorders>
              <w:top w:val="nil"/>
              <w:left w:val="single" w:color="000000" w:sz="4" w:space="0"/>
              <w:right w:val="single" w:color="000000" w:sz="4" w:space="0"/>
            </w:tcBorders>
          </w:tcPr>
          <w:p w14:paraId="159B0912"/>
        </w:tc>
        <w:tc>
          <w:tcPr>
            <w:tcW w:w="5525" w:type="dxa"/>
            <w:gridSpan w:val="2"/>
            <w:vMerge w:val="continue"/>
            <w:tcBorders>
              <w:top w:val="nil"/>
              <w:left w:val="single" w:color="000000" w:sz="4" w:space="0"/>
              <w:right w:val="single" w:color="000000" w:sz="4" w:space="0"/>
            </w:tcBorders>
          </w:tcPr>
          <w:p w14:paraId="77B7A2C5"/>
        </w:tc>
        <w:tc>
          <w:tcPr>
            <w:tcW w:w="887" w:type="dxa"/>
            <w:tcBorders>
              <w:left w:val="single" w:color="000000" w:sz="4" w:space="0"/>
              <w:right w:val="single" w:color="000000" w:sz="4" w:space="0"/>
            </w:tcBorders>
          </w:tcPr>
          <w:p w14:paraId="5AEC5859">
            <w:pPr>
              <w:spacing w:before="33" w:line="228" w:lineRule="auto"/>
              <w:ind w:left="131"/>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施工期</w:t>
            </w:r>
          </w:p>
        </w:tc>
        <w:tc>
          <w:tcPr>
            <w:tcW w:w="1262" w:type="dxa"/>
            <w:tcBorders>
              <w:left w:val="single" w:color="000000" w:sz="4" w:space="0"/>
              <w:right w:val="nil"/>
            </w:tcBorders>
          </w:tcPr>
          <w:p w14:paraId="3806470B">
            <w:pPr>
              <w:spacing w:before="33" w:line="228" w:lineRule="auto"/>
              <w:ind w:left="326"/>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营</w:t>
            </w:r>
            <w:r>
              <w:rPr>
                <w:rFonts w:ascii="宋体" w:hAnsi="宋体" w:eastAsia="宋体" w:cs="宋体"/>
                <w:spacing w:val="5"/>
                <w:sz w:val="20"/>
                <w:szCs w:val="20"/>
                <w14:textOutline w14:w="3797" w14:cap="sq" w14:cmpd="sng" w14:algn="ctr">
                  <w14:solidFill>
                    <w14:srgbClr w14:val="000000"/>
                  </w14:solidFill>
                  <w14:prstDash w14:val="solid"/>
                  <w14:bevel/>
                </w14:textOutline>
              </w:rPr>
              <w:t>运期</w:t>
            </w:r>
          </w:p>
        </w:tc>
      </w:tr>
      <w:tr w14:paraId="5C9CF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758" w:type="dxa"/>
            <w:vMerge w:val="restart"/>
            <w:tcBorders>
              <w:left w:val="nil"/>
              <w:bottom w:val="nil"/>
              <w:right w:val="single" w:color="000000" w:sz="4" w:space="0"/>
            </w:tcBorders>
          </w:tcPr>
          <w:p w14:paraId="2C78FE60"/>
        </w:tc>
        <w:tc>
          <w:tcPr>
            <w:tcW w:w="689" w:type="dxa"/>
            <w:gridSpan w:val="2"/>
            <w:tcBorders>
              <w:left w:val="single" w:color="000000" w:sz="4" w:space="0"/>
              <w:right w:val="single" w:color="000000" w:sz="4" w:space="0"/>
            </w:tcBorders>
          </w:tcPr>
          <w:p w14:paraId="38C37800"/>
        </w:tc>
        <w:tc>
          <w:tcPr>
            <w:tcW w:w="689" w:type="dxa"/>
            <w:tcBorders>
              <w:left w:val="single" w:color="000000" w:sz="4" w:space="0"/>
              <w:right w:val="single" w:color="000000" w:sz="4" w:space="0"/>
            </w:tcBorders>
          </w:tcPr>
          <w:p w14:paraId="3DDF6AA5"/>
        </w:tc>
        <w:tc>
          <w:tcPr>
            <w:tcW w:w="5525" w:type="dxa"/>
            <w:gridSpan w:val="2"/>
            <w:tcBorders>
              <w:left w:val="single" w:color="000000" w:sz="4" w:space="0"/>
              <w:right w:val="single" w:color="000000" w:sz="4" w:space="0"/>
            </w:tcBorders>
          </w:tcPr>
          <w:p w14:paraId="3F0B2331">
            <w:pPr>
              <w:spacing w:before="35" w:line="228" w:lineRule="auto"/>
              <w:ind w:left="108"/>
              <w:rPr>
                <w:rFonts w:ascii="宋体" w:hAnsi="宋体" w:eastAsia="宋体" w:cs="宋体"/>
                <w:sz w:val="20"/>
                <w:szCs w:val="20"/>
              </w:rPr>
            </w:pPr>
            <w:r>
              <w:rPr>
                <w:rFonts w:ascii="宋体" w:hAnsi="宋体" w:eastAsia="宋体" w:cs="宋体"/>
                <w:spacing w:val="14"/>
                <w:sz w:val="20"/>
                <w:szCs w:val="20"/>
              </w:rPr>
              <w:t>将通</w:t>
            </w:r>
            <w:r>
              <w:rPr>
                <w:rFonts w:ascii="宋体" w:hAnsi="宋体" w:eastAsia="宋体" w:cs="宋体"/>
                <w:spacing w:val="7"/>
                <w:sz w:val="20"/>
                <w:szCs w:val="20"/>
              </w:rPr>
              <w:t>过异位发酵床自行处置，处理产生的有机肥外售处理</w:t>
            </w:r>
            <w:r>
              <w:rPr>
                <w:rFonts w:ascii="宋体" w:hAnsi="宋体" w:eastAsia="宋体" w:cs="宋体"/>
                <w:color w:val="FF0000"/>
                <w:spacing w:val="7"/>
                <w:sz w:val="20"/>
                <w:szCs w:val="20"/>
              </w:rPr>
              <w:t>。</w:t>
            </w:r>
          </w:p>
        </w:tc>
        <w:tc>
          <w:tcPr>
            <w:tcW w:w="887" w:type="dxa"/>
            <w:vMerge w:val="restart"/>
            <w:tcBorders>
              <w:left w:val="single" w:color="000000" w:sz="4" w:space="0"/>
              <w:bottom w:val="nil"/>
              <w:right w:val="single" w:color="000000" w:sz="4" w:space="0"/>
            </w:tcBorders>
          </w:tcPr>
          <w:p w14:paraId="2951F42E"/>
        </w:tc>
        <w:tc>
          <w:tcPr>
            <w:tcW w:w="1262" w:type="dxa"/>
            <w:tcBorders>
              <w:left w:val="single" w:color="000000" w:sz="4" w:space="0"/>
              <w:right w:val="nil"/>
            </w:tcBorders>
          </w:tcPr>
          <w:p w14:paraId="48115955"/>
        </w:tc>
      </w:tr>
      <w:tr w14:paraId="6BBEB0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758" w:type="dxa"/>
            <w:vMerge w:val="continue"/>
            <w:tcBorders>
              <w:top w:val="nil"/>
              <w:left w:val="nil"/>
              <w:bottom w:val="nil"/>
              <w:right w:val="single" w:color="000000" w:sz="4" w:space="0"/>
            </w:tcBorders>
          </w:tcPr>
          <w:p w14:paraId="0D9B2608"/>
        </w:tc>
        <w:tc>
          <w:tcPr>
            <w:tcW w:w="1378" w:type="dxa"/>
            <w:gridSpan w:val="3"/>
            <w:tcBorders>
              <w:left w:val="single" w:color="000000" w:sz="4" w:space="0"/>
              <w:right w:val="single" w:color="000000" w:sz="4" w:space="0"/>
            </w:tcBorders>
          </w:tcPr>
          <w:p w14:paraId="140EC76B">
            <w:pPr>
              <w:spacing w:before="170" w:line="229" w:lineRule="auto"/>
              <w:ind w:left="484"/>
              <w:rPr>
                <w:rFonts w:ascii="宋体" w:hAnsi="宋体" w:eastAsia="宋体" w:cs="宋体"/>
                <w:sz w:val="20"/>
                <w:szCs w:val="20"/>
              </w:rPr>
            </w:pPr>
            <w:r>
              <w:rPr>
                <w:rFonts w:ascii="宋体" w:hAnsi="宋体" w:eastAsia="宋体" w:cs="宋体"/>
                <w:spacing w:val="4"/>
                <w:sz w:val="20"/>
                <w:szCs w:val="20"/>
              </w:rPr>
              <w:t>绿</w:t>
            </w:r>
            <w:r>
              <w:rPr>
                <w:rFonts w:ascii="宋体" w:hAnsi="宋体" w:eastAsia="宋体" w:cs="宋体"/>
                <w:spacing w:val="3"/>
                <w:sz w:val="20"/>
                <w:szCs w:val="20"/>
              </w:rPr>
              <w:t>化</w:t>
            </w:r>
          </w:p>
        </w:tc>
        <w:tc>
          <w:tcPr>
            <w:tcW w:w="5525" w:type="dxa"/>
            <w:gridSpan w:val="2"/>
            <w:tcBorders>
              <w:left w:val="single" w:color="000000" w:sz="4" w:space="0"/>
              <w:right w:val="single" w:color="000000" w:sz="4" w:space="0"/>
            </w:tcBorders>
          </w:tcPr>
          <w:p w14:paraId="1605046D">
            <w:pPr>
              <w:spacing w:before="37" w:line="239" w:lineRule="auto"/>
              <w:ind w:left="2465" w:right="149" w:hanging="2308"/>
              <w:rPr>
                <w:rFonts w:ascii="宋体" w:hAnsi="宋体" w:eastAsia="宋体" w:cs="宋体"/>
                <w:sz w:val="20"/>
                <w:szCs w:val="20"/>
              </w:rPr>
            </w:pPr>
            <w:r>
              <w:rPr>
                <w:rFonts w:ascii="宋体" w:hAnsi="宋体" w:eastAsia="宋体" w:cs="宋体"/>
                <w:spacing w:val="12"/>
                <w:sz w:val="20"/>
                <w:szCs w:val="20"/>
              </w:rPr>
              <w:t>绿</w:t>
            </w:r>
            <w:r>
              <w:rPr>
                <w:rFonts w:ascii="宋体" w:hAnsi="宋体" w:eastAsia="宋体" w:cs="宋体"/>
                <w:spacing w:val="9"/>
                <w:sz w:val="20"/>
                <w:szCs w:val="20"/>
              </w:rPr>
              <w:t>化</w:t>
            </w:r>
            <w:r>
              <w:rPr>
                <w:rFonts w:ascii="宋体" w:hAnsi="宋体" w:eastAsia="宋体" w:cs="宋体"/>
                <w:spacing w:val="6"/>
                <w:sz w:val="20"/>
                <w:szCs w:val="20"/>
              </w:rPr>
              <w:t xml:space="preserve">面积 </w:t>
            </w:r>
            <w:r>
              <w:rPr>
                <w:rFonts w:ascii="Times New Roman" w:hAnsi="Times New Roman" w:eastAsia="Times New Roman" w:cs="Times New Roman"/>
                <w:spacing w:val="6"/>
                <w:sz w:val="20"/>
                <w:szCs w:val="20"/>
              </w:rPr>
              <w:t>2000</w:t>
            </w:r>
            <w:r>
              <w:rPr>
                <w:rFonts w:ascii="Times New Roman" w:hAnsi="Times New Roman" w:eastAsia="Times New Roman" w:cs="Times New Roman"/>
                <w:sz w:val="20"/>
                <w:szCs w:val="20"/>
              </w:rPr>
              <w:t>m</w:t>
            </w:r>
            <w:r>
              <w:rPr>
                <w:rFonts w:ascii="Times New Roman" w:hAnsi="Times New Roman" w:eastAsia="Times New Roman" w:cs="Times New Roman"/>
                <w:spacing w:val="6"/>
                <w:position w:val="6"/>
                <w:sz w:val="13"/>
                <w:szCs w:val="13"/>
              </w:rPr>
              <w:t xml:space="preserve">2   </w:t>
            </w:r>
            <w:r>
              <w:rPr>
                <w:rFonts w:ascii="宋体" w:hAnsi="宋体" w:eastAsia="宋体" w:cs="宋体"/>
                <w:spacing w:val="6"/>
                <w:sz w:val="20"/>
                <w:szCs w:val="20"/>
              </w:rPr>
              <w:t>，用于隔离养殖及办公区，同时绿化厂</w:t>
            </w:r>
            <w:r>
              <w:rPr>
                <w:rFonts w:ascii="宋体" w:hAnsi="宋体" w:eastAsia="宋体" w:cs="宋体"/>
                <w:sz w:val="20"/>
                <w:szCs w:val="20"/>
              </w:rPr>
              <w:t xml:space="preserve"> </w:t>
            </w:r>
            <w:r>
              <w:rPr>
                <w:rFonts w:ascii="宋体" w:hAnsi="宋体" w:eastAsia="宋体" w:cs="宋体"/>
                <w:spacing w:val="2"/>
                <w:sz w:val="20"/>
                <w:szCs w:val="20"/>
              </w:rPr>
              <w:t>区环</w:t>
            </w:r>
            <w:r>
              <w:rPr>
                <w:rFonts w:ascii="宋体" w:hAnsi="宋体" w:eastAsia="宋体" w:cs="宋体"/>
                <w:spacing w:val="1"/>
                <w:sz w:val="20"/>
                <w:szCs w:val="20"/>
              </w:rPr>
              <w:t>境</w:t>
            </w:r>
          </w:p>
        </w:tc>
        <w:tc>
          <w:tcPr>
            <w:tcW w:w="887" w:type="dxa"/>
            <w:vMerge w:val="continue"/>
            <w:tcBorders>
              <w:top w:val="nil"/>
              <w:left w:val="single" w:color="000000" w:sz="4" w:space="0"/>
              <w:bottom w:val="nil"/>
              <w:right w:val="single" w:color="000000" w:sz="4" w:space="0"/>
            </w:tcBorders>
          </w:tcPr>
          <w:p w14:paraId="5987980C"/>
        </w:tc>
        <w:tc>
          <w:tcPr>
            <w:tcW w:w="1262" w:type="dxa"/>
            <w:tcBorders>
              <w:left w:val="single" w:color="000000" w:sz="4" w:space="0"/>
              <w:right w:val="nil"/>
            </w:tcBorders>
          </w:tcPr>
          <w:p w14:paraId="41E0E504">
            <w:pPr>
              <w:spacing w:before="133" w:line="281" w:lineRule="exact"/>
              <w:ind w:left="59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7144E2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758" w:type="dxa"/>
            <w:vMerge w:val="continue"/>
            <w:tcBorders>
              <w:top w:val="nil"/>
              <w:left w:val="nil"/>
              <w:bottom w:val="nil"/>
              <w:right w:val="single" w:color="000000" w:sz="4" w:space="0"/>
            </w:tcBorders>
          </w:tcPr>
          <w:p w14:paraId="0D834DF8"/>
        </w:tc>
        <w:tc>
          <w:tcPr>
            <w:tcW w:w="532" w:type="dxa"/>
            <w:vMerge w:val="restart"/>
            <w:tcBorders>
              <w:left w:val="single" w:color="000000" w:sz="4" w:space="0"/>
              <w:bottom w:val="nil"/>
            </w:tcBorders>
            <w:textDirection w:val="tbRlV"/>
          </w:tcPr>
          <w:p w14:paraId="0152ED0D">
            <w:pPr>
              <w:spacing w:before="160" w:line="216" w:lineRule="auto"/>
              <w:ind w:left="1984"/>
              <w:rPr>
                <w:rFonts w:ascii="宋体" w:hAnsi="宋体" w:eastAsia="宋体" w:cs="宋体"/>
                <w:sz w:val="20"/>
                <w:szCs w:val="20"/>
              </w:rPr>
            </w:pPr>
            <w:r>
              <w:rPr>
                <w:rFonts w:ascii="宋体" w:hAnsi="宋体" w:eastAsia="宋体" w:cs="宋体"/>
                <w:spacing w:val="-9"/>
                <w:sz w:val="20"/>
                <w:szCs w:val="20"/>
              </w:rPr>
              <w:t>废</w:t>
            </w:r>
            <w:r>
              <w:rPr>
                <w:rFonts w:ascii="宋体" w:hAnsi="宋体" w:eastAsia="宋体" w:cs="宋体"/>
                <w:spacing w:val="-6"/>
                <w:sz w:val="20"/>
                <w:szCs w:val="20"/>
              </w:rPr>
              <w:t xml:space="preserve"> 水</w:t>
            </w:r>
          </w:p>
        </w:tc>
        <w:tc>
          <w:tcPr>
            <w:tcW w:w="846" w:type="dxa"/>
            <w:gridSpan w:val="2"/>
            <w:tcBorders>
              <w:right w:val="single" w:color="000000" w:sz="4" w:space="0"/>
            </w:tcBorders>
          </w:tcPr>
          <w:p w14:paraId="655CC9E9">
            <w:pPr>
              <w:spacing w:before="37" w:line="239" w:lineRule="auto"/>
              <w:ind w:left="324" w:right="103" w:hanging="209"/>
              <w:rPr>
                <w:rFonts w:ascii="宋体" w:hAnsi="宋体" w:eastAsia="宋体" w:cs="宋体"/>
                <w:sz w:val="20"/>
                <w:szCs w:val="20"/>
              </w:rPr>
            </w:pPr>
            <w:r>
              <w:rPr>
                <w:rFonts w:ascii="宋体" w:hAnsi="宋体" w:eastAsia="宋体" w:cs="宋体"/>
                <w:spacing w:val="7"/>
                <w:sz w:val="20"/>
                <w:szCs w:val="20"/>
              </w:rPr>
              <w:t>餐</w:t>
            </w:r>
            <w:r>
              <w:rPr>
                <w:rFonts w:ascii="宋体" w:hAnsi="宋体" w:eastAsia="宋体" w:cs="宋体"/>
                <w:spacing w:val="6"/>
                <w:sz w:val="20"/>
                <w:szCs w:val="20"/>
              </w:rPr>
              <w:t>饮废</w:t>
            </w:r>
            <w:r>
              <w:rPr>
                <w:rFonts w:ascii="宋体" w:hAnsi="宋体" w:eastAsia="宋体" w:cs="宋体"/>
                <w:sz w:val="20"/>
                <w:szCs w:val="20"/>
              </w:rPr>
              <w:t xml:space="preserve"> 水</w:t>
            </w:r>
          </w:p>
        </w:tc>
        <w:tc>
          <w:tcPr>
            <w:tcW w:w="2309" w:type="dxa"/>
            <w:tcBorders>
              <w:left w:val="single" w:color="000000" w:sz="4" w:space="0"/>
            </w:tcBorders>
          </w:tcPr>
          <w:p w14:paraId="33BAE6B5">
            <w:pPr>
              <w:spacing w:before="172" w:line="229" w:lineRule="auto"/>
              <w:ind w:left="374"/>
              <w:rPr>
                <w:rFonts w:ascii="Times New Roman" w:hAnsi="Times New Roman" w:eastAsia="Times New Roman" w:cs="Times New Roman"/>
                <w:sz w:val="20"/>
                <w:szCs w:val="20"/>
              </w:rPr>
            </w:pPr>
            <w:r>
              <w:rPr>
                <w:rFonts w:ascii="宋体" w:hAnsi="宋体" w:eastAsia="宋体" w:cs="宋体"/>
                <w:spacing w:val="1"/>
                <w:sz w:val="20"/>
                <w:szCs w:val="20"/>
              </w:rPr>
              <w:t xml:space="preserve">隔油池 </w:t>
            </w:r>
            <w:r>
              <w:rPr>
                <w:rFonts w:ascii="Times New Roman" w:hAnsi="Times New Roman" w:eastAsia="Times New Roman" w:cs="Times New Roman"/>
                <w:spacing w:val="1"/>
                <w:sz w:val="20"/>
                <w:szCs w:val="20"/>
              </w:rPr>
              <w:t>1</w:t>
            </w:r>
            <w:r>
              <w:rPr>
                <w:rFonts w:ascii="Times New Roman" w:hAnsi="Times New Roman" w:eastAsia="Times New Roman" w:cs="Times New Roman"/>
                <w:sz w:val="20"/>
                <w:szCs w:val="20"/>
              </w:rPr>
              <w:t xml:space="preserve"> </w:t>
            </w:r>
            <w:r>
              <w:rPr>
                <w:rFonts w:ascii="宋体" w:hAnsi="宋体" w:eastAsia="宋体" w:cs="宋体"/>
                <w:sz w:val="20"/>
                <w:szCs w:val="20"/>
              </w:rPr>
              <w:t>座，</w:t>
            </w:r>
            <w:r>
              <w:rPr>
                <w:rFonts w:ascii="Times New Roman" w:hAnsi="Times New Roman" w:eastAsia="Times New Roman" w:cs="Times New Roman"/>
                <w:sz w:val="20"/>
                <w:szCs w:val="20"/>
              </w:rPr>
              <w:t>1m³</w:t>
            </w:r>
          </w:p>
        </w:tc>
        <w:tc>
          <w:tcPr>
            <w:tcW w:w="3216" w:type="dxa"/>
            <w:vMerge w:val="restart"/>
            <w:tcBorders>
              <w:bottom w:val="nil"/>
              <w:right w:val="single" w:color="000000" w:sz="4" w:space="0"/>
            </w:tcBorders>
          </w:tcPr>
          <w:p w14:paraId="243184BF">
            <w:pPr>
              <w:spacing w:line="254" w:lineRule="auto"/>
            </w:pPr>
          </w:p>
          <w:p w14:paraId="1ABE68CF">
            <w:pPr>
              <w:spacing w:before="65" w:line="265" w:lineRule="auto"/>
              <w:ind w:left="1226" w:right="134" w:hanging="1070"/>
              <w:rPr>
                <w:rFonts w:ascii="宋体" w:hAnsi="宋体" w:eastAsia="宋体" w:cs="宋体"/>
                <w:sz w:val="20"/>
                <w:szCs w:val="20"/>
              </w:rPr>
            </w:pPr>
            <w:r>
              <w:rPr>
                <w:rFonts w:ascii="宋体" w:hAnsi="宋体" w:eastAsia="宋体" w:cs="宋体"/>
                <w:spacing w:val="13"/>
                <w:sz w:val="20"/>
                <w:szCs w:val="20"/>
              </w:rPr>
              <w:t>隔</w:t>
            </w:r>
            <w:r>
              <w:rPr>
                <w:rFonts w:ascii="宋体" w:hAnsi="宋体" w:eastAsia="宋体" w:cs="宋体"/>
                <w:spacing w:val="8"/>
                <w:sz w:val="20"/>
                <w:szCs w:val="20"/>
              </w:rPr>
              <w:t>油后经化粪池收集后用于浇灌</w:t>
            </w:r>
            <w:r>
              <w:rPr>
                <w:rFonts w:ascii="宋体" w:hAnsi="宋体" w:eastAsia="宋体" w:cs="宋体"/>
                <w:sz w:val="20"/>
                <w:szCs w:val="20"/>
              </w:rPr>
              <w:t xml:space="preserve"> </w:t>
            </w:r>
            <w:r>
              <w:rPr>
                <w:rFonts w:ascii="宋体" w:hAnsi="宋体" w:eastAsia="宋体" w:cs="宋体"/>
                <w:spacing w:val="-2"/>
                <w:sz w:val="20"/>
                <w:szCs w:val="20"/>
              </w:rPr>
              <w:t>自</w:t>
            </w:r>
            <w:r>
              <w:rPr>
                <w:rFonts w:ascii="宋体" w:hAnsi="宋体" w:eastAsia="宋体" w:cs="宋体"/>
                <w:spacing w:val="-1"/>
                <w:sz w:val="20"/>
                <w:szCs w:val="20"/>
              </w:rPr>
              <w:t>家林地</w:t>
            </w:r>
          </w:p>
        </w:tc>
        <w:tc>
          <w:tcPr>
            <w:tcW w:w="887" w:type="dxa"/>
            <w:vMerge w:val="continue"/>
            <w:tcBorders>
              <w:top w:val="nil"/>
              <w:left w:val="single" w:color="000000" w:sz="4" w:space="0"/>
              <w:bottom w:val="nil"/>
              <w:right w:val="single" w:color="000000" w:sz="4" w:space="0"/>
            </w:tcBorders>
          </w:tcPr>
          <w:p w14:paraId="15C78360"/>
        </w:tc>
        <w:tc>
          <w:tcPr>
            <w:tcW w:w="1262" w:type="dxa"/>
            <w:vMerge w:val="restart"/>
            <w:tcBorders>
              <w:left w:val="single" w:color="000000" w:sz="4" w:space="0"/>
              <w:bottom w:val="nil"/>
              <w:right w:val="nil"/>
            </w:tcBorders>
          </w:tcPr>
          <w:p w14:paraId="2207B9DE"/>
          <w:p w14:paraId="1D7231C6"/>
          <w:p w14:paraId="40EC2E47"/>
          <w:p w14:paraId="3FB84038"/>
          <w:p w14:paraId="1A8489CD"/>
          <w:p w14:paraId="69A72EB3"/>
          <w:p w14:paraId="4DB76FD4"/>
          <w:p w14:paraId="1149F9F3">
            <w:pPr>
              <w:spacing w:line="241" w:lineRule="auto"/>
            </w:pPr>
          </w:p>
          <w:p w14:paraId="5E06A243">
            <w:pPr>
              <w:spacing w:line="241" w:lineRule="auto"/>
            </w:pPr>
          </w:p>
          <w:p w14:paraId="3F8BCD04">
            <w:pPr>
              <w:spacing w:before="65" w:line="228" w:lineRule="auto"/>
              <w:ind w:left="112"/>
              <w:rPr>
                <w:rFonts w:ascii="宋体" w:hAnsi="宋体" w:eastAsia="宋体" w:cs="宋体"/>
                <w:sz w:val="20"/>
                <w:szCs w:val="20"/>
              </w:rPr>
            </w:pPr>
            <w:r>
              <w:rPr>
                <w:rFonts w:ascii="宋体" w:hAnsi="宋体" w:eastAsia="宋体" w:cs="宋体"/>
                <w:spacing w:val="7"/>
                <w:sz w:val="20"/>
                <w:szCs w:val="20"/>
              </w:rPr>
              <w:t>恶臭、固废</w:t>
            </w:r>
          </w:p>
        </w:tc>
      </w:tr>
      <w:tr w14:paraId="3A3AA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758" w:type="dxa"/>
            <w:vMerge w:val="continue"/>
            <w:tcBorders>
              <w:top w:val="nil"/>
              <w:left w:val="nil"/>
              <w:bottom w:val="nil"/>
              <w:right w:val="single" w:color="000000" w:sz="4" w:space="0"/>
            </w:tcBorders>
          </w:tcPr>
          <w:p w14:paraId="7ABCBB57"/>
        </w:tc>
        <w:tc>
          <w:tcPr>
            <w:tcW w:w="532" w:type="dxa"/>
            <w:vMerge w:val="continue"/>
            <w:tcBorders>
              <w:top w:val="nil"/>
              <w:left w:val="single" w:color="000000" w:sz="4" w:space="0"/>
              <w:bottom w:val="nil"/>
            </w:tcBorders>
            <w:textDirection w:val="tbRlV"/>
          </w:tcPr>
          <w:p w14:paraId="356BEAB9"/>
        </w:tc>
        <w:tc>
          <w:tcPr>
            <w:tcW w:w="846" w:type="dxa"/>
            <w:gridSpan w:val="2"/>
            <w:tcBorders>
              <w:right w:val="single" w:color="000000" w:sz="4" w:space="0"/>
            </w:tcBorders>
          </w:tcPr>
          <w:p w14:paraId="08188743">
            <w:pPr>
              <w:spacing w:before="37"/>
              <w:ind w:left="324" w:right="103" w:hanging="209"/>
              <w:rPr>
                <w:rFonts w:ascii="宋体" w:hAnsi="宋体" w:eastAsia="宋体" w:cs="宋体"/>
                <w:sz w:val="20"/>
                <w:szCs w:val="20"/>
              </w:rPr>
            </w:pPr>
            <w:r>
              <w:rPr>
                <w:rFonts w:ascii="宋体" w:hAnsi="宋体" w:eastAsia="宋体" w:cs="宋体"/>
                <w:spacing w:val="7"/>
                <w:sz w:val="20"/>
                <w:szCs w:val="20"/>
              </w:rPr>
              <w:t>生</w:t>
            </w:r>
            <w:r>
              <w:rPr>
                <w:rFonts w:ascii="宋体" w:hAnsi="宋体" w:eastAsia="宋体" w:cs="宋体"/>
                <w:spacing w:val="6"/>
                <w:sz w:val="20"/>
                <w:szCs w:val="20"/>
              </w:rPr>
              <w:t>活污</w:t>
            </w:r>
            <w:r>
              <w:rPr>
                <w:rFonts w:ascii="宋体" w:hAnsi="宋体" w:eastAsia="宋体" w:cs="宋体"/>
                <w:sz w:val="20"/>
                <w:szCs w:val="20"/>
              </w:rPr>
              <w:t xml:space="preserve"> 水</w:t>
            </w:r>
          </w:p>
        </w:tc>
        <w:tc>
          <w:tcPr>
            <w:tcW w:w="2309" w:type="dxa"/>
            <w:tcBorders>
              <w:left w:val="single" w:color="000000" w:sz="4" w:space="0"/>
            </w:tcBorders>
          </w:tcPr>
          <w:p w14:paraId="3009D6D4">
            <w:pPr>
              <w:spacing w:before="53" w:line="235" w:lineRule="auto"/>
              <w:ind w:left="904" w:right="260" w:hanging="691"/>
              <w:rPr>
                <w:rFonts w:ascii="Times New Roman" w:hAnsi="Times New Roman" w:eastAsia="Times New Roman" w:cs="Times New Roman"/>
                <w:sz w:val="20"/>
                <w:szCs w:val="20"/>
              </w:rPr>
            </w:pPr>
            <w:r>
              <w:rPr>
                <w:rFonts w:ascii="宋体" w:hAnsi="宋体" w:eastAsia="宋体" w:cs="宋体"/>
                <w:spacing w:val="4"/>
                <w:sz w:val="20"/>
                <w:szCs w:val="20"/>
              </w:rPr>
              <w:t>生</w:t>
            </w:r>
            <w:r>
              <w:rPr>
                <w:rFonts w:ascii="宋体" w:hAnsi="宋体" w:eastAsia="宋体" w:cs="宋体"/>
                <w:spacing w:val="3"/>
                <w:sz w:val="20"/>
                <w:szCs w:val="20"/>
              </w:rPr>
              <w:t>活区化粪池一座，</w:t>
            </w:r>
            <w:r>
              <w:rPr>
                <w:rFonts w:ascii="宋体" w:hAnsi="宋体" w:eastAsia="宋体" w:cs="宋体"/>
                <w:sz w:val="20"/>
                <w:szCs w:val="20"/>
              </w:rPr>
              <w:t xml:space="preserve"> </w:t>
            </w:r>
            <w:r>
              <w:rPr>
                <w:rFonts w:ascii="Times New Roman" w:hAnsi="Times New Roman" w:eastAsia="Times New Roman" w:cs="Times New Roman"/>
                <w:sz w:val="20"/>
                <w:szCs w:val="20"/>
              </w:rPr>
              <w:t>100m³</w:t>
            </w:r>
          </w:p>
        </w:tc>
        <w:tc>
          <w:tcPr>
            <w:tcW w:w="3216" w:type="dxa"/>
            <w:vMerge w:val="continue"/>
            <w:tcBorders>
              <w:top w:val="nil"/>
              <w:right w:val="single" w:color="000000" w:sz="4" w:space="0"/>
            </w:tcBorders>
          </w:tcPr>
          <w:p w14:paraId="0483536B"/>
        </w:tc>
        <w:tc>
          <w:tcPr>
            <w:tcW w:w="887" w:type="dxa"/>
            <w:vMerge w:val="continue"/>
            <w:tcBorders>
              <w:top w:val="nil"/>
              <w:left w:val="single" w:color="000000" w:sz="4" w:space="0"/>
              <w:bottom w:val="nil"/>
              <w:right w:val="single" w:color="000000" w:sz="4" w:space="0"/>
            </w:tcBorders>
          </w:tcPr>
          <w:p w14:paraId="3D23DF87"/>
        </w:tc>
        <w:tc>
          <w:tcPr>
            <w:tcW w:w="1262" w:type="dxa"/>
            <w:vMerge w:val="continue"/>
            <w:tcBorders>
              <w:top w:val="nil"/>
              <w:left w:val="single" w:color="000000" w:sz="4" w:space="0"/>
              <w:bottom w:val="nil"/>
              <w:right w:val="nil"/>
            </w:tcBorders>
          </w:tcPr>
          <w:p w14:paraId="2443059A"/>
        </w:tc>
      </w:tr>
      <w:tr w14:paraId="4FAEC9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2" w:hRule="atLeast"/>
        </w:trPr>
        <w:tc>
          <w:tcPr>
            <w:tcW w:w="758" w:type="dxa"/>
            <w:vMerge w:val="continue"/>
            <w:tcBorders>
              <w:top w:val="nil"/>
              <w:left w:val="nil"/>
              <w:bottom w:val="nil"/>
              <w:right w:val="single" w:color="000000" w:sz="4" w:space="0"/>
            </w:tcBorders>
          </w:tcPr>
          <w:p w14:paraId="77A539FF"/>
        </w:tc>
        <w:tc>
          <w:tcPr>
            <w:tcW w:w="532" w:type="dxa"/>
            <w:vMerge w:val="continue"/>
            <w:tcBorders>
              <w:top w:val="nil"/>
              <w:left w:val="single" w:color="000000" w:sz="4" w:space="0"/>
              <w:bottom w:val="nil"/>
            </w:tcBorders>
            <w:textDirection w:val="tbRlV"/>
          </w:tcPr>
          <w:p w14:paraId="18AED18B"/>
        </w:tc>
        <w:tc>
          <w:tcPr>
            <w:tcW w:w="846" w:type="dxa"/>
            <w:gridSpan w:val="2"/>
            <w:tcBorders>
              <w:right w:val="single" w:color="000000" w:sz="4" w:space="0"/>
            </w:tcBorders>
          </w:tcPr>
          <w:p w14:paraId="05A9762D">
            <w:pPr>
              <w:spacing w:line="263" w:lineRule="auto"/>
            </w:pPr>
          </w:p>
          <w:p w14:paraId="5127440F">
            <w:pPr>
              <w:spacing w:line="263" w:lineRule="auto"/>
            </w:pPr>
          </w:p>
          <w:p w14:paraId="6A6AD7A0">
            <w:pPr>
              <w:spacing w:line="263" w:lineRule="auto"/>
            </w:pPr>
          </w:p>
          <w:p w14:paraId="1FDF0FB6">
            <w:pPr>
              <w:spacing w:line="264" w:lineRule="auto"/>
            </w:pPr>
          </w:p>
          <w:p w14:paraId="4B6A72E3">
            <w:pPr>
              <w:spacing w:before="65" w:line="265" w:lineRule="auto"/>
              <w:ind w:left="325" w:right="103" w:hanging="210"/>
              <w:rPr>
                <w:rFonts w:ascii="宋体" w:hAnsi="宋体" w:eastAsia="宋体" w:cs="宋体"/>
                <w:sz w:val="20"/>
                <w:szCs w:val="20"/>
              </w:rPr>
            </w:pPr>
            <w:r>
              <w:rPr>
                <w:rFonts w:ascii="宋体" w:hAnsi="宋体" w:eastAsia="宋体" w:cs="宋体"/>
                <w:spacing w:val="7"/>
                <w:sz w:val="20"/>
                <w:szCs w:val="20"/>
              </w:rPr>
              <w:t>养</w:t>
            </w:r>
            <w:r>
              <w:rPr>
                <w:rFonts w:ascii="宋体" w:hAnsi="宋体" w:eastAsia="宋体" w:cs="宋体"/>
                <w:spacing w:val="6"/>
                <w:sz w:val="20"/>
                <w:szCs w:val="20"/>
              </w:rPr>
              <w:t>殖废</w:t>
            </w:r>
            <w:r>
              <w:rPr>
                <w:rFonts w:ascii="宋体" w:hAnsi="宋体" w:eastAsia="宋体" w:cs="宋体"/>
                <w:sz w:val="20"/>
                <w:szCs w:val="20"/>
              </w:rPr>
              <w:t xml:space="preserve"> 水</w:t>
            </w:r>
          </w:p>
        </w:tc>
        <w:tc>
          <w:tcPr>
            <w:tcW w:w="5525" w:type="dxa"/>
            <w:gridSpan w:val="2"/>
            <w:tcBorders>
              <w:left w:val="single" w:color="000000" w:sz="4" w:space="0"/>
              <w:right w:val="single" w:color="000000" w:sz="4" w:space="0"/>
            </w:tcBorders>
          </w:tcPr>
          <w:p w14:paraId="4DC64A07">
            <w:pPr>
              <w:spacing w:before="34" w:line="249" w:lineRule="auto"/>
              <w:ind w:left="106" w:right="49" w:firstLine="10"/>
              <w:rPr>
                <w:rFonts w:ascii="宋体" w:hAnsi="宋体" w:eastAsia="宋体" w:cs="宋体"/>
                <w:sz w:val="20"/>
                <w:szCs w:val="20"/>
              </w:rPr>
            </w:pPr>
            <w:r>
              <w:rPr>
                <w:rFonts w:ascii="宋体" w:hAnsi="宋体" w:eastAsia="宋体" w:cs="宋体"/>
                <w:spacing w:val="12"/>
                <w:sz w:val="20"/>
                <w:szCs w:val="20"/>
              </w:rPr>
              <w:t>暂</w:t>
            </w:r>
            <w:r>
              <w:rPr>
                <w:rFonts w:ascii="宋体" w:hAnsi="宋体" w:eastAsia="宋体" w:cs="宋体"/>
                <w:spacing w:val="8"/>
                <w:sz w:val="20"/>
                <w:szCs w:val="20"/>
              </w:rPr>
              <w:t>存于养殖区的化粪池内，</w:t>
            </w:r>
            <w:r>
              <w:rPr>
                <w:rFonts w:ascii="Times New Roman" w:hAnsi="Times New Roman" w:eastAsia="Times New Roman" w:cs="Times New Roman"/>
                <w:spacing w:val="8"/>
                <w:sz w:val="20"/>
                <w:szCs w:val="20"/>
              </w:rPr>
              <w:t>1000</w:t>
            </w:r>
            <w:r>
              <w:rPr>
                <w:rFonts w:ascii="Times New Roman" w:hAnsi="Times New Roman" w:eastAsia="Times New Roman" w:cs="Times New Roman"/>
                <w:sz w:val="20"/>
                <w:szCs w:val="20"/>
              </w:rPr>
              <w:t>m</w:t>
            </w:r>
            <w:r>
              <w:rPr>
                <w:rFonts w:ascii="Times New Roman" w:hAnsi="Times New Roman" w:eastAsia="Times New Roman" w:cs="Times New Roman"/>
                <w:spacing w:val="8"/>
                <w:sz w:val="20"/>
                <w:szCs w:val="20"/>
              </w:rPr>
              <w:t xml:space="preserve">³ </w:t>
            </w:r>
            <w:r>
              <w:rPr>
                <w:rFonts w:ascii="宋体" w:hAnsi="宋体" w:eastAsia="宋体" w:cs="宋体"/>
                <w:spacing w:val="8"/>
                <w:sz w:val="20"/>
                <w:szCs w:val="20"/>
              </w:rPr>
              <w:t>，每日运输至乐山乐高</w:t>
            </w:r>
            <w:r>
              <w:rPr>
                <w:rFonts w:ascii="宋体" w:hAnsi="宋体" w:eastAsia="宋体" w:cs="宋体"/>
                <w:sz w:val="20"/>
                <w:szCs w:val="20"/>
              </w:rPr>
              <w:t xml:space="preserve"> </w:t>
            </w:r>
            <w:r>
              <w:rPr>
                <w:rFonts w:ascii="宋体" w:hAnsi="宋体" w:eastAsia="宋体" w:cs="宋体"/>
                <w:spacing w:val="14"/>
                <w:sz w:val="20"/>
                <w:szCs w:val="20"/>
              </w:rPr>
              <w:t>勤</w:t>
            </w:r>
            <w:r>
              <w:rPr>
                <w:rFonts w:ascii="宋体" w:hAnsi="宋体" w:eastAsia="宋体" w:cs="宋体"/>
                <w:spacing w:val="8"/>
                <w:sz w:val="20"/>
                <w:szCs w:val="20"/>
              </w:rPr>
              <w:t>力</w:t>
            </w:r>
            <w:r>
              <w:rPr>
                <w:rFonts w:ascii="宋体" w:hAnsi="宋体" w:eastAsia="宋体" w:cs="宋体"/>
                <w:spacing w:val="7"/>
                <w:sz w:val="20"/>
                <w:szCs w:val="20"/>
              </w:rPr>
              <w:t>生物质能源综合利用有限公司集中处置， 日产日清；</w:t>
            </w:r>
            <w:r>
              <w:rPr>
                <w:rFonts w:ascii="宋体" w:hAnsi="宋体" w:eastAsia="宋体" w:cs="宋体"/>
                <w:sz w:val="20"/>
                <w:szCs w:val="20"/>
              </w:rPr>
              <w:t xml:space="preserve"> </w:t>
            </w:r>
            <w:r>
              <w:rPr>
                <w:rFonts w:ascii="宋体" w:hAnsi="宋体" w:eastAsia="宋体" w:cs="宋体"/>
                <w:spacing w:val="10"/>
                <w:sz w:val="20"/>
                <w:szCs w:val="20"/>
              </w:rPr>
              <w:t>同</w:t>
            </w:r>
            <w:r>
              <w:rPr>
                <w:rFonts w:ascii="宋体" w:hAnsi="宋体" w:eastAsia="宋体" w:cs="宋体"/>
                <w:spacing w:val="6"/>
                <w:sz w:val="20"/>
                <w:szCs w:val="20"/>
              </w:rPr>
              <w:t>时</w:t>
            </w:r>
            <w:r>
              <w:rPr>
                <w:rFonts w:ascii="宋体" w:hAnsi="宋体" w:eastAsia="宋体" w:cs="宋体"/>
                <w:spacing w:val="5"/>
                <w:sz w:val="20"/>
                <w:szCs w:val="20"/>
              </w:rPr>
              <w:t xml:space="preserve">厂区内同时建设一座 </w:t>
            </w:r>
            <w:r>
              <w:rPr>
                <w:rFonts w:ascii="Times New Roman" w:hAnsi="Times New Roman" w:eastAsia="Times New Roman" w:cs="Times New Roman"/>
                <w:spacing w:val="5"/>
                <w:sz w:val="20"/>
                <w:szCs w:val="20"/>
              </w:rPr>
              <w:t>1600</w:t>
            </w:r>
            <w:r>
              <w:rPr>
                <w:rFonts w:ascii="Times New Roman" w:hAnsi="Times New Roman" w:eastAsia="Times New Roman" w:cs="Times New Roman"/>
                <w:sz w:val="20"/>
                <w:szCs w:val="20"/>
              </w:rPr>
              <w:t>m</w:t>
            </w:r>
            <w:r>
              <w:rPr>
                <w:rFonts w:ascii="Times New Roman" w:hAnsi="Times New Roman" w:eastAsia="Times New Roman" w:cs="Times New Roman"/>
                <w:spacing w:val="5"/>
                <w:position w:val="6"/>
                <w:sz w:val="13"/>
                <w:szCs w:val="13"/>
              </w:rPr>
              <w:t xml:space="preserve">2 </w:t>
            </w:r>
            <w:r>
              <w:rPr>
                <w:rFonts w:ascii="宋体" w:hAnsi="宋体" w:eastAsia="宋体" w:cs="宋体"/>
                <w:spacing w:val="5"/>
                <w:sz w:val="20"/>
                <w:szCs w:val="20"/>
              </w:rPr>
              <w:t>的异位发酵床备用，若后</w:t>
            </w:r>
            <w:r>
              <w:rPr>
                <w:rFonts w:ascii="宋体" w:hAnsi="宋体" w:eastAsia="宋体" w:cs="宋体"/>
                <w:sz w:val="20"/>
                <w:szCs w:val="20"/>
              </w:rPr>
              <w:t xml:space="preserve"> </w:t>
            </w:r>
            <w:r>
              <w:rPr>
                <w:rFonts w:ascii="宋体" w:hAnsi="宋体" w:eastAsia="宋体" w:cs="宋体"/>
                <w:spacing w:val="16"/>
                <w:sz w:val="20"/>
                <w:szCs w:val="20"/>
              </w:rPr>
              <w:t>期</w:t>
            </w:r>
            <w:r>
              <w:rPr>
                <w:rFonts w:ascii="宋体" w:hAnsi="宋体" w:eastAsia="宋体" w:cs="宋体"/>
                <w:spacing w:val="12"/>
                <w:sz w:val="20"/>
                <w:szCs w:val="20"/>
              </w:rPr>
              <w:t>乐山乐高勤力生物质能源综合利用有限公司不再回收厂</w:t>
            </w:r>
            <w:r>
              <w:rPr>
                <w:rFonts w:ascii="宋体" w:hAnsi="宋体" w:eastAsia="宋体" w:cs="宋体"/>
                <w:sz w:val="20"/>
                <w:szCs w:val="20"/>
              </w:rPr>
              <w:t xml:space="preserve"> </w:t>
            </w:r>
            <w:r>
              <w:rPr>
                <w:rFonts w:ascii="宋体" w:hAnsi="宋体" w:eastAsia="宋体" w:cs="宋体"/>
                <w:spacing w:val="14"/>
                <w:sz w:val="20"/>
                <w:szCs w:val="20"/>
              </w:rPr>
              <w:t>区</w:t>
            </w:r>
            <w:r>
              <w:rPr>
                <w:rFonts w:ascii="宋体" w:hAnsi="宋体" w:eastAsia="宋体" w:cs="宋体"/>
                <w:spacing w:val="12"/>
                <w:sz w:val="20"/>
                <w:szCs w:val="20"/>
              </w:rPr>
              <w:t>内的养殖废水，可将通过异位发酵床自行处置，处理产</w:t>
            </w:r>
            <w:r>
              <w:rPr>
                <w:rFonts w:ascii="宋体" w:hAnsi="宋体" w:eastAsia="宋体" w:cs="宋体"/>
                <w:sz w:val="20"/>
                <w:szCs w:val="20"/>
              </w:rPr>
              <w:t xml:space="preserve"> </w:t>
            </w:r>
            <w:r>
              <w:rPr>
                <w:rFonts w:ascii="宋体" w:hAnsi="宋体" w:eastAsia="宋体" w:cs="宋体"/>
                <w:spacing w:val="-2"/>
                <w:sz w:val="20"/>
                <w:szCs w:val="20"/>
              </w:rPr>
              <w:t>生的有机肥外售处理。异位发酵占地面</w:t>
            </w:r>
            <w:r>
              <w:rPr>
                <w:rFonts w:ascii="宋体" w:hAnsi="宋体" w:eastAsia="宋体" w:cs="宋体"/>
                <w:spacing w:val="-1"/>
                <w:sz w:val="20"/>
                <w:szCs w:val="20"/>
              </w:rPr>
              <w:t xml:space="preserve">积 </w:t>
            </w:r>
            <w:r>
              <w:rPr>
                <w:rFonts w:ascii="Times New Roman" w:hAnsi="Times New Roman" w:eastAsia="Times New Roman" w:cs="Times New Roman"/>
                <w:spacing w:val="-1"/>
                <w:sz w:val="20"/>
                <w:szCs w:val="20"/>
              </w:rPr>
              <w:t>1600m</w:t>
            </w:r>
            <w:r>
              <w:rPr>
                <w:rFonts w:ascii="Times New Roman" w:hAnsi="Times New Roman" w:eastAsia="Times New Roman" w:cs="Times New Roman"/>
                <w:spacing w:val="-1"/>
                <w:position w:val="6"/>
                <w:sz w:val="13"/>
                <w:szCs w:val="13"/>
              </w:rPr>
              <w:t xml:space="preserve">2 </w:t>
            </w:r>
            <w:r>
              <w:rPr>
                <w:rFonts w:ascii="宋体" w:hAnsi="宋体" w:eastAsia="宋体" w:cs="宋体"/>
                <w:spacing w:val="-1"/>
                <w:sz w:val="20"/>
                <w:szCs w:val="20"/>
              </w:rPr>
              <w:t>(长：</w:t>
            </w:r>
            <w:r>
              <w:rPr>
                <w:rFonts w:ascii="Times New Roman" w:hAnsi="Times New Roman" w:eastAsia="Times New Roman" w:cs="Times New Roman"/>
                <w:spacing w:val="-1"/>
                <w:sz w:val="20"/>
                <w:szCs w:val="20"/>
              </w:rPr>
              <w:t>80m</w:t>
            </w:r>
            <w:r>
              <w:rPr>
                <w:rFonts w:ascii="宋体" w:hAnsi="宋体" w:eastAsia="宋体" w:cs="宋体"/>
                <w:spacing w:val="-1"/>
                <w:sz w:val="20"/>
                <w:szCs w:val="20"/>
              </w:rPr>
              <w:t>，</w:t>
            </w:r>
            <w:r>
              <w:rPr>
                <w:rFonts w:ascii="宋体" w:hAnsi="宋体" w:eastAsia="宋体" w:cs="宋体"/>
                <w:sz w:val="20"/>
                <w:szCs w:val="20"/>
              </w:rPr>
              <w:t xml:space="preserve"> </w:t>
            </w:r>
            <w:r>
              <w:rPr>
                <w:rFonts w:ascii="宋体" w:hAnsi="宋体" w:eastAsia="宋体" w:cs="宋体"/>
                <w:spacing w:val="-1"/>
                <w:sz w:val="20"/>
                <w:szCs w:val="20"/>
              </w:rPr>
              <w:t xml:space="preserve">宽 </w:t>
            </w:r>
            <w:r>
              <w:rPr>
                <w:rFonts w:ascii="Times New Roman" w:hAnsi="Times New Roman" w:eastAsia="Times New Roman" w:cs="Times New Roman"/>
                <w:spacing w:val="-1"/>
                <w:sz w:val="20"/>
                <w:szCs w:val="20"/>
              </w:rPr>
              <w:t>20</w:t>
            </w:r>
            <w:r>
              <w:rPr>
                <w:rFonts w:ascii="Times New Roman" w:hAnsi="Times New Roman" w:eastAsia="Times New Roman" w:cs="Times New Roman"/>
                <w:sz w:val="20"/>
                <w:szCs w:val="20"/>
              </w:rPr>
              <w:t>m</w:t>
            </w:r>
            <w:r>
              <w:rPr>
                <w:rFonts w:ascii="宋体" w:hAnsi="宋体" w:eastAsia="宋体" w:cs="宋体"/>
                <w:spacing w:val="-1"/>
                <w:sz w:val="20"/>
                <w:szCs w:val="20"/>
              </w:rPr>
              <w:t xml:space="preserve">) ， </w:t>
            </w:r>
            <w:r>
              <w:rPr>
                <w:rFonts w:ascii="宋体" w:hAnsi="宋体" w:eastAsia="宋体" w:cs="宋体"/>
                <w:sz w:val="20"/>
                <w:szCs w:val="20"/>
              </w:rPr>
              <w:t xml:space="preserve">日处理能力为 </w:t>
            </w:r>
            <w:r>
              <w:rPr>
                <w:rFonts w:ascii="Times New Roman" w:hAnsi="Times New Roman" w:eastAsia="Times New Roman" w:cs="Times New Roman"/>
                <w:sz w:val="20"/>
                <w:szCs w:val="20"/>
              </w:rPr>
              <w:t>50t/d</w:t>
            </w:r>
            <w:r>
              <w:rPr>
                <w:rFonts w:ascii="宋体" w:hAnsi="宋体" w:eastAsia="宋体" w:cs="宋体"/>
                <w:sz w:val="20"/>
                <w:szCs w:val="20"/>
              </w:rPr>
              <w:t xml:space="preserve">；异位发酵床内设置 </w:t>
            </w:r>
            <w:r>
              <w:rPr>
                <w:rFonts w:ascii="Times New Roman" w:hAnsi="Times New Roman" w:eastAsia="Times New Roman" w:cs="Times New Roman"/>
                <w:sz w:val="20"/>
                <w:szCs w:val="20"/>
              </w:rPr>
              <w:t xml:space="preserve">1 </w:t>
            </w:r>
            <w:r>
              <w:rPr>
                <w:rFonts w:ascii="宋体" w:hAnsi="宋体" w:eastAsia="宋体" w:cs="宋体"/>
                <w:sz w:val="20"/>
                <w:szCs w:val="20"/>
              </w:rPr>
              <w:t xml:space="preserve">槽发 </w:t>
            </w:r>
            <w:r>
              <w:rPr>
                <w:rFonts w:ascii="宋体" w:hAnsi="宋体" w:eastAsia="宋体" w:cs="宋体"/>
                <w:spacing w:val="-4"/>
                <w:sz w:val="20"/>
                <w:szCs w:val="20"/>
              </w:rPr>
              <w:t xml:space="preserve">酵槽，面积 </w:t>
            </w:r>
            <w:r>
              <w:rPr>
                <w:rFonts w:ascii="Times New Roman" w:hAnsi="Times New Roman" w:eastAsia="Times New Roman" w:cs="Times New Roman"/>
                <w:spacing w:val="-4"/>
                <w:sz w:val="20"/>
                <w:szCs w:val="20"/>
              </w:rPr>
              <w:t>144</w:t>
            </w:r>
            <w:r>
              <w:rPr>
                <w:rFonts w:ascii="Times New Roman" w:hAnsi="Times New Roman" w:eastAsia="Times New Roman" w:cs="Times New Roman"/>
                <w:spacing w:val="-3"/>
                <w:sz w:val="20"/>
                <w:szCs w:val="20"/>
              </w:rPr>
              <w:t>0</w:t>
            </w:r>
            <w:r>
              <w:rPr>
                <w:rFonts w:ascii="Times New Roman" w:hAnsi="Times New Roman" w:eastAsia="Times New Roman" w:cs="Times New Roman"/>
                <w:spacing w:val="-2"/>
                <w:sz w:val="20"/>
                <w:szCs w:val="20"/>
              </w:rPr>
              <w:t>m</w:t>
            </w:r>
            <w:r>
              <w:rPr>
                <w:rFonts w:ascii="Times New Roman" w:hAnsi="Times New Roman" w:eastAsia="Times New Roman" w:cs="Times New Roman"/>
                <w:spacing w:val="-2"/>
                <w:position w:val="6"/>
                <w:sz w:val="13"/>
                <w:szCs w:val="13"/>
              </w:rPr>
              <w:t xml:space="preserve">2 </w:t>
            </w:r>
            <w:r>
              <w:rPr>
                <w:rFonts w:ascii="宋体" w:hAnsi="宋体" w:eastAsia="宋体" w:cs="宋体"/>
                <w:spacing w:val="-2"/>
                <w:sz w:val="20"/>
                <w:szCs w:val="20"/>
              </w:rPr>
              <w:t xml:space="preserve">，发酵槽长 </w:t>
            </w:r>
            <w:r>
              <w:rPr>
                <w:rFonts w:ascii="Times New Roman" w:hAnsi="Times New Roman" w:eastAsia="Times New Roman" w:cs="Times New Roman"/>
                <w:spacing w:val="-2"/>
                <w:sz w:val="20"/>
                <w:szCs w:val="20"/>
              </w:rPr>
              <w:t xml:space="preserve">80m </w:t>
            </w:r>
            <w:r>
              <w:rPr>
                <w:rFonts w:ascii="宋体" w:hAnsi="宋体" w:eastAsia="宋体" w:cs="宋体"/>
                <w:spacing w:val="-2"/>
                <w:sz w:val="20"/>
                <w:szCs w:val="20"/>
              </w:rPr>
              <w:t xml:space="preserve">，宽 </w:t>
            </w:r>
            <w:r>
              <w:rPr>
                <w:rFonts w:ascii="Times New Roman" w:hAnsi="Times New Roman" w:eastAsia="Times New Roman" w:cs="Times New Roman"/>
                <w:spacing w:val="-2"/>
                <w:sz w:val="20"/>
                <w:szCs w:val="20"/>
              </w:rPr>
              <w:t xml:space="preserve">8m </w:t>
            </w:r>
            <w:r>
              <w:rPr>
                <w:rFonts w:ascii="宋体" w:hAnsi="宋体" w:eastAsia="宋体" w:cs="宋体"/>
                <w:spacing w:val="-2"/>
                <w:sz w:val="20"/>
                <w:szCs w:val="20"/>
              </w:rPr>
              <w:t xml:space="preserve">，墙高 </w:t>
            </w:r>
            <w:r>
              <w:rPr>
                <w:rFonts w:ascii="Times New Roman" w:hAnsi="Times New Roman" w:eastAsia="Times New Roman" w:cs="Times New Roman"/>
                <w:spacing w:val="-2"/>
                <w:sz w:val="20"/>
                <w:szCs w:val="20"/>
              </w:rPr>
              <w:t xml:space="preserve">1.7m </w:t>
            </w:r>
            <w:r>
              <w:rPr>
                <w:rFonts w:ascii="宋体" w:hAnsi="宋体" w:eastAsia="宋体" w:cs="宋体"/>
                <w:spacing w:val="-2"/>
                <w:sz w:val="20"/>
                <w:szCs w:val="20"/>
              </w:rPr>
              <w:t>，</w:t>
            </w:r>
            <w:r>
              <w:rPr>
                <w:rFonts w:ascii="宋体" w:hAnsi="宋体" w:eastAsia="宋体" w:cs="宋体"/>
                <w:sz w:val="20"/>
                <w:szCs w:val="20"/>
              </w:rPr>
              <w:t xml:space="preserve"> </w:t>
            </w:r>
            <w:r>
              <w:rPr>
                <w:rFonts w:ascii="宋体" w:hAnsi="宋体" w:eastAsia="宋体" w:cs="宋体"/>
                <w:spacing w:val="1"/>
                <w:sz w:val="20"/>
                <w:szCs w:val="20"/>
              </w:rPr>
              <w:t xml:space="preserve">垫料高 </w:t>
            </w:r>
            <w:r>
              <w:rPr>
                <w:rFonts w:ascii="Times New Roman" w:hAnsi="Times New Roman" w:eastAsia="Times New Roman" w:cs="Times New Roman"/>
                <w:spacing w:val="1"/>
                <w:sz w:val="20"/>
                <w:szCs w:val="20"/>
              </w:rPr>
              <w:t>1.5</w:t>
            </w:r>
            <w:r>
              <w:rPr>
                <w:rFonts w:ascii="Times New Roman" w:hAnsi="Times New Roman" w:eastAsia="Times New Roman" w:cs="Times New Roman"/>
                <w:sz w:val="20"/>
                <w:szCs w:val="20"/>
              </w:rPr>
              <w:t>m</w:t>
            </w:r>
            <w:r>
              <w:rPr>
                <w:rFonts w:ascii="宋体" w:hAnsi="宋体" w:eastAsia="宋体" w:cs="宋体"/>
                <w:spacing w:val="1"/>
                <w:sz w:val="20"/>
                <w:szCs w:val="20"/>
              </w:rPr>
              <w:t>；设一槽喷淋池，面积为</w:t>
            </w:r>
            <w:r>
              <w:rPr>
                <w:rFonts w:ascii="宋体" w:hAnsi="宋体" w:eastAsia="宋体" w:cs="宋体"/>
                <w:sz w:val="20"/>
                <w:szCs w:val="20"/>
              </w:rPr>
              <w:t xml:space="preserve"> </w:t>
            </w:r>
            <w:r>
              <w:rPr>
                <w:rFonts w:ascii="Times New Roman" w:hAnsi="Times New Roman" w:eastAsia="Times New Roman" w:cs="Times New Roman"/>
                <w:sz w:val="20"/>
                <w:szCs w:val="20"/>
              </w:rPr>
              <w:t>160m</w:t>
            </w:r>
            <w:r>
              <w:rPr>
                <w:rFonts w:ascii="Times New Roman" w:hAnsi="Times New Roman" w:eastAsia="Times New Roman" w:cs="Times New Roman"/>
                <w:position w:val="6"/>
                <w:sz w:val="13"/>
                <w:szCs w:val="13"/>
              </w:rPr>
              <w:t xml:space="preserve">2 </w:t>
            </w:r>
            <w:r>
              <w:rPr>
                <w:rFonts w:ascii="宋体" w:hAnsi="宋体" w:eastAsia="宋体" w:cs="宋体"/>
                <w:sz w:val="20"/>
                <w:szCs w:val="20"/>
              </w:rPr>
              <w:t xml:space="preserve">，长 </w:t>
            </w:r>
            <w:r>
              <w:rPr>
                <w:rFonts w:ascii="Times New Roman" w:hAnsi="Times New Roman" w:eastAsia="Times New Roman" w:cs="Times New Roman"/>
                <w:sz w:val="20"/>
                <w:szCs w:val="20"/>
              </w:rPr>
              <w:t xml:space="preserve">80m </w:t>
            </w:r>
            <w:r>
              <w:rPr>
                <w:rFonts w:ascii="宋体" w:hAnsi="宋体" w:eastAsia="宋体" w:cs="宋体"/>
                <w:sz w:val="20"/>
                <w:szCs w:val="20"/>
              </w:rPr>
              <w:t xml:space="preserve">，宽 </w:t>
            </w:r>
            <w:r>
              <w:rPr>
                <w:rFonts w:ascii="Times New Roman" w:hAnsi="Times New Roman" w:eastAsia="Times New Roman" w:cs="Times New Roman"/>
                <w:spacing w:val="-4"/>
                <w:sz w:val="20"/>
                <w:szCs w:val="20"/>
              </w:rPr>
              <w:t>2</w:t>
            </w:r>
            <w:r>
              <w:rPr>
                <w:rFonts w:ascii="Times New Roman" w:hAnsi="Times New Roman" w:eastAsia="Times New Roman" w:cs="Times New Roman"/>
                <w:spacing w:val="-2"/>
                <w:sz w:val="20"/>
                <w:szCs w:val="20"/>
              </w:rPr>
              <w:t>m</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 xml:space="preserve">，高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3"/>
                <w:sz w:val="20"/>
                <w:szCs w:val="20"/>
              </w:rPr>
              <w:t>.</w:t>
            </w:r>
            <w:r>
              <w:rPr>
                <w:rFonts w:ascii="Times New Roman" w:hAnsi="Times New Roman" w:eastAsia="Times New Roman" w:cs="Times New Roman"/>
                <w:spacing w:val="-2"/>
                <w:sz w:val="20"/>
                <w:szCs w:val="20"/>
              </w:rPr>
              <w:t xml:space="preserve">8m </w:t>
            </w:r>
            <w:r>
              <w:rPr>
                <w:rFonts w:ascii="宋体" w:hAnsi="宋体" w:eastAsia="宋体" w:cs="宋体"/>
                <w:spacing w:val="-2"/>
                <w:sz w:val="20"/>
                <w:szCs w:val="20"/>
              </w:rPr>
              <w:t xml:space="preserve">，可储存粪污 </w:t>
            </w:r>
            <w:r>
              <w:rPr>
                <w:rFonts w:ascii="Times New Roman" w:hAnsi="Times New Roman" w:eastAsia="Times New Roman" w:cs="Times New Roman"/>
                <w:spacing w:val="-2"/>
                <w:sz w:val="20"/>
                <w:szCs w:val="20"/>
              </w:rPr>
              <w:t>150m</w:t>
            </w:r>
            <w:r>
              <w:rPr>
                <w:rFonts w:ascii="Times New Roman" w:hAnsi="Times New Roman" w:eastAsia="Times New Roman" w:cs="Times New Roman"/>
                <w:spacing w:val="-2"/>
                <w:position w:val="6"/>
                <w:sz w:val="13"/>
                <w:szCs w:val="13"/>
              </w:rPr>
              <w:t>3</w:t>
            </w:r>
            <w:r>
              <w:rPr>
                <w:rFonts w:ascii="宋体" w:hAnsi="宋体" w:eastAsia="宋体" w:cs="宋体"/>
                <w:spacing w:val="-2"/>
                <w:sz w:val="20"/>
                <w:szCs w:val="20"/>
              </w:rPr>
              <w:t>。</w:t>
            </w:r>
          </w:p>
        </w:tc>
        <w:tc>
          <w:tcPr>
            <w:tcW w:w="887" w:type="dxa"/>
            <w:vMerge w:val="continue"/>
            <w:tcBorders>
              <w:top w:val="nil"/>
              <w:left w:val="single" w:color="000000" w:sz="4" w:space="0"/>
              <w:bottom w:val="nil"/>
              <w:right w:val="single" w:color="000000" w:sz="4" w:space="0"/>
            </w:tcBorders>
          </w:tcPr>
          <w:p w14:paraId="4B12C708"/>
        </w:tc>
        <w:tc>
          <w:tcPr>
            <w:tcW w:w="1262" w:type="dxa"/>
            <w:vMerge w:val="continue"/>
            <w:tcBorders>
              <w:top w:val="nil"/>
              <w:left w:val="single" w:color="000000" w:sz="4" w:space="0"/>
              <w:bottom w:val="nil"/>
              <w:right w:val="nil"/>
            </w:tcBorders>
          </w:tcPr>
          <w:p w14:paraId="2A6A6B9A"/>
        </w:tc>
      </w:tr>
      <w:tr w14:paraId="397323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trPr>
        <w:tc>
          <w:tcPr>
            <w:tcW w:w="758" w:type="dxa"/>
            <w:vMerge w:val="continue"/>
            <w:tcBorders>
              <w:top w:val="nil"/>
              <w:left w:val="nil"/>
              <w:bottom w:val="nil"/>
              <w:right w:val="single" w:color="000000" w:sz="4" w:space="0"/>
            </w:tcBorders>
          </w:tcPr>
          <w:p w14:paraId="7F8011DC"/>
        </w:tc>
        <w:tc>
          <w:tcPr>
            <w:tcW w:w="532" w:type="dxa"/>
            <w:vMerge w:val="continue"/>
            <w:tcBorders>
              <w:top w:val="nil"/>
              <w:left w:val="single" w:color="000000" w:sz="4" w:space="0"/>
            </w:tcBorders>
            <w:textDirection w:val="tbRlV"/>
          </w:tcPr>
          <w:p w14:paraId="6F3A3010"/>
        </w:tc>
        <w:tc>
          <w:tcPr>
            <w:tcW w:w="846" w:type="dxa"/>
            <w:gridSpan w:val="2"/>
            <w:tcBorders>
              <w:right w:val="single" w:color="000000" w:sz="4" w:space="0"/>
            </w:tcBorders>
          </w:tcPr>
          <w:p w14:paraId="2652BB7E">
            <w:pPr>
              <w:spacing w:before="36" w:line="243" w:lineRule="auto"/>
              <w:ind w:left="115" w:right="103"/>
              <w:rPr>
                <w:rFonts w:ascii="宋体" w:hAnsi="宋体" w:eastAsia="宋体" w:cs="宋体"/>
                <w:sz w:val="20"/>
                <w:szCs w:val="20"/>
              </w:rPr>
            </w:pPr>
            <w:r>
              <w:rPr>
                <w:rFonts w:ascii="宋体" w:hAnsi="宋体" w:eastAsia="宋体" w:cs="宋体"/>
                <w:spacing w:val="6"/>
                <w:sz w:val="20"/>
                <w:szCs w:val="20"/>
              </w:rPr>
              <w:t>水帘降</w:t>
            </w:r>
            <w:r>
              <w:rPr>
                <w:rFonts w:ascii="宋体" w:hAnsi="宋体" w:eastAsia="宋体" w:cs="宋体"/>
                <w:sz w:val="20"/>
                <w:szCs w:val="20"/>
              </w:rPr>
              <w:t xml:space="preserve"> </w:t>
            </w:r>
            <w:r>
              <w:rPr>
                <w:rFonts w:ascii="宋体" w:hAnsi="宋体" w:eastAsia="宋体" w:cs="宋体"/>
                <w:spacing w:val="7"/>
                <w:sz w:val="20"/>
                <w:szCs w:val="20"/>
              </w:rPr>
              <w:t>温</w:t>
            </w:r>
            <w:r>
              <w:rPr>
                <w:rFonts w:ascii="宋体" w:hAnsi="宋体" w:eastAsia="宋体" w:cs="宋体"/>
                <w:spacing w:val="6"/>
                <w:sz w:val="20"/>
                <w:szCs w:val="20"/>
              </w:rPr>
              <w:t>系统</w:t>
            </w:r>
            <w:r>
              <w:rPr>
                <w:rFonts w:ascii="宋体" w:hAnsi="宋体" w:eastAsia="宋体" w:cs="宋体"/>
                <w:sz w:val="20"/>
                <w:szCs w:val="20"/>
              </w:rPr>
              <w:t xml:space="preserve"> </w:t>
            </w:r>
            <w:r>
              <w:rPr>
                <w:rFonts w:ascii="宋体" w:hAnsi="宋体" w:eastAsia="宋体" w:cs="宋体"/>
                <w:spacing w:val="7"/>
                <w:sz w:val="20"/>
                <w:szCs w:val="20"/>
              </w:rPr>
              <w:t>冷</w:t>
            </w:r>
            <w:r>
              <w:rPr>
                <w:rFonts w:ascii="宋体" w:hAnsi="宋体" w:eastAsia="宋体" w:cs="宋体"/>
                <w:spacing w:val="6"/>
                <w:sz w:val="20"/>
                <w:szCs w:val="20"/>
              </w:rPr>
              <w:t>却水</w:t>
            </w:r>
          </w:p>
        </w:tc>
        <w:tc>
          <w:tcPr>
            <w:tcW w:w="5525" w:type="dxa"/>
            <w:gridSpan w:val="2"/>
            <w:tcBorders>
              <w:left w:val="single" w:color="000000" w:sz="4" w:space="0"/>
              <w:right w:val="single" w:color="000000" w:sz="4" w:space="0"/>
            </w:tcBorders>
          </w:tcPr>
          <w:p w14:paraId="4EEF96FB">
            <w:pPr>
              <w:spacing w:before="171" w:line="267" w:lineRule="auto"/>
              <w:ind w:left="1717" w:right="200" w:hanging="1559"/>
              <w:rPr>
                <w:rFonts w:ascii="宋体" w:hAnsi="宋体" w:eastAsia="宋体" w:cs="宋体"/>
                <w:sz w:val="20"/>
                <w:szCs w:val="20"/>
              </w:rPr>
            </w:pPr>
            <w:r>
              <w:rPr>
                <w:rFonts w:ascii="宋体" w:hAnsi="宋体" w:eastAsia="宋体" w:cs="宋体"/>
                <w:spacing w:val="4"/>
                <w:sz w:val="20"/>
                <w:szCs w:val="20"/>
              </w:rPr>
              <w:t>建</w:t>
            </w:r>
            <w:r>
              <w:rPr>
                <w:rFonts w:ascii="宋体" w:hAnsi="宋体" w:eastAsia="宋体" w:cs="宋体"/>
                <w:spacing w:val="3"/>
                <w:sz w:val="20"/>
                <w:szCs w:val="20"/>
              </w:rPr>
              <w:t xml:space="preserve">设循环水池 </w:t>
            </w:r>
            <w:r>
              <w:rPr>
                <w:rFonts w:ascii="Times New Roman" w:hAnsi="Times New Roman" w:eastAsia="Times New Roman" w:cs="Times New Roman"/>
                <w:spacing w:val="3"/>
                <w:sz w:val="20"/>
                <w:szCs w:val="20"/>
              </w:rPr>
              <w:t xml:space="preserve">8 </w:t>
            </w:r>
            <w:r>
              <w:rPr>
                <w:rFonts w:ascii="宋体" w:hAnsi="宋体" w:eastAsia="宋体" w:cs="宋体"/>
                <w:spacing w:val="3"/>
                <w:sz w:val="20"/>
                <w:szCs w:val="20"/>
              </w:rPr>
              <w:t xml:space="preserve">个，位于各圈舍门口旁地下，容积 </w:t>
            </w:r>
            <w:r>
              <w:rPr>
                <w:rFonts w:ascii="Times New Roman" w:hAnsi="Times New Roman" w:eastAsia="Times New Roman" w:cs="Times New Roman"/>
                <w:spacing w:val="3"/>
                <w:sz w:val="20"/>
                <w:szCs w:val="20"/>
              </w:rPr>
              <w:t>1</w:t>
            </w:r>
            <w:r>
              <w:rPr>
                <w:rFonts w:ascii="Times New Roman" w:hAnsi="Times New Roman" w:eastAsia="Times New Roman" w:cs="Times New Roman"/>
                <w:sz w:val="20"/>
                <w:szCs w:val="20"/>
              </w:rPr>
              <w:t>m</w:t>
            </w:r>
            <w:r>
              <w:rPr>
                <w:rFonts w:ascii="Times New Roman" w:hAnsi="Times New Roman" w:eastAsia="Times New Roman" w:cs="Times New Roman"/>
                <w:spacing w:val="3"/>
                <w:position w:val="6"/>
                <w:sz w:val="13"/>
                <w:szCs w:val="13"/>
              </w:rPr>
              <w:t>3</w:t>
            </w:r>
            <w:r>
              <w:rPr>
                <w:rFonts w:ascii="宋体" w:hAnsi="宋体" w:eastAsia="宋体" w:cs="宋体"/>
                <w:spacing w:val="3"/>
                <w:sz w:val="20"/>
                <w:szCs w:val="20"/>
              </w:rPr>
              <w:t>，</w:t>
            </w:r>
            <w:r>
              <w:rPr>
                <w:rFonts w:ascii="宋体" w:hAnsi="宋体" w:eastAsia="宋体" w:cs="宋体"/>
                <w:sz w:val="20"/>
                <w:szCs w:val="20"/>
              </w:rPr>
              <w:t xml:space="preserve"> </w:t>
            </w:r>
            <w:r>
              <w:rPr>
                <w:rFonts w:ascii="宋体" w:hAnsi="宋体" w:eastAsia="宋体" w:cs="宋体"/>
                <w:spacing w:val="15"/>
                <w:sz w:val="20"/>
                <w:szCs w:val="20"/>
              </w:rPr>
              <w:t>冷</w:t>
            </w:r>
            <w:r>
              <w:rPr>
                <w:rFonts w:ascii="宋体" w:hAnsi="宋体" w:eastAsia="宋体" w:cs="宋体"/>
                <w:spacing w:val="8"/>
                <w:sz w:val="20"/>
                <w:szCs w:val="20"/>
              </w:rPr>
              <w:t>却水循环使用不外排</w:t>
            </w:r>
          </w:p>
        </w:tc>
        <w:tc>
          <w:tcPr>
            <w:tcW w:w="887" w:type="dxa"/>
            <w:vMerge w:val="continue"/>
            <w:tcBorders>
              <w:top w:val="nil"/>
              <w:left w:val="single" w:color="000000" w:sz="4" w:space="0"/>
              <w:bottom w:val="nil"/>
              <w:right w:val="single" w:color="000000" w:sz="4" w:space="0"/>
            </w:tcBorders>
          </w:tcPr>
          <w:p w14:paraId="587FFC97"/>
        </w:tc>
        <w:tc>
          <w:tcPr>
            <w:tcW w:w="1262" w:type="dxa"/>
            <w:vMerge w:val="continue"/>
            <w:tcBorders>
              <w:top w:val="nil"/>
              <w:left w:val="single" w:color="000000" w:sz="4" w:space="0"/>
              <w:right w:val="nil"/>
            </w:tcBorders>
          </w:tcPr>
          <w:p w14:paraId="410A0BCA"/>
        </w:tc>
      </w:tr>
      <w:tr w14:paraId="258E3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8" w:type="dxa"/>
            <w:vMerge w:val="continue"/>
            <w:tcBorders>
              <w:top w:val="nil"/>
              <w:left w:val="nil"/>
              <w:bottom w:val="nil"/>
              <w:right w:val="single" w:color="000000" w:sz="4" w:space="0"/>
            </w:tcBorders>
          </w:tcPr>
          <w:p w14:paraId="11275933"/>
        </w:tc>
        <w:tc>
          <w:tcPr>
            <w:tcW w:w="532" w:type="dxa"/>
            <w:tcBorders>
              <w:left w:val="single" w:color="000000" w:sz="4" w:space="0"/>
            </w:tcBorders>
            <w:textDirection w:val="tbRlV"/>
          </w:tcPr>
          <w:p w14:paraId="2D95BADE">
            <w:pPr>
              <w:spacing w:before="159" w:line="213" w:lineRule="auto"/>
              <w:ind w:left="35"/>
              <w:rPr>
                <w:rFonts w:ascii="宋体" w:hAnsi="宋体" w:eastAsia="宋体" w:cs="宋体"/>
                <w:sz w:val="20"/>
                <w:szCs w:val="20"/>
              </w:rPr>
            </w:pPr>
            <w:r>
              <w:rPr>
                <w:rFonts w:ascii="宋体" w:hAnsi="宋体" w:eastAsia="宋体" w:cs="宋体"/>
                <w:spacing w:val="-6"/>
                <w:sz w:val="20"/>
                <w:szCs w:val="20"/>
              </w:rPr>
              <w:t>噪 声</w:t>
            </w:r>
          </w:p>
        </w:tc>
        <w:tc>
          <w:tcPr>
            <w:tcW w:w="846" w:type="dxa"/>
            <w:gridSpan w:val="2"/>
            <w:tcBorders>
              <w:right w:val="single" w:color="000000" w:sz="4" w:space="0"/>
            </w:tcBorders>
          </w:tcPr>
          <w:p w14:paraId="642E991C">
            <w:pPr>
              <w:spacing w:before="36" w:line="239" w:lineRule="auto"/>
              <w:ind w:left="326" w:right="103" w:hanging="209"/>
              <w:rPr>
                <w:rFonts w:ascii="宋体" w:hAnsi="宋体" w:eastAsia="宋体" w:cs="宋体"/>
                <w:sz w:val="20"/>
                <w:szCs w:val="20"/>
              </w:rPr>
            </w:pPr>
            <w:r>
              <w:rPr>
                <w:rFonts w:ascii="宋体" w:hAnsi="宋体" w:eastAsia="宋体" w:cs="宋体"/>
                <w:spacing w:val="6"/>
                <w:sz w:val="20"/>
                <w:szCs w:val="20"/>
              </w:rPr>
              <w:t>设备</w:t>
            </w:r>
            <w:r>
              <w:rPr>
                <w:rFonts w:ascii="宋体" w:hAnsi="宋体" w:eastAsia="宋体" w:cs="宋体"/>
                <w:spacing w:val="5"/>
                <w:sz w:val="20"/>
                <w:szCs w:val="20"/>
              </w:rPr>
              <w:t>噪</w:t>
            </w:r>
            <w:r>
              <w:rPr>
                <w:rFonts w:ascii="宋体" w:hAnsi="宋体" w:eastAsia="宋体" w:cs="宋体"/>
                <w:sz w:val="20"/>
                <w:szCs w:val="20"/>
              </w:rPr>
              <w:t xml:space="preserve"> 声</w:t>
            </w:r>
          </w:p>
        </w:tc>
        <w:tc>
          <w:tcPr>
            <w:tcW w:w="5525" w:type="dxa"/>
            <w:gridSpan w:val="2"/>
            <w:tcBorders>
              <w:left w:val="single" w:color="000000" w:sz="4" w:space="0"/>
              <w:right w:val="single" w:color="000000" w:sz="4" w:space="0"/>
            </w:tcBorders>
          </w:tcPr>
          <w:p w14:paraId="6AB4A56E">
            <w:pPr>
              <w:spacing w:before="36" w:line="239" w:lineRule="auto"/>
              <w:ind w:left="2344" w:right="169" w:hanging="2205"/>
              <w:rPr>
                <w:rFonts w:ascii="宋体" w:hAnsi="宋体" w:eastAsia="宋体" w:cs="宋体"/>
                <w:sz w:val="20"/>
                <w:szCs w:val="20"/>
              </w:rPr>
            </w:pPr>
            <w:r>
              <w:rPr>
                <w:rFonts w:ascii="宋体" w:hAnsi="宋体" w:eastAsia="宋体" w:cs="宋体"/>
                <w:spacing w:val="13"/>
                <w:sz w:val="20"/>
                <w:szCs w:val="20"/>
              </w:rPr>
              <w:t>加</w:t>
            </w:r>
            <w:r>
              <w:rPr>
                <w:rFonts w:ascii="宋体" w:hAnsi="宋体" w:eastAsia="宋体" w:cs="宋体"/>
                <w:spacing w:val="8"/>
                <w:sz w:val="20"/>
                <w:szCs w:val="20"/>
              </w:rPr>
              <w:t>强管理，合理布局，采用低噪声设备，采取相应降噪、</w:t>
            </w:r>
            <w:r>
              <w:rPr>
                <w:rFonts w:ascii="宋体" w:hAnsi="宋体" w:eastAsia="宋体" w:cs="宋体"/>
                <w:sz w:val="20"/>
                <w:szCs w:val="20"/>
              </w:rPr>
              <w:t xml:space="preserve"> </w:t>
            </w:r>
            <w:r>
              <w:rPr>
                <w:rFonts w:ascii="宋体" w:hAnsi="宋体" w:eastAsia="宋体" w:cs="宋体"/>
                <w:spacing w:val="8"/>
                <w:sz w:val="20"/>
                <w:szCs w:val="20"/>
              </w:rPr>
              <w:t>减</w:t>
            </w:r>
            <w:r>
              <w:rPr>
                <w:rFonts w:ascii="宋体" w:hAnsi="宋体" w:eastAsia="宋体" w:cs="宋体"/>
                <w:spacing w:val="7"/>
                <w:sz w:val="20"/>
                <w:szCs w:val="20"/>
              </w:rPr>
              <w:t>震措施</w:t>
            </w:r>
          </w:p>
        </w:tc>
        <w:tc>
          <w:tcPr>
            <w:tcW w:w="887" w:type="dxa"/>
            <w:vMerge w:val="continue"/>
            <w:tcBorders>
              <w:top w:val="nil"/>
              <w:left w:val="single" w:color="000000" w:sz="4" w:space="0"/>
              <w:bottom w:val="nil"/>
              <w:right w:val="single" w:color="000000" w:sz="4" w:space="0"/>
            </w:tcBorders>
          </w:tcPr>
          <w:p w14:paraId="2F3B5A22"/>
        </w:tc>
        <w:tc>
          <w:tcPr>
            <w:tcW w:w="1262" w:type="dxa"/>
            <w:tcBorders>
              <w:left w:val="single" w:color="000000" w:sz="4" w:space="0"/>
              <w:right w:val="nil"/>
            </w:tcBorders>
          </w:tcPr>
          <w:p w14:paraId="12FD96C8">
            <w:pPr>
              <w:spacing w:before="74" w:line="281" w:lineRule="exact"/>
              <w:ind w:left="59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5D2CB1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758" w:type="dxa"/>
            <w:vMerge w:val="continue"/>
            <w:tcBorders>
              <w:top w:val="nil"/>
              <w:left w:val="nil"/>
              <w:bottom w:val="nil"/>
              <w:right w:val="single" w:color="000000" w:sz="4" w:space="0"/>
            </w:tcBorders>
          </w:tcPr>
          <w:p w14:paraId="5B8599EB"/>
        </w:tc>
        <w:tc>
          <w:tcPr>
            <w:tcW w:w="532" w:type="dxa"/>
            <w:vMerge w:val="restart"/>
            <w:tcBorders>
              <w:left w:val="single" w:color="000000" w:sz="4" w:space="0"/>
              <w:bottom w:val="nil"/>
            </w:tcBorders>
            <w:textDirection w:val="tbRlV"/>
          </w:tcPr>
          <w:p w14:paraId="2F6EA443">
            <w:pPr>
              <w:spacing w:before="159" w:line="217" w:lineRule="auto"/>
              <w:ind w:left="1852"/>
              <w:rPr>
                <w:rFonts w:ascii="宋体" w:hAnsi="宋体" w:eastAsia="宋体" w:cs="宋体"/>
                <w:sz w:val="20"/>
                <w:szCs w:val="20"/>
              </w:rPr>
            </w:pPr>
            <w:r>
              <w:rPr>
                <w:rFonts w:ascii="宋体" w:hAnsi="宋体" w:eastAsia="宋体" w:cs="宋体"/>
                <w:spacing w:val="-9"/>
                <w:sz w:val="20"/>
                <w:szCs w:val="20"/>
              </w:rPr>
              <w:t>废</w:t>
            </w:r>
            <w:r>
              <w:rPr>
                <w:rFonts w:ascii="宋体" w:hAnsi="宋体" w:eastAsia="宋体" w:cs="宋体"/>
                <w:spacing w:val="-6"/>
                <w:sz w:val="20"/>
                <w:szCs w:val="20"/>
              </w:rPr>
              <w:t xml:space="preserve"> 气</w:t>
            </w:r>
          </w:p>
        </w:tc>
        <w:tc>
          <w:tcPr>
            <w:tcW w:w="846" w:type="dxa"/>
            <w:gridSpan w:val="2"/>
            <w:tcBorders>
              <w:right w:val="single" w:color="000000" w:sz="4" w:space="0"/>
            </w:tcBorders>
          </w:tcPr>
          <w:p w14:paraId="42A07AA7">
            <w:pPr>
              <w:spacing w:before="174" w:line="228" w:lineRule="auto"/>
              <w:ind w:left="218"/>
              <w:rPr>
                <w:rFonts w:ascii="宋体" w:hAnsi="宋体" w:eastAsia="宋体" w:cs="宋体"/>
                <w:sz w:val="20"/>
                <w:szCs w:val="20"/>
              </w:rPr>
            </w:pPr>
            <w:r>
              <w:rPr>
                <w:rFonts w:ascii="宋体" w:hAnsi="宋体" w:eastAsia="宋体" w:cs="宋体"/>
                <w:spacing w:val="4"/>
                <w:sz w:val="20"/>
                <w:szCs w:val="20"/>
              </w:rPr>
              <w:t>恶臭</w:t>
            </w:r>
          </w:p>
        </w:tc>
        <w:tc>
          <w:tcPr>
            <w:tcW w:w="5525" w:type="dxa"/>
            <w:gridSpan w:val="2"/>
            <w:tcBorders>
              <w:left w:val="single" w:color="000000" w:sz="4" w:space="0"/>
              <w:right w:val="single" w:color="000000" w:sz="4" w:space="0"/>
            </w:tcBorders>
          </w:tcPr>
          <w:p w14:paraId="218E2A1E">
            <w:pPr>
              <w:spacing w:before="38"/>
              <w:ind w:left="353" w:right="135" w:hanging="214"/>
              <w:rPr>
                <w:rFonts w:ascii="宋体" w:hAnsi="宋体" w:eastAsia="宋体" w:cs="宋体"/>
                <w:sz w:val="20"/>
                <w:szCs w:val="20"/>
              </w:rPr>
            </w:pPr>
            <w:r>
              <w:rPr>
                <w:rFonts w:ascii="宋体" w:hAnsi="宋体" w:eastAsia="宋体" w:cs="宋体"/>
                <w:spacing w:val="18"/>
                <w:sz w:val="20"/>
                <w:szCs w:val="20"/>
              </w:rPr>
              <w:t>加</w:t>
            </w:r>
            <w:r>
              <w:rPr>
                <w:rFonts w:ascii="宋体" w:hAnsi="宋体" w:eastAsia="宋体" w:cs="宋体"/>
                <w:spacing w:val="15"/>
                <w:sz w:val="20"/>
                <w:szCs w:val="20"/>
              </w:rPr>
              <w:t>强</w:t>
            </w:r>
            <w:r>
              <w:rPr>
                <w:rFonts w:ascii="宋体" w:hAnsi="宋体" w:eastAsia="宋体" w:cs="宋体"/>
                <w:spacing w:val="9"/>
                <w:sz w:val="20"/>
                <w:szCs w:val="20"/>
              </w:rPr>
              <w:t>猪舍通风，定期进行消毒、定期喷洒除臭剂，定期进</w:t>
            </w:r>
            <w:r>
              <w:rPr>
                <w:rFonts w:ascii="宋体" w:hAnsi="宋体" w:eastAsia="宋体" w:cs="宋体"/>
                <w:sz w:val="20"/>
                <w:szCs w:val="20"/>
              </w:rPr>
              <w:t xml:space="preserve"> </w:t>
            </w:r>
            <w:r>
              <w:rPr>
                <w:rFonts w:ascii="宋体" w:hAnsi="宋体" w:eastAsia="宋体" w:cs="宋体"/>
                <w:spacing w:val="18"/>
                <w:sz w:val="20"/>
                <w:szCs w:val="20"/>
              </w:rPr>
              <w:t>行</w:t>
            </w:r>
            <w:r>
              <w:rPr>
                <w:rFonts w:ascii="宋体" w:hAnsi="宋体" w:eastAsia="宋体" w:cs="宋体"/>
                <w:spacing w:val="10"/>
                <w:sz w:val="20"/>
                <w:szCs w:val="20"/>
              </w:rPr>
              <w:t>杀</w:t>
            </w:r>
            <w:r>
              <w:rPr>
                <w:rFonts w:ascii="宋体" w:hAnsi="宋体" w:eastAsia="宋体" w:cs="宋体"/>
                <w:spacing w:val="9"/>
                <w:sz w:val="20"/>
                <w:szCs w:val="20"/>
              </w:rPr>
              <w:t>虫灭蝇工作，加强场区绿化、设置卫生防护距离</w:t>
            </w:r>
          </w:p>
        </w:tc>
        <w:tc>
          <w:tcPr>
            <w:tcW w:w="887" w:type="dxa"/>
            <w:vMerge w:val="continue"/>
            <w:tcBorders>
              <w:top w:val="nil"/>
              <w:left w:val="single" w:color="000000" w:sz="4" w:space="0"/>
              <w:bottom w:val="nil"/>
              <w:right w:val="single" w:color="000000" w:sz="4" w:space="0"/>
            </w:tcBorders>
          </w:tcPr>
          <w:p w14:paraId="65F28562"/>
        </w:tc>
        <w:tc>
          <w:tcPr>
            <w:tcW w:w="1262" w:type="dxa"/>
            <w:tcBorders>
              <w:left w:val="single" w:color="000000" w:sz="4" w:space="0"/>
              <w:right w:val="nil"/>
            </w:tcBorders>
          </w:tcPr>
          <w:p w14:paraId="23F3DB31">
            <w:pPr>
              <w:spacing w:before="79" w:line="281" w:lineRule="exact"/>
              <w:ind w:left="59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238A5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58" w:type="dxa"/>
            <w:vMerge w:val="continue"/>
            <w:tcBorders>
              <w:top w:val="nil"/>
              <w:left w:val="nil"/>
              <w:bottom w:val="nil"/>
              <w:right w:val="single" w:color="000000" w:sz="4" w:space="0"/>
            </w:tcBorders>
          </w:tcPr>
          <w:p w14:paraId="169F9F82"/>
        </w:tc>
        <w:tc>
          <w:tcPr>
            <w:tcW w:w="532" w:type="dxa"/>
            <w:vMerge w:val="continue"/>
            <w:tcBorders>
              <w:top w:val="nil"/>
              <w:left w:val="single" w:color="000000" w:sz="4" w:space="0"/>
              <w:bottom w:val="nil"/>
            </w:tcBorders>
            <w:textDirection w:val="tbRlV"/>
          </w:tcPr>
          <w:p w14:paraId="04B6E9D7"/>
        </w:tc>
        <w:tc>
          <w:tcPr>
            <w:tcW w:w="846" w:type="dxa"/>
            <w:gridSpan w:val="2"/>
            <w:tcBorders>
              <w:right w:val="single" w:color="000000" w:sz="4" w:space="0"/>
            </w:tcBorders>
          </w:tcPr>
          <w:p w14:paraId="783585A3">
            <w:pPr>
              <w:spacing w:before="36" w:line="228" w:lineRule="auto"/>
              <w:ind w:left="116"/>
              <w:rPr>
                <w:rFonts w:ascii="宋体" w:hAnsi="宋体" w:eastAsia="宋体" w:cs="宋体"/>
                <w:sz w:val="20"/>
                <w:szCs w:val="20"/>
              </w:rPr>
            </w:pPr>
            <w:r>
              <w:rPr>
                <w:rFonts w:ascii="宋体" w:hAnsi="宋体" w:eastAsia="宋体" w:cs="宋体"/>
                <w:spacing w:val="6"/>
                <w:sz w:val="20"/>
                <w:szCs w:val="20"/>
              </w:rPr>
              <w:t>异位发</w:t>
            </w:r>
          </w:p>
          <w:p w14:paraId="3854C8AF">
            <w:pPr>
              <w:spacing w:before="24" w:line="228" w:lineRule="auto"/>
              <w:ind w:left="115"/>
              <w:rPr>
                <w:rFonts w:ascii="宋体" w:hAnsi="宋体" w:eastAsia="宋体" w:cs="宋体"/>
                <w:sz w:val="20"/>
                <w:szCs w:val="20"/>
              </w:rPr>
            </w:pPr>
            <w:r>
              <w:rPr>
                <w:rFonts w:ascii="宋体" w:hAnsi="宋体" w:eastAsia="宋体" w:cs="宋体"/>
                <w:spacing w:val="7"/>
                <w:sz w:val="20"/>
                <w:szCs w:val="20"/>
              </w:rPr>
              <w:t>酵</w:t>
            </w:r>
            <w:r>
              <w:rPr>
                <w:rFonts w:ascii="宋体" w:hAnsi="宋体" w:eastAsia="宋体" w:cs="宋体"/>
                <w:spacing w:val="6"/>
                <w:sz w:val="20"/>
                <w:szCs w:val="20"/>
              </w:rPr>
              <w:t>床恶</w:t>
            </w:r>
          </w:p>
          <w:p w14:paraId="27A3AED4">
            <w:pPr>
              <w:spacing w:before="27" w:line="225" w:lineRule="auto"/>
              <w:ind w:left="323"/>
              <w:rPr>
                <w:rFonts w:ascii="宋体" w:hAnsi="宋体" w:eastAsia="宋体" w:cs="宋体"/>
                <w:sz w:val="20"/>
                <w:szCs w:val="20"/>
              </w:rPr>
            </w:pPr>
            <w:r>
              <w:rPr>
                <w:rFonts w:ascii="宋体" w:hAnsi="宋体" w:eastAsia="宋体" w:cs="宋体"/>
                <w:sz w:val="20"/>
                <w:szCs w:val="20"/>
              </w:rPr>
              <w:t>臭</w:t>
            </w:r>
          </w:p>
        </w:tc>
        <w:tc>
          <w:tcPr>
            <w:tcW w:w="5525" w:type="dxa"/>
            <w:gridSpan w:val="2"/>
            <w:tcBorders>
              <w:left w:val="single" w:color="000000" w:sz="4" w:space="0"/>
              <w:right w:val="single" w:color="000000" w:sz="4" w:space="0"/>
            </w:tcBorders>
          </w:tcPr>
          <w:p w14:paraId="4D76B8E8">
            <w:pPr>
              <w:spacing w:line="280" w:lineRule="exact"/>
              <w:ind w:left="111"/>
              <w:rPr>
                <w:rFonts w:ascii="宋体" w:hAnsi="宋体" w:eastAsia="宋体" w:cs="宋体"/>
                <w:sz w:val="20"/>
                <w:szCs w:val="20"/>
              </w:rPr>
            </w:pPr>
            <w:r>
              <w:rPr>
                <w:rFonts w:ascii="宋体" w:hAnsi="宋体" w:eastAsia="宋体" w:cs="宋体"/>
                <w:spacing w:val="8"/>
                <w:position w:val="1"/>
                <w:sz w:val="20"/>
                <w:szCs w:val="20"/>
                <w14:textOutline w14:w="3784" w14:cap="sq" w14:cmpd="sng" w14:algn="ctr">
                  <w14:solidFill>
                    <w14:srgbClr w14:val="000000"/>
                  </w14:solidFill>
                  <w14:prstDash w14:val="solid"/>
                  <w14:bevel/>
                </w14:textOutline>
              </w:rPr>
              <w:t>仅在备用时使用</w:t>
            </w:r>
            <w:r>
              <w:rPr>
                <w:rFonts w:ascii="宋体" w:hAnsi="宋体" w:eastAsia="宋体" w:cs="宋体"/>
                <w:spacing w:val="8"/>
                <w:position w:val="1"/>
                <w:sz w:val="20"/>
                <w:szCs w:val="20"/>
              </w:rPr>
              <w:t>，养殖场通过</w:t>
            </w:r>
            <w:r>
              <w:rPr>
                <w:rFonts w:ascii="Times New Roman" w:hAnsi="Times New Roman" w:eastAsia="Times New Roman" w:cs="Times New Roman"/>
                <w:spacing w:val="8"/>
                <w:position w:val="1"/>
                <w:sz w:val="20"/>
                <w:szCs w:val="20"/>
              </w:rPr>
              <w:t>“</w:t>
            </w:r>
            <w:r>
              <w:rPr>
                <w:rFonts w:ascii="宋体" w:hAnsi="宋体" w:eastAsia="宋体" w:cs="宋体"/>
                <w:spacing w:val="8"/>
                <w:position w:val="1"/>
                <w:sz w:val="20"/>
                <w:szCs w:val="20"/>
              </w:rPr>
              <w:t>高架网床</w:t>
            </w:r>
            <w:r>
              <w:rPr>
                <w:rFonts w:ascii="Times New Roman" w:hAnsi="Times New Roman" w:eastAsia="Times New Roman" w:cs="Times New Roman"/>
                <w:spacing w:val="8"/>
                <w:position w:val="1"/>
                <w:sz w:val="20"/>
                <w:szCs w:val="20"/>
              </w:rPr>
              <w:t>+</w:t>
            </w:r>
            <w:r>
              <w:rPr>
                <w:rFonts w:ascii="宋体" w:hAnsi="宋体" w:eastAsia="宋体" w:cs="宋体"/>
                <w:spacing w:val="8"/>
                <w:position w:val="1"/>
                <w:sz w:val="20"/>
                <w:szCs w:val="20"/>
              </w:rPr>
              <w:t>微生物益生菌</w:t>
            </w:r>
            <w:r>
              <w:rPr>
                <w:rFonts w:ascii="Times New Roman" w:hAnsi="Times New Roman" w:eastAsia="Times New Roman" w:cs="Times New Roman"/>
                <w:spacing w:val="8"/>
                <w:position w:val="1"/>
                <w:sz w:val="20"/>
                <w:szCs w:val="20"/>
              </w:rPr>
              <w:t>”</w:t>
            </w:r>
            <w:r>
              <w:rPr>
                <w:rFonts w:ascii="宋体" w:hAnsi="宋体" w:eastAsia="宋体" w:cs="宋体"/>
                <w:spacing w:val="4"/>
                <w:position w:val="1"/>
                <w:sz w:val="20"/>
                <w:szCs w:val="20"/>
              </w:rPr>
              <w:t>生</w:t>
            </w:r>
          </w:p>
          <w:p w14:paraId="5EA07778">
            <w:pPr>
              <w:spacing w:before="27" w:line="228" w:lineRule="auto"/>
              <w:ind w:left="139"/>
              <w:rPr>
                <w:rFonts w:ascii="宋体" w:hAnsi="宋体" w:eastAsia="宋体" w:cs="宋体"/>
                <w:sz w:val="20"/>
                <w:szCs w:val="20"/>
              </w:rPr>
            </w:pPr>
            <w:r>
              <w:rPr>
                <w:rFonts w:ascii="宋体" w:hAnsi="宋体" w:eastAsia="宋体" w:cs="宋体"/>
                <w:spacing w:val="18"/>
                <w:sz w:val="20"/>
                <w:szCs w:val="20"/>
              </w:rPr>
              <w:t>态</w:t>
            </w:r>
            <w:r>
              <w:rPr>
                <w:rFonts w:ascii="宋体" w:hAnsi="宋体" w:eastAsia="宋体" w:cs="宋体"/>
                <w:spacing w:val="15"/>
                <w:sz w:val="20"/>
                <w:szCs w:val="20"/>
              </w:rPr>
              <w:t>养</w:t>
            </w:r>
            <w:r>
              <w:rPr>
                <w:rFonts w:ascii="宋体" w:hAnsi="宋体" w:eastAsia="宋体" w:cs="宋体"/>
                <w:spacing w:val="9"/>
                <w:sz w:val="20"/>
                <w:szCs w:val="20"/>
              </w:rPr>
              <w:t>殖模式、科学改良饲料配方等方式，可有效使养殖场</w:t>
            </w:r>
          </w:p>
          <w:p w14:paraId="4D14129B">
            <w:pPr>
              <w:spacing w:before="27" w:line="225" w:lineRule="auto"/>
              <w:ind w:left="1610"/>
              <w:rPr>
                <w:rFonts w:ascii="宋体" w:hAnsi="宋体" w:eastAsia="宋体" w:cs="宋体"/>
                <w:sz w:val="20"/>
                <w:szCs w:val="20"/>
              </w:rPr>
            </w:pPr>
            <w:r>
              <w:rPr>
                <w:rFonts w:ascii="宋体" w:hAnsi="宋体" w:eastAsia="宋体" w:cs="宋体"/>
                <w:spacing w:val="10"/>
                <w:sz w:val="20"/>
                <w:szCs w:val="20"/>
              </w:rPr>
              <w:t>臭</w:t>
            </w:r>
            <w:r>
              <w:rPr>
                <w:rFonts w:ascii="宋体" w:hAnsi="宋体" w:eastAsia="宋体" w:cs="宋体"/>
                <w:spacing w:val="9"/>
                <w:sz w:val="20"/>
                <w:szCs w:val="20"/>
              </w:rPr>
              <w:t>气、氨气含量显著下降</w:t>
            </w:r>
          </w:p>
        </w:tc>
        <w:tc>
          <w:tcPr>
            <w:tcW w:w="887" w:type="dxa"/>
            <w:vMerge w:val="continue"/>
            <w:tcBorders>
              <w:top w:val="nil"/>
              <w:left w:val="single" w:color="000000" w:sz="4" w:space="0"/>
              <w:bottom w:val="nil"/>
              <w:right w:val="single" w:color="000000" w:sz="4" w:space="0"/>
            </w:tcBorders>
          </w:tcPr>
          <w:p w14:paraId="161AA040"/>
        </w:tc>
        <w:tc>
          <w:tcPr>
            <w:tcW w:w="1262" w:type="dxa"/>
            <w:tcBorders>
              <w:left w:val="single" w:color="000000" w:sz="4" w:space="0"/>
              <w:right w:val="nil"/>
            </w:tcBorders>
          </w:tcPr>
          <w:p w14:paraId="168265DC">
            <w:pPr>
              <w:spacing w:before="248" w:line="228" w:lineRule="auto"/>
              <w:ind w:left="424"/>
              <w:rPr>
                <w:rFonts w:ascii="宋体" w:hAnsi="宋体" w:eastAsia="宋体" w:cs="宋体"/>
                <w:sz w:val="20"/>
                <w:szCs w:val="20"/>
              </w:rPr>
            </w:pPr>
            <w:r>
              <w:rPr>
                <w:rFonts w:ascii="宋体" w:hAnsi="宋体" w:eastAsia="宋体" w:cs="宋体"/>
                <w:spacing w:val="4"/>
                <w:sz w:val="20"/>
                <w:szCs w:val="20"/>
              </w:rPr>
              <w:t>恶臭</w:t>
            </w:r>
          </w:p>
        </w:tc>
      </w:tr>
      <w:tr w14:paraId="4FA176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758" w:type="dxa"/>
            <w:vMerge w:val="continue"/>
            <w:tcBorders>
              <w:top w:val="nil"/>
              <w:left w:val="nil"/>
              <w:bottom w:val="nil"/>
              <w:right w:val="single" w:color="000000" w:sz="4" w:space="0"/>
            </w:tcBorders>
          </w:tcPr>
          <w:p w14:paraId="0DEAC806"/>
        </w:tc>
        <w:tc>
          <w:tcPr>
            <w:tcW w:w="532" w:type="dxa"/>
            <w:vMerge w:val="continue"/>
            <w:tcBorders>
              <w:top w:val="nil"/>
              <w:left w:val="single" w:color="000000" w:sz="4" w:space="0"/>
              <w:bottom w:val="nil"/>
            </w:tcBorders>
            <w:textDirection w:val="tbRlV"/>
          </w:tcPr>
          <w:p w14:paraId="0308440F"/>
        </w:tc>
        <w:tc>
          <w:tcPr>
            <w:tcW w:w="846" w:type="dxa"/>
            <w:gridSpan w:val="2"/>
            <w:tcBorders>
              <w:right w:val="single" w:color="000000" w:sz="4" w:space="0"/>
            </w:tcBorders>
          </w:tcPr>
          <w:p w14:paraId="6F279790">
            <w:pPr>
              <w:spacing w:before="42" w:line="239" w:lineRule="auto"/>
              <w:ind w:left="114" w:right="103"/>
              <w:rPr>
                <w:rFonts w:ascii="宋体" w:hAnsi="宋体" w:eastAsia="宋体" w:cs="宋体"/>
                <w:sz w:val="20"/>
                <w:szCs w:val="20"/>
              </w:rPr>
            </w:pPr>
            <w:r>
              <w:rPr>
                <w:rFonts w:ascii="宋体" w:hAnsi="宋体" w:eastAsia="宋体" w:cs="宋体"/>
                <w:spacing w:val="7"/>
                <w:sz w:val="20"/>
                <w:szCs w:val="20"/>
              </w:rPr>
              <w:t>猪舍</w:t>
            </w:r>
            <w:r>
              <w:rPr>
                <w:rFonts w:ascii="宋体" w:hAnsi="宋体" w:eastAsia="宋体" w:cs="宋体"/>
                <w:spacing w:val="6"/>
                <w:sz w:val="20"/>
                <w:szCs w:val="20"/>
              </w:rPr>
              <w:t>通</w:t>
            </w:r>
            <w:r>
              <w:rPr>
                <w:rFonts w:ascii="宋体" w:hAnsi="宋体" w:eastAsia="宋体" w:cs="宋体"/>
                <w:sz w:val="20"/>
                <w:szCs w:val="20"/>
              </w:rPr>
              <w:t xml:space="preserve"> </w:t>
            </w:r>
            <w:r>
              <w:rPr>
                <w:rFonts w:ascii="宋体" w:hAnsi="宋体" w:eastAsia="宋体" w:cs="宋体"/>
                <w:spacing w:val="7"/>
                <w:sz w:val="20"/>
                <w:szCs w:val="20"/>
              </w:rPr>
              <w:t>风</w:t>
            </w:r>
            <w:r>
              <w:rPr>
                <w:rFonts w:ascii="宋体" w:hAnsi="宋体" w:eastAsia="宋体" w:cs="宋体"/>
                <w:spacing w:val="6"/>
                <w:sz w:val="20"/>
                <w:szCs w:val="20"/>
              </w:rPr>
              <w:t>系统</w:t>
            </w:r>
          </w:p>
        </w:tc>
        <w:tc>
          <w:tcPr>
            <w:tcW w:w="5525" w:type="dxa"/>
            <w:gridSpan w:val="2"/>
            <w:tcBorders>
              <w:left w:val="single" w:color="000000" w:sz="4" w:space="0"/>
              <w:right w:val="single" w:color="000000" w:sz="4" w:space="0"/>
            </w:tcBorders>
          </w:tcPr>
          <w:p w14:paraId="5CEE5E48">
            <w:pPr>
              <w:spacing w:before="176" w:line="228" w:lineRule="auto"/>
              <w:ind w:left="530"/>
              <w:rPr>
                <w:rFonts w:ascii="宋体" w:hAnsi="宋体" w:eastAsia="宋体" w:cs="宋体"/>
                <w:sz w:val="20"/>
                <w:szCs w:val="20"/>
              </w:rPr>
            </w:pPr>
            <w:r>
              <w:rPr>
                <w:rFonts w:ascii="宋体" w:hAnsi="宋体" w:eastAsia="宋体" w:cs="宋体"/>
                <w:spacing w:val="18"/>
                <w:sz w:val="20"/>
                <w:szCs w:val="20"/>
              </w:rPr>
              <w:t>猪</w:t>
            </w:r>
            <w:r>
              <w:rPr>
                <w:rFonts w:ascii="宋体" w:hAnsi="宋体" w:eastAsia="宋体" w:cs="宋体"/>
                <w:spacing w:val="13"/>
                <w:sz w:val="20"/>
                <w:szCs w:val="20"/>
              </w:rPr>
              <w:t>舍</w:t>
            </w:r>
            <w:r>
              <w:rPr>
                <w:rFonts w:ascii="宋体" w:hAnsi="宋体" w:eastAsia="宋体" w:cs="宋体"/>
                <w:spacing w:val="9"/>
                <w:sz w:val="20"/>
                <w:szCs w:val="20"/>
              </w:rPr>
              <w:t>设通风系统，采用科学合理方法存放和处理猪粪</w:t>
            </w:r>
          </w:p>
        </w:tc>
        <w:tc>
          <w:tcPr>
            <w:tcW w:w="887" w:type="dxa"/>
            <w:vMerge w:val="continue"/>
            <w:tcBorders>
              <w:top w:val="nil"/>
              <w:left w:val="single" w:color="000000" w:sz="4" w:space="0"/>
              <w:bottom w:val="nil"/>
              <w:right w:val="single" w:color="000000" w:sz="4" w:space="0"/>
            </w:tcBorders>
          </w:tcPr>
          <w:p w14:paraId="3FA3E160"/>
        </w:tc>
        <w:tc>
          <w:tcPr>
            <w:tcW w:w="1262" w:type="dxa"/>
            <w:tcBorders>
              <w:left w:val="single" w:color="000000" w:sz="4" w:space="0"/>
              <w:right w:val="nil"/>
            </w:tcBorders>
          </w:tcPr>
          <w:p w14:paraId="0D09E4F6">
            <w:pPr>
              <w:spacing w:before="115" w:line="228" w:lineRule="auto"/>
              <w:ind w:left="424"/>
              <w:rPr>
                <w:rFonts w:ascii="宋体" w:hAnsi="宋体" w:eastAsia="宋体" w:cs="宋体"/>
                <w:sz w:val="20"/>
                <w:szCs w:val="20"/>
              </w:rPr>
            </w:pPr>
            <w:r>
              <w:rPr>
                <w:rFonts w:ascii="宋体" w:hAnsi="宋体" w:eastAsia="宋体" w:cs="宋体"/>
                <w:spacing w:val="4"/>
                <w:sz w:val="20"/>
                <w:szCs w:val="20"/>
              </w:rPr>
              <w:t>恶臭</w:t>
            </w:r>
          </w:p>
        </w:tc>
      </w:tr>
      <w:tr w14:paraId="13D4B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trPr>
        <w:tc>
          <w:tcPr>
            <w:tcW w:w="758" w:type="dxa"/>
            <w:vMerge w:val="continue"/>
            <w:tcBorders>
              <w:top w:val="nil"/>
              <w:left w:val="nil"/>
              <w:bottom w:val="nil"/>
              <w:right w:val="single" w:color="000000" w:sz="4" w:space="0"/>
            </w:tcBorders>
          </w:tcPr>
          <w:p w14:paraId="005E24D9"/>
        </w:tc>
        <w:tc>
          <w:tcPr>
            <w:tcW w:w="532" w:type="dxa"/>
            <w:vMerge w:val="continue"/>
            <w:tcBorders>
              <w:top w:val="nil"/>
              <w:left w:val="single" w:color="000000" w:sz="4" w:space="0"/>
              <w:bottom w:val="nil"/>
            </w:tcBorders>
            <w:textDirection w:val="tbRlV"/>
          </w:tcPr>
          <w:p w14:paraId="36B84C02"/>
        </w:tc>
        <w:tc>
          <w:tcPr>
            <w:tcW w:w="846" w:type="dxa"/>
            <w:gridSpan w:val="2"/>
            <w:tcBorders>
              <w:right w:val="single" w:color="000000" w:sz="4" w:space="0"/>
            </w:tcBorders>
          </w:tcPr>
          <w:p w14:paraId="5748C4E4">
            <w:pPr>
              <w:spacing w:before="38" w:line="228" w:lineRule="auto"/>
              <w:ind w:left="116"/>
              <w:rPr>
                <w:rFonts w:ascii="宋体" w:hAnsi="宋体" w:eastAsia="宋体" w:cs="宋体"/>
                <w:sz w:val="20"/>
                <w:szCs w:val="20"/>
              </w:rPr>
            </w:pPr>
            <w:r>
              <w:rPr>
                <w:rFonts w:ascii="宋体" w:hAnsi="宋体" w:eastAsia="宋体" w:cs="宋体"/>
                <w:spacing w:val="6"/>
                <w:sz w:val="20"/>
                <w:szCs w:val="20"/>
              </w:rPr>
              <w:t>备用发</w:t>
            </w:r>
          </w:p>
          <w:p w14:paraId="1DB630BA">
            <w:pPr>
              <w:spacing w:before="23" w:line="227" w:lineRule="auto"/>
              <w:ind w:left="138"/>
              <w:rPr>
                <w:rFonts w:ascii="宋体" w:hAnsi="宋体" w:eastAsia="宋体" w:cs="宋体"/>
                <w:sz w:val="20"/>
                <w:szCs w:val="20"/>
              </w:rPr>
            </w:pPr>
            <w:r>
              <w:rPr>
                <w:rFonts w:ascii="宋体" w:hAnsi="宋体" w:eastAsia="宋体" w:cs="宋体"/>
                <w:spacing w:val="-2"/>
                <w:sz w:val="20"/>
                <w:szCs w:val="20"/>
              </w:rPr>
              <w:t>电</w:t>
            </w:r>
            <w:r>
              <w:rPr>
                <w:rFonts w:ascii="宋体" w:hAnsi="宋体" w:eastAsia="宋体" w:cs="宋体"/>
                <w:spacing w:val="-1"/>
                <w:sz w:val="20"/>
                <w:szCs w:val="20"/>
              </w:rPr>
              <w:t>机烟</w:t>
            </w:r>
          </w:p>
          <w:p w14:paraId="71781780">
            <w:pPr>
              <w:spacing w:before="28" w:line="225" w:lineRule="auto"/>
              <w:ind w:left="323"/>
              <w:rPr>
                <w:rFonts w:ascii="宋体" w:hAnsi="宋体" w:eastAsia="宋体" w:cs="宋体"/>
                <w:sz w:val="20"/>
                <w:szCs w:val="20"/>
              </w:rPr>
            </w:pPr>
            <w:r>
              <w:rPr>
                <w:rFonts w:ascii="宋体" w:hAnsi="宋体" w:eastAsia="宋体" w:cs="宋体"/>
                <w:sz w:val="20"/>
                <w:szCs w:val="20"/>
              </w:rPr>
              <w:t>气</w:t>
            </w:r>
          </w:p>
        </w:tc>
        <w:tc>
          <w:tcPr>
            <w:tcW w:w="5525" w:type="dxa"/>
            <w:gridSpan w:val="2"/>
            <w:tcBorders>
              <w:left w:val="single" w:color="000000" w:sz="4" w:space="0"/>
              <w:right w:val="single" w:color="000000" w:sz="4" w:space="0"/>
            </w:tcBorders>
          </w:tcPr>
          <w:p w14:paraId="272A71BA">
            <w:pPr>
              <w:spacing w:before="174" w:line="265" w:lineRule="auto"/>
              <w:ind w:left="1926" w:right="49" w:hanging="1779"/>
              <w:rPr>
                <w:rFonts w:ascii="宋体" w:hAnsi="宋体" w:eastAsia="宋体" w:cs="宋体"/>
                <w:sz w:val="20"/>
                <w:szCs w:val="20"/>
              </w:rPr>
            </w:pPr>
            <w:r>
              <w:rPr>
                <w:rFonts w:ascii="宋体" w:hAnsi="宋体" w:eastAsia="宋体" w:cs="宋体"/>
                <w:spacing w:val="8"/>
                <w:sz w:val="20"/>
                <w:szCs w:val="20"/>
              </w:rPr>
              <w:t>自带净</w:t>
            </w:r>
            <w:r>
              <w:rPr>
                <w:rFonts w:ascii="宋体" w:hAnsi="宋体" w:eastAsia="宋体" w:cs="宋体"/>
                <w:spacing w:val="6"/>
                <w:sz w:val="20"/>
                <w:szCs w:val="20"/>
              </w:rPr>
              <w:t>化</w:t>
            </w:r>
            <w:r>
              <w:rPr>
                <w:rFonts w:ascii="宋体" w:hAnsi="宋体" w:eastAsia="宋体" w:cs="宋体"/>
                <w:spacing w:val="4"/>
                <w:sz w:val="20"/>
                <w:szCs w:val="20"/>
              </w:rPr>
              <w:t>器，采用清洁能源，废气产生频次低，产生量小，</w:t>
            </w:r>
            <w:r>
              <w:rPr>
                <w:rFonts w:ascii="宋体" w:hAnsi="宋体" w:eastAsia="宋体" w:cs="宋体"/>
                <w:sz w:val="20"/>
                <w:szCs w:val="20"/>
              </w:rPr>
              <w:t xml:space="preserve"> </w:t>
            </w:r>
            <w:r>
              <w:rPr>
                <w:rFonts w:ascii="宋体" w:hAnsi="宋体" w:eastAsia="宋体" w:cs="宋体"/>
                <w:spacing w:val="11"/>
                <w:sz w:val="20"/>
                <w:szCs w:val="20"/>
              </w:rPr>
              <w:t>无</w:t>
            </w:r>
            <w:r>
              <w:rPr>
                <w:rFonts w:ascii="宋体" w:hAnsi="宋体" w:eastAsia="宋体" w:cs="宋体"/>
                <w:spacing w:val="8"/>
                <w:sz w:val="20"/>
                <w:szCs w:val="20"/>
              </w:rPr>
              <w:t>组织间歇定排放</w:t>
            </w:r>
          </w:p>
        </w:tc>
        <w:tc>
          <w:tcPr>
            <w:tcW w:w="887" w:type="dxa"/>
            <w:vMerge w:val="continue"/>
            <w:tcBorders>
              <w:top w:val="nil"/>
              <w:left w:val="single" w:color="000000" w:sz="4" w:space="0"/>
              <w:bottom w:val="nil"/>
              <w:right w:val="single" w:color="000000" w:sz="4" w:space="0"/>
            </w:tcBorders>
          </w:tcPr>
          <w:p w14:paraId="2259B986"/>
        </w:tc>
        <w:tc>
          <w:tcPr>
            <w:tcW w:w="1262" w:type="dxa"/>
            <w:tcBorders>
              <w:left w:val="single" w:color="000000" w:sz="4" w:space="0"/>
              <w:right w:val="nil"/>
            </w:tcBorders>
          </w:tcPr>
          <w:p w14:paraId="672F120F">
            <w:pPr>
              <w:spacing w:before="211" w:line="281" w:lineRule="exact"/>
              <w:ind w:left="59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4E9E96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758" w:type="dxa"/>
            <w:vMerge w:val="continue"/>
            <w:tcBorders>
              <w:top w:val="nil"/>
              <w:left w:val="nil"/>
              <w:bottom w:val="nil"/>
              <w:right w:val="single" w:color="000000" w:sz="4" w:space="0"/>
            </w:tcBorders>
          </w:tcPr>
          <w:p w14:paraId="623540C6"/>
        </w:tc>
        <w:tc>
          <w:tcPr>
            <w:tcW w:w="532" w:type="dxa"/>
            <w:vMerge w:val="continue"/>
            <w:tcBorders>
              <w:top w:val="nil"/>
              <w:left w:val="single" w:color="000000" w:sz="4" w:space="0"/>
              <w:bottom w:val="nil"/>
            </w:tcBorders>
            <w:textDirection w:val="tbRlV"/>
          </w:tcPr>
          <w:p w14:paraId="3002D5F4"/>
        </w:tc>
        <w:tc>
          <w:tcPr>
            <w:tcW w:w="846" w:type="dxa"/>
            <w:gridSpan w:val="2"/>
            <w:tcBorders>
              <w:right w:val="single" w:color="000000" w:sz="4" w:space="0"/>
            </w:tcBorders>
          </w:tcPr>
          <w:p w14:paraId="77D6CC4D">
            <w:pPr>
              <w:spacing w:before="42" w:line="239" w:lineRule="auto"/>
              <w:ind w:left="322" w:right="103" w:hanging="207"/>
              <w:rPr>
                <w:rFonts w:ascii="宋体" w:hAnsi="宋体" w:eastAsia="宋体" w:cs="宋体"/>
                <w:sz w:val="20"/>
                <w:szCs w:val="20"/>
              </w:rPr>
            </w:pPr>
            <w:r>
              <w:rPr>
                <w:rFonts w:ascii="宋体" w:hAnsi="宋体" w:eastAsia="宋体" w:cs="宋体"/>
                <w:spacing w:val="7"/>
                <w:sz w:val="20"/>
                <w:szCs w:val="20"/>
              </w:rPr>
              <w:t>餐</w:t>
            </w:r>
            <w:r>
              <w:rPr>
                <w:rFonts w:ascii="宋体" w:hAnsi="宋体" w:eastAsia="宋体" w:cs="宋体"/>
                <w:spacing w:val="6"/>
                <w:sz w:val="20"/>
                <w:szCs w:val="20"/>
              </w:rPr>
              <w:t>饮油</w:t>
            </w:r>
            <w:r>
              <w:rPr>
                <w:rFonts w:ascii="宋体" w:hAnsi="宋体" w:eastAsia="宋体" w:cs="宋体"/>
                <w:sz w:val="20"/>
                <w:szCs w:val="20"/>
              </w:rPr>
              <w:t xml:space="preserve"> 烟</w:t>
            </w:r>
          </w:p>
        </w:tc>
        <w:tc>
          <w:tcPr>
            <w:tcW w:w="5525" w:type="dxa"/>
            <w:gridSpan w:val="2"/>
            <w:tcBorders>
              <w:left w:val="single" w:color="000000" w:sz="4" w:space="0"/>
              <w:right w:val="single" w:color="000000" w:sz="4" w:space="0"/>
            </w:tcBorders>
          </w:tcPr>
          <w:p w14:paraId="06689DF0">
            <w:pPr>
              <w:spacing w:before="42" w:line="239" w:lineRule="auto"/>
              <w:ind w:left="1720" w:right="132" w:hanging="1575"/>
              <w:rPr>
                <w:rFonts w:ascii="宋体" w:hAnsi="宋体" w:eastAsia="宋体" w:cs="宋体"/>
                <w:sz w:val="20"/>
                <w:szCs w:val="20"/>
              </w:rPr>
            </w:pPr>
            <w:r>
              <w:rPr>
                <w:rFonts w:ascii="宋体" w:hAnsi="宋体" w:eastAsia="宋体" w:cs="宋体"/>
                <w:spacing w:val="7"/>
                <w:sz w:val="20"/>
                <w:szCs w:val="20"/>
              </w:rPr>
              <w:t xml:space="preserve">油烟净化器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套，食堂油烟拟采取油烟净化装置进行净</w:t>
            </w:r>
            <w:r>
              <w:rPr>
                <w:rFonts w:ascii="宋体" w:hAnsi="宋体" w:eastAsia="宋体" w:cs="宋体"/>
                <w:spacing w:val="5"/>
                <w:sz w:val="20"/>
                <w:szCs w:val="20"/>
              </w:rPr>
              <w:t>化</w:t>
            </w:r>
            <w:r>
              <w:rPr>
                <w:rFonts w:ascii="宋体" w:hAnsi="宋体" w:eastAsia="宋体" w:cs="宋体"/>
                <w:sz w:val="20"/>
                <w:szCs w:val="20"/>
              </w:rPr>
              <w:t xml:space="preserve"> </w:t>
            </w:r>
            <w:r>
              <w:rPr>
                <w:rFonts w:ascii="宋体" w:hAnsi="宋体" w:eastAsia="宋体" w:cs="宋体"/>
                <w:spacing w:val="13"/>
                <w:sz w:val="20"/>
                <w:szCs w:val="20"/>
              </w:rPr>
              <w:t>处</w:t>
            </w:r>
            <w:r>
              <w:rPr>
                <w:rFonts w:ascii="宋体" w:hAnsi="宋体" w:eastAsia="宋体" w:cs="宋体"/>
                <w:spacing w:val="8"/>
                <w:sz w:val="20"/>
                <w:szCs w:val="20"/>
              </w:rPr>
              <w:t>理，经食堂屋顶排放</w:t>
            </w:r>
          </w:p>
        </w:tc>
        <w:tc>
          <w:tcPr>
            <w:tcW w:w="887" w:type="dxa"/>
            <w:vMerge w:val="continue"/>
            <w:tcBorders>
              <w:top w:val="nil"/>
              <w:left w:val="single" w:color="000000" w:sz="4" w:space="0"/>
              <w:bottom w:val="nil"/>
              <w:right w:val="single" w:color="000000" w:sz="4" w:space="0"/>
            </w:tcBorders>
          </w:tcPr>
          <w:p w14:paraId="767FAC51"/>
        </w:tc>
        <w:tc>
          <w:tcPr>
            <w:tcW w:w="1262" w:type="dxa"/>
            <w:tcBorders>
              <w:left w:val="single" w:color="000000" w:sz="4" w:space="0"/>
              <w:right w:val="nil"/>
            </w:tcBorders>
          </w:tcPr>
          <w:p w14:paraId="1B029F1B">
            <w:pPr>
              <w:spacing w:before="80" w:line="281" w:lineRule="exact"/>
              <w:ind w:left="59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08A0AF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trPr>
        <w:tc>
          <w:tcPr>
            <w:tcW w:w="758" w:type="dxa"/>
            <w:vMerge w:val="continue"/>
            <w:tcBorders>
              <w:top w:val="nil"/>
              <w:left w:val="nil"/>
              <w:bottom w:val="nil"/>
              <w:right w:val="single" w:color="000000" w:sz="4" w:space="0"/>
            </w:tcBorders>
          </w:tcPr>
          <w:p w14:paraId="34EFDA0D"/>
        </w:tc>
        <w:tc>
          <w:tcPr>
            <w:tcW w:w="532" w:type="dxa"/>
            <w:vMerge w:val="continue"/>
            <w:tcBorders>
              <w:top w:val="nil"/>
              <w:left w:val="single" w:color="000000" w:sz="4" w:space="0"/>
            </w:tcBorders>
            <w:textDirection w:val="tbRlV"/>
          </w:tcPr>
          <w:p w14:paraId="708CF053"/>
        </w:tc>
        <w:tc>
          <w:tcPr>
            <w:tcW w:w="846" w:type="dxa"/>
            <w:gridSpan w:val="2"/>
            <w:tcBorders>
              <w:right w:val="single" w:color="000000" w:sz="4" w:space="0"/>
            </w:tcBorders>
          </w:tcPr>
          <w:p w14:paraId="69EC848E">
            <w:pPr>
              <w:spacing w:before="38" w:line="228" w:lineRule="auto"/>
              <w:ind w:left="118"/>
              <w:rPr>
                <w:rFonts w:ascii="宋体" w:hAnsi="宋体" w:eastAsia="宋体" w:cs="宋体"/>
                <w:sz w:val="20"/>
                <w:szCs w:val="20"/>
              </w:rPr>
            </w:pPr>
            <w:r>
              <w:rPr>
                <w:rFonts w:ascii="宋体" w:hAnsi="宋体" w:eastAsia="宋体" w:cs="宋体"/>
                <w:spacing w:val="6"/>
                <w:sz w:val="20"/>
                <w:szCs w:val="20"/>
              </w:rPr>
              <w:t>厨</w:t>
            </w:r>
            <w:r>
              <w:rPr>
                <w:rFonts w:ascii="宋体" w:hAnsi="宋体" w:eastAsia="宋体" w:cs="宋体"/>
                <w:spacing w:val="5"/>
                <w:sz w:val="20"/>
                <w:szCs w:val="20"/>
              </w:rPr>
              <w:t>房燃</w:t>
            </w:r>
          </w:p>
          <w:p w14:paraId="31A624B6">
            <w:pPr>
              <w:spacing w:before="26" w:line="227" w:lineRule="auto"/>
              <w:ind w:left="114"/>
              <w:rPr>
                <w:rFonts w:ascii="宋体" w:hAnsi="宋体" w:eastAsia="宋体" w:cs="宋体"/>
                <w:sz w:val="20"/>
                <w:szCs w:val="20"/>
              </w:rPr>
            </w:pPr>
            <w:r>
              <w:rPr>
                <w:rFonts w:ascii="宋体" w:hAnsi="宋体" w:eastAsia="宋体" w:cs="宋体"/>
                <w:spacing w:val="7"/>
                <w:sz w:val="20"/>
                <w:szCs w:val="20"/>
              </w:rPr>
              <w:t>料燃</w:t>
            </w:r>
            <w:r>
              <w:rPr>
                <w:rFonts w:ascii="宋体" w:hAnsi="宋体" w:eastAsia="宋体" w:cs="宋体"/>
                <w:spacing w:val="6"/>
                <w:sz w:val="20"/>
                <w:szCs w:val="20"/>
              </w:rPr>
              <w:t>烧</w:t>
            </w:r>
          </w:p>
          <w:p w14:paraId="4DDB2DE3">
            <w:pPr>
              <w:spacing w:before="24" w:line="226" w:lineRule="auto"/>
              <w:ind w:left="216"/>
              <w:rPr>
                <w:rFonts w:ascii="宋体" w:hAnsi="宋体" w:eastAsia="宋体" w:cs="宋体"/>
                <w:sz w:val="20"/>
                <w:szCs w:val="20"/>
              </w:rPr>
            </w:pPr>
            <w:r>
              <w:rPr>
                <w:rFonts w:ascii="宋体" w:hAnsi="宋体" w:eastAsia="宋体" w:cs="宋体"/>
                <w:spacing w:val="5"/>
                <w:sz w:val="20"/>
                <w:szCs w:val="20"/>
              </w:rPr>
              <w:t>废气</w:t>
            </w:r>
          </w:p>
        </w:tc>
        <w:tc>
          <w:tcPr>
            <w:tcW w:w="5525" w:type="dxa"/>
            <w:gridSpan w:val="2"/>
            <w:tcBorders>
              <w:left w:val="single" w:color="000000" w:sz="4" w:space="0"/>
              <w:right w:val="single" w:color="000000" w:sz="4" w:space="0"/>
            </w:tcBorders>
          </w:tcPr>
          <w:p w14:paraId="6C7C3A26">
            <w:pPr>
              <w:spacing w:line="244" w:lineRule="auto"/>
            </w:pPr>
          </w:p>
          <w:p w14:paraId="74CFB817">
            <w:pPr>
              <w:spacing w:before="65" w:line="228" w:lineRule="auto"/>
              <w:ind w:left="560"/>
              <w:rPr>
                <w:rFonts w:ascii="宋体" w:hAnsi="宋体" w:eastAsia="宋体" w:cs="宋体"/>
                <w:sz w:val="20"/>
                <w:szCs w:val="20"/>
              </w:rPr>
            </w:pPr>
            <w:r>
              <w:rPr>
                <w:rFonts w:ascii="宋体" w:hAnsi="宋体" w:eastAsia="宋体" w:cs="宋体"/>
                <w:spacing w:val="18"/>
                <w:sz w:val="20"/>
                <w:szCs w:val="20"/>
              </w:rPr>
              <w:t>使</w:t>
            </w:r>
            <w:r>
              <w:rPr>
                <w:rFonts w:ascii="宋体" w:hAnsi="宋体" w:eastAsia="宋体" w:cs="宋体"/>
                <w:spacing w:val="10"/>
                <w:sz w:val="20"/>
                <w:szCs w:val="20"/>
              </w:rPr>
              <w:t>用</w:t>
            </w:r>
            <w:r>
              <w:rPr>
                <w:rFonts w:ascii="宋体" w:hAnsi="宋体" w:eastAsia="宋体" w:cs="宋体"/>
                <w:spacing w:val="9"/>
                <w:sz w:val="20"/>
                <w:szCs w:val="20"/>
              </w:rPr>
              <w:t>清洁能源，产生量较小，间歇定无组织排放</w:t>
            </w:r>
          </w:p>
        </w:tc>
        <w:tc>
          <w:tcPr>
            <w:tcW w:w="887" w:type="dxa"/>
            <w:vMerge w:val="continue"/>
            <w:tcBorders>
              <w:top w:val="nil"/>
              <w:left w:val="single" w:color="000000" w:sz="4" w:space="0"/>
              <w:bottom w:val="nil"/>
              <w:right w:val="single" w:color="000000" w:sz="4" w:space="0"/>
            </w:tcBorders>
          </w:tcPr>
          <w:p w14:paraId="5FD646F6"/>
        </w:tc>
        <w:tc>
          <w:tcPr>
            <w:tcW w:w="1262" w:type="dxa"/>
            <w:tcBorders>
              <w:left w:val="single" w:color="000000" w:sz="4" w:space="0"/>
              <w:right w:val="nil"/>
            </w:tcBorders>
          </w:tcPr>
          <w:p w14:paraId="3A6D27E7">
            <w:pPr>
              <w:spacing w:before="213" w:line="281" w:lineRule="exact"/>
              <w:ind w:left="59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32F9A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1" w:hRule="atLeast"/>
        </w:trPr>
        <w:tc>
          <w:tcPr>
            <w:tcW w:w="758" w:type="dxa"/>
            <w:vMerge w:val="continue"/>
            <w:tcBorders>
              <w:top w:val="nil"/>
              <w:left w:val="nil"/>
              <w:bottom w:val="nil"/>
              <w:right w:val="single" w:color="000000" w:sz="4" w:space="0"/>
            </w:tcBorders>
          </w:tcPr>
          <w:p w14:paraId="1770C88E"/>
        </w:tc>
        <w:tc>
          <w:tcPr>
            <w:tcW w:w="532" w:type="dxa"/>
            <w:vMerge w:val="restart"/>
            <w:tcBorders>
              <w:left w:val="single" w:color="000000" w:sz="4" w:space="0"/>
              <w:bottom w:val="nil"/>
            </w:tcBorders>
            <w:textDirection w:val="tbRlV"/>
          </w:tcPr>
          <w:p w14:paraId="5CCAA4EF">
            <w:pPr>
              <w:spacing w:before="159" w:line="217" w:lineRule="auto"/>
              <w:ind w:left="1233"/>
              <w:rPr>
                <w:rFonts w:ascii="宋体" w:hAnsi="宋体" w:eastAsia="宋体" w:cs="宋体"/>
                <w:sz w:val="20"/>
                <w:szCs w:val="20"/>
              </w:rPr>
            </w:pPr>
            <w:r>
              <w:rPr>
                <w:rFonts w:ascii="宋体" w:hAnsi="宋体" w:eastAsia="宋体" w:cs="宋体"/>
                <w:spacing w:val="-8"/>
                <w:sz w:val="20"/>
                <w:szCs w:val="20"/>
              </w:rPr>
              <w:t>固</w:t>
            </w:r>
            <w:r>
              <w:rPr>
                <w:rFonts w:ascii="宋体" w:hAnsi="宋体" w:eastAsia="宋体" w:cs="宋体"/>
                <w:spacing w:val="-6"/>
                <w:sz w:val="20"/>
                <w:szCs w:val="20"/>
              </w:rPr>
              <w:t xml:space="preserve"> 废</w:t>
            </w:r>
          </w:p>
        </w:tc>
        <w:tc>
          <w:tcPr>
            <w:tcW w:w="846" w:type="dxa"/>
            <w:gridSpan w:val="2"/>
            <w:tcBorders>
              <w:right w:val="single" w:color="000000" w:sz="4" w:space="0"/>
            </w:tcBorders>
          </w:tcPr>
          <w:p w14:paraId="65264B40">
            <w:pPr>
              <w:spacing w:line="257" w:lineRule="auto"/>
            </w:pPr>
          </w:p>
          <w:p w14:paraId="0921BBB5">
            <w:pPr>
              <w:spacing w:line="257" w:lineRule="auto"/>
            </w:pPr>
          </w:p>
          <w:p w14:paraId="6E2ABFFB">
            <w:pPr>
              <w:spacing w:before="65" w:line="228" w:lineRule="auto"/>
              <w:ind w:left="217"/>
              <w:rPr>
                <w:rFonts w:ascii="宋体" w:hAnsi="宋体" w:eastAsia="宋体" w:cs="宋体"/>
                <w:sz w:val="20"/>
                <w:szCs w:val="20"/>
              </w:rPr>
            </w:pPr>
            <w:r>
              <w:rPr>
                <w:rFonts w:ascii="宋体" w:hAnsi="宋体" w:eastAsia="宋体" w:cs="宋体"/>
                <w:spacing w:val="5"/>
                <w:sz w:val="20"/>
                <w:szCs w:val="20"/>
              </w:rPr>
              <w:t>猪</w:t>
            </w:r>
            <w:r>
              <w:rPr>
                <w:rFonts w:ascii="宋体" w:hAnsi="宋体" w:eastAsia="宋体" w:cs="宋体"/>
                <w:spacing w:val="4"/>
                <w:sz w:val="20"/>
                <w:szCs w:val="20"/>
              </w:rPr>
              <w:t>粪</w:t>
            </w:r>
          </w:p>
        </w:tc>
        <w:tc>
          <w:tcPr>
            <w:tcW w:w="5525" w:type="dxa"/>
            <w:gridSpan w:val="2"/>
            <w:tcBorders>
              <w:left w:val="single" w:color="000000" w:sz="4" w:space="0"/>
              <w:right w:val="single" w:color="000000" w:sz="4" w:space="0"/>
            </w:tcBorders>
          </w:tcPr>
          <w:p w14:paraId="7913E6FB">
            <w:pPr>
              <w:spacing w:before="38" w:line="246" w:lineRule="auto"/>
              <w:ind w:left="137" w:right="125" w:firstLine="4"/>
              <w:rPr>
                <w:rFonts w:ascii="宋体" w:hAnsi="宋体" w:eastAsia="宋体" w:cs="宋体"/>
                <w:sz w:val="20"/>
                <w:szCs w:val="20"/>
              </w:rPr>
            </w:pPr>
            <w:r>
              <w:rPr>
                <w:rFonts w:ascii="宋体" w:hAnsi="宋体" w:eastAsia="宋体" w:cs="宋体"/>
                <w:spacing w:val="18"/>
                <w:sz w:val="20"/>
                <w:szCs w:val="20"/>
              </w:rPr>
              <w:t>项</w:t>
            </w:r>
            <w:r>
              <w:rPr>
                <w:rFonts w:ascii="宋体" w:hAnsi="宋体" w:eastAsia="宋体" w:cs="宋体"/>
                <w:spacing w:val="12"/>
                <w:sz w:val="20"/>
                <w:szCs w:val="20"/>
              </w:rPr>
              <w:t>目</w:t>
            </w:r>
            <w:r>
              <w:rPr>
                <w:rFonts w:ascii="宋体" w:hAnsi="宋体" w:eastAsia="宋体" w:cs="宋体"/>
                <w:spacing w:val="9"/>
                <w:sz w:val="20"/>
                <w:szCs w:val="20"/>
              </w:rPr>
              <w:t>采用高架网床的养殖模式，粪便通过机械刮粪的方式</w:t>
            </w:r>
            <w:r>
              <w:rPr>
                <w:rFonts w:ascii="宋体" w:hAnsi="宋体" w:eastAsia="宋体" w:cs="宋体"/>
                <w:sz w:val="20"/>
                <w:szCs w:val="20"/>
              </w:rPr>
              <w:t xml:space="preserve"> </w:t>
            </w:r>
            <w:r>
              <w:rPr>
                <w:rFonts w:ascii="宋体" w:hAnsi="宋体" w:eastAsia="宋体" w:cs="宋体"/>
                <w:spacing w:val="18"/>
                <w:sz w:val="20"/>
                <w:szCs w:val="20"/>
              </w:rPr>
              <w:t>收</w:t>
            </w:r>
            <w:r>
              <w:rPr>
                <w:rFonts w:ascii="宋体" w:hAnsi="宋体" w:eastAsia="宋体" w:cs="宋体"/>
                <w:spacing w:val="17"/>
                <w:sz w:val="20"/>
                <w:szCs w:val="20"/>
              </w:rPr>
              <w:t>集</w:t>
            </w:r>
            <w:r>
              <w:rPr>
                <w:rFonts w:ascii="宋体" w:hAnsi="宋体" w:eastAsia="宋体" w:cs="宋体"/>
                <w:spacing w:val="9"/>
                <w:sz w:val="20"/>
                <w:szCs w:val="20"/>
              </w:rPr>
              <w:t>，在集污池与猪尿充分混合后，每日清运至乐山乐高</w:t>
            </w:r>
            <w:r>
              <w:rPr>
                <w:rFonts w:ascii="宋体" w:hAnsi="宋体" w:eastAsia="宋体" w:cs="宋体"/>
                <w:sz w:val="20"/>
                <w:szCs w:val="20"/>
              </w:rPr>
              <w:t xml:space="preserve"> </w:t>
            </w:r>
            <w:r>
              <w:rPr>
                <w:rFonts w:ascii="宋体" w:hAnsi="宋体" w:eastAsia="宋体" w:cs="宋体"/>
                <w:spacing w:val="6"/>
                <w:sz w:val="20"/>
                <w:szCs w:val="20"/>
              </w:rPr>
              <w:t>勤力生物质能源综合利用有限公司集中处置， 日产日清</w:t>
            </w:r>
            <w:r>
              <w:rPr>
                <w:rFonts w:ascii="宋体" w:hAnsi="宋体" w:eastAsia="宋体" w:cs="宋体"/>
                <w:spacing w:val="1"/>
                <w:sz w:val="20"/>
                <w:szCs w:val="20"/>
              </w:rPr>
              <w:t>，</w:t>
            </w:r>
            <w:r>
              <w:rPr>
                <w:rFonts w:ascii="宋体" w:hAnsi="宋体" w:eastAsia="宋体" w:cs="宋体"/>
                <w:sz w:val="20"/>
                <w:szCs w:val="20"/>
              </w:rPr>
              <w:t xml:space="preserve"> </w:t>
            </w:r>
            <w:r>
              <w:rPr>
                <w:rFonts w:ascii="宋体" w:hAnsi="宋体" w:eastAsia="宋体" w:cs="宋体"/>
                <w:spacing w:val="18"/>
                <w:sz w:val="20"/>
                <w:szCs w:val="20"/>
              </w:rPr>
              <w:t>若</w:t>
            </w:r>
            <w:r>
              <w:rPr>
                <w:rFonts w:ascii="宋体" w:hAnsi="宋体" w:eastAsia="宋体" w:cs="宋体"/>
                <w:spacing w:val="17"/>
                <w:sz w:val="20"/>
                <w:szCs w:val="20"/>
              </w:rPr>
              <w:t>后</w:t>
            </w:r>
            <w:r>
              <w:rPr>
                <w:rFonts w:ascii="宋体" w:hAnsi="宋体" w:eastAsia="宋体" w:cs="宋体"/>
                <w:spacing w:val="9"/>
                <w:sz w:val="20"/>
                <w:szCs w:val="20"/>
              </w:rPr>
              <w:t>期回收单位不再收购厂区内产生的猪粪，将采用均匀</w:t>
            </w:r>
            <w:r>
              <w:rPr>
                <w:rFonts w:ascii="宋体" w:hAnsi="宋体" w:eastAsia="宋体" w:cs="宋体"/>
                <w:sz w:val="20"/>
                <w:szCs w:val="20"/>
              </w:rPr>
              <w:t xml:space="preserve"> </w:t>
            </w:r>
            <w:r>
              <w:rPr>
                <w:rFonts w:ascii="宋体" w:hAnsi="宋体" w:eastAsia="宋体" w:cs="宋体"/>
                <w:spacing w:val="12"/>
                <w:sz w:val="20"/>
                <w:szCs w:val="20"/>
              </w:rPr>
              <w:t>喷淋至</w:t>
            </w:r>
            <w:r>
              <w:rPr>
                <w:rFonts w:ascii="宋体" w:hAnsi="宋体" w:eastAsia="宋体" w:cs="宋体"/>
                <w:spacing w:val="6"/>
                <w:sz w:val="20"/>
                <w:szCs w:val="20"/>
              </w:rPr>
              <w:t>异位微生物发酵床 (</w:t>
            </w:r>
            <w:r>
              <w:rPr>
                <w:rFonts w:ascii="Times New Roman" w:hAnsi="Times New Roman" w:eastAsia="Times New Roman" w:cs="Times New Roman"/>
                <w:spacing w:val="6"/>
                <w:sz w:val="20"/>
                <w:szCs w:val="20"/>
              </w:rPr>
              <w:t>1600</w:t>
            </w:r>
            <w:r>
              <w:rPr>
                <w:rFonts w:ascii="Times New Roman" w:hAnsi="Times New Roman" w:eastAsia="Times New Roman" w:cs="Times New Roman"/>
                <w:sz w:val="20"/>
                <w:szCs w:val="20"/>
              </w:rPr>
              <w:t>m</w:t>
            </w:r>
            <w:r>
              <w:rPr>
                <w:rFonts w:ascii="Times New Roman" w:hAnsi="Times New Roman" w:eastAsia="Times New Roman" w:cs="Times New Roman"/>
                <w:spacing w:val="6"/>
                <w:position w:val="6"/>
                <w:sz w:val="13"/>
                <w:szCs w:val="13"/>
              </w:rPr>
              <w:t xml:space="preserve">2 </w:t>
            </w:r>
            <w:r>
              <w:rPr>
                <w:rFonts w:ascii="宋体" w:hAnsi="宋体" w:eastAsia="宋体" w:cs="宋体"/>
                <w:spacing w:val="6"/>
                <w:sz w:val="20"/>
                <w:szCs w:val="20"/>
              </w:rPr>
              <w:t>) 的方式作无害化处理</w:t>
            </w:r>
          </w:p>
        </w:tc>
        <w:tc>
          <w:tcPr>
            <w:tcW w:w="887" w:type="dxa"/>
            <w:vMerge w:val="continue"/>
            <w:tcBorders>
              <w:top w:val="nil"/>
              <w:left w:val="single" w:color="000000" w:sz="4" w:space="0"/>
              <w:bottom w:val="nil"/>
              <w:right w:val="single" w:color="000000" w:sz="4" w:space="0"/>
            </w:tcBorders>
          </w:tcPr>
          <w:p w14:paraId="0B91337B"/>
        </w:tc>
        <w:tc>
          <w:tcPr>
            <w:tcW w:w="1262" w:type="dxa"/>
            <w:tcBorders>
              <w:left w:val="single" w:color="000000" w:sz="4" w:space="0"/>
              <w:right w:val="nil"/>
            </w:tcBorders>
          </w:tcPr>
          <w:p w14:paraId="5C70B8BE">
            <w:pPr>
              <w:spacing w:line="456" w:lineRule="auto"/>
            </w:pPr>
          </w:p>
          <w:p w14:paraId="6B6C40AA">
            <w:pPr>
              <w:spacing w:before="65" w:line="228" w:lineRule="auto"/>
              <w:ind w:left="441"/>
              <w:rPr>
                <w:rFonts w:ascii="宋体" w:hAnsi="宋体" w:eastAsia="宋体" w:cs="宋体"/>
                <w:sz w:val="20"/>
                <w:szCs w:val="20"/>
              </w:rPr>
            </w:pPr>
            <w:r>
              <w:rPr>
                <w:rFonts w:ascii="宋体" w:hAnsi="宋体" w:eastAsia="宋体" w:cs="宋体"/>
                <w:spacing w:val="-5"/>
                <w:sz w:val="20"/>
                <w:szCs w:val="20"/>
              </w:rPr>
              <w:t>固</w:t>
            </w:r>
            <w:r>
              <w:rPr>
                <w:rFonts w:ascii="宋体" w:hAnsi="宋体" w:eastAsia="宋体" w:cs="宋体"/>
                <w:spacing w:val="-4"/>
                <w:sz w:val="20"/>
                <w:szCs w:val="20"/>
              </w:rPr>
              <w:t>废</w:t>
            </w:r>
          </w:p>
        </w:tc>
      </w:tr>
      <w:tr w14:paraId="17BF2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758" w:type="dxa"/>
            <w:vMerge w:val="continue"/>
            <w:tcBorders>
              <w:top w:val="nil"/>
              <w:left w:val="nil"/>
              <w:bottom w:val="nil"/>
              <w:right w:val="single" w:color="000000" w:sz="4" w:space="0"/>
            </w:tcBorders>
          </w:tcPr>
          <w:p w14:paraId="2F54BBA7"/>
        </w:tc>
        <w:tc>
          <w:tcPr>
            <w:tcW w:w="532" w:type="dxa"/>
            <w:vMerge w:val="continue"/>
            <w:tcBorders>
              <w:top w:val="nil"/>
              <w:left w:val="single" w:color="000000" w:sz="4" w:space="0"/>
              <w:bottom w:val="nil"/>
            </w:tcBorders>
            <w:textDirection w:val="tbRlV"/>
          </w:tcPr>
          <w:p w14:paraId="60AFC4CA"/>
        </w:tc>
        <w:tc>
          <w:tcPr>
            <w:tcW w:w="846" w:type="dxa"/>
            <w:gridSpan w:val="2"/>
            <w:tcBorders>
              <w:right w:val="single" w:color="000000" w:sz="4" w:space="0"/>
            </w:tcBorders>
          </w:tcPr>
          <w:p w14:paraId="521D7264">
            <w:pPr>
              <w:spacing w:before="177" w:line="228" w:lineRule="auto"/>
              <w:ind w:left="113"/>
              <w:rPr>
                <w:rFonts w:ascii="宋体" w:hAnsi="宋体" w:eastAsia="宋体" w:cs="宋体"/>
                <w:sz w:val="20"/>
                <w:szCs w:val="20"/>
              </w:rPr>
            </w:pPr>
            <w:r>
              <w:rPr>
                <w:rFonts w:ascii="宋体" w:hAnsi="宋体" w:eastAsia="宋体" w:cs="宋体"/>
                <w:spacing w:val="7"/>
                <w:sz w:val="20"/>
                <w:szCs w:val="20"/>
              </w:rPr>
              <w:t>病死猪</w:t>
            </w:r>
          </w:p>
        </w:tc>
        <w:tc>
          <w:tcPr>
            <w:tcW w:w="5525" w:type="dxa"/>
            <w:gridSpan w:val="2"/>
            <w:tcBorders>
              <w:left w:val="single" w:color="000000" w:sz="4" w:space="0"/>
              <w:right w:val="single" w:color="000000" w:sz="4" w:space="0"/>
            </w:tcBorders>
          </w:tcPr>
          <w:p w14:paraId="4EBA4D94">
            <w:pPr>
              <w:spacing w:before="176" w:line="228" w:lineRule="auto"/>
              <w:ind w:left="1189"/>
              <w:rPr>
                <w:rFonts w:ascii="宋体" w:hAnsi="宋体" w:eastAsia="宋体" w:cs="宋体"/>
                <w:sz w:val="20"/>
                <w:szCs w:val="20"/>
              </w:rPr>
            </w:pPr>
            <w:r>
              <w:rPr>
                <w:rFonts w:ascii="宋体" w:hAnsi="宋体" w:eastAsia="宋体" w:cs="宋体"/>
                <w:spacing w:val="13"/>
                <w:sz w:val="20"/>
                <w:szCs w:val="20"/>
              </w:rPr>
              <w:t>病</w:t>
            </w:r>
            <w:r>
              <w:rPr>
                <w:rFonts w:ascii="宋体" w:hAnsi="宋体" w:eastAsia="宋体" w:cs="宋体"/>
                <w:spacing w:val="9"/>
                <w:sz w:val="20"/>
                <w:szCs w:val="20"/>
              </w:rPr>
              <w:t>死猪交由有资质的单位集中处置</w:t>
            </w:r>
          </w:p>
        </w:tc>
        <w:tc>
          <w:tcPr>
            <w:tcW w:w="887" w:type="dxa"/>
            <w:vMerge w:val="continue"/>
            <w:tcBorders>
              <w:top w:val="nil"/>
              <w:left w:val="single" w:color="000000" w:sz="4" w:space="0"/>
              <w:bottom w:val="nil"/>
              <w:right w:val="single" w:color="000000" w:sz="4" w:space="0"/>
            </w:tcBorders>
          </w:tcPr>
          <w:p w14:paraId="5C3F0C24"/>
        </w:tc>
        <w:tc>
          <w:tcPr>
            <w:tcW w:w="1262" w:type="dxa"/>
            <w:tcBorders>
              <w:left w:val="single" w:color="000000" w:sz="4" w:space="0"/>
              <w:right w:val="nil"/>
            </w:tcBorders>
          </w:tcPr>
          <w:p w14:paraId="79C1B810">
            <w:pPr>
              <w:spacing w:before="117" w:line="228" w:lineRule="auto"/>
              <w:ind w:left="441"/>
              <w:rPr>
                <w:rFonts w:ascii="宋体" w:hAnsi="宋体" w:eastAsia="宋体" w:cs="宋体"/>
                <w:sz w:val="20"/>
                <w:szCs w:val="20"/>
              </w:rPr>
            </w:pPr>
            <w:r>
              <w:rPr>
                <w:rFonts w:ascii="宋体" w:hAnsi="宋体" w:eastAsia="宋体" w:cs="宋体"/>
                <w:spacing w:val="-5"/>
                <w:sz w:val="20"/>
                <w:szCs w:val="20"/>
              </w:rPr>
              <w:t>固</w:t>
            </w:r>
            <w:r>
              <w:rPr>
                <w:rFonts w:ascii="宋体" w:hAnsi="宋体" w:eastAsia="宋体" w:cs="宋体"/>
                <w:spacing w:val="-4"/>
                <w:sz w:val="20"/>
                <w:szCs w:val="20"/>
              </w:rPr>
              <w:t>废</w:t>
            </w:r>
          </w:p>
        </w:tc>
      </w:tr>
      <w:tr w14:paraId="2C7469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758" w:type="dxa"/>
            <w:vMerge w:val="continue"/>
            <w:tcBorders>
              <w:top w:val="nil"/>
              <w:left w:val="nil"/>
              <w:bottom w:val="nil"/>
              <w:right w:val="single" w:color="000000" w:sz="4" w:space="0"/>
            </w:tcBorders>
          </w:tcPr>
          <w:p w14:paraId="1B8A95EE"/>
        </w:tc>
        <w:tc>
          <w:tcPr>
            <w:tcW w:w="532" w:type="dxa"/>
            <w:vMerge w:val="continue"/>
            <w:tcBorders>
              <w:top w:val="nil"/>
              <w:left w:val="single" w:color="000000" w:sz="4" w:space="0"/>
              <w:bottom w:val="nil"/>
            </w:tcBorders>
            <w:textDirection w:val="tbRlV"/>
          </w:tcPr>
          <w:p w14:paraId="2EA698F0"/>
        </w:tc>
        <w:tc>
          <w:tcPr>
            <w:tcW w:w="846" w:type="dxa"/>
            <w:gridSpan w:val="2"/>
            <w:tcBorders>
              <w:right w:val="single" w:color="000000" w:sz="4" w:space="0"/>
            </w:tcBorders>
          </w:tcPr>
          <w:p w14:paraId="484601FC">
            <w:pPr>
              <w:spacing w:before="42" w:line="239" w:lineRule="auto"/>
              <w:ind w:left="322" w:right="103" w:hanging="207"/>
              <w:rPr>
                <w:rFonts w:ascii="宋体" w:hAnsi="宋体" w:eastAsia="宋体" w:cs="宋体"/>
                <w:sz w:val="20"/>
                <w:szCs w:val="20"/>
              </w:rPr>
            </w:pPr>
            <w:r>
              <w:rPr>
                <w:rFonts w:ascii="宋体" w:hAnsi="宋体" w:eastAsia="宋体" w:cs="宋体"/>
                <w:spacing w:val="7"/>
                <w:sz w:val="20"/>
                <w:szCs w:val="20"/>
              </w:rPr>
              <w:t>生</w:t>
            </w:r>
            <w:r>
              <w:rPr>
                <w:rFonts w:ascii="宋体" w:hAnsi="宋体" w:eastAsia="宋体" w:cs="宋体"/>
                <w:spacing w:val="6"/>
                <w:sz w:val="20"/>
                <w:szCs w:val="20"/>
              </w:rPr>
              <w:t>活垃</w:t>
            </w:r>
            <w:r>
              <w:rPr>
                <w:rFonts w:ascii="宋体" w:hAnsi="宋体" w:eastAsia="宋体" w:cs="宋体"/>
                <w:sz w:val="20"/>
                <w:szCs w:val="20"/>
              </w:rPr>
              <w:t xml:space="preserve"> 圾</w:t>
            </w:r>
          </w:p>
        </w:tc>
        <w:tc>
          <w:tcPr>
            <w:tcW w:w="5525" w:type="dxa"/>
            <w:gridSpan w:val="2"/>
            <w:tcBorders>
              <w:left w:val="single" w:color="000000" w:sz="4" w:space="0"/>
              <w:right w:val="single" w:color="000000" w:sz="4" w:space="0"/>
            </w:tcBorders>
          </w:tcPr>
          <w:p w14:paraId="40C6EF5F">
            <w:pPr>
              <w:spacing w:before="42" w:line="239" w:lineRule="auto"/>
              <w:ind w:left="2242" w:right="134" w:hanging="2101"/>
              <w:rPr>
                <w:rFonts w:ascii="宋体" w:hAnsi="宋体" w:eastAsia="宋体" w:cs="宋体"/>
                <w:sz w:val="20"/>
                <w:szCs w:val="20"/>
              </w:rPr>
            </w:pPr>
            <w:r>
              <w:rPr>
                <w:rFonts w:ascii="宋体" w:hAnsi="宋体" w:eastAsia="宋体" w:cs="宋体"/>
                <w:spacing w:val="18"/>
                <w:sz w:val="20"/>
                <w:szCs w:val="20"/>
              </w:rPr>
              <w:t>垃</w:t>
            </w:r>
            <w:r>
              <w:rPr>
                <w:rFonts w:ascii="宋体" w:hAnsi="宋体" w:eastAsia="宋体" w:cs="宋体"/>
                <w:spacing w:val="14"/>
                <w:sz w:val="20"/>
                <w:szCs w:val="20"/>
              </w:rPr>
              <w:t>圾</w:t>
            </w:r>
            <w:r>
              <w:rPr>
                <w:rFonts w:ascii="宋体" w:hAnsi="宋体" w:eastAsia="宋体" w:cs="宋体"/>
                <w:spacing w:val="9"/>
                <w:sz w:val="20"/>
                <w:szCs w:val="20"/>
              </w:rPr>
              <w:t>桶收集，送至乡镇垃圾收集点，交由当地环卫部门统</w:t>
            </w:r>
            <w:r>
              <w:rPr>
                <w:rFonts w:ascii="宋体" w:hAnsi="宋体" w:eastAsia="宋体" w:cs="宋体"/>
                <w:sz w:val="20"/>
                <w:szCs w:val="20"/>
              </w:rPr>
              <w:t xml:space="preserve"> </w:t>
            </w:r>
            <w:r>
              <w:rPr>
                <w:rFonts w:ascii="宋体" w:hAnsi="宋体" w:eastAsia="宋体" w:cs="宋体"/>
                <w:spacing w:val="9"/>
                <w:sz w:val="20"/>
                <w:szCs w:val="20"/>
              </w:rPr>
              <w:t>一</w:t>
            </w:r>
            <w:r>
              <w:rPr>
                <w:rFonts w:ascii="宋体" w:hAnsi="宋体" w:eastAsia="宋体" w:cs="宋体"/>
                <w:spacing w:val="7"/>
                <w:sz w:val="20"/>
                <w:szCs w:val="20"/>
              </w:rPr>
              <w:t>清运处理</w:t>
            </w:r>
          </w:p>
        </w:tc>
        <w:tc>
          <w:tcPr>
            <w:tcW w:w="887" w:type="dxa"/>
            <w:vMerge w:val="continue"/>
            <w:tcBorders>
              <w:top w:val="nil"/>
              <w:left w:val="single" w:color="000000" w:sz="4" w:space="0"/>
              <w:bottom w:val="nil"/>
              <w:right w:val="single" w:color="000000" w:sz="4" w:space="0"/>
            </w:tcBorders>
          </w:tcPr>
          <w:p w14:paraId="2AD9ECA6"/>
        </w:tc>
        <w:tc>
          <w:tcPr>
            <w:tcW w:w="1262" w:type="dxa"/>
            <w:tcBorders>
              <w:left w:val="single" w:color="000000" w:sz="4" w:space="0"/>
              <w:right w:val="nil"/>
            </w:tcBorders>
          </w:tcPr>
          <w:p w14:paraId="05586DAE">
            <w:pPr>
              <w:spacing w:before="80" w:line="281" w:lineRule="exact"/>
              <w:ind w:left="59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297E4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758" w:type="dxa"/>
            <w:vMerge w:val="continue"/>
            <w:tcBorders>
              <w:top w:val="nil"/>
              <w:left w:val="nil"/>
              <w:right w:val="single" w:color="000000" w:sz="4" w:space="0"/>
            </w:tcBorders>
          </w:tcPr>
          <w:p w14:paraId="0908E349"/>
        </w:tc>
        <w:tc>
          <w:tcPr>
            <w:tcW w:w="532" w:type="dxa"/>
            <w:vMerge w:val="continue"/>
            <w:tcBorders>
              <w:top w:val="nil"/>
              <w:left w:val="single" w:color="000000" w:sz="4" w:space="0"/>
            </w:tcBorders>
            <w:textDirection w:val="tbRlV"/>
          </w:tcPr>
          <w:p w14:paraId="35040B69"/>
        </w:tc>
        <w:tc>
          <w:tcPr>
            <w:tcW w:w="846" w:type="dxa"/>
            <w:gridSpan w:val="2"/>
            <w:tcBorders>
              <w:right w:val="single" w:color="000000" w:sz="4" w:space="0"/>
            </w:tcBorders>
          </w:tcPr>
          <w:p w14:paraId="77369535">
            <w:pPr>
              <w:spacing w:before="39" w:line="242" w:lineRule="auto"/>
              <w:ind w:left="322" w:right="103" w:hanging="209"/>
              <w:rPr>
                <w:rFonts w:ascii="宋体" w:hAnsi="宋体" w:eastAsia="宋体" w:cs="宋体"/>
                <w:sz w:val="20"/>
                <w:szCs w:val="20"/>
              </w:rPr>
            </w:pPr>
            <w:r>
              <w:rPr>
                <w:rFonts w:ascii="宋体" w:hAnsi="宋体" w:eastAsia="宋体" w:cs="宋体"/>
                <w:spacing w:val="7"/>
                <w:sz w:val="20"/>
                <w:szCs w:val="20"/>
              </w:rPr>
              <w:t>废饲料</w:t>
            </w:r>
            <w:r>
              <w:rPr>
                <w:rFonts w:ascii="宋体" w:hAnsi="宋体" w:eastAsia="宋体" w:cs="宋体"/>
                <w:sz w:val="20"/>
                <w:szCs w:val="20"/>
              </w:rPr>
              <w:t xml:space="preserve"> 袋</w:t>
            </w:r>
          </w:p>
        </w:tc>
        <w:tc>
          <w:tcPr>
            <w:tcW w:w="5525" w:type="dxa"/>
            <w:gridSpan w:val="2"/>
            <w:tcBorders>
              <w:left w:val="single" w:color="000000" w:sz="4" w:space="0"/>
              <w:right w:val="single" w:color="000000" w:sz="4" w:space="0"/>
            </w:tcBorders>
          </w:tcPr>
          <w:p w14:paraId="0406F8D6">
            <w:pPr>
              <w:spacing w:before="177" w:line="228" w:lineRule="auto"/>
              <w:ind w:left="2055"/>
              <w:rPr>
                <w:rFonts w:ascii="宋体" w:hAnsi="宋体" w:eastAsia="宋体" w:cs="宋体"/>
                <w:sz w:val="20"/>
                <w:szCs w:val="20"/>
              </w:rPr>
            </w:pPr>
            <w:r>
              <w:rPr>
                <w:rFonts w:ascii="宋体" w:hAnsi="宋体" w:eastAsia="宋体" w:cs="宋体"/>
                <w:spacing w:val="5"/>
                <w:sz w:val="20"/>
                <w:szCs w:val="20"/>
              </w:rPr>
              <w:t>由饲料厂家回收</w:t>
            </w:r>
          </w:p>
        </w:tc>
        <w:tc>
          <w:tcPr>
            <w:tcW w:w="887" w:type="dxa"/>
            <w:vMerge w:val="continue"/>
            <w:tcBorders>
              <w:top w:val="nil"/>
              <w:left w:val="single" w:color="000000" w:sz="4" w:space="0"/>
              <w:right w:val="single" w:color="000000" w:sz="4" w:space="0"/>
            </w:tcBorders>
          </w:tcPr>
          <w:p w14:paraId="1A84D07C"/>
        </w:tc>
        <w:tc>
          <w:tcPr>
            <w:tcW w:w="1262" w:type="dxa"/>
            <w:tcBorders>
              <w:left w:val="single" w:color="000000" w:sz="4" w:space="0"/>
              <w:right w:val="nil"/>
            </w:tcBorders>
          </w:tcPr>
          <w:p w14:paraId="743ED500">
            <w:pPr>
              <w:spacing w:before="79" w:line="281" w:lineRule="exact"/>
              <w:ind w:left="59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bl>
    <w:p w14:paraId="6C140B4C"/>
    <w:p w14:paraId="58024C8F">
      <w:pPr>
        <w:sectPr>
          <w:headerReference r:id="rId66" w:type="default"/>
          <w:footerReference r:id="rId67" w:type="default"/>
          <w:pgSz w:w="11907" w:h="16840"/>
          <w:pgMar w:top="400" w:right="976" w:bottom="1139" w:left="1119" w:header="0" w:footer="953" w:gutter="0"/>
          <w:cols w:space="720" w:num="1"/>
        </w:sectPr>
      </w:pPr>
    </w:p>
    <w:p w14:paraId="6B3FDDCB">
      <w:pPr>
        <w:spacing w:before="194" w:line="229" w:lineRule="auto"/>
        <w:ind w:left="164"/>
        <w:rPr>
          <w:rFonts w:ascii="宋体" w:hAnsi="宋体" w:eastAsia="宋体" w:cs="宋体"/>
          <w:sz w:val="17"/>
          <w:szCs w:val="17"/>
        </w:rPr>
      </w:pPr>
      <w:r>
        <w:pict>
          <v:shape id="_x0000_s2073" o:spid="_x0000_s2073" style="position:absolute;left:0pt;margin-left:63.8pt;margin-top:41pt;height:0.5pt;width:474.85pt;mso-position-horizontal-relative:page;mso-position-vertical-relative:page;z-index:251708416;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0C2C9867">
      <w:pPr>
        <w:spacing w:line="134" w:lineRule="exact"/>
      </w:pPr>
    </w:p>
    <w:tbl>
      <w:tblPr>
        <w:tblStyle w:val="4"/>
        <w:tblW w:w="981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8"/>
        <w:gridCol w:w="532"/>
        <w:gridCol w:w="846"/>
        <w:gridCol w:w="5525"/>
        <w:gridCol w:w="887"/>
        <w:gridCol w:w="1262"/>
      </w:tblGrid>
      <w:tr w14:paraId="385FAE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58" w:type="dxa"/>
            <w:vMerge w:val="restart"/>
            <w:tcBorders>
              <w:left w:val="nil"/>
              <w:bottom w:val="nil"/>
              <w:right w:val="single" w:color="000000" w:sz="4" w:space="0"/>
            </w:tcBorders>
          </w:tcPr>
          <w:p w14:paraId="25DF7160">
            <w:pPr>
              <w:spacing w:before="126" w:line="272" w:lineRule="exact"/>
              <w:ind w:left="180"/>
              <w:rPr>
                <w:rFonts w:ascii="宋体" w:hAnsi="宋体" w:eastAsia="宋体" w:cs="宋体"/>
                <w:sz w:val="20"/>
                <w:szCs w:val="20"/>
              </w:rPr>
            </w:pPr>
            <w:r>
              <w:rPr>
                <w:rFonts w:ascii="宋体" w:hAnsi="宋体" w:eastAsia="宋体" w:cs="宋体"/>
                <w:spacing w:val="5"/>
                <w:position w:val="4"/>
                <w:sz w:val="20"/>
                <w:szCs w:val="20"/>
                <w14:textOutline w14:w="3797" w14:cap="sq" w14:cmpd="sng" w14:algn="ctr">
                  <w14:solidFill>
                    <w14:srgbClr w14:val="000000"/>
                  </w14:solidFill>
                  <w14:prstDash w14:val="solid"/>
                  <w14:bevel/>
                </w14:textOutline>
              </w:rPr>
              <w:t>工</w:t>
            </w:r>
            <w:r>
              <w:rPr>
                <w:rFonts w:ascii="宋体" w:hAnsi="宋体" w:eastAsia="宋体" w:cs="宋体"/>
                <w:spacing w:val="4"/>
                <w:position w:val="4"/>
                <w:sz w:val="20"/>
                <w:szCs w:val="20"/>
                <w14:textOutline w14:w="3797" w14:cap="sq" w14:cmpd="sng" w14:algn="ctr">
                  <w14:solidFill>
                    <w14:srgbClr w14:val="000000"/>
                  </w14:solidFill>
                  <w14:prstDash w14:val="solid"/>
                  <w14:bevel/>
                </w14:textOutline>
              </w:rPr>
              <w:t>程</w:t>
            </w:r>
          </w:p>
          <w:p w14:paraId="080D2E12">
            <w:pPr>
              <w:spacing w:line="227" w:lineRule="auto"/>
              <w:ind w:left="180"/>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分</w:t>
            </w:r>
            <w:r>
              <w:rPr>
                <w:rFonts w:ascii="宋体" w:hAnsi="宋体" w:eastAsia="宋体" w:cs="宋体"/>
                <w:spacing w:val="4"/>
                <w:sz w:val="20"/>
                <w:szCs w:val="20"/>
                <w14:textOutline w14:w="3797" w14:cap="sq" w14:cmpd="sng" w14:algn="ctr">
                  <w14:solidFill>
                    <w14:srgbClr w14:val="000000"/>
                  </w14:solidFill>
                  <w14:prstDash w14:val="solid"/>
                  <w14:bevel/>
                </w14:textOutline>
              </w:rPr>
              <w:t>类</w:t>
            </w:r>
          </w:p>
        </w:tc>
        <w:tc>
          <w:tcPr>
            <w:tcW w:w="1378" w:type="dxa"/>
            <w:gridSpan w:val="2"/>
            <w:vMerge w:val="restart"/>
            <w:tcBorders>
              <w:left w:val="single" w:color="000000" w:sz="4" w:space="0"/>
              <w:bottom w:val="nil"/>
              <w:right w:val="single" w:color="000000" w:sz="4" w:space="0"/>
            </w:tcBorders>
          </w:tcPr>
          <w:p w14:paraId="7CAD12DF">
            <w:pPr>
              <w:spacing w:before="261" w:line="228" w:lineRule="auto"/>
              <w:ind w:left="275"/>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项</w:t>
            </w:r>
            <w:r>
              <w:rPr>
                <w:rFonts w:ascii="宋体" w:hAnsi="宋体" w:eastAsia="宋体" w:cs="宋体"/>
                <w:spacing w:val="7"/>
                <w:sz w:val="20"/>
                <w:szCs w:val="20"/>
                <w14:textOutline w14:w="3797" w14:cap="sq" w14:cmpd="sng" w14:algn="ctr">
                  <w14:solidFill>
                    <w14:srgbClr w14:val="000000"/>
                  </w14:solidFill>
                  <w14:prstDash w14:val="solid"/>
                  <w14:bevel/>
                </w14:textOutline>
              </w:rPr>
              <w:t>目名称</w:t>
            </w:r>
          </w:p>
        </w:tc>
        <w:tc>
          <w:tcPr>
            <w:tcW w:w="5525" w:type="dxa"/>
            <w:vMerge w:val="restart"/>
            <w:tcBorders>
              <w:left w:val="single" w:color="000000" w:sz="4" w:space="0"/>
              <w:bottom w:val="nil"/>
              <w:right w:val="single" w:color="000000" w:sz="4" w:space="0"/>
            </w:tcBorders>
          </w:tcPr>
          <w:p w14:paraId="16B9E6E8">
            <w:pPr>
              <w:spacing w:before="260" w:line="228" w:lineRule="auto"/>
              <w:ind w:left="2033"/>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建设内容及规模</w:t>
            </w:r>
          </w:p>
        </w:tc>
        <w:tc>
          <w:tcPr>
            <w:tcW w:w="2149" w:type="dxa"/>
            <w:gridSpan w:val="2"/>
            <w:tcBorders>
              <w:left w:val="single" w:color="000000" w:sz="4" w:space="0"/>
              <w:right w:val="nil"/>
            </w:tcBorders>
          </w:tcPr>
          <w:p w14:paraId="74DC095A">
            <w:pPr>
              <w:spacing w:before="119" w:line="228" w:lineRule="auto"/>
              <w:ind w:left="133"/>
              <w:rPr>
                <w:rFonts w:ascii="宋体" w:hAnsi="宋体" w:eastAsia="宋体" w:cs="宋体"/>
                <w:sz w:val="20"/>
                <w:szCs w:val="20"/>
              </w:rPr>
            </w:pPr>
            <w:r>
              <w:rPr>
                <w:rFonts w:ascii="宋体" w:hAnsi="宋体" w:eastAsia="宋体" w:cs="宋体"/>
                <w:spacing w:val="14"/>
                <w:sz w:val="20"/>
                <w:szCs w:val="20"/>
                <w14:textOutline w14:w="3797" w14:cap="sq" w14:cmpd="sng" w14:algn="ctr">
                  <w14:solidFill>
                    <w14:srgbClr w14:val="000000"/>
                  </w14:solidFill>
                  <w14:prstDash w14:val="solid"/>
                  <w14:bevel/>
                </w14:textOutline>
              </w:rPr>
              <w:t>可</w:t>
            </w:r>
            <w:r>
              <w:rPr>
                <w:rFonts w:ascii="宋体" w:hAnsi="宋体" w:eastAsia="宋体" w:cs="宋体"/>
                <w:spacing w:val="9"/>
                <w:sz w:val="20"/>
                <w:szCs w:val="20"/>
                <w14:textOutline w14:w="3797" w14:cap="sq" w14:cmpd="sng" w14:algn="ctr">
                  <w14:solidFill>
                    <w14:srgbClr w14:val="000000"/>
                  </w14:solidFill>
                  <w14:prstDash w14:val="solid"/>
                  <w14:bevel/>
                </w14:textOutline>
              </w:rPr>
              <w:t>能产生的环境问题</w:t>
            </w:r>
          </w:p>
        </w:tc>
      </w:tr>
      <w:tr w14:paraId="5AC9C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758" w:type="dxa"/>
            <w:vMerge w:val="continue"/>
            <w:tcBorders>
              <w:top w:val="nil"/>
              <w:left w:val="nil"/>
              <w:right w:val="single" w:color="000000" w:sz="4" w:space="0"/>
            </w:tcBorders>
          </w:tcPr>
          <w:p w14:paraId="49C72718"/>
        </w:tc>
        <w:tc>
          <w:tcPr>
            <w:tcW w:w="1378" w:type="dxa"/>
            <w:gridSpan w:val="2"/>
            <w:vMerge w:val="continue"/>
            <w:tcBorders>
              <w:top w:val="nil"/>
              <w:left w:val="single" w:color="000000" w:sz="4" w:space="0"/>
              <w:right w:val="single" w:color="000000" w:sz="4" w:space="0"/>
            </w:tcBorders>
          </w:tcPr>
          <w:p w14:paraId="7833B1DC"/>
        </w:tc>
        <w:tc>
          <w:tcPr>
            <w:tcW w:w="5525" w:type="dxa"/>
            <w:vMerge w:val="continue"/>
            <w:tcBorders>
              <w:top w:val="nil"/>
              <w:left w:val="single" w:color="000000" w:sz="4" w:space="0"/>
              <w:right w:val="single" w:color="000000" w:sz="4" w:space="0"/>
            </w:tcBorders>
          </w:tcPr>
          <w:p w14:paraId="723B4592"/>
        </w:tc>
        <w:tc>
          <w:tcPr>
            <w:tcW w:w="887" w:type="dxa"/>
            <w:tcBorders>
              <w:left w:val="single" w:color="000000" w:sz="4" w:space="0"/>
              <w:right w:val="single" w:color="000000" w:sz="4" w:space="0"/>
            </w:tcBorders>
          </w:tcPr>
          <w:p w14:paraId="66E8ED98">
            <w:pPr>
              <w:spacing w:before="35" w:line="227" w:lineRule="auto"/>
              <w:ind w:left="131"/>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施工期</w:t>
            </w:r>
          </w:p>
        </w:tc>
        <w:tc>
          <w:tcPr>
            <w:tcW w:w="1262" w:type="dxa"/>
            <w:tcBorders>
              <w:left w:val="single" w:color="000000" w:sz="4" w:space="0"/>
              <w:right w:val="nil"/>
            </w:tcBorders>
          </w:tcPr>
          <w:p w14:paraId="10EFCE4B">
            <w:pPr>
              <w:spacing w:before="35" w:line="227" w:lineRule="auto"/>
              <w:ind w:left="326"/>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营</w:t>
            </w:r>
            <w:r>
              <w:rPr>
                <w:rFonts w:ascii="宋体" w:hAnsi="宋体" w:eastAsia="宋体" w:cs="宋体"/>
                <w:spacing w:val="5"/>
                <w:sz w:val="20"/>
                <w:szCs w:val="20"/>
                <w14:textOutline w14:w="3797" w14:cap="sq" w14:cmpd="sng" w14:algn="ctr">
                  <w14:solidFill>
                    <w14:srgbClr w14:val="000000"/>
                  </w14:solidFill>
                  <w14:prstDash w14:val="solid"/>
                  <w14:bevel/>
                </w14:textOutline>
              </w:rPr>
              <w:t>运期</w:t>
            </w:r>
          </w:p>
        </w:tc>
      </w:tr>
      <w:tr w14:paraId="26DB66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9" w:hRule="atLeast"/>
        </w:trPr>
        <w:tc>
          <w:tcPr>
            <w:tcW w:w="758" w:type="dxa"/>
            <w:vMerge w:val="restart"/>
            <w:tcBorders>
              <w:left w:val="nil"/>
              <w:bottom w:val="nil"/>
              <w:right w:val="single" w:color="000000" w:sz="4" w:space="0"/>
            </w:tcBorders>
          </w:tcPr>
          <w:p w14:paraId="08DF6422"/>
        </w:tc>
        <w:tc>
          <w:tcPr>
            <w:tcW w:w="532" w:type="dxa"/>
            <w:vMerge w:val="restart"/>
            <w:tcBorders>
              <w:left w:val="single" w:color="000000" w:sz="4" w:space="0"/>
              <w:bottom w:val="nil"/>
            </w:tcBorders>
          </w:tcPr>
          <w:p w14:paraId="7D112CA3"/>
        </w:tc>
        <w:tc>
          <w:tcPr>
            <w:tcW w:w="846" w:type="dxa"/>
            <w:tcBorders>
              <w:right w:val="single" w:color="000000" w:sz="4" w:space="0"/>
            </w:tcBorders>
          </w:tcPr>
          <w:p w14:paraId="16EA6393">
            <w:pPr>
              <w:spacing w:before="36" w:line="228" w:lineRule="auto"/>
              <w:ind w:left="116"/>
              <w:rPr>
                <w:rFonts w:ascii="宋体" w:hAnsi="宋体" w:eastAsia="宋体" w:cs="宋体"/>
                <w:sz w:val="20"/>
                <w:szCs w:val="20"/>
              </w:rPr>
            </w:pPr>
            <w:r>
              <w:rPr>
                <w:rFonts w:ascii="宋体" w:hAnsi="宋体" w:eastAsia="宋体" w:cs="宋体"/>
                <w:spacing w:val="6"/>
                <w:sz w:val="20"/>
                <w:szCs w:val="20"/>
              </w:rPr>
              <w:t>异位发</w:t>
            </w:r>
          </w:p>
          <w:p w14:paraId="38FAC9B5">
            <w:pPr>
              <w:spacing w:before="24" w:line="228" w:lineRule="auto"/>
              <w:ind w:left="115"/>
              <w:rPr>
                <w:rFonts w:ascii="宋体" w:hAnsi="宋体" w:eastAsia="宋体" w:cs="宋体"/>
                <w:sz w:val="20"/>
                <w:szCs w:val="20"/>
              </w:rPr>
            </w:pPr>
            <w:r>
              <w:rPr>
                <w:rFonts w:ascii="宋体" w:hAnsi="宋体" w:eastAsia="宋体" w:cs="宋体"/>
                <w:spacing w:val="7"/>
                <w:sz w:val="20"/>
                <w:szCs w:val="20"/>
              </w:rPr>
              <w:t>酵</w:t>
            </w:r>
            <w:r>
              <w:rPr>
                <w:rFonts w:ascii="宋体" w:hAnsi="宋体" w:eastAsia="宋体" w:cs="宋体"/>
                <w:spacing w:val="6"/>
                <w:sz w:val="20"/>
                <w:szCs w:val="20"/>
              </w:rPr>
              <w:t>床更</w:t>
            </w:r>
          </w:p>
          <w:p w14:paraId="0818ED4A">
            <w:pPr>
              <w:spacing w:before="24" w:line="228" w:lineRule="auto"/>
              <w:ind w:left="115"/>
              <w:rPr>
                <w:rFonts w:ascii="宋体" w:hAnsi="宋体" w:eastAsia="宋体" w:cs="宋体"/>
                <w:sz w:val="20"/>
                <w:szCs w:val="20"/>
              </w:rPr>
            </w:pPr>
            <w:r>
              <w:rPr>
                <w:rFonts w:ascii="宋体" w:hAnsi="宋体" w:eastAsia="宋体" w:cs="宋体"/>
                <w:spacing w:val="7"/>
                <w:sz w:val="20"/>
                <w:szCs w:val="20"/>
              </w:rPr>
              <w:t>换</w:t>
            </w:r>
            <w:r>
              <w:rPr>
                <w:rFonts w:ascii="宋体" w:hAnsi="宋体" w:eastAsia="宋体" w:cs="宋体"/>
                <w:spacing w:val="6"/>
                <w:sz w:val="20"/>
                <w:szCs w:val="20"/>
              </w:rPr>
              <w:t>的废</w:t>
            </w:r>
          </w:p>
          <w:p w14:paraId="3F53DCC4">
            <w:pPr>
              <w:spacing w:before="26" w:line="227" w:lineRule="auto"/>
              <w:ind w:left="219"/>
              <w:rPr>
                <w:rFonts w:ascii="宋体" w:hAnsi="宋体" w:eastAsia="宋体" w:cs="宋体"/>
                <w:sz w:val="20"/>
                <w:szCs w:val="20"/>
              </w:rPr>
            </w:pPr>
            <w:r>
              <w:rPr>
                <w:rFonts w:ascii="宋体" w:hAnsi="宋体" w:eastAsia="宋体" w:cs="宋体"/>
                <w:spacing w:val="4"/>
                <w:sz w:val="20"/>
                <w:szCs w:val="20"/>
              </w:rPr>
              <w:t>垫</w:t>
            </w:r>
            <w:r>
              <w:rPr>
                <w:rFonts w:ascii="宋体" w:hAnsi="宋体" w:eastAsia="宋体" w:cs="宋体"/>
                <w:spacing w:val="3"/>
                <w:sz w:val="20"/>
                <w:szCs w:val="20"/>
              </w:rPr>
              <w:t>料</w:t>
            </w:r>
          </w:p>
        </w:tc>
        <w:tc>
          <w:tcPr>
            <w:tcW w:w="5525" w:type="dxa"/>
            <w:tcBorders>
              <w:left w:val="single" w:color="000000" w:sz="4" w:space="0"/>
              <w:right w:val="single" w:color="000000" w:sz="4" w:space="0"/>
            </w:tcBorders>
          </w:tcPr>
          <w:p w14:paraId="0F491D7A"/>
          <w:p w14:paraId="02FC95BC">
            <w:pPr>
              <w:spacing w:before="65" w:line="266" w:lineRule="auto"/>
              <w:ind w:left="110" w:right="103" w:firstLine="3"/>
              <w:rPr>
                <w:rFonts w:ascii="宋体" w:hAnsi="宋体" w:eastAsia="宋体" w:cs="宋体"/>
                <w:sz w:val="20"/>
                <w:szCs w:val="20"/>
              </w:rPr>
            </w:pPr>
            <w:r>
              <w:rPr>
                <w:rFonts w:ascii="宋体" w:hAnsi="宋体" w:eastAsia="宋体" w:cs="宋体"/>
                <w:spacing w:val="37"/>
                <w:sz w:val="20"/>
                <w:szCs w:val="20"/>
              </w:rPr>
              <w:t>项</w:t>
            </w:r>
            <w:r>
              <w:rPr>
                <w:rFonts w:ascii="宋体" w:hAnsi="宋体" w:eastAsia="宋体" w:cs="宋体"/>
                <w:spacing w:val="20"/>
                <w:sz w:val="20"/>
                <w:szCs w:val="20"/>
              </w:rPr>
              <w:t>目异位微生物发酵床更换出来的废垫料作为有机肥外</w:t>
            </w:r>
            <w:r>
              <w:rPr>
                <w:rFonts w:ascii="宋体" w:hAnsi="宋体" w:eastAsia="宋体" w:cs="宋体"/>
                <w:sz w:val="20"/>
                <w:szCs w:val="20"/>
              </w:rPr>
              <w:t xml:space="preserve"> </w:t>
            </w:r>
            <w:r>
              <w:rPr>
                <w:rFonts w:ascii="宋体" w:hAnsi="宋体" w:eastAsia="宋体" w:cs="宋体"/>
                <w:spacing w:val="10"/>
                <w:sz w:val="20"/>
                <w:szCs w:val="20"/>
              </w:rPr>
              <w:t>售</w:t>
            </w:r>
            <w:r>
              <w:rPr>
                <w:rFonts w:ascii="宋体" w:hAnsi="宋体" w:eastAsia="宋体" w:cs="宋体"/>
                <w:spacing w:val="9"/>
                <w:sz w:val="20"/>
                <w:szCs w:val="20"/>
              </w:rPr>
              <w:t>，直接作为有机肥外售</w:t>
            </w:r>
          </w:p>
        </w:tc>
        <w:tc>
          <w:tcPr>
            <w:tcW w:w="887" w:type="dxa"/>
            <w:vMerge w:val="restart"/>
            <w:tcBorders>
              <w:left w:val="single" w:color="000000" w:sz="4" w:space="0"/>
              <w:bottom w:val="nil"/>
              <w:right w:val="single" w:color="000000" w:sz="4" w:space="0"/>
            </w:tcBorders>
          </w:tcPr>
          <w:p w14:paraId="2F08FA8E"/>
        </w:tc>
        <w:tc>
          <w:tcPr>
            <w:tcW w:w="1262" w:type="dxa"/>
            <w:tcBorders>
              <w:left w:val="single" w:color="000000" w:sz="4" w:space="0"/>
              <w:right w:val="nil"/>
            </w:tcBorders>
          </w:tcPr>
          <w:p w14:paraId="0680E857">
            <w:pPr>
              <w:spacing w:line="318" w:lineRule="auto"/>
            </w:pPr>
          </w:p>
          <w:p w14:paraId="1A5E186A">
            <w:pPr>
              <w:spacing w:before="65" w:line="228" w:lineRule="auto"/>
              <w:ind w:left="441"/>
              <w:rPr>
                <w:rFonts w:ascii="宋体" w:hAnsi="宋体" w:eastAsia="宋体" w:cs="宋体"/>
                <w:sz w:val="20"/>
                <w:szCs w:val="20"/>
              </w:rPr>
            </w:pPr>
            <w:r>
              <w:rPr>
                <w:rFonts w:ascii="宋体" w:hAnsi="宋体" w:eastAsia="宋体" w:cs="宋体"/>
                <w:spacing w:val="-5"/>
                <w:sz w:val="20"/>
                <w:szCs w:val="20"/>
              </w:rPr>
              <w:t>固</w:t>
            </w:r>
            <w:r>
              <w:rPr>
                <w:rFonts w:ascii="宋体" w:hAnsi="宋体" w:eastAsia="宋体" w:cs="宋体"/>
                <w:spacing w:val="-4"/>
                <w:sz w:val="20"/>
                <w:szCs w:val="20"/>
              </w:rPr>
              <w:t>废</w:t>
            </w:r>
          </w:p>
        </w:tc>
      </w:tr>
      <w:tr w14:paraId="670742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8" w:hRule="atLeast"/>
        </w:trPr>
        <w:tc>
          <w:tcPr>
            <w:tcW w:w="758" w:type="dxa"/>
            <w:vMerge w:val="continue"/>
            <w:tcBorders>
              <w:top w:val="nil"/>
              <w:left w:val="nil"/>
              <w:right w:val="single" w:color="000000" w:sz="4" w:space="0"/>
            </w:tcBorders>
          </w:tcPr>
          <w:p w14:paraId="4A08C327"/>
        </w:tc>
        <w:tc>
          <w:tcPr>
            <w:tcW w:w="532" w:type="dxa"/>
            <w:vMerge w:val="continue"/>
            <w:tcBorders>
              <w:top w:val="nil"/>
              <w:left w:val="single" w:color="000000" w:sz="4" w:space="0"/>
            </w:tcBorders>
          </w:tcPr>
          <w:p w14:paraId="4D339153"/>
        </w:tc>
        <w:tc>
          <w:tcPr>
            <w:tcW w:w="846" w:type="dxa"/>
            <w:tcBorders>
              <w:right w:val="single" w:color="000000" w:sz="4" w:space="0"/>
            </w:tcBorders>
          </w:tcPr>
          <w:p w14:paraId="4E5AF50B"/>
          <w:p w14:paraId="12778350">
            <w:pPr>
              <w:spacing w:before="65" w:line="266" w:lineRule="auto"/>
              <w:ind w:left="322" w:right="103" w:hanging="198"/>
              <w:rPr>
                <w:rFonts w:ascii="宋体" w:hAnsi="宋体" w:eastAsia="宋体" w:cs="宋体"/>
                <w:sz w:val="20"/>
                <w:szCs w:val="20"/>
              </w:rPr>
            </w:pPr>
            <w:r>
              <w:rPr>
                <w:rFonts w:ascii="宋体" w:hAnsi="宋体" w:eastAsia="宋体" w:cs="宋体"/>
                <w:spacing w:val="5"/>
                <w:sz w:val="20"/>
                <w:szCs w:val="20"/>
              </w:rPr>
              <w:t>医</w:t>
            </w:r>
            <w:r>
              <w:rPr>
                <w:rFonts w:ascii="宋体" w:hAnsi="宋体" w:eastAsia="宋体" w:cs="宋体"/>
                <w:spacing w:val="3"/>
                <w:sz w:val="20"/>
                <w:szCs w:val="20"/>
              </w:rPr>
              <w:t>疗废</w:t>
            </w:r>
            <w:r>
              <w:rPr>
                <w:rFonts w:ascii="宋体" w:hAnsi="宋体" w:eastAsia="宋体" w:cs="宋体"/>
                <w:sz w:val="20"/>
                <w:szCs w:val="20"/>
              </w:rPr>
              <w:t xml:space="preserve"> 物</w:t>
            </w:r>
          </w:p>
        </w:tc>
        <w:tc>
          <w:tcPr>
            <w:tcW w:w="5525" w:type="dxa"/>
            <w:tcBorders>
              <w:left w:val="single" w:color="000000" w:sz="4" w:space="0"/>
              <w:right w:val="single" w:color="000000" w:sz="4" w:space="0"/>
            </w:tcBorders>
          </w:tcPr>
          <w:p w14:paraId="0DF53F26">
            <w:pPr>
              <w:spacing w:before="37" w:line="251" w:lineRule="auto"/>
              <w:ind w:left="139" w:right="134" w:firstLine="1"/>
              <w:rPr>
                <w:rFonts w:ascii="宋体" w:hAnsi="宋体" w:eastAsia="宋体" w:cs="宋体"/>
                <w:sz w:val="20"/>
                <w:szCs w:val="20"/>
              </w:rPr>
            </w:pPr>
            <w:r>
              <w:rPr>
                <w:rFonts w:ascii="宋体" w:hAnsi="宋体" w:eastAsia="宋体" w:cs="宋体"/>
                <w:spacing w:val="18"/>
                <w:sz w:val="20"/>
                <w:szCs w:val="20"/>
              </w:rPr>
              <w:t>单</w:t>
            </w:r>
            <w:r>
              <w:rPr>
                <w:rFonts w:ascii="宋体" w:hAnsi="宋体" w:eastAsia="宋体" w:cs="宋体"/>
                <w:spacing w:val="14"/>
                <w:sz w:val="20"/>
                <w:szCs w:val="20"/>
              </w:rPr>
              <w:t>独</w:t>
            </w:r>
            <w:r>
              <w:rPr>
                <w:rFonts w:ascii="宋体" w:hAnsi="宋体" w:eastAsia="宋体" w:cs="宋体"/>
                <w:spacing w:val="9"/>
                <w:sz w:val="20"/>
                <w:szCs w:val="20"/>
              </w:rPr>
              <w:t>收集，厂区内设置医疗废物临时收集设施，统一收集</w:t>
            </w:r>
            <w:r>
              <w:rPr>
                <w:rFonts w:ascii="宋体" w:hAnsi="宋体" w:eastAsia="宋体" w:cs="宋体"/>
                <w:sz w:val="20"/>
                <w:szCs w:val="20"/>
              </w:rPr>
              <w:t xml:space="preserve"> </w:t>
            </w:r>
            <w:r>
              <w:rPr>
                <w:rFonts w:ascii="宋体" w:hAnsi="宋体" w:eastAsia="宋体" w:cs="宋体"/>
                <w:spacing w:val="18"/>
                <w:sz w:val="20"/>
                <w:szCs w:val="20"/>
              </w:rPr>
              <w:t>后</w:t>
            </w:r>
            <w:r>
              <w:rPr>
                <w:rFonts w:ascii="宋体" w:hAnsi="宋体" w:eastAsia="宋体" w:cs="宋体"/>
                <w:spacing w:val="15"/>
                <w:sz w:val="20"/>
                <w:szCs w:val="20"/>
              </w:rPr>
              <w:t>送</w:t>
            </w:r>
            <w:r>
              <w:rPr>
                <w:rFonts w:ascii="宋体" w:hAnsi="宋体" w:eastAsia="宋体" w:cs="宋体"/>
                <w:spacing w:val="9"/>
                <w:sz w:val="20"/>
                <w:szCs w:val="20"/>
              </w:rPr>
              <w:t>医疗废物暂存间，定期交由有医疗废物处置资质的单</w:t>
            </w:r>
            <w:r>
              <w:rPr>
                <w:rFonts w:ascii="宋体" w:hAnsi="宋体" w:eastAsia="宋体" w:cs="宋体"/>
                <w:sz w:val="20"/>
                <w:szCs w:val="20"/>
              </w:rPr>
              <w:t xml:space="preserve"> </w:t>
            </w:r>
            <w:r>
              <w:rPr>
                <w:rFonts w:ascii="宋体" w:hAnsi="宋体" w:eastAsia="宋体" w:cs="宋体"/>
                <w:spacing w:val="18"/>
                <w:sz w:val="20"/>
                <w:szCs w:val="20"/>
              </w:rPr>
              <w:t>位</w:t>
            </w:r>
            <w:r>
              <w:rPr>
                <w:rFonts w:ascii="宋体" w:hAnsi="宋体" w:eastAsia="宋体" w:cs="宋体"/>
                <w:spacing w:val="15"/>
                <w:sz w:val="20"/>
                <w:szCs w:val="20"/>
              </w:rPr>
              <w:t>集</w:t>
            </w:r>
            <w:r>
              <w:rPr>
                <w:rFonts w:ascii="宋体" w:hAnsi="宋体" w:eastAsia="宋体" w:cs="宋体"/>
                <w:spacing w:val="9"/>
                <w:sz w:val="20"/>
                <w:szCs w:val="20"/>
              </w:rPr>
              <w:t>中处置，签订协议并设立台账。厂区内医疗废物暂存</w:t>
            </w:r>
          </w:p>
          <w:p w14:paraId="1484594B">
            <w:pPr>
              <w:spacing w:line="228" w:lineRule="auto"/>
              <w:ind w:left="1065"/>
              <w:rPr>
                <w:rFonts w:ascii="宋体" w:hAnsi="宋体" w:eastAsia="宋体" w:cs="宋体"/>
                <w:sz w:val="20"/>
                <w:szCs w:val="20"/>
              </w:rPr>
            </w:pPr>
            <w:r>
              <w:rPr>
                <w:rFonts w:ascii="宋体" w:hAnsi="宋体" w:eastAsia="宋体" w:cs="宋体"/>
                <w:spacing w:val="4"/>
                <w:sz w:val="20"/>
                <w:szCs w:val="20"/>
              </w:rPr>
              <w:t>间面</w:t>
            </w:r>
            <w:r>
              <w:rPr>
                <w:rFonts w:ascii="宋体" w:hAnsi="宋体" w:eastAsia="宋体" w:cs="宋体"/>
                <w:spacing w:val="3"/>
                <w:sz w:val="20"/>
                <w:szCs w:val="20"/>
              </w:rPr>
              <w:t>积</w:t>
            </w:r>
            <w:r>
              <w:rPr>
                <w:rFonts w:ascii="宋体" w:hAnsi="宋体" w:eastAsia="宋体" w:cs="宋体"/>
                <w:spacing w:val="2"/>
                <w:sz w:val="20"/>
                <w:szCs w:val="20"/>
              </w:rPr>
              <w:t xml:space="preserve">为 </w:t>
            </w:r>
            <w:r>
              <w:rPr>
                <w:rFonts w:ascii="Times New Roman" w:hAnsi="Times New Roman" w:eastAsia="Times New Roman" w:cs="Times New Roman"/>
                <w:spacing w:val="2"/>
                <w:sz w:val="20"/>
                <w:szCs w:val="20"/>
              </w:rPr>
              <w:t>10</w:t>
            </w:r>
            <w:r>
              <w:rPr>
                <w:rFonts w:ascii="Times New Roman" w:hAnsi="Times New Roman" w:eastAsia="Times New Roman" w:cs="Times New Roman"/>
                <w:sz w:val="20"/>
                <w:szCs w:val="20"/>
              </w:rPr>
              <w:t>m</w:t>
            </w:r>
            <w:r>
              <w:rPr>
                <w:rFonts w:ascii="Times New Roman" w:hAnsi="Times New Roman" w:eastAsia="Times New Roman" w:cs="Times New Roman"/>
                <w:spacing w:val="2"/>
                <w:position w:val="6"/>
                <w:sz w:val="13"/>
                <w:szCs w:val="13"/>
              </w:rPr>
              <w:t xml:space="preserve">2 </w:t>
            </w:r>
            <w:r>
              <w:rPr>
                <w:rFonts w:ascii="宋体" w:hAnsi="宋体" w:eastAsia="宋体" w:cs="宋体"/>
                <w:spacing w:val="2"/>
                <w:sz w:val="20"/>
                <w:szCs w:val="20"/>
              </w:rPr>
              <w:t>，位于办公生活区内。</w:t>
            </w:r>
          </w:p>
        </w:tc>
        <w:tc>
          <w:tcPr>
            <w:tcW w:w="887" w:type="dxa"/>
            <w:vMerge w:val="continue"/>
            <w:tcBorders>
              <w:top w:val="nil"/>
              <w:left w:val="single" w:color="000000" w:sz="4" w:space="0"/>
              <w:right w:val="single" w:color="000000" w:sz="4" w:space="0"/>
            </w:tcBorders>
          </w:tcPr>
          <w:p w14:paraId="34624679"/>
        </w:tc>
        <w:tc>
          <w:tcPr>
            <w:tcW w:w="1262" w:type="dxa"/>
            <w:tcBorders>
              <w:left w:val="single" w:color="000000" w:sz="4" w:space="0"/>
              <w:right w:val="nil"/>
            </w:tcBorders>
          </w:tcPr>
          <w:p w14:paraId="39365A96">
            <w:pPr>
              <w:spacing w:line="288" w:lineRule="auto"/>
            </w:pPr>
          </w:p>
          <w:p w14:paraId="753E0308">
            <w:pPr>
              <w:spacing w:before="57" w:line="281" w:lineRule="exact"/>
              <w:ind w:left="597"/>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bl>
    <w:p w14:paraId="1C851393">
      <w:pPr>
        <w:spacing w:before="41" w:line="221" w:lineRule="auto"/>
        <w:ind w:left="164"/>
        <w:outlineLvl w:val="1"/>
        <w:rPr>
          <w:rFonts w:ascii="宋体" w:hAnsi="宋体" w:eastAsia="宋体" w:cs="宋体"/>
          <w:sz w:val="28"/>
          <w:szCs w:val="28"/>
        </w:rPr>
      </w:pPr>
      <w:bookmarkStart w:id="21" w:name="_bookmark22"/>
      <w:bookmarkEnd w:id="21"/>
      <w:r>
        <w:rPr>
          <w:rFonts w:ascii="Times New Roman" w:hAnsi="Times New Roman" w:eastAsia="Times New Roman" w:cs="Times New Roman"/>
          <w:b/>
          <w:bCs/>
          <w:sz w:val="28"/>
          <w:szCs w:val="28"/>
        </w:rPr>
        <w:t>2.2</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主要设备清单</w:t>
      </w:r>
    </w:p>
    <w:p w14:paraId="384CBA15">
      <w:pPr>
        <w:spacing w:before="204" w:line="228" w:lineRule="auto"/>
        <w:ind w:left="651"/>
        <w:rPr>
          <w:rFonts w:ascii="宋体" w:hAnsi="宋体" w:eastAsia="宋体" w:cs="宋体"/>
          <w:sz w:val="23"/>
          <w:szCs w:val="23"/>
        </w:rPr>
      </w:pPr>
      <w:r>
        <w:rPr>
          <w:rFonts w:ascii="宋体" w:hAnsi="宋体" w:eastAsia="宋体" w:cs="宋体"/>
          <w:spacing w:val="12"/>
          <w:sz w:val="23"/>
          <w:szCs w:val="23"/>
        </w:rPr>
        <w:t>项</w:t>
      </w:r>
      <w:r>
        <w:rPr>
          <w:rFonts w:ascii="宋体" w:hAnsi="宋体" w:eastAsia="宋体" w:cs="宋体"/>
          <w:spacing w:val="8"/>
          <w:sz w:val="23"/>
          <w:szCs w:val="23"/>
        </w:rPr>
        <w:t>目运营期所有设备如下表示：</w:t>
      </w:r>
    </w:p>
    <w:p w14:paraId="728B7CA3">
      <w:pPr>
        <w:spacing w:before="183" w:line="221" w:lineRule="auto"/>
        <w:ind w:left="3439"/>
        <w:rPr>
          <w:rFonts w:ascii="黑体" w:hAnsi="黑体" w:eastAsia="黑体" w:cs="黑体"/>
          <w:sz w:val="23"/>
          <w:szCs w:val="23"/>
        </w:rPr>
      </w:pPr>
      <w:r>
        <w:rPr>
          <w:rFonts w:ascii="黑体" w:hAnsi="黑体" w:eastAsia="黑体" w:cs="黑体"/>
          <w:spacing w:val="-1"/>
          <w:sz w:val="23"/>
          <w:szCs w:val="23"/>
        </w:rPr>
        <w:t xml:space="preserve">表 </w:t>
      </w:r>
      <w:r>
        <w:rPr>
          <w:rFonts w:ascii="Times New Roman" w:hAnsi="Times New Roman" w:eastAsia="Times New Roman" w:cs="Times New Roman"/>
          <w:spacing w:val="-1"/>
          <w:sz w:val="23"/>
          <w:szCs w:val="23"/>
        </w:rPr>
        <w:t>2.2-</w:t>
      </w:r>
      <w:r>
        <w:rPr>
          <w:rFonts w:ascii="Times New Roman" w:hAnsi="Times New Roman" w:eastAsia="Times New Roman" w:cs="Times New Roman"/>
          <w:sz w:val="23"/>
          <w:szCs w:val="23"/>
        </w:rPr>
        <w:t xml:space="preserve"> 1    </w:t>
      </w:r>
      <w:r>
        <w:rPr>
          <w:rFonts w:ascii="黑体" w:hAnsi="黑体" w:eastAsia="黑体" w:cs="黑体"/>
          <w:sz w:val="23"/>
          <w:szCs w:val="23"/>
        </w:rPr>
        <w:t>项目主要设备清单</w:t>
      </w:r>
    </w:p>
    <w:tbl>
      <w:tblPr>
        <w:tblStyle w:val="4"/>
        <w:tblW w:w="9712" w:type="dxa"/>
        <w:tblInd w:w="4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3"/>
        <w:gridCol w:w="2149"/>
        <w:gridCol w:w="2748"/>
        <w:gridCol w:w="1250"/>
        <w:gridCol w:w="2232"/>
      </w:tblGrid>
      <w:tr w14:paraId="3E07C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333" w:type="dxa"/>
            <w:tcBorders>
              <w:left w:val="nil"/>
            </w:tcBorders>
          </w:tcPr>
          <w:p w14:paraId="6C395E37">
            <w:pPr>
              <w:spacing w:before="87" w:line="228" w:lineRule="auto"/>
              <w:ind w:left="468"/>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项目</w:t>
            </w:r>
          </w:p>
        </w:tc>
        <w:tc>
          <w:tcPr>
            <w:tcW w:w="2149" w:type="dxa"/>
          </w:tcPr>
          <w:p w14:paraId="6FE05E7C">
            <w:pPr>
              <w:spacing w:before="87" w:line="230" w:lineRule="auto"/>
              <w:ind w:left="871"/>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名</w:t>
            </w:r>
            <w:r>
              <w:rPr>
                <w:rFonts w:ascii="宋体" w:hAnsi="宋体" w:eastAsia="宋体" w:cs="宋体"/>
                <w:spacing w:val="4"/>
                <w:sz w:val="20"/>
                <w:szCs w:val="20"/>
                <w14:textOutline w14:w="3797" w14:cap="sq" w14:cmpd="sng" w14:algn="ctr">
                  <w14:solidFill>
                    <w14:srgbClr w14:val="000000"/>
                  </w14:solidFill>
                  <w14:prstDash w14:val="solid"/>
                  <w14:bevel/>
                </w14:textOutline>
              </w:rPr>
              <w:t>称</w:t>
            </w:r>
          </w:p>
        </w:tc>
        <w:tc>
          <w:tcPr>
            <w:tcW w:w="2748" w:type="dxa"/>
          </w:tcPr>
          <w:p w14:paraId="0D95BAA7">
            <w:pPr>
              <w:spacing w:before="87" w:line="229" w:lineRule="auto"/>
              <w:ind w:left="1174"/>
              <w:rPr>
                <w:rFonts w:ascii="宋体" w:hAnsi="宋体" w:eastAsia="宋体" w:cs="宋体"/>
                <w:sz w:val="20"/>
                <w:szCs w:val="20"/>
              </w:rPr>
            </w:pPr>
            <w:r>
              <w:rPr>
                <w:rFonts w:ascii="宋体" w:hAnsi="宋体" w:eastAsia="宋体" w:cs="宋体"/>
                <w:spacing w:val="3"/>
                <w:sz w:val="20"/>
                <w:szCs w:val="20"/>
                <w14:textOutline w14:w="3797" w14:cap="sq" w14:cmpd="sng" w14:algn="ctr">
                  <w14:solidFill>
                    <w14:srgbClr w14:val="000000"/>
                  </w14:solidFill>
                  <w14:prstDash w14:val="solid"/>
                  <w14:bevel/>
                </w14:textOutline>
              </w:rPr>
              <w:t>型</w:t>
            </w:r>
            <w:r>
              <w:rPr>
                <w:rFonts w:ascii="宋体" w:hAnsi="宋体" w:eastAsia="宋体" w:cs="宋体"/>
                <w:spacing w:val="2"/>
                <w:sz w:val="20"/>
                <w:szCs w:val="20"/>
                <w14:textOutline w14:w="3797" w14:cap="sq" w14:cmpd="sng" w14:algn="ctr">
                  <w14:solidFill>
                    <w14:srgbClr w14:val="000000"/>
                  </w14:solidFill>
                  <w14:prstDash w14:val="solid"/>
                  <w14:bevel/>
                </w14:textOutline>
              </w:rPr>
              <w:t>号</w:t>
            </w:r>
          </w:p>
        </w:tc>
        <w:tc>
          <w:tcPr>
            <w:tcW w:w="1250" w:type="dxa"/>
          </w:tcPr>
          <w:p w14:paraId="44265908">
            <w:pPr>
              <w:spacing w:before="87" w:line="228" w:lineRule="auto"/>
              <w:ind w:left="421"/>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单位</w:t>
            </w:r>
          </w:p>
        </w:tc>
        <w:tc>
          <w:tcPr>
            <w:tcW w:w="2232" w:type="dxa"/>
            <w:tcBorders>
              <w:right w:val="nil"/>
            </w:tcBorders>
          </w:tcPr>
          <w:p w14:paraId="0E3262DF">
            <w:pPr>
              <w:spacing w:before="86" w:line="228" w:lineRule="auto"/>
              <w:ind w:left="913"/>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数量</w:t>
            </w:r>
          </w:p>
        </w:tc>
      </w:tr>
      <w:tr w14:paraId="34074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33" w:type="dxa"/>
            <w:vMerge w:val="restart"/>
            <w:tcBorders>
              <w:left w:val="nil"/>
              <w:bottom w:val="nil"/>
            </w:tcBorders>
          </w:tcPr>
          <w:p w14:paraId="4C2E8333">
            <w:pPr>
              <w:spacing w:line="244" w:lineRule="auto"/>
            </w:pPr>
          </w:p>
          <w:p w14:paraId="2F6C0F60">
            <w:pPr>
              <w:spacing w:line="244" w:lineRule="auto"/>
            </w:pPr>
          </w:p>
          <w:p w14:paraId="5F96932A">
            <w:pPr>
              <w:spacing w:line="244" w:lineRule="auto"/>
            </w:pPr>
          </w:p>
          <w:p w14:paraId="2E98A26D">
            <w:pPr>
              <w:spacing w:line="244" w:lineRule="auto"/>
            </w:pPr>
          </w:p>
          <w:p w14:paraId="309C0637">
            <w:pPr>
              <w:spacing w:line="245" w:lineRule="auto"/>
            </w:pPr>
          </w:p>
          <w:p w14:paraId="6CA744EB">
            <w:pPr>
              <w:spacing w:before="65" w:line="266" w:lineRule="auto"/>
              <w:ind w:left="569" w:right="141" w:hanging="420"/>
              <w:rPr>
                <w:rFonts w:ascii="宋体" w:hAnsi="宋体" w:eastAsia="宋体" w:cs="宋体"/>
                <w:sz w:val="20"/>
                <w:szCs w:val="20"/>
              </w:rPr>
            </w:pPr>
            <w:r>
              <w:rPr>
                <w:rFonts w:ascii="宋体" w:hAnsi="宋体" w:eastAsia="宋体" w:cs="宋体"/>
                <w:spacing w:val="8"/>
                <w:sz w:val="20"/>
                <w:szCs w:val="20"/>
              </w:rPr>
              <w:t>主要生产</w:t>
            </w:r>
            <w:r>
              <w:rPr>
                <w:rFonts w:ascii="宋体" w:hAnsi="宋体" w:eastAsia="宋体" w:cs="宋体"/>
                <w:spacing w:val="7"/>
                <w:sz w:val="20"/>
                <w:szCs w:val="20"/>
              </w:rPr>
              <w:t>设</w:t>
            </w:r>
            <w:r>
              <w:rPr>
                <w:rFonts w:ascii="宋体" w:hAnsi="宋体" w:eastAsia="宋体" w:cs="宋体"/>
                <w:sz w:val="20"/>
                <w:szCs w:val="20"/>
              </w:rPr>
              <w:t xml:space="preserve"> 备</w:t>
            </w:r>
          </w:p>
        </w:tc>
        <w:tc>
          <w:tcPr>
            <w:tcW w:w="2149" w:type="dxa"/>
          </w:tcPr>
          <w:p w14:paraId="680BDC83">
            <w:pPr>
              <w:spacing w:before="64" w:line="228" w:lineRule="auto"/>
              <w:ind w:left="869"/>
              <w:rPr>
                <w:rFonts w:ascii="宋体" w:hAnsi="宋体" w:eastAsia="宋体" w:cs="宋体"/>
                <w:sz w:val="20"/>
                <w:szCs w:val="20"/>
              </w:rPr>
            </w:pPr>
            <w:r>
              <w:rPr>
                <w:rFonts w:ascii="宋体" w:hAnsi="宋体" w:eastAsia="宋体" w:cs="宋体"/>
                <w:spacing w:val="5"/>
                <w:sz w:val="20"/>
                <w:szCs w:val="20"/>
              </w:rPr>
              <w:t>料</w:t>
            </w:r>
            <w:r>
              <w:rPr>
                <w:rFonts w:ascii="宋体" w:hAnsi="宋体" w:eastAsia="宋体" w:cs="宋体"/>
                <w:spacing w:val="4"/>
                <w:sz w:val="20"/>
                <w:szCs w:val="20"/>
              </w:rPr>
              <w:t>塔</w:t>
            </w:r>
          </w:p>
        </w:tc>
        <w:tc>
          <w:tcPr>
            <w:tcW w:w="2748" w:type="dxa"/>
          </w:tcPr>
          <w:p w14:paraId="2A177238">
            <w:pPr>
              <w:spacing w:before="101" w:line="195" w:lineRule="auto"/>
              <w:ind w:left="122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2"/>
                <w:sz w:val="20"/>
                <w:szCs w:val="20"/>
              </w:rPr>
              <w:t>5T</w:t>
            </w:r>
          </w:p>
        </w:tc>
        <w:tc>
          <w:tcPr>
            <w:tcW w:w="1250" w:type="dxa"/>
          </w:tcPr>
          <w:p w14:paraId="6085A602">
            <w:pPr>
              <w:spacing w:before="63" w:line="230" w:lineRule="auto"/>
              <w:ind w:left="541"/>
              <w:rPr>
                <w:rFonts w:ascii="宋体" w:hAnsi="宋体" w:eastAsia="宋体" w:cs="宋体"/>
                <w:sz w:val="20"/>
                <w:szCs w:val="20"/>
              </w:rPr>
            </w:pPr>
            <w:r>
              <w:rPr>
                <w:rFonts w:ascii="宋体" w:hAnsi="宋体" w:eastAsia="宋体" w:cs="宋体"/>
                <w:sz w:val="20"/>
                <w:szCs w:val="20"/>
              </w:rPr>
              <w:t>台</w:t>
            </w:r>
          </w:p>
        </w:tc>
        <w:tc>
          <w:tcPr>
            <w:tcW w:w="2232" w:type="dxa"/>
            <w:tcBorders>
              <w:right w:val="nil"/>
            </w:tcBorders>
          </w:tcPr>
          <w:p w14:paraId="023E8880">
            <w:pPr>
              <w:spacing w:before="101" w:line="195" w:lineRule="auto"/>
              <w:ind w:left="1075"/>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r>
      <w:tr w14:paraId="41B750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33" w:type="dxa"/>
            <w:vMerge w:val="continue"/>
            <w:tcBorders>
              <w:top w:val="nil"/>
              <w:left w:val="nil"/>
              <w:bottom w:val="nil"/>
            </w:tcBorders>
          </w:tcPr>
          <w:p w14:paraId="174626A5"/>
        </w:tc>
        <w:tc>
          <w:tcPr>
            <w:tcW w:w="2149" w:type="dxa"/>
          </w:tcPr>
          <w:p w14:paraId="7945375E">
            <w:pPr>
              <w:spacing w:before="64" w:line="228" w:lineRule="auto"/>
              <w:ind w:left="455"/>
              <w:rPr>
                <w:rFonts w:ascii="宋体" w:hAnsi="宋体" w:eastAsia="宋体" w:cs="宋体"/>
                <w:sz w:val="20"/>
                <w:szCs w:val="20"/>
              </w:rPr>
            </w:pPr>
            <w:r>
              <w:rPr>
                <w:rFonts w:ascii="宋体" w:hAnsi="宋体" w:eastAsia="宋体" w:cs="宋体"/>
                <w:spacing w:val="8"/>
                <w:sz w:val="20"/>
                <w:szCs w:val="20"/>
              </w:rPr>
              <w:t>空</w:t>
            </w:r>
            <w:r>
              <w:rPr>
                <w:rFonts w:ascii="宋体" w:hAnsi="宋体" w:eastAsia="宋体" w:cs="宋体"/>
                <w:spacing w:val="7"/>
                <w:sz w:val="20"/>
                <w:szCs w:val="20"/>
              </w:rPr>
              <w:t>气能水地暖</w:t>
            </w:r>
          </w:p>
        </w:tc>
        <w:tc>
          <w:tcPr>
            <w:tcW w:w="2748" w:type="dxa"/>
          </w:tcPr>
          <w:p w14:paraId="6F6A1086">
            <w:pPr>
              <w:spacing w:before="64" w:line="227" w:lineRule="auto"/>
              <w:ind w:left="865"/>
              <w:rPr>
                <w:rFonts w:ascii="Times New Roman" w:hAnsi="Times New Roman" w:eastAsia="Times New Roman" w:cs="Times New Roman"/>
                <w:sz w:val="20"/>
                <w:szCs w:val="20"/>
              </w:rPr>
            </w:pPr>
            <w:r>
              <w:rPr>
                <w:rFonts w:ascii="宋体" w:hAnsi="宋体" w:eastAsia="宋体" w:cs="宋体"/>
                <w:spacing w:val="-2"/>
                <w:sz w:val="20"/>
                <w:szCs w:val="20"/>
              </w:rPr>
              <w:t xml:space="preserve">主机 </w:t>
            </w:r>
            <w:r>
              <w:rPr>
                <w:rFonts w:ascii="Times New Roman" w:hAnsi="Times New Roman" w:eastAsia="Times New Roman" w:cs="Times New Roman"/>
                <w:spacing w:val="-2"/>
                <w:sz w:val="20"/>
                <w:szCs w:val="20"/>
              </w:rPr>
              <w:t>36KW</w:t>
            </w:r>
          </w:p>
        </w:tc>
        <w:tc>
          <w:tcPr>
            <w:tcW w:w="1250" w:type="dxa"/>
          </w:tcPr>
          <w:p w14:paraId="5308DCCA">
            <w:pPr>
              <w:spacing w:before="29" w:line="281" w:lineRule="exact"/>
              <w:ind w:left="594"/>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2232" w:type="dxa"/>
            <w:tcBorders>
              <w:right w:val="nil"/>
            </w:tcBorders>
          </w:tcPr>
          <w:p w14:paraId="160B11D2">
            <w:pPr>
              <w:spacing w:before="103" w:line="195" w:lineRule="auto"/>
              <w:ind w:left="90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2400</w:t>
            </w:r>
          </w:p>
        </w:tc>
      </w:tr>
      <w:tr w14:paraId="0A788B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333" w:type="dxa"/>
            <w:vMerge w:val="continue"/>
            <w:tcBorders>
              <w:top w:val="nil"/>
              <w:left w:val="nil"/>
              <w:bottom w:val="nil"/>
            </w:tcBorders>
          </w:tcPr>
          <w:p w14:paraId="3084D802"/>
        </w:tc>
        <w:tc>
          <w:tcPr>
            <w:tcW w:w="2149" w:type="dxa"/>
          </w:tcPr>
          <w:p w14:paraId="735F8D8E">
            <w:pPr>
              <w:spacing w:before="33" w:line="225" w:lineRule="auto"/>
              <w:ind w:left="744"/>
              <w:rPr>
                <w:rFonts w:ascii="宋体" w:hAnsi="宋体" w:eastAsia="宋体" w:cs="宋体"/>
                <w:sz w:val="20"/>
                <w:szCs w:val="20"/>
              </w:rPr>
            </w:pPr>
            <w:r>
              <w:rPr>
                <w:rFonts w:ascii="宋体" w:hAnsi="宋体" w:eastAsia="宋体" w:cs="宋体"/>
                <w:spacing w:val="7"/>
                <w:sz w:val="20"/>
                <w:szCs w:val="20"/>
              </w:rPr>
              <w:t>饮水</w:t>
            </w:r>
            <w:r>
              <w:rPr>
                <w:rFonts w:ascii="宋体" w:hAnsi="宋体" w:eastAsia="宋体" w:cs="宋体"/>
                <w:spacing w:val="6"/>
                <w:sz w:val="20"/>
                <w:szCs w:val="20"/>
              </w:rPr>
              <w:t>器</w:t>
            </w:r>
          </w:p>
        </w:tc>
        <w:tc>
          <w:tcPr>
            <w:tcW w:w="2748" w:type="dxa"/>
          </w:tcPr>
          <w:p w14:paraId="33C66FB5">
            <w:pPr>
              <w:spacing w:before="33" w:line="225" w:lineRule="auto"/>
              <w:ind w:left="112"/>
              <w:rPr>
                <w:rFonts w:ascii="宋体" w:hAnsi="宋体" w:eastAsia="宋体" w:cs="宋体"/>
                <w:sz w:val="20"/>
                <w:szCs w:val="20"/>
              </w:rPr>
            </w:pPr>
            <w:r>
              <w:rPr>
                <w:rFonts w:ascii="宋体" w:hAnsi="宋体" w:eastAsia="宋体" w:cs="宋体"/>
                <w:spacing w:val="10"/>
                <w:sz w:val="20"/>
                <w:szCs w:val="20"/>
              </w:rPr>
              <w:t>根</w:t>
            </w:r>
            <w:r>
              <w:rPr>
                <w:rFonts w:ascii="宋体" w:hAnsi="宋体" w:eastAsia="宋体" w:cs="宋体"/>
                <w:spacing w:val="9"/>
                <w:sz w:val="20"/>
                <w:szCs w:val="20"/>
              </w:rPr>
              <w:t>据业主实际采购过程确定</w:t>
            </w:r>
          </w:p>
        </w:tc>
        <w:tc>
          <w:tcPr>
            <w:tcW w:w="1250" w:type="dxa"/>
          </w:tcPr>
          <w:p w14:paraId="5EB8349D">
            <w:pPr>
              <w:spacing w:before="33" w:line="225" w:lineRule="auto"/>
              <w:ind w:left="532"/>
              <w:rPr>
                <w:rFonts w:ascii="宋体" w:hAnsi="宋体" w:eastAsia="宋体" w:cs="宋体"/>
                <w:sz w:val="20"/>
                <w:szCs w:val="20"/>
              </w:rPr>
            </w:pPr>
            <w:r>
              <w:rPr>
                <w:rFonts w:ascii="宋体" w:hAnsi="宋体" w:eastAsia="宋体" w:cs="宋体"/>
                <w:sz w:val="20"/>
                <w:szCs w:val="20"/>
              </w:rPr>
              <w:t>个</w:t>
            </w:r>
          </w:p>
        </w:tc>
        <w:tc>
          <w:tcPr>
            <w:tcW w:w="2232" w:type="dxa"/>
            <w:tcBorders>
              <w:right w:val="nil"/>
            </w:tcBorders>
          </w:tcPr>
          <w:p w14:paraId="5BC75E46">
            <w:pPr>
              <w:spacing w:before="68" w:line="195" w:lineRule="auto"/>
              <w:ind w:left="76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1056</w:t>
            </w:r>
          </w:p>
        </w:tc>
      </w:tr>
      <w:tr w14:paraId="71D8C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33" w:type="dxa"/>
            <w:vMerge w:val="continue"/>
            <w:tcBorders>
              <w:top w:val="nil"/>
              <w:left w:val="nil"/>
              <w:bottom w:val="nil"/>
            </w:tcBorders>
          </w:tcPr>
          <w:p w14:paraId="4D8139AF"/>
        </w:tc>
        <w:tc>
          <w:tcPr>
            <w:tcW w:w="2149" w:type="dxa"/>
          </w:tcPr>
          <w:p w14:paraId="718EC8B6">
            <w:pPr>
              <w:spacing w:before="68" w:line="228" w:lineRule="auto"/>
              <w:ind w:left="567"/>
              <w:rPr>
                <w:rFonts w:ascii="宋体" w:hAnsi="宋体" w:eastAsia="宋体" w:cs="宋体"/>
                <w:sz w:val="20"/>
                <w:szCs w:val="20"/>
              </w:rPr>
            </w:pPr>
            <w:r>
              <w:rPr>
                <w:rFonts w:ascii="宋体" w:hAnsi="宋体" w:eastAsia="宋体" w:cs="宋体"/>
                <w:spacing w:val="4"/>
                <w:sz w:val="20"/>
                <w:szCs w:val="20"/>
              </w:rPr>
              <w:t>自</w:t>
            </w:r>
            <w:r>
              <w:rPr>
                <w:rFonts w:ascii="宋体" w:hAnsi="宋体" w:eastAsia="宋体" w:cs="宋体"/>
                <w:spacing w:val="3"/>
                <w:sz w:val="20"/>
                <w:szCs w:val="20"/>
              </w:rPr>
              <w:t>动</w:t>
            </w:r>
            <w:r>
              <w:rPr>
                <w:rFonts w:ascii="宋体" w:hAnsi="宋体" w:eastAsia="宋体" w:cs="宋体"/>
                <w:spacing w:val="2"/>
                <w:sz w:val="20"/>
                <w:szCs w:val="20"/>
              </w:rPr>
              <w:t>喂料系统</w:t>
            </w:r>
          </w:p>
        </w:tc>
        <w:tc>
          <w:tcPr>
            <w:tcW w:w="2748" w:type="dxa"/>
          </w:tcPr>
          <w:p w14:paraId="0DB6DBAA">
            <w:pPr>
              <w:spacing w:before="67" w:line="227" w:lineRule="auto"/>
              <w:ind w:left="112"/>
              <w:rPr>
                <w:rFonts w:ascii="宋体" w:hAnsi="宋体" w:eastAsia="宋体" w:cs="宋体"/>
                <w:sz w:val="20"/>
                <w:szCs w:val="20"/>
              </w:rPr>
            </w:pPr>
            <w:r>
              <w:rPr>
                <w:rFonts w:ascii="宋体" w:hAnsi="宋体" w:eastAsia="宋体" w:cs="宋体"/>
                <w:spacing w:val="10"/>
                <w:sz w:val="20"/>
                <w:szCs w:val="20"/>
              </w:rPr>
              <w:t>根</w:t>
            </w:r>
            <w:r>
              <w:rPr>
                <w:rFonts w:ascii="宋体" w:hAnsi="宋体" w:eastAsia="宋体" w:cs="宋体"/>
                <w:spacing w:val="9"/>
                <w:sz w:val="20"/>
                <w:szCs w:val="20"/>
              </w:rPr>
              <w:t>据业主实际采购过程确定</w:t>
            </w:r>
          </w:p>
        </w:tc>
        <w:tc>
          <w:tcPr>
            <w:tcW w:w="1250" w:type="dxa"/>
          </w:tcPr>
          <w:p w14:paraId="3B15D1D0">
            <w:pPr>
              <w:spacing w:before="68" w:line="228" w:lineRule="auto"/>
              <w:ind w:left="533"/>
              <w:rPr>
                <w:rFonts w:ascii="宋体" w:hAnsi="宋体" w:eastAsia="宋体" w:cs="宋体"/>
                <w:sz w:val="20"/>
                <w:szCs w:val="20"/>
              </w:rPr>
            </w:pPr>
            <w:r>
              <w:rPr>
                <w:rFonts w:ascii="宋体" w:hAnsi="宋体" w:eastAsia="宋体" w:cs="宋体"/>
                <w:sz w:val="20"/>
                <w:szCs w:val="20"/>
              </w:rPr>
              <w:t>套</w:t>
            </w:r>
          </w:p>
        </w:tc>
        <w:tc>
          <w:tcPr>
            <w:tcW w:w="2232" w:type="dxa"/>
            <w:tcBorders>
              <w:right w:val="nil"/>
            </w:tcBorders>
          </w:tcPr>
          <w:p w14:paraId="4F1EF639">
            <w:pPr>
              <w:spacing w:before="103" w:line="195" w:lineRule="auto"/>
              <w:ind w:left="959"/>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r>
      <w:tr w14:paraId="0AE74B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33" w:type="dxa"/>
            <w:vMerge w:val="continue"/>
            <w:tcBorders>
              <w:top w:val="nil"/>
              <w:left w:val="nil"/>
              <w:bottom w:val="nil"/>
            </w:tcBorders>
          </w:tcPr>
          <w:p w14:paraId="23F7032C"/>
        </w:tc>
        <w:tc>
          <w:tcPr>
            <w:tcW w:w="2149" w:type="dxa"/>
          </w:tcPr>
          <w:p w14:paraId="564169F4">
            <w:pPr>
              <w:spacing w:before="67" w:line="227" w:lineRule="auto"/>
              <w:ind w:left="870"/>
              <w:rPr>
                <w:rFonts w:ascii="宋体" w:hAnsi="宋体" w:eastAsia="宋体" w:cs="宋体"/>
                <w:sz w:val="20"/>
                <w:szCs w:val="20"/>
              </w:rPr>
            </w:pPr>
            <w:r>
              <w:rPr>
                <w:rFonts w:ascii="宋体" w:hAnsi="宋体" w:eastAsia="宋体" w:cs="宋体"/>
                <w:spacing w:val="4"/>
                <w:sz w:val="20"/>
                <w:szCs w:val="20"/>
              </w:rPr>
              <w:t>风机</w:t>
            </w:r>
          </w:p>
        </w:tc>
        <w:tc>
          <w:tcPr>
            <w:tcW w:w="2748" w:type="dxa"/>
          </w:tcPr>
          <w:p w14:paraId="268A8D9C">
            <w:pPr>
              <w:spacing w:before="30" w:line="281" w:lineRule="exact"/>
              <w:ind w:left="1032"/>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#50/#24</w:t>
            </w:r>
          </w:p>
        </w:tc>
        <w:tc>
          <w:tcPr>
            <w:tcW w:w="1250" w:type="dxa"/>
          </w:tcPr>
          <w:p w14:paraId="2C675697">
            <w:pPr>
              <w:spacing w:before="67" w:line="230" w:lineRule="auto"/>
              <w:ind w:left="541"/>
              <w:rPr>
                <w:rFonts w:ascii="宋体" w:hAnsi="宋体" w:eastAsia="宋体" w:cs="宋体"/>
                <w:sz w:val="20"/>
                <w:szCs w:val="20"/>
              </w:rPr>
            </w:pPr>
            <w:r>
              <w:rPr>
                <w:rFonts w:ascii="宋体" w:hAnsi="宋体" w:eastAsia="宋体" w:cs="宋体"/>
                <w:sz w:val="20"/>
                <w:szCs w:val="20"/>
              </w:rPr>
              <w:t>台</w:t>
            </w:r>
          </w:p>
        </w:tc>
        <w:tc>
          <w:tcPr>
            <w:tcW w:w="2232" w:type="dxa"/>
            <w:tcBorders>
              <w:right w:val="nil"/>
            </w:tcBorders>
          </w:tcPr>
          <w:p w14:paraId="1371AC2F">
            <w:pPr>
              <w:spacing w:before="103" w:line="195" w:lineRule="auto"/>
              <w:ind w:left="102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w:t>
            </w:r>
            <w:r>
              <w:rPr>
                <w:rFonts w:ascii="Times New Roman" w:hAnsi="Times New Roman" w:eastAsia="Times New Roman" w:cs="Times New Roman"/>
                <w:spacing w:val="-1"/>
                <w:sz w:val="20"/>
                <w:szCs w:val="20"/>
              </w:rPr>
              <w:t>0</w:t>
            </w:r>
          </w:p>
        </w:tc>
      </w:tr>
      <w:tr w14:paraId="6E097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33" w:type="dxa"/>
            <w:vMerge w:val="continue"/>
            <w:tcBorders>
              <w:top w:val="nil"/>
              <w:left w:val="nil"/>
              <w:bottom w:val="nil"/>
            </w:tcBorders>
          </w:tcPr>
          <w:p w14:paraId="6658E6E4"/>
        </w:tc>
        <w:tc>
          <w:tcPr>
            <w:tcW w:w="2149" w:type="dxa"/>
          </w:tcPr>
          <w:p w14:paraId="7B9E9536">
            <w:pPr>
              <w:spacing w:before="69" w:line="228" w:lineRule="auto"/>
              <w:ind w:left="871"/>
              <w:rPr>
                <w:rFonts w:ascii="宋体" w:hAnsi="宋体" w:eastAsia="宋体" w:cs="宋体"/>
                <w:sz w:val="20"/>
                <w:szCs w:val="20"/>
              </w:rPr>
            </w:pPr>
            <w:r>
              <w:rPr>
                <w:rFonts w:ascii="宋体" w:hAnsi="宋体" w:eastAsia="宋体" w:cs="宋体"/>
                <w:spacing w:val="4"/>
                <w:sz w:val="20"/>
                <w:szCs w:val="20"/>
              </w:rPr>
              <w:t>水</w:t>
            </w:r>
            <w:r>
              <w:rPr>
                <w:rFonts w:ascii="宋体" w:hAnsi="宋体" w:eastAsia="宋体" w:cs="宋体"/>
                <w:spacing w:val="3"/>
                <w:sz w:val="20"/>
                <w:szCs w:val="20"/>
              </w:rPr>
              <w:t>帘</w:t>
            </w:r>
          </w:p>
        </w:tc>
        <w:tc>
          <w:tcPr>
            <w:tcW w:w="2748" w:type="dxa"/>
          </w:tcPr>
          <w:p w14:paraId="0DCF3766">
            <w:pPr>
              <w:spacing w:before="69" w:line="230" w:lineRule="auto"/>
              <w:ind w:left="1031"/>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3"/>
                <w:sz w:val="20"/>
                <w:szCs w:val="20"/>
              </w:rPr>
              <w:t>5</w:t>
            </w:r>
            <w:r>
              <w:rPr>
                <w:rFonts w:ascii="Times New Roman" w:hAnsi="Times New Roman" w:eastAsia="Times New Roman" w:cs="Times New Roman"/>
                <w:sz w:val="20"/>
                <w:szCs w:val="20"/>
              </w:rPr>
              <w:t>cm</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厚</w:t>
            </w:r>
          </w:p>
        </w:tc>
        <w:tc>
          <w:tcPr>
            <w:tcW w:w="1250" w:type="dxa"/>
          </w:tcPr>
          <w:p w14:paraId="618D046B">
            <w:pPr>
              <w:spacing w:before="69" w:line="228" w:lineRule="auto"/>
              <w:ind w:left="315"/>
              <w:rPr>
                <w:rFonts w:ascii="宋体" w:hAnsi="宋体" w:eastAsia="宋体" w:cs="宋体"/>
                <w:sz w:val="20"/>
                <w:szCs w:val="20"/>
              </w:rPr>
            </w:pPr>
            <w:r>
              <w:rPr>
                <w:rFonts w:ascii="宋体" w:hAnsi="宋体" w:eastAsia="宋体" w:cs="宋体"/>
                <w:spacing w:val="7"/>
                <w:sz w:val="20"/>
                <w:szCs w:val="20"/>
              </w:rPr>
              <w:t>平方米</w:t>
            </w:r>
          </w:p>
        </w:tc>
        <w:tc>
          <w:tcPr>
            <w:tcW w:w="2232" w:type="dxa"/>
            <w:tcBorders>
              <w:right w:val="nil"/>
            </w:tcBorders>
          </w:tcPr>
          <w:p w14:paraId="79EF57D5">
            <w:pPr>
              <w:spacing w:before="105" w:line="195" w:lineRule="auto"/>
              <w:ind w:left="96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w:t>
            </w:r>
            <w:r>
              <w:rPr>
                <w:rFonts w:ascii="Times New Roman" w:hAnsi="Times New Roman" w:eastAsia="Times New Roman" w:cs="Times New Roman"/>
                <w:spacing w:val="2"/>
                <w:sz w:val="20"/>
                <w:szCs w:val="20"/>
              </w:rPr>
              <w:t>10</w:t>
            </w:r>
          </w:p>
        </w:tc>
      </w:tr>
      <w:tr w14:paraId="6F9300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33" w:type="dxa"/>
            <w:vMerge w:val="continue"/>
            <w:tcBorders>
              <w:top w:val="nil"/>
              <w:left w:val="nil"/>
              <w:bottom w:val="nil"/>
            </w:tcBorders>
          </w:tcPr>
          <w:p w14:paraId="7BAE3434"/>
        </w:tc>
        <w:tc>
          <w:tcPr>
            <w:tcW w:w="2149" w:type="dxa"/>
          </w:tcPr>
          <w:p w14:paraId="6515B024">
            <w:pPr>
              <w:spacing w:before="67" w:line="228" w:lineRule="auto"/>
              <w:ind w:left="763"/>
              <w:rPr>
                <w:rFonts w:ascii="宋体" w:hAnsi="宋体" w:eastAsia="宋体" w:cs="宋体"/>
                <w:sz w:val="20"/>
                <w:szCs w:val="20"/>
              </w:rPr>
            </w:pPr>
            <w:r>
              <w:rPr>
                <w:rFonts w:ascii="宋体" w:hAnsi="宋体" w:eastAsia="宋体" w:cs="宋体"/>
                <w:spacing w:val="7"/>
                <w:sz w:val="20"/>
                <w:szCs w:val="20"/>
              </w:rPr>
              <w:t>环控</w:t>
            </w:r>
            <w:r>
              <w:rPr>
                <w:rFonts w:ascii="宋体" w:hAnsi="宋体" w:eastAsia="宋体" w:cs="宋体"/>
                <w:spacing w:val="6"/>
                <w:sz w:val="20"/>
                <w:szCs w:val="20"/>
              </w:rPr>
              <w:t>器</w:t>
            </w:r>
          </w:p>
        </w:tc>
        <w:tc>
          <w:tcPr>
            <w:tcW w:w="2748" w:type="dxa"/>
          </w:tcPr>
          <w:p w14:paraId="0C133BA9">
            <w:pPr>
              <w:spacing w:before="67" w:line="227" w:lineRule="auto"/>
              <w:ind w:left="112"/>
              <w:rPr>
                <w:rFonts w:ascii="宋体" w:hAnsi="宋体" w:eastAsia="宋体" w:cs="宋体"/>
                <w:sz w:val="20"/>
                <w:szCs w:val="20"/>
              </w:rPr>
            </w:pPr>
            <w:r>
              <w:rPr>
                <w:rFonts w:ascii="宋体" w:hAnsi="宋体" w:eastAsia="宋体" w:cs="宋体"/>
                <w:spacing w:val="10"/>
                <w:sz w:val="20"/>
                <w:szCs w:val="20"/>
              </w:rPr>
              <w:t>根</w:t>
            </w:r>
            <w:r>
              <w:rPr>
                <w:rFonts w:ascii="宋体" w:hAnsi="宋体" w:eastAsia="宋体" w:cs="宋体"/>
                <w:spacing w:val="9"/>
                <w:sz w:val="20"/>
                <w:szCs w:val="20"/>
              </w:rPr>
              <w:t>据业主实际采购过程确定</w:t>
            </w:r>
          </w:p>
        </w:tc>
        <w:tc>
          <w:tcPr>
            <w:tcW w:w="1250" w:type="dxa"/>
          </w:tcPr>
          <w:p w14:paraId="58E4690E">
            <w:pPr>
              <w:spacing w:before="67" w:line="230" w:lineRule="auto"/>
              <w:ind w:left="541"/>
              <w:rPr>
                <w:rFonts w:ascii="宋体" w:hAnsi="宋体" w:eastAsia="宋体" w:cs="宋体"/>
                <w:sz w:val="20"/>
                <w:szCs w:val="20"/>
              </w:rPr>
            </w:pPr>
            <w:r>
              <w:rPr>
                <w:rFonts w:ascii="宋体" w:hAnsi="宋体" w:eastAsia="宋体" w:cs="宋体"/>
                <w:sz w:val="20"/>
                <w:szCs w:val="20"/>
              </w:rPr>
              <w:t>台</w:t>
            </w:r>
          </w:p>
        </w:tc>
        <w:tc>
          <w:tcPr>
            <w:tcW w:w="2232" w:type="dxa"/>
            <w:tcBorders>
              <w:right w:val="nil"/>
            </w:tcBorders>
          </w:tcPr>
          <w:p w14:paraId="4D9F33CC">
            <w:pPr>
              <w:spacing w:before="105" w:line="195" w:lineRule="auto"/>
              <w:ind w:left="1075"/>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r>
      <w:tr w14:paraId="5893B5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33" w:type="dxa"/>
            <w:vMerge w:val="continue"/>
            <w:tcBorders>
              <w:top w:val="nil"/>
              <w:left w:val="nil"/>
              <w:bottom w:val="nil"/>
            </w:tcBorders>
          </w:tcPr>
          <w:p w14:paraId="758D2E48"/>
        </w:tc>
        <w:tc>
          <w:tcPr>
            <w:tcW w:w="2149" w:type="dxa"/>
          </w:tcPr>
          <w:p w14:paraId="443566BC">
            <w:pPr>
              <w:spacing w:before="67" w:line="228" w:lineRule="auto"/>
              <w:ind w:left="768"/>
              <w:rPr>
                <w:rFonts w:ascii="宋体" w:hAnsi="宋体" w:eastAsia="宋体" w:cs="宋体"/>
                <w:sz w:val="20"/>
                <w:szCs w:val="20"/>
              </w:rPr>
            </w:pPr>
            <w:r>
              <w:rPr>
                <w:rFonts w:ascii="宋体" w:hAnsi="宋体" w:eastAsia="宋体" w:cs="宋体"/>
                <w:spacing w:val="6"/>
                <w:sz w:val="20"/>
                <w:szCs w:val="20"/>
              </w:rPr>
              <w:t>消</w:t>
            </w:r>
            <w:r>
              <w:rPr>
                <w:rFonts w:ascii="宋体" w:hAnsi="宋体" w:eastAsia="宋体" w:cs="宋体"/>
                <w:spacing w:val="5"/>
                <w:sz w:val="20"/>
                <w:szCs w:val="20"/>
              </w:rPr>
              <w:t>毒柜</w:t>
            </w:r>
          </w:p>
        </w:tc>
        <w:tc>
          <w:tcPr>
            <w:tcW w:w="2748" w:type="dxa"/>
          </w:tcPr>
          <w:p w14:paraId="4FB30766">
            <w:pPr>
              <w:spacing w:before="67" w:line="227" w:lineRule="auto"/>
              <w:ind w:left="112"/>
              <w:rPr>
                <w:rFonts w:ascii="宋体" w:hAnsi="宋体" w:eastAsia="宋体" w:cs="宋体"/>
                <w:sz w:val="20"/>
                <w:szCs w:val="20"/>
              </w:rPr>
            </w:pPr>
            <w:r>
              <w:rPr>
                <w:rFonts w:ascii="宋体" w:hAnsi="宋体" w:eastAsia="宋体" w:cs="宋体"/>
                <w:spacing w:val="10"/>
                <w:sz w:val="20"/>
                <w:szCs w:val="20"/>
              </w:rPr>
              <w:t>根</w:t>
            </w:r>
            <w:r>
              <w:rPr>
                <w:rFonts w:ascii="宋体" w:hAnsi="宋体" w:eastAsia="宋体" w:cs="宋体"/>
                <w:spacing w:val="9"/>
                <w:sz w:val="20"/>
                <w:szCs w:val="20"/>
              </w:rPr>
              <w:t>据业主实际采购过程确定</w:t>
            </w:r>
          </w:p>
        </w:tc>
        <w:tc>
          <w:tcPr>
            <w:tcW w:w="1250" w:type="dxa"/>
          </w:tcPr>
          <w:p w14:paraId="222FAA60">
            <w:pPr>
              <w:spacing w:before="67" w:line="230" w:lineRule="auto"/>
              <w:ind w:left="541"/>
              <w:rPr>
                <w:rFonts w:ascii="宋体" w:hAnsi="宋体" w:eastAsia="宋体" w:cs="宋体"/>
                <w:sz w:val="20"/>
                <w:szCs w:val="20"/>
              </w:rPr>
            </w:pPr>
            <w:r>
              <w:rPr>
                <w:rFonts w:ascii="宋体" w:hAnsi="宋体" w:eastAsia="宋体" w:cs="宋体"/>
                <w:sz w:val="20"/>
                <w:szCs w:val="20"/>
              </w:rPr>
              <w:t>台</w:t>
            </w:r>
          </w:p>
        </w:tc>
        <w:tc>
          <w:tcPr>
            <w:tcW w:w="2232" w:type="dxa"/>
            <w:tcBorders>
              <w:right w:val="nil"/>
            </w:tcBorders>
          </w:tcPr>
          <w:p w14:paraId="19A7E1F2">
            <w:pPr>
              <w:spacing w:before="106" w:line="195" w:lineRule="auto"/>
              <w:ind w:left="106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r>
      <w:tr w14:paraId="5F4F29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33" w:type="dxa"/>
            <w:vMerge w:val="continue"/>
            <w:tcBorders>
              <w:top w:val="nil"/>
              <w:left w:val="nil"/>
            </w:tcBorders>
          </w:tcPr>
          <w:p w14:paraId="35B2CF8B"/>
        </w:tc>
        <w:tc>
          <w:tcPr>
            <w:tcW w:w="2149" w:type="dxa"/>
          </w:tcPr>
          <w:p w14:paraId="27D0DF50">
            <w:pPr>
              <w:spacing w:before="67" w:line="228" w:lineRule="auto"/>
              <w:ind w:left="556"/>
              <w:rPr>
                <w:rFonts w:ascii="宋体" w:hAnsi="宋体" w:eastAsia="宋体" w:cs="宋体"/>
                <w:sz w:val="20"/>
                <w:szCs w:val="20"/>
              </w:rPr>
            </w:pPr>
            <w:r>
              <w:rPr>
                <w:rFonts w:ascii="宋体" w:hAnsi="宋体" w:eastAsia="宋体" w:cs="宋体"/>
                <w:spacing w:val="8"/>
                <w:sz w:val="20"/>
                <w:szCs w:val="20"/>
              </w:rPr>
              <w:t>数显温度</w:t>
            </w:r>
            <w:r>
              <w:rPr>
                <w:rFonts w:ascii="宋体" w:hAnsi="宋体" w:eastAsia="宋体" w:cs="宋体"/>
                <w:spacing w:val="7"/>
                <w:sz w:val="20"/>
                <w:szCs w:val="20"/>
              </w:rPr>
              <w:t>计</w:t>
            </w:r>
          </w:p>
        </w:tc>
        <w:tc>
          <w:tcPr>
            <w:tcW w:w="2748" w:type="dxa"/>
          </w:tcPr>
          <w:p w14:paraId="1313D569">
            <w:pPr>
              <w:spacing w:before="68" w:line="227" w:lineRule="auto"/>
              <w:ind w:left="112"/>
              <w:rPr>
                <w:rFonts w:ascii="宋体" w:hAnsi="宋体" w:eastAsia="宋体" w:cs="宋体"/>
                <w:sz w:val="20"/>
                <w:szCs w:val="20"/>
              </w:rPr>
            </w:pPr>
            <w:r>
              <w:rPr>
                <w:rFonts w:ascii="宋体" w:hAnsi="宋体" w:eastAsia="宋体" w:cs="宋体"/>
                <w:spacing w:val="10"/>
                <w:sz w:val="20"/>
                <w:szCs w:val="20"/>
              </w:rPr>
              <w:t>根</w:t>
            </w:r>
            <w:r>
              <w:rPr>
                <w:rFonts w:ascii="宋体" w:hAnsi="宋体" w:eastAsia="宋体" w:cs="宋体"/>
                <w:spacing w:val="9"/>
                <w:sz w:val="20"/>
                <w:szCs w:val="20"/>
              </w:rPr>
              <w:t>据业主实际采购过程确定</w:t>
            </w:r>
          </w:p>
        </w:tc>
        <w:tc>
          <w:tcPr>
            <w:tcW w:w="1250" w:type="dxa"/>
          </w:tcPr>
          <w:p w14:paraId="7AEECC59">
            <w:pPr>
              <w:spacing w:before="67" w:line="228" w:lineRule="auto"/>
              <w:ind w:left="525"/>
              <w:rPr>
                <w:rFonts w:ascii="宋体" w:hAnsi="宋体" w:eastAsia="宋体" w:cs="宋体"/>
                <w:sz w:val="20"/>
                <w:szCs w:val="20"/>
              </w:rPr>
            </w:pPr>
            <w:r>
              <w:rPr>
                <w:rFonts w:ascii="宋体" w:hAnsi="宋体" w:eastAsia="宋体" w:cs="宋体"/>
                <w:sz w:val="20"/>
                <w:szCs w:val="20"/>
              </w:rPr>
              <w:t>个</w:t>
            </w:r>
          </w:p>
        </w:tc>
        <w:tc>
          <w:tcPr>
            <w:tcW w:w="2232" w:type="dxa"/>
            <w:tcBorders>
              <w:right w:val="nil"/>
            </w:tcBorders>
          </w:tcPr>
          <w:p w14:paraId="36225CCE">
            <w:pPr>
              <w:spacing w:before="104" w:line="195" w:lineRule="auto"/>
              <w:ind w:left="1075"/>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r>
      <w:tr w14:paraId="183B0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33" w:type="dxa"/>
            <w:vMerge w:val="restart"/>
            <w:tcBorders>
              <w:left w:val="nil"/>
              <w:bottom w:val="nil"/>
            </w:tcBorders>
          </w:tcPr>
          <w:p w14:paraId="7AE58B04">
            <w:pPr>
              <w:spacing w:before="106" w:line="266" w:lineRule="auto"/>
              <w:ind w:left="569" w:right="141" w:hanging="420"/>
              <w:rPr>
                <w:rFonts w:ascii="宋体" w:hAnsi="宋体" w:eastAsia="宋体" w:cs="宋体"/>
                <w:sz w:val="20"/>
                <w:szCs w:val="20"/>
              </w:rPr>
            </w:pPr>
            <w:r>
              <w:rPr>
                <w:rFonts w:ascii="宋体" w:hAnsi="宋体" w:eastAsia="宋体" w:cs="宋体"/>
                <w:spacing w:val="8"/>
                <w:sz w:val="20"/>
                <w:szCs w:val="20"/>
              </w:rPr>
              <w:t>辅助生产</w:t>
            </w:r>
            <w:r>
              <w:rPr>
                <w:rFonts w:ascii="宋体" w:hAnsi="宋体" w:eastAsia="宋体" w:cs="宋体"/>
                <w:spacing w:val="7"/>
                <w:sz w:val="20"/>
                <w:szCs w:val="20"/>
              </w:rPr>
              <w:t>设</w:t>
            </w:r>
            <w:r>
              <w:rPr>
                <w:rFonts w:ascii="宋体" w:hAnsi="宋体" w:eastAsia="宋体" w:cs="宋体"/>
                <w:sz w:val="20"/>
                <w:szCs w:val="20"/>
              </w:rPr>
              <w:t xml:space="preserve"> 备</w:t>
            </w:r>
          </w:p>
        </w:tc>
        <w:tc>
          <w:tcPr>
            <w:tcW w:w="2149" w:type="dxa"/>
          </w:tcPr>
          <w:p w14:paraId="53130F5D">
            <w:pPr>
              <w:spacing w:before="68" w:line="228" w:lineRule="auto"/>
              <w:ind w:left="560"/>
              <w:rPr>
                <w:rFonts w:ascii="宋体" w:hAnsi="宋体" w:eastAsia="宋体" w:cs="宋体"/>
                <w:sz w:val="20"/>
                <w:szCs w:val="20"/>
              </w:rPr>
            </w:pPr>
            <w:r>
              <w:rPr>
                <w:rFonts w:ascii="宋体" w:hAnsi="宋体" w:eastAsia="宋体" w:cs="宋体"/>
                <w:spacing w:val="7"/>
                <w:sz w:val="20"/>
                <w:szCs w:val="20"/>
              </w:rPr>
              <w:t>高压消毒器</w:t>
            </w:r>
          </w:p>
        </w:tc>
        <w:tc>
          <w:tcPr>
            <w:tcW w:w="2748" w:type="dxa"/>
          </w:tcPr>
          <w:p w14:paraId="1D4146D1">
            <w:pPr>
              <w:spacing w:before="68" w:line="227" w:lineRule="auto"/>
              <w:ind w:left="112"/>
              <w:rPr>
                <w:rFonts w:ascii="宋体" w:hAnsi="宋体" w:eastAsia="宋体" w:cs="宋体"/>
                <w:sz w:val="20"/>
                <w:szCs w:val="20"/>
              </w:rPr>
            </w:pPr>
            <w:r>
              <w:rPr>
                <w:rFonts w:ascii="宋体" w:hAnsi="宋体" w:eastAsia="宋体" w:cs="宋体"/>
                <w:spacing w:val="10"/>
                <w:sz w:val="20"/>
                <w:szCs w:val="20"/>
              </w:rPr>
              <w:t>根</w:t>
            </w:r>
            <w:r>
              <w:rPr>
                <w:rFonts w:ascii="宋体" w:hAnsi="宋体" w:eastAsia="宋体" w:cs="宋体"/>
                <w:spacing w:val="9"/>
                <w:sz w:val="20"/>
                <w:szCs w:val="20"/>
              </w:rPr>
              <w:t>据业主实际采购过程确定</w:t>
            </w:r>
          </w:p>
        </w:tc>
        <w:tc>
          <w:tcPr>
            <w:tcW w:w="1250" w:type="dxa"/>
          </w:tcPr>
          <w:p w14:paraId="6C468635">
            <w:pPr>
              <w:spacing w:before="68" w:line="230" w:lineRule="auto"/>
              <w:ind w:left="541"/>
              <w:rPr>
                <w:rFonts w:ascii="宋体" w:hAnsi="宋体" w:eastAsia="宋体" w:cs="宋体"/>
                <w:sz w:val="20"/>
                <w:szCs w:val="20"/>
              </w:rPr>
            </w:pPr>
            <w:r>
              <w:rPr>
                <w:rFonts w:ascii="宋体" w:hAnsi="宋体" w:eastAsia="宋体" w:cs="宋体"/>
                <w:sz w:val="20"/>
                <w:szCs w:val="20"/>
              </w:rPr>
              <w:t>台</w:t>
            </w:r>
          </w:p>
        </w:tc>
        <w:tc>
          <w:tcPr>
            <w:tcW w:w="2232" w:type="dxa"/>
            <w:tcBorders>
              <w:right w:val="nil"/>
            </w:tcBorders>
          </w:tcPr>
          <w:p w14:paraId="689787A0">
            <w:pPr>
              <w:spacing w:before="104" w:line="195" w:lineRule="auto"/>
              <w:ind w:left="106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r>
      <w:tr w14:paraId="6DB42F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33" w:type="dxa"/>
            <w:vMerge w:val="continue"/>
            <w:tcBorders>
              <w:top w:val="nil"/>
              <w:left w:val="nil"/>
            </w:tcBorders>
          </w:tcPr>
          <w:p w14:paraId="2B707761"/>
        </w:tc>
        <w:tc>
          <w:tcPr>
            <w:tcW w:w="2149" w:type="dxa"/>
          </w:tcPr>
          <w:p w14:paraId="14A08A4D">
            <w:pPr>
              <w:spacing w:before="68" w:line="228" w:lineRule="auto"/>
              <w:ind w:left="869"/>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4"/>
                <w:sz w:val="20"/>
                <w:szCs w:val="20"/>
              </w:rPr>
              <w:t>磅</w:t>
            </w:r>
          </w:p>
        </w:tc>
        <w:tc>
          <w:tcPr>
            <w:tcW w:w="2748" w:type="dxa"/>
          </w:tcPr>
          <w:p w14:paraId="6DE65914">
            <w:pPr>
              <w:spacing w:before="107" w:line="192" w:lineRule="auto"/>
              <w:ind w:left="1263"/>
              <w:rPr>
                <w:rFonts w:ascii="Times New Roman" w:hAnsi="Times New Roman" w:eastAsia="Times New Roman" w:cs="Times New Roman"/>
                <w:sz w:val="20"/>
                <w:szCs w:val="20"/>
              </w:rPr>
            </w:pPr>
            <w:r>
              <w:rPr>
                <w:rFonts w:ascii="Times New Roman" w:hAnsi="Times New Roman" w:eastAsia="Times New Roman" w:cs="Times New Roman"/>
                <w:sz w:val="20"/>
                <w:szCs w:val="20"/>
              </w:rPr>
              <w:t>5T</w:t>
            </w:r>
          </w:p>
        </w:tc>
        <w:tc>
          <w:tcPr>
            <w:tcW w:w="1250" w:type="dxa"/>
          </w:tcPr>
          <w:p w14:paraId="38F43B71">
            <w:pPr>
              <w:spacing w:before="68" w:line="230" w:lineRule="auto"/>
              <w:ind w:left="541"/>
              <w:rPr>
                <w:rFonts w:ascii="宋体" w:hAnsi="宋体" w:eastAsia="宋体" w:cs="宋体"/>
                <w:sz w:val="20"/>
                <w:szCs w:val="20"/>
              </w:rPr>
            </w:pPr>
            <w:r>
              <w:rPr>
                <w:rFonts w:ascii="宋体" w:hAnsi="宋体" w:eastAsia="宋体" w:cs="宋体"/>
                <w:sz w:val="20"/>
                <w:szCs w:val="20"/>
              </w:rPr>
              <w:t>台</w:t>
            </w:r>
          </w:p>
        </w:tc>
        <w:tc>
          <w:tcPr>
            <w:tcW w:w="2232" w:type="dxa"/>
            <w:tcBorders>
              <w:right w:val="nil"/>
            </w:tcBorders>
          </w:tcPr>
          <w:p w14:paraId="0C993C8A">
            <w:pPr>
              <w:spacing w:before="105" w:line="195" w:lineRule="auto"/>
              <w:ind w:left="106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r>
      <w:tr w14:paraId="5530B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33" w:type="dxa"/>
            <w:tcBorders>
              <w:left w:val="nil"/>
            </w:tcBorders>
          </w:tcPr>
          <w:p w14:paraId="348E681D">
            <w:pPr>
              <w:spacing w:before="69" w:line="228" w:lineRule="auto"/>
              <w:ind w:left="278"/>
              <w:rPr>
                <w:rFonts w:ascii="宋体" w:hAnsi="宋体" w:eastAsia="宋体" w:cs="宋体"/>
                <w:sz w:val="20"/>
                <w:szCs w:val="20"/>
              </w:rPr>
            </w:pPr>
            <w:r>
              <w:rPr>
                <w:rFonts w:ascii="宋体" w:hAnsi="宋体" w:eastAsia="宋体" w:cs="宋体"/>
                <w:spacing w:val="2"/>
                <w:sz w:val="20"/>
                <w:szCs w:val="20"/>
              </w:rPr>
              <w:t>电</w:t>
            </w:r>
            <w:r>
              <w:rPr>
                <w:rFonts w:ascii="宋体" w:hAnsi="宋体" w:eastAsia="宋体" w:cs="宋体"/>
                <w:spacing w:val="1"/>
                <w:sz w:val="20"/>
                <w:szCs w:val="20"/>
              </w:rPr>
              <w:t>力设备</w:t>
            </w:r>
          </w:p>
        </w:tc>
        <w:tc>
          <w:tcPr>
            <w:tcW w:w="2149" w:type="dxa"/>
          </w:tcPr>
          <w:p w14:paraId="563CDFB3">
            <w:pPr>
              <w:spacing w:before="69" w:line="229" w:lineRule="auto"/>
              <w:ind w:left="763"/>
              <w:rPr>
                <w:rFonts w:ascii="宋体" w:hAnsi="宋体" w:eastAsia="宋体" w:cs="宋体"/>
                <w:sz w:val="20"/>
                <w:szCs w:val="20"/>
              </w:rPr>
            </w:pPr>
            <w:r>
              <w:rPr>
                <w:rFonts w:ascii="宋体" w:hAnsi="宋体" w:eastAsia="宋体" w:cs="宋体"/>
                <w:spacing w:val="7"/>
                <w:sz w:val="20"/>
                <w:szCs w:val="20"/>
              </w:rPr>
              <w:t>变压</w:t>
            </w:r>
            <w:r>
              <w:rPr>
                <w:rFonts w:ascii="宋体" w:hAnsi="宋体" w:eastAsia="宋体" w:cs="宋体"/>
                <w:spacing w:val="6"/>
                <w:sz w:val="20"/>
                <w:szCs w:val="20"/>
              </w:rPr>
              <w:t>器</w:t>
            </w:r>
          </w:p>
        </w:tc>
        <w:tc>
          <w:tcPr>
            <w:tcW w:w="2748" w:type="dxa"/>
          </w:tcPr>
          <w:p w14:paraId="785EB495">
            <w:pPr>
              <w:spacing w:before="105" w:line="195" w:lineRule="auto"/>
              <w:ind w:left="996"/>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3</w:t>
            </w:r>
            <w:r>
              <w:rPr>
                <w:rFonts w:ascii="Times New Roman" w:hAnsi="Times New Roman" w:eastAsia="Times New Roman" w:cs="Times New Roman"/>
                <w:spacing w:val="8"/>
                <w:sz w:val="20"/>
                <w:szCs w:val="20"/>
              </w:rPr>
              <w:t>00</w:t>
            </w:r>
            <w:r>
              <w:rPr>
                <w:rFonts w:ascii="Times New Roman" w:hAnsi="Times New Roman" w:eastAsia="Times New Roman" w:cs="Times New Roman"/>
                <w:sz w:val="20"/>
                <w:szCs w:val="20"/>
              </w:rPr>
              <w:t>KVA</w:t>
            </w:r>
          </w:p>
        </w:tc>
        <w:tc>
          <w:tcPr>
            <w:tcW w:w="1250" w:type="dxa"/>
          </w:tcPr>
          <w:p w14:paraId="6442C12C">
            <w:pPr>
              <w:spacing w:before="69" w:line="230" w:lineRule="auto"/>
              <w:ind w:left="541"/>
              <w:rPr>
                <w:rFonts w:ascii="宋体" w:hAnsi="宋体" w:eastAsia="宋体" w:cs="宋体"/>
                <w:sz w:val="20"/>
                <w:szCs w:val="20"/>
              </w:rPr>
            </w:pPr>
            <w:r>
              <w:rPr>
                <w:rFonts w:ascii="宋体" w:hAnsi="宋体" w:eastAsia="宋体" w:cs="宋体"/>
                <w:sz w:val="20"/>
                <w:szCs w:val="20"/>
              </w:rPr>
              <w:t>台</w:t>
            </w:r>
          </w:p>
        </w:tc>
        <w:tc>
          <w:tcPr>
            <w:tcW w:w="2232" w:type="dxa"/>
            <w:tcBorders>
              <w:right w:val="nil"/>
            </w:tcBorders>
          </w:tcPr>
          <w:p w14:paraId="6FF9975D">
            <w:pPr>
              <w:spacing w:before="105" w:line="195" w:lineRule="auto"/>
              <w:ind w:left="1086"/>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r>
      <w:tr w14:paraId="43B6CB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33" w:type="dxa"/>
            <w:vMerge w:val="restart"/>
            <w:tcBorders>
              <w:left w:val="nil"/>
              <w:bottom w:val="nil"/>
            </w:tcBorders>
          </w:tcPr>
          <w:p w14:paraId="48FF9F14">
            <w:pPr>
              <w:spacing w:line="316" w:lineRule="auto"/>
            </w:pPr>
          </w:p>
          <w:p w14:paraId="118694D7">
            <w:pPr>
              <w:spacing w:line="316" w:lineRule="auto"/>
            </w:pPr>
          </w:p>
          <w:p w14:paraId="7308B606">
            <w:pPr>
              <w:spacing w:line="317" w:lineRule="auto"/>
            </w:pPr>
          </w:p>
          <w:p w14:paraId="303BEDAE">
            <w:pPr>
              <w:tabs>
                <w:tab w:val="left" w:pos="257"/>
              </w:tabs>
              <w:spacing w:before="65" w:line="261" w:lineRule="auto"/>
              <w:ind w:left="148" w:right="141" w:firstLine="105"/>
              <w:rPr>
                <w:rFonts w:ascii="宋体" w:hAnsi="宋体" w:eastAsia="宋体" w:cs="宋体"/>
                <w:sz w:val="20"/>
                <w:szCs w:val="20"/>
              </w:rPr>
            </w:pPr>
            <w:r>
              <w:rPr>
                <w:rFonts w:ascii="宋体" w:hAnsi="宋体" w:eastAsia="宋体" w:cs="宋体"/>
                <w:spacing w:val="8"/>
                <w:sz w:val="20"/>
                <w:szCs w:val="20"/>
              </w:rPr>
              <w:t>环</w:t>
            </w:r>
            <w:r>
              <w:rPr>
                <w:rFonts w:ascii="宋体" w:hAnsi="宋体" w:eastAsia="宋体" w:cs="宋体"/>
                <w:spacing w:val="7"/>
                <w:sz w:val="20"/>
                <w:szCs w:val="20"/>
              </w:rPr>
              <w:t>保设备</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6"/>
                <w:sz w:val="20"/>
                <w:szCs w:val="20"/>
              </w:rPr>
              <w:t>(异位微生</w:t>
            </w:r>
            <w:r>
              <w:rPr>
                <w:rFonts w:ascii="宋体" w:hAnsi="宋体" w:eastAsia="宋体" w:cs="宋体"/>
                <w:sz w:val="20"/>
                <w:szCs w:val="20"/>
              </w:rPr>
              <w:t xml:space="preserve"> </w:t>
            </w:r>
            <w:r>
              <w:rPr>
                <w:rFonts w:ascii="宋体" w:hAnsi="宋体" w:eastAsia="宋体" w:cs="宋体"/>
                <w:spacing w:val="6"/>
                <w:sz w:val="20"/>
                <w:szCs w:val="20"/>
              </w:rPr>
              <w:t>物发酵床</w:t>
            </w:r>
            <w:r>
              <w:rPr>
                <w:rFonts w:ascii="宋体" w:hAnsi="宋体" w:eastAsia="宋体" w:cs="宋体"/>
                <w:spacing w:val="5"/>
                <w:sz w:val="20"/>
                <w:szCs w:val="20"/>
              </w:rPr>
              <w:t>)</w:t>
            </w:r>
          </w:p>
        </w:tc>
        <w:tc>
          <w:tcPr>
            <w:tcW w:w="2149" w:type="dxa"/>
          </w:tcPr>
          <w:p w14:paraId="0619FC77">
            <w:pPr>
              <w:spacing w:before="67" w:line="228" w:lineRule="auto"/>
              <w:ind w:left="449"/>
              <w:rPr>
                <w:rFonts w:ascii="宋体" w:hAnsi="宋体" w:eastAsia="宋体" w:cs="宋体"/>
                <w:sz w:val="20"/>
                <w:szCs w:val="20"/>
              </w:rPr>
            </w:pPr>
            <w:r>
              <w:rPr>
                <w:rFonts w:ascii="宋体" w:hAnsi="宋体" w:eastAsia="宋体" w:cs="宋体"/>
                <w:spacing w:val="12"/>
                <w:sz w:val="20"/>
                <w:szCs w:val="20"/>
              </w:rPr>
              <w:t>集</w:t>
            </w:r>
            <w:r>
              <w:rPr>
                <w:rFonts w:ascii="宋体" w:hAnsi="宋体" w:eastAsia="宋体" w:cs="宋体"/>
                <w:spacing w:val="8"/>
                <w:sz w:val="20"/>
                <w:szCs w:val="20"/>
              </w:rPr>
              <w:t>污池切割泵</w:t>
            </w:r>
          </w:p>
        </w:tc>
        <w:tc>
          <w:tcPr>
            <w:tcW w:w="2748" w:type="dxa"/>
          </w:tcPr>
          <w:p w14:paraId="2DF702F3">
            <w:pPr>
              <w:spacing w:before="32" w:line="281" w:lineRule="exact"/>
              <w:ind w:left="134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1250" w:type="dxa"/>
          </w:tcPr>
          <w:p w14:paraId="7838F413">
            <w:pPr>
              <w:spacing w:before="67" w:line="230" w:lineRule="auto"/>
              <w:ind w:left="541"/>
              <w:rPr>
                <w:rFonts w:ascii="宋体" w:hAnsi="宋体" w:eastAsia="宋体" w:cs="宋体"/>
                <w:sz w:val="20"/>
                <w:szCs w:val="20"/>
              </w:rPr>
            </w:pPr>
            <w:r>
              <w:rPr>
                <w:rFonts w:ascii="宋体" w:hAnsi="宋体" w:eastAsia="宋体" w:cs="宋体"/>
                <w:sz w:val="20"/>
                <w:szCs w:val="20"/>
              </w:rPr>
              <w:t>台</w:t>
            </w:r>
          </w:p>
        </w:tc>
        <w:tc>
          <w:tcPr>
            <w:tcW w:w="2232" w:type="dxa"/>
            <w:tcBorders>
              <w:right w:val="nil"/>
            </w:tcBorders>
          </w:tcPr>
          <w:p w14:paraId="3BF867E7">
            <w:pPr>
              <w:spacing w:before="105" w:line="195" w:lineRule="auto"/>
              <w:ind w:left="1086"/>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r>
      <w:tr w14:paraId="5A1C7C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33" w:type="dxa"/>
            <w:vMerge w:val="continue"/>
            <w:tcBorders>
              <w:top w:val="nil"/>
              <w:left w:val="nil"/>
              <w:bottom w:val="nil"/>
            </w:tcBorders>
          </w:tcPr>
          <w:p w14:paraId="5699A704"/>
        </w:tc>
        <w:tc>
          <w:tcPr>
            <w:tcW w:w="2149" w:type="dxa"/>
          </w:tcPr>
          <w:p w14:paraId="5FA91BBE">
            <w:pPr>
              <w:spacing w:before="68" w:line="226" w:lineRule="auto"/>
              <w:ind w:left="668"/>
              <w:rPr>
                <w:rFonts w:ascii="宋体" w:hAnsi="宋体" w:eastAsia="宋体" w:cs="宋体"/>
                <w:sz w:val="20"/>
                <w:szCs w:val="20"/>
              </w:rPr>
            </w:pPr>
            <w:r>
              <w:rPr>
                <w:rFonts w:ascii="宋体" w:hAnsi="宋体" w:eastAsia="宋体" w:cs="宋体"/>
                <w:spacing w:val="6"/>
                <w:sz w:val="20"/>
                <w:szCs w:val="20"/>
              </w:rPr>
              <w:t>喷</w:t>
            </w:r>
            <w:r>
              <w:rPr>
                <w:rFonts w:ascii="宋体" w:hAnsi="宋体" w:eastAsia="宋体" w:cs="宋体"/>
                <w:spacing w:val="5"/>
                <w:sz w:val="20"/>
                <w:szCs w:val="20"/>
              </w:rPr>
              <w:t>淋设备</w:t>
            </w:r>
          </w:p>
        </w:tc>
        <w:tc>
          <w:tcPr>
            <w:tcW w:w="2748" w:type="dxa"/>
          </w:tcPr>
          <w:p w14:paraId="759A3950">
            <w:pPr>
              <w:spacing w:before="67" w:line="228" w:lineRule="auto"/>
              <w:ind w:left="959"/>
              <w:rPr>
                <w:rFonts w:ascii="宋体" w:hAnsi="宋体" w:eastAsia="宋体" w:cs="宋体"/>
                <w:sz w:val="20"/>
                <w:szCs w:val="20"/>
              </w:rPr>
            </w:pPr>
            <w:r>
              <w:rPr>
                <w:rFonts w:ascii="宋体" w:hAnsi="宋体" w:eastAsia="宋体" w:cs="宋体"/>
                <w:spacing w:val="19"/>
                <w:sz w:val="20"/>
                <w:szCs w:val="20"/>
              </w:rPr>
              <w:t>集</w:t>
            </w:r>
            <w:r>
              <w:rPr>
                <w:rFonts w:ascii="宋体" w:hAnsi="宋体" w:eastAsia="宋体" w:cs="宋体"/>
                <w:spacing w:val="16"/>
                <w:sz w:val="20"/>
                <w:szCs w:val="20"/>
              </w:rPr>
              <w:t>团</w:t>
            </w:r>
            <w:r>
              <w:rPr>
                <w:rFonts w:ascii="Times New Roman" w:hAnsi="Times New Roman" w:eastAsia="Times New Roman" w:cs="Times New Roman"/>
                <w:spacing w:val="16"/>
                <w:sz w:val="20"/>
                <w:szCs w:val="20"/>
              </w:rPr>
              <w:t xml:space="preserve">4 </w:t>
            </w:r>
            <w:r>
              <w:rPr>
                <w:rFonts w:ascii="宋体" w:hAnsi="宋体" w:eastAsia="宋体" w:cs="宋体"/>
                <w:spacing w:val="16"/>
                <w:sz w:val="20"/>
                <w:szCs w:val="20"/>
              </w:rPr>
              <w:t>号</w:t>
            </w:r>
          </w:p>
        </w:tc>
        <w:tc>
          <w:tcPr>
            <w:tcW w:w="1250" w:type="dxa"/>
          </w:tcPr>
          <w:p w14:paraId="3895A47B">
            <w:pPr>
              <w:spacing w:before="68" w:line="228" w:lineRule="auto"/>
              <w:ind w:left="526"/>
              <w:rPr>
                <w:rFonts w:ascii="宋体" w:hAnsi="宋体" w:eastAsia="宋体" w:cs="宋体"/>
                <w:sz w:val="20"/>
                <w:szCs w:val="20"/>
              </w:rPr>
            </w:pPr>
            <w:r>
              <w:rPr>
                <w:rFonts w:ascii="宋体" w:hAnsi="宋体" w:eastAsia="宋体" w:cs="宋体"/>
                <w:sz w:val="20"/>
                <w:szCs w:val="20"/>
              </w:rPr>
              <w:t>套</w:t>
            </w:r>
          </w:p>
        </w:tc>
        <w:tc>
          <w:tcPr>
            <w:tcW w:w="2232" w:type="dxa"/>
            <w:tcBorders>
              <w:right w:val="nil"/>
            </w:tcBorders>
          </w:tcPr>
          <w:p w14:paraId="5FD3C43F">
            <w:pPr>
              <w:spacing w:before="106" w:line="195" w:lineRule="auto"/>
              <w:ind w:left="1086"/>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r>
      <w:tr w14:paraId="5087C3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33" w:type="dxa"/>
            <w:vMerge w:val="continue"/>
            <w:tcBorders>
              <w:top w:val="nil"/>
              <w:left w:val="nil"/>
              <w:bottom w:val="nil"/>
            </w:tcBorders>
          </w:tcPr>
          <w:p w14:paraId="11D79B83"/>
        </w:tc>
        <w:tc>
          <w:tcPr>
            <w:tcW w:w="2149" w:type="dxa"/>
          </w:tcPr>
          <w:p w14:paraId="1775B886">
            <w:pPr>
              <w:spacing w:before="69" w:line="227" w:lineRule="auto"/>
              <w:ind w:left="556"/>
              <w:rPr>
                <w:rFonts w:ascii="宋体" w:hAnsi="宋体" w:eastAsia="宋体" w:cs="宋体"/>
                <w:sz w:val="20"/>
                <w:szCs w:val="20"/>
              </w:rPr>
            </w:pPr>
            <w:r>
              <w:rPr>
                <w:rFonts w:ascii="宋体" w:hAnsi="宋体" w:eastAsia="宋体" w:cs="宋体"/>
                <w:spacing w:val="8"/>
                <w:sz w:val="20"/>
                <w:szCs w:val="20"/>
              </w:rPr>
              <w:t>垫料翻抛</w:t>
            </w:r>
            <w:r>
              <w:rPr>
                <w:rFonts w:ascii="宋体" w:hAnsi="宋体" w:eastAsia="宋体" w:cs="宋体"/>
                <w:spacing w:val="7"/>
                <w:sz w:val="20"/>
                <w:szCs w:val="20"/>
              </w:rPr>
              <w:t>机</w:t>
            </w:r>
          </w:p>
        </w:tc>
        <w:tc>
          <w:tcPr>
            <w:tcW w:w="2748" w:type="dxa"/>
          </w:tcPr>
          <w:p w14:paraId="1A34AE8B">
            <w:pPr>
              <w:spacing w:before="68" w:line="228" w:lineRule="auto"/>
              <w:ind w:left="959"/>
              <w:rPr>
                <w:rFonts w:ascii="宋体" w:hAnsi="宋体" w:eastAsia="宋体" w:cs="宋体"/>
                <w:sz w:val="20"/>
                <w:szCs w:val="20"/>
              </w:rPr>
            </w:pPr>
            <w:r>
              <w:rPr>
                <w:rFonts w:ascii="宋体" w:hAnsi="宋体" w:eastAsia="宋体" w:cs="宋体"/>
                <w:spacing w:val="19"/>
                <w:sz w:val="20"/>
                <w:szCs w:val="20"/>
              </w:rPr>
              <w:t>集</w:t>
            </w:r>
            <w:r>
              <w:rPr>
                <w:rFonts w:ascii="宋体" w:hAnsi="宋体" w:eastAsia="宋体" w:cs="宋体"/>
                <w:spacing w:val="16"/>
                <w:sz w:val="20"/>
                <w:szCs w:val="20"/>
              </w:rPr>
              <w:t>团</w:t>
            </w:r>
            <w:r>
              <w:rPr>
                <w:rFonts w:ascii="Times New Roman" w:hAnsi="Times New Roman" w:eastAsia="Times New Roman" w:cs="Times New Roman"/>
                <w:spacing w:val="16"/>
                <w:sz w:val="20"/>
                <w:szCs w:val="20"/>
              </w:rPr>
              <w:t xml:space="preserve">4 </w:t>
            </w:r>
            <w:r>
              <w:rPr>
                <w:rFonts w:ascii="宋体" w:hAnsi="宋体" w:eastAsia="宋体" w:cs="宋体"/>
                <w:spacing w:val="16"/>
                <w:sz w:val="20"/>
                <w:szCs w:val="20"/>
              </w:rPr>
              <w:t>号</w:t>
            </w:r>
          </w:p>
        </w:tc>
        <w:tc>
          <w:tcPr>
            <w:tcW w:w="1250" w:type="dxa"/>
          </w:tcPr>
          <w:p w14:paraId="7218D75F">
            <w:pPr>
              <w:spacing w:before="69" w:line="228" w:lineRule="auto"/>
              <w:ind w:left="526"/>
              <w:rPr>
                <w:rFonts w:ascii="宋体" w:hAnsi="宋体" w:eastAsia="宋体" w:cs="宋体"/>
                <w:sz w:val="20"/>
                <w:szCs w:val="20"/>
              </w:rPr>
            </w:pPr>
            <w:r>
              <w:rPr>
                <w:rFonts w:ascii="宋体" w:hAnsi="宋体" w:eastAsia="宋体" w:cs="宋体"/>
                <w:sz w:val="20"/>
                <w:szCs w:val="20"/>
              </w:rPr>
              <w:t>套</w:t>
            </w:r>
          </w:p>
        </w:tc>
        <w:tc>
          <w:tcPr>
            <w:tcW w:w="2232" w:type="dxa"/>
            <w:tcBorders>
              <w:right w:val="nil"/>
            </w:tcBorders>
          </w:tcPr>
          <w:p w14:paraId="3E0B3F4A">
            <w:pPr>
              <w:spacing w:before="105" w:line="195" w:lineRule="auto"/>
              <w:ind w:left="1086"/>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r>
      <w:tr w14:paraId="008E6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33" w:type="dxa"/>
            <w:vMerge w:val="continue"/>
            <w:tcBorders>
              <w:top w:val="nil"/>
              <w:left w:val="nil"/>
              <w:bottom w:val="nil"/>
            </w:tcBorders>
          </w:tcPr>
          <w:p w14:paraId="035F8E13"/>
        </w:tc>
        <w:tc>
          <w:tcPr>
            <w:tcW w:w="2149" w:type="dxa"/>
          </w:tcPr>
          <w:p w14:paraId="03DA31F8">
            <w:pPr>
              <w:spacing w:before="69" w:line="227" w:lineRule="auto"/>
              <w:ind w:left="553"/>
              <w:rPr>
                <w:rFonts w:ascii="宋体" w:hAnsi="宋体" w:eastAsia="宋体" w:cs="宋体"/>
                <w:sz w:val="20"/>
                <w:szCs w:val="20"/>
              </w:rPr>
            </w:pPr>
            <w:r>
              <w:rPr>
                <w:rFonts w:ascii="宋体" w:hAnsi="宋体" w:eastAsia="宋体" w:cs="宋体"/>
                <w:spacing w:val="8"/>
                <w:sz w:val="20"/>
                <w:szCs w:val="20"/>
              </w:rPr>
              <w:t>翻抛机钢轨</w:t>
            </w:r>
          </w:p>
        </w:tc>
        <w:tc>
          <w:tcPr>
            <w:tcW w:w="2748" w:type="dxa"/>
          </w:tcPr>
          <w:p w14:paraId="64BB9A02">
            <w:pPr>
              <w:spacing w:before="32" w:line="281" w:lineRule="exact"/>
              <w:ind w:left="291"/>
              <w:rPr>
                <w:rFonts w:ascii="宋体" w:hAnsi="宋体" w:eastAsia="宋体" w:cs="宋体"/>
                <w:sz w:val="20"/>
                <w:szCs w:val="20"/>
              </w:rPr>
            </w:pPr>
            <w:r>
              <w:rPr>
                <w:rFonts w:ascii="Times New Roman" w:hAnsi="Times New Roman" w:eastAsia="Times New Roman" w:cs="Times New Roman"/>
                <w:spacing w:val="12"/>
                <w:position w:val="1"/>
                <w:sz w:val="20"/>
                <w:szCs w:val="20"/>
              </w:rPr>
              <w:t>1</w:t>
            </w:r>
            <w:r>
              <w:rPr>
                <w:rFonts w:ascii="Times New Roman" w:hAnsi="Times New Roman" w:eastAsia="Times New Roman" w:cs="Times New Roman"/>
                <w:spacing w:val="9"/>
                <w:position w:val="1"/>
                <w:sz w:val="20"/>
                <w:szCs w:val="20"/>
              </w:rPr>
              <w:t>5</w:t>
            </w:r>
            <w:r>
              <w:rPr>
                <w:rFonts w:ascii="Times New Roman" w:hAnsi="Times New Roman" w:eastAsia="Times New Roman" w:cs="Times New Roman"/>
                <w:spacing w:val="6"/>
                <w:position w:val="1"/>
                <w:sz w:val="20"/>
                <w:szCs w:val="20"/>
              </w:rPr>
              <w:t>#</w:t>
            </w:r>
            <w:r>
              <w:rPr>
                <w:rFonts w:ascii="宋体" w:hAnsi="宋体" w:eastAsia="宋体" w:cs="宋体"/>
                <w:spacing w:val="6"/>
                <w:position w:val="1"/>
                <w:sz w:val="20"/>
                <w:szCs w:val="20"/>
              </w:rPr>
              <w:t>轻轨，含轨道连接件</w:t>
            </w:r>
          </w:p>
        </w:tc>
        <w:tc>
          <w:tcPr>
            <w:tcW w:w="1250" w:type="dxa"/>
          </w:tcPr>
          <w:p w14:paraId="0C10314C">
            <w:pPr>
              <w:spacing w:before="151" w:line="141" w:lineRule="exact"/>
              <w:ind w:left="542"/>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m</w:t>
            </w:r>
          </w:p>
        </w:tc>
        <w:tc>
          <w:tcPr>
            <w:tcW w:w="2232" w:type="dxa"/>
            <w:tcBorders>
              <w:right w:val="nil"/>
            </w:tcBorders>
          </w:tcPr>
          <w:p w14:paraId="643FD9AB">
            <w:pPr>
              <w:spacing w:before="105" w:line="195" w:lineRule="auto"/>
              <w:ind w:left="98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160</w:t>
            </w:r>
          </w:p>
        </w:tc>
      </w:tr>
      <w:tr w14:paraId="0788C2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 w:hRule="atLeast"/>
        </w:trPr>
        <w:tc>
          <w:tcPr>
            <w:tcW w:w="1333" w:type="dxa"/>
            <w:vMerge w:val="continue"/>
            <w:tcBorders>
              <w:top w:val="nil"/>
              <w:left w:val="nil"/>
              <w:bottom w:val="nil"/>
            </w:tcBorders>
          </w:tcPr>
          <w:p w14:paraId="71916158"/>
        </w:tc>
        <w:tc>
          <w:tcPr>
            <w:tcW w:w="2149" w:type="dxa"/>
          </w:tcPr>
          <w:p w14:paraId="715053D8">
            <w:pPr>
              <w:spacing w:before="69" w:line="227" w:lineRule="auto"/>
              <w:ind w:left="238"/>
              <w:rPr>
                <w:rFonts w:ascii="宋体" w:hAnsi="宋体" w:eastAsia="宋体" w:cs="宋体"/>
                <w:sz w:val="20"/>
                <w:szCs w:val="20"/>
              </w:rPr>
            </w:pPr>
            <w:r>
              <w:rPr>
                <w:rFonts w:ascii="宋体" w:hAnsi="宋体" w:eastAsia="宋体" w:cs="宋体"/>
                <w:spacing w:val="9"/>
                <w:sz w:val="20"/>
                <w:szCs w:val="20"/>
              </w:rPr>
              <w:t>翻抛机接线吊线</w:t>
            </w:r>
            <w:r>
              <w:rPr>
                <w:rFonts w:ascii="宋体" w:hAnsi="宋体" w:eastAsia="宋体" w:cs="宋体"/>
                <w:spacing w:val="8"/>
                <w:sz w:val="20"/>
                <w:szCs w:val="20"/>
              </w:rPr>
              <w:t>器</w:t>
            </w:r>
          </w:p>
        </w:tc>
        <w:tc>
          <w:tcPr>
            <w:tcW w:w="2748" w:type="dxa"/>
          </w:tcPr>
          <w:p w14:paraId="31AD79FC">
            <w:pPr>
              <w:spacing w:before="32" w:line="281" w:lineRule="exact"/>
              <w:ind w:left="134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1250" w:type="dxa"/>
          </w:tcPr>
          <w:p w14:paraId="672D7D67">
            <w:pPr>
              <w:spacing w:before="70" w:line="228" w:lineRule="auto"/>
              <w:ind w:left="526"/>
              <w:rPr>
                <w:rFonts w:ascii="宋体" w:hAnsi="宋体" w:eastAsia="宋体" w:cs="宋体"/>
                <w:sz w:val="20"/>
                <w:szCs w:val="20"/>
              </w:rPr>
            </w:pPr>
            <w:r>
              <w:rPr>
                <w:rFonts w:ascii="宋体" w:hAnsi="宋体" w:eastAsia="宋体" w:cs="宋体"/>
                <w:sz w:val="20"/>
                <w:szCs w:val="20"/>
              </w:rPr>
              <w:t>套</w:t>
            </w:r>
          </w:p>
        </w:tc>
        <w:tc>
          <w:tcPr>
            <w:tcW w:w="2232" w:type="dxa"/>
            <w:tcBorders>
              <w:right w:val="nil"/>
            </w:tcBorders>
          </w:tcPr>
          <w:p w14:paraId="5730D5D9">
            <w:pPr>
              <w:spacing w:before="105" w:line="195" w:lineRule="auto"/>
              <w:ind w:left="1019"/>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r>
      <w:tr w14:paraId="01070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33" w:type="dxa"/>
            <w:vMerge w:val="continue"/>
            <w:tcBorders>
              <w:top w:val="nil"/>
              <w:left w:val="nil"/>
              <w:bottom w:val="nil"/>
            </w:tcBorders>
          </w:tcPr>
          <w:p w14:paraId="248FB6C3"/>
        </w:tc>
        <w:tc>
          <w:tcPr>
            <w:tcW w:w="2149" w:type="dxa"/>
          </w:tcPr>
          <w:p w14:paraId="38631734">
            <w:pPr>
              <w:spacing w:before="70" w:line="228" w:lineRule="auto"/>
              <w:ind w:left="669"/>
              <w:rPr>
                <w:rFonts w:ascii="宋体" w:hAnsi="宋体" w:eastAsia="宋体" w:cs="宋体"/>
                <w:sz w:val="20"/>
                <w:szCs w:val="20"/>
              </w:rPr>
            </w:pPr>
            <w:r>
              <w:rPr>
                <w:rFonts w:ascii="宋体" w:hAnsi="宋体" w:eastAsia="宋体" w:cs="宋体"/>
                <w:spacing w:val="5"/>
                <w:sz w:val="20"/>
                <w:szCs w:val="20"/>
              </w:rPr>
              <w:t>曝气系统</w:t>
            </w:r>
          </w:p>
        </w:tc>
        <w:tc>
          <w:tcPr>
            <w:tcW w:w="2748" w:type="dxa"/>
          </w:tcPr>
          <w:p w14:paraId="4C7E00DA"/>
        </w:tc>
        <w:tc>
          <w:tcPr>
            <w:tcW w:w="1250" w:type="dxa"/>
          </w:tcPr>
          <w:p w14:paraId="18F398AB">
            <w:pPr>
              <w:spacing w:before="70" w:line="228" w:lineRule="auto"/>
              <w:ind w:left="526"/>
              <w:rPr>
                <w:rFonts w:ascii="宋体" w:hAnsi="宋体" w:eastAsia="宋体" w:cs="宋体"/>
                <w:sz w:val="20"/>
                <w:szCs w:val="20"/>
              </w:rPr>
            </w:pPr>
            <w:r>
              <w:rPr>
                <w:rFonts w:ascii="宋体" w:hAnsi="宋体" w:eastAsia="宋体" w:cs="宋体"/>
                <w:sz w:val="20"/>
                <w:szCs w:val="20"/>
              </w:rPr>
              <w:t>套</w:t>
            </w:r>
          </w:p>
        </w:tc>
        <w:tc>
          <w:tcPr>
            <w:tcW w:w="2232" w:type="dxa"/>
            <w:tcBorders>
              <w:right w:val="nil"/>
            </w:tcBorders>
          </w:tcPr>
          <w:p w14:paraId="54349A0F">
            <w:pPr>
              <w:spacing w:before="106" w:line="195" w:lineRule="auto"/>
              <w:ind w:left="1086"/>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r>
      <w:tr w14:paraId="52288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33" w:type="dxa"/>
            <w:vMerge w:val="continue"/>
            <w:tcBorders>
              <w:top w:val="nil"/>
              <w:left w:val="nil"/>
              <w:bottom w:val="nil"/>
            </w:tcBorders>
          </w:tcPr>
          <w:p w14:paraId="0562F1E8"/>
        </w:tc>
        <w:tc>
          <w:tcPr>
            <w:tcW w:w="2149" w:type="dxa"/>
          </w:tcPr>
          <w:p w14:paraId="3FE6F4B9">
            <w:pPr>
              <w:spacing w:before="68" w:line="228" w:lineRule="auto"/>
              <w:ind w:left="473"/>
              <w:rPr>
                <w:rFonts w:ascii="宋体" w:hAnsi="宋体" w:eastAsia="宋体" w:cs="宋体"/>
                <w:sz w:val="20"/>
                <w:szCs w:val="20"/>
              </w:rPr>
            </w:pPr>
            <w:r>
              <w:rPr>
                <w:rFonts w:ascii="宋体" w:hAnsi="宋体" w:eastAsia="宋体" w:cs="宋体"/>
                <w:spacing w:val="5"/>
                <w:sz w:val="20"/>
                <w:szCs w:val="20"/>
              </w:rPr>
              <w:t>电</w:t>
            </w:r>
            <w:r>
              <w:rPr>
                <w:rFonts w:ascii="宋体" w:hAnsi="宋体" w:eastAsia="宋体" w:cs="宋体"/>
                <w:spacing w:val="4"/>
                <w:sz w:val="20"/>
                <w:szCs w:val="20"/>
              </w:rPr>
              <w:t>气控制系统</w:t>
            </w:r>
          </w:p>
        </w:tc>
        <w:tc>
          <w:tcPr>
            <w:tcW w:w="2748" w:type="dxa"/>
          </w:tcPr>
          <w:p w14:paraId="1A473F53"/>
        </w:tc>
        <w:tc>
          <w:tcPr>
            <w:tcW w:w="1250" w:type="dxa"/>
          </w:tcPr>
          <w:p w14:paraId="3A550CC6">
            <w:pPr>
              <w:spacing w:before="68" w:line="228" w:lineRule="auto"/>
              <w:ind w:left="526"/>
              <w:rPr>
                <w:rFonts w:ascii="宋体" w:hAnsi="宋体" w:eastAsia="宋体" w:cs="宋体"/>
                <w:sz w:val="20"/>
                <w:szCs w:val="20"/>
              </w:rPr>
            </w:pPr>
            <w:r>
              <w:rPr>
                <w:rFonts w:ascii="宋体" w:hAnsi="宋体" w:eastAsia="宋体" w:cs="宋体"/>
                <w:sz w:val="20"/>
                <w:szCs w:val="20"/>
              </w:rPr>
              <w:t>套</w:t>
            </w:r>
          </w:p>
        </w:tc>
        <w:tc>
          <w:tcPr>
            <w:tcW w:w="2232" w:type="dxa"/>
            <w:tcBorders>
              <w:right w:val="nil"/>
            </w:tcBorders>
          </w:tcPr>
          <w:p w14:paraId="6BD7D58E">
            <w:pPr>
              <w:spacing w:before="106" w:line="195" w:lineRule="auto"/>
              <w:ind w:left="1086"/>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r>
      <w:tr w14:paraId="44D546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8" w:hRule="atLeast"/>
        </w:trPr>
        <w:tc>
          <w:tcPr>
            <w:tcW w:w="1333" w:type="dxa"/>
            <w:vMerge w:val="continue"/>
            <w:tcBorders>
              <w:top w:val="nil"/>
              <w:left w:val="nil"/>
            </w:tcBorders>
          </w:tcPr>
          <w:p w14:paraId="7828D571"/>
        </w:tc>
        <w:tc>
          <w:tcPr>
            <w:tcW w:w="2149" w:type="dxa"/>
          </w:tcPr>
          <w:p w14:paraId="51915B44">
            <w:pPr>
              <w:spacing w:before="68" w:line="227" w:lineRule="auto"/>
              <w:ind w:left="240"/>
              <w:rPr>
                <w:rFonts w:ascii="宋体" w:hAnsi="宋体" w:eastAsia="宋体" w:cs="宋体"/>
                <w:sz w:val="20"/>
                <w:szCs w:val="20"/>
              </w:rPr>
            </w:pPr>
            <w:r>
              <w:rPr>
                <w:rFonts w:ascii="宋体" w:hAnsi="宋体" w:eastAsia="宋体" w:cs="宋体"/>
                <w:spacing w:val="13"/>
                <w:sz w:val="20"/>
                <w:szCs w:val="20"/>
              </w:rPr>
              <w:t>集</w:t>
            </w:r>
            <w:r>
              <w:rPr>
                <w:rFonts w:ascii="宋体" w:hAnsi="宋体" w:eastAsia="宋体" w:cs="宋体"/>
                <w:spacing w:val="8"/>
                <w:sz w:val="20"/>
                <w:szCs w:val="20"/>
              </w:rPr>
              <w:t>污池潜水搅拌机</w:t>
            </w:r>
          </w:p>
        </w:tc>
        <w:tc>
          <w:tcPr>
            <w:tcW w:w="2748" w:type="dxa"/>
          </w:tcPr>
          <w:p w14:paraId="50672C6C"/>
        </w:tc>
        <w:tc>
          <w:tcPr>
            <w:tcW w:w="1250" w:type="dxa"/>
          </w:tcPr>
          <w:p w14:paraId="21201A94">
            <w:pPr>
              <w:spacing w:before="68" w:line="230" w:lineRule="auto"/>
              <w:ind w:left="541"/>
              <w:rPr>
                <w:rFonts w:ascii="宋体" w:hAnsi="宋体" w:eastAsia="宋体" w:cs="宋体"/>
                <w:sz w:val="20"/>
                <w:szCs w:val="20"/>
              </w:rPr>
            </w:pPr>
            <w:r>
              <w:rPr>
                <w:rFonts w:ascii="宋体" w:hAnsi="宋体" w:eastAsia="宋体" w:cs="宋体"/>
                <w:sz w:val="20"/>
                <w:szCs w:val="20"/>
              </w:rPr>
              <w:t>台</w:t>
            </w:r>
          </w:p>
        </w:tc>
        <w:tc>
          <w:tcPr>
            <w:tcW w:w="2232" w:type="dxa"/>
            <w:tcBorders>
              <w:right w:val="nil"/>
            </w:tcBorders>
          </w:tcPr>
          <w:p w14:paraId="67A87675">
            <w:pPr>
              <w:spacing w:before="107" w:line="195" w:lineRule="auto"/>
              <w:ind w:left="1086"/>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r>
    </w:tbl>
    <w:p w14:paraId="44FB172A">
      <w:pPr>
        <w:spacing w:before="44" w:line="219" w:lineRule="auto"/>
        <w:ind w:left="164"/>
        <w:outlineLvl w:val="1"/>
        <w:rPr>
          <w:rFonts w:ascii="宋体" w:hAnsi="宋体" w:eastAsia="宋体" w:cs="宋体"/>
          <w:sz w:val="28"/>
          <w:szCs w:val="28"/>
        </w:rPr>
      </w:pPr>
      <w:bookmarkStart w:id="22" w:name="_bookmark23"/>
      <w:bookmarkEnd w:id="22"/>
      <w:r>
        <w:rPr>
          <w:rFonts w:ascii="Times New Roman" w:hAnsi="Times New Roman" w:eastAsia="Times New Roman" w:cs="Times New Roman"/>
          <w:b/>
          <w:bCs/>
          <w:spacing w:val="1"/>
          <w:sz w:val="28"/>
          <w:szCs w:val="28"/>
        </w:rPr>
        <w:t>2.3</w:t>
      </w:r>
      <w:r>
        <w:rPr>
          <w:rFonts w:ascii="Times New Roman" w:hAnsi="Times New Roman" w:eastAsia="Times New Roman" w:cs="Times New Roman"/>
          <w:spacing w:val="1"/>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主要原辅材料及能耗情况表</w:t>
      </w:r>
    </w:p>
    <w:p w14:paraId="6FB48B1C">
      <w:pPr>
        <w:spacing w:before="205" w:line="228" w:lineRule="auto"/>
        <w:ind w:left="658"/>
        <w:rPr>
          <w:rFonts w:ascii="宋体" w:hAnsi="宋体" w:eastAsia="宋体" w:cs="宋体"/>
          <w:sz w:val="23"/>
          <w:szCs w:val="23"/>
        </w:rPr>
      </w:pP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7"/>
          <w:sz w:val="23"/>
          <w:szCs w:val="23"/>
        </w:rPr>
        <w:t>1</w:t>
      </w:r>
      <w:r>
        <w:rPr>
          <w:rFonts w:ascii="宋体" w:hAnsi="宋体" w:eastAsia="宋体" w:cs="宋体"/>
          <w:spacing w:val="17"/>
          <w:sz w:val="23"/>
          <w:szCs w:val="23"/>
          <w14:textOutline w14:w="4356" w14:cap="sq" w14:cmpd="sng" w14:algn="ctr">
            <w14:solidFill>
              <w14:srgbClr w14:val="000000"/>
            </w14:solidFill>
            <w14:prstDash w14:val="solid"/>
            <w14:bevel/>
          </w14:textOutline>
        </w:rPr>
        <w:t>)</w:t>
      </w:r>
      <w:r>
        <w:rPr>
          <w:rFonts w:ascii="宋体" w:hAnsi="宋体" w:eastAsia="宋体" w:cs="宋体"/>
          <w:spacing w:val="17"/>
          <w:sz w:val="23"/>
          <w:szCs w:val="23"/>
        </w:rPr>
        <w:t xml:space="preserve"> </w:t>
      </w:r>
      <w:r>
        <w:rPr>
          <w:rFonts w:ascii="宋体" w:hAnsi="宋体" w:eastAsia="宋体" w:cs="宋体"/>
          <w:spacing w:val="17"/>
          <w:sz w:val="23"/>
          <w:szCs w:val="23"/>
          <w14:textOutline w14:w="4356" w14:cap="sq" w14:cmpd="sng" w14:algn="ctr">
            <w14:solidFill>
              <w14:srgbClr w14:val="000000"/>
            </w14:solidFill>
            <w14:prstDash w14:val="solid"/>
            <w14:bevel/>
          </w14:textOutline>
        </w:rPr>
        <w:t>项目主要饲料用量</w:t>
      </w:r>
    </w:p>
    <w:p w14:paraId="7C499DBD">
      <w:pPr>
        <w:spacing w:before="185" w:line="382" w:lineRule="auto"/>
        <w:ind w:left="165" w:right="156" w:firstLine="481"/>
        <w:rPr>
          <w:rFonts w:ascii="宋体" w:hAnsi="宋体" w:eastAsia="宋体" w:cs="宋体"/>
          <w:sz w:val="23"/>
          <w:szCs w:val="23"/>
        </w:rPr>
      </w:pPr>
      <w:r>
        <w:rPr>
          <w:rFonts w:ascii="宋体" w:hAnsi="宋体" w:eastAsia="宋体" w:cs="宋体"/>
          <w:spacing w:val="8"/>
          <w:sz w:val="23"/>
          <w:szCs w:val="23"/>
        </w:rPr>
        <w:t>根</w:t>
      </w:r>
      <w:r>
        <w:rPr>
          <w:rFonts w:ascii="宋体" w:hAnsi="宋体" w:eastAsia="宋体" w:cs="宋体"/>
          <w:spacing w:val="7"/>
          <w:sz w:val="23"/>
          <w:szCs w:val="23"/>
        </w:rPr>
        <w:t>据建设单位提供的资料，本项目饲料采用的是全价配合料，可直接用于养殖，不必再</w:t>
      </w:r>
      <w:r>
        <w:rPr>
          <w:rFonts w:ascii="宋体" w:hAnsi="宋体" w:eastAsia="宋体" w:cs="宋体"/>
          <w:sz w:val="23"/>
          <w:szCs w:val="23"/>
        </w:rPr>
        <w:t xml:space="preserve"> </w:t>
      </w:r>
      <w:r>
        <w:rPr>
          <w:rFonts w:ascii="宋体" w:hAnsi="宋体" w:eastAsia="宋体" w:cs="宋体"/>
          <w:spacing w:val="8"/>
          <w:sz w:val="23"/>
          <w:szCs w:val="23"/>
        </w:rPr>
        <w:t>进行</w:t>
      </w:r>
      <w:r>
        <w:rPr>
          <w:rFonts w:ascii="宋体" w:hAnsi="宋体" w:eastAsia="宋体" w:cs="宋体"/>
          <w:spacing w:val="4"/>
          <w:sz w:val="23"/>
          <w:szCs w:val="23"/>
        </w:rPr>
        <w:t xml:space="preserve">饲料加工。厂区内育肥猪养殖周期按 </w:t>
      </w:r>
      <w:r>
        <w:rPr>
          <w:rFonts w:ascii="Times New Roman" w:hAnsi="Times New Roman" w:eastAsia="Times New Roman" w:cs="Times New Roman"/>
          <w:spacing w:val="4"/>
          <w:sz w:val="23"/>
          <w:szCs w:val="23"/>
        </w:rPr>
        <w:t xml:space="preserve">150 </w:t>
      </w:r>
      <w:r>
        <w:rPr>
          <w:rFonts w:ascii="宋体" w:hAnsi="宋体" w:eastAsia="宋体" w:cs="宋体"/>
          <w:spacing w:val="4"/>
          <w:sz w:val="23"/>
          <w:szCs w:val="23"/>
        </w:rPr>
        <w:t xml:space="preserve">天计，则项目饲料年用量情况见下 </w:t>
      </w:r>
      <w:r>
        <w:rPr>
          <w:rFonts w:ascii="Times New Roman" w:hAnsi="Times New Roman" w:eastAsia="Times New Roman" w:cs="Times New Roman"/>
          <w:spacing w:val="4"/>
          <w:sz w:val="23"/>
          <w:szCs w:val="23"/>
        </w:rPr>
        <w:t>2.3- 1</w:t>
      </w:r>
      <w:r>
        <w:rPr>
          <w:rFonts w:ascii="宋体" w:hAnsi="宋体" w:eastAsia="宋体" w:cs="宋体"/>
          <w:spacing w:val="4"/>
          <w:sz w:val="23"/>
          <w:szCs w:val="23"/>
        </w:rPr>
        <w:t>。</w:t>
      </w:r>
    </w:p>
    <w:p w14:paraId="2F356382">
      <w:pPr>
        <w:sectPr>
          <w:footerReference r:id="rId68" w:type="default"/>
          <w:pgSz w:w="11907" w:h="16840"/>
          <w:pgMar w:top="400" w:right="976" w:bottom="1139" w:left="1119" w:header="0" w:footer="953" w:gutter="0"/>
          <w:cols w:space="720" w:num="1"/>
        </w:sectPr>
      </w:pPr>
    </w:p>
    <w:p w14:paraId="2E3731D8">
      <w:pPr>
        <w:spacing w:before="146" w:line="221" w:lineRule="auto"/>
        <w:ind w:left="3450"/>
        <w:rPr>
          <w:rFonts w:ascii="黑体" w:hAnsi="黑体" w:eastAsia="黑体" w:cs="黑体"/>
          <w:sz w:val="23"/>
          <w:szCs w:val="23"/>
        </w:rPr>
      </w:pPr>
      <w:r>
        <w:rPr>
          <w:rFonts w:ascii="黑体" w:hAnsi="黑体" w:eastAsia="黑体" w:cs="黑体"/>
          <w:spacing w:val="1"/>
          <w:sz w:val="23"/>
          <w:szCs w:val="23"/>
        </w:rPr>
        <w:t xml:space="preserve">表 </w:t>
      </w:r>
      <w:r>
        <w:rPr>
          <w:rFonts w:ascii="Times New Roman" w:hAnsi="Times New Roman" w:eastAsia="Times New Roman" w:cs="Times New Roman"/>
          <w:spacing w:val="1"/>
          <w:sz w:val="23"/>
          <w:szCs w:val="23"/>
        </w:rPr>
        <w:t xml:space="preserve">2.3- 1 </w:t>
      </w:r>
      <w:r>
        <w:rPr>
          <w:rFonts w:ascii="Times New Roman" w:hAnsi="Times New Roman" w:eastAsia="Times New Roman" w:cs="Times New Roman"/>
          <w:sz w:val="23"/>
          <w:szCs w:val="23"/>
        </w:rPr>
        <w:t xml:space="preserve"> </w:t>
      </w:r>
      <w:r>
        <w:rPr>
          <w:rFonts w:ascii="黑体" w:hAnsi="黑体" w:eastAsia="黑体" w:cs="黑体"/>
          <w:sz w:val="23"/>
          <w:szCs w:val="23"/>
        </w:rPr>
        <w:t>项目主要饲料消耗情况</w:t>
      </w:r>
    </w:p>
    <w:tbl>
      <w:tblPr>
        <w:tblStyle w:val="4"/>
        <w:tblW w:w="928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1660"/>
        <w:gridCol w:w="1605"/>
        <w:gridCol w:w="2203"/>
        <w:gridCol w:w="1530"/>
        <w:gridCol w:w="1594"/>
      </w:tblGrid>
      <w:tr w14:paraId="4B2863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696" w:type="dxa"/>
            <w:vMerge w:val="restart"/>
            <w:tcBorders>
              <w:left w:val="nil"/>
              <w:bottom w:val="nil"/>
            </w:tcBorders>
          </w:tcPr>
          <w:p w14:paraId="167FE71D">
            <w:pPr>
              <w:spacing w:before="197" w:line="229" w:lineRule="auto"/>
              <w:ind w:left="116"/>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1660" w:type="dxa"/>
            <w:vMerge w:val="restart"/>
            <w:tcBorders>
              <w:bottom w:val="nil"/>
            </w:tcBorders>
          </w:tcPr>
          <w:p w14:paraId="43D20D7D">
            <w:pPr>
              <w:spacing w:before="197" w:line="228" w:lineRule="auto"/>
              <w:ind w:left="627"/>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生猪种类</w:t>
            </w:r>
          </w:p>
        </w:tc>
        <w:tc>
          <w:tcPr>
            <w:tcW w:w="1605" w:type="dxa"/>
            <w:vMerge w:val="restart"/>
            <w:tcBorders>
              <w:bottom w:val="nil"/>
            </w:tcBorders>
          </w:tcPr>
          <w:p w14:paraId="6C5C58F6">
            <w:pPr>
              <w:spacing w:before="197" w:line="228" w:lineRule="auto"/>
              <w:ind w:left="323"/>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存</w:t>
            </w:r>
            <w:r>
              <w:rPr>
                <w:rFonts w:ascii="宋体" w:hAnsi="宋体" w:eastAsia="宋体" w:cs="宋体"/>
                <w:spacing w:val="6"/>
                <w:sz w:val="20"/>
                <w:szCs w:val="20"/>
                <w14:textOutline w14:w="3797" w14:cap="sq" w14:cmpd="sng" w14:algn="ctr">
                  <w14:solidFill>
                    <w14:srgbClr w14:val="000000"/>
                  </w14:solidFill>
                  <w14:prstDash w14:val="solid"/>
                  <w14:bevel/>
                </w14:textOutline>
              </w:rPr>
              <w:t>栏数</w:t>
            </w:r>
            <w:r>
              <w:rPr>
                <w:rFonts w:ascii="宋体" w:hAnsi="宋体" w:eastAsia="宋体" w:cs="宋体"/>
                <w:spacing w:val="6"/>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(头)</w:t>
            </w:r>
          </w:p>
        </w:tc>
        <w:tc>
          <w:tcPr>
            <w:tcW w:w="5327" w:type="dxa"/>
            <w:gridSpan w:val="3"/>
            <w:tcBorders>
              <w:right w:val="nil"/>
            </w:tcBorders>
          </w:tcPr>
          <w:p w14:paraId="2DCDCC6E">
            <w:pPr>
              <w:spacing w:before="56" w:line="225" w:lineRule="auto"/>
              <w:ind w:left="2354"/>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饲料消耗</w:t>
            </w:r>
            <w:r>
              <w:rPr>
                <w:rFonts w:ascii="宋体" w:hAnsi="宋体" w:eastAsia="宋体" w:cs="宋体"/>
                <w:spacing w:val="8"/>
                <w:sz w:val="20"/>
                <w:szCs w:val="20"/>
                <w14:textOutline w14:w="3797" w14:cap="sq" w14:cmpd="sng" w14:algn="ctr">
                  <w14:solidFill>
                    <w14:srgbClr w14:val="000000"/>
                  </w14:solidFill>
                  <w14:prstDash w14:val="solid"/>
                  <w14:bevel/>
                </w14:textOutline>
              </w:rPr>
              <w:t>量</w:t>
            </w:r>
          </w:p>
        </w:tc>
      </w:tr>
      <w:tr w14:paraId="053D6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5" w:hRule="atLeast"/>
        </w:trPr>
        <w:tc>
          <w:tcPr>
            <w:tcW w:w="696" w:type="dxa"/>
            <w:vMerge w:val="continue"/>
            <w:tcBorders>
              <w:top w:val="nil"/>
              <w:left w:val="nil"/>
            </w:tcBorders>
          </w:tcPr>
          <w:p w14:paraId="67806FB7"/>
        </w:tc>
        <w:tc>
          <w:tcPr>
            <w:tcW w:w="1660" w:type="dxa"/>
            <w:vMerge w:val="continue"/>
            <w:tcBorders>
              <w:top w:val="nil"/>
            </w:tcBorders>
          </w:tcPr>
          <w:p w14:paraId="454AA89B"/>
        </w:tc>
        <w:tc>
          <w:tcPr>
            <w:tcW w:w="1605" w:type="dxa"/>
            <w:vMerge w:val="continue"/>
            <w:tcBorders>
              <w:top w:val="nil"/>
            </w:tcBorders>
          </w:tcPr>
          <w:p w14:paraId="5C331614"/>
        </w:tc>
        <w:tc>
          <w:tcPr>
            <w:tcW w:w="2203" w:type="dxa"/>
          </w:tcPr>
          <w:p w14:paraId="2EE2D9F4">
            <w:pPr>
              <w:spacing w:line="275" w:lineRule="exact"/>
              <w:ind w:left="112"/>
              <w:rPr>
                <w:rFonts w:ascii="宋体" w:hAnsi="宋体" w:eastAsia="宋体" w:cs="宋体"/>
                <w:sz w:val="19"/>
                <w:szCs w:val="19"/>
              </w:rPr>
            </w:pPr>
            <w:r>
              <w:rPr>
                <w:rFonts w:ascii="宋体" w:hAnsi="宋体" w:eastAsia="宋体" w:cs="宋体"/>
                <w:spacing w:val="17"/>
                <w:position w:val="3"/>
                <w:sz w:val="19"/>
                <w:szCs w:val="19"/>
                <w14:textOutline w14:w="3606" w14:cap="sq" w14:cmpd="sng" w14:algn="ctr">
                  <w14:solidFill>
                    <w14:srgbClr w14:val="000000"/>
                  </w14:solidFill>
                  <w14:prstDash w14:val="solid"/>
                  <w14:bevel/>
                </w14:textOutline>
              </w:rPr>
              <w:t>饲</w:t>
            </w:r>
            <w:r>
              <w:rPr>
                <w:rFonts w:ascii="宋体" w:hAnsi="宋体" w:eastAsia="宋体" w:cs="宋体"/>
                <w:spacing w:val="16"/>
                <w:position w:val="3"/>
                <w:sz w:val="19"/>
                <w:szCs w:val="19"/>
                <w14:textOutline w14:w="3606" w14:cap="sq" w14:cmpd="sng" w14:algn="ctr">
                  <w14:solidFill>
                    <w14:srgbClr w14:val="000000"/>
                  </w14:solidFill>
                  <w14:prstDash w14:val="solid"/>
                  <w14:bevel/>
                </w14:textOutline>
              </w:rPr>
              <w:t>料定额</w:t>
            </w:r>
            <w:r>
              <w:rPr>
                <w:rFonts w:ascii="宋体" w:hAnsi="宋体" w:eastAsia="宋体" w:cs="宋体"/>
                <w:spacing w:val="16"/>
                <w:position w:val="3"/>
                <w:sz w:val="19"/>
                <w:szCs w:val="19"/>
              </w:rPr>
              <w:t xml:space="preserve"> </w:t>
            </w:r>
            <w:r>
              <w:rPr>
                <w:rFonts w:ascii="宋体" w:hAnsi="宋体" w:eastAsia="宋体" w:cs="宋体"/>
                <w:spacing w:val="16"/>
                <w:position w:val="3"/>
                <w:sz w:val="19"/>
                <w:szCs w:val="19"/>
                <w14:textOutline w14:w="3606" w14:cap="sq" w14:cmpd="sng" w14:algn="ctr">
                  <w14:solidFill>
                    <w14:srgbClr w14:val="000000"/>
                  </w14:solidFill>
                  <w14:prstDash w14:val="solid"/>
                  <w14:bevel/>
                </w14:textOutline>
              </w:rPr>
              <w:t>(</w:t>
            </w:r>
            <w:r>
              <w:rPr>
                <w:rFonts w:ascii="Times New Roman" w:hAnsi="Times New Roman" w:eastAsia="Times New Roman" w:cs="Times New Roman"/>
                <w:b/>
                <w:bCs/>
                <w:position w:val="3"/>
                <w:sz w:val="19"/>
                <w:szCs w:val="19"/>
              </w:rPr>
              <w:t>kg</w:t>
            </w:r>
            <w:r>
              <w:rPr>
                <w:rFonts w:ascii="Times New Roman" w:hAnsi="Times New Roman" w:eastAsia="Times New Roman" w:cs="Times New Roman"/>
                <w:b/>
                <w:bCs/>
                <w:spacing w:val="16"/>
                <w:position w:val="3"/>
                <w:sz w:val="19"/>
                <w:szCs w:val="19"/>
              </w:rPr>
              <w:t>/</w:t>
            </w:r>
            <w:r>
              <w:rPr>
                <w:rFonts w:ascii="宋体" w:hAnsi="宋体" w:eastAsia="宋体" w:cs="宋体"/>
                <w:spacing w:val="16"/>
                <w:position w:val="3"/>
                <w:sz w:val="19"/>
                <w:szCs w:val="19"/>
                <w14:textOutline w14:w="3606" w14:cap="sq" w14:cmpd="sng" w14:algn="ctr">
                  <w14:solidFill>
                    <w14:srgbClr w14:val="000000"/>
                  </w14:solidFill>
                  <w14:prstDash w14:val="solid"/>
                  <w14:bevel/>
                </w14:textOutline>
              </w:rPr>
              <w:t>头</w:t>
            </w:r>
            <w:r>
              <w:rPr>
                <w:rFonts w:ascii="Times New Roman" w:hAnsi="Times New Roman" w:eastAsia="Times New Roman" w:cs="Times New Roman"/>
                <w:b/>
                <w:bCs/>
                <w:spacing w:val="16"/>
                <w:position w:val="3"/>
                <w:sz w:val="19"/>
                <w:szCs w:val="19"/>
              </w:rPr>
              <w:t>·</w:t>
            </w:r>
            <w:r>
              <w:rPr>
                <w:rFonts w:ascii="Times New Roman" w:hAnsi="Times New Roman" w:eastAsia="Times New Roman" w:cs="Times New Roman"/>
                <w:b/>
                <w:bCs/>
                <w:position w:val="3"/>
                <w:sz w:val="19"/>
                <w:szCs w:val="19"/>
              </w:rPr>
              <w:t>d</w:t>
            </w:r>
            <w:r>
              <w:rPr>
                <w:rFonts w:ascii="宋体" w:hAnsi="宋体" w:eastAsia="宋体" w:cs="宋体"/>
                <w:spacing w:val="16"/>
                <w:position w:val="3"/>
                <w:sz w:val="19"/>
                <w:szCs w:val="19"/>
                <w14:textOutline w14:w="3606" w14:cap="sq" w14:cmpd="sng" w14:algn="ctr">
                  <w14:solidFill>
                    <w14:srgbClr w14:val="000000"/>
                  </w14:solidFill>
                  <w14:prstDash w14:val="solid"/>
                  <w14:bevel/>
                </w14:textOutline>
              </w:rPr>
              <w:t>)</w:t>
            </w:r>
          </w:p>
        </w:tc>
        <w:tc>
          <w:tcPr>
            <w:tcW w:w="1530" w:type="dxa"/>
          </w:tcPr>
          <w:p w14:paraId="4FD03391">
            <w:pPr>
              <w:spacing w:line="275" w:lineRule="exact"/>
              <w:ind w:left="149"/>
              <w:rPr>
                <w:rFonts w:ascii="宋体" w:hAnsi="宋体" w:eastAsia="宋体" w:cs="宋体"/>
                <w:sz w:val="19"/>
                <w:szCs w:val="19"/>
              </w:rPr>
            </w:pPr>
            <w:r>
              <w:rPr>
                <w:rFonts w:ascii="宋体" w:hAnsi="宋体" w:eastAsia="宋体" w:cs="宋体"/>
                <w:spacing w:val="12"/>
                <w:position w:val="1"/>
                <w:sz w:val="19"/>
                <w:szCs w:val="19"/>
                <w14:textOutline w14:w="3606" w14:cap="sq" w14:cmpd="sng" w14:algn="ctr">
                  <w14:solidFill>
                    <w14:srgbClr w14:val="000000"/>
                  </w14:solidFill>
                  <w14:prstDash w14:val="solid"/>
                  <w14:bevel/>
                </w14:textOutline>
              </w:rPr>
              <w:t>日消耗量(</w:t>
            </w:r>
            <w:r>
              <w:rPr>
                <w:rFonts w:ascii="Times New Roman" w:hAnsi="Times New Roman" w:eastAsia="Times New Roman" w:cs="Times New Roman"/>
                <w:b/>
                <w:bCs/>
                <w:position w:val="1"/>
                <w:sz w:val="19"/>
                <w:szCs w:val="19"/>
              </w:rPr>
              <w:t>t</w:t>
            </w:r>
            <w:r>
              <w:rPr>
                <w:rFonts w:ascii="Times New Roman" w:hAnsi="Times New Roman" w:eastAsia="Times New Roman" w:cs="Times New Roman"/>
                <w:b/>
                <w:bCs/>
                <w:spacing w:val="12"/>
                <w:position w:val="1"/>
                <w:sz w:val="19"/>
                <w:szCs w:val="19"/>
              </w:rPr>
              <w:t>/</w:t>
            </w:r>
            <w:r>
              <w:rPr>
                <w:rFonts w:ascii="Times New Roman" w:hAnsi="Times New Roman" w:eastAsia="Times New Roman" w:cs="Times New Roman"/>
                <w:b/>
                <w:bCs/>
                <w:position w:val="1"/>
                <w:sz w:val="19"/>
                <w:szCs w:val="19"/>
              </w:rPr>
              <w:t>d</w:t>
            </w:r>
            <w:r>
              <w:rPr>
                <w:rFonts w:ascii="宋体" w:hAnsi="宋体" w:eastAsia="宋体" w:cs="宋体"/>
                <w:spacing w:val="12"/>
                <w:position w:val="1"/>
                <w:sz w:val="19"/>
                <w:szCs w:val="19"/>
                <w14:textOutline w14:w="3606" w14:cap="sq" w14:cmpd="sng" w14:algn="ctr">
                  <w14:solidFill>
                    <w14:srgbClr w14:val="000000"/>
                  </w14:solidFill>
                  <w14:prstDash w14:val="solid"/>
                  <w14:bevel/>
                </w14:textOutline>
              </w:rPr>
              <w:t>)</w:t>
            </w:r>
          </w:p>
        </w:tc>
        <w:tc>
          <w:tcPr>
            <w:tcW w:w="1594" w:type="dxa"/>
            <w:tcBorders>
              <w:right w:val="nil"/>
            </w:tcBorders>
          </w:tcPr>
          <w:p w14:paraId="015717EC">
            <w:pPr>
              <w:spacing w:line="275" w:lineRule="exact"/>
              <w:ind w:left="113"/>
              <w:rPr>
                <w:rFonts w:ascii="宋体" w:hAnsi="宋体" w:eastAsia="宋体" w:cs="宋体"/>
                <w:sz w:val="19"/>
                <w:szCs w:val="19"/>
              </w:rPr>
            </w:pPr>
            <w:r>
              <w:rPr>
                <w:rFonts w:ascii="宋体" w:hAnsi="宋体" w:eastAsia="宋体" w:cs="宋体"/>
                <w:spacing w:val="6"/>
                <w:position w:val="1"/>
                <w:sz w:val="19"/>
                <w:szCs w:val="19"/>
                <w14:textOutline w14:w="3606" w14:cap="sq" w14:cmpd="sng" w14:algn="ctr">
                  <w14:solidFill>
                    <w14:srgbClr w14:val="000000"/>
                  </w14:solidFill>
                  <w14:prstDash w14:val="solid"/>
                  <w14:bevel/>
                </w14:textOutline>
              </w:rPr>
              <w:t>年消耗量</w:t>
            </w:r>
            <w:r>
              <w:rPr>
                <w:rFonts w:ascii="宋体" w:hAnsi="宋体" w:eastAsia="宋体" w:cs="宋体"/>
                <w:spacing w:val="6"/>
                <w:position w:val="1"/>
                <w:sz w:val="19"/>
                <w:szCs w:val="19"/>
              </w:rPr>
              <w:t xml:space="preserve"> </w:t>
            </w:r>
            <w:r>
              <w:rPr>
                <w:rFonts w:ascii="宋体" w:hAnsi="宋体" w:eastAsia="宋体" w:cs="宋体"/>
                <w:spacing w:val="6"/>
                <w:position w:val="1"/>
                <w:sz w:val="19"/>
                <w:szCs w:val="19"/>
                <w14:textOutline w14:w="3606" w14:cap="sq" w14:cmpd="sng" w14:algn="ctr">
                  <w14:solidFill>
                    <w14:srgbClr w14:val="000000"/>
                  </w14:solidFill>
                  <w14:prstDash w14:val="solid"/>
                  <w14:bevel/>
                </w14:textOutline>
              </w:rPr>
              <w:t>(</w:t>
            </w:r>
            <w:r>
              <w:rPr>
                <w:rFonts w:ascii="Times New Roman" w:hAnsi="Times New Roman" w:eastAsia="Times New Roman" w:cs="Times New Roman"/>
                <w:b/>
                <w:bCs/>
                <w:position w:val="1"/>
                <w:sz w:val="19"/>
                <w:szCs w:val="19"/>
              </w:rPr>
              <w:t>t</w:t>
            </w:r>
            <w:r>
              <w:rPr>
                <w:rFonts w:ascii="Times New Roman" w:hAnsi="Times New Roman" w:eastAsia="Times New Roman" w:cs="Times New Roman"/>
                <w:b/>
                <w:bCs/>
                <w:spacing w:val="6"/>
                <w:position w:val="1"/>
                <w:sz w:val="19"/>
                <w:szCs w:val="19"/>
              </w:rPr>
              <w:t>/</w:t>
            </w:r>
            <w:r>
              <w:rPr>
                <w:rFonts w:ascii="Times New Roman" w:hAnsi="Times New Roman" w:eastAsia="Times New Roman" w:cs="Times New Roman"/>
                <w:b/>
                <w:bCs/>
                <w:position w:val="1"/>
                <w:sz w:val="19"/>
                <w:szCs w:val="19"/>
              </w:rPr>
              <w:t>a</w:t>
            </w:r>
            <w:r>
              <w:rPr>
                <w:rFonts w:ascii="Times New Roman" w:hAnsi="Times New Roman" w:eastAsia="Times New Roman" w:cs="Times New Roman"/>
                <w:spacing w:val="6"/>
                <w:position w:val="1"/>
                <w:sz w:val="19"/>
                <w:szCs w:val="19"/>
              </w:rPr>
              <w:t xml:space="preserve"> </w:t>
            </w:r>
            <w:r>
              <w:rPr>
                <w:rFonts w:ascii="宋体" w:hAnsi="宋体" w:eastAsia="宋体" w:cs="宋体"/>
                <w:spacing w:val="4"/>
                <w:position w:val="1"/>
                <w:sz w:val="19"/>
                <w:szCs w:val="19"/>
                <w14:textOutline w14:w="3606" w14:cap="sq" w14:cmpd="sng" w14:algn="ctr">
                  <w14:solidFill>
                    <w14:srgbClr w14:val="000000"/>
                  </w14:solidFill>
                  <w14:prstDash w14:val="solid"/>
                  <w14:bevel/>
                </w14:textOutline>
              </w:rPr>
              <w:t>)</w:t>
            </w:r>
          </w:p>
        </w:tc>
      </w:tr>
      <w:tr w14:paraId="44115D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696" w:type="dxa"/>
            <w:tcBorders>
              <w:left w:val="nil"/>
            </w:tcBorders>
          </w:tcPr>
          <w:p w14:paraId="20D1C0C4">
            <w:pPr>
              <w:spacing w:before="104" w:line="195" w:lineRule="auto"/>
              <w:ind w:left="342"/>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660" w:type="dxa"/>
          </w:tcPr>
          <w:p w14:paraId="29DCE6F2">
            <w:pPr>
              <w:spacing w:before="65" w:line="227" w:lineRule="auto"/>
              <w:ind w:left="739"/>
              <w:rPr>
                <w:rFonts w:ascii="宋体" w:hAnsi="宋体" w:eastAsia="宋体" w:cs="宋体"/>
                <w:sz w:val="20"/>
                <w:szCs w:val="20"/>
              </w:rPr>
            </w:pPr>
            <w:r>
              <w:rPr>
                <w:rFonts w:ascii="宋体" w:hAnsi="宋体" w:eastAsia="宋体" w:cs="宋体"/>
                <w:spacing w:val="4"/>
                <w:sz w:val="20"/>
                <w:szCs w:val="20"/>
              </w:rPr>
              <w:t>育肥猪</w:t>
            </w:r>
          </w:p>
        </w:tc>
        <w:tc>
          <w:tcPr>
            <w:tcW w:w="1605" w:type="dxa"/>
          </w:tcPr>
          <w:p w14:paraId="1A948DE6">
            <w:pPr>
              <w:spacing w:before="104" w:line="195" w:lineRule="auto"/>
              <w:ind w:left="549"/>
              <w:rPr>
                <w:rFonts w:ascii="Times New Roman" w:hAnsi="Times New Roman" w:eastAsia="Times New Roman" w:cs="Times New Roman"/>
                <w:sz w:val="20"/>
                <w:szCs w:val="20"/>
              </w:rPr>
            </w:pPr>
            <w:r>
              <w:rPr>
                <w:rFonts w:ascii="Times New Roman" w:hAnsi="Times New Roman" w:eastAsia="Times New Roman" w:cs="Times New Roman"/>
                <w:sz w:val="20"/>
                <w:szCs w:val="20"/>
              </w:rPr>
              <w:t>10400</w:t>
            </w:r>
          </w:p>
        </w:tc>
        <w:tc>
          <w:tcPr>
            <w:tcW w:w="2203" w:type="dxa"/>
          </w:tcPr>
          <w:p w14:paraId="50146052">
            <w:pPr>
              <w:spacing w:before="104" w:line="198" w:lineRule="auto"/>
              <w:ind w:left="94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2</w:t>
            </w:r>
            <w:r>
              <w:rPr>
                <w:rFonts w:ascii="Times New Roman" w:hAnsi="Times New Roman" w:eastAsia="Times New Roman" w:cs="Times New Roman"/>
                <w:spacing w:val="4"/>
                <w:sz w:val="20"/>
                <w:szCs w:val="20"/>
              </w:rPr>
              <w:t>.5</w:t>
            </w:r>
          </w:p>
        </w:tc>
        <w:tc>
          <w:tcPr>
            <w:tcW w:w="1530" w:type="dxa"/>
          </w:tcPr>
          <w:p w14:paraId="38C00EFB">
            <w:pPr>
              <w:spacing w:before="104" w:line="195" w:lineRule="auto"/>
              <w:ind w:left="66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
                <w:sz w:val="20"/>
                <w:szCs w:val="20"/>
              </w:rPr>
              <w:t>6</w:t>
            </w:r>
          </w:p>
        </w:tc>
        <w:tc>
          <w:tcPr>
            <w:tcW w:w="1594" w:type="dxa"/>
            <w:tcBorders>
              <w:right w:val="nil"/>
            </w:tcBorders>
          </w:tcPr>
          <w:p w14:paraId="3B0B859B">
            <w:pPr>
              <w:spacing w:before="104" w:line="195" w:lineRule="auto"/>
              <w:ind w:left="59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3900</w:t>
            </w:r>
          </w:p>
        </w:tc>
      </w:tr>
    </w:tbl>
    <w:p w14:paraId="6942C168">
      <w:pPr>
        <w:spacing w:line="278" w:lineRule="exact"/>
        <w:ind w:left="596"/>
        <w:rPr>
          <w:rFonts w:ascii="Times New Roman" w:hAnsi="Times New Roman" w:eastAsia="Times New Roman" w:cs="Times New Roman"/>
          <w:sz w:val="20"/>
          <w:szCs w:val="20"/>
        </w:rPr>
      </w:pPr>
      <w:r>
        <w:rPr>
          <w:rFonts w:ascii="宋体" w:hAnsi="宋体" w:eastAsia="宋体" w:cs="宋体"/>
          <w:spacing w:val="4"/>
          <w:position w:val="1"/>
          <w:sz w:val="20"/>
          <w:szCs w:val="20"/>
        </w:rPr>
        <w:t>根据业主提供的资料，饲</w:t>
      </w:r>
      <w:r>
        <w:rPr>
          <w:rFonts w:ascii="宋体" w:hAnsi="宋体" w:eastAsia="宋体" w:cs="宋体"/>
          <w:spacing w:val="2"/>
          <w:position w:val="1"/>
          <w:sz w:val="20"/>
          <w:szCs w:val="20"/>
        </w:rPr>
        <w:t xml:space="preserve">料主要原料组成为：玉米 </w:t>
      </w:r>
      <w:r>
        <w:rPr>
          <w:rFonts w:ascii="Times New Roman" w:hAnsi="Times New Roman" w:eastAsia="Times New Roman" w:cs="Times New Roman"/>
          <w:spacing w:val="2"/>
          <w:position w:val="1"/>
          <w:sz w:val="20"/>
          <w:szCs w:val="20"/>
        </w:rPr>
        <w:t xml:space="preserve">70% </w:t>
      </w:r>
      <w:r>
        <w:rPr>
          <w:rFonts w:ascii="宋体" w:hAnsi="宋体" w:eastAsia="宋体" w:cs="宋体"/>
          <w:spacing w:val="2"/>
          <w:position w:val="1"/>
          <w:sz w:val="20"/>
          <w:szCs w:val="20"/>
        </w:rPr>
        <w:t xml:space="preserve">，蛋白质原料 </w:t>
      </w:r>
      <w:r>
        <w:rPr>
          <w:rFonts w:ascii="Times New Roman" w:hAnsi="Times New Roman" w:eastAsia="Times New Roman" w:cs="Times New Roman"/>
          <w:spacing w:val="2"/>
          <w:position w:val="1"/>
          <w:sz w:val="20"/>
          <w:szCs w:val="20"/>
        </w:rPr>
        <w:t xml:space="preserve">20% </w:t>
      </w:r>
      <w:r>
        <w:rPr>
          <w:rFonts w:ascii="宋体" w:hAnsi="宋体" w:eastAsia="宋体" w:cs="宋体"/>
          <w:spacing w:val="2"/>
          <w:position w:val="1"/>
          <w:sz w:val="20"/>
          <w:szCs w:val="20"/>
        </w:rPr>
        <w:t xml:space="preserve">，其他 </w:t>
      </w:r>
      <w:r>
        <w:rPr>
          <w:rFonts w:ascii="Times New Roman" w:hAnsi="Times New Roman" w:eastAsia="Times New Roman" w:cs="Times New Roman"/>
          <w:spacing w:val="2"/>
          <w:position w:val="1"/>
          <w:sz w:val="20"/>
          <w:szCs w:val="20"/>
        </w:rPr>
        <w:t>10%</w:t>
      </w:r>
    </w:p>
    <w:p w14:paraId="4102A8A5">
      <w:pPr>
        <w:spacing w:before="169" w:line="228" w:lineRule="auto"/>
        <w:ind w:left="609"/>
        <w:rPr>
          <w:rFonts w:ascii="宋体" w:hAnsi="宋体" w:eastAsia="宋体" w:cs="宋体"/>
          <w:sz w:val="23"/>
          <w:szCs w:val="23"/>
        </w:rPr>
      </w:pPr>
      <w:r>
        <w:rPr>
          <w:rFonts w:ascii="宋体" w:hAnsi="宋体" w:eastAsia="宋体" w:cs="宋体"/>
          <w:spacing w:val="16"/>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5"/>
          <w:sz w:val="23"/>
          <w:szCs w:val="23"/>
        </w:rPr>
        <w:t>2</w:t>
      </w:r>
      <w:r>
        <w:rPr>
          <w:rFonts w:ascii="宋体" w:hAnsi="宋体" w:eastAsia="宋体" w:cs="宋体"/>
          <w:spacing w:val="15"/>
          <w:sz w:val="23"/>
          <w:szCs w:val="23"/>
          <w14:textOutline w14:w="4356" w14:cap="sq" w14:cmpd="sng" w14:algn="ctr">
            <w14:solidFill>
              <w14:srgbClr w14:val="000000"/>
            </w14:solidFill>
            <w14:prstDash w14:val="solid"/>
            <w14:bevel/>
          </w14:textOutline>
        </w:rPr>
        <w:t>)</w:t>
      </w:r>
      <w:r>
        <w:rPr>
          <w:rFonts w:ascii="宋体" w:hAnsi="宋体" w:eastAsia="宋体" w:cs="宋体"/>
          <w:spacing w:val="15"/>
          <w:sz w:val="23"/>
          <w:szCs w:val="23"/>
        </w:rPr>
        <w:t xml:space="preserve"> </w:t>
      </w:r>
      <w:r>
        <w:rPr>
          <w:rFonts w:ascii="宋体" w:hAnsi="宋体" w:eastAsia="宋体" w:cs="宋体"/>
          <w:spacing w:val="15"/>
          <w:sz w:val="23"/>
          <w:szCs w:val="23"/>
          <w14:textOutline w14:w="4356" w14:cap="sq" w14:cmpd="sng" w14:algn="ctr">
            <w14:solidFill>
              <w14:srgbClr w14:val="000000"/>
            </w14:solidFill>
            <w14:prstDash w14:val="solid"/>
            <w14:bevel/>
          </w14:textOutline>
        </w:rPr>
        <w:t>项目兽药、疫苗、消毒剂等用量</w:t>
      </w:r>
    </w:p>
    <w:p w14:paraId="1E0C9111">
      <w:pPr>
        <w:spacing w:before="185" w:line="382" w:lineRule="auto"/>
        <w:ind w:left="145" w:right="107" w:firstLine="455"/>
        <w:rPr>
          <w:rFonts w:ascii="宋体" w:hAnsi="宋体" w:eastAsia="宋体" w:cs="宋体"/>
          <w:sz w:val="23"/>
          <w:szCs w:val="23"/>
        </w:rPr>
      </w:pPr>
      <w:r>
        <w:rPr>
          <w:rFonts w:ascii="宋体" w:hAnsi="宋体" w:eastAsia="宋体" w:cs="宋体"/>
          <w:spacing w:val="7"/>
          <w:sz w:val="23"/>
          <w:szCs w:val="23"/>
        </w:rPr>
        <w:t>为预防猪疫病的发生，保证猪场的正常运营，需做好防疫及消毒工作，并对病猪及时</w:t>
      </w:r>
      <w:r>
        <w:rPr>
          <w:rFonts w:ascii="宋体" w:hAnsi="宋体" w:eastAsia="宋体" w:cs="宋体"/>
          <w:spacing w:val="5"/>
          <w:sz w:val="23"/>
          <w:szCs w:val="23"/>
        </w:rPr>
        <w:t>给</w:t>
      </w:r>
      <w:r>
        <w:rPr>
          <w:rFonts w:ascii="宋体" w:hAnsi="宋体" w:eastAsia="宋体" w:cs="宋体"/>
          <w:sz w:val="23"/>
          <w:szCs w:val="23"/>
        </w:rPr>
        <w:t xml:space="preserve"> </w:t>
      </w:r>
      <w:r>
        <w:rPr>
          <w:rFonts w:ascii="宋体" w:hAnsi="宋体" w:eastAsia="宋体" w:cs="宋体"/>
          <w:spacing w:val="6"/>
          <w:sz w:val="23"/>
          <w:szCs w:val="23"/>
        </w:rPr>
        <w:t xml:space="preserve">以治疗，猪场在生产中使用的兽药、疫苗、消毒剂等用量见表 </w:t>
      </w:r>
      <w:r>
        <w:rPr>
          <w:rFonts w:ascii="Times New Roman" w:hAnsi="Times New Roman" w:eastAsia="Times New Roman" w:cs="Times New Roman"/>
          <w:spacing w:val="6"/>
          <w:sz w:val="23"/>
          <w:szCs w:val="23"/>
        </w:rPr>
        <w:t>2.3-9</w:t>
      </w:r>
      <w:r>
        <w:rPr>
          <w:rFonts w:ascii="宋体" w:hAnsi="宋体" w:eastAsia="宋体" w:cs="宋体"/>
          <w:sz w:val="23"/>
          <w:szCs w:val="23"/>
        </w:rPr>
        <w:t>。</w:t>
      </w:r>
    </w:p>
    <w:p w14:paraId="63260BD2">
      <w:pPr>
        <w:spacing w:before="100" w:line="221" w:lineRule="auto"/>
        <w:ind w:left="3690"/>
        <w:rPr>
          <w:rFonts w:ascii="黑体" w:hAnsi="黑体" w:eastAsia="黑体" w:cs="黑体"/>
          <w:sz w:val="23"/>
          <w:szCs w:val="23"/>
        </w:rPr>
      </w:pPr>
      <w:r>
        <w:rPr>
          <w:rFonts w:ascii="黑体" w:hAnsi="黑体" w:eastAsia="黑体" w:cs="黑体"/>
          <w:spacing w:val="4"/>
          <w:sz w:val="23"/>
          <w:szCs w:val="23"/>
        </w:rPr>
        <w:t xml:space="preserve">表 </w:t>
      </w:r>
      <w:r>
        <w:rPr>
          <w:rFonts w:ascii="Times New Roman" w:hAnsi="Times New Roman" w:eastAsia="Times New Roman" w:cs="Times New Roman"/>
          <w:spacing w:val="4"/>
          <w:sz w:val="23"/>
          <w:szCs w:val="23"/>
        </w:rPr>
        <w:t>2.3-</w:t>
      </w:r>
      <w:r>
        <w:rPr>
          <w:rFonts w:ascii="Times New Roman" w:hAnsi="Times New Roman" w:eastAsia="Times New Roman" w:cs="Times New Roman"/>
          <w:spacing w:val="2"/>
          <w:sz w:val="23"/>
          <w:szCs w:val="23"/>
        </w:rPr>
        <w:t xml:space="preserve">2  </w:t>
      </w:r>
      <w:r>
        <w:rPr>
          <w:rFonts w:ascii="黑体" w:hAnsi="黑体" w:eastAsia="黑体" w:cs="黑体"/>
          <w:spacing w:val="2"/>
          <w:sz w:val="23"/>
          <w:szCs w:val="23"/>
        </w:rPr>
        <w:t>项目药物消耗情况</w:t>
      </w:r>
    </w:p>
    <w:tbl>
      <w:tblPr>
        <w:tblStyle w:val="4"/>
        <w:tblW w:w="9231" w:type="dxa"/>
        <w:tblInd w:w="2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1365"/>
        <w:gridCol w:w="1406"/>
        <w:gridCol w:w="2704"/>
        <w:gridCol w:w="2957"/>
      </w:tblGrid>
      <w:tr w14:paraId="334A1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99" w:type="dxa"/>
            <w:tcBorders>
              <w:left w:val="nil"/>
            </w:tcBorders>
          </w:tcPr>
          <w:p w14:paraId="45A05E8A">
            <w:pPr>
              <w:spacing w:before="176" w:line="227" w:lineRule="auto"/>
              <w:ind w:left="195"/>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1365" w:type="dxa"/>
          </w:tcPr>
          <w:p w14:paraId="3457B983">
            <w:pPr>
              <w:spacing w:before="176" w:line="227" w:lineRule="auto"/>
              <w:ind w:left="690"/>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名</w:t>
            </w:r>
            <w:r>
              <w:rPr>
                <w:rFonts w:ascii="宋体" w:hAnsi="宋体" w:eastAsia="宋体" w:cs="宋体"/>
                <w:spacing w:val="4"/>
                <w:sz w:val="20"/>
                <w:szCs w:val="20"/>
                <w14:textOutline w14:w="3797" w14:cap="sq" w14:cmpd="sng" w14:algn="ctr">
                  <w14:solidFill>
                    <w14:srgbClr w14:val="000000"/>
                  </w14:solidFill>
                  <w14:prstDash w14:val="solid"/>
                  <w14:bevel/>
                </w14:textOutline>
              </w:rPr>
              <w:t>称</w:t>
            </w:r>
          </w:p>
        </w:tc>
        <w:tc>
          <w:tcPr>
            <w:tcW w:w="1406" w:type="dxa"/>
          </w:tcPr>
          <w:p w14:paraId="2474A737">
            <w:pPr>
              <w:spacing w:before="176" w:line="227" w:lineRule="auto"/>
              <w:ind w:left="709"/>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用量</w:t>
            </w:r>
          </w:p>
        </w:tc>
        <w:tc>
          <w:tcPr>
            <w:tcW w:w="2704" w:type="dxa"/>
          </w:tcPr>
          <w:p w14:paraId="2A3FAD8B">
            <w:pPr>
              <w:spacing w:before="176" w:line="227" w:lineRule="auto"/>
              <w:ind w:left="941"/>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常</w:t>
            </w:r>
            <w:r>
              <w:rPr>
                <w:rFonts w:ascii="宋体" w:hAnsi="宋体" w:eastAsia="宋体" w:cs="宋体"/>
                <w:spacing w:val="8"/>
                <w:sz w:val="20"/>
                <w:szCs w:val="20"/>
                <w14:textOutline w14:w="3797" w14:cap="sq" w14:cmpd="sng" w14:algn="ctr">
                  <w14:solidFill>
                    <w14:srgbClr w14:val="000000"/>
                  </w14:solidFill>
                  <w14:prstDash w14:val="solid"/>
                  <w14:bevel/>
                </w14:textOutline>
              </w:rPr>
              <w:t>用药品名称</w:t>
            </w:r>
          </w:p>
        </w:tc>
        <w:tc>
          <w:tcPr>
            <w:tcW w:w="2957" w:type="dxa"/>
            <w:tcBorders>
              <w:right w:val="nil"/>
            </w:tcBorders>
          </w:tcPr>
          <w:p w14:paraId="67F168B0">
            <w:pPr>
              <w:spacing w:before="176" w:line="227" w:lineRule="auto"/>
              <w:ind w:left="1066"/>
              <w:rPr>
                <w:rFonts w:ascii="宋体" w:hAnsi="宋体" w:eastAsia="宋体" w:cs="宋体"/>
                <w:sz w:val="20"/>
                <w:szCs w:val="20"/>
              </w:rPr>
            </w:pPr>
            <w:r>
              <w:rPr>
                <w:rFonts w:ascii="宋体" w:hAnsi="宋体" w:eastAsia="宋体" w:cs="宋体"/>
                <w:spacing w:val="11"/>
                <w:sz w:val="20"/>
                <w:szCs w:val="20"/>
                <w14:textOutline w14:w="3797" w14:cap="sq" w14:cmpd="sng" w14:algn="ctr">
                  <w14:solidFill>
                    <w14:srgbClr w14:val="000000"/>
                  </w14:solidFill>
                  <w14:prstDash w14:val="solid"/>
                  <w14:bevel/>
                </w14:textOutline>
              </w:rPr>
              <w:t>药</w:t>
            </w:r>
            <w:r>
              <w:rPr>
                <w:rFonts w:ascii="宋体" w:hAnsi="宋体" w:eastAsia="宋体" w:cs="宋体"/>
                <w:spacing w:val="8"/>
                <w:sz w:val="20"/>
                <w:szCs w:val="20"/>
                <w14:textOutline w14:w="3797" w14:cap="sq" w14:cmpd="sng" w14:algn="ctr">
                  <w14:solidFill>
                    <w14:srgbClr w14:val="000000"/>
                  </w14:solidFill>
                  <w14:prstDash w14:val="solid"/>
                  <w14:bevel/>
                </w14:textOutline>
              </w:rPr>
              <w:t>品主要成分</w:t>
            </w:r>
          </w:p>
        </w:tc>
      </w:tr>
      <w:tr w14:paraId="0470C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99" w:type="dxa"/>
            <w:vMerge w:val="restart"/>
            <w:tcBorders>
              <w:left w:val="nil"/>
              <w:bottom w:val="nil"/>
            </w:tcBorders>
          </w:tcPr>
          <w:p w14:paraId="3C0D201E">
            <w:pPr>
              <w:spacing w:line="290" w:lineRule="auto"/>
            </w:pPr>
          </w:p>
          <w:p w14:paraId="5E95ED59">
            <w:pPr>
              <w:spacing w:before="57" w:line="195" w:lineRule="auto"/>
              <w:ind w:left="476"/>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365" w:type="dxa"/>
            <w:vMerge w:val="restart"/>
            <w:tcBorders>
              <w:bottom w:val="nil"/>
            </w:tcBorders>
          </w:tcPr>
          <w:p w14:paraId="38BF4FFE">
            <w:pPr>
              <w:spacing w:line="246" w:lineRule="auto"/>
            </w:pPr>
          </w:p>
          <w:p w14:paraId="1E6C82E4">
            <w:pPr>
              <w:spacing w:before="65" w:line="227" w:lineRule="auto"/>
              <w:ind w:left="481"/>
              <w:rPr>
                <w:rFonts w:ascii="宋体" w:hAnsi="宋体" w:eastAsia="宋体" w:cs="宋体"/>
                <w:sz w:val="20"/>
                <w:szCs w:val="20"/>
              </w:rPr>
            </w:pPr>
            <w:r>
              <w:rPr>
                <w:rFonts w:ascii="宋体" w:hAnsi="宋体" w:eastAsia="宋体" w:cs="宋体"/>
                <w:spacing w:val="6"/>
                <w:sz w:val="20"/>
                <w:szCs w:val="20"/>
              </w:rPr>
              <w:t>消</w:t>
            </w:r>
            <w:r>
              <w:rPr>
                <w:rFonts w:ascii="宋体" w:hAnsi="宋体" w:eastAsia="宋体" w:cs="宋体"/>
                <w:spacing w:val="5"/>
                <w:sz w:val="20"/>
                <w:szCs w:val="20"/>
              </w:rPr>
              <w:t>毒剂</w:t>
            </w:r>
          </w:p>
        </w:tc>
        <w:tc>
          <w:tcPr>
            <w:tcW w:w="1406" w:type="dxa"/>
            <w:vMerge w:val="restart"/>
            <w:tcBorders>
              <w:bottom w:val="nil"/>
            </w:tcBorders>
          </w:tcPr>
          <w:p w14:paraId="43E62079">
            <w:pPr>
              <w:spacing w:before="176" w:line="268" w:lineRule="auto"/>
              <w:ind w:left="180" w:right="181" w:firstLine="62"/>
              <w:rPr>
                <w:rFonts w:ascii="宋体" w:hAnsi="宋体" w:eastAsia="宋体" w:cs="宋体"/>
                <w:sz w:val="20"/>
                <w:szCs w:val="20"/>
              </w:rPr>
            </w:pPr>
            <w:r>
              <w:rPr>
                <w:rFonts w:ascii="宋体" w:hAnsi="宋体" w:eastAsia="宋体" w:cs="宋体"/>
                <w:spacing w:val="-4"/>
                <w:sz w:val="20"/>
                <w:szCs w:val="20"/>
              </w:rPr>
              <w:t xml:space="preserve">约 </w:t>
            </w:r>
            <w:r>
              <w:rPr>
                <w:rFonts w:ascii="Times New Roman" w:hAnsi="Times New Roman" w:eastAsia="Times New Roman" w:cs="Times New Roman"/>
                <w:spacing w:val="-2"/>
                <w:sz w:val="20"/>
                <w:szCs w:val="20"/>
              </w:rPr>
              <w:t xml:space="preserve">1800 </w:t>
            </w:r>
            <w:r>
              <w:rPr>
                <w:rFonts w:ascii="宋体" w:hAnsi="宋体" w:eastAsia="宋体" w:cs="宋体"/>
                <w:spacing w:val="-2"/>
                <w:sz w:val="20"/>
                <w:szCs w:val="20"/>
              </w:rPr>
              <w:t>瓶</w:t>
            </w:r>
            <w:r>
              <w:rPr>
                <w:rFonts w:ascii="宋体" w:hAnsi="宋体" w:eastAsia="宋体" w:cs="宋体"/>
                <w:sz w:val="20"/>
                <w:szCs w:val="20"/>
              </w:rPr>
              <w:t xml:space="preserve"> </w:t>
            </w:r>
            <w:r>
              <w:rPr>
                <w:rFonts w:ascii="宋体" w:hAnsi="宋体" w:eastAsia="宋体" w:cs="宋体"/>
                <w:spacing w:val="16"/>
                <w:sz w:val="20"/>
                <w:szCs w:val="20"/>
              </w:rPr>
              <w:t>(</w:t>
            </w:r>
            <w:r>
              <w:rPr>
                <w:rFonts w:ascii="Times New Roman" w:hAnsi="Times New Roman" w:eastAsia="Times New Roman" w:cs="Times New Roman"/>
                <w:spacing w:val="16"/>
                <w:sz w:val="20"/>
                <w:szCs w:val="20"/>
              </w:rPr>
              <w:t>0.5</w:t>
            </w:r>
            <w:r>
              <w:rPr>
                <w:rFonts w:ascii="Times New Roman" w:hAnsi="Times New Roman" w:eastAsia="Times New Roman" w:cs="Times New Roman"/>
                <w:sz w:val="20"/>
                <w:szCs w:val="20"/>
              </w:rPr>
              <w:t>L</w:t>
            </w:r>
            <w:r>
              <w:rPr>
                <w:rFonts w:ascii="Times New Roman" w:hAnsi="Times New Roman" w:eastAsia="Times New Roman" w:cs="Times New Roman"/>
                <w:spacing w:val="16"/>
                <w:sz w:val="20"/>
                <w:szCs w:val="20"/>
              </w:rPr>
              <w:t>/</w:t>
            </w:r>
            <w:r>
              <w:rPr>
                <w:rFonts w:ascii="宋体" w:hAnsi="宋体" w:eastAsia="宋体" w:cs="宋体"/>
                <w:spacing w:val="16"/>
                <w:sz w:val="20"/>
                <w:szCs w:val="20"/>
              </w:rPr>
              <w:t>瓶</w:t>
            </w:r>
            <w:r>
              <w:rPr>
                <w:rFonts w:ascii="宋体" w:hAnsi="宋体" w:eastAsia="宋体" w:cs="宋体"/>
                <w:spacing w:val="15"/>
                <w:sz w:val="20"/>
                <w:szCs w:val="20"/>
              </w:rPr>
              <w:t>)</w:t>
            </w:r>
          </w:p>
        </w:tc>
        <w:tc>
          <w:tcPr>
            <w:tcW w:w="2704" w:type="dxa"/>
          </w:tcPr>
          <w:p w14:paraId="6E788BE9">
            <w:pPr>
              <w:spacing w:before="30" w:line="227" w:lineRule="auto"/>
              <w:ind w:left="952"/>
              <w:rPr>
                <w:rFonts w:ascii="宋体" w:hAnsi="宋体" w:eastAsia="宋体" w:cs="宋体"/>
                <w:sz w:val="20"/>
                <w:szCs w:val="20"/>
              </w:rPr>
            </w:pPr>
            <w:r>
              <w:rPr>
                <w:rFonts w:ascii="宋体" w:hAnsi="宋体" w:eastAsia="宋体" w:cs="宋体"/>
                <w:spacing w:val="5"/>
                <w:sz w:val="20"/>
                <w:szCs w:val="20"/>
              </w:rPr>
              <w:t>烧碱</w:t>
            </w:r>
          </w:p>
        </w:tc>
        <w:tc>
          <w:tcPr>
            <w:tcW w:w="2957" w:type="dxa"/>
            <w:tcBorders>
              <w:right w:val="nil"/>
            </w:tcBorders>
          </w:tcPr>
          <w:p w14:paraId="219C4E33">
            <w:pPr>
              <w:spacing w:before="66" w:line="195" w:lineRule="auto"/>
              <w:ind w:left="120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NaO</w:t>
            </w:r>
            <w:r>
              <w:rPr>
                <w:rFonts w:ascii="Times New Roman" w:hAnsi="Times New Roman" w:eastAsia="Times New Roman" w:cs="Times New Roman"/>
                <w:spacing w:val="6"/>
                <w:sz w:val="20"/>
                <w:szCs w:val="20"/>
              </w:rPr>
              <w:t>H</w:t>
            </w:r>
          </w:p>
        </w:tc>
      </w:tr>
      <w:tr w14:paraId="55CC63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99" w:type="dxa"/>
            <w:vMerge w:val="continue"/>
            <w:tcBorders>
              <w:top w:val="nil"/>
              <w:left w:val="nil"/>
              <w:bottom w:val="nil"/>
            </w:tcBorders>
          </w:tcPr>
          <w:p w14:paraId="7636FB56"/>
        </w:tc>
        <w:tc>
          <w:tcPr>
            <w:tcW w:w="1365" w:type="dxa"/>
            <w:vMerge w:val="continue"/>
            <w:tcBorders>
              <w:top w:val="nil"/>
              <w:bottom w:val="nil"/>
            </w:tcBorders>
          </w:tcPr>
          <w:p w14:paraId="36550DCD"/>
        </w:tc>
        <w:tc>
          <w:tcPr>
            <w:tcW w:w="1406" w:type="dxa"/>
            <w:vMerge w:val="continue"/>
            <w:tcBorders>
              <w:top w:val="nil"/>
              <w:bottom w:val="nil"/>
            </w:tcBorders>
          </w:tcPr>
          <w:p w14:paraId="77FF392D"/>
        </w:tc>
        <w:tc>
          <w:tcPr>
            <w:tcW w:w="2704" w:type="dxa"/>
          </w:tcPr>
          <w:p w14:paraId="15416D09">
            <w:pPr>
              <w:spacing w:before="32" w:line="226" w:lineRule="auto"/>
              <w:ind w:left="954"/>
              <w:rPr>
                <w:rFonts w:ascii="宋体" w:hAnsi="宋体" w:eastAsia="宋体" w:cs="宋体"/>
                <w:sz w:val="20"/>
                <w:szCs w:val="20"/>
              </w:rPr>
            </w:pPr>
            <w:r>
              <w:rPr>
                <w:rFonts w:ascii="宋体" w:hAnsi="宋体" w:eastAsia="宋体" w:cs="宋体"/>
                <w:spacing w:val="4"/>
                <w:sz w:val="20"/>
                <w:szCs w:val="20"/>
              </w:rPr>
              <w:t>卫</w:t>
            </w:r>
            <w:r>
              <w:rPr>
                <w:rFonts w:ascii="宋体" w:hAnsi="宋体" w:eastAsia="宋体" w:cs="宋体"/>
                <w:spacing w:val="3"/>
                <w:sz w:val="20"/>
                <w:szCs w:val="20"/>
              </w:rPr>
              <w:t>可</w:t>
            </w:r>
          </w:p>
        </w:tc>
        <w:tc>
          <w:tcPr>
            <w:tcW w:w="2957" w:type="dxa"/>
            <w:tcBorders>
              <w:right w:val="nil"/>
            </w:tcBorders>
          </w:tcPr>
          <w:p w14:paraId="0A00A526">
            <w:pPr>
              <w:spacing w:before="32" w:line="226" w:lineRule="auto"/>
              <w:ind w:left="645"/>
              <w:rPr>
                <w:rFonts w:ascii="宋体" w:hAnsi="宋体" w:eastAsia="宋体" w:cs="宋体"/>
                <w:sz w:val="20"/>
                <w:szCs w:val="20"/>
              </w:rPr>
            </w:pPr>
            <w:r>
              <w:rPr>
                <w:rFonts w:ascii="宋体" w:hAnsi="宋体" w:eastAsia="宋体" w:cs="宋体"/>
                <w:spacing w:val="12"/>
                <w:sz w:val="20"/>
                <w:szCs w:val="20"/>
              </w:rPr>
              <w:t>过</w:t>
            </w:r>
            <w:r>
              <w:rPr>
                <w:rFonts w:ascii="宋体" w:hAnsi="宋体" w:eastAsia="宋体" w:cs="宋体"/>
                <w:spacing w:val="8"/>
                <w:sz w:val="20"/>
                <w:szCs w:val="20"/>
              </w:rPr>
              <w:t>硫酸氢钾复合物</w:t>
            </w:r>
          </w:p>
        </w:tc>
      </w:tr>
      <w:tr w14:paraId="6B6CB9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99" w:type="dxa"/>
            <w:vMerge w:val="continue"/>
            <w:tcBorders>
              <w:top w:val="nil"/>
              <w:left w:val="nil"/>
            </w:tcBorders>
          </w:tcPr>
          <w:p w14:paraId="1D0263B7"/>
        </w:tc>
        <w:tc>
          <w:tcPr>
            <w:tcW w:w="1365" w:type="dxa"/>
            <w:vMerge w:val="continue"/>
            <w:tcBorders>
              <w:top w:val="nil"/>
            </w:tcBorders>
          </w:tcPr>
          <w:p w14:paraId="7FB82EB4"/>
        </w:tc>
        <w:tc>
          <w:tcPr>
            <w:tcW w:w="1406" w:type="dxa"/>
            <w:vMerge w:val="continue"/>
            <w:tcBorders>
              <w:top w:val="nil"/>
            </w:tcBorders>
          </w:tcPr>
          <w:p w14:paraId="57E4BDAE"/>
        </w:tc>
        <w:tc>
          <w:tcPr>
            <w:tcW w:w="2704" w:type="dxa"/>
          </w:tcPr>
          <w:p w14:paraId="7D4D93A6">
            <w:pPr>
              <w:spacing w:before="33" w:line="225" w:lineRule="auto"/>
              <w:ind w:left="954"/>
              <w:rPr>
                <w:rFonts w:ascii="宋体" w:hAnsi="宋体" w:eastAsia="宋体" w:cs="宋体"/>
                <w:sz w:val="20"/>
                <w:szCs w:val="20"/>
              </w:rPr>
            </w:pPr>
            <w:r>
              <w:rPr>
                <w:rFonts w:ascii="宋体" w:hAnsi="宋体" w:eastAsia="宋体" w:cs="宋体"/>
                <w:spacing w:val="7"/>
                <w:sz w:val="20"/>
                <w:szCs w:val="20"/>
              </w:rPr>
              <w:t>戊</w:t>
            </w:r>
            <w:r>
              <w:rPr>
                <w:rFonts w:ascii="宋体" w:hAnsi="宋体" w:eastAsia="宋体" w:cs="宋体"/>
                <w:spacing w:val="6"/>
                <w:sz w:val="20"/>
                <w:szCs w:val="20"/>
              </w:rPr>
              <w:t>二醇</w:t>
            </w:r>
          </w:p>
        </w:tc>
        <w:tc>
          <w:tcPr>
            <w:tcW w:w="2957" w:type="dxa"/>
            <w:tcBorders>
              <w:right w:val="nil"/>
            </w:tcBorders>
          </w:tcPr>
          <w:p w14:paraId="24264689">
            <w:pPr>
              <w:spacing w:before="33" w:line="225" w:lineRule="auto"/>
              <w:ind w:left="539"/>
              <w:rPr>
                <w:rFonts w:ascii="宋体" w:hAnsi="宋体" w:eastAsia="宋体" w:cs="宋体"/>
                <w:sz w:val="20"/>
                <w:szCs w:val="20"/>
              </w:rPr>
            </w:pPr>
            <w:r>
              <w:rPr>
                <w:rFonts w:ascii="宋体" w:hAnsi="宋体" w:eastAsia="宋体" w:cs="宋体"/>
                <w:spacing w:val="9"/>
                <w:sz w:val="20"/>
                <w:szCs w:val="20"/>
              </w:rPr>
              <w:t>戊二醛苯扎溴铵溶</w:t>
            </w:r>
            <w:r>
              <w:rPr>
                <w:rFonts w:ascii="宋体" w:hAnsi="宋体" w:eastAsia="宋体" w:cs="宋体"/>
                <w:spacing w:val="7"/>
                <w:sz w:val="20"/>
                <w:szCs w:val="20"/>
              </w:rPr>
              <w:t>液</w:t>
            </w:r>
          </w:p>
        </w:tc>
      </w:tr>
      <w:tr w14:paraId="32CAEE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7" w:hRule="atLeast"/>
        </w:trPr>
        <w:tc>
          <w:tcPr>
            <w:tcW w:w="799" w:type="dxa"/>
            <w:tcBorders>
              <w:left w:val="nil"/>
            </w:tcBorders>
          </w:tcPr>
          <w:p w14:paraId="451E0B1B">
            <w:pPr>
              <w:spacing w:line="276" w:lineRule="auto"/>
            </w:pPr>
          </w:p>
          <w:p w14:paraId="2C9CF270">
            <w:pPr>
              <w:spacing w:line="276" w:lineRule="auto"/>
            </w:pPr>
          </w:p>
          <w:p w14:paraId="1C0D6E2F">
            <w:pPr>
              <w:spacing w:before="57" w:line="195" w:lineRule="auto"/>
              <w:ind w:left="45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365" w:type="dxa"/>
          </w:tcPr>
          <w:p w14:paraId="4A48BD17">
            <w:pPr>
              <w:spacing w:line="254" w:lineRule="auto"/>
            </w:pPr>
          </w:p>
          <w:p w14:paraId="638B0826">
            <w:pPr>
              <w:spacing w:line="255" w:lineRule="auto"/>
            </w:pPr>
          </w:p>
          <w:p w14:paraId="67C4901D">
            <w:pPr>
              <w:spacing w:before="65" w:line="228" w:lineRule="auto"/>
              <w:ind w:left="115"/>
              <w:rPr>
                <w:rFonts w:ascii="宋体" w:hAnsi="宋体" w:eastAsia="宋体" w:cs="宋体"/>
                <w:sz w:val="20"/>
                <w:szCs w:val="20"/>
              </w:rPr>
            </w:pPr>
            <w:r>
              <w:rPr>
                <w:rFonts w:ascii="宋体" w:hAnsi="宋体" w:eastAsia="宋体" w:cs="宋体"/>
                <w:spacing w:val="8"/>
                <w:sz w:val="20"/>
                <w:szCs w:val="20"/>
              </w:rPr>
              <w:t>兽药、疫</w:t>
            </w:r>
            <w:r>
              <w:rPr>
                <w:rFonts w:ascii="宋体" w:hAnsi="宋体" w:eastAsia="宋体" w:cs="宋体"/>
                <w:spacing w:val="7"/>
                <w:sz w:val="20"/>
                <w:szCs w:val="20"/>
              </w:rPr>
              <w:t>苗</w:t>
            </w:r>
          </w:p>
        </w:tc>
        <w:tc>
          <w:tcPr>
            <w:tcW w:w="1406" w:type="dxa"/>
          </w:tcPr>
          <w:p w14:paraId="7AD9A177">
            <w:pPr>
              <w:spacing w:line="372" w:lineRule="auto"/>
            </w:pPr>
          </w:p>
          <w:p w14:paraId="0A1458E1">
            <w:pPr>
              <w:spacing w:before="65" w:line="268" w:lineRule="auto"/>
              <w:ind w:left="603" w:right="177" w:hanging="421"/>
              <w:rPr>
                <w:rFonts w:ascii="宋体" w:hAnsi="宋体" w:eastAsia="宋体" w:cs="宋体"/>
                <w:sz w:val="20"/>
                <w:szCs w:val="20"/>
              </w:rPr>
            </w:pPr>
            <w:r>
              <w:rPr>
                <w:rFonts w:ascii="宋体" w:hAnsi="宋体" w:eastAsia="宋体" w:cs="宋体"/>
                <w:spacing w:val="8"/>
                <w:sz w:val="20"/>
                <w:szCs w:val="20"/>
              </w:rPr>
              <w:t>根据情况使</w:t>
            </w:r>
            <w:r>
              <w:rPr>
                <w:rFonts w:ascii="宋体" w:hAnsi="宋体" w:eastAsia="宋体" w:cs="宋体"/>
                <w:sz w:val="20"/>
                <w:szCs w:val="20"/>
              </w:rPr>
              <w:t xml:space="preserve"> 用</w:t>
            </w:r>
          </w:p>
        </w:tc>
        <w:tc>
          <w:tcPr>
            <w:tcW w:w="2704" w:type="dxa"/>
          </w:tcPr>
          <w:p w14:paraId="49A272F3">
            <w:pPr>
              <w:spacing w:before="30" w:line="247" w:lineRule="auto"/>
              <w:ind w:left="112" w:right="107"/>
              <w:rPr>
                <w:rFonts w:ascii="宋体" w:hAnsi="宋体" w:eastAsia="宋体" w:cs="宋体"/>
                <w:sz w:val="20"/>
                <w:szCs w:val="20"/>
              </w:rPr>
            </w:pPr>
            <w:r>
              <w:rPr>
                <w:rFonts w:ascii="宋体" w:hAnsi="宋体" w:eastAsia="宋体" w:cs="宋体"/>
                <w:spacing w:val="28"/>
                <w:sz w:val="20"/>
                <w:szCs w:val="20"/>
              </w:rPr>
              <w:t>根</w:t>
            </w:r>
            <w:r>
              <w:rPr>
                <w:rFonts w:ascii="宋体" w:hAnsi="宋体" w:eastAsia="宋体" w:cs="宋体"/>
                <w:spacing w:val="25"/>
                <w:sz w:val="20"/>
                <w:szCs w:val="20"/>
              </w:rPr>
              <w:t>据饲养过程中猪疫病大</w:t>
            </w:r>
            <w:r>
              <w:rPr>
                <w:rFonts w:ascii="宋体" w:hAnsi="宋体" w:eastAsia="宋体" w:cs="宋体"/>
                <w:sz w:val="20"/>
                <w:szCs w:val="20"/>
              </w:rPr>
              <w:t xml:space="preserve"> </w:t>
            </w:r>
            <w:r>
              <w:rPr>
                <w:rFonts w:ascii="宋体" w:hAnsi="宋体" w:eastAsia="宋体" w:cs="宋体"/>
                <w:spacing w:val="12"/>
                <w:sz w:val="20"/>
                <w:szCs w:val="20"/>
              </w:rPr>
              <w:t>发</w:t>
            </w:r>
            <w:r>
              <w:rPr>
                <w:rFonts w:ascii="宋体" w:hAnsi="宋体" w:eastAsia="宋体" w:cs="宋体"/>
                <w:spacing w:val="7"/>
                <w:sz w:val="20"/>
                <w:szCs w:val="20"/>
              </w:rPr>
              <w:t>生</w:t>
            </w:r>
            <w:r>
              <w:rPr>
                <w:rFonts w:ascii="宋体" w:hAnsi="宋体" w:eastAsia="宋体" w:cs="宋体"/>
                <w:spacing w:val="6"/>
                <w:sz w:val="20"/>
                <w:szCs w:val="20"/>
              </w:rPr>
              <w:t>次数等具体情况使用，</w:t>
            </w:r>
            <w:r>
              <w:rPr>
                <w:rFonts w:ascii="宋体" w:hAnsi="宋体" w:eastAsia="宋体" w:cs="宋体"/>
                <w:sz w:val="20"/>
                <w:szCs w:val="20"/>
              </w:rPr>
              <w:t xml:space="preserve"> </w:t>
            </w:r>
            <w:r>
              <w:rPr>
                <w:rFonts w:ascii="宋体" w:hAnsi="宋体" w:eastAsia="宋体" w:cs="宋体"/>
                <w:spacing w:val="12"/>
                <w:sz w:val="20"/>
                <w:szCs w:val="20"/>
              </w:rPr>
              <w:t>常</w:t>
            </w:r>
            <w:r>
              <w:rPr>
                <w:rFonts w:ascii="宋体" w:hAnsi="宋体" w:eastAsia="宋体" w:cs="宋体"/>
                <w:spacing w:val="7"/>
                <w:sz w:val="20"/>
                <w:szCs w:val="20"/>
              </w:rPr>
              <w:t>用</w:t>
            </w:r>
            <w:r>
              <w:rPr>
                <w:rFonts w:ascii="宋体" w:hAnsi="宋体" w:eastAsia="宋体" w:cs="宋体"/>
                <w:spacing w:val="6"/>
                <w:sz w:val="20"/>
                <w:szCs w:val="20"/>
              </w:rPr>
              <w:t>的种类有：青霉素钾、</w:t>
            </w:r>
            <w:r>
              <w:rPr>
                <w:rFonts w:ascii="宋体" w:hAnsi="宋体" w:eastAsia="宋体" w:cs="宋体"/>
                <w:sz w:val="20"/>
                <w:szCs w:val="20"/>
              </w:rPr>
              <w:t xml:space="preserve"> </w:t>
            </w:r>
            <w:r>
              <w:rPr>
                <w:rFonts w:ascii="宋体" w:hAnsi="宋体" w:eastAsia="宋体" w:cs="宋体"/>
                <w:spacing w:val="12"/>
                <w:sz w:val="20"/>
                <w:szCs w:val="20"/>
              </w:rPr>
              <w:t>链</w:t>
            </w:r>
            <w:r>
              <w:rPr>
                <w:rFonts w:ascii="宋体" w:hAnsi="宋体" w:eastAsia="宋体" w:cs="宋体"/>
                <w:spacing w:val="7"/>
                <w:sz w:val="20"/>
                <w:szCs w:val="20"/>
              </w:rPr>
              <w:t>霉</w:t>
            </w:r>
            <w:r>
              <w:rPr>
                <w:rFonts w:ascii="宋体" w:hAnsi="宋体" w:eastAsia="宋体" w:cs="宋体"/>
                <w:spacing w:val="6"/>
                <w:sz w:val="20"/>
                <w:szCs w:val="20"/>
              </w:rPr>
              <w:t>素、氧氟沙星、阿莫西</w:t>
            </w:r>
            <w:r>
              <w:rPr>
                <w:rFonts w:ascii="宋体" w:hAnsi="宋体" w:eastAsia="宋体" w:cs="宋体"/>
                <w:sz w:val="20"/>
                <w:szCs w:val="20"/>
              </w:rPr>
              <w:t xml:space="preserve"> </w:t>
            </w:r>
            <w:r>
              <w:rPr>
                <w:rFonts w:ascii="宋体" w:hAnsi="宋体" w:eastAsia="宋体" w:cs="宋体"/>
                <w:spacing w:val="3"/>
                <w:sz w:val="20"/>
                <w:szCs w:val="20"/>
              </w:rPr>
              <w:t>林</w:t>
            </w:r>
            <w:r>
              <w:rPr>
                <w:rFonts w:ascii="宋体" w:hAnsi="宋体" w:eastAsia="宋体" w:cs="宋体"/>
                <w:spacing w:val="2"/>
                <w:sz w:val="20"/>
                <w:szCs w:val="20"/>
              </w:rPr>
              <w:t xml:space="preserve">钠、土霉素、抗病毒 </w:t>
            </w:r>
            <w:r>
              <w:rPr>
                <w:rFonts w:ascii="Times New Roman" w:hAnsi="Times New Roman" w:eastAsia="Times New Roman" w:cs="Times New Roman"/>
                <w:spacing w:val="2"/>
                <w:sz w:val="20"/>
                <w:szCs w:val="20"/>
              </w:rPr>
              <w:t xml:space="preserve">1 </w:t>
            </w:r>
            <w:r>
              <w:rPr>
                <w:rFonts w:ascii="宋体" w:hAnsi="宋体" w:eastAsia="宋体" w:cs="宋体"/>
                <w:spacing w:val="2"/>
                <w:sz w:val="20"/>
                <w:szCs w:val="20"/>
              </w:rPr>
              <w:t>号</w:t>
            </w:r>
          </w:p>
        </w:tc>
        <w:tc>
          <w:tcPr>
            <w:tcW w:w="2957" w:type="dxa"/>
            <w:tcBorders>
              <w:right w:val="nil"/>
            </w:tcBorders>
          </w:tcPr>
          <w:p w14:paraId="7820AB7E">
            <w:pPr>
              <w:spacing w:line="479" w:lineRule="auto"/>
            </w:pPr>
          </w:p>
          <w:p w14:paraId="185FEB19">
            <w:pPr>
              <w:spacing w:before="57" w:line="281" w:lineRule="exact"/>
              <w:ind w:left="1656"/>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bl>
    <w:p w14:paraId="2E25FAF6">
      <w:pPr>
        <w:spacing w:before="36" w:line="227" w:lineRule="auto"/>
        <w:ind w:left="609"/>
        <w:rPr>
          <w:rFonts w:ascii="宋体" w:hAnsi="宋体" w:eastAsia="宋体" w:cs="宋体"/>
          <w:sz w:val="23"/>
          <w:szCs w:val="23"/>
        </w:rPr>
      </w:pP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5"/>
          <w:sz w:val="23"/>
          <w:szCs w:val="23"/>
        </w:rPr>
        <w:t>3</w:t>
      </w:r>
      <w:r>
        <w:rPr>
          <w:rFonts w:ascii="宋体" w:hAnsi="宋体" w:eastAsia="宋体" w:cs="宋体"/>
          <w:spacing w:val="15"/>
          <w:sz w:val="23"/>
          <w:szCs w:val="23"/>
          <w14:textOutline w14:w="4356" w14:cap="sq" w14:cmpd="sng" w14:algn="ctr">
            <w14:solidFill>
              <w14:srgbClr w14:val="000000"/>
            </w14:solidFill>
            <w14:prstDash w14:val="solid"/>
            <w14:bevel/>
          </w14:textOutline>
        </w:rPr>
        <w:t>)</w:t>
      </w:r>
      <w:r>
        <w:rPr>
          <w:rFonts w:ascii="宋体" w:hAnsi="宋体" w:eastAsia="宋体" w:cs="宋体"/>
          <w:spacing w:val="15"/>
          <w:sz w:val="23"/>
          <w:szCs w:val="23"/>
        </w:rPr>
        <w:t xml:space="preserve"> </w:t>
      </w:r>
      <w:r>
        <w:rPr>
          <w:rFonts w:ascii="宋体" w:hAnsi="宋体" w:eastAsia="宋体" w:cs="宋体"/>
          <w:spacing w:val="15"/>
          <w:sz w:val="23"/>
          <w:szCs w:val="23"/>
          <w14:textOutline w14:w="4356" w14:cap="sq" w14:cmpd="sng" w14:algn="ctr">
            <w14:solidFill>
              <w14:srgbClr w14:val="000000"/>
            </w14:solidFill>
            <w14:prstDash w14:val="solid"/>
            <w14:bevel/>
          </w14:textOutline>
        </w:rPr>
        <w:t>异位微生物发酵床菌种、垫料</w:t>
      </w:r>
    </w:p>
    <w:p w14:paraId="02197F2C">
      <w:pPr>
        <w:spacing w:before="183" w:line="375" w:lineRule="auto"/>
        <w:ind w:left="117" w:right="62" w:firstLine="484"/>
        <w:rPr>
          <w:rFonts w:ascii="宋体" w:hAnsi="宋体" w:eastAsia="宋体" w:cs="宋体"/>
          <w:sz w:val="23"/>
          <w:szCs w:val="23"/>
        </w:rPr>
      </w:pPr>
      <w:r>
        <w:rPr>
          <w:rFonts w:ascii="宋体" w:hAnsi="宋体" w:eastAsia="宋体" w:cs="宋体"/>
          <w:spacing w:val="12"/>
          <w:sz w:val="23"/>
          <w:szCs w:val="23"/>
        </w:rPr>
        <w:t>项</w:t>
      </w:r>
      <w:r>
        <w:rPr>
          <w:rFonts w:ascii="宋体" w:hAnsi="宋体" w:eastAsia="宋体" w:cs="宋体"/>
          <w:spacing w:val="8"/>
          <w:sz w:val="23"/>
          <w:szCs w:val="23"/>
        </w:rPr>
        <w:t>目在乐山乐高勤力生物质能源综合利用有限公司不再回收厂区内养殖废水的情况下，</w:t>
      </w:r>
      <w:r>
        <w:rPr>
          <w:rFonts w:ascii="宋体" w:hAnsi="宋体" w:eastAsia="宋体" w:cs="宋体"/>
          <w:sz w:val="23"/>
          <w:szCs w:val="23"/>
        </w:rPr>
        <w:t xml:space="preserve"> </w:t>
      </w:r>
      <w:r>
        <w:rPr>
          <w:rFonts w:ascii="宋体" w:hAnsi="宋体" w:eastAsia="宋体" w:cs="宋体"/>
          <w:spacing w:val="24"/>
          <w:sz w:val="23"/>
          <w:szCs w:val="23"/>
        </w:rPr>
        <w:t>再</w:t>
      </w:r>
      <w:r>
        <w:rPr>
          <w:rFonts w:ascii="宋体" w:hAnsi="宋体" w:eastAsia="宋体" w:cs="宋体"/>
          <w:spacing w:val="13"/>
          <w:sz w:val="23"/>
          <w:szCs w:val="23"/>
        </w:rPr>
        <w:t>利用异位微生物发酵床对粪污进行无害化处理，所需要到的菌种及垫料需定时补充或更</w:t>
      </w:r>
      <w:r>
        <w:rPr>
          <w:rFonts w:ascii="宋体" w:hAnsi="宋体" w:eastAsia="宋体" w:cs="宋体"/>
          <w:sz w:val="23"/>
          <w:szCs w:val="23"/>
        </w:rPr>
        <w:t xml:space="preserve"> </w:t>
      </w:r>
      <w:r>
        <w:rPr>
          <w:rFonts w:ascii="宋体" w:hAnsi="宋体" w:eastAsia="宋体" w:cs="宋体"/>
          <w:spacing w:val="14"/>
          <w:sz w:val="23"/>
          <w:szCs w:val="23"/>
        </w:rPr>
        <w:t>换</w:t>
      </w:r>
      <w:r>
        <w:rPr>
          <w:rFonts w:ascii="宋体" w:hAnsi="宋体" w:eastAsia="宋体" w:cs="宋体"/>
          <w:spacing w:val="8"/>
          <w:sz w:val="23"/>
          <w:szCs w:val="23"/>
        </w:rPr>
        <w:t>，</w:t>
      </w:r>
      <w:r>
        <w:rPr>
          <w:rFonts w:ascii="宋体" w:hAnsi="宋体" w:eastAsia="宋体" w:cs="宋体"/>
          <w:spacing w:val="7"/>
          <w:sz w:val="23"/>
          <w:szCs w:val="23"/>
        </w:rPr>
        <w:t>本次环评数据按照养殖废水全部按照异位微生物发酵床处置的情况下进行核算，详见下</w:t>
      </w:r>
      <w:r>
        <w:rPr>
          <w:rFonts w:ascii="宋体" w:hAnsi="宋体" w:eastAsia="宋体" w:cs="宋体"/>
          <w:sz w:val="23"/>
          <w:szCs w:val="23"/>
        </w:rPr>
        <w:t xml:space="preserve"> </w:t>
      </w:r>
      <w:r>
        <w:rPr>
          <w:rFonts w:ascii="宋体" w:hAnsi="宋体" w:eastAsia="宋体" w:cs="宋体"/>
          <w:spacing w:val="-6"/>
          <w:sz w:val="23"/>
          <w:szCs w:val="23"/>
        </w:rPr>
        <w:t>表</w:t>
      </w:r>
      <w:r>
        <w:rPr>
          <w:rFonts w:ascii="宋体" w:hAnsi="宋体" w:eastAsia="宋体" w:cs="宋体"/>
          <w:spacing w:val="-4"/>
          <w:sz w:val="23"/>
          <w:szCs w:val="23"/>
        </w:rPr>
        <w:t xml:space="preserve"> </w:t>
      </w:r>
      <w:r>
        <w:rPr>
          <w:rFonts w:ascii="Times New Roman" w:hAnsi="Times New Roman" w:eastAsia="Times New Roman" w:cs="Times New Roman"/>
          <w:spacing w:val="-4"/>
          <w:sz w:val="23"/>
          <w:szCs w:val="23"/>
        </w:rPr>
        <w:t>2.3-3</w:t>
      </w:r>
      <w:r>
        <w:rPr>
          <w:rFonts w:ascii="宋体" w:hAnsi="宋体" w:eastAsia="宋体" w:cs="宋体"/>
          <w:spacing w:val="-4"/>
          <w:sz w:val="23"/>
          <w:szCs w:val="23"/>
        </w:rPr>
        <w:t>。</w:t>
      </w:r>
    </w:p>
    <w:p w14:paraId="27305942">
      <w:pPr>
        <w:spacing w:line="221" w:lineRule="auto"/>
        <w:ind w:left="2190"/>
        <w:rPr>
          <w:rFonts w:ascii="黑体" w:hAnsi="黑体" w:eastAsia="黑体" w:cs="黑体"/>
          <w:sz w:val="23"/>
          <w:szCs w:val="23"/>
        </w:rPr>
      </w:pPr>
      <w:r>
        <w:rPr>
          <w:rFonts w:ascii="黑体" w:hAnsi="黑体" w:eastAsia="黑体" w:cs="黑体"/>
          <w:spacing w:val="10"/>
          <w:sz w:val="23"/>
          <w:szCs w:val="23"/>
        </w:rPr>
        <w:t>表</w:t>
      </w:r>
      <w:r>
        <w:rPr>
          <w:rFonts w:ascii="黑体" w:hAnsi="黑体" w:eastAsia="黑体" w:cs="黑体"/>
          <w:spacing w:val="6"/>
          <w:sz w:val="23"/>
          <w:szCs w:val="23"/>
        </w:rPr>
        <w:t xml:space="preserve"> </w:t>
      </w:r>
      <w:r>
        <w:rPr>
          <w:rFonts w:ascii="Times New Roman" w:hAnsi="Times New Roman" w:eastAsia="Times New Roman" w:cs="Times New Roman"/>
          <w:spacing w:val="5"/>
          <w:sz w:val="23"/>
          <w:szCs w:val="23"/>
        </w:rPr>
        <w:t xml:space="preserve">2.3-3    </w:t>
      </w:r>
      <w:r>
        <w:rPr>
          <w:rFonts w:ascii="黑体" w:hAnsi="黑体" w:eastAsia="黑体" w:cs="黑体"/>
          <w:spacing w:val="5"/>
          <w:sz w:val="23"/>
          <w:szCs w:val="23"/>
        </w:rPr>
        <w:t>项目粪污处理过程原辅材料及其消耗情况</w:t>
      </w:r>
    </w:p>
    <w:tbl>
      <w:tblPr>
        <w:tblStyle w:val="4"/>
        <w:tblW w:w="971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3"/>
        <w:gridCol w:w="1831"/>
        <w:gridCol w:w="1614"/>
        <w:gridCol w:w="5535"/>
      </w:tblGrid>
      <w:tr w14:paraId="2BFD17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733" w:type="dxa"/>
            <w:tcBorders>
              <w:left w:val="nil"/>
            </w:tcBorders>
          </w:tcPr>
          <w:p w14:paraId="04DCFB25">
            <w:pPr>
              <w:spacing w:before="89" w:line="229" w:lineRule="auto"/>
              <w:ind w:left="164"/>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1831" w:type="dxa"/>
          </w:tcPr>
          <w:p w14:paraId="2C9B6D78">
            <w:pPr>
              <w:spacing w:before="88" w:line="230" w:lineRule="auto"/>
              <w:ind w:left="713"/>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名</w:t>
            </w:r>
            <w:r>
              <w:rPr>
                <w:rFonts w:ascii="宋体" w:hAnsi="宋体" w:eastAsia="宋体" w:cs="宋体"/>
                <w:spacing w:val="4"/>
                <w:sz w:val="20"/>
                <w:szCs w:val="20"/>
                <w14:textOutline w14:w="3797" w14:cap="sq" w14:cmpd="sng" w14:algn="ctr">
                  <w14:solidFill>
                    <w14:srgbClr w14:val="000000"/>
                  </w14:solidFill>
                  <w14:prstDash w14:val="solid"/>
                  <w14:bevel/>
                </w14:textOutline>
              </w:rPr>
              <w:t>称</w:t>
            </w:r>
          </w:p>
        </w:tc>
        <w:tc>
          <w:tcPr>
            <w:tcW w:w="1614" w:type="dxa"/>
          </w:tcPr>
          <w:p w14:paraId="61C362D1">
            <w:pPr>
              <w:spacing w:before="89" w:line="229" w:lineRule="auto"/>
              <w:ind w:left="604"/>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用量</w:t>
            </w:r>
          </w:p>
        </w:tc>
        <w:tc>
          <w:tcPr>
            <w:tcW w:w="5535" w:type="dxa"/>
            <w:tcBorders>
              <w:right w:val="nil"/>
            </w:tcBorders>
          </w:tcPr>
          <w:p w14:paraId="1FB2DE0B">
            <w:pPr>
              <w:spacing w:before="89" w:line="229" w:lineRule="auto"/>
              <w:ind w:left="2565"/>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备</w:t>
            </w:r>
            <w:r>
              <w:rPr>
                <w:rFonts w:ascii="宋体" w:hAnsi="宋体" w:eastAsia="宋体" w:cs="宋体"/>
                <w:spacing w:val="4"/>
                <w:sz w:val="20"/>
                <w:szCs w:val="20"/>
                <w14:textOutline w14:w="3797" w14:cap="sq" w14:cmpd="sng" w14:algn="ctr">
                  <w14:solidFill>
                    <w14:srgbClr w14:val="000000"/>
                  </w14:solidFill>
                  <w14:prstDash w14:val="solid"/>
                  <w14:bevel/>
                </w14:textOutline>
              </w:rPr>
              <w:t>注</w:t>
            </w:r>
          </w:p>
        </w:tc>
      </w:tr>
      <w:tr w14:paraId="3A11AA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33" w:type="dxa"/>
            <w:tcBorders>
              <w:left w:val="nil"/>
            </w:tcBorders>
          </w:tcPr>
          <w:p w14:paraId="278D8C57">
            <w:pPr>
              <w:spacing w:before="204" w:line="195" w:lineRule="auto"/>
              <w:ind w:left="337"/>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831" w:type="dxa"/>
          </w:tcPr>
          <w:p w14:paraId="7C4DBA1F">
            <w:pPr>
              <w:spacing w:before="32" w:line="238" w:lineRule="auto"/>
              <w:ind w:left="714" w:right="179" w:hanging="527"/>
              <w:rPr>
                <w:rFonts w:ascii="宋体" w:hAnsi="宋体" w:eastAsia="宋体" w:cs="宋体"/>
                <w:sz w:val="20"/>
                <w:szCs w:val="20"/>
              </w:rPr>
            </w:pPr>
            <w:r>
              <w:rPr>
                <w:rFonts w:ascii="宋体" w:hAnsi="宋体" w:eastAsia="宋体" w:cs="宋体"/>
                <w:spacing w:val="10"/>
                <w:sz w:val="20"/>
                <w:szCs w:val="20"/>
              </w:rPr>
              <w:t>异</w:t>
            </w:r>
            <w:r>
              <w:rPr>
                <w:rFonts w:ascii="宋体" w:hAnsi="宋体" w:eastAsia="宋体" w:cs="宋体"/>
                <w:spacing w:val="8"/>
                <w:sz w:val="20"/>
                <w:szCs w:val="20"/>
              </w:rPr>
              <w:t>位发酵床专用</w:t>
            </w:r>
            <w:r>
              <w:rPr>
                <w:rFonts w:ascii="宋体" w:hAnsi="宋体" w:eastAsia="宋体" w:cs="宋体"/>
                <w:sz w:val="20"/>
                <w:szCs w:val="20"/>
              </w:rPr>
              <w:t xml:space="preserve"> </w:t>
            </w:r>
            <w:r>
              <w:rPr>
                <w:rFonts w:ascii="宋体" w:hAnsi="宋体" w:eastAsia="宋体" w:cs="宋体"/>
                <w:spacing w:val="3"/>
                <w:sz w:val="20"/>
                <w:szCs w:val="20"/>
              </w:rPr>
              <w:t>菌</w:t>
            </w:r>
            <w:r>
              <w:rPr>
                <w:rFonts w:ascii="宋体" w:hAnsi="宋体" w:eastAsia="宋体" w:cs="宋体"/>
                <w:spacing w:val="2"/>
                <w:sz w:val="20"/>
                <w:szCs w:val="20"/>
              </w:rPr>
              <w:t>种</w:t>
            </w:r>
          </w:p>
        </w:tc>
        <w:tc>
          <w:tcPr>
            <w:tcW w:w="1614" w:type="dxa"/>
          </w:tcPr>
          <w:p w14:paraId="4CEA3345"/>
        </w:tc>
        <w:tc>
          <w:tcPr>
            <w:tcW w:w="5535" w:type="dxa"/>
            <w:tcBorders>
              <w:right w:val="nil"/>
            </w:tcBorders>
          </w:tcPr>
          <w:p w14:paraId="4FBDA938">
            <w:pPr>
              <w:spacing w:before="165" w:line="228" w:lineRule="auto"/>
              <w:ind w:left="2251"/>
              <w:rPr>
                <w:rFonts w:ascii="宋体" w:hAnsi="宋体" w:eastAsia="宋体" w:cs="宋体"/>
                <w:sz w:val="20"/>
                <w:szCs w:val="20"/>
              </w:rPr>
            </w:pPr>
            <w:r>
              <w:rPr>
                <w:rFonts w:ascii="宋体" w:hAnsi="宋体" w:eastAsia="宋体" w:cs="宋体"/>
                <w:spacing w:val="9"/>
                <w:sz w:val="20"/>
                <w:szCs w:val="20"/>
              </w:rPr>
              <w:t>发</w:t>
            </w:r>
            <w:r>
              <w:rPr>
                <w:rFonts w:ascii="宋体" w:hAnsi="宋体" w:eastAsia="宋体" w:cs="宋体"/>
                <w:spacing w:val="7"/>
                <w:sz w:val="20"/>
                <w:szCs w:val="20"/>
              </w:rPr>
              <w:t>酵床辅料</w:t>
            </w:r>
          </w:p>
        </w:tc>
      </w:tr>
      <w:tr w14:paraId="08121C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5" w:hRule="atLeast"/>
        </w:trPr>
        <w:tc>
          <w:tcPr>
            <w:tcW w:w="733" w:type="dxa"/>
            <w:tcBorders>
              <w:left w:val="nil"/>
            </w:tcBorders>
          </w:tcPr>
          <w:p w14:paraId="52BF2776">
            <w:pPr>
              <w:spacing w:line="417" w:lineRule="auto"/>
            </w:pPr>
          </w:p>
          <w:p w14:paraId="0A59AB65">
            <w:pPr>
              <w:spacing w:before="57" w:line="195" w:lineRule="auto"/>
              <w:ind w:left="317"/>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831" w:type="dxa"/>
          </w:tcPr>
          <w:p w14:paraId="2D10E6C8">
            <w:pPr>
              <w:spacing w:line="373" w:lineRule="auto"/>
            </w:pPr>
          </w:p>
          <w:p w14:paraId="7C725D1F">
            <w:pPr>
              <w:spacing w:before="65" w:line="228" w:lineRule="auto"/>
              <w:ind w:left="399"/>
              <w:rPr>
                <w:rFonts w:ascii="宋体" w:hAnsi="宋体" w:eastAsia="宋体" w:cs="宋体"/>
                <w:sz w:val="20"/>
                <w:szCs w:val="20"/>
              </w:rPr>
            </w:pPr>
            <w:r>
              <w:rPr>
                <w:rFonts w:ascii="宋体" w:hAnsi="宋体" w:eastAsia="宋体" w:cs="宋体"/>
                <w:spacing w:val="9"/>
                <w:sz w:val="20"/>
                <w:szCs w:val="20"/>
              </w:rPr>
              <w:t>发</w:t>
            </w:r>
            <w:r>
              <w:rPr>
                <w:rFonts w:ascii="宋体" w:hAnsi="宋体" w:eastAsia="宋体" w:cs="宋体"/>
                <w:spacing w:val="7"/>
                <w:sz w:val="20"/>
                <w:szCs w:val="20"/>
              </w:rPr>
              <w:t>酵床垫料</w:t>
            </w:r>
          </w:p>
        </w:tc>
        <w:tc>
          <w:tcPr>
            <w:tcW w:w="1614" w:type="dxa"/>
          </w:tcPr>
          <w:p w14:paraId="4A6B5FA1"/>
        </w:tc>
        <w:tc>
          <w:tcPr>
            <w:tcW w:w="5535" w:type="dxa"/>
            <w:tcBorders>
              <w:right w:val="nil"/>
            </w:tcBorders>
          </w:tcPr>
          <w:p w14:paraId="14407696">
            <w:pPr>
              <w:spacing w:before="31" w:line="250" w:lineRule="auto"/>
              <w:ind w:left="112" w:right="126" w:firstLine="1"/>
              <w:rPr>
                <w:rFonts w:ascii="宋体" w:hAnsi="宋体" w:eastAsia="宋体" w:cs="宋体"/>
                <w:sz w:val="20"/>
                <w:szCs w:val="20"/>
              </w:rPr>
            </w:pPr>
            <w:r>
              <w:rPr>
                <w:rFonts w:ascii="宋体" w:hAnsi="宋体" w:eastAsia="宋体" w:cs="宋体"/>
                <w:spacing w:val="13"/>
                <w:sz w:val="20"/>
                <w:szCs w:val="20"/>
              </w:rPr>
              <w:t>垫</w:t>
            </w:r>
            <w:r>
              <w:rPr>
                <w:rFonts w:ascii="宋体" w:hAnsi="宋体" w:eastAsia="宋体" w:cs="宋体"/>
                <w:spacing w:val="9"/>
                <w:sz w:val="20"/>
                <w:szCs w:val="20"/>
              </w:rPr>
              <w:t>料为木屑、谷壳等 (樟木以及含有化学浇水等物质的木</w:t>
            </w:r>
            <w:r>
              <w:rPr>
                <w:rFonts w:ascii="宋体" w:hAnsi="宋体" w:eastAsia="宋体" w:cs="宋体"/>
                <w:sz w:val="20"/>
                <w:szCs w:val="20"/>
              </w:rPr>
              <w:t xml:space="preserve"> </w:t>
            </w:r>
            <w:r>
              <w:rPr>
                <w:rFonts w:ascii="宋体" w:hAnsi="宋体" w:eastAsia="宋体" w:cs="宋体"/>
                <w:spacing w:val="5"/>
                <w:sz w:val="20"/>
                <w:szCs w:val="20"/>
              </w:rPr>
              <w:t xml:space="preserve">屑不使用) ，湿度低于 </w:t>
            </w:r>
            <w:r>
              <w:rPr>
                <w:rFonts w:ascii="Times New Roman" w:hAnsi="Times New Roman" w:eastAsia="Times New Roman" w:cs="Times New Roman"/>
                <w:spacing w:val="5"/>
                <w:sz w:val="20"/>
                <w:szCs w:val="20"/>
              </w:rPr>
              <w:t xml:space="preserve">45% </w:t>
            </w:r>
            <w:r>
              <w:rPr>
                <w:rFonts w:ascii="宋体" w:hAnsi="宋体" w:eastAsia="宋体" w:cs="宋体"/>
                <w:spacing w:val="5"/>
                <w:sz w:val="20"/>
                <w:szCs w:val="20"/>
              </w:rPr>
              <w:t>，为菌种生产提供碳源；垫</w:t>
            </w:r>
            <w:r>
              <w:rPr>
                <w:rFonts w:ascii="宋体" w:hAnsi="宋体" w:eastAsia="宋体" w:cs="宋体"/>
                <w:spacing w:val="3"/>
                <w:sz w:val="20"/>
                <w:szCs w:val="20"/>
              </w:rPr>
              <w:t>料</w:t>
            </w:r>
            <w:r>
              <w:rPr>
                <w:rFonts w:ascii="宋体" w:hAnsi="宋体" w:eastAsia="宋体" w:cs="宋体"/>
                <w:sz w:val="20"/>
                <w:szCs w:val="20"/>
              </w:rPr>
              <w:t xml:space="preserve"> </w:t>
            </w:r>
            <w:r>
              <w:rPr>
                <w:rFonts w:ascii="宋体" w:hAnsi="宋体" w:eastAsia="宋体" w:cs="宋体"/>
                <w:spacing w:val="12"/>
                <w:sz w:val="20"/>
                <w:szCs w:val="20"/>
              </w:rPr>
              <w:t>一</w:t>
            </w:r>
            <w:r>
              <w:rPr>
                <w:rFonts w:ascii="宋体" w:hAnsi="宋体" w:eastAsia="宋体" w:cs="宋体"/>
                <w:spacing w:val="7"/>
                <w:sz w:val="20"/>
                <w:szCs w:val="20"/>
              </w:rPr>
              <w:t>般</w:t>
            </w:r>
            <w:r>
              <w:rPr>
                <w:rFonts w:ascii="宋体" w:hAnsi="宋体" w:eastAsia="宋体" w:cs="宋体"/>
                <w:spacing w:val="6"/>
                <w:sz w:val="20"/>
                <w:szCs w:val="20"/>
              </w:rPr>
              <w:t xml:space="preserve">可连续使用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年，</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年后垫料与腐熟后的固态粪污</w:t>
            </w:r>
            <w:r>
              <w:rPr>
                <w:rFonts w:ascii="宋体" w:hAnsi="宋体" w:eastAsia="宋体" w:cs="宋体"/>
                <w:sz w:val="20"/>
                <w:szCs w:val="20"/>
              </w:rPr>
              <w:t xml:space="preserve"> </w:t>
            </w:r>
            <w:r>
              <w:rPr>
                <w:rFonts w:ascii="宋体" w:hAnsi="宋体" w:eastAsia="宋体" w:cs="宋体"/>
                <w:spacing w:val="16"/>
                <w:sz w:val="20"/>
                <w:szCs w:val="20"/>
              </w:rPr>
              <w:t>全</w:t>
            </w:r>
            <w:r>
              <w:rPr>
                <w:rFonts w:ascii="宋体" w:hAnsi="宋体" w:eastAsia="宋体" w:cs="宋体"/>
                <w:spacing w:val="8"/>
                <w:sz w:val="20"/>
                <w:szCs w:val="20"/>
              </w:rPr>
              <w:t>部清理，重新更换新的垫料。</w:t>
            </w:r>
          </w:p>
        </w:tc>
      </w:tr>
    </w:tbl>
    <w:p w14:paraId="39E8BDAB">
      <w:pPr>
        <w:spacing w:before="38" w:line="227" w:lineRule="auto"/>
        <w:ind w:left="609"/>
        <w:rPr>
          <w:rFonts w:ascii="宋体" w:hAnsi="宋体" w:eastAsia="宋体" w:cs="宋体"/>
          <w:sz w:val="23"/>
          <w:szCs w:val="23"/>
        </w:rPr>
      </w:pP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8"/>
          <w:sz w:val="23"/>
          <w:szCs w:val="23"/>
        </w:rPr>
        <w:t>4</w:t>
      </w: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宋体" w:hAnsi="宋体" w:eastAsia="宋体" w:cs="宋体"/>
          <w:spacing w:val="18"/>
          <w:sz w:val="23"/>
          <w:szCs w:val="23"/>
        </w:rPr>
        <w:t xml:space="preserve"> </w:t>
      </w:r>
      <w:r>
        <w:rPr>
          <w:rFonts w:ascii="宋体" w:hAnsi="宋体" w:eastAsia="宋体" w:cs="宋体"/>
          <w:spacing w:val="18"/>
          <w:sz w:val="23"/>
          <w:szCs w:val="23"/>
          <w14:textOutline w14:w="4356" w14:cap="sq" w14:cmpd="sng" w14:algn="ctr">
            <w14:solidFill>
              <w14:srgbClr w14:val="000000"/>
            </w14:solidFill>
            <w14:prstDash w14:val="solid"/>
            <w14:bevel/>
          </w14:textOutline>
        </w:rPr>
        <w:t>能源消耗情况</w:t>
      </w:r>
    </w:p>
    <w:p w14:paraId="30C11BFE">
      <w:pPr>
        <w:spacing w:before="183" w:line="227" w:lineRule="auto"/>
        <w:ind w:left="602"/>
        <w:rPr>
          <w:rFonts w:ascii="宋体" w:hAnsi="宋体" w:eastAsia="宋体" w:cs="宋体"/>
          <w:sz w:val="23"/>
          <w:szCs w:val="23"/>
        </w:rPr>
      </w:pPr>
      <w:r>
        <w:rPr>
          <w:rFonts w:ascii="宋体" w:hAnsi="宋体" w:eastAsia="宋体" w:cs="宋体"/>
          <w:spacing w:val="3"/>
          <w:sz w:val="23"/>
          <w:szCs w:val="23"/>
        </w:rPr>
        <w:t xml:space="preserve">项目能源消耗情况见表 </w:t>
      </w:r>
      <w:r>
        <w:rPr>
          <w:rFonts w:ascii="Times New Roman" w:hAnsi="Times New Roman" w:eastAsia="Times New Roman" w:cs="Times New Roman"/>
          <w:spacing w:val="3"/>
          <w:sz w:val="23"/>
          <w:szCs w:val="23"/>
        </w:rPr>
        <w:t>2.3-4</w:t>
      </w:r>
      <w:r>
        <w:rPr>
          <w:rFonts w:ascii="宋体" w:hAnsi="宋体" w:eastAsia="宋体" w:cs="宋体"/>
          <w:spacing w:val="3"/>
          <w:sz w:val="23"/>
          <w:szCs w:val="23"/>
        </w:rPr>
        <w:t>。</w:t>
      </w:r>
    </w:p>
    <w:p w14:paraId="7B5BB510">
      <w:pPr>
        <w:spacing w:before="303" w:line="222" w:lineRule="auto"/>
        <w:ind w:left="3270"/>
        <w:rPr>
          <w:rFonts w:ascii="黑体" w:hAnsi="黑体" w:eastAsia="黑体" w:cs="黑体"/>
          <w:sz w:val="23"/>
          <w:szCs w:val="23"/>
        </w:rPr>
      </w:pPr>
      <w:r>
        <w:rPr>
          <w:rFonts w:ascii="黑体" w:hAnsi="黑体" w:eastAsia="黑体" w:cs="黑体"/>
          <w:spacing w:val="6"/>
          <w:sz w:val="23"/>
          <w:szCs w:val="23"/>
        </w:rPr>
        <w:t xml:space="preserve">表 </w:t>
      </w:r>
      <w:r>
        <w:rPr>
          <w:rFonts w:ascii="Times New Roman" w:hAnsi="Times New Roman" w:eastAsia="Times New Roman" w:cs="Times New Roman"/>
          <w:spacing w:val="6"/>
          <w:sz w:val="23"/>
          <w:szCs w:val="23"/>
        </w:rPr>
        <w:t>2.3</w:t>
      </w:r>
      <w:r>
        <w:rPr>
          <w:rFonts w:ascii="Times New Roman" w:hAnsi="Times New Roman" w:eastAsia="Times New Roman" w:cs="Times New Roman"/>
          <w:spacing w:val="3"/>
          <w:sz w:val="23"/>
          <w:szCs w:val="23"/>
        </w:rPr>
        <w:t xml:space="preserve">-4    </w:t>
      </w:r>
      <w:r>
        <w:rPr>
          <w:rFonts w:ascii="黑体" w:hAnsi="黑体" w:eastAsia="黑体" w:cs="黑体"/>
          <w:spacing w:val="3"/>
          <w:sz w:val="23"/>
          <w:szCs w:val="23"/>
        </w:rPr>
        <w:t>项目能源消耗情况一览表</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5"/>
        <w:gridCol w:w="1335"/>
        <w:gridCol w:w="1710"/>
        <w:gridCol w:w="5962"/>
      </w:tblGrid>
      <w:tr w14:paraId="565B8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705" w:type="dxa"/>
            <w:tcBorders>
              <w:left w:val="nil"/>
            </w:tcBorders>
          </w:tcPr>
          <w:p w14:paraId="083E2632">
            <w:pPr>
              <w:spacing w:before="56" w:line="225" w:lineRule="auto"/>
              <w:ind w:left="149"/>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1335" w:type="dxa"/>
          </w:tcPr>
          <w:p w14:paraId="534BF78C">
            <w:pPr>
              <w:spacing w:before="56" w:line="225" w:lineRule="auto"/>
              <w:ind w:left="571"/>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名</w:t>
            </w:r>
            <w:r>
              <w:rPr>
                <w:rFonts w:ascii="宋体" w:hAnsi="宋体" w:eastAsia="宋体" w:cs="宋体"/>
                <w:spacing w:val="4"/>
                <w:sz w:val="20"/>
                <w:szCs w:val="20"/>
                <w14:textOutline w14:w="3797" w14:cap="sq" w14:cmpd="sng" w14:algn="ctr">
                  <w14:solidFill>
                    <w14:srgbClr w14:val="000000"/>
                  </w14:solidFill>
                  <w14:prstDash w14:val="solid"/>
                  <w14:bevel/>
                </w14:textOutline>
              </w:rPr>
              <w:t>称</w:t>
            </w:r>
          </w:p>
        </w:tc>
        <w:tc>
          <w:tcPr>
            <w:tcW w:w="1710" w:type="dxa"/>
          </w:tcPr>
          <w:p w14:paraId="24649638">
            <w:pPr>
              <w:spacing w:before="56" w:line="225" w:lineRule="auto"/>
              <w:ind w:left="759"/>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消</w:t>
            </w:r>
            <w:r>
              <w:rPr>
                <w:rFonts w:ascii="宋体" w:hAnsi="宋体" w:eastAsia="宋体" w:cs="宋体"/>
                <w:spacing w:val="6"/>
                <w:sz w:val="20"/>
                <w:szCs w:val="20"/>
                <w14:textOutline w14:w="3797" w14:cap="sq" w14:cmpd="sng" w14:algn="ctr">
                  <w14:solidFill>
                    <w14:srgbClr w14:val="000000"/>
                  </w14:solidFill>
                  <w14:prstDash w14:val="solid"/>
                  <w14:bevel/>
                </w14:textOutline>
              </w:rPr>
              <w:t>耗量</w:t>
            </w:r>
          </w:p>
        </w:tc>
        <w:tc>
          <w:tcPr>
            <w:tcW w:w="5962" w:type="dxa"/>
            <w:tcBorders>
              <w:right w:val="nil"/>
            </w:tcBorders>
          </w:tcPr>
          <w:p w14:paraId="41E3AC73">
            <w:pPr>
              <w:spacing w:before="56" w:line="225" w:lineRule="auto"/>
              <w:ind w:left="2988"/>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备</w:t>
            </w:r>
            <w:r>
              <w:rPr>
                <w:rFonts w:ascii="宋体" w:hAnsi="宋体" w:eastAsia="宋体" w:cs="宋体"/>
                <w:spacing w:val="4"/>
                <w:sz w:val="20"/>
                <w:szCs w:val="20"/>
                <w14:textOutline w14:w="3797" w14:cap="sq" w14:cmpd="sng" w14:algn="ctr">
                  <w14:solidFill>
                    <w14:srgbClr w14:val="000000"/>
                  </w14:solidFill>
                  <w14:prstDash w14:val="solid"/>
                  <w14:bevel/>
                </w14:textOutline>
              </w:rPr>
              <w:t>注</w:t>
            </w:r>
          </w:p>
        </w:tc>
      </w:tr>
      <w:tr w14:paraId="655BF8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05" w:type="dxa"/>
            <w:tcBorders>
              <w:left w:val="nil"/>
            </w:tcBorders>
          </w:tcPr>
          <w:p w14:paraId="0FE023BD">
            <w:pPr>
              <w:spacing w:before="205" w:line="195" w:lineRule="auto"/>
              <w:ind w:left="42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335" w:type="dxa"/>
          </w:tcPr>
          <w:p w14:paraId="24C7D5F0">
            <w:pPr>
              <w:spacing w:before="168" w:line="228" w:lineRule="auto"/>
              <w:ind w:left="463"/>
              <w:rPr>
                <w:rFonts w:ascii="宋体" w:hAnsi="宋体" w:eastAsia="宋体" w:cs="宋体"/>
                <w:sz w:val="20"/>
                <w:szCs w:val="20"/>
              </w:rPr>
            </w:pPr>
            <w:r>
              <w:rPr>
                <w:rFonts w:ascii="宋体" w:hAnsi="宋体" w:eastAsia="宋体" w:cs="宋体"/>
                <w:spacing w:val="7"/>
                <w:sz w:val="20"/>
                <w:szCs w:val="20"/>
              </w:rPr>
              <w:t>新</w:t>
            </w:r>
            <w:r>
              <w:rPr>
                <w:rFonts w:ascii="宋体" w:hAnsi="宋体" w:eastAsia="宋体" w:cs="宋体"/>
                <w:spacing w:val="6"/>
                <w:sz w:val="20"/>
                <w:szCs w:val="20"/>
              </w:rPr>
              <w:t>鲜水</w:t>
            </w:r>
          </w:p>
        </w:tc>
        <w:tc>
          <w:tcPr>
            <w:tcW w:w="1710" w:type="dxa"/>
          </w:tcPr>
          <w:p w14:paraId="21672E95">
            <w:pPr>
              <w:spacing w:before="131" w:line="281" w:lineRule="exact"/>
              <w:ind w:left="276"/>
              <w:rPr>
                <w:rFonts w:ascii="Times New Roman" w:hAnsi="Times New Roman" w:eastAsia="Times New Roman" w:cs="Times New Roman"/>
                <w:sz w:val="20"/>
                <w:szCs w:val="20"/>
              </w:rPr>
            </w:pPr>
            <w:r>
              <w:rPr>
                <w:rFonts w:ascii="Times New Roman" w:hAnsi="Times New Roman" w:eastAsia="Times New Roman" w:cs="Times New Roman"/>
                <w:spacing w:val="7"/>
                <w:position w:val="1"/>
                <w:sz w:val="20"/>
                <w:szCs w:val="20"/>
              </w:rPr>
              <w:t>6</w:t>
            </w:r>
            <w:r>
              <w:rPr>
                <w:rFonts w:ascii="Times New Roman" w:hAnsi="Times New Roman" w:eastAsia="Times New Roman" w:cs="Times New Roman"/>
                <w:spacing w:val="4"/>
                <w:position w:val="1"/>
                <w:sz w:val="20"/>
                <w:szCs w:val="20"/>
              </w:rPr>
              <w:t>3393.93</w:t>
            </w:r>
            <w:r>
              <w:rPr>
                <w:rFonts w:ascii="Times New Roman" w:hAnsi="Times New Roman" w:eastAsia="Times New Roman" w:cs="Times New Roman"/>
                <w:position w:val="1"/>
                <w:sz w:val="20"/>
                <w:szCs w:val="20"/>
              </w:rPr>
              <w:t>m</w:t>
            </w:r>
            <w:r>
              <w:rPr>
                <w:rFonts w:ascii="Times New Roman" w:hAnsi="Times New Roman" w:eastAsia="Times New Roman" w:cs="Times New Roman"/>
                <w:spacing w:val="4"/>
                <w:position w:val="7"/>
                <w:sz w:val="13"/>
                <w:szCs w:val="13"/>
              </w:rPr>
              <w:t>3</w:t>
            </w:r>
            <w:r>
              <w:rPr>
                <w:rFonts w:ascii="Times New Roman" w:hAnsi="Times New Roman" w:eastAsia="Times New Roman" w:cs="Times New Roman"/>
                <w:spacing w:val="4"/>
                <w:position w:val="1"/>
                <w:sz w:val="20"/>
                <w:szCs w:val="20"/>
              </w:rPr>
              <w:t>/</w:t>
            </w:r>
            <w:r>
              <w:rPr>
                <w:rFonts w:ascii="Times New Roman" w:hAnsi="Times New Roman" w:eastAsia="Times New Roman" w:cs="Times New Roman"/>
                <w:position w:val="1"/>
                <w:sz w:val="20"/>
                <w:szCs w:val="20"/>
              </w:rPr>
              <w:t>a</w:t>
            </w:r>
          </w:p>
        </w:tc>
        <w:tc>
          <w:tcPr>
            <w:tcW w:w="5962" w:type="dxa"/>
            <w:tcBorders>
              <w:right w:val="nil"/>
            </w:tcBorders>
          </w:tcPr>
          <w:p w14:paraId="0E72CE2B">
            <w:pPr>
              <w:spacing w:before="32" w:line="238" w:lineRule="auto"/>
              <w:ind w:left="1513" w:right="108" w:hanging="1395"/>
              <w:rPr>
                <w:rFonts w:ascii="宋体" w:hAnsi="宋体" w:eastAsia="宋体" w:cs="宋体"/>
                <w:sz w:val="20"/>
                <w:szCs w:val="20"/>
              </w:rPr>
            </w:pPr>
            <w:r>
              <w:rPr>
                <w:rFonts w:ascii="宋体" w:hAnsi="宋体" w:eastAsia="宋体" w:cs="宋体"/>
                <w:spacing w:val="4"/>
                <w:sz w:val="20"/>
                <w:szCs w:val="20"/>
              </w:rPr>
              <w:t>建设单位依托</w:t>
            </w:r>
            <w:r>
              <w:rPr>
                <w:rFonts w:ascii="宋体" w:hAnsi="宋体" w:eastAsia="宋体" w:cs="宋体"/>
                <w:spacing w:val="3"/>
                <w:sz w:val="20"/>
                <w:szCs w:val="20"/>
              </w:rPr>
              <w:t>厂</w:t>
            </w:r>
            <w:r>
              <w:rPr>
                <w:rFonts w:ascii="宋体" w:hAnsi="宋体" w:eastAsia="宋体" w:cs="宋体"/>
                <w:spacing w:val="2"/>
                <w:sz w:val="20"/>
                <w:szCs w:val="20"/>
              </w:rPr>
              <w:t xml:space="preserve">区东侧约 </w:t>
            </w:r>
            <w:r>
              <w:rPr>
                <w:rFonts w:ascii="Times New Roman" w:hAnsi="Times New Roman" w:eastAsia="Times New Roman" w:cs="Times New Roman"/>
                <w:spacing w:val="2"/>
                <w:sz w:val="20"/>
                <w:szCs w:val="20"/>
              </w:rPr>
              <w:t>300</w:t>
            </w:r>
            <w:r>
              <w:rPr>
                <w:rFonts w:ascii="Times New Roman" w:hAnsi="Times New Roman" w:eastAsia="Times New Roman" w:cs="Times New Roman"/>
                <w:sz w:val="20"/>
                <w:szCs w:val="20"/>
              </w:rPr>
              <w:t>m</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 xml:space="preserve">处 </w:t>
            </w:r>
            <w:r>
              <w:rPr>
                <w:rFonts w:ascii="Times New Roman" w:hAnsi="Times New Roman" w:eastAsia="Times New Roman" w:cs="Times New Roman"/>
                <w:spacing w:val="2"/>
                <w:sz w:val="20"/>
                <w:szCs w:val="20"/>
              </w:rPr>
              <w:t xml:space="preserve">1 </w:t>
            </w:r>
            <w:r>
              <w:rPr>
                <w:rFonts w:ascii="宋体" w:hAnsi="宋体" w:eastAsia="宋体" w:cs="宋体"/>
                <w:spacing w:val="2"/>
                <w:sz w:val="20"/>
                <w:szCs w:val="20"/>
              </w:rPr>
              <w:t>座水井供水，通过水泵抽至</w:t>
            </w:r>
            <w:r>
              <w:rPr>
                <w:rFonts w:ascii="宋体" w:hAnsi="宋体" w:eastAsia="宋体" w:cs="宋体"/>
                <w:sz w:val="20"/>
                <w:szCs w:val="20"/>
              </w:rPr>
              <w:t xml:space="preserve"> </w:t>
            </w:r>
            <w:r>
              <w:rPr>
                <w:rFonts w:ascii="宋体" w:hAnsi="宋体" w:eastAsia="宋体" w:cs="宋体"/>
                <w:spacing w:val="5"/>
                <w:sz w:val="20"/>
                <w:szCs w:val="20"/>
              </w:rPr>
              <w:t xml:space="preserve">场区内东南侧 </w:t>
            </w:r>
            <w:r>
              <w:rPr>
                <w:rFonts w:ascii="Times New Roman" w:hAnsi="Times New Roman" w:eastAsia="Times New Roman" w:cs="Times New Roman"/>
                <w:spacing w:val="5"/>
                <w:sz w:val="20"/>
                <w:szCs w:val="20"/>
              </w:rPr>
              <w:t>300</w:t>
            </w:r>
            <w:r>
              <w:rPr>
                <w:rFonts w:ascii="Times New Roman" w:hAnsi="Times New Roman" w:eastAsia="Times New Roman" w:cs="Times New Roman"/>
                <w:sz w:val="20"/>
                <w:szCs w:val="20"/>
              </w:rPr>
              <w:t>m</w:t>
            </w:r>
            <w:r>
              <w:rPr>
                <w:rFonts w:ascii="Times New Roman" w:hAnsi="Times New Roman" w:eastAsia="Times New Roman" w:cs="Times New Roman"/>
                <w:spacing w:val="5"/>
                <w:position w:val="6"/>
                <w:sz w:val="13"/>
                <w:szCs w:val="13"/>
              </w:rPr>
              <w:t xml:space="preserve">3 </w:t>
            </w:r>
            <w:r>
              <w:rPr>
                <w:rFonts w:ascii="宋体" w:hAnsi="宋体" w:eastAsia="宋体" w:cs="宋体"/>
                <w:spacing w:val="5"/>
                <w:sz w:val="20"/>
                <w:szCs w:val="20"/>
              </w:rPr>
              <w:t>蓄水池备</w:t>
            </w:r>
            <w:r>
              <w:rPr>
                <w:rFonts w:ascii="宋体" w:hAnsi="宋体" w:eastAsia="宋体" w:cs="宋体"/>
                <w:spacing w:val="2"/>
                <w:sz w:val="20"/>
                <w:szCs w:val="20"/>
              </w:rPr>
              <w:t>用</w:t>
            </w:r>
          </w:p>
        </w:tc>
      </w:tr>
      <w:tr w14:paraId="15865E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705" w:type="dxa"/>
            <w:tcBorders>
              <w:left w:val="nil"/>
            </w:tcBorders>
          </w:tcPr>
          <w:p w14:paraId="1455446A">
            <w:pPr>
              <w:spacing w:before="206" w:line="195" w:lineRule="auto"/>
              <w:ind w:left="40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335" w:type="dxa"/>
          </w:tcPr>
          <w:p w14:paraId="262E4471">
            <w:pPr>
              <w:spacing w:before="170" w:line="233" w:lineRule="auto"/>
              <w:ind w:left="696"/>
              <w:rPr>
                <w:rFonts w:ascii="宋体" w:hAnsi="宋体" w:eastAsia="宋体" w:cs="宋体"/>
                <w:sz w:val="20"/>
                <w:szCs w:val="20"/>
              </w:rPr>
            </w:pPr>
            <w:r>
              <w:rPr>
                <w:rFonts w:ascii="宋体" w:hAnsi="宋体" w:eastAsia="宋体" w:cs="宋体"/>
                <w:sz w:val="20"/>
                <w:szCs w:val="20"/>
              </w:rPr>
              <w:t>电</w:t>
            </w:r>
          </w:p>
        </w:tc>
        <w:tc>
          <w:tcPr>
            <w:tcW w:w="1710" w:type="dxa"/>
          </w:tcPr>
          <w:p w14:paraId="580463CA">
            <w:pPr>
              <w:spacing w:before="132" w:line="281" w:lineRule="exact"/>
              <w:ind w:left="248"/>
              <w:rPr>
                <w:rFonts w:ascii="Times New Roman" w:hAnsi="Times New Roman" w:eastAsia="Times New Roman" w:cs="Times New Roman"/>
                <w:sz w:val="20"/>
                <w:szCs w:val="20"/>
              </w:rPr>
            </w:pPr>
            <w:r>
              <w:rPr>
                <w:rFonts w:ascii="Times New Roman" w:hAnsi="Times New Roman" w:eastAsia="Times New Roman" w:cs="Times New Roman"/>
                <w:spacing w:val="-6"/>
                <w:position w:val="2"/>
                <w:sz w:val="20"/>
                <w:szCs w:val="20"/>
              </w:rPr>
              <w:t>1</w:t>
            </w:r>
            <w:r>
              <w:rPr>
                <w:rFonts w:ascii="Times New Roman" w:hAnsi="Times New Roman" w:eastAsia="Times New Roman" w:cs="Times New Roman"/>
                <w:spacing w:val="-5"/>
                <w:position w:val="2"/>
                <w:sz w:val="20"/>
                <w:szCs w:val="20"/>
              </w:rPr>
              <w:t xml:space="preserve">20 </w:t>
            </w:r>
            <w:r>
              <w:rPr>
                <w:rFonts w:ascii="宋体" w:hAnsi="宋体" w:eastAsia="宋体" w:cs="宋体"/>
                <w:spacing w:val="-5"/>
                <w:position w:val="2"/>
                <w:sz w:val="20"/>
                <w:szCs w:val="20"/>
              </w:rPr>
              <w:t xml:space="preserve">万 </w:t>
            </w:r>
            <w:r>
              <w:rPr>
                <w:rFonts w:ascii="Times New Roman" w:hAnsi="Times New Roman" w:eastAsia="Times New Roman" w:cs="Times New Roman"/>
                <w:spacing w:val="-5"/>
                <w:position w:val="2"/>
                <w:sz w:val="20"/>
                <w:szCs w:val="20"/>
              </w:rPr>
              <w:t>kW ·h/a</w:t>
            </w:r>
          </w:p>
        </w:tc>
        <w:tc>
          <w:tcPr>
            <w:tcW w:w="5962" w:type="dxa"/>
            <w:tcBorders>
              <w:right w:val="nil"/>
            </w:tcBorders>
          </w:tcPr>
          <w:p w14:paraId="3B7513D3">
            <w:pPr>
              <w:spacing w:before="170" w:line="227" w:lineRule="auto"/>
              <w:ind w:left="2802"/>
              <w:rPr>
                <w:rFonts w:ascii="宋体" w:hAnsi="宋体" w:eastAsia="宋体" w:cs="宋体"/>
                <w:sz w:val="20"/>
                <w:szCs w:val="20"/>
              </w:rPr>
            </w:pPr>
            <w:r>
              <w:rPr>
                <w:rFonts w:ascii="宋体" w:hAnsi="宋体" w:eastAsia="宋体" w:cs="宋体"/>
                <w:spacing w:val="7"/>
                <w:sz w:val="20"/>
                <w:szCs w:val="20"/>
              </w:rPr>
              <w:t>由</w:t>
            </w:r>
            <w:r>
              <w:rPr>
                <w:rFonts w:ascii="宋体" w:hAnsi="宋体" w:eastAsia="宋体" w:cs="宋体"/>
                <w:spacing w:val="6"/>
                <w:sz w:val="20"/>
                <w:szCs w:val="20"/>
              </w:rPr>
              <w:t>当地供电部门提供</w:t>
            </w:r>
          </w:p>
        </w:tc>
      </w:tr>
    </w:tbl>
    <w:p w14:paraId="5EE4D820">
      <w:pPr>
        <w:spacing w:before="37" w:line="227" w:lineRule="auto"/>
        <w:ind w:left="609"/>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7"/>
          <w:sz w:val="23"/>
          <w:szCs w:val="23"/>
        </w:rPr>
        <w:t>5</w:t>
      </w:r>
      <w:r>
        <w:rPr>
          <w:rFonts w:ascii="宋体" w:hAnsi="宋体" w:eastAsia="宋体" w:cs="宋体"/>
          <w:spacing w:val="17"/>
          <w:sz w:val="23"/>
          <w:szCs w:val="23"/>
          <w14:textOutline w14:w="4356" w14:cap="sq" w14:cmpd="sng" w14:algn="ctr">
            <w14:solidFill>
              <w14:srgbClr w14:val="000000"/>
            </w14:solidFill>
            <w14:prstDash w14:val="solid"/>
            <w14:bevel/>
          </w14:textOutline>
        </w:rPr>
        <w:t>)</w:t>
      </w:r>
      <w:r>
        <w:rPr>
          <w:rFonts w:ascii="宋体" w:hAnsi="宋体" w:eastAsia="宋体" w:cs="宋体"/>
          <w:spacing w:val="17"/>
          <w:sz w:val="23"/>
          <w:szCs w:val="23"/>
        </w:rPr>
        <w:t xml:space="preserve"> </w:t>
      </w:r>
      <w:r>
        <w:rPr>
          <w:rFonts w:ascii="宋体" w:hAnsi="宋体" w:eastAsia="宋体" w:cs="宋体"/>
          <w:spacing w:val="17"/>
          <w:sz w:val="23"/>
          <w:szCs w:val="23"/>
          <w14:textOutline w14:w="4356" w14:cap="sq" w14:cmpd="sng" w14:algn="ctr">
            <w14:solidFill>
              <w14:srgbClr w14:val="000000"/>
            </w14:solidFill>
            <w14:prstDash w14:val="solid"/>
            <w14:bevel/>
          </w14:textOutline>
        </w:rPr>
        <w:t>原辅料消耗汇总</w:t>
      </w:r>
    </w:p>
    <w:p w14:paraId="0C442C3A">
      <w:pPr>
        <w:spacing w:before="185" w:line="228" w:lineRule="auto"/>
        <w:ind w:left="601"/>
        <w:rPr>
          <w:rFonts w:ascii="宋体" w:hAnsi="宋体" w:eastAsia="宋体" w:cs="宋体"/>
          <w:sz w:val="23"/>
          <w:szCs w:val="23"/>
        </w:rPr>
      </w:pPr>
      <w:r>
        <w:rPr>
          <w:rFonts w:ascii="宋体" w:hAnsi="宋体" w:eastAsia="宋体" w:cs="宋体"/>
          <w:spacing w:val="18"/>
          <w:sz w:val="23"/>
          <w:szCs w:val="23"/>
        </w:rPr>
        <w:t>综</w:t>
      </w:r>
      <w:r>
        <w:rPr>
          <w:rFonts w:ascii="宋体" w:hAnsi="宋体" w:eastAsia="宋体" w:cs="宋体"/>
          <w:spacing w:val="11"/>
          <w:sz w:val="23"/>
          <w:szCs w:val="23"/>
        </w:rPr>
        <w:t>上</w:t>
      </w:r>
      <w:r>
        <w:rPr>
          <w:rFonts w:ascii="宋体" w:hAnsi="宋体" w:eastAsia="宋体" w:cs="宋体"/>
          <w:spacing w:val="9"/>
          <w:sz w:val="23"/>
          <w:szCs w:val="23"/>
        </w:rPr>
        <w:t>所述，本项目所涉及的主要原辅材料种类、数量及项目能耗情况见下表。</w:t>
      </w:r>
    </w:p>
    <w:p w14:paraId="2E61766D">
      <w:pPr>
        <w:sectPr>
          <w:headerReference r:id="rId69" w:type="default"/>
          <w:footerReference r:id="rId70" w:type="default"/>
          <w:pgSz w:w="11907" w:h="16840"/>
          <w:pgMar w:top="829" w:right="1025" w:bottom="1139" w:left="1168" w:header="595" w:footer="953" w:gutter="0"/>
          <w:cols w:space="720" w:num="1"/>
        </w:sectPr>
      </w:pPr>
    </w:p>
    <w:p w14:paraId="6C0906C4">
      <w:pPr>
        <w:spacing w:before="146" w:line="221" w:lineRule="auto"/>
        <w:ind w:left="2490"/>
        <w:rPr>
          <w:rFonts w:ascii="黑体" w:hAnsi="黑体" w:eastAsia="黑体" w:cs="黑体"/>
          <w:sz w:val="23"/>
          <w:szCs w:val="23"/>
        </w:rPr>
      </w:pPr>
      <w:r>
        <w:rPr>
          <w:rFonts w:ascii="黑体" w:hAnsi="黑体" w:eastAsia="黑体" w:cs="黑体"/>
          <w:spacing w:val="6"/>
          <w:sz w:val="23"/>
          <w:szCs w:val="23"/>
        </w:rPr>
        <w:t>表</w:t>
      </w:r>
      <w:r>
        <w:rPr>
          <w:rFonts w:ascii="黑体" w:hAnsi="黑体" w:eastAsia="黑体" w:cs="黑体"/>
          <w:spacing w:val="5"/>
          <w:sz w:val="23"/>
          <w:szCs w:val="23"/>
        </w:rPr>
        <w:t xml:space="preserve"> </w:t>
      </w:r>
      <w:r>
        <w:rPr>
          <w:rFonts w:ascii="Times New Roman" w:hAnsi="Times New Roman" w:eastAsia="Times New Roman" w:cs="Times New Roman"/>
          <w:spacing w:val="5"/>
          <w:sz w:val="23"/>
          <w:szCs w:val="23"/>
        </w:rPr>
        <w:t xml:space="preserve">2.3-5  </w:t>
      </w:r>
      <w:r>
        <w:rPr>
          <w:rFonts w:ascii="黑体" w:hAnsi="黑体" w:eastAsia="黑体" w:cs="黑体"/>
          <w:spacing w:val="5"/>
          <w:sz w:val="23"/>
          <w:szCs w:val="23"/>
        </w:rPr>
        <w:t>主要原辅材料用量及动力消耗一览表</w:t>
      </w:r>
    </w:p>
    <w:tbl>
      <w:tblPr>
        <w:tblStyle w:val="4"/>
        <w:tblW w:w="971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63"/>
        <w:gridCol w:w="1730"/>
        <w:gridCol w:w="1335"/>
        <w:gridCol w:w="3210"/>
        <w:gridCol w:w="2175"/>
      </w:tblGrid>
      <w:tr w14:paraId="0B3A61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263" w:type="dxa"/>
            <w:tcBorders>
              <w:left w:val="nil"/>
              <w:right w:val="single" w:color="000000" w:sz="4" w:space="0"/>
            </w:tcBorders>
          </w:tcPr>
          <w:p w14:paraId="31557EDF">
            <w:pPr>
              <w:spacing w:before="56" w:line="228" w:lineRule="auto"/>
              <w:ind w:left="432"/>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项目</w:t>
            </w:r>
          </w:p>
        </w:tc>
        <w:tc>
          <w:tcPr>
            <w:tcW w:w="1730" w:type="dxa"/>
            <w:tcBorders>
              <w:left w:val="single" w:color="000000" w:sz="4" w:space="0"/>
              <w:right w:val="single" w:color="000000" w:sz="4" w:space="0"/>
            </w:tcBorders>
          </w:tcPr>
          <w:p w14:paraId="37F0F99E">
            <w:pPr>
              <w:spacing w:before="55" w:line="230" w:lineRule="auto"/>
              <w:ind w:left="661"/>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名</w:t>
            </w:r>
            <w:r>
              <w:rPr>
                <w:rFonts w:ascii="宋体" w:hAnsi="宋体" w:eastAsia="宋体" w:cs="宋体"/>
                <w:spacing w:val="4"/>
                <w:sz w:val="20"/>
                <w:szCs w:val="20"/>
                <w14:textOutline w14:w="3797" w14:cap="sq" w14:cmpd="sng" w14:algn="ctr">
                  <w14:solidFill>
                    <w14:srgbClr w14:val="000000"/>
                  </w14:solidFill>
                  <w14:prstDash w14:val="solid"/>
                  <w14:bevel/>
                </w14:textOutline>
              </w:rPr>
              <w:t>称</w:t>
            </w:r>
          </w:p>
        </w:tc>
        <w:tc>
          <w:tcPr>
            <w:tcW w:w="1335" w:type="dxa"/>
            <w:tcBorders>
              <w:left w:val="single" w:color="000000" w:sz="4" w:space="0"/>
              <w:right w:val="single" w:color="000000" w:sz="4" w:space="0"/>
            </w:tcBorders>
          </w:tcPr>
          <w:p w14:paraId="32A4FC9D">
            <w:pPr>
              <w:spacing w:before="55" w:line="228" w:lineRule="auto"/>
              <w:ind w:left="354"/>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年</w:t>
            </w:r>
            <w:r>
              <w:rPr>
                <w:rFonts w:ascii="宋体" w:hAnsi="宋体" w:eastAsia="宋体" w:cs="宋体"/>
                <w:spacing w:val="7"/>
                <w:sz w:val="20"/>
                <w:szCs w:val="20"/>
                <w14:textOutline w14:w="3797" w14:cap="sq" w14:cmpd="sng" w14:algn="ctr">
                  <w14:solidFill>
                    <w14:srgbClr w14:val="000000"/>
                  </w14:solidFill>
                  <w14:prstDash w14:val="solid"/>
                  <w14:bevel/>
                </w14:textOutline>
              </w:rPr>
              <w:t>耗量</w:t>
            </w:r>
          </w:p>
        </w:tc>
        <w:tc>
          <w:tcPr>
            <w:tcW w:w="3210" w:type="dxa"/>
            <w:tcBorders>
              <w:left w:val="single" w:color="000000" w:sz="4" w:space="0"/>
              <w:right w:val="single" w:color="000000" w:sz="4" w:space="0"/>
            </w:tcBorders>
          </w:tcPr>
          <w:p w14:paraId="7E7BE12F">
            <w:pPr>
              <w:spacing w:before="56" w:line="228" w:lineRule="auto"/>
              <w:ind w:left="1399"/>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成分</w:t>
            </w:r>
          </w:p>
        </w:tc>
        <w:tc>
          <w:tcPr>
            <w:tcW w:w="2175" w:type="dxa"/>
            <w:tcBorders>
              <w:left w:val="single" w:color="000000" w:sz="4" w:space="0"/>
              <w:right w:val="nil"/>
            </w:tcBorders>
          </w:tcPr>
          <w:p w14:paraId="717AB338">
            <w:pPr>
              <w:spacing w:before="55" w:line="229" w:lineRule="auto"/>
              <w:ind w:left="882"/>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备</w:t>
            </w:r>
            <w:r>
              <w:rPr>
                <w:rFonts w:ascii="宋体" w:hAnsi="宋体" w:eastAsia="宋体" w:cs="宋体"/>
                <w:spacing w:val="4"/>
                <w:sz w:val="20"/>
                <w:szCs w:val="20"/>
                <w14:textOutline w14:w="3797" w14:cap="sq" w14:cmpd="sng" w14:algn="ctr">
                  <w14:solidFill>
                    <w14:srgbClr w14:val="000000"/>
                  </w14:solidFill>
                  <w14:prstDash w14:val="solid"/>
                  <w14:bevel/>
                </w14:textOutline>
              </w:rPr>
              <w:t>注</w:t>
            </w:r>
          </w:p>
        </w:tc>
      </w:tr>
      <w:tr w14:paraId="69AB7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263" w:type="dxa"/>
            <w:tcBorders>
              <w:left w:val="nil"/>
              <w:right w:val="single" w:color="000000" w:sz="4" w:space="0"/>
            </w:tcBorders>
          </w:tcPr>
          <w:p w14:paraId="59CCBC29">
            <w:pPr>
              <w:spacing w:before="53" w:line="228" w:lineRule="auto"/>
              <w:ind w:left="430"/>
              <w:rPr>
                <w:rFonts w:ascii="宋体" w:hAnsi="宋体" w:eastAsia="宋体" w:cs="宋体"/>
                <w:sz w:val="20"/>
                <w:szCs w:val="20"/>
              </w:rPr>
            </w:pPr>
            <w:r>
              <w:rPr>
                <w:rFonts w:ascii="宋体" w:hAnsi="宋体" w:eastAsia="宋体" w:cs="宋体"/>
                <w:spacing w:val="4"/>
                <w:sz w:val="20"/>
                <w:szCs w:val="20"/>
              </w:rPr>
              <w:t>主</w:t>
            </w:r>
            <w:r>
              <w:rPr>
                <w:rFonts w:ascii="宋体" w:hAnsi="宋体" w:eastAsia="宋体" w:cs="宋体"/>
                <w:spacing w:val="3"/>
                <w:sz w:val="20"/>
                <w:szCs w:val="20"/>
              </w:rPr>
              <w:t>料</w:t>
            </w:r>
          </w:p>
        </w:tc>
        <w:tc>
          <w:tcPr>
            <w:tcW w:w="1730" w:type="dxa"/>
            <w:tcBorders>
              <w:left w:val="single" w:color="000000" w:sz="4" w:space="0"/>
              <w:right w:val="single" w:color="000000" w:sz="4" w:space="0"/>
            </w:tcBorders>
          </w:tcPr>
          <w:p w14:paraId="1E5B47AA">
            <w:pPr>
              <w:spacing w:before="53" w:line="228" w:lineRule="auto"/>
              <w:ind w:left="319"/>
              <w:rPr>
                <w:rFonts w:ascii="宋体" w:hAnsi="宋体" w:eastAsia="宋体" w:cs="宋体"/>
                <w:sz w:val="20"/>
                <w:szCs w:val="20"/>
              </w:rPr>
            </w:pPr>
            <w:r>
              <w:rPr>
                <w:rFonts w:ascii="宋体" w:hAnsi="宋体" w:eastAsia="宋体" w:cs="宋体"/>
                <w:spacing w:val="9"/>
                <w:sz w:val="20"/>
                <w:szCs w:val="20"/>
              </w:rPr>
              <w:t>颗</w:t>
            </w:r>
            <w:r>
              <w:rPr>
                <w:rFonts w:ascii="宋体" w:hAnsi="宋体" w:eastAsia="宋体" w:cs="宋体"/>
                <w:spacing w:val="7"/>
                <w:sz w:val="20"/>
                <w:szCs w:val="20"/>
              </w:rPr>
              <w:t>粒饲料</w:t>
            </w:r>
          </w:p>
        </w:tc>
        <w:tc>
          <w:tcPr>
            <w:tcW w:w="1335" w:type="dxa"/>
            <w:tcBorders>
              <w:left w:val="single" w:color="000000" w:sz="4" w:space="0"/>
              <w:right w:val="single" w:color="000000" w:sz="4" w:space="0"/>
            </w:tcBorders>
          </w:tcPr>
          <w:p w14:paraId="2ED90546"/>
        </w:tc>
        <w:tc>
          <w:tcPr>
            <w:tcW w:w="3210" w:type="dxa"/>
            <w:tcBorders>
              <w:left w:val="single" w:color="000000" w:sz="4" w:space="0"/>
              <w:right w:val="single" w:color="000000" w:sz="4" w:space="0"/>
            </w:tcBorders>
          </w:tcPr>
          <w:p w14:paraId="56AC10F7">
            <w:pPr>
              <w:spacing w:before="52" w:line="228" w:lineRule="auto"/>
              <w:ind w:left="769"/>
              <w:rPr>
                <w:rFonts w:ascii="宋体" w:hAnsi="宋体" w:eastAsia="宋体" w:cs="宋体"/>
                <w:sz w:val="20"/>
                <w:szCs w:val="20"/>
              </w:rPr>
            </w:pPr>
            <w:r>
              <w:rPr>
                <w:rFonts w:ascii="宋体" w:hAnsi="宋体" w:eastAsia="宋体" w:cs="宋体"/>
                <w:spacing w:val="12"/>
                <w:sz w:val="20"/>
                <w:szCs w:val="20"/>
              </w:rPr>
              <w:t>玉</w:t>
            </w:r>
            <w:r>
              <w:rPr>
                <w:rFonts w:ascii="宋体" w:hAnsi="宋体" w:eastAsia="宋体" w:cs="宋体"/>
                <w:spacing w:val="8"/>
                <w:sz w:val="20"/>
                <w:szCs w:val="20"/>
              </w:rPr>
              <w:t>米、蛋白、淀粉</w:t>
            </w:r>
          </w:p>
        </w:tc>
        <w:tc>
          <w:tcPr>
            <w:tcW w:w="2175" w:type="dxa"/>
            <w:tcBorders>
              <w:left w:val="single" w:color="000000" w:sz="4" w:space="0"/>
              <w:right w:val="nil"/>
            </w:tcBorders>
          </w:tcPr>
          <w:p w14:paraId="2213B8F6">
            <w:pPr>
              <w:spacing w:before="52" w:line="228" w:lineRule="auto"/>
              <w:ind w:left="355"/>
              <w:rPr>
                <w:rFonts w:ascii="宋体" w:hAnsi="宋体" w:eastAsia="宋体" w:cs="宋体"/>
                <w:sz w:val="20"/>
                <w:szCs w:val="20"/>
              </w:rPr>
            </w:pPr>
            <w:r>
              <w:rPr>
                <w:rFonts w:ascii="宋体" w:hAnsi="宋体" w:eastAsia="宋体" w:cs="宋体"/>
                <w:spacing w:val="11"/>
                <w:sz w:val="20"/>
                <w:szCs w:val="20"/>
              </w:rPr>
              <w:t>来</w:t>
            </w:r>
            <w:r>
              <w:rPr>
                <w:rFonts w:ascii="宋体" w:hAnsi="宋体" w:eastAsia="宋体" w:cs="宋体"/>
                <w:spacing w:val="8"/>
                <w:sz w:val="20"/>
                <w:szCs w:val="20"/>
              </w:rPr>
              <w:t>源于正邦集团</w:t>
            </w:r>
          </w:p>
        </w:tc>
      </w:tr>
      <w:tr w14:paraId="2580D7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263" w:type="dxa"/>
            <w:vMerge w:val="restart"/>
            <w:tcBorders>
              <w:left w:val="nil"/>
              <w:bottom w:val="nil"/>
              <w:right w:val="single" w:color="000000" w:sz="4" w:space="0"/>
            </w:tcBorders>
          </w:tcPr>
          <w:p w14:paraId="72297DE2">
            <w:pPr>
              <w:spacing w:line="272" w:lineRule="auto"/>
            </w:pPr>
          </w:p>
          <w:p w14:paraId="3CCF4E46">
            <w:pPr>
              <w:spacing w:line="272" w:lineRule="auto"/>
            </w:pPr>
          </w:p>
          <w:p w14:paraId="77FAA0FA">
            <w:pPr>
              <w:spacing w:line="272" w:lineRule="auto"/>
            </w:pPr>
          </w:p>
          <w:p w14:paraId="64FE96F2">
            <w:pPr>
              <w:spacing w:line="273" w:lineRule="auto"/>
            </w:pPr>
          </w:p>
          <w:p w14:paraId="15F1B322">
            <w:pPr>
              <w:spacing w:before="65" w:line="228" w:lineRule="auto"/>
              <w:ind w:left="430"/>
              <w:rPr>
                <w:rFonts w:ascii="宋体" w:hAnsi="宋体" w:eastAsia="宋体" w:cs="宋体"/>
                <w:sz w:val="20"/>
                <w:szCs w:val="20"/>
              </w:rPr>
            </w:pPr>
            <w:r>
              <w:rPr>
                <w:rFonts w:ascii="宋体" w:hAnsi="宋体" w:eastAsia="宋体" w:cs="宋体"/>
                <w:spacing w:val="4"/>
                <w:sz w:val="20"/>
                <w:szCs w:val="20"/>
              </w:rPr>
              <w:t>辅</w:t>
            </w:r>
            <w:r>
              <w:rPr>
                <w:rFonts w:ascii="宋体" w:hAnsi="宋体" w:eastAsia="宋体" w:cs="宋体"/>
                <w:spacing w:val="3"/>
                <w:sz w:val="20"/>
                <w:szCs w:val="20"/>
              </w:rPr>
              <w:t>料</w:t>
            </w:r>
          </w:p>
        </w:tc>
        <w:tc>
          <w:tcPr>
            <w:tcW w:w="1730" w:type="dxa"/>
            <w:tcBorders>
              <w:left w:val="single" w:color="000000" w:sz="4" w:space="0"/>
              <w:right w:val="single" w:color="000000" w:sz="4" w:space="0"/>
            </w:tcBorders>
          </w:tcPr>
          <w:p w14:paraId="7471E46F">
            <w:pPr>
              <w:spacing w:before="34" w:line="228" w:lineRule="auto"/>
              <w:ind w:left="460"/>
              <w:rPr>
                <w:rFonts w:ascii="宋体" w:hAnsi="宋体" w:eastAsia="宋体" w:cs="宋体"/>
                <w:sz w:val="20"/>
                <w:szCs w:val="20"/>
              </w:rPr>
            </w:pPr>
            <w:r>
              <w:rPr>
                <w:rFonts w:ascii="宋体" w:hAnsi="宋体" w:eastAsia="宋体" w:cs="宋体"/>
                <w:spacing w:val="4"/>
                <w:sz w:val="20"/>
                <w:szCs w:val="20"/>
              </w:rPr>
              <w:t>防疫药品</w:t>
            </w:r>
          </w:p>
        </w:tc>
        <w:tc>
          <w:tcPr>
            <w:tcW w:w="1335" w:type="dxa"/>
            <w:tcBorders>
              <w:left w:val="single" w:color="000000" w:sz="4" w:space="0"/>
              <w:right w:val="single" w:color="000000" w:sz="4" w:space="0"/>
            </w:tcBorders>
          </w:tcPr>
          <w:p w14:paraId="5055624C"/>
        </w:tc>
        <w:tc>
          <w:tcPr>
            <w:tcW w:w="3210" w:type="dxa"/>
            <w:tcBorders>
              <w:left w:val="single" w:color="000000" w:sz="4" w:space="0"/>
              <w:right w:val="single" w:color="000000" w:sz="4" w:space="0"/>
            </w:tcBorders>
          </w:tcPr>
          <w:p w14:paraId="76A8CDB4">
            <w:pPr>
              <w:spacing w:line="278" w:lineRule="exact"/>
              <w:ind w:left="157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2175" w:type="dxa"/>
            <w:tcBorders>
              <w:left w:val="single" w:color="000000" w:sz="4" w:space="0"/>
              <w:right w:val="nil"/>
            </w:tcBorders>
          </w:tcPr>
          <w:p w14:paraId="44E87943">
            <w:pPr>
              <w:spacing w:before="34" w:line="228" w:lineRule="auto"/>
              <w:ind w:left="355"/>
              <w:rPr>
                <w:rFonts w:ascii="宋体" w:hAnsi="宋体" w:eastAsia="宋体" w:cs="宋体"/>
                <w:sz w:val="20"/>
                <w:szCs w:val="20"/>
              </w:rPr>
            </w:pPr>
            <w:r>
              <w:rPr>
                <w:rFonts w:ascii="宋体" w:hAnsi="宋体" w:eastAsia="宋体" w:cs="宋体"/>
                <w:spacing w:val="11"/>
                <w:sz w:val="20"/>
                <w:szCs w:val="20"/>
              </w:rPr>
              <w:t>来</w:t>
            </w:r>
            <w:r>
              <w:rPr>
                <w:rFonts w:ascii="宋体" w:hAnsi="宋体" w:eastAsia="宋体" w:cs="宋体"/>
                <w:spacing w:val="8"/>
                <w:sz w:val="20"/>
                <w:szCs w:val="20"/>
              </w:rPr>
              <w:t>源于正邦集团</w:t>
            </w:r>
          </w:p>
        </w:tc>
      </w:tr>
      <w:tr w14:paraId="7A8AD6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263" w:type="dxa"/>
            <w:vMerge w:val="continue"/>
            <w:tcBorders>
              <w:top w:val="nil"/>
              <w:left w:val="nil"/>
              <w:bottom w:val="nil"/>
              <w:right w:val="single" w:color="000000" w:sz="4" w:space="0"/>
            </w:tcBorders>
          </w:tcPr>
          <w:p w14:paraId="5AD38E7C"/>
        </w:tc>
        <w:tc>
          <w:tcPr>
            <w:tcW w:w="1730" w:type="dxa"/>
            <w:tcBorders>
              <w:left w:val="single" w:color="000000" w:sz="4" w:space="0"/>
              <w:right w:val="single" w:color="000000" w:sz="4" w:space="0"/>
            </w:tcBorders>
          </w:tcPr>
          <w:p w14:paraId="010E1A9F">
            <w:pPr>
              <w:spacing w:before="33" w:line="229" w:lineRule="auto"/>
              <w:ind w:left="553"/>
              <w:rPr>
                <w:rFonts w:ascii="宋体" w:hAnsi="宋体" w:eastAsia="宋体" w:cs="宋体"/>
                <w:sz w:val="20"/>
                <w:szCs w:val="20"/>
              </w:rPr>
            </w:pPr>
            <w:r>
              <w:rPr>
                <w:rFonts w:ascii="宋体" w:hAnsi="宋体" w:eastAsia="宋体" w:cs="宋体"/>
                <w:spacing w:val="7"/>
                <w:sz w:val="20"/>
                <w:szCs w:val="20"/>
              </w:rPr>
              <w:t>戊</w:t>
            </w:r>
            <w:r>
              <w:rPr>
                <w:rFonts w:ascii="宋体" w:hAnsi="宋体" w:eastAsia="宋体" w:cs="宋体"/>
                <w:spacing w:val="6"/>
                <w:sz w:val="20"/>
                <w:szCs w:val="20"/>
              </w:rPr>
              <w:t>二醛</w:t>
            </w:r>
          </w:p>
        </w:tc>
        <w:tc>
          <w:tcPr>
            <w:tcW w:w="1335" w:type="dxa"/>
            <w:vMerge w:val="restart"/>
            <w:tcBorders>
              <w:left w:val="single" w:color="000000" w:sz="4" w:space="0"/>
              <w:bottom w:val="nil"/>
              <w:right w:val="single" w:color="000000" w:sz="4" w:space="0"/>
            </w:tcBorders>
          </w:tcPr>
          <w:p w14:paraId="151FE4A3"/>
        </w:tc>
        <w:tc>
          <w:tcPr>
            <w:tcW w:w="3210" w:type="dxa"/>
            <w:tcBorders>
              <w:left w:val="single" w:color="000000" w:sz="4" w:space="0"/>
              <w:right w:val="single" w:color="000000" w:sz="4" w:space="0"/>
            </w:tcBorders>
          </w:tcPr>
          <w:p w14:paraId="0392EE67">
            <w:pPr>
              <w:spacing w:before="69" w:line="202" w:lineRule="auto"/>
              <w:ind w:left="1284"/>
              <w:rPr>
                <w:rFonts w:ascii="Times New Roman" w:hAnsi="Times New Roman" w:eastAsia="Times New Roman" w:cs="Times New Roman"/>
                <w:sz w:val="13"/>
                <w:szCs w:val="13"/>
              </w:rPr>
            </w:pPr>
            <w:r>
              <w:rPr>
                <w:rFonts w:ascii="Times New Roman" w:hAnsi="Times New Roman" w:eastAsia="Times New Roman" w:cs="Times New Roman"/>
                <w:sz w:val="20"/>
                <w:szCs w:val="20"/>
              </w:rPr>
              <w:t>C</w:t>
            </w:r>
            <w:r>
              <w:rPr>
                <w:rFonts w:ascii="Times New Roman" w:hAnsi="Times New Roman" w:eastAsia="Times New Roman" w:cs="Times New Roman"/>
                <w:spacing w:val="8"/>
                <w:position w:val="-1"/>
                <w:sz w:val="13"/>
                <w:szCs w:val="13"/>
              </w:rPr>
              <w:t>5</w:t>
            </w:r>
            <w:r>
              <w:rPr>
                <w:rFonts w:ascii="Times New Roman" w:hAnsi="Times New Roman" w:eastAsia="Times New Roman" w:cs="Times New Roman"/>
                <w:sz w:val="20"/>
                <w:szCs w:val="20"/>
              </w:rPr>
              <w:t>H</w:t>
            </w:r>
            <w:r>
              <w:rPr>
                <w:rFonts w:ascii="Times New Roman" w:hAnsi="Times New Roman" w:eastAsia="Times New Roman" w:cs="Times New Roman"/>
                <w:spacing w:val="7"/>
                <w:position w:val="-1"/>
                <w:sz w:val="13"/>
                <w:szCs w:val="13"/>
              </w:rPr>
              <w:t>8</w:t>
            </w:r>
            <w:r>
              <w:rPr>
                <w:rFonts w:ascii="Times New Roman" w:hAnsi="Times New Roman" w:eastAsia="Times New Roman" w:cs="Times New Roman"/>
                <w:sz w:val="20"/>
                <w:szCs w:val="20"/>
              </w:rPr>
              <w:t>O</w:t>
            </w:r>
            <w:r>
              <w:rPr>
                <w:rFonts w:ascii="Times New Roman" w:hAnsi="Times New Roman" w:eastAsia="Times New Roman" w:cs="Times New Roman"/>
                <w:spacing w:val="7"/>
                <w:position w:val="-1"/>
                <w:sz w:val="13"/>
                <w:szCs w:val="13"/>
              </w:rPr>
              <w:t>2</w:t>
            </w:r>
          </w:p>
        </w:tc>
        <w:tc>
          <w:tcPr>
            <w:tcW w:w="2175" w:type="dxa"/>
            <w:tcBorders>
              <w:left w:val="single" w:color="000000" w:sz="4" w:space="0"/>
              <w:right w:val="nil"/>
            </w:tcBorders>
          </w:tcPr>
          <w:p w14:paraId="36D09257">
            <w:pPr>
              <w:spacing w:before="33" w:line="228" w:lineRule="auto"/>
              <w:ind w:left="619"/>
              <w:rPr>
                <w:rFonts w:ascii="Times New Roman" w:hAnsi="Times New Roman" w:eastAsia="Times New Roman" w:cs="Times New Roman"/>
                <w:sz w:val="20"/>
                <w:szCs w:val="20"/>
              </w:rPr>
            </w:pPr>
            <w:r>
              <w:rPr>
                <w:rFonts w:ascii="宋体" w:hAnsi="宋体" w:eastAsia="宋体" w:cs="宋体"/>
                <w:spacing w:val="-4"/>
                <w:sz w:val="20"/>
                <w:szCs w:val="20"/>
              </w:rPr>
              <w:t>兑</w:t>
            </w:r>
            <w:r>
              <w:rPr>
                <w:rFonts w:ascii="宋体" w:hAnsi="宋体" w:eastAsia="宋体" w:cs="宋体"/>
                <w:spacing w:val="-2"/>
                <w:sz w:val="20"/>
                <w:szCs w:val="20"/>
              </w:rPr>
              <w:t xml:space="preserve">水 </w:t>
            </w:r>
            <w:r>
              <w:rPr>
                <w:rFonts w:ascii="Times New Roman" w:hAnsi="Times New Roman" w:eastAsia="Times New Roman" w:cs="Times New Roman"/>
                <w:spacing w:val="-2"/>
                <w:sz w:val="20"/>
                <w:szCs w:val="20"/>
              </w:rPr>
              <w:t>1:500</w:t>
            </w:r>
          </w:p>
        </w:tc>
      </w:tr>
      <w:tr w14:paraId="21549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263" w:type="dxa"/>
            <w:vMerge w:val="continue"/>
            <w:tcBorders>
              <w:top w:val="nil"/>
              <w:left w:val="nil"/>
              <w:bottom w:val="nil"/>
              <w:right w:val="single" w:color="000000" w:sz="4" w:space="0"/>
            </w:tcBorders>
          </w:tcPr>
          <w:p w14:paraId="3B477848"/>
        </w:tc>
        <w:tc>
          <w:tcPr>
            <w:tcW w:w="1730" w:type="dxa"/>
            <w:tcBorders>
              <w:left w:val="single" w:color="000000" w:sz="4" w:space="0"/>
              <w:right w:val="single" w:color="000000" w:sz="4" w:space="0"/>
            </w:tcBorders>
          </w:tcPr>
          <w:p w14:paraId="3FDE266B">
            <w:pPr>
              <w:spacing w:before="34" w:line="227" w:lineRule="auto"/>
              <w:ind w:left="657"/>
              <w:rPr>
                <w:rFonts w:ascii="宋体" w:hAnsi="宋体" w:eastAsia="宋体" w:cs="宋体"/>
                <w:sz w:val="20"/>
                <w:szCs w:val="20"/>
              </w:rPr>
            </w:pPr>
            <w:r>
              <w:rPr>
                <w:rFonts w:ascii="宋体" w:hAnsi="宋体" w:eastAsia="宋体" w:cs="宋体"/>
                <w:spacing w:val="5"/>
                <w:sz w:val="20"/>
                <w:szCs w:val="20"/>
              </w:rPr>
              <w:t>烧碱</w:t>
            </w:r>
          </w:p>
        </w:tc>
        <w:tc>
          <w:tcPr>
            <w:tcW w:w="1335" w:type="dxa"/>
            <w:vMerge w:val="continue"/>
            <w:tcBorders>
              <w:top w:val="nil"/>
              <w:left w:val="single" w:color="000000" w:sz="4" w:space="0"/>
              <w:bottom w:val="nil"/>
              <w:right w:val="single" w:color="000000" w:sz="4" w:space="0"/>
            </w:tcBorders>
          </w:tcPr>
          <w:p w14:paraId="48749C8E"/>
        </w:tc>
        <w:tc>
          <w:tcPr>
            <w:tcW w:w="3210" w:type="dxa"/>
            <w:tcBorders>
              <w:left w:val="single" w:color="000000" w:sz="4" w:space="0"/>
              <w:right w:val="single" w:color="000000" w:sz="4" w:space="0"/>
            </w:tcBorders>
          </w:tcPr>
          <w:p w14:paraId="3CA6CA94">
            <w:pPr>
              <w:spacing w:before="70" w:line="195" w:lineRule="auto"/>
              <w:ind w:left="1324"/>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NaO</w:t>
            </w:r>
            <w:r>
              <w:rPr>
                <w:rFonts w:ascii="Times New Roman" w:hAnsi="Times New Roman" w:eastAsia="Times New Roman" w:cs="Times New Roman"/>
                <w:spacing w:val="6"/>
                <w:sz w:val="20"/>
                <w:szCs w:val="20"/>
              </w:rPr>
              <w:t>H</w:t>
            </w:r>
          </w:p>
        </w:tc>
        <w:tc>
          <w:tcPr>
            <w:tcW w:w="2175" w:type="dxa"/>
            <w:vMerge w:val="restart"/>
            <w:tcBorders>
              <w:left w:val="single" w:color="000000" w:sz="4" w:space="0"/>
              <w:bottom w:val="nil"/>
              <w:right w:val="nil"/>
            </w:tcBorders>
          </w:tcPr>
          <w:p w14:paraId="65B6652F">
            <w:pPr>
              <w:spacing w:before="178" w:line="265" w:lineRule="auto"/>
              <w:ind w:left="463" w:right="143" w:hanging="316"/>
              <w:rPr>
                <w:rFonts w:ascii="宋体" w:hAnsi="宋体" w:eastAsia="宋体" w:cs="宋体"/>
                <w:sz w:val="20"/>
                <w:szCs w:val="20"/>
              </w:rPr>
            </w:pPr>
            <w:r>
              <w:rPr>
                <w:rFonts w:ascii="宋体" w:hAnsi="宋体" w:eastAsia="宋体" w:cs="宋体"/>
                <w:spacing w:val="15"/>
                <w:sz w:val="20"/>
                <w:szCs w:val="20"/>
              </w:rPr>
              <w:t>按</w:t>
            </w:r>
            <w:r>
              <w:rPr>
                <w:rFonts w:ascii="宋体" w:hAnsi="宋体" w:eastAsia="宋体" w:cs="宋体"/>
                <w:spacing w:val="8"/>
                <w:sz w:val="20"/>
                <w:szCs w:val="20"/>
              </w:rPr>
              <w:t>具体消毒内容进行</w:t>
            </w:r>
            <w:r>
              <w:rPr>
                <w:rFonts w:ascii="宋体" w:hAnsi="宋体" w:eastAsia="宋体" w:cs="宋体"/>
                <w:sz w:val="20"/>
                <w:szCs w:val="20"/>
              </w:rPr>
              <w:t xml:space="preserve"> </w:t>
            </w:r>
            <w:r>
              <w:rPr>
                <w:rFonts w:ascii="宋体" w:hAnsi="宋体" w:eastAsia="宋体" w:cs="宋体"/>
                <w:spacing w:val="11"/>
                <w:sz w:val="20"/>
                <w:szCs w:val="20"/>
              </w:rPr>
              <w:t>不</w:t>
            </w:r>
            <w:r>
              <w:rPr>
                <w:rFonts w:ascii="宋体" w:hAnsi="宋体" w:eastAsia="宋体" w:cs="宋体"/>
                <w:spacing w:val="7"/>
                <w:sz w:val="20"/>
                <w:szCs w:val="20"/>
              </w:rPr>
              <w:t>同比例兑水</w:t>
            </w:r>
          </w:p>
        </w:tc>
      </w:tr>
      <w:tr w14:paraId="5060D1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1263" w:type="dxa"/>
            <w:vMerge w:val="continue"/>
            <w:tcBorders>
              <w:top w:val="nil"/>
              <w:left w:val="nil"/>
              <w:bottom w:val="nil"/>
              <w:right w:val="single" w:color="000000" w:sz="4" w:space="0"/>
            </w:tcBorders>
          </w:tcPr>
          <w:p w14:paraId="456F7F06"/>
        </w:tc>
        <w:tc>
          <w:tcPr>
            <w:tcW w:w="1730" w:type="dxa"/>
            <w:tcBorders>
              <w:left w:val="single" w:color="000000" w:sz="4" w:space="0"/>
              <w:right w:val="single" w:color="000000" w:sz="4" w:space="0"/>
            </w:tcBorders>
          </w:tcPr>
          <w:p w14:paraId="6168E7AA">
            <w:pPr>
              <w:spacing w:before="170" w:line="231" w:lineRule="auto"/>
              <w:ind w:left="660"/>
              <w:rPr>
                <w:rFonts w:ascii="宋体" w:hAnsi="宋体" w:eastAsia="宋体" w:cs="宋体"/>
                <w:sz w:val="20"/>
                <w:szCs w:val="20"/>
              </w:rPr>
            </w:pPr>
            <w:r>
              <w:rPr>
                <w:rFonts w:ascii="宋体" w:hAnsi="宋体" w:eastAsia="宋体" w:cs="宋体"/>
                <w:spacing w:val="4"/>
                <w:sz w:val="20"/>
                <w:szCs w:val="20"/>
              </w:rPr>
              <w:t>卫</w:t>
            </w:r>
            <w:r>
              <w:rPr>
                <w:rFonts w:ascii="宋体" w:hAnsi="宋体" w:eastAsia="宋体" w:cs="宋体"/>
                <w:spacing w:val="3"/>
                <w:sz w:val="20"/>
                <w:szCs w:val="20"/>
              </w:rPr>
              <w:t>可</w:t>
            </w:r>
          </w:p>
        </w:tc>
        <w:tc>
          <w:tcPr>
            <w:tcW w:w="1335" w:type="dxa"/>
            <w:vMerge w:val="continue"/>
            <w:tcBorders>
              <w:top w:val="nil"/>
              <w:left w:val="single" w:color="000000" w:sz="4" w:space="0"/>
              <w:right w:val="single" w:color="000000" w:sz="4" w:space="0"/>
            </w:tcBorders>
          </w:tcPr>
          <w:p w14:paraId="108C4079"/>
        </w:tc>
        <w:tc>
          <w:tcPr>
            <w:tcW w:w="3210" w:type="dxa"/>
            <w:tcBorders>
              <w:left w:val="single" w:color="000000" w:sz="4" w:space="0"/>
              <w:right w:val="single" w:color="000000" w:sz="4" w:space="0"/>
            </w:tcBorders>
          </w:tcPr>
          <w:p w14:paraId="6F922205">
            <w:pPr>
              <w:spacing w:before="35" w:line="239" w:lineRule="auto"/>
              <w:ind w:left="979" w:right="132" w:hanging="841"/>
              <w:rPr>
                <w:rFonts w:ascii="宋体" w:hAnsi="宋体" w:eastAsia="宋体" w:cs="宋体"/>
                <w:sz w:val="20"/>
                <w:szCs w:val="20"/>
              </w:rPr>
            </w:pPr>
            <w:r>
              <w:rPr>
                <w:rFonts w:ascii="宋体" w:hAnsi="宋体" w:eastAsia="宋体" w:cs="宋体"/>
                <w:spacing w:val="11"/>
                <w:sz w:val="20"/>
                <w:szCs w:val="20"/>
              </w:rPr>
              <w:t>过</w:t>
            </w:r>
            <w:r>
              <w:rPr>
                <w:rFonts w:ascii="宋体" w:hAnsi="宋体" w:eastAsia="宋体" w:cs="宋体"/>
                <w:spacing w:val="9"/>
                <w:sz w:val="20"/>
                <w:szCs w:val="20"/>
              </w:rPr>
              <w:t>硫酸氢钾三盐复合物、表面活</w:t>
            </w:r>
            <w:r>
              <w:rPr>
                <w:rFonts w:ascii="宋体" w:hAnsi="宋体" w:eastAsia="宋体" w:cs="宋体"/>
                <w:sz w:val="20"/>
                <w:szCs w:val="20"/>
              </w:rPr>
              <w:t xml:space="preserve"> </w:t>
            </w:r>
            <w:r>
              <w:rPr>
                <w:rFonts w:ascii="宋体" w:hAnsi="宋体" w:eastAsia="宋体" w:cs="宋体"/>
                <w:spacing w:val="8"/>
                <w:sz w:val="20"/>
                <w:szCs w:val="20"/>
              </w:rPr>
              <w:t>性剂、有机</w:t>
            </w:r>
            <w:r>
              <w:rPr>
                <w:rFonts w:ascii="宋体" w:hAnsi="宋体" w:eastAsia="宋体" w:cs="宋体"/>
                <w:spacing w:val="7"/>
                <w:sz w:val="20"/>
                <w:szCs w:val="20"/>
              </w:rPr>
              <w:t>酸</w:t>
            </w:r>
          </w:p>
        </w:tc>
        <w:tc>
          <w:tcPr>
            <w:tcW w:w="2175" w:type="dxa"/>
            <w:vMerge w:val="continue"/>
            <w:tcBorders>
              <w:top w:val="nil"/>
              <w:left w:val="single" w:color="000000" w:sz="4" w:space="0"/>
              <w:right w:val="nil"/>
            </w:tcBorders>
          </w:tcPr>
          <w:p w14:paraId="542FFF45"/>
        </w:tc>
      </w:tr>
      <w:tr w14:paraId="346F01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263" w:type="dxa"/>
            <w:vMerge w:val="continue"/>
            <w:tcBorders>
              <w:top w:val="nil"/>
              <w:left w:val="nil"/>
              <w:bottom w:val="nil"/>
              <w:right w:val="single" w:color="000000" w:sz="4" w:space="0"/>
            </w:tcBorders>
          </w:tcPr>
          <w:p w14:paraId="2D5DC093"/>
        </w:tc>
        <w:tc>
          <w:tcPr>
            <w:tcW w:w="1730" w:type="dxa"/>
            <w:tcBorders>
              <w:left w:val="single" w:color="000000" w:sz="4" w:space="0"/>
              <w:right w:val="single" w:color="000000" w:sz="4" w:space="0"/>
            </w:tcBorders>
          </w:tcPr>
          <w:p w14:paraId="00B1A118">
            <w:pPr>
              <w:spacing w:before="36" w:line="239" w:lineRule="auto"/>
              <w:ind w:left="662" w:right="126" w:hanging="527"/>
              <w:rPr>
                <w:rFonts w:ascii="宋体" w:hAnsi="宋体" w:eastAsia="宋体" w:cs="宋体"/>
                <w:sz w:val="20"/>
                <w:szCs w:val="20"/>
              </w:rPr>
            </w:pPr>
            <w:r>
              <w:rPr>
                <w:rFonts w:ascii="宋体" w:hAnsi="宋体" w:eastAsia="宋体" w:cs="宋体"/>
                <w:spacing w:val="10"/>
                <w:sz w:val="20"/>
                <w:szCs w:val="20"/>
              </w:rPr>
              <w:t>异</w:t>
            </w:r>
            <w:r>
              <w:rPr>
                <w:rFonts w:ascii="宋体" w:hAnsi="宋体" w:eastAsia="宋体" w:cs="宋体"/>
                <w:spacing w:val="8"/>
                <w:sz w:val="20"/>
                <w:szCs w:val="20"/>
              </w:rPr>
              <w:t>位发酵床专用</w:t>
            </w:r>
            <w:r>
              <w:rPr>
                <w:rFonts w:ascii="宋体" w:hAnsi="宋体" w:eastAsia="宋体" w:cs="宋体"/>
                <w:sz w:val="20"/>
                <w:szCs w:val="20"/>
              </w:rPr>
              <w:t xml:space="preserve"> </w:t>
            </w:r>
            <w:r>
              <w:rPr>
                <w:rFonts w:ascii="宋体" w:hAnsi="宋体" w:eastAsia="宋体" w:cs="宋体"/>
                <w:spacing w:val="3"/>
                <w:sz w:val="20"/>
                <w:szCs w:val="20"/>
              </w:rPr>
              <w:t>菌</w:t>
            </w:r>
            <w:r>
              <w:rPr>
                <w:rFonts w:ascii="宋体" w:hAnsi="宋体" w:eastAsia="宋体" w:cs="宋体"/>
                <w:spacing w:val="2"/>
                <w:sz w:val="20"/>
                <w:szCs w:val="20"/>
              </w:rPr>
              <w:t>种</w:t>
            </w:r>
          </w:p>
        </w:tc>
        <w:tc>
          <w:tcPr>
            <w:tcW w:w="1335" w:type="dxa"/>
            <w:tcBorders>
              <w:left w:val="single" w:color="000000" w:sz="4" w:space="0"/>
              <w:right w:val="single" w:color="000000" w:sz="4" w:space="0"/>
            </w:tcBorders>
          </w:tcPr>
          <w:p w14:paraId="397DD974"/>
        </w:tc>
        <w:tc>
          <w:tcPr>
            <w:tcW w:w="3210" w:type="dxa"/>
            <w:tcBorders>
              <w:left w:val="single" w:color="000000" w:sz="4" w:space="0"/>
              <w:right w:val="single" w:color="000000" w:sz="4" w:space="0"/>
            </w:tcBorders>
          </w:tcPr>
          <w:p w14:paraId="2C0C18C6">
            <w:pPr>
              <w:spacing w:before="171" w:line="228" w:lineRule="auto"/>
              <w:ind w:left="1086"/>
              <w:rPr>
                <w:rFonts w:ascii="宋体" w:hAnsi="宋体" w:eastAsia="宋体" w:cs="宋体"/>
                <w:sz w:val="20"/>
                <w:szCs w:val="20"/>
              </w:rPr>
            </w:pPr>
            <w:r>
              <w:rPr>
                <w:rFonts w:ascii="宋体" w:hAnsi="宋体" w:eastAsia="宋体" w:cs="宋体"/>
                <w:spacing w:val="9"/>
                <w:sz w:val="20"/>
                <w:szCs w:val="20"/>
              </w:rPr>
              <w:t>发</w:t>
            </w:r>
            <w:r>
              <w:rPr>
                <w:rFonts w:ascii="宋体" w:hAnsi="宋体" w:eastAsia="宋体" w:cs="宋体"/>
                <w:spacing w:val="7"/>
                <w:sz w:val="20"/>
                <w:szCs w:val="20"/>
              </w:rPr>
              <w:t>酵床辅料</w:t>
            </w:r>
          </w:p>
        </w:tc>
        <w:tc>
          <w:tcPr>
            <w:tcW w:w="2175" w:type="dxa"/>
            <w:tcBorders>
              <w:left w:val="single" w:color="000000" w:sz="4" w:space="0"/>
              <w:right w:val="nil"/>
            </w:tcBorders>
          </w:tcPr>
          <w:p w14:paraId="671F3CDE">
            <w:pPr>
              <w:spacing w:before="171" w:line="228" w:lineRule="auto"/>
              <w:ind w:left="884"/>
              <w:rPr>
                <w:rFonts w:ascii="宋体" w:hAnsi="宋体" w:eastAsia="宋体" w:cs="宋体"/>
                <w:sz w:val="20"/>
                <w:szCs w:val="20"/>
              </w:rPr>
            </w:pPr>
            <w:r>
              <w:rPr>
                <w:rFonts w:ascii="宋体" w:hAnsi="宋体" w:eastAsia="宋体" w:cs="宋体"/>
                <w:spacing w:val="3"/>
                <w:sz w:val="20"/>
                <w:szCs w:val="20"/>
              </w:rPr>
              <w:t>外</w:t>
            </w:r>
            <w:r>
              <w:rPr>
                <w:rFonts w:ascii="宋体" w:hAnsi="宋体" w:eastAsia="宋体" w:cs="宋体"/>
                <w:spacing w:val="2"/>
                <w:sz w:val="20"/>
                <w:szCs w:val="20"/>
              </w:rPr>
              <w:t>购</w:t>
            </w:r>
          </w:p>
        </w:tc>
      </w:tr>
      <w:tr w14:paraId="5E53E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263" w:type="dxa"/>
            <w:vMerge w:val="continue"/>
            <w:tcBorders>
              <w:top w:val="nil"/>
              <w:left w:val="nil"/>
              <w:right w:val="single" w:color="000000" w:sz="4" w:space="0"/>
            </w:tcBorders>
          </w:tcPr>
          <w:p w14:paraId="21A486DD"/>
        </w:tc>
        <w:tc>
          <w:tcPr>
            <w:tcW w:w="1730" w:type="dxa"/>
            <w:tcBorders>
              <w:left w:val="single" w:color="000000" w:sz="4" w:space="0"/>
              <w:right w:val="single" w:color="000000" w:sz="4" w:space="0"/>
            </w:tcBorders>
          </w:tcPr>
          <w:p w14:paraId="3FD69604">
            <w:pPr>
              <w:spacing w:before="173" w:line="228" w:lineRule="auto"/>
              <w:ind w:left="347"/>
              <w:rPr>
                <w:rFonts w:ascii="宋体" w:hAnsi="宋体" w:eastAsia="宋体" w:cs="宋体"/>
                <w:sz w:val="20"/>
                <w:szCs w:val="20"/>
              </w:rPr>
            </w:pPr>
            <w:r>
              <w:rPr>
                <w:rFonts w:ascii="宋体" w:hAnsi="宋体" w:eastAsia="宋体" w:cs="宋体"/>
                <w:spacing w:val="9"/>
                <w:sz w:val="20"/>
                <w:szCs w:val="20"/>
              </w:rPr>
              <w:t>发</w:t>
            </w:r>
            <w:r>
              <w:rPr>
                <w:rFonts w:ascii="宋体" w:hAnsi="宋体" w:eastAsia="宋体" w:cs="宋体"/>
                <w:spacing w:val="7"/>
                <w:sz w:val="20"/>
                <w:szCs w:val="20"/>
              </w:rPr>
              <w:t>酵床垫料</w:t>
            </w:r>
          </w:p>
        </w:tc>
        <w:tc>
          <w:tcPr>
            <w:tcW w:w="1335" w:type="dxa"/>
            <w:tcBorders>
              <w:left w:val="single" w:color="000000" w:sz="4" w:space="0"/>
              <w:right w:val="single" w:color="000000" w:sz="4" w:space="0"/>
            </w:tcBorders>
          </w:tcPr>
          <w:p w14:paraId="2645E71B"/>
        </w:tc>
        <w:tc>
          <w:tcPr>
            <w:tcW w:w="3210" w:type="dxa"/>
            <w:tcBorders>
              <w:left w:val="single" w:color="000000" w:sz="4" w:space="0"/>
              <w:right w:val="single" w:color="000000" w:sz="4" w:space="0"/>
            </w:tcBorders>
          </w:tcPr>
          <w:p w14:paraId="62BFAD81">
            <w:pPr>
              <w:spacing w:before="38" w:line="238" w:lineRule="auto"/>
              <w:ind w:left="246" w:right="132" w:hanging="108"/>
              <w:rPr>
                <w:rFonts w:ascii="宋体" w:hAnsi="宋体" w:eastAsia="宋体" w:cs="宋体"/>
                <w:sz w:val="20"/>
                <w:szCs w:val="20"/>
              </w:rPr>
            </w:pPr>
            <w:r>
              <w:rPr>
                <w:rFonts w:ascii="宋体" w:hAnsi="宋体" w:eastAsia="宋体" w:cs="宋体"/>
                <w:spacing w:val="16"/>
                <w:sz w:val="20"/>
                <w:szCs w:val="20"/>
              </w:rPr>
              <w:t>木</w:t>
            </w:r>
            <w:r>
              <w:rPr>
                <w:rFonts w:ascii="宋体" w:hAnsi="宋体" w:eastAsia="宋体" w:cs="宋体"/>
                <w:spacing w:val="8"/>
                <w:sz w:val="20"/>
                <w:szCs w:val="20"/>
              </w:rPr>
              <w:t>屑、谷壳等 (樟木以及含有化</w:t>
            </w:r>
            <w:r>
              <w:rPr>
                <w:rFonts w:ascii="宋体" w:hAnsi="宋体" w:eastAsia="宋体" w:cs="宋体"/>
                <w:sz w:val="20"/>
                <w:szCs w:val="20"/>
              </w:rPr>
              <w:t xml:space="preserve"> </w:t>
            </w:r>
            <w:r>
              <w:rPr>
                <w:rFonts w:ascii="宋体" w:hAnsi="宋体" w:eastAsia="宋体" w:cs="宋体"/>
                <w:spacing w:val="9"/>
                <w:sz w:val="20"/>
                <w:szCs w:val="20"/>
              </w:rPr>
              <w:t>学</w:t>
            </w:r>
            <w:r>
              <w:rPr>
                <w:rFonts w:ascii="宋体" w:hAnsi="宋体" w:eastAsia="宋体" w:cs="宋体"/>
                <w:spacing w:val="8"/>
                <w:sz w:val="20"/>
                <w:szCs w:val="20"/>
              </w:rPr>
              <w:t>浇水等物质的木屑不使用)</w:t>
            </w:r>
          </w:p>
        </w:tc>
        <w:tc>
          <w:tcPr>
            <w:tcW w:w="2175" w:type="dxa"/>
            <w:tcBorders>
              <w:left w:val="single" w:color="000000" w:sz="4" w:space="0"/>
              <w:right w:val="nil"/>
            </w:tcBorders>
          </w:tcPr>
          <w:p w14:paraId="6E701EA1">
            <w:pPr>
              <w:spacing w:before="174" w:line="228" w:lineRule="auto"/>
              <w:ind w:left="884"/>
              <w:rPr>
                <w:rFonts w:ascii="宋体" w:hAnsi="宋体" w:eastAsia="宋体" w:cs="宋体"/>
                <w:sz w:val="20"/>
                <w:szCs w:val="20"/>
              </w:rPr>
            </w:pPr>
            <w:r>
              <w:rPr>
                <w:rFonts w:ascii="宋体" w:hAnsi="宋体" w:eastAsia="宋体" w:cs="宋体"/>
                <w:spacing w:val="3"/>
                <w:sz w:val="20"/>
                <w:szCs w:val="20"/>
              </w:rPr>
              <w:t>外</w:t>
            </w:r>
            <w:r>
              <w:rPr>
                <w:rFonts w:ascii="宋体" w:hAnsi="宋体" w:eastAsia="宋体" w:cs="宋体"/>
                <w:spacing w:val="2"/>
                <w:sz w:val="20"/>
                <w:szCs w:val="20"/>
              </w:rPr>
              <w:t>购</w:t>
            </w:r>
          </w:p>
        </w:tc>
      </w:tr>
      <w:tr w14:paraId="623E0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263" w:type="dxa"/>
            <w:vMerge w:val="restart"/>
            <w:tcBorders>
              <w:left w:val="nil"/>
              <w:bottom w:val="nil"/>
              <w:right w:val="single" w:color="000000" w:sz="4" w:space="0"/>
            </w:tcBorders>
          </w:tcPr>
          <w:p w14:paraId="54F10FBE">
            <w:pPr>
              <w:spacing w:before="181" w:line="228" w:lineRule="auto"/>
              <w:ind w:left="437"/>
              <w:rPr>
                <w:rFonts w:ascii="宋体" w:hAnsi="宋体" w:eastAsia="宋体" w:cs="宋体"/>
                <w:sz w:val="20"/>
                <w:szCs w:val="20"/>
              </w:rPr>
            </w:pPr>
            <w:r>
              <w:rPr>
                <w:rFonts w:ascii="宋体" w:hAnsi="宋体" w:eastAsia="宋体" w:cs="宋体"/>
                <w:spacing w:val="1"/>
                <w:sz w:val="20"/>
                <w:szCs w:val="20"/>
              </w:rPr>
              <w:t>能</w:t>
            </w:r>
            <w:r>
              <w:rPr>
                <w:rFonts w:ascii="宋体" w:hAnsi="宋体" w:eastAsia="宋体" w:cs="宋体"/>
                <w:sz w:val="20"/>
                <w:szCs w:val="20"/>
              </w:rPr>
              <w:t>耗</w:t>
            </w:r>
          </w:p>
        </w:tc>
        <w:tc>
          <w:tcPr>
            <w:tcW w:w="1730" w:type="dxa"/>
            <w:tcBorders>
              <w:left w:val="single" w:color="000000" w:sz="4" w:space="0"/>
              <w:right w:val="single" w:color="000000" w:sz="4" w:space="0"/>
            </w:tcBorders>
          </w:tcPr>
          <w:p w14:paraId="3EF5E02A">
            <w:pPr>
              <w:spacing w:before="37" w:line="226" w:lineRule="auto"/>
              <w:ind w:left="788"/>
              <w:rPr>
                <w:rFonts w:ascii="宋体" w:hAnsi="宋体" w:eastAsia="宋体" w:cs="宋体"/>
                <w:sz w:val="20"/>
                <w:szCs w:val="20"/>
              </w:rPr>
            </w:pPr>
            <w:r>
              <w:rPr>
                <w:rFonts w:ascii="宋体" w:hAnsi="宋体" w:eastAsia="宋体" w:cs="宋体"/>
                <w:sz w:val="20"/>
                <w:szCs w:val="20"/>
              </w:rPr>
              <w:t>电</w:t>
            </w:r>
          </w:p>
        </w:tc>
        <w:tc>
          <w:tcPr>
            <w:tcW w:w="1335" w:type="dxa"/>
            <w:tcBorders>
              <w:left w:val="single" w:color="000000" w:sz="4" w:space="0"/>
              <w:right w:val="single" w:color="000000" w:sz="4" w:space="0"/>
            </w:tcBorders>
          </w:tcPr>
          <w:p w14:paraId="79A5738F"/>
        </w:tc>
        <w:tc>
          <w:tcPr>
            <w:tcW w:w="3210" w:type="dxa"/>
            <w:tcBorders>
              <w:left w:val="single" w:color="000000" w:sz="4" w:space="0"/>
              <w:right w:val="single" w:color="000000" w:sz="4" w:space="0"/>
            </w:tcBorders>
          </w:tcPr>
          <w:p w14:paraId="5B4F4004">
            <w:pPr>
              <w:spacing w:line="280" w:lineRule="exact"/>
              <w:ind w:left="157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2175" w:type="dxa"/>
            <w:tcBorders>
              <w:left w:val="single" w:color="000000" w:sz="4" w:space="0"/>
              <w:right w:val="nil"/>
            </w:tcBorders>
          </w:tcPr>
          <w:p w14:paraId="0A57B817">
            <w:pPr>
              <w:spacing w:before="37" w:line="226" w:lineRule="auto"/>
              <w:ind w:left="473"/>
              <w:rPr>
                <w:rFonts w:ascii="宋体" w:hAnsi="宋体" w:eastAsia="宋体" w:cs="宋体"/>
                <w:sz w:val="20"/>
                <w:szCs w:val="20"/>
              </w:rPr>
            </w:pPr>
            <w:r>
              <w:rPr>
                <w:rFonts w:ascii="宋体" w:hAnsi="宋体" w:eastAsia="宋体" w:cs="宋体"/>
                <w:spacing w:val="6"/>
                <w:sz w:val="20"/>
                <w:szCs w:val="20"/>
              </w:rPr>
              <w:t>当地乡镇电网</w:t>
            </w:r>
          </w:p>
        </w:tc>
      </w:tr>
      <w:tr w14:paraId="4F19C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1263" w:type="dxa"/>
            <w:vMerge w:val="continue"/>
            <w:tcBorders>
              <w:top w:val="nil"/>
              <w:left w:val="nil"/>
              <w:right w:val="single" w:color="000000" w:sz="4" w:space="0"/>
            </w:tcBorders>
          </w:tcPr>
          <w:p w14:paraId="019E2AC4"/>
        </w:tc>
        <w:tc>
          <w:tcPr>
            <w:tcW w:w="1730" w:type="dxa"/>
            <w:tcBorders>
              <w:left w:val="single" w:color="000000" w:sz="4" w:space="0"/>
              <w:right w:val="single" w:color="000000" w:sz="4" w:space="0"/>
            </w:tcBorders>
          </w:tcPr>
          <w:p w14:paraId="2BDB610B">
            <w:pPr>
              <w:spacing w:before="38" w:line="228" w:lineRule="auto"/>
              <w:ind w:left="766"/>
              <w:rPr>
                <w:rFonts w:ascii="宋体" w:hAnsi="宋体" w:eastAsia="宋体" w:cs="宋体"/>
                <w:sz w:val="20"/>
                <w:szCs w:val="20"/>
              </w:rPr>
            </w:pPr>
            <w:r>
              <w:rPr>
                <w:rFonts w:ascii="宋体" w:hAnsi="宋体" w:eastAsia="宋体" w:cs="宋体"/>
                <w:sz w:val="20"/>
                <w:szCs w:val="20"/>
              </w:rPr>
              <w:t>水</w:t>
            </w:r>
          </w:p>
        </w:tc>
        <w:tc>
          <w:tcPr>
            <w:tcW w:w="1335" w:type="dxa"/>
            <w:tcBorders>
              <w:left w:val="single" w:color="000000" w:sz="4" w:space="0"/>
              <w:right w:val="single" w:color="000000" w:sz="4" w:space="0"/>
            </w:tcBorders>
          </w:tcPr>
          <w:p w14:paraId="1A26B38C"/>
        </w:tc>
        <w:tc>
          <w:tcPr>
            <w:tcW w:w="3210" w:type="dxa"/>
            <w:tcBorders>
              <w:left w:val="single" w:color="000000" w:sz="4" w:space="0"/>
              <w:right w:val="single" w:color="000000" w:sz="4" w:space="0"/>
            </w:tcBorders>
          </w:tcPr>
          <w:p w14:paraId="59C2CAF3">
            <w:pPr>
              <w:spacing w:line="281" w:lineRule="exact"/>
              <w:ind w:left="157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2175" w:type="dxa"/>
            <w:tcBorders>
              <w:left w:val="single" w:color="000000" w:sz="4" w:space="0"/>
              <w:right w:val="nil"/>
            </w:tcBorders>
          </w:tcPr>
          <w:p w14:paraId="20F0C09B">
            <w:pPr>
              <w:spacing w:before="38" w:line="228" w:lineRule="auto"/>
              <w:ind w:left="880"/>
              <w:rPr>
                <w:rFonts w:ascii="宋体" w:hAnsi="宋体" w:eastAsia="宋体" w:cs="宋体"/>
                <w:sz w:val="20"/>
                <w:szCs w:val="20"/>
              </w:rPr>
            </w:pPr>
            <w:r>
              <w:rPr>
                <w:rFonts w:ascii="宋体" w:hAnsi="宋体" w:eastAsia="宋体" w:cs="宋体"/>
                <w:spacing w:val="5"/>
                <w:sz w:val="20"/>
                <w:szCs w:val="20"/>
              </w:rPr>
              <w:t>井</w:t>
            </w:r>
            <w:r>
              <w:rPr>
                <w:rFonts w:ascii="宋体" w:hAnsi="宋体" w:eastAsia="宋体" w:cs="宋体"/>
                <w:spacing w:val="4"/>
                <w:sz w:val="20"/>
                <w:szCs w:val="20"/>
              </w:rPr>
              <w:t>水</w:t>
            </w:r>
          </w:p>
        </w:tc>
      </w:tr>
    </w:tbl>
    <w:p w14:paraId="2A09C8B7">
      <w:pPr>
        <w:spacing w:before="32" w:line="232" w:lineRule="auto"/>
        <w:ind w:left="116"/>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注：本项目外购的饲料直接喂食，无需破碎等加工</w:t>
      </w:r>
      <w:r>
        <w:rPr>
          <w:rFonts w:ascii="宋体" w:hAnsi="宋体" w:eastAsia="宋体" w:cs="宋体"/>
          <w:spacing w:val="8"/>
          <w:sz w:val="20"/>
          <w:szCs w:val="20"/>
          <w14:textOutline w14:w="3797" w14:cap="sq" w14:cmpd="sng" w14:algn="ctr">
            <w14:solidFill>
              <w14:srgbClr w14:val="000000"/>
            </w14:solidFill>
            <w14:prstDash w14:val="solid"/>
            <w14:bevel/>
          </w14:textOutline>
        </w:rPr>
        <w:t>。</w:t>
      </w:r>
    </w:p>
    <w:p w14:paraId="5465DECF">
      <w:pPr>
        <w:spacing w:before="161" w:line="228" w:lineRule="auto"/>
        <w:ind w:left="120"/>
        <w:rPr>
          <w:rFonts w:ascii="宋体" w:hAnsi="宋体" w:eastAsia="宋体" w:cs="宋体"/>
          <w:sz w:val="23"/>
          <w:szCs w:val="23"/>
        </w:rPr>
      </w:pPr>
      <w:r>
        <w:rPr>
          <w:rFonts w:ascii="宋体" w:hAnsi="宋体" w:eastAsia="宋体" w:cs="宋体"/>
          <w:spacing w:val="10"/>
          <w:sz w:val="23"/>
          <w:szCs w:val="23"/>
          <w14:textOutline w14:w="4356" w14:cap="sq" w14:cmpd="sng" w14:algn="ctr">
            <w14:solidFill>
              <w14:srgbClr w14:val="000000"/>
            </w14:solidFill>
            <w14:prstDash w14:val="solid"/>
            <w14:bevel/>
          </w14:textOutline>
        </w:rPr>
        <w:t>主</w:t>
      </w:r>
      <w:r>
        <w:rPr>
          <w:rFonts w:ascii="宋体" w:hAnsi="宋体" w:eastAsia="宋体" w:cs="宋体"/>
          <w:spacing w:val="9"/>
          <w:sz w:val="23"/>
          <w:szCs w:val="23"/>
          <w14:textOutline w14:w="4356" w14:cap="sq" w14:cmpd="sng" w14:algn="ctr">
            <w14:solidFill>
              <w14:srgbClr w14:val="000000"/>
            </w14:solidFill>
            <w14:prstDash w14:val="solid"/>
            <w14:bevel/>
          </w14:textOutline>
        </w:rPr>
        <w:t>要原辅料成分及理化性质：</w:t>
      </w:r>
    </w:p>
    <w:p w14:paraId="63218C3B">
      <w:pPr>
        <w:spacing w:before="183" w:line="229" w:lineRule="auto"/>
        <w:ind w:left="609"/>
        <w:rPr>
          <w:rFonts w:ascii="宋体" w:hAnsi="宋体" w:eastAsia="宋体" w:cs="宋体"/>
          <w:sz w:val="23"/>
          <w:szCs w:val="23"/>
        </w:rPr>
      </w:pPr>
      <w:r>
        <w:rPr>
          <w:rFonts w:ascii="宋体" w:hAnsi="宋体" w:eastAsia="宋体" w:cs="宋体"/>
          <w:spacing w:val="25"/>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1"/>
          <w:sz w:val="23"/>
          <w:szCs w:val="23"/>
        </w:rPr>
        <w:t>1</w:t>
      </w: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宋体" w:hAnsi="宋体" w:eastAsia="宋体" w:cs="宋体"/>
          <w:spacing w:val="21"/>
          <w:sz w:val="23"/>
          <w:szCs w:val="23"/>
        </w:rPr>
        <w:t xml:space="preserve"> </w:t>
      </w:r>
      <w:r>
        <w:rPr>
          <w:rFonts w:ascii="宋体" w:hAnsi="宋体" w:eastAsia="宋体" w:cs="宋体"/>
          <w:spacing w:val="21"/>
          <w:sz w:val="23"/>
          <w:szCs w:val="23"/>
          <w14:textOutline w14:w="4356" w14:cap="sq" w14:cmpd="sng" w14:algn="ctr">
            <w14:solidFill>
              <w14:srgbClr w14:val="000000"/>
            </w14:solidFill>
            <w14:prstDash w14:val="solid"/>
            <w14:bevel/>
          </w14:textOutline>
        </w:rPr>
        <w:t>戊二醛</w:t>
      </w:r>
    </w:p>
    <w:p w14:paraId="190D95E4">
      <w:pPr>
        <w:spacing w:before="179" w:line="375" w:lineRule="auto"/>
        <w:ind w:left="118" w:right="107" w:firstLine="482"/>
        <w:rPr>
          <w:rFonts w:ascii="宋体" w:hAnsi="宋体" w:eastAsia="宋体" w:cs="宋体"/>
          <w:sz w:val="23"/>
          <w:szCs w:val="23"/>
        </w:rPr>
      </w:pPr>
      <w:r>
        <w:rPr>
          <w:rFonts w:ascii="宋体" w:hAnsi="宋体" w:eastAsia="宋体" w:cs="宋体"/>
          <w:spacing w:val="16"/>
          <w:sz w:val="23"/>
          <w:szCs w:val="23"/>
        </w:rPr>
        <w:t>分</w:t>
      </w:r>
      <w:r>
        <w:rPr>
          <w:rFonts w:ascii="宋体" w:hAnsi="宋体" w:eastAsia="宋体" w:cs="宋体"/>
          <w:spacing w:val="9"/>
          <w:sz w:val="23"/>
          <w:szCs w:val="23"/>
        </w:rPr>
        <w:t>子</w:t>
      </w:r>
      <w:r>
        <w:rPr>
          <w:rFonts w:ascii="宋体" w:hAnsi="宋体" w:eastAsia="宋体" w:cs="宋体"/>
          <w:spacing w:val="8"/>
          <w:sz w:val="23"/>
          <w:szCs w:val="23"/>
        </w:rPr>
        <w:t xml:space="preserve">式为 </w:t>
      </w:r>
      <w:r>
        <w:rPr>
          <w:rFonts w:ascii="Times New Roman" w:hAnsi="Times New Roman" w:eastAsia="Times New Roman" w:cs="Times New Roman"/>
          <w:sz w:val="23"/>
          <w:szCs w:val="23"/>
        </w:rPr>
        <w:t>C</w:t>
      </w:r>
      <w:r>
        <w:rPr>
          <w:rFonts w:ascii="Times New Roman" w:hAnsi="Times New Roman" w:eastAsia="Times New Roman" w:cs="Times New Roman"/>
          <w:spacing w:val="8"/>
          <w:position w:val="-1"/>
          <w:sz w:val="15"/>
          <w:szCs w:val="15"/>
        </w:rPr>
        <w:t>5</w:t>
      </w:r>
      <w:r>
        <w:rPr>
          <w:rFonts w:ascii="Times New Roman" w:hAnsi="Times New Roman" w:eastAsia="Times New Roman" w:cs="Times New Roman"/>
          <w:sz w:val="23"/>
          <w:szCs w:val="23"/>
        </w:rPr>
        <w:t>H</w:t>
      </w:r>
      <w:r>
        <w:rPr>
          <w:rFonts w:ascii="Times New Roman" w:hAnsi="Times New Roman" w:eastAsia="Times New Roman" w:cs="Times New Roman"/>
          <w:spacing w:val="8"/>
          <w:position w:val="-1"/>
          <w:sz w:val="15"/>
          <w:szCs w:val="15"/>
        </w:rPr>
        <w:t>8</w:t>
      </w:r>
      <w:r>
        <w:rPr>
          <w:rFonts w:ascii="Times New Roman" w:hAnsi="Times New Roman" w:eastAsia="Times New Roman" w:cs="Times New Roman"/>
          <w:sz w:val="23"/>
          <w:szCs w:val="23"/>
        </w:rPr>
        <w:t>O</w:t>
      </w:r>
      <w:r>
        <w:rPr>
          <w:rFonts w:ascii="Times New Roman" w:hAnsi="Times New Roman" w:eastAsia="Times New Roman" w:cs="Times New Roman"/>
          <w:spacing w:val="8"/>
          <w:position w:val="-1"/>
          <w:sz w:val="15"/>
          <w:szCs w:val="15"/>
        </w:rPr>
        <w:t xml:space="preserve">2 </w:t>
      </w:r>
      <w:r>
        <w:rPr>
          <w:rFonts w:ascii="宋体" w:hAnsi="宋体" w:eastAsia="宋体" w:cs="宋体"/>
          <w:spacing w:val="8"/>
          <w:sz w:val="23"/>
          <w:szCs w:val="23"/>
        </w:rPr>
        <w:t>，带有刺激性气味的无色透明油状液体，溶于热水。对眼睛、皮肤和</w:t>
      </w:r>
      <w:r>
        <w:rPr>
          <w:rFonts w:ascii="宋体" w:hAnsi="宋体" w:eastAsia="宋体" w:cs="宋体"/>
          <w:sz w:val="23"/>
          <w:szCs w:val="23"/>
        </w:rPr>
        <w:t xml:space="preserve"> </w:t>
      </w:r>
      <w:r>
        <w:rPr>
          <w:rFonts w:ascii="宋体" w:hAnsi="宋体" w:eastAsia="宋体" w:cs="宋体"/>
          <w:spacing w:val="14"/>
          <w:sz w:val="23"/>
          <w:szCs w:val="23"/>
        </w:rPr>
        <w:t>粘</w:t>
      </w:r>
      <w:r>
        <w:rPr>
          <w:rFonts w:ascii="宋体" w:hAnsi="宋体" w:eastAsia="宋体" w:cs="宋体"/>
          <w:spacing w:val="7"/>
          <w:sz w:val="23"/>
          <w:szCs w:val="23"/>
        </w:rPr>
        <w:t>膜有强烈的刺激作用。可作为食品工业加工助剂，菌消毒剂、鞣革剂、木材防腐剂，药物</w:t>
      </w:r>
    </w:p>
    <w:p w14:paraId="393C193B">
      <w:pPr>
        <w:spacing w:line="227" w:lineRule="auto"/>
        <w:ind w:left="119"/>
        <w:rPr>
          <w:rFonts w:ascii="宋体" w:hAnsi="宋体" w:eastAsia="宋体" w:cs="宋体"/>
          <w:sz w:val="23"/>
          <w:szCs w:val="23"/>
        </w:rPr>
      </w:pPr>
      <w:r>
        <w:rPr>
          <w:rFonts w:ascii="宋体" w:hAnsi="宋体" w:eastAsia="宋体" w:cs="宋体"/>
          <w:spacing w:val="13"/>
          <w:sz w:val="23"/>
          <w:szCs w:val="23"/>
        </w:rPr>
        <w:t>和</w:t>
      </w:r>
      <w:r>
        <w:fldChar w:fldCharType="begin"/>
      </w:r>
      <w:r>
        <w:instrText xml:space="preserve"> HYPERLINK "https://baike.baidu.com/item/%E9%AB%98%E5%88%86%E5%AD%90%E5%90%88%E6%88%90" </w:instrText>
      </w:r>
      <w:r>
        <w:fldChar w:fldCharType="separate"/>
      </w:r>
      <w:r>
        <w:rPr>
          <w:rFonts w:ascii="宋体" w:hAnsi="宋体" w:eastAsia="宋体" w:cs="宋体"/>
          <w:spacing w:val="7"/>
          <w:sz w:val="23"/>
          <w:szCs w:val="23"/>
          <w:u w:val="single"/>
        </w:rPr>
        <w:t>高分子合成</w:t>
      </w:r>
      <w:r>
        <w:rPr>
          <w:rFonts w:ascii="宋体" w:hAnsi="宋体" w:eastAsia="宋体" w:cs="宋体"/>
          <w:spacing w:val="7"/>
          <w:sz w:val="23"/>
          <w:szCs w:val="23"/>
          <w:u w:val="single"/>
        </w:rPr>
        <w:fldChar w:fldCharType="end"/>
      </w:r>
      <w:r>
        <w:rPr>
          <w:rFonts w:ascii="宋体" w:hAnsi="宋体" w:eastAsia="宋体" w:cs="宋体"/>
          <w:spacing w:val="7"/>
          <w:sz w:val="23"/>
          <w:szCs w:val="23"/>
        </w:rPr>
        <w:t>原料等。醛类消毒剂对微生物的杀灭作用主要依靠醛基，此类药物主要作用于</w:t>
      </w:r>
    </w:p>
    <w:p w14:paraId="51A0B843">
      <w:pPr>
        <w:spacing w:before="184" w:line="375" w:lineRule="auto"/>
        <w:ind w:left="119" w:right="107" w:firstLine="3"/>
        <w:rPr>
          <w:rFonts w:ascii="宋体" w:hAnsi="宋体" w:eastAsia="宋体" w:cs="宋体"/>
          <w:sz w:val="23"/>
          <w:szCs w:val="23"/>
        </w:rPr>
      </w:pPr>
      <w:r>
        <w:rPr>
          <w:rFonts w:ascii="宋体" w:hAnsi="宋体" w:eastAsia="宋体" w:cs="宋体"/>
          <w:spacing w:val="9"/>
          <w:sz w:val="23"/>
          <w:szCs w:val="23"/>
        </w:rPr>
        <w:t>菌</w:t>
      </w:r>
      <w:r>
        <w:rPr>
          <w:rFonts w:ascii="宋体" w:hAnsi="宋体" w:eastAsia="宋体" w:cs="宋体"/>
          <w:spacing w:val="7"/>
          <w:sz w:val="23"/>
          <w:szCs w:val="23"/>
        </w:rPr>
        <w:t>体蛋白的巯基、羟基、羧基和氨基，可使之烷基化，引起蛋白质凝固造成细菌死亡。其理</w:t>
      </w:r>
      <w:r>
        <w:rPr>
          <w:rFonts w:ascii="宋体" w:hAnsi="宋体" w:eastAsia="宋体" w:cs="宋体"/>
          <w:sz w:val="23"/>
          <w:szCs w:val="23"/>
        </w:rPr>
        <w:t xml:space="preserve"> </w:t>
      </w:r>
      <w:r>
        <w:rPr>
          <w:rFonts w:ascii="宋体" w:hAnsi="宋体" w:eastAsia="宋体" w:cs="宋体"/>
          <w:spacing w:val="9"/>
          <w:sz w:val="23"/>
          <w:szCs w:val="23"/>
        </w:rPr>
        <w:t>化</w:t>
      </w:r>
      <w:r>
        <w:rPr>
          <w:rFonts w:ascii="宋体" w:hAnsi="宋体" w:eastAsia="宋体" w:cs="宋体"/>
          <w:spacing w:val="6"/>
          <w:sz w:val="23"/>
          <w:szCs w:val="23"/>
        </w:rPr>
        <w:t>特性如下：</w:t>
      </w:r>
    </w:p>
    <w:p w14:paraId="1DC9B54A">
      <w:pPr>
        <w:spacing w:line="228" w:lineRule="auto"/>
        <w:ind w:left="599"/>
        <w:rPr>
          <w:rFonts w:ascii="宋体" w:hAnsi="宋体" w:eastAsia="宋体" w:cs="宋体"/>
          <w:sz w:val="23"/>
          <w:szCs w:val="23"/>
        </w:rPr>
      </w:pPr>
      <w:r>
        <w:rPr>
          <w:rFonts w:ascii="宋体" w:hAnsi="宋体" w:eastAsia="宋体" w:cs="宋体"/>
          <w:spacing w:val="7"/>
          <w:sz w:val="23"/>
          <w:szCs w:val="23"/>
        </w:rPr>
        <w:t>熔</w:t>
      </w:r>
      <w:r>
        <w:rPr>
          <w:rFonts w:ascii="宋体" w:hAnsi="宋体" w:eastAsia="宋体" w:cs="宋体"/>
          <w:spacing w:val="6"/>
          <w:sz w:val="23"/>
          <w:szCs w:val="23"/>
        </w:rPr>
        <w:t>点：</w:t>
      </w:r>
      <w:r>
        <w:rPr>
          <w:rFonts w:ascii="Times New Roman" w:hAnsi="Times New Roman" w:eastAsia="Times New Roman" w:cs="Times New Roman"/>
          <w:spacing w:val="6"/>
          <w:sz w:val="23"/>
          <w:szCs w:val="23"/>
        </w:rPr>
        <w:t>-5</w:t>
      </w:r>
      <w:r>
        <w:rPr>
          <w:rFonts w:ascii="宋体" w:hAnsi="宋体" w:eastAsia="宋体" w:cs="宋体"/>
          <w:spacing w:val="6"/>
          <w:sz w:val="23"/>
          <w:szCs w:val="23"/>
        </w:rPr>
        <w:t>℃</w:t>
      </w:r>
    </w:p>
    <w:p w14:paraId="5E3C8E47">
      <w:pPr>
        <w:spacing w:before="138" w:line="511" w:lineRule="exact"/>
        <w:ind w:left="599"/>
        <w:rPr>
          <w:rFonts w:ascii="Times New Roman" w:hAnsi="Times New Roman" w:eastAsia="Times New Roman" w:cs="Times New Roman"/>
          <w:sz w:val="23"/>
          <w:szCs w:val="23"/>
        </w:rPr>
      </w:pPr>
      <w:r>
        <w:rPr>
          <w:rFonts w:ascii="宋体" w:hAnsi="宋体" w:eastAsia="宋体" w:cs="宋体"/>
          <w:spacing w:val="8"/>
          <w:position w:val="18"/>
          <w:sz w:val="23"/>
          <w:szCs w:val="23"/>
        </w:rPr>
        <w:t>沸点：</w:t>
      </w:r>
      <w:r>
        <w:rPr>
          <w:rFonts w:ascii="Times New Roman" w:hAnsi="Times New Roman" w:eastAsia="Times New Roman" w:cs="Times New Roman"/>
          <w:spacing w:val="8"/>
          <w:position w:val="18"/>
          <w:sz w:val="23"/>
          <w:szCs w:val="23"/>
        </w:rPr>
        <w:t>189</w:t>
      </w:r>
      <w:r>
        <w:rPr>
          <w:rFonts w:ascii="宋体" w:hAnsi="宋体" w:eastAsia="宋体" w:cs="宋体"/>
          <w:spacing w:val="8"/>
          <w:position w:val="18"/>
          <w:sz w:val="23"/>
          <w:szCs w:val="23"/>
        </w:rPr>
        <w:t xml:space="preserve">℃ </w:t>
      </w:r>
      <w:r>
        <w:rPr>
          <w:rFonts w:ascii="Times New Roman" w:hAnsi="Times New Roman" w:eastAsia="Times New Roman" w:cs="Times New Roman"/>
          <w:position w:val="18"/>
          <w:sz w:val="23"/>
          <w:szCs w:val="23"/>
        </w:rPr>
        <w:t>at</w:t>
      </w:r>
      <w:r>
        <w:rPr>
          <w:rFonts w:ascii="Times New Roman" w:hAnsi="Times New Roman" w:eastAsia="Times New Roman" w:cs="Times New Roman"/>
          <w:spacing w:val="8"/>
          <w:position w:val="18"/>
          <w:sz w:val="23"/>
          <w:szCs w:val="23"/>
        </w:rPr>
        <w:t xml:space="preserve"> 760 </w:t>
      </w:r>
      <w:r>
        <w:rPr>
          <w:rFonts w:ascii="Times New Roman" w:hAnsi="Times New Roman" w:eastAsia="Times New Roman" w:cs="Times New Roman"/>
          <w:position w:val="18"/>
          <w:sz w:val="23"/>
          <w:szCs w:val="23"/>
        </w:rPr>
        <w:t>mmHg</w:t>
      </w:r>
    </w:p>
    <w:p w14:paraId="542B350D">
      <w:pPr>
        <w:spacing w:line="228" w:lineRule="auto"/>
        <w:ind w:left="619"/>
        <w:rPr>
          <w:rFonts w:ascii="宋体" w:hAnsi="宋体" w:eastAsia="宋体" w:cs="宋体"/>
          <w:sz w:val="23"/>
          <w:szCs w:val="23"/>
        </w:rPr>
      </w:pPr>
      <w:r>
        <w:rPr>
          <w:rFonts w:ascii="宋体" w:hAnsi="宋体" w:eastAsia="宋体" w:cs="宋体"/>
          <w:spacing w:val="4"/>
          <w:sz w:val="23"/>
          <w:szCs w:val="23"/>
        </w:rPr>
        <w:t>闪</w:t>
      </w:r>
      <w:r>
        <w:rPr>
          <w:rFonts w:ascii="宋体" w:hAnsi="宋体" w:eastAsia="宋体" w:cs="宋体"/>
          <w:spacing w:val="3"/>
          <w:sz w:val="23"/>
          <w:szCs w:val="23"/>
        </w:rPr>
        <w:t>点：</w:t>
      </w:r>
      <w:r>
        <w:rPr>
          <w:rFonts w:ascii="Times New Roman" w:hAnsi="Times New Roman" w:eastAsia="Times New Roman" w:cs="Times New Roman"/>
          <w:spacing w:val="3"/>
          <w:sz w:val="23"/>
          <w:szCs w:val="23"/>
        </w:rPr>
        <w:t>66</w:t>
      </w:r>
      <w:r>
        <w:rPr>
          <w:rFonts w:ascii="宋体" w:hAnsi="宋体" w:eastAsia="宋体" w:cs="宋体"/>
          <w:spacing w:val="3"/>
          <w:sz w:val="23"/>
          <w:szCs w:val="23"/>
        </w:rPr>
        <w:t>℃</w:t>
      </w:r>
    </w:p>
    <w:p w14:paraId="189F05D9">
      <w:pPr>
        <w:spacing w:before="139" w:line="322" w:lineRule="exact"/>
        <w:ind w:left="599"/>
        <w:rPr>
          <w:rFonts w:ascii="Times New Roman" w:hAnsi="Times New Roman" w:eastAsia="Times New Roman" w:cs="Times New Roman"/>
          <w:sz w:val="15"/>
          <w:szCs w:val="15"/>
        </w:rPr>
      </w:pPr>
      <w:r>
        <w:rPr>
          <w:rFonts w:ascii="宋体" w:hAnsi="宋体" w:eastAsia="宋体" w:cs="宋体"/>
          <w:spacing w:val="8"/>
          <w:position w:val="1"/>
          <w:sz w:val="23"/>
          <w:szCs w:val="23"/>
        </w:rPr>
        <w:t>密</w:t>
      </w:r>
      <w:r>
        <w:rPr>
          <w:rFonts w:ascii="宋体" w:hAnsi="宋体" w:eastAsia="宋体" w:cs="宋体"/>
          <w:spacing w:val="6"/>
          <w:position w:val="1"/>
          <w:sz w:val="23"/>
          <w:szCs w:val="23"/>
        </w:rPr>
        <w:t>度：</w:t>
      </w:r>
      <w:r>
        <w:rPr>
          <w:rFonts w:ascii="Times New Roman" w:hAnsi="Times New Roman" w:eastAsia="Times New Roman" w:cs="Times New Roman"/>
          <w:spacing w:val="6"/>
          <w:position w:val="1"/>
          <w:sz w:val="23"/>
          <w:szCs w:val="23"/>
        </w:rPr>
        <w:t>0.947</w:t>
      </w:r>
      <w:r>
        <w:rPr>
          <w:rFonts w:ascii="Times New Roman" w:hAnsi="Times New Roman" w:eastAsia="Times New Roman" w:cs="Times New Roman"/>
          <w:position w:val="1"/>
          <w:sz w:val="23"/>
          <w:szCs w:val="23"/>
        </w:rPr>
        <w:t>g</w:t>
      </w:r>
      <w:r>
        <w:rPr>
          <w:rFonts w:ascii="Times New Roman" w:hAnsi="Times New Roman" w:eastAsia="Times New Roman" w:cs="Times New Roman"/>
          <w:spacing w:val="6"/>
          <w:position w:val="1"/>
          <w:sz w:val="23"/>
          <w:szCs w:val="23"/>
        </w:rPr>
        <w:t>/</w:t>
      </w:r>
      <w:r>
        <w:rPr>
          <w:rFonts w:ascii="Times New Roman" w:hAnsi="Times New Roman" w:eastAsia="Times New Roman" w:cs="Times New Roman"/>
          <w:position w:val="1"/>
          <w:sz w:val="23"/>
          <w:szCs w:val="23"/>
        </w:rPr>
        <w:t>cm</w:t>
      </w:r>
      <w:r>
        <w:rPr>
          <w:rFonts w:ascii="Times New Roman" w:hAnsi="Times New Roman" w:eastAsia="Times New Roman" w:cs="Times New Roman"/>
          <w:spacing w:val="6"/>
          <w:position w:val="8"/>
          <w:sz w:val="15"/>
          <w:szCs w:val="15"/>
        </w:rPr>
        <w:t>3</w:t>
      </w:r>
    </w:p>
    <w:p w14:paraId="27B00C4F">
      <w:pPr>
        <w:spacing w:before="146" w:line="465" w:lineRule="exact"/>
        <w:ind w:left="598"/>
        <w:rPr>
          <w:rFonts w:ascii="Times New Roman" w:hAnsi="Times New Roman" w:eastAsia="Times New Roman" w:cs="Times New Roman"/>
          <w:sz w:val="23"/>
          <w:szCs w:val="23"/>
        </w:rPr>
      </w:pPr>
      <w:r>
        <w:rPr>
          <w:rFonts w:ascii="宋体" w:hAnsi="宋体" w:eastAsia="宋体" w:cs="宋体"/>
          <w:spacing w:val="4"/>
          <w:position w:val="14"/>
          <w:sz w:val="23"/>
          <w:szCs w:val="23"/>
        </w:rPr>
        <w:t>相</w:t>
      </w:r>
      <w:r>
        <w:rPr>
          <w:rFonts w:ascii="宋体" w:hAnsi="宋体" w:eastAsia="宋体" w:cs="宋体"/>
          <w:spacing w:val="3"/>
          <w:position w:val="14"/>
          <w:sz w:val="23"/>
          <w:szCs w:val="23"/>
        </w:rPr>
        <w:t>对蒸气密度</w:t>
      </w:r>
      <w:r>
        <w:rPr>
          <w:rFonts w:ascii="Times New Roman" w:hAnsi="Times New Roman" w:eastAsia="Times New Roman" w:cs="Times New Roman"/>
          <w:spacing w:val="3"/>
          <w:position w:val="14"/>
          <w:sz w:val="23"/>
          <w:szCs w:val="23"/>
        </w:rPr>
        <w:t>(</w:t>
      </w:r>
      <w:r>
        <w:rPr>
          <w:rFonts w:ascii="宋体" w:hAnsi="宋体" w:eastAsia="宋体" w:cs="宋体"/>
          <w:spacing w:val="3"/>
          <w:position w:val="14"/>
          <w:sz w:val="23"/>
          <w:szCs w:val="23"/>
        </w:rPr>
        <w:t>空气</w:t>
      </w:r>
      <w:r>
        <w:rPr>
          <w:rFonts w:ascii="Times New Roman" w:hAnsi="Times New Roman" w:eastAsia="Times New Roman" w:cs="Times New Roman"/>
          <w:spacing w:val="3"/>
          <w:position w:val="14"/>
          <w:sz w:val="23"/>
          <w:szCs w:val="23"/>
        </w:rPr>
        <w:t xml:space="preserve">=1) </w:t>
      </w:r>
      <w:r>
        <w:rPr>
          <w:rFonts w:ascii="宋体" w:hAnsi="宋体" w:eastAsia="宋体" w:cs="宋体"/>
          <w:spacing w:val="3"/>
          <w:position w:val="14"/>
          <w:sz w:val="23"/>
          <w:szCs w:val="23"/>
        </w:rPr>
        <w:t>：</w:t>
      </w:r>
      <w:r>
        <w:rPr>
          <w:rFonts w:ascii="Times New Roman" w:hAnsi="Times New Roman" w:eastAsia="Times New Roman" w:cs="Times New Roman"/>
          <w:spacing w:val="3"/>
          <w:position w:val="14"/>
          <w:sz w:val="23"/>
          <w:szCs w:val="23"/>
        </w:rPr>
        <w:t>3.4</w:t>
      </w:r>
    </w:p>
    <w:p w14:paraId="27D4E833">
      <w:pPr>
        <w:spacing w:line="323" w:lineRule="exact"/>
        <w:ind w:left="601"/>
        <w:rPr>
          <w:rFonts w:ascii="宋体" w:hAnsi="宋体" w:eastAsia="宋体" w:cs="宋体"/>
          <w:sz w:val="23"/>
          <w:szCs w:val="23"/>
        </w:rPr>
      </w:pPr>
      <w:r>
        <w:rPr>
          <w:rFonts w:ascii="宋体" w:hAnsi="宋体" w:eastAsia="宋体" w:cs="宋体"/>
          <w:spacing w:val="14"/>
          <w:position w:val="1"/>
          <w:sz w:val="23"/>
          <w:szCs w:val="23"/>
        </w:rPr>
        <w:t>蒸</w:t>
      </w:r>
      <w:r>
        <w:rPr>
          <w:rFonts w:ascii="宋体" w:hAnsi="宋体" w:eastAsia="宋体" w:cs="宋体"/>
          <w:spacing w:val="9"/>
          <w:position w:val="1"/>
          <w:sz w:val="23"/>
          <w:szCs w:val="23"/>
        </w:rPr>
        <w:t>汽</w:t>
      </w:r>
      <w:r>
        <w:rPr>
          <w:rFonts w:ascii="宋体" w:hAnsi="宋体" w:eastAsia="宋体" w:cs="宋体"/>
          <w:spacing w:val="7"/>
          <w:position w:val="1"/>
          <w:sz w:val="23"/>
          <w:szCs w:val="23"/>
        </w:rPr>
        <w:t>压：</w:t>
      </w:r>
      <w:r>
        <w:rPr>
          <w:rFonts w:ascii="Times New Roman" w:hAnsi="Times New Roman" w:eastAsia="Times New Roman" w:cs="Times New Roman"/>
          <w:spacing w:val="7"/>
          <w:position w:val="1"/>
          <w:sz w:val="23"/>
          <w:szCs w:val="23"/>
        </w:rPr>
        <w:t>0.583</w:t>
      </w:r>
      <w:r>
        <w:rPr>
          <w:rFonts w:ascii="Times New Roman" w:hAnsi="Times New Roman" w:eastAsia="Times New Roman" w:cs="Times New Roman"/>
          <w:position w:val="1"/>
          <w:sz w:val="23"/>
          <w:szCs w:val="23"/>
        </w:rPr>
        <w:t>mmHg</w:t>
      </w:r>
      <w:r>
        <w:rPr>
          <w:rFonts w:ascii="Times New Roman" w:hAnsi="Times New Roman" w:eastAsia="Times New Roman" w:cs="Times New Roman"/>
          <w:spacing w:val="7"/>
          <w:position w:val="1"/>
          <w:sz w:val="23"/>
          <w:szCs w:val="23"/>
        </w:rPr>
        <w:t xml:space="preserve"> </w:t>
      </w:r>
      <w:r>
        <w:rPr>
          <w:rFonts w:ascii="Times New Roman" w:hAnsi="Times New Roman" w:eastAsia="Times New Roman" w:cs="Times New Roman"/>
          <w:position w:val="1"/>
          <w:sz w:val="23"/>
          <w:szCs w:val="23"/>
        </w:rPr>
        <w:t>at</w:t>
      </w:r>
      <w:r>
        <w:rPr>
          <w:rFonts w:ascii="Times New Roman" w:hAnsi="Times New Roman" w:eastAsia="Times New Roman" w:cs="Times New Roman"/>
          <w:spacing w:val="7"/>
          <w:position w:val="1"/>
          <w:sz w:val="23"/>
          <w:szCs w:val="23"/>
        </w:rPr>
        <w:t xml:space="preserve"> 25</w:t>
      </w:r>
      <w:r>
        <w:rPr>
          <w:rFonts w:ascii="宋体" w:hAnsi="宋体" w:eastAsia="宋体" w:cs="宋体"/>
          <w:spacing w:val="7"/>
          <w:position w:val="1"/>
          <w:sz w:val="23"/>
          <w:szCs w:val="23"/>
        </w:rPr>
        <w:t>℃</w:t>
      </w:r>
    </w:p>
    <w:p w14:paraId="2DDCBA87">
      <w:pPr>
        <w:spacing w:before="153" w:line="404" w:lineRule="auto"/>
        <w:ind w:left="601"/>
        <w:rPr>
          <w:rFonts w:ascii="宋体" w:hAnsi="宋体" w:eastAsia="宋体" w:cs="宋体"/>
          <w:sz w:val="23"/>
          <w:szCs w:val="23"/>
        </w:rPr>
      </w:pPr>
      <w:r>
        <w:rPr>
          <w:rFonts w:ascii="宋体" w:hAnsi="宋体" w:eastAsia="宋体" w:cs="宋体"/>
          <w:spacing w:val="13"/>
          <w:sz w:val="23"/>
          <w:szCs w:val="23"/>
        </w:rPr>
        <w:t>溶</w:t>
      </w:r>
      <w:r>
        <w:rPr>
          <w:rFonts w:ascii="宋体" w:hAnsi="宋体" w:eastAsia="宋体" w:cs="宋体"/>
          <w:spacing w:val="9"/>
          <w:sz w:val="23"/>
          <w:szCs w:val="23"/>
        </w:rPr>
        <w:t>解性：溶于热水、乙醇、氯仿、</w:t>
      </w:r>
      <w:r>
        <w:fldChar w:fldCharType="begin"/>
      </w:r>
      <w:r>
        <w:instrText xml:space="preserve"> HYPERLINK "https://baike.baidu.com/item/%E5%86%B0%E9%86%8B%E9%85%B8" </w:instrText>
      </w:r>
      <w:r>
        <w:fldChar w:fldCharType="separate"/>
      </w:r>
      <w:r>
        <w:rPr>
          <w:rFonts w:ascii="宋体" w:hAnsi="宋体" w:eastAsia="宋体" w:cs="宋体"/>
          <w:spacing w:val="9"/>
          <w:sz w:val="23"/>
          <w:szCs w:val="23"/>
          <w:u w:val="single"/>
        </w:rPr>
        <w:t>冰醋酸</w:t>
      </w:r>
      <w:r>
        <w:rPr>
          <w:rFonts w:ascii="宋体" w:hAnsi="宋体" w:eastAsia="宋体" w:cs="宋体"/>
          <w:spacing w:val="9"/>
          <w:sz w:val="23"/>
          <w:szCs w:val="23"/>
          <w:u w:val="single"/>
        </w:rPr>
        <w:fldChar w:fldCharType="end"/>
      </w:r>
      <w:r>
        <w:rPr>
          <w:rFonts w:ascii="宋体" w:hAnsi="宋体" w:eastAsia="宋体" w:cs="宋体"/>
          <w:spacing w:val="9"/>
          <w:sz w:val="23"/>
          <w:szCs w:val="23"/>
        </w:rPr>
        <w:t>、</w:t>
      </w:r>
      <w:r>
        <w:fldChar w:fldCharType="begin"/>
      </w:r>
      <w:r>
        <w:instrText xml:space="preserve"> HYPERLINK "https://baike.baidu.com/item/%E4%B9%99%E9%86%9A" </w:instrText>
      </w:r>
      <w:r>
        <w:fldChar w:fldCharType="separate"/>
      </w:r>
      <w:r>
        <w:rPr>
          <w:rFonts w:ascii="宋体" w:hAnsi="宋体" w:eastAsia="宋体" w:cs="宋体"/>
          <w:spacing w:val="9"/>
          <w:sz w:val="23"/>
          <w:szCs w:val="23"/>
          <w:u w:val="single"/>
        </w:rPr>
        <w:t>乙醚</w:t>
      </w:r>
      <w:r>
        <w:rPr>
          <w:rFonts w:ascii="宋体" w:hAnsi="宋体" w:eastAsia="宋体" w:cs="宋体"/>
          <w:spacing w:val="9"/>
          <w:sz w:val="23"/>
          <w:szCs w:val="23"/>
          <w:u w:val="single"/>
        </w:rPr>
        <w:fldChar w:fldCharType="end"/>
      </w:r>
      <w:r>
        <w:rPr>
          <w:rFonts w:ascii="宋体" w:hAnsi="宋体" w:eastAsia="宋体" w:cs="宋体"/>
          <w:spacing w:val="9"/>
          <w:sz w:val="23"/>
          <w:szCs w:val="23"/>
        </w:rPr>
        <w:t>等有机溶剂。</w:t>
      </w:r>
    </w:p>
    <w:p w14:paraId="07ECAA42">
      <w:pPr>
        <w:spacing w:before="1" w:line="218" w:lineRule="auto"/>
        <w:ind w:left="597"/>
        <w:rPr>
          <w:rFonts w:ascii="宋体" w:hAnsi="宋体" w:eastAsia="宋体" w:cs="宋体"/>
          <w:sz w:val="23"/>
          <w:szCs w:val="23"/>
        </w:rPr>
      </w:pPr>
      <w:r>
        <w:rPr>
          <w:rFonts w:ascii="宋体" w:hAnsi="宋体" w:eastAsia="宋体" w:cs="宋体"/>
          <w:spacing w:val="16"/>
          <w:sz w:val="23"/>
          <w:szCs w:val="23"/>
        </w:rPr>
        <w:t>储运</w:t>
      </w:r>
      <w:r>
        <w:rPr>
          <w:rFonts w:ascii="宋体" w:hAnsi="宋体" w:eastAsia="宋体" w:cs="宋体"/>
          <w:spacing w:val="11"/>
          <w:sz w:val="23"/>
          <w:szCs w:val="23"/>
        </w:rPr>
        <w:t>特</w:t>
      </w:r>
      <w:r>
        <w:rPr>
          <w:rFonts w:ascii="宋体" w:hAnsi="宋体" w:eastAsia="宋体" w:cs="宋体"/>
          <w:spacing w:val="8"/>
          <w:sz w:val="23"/>
          <w:szCs w:val="23"/>
        </w:rPr>
        <w:t>性：库房通风低温干燥</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与氧化剂、食品添加剂分开存放。</w:t>
      </w:r>
    </w:p>
    <w:p w14:paraId="1D4C57F5">
      <w:pPr>
        <w:spacing w:before="192" w:line="375" w:lineRule="auto"/>
        <w:ind w:left="120" w:right="107" w:firstLine="478"/>
        <w:rPr>
          <w:rFonts w:ascii="宋体" w:hAnsi="宋体" w:eastAsia="宋体" w:cs="宋体"/>
          <w:sz w:val="23"/>
          <w:szCs w:val="23"/>
        </w:rPr>
      </w:pPr>
      <w:r>
        <w:rPr>
          <w:rFonts w:ascii="宋体" w:hAnsi="宋体" w:eastAsia="宋体" w:cs="宋体"/>
          <w:spacing w:val="8"/>
          <w:sz w:val="23"/>
          <w:szCs w:val="23"/>
          <w14:textOutline w14:w="4356" w14:cap="sq" w14:cmpd="sng" w14:algn="ctr">
            <w14:solidFill>
              <w14:srgbClr w14:val="000000"/>
            </w14:solidFill>
            <w14:prstDash w14:val="solid"/>
            <w14:bevel/>
          </w14:textOutline>
        </w:rPr>
        <w:t>健</w:t>
      </w:r>
      <w:r>
        <w:rPr>
          <w:rFonts w:ascii="宋体" w:hAnsi="宋体" w:eastAsia="宋体" w:cs="宋体"/>
          <w:spacing w:val="7"/>
          <w:sz w:val="23"/>
          <w:szCs w:val="23"/>
          <w14:textOutline w14:w="4356" w14:cap="sq" w14:cmpd="sng" w14:algn="ctr">
            <w14:solidFill>
              <w14:srgbClr w14:val="000000"/>
            </w14:solidFill>
            <w14:prstDash w14:val="solid"/>
            <w14:bevel/>
          </w14:textOutline>
        </w:rPr>
        <w:t>康危害</w:t>
      </w:r>
      <w:r>
        <w:rPr>
          <w:rFonts w:ascii="宋体" w:hAnsi="宋体" w:eastAsia="宋体" w:cs="宋体"/>
          <w:spacing w:val="7"/>
          <w:sz w:val="23"/>
          <w:szCs w:val="23"/>
        </w:rPr>
        <w:t>：吸入、摄入或经皮吸收有害。对眼睛、皮肤和粘膜有强烈的刺激作用。吸入</w:t>
      </w:r>
      <w:r>
        <w:rPr>
          <w:rFonts w:ascii="宋体" w:hAnsi="宋体" w:eastAsia="宋体" w:cs="宋体"/>
          <w:sz w:val="23"/>
          <w:szCs w:val="23"/>
        </w:rPr>
        <w:t xml:space="preserve"> </w:t>
      </w:r>
      <w:r>
        <w:rPr>
          <w:rFonts w:ascii="宋体" w:hAnsi="宋体" w:eastAsia="宋体" w:cs="宋体"/>
          <w:spacing w:val="18"/>
          <w:sz w:val="23"/>
          <w:szCs w:val="23"/>
        </w:rPr>
        <w:t>可</w:t>
      </w:r>
      <w:r>
        <w:rPr>
          <w:rFonts w:ascii="宋体" w:hAnsi="宋体" w:eastAsia="宋体" w:cs="宋体"/>
          <w:spacing w:val="11"/>
          <w:sz w:val="23"/>
          <w:szCs w:val="23"/>
        </w:rPr>
        <w:t>引</w:t>
      </w:r>
      <w:r>
        <w:rPr>
          <w:rFonts w:ascii="宋体" w:hAnsi="宋体" w:eastAsia="宋体" w:cs="宋体"/>
          <w:spacing w:val="9"/>
          <w:sz w:val="23"/>
          <w:szCs w:val="23"/>
        </w:rPr>
        <w:t>起喉、支气管的炎症、化学性肺炎、肺水肿等。本品可引起过敏反应。</w:t>
      </w:r>
    </w:p>
    <w:p w14:paraId="14D70B67">
      <w:pPr>
        <w:spacing w:line="468" w:lineRule="exact"/>
        <w:ind w:left="598"/>
        <w:rPr>
          <w:rFonts w:ascii="宋体" w:hAnsi="宋体" w:eastAsia="宋体" w:cs="宋体"/>
          <w:sz w:val="23"/>
          <w:szCs w:val="23"/>
        </w:rPr>
      </w:pPr>
      <w:r>
        <w:rPr>
          <w:rFonts w:ascii="宋体" w:hAnsi="宋体" w:eastAsia="宋体" w:cs="宋体"/>
          <w:spacing w:val="13"/>
          <w:position w:val="17"/>
          <w:sz w:val="23"/>
          <w:szCs w:val="23"/>
          <w14:textOutline w14:w="4356" w14:cap="sq" w14:cmpd="sng" w14:algn="ctr">
            <w14:solidFill>
              <w14:srgbClr w14:val="000000"/>
            </w14:solidFill>
            <w14:prstDash w14:val="solid"/>
            <w14:bevel/>
          </w14:textOutline>
        </w:rPr>
        <w:t>环</w:t>
      </w:r>
      <w:r>
        <w:rPr>
          <w:rFonts w:ascii="宋体" w:hAnsi="宋体" w:eastAsia="宋体" w:cs="宋体"/>
          <w:spacing w:val="9"/>
          <w:position w:val="17"/>
          <w:sz w:val="23"/>
          <w:szCs w:val="23"/>
          <w14:textOutline w14:w="4356" w14:cap="sq" w14:cmpd="sng" w14:algn="ctr">
            <w14:solidFill>
              <w14:srgbClr w14:val="000000"/>
            </w14:solidFill>
            <w14:prstDash w14:val="solid"/>
            <w14:bevel/>
          </w14:textOutline>
        </w:rPr>
        <w:t>境危害</w:t>
      </w:r>
      <w:r>
        <w:rPr>
          <w:rFonts w:ascii="宋体" w:hAnsi="宋体" w:eastAsia="宋体" w:cs="宋体"/>
          <w:spacing w:val="9"/>
          <w:position w:val="17"/>
          <w:sz w:val="23"/>
          <w:szCs w:val="23"/>
        </w:rPr>
        <w:t>：对环境有危害，对水体可造成污染。</w:t>
      </w:r>
    </w:p>
    <w:p w14:paraId="18DD2724">
      <w:pPr>
        <w:spacing w:before="2" w:line="225" w:lineRule="auto"/>
        <w:ind w:left="599"/>
        <w:rPr>
          <w:rFonts w:ascii="宋体" w:hAnsi="宋体" w:eastAsia="宋体" w:cs="宋体"/>
          <w:sz w:val="23"/>
          <w:szCs w:val="23"/>
        </w:rPr>
      </w:pPr>
      <w:r>
        <w:rPr>
          <w:rFonts w:ascii="宋体" w:hAnsi="宋体" w:eastAsia="宋体" w:cs="宋体"/>
          <w:spacing w:val="9"/>
          <w:sz w:val="23"/>
          <w:szCs w:val="23"/>
          <w14:textOutline w14:w="4356" w14:cap="sq" w14:cmpd="sng" w14:algn="ctr">
            <w14:solidFill>
              <w14:srgbClr w14:val="000000"/>
            </w14:solidFill>
            <w14:prstDash w14:val="solid"/>
            <w14:bevel/>
          </w14:textOutline>
        </w:rPr>
        <w:t>燃爆危险</w:t>
      </w:r>
      <w:r>
        <w:rPr>
          <w:rFonts w:ascii="宋体" w:hAnsi="宋体" w:eastAsia="宋体" w:cs="宋体"/>
          <w:spacing w:val="9"/>
          <w:sz w:val="23"/>
          <w:szCs w:val="23"/>
        </w:rPr>
        <w:t>：本品可燃，具强刺激性</w:t>
      </w:r>
      <w:r>
        <w:rPr>
          <w:rFonts w:ascii="宋体" w:hAnsi="宋体" w:eastAsia="宋体" w:cs="宋体"/>
          <w:spacing w:val="7"/>
          <w:sz w:val="23"/>
          <w:szCs w:val="23"/>
        </w:rPr>
        <w:t>。</w:t>
      </w:r>
    </w:p>
    <w:p w14:paraId="773356CF">
      <w:pPr>
        <w:spacing w:before="183" w:line="376" w:lineRule="auto"/>
        <w:ind w:left="127" w:right="109" w:firstLine="473"/>
        <w:rPr>
          <w:rFonts w:ascii="宋体" w:hAnsi="宋体" w:eastAsia="宋体" w:cs="宋体"/>
          <w:sz w:val="23"/>
          <w:szCs w:val="23"/>
        </w:rPr>
      </w:pPr>
      <w:r>
        <w:rPr>
          <w:rFonts w:ascii="宋体" w:hAnsi="宋体" w:eastAsia="宋体" w:cs="宋体"/>
          <w:spacing w:val="12"/>
          <w:sz w:val="23"/>
          <w:szCs w:val="23"/>
          <w14:textOutline w14:w="4356" w14:cap="sq" w14:cmpd="sng" w14:algn="ctr">
            <w14:solidFill>
              <w14:srgbClr w14:val="000000"/>
            </w14:solidFill>
            <w14:prstDash w14:val="solid"/>
            <w14:bevel/>
          </w14:textOutline>
        </w:rPr>
        <w:t>危险特性</w:t>
      </w:r>
      <w:r>
        <w:rPr>
          <w:rFonts w:ascii="宋体" w:hAnsi="宋体" w:eastAsia="宋体" w:cs="宋体"/>
          <w:spacing w:val="10"/>
          <w:sz w:val="23"/>
          <w:szCs w:val="23"/>
        </w:rPr>
        <w:t>：</w:t>
      </w:r>
      <w:r>
        <w:rPr>
          <w:rFonts w:ascii="宋体" w:hAnsi="宋体" w:eastAsia="宋体" w:cs="宋体"/>
          <w:spacing w:val="6"/>
          <w:sz w:val="23"/>
          <w:szCs w:val="23"/>
        </w:rPr>
        <w:t xml:space="preserve">  遇明火、高热可燃。与强氧化剂接触可发生化学反应。其蒸气比空气重，</w:t>
      </w:r>
      <w:r>
        <w:rPr>
          <w:rFonts w:ascii="宋体" w:hAnsi="宋体" w:eastAsia="宋体" w:cs="宋体"/>
          <w:sz w:val="23"/>
          <w:szCs w:val="23"/>
        </w:rPr>
        <w:t xml:space="preserve"> </w:t>
      </w:r>
      <w:r>
        <w:rPr>
          <w:rFonts w:ascii="宋体" w:hAnsi="宋体" w:eastAsia="宋体" w:cs="宋体"/>
          <w:spacing w:val="7"/>
          <w:sz w:val="23"/>
          <w:szCs w:val="23"/>
        </w:rPr>
        <w:t>能在较低处扩散到相当远的地方，遇火源会燃烧。容易自聚，聚合反应随着温度的上升而</w:t>
      </w:r>
      <w:r>
        <w:rPr>
          <w:rFonts w:ascii="宋体" w:hAnsi="宋体" w:eastAsia="宋体" w:cs="宋体"/>
          <w:spacing w:val="2"/>
          <w:sz w:val="23"/>
          <w:szCs w:val="23"/>
        </w:rPr>
        <w:t>急</w:t>
      </w:r>
    </w:p>
    <w:p w14:paraId="07962F06">
      <w:pPr>
        <w:spacing w:before="1" w:line="228" w:lineRule="auto"/>
        <w:ind w:left="118"/>
        <w:rPr>
          <w:rFonts w:ascii="宋体" w:hAnsi="宋体" w:eastAsia="宋体" w:cs="宋体"/>
          <w:sz w:val="23"/>
          <w:szCs w:val="23"/>
        </w:rPr>
      </w:pPr>
      <w:r>
        <w:rPr>
          <w:rFonts w:ascii="宋体" w:hAnsi="宋体" w:eastAsia="宋体" w:cs="宋体"/>
          <w:spacing w:val="15"/>
          <w:sz w:val="23"/>
          <w:szCs w:val="23"/>
        </w:rPr>
        <w:t>骤</w:t>
      </w:r>
      <w:r>
        <w:rPr>
          <w:rFonts w:ascii="宋体" w:hAnsi="宋体" w:eastAsia="宋体" w:cs="宋体"/>
          <w:spacing w:val="9"/>
          <w:sz w:val="23"/>
          <w:szCs w:val="23"/>
        </w:rPr>
        <w:t>加剧。若遇高热，容器内压增大，有开裂和爆炸的危险。</w:t>
      </w:r>
    </w:p>
    <w:p w14:paraId="2796BB58">
      <w:pPr>
        <w:sectPr>
          <w:footerReference r:id="rId71" w:type="default"/>
          <w:pgSz w:w="11907" w:h="16840"/>
          <w:pgMar w:top="829" w:right="1025" w:bottom="1139" w:left="1168" w:header="595" w:footer="953" w:gutter="0"/>
          <w:cols w:space="720" w:num="1"/>
        </w:sectPr>
      </w:pPr>
    </w:p>
    <w:p w14:paraId="5C9DE15B">
      <w:pPr>
        <w:spacing w:before="143" w:line="375" w:lineRule="auto"/>
        <w:ind w:left="10" w:right="19" w:firstLine="480"/>
        <w:rPr>
          <w:rFonts w:ascii="宋体" w:hAnsi="宋体" w:eastAsia="宋体" w:cs="宋体"/>
          <w:sz w:val="23"/>
          <w:szCs w:val="23"/>
        </w:rPr>
      </w:pPr>
      <w:r>
        <w:rPr>
          <w:rFonts w:ascii="宋体" w:hAnsi="宋体" w:eastAsia="宋体" w:cs="宋体"/>
          <w:spacing w:val="16"/>
          <w:sz w:val="23"/>
          <w:szCs w:val="23"/>
          <w14:textOutline w14:w="4356" w14:cap="sq" w14:cmpd="sng" w14:algn="ctr">
            <w14:solidFill>
              <w14:srgbClr w14:val="000000"/>
            </w14:solidFill>
            <w14:prstDash w14:val="solid"/>
            <w14:bevel/>
          </w14:textOutline>
        </w:rPr>
        <w:t>职业防</w:t>
      </w:r>
      <w:r>
        <w:rPr>
          <w:rFonts w:ascii="宋体" w:hAnsi="宋体" w:eastAsia="宋体" w:cs="宋体"/>
          <w:spacing w:val="12"/>
          <w:sz w:val="23"/>
          <w:szCs w:val="23"/>
          <w14:textOutline w14:w="4356" w14:cap="sq" w14:cmpd="sng" w14:algn="ctr">
            <w14:solidFill>
              <w14:srgbClr w14:val="000000"/>
            </w14:solidFill>
            <w14:prstDash w14:val="solid"/>
            <w14:bevel/>
          </w14:textOutline>
        </w:rPr>
        <w:t>护</w:t>
      </w:r>
      <w:r>
        <w:rPr>
          <w:rFonts w:ascii="宋体" w:hAnsi="宋体" w:eastAsia="宋体" w:cs="宋体"/>
          <w:spacing w:val="8"/>
          <w:sz w:val="23"/>
          <w:szCs w:val="23"/>
        </w:rPr>
        <w:t>：戊二醛可引起局部皮肤粘膜刺激，并有报道引起过敏性接触性皮炎、哮喘、</w:t>
      </w:r>
      <w:r>
        <w:rPr>
          <w:rFonts w:ascii="宋体" w:hAnsi="宋体" w:eastAsia="宋体" w:cs="宋体"/>
          <w:sz w:val="23"/>
          <w:szCs w:val="23"/>
        </w:rPr>
        <w:t xml:space="preserve"> </w:t>
      </w:r>
      <w:r>
        <w:rPr>
          <w:rFonts w:ascii="宋体" w:hAnsi="宋体" w:eastAsia="宋体" w:cs="宋体"/>
          <w:spacing w:val="2"/>
          <w:sz w:val="23"/>
          <w:szCs w:val="23"/>
        </w:rPr>
        <w:t>鼻出血、鼻炎等，  因此接触</w:t>
      </w:r>
      <w:r>
        <w:rPr>
          <w:rFonts w:ascii="宋体" w:hAnsi="宋体" w:eastAsia="宋体" w:cs="宋体"/>
          <w:spacing w:val="1"/>
          <w:sz w:val="23"/>
          <w:szCs w:val="23"/>
        </w:rPr>
        <w:t>戊二醛溶液时应戴厚的橡胶手套和眼罩以防液体溅入眼内。  为</w:t>
      </w:r>
      <w:r>
        <w:rPr>
          <w:rFonts w:ascii="宋体" w:hAnsi="宋体" w:eastAsia="宋体" w:cs="宋体"/>
          <w:sz w:val="23"/>
          <w:szCs w:val="23"/>
        </w:rPr>
        <w:t xml:space="preserve"> </w:t>
      </w:r>
      <w:r>
        <w:rPr>
          <w:rFonts w:ascii="宋体" w:hAnsi="宋体" w:eastAsia="宋体" w:cs="宋体"/>
          <w:spacing w:val="12"/>
          <w:sz w:val="23"/>
          <w:szCs w:val="23"/>
        </w:rPr>
        <w:t>了降低室</w:t>
      </w:r>
      <w:r>
        <w:rPr>
          <w:rFonts w:ascii="宋体" w:hAnsi="宋体" w:eastAsia="宋体" w:cs="宋体"/>
          <w:spacing w:val="6"/>
          <w:sz w:val="23"/>
          <w:szCs w:val="23"/>
        </w:rPr>
        <w:t>内空气中戊二醛的浓度，  室内必须有良好通风设备；盛放的戊二醛容器上方应配</w:t>
      </w:r>
      <w:r>
        <w:rPr>
          <w:rFonts w:ascii="宋体" w:hAnsi="宋体" w:eastAsia="宋体" w:cs="宋体"/>
          <w:sz w:val="23"/>
          <w:szCs w:val="23"/>
        </w:rPr>
        <w:t xml:space="preserve"> </w:t>
      </w:r>
      <w:r>
        <w:rPr>
          <w:rFonts w:ascii="宋体" w:hAnsi="宋体" w:eastAsia="宋体" w:cs="宋体"/>
          <w:spacing w:val="14"/>
          <w:sz w:val="23"/>
          <w:szCs w:val="23"/>
        </w:rPr>
        <w:t>备</w:t>
      </w:r>
      <w:r>
        <w:rPr>
          <w:rFonts w:ascii="宋体" w:hAnsi="宋体" w:eastAsia="宋体" w:cs="宋体"/>
          <w:spacing w:val="7"/>
          <w:sz w:val="23"/>
          <w:szCs w:val="23"/>
        </w:rPr>
        <w:t>有局部排风罩，配制溶液、放入和取出物品时必须及时加盖以防戊二醛蒸发。频繁接触戊</w:t>
      </w:r>
      <w:r>
        <w:rPr>
          <w:rFonts w:ascii="宋体" w:hAnsi="宋体" w:eastAsia="宋体" w:cs="宋体"/>
          <w:sz w:val="23"/>
          <w:szCs w:val="23"/>
        </w:rPr>
        <w:t xml:space="preserve"> </w:t>
      </w:r>
      <w:r>
        <w:rPr>
          <w:rFonts w:ascii="宋体" w:hAnsi="宋体" w:eastAsia="宋体" w:cs="宋体"/>
          <w:spacing w:val="14"/>
          <w:sz w:val="23"/>
          <w:szCs w:val="23"/>
        </w:rPr>
        <w:t>二</w:t>
      </w:r>
      <w:r>
        <w:rPr>
          <w:rFonts w:ascii="宋体" w:hAnsi="宋体" w:eastAsia="宋体" w:cs="宋体"/>
          <w:spacing w:val="7"/>
          <w:sz w:val="23"/>
          <w:szCs w:val="23"/>
        </w:rPr>
        <w:t>醛的特殊人群如护士等，短期会产生致敏现象，对视觉器官和呼吸道危害较大；长期易导</w:t>
      </w:r>
      <w:r>
        <w:rPr>
          <w:rFonts w:ascii="宋体" w:hAnsi="宋体" w:eastAsia="宋体" w:cs="宋体"/>
          <w:sz w:val="23"/>
          <w:szCs w:val="23"/>
        </w:rPr>
        <w:t xml:space="preserve"> </w:t>
      </w:r>
      <w:r>
        <w:rPr>
          <w:rFonts w:ascii="宋体" w:hAnsi="宋体" w:eastAsia="宋体" w:cs="宋体"/>
          <w:spacing w:val="8"/>
          <w:sz w:val="23"/>
          <w:szCs w:val="23"/>
        </w:rPr>
        <w:t>致</w:t>
      </w:r>
      <w:r>
        <w:rPr>
          <w:rFonts w:ascii="宋体" w:hAnsi="宋体" w:eastAsia="宋体" w:cs="宋体"/>
          <w:spacing w:val="7"/>
          <w:sz w:val="23"/>
          <w:szCs w:val="23"/>
        </w:rPr>
        <w:t>职业性气喘。</w:t>
      </w:r>
    </w:p>
    <w:p w14:paraId="2FDB375A">
      <w:pPr>
        <w:spacing w:line="226" w:lineRule="auto"/>
        <w:ind w:left="501"/>
        <w:rPr>
          <w:rFonts w:ascii="宋体" w:hAnsi="宋体" w:eastAsia="宋体" w:cs="宋体"/>
          <w:sz w:val="23"/>
          <w:szCs w:val="23"/>
        </w:rPr>
      </w:pPr>
      <w:r>
        <w:rPr>
          <w:rFonts w:ascii="宋体" w:hAnsi="宋体" w:eastAsia="宋体" w:cs="宋体"/>
          <w:spacing w:val="24"/>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3"/>
          <w:sz w:val="23"/>
          <w:szCs w:val="23"/>
        </w:rPr>
        <w:t>2</w:t>
      </w: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宋体" w:hAnsi="宋体" w:eastAsia="宋体" w:cs="宋体"/>
          <w:spacing w:val="23"/>
          <w:sz w:val="23"/>
          <w:szCs w:val="23"/>
        </w:rPr>
        <w:t xml:space="preserve"> </w:t>
      </w:r>
      <w:r>
        <w:rPr>
          <w:rFonts w:ascii="宋体" w:hAnsi="宋体" w:eastAsia="宋体" w:cs="宋体"/>
          <w:spacing w:val="23"/>
          <w:sz w:val="23"/>
          <w:szCs w:val="23"/>
          <w14:textOutline w14:w="4356" w14:cap="sq" w14:cmpd="sng" w14:algn="ctr">
            <w14:solidFill>
              <w14:srgbClr w14:val="000000"/>
            </w14:solidFill>
            <w14:prstDash w14:val="solid"/>
            <w14:bevel/>
          </w14:textOutline>
        </w:rPr>
        <w:t>烧碱</w:t>
      </w:r>
    </w:p>
    <w:p w14:paraId="07E742A1">
      <w:pPr>
        <w:spacing w:before="148" w:line="339" w:lineRule="auto"/>
        <w:ind w:left="14" w:right="84" w:firstLine="476"/>
        <w:rPr>
          <w:rFonts w:ascii="宋体" w:hAnsi="宋体" w:eastAsia="宋体" w:cs="宋体"/>
          <w:sz w:val="23"/>
          <w:szCs w:val="23"/>
        </w:rPr>
      </w:pPr>
      <w:r>
        <w:rPr>
          <w:rFonts w:ascii="宋体" w:hAnsi="宋体" w:eastAsia="宋体" w:cs="宋体"/>
          <w:spacing w:val="16"/>
          <w:sz w:val="23"/>
          <w:szCs w:val="23"/>
        </w:rPr>
        <w:t>氢</w:t>
      </w:r>
      <w:r>
        <w:rPr>
          <w:rFonts w:ascii="宋体" w:hAnsi="宋体" w:eastAsia="宋体" w:cs="宋体"/>
          <w:spacing w:val="11"/>
          <w:sz w:val="23"/>
          <w:szCs w:val="23"/>
        </w:rPr>
        <w:t>氧</w:t>
      </w:r>
      <w:r>
        <w:rPr>
          <w:rFonts w:ascii="宋体" w:hAnsi="宋体" w:eastAsia="宋体" w:cs="宋体"/>
          <w:spacing w:val="8"/>
          <w:sz w:val="23"/>
          <w:szCs w:val="23"/>
        </w:rPr>
        <w:t>化钠，</w:t>
      </w:r>
      <w:r>
        <w:fldChar w:fldCharType="begin"/>
      </w:r>
      <w:r>
        <w:instrText xml:space="preserve"> HYPERLINK "https://baike.baidu.com/item/%E5%8C%96%E5%AD%A6%E5%BC%8F/2609855" </w:instrText>
      </w:r>
      <w:r>
        <w:fldChar w:fldCharType="separate"/>
      </w:r>
      <w:r>
        <w:rPr>
          <w:rFonts w:ascii="宋体" w:hAnsi="宋体" w:eastAsia="宋体" w:cs="宋体"/>
          <w:spacing w:val="8"/>
          <w:sz w:val="23"/>
          <w:szCs w:val="23"/>
        </w:rPr>
        <w:t>化学式</w:t>
      </w:r>
      <w:r>
        <w:rPr>
          <w:rFonts w:ascii="宋体" w:hAnsi="宋体" w:eastAsia="宋体" w:cs="宋体"/>
          <w:spacing w:val="8"/>
          <w:sz w:val="23"/>
          <w:szCs w:val="23"/>
        </w:rPr>
        <w:fldChar w:fldCharType="end"/>
      </w:r>
      <w:r>
        <w:rPr>
          <w:rFonts w:ascii="宋体" w:hAnsi="宋体" w:eastAsia="宋体" w:cs="宋体"/>
          <w:spacing w:val="8"/>
          <w:sz w:val="23"/>
          <w:szCs w:val="23"/>
        </w:rPr>
        <w:t>为</w:t>
      </w:r>
      <w:r>
        <w:rPr>
          <w:rFonts w:ascii="Times New Roman" w:hAnsi="Times New Roman" w:eastAsia="Times New Roman" w:cs="Times New Roman"/>
          <w:sz w:val="23"/>
          <w:szCs w:val="23"/>
        </w:rPr>
        <w:t>NaOH</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，俗称烧碱、火碱、苛性钠，为一种具有强</w:t>
      </w:r>
      <w:r>
        <w:fldChar w:fldCharType="begin"/>
      </w:r>
      <w:r>
        <w:instrText xml:space="preserve"> HYPERLINK "https://baike.baidu.com/item/%E8%85%90%E8%9A%80%E6%80%A7/770500" </w:instrText>
      </w:r>
      <w:r>
        <w:fldChar w:fldCharType="separate"/>
      </w:r>
      <w:r>
        <w:rPr>
          <w:rFonts w:ascii="宋体" w:hAnsi="宋体" w:eastAsia="宋体" w:cs="宋体"/>
          <w:spacing w:val="8"/>
          <w:sz w:val="23"/>
          <w:szCs w:val="23"/>
        </w:rPr>
        <w:t>腐蚀性</w:t>
      </w:r>
      <w:r>
        <w:rPr>
          <w:rFonts w:ascii="宋体" w:hAnsi="宋体" w:eastAsia="宋体" w:cs="宋体"/>
          <w:spacing w:val="8"/>
          <w:sz w:val="23"/>
          <w:szCs w:val="23"/>
        </w:rPr>
        <w:fldChar w:fldCharType="end"/>
      </w:r>
      <w:r>
        <w:rPr>
          <w:rFonts w:ascii="宋体" w:hAnsi="宋体" w:eastAsia="宋体" w:cs="宋体"/>
          <w:spacing w:val="8"/>
          <w:sz w:val="23"/>
          <w:szCs w:val="23"/>
        </w:rPr>
        <w:t>的</w:t>
      </w:r>
      <w:r>
        <w:fldChar w:fldCharType="begin"/>
      </w:r>
      <w:r>
        <w:instrText xml:space="preserve"> HYPERLINK "https://baike.baidu.com/item/%E5%BC%BA%E7%A2%B1/9177996" </w:instrText>
      </w:r>
      <w:r>
        <w:fldChar w:fldCharType="separate"/>
      </w:r>
      <w:r>
        <w:rPr>
          <w:rFonts w:ascii="宋体" w:hAnsi="宋体" w:eastAsia="宋体" w:cs="宋体"/>
          <w:spacing w:val="8"/>
          <w:sz w:val="23"/>
          <w:szCs w:val="23"/>
        </w:rPr>
        <w:t>强碱</w:t>
      </w:r>
      <w:r>
        <w:rPr>
          <w:rFonts w:ascii="宋体" w:hAnsi="宋体" w:eastAsia="宋体" w:cs="宋体"/>
          <w:spacing w:val="8"/>
          <w:sz w:val="23"/>
          <w:szCs w:val="23"/>
        </w:rPr>
        <w:fldChar w:fldCharType="end"/>
      </w:r>
      <w:r>
        <w:rPr>
          <w:rFonts w:ascii="宋体" w:hAnsi="宋体" w:eastAsia="宋体" w:cs="宋体"/>
          <w:spacing w:val="8"/>
          <w:sz w:val="23"/>
          <w:szCs w:val="23"/>
        </w:rPr>
        <w:t>，</w:t>
      </w:r>
      <w:r>
        <w:rPr>
          <w:rFonts w:ascii="宋体" w:hAnsi="宋体" w:eastAsia="宋体" w:cs="宋体"/>
          <w:sz w:val="23"/>
          <w:szCs w:val="23"/>
        </w:rPr>
        <w:t xml:space="preserve"> </w:t>
      </w:r>
      <w:r>
        <w:rPr>
          <w:rFonts w:ascii="宋体" w:hAnsi="宋体" w:eastAsia="宋体" w:cs="宋体"/>
          <w:spacing w:val="12"/>
          <w:sz w:val="23"/>
          <w:szCs w:val="23"/>
        </w:rPr>
        <w:t>一般为片状</w:t>
      </w:r>
      <w:r>
        <w:rPr>
          <w:rFonts w:ascii="宋体" w:hAnsi="宋体" w:eastAsia="宋体" w:cs="宋体"/>
          <w:spacing w:val="7"/>
          <w:sz w:val="23"/>
          <w:szCs w:val="23"/>
        </w:rPr>
        <w:t>或</w:t>
      </w:r>
      <w:r>
        <w:rPr>
          <w:rFonts w:ascii="宋体" w:hAnsi="宋体" w:eastAsia="宋体" w:cs="宋体"/>
          <w:spacing w:val="6"/>
          <w:sz w:val="23"/>
          <w:szCs w:val="23"/>
        </w:rPr>
        <w:t>块状形态，易溶于水 (溶于水时放热) 并形成碱性溶液，另有</w:t>
      </w:r>
      <w:r>
        <w:fldChar w:fldCharType="begin"/>
      </w:r>
      <w:r>
        <w:instrText xml:space="preserve"> HYPERLINK "https://baike.baidu.com/item/%E6%BD%AE%E8%A7%A3%E6%80%A7/9184881" </w:instrText>
      </w:r>
      <w:r>
        <w:fldChar w:fldCharType="separate"/>
      </w:r>
      <w:r>
        <w:rPr>
          <w:rFonts w:ascii="宋体" w:hAnsi="宋体" w:eastAsia="宋体" w:cs="宋体"/>
          <w:spacing w:val="6"/>
          <w:sz w:val="23"/>
          <w:szCs w:val="23"/>
        </w:rPr>
        <w:t>潮解性</w:t>
      </w:r>
      <w:r>
        <w:rPr>
          <w:rFonts w:ascii="宋体" w:hAnsi="宋体" w:eastAsia="宋体" w:cs="宋体"/>
          <w:spacing w:val="6"/>
          <w:sz w:val="23"/>
          <w:szCs w:val="23"/>
        </w:rPr>
        <w:fldChar w:fldCharType="end"/>
      </w:r>
      <w:r>
        <w:rPr>
          <w:rFonts w:ascii="宋体" w:hAnsi="宋体" w:eastAsia="宋体" w:cs="宋体"/>
          <w:spacing w:val="6"/>
          <w:sz w:val="23"/>
          <w:szCs w:val="23"/>
        </w:rPr>
        <w:t>，易吸取</w:t>
      </w:r>
      <w:r>
        <w:rPr>
          <w:rFonts w:ascii="宋体" w:hAnsi="宋体" w:eastAsia="宋体" w:cs="宋体"/>
          <w:sz w:val="23"/>
          <w:szCs w:val="23"/>
        </w:rPr>
        <w:t xml:space="preserve"> </w:t>
      </w:r>
      <w:r>
        <w:fldChar w:fldCharType="begin"/>
      </w:r>
      <w:r>
        <w:instrText xml:space="preserve"> HYPERLINK "https://baike.baidu.com/item/%E7%A9%BA%E6%B0%94/2735809" </w:instrText>
      </w:r>
      <w:r>
        <w:fldChar w:fldCharType="separate"/>
      </w:r>
      <w:r>
        <w:rPr>
          <w:rFonts w:ascii="宋体" w:hAnsi="宋体" w:eastAsia="宋体" w:cs="宋体"/>
          <w:spacing w:val="10"/>
          <w:sz w:val="23"/>
          <w:szCs w:val="23"/>
        </w:rPr>
        <w:t>空</w:t>
      </w:r>
      <w:r>
        <w:rPr>
          <w:rFonts w:ascii="宋体" w:hAnsi="宋体" w:eastAsia="宋体" w:cs="宋体"/>
          <w:spacing w:val="8"/>
          <w:sz w:val="23"/>
          <w:szCs w:val="23"/>
        </w:rPr>
        <w:t>气</w:t>
      </w:r>
      <w:r>
        <w:rPr>
          <w:rFonts w:ascii="宋体" w:hAnsi="宋体" w:eastAsia="宋体" w:cs="宋体"/>
          <w:spacing w:val="8"/>
          <w:sz w:val="23"/>
          <w:szCs w:val="23"/>
        </w:rPr>
        <w:fldChar w:fldCharType="end"/>
      </w:r>
      <w:r>
        <w:rPr>
          <w:rFonts w:ascii="宋体" w:hAnsi="宋体" w:eastAsia="宋体" w:cs="宋体"/>
          <w:spacing w:val="8"/>
          <w:sz w:val="23"/>
          <w:szCs w:val="23"/>
        </w:rPr>
        <w:t>中的水蒸气 (潮解) 和二氧化碳 (变质) 。其理化性质如下：</w:t>
      </w:r>
    </w:p>
    <w:p w14:paraId="4DF3C02D">
      <w:pPr>
        <w:spacing w:before="169" w:line="423" w:lineRule="exact"/>
        <w:ind w:left="493"/>
        <w:rPr>
          <w:rFonts w:ascii="宋体" w:hAnsi="宋体" w:eastAsia="宋体" w:cs="宋体"/>
          <w:sz w:val="23"/>
          <w:szCs w:val="23"/>
        </w:rPr>
      </w:pPr>
      <w:r>
        <w:rPr>
          <w:rFonts w:ascii="宋体" w:hAnsi="宋体" w:eastAsia="宋体" w:cs="宋体"/>
          <w:spacing w:val="18"/>
          <w:position w:val="13"/>
          <w:sz w:val="23"/>
          <w:szCs w:val="23"/>
        </w:rPr>
        <w:t>性</w:t>
      </w:r>
      <w:r>
        <w:rPr>
          <w:rFonts w:ascii="宋体" w:hAnsi="宋体" w:eastAsia="宋体" w:cs="宋体"/>
          <w:spacing w:val="14"/>
          <w:position w:val="13"/>
          <w:sz w:val="23"/>
          <w:szCs w:val="23"/>
        </w:rPr>
        <w:t>状</w:t>
      </w:r>
      <w:r>
        <w:rPr>
          <w:rFonts w:ascii="宋体" w:hAnsi="宋体" w:eastAsia="宋体" w:cs="宋体"/>
          <w:spacing w:val="9"/>
          <w:position w:val="13"/>
          <w:sz w:val="23"/>
          <w:szCs w:val="23"/>
        </w:rPr>
        <w:t>：无色透明晶体，极易溶于水，其水溶液有</w:t>
      </w:r>
      <w:r>
        <w:fldChar w:fldCharType="begin"/>
      </w:r>
      <w:r>
        <w:instrText xml:space="preserve"> HYPERLINK "https://baike.baidu.com/item/%E6%B6%A9%E5%91%B3" </w:instrText>
      </w:r>
      <w:r>
        <w:fldChar w:fldCharType="separate"/>
      </w:r>
      <w:r>
        <w:rPr>
          <w:rFonts w:ascii="宋体" w:hAnsi="宋体" w:eastAsia="宋体" w:cs="宋体"/>
          <w:spacing w:val="9"/>
          <w:position w:val="13"/>
          <w:sz w:val="23"/>
          <w:szCs w:val="23"/>
        </w:rPr>
        <w:t>涩味</w:t>
      </w:r>
      <w:r>
        <w:rPr>
          <w:rFonts w:ascii="宋体" w:hAnsi="宋体" w:eastAsia="宋体" w:cs="宋体"/>
          <w:spacing w:val="9"/>
          <w:position w:val="13"/>
          <w:sz w:val="23"/>
          <w:szCs w:val="23"/>
        </w:rPr>
        <w:fldChar w:fldCharType="end"/>
      </w:r>
      <w:r>
        <w:rPr>
          <w:rFonts w:ascii="宋体" w:hAnsi="宋体" w:eastAsia="宋体" w:cs="宋体"/>
          <w:spacing w:val="9"/>
          <w:position w:val="13"/>
          <w:sz w:val="23"/>
          <w:szCs w:val="23"/>
        </w:rPr>
        <w:t>和滑腻感</w:t>
      </w:r>
    </w:p>
    <w:p w14:paraId="1B206633">
      <w:pPr>
        <w:spacing w:line="322" w:lineRule="exact"/>
        <w:ind w:left="491"/>
        <w:rPr>
          <w:rFonts w:ascii="Times New Roman" w:hAnsi="Times New Roman" w:eastAsia="Times New Roman" w:cs="Times New Roman"/>
          <w:sz w:val="23"/>
          <w:szCs w:val="23"/>
        </w:rPr>
      </w:pPr>
      <w:r>
        <w:rPr>
          <w:rFonts w:ascii="宋体" w:hAnsi="宋体" w:eastAsia="宋体" w:cs="宋体"/>
          <w:spacing w:val="10"/>
          <w:position w:val="3"/>
          <w:sz w:val="23"/>
          <w:szCs w:val="23"/>
        </w:rPr>
        <w:t>熔点</w:t>
      </w:r>
      <w:r>
        <w:rPr>
          <w:rFonts w:ascii="宋体" w:hAnsi="宋体" w:eastAsia="宋体" w:cs="宋体"/>
          <w:spacing w:val="7"/>
          <w:position w:val="3"/>
          <w:sz w:val="23"/>
          <w:szCs w:val="23"/>
        </w:rPr>
        <w:t xml:space="preserve"> </w:t>
      </w:r>
      <w:r>
        <w:rPr>
          <w:rFonts w:ascii="宋体" w:hAnsi="宋体" w:eastAsia="宋体" w:cs="宋体"/>
          <w:spacing w:val="5"/>
          <w:position w:val="3"/>
          <w:sz w:val="23"/>
          <w:szCs w:val="23"/>
        </w:rPr>
        <w:t>(℃) ：</w:t>
      </w:r>
      <w:r>
        <w:rPr>
          <w:rFonts w:ascii="Times New Roman" w:hAnsi="Times New Roman" w:eastAsia="Times New Roman" w:cs="Times New Roman"/>
          <w:spacing w:val="5"/>
          <w:position w:val="3"/>
          <w:sz w:val="23"/>
          <w:szCs w:val="23"/>
        </w:rPr>
        <w:t>318.4</w:t>
      </w:r>
      <w:r>
        <w:rPr>
          <w:rFonts w:ascii="宋体" w:hAnsi="宋体" w:eastAsia="宋体" w:cs="宋体"/>
          <w:spacing w:val="5"/>
          <w:position w:val="3"/>
          <w:sz w:val="23"/>
          <w:szCs w:val="23"/>
        </w:rPr>
        <w:t>℃</w:t>
      </w:r>
      <w:r>
        <w:rPr>
          <w:rFonts w:ascii="Times New Roman" w:hAnsi="Times New Roman" w:eastAsia="Times New Roman" w:cs="Times New Roman"/>
          <w:spacing w:val="5"/>
          <w:position w:val="3"/>
          <w:sz w:val="23"/>
          <w:szCs w:val="23"/>
        </w:rPr>
        <w:t xml:space="preserve">(591 </w:t>
      </w:r>
      <w:r>
        <w:rPr>
          <w:rFonts w:ascii="Times New Roman" w:hAnsi="Times New Roman" w:eastAsia="Times New Roman" w:cs="Times New Roman"/>
          <w:position w:val="3"/>
          <w:sz w:val="23"/>
          <w:szCs w:val="23"/>
        </w:rPr>
        <w:t>K</w:t>
      </w:r>
      <w:r>
        <w:rPr>
          <w:rFonts w:ascii="Times New Roman" w:hAnsi="Times New Roman" w:eastAsia="Times New Roman" w:cs="Times New Roman"/>
          <w:spacing w:val="5"/>
          <w:position w:val="3"/>
          <w:sz w:val="23"/>
          <w:szCs w:val="23"/>
        </w:rPr>
        <w:t>)</w:t>
      </w:r>
    </w:p>
    <w:p w14:paraId="44FD82ED">
      <w:pPr>
        <w:spacing w:before="145" w:line="466" w:lineRule="exact"/>
        <w:ind w:left="491"/>
        <w:rPr>
          <w:rFonts w:ascii="Times New Roman" w:hAnsi="Times New Roman" w:eastAsia="Times New Roman" w:cs="Times New Roman"/>
          <w:sz w:val="23"/>
          <w:szCs w:val="23"/>
        </w:rPr>
      </w:pPr>
      <w:r>
        <w:rPr>
          <w:rFonts w:ascii="宋体" w:hAnsi="宋体" w:eastAsia="宋体" w:cs="宋体"/>
          <w:spacing w:val="1"/>
          <w:position w:val="14"/>
          <w:sz w:val="23"/>
          <w:szCs w:val="23"/>
        </w:rPr>
        <w:t>沸点 (</w:t>
      </w:r>
      <w:r>
        <w:rPr>
          <w:rFonts w:ascii="宋体" w:hAnsi="宋体" w:eastAsia="宋体" w:cs="宋体"/>
          <w:position w:val="14"/>
          <w:sz w:val="23"/>
          <w:szCs w:val="23"/>
        </w:rPr>
        <w:t>℃) ：</w:t>
      </w:r>
      <w:r>
        <w:rPr>
          <w:rFonts w:ascii="Times New Roman" w:hAnsi="Times New Roman" w:eastAsia="Times New Roman" w:cs="Times New Roman"/>
          <w:position w:val="14"/>
          <w:sz w:val="23"/>
          <w:szCs w:val="23"/>
        </w:rPr>
        <w:t xml:space="preserve">1390 </w:t>
      </w:r>
      <w:r>
        <w:rPr>
          <w:rFonts w:ascii="宋体" w:hAnsi="宋体" w:eastAsia="宋体" w:cs="宋体"/>
          <w:position w:val="14"/>
          <w:sz w:val="23"/>
          <w:szCs w:val="23"/>
        </w:rPr>
        <w:t xml:space="preserve">℃ </w:t>
      </w:r>
      <w:r>
        <w:rPr>
          <w:rFonts w:ascii="Times New Roman" w:hAnsi="Times New Roman" w:eastAsia="Times New Roman" w:cs="Times New Roman"/>
          <w:position w:val="14"/>
          <w:sz w:val="23"/>
          <w:szCs w:val="23"/>
        </w:rPr>
        <w:t>( 1663 K)</w:t>
      </w:r>
    </w:p>
    <w:p w14:paraId="4C94941D">
      <w:pPr>
        <w:spacing w:line="323" w:lineRule="exact"/>
        <w:ind w:left="491"/>
        <w:rPr>
          <w:rFonts w:ascii="Times New Roman" w:hAnsi="Times New Roman" w:eastAsia="Times New Roman" w:cs="Times New Roman"/>
          <w:sz w:val="23"/>
          <w:szCs w:val="23"/>
        </w:rPr>
      </w:pPr>
      <w:r>
        <w:rPr>
          <w:rFonts w:ascii="宋体" w:hAnsi="宋体" w:eastAsia="宋体" w:cs="宋体"/>
          <w:spacing w:val="1"/>
          <w:position w:val="3"/>
          <w:sz w:val="23"/>
          <w:szCs w:val="23"/>
        </w:rPr>
        <w:t>密度：</w:t>
      </w:r>
      <w:r>
        <w:rPr>
          <w:rFonts w:ascii="Times New Roman" w:hAnsi="Times New Roman" w:eastAsia="Times New Roman" w:cs="Times New Roman"/>
          <w:spacing w:val="1"/>
          <w:position w:val="3"/>
          <w:sz w:val="23"/>
          <w:szCs w:val="23"/>
        </w:rPr>
        <w:t>2. 1</w:t>
      </w:r>
      <w:r>
        <w:rPr>
          <w:rFonts w:ascii="Times New Roman" w:hAnsi="Times New Roman" w:eastAsia="Times New Roman" w:cs="Times New Roman"/>
          <w:position w:val="3"/>
          <w:sz w:val="23"/>
          <w:szCs w:val="23"/>
        </w:rPr>
        <w:t>30 g/cm³</w:t>
      </w:r>
    </w:p>
    <w:p w14:paraId="7B030A74">
      <w:pPr>
        <w:spacing w:before="188" w:line="228" w:lineRule="auto"/>
        <w:ind w:left="511"/>
        <w:rPr>
          <w:rFonts w:ascii="宋体" w:hAnsi="宋体" w:eastAsia="宋体" w:cs="宋体"/>
          <w:sz w:val="23"/>
          <w:szCs w:val="23"/>
        </w:rPr>
      </w:pPr>
      <w:r>
        <w:rPr>
          <w:rFonts w:ascii="宋体" w:hAnsi="宋体" w:eastAsia="宋体" w:cs="宋体"/>
          <w:spacing w:val="2"/>
          <w:sz w:val="23"/>
          <w:szCs w:val="23"/>
        </w:rPr>
        <w:t xml:space="preserve">闪点 </w:t>
      </w:r>
      <w:r>
        <w:rPr>
          <w:rFonts w:ascii="宋体" w:hAnsi="宋体" w:eastAsia="宋体" w:cs="宋体"/>
          <w:spacing w:val="1"/>
          <w:sz w:val="23"/>
          <w:szCs w:val="23"/>
        </w:rPr>
        <w:t>(℃) ：</w:t>
      </w:r>
      <w:r>
        <w:rPr>
          <w:rFonts w:ascii="Times New Roman" w:hAnsi="Times New Roman" w:eastAsia="Times New Roman" w:cs="Times New Roman"/>
          <w:spacing w:val="1"/>
          <w:sz w:val="23"/>
          <w:szCs w:val="23"/>
        </w:rPr>
        <w:t xml:space="preserve">176- 178  </w:t>
      </w:r>
      <w:r>
        <w:rPr>
          <w:rFonts w:ascii="宋体" w:hAnsi="宋体" w:eastAsia="宋体" w:cs="宋体"/>
          <w:spacing w:val="1"/>
          <w:sz w:val="23"/>
          <w:szCs w:val="23"/>
        </w:rPr>
        <w:t>(℃)</w:t>
      </w:r>
    </w:p>
    <w:p w14:paraId="3EB4EFE3">
      <w:pPr>
        <w:spacing w:before="184" w:line="228" w:lineRule="auto"/>
        <w:ind w:left="493"/>
        <w:rPr>
          <w:rFonts w:ascii="宋体" w:hAnsi="宋体" w:eastAsia="宋体" w:cs="宋体"/>
          <w:sz w:val="23"/>
          <w:szCs w:val="23"/>
        </w:rPr>
      </w:pPr>
      <w:r>
        <w:rPr>
          <w:rFonts w:ascii="宋体" w:hAnsi="宋体" w:eastAsia="宋体" w:cs="宋体"/>
          <w:spacing w:val="14"/>
          <w:sz w:val="23"/>
          <w:szCs w:val="23"/>
        </w:rPr>
        <w:t>溶</w:t>
      </w:r>
      <w:r>
        <w:rPr>
          <w:rFonts w:ascii="宋体" w:hAnsi="宋体" w:eastAsia="宋体" w:cs="宋体"/>
          <w:spacing w:val="9"/>
          <w:sz w:val="23"/>
          <w:szCs w:val="23"/>
        </w:rPr>
        <w:t>解性：溶于水，溶于乙醇、乙醚、硫酸</w:t>
      </w:r>
    </w:p>
    <w:p w14:paraId="3E63B919">
      <w:pPr>
        <w:spacing w:before="184" w:line="466" w:lineRule="exact"/>
        <w:ind w:left="490"/>
        <w:rPr>
          <w:rFonts w:ascii="宋体" w:hAnsi="宋体" w:eastAsia="宋体" w:cs="宋体"/>
          <w:sz w:val="23"/>
          <w:szCs w:val="23"/>
        </w:rPr>
      </w:pPr>
      <w:r>
        <w:rPr>
          <w:rFonts w:ascii="宋体" w:hAnsi="宋体" w:eastAsia="宋体" w:cs="宋体"/>
          <w:spacing w:val="14"/>
          <w:position w:val="17"/>
          <w:sz w:val="23"/>
          <w:szCs w:val="23"/>
          <w14:textOutline w14:w="4356" w14:cap="sq" w14:cmpd="sng" w14:algn="ctr">
            <w14:solidFill>
              <w14:srgbClr w14:val="000000"/>
            </w14:solidFill>
            <w14:prstDash w14:val="solid"/>
            <w14:bevel/>
          </w14:textOutline>
        </w:rPr>
        <w:t>健</w:t>
      </w:r>
      <w:r>
        <w:rPr>
          <w:rFonts w:ascii="宋体" w:hAnsi="宋体" w:eastAsia="宋体" w:cs="宋体"/>
          <w:spacing w:val="7"/>
          <w:position w:val="17"/>
          <w:sz w:val="23"/>
          <w:szCs w:val="23"/>
          <w14:textOutline w14:w="4356" w14:cap="sq" w14:cmpd="sng" w14:algn="ctr">
            <w14:solidFill>
              <w14:srgbClr w14:val="000000"/>
            </w14:solidFill>
            <w14:prstDash w14:val="solid"/>
            <w14:bevel/>
          </w14:textOutline>
        </w:rPr>
        <w:t>康危害：</w:t>
      </w:r>
      <w:r>
        <w:rPr>
          <w:rFonts w:ascii="宋体" w:hAnsi="宋体" w:eastAsia="宋体" w:cs="宋体"/>
          <w:spacing w:val="7"/>
          <w:position w:val="17"/>
          <w:sz w:val="23"/>
          <w:szCs w:val="23"/>
        </w:rPr>
        <w:t>该品有强烈刺激和腐蚀性。粉尘或烟雾会刺激眼和呼吸道，腐蚀鼻中隔，皮</w:t>
      </w:r>
    </w:p>
    <w:p w14:paraId="12C0C190">
      <w:pPr>
        <w:spacing w:line="226" w:lineRule="auto"/>
        <w:ind w:left="9"/>
        <w:rPr>
          <w:rFonts w:ascii="宋体" w:hAnsi="宋体" w:eastAsia="宋体" w:cs="宋体"/>
          <w:sz w:val="23"/>
          <w:szCs w:val="23"/>
        </w:rPr>
      </w:pPr>
      <w:r>
        <w:rPr>
          <w:rFonts w:ascii="宋体" w:hAnsi="宋体" w:eastAsia="宋体" w:cs="宋体"/>
          <w:spacing w:val="16"/>
          <w:sz w:val="23"/>
          <w:szCs w:val="23"/>
        </w:rPr>
        <w:t>肤</w:t>
      </w:r>
      <w:r>
        <w:rPr>
          <w:rFonts w:ascii="宋体" w:hAnsi="宋体" w:eastAsia="宋体" w:cs="宋体"/>
          <w:spacing w:val="8"/>
          <w:sz w:val="23"/>
          <w:szCs w:val="23"/>
        </w:rPr>
        <w:t xml:space="preserve">和眼与 </w:t>
      </w:r>
      <w:r>
        <w:rPr>
          <w:rFonts w:ascii="Times New Roman" w:hAnsi="Times New Roman" w:eastAsia="Times New Roman" w:cs="Times New Roman"/>
          <w:sz w:val="23"/>
          <w:szCs w:val="23"/>
        </w:rPr>
        <w:t>NaOH</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直接接触会引起灼伤，误服可造成消化道灼伤，粘膜糜烂、出血和休克。</w:t>
      </w:r>
    </w:p>
    <w:p w14:paraId="07CE5DC0">
      <w:pPr>
        <w:spacing w:before="149" w:line="466" w:lineRule="exact"/>
        <w:ind w:left="493"/>
        <w:rPr>
          <w:rFonts w:ascii="宋体" w:hAnsi="宋体" w:eastAsia="宋体" w:cs="宋体"/>
          <w:sz w:val="23"/>
          <w:szCs w:val="23"/>
        </w:rPr>
      </w:pPr>
      <w:r>
        <w:rPr>
          <w:rFonts w:ascii="宋体" w:hAnsi="宋体" w:eastAsia="宋体" w:cs="宋体"/>
          <w:spacing w:val="7"/>
          <w:position w:val="6"/>
          <w:sz w:val="23"/>
          <w:szCs w:val="23"/>
          <w14:textOutline w14:w="4356" w14:cap="sq" w14:cmpd="sng" w14:algn="ctr">
            <w14:solidFill>
              <w14:srgbClr w14:val="000000"/>
            </w14:solidFill>
            <w14:prstDash w14:val="solid"/>
            <w14:bevel/>
          </w14:textOutline>
        </w:rPr>
        <w:t>危害防治</w:t>
      </w:r>
      <w:r>
        <w:rPr>
          <w:rFonts w:ascii="宋体" w:hAnsi="宋体" w:eastAsia="宋体" w:cs="宋体"/>
          <w:spacing w:val="7"/>
          <w:position w:val="6"/>
          <w:sz w:val="23"/>
          <w:szCs w:val="23"/>
        </w:rPr>
        <w:t>：隔离泄漏污染区，周围设警告标志，建议应急处理人员戴好</w:t>
      </w:r>
      <w:r>
        <w:fldChar w:fldCharType="begin"/>
      </w:r>
      <w:r>
        <w:instrText xml:space="preserve"> HYPERLINK "https://baike.baidu.com/item/%E9%98%B2%E6%AF%92%E9%9D%A2%E5%85%B7" </w:instrText>
      </w:r>
      <w:r>
        <w:fldChar w:fldCharType="separate"/>
      </w:r>
      <w:r>
        <w:rPr>
          <w:rFonts w:ascii="宋体" w:hAnsi="宋体" w:eastAsia="宋体" w:cs="宋体"/>
          <w:spacing w:val="7"/>
          <w:position w:val="6"/>
          <w:sz w:val="23"/>
          <w:szCs w:val="23"/>
        </w:rPr>
        <w:t>防毒面具</w:t>
      </w:r>
      <w:r>
        <w:rPr>
          <w:rFonts w:ascii="宋体" w:hAnsi="宋体" w:eastAsia="宋体" w:cs="宋体"/>
          <w:spacing w:val="7"/>
          <w:position w:val="6"/>
          <w:sz w:val="23"/>
          <w:szCs w:val="23"/>
        </w:rPr>
        <w:fldChar w:fldCharType="end"/>
      </w:r>
      <w:r>
        <w:rPr>
          <w:rFonts w:ascii="宋体" w:hAnsi="宋体" w:eastAsia="宋体" w:cs="宋体"/>
          <w:spacing w:val="7"/>
          <w:position w:val="6"/>
          <w:sz w:val="23"/>
          <w:szCs w:val="23"/>
        </w:rPr>
        <w:t>，穿化</w:t>
      </w:r>
    </w:p>
    <w:p w14:paraId="12EF3737">
      <w:pPr>
        <w:spacing w:before="37" w:line="375" w:lineRule="auto"/>
        <w:ind w:left="10" w:right="82" w:firstLine="4"/>
        <w:rPr>
          <w:rFonts w:ascii="宋体" w:hAnsi="宋体" w:eastAsia="宋体" w:cs="宋体"/>
          <w:sz w:val="23"/>
          <w:szCs w:val="23"/>
        </w:rPr>
      </w:pPr>
      <w:r>
        <w:rPr>
          <w:rFonts w:ascii="宋体" w:hAnsi="宋体" w:eastAsia="宋体" w:cs="宋体"/>
          <w:spacing w:val="1"/>
          <w:sz w:val="23"/>
          <w:szCs w:val="23"/>
        </w:rPr>
        <w:t>学防护服。不要直接接触泄漏物，用清洁的铲子收集于干燥洁净有盖</w:t>
      </w:r>
      <w:r>
        <w:rPr>
          <w:rFonts w:ascii="宋体" w:hAnsi="宋体" w:eastAsia="宋体" w:cs="宋体"/>
          <w:sz w:val="23"/>
          <w:szCs w:val="23"/>
        </w:rPr>
        <w:t xml:space="preserve">的容器中，以少量 </w:t>
      </w:r>
      <w:r>
        <w:rPr>
          <w:rFonts w:ascii="Times New Roman" w:hAnsi="Times New Roman" w:eastAsia="Times New Roman" w:cs="Times New Roman"/>
          <w:sz w:val="23"/>
          <w:szCs w:val="23"/>
        </w:rPr>
        <w:t xml:space="preserve">NaOH </w:t>
      </w:r>
      <w:r>
        <w:rPr>
          <w:rFonts w:ascii="宋体" w:hAnsi="宋体" w:eastAsia="宋体" w:cs="宋体"/>
          <w:spacing w:val="14"/>
          <w:sz w:val="23"/>
          <w:szCs w:val="23"/>
        </w:rPr>
        <w:t>加</w:t>
      </w:r>
      <w:r>
        <w:rPr>
          <w:rFonts w:ascii="宋体" w:hAnsi="宋体" w:eastAsia="宋体" w:cs="宋体"/>
          <w:spacing w:val="7"/>
          <w:sz w:val="23"/>
          <w:szCs w:val="23"/>
        </w:rPr>
        <w:t>入大量水中，调节至中性，再放入废水系统。也可以用大量水冲洗，经稀释的洗水放入废</w:t>
      </w:r>
      <w:r>
        <w:rPr>
          <w:rFonts w:ascii="宋体" w:hAnsi="宋体" w:eastAsia="宋体" w:cs="宋体"/>
          <w:sz w:val="23"/>
          <w:szCs w:val="23"/>
        </w:rPr>
        <w:t xml:space="preserve"> </w:t>
      </w:r>
      <w:r>
        <w:rPr>
          <w:rFonts w:ascii="宋体" w:hAnsi="宋体" w:eastAsia="宋体" w:cs="宋体"/>
          <w:spacing w:val="12"/>
          <w:sz w:val="23"/>
          <w:szCs w:val="23"/>
        </w:rPr>
        <w:t>水</w:t>
      </w:r>
      <w:r>
        <w:rPr>
          <w:rFonts w:ascii="宋体" w:hAnsi="宋体" w:eastAsia="宋体" w:cs="宋体"/>
          <w:spacing w:val="9"/>
          <w:sz w:val="23"/>
          <w:szCs w:val="23"/>
        </w:rPr>
        <w:t>系统。如大量泄漏，收集回收或处理无害后废弃。</w:t>
      </w:r>
    </w:p>
    <w:p w14:paraId="7E25EFC0">
      <w:pPr>
        <w:spacing w:line="230" w:lineRule="auto"/>
        <w:ind w:left="501"/>
        <w:rPr>
          <w:rFonts w:ascii="宋体" w:hAnsi="宋体" w:eastAsia="宋体" w:cs="宋体"/>
          <w:sz w:val="23"/>
          <w:szCs w:val="23"/>
        </w:rPr>
      </w:pPr>
      <w:r>
        <w:rPr>
          <w:rFonts w:ascii="宋体" w:hAnsi="宋体" w:eastAsia="宋体" w:cs="宋体"/>
          <w:spacing w:val="26"/>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3"/>
          <w:sz w:val="23"/>
          <w:szCs w:val="23"/>
        </w:rPr>
        <w:t>3</w:t>
      </w: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宋体" w:hAnsi="宋体" w:eastAsia="宋体" w:cs="宋体"/>
          <w:spacing w:val="23"/>
          <w:sz w:val="23"/>
          <w:szCs w:val="23"/>
        </w:rPr>
        <w:t xml:space="preserve"> </w:t>
      </w:r>
      <w:r>
        <w:rPr>
          <w:rFonts w:ascii="宋体" w:hAnsi="宋体" w:eastAsia="宋体" w:cs="宋体"/>
          <w:spacing w:val="23"/>
          <w:sz w:val="23"/>
          <w:szCs w:val="23"/>
          <w14:textOutline w14:w="4356" w14:cap="sq" w14:cmpd="sng" w14:algn="ctr">
            <w14:solidFill>
              <w14:srgbClr w14:val="000000"/>
            </w14:solidFill>
            <w14:prstDash w14:val="solid"/>
            <w14:bevel/>
          </w14:textOutline>
        </w:rPr>
        <w:t>卫可</w:t>
      </w:r>
    </w:p>
    <w:p w14:paraId="106B907D">
      <w:pPr>
        <w:spacing w:before="134" w:line="387" w:lineRule="auto"/>
        <w:ind w:left="12" w:firstLine="480"/>
        <w:rPr>
          <w:rFonts w:ascii="宋体" w:hAnsi="宋体" w:eastAsia="宋体" w:cs="宋体"/>
          <w:sz w:val="23"/>
          <w:szCs w:val="23"/>
        </w:rPr>
      </w:pPr>
      <w:r>
        <w:rPr>
          <w:rFonts w:ascii="宋体" w:hAnsi="宋体" w:eastAsia="宋体" w:cs="宋体"/>
          <w:spacing w:val="10"/>
          <w:sz w:val="23"/>
          <w:szCs w:val="23"/>
        </w:rPr>
        <w:t>卫</w:t>
      </w:r>
      <w:r>
        <w:rPr>
          <w:rFonts w:ascii="宋体" w:hAnsi="宋体" w:eastAsia="宋体" w:cs="宋体"/>
          <w:spacing w:val="7"/>
          <w:sz w:val="23"/>
          <w:szCs w:val="23"/>
        </w:rPr>
        <w:t>可</w:t>
      </w:r>
      <w:r>
        <w:rPr>
          <w:rFonts w:ascii="宋体" w:hAnsi="宋体" w:eastAsia="宋体" w:cs="宋体"/>
          <w:spacing w:val="5"/>
          <w:sz w:val="23"/>
          <w:szCs w:val="23"/>
        </w:rPr>
        <w:t xml:space="preserve"> </w:t>
      </w:r>
      <w:r>
        <w:rPr>
          <w:rFonts w:ascii="Times New Roman" w:hAnsi="Times New Roman" w:eastAsia="Times New Roman" w:cs="Times New Roman"/>
          <w:sz w:val="23"/>
          <w:szCs w:val="23"/>
        </w:rPr>
        <w:t>Virkon</w:t>
      </w:r>
      <w:r>
        <w:rPr>
          <w:rFonts w:ascii="Times New Roman" w:hAnsi="Times New Roman" w:eastAsia="Times New Roman" w:cs="Times New Roman"/>
          <w:spacing w:val="5"/>
          <w:sz w:val="23"/>
          <w:szCs w:val="23"/>
        </w:rPr>
        <w:t xml:space="preserve"> </w:t>
      </w:r>
      <w:r>
        <w:rPr>
          <w:rFonts w:ascii="Times New Roman" w:hAnsi="Times New Roman" w:eastAsia="Times New Roman" w:cs="Times New Roman"/>
          <w:sz w:val="23"/>
          <w:szCs w:val="23"/>
        </w:rPr>
        <w:t>S</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是药品，外观是粉红</w:t>
      </w:r>
      <w:r>
        <w:rPr>
          <w:rFonts w:ascii="Times New Roman" w:hAnsi="Times New Roman" w:eastAsia="Times New Roman" w:cs="Times New Roman"/>
          <w:spacing w:val="5"/>
          <w:sz w:val="23"/>
          <w:szCs w:val="23"/>
        </w:rPr>
        <w:t>/</w:t>
      </w:r>
      <w:r>
        <w:rPr>
          <w:rFonts w:ascii="宋体" w:hAnsi="宋体" w:eastAsia="宋体" w:cs="宋体"/>
          <w:spacing w:val="5"/>
          <w:sz w:val="23"/>
          <w:szCs w:val="23"/>
        </w:rPr>
        <w:t>灰色粉末，气味是淡柠檬味，喷雾消毒、饮水消毒、</w:t>
      </w:r>
      <w:r>
        <w:rPr>
          <w:rFonts w:ascii="宋体" w:hAnsi="宋体" w:eastAsia="宋体" w:cs="宋体"/>
          <w:sz w:val="23"/>
          <w:szCs w:val="23"/>
        </w:rPr>
        <w:t xml:space="preserve"> </w:t>
      </w:r>
      <w:r>
        <w:rPr>
          <w:rFonts w:ascii="宋体" w:hAnsi="宋体" w:eastAsia="宋体" w:cs="宋体"/>
          <w:spacing w:val="12"/>
          <w:sz w:val="23"/>
          <w:szCs w:val="23"/>
        </w:rPr>
        <w:t>垫</w:t>
      </w:r>
      <w:r>
        <w:rPr>
          <w:rFonts w:ascii="宋体" w:hAnsi="宋体" w:eastAsia="宋体" w:cs="宋体"/>
          <w:spacing w:val="7"/>
          <w:sz w:val="23"/>
          <w:szCs w:val="23"/>
        </w:rPr>
        <w:t>料消毒、冲洗水线、洗手等用。广泛用于各种养殖场、孵化场、兽医手术室以及食品加工</w:t>
      </w:r>
      <w:r>
        <w:rPr>
          <w:rFonts w:ascii="宋体" w:hAnsi="宋体" w:eastAsia="宋体" w:cs="宋体"/>
          <w:sz w:val="23"/>
          <w:szCs w:val="23"/>
        </w:rPr>
        <w:t xml:space="preserve"> </w:t>
      </w:r>
      <w:r>
        <w:rPr>
          <w:rFonts w:ascii="宋体" w:hAnsi="宋体" w:eastAsia="宋体" w:cs="宋体"/>
          <w:spacing w:val="8"/>
          <w:sz w:val="23"/>
          <w:szCs w:val="23"/>
        </w:rPr>
        <w:t>厂</w:t>
      </w:r>
      <w:r>
        <w:rPr>
          <w:rFonts w:ascii="宋体" w:hAnsi="宋体" w:eastAsia="宋体" w:cs="宋体"/>
          <w:spacing w:val="5"/>
          <w:sz w:val="23"/>
          <w:szCs w:val="23"/>
        </w:rPr>
        <w:t>等消毒。</w:t>
      </w:r>
    </w:p>
    <w:p w14:paraId="0992C914">
      <w:pPr>
        <w:spacing w:before="1" w:line="374" w:lineRule="auto"/>
        <w:ind w:left="9" w:right="84" w:firstLine="480"/>
        <w:rPr>
          <w:rFonts w:ascii="宋体" w:hAnsi="宋体" w:eastAsia="宋体" w:cs="宋体"/>
          <w:sz w:val="23"/>
          <w:szCs w:val="23"/>
        </w:rPr>
      </w:pPr>
      <w:r>
        <w:rPr>
          <w:rFonts w:ascii="宋体" w:hAnsi="宋体" w:eastAsia="宋体" w:cs="宋体"/>
          <w:spacing w:val="8"/>
          <w:sz w:val="23"/>
          <w:szCs w:val="23"/>
        </w:rPr>
        <w:t>产</w:t>
      </w:r>
      <w:r>
        <w:rPr>
          <w:rFonts w:ascii="宋体" w:hAnsi="宋体" w:eastAsia="宋体" w:cs="宋体"/>
          <w:spacing w:val="7"/>
          <w:sz w:val="23"/>
          <w:szCs w:val="23"/>
        </w:rPr>
        <w:t>品通过增加细胞膜的通透性，造成酶和营养物质流失、病原体溶解破裂，进而杀灭病</w:t>
      </w:r>
      <w:r>
        <w:rPr>
          <w:rFonts w:ascii="宋体" w:hAnsi="宋体" w:eastAsia="宋体" w:cs="宋体"/>
          <w:sz w:val="23"/>
          <w:szCs w:val="23"/>
        </w:rPr>
        <w:t xml:space="preserve"> </w:t>
      </w:r>
      <w:r>
        <w:rPr>
          <w:rFonts w:ascii="宋体" w:hAnsi="宋体" w:eastAsia="宋体" w:cs="宋体"/>
          <w:spacing w:val="14"/>
          <w:sz w:val="23"/>
          <w:szCs w:val="23"/>
        </w:rPr>
        <w:t>原</w:t>
      </w:r>
      <w:r>
        <w:rPr>
          <w:rFonts w:ascii="宋体" w:hAnsi="宋体" w:eastAsia="宋体" w:cs="宋体"/>
          <w:spacing w:val="8"/>
          <w:sz w:val="23"/>
          <w:szCs w:val="23"/>
        </w:rPr>
        <w:t>体</w:t>
      </w:r>
      <w:r>
        <w:rPr>
          <w:rFonts w:ascii="宋体" w:hAnsi="宋体" w:eastAsia="宋体" w:cs="宋体"/>
          <w:spacing w:val="7"/>
          <w:sz w:val="23"/>
          <w:szCs w:val="23"/>
        </w:rPr>
        <w:t>使病原体的蛋白质凝固变性，干扰病原体酶系统的活性、影响其代谢、导致死亡；干扰</w:t>
      </w:r>
      <w:r>
        <w:rPr>
          <w:rFonts w:ascii="宋体" w:hAnsi="宋体" w:eastAsia="宋体" w:cs="宋体"/>
          <w:sz w:val="23"/>
          <w:szCs w:val="23"/>
        </w:rPr>
        <w:t xml:space="preserve"> </w:t>
      </w:r>
      <w:r>
        <w:rPr>
          <w:rFonts w:ascii="宋体" w:hAnsi="宋体" w:eastAsia="宋体" w:cs="宋体"/>
          <w:spacing w:val="12"/>
          <w:sz w:val="23"/>
          <w:szCs w:val="23"/>
        </w:rPr>
        <w:t>病原体的</w:t>
      </w:r>
      <w:r>
        <w:rPr>
          <w:rFonts w:ascii="宋体" w:hAnsi="宋体" w:eastAsia="宋体" w:cs="宋体"/>
          <w:spacing w:val="11"/>
          <w:sz w:val="23"/>
          <w:szCs w:val="23"/>
        </w:rPr>
        <w:t xml:space="preserve"> </w:t>
      </w:r>
      <w:r>
        <w:rPr>
          <w:rFonts w:ascii="Times New Roman" w:hAnsi="Times New Roman" w:eastAsia="Times New Roman" w:cs="Times New Roman"/>
          <w:sz w:val="23"/>
          <w:szCs w:val="23"/>
        </w:rPr>
        <w:t>DNA</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 xml:space="preserve">和 </w:t>
      </w:r>
      <w:r>
        <w:rPr>
          <w:rFonts w:ascii="Times New Roman" w:hAnsi="Times New Roman" w:eastAsia="Times New Roman" w:cs="Times New Roman"/>
          <w:sz w:val="23"/>
          <w:szCs w:val="23"/>
        </w:rPr>
        <w:t>RNA</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合成，阻碍遗传物质的复制和病原微生物的繁殖。产品特点如下：</w:t>
      </w:r>
    </w:p>
    <w:p w14:paraId="5F38CA8C">
      <w:pPr>
        <w:spacing w:before="1" w:line="227" w:lineRule="auto"/>
        <w:ind w:left="489"/>
        <w:rPr>
          <w:rFonts w:ascii="宋体" w:hAnsi="宋体" w:eastAsia="宋体" w:cs="宋体"/>
          <w:sz w:val="23"/>
          <w:szCs w:val="23"/>
        </w:rPr>
      </w:pPr>
      <w:r>
        <w:rPr>
          <w:rFonts w:ascii="宋体" w:hAnsi="宋体" w:eastAsia="宋体" w:cs="宋体"/>
          <w:spacing w:val="15"/>
          <w:sz w:val="23"/>
          <w:szCs w:val="23"/>
        </w:rPr>
        <w:t>超</w:t>
      </w:r>
      <w:r>
        <w:rPr>
          <w:rFonts w:ascii="宋体" w:hAnsi="宋体" w:eastAsia="宋体" w:cs="宋体"/>
          <w:spacing w:val="9"/>
          <w:sz w:val="23"/>
          <w:szCs w:val="23"/>
        </w:rPr>
        <w:t>级广谱</w:t>
      </w:r>
      <w:r>
        <w:rPr>
          <w:rFonts w:ascii="Times New Roman" w:hAnsi="Times New Roman" w:eastAsia="Times New Roman" w:cs="Times New Roman"/>
          <w:spacing w:val="9"/>
          <w:sz w:val="23"/>
          <w:szCs w:val="23"/>
        </w:rPr>
        <w:t>——</w:t>
      </w:r>
      <w:r>
        <w:rPr>
          <w:rFonts w:ascii="宋体" w:hAnsi="宋体" w:eastAsia="宋体" w:cs="宋体"/>
          <w:spacing w:val="9"/>
          <w:sz w:val="23"/>
          <w:szCs w:val="23"/>
        </w:rPr>
        <w:t>对病毒、细菌、支原体、真菌、霉菌有效；</w:t>
      </w:r>
    </w:p>
    <w:p w14:paraId="20BF453D">
      <w:pPr>
        <w:spacing w:before="184" w:line="227" w:lineRule="auto"/>
        <w:ind w:left="496"/>
        <w:rPr>
          <w:rFonts w:ascii="宋体" w:hAnsi="宋体" w:eastAsia="宋体" w:cs="宋体"/>
          <w:sz w:val="23"/>
          <w:szCs w:val="23"/>
        </w:rPr>
      </w:pPr>
      <w:r>
        <w:rPr>
          <w:rFonts w:ascii="宋体" w:hAnsi="宋体" w:eastAsia="宋体" w:cs="宋体"/>
          <w:spacing w:val="8"/>
          <w:sz w:val="23"/>
          <w:szCs w:val="23"/>
        </w:rPr>
        <w:t>高效消毒</w:t>
      </w:r>
      <w:r>
        <w:rPr>
          <w:rFonts w:ascii="Times New Roman" w:hAnsi="Times New Roman" w:eastAsia="Times New Roman" w:cs="Times New Roman"/>
          <w:spacing w:val="8"/>
          <w:sz w:val="23"/>
          <w:szCs w:val="23"/>
        </w:rPr>
        <w:t>——</w:t>
      </w:r>
      <w:r>
        <w:rPr>
          <w:rFonts w:ascii="宋体" w:hAnsi="宋体" w:eastAsia="宋体" w:cs="宋体"/>
          <w:spacing w:val="8"/>
          <w:sz w:val="23"/>
          <w:szCs w:val="23"/>
        </w:rPr>
        <w:t>本品在水中经链式反应连续产生次氯酸、新生态氧，氧化和氯化病原体</w:t>
      </w:r>
      <w:r>
        <w:rPr>
          <w:rFonts w:ascii="宋体" w:hAnsi="宋体" w:eastAsia="宋体" w:cs="宋体"/>
          <w:spacing w:val="6"/>
          <w:sz w:val="23"/>
          <w:szCs w:val="23"/>
        </w:rPr>
        <w:t>；</w:t>
      </w:r>
    </w:p>
    <w:p w14:paraId="64CFE99C">
      <w:pPr>
        <w:sectPr>
          <w:headerReference r:id="rId72" w:type="default"/>
          <w:footerReference r:id="rId73" w:type="default"/>
          <w:pgSz w:w="11907" w:h="16840"/>
          <w:pgMar w:top="829" w:right="1048" w:bottom="1139" w:left="1275" w:header="595" w:footer="953" w:gutter="0"/>
          <w:cols w:space="720" w:num="1"/>
        </w:sectPr>
      </w:pPr>
    </w:p>
    <w:p w14:paraId="1741E535">
      <w:pPr>
        <w:spacing w:before="146" w:line="227" w:lineRule="auto"/>
        <w:ind w:left="491"/>
        <w:rPr>
          <w:rFonts w:ascii="宋体" w:hAnsi="宋体" w:eastAsia="宋体" w:cs="宋体"/>
          <w:sz w:val="23"/>
          <w:szCs w:val="23"/>
        </w:rPr>
      </w:pPr>
      <w:r>
        <w:rPr>
          <w:rFonts w:ascii="宋体" w:hAnsi="宋体" w:eastAsia="宋体" w:cs="宋体"/>
          <w:spacing w:val="18"/>
          <w:sz w:val="23"/>
          <w:szCs w:val="23"/>
        </w:rPr>
        <w:t>使</w:t>
      </w:r>
      <w:r>
        <w:rPr>
          <w:rFonts w:ascii="宋体" w:hAnsi="宋体" w:eastAsia="宋体" w:cs="宋体"/>
          <w:spacing w:val="13"/>
          <w:sz w:val="23"/>
          <w:szCs w:val="23"/>
        </w:rPr>
        <w:t>用</w:t>
      </w:r>
      <w:r>
        <w:rPr>
          <w:rFonts w:ascii="宋体" w:hAnsi="宋体" w:eastAsia="宋体" w:cs="宋体"/>
          <w:spacing w:val="9"/>
          <w:sz w:val="23"/>
          <w:szCs w:val="23"/>
        </w:rPr>
        <w:t>方便</w:t>
      </w:r>
      <w:r>
        <w:rPr>
          <w:rFonts w:ascii="Times New Roman" w:hAnsi="Times New Roman" w:eastAsia="Times New Roman" w:cs="Times New Roman"/>
          <w:spacing w:val="9"/>
          <w:sz w:val="23"/>
          <w:szCs w:val="23"/>
        </w:rPr>
        <w:t>——</w:t>
      </w:r>
      <w:r>
        <w:rPr>
          <w:rFonts w:ascii="宋体" w:hAnsi="宋体" w:eastAsia="宋体" w:cs="宋体"/>
          <w:spacing w:val="9"/>
          <w:sz w:val="23"/>
          <w:szCs w:val="23"/>
        </w:rPr>
        <w:t>喷雾、饮水、擦洗、冲淋、水浴及水体消毒、拌料，配有量杯；</w:t>
      </w:r>
    </w:p>
    <w:p w14:paraId="5602EC6F">
      <w:pPr>
        <w:spacing w:before="147" w:line="404" w:lineRule="auto"/>
        <w:ind w:left="489"/>
        <w:rPr>
          <w:rFonts w:ascii="宋体" w:hAnsi="宋体" w:eastAsia="宋体" w:cs="宋体"/>
          <w:sz w:val="23"/>
          <w:szCs w:val="23"/>
        </w:rPr>
      </w:pPr>
      <w:r>
        <w:rPr>
          <w:rFonts w:ascii="宋体" w:hAnsi="宋体" w:eastAsia="宋体" w:cs="宋体"/>
          <w:spacing w:val="10"/>
          <w:sz w:val="23"/>
          <w:szCs w:val="23"/>
        </w:rPr>
        <w:t>超级安全</w:t>
      </w:r>
      <w:r>
        <w:rPr>
          <w:rFonts w:ascii="Times New Roman" w:hAnsi="Times New Roman" w:eastAsia="Times New Roman" w:cs="Times New Roman"/>
          <w:spacing w:val="6"/>
          <w:sz w:val="23"/>
          <w:szCs w:val="23"/>
        </w:rPr>
        <w:t>—</w:t>
      </w:r>
      <w:r>
        <w:rPr>
          <w:rFonts w:ascii="Times New Roman" w:hAnsi="Times New Roman" w:eastAsia="Times New Roman" w:cs="Times New Roman"/>
          <w:spacing w:val="5"/>
          <w:sz w:val="23"/>
          <w:szCs w:val="23"/>
        </w:rPr>
        <w:t>—</w:t>
      </w:r>
      <w:r>
        <w:rPr>
          <w:rFonts w:ascii="宋体" w:hAnsi="宋体" w:eastAsia="宋体" w:cs="宋体"/>
          <w:spacing w:val="5"/>
          <w:sz w:val="23"/>
          <w:szCs w:val="23"/>
        </w:rPr>
        <w:t>无刺激性、</w:t>
      </w:r>
      <w:r>
        <w:fldChar w:fldCharType="begin"/>
      </w:r>
      <w:r>
        <w:instrText xml:space="preserve"> HYPERLINK "https://baike.baidu.com/item/%E8%85%90%E8%9A%80%E6%80%A7" </w:instrText>
      </w:r>
      <w:r>
        <w:fldChar w:fldCharType="separate"/>
      </w:r>
      <w:r>
        <w:rPr>
          <w:rFonts w:ascii="宋体" w:hAnsi="宋体" w:eastAsia="宋体" w:cs="宋体"/>
          <w:spacing w:val="5"/>
          <w:sz w:val="23"/>
          <w:szCs w:val="23"/>
          <w:u w:val="single"/>
        </w:rPr>
        <w:t>腐蚀性</w:t>
      </w:r>
      <w:r>
        <w:rPr>
          <w:rFonts w:ascii="宋体" w:hAnsi="宋体" w:eastAsia="宋体" w:cs="宋体"/>
          <w:spacing w:val="5"/>
          <w:sz w:val="23"/>
          <w:szCs w:val="23"/>
          <w:u w:val="single"/>
        </w:rPr>
        <w:fldChar w:fldCharType="end"/>
      </w:r>
      <w:r>
        <w:rPr>
          <w:rFonts w:ascii="宋体" w:hAnsi="宋体" w:eastAsia="宋体" w:cs="宋体"/>
          <w:spacing w:val="5"/>
          <w:sz w:val="23"/>
          <w:szCs w:val="23"/>
        </w:rPr>
        <w:t>，对环境、水体、食品安全， 自然分解；</w:t>
      </w:r>
    </w:p>
    <w:p w14:paraId="4935316B">
      <w:pPr>
        <w:spacing w:before="1" w:line="374" w:lineRule="auto"/>
        <w:ind w:left="13" w:right="63" w:firstLine="476"/>
        <w:rPr>
          <w:rFonts w:ascii="宋体" w:hAnsi="宋体" w:eastAsia="宋体" w:cs="宋体"/>
          <w:sz w:val="23"/>
          <w:szCs w:val="23"/>
        </w:rPr>
      </w:pPr>
      <w:r>
        <w:rPr>
          <w:rFonts w:ascii="宋体" w:hAnsi="宋体" w:eastAsia="宋体" w:cs="宋体"/>
          <w:spacing w:val="9"/>
          <w:sz w:val="23"/>
          <w:szCs w:val="23"/>
        </w:rPr>
        <w:t>表</w:t>
      </w:r>
      <w:r>
        <w:rPr>
          <w:rFonts w:ascii="宋体" w:hAnsi="宋体" w:eastAsia="宋体" w:cs="宋体"/>
          <w:spacing w:val="7"/>
          <w:sz w:val="23"/>
          <w:szCs w:val="23"/>
        </w:rPr>
        <w:t>面活性</w:t>
      </w:r>
      <w:r>
        <w:rPr>
          <w:rFonts w:ascii="Times New Roman" w:hAnsi="Times New Roman" w:eastAsia="Times New Roman" w:cs="Times New Roman"/>
          <w:spacing w:val="7"/>
          <w:sz w:val="23"/>
          <w:szCs w:val="23"/>
        </w:rPr>
        <w:t>——</w:t>
      </w:r>
      <w:r>
        <w:rPr>
          <w:rFonts w:ascii="宋体" w:hAnsi="宋体" w:eastAsia="宋体" w:cs="宋体"/>
          <w:spacing w:val="7"/>
          <w:sz w:val="23"/>
          <w:szCs w:val="23"/>
        </w:rPr>
        <w:t>微生物的生物膜是影响消毒剂效果的因素，含能迅速破坏生物膜的表面活</w:t>
      </w:r>
      <w:r>
        <w:rPr>
          <w:rFonts w:ascii="宋体" w:hAnsi="宋体" w:eastAsia="宋体" w:cs="宋体"/>
          <w:sz w:val="23"/>
          <w:szCs w:val="23"/>
        </w:rPr>
        <w:t xml:space="preserve"> </w:t>
      </w:r>
      <w:r>
        <w:rPr>
          <w:rFonts w:ascii="宋体" w:hAnsi="宋体" w:eastAsia="宋体" w:cs="宋体"/>
          <w:spacing w:val="15"/>
          <w:sz w:val="23"/>
          <w:szCs w:val="23"/>
        </w:rPr>
        <w:t>性</w:t>
      </w:r>
      <w:r>
        <w:rPr>
          <w:rFonts w:ascii="宋体" w:hAnsi="宋体" w:eastAsia="宋体" w:cs="宋体"/>
          <w:spacing w:val="8"/>
          <w:sz w:val="23"/>
          <w:szCs w:val="23"/>
        </w:rPr>
        <w:t>剂，直接快速杀灭病原微生物；</w:t>
      </w:r>
    </w:p>
    <w:p w14:paraId="18B5C092">
      <w:pPr>
        <w:spacing w:line="467" w:lineRule="exact"/>
        <w:ind w:left="491"/>
        <w:rPr>
          <w:rFonts w:ascii="宋体" w:hAnsi="宋体" w:eastAsia="宋体" w:cs="宋体"/>
          <w:sz w:val="23"/>
          <w:szCs w:val="23"/>
        </w:rPr>
      </w:pPr>
      <w:r>
        <w:rPr>
          <w:rFonts w:ascii="宋体" w:hAnsi="宋体" w:eastAsia="宋体" w:cs="宋体"/>
          <w:spacing w:val="16"/>
          <w:position w:val="17"/>
          <w:sz w:val="23"/>
          <w:szCs w:val="23"/>
        </w:rPr>
        <w:t>作用</w:t>
      </w:r>
      <w:r>
        <w:rPr>
          <w:rFonts w:ascii="宋体" w:hAnsi="宋体" w:eastAsia="宋体" w:cs="宋体"/>
          <w:spacing w:val="11"/>
          <w:position w:val="17"/>
          <w:sz w:val="23"/>
          <w:szCs w:val="23"/>
        </w:rPr>
        <w:t>迅</w:t>
      </w:r>
      <w:r>
        <w:rPr>
          <w:rFonts w:ascii="宋体" w:hAnsi="宋体" w:eastAsia="宋体" w:cs="宋体"/>
          <w:spacing w:val="8"/>
          <w:position w:val="17"/>
          <w:sz w:val="23"/>
          <w:szCs w:val="23"/>
        </w:rPr>
        <w:t>速</w:t>
      </w:r>
      <w:r>
        <w:rPr>
          <w:rFonts w:ascii="Times New Roman" w:hAnsi="Times New Roman" w:eastAsia="Times New Roman" w:cs="Times New Roman"/>
          <w:spacing w:val="8"/>
          <w:position w:val="17"/>
          <w:sz w:val="23"/>
          <w:szCs w:val="23"/>
        </w:rPr>
        <w:t xml:space="preserve">——5 </w:t>
      </w:r>
      <w:r>
        <w:rPr>
          <w:rFonts w:ascii="宋体" w:hAnsi="宋体" w:eastAsia="宋体" w:cs="宋体"/>
          <w:spacing w:val="8"/>
          <w:position w:val="17"/>
          <w:sz w:val="23"/>
          <w:szCs w:val="23"/>
        </w:rPr>
        <w:t>分钟内快速杀灭接触的所有病原微生物；</w:t>
      </w:r>
    </w:p>
    <w:p w14:paraId="0FA96DB2">
      <w:pPr>
        <w:spacing w:line="227" w:lineRule="auto"/>
        <w:ind w:left="489"/>
        <w:rPr>
          <w:rFonts w:ascii="宋体" w:hAnsi="宋体" w:eastAsia="宋体" w:cs="宋体"/>
          <w:sz w:val="23"/>
          <w:szCs w:val="23"/>
        </w:rPr>
      </w:pPr>
      <w:r>
        <w:rPr>
          <w:rFonts w:ascii="宋体" w:hAnsi="宋体" w:eastAsia="宋体" w:cs="宋体"/>
          <w:spacing w:val="5"/>
          <w:sz w:val="23"/>
          <w:szCs w:val="23"/>
        </w:rPr>
        <w:t>超级稳定</w:t>
      </w:r>
      <w:r>
        <w:rPr>
          <w:rFonts w:ascii="Times New Roman" w:hAnsi="Times New Roman" w:eastAsia="Times New Roman" w:cs="Times New Roman"/>
          <w:spacing w:val="5"/>
          <w:sz w:val="23"/>
          <w:szCs w:val="23"/>
        </w:rPr>
        <w:t>——</w:t>
      </w:r>
      <w:r>
        <w:rPr>
          <w:rFonts w:ascii="宋体" w:hAnsi="宋体" w:eastAsia="宋体" w:cs="宋体"/>
          <w:spacing w:val="5"/>
          <w:sz w:val="23"/>
          <w:szCs w:val="23"/>
        </w:rPr>
        <w:t xml:space="preserve">稀释液在 </w:t>
      </w:r>
      <w:r>
        <w:rPr>
          <w:rFonts w:ascii="Times New Roman" w:hAnsi="Times New Roman" w:eastAsia="Times New Roman" w:cs="Times New Roman"/>
          <w:spacing w:val="5"/>
          <w:sz w:val="23"/>
          <w:szCs w:val="23"/>
        </w:rPr>
        <w:t xml:space="preserve">14 </w:t>
      </w:r>
      <w:r>
        <w:rPr>
          <w:rFonts w:ascii="宋体" w:hAnsi="宋体" w:eastAsia="宋体" w:cs="宋体"/>
          <w:spacing w:val="5"/>
          <w:sz w:val="23"/>
          <w:szCs w:val="23"/>
        </w:rPr>
        <w:t>天内仍有效</w:t>
      </w:r>
      <w:r>
        <w:rPr>
          <w:rFonts w:ascii="宋体" w:hAnsi="宋体" w:eastAsia="宋体" w:cs="宋体"/>
          <w:spacing w:val="4"/>
          <w:sz w:val="23"/>
          <w:szCs w:val="23"/>
        </w:rPr>
        <w:t>。</w:t>
      </w:r>
    </w:p>
    <w:p w14:paraId="71E1F22B">
      <w:pPr>
        <w:spacing w:before="188" w:line="221" w:lineRule="auto"/>
        <w:ind w:left="7"/>
        <w:outlineLvl w:val="1"/>
        <w:rPr>
          <w:rFonts w:ascii="宋体" w:hAnsi="宋体" w:eastAsia="宋体" w:cs="宋体"/>
          <w:sz w:val="28"/>
          <w:szCs w:val="28"/>
        </w:rPr>
      </w:pPr>
      <w:bookmarkStart w:id="23" w:name="_bookmark24"/>
      <w:bookmarkEnd w:id="23"/>
      <w:r>
        <w:rPr>
          <w:rFonts w:ascii="Times New Roman" w:hAnsi="Times New Roman" w:eastAsia="Times New Roman" w:cs="Times New Roman"/>
          <w:b/>
          <w:bCs/>
          <w:spacing w:val="1"/>
          <w:sz w:val="28"/>
          <w:szCs w:val="28"/>
        </w:rPr>
        <w:t>2.</w:t>
      </w:r>
      <w:r>
        <w:rPr>
          <w:rFonts w:ascii="Times New Roman" w:hAnsi="Times New Roman" w:eastAsia="Times New Roman" w:cs="Times New Roman"/>
          <w:b/>
          <w:bCs/>
          <w:sz w:val="28"/>
          <w:szCs w:val="28"/>
        </w:rPr>
        <w:t>4</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公用工程及辅助工程</w:t>
      </w:r>
    </w:p>
    <w:p w14:paraId="041457C8">
      <w:pPr>
        <w:spacing w:before="205" w:line="227" w:lineRule="auto"/>
        <w:ind w:left="6"/>
        <w:outlineLvl w:val="2"/>
        <w:rPr>
          <w:rFonts w:ascii="宋体" w:hAnsi="宋体" w:eastAsia="宋体" w:cs="宋体"/>
          <w:sz w:val="23"/>
          <w:szCs w:val="23"/>
        </w:rPr>
      </w:pPr>
      <w:bookmarkStart w:id="24" w:name="_bookmark25"/>
      <w:bookmarkEnd w:id="24"/>
      <w:r>
        <w:rPr>
          <w:rFonts w:ascii="Times New Roman" w:hAnsi="Times New Roman" w:eastAsia="Times New Roman" w:cs="Times New Roman"/>
          <w:b/>
          <w:bCs/>
          <w:spacing w:val="11"/>
          <w:sz w:val="23"/>
          <w:szCs w:val="23"/>
        </w:rPr>
        <w:t>2</w:t>
      </w:r>
      <w:r>
        <w:rPr>
          <w:rFonts w:ascii="Times New Roman" w:hAnsi="Times New Roman" w:eastAsia="Times New Roman" w:cs="Times New Roman"/>
          <w:b/>
          <w:bCs/>
          <w:spacing w:val="6"/>
          <w:sz w:val="23"/>
          <w:szCs w:val="23"/>
        </w:rPr>
        <w:t>.4.1</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给排水工程</w:t>
      </w:r>
    </w:p>
    <w:p w14:paraId="1B784663">
      <w:pPr>
        <w:spacing w:before="182" w:line="227" w:lineRule="auto"/>
        <w:ind w:left="501"/>
        <w:rPr>
          <w:rFonts w:ascii="宋体" w:hAnsi="宋体" w:eastAsia="宋体" w:cs="宋体"/>
          <w:sz w:val="23"/>
          <w:szCs w:val="23"/>
        </w:rPr>
      </w:pPr>
      <w:r>
        <w:rPr>
          <w:rFonts w:ascii="宋体" w:hAnsi="宋体" w:eastAsia="宋体" w:cs="宋体"/>
          <w:spacing w:val="26"/>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3"/>
          <w:sz w:val="23"/>
          <w:szCs w:val="23"/>
        </w:rPr>
        <w:t>1</w:t>
      </w: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宋体" w:hAnsi="宋体" w:eastAsia="宋体" w:cs="宋体"/>
          <w:spacing w:val="23"/>
          <w:sz w:val="23"/>
          <w:szCs w:val="23"/>
        </w:rPr>
        <w:t xml:space="preserve"> </w:t>
      </w:r>
      <w:r>
        <w:rPr>
          <w:rFonts w:ascii="宋体" w:hAnsi="宋体" w:eastAsia="宋体" w:cs="宋体"/>
          <w:spacing w:val="23"/>
          <w:sz w:val="23"/>
          <w:szCs w:val="23"/>
          <w14:textOutline w14:w="4356" w14:cap="sq" w14:cmpd="sng" w14:algn="ctr">
            <w14:solidFill>
              <w14:srgbClr w14:val="000000"/>
            </w14:solidFill>
            <w14:prstDash w14:val="solid"/>
            <w14:bevel/>
          </w14:textOutline>
        </w:rPr>
        <w:t>给水</w:t>
      </w:r>
    </w:p>
    <w:p w14:paraId="7030F650">
      <w:pPr>
        <w:spacing w:before="184" w:line="375" w:lineRule="auto"/>
        <w:ind w:left="12" w:right="58" w:firstLine="481"/>
        <w:rPr>
          <w:rFonts w:ascii="宋体" w:hAnsi="宋体" w:eastAsia="宋体" w:cs="宋体"/>
          <w:sz w:val="23"/>
          <w:szCs w:val="23"/>
        </w:rPr>
      </w:pPr>
      <w:r>
        <w:rPr>
          <w:rFonts w:ascii="宋体" w:hAnsi="宋体" w:eastAsia="宋体" w:cs="宋体"/>
          <w:spacing w:val="6"/>
          <w:sz w:val="23"/>
          <w:szCs w:val="23"/>
        </w:rPr>
        <w:t>项目位于井研县</w:t>
      </w:r>
      <w:r>
        <w:rPr>
          <w:rFonts w:ascii="宋体" w:hAnsi="宋体" w:eastAsia="宋体" w:cs="宋体"/>
          <w:spacing w:val="4"/>
          <w:sz w:val="23"/>
          <w:szCs w:val="23"/>
        </w:rPr>
        <w:t>周</w:t>
      </w:r>
      <w:r>
        <w:rPr>
          <w:rFonts w:ascii="宋体" w:hAnsi="宋体" w:eastAsia="宋体" w:cs="宋体"/>
          <w:spacing w:val="3"/>
          <w:sz w:val="23"/>
          <w:szCs w:val="23"/>
        </w:rPr>
        <w:t xml:space="preserve">坡镇周坡村 </w:t>
      </w:r>
      <w:r>
        <w:rPr>
          <w:rFonts w:ascii="Times New Roman" w:hAnsi="Times New Roman" w:eastAsia="Times New Roman" w:cs="Times New Roman"/>
          <w:spacing w:val="3"/>
          <w:sz w:val="23"/>
          <w:szCs w:val="23"/>
        </w:rPr>
        <w:t xml:space="preserve">7 </w:t>
      </w:r>
      <w:r>
        <w:rPr>
          <w:rFonts w:ascii="宋体" w:hAnsi="宋体" w:eastAsia="宋体" w:cs="宋体"/>
          <w:spacing w:val="3"/>
          <w:sz w:val="23"/>
          <w:szCs w:val="23"/>
        </w:rPr>
        <w:t xml:space="preserve">组、龙桥村 </w:t>
      </w:r>
      <w:r>
        <w:rPr>
          <w:rFonts w:ascii="Times New Roman" w:hAnsi="Times New Roman" w:eastAsia="Times New Roman" w:cs="Times New Roman"/>
          <w:spacing w:val="3"/>
          <w:sz w:val="23"/>
          <w:szCs w:val="23"/>
        </w:rPr>
        <w:t xml:space="preserve">2 </w:t>
      </w:r>
      <w:r>
        <w:rPr>
          <w:rFonts w:ascii="宋体" w:hAnsi="宋体" w:eastAsia="宋体" w:cs="宋体"/>
          <w:spacing w:val="3"/>
          <w:sz w:val="23"/>
          <w:szCs w:val="23"/>
        </w:rPr>
        <w:t>组，当地为农村环境，无市政给水网。项</w:t>
      </w:r>
      <w:r>
        <w:rPr>
          <w:rFonts w:ascii="宋体" w:hAnsi="宋体" w:eastAsia="宋体" w:cs="宋体"/>
          <w:sz w:val="23"/>
          <w:szCs w:val="23"/>
        </w:rPr>
        <w:t xml:space="preserve"> </w:t>
      </w:r>
      <w:r>
        <w:rPr>
          <w:rFonts w:ascii="宋体" w:hAnsi="宋体" w:eastAsia="宋体" w:cs="宋体"/>
          <w:spacing w:val="12"/>
          <w:sz w:val="23"/>
          <w:szCs w:val="23"/>
        </w:rPr>
        <w:t>目</w:t>
      </w:r>
      <w:r>
        <w:rPr>
          <w:rFonts w:ascii="宋体" w:hAnsi="宋体" w:eastAsia="宋体" w:cs="宋体"/>
          <w:spacing w:val="7"/>
          <w:sz w:val="23"/>
          <w:szCs w:val="23"/>
        </w:rPr>
        <w:t>用水主要包括猪只饮用水、猪舍冲洗用水、职工生活用水、水帘降温系统用水、绿化及未</w:t>
      </w:r>
      <w:r>
        <w:rPr>
          <w:rFonts w:ascii="宋体" w:hAnsi="宋体" w:eastAsia="宋体" w:cs="宋体"/>
          <w:sz w:val="23"/>
          <w:szCs w:val="23"/>
        </w:rPr>
        <w:t xml:space="preserve"> </w:t>
      </w:r>
      <w:r>
        <w:rPr>
          <w:rFonts w:ascii="宋体" w:hAnsi="宋体" w:eastAsia="宋体" w:cs="宋体"/>
          <w:spacing w:val="2"/>
          <w:sz w:val="23"/>
          <w:szCs w:val="23"/>
        </w:rPr>
        <w:t>预见用水等，</w:t>
      </w:r>
      <w:r>
        <w:rPr>
          <w:rFonts w:ascii="宋体" w:hAnsi="宋体" w:eastAsia="宋体" w:cs="宋体"/>
          <w:spacing w:val="1"/>
          <w:sz w:val="23"/>
          <w:szCs w:val="23"/>
        </w:rPr>
        <w:t xml:space="preserve">取自项目场区外东侧约 </w:t>
      </w:r>
      <w:r>
        <w:rPr>
          <w:rFonts w:ascii="Times New Roman" w:hAnsi="Times New Roman" w:eastAsia="Times New Roman" w:cs="Times New Roman"/>
          <w:spacing w:val="1"/>
          <w:sz w:val="23"/>
          <w:szCs w:val="23"/>
        </w:rPr>
        <w:t>300</w:t>
      </w:r>
      <w:r>
        <w:rPr>
          <w:rFonts w:ascii="Times New Roman" w:hAnsi="Times New Roman" w:eastAsia="Times New Roman" w:cs="Times New Roman"/>
          <w:sz w:val="23"/>
          <w:szCs w:val="23"/>
        </w:rPr>
        <w:t>m</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处的深水井 (</w:t>
      </w:r>
      <w:r>
        <w:rPr>
          <w:rFonts w:ascii="Times New Roman" w:hAnsi="Times New Roman" w:eastAsia="Times New Roman" w:cs="Times New Roman"/>
          <w:spacing w:val="1"/>
          <w:sz w:val="23"/>
          <w:szCs w:val="23"/>
        </w:rPr>
        <w:t xml:space="preserve">1 </w:t>
      </w:r>
      <w:r>
        <w:rPr>
          <w:rFonts w:ascii="宋体" w:hAnsi="宋体" w:eastAsia="宋体" w:cs="宋体"/>
          <w:spacing w:val="1"/>
          <w:sz w:val="23"/>
          <w:szCs w:val="23"/>
        </w:rPr>
        <w:t xml:space="preserve">口、直径 </w:t>
      </w:r>
      <w:r>
        <w:rPr>
          <w:rFonts w:ascii="Times New Roman" w:hAnsi="Times New Roman" w:eastAsia="Times New Roman" w:cs="Times New Roman"/>
          <w:spacing w:val="1"/>
          <w:sz w:val="23"/>
          <w:szCs w:val="23"/>
        </w:rPr>
        <w:t>80</w:t>
      </w:r>
      <w:r>
        <w:rPr>
          <w:rFonts w:ascii="Times New Roman" w:hAnsi="Times New Roman" w:eastAsia="Times New Roman" w:cs="Times New Roman"/>
          <w:sz w:val="23"/>
          <w:szCs w:val="23"/>
        </w:rPr>
        <w:t>cm</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 xml:space="preserve">、深 </w:t>
      </w:r>
      <w:r>
        <w:rPr>
          <w:rFonts w:ascii="Times New Roman" w:hAnsi="Times New Roman" w:eastAsia="Times New Roman" w:cs="Times New Roman"/>
          <w:spacing w:val="1"/>
          <w:sz w:val="23"/>
          <w:szCs w:val="23"/>
        </w:rPr>
        <w:t>90</w:t>
      </w:r>
      <w:r>
        <w:rPr>
          <w:rFonts w:ascii="Times New Roman" w:hAnsi="Times New Roman" w:eastAsia="Times New Roman" w:cs="Times New Roman"/>
          <w:sz w:val="23"/>
          <w:szCs w:val="23"/>
        </w:rPr>
        <w:t>m</w:t>
      </w:r>
      <w:r>
        <w:rPr>
          <w:rFonts w:ascii="宋体" w:hAnsi="宋体" w:eastAsia="宋体" w:cs="宋体"/>
          <w:spacing w:val="1"/>
          <w:sz w:val="23"/>
          <w:szCs w:val="23"/>
        </w:rPr>
        <w:t>) ，通过</w:t>
      </w:r>
      <w:r>
        <w:rPr>
          <w:rFonts w:ascii="宋体" w:hAnsi="宋体" w:eastAsia="宋体" w:cs="宋体"/>
          <w:sz w:val="23"/>
          <w:szCs w:val="23"/>
        </w:rPr>
        <w:t xml:space="preserve"> </w:t>
      </w:r>
      <w:r>
        <w:rPr>
          <w:rFonts w:ascii="宋体" w:hAnsi="宋体" w:eastAsia="宋体" w:cs="宋体"/>
          <w:spacing w:val="12"/>
          <w:sz w:val="23"/>
          <w:szCs w:val="23"/>
        </w:rPr>
        <w:t>水泵抽至</w:t>
      </w:r>
      <w:r>
        <w:rPr>
          <w:rFonts w:ascii="宋体" w:hAnsi="宋体" w:eastAsia="宋体" w:cs="宋体"/>
          <w:spacing w:val="9"/>
          <w:sz w:val="23"/>
          <w:szCs w:val="23"/>
        </w:rPr>
        <w:t>场</w:t>
      </w:r>
      <w:r>
        <w:rPr>
          <w:rFonts w:ascii="宋体" w:hAnsi="宋体" w:eastAsia="宋体" w:cs="宋体"/>
          <w:spacing w:val="6"/>
          <w:sz w:val="23"/>
          <w:szCs w:val="23"/>
        </w:rPr>
        <w:t xml:space="preserve">区内东南侧 </w:t>
      </w:r>
      <w:r>
        <w:rPr>
          <w:rFonts w:ascii="Times New Roman" w:hAnsi="Times New Roman" w:eastAsia="Times New Roman" w:cs="Times New Roman"/>
          <w:spacing w:val="6"/>
          <w:sz w:val="23"/>
          <w:szCs w:val="23"/>
        </w:rPr>
        <w:t>300</w:t>
      </w:r>
      <w:r>
        <w:rPr>
          <w:rFonts w:ascii="Times New Roman" w:hAnsi="Times New Roman" w:eastAsia="Times New Roman" w:cs="Times New Roman"/>
          <w:sz w:val="23"/>
          <w:szCs w:val="23"/>
        </w:rPr>
        <w:t>m</w:t>
      </w:r>
      <w:r>
        <w:rPr>
          <w:rFonts w:ascii="Times New Roman" w:hAnsi="Times New Roman" w:eastAsia="Times New Roman" w:cs="Times New Roman"/>
          <w:spacing w:val="6"/>
          <w:position w:val="8"/>
          <w:sz w:val="15"/>
          <w:szCs w:val="15"/>
        </w:rPr>
        <w:t xml:space="preserve">3 </w:t>
      </w:r>
      <w:r>
        <w:rPr>
          <w:rFonts w:ascii="宋体" w:hAnsi="宋体" w:eastAsia="宋体" w:cs="宋体"/>
          <w:spacing w:val="6"/>
          <w:sz w:val="23"/>
          <w:szCs w:val="23"/>
        </w:rPr>
        <w:t>蓄水池备用，能满足本项目持续供水需求。</w:t>
      </w:r>
    </w:p>
    <w:p w14:paraId="21665DAA">
      <w:pPr>
        <w:spacing w:line="227" w:lineRule="auto"/>
        <w:ind w:left="441"/>
        <w:rPr>
          <w:rFonts w:ascii="宋体" w:hAnsi="宋体" w:eastAsia="宋体" w:cs="宋体"/>
          <w:sz w:val="23"/>
          <w:szCs w:val="23"/>
        </w:rPr>
      </w:pPr>
      <w:r>
        <w:rPr>
          <w:rFonts w:ascii="宋体" w:hAnsi="宋体" w:eastAsia="宋体" w:cs="宋体"/>
          <w:spacing w:val="24"/>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3"/>
          <w:sz w:val="23"/>
          <w:szCs w:val="23"/>
        </w:rPr>
        <w:t>2</w:t>
      </w: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宋体" w:hAnsi="宋体" w:eastAsia="宋体" w:cs="宋体"/>
          <w:spacing w:val="23"/>
          <w:sz w:val="23"/>
          <w:szCs w:val="23"/>
        </w:rPr>
        <w:t xml:space="preserve"> </w:t>
      </w:r>
      <w:r>
        <w:rPr>
          <w:rFonts w:ascii="宋体" w:hAnsi="宋体" w:eastAsia="宋体" w:cs="宋体"/>
          <w:spacing w:val="23"/>
          <w:sz w:val="23"/>
          <w:szCs w:val="23"/>
          <w14:textOutline w14:w="4356" w14:cap="sq" w14:cmpd="sng" w14:algn="ctr">
            <w14:solidFill>
              <w14:srgbClr w14:val="000000"/>
            </w14:solidFill>
            <w14:prstDash w14:val="solid"/>
            <w14:bevel/>
          </w14:textOutline>
        </w:rPr>
        <w:t>排水</w:t>
      </w:r>
    </w:p>
    <w:p w14:paraId="6F240D4F">
      <w:pPr>
        <w:tabs>
          <w:tab w:val="left" w:pos="136"/>
        </w:tabs>
        <w:spacing w:before="186" w:line="374" w:lineRule="auto"/>
        <w:ind w:left="9" w:firstLine="484"/>
        <w:rPr>
          <w:rFonts w:ascii="宋体" w:hAnsi="宋体" w:eastAsia="宋体" w:cs="宋体"/>
          <w:sz w:val="23"/>
          <w:szCs w:val="23"/>
        </w:rPr>
      </w:pPr>
      <w:r>
        <w:rPr>
          <w:rFonts w:ascii="宋体" w:hAnsi="宋体" w:eastAsia="宋体" w:cs="宋体"/>
          <w:spacing w:val="7"/>
          <w:sz w:val="23"/>
          <w:szCs w:val="23"/>
        </w:rPr>
        <w:t>项目厂区排水实行雨污分流，建立独立的雨水收集管网系统和污水收集管网系统，净</w:t>
      </w:r>
      <w:r>
        <w:rPr>
          <w:rFonts w:ascii="宋体" w:hAnsi="宋体" w:eastAsia="宋体" w:cs="宋体"/>
          <w:spacing w:val="4"/>
          <w:sz w:val="23"/>
          <w:szCs w:val="23"/>
        </w:rPr>
        <w:t>区</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4"/>
          <w:sz w:val="23"/>
          <w:szCs w:val="23"/>
        </w:rPr>
        <w:t>(办公生活区) 雨水经</w:t>
      </w:r>
      <w:r>
        <w:rPr>
          <w:rFonts w:ascii="宋体" w:hAnsi="宋体" w:eastAsia="宋体" w:cs="宋体"/>
          <w:spacing w:val="2"/>
          <w:sz w:val="23"/>
          <w:szCs w:val="23"/>
        </w:rPr>
        <w:t>雨水沟就近排入季节性山洪沟，污区 (养殖区) 设置初期雨水收集池，</w:t>
      </w:r>
      <w:r>
        <w:rPr>
          <w:rFonts w:ascii="宋体" w:hAnsi="宋体" w:eastAsia="宋体" w:cs="宋体"/>
          <w:sz w:val="23"/>
          <w:szCs w:val="23"/>
        </w:rPr>
        <w:t xml:space="preserve"> </w:t>
      </w:r>
      <w:r>
        <w:rPr>
          <w:rFonts w:ascii="宋体" w:hAnsi="宋体" w:eastAsia="宋体" w:cs="宋体"/>
          <w:spacing w:val="16"/>
          <w:sz w:val="23"/>
          <w:szCs w:val="23"/>
        </w:rPr>
        <w:t>初期雨</w:t>
      </w:r>
      <w:r>
        <w:rPr>
          <w:rFonts w:ascii="宋体" w:hAnsi="宋体" w:eastAsia="宋体" w:cs="宋体"/>
          <w:spacing w:val="15"/>
          <w:sz w:val="23"/>
          <w:szCs w:val="23"/>
        </w:rPr>
        <w:t>水</w:t>
      </w:r>
      <w:r>
        <w:rPr>
          <w:rFonts w:ascii="宋体" w:hAnsi="宋体" w:eastAsia="宋体" w:cs="宋体"/>
          <w:spacing w:val="8"/>
          <w:sz w:val="23"/>
          <w:szCs w:val="23"/>
        </w:rPr>
        <w:t>经简单沉淀处理后用于场内绿化用水，不外排，后期雨水就近排入季节性山洪沟。</w:t>
      </w:r>
    </w:p>
    <w:p w14:paraId="551F85A3">
      <w:pPr>
        <w:spacing w:before="6" w:line="374" w:lineRule="auto"/>
        <w:ind w:left="11" w:right="63" w:firstLine="486"/>
        <w:rPr>
          <w:rFonts w:ascii="宋体" w:hAnsi="宋体" w:eastAsia="宋体" w:cs="宋体"/>
          <w:sz w:val="23"/>
          <w:szCs w:val="23"/>
        </w:rPr>
      </w:pPr>
      <w:r>
        <w:rPr>
          <w:rFonts w:ascii="宋体" w:hAnsi="宋体" w:eastAsia="宋体" w:cs="宋体"/>
          <w:spacing w:val="12"/>
          <w:sz w:val="23"/>
          <w:szCs w:val="23"/>
        </w:rPr>
        <w:t>营运期</w:t>
      </w:r>
      <w:r>
        <w:rPr>
          <w:rFonts w:ascii="宋体" w:hAnsi="宋体" w:eastAsia="宋体" w:cs="宋体"/>
          <w:spacing w:val="7"/>
          <w:sz w:val="23"/>
          <w:szCs w:val="23"/>
        </w:rPr>
        <w:t>废</w:t>
      </w:r>
      <w:r>
        <w:rPr>
          <w:rFonts w:ascii="宋体" w:hAnsi="宋体" w:eastAsia="宋体" w:cs="宋体"/>
          <w:spacing w:val="6"/>
          <w:sz w:val="23"/>
          <w:szCs w:val="23"/>
        </w:rPr>
        <w:t>水主要为养殖废水 (猪只尿液和猪舍冲洗废水等) 和生活污水。生活污水经化</w:t>
      </w:r>
      <w:r>
        <w:rPr>
          <w:rFonts w:ascii="宋体" w:hAnsi="宋体" w:eastAsia="宋体" w:cs="宋体"/>
          <w:sz w:val="23"/>
          <w:szCs w:val="23"/>
        </w:rPr>
        <w:t xml:space="preserve"> </w:t>
      </w:r>
      <w:r>
        <w:rPr>
          <w:rFonts w:ascii="宋体" w:hAnsi="宋体" w:eastAsia="宋体" w:cs="宋体"/>
          <w:spacing w:val="13"/>
          <w:sz w:val="23"/>
          <w:szCs w:val="23"/>
        </w:rPr>
        <w:t>粪</w:t>
      </w:r>
      <w:r>
        <w:rPr>
          <w:rFonts w:ascii="宋体" w:hAnsi="宋体" w:eastAsia="宋体" w:cs="宋体"/>
          <w:spacing w:val="7"/>
          <w:sz w:val="23"/>
          <w:szCs w:val="23"/>
        </w:rPr>
        <w:t>池收集后用作建设单位自家林地农灌；养殖废水每日运输至乐山乐高勤力生物质能源综合</w:t>
      </w:r>
      <w:r>
        <w:rPr>
          <w:rFonts w:ascii="宋体" w:hAnsi="宋体" w:eastAsia="宋体" w:cs="宋体"/>
          <w:sz w:val="23"/>
          <w:szCs w:val="23"/>
        </w:rPr>
        <w:t xml:space="preserve"> </w:t>
      </w:r>
      <w:r>
        <w:rPr>
          <w:rFonts w:ascii="宋体" w:hAnsi="宋体" w:eastAsia="宋体" w:cs="宋体"/>
          <w:spacing w:val="10"/>
          <w:sz w:val="23"/>
          <w:szCs w:val="23"/>
        </w:rPr>
        <w:t>利</w:t>
      </w:r>
      <w:r>
        <w:rPr>
          <w:rFonts w:ascii="宋体" w:hAnsi="宋体" w:eastAsia="宋体" w:cs="宋体"/>
          <w:spacing w:val="5"/>
          <w:sz w:val="23"/>
          <w:szCs w:val="23"/>
        </w:rPr>
        <w:t xml:space="preserve">用有限公司集中处置， 日产日清，同时，厂区还配套建设有一 </w:t>
      </w:r>
      <w:r>
        <w:rPr>
          <w:rFonts w:ascii="Times New Roman" w:hAnsi="Times New Roman" w:eastAsia="Times New Roman" w:cs="Times New Roman"/>
          <w:spacing w:val="5"/>
          <w:sz w:val="23"/>
          <w:szCs w:val="23"/>
        </w:rPr>
        <w:t>1600</w:t>
      </w:r>
      <w:r>
        <w:rPr>
          <w:rFonts w:ascii="Times New Roman" w:hAnsi="Times New Roman" w:eastAsia="Times New Roman" w:cs="Times New Roman"/>
          <w:sz w:val="23"/>
          <w:szCs w:val="23"/>
        </w:rPr>
        <w:t>m</w:t>
      </w:r>
      <w:r>
        <w:rPr>
          <w:rFonts w:ascii="Times New Roman" w:hAnsi="Times New Roman" w:eastAsia="Times New Roman" w:cs="Times New Roman"/>
          <w:spacing w:val="5"/>
          <w:position w:val="7"/>
          <w:sz w:val="15"/>
          <w:szCs w:val="15"/>
        </w:rPr>
        <w:t xml:space="preserve">2 </w:t>
      </w:r>
      <w:r>
        <w:rPr>
          <w:rFonts w:ascii="宋体" w:hAnsi="宋体" w:eastAsia="宋体" w:cs="宋体"/>
          <w:spacing w:val="5"/>
          <w:sz w:val="23"/>
          <w:szCs w:val="23"/>
        </w:rPr>
        <w:t>的发酵床备用，若</w:t>
      </w:r>
      <w:r>
        <w:rPr>
          <w:rFonts w:ascii="宋体" w:hAnsi="宋体" w:eastAsia="宋体" w:cs="宋体"/>
          <w:sz w:val="23"/>
          <w:szCs w:val="23"/>
        </w:rPr>
        <w:t xml:space="preserve"> </w:t>
      </w:r>
      <w:r>
        <w:rPr>
          <w:rFonts w:ascii="宋体" w:hAnsi="宋体" w:eastAsia="宋体" w:cs="宋体"/>
          <w:spacing w:val="13"/>
          <w:sz w:val="23"/>
          <w:szCs w:val="23"/>
        </w:rPr>
        <w:t>后</w:t>
      </w:r>
      <w:r>
        <w:rPr>
          <w:rFonts w:ascii="宋体" w:hAnsi="宋体" w:eastAsia="宋体" w:cs="宋体"/>
          <w:spacing w:val="7"/>
          <w:sz w:val="23"/>
          <w:szCs w:val="23"/>
        </w:rPr>
        <w:t>期乐山乐高勤力生物质能源综合利用有限公司不再回收厂区内的养殖废水，可将通过异位</w:t>
      </w:r>
      <w:r>
        <w:rPr>
          <w:rFonts w:ascii="宋体" w:hAnsi="宋体" w:eastAsia="宋体" w:cs="宋体"/>
          <w:sz w:val="23"/>
          <w:szCs w:val="23"/>
        </w:rPr>
        <w:t xml:space="preserve"> </w:t>
      </w:r>
      <w:r>
        <w:rPr>
          <w:rFonts w:ascii="宋体" w:hAnsi="宋体" w:eastAsia="宋体" w:cs="宋体"/>
          <w:spacing w:val="9"/>
          <w:sz w:val="23"/>
          <w:szCs w:val="23"/>
        </w:rPr>
        <w:t>发酵床自行处置，处理产生的有机肥外售处理。</w:t>
      </w:r>
    </w:p>
    <w:p w14:paraId="35569475">
      <w:pPr>
        <w:spacing w:before="1" w:line="374" w:lineRule="auto"/>
        <w:ind w:left="11" w:right="63" w:firstLine="482"/>
        <w:rPr>
          <w:rFonts w:ascii="宋体" w:hAnsi="宋体" w:eastAsia="宋体" w:cs="宋体"/>
          <w:sz w:val="23"/>
          <w:szCs w:val="23"/>
        </w:rPr>
      </w:pPr>
      <w:r>
        <w:rPr>
          <w:rFonts w:ascii="宋体" w:hAnsi="宋体" w:eastAsia="宋体" w:cs="宋体"/>
          <w:spacing w:val="7"/>
          <w:sz w:val="23"/>
          <w:szCs w:val="23"/>
        </w:rPr>
        <w:t>项目在厂区建设一套异位微生物发酵床系统，备用处理项目营运过程中产生的粪便及</w:t>
      </w:r>
      <w:r>
        <w:rPr>
          <w:rFonts w:ascii="宋体" w:hAnsi="宋体" w:eastAsia="宋体" w:cs="宋体"/>
          <w:spacing w:val="4"/>
          <w:sz w:val="23"/>
          <w:szCs w:val="23"/>
        </w:rPr>
        <w:t>养</w:t>
      </w:r>
      <w:r>
        <w:rPr>
          <w:rFonts w:ascii="宋体" w:hAnsi="宋体" w:eastAsia="宋体" w:cs="宋体"/>
          <w:sz w:val="23"/>
          <w:szCs w:val="23"/>
        </w:rPr>
        <w:t xml:space="preserve"> </w:t>
      </w:r>
      <w:r>
        <w:rPr>
          <w:rFonts w:ascii="宋体" w:hAnsi="宋体" w:eastAsia="宋体" w:cs="宋体"/>
          <w:spacing w:val="14"/>
          <w:sz w:val="23"/>
          <w:szCs w:val="23"/>
        </w:rPr>
        <w:t>殖废水，</w:t>
      </w:r>
      <w:r>
        <w:rPr>
          <w:rFonts w:ascii="宋体" w:hAnsi="宋体" w:eastAsia="宋体" w:cs="宋体"/>
          <w:spacing w:val="8"/>
          <w:sz w:val="23"/>
          <w:szCs w:val="23"/>
        </w:rPr>
        <w:t>其</w:t>
      </w:r>
      <w:r>
        <w:rPr>
          <w:rFonts w:ascii="宋体" w:hAnsi="宋体" w:eastAsia="宋体" w:cs="宋体"/>
          <w:spacing w:val="7"/>
          <w:sz w:val="23"/>
          <w:szCs w:val="23"/>
        </w:rPr>
        <w:t>基本的工艺流程为：废水</w:t>
      </w:r>
      <w:r>
        <w:rPr>
          <w:rFonts w:ascii="Times New Roman" w:hAnsi="Times New Roman" w:eastAsia="Times New Roman" w:cs="Times New Roman"/>
          <w:spacing w:val="7"/>
          <w:sz w:val="23"/>
          <w:szCs w:val="23"/>
        </w:rPr>
        <w:t>→</w:t>
      </w:r>
      <w:r>
        <w:rPr>
          <w:rFonts w:ascii="宋体" w:hAnsi="宋体" w:eastAsia="宋体" w:cs="宋体"/>
          <w:spacing w:val="7"/>
          <w:sz w:val="23"/>
          <w:szCs w:val="23"/>
        </w:rPr>
        <w:t>集污池</w:t>
      </w:r>
      <w:r>
        <w:rPr>
          <w:rFonts w:ascii="Times New Roman" w:hAnsi="Times New Roman" w:eastAsia="Times New Roman" w:cs="Times New Roman"/>
          <w:spacing w:val="7"/>
          <w:sz w:val="23"/>
          <w:szCs w:val="23"/>
        </w:rPr>
        <w:t>→</w:t>
      </w:r>
      <w:r>
        <w:rPr>
          <w:rFonts w:ascii="宋体" w:hAnsi="宋体" w:eastAsia="宋体" w:cs="宋体"/>
          <w:spacing w:val="7"/>
          <w:sz w:val="23"/>
          <w:szCs w:val="23"/>
        </w:rPr>
        <w:t>异位微生物发酵系统</w:t>
      </w:r>
      <w:r>
        <w:rPr>
          <w:rFonts w:ascii="Times New Roman" w:hAnsi="Times New Roman" w:eastAsia="Times New Roman" w:cs="Times New Roman"/>
          <w:spacing w:val="7"/>
          <w:sz w:val="23"/>
          <w:szCs w:val="23"/>
        </w:rPr>
        <w:t>→</w:t>
      </w:r>
      <w:r>
        <w:rPr>
          <w:rFonts w:ascii="宋体" w:hAnsi="宋体" w:eastAsia="宋体" w:cs="宋体"/>
          <w:spacing w:val="7"/>
          <w:sz w:val="23"/>
          <w:szCs w:val="23"/>
        </w:rPr>
        <w:t>有机肥</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外售。</w:t>
      </w:r>
    </w:p>
    <w:p w14:paraId="558A28F7">
      <w:pPr>
        <w:spacing w:before="1" w:line="377" w:lineRule="auto"/>
        <w:ind w:left="9" w:right="18" w:firstLine="481"/>
        <w:rPr>
          <w:rFonts w:ascii="宋体" w:hAnsi="宋体" w:eastAsia="宋体" w:cs="宋体"/>
          <w:sz w:val="23"/>
          <w:szCs w:val="23"/>
        </w:rPr>
      </w:pPr>
      <w:r>
        <w:rPr>
          <w:rFonts w:ascii="宋体" w:hAnsi="宋体" w:eastAsia="宋体" w:cs="宋体"/>
          <w:spacing w:val="15"/>
          <w:sz w:val="23"/>
          <w:szCs w:val="23"/>
        </w:rPr>
        <w:t>养</w:t>
      </w:r>
      <w:r>
        <w:rPr>
          <w:rFonts w:ascii="宋体" w:hAnsi="宋体" w:eastAsia="宋体" w:cs="宋体"/>
          <w:spacing w:val="8"/>
          <w:sz w:val="23"/>
          <w:szCs w:val="23"/>
        </w:rPr>
        <w:t>殖区的猪粪通过机械清理出来，猪尿液等经专门的密闭排水管道引至厂区的集污池，</w:t>
      </w:r>
      <w:r>
        <w:rPr>
          <w:rFonts w:ascii="宋体" w:hAnsi="宋体" w:eastAsia="宋体" w:cs="宋体"/>
          <w:sz w:val="23"/>
          <w:szCs w:val="23"/>
        </w:rPr>
        <w:t xml:space="preserve"> </w:t>
      </w:r>
      <w:r>
        <w:rPr>
          <w:rFonts w:ascii="宋体" w:hAnsi="宋体" w:eastAsia="宋体" w:cs="宋体"/>
          <w:spacing w:val="14"/>
          <w:sz w:val="23"/>
          <w:szCs w:val="23"/>
        </w:rPr>
        <w:t>利</w:t>
      </w:r>
      <w:r>
        <w:rPr>
          <w:rFonts w:ascii="宋体" w:hAnsi="宋体" w:eastAsia="宋体" w:cs="宋体"/>
          <w:spacing w:val="8"/>
          <w:sz w:val="23"/>
          <w:szCs w:val="23"/>
        </w:rPr>
        <w:t>用</w:t>
      </w:r>
      <w:r>
        <w:rPr>
          <w:rFonts w:ascii="宋体" w:hAnsi="宋体" w:eastAsia="宋体" w:cs="宋体"/>
          <w:spacing w:val="7"/>
          <w:sz w:val="23"/>
          <w:szCs w:val="23"/>
        </w:rPr>
        <w:t>切割泵和搅拌机，确保粪污通过自动喷淋装置能均匀地喷淋在由异位发酵床专用菌种与</w:t>
      </w:r>
      <w:r>
        <w:rPr>
          <w:rFonts w:ascii="宋体" w:hAnsi="宋体" w:eastAsia="宋体" w:cs="宋体"/>
          <w:sz w:val="23"/>
          <w:szCs w:val="23"/>
        </w:rPr>
        <w:t xml:space="preserve"> </w:t>
      </w:r>
      <w:r>
        <w:rPr>
          <w:rFonts w:ascii="宋体" w:hAnsi="宋体" w:eastAsia="宋体" w:cs="宋体"/>
          <w:spacing w:val="14"/>
          <w:sz w:val="23"/>
          <w:szCs w:val="23"/>
        </w:rPr>
        <w:t>垫</w:t>
      </w:r>
      <w:r>
        <w:rPr>
          <w:rFonts w:ascii="宋体" w:hAnsi="宋体" w:eastAsia="宋体" w:cs="宋体"/>
          <w:spacing w:val="8"/>
          <w:sz w:val="23"/>
          <w:szCs w:val="23"/>
        </w:rPr>
        <w:t>料</w:t>
      </w:r>
      <w:r>
        <w:rPr>
          <w:rFonts w:ascii="宋体" w:hAnsi="宋体" w:eastAsia="宋体" w:cs="宋体"/>
          <w:spacing w:val="7"/>
          <w:sz w:val="23"/>
          <w:szCs w:val="23"/>
        </w:rPr>
        <w:t>组成的发酵床上，利用翻抛机使猪粪、尿和垫料充分混合。在适宜的温度、湿度、碳氮</w:t>
      </w:r>
      <w:r>
        <w:rPr>
          <w:rFonts w:ascii="宋体" w:hAnsi="宋体" w:eastAsia="宋体" w:cs="宋体"/>
          <w:sz w:val="23"/>
          <w:szCs w:val="23"/>
        </w:rPr>
        <w:t xml:space="preserve"> </w:t>
      </w:r>
      <w:r>
        <w:rPr>
          <w:rFonts w:ascii="宋体" w:hAnsi="宋体" w:eastAsia="宋体" w:cs="宋体"/>
          <w:spacing w:val="14"/>
          <w:sz w:val="23"/>
          <w:szCs w:val="23"/>
        </w:rPr>
        <w:t>比</w:t>
      </w:r>
      <w:r>
        <w:rPr>
          <w:rFonts w:ascii="宋体" w:hAnsi="宋体" w:eastAsia="宋体" w:cs="宋体"/>
          <w:spacing w:val="8"/>
          <w:sz w:val="23"/>
          <w:szCs w:val="23"/>
        </w:rPr>
        <w:t>及</w:t>
      </w:r>
      <w:r>
        <w:rPr>
          <w:rFonts w:ascii="宋体" w:hAnsi="宋体" w:eastAsia="宋体" w:cs="宋体"/>
          <w:spacing w:val="7"/>
          <w:sz w:val="23"/>
          <w:szCs w:val="23"/>
        </w:rPr>
        <w:t>有氧的条件下，利用在垫料中生长繁殖的发酵菌，使粪污中的有机物质得到充分的分解</w:t>
      </w:r>
      <w:r>
        <w:rPr>
          <w:rFonts w:ascii="宋体" w:hAnsi="宋体" w:eastAsia="宋体" w:cs="宋体"/>
          <w:sz w:val="23"/>
          <w:szCs w:val="23"/>
        </w:rPr>
        <w:t xml:space="preserve"> </w:t>
      </w:r>
      <w:r>
        <w:rPr>
          <w:rFonts w:ascii="宋体" w:hAnsi="宋体" w:eastAsia="宋体" w:cs="宋体"/>
          <w:spacing w:val="14"/>
          <w:sz w:val="23"/>
          <w:szCs w:val="23"/>
        </w:rPr>
        <w:t>和</w:t>
      </w:r>
      <w:r>
        <w:rPr>
          <w:rFonts w:ascii="宋体" w:hAnsi="宋体" w:eastAsia="宋体" w:cs="宋体"/>
          <w:spacing w:val="8"/>
          <w:sz w:val="23"/>
          <w:szCs w:val="23"/>
        </w:rPr>
        <w:t>转</w:t>
      </w:r>
      <w:r>
        <w:rPr>
          <w:rFonts w:ascii="宋体" w:hAnsi="宋体" w:eastAsia="宋体" w:cs="宋体"/>
          <w:spacing w:val="7"/>
          <w:sz w:val="23"/>
          <w:szCs w:val="23"/>
        </w:rPr>
        <w:t>化，从而降解、消化粪污。在此过程中，粪污中水分大部分蒸发，未能降解的残留有机</w:t>
      </w:r>
      <w:r>
        <w:rPr>
          <w:rFonts w:ascii="宋体" w:hAnsi="宋体" w:eastAsia="宋体" w:cs="宋体"/>
          <w:sz w:val="23"/>
          <w:szCs w:val="23"/>
        </w:rPr>
        <w:t xml:space="preserve"> </w:t>
      </w:r>
      <w:r>
        <w:rPr>
          <w:rFonts w:ascii="宋体" w:hAnsi="宋体" w:eastAsia="宋体" w:cs="宋体"/>
          <w:spacing w:val="14"/>
          <w:sz w:val="23"/>
          <w:szCs w:val="23"/>
        </w:rPr>
        <w:t>物</w:t>
      </w:r>
      <w:r>
        <w:rPr>
          <w:rFonts w:ascii="宋体" w:hAnsi="宋体" w:eastAsia="宋体" w:cs="宋体"/>
          <w:spacing w:val="8"/>
          <w:sz w:val="23"/>
          <w:szCs w:val="23"/>
        </w:rPr>
        <w:t>部</w:t>
      </w:r>
      <w:r>
        <w:rPr>
          <w:rFonts w:ascii="宋体" w:hAnsi="宋体" w:eastAsia="宋体" w:cs="宋体"/>
          <w:spacing w:val="7"/>
          <w:sz w:val="23"/>
          <w:szCs w:val="23"/>
        </w:rPr>
        <w:t>分转化为腐殖质，粪污中病原体也在长时间的高温环境中失活，达到养殖场无污水排放</w:t>
      </w:r>
      <w:r>
        <w:rPr>
          <w:rFonts w:ascii="宋体" w:hAnsi="宋体" w:eastAsia="宋体" w:cs="宋体"/>
          <w:sz w:val="23"/>
          <w:szCs w:val="23"/>
        </w:rPr>
        <w:t xml:space="preserve"> </w:t>
      </w:r>
      <w:r>
        <w:rPr>
          <w:rFonts w:ascii="宋体" w:hAnsi="宋体" w:eastAsia="宋体" w:cs="宋体"/>
          <w:spacing w:val="16"/>
          <w:sz w:val="23"/>
          <w:szCs w:val="23"/>
        </w:rPr>
        <w:t>及</w:t>
      </w:r>
      <w:r>
        <w:rPr>
          <w:rFonts w:ascii="宋体" w:hAnsi="宋体" w:eastAsia="宋体" w:cs="宋体"/>
          <w:spacing w:val="9"/>
          <w:sz w:val="23"/>
          <w:szCs w:val="23"/>
        </w:rPr>
        <w:t>粪</w:t>
      </w:r>
      <w:r>
        <w:rPr>
          <w:rFonts w:ascii="宋体" w:hAnsi="宋体" w:eastAsia="宋体" w:cs="宋体"/>
          <w:spacing w:val="8"/>
          <w:sz w:val="23"/>
          <w:szCs w:val="23"/>
        </w:rPr>
        <w:t>污无害化、资源化的目的。</w:t>
      </w:r>
    </w:p>
    <w:p w14:paraId="30526B1E">
      <w:pPr>
        <w:sectPr>
          <w:headerReference r:id="rId74" w:type="default"/>
          <w:footerReference r:id="rId75" w:type="default"/>
          <w:pgSz w:w="11907" w:h="16840"/>
          <w:pgMar w:top="829" w:right="1070" w:bottom="1139" w:left="1275" w:header="595" w:footer="953" w:gutter="0"/>
          <w:cols w:space="720" w:num="1"/>
        </w:sectPr>
      </w:pPr>
    </w:p>
    <w:p w14:paraId="64E41A24">
      <w:pPr>
        <w:spacing w:before="102" w:line="374" w:lineRule="auto"/>
        <w:ind w:left="28" w:firstLine="461"/>
        <w:rPr>
          <w:rFonts w:ascii="宋体" w:hAnsi="宋体" w:eastAsia="宋体" w:cs="宋体"/>
          <w:sz w:val="23"/>
          <w:szCs w:val="23"/>
        </w:rPr>
      </w:pPr>
      <w:r>
        <w:rPr>
          <w:rFonts w:ascii="宋体" w:hAnsi="宋体" w:eastAsia="宋体" w:cs="宋体"/>
          <w:spacing w:val="4"/>
          <w:sz w:val="23"/>
          <w:szCs w:val="23"/>
        </w:rPr>
        <w:t>根</w:t>
      </w:r>
      <w:r>
        <w:rPr>
          <w:rFonts w:ascii="宋体" w:hAnsi="宋体" w:eastAsia="宋体" w:cs="宋体"/>
          <w:spacing w:val="3"/>
          <w:sz w:val="23"/>
          <w:szCs w:val="23"/>
        </w:rPr>
        <w:t>据中国环境保护产业协会《环境保护技术成果鉴定证书》 (</w:t>
      </w:r>
      <w:r>
        <w:rPr>
          <w:rFonts w:ascii="Times New Roman" w:hAnsi="Times New Roman" w:eastAsia="Times New Roman" w:cs="Times New Roman"/>
          <w:spacing w:val="3"/>
          <w:sz w:val="23"/>
          <w:szCs w:val="23"/>
        </w:rPr>
        <w:t>[2017]</w:t>
      </w:r>
      <w:r>
        <w:rPr>
          <w:rFonts w:ascii="宋体" w:hAnsi="宋体" w:eastAsia="宋体" w:cs="宋体"/>
          <w:spacing w:val="3"/>
          <w:sz w:val="23"/>
          <w:szCs w:val="23"/>
        </w:rPr>
        <w:t xml:space="preserve">中环协鉴字 </w:t>
      </w:r>
      <w:r>
        <w:rPr>
          <w:rFonts w:ascii="Times New Roman" w:hAnsi="Times New Roman" w:eastAsia="Times New Roman" w:cs="Times New Roman"/>
          <w:spacing w:val="3"/>
          <w:sz w:val="23"/>
          <w:szCs w:val="23"/>
        </w:rPr>
        <w:t xml:space="preserve">5 </w:t>
      </w:r>
      <w:r>
        <w:rPr>
          <w:rFonts w:ascii="宋体" w:hAnsi="宋体" w:eastAsia="宋体" w:cs="宋体"/>
          <w:spacing w:val="3"/>
          <w:sz w:val="23"/>
          <w:szCs w:val="23"/>
        </w:rPr>
        <w:t>号) ，</w:t>
      </w:r>
      <w:r>
        <w:rPr>
          <w:rFonts w:ascii="宋体" w:hAnsi="宋体" w:eastAsia="宋体" w:cs="宋体"/>
          <w:sz w:val="23"/>
          <w:szCs w:val="23"/>
        </w:rPr>
        <w:t xml:space="preserve"> </w:t>
      </w:r>
      <w:r>
        <w:rPr>
          <w:rFonts w:ascii="Times New Roman" w:hAnsi="Times New Roman" w:eastAsia="Times New Roman" w:cs="Times New Roman"/>
          <w:spacing w:val="2"/>
          <w:sz w:val="23"/>
          <w:szCs w:val="23"/>
        </w:rPr>
        <w:t>1</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7"/>
          <w:sz w:val="15"/>
          <w:szCs w:val="15"/>
        </w:rPr>
        <w:t xml:space="preserve">3 </w:t>
      </w:r>
      <w:r>
        <w:rPr>
          <w:rFonts w:ascii="宋体" w:hAnsi="宋体" w:eastAsia="宋体" w:cs="宋体"/>
          <w:spacing w:val="2"/>
          <w:sz w:val="23"/>
          <w:szCs w:val="23"/>
        </w:rPr>
        <w:t xml:space="preserve">垫料日处理粪污平均为 </w:t>
      </w:r>
      <w:r>
        <w:rPr>
          <w:rFonts w:ascii="Times New Roman" w:hAnsi="Times New Roman" w:eastAsia="Times New Roman" w:cs="Times New Roman"/>
          <w:spacing w:val="2"/>
          <w:sz w:val="23"/>
          <w:szCs w:val="23"/>
        </w:rPr>
        <w:t>30</w:t>
      </w:r>
      <w:r>
        <w:rPr>
          <w:rFonts w:ascii="Times New Roman" w:hAnsi="Times New Roman" w:eastAsia="Times New Roman" w:cs="Times New Roman"/>
          <w:sz w:val="23"/>
          <w:szCs w:val="23"/>
        </w:rPr>
        <w:t>kg</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7"/>
          <w:sz w:val="15"/>
          <w:szCs w:val="15"/>
        </w:rPr>
        <w:t xml:space="preserve">3 </w:t>
      </w:r>
      <w:r>
        <w:rPr>
          <w:rFonts w:ascii="宋体" w:hAnsi="宋体" w:eastAsia="宋体" w:cs="宋体"/>
          <w:spacing w:val="2"/>
          <w:sz w:val="23"/>
          <w:szCs w:val="23"/>
        </w:rPr>
        <w:t>，则处</w:t>
      </w:r>
      <w:r>
        <w:rPr>
          <w:rFonts w:ascii="宋体" w:hAnsi="宋体" w:eastAsia="宋体" w:cs="宋体"/>
          <w:spacing w:val="1"/>
          <w:sz w:val="23"/>
          <w:szCs w:val="23"/>
        </w:rPr>
        <w:t xml:space="preserve">理 </w:t>
      </w:r>
      <w:r>
        <w:rPr>
          <w:rFonts w:ascii="Times New Roman" w:hAnsi="Times New Roman" w:eastAsia="Times New Roman" w:cs="Times New Roman"/>
          <w:spacing w:val="1"/>
          <w:sz w:val="23"/>
          <w:szCs w:val="23"/>
        </w:rPr>
        <w:t>1</w:t>
      </w:r>
      <w:r>
        <w:rPr>
          <w:rFonts w:ascii="Times New Roman" w:hAnsi="Times New Roman" w:eastAsia="Times New Roman" w:cs="Times New Roman"/>
          <w:sz w:val="23"/>
          <w:szCs w:val="23"/>
        </w:rPr>
        <w:t>t</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 xml:space="preserve">粪污需要 </w:t>
      </w:r>
      <w:r>
        <w:rPr>
          <w:rFonts w:ascii="Times New Roman" w:hAnsi="Times New Roman" w:eastAsia="Times New Roman" w:cs="Times New Roman"/>
          <w:spacing w:val="1"/>
          <w:sz w:val="23"/>
          <w:szCs w:val="23"/>
        </w:rPr>
        <w:t>33.33</w:t>
      </w:r>
      <w:r>
        <w:rPr>
          <w:rFonts w:ascii="Times New Roman" w:hAnsi="Times New Roman" w:eastAsia="Times New Roman" w:cs="Times New Roman"/>
          <w:sz w:val="23"/>
          <w:szCs w:val="23"/>
        </w:rPr>
        <w:t>m</w:t>
      </w:r>
      <w:r>
        <w:rPr>
          <w:rFonts w:ascii="Times New Roman" w:hAnsi="Times New Roman" w:eastAsia="Times New Roman" w:cs="Times New Roman"/>
          <w:spacing w:val="1"/>
          <w:position w:val="7"/>
          <w:sz w:val="15"/>
          <w:szCs w:val="15"/>
        </w:rPr>
        <w:t xml:space="preserve">3 </w:t>
      </w:r>
      <w:r>
        <w:rPr>
          <w:rFonts w:ascii="宋体" w:hAnsi="宋体" w:eastAsia="宋体" w:cs="宋体"/>
          <w:spacing w:val="1"/>
          <w:sz w:val="23"/>
          <w:szCs w:val="23"/>
        </w:rPr>
        <w:t>垫料。</w:t>
      </w:r>
    </w:p>
    <w:p w14:paraId="1DCBB26B">
      <w:pPr>
        <w:spacing w:before="1" w:line="388" w:lineRule="auto"/>
        <w:ind w:left="21" w:right="77" w:firstLine="472"/>
        <w:rPr>
          <w:rFonts w:ascii="宋体" w:hAnsi="宋体" w:eastAsia="宋体" w:cs="宋体"/>
          <w:sz w:val="23"/>
          <w:szCs w:val="23"/>
        </w:rPr>
      </w:pPr>
      <w:r>
        <w:rPr>
          <w:rFonts w:ascii="宋体" w:hAnsi="宋体" w:eastAsia="宋体" w:cs="宋体"/>
          <w:spacing w:val="4"/>
          <w:sz w:val="23"/>
          <w:szCs w:val="23"/>
        </w:rPr>
        <w:t xml:space="preserve">项目产生的最大日生产废水量为 </w:t>
      </w:r>
      <w:r>
        <w:rPr>
          <w:rFonts w:ascii="Times New Roman" w:hAnsi="Times New Roman" w:eastAsia="Times New Roman" w:cs="Times New Roman"/>
          <w:spacing w:val="4"/>
          <w:sz w:val="23"/>
          <w:szCs w:val="23"/>
        </w:rPr>
        <w:t>34.34</w:t>
      </w:r>
      <w:r>
        <w:rPr>
          <w:rFonts w:ascii="Times New Roman" w:hAnsi="Times New Roman" w:eastAsia="Times New Roman" w:cs="Times New Roman"/>
          <w:sz w:val="23"/>
          <w:szCs w:val="23"/>
        </w:rPr>
        <w:t>m</w:t>
      </w:r>
      <w:r>
        <w:rPr>
          <w:rFonts w:ascii="Times New Roman" w:hAnsi="Times New Roman" w:eastAsia="Times New Roman" w:cs="Times New Roman"/>
          <w:spacing w:val="4"/>
          <w:position w:val="7"/>
          <w:sz w:val="15"/>
          <w:szCs w:val="15"/>
        </w:rPr>
        <w:t>3</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w:t>
      </w:r>
      <w:r>
        <w:rPr>
          <w:rFonts w:ascii="Times New Roman" w:hAnsi="Times New Roman" w:eastAsia="Times New Roman" w:cs="Times New Roman"/>
          <w:spacing w:val="4"/>
          <w:sz w:val="23"/>
          <w:szCs w:val="23"/>
        </w:rPr>
        <w:t>12534.314</w:t>
      </w:r>
      <w:r>
        <w:rPr>
          <w:rFonts w:ascii="Times New Roman" w:hAnsi="Times New Roman" w:eastAsia="Times New Roman" w:cs="Times New Roman"/>
          <w:sz w:val="23"/>
          <w:szCs w:val="23"/>
        </w:rPr>
        <w:t>m</w:t>
      </w:r>
      <w:r>
        <w:rPr>
          <w:rFonts w:ascii="Times New Roman" w:hAnsi="Times New Roman" w:eastAsia="Times New Roman" w:cs="Times New Roman"/>
          <w:spacing w:val="4"/>
          <w:position w:val="7"/>
          <w:sz w:val="15"/>
          <w:szCs w:val="15"/>
        </w:rPr>
        <w:t>3</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 xml:space="preserve">) ，产生猪粪约为 </w:t>
      </w:r>
      <w:r>
        <w:rPr>
          <w:rFonts w:ascii="Times New Roman" w:hAnsi="Times New Roman" w:eastAsia="Times New Roman" w:cs="Times New Roman"/>
          <w:spacing w:val="4"/>
          <w:sz w:val="23"/>
          <w:szCs w:val="23"/>
        </w:rPr>
        <w:t>17.26</w:t>
      </w:r>
      <w:r>
        <w:rPr>
          <w:rFonts w:ascii="Times New Roman" w:hAnsi="Times New Roman" w:eastAsia="Times New Roman" w:cs="Times New Roman"/>
          <w:sz w:val="23"/>
          <w:szCs w:val="23"/>
        </w:rPr>
        <w:t xml:space="preserve">4t/d </w:t>
      </w:r>
      <w:r>
        <w:rPr>
          <w:rFonts w:ascii="宋体" w:hAnsi="宋体" w:eastAsia="宋体" w:cs="宋体"/>
          <w:spacing w:val="6"/>
          <w:sz w:val="23"/>
          <w:szCs w:val="23"/>
        </w:rPr>
        <w:t>(</w:t>
      </w:r>
      <w:r>
        <w:rPr>
          <w:rFonts w:ascii="Times New Roman" w:hAnsi="Times New Roman" w:eastAsia="Times New Roman" w:cs="Times New Roman"/>
          <w:spacing w:val="4"/>
          <w:sz w:val="23"/>
          <w:szCs w:val="23"/>
        </w:rPr>
        <w:t>6301.36</w:t>
      </w:r>
      <w:r>
        <w:rPr>
          <w:rFonts w:ascii="Times New Roman" w:hAnsi="Times New Roman" w:eastAsia="Times New Roman" w:cs="Times New Roman"/>
          <w:sz w:val="23"/>
          <w:szCs w:val="23"/>
        </w:rPr>
        <w:t>t</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 xml:space="preserve">) ，则项目粪污总量为 </w:t>
      </w:r>
      <w:r>
        <w:rPr>
          <w:rFonts w:ascii="Times New Roman" w:hAnsi="Times New Roman" w:eastAsia="Times New Roman" w:cs="Times New Roman"/>
          <w:spacing w:val="4"/>
          <w:sz w:val="23"/>
          <w:szCs w:val="23"/>
        </w:rPr>
        <w:t>24.58</w:t>
      </w:r>
      <w:r>
        <w:rPr>
          <w:rFonts w:ascii="Times New Roman" w:hAnsi="Times New Roman" w:eastAsia="Times New Roman" w:cs="Times New Roman"/>
          <w:sz w:val="23"/>
          <w:szCs w:val="23"/>
        </w:rPr>
        <w:t>t</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w:t>
      </w:r>
      <w:r>
        <w:rPr>
          <w:rFonts w:ascii="Times New Roman" w:hAnsi="Times New Roman" w:eastAsia="Times New Roman" w:cs="Times New Roman"/>
          <w:spacing w:val="4"/>
          <w:sz w:val="23"/>
          <w:szCs w:val="23"/>
        </w:rPr>
        <w:t>18835.674</w:t>
      </w:r>
      <w:r>
        <w:rPr>
          <w:rFonts w:ascii="Times New Roman" w:hAnsi="Times New Roman" w:eastAsia="Times New Roman" w:cs="Times New Roman"/>
          <w:sz w:val="23"/>
          <w:szCs w:val="23"/>
        </w:rPr>
        <w:t>t</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 。</w:t>
      </w:r>
    </w:p>
    <w:p w14:paraId="2A887675">
      <w:pPr>
        <w:spacing w:before="7" w:line="368" w:lineRule="auto"/>
        <w:ind w:left="5" w:right="2" w:firstLine="484"/>
        <w:rPr>
          <w:rFonts w:ascii="宋体" w:hAnsi="宋体" w:eastAsia="宋体" w:cs="宋体"/>
          <w:sz w:val="23"/>
          <w:szCs w:val="23"/>
        </w:rPr>
      </w:pPr>
      <w:r>
        <w:rPr>
          <w:rFonts w:ascii="宋体" w:hAnsi="宋体" w:eastAsia="宋体" w:cs="宋体"/>
          <w:spacing w:val="8"/>
          <w:sz w:val="23"/>
          <w:szCs w:val="23"/>
        </w:rPr>
        <w:t>针</w:t>
      </w:r>
      <w:r>
        <w:rPr>
          <w:rFonts w:ascii="宋体" w:hAnsi="宋体" w:eastAsia="宋体" w:cs="宋体"/>
          <w:spacing w:val="7"/>
          <w:sz w:val="23"/>
          <w:szCs w:val="23"/>
        </w:rPr>
        <w:t>对本项目的养殖规模及产污情况，建设单位委托四川卫美农生态农业有限公司设计了</w:t>
      </w:r>
      <w:r>
        <w:rPr>
          <w:rFonts w:ascii="宋体" w:hAnsi="宋体" w:eastAsia="宋体" w:cs="宋体"/>
          <w:sz w:val="23"/>
          <w:szCs w:val="23"/>
        </w:rPr>
        <w:t xml:space="preserve"> </w:t>
      </w:r>
      <w:r>
        <w:rPr>
          <w:rFonts w:ascii="宋体" w:hAnsi="宋体" w:eastAsia="宋体" w:cs="宋体"/>
          <w:spacing w:val="10"/>
          <w:sz w:val="23"/>
          <w:szCs w:val="23"/>
        </w:rPr>
        <w:t>《</w:t>
      </w:r>
      <w:r>
        <w:rPr>
          <w:rFonts w:ascii="宋体" w:hAnsi="宋体" w:eastAsia="宋体" w:cs="宋体"/>
          <w:spacing w:val="9"/>
          <w:sz w:val="23"/>
          <w:szCs w:val="23"/>
        </w:rPr>
        <w:t>井研县丰逸养殖专业合作社丰逸标准化代养场建设项目 (</w:t>
      </w:r>
      <w:r>
        <w:rPr>
          <w:rFonts w:ascii="Times New Roman" w:hAnsi="Times New Roman" w:eastAsia="Times New Roman" w:cs="Times New Roman"/>
          <w:spacing w:val="9"/>
          <w:sz w:val="23"/>
          <w:szCs w:val="23"/>
        </w:rPr>
        <w:t xml:space="preserve">50 </w:t>
      </w:r>
      <w:r>
        <w:rPr>
          <w:rFonts w:ascii="宋体" w:hAnsi="宋体" w:eastAsia="宋体" w:cs="宋体"/>
          <w:spacing w:val="9"/>
          <w:sz w:val="23"/>
          <w:szCs w:val="23"/>
        </w:rPr>
        <w:t>吨</w:t>
      </w:r>
      <w:r>
        <w:rPr>
          <w:rFonts w:ascii="Times New Roman" w:hAnsi="Times New Roman" w:eastAsia="Times New Roman" w:cs="Times New Roman"/>
          <w:spacing w:val="9"/>
          <w:sz w:val="23"/>
          <w:szCs w:val="23"/>
        </w:rPr>
        <w:t>/</w:t>
      </w:r>
      <w:r>
        <w:rPr>
          <w:rFonts w:ascii="宋体" w:hAnsi="宋体" w:eastAsia="宋体" w:cs="宋体"/>
          <w:spacing w:val="9"/>
          <w:sz w:val="23"/>
          <w:szCs w:val="23"/>
        </w:rPr>
        <w:t>日) 》，根据建设单位提</w:t>
      </w:r>
      <w:r>
        <w:rPr>
          <w:rFonts w:ascii="宋体" w:hAnsi="宋体" w:eastAsia="宋体" w:cs="宋体"/>
          <w:sz w:val="23"/>
          <w:szCs w:val="23"/>
        </w:rPr>
        <w:t xml:space="preserve"> </w:t>
      </w:r>
      <w:r>
        <w:rPr>
          <w:rFonts w:ascii="宋体" w:hAnsi="宋体" w:eastAsia="宋体" w:cs="宋体"/>
          <w:spacing w:val="1"/>
          <w:sz w:val="23"/>
          <w:szCs w:val="23"/>
        </w:rPr>
        <w:t xml:space="preserve">供的设计报告，本项目拟建的异位微生物发酵床处理规模为 </w:t>
      </w:r>
      <w:r>
        <w:rPr>
          <w:rFonts w:ascii="Times New Roman" w:hAnsi="Times New Roman" w:eastAsia="Times New Roman" w:cs="Times New Roman"/>
          <w:spacing w:val="1"/>
          <w:sz w:val="23"/>
          <w:szCs w:val="23"/>
        </w:rPr>
        <w:t>50</w:t>
      </w:r>
      <w:r>
        <w:rPr>
          <w:rFonts w:ascii="Times New Roman" w:hAnsi="Times New Roman" w:eastAsia="Times New Roman" w:cs="Times New Roman"/>
          <w:sz w:val="23"/>
          <w:szCs w:val="23"/>
        </w:rPr>
        <w:t>t</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 xml:space="preserve">， 占地面积为 </w:t>
      </w:r>
      <w:r>
        <w:rPr>
          <w:rFonts w:ascii="Times New Roman" w:hAnsi="Times New Roman" w:eastAsia="Times New Roman" w:cs="Times New Roman"/>
          <w:spacing w:val="1"/>
          <w:sz w:val="23"/>
          <w:szCs w:val="23"/>
        </w:rPr>
        <w:t>1600</w:t>
      </w:r>
      <w:r>
        <w:rPr>
          <w:rFonts w:ascii="Times New Roman" w:hAnsi="Times New Roman" w:eastAsia="Times New Roman" w:cs="Times New Roman"/>
          <w:sz w:val="23"/>
          <w:szCs w:val="23"/>
        </w:rPr>
        <w:t>m</w:t>
      </w:r>
      <w:r>
        <w:rPr>
          <w:rFonts w:ascii="Times New Roman" w:hAnsi="Times New Roman" w:eastAsia="Times New Roman" w:cs="Times New Roman"/>
          <w:spacing w:val="1"/>
          <w:position w:val="8"/>
          <w:sz w:val="15"/>
          <w:szCs w:val="15"/>
        </w:rPr>
        <w:t xml:space="preserve">2 </w:t>
      </w:r>
      <w:r>
        <w:rPr>
          <w:rFonts w:ascii="宋体" w:hAnsi="宋体" w:eastAsia="宋体" w:cs="宋体"/>
          <w:spacing w:val="1"/>
          <w:sz w:val="23"/>
          <w:szCs w:val="23"/>
        </w:rPr>
        <w:t>，异</w:t>
      </w:r>
      <w:r>
        <w:rPr>
          <w:rFonts w:ascii="宋体" w:hAnsi="宋体" w:eastAsia="宋体" w:cs="宋体"/>
          <w:sz w:val="23"/>
          <w:szCs w:val="23"/>
        </w:rPr>
        <w:t xml:space="preserve"> </w:t>
      </w:r>
      <w:r>
        <w:rPr>
          <w:rFonts w:ascii="宋体" w:hAnsi="宋体" w:eastAsia="宋体" w:cs="宋体"/>
          <w:spacing w:val="10"/>
          <w:sz w:val="23"/>
          <w:szCs w:val="23"/>
        </w:rPr>
        <w:t>位发酵舍</w:t>
      </w:r>
      <w:r>
        <w:rPr>
          <w:rFonts w:ascii="宋体" w:hAnsi="宋体" w:eastAsia="宋体" w:cs="宋体"/>
          <w:spacing w:val="8"/>
          <w:sz w:val="23"/>
          <w:szCs w:val="23"/>
        </w:rPr>
        <w:t>内</w:t>
      </w:r>
      <w:r>
        <w:rPr>
          <w:rFonts w:ascii="宋体" w:hAnsi="宋体" w:eastAsia="宋体" w:cs="宋体"/>
          <w:spacing w:val="5"/>
          <w:sz w:val="23"/>
          <w:szCs w:val="23"/>
        </w:rPr>
        <w:t xml:space="preserve">包含 </w:t>
      </w:r>
      <w:r>
        <w:rPr>
          <w:rFonts w:ascii="Times New Roman" w:hAnsi="Times New Roman" w:eastAsia="Times New Roman" w:cs="Times New Roman"/>
          <w:spacing w:val="5"/>
          <w:sz w:val="23"/>
          <w:szCs w:val="23"/>
        </w:rPr>
        <w:t xml:space="preserve">1 </w:t>
      </w:r>
      <w:r>
        <w:rPr>
          <w:rFonts w:ascii="宋体" w:hAnsi="宋体" w:eastAsia="宋体" w:cs="宋体"/>
          <w:spacing w:val="5"/>
          <w:sz w:val="23"/>
          <w:szCs w:val="23"/>
        </w:rPr>
        <w:t>槽喷淋池 (</w:t>
      </w:r>
      <w:r>
        <w:rPr>
          <w:rFonts w:ascii="Times New Roman" w:hAnsi="Times New Roman" w:eastAsia="Times New Roman" w:cs="Times New Roman"/>
          <w:spacing w:val="5"/>
          <w:sz w:val="23"/>
          <w:szCs w:val="23"/>
        </w:rPr>
        <w:t>80</w:t>
      </w:r>
      <w:r>
        <w:rPr>
          <w:rFonts w:ascii="Times New Roman" w:hAnsi="Times New Roman" w:eastAsia="Times New Roman" w:cs="Times New Roman"/>
          <w:sz w:val="23"/>
          <w:szCs w:val="23"/>
        </w:rPr>
        <w:t>m</w:t>
      </w:r>
      <w:r>
        <w:rPr>
          <w:rFonts w:ascii="Times New Roman" w:hAnsi="Times New Roman" w:eastAsia="Times New Roman" w:cs="Times New Roman"/>
          <w:spacing w:val="5"/>
          <w:sz w:val="23"/>
          <w:szCs w:val="23"/>
        </w:rPr>
        <w:t>×2</w:t>
      </w:r>
      <w:r>
        <w:rPr>
          <w:rFonts w:ascii="Times New Roman" w:hAnsi="Times New Roman" w:eastAsia="Times New Roman" w:cs="Times New Roman"/>
          <w:sz w:val="23"/>
          <w:szCs w:val="23"/>
        </w:rPr>
        <w:t>m</w:t>
      </w:r>
      <w:r>
        <w:rPr>
          <w:rFonts w:ascii="Times New Roman" w:hAnsi="Times New Roman" w:eastAsia="Times New Roman" w:cs="Times New Roman"/>
          <w:spacing w:val="5"/>
          <w:sz w:val="23"/>
          <w:szCs w:val="23"/>
        </w:rPr>
        <w:t>×1.8</w:t>
      </w:r>
      <w:r>
        <w:rPr>
          <w:rFonts w:ascii="Times New Roman" w:hAnsi="Times New Roman" w:eastAsia="Times New Roman" w:cs="Times New Roman"/>
          <w:sz w:val="23"/>
          <w:szCs w:val="23"/>
        </w:rPr>
        <w:t>m</w:t>
      </w:r>
      <w:r>
        <w:rPr>
          <w:rFonts w:ascii="宋体" w:hAnsi="宋体" w:eastAsia="宋体" w:cs="宋体"/>
          <w:spacing w:val="5"/>
          <w:sz w:val="23"/>
          <w:szCs w:val="23"/>
        </w:rPr>
        <w:t xml:space="preserve">) 和 </w:t>
      </w:r>
      <w:r>
        <w:rPr>
          <w:rFonts w:ascii="Times New Roman" w:hAnsi="Times New Roman" w:eastAsia="Times New Roman" w:cs="Times New Roman"/>
          <w:spacing w:val="5"/>
          <w:sz w:val="23"/>
          <w:szCs w:val="23"/>
        </w:rPr>
        <w:t xml:space="preserve">1 </w:t>
      </w:r>
      <w:r>
        <w:rPr>
          <w:rFonts w:ascii="宋体" w:hAnsi="宋体" w:eastAsia="宋体" w:cs="宋体"/>
          <w:spacing w:val="5"/>
          <w:sz w:val="23"/>
          <w:szCs w:val="23"/>
        </w:rPr>
        <w:t>槽发酵槽 (</w:t>
      </w:r>
      <w:r>
        <w:rPr>
          <w:rFonts w:ascii="Times New Roman" w:hAnsi="Times New Roman" w:eastAsia="Times New Roman" w:cs="Times New Roman"/>
          <w:spacing w:val="5"/>
          <w:sz w:val="23"/>
          <w:szCs w:val="23"/>
        </w:rPr>
        <w:t>80</w:t>
      </w:r>
      <w:r>
        <w:rPr>
          <w:rFonts w:ascii="Times New Roman" w:hAnsi="Times New Roman" w:eastAsia="Times New Roman" w:cs="Times New Roman"/>
          <w:sz w:val="23"/>
          <w:szCs w:val="23"/>
        </w:rPr>
        <w:t>m</w:t>
      </w:r>
      <w:r>
        <w:rPr>
          <w:rFonts w:ascii="Times New Roman" w:hAnsi="Times New Roman" w:eastAsia="Times New Roman" w:cs="Times New Roman"/>
          <w:spacing w:val="5"/>
          <w:sz w:val="23"/>
          <w:szCs w:val="23"/>
        </w:rPr>
        <w:t>×8</w:t>
      </w:r>
      <w:r>
        <w:rPr>
          <w:rFonts w:ascii="Times New Roman" w:hAnsi="Times New Roman" w:eastAsia="Times New Roman" w:cs="Times New Roman"/>
          <w:sz w:val="23"/>
          <w:szCs w:val="23"/>
        </w:rPr>
        <w:t>m</w:t>
      </w:r>
      <w:r>
        <w:rPr>
          <w:rFonts w:ascii="Times New Roman" w:hAnsi="Times New Roman" w:eastAsia="Times New Roman" w:cs="Times New Roman"/>
          <w:spacing w:val="5"/>
          <w:sz w:val="23"/>
          <w:szCs w:val="23"/>
        </w:rPr>
        <w:t>×1.5</w:t>
      </w:r>
      <w:r>
        <w:rPr>
          <w:rFonts w:ascii="Times New Roman" w:hAnsi="Times New Roman" w:eastAsia="Times New Roman" w:cs="Times New Roman"/>
          <w:sz w:val="23"/>
          <w:szCs w:val="23"/>
        </w:rPr>
        <w:t>m</w:t>
      </w:r>
      <w:r>
        <w:rPr>
          <w:rFonts w:ascii="宋体" w:hAnsi="宋体" w:eastAsia="宋体" w:cs="宋体"/>
          <w:spacing w:val="5"/>
          <w:sz w:val="23"/>
          <w:szCs w:val="23"/>
        </w:rPr>
        <w:t>) ，所需垫料</w:t>
      </w:r>
      <w:r>
        <w:rPr>
          <w:rFonts w:ascii="宋体" w:hAnsi="宋体" w:eastAsia="宋体" w:cs="宋体"/>
          <w:sz w:val="23"/>
          <w:szCs w:val="23"/>
        </w:rPr>
        <w:t xml:space="preserve"> </w:t>
      </w:r>
      <w:r>
        <w:rPr>
          <w:rFonts w:ascii="Times New Roman" w:hAnsi="Times New Roman" w:eastAsia="Times New Roman" w:cs="Times New Roman"/>
          <w:spacing w:val="10"/>
          <w:sz w:val="23"/>
          <w:szCs w:val="23"/>
        </w:rPr>
        <w:t>200</w:t>
      </w:r>
      <w:r>
        <w:rPr>
          <w:rFonts w:ascii="Times New Roman" w:hAnsi="Times New Roman" w:eastAsia="Times New Roman" w:cs="Times New Roman"/>
          <w:spacing w:val="9"/>
          <w:sz w:val="23"/>
          <w:szCs w:val="23"/>
        </w:rPr>
        <w:t>0</w:t>
      </w:r>
      <w:r>
        <w:rPr>
          <w:rFonts w:ascii="Times New Roman" w:hAnsi="Times New Roman" w:eastAsia="Times New Roman" w:cs="Times New Roman"/>
          <w:sz w:val="23"/>
          <w:szCs w:val="23"/>
        </w:rPr>
        <w:t>m</w:t>
      </w:r>
      <w:r>
        <w:rPr>
          <w:rFonts w:ascii="Times New Roman" w:hAnsi="Times New Roman" w:eastAsia="Times New Roman" w:cs="Times New Roman"/>
          <w:spacing w:val="5"/>
          <w:position w:val="7"/>
          <w:sz w:val="15"/>
          <w:szCs w:val="15"/>
        </w:rPr>
        <w:t xml:space="preserve">3 </w:t>
      </w:r>
      <w:r>
        <w:rPr>
          <w:rFonts w:ascii="宋体" w:hAnsi="宋体" w:eastAsia="宋体" w:cs="宋体"/>
          <w:spacing w:val="5"/>
          <w:sz w:val="23"/>
          <w:szCs w:val="23"/>
        </w:rPr>
        <w:t xml:space="preserve">，配套建设一座 </w:t>
      </w:r>
      <w:r>
        <w:rPr>
          <w:rFonts w:ascii="Times New Roman" w:hAnsi="Times New Roman" w:eastAsia="Times New Roman" w:cs="Times New Roman"/>
          <w:spacing w:val="5"/>
          <w:sz w:val="23"/>
          <w:szCs w:val="23"/>
        </w:rPr>
        <w:t>600</w:t>
      </w:r>
      <w:r>
        <w:rPr>
          <w:rFonts w:ascii="Times New Roman" w:hAnsi="Times New Roman" w:eastAsia="Times New Roman" w:cs="Times New Roman"/>
          <w:sz w:val="23"/>
          <w:szCs w:val="23"/>
        </w:rPr>
        <w:t>m</w:t>
      </w:r>
      <w:r>
        <w:rPr>
          <w:rFonts w:ascii="Times New Roman" w:hAnsi="Times New Roman" w:eastAsia="Times New Roman" w:cs="Times New Roman"/>
          <w:spacing w:val="5"/>
          <w:position w:val="7"/>
          <w:sz w:val="15"/>
          <w:szCs w:val="15"/>
        </w:rPr>
        <w:t xml:space="preserve">3 </w:t>
      </w:r>
      <w:r>
        <w:rPr>
          <w:rFonts w:ascii="宋体" w:hAnsi="宋体" w:eastAsia="宋体" w:cs="宋体"/>
          <w:spacing w:val="5"/>
          <w:sz w:val="23"/>
          <w:szCs w:val="23"/>
        </w:rPr>
        <w:t>集污池。因此，项目异位微生物发酵床能满足粪污处理要求。</w:t>
      </w:r>
    </w:p>
    <w:p w14:paraId="50353A33">
      <w:pPr>
        <w:spacing w:before="2" w:line="375" w:lineRule="auto"/>
        <w:ind w:left="8" w:right="80" w:firstLine="485"/>
        <w:rPr>
          <w:rFonts w:ascii="宋体" w:hAnsi="宋体" w:eastAsia="宋体" w:cs="宋体"/>
          <w:sz w:val="23"/>
          <w:szCs w:val="23"/>
        </w:rPr>
      </w:pPr>
      <w:r>
        <w:rPr>
          <w:rFonts w:ascii="宋体" w:hAnsi="宋体" w:eastAsia="宋体" w:cs="宋体"/>
          <w:spacing w:val="12"/>
          <w:sz w:val="23"/>
          <w:szCs w:val="23"/>
        </w:rPr>
        <w:t>项目新鲜猪</w:t>
      </w:r>
      <w:r>
        <w:rPr>
          <w:rFonts w:ascii="宋体" w:hAnsi="宋体" w:eastAsia="宋体" w:cs="宋体"/>
          <w:spacing w:val="10"/>
          <w:sz w:val="23"/>
          <w:szCs w:val="23"/>
        </w:rPr>
        <w:t>粪</w:t>
      </w:r>
      <w:r>
        <w:rPr>
          <w:rFonts w:ascii="宋体" w:hAnsi="宋体" w:eastAsia="宋体" w:cs="宋体"/>
          <w:spacing w:val="6"/>
          <w:sz w:val="23"/>
          <w:szCs w:val="23"/>
        </w:rPr>
        <w:t xml:space="preserve">含水率以 </w:t>
      </w:r>
      <w:r>
        <w:rPr>
          <w:rFonts w:ascii="Times New Roman" w:hAnsi="Times New Roman" w:eastAsia="Times New Roman" w:cs="Times New Roman"/>
          <w:spacing w:val="6"/>
          <w:sz w:val="23"/>
          <w:szCs w:val="23"/>
        </w:rPr>
        <w:t>70%</w:t>
      </w:r>
      <w:r>
        <w:rPr>
          <w:rFonts w:ascii="宋体" w:hAnsi="宋体" w:eastAsia="宋体" w:cs="宋体"/>
          <w:spacing w:val="6"/>
          <w:sz w:val="23"/>
          <w:szCs w:val="23"/>
        </w:rPr>
        <w:t xml:space="preserve">计，则干粪产生量为 </w:t>
      </w:r>
      <w:r>
        <w:rPr>
          <w:rFonts w:ascii="Times New Roman" w:hAnsi="Times New Roman" w:eastAsia="Times New Roman" w:cs="Times New Roman"/>
          <w:spacing w:val="6"/>
          <w:sz w:val="23"/>
          <w:szCs w:val="23"/>
        </w:rPr>
        <w:t>1890.407</w:t>
      </w:r>
      <w:r>
        <w:rPr>
          <w:rFonts w:ascii="Times New Roman" w:hAnsi="Times New Roman" w:eastAsia="Times New Roman" w:cs="Times New Roman"/>
          <w:sz w:val="23"/>
          <w:szCs w:val="23"/>
        </w:rPr>
        <w:t>t</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，粪污经菌种发酵后含水</w:t>
      </w:r>
      <w:r>
        <w:rPr>
          <w:rFonts w:ascii="宋体" w:hAnsi="宋体" w:eastAsia="宋体" w:cs="宋体"/>
          <w:sz w:val="23"/>
          <w:szCs w:val="23"/>
        </w:rPr>
        <w:t xml:space="preserve"> </w:t>
      </w:r>
      <w:r>
        <w:rPr>
          <w:rFonts w:ascii="宋体" w:hAnsi="宋体" w:eastAsia="宋体" w:cs="宋体"/>
          <w:spacing w:val="8"/>
          <w:sz w:val="23"/>
          <w:szCs w:val="23"/>
        </w:rPr>
        <w:t>率</w:t>
      </w:r>
      <w:r>
        <w:rPr>
          <w:rFonts w:ascii="宋体" w:hAnsi="宋体" w:eastAsia="宋体" w:cs="宋体"/>
          <w:spacing w:val="7"/>
          <w:sz w:val="23"/>
          <w:szCs w:val="23"/>
        </w:rPr>
        <w:t>在</w:t>
      </w:r>
      <w:r>
        <w:rPr>
          <w:rFonts w:ascii="宋体" w:hAnsi="宋体" w:eastAsia="宋体" w:cs="宋体"/>
          <w:spacing w:val="4"/>
          <w:sz w:val="23"/>
          <w:szCs w:val="23"/>
        </w:rPr>
        <w:t xml:space="preserve"> </w:t>
      </w:r>
      <w:r>
        <w:rPr>
          <w:rFonts w:ascii="Times New Roman" w:hAnsi="Times New Roman" w:eastAsia="Times New Roman" w:cs="Times New Roman"/>
          <w:spacing w:val="4"/>
          <w:sz w:val="23"/>
          <w:szCs w:val="23"/>
        </w:rPr>
        <w:t>30%</w:t>
      </w:r>
      <w:r>
        <w:rPr>
          <w:rFonts w:ascii="宋体" w:hAnsi="宋体" w:eastAsia="宋体" w:cs="宋体"/>
          <w:spacing w:val="4"/>
          <w:sz w:val="23"/>
          <w:szCs w:val="23"/>
        </w:rPr>
        <w:t xml:space="preserve">左右，则项目发酵产生的有机肥量为 </w:t>
      </w:r>
      <w:r>
        <w:rPr>
          <w:rFonts w:ascii="Times New Roman" w:hAnsi="Times New Roman" w:eastAsia="Times New Roman" w:cs="Times New Roman"/>
          <w:spacing w:val="4"/>
          <w:sz w:val="23"/>
          <w:szCs w:val="23"/>
        </w:rPr>
        <w:t>2410.97</w:t>
      </w:r>
      <w:r>
        <w:rPr>
          <w:rFonts w:ascii="Times New Roman" w:hAnsi="Times New Roman" w:eastAsia="Times New Roman" w:cs="Times New Roman"/>
          <w:sz w:val="23"/>
          <w:szCs w:val="23"/>
        </w:rPr>
        <w:t>t</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 xml:space="preserve">，有机肥中含水量为 </w:t>
      </w:r>
      <w:r>
        <w:rPr>
          <w:rFonts w:ascii="Times New Roman" w:hAnsi="Times New Roman" w:eastAsia="Times New Roman" w:cs="Times New Roman"/>
          <w:spacing w:val="4"/>
          <w:sz w:val="23"/>
          <w:szCs w:val="23"/>
        </w:rPr>
        <w:t>723.291</w:t>
      </w:r>
      <w:r>
        <w:rPr>
          <w:rFonts w:ascii="Times New Roman" w:hAnsi="Times New Roman" w:eastAsia="Times New Roman" w:cs="Times New Roman"/>
          <w:sz w:val="23"/>
          <w:szCs w:val="23"/>
        </w:rPr>
        <w:t>t</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w:t>
      </w:r>
      <w:r>
        <w:rPr>
          <w:rFonts w:ascii="宋体" w:hAnsi="宋体" w:eastAsia="宋体" w:cs="宋体"/>
          <w:sz w:val="23"/>
          <w:szCs w:val="23"/>
        </w:rPr>
        <w:t xml:space="preserve"> </w:t>
      </w:r>
      <w:r>
        <w:rPr>
          <w:rFonts w:ascii="宋体" w:hAnsi="宋体" w:eastAsia="宋体" w:cs="宋体"/>
          <w:spacing w:val="14"/>
          <w:sz w:val="23"/>
          <w:szCs w:val="23"/>
        </w:rPr>
        <w:t>粪</w:t>
      </w:r>
      <w:r>
        <w:rPr>
          <w:rFonts w:ascii="宋体" w:hAnsi="宋体" w:eastAsia="宋体" w:cs="宋体"/>
          <w:spacing w:val="7"/>
          <w:sz w:val="23"/>
          <w:szCs w:val="23"/>
        </w:rPr>
        <w:t xml:space="preserve">污经异位微生物发酵系统发酵蒸发的水量为 </w:t>
      </w:r>
      <w:r>
        <w:rPr>
          <w:rFonts w:ascii="Times New Roman" w:hAnsi="Times New Roman" w:eastAsia="Times New Roman" w:cs="Times New Roman"/>
          <w:spacing w:val="7"/>
          <w:sz w:val="23"/>
          <w:szCs w:val="23"/>
        </w:rPr>
        <w:t>16424.704</w:t>
      </w:r>
      <w:r>
        <w:rPr>
          <w:rFonts w:ascii="Times New Roman" w:hAnsi="Times New Roman" w:eastAsia="Times New Roman" w:cs="Times New Roman"/>
          <w:sz w:val="23"/>
          <w:szCs w:val="23"/>
        </w:rPr>
        <w:t>m</w:t>
      </w:r>
      <w:r>
        <w:rPr>
          <w:rFonts w:ascii="Times New Roman" w:hAnsi="Times New Roman" w:eastAsia="Times New Roman" w:cs="Times New Roman"/>
          <w:spacing w:val="7"/>
          <w:position w:val="8"/>
          <w:sz w:val="15"/>
          <w:szCs w:val="15"/>
        </w:rPr>
        <w:t>3</w:t>
      </w:r>
      <w:r>
        <w:rPr>
          <w:rFonts w:ascii="Times New Roman" w:hAnsi="Times New Roman" w:eastAsia="Times New Roman" w:cs="Times New Roman"/>
          <w:spacing w:val="7"/>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。项目拟建的异位微生物发酵</w:t>
      </w:r>
      <w:r>
        <w:rPr>
          <w:rFonts w:ascii="宋体" w:hAnsi="宋体" w:eastAsia="宋体" w:cs="宋体"/>
          <w:sz w:val="23"/>
          <w:szCs w:val="23"/>
        </w:rPr>
        <w:t xml:space="preserve"> </w:t>
      </w:r>
      <w:r>
        <w:rPr>
          <w:rFonts w:ascii="宋体" w:hAnsi="宋体" w:eastAsia="宋体" w:cs="宋体"/>
          <w:spacing w:val="9"/>
          <w:sz w:val="23"/>
          <w:szCs w:val="23"/>
        </w:rPr>
        <w:t>床能完全消纳项目产生的废水及猪粪，实现废水</w:t>
      </w:r>
      <w:r>
        <w:rPr>
          <w:rFonts w:ascii="Times New Roman" w:hAnsi="Times New Roman" w:eastAsia="Times New Roman" w:cs="Times New Roman"/>
          <w:spacing w:val="9"/>
          <w:sz w:val="23"/>
          <w:szCs w:val="23"/>
        </w:rPr>
        <w:t>“</w:t>
      </w:r>
      <w:r>
        <w:rPr>
          <w:rFonts w:ascii="宋体" w:hAnsi="宋体" w:eastAsia="宋体" w:cs="宋体"/>
          <w:spacing w:val="9"/>
          <w:sz w:val="23"/>
          <w:szCs w:val="23"/>
        </w:rPr>
        <w:t>零排放</w:t>
      </w:r>
      <w:r>
        <w:rPr>
          <w:rFonts w:ascii="Times New Roman" w:hAnsi="Times New Roman" w:eastAsia="Times New Roman" w:cs="Times New Roman"/>
          <w:spacing w:val="9"/>
          <w:sz w:val="23"/>
          <w:szCs w:val="23"/>
        </w:rPr>
        <w:t>”</w:t>
      </w:r>
      <w:r>
        <w:rPr>
          <w:rFonts w:ascii="宋体" w:hAnsi="宋体" w:eastAsia="宋体" w:cs="宋体"/>
          <w:spacing w:val="6"/>
          <w:sz w:val="23"/>
          <w:szCs w:val="23"/>
        </w:rPr>
        <w:t>。</w:t>
      </w:r>
    </w:p>
    <w:p w14:paraId="25068C3F">
      <w:pPr>
        <w:spacing w:before="41" w:line="227" w:lineRule="auto"/>
        <w:ind w:left="6"/>
        <w:outlineLvl w:val="2"/>
        <w:rPr>
          <w:rFonts w:ascii="宋体" w:hAnsi="宋体" w:eastAsia="宋体" w:cs="宋体"/>
          <w:sz w:val="23"/>
          <w:szCs w:val="23"/>
        </w:rPr>
      </w:pPr>
      <w:bookmarkStart w:id="25" w:name="_bookmark26"/>
      <w:bookmarkEnd w:id="25"/>
      <w:r>
        <w:rPr>
          <w:rFonts w:ascii="Times New Roman" w:hAnsi="Times New Roman" w:eastAsia="Times New Roman" w:cs="Times New Roman"/>
          <w:b/>
          <w:bCs/>
          <w:spacing w:val="8"/>
          <w:sz w:val="23"/>
          <w:szCs w:val="23"/>
        </w:rPr>
        <w:t>2</w:t>
      </w:r>
      <w:r>
        <w:rPr>
          <w:rFonts w:ascii="Times New Roman" w:hAnsi="Times New Roman" w:eastAsia="Times New Roman" w:cs="Times New Roman"/>
          <w:b/>
          <w:bCs/>
          <w:spacing w:val="6"/>
          <w:sz w:val="23"/>
          <w:szCs w:val="23"/>
        </w:rPr>
        <w:t>.4.2</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供热、降温</w:t>
      </w:r>
    </w:p>
    <w:p w14:paraId="073F1EF0">
      <w:pPr>
        <w:spacing w:before="183" w:line="375" w:lineRule="auto"/>
        <w:ind w:left="10" w:right="83" w:firstLine="483"/>
        <w:rPr>
          <w:rFonts w:ascii="宋体" w:hAnsi="宋体" w:eastAsia="宋体" w:cs="宋体"/>
          <w:sz w:val="23"/>
          <w:szCs w:val="23"/>
        </w:rPr>
      </w:pPr>
      <w:r>
        <w:rPr>
          <w:rFonts w:ascii="宋体" w:hAnsi="宋体" w:eastAsia="宋体" w:cs="宋体"/>
          <w:spacing w:val="8"/>
          <w:sz w:val="23"/>
          <w:szCs w:val="23"/>
        </w:rPr>
        <w:t xml:space="preserve">项目降温主要为夏季降温，采取水帘降温系统，年使用时间约为 </w:t>
      </w:r>
      <w:r>
        <w:rPr>
          <w:rFonts w:ascii="Times New Roman" w:hAnsi="Times New Roman" w:eastAsia="Times New Roman" w:cs="Times New Roman"/>
          <w:spacing w:val="8"/>
          <w:sz w:val="23"/>
          <w:szCs w:val="23"/>
        </w:rPr>
        <w:t xml:space="preserve">92 </w:t>
      </w:r>
      <w:r>
        <w:rPr>
          <w:rFonts w:ascii="宋体" w:hAnsi="宋体" w:eastAsia="宋体" w:cs="宋体"/>
          <w:spacing w:val="8"/>
          <w:sz w:val="23"/>
          <w:szCs w:val="23"/>
        </w:rPr>
        <w:t>天，降温系统为</w:t>
      </w:r>
      <w:r>
        <w:rPr>
          <w:rFonts w:ascii="宋体" w:hAnsi="宋体" w:eastAsia="宋体" w:cs="宋体"/>
          <w:spacing w:val="6"/>
          <w:sz w:val="23"/>
          <w:szCs w:val="23"/>
        </w:rPr>
        <w:t>循</w:t>
      </w:r>
      <w:r>
        <w:rPr>
          <w:rFonts w:ascii="宋体" w:hAnsi="宋体" w:eastAsia="宋体" w:cs="宋体"/>
          <w:sz w:val="23"/>
          <w:szCs w:val="23"/>
        </w:rPr>
        <w:t xml:space="preserve"> </w:t>
      </w:r>
      <w:r>
        <w:rPr>
          <w:rFonts w:ascii="宋体" w:hAnsi="宋体" w:eastAsia="宋体" w:cs="宋体"/>
          <w:spacing w:val="14"/>
          <w:sz w:val="23"/>
          <w:szCs w:val="23"/>
        </w:rPr>
        <w:t>环</w:t>
      </w:r>
      <w:r>
        <w:rPr>
          <w:rFonts w:ascii="宋体" w:hAnsi="宋体" w:eastAsia="宋体" w:cs="宋体"/>
          <w:spacing w:val="7"/>
          <w:sz w:val="23"/>
          <w:szCs w:val="23"/>
        </w:rPr>
        <w:t>冷却水。为满足猪舍的温度需要，项目采用夹心保温板，主要为刚进场仔猪在遇低温时使</w:t>
      </w:r>
      <w:r>
        <w:rPr>
          <w:rFonts w:ascii="宋体" w:hAnsi="宋体" w:eastAsia="宋体" w:cs="宋体"/>
          <w:sz w:val="23"/>
          <w:szCs w:val="23"/>
        </w:rPr>
        <w:t xml:space="preserve"> </w:t>
      </w:r>
      <w:r>
        <w:rPr>
          <w:rFonts w:ascii="宋体" w:hAnsi="宋体" w:eastAsia="宋体" w:cs="宋体"/>
          <w:spacing w:val="13"/>
          <w:sz w:val="23"/>
          <w:szCs w:val="23"/>
        </w:rPr>
        <w:t>用</w:t>
      </w:r>
      <w:r>
        <w:rPr>
          <w:rFonts w:ascii="宋体" w:hAnsi="宋体" w:eastAsia="宋体" w:cs="宋体"/>
          <w:spacing w:val="12"/>
          <w:sz w:val="23"/>
          <w:szCs w:val="23"/>
        </w:rPr>
        <w:t>，保温时间</w:t>
      </w:r>
      <w:r>
        <w:rPr>
          <w:rFonts w:ascii="Times New Roman" w:hAnsi="Times New Roman" w:eastAsia="Times New Roman" w:cs="Times New Roman"/>
          <w:spacing w:val="12"/>
          <w:sz w:val="23"/>
          <w:szCs w:val="23"/>
        </w:rPr>
        <w:t xml:space="preserve">20 </w:t>
      </w:r>
      <w:r>
        <w:rPr>
          <w:rFonts w:ascii="宋体" w:hAnsi="宋体" w:eastAsia="宋体" w:cs="宋体"/>
          <w:spacing w:val="12"/>
          <w:sz w:val="23"/>
          <w:szCs w:val="23"/>
        </w:rPr>
        <w:t>天。</w:t>
      </w:r>
    </w:p>
    <w:p w14:paraId="1B928CB2">
      <w:pPr>
        <w:spacing w:before="1" w:line="226" w:lineRule="auto"/>
        <w:ind w:left="6"/>
        <w:outlineLvl w:val="2"/>
        <w:rPr>
          <w:rFonts w:ascii="宋体" w:hAnsi="宋体" w:eastAsia="宋体" w:cs="宋体"/>
          <w:sz w:val="23"/>
          <w:szCs w:val="23"/>
        </w:rPr>
      </w:pPr>
      <w:bookmarkStart w:id="26" w:name="_bookmark27"/>
      <w:bookmarkEnd w:id="26"/>
      <w:r>
        <w:rPr>
          <w:rFonts w:ascii="Times New Roman" w:hAnsi="Times New Roman" w:eastAsia="Times New Roman" w:cs="Times New Roman"/>
          <w:b/>
          <w:bCs/>
          <w:spacing w:val="7"/>
          <w:sz w:val="23"/>
          <w:szCs w:val="23"/>
        </w:rPr>
        <w:t>2</w:t>
      </w:r>
      <w:r>
        <w:rPr>
          <w:rFonts w:ascii="Times New Roman" w:hAnsi="Times New Roman" w:eastAsia="Times New Roman" w:cs="Times New Roman"/>
          <w:b/>
          <w:bCs/>
          <w:spacing w:val="4"/>
          <w:sz w:val="23"/>
          <w:szCs w:val="23"/>
        </w:rPr>
        <w:t>.4.3</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14:textOutline w14:w="4356" w14:cap="sq" w14:cmpd="sng" w14:algn="ctr">
            <w14:solidFill>
              <w14:srgbClr w14:val="000000"/>
            </w14:solidFill>
            <w14:prstDash w14:val="solid"/>
            <w14:bevel/>
          </w14:textOutline>
        </w:rPr>
        <w:t>供电</w:t>
      </w:r>
    </w:p>
    <w:p w14:paraId="602C4248">
      <w:pPr>
        <w:spacing w:before="139" w:line="384" w:lineRule="auto"/>
        <w:ind w:left="9" w:firstLine="480"/>
        <w:rPr>
          <w:rFonts w:ascii="宋体" w:hAnsi="宋体" w:eastAsia="宋体" w:cs="宋体"/>
          <w:sz w:val="23"/>
          <w:szCs w:val="23"/>
        </w:rPr>
      </w:pPr>
      <w:r>
        <w:rPr>
          <w:rFonts w:ascii="宋体" w:hAnsi="宋体" w:eastAsia="宋体" w:cs="宋体"/>
          <w:spacing w:val="-11"/>
          <w:sz w:val="23"/>
          <w:szCs w:val="23"/>
        </w:rPr>
        <w:t>全</w:t>
      </w:r>
      <w:r>
        <w:rPr>
          <w:rFonts w:ascii="宋体" w:hAnsi="宋体" w:eastAsia="宋体" w:cs="宋体"/>
          <w:spacing w:val="-7"/>
          <w:sz w:val="23"/>
          <w:szCs w:val="23"/>
        </w:rPr>
        <w:t xml:space="preserve">场常用电有供料、抽水、照明、猪舍通风、污水处理等，项目全年用量约 </w:t>
      </w:r>
      <w:r>
        <w:rPr>
          <w:rFonts w:ascii="Times New Roman" w:hAnsi="Times New Roman" w:eastAsia="Times New Roman" w:cs="Times New Roman"/>
          <w:spacing w:val="-7"/>
          <w:sz w:val="23"/>
          <w:szCs w:val="23"/>
        </w:rPr>
        <w:t xml:space="preserve">120 </w:t>
      </w:r>
      <w:r>
        <w:rPr>
          <w:rFonts w:ascii="宋体" w:hAnsi="宋体" w:eastAsia="宋体" w:cs="宋体"/>
          <w:spacing w:val="-7"/>
          <w:sz w:val="23"/>
          <w:szCs w:val="23"/>
        </w:rPr>
        <w:t xml:space="preserve">万 </w:t>
      </w:r>
      <w:r>
        <w:rPr>
          <w:rFonts w:ascii="Times New Roman" w:hAnsi="Times New Roman" w:eastAsia="Times New Roman" w:cs="Times New Roman"/>
          <w:spacing w:val="-7"/>
          <w:sz w:val="23"/>
          <w:szCs w:val="23"/>
        </w:rPr>
        <w:t>kW ·h/a</w:t>
      </w:r>
      <w:r>
        <w:rPr>
          <w:rFonts w:ascii="宋体" w:hAnsi="宋体" w:eastAsia="宋体" w:cs="宋体"/>
          <w:spacing w:val="-7"/>
          <w:sz w:val="23"/>
          <w:szCs w:val="23"/>
        </w:rPr>
        <w:t>。</w:t>
      </w:r>
      <w:r>
        <w:rPr>
          <w:rFonts w:ascii="宋体" w:hAnsi="宋体" w:eastAsia="宋体" w:cs="宋体"/>
          <w:sz w:val="23"/>
          <w:szCs w:val="23"/>
        </w:rPr>
        <w:t xml:space="preserve"> </w:t>
      </w:r>
      <w:r>
        <w:rPr>
          <w:rFonts w:ascii="宋体" w:hAnsi="宋体" w:eastAsia="宋体" w:cs="宋体"/>
          <w:spacing w:val="14"/>
          <w:sz w:val="23"/>
          <w:szCs w:val="23"/>
        </w:rPr>
        <w:t>本</w:t>
      </w:r>
      <w:r>
        <w:rPr>
          <w:rFonts w:ascii="宋体" w:hAnsi="宋体" w:eastAsia="宋体" w:cs="宋体"/>
          <w:spacing w:val="8"/>
          <w:sz w:val="23"/>
          <w:szCs w:val="23"/>
        </w:rPr>
        <w:t>项</w:t>
      </w:r>
      <w:r>
        <w:rPr>
          <w:rFonts w:ascii="宋体" w:hAnsi="宋体" w:eastAsia="宋体" w:cs="宋体"/>
          <w:spacing w:val="7"/>
          <w:sz w:val="23"/>
          <w:szCs w:val="23"/>
        </w:rPr>
        <w:t>目不设锅炉，各生产设备和员工生活用电均引自当地乡镇电网供应，场区内设配电室供</w:t>
      </w:r>
      <w:r>
        <w:rPr>
          <w:rFonts w:ascii="宋体" w:hAnsi="宋体" w:eastAsia="宋体" w:cs="宋体"/>
          <w:sz w:val="23"/>
          <w:szCs w:val="23"/>
        </w:rPr>
        <w:t xml:space="preserve"> </w:t>
      </w:r>
      <w:r>
        <w:rPr>
          <w:rFonts w:ascii="宋体" w:hAnsi="宋体" w:eastAsia="宋体" w:cs="宋体"/>
          <w:spacing w:val="6"/>
          <w:sz w:val="23"/>
          <w:szCs w:val="23"/>
        </w:rPr>
        <w:t xml:space="preserve">电。场外国家电网 </w:t>
      </w:r>
      <w:r>
        <w:rPr>
          <w:rFonts w:ascii="Times New Roman" w:hAnsi="Times New Roman" w:eastAsia="Times New Roman" w:cs="Times New Roman"/>
          <w:spacing w:val="6"/>
          <w:sz w:val="23"/>
          <w:szCs w:val="23"/>
        </w:rPr>
        <w:t>10</w:t>
      </w:r>
      <w:r>
        <w:rPr>
          <w:rFonts w:ascii="Times New Roman" w:hAnsi="Times New Roman" w:eastAsia="Times New Roman" w:cs="Times New Roman"/>
          <w:sz w:val="23"/>
          <w:szCs w:val="23"/>
        </w:rPr>
        <w:t>KV</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供电线路输入场区内部配电室 (</w:t>
      </w:r>
      <w:r>
        <w:rPr>
          <w:rFonts w:ascii="Times New Roman" w:hAnsi="Times New Roman" w:eastAsia="Times New Roman" w:cs="Times New Roman"/>
          <w:spacing w:val="6"/>
          <w:sz w:val="23"/>
          <w:szCs w:val="23"/>
        </w:rPr>
        <w:t>1</w:t>
      </w:r>
      <w:r>
        <w:rPr>
          <w:rFonts w:ascii="宋体" w:hAnsi="宋体" w:eastAsia="宋体" w:cs="宋体"/>
          <w:spacing w:val="6"/>
          <w:sz w:val="23"/>
          <w:szCs w:val="23"/>
        </w:rPr>
        <w:t xml:space="preserve">个 </w:t>
      </w:r>
      <w:r>
        <w:rPr>
          <w:rFonts w:ascii="Times New Roman" w:hAnsi="Times New Roman" w:eastAsia="Times New Roman" w:cs="Times New Roman"/>
          <w:spacing w:val="6"/>
          <w:sz w:val="23"/>
          <w:szCs w:val="23"/>
        </w:rPr>
        <w:t>300</w:t>
      </w:r>
      <w:r>
        <w:rPr>
          <w:rFonts w:ascii="Times New Roman" w:hAnsi="Times New Roman" w:eastAsia="Times New Roman" w:cs="Times New Roman"/>
          <w:sz w:val="23"/>
          <w:szCs w:val="23"/>
        </w:rPr>
        <w:t>KVA</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变压器) 变压后进</w:t>
      </w:r>
      <w:r>
        <w:rPr>
          <w:rFonts w:ascii="宋体" w:hAnsi="宋体" w:eastAsia="宋体" w:cs="宋体"/>
          <w:spacing w:val="4"/>
          <w:sz w:val="23"/>
          <w:szCs w:val="23"/>
        </w:rPr>
        <w:t>入</w:t>
      </w:r>
      <w:r>
        <w:rPr>
          <w:rFonts w:ascii="宋体" w:hAnsi="宋体" w:eastAsia="宋体" w:cs="宋体"/>
          <w:sz w:val="23"/>
          <w:szCs w:val="23"/>
        </w:rPr>
        <w:t xml:space="preserve"> </w:t>
      </w:r>
      <w:r>
        <w:rPr>
          <w:rFonts w:ascii="宋体" w:hAnsi="宋体" w:eastAsia="宋体" w:cs="宋体"/>
          <w:spacing w:val="7"/>
          <w:sz w:val="23"/>
          <w:szCs w:val="23"/>
        </w:rPr>
        <w:t>低压控制室</w:t>
      </w:r>
      <w:r>
        <w:rPr>
          <w:rFonts w:ascii="宋体" w:hAnsi="宋体" w:eastAsia="宋体" w:cs="宋体"/>
          <w:spacing w:val="6"/>
          <w:sz w:val="23"/>
          <w:szCs w:val="23"/>
        </w:rPr>
        <w:t>。</w:t>
      </w:r>
    </w:p>
    <w:p w14:paraId="1CF7B826">
      <w:pPr>
        <w:spacing w:line="228" w:lineRule="auto"/>
        <w:ind w:left="6"/>
        <w:outlineLvl w:val="2"/>
        <w:rPr>
          <w:rFonts w:ascii="宋体" w:hAnsi="宋体" w:eastAsia="宋体" w:cs="宋体"/>
          <w:sz w:val="23"/>
          <w:szCs w:val="23"/>
        </w:rPr>
      </w:pPr>
      <w:bookmarkStart w:id="27" w:name="_bookmark28"/>
      <w:bookmarkEnd w:id="27"/>
      <w:r>
        <w:rPr>
          <w:rFonts w:ascii="Times New Roman" w:hAnsi="Times New Roman" w:eastAsia="Times New Roman" w:cs="Times New Roman"/>
          <w:b/>
          <w:bCs/>
          <w:spacing w:val="7"/>
          <w:sz w:val="23"/>
          <w:szCs w:val="23"/>
        </w:rPr>
        <w:t>2</w:t>
      </w:r>
      <w:r>
        <w:rPr>
          <w:rFonts w:ascii="Times New Roman" w:hAnsi="Times New Roman" w:eastAsia="Times New Roman" w:cs="Times New Roman"/>
          <w:b/>
          <w:bCs/>
          <w:spacing w:val="4"/>
          <w:sz w:val="23"/>
          <w:szCs w:val="23"/>
        </w:rPr>
        <w:t>.4.4</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14:textOutline w14:w="4356" w14:cap="sq" w14:cmpd="sng" w14:algn="ctr">
            <w14:solidFill>
              <w14:srgbClr w14:val="000000"/>
            </w14:solidFill>
            <w14:prstDash w14:val="solid"/>
            <w14:bevel/>
          </w14:textOutline>
        </w:rPr>
        <w:t>通风</w:t>
      </w:r>
    </w:p>
    <w:p w14:paraId="6660442C">
      <w:pPr>
        <w:spacing w:before="181" w:line="375" w:lineRule="auto"/>
        <w:ind w:left="46" w:right="83" w:firstLine="442"/>
        <w:rPr>
          <w:rFonts w:ascii="宋体" w:hAnsi="宋体" w:eastAsia="宋体" w:cs="宋体"/>
          <w:sz w:val="23"/>
          <w:szCs w:val="23"/>
        </w:rPr>
      </w:pPr>
      <w:r>
        <w:rPr>
          <w:rFonts w:ascii="宋体" w:hAnsi="宋体" w:eastAsia="宋体" w:cs="宋体"/>
          <w:spacing w:val="9"/>
          <w:sz w:val="23"/>
          <w:szCs w:val="23"/>
        </w:rPr>
        <w:t>对</w:t>
      </w:r>
      <w:r>
        <w:rPr>
          <w:rFonts w:ascii="宋体" w:hAnsi="宋体" w:eastAsia="宋体" w:cs="宋体"/>
          <w:spacing w:val="7"/>
          <w:sz w:val="23"/>
          <w:szCs w:val="23"/>
        </w:rPr>
        <w:t>饲养场设置通风系统，采取恒温风机控制，风机安装于远离道路一侧，合理安排通风</w:t>
      </w:r>
      <w:r>
        <w:rPr>
          <w:rFonts w:ascii="宋体" w:hAnsi="宋体" w:eastAsia="宋体" w:cs="宋体"/>
          <w:sz w:val="23"/>
          <w:szCs w:val="23"/>
        </w:rPr>
        <w:t xml:space="preserve"> </w:t>
      </w:r>
      <w:r>
        <w:rPr>
          <w:rFonts w:ascii="宋体" w:hAnsi="宋体" w:eastAsia="宋体" w:cs="宋体"/>
          <w:spacing w:val="16"/>
          <w:sz w:val="23"/>
          <w:szCs w:val="23"/>
        </w:rPr>
        <w:t>口位</w:t>
      </w:r>
      <w:r>
        <w:rPr>
          <w:rFonts w:ascii="宋体" w:hAnsi="宋体" w:eastAsia="宋体" w:cs="宋体"/>
          <w:spacing w:val="12"/>
          <w:sz w:val="23"/>
          <w:szCs w:val="23"/>
        </w:rPr>
        <w:t>置</w:t>
      </w:r>
      <w:r>
        <w:rPr>
          <w:rFonts w:ascii="宋体" w:hAnsi="宋体" w:eastAsia="宋体" w:cs="宋体"/>
          <w:spacing w:val="8"/>
          <w:sz w:val="23"/>
          <w:szCs w:val="23"/>
        </w:rPr>
        <w:t>，以加大舍内气流速度，保证气流均匀且能通过猪体周围，保证室内温度稳定。</w:t>
      </w:r>
    </w:p>
    <w:p w14:paraId="162438EF">
      <w:pPr>
        <w:spacing w:line="227" w:lineRule="auto"/>
        <w:ind w:left="6"/>
        <w:outlineLvl w:val="2"/>
        <w:rPr>
          <w:rFonts w:ascii="宋体" w:hAnsi="宋体" w:eastAsia="宋体" w:cs="宋体"/>
          <w:sz w:val="23"/>
          <w:szCs w:val="23"/>
        </w:rPr>
      </w:pPr>
      <w:bookmarkStart w:id="28" w:name="_bookmark29"/>
      <w:bookmarkEnd w:id="28"/>
      <w:r>
        <w:rPr>
          <w:rFonts w:ascii="Times New Roman" w:hAnsi="Times New Roman" w:eastAsia="Times New Roman" w:cs="Times New Roman"/>
          <w:b/>
          <w:bCs/>
          <w:spacing w:val="10"/>
          <w:sz w:val="23"/>
          <w:szCs w:val="23"/>
        </w:rPr>
        <w:t>2</w:t>
      </w:r>
      <w:r>
        <w:rPr>
          <w:rFonts w:ascii="Times New Roman" w:hAnsi="Times New Roman" w:eastAsia="Times New Roman" w:cs="Times New Roman"/>
          <w:b/>
          <w:bCs/>
          <w:spacing w:val="6"/>
          <w:sz w:val="23"/>
          <w:szCs w:val="23"/>
        </w:rPr>
        <w:t>.</w:t>
      </w:r>
      <w:r>
        <w:rPr>
          <w:rFonts w:ascii="Times New Roman" w:hAnsi="Times New Roman" w:eastAsia="Times New Roman" w:cs="Times New Roman"/>
          <w:b/>
          <w:bCs/>
          <w:spacing w:val="5"/>
          <w:sz w:val="23"/>
          <w:szCs w:val="23"/>
        </w:rPr>
        <w:t>4.5</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交通运输</w:t>
      </w:r>
    </w:p>
    <w:p w14:paraId="06A8E05A">
      <w:pPr>
        <w:spacing w:before="185" w:line="227" w:lineRule="auto"/>
        <w:ind w:left="610"/>
        <w:rPr>
          <w:rFonts w:ascii="宋体" w:hAnsi="宋体" w:eastAsia="宋体" w:cs="宋体"/>
          <w:sz w:val="23"/>
          <w:szCs w:val="23"/>
        </w:rPr>
      </w:pPr>
      <w:r>
        <w:rPr>
          <w:rFonts w:ascii="宋体" w:hAnsi="宋体" w:eastAsia="宋体" w:cs="宋体"/>
          <w:spacing w:val="18"/>
          <w:sz w:val="23"/>
          <w:szCs w:val="23"/>
        </w:rPr>
        <w:t>拟</w:t>
      </w:r>
      <w:r>
        <w:rPr>
          <w:rFonts w:ascii="宋体" w:hAnsi="宋体" w:eastAsia="宋体" w:cs="宋体"/>
          <w:spacing w:val="9"/>
          <w:sz w:val="23"/>
          <w:szCs w:val="23"/>
        </w:rPr>
        <w:t>建项目进厂的原材料和出厂的成品猪全部采用公路运输的方式。</w:t>
      </w:r>
    </w:p>
    <w:p w14:paraId="17B380AA">
      <w:pPr>
        <w:spacing w:before="182" w:line="375" w:lineRule="auto"/>
        <w:ind w:left="13" w:right="83" w:firstLine="478"/>
        <w:rPr>
          <w:rFonts w:ascii="宋体" w:hAnsi="宋体" w:eastAsia="宋体" w:cs="宋体"/>
          <w:sz w:val="23"/>
          <w:szCs w:val="23"/>
        </w:rPr>
      </w:pPr>
      <w:r>
        <w:rPr>
          <w:rFonts w:ascii="宋体" w:hAnsi="宋体" w:eastAsia="宋体" w:cs="宋体"/>
          <w:spacing w:val="7"/>
          <w:sz w:val="23"/>
          <w:szCs w:val="23"/>
        </w:rPr>
        <w:t>本项目所运物资和产品主要通过汽车运输。场内饲料及猪群转舍皆由场内自备的运输设</w:t>
      </w:r>
      <w:r>
        <w:rPr>
          <w:rFonts w:ascii="宋体" w:hAnsi="宋体" w:eastAsia="宋体" w:cs="宋体"/>
          <w:sz w:val="23"/>
          <w:szCs w:val="23"/>
        </w:rPr>
        <w:t xml:space="preserve"> </w:t>
      </w:r>
      <w:r>
        <w:rPr>
          <w:rFonts w:ascii="宋体" w:hAnsi="宋体" w:eastAsia="宋体" w:cs="宋体"/>
          <w:spacing w:val="18"/>
          <w:sz w:val="23"/>
          <w:szCs w:val="23"/>
        </w:rPr>
        <w:t>备</w:t>
      </w:r>
      <w:r>
        <w:rPr>
          <w:rFonts w:ascii="宋体" w:hAnsi="宋体" w:eastAsia="宋体" w:cs="宋体"/>
          <w:spacing w:val="12"/>
          <w:sz w:val="23"/>
          <w:szCs w:val="23"/>
        </w:rPr>
        <w:t>承</w:t>
      </w:r>
      <w:r>
        <w:rPr>
          <w:rFonts w:ascii="宋体" w:hAnsi="宋体" w:eastAsia="宋体" w:cs="宋体"/>
          <w:spacing w:val="9"/>
          <w:sz w:val="23"/>
          <w:szCs w:val="23"/>
        </w:rPr>
        <w:t>担，其他场外饲料、仔猪及副产品的运出任务，则主要利用社会运力承担。</w:t>
      </w:r>
    </w:p>
    <w:p w14:paraId="5C5BB46D">
      <w:pPr>
        <w:spacing w:before="1" w:line="227" w:lineRule="auto"/>
        <w:ind w:left="489"/>
        <w:rPr>
          <w:rFonts w:ascii="宋体" w:hAnsi="宋体" w:eastAsia="宋体" w:cs="宋体"/>
          <w:sz w:val="23"/>
          <w:szCs w:val="23"/>
        </w:rPr>
      </w:pPr>
      <w:r>
        <w:rPr>
          <w:rFonts w:ascii="宋体" w:hAnsi="宋体" w:eastAsia="宋体" w:cs="宋体"/>
          <w:spacing w:val="18"/>
          <w:sz w:val="23"/>
          <w:szCs w:val="23"/>
        </w:rPr>
        <w:t>场区</w:t>
      </w:r>
      <w:r>
        <w:rPr>
          <w:rFonts w:ascii="宋体" w:hAnsi="宋体" w:eastAsia="宋体" w:cs="宋体"/>
          <w:spacing w:val="9"/>
          <w:sz w:val="23"/>
          <w:szCs w:val="23"/>
        </w:rPr>
        <w:t>内部走向在设计时将人流、物流分开，防止交叉污染，并严格限制进厂的车辆。</w:t>
      </w:r>
    </w:p>
    <w:p w14:paraId="45259C0E">
      <w:pPr>
        <w:spacing w:before="185" w:line="227" w:lineRule="auto"/>
        <w:ind w:left="6"/>
        <w:outlineLvl w:val="2"/>
        <w:rPr>
          <w:rFonts w:ascii="宋体" w:hAnsi="宋体" w:eastAsia="宋体" w:cs="宋体"/>
          <w:sz w:val="23"/>
          <w:szCs w:val="23"/>
        </w:rPr>
      </w:pPr>
      <w:bookmarkStart w:id="29" w:name="_bookmark30"/>
      <w:bookmarkEnd w:id="29"/>
      <w:r>
        <w:rPr>
          <w:rFonts w:ascii="Times New Roman" w:hAnsi="Times New Roman" w:eastAsia="Times New Roman" w:cs="Times New Roman"/>
          <w:b/>
          <w:bCs/>
          <w:spacing w:val="12"/>
          <w:sz w:val="23"/>
          <w:szCs w:val="23"/>
        </w:rPr>
        <w:t>2</w:t>
      </w:r>
      <w:r>
        <w:rPr>
          <w:rFonts w:ascii="Times New Roman" w:hAnsi="Times New Roman" w:eastAsia="Times New Roman" w:cs="Times New Roman"/>
          <w:b/>
          <w:bCs/>
          <w:spacing w:val="6"/>
          <w:sz w:val="23"/>
          <w:szCs w:val="23"/>
        </w:rPr>
        <w:t>.4.6</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猪舍消毒措施</w:t>
      </w:r>
    </w:p>
    <w:p w14:paraId="4EE0927C">
      <w:pPr>
        <w:sectPr>
          <w:headerReference r:id="rId76" w:type="default"/>
          <w:footerReference r:id="rId77" w:type="default"/>
          <w:pgSz w:w="11907" w:h="16840"/>
          <w:pgMar w:top="829" w:right="1050" w:bottom="1139" w:left="1275" w:header="595" w:footer="953" w:gutter="0"/>
          <w:cols w:space="720" w:num="1"/>
        </w:sectPr>
      </w:pPr>
    </w:p>
    <w:p w14:paraId="1860913E">
      <w:pPr>
        <w:spacing w:before="146" w:line="227" w:lineRule="auto"/>
        <w:ind w:left="501"/>
        <w:rPr>
          <w:rFonts w:ascii="宋体" w:hAnsi="宋体" w:eastAsia="宋体" w:cs="宋体"/>
          <w:sz w:val="23"/>
          <w:szCs w:val="23"/>
        </w:rPr>
      </w:pPr>
      <w:r>
        <w:rPr>
          <w:rFonts w:ascii="宋体" w:hAnsi="宋体" w:eastAsia="宋体" w:cs="宋体"/>
          <w:spacing w:val="23"/>
          <w:sz w:val="23"/>
          <w:szCs w:val="23"/>
        </w:rPr>
        <w:t>(</w:t>
      </w:r>
      <w:r>
        <w:rPr>
          <w:rFonts w:ascii="Times New Roman" w:hAnsi="Times New Roman" w:eastAsia="Times New Roman" w:cs="Times New Roman"/>
          <w:spacing w:val="17"/>
          <w:sz w:val="23"/>
          <w:szCs w:val="23"/>
        </w:rPr>
        <w:t>1</w:t>
      </w:r>
      <w:r>
        <w:rPr>
          <w:rFonts w:ascii="宋体" w:hAnsi="宋体" w:eastAsia="宋体" w:cs="宋体"/>
          <w:spacing w:val="17"/>
          <w:sz w:val="23"/>
          <w:szCs w:val="23"/>
        </w:rPr>
        <w:t>) 喷雾消毒：</w:t>
      </w:r>
    </w:p>
    <w:p w14:paraId="4BB0A41B">
      <w:pPr>
        <w:spacing w:before="182" w:line="375" w:lineRule="auto"/>
        <w:ind w:left="10" w:right="77" w:firstLine="479"/>
        <w:rPr>
          <w:rFonts w:ascii="宋体" w:hAnsi="宋体" w:eastAsia="宋体" w:cs="宋体"/>
          <w:sz w:val="23"/>
          <w:szCs w:val="23"/>
        </w:rPr>
      </w:pPr>
      <w:r>
        <w:rPr>
          <w:rFonts w:ascii="宋体" w:hAnsi="宋体" w:eastAsia="宋体" w:cs="宋体"/>
          <w:spacing w:val="6"/>
          <w:sz w:val="23"/>
          <w:szCs w:val="23"/>
        </w:rPr>
        <w:t>采用电动喷雾器</w:t>
      </w:r>
      <w:r>
        <w:rPr>
          <w:rFonts w:ascii="宋体" w:hAnsi="宋体" w:eastAsia="宋体" w:cs="宋体"/>
          <w:spacing w:val="3"/>
          <w:sz w:val="23"/>
          <w:szCs w:val="23"/>
        </w:rPr>
        <w:t xml:space="preserve">进行雾化消毒 (每天一次) ，以每平方米喷雾 </w:t>
      </w:r>
      <w:r>
        <w:rPr>
          <w:rFonts w:ascii="Times New Roman" w:hAnsi="Times New Roman" w:eastAsia="Times New Roman" w:cs="Times New Roman"/>
          <w:spacing w:val="3"/>
          <w:sz w:val="23"/>
          <w:szCs w:val="23"/>
        </w:rPr>
        <w:t>30</w:t>
      </w:r>
      <w:r>
        <w:rPr>
          <w:rFonts w:ascii="Times New Roman" w:hAnsi="Times New Roman" w:eastAsia="Times New Roman" w:cs="Times New Roman"/>
          <w:sz w:val="23"/>
          <w:szCs w:val="23"/>
        </w:rPr>
        <w:t>ML</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 xml:space="preserve">，可喷雾 </w:t>
      </w:r>
      <w:r>
        <w:rPr>
          <w:rFonts w:ascii="Times New Roman" w:hAnsi="Times New Roman" w:eastAsia="Times New Roman" w:cs="Times New Roman"/>
          <w:spacing w:val="3"/>
          <w:sz w:val="23"/>
          <w:szCs w:val="23"/>
        </w:rPr>
        <w:t xml:space="preserve">500 </w:t>
      </w:r>
      <w:r>
        <w:rPr>
          <w:rFonts w:ascii="宋体" w:hAnsi="宋体" w:eastAsia="宋体" w:cs="宋体"/>
          <w:spacing w:val="3"/>
          <w:sz w:val="23"/>
          <w:szCs w:val="23"/>
        </w:rPr>
        <w:t>平方</w:t>
      </w:r>
      <w:r>
        <w:rPr>
          <w:rFonts w:ascii="宋体" w:hAnsi="宋体" w:eastAsia="宋体" w:cs="宋体"/>
          <w:sz w:val="23"/>
          <w:szCs w:val="23"/>
        </w:rPr>
        <w:t xml:space="preserve"> </w:t>
      </w:r>
      <w:r>
        <w:rPr>
          <w:rFonts w:ascii="宋体" w:hAnsi="宋体" w:eastAsia="宋体" w:cs="宋体"/>
          <w:spacing w:val="1"/>
          <w:sz w:val="23"/>
          <w:szCs w:val="23"/>
        </w:rPr>
        <w:t>米的畜禽舍；高温季节用电动喷雾</w:t>
      </w:r>
      <w:r>
        <w:rPr>
          <w:rFonts w:ascii="宋体" w:hAnsi="宋体" w:eastAsia="宋体" w:cs="宋体"/>
          <w:sz w:val="23"/>
          <w:szCs w:val="23"/>
        </w:rPr>
        <w:t xml:space="preserve">器，每 </w:t>
      </w:r>
      <w:r>
        <w:rPr>
          <w:rFonts w:ascii="Times New Roman" w:hAnsi="Times New Roman" w:eastAsia="Times New Roman" w:cs="Times New Roman"/>
          <w:sz w:val="23"/>
          <w:szCs w:val="23"/>
        </w:rPr>
        <w:t xml:space="preserve">15KG </w:t>
      </w:r>
      <w:r>
        <w:rPr>
          <w:rFonts w:ascii="宋体" w:hAnsi="宋体" w:eastAsia="宋体" w:cs="宋体"/>
          <w:sz w:val="23"/>
          <w:szCs w:val="23"/>
        </w:rPr>
        <w:t xml:space="preserve">水配 </w:t>
      </w:r>
      <w:r>
        <w:rPr>
          <w:rFonts w:ascii="Times New Roman" w:hAnsi="Times New Roman" w:eastAsia="Times New Roman" w:cs="Times New Roman"/>
          <w:sz w:val="23"/>
          <w:szCs w:val="23"/>
        </w:rPr>
        <w:t xml:space="preserve">30 </w:t>
      </w:r>
      <w:r>
        <w:rPr>
          <w:rFonts w:ascii="宋体" w:hAnsi="宋体" w:eastAsia="宋体" w:cs="宋体"/>
          <w:sz w:val="23"/>
          <w:szCs w:val="23"/>
        </w:rPr>
        <w:t xml:space="preserve">克卫可，以每平方米喷雾 </w:t>
      </w:r>
      <w:r>
        <w:rPr>
          <w:rFonts w:ascii="Times New Roman" w:hAnsi="Times New Roman" w:eastAsia="Times New Roman" w:cs="Times New Roman"/>
          <w:sz w:val="23"/>
          <w:szCs w:val="23"/>
        </w:rPr>
        <w:t xml:space="preserve">60ML </w:t>
      </w:r>
      <w:r>
        <w:rPr>
          <w:rFonts w:ascii="宋体" w:hAnsi="宋体" w:eastAsia="宋体" w:cs="宋体"/>
          <w:sz w:val="23"/>
          <w:szCs w:val="23"/>
        </w:rPr>
        <w:t xml:space="preserve">( 目 </w:t>
      </w:r>
      <w:r>
        <w:rPr>
          <w:rFonts w:ascii="宋体" w:hAnsi="宋体" w:eastAsia="宋体" w:cs="宋体"/>
          <w:spacing w:val="8"/>
          <w:sz w:val="23"/>
          <w:szCs w:val="23"/>
        </w:rPr>
        <w:t xml:space="preserve">的起到防暑降温的作用) </w:t>
      </w:r>
      <w:r>
        <w:rPr>
          <w:rFonts w:ascii="宋体" w:hAnsi="宋体" w:eastAsia="宋体" w:cs="宋体"/>
          <w:spacing w:val="6"/>
          <w:sz w:val="23"/>
          <w:szCs w:val="23"/>
        </w:rPr>
        <w:t>。</w:t>
      </w:r>
    </w:p>
    <w:p w14:paraId="52947C92">
      <w:pPr>
        <w:spacing w:line="227" w:lineRule="auto"/>
        <w:ind w:left="501"/>
        <w:rPr>
          <w:rFonts w:ascii="宋体" w:hAnsi="宋体" w:eastAsia="宋体" w:cs="宋体"/>
          <w:sz w:val="23"/>
          <w:szCs w:val="23"/>
        </w:rPr>
      </w:pPr>
      <w:r>
        <w:rPr>
          <w:rFonts w:ascii="宋体" w:hAnsi="宋体" w:eastAsia="宋体" w:cs="宋体"/>
          <w:spacing w:val="25"/>
          <w:sz w:val="23"/>
          <w:szCs w:val="23"/>
        </w:rPr>
        <w:t>(</w:t>
      </w:r>
      <w:r>
        <w:rPr>
          <w:rFonts w:ascii="Times New Roman" w:hAnsi="Times New Roman" w:eastAsia="Times New Roman" w:cs="Times New Roman"/>
          <w:spacing w:val="13"/>
          <w:sz w:val="23"/>
          <w:szCs w:val="23"/>
        </w:rPr>
        <w:t>2</w:t>
      </w:r>
      <w:r>
        <w:rPr>
          <w:rFonts w:ascii="宋体" w:hAnsi="宋体" w:eastAsia="宋体" w:cs="宋体"/>
          <w:spacing w:val="13"/>
          <w:sz w:val="23"/>
          <w:szCs w:val="23"/>
        </w:rPr>
        <w:t>) 当畜禽处于疫情敏感或发病时期：</w:t>
      </w:r>
    </w:p>
    <w:p w14:paraId="257BC1EF">
      <w:pPr>
        <w:spacing w:before="183" w:line="375" w:lineRule="auto"/>
        <w:ind w:left="14" w:right="80" w:firstLine="476"/>
        <w:rPr>
          <w:rFonts w:ascii="宋体" w:hAnsi="宋体" w:eastAsia="宋体" w:cs="宋体"/>
          <w:sz w:val="23"/>
          <w:szCs w:val="23"/>
        </w:rPr>
      </w:pPr>
      <w:r>
        <w:rPr>
          <w:rFonts w:ascii="宋体" w:hAnsi="宋体" w:eastAsia="宋体" w:cs="宋体"/>
          <w:spacing w:val="5"/>
          <w:sz w:val="23"/>
          <w:szCs w:val="23"/>
        </w:rPr>
        <w:t>使</w:t>
      </w:r>
      <w:r>
        <w:rPr>
          <w:rFonts w:ascii="宋体" w:hAnsi="宋体" w:eastAsia="宋体" w:cs="宋体"/>
          <w:spacing w:val="4"/>
          <w:sz w:val="23"/>
          <w:szCs w:val="23"/>
        </w:rPr>
        <w:t xml:space="preserve">用卫可 </w:t>
      </w:r>
      <w:r>
        <w:rPr>
          <w:rFonts w:ascii="Times New Roman" w:hAnsi="Times New Roman" w:eastAsia="Times New Roman" w:cs="Times New Roman"/>
          <w:spacing w:val="4"/>
          <w:sz w:val="23"/>
          <w:szCs w:val="23"/>
        </w:rPr>
        <w:t xml:space="preserve">1 </w:t>
      </w:r>
      <w:r>
        <w:rPr>
          <w:rFonts w:ascii="宋体" w:hAnsi="宋体" w:eastAsia="宋体" w:cs="宋体"/>
          <w:spacing w:val="4"/>
          <w:sz w:val="23"/>
          <w:szCs w:val="23"/>
        </w:rPr>
        <w:t>：</w:t>
      </w:r>
      <w:r>
        <w:rPr>
          <w:rFonts w:ascii="Times New Roman" w:hAnsi="Times New Roman" w:eastAsia="Times New Roman" w:cs="Times New Roman"/>
          <w:spacing w:val="4"/>
          <w:sz w:val="23"/>
          <w:szCs w:val="23"/>
        </w:rPr>
        <w:t xml:space="preserve">250 </w:t>
      </w:r>
      <w:r>
        <w:rPr>
          <w:rFonts w:ascii="宋体" w:hAnsi="宋体" w:eastAsia="宋体" w:cs="宋体"/>
          <w:spacing w:val="4"/>
          <w:sz w:val="23"/>
          <w:szCs w:val="23"/>
        </w:rPr>
        <w:t xml:space="preserve">喷雾消毒，每天 </w:t>
      </w:r>
      <w:r>
        <w:rPr>
          <w:rFonts w:ascii="Times New Roman" w:hAnsi="Times New Roman" w:eastAsia="Times New Roman" w:cs="Times New Roman"/>
          <w:spacing w:val="4"/>
          <w:sz w:val="23"/>
          <w:szCs w:val="23"/>
        </w:rPr>
        <w:t xml:space="preserve">2 </w:t>
      </w:r>
      <w:r>
        <w:rPr>
          <w:rFonts w:ascii="宋体" w:hAnsi="宋体" w:eastAsia="宋体" w:cs="宋体"/>
          <w:spacing w:val="4"/>
          <w:sz w:val="23"/>
          <w:szCs w:val="23"/>
        </w:rPr>
        <w:t xml:space="preserve">次，连续 </w:t>
      </w:r>
      <w:r>
        <w:rPr>
          <w:rFonts w:ascii="Times New Roman" w:hAnsi="Times New Roman" w:eastAsia="Times New Roman" w:cs="Times New Roman"/>
          <w:spacing w:val="4"/>
          <w:sz w:val="23"/>
          <w:szCs w:val="23"/>
        </w:rPr>
        <w:t xml:space="preserve">3-5 </w:t>
      </w:r>
      <w:r>
        <w:rPr>
          <w:rFonts w:ascii="宋体" w:hAnsi="宋体" w:eastAsia="宋体" w:cs="宋体"/>
          <w:spacing w:val="4"/>
          <w:sz w:val="23"/>
          <w:szCs w:val="23"/>
        </w:rPr>
        <w:t>天，或至疾病减缓及完全控制后恢复</w:t>
      </w:r>
      <w:r>
        <w:rPr>
          <w:rFonts w:ascii="宋体" w:hAnsi="宋体" w:eastAsia="宋体" w:cs="宋体"/>
          <w:sz w:val="23"/>
          <w:szCs w:val="23"/>
        </w:rPr>
        <w:t xml:space="preserve"> </w:t>
      </w:r>
      <w:r>
        <w:rPr>
          <w:rFonts w:ascii="宋体" w:hAnsi="宋体" w:eastAsia="宋体" w:cs="宋体"/>
          <w:spacing w:val="2"/>
          <w:sz w:val="23"/>
          <w:szCs w:val="23"/>
        </w:rPr>
        <w:t>正常用</w:t>
      </w:r>
      <w:r>
        <w:rPr>
          <w:rFonts w:ascii="宋体" w:hAnsi="宋体" w:eastAsia="宋体" w:cs="宋体"/>
          <w:spacing w:val="1"/>
          <w:sz w:val="23"/>
          <w:szCs w:val="23"/>
        </w:rPr>
        <w:t xml:space="preserve">法；同时配合卫可 </w:t>
      </w:r>
      <w:r>
        <w:rPr>
          <w:rFonts w:ascii="Times New Roman" w:hAnsi="Times New Roman" w:eastAsia="Times New Roman" w:cs="Times New Roman"/>
          <w:spacing w:val="1"/>
          <w:sz w:val="23"/>
          <w:szCs w:val="23"/>
        </w:rPr>
        <w:t xml:space="preserve">1 </w:t>
      </w:r>
      <w:r>
        <w:rPr>
          <w:rFonts w:ascii="宋体" w:hAnsi="宋体" w:eastAsia="宋体" w:cs="宋体"/>
          <w:spacing w:val="1"/>
          <w:sz w:val="23"/>
          <w:szCs w:val="23"/>
        </w:rPr>
        <w:t>：</w:t>
      </w:r>
      <w:r>
        <w:rPr>
          <w:rFonts w:ascii="Times New Roman" w:hAnsi="Times New Roman" w:eastAsia="Times New Roman" w:cs="Times New Roman"/>
          <w:spacing w:val="1"/>
          <w:sz w:val="23"/>
          <w:szCs w:val="23"/>
        </w:rPr>
        <w:t xml:space="preserve">1000 </w:t>
      </w:r>
      <w:r>
        <w:rPr>
          <w:rFonts w:ascii="宋体" w:hAnsi="宋体" w:eastAsia="宋体" w:cs="宋体"/>
          <w:spacing w:val="1"/>
          <w:sz w:val="23"/>
          <w:szCs w:val="23"/>
        </w:rPr>
        <w:t xml:space="preserve">饮水，每天 </w:t>
      </w:r>
      <w:r>
        <w:rPr>
          <w:rFonts w:ascii="Times New Roman" w:hAnsi="Times New Roman" w:eastAsia="Times New Roman" w:cs="Times New Roman"/>
          <w:spacing w:val="1"/>
          <w:sz w:val="23"/>
          <w:szCs w:val="23"/>
        </w:rPr>
        <w:t xml:space="preserve">1 </w:t>
      </w:r>
      <w:r>
        <w:rPr>
          <w:rFonts w:ascii="宋体" w:hAnsi="宋体" w:eastAsia="宋体" w:cs="宋体"/>
          <w:spacing w:val="1"/>
          <w:sz w:val="23"/>
          <w:szCs w:val="23"/>
        </w:rPr>
        <w:t>次；</w:t>
      </w:r>
    </w:p>
    <w:p w14:paraId="17CBBFF3">
      <w:pPr>
        <w:spacing w:before="2" w:line="373" w:lineRule="auto"/>
        <w:ind w:left="11" w:right="80" w:firstLine="479"/>
        <w:rPr>
          <w:rFonts w:ascii="宋体" w:hAnsi="宋体" w:eastAsia="宋体" w:cs="宋体"/>
          <w:sz w:val="23"/>
          <w:szCs w:val="23"/>
        </w:rPr>
      </w:pPr>
      <w:r>
        <w:rPr>
          <w:rFonts w:ascii="宋体" w:hAnsi="宋体" w:eastAsia="宋体" w:cs="宋体"/>
          <w:spacing w:val="8"/>
          <w:sz w:val="23"/>
          <w:szCs w:val="23"/>
        </w:rPr>
        <w:t>注</w:t>
      </w:r>
      <w:r>
        <w:rPr>
          <w:rFonts w:ascii="宋体" w:hAnsi="宋体" w:eastAsia="宋体" w:cs="宋体"/>
          <w:spacing w:val="7"/>
          <w:sz w:val="23"/>
          <w:szCs w:val="23"/>
        </w:rPr>
        <w:t>：圈舍消毒时可以关闭部分通风设备，高温季节最好选在清晨、傍晚凉爽时候关闭通</w:t>
      </w:r>
      <w:r>
        <w:rPr>
          <w:rFonts w:ascii="宋体" w:hAnsi="宋体" w:eastAsia="宋体" w:cs="宋体"/>
          <w:sz w:val="23"/>
          <w:szCs w:val="23"/>
        </w:rPr>
        <w:t xml:space="preserve"> </w:t>
      </w:r>
      <w:r>
        <w:rPr>
          <w:rFonts w:ascii="宋体" w:hAnsi="宋体" w:eastAsia="宋体" w:cs="宋体"/>
          <w:spacing w:val="9"/>
          <w:sz w:val="23"/>
          <w:szCs w:val="23"/>
        </w:rPr>
        <w:t>风</w:t>
      </w:r>
      <w:r>
        <w:rPr>
          <w:rFonts w:ascii="宋体" w:hAnsi="宋体" w:eastAsia="宋体" w:cs="宋体"/>
          <w:spacing w:val="6"/>
          <w:sz w:val="23"/>
          <w:szCs w:val="23"/>
        </w:rPr>
        <w:t>系统操作。</w:t>
      </w:r>
    </w:p>
    <w:p w14:paraId="7E8F83BF">
      <w:pPr>
        <w:spacing w:line="227" w:lineRule="auto"/>
        <w:ind w:left="501"/>
        <w:rPr>
          <w:rFonts w:ascii="宋体" w:hAnsi="宋体" w:eastAsia="宋体" w:cs="宋体"/>
          <w:sz w:val="23"/>
          <w:szCs w:val="23"/>
        </w:rPr>
      </w:pPr>
      <w:r>
        <w:rPr>
          <w:rFonts w:ascii="宋体" w:hAnsi="宋体" w:eastAsia="宋体" w:cs="宋体"/>
          <w:spacing w:val="23"/>
          <w:sz w:val="23"/>
          <w:szCs w:val="23"/>
        </w:rPr>
        <w:t>(</w:t>
      </w:r>
      <w:r>
        <w:rPr>
          <w:rFonts w:ascii="Times New Roman" w:hAnsi="Times New Roman" w:eastAsia="Times New Roman" w:cs="Times New Roman"/>
          <w:spacing w:val="17"/>
          <w:sz w:val="23"/>
          <w:szCs w:val="23"/>
        </w:rPr>
        <w:t>3</w:t>
      </w:r>
      <w:r>
        <w:rPr>
          <w:rFonts w:ascii="宋体" w:hAnsi="宋体" w:eastAsia="宋体" w:cs="宋体"/>
          <w:spacing w:val="17"/>
          <w:sz w:val="23"/>
          <w:szCs w:val="23"/>
        </w:rPr>
        <w:t>) 饮水消毒：</w:t>
      </w:r>
    </w:p>
    <w:p w14:paraId="62BE389C">
      <w:pPr>
        <w:spacing w:before="184" w:line="375" w:lineRule="auto"/>
        <w:ind w:left="39" w:right="80" w:firstLine="454"/>
        <w:rPr>
          <w:rFonts w:ascii="宋体" w:hAnsi="宋体" w:eastAsia="宋体" w:cs="宋体"/>
          <w:sz w:val="23"/>
          <w:szCs w:val="23"/>
        </w:rPr>
      </w:pPr>
      <w:r>
        <w:rPr>
          <w:rFonts w:ascii="宋体" w:hAnsi="宋体" w:eastAsia="宋体" w:cs="宋体"/>
          <w:spacing w:val="2"/>
          <w:sz w:val="23"/>
          <w:szCs w:val="23"/>
        </w:rPr>
        <w:t xml:space="preserve">首次清理：圈舍有畜禽的情况下用卫可 </w:t>
      </w:r>
      <w:r>
        <w:rPr>
          <w:rFonts w:ascii="Times New Roman" w:hAnsi="Times New Roman" w:eastAsia="Times New Roman" w:cs="Times New Roman"/>
          <w:spacing w:val="2"/>
          <w:sz w:val="23"/>
          <w:szCs w:val="23"/>
        </w:rPr>
        <w:t xml:space="preserve">1 </w:t>
      </w:r>
      <w:r>
        <w:rPr>
          <w:rFonts w:ascii="宋体" w:hAnsi="宋体" w:eastAsia="宋体" w:cs="宋体"/>
          <w:spacing w:val="2"/>
          <w:sz w:val="23"/>
          <w:szCs w:val="23"/>
        </w:rPr>
        <w:t>：</w:t>
      </w:r>
      <w:r>
        <w:rPr>
          <w:rFonts w:ascii="Times New Roman" w:hAnsi="Times New Roman" w:eastAsia="Times New Roman" w:cs="Times New Roman"/>
          <w:spacing w:val="2"/>
          <w:sz w:val="23"/>
          <w:szCs w:val="23"/>
        </w:rPr>
        <w:t xml:space="preserve">1000 </w:t>
      </w:r>
      <w:r>
        <w:rPr>
          <w:rFonts w:ascii="宋体" w:hAnsi="宋体" w:eastAsia="宋体" w:cs="宋体"/>
          <w:spacing w:val="2"/>
          <w:sz w:val="23"/>
          <w:szCs w:val="23"/>
        </w:rPr>
        <w:t xml:space="preserve">于傍晚时候添加一桶 (约 </w:t>
      </w:r>
      <w:r>
        <w:rPr>
          <w:rFonts w:ascii="Times New Roman" w:hAnsi="Times New Roman" w:eastAsia="Times New Roman" w:cs="Times New Roman"/>
          <w:spacing w:val="2"/>
          <w:sz w:val="23"/>
          <w:szCs w:val="23"/>
        </w:rPr>
        <w:t xml:space="preserve">200 </w:t>
      </w:r>
      <w:r>
        <w:rPr>
          <w:rFonts w:ascii="宋体" w:hAnsi="宋体" w:eastAsia="宋体" w:cs="宋体"/>
          <w:spacing w:val="2"/>
          <w:sz w:val="23"/>
          <w:szCs w:val="23"/>
        </w:rPr>
        <w:t>公斤</w:t>
      </w:r>
      <w:r>
        <w:rPr>
          <w:rFonts w:ascii="宋体" w:hAnsi="宋体" w:eastAsia="宋体" w:cs="宋体"/>
          <w:spacing w:val="1"/>
          <w:sz w:val="23"/>
          <w:szCs w:val="23"/>
        </w:rPr>
        <w:t>)</w:t>
      </w:r>
      <w:r>
        <w:rPr>
          <w:rFonts w:ascii="宋体" w:hAnsi="宋体" w:eastAsia="宋体" w:cs="宋体"/>
          <w:sz w:val="23"/>
          <w:szCs w:val="23"/>
        </w:rPr>
        <w:t xml:space="preserve"> 自 </w:t>
      </w:r>
      <w:r>
        <w:rPr>
          <w:rFonts w:ascii="宋体" w:hAnsi="宋体" w:eastAsia="宋体" w:cs="宋体"/>
          <w:spacing w:val="14"/>
          <w:sz w:val="23"/>
          <w:szCs w:val="23"/>
        </w:rPr>
        <w:t>由</w:t>
      </w:r>
      <w:r>
        <w:rPr>
          <w:rFonts w:ascii="宋体" w:hAnsi="宋体" w:eastAsia="宋体" w:cs="宋体"/>
          <w:spacing w:val="11"/>
          <w:sz w:val="23"/>
          <w:szCs w:val="23"/>
        </w:rPr>
        <w:t>饮</w:t>
      </w:r>
      <w:r>
        <w:rPr>
          <w:rFonts w:ascii="宋体" w:hAnsi="宋体" w:eastAsia="宋体" w:cs="宋体"/>
          <w:spacing w:val="7"/>
          <w:sz w:val="23"/>
          <w:szCs w:val="23"/>
        </w:rPr>
        <w:t>用，次日早上冲洗管线。连用两次即可。</w:t>
      </w:r>
    </w:p>
    <w:p w14:paraId="368EAD30">
      <w:pPr>
        <w:spacing w:line="227" w:lineRule="auto"/>
        <w:ind w:left="501"/>
        <w:rPr>
          <w:rFonts w:ascii="宋体" w:hAnsi="宋体" w:eastAsia="宋体" w:cs="宋体"/>
          <w:sz w:val="23"/>
          <w:szCs w:val="23"/>
        </w:rPr>
      </w:pPr>
      <w:r>
        <w:rPr>
          <w:rFonts w:ascii="宋体" w:hAnsi="宋体" w:eastAsia="宋体" w:cs="宋体"/>
          <w:spacing w:val="8"/>
          <w:sz w:val="23"/>
          <w:szCs w:val="23"/>
        </w:rPr>
        <w:t>(</w:t>
      </w:r>
      <w:r>
        <w:rPr>
          <w:rFonts w:ascii="Times New Roman" w:hAnsi="Times New Roman" w:eastAsia="Times New Roman" w:cs="Times New Roman"/>
          <w:spacing w:val="8"/>
          <w:sz w:val="23"/>
          <w:szCs w:val="23"/>
        </w:rPr>
        <w:t>4</w:t>
      </w:r>
      <w:r>
        <w:rPr>
          <w:rFonts w:ascii="宋体" w:hAnsi="宋体" w:eastAsia="宋体" w:cs="宋体"/>
          <w:spacing w:val="6"/>
          <w:sz w:val="23"/>
          <w:szCs w:val="23"/>
        </w:rPr>
        <w:t>)</w:t>
      </w:r>
      <w:r>
        <w:rPr>
          <w:rFonts w:ascii="宋体" w:hAnsi="宋体" w:eastAsia="宋体" w:cs="宋体"/>
          <w:spacing w:val="4"/>
          <w:sz w:val="23"/>
          <w:szCs w:val="23"/>
        </w:rPr>
        <w:t xml:space="preserve"> 洗手盆消毒：卫可 </w:t>
      </w:r>
      <w:r>
        <w:rPr>
          <w:rFonts w:ascii="Times New Roman" w:hAnsi="Times New Roman" w:eastAsia="Times New Roman" w:cs="Times New Roman"/>
          <w:spacing w:val="4"/>
          <w:sz w:val="23"/>
          <w:szCs w:val="23"/>
        </w:rPr>
        <w:t xml:space="preserve">1 </w:t>
      </w:r>
      <w:r>
        <w:rPr>
          <w:rFonts w:ascii="宋体" w:hAnsi="宋体" w:eastAsia="宋体" w:cs="宋体"/>
          <w:spacing w:val="4"/>
          <w:sz w:val="23"/>
          <w:szCs w:val="23"/>
        </w:rPr>
        <w:t>：</w:t>
      </w:r>
      <w:r>
        <w:rPr>
          <w:rFonts w:ascii="Times New Roman" w:hAnsi="Times New Roman" w:eastAsia="Times New Roman" w:cs="Times New Roman"/>
          <w:spacing w:val="4"/>
          <w:sz w:val="23"/>
          <w:szCs w:val="23"/>
        </w:rPr>
        <w:t xml:space="preserve">250 </w:t>
      </w:r>
      <w:r>
        <w:rPr>
          <w:rFonts w:ascii="宋体" w:hAnsi="宋体" w:eastAsia="宋体" w:cs="宋体"/>
          <w:spacing w:val="4"/>
          <w:sz w:val="23"/>
          <w:szCs w:val="23"/>
        </w:rPr>
        <w:t>，</w:t>
      </w:r>
      <w:r>
        <w:rPr>
          <w:rFonts w:ascii="Times New Roman" w:hAnsi="Times New Roman" w:eastAsia="Times New Roman" w:cs="Times New Roman"/>
          <w:spacing w:val="4"/>
          <w:sz w:val="23"/>
          <w:szCs w:val="23"/>
        </w:rPr>
        <w:t xml:space="preserve">5-7 </w:t>
      </w:r>
      <w:r>
        <w:rPr>
          <w:rFonts w:ascii="宋体" w:hAnsi="宋体" w:eastAsia="宋体" w:cs="宋体"/>
          <w:spacing w:val="4"/>
          <w:sz w:val="23"/>
          <w:szCs w:val="23"/>
        </w:rPr>
        <w:t>天更换一次。</w:t>
      </w:r>
    </w:p>
    <w:p w14:paraId="1A96CF39">
      <w:pPr>
        <w:spacing w:before="191" w:line="219" w:lineRule="auto"/>
        <w:ind w:left="7"/>
        <w:outlineLvl w:val="1"/>
        <w:rPr>
          <w:rFonts w:ascii="宋体" w:hAnsi="宋体" w:eastAsia="宋体" w:cs="宋体"/>
          <w:sz w:val="28"/>
          <w:szCs w:val="28"/>
        </w:rPr>
      </w:pPr>
      <w:bookmarkStart w:id="30" w:name="_bookmark31"/>
      <w:bookmarkEnd w:id="30"/>
      <w:r>
        <w:rPr>
          <w:rFonts w:ascii="Times New Roman" w:hAnsi="Times New Roman" w:eastAsia="Times New Roman" w:cs="Times New Roman"/>
          <w:b/>
          <w:bCs/>
          <w:spacing w:val="1"/>
          <w:sz w:val="28"/>
          <w:szCs w:val="28"/>
        </w:rPr>
        <w:t>2.5</w:t>
      </w:r>
      <w:r>
        <w:rPr>
          <w:rFonts w:ascii="Times New Roman" w:hAnsi="Times New Roman" w:eastAsia="Times New Roman" w:cs="Times New Roman"/>
          <w:spacing w:val="1"/>
          <w:sz w:val="28"/>
          <w:szCs w:val="28"/>
        </w:rPr>
        <w:t xml:space="preserve"> </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场区平面布置合理性分析</w:t>
      </w:r>
    </w:p>
    <w:p w14:paraId="26988DCF">
      <w:pPr>
        <w:spacing w:before="206" w:line="227" w:lineRule="auto"/>
        <w:ind w:left="6"/>
        <w:outlineLvl w:val="2"/>
        <w:rPr>
          <w:rFonts w:ascii="宋体" w:hAnsi="宋体" w:eastAsia="宋体" w:cs="宋体"/>
          <w:sz w:val="23"/>
          <w:szCs w:val="23"/>
        </w:rPr>
      </w:pPr>
      <w:bookmarkStart w:id="31" w:name="_bookmark32"/>
      <w:bookmarkEnd w:id="31"/>
      <w:r>
        <w:rPr>
          <w:rFonts w:ascii="Times New Roman" w:hAnsi="Times New Roman" w:eastAsia="Times New Roman" w:cs="Times New Roman"/>
          <w:b/>
          <w:bCs/>
          <w:spacing w:val="12"/>
          <w:sz w:val="23"/>
          <w:szCs w:val="23"/>
        </w:rPr>
        <w:t>2</w:t>
      </w:r>
      <w:r>
        <w:rPr>
          <w:rFonts w:ascii="Times New Roman" w:hAnsi="Times New Roman" w:eastAsia="Times New Roman" w:cs="Times New Roman"/>
          <w:b/>
          <w:bCs/>
          <w:spacing w:val="6"/>
          <w:sz w:val="23"/>
          <w:szCs w:val="23"/>
        </w:rPr>
        <w:t>.5.1</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场区总体布局</w:t>
      </w:r>
    </w:p>
    <w:p w14:paraId="4584F858">
      <w:pPr>
        <w:spacing w:before="184" w:line="375" w:lineRule="auto"/>
        <w:ind w:left="11" w:right="80" w:firstLine="480"/>
        <w:rPr>
          <w:rFonts w:ascii="宋体" w:hAnsi="宋体" w:eastAsia="宋体" w:cs="宋体"/>
          <w:sz w:val="23"/>
          <w:szCs w:val="23"/>
        </w:rPr>
      </w:pPr>
      <w:r>
        <w:rPr>
          <w:rFonts w:ascii="宋体" w:hAnsi="宋体" w:eastAsia="宋体" w:cs="宋体"/>
          <w:spacing w:val="7"/>
          <w:sz w:val="23"/>
          <w:szCs w:val="23"/>
        </w:rPr>
        <w:t>本项目场区呈不规则形状，地势教平整。总平面布置上结合场地周围环境情况，按工艺</w:t>
      </w:r>
      <w:r>
        <w:rPr>
          <w:rFonts w:ascii="宋体" w:hAnsi="宋体" w:eastAsia="宋体" w:cs="宋体"/>
          <w:sz w:val="23"/>
          <w:szCs w:val="23"/>
        </w:rPr>
        <w:t xml:space="preserve"> </w:t>
      </w:r>
      <w:r>
        <w:rPr>
          <w:rFonts w:ascii="宋体" w:hAnsi="宋体" w:eastAsia="宋体" w:cs="宋体"/>
          <w:spacing w:val="13"/>
          <w:sz w:val="23"/>
          <w:szCs w:val="23"/>
        </w:rPr>
        <w:t>流</w:t>
      </w:r>
      <w:r>
        <w:rPr>
          <w:rFonts w:ascii="宋体" w:hAnsi="宋体" w:eastAsia="宋体" w:cs="宋体"/>
          <w:spacing w:val="7"/>
          <w:sz w:val="23"/>
          <w:szCs w:val="23"/>
        </w:rPr>
        <w:t>程顺畅、运输及物流合理、生产管理方便、最大限度节约土地的原则进行布置。整个场区</w:t>
      </w:r>
      <w:r>
        <w:rPr>
          <w:rFonts w:ascii="宋体" w:hAnsi="宋体" w:eastAsia="宋体" w:cs="宋体"/>
          <w:sz w:val="23"/>
          <w:szCs w:val="23"/>
        </w:rPr>
        <w:t xml:space="preserve"> </w:t>
      </w:r>
      <w:r>
        <w:rPr>
          <w:rFonts w:ascii="宋体" w:hAnsi="宋体" w:eastAsia="宋体" w:cs="宋体"/>
          <w:spacing w:val="11"/>
          <w:sz w:val="23"/>
          <w:szCs w:val="23"/>
        </w:rPr>
        <w:t>分</w:t>
      </w:r>
      <w:r>
        <w:rPr>
          <w:rFonts w:ascii="宋体" w:hAnsi="宋体" w:eastAsia="宋体" w:cs="宋体"/>
          <w:spacing w:val="9"/>
          <w:sz w:val="23"/>
          <w:szCs w:val="23"/>
        </w:rPr>
        <w:t>为办公区、养殖区、粪污处理区设置，功能明确。</w:t>
      </w:r>
    </w:p>
    <w:p w14:paraId="19382003">
      <w:pPr>
        <w:spacing w:before="10" w:line="374" w:lineRule="auto"/>
        <w:ind w:left="8" w:firstLine="482"/>
        <w:rPr>
          <w:rFonts w:ascii="宋体" w:hAnsi="宋体" w:eastAsia="宋体" w:cs="宋体"/>
          <w:sz w:val="23"/>
          <w:szCs w:val="23"/>
        </w:rPr>
      </w:pPr>
      <w:r>
        <w:rPr>
          <w:rFonts w:ascii="宋体" w:hAnsi="宋体" w:eastAsia="宋体" w:cs="宋体"/>
          <w:spacing w:val="3"/>
          <w:sz w:val="23"/>
          <w:szCs w:val="23"/>
        </w:rPr>
        <w:t>本项目共设有一个主出入口，位于场区北侧，连接乡村道路，便于运输；两个侧出入口</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18"/>
          <w:sz w:val="23"/>
          <w:szCs w:val="23"/>
        </w:rPr>
        <w:t>分</w:t>
      </w:r>
      <w:r>
        <w:rPr>
          <w:rFonts w:ascii="宋体" w:hAnsi="宋体" w:eastAsia="宋体" w:cs="宋体"/>
          <w:spacing w:val="9"/>
          <w:sz w:val="23"/>
          <w:szCs w:val="23"/>
        </w:rPr>
        <w:t>别位于厂区西侧和西北侧，分别靠近猪舍和异位发酵床区，并连接乡村道路，方便运输。</w:t>
      </w:r>
      <w:r>
        <w:rPr>
          <w:rFonts w:ascii="宋体" w:hAnsi="宋体" w:eastAsia="宋体" w:cs="宋体"/>
          <w:sz w:val="23"/>
          <w:szCs w:val="23"/>
        </w:rPr>
        <w:t xml:space="preserve"> </w:t>
      </w:r>
      <w:r>
        <w:rPr>
          <w:rFonts w:ascii="宋体" w:hAnsi="宋体" w:eastAsia="宋体" w:cs="宋体"/>
          <w:spacing w:val="10"/>
          <w:sz w:val="23"/>
          <w:szCs w:val="23"/>
        </w:rPr>
        <w:t>主出入口</w:t>
      </w:r>
      <w:r>
        <w:rPr>
          <w:rFonts w:ascii="宋体" w:hAnsi="宋体" w:eastAsia="宋体" w:cs="宋体"/>
          <w:spacing w:val="9"/>
          <w:sz w:val="23"/>
          <w:szCs w:val="23"/>
        </w:rPr>
        <w:t>左</w:t>
      </w:r>
      <w:r>
        <w:rPr>
          <w:rFonts w:ascii="宋体" w:hAnsi="宋体" w:eastAsia="宋体" w:cs="宋体"/>
          <w:spacing w:val="5"/>
          <w:sz w:val="23"/>
          <w:szCs w:val="23"/>
        </w:rPr>
        <w:t xml:space="preserve">边为车辆消毒池和人工消毒通道，右侧为办公区；侧出入口 </w:t>
      </w:r>
      <w:r>
        <w:rPr>
          <w:rFonts w:ascii="Times New Roman" w:hAnsi="Times New Roman" w:eastAsia="Times New Roman" w:cs="Times New Roman"/>
          <w:spacing w:val="5"/>
          <w:sz w:val="23"/>
          <w:szCs w:val="23"/>
        </w:rPr>
        <w:t xml:space="preserve">1 </w:t>
      </w:r>
      <w:r>
        <w:rPr>
          <w:rFonts w:ascii="宋体" w:hAnsi="宋体" w:eastAsia="宋体" w:cs="宋体"/>
          <w:spacing w:val="5"/>
          <w:sz w:val="23"/>
          <w:szCs w:val="23"/>
        </w:rPr>
        <w:t>左侧为办公区，右</w:t>
      </w:r>
      <w:r>
        <w:rPr>
          <w:rFonts w:ascii="宋体" w:hAnsi="宋体" w:eastAsia="宋体" w:cs="宋体"/>
          <w:sz w:val="23"/>
          <w:szCs w:val="23"/>
        </w:rPr>
        <w:t xml:space="preserve"> </w:t>
      </w:r>
      <w:r>
        <w:rPr>
          <w:rFonts w:ascii="宋体" w:hAnsi="宋体" w:eastAsia="宋体" w:cs="宋体"/>
          <w:spacing w:val="16"/>
          <w:sz w:val="23"/>
          <w:szCs w:val="23"/>
        </w:rPr>
        <w:t>侧为</w:t>
      </w:r>
      <w:r>
        <w:rPr>
          <w:rFonts w:ascii="宋体" w:hAnsi="宋体" w:eastAsia="宋体" w:cs="宋体"/>
          <w:spacing w:val="13"/>
          <w:sz w:val="23"/>
          <w:szCs w:val="23"/>
        </w:rPr>
        <w:t>异</w:t>
      </w:r>
      <w:r>
        <w:rPr>
          <w:rFonts w:ascii="宋体" w:hAnsi="宋体" w:eastAsia="宋体" w:cs="宋体"/>
          <w:spacing w:val="8"/>
          <w:sz w:val="23"/>
          <w:szCs w:val="23"/>
        </w:rPr>
        <w:t>位发酵床、养殖废水化粪池；侧出入口</w:t>
      </w:r>
      <w:r>
        <w:rPr>
          <w:rFonts w:ascii="Times New Roman" w:hAnsi="Times New Roman" w:eastAsia="Times New Roman" w:cs="Times New Roman"/>
          <w:spacing w:val="8"/>
          <w:sz w:val="23"/>
          <w:szCs w:val="23"/>
        </w:rPr>
        <w:t xml:space="preserve">2 </w:t>
      </w:r>
      <w:r>
        <w:rPr>
          <w:rFonts w:ascii="宋体" w:hAnsi="宋体" w:eastAsia="宋体" w:cs="宋体"/>
          <w:spacing w:val="8"/>
          <w:sz w:val="23"/>
          <w:szCs w:val="23"/>
        </w:rPr>
        <w:t>左侧为隔离舍，右侧为猪舍，方便运输。正</w:t>
      </w:r>
      <w:r>
        <w:rPr>
          <w:rFonts w:ascii="宋体" w:hAnsi="宋体" w:eastAsia="宋体" w:cs="宋体"/>
          <w:sz w:val="23"/>
          <w:szCs w:val="23"/>
        </w:rPr>
        <w:t xml:space="preserve"> </w:t>
      </w:r>
      <w:r>
        <w:rPr>
          <w:rFonts w:ascii="宋体" w:hAnsi="宋体" w:eastAsia="宋体" w:cs="宋体"/>
          <w:spacing w:val="14"/>
          <w:sz w:val="23"/>
          <w:szCs w:val="23"/>
        </w:rPr>
        <w:t>对</w:t>
      </w:r>
      <w:r>
        <w:rPr>
          <w:rFonts w:ascii="宋体" w:hAnsi="宋体" w:eastAsia="宋体" w:cs="宋体"/>
          <w:spacing w:val="9"/>
          <w:sz w:val="23"/>
          <w:szCs w:val="23"/>
        </w:rPr>
        <w:t>大</w:t>
      </w:r>
      <w:r>
        <w:rPr>
          <w:rFonts w:ascii="宋体" w:hAnsi="宋体" w:eastAsia="宋体" w:cs="宋体"/>
          <w:spacing w:val="7"/>
          <w:sz w:val="23"/>
          <w:szCs w:val="23"/>
        </w:rPr>
        <w:t>门为养殖场内道路，连接场区与乡村道路，便于人流、车流出入。项目养殖区占了整个</w:t>
      </w:r>
      <w:r>
        <w:rPr>
          <w:rFonts w:ascii="宋体" w:hAnsi="宋体" w:eastAsia="宋体" w:cs="宋体"/>
          <w:sz w:val="23"/>
          <w:szCs w:val="23"/>
        </w:rPr>
        <w:t xml:space="preserve"> </w:t>
      </w:r>
      <w:r>
        <w:rPr>
          <w:rFonts w:ascii="宋体" w:hAnsi="宋体" w:eastAsia="宋体" w:cs="宋体"/>
          <w:spacing w:val="6"/>
          <w:sz w:val="23"/>
          <w:szCs w:val="23"/>
        </w:rPr>
        <w:t>项目的大部</w:t>
      </w:r>
      <w:r>
        <w:rPr>
          <w:rFonts w:ascii="宋体" w:hAnsi="宋体" w:eastAsia="宋体" w:cs="宋体"/>
          <w:spacing w:val="4"/>
          <w:sz w:val="23"/>
          <w:szCs w:val="23"/>
        </w:rPr>
        <w:t>分</w:t>
      </w:r>
      <w:r>
        <w:rPr>
          <w:rFonts w:ascii="宋体" w:hAnsi="宋体" w:eastAsia="宋体" w:cs="宋体"/>
          <w:spacing w:val="3"/>
          <w:sz w:val="23"/>
          <w:szCs w:val="23"/>
        </w:rPr>
        <w:t>区域，位于厂区东侧和南侧，此区域为整个场址中较为平坦的区域，便于土建、</w:t>
      </w:r>
      <w:r>
        <w:rPr>
          <w:rFonts w:ascii="宋体" w:hAnsi="宋体" w:eastAsia="宋体" w:cs="宋体"/>
          <w:sz w:val="23"/>
          <w:szCs w:val="23"/>
        </w:rPr>
        <w:t xml:space="preserve"> </w:t>
      </w:r>
      <w:r>
        <w:rPr>
          <w:rFonts w:ascii="宋体" w:hAnsi="宋体" w:eastAsia="宋体" w:cs="宋体"/>
          <w:spacing w:val="6"/>
          <w:sz w:val="23"/>
          <w:szCs w:val="23"/>
        </w:rPr>
        <w:t>减少建设成</w:t>
      </w:r>
      <w:r>
        <w:rPr>
          <w:rFonts w:ascii="宋体" w:hAnsi="宋体" w:eastAsia="宋体" w:cs="宋体"/>
          <w:spacing w:val="4"/>
          <w:sz w:val="23"/>
          <w:szCs w:val="23"/>
        </w:rPr>
        <w:t>本</w:t>
      </w:r>
      <w:r>
        <w:rPr>
          <w:rFonts w:ascii="宋体" w:hAnsi="宋体" w:eastAsia="宋体" w:cs="宋体"/>
          <w:spacing w:val="3"/>
          <w:sz w:val="23"/>
          <w:szCs w:val="23"/>
        </w:rPr>
        <w:t>，同时可尽可能远离敏感点；粪污处理区域位于项目西侧，办公生活区的南面，</w:t>
      </w:r>
      <w:r>
        <w:rPr>
          <w:rFonts w:ascii="宋体" w:hAnsi="宋体" w:eastAsia="宋体" w:cs="宋体"/>
          <w:sz w:val="23"/>
          <w:szCs w:val="23"/>
        </w:rPr>
        <w:t xml:space="preserve"> </w:t>
      </w:r>
      <w:r>
        <w:rPr>
          <w:rFonts w:ascii="宋体" w:hAnsi="宋体" w:eastAsia="宋体" w:cs="宋体"/>
          <w:spacing w:val="14"/>
          <w:sz w:val="23"/>
          <w:szCs w:val="23"/>
        </w:rPr>
        <w:t>处</w:t>
      </w:r>
      <w:r>
        <w:rPr>
          <w:rFonts w:ascii="宋体" w:hAnsi="宋体" w:eastAsia="宋体" w:cs="宋体"/>
          <w:spacing w:val="9"/>
          <w:sz w:val="23"/>
          <w:szCs w:val="23"/>
        </w:rPr>
        <w:t>于</w:t>
      </w:r>
      <w:r>
        <w:rPr>
          <w:rFonts w:ascii="宋体" w:hAnsi="宋体" w:eastAsia="宋体" w:cs="宋体"/>
          <w:spacing w:val="7"/>
          <w:sz w:val="23"/>
          <w:szCs w:val="23"/>
        </w:rPr>
        <w:t>办公生活区下风向；项目整体布设，办公生活区位于厂区北侧，整个养殖、粪污处理区</w:t>
      </w:r>
      <w:r>
        <w:rPr>
          <w:rFonts w:ascii="宋体" w:hAnsi="宋体" w:eastAsia="宋体" w:cs="宋体"/>
          <w:sz w:val="23"/>
          <w:szCs w:val="23"/>
        </w:rPr>
        <w:t xml:space="preserve"> </w:t>
      </w:r>
      <w:r>
        <w:rPr>
          <w:rFonts w:ascii="宋体" w:hAnsi="宋体" w:eastAsia="宋体" w:cs="宋体"/>
          <w:spacing w:val="14"/>
          <w:sz w:val="23"/>
          <w:szCs w:val="23"/>
        </w:rPr>
        <w:t>域</w:t>
      </w:r>
      <w:r>
        <w:rPr>
          <w:rFonts w:ascii="宋体" w:hAnsi="宋体" w:eastAsia="宋体" w:cs="宋体"/>
          <w:spacing w:val="9"/>
          <w:sz w:val="23"/>
          <w:szCs w:val="23"/>
        </w:rPr>
        <w:t>的</w:t>
      </w:r>
      <w:r>
        <w:rPr>
          <w:rFonts w:ascii="宋体" w:hAnsi="宋体" w:eastAsia="宋体" w:cs="宋体"/>
          <w:spacing w:val="7"/>
          <w:sz w:val="23"/>
          <w:szCs w:val="23"/>
        </w:rPr>
        <w:t>上风向，有效减少了养殖及污水处理过程中恶臭对办公生活区的影响；集污池和异位微</w:t>
      </w:r>
      <w:r>
        <w:rPr>
          <w:rFonts w:ascii="宋体" w:hAnsi="宋体" w:eastAsia="宋体" w:cs="宋体"/>
          <w:sz w:val="23"/>
          <w:szCs w:val="23"/>
        </w:rPr>
        <w:t xml:space="preserve"> </w:t>
      </w:r>
      <w:r>
        <w:rPr>
          <w:rFonts w:ascii="宋体" w:hAnsi="宋体" w:eastAsia="宋体" w:cs="宋体"/>
          <w:spacing w:val="14"/>
          <w:sz w:val="23"/>
          <w:szCs w:val="23"/>
        </w:rPr>
        <w:t>生</w:t>
      </w:r>
      <w:r>
        <w:rPr>
          <w:rFonts w:ascii="宋体" w:hAnsi="宋体" w:eastAsia="宋体" w:cs="宋体"/>
          <w:spacing w:val="9"/>
          <w:sz w:val="23"/>
          <w:szCs w:val="23"/>
        </w:rPr>
        <w:t>物</w:t>
      </w:r>
      <w:r>
        <w:rPr>
          <w:rFonts w:ascii="宋体" w:hAnsi="宋体" w:eastAsia="宋体" w:cs="宋体"/>
          <w:spacing w:val="7"/>
          <w:sz w:val="23"/>
          <w:szCs w:val="23"/>
        </w:rPr>
        <w:t>发酵系统距离猪舍较近，便于废水收集与处理；此外，评价要求猪舍以及办公生活区域</w:t>
      </w:r>
      <w:r>
        <w:rPr>
          <w:rFonts w:ascii="宋体" w:hAnsi="宋体" w:eastAsia="宋体" w:cs="宋体"/>
          <w:sz w:val="23"/>
          <w:szCs w:val="23"/>
        </w:rPr>
        <w:t xml:space="preserve"> </w:t>
      </w:r>
      <w:r>
        <w:rPr>
          <w:rFonts w:ascii="宋体" w:hAnsi="宋体" w:eastAsia="宋体" w:cs="宋体"/>
          <w:spacing w:val="17"/>
          <w:sz w:val="23"/>
          <w:szCs w:val="23"/>
        </w:rPr>
        <w:t>与</w:t>
      </w:r>
      <w:r>
        <w:rPr>
          <w:rFonts w:ascii="宋体" w:hAnsi="宋体" w:eastAsia="宋体" w:cs="宋体"/>
          <w:spacing w:val="9"/>
          <w:sz w:val="23"/>
          <w:szCs w:val="23"/>
        </w:rPr>
        <w:t>粪污处理区域必须设置立体绿化隔离带，降低相互影响。</w:t>
      </w:r>
    </w:p>
    <w:p w14:paraId="1930D6FA">
      <w:pPr>
        <w:spacing w:before="1" w:line="383" w:lineRule="auto"/>
        <w:ind w:left="10" w:right="80" w:firstLine="486"/>
        <w:rPr>
          <w:rFonts w:ascii="宋体" w:hAnsi="宋体" w:eastAsia="宋体" w:cs="宋体"/>
          <w:sz w:val="23"/>
          <w:szCs w:val="23"/>
        </w:rPr>
      </w:pPr>
      <w:r>
        <w:rPr>
          <w:rFonts w:ascii="宋体" w:hAnsi="宋体" w:eastAsia="宋体" w:cs="宋体"/>
          <w:spacing w:val="7"/>
          <w:sz w:val="23"/>
          <w:szCs w:val="23"/>
        </w:rPr>
        <w:t>总体而言，项目区布设功能明确，互不干扰，在做好相应隔离的防范措施下，内部相</w:t>
      </w:r>
      <w:r>
        <w:rPr>
          <w:rFonts w:ascii="宋体" w:hAnsi="宋体" w:eastAsia="宋体" w:cs="宋体"/>
          <w:spacing w:val="1"/>
          <w:sz w:val="23"/>
          <w:szCs w:val="23"/>
        </w:rPr>
        <w:t>互</w:t>
      </w:r>
      <w:r>
        <w:rPr>
          <w:rFonts w:ascii="宋体" w:hAnsi="宋体" w:eastAsia="宋体" w:cs="宋体"/>
          <w:sz w:val="23"/>
          <w:szCs w:val="23"/>
        </w:rPr>
        <w:t xml:space="preserve"> </w:t>
      </w:r>
      <w:r>
        <w:rPr>
          <w:rFonts w:ascii="宋体" w:hAnsi="宋体" w:eastAsia="宋体" w:cs="宋体"/>
          <w:spacing w:val="14"/>
          <w:sz w:val="23"/>
          <w:szCs w:val="23"/>
        </w:rPr>
        <w:t>影</w:t>
      </w:r>
      <w:r>
        <w:rPr>
          <w:rFonts w:ascii="宋体" w:hAnsi="宋体" w:eastAsia="宋体" w:cs="宋体"/>
          <w:spacing w:val="7"/>
          <w:sz w:val="23"/>
          <w:szCs w:val="23"/>
        </w:rPr>
        <w:t>响较小。根据项目外环境，项目周边居民点主要位于项目东侧、北侧，均在卫生防护距离</w:t>
      </w:r>
    </w:p>
    <w:p w14:paraId="01B3FE08">
      <w:pPr>
        <w:sectPr>
          <w:headerReference r:id="rId78" w:type="default"/>
          <w:footerReference r:id="rId79" w:type="default"/>
          <w:pgSz w:w="11907" w:h="16840"/>
          <w:pgMar w:top="829" w:right="1053" w:bottom="1139" w:left="1275" w:header="595" w:footer="953" w:gutter="0"/>
          <w:cols w:space="720" w:num="1"/>
        </w:sectPr>
      </w:pPr>
    </w:p>
    <w:p w14:paraId="712517C6">
      <w:pPr>
        <w:spacing w:before="147" w:line="374" w:lineRule="auto"/>
        <w:ind w:left="120" w:right="107" w:firstLine="2"/>
        <w:rPr>
          <w:rFonts w:ascii="宋体" w:hAnsi="宋体" w:eastAsia="宋体" w:cs="宋体"/>
          <w:sz w:val="23"/>
          <w:szCs w:val="23"/>
        </w:rPr>
      </w:pPr>
      <w:r>
        <w:rPr>
          <w:rFonts w:ascii="宋体" w:hAnsi="宋体" w:eastAsia="宋体" w:cs="宋体"/>
          <w:spacing w:val="9"/>
          <w:sz w:val="23"/>
          <w:szCs w:val="23"/>
        </w:rPr>
        <w:t>外</w:t>
      </w:r>
      <w:r>
        <w:rPr>
          <w:rFonts w:ascii="宋体" w:hAnsi="宋体" w:eastAsia="宋体" w:cs="宋体"/>
          <w:spacing w:val="7"/>
          <w:sz w:val="23"/>
          <w:szCs w:val="23"/>
        </w:rPr>
        <w:t>，只要本项目加强运营期污染物治理，对周边敏感点的影响较小。本项目场区在布局上充</w:t>
      </w:r>
      <w:r>
        <w:rPr>
          <w:rFonts w:ascii="宋体" w:hAnsi="宋体" w:eastAsia="宋体" w:cs="宋体"/>
          <w:sz w:val="23"/>
          <w:szCs w:val="23"/>
        </w:rPr>
        <w:t xml:space="preserve"> </w:t>
      </w:r>
      <w:r>
        <w:rPr>
          <w:rFonts w:ascii="宋体" w:hAnsi="宋体" w:eastAsia="宋体" w:cs="宋体"/>
          <w:spacing w:val="12"/>
          <w:sz w:val="23"/>
          <w:szCs w:val="23"/>
        </w:rPr>
        <w:t>分</w:t>
      </w:r>
      <w:r>
        <w:rPr>
          <w:rFonts w:ascii="宋体" w:hAnsi="宋体" w:eastAsia="宋体" w:cs="宋体"/>
          <w:spacing w:val="7"/>
          <w:sz w:val="23"/>
          <w:szCs w:val="23"/>
        </w:rPr>
        <w:t>考虑了生产工艺的需求，各功能区分布明确，组织协作良好，同时满足消防、运输、卫生</w:t>
      </w:r>
      <w:r>
        <w:rPr>
          <w:rFonts w:ascii="宋体" w:hAnsi="宋体" w:eastAsia="宋体" w:cs="宋体"/>
          <w:sz w:val="23"/>
          <w:szCs w:val="23"/>
        </w:rPr>
        <w:t xml:space="preserve"> </w:t>
      </w:r>
      <w:r>
        <w:rPr>
          <w:rFonts w:ascii="宋体" w:hAnsi="宋体" w:eastAsia="宋体" w:cs="宋体"/>
          <w:spacing w:val="6"/>
          <w:sz w:val="23"/>
          <w:szCs w:val="23"/>
        </w:rPr>
        <w:t>等</w:t>
      </w:r>
      <w:r>
        <w:rPr>
          <w:rFonts w:ascii="宋体" w:hAnsi="宋体" w:eastAsia="宋体" w:cs="宋体"/>
          <w:spacing w:val="4"/>
          <w:sz w:val="23"/>
          <w:szCs w:val="23"/>
        </w:rPr>
        <w:t>要求。</w:t>
      </w:r>
    </w:p>
    <w:p w14:paraId="370E00D7">
      <w:pPr>
        <w:spacing w:line="226" w:lineRule="auto"/>
        <w:ind w:left="114"/>
        <w:outlineLvl w:val="2"/>
        <w:rPr>
          <w:rFonts w:ascii="宋体" w:hAnsi="宋体" w:eastAsia="宋体" w:cs="宋体"/>
          <w:sz w:val="23"/>
          <w:szCs w:val="23"/>
        </w:rPr>
      </w:pPr>
      <w:r>
        <w:rPr>
          <w:rFonts w:ascii="Times New Roman" w:hAnsi="Times New Roman" w:eastAsia="Times New Roman" w:cs="Times New Roman"/>
          <w:b/>
          <w:bCs/>
          <w:spacing w:val="13"/>
          <w:sz w:val="23"/>
          <w:szCs w:val="23"/>
        </w:rPr>
        <w:t>2</w:t>
      </w:r>
      <w:r>
        <w:rPr>
          <w:rFonts w:ascii="Times New Roman" w:hAnsi="Times New Roman" w:eastAsia="Times New Roman" w:cs="Times New Roman"/>
          <w:b/>
          <w:bCs/>
          <w:spacing w:val="8"/>
          <w:sz w:val="23"/>
          <w:szCs w:val="23"/>
        </w:rPr>
        <w:t>.5.2</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场区布局与有关规范要求的符合性</w:t>
      </w:r>
    </w:p>
    <w:p w14:paraId="2F4316E4">
      <w:pPr>
        <w:spacing w:before="141" w:line="387" w:lineRule="auto"/>
        <w:ind w:left="117" w:right="105" w:firstLine="480"/>
        <w:rPr>
          <w:rFonts w:ascii="宋体" w:hAnsi="宋体" w:eastAsia="宋体" w:cs="宋体"/>
          <w:sz w:val="23"/>
          <w:szCs w:val="23"/>
        </w:rPr>
      </w:pPr>
      <w:r>
        <w:rPr>
          <w:rFonts w:ascii="宋体" w:hAnsi="宋体" w:eastAsia="宋体" w:cs="宋体"/>
          <w:spacing w:val="14"/>
          <w:sz w:val="23"/>
          <w:szCs w:val="23"/>
        </w:rPr>
        <w:t>根</w:t>
      </w:r>
      <w:r>
        <w:rPr>
          <w:rFonts w:ascii="宋体" w:hAnsi="宋体" w:eastAsia="宋体" w:cs="宋体"/>
          <w:spacing w:val="7"/>
          <w:sz w:val="23"/>
          <w:szCs w:val="23"/>
        </w:rPr>
        <w:t>据《畜禽养殖业污染防治技术规范》  (</w:t>
      </w:r>
      <w:r>
        <w:rPr>
          <w:rFonts w:ascii="Times New Roman" w:hAnsi="Times New Roman" w:eastAsia="Times New Roman" w:cs="Times New Roman"/>
          <w:sz w:val="23"/>
          <w:szCs w:val="23"/>
        </w:rPr>
        <w:t>HJ</w:t>
      </w:r>
      <w:r>
        <w:rPr>
          <w:rFonts w:ascii="Times New Roman" w:hAnsi="Times New Roman" w:eastAsia="Times New Roman" w:cs="Times New Roman"/>
          <w:spacing w:val="7"/>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7"/>
          <w:sz w:val="23"/>
          <w:szCs w:val="23"/>
        </w:rPr>
        <w:t>81-2001</w:t>
      </w:r>
      <w:r>
        <w:rPr>
          <w:rFonts w:ascii="宋体" w:hAnsi="宋体" w:eastAsia="宋体" w:cs="宋体"/>
          <w:spacing w:val="7"/>
          <w:sz w:val="23"/>
          <w:szCs w:val="23"/>
        </w:rPr>
        <w:t>) 中场区布局有关要求，本项目</w:t>
      </w:r>
      <w:r>
        <w:rPr>
          <w:rFonts w:ascii="宋体" w:hAnsi="宋体" w:eastAsia="宋体" w:cs="宋体"/>
          <w:sz w:val="23"/>
          <w:szCs w:val="23"/>
        </w:rPr>
        <w:t xml:space="preserve"> </w:t>
      </w:r>
      <w:r>
        <w:rPr>
          <w:rFonts w:ascii="宋体" w:hAnsi="宋体" w:eastAsia="宋体" w:cs="宋体"/>
          <w:spacing w:val="4"/>
          <w:sz w:val="23"/>
          <w:szCs w:val="23"/>
        </w:rPr>
        <w:t>场</w:t>
      </w:r>
      <w:r>
        <w:rPr>
          <w:rFonts w:ascii="宋体" w:hAnsi="宋体" w:eastAsia="宋体" w:cs="宋体"/>
          <w:spacing w:val="3"/>
          <w:sz w:val="23"/>
          <w:szCs w:val="23"/>
        </w:rPr>
        <w:t>区</w:t>
      </w:r>
      <w:r>
        <w:rPr>
          <w:rFonts w:ascii="宋体" w:hAnsi="宋体" w:eastAsia="宋体" w:cs="宋体"/>
          <w:spacing w:val="2"/>
          <w:sz w:val="23"/>
          <w:szCs w:val="23"/>
        </w:rPr>
        <w:t xml:space="preserve">布局与其有关要求符合性见表 </w:t>
      </w:r>
      <w:r>
        <w:rPr>
          <w:rFonts w:ascii="Times New Roman" w:hAnsi="Times New Roman" w:eastAsia="Times New Roman" w:cs="Times New Roman"/>
          <w:spacing w:val="2"/>
          <w:sz w:val="23"/>
          <w:szCs w:val="23"/>
        </w:rPr>
        <w:t>2.5- 1</w:t>
      </w:r>
      <w:r>
        <w:rPr>
          <w:rFonts w:ascii="宋体" w:hAnsi="宋体" w:eastAsia="宋体" w:cs="宋体"/>
          <w:spacing w:val="2"/>
          <w:sz w:val="23"/>
          <w:szCs w:val="23"/>
        </w:rPr>
        <w:t>。</w:t>
      </w:r>
    </w:p>
    <w:p w14:paraId="3BD1FA0D">
      <w:pPr>
        <w:spacing w:before="13" w:line="222" w:lineRule="auto"/>
        <w:ind w:left="2010"/>
        <w:rPr>
          <w:rFonts w:ascii="黑体" w:hAnsi="黑体" w:eastAsia="黑体" w:cs="黑体"/>
          <w:sz w:val="23"/>
          <w:szCs w:val="23"/>
        </w:rPr>
      </w:pPr>
      <w:r>
        <w:rPr>
          <w:rFonts w:ascii="黑体" w:hAnsi="黑体" w:eastAsia="黑体" w:cs="黑体"/>
          <w:spacing w:val="6"/>
          <w:sz w:val="23"/>
          <w:szCs w:val="23"/>
        </w:rPr>
        <w:t xml:space="preserve">表 </w:t>
      </w:r>
      <w:r>
        <w:rPr>
          <w:rFonts w:ascii="Times New Roman" w:hAnsi="Times New Roman" w:eastAsia="Times New Roman" w:cs="Times New Roman"/>
          <w:spacing w:val="6"/>
          <w:sz w:val="23"/>
          <w:szCs w:val="23"/>
        </w:rPr>
        <w:t>2</w:t>
      </w:r>
      <w:r>
        <w:rPr>
          <w:rFonts w:ascii="Times New Roman" w:hAnsi="Times New Roman" w:eastAsia="Times New Roman" w:cs="Times New Roman"/>
          <w:spacing w:val="4"/>
          <w:sz w:val="23"/>
          <w:szCs w:val="23"/>
        </w:rPr>
        <w:t>.</w:t>
      </w:r>
      <w:r>
        <w:rPr>
          <w:rFonts w:ascii="Times New Roman" w:hAnsi="Times New Roman" w:eastAsia="Times New Roman" w:cs="Times New Roman"/>
          <w:spacing w:val="3"/>
          <w:sz w:val="23"/>
          <w:szCs w:val="23"/>
        </w:rPr>
        <w:t xml:space="preserve">5- 1      </w:t>
      </w:r>
      <w:r>
        <w:rPr>
          <w:rFonts w:ascii="黑体" w:hAnsi="黑体" w:eastAsia="黑体" w:cs="黑体"/>
          <w:spacing w:val="3"/>
          <w:sz w:val="23"/>
          <w:szCs w:val="23"/>
        </w:rPr>
        <w:t>本项目与有关规范场区布局要求符合性分析</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9"/>
        <w:gridCol w:w="4395"/>
        <w:gridCol w:w="3716"/>
        <w:gridCol w:w="872"/>
      </w:tblGrid>
      <w:tr w14:paraId="2FC12F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729" w:type="dxa"/>
            <w:tcBorders>
              <w:left w:val="nil"/>
            </w:tcBorders>
          </w:tcPr>
          <w:p w14:paraId="01729AAB">
            <w:pPr>
              <w:spacing w:before="210" w:line="229" w:lineRule="auto"/>
              <w:ind w:left="161"/>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4395" w:type="dxa"/>
          </w:tcPr>
          <w:p w14:paraId="24A452B6">
            <w:pPr>
              <w:spacing w:before="53" w:line="277" w:lineRule="auto"/>
              <w:ind w:left="894" w:right="621" w:hanging="261"/>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《畜禽养殖业污染防治技术规范</w:t>
            </w:r>
            <w:r>
              <w:rPr>
                <w:rFonts w:ascii="宋体" w:hAnsi="宋体" w:eastAsia="宋体" w:cs="宋体"/>
                <w:spacing w:val="8"/>
                <w:sz w:val="20"/>
                <w:szCs w:val="20"/>
                <w14:textOutline w14:w="3797" w14:cap="sq" w14:cmpd="sng" w14:algn="ctr">
                  <w14:solidFill>
                    <w14:srgbClr w14:val="000000"/>
                  </w14:solidFill>
                  <w14:prstDash w14:val="solid"/>
                  <w14:bevel/>
                </w14:textOutline>
              </w:rPr>
              <w:t>》</w:t>
            </w:r>
            <w:r>
              <w:rPr>
                <w:rFonts w:ascii="宋体" w:hAnsi="宋体" w:eastAsia="宋体" w:cs="宋体"/>
                <w:sz w:val="20"/>
                <w:szCs w:val="20"/>
              </w:rPr>
              <w:t xml:space="preserve"> </w:t>
            </w:r>
            <w:r>
              <w:rPr>
                <w:rFonts w:ascii="宋体" w:hAnsi="宋体" w:eastAsia="宋体" w:cs="宋体"/>
                <w:spacing w:val="15"/>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sz w:val="20"/>
                <w:szCs w:val="20"/>
              </w:rPr>
              <w:t>HJ</w:t>
            </w:r>
            <w:r>
              <w:rPr>
                <w:rFonts w:ascii="Times New Roman" w:hAnsi="Times New Roman" w:eastAsia="Times New Roman" w:cs="Times New Roman"/>
                <w:b/>
                <w:bCs/>
                <w:spacing w:val="13"/>
                <w:sz w:val="20"/>
                <w:szCs w:val="20"/>
              </w:rPr>
              <w:t>/</w:t>
            </w:r>
            <w:r>
              <w:rPr>
                <w:rFonts w:ascii="Times New Roman" w:hAnsi="Times New Roman" w:eastAsia="Times New Roman" w:cs="Times New Roman"/>
                <w:b/>
                <w:bCs/>
                <w:sz w:val="20"/>
                <w:szCs w:val="20"/>
              </w:rPr>
              <w:t>T</w:t>
            </w:r>
            <w:r>
              <w:rPr>
                <w:rFonts w:ascii="Times New Roman" w:hAnsi="Times New Roman" w:eastAsia="Times New Roman" w:cs="Times New Roman"/>
                <w:b/>
                <w:bCs/>
                <w:spacing w:val="13"/>
                <w:sz w:val="20"/>
                <w:szCs w:val="20"/>
              </w:rPr>
              <w:t>81-2001</w:t>
            </w:r>
            <w:r>
              <w:rPr>
                <w:rFonts w:ascii="宋体" w:hAnsi="宋体" w:eastAsia="宋体" w:cs="宋体"/>
                <w:spacing w:val="13"/>
                <w:sz w:val="20"/>
                <w:szCs w:val="20"/>
                <w14:textOutline w14:w="3797" w14:cap="sq" w14:cmpd="sng" w14:algn="ctr">
                  <w14:solidFill>
                    <w14:srgbClr w14:val="000000"/>
                  </w14:solidFill>
                  <w14:prstDash w14:val="solid"/>
                  <w14:bevel/>
                </w14:textOutline>
              </w:rPr>
              <w:t>)</w:t>
            </w:r>
            <w:r>
              <w:rPr>
                <w:rFonts w:ascii="宋体" w:hAnsi="宋体" w:eastAsia="宋体" w:cs="宋体"/>
                <w:spacing w:val="13"/>
                <w:sz w:val="20"/>
                <w:szCs w:val="20"/>
              </w:rPr>
              <w:t xml:space="preserve"> </w:t>
            </w:r>
            <w:r>
              <w:rPr>
                <w:rFonts w:ascii="宋体" w:hAnsi="宋体" w:eastAsia="宋体" w:cs="宋体"/>
                <w:spacing w:val="13"/>
                <w:sz w:val="20"/>
                <w:szCs w:val="20"/>
                <w14:textOutline w14:w="3797" w14:cap="sq" w14:cmpd="sng" w14:algn="ctr">
                  <w14:solidFill>
                    <w14:srgbClr w14:val="000000"/>
                  </w14:solidFill>
                  <w14:prstDash w14:val="solid"/>
                  <w14:bevel/>
                </w14:textOutline>
              </w:rPr>
              <w:t>中布局要求</w:t>
            </w:r>
          </w:p>
        </w:tc>
        <w:tc>
          <w:tcPr>
            <w:tcW w:w="3716" w:type="dxa"/>
          </w:tcPr>
          <w:p w14:paraId="4F05D99F">
            <w:pPr>
              <w:spacing w:before="210" w:line="227" w:lineRule="auto"/>
              <w:ind w:left="1339"/>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本</w:t>
            </w:r>
            <w:r>
              <w:rPr>
                <w:rFonts w:ascii="宋体" w:hAnsi="宋体" w:eastAsia="宋体" w:cs="宋体"/>
                <w:spacing w:val="8"/>
                <w:sz w:val="20"/>
                <w:szCs w:val="20"/>
                <w14:textOutline w14:w="3797" w14:cap="sq" w14:cmpd="sng" w14:algn="ctr">
                  <w14:solidFill>
                    <w14:srgbClr w14:val="000000"/>
                  </w14:solidFill>
                  <w14:prstDash w14:val="solid"/>
                  <w14:bevel/>
                </w14:textOutline>
              </w:rPr>
              <w:t>项目情况</w:t>
            </w:r>
          </w:p>
        </w:tc>
        <w:tc>
          <w:tcPr>
            <w:tcW w:w="872" w:type="dxa"/>
            <w:tcBorders>
              <w:right w:val="nil"/>
            </w:tcBorders>
          </w:tcPr>
          <w:p w14:paraId="2E7A955F">
            <w:pPr>
              <w:spacing w:before="210" w:line="228" w:lineRule="auto"/>
              <w:ind w:left="129"/>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符合性</w:t>
            </w:r>
          </w:p>
        </w:tc>
      </w:tr>
      <w:tr w14:paraId="708FF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3" w:hRule="atLeast"/>
        </w:trPr>
        <w:tc>
          <w:tcPr>
            <w:tcW w:w="729" w:type="dxa"/>
            <w:tcBorders>
              <w:left w:val="nil"/>
            </w:tcBorders>
          </w:tcPr>
          <w:p w14:paraId="213BF777">
            <w:pPr>
              <w:spacing w:line="262" w:lineRule="auto"/>
            </w:pPr>
          </w:p>
          <w:p w14:paraId="14915E75">
            <w:pPr>
              <w:spacing w:line="263" w:lineRule="auto"/>
            </w:pPr>
          </w:p>
          <w:p w14:paraId="27E17A42">
            <w:pPr>
              <w:spacing w:line="263" w:lineRule="auto"/>
            </w:pPr>
          </w:p>
          <w:p w14:paraId="101C01F5">
            <w:pPr>
              <w:spacing w:before="58" w:line="198" w:lineRule="auto"/>
              <w:ind w:left="236"/>
              <w:rPr>
                <w:rFonts w:ascii="Times New Roman" w:hAnsi="Times New Roman" w:eastAsia="Times New Roman" w:cs="Times New Roman"/>
                <w:sz w:val="20"/>
                <w:szCs w:val="20"/>
              </w:rPr>
            </w:pPr>
            <w:r>
              <w:rPr>
                <w:rFonts w:ascii="Times New Roman" w:hAnsi="Times New Roman" w:eastAsia="Times New Roman" w:cs="Times New Roman"/>
                <w:spacing w:val="10"/>
                <w:sz w:val="20"/>
                <w:szCs w:val="20"/>
              </w:rPr>
              <w:t>4.</w:t>
            </w:r>
            <w:r>
              <w:rPr>
                <w:rFonts w:ascii="Times New Roman" w:hAnsi="Times New Roman" w:eastAsia="Times New Roman" w:cs="Times New Roman"/>
                <w:spacing w:val="9"/>
                <w:sz w:val="20"/>
                <w:szCs w:val="20"/>
              </w:rPr>
              <w:t>1</w:t>
            </w:r>
          </w:p>
        </w:tc>
        <w:tc>
          <w:tcPr>
            <w:tcW w:w="4395" w:type="dxa"/>
          </w:tcPr>
          <w:p w14:paraId="1D83CE86">
            <w:pPr>
              <w:spacing w:line="278" w:lineRule="auto"/>
            </w:pPr>
          </w:p>
          <w:p w14:paraId="6496BF32">
            <w:pPr>
              <w:spacing w:before="65" w:line="295" w:lineRule="auto"/>
              <w:ind w:left="113" w:right="36"/>
              <w:rPr>
                <w:rFonts w:ascii="宋体" w:hAnsi="宋体" w:eastAsia="宋体" w:cs="宋体"/>
                <w:sz w:val="20"/>
                <w:szCs w:val="20"/>
              </w:rPr>
            </w:pPr>
            <w:r>
              <w:rPr>
                <w:rFonts w:ascii="宋体" w:hAnsi="宋体" w:eastAsia="宋体" w:cs="宋体"/>
                <w:spacing w:val="2"/>
                <w:sz w:val="20"/>
                <w:szCs w:val="20"/>
              </w:rPr>
              <w:t>新建、改建、扩建的畜禽养殖场应实现生产区</w:t>
            </w:r>
            <w:r>
              <w:rPr>
                <w:rFonts w:ascii="宋体" w:hAnsi="宋体" w:eastAsia="宋体" w:cs="宋体"/>
                <w:sz w:val="20"/>
                <w:szCs w:val="20"/>
              </w:rPr>
              <w:t xml:space="preserve">、 </w:t>
            </w:r>
            <w:r>
              <w:rPr>
                <w:rFonts w:ascii="宋体" w:hAnsi="宋体" w:eastAsia="宋体" w:cs="宋体"/>
                <w:spacing w:val="16"/>
                <w:sz w:val="20"/>
                <w:szCs w:val="20"/>
              </w:rPr>
              <w:t>生</w:t>
            </w:r>
            <w:r>
              <w:rPr>
                <w:rFonts w:ascii="宋体" w:hAnsi="宋体" w:eastAsia="宋体" w:cs="宋体"/>
                <w:spacing w:val="8"/>
                <w:sz w:val="20"/>
                <w:szCs w:val="20"/>
              </w:rPr>
              <w:t>活管理区的隔离，粪便污水处理设施和畜禽</w:t>
            </w:r>
            <w:r>
              <w:rPr>
                <w:rFonts w:ascii="宋体" w:hAnsi="宋体" w:eastAsia="宋体" w:cs="宋体"/>
                <w:sz w:val="20"/>
                <w:szCs w:val="20"/>
              </w:rPr>
              <w:t xml:space="preserve"> </w:t>
            </w:r>
            <w:r>
              <w:rPr>
                <w:rFonts w:ascii="宋体" w:hAnsi="宋体" w:eastAsia="宋体" w:cs="宋体"/>
                <w:spacing w:val="16"/>
                <w:sz w:val="20"/>
                <w:szCs w:val="20"/>
              </w:rPr>
              <w:t>尸</w:t>
            </w:r>
            <w:r>
              <w:rPr>
                <w:rFonts w:ascii="宋体" w:hAnsi="宋体" w:eastAsia="宋体" w:cs="宋体"/>
                <w:spacing w:val="8"/>
                <w:sz w:val="20"/>
                <w:szCs w:val="20"/>
              </w:rPr>
              <w:t>体焚烧炉应设在养殖场的生产区、生活管理</w:t>
            </w:r>
            <w:r>
              <w:rPr>
                <w:rFonts w:ascii="宋体" w:hAnsi="宋体" w:eastAsia="宋体" w:cs="宋体"/>
                <w:sz w:val="20"/>
                <w:szCs w:val="20"/>
              </w:rPr>
              <w:t xml:space="preserve"> </w:t>
            </w:r>
            <w:r>
              <w:rPr>
                <w:rFonts w:ascii="宋体" w:hAnsi="宋体" w:eastAsia="宋体" w:cs="宋体"/>
                <w:spacing w:val="15"/>
                <w:sz w:val="20"/>
                <w:szCs w:val="20"/>
              </w:rPr>
              <w:t>区</w:t>
            </w:r>
            <w:r>
              <w:rPr>
                <w:rFonts w:ascii="宋体" w:hAnsi="宋体" w:eastAsia="宋体" w:cs="宋体"/>
                <w:spacing w:val="9"/>
                <w:sz w:val="20"/>
                <w:szCs w:val="20"/>
              </w:rPr>
              <w:t>的常年主导风向的下风向或侧风向处</w:t>
            </w:r>
          </w:p>
        </w:tc>
        <w:tc>
          <w:tcPr>
            <w:tcW w:w="3716" w:type="dxa"/>
          </w:tcPr>
          <w:p w14:paraId="0631DD2D">
            <w:pPr>
              <w:spacing w:before="29" w:line="279" w:lineRule="auto"/>
              <w:ind w:left="114" w:right="105"/>
              <w:rPr>
                <w:rFonts w:ascii="宋体" w:hAnsi="宋体" w:eastAsia="宋体" w:cs="宋体"/>
                <w:sz w:val="20"/>
                <w:szCs w:val="20"/>
              </w:rPr>
            </w:pPr>
            <w:r>
              <w:rPr>
                <w:rFonts w:ascii="宋体" w:hAnsi="宋体" w:eastAsia="宋体" w:cs="宋体"/>
                <w:spacing w:val="20"/>
                <w:sz w:val="20"/>
                <w:szCs w:val="20"/>
              </w:rPr>
              <w:t>本</w:t>
            </w:r>
            <w:r>
              <w:rPr>
                <w:rFonts w:ascii="宋体" w:hAnsi="宋体" w:eastAsia="宋体" w:cs="宋体"/>
                <w:spacing w:val="18"/>
                <w:sz w:val="20"/>
                <w:szCs w:val="20"/>
              </w:rPr>
              <w:t>项目场区布局上实现了生产区和生</w:t>
            </w:r>
            <w:r>
              <w:rPr>
                <w:rFonts w:ascii="宋体" w:hAnsi="宋体" w:eastAsia="宋体" w:cs="宋体"/>
                <w:sz w:val="20"/>
                <w:szCs w:val="20"/>
              </w:rPr>
              <w:t xml:space="preserve"> </w:t>
            </w:r>
            <w:r>
              <w:rPr>
                <w:rFonts w:ascii="宋体" w:hAnsi="宋体" w:eastAsia="宋体" w:cs="宋体"/>
                <w:spacing w:val="8"/>
                <w:sz w:val="20"/>
                <w:szCs w:val="20"/>
              </w:rPr>
              <w:t>活</w:t>
            </w:r>
            <w:r>
              <w:rPr>
                <w:rFonts w:ascii="宋体" w:hAnsi="宋体" w:eastAsia="宋体" w:cs="宋体"/>
                <w:spacing w:val="5"/>
                <w:sz w:val="20"/>
                <w:szCs w:val="20"/>
              </w:rPr>
              <w:t>区的隔离；污水处理设施和猪舍位于</w:t>
            </w:r>
            <w:r>
              <w:rPr>
                <w:rFonts w:ascii="宋体" w:hAnsi="宋体" w:eastAsia="宋体" w:cs="宋体"/>
                <w:sz w:val="20"/>
                <w:szCs w:val="20"/>
              </w:rPr>
              <w:t xml:space="preserve"> </w:t>
            </w:r>
            <w:r>
              <w:rPr>
                <w:rFonts w:ascii="宋体" w:hAnsi="宋体" w:eastAsia="宋体" w:cs="宋体"/>
                <w:spacing w:val="8"/>
                <w:sz w:val="20"/>
                <w:szCs w:val="20"/>
              </w:rPr>
              <w:t>办</w:t>
            </w:r>
            <w:r>
              <w:rPr>
                <w:rFonts w:ascii="宋体" w:hAnsi="宋体" w:eastAsia="宋体" w:cs="宋体"/>
                <w:spacing w:val="5"/>
                <w:sz w:val="20"/>
                <w:szCs w:val="20"/>
              </w:rPr>
              <w:t>公生活区的下风向上，运营过程中对</w:t>
            </w:r>
            <w:r>
              <w:rPr>
                <w:rFonts w:ascii="宋体" w:hAnsi="宋体" w:eastAsia="宋体" w:cs="宋体"/>
                <w:sz w:val="20"/>
                <w:szCs w:val="20"/>
              </w:rPr>
              <w:t xml:space="preserve"> </w:t>
            </w:r>
            <w:r>
              <w:rPr>
                <w:rFonts w:ascii="宋体" w:hAnsi="宋体" w:eastAsia="宋体" w:cs="宋体"/>
                <w:spacing w:val="10"/>
                <w:sz w:val="20"/>
                <w:szCs w:val="20"/>
              </w:rPr>
              <w:t>其</w:t>
            </w:r>
            <w:r>
              <w:rPr>
                <w:rFonts w:ascii="宋体" w:hAnsi="宋体" w:eastAsia="宋体" w:cs="宋体"/>
                <w:spacing w:val="6"/>
                <w:sz w:val="20"/>
                <w:szCs w:val="20"/>
              </w:rPr>
              <w:t>影</w:t>
            </w:r>
            <w:r>
              <w:rPr>
                <w:rFonts w:ascii="宋体" w:hAnsi="宋体" w:eastAsia="宋体" w:cs="宋体"/>
                <w:spacing w:val="5"/>
                <w:sz w:val="20"/>
                <w:szCs w:val="20"/>
              </w:rPr>
              <w:t>响较小，评价要求污水处理设施与</w:t>
            </w:r>
            <w:r>
              <w:rPr>
                <w:rFonts w:ascii="宋体" w:hAnsi="宋体" w:eastAsia="宋体" w:cs="宋体"/>
                <w:sz w:val="20"/>
                <w:szCs w:val="20"/>
              </w:rPr>
              <w:t xml:space="preserve"> </w:t>
            </w:r>
            <w:r>
              <w:rPr>
                <w:rFonts w:ascii="宋体" w:hAnsi="宋体" w:eastAsia="宋体" w:cs="宋体"/>
                <w:spacing w:val="10"/>
                <w:sz w:val="20"/>
                <w:szCs w:val="20"/>
              </w:rPr>
              <w:t>养</w:t>
            </w:r>
            <w:r>
              <w:rPr>
                <w:rFonts w:ascii="宋体" w:hAnsi="宋体" w:eastAsia="宋体" w:cs="宋体"/>
                <w:spacing w:val="6"/>
                <w:sz w:val="20"/>
                <w:szCs w:val="20"/>
              </w:rPr>
              <w:t>殖</w:t>
            </w:r>
            <w:r>
              <w:rPr>
                <w:rFonts w:ascii="宋体" w:hAnsi="宋体" w:eastAsia="宋体" w:cs="宋体"/>
                <w:spacing w:val="5"/>
                <w:sz w:val="20"/>
                <w:szCs w:val="20"/>
              </w:rPr>
              <w:t>区设置立体绿化作为屏障，互不干</w:t>
            </w:r>
            <w:r>
              <w:rPr>
                <w:rFonts w:ascii="宋体" w:hAnsi="宋体" w:eastAsia="宋体" w:cs="宋体"/>
                <w:sz w:val="20"/>
                <w:szCs w:val="20"/>
              </w:rPr>
              <w:t xml:space="preserve"> 扰。</w:t>
            </w:r>
          </w:p>
        </w:tc>
        <w:tc>
          <w:tcPr>
            <w:tcW w:w="872" w:type="dxa"/>
            <w:tcBorders>
              <w:right w:val="nil"/>
            </w:tcBorders>
          </w:tcPr>
          <w:p w14:paraId="41FEAC10">
            <w:pPr>
              <w:spacing w:line="247" w:lineRule="auto"/>
            </w:pPr>
          </w:p>
          <w:p w14:paraId="621BBBCD">
            <w:pPr>
              <w:spacing w:line="248" w:lineRule="auto"/>
            </w:pPr>
          </w:p>
          <w:p w14:paraId="5D008714">
            <w:pPr>
              <w:spacing w:line="248" w:lineRule="auto"/>
            </w:pPr>
          </w:p>
          <w:p w14:paraId="784B01C6">
            <w:pPr>
              <w:spacing w:before="65" w:line="228" w:lineRule="auto"/>
              <w:ind w:left="235"/>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r w14:paraId="3FDF23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2" w:hRule="atLeast"/>
        </w:trPr>
        <w:tc>
          <w:tcPr>
            <w:tcW w:w="729" w:type="dxa"/>
            <w:tcBorders>
              <w:left w:val="nil"/>
            </w:tcBorders>
          </w:tcPr>
          <w:p w14:paraId="5F1A61ED">
            <w:pPr>
              <w:spacing w:line="264" w:lineRule="auto"/>
            </w:pPr>
          </w:p>
          <w:p w14:paraId="122B983E">
            <w:pPr>
              <w:spacing w:line="264" w:lineRule="auto"/>
            </w:pPr>
          </w:p>
          <w:p w14:paraId="2D7C3F84">
            <w:pPr>
              <w:spacing w:line="264" w:lineRule="auto"/>
            </w:pPr>
          </w:p>
          <w:p w14:paraId="129D7F40">
            <w:pPr>
              <w:spacing w:before="57" w:line="198" w:lineRule="auto"/>
              <w:ind w:left="23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4.2</w:t>
            </w:r>
          </w:p>
        </w:tc>
        <w:tc>
          <w:tcPr>
            <w:tcW w:w="4395" w:type="dxa"/>
          </w:tcPr>
          <w:p w14:paraId="3F277AFD">
            <w:pPr>
              <w:spacing w:line="434" w:lineRule="auto"/>
            </w:pPr>
          </w:p>
          <w:p w14:paraId="68A61359">
            <w:pPr>
              <w:spacing w:before="65" w:line="298" w:lineRule="auto"/>
              <w:ind w:left="110" w:right="106" w:firstLine="2"/>
              <w:rPr>
                <w:rFonts w:ascii="宋体" w:hAnsi="宋体" w:eastAsia="宋体" w:cs="宋体"/>
                <w:sz w:val="20"/>
                <w:szCs w:val="20"/>
              </w:rPr>
            </w:pPr>
            <w:r>
              <w:rPr>
                <w:rFonts w:ascii="宋体" w:hAnsi="宋体" w:eastAsia="宋体" w:cs="宋体"/>
                <w:spacing w:val="27"/>
                <w:sz w:val="20"/>
                <w:szCs w:val="20"/>
              </w:rPr>
              <w:t>养</w:t>
            </w:r>
            <w:r>
              <w:rPr>
                <w:rFonts w:ascii="宋体" w:hAnsi="宋体" w:eastAsia="宋体" w:cs="宋体"/>
                <w:spacing w:val="19"/>
                <w:sz w:val="20"/>
                <w:szCs w:val="20"/>
              </w:rPr>
              <w:t>殖场的排水系统应实行雨水和污水收集输</w:t>
            </w:r>
            <w:r>
              <w:rPr>
                <w:rFonts w:ascii="宋体" w:hAnsi="宋体" w:eastAsia="宋体" w:cs="宋体"/>
                <w:sz w:val="20"/>
                <w:szCs w:val="20"/>
              </w:rPr>
              <w:t xml:space="preserve"> </w:t>
            </w:r>
            <w:r>
              <w:rPr>
                <w:rFonts w:ascii="宋体" w:hAnsi="宋体" w:eastAsia="宋体" w:cs="宋体"/>
                <w:spacing w:val="16"/>
                <w:sz w:val="20"/>
                <w:szCs w:val="20"/>
              </w:rPr>
              <w:t>送</w:t>
            </w:r>
            <w:r>
              <w:rPr>
                <w:rFonts w:ascii="宋体" w:hAnsi="宋体" w:eastAsia="宋体" w:cs="宋体"/>
                <w:spacing w:val="12"/>
                <w:sz w:val="20"/>
                <w:szCs w:val="20"/>
              </w:rPr>
              <w:t>系</w:t>
            </w:r>
            <w:r>
              <w:rPr>
                <w:rFonts w:ascii="宋体" w:hAnsi="宋体" w:eastAsia="宋体" w:cs="宋体"/>
                <w:spacing w:val="8"/>
                <w:sz w:val="20"/>
                <w:szCs w:val="20"/>
              </w:rPr>
              <w:t>统分离，在场区内外设置的污水收集输送</w:t>
            </w:r>
            <w:r>
              <w:rPr>
                <w:rFonts w:ascii="宋体" w:hAnsi="宋体" w:eastAsia="宋体" w:cs="宋体"/>
                <w:sz w:val="20"/>
                <w:szCs w:val="20"/>
              </w:rPr>
              <w:t xml:space="preserve"> </w:t>
            </w:r>
            <w:r>
              <w:rPr>
                <w:rFonts w:ascii="宋体" w:hAnsi="宋体" w:eastAsia="宋体" w:cs="宋体"/>
                <w:spacing w:val="12"/>
                <w:sz w:val="20"/>
                <w:szCs w:val="20"/>
              </w:rPr>
              <w:t>系</w:t>
            </w:r>
            <w:r>
              <w:rPr>
                <w:rFonts w:ascii="宋体" w:hAnsi="宋体" w:eastAsia="宋体" w:cs="宋体"/>
                <w:spacing w:val="9"/>
                <w:sz w:val="20"/>
                <w:szCs w:val="20"/>
              </w:rPr>
              <w:t>统，不得采取明沟布设</w:t>
            </w:r>
          </w:p>
        </w:tc>
        <w:tc>
          <w:tcPr>
            <w:tcW w:w="3716" w:type="dxa"/>
          </w:tcPr>
          <w:p w14:paraId="46413C8F">
            <w:pPr>
              <w:tabs>
                <w:tab w:val="left" w:pos="223"/>
              </w:tabs>
              <w:spacing w:before="31" w:line="279" w:lineRule="auto"/>
              <w:ind w:left="115" w:right="105"/>
              <w:rPr>
                <w:rFonts w:ascii="宋体" w:hAnsi="宋体" w:eastAsia="宋体" w:cs="宋体"/>
                <w:sz w:val="20"/>
                <w:szCs w:val="20"/>
              </w:rPr>
            </w:pPr>
            <w:r>
              <w:rPr>
                <w:rFonts w:ascii="宋体" w:hAnsi="宋体" w:eastAsia="宋体" w:cs="宋体"/>
                <w:spacing w:val="20"/>
                <w:sz w:val="20"/>
                <w:szCs w:val="20"/>
              </w:rPr>
              <w:t>本</w:t>
            </w:r>
            <w:r>
              <w:rPr>
                <w:rFonts w:ascii="宋体" w:hAnsi="宋体" w:eastAsia="宋体" w:cs="宋体"/>
                <w:spacing w:val="18"/>
                <w:sz w:val="20"/>
                <w:szCs w:val="20"/>
              </w:rPr>
              <w:t>项目场区内实行了雨污分流，净区</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19"/>
                <w:sz w:val="20"/>
                <w:szCs w:val="20"/>
              </w:rPr>
              <w:t>(</w:t>
            </w:r>
            <w:r>
              <w:rPr>
                <w:rFonts w:ascii="宋体" w:hAnsi="宋体" w:eastAsia="宋体" w:cs="宋体"/>
                <w:spacing w:val="10"/>
                <w:sz w:val="20"/>
                <w:szCs w:val="20"/>
              </w:rPr>
              <w:t>办公生活区)雨水经雨水沟就近排入</w:t>
            </w:r>
            <w:r>
              <w:rPr>
                <w:rFonts w:ascii="宋体" w:hAnsi="宋体" w:eastAsia="宋体" w:cs="宋体"/>
                <w:sz w:val="20"/>
                <w:szCs w:val="20"/>
              </w:rPr>
              <w:t xml:space="preserve"> </w:t>
            </w:r>
            <w:r>
              <w:rPr>
                <w:rFonts w:ascii="宋体" w:hAnsi="宋体" w:eastAsia="宋体" w:cs="宋体"/>
                <w:spacing w:val="8"/>
                <w:sz w:val="20"/>
                <w:szCs w:val="20"/>
              </w:rPr>
              <w:t>季节性</w:t>
            </w:r>
            <w:r>
              <w:rPr>
                <w:rFonts w:ascii="宋体" w:hAnsi="宋体" w:eastAsia="宋体" w:cs="宋体"/>
                <w:spacing w:val="6"/>
                <w:sz w:val="20"/>
                <w:szCs w:val="20"/>
              </w:rPr>
              <w:t>山</w:t>
            </w:r>
            <w:r>
              <w:rPr>
                <w:rFonts w:ascii="宋体" w:hAnsi="宋体" w:eastAsia="宋体" w:cs="宋体"/>
                <w:spacing w:val="4"/>
                <w:sz w:val="20"/>
                <w:szCs w:val="20"/>
              </w:rPr>
              <w:t>洪沟，污区 (养殖区) 设置初</w:t>
            </w:r>
            <w:r>
              <w:rPr>
                <w:rFonts w:ascii="宋体" w:hAnsi="宋体" w:eastAsia="宋体" w:cs="宋体"/>
                <w:sz w:val="20"/>
                <w:szCs w:val="20"/>
              </w:rPr>
              <w:t xml:space="preserve"> </w:t>
            </w:r>
            <w:r>
              <w:rPr>
                <w:rFonts w:ascii="宋体" w:hAnsi="宋体" w:eastAsia="宋体" w:cs="宋体"/>
                <w:spacing w:val="7"/>
                <w:sz w:val="20"/>
                <w:szCs w:val="20"/>
              </w:rPr>
              <w:t>期</w:t>
            </w:r>
            <w:r>
              <w:rPr>
                <w:rFonts w:ascii="宋体" w:hAnsi="宋体" w:eastAsia="宋体" w:cs="宋体"/>
                <w:spacing w:val="5"/>
                <w:sz w:val="20"/>
                <w:szCs w:val="20"/>
              </w:rPr>
              <w:t>雨水收集池，初期雨水经简单沉淀处</w:t>
            </w:r>
            <w:r>
              <w:rPr>
                <w:rFonts w:ascii="宋体" w:hAnsi="宋体" w:eastAsia="宋体" w:cs="宋体"/>
                <w:sz w:val="20"/>
                <w:szCs w:val="20"/>
              </w:rPr>
              <w:t xml:space="preserve"> </w:t>
            </w:r>
            <w:r>
              <w:rPr>
                <w:rFonts w:ascii="宋体" w:hAnsi="宋体" w:eastAsia="宋体" w:cs="宋体"/>
                <w:spacing w:val="10"/>
                <w:sz w:val="20"/>
                <w:szCs w:val="20"/>
              </w:rPr>
              <w:t>理</w:t>
            </w:r>
            <w:r>
              <w:rPr>
                <w:rFonts w:ascii="宋体" w:hAnsi="宋体" w:eastAsia="宋体" w:cs="宋体"/>
                <w:spacing w:val="5"/>
                <w:sz w:val="20"/>
                <w:szCs w:val="20"/>
              </w:rPr>
              <w:t>后用于场内绿化用水，不外排，后期</w:t>
            </w:r>
            <w:r>
              <w:rPr>
                <w:rFonts w:ascii="宋体" w:hAnsi="宋体" w:eastAsia="宋体" w:cs="宋体"/>
                <w:sz w:val="20"/>
                <w:szCs w:val="20"/>
              </w:rPr>
              <w:t xml:space="preserve"> </w:t>
            </w:r>
            <w:r>
              <w:rPr>
                <w:rFonts w:ascii="宋体" w:hAnsi="宋体" w:eastAsia="宋体" w:cs="宋体"/>
                <w:spacing w:val="9"/>
                <w:sz w:val="20"/>
                <w:szCs w:val="20"/>
              </w:rPr>
              <w:t>雨水就近排入季节性山洪沟</w:t>
            </w:r>
          </w:p>
        </w:tc>
        <w:tc>
          <w:tcPr>
            <w:tcW w:w="872" w:type="dxa"/>
            <w:tcBorders>
              <w:right w:val="nil"/>
            </w:tcBorders>
          </w:tcPr>
          <w:p w14:paraId="4FBD241F">
            <w:pPr>
              <w:spacing w:line="255" w:lineRule="auto"/>
            </w:pPr>
          </w:p>
          <w:p w14:paraId="261FA1DD">
            <w:pPr>
              <w:spacing w:line="255" w:lineRule="auto"/>
            </w:pPr>
          </w:p>
          <w:p w14:paraId="269164A4">
            <w:pPr>
              <w:spacing w:line="255" w:lineRule="auto"/>
            </w:pPr>
          </w:p>
          <w:p w14:paraId="32CEBAC0">
            <w:pPr>
              <w:spacing w:before="65" w:line="228" w:lineRule="auto"/>
              <w:ind w:left="235"/>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r w14:paraId="57C55E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3" w:hRule="atLeast"/>
        </w:trPr>
        <w:tc>
          <w:tcPr>
            <w:tcW w:w="729" w:type="dxa"/>
            <w:tcBorders>
              <w:left w:val="nil"/>
            </w:tcBorders>
          </w:tcPr>
          <w:p w14:paraId="6E50989D">
            <w:pPr>
              <w:spacing w:line="275" w:lineRule="auto"/>
            </w:pPr>
          </w:p>
          <w:p w14:paraId="24FBB8A5">
            <w:pPr>
              <w:spacing w:line="276" w:lineRule="auto"/>
            </w:pPr>
          </w:p>
          <w:p w14:paraId="67E76449">
            <w:pPr>
              <w:spacing w:line="276" w:lineRule="auto"/>
            </w:pPr>
          </w:p>
          <w:p w14:paraId="32FF3643">
            <w:pPr>
              <w:spacing w:line="276" w:lineRule="auto"/>
            </w:pPr>
          </w:p>
          <w:p w14:paraId="03D177D8">
            <w:pPr>
              <w:spacing w:before="58" w:line="198" w:lineRule="auto"/>
              <w:ind w:left="23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4</w:t>
            </w:r>
            <w:r>
              <w:rPr>
                <w:rFonts w:ascii="Times New Roman" w:hAnsi="Times New Roman" w:eastAsia="Times New Roman" w:cs="Times New Roman"/>
                <w:spacing w:val="4"/>
                <w:sz w:val="20"/>
                <w:szCs w:val="20"/>
              </w:rPr>
              <w:t>.3</w:t>
            </w:r>
          </w:p>
        </w:tc>
        <w:tc>
          <w:tcPr>
            <w:tcW w:w="4395" w:type="dxa"/>
          </w:tcPr>
          <w:p w14:paraId="15EF423C">
            <w:pPr>
              <w:spacing w:line="296" w:lineRule="auto"/>
            </w:pPr>
          </w:p>
          <w:p w14:paraId="16CCA415">
            <w:pPr>
              <w:spacing w:line="297" w:lineRule="auto"/>
            </w:pPr>
          </w:p>
          <w:p w14:paraId="43BF7A84">
            <w:pPr>
              <w:spacing w:before="65" w:line="295" w:lineRule="auto"/>
              <w:ind w:left="113" w:right="104"/>
              <w:rPr>
                <w:rFonts w:ascii="宋体" w:hAnsi="宋体" w:eastAsia="宋体" w:cs="宋体"/>
                <w:sz w:val="20"/>
                <w:szCs w:val="20"/>
              </w:rPr>
            </w:pPr>
            <w:r>
              <w:rPr>
                <w:rFonts w:ascii="宋体" w:hAnsi="宋体" w:eastAsia="宋体" w:cs="宋体"/>
                <w:spacing w:val="16"/>
                <w:sz w:val="20"/>
                <w:szCs w:val="20"/>
              </w:rPr>
              <w:t>新</w:t>
            </w:r>
            <w:r>
              <w:rPr>
                <w:rFonts w:ascii="宋体" w:hAnsi="宋体" w:eastAsia="宋体" w:cs="宋体"/>
                <w:spacing w:val="11"/>
                <w:sz w:val="20"/>
                <w:szCs w:val="20"/>
              </w:rPr>
              <w:t>建</w:t>
            </w:r>
            <w:r>
              <w:rPr>
                <w:rFonts w:ascii="宋体" w:hAnsi="宋体" w:eastAsia="宋体" w:cs="宋体"/>
                <w:spacing w:val="8"/>
                <w:sz w:val="20"/>
                <w:szCs w:val="20"/>
              </w:rPr>
              <w:t>、改建、扩建的畜禽养殖场应采取干法清</w:t>
            </w:r>
            <w:r>
              <w:rPr>
                <w:rFonts w:ascii="宋体" w:hAnsi="宋体" w:eastAsia="宋体" w:cs="宋体"/>
                <w:sz w:val="20"/>
                <w:szCs w:val="20"/>
              </w:rPr>
              <w:t xml:space="preserve"> </w:t>
            </w:r>
            <w:r>
              <w:rPr>
                <w:rFonts w:ascii="宋体" w:hAnsi="宋体" w:eastAsia="宋体" w:cs="宋体"/>
                <w:spacing w:val="16"/>
                <w:sz w:val="20"/>
                <w:szCs w:val="20"/>
              </w:rPr>
              <w:t>粪</w:t>
            </w:r>
            <w:r>
              <w:rPr>
                <w:rFonts w:ascii="宋体" w:hAnsi="宋体" w:eastAsia="宋体" w:cs="宋体"/>
                <w:spacing w:val="11"/>
                <w:sz w:val="20"/>
                <w:szCs w:val="20"/>
              </w:rPr>
              <w:t>工</w:t>
            </w:r>
            <w:r>
              <w:rPr>
                <w:rFonts w:ascii="宋体" w:hAnsi="宋体" w:eastAsia="宋体" w:cs="宋体"/>
                <w:spacing w:val="8"/>
                <w:sz w:val="20"/>
                <w:szCs w:val="20"/>
              </w:rPr>
              <w:t>艺，采取有效措施将粪及时、单独清除，</w:t>
            </w:r>
            <w:r>
              <w:rPr>
                <w:rFonts w:ascii="宋体" w:hAnsi="宋体" w:eastAsia="宋体" w:cs="宋体"/>
                <w:sz w:val="20"/>
                <w:szCs w:val="20"/>
              </w:rPr>
              <w:t xml:space="preserve"> </w:t>
            </w:r>
            <w:r>
              <w:rPr>
                <w:rFonts w:ascii="宋体" w:hAnsi="宋体" w:eastAsia="宋体" w:cs="宋体"/>
                <w:spacing w:val="16"/>
                <w:sz w:val="20"/>
                <w:szCs w:val="20"/>
              </w:rPr>
              <w:t>不</w:t>
            </w:r>
            <w:r>
              <w:rPr>
                <w:rFonts w:ascii="宋体" w:hAnsi="宋体" w:eastAsia="宋体" w:cs="宋体"/>
                <w:spacing w:val="11"/>
                <w:sz w:val="20"/>
                <w:szCs w:val="20"/>
              </w:rPr>
              <w:t>可</w:t>
            </w:r>
            <w:r>
              <w:rPr>
                <w:rFonts w:ascii="宋体" w:hAnsi="宋体" w:eastAsia="宋体" w:cs="宋体"/>
                <w:spacing w:val="8"/>
                <w:sz w:val="20"/>
                <w:szCs w:val="20"/>
              </w:rPr>
              <w:t>与尿、污水混合排出，并将产生的粪渣及</w:t>
            </w:r>
            <w:r>
              <w:rPr>
                <w:rFonts w:ascii="宋体" w:hAnsi="宋体" w:eastAsia="宋体" w:cs="宋体"/>
                <w:sz w:val="20"/>
                <w:szCs w:val="20"/>
              </w:rPr>
              <w:t xml:space="preserve"> </w:t>
            </w:r>
            <w:r>
              <w:rPr>
                <w:rFonts w:ascii="宋体" w:hAnsi="宋体" w:eastAsia="宋体" w:cs="宋体"/>
                <w:spacing w:val="15"/>
                <w:sz w:val="20"/>
                <w:szCs w:val="20"/>
              </w:rPr>
              <w:t>时</w:t>
            </w:r>
            <w:r>
              <w:rPr>
                <w:rFonts w:ascii="宋体" w:hAnsi="宋体" w:eastAsia="宋体" w:cs="宋体"/>
                <w:spacing w:val="9"/>
                <w:sz w:val="20"/>
                <w:szCs w:val="20"/>
              </w:rPr>
              <w:t>运至贮存或处理场所，实现日产日清</w:t>
            </w:r>
          </w:p>
        </w:tc>
        <w:tc>
          <w:tcPr>
            <w:tcW w:w="3716" w:type="dxa"/>
          </w:tcPr>
          <w:p w14:paraId="23CBFF55">
            <w:pPr>
              <w:spacing w:before="36" w:line="288" w:lineRule="auto"/>
              <w:ind w:left="113" w:right="102" w:firstLine="4"/>
              <w:rPr>
                <w:rFonts w:ascii="宋体" w:hAnsi="宋体" w:eastAsia="宋体" w:cs="宋体"/>
                <w:sz w:val="20"/>
                <w:szCs w:val="20"/>
              </w:rPr>
            </w:pPr>
            <w:r>
              <w:rPr>
                <w:rFonts w:ascii="宋体" w:hAnsi="宋体" w:eastAsia="宋体" w:cs="宋体"/>
                <w:spacing w:val="7"/>
                <w:sz w:val="20"/>
                <w:szCs w:val="20"/>
              </w:rPr>
              <w:t>项</w:t>
            </w:r>
            <w:r>
              <w:rPr>
                <w:rFonts w:ascii="宋体" w:hAnsi="宋体" w:eastAsia="宋体" w:cs="宋体"/>
                <w:spacing w:val="5"/>
                <w:sz w:val="20"/>
                <w:szCs w:val="20"/>
              </w:rPr>
              <w:t>目采用高架网床的养殖模式，粪便通</w:t>
            </w:r>
            <w:r>
              <w:rPr>
                <w:rFonts w:ascii="宋体" w:hAnsi="宋体" w:eastAsia="宋体" w:cs="宋体"/>
                <w:sz w:val="20"/>
                <w:szCs w:val="20"/>
              </w:rPr>
              <w:t xml:space="preserve"> </w:t>
            </w:r>
            <w:r>
              <w:rPr>
                <w:rFonts w:ascii="宋体" w:hAnsi="宋体" w:eastAsia="宋体" w:cs="宋体"/>
                <w:spacing w:val="9"/>
                <w:sz w:val="20"/>
                <w:szCs w:val="20"/>
              </w:rPr>
              <w:t>过</w:t>
            </w:r>
            <w:r>
              <w:rPr>
                <w:rFonts w:ascii="宋体" w:hAnsi="宋体" w:eastAsia="宋体" w:cs="宋体"/>
                <w:spacing w:val="5"/>
                <w:sz w:val="20"/>
                <w:szCs w:val="20"/>
              </w:rPr>
              <w:t>机械刮粪的方式收集，在集污池与猪</w:t>
            </w:r>
            <w:r>
              <w:rPr>
                <w:rFonts w:ascii="宋体" w:hAnsi="宋体" w:eastAsia="宋体" w:cs="宋体"/>
                <w:sz w:val="20"/>
                <w:szCs w:val="20"/>
              </w:rPr>
              <w:t xml:space="preserve"> </w:t>
            </w:r>
            <w:r>
              <w:rPr>
                <w:rFonts w:ascii="宋体" w:hAnsi="宋体" w:eastAsia="宋体" w:cs="宋体"/>
                <w:spacing w:val="10"/>
                <w:sz w:val="20"/>
                <w:szCs w:val="20"/>
              </w:rPr>
              <w:t>尿</w:t>
            </w:r>
            <w:r>
              <w:rPr>
                <w:rFonts w:ascii="宋体" w:hAnsi="宋体" w:eastAsia="宋体" w:cs="宋体"/>
                <w:spacing w:val="7"/>
                <w:sz w:val="20"/>
                <w:szCs w:val="20"/>
              </w:rPr>
              <w:t>充</w:t>
            </w:r>
            <w:r>
              <w:rPr>
                <w:rFonts w:ascii="宋体" w:hAnsi="宋体" w:eastAsia="宋体" w:cs="宋体"/>
                <w:spacing w:val="5"/>
                <w:sz w:val="20"/>
                <w:szCs w:val="20"/>
              </w:rPr>
              <w:t>分混合后，每日清运至乐山乐高勤</w:t>
            </w:r>
            <w:r>
              <w:rPr>
                <w:rFonts w:ascii="宋体" w:hAnsi="宋体" w:eastAsia="宋体" w:cs="宋体"/>
                <w:sz w:val="20"/>
                <w:szCs w:val="20"/>
              </w:rPr>
              <w:t xml:space="preserve"> </w:t>
            </w:r>
            <w:r>
              <w:rPr>
                <w:rFonts w:ascii="宋体" w:hAnsi="宋体" w:eastAsia="宋体" w:cs="宋体"/>
                <w:spacing w:val="21"/>
                <w:sz w:val="20"/>
                <w:szCs w:val="20"/>
              </w:rPr>
              <w:t>力</w:t>
            </w:r>
            <w:r>
              <w:rPr>
                <w:rFonts w:ascii="宋体" w:hAnsi="宋体" w:eastAsia="宋体" w:cs="宋体"/>
                <w:spacing w:val="18"/>
                <w:sz w:val="20"/>
                <w:szCs w:val="20"/>
              </w:rPr>
              <w:t>生物质能源综合利用有限公司集中</w:t>
            </w:r>
            <w:r>
              <w:rPr>
                <w:rFonts w:ascii="宋体" w:hAnsi="宋体" w:eastAsia="宋体" w:cs="宋体"/>
                <w:sz w:val="20"/>
                <w:szCs w:val="20"/>
              </w:rPr>
              <w:t xml:space="preserve"> </w:t>
            </w:r>
            <w:r>
              <w:rPr>
                <w:rFonts w:ascii="宋体" w:hAnsi="宋体" w:eastAsia="宋体" w:cs="宋体"/>
                <w:spacing w:val="10"/>
                <w:sz w:val="20"/>
                <w:szCs w:val="20"/>
              </w:rPr>
              <w:t>处</w:t>
            </w:r>
            <w:r>
              <w:rPr>
                <w:rFonts w:ascii="宋体" w:hAnsi="宋体" w:eastAsia="宋体" w:cs="宋体"/>
                <w:spacing w:val="7"/>
                <w:sz w:val="20"/>
                <w:szCs w:val="20"/>
              </w:rPr>
              <w:t>置</w:t>
            </w:r>
            <w:r>
              <w:rPr>
                <w:rFonts w:ascii="宋体" w:hAnsi="宋体" w:eastAsia="宋体" w:cs="宋体"/>
                <w:spacing w:val="5"/>
                <w:sz w:val="20"/>
                <w:szCs w:val="20"/>
              </w:rPr>
              <w:t>，日产日清，若后期回收单位不再</w:t>
            </w:r>
            <w:r>
              <w:rPr>
                <w:rFonts w:ascii="宋体" w:hAnsi="宋体" w:eastAsia="宋体" w:cs="宋体"/>
                <w:sz w:val="20"/>
                <w:szCs w:val="20"/>
              </w:rPr>
              <w:t xml:space="preserve"> </w:t>
            </w:r>
            <w:r>
              <w:rPr>
                <w:rFonts w:ascii="宋体" w:hAnsi="宋体" w:eastAsia="宋体" w:cs="宋体"/>
                <w:spacing w:val="10"/>
                <w:sz w:val="20"/>
                <w:szCs w:val="20"/>
              </w:rPr>
              <w:t>收</w:t>
            </w:r>
            <w:r>
              <w:rPr>
                <w:rFonts w:ascii="宋体" w:hAnsi="宋体" w:eastAsia="宋体" w:cs="宋体"/>
                <w:spacing w:val="7"/>
                <w:sz w:val="20"/>
                <w:szCs w:val="20"/>
              </w:rPr>
              <w:t>购</w:t>
            </w:r>
            <w:r>
              <w:rPr>
                <w:rFonts w:ascii="宋体" w:hAnsi="宋体" w:eastAsia="宋体" w:cs="宋体"/>
                <w:spacing w:val="5"/>
                <w:sz w:val="20"/>
                <w:szCs w:val="20"/>
              </w:rPr>
              <w:t>厂区内产生的猪粪，将采用均匀喷</w:t>
            </w:r>
            <w:r>
              <w:rPr>
                <w:rFonts w:ascii="宋体" w:hAnsi="宋体" w:eastAsia="宋体" w:cs="宋体"/>
                <w:sz w:val="20"/>
                <w:szCs w:val="20"/>
              </w:rPr>
              <w:t xml:space="preserve"> </w:t>
            </w:r>
            <w:r>
              <w:rPr>
                <w:rFonts w:ascii="宋体" w:hAnsi="宋体" w:eastAsia="宋体" w:cs="宋体"/>
                <w:spacing w:val="2"/>
                <w:sz w:val="20"/>
                <w:szCs w:val="20"/>
              </w:rPr>
              <w:t>淋至异位微生物发酵床 (</w:t>
            </w:r>
            <w:r>
              <w:rPr>
                <w:rFonts w:ascii="Times New Roman" w:hAnsi="Times New Roman" w:eastAsia="Times New Roman" w:cs="Times New Roman"/>
                <w:spacing w:val="2"/>
                <w:sz w:val="20"/>
                <w:szCs w:val="20"/>
              </w:rPr>
              <w:t>1600</w:t>
            </w:r>
            <w:r>
              <w:rPr>
                <w:rFonts w:ascii="Times New Roman" w:hAnsi="Times New Roman" w:eastAsia="Times New Roman" w:cs="Times New Roman"/>
                <w:sz w:val="20"/>
                <w:szCs w:val="20"/>
              </w:rPr>
              <w:t>m</w:t>
            </w:r>
            <w:r>
              <w:rPr>
                <w:rFonts w:ascii="Times New Roman" w:hAnsi="Times New Roman" w:eastAsia="Times New Roman" w:cs="Times New Roman"/>
                <w:spacing w:val="2"/>
                <w:position w:val="6"/>
                <w:sz w:val="13"/>
                <w:szCs w:val="13"/>
              </w:rPr>
              <w:t xml:space="preserve">2 </w:t>
            </w:r>
            <w:r>
              <w:rPr>
                <w:rFonts w:ascii="宋体" w:hAnsi="宋体" w:eastAsia="宋体" w:cs="宋体"/>
                <w:spacing w:val="2"/>
                <w:sz w:val="20"/>
                <w:szCs w:val="20"/>
              </w:rPr>
              <w:t xml:space="preserve">) </w:t>
            </w:r>
            <w:r>
              <w:rPr>
                <w:rFonts w:ascii="宋体" w:hAnsi="宋体" w:eastAsia="宋体" w:cs="宋体"/>
                <w:spacing w:val="1"/>
                <w:sz w:val="20"/>
                <w:szCs w:val="20"/>
              </w:rPr>
              <w:t>的</w:t>
            </w:r>
            <w:r>
              <w:rPr>
                <w:rFonts w:ascii="宋体" w:hAnsi="宋体" w:eastAsia="宋体" w:cs="宋体"/>
                <w:sz w:val="20"/>
                <w:szCs w:val="20"/>
              </w:rPr>
              <w:t xml:space="preserve">方 </w:t>
            </w:r>
            <w:r>
              <w:rPr>
                <w:rFonts w:ascii="宋体" w:hAnsi="宋体" w:eastAsia="宋体" w:cs="宋体"/>
                <w:spacing w:val="11"/>
                <w:sz w:val="20"/>
                <w:szCs w:val="20"/>
              </w:rPr>
              <w:t>式</w:t>
            </w:r>
            <w:r>
              <w:rPr>
                <w:rFonts w:ascii="宋体" w:hAnsi="宋体" w:eastAsia="宋体" w:cs="宋体"/>
                <w:spacing w:val="8"/>
                <w:sz w:val="20"/>
                <w:szCs w:val="20"/>
              </w:rPr>
              <w:t>作无害化处理</w:t>
            </w:r>
          </w:p>
        </w:tc>
        <w:tc>
          <w:tcPr>
            <w:tcW w:w="872" w:type="dxa"/>
            <w:tcBorders>
              <w:right w:val="nil"/>
            </w:tcBorders>
          </w:tcPr>
          <w:p w14:paraId="640F3080">
            <w:pPr>
              <w:spacing w:line="269" w:lineRule="auto"/>
            </w:pPr>
          </w:p>
          <w:p w14:paraId="35C4896C">
            <w:pPr>
              <w:spacing w:line="270" w:lineRule="auto"/>
            </w:pPr>
          </w:p>
          <w:p w14:paraId="4FD8D5CA">
            <w:pPr>
              <w:spacing w:line="270" w:lineRule="auto"/>
            </w:pPr>
          </w:p>
          <w:p w14:paraId="4C8E9341">
            <w:pPr>
              <w:spacing w:line="270" w:lineRule="auto"/>
            </w:pPr>
          </w:p>
          <w:p w14:paraId="14B3FB88">
            <w:pPr>
              <w:spacing w:before="65" w:line="228" w:lineRule="auto"/>
              <w:ind w:left="235"/>
              <w:rPr>
                <w:rFonts w:ascii="宋体" w:hAnsi="宋体" w:eastAsia="宋体" w:cs="宋体"/>
                <w:sz w:val="20"/>
                <w:szCs w:val="20"/>
              </w:rPr>
            </w:pPr>
            <w:r>
              <w:rPr>
                <w:rFonts w:ascii="宋体" w:hAnsi="宋体" w:eastAsia="宋体" w:cs="宋体"/>
                <w:spacing w:val="4"/>
                <w:sz w:val="20"/>
                <w:szCs w:val="20"/>
              </w:rPr>
              <w:t>符</w:t>
            </w:r>
            <w:r>
              <w:rPr>
                <w:rFonts w:ascii="宋体" w:hAnsi="宋体" w:eastAsia="宋体" w:cs="宋体"/>
                <w:spacing w:val="3"/>
                <w:sz w:val="20"/>
                <w:szCs w:val="20"/>
              </w:rPr>
              <w:t>合</w:t>
            </w:r>
          </w:p>
        </w:tc>
      </w:tr>
    </w:tbl>
    <w:p w14:paraId="49D4D837">
      <w:pPr>
        <w:spacing w:before="36" w:line="370" w:lineRule="auto"/>
        <w:ind w:left="119" w:right="105" w:firstLine="481"/>
        <w:rPr>
          <w:rFonts w:ascii="宋体" w:hAnsi="宋体" w:eastAsia="宋体" w:cs="宋体"/>
          <w:sz w:val="23"/>
          <w:szCs w:val="23"/>
        </w:rPr>
      </w:pPr>
      <w:r>
        <w:rPr>
          <w:rFonts w:ascii="宋体" w:hAnsi="宋体" w:eastAsia="宋体" w:cs="宋体"/>
          <w:spacing w:val="7"/>
          <w:sz w:val="23"/>
          <w:szCs w:val="23"/>
        </w:rPr>
        <w:t>综上所述，本项目场区布局上满足生产工艺要求，功能区分布明确，组织协作良好，符</w:t>
      </w:r>
      <w:r>
        <w:rPr>
          <w:rFonts w:ascii="宋体" w:hAnsi="宋体" w:eastAsia="宋体" w:cs="宋体"/>
          <w:sz w:val="23"/>
          <w:szCs w:val="23"/>
        </w:rPr>
        <w:t xml:space="preserve"> </w:t>
      </w:r>
      <w:r>
        <w:rPr>
          <w:rFonts w:ascii="宋体" w:hAnsi="宋体" w:eastAsia="宋体" w:cs="宋体"/>
          <w:spacing w:val="14"/>
          <w:sz w:val="23"/>
          <w:szCs w:val="23"/>
        </w:rPr>
        <w:t>合</w:t>
      </w:r>
      <w:r>
        <w:rPr>
          <w:rFonts w:ascii="宋体" w:hAnsi="宋体" w:eastAsia="宋体" w:cs="宋体"/>
          <w:spacing w:val="12"/>
          <w:sz w:val="23"/>
          <w:szCs w:val="23"/>
        </w:rPr>
        <w:t>《</w:t>
      </w:r>
      <w:r>
        <w:rPr>
          <w:rFonts w:ascii="宋体" w:hAnsi="宋体" w:eastAsia="宋体" w:cs="宋体"/>
          <w:spacing w:val="7"/>
          <w:sz w:val="23"/>
          <w:szCs w:val="23"/>
        </w:rPr>
        <w:t>畜禽养殖业污染防治技术规范》  (</w:t>
      </w:r>
      <w:r>
        <w:rPr>
          <w:rFonts w:ascii="Times New Roman" w:hAnsi="Times New Roman" w:eastAsia="Times New Roman" w:cs="Times New Roman"/>
          <w:sz w:val="23"/>
          <w:szCs w:val="23"/>
        </w:rPr>
        <w:t>HJ</w:t>
      </w:r>
      <w:r>
        <w:rPr>
          <w:rFonts w:ascii="Times New Roman" w:hAnsi="Times New Roman" w:eastAsia="Times New Roman" w:cs="Times New Roman"/>
          <w:spacing w:val="7"/>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7"/>
          <w:sz w:val="23"/>
          <w:szCs w:val="23"/>
        </w:rPr>
        <w:t>81-2001</w:t>
      </w:r>
      <w:r>
        <w:rPr>
          <w:rFonts w:ascii="宋体" w:hAnsi="宋体" w:eastAsia="宋体" w:cs="宋体"/>
          <w:spacing w:val="7"/>
          <w:sz w:val="23"/>
          <w:szCs w:val="23"/>
        </w:rPr>
        <w:t>) 中场区布局有关要求。因此，从环保</w:t>
      </w:r>
      <w:r>
        <w:rPr>
          <w:rFonts w:ascii="宋体" w:hAnsi="宋体" w:eastAsia="宋体" w:cs="宋体"/>
          <w:sz w:val="23"/>
          <w:szCs w:val="23"/>
        </w:rPr>
        <w:t xml:space="preserve"> </w:t>
      </w:r>
      <w:r>
        <w:rPr>
          <w:rFonts w:ascii="宋体" w:hAnsi="宋体" w:eastAsia="宋体" w:cs="宋体"/>
          <w:spacing w:val="9"/>
          <w:sz w:val="23"/>
          <w:szCs w:val="23"/>
        </w:rPr>
        <w:t>角度而言，本项目平面布置是合理的</w:t>
      </w:r>
      <w:r>
        <w:rPr>
          <w:rFonts w:ascii="宋体" w:hAnsi="宋体" w:eastAsia="宋体" w:cs="宋体"/>
          <w:spacing w:val="5"/>
          <w:sz w:val="23"/>
          <w:szCs w:val="23"/>
        </w:rPr>
        <w:t>。</w:t>
      </w:r>
    </w:p>
    <w:p w14:paraId="05779BF6">
      <w:pPr>
        <w:spacing w:before="18" w:line="227" w:lineRule="auto"/>
        <w:ind w:left="598"/>
        <w:rPr>
          <w:rFonts w:ascii="宋体" w:hAnsi="宋体" w:eastAsia="宋体" w:cs="宋体"/>
          <w:sz w:val="23"/>
          <w:szCs w:val="23"/>
        </w:rPr>
      </w:pPr>
      <w:r>
        <w:rPr>
          <w:rFonts w:ascii="宋体" w:hAnsi="宋体" w:eastAsia="宋体" w:cs="宋体"/>
          <w:spacing w:val="8"/>
          <w:sz w:val="23"/>
          <w:szCs w:val="23"/>
        </w:rPr>
        <w:t>科</w:t>
      </w:r>
      <w:r>
        <w:rPr>
          <w:rFonts w:ascii="宋体" w:hAnsi="宋体" w:eastAsia="宋体" w:cs="宋体"/>
          <w:spacing w:val="7"/>
          <w:sz w:val="23"/>
          <w:szCs w:val="23"/>
        </w:rPr>
        <w:t>学、合理的总图布置方案可以节约土地资源，提高生产管理效率，减少生产过程污染</w:t>
      </w:r>
    </w:p>
    <w:p w14:paraId="58A6E802">
      <w:pPr>
        <w:spacing w:before="183" w:line="227" w:lineRule="auto"/>
        <w:ind w:left="118"/>
        <w:outlineLvl w:val="0"/>
        <w:rPr>
          <w:rFonts w:ascii="宋体" w:hAnsi="宋体" w:eastAsia="宋体" w:cs="宋体"/>
          <w:sz w:val="23"/>
          <w:szCs w:val="23"/>
        </w:rPr>
      </w:pPr>
      <w:r>
        <w:rPr>
          <w:rFonts w:ascii="宋体" w:hAnsi="宋体" w:eastAsia="宋体" w:cs="宋体"/>
          <w:spacing w:val="9"/>
          <w:sz w:val="23"/>
          <w:szCs w:val="23"/>
        </w:rPr>
        <w:t>物的产生量，降低污染物对周围环境的影响。</w:t>
      </w:r>
    </w:p>
    <w:p w14:paraId="161F850C">
      <w:pPr>
        <w:sectPr>
          <w:headerReference r:id="rId80" w:type="default"/>
          <w:footerReference r:id="rId81" w:type="default"/>
          <w:pgSz w:w="11907" w:h="16840"/>
          <w:pgMar w:top="829" w:right="1025" w:bottom="1139" w:left="1168" w:header="595" w:footer="953" w:gutter="0"/>
          <w:cols w:space="720" w:num="1"/>
        </w:sectPr>
      </w:pPr>
    </w:p>
    <w:p w14:paraId="523FDB8D">
      <w:pPr>
        <w:spacing w:before="159" w:line="241" w:lineRule="auto"/>
        <w:ind w:left="5"/>
        <w:rPr>
          <w:rFonts w:ascii="宋体" w:hAnsi="宋体" w:eastAsia="宋体" w:cs="宋体"/>
          <w:sz w:val="31"/>
          <w:szCs w:val="31"/>
        </w:rPr>
      </w:pPr>
      <w:bookmarkStart w:id="32" w:name="_bookmark33"/>
      <w:bookmarkEnd w:id="32"/>
      <w:r>
        <w:rPr>
          <w:rFonts w:ascii="Times New Roman" w:hAnsi="Times New Roman" w:eastAsia="Times New Roman" w:cs="Times New Roman"/>
          <w:b/>
          <w:bCs/>
          <w:spacing w:val="-6"/>
          <w:sz w:val="31"/>
          <w:szCs w:val="31"/>
        </w:rPr>
        <w:t>3</w:t>
      </w:r>
      <w:r>
        <w:rPr>
          <w:rFonts w:ascii="Times New Roman" w:hAnsi="Times New Roman" w:eastAsia="Times New Roman" w:cs="Times New Roman"/>
          <w:spacing w:val="-3"/>
          <w:sz w:val="31"/>
          <w:szCs w:val="31"/>
        </w:rPr>
        <w:t xml:space="preserve"> </w:t>
      </w:r>
      <w:r>
        <w:rPr>
          <w:rFonts w:ascii="宋体" w:hAnsi="宋体" w:eastAsia="宋体" w:cs="宋体"/>
          <w:spacing w:val="-3"/>
          <w:sz w:val="31"/>
          <w:szCs w:val="31"/>
          <w14:textOutline w14:w="5791" w14:cap="sq" w14:cmpd="sng" w14:algn="ctr">
            <w14:solidFill>
              <w14:srgbClr w14:val="000000"/>
            </w14:solidFill>
            <w14:prstDash w14:val="solid"/>
            <w14:bevel/>
          </w14:textOutline>
        </w:rPr>
        <w:t>、工程分析</w:t>
      </w:r>
    </w:p>
    <w:p w14:paraId="76D680EB">
      <w:pPr>
        <w:spacing w:before="202" w:line="377" w:lineRule="auto"/>
        <w:ind w:left="10" w:right="44" w:firstLine="483"/>
        <w:rPr>
          <w:rFonts w:ascii="宋体" w:hAnsi="宋体" w:eastAsia="宋体" w:cs="宋体"/>
          <w:sz w:val="23"/>
          <w:szCs w:val="23"/>
        </w:rPr>
      </w:pPr>
      <w:r>
        <w:rPr>
          <w:rFonts w:ascii="宋体" w:hAnsi="宋体" w:eastAsia="宋体" w:cs="宋体"/>
          <w:spacing w:val="7"/>
          <w:sz w:val="23"/>
          <w:szCs w:val="23"/>
        </w:rPr>
        <w:t>项目环境影响包括建设施工期和建成营运期。施工期间主要产生噪声、扬尘、固体废</w:t>
      </w:r>
      <w:r>
        <w:rPr>
          <w:rFonts w:ascii="宋体" w:hAnsi="宋体" w:eastAsia="宋体" w:cs="宋体"/>
          <w:spacing w:val="4"/>
          <w:sz w:val="23"/>
          <w:szCs w:val="23"/>
        </w:rPr>
        <w:t>弃</w:t>
      </w:r>
      <w:r>
        <w:rPr>
          <w:rFonts w:ascii="宋体" w:hAnsi="宋体" w:eastAsia="宋体" w:cs="宋体"/>
          <w:sz w:val="23"/>
          <w:szCs w:val="23"/>
        </w:rPr>
        <w:t xml:space="preserve"> </w:t>
      </w:r>
      <w:r>
        <w:rPr>
          <w:rFonts w:ascii="宋体" w:hAnsi="宋体" w:eastAsia="宋体" w:cs="宋体"/>
          <w:spacing w:val="14"/>
          <w:sz w:val="23"/>
          <w:szCs w:val="23"/>
        </w:rPr>
        <w:t>物</w:t>
      </w:r>
      <w:r>
        <w:rPr>
          <w:rFonts w:ascii="宋体" w:hAnsi="宋体" w:eastAsia="宋体" w:cs="宋体"/>
          <w:spacing w:val="7"/>
          <w:sz w:val="23"/>
          <w:szCs w:val="23"/>
        </w:rPr>
        <w:t>、施工废水和废气等污染物，其排放量随施工期的内容不同而有所变化；建成营运期后产</w:t>
      </w:r>
      <w:r>
        <w:rPr>
          <w:rFonts w:ascii="宋体" w:hAnsi="宋体" w:eastAsia="宋体" w:cs="宋体"/>
          <w:sz w:val="23"/>
          <w:szCs w:val="23"/>
        </w:rPr>
        <w:t xml:space="preserve"> </w:t>
      </w:r>
      <w:r>
        <w:rPr>
          <w:rFonts w:ascii="宋体" w:hAnsi="宋体" w:eastAsia="宋体" w:cs="宋体"/>
          <w:spacing w:val="11"/>
          <w:sz w:val="23"/>
          <w:szCs w:val="23"/>
        </w:rPr>
        <w:t>生</w:t>
      </w:r>
      <w:r>
        <w:rPr>
          <w:rFonts w:ascii="宋体" w:hAnsi="宋体" w:eastAsia="宋体" w:cs="宋体"/>
          <w:spacing w:val="9"/>
          <w:sz w:val="23"/>
          <w:szCs w:val="23"/>
        </w:rPr>
        <w:t>的污染物主要包括废水、固废、噪声、废气等。</w:t>
      </w:r>
    </w:p>
    <w:p w14:paraId="1E1CA944">
      <w:pPr>
        <w:spacing w:before="1" w:line="219" w:lineRule="auto"/>
        <w:ind w:left="5"/>
        <w:outlineLvl w:val="1"/>
        <w:rPr>
          <w:rFonts w:ascii="宋体" w:hAnsi="宋体" w:eastAsia="宋体" w:cs="宋体"/>
          <w:sz w:val="28"/>
          <w:szCs w:val="28"/>
        </w:rPr>
      </w:pPr>
      <w:r>
        <w:rPr>
          <w:rFonts w:ascii="Times New Roman" w:hAnsi="Times New Roman" w:eastAsia="Times New Roman" w:cs="Times New Roman"/>
          <w:b/>
          <w:bCs/>
          <w:spacing w:val="1"/>
          <w:sz w:val="28"/>
          <w:szCs w:val="28"/>
        </w:rPr>
        <w:t>3.1</w:t>
      </w:r>
      <w:r>
        <w:rPr>
          <w:rFonts w:ascii="Times New Roman" w:hAnsi="Times New Roman" w:eastAsia="Times New Roman" w:cs="Times New Roman"/>
          <w:spacing w:val="1"/>
          <w:sz w:val="28"/>
          <w:szCs w:val="28"/>
        </w:rPr>
        <w:t xml:space="preserve">  </w:t>
      </w:r>
      <w:r>
        <w:rPr>
          <w:rFonts w:ascii="宋体" w:hAnsi="宋体" w:eastAsia="宋体" w:cs="宋体"/>
          <w:spacing w:val="1"/>
          <w:sz w:val="28"/>
          <w:szCs w:val="28"/>
          <w14:textOutline w14:w="5105" w14:cap="sq" w14:cmpd="sng" w14:algn="ctr">
            <w14:solidFill>
              <w14:srgbClr w14:val="000000"/>
            </w14:solidFill>
            <w14:prstDash w14:val="solid"/>
            <w14:bevel/>
          </w14:textOutline>
        </w:rPr>
        <w:t>项目用地现状及</w:t>
      </w:r>
      <w:r>
        <w:rPr>
          <w:rFonts w:ascii="宋体" w:hAnsi="宋体" w:eastAsia="宋体" w:cs="宋体"/>
          <w:sz w:val="28"/>
          <w:szCs w:val="28"/>
          <w14:textOutline w14:w="5105" w14:cap="sq" w14:cmpd="sng" w14:algn="ctr">
            <w14:solidFill>
              <w14:srgbClr w14:val="000000"/>
            </w14:solidFill>
            <w14:prstDash w14:val="solid"/>
            <w14:bevel/>
          </w14:textOutline>
        </w:rPr>
        <w:t>现有环境遗留问题</w:t>
      </w:r>
    </w:p>
    <w:p w14:paraId="4C964CC6">
      <w:pPr>
        <w:spacing w:before="204" w:line="375" w:lineRule="auto"/>
        <w:ind w:left="14" w:firstLine="477"/>
        <w:rPr>
          <w:rFonts w:ascii="宋体" w:hAnsi="宋体" w:eastAsia="宋体" w:cs="宋体"/>
          <w:sz w:val="23"/>
          <w:szCs w:val="23"/>
        </w:rPr>
      </w:pPr>
      <w:r>
        <w:rPr>
          <w:rFonts w:ascii="宋体" w:hAnsi="宋体" w:eastAsia="宋体" w:cs="宋体"/>
          <w:spacing w:val="8"/>
          <w:sz w:val="23"/>
          <w:szCs w:val="23"/>
        </w:rPr>
        <w:t>本项目选址于井</w:t>
      </w:r>
      <w:r>
        <w:rPr>
          <w:rFonts w:ascii="宋体" w:hAnsi="宋体" w:eastAsia="宋体" w:cs="宋体"/>
          <w:spacing w:val="4"/>
          <w:sz w:val="23"/>
          <w:szCs w:val="23"/>
        </w:rPr>
        <w:t xml:space="preserve">研县周坡镇周坡村 </w:t>
      </w:r>
      <w:r>
        <w:rPr>
          <w:rFonts w:ascii="Times New Roman" w:hAnsi="Times New Roman" w:eastAsia="Times New Roman" w:cs="Times New Roman"/>
          <w:spacing w:val="4"/>
          <w:sz w:val="23"/>
          <w:szCs w:val="23"/>
        </w:rPr>
        <w:t xml:space="preserve">7 </w:t>
      </w:r>
      <w:r>
        <w:rPr>
          <w:rFonts w:ascii="宋体" w:hAnsi="宋体" w:eastAsia="宋体" w:cs="宋体"/>
          <w:spacing w:val="4"/>
          <w:sz w:val="23"/>
          <w:szCs w:val="23"/>
        </w:rPr>
        <w:t xml:space="preserve">组、龙桥村 </w:t>
      </w:r>
      <w:r>
        <w:rPr>
          <w:rFonts w:ascii="Times New Roman" w:hAnsi="Times New Roman" w:eastAsia="Times New Roman" w:cs="Times New Roman"/>
          <w:spacing w:val="4"/>
          <w:sz w:val="23"/>
          <w:szCs w:val="23"/>
        </w:rPr>
        <w:t xml:space="preserve">2 </w:t>
      </w:r>
      <w:r>
        <w:rPr>
          <w:rFonts w:ascii="宋体" w:hAnsi="宋体" w:eastAsia="宋体" w:cs="宋体"/>
          <w:spacing w:val="4"/>
          <w:sz w:val="23"/>
          <w:szCs w:val="23"/>
        </w:rPr>
        <w:t>组，项目用地性质主要为一般林地，</w:t>
      </w:r>
      <w:r>
        <w:rPr>
          <w:rFonts w:ascii="宋体" w:hAnsi="宋体" w:eastAsia="宋体" w:cs="宋体"/>
          <w:sz w:val="23"/>
          <w:szCs w:val="23"/>
        </w:rPr>
        <w:t xml:space="preserve"> </w:t>
      </w:r>
      <w:r>
        <w:rPr>
          <w:rFonts w:ascii="宋体" w:hAnsi="宋体" w:eastAsia="宋体" w:cs="宋体"/>
          <w:spacing w:val="10"/>
          <w:sz w:val="23"/>
          <w:szCs w:val="23"/>
        </w:rPr>
        <w:t>未</w:t>
      </w:r>
      <w:r>
        <w:rPr>
          <w:rFonts w:ascii="宋体" w:hAnsi="宋体" w:eastAsia="宋体" w:cs="宋体"/>
          <w:spacing w:val="7"/>
          <w:sz w:val="23"/>
          <w:szCs w:val="23"/>
        </w:rPr>
        <w:t>占用基本农田。根据现场踏勘，目前项目地已去除杂草，已做场地平整。本项目为新建项</w:t>
      </w:r>
    </w:p>
    <w:p w14:paraId="3D0C352D">
      <w:pPr>
        <w:spacing w:line="230" w:lineRule="auto"/>
        <w:ind w:left="55"/>
        <w:rPr>
          <w:rFonts w:ascii="宋体" w:hAnsi="宋体" w:eastAsia="宋体" w:cs="宋体"/>
          <w:sz w:val="23"/>
          <w:szCs w:val="23"/>
        </w:rPr>
      </w:pPr>
      <w:r>
        <w:rPr>
          <w:rFonts w:ascii="宋体" w:hAnsi="宋体" w:eastAsia="宋体" w:cs="宋体"/>
          <w:spacing w:val="6"/>
          <w:sz w:val="23"/>
          <w:szCs w:val="23"/>
        </w:rPr>
        <w:t>目，项目用地现状无遗留环境问题</w:t>
      </w:r>
      <w:r>
        <w:rPr>
          <w:rFonts w:ascii="宋体" w:hAnsi="宋体" w:eastAsia="宋体" w:cs="宋体"/>
          <w:spacing w:val="4"/>
          <w:sz w:val="23"/>
          <w:szCs w:val="23"/>
        </w:rPr>
        <w:t>。</w:t>
      </w:r>
    </w:p>
    <w:p w14:paraId="1860D2BF">
      <w:pPr>
        <w:spacing w:line="143" w:lineRule="exact"/>
      </w:pPr>
    </w:p>
    <w:tbl>
      <w:tblPr>
        <w:tblStyle w:val="4"/>
        <w:tblW w:w="8526" w:type="dxa"/>
        <w:tblInd w:w="48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63"/>
        <w:gridCol w:w="4263"/>
      </w:tblGrid>
      <w:tr w14:paraId="20AC0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9" w:hRule="atLeast"/>
        </w:trPr>
        <w:tc>
          <w:tcPr>
            <w:tcW w:w="4263" w:type="dxa"/>
          </w:tcPr>
          <w:p w14:paraId="5581A33B">
            <w:pPr>
              <w:spacing w:before="4" w:line="3365" w:lineRule="exact"/>
              <w:ind w:firstLine="108"/>
              <w:textAlignment w:val="center"/>
            </w:pPr>
            <w:r>
              <w:drawing>
                <wp:inline distT="0" distB="0" distL="0" distR="0">
                  <wp:extent cx="2567305" cy="213614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367"/>
                          <a:stretch>
                            <a:fillRect/>
                          </a:stretch>
                        </pic:blipFill>
                        <pic:spPr>
                          <a:xfrm>
                            <a:off x="0" y="0"/>
                            <a:ext cx="2567939" cy="2136647"/>
                          </a:xfrm>
                          <a:prstGeom prst="rect">
                            <a:avLst/>
                          </a:prstGeom>
                        </pic:spPr>
                      </pic:pic>
                    </a:graphicData>
                  </a:graphic>
                </wp:inline>
              </w:drawing>
            </w:r>
          </w:p>
        </w:tc>
        <w:tc>
          <w:tcPr>
            <w:tcW w:w="4263" w:type="dxa"/>
          </w:tcPr>
          <w:p w14:paraId="695FF0F6">
            <w:pPr>
              <w:spacing w:before="4" w:line="3348" w:lineRule="exact"/>
              <w:ind w:firstLine="105"/>
              <w:textAlignment w:val="center"/>
            </w:pPr>
            <w:r>
              <w:drawing>
                <wp:inline distT="0" distB="0" distL="0" distR="0">
                  <wp:extent cx="2560320" cy="2125345"/>
                  <wp:effectExtent l="0" t="0" r="0" b="0"/>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r:embed="rId368"/>
                          <a:stretch>
                            <a:fillRect/>
                          </a:stretch>
                        </pic:blipFill>
                        <pic:spPr>
                          <a:xfrm>
                            <a:off x="0" y="0"/>
                            <a:ext cx="2560320" cy="2125979"/>
                          </a:xfrm>
                          <a:prstGeom prst="rect">
                            <a:avLst/>
                          </a:prstGeom>
                        </pic:spPr>
                      </pic:pic>
                    </a:graphicData>
                  </a:graphic>
                </wp:inline>
              </w:drawing>
            </w:r>
          </w:p>
        </w:tc>
      </w:tr>
    </w:tbl>
    <w:p w14:paraId="02BF9528">
      <w:pPr>
        <w:spacing w:before="35" w:line="230" w:lineRule="auto"/>
        <w:ind w:left="3533"/>
        <w:rPr>
          <w:rFonts w:ascii="黑体" w:hAnsi="黑体" w:eastAsia="黑体" w:cs="黑体"/>
          <w:sz w:val="23"/>
          <w:szCs w:val="23"/>
        </w:rPr>
      </w:pPr>
      <w:r>
        <w:rPr>
          <w:rFonts w:ascii="黑体" w:hAnsi="黑体" w:eastAsia="黑体" w:cs="黑体"/>
          <w:spacing w:val="-5"/>
          <w:sz w:val="23"/>
          <w:szCs w:val="23"/>
        </w:rPr>
        <w:t xml:space="preserve">图 </w:t>
      </w:r>
      <w:r>
        <w:rPr>
          <w:rFonts w:ascii="Times New Roman" w:hAnsi="Times New Roman" w:eastAsia="Times New Roman" w:cs="Times New Roman"/>
          <w:spacing w:val="-5"/>
          <w:sz w:val="23"/>
          <w:szCs w:val="23"/>
        </w:rPr>
        <w:t xml:space="preserve">3. 1- 1    </w:t>
      </w:r>
      <w:r>
        <w:rPr>
          <w:rFonts w:ascii="黑体" w:hAnsi="黑体" w:eastAsia="黑体" w:cs="黑体"/>
          <w:spacing w:val="-5"/>
          <w:sz w:val="23"/>
          <w:szCs w:val="23"/>
        </w:rPr>
        <w:t>项目用地现</w:t>
      </w:r>
      <w:r>
        <w:rPr>
          <w:rFonts w:ascii="黑体" w:hAnsi="黑体" w:eastAsia="黑体" w:cs="黑体"/>
          <w:spacing w:val="-4"/>
          <w:sz w:val="23"/>
          <w:szCs w:val="23"/>
        </w:rPr>
        <w:t>状</w:t>
      </w:r>
    </w:p>
    <w:p w14:paraId="0AC9CC7E">
      <w:pPr>
        <w:spacing w:before="31" w:line="221" w:lineRule="auto"/>
        <w:ind w:left="5"/>
        <w:outlineLvl w:val="1"/>
        <w:rPr>
          <w:rFonts w:ascii="宋体" w:hAnsi="宋体" w:eastAsia="宋体" w:cs="宋体"/>
          <w:sz w:val="28"/>
          <w:szCs w:val="28"/>
        </w:rPr>
      </w:pPr>
      <w:bookmarkStart w:id="33" w:name="_bookmark34"/>
      <w:bookmarkEnd w:id="33"/>
      <w:r>
        <w:rPr>
          <w:rFonts w:ascii="Times New Roman" w:hAnsi="Times New Roman" w:eastAsia="Times New Roman" w:cs="Times New Roman"/>
          <w:b/>
          <w:bCs/>
          <w:spacing w:val="1"/>
          <w:sz w:val="28"/>
          <w:szCs w:val="28"/>
        </w:rPr>
        <w:t>3.2</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施工期工程分析</w:t>
      </w:r>
    </w:p>
    <w:p w14:paraId="7AB6B0A6">
      <w:pPr>
        <w:spacing w:before="205" w:line="227" w:lineRule="auto"/>
        <w:ind w:left="4"/>
        <w:outlineLvl w:val="2"/>
        <w:rPr>
          <w:rFonts w:ascii="宋体" w:hAnsi="宋体" w:eastAsia="宋体" w:cs="宋体"/>
          <w:sz w:val="23"/>
          <w:szCs w:val="23"/>
        </w:rPr>
      </w:pPr>
      <w:bookmarkStart w:id="34" w:name="_bookmark35"/>
      <w:bookmarkEnd w:id="34"/>
      <w:r>
        <w:rPr>
          <w:rFonts w:ascii="Times New Roman" w:hAnsi="Times New Roman" w:eastAsia="Times New Roman" w:cs="Times New Roman"/>
          <w:b/>
          <w:bCs/>
          <w:spacing w:val="8"/>
          <w:sz w:val="23"/>
          <w:szCs w:val="23"/>
        </w:rPr>
        <w:t>3.2.1</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施工期工艺流程及产污节</w:t>
      </w:r>
      <w:r>
        <w:rPr>
          <w:rFonts w:ascii="宋体" w:hAnsi="宋体" w:eastAsia="宋体" w:cs="宋体"/>
          <w:spacing w:val="6"/>
          <w:sz w:val="23"/>
          <w:szCs w:val="23"/>
          <w14:textOutline w14:w="4356" w14:cap="sq" w14:cmpd="sng" w14:algn="ctr">
            <w14:solidFill>
              <w14:srgbClr w14:val="000000"/>
            </w14:solidFill>
            <w14:prstDash w14:val="solid"/>
            <w14:bevel/>
          </w14:textOutline>
        </w:rPr>
        <w:t>点</w:t>
      </w:r>
    </w:p>
    <w:p w14:paraId="4DA3CDF3">
      <w:pPr>
        <w:spacing w:before="183" w:line="468" w:lineRule="exact"/>
        <w:ind w:left="491"/>
        <w:rPr>
          <w:rFonts w:ascii="宋体" w:hAnsi="宋体" w:eastAsia="宋体" w:cs="宋体"/>
          <w:sz w:val="23"/>
          <w:szCs w:val="23"/>
        </w:rPr>
      </w:pPr>
      <w:r>
        <w:rPr>
          <w:rFonts w:ascii="宋体" w:hAnsi="宋体" w:eastAsia="宋体" w:cs="宋体"/>
          <w:spacing w:val="7"/>
          <w:position w:val="17"/>
          <w:sz w:val="23"/>
          <w:szCs w:val="23"/>
        </w:rPr>
        <w:t>本项目施工期主要包括基础工程、主体工程、装饰工程、工程验收等，具体工艺流程及</w:t>
      </w:r>
    </w:p>
    <w:p w14:paraId="2020C55C">
      <w:pPr>
        <w:spacing w:line="227" w:lineRule="auto"/>
        <w:ind w:left="10"/>
        <w:rPr>
          <w:rFonts w:ascii="宋体" w:hAnsi="宋体" w:eastAsia="宋体" w:cs="宋体"/>
          <w:sz w:val="23"/>
          <w:szCs w:val="23"/>
        </w:rPr>
      </w:pPr>
      <w:r>
        <w:rPr>
          <w:rFonts w:ascii="宋体" w:hAnsi="宋体" w:eastAsia="宋体" w:cs="宋体"/>
          <w:spacing w:val="-3"/>
          <w:sz w:val="23"/>
          <w:szCs w:val="23"/>
        </w:rPr>
        <w:t xml:space="preserve">产污环节见图 </w:t>
      </w:r>
      <w:r>
        <w:rPr>
          <w:rFonts w:ascii="Times New Roman" w:hAnsi="Times New Roman" w:eastAsia="Times New Roman" w:cs="Times New Roman"/>
          <w:spacing w:val="-3"/>
          <w:sz w:val="23"/>
          <w:szCs w:val="23"/>
        </w:rPr>
        <w:t>3.2- 1</w:t>
      </w:r>
      <w:r>
        <w:rPr>
          <w:rFonts w:ascii="宋体" w:hAnsi="宋体" w:eastAsia="宋体" w:cs="宋体"/>
          <w:spacing w:val="-3"/>
          <w:sz w:val="23"/>
          <w:szCs w:val="23"/>
        </w:rPr>
        <w:t>：</w:t>
      </w:r>
    </w:p>
    <w:p w14:paraId="24402B59">
      <w:pPr>
        <w:spacing w:before="78" w:line="2724" w:lineRule="exact"/>
        <w:ind w:firstLine="598"/>
        <w:textAlignment w:val="center"/>
      </w:pPr>
      <w:r>
        <w:drawing>
          <wp:inline distT="0" distB="0" distL="0" distR="0">
            <wp:extent cx="5324475" cy="172974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369"/>
                    <a:stretch>
                      <a:fillRect/>
                    </a:stretch>
                  </pic:blipFill>
                  <pic:spPr>
                    <a:xfrm>
                      <a:off x="0" y="0"/>
                      <a:ext cx="5324855" cy="1729740"/>
                    </a:xfrm>
                    <a:prstGeom prst="rect">
                      <a:avLst/>
                    </a:prstGeom>
                  </pic:spPr>
                </pic:pic>
              </a:graphicData>
            </a:graphic>
          </wp:inline>
        </w:drawing>
      </w:r>
    </w:p>
    <w:p w14:paraId="4CCBAF67">
      <w:pPr>
        <w:spacing w:before="280" w:line="229" w:lineRule="auto"/>
        <w:ind w:left="2693"/>
        <w:rPr>
          <w:rFonts w:ascii="黑体" w:hAnsi="黑体" w:eastAsia="黑体" w:cs="黑体"/>
          <w:sz w:val="23"/>
          <w:szCs w:val="23"/>
        </w:rPr>
      </w:pPr>
      <w:r>
        <w:rPr>
          <w:rFonts w:ascii="黑体" w:hAnsi="黑体" w:eastAsia="黑体" w:cs="黑体"/>
          <w:spacing w:val="2"/>
          <w:sz w:val="23"/>
          <w:szCs w:val="23"/>
        </w:rPr>
        <w:t xml:space="preserve">图 </w:t>
      </w:r>
      <w:r>
        <w:rPr>
          <w:rFonts w:ascii="Times New Roman" w:hAnsi="Times New Roman" w:eastAsia="Times New Roman" w:cs="Times New Roman"/>
          <w:spacing w:val="2"/>
          <w:sz w:val="23"/>
          <w:szCs w:val="23"/>
        </w:rPr>
        <w:t xml:space="preserve">3.2- 1 </w:t>
      </w:r>
      <w:r>
        <w:rPr>
          <w:rFonts w:ascii="Times New Roman" w:hAnsi="Times New Roman" w:eastAsia="Times New Roman" w:cs="Times New Roman"/>
          <w:spacing w:val="1"/>
          <w:sz w:val="23"/>
          <w:szCs w:val="23"/>
        </w:rPr>
        <w:t xml:space="preserve">   </w:t>
      </w:r>
      <w:r>
        <w:rPr>
          <w:rFonts w:ascii="黑体" w:hAnsi="黑体" w:eastAsia="黑体" w:cs="黑体"/>
          <w:spacing w:val="1"/>
          <w:sz w:val="23"/>
          <w:szCs w:val="23"/>
        </w:rPr>
        <w:t>施工期工艺流程及产污位置图</w:t>
      </w:r>
    </w:p>
    <w:p w14:paraId="3D14D37E">
      <w:pPr>
        <w:spacing w:before="26" w:line="227" w:lineRule="auto"/>
        <w:ind w:left="493"/>
        <w:rPr>
          <w:rFonts w:ascii="宋体" w:hAnsi="宋体" w:eastAsia="宋体" w:cs="宋体"/>
          <w:sz w:val="23"/>
          <w:szCs w:val="23"/>
        </w:rPr>
      </w:pPr>
      <w:r>
        <w:rPr>
          <w:rFonts w:ascii="宋体" w:hAnsi="宋体" w:eastAsia="宋体" w:cs="宋体"/>
          <w:spacing w:val="10"/>
          <w:sz w:val="23"/>
          <w:szCs w:val="23"/>
          <w14:textOutline w14:w="4356" w14:cap="sq" w14:cmpd="sng" w14:algn="ctr">
            <w14:solidFill>
              <w14:srgbClr w14:val="000000"/>
            </w14:solidFill>
            <w14:prstDash w14:val="solid"/>
            <w14:bevel/>
          </w14:textOutline>
        </w:rPr>
        <w:t>工</w:t>
      </w:r>
      <w:r>
        <w:rPr>
          <w:rFonts w:ascii="宋体" w:hAnsi="宋体" w:eastAsia="宋体" w:cs="宋体"/>
          <w:spacing w:val="7"/>
          <w:sz w:val="23"/>
          <w:szCs w:val="23"/>
          <w14:textOutline w14:w="4356" w14:cap="sq" w14:cmpd="sng" w14:algn="ctr">
            <w14:solidFill>
              <w14:srgbClr w14:val="000000"/>
            </w14:solidFill>
            <w14:prstDash w14:val="solid"/>
            <w14:bevel/>
          </w14:textOutline>
        </w:rPr>
        <w:t>艺流程简述：</w:t>
      </w:r>
    </w:p>
    <w:p w14:paraId="630250C7">
      <w:pPr>
        <w:spacing w:before="183" w:line="228" w:lineRule="auto"/>
        <w:ind w:left="501"/>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1</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场地平整</w:t>
      </w:r>
    </w:p>
    <w:p w14:paraId="6AE1D17C">
      <w:pPr>
        <w:spacing w:before="181" w:line="381" w:lineRule="auto"/>
        <w:ind w:left="10" w:right="44" w:firstLine="480"/>
        <w:rPr>
          <w:rFonts w:ascii="宋体" w:hAnsi="宋体" w:eastAsia="宋体" w:cs="宋体"/>
          <w:sz w:val="23"/>
          <w:szCs w:val="23"/>
        </w:rPr>
      </w:pPr>
      <w:r>
        <w:rPr>
          <w:rFonts w:ascii="宋体" w:hAnsi="宋体" w:eastAsia="宋体" w:cs="宋体"/>
          <w:spacing w:val="7"/>
          <w:sz w:val="23"/>
          <w:szCs w:val="23"/>
        </w:rPr>
        <w:t>本项目用地现状，地势高低起伏，建筑施工前先进行挖填方将场地进行平整。根据业主</w:t>
      </w:r>
      <w:r>
        <w:rPr>
          <w:rFonts w:ascii="宋体" w:hAnsi="宋体" w:eastAsia="宋体" w:cs="宋体"/>
          <w:sz w:val="23"/>
          <w:szCs w:val="23"/>
        </w:rPr>
        <w:t xml:space="preserve"> </w:t>
      </w:r>
      <w:r>
        <w:rPr>
          <w:rFonts w:ascii="宋体" w:hAnsi="宋体" w:eastAsia="宋体" w:cs="宋体"/>
          <w:spacing w:val="14"/>
          <w:sz w:val="23"/>
          <w:szCs w:val="23"/>
        </w:rPr>
        <w:t>介</w:t>
      </w:r>
      <w:r>
        <w:rPr>
          <w:rFonts w:ascii="宋体" w:hAnsi="宋体" w:eastAsia="宋体" w:cs="宋体"/>
          <w:spacing w:val="7"/>
          <w:sz w:val="23"/>
          <w:szCs w:val="23"/>
        </w:rPr>
        <w:t>绍，本项目挖方全部用于填方及场地平整，无弃方外排。场地平整过程中将产生设备设施</w:t>
      </w:r>
    </w:p>
    <w:p w14:paraId="742E712A">
      <w:pPr>
        <w:sectPr>
          <w:headerReference r:id="rId82" w:type="default"/>
          <w:footerReference r:id="rId83" w:type="default"/>
          <w:pgSz w:w="11907" w:h="16840"/>
          <w:pgMar w:top="829" w:right="1088" w:bottom="1139" w:left="1275" w:header="595" w:footer="953" w:gutter="0"/>
          <w:cols w:space="720" w:num="1"/>
        </w:sectPr>
      </w:pPr>
    </w:p>
    <w:p w14:paraId="34B8407C">
      <w:pPr>
        <w:spacing w:before="146" w:line="228" w:lineRule="auto"/>
        <w:ind w:left="21"/>
        <w:rPr>
          <w:rFonts w:ascii="宋体" w:hAnsi="宋体" w:eastAsia="宋体" w:cs="宋体"/>
          <w:sz w:val="23"/>
          <w:szCs w:val="23"/>
        </w:rPr>
      </w:pPr>
      <w:r>
        <w:rPr>
          <w:rFonts w:ascii="宋体" w:hAnsi="宋体" w:eastAsia="宋体" w:cs="宋体"/>
          <w:spacing w:val="9"/>
          <w:sz w:val="23"/>
          <w:szCs w:val="23"/>
        </w:rPr>
        <w:t>噪</w:t>
      </w:r>
      <w:r>
        <w:rPr>
          <w:rFonts w:ascii="宋体" w:hAnsi="宋体" w:eastAsia="宋体" w:cs="宋体"/>
          <w:spacing w:val="5"/>
          <w:sz w:val="23"/>
          <w:szCs w:val="23"/>
        </w:rPr>
        <w:t>声、扬尘等。</w:t>
      </w:r>
    </w:p>
    <w:p w14:paraId="1B8EA200">
      <w:pPr>
        <w:spacing w:before="181" w:line="228" w:lineRule="auto"/>
        <w:ind w:left="501"/>
        <w:rPr>
          <w:rFonts w:ascii="宋体" w:hAnsi="宋体" w:eastAsia="宋体" w:cs="宋体"/>
          <w:sz w:val="23"/>
          <w:szCs w:val="23"/>
        </w:rPr>
      </w:pP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8"/>
          <w:sz w:val="23"/>
          <w:szCs w:val="23"/>
        </w:rPr>
        <w:t>2</w:t>
      </w: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宋体" w:hAnsi="宋体" w:eastAsia="宋体" w:cs="宋体"/>
          <w:spacing w:val="18"/>
          <w:sz w:val="23"/>
          <w:szCs w:val="23"/>
        </w:rPr>
        <w:t xml:space="preserve"> </w:t>
      </w:r>
      <w:r>
        <w:rPr>
          <w:rFonts w:ascii="宋体" w:hAnsi="宋体" w:eastAsia="宋体" w:cs="宋体"/>
          <w:spacing w:val="18"/>
          <w:sz w:val="23"/>
          <w:szCs w:val="23"/>
          <w14:textOutline w14:w="4356" w14:cap="sq" w14:cmpd="sng" w14:algn="ctr">
            <w14:solidFill>
              <w14:srgbClr w14:val="000000"/>
            </w14:solidFill>
            <w14:prstDash w14:val="solid"/>
            <w14:bevel/>
          </w14:textOutline>
        </w:rPr>
        <w:t>基础工程施工</w:t>
      </w:r>
    </w:p>
    <w:p w14:paraId="49E9A261">
      <w:pPr>
        <w:spacing w:before="183" w:line="375" w:lineRule="auto"/>
        <w:ind w:left="9" w:right="63" w:firstLine="480"/>
        <w:rPr>
          <w:rFonts w:ascii="宋体" w:hAnsi="宋体" w:eastAsia="宋体" w:cs="宋体"/>
          <w:sz w:val="23"/>
          <w:szCs w:val="23"/>
        </w:rPr>
      </w:pPr>
      <w:r>
        <w:rPr>
          <w:rFonts w:ascii="宋体" w:hAnsi="宋体" w:eastAsia="宋体" w:cs="宋体"/>
          <w:spacing w:val="12"/>
          <w:sz w:val="23"/>
          <w:szCs w:val="23"/>
        </w:rPr>
        <w:t>在基础开</w:t>
      </w:r>
      <w:r>
        <w:rPr>
          <w:rFonts w:ascii="宋体" w:hAnsi="宋体" w:eastAsia="宋体" w:cs="宋体"/>
          <w:spacing w:val="10"/>
          <w:sz w:val="23"/>
          <w:szCs w:val="23"/>
        </w:rPr>
        <w:t>挖</w:t>
      </w:r>
      <w:r>
        <w:rPr>
          <w:rFonts w:ascii="宋体" w:hAnsi="宋体" w:eastAsia="宋体" w:cs="宋体"/>
          <w:spacing w:val="6"/>
          <w:sz w:val="23"/>
          <w:szCs w:val="23"/>
        </w:rPr>
        <w:t>、地基处理 (岩土工程) 与基础施工时，由于挖土机、运土卡车等施工机械</w:t>
      </w:r>
      <w:r>
        <w:rPr>
          <w:rFonts w:ascii="宋体" w:hAnsi="宋体" w:eastAsia="宋体" w:cs="宋体"/>
          <w:sz w:val="23"/>
          <w:szCs w:val="23"/>
        </w:rPr>
        <w:t xml:space="preserve"> </w:t>
      </w:r>
      <w:r>
        <w:rPr>
          <w:rFonts w:ascii="宋体" w:hAnsi="宋体" w:eastAsia="宋体" w:cs="宋体"/>
          <w:spacing w:val="14"/>
          <w:sz w:val="23"/>
          <w:szCs w:val="23"/>
        </w:rPr>
        <w:t>的</w:t>
      </w:r>
      <w:r>
        <w:rPr>
          <w:rFonts w:ascii="宋体" w:hAnsi="宋体" w:eastAsia="宋体" w:cs="宋体"/>
          <w:spacing w:val="8"/>
          <w:sz w:val="23"/>
          <w:szCs w:val="23"/>
        </w:rPr>
        <w:t>运</w:t>
      </w:r>
      <w:r>
        <w:rPr>
          <w:rFonts w:ascii="宋体" w:hAnsi="宋体" w:eastAsia="宋体" w:cs="宋体"/>
          <w:spacing w:val="7"/>
          <w:sz w:val="23"/>
          <w:szCs w:val="23"/>
        </w:rPr>
        <w:t>行，将产生一定的噪声；同时产生扬尘，不同条件下，扬尘对环境的影响不同；基础开</w:t>
      </w:r>
      <w:r>
        <w:rPr>
          <w:rFonts w:ascii="宋体" w:hAnsi="宋体" w:eastAsia="宋体" w:cs="宋体"/>
          <w:sz w:val="23"/>
          <w:szCs w:val="23"/>
        </w:rPr>
        <w:t xml:space="preserve"> </w:t>
      </w:r>
      <w:r>
        <w:rPr>
          <w:rFonts w:ascii="宋体" w:hAnsi="宋体" w:eastAsia="宋体" w:cs="宋体"/>
          <w:spacing w:val="11"/>
          <w:sz w:val="23"/>
          <w:szCs w:val="23"/>
        </w:rPr>
        <w:t>挖</w:t>
      </w:r>
      <w:r>
        <w:rPr>
          <w:rFonts w:ascii="宋体" w:hAnsi="宋体" w:eastAsia="宋体" w:cs="宋体"/>
          <w:spacing w:val="9"/>
          <w:sz w:val="23"/>
          <w:szCs w:val="23"/>
        </w:rPr>
        <w:t>会造成生态变化并引起一定程度的水土流失。</w:t>
      </w:r>
    </w:p>
    <w:p w14:paraId="23074EEA">
      <w:pPr>
        <w:spacing w:line="228" w:lineRule="auto"/>
        <w:ind w:left="501"/>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3</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主体工程</w:t>
      </w:r>
    </w:p>
    <w:p w14:paraId="6A6B1B28">
      <w:pPr>
        <w:spacing w:before="180" w:line="375" w:lineRule="auto"/>
        <w:ind w:left="33" w:right="1" w:firstLine="455"/>
        <w:rPr>
          <w:rFonts w:ascii="宋体" w:hAnsi="宋体" w:eastAsia="宋体" w:cs="宋体"/>
          <w:sz w:val="23"/>
          <w:szCs w:val="23"/>
        </w:rPr>
      </w:pPr>
      <w:r>
        <w:rPr>
          <w:rFonts w:ascii="宋体" w:hAnsi="宋体" w:eastAsia="宋体" w:cs="宋体"/>
          <w:spacing w:val="4"/>
          <w:sz w:val="23"/>
          <w:szCs w:val="23"/>
        </w:rPr>
        <w:t>挖掘机、打夯机、装载</w:t>
      </w:r>
      <w:r>
        <w:rPr>
          <w:rFonts w:ascii="宋体" w:hAnsi="宋体" w:eastAsia="宋体" w:cs="宋体"/>
          <w:spacing w:val="3"/>
          <w:sz w:val="23"/>
          <w:szCs w:val="23"/>
        </w:rPr>
        <w:t>汽</w:t>
      </w:r>
      <w:r>
        <w:rPr>
          <w:rFonts w:ascii="宋体" w:hAnsi="宋体" w:eastAsia="宋体" w:cs="宋体"/>
          <w:spacing w:val="2"/>
          <w:sz w:val="23"/>
          <w:szCs w:val="23"/>
        </w:rPr>
        <w:t>车、混凝土输送泵、卷扬机、钢筋切割机等运行时会产生噪声，</w:t>
      </w:r>
      <w:r>
        <w:rPr>
          <w:rFonts w:ascii="宋体" w:hAnsi="宋体" w:eastAsia="宋体" w:cs="宋体"/>
          <w:sz w:val="23"/>
          <w:szCs w:val="23"/>
        </w:rPr>
        <w:t xml:space="preserve"> </w:t>
      </w:r>
      <w:r>
        <w:rPr>
          <w:rFonts w:ascii="宋体" w:hAnsi="宋体" w:eastAsia="宋体" w:cs="宋体"/>
          <w:spacing w:val="16"/>
          <w:sz w:val="23"/>
          <w:szCs w:val="23"/>
        </w:rPr>
        <w:t>同时</w:t>
      </w:r>
      <w:r>
        <w:rPr>
          <w:rFonts w:ascii="宋体" w:hAnsi="宋体" w:eastAsia="宋体" w:cs="宋体"/>
          <w:spacing w:val="13"/>
          <w:sz w:val="23"/>
          <w:szCs w:val="23"/>
        </w:rPr>
        <w:t>产</w:t>
      </w:r>
      <w:r>
        <w:rPr>
          <w:rFonts w:ascii="宋体" w:hAnsi="宋体" w:eastAsia="宋体" w:cs="宋体"/>
          <w:spacing w:val="8"/>
          <w:sz w:val="23"/>
          <w:szCs w:val="23"/>
        </w:rPr>
        <w:t>生扬尘。此外，还有一些原材料废弃料以及生产和生活污水产生。</w:t>
      </w:r>
    </w:p>
    <w:p w14:paraId="29FDB78E">
      <w:pPr>
        <w:spacing w:line="228" w:lineRule="auto"/>
        <w:ind w:left="501"/>
        <w:rPr>
          <w:rFonts w:ascii="宋体" w:hAnsi="宋体" w:eastAsia="宋体" w:cs="宋体"/>
          <w:sz w:val="23"/>
          <w:szCs w:val="23"/>
        </w:rPr>
      </w:pPr>
      <w:r>
        <w:rPr>
          <w:rFonts w:ascii="宋体" w:hAnsi="宋体" w:eastAsia="宋体" w:cs="宋体"/>
          <w:spacing w:val="17"/>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7"/>
          <w:sz w:val="23"/>
          <w:szCs w:val="23"/>
        </w:rPr>
        <w:t>4</w:t>
      </w:r>
      <w:r>
        <w:rPr>
          <w:rFonts w:ascii="宋体" w:hAnsi="宋体" w:eastAsia="宋体" w:cs="宋体"/>
          <w:spacing w:val="17"/>
          <w:sz w:val="23"/>
          <w:szCs w:val="23"/>
          <w14:textOutline w14:w="4356" w14:cap="sq" w14:cmpd="sng" w14:algn="ctr">
            <w14:solidFill>
              <w14:srgbClr w14:val="000000"/>
            </w14:solidFill>
            <w14:prstDash w14:val="solid"/>
            <w14:bevel/>
          </w14:textOutline>
        </w:rPr>
        <w:t>)</w:t>
      </w:r>
      <w:r>
        <w:rPr>
          <w:rFonts w:ascii="宋体" w:hAnsi="宋体" w:eastAsia="宋体" w:cs="宋体"/>
          <w:spacing w:val="17"/>
          <w:sz w:val="23"/>
          <w:szCs w:val="23"/>
        </w:rPr>
        <w:t xml:space="preserve"> </w:t>
      </w:r>
      <w:r>
        <w:rPr>
          <w:rFonts w:ascii="宋体" w:hAnsi="宋体" w:eastAsia="宋体" w:cs="宋体"/>
          <w:spacing w:val="17"/>
          <w:sz w:val="23"/>
          <w:szCs w:val="23"/>
          <w14:textOutline w14:w="4356" w14:cap="sq" w14:cmpd="sng" w14:algn="ctr">
            <w14:solidFill>
              <w14:srgbClr w14:val="000000"/>
            </w14:solidFill>
            <w14:prstDash w14:val="solid"/>
            <w14:bevel/>
          </w14:textOutline>
        </w:rPr>
        <w:t>装饰工程及安装工</w:t>
      </w:r>
      <w:r>
        <w:rPr>
          <w:rFonts w:ascii="宋体" w:hAnsi="宋体" w:eastAsia="宋体" w:cs="宋体"/>
          <w:spacing w:val="14"/>
          <w:sz w:val="23"/>
          <w:szCs w:val="23"/>
          <w14:textOutline w14:w="4356" w14:cap="sq" w14:cmpd="sng" w14:algn="ctr">
            <w14:solidFill>
              <w14:srgbClr w14:val="000000"/>
            </w14:solidFill>
            <w14:prstDash w14:val="solid"/>
            <w14:bevel/>
          </w14:textOutline>
        </w:rPr>
        <w:t>程</w:t>
      </w:r>
    </w:p>
    <w:p w14:paraId="05779D41">
      <w:pPr>
        <w:spacing w:before="181" w:line="376" w:lineRule="auto"/>
        <w:ind w:left="13" w:firstLine="476"/>
        <w:rPr>
          <w:rFonts w:ascii="宋体" w:hAnsi="宋体" w:eastAsia="宋体" w:cs="宋体"/>
          <w:sz w:val="23"/>
          <w:szCs w:val="23"/>
        </w:rPr>
      </w:pPr>
      <w:r>
        <w:rPr>
          <w:rFonts w:ascii="宋体" w:hAnsi="宋体" w:eastAsia="宋体" w:cs="宋体"/>
          <w:spacing w:val="12"/>
          <w:sz w:val="23"/>
          <w:szCs w:val="23"/>
        </w:rPr>
        <w:t>在对构筑物</w:t>
      </w:r>
      <w:r>
        <w:rPr>
          <w:rFonts w:ascii="宋体" w:hAnsi="宋体" w:eastAsia="宋体" w:cs="宋体"/>
          <w:spacing w:val="6"/>
          <w:sz w:val="23"/>
          <w:szCs w:val="23"/>
        </w:rPr>
        <w:t>的室内外进行装修时 (如表面粉刷、喷涂、裱糊、镶贴装饰等) ，同时安装</w:t>
      </w:r>
      <w:r>
        <w:rPr>
          <w:rFonts w:ascii="宋体" w:hAnsi="宋体" w:eastAsia="宋体" w:cs="宋体"/>
          <w:sz w:val="23"/>
          <w:szCs w:val="23"/>
        </w:rPr>
        <w:t xml:space="preserve"> </w:t>
      </w:r>
      <w:r>
        <w:rPr>
          <w:rFonts w:ascii="宋体" w:hAnsi="宋体" w:eastAsia="宋体" w:cs="宋体"/>
          <w:spacing w:val="16"/>
          <w:sz w:val="23"/>
          <w:szCs w:val="23"/>
        </w:rPr>
        <w:t>水电、</w:t>
      </w:r>
      <w:r>
        <w:rPr>
          <w:rFonts w:ascii="宋体" w:hAnsi="宋体" w:eastAsia="宋体" w:cs="宋体"/>
          <w:spacing w:val="11"/>
          <w:sz w:val="23"/>
          <w:szCs w:val="23"/>
        </w:rPr>
        <w:t>设</w:t>
      </w:r>
      <w:r>
        <w:rPr>
          <w:rFonts w:ascii="宋体" w:hAnsi="宋体" w:eastAsia="宋体" w:cs="宋体"/>
          <w:spacing w:val="8"/>
          <w:sz w:val="23"/>
          <w:szCs w:val="23"/>
        </w:rPr>
        <w:t>备设施等。施工使用的钻机、电锤等产生噪声，喷涂产生废气、废弃物料及污水。</w:t>
      </w:r>
    </w:p>
    <w:p w14:paraId="58D871D9">
      <w:pPr>
        <w:spacing w:line="227" w:lineRule="auto"/>
        <w:ind w:left="501"/>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5</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工程验收</w:t>
      </w:r>
    </w:p>
    <w:p w14:paraId="02946442">
      <w:pPr>
        <w:spacing w:before="183" w:line="227" w:lineRule="auto"/>
        <w:ind w:left="505"/>
        <w:rPr>
          <w:rFonts w:ascii="宋体" w:hAnsi="宋体" w:eastAsia="宋体" w:cs="宋体"/>
          <w:sz w:val="23"/>
          <w:szCs w:val="23"/>
        </w:rPr>
      </w:pPr>
      <w:r>
        <w:rPr>
          <w:rFonts w:ascii="宋体" w:hAnsi="宋体" w:eastAsia="宋体" w:cs="宋体"/>
          <w:spacing w:val="9"/>
          <w:sz w:val="23"/>
          <w:szCs w:val="23"/>
        </w:rPr>
        <w:t>当</w:t>
      </w:r>
      <w:r>
        <w:rPr>
          <w:rFonts w:ascii="宋体" w:hAnsi="宋体" w:eastAsia="宋体" w:cs="宋体"/>
          <w:spacing w:val="8"/>
          <w:sz w:val="23"/>
          <w:szCs w:val="23"/>
        </w:rPr>
        <w:t>施工完成验收合格后，方可投入使用。</w:t>
      </w:r>
    </w:p>
    <w:p w14:paraId="11D6E3F6">
      <w:pPr>
        <w:spacing w:before="184" w:line="375" w:lineRule="auto"/>
        <w:ind w:left="12" w:right="60" w:firstLine="481"/>
        <w:rPr>
          <w:rFonts w:ascii="宋体" w:hAnsi="宋体" w:eastAsia="宋体" w:cs="宋体"/>
          <w:sz w:val="23"/>
          <w:szCs w:val="23"/>
        </w:rPr>
      </w:pPr>
      <w:r>
        <w:rPr>
          <w:rFonts w:ascii="宋体" w:hAnsi="宋体" w:eastAsia="宋体" w:cs="宋体"/>
          <w:spacing w:val="12"/>
          <w:sz w:val="23"/>
          <w:szCs w:val="23"/>
        </w:rPr>
        <w:t>项目在施</w:t>
      </w:r>
      <w:r>
        <w:rPr>
          <w:rFonts w:ascii="宋体" w:hAnsi="宋体" w:eastAsia="宋体" w:cs="宋体"/>
          <w:spacing w:val="7"/>
          <w:sz w:val="23"/>
          <w:szCs w:val="23"/>
        </w:rPr>
        <w:t>工</w:t>
      </w:r>
      <w:r>
        <w:rPr>
          <w:rFonts w:ascii="宋体" w:hAnsi="宋体" w:eastAsia="宋体" w:cs="宋体"/>
          <w:spacing w:val="6"/>
          <w:sz w:val="23"/>
          <w:szCs w:val="23"/>
        </w:rPr>
        <w:t>期以施工噪声、施工扬尘、废弃物料 (建筑弃渣及其它废料) 和废水为主要</w:t>
      </w:r>
      <w:r>
        <w:rPr>
          <w:rFonts w:ascii="宋体" w:hAnsi="宋体" w:eastAsia="宋体" w:cs="宋体"/>
          <w:sz w:val="23"/>
          <w:szCs w:val="23"/>
        </w:rPr>
        <w:t xml:space="preserve"> </w:t>
      </w:r>
      <w:r>
        <w:rPr>
          <w:rFonts w:ascii="宋体" w:hAnsi="宋体" w:eastAsia="宋体" w:cs="宋体"/>
          <w:spacing w:val="6"/>
          <w:sz w:val="23"/>
          <w:szCs w:val="23"/>
        </w:rPr>
        <w:t>污</w:t>
      </w:r>
      <w:r>
        <w:rPr>
          <w:rFonts w:ascii="宋体" w:hAnsi="宋体" w:eastAsia="宋体" w:cs="宋体"/>
          <w:spacing w:val="4"/>
          <w:sz w:val="23"/>
          <w:szCs w:val="23"/>
        </w:rPr>
        <w:t>染物。</w:t>
      </w:r>
    </w:p>
    <w:p w14:paraId="7BF41FBE">
      <w:pPr>
        <w:spacing w:line="227" w:lineRule="auto"/>
        <w:ind w:left="4"/>
        <w:outlineLvl w:val="2"/>
        <w:rPr>
          <w:rFonts w:ascii="宋体" w:hAnsi="宋体" w:eastAsia="宋体" w:cs="宋体"/>
          <w:sz w:val="23"/>
          <w:szCs w:val="23"/>
        </w:rPr>
      </w:pPr>
      <w:r>
        <w:rPr>
          <w:rFonts w:ascii="Times New Roman" w:hAnsi="Times New Roman" w:eastAsia="Times New Roman" w:cs="Times New Roman"/>
          <w:b/>
          <w:bCs/>
          <w:spacing w:val="7"/>
          <w:sz w:val="23"/>
          <w:szCs w:val="23"/>
        </w:rPr>
        <w:t>3.2.2</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施工期产污环</w:t>
      </w:r>
      <w:r>
        <w:rPr>
          <w:rFonts w:ascii="宋体" w:hAnsi="宋体" w:eastAsia="宋体" w:cs="宋体"/>
          <w:spacing w:val="4"/>
          <w:sz w:val="23"/>
          <w:szCs w:val="23"/>
          <w14:textOutline w14:w="4356" w14:cap="sq" w14:cmpd="sng" w14:algn="ctr">
            <w14:solidFill>
              <w14:srgbClr w14:val="000000"/>
            </w14:solidFill>
            <w14:prstDash w14:val="solid"/>
            <w14:bevel/>
          </w14:textOutline>
        </w:rPr>
        <w:t>节</w:t>
      </w:r>
    </w:p>
    <w:p w14:paraId="5F72C8E3">
      <w:pPr>
        <w:spacing w:before="185" w:line="228" w:lineRule="auto"/>
        <w:ind w:left="501"/>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3"/>
          <w:sz w:val="23"/>
          <w:szCs w:val="23"/>
        </w:rPr>
        <w:t>1</w:t>
      </w:r>
      <w:r>
        <w:rPr>
          <w:rFonts w:ascii="宋体" w:hAnsi="宋体" w:eastAsia="宋体" w:cs="宋体"/>
          <w:spacing w:val="13"/>
          <w:sz w:val="23"/>
          <w:szCs w:val="23"/>
        </w:rPr>
        <w:t>) 废气：施工扬尘、施工机械燃油废气。</w:t>
      </w:r>
    </w:p>
    <w:p w14:paraId="519198E3">
      <w:pPr>
        <w:spacing w:before="182" w:line="227" w:lineRule="auto"/>
        <w:ind w:left="501"/>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3"/>
          <w:sz w:val="23"/>
          <w:szCs w:val="23"/>
        </w:rPr>
        <w:t>2</w:t>
      </w:r>
      <w:r>
        <w:rPr>
          <w:rFonts w:ascii="宋体" w:hAnsi="宋体" w:eastAsia="宋体" w:cs="宋体"/>
          <w:spacing w:val="13"/>
          <w:sz w:val="23"/>
          <w:szCs w:val="23"/>
        </w:rPr>
        <w:t>) 废水：施工废水、施工人员生活废水。</w:t>
      </w:r>
    </w:p>
    <w:p w14:paraId="59A30FEF">
      <w:pPr>
        <w:spacing w:before="182" w:line="228" w:lineRule="auto"/>
        <w:ind w:left="501"/>
        <w:rPr>
          <w:rFonts w:ascii="宋体" w:hAnsi="宋体" w:eastAsia="宋体" w:cs="宋体"/>
          <w:sz w:val="23"/>
          <w:szCs w:val="23"/>
        </w:rPr>
      </w:pPr>
      <w:r>
        <w:rPr>
          <w:rFonts w:ascii="宋体" w:hAnsi="宋体" w:eastAsia="宋体" w:cs="宋体"/>
          <w:spacing w:val="23"/>
          <w:sz w:val="23"/>
          <w:szCs w:val="23"/>
        </w:rPr>
        <w:t>(</w:t>
      </w:r>
      <w:r>
        <w:rPr>
          <w:rFonts w:ascii="Times New Roman" w:hAnsi="Times New Roman" w:eastAsia="Times New Roman" w:cs="Times New Roman"/>
          <w:spacing w:val="12"/>
          <w:sz w:val="23"/>
          <w:szCs w:val="23"/>
        </w:rPr>
        <w:t>3</w:t>
      </w:r>
      <w:r>
        <w:rPr>
          <w:rFonts w:ascii="宋体" w:hAnsi="宋体" w:eastAsia="宋体" w:cs="宋体"/>
          <w:spacing w:val="12"/>
          <w:sz w:val="23"/>
          <w:szCs w:val="23"/>
        </w:rPr>
        <w:t>) 噪声：设备噪声，主要来源于施工现场的各类机械设备。</w:t>
      </w:r>
    </w:p>
    <w:p w14:paraId="5FA72B00">
      <w:pPr>
        <w:spacing w:before="183" w:line="375" w:lineRule="auto"/>
        <w:ind w:left="12" w:right="65" w:firstLine="489"/>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5"/>
          <w:sz w:val="23"/>
          <w:szCs w:val="23"/>
        </w:rPr>
        <w:t>4</w:t>
      </w:r>
      <w:r>
        <w:rPr>
          <w:rFonts w:ascii="宋体" w:hAnsi="宋体" w:eastAsia="宋体" w:cs="宋体"/>
          <w:spacing w:val="12"/>
          <w:sz w:val="23"/>
          <w:szCs w:val="23"/>
        </w:rPr>
        <w:t>) 固废：基础开挖产生的土石方、施工过程产生的工程废料、施工人员产生的生活</w:t>
      </w:r>
      <w:r>
        <w:rPr>
          <w:rFonts w:ascii="宋体" w:hAnsi="宋体" w:eastAsia="宋体" w:cs="宋体"/>
          <w:sz w:val="23"/>
          <w:szCs w:val="23"/>
        </w:rPr>
        <w:t xml:space="preserve"> </w:t>
      </w:r>
      <w:r>
        <w:rPr>
          <w:rFonts w:ascii="宋体" w:hAnsi="宋体" w:eastAsia="宋体" w:cs="宋体"/>
          <w:spacing w:val="6"/>
          <w:sz w:val="23"/>
          <w:szCs w:val="23"/>
        </w:rPr>
        <w:t>垃</w:t>
      </w:r>
      <w:r>
        <w:rPr>
          <w:rFonts w:ascii="宋体" w:hAnsi="宋体" w:eastAsia="宋体" w:cs="宋体"/>
          <w:spacing w:val="4"/>
          <w:sz w:val="23"/>
          <w:szCs w:val="23"/>
        </w:rPr>
        <w:t>圾等。</w:t>
      </w:r>
    </w:p>
    <w:p w14:paraId="2B297D69">
      <w:pPr>
        <w:spacing w:before="1" w:line="227" w:lineRule="auto"/>
        <w:ind w:left="4"/>
        <w:outlineLvl w:val="2"/>
        <w:rPr>
          <w:rFonts w:ascii="宋体" w:hAnsi="宋体" w:eastAsia="宋体" w:cs="宋体"/>
          <w:sz w:val="23"/>
          <w:szCs w:val="23"/>
        </w:rPr>
      </w:pPr>
      <w:r>
        <w:rPr>
          <w:rFonts w:ascii="Times New Roman" w:hAnsi="Times New Roman" w:eastAsia="Times New Roman" w:cs="Times New Roman"/>
          <w:b/>
          <w:bCs/>
          <w:spacing w:val="10"/>
          <w:sz w:val="23"/>
          <w:szCs w:val="23"/>
        </w:rPr>
        <w:t>3</w:t>
      </w:r>
      <w:r>
        <w:rPr>
          <w:rFonts w:ascii="Times New Roman" w:hAnsi="Times New Roman" w:eastAsia="Times New Roman" w:cs="Times New Roman"/>
          <w:b/>
          <w:bCs/>
          <w:spacing w:val="7"/>
          <w:sz w:val="23"/>
          <w:szCs w:val="23"/>
        </w:rPr>
        <w:t>.2.3</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施工期产排污分析</w:t>
      </w:r>
    </w:p>
    <w:p w14:paraId="71BCF9E3">
      <w:pPr>
        <w:spacing w:before="184" w:line="227" w:lineRule="auto"/>
        <w:ind w:left="491"/>
        <w:rPr>
          <w:rFonts w:ascii="宋体" w:hAnsi="宋体" w:eastAsia="宋体" w:cs="宋体"/>
          <w:sz w:val="23"/>
          <w:szCs w:val="23"/>
        </w:rPr>
      </w:pPr>
      <w:r>
        <w:rPr>
          <w:rFonts w:ascii="宋体" w:hAnsi="宋体" w:eastAsia="宋体" w:cs="宋体"/>
          <w:spacing w:val="12"/>
          <w:sz w:val="23"/>
          <w:szCs w:val="23"/>
        </w:rPr>
        <w:t>本</w:t>
      </w:r>
      <w:r>
        <w:rPr>
          <w:rFonts w:ascii="宋体" w:hAnsi="宋体" w:eastAsia="宋体" w:cs="宋体"/>
          <w:spacing w:val="9"/>
          <w:sz w:val="23"/>
          <w:szCs w:val="23"/>
        </w:rPr>
        <w:t>项目施工时，不设置施工营地，就近租用民房办公。</w:t>
      </w:r>
    </w:p>
    <w:p w14:paraId="79CB6402">
      <w:pPr>
        <w:spacing w:before="184" w:line="228" w:lineRule="auto"/>
        <w:ind w:left="4"/>
        <w:outlineLvl w:val="3"/>
        <w:rPr>
          <w:rFonts w:ascii="宋体" w:hAnsi="宋体" w:eastAsia="宋体" w:cs="宋体"/>
          <w:sz w:val="23"/>
          <w:szCs w:val="23"/>
        </w:rPr>
      </w:pPr>
      <w:r>
        <w:rPr>
          <w:rFonts w:ascii="Times New Roman" w:hAnsi="Times New Roman" w:eastAsia="Times New Roman" w:cs="Times New Roman"/>
          <w:b/>
          <w:bCs/>
          <w:spacing w:val="23"/>
          <w:sz w:val="23"/>
          <w:szCs w:val="23"/>
        </w:rPr>
        <w:t>3</w:t>
      </w:r>
      <w:r>
        <w:rPr>
          <w:rFonts w:ascii="Times New Roman" w:hAnsi="Times New Roman" w:eastAsia="Times New Roman" w:cs="Times New Roman"/>
          <w:b/>
          <w:bCs/>
          <w:spacing w:val="20"/>
          <w:sz w:val="23"/>
          <w:szCs w:val="23"/>
        </w:rPr>
        <w:t>.2.3.1</w:t>
      </w:r>
      <w:r>
        <w:rPr>
          <w:rFonts w:ascii="Times New Roman" w:hAnsi="Times New Roman" w:eastAsia="Times New Roman" w:cs="Times New Roman"/>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施工期大气污染物</w:t>
      </w:r>
    </w:p>
    <w:p w14:paraId="0AC8AC52">
      <w:pPr>
        <w:spacing w:before="183" w:line="229" w:lineRule="auto"/>
        <w:ind w:left="501"/>
        <w:rPr>
          <w:rFonts w:ascii="宋体" w:hAnsi="宋体" w:eastAsia="宋体" w:cs="宋体"/>
          <w:sz w:val="23"/>
          <w:szCs w:val="23"/>
        </w:rPr>
      </w:pPr>
      <w:r>
        <w:rPr>
          <w:rFonts w:ascii="宋体" w:hAnsi="宋体" w:eastAsia="宋体" w:cs="宋体"/>
          <w:spacing w:val="25"/>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1"/>
          <w:sz w:val="23"/>
          <w:szCs w:val="23"/>
        </w:rPr>
        <w:t>1</w:t>
      </w: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宋体" w:hAnsi="宋体" w:eastAsia="宋体" w:cs="宋体"/>
          <w:spacing w:val="21"/>
          <w:sz w:val="23"/>
          <w:szCs w:val="23"/>
        </w:rPr>
        <w:t xml:space="preserve"> </w:t>
      </w:r>
      <w:r>
        <w:rPr>
          <w:rFonts w:ascii="宋体" w:hAnsi="宋体" w:eastAsia="宋体" w:cs="宋体"/>
          <w:spacing w:val="21"/>
          <w:sz w:val="23"/>
          <w:szCs w:val="23"/>
          <w14:textOutline w14:w="4356" w14:cap="sq" w14:cmpd="sng" w14:algn="ctr">
            <w14:solidFill>
              <w14:srgbClr w14:val="000000"/>
            </w14:solidFill>
            <w14:prstDash w14:val="solid"/>
            <w14:bevel/>
          </w14:textOutline>
        </w:rPr>
        <w:t>排放源</w:t>
      </w:r>
    </w:p>
    <w:p w14:paraId="4F87888D">
      <w:pPr>
        <w:spacing w:before="181" w:line="227" w:lineRule="auto"/>
        <w:ind w:left="490"/>
        <w:rPr>
          <w:rFonts w:ascii="宋体" w:hAnsi="宋体" w:eastAsia="宋体" w:cs="宋体"/>
          <w:sz w:val="23"/>
          <w:szCs w:val="23"/>
        </w:rPr>
      </w:pPr>
      <w:r>
        <w:rPr>
          <w:rFonts w:ascii="宋体" w:hAnsi="宋体" w:eastAsia="宋体" w:cs="宋体"/>
          <w:spacing w:val="18"/>
          <w:sz w:val="23"/>
          <w:szCs w:val="23"/>
        </w:rPr>
        <w:t>根</w:t>
      </w:r>
      <w:r>
        <w:rPr>
          <w:rFonts w:ascii="宋体" w:hAnsi="宋体" w:eastAsia="宋体" w:cs="宋体"/>
          <w:spacing w:val="13"/>
          <w:sz w:val="23"/>
          <w:szCs w:val="23"/>
        </w:rPr>
        <w:t>据</w:t>
      </w:r>
      <w:r>
        <w:rPr>
          <w:rFonts w:ascii="宋体" w:hAnsi="宋体" w:eastAsia="宋体" w:cs="宋体"/>
          <w:spacing w:val="9"/>
          <w:sz w:val="23"/>
          <w:szCs w:val="23"/>
        </w:rPr>
        <w:t>项目实施工程分析，项目在施工期其大气污染源主要来自于以下方面：</w:t>
      </w:r>
    </w:p>
    <w:p w14:paraId="1D8E5CFF">
      <w:pPr>
        <w:spacing w:before="186" w:line="374" w:lineRule="auto"/>
        <w:ind w:left="10" w:right="63" w:firstLine="479"/>
        <w:rPr>
          <w:rFonts w:ascii="宋体" w:hAnsi="宋体" w:eastAsia="宋体" w:cs="宋体"/>
          <w:sz w:val="23"/>
          <w:szCs w:val="23"/>
        </w:rPr>
      </w:pPr>
      <w:r>
        <w:rPr>
          <w:rFonts w:ascii="宋体" w:hAnsi="宋体" w:eastAsia="宋体" w:cs="宋体"/>
          <w:spacing w:val="9"/>
          <w:sz w:val="23"/>
          <w:szCs w:val="23"/>
        </w:rPr>
        <w:t>①</w:t>
      </w:r>
      <w:r>
        <w:rPr>
          <w:rFonts w:ascii="宋体" w:hAnsi="宋体" w:eastAsia="宋体" w:cs="宋体"/>
          <w:spacing w:val="7"/>
          <w:sz w:val="23"/>
          <w:szCs w:val="23"/>
        </w:rPr>
        <w:t>土建混凝土浇铸及运输车辆装卸材料和行驶时产生的扬尘；建筑材料的现场搬运及堆</w:t>
      </w:r>
      <w:r>
        <w:rPr>
          <w:rFonts w:ascii="宋体" w:hAnsi="宋体" w:eastAsia="宋体" w:cs="宋体"/>
          <w:sz w:val="23"/>
          <w:szCs w:val="23"/>
        </w:rPr>
        <w:t xml:space="preserve"> </w:t>
      </w:r>
      <w:r>
        <w:rPr>
          <w:rFonts w:ascii="宋体" w:hAnsi="宋体" w:eastAsia="宋体" w:cs="宋体"/>
          <w:spacing w:val="14"/>
          <w:sz w:val="23"/>
          <w:szCs w:val="23"/>
        </w:rPr>
        <w:t>放</w:t>
      </w:r>
      <w:r>
        <w:rPr>
          <w:rFonts w:ascii="宋体" w:hAnsi="宋体" w:eastAsia="宋体" w:cs="宋体"/>
          <w:spacing w:val="7"/>
          <w:sz w:val="23"/>
          <w:szCs w:val="23"/>
        </w:rPr>
        <w:t>扬尘；施工垃圾的清理及堆放扬尘；人来车往造成的现场道路扬尘。经类比分析，施工场</w:t>
      </w:r>
      <w:r>
        <w:rPr>
          <w:rFonts w:ascii="宋体" w:hAnsi="宋体" w:eastAsia="宋体" w:cs="宋体"/>
          <w:sz w:val="23"/>
          <w:szCs w:val="23"/>
        </w:rPr>
        <w:t xml:space="preserve"> </w:t>
      </w:r>
      <w:r>
        <w:rPr>
          <w:rFonts w:ascii="宋体" w:hAnsi="宋体" w:eastAsia="宋体" w:cs="宋体"/>
          <w:spacing w:val="8"/>
          <w:sz w:val="23"/>
          <w:szCs w:val="23"/>
        </w:rPr>
        <w:t>地</w:t>
      </w:r>
      <w:r>
        <w:rPr>
          <w:rFonts w:ascii="宋体" w:hAnsi="宋体" w:eastAsia="宋体" w:cs="宋体"/>
          <w:spacing w:val="5"/>
          <w:sz w:val="23"/>
          <w:szCs w:val="23"/>
        </w:rPr>
        <w:t>扬</w:t>
      </w:r>
      <w:r>
        <w:rPr>
          <w:rFonts w:ascii="宋体" w:hAnsi="宋体" w:eastAsia="宋体" w:cs="宋体"/>
          <w:spacing w:val="4"/>
          <w:sz w:val="23"/>
          <w:szCs w:val="23"/>
        </w:rPr>
        <w:t xml:space="preserve">尘浓度平均值约为 </w:t>
      </w:r>
      <w:r>
        <w:rPr>
          <w:rFonts w:ascii="Times New Roman" w:hAnsi="Times New Roman" w:eastAsia="Times New Roman" w:cs="Times New Roman"/>
          <w:spacing w:val="4"/>
          <w:sz w:val="23"/>
          <w:szCs w:val="23"/>
        </w:rPr>
        <w:t>3.5</w:t>
      </w:r>
      <w:r>
        <w:rPr>
          <w:rFonts w:ascii="Times New Roman" w:hAnsi="Times New Roman" w:eastAsia="Times New Roman" w:cs="Times New Roman"/>
          <w:sz w:val="23"/>
          <w:szCs w:val="23"/>
        </w:rPr>
        <w:t>mg</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4"/>
          <w:position w:val="7"/>
          <w:sz w:val="15"/>
          <w:szCs w:val="15"/>
        </w:rPr>
        <w:t>3</w:t>
      </w:r>
      <w:r>
        <w:rPr>
          <w:rFonts w:ascii="宋体" w:hAnsi="宋体" w:eastAsia="宋体" w:cs="宋体"/>
          <w:spacing w:val="4"/>
          <w:sz w:val="23"/>
          <w:szCs w:val="23"/>
        </w:rPr>
        <w:t>。</w:t>
      </w:r>
    </w:p>
    <w:p w14:paraId="799258F5">
      <w:pPr>
        <w:spacing w:before="2" w:line="383" w:lineRule="auto"/>
        <w:ind w:left="11" w:right="63" w:firstLine="477"/>
        <w:rPr>
          <w:rFonts w:ascii="宋体" w:hAnsi="宋体" w:eastAsia="宋体" w:cs="宋体"/>
          <w:sz w:val="23"/>
          <w:szCs w:val="23"/>
        </w:rPr>
      </w:pPr>
      <w:r>
        <w:rPr>
          <w:rFonts w:ascii="宋体" w:hAnsi="宋体" w:eastAsia="宋体" w:cs="宋体"/>
          <w:spacing w:val="10"/>
          <w:sz w:val="23"/>
          <w:szCs w:val="23"/>
        </w:rPr>
        <w:t>②</w:t>
      </w:r>
      <w:r>
        <w:rPr>
          <w:rFonts w:ascii="宋体" w:hAnsi="宋体" w:eastAsia="宋体" w:cs="宋体"/>
          <w:spacing w:val="7"/>
          <w:sz w:val="23"/>
          <w:szCs w:val="23"/>
        </w:rPr>
        <w:t>装饰工程施工如涂、磨、刨、钻、砂等装饰作业以及使用某些装饰材料如涂料、人造</w:t>
      </w:r>
      <w:r>
        <w:rPr>
          <w:rFonts w:ascii="宋体" w:hAnsi="宋体" w:eastAsia="宋体" w:cs="宋体"/>
          <w:sz w:val="23"/>
          <w:szCs w:val="23"/>
        </w:rPr>
        <w:t xml:space="preserve"> </w:t>
      </w:r>
      <w:r>
        <w:rPr>
          <w:rFonts w:ascii="宋体" w:hAnsi="宋体" w:eastAsia="宋体" w:cs="宋体"/>
          <w:spacing w:val="10"/>
          <w:sz w:val="23"/>
          <w:szCs w:val="23"/>
        </w:rPr>
        <w:t>板、某</w:t>
      </w:r>
      <w:r>
        <w:rPr>
          <w:rFonts w:ascii="宋体" w:hAnsi="宋体" w:eastAsia="宋体" w:cs="宋体"/>
          <w:spacing w:val="9"/>
          <w:sz w:val="23"/>
          <w:szCs w:val="23"/>
        </w:rPr>
        <w:t>些</w:t>
      </w:r>
      <w:r>
        <w:rPr>
          <w:rFonts w:ascii="宋体" w:hAnsi="宋体" w:eastAsia="宋体" w:cs="宋体"/>
          <w:spacing w:val="5"/>
          <w:sz w:val="23"/>
          <w:szCs w:val="23"/>
        </w:rPr>
        <w:t>有害物质 (如苯系物、 甲醛、酚等污染物) 等形成有机废气污染物；</w:t>
      </w:r>
    </w:p>
    <w:p w14:paraId="7E6BA34A">
      <w:pPr>
        <w:sectPr>
          <w:headerReference r:id="rId84" w:type="default"/>
          <w:footerReference r:id="rId85" w:type="default"/>
          <w:pgSz w:w="11907" w:h="16840"/>
          <w:pgMar w:top="829" w:right="1070" w:bottom="1139" w:left="1275" w:header="595" w:footer="953" w:gutter="0"/>
          <w:cols w:space="720" w:num="1"/>
        </w:sectPr>
      </w:pPr>
    </w:p>
    <w:p w14:paraId="02644A7E">
      <w:pPr>
        <w:spacing w:before="145" w:line="375" w:lineRule="auto"/>
        <w:ind w:left="11" w:right="80" w:firstLine="477"/>
        <w:rPr>
          <w:rFonts w:ascii="宋体" w:hAnsi="宋体" w:eastAsia="宋体" w:cs="宋体"/>
          <w:sz w:val="23"/>
          <w:szCs w:val="23"/>
        </w:rPr>
      </w:pPr>
      <w:r>
        <w:rPr>
          <w:rFonts w:ascii="宋体" w:hAnsi="宋体" w:eastAsia="宋体" w:cs="宋体"/>
          <w:spacing w:val="10"/>
          <w:sz w:val="23"/>
          <w:szCs w:val="23"/>
        </w:rPr>
        <w:t>③</w:t>
      </w:r>
      <w:r>
        <w:rPr>
          <w:rFonts w:ascii="宋体" w:hAnsi="宋体" w:eastAsia="宋体" w:cs="宋体"/>
          <w:spacing w:val="7"/>
          <w:sz w:val="23"/>
          <w:szCs w:val="23"/>
        </w:rPr>
        <w:t>施工机械及运输车辆废气来源于施工过程中燃油机械的使用以及来往的运输车辆，主</w:t>
      </w:r>
      <w:r>
        <w:rPr>
          <w:rFonts w:ascii="宋体" w:hAnsi="宋体" w:eastAsia="宋体" w:cs="宋体"/>
          <w:sz w:val="23"/>
          <w:szCs w:val="23"/>
        </w:rPr>
        <w:t xml:space="preserve"> </w:t>
      </w:r>
      <w:r>
        <w:rPr>
          <w:rFonts w:ascii="宋体" w:hAnsi="宋体" w:eastAsia="宋体" w:cs="宋体"/>
          <w:spacing w:val="-2"/>
          <w:sz w:val="23"/>
          <w:szCs w:val="23"/>
        </w:rPr>
        <w:t>要污</w:t>
      </w:r>
      <w:r>
        <w:rPr>
          <w:rFonts w:ascii="宋体" w:hAnsi="宋体" w:eastAsia="宋体" w:cs="宋体"/>
          <w:spacing w:val="-1"/>
          <w:sz w:val="23"/>
          <w:szCs w:val="23"/>
        </w:rPr>
        <w:t xml:space="preserve">染物为 </w:t>
      </w:r>
      <w:r>
        <w:rPr>
          <w:rFonts w:ascii="Times New Roman" w:hAnsi="Times New Roman" w:eastAsia="Times New Roman" w:cs="Times New Roman"/>
          <w:spacing w:val="-1"/>
          <w:sz w:val="23"/>
          <w:szCs w:val="23"/>
        </w:rPr>
        <w:t xml:space="preserve">CO </w:t>
      </w:r>
      <w:r>
        <w:rPr>
          <w:rFonts w:ascii="宋体" w:hAnsi="宋体" w:eastAsia="宋体" w:cs="宋体"/>
          <w:spacing w:val="-1"/>
          <w:sz w:val="23"/>
          <w:szCs w:val="23"/>
        </w:rPr>
        <w:t>、</w:t>
      </w:r>
      <w:r>
        <w:rPr>
          <w:rFonts w:ascii="Times New Roman" w:hAnsi="Times New Roman" w:eastAsia="Times New Roman" w:cs="Times New Roman"/>
          <w:spacing w:val="-1"/>
          <w:sz w:val="23"/>
          <w:szCs w:val="23"/>
        </w:rPr>
        <w:t xml:space="preserve">NOx </w:t>
      </w:r>
      <w:r>
        <w:rPr>
          <w:rFonts w:ascii="宋体" w:hAnsi="宋体" w:eastAsia="宋体" w:cs="宋体"/>
          <w:spacing w:val="-1"/>
          <w:sz w:val="23"/>
          <w:szCs w:val="23"/>
        </w:rPr>
        <w:t>等。</w:t>
      </w:r>
    </w:p>
    <w:p w14:paraId="5C8A79F2">
      <w:pPr>
        <w:spacing w:line="228" w:lineRule="auto"/>
        <w:ind w:left="501"/>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2</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治理措施</w:t>
      </w:r>
    </w:p>
    <w:p w14:paraId="47751F45">
      <w:pPr>
        <w:spacing w:before="183" w:line="374" w:lineRule="auto"/>
        <w:ind w:left="10" w:right="77" w:firstLine="479"/>
        <w:rPr>
          <w:rFonts w:ascii="宋体" w:hAnsi="宋体" w:eastAsia="宋体" w:cs="宋体"/>
          <w:sz w:val="23"/>
          <w:szCs w:val="23"/>
        </w:rPr>
      </w:pPr>
      <w:r>
        <w:rPr>
          <w:rFonts w:ascii="宋体" w:hAnsi="宋体" w:eastAsia="宋体" w:cs="宋体"/>
          <w:spacing w:val="11"/>
          <w:sz w:val="23"/>
          <w:szCs w:val="23"/>
          <w14:textOutline w14:w="4356" w14:cap="sq" w14:cmpd="sng" w14:algn="ctr">
            <w14:solidFill>
              <w14:srgbClr w14:val="000000"/>
            </w14:solidFill>
            <w14:prstDash w14:val="solid"/>
            <w14:bevel/>
          </w14:textOutline>
        </w:rPr>
        <w:t>扬</w:t>
      </w:r>
      <w:r>
        <w:rPr>
          <w:rFonts w:ascii="宋体" w:hAnsi="宋体" w:eastAsia="宋体" w:cs="宋体"/>
          <w:spacing w:val="7"/>
          <w:sz w:val="23"/>
          <w:szCs w:val="23"/>
          <w14:textOutline w14:w="4356" w14:cap="sq" w14:cmpd="sng" w14:algn="ctr">
            <w14:solidFill>
              <w14:srgbClr w14:val="000000"/>
            </w14:solidFill>
            <w14:prstDash w14:val="solid"/>
            <w14:bevel/>
          </w14:textOutline>
        </w:rPr>
        <w:t>尘：</w:t>
      </w:r>
      <w:r>
        <w:rPr>
          <w:rFonts w:ascii="宋体" w:hAnsi="宋体" w:eastAsia="宋体" w:cs="宋体"/>
          <w:spacing w:val="7"/>
          <w:sz w:val="23"/>
          <w:szCs w:val="23"/>
        </w:rPr>
        <w:t>建设单位应要求工程施工单位制定施工期环境管理计划，加强管理，按进度、有</w:t>
      </w:r>
      <w:r>
        <w:rPr>
          <w:rFonts w:ascii="宋体" w:hAnsi="宋体" w:eastAsia="宋体" w:cs="宋体"/>
          <w:sz w:val="23"/>
          <w:szCs w:val="23"/>
        </w:rPr>
        <w:t xml:space="preserve"> </w:t>
      </w:r>
      <w:r>
        <w:rPr>
          <w:rFonts w:ascii="宋体" w:hAnsi="宋体" w:eastAsia="宋体" w:cs="宋体"/>
          <w:spacing w:val="8"/>
          <w:sz w:val="23"/>
          <w:szCs w:val="23"/>
        </w:rPr>
        <w:t>计划</w:t>
      </w:r>
      <w:r>
        <w:rPr>
          <w:rFonts w:ascii="宋体" w:hAnsi="宋体" w:eastAsia="宋体" w:cs="宋体"/>
          <w:spacing w:val="4"/>
          <w:sz w:val="23"/>
          <w:szCs w:val="23"/>
        </w:rPr>
        <w:t>地进行文明施工，必须严格按国务院印发的《打赢蓝天保卫战三年行动计划的通知》(国</w:t>
      </w:r>
      <w:r>
        <w:rPr>
          <w:rFonts w:ascii="宋体" w:hAnsi="宋体" w:eastAsia="宋体" w:cs="宋体"/>
          <w:sz w:val="23"/>
          <w:szCs w:val="23"/>
        </w:rPr>
        <w:t xml:space="preserve"> </w:t>
      </w:r>
      <w:r>
        <w:rPr>
          <w:rFonts w:ascii="宋体" w:hAnsi="宋体" w:eastAsia="宋体" w:cs="宋体"/>
          <w:spacing w:val="12"/>
          <w:sz w:val="23"/>
          <w:szCs w:val="23"/>
        </w:rPr>
        <w:t>发</w:t>
      </w:r>
      <w:r>
        <w:rPr>
          <w:rFonts w:ascii="Times New Roman" w:hAnsi="Times New Roman" w:eastAsia="Times New Roman" w:cs="Times New Roman"/>
          <w:spacing w:val="12"/>
          <w:sz w:val="23"/>
          <w:szCs w:val="23"/>
        </w:rPr>
        <w:t>[201</w:t>
      </w:r>
      <w:r>
        <w:rPr>
          <w:rFonts w:ascii="Times New Roman" w:hAnsi="Times New Roman" w:eastAsia="Times New Roman" w:cs="Times New Roman"/>
          <w:spacing w:val="9"/>
          <w:sz w:val="23"/>
          <w:szCs w:val="23"/>
        </w:rPr>
        <w:t>8</w:t>
      </w:r>
      <w:r>
        <w:rPr>
          <w:rFonts w:ascii="Times New Roman" w:hAnsi="Times New Roman" w:eastAsia="Times New Roman" w:cs="Times New Roman"/>
          <w:spacing w:val="6"/>
          <w:sz w:val="23"/>
          <w:szCs w:val="23"/>
        </w:rPr>
        <w:t xml:space="preserve">]22 </w:t>
      </w:r>
      <w:r>
        <w:rPr>
          <w:rFonts w:ascii="宋体" w:hAnsi="宋体" w:eastAsia="宋体" w:cs="宋体"/>
          <w:spacing w:val="6"/>
          <w:sz w:val="23"/>
          <w:szCs w:val="23"/>
        </w:rPr>
        <w:t>号) 、四川省人民政府办公厅发布的《关于加强灰霾污染防治的通知》进行扬尘</w:t>
      </w:r>
      <w:r>
        <w:rPr>
          <w:rFonts w:ascii="宋体" w:hAnsi="宋体" w:eastAsia="宋体" w:cs="宋体"/>
          <w:sz w:val="23"/>
          <w:szCs w:val="23"/>
        </w:rPr>
        <w:t xml:space="preserve"> </w:t>
      </w:r>
      <w:r>
        <w:rPr>
          <w:rFonts w:ascii="宋体" w:hAnsi="宋体" w:eastAsia="宋体" w:cs="宋体"/>
          <w:spacing w:val="4"/>
          <w:sz w:val="23"/>
          <w:szCs w:val="23"/>
        </w:rPr>
        <w:t>防</w:t>
      </w:r>
      <w:r>
        <w:rPr>
          <w:rFonts w:ascii="宋体" w:hAnsi="宋体" w:eastAsia="宋体" w:cs="宋体"/>
          <w:spacing w:val="3"/>
          <w:sz w:val="23"/>
          <w:szCs w:val="23"/>
        </w:rPr>
        <w:t>治。</w:t>
      </w:r>
    </w:p>
    <w:p w14:paraId="733D6930">
      <w:pPr>
        <w:spacing w:before="2" w:line="375" w:lineRule="auto"/>
        <w:ind w:left="12" w:right="77" w:firstLine="470"/>
        <w:rPr>
          <w:rFonts w:ascii="宋体" w:hAnsi="宋体" w:eastAsia="宋体" w:cs="宋体"/>
          <w:sz w:val="23"/>
          <w:szCs w:val="23"/>
        </w:rPr>
      </w:pPr>
      <w:r>
        <w:rPr>
          <w:rFonts w:ascii="Times New Roman" w:hAnsi="Times New Roman" w:eastAsia="Times New Roman" w:cs="Times New Roman"/>
          <w:b/>
          <w:bCs/>
          <w:sz w:val="23"/>
          <w:szCs w:val="23"/>
        </w:rPr>
        <w:t>A</w:t>
      </w:r>
      <w:r>
        <w:rPr>
          <w:rFonts w:ascii="Times New Roman" w:hAnsi="Times New Roman" w:eastAsia="Times New Roman" w:cs="Times New Roman"/>
          <w:b/>
          <w:bCs/>
          <w:spacing w:val="14"/>
          <w:sz w:val="23"/>
          <w:szCs w:val="23"/>
        </w:rPr>
        <w:t>.</w:t>
      </w:r>
      <w:r>
        <w:rPr>
          <w:rFonts w:ascii="宋体" w:hAnsi="宋体" w:eastAsia="宋体" w:cs="宋体"/>
          <w:spacing w:val="14"/>
          <w:sz w:val="23"/>
          <w:szCs w:val="23"/>
        </w:rPr>
        <w:t>工</w:t>
      </w:r>
      <w:r>
        <w:rPr>
          <w:rFonts w:ascii="宋体" w:hAnsi="宋体" w:eastAsia="宋体" w:cs="宋体"/>
          <w:spacing w:val="10"/>
          <w:sz w:val="23"/>
          <w:szCs w:val="23"/>
        </w:rPr>
        <w:t>程</w:t>
      </w:r>
      <w:r>
        <w:rPr>
          <w:rFonts w:ascii="宋体" w:hAnsi="宋体" w:eastAsia="宋体" w:cs="宋体"/>
          <w:spacing w:val="7"/>
          <w:sz w:val="23"/>
          <w:szCs w:val="23"/>
        </w:rPr>
        <w:t>建设单位应按照《中华人民共和国环境影响评价法》和《建设项目环境保护管理</w:t>
      </w:r>
      <w:r>
        <w:rPr>
          <w:rFonts w:ascii="宋体" w:hAnsi="宋体" w:eastAsia="宋体" w:cs="宋体"/>
          <w:sz w:val="23"/>
          <w:szCs w:val="23"/>
        </w:rPr>
        <w:t xml:space="preserve"> </w:t>
      </w:r>
      <w:r>
        <w:rPr>
          <w:rFonts w:ascii="宋体" w:hAnsi="宋体" w:eastAsia="宋体" w:cs="宋体"/>
          <w:spacing w:val="12"/>
          <w:sz w:val="23"/>
          <w:szCs w:val="23"/>
        </w:rPr>
        <w:t>条</w:t>
      </w:r>
      <w:r>
        <w:rPr>
          <w:rFonts w:ascii="宋体" w:hAnsi="宋体" w:eastAsia="宋体" w:cs="宋体"/>
          <w:spacing w:val="7"/>
          <w:sz w:val="23"/>
          <w:szCs w:val="23"/>
        </w:rPr>
        <w:t>例》的相关规定，向当地环境保护行政主管部门提供施工扬尘防治实施方案，并提请排污</w:t>
      </w:r>
      <w:r>
        <w:rPr>
          <w:rFonts w:ascii="宋体" w:hAnsi="宋体" w:eastAsia="宋体" w:cs="宋体"/>
          <w:sz w:val="23"/>
          <w:szCs w:val="23"/>
        </w:rPr>
        <w:t xml:space="preserve"> </w:t>
      </w:r>
      <w:r>
        <w:rPr>
          <w:rFonts w:ascii="宋体" w:hAnsi="宋体" w:eastAsia="宋体" w:cs="宋体"/>
          <w:spacing w:val="12"/>
          <w:sz w:val="23"/>
          <w:szCs w:val="23"/>
        </w:rPr>
        <w:t>申</w:t>
      </w:r>
      <w:r>
        <w:rPr>
          <w:rFonts w:ascii="宋体" w:hAnsi="宋体" w:eastAsia="宋体" w:cs="宋体"/>
          <w:spacing w:val="7"/>
          <w:sz w:val="23"/>
          <w:szCs w:val="23"/>
        </w:rPr>
        <w:t>报。工程建设单位根据施工工序编制施工期内扬尘污染防治任务书，实施扬尘防治全过程</w:t>
      </w:r>
      <w:r>
        <w:rPr>
          <w:rFonts w:ascii="宋体" w:hAnsi="宋体" w:eastAsia="宋体" w:cs="宋体"/>
          <w:sz w:val="23"/>
          <w:szCs w:val="23"/>
        </w:rPr>
        <w:t xml:space="preserve"> </w:t>
      </w:r>
      <w:r>
        <w:rPr>
          <w:rFonts w:ascii="宋体" w:hAnsi="宋体" w:eastAsia="宋体" w:cs="宋体"/>
          <w:spacing w:val="12"/>
          <w:sz w:val="23"/>
          <w:szCs w:val="23"/>
        </w:rPr>
        <w:t>管</w:t>
      </w:r>
      <w:r>
        <w:rPr>
          <w:rFonts w:ascii="宋体" w:hAnsi="宋体" w:eastAsia="宋体" w:cs="宋体"/>
          <w:spacing w:val="8"/>
          <w:sz w:val="23"/>
          <w:szCs w:val="23"/>
        </w:rPr>
        <w:t>理，责任到每个施工工序。</w:t>
      </w:r>
    </w:p>
    <w:p w14:paraId="15F94F73">
      <w:pPr>
        <w:spacing w:line="465" w:lineRule="exact"/>
        <w:ind w:left="485"/>
        <w:rPr>
          <w:rFonts w:ascii="宋体" w:hAnsi="宋体" w:eastAsia="宋体" w:cs="宋体"/>
          <w:sz w:val="23"/>
          <w:szCs w:val="23"/>
        </w:rPr>
      </w:pPr>
      <w:r>
        <w:rPr>
          <w:rFonts w:ascii="Times New Roman" w:hAnsi="Times New Roman" w:eastAsia="Times New Roman" w:cs="Times New Roman"/>
          <w:b/>
          <w:bCs/>
          <w:position w:val="17"/>
          <w:sz w:val="23"/>
          <w:szCs w:val="23"/>
        </w:rPr>
        <w:t>B</w:t>
      </w:r>
      <w:r>
        <w:rPr>
          <w:rFonts w:ascii="Times New Roman" w:hAnsi="Times New Roman" w:eastAsia="Times New Roman" w:cs="Times New Roman"/>
          <w:b/>
          <w:bCs/>
          <w:spacing w:val="14"/>
          <w:position w:val="17"/>
          <w:sz w:val="23"/>
          <w:szCs w:val="23"/>
        </w:rPr>
        <w:t>.</w:t>
      </w:r>
      <w:r>
        <w:rPr>
          <w:rFonts w:ascii="宋体" w:hAnsi="宋体" w:eastAsia="宋体" w:cs="宋体"/>
          <w:spacing w:val="14"/>
          <w:position w:val="17"/>
          <w:sz w:val="23"/>
          <w:szCs w:val="23"/>
        </w:rPr>
        <w:t>施工</w:t>
      </w:r>
      <w:r>
        <w:rPr>
          <w:rFonts w:ascii="宋体" w:hAnsi="宋体" w:eastAsia="宋体" w:cs="宋体"/>
          <w:spacing w:val="10"/>
          <w:position w:val="17"/>
          <w:sz w:val="23"/>
          <w:szCs w:val="23"/>
        </w:rPr>
        <w:t>单</w:t>
      </w:r>
      <w:r>
        <w:rPr>
          <w:rFonts w:ascii="宋体" w:hAnsi="宋体" w:eastAsia="宋体" w:cs="宋体"/>
          <w:spacing w:val="7"/>
          <w:position w:val="17"/>
          <w:sz w:val="23"/>
          <w:szCs w:val="23"/>
        </w:rPr>
        <w:t>位应根据《建设工程施工现场管理规定》的规定设置现场平面布置图、工程概</w:t>
      </w:r>
    </w:p>
    <w:p w14:paraId="1869AFBE">
      <w:pPr>
        <w:spacing w:line="227" w:lineRule="auto"/>
        <w:ind w:left="12"/>
        <w:rPr>
          <w:rFonts w:ascii="宋体" w:hAnsi="宋体" w:eastAsia="宋体" w:cs="宋体"/>
          <w:sz w:val="23"/>
          <w:szCs w:val="23"/>
        </w:rPr>
      </w:pPr>
      <w:r>
        <w:rPr>
          <w:rFonts w:ascii="宋体" w:hAnsi="宋体" w:eastAsia="宋体" w:cs="宋体"/>
          <w:spacing w:val="6"/>
          <w:sz w:val="23"/>
          <w:szCs w:val="23"/>
        </w:rPr>
        <w:t>况牌、安</w:t>
      </w:r>
      <w:r>
        <w:rPr>
          <w:rFonts w:ascii="宋体" w:hAnsi="宋体" w:eastAsia="宋体" w:cs="宋体"/>
          <w:spacing w:val="3"/>
          <w:sz w:val="23"/>
          <w:szCs w:val="23"/>
        </w:rPr>
        <w:t>全生产牌、消防保卫牌、文明施工牌、环境保护牌、管理人员名单及监督电话牌等。</w:t>
      </w:r>
    </w:p>
    <w:p w14:paraId="2987D202">
      <w:pPr>
        <w:spacing w:before="140" w:line="387" w:lineRule="auto"/>
        <w:ind w:left="13" w:right="77" w:firstLine="477"/>
        <w:rPr>
          <w:rFonts w:ascii="宋体" w:hAnsi="宋体" w:eastAsia="宋体" w:cs="宋体"/>
          <w:sz w:val="23"/>
          <w:szCs w:val="23"/>
        </w:rPr>
      </w:pPr>
      <w:r>
        <w:rPr>
          <w:rFonts w:ascii="Times New Roman" w:hAnsi="Times New Roman" w:eastAsia="Times New Roman" w:cs="Times New Roman"/>
          <w:b/>
          <w:bCs/>
          <w:sz w:val="23"/>
          <w:szCs w:val="23"/>
        </w:rPr>
        <w:t>C</w:t>
      </w:r>
      <w:r>
        <w:rPr>
          <w:rFonts w:ascii="Times New Roman" w:hAnsi="Times New Roman" w:eastAsia="Times New Roman" w:cs="Times New Roman"/>
          <w:b/>
          <w:bCs/>
          <w:spacing w:val="4"/>
          <w:sz w:val="23"/>
          <w:szCs w:val="23"/>
        </w:rPr>
        <w:t>.</w:t>
      </w:r>
      <w:r>
        <w:rPr>
          <w:rFonts w:ascii="宋体" w:hAnsi="宋体" w:eastAsia="宋体" w:cs="宋体"/>
          <w:spacing w:val="4"/>
          <w:sz w:val="23"/>
          <w:szCs w:val="23"/>
        </w:rPr>
        <w:t>根据《打赢蓝天保卫战三年行动计划的通知》  (国发</w:t>
      </w:r>
      <w:r>
        <w:rPr>
          <w:rFonts w:ascii="Times New Roman" w:hAnsi="Times New Roman" w:eastAsia="Times New Roman" w:cs="Times New Roman"/>
          <w:spacing w:val="4"/>
          <w:sz w:val="23"/>
          <w:szCs w:val="23"/>
        </w:rPr>
        <w:t xml:space="preserve">[2018]22 </w:t>
      </w:r>
      <w:r>
        <w:rPr>
          <w:rFonts w:ascii="宋体" w:hAnsi="宋体" w:eastAsia="宋体" w:cs="宋体"/>
          <w:spacing w:val="4"/>
          <w:sz w:val="23"/>
          <w:szCs w:val="23"/>
        </w:rPr>
        <w:t>号) ，施工工地要做</w:t>
      </w:r>
      <w:r>
        <w:rPr>
          <w:rFonts w:ascii="宋体" w:hAnsi="宋体" w:eastAsia="宋体" w:cs="宋体"/>
          <w:sz w:val="23"/>
          <w:szCs w:val="23"/>
        </w:rPr>
        <w:t xml:space="preserve">到 </w:t>
      </w:r>
      <w:r>
        <w:rPr>
          <w:rFonts w:ascii="宋体" w:hAnsi="宋体" w:eastAsia="宋体" w:cs="宋体"/>
          <w:spacing w:val="11"/>
          <w:sz w:val="23"/>
          <w:szCs w:val="23"/>
        </w:rPr>
        <w:t>工</w:t>
      </w:r>
      <w:r>
        <w:rPr>
          <w:rFonts w:ascii="宋体" w:hAnsi="宋体" w:eastAsia="宋体" w:cs="宋体"/>
          <w:spacing w:val="7"/>
          <w:sz w:val="23"/>
          <w:szCs w:val="23"/>
        </w:rPr>
        <w:t>地周边围挡、物料堆放覆盖、土方开挖湿法作业、路面硬化、出入车辆清洗、渣土车辆密</w:t>
      </w:r>
      <w:r>
        <w:rPr>
          <w:rFonts w:ascii="宋体" w:hAnsi="宋体" w:eastAsia="宋体" w:cs="宋体"/>
          <w:sz w:val="23"/>
          <w:szCs w:val="23"/>
        </w:rPr>
        <w:t xml:space="preserve"> </w:t>
      </w:r>
      <w:r>
        <w:rPr>
          <w:rFonts w:ascii="宋体" w:hAnsi="宋体" w:eastAsia="宋体" w:cs="宋体"/>
          <w:spacing w:val="8"/>
          <w:sz w:val="23"/>
          <w:szCs w:val="23"/>
        </w:rPr>
        <w:t>闭</w:t>
      </w:r>
      <w:r>
        <w:rPr>
          <w:rFonts w:ascii="宋体" w:hAnsi="宋体" w:eastAsia="宋体" w:cs="宋体"/>
          <w:spacing w:val="7"/>
          <w:sz w:val="23"/>
          <w:szCs w:val="23"/>
        </w:rPr>
        <w:t>运输</w:t>
      </w:r>
      <w:r>
        <w:rPr>
          <w:rFonts w:ascii="Times New Roman" w:hAnsi="Times New Roman" w:eastAsia="Times New Roman" w:cs="Times New Roman"/>
          <w:spacing w:val="7"/>
          <w:sz w:val="23"/>
          <w:szCs w:val="23"/>
        </w:rPr>
        <w:t>“</w:t>
      </w:r>
      <w:r>
        <w:rPr>
          <w:rFonts w:ascii="宋体" w:hAnsi="宋体" w:eastAsia="宋体" w:cs="宋体"/>
          <w:spacing w:val="7"/>
          <w:sz w:val="23"/>
          <w:szCs w:val="23"/>
        </w:rPr>
        <w:t>六个百分之百</w:t>
      </w:r>
      <w:r>
        <w:rPr>
          <w:rFonts w:ascii="Times New Roman" w:hAnsi="Times New Roman" w:eastAsia="Times New Roman" w:cs="Times New Roman"/>
          <w:spacing w:val="7"/>
          <w:sz w:val="23"/>
          <w:szCs w:val="23"/>
        </w:rPr>
        <w:t>”</w:t>
      </w:r>
      <w:r>
        <w:rPr>
          <w:rFonts w:ascii="宋体" w:hAnsi="宋体" w:eastAsia="宋体" w:cs="宋体"/>
          <w:spacing w:val="7"/>
          <w:sz w:val="23"/>
          <w:szCs w:val="23"/>
        </w:rPr>
        <w:t>。</w:t>
      </w:r>
    </w:p>
    <w:p w14:paraId="5A90633A">
      <w:pPr>
        <w:spacing w:before="1" w:line="373" w:lineRule="auto"/>
        <w:ind w:left="10" w:right="77" w:firstLine="473"/>
        <w:rPr>
          <w:rFonts w:ascii="宋体" w:hAnsi="宋体" w:eastAsia="宋体" w:cs="宋体"/>
          <w:sz w:val="23"/>
          <w:szCs w:val="23"/>
        </w:rPr>
      </w:pPr>
      <w:r>
        <w:rPr>
          <w:rFonts w:ascii="Times New Roman" w:hAnsi="Times New Roman" w:eastAsia="Times New Roman" w:cs="Times New Roman"/>
          <w:b/>
          <w:bCs/>
          <w:sz w:val="23"/>
          <w:szCs w:val="23"/>
        </w:rPr>
        <w:t>D</w:t>
      </w:r>
      <w:r>
        <w:rPr>
          <w:rFonts w:ascii="Times New Roman" w:hAnsi="Times New Roman" w:eastAsia="Times New Roman" w:cs="Times New Roman"/>
          <w:b/>
          <w:bCs/>
          <w:spacing w:val="18"/>
          <w:sz w:val="23"/>
          <w:szCs w:val="23"/>
        </w:rPr>
        <w:t>.</w:t>
      </w:r>
      <w:r>
        <w:rPr>
          <w:rFonts w:ascii="宋体" w:hAnsi="宋体" w:eastAsia="宋体" w:cs="宋体"/>
          <w:spacing w:val="15"/>
          <w:sz w:val="23"/>
          <w:szCs w:val="23"/>
        </w:rPr>
        <w:t>施</w:t>
      </w:r>
      <w:r>
        <w:rPr>
          <w:rFonts w:ascii="宋体" w:hAnsi="宋体" w:eastAsia="宋体" w:cs="宋体"/>
          <w:spacing w:val="9"/>
          <w:sz w:val="23"/>
          <w:szCs w:val="23"/>
        </w:rPr>
        <w:t xml:space="preserve">工现场架设 </w:t>
      </w:r>
      <w:r>
        <w:rPr>
          <w:rFonts w:ascii="Times New Roman" w:hAnsi="Times New Roman" w:eastAsia="Times New Roman" w:cs="Times New Roman"/>
          <w:spacing w:val="9"/>
          <w:sz w:val="23"/>
          <w:szCs w:val="23"/>
        </w:rPr>
        <w:t>2.5</w:t>
      </w:r>
      <w:r>
        <w:rPr>
          <w:rFonts w:ascii="Times New Roman" w:hAnsi="Times New Roman" w:eastAsia="Times New Roman" w:cs="Times New Roman"/>
          <w:sz w:val="23"/>
          <w:szCs w:val="23"/>
        </w:rPr>
        <w:t>m</w:t>
      </w:r>
      <w:r>
        <w:rPr>
          <w:rFonts w:ascii="Times New Roman" w:hAnsi="Times New Roman" w:eastAsia="Times New Roman" w:cs="Times New Roman"/>
          <w:spacing w:val="9"/>
          <w:sz w:val="23"/>
          <w:szCs w:val="23"/>
        </w:rPr>
        <w:t>~3</w:t>
      </w:r>
      <w:r>
        <w:rPr>
          <w:rFonts w:ascii="Times New Roman" w:hAnsi="Times New Roman" w:eastAsia="Times New Roman" w:cs="Times New Roman"/>
          <w:sz w:val="23"/>
          <w:szCs w:val="23"/>
        </w:rPr>
        <w:t>m</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高墙，封闭施工现场，采用密目安全网，以减少建筑结构和</w:t>
      </w:r>
      <w:r>
        <w:rPr>
          <w:rFonts w:ascii="宋体" w:hAnsi="宋体" w:eastAsia="宋体" w:cs="宋体"/>
          <w:sz w:val="23"/>
          <w:szCs w:val="23"/>
        </w:rPr>
        <w:t xml:space="preserve"> </w:t>
      </w:r>
      <w:r>
        <w:rPr>
          <w:rFonts w:ascii="宋体" w:hAnsi="宋体" w:eastAsia="宋体" w:cs="宋体"/>
          <w:spacing w:val="14"/>
          <w:sz w:val="23"/>
          <w:szCs w:val="23"/>
        </w:rPr>
        <w:t>装</w:t>
      </w:r>
      <w:r>
        <w:rPr>
          <w:rFonts w:ascii="宋体" w:hAnsi="宋体" w:eastAsia="宋体" w:cs="宋体"/>
          <w:spacing w:val="9"/>
          <w:sz w:val="23"/>
          <w:szCs w:val="23"/>
        </w:rPr>
        <w:t>修过程中的粉尘飞扬现象，降低粉尘向大气中的排放；</w:t>
      </w:r>
    </w:p>
    <w:p w14:paraId="703B935D">
      <w:pPr>
        <w:spacing w:before="1" w:line="227" w:lineRule="auto"/>
        <w:ind w:left="485"/>
        <w:rPr>
          <w:rFonts w:ascii="宋体" w:hAnsi="宋体" w:eastAsia="宋体" w:cs="宋体"/>
          <w:sz w:val="23"/>
          <w:szCs w:val="23"/>
        </w:rPr>
      </w:pPr>
      <w:r>
        <w:rPr>
          <w:rFonts w:ascii="Times New Roman" w:hAnsi="Times New Roman" w:eastAsia="Times New Roman" w:cs="Times New Roman"/>
          <w:b/>
          <w:bCs/>
          <w:sz w:val="23"/>
          <w:szCs w:val="23"/>
        </w:rPr>
        <w:t>E</w:t>
      </w:r>
      <w:r>
        <w:rPr>
          <w:rFonts w:ascii="Times New Roman" w:hAnsi="Times New Roman" w:eastAsia="Times New Roman" w:cs="Times New Roman"/>
          <w:b/>
          <w:bCs/>
          <w:spacing w:val="18"/>
          <w:sz w:val="23"/>
          <w:szCs w:val="23"/>
        </w:rPr>
        <w:t>.</w:t>
      </w:r>
      <w:r>
        <w:rPr>
          <w:rFonts w:ascii="宋体" w:hAnsi="宋体" w:eastAsia="宋体" w:cs="宋体"/>
          <w:spacing w:val="18"/>
          <w:sz w:val="23"/>
          <w:szCs w:val="23"/>
        </w:rPr>
        <w:t>要</w:t>
      </w:r>
      <w:r>
        <w:rPr>
          <w:rFonts w:ascii="宋体" w:hAnsi="宋体" w:eastAsia="宋体" w:cs="宋体"/>
          <w:spacing w:val="11"/>
          <w:sz w:val="23"/>
          <w:szCs w:val="23"/>
        </w:rPr>
        <w:t>求</w:t>
      </w:r>
      <w:r>
        <w:rPr>
          <w:rFonts w:ascii="宋体" w:hAnsi="宋体" w:eastAsia="宋体" w:cs="宋体"/>
          <w:spacing w:val="9"/>
          <w:sz w:val="23"/>
          <w:szCs w:val="23"/>
        </w:rPr>
        <w:t>施工单位文明施工，定期对地面及施工道路洒水，每天定时洒水达到有效防尘；</w:t>
      </w:r>
    </w:p>
    <w:p w14:paraId="38915B2F">
      <w:pPr>
        <w:spacing w:before="185" w:line="375" w:lineRule="auto"/>
        <w:ind w:left="12" w:right="80" w:firstLine="474"/>
        <w:rPr>
          <w:rFonts w:ascii="宋体" w:hAnsi="宋体" w:eastAsia="宋体" w:cs="宋体"/>
          <w:sz w:val="23"/>
          <w:szCs w:val="23"/>
        </w:rPr>
      </w:pPr>
      <w:r>
        <w:rPr>
          <w:rFonts w:ascii="Times New Roman" w:hAnsi="Times New Roman" w:eastAsia="Times New Roman" w:cs="Times New Roman"/>
          <w:b/>
          <w:bCs/>
          <w:sz w:val="23"/>
          <w:szCs w:val="23"/>
        </w:rPr>
        <w:t>F</w:t>
      </w:r>
      <w:r>
        <w:rPr>
          <w:rFonts w:ascii="Times New Roman" w:hAnsi="Times New Roman" w:eastAsia="Times New Roman" w:cs="Times New Roman"/>
          <w:b/>
          <w:bCs/>
          <w:spacing w:val="20"/>
          <w:sz w:val="23"/>
          <w:szCs w:val="23"/>
        </w:rPr>
        <w:t>.</w:t>
      </w:r>
      <w:r>
        <w:rPr>
          <w:rFonts w:ascii="Times New Roman" w:hAnsi="Times New Roman" w:eastAsia="Times New Roman" w:cs="Times New Roman"/>
          <w:spacing w:val="20"/>
          <w:sz w:val="23"/>
          <w:szCs w:val="23"/>
        </w:rPr>
        <w:t xml:space="preserve"> </w:t>
      </w:r>
      <w:r>
        <w:rPr>
          <w:rFonts w:ascii="Times New Roman" w:hAnsi="Times New Roman" w:eastAsia="Times New Roman" w:cs="Times New Roman"/>
          <w:spacing w:val="18"/>
          <w:sz w:val="23"/>
          <w:szCs w:val="23"/>
        </w:rPr>
        <w:t xml:space="preserve"> </w:t>
      </w:r>
      <w:r>
        <w:rPr>
          <w:rFonts w:ascii="宋体" w:hAnsi="宋体" w:eastAsia="宋体" w:cs="宋体"/>
          <w:spacing w:val="10"/>
          <w:sz w:val="23"/>
          <w:szCs w:val="23"/>
        </w:rPr>
        <w:t>施工运送弃土车辆，车厢应严密清洁，尽量减少渣土运输时洒落在地面上，并对撒</w:t>
      </w:r>
      <w:r>
        <w:rPr>
          <w:rFonts w:ascii="宋体" w:hAnsi="宋体" w:eastAsia="宋体" w:cs="宋体"/>
          <w:sz w:val="23"/>
          <w:szCs w:val="23"/>
        </w:rPr>
        <w:t xml:space="preserve"> </w:t>
      </w:r>
      <w:r>
        <w:rPr>
          <w:rFonts w:ascii="宋体" w:hAnsi="宋体" w:eastAsia="宋体" w:cs="宋体"/>
          <w:spacing w:val="12"/>
          <w:sz w:val="23"/>
          <w:szCs w:val="23"/>
        </w:rPr>
        <w:t>落</w:t>
      </w:r>
      <w:r>
        <w:rPr>
          <w:rFonts w:ascii="宋体" w:hAnsi="宋体" w:eastAsia="宋体" w:cs="宋体"/>
          <w:spacing w:val="7"/>
          <w:sz w:val="23"/>
          <w:szCs w:val="23"/>
        </w:rPr>
        <w:t>在路面的渣土及时清除，清理时做到先洒水后清扫，避免产生扬尘对周边居民正常生活造</w:t>
      </w:r>
      <w:r>
        <w:rPr>
          <w:rFonts w:ascii="宋体" w:hAnsi="宋体" w:eastAsia="宋体" w:cs="宋体"/>
          <w:sz w:val="23"/>
          <w:szCs w:val="23"/>
        </w:rPr>
        <w:t xml:space="preserve"> </w:t>
      </w:r>
      <w:r>
        <w:rPr>
          <w:rFonts w:ascii="宋体" w:hAnsi="宋体" w:eastAsia="宋体" w:cs="宋体"/>
          <w:spacing w:val="6"/>
          <w:sz w:val="23"/>
          <w:szCs w:val="23"/>
        </w:rPr>
        <w:t>成</w:t>
      </w:r>
      <w:r>
        <w:rPr>
          <w:rFonts w:ascii="宋体" w:hAnsi="宋体" w:eastAsia="宋体" w:cs="宋体"/>
          <w:spacing w:val="4"/>
          <w:sz w:val="23"/>
          <w:szCs w:val="23"/>
        </w:rPr>
        <w:t>影响；</w:t>
      </w:r>
    </w:p>
    <w:p w14:paraId="3B63F26A">
      <w:pPr>
        <w:spacing w:before="1" w:line="374" w:lineRule="auto"/>
        <w:ind w:left="9" w:right="80" w:firstLine="481"/>
        <w:rPr>
          <w:rFonts w:ascii="宋体" w:hAnsi="宋体" w:eastAsia="宋体" w:cs="宋体"/>
          <w:sz w:val="23"/>
          <w:szCs w:val="23"/>
        </w:rPr>
      </w:pPr>
      <w:r>
        <w:rPr>
          <w:rFonts w:ascii="Times New Roman" w:hAnsi="Times New Roman" w:eastAsia="Times New Roman" w:cs="Times New Roman"/>
          <w:b/>
          <w:bCs/>
          <w:sz w:val="23"/>
          <w:szCs w:val="23"/>
        </w:rPr>
        <w:t>G</w:t>
      </w:r>
      <w:r>
        <w:rPr>
          <w:rFonts w:ascii="Times New Roman" w:hAnsi="Times New Roman" w:eastAsia="Times New Roman" w:cs="Times New Roman"/>
          <w:b/>
          <w:bCs/>
          <w:spacing w:val="8"/>
          <w:sz w:val="23"/>
          <w:szCs w:val="23"/>
        </w:rPr>
        <w:t>.</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由于道路和扬尘量与车辆的行驶速度有关，速度越快，扬尘量越大，因此，  在施工</w:t>
      </w:r>
      <w:r>
        <w:rPr>
          <w:rFonts w:ascii="宋体" w:hAnsi="宋体" w:eastAsia="宋体" w:cs="宋体"/>
          <w:sz w:val="23"/>
          <w:szCs w:val="23"/>
        </w:rPr>
        <w:t xml:space="preserve"> </w:t>
      </w:r>
      <w:r>
        <w:rPr>
          <w:rFonts w:ascii="宋体" w:hAnsi="宋体" w:eastAsia="宋体" w:cs="宋体"/>
          <w:spacing w:val="9"/>
          <w:sz w:val="23"/>
          <w:szCs w:val="23"/>
        </w:rPr>
        <w:t>场地对施工车辆必须实施限速行驶</w:t>
      </w:r>
      <w:r>
        <w:rPr>
          <w:rFonts w:ascii="宋体" w:hAnsi="宋体" w:eastAsia="宋体" w:cs="宋体"/>
          <w:spacing w:val="6"/>
          <w:sz w:val="23"/>
          <w:szCs w:val="23"/>
        </w:rPr>
        <w:t>；</w:t>
      </w:r>
    </w:p>
    <w:p w14:paraId="0457AC45">
      <w:pPr>
        <w:spacing w:before="2" w:line="374" w:lineRule="auto"/>
        <w:ind w:left="12" w:right="69" w:firstLine="464"/>
        <w:rPr>
          <w:rFonts w:ascii="宋体" w:hAnsi="宋体" w:eastAsia="宋体" w:cs="宋体"/>
          <w:sz w:val="23"/>
          <w:szCs w:val="23"/>
        </w:rPr>
      </w:pPr>
      <w:r>
        <w:rPr>
          <w:rFonts w:ascii="Times New Roman" w:hAnsi="Times New Roman" w:eastAsia="Times New Roman" w:cs="Times New Roman"/>
          <w:b/>
          <w:bCs/>
          <w:sz w:val="23"/>
          <w:szCs w:val="23"/>
        </w:rPr>
        <w:t>H</w:t>
      </w:r>
      <w:r>
        <w:rPr>
          <w:rFonts w:ascii="Times New Roman" w:hAnsi="Times New Roman" w:eastAsia="Times New Roman" w:cs="Times New Roman"/>
          <w:b/>
          <w:bCs/>
          <w:spacing w:val="8"/>
          <w:sz w:val="23"/>
          <w:szCs w:val="23"/>
        </w:rPr>
        <w:t>.</w:t>
      </w:r>
      <w:r>
        <w:rPr>
          <w:rFonts w:ascii="宋体" w:hAnsi="宋体" w:eastAsia="宋体" w:cs="宋体"/>
          <w:spacing w:val="8"/>
          <w:sz w:val="23"/>
          <w:szCs w:val="23"/>
        </w:rPr>
        <w:t>在施</w:t>
      </w:r>
      <w:r>
        <w:rPr>
          <w:rFonts w:ascii="宋体" w:hAnsi="宋体" w:eastAsia="宋体" w:cs="宋体"/>
          <w:spacing w:val="7"/>
          <w:sz w:val="23"/>
          <w:szCs w:val="23"/>
        </w:rPr>
        <w:t>工</w:t>
      </w:r>
      <w:r>
        <w:rPr>
          <w:rFonts w:ascii="宋体" w:hAnsi="宋体" w:eastAsia="宋体" w:cs="宋体"/>
          <w:spacing w:val="4"/>
          <w:sz w:val="23"/>
          <w:szCs w:val="23"/>
        </w:rPr>
        <w:t>场地出口放置防尘垫，设置车辆冲洗系统设施，对运输车辆现场设置 洗车场，</w:t>
      </w:r>
      <w:r>
        <w:rPr>
          <w:rFonts w:ascii="宋体" w:hAnsi="宋体" w:eastAsia="宋体" w:cs="宋体"/>
          <w:sz w:val="23"/>
          <w:szCs w:val="23"/>
        </w:rPr>
        <w:t xml:space="preserve"> </w:t>
      </w:r>
      <w:r>
        <w:rPr>
          <w:rFonts w:ascii="宋体" w:hAnsi="宋体" w:eastAsia="宋体" w:cs="宋体"/>
          <w:spacing w:val="8"/>
          <w:sz w:val="23"/>
          <w:szCs w:val="23"/>
        </w:rPr>
        <w:t>用</w:t>
      </w:r>
      <w:r>
        <w:rPr>
          <w:rFonts w:ascii="宋体" w:hAnsi="宋体" w:eastAsia="宋体" w:cs="宋体"/>
          <w:spacing w:val="7"/>
          <w:sz w:val="23"/>
          <w:szCs w:val="23"/>
        </w:rPr>
        <w:t>水</w:t>
      </w:r>
      <w:r>
        <w:rPr>
          <w:rFonts w:ascii="宋体" w:hAnsi="宋体" w:eastAsia="宋体" w:cs="宋体"/>
          <w:spacing w:val="4"/>
          <w:sz w:val="23"/>
          <w:szCs w:val="23"/>
        </w:rPr>
        <w:t>清洗车体和轮胎；</w:t>
      </w:r>
    </w:p>
    <w:p w14:paraId="32788BCA">
      <w:pPr>
        <w:spacing w:before="2" w:line="374" w:lineRule="auto"/>
        <w:ind w:left="15" w:right="73" w:firstLine="452"/>
        <w:rPr>
          <w:rFonts w:ascii="宋体" w:hAnsi="宋体" w:eastAsia="宋体" w:cs="宋体"/>
          <w:sz w:val="23"/>
          <w:szCs w:val="23"/>
        </w:rPr>
      </w:pPr>
      <w:r>
        <w:rPr>
          <w:rFonts w:ascii="Times New Roman" w:hAnsi="Times New Roman" w:eastAsia="Times New Roman" w:cs="Times New Roman"/>
          <w:b/>
          <w:bCs/>
          <w:sz w:val="23"/>
          <w:szCs w:val="23"/>
        </w:rPr>
        <w:t>I</w:t>
      </w:r>
      <w:r>
        <w:rPr>
          <w:rFonts w:ascii="Times New Roman" w:hAnsi="Times New Roman" w:eastAsia="Times New Roman" w:cs="Times New Roman"/>
          <w:b/>
          <w:bCs/>
          <w:spacing w:val="4"/>
          <w:sz w:val="23"/>
          <w:szCs w:val="23"/>
        </w:rPr>
        <w:t>.</w:t>
      </w:r>
      <w:r>
        <w:rPr>
          <w:rFonts w:ascii="宋体" w:hAnsi="宋体" w:eastAsia="宋体" w:cs="宋体"/>
          <w:spacing w:val="4"/>
          <w:sz w:val="23"/>
          <w:szCs w:val="23"/>
        </w:rPr>
        <w:t>建材堆放地点要相对集中，应堆放在项目施工场地上设置的材料堆放间处，减少建</w:t>
      </w:r>
      <w:r>
        <w:rPr>
          <w:rFonts w:ascii="宋体" w:hAnsi="宋体" w:eastAsia="宋体" w:cs="宋体"/>
          <w:sz w:val="23"/>
          <w:szCs w:val="23"/>
        </w:rPr>
        <w:t xml:space="preserve">材的 </w:t>
      </w:r>
      <w:r>
        <w:rPr>
          <w:rFonts w:ascii="宋体" w:hAnsi="宋体" w:eastAsia="宋体" w:cs="宋体"/>
          <w:spacing w:val="2"/>
          <w:sz w:val="23"/>
          <w:szCs w:val="23"/>
        </w:rPr>
        <w:t>露天堆放时间，</w:t>
      </w:r>
      <w:r>
        <w:rPr>
          <w:rFonts w:ascii="宋体" w:hAnsi="宋体" w:eastAsia="宋体" w:cs="宋体"/>
          <w:spacing w:val="1"/>
          <w:sz w:val="23"/>
          <w:szCs w:val="23"/>
        </w:rPr>
        <w:t>对建材使用毡布覆盖；</w:t>
      </w:r>
    </w:p>
    <w:p w14:paraId="55978B1D">
      <w:pPr>
        <w:spacing w:before="1" w:line="374" w:lineRule="auto"/>
        <w:ind w:left="12" w:right="18" w:firstLine="454"/>
        <w:rPr>
          <w:rFonts w:ascii="宋体" w:hAnsi="宋体" w:eastAsia="宋体" w:cs="宋体"/>
          <w:sz w:val="23"/>
          <w:szCs w:val="23"/>
        </w:rPr>
      </w:pPr>
      <w:r>
        <w:rPr>
          <w:rFonts w:ascii="Times New Roman" w:hAnsi="Times New Roman" w:eastAsia="Times New Roman" w:cs="Times New Roman"/>
          <w:b/>
          <w:bCs/>
          <w:sz w:val="23"/>
          <w:szCs w:val="23"/>
        </w:rPr>
        <w:t>J</w:t>
      </w:r>
      <w:r>
        <w:rPr>
          <w:rFonts w:ascii="Times New Roman" w:hAnsi="Times New Roman" w:eastAsia="Times New Roman" w:cs="Times New Roman"/>
          <w:b/>
          <w:bCs/>
          <w:spacing w:val="2"/>
          <w:sz w:val="23"/>
          <w:szCs w:val="23"/>
        </w:rPr>
        <w:t>.</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自卸车、垃圾运输车、拉土车等运输车辆不允许超载，选</w:t>
      </w:r>
      <w:r>
        <w:rPr>
          <w:rFonts w:ascii="宋体" w:hAnsi="宋体" w:eastAsia="宋体" w:cs="宋体"/>
          <w:spacing w:val="1"/>
          <w:sz w:val="23"/>
          <w:szCs w:val="23"/>
        </w:rPr>
        <w:t>择对周围环境影响较小的运输</w:t>
      </w:r>
      <w:r>
        <w:rPr>
          <w:rFonts w:ascii="宋体" w:hAnsi="宋体" w:eastAsia="宋体" w:cs="宋体"/>
          <w:sz w:val="23"/>
          <w:szCs w:val="23"/>
        </w:rPr>
        <w:t xml:space="preserve"> </w:t>
      </w:r>
      <w:r>
        <w:rPr>
          <w:rFonts w:ascii="宋体" w:hAnsi="宋体" w:eastAsia="宋体" w:cs="宋体"/>
          <w:spacing w:val="1"/>
          <w:sz w:val="23"/>
          <w:szCs w:val="23"/>
        </w:rPr>
        <w:t>路</w:t>
      </w:r>
      <w:r>
        <w:rPr>
          <w:rFonts w:ascii="宋体" w:hAnsi="宋体" w:eastAsia="宋体" w:cs="宋体"/>
          <w:sz w:val="23"/>
          <w:szCs w:val="23"/>
        </w:rPr>
        <w:t>线，定时对运输路线进行清扫，运输车辆出场时必须封闭，避免在运 输过程中的抛洒现象；</w:t>
      </w:r>
    </w:p>
    <w:p w14:paraId="31C0C35C">
      <w:pPr>
        <w:spacing w:before="1" w:line="228" w:lineRule="auto"/>
        <w:ind w:left="469"/>
        <w:rPr>
          <w:rFonts w:ascii="宋体" w:hAnsi="宋体" w:eastAsia="宋体" w:cs="宋体"/>
          <w:sz w:val="23"/>
          <w:szCs w:val="23"/>
        </w:rPr>
      </w:pPr>
      <w:r>
        <w:rPr>
          <w:rFonts w:ascii="Times New Roman" w:hAnsi="Times New Roman" w:eastAsia="Times New Roman" w:cs="Times New Roman"/>
          <w:b/>
          <w:bCs/>
          <w:sz w:val="23"/>
          <w:szCs w:val="23"/>
        </w:rPr>
        <w:t>K</w:t>
      </w:r>
      <w:r>
        <w:rPr>
          <w:rFonts w:ascii="Times New Roman" w:hAnsi="Times New Roman" w:eastAsia="Times New Roman" w:cs="Times New Roman"/>
          <w:b/>
          <w:bCs/>
          <w:spacing w:val="2"/>
          <w:sz w:val="23"/>
          <w:szCs w:val="23"/>
        </w:rPr>
        <w:t>.</w:t>
      </w:r>
      <w:r>
        <w:rPr>
          <w:rFonts w:ascii="宋体" w:hAnsi="宋体" w:eastAsia="宋体" w:cs="宋体"/>
          <w:spacing w:val="2"/>
          <w:sz w:val="23"/>
          <w:szCs w:val="23"/>
        </w:rPr>
        <w:t>施工过程中，施工产生的建筑渣土，不许在楼上向下倾倒，须运送地面</w:t>
      </w:r>
      <w:r>
        <w:rPr>
          <w:rFonts w:ascii="宋体" w:hAnsi="宋体" w:eastAsia="宋体" w:cs="宋体"/>
          <w:spacing w:val="1"/>
          <w:sz w:val="23"/>
          <w:szCs w:val="23"/>
        </w:rPr>
        <w:t>；</w:t>
      </w:r>
    </w:p>
    <w:p w14:paraId="4B136282">
      <w:pPr>
        <w:sectPr>
          <w:headerReference r:id="rId86" w:type="default"/>
          <w:footerReference r:id="rId87" w:type="default"/>
          <w:pgSz w:w="11907" w:h="16840"/>
          <w:pgMar w:top="829" w:right="1053" w:bottom="1139" w:left="1275" w:header="595" w:footer="953" w:gutter="0"/>
          <w:cols w:space="720" w:num="1"/>
        </w:sectPr>
      </w:pPr>
    </w:p>
    <w:p w14:paraId="41B6F702">
      <w:pPr>
        <w:spacing w:before="102" w:line="323" w:lineRule="exact"/>
        <w:ind w:left="468"/>
        <w:rPr>
          <w:rFonts w:ascii="宋体" w:hAnsi="宋体" w:eastAsia="宋体" w:cs="宋体"/>
          <w:sz w:val="23"/>
          <w:szCs w:val="23"/>
        </w:rPr>
      </w:pPr>
      <w:r>
        <w:rPr>
          <w:rFonts w:ascii="Times New Roman" w:hAnsi="Times New Roman" w:eastAsia="Times New Roman" w:cs="Times New Roman"/>
          <w:b/>
          <w:bCs/>
          <w:spacing w:val="-3"/>
          <w:position w:val="1"/>
          <w:sz w:val="23"/>
          <w:szCs w:val="23"/>
        </w:rPr>
        <w:t>L</w:t>
      </w:r>
      <w:r>
        <w:rPr>
          <w:rFonts w:ascii="Times New Roman" w:hAnsi="Times New Roman" w:eastAsia="Times New Roman" w:cs="Times New Roman"/>
          <w:b/>
          <w:bCs/>
          <w:spacing w:val="-6"/>
          <w:position w:val="1"/>
          <w:sz w:val="23"/>
          <w:szCs w:val="23"/>
        </w:rPr>
        <w:t>.</w:t>
      </w:r>
      <w:r>
        <w:rPr>
          <w:rFonts w:ascii="Times New Roman" w:hAnsi="Times New Roman" w:eastAsia="Times New Roman" w:cs="Times New Roman"/>
          <w:spacing w:val="-6"/>
          <w:position w:val="1"/>
          <w:sz w:val="23"/>
          <w:szCs w:val="23"/>
        </w:rPr>
        <w:t xml:space="preserve">  </w:t>
      </w:r>
      <w:r>
        <w:rPr>
          <w:rFonts w:ascii="宋体" w:hAnsi="宋体" w:eastAsia="宋体" w:cs="宋体"/>
          <w:spacing w:val="-5"/>
          <w:position w:val="1"/>
          <w:sz w:val="23"/>
          <w:szCs w:val="23"/>
        </w:rPr>
        <w:t>禁</w:t>
      </w:r>
      <w:r>
        <w:rPr>
          <w:rFonts w:ascii="宋体" w:hAnsi="宋体" w:eastAsia="宋体" w:cs="宋体"/>
          <w:spacing w:val="-3"/>
          <w:position w:val="1"/>
          <w:sz w:val="23"/>
          <w:szCs w:val="23"/>
        </w:rPr>
        <w:t xml:space="preserve">止在大风天进行渣土堆放作业，土石方堆场采用塑料篷布遮盖，覆盖率需达 </w:t>
      </w:r>
      <w:r>
        <w:rPr>
          <w:rFonts w:ascii="Times New Roman" w:hAnsi="Times New Roman" w:eastAsia="Times New Roman" w:cs="Times New Roman"/>
          <w:spacing w:val="-3"/>
          <w:position w:val="1"/>
          <w:sz w:val="23"/>
          <w:szCs w:val="23"/>
        </w:rPr>
        <w:t>100%</w:t>
      </w:r>
      <w:r>
        <w:rPr>
          <w:rFonts w:ascii="宋体" w:hAnsi="宋体" w:eastAsia="宋体" w:cs="宋体"/>
          <w:spacing w:val="-3"/>
          <w:position w:val="1"/>
          <w:sz w:val="23"/>
          <w:szCs w:val="23"/>
        </w:rPr>
        <w:t>。；</w:t>
      </w:r>
    </w:p>
    <w:p w14:paraId="232EE324">
      <w:pPr>
        <w:spacing w:before="185" w:line="375" w:lineRule="auto"/>
        <w:ind w:left="12" w:right="83" w:firstLine="456"/>
        <w:rPr>
          <w:rFonts w:ascii="宋体" w:hAnsi="宋体" w:eastAsia="宋体" w:cs="宋体"/>
          <w:sz w:val="23"/>
          <w:szCs w:val="23"/>
        </w:rPr>
      </w:pPr>
      <w:r>
        <w:rPr>
          <w:rFonts w:ascii="Times New Roman" w:hAnsi="Times New Roman" w:eastAsia="Times New Roman" w:cs="Times New Roman"/>
          <w:b/>
          <w:bCs/>
          <w:sz w:val="23"/>
          <w:szCs w:val="23"/>
        </w:rPr>
        <w:t>M</w:t>
      </w:r>
      <w:r>
        <w:rPr>
          <w:rFonts w:ascii="Times New Roman" w:hAnsi="Times New Roman" w:eastAsia="Times New Roman" w:cs="Times New Roman"/>
          <w:b/>
          <w:bCs/>
          <w:spacing w:val="13"/>
          <w:sz w:val="23"/>
          <w:szCs w:val="23"/>
        </w:rPr>
        <w:t>.</w:t>
      </w:r>
      <w:r>
        <w:rPr>
          <w:rFonts w:ascii="宋体" w:hAnsi="宋体" w:eastAsia="宋体" w:cs="宋体"/>
          <w:spacing w:val="13"/>
          <w:sz w:val="23"/>
          <w:szCs w:val="23"/>
        </w:rPr>
        <w:t>运输车等运输车辆不允许超载，选择对周围环境影响较小的运输路线，定时对运</w:t>
      </w:r>
      <w:r>
        <w:rPr>
          <w:rFonts w:ascii="宋体" w:hAnsi="宋体" w:eastAsia="宋体" w:cs="宋体"/>
          <w:spacing w:val="5"/>
          <w:sz w:val="23"/>
          <w:szCs w:val="23"/>
        </w:rPr>
        <w:t>输</w:t>
      </w:r>
      <w:r>
        <w:rPr>
          <w:rFonts w:ascii="宋体" w:hAnsi="宋体" w:eastAsia="宋体" w:cs="宋体"/>
          <w:sz w:val="23"/>
          <w:szCs w:val="23"/>
        </w:rPr>
        <w:t xml:space="preserve"> </w:t>
      </w:r>
      <w:r>
        <w:rPr>
          <w:rFonts w:ascii="宋体" w:hAnsi="宋体" w:eastAsia="宋体" w:cs="宋体"/>
          <w:spacing w:val="18"/>
          <w:sz w:val="23"/>
          <w:szCs w:val="23"/>
        </w:rPr>
        <w:t>路</w:t>
      </w:r>
      <w:r>
        <w:rPr>
          <w:rFonts w:ascii="宋体" w:hAnsi="宋体" w:eastAsia="宋体" w:cs="宋体"/>
          <w:spacing w:val="11"/>
          <w:sz w:val="23"/>
          <w:szCs w:val="23"/>
        </w:rPr>
        <w:t>线</w:t>
      </w:r>
      <w:r>
        <w:rPr>
          <w:rFonts w:ascii="宋体" w:hAnsi="宋体" w:eastAsia="宋体" w:cs="宋体"/>
          <w:spacing w:val="9"/>
          <w:sz w:val="23"/>
          <w:szCs w:val="23"/>
        </w:rPr>
        <w:t>进行清扫，运输车辆出场时必须封闭，避免在运输过程中的抛洒现象。</w:t>
      </w:r>
    </w:p>
    <w:p w14:paraId="58CCA6A1">
      <w:pPr>
        <w:spacing w:line="227" w:lineRule="auto"/>
        <w:ind w:left="484"/>
        <w:rPr>
          <w:rFonts w:ascii="宋体" w:hAnsi="宋体" w:eastAsia="宋体" w:cs="宋体"/>
          <w:sz w:val="23"/>
          <w:szCs w:val="23"/>
        </w:rPr>
      </w:pPr>
      <w:r>
        <w:rPr>
          <w:rFonts w:ascii="Times New Roman" w:hAnsi="Times New Roman" w:eastAsia="Times New Roman" w:cs="Times New Roman"/>
          <w:b/>
          <w:bCs/>
          <w:sz w:val="23"/>
          <w:szCs w:val="23"/>
        </w:rPr>
        <w:t>N</w:t>
      </w:r>
      <w:r>
        <w:rPr>
          <w:rFonts w:ascii="Times New Roman" w:hAnsi="Times New Roman" w:eastAsia="Times New Roman" w:cs="Times New Roman"/>
          <w:b/>
          <w:bCs/>
          <w:spacing w:val="18"/>
          <w:sz w:val="23"/>
          <w:szCs w:val="23"/>
        </w:rPr>
        <w:t>.</w:t>
      </w:r>
      <w:r>
        <w:rPr>
          <w:rFonts w:ascii="宋体" w:hAnsi="宋体" w:eastAsia="宋体" w:cs="宋体"/>
          <w:spacing w:val="17"/>
          <w:sz w:val="23"/>
          <w:szCs w:val="23"/>
        </w:rPr>
        <w:t>为</w:t>
      </w:r>
      <w:r>
        <w:rPr>
          <w:rFonts w:ascii="宋体" w:hAnsi="宋体" w:eastAsia="宋体" w:cs="宋体"/>
          <w:spacing w:val="9"/>
          <w:sz w:val="23"/>
          <w:szCs w:val="23"/>
        </w:rPr>
        <w:t>了减少扬尘的产生，施工时使用商品混凝土，不设置混凝土搅拌站。</w:t>
      </w:r>
    </w:p>
    <w:p w14:paraId="3E21646D">
      <w:pPr>
        <w:spacing w:before="184" w:line="375" w:lineRule="auto"/>
        <w:ind w:left="10" w:right="82" w:firstLine="480"/>
        <w:rPr>
          <w:rFonts w:ascii="宋体" w:hAnsi="宋体" w:eastAsia="宋体" w:cs="宋体"/>
          <w:sz w:val="23"/>
          <w:szCs w:val="23"/>
        </w:rPr>
      </w:pPr>
      <w:r>
        <w:rPr>
          <w:rFonts w:ascii="Times New Roman" w:hAnsi="Times New Roman" w:eastAsia="Times New Roman" w:cs="Times New Roman"/>
          <w:b/>
          <w:bCs/>
          <w:sz w:val="23"/>
          <w:szCs w:val="23"/>
        </w:rPr>
        <w:t>O</w:t>
      </w:r>
      <w:r>
        <w:rPr>
          <w:rFonts w:ascii="Times New Roman" w:hAnsi="Times New Roman" w:eastAsia="Times New Roman" w:cs="Times New Roman"/>
          <w:b/>
          <w:bCs/>
          <w:spacing w:val="7"/>
          <w:sz w:val="23"/>
          <w:szCs w:val="23"/>
        </w:rPr>
        <w:t>.</w:t>
      </w:r>
      <w:r>
        <w:rPr>
          <w:rFonts w:ascii="宋体" w:hAnsi="宋体" w:eastAsia="宋体" w:cs="宋体"/>
          <w:spacing w:val="7"/>
          <w:sz w:val="23"/>
          <w:szCs w:val="23"/>
        </w:rPr>
        <w:t>各区的施工管理由专人负责，并设定专门负责人定期对该区的施工扬尘污染防治措</w:t>
      </w:r>
      <w:r>
        <w:rPr>
          <w:rFonts w:ascii="宋体" w:hAnsi="宋体" w:eastAsia="宋体" w:cs="宋体"/>
          <w:spacing w:val="2"/>
          <w:sz w:val="23"/>
          <w:szCs w:val="23"/>
        </w:rPr>
        <w:t>施</w:t>
      </w:r>
      <w:r>
        <w:rPr>
          <w:rFonts w:ascii="宋体" w:hAnsi="宋体" w:eastAsia="宋体" w:cs="宋体"/>
          <w:sz w:val="23"/>
          <w:szCs w:val="23"/>
        </w:rPr>
        <w:t xml:space="preserve"> </w:t>
      </w:r>
      <w:r>
        <w:rPr>
          <w:rFonts w:ascii="宋体" w:hAnsi="宋体" w:eastAsia="宋体" w:cs="宋体"/>
          <w:spacing w:val="14"/>
          <w:sz w:val="23"/>
          <w:szCs w:val="23"/>
        </w:rPr>
        <w:t>以</w:t>
      </w:r>
      <w:r>
        <w:rPr>
          <w:rFonts w:ascii="宋体" w:hAnsi="宋体" w:eastAsia="宋体" w:cs="宋体"/>
          <w:spacing w:val="7"/>
          <w:sz w:val="23"/>
          <w:szCs w:val="23"/>
        </w:rPr>
        <w:t>及环保管理进行检查和核实，严格按城市扬尘污染管理的有关规定和规范进行治理，尽量</w:t>
      </w:r>
      <w:r>
        <w:rPr>
          <w:rFonts w:ascii="宋体" w:hAnsi="宋体" w:eastAsia="宋体" w:cs="宋体"/>
          <w:sz w:val="23"/>
          <w:szCs w:val="23"/>
        </w:rPr>
        <w:t xml:space="preserve"> </w:t>
      </w:r>
      <w:r>
        <w:rPr>
          <w:rFonts w:ascii="宋体" w:hAnsi="宋体" w:eastAsia="宋体" w:cs="宋体"/>
          <w:spacing w:val="14"/>
          <w:sz w:val="23"/>
          <w:szCs w:val="23"/>
        </w:rPr>
        <w:t>减</w:t>
      </w:r>
      <w:r>
        <w:rPr>
          <w:rFonts w:ascii="宋体" w:hAnsi="宋体" w:eastAsia="宋体" w:cs="宋体"/>
          <w:spacing w:val="8"/>
          <w:sz w:val="23"/>
          <w:szCs w:val="23"/>
        </w:rPr>
        <w:t>少扬尘对环境的影响程度。</w:t>
      </w:r>
    </w:p>
    <w:p w14:paraId="22167FB1">
      <w:pPr>
        <w:spacing w:before="3" w:line="374" w:lineRule="auto"/>
        <w:ind w:left="10" w:right="75" w:firstLine="479"/>
        <w:rPr>
          <w:rFonts w:ascii="宋体" w:hAnsi="宋体" w:eastAsia="宋体" w:cs="宋体"/>
          <w:sz w:val="23"/>
          <w:szCs w:val="23"/>
        </w:rPr>
      </w:pPr>
      <w:r>
        <w:rPr>
          <w:rFonts w:ascii="宋体" w:hAnsi="宋体" w:eastAsia="宋体" w:cs="宋体"/>
          <w:spacing w:val="14"/>
          <w:sz w:val="23"/>
          <w:szCs w:val="23"/>
          <w14:textOutline w14:w="4356" w14:cap="sq" w14:cmpd="sng" w14:algn="ctr">
            <w14:solidFill>
              <w14:srgbClr w14:val="000000"/>
            </w14:solidFill>
            <w14:prstDash w14:val="solid"/>
            <w14:bevel/>
          </w14:textOutline>
        </w:rPr>
        <w:t>施</w:t>
      </w:r>
      <w:r>
        <w:rPr>
          <w:rFonts w:ascii="宋体" w:hAnsi="宋体" w:eastAsia="宋体" w:cs="宋体"/>
          <w:spacing w:val="9"/>
          <w:sz w:val="23"/>
          <w:szCs w:val="23"/>
          <w14:textOutline w14:w="4356" w14:cap="sq" w14:cmpd="sng" w14:algn="ctr">
            <w14:solidFill>
              <w14:srgbClr w14:val="000000"/>
            </w14:solidFill>
            <w14:prstDash w14:val="solid"/>
            <w14:bevel/>
          </w14:textOutline>
        </w:rPr>
        <w:t>工</w:t>
      </w:r>
      <w:r>
        <w:rPr>
          <w:rFonts w:ascii="宋体" w:hAnsi="宋体" w:eastAsia="宋体" w:cs="宋体"/>
          <w:spacing w:val="7"/>
          <w:sz w:val="23"/>
          <w:szCs w:val="23"/>
          <w14:textOutline w14:w="4356" w14:cap="sq" w14:cmpd="sng" w14:algn="ctr">
            <w14:solidFill>
              <w14:srgbClr w14:val="000000"/>
            </w14:solidFill>
            <w14:prstDash w14:val="solid"/>
            <w14:bevel/>
          </w14:textOutline>
        </w:rPr>
        <w:t>机械废气：</w:t>
      </w:r>
      <w:r>
        <w:rPr>
          <w:rFonts w:ascii="宋体" w:hAnsi="宋体" w:eastAsia="宋体" w:cs="宋体"/>
          <w:spacing w:val="7"/>
          <w:sz w:val="23"/>
          <w:szCs w:val="23"/>
        </w:rPr>
        <w:t>施工期间，使用机动车运送原材料、设备和建筑机械设备的运转，均会</w:t>
      </w:r>
      <w:r>
        <w:rPr>
          <w:rFonts w:ascii="宋体" w:hAnsi="宋体" w:eastAsia="宋体" w:cs="宋体"/>
          <w:sz w:val="23"/>
          <w:szCs w:val="23"/>
        </w:rPr>
        <w:t xml:space="preserve"> </w:t>
      </w:r>
      <w:r>
        <w:rPr>
          <w:rFonts w:ascii="宋体" w:hAnsi="宋体" w:eastAsia="宋体" w:cs="宋体"/>
          <w:spacing w:val="20"/>
          <w:sz w:val="23"/>
          <w:szCs w:val="23"/>
        </w:rPr>
        <w:t>排</w:t>
      </w:r>
      <w:r>
        <w:rPr>
          <w:rFonts w:ascii="宋体" w:hAnsi="宋体" w:eastAsia="宋体" w:cs="宋体"/>
          <w:spacing w:val="13"/>
          <w:sz w:val="23"/>
          <w:szCs w:val="23"/>
        </w:rPr>
        <w:t>放</w:t>
      </w:r>
      <w:r>
        <w:rPr>
          <w:rFonts w:ascii="宋体" w:hAnsi="宋体" w:eastAsia="宋体" w:cs="宋体"/>
          <w:spacing w:val="10"/>
          <w:sz w:val="23"/>
          <w:szCs w:val="23"/>
        </w:rPr>
        <w:t xml:space="preserve">一定量的 </w:t>
      </w:r>
      <w:r>
        <w:rPr>
          <w:rFonts w:ascii="Times New Roman" w:hAnsi="Times New Roman" w:eastAsia="Times New Roman" w:cs="Times New Roman"/>
          <w:sz w:val="23"/>
          <w:szCs w:val="23"/>
        </w:rPr>
        <w:t>CO</w:t>
      </w:r>
      <w:r>
        <w:rPr>
          <w:rFonts w:ascii="Times New Roman" w:hAnsi="Times New Roman" w:eastAsia="Times New Roman" w:cs="Times New Roman"/>
          <w:spacing w:val="10"/>
          <w:sz w:val="23"/>
          <w:szCs w:val="23"/>
        </w:rPr>
        <w:t xml:space="preserve"> </w:t>
      </w:r>
      <w:r>
        <w:rPr>
          <w:rFonts w:ascii="宋体" w:hAnsi="宋体" w:eastAsia="宋体" w:cs="宋体"/>
          <w:spacing w:val="10"/>
          <w:sz w:val="23"/>
          <w:szCs w:val="23"/>
        </w:rPr>
        <w:t>、</w:t>
      </w:r>
      <w:r>
        <w:rPr>
          <w:rFonts w:ascii="Times New Roman" w:hAnsi="Times New Roman" w:eastAsia="Times New Roman" w:cs="Times New Roman"/>
          <w:sz w:val="23"/>
          <w:szCs w:val="23"/>
        </w:rPr>
        <w:t>NOx</w:t>
      </w:r>
      <w:r>
        <w:rPr>
          <w:rFonts w:ascii="Times New Roman" w:hAnsi="Times New Roman" w:eastAsia="Times New Roman" w:cs="Times New Roman"/>
          <w:spacing w:val="10"/>
          <w:sz w:val="23"/>
          <w:szCs w:val="23"/>
        </w:rPr>
        <w:t xml:space="preserve"> </w:t>
      </w:r>
      <w:r>
        <w:rPr>
          <w:rFonts w:ascii="宋体" w:hAnsi="宋体" w:eastAsia="宋体" w:cs="宋体"/>
          <w:spacing w:val="10"/>
          <w:sz w:val="23"/>
          <w:szCs w:val="23"/>
        </w:rPr>
        <w:t>以及未完全燃烧的</w:t>
      </w:r>
      <w:r>
        <w:rPr>
          <w:rFonts w:ascii="Times New Roman" w:hAnsi="Times New Roman" w:eastAsia="Times New Roman" w:cs="Times New Roman"/>
          <w:sz w:val="23"/>
          <w:szCs w:val="23"/>
        </w:rPr>
        <w:t>THC</w:t>
      </w:r>
      <w:r>
        <w:rPr>
          <w:rFonts w:ascii="Times New Roman" w:hAnsi="Times New Roman" w:eastAsia="Times New Roman" w:cs="Times New Roman"/>
          <w:spacing w:val="10"/>
          <w:sz w:val="23"/>
          <w:szCs w:val="23"/>
        </w:rPr>
        <w:t xml:space="preserve"> </w:t>
      </w:r>
      <w:r>
        <w:rPr>
          <w:rFonts w:ascii="宋体" w:hAnsi="宋体" w:eastAsia="宋体" w:cs="宋体"/>
          <w:spacing w:val="10"/>
          <w:sz w:val="23"/>
          <w:szCs w:val="23"/>
        </w:rPr>
        <w:t>等，其特点是排放量小，且属间断性无组</w:t>
      </w:r>
      <w:r>
        <w:rPr>
          <w:rFonts w:ascii="宋体" w:hAnsi="宋体" w:eastAsia="宋体" w:cs="宋体"/>
          <w:sz w:val="23"/>
          <w:szCs w:val="23"/>
        </w:rPr>
        <w:t xml:space="preserve"> </w:t>
      </w:r>
      <w:r>
        <w:rPr>
          <w:rFonts w:ascii="宋体" w:hAnsi="宋体" w:eastAsia="宋体" w:cs="宋体"/>
          <w:spacing w:val="14"/>
          <w:sz w:val="23"/>
          <w:szCs w:val="23"/>
        </w:rPr>
        <w:t>织</w:t>
      </w:r>
      <w:r>
        <w:rPr>
          <w:rFonts w:ascii="宋体" w:hAnsi="宋体" w:eastAsia="宋体" w:cs="宋体"/>
          <w:spacing w:val="7"/>
          <w:sz w:val="23"/>
          <w:szCs w:val="23"/>
        </w:rPr>
        <w:t>排放，由于其这一特点，加之施工场地开阔，扩散条件良好，因此对其不加处理也可达到</w:t>
      </w:r>
      <w:r>
        <w:rPr>
          <w:rFonts w:ascii="宋体" w:hAnsi="宋体" w:eastAsia="宋体" w:cs="宋体"/>
          <w:sz w:val="23"/>
          <w:szCs w:val="23"/>
        </w:rPr>
        <w:t xml:space="preserve"> </w:t>
      </w:r>
      <w:r>
        <w:rPr>
          <w:rFonts w:ascii="宋体" w:hAnsi="宋体" w:eastAsia="宋体" w:cs="宋体"/>
          <w:spacing w:val="14"/>
          <w:sz w:val="23"/>
          <w:szCs w:val="23"/>
        </w:rPr>
        <w:t>相</w:t>
      </w:r>
      <w:r>
        <w:rPr>
          <w:rFonts w:ascii="宋体" w:hAnsi="宋体" w:eastAsia="宋体" w:cs="宋体"/>
          <w:spacing w:val="7"/>
          <w:sz w:val="23"/>
          <w:szCs w:val="23"/>
        </w:rPr>
        <w:t>应的排放标准。在施工期内应多加注意施工设备的维护，使其能够正常的运行，提高设备</w:t>
      </w:r>
      <w:r>
        <w:rPr>
          <w:rFonts w:ascii="宋体" w:hAnsi="宋体" w:eastAsia="宋体" w:cs="宋体"/>
          <w:sz w:val="23"/>
          <w:szCs w:val="23"/>
        </w:rPr>
        <w:t xml:space="preserve"> </w:t>
      </w:r>
      <w:r>
        <w:rPr>
          <w:rFonts w:ascii="宋体" w:hAnsi="宋体" w:eastAsia="宋体" w:cs="宋体"/>
          <w:spacing w:val="8"/>
          <w:sz w:val="23"/>
          <w:szCs w:val="23"/>
        </w:rPr>
        <w:t>原</w:t>
      </w:r>
      <w:r>
        <w:rPr>
          <w:rFonts w:ascii="宋体" w:hAnsi="宋体" w:eastAsia="宋体" w:cs="宋体"/>
          <w:spacing w:val="7"/>
          <w:sz w:val="23"/>
          <w:szCs w:val="23"/>
        </w:rPr>
        <w:t>料的利用率。</w:t>
      </w:r>
    </w:p>
    <w:p w14:paraId="542D77D3">
      <w:pPr>
        <w:spacing w:before="5" w:line="374" w:lineRule="auto"/>
        <w:ind w:left="13" w:right="78" w:firstLine="477"/>
        <w:rPr>
          <w:rFonts w:ascii="宋体" w:hAnsi="宋体" w:eastAsia="宋体" w:cs="宋体"/>
          <w:sz w:val="23"/>
          <w:szCs w:val="23"/>
        </w:rPr>
      </w:pPr>
      <w:r>
        <w:rPr>
          <w:rFonts w:ascii="宋体" w:hAnsi="宋体" w:eastAsia="宋体" w:cs="宋体"/>
          <w:spacing w:val="13"/>
          <w:sz w:val="23"/>
          <w:szCs w:val="23"/>
          <w14:textOutline w14:w="4356" w14:cap="sq" w14:cmpd="sng" w14:algn="ctr">
            <w14:solidFill>
              <w14:srgbClr w14:val="000000"/>
            </w14:solidFill>
            <w14:prstDash w14:val="solid"/>
            <w14:bevel/>
          </w14:textOutline>
        </w:rPr>
        <w:t>汽</w:t>
      </w:r>
      <w:r>
        <w:rPr>
          <w:rFonts w:ascii="宋体" w:hAnsi="宋体" w:eastAsia="宋体" w:cs="宋体"/>
          <w:spacing w:val="7"/>
          <w:sz w:val="23"/>
          <w:szCs w:val="23"/>
          <w14:textOutline w14:w="4356" w14:cap="sq" w14:cmpd="sng" w14:algn="ctr">
            <w14:solidFill>
              <w14:srgbClr w14:val="000000"/>
            </w14:solidFill>
            <w14:prstDash w14:val="solid"/>
            <w14:bevel/>
          </w14:textOutline>
        </w:rPr>
        <w:t>车尾气：</w:t>
      </w:r>
      <w:r>
        <w:rPr>
          <w:rFonts w:ascii="宋体" w:hAnsi="宋体" w:eastAsia="宋体" w:cs="宋体"/>
          <w:spacing w:val="7"/>
          <w:sz w:val="23"/>
          <w:szCs w:val="23"/>
        </w:rPr>
        <w:t>施工期间，有运输车辆尾气排放，其特点是排放量小，属于间断性排放，项</w:t>
      </w:r>
      <w:r>
        <w:rPr>
          <w:rFonts w:ascii="宋体" w:hAnsi="宋体" w:eastAsia="宋体" w:cs="宋体"/>
          <w:sz w:val="23"/>
          <w:szCs w:val="23"/>
        </w:rPr>
        <w:t xml:space="preserve"> </w:t>
      </w:r>
      <w:r>
        <w:rPr>
          <w:rFonts w:ascii="宋体" w:hAnsi="宋体" w:eastAsia="宋体" w:cs="宋体"/>
          <w:spacing w:val="11"/>
          <w:sz w:val="23"/>
          <w:szCs w:val="23"/>
        </w:rPr>
        <w:t>目</w:t>
      </w:r>
      <w:r>
        <w:rPr>
          <w:rFonts w:ascii="宋体" w:hAnsi="宋体" w:eastAsia="宋体" w:cs="宋体"/>
          <w:spacing w:val="7"/>
          <w:sz w:val="23"/>
          <w:szCs w:val="23"/>
        </w:rPr>
        <w:t>施工场地扩散条件良好，这些废气可得到有效地稀释扩散，能够达标排放。本环评要求建</w:t>
      </w:r>
      <w:r>
        <w:rPr>
          <w:rFonts w:ascii="宋体" w:hAnsi="宋体" w:eastAsia="宋体" w:cs="宋体"/>
          <w:sz w:val="23"/>
          <w:szCs w:val="23"/>
        </w:rPr>
        <w:t xml:space="preserve"> </w:t>
      </w:r>
      <w:r>
        <w:rPr>
          <w:rFonts w:ascii="宋体" w:hAnsi="宋体" w:eastAsia="宋体" w:cs="宋体"/>
          <w:spacing w:val="11"/>
          <w:sz w:val="23"/>
          <w:szCs w:val="23"/>
        </w:rPr>
        <w:t>设</w:t>
      </w:r>
      <w:r>
        <w:rPr>
          <w:rFonts w:ascii="宋体" w:hAnsi="宋体" w:eastAsia="宋体" w:cs="宋体"/>
          <w:spacing w:val="7"/>
          <w:sz w:val="23"/>
          <w:szCs w:val="23"/>
        </w:rPr>
        <w:t>方对运输车辆加强保养，选取优质燃料，禁止运输车辆超载行驶；并做好施工现场的交通</w:t>
      </w:r>
      <w:r>
        <w:rPr>
          <w:rFonts w:ascii="宋体" w:hAnsi="宋体" w:eastAsia="宋体" w:cs="宋体"/>
          <w:sz w:val="23"/>
          <w:szCs w:val="23"/>
        </w:rPr>
        <w:t xml:space="preserve"> </w:t>
      </w:r>
      <w:r>
        <w:rPr>
          <w:rFonts w:ascii="宋体" w:hAnsi="宋体" w:eastAsia="宋体" w:cs="宋体"/>
          <w:spacing w:val="10"/>
          <w:sz w:val="23"/>
          <w:szCs w:val="23"/>
        </w:rPr>
        <w:t>组织，避免因施工造 成的交通阻塞，减少运输车辆怠速产生的废气排放，进一步降低其</w:t>
      </w:r>
      <w:r>
        <w:rPr>
          <w:rFonts w:ascii="宋体" w:hAnsi="宋体" w:eastAsia="宋体" w:cs="宋体"/>
          <w:spacing w:val="7"/>
          <w:sz w:val="23"/>
          <w:szCs w:val="23"/>
        </w:rPr>
        <w:t>对</w:t>
      </w:r>
      <w:r>
        <w:rPr>
          <w:rFonts w:ascii="宋体" w:hAnsi="宋体" w:eastAsia="宋体" w:cs="宋体"/>
          <w:sz w:val="23"/>
          <w:szCs w:val="23"/>
        </w:rPr>
        <w:t xml:space="preserve"> </w:t>
      </w:r>
      <w:r>
        <w:rPr>
          <w:rFonts w:ascii="宋体" w:hAnsi="宋体" w:eastAsia="宋体" w:cs="宋体"/>
          <w:spacing w:val="8"/>
          <w:sz w:val="23"/>
          <w:szCs w:val="23"/>
        </w:rPr>
        <w:t>外</w:t>
      </w:r>
      <w:r>
        <w:rPr>
          <w:rFonts w:ascii="宋体" w:hAnsi="宋体" w:eastAsia="宋体" w:cs="宋体"/>
          <w:spacing w:val="7"/>
          <w:sz w:val="23"/>
          <w:szCs w:val="23"/>
        </w:rPr>
        <w:t>界环境的影响。</w:t>
      </w:r>
    </w:p>
    <w:p w14:paraId="6F5AC147">
      <w:pPr>
        <w:spacing w:before="9" w:line="374" w:lineRule="auto"/>
        <w:ind w:left="9" w:right="21" w:firstLine="480"/>
        <w:rPr>
          <w:rFonts w:ascii="宋体" w:hAnsi="宋体" w:eastAsia="宋体" w:cs="宋体"/>
          <w:sz w:val="23"/>
          <w:szCs w:val="23"/>
        </w:rPr>
      </w:pPr>
      <w:r>
        <w:rPr>
          <w:rFonts w:ascii="宋体" w:hAnsi="宋体" w:eastAsia="宋体" w:cs="宋体"/>
          <w:spacing w:val="10"/>
          <w:sz w:val="23"/>
          <w:szCs w:val="23"/>
          <w14:textOutline w14:w="4356" w14:cap="sq" w14:cmpd="sng" w14:algn="ctr">
            <w14:solidFill>
              <w14:srgbClr w14:val="000000"/>
            </w14:solidFill>
            <w14:prstDash w14:val="solid"/>
            <w14:bevel/>
          </w14:textOutline>
        </w:rPr>
        <w:t>装</w:t>
      </w:r>
      <w:r>
        <w:rPr>
          <w:rFonts w:ascii="宋体" w:hAnsi="宋体" w:eastAsia="宋体" w:cs="宋体"/>
          <w:spacing w:val="7"/>
          <w:sz w:val="23"/>
          <w:szCs w:val="23"/>
          <w14:textOutline w14:w="4356" w14:cap="sq" w14:cmpd="sng" w14:algn="ctr">
            <w14:solidFill>
              <w14:srgbClr w14:val="000000"/>
            </w14:solidFill>
            <w14:prstDash w14:val="solid"/>
            <w14:bevel/>
          </w14:textOutline>
        </w:rPr>
        <w:t>修废气：</w:t>
      </w:r>
      <w:r>
        <w:rPr>
          <w:rFonts w:ascii="宋体" w:hAnsi="宋体" w:eastAsia="宋体" w:cs="宋体"/>
          <w:spacing w:val="7"/>
          <w:sz w:val="23"/>
          <w:szCs w:val="23"/>
        </w:rPr>
        <w:t>装修废气主要为装修阶段使用的涂料等挥发的有机废气等气体以及装修施工</w:t>
      </w:r>
      <w:r>
        <w:rPr>
          <w:rFonts w:ascii="宋体" w:hAnsi="宋体" w:eastAsia="宋体" w:cs="宋体"/>
          <w:sz w:val="23"/>
          <w:szCs w:val="23"/>
        </w:rPr>
        <w:t xml:space="preserve"> </w:t>
      </w:r>
      <w:r>
        <w:rPr>
          <w:rFonts w:ascii="宋体" w:hAnsi="宋体" w:eastAsia="宋体" w:cs="宋体"/>
          <w:spacing w:val="3"/>
          <w:sz w:val="23"/>
          <w:szCs w:val="23"/>
        </w:rPr>
        <w:t>产生的扬尘，该废气的排放属无组织排放，涂料挥发废气其主要污染因子为二甲苯和甲苯</w:t>
      </w:r>
      <w:r>
        <w:rPr>
          <w:rFonts w:ascii="宋体" w:hAnsi="宋体" w:eastAsia="宋体" w:cs="宋体"/>
          <w:spacing w:val="2"/>
          <w:sz w:val="23"/>
          <w:szCs w:val="23"/>
        </w:rPr>
        <w:t>等</w:t>
      </w:r>
      <w:r>
        <w:rPr>
          <w:rFonts w:ascii="宋体" w:hAnsi="宋体" w:eastAsia="宋体" w:cs="宋体"/>
          <w:sz w:val="23"/>
          <w:szCs w:val="23"/>
        </w:rPr>
        <w:t xml:space="preserve">， </w:t>
      </w:r>
      <w:r>
        <w:rPr>
          <w:rFonts w:ascii="宋体" w:hAnsi="宋体" w:eastAsia="宋体" w:cs="宋体"/>
          <w:spacing w:val="14"/>
          <w:sz w:val="23"/>
          <w:szCs w:val="23"/>
        </w:rPr>
        <w:t>此</w:t>
      </w:r>
      <w:r>
        <w:rPr>
          <w:rFonts w:ascii="宋体" w:hAnsi="宋体" w:eastAsia="宋体" w:cs="宋体"/>
          <w:spacing w:val="8"/>
          <w:sz w:val="23"/>
          <w:szCs w:val="23"/>
        </w:rPr>
        <w:t>外</w:t>
      </w:r>
      <w:r>
        <w:rPr>
          <w:rFonts w:ascii="宋体" w:hAnsi="宋体" w:eastAsia="宋体" w:cs="宋体"/>
          <w:spacing w:val="7"/>
          <w:sz w:val="23"/>
          <w:szCs w:val="23"/>
        </w:rPr>
        <w:t>还有极少量的汽油、丁醇和丙醇等。在建筑装饰装修过程中，装修材料和涂料的选用应</w:t>
      </w:r>
      <w:r>
        <w:rPr>
          <w:rFonts w:ascii="宋体" w:hAnsi="宋体" w:eastAsia="宋体" w:cs="宋体"/>
          <w:sz w:val="23"/>
          <w:szCs w:val="23"/>
        </w:rPr>
        <w:t xml:space="preserve"> </w:t>
      </w:r>
      <w:r>
        <w:rPr>
          <w:rFonts w:ascii="宋体" w:hAnsi="宋体" w:eastAsia="宋体" w:cs="宋体"/>
          <w:spacing w:val="16"/>
          <w:sz w:val="23"/>
          <w:szCs w:val="23"/>
        </w:rPr>
        <w:t>按</w:t>
      </w:r>
      <w:r>
        <w:rPr>
          <w:rFonts w:ascii="宋体" w:hAnsi="宋体" w:eastAsia="宋体" w:cs="宋体"/>
          <w:spacing w:val="9"/>
          <w:sz w:val="23"/>
          <w:szCs w:val="23"/>
        </w:rPr>
        <w:t>照</w:t>
      </w:r>
      <w:r>
        <w:rPr>
          <w:rFonts w:ascii="宋体" w:hAnsi="宋体" w:eastAsia="宋体" w:cs="宋体"/>
          <w:spacing w:val="8"/>
          <w:sz w:val="23"/>
          <w:szCs w:val="23"/>
        </w:rPr>
        <w:t xml:space="preserve">国家质检总局颁布的《室内装修材料 </w:t>
      </w:r>
      <w:r>
        <w:rPr>
          <w:rFonts w:ascii="Times New Roman" w:hAnsi="Times New Roman" w:eastAsia="Times New Roman" w:cs="Times New Roman"/>
          <w:spacing w:val="8"/>
          <w:sz w:val="23"/>
          <w:szCs w:val="23"/>
        </w:rPr>
        <w:t xml:space="preserve">10 </w:t>
      </w:r>
      <w:r>
        <w:rPr>
          <w:rFonts w:ascii="宋体" w:hAnsi="宋体" w:eastAsia="宋体" w:cs="宋体"/>
          <w:spacing w:val="8"/>
          <w:sz w:val="23"/>
          <w:szCs w:val="23"/>
        </w:rPr>
        <w:t>项有害物质限量》规定进行，使用污染相对较</w:t>
      </w:r>
      <w:r>
        <w:rPr>
          <w:rFonts w:ascii="宋体" w:hAnsi="宋体" w:eastAsia="宋体" w:cs="宋体"/>
          <w:sz w:val="23"/>
          <w:szCs w:val="23"/>
        </w:rPr>
        <w:t xml:space="preserve"> </w:t>
      </w:r>
      <w:r>
        <w:rPr>
          <w:rFonts w:ascii="宋体" w:hAnsi="宋体" w:eastAsia="宋体" w:cs="宋体"/>
          <w:spacing w:val="14"/>
          <w:sz w:val="23"/>
          <w:szCs w:val="23"/>
        </w:rPr>
        <w:t>小</w:t>
      </w:r>
      <w:r>
        <w:rPr>
          <w:rFonts w:ascii="宋体" w:hAnsi="宋体" w:eastAsia="宋体" w:cs="宋体"/>
          <w:spacing w:val="8"/>
          <w:sz w:val="23"/>
          <w:szCs w:val="23"/>
        </w:rPr>
        <w:t>的</w:t>
      </w:r>
      <w:r>
        <w:rPr>
          <w:rFonts w:ascii="宋体" w:hAnsi="宋体" w:eastAsia="宋体" w:cs="宋体"/>
          <w:spacing w:val="7"/>
          <w:sz w:val="23"/>
          <w:szCs w:val="23"/>
        </w:rPr>
        <w:t>环保型涂料和装修材料，以减少材料中有害物质的散发量。在装修期间，应加强室内的</w:t>
      </w:r>
      <w:r>
        <w:rPr>
          <w:rFonts w:ascii="宋体" w:hAnsi="宋体" w:eastAsia="宋体" w:cs="宋体"/>
          <w:sz w:val="23"/>
          <w:szCs w:val="23"/>
        </w:rPr>
        <w:t xml:space="preserve"> </w:t>
      </w:r>
      <w:r>
        <w:rPr>
          <w:rFonts w:ascii="宋体" w:hAnsi="宋体" w:eastAsia="宋体" w:cs="宋体"/>
          <w:spacing w:val="14"/>
          <w:sz w:val="23"/>
          <w:szCs w:val="23"/>
        </w:rPr>
        <w:t>通</w:t>
      </w:r>
      <w:r>
        <w:rPr>
          <w:rFonts w:ascii="宋体" w:hAnsi="宋体" w:eastAsia="宋体" w:cs="宋体"/>
          <w:spacing w:val="8"/>
          <w:sz w:val="23"/>
          <w:szCs w:val="23"/>
        </w:rPr>
        <w:t>风</w:t>
      </w:r>
      <w:r>
        <w:rPr>
          <w:rFonts w:ascii="宋体" w:hAnsi="宋体" w:eastAsia="宋体" w:cs="宋体"/>
          <w:spacing w:val="7"/>
          <w:sz w:val="23"/>
          <w:szCs w:val="23"/>
        </w:rPr>
        <w:t>换气，装修结束完成以后，也应每天进行通风换气一至二个月后才能使用。由于装修时</w:t>
      </w:r>
      <w:r>
        <w:rPr>
          <w:rFonts w:ascii="宋体" w:hAnsi="宋体" w:eastAsia="宋体" w:cs="宋体"/>
          <w:sz w:val="23"/>
          <w:szCs w:val="23"/>
        </w:rPr>
        <w:t xml:space="preserve"> </w:t>
      </w:r>
      <w:r>
        <w:rPr>
          <w:rFonts w:ascii="宋体" w:hAnsi="宋体" w:eastAsia="宋体" w:cs="宋体"/>
          <w:spacing w:val="14"/>
          <w:sz w:val="23"/>
          <w:szCs w:val="23"/>
        </w:rPr>
        <w:t>采</w:t>
      </w:r>
      <w:r>
        <w:rPr>
          <w:rFonts w:ascii="宋体" w:hAnsi="宋体" w:eastAsia="宋体" w:cs="宋体"/>
          <w:spacing w:val="8"/>
          <w:sz w:val="23"/>
          <w:szCs w:val="23"/>
        </w:rPr>
        <w:t>用</w:t>
      </w:r>
      <w:r>
        <w:rPr>
          <w:rFonts w:ascii="宋体" w:hAnsi="宋体" w:eastAsia="宋体" w:cs="宋体"/>
          <w:spacing w:val="7"/>
          <w:sz w:val="23"/>
          <w:szCs w:val="23"/>
        </w:rPr>
        <w:t>的三合板和涂料等中含有的甲醛、甲苯、二甲苯等影响环境质量的有毒有害物质挥发时</w:t>
      </w:r>
      <w:r>
        <w:rPr>
          <w:rFonts w:ascii="宋体" w:hAnsi="宋体" w:eastAsia="宋体" w:cs="宋体"/>
          <w:sz w:val="23"/>
          <w:szCs w:val="23"/>
        </w:rPr>
        <w:t xml:space="preserve"> </w:t>
      </w:r>
      <w:r>
        <w:rPr>
          <w:rFonts w:ascii="宋体" w:hAnsi="宋体" w:eastAsia="宋体" w:cs="宋体"/>
          <w:spacing w:val="14"/>
          <w:sz w:val="23"/>
          <w:szCs w:val="23"/>
        </w:rPr>
        <w:t>间</w:t>
      </w:r>
      <w:r>
        <w:rPr>
          <w:rFonts w:ascii="宋体" w:hAnsi="宋体" w:eastAsia="宋体" w:cs="宋体"/>
          <w:spacing w:val="8"/>
          <w:sz w:val="23"/>
          <w:szCs w:val="23"/>
        </w:rPr>
        <w:t>长</w:t>
      </w:r>
      <w:r>
        <w:rPr>
          <w:rFonts w:ascii="宋体" w:hAnsi="宋体" w:eastAsia="宋体" w:cs="宋体"/>
          <w:spacing w:val="7"/>
          <w:sz w:val="23"/>
          <w:szCs w:val="23"/>
        </w:rPr>
        <w:t>，所以入住也要注意室内空气的流畅。装修扬尘则采用室内洒水降尘予以控制，降低施</w:t>
      </w:r>
      <w:r>
        <w:rPr>
          <w:rFonts w:ascii="宋体" w:hAnsi="宋体" w:eastAsia="宋体" w:cs="宋体"/>
          <w:sz w:val="23"/>
          <w:szCs w:val="23"/>
        </w:rPr>
        <w:t xml:space="preserve"> </w:t>
      </w:r>
      <w:r>
        <w:rPr>
          <w:rFonts w:ascii="宋体" w:hAnsi="宋体" w:eastAsia="宋体" w:cs="宋体"/>
          <w:spacing w:val="9"/>
          <w:sz w:val="23"/>
          <w:szCs w:val="23"/>
        </w:rPr>
        <w:t>工</w:t>
      </w:r>
      <w:r>
        <w:rPr>
          <w:rFonts w:ascii="宋体" w:hAnsi="宋体" w:eastAsia="宋体" w:cs="宋体"/>
          <w:spacing w:val="7"/>
          <w:sz w:val="23"/>
          <w:szCs w:val="23"/>
        </w:rPr>
        <w:t>扬尘产生量。</w:t>
      </w:r>
    </w:p>
    <w:p w14:paraId="07B5A2A7">
      <w:pPr>
        <w:spacing w:before="2" w:line="374" w:lineRule="auto"/>
        <w:ind w:left="13" w:right="49" w:firstLine="476"/>
        <w:rPr>
          <w:rFonts w:ascii="宋体" w:hAnsi="宋体" w:eastAsia="宋体" w:cs="宋体"/>
          <w:sz w:val="23"/>
          <w:szCs w:val="23"/>
        </w:rPr>
      </w:pPr>
      <w:r>
        <w:rPr>
          <w:rFonts w:ascii="宋体" w:hAnsi="宋体" w:eastAsia="宋体" w:cs="宋体"/>
          <w:spacing w:val="27"/>
          <w:sz w:val="23"/>
          <w:szCs w:val="23"/>
          <w14:textOutline w14:w="4356" w14:cap="sq" w14:cmpd="sng" w14:algn="ctr">
            <w14:solidFill>
              <w14:srgbClr w14:val="000000"/>
            </w14:solidFill>
            <w14:prstDash w14:val="solid"/>
            <w14:bevel/>
          </w14:textOutline>
        </w:rPr>
        <w:t>在</w:t>
      </w:r>
      <w:r>
        <w:rPr>
          <w:rFonts w:ascii="宋体" w:hAnsi="宋体" w:eastAsia="宋体" w:cs="宋体"/>
          <w:spacing w:val="14"/>
          <w:sz w:val="23"/>
          <w:szCs w:val="23"/>
          <w14:textOutline w14:w="4356" w14:cap="sq" w14:cmpd="sng" w14:algn="ctr">
            <w14:solidFill>
              <w14:srgbClr w14:val="000000"/>
            </w14:solidFill>
            <w14:prstDash w14:val="solid"/>
            <w14:bevel/>
          </w14:textOutline>
        </w:rPr>
        <w:t>采取以上大气污染物防治措施后，加上项目所在场地扩散条件较好，因此本项目施</w:t>
      </w:r>
      <w:r>
        <w:rPr>
          <w:rFonts w:ascii="宋体" w:hAnsi="宋体" w:eastAsia="宋体" w:cs="宋体"/>
          <w:sz w:val="23"/>
          <w:szCs w:val="23"/>
        </w:rPr>
        <w:t xml:space="preserve"> </w:t>
      </w:r>
      <w:r>
        <w:rPr>
          <w:rFonts w:ascii="宋体" w:hAnsi="宋体" w:eastAsia="宋体" w:cs="宋体"/>
          <w:spacing w:val="12"/>
          <w:sz w:val="23"/>
          <w:szCs w:val="23"/>
          <w14:textOutline w14:w="4356" w14:cap="sq" w14:cmpd="sng" w14:algn="ctr">
            <w14:solidFill>
              <w14:srgbClr w14:val="000000"/>
            </w14:solidFill>
            <w14:prstDash w14:val="solid"/>
            <w14:bevel/>
          </w14:textOutline>
        </w:rPr>
        <w:t>工</w:t>
      </w:r>
      <w:r>
        <w:rPr>
          <w:rFonts w:ascii="宋体" w:hAnsi="宋体" w:eastAsia="宋体" w:cs="宋体"/>
          <w:spacing w:val="9"/>
          <w:sz w:val="23"/>
          <w:szCs w:val="23"/>
          <w14:textOutline w14:w="4356" w14:cap="sq" w14:cmpd="sng" w14:algn="ctr">
            <w14:solidFill>
              <w14:srgbClr w14:val="000000"/>
            </w14:solidFill>
            <w14:prstDash w14:val="solid"/>
            <w14:bevel/>
          </w14:textOutline>
        </w:rPr>
        <w:t>阶段产生的废气可达标排放。</w:t>
      </w:r>
    </w:p>
    <w:p w14:paraId="5E2D9CD5">
      <w:pPr>
        <w:spacing w:line="227" w:lineRule="auto"/>
        <w:ind w:left="4"/>
        <w:outlineLvl w:val="3"/>
        <w:rPr>
          <w:rFonts w:ascii="宋体" w:hAnsi="宋体" w:eastAsia="宋体" w:cs="宋体"/>
          <w:sz w:val="23"/>
          <w:szCs w:val="23"/>
        </w:rPr>
      </w:pPr>
      <w:r>
        <w:rPr>
          <w:rFonts w:ascii="Times New Roman" w:hAnsi="Times New Roman" w:eastAsia="Times New Roman" w:cs="Times New Roman"/>
          <w:b/>
          <w:bCs/>
          <w:spacing w:val="27"/>
          <w:sz w:val="23"/>
          <w:szCs w:val="23"/>
        </w:rPr>
        <w:t>3</w:t>
      </w:r>
      <w:r>
        <w:rPr>
          <w:rFonts w:ascii="Times New Roman" w:hAnsi="Times New Roman" w:eastAsia="Times New Roman" w:cs="Times New Roman"/>
          <w:b/>
          <w:bCs/>
          <w:spacing w:val="19"/>
          <w:sz w:val="23"/>
          <w:szCs w:val="23"/>
        </w:rPr>
        <w:t>.2.3.2</w:t>
      </w:r>
      <w:r>
        <w:rPr>
          <w:rFonts w:ascii="Times New Roman" w:hAnsi="Times New Roman" w:eastAsia="Times New Roman" w:cs="Times New Roman"/>
          <w:spacing w:val="19"/>
          <w:sz w:val="23"/>
          <w:szCs w:val="23"/>
        </w:rPr>
        <w:t xml:space="preserve">  </w:t>
      </w:r>
      <w:r>
        <w:rPr>
          <w:rFonts w:ascii="宋体" w:hAnsi="宋体" w:eastAsia="宋体" w:cs="宋体"/>
          <w:spacing w:val="19"/>
          <w:sz w:val="23"/>
          <w:szCs w:val="23"/>
          <w14:textOutline w14:w="4356" w14:cap="sq" w14:cmpd="sng" w14:algn="ctr">
            <w14:solidFill>
              <w14:srgbClr w14:val="000000"/>
            </w14:solidFill>
            <w14:prstDash w14:val="solid"/>
            <w14:bevel/>
          </w14:textOutline>
        </w:rPr>
        <w:t>施工期水污染物</w:t>
      </w:r>
    </w:p>
    <w:p w14:paraId="16E6921D">
      <w:pPr>
        <w:spacing w:before="183" w:line="228" w:lineRule="auto"/>
        <w:ind w:left="501"/>
        <w:rPr>
          <w:rFonts w:ascii="宋体" w:hAnsi="宋体" w:eastAsia="宋体" w:cs="宋体"/>
          <w:sz w:val="23"/>
          <w:szCs w:val="23"/>
        </w:rPr>
      </w:pP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9"/>
          <w:sz w:val="23"/>
          <w:szCs w:val="23"/>
        </w:rPr>
        <w:t>1</w:t>
      </w: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宋体" w:hAnsi="宋体" w:eastAsia="宋体" w:cs="宋体"/>
          <w:spacing w:val="19"/>
          <w:sz w:val="23"/>
          <w:szCs w:val="23"/>
        </w:rPr>
        <w:t xml:space="preserve"> </w:t>
      </w:r>
      <w:r>
        <w:rPr>
          <w:rFonts w:ascii="宋体" w:hAnsi="宋体" w:eastAsia="宋体" w:cs="宋体"/>
          <w:spacing w:val="19"/>
          <w:sz w:val="23"/>
          <w:szCs w:val="23"/>
          <w14:textOutline w14:w="4356" w14:cap="sq" w14:cmpd="sng" w14:algn="ctr">
            <w14:solidFill>
              <w14:srgbClr w14:val="000000"/>
            </w14:solidFill>
            <w14:prstDash w14:val="solid"/>
            <w14:bevel/>
          </w14:textOutline>
        </w:rPr>
        <w:t>污染源分析</w:t>
      </w:r>
    </w:p>
    <w:p w14:paraId="26802A3E">
      <w:pPr>
        <w:spacing w:before="184" w:line="227" w:lineRule="auto"/>
        <w:ind w:left="494"/>
        <w:rPr>
          <w:rFonts w:ascii="宋体" w:hAnsi="宋体" w:eastAsia="宋体" w:cs="宋体"/>
          <w:sz w:val="23"/>
          <w:szCs w:val="23"/>
        </w:rPr>
      </w:pPr>
      <w:r>
        <w:rPr>
          <w:rFonts w:ascii="宋体" w:hAnsi="宋体" w:eastAsia="宋体" w:cs="宋体"/>
          <w:spacing w:val="7"/>
          <w:sz w:val="23"/>
          <w:szCs w:val="23"/>
        </w:rPr>
        <w:t>项目施工期废水主要分为施工人员的生活污水，施工生产废水。施工生产废水主要包</w:t>
      </w:r>
      <w:r>
        <w:rPr>
          <w:rFonts w:ascii="宋体" w:hAnsi="宋体" w:eastAsia="宋体" w:cs="宋体"/>
          <w:spacing w:val="4"/>
          <w:sz w:val="23"/>
          <w:szCs w:val="23"/>
        </w:rPr>
        <w:t>括</w:t>
      </w:r>
    </w:p>
    <w:p w14:paraId="1DE15FD9">
      <w:pPr>
        <w:sectPr>
          <w:headerReference r:id="rId88" w:type="default"/>
          <w:footerReference r:id="rId89" w:type="default"/>
          <w:pgSz w:w="11907" w:h="16840"/>
          <w:pgMar w:top="829" w:right="1050" w:bottom="1139" w:left="1275" w:header="595" w:footer="953" w:gutter="0"/>
          <w:cols w:space="720" w:num="1"/>
        </w:sectPr>
      </w:pPr>
    </w:p>
    <w:p w14:paraId="6A26BAB5">
      <w:pPr>
        <w:spacing w:before="146" w:line="227" w:lineRule="auto"/>
        <w:ind w:left="11"/>
        <w:rPr>
          <w:rFonts w:ascii="宋体" w:hAnsi="宋体" w:eastAsia="宋体" w:cs="宋体"/>
          <w:sz w:val="23"/>
          <w:szCs w:val="23"/>
        </w:rPr>
      </w:pPr>
      <w:r>
        <w:rPr>
          <w:rFonts w:ascii="宋体" w:hAnsi="宋体" w:eastAsia="宋体" w:cs="宋体"/>
          <w:spacing w:val="11"/>
          <w:sz w:val="23"/>
          <w:szCs w:val="23"/>
        </w:rPr>
        <w:t>养</w:t>
      </w:r>
      <w:r>
        <w:rPr>
          <w:rFonts w:ascii="宋体" w:hAnsi="宋体" w:eastAsia="宋体" w:cs="宋体"/>
          <w:spacing w:val="9"/>
          <w:sz w:val="23"/>
          <w:szCs w:val="23"/>
        </w:rPr>
        <w:t>护用水、施工机械设备、进出场车辆轮胎冲洗水。</w:t>
      </w:r>
    </w:p>
    <w:p w14:paraId="6AD59867">
      <w:pPr>
        <w:spacing w:before="182" w:line="225" w:lineRule="auto"/>
        <w:ind w:left="489"/>
        <w:rPr>
          <w:rFonts w:ascii="宋体" w:hAnsi="宋体" w:eastAsia="宋体" w:cs="宋体"/>
          <w:sz w:val="23"/>
          <w:szCs w:val="23"/>
        </w:rPr>
      </w:pPr>
      <w:r>
        <w:rPr>
          <w:rFonts w:ascii="宋体" w:hAnsi="宋体" w:eastAsia="宋体" w:cs="宋体"/>
          <w:spacing w:val="13"/>
          <w:sz w:val="23"/>
          <w:szCs w:val="23"/>
        </w:rPr>
        <w:t>①</w:t>
      </w:r>
      <w:r>
        <w:rPr>
          <w:rFonts w:ascii="宋体" w:hAnsi="宋体" w:eastAsia="宋体" w:cs="宋体"/>
          <w:spacing w:val="8"/>
          <w:sz w:val="23"/>
          <w:szCs w:val="23"/>
        </w:rPr>
        <w:t>施工生产废水</w:t>
      </w:r>
    </w:p>
    <w:p w14:paraId="1F44A1C7">
      <w:pPr>
        <w:spacing w:before="187" w:line="375" w:lineRule="auto"/>
        <w:ind w:left="9" w:right="80" w:firstLine="482"/>
        <w:rPr>
          <w:rFonts w:ascii="宋体" w:hAnsi="宋体" w:eastAsia="宋体" w:cs="宋体"/>
          <w:sz w:val="23"/>
          <w:szCs w:val="23"/>
        </w:rPr>
      </w:pPr>
      <w:r>
        <w:rPr>
          <w:rFonts w:ascii="宋体" w:hAnsi="宋体" w:eastAsia="宋体" w:cs="宋体"/>
          <w:spacing w:val="7"/>
          <w:sz w:val="23"/>
          <w:szCs w:val="23"/>
        </w:rPr>
        <w:t>主要来源于机械的冲刷、构件与建筑材料的保潮、墙体的浸润以及材料的洗刷以及进</w:t>
      </w:r>
      <w:r>
        <w:rPr>
          <w:rFonts w:ascii="宋体" w:hAnsi="宋体" w:eastAsia="宋体" w:cs="宋体"/>
          <w:spacing w:val="6"/>
          <w:sz w:val="23"/>
          <w:szCs w:val="23"/>
        </w:rPr>
        <w:t>出</w:t>
      </w:r>
      <w:r>
        <w:rPr>
          <w:rFonts w:ascii="宋体" w:hAnsi="宋体" w:eastAsia="宋体" w:cs="宋体"/>
          <w:sz w:val="23"/>
          <w:szCs w:val="23"/>
        </w:rPr>
        <w:t xml:space="preserve"> </w:t>
      </w:r>
      <w:r>
        <w:rPr>
          <w:rFonts w:ascii="宋体" w:hAnsi="宋体" w:eastAsia="宋体" w:cs="宋体"/>
          <w:spacing w:val="28"/>
          <w:sz w:val="23"/>
          <w:szCs w:val="23"/>
        </w:rPr>
        <w:t>场</w:t>
      </w:r>
      <w:r>
        <w:rPr>
          <w:rFonts w:ascii="宋体" w:hAnsi="宋体" w:eastAsia="宋体" w:cs="宋体"/>
          <w:spacing w:val="21"/>
          <w:sz w:val="23"/>
          <w:szCs w:val="23"/>
        </w:rPr>
        <w:t>车</w:t>
      </w:r>
      <w:r>
        <w:rPr>
          <w:rFonts w:ascii="宋体" w:hAnsi="宋体" w:eastAsia="宋体" w:cs="宋体"/>
          <w:spacing w:val="14"/>
          <w:sz w:val="23"/>
          <w:szCs w:val="23"/>
        </w:rPr>
        <w:t xml:space="preserve">辆轮胎冲洗 。该部分废水一般呈碱性 ，废水中的主要污染物为 </w:t>
      </w:r>
      <w:r>
        <w:rPr>
          <w:rFonts w:ascii="Times New Roman" w:hAnsi="Times New Roman" w:eastAsia="Times New Roman" w:cs="Times New Roman"/>
          <w:sz w:val="23"/>
          <w:szCs w:val="23"/>
        </w:rPr>
        <w:t>SS</w:t>
      </w:r>
      <w:r>
        <w:rPr>
          <w:rFonts w:ascii="Times New Roman" w:hAnsi="Times New Roman" w:eastAsia="Times New Roman" w:cs="Times New Roman"/>
          <w:spacing w:val="14"/>
          <w:sz w:val="23"/>
          <w:szCs w:val="23"/>
        </w:rPr>
        <w:t xml:space="preserve"> </w:t>
      </w:r>
      <w:r>
        <w:rPr>
          <w:rFonts w:ascii="宋体" w:hAnsi="宋体" w:eastAsia="宋体" w:cs="宋体"/>
          <w:spacing w:val="14"/>
          <w:sz w:val="23"/>
          <w:szCs w:val="23"/>
        </w:rPr>
        <w:t xml:space="preserve">。污水中 </w:t>
      </w:r>
      <w:r>
        <w:rPr>
          <w:rFonts w:ascii="Times New Roman" w:hAnsi="Times New Roman" w:eastAsia="Times New Roman" w:cs="Times New Roman"/>
          <w:sz w:val="23"/>
          <w:szCs w:val="23"/>
        </w:rPr>
        <w:t>SS</w:t>
      </w:r>
      <w:r>
        <w:rPr>
          <w:rFonts w:ascii="Times New Roman" w:hAnsi="Times New Roman" w:eastAsia="Times New Roman" w:cs="Times New Roman"/>
          <w:spacing w:val="14"/>
          <w:sz w:val="23"/>
          <w:szCs w:val="23"/>
        </w:rPr>
        <w:t xml:space="preserve"> </w:t>
      </w:r>
      <w:r>
        <w:rPr>
          <w:rFonts w:ascii="宋体" w:hAnsi="宋体" w:eastAsia="宋体" w:cs="宋体"/>
          <w:spacing w:val="14"/>
          <w:sz w:val="23"/>
          <w:szCs w:val="23"/>
        </w:rPr>
        <w:t>约</w:t>
      </w:r>
      <w:r>
        <w:rPr>
          <w:rFonts w:ascii="宋体" w:hAnsi="宋体" w:eastAsia="宋体" w:cs="宋体"/>
          <w:sz w:val="23"/>
          <w:szCs w:val="23"/>
        </w:rPr>
        <w:t xml:space="preserve"> </w:t>
      </w:r>
      <w:r>
        <w:rPr>
          <w:rFonts w:ascii="Times New Roman" w:hAnsi="Times New Roman" w:eastAsia="Times New Roman" w:cs="Times New Roman"/>
          <w:spacing w:val="6"/>
          <w:sz w:val="23"/>
          <w:szCs w:val="23"/>
        </w:rPr>
        <w:t>1</w:t>
      </w:r>
      <w:r>
        <w:rPr>
          <w:rFonts w:ascii="Times New Roman" w:hAnsi="Times New Roman" w:eastAsia="Times New Roman" w:cs="Times New Roman"/>
          <w:spacing w:val="5"/>
          <w:sz w:val="23"/>
          <w:szCs w:val="23"/>
        </w:rPr>
        <w:t>000</w:t>
      </w:r>
      <w:r>
        <w:rPr>
          <w:rFonts w:ascii="Times New Roman" w:hAnsi="Times New Roman" w:eastAsia="Times New Roman" w:cs="Times New Roman"/>
          <w:sz w:val="23"/>
          <w:szCs w:val="23"/>
        </w:rPr>
        <w:t>mg</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L</w:t>
      </w:r>
      <w:r>
        <w:rPr>
          <w:rFonts w:ascii="宋体" w:hAnsi="宋体" w:eastAsia="宋体" w:cs="宋体"/>
          <w:spacing w:val="5"/>
          <w:sz w:val="23"/>
          <w:szCs w:val="23"/>
        </w:rPr>
        <w:t>。</w:t>
      </w:r>
    </w:p>
    <w:p w14:paraId="26FF1A99">
      <w:pPr>
        <w:spacing w:line="225" w:lineRule="auto"/>
        <w:ind w:left="488"/>
        <w:rPr>
          <w:rFonts w:ascii="宋体" w:hAnsi="宋体" w:eastAsia="宋体" w:cs="宋体"/>
          <w:sz w:val="23"/>
          <w:szCs w:val="23"/>
        </w:rPr>
      </w:pPr>
      <w:r>
        <w:rPr>
          <w:rFonts w:ascii="宋体" w:hAnsi="宋体" w:eastAsia="宋体" w:cs="宋体"/>
          <w:spacing w:val="10"/>
          <w:sz w:val="23"/>
          <w:szCs w:val="23"/>
        </w:rPr>
        <w:t>②</w:t>
      </w:r>
      <w:r>
        <w:rPr>
          <w:rFonts w:ascii="宋体" w:hAnsi="宋体" w:eastAsia="宋体" w:cs="宋体"/>
          <w:spacing w:val="9"/>
          <w:sz w:val="23"/>
          <w:szCs w:val="23"/>
        </w:rPr>
        <w:t>施工人员生活污水</w:t>
      </w:r>
    </w:p>
    <w:p w14:paraId="23AC281D">
      <w:pPr>
        <w:spacing w:before="185" w:line="227" w:lineRule="auto"/>
        <w:ind w:left="489"/>
        <w:rPr>
          <w:rFonts w:ascii="宋体" w:hAnsi="宋体" w:eastAsia="宋体" w:cs="宋体"/>
          <w:sz w:val="23"/>
          <w:szCs w:val="23"/>
        </w:rPr>
      </w:pPr>
      <w:r>
        <w:rPr>
          <w:rFonts w:ascii="宋体" w:hAnsi="宋体" w:eastAsia="宋体" w:cs="宋体"/>
          <w:spacing w:val="8"/>
          <w:sz w:val="23"/>
          <w:szCs w:val="23"/>
        </w:rPr>
        <w:t>施工人员</w:t>
      </w:r>
      <w:r>
        <w:rPr>
          <w:rFonts w:ascii="宋体" w:hAnsi="宋体" w:eastAsia="宋体" w:cs="宋体"/>
          <w:spacing w:val="4"/>
          <w:sz w:val="23"/>
          <w:szCs w:val="23"/>
        </w:rPr>
        <w:t>生活污水中主要含</w:t>
      </w:r>
      <w:r>
        <w:rPr>
          <w:rFonts w:ascii="Times New Roman" w:hAnsi="Times New Roman" w:eastAsia="Times New Roman" w:cs="Times New Roman"/>
          <w:sz w:val="23"/>
          <w:szCs w:val="23"/>
        </w:rPr>
        <w:t>COD</w:t>
      </w:r>
      <w:r>
        <w:rPr>
          <w:rFonts w:ascii="Times New Roman" w:hAnsi="Times New Roman" w:eastAsia="Times New Roman" w:cs="Times New Roman"/>
          <w:position w:val="-1"/>
          <w:sz w:val="15"/>
          <w:szCs w:val="15"/>
        </w:rPr>
        <w:t>Cr</w:t>
      </w:r>
      <w:r>
        <w:rPr>
          <w:rFonts w:ascii="Times New Roman" w:hAnsi="Times New Roman" w:eastAsia="Times New Roman" w:cs="Times New Roman"/>
          <w:spacing w:val="4"/>
          <w:position w:val="-1"/>
          <w:sz w:val="15"/>
          <w:szCs w:val="15"/>
        </w:rPr>
        <w:t xml:space="preserve"> </w:t>
      </w:r>
      <w:r>
        <w:rPr>
          <w:rFonts w:ascii="宋体" w:hAnsi="宋体" w:eastAsia="宋体" w:cs="宋体"/>
          <w:spacing w:val="4"/>
          <w:sz w:val="23"/>
          <w:szCs w:val="23"/>
        </w:rPr>
        <w:t>、</w:t>
      </w:r>
      <w:r>
        <w:rPr>
          <w:rFonts w:ascii="Times New Roman" w:hAnsi="Times New Roman" w:eastAsia="Times New Roman" w:cs="Times New Roman"/>
          <w:sz w:val="23"/>
          <w:szCs w:val="23"/>
        </w:rPr>
        <w:t>BOD</w:t>
      </w:r>
      <w:r>
        <w:rPr>
          <w:rFonts w:ascii="Times New Roman" w:hAnsi="Times New Roman" w:eastAsia="Times New Roman" w:cs="Times New Roman"/>
          <w:spacing w:val="4"/>
          <w:position w:val="-1"/>
          <w:sz w:val="15"/>
          <w:szCs w:val="15"/>
        </w:rPr>
        <w:t xml:space="preserve">5 </w:t>
      </w:r>
      <w:r>
        <w:rPr>
          <w:rFonts w:ascii="宋体" w:hAnsi="宋体" w:eastAsia="宋体" w:cs="宋体"/>
          <w:spacing w:val="4"/>
          <w:sz w:val="23"/>
          <w:szCs w:val="23"/>
        </w:rPr>
        <w:t>、</w:t>
      </w:r>
      <w:r>
        <w:rPr>
          <w:rFonts w:ascii="Times New Roman" w:hAnsi="Times New Roman" w:eastAsia="Times New Roman" w:cs="Times New Roman"/>
          <w:sz w:val="23"/>
          <w:szCs w:val="23"/>
        </w:rPr>
        <w:t>NH</w:t>
      </w:r>
      <w:r>
        <w:rPr>
          <w:rFonts w:ascii="Times New Roman" w:hAnsi="Times New Roman" w:eastAsia="Times New Roman" w:cs="Times New Roman"/>
          <w:spacing w:val="4"/>
          <w:position w:val="-1"/>
          <w:sz w:val="15"/>
          <w:szCs w:val="15"/>
        </w:rPr>
        <w:t>3</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N</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w:t>
      </w:r>
      <w:r>
        <w:rPr>
          <w:rFonts w:ascii="Times New Roman" w:hAnsi="Times New Roman" w:eastAsia="Times New Roman" w:cs="Times New Roman"/>
          <w:sz w:val="23"/>
          <w:szCs w:val="23"/>
        </w:rPr>
        <w:t>SS</w:t>
      </w:r>
      <w:r>
        <w:rPr>
          <w:rFonts w:ascii="宋体" w:hAnsi="宋体" w:eastAsia="宋体" w:cs="宋体"/>
          <w:spacing w:val="4"/>
          <w:sz w:val="23"/>
          <w:szCs w:val="23"/>
        </w:rPr>
        <w:t>等。</w:t>
      </w:r>
    </w:p>
    <w:p w14:paraId="1E8BB3C8">
      <w:pPr>
        <w:spacing w:before="186" w:line="374" w:lineRule="auto"/>
        <w:ind w:left="13" w:right="75" w:firstLine="480"/>
        <w:rPr>
          <w:rFonts w:ascii="宋体" w:hAnsi="宋体" w:eastAsia="宋体" w:cs="宋体"/>
          <w:sz w:val="23"/>
          <w:szCs w:val="23"/>
        </w:rPr>
      </w:pPr>
      <w:r>
        <w:rPr>
          <w:rFonts w:ascii="宋体" w:hAnsi="宋体" w:eastAsia="宋体" w:cs="宋体"/>
          <w:spacing w:val="13"/>
          <w:sz w:val="23"/>
          <w:szCs w:val="23"/>
        </w:rPr>
        <w:t>项</w:t>
      </w:r>
      <w:r>
        <w:rPr>
          <w:rFonts w:ascii="宋体" w:hAnsi="宋体" w:eastAsia="宋体" w:cs="宋体"/>
          <w:spacing w:val="8"/>
          <w:sz w:val="23"/>
          <w:szCs w:val="23"/>
        </w:rPr>
        <w:t xml:space="preserve">目设置施工营地。预计施工高峰期施工人员约有 </w:t>
      </w:r>
      <w:r>
        <w:rPr>
          <w:rFonts w:ascii="Times New Roman" w:hAnsi="Times New Roman" w:eastAsia="Times New Roman" w:cs="Times New Roman"/>
          <w:spacing w:val="8"/>
          <w:sz w:val="23"/>
          <w:szCs w:val="23"/>
        </w:rPr>
        <w:t xml:space="preserve">50 </w:t>
      </w:r>
      <w:r>
        <w:rPr>
          <w:rFonts w:ascii="宋体" w:hAnsi="宋体" w:eastAsia="宋体" w:cs="宋体"/>
          <w:spacing w:val="8"/>
          <w:sz w:val="23"/>
          <w:szCs w:val="23"/>
        </w:rPr>
        <w:t>人，根据《四川省用水定额》，</w:t>
      </w:r>
      <w:r>
        <w:rPr>
          <w:rFonts w:ascii="宋体" w:hAnsi="宋体" w:eastAsia="宋体" w:cs="宋体"/>
          <w:sz w:val="23"/>
          <w:szCs w:val="23"/>
        </w:rPr>
        <w:t xml:space="preserve"> </w:t>
      </w:r>
      <w:r>
        <w:rPr>
          <w:rFonts w:ascii="宋体" w:hAnsi="宋体" w:eastAsia="宋体" w:cs="宋体"/>
          <w:spacing w:val="4"/>
          <w:sz w:val="23"/>
          <w:szCs w:val="23"/>
        </w:rPr>
        <w:t>结合</w:t>
      </w:r>
      <w:r>
        <w:rPr>
          <w:rFonts w:ascii="宋体" w:hAnsi="宋体" w:eastAsia="宋体" w:cs="宋体"/>
          <w:spacing w:val="3"/>
          <w:sz w:val="23"/>
          <w:szCs w:val="23"/>
        </w:rPr>
        <w:t>项</w:t>
      </w:r>
      <w:r>
        <w:rPr>
          <w:rFonts w:ascii="宋体" w:hAnsi="宋体" w:eastAsia="宋体" w:cs="宋体"/>
          <w:spacing w:val="2"/>
          <w:sz w:val="23"/>
          <w:szCs w:val="23"/>
        </w:rPr>
        <w:t xml:space="preserve">目实际情况，施工期人员用水定额按照 </w:t>
      </w:r>
      <w:r>
        <w:rPr>
          <w:rFonts w:ascii="Times New Roman" w:hAnsi="Times New Roman" w:eastAsia="Times New Roman" w:cs="Times New Roman"/>
          <w:spacing w:val="2"/>
          <w:sz w:val="23"/>
          <w:szCs w:val="23"/>
        </w:rPr>
        <w:t>50</w:t>
      </w:r>
      <w:r>
        <w:rPr>
          <w:rFonts w:ascii="Times New Roman" w:hAnsi="Times New Roman" w:eastAsia="Times New Roman" w:cs="Times New Roman"/>
          <w:sz w:val="23"/>
          <w:szCs w:val="23"/>
        </w:rPr>
        <w:t>L</w:t>
      </w:r>
      <w:r>
        <w:rPr>
          <w:rFonts w:ascii="Times New Roman" w:hAnsi="Times New Roman" w:eastAsia="Times New Roman" w:cs="Times New Roman"/>
          <w:spacing w:val="2"/>
          <w:sz w:val="23"/>
          <w:szCs w:val="23"/>
        </w:rPr>
        <w:t>/</w:t>
      </w:r>
      <w:r>
        <w:rPr>
          <w:rFonts w:ascii="宋体" w:hAnsi="宋体" w:eastAsia="宋体" w:cs="宋体"/>
          <w:spacing w:val="2"/>
          <w:sz w:val="23"/>
          <w:szCs w:val="23"/>
        </w:rPr>
        <w:t>人</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 xml:space="preserve">天计算，用水量为 </w:t>
      </w:r>
      <w:r>
        <w:rPr>
          <w:rFonts w:ascii="Times New Roman" w:hAnsi="Times New Roman" w:eastAsia="Times New Roman" w:cs="Times New Roman"/>
          <w:spacing w:val="2"/>
          <w:sz w:val="23"/>
          <w:szCs w:val="23"/>
        </w:rPr>
        <w:t>2.5</w:t>
      </w:r>
      <w:r>
        <w:rPr>
          <w:rFonts w:ascii="Times New Roman" w:hAnsi="Times New Roman" w:eastAsia="Times New Roman" w:cs="Times New Roman"/>
          <w:sz w:val="23"/>
          <w:szCs w:val="23"/>
        </w:rPr>
        <w:t>m</w:t>
      </w:r>
      <w:r>
        <w:rPr>
          <w:rFonts w:ascii="Times New Roman" w:hAnsi="Times New Roman" w:eastAsia="Times New Roman" w:cs="Times New Roman"/>
          <w:spacing w:val="2"/>
          <w:sz w:val="23"/>
          <w:szCs w:val="23"/>
        </w:rPr>
        <w:t>³/</w:t>
      </w:r>
      <w:r>
        <w:rPr>
          <w:rFonts w:ascii="Times New Roman" w:hAnsi="Times New Roman" w:eastAsia="Times New Roman" w:cs="Times New Roman"/>
          <w:sz w:val="23"/>
          <w:szCs w:val="23"/>
        </w:rPr>
        <w:t>d</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，排污系数</w:t>
      </w:r>
      <w:r>
        <w:rPr>
          <w:rFonts w:ascii="宋体" w:hAnsi="宋体" w:eastAsia="宋体" w:cs="宋体"/>
          <w:sz w:val="23"/>
          <w:szCs w:val="23"/>
        </w:rPr>
        <w:t xml:space="preserve"> </w:t>
      </w:r>
      <w:r>
        <w:rPr>
          <w:rFonts w:ascii="宋体" w:hAnsi="宋体" w:eastAsia="宋体" w:cs="宋体"/>
          <w:spacing w:val="-2"/>
          <w:sz w:val="23"/>
          <w:szCs w:val="23"/>
        </w:rPr>
        <w:t xml:space="preserve">取 </w:t>
      </w:r>
      <w:r>
        <w:rPr>
          <w:rFonts w:ascii="Times New Roman" w:hAnsi="Times New Roman" w:eastAsia="Times New Roman" w:cs="Times New Roman"/>
          <w:spacing w:val="-2"/>
          <w:sz w:val="23"/>
          <w:szCs w:val="23"/>
        </w:rPr>
        <w:t xml:space="preserve">0.8 </w:t>
      </w:r>
      <w:r>
        <w:rPr>
          <w:rFonts w:ascii="宋体" w:hAnsi="宋体" w:eastAsia="宋体" w:cs="宋体"/>
          <w:spacing w:val="-2"/>
          <w:sz w:val="23"/>
          <w:szCs w:val="23"/>
        </w:rPr>
        <w:t>，每天产生的</w:t>
      </w:r>
      <w:r>
        <w:rPr>
          <w:rFonts w:ascii="宋体" w:hAnsi="宋体" w:eastAsia="宋体" w:cs="宋体"/>
          <w:spacing w:val="-1"/>
          <w:sz w:val="23"/>
          <w:szCs w:val="23"/>
        </w:rPr>
        <w:t xml:space="preserve">污水量为 </w:t>
      </w:r>
      <w:r>
        <w:rPr>
          <w:rFonts w:ascii="Times New Roman" w:hAnsi="Times New Roman" w:eastAsia="Times New Roman" w:cs="Times New Roman"/>
          <w:spacing w:val="-1"/>
          <w:sz w:val="23"/>
          <w:szCs w:val="23"/>
        </w:rPr>
        <w:t>2m³/d</w:t>
      </w:r>
      <w:r>
        <w:rPr>
          <w:rFonts w:ascii="宋体" w:hAnsi="宋体" w:eastAsia="宋体" w:cs="宋体"/>
          <w:spacing w:val="-1"/>
          <w:sz w:val="23"/>
          <w:szCs w:val="23"/>
        </w:rPr>
        <w:t>。</w:t>
      </w:r>
    </w:p>
    <w:p w14:paraId="707CD1ED">
      <w:pPr>
        <w:spacing w:line="228" w:lineRule="auto"/>
        <w:ind w:left="501"/>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2</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治理措施</w:t>
      </w:r>
    </w:p>
    <w:p w14:paraId="7F8E5BDE">
      <w:pPr>
        <w:spacing w:before="183" w:line="375" w:lineRule="auto"/>
        <w:ind w:left="12" w:right="11" w:firstLine="477"/>
        <w:rPr>
          <w:rFonts w:ascii="宋体" w:hAnsi="宋体" w:eastAsia="宋体" w:cs="宋体"/>
          <w:sz w:val="23"/>
          <w:szCs w:val="23"/>
        </w:rPr>
      </w:pPr>
      <w:r>
        <w:rPr>
          <w:rFonts w:ascii="宋体" w:hAnsi="宋体" w:eastAsia="宋体" w:cs="宋体"/>
          <w:spacing w:val="6"/>
          <w:sz w:val="23"/>
          <w:szCs w:val="23"/>
          <w14:textOutline w14:w="4356" w14:cap="sq" w14:cmpd="sng" w14:algn="ctr">
            <w14:solidFill>
              <w14:srgbClr w14:val="000000"/>
            </w14:solidFill>
            <w14:prstDash w14:val="solid"/>
            <w14:bevel/>
          </w14:textOutline>
        </w:rPr>
        <w:t>施工生产废水</w:t>
      </w:r>
      <w:r>
        <w:rPr>
          <w:rFonts w:ascii="宋体" w:hAnsi="宋体" w:eastAsia="宋体" w:cs="宋体"/>
          <w:spacing w:val="3"/>
          <w:sz w:val="23"/>
          <w:szCs w:val="23"/>
          <w14:textOutline w14:w="4356" w14:cap="sq" w14:cmpd="sng" w14:algn="ctr">
            <w14:solidFill>
              <w14:srgbClr w14:val="000000"/>
            </w14:solidFill>
            <w14:prstDash w14:val="solid"/>
            <w14:bevel/>
          </w14:textOutline>
        </w:rPr>
        <w:t>：</w:t>
      </w:r>
      <w:r>
        <w:rPr>
          <w:rFonts w:ascii="宋体" w:hAnsi="宋体" w:eastAsia="宋体" w:cs="宋体"/>
          <w:spacing w:val="3"/>
          <w:sz w:val="23"/>
          <w:szCs w:val="23"/>
        </w:rPr>
        <w:t xml:space="preserve">项目施工废水污染因子主要为 </w:t>
      </w:r>
      <w:r>
        <w:rPr>
          <w:rFonts w:ascii="Times New Roman" w:hAnsi="Times New Roman" w:eastAsia="Times New Roman" w:cs="Times New Roman"/>
          <w:sz w:val="23"/>
          <w:szCs w:val="23"/>
        </w:rPr>
        <w:t>SS</w:t>
      </w:r>
      <w:r>
        <w:rPr>
          <w:rFonts w:ascii="宋体" w:hAnsi="宋体" w:eastAsia="宋体" w:cs="宋体"/>
          <w:spacing w:val="3"/>
          <w:sz w:val="23"/>
          <w:szCs w:val="23"/>
        </w:rPr>
        <w:t xml:space="preserve">，环评要求修建简易临时沉淀池 </w:t>
      </w:r>
      <w:r>
        <w:rPr>
          <w:rFonts w:ascii="Times New Roman" w:hAnsi="Times New Roman" w:eastAsia="Times New Roman" w:cs="Times New Roman"/>
          <w:spacing w:val="3"/>
          <w:sz w:val="23"/>
          <w:szCs w:val="23"/>
        </w:rPr>
        <w:t xml:space="preserve">1 </w:t>
      </w:r>
      <w:r>
        <w:rPr>
          <w:rFonts w:ascii="宋体" w:hAnsi="宋体" w:eastAsia="宋体" w:cs="宋体"/>
          <w:spacing w:val="3"/>
          <w:sz w:val="23"/>
          <w:szCs w:val="23"/>
        </w:rPr>
        <w:t>个，</w:t>
      </w:r>
      <w:r>
        <w:rPr>
          <w:rFonts w:ascii="宋体" w:hAnsi="宋体" w:eastAsia="宋体" w:cs="宋体"/>
          <w:sz w:val="23"/>
          <w:szCs w:val="23"/>
        </w:rPr>
        <w:t xml:space="preserve"> </w:t>
      </w:r>
      <w:r>
        <w:rPr>
          <w:rFonts w:ascii="宋体" w:hAnsi="宋体" w:eastAsia="宋体" w:cs="宋体"/>
          <w:spacing w:val="18"/>
          <w:sz w:val="23"/>
          <w:szCs w:val="23"/>
        </w:rPr>
        <w:t>用</w:t>
      </w:r>
      <w:r>
        <w:rPr>
          <w:rFonts w:ascii="宋体" w:hAnsi="宋体" w:eastAsia="宋体" w:cs="宋体"/>
          <w:spacing w:val="11"/>
          <w:sz w:val="23"/>
          <w:szCs w:val="23"/>
        </w:rPr>
        <w:t>水</w:t>
      </w:r>
      <w:r>
        <w:rPr>
          <w:rFonts w:ascii="宋体" w:hAnsi="宋体" w:eastAsia="宋体" w:cs="宋体"/>
          <w:spacing w:val="9"/>
          <w:sz w:val="23"/>
          <w:szCs w:val="23"/>
        </w:rPr>
        <w:t>收集处理施工废水，经沉淀处理后的施工废水用于洒水抑尘，不外排。</w:t>
      </w:r>
    </w:p>
    <w:p w14:paraId="13674DB6">
      <w:pPr>
        <w:spacing w:before="2" w:line="374" w:lineRule="auto"/>
        <w:ind w:left="13" w:firstLine="476"/>
        <w:rPr>
          <w:rFonts w:ascii="宋体" w:hAnsi="宋体" w:eastAsia="宋体" w:cs="宋体"/>
          <w:sz w:val="23"/>
          <w:szCs w:val="23"/>
        </w:rPr>
      </w:pPr>
      <w:r>
        <w:rPr>
          <w:rFonts w:ascii="宋体" w:hAnsi="宋体" w:eastAsia="宋体" w:cs="宋体"/>
          <w:spacing w:val="10"/>
          <w:sz w:val="23"/>
          <w:szCs w:val="23"/>
          <w14:textOutline w14:w="4356" w14:cap="sq" w14:cmpd="sng" w14:algn="ctr">
            <w14:solidFill>
              <w14:srgbClr w14:val="000000"/>
            </w14:solidFill>
            <w14:prstDash w14:val="solid"/>
            <w14:bevel/>
          </w14:textOutline>
        </w:rPr>
        <w:t>施工人</w:t>
      </w:r>
      <w:r>
        <w:rPr>
          <w:rFonts w:ascii="宋体" w:hAnsi="宋体" w:eastAsia="宋体" w:cs="宋体"/>
          <w:spacing w:val="8"/>
          <w:sz w:val="23"/>
          <w:szCs w:val="23"/>
          <w14:textOutline w14:w="4356" w14:cap="sq" w14:cmpd="sng" w14:algn="ctr">
            <w14:solidFill>
              <w14:srgbClr w14:val="000000"/>
            </w14:solidFill>
            <w14:prstDash w14:val="solid"/>
            <w14:bevel/>
          </w14:textOutline>
        </w:rPr>
        <w:t>员</w:t>
      </w:r>
      <w:r>
        <w:rPr>
          <w:rFonts w:ascii="宋体" w:hAnsi="宋体" w:eastAsia="宋体" w:cs="宋体"/>
          <w:spacing w:val="5"/>
          <w:sz w:val="23"/>
          <w:szCs w:val="23"/>
          <w14:textOutline w14:w="4356" w14:cap="sq" w14:cmpd="sng" w14:algn="ctr">
            <w14:solidFill>
              <w14:srgbClr w14:val="000000"/>
            </w14:solidFill>
            <w14:prstDash w14:val="solid"/>
            <w14:bevel/>
          </w14:textOutline>
        </w:rPr>
        <w:t>生活污水：</w:t>
      </w:r>
      <w:r>
        <w:rPr>
          <w:rFonts w:ascii="宋体" w:hAnsi="宋体" w:eastAsia="宋体" w:cs="宋体"/>
          <w:spacing w:val="5"/>
          <w:sz w:val="23"/>
          <w:szCs w:val="23"/>
        </w:rPr>
        <w:t xml:space="preserve">评价要求施工前修建预处理池 </w:t>
      </w:r>
      <w:r>
        <w:rPr>
          <w:rFonts w:ascii="Times New Roman" w:hAnsi="Times New Roman" w:eastAsia="Times New Roman" w:cs="Times New Roman"/>
          <w:spacing w:val="5"/>
          <w:sz w:val="23"/>
          <w:szCs w:val="23"/>
        </w:rPr>
        <w:t xml:space="preserve">1 </w:t>
      </w:r>
      <w:r>
        <w:rPr>
          <w:rFonts w:ascii="宋体" w:hAnsi="宋体" w:eastAsia="宋体" w:cs="宋体"/>
          <w:spacing w:val="5"/>
          <w:sz w:val="23"/>
          <w:szCs w:val="23"/>
        </w:rPr>
        <w:t>座，施工人员生活污水采用该预处</w:t>
      </w:r>
      <w:r>
        <w:rPr>
          <w:rFonts w:ascii="宋体" w:hAnsi="宋体" w:eastAsia="宋体" w:cs="宋体"/>
          <w:sz w:val="23"/>
          <w:szCs w:val="23"/>
        </w:rPr>
        <w:t xml:space="preserve"> </w:t>
      </w:r>
      <w:r>
        <w:rPr>
          <w:rFonts w:ascii="宋体" w:hAnsi="宋体" w:eastAsia="宋体" w:cs="宋体"/>
          <w:spacing w:val="6"/>
          <w:sz w:val="23"/>
          <w:szCs w:val="23"/>
        </w:rPr>
        <w:t>理处理</w:t>
      </w:r>
      <w:r>
        <w:rPr>
          <w:rFonts w:ascii="宋体" w:hAnsi="宋体" w:eastAsia="宋体" w:cs="宋体"/>
          <w:spacing w:val="5"/>
          <w:sz w:val="23"/>
          <w:szCs w:val="23"/>
        </w:rPr>
        <w:t>后</w:t>
      </w:r>
      <w:r>
        <w:rPr>
          <w:rFonts w:ascii="宋体" w:hAnsi="宋体" w:eastAsia="宋体" w:cs="宋体"/>
          <w:spacing w:val="3"/>
          <w:sz w:val="23"/>
          <w:szCs w:val="23"/>
        </w:rPr>
        <w:t>运至附近农田施肥，不外排。该预处理池施工完成后可用于运营期生活污水的处理。</w:t>
      </w:r>
    </w:p>
    <w:p w14:paraId="7D1CEE8B">
      <w:pPr>
        <w:spacing w:line="228" w:lineRule="auto"/>
        <w:ind w:left="4"/>
        <w:outlineLvl w:val="3"/>
        <w:rPr>
          <w:rFonts w:ascii="宋体" w:hAnsi="宋体" w:eastAsia="宋体" w:cs="宋体"/>
          <w:sz w:val="23"/>
          <w:szCs w:val="23"/>
        </w:rPr>
      </w:pPr>
      <w:r>
        <w:rPr>
          <w:rFonts w:ascii="Times New Roman" w:hAnsi="Times New Roman" w:eastAsia="Times New Roman" w:cs="Times New Roman"/>
          <w:b/>
          <w:bCs/>
          <w:spacing w:val="27"/>
          <w:sz w:val="23"/>
          <w:szCs w:val="23"/>
        </w:rPr>
        <w:t>3</w:t>
      </w:r>
      <w:r>
        <w:rPr>
          <w:rFonts w:ascii="Times New Roman" w:hAnsi="Times New Roman" w:eastAsia="Times New Roman" w:cs="Times New Roman"/>
          <w:b/>
          <w:bCs/>
          <w:spacing w:val="19"/>
          <w:sz w:val="23"/>
          <w:szCs w:val="23"/>
        </w:rPr>
        <w:t>.2.3.3</w:t>
      </w:r>
      <w:r>
        <w:rPr>
          <w:rFonts w:ascii="Times New Roman" w:hAnsi="Times New Roman" w:eastAsia="Times New Roman" w:cs="Times New Roman"/>
          <w:spacing w:val="19"/>
          <w:sz w:val="23"/>
          <w:szCs w:val="23"/>
        </w:rPr>
        <w:t xml:space="preserve">  </w:t>
      </w:r>
      <w:r>
        <w:rPr>
          <w:rFonts w:ascii="宋体" w:hAnsi="宋体" w:eastAsia="宋体" w:cs="宋体"/>
          <w:spacing w:val="19"/>
          <w:sz w:val="23"/>
          <w:szCs w:val="23"/>
          <w14:textOutline w14:w="4356" w14:cap="sq" w14:cmpd="sng" w14:algn="ctr">
            <w14:solidFill>
              <w14:srgbClr w14:val="000000"/>
            </w14:solidFill>
            <w14:prstDash w14:val="solid"/>
            <w14:bevel/>
          </w14:textOutline>
        </w:rPr>
        <w:t>施工期噪声污染</w:t>
      </w:r>
    </w:p>
    <w:p w14:paraId="59F849DF">
      <w:pPr>
        <w:spacing w:before="184" w:line="228" w:lineRule="auto"/>
        <w:ind w:left="501"/>
        <w:rPr>
          <w:rFonts w:ascii="宋体" w:hAnsi="宋体" w:eastAsia="宋体" w:cs="宋体"/>
          <w:sz w:val="23"/>
          <w:szCs w:val="23"/>
        </w:rPr>
      </w:pP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9"/>
          <w:sz w:val="23"/>
          <w:szCs w:val="23"/>
        </w:rPr>
        <w:t>1</w:t>
      </w: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宋体" w:hAnsi="宋体" w:eastAsia="宋体" w:cs="宋体"/>
          <w:spacing w:val="19"/>
          <w:sz w:val="23"/>
          <w:szCs w:val="23"/>
        </w:rPr>
        <w:t xml:space="preserve"> </w:t>
      </w:r>
      <w:r>
        <w:rPr>
          <w:rFonts w:ascii="宋体" w:hAnsi="宋体" w:eastAsia="宋体" w:cs="宋体"/>
          <w:spacing w:val="19"/>
          <w:sz w:val="23"/>
          <w:szCs w:val="23"/>
          <w14:textOutline w14:w="4356" w14:cap="sq" w14:cmpd="sng" w14:algn="ctr">
            <w14:solidFill>
              <w14:srgbClr w14:val="000000"/>
            </w14:solidFill>
            <w14:prstDash w14:val="solid"/>
            <w14:bevel/>
          </w14:textOutline>
        </w:rPr>
        <w:t>污染源分析</w:t>
      </w:r>
    </w:p>
    <w:p w14:paraId="2536E820">
      <w:pPr>
        <w:spacing w:before="181" w:line="375" w:lineRule="auto"/>
        <w:ind w:left="9" w:right="80" w:firstLine="480"/>
        <w:rPr>
          <w:rFonts w:ascii="宋体" w:hAnsi="宋体" w:eastAsia="宋体" w:cs="宋体"/>
          <w:sz w:val="23"/>
          <w:szCs w:val="23"/>
        </w:rPr>
      </w:pPr>
      <w:r>
        <w:rPr>
          <w:rFonts w:ascii="宋体" w:hAnsi="宋体" w:eastAsia="宋体" w:cs="宋体"/>
          <w:spacing w:val="9"/>
          <w:sz w:val="23"/>
          <w:szCs w:val="23"/>
        </w:rPr>
        <w:t>施</w:t>
      </w:r>
      <w:r>
        <w:rPr>
          <w:rFonts w:ascii="宋体" w:hAnsi="宋体" w:eastAsia="宋体" w:cs="宋体"/>
          <w:spacing w:val="7"/>
          <w:sz w:val="23"/>
          <w:szCs w:val="23"/>
        </w:rPr>
        <w:t>工期噪声是本项目主要的环境影响因子之一，主要可分为机械噪声、施工作业噪声和</w:t>
      </w:r>
      <w:r>
        <w:rPr>
          <w:rFonts w:ascii="宋体" w:hAnsi="宋体" w:eastAsia="宋体" w:cs="宋体"/>
          <w:sz w:val="23"/>
          <w:szCs w:val="23"/>
        </w:rPr>
        <w:t xml:space="preserve"> </w:t>
      </w:r>
      <w:r>
        <w:rPr>
          <w:rFonts w:ascii="宋体" w:hAnsi="宋体" w:eastAsia="宋体" w:cs="宋体"/>
          <w:spacing w:val="14"/>
          <w:sz w:val="23"/>
          <w:szCs w:val="23"/>
        </w:rPr>
        <w:t>施</w:t>
      </w:r>
      <w:r>
        <w:rPr>
          <w:rFonts w:ascii="宋体" w:hAnsi="宋体" w:eastAsia="宋体" w:cs="宋体"/>
          <w:spacing w:val="8"/>
          <w:sz w:val="23"/>
          <w:szCs w:val="23"/>
        </w:rPr>
        <w:t>工</w:t>
      </w:r>
      <w:r>
        <w:rPr>
          <w:rFonts w:ascii="宋体" w:hAnsi="宋体" w:eastAsia="宋体" w:cs="宋体"/>
          <w:spacing w:val="7"/>
          <w:sz w:val="23"/>
          <w:szCs w:val="23"/>
        </w:rPr>
        <w:t>车辆噪声。机械噪声主要由施工机械所造成，多为点声源；施工作业噪声主要指一些零</w:t>
      </w:r>
      <w:r>
        <w:rPr>
          <w:rFonts w:ascii="宋体" w:hAnsi="宋体" w:eastAsia="宋体" w:cs="宋体"/>
          <w:sz w:val="23"/>
          <w:szCs w:val="23"/>
        </w:rPr>
        <w:t xml:space="preserve"> </w:t>
      </w:r>
      <w:r>
        <w:rPr>
          <w:rFonts w:ascii="宋体" w:hAnsi="宋体" w:eastAsia="宋体" w:cs="宋体"/>
          <w:spacing w:val="14"/>
          <w:sz w:val="23"/>
          <w:szCs w:val="23"/>
        </w:rPr>
        <w:t>星</w:t>
      </w:r>
      <w:r>
        <w:rPr>
          <w:rFonts w:ascii="宋体" w:hAnsi="宋体" w:eastAsia="宋体" w:cs="宋体"/>
          <w:spacing w:val="8"/>
          <w:sz w:val="23"/>
          <w:szCs w:val="23"/>
        </w:rPr>
        <w:t>的</w:t>
      </w:r>
      <w:r>
        <w:rPr>
          <w:rFonts w:ascii="宋体" w:hAnsi="宋体" w:eastAsia="宋体" w:cs="宋体"/>
          <w:spacing w:val="7"/>
          <w:sz w:val="23"/>
          <w:szCs w:val="23"/>
        </w:rPr>
        <w:t>敲打声、装卸车辆的撞击声、拆装模板的撞击声等，多为瞬间噪声，施工车辆的噪声属</w:t>
      </w:r>
      <w:r>
        <w:rPr>
          <w:rFonts w:ascii="宋体" w:hAnsi="宋体" w:eastAsia="宋体" w:cs="宋体"/>
          <w:sz w:val="23"/>
          <w:szCs w:val="23"/>
        </w:rPr>
        <w:t xml:space="preserve"> </w:t>
      </w:r>
      <w:r>
        <w:rPr>
          <w:rFonts w:ascii="宋体" w:hAnsi="宋体" w:eastAsia="宋体" w:cs="宋体"/>
          <w:spacing w:val="14"/>
          <w:sz w:val="23"/>
          <w:szCs w:val="23"/>
        </w:rPr>
        <w:t>于</w:t>
      </w:r>
      <w:r>
        <w:rPr>
          <w:rFonts w:ascii="宋体" w:hAnsi="宋体" w:eastAsia="宋体" w:cs="宋体"/>
          <w:spacing w:val="8"/>
          <w:sz w:val="23"/>
          <w:szCs w:val="23"/>
        </w:rPr>
        <w:t>交</w:t>
      </w:r>
      <w:r>
        <w:rPr>
          <w:rFonts w:ascii="宋体" w:hAnsi="宋体" w:eastAsia="宋体" w:cs="宋体"/>
          <w:spacing w:val="7"/>
          <w:sz w:val="23"/>
          <w:szCs w:val="23"/>
        </w:rPr>
        <w:t>通噪声。不同施工阶段和不同施工机械发出的噪声水平是不同的，且有大量设备交互作</w:t>
      </w:r>
      <w:r>
        <w:rPr>
          <w:rFonts w:ascii="宋体" w:hAnsi="宋体" w:eastAsia="宋体" w:cs="宋体"/>
          <w:sz w:val="23"/>
          <w:szCs w:val="23"/>
        </w:rPr>
        <w:t xml:space="preserve"> </w:t>
      </w:r>
      <w:r>
        <w:rPr>
          <w:rFonts w:ascii="宋体" w:hAnsi="宋体" w:eastAsia="宋体" w:cs="宋体"/>
          <w:spacing w:val="18"/>
          <w:sz w:val="23"/>
          <w:szCs w:val="23"/>
        </w:rPr>
        <w:t>业，</w:t>
      </w:r>
      <w:r>
        <w:rPr>
          <w:rFonts w:ascii="宋体" w:hAnsi="宋体" w:eastAsia="宋体" w:cs="宋体"/>
          <w:spacing w:val="9"/>
          <w:sz w:val="23"/>
          <w:szCs w:val="23"/>
        </w:rPr>
        <w:t>因此施工作业噪声将会对施工场地内、外环境带来一定的影响。噪声源主要为：</w:t>
      </w:r>
    </w:p>
    <w:p w14:paraId="4673CD9F">
      <w:pPr>
        <w:spacing w:line="372" w:lineRule="auto"/>
        <w:ind w:left="14" w:right="80" w:firstLine="475"/>
        <w:rPr>
          <w:rFonts w:ascii="宋体" w:hAnsi="宋体" w:eastAsia="宋体" w:cs="宋体"/>
          <w:sz w:val="23"/>
          <w:szCs w:val="23"/>
        </w:rPr>
      </w:pPr>
      <w:r>
        <w:rPr>
          <w:rFonts w:ascii="宋体" w:hAnsi="宋体" w:eastAsia="宋体" w:cs="宋体"/>
          <w:spacing w:val="9"/>
          <w:sz w:val="23"/>
          <w:szCs w:val="23"/>
        </w:rPr>
        <w:t>①</w:t>
      </w:r>
      <w:r>
        <w:rPr>
          <w:rFonts w:ascii="宋体" w:hAnsi="宋体" w:eastAsia="宋体" w:cs="宋体"/>
          <w:spacing w:val="7"/>
          <w:sz w:val="23"/>
          <w:szCs w:val="23"/>
        </w:rPr>
        <w:t>土石方挖掘机、基础施工工序使用的塔吊，钢筋加工时使用的冲击机、压缩机等机械</w:t>
      </w:r>
      <w:r>
        <w:rPr>
          <w:rFonts w:ascii="宋体" w:hAnsi="宋体" w:eastAsia="宋体" w:cs="宋体"/>
          <w:sz w:val="23"/>
          <w:szCs w:val="23"/>
        </w:rPr>
        <w:t xml:space="preserve"> </w:t>
      </w:r>
      <w:r>
        <w:rPr>
          <w:rFonts w:ascii="宋体" w:hAnsi="宋体" w:eastAsia="宋体" w:cs="宋体"/>
          <w:spacing w:val="9"/>
          <w:sz w:val="23"/>
          <w:szCs w:val="23"/>
        </w:rPr>
        <w:t>设</w:t>
      </w:r>
      <w:r>
        <w:rPr>
          <w:rFonts w:ascii="宋体" w:hAnsi="宋体" w:eastAsia="宋体" w:cs="宋体"/>
          <w:spacing w:val="8"/>
          <w:sz w:val="23"/>
          <w:szCs w:val="23"/>
        </w:rPr>
        <w:t xml:space="preserve">备及运输车辆产生的噪声，声级值数 </w:t>
      </w:r>
      <w:r>
        <w:rPr>
          <w:rFonts w:ascii="Times New Roman" w:hAnsi="Times New Roman" w:eastAsia="Times New Roman" w:cs="Times New Roman"/>
          <w:spacing w:val="8"/>
          <w:sz w:val="23"/>
          <w:szCs w:val="23"/>
        </w:rPr>
        <w:t>75~95</w:t>
      </w:r>
      <w:r>
        <w:rPr>
          <w:rFonts w:ascii="Times New Roman" w:hAnsi="Times New Roman" w:eastAsia="Times New Roman" w:cs="Times New Roman"/>
          <w:sz w:val="23"/>
          <w:szCs w:val="23"/>
        </w:rPr>
        <w:t>dB</w:t>
      </w:r>
      <w:r>
        <w:rPr>
          <w:rFonts w:ascii="Times New Roman" w:hAnsi="Times New Roman" w:eastAsia="Times New Roman" w:cs="Times New Roman"/>
          <w:spacing w:val="8"/>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8"/>
          <w:sz w:val="23"/>
          <w:szCs w:val="23"/>
        </w:rPr>
        <w:t>)</w:t>
      </w:r>
      <w:r>
        <w:rPr>
          <w:rFonts w:ascii="宋体" w:hAnsi="宋体" w:eastAsia="宋体" w:cs="宋体"/>
          <w:spacing w:val="8"/>
          <w:sz w:val="23"/>
          <w:szCs w:val="23"/>
        </w:rPr>
        <w:t>。</w:t>
      </w:r>
    </w:p>
    <w:p w14:paraId="63A416DD">
      <w:pPr>
        <w:spacing w:before="7" w:line="372" w:lineRule="auto"/>
        <w:ind w:left="12" w:right="82" w:firstLine="476"/>
        <w:rPr>
          <w:rFonts w:ascii="宋体" w:hAnsi="宋体" w:eastAsia="宋体" w:cs="宋体"/>
          <w:sz w:val="23"/>
          <w:szCs w:val="23"/>
        </w:rPr>
      </w:pPr>
      <w:r>
        <w:rPr>
          <w:rFonts w:ascii="宋体" w:hAnsi="宋体" w:eastAsia="宋体" w:cs="宋体"/>
          <w:spacing w:val="7"/>
          <w:sz w:val="23"/>
          <w:szCs w:val="23"/>
        </w:rPr>
        <w:t>②板、梁、柱浇筑时，使用的混凝土输送泵、振捣碾，钢筋加工使用的电锯、  电焊</w:t>
      </w:r>
      <w:r>
        <w:rPr>
          <w:rFonts w:ascii="宋体" w:hAnsi="宋体" w:eastAsia="宋体" w:cs="宋体"/>
          <w:sz w:val="23"/>
          <w:szCs w:val="23"/>
        </w:rPr>
        <w:t xml:space="preserve">机 </w:t>
      </w:r>
      <w:r>
        <w:rPr>
          <w:rFonts w:ascii="宋体" w:hAnsi="宋体" w:eastAsia="宋体" w:cs="宋体"/>
          <w:spacing w:val="6"/>
          <w:sz w:val="23"/>
          <w:szCs w:val="23"/>
        </w:rPr>
        <w:t xml:space="preserve">等设备及运输车辆产生的噪声，声级值约 </w:t>
      </w:r>
      <w:r>
        <w:rPr>
          <w:rFonts w:ascii="Times New Roman" w:hAnsi="Times New Roman" w:eastAsia="Times New Roman" w:cs="Times New Roman"/>
          <w:spacing w:val="6"/>
          <w:sz w:val="23"/>
          <w:szCs w:val="23"/>
        </w:rPr>
        <w:t>80~ 105</w:t>
      </w:r>
      <w:r>
        <w:rPr>
          <w:rFonts w:ascii="Times New Roman" w:hAnsi="Times New Roman" w:eastAsia="Times New Roman" w:cs="Times New Roman"/>
          <w:sz w:val="23"/>
          <w:szCs w:val="23"/>
        </w:rPr>
        <w:t>dB</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6"/>
          <w:sz w:val="23"/>
          <w:szCs w:val="23"/>
        </w:rPr>
        <w:t>)</w:t>
      </w:r>
      <w:r>
        <w:rPr>
          <w:rFonts w:ascii="宋体" w:hAnsi="宋体" w:eastAsia="宋体" w:cs="宋体"/>
          <w:sz w:val="23"/>
          <w:szCs w:val="23"/>
        </w:rPr>
        <w:t>。</w:t>
      </w:r>
    </w:p>
    <w:p w14:paraId="290E0EC7">
      <w:pPr>
        <w:spacing w:before="6" w:line="422" w:lineRule="exact"/>
        <w:ind w:left="488"/>
        <w:rPr>
          <w:rFonts w:ascii="宋体" w:hAnsi="宋体" w:eastAsia="宋体" w:cs="宋体"/>
          <w:sz w:val="23"/>
          <w:szCs w:val="23"/>
        </w:rPr>
      </w:pPr>
      <w:r>
        <w:rPr>
          <w:rFonts w:ascii="宋体" w:hAnsi="宋体" w:eastAsia="宋体" w:cs="宋体"/>
          <w:spacing w:val="12"/>
          <w:position w:val="14"/>
          <w:sz w:val="23"/>
          <w:szCs w:val="23"/>
        </w:rPr>
        <w:t>③</w:t>
      </w:r>
      <w:r>
        <w:rPr>
          <w:rFonts w:ascii="宋体" w:hAnsi="宋体" w:eastAsia="宋体" w:cs="宋体"/>
          <w:spacing w:val="7"/>
          <w:position w:val="14"/>
          <w:sz w:val="23"/>
          <w:szCs w:val="23"/>
        </w:rPr>
        <w:t>隔间、装修安装时，电钻、电锤、手工钻、无齿锯等设备的使用将会产生噪声，声级</w:t>
      </w:r>
    </w:p>
    <w:p w14:paraId="1B59B0C0">
      <w:pPr>
        <w:spacing w:line="323" w:lineRule="exact"/>
        <w:ind w:left="10"/>
        <w:rPr>
          <w:rFonts w:ascii="宋体" w:hAnsi="宋体" w:eastAsia="宋体" w:cs="宋体"/>
          <w:sz w:val="23"/>
          <w:szCs w:val="23"/>
        </w:rPr>
      </w:pPr>
      <w:r>
        <w:rPr>
          <w:rFonts w:ascii="宋体" w:hAnsi="宋体" w:eastAsia="宋体" w:cs="宋体"/>
          <w:spacing w:val="-4"/>
          <w:position w:val="3"/>
          <w:sz w:val="23"/>
          <w:szCs w:val="23"/>
        </w:rPr>
        <w:t xml:space="preserve">值 </w:t>
      </w:r>
      <w:r>
        <w:rPr>
          <w:rFonts w:ascii="Times New Roman" w:hAnsi="Times New Roman" w:eastAsia="Times New Roman" w:cs="Times New Roman"/>
          <w:spacing w:val="-4"/>
          <w:position w:val="3"/>
          <w:sz w:val="23"/>
          <w:szCs w:val="23"/>
        </w:rPr>
        <w:t>90~ 105dB(A)</w:t>
      </w:r>
      <w:r>
        <w:rPr>
          <w:rFonts w:ascii="宋体" w:hAnsi="宋体" w:eastAsia="宋体" w:cs="宋体"/>
          <w:spacing w:val="-4"/>
          <w:position w:val="3"/>
          <w:sz w:val="23"/>
          <w:szCs w:val="23"/>
        </w:rPr>
        <w:t>。</w:t>
      </w:r>
    </w:p>
    <w:p w14:paraId="5ADE8207">
      <w:pPr>
        <w:spacing w:before="143" w:line="387" w:lineRule="auto"/>
        <w:ind w:left="609" w:right="333" w:hanging="121"/>
        <w:rPr>
          <w:rFonts w:ascii="宋体" w:hAnsi="宋体" w:eastAsia="宋体" w:cs="宋体"/>
          <w:sz w:val="23"/>
          <w:szCs w:val="23"/>
        </w:rPr>
      </w:pPr>
      <w:r>
        <w:rPr>
          <w:rFonts w:ascii="宋体" w:hAnsi="宋体" w:eastAsia="宋体" w:cs="宋体"/>
          <w:spacing w:val="12"/>
          <w:sz w:val="23"/>
          <w:szCs w:val="23"/>
        </w:rPr>
        <w:t>④以</w:t>
      </w:r>
      <w:r>
        <w:rPr>
          <w:rFonts w:ascii="宋体" w:hAnsi="宋体" w:eastAsia="宋体" w:cs="宋体"/>
          <w:spacing w:val="10"/>
          <w:sz w:val="23"/>
          <w:szCs w:val="23"/>
        </w:rPr>
        <w:t>及</w:t>
      </w:r>
      <w:r>
        <w:rPr>
          <w:rFonts w:ascii="宋体" w:hAnsi="宋体" w:eastAsia="宋体" w:cs="宋体"/>
          <w:spacing w:val="6"/>
          <w:sz w:val="23"/>
          <w:szCs w:val="23"/>
        </w:rPr>
        <w:t xml:space="preserve">施工过程中运输车辆的使用将会产生交通噪声，声级在 </w:t>
      </w:r>
      <w:r>
        <w:rPr>
          <w:rFonts w:ascii="Times New Roman" w:hAnsi="Times New Roman" w:eastAsia="Times New Roman" w:cs="Times New Roman"/>
          <w:spacing w:val="6"/>
          <w:sz w:val="23"/>
          <w:szCs w:val="23"/>
        </w:rPr>
        <w:t>75~89</w:t>
      </w:r>
      <w:r>
        <w:rPr>
          <w:rFonts w:ascii="Times New Roman" w:hAnsi="Times New Roman" w:eastAsia="Times New Roman" w:cs="Times New Roman"/>
          <w:sz w:val="23"/>
          <w:szCs w:val="23"/>
        </w:rPr>
        <w:t>dB</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w:t>
      </w:r>
      <w:r>
        <w:rPr>
          <w:rFonts w:ascii="Times New Roman" w:hAnsi="Times New Roman" w:eastAsia="Times New Roman" w:cs="Times New Roman"/>
          <w:sz w:val="23"/>
          <w:szCs w:val="23"/>
        </w:rPr>
        <w:t>A</w:t>
      </w:r>
      <w:r>
        <w:rPr>
          <w:rFonts w:ascii="宋体" w:hAnsi="宋体" w:eastAsia="宋体" w:cs="宋体"/>
          <w:spacing w:val="6"/>
          <w:sz w:val="23"/>
          <w:szCs w:val="23"/>
        </w:rPr>
        <w:t>) 之间。</w:t>
      </w:r>
      <w:r>
        <w:rPr>
          <w:rFonts w:ascii="宋体" w:hAnsi="宋体" w:eastAsia="宋体" w:cs="宋体"/>
          <w:sz w:val="23"/>
          <w:szCs w:val="23"/>
        </w:rPr>
        <w:t xml:space="preserve"> </w:t>
      </w:r>
      <w:r>
        <w:rPr>
          <w:rFonts w:ascii="宋体" w:hAnsi="宋体" w:eastAsia="宋体" w:cs="宋体"/>
          <w:spacing w:val="18"/>
          <w:sz w:val="23"/>
          <w:szCs w:val="23"/>
        </w:rPr>
        <w:t>根</w:t>
      </w:r>
      <w:r>
        <w:rPr>
          <w:rFonts w:ascii="宋体" w:hAnsi="宋体" w:eastAsia="宋体" w:cs="宋体"/>
          <w:spacing w:val="10"/>
          <w:sz w:val="23"/>
          <w:szCs w:val="23"/>
        </w:rPr>
        <w:t>据</w:t>
      </w:r>
      <w:r>
        <w:rPr>
          <w:rFonts w:ascii="宋体" w:hAnsi="宋体" w:eastAsia="宋体" w:cs="宋体"/>
          <w:spacing w:val="9"/>
          <w:sz w:val="23"/>
          <w:szCs w:val="23"/>
        </w:rPr>
        <w:t>施工量，按经验计算各施工阶段的昼夜的主要噪声声源见下表：</w:t>
      </w:r>
    </w:p>
    <w:p w14:paraId="252F1CF0">
      <w:pPr>
        <w:sectPr>
          <w:headerReference r:id="rId90" w:type="default"/>
          <w:footerReference r:id="rId91" w:type="default"/>
          <w:pgSz w:w="11907" w:h="16840"/>
          <w:pgMar w:top="829" w:right="1053" w:bottom="1139" w:left="1275" w:header="595" w:footer="953" w:gutter="0"/>
          <w:cols w:space="720" w:num="1"/>
        </w:sectPr>
      </w:pPr>
    </w:p>
    <w:p w14:paraId="1B75E73A">
      <w:pPr>
        <w:spacing w:before="146" w:line="221" w:lineRule="auto"/>
        <w:ind w:left="3270"/>
        <w:rPr>
          <w:rFonts w:ascii="黑体" w:hAnsi="黑体" w:eastAsia="黑体" w:cs="黑体"/>
          <w:sz w:val="23"/>
          <w:szCs w:val="23"/>
        </w:rPr>
      </w:pPr>
      <w:r>
        <w:rPr>
          <w:rFonts w:ascii="黑体" w:hAnsi="黑体" w:eastAsia="黑体" w:cs="黑体"/>
          <w:spacing w:val="1"/>
          <w:sz w:val="23"/>
          <w:szCs w:val="23"/>
        </w:rPr>
        <w:t xml:space="preserve">表 </w:t>
      </w:r>
      <w:r>
        <w:rPr>
          <w:rFonts w:ascii="Times New Roman" w:hAnsi="Times New Roman" w:eastAsia="Times New Roman" w:cs="Times New Roman"/>
          <w:spacing w:val="1"/>
          <w:sz w:val="23"/>
          <w:szCs w:val="23"/>
        </w:rPr>
        <w:t>3.</w:t>
      </w:r>
      <w:r>
        <w:rPr>
          <w:rFonts w:ascii="Times New Roman" w:hAnsi="Times New Roman" w:eastAsia="Times New Roman" w:cs="Times New Roman"/>
          <w:sz w:val="23"/>
          <w:szCs w:val="23"/>
        </w:rPr>
        <w:t xml:space="preserve">2- 1        </w:t>
      </w:r>
      <w:r>
        <w:rPr>
          <w:rFonts w:ascii="黑体" w:hAnsi="黑体" w:eastAsia="黑体" w:cs="黑体"/>
          <w:sz w:val="23"/>
          <w:szCs w:val="23"/>
        </w:rPr>
        <w:t>交通运输车辆噪声</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08"/>
        <w:gridCol w:w="2905"/>
        <w:gridCol w:w="2442"/>
        <w:gridCol w:w="2057"/>
      </w:tblGrid>
      <w:tr w14:paraId="64EC4A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trPr>
        <w:tc>
          <w:tcPr>
            <w:tcW w:w="2308" w:type="dxa"/>
            <w:tcBorders>
              <w:left w:val="nil"/>
              <w:right w:val="single" w:color="000000" w:sz="4" w:space="0"/>
            </w:tcBorders>
          </w:tcPr>
          <w:p w14:paraId="15344CDA">
            <w:pPr>
              <w:spacing w:before="120" w:line="229" w:lineRule="auto"/>
              <w:ind w:left="740"/>
              <w:rPr>
                <w:rFonts w:ascii="宋体" w:hAnsi="宋体" w:eastAsia="宋体" w:cs="宋体"/>
                <w:sz w:val="20"/>
                <w:szCs w:val="20"/>
              </w:rPr>
            </w:pPr>
            <w:r>
              <w:rPr>
                <w:rFonts w:ascii="宋体" w:hAnsi="宋体" w:eastAsia="宋体" w:cs="宋体"/>
                <w:spacing w:val="9"/>
                <w:sz w:val="20"/>
                <w:szCs w:val="20"/>
              </w:rPr>
              <w:t>施</w:t>
            </w:r>
            <w:r>
              <w:rPr>
                <w:rFonts w:ascii="宋体" w:hAnsi="宋体" w:eastAsia="宋体" w:cs="宋体"/>
                <w:spacing w:val="7"/>
                <w:sz w:val="20"/>
                <w:szCs w:val="20"/>
              </w:rPr>
              <w:t>工阶段</w:t>
            </w:r>
          </w:p>
        </w:tc>
        <w:tc>
          <w:tcPr>
            <w:tcW w:w="2905" w:type="dxa"/>
            <w:tcBorders>
              <w:left w:val="single" w:color="000000" w:sz="4" w:space="0"/>
              <w:right w:val="single" w:color="000000" w:sz="4" w:space="0"/>
            </w:tcBorders>
          </w:tcPr>
          <w:p w14:paraId="12750431">
            <w:pPr>
              <w:spacing w:before="120" w:line="228" w:lineRule="auto"/>
              <w:ind w:left="1034"/>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运</w:t>
            </w:r>
            <w:r>
              <w:rPr>
                <w:rFonts w:ascii="宋体" w:hAnsi="宋体" w:eastAsia="宋体" w:cs="宋体"/>
                <w:spacing w:val="8"/>
                <w:sz w:val="20"/>
                <w:szCs w:val="20"/>
                <w14:textOutline w14:w="3797" w14:cap="sq" w14:cmpd="sng" w14:algn="ctr">
                  <w14:solidFill>
                    <w14:srgbClr w14:val="000000"/>
                  </w14:solidFill>
                  <w14:prstDash w14:val="solid"/>
                  <w14:bevel/>
                </w14:textOutline>
              </w:rPr>
              <w:t>输内容</w:t>
            </w:r>
          </w:p>
        </w:tc>
        <w:tc>
          <w:tcPr>
            <w:tcW w:w="2442" w:type="dxa"/>
            <w:tcBorders>
              <w:left w:val="single" w:color="000000" w:sz="4" w:space="0"/>
              <w:right w:val="single" w:color="000000" w:sz="4" w:space="0"/>
            </w:tcBorders>
          </w:tcPr>
          <w:p w14:paraId="2E2E79BC">
            <w:pPr>
              <w:spacing w:before="120" w:line="228" w:lineRule="auto"/>
              <w:ind w:left="804"/>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车辆类型</w:t>
            </w:r>
          </w:p>
        </w:tc>
        <w:tc>
          <w:tcPr>
            <w:tcW w:w="2057" w:type="dxa"/>
            <w:tcBorders>
              <w:left w:val="single" w:color="000000" w:sz="4" w:space="0"/>
              <w:right w:val="nil"/>
            </w:tcBorders>
          </w:tcPr>
          <w:p w14:paraId="4800E209">
            <w:pPr>
              <w:spacing w:before="79" w:line="289" w:lineRule="exact"/>
              <w:ind w:left="275"/>
              <w:rPr>
                <w:rFonts w:ascii="Times New Roman" w:hAnsi="Times New Roman" w:eastAsia="Times New Roman" w:cs="Times New Roman"/>
                <w:sz w:val="20"/>
                <w:szCs w:val="20"/>
              </w:rPr>
            </w:pPr>
            <w:r>
              <w:rPr>
                <w:rFonts w:ascii="宋体" w:hAnsi="宋体" w:eastAsia="宋体" w:cs="宋体"/>
                <w:spacing w:val="11"/>
                <w:position w:val="2"/>
                <w:sz w:val="20"/>
                <w:szCs w:val="20"/>
                <w14:textOutline w14:w="3797" w14:cap="sq" w14:cmpd="sng" w14:algn="ctr">
                  <w14:solidFill>
                    <w14:srgbClr w14:val="000000"/>
                  </w14:solidFill>
                  <w14:prstDash w14:val="solid"/>
                  <w14:bevel/>
                </w14:textOutline>
              </w:rPr>
              <w:t>声</w:t>
            </w:r>
            <w:r>
              <w:rPr>
                <w:rFonts w:ascii="宋体" w:hAnsi="宋体" w:eastAsia="宋体" w:cs="宋体"/>
                <w:spacing w:val="7"/>
                <w:position w:val="2"/>
                <w:sz w:val="20"/>
                <w:szCs w:val="20"/>
                <w14:textOutline w14:w="3797" w14:cap="sq" w14:cmpd="sng" w14:algn="ctr">
                  <w14:solidFill>
                    <w14:srgbClr w14:val="000000"/>
                  </w14:solidFill>
                  <w14:prstDash w14:val="solid"/>
                  <w14:bevel/>
                </w14:textOutline>
              </w:rPr>
              <w:t>源强度</w:t>
            </w:r>
            <w:r>
              <w:rPr>
                <w:rFonts w:ascii="Times New Roman" w:hAnsi="Times New Roman" w:eastAsia="Times New Roman" w:cs="Times New Roman"/>
                <w:b/>
                <w:bCs/>
                <w:spacing w:val="7"/>
                <w:position w:val="2"/>
                <w:sz w:val="20"/>
                <w:szCs w:val="20"/>
              </w:rPr>
              <w:t>[</w:t>
            </w:r>
            <w:r>
              <w:rPr>
                <w:rFonts w:ascii="Times New Roman" w:hAnsi="Times New Roman" w:eastAsia="Times New Roman" w:cs="Times New Roman"/>
                <w:b/>
                <w:bCs/>
                <w:position w:val="2"/>
                <w:sz w:val="20"/>
                <w:szCs w:val="20"/>
              </w:rPr>
              <w:t>dB</w:t>
            </w:r>
            <w:r>
              <w:rPr>
                <w:rFonts w:ascii="Times New Roman" w:hAnsi="Times New Roman" w:eastAsia="Times New Roman" w:cs="Times New Roman"/>
                <w:b/>
                <w:bCs/>
                <w:spacing w:val="7"/>
                <w:position w:val="2"/>
                <w:sz w:val="20"/>
                <w:szCs w:val="20"/>
              </w:rPr>
              <w:t>(</w:t>
            </w:r>
            <w:r>
              <w:rPr>
                <w:rFonts w:ascii="Times New Roman" w:hAnsi="Times New Roman" w:eastAsia="Times New Roman" w:cs="Times New Roman"/>
                <w:b/>
                <w:bCs/>
                <w:position w:val="2"/>
                <w:sz w:val="20"/>
                <w:szCs w:val="20"/>
              </w:rPr>
              <w:t>A</w:t>
            </w:r>
            <w:r>
              <w:rPr>
                <w:rFonts w:ascii="Times New Roman" w:hAnsi="Times New Roman" w:eastAsia="Times New Roman" w:cs="Times New Roman"/>
                <w:b/>
                <w:bCs/>
                <w:spacing w:val="7"/>
                <w:position w:val="2"/>
                <w:sz w:val="20"/>
                <w:szCs w:val="20"/>
              </w:rPr>
              <w:t>)]</w:t>
            </w:r>
          </w:p>
        </w:tc>
      </w:tr>
      <w:tr w14:paraId="4CFF8A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2308" w:type="dxa"/>
            <w:tcBorders>
              <w:left w:val="nil"/>
              <w:right w:val="single" w:color="000000" w:sz="4" w:space="0"/>
            </w:tcBorders>
          </w:tcPr>
          <w:p w14:paraId="57FB00FB">
            <w:pPr>
              <w:spacing w:before="64" w:line="229" w:lineRule="auto"/>
              <w:ind w:left="321"/>
              <w:rPr>
                <w:rFonts w:ascii="宋体" w:hAnsi="宋体" w:eastAsia="宋体" w:cs="宋体"/>
                <w:sz w:val="20"/>
                <w:szCs w:val="20"/>
              </w:rPr>
            </w:pPr>
            <w:r>
              <w:rPr>
                <w:rFonts w:ascii="宋体" w:hAnsi="宋体" w:eastAsia="宋体" w:cs="宋体"/>
                <w:spacing w:val="12"/>
                <w:sz w:val="20"/>
                <w:szCs w:val="20"/>
              </w:rPr>
              <w:t>土</w:t>
            </w:r>
            <w:r>
              <w:rPr>
                <w:rFonts w:ascii="宋体" w:hAnsi="宋体" w:eastAsia="宋体" w:cs="宋体"/>
                <w:spacing w:val="8"/>
                <w:sz w:val="20"/>
                <w:szCs w:val="20"/>
              </w:rPr>
              <w:t>石方、主体阶段</w:t>
            </w:r>
          </w:p>
        </w:tc>
        <w:tc>
          <w:tcPr>
            <w:tcW w:w="2905" w:type="dxa"/>
            <w:tcBorders>
              <w:left w:val="single" w:color="000000" w:sz="4" w:space="0"/>
              <w:right w:val="single" w:color="000000" w:sz="4" w:space="0"/>
            </w:tcBorders>
          </w:tcPr>
          <w:p w14:paraId="5361875B">
            <w:pPr>
              <w:spacing w:before="64" w:line="229" w:lineRule="auto"/>
              <w:ind w:left="615"/>
              <w:rPr>
                <w:rFonts w:ascii="宋体" w:hAnsi="宋体" w:eastAsia="宋体" w:cs="宋体"/>
                <w:sz w:val="20"/>
                <w:szCs w:val="20"/>
              </w:rPr>
            </w:pPr>
            <w:r>
              <w:rPr>
                <w:rFonts w:ascii="宋体" w:hAnsi="宋体" w:eastAsia="宋体" w:cs="宋体"/>
                <w:spacing w:val="12"/>
                <w:sz w:val="20"/>
                <w:szCs w:val="20"/>
              </w:rPr>
              <w:t>土</w:t>
            </w:r>
            <w:r>
              <w:rPr>
                <w:rFonts w:ascii="宋体" w:hAnsi="宋体" w:eastAsia="宋体" w:cs="宋体"/>
                <w:spacing w:val="8"/>
                <w:sz w:val="20"/>
                <w:szCs w:val="20"/>
              </w:rPr>
              <w:t>石方、建渣外运</w:t>
            </w:r>
          </w:p>
        </w:tc>
        <w:tc>
          <w:tcPr>
            <w:tcW w:w="2442" w:type="dxa"/>
            <w:tcBorders>
              <w:left w:val="single" w:color="000000" w:sz="4" w:space="0"/>
              <w:right w:val="single" w:color="000000" w:sz="4" w:space="0"/>
            </w:tcBorders>
          </w:tcPr>
          <w:p w14:paraId="5F9296A8">
            <w:pPr>
              <w:spacing w:before="63" w:line="228" w:lineRule="auto"/>
              <w:ind w:left="702"/>
              <w:rPr>
                <w:rFonts w:ascii="宋体" w:hAnsi="宋体" w:eastAsia="宋体" w:cs="宋体"/>
                <w:sz w:val="20"/>
                <w:szCs w:val="20"/>
              </w:rPr>
            </w:pPr>
            <w:r>
              <w:rPr>
                <w:rFonts w:ascii="宋体" w:hAnsi="宋体" w:eastAsia="宋体" w:cs="宋体"/>
                <w:spacing w:val="10"/>
                <w:sz w:val="20"/>
                <w:szCs w:val="20"/>
              </w:rPr>
              <w:t>大</w:t>
            </w:r>
            <w:r>
              <w:rPr>
                <w:rFonts w:ascii="宋体" w:hAnsi="宋体" w:eastAsia="宋体" w:cs="宋体"/>
                <w:spacing w:val="7"/>
                <w:sz w:val="20"/>
                <w:szCs w:val="20"/>
              </w:rPr>
              <w:t>型载重车</w:t>
            </w:r>
          </w:p>
        </w:tc>
        <w:tc>
          <w:tcPr>
            <w:tcW w:w="2057" w:type="dxa"/>
            <w:tcBorders>
              <w:left w:val="single" w:color="000000" w:sz="4" w:space="0"/>
              <w:right w:val="nil"/>
            </w:tcBorders>
          </w:tcPr>
          <w:p w14:paraId="15AA9AC1">
            <w:pPr>
              <w:spacing w:before="64" w:line="264" w:lineRule="exact"/>
              <w:ind w:left="722"/>
              <w:rPr>
                <w:rFonts w:ascii="Times New Roman" w:hAnsi="Times New Roman" w:eastAsia="Times New Roman" w:cs="Times New Roman"/>
                <w:sz w:val="20"/>
                <w:szCs w:val="20"/>
              </w:rPr>
            </w:pPr>
            <w:r>
              <w:rPr>
                <w:rFonts w:ascii="Times New Roman" w:hAnsi="Times New Roman" w:eastAsia="Times New Roman" w:cs="Times New Roman"/>
                <w:spacing w:val="25"/>
                <w:sz w:val="20"/>
                <w:szCs w:val="20"/>
              </w:rPr>
              <w:t>8</w:t>
            </w:r>
            <w:r>
              <w:rPr>
                <w:rFonts w:ascii="Times New Roman" w:hAnsi="Times New Roman" w:eastAsia="Times New Roman" w:cs="Times New Roman"/>
                <w:spacing w:val="23"/>
                <w:sz w:val="20"/>
                <w:szCs w:val="20"/>
              </w:rPr>
              <w:t>4</w:t>
            </w:r>
            <w:r>
              <w:rPr>
                <w:rFonts w:ascii="宋体" w:hAnsi="宋体" w:eastAsia="宋体" w:cs="宋体"/>
                <w:spacing w:val="23"/>
                <w:sz w:val="20"/>
                <w:szCs w:val="20"/>
              </w:rPr>
              <w:t>~</w:t>
            </w:r>
            <w:r>
              <w:rPr>
                <w:rFonts w:ascii="Times New Roman" w:hAnsi="Times New Roman" w:eastAsia="Times New Roman" w:cs="Times New Roman"/>
                <w:spacing w:val="23"/>
                <w:sz w:val="20"/>
                <w:szCs w:val="20"/>
              </w:rPr>
              <w:t>89</w:t>
            </w:r>
          </w:p>
        </w:tc>
      </w:tr>
      <w:tr w14:paraId="7867D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308" w:type="dxa"/>
            <w:tcBorders>
              <w:left w:val="nil"/>
              <w:right w:val="single" w:color="000000" w:sz="4" w:space="0"/>
            </w:tcBorders>
          </w:tcPr>
          <w:p w14:paraId="02814B0B">
            <w:pPr>
              <w:spacing w:before="55" w:line="227" w:lineRule="auto"/>
              <w:ind w:left="425"/>
              <w:rPr>
                <w:rFonts w:ascii="宋体" w:hAnsi="宋体" w:eastAsia="宋体" w:cs="宋体"/>
                <w:sz w:val="20"/>
                <w:szCs w:val="20"/>
              </w:rPr>
            </w:pPr>
            <w:r>
              <w:rPr>
                <w:rFonts w:ascii="宋体" w:hAnsi="宋体" w:eastAsia="宋体" w:cs="宋体"/>
                <w:spacing w:val="9"/>
                <w:sz w:val="20"/>
                <w:szCs w:val="20"/>
              </w:rPr>
              <w:t>底板与结构阶</w:t>
            </w:r>
            <w:r>
              <w:rPr>
                <w:rFonts w:ascii="宋体" w:hAnsi="宋体" w:eastAsia="宋体" w:cs="宋体"/>
                <w:spacing w:val="7"/>
                <w:sz w:val="20"/>
                <w:szCs w:val="20"/>
              </w:rPr>
              <w:t>段</w:t>
            </w:r>
          </w:p>
        </w:tc>
        <w:tc>
          <w:tcPr>
            <w:tcW w:w="2905" w:type="dxa"/>
            <w:tcBorders>
              <w:left w:val="single" w:color="000000" w:sz="4" w:space="0"/>
              <w:right w:val="single" w:color="000000" w:sz="4" w:space="0"/>
            </w:tcBorders>
          </w:tcPr>
          <w:p w14:paraId="3528872A">
            <w:pPr>
              <w:spacing w:before="55" w:line="228" w:lineRule="auto"/>
              <w:ind w:left="718"/>
              <w:rPr>
                <w:rFonts w:ascii="宋体" w:hAnsi="宋体" w:eastAsia="宋体" w:cs="宋体"/>
                <w:sz w:val="20"/>
                <w:szCs w:val="20"/>
              </w:rPr>
            </w:pPr>
            <w:r>
              <w:rPr>
                <w:rFonts w:ascii="宋体" w:hAnsi="宋体" w:eastAsia="宋体" w:cs="宋体"/>
                <w:spacing w:val="9"/>
                <w:sz w:val="20"/>
                <w:szCs w:val="20"/>
              </w:rPr>
              <w:t>钢筋、混凝土</w:t>
            </w:r>
            <w:r>
              <w:rPr>
                <w:rFonts w:ascii="宋体" w:hAnsi="宋体" w:eastAsia="宋体" w:cs="宋体"/>
                <w:spacing w:val="8"/>
                <w:sz w:val="20"/>
                <w:szCs w:val="20"/>
              </w:rPr>
              <w:t>等</w:t>
            </w:r>
          </w:p>
        </w:tc>
        <w:tc>
          <w:tcPr>
            <w:tcW w:w="2442" w:type="dxa"/>
            <w:tcBorders>
              <w:left w:val="single" w:color="000000" w:sz="4" w:space="0"/>
              <w:right w:val="single" w:color="000000" w:sz="4" w:space="0"/>
            </w:tcBorders>
          </w:tcPr>
          <w:p w14:paraId="6ED62981">
            <w:pPr>
              <w:spacing w:before="55" w:line="228" w:lineRule="auto"/>
              <w:ind w:left="282"/>
              <w:rPr>
                <w:rFonts w:ascii="宋体" w:hAnsi="宋体" w:eastAsia="宋体" w:cs="宋体"/>
                <w:sz w:val="20"/>
                <w:szCs w:val="20"/>
              </w:rPr>
            </w:pPr>
            <w:r>
              <w:rPr>
                <w:rFonts w:ascii="宋体" w:hAnsi="宋体" w:eastAsia="宋体" w:cs="宋体"/>
                <w:spacing w:val="14"/>
                <w:sz w:val="20"/>
                <w:szCs w:val="20"/>
              </w:rPr>
              <w:t>混</w:t>
            </w:r>
            <w:r>
              <w:rPr>
                <w:rFonts w:ascii="宋体" w:hAnsi="宋体" w:eastAsia="宋体" w:cs="宋体"/>
                <w:spacing w:val="8"/>
                <w:sz w:val="20"/>
                <w:szCs w:val="20"/>
              </w:rPr>
              <w:t>凝土罐车、载重车</w:t>
            </w:r>
          </w:p>
        </w:tc>
        <w:tc>
          <w:tcPr>
            <w:tcW w:w="2057" w:type="dxa"/>
            <w:tcBorders>
              <w:left w:val="single" w:color="000000" w:sz="4" w:space="0"/>
              <w:right w:val="nil"/>
            </w:tcBorders>
          </w:tcPr>
          <w:p w14:paraId="29032324">
            <w:pPr>
              <w:spacing w:before="55" w:line="265" w:lineRule="exact"/>
              <w:ind w:left="722"/>
              <w:rPr>
                <w:rFonts w:ascii="Times New Roman" w:hAnsi="Times New Roman" w:eastAsia="Times New Roman" w:cs="Times New Roman"/>
                <w:sz w:val="20"/>
                <w:szCs w:val="20"/>
              </w:rPr>
            </w:pPr>
            <w:r>
              <w:rPr>
                <w:rFonts w:ascii="Times New Roman" w:hAnsi="Times New Roman" w:eastAsia="Times New Roman" w:cs="Times New Roman"/>
                <w:spacing w:val="25"/>
                <w:sz w:val="20"/>
                <w:szCs w:val="20"/>
              </w:rPr>
              <w:t>8</w:t>
            </w:r>
            <w:r>
              <w:rPr>
                <w:rFonts w:ascii="Times New Roman" w:hAnsi="Times New Roman" w:eastAsia="Times New Roman" w:cs="Times New Roman"/>
                <w:spacing w:val="23"/>
                <w:sz w:val="20"/>
                <w:szCs w:val="20"/>
              </w:rPr>
              <w:t>0</w:t>
            </w:r>
            <w:r>
              <w:rPr>
                <w:rFonts w:ascii="宋体" w:hAnsi="宋体" w:eastAsia="宋体" w:cs="宋体"/>
                <w:spacing w:val="23"/>
                <w:sz w:val="20"/>
                <w:szCs w:val="20"/>
              </w:rPr>
              <w:t>~</w:t>
            </w:r>
            <w:r>
              <w:rPr>
                <w:rFonts w:ascii="Times New Roman" w:hAnsi="Times New Roman" w:eastAsia="Times New Roman" w:cs="Times New Roman"/>
                <w:spacing w:val="23"/>
                <w:sz w:val="20"/>
                <w:szCs w:val="20"/>
              </w:rPr>
              <w:t>85</w:t>
            </w:r>
          </w:p>
        </w:tc>
      </w:tr>
      <w:tr w14:paraId="2CBF1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2308" w:type="dxa"/>
            <w:tcBorders>
              <w:left w:val="nil"/>
              <w:right w:val="single" w:color="000000" w:sz="4" w:space="0"/>
            </w:tcBorders>
          </w:tcPr>
          <w:p w14:paraId="42C2FE8D">
            <w:pPr>
              <w:spacing w:before="43" w:line="228" w:lineRule="auto"/>
              <w:ind w:left="532"/>
              <w:rPr>
                <w:rFonts w:ascii="宋体" w:hAnsi="宋体" w:eastAsia="宋体" w:cs="宋体"/>
                <w:sz w:val="20"/>
                <w:szCs w:val="20"/>
              </w:rPr>
            </w:pPr>
            <w:r>
              <w:rPr>
                <w:rFonts w:ascii="宋体" w:hAnsi="宋体" w:eastAsia="宋体" w:cs="宋体"/>
                <w:spacing w:val="9"/>
                <w:sz w:val="20"/>
                <w:szCs w:val="20"/>
              </w:rPr>
              <w:t>装</w:t>
            </w:r>
            <w:r>
              <w:rPr>
                <w:rFonts w:ascii="宋体" w:hAnsi="宋体" w:eastAsia="宋体" w:cs="宋体"/>
                <w:spacing w:val="8"/>
                <w:sz w:val="20"/>
                <w:szCs w:val="20"/>
              </w:rPr>
              <w:t>修安装阶段</w:t>
            </w:r>
          </w:p>
        </w:tc>
        <w:tc>
          <w:tcPr>
            <w:tcW w:w="2905" w:type="dxa"/>
            <w:tcBorders>
              <w:left w:val="single" w:color="000000" w:sz="4" w:space="0"/>
              <w:right w:val="single" w:color="000000" w:sz="4" w:space="0"/>
            </w:tcBorders>
          </w:tcPr>
          <w:p w14:paraId="4DAC31C7">
            <w:pPr>
              <w:spacing w:before="44" w:line="227" w:lineRule="auto"/>
              <w:ind w:left="302"/>
              <w:rPr>
                <w:rFonts w:ascii="宋体" w:hAnsi="宋体" w:eastAsia="宋体" w:cs="宋体"/>
                <w:sz w:val="20"/>
                <w:szCs w:val="20"/>
              </w:rPr>
            </w:pPr>
            <w:r>
              <w:rPr>
                <w:rFonts w:ascii="宋体" w:hAnsi="宋体" w:eastAsia="宋体" w:cs="宋体"/>
                <w:spacing w:val="9"/>
                <w:sz w:val="20"/>
                <w:szCs w:val="20"/>
              </w:rPr>
              <w:t>各种装修材料机必备设</w:t>
            </w:r>
            <w:r>
              <w:rPr>
                <w:rFonts w:ascii="宋体" w:hAnsi="宋体" w:eastAsia="宋体" w:cs="宋体"/>
                <w:spacing w:val="8"/>
                <w:sz w:val="20"/>
                <w:szCs w:val="20"/>
              </w:rPr>
              <w:t>备</w:t>
            </w:r>
          </w:p>
        </w:tc>
        <w:tc>
          <w:tcPr>
            <w:tcW w:w="2442" w:type="dxa"/>
            <w:tcBorders>
              <w:left w:val="single" w:color="000000" w:sz="4" w:space="0"/>
              <w:right w:val="single" w:color="000000" w:sz="4" w:space="0"/>
            </w:tcBorders>
          </w:tcPr>
          <w:p w14:paraId="61FE6EDD">
            <w:pPr>
              <w:spacing w:before="43" w:line="228" w:lineRule="auto"/>
              <w:ind w:left="594"/>
              <w:rPr>
                <w:rFonts w:ascii="宋体" w:hAnsi="宋体" w:eastAsia="宋体" w:cs="宋体"/>
                <w:sz w:val="20"/>
                <w:szCs w:val="20"/>
              </w:rPr>
            </w:pPr>
            <w:r>
              <w:rPr>
                <w:rFonts w:ascii="宋体" w:hAnsi="宋体" w:eastAsia="宋体" w:cs="宋体"/>
                <w:spacing w:val="8"/>
                <w:sz w:val="20"/>
                <w:szCs w:val="20"/>
              </w:rPr>
              <w:t>轻型载重卡车</w:t>
            </w:r>
          </w:p>
        </w:tc>
        <w:tc>
          <w:tcPr>
            <w:tcW w:w="2057" w:type="dxa"/>
            <w:tcBorders>
              <w:left w:val="single" w:color="000000" w:sz="4" w:space="0"/>
              <w:right w:val="nil"/>
            </w:tcBorders>
          </w:tcPr>
          <w:p w14:paraId="78F010BD">
            <w:pPr>
              <w:spacing w:before="44" w:line="264" w:lineRule="exact"/>
              <w:ind w:left="717"/>
              <w:rPr>
                <w:rFonts w:ascii="Times New Roman" w:hAnsi="Times New Roman" w:eastAsia="Times New Roman" w:cs="Times New Roman"/>
                <w:sz w:val="20"/>
                <w:szCs w:val="20"/>
              </w:rPr>
            </w:pPr>
            <w:r>
              <w:rPr>
                <w:rFonts w:ascii="Times New Roman" w:hAnsi="Times New Roman" w:eastAsia="Times New Roman" w:cs="Times New Roman"/>
                <w:spacing w:val="26"/>
                <w:sz w:val="20"/>
                <w:szCs w:val="20"/>
              </w:rPr>
              <w:t>7</w:t>
            </w:r>
            <w:r>
              <w:rPr>
                <w:rFonts w:ascii="Times New Roman" w:hAnsi="Times New Roman" w:eastAsia="Times New Roman" w:cs="Times New Roman"/>
                <w:spacing w:val="24"/>
                <w:sz w:val="20"/>
                <w:szCs w:val="20"/>
              </w:rPr>
              <w:t>5</w:t>
            </w:r>
            <w:r>
              <w:rPr>
                <w:rFonts w:ascii="宋体" w:hAnsi="宋体" w:eastAsia="宋体" w:cs="宋体"/>
                <w:spacing w:val="24"/>
                <w:sz w:val="20"/>
                <w:szCs w:val="20"/>
              </w:rPr>
              <w:t>~</w:t>
            </w:r>
            <w:r>
              <w:rPr>
                <w:rFonts w:ascii="Times New Roman" w:hAnsi="Times New Roman" w:eastAsia="Times New Roman" w:cs="Times New Roman"/>
                <w:spacing w:val="24"/>
                <w:sz w:val="20"/>
                <w:szCs w:val="20"/>
              </w:rPr>
              <w:t>80</w:t>
            </w:r>
          </w:p>
        </w:tc>
      </w:tr>
    </w:tbl>
    <w:p w14:paraId="39F73D7C">
      <w:pPr>
        <w:spacing w:before="269" w:line="321" w:lineRule="exact"/>
        <w:ind w:left="1782"/>
        <w:rPr>
          <w:rFonts w:ascii="黑体" w:hAnsi="黑体" w:eastAsia="黑体" w:cs="黑体"/>
          <w:sz w:val="23"/>
          <w:szCs w:val="23"/>
        </w:rPr>
      </w:pPr>
      <w:r>
        <w:rPr>
          <w:rFonts w:ascii="黑体" w:hAnsi="黑体" w:eastAsia="黑体" w:cs="黑体"/>
          <w:spacing w:val="10"/>
          <w:position w:val="1"/>
          <w:sz w:val="23"/>
          <w:szCs w:val="23"/>
        </w:rPr>
        <w:t xml:space="preserve">表 </w:t>
      </w:r>
      <w:r>
        <w:rPr>
          <w:rFonts w:ascii="Times New Roman" w:hAnsi="Times New Roman" w:eastAsia="Times New Roman" w:cs="Times New Roman"/>
          <w:spacing w:val="10"/>
          <w:position w:val="1"/>
          <w:sz w:val="23"/>
          <w:szCs w:val="23"/>
        </w:rPr>
        <w:t>3.</w:t>
      </w:r>
      <w:r>
        <w:rPr>
          <w:rFonts w:ascii="Times New Roman" w:hAnsi="Times New Roman" w:eastAsia="Times New Roman" w:cs="Times New Roman"/>
          <w:spacing w:val="8"/>
          <w:position w:val="1"/>
          <w:sz w:val="23"/>
          <w:szCs w:val="23"/>
        </w:rPr>
        <w:t>2</w:t>
      </w:r>
      <w:r>
        <w:rPr>
          <w:rFonts w:ascii="Times New Roman" w:hAnsi="Times New Roman" w:eastAsia="Times New Roman" w:cs="Times New Roman"/>
          <w:spacing w:val="5"/>
          <w:position w:val="1"/>
          <w:sz w:val="23"/>
          <w:szCs w:val="23"/>
        </w:rPr>
        <w:t xml:space="preserve">-2      </w:t>
      </w:r>
      <w:r>
        <w:rPr>
          <w:rFonts w:ascii="黑体" w:hAnsi="黑体" w:eastAsia="黑体" w:cs="黑体"/>
          <w:spacing w:val="5"/>
          <w:position w:val="1"/>
          <w:sz w:val="23"/>
          <w:szCs w:val="23"/>
        </w:rPr>
        <w:t>施工期主要机械噪声源及其声级值 (</w:t>
      </w:r>
      <w:r>
        <w:rPr>
          <w:rFonts w:ascii="Times New Roman" w:hAnsi="Times New Roman" w:eastAsia="Times New Roman" w:cs="Times New Roman"/>
          <w:position w:val="1"/>
          <w:sz w:val="23"/>
          <w:szCs w:val="23"/>
        </w:rPr>
        <w:t>dB</w:t>
      </w:r>
      <w:r>
        <w:rPr>
          <w:rFonts w:ascii="Times New Roman" w:hAnsi="Times New Roman" w:eastAsia="Times New Roman" w:cs="Times New Roman"/>
          <w:spacing w:val="5"/>
          <w:position w:val="1"/>
          <w:sz w:val="23"/>
          <w:szCs w:val="23"/>
        </w:rPr>
        <w:t xml:space="preserve">  </w:t>
      </w:r>
      <w:r>
        <w:rPr>
          <w:rFonts w:ascii="黑体" w:hAnsi="黑体" w:eastAsia="黑体" w:cs="黑体"/>
          <w:spacing w:val="5"/>
          <w:position w:val="1"/>
          <w:sz w:val="23"/>
          <w:szCs w:val="23"/>
        </w:rPr>
        <w:t>(</w:t>
      </w:r>
      <w:r>
        <w:rPr>
          <w:rFonts w:ascii="Times New Roman" w:hAnsi="Times New Roman" w:eastAsia="Times New Roman" w:cs="Times New Roman"/>
          <w:position w:val="1"/>
          <w:sz w:val="23"/>
          <w:szCs w:val="23"/>
        </w:rPr>
        <w:t>A</w:t>
      </w:r>
      <w:r>
        <w:rPr>
          <w:rFonts w:ascii="黑体" w:hAnsi="黑体" w:eastAsia="黑体" w:cs="黑体"/>
          <w:spacing w:val="5"/>
          <w:position w:val="1"/>
          <w:sz w:val="23"/>
          <w:szCs w:val="23"/>
        </w:rPr>
        <w:t>) )</w:t>
      </w:r>
    </w:p>
    <w:tbl>
      <w:tblPr>
        <w:tblStyle w:val="4"/>
        <w:tblW w:w="9553" w:type="dxa"/>
        <w:tblInd w:w="8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0"/>
        <w:gridCol w:w="1624"/>
        <w:gridCol w:w="1766"/>
        <w:gridCol w:w="1181"/>
        <w:gridCol w:w="967"/>
        <w:gridCol w:w="968"/>
        <w:gridCol w:w="966"/>
        <w:gridCol w:w="901"/>
      </w:tblGrid>
      <w:tr w14:paraId="22554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180" w:type="dxa"/>
            <w:vMerge w:val="restart"/>
            <w:tcBorders>
              <w:left w:val="nil"/>
              <w:bottom w:val="nil"/>
              <w:right w:val="single" w:color="000000" w:sz="4" w:space="0"/>
            </w:tcBorders>
          </w:tcPr>
          <w:p w14:paraId="5CFE9FE7">
            <w:pPr>
              <w:spacing w:line="275" w:lineRule="auto"/>
            </w:pPr>
          </w:p>
          <w:p w14:paraId="2F49434D">
            <w:pPr>
              <w:spacing w:before="65" w:line="229" w:lineRule="auto"/>
              <w:ind w:left="177"/>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施工阶</w:t>
            </w:r>
            <w:r>
              <w:rPr>
                <w:rFonts w:ascii="宋体" w:hAnsi="宋体" w:eastAsia="宋体" w:cs="宋体"/>
                <w:spacing w:val="8"/>
                <w:sz w:val="20"/>
                <w:szCs w:val="20"/>
                <w14:textOutline w14:w="3797" w14:cap="sq" w14:cmpd="sng" w14:algn="ctr">
                  <w14:solidFill>
                    <w14:srgbClr w14:val="000000"/>
                  </w14:solidFill>
                  <w14:prstDash w14:val="solid"/>
                  <w14:bevel/>
                </w14:textOutline>
              </w:rPr>
              <w:t>段</w:t>
            </w:r>
          </w:p>
        </w:tc>
        <w:tc>
          <w:tcPr>
            <w:tcW w:w="1624" w:type="dxa"/>
            <w:vMerge w:val="restart"/>
            <w:tcBorders>
              <w:left w:val="single" w:color="000000" w:sz="4" w:space="0"/>
              <w:bottom w:val="nil"/>
              <w:right w:val="single" w:color="000000" w:sz="4" w:space="0"/>
            </w:tcBorders>
          </w:tcPr>
          <w:p w14:paraId="28A7A768">
            <w:pPr>
              <w:spacing w:line="275" w:lineRule="auto"/>
            </w:pPr>
          </w:p>
          <w:p w14:paraId="42CE10BB">
            <w:pPr>
              <w:spacing w:before="65" w:line="228" w:lineRule="auto"/>
              <w:ind w:left="608"/>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声</w:t>
            </w:r>
            <w:r>
              <w:rPr>
                <w:rFonts w:ascii="宋体" w:hAnsi="宋体" w:eastAsia="宋体" w:cs="宋体"/>
                <w:spacing w:val="3"/>
                <w:sz w:val="20"/>
                <w:szCs w:val="20"/>
                <w14:textOutline w14:w="3797" w14:cap="sq" w14:cmpd="sng" w14:algn="ctr">
                  <w14:solidFill>
                    <w14:srgbClr w14:val="000000"/>
                  </w14:solidFill>
                  <w14:prstDash w14:val="solid"/>
                  <w14:bevel/>
                </w14:textOutline>
              </w:rPr>
              <w:t>源</w:t>
            </w:r>
          </w:p>
        </w:tc>
        <w:tc>
          <w:tcPr>
            <w:tcW w:w="1766" w:type="dxa"/>
            <w:vMerge w:val="restart"/>
            <w:tcBorders>
              <w:left w:val="single" w:color="000000" w:sz="4" w:space="0"/>
              <w:bottom w:val="nil"/>
              <w:right w:val="single" w:color="000000" w:sz="4" w:space="0"/>
            </w:tcBorders>
          </w:tcPr>
          <w:p w14:paraId="7664A880">
            <w:pPr>
              <w:spacing w:before="300" w:line="289" w:lineRule="exact"/>
              <w:ind w:left="128"/>
              <w:rPr>
                <w:rFonts w:ascii="Times New Roman" w:hAnsi="Times New Roman" w:eastAsia="Times New Roman" w:cs="Times New Roman"/>
                <w:sz w:val="20"/>
                <w:szCs w:val="20"/>
              </w:rPr>
            </w:pPr>
            <w:r>
              <w:rPr>
                <w:rFonts w:ascii="宋体" w:hAnsi="宋体" w:eastAsia="宋体" w:cs="宋体"/>
                <w:spacing w:val="11"/>
                <w:position w:val="2"/>
                <w:sz w:val="20"/>
                <w:szCs w:val="20"/>
                <w14:textOutline w14:w="3797" w14:cap="sq" w14:cmpd="sng" w14:algn="ctr">
                  <w14:solidFill>
                    <w14:srgbClr w14:val="000000"/>
                  </w14:solidFill>
                  <w14:prstDash w14:val="solid"/>
                  <w14:bevel/>
                </w14:textOutline>
              </w:rPr>
              <w:t>声</w:t>
            </w:r>
            <w:r>
              <w:rPr>
                <w:rFonts w:ascii="宋体" w:hAnsi="宋体" w:eastAsia="宋体" w:cs="宋体"/>
                <w:spacing w:val="7"/>
                <w:position w:val="2"/>
                <w:sz w:val="20"/>
                <w:szCs w:val="20"/>
                <w14:textOutline w14:w="3797" w14:cap="sq" w14:cmpd="sng" w14:algn="ctr">
                  <w14:solidFill>
                    <w14:srgbClr w14:val="000000"/>
                  </w14:solidFill>
                  <w14:prstDash w14:val="solid"/>
                  <w14:bevel/>
                </w14:textOutline>
              </w:rPr>
              <w:t>源强度</w:t>
            </w:r>
            <w:r>
              <w:rPr>
                <w:rFonts w:ascii="Times New Roman" w:hAnsi="Times New Roman" w:eastAsia="Times New Roman" w:cs="Times New Roman"/>
                <w:b/>
                <w:bCs/>
                <w:spacing w:val="7"/>
                <w:position w:val="2"/>
                <w:sz w:val="20"/>
                <w:szCs w:val="20"/>
              </w:rPr>
              <w:t>[</w:t>
            </w:r>
            <w:r>
              <w:rPr>
                <w:rFonts w:ascii="Times New Roman" w:hAnsi="Times New Roman" w:eastAsia="Times New Roman" w:cs="Times New Roman"/>
                <w:b/>
                <w:bCs/>
                <w:position w:val="2"/>
                <w:sz w:val="20"/>
                <w:szCs w:val="20"/>
              </w:rPr>
              <w:t>dB</w:t>
            </w:r>
            <w:r>
              <w:rPr>
                <w:rFonts w:ascii="Times New Roman" w:hAnsi="Times New Roman" w:eastAsia="Times New Roman" w:cs="Times New Roman"/>
                <w:b/>
                <w:bCs/>
                <w:spacing w:val="7"/>
                <w:position w:val="2"/>
                <w:sz w:val="20"/>
                <w:szCs w:val="20"/>
              </w:rPr>
              <w:t>(</w:t>
            </w:r>
            <w:r>
              <w:rPr>
                <w:rFonts w:ascii="Times New Roman" w:hAnsi="Times New Roman" w:eastAsia="Times New Roman" w:cs="Times New Roman"/>
                <w:b/>
                <w:bCs/>
                <w:position w:val="2"/>
                <w:sz w:val="20"/>
                <w:szCs w:val="20"/>
              </w:rPr>
              <w:t>A</w:t>
            </w:r>
            <w:r>
              <w:rPr>
                <w:rFonts w:ascii="Times New Roman" w:hAnsi="Times New Roman" w:eastAsia="Times New Roman" w:cs="Times New Roman"/>
                <w:b/>
                <w:bCs/>
                <w:spacing w:val="7"/>
                <w:position w:val="2"/>
                <w:sz w:val="20"/>
                <w:szCs w:val="20"/>
              </w:rPr>
              <w:t>)]</w:t>
            </w:r>
          </w:p>
        </w:tc>
        <w:tc>
          <w:tcPr>
            <w:tcW w:w="1181" w:type="dxa"/>
            <w:vMerge w:val="restart"/>
            <w:tcBorders>
              <w:left w:val="single" w:color="000000" w:sz="4" w:space="0"/>
              <w:bottom w:val="nil"/>
              <w:right w:val="single" w:color="000000" w:sz="4" w:space="0"/>
            </w:tcBorders>
          </w:tcPr>
          <w:p w14:paraId="0EA13D26">
            <w:pPr>
              <w:spacing w:line="274" w:lineRule="auto"/>
            </w:pPr>
          </w:p>
          <w:p w14:paraId="5AB39E04">
            <w:pPr>
              <w:spacing w:before="65" w:line="228" w:lineRule="auto"/>
              <w:ind w:left="182"/>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噪声类型</w:t>
            </w:r>
          </w:p>
        </w:tc>
        <w:tc>
          <w:tcPr>
            <w:tcW w:w="3802" w:type="dxa"/>
            <w:gridSpan w:val="4"/>
            <w:tcBorders>
              <w:left w:val="single" w:color="000000" w:sz="4" w:space="0"/>
              <w:right w:val="nil"/>
            </w:tcBorders>
          </w:tcPr>
          <w:p w14:paraId="37C1D6AC">
            <w:pPr>
              <w:spacing w:before="12" w:line="289" w:lineRule="exact"/>
              <w:ind w:left="1088"/>
              <w:rPr>
                <w:rFonts w:ascii="Times New Roman" w:hAnsi="Times New Roman" w:eastAsia="Times New Roman" w:cs="Times New Roman"/>
                <w:sz w:val="20"/>
                <w:szCs w:val="20"/>
              </w:rPr>
            </w:pPr>
            <w:r>
              <w:rPr>
                <w:rFonts w:ascii="宋体" w:hAnsi="宋体" w:eastAsia="宋体" w:cs="宋体"/>
                <w:spacing w:val="8"/>
                <w:position w:val="2"/>
                <w:sz w:val="20"/>
                <w:szCs w:val="20"/>
                <w14:textOutline w14:w="3797" w14:cap="sq" w14:cmpd="sng" w14:algn="ctr">
                  <w14:solidFill>
                    <w14:srgbClr w14:val="000000"/>
                  </w14:solidFill>
                  <w14:prstDash w14:val="solid"/>
                  <w14:bevel/>
                </w14:textOutline>
              </w:rPr>
              <w:t>场界噪声</w:t>
            </w:r>
            <w:r>
              <w:rPr>
                <w:rFonts w:ascii="宋体" w:hAnsi="宋体" w:eastAsia="宋体" w:cs="宋体"/>
                <w:spacing w:val="8"/>
                <w:position w:val="2"/>
                <w:sz w:val="20"/>
                <w:szCs w:val="20"/>
              </w:rPr>
              <w:t xml:space="preserve"> </w:t>
            </w:r>
            <w:r>
              <w:rPr>
                <w:rFonts w:ascii="Times New Roman" w:hAnsi="Times New Roman" w:eastAsia="Times New Roman" w:cs="Times New Roman"/>
                <w:b/>
                <w:bCs/>
                <w:spacing w:val="8"/>
                <w:position w:val="2"/>
                <w:sz w:val="20"/>
                <w:szCs w:val="20"/>
              </w:rPr>
              <w:t>[</w:t>
            </w:r>
            <w:r>
              <w:rPr>
                <w:rFonts w:ascii="Times New Roman" w:hAnsi="Times New Roman" w:eastAsia="Times New Roman" w:cs="Times New Roman"/>
                <w:b/>
                <w:bCs/>
                <w:position w:val="2"/>
                <w:sz w:val="20"/>
                <w:szCs w:val="20"/>
              </w:rPr>
              <w:t>dB</w:t>
            </w:r>
            <w:r>
              <w:rPr>
                <w:rFonts w:ascii="Times New Roman" w:hAnsi="Times New Roman" w:eastAsia="Times New Roman" w:cs="Times New Roman"/>
                <w:b/>
                <w:bCs/>
                <w:spacing w:val="8"/>
                <w:position w:val="2"/>
                <w:sz w:val="20"/>
                <w:szCs w:val="20"/>
              </w:rPr>
              <w:t>(</w:t>
            </w:r>
            <w:r>
              <w:rPr>
                <w:rFonts w:ascii="Times New Roman" w:hAnsi="Times New Roman" w:eastAsia="Times New Roman" w:cs="Times New Roman"/>
                <w:b/>
                <w:bCs/>
                <w:position w:val="2"/>
                <w:sz w:val="20"/>
                <w:szCs w:val="20"/>
              </w:rPr>
              <w:t>A</w:t>
            </w:r>
            <w:r>
              <w:rPr>
                <w:rFonts w:ascii="Times New Roman" w:hAnsi="Times New Roman" w:eastAsia="Times New Roman" w:cs="Times New Roman"/>
                <w:b/>
                <w:bCs/>
                <w:spacing w:val="8"/>
                <w:position w:val="2"/>
                <w:sz w:val="20"/>
                <w:szCs w:val="20"/>
              </w:rPr>
              <w:t>)</w:t>
            </w:r>
            <w:r>
              <w:rPr>
                <w:rFonts w:ascii="Times New Roman" w:hAnsi="Times New Roman" w:eastAsia="Times New Roman" w:cs="Times New Roman"/>
                <w:b/>
                <w:bCs/>
                <w:spacing w:val="7"/>
                <w:position w:val="2"/>
                <w:sz w:val="20"/>
                <w:szCs w:val="20"/>
              </w:rPr>
              <w:t>]</w:t>
            </w:r>
          </w:p>
        </w:tc>
      </w:tr>
      <w:tr w14:paraId="59AB4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180" w:type="dxa"/>
            <w:vMerge w:val="continue"/>
            <w:tcBorders>
              <w:top w:val="nil"/>
              <w:left w:val="nil"/>
              <w:bottom w:val="nil"/>
              <w:right w:val="single" w:color="000000" w:sz="4" w:space="0"/>
            </w:tcBorders>
          </w:tcPr>
          <w:p w14:paraId="3CC90D96"/>
        </w:tc>
        <w:tc>
          <w:tcPr>
            <w:tcW w:w="1624" w:type="dxa"/>
            <w:vMerge w:val="continue"/>
            <w:tcBorders>
              <w:top w:val="nil"/>
              <w:left w:val="single" w:color="000000" w:sz="4" w:space="0"/>
              <w:bottom w:val="nil"/>
              <w:right w:val="single" w:color="000000" w:sz="4" w:space="0"/>
            </w:tcBorders>
          </w:tcPr>
          <w:p w14:paraId="081B1AF9"/>
        </w:tc>
        <w:tc>
          <w:tcPr>
            <w:tcW w:w="1766" w:type="dxa"/>
            <w:vMerge w:val="continue"/>
            <w:tcBorders>
              <w:top w:val="nil"/>
              <w:left w:val="single" w:color="000000" w:sz="4" w:space="0"/>
              <w:bottom w:val="nil"/>
              <w:right w:val="single" w:color="000000" w:sz="4" w:space="0"/>
            </w:tcBorders>
          </w:tcPr>
          <w:p w14:paraId="12E67004"/>
        </w:tc>
        <w:tc>
          <w:tcPr>
            <w:tcW w:w="1181" w:type="dxa"/>
            <w:vMerge w:val="continue"/>
            <w:tcBorders>
              <w:top w:val="nil"/>
              <w:left w:val="single" w:color="000000" w:sz="4" w:space="0"/>
              <w:bottom w:val="nil"/>
              <w:right w:val="single" w:color="000000" w:sz="4" w:space="0"/>
            </w:tcBorders>
          </w:tcPr>
          <w:p w14:paraId="2D640DB7"/>
        </w:tc>
        <w:tc>
          <w:tcPr>
            <w:tcW w:w="1935" w:type="dxa"/>
            <w:gridSpan w:val="2"/>
            <w:tcBorders>
              <w:left w:val="single" w:color="000000" w:sz="4" w:space="0"/>
            </w:tcBorders>
          </w:tcPr>
          <w:p w14:paraId="726EEB29">
            <w:pPr>
              <w:spacing w:before="31" w:line="228" w:lineRule="auto"/>
              <w:ind w:left="128"/>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场</w:t>
            </w:r>
            <w:r>
              <w:rPr>
                <w:rFonts w:ascii="宋体" w:hAnsi="宋体" w:eastAsia="宋体" w:cs="宋体"/>
                <w:spacing w:val="7"/>
                <w:sz w:val="20"/>
                <w:szCs w:val="20"/>
                <w14:textOutline w14:w="3797" w14:cap="sq" w14:cmpd="sng" w14:algn="ctr">
                  <w14:solidFill>
                    <w14:srgbClr w14:val="000000"/>
                  </w14:solidFill>
                  <w14:prstDash w14:val="solid"/>
                  <w14:bevel/>
                </w14:textOutline>
              </w:rPr>
              <w:t>界值</w:t>
            </w:r>
            <w:r>
              <w:rPr>
                <w:rFonts w:ascii="宋体" w:hAnsi="宋体" w:eastAsia="宋体" w:cs="宋体"/>
                <w:spacing w:val="7"/>
                <w:sz w:val="20"/>
                <w:szCs w:val="20"/>
              </w:rPr>
              <w:t xml:space="preserve"> </w:t>
            </w:r>
            <w:r>
              <w:rPr>
                <w:rFonts w:ascii="宋体" w:hAnsi="宋体" w:eastAsia="宋体" w:cs="宋体"/>
                <w:spacing w:val="7"/>
                <w:sz w:val="20"/>
                <w:szCs w:val="20"/>
                <w14:textOutline w14:w="3797" w14:cap="sq" w14:cmpd="sng" w14:algn="ctr">
                  <w14:solidFill>
                    <w14:srgbClr w14:val="000000"/>
                  </w14:solidFill>
                  <w14:prstDash w14:val="solid"/>
                  <w14:bevel/>
                </w14:textOutline>
              </w:rPr>
              <w:t>(未处理)</w:t>
            </w:r>
          </w:p>
        </w:tc>
        <w:tc>
          <w:tcPr>
            <w:tcW w:w="1867" w:type="dxa"/>
            <w:gridSpan w:val="2"/>
            <w:tcBorders>
              <w:right w:val="nil"/>
            </w:tcBorders>
          </w:tcPr>
          <w:p w14:paraId="24408140">
            <w:pPr>
              <w:spacing w:before="31" w:line="228" w:lineRule="auto"/>
              <w:ind w:left="624"/>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标</w:t>
            </w:r>
            <w:r>
              <w:rPr>
                <w:rFonts w:ascii="宋体" w:hAnsi="宋体" w:eastAsia="宋体" w:cs="宋体"/>
                <w:spacing w:val="7"/>
                <w:sz w:val="20"/>
                <w:szCs w:val="20"/>
                <w14:textOutline w14:w="3797" w14:cap="sq" w14:cmpd="sng" w14:algn="ctr">
                  <w14:solidFill>
                    <w14:srgbClr w14:val="000000"/>
                  </w14:solidFill>
                  <w14:prstDash w14:val="solid"/>
                  <w14:bevel/>
                </w14:textOutline>
              </w:rPr>
              <w:t>准值</w:t>
            </w:r>
          </w:p>
        </w:tc>
      </w:tr>
      <w:tr w14:paraId="295E5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180" w:type="dxa"/>
            <w:vMerge w:val="continue"/>
            <w:tcBorders>
              <w:top w:val="nil"/>
              <w:left w:val="nil"/>
              <w:right w:val="single" w:color="000000" w:sz="4" w:space="0"/>
            </w:tcBorders>
          </w:tcPr>
          <w:p w14:paraId="1B38E188"/>
        </w:tc>
        <w:tc>
          <w:tcPr>
            <w:tcW w:w="1624" w:type="dxa"/>
            <w:vMerge w:val="continue"/>
            <w:tcBorders>
              <w:top w:val="nil"/>
              <w:left w:val="single" w:color="000000" w:sz="4" w:space="0"/>
              <w:right w:val="single" w:color="000000" w:sz="4" w:space="0"/>
            </w:tcBorders>
          </w:tcPr>
          <w:p w14:paraId="7030DA45"/>
        </w:tc>
        <w:tc>
          <w:tcPr>
            <w:tcW w:w="1766" w:type="dxa"/>
            <w:vMerge w:val="continue"/>
            <w:tcBorders>
              <w:top w:val="nil"/>
              <w:left w:val="single" w:color="000000" w:sz="4" w:space="0"/>
              <w:right w:val="single" w:color="000000" w:sz="4" w:space="0"/>
            </w:tcBorders>
          </w:tcPr>
          <w:p w14:paraId="1D328E4B"/>
        </w:tc>
        <w:tc>
          <w:tcPr>
            <w:tcW w:w="1181" w:type="dxa"/>
            <w:vMerge w:val="continue"/>
            <w:tcBorders>
              <w:top w:val="nil"/>
              <w:left w:val="single" w:color="000000" w:sz="4" w:space="0"/>
              <w:right w:val="single" w:color="000000" w:sz="4" w:space="0"/>
            </w:tcBorders>
          </w:tcPr>
          <w:p w14:paraId="37898539"/>
        </w:tc>
        <w:tc>
          <w:tcPr>
            <w:tcW w:w="967" w:type="dxa"/>
            <w:tcBorders>
              <w:left w:val="single" w:color="000000" w:sz="4" w:space="0"/>
            </w:tcBorders>
          </w:tcPr>
          <w:p w14:paraId="31C8BB77">
            <w:pPr>
              <w:spacing w:before="32" w:line="230" w:lineRule="auto"/>
              <w:ind w:left="275"/>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昼间</w:t>
            </w:r>
          </w:p>
        </w:tc>
        <w:tc>
          <w:tcPr>
            <w:tcW w:w="968" w:type="dxa"/>
          </w:tcPr>
          <w:p w14:paraId="7CCCA350">
            <w:pPr>
              <w:spacing w:before="32" w:line="228" w:lineRule="auto"/>
              <w:ind w:left="282"/>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夜间</w:t>
            </w:r>
          </w:p>
        </w:tc>
        <w:tc>
          <w:tcPr>
            <w:tcW w:w="966" w:type="dxa"/>
          </w:tcPr>
          <w:p w14:paraId="51A22128">
            <w:pPr>
              <w:spacing w:before="32" w:line="230" w:lineRule="auto"/>
              <w:ind w:left="27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昼间</w:t>
            </w:r>
          </w:p>
        </w:tc>
        <w:tc>
          <w:tcPr>
            <w:tcW w:w="901" w:type="dxa"/>
            <w:tcBorders>
              <w:right w:val="nil"/>
            </w:tcBorders>
          </w:tcPr>
          <w:p w14:paraId="53DEE75A">
            <w:pPr>
              <w:spacing w:before="32" w:line="228" w:lineRule="auto"/>
              <w:ind w:left="248"/>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夜间</w:t>
            </w:r>
          </w:p>
        </w:tc>
      </w:tr>
      <w:tr w14:paraId="2DE57E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180" w:type="dxa"/>
            <w:vMerge w:val="restart"/>
            <w:tcBorders>
              <w:left w:val="nil"/>
              <w:bottom w:val="nil"/>
              <w:right w:val="single" w:color="000000" w:sz="4" w:space="0"/>
            </w:tcBorders>
          </w:tcPr>
          <w:p w14:paraId="22357D3A">
            <w:pPr>
              <w:spacing w:before="189" w:line="231" w:lineRule="auto"/>
              <w:ind w:left="388"/>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土</w:t>
            </w:r>
            <w:r>
              <w:rPr>
                <w:rFonts w:ascii="宋体" w:hAnsi="宋体" w:eastAsia="宋体" w:cs="宋体"/>
                <w:spacing w:val="5"/>
                <w:sz w:val="20"/>
                <w:szCs w:val="20"/>
                <w14:textOutline w14:w="3797" w14:cap="sq" w14:cmpd="sng" w14:algn="ctr">
                  <w14:solidFill>
                    <w14:srgbClr w14:val="000000"/>
                  </w14:solidFill>
                  <w14:prstDash w14:val="solid"/>
                  <w14:bevel/>
                </w14:textOutline>
              </w:rPr>
              <w:t>石</w:t>
            </w:r>
          </w:p>
          <w:p w14:paraId="7911CF1E">
            <w:pPr>
              <w:spacing w:before="21" w:line="229" w:lineRule="auto"/>
              <w:ind w:left="73"/>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方</w:t>
            </w:r>
            <w:r>
              <w:rPr>
                <w:rFonts w:ascii="宋体" w:hAnsi="宋体" w:eastAsia="宋体" w:cs="宋体"/>
                <w:spacing w:val="8"/>
                <w:sz w:val="20"/>
                <w:szCs w:val="20"/>
                <w14:textOutline w14:w="3797" w14:cap="sq" w14:cmpd="sng" w14:algn="ctr">
                  <w14:solidFill>
                    <w14:srgbClr w14:val="000000"/>
                  </w14:solidFill>
                  <w14:prstDash w14:val="solid"/>
                  <w14:bevel/>
                </w14:textOutline>
              </w:rPr>
              <w:t>、主体施</w:t>
            </w:r>
          </w:p>
          <w:p w14:paraId="3B43A2D1">
            <w:pPr>
              <w:spacing w:before="25" w:line="229" w:lineRule="auto"/>
              <w:ind w:left="286"/>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工阶</w:t>
            </w:r>
            <w:r>
              <w:rPr>
                <w:rFonts w:ascii="宋体" w:hAnsi="宋体" w:eastAsia="宋体" w:cs="宋体"/>
                <w:spacing w:val="6"/>
                <w:sz w:val="20"/>
                <w:szCs w:val="20"/>
                <w14:textOutline w14:w="3797" w14:cap="sq" w14:cmpd="sng" w14:algn="ctr">
                  <w14:solidFill>
                    <w14:srgbClr w14:val="000000"/>
                  </w14:solidFill>
                  <w14:prstDash w14:val="solid"/>
                  <w14:bevel/>
                </w14:textOutline>
              </w:rPr>
              <w:t>段</w:t>
            </w:r>
          </w:p>
        </w:tc>
        <w:tc>
          <w:tcPr>
            <w:tcW w:w="1624" w:type="dxa"/>
            <w:tcBorders>
              <w:left w:val="single" w:color="000000" w:sz="4" w:space="0"/>
              <w:right w:val="single" w:color="000000" w:sz="4" w:space="0"/>
            </w:tcBorders>
          </w:tcPr>
          <w:p w14:paraId="2CC9FB93">
            <w:pPr>
              <w:spacing w:before="31" w:line="227" w:lineRule="auto"/>
              <w:ind w:left="499"/>
              <w:rPr>
                <w:rFonts w:ascii="宋体" w:hAnsi="宋体" w:eastAsia="宋体" w:cs="宋体"/>
                <w:sz w:val="20"/>
                <w:szCs w:val="20"/>
              </w:rPr>
            </w:pPr>
            <w:r>
              <w:rPr>
                <w:rFonts w:ascii="宋体" w:hAnsi="宋体" w:eastAsia="宋体" w:cs="宋体"/>
                <w:spacing w:val="7"/>
                <w:sz w:val="20"/>
                <w:szCs w:val="20"/>
              </w:rPr>
              <w:t>挖土机</w:t>
            </w:r>
          </w:p>
        </w:tc>
        <w:tc>
          <w:tcPr>
            <w:tcW w:w="1766" w:type="dxa"/>
            <w:tcBorders>
              <w:left w:val="single" w:color="000000" w:sz="4" w:space="0"/>
              <w:right w:val="single" w:color="000000" w:sz="4" w:space="0"/>
            </w:tcBorders>
          </w:tcPr>
          <w:p w14:paraId="5BC51376">
            <w:pPr>
              <w:spacing w:before="67" w:line="195" w:lineRule="auto"/>
              <w:ind w:left="61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7</w:t>
            </w:r>
            <w:r>
              <w:rPr>
                <w:rFonts w:ascii="Times New Roman" w:hAnsi="Times New Roman" w:eastAsia="Times New Roman" w:cs="Times New Roman"/>
                <w:spacing w:val="3"/>
                <w:sz w:val="20"/>
                <w:szCs w:val="20"/>
              </w:rPr>
              <w:t>8~95</w:t>
            </w:r>
          </w:p>
        </w:tc>
        <w:tc>
          <w:tcPr>
            <w:tcW w:w="1181" w:type="dxa"/>
            <w:vMerge w:val="restart"/>
            <w:tcBorders>
              <w:left w:val="single" w:color="000000" w:sz="4" w:space="0"/>
              <w:bottom w:val="nil"/>
              <w:right w:val="single" w:color="000000" w:sz="4" w:space="0"/>
            </w:tcBorders>
          </w:tcPr>
          <w:p w14:paraId="328886A3">
            <w:pPr>
              <w:spacing w:line="393" w:lineRule="auto"/>
            </w:pPr>
          </w:p>
          <w:p w14:paraId="3AA1DCDA">
            <w:pPr>
              <w:spacing w:before="65" w:line="227" w:lineRule="auto"/>
              <w:ind w:left="172"/>
              <w:rPr>
                <w:rFonts w:ascii="宋体" w:hAnsi="宋体" w:eastAsia="宋体" w:cs="宋体"/>
                <w:sz w:val="20"/>
                <w:szCs w:val="20"/>
              </w:rPr>
            </w:pPr>
            <w:r>
              <w:rPr>
                <w:rFonts w:ascii="宋体" w:hAnsi="宋体" w:eastAsia="宋体" w:cs="宋体"/>
                <w:spacing w:val="9"/>
                <w:sz w:val="20"/>
                <w:szCs w:val="20"/>
              </w:rPr>
              <w:t>机</w:t>
            </w:r>
            <w:r>
              <w:rPr>
                <w:rFonts w:ascii="宋体" w:hAnsi="宋体" w:eastAsia="宋体" w:cs="宋体"/>
                <w:spacing w:val="7"/>
                <w:sz w:val="20"/>
                <w:szCs w:val="20"/>
              </w:rPr>
              <w:t>械噪声</w:t>
            </w:r>
          </w:p>
        </w:tc>
        <w:tc>
          <w:tcPr>
            <w:tcW w:w="967" w:type="dxa"/>
            <w:vMerge w:val="restart"/>
            <w:tcBorders>
              <w:left w:val="single" w:color="000000" w:sz="4" w:space="0"/>
              <w:bottom w:val="nil"/>
            </w:tcBorders>
          </w:tcPr>
          <w:p w14:paraId="6EA27587">
            <w:pPr>
              <w:spacing w:line="439" w:lineRule="auto"/>
            </w:pPr>
          </w:p>
          <w:p w14:paraId="6983B02E">
            <w:pPr>
              <w:spacing w:before="57" w:line="195"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7</w:t>
            </w:r>
            <w:r>
              <w:rPr>
                <w:rFonts w:ascii="Times New Roman" w:hAnsi="Times New Roman" w:eastAsia="Times New Roman" w:cs="Times New Roman"/>
                <w:spacing w:val="3"/>
                <w:sz w:val="20"/>
                <w:szCs w:val="20"/>
              </w:rPr>
              <w:t>5~85</w:t>
            </w:r>
          </w:p>
        </w:tc>
        <w:tc>
          <w:tcPr>
            <w:tcW w:w="968" w:type="dxa"/>
            <w:vMerge w:val="restart"/>
            <w:tcBorders>
              <w:bottom w:val="nil"/>
            </w:tcBorders>
          </w:tcPr>
          <w:p w14:paraId="7C0AC387">
            <w:pPr>
              <w:spacing w:line="439" w:lineRule="auto"/>
            </w:pPr>
          </w:p>
          <w:p w14:paraId="43FC04AF">
            <w:pPr>
              <w:spacing w:before="57" w:line="195" w:lineRule="auto"/>
              <w:ind w:left="22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7</w:t>
            </w:r>
            <w:r>
              <w:rPr>
                <w:rFonts w:ascii="Times New Roman" w:hAnsi="Times New Roman" w:eastAsia="Times New Roman" w:cs="Times New Roman"/>
                <w:spacing w:val="3"/>
                <w:sz w:val="20"/>
                <w:szCs w:val="20"/>
              </w:rPr>
              <w:t>5~85</w:t>
            </w:r>
          </w:p>
        </w:tc>
        <w:tc>
          <w:tcPr>
            <w:tcW w:w="966" w:type="dxa"/>
            <w:vMerge w:val="restart"/>
            <w:tcBorders>
              <w:bottom w:val="nil"/>
            </w:tcBorders>
          </w:tcPr>
          <w:p w14:paraId="364C841E">
            <w:pPr>
              <w:spacing w:line="439" w:lineRule="auto"/>
            </w:pPr>
          </w:p>
          <w:p w14:paraId="307544DF">
            <w:pPr>
              <w:spacing w:before="57" w:line="195" w:lineRule="auto"/>
              <w:ind w:left="38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70</w:t>
            </w:r>
          </w:p>
        </w:tc>
        <w:tc>
          <w:tcPr>
            <w:tcW w:w="901" w:type="dxa"/>
            <w:vMerge w:val="restart"/>
            <w:tcBorders>
              <w:bottom w:val="nil"/>
              <w:right w:val="nil"/>
            </w:tcBorders>
          </w:tcPr>
          <w:p w14:paraId="1DDFEDEA">
            <w:pPr>
              <w:spacing w:line="441" w:lineRule="auto"/>
            </w:pPr>
          </w:p>
          <w:p w14:paraId="32B6E7C0">
            <w:pPr>
              <w:spacing w:before="58" w:line="192" w:lineRule="auto"/>
              <w:ind w:left="353"/>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r>
      <w:tr w14:paraId="4C41E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180" w:type="dxa"/>
            <w:vMerge w:val="continue"/>
            <w:tcBorders>
              <w:top w:val="nil"/>
              <w:left w:val="nil"/>
              <w:bottom w:val="nil"/>
              <w:right w:val="single" w:color="000000" w:sz="4" w:space="0"/>
            </w:tcBorders>
          </w:tcPr>
          <w:p w14:paraId="581FAA41"/>
        </w:tc>
        <w:tc>
          <w:tcPr>
            <w:tcW w:w="1624" w:type="dxa"/>
            <w:tcBorders>
              <w:left w:val="single" w:color="000000" w:sz="4" w:space="0"/>
              <w:right w:val="single" w:color="000000" w:sz="4" w:space="0"/>
            </w:tcBorders>
          </w:tcPr>
          <w:p w14:paraId="51D35ACD">
            <w:pPr>
              <w:spacing w:before="32" w:line="227" w:lineRule="auto"/>
              <w:ind w:left="501"/>
              <w:rPr>
                <w:rFonts w:ascii="宋体" w:hAnsi="宋体" w:eastAsia="宋体" w:cs="宋体"/>
                <w:sz w:val="20"/>
                <w:szCs w:val="20"/>
              </w:rPr>
            </w:pPr>
            <w:r>
              <w:rPr>
                <w:rFonts w:ascii="宋体" w:hAnsi="宋体" w:eastAsia="宋体" w:cs="宋体"/>
                <w:spacing w:val="7"/>
                <w:sz w:val="20"/>
                <w:szCs w:val="20"/>
              </w:rPr>
              <w:t>冲</w:t>
            </w:r>
            <w:r>
              <w:rPr>
                <w:rFonts w:ascii="宋体" w:hAnsi="宋体" w:eastAsia="宋体" w:cs="宋体"/>
                <w:spacing w:val="6"/>
                <w:sz w:val="20"/>
                <w:szCs w:val="20"/>
              </w:rPr>
              <w:t>击机</w:t>
            </w:r>
          </w:p>
        </w:tc>
        <w:tc>
          <w:tcPr>
            <w:tcW w:w="1766" w:type="dxa"/>
            <w:tcBorders>
              <w:left w:val="single" w:color="000000" w:sz="4" w:space="0"/>
              <w:right w:val="single" w:color="000000" w:sz="4" w:space="0"/>
            </w:tcBorders>
          </w:tcPr>
          <w:p w14:paraId="344F467C">
            <w:pPr>
              <w:spacing w:before="68" w:line="195" w:lineRule="auto"/>
              <w:ind w:left="78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w:t>
            </w:r>
            <w:r>
              <w:rPr>
                <w:rFonts w:ascii="Times New Roman" w:hAnsi="Times New Roman" w:eastAsia="Times New Roman" w:cs="Times New Roman"/>
                <w:sz w:val="20"/>
                <w:szCs w:val="20"/>
              </w:rPr>
              <w:t>5</w:t>
            </w:r>
          </w:p>
        </w:tc>
        <w:tc>
          <w:tcPr>
            <w:tcW w:w="1181" w:type="dxa"/>
            <w:vMerge w:val="continue"/>
            <w:tcBorders>
              <w:top w:val="nil"/>
              <w:left w:val="single" w:color="000000" w:sz="4" w:space="0"/>
              <w:bottom w:val="nil"/>
              <w:right w:val="single" w:color="000000" w:sz="4" w:space="0"/>
            </w:tcBorders>
          </w:tcPr>
          <w:p w14:paraId="604FDEFB"/>
        </w:tc>
        <w:tc>
          <w:tcPr>
            <w:tcW w:w="967" w:type="dxa"/>
            <w:vMerge w:val="continue"/>
            <w:tcBorders>
              <w:top w:val="nil"/>
              <w:left w:val="single" w:color="000000" w:sz="4" w:space="0"/>
              <w:bottom w:val="nil"/>
            </w:tcBorders>
          </w:tcPr>
          <w:p w14:paraId="732A3E83"/>
        </w:tc>
        <w:tc>
          <w:tcPr>
            <w:tcW w:w="968" w:type="dxa"/>
            <w:vMerge w:val="continue"/>
            <w:tcBorders>
              <w:top w:val="nil"/>
              <w:bottom w:val="nil"/>
            </w:tcBorders>
          </w:tcPr>
          <w:p w14:paraId="36AD270B"/>
        </w:tc>
        <w:tc>
          <w:tcPr>
            <w:tcW w:w="966" w:type="dxa"/>
            <w:vMerge w:val="continue"/>
            <w:tcBorders>
              <w:top w:val="nil"/>
              <w:bottom w:val="nil"/>
            </w:tcBorders>
          </w:tcPr>
          <w:p w14:paraId="2BBFA9CA"/>
        </w:tc>
        <w:tc>
          <w:tcPr>
            <w:tcW w:w="901" w:type="dxa"/>
            <w:vMerge w:val="continue"/>
            <w:tcBorders>
              <w:top w:val="nil"/>
              <w:bottom w:val="nil"/>
              <w:right w:val="nil"/>
            </w:tcBorders>
          </w:tcPr>
          <w:p w14:paraId="72E16739"/>
        </w:tc>
      </w:tr>
      <w:tr w14:paraId="6AA03C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180" w:type="dxa"/>
            <w:vMerge w:val="continue"/>
            <w:tcBorders>
              <w:top w:val="nil"/>
              <w:left w:val="nil"/>
              <w:bottom w:val="nil"/>
              <w:right w:val="single" w:color="000000" w:sz="4" w:space="0"/>
            </w:tcBorders>
          </w:tcPr>
          <w:p w14:paraId="16985F05"/>
        </w:tc>
        <w:tc>
          <w:tcPr>
            <w:tcW w:w="1624" w:type="dxa"/>
            <w:tcBorders>
              <w:left w:val="single" w:color="000000" w:sz="4" w:space="0"/>
              <w:right w:val="single" w:color="000000" w:sz="4" w:space="0"/>
            </w:tcBorders>
          </w:tcPr>
          <w:p w14:paraId="6E81FA1C">
            <w:pPr>
              <w:spacing w:before="33" w:line="227" w:lineRule="auto"/>
              <w:ind w:left="507"/>
              <w:rPr>
                <w:rFonts w:ascii="宋体" w:hAnsi="宋体" w:eastAsia="宋体" w:cs="宋体"/>
                <w:sz w:val="20"/>
                <w:szCs w:val="20"/>
              </w:rPr>
            </w:pPr>
            <w:r>
              <w:rPr>
                <w:rFonts w:ascii="宋体" w:hAnsi="宋体" w:eastAsia="宋体" w:cs="宋体"/>
                <w:spacing w:val="6"/>
                <w:sz w:val="20"/>
                <w:szCs w:val="20"/>
              </w:rPr>
              <w:t>空</w:t>
            </w:r>
            <w:r>
              <w:rPr>
                <w:rFonts w:ascii="宋体" w:hAnsi="宋体" w:eastAsia="宋体" w:cs="宋体"/>
                <w:spacing w:val="4"/>
                <w:sz w:val="20"/>
                <w:szCs w:val="20"/>
              </w:rPr>
              <w:t>压机</w:t>
            </w:r>
          </w:p>
        </w:tc>
        <w:tc>
          <w:tcPr>
            <w:tcW w:w="1766" w:type="dxa"/>
            <w:tcBorders>
              <w:left w:val="single" w:color="000000" w:sz="4" w:space="0"/>
              <w:right w:val="single" w:color="000000" w:sz="4" w:space="0"/>
            </w:tcBorders>
          </w:tcPr>
          <w:p w14:paraId="0B650653">
            <w:pPr>
              <w:spacing w:before="69" w:line="195" w:lineRule="auto"/>
              <w:ind w:left="61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7</w:t>
            </w:r>
            <w:r>
              <w:rPr>
                <w:rFonts w:ascii="Times New Roman" w:hAnsi="Times New Roman" w:eastAsia="Times New Roman" w:cs="Times New Roman"/>
                <w:spacing w:val="3"/>
                <w:sz w:val="20"/>
                <w:szCs w:val="20"/>
              </w:rPr>
              <w:t>5~85</w:t>
            </w:r>
          </w:p>
        </w:tc>
        <w:tc>
          <w:tcPr>
            <w:tcW w:w="1181" w:type="dxa"/>
            <w:vMerge w:val="continue"/>
            <w:tcBorders>
              <w:top w:val="nil"/>
              <w:left w:val="single" w:color="000000" w:sz="4" w:space="0"/>
              <w:bottom w:val="nil"/>
              <w:right w:val="single" w:color="000000" w:sz="4" w:space="0"/>
            </w:tcBorders>
          </w:tcPr>
          <w:p w14:paraId="3DB06542"/>
        </w:tc>
        <w:tc>
          <w:tcPr>
            <w:tcW w:w="967" w:type="dxa"/>
            <w:vMerge w:val="continue"/>
            <w:tcBorders>
              <w:top w:val="nil"/>
              <w:left w:val="single" w:color="000000" w:sz="4" w:space="0"/>
              <w:bottom w:val="nil"/>
            </w:tcBorders>
          </w:tcPr>
          <w:p w14:paraId="33297D47"/>
        </w:tc>
        <w:tc>
          <w:tcPr>
            <w:tcW w:w="968" w:type="dxa"/>
            <w:vMerge w:val="continue"/>
            <w:tcBorders>
              <w:top w:val="nil"/>
              <w:bottom w:val="nil"/>
            </w:tcBorders>
          </w:tcPr>
          <w:p w14:paraId="59B7E0A3"/>
        </w:tc>
        <w:tc>
          <w:tcPr>
            <w:tcW w:w="966" w:type="dxa"/>
            <w:vMerge w:val="continue"/>
            <w:tcBorders>
              <w:top w:val="nil"/>
              <w:bottom w:val="nil"/>
            </w:tcBorders>
          </w:tcPr>
          <w:p w14:paraId="7E31B0DE"/>
        </w:tc>
        <w:tc>
          <w:tcPr>
            <w:tcW w:w="901" w:type="dxa"/>
            <w:vMerge w:val="continue"/>
            <w:tcBorders>
              <w:top w:val="nil"/>
              <w:bottom w:val="nil"/>
              <w:right w:val="nil"/>
            </w:tcBorders>
          </w:tcPr>
          <w:p w14:paraId="535B24D1"/>
        </w:tc>
      </w:tr>
      <w:tr w14:paraId="24DCB5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180" w:type="dxa"/>
            <w:vMerge w:val="continue"/>
            <w:tcBorders>
              <w:top w:val="nil"/>
              <w:left w:val="nil"/>
              <w:right w:val="single" w:color="000000" w:sz="4" w:space="0"/>
            </w:tcBorders>
          </w:tcPr>
          <w:p w14:paraId="2042594F"/>
        </w:tc>
        <w:tc>
          <w:tcPr>
            <w:tcW w:w="1624" w:type="dxa"/>
            <w:tcBorders>
              <w:left w:val="single" w:color="000000" w:sz="4" w:space="0"/>
              <w:right w:val="single" w:color="000000" w:sz="4" w:space="0"/>
            </w:tcBorders>
          </w:tcPr>
          <w:p w14:paraId="2C68F25C">
            <w:pPr>
              <w:spacing w:before="31" w:line="227" w:lineRule="auto"/>
              <w:ind w:left="501"/>
              <w:rPr>
                <w:rFonts w:ascii="宋体" w:hAnsi="宋体" w:eastAsia="宋体" w:cs="宋体"/>
                <w:sz w:val="20"/>
                <w:szCs w:val="20"/>
              </w:rPr>
            </w:pPr>
            <w:r>
              <w:rPr>
                <w:rFonts w:ascii="宋体" w:hAnsi="宋体" w:eastAsia="宋体" w:cs="宋体"/>
                <w:spacing w:val="7"/>
                <w:sz w:val="20"/>
                <w:szCs w:val="20"/>
              </w:rPr>
              <w:t>压</w:t>
            </w:r>
            <w:r>
              <w:rPr>
                <w:rFonts w:ascii="宋体" w:hAnsi="宋体" w:eastAsia="宋体" w:cs="宋体"/>
                <w:spacing w:val="6"/>
                <w:sz w:val="20"/>
                <w:szCs w:val="20"/>
              </w:rPr>
              <w:t>缩机</w:t>
            </w:r>
          </w:p>
        </w:tc>
        <w:tc>
          <w:tcPr>
            <w:tcW w:w="1766" w:type="dxa"/>
            <w:tcBorders>
              <w:left w:val="single" w:color="000000" w:sz="4" w:space="0"/>
              <w:right w:val="single" w:color="000000" w:sz="4" w:space="0"/>
            </w:tcBorders>
          </w:tcPr>
          <w:p w14:paraId="512671E9">
            <w:pPr>
              <w:spacing w:before="67" w:line="195" w:lineRule="auto"/>
              <w:ind w:left="61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7</w:t>
            </w:r>
            <w:r>
              <w:rPr>
                <w:rFonts w:ascii="Times New Roman" w:hAnsi="Times New Roman" w:eastAsia="Times New Roman" w:cs="Times New Roman"/>
                <w:spacing w:val="3"/>
                <w:sz w:val="20"/>
                <w:szCs w:val="20"/>
              </w:rPr>
              <w:t>5~88</w:t>
            </w:r>
          </w:p>
        </w:tc>
        <w:tc>
          <w:tcPr>
            <w:tcW w:w="1181" w:type="dxa"/>
            <w:vMerge w:val="continue"/>
            <w:tcBorders>
              <w:top w:val="nil"/>
              <w:left w:val="single" w:color="000000" w:sz="4" w:space="0"/>
              <w:right w:val="single" w:color="000000" w:sz="4" w:space="0"/>
            </w:tcBorders>
          </w:tcPr>
          <w:p w14:paraId="4AECE437"/>
        </w:tc>
        <w:tc>
          <w:tcPr>
            <w:tcW w:w="967" w:type="dxa"/>
            <w:vMerge w:val="continue"/>
            <w:tcBorders>
              <w:top w:val="nil"/>
              <w:left w:val="single" w:color="000000" w:sz="4" w:space="0"/>
            </w:tcBorders>
          </w:tcPr>
          <w:p w14:paraId="7CFBF362"/>
        </w:tc>
        <w:tc>
          <w:tcPr>
            <w:tcW w:w="968" w:type="dxa"/>
            <w:vMerge w:val="continue"/>
            <w:tcBorders>
              <w:top w:val="nil"/>
            </w:tcBorders>
          </w:tcPr>
          <w:p w14:paraId="68B4FBE6"/>
        </w:tc>
        <w:tc>
          <w:tcPr>
            <w:tcW w:w="966" w:type="dxa"/>
            <w:vMerge w:val="continue"/>
            <w:tcBorders>
              <w:top w:val="nil"/>
            </w:tcBorders>
          </w:tcPr>
          <w:p w14:paraId="023085CB"/>
        </w:tc>
        <w:tc>
          <w:tcPr>
            <w:tcW w:w="901" w:type="dxa"/>
            <w:vMerge w:val="continue"/>
            <w:tcBorders>
              <w:top w:val="nil"/>
              <w:right w:val="nil"/>
            </w:tcBorders>
          </w:tcPr>
          <w:p w14:paraId="1A896B0E"/>
        </w:tc>
      </w:tr>
      <w:tr w14:paraId="4E9851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180" w:type="dxa"/>
            <w:vMerge w:val="restart"/>
            <w:tcBorders>
              <w:left w:val="nil"/>
              <w:bottom w:val="nil"/>
              <w:right w:val="single" w:color="000000" w:sz="4" w:space="0"/>
            </w:tcBorders>
          </w:tcPr>
          <w:p w14:paraId="42244B2D">
            <w:pPr>
              <w:spacing w:line="263" w:lineRule="auto"/>
            </w:pPr>
          </w:p>
          <w:p w14:paraId="0564CF06">
            <w:pPr>
              <w:spacing w:before="65" w:line="265" w:lineRule="auto"/>
              <w:ind w:left="183" w:right="162" w:firstLine="99"/>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底板与</w:t>
            </w:r>
            <w:r>
              <w:rPr>
                <w:rFonts w:ascii="宋体" w:hAnsi="宋体" w:eastAsia="宋体" w:cs="宋体"/>
                <w:sz w:val="20"/>
                <w:szCs w:val="20"/>
              </w:rPr>
              <w:t xml:space="preserve"> </w:t>
            </w:r>
            <w:r>
              <w:rPr>
                <w:rFonts w:ascii="宋体" w:hAnsi="宋体" w:eastAsia="宋体" w:cs="宋体"/>
                <w:spacing w:val="8"/>
                <w:sz w:val="20"/>
                <w:szCs w:val="20"/>
                <w14:textOutline w14:w="3797" w14:cap="sq" w14:cmpd="sng" w14:algn="ctr">
                  <w14:solidFill>
                    <w14:srgbClr w14:val="000000"/>
                  </w14:solidFill>
                  <w14:prstDash w14:val="solid"/>
                  <w14:bevel/>
                </w14:textOutline>
              </w:rPr>
              <w:t>结</w:t>
            </w:r>
            <w:r>
              <w:rPr>
                <w:rFonts w:ascii="宋体" w:hAnsi="宋体" w:eastAsia="宋体" w:cs="宋体"/>
                <w:spacing w:val="7"/>
                <w:sz w:val="20"/>
                <w:szCs w:val="20"/>
                <w14:textOutline w14:w="3797" w14:cap="sq" w14:cmpd="sng" w14:algn="ctr">
                  <w14:solidFill>
                    <w14:srgbClr w14:val="000000"/>
                  </w14:solidFill>
                  <w14:prstDash w14:val="solid"/>
                  <w14:bevel/>
                </w14:textOutline>
              </w:rPr>
              <w:t>构阶段</w:t>
            </w:r>
          </w:p>
        </w:tc>
        <w:tc>
          <w:tcPr>
            <w:tcW w:w="1624" w:type="dxa"/>
            <w:tcBorders>
              <w:left w:val="single" w:color="000000" w:sz="4" w:space="0"/>
              <w:right w:val="single" w:color="000000" w:sz="4" w:space="0"/>
            </w:tcBorders>
          </w:tcPr>
          <w:p w14:paraId="0766CC36">
            <w:pPr>
              <w:spacing w:before="33" w:line="228" w:lineRule="auto"/>
              <w:ind w:left="186"/>
              <w:rPr>
                <w:rFonts w:ascii="宋体" w:hAnsi="宋体" w:eastAsia="宋体" w:cs="宋体"/>
                <w:sz w:val="20"/>
                <w:szCs w:val="20"/>
              </w:rPr>
            </w:pPr>
            <w:r>
              <w:rPr>
                <w:rFonts w:ascii="宋体" w:hAnsi="宋体" w:eastAsia="宋体" w:cs="宋体"/>
                <w:spacing w:val="8"/>
                <w:sz w:val="20"/>
                <w:szCs w:val="20"/>
              </w:rPr>
              <w:t>混凝土输送</w:t>
            </w:r>
            <w:r>
              <w:rPr>
                <w:rFonts w:ascii="宋体" w:hAnsi="宋体" w:eastAsia="宋体" w:cs="宋体"/>
                <w:spacing w:val="7"/>
                <w:sz w:val="20"/>
                <w:szCs w:val="20"/>
              </w:rPr>
              <w:t>泵</w:t>
            </w:r>
          </w:p>
        </w:tc>
        <w:tc>
          <w:tcPr>
            <w:tcW w:w="1766" w:type="dxa"/>
            <w:tcBorders>
              <w:left w:val="single" w:color="000000" w:sz="4" w:space="0"/>
              <w:right w:val="single" w:color="000000" w:sz="4" w:space="0"/>
            </w:tcBorders>
          </w:tcPr>
          <w:p w14:paraId="0DB4DB7C">
            <w:pPr>
              <w:spacing w:before="69" w:line="195" w:lineRule="auto"/>
              <w:ind w:left="56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90~ 10</w:t>
            </w:r>
            <w:r>
              <w:rPr>
                <w:rFonts w:ascii="Times New Roman" w:hAnsi="Times New Roman" w:eastAsia="Times New Roman" w:cs="Times New Roman"/>
                <w:spacing w:val="-3"/>
                <w:sz w:val="20"/>
                <w:szCs w:val="20"/>
              </w:rPr>
              <w:t>0</w:t>
            </w:r>
          </w:p>
        </w:tc>
        <w:tc>
          <w:tcPr>
            <w:tcW w:w="1181" w:type="dxa"/>
            <w:vMerge w:val="restart"/>
            <w:tcBorders>
              <w:left w:val="single" w:color="000000" w:sz="4" w:space="0"/>
              <w:bottom w:val="nil"/>
              <w:right w:val="single" w:color="000000" w:sz="4" w:space="0"/>
            </w:tcBorders>
          </w:tcPr>
          <w:p w14:paraId="6E54C96F">
            <w:pPr>
              <w:spacing w:line="396" w:lineRule="auto"/>
            </w:pPr>
          </w:p>
          <w:p w14:paraId="45C099AA">
            <w:pPr>
              <w:spacing w:before="65" w:line="227" w:lineRule="auto"/>
              <w:ind w:left="172"/>
              <w:rPr>
                <w:rFonts w:ascii="宋体" w:hAnsi="宋体" w:eastAsia="宋体" w:cs="宋体"/>
                <w:sz w:val="20"/>
                <w:szCs w:val="20"/>
              </w:rPr>
            </w:pPr>
            <w:r>
              <w:rPr>
                <w:rFonts w:ascii="宋体" w:hAnsi="宋体" w:eastAsia="宋体" w:cs="宋体"/>
                <w:spacing w:val="9"/>
                <w:sz w:val="20"/>
                <w:szCs w:val="20"/>
              </w:rPr>
              <w:t>机</w:t>
            </w:r>
            <w:r>
              <w:rPr>
                <w:rFonts w:ascii="宋体" w:hAnsi="宋体" w:eastAsia="宋体" w:cs="宋体"/>
                <w:spacing w:val="7"/>
                <w:sz w:val="20"/>
                <w:szCs w:val="20"/>
              </w:rPr>
              <w:t>械噪声</w:t>
            </w:r>
          </w:p>
        </w:tc>
        <w:tc>
          <w:tcPr>
            <w:tcW w:w="967" w:type="dxa"/>
            <w:vMerge w:val="restart"/>
            <w:tcBorders>
              <w:left w:val="single" w:color="000000" w:sz="4" w:space="0"/>
              <w:bottom w:val="nil"/>
            </w:tcBorders>
          </w:tcPr>
          <w:p w14:paraId="08D3EFCB">
            <w:pPr>
              <w:spacing w:line="441" w:lineRule="auto"/>
            </w:pPr>
          </w:p>
          <w:p w14:paraId="45A2FAD7">
            <w:pPr>
              <w:spacing w:before="58" w:line="195"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7</w:t>
            </w:r>
            <w:r>
              <w:rPr>
                <w:rFonts w:ascii="Times New Roman" w:hAnsi="Times New Roman" w:eastAsia="Times New Roman" w:cs="Times New Roman"/>
                <w:spacing w:val="3"/>
                <w:sz w:val="20"/>
                <w:szCs w:val="20"/>
              </w:rPr>
              <w:t>0~85</w:t>
            </w:r>
          </w:p>
        </w:tc>
        <w:tc>
          <w:tcPr>
            <w:tcW w:w="968" w:type="dxa"/>
            <w:vMerge w:val="restart"/>
            <w:tcBorders>
              <w:bottom w:val="nil"/>
            </w:tcBorders>
          </w:tcPr>
          <w:p w14:paraId="187DD782">
            <w:pPr>
              <w:spacing w:line="441" w:lineRule="auto"/>
            </w:pPr>
          </w:p>
          <w:p w14:paraId="2EC1620E">
            <w:pPr>
              <w:spacing w:before="58" w:line="195" w:lineRule="auto"/>
              <w:ind w:left="22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7</w:t>
            </w:r>
            <w:r>
              <w:rPr>
                <w:rFonts w:ascii="Times New Roman" w:hAnsi="Times New Roman" w:eastAsia="Times New Roman" w:cs="Times New Roman"/>
                <w:spacing w:val="3"/>
                <w:sz w:val="20"/>
                <w:szCs w:val="20"/>
              </w:rPr>
              <w:t>0~85</w:t>
            </w:r>
          </w:p>
        </w:tc>
        <w:tc>
          <w:tcPr>
            <w:tcW w:w="966" w:type="dxa"/>
            <w:vMerge w:val="restart"/>
            <w:tcBorders>
              <w:bottom w:val="nil"/>
            </w:tcBorders>
          </w:tcPr>
          <w:p w14:paraId="4BDB8608">
            <w:pPr>
              <w:spacing w:line="441" w:lineRule="auto"/>
            </w:pPr>
          </w:p>
          <w:p w14:paraId="3FB1BDAB">
            <w:pPr>
              <w:spacing w:before="58" w:line="195" w:lineRule="auto"/>
              <w:ind w:left="38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70</w:t>
            </w:r>
          </w:p>
        </w:tc>
        <w:tc>
          <w:tcPr>
            <w:tcW w:w="901" w:type="dxa"/>
            <w:vMerge w:val="restart"/>
            <w:tcBorders>
              <w:bottom w:val="nil"/>
              <w:right w:val="nil"/>
            </w:tcBorders>
          </w:tcPr>
          <w:p w14:paraId="20C61E04">
            <w:pPr>
              <w:spacing w:line="444" w:lineRule="auto"/>
            </w:pPr>
          </w:p>
          <w:p w14:paraId="6B7A5192">
            <w:pPr>
              <w:spacing w:before="58" w:line="192" w:lineRule="auto"/>
              <w:ind w:left="353"/>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r>
      <w:tr w14:paraId="08D031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180" w:type="dxa"/>
            <w:vMerge w:val="continue"/>
            <w:tcBorders>
              <w:top w:val="nil"/>
              <w:left w:val="nil"/>
              <w:bottom w:val="nil"/>
              <w:right w:val="single" w:color="000000" w:sz="4" w:space="0"/>
            </w:tcBorders>
          </w:tcPr>
          <w:p w14:paraId="44716D19"/>
        </w:tc>
        <w:tc>
          <w:tcPr>
            <w:tcW w:w="1624" w:type="dxa"/>
            <w:tcBorders>
              <w:left w:val="single" w:color="000000" w:sz="4" w:space="0"/>
              <w:right w:val="single" w:color="000000" w:sz="4" w:space="0"/>
            </w:tcBorders>
          </w:tcPr>
          <w:p w14:paraId="4E732D0D">
            <w:pPr>
              <w:spacing w:before="34" w:line="228" w:lineRule="auto"/>
              <w:ind w:left="499"/>
              <w:rPr>
                <w:rFonts w:ascii="宋体" w:hAnsi="宋体" w:eastAsia="宋体" w:cs="宋体"/>
                <w:sz w:val="20"/>
                <w:szCs w:val="20"/>
              </w:rPr>
            </w:pPr>
            <w:r>
              <w:rPr>
                <w:rFonts w:ascii="宋体" w:hAnsi="宋体" w:eastAsia="宋体" w:cs="宋体"/>
                <w:spacing w:val="7"/>
                <w:sz w:val="20"/>
                <w:szCs w:val="20"/>
              </w:rPr>
              <w:t>振捣器</w:t>
            </w:r>
          </w:p>
        </w:tc>
        <w:tc>
          <w:tcPr>
            <w:tcW w:w="1766" w:type="dxa"/>
            <w:tcBorders>
              <w:left w:val="single" w:color="000000" w:sz="4" w:space="0"/>
              <w:right w:val="single" w:color="000000" w:sz="4" w:space="0"/>
            </w:tcBorders>
          </w:tcPr>
          <w:p w14:paraId="339424D0">
            <w:pPr>
              <w:spacing w:before="70" w:line="195"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6"/>
                <w:sz w:val="20"/>
                <w:szCs w:val="20"/>
              </w:rPr>
              <w:t>0</w:t>
            </w:r>
            <w:r>
              <w:rPr>
                <w:rFonts w:ascii="Times New Roman" w:hAnsi="Times New Roman" w:eastAsia="Times New Roman" w:cs="Times New Roman"/>
                <w:spacing w:val="-4"/>
                <w:sz w:val="20"/>
                <w:szCs w:val="20"/>
              </w:rPr>
              <w:t>0~ 105</w:t>
            </w:r>
          </w:p>
        </w:tc>
        <w:tc>
          <w:tcPr>
            <w:tcW w:w="1181" w:type="dxa"/>
            <w:vMerge w:val="continue"/>
            <w:tcBorders>
              <w:top w:val="nil"/>
              <w:left w:val="single" w:color="000000" w:sz="4" w:space="0"/>
              <w:bottom w:val="nil"/>
              <w:right w:val="single" w:color="000000" w:sz="4" w:space="0"/>
            </w:tcBorders>
          </w:tcPr>
          <w:p w14:paraId="55551847"/>
        </w:tc>
        <w:tc>
          <w:tcPr>
            <w:tcW w:w="967" w:type="dxa"/>
            <w:vMerge w:val="continue"/>
            <w:tcBorders>
              <w:top w:val="nil"/>
              <w:left w:val="single" w:color="000000" w:sz="4" w:space="0"/>
              <w:bottom w:val="nil"/>
            </w:tcBorders>
          </w:tcPr>
          <w:p w14:paraId="3C913808"/>
        </w:tc>
        <w:tc>
          <w:tcPr>
            <w:tcW w:w="968" w:type="dxa"/>
            <w:vMerge w:val="continue"/>
            <w:tcBorders>
              <w:top w:val="nil"/>
              <w:bottom w:val="nil"/>
            </w:tcBorders>
          </w:tcPr>
          <w:p w14:paraId="2A1F5563"/>
        </w:tc>
        <w:tc>
          <w:tcPr>
            <w:tcW w:w="966" w:type="dxa"/>
            <w:vMerge w:val="continue"/>
            <w:tcBorders>
              <w:top w:val="nil"/>
              <w:bottom w:val="nil"/>
            </w:tcBorders>
          </w:tcPr>
          <w:p w14:paraId="0F1B7F93"/>
        </w:tc>
        <w:tc>
          <w:tcPr>
            <w:tcW w:w="901" w:type="dxa"/>
            <w:vMerge w:val="continue"/>
            <w:tcBorders>
              <w:top w:val="nil"/>
              <w:bottom w:val="nil"/>
              <w:right w:val="nil"/>
            </w:tcBorders>
          </w:tcPr>
          <w:p w14:paraId="2CF9DE41"/>
        </w:tc>
      </w:tr>
      <w:tr w14:paraId="55549C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180" w:type="dxa"/>
            <w:vMerge w:val="continue"/>
            <w:tcBorders>
              <w:top w:val="nil"/>
              <w:left w:val="nil"/>
              <w:bottom w:val="nil"/>
              <w:right w:val="single" w:color="000000" w:sz="4" w:space="0"/>
            </w:tcBorders>
          </w:tcPr>
          <w:p w14:paraId="3611F0FD"/>
        </w:tc>
        <w:tc>
          <w:tcPr>
            <w:tcW w:w="1624" w:type="dxa"/>
            <w:tcBorders>
              <w:left w:val="single" w:color="000000" w:sz="4" w:space="0"/>
              <w:right w:val="single" w:color="000000" w:sz="4" w:space="0"/>
            </w:tcBorders>
          </w:tcPr>
          <w:p w14:paraId="6956EA02">
            <w:pPr>
              <w:spacing w:before="36" w:line="227" w:lineRule="auto"/>
              <w:ind w:left="628"/>
              <w:rPr>
                <w:rFonts w:ascii="宋体" w:hAnsi="宋体" w:eastAsia="宋体" w:cs="宋体"/>
                <w:sz w:val="20"/>
                <w:szCs w:val="20"/>
              </w:rPr>
            </w:pPr>
            <w:r>
              <w:rPr>
                <w:rFonts w:ascii="宋体" w:hAnsi="宋体" w:eastAsia="宋体" w:cs="宋体"/>
                <w:spacing w:val="-8"/>
                <w:sz w:val="20"/>
                <w:szCs w:val="20"/>
              </w:rPr>
              <w:t>电</w:t>
            </w:r>
            <w:r>
              <w:rPr>
                <w:rFonts w:ascii="宋体" w:hAnsi="宋体" w:eastAsia="宋体" w:cs="宋体"/>
                <w:spacing w:val="-7"/>
                <w:sz w:val="20"/>
                <w:szCs w:val="20"/>
              </w:rPr>
              <w:t>锯</w:t>
            </w:r>
          </w:p>
        </w:tc>
        <w:tc>
          <w:tcPr>
            <w:tcW w:w="1766" w:type="dxa"/>
            <w:tcBorders>
              <w:left w:val="single" w:color="000000" w:sz="4" w:space="0"/>
              <w:right w:val="single" w:color="000000" w:sz="4" w:space="0"/>
            </w:tcBorders>
          </w:tcPr>
          <w:p w14:paraId="465C2F3C">
            <w:pPr>
              <w:spacing w:before="71" w:line="195"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6"/>
                <w:sz w:val="20"/>
                <w:szCs w:val="20"/>
              </w:rPr>
              <w:t>0</w:t>
            </w:r>
            <w:r>
              <w:rPr>
                <w:rFonts w:ascii="Times New Roman" w:hAnsi="Times New Roman" w:eastAsia="Times New Roman" w:cs="Times New Roman"/>
                <w:spacing w:val="-4"/>
                <w:sz w:val="20"/>
                <w:szCs w:val="20"/>
              </w:rPr>
              <w:t>0~ 105</w:t>
            </w:r>
          </w:p>
        </w:tc>
        <w:tc>
          <w:tcPr>
            <w:tcW w:w="1181" w:type="dxa"/>
            <w:vMerge w:val="continue"/>
            <w:tcBorders>
              <w:top w:val="nil"/>
              <w:left w:val="single" w:color="000000" w:sz="4" w:space="0"/>
              <w:bottom w:val="nil"/>
              <w:right w:val="single" w:color="000000" w:sz="4" w:space="0"/>
            </w:tcBorders>
          </w:tcPr>
          <w:p w14:paraId="598CE8D6"/>
        </w:tc>
        <w:tc>
          <w:tcPr>
            <w:tcW w:w="967" w:type="dxa"/>
            <w:vMerge w:val="continue"/>
            <w:tcBorders>
              <w:top w:val="nil"/>
              <w:left w:val="single" w:color="000000" w:sz="4" w:space="0"/>
              <w:bottom w:val="nil"/>
            </w:tcBorders>
          </w:tcPr>
          <w:p w14:paraId="0DCD43FE"/>
        </w:tc>
        <w:tc>
          <w:tcPr>
            <w:tcW w:w="968" w:type="dxa"/>
            <w:vMerge w:val="continue"/>
            <w:tcBorders>
              <w:top w:val="nil"/>
              <w:bottom w:val="nil"/>
            </w:tcBorders>
          </w:tcPr>
          <w:p w14:paraId="16B6307B"/>
        </w:tc>
        <w:tc>
          <w:tcPr>
            <w:tcW w:w="966" w:type="dxa"/>
            <w:vMerge w:val="continue"/>
            <w:tcBorders>
              <w:top w:val="nil"/>
              <w:bottom w:val="nil"/>
            </w:tcBorders>
          </w:tcPr>
          <w:p w14:paraId="666EA3EA"/>
        </w:tc>
        <w:tc>
          <w:tcPr>
            <w:tcW w:w="901" w:type="dxa"/>
            <w:vMerge w:val="continue"/>
            <w:tcBorders>
              <w:top w:val="nil"/>
              <w:bottom w:val="nil"/>
              <w:right w:val="nil"/>
            </w:tcBorders>
          </w:tcPr>
          <w:p w14:paraId="3D9341EB"/>
        </w:tc>
      </w:tr>
      <w:tr w14:paraId="0C406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180" w:type="dxa"/>
            <w:vMerge w:val="continue"/>
            <w:tcBorders>
              <w:top w:val="nil"/>
              <w:left w:val="nil"/>
              <w:right w:val="single" w:color="000000" w:sz="4" w:space="0"/>
            </w:tcBorders>
          </w:tcPr>
          <w:p w14:paraId="29F75E75"/>
        </w:tc>
        <w:tc>
          <w:tcPr>
            <w:tcW w:w="1624" w:type="dxa"/>
            <w:tcBorders>
              <w:left w:val="single" w:color="000000" w:sz="4" w:space="0"/>
              <w:right w:val="single" w:color="000000" w:sz="4" w:space="0"/>
            </w:tcBorders>
          </w:tcPr>
          <w:p w14:paraId="11EF83A0">
            <w:pPr>
              <w:spacing w:before="34" w:line="227" w:lineRule="auto"/>
              <w:ind w:left="525"/>
              <w:rPr>
                <w:rFonts w:ascii="宋体" w:hAnsi="宋体" w:eastAsia="宋体" w:cs="宋体"/>
                <w:sz w:val="20"/>
                <w:szCs w:val="20"/>
              </w:rPr>
            </w:pPr>
            <w:r>
              <w:rPr>
                <w:rFonts w:ascii="宋体" w:hAnsi="宋体" w:eastAsia="宋体" w:cs="宋体"/>
                <w:spacing w:val="-2"/>
                <w:sz w:val="20"/>
                <w:szCs w:val="20"/>
              </w:rPr>
              <w:t>电</w:t>
            </w:r>
            <w:r>
              <w:rPr>
                <w:rFonts w:ascii="宋体" w:hAnsi="宋体" w:eastAsia="宋体" w:cs="宋体"/>
                <w:spacing w:val="-1"/>
                <w:sz w:val="20"/>
                <w:szCs w:val="20"/>
              </w:rPr>
              <w:t>焊机</w:t>
            </w:r>
          </w:p>
        </w:tc>
        <w:tc>
          <w:tcPr>
            <w:tcW w:w="1766" w:type="dxa"/>
            <w:tcBorders>
              <w:left w:val="single" w:color="000000" w:sz="4" w:space="0"/>
              <w:right w:val="single" w:color="000000" w:sz="4" w:space="0"/>
            </w:tcBorders>
          </w:tcPr>
          <w:p w14:paraId="2C9951CA">
            <w:pPr>
              <w:spacing w:before="70" w:line="195" w:lineRule="auto"/>
              <w:ind w:left="619"/>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9</w:t>
            </w:r>
            <w:r>
              <w:rPr>
                <w:rFonts w:ascii="Times New Roman" w:hAnsi="Times New Roman" w:eastAsia="Times New Roman" w:cs="Times New Roman"/>
                <w:spacing w:val="3"/>
                <w:sz w:val="20"/>
                <w:szCs w:val="20"/>
              </w:rPr>
              <w:t>0~95</w:t>
            </w:r>
          </w:p>
        </w:tc>
        <w:tc>
          <w:tcPr>
            <w:tcW w:w="1181" w:type="dxa"/>
            <w:vMerge w:val="continue"/>
            <w:tcBorders>
              <w:top w:val="nil"/>
              <w:left w:val="single" w:color="000000" w:sz="4" w:space="0"/>
              <w:right w:val="single" w:color="000000" w:sz="4" w:space="0"/>
            </w:tcBorders>
          </w:tcPr>
          <w:p w14:paraId="10E382DC"/>
        </w:tc>
        <w:tc>
          <w:tcPr>
            <w:tcW w:w="967" w:type="dxa"/>
            <w:vMerge w:val="continue"/>
            <w:tcBorders>
              <w:top w:val="nil"/>
              <w:left w:val="single" w:color="000000" w:sz="4" w:space="0"/>
            </w:tcBorders>
          </w:tcPr>
          <w:p w14:paraId="031FE88C"/>
        </w:tc>
        <w:tc>
          <w:tcPr>
            <w:tcW w:w="968" w:type="dxa"/>
            <w:vMerge w:val="continue"/>
            <w:tcBorders>
              <w:top w:val="nil"/>
            </w:tcBorders>
          </w:tcPr>
          <w:p w14:paraId="7A29064B"/>
        </w:tc>
        <w:tc>
          <w:tcPr>
            <w:tcW w:w="966" w:type="dxa"/>
            <w:vMerge w:val="continue"/>
            <w:tcBorders>
              <w:top w:val="nil"/>
            </w:tcBorders>
          </w:tcPr>
          <w:p w14:paraId="12E3575F"/>
        </w:tc>
        <w:tc>
          <w:tcPr>
            <w:tcW w:w="901" w:type="dxa"/>
            <w:vMerge w:val="continue"/>
            <w:tcBorders>
              <w:top w:val="nil"/>
              <w:right w:val="nil"/>
            </w:tcBorders>
          </w:tcPr>
          <w:p w14:paraId="369BA61D"/>
        </w:tc>
      </w:tr>
      <w:tr w14:paraId="29E0F2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180" w:type="dxa"/>
            <w:vMerge w:val="restart"/>
            <w:tcBorders>
              <w:left w:val="nil"/>
              <w:bottom w:val="nil"/>
              <w:right w:val="single" w:color="000000" w:sz="4" w:space="0"/>
            </w:tcBorders>
          </w:tcPr>
          <w:p w14:paraId="1EE632F1">
            <w:pPr>
              <w:spacing w:line="318" w:lineRule="auto"/>
            </w:pPr>
          </w:p>
          <w:p w14:paraId="003D03F2">
            <w:pPr>
              <w:spacing w:line="318" w:lineRule="auto"/>
            </w:pPr>
          </w:p>
          <w:p w14:paraId="3FCD1DD3">
            <w:pPr>
              <w:spacing w:line="319" w:lineRule="auto"/>
            </w:pPr>
          </w:p>
          <w:p w14:paraId="3AFE095C">
            <w:pPr>
              <w:spacing w:before="65" w:line="267" w:lineRule="auto"/>
              <w:ind w:left="176" w:hanging="127"/>
              <w:rPr>
                <w:rFonts w:ascii="宋体" w:hAnsi="宋体" w:eastAsia="宋体" w:cs="宋体"/>
                <w:sz w:val="20"/>
                <w:szCs w:val="20"/>
              </w:rPr>
            </w:pPr>
            <w:r>
              <w:rPr>
                <w:rFonts w:ascii="宋体" w:hAnsi="宋体" w:eastAsia="宋体" w:cs="宋体"/>
                <w:spacing w:val="-15"/>
                <w:sz w:val="20"/>
                <w:szCs w:val="20"/>
                <w14:textOutline w14:w="3644" w14:cap="sq" w14:cmpd="sng" w14:algn="ctr">
                  <w14:solidFill>
                    <w14:srgbClr w14:val="000000"/>
                  </w14:solidFill>
                  <w14:prstDash w14:val="solid"/>
                  <w14:bevel/>
                </w14:textOutline>
              </w:rPr>
              <w:t>隔</w:t>
            </w:r>
            <w:r>
              <w:rPr>
                <w:rFonts w:ascii="宋体" w:hAnsi="宋体" w:eastAsia="宋体" w:cs="宋体"/>
                <w:spacing w:val="-12"/>
                <w:sz w:val="20"/>
                <w:szCs w:val="20"/>
                <w14:textOutline w14:w="3644" w14:cap="sq" w14:cmpd="sng" w14:algn="ctr">
                  <w14:solidFill>
                    <w14:srgbClr w14:val="000000"/>
                  </w14:solidFill>
                  <w14:prstDash w14:val="solid"/>
                  <w14:bevel/>
                </w14:textOutline>
              </w:rPr>
              <w:t>间、装修、</w:t>
            </w:r>
            <w:r>
              <w:rPr>
                <w:rFonts w:ascii="宋体" w:hAnsi="宋体" w:eastAsia="宋体" w:cs="宋体"/>
                <w:sz w:val="20"/>
                <w:szCs w:val="20"/>
              </w:rPr>
              <w:t xml:space="preserve"> </w:t>
            </w:r>
            <w:r>
              <w:rPr>
                <w:rFonts w:ascii="宋体" w:hAnsi="宋体" w:eastAsia="宋体" w:cs="宋体"/>
                <w:spacing w:val="-1"/>
                <w:sz w:val="20"/>
                <w:szCs w:val="20"/>
                <w14:textOutline w14:w="3644" w14:cap="sq" w14:cmpd="sng" w14:algn="ctr">
                  <w14:solidFill>
                    <w14:srgbClr w14:val="000000"/>
                  </w14:solidFill>
                  <w14:prstDash w14:val="solid"/>
                  <w14:bevel/>
                </w14:textOutline>
              </w:rPr>
              <w:t>安装阶段</w:t>
            </w:r>
          </w:p>
        </w:tc>
        <w:tc>
          <w:tcPr>
            <w:tcW w:w="1624" w:type="dxa"/>
            <w:tcBorders>
              <w:left w:val="single" w:color="000000" w:sz="4" w:space="0"/>
              <w:right w:val="single" w:color="000000" w:sz="4" w:space="0"/>
            </w:tcBorders>
          </w:tcPr>
          <w:p w14:paraId="3EB9F141">
            <w:pPr>
              <w:spacing w:before="37" w:line="227" w:lineRule="auto"/>
              <w:ind w:left="525"/>
              <w:rPr>
                <w:rFonts w:ascii="宋体" w:hAnsi="宋体" w:eastAsia="宋体" w:cs="宋体"/>
                <w:sz w:val="20"/>
                <w:szCs w:val="20"/>
              </w:rPr>
            </w:pPr>
            <w:r>
              <w:rPr>
                <w:rFonts w:ascii="宋体" w:hAnsi="宋体" w:eastAsia="宋体" w:cs="宋体"/>
                <w:spacing w:val="-1"/>
                <w:sz w:val="20"/>
                <w:szCs w:val="20"/>
              </w:rPr>
              <w:t>电  钻</w:t>
            </w:r>
          </w:p>
        </w:tc>
        <w:tc>
          <w:tcPr>
            <w:tcW w:w="1766" w:type="dxa"/>
            <w:tcBorders>
              <w:left w:val="single" w:color="000000" w:sz="4" w:space="0"/>
              <w:right w:val="single" w:color="000000" w:sz="4" w:space="0"/>
            </w:tcBorders>
          </w:tcPr>
          <w:p w14:paraId="7E69147D">
            <w:pPr>
              <w:spacing w:before="72" w:line="195"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6"/>
                <w:sz w:val="20"/>
                <w:szCs w:val="20"/>
              </w:rPr>
              <w:t>0</w:t>
            </w:r>
            <w:r>
              <w:rPr>
                <w:rFonts w:ascii="Times New Roman" w:hAnsi="Times New Roman" w:eastAsia="Times New Roman" w:cs="Times New Roman"/>
                <w:spacing w:val="-4"/>
                <w:sz w:val="20"/>
                <w:szCs w:val="20"/>
              </w:rPr>
              <w:t>0~ 105</w:t>
            </w:r>
          </w:p>
        </w:tc>
        <w:tc>
          <w:tcPr>
            <w:tcW w:w="1181" w:type="dxa"/>
            <w:vMerge w:val="restart"/>
            <w:tcBorders>
              <w:left w:val="single" w:color="000000" w:sz="4" w:space="0"/>
              <w:bottom w:val="nil"/>
              <w:right w:val="single" w:color="000000" w:sz="4" w:space="0"/>
            </w:tcBorders>
          </w:tcPr>
          <w:p w14:paraId="2044035C">
            <w:pPr>
              <w:spacing w:line="242" w:lineRule="auto"/>
            </w:pPr>
          </w:p>
          <w:p w14:paraId="6C41B550">
            <w:pPr>
              <w:spacing w:line="243" w:lineRule="auto"/>
            </w:pPr>
          </w:p>
          <w:p w14:paraId="2FD5B68C">
            <w:pPr>
              <w:spacing w:line="243" w:lineRule="auto"/>
            </w:pPr>
          </w:p>
          <w:p w14:paraId="34C8F5B2">
            <w:pPr>
              <w:spacing w:line="243" w:lineRule="auto"/>
            </w:pPr>
          </w:p>
          <w:p w14:paraId="1C868987">
            <w:pPr>
              <w:spacing w:before="65" w:line="227" w:lineRule="auto"/>
              <w:ind w:left="172"/>
              <w:rPr>
                <w:rFonts w:ascii="宋体" w:hAnsi="宋体" w:eastAsia="宋体" w:cs="宋体"/>
                <w:sz w:val="20"/>
                <w:szCs w:val="20"/>
              </w:rPr>
            </w:pPr>
            <w:r>
              <w:rPr>
                <w:rFonts w:ascii="宋体" w:hAnsi="宋体" w:eastAsia="宋体" w:cs="宋体"/>
                <w:spacing w:val="9"/>
                <w:sz w:val="20"/>
                <w:szCs w:val="20"/>
              </w:rPr>
              <w:t>机</w:t>
            </w:r>
            <w:r>
              <w:rPr>
                <w:rFonts w:ascii="宋体" w:hAnsi="宋体" w:eastAsia="宋体" w:cs="宋体"/>
                <w:spacing w:val="7"/>
                <w:sz w:val="20"/>
                <w:szCs w:val="20"/>
              </w:rPr>
              <w:t>械噪声</w:t>
            </w:r>
          </w:p>
        </w:tc>
        <w:tc>
          <w:tcPr>
            <w:tcW w:w="967" w:type="dxa"/>
            <w:vMerge w:val="restart"/>
            <w:tcBorders>
              <w:left w:val="single" w:color="000000" w:sz="4" w:space="0"/>
              <w:bottom w:val="nil"/>
            </w:tcBorders>
          </w:tcPr>
          <w:p w14:paraId="7056CE0A">
            <w:pPr>
              <w:spacing w:line="253" w:lineRule="auto"/>
            </w:pPr>
          </w:p>
          <w:p w14:paraId="4D2B5935">
            <w:pPr>
              <w:spacing w:line="253" w:lineRule="auto"/>
            </w:pPr>
          </w:p>
          <w:p w14:paraId="130A1E99">
            <w:pPr>
              <w:spacing w:line="254" w:lineRule="auto"/>
            </w:pPr>
          </w:p>
          <w:p w14:paraId="06448CFB">
            <w:pPr>
              <w:spacing w:line="254" w:lineRule="auto"/>
            </w:pPr>
          </w:p>
          <w:p w14:paraId="0EE131E8">
            <w:pPr>
              <w:spacing w:before="57" w:line="195" w:lineRule="auto"/>
              <w:ind w:left="22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8</w:t>
            </w:r>
            <w:r>
              <w:rPr>
                <w:rFonts w:ascii="Times New Roman" w:hAnsi="Times New Roman" w:eastAsia="Times New Roman" w:cs="Times New Roman"/>
                <w:spacing w:val="3"/>
                <w:sz w:val="20"/>
                <w:szCs w:val="20"/>
              </w:rPr>
              <w:t>0</w:t>
            </w:r>
            <w:r>
              <w:rPr>
                <w:rFonts w:ascii="Times New Roman" w:hAnsi="Times New Roman" w:eastAsia="Times New Roman" w:cs="Times New Roman"/>
                <w:spacing w:val="2"/>
                <w:sz w:val="20"/>
                <w:szCs w:val="20"/>
              </w:rPr>
              <w:t>~95</w:t>
            </w:r>
          </w:p>
        </w:tc>
        <w:tc>
          <w:tcPr>
            <w:tcW w:w="968" w:type="dxa"/>
            <w:vMerge w:val="restart"/>
            <w:tcBorders>
              <w:bottom w:val="nil"/>
            </w:tcBorders>
          </w:tcPr>
          <w:p w14:paraId="70445803">
            <w:pPr>
              <w:spacing w:line="253" w:lineRule="auto"/>
            </w:pPr>
          </w:p>
          <w:p w14:paraId="08F156EA">
            <w:pPr>
              <w:spacing w:line="253" w:lineRule="auto"/>
            </w:pPr>
          </w:p>
          <w:p w14:paraId="2DA0112C">
            <w:pPr>
              <w:spacing w:line="254" w:lineRule="auto"/>
            </w:pPr>
          </w:p>
          <w:p w14:paraId="70BF875E">
            <w:pPr>
              <w:spacing w:line="254" w:lineRule="auto"/>
            </w:pPr>
          </w:p>
          <w:p w14:paraId="7EB91ECD">
            <w:pPr>
              <w:spacing w:before="57" w:line="195" w:lineRule="auto"/>
              <w:ind w:left="22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8</w:t>
            </w:r>
            <w:r>
              <w:rPr>
                <w:rFonts w:ascii="Times New Roman" w:hAnsi="Times New Roman" w:eastAsia="Times New Roman" w:cs="Times New Roman"/>
                <w:spacing w:val="3"/>
                <w:sz w:val="20"/>
                <w:szCs w:val="20"/>
              </w:rPr>
              <w:t>0</w:t>
            </w:r>
            <w:r>
              <w:rPr>
                <w:rFonts w:ascii="Times New Roman" w:hAnsi="Times New Roman" w:eastAsia="Times New Roman" w:cs="Times New Roman"/>
                <w:spacing w:val="2"/>
                <w:sz w:val="20"/>
                <w:szCs w:val="20"/>
              </w:rPr>
              <w:t>~95</w:t>
            </w:r>
          </w:p>
        </w:tc>
        <w:tc>
          <w:tcPr>
            <w:tcW w:w="966" w:type="dxa"/>
            <w:vMerge w:val="restart"/>
            <w:tcBorders>
              <w:bottom w:val="nil"/>
            </w:tcBorders>
          </w:tcPr>
          <w:p w14:paraId="1EDF8FD7">
            <w:pPr>
              <w:spacing w:line="253" w:lineRule="auto"/>
            </w:pPr>
          </w:p>
          <w:p w14:paraId="019DFE35">
            <w:pPr>
              <w:spacing w:line="253" w:lineRule="auto"/>
            </w:pPr>
          </w:p>
          <w:p w14:paraId="252DD53A">
            <w:pPr>
              <w:spacing w:line="254" w:lineRule="auto"/>
            </w:pPr>
          </w:p>
          <w:p w14:paraId="6A59DEB9">
            <w:pPr>
              <w:spacing w:line="254" w:lineRule="auto"/>
            </w:pPr>
          </w:p>
          <w:p w14:paraId="14C23D95">
            <w:pPr>
              <w:spacing w:before="57" w:line="195" w:lineRule="auto"/>
              <w:ind w:left="38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70</w:t>
            </w:r>
          </w:p>
        </w:tc>
        <w:tc>
          <w:tcPr>
            <w:tcW w:w="901" w:type="dxa"/>
            <w:vMerge w:val="restart"/>
            <w:tcBorders>
              <w:bottom w:val="nil"/>
              <w:right w:val="nil"/>
            </w:tcBorders>
          </w:tcPr>
          <w:p w14:paraId="7AC13B2B">
            <w:pPr>
              <w:spacing w:line="254" w:lineRule="auto"/>
            </w:pPr>
          </w:p>
          <w:p w14:paraId="6207C9BE">
            <w:pPr>
              <w:spacing w:line="254" w:lineRule="auto"/>
            </w:pPr>
          </w:p>
          <w:p w14:paraId="5FD3783B">
            <w:pPr>
              <w:spacing w:line="254" w:lineRule="auto"/>
            </w:pPr>
          </w:p>
          <w:p w14:paraId="4EB85316">
            <w:pPr>
              <w:spacing w:line="255" w:lineRule="auto"/>
            </w:pPr>
          </w:p>
          <w:p w14:paraId="1058632A">
            <w:pPr>
              <w:spacing w:before="57" w:line="192" w:lineRule="auto"/>
              <w:ind w:left="353"/>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r>
      <w:tr w14:paraId="569953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180" w:type="dxa"/>
            <w:vMerge w:val="continue"/>
            <w:tcBorders>
              <w:top w:val="nil"/>
              <w:left w:val="nil"/>
              <w:bottom w:val="nil"/>
              <w:right w:val="single" w:color="000000" w:sz="4" w:space="0"/>
            </w:tcBorders>
          </w:tcPr>
          <w:p w14:paraId="35C46488"/>
        </w:tc>
        <w:tc>
          <w:tcPr>
            <w:tcW w:w="1624" w:type="dxa"/>
            <w:tcBorders>
              <w:left w:val="single" w:color="000000" w:sz="4" w:space="0"/>
              <w:right w:val="single" w:color="000000" w:sz="4" w:space="0"/>
            </w:tcBorders>
          </w:tcPr>
          <w:p w14:paraId="4A51802F">
            <w:pPr>
              <w:spacing w:before="37" w:line="226" w:lineRule="auto"/>
              <w:ind w:left="525"/>
              <w:rPr>
                <w:rFonts w:ascii="宋体" w:hAnsi="宋体" w:eastAsia="宋体" w:cs="宋体"/>
                <w:sz w:val="20"/>
                <w:szCs w:val="20"/>
              </w:rPr>
            </w:pPr>
            <w:r>
              <w:rPr>
                <w:rFonts w:ascii="宋体" w:hAnsi="宋体" w:eastAsia="宋体" w:cs="宋体"/>
                <w:spacing w:val="-1"/>
                <w:sz w:val="20"/>
                <w:szCs w:val="20"/>
              </w:rPr>
              <w:t>电  锤</w:t>
            </w:r>
          </w:p>
        </w:tc>
        <w:tc>
          <w:tcPr>
            <w:tcW w:w="1766" w:type="dxa"/>
            <w:tcBorders>
              <w:left w:val="single" w:color="000000" w:sz="4" w:space="0"/>
              <w:right w:val="single" w:color="000000" w:sz="4" w:space="0"/>
            </w:tcBorders>
          </w:tcPr>
          <w:p w14:paraId="33AF6F8E">
            <w:pPr>
              <w:spacing w:before="72" w:line="195"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6"/>
                <w:sz w:val="20"/>
                <w:szCs w:val="20"/>
              </w:rPr>
              <w:t>0</w:t>
            </w:r>
            <w:r>
              <w:rPr>
                <w:rFonts w:ascii="Times New Roman" w:hAnsi="Times New Roman" w:eastAsia="Times New Roman" w:cs="Times New Roman"/>
                <w:spacing w:val="-4"/>
                <w:sz w:val="20"/>
                <w:szCs w:val="20"/>
              </w:rPr>
              <w:t>0~ 105</w:t>
            </w:r>
          </w:p>
        </w:tc>
        <w:tc>
          <w:tcPr>
            <w:tcW w:w="1181" w:type="dxa"/>
            <w:vMerge w:val="continue"/>
            <w:tcBorders>
              <w:top w:val="nil"/>
              <w:left w:val="single" w:color="000000" w:sz="4" w:space="0"/>
              <w:bottom w:val="nil"/>
              <w:right w:val="single" w:color="000000" w:sz="4" w:space="0"/>
            </w:tcBorders>
          </w:tcPr>
          <w:p w14:paraId="6C576450"/>
        </w:tc>
        <w:tc>
          <w:tcPr>
            <w:tcW w:w="967" w:type="dxa"/>
            <w:vMerge w:val="continue"/>
            <w:tcBorders>
              <w:top w:val="nil"/>
              <w:left w:val="single" w:color="000000" w:sz="4" w:space="0"/>
              <w:bottom w:val="nil"/>
            </w:tcBorders>
          </w:tcPr>
          <w:p w14:paraId="6FB04712"/>
        </w:tc>
        <w:tc>
          <w:tcPr>
            <w:tcW w:w="968" w:type="dxa"/>
            <w:vMerge w:val="continue"/>
            <w:tcBorders>
              <w:top w:val="nil"/>
              <w:bottom w:val="nil"/>
            </w:tcBorders>
          </w:tcPr>
          <w:p w14:paraId="58A38109"/>
        </w:tc>
        <w:tc>
          <w:tcPr>
            <w:tcW w:w="966" w:type="dxa"/>
            <w:vMerge w:val="continue"/>
            <w:tcBorders>
              <w:top w:val="nil"/>
              <w:bottom w:val="nil"/>
            </w:tcBorders>
          </w:tcPr>
          <w:p w14:paraId="139A2E15"/>
        </w:tc>
        <w:tc>
          <w:tcPr>
            <w:tcW w:w="901" w:type="dxa"/>
            <w:vMerge w:val="continue"/>
            <w:tcBorders>
              <w:top w:val="nil"/>
              <w:bottom w:val="nil"/>
              <w:right w:val="nil"/>
            </w:tcBorders>
          </w:tcPr>
          <w:p w14:paraId="1CE6A01E"/>
        </w:tc>
      </w:tr>
      <w:tr w14:paraId="189A8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180" w:type="dxa"/>
            <w:vMerge w:val="continue"/>
            <w:tcBorders>
              <w:top w:val="nil"/>
              <w:left w:val="nil"/>
              <w:bottom w:val="nil"/>
              <w:right w:val="single" w:color="000000" w:sz="4" w:space="0"/>
            </w:tcBorders>
          </w:tcPr>
          <w:p w14:paraId="5316BD41"/>
        </w:tc>
        <w:tc>
          <w:tcPr>
            <w:tcW w:w="1624" w:type="dxa"/>
            <w:tcBorders>
              <w:left w:val="single" w:color="000000" w:sz="4" w:space="0"/>
              <w:right w:val="single" w:color="000000" w:sz="4" w:space="0"/>
            </w:tcBorders>
          </w:tcPr>
          <w:p w14:paraId="2A673D28">
            <w:pPr>
              <w:spacing w:before="35" w:line="228" w:lineRule="auto"/>
              <w:ind w:left="500"/>
              <w:rPr>
                <w:rFonts w:ascii="宋体" w:hAnsi="宋体" w:eastAsia="宋体" w:cs="宋体"/>
                <w:sz w:val="20"/>
                <w:szCs w:val="20"/>
              </w:rPr>
            </w:pPr>
            <w:r>
              <w:rPr>
                <w:rFonts w:ascii="宋体" w:hAnsi="宋体" w:eastAsia="宋体" w:cs="宋体"/>
                <w:spacing w:val="7"/>
                <w:sz w:val="20"/>
                <w:szCs w:val="20"/>
              </w:rPr>
              <w:t>手工</w:t>
            </w:r>
            <w:r>
              <w:rPr>
                <w:rFonts w:ascii="宋体" w:hAnsi="宋体" w:eastAsia="宋体" w:cs="宋体"/>
                <w:spacing w:val="6"/>
                <w:sz w:val="20"/>
                <w:szCs w:val="20"/>
              </w:rPr>
              <w:t>钻</w:t>
            </w:r>
          </w:p>
        </w:tc>
        <w:tc>
          <w:tcPr>
            <w:tcW w:w="1766" w:type="dxa"/>
            <w:tcBorders>
              <w:left w:val="single" w:color="000000" w:sz="4" w:space="0"/>
              <w:right w:val="single" w:color="000000" w:sz="4" w:space="0"/>
            </w:tcBorders>
          </w:tcPr>
          <w:p w14:paraId="55A1F980">
            <w:pPr>
              <w:spacing w:before="71" w:line="195"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6"/>
                <w:sz w:val="20"/>
                <w:szCs w:val="20"/>
              </w:rPr>
              <w:t>0</w:t>
            </w:r>
            <w:r>
              <w:rPr>
                <w:rFonts w:ascii="Times New Roman" w:hAnsi="Times New Roman" w:eastAsia="Times New Roman" w:cs="Times New Roman"/>
                <w:spacing w:val="-4"/>
                <w:sz w:val="20"/>
                <w:szCs w:val="20"/>
              </w:rPr>
              <w:t>0~ 105</w:t>
            </w:r>
          </w:p>
        </w:tc>
        <w:tc>
          <w:tcPr>
            <w:tcW w:w="1181" w:type="dxa"/>
            <w:vMerge w:val="continue"/>
            <w:tcBorders>
              <w:top w:val="nil"/>
              <w:left w:val="single" w:color="000000" w:sz="4" w:space="0"/>
              <w:bottom w:val="nil"/>
              <w:right w:val="single" w:color="000000" w:sz="4" w:space="0"/>
            </w:tcBorders>
          </w:tcPr>
          <w:p w14:paraId="41ED98C3"/>
        </w:tc>
        <w:tc>
          <w:tcPr>
            <w:tcW w:w="967" w:type="dxa"/>
            <w:vMerge w:val="continue"/>
            <w:tcBorders>
              <w:top w:val="nil"/>
              <w:left w:val="single" w:color="000000" w:sz="4" w:space="0"/>
              <w:bottom w:val="nil"/>
            </w:tcBorders>
          </w:tcPr>
          <w:p w14:paraId="530A54F1"/>
        </w:tc>
        <w:tc>
          <w:tcPr>
            <w:tcW w:w="968" w:type="dxa"/>
            <w:vMerge w:val="continue"/>
            <w:tcBorders>
              <w:top w:val="nil"/>
              <w:bottom w:val="nil"/>
            </w:tcBorders>
          </w:tcPr>
          <w:p w14:paraId="4E69952A"/>
        </w:tc>
        <w:tc>
          <w:tcPr>
            <w:tcW w:w="966" w:type="dxa"/>
            <w:vMerge w:val="continue"/>
            <w:tcBorders>
              <w:top w:val="nil"/>
              <w:bottom w:val="nil"/>
            </w:tcBorders>
          </w:tcPr>
          <w:p w14:paraId="438C5083"/>
        </w:tc>
        <w:tc>
          <w:tcPr>
            <w:tcW w:w="901" w:type="dxa"/>
            <w:vMerge w:val="continue"/>
            <w:tcBorders>
              <w:top w:val="nil"/>
              <w:bottom w:val="nil"/>
              <w:right w:val="nil"/>
            </w:tcBorders>
          </w:tcPr>
          <w:p w14:paraId="78F98CC6"/>
        </w:tc>
      </w:tr>
      <w:tr w14:paraId="45D2E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180" w:type="dxa"/>
            <w:vMerge w:val="continue"/>
            <w:tcBorders>
              <w:top w:val="nil"/>
              <w:left w:val="nil"/>
              <w:bottom w:val="nil"/>
              <w:right w:val="single" w:color="000000" w:sz="4" w:space="0"/>
            </w:tcBorders>
          </w:tcPr>
          <w:p w14:paraId="7BB8AE45"/>
        </w:tc>
        <w:tc>
          <w:tcPr>
            <w:tcW w:w="1624" w:type="dxa"/>
            <w:tcBorders>
              <w:left w:val="single" w:color="000000" w:sz="4" w:space="0"/>
              <w:right w:val="single" w:color="000000" w:sz="4" w:space="0"/>
            </w:tcBorders>
          </w:tcPr>
          <w:p w14:paraId="77028865">
            <w:pPr>
              <w:spacing w:before="36" w:line="227" w:lineRule="auto"/>
              <w:ind w:left="502"/>
              <w:rPr>
                <w:rFonts w:ascii="宋体" w:hAnsi="宋体" w:eastAsia="宋体" w:cs="宋体"/>
                <w:sz w:val="20"/>
                <w:szCs w:val="20"/>
              </w:rPr>
            </w:pPr>
            <w:r>
              <w:rPr>
                <w:rFonts w:ascii="宋体" w:hAnsi="宋体" w:eastAsia="宋体" w:cs="宋体"/>
                <w:spacing w:val="7"/>
                <w:sz w:val="20"/>
                <w:szCs w:val="20"/>
              </w:rPr>
              <w:t>无</w:t>
            </w:r>
            <w:r>
              <w:rPr>
                <w:rFonts w:ascii="宋体" w:hAnsi="宋体" w:eastAsia="宋体" w:cs="宋体"/>
                <w:spacing w:val="6"/>
                <w:sz w:val="20"/>
                <w:szCs w:val="20"/>
              </w:rPr>
              <w:t>齿锯</w:t>
            </w:r>
          </w:p>
        </w:tc>
        <w:tc>
          <w:tcPr>
            <w:tcW w:w="1766" w:type="dxa"/>
            <w:tcBorders>
              <w:left w:val="single" w:color="000000" w:sz="4" w:space="0"/>
              <w:right w:val="single" w:color="000000" w:sz="4" w:space="0"/>
            </w:tcBorders>
          </w:tcPr>
          <w:p w14:paraId="37378A4C">
            <w:pPr>
              <w:spacing w:before="72" w:line="195" w:lineRule="auto"/>
              <w:ind w:left="74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105</w:t>
            </w:r>
          </w:p>
        </w:tc>
        <w:tc>
          <w:tcPr>
            <w:tcW w:w="1181" w:type="dxa"/>
            <w:vMerge w:val="continue"/>
            <w:tcBorders>
              <w:top w:val="nil"/>
              <w:left w:val="single" w:color="000000" w:sz="4" w:space="0"/>
              <w:bottom w:val="nil"/>
              <w:right w:val="single" w:color="000000" w:sz="4" w:space="0"/>
            </w:tcBorders>
          </w:tcPr>
          <w:p w14:paraId="68C145F8"/>
        </w:tc>
        <w:tc>
          <w:tcPr>
            <w:tcW w:w="967" w:type="dxa"/>
            <w:vMerge w:val="continue"/>
            <w:tcBorders>
              <w:top w:val="nil"/>
              <w:left w:val="single" w:color="000000" w:sz="4" w:space="0"/>
              <w:bottom w:val="nil"/>
            </w:tcBorders>
          </w:tcPr>
          <w:p w14:paraId="59A63C6B"/>
        </w:tc>
        <w:tc>
          <w:tcPr>
            <w:tcW w:w="968" w:type="dxa"/>
            <w:vMerge w:val="continue"/>
            <w:tcBorders>
              <w:top w:val="nil"/>
              <w:bottom w:val="nil"/>
            </w:tcBorders>
          </w:tcPr>
          <w:p w14:paraId="5968C257"/>
        </w:tc>
        <w:tc>
          <w:tcPr>
            <w:tcW w:w="966" w:type="dxa"/>
            <w:vMerge w:val="continue"/>
            <w:tcBorders>
              <w:top w:val="nil"/>
              <w:bottom w:val="nil"/>
            </w:tcBorders>
          </w:tcPr>
          <w:p w14:paraId="22F46BE8"/>
        </w:tc>
        <w:tc>
          <w:tcPr>
            <w:tcW w:w="901" w:type="dxa"/>
            <w:vMerge w:val="continue"/>
            <w:tcBorders>
              <w:top w:val="nil"/>
              <w:bottom w:val="nil"/>
              <w:right w:val="nil"/>
            </w:tcBorders>
          </w:tcPr>
          <w:p w14:paraId="15DC7721"/>
        </w:tc>
      </w:tr>
      <w:tr w14:paraId="523339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180" w:type="dxa"/>
            <w:vMerge w:val="continue"/>
            <w:tcBorders>
              <w:top w:val="nil"/>
              <w:left w:val="nil"/>
              <w:bottom w:val="nil"/>
              <w:right w:val="single" w:color="000000" w:sz="4" w:space="0"/>
            </w:tcBorders>
          </w:tcPr>
          <w:p w14:paraId="477295F6"/>
        </w:tc>
        <w:tc>
          <w:tcPr>
            <w:tcW w:w="1624" w:type="dxa"/>
            <w:tcBorders>
              <w:left w:val="single" w:color="000000" w:sz="4" w:space="0"/>
              <w:right w:val="single" w:color="000000" w:sz="4" w:space="0"/>
            </w:tcBorders>
          </w:tcPr>
          <w:p w14:paraId="11EFD4FD">
            <w:pPr>
              <w:spacing w:before="37" w:line="226" w:lineRule="auto"/>
              <w:ind w:left="193"/>
              <w:rPr>
                <w:rFonts w:ascii="宋体" w:hAnsi="宋体" w:eastAsia="宋体" w:cs="宋体"/>
                <w:sz w:val="20"/>
                <w:szCs w:val="20"/>
              </w:rPr>
            </w:pPr>
            <w:r>
              <w:rPr>
                <w:rFonts w:ascii="宋体" w:hAnsi="宋体" w:eastAsia="宋体" w:cs="宋体"/>
                <w:spacing w:val="9"/>
                <w:sz w:val="20"/>
                <w:szCs w:val="20"/>
              </w:rPr>
              <w:t>多</w:t>
            </w:r>
            <w:r>
              <w:rPr>
                <w:rFonts w:ascii="宋体" w:hAnsi="宋体" w:eastAsia="宋体" w:cs="宋体"/>
                <w:spacing w:val="6"/>
                <w:sz w:val="20"/>
                <w:szCs w:val="20"/>
              </w:rPr>
              <w:t>功能木工刨</w:t>
            </w:r>
          </w:p>
        </w:tc>
        <w:tc>
          <w:tcPr>
            <w:tcW w:w="1766" w:type="dxa"/>
            <w:tcBorders>
              <w:left w:val="single" w:color="000000" w:sz="4" w:space="0"/>
              <w:right w:val="single" w:color="000000" w:sz="4" w:space="0"/>
            </w:tcBorders>
          </w:tcPr>
          <w:p w14:paraId="38CAA07D">
            <w:pPr>
              <w:spacing w:before="73" w:line="195" w:lineRule="auto"/>
              <w:ind w:left="56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90~ 10</w:t>
            </w:r>
            <w:r>
              <w:rPr>
                <w:rFonts w:ascii="Times New Roman" w:hAnsi="Times New Roman" w:eastAsia="Times New Roman" w:cs="Times New Roman"/>
                <w:spacing w:val="-3"/>
                <w:sz w:val="20"/>
                <w:szCs w:val="20"/>
              </w:rPr>
              <w:t>0</w:t>
            </w:r>
          </w:p>
        </w:tc>
        <w:tc>
          <w:tcPr>
            <w:tcW w:w="1181" w:type="dxa"/>
            <w:vMerge w:val="continue"/>
            <w:tcBorders>
              <w:top w:val="nil"/>
              <w:left w:val="single" w:color="000000" w:sz="4" w:space="0"/>
              <w:bottom w:val="nil"/>
              <w:right w:val="single" w:color="000000" w:sz="4" w:space="0"/>
            </w:tcBorders>
          </w:tcPr>
          <w:p w14:paraId="507BA630"/>
        </w:tc>
        <w:tc>
          <w:tcPr>
            <w:tcW w:w="967" w:type="dxa"/>
            <w:vMerge w:val="continue"/>
            <w:tcBorders>
              <w:top w:val="nil"/>
              <w:left w:val="single" w:color="000000" w:sz="4" w:space="0"/>
              <w:bottom w:val="nil"/>
            </w:tcBorders>
          </w:tcPr>
          <w:p w14:paraId="32A363EB"/>
        </w:tc>
        <w:tc>
          <w:tcPr>
            <w:tcW w:w="968" w:type="dxa"/>
            <w:vMerge w:val="continue"/>
            <w:tcBorders>
              <w:top w:val="nil"/>
              <w:bottom w:val="nil"/>
            </w:tcBorders>
          </w:tcPr>
          <w:p w14:paraId="413CF81A"/>
        </w:tc>
        <w:tc>
          <w:tcPr>
            <w:tcW w:w="966" w:type="dxa"/>
            <w:vMerge w:val="continue"/>
            <w:tcBorders>
              <w:top w:val="nil"/>
              <w:bottom w:val="nil"/>
            </w:tcBorders>
          </w:tcPr>
          <w:p w14:paraId="5B06CD18"/>
        </w:tc>
        <w:tc>
          <w:tcPr>
            <w:tcW w:w="901" w:type="dxa"/>
            <w:vMerge w:val="continue"/>
            <w:tcBorders>
              <w:top w:val="nil"/>
              <w:bottom w:val="nil"/>
              <w:right w:val="nil"/>
            </w:tcBorders>
          </w:tcPr>
          <w:p w14:paraId="2EF6EEC8"/>
        </w:tc>
      </w:tr>
      <w:tr w14:paraId="2D0A98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180" w:type="dxa"/>
            <w:vMerge w:val="continue"/>
            <w:tcBorders>
              <w:top w:val="nil"/>
              <w:left w:val="nil"/>
              <w:bottom w:val="nil"/>
              <w:right w:val="single" w:color="000000" w:sz="4" w:space="0"/>
            </w:tcBorders>
          </w:tcPr>
          <w:p w14:paraId="1220DC74"/>
        </w:tc>
        <w:tc>
          <w:tcPr>
            <w:tcW w:w="1624" w:type="dxa"/>
            <w:tcBorders>
              <w:left w:val="single" w:color="000000" w:sz="4" w:space="0"/>
              <w:right w:val="single" w:color="000000" w:sz="4" w:space="0"/>
            </w:tcBorders>
          </w:tcPr>
          <w:p w14:paraId="11B6061D">
            <w:pPr>
              <w:spacing w:before="38" w:line="225" w:lineRule="auto"/>
              <w:ind w:left="499"/>
              <w:rPr>
                <w:rFonts w:ascii="宋体" w:hAnsi="宋体" w:eastAsia="宋体" w:cs="宋体"/>
                <w:sz w:val="20"/>
                <w:szCs w:val="20"/>
              </w:rPr>
            </w:pPr>
            <w:r>
              <w:rPr>
                <w:rFonts w:ascii="宋体" w:hAnsi="宋体" w:eastAsia="宋体" w:cs="宋体"/>
                <w:spacing w:val="7"/>
                <w:sz w:val="20"/>
                <w:szCs w:val="20"/>
              </w:rPr>
              <w:t>切割机</w:t>
            </w:r>
          </w:p>
        </w:tc>
        <w:tc>
          <w:tcPr>
            <w:tcW w:w="1766" w:type="dxa"/>
            <w:tcBorders>
              <w:left w:val="single" w:color="000000" w:sz="4" w:space="0"/>
              <w:right w:val="single" w:color="000000" w:sz="4" w:space="0"/>
            </w:tcBorders>
          </w:tcPr>
          <w:p w14:paraId="0F155450">
            <w:pPr>
              <w:spacing w:before="74" w:line="195"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6"/>
                <w:sz w:val="20"/>
                <w:szCs w:val="20"/>
              </w:rPr>
              <w:t>0</w:t>
            </w:r>
            <w:r>
              <w:rPr>
                <w:rFonts w:ascii="Times New Roman" w:hAnsi="Times New Roman" w:eastAsia="Times New Roman" w:cs="Times New Roman"/>
                <w:spacing w:val="-4"/>
                <w:sz w:val="20"/>
                <w:szCs w:val="20"/>
              </w:rPr>
              <w:t>0~ 105</w:t>
            </w:r>
          </w:p>
        </w:tc>
        <w:tc>
          <w:tcPr>
            <w:tcW w:w="1181" w:type="dxa"/>
            <w:vMerge w:val="continue"/>
            <w:tcBorders>
              <w:top w:val="nil"/>
              <w:left w:val="single" w:color="000000" w:sz="4" w:space="0"/>
              <w:bottom w:val="nil"/>
              <w:right w:val="single" w:color="000000" w:sz="4" w:space="0"/>
            </w:tcBorders>
          </w:tcPr>
          <w:p w14:paraId="4050495E"/>
        </w:tc>
        <w:tc>
          <w:tcPr>
            <w:tcW w:w="967" w:type="dxa"/>
            <w:vMerge w:val="continue"/>
            <w:tcBorders>
              <w:top w:val="nil"/>
              <w:left w:val="single" w:color="000000" w:sz="4" w:space="0"/>
              <w:bottom w:val="nil"/>
            </w:tcBorders>
          </w:tcPr>
          <w:p w14:paraId="631B7FDA"/>
        </w:tc>
        <w:tc>
          <w:tcPr>
            <w:tcW w:w="968" w:type="dxa"/>
            <w:vMerge w:val="continue"/>
            <w:tcBorders>
              <w:top w:val="nil"/>
              <w:bottom w:val="nil"/>
            </w:tcBorders>
          </w:tcPr>
          <w:p w14:paraId="3104ACD5"/>
        </w:tc>
        <w:tc>
          <w:tcPr>
            <w:tcW w:w="966" w:type="dxa"/>
            <w:vMerge w:val="continue"/>
            <w:tcBorders>
              <w:top w:val="nil"/>
              <w:bottom w:val="nil"/>
            </w:tcBorders>
          </w:tcPr>
          <w:p w14:paraId="1B672AAB"/>
        </w:tc>
        <w:tc>
          <w:tcPr>
            <w:tcW w:w="901" w:type="dxa"/>
            <w:vMerge w:val="continue"/>
            <w:tcBorders>
              <w:top w:val="nil"/>
              <w:bottom w:val="nil"/>
              <w:right w:val="nil"/>
            </w:tcBorders>
          </w:tcPr>
          <w:p w14:paraId="5FDC99F1"/>
        </w:tc>
      </w:tr>
      <w:tr w14:paraId="23970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180" w:type="dxa"/>
            <w:vMerge w:val="continue"/>
            <w:tcBorders>
              <w:top w:val="nil"/>
              <w:left w:val="nil"/>
              <w:bottom w:val="nil"/>
              <w:right w:val="single" w:color="000000" w:sz="4" w:space="0"/>
            </w:tcBorders>
          </w:tcPr>
          <w:p w14:paraId="0A92F4AA"/>
        </w:tc>
        <w:tc>
          <w:tcPr>
            <w:tcW w:w="1624" w:type="dxa"/>
            <w:tcBorders>
              <w:left w:val="single" w:color="000000" w:sz="4" w:space="0"/>
              <w:right w:val="single" w:color="000000" w:sz="4" w:space="0"/>
            </w:tcBorders>
          </w:tcPr>
          <w:p w14:paraId="42C0DB59">
            <w:pPr>
              <w:spacing w:before="39" w:line="224" w:lineRule="auto"/>
              <w:ind w:left="506"/>
              <w:rPr>
                <w:rFonts w:ascii="宋体" w:hAnsi="宋体" w:eastAsia="宋体" w:cs="宋体"/>
                <w:sz w:val="20"/>
                <w:szCs w:val="20"/>
              </w:rPr>
            </w:pPr>
            <w:r>
              <w:rPr>
                <w:rFonts w:ascii="宋体" w:hAnsi="宋体" w:eastAsia="宋体" w:cs="宋体"/>
                <w:spacing w:val="5"/>
                <w:sz w:val="20"/>
                <w:szCs w:val="20"/>
              </w:rPr>
              <w:t>云石机</w:t>
            </w:r>
          </w:p>
        </w:tc>
        <w:tc>
          <w:tcPr>
            <w:tcW w:w="1766" w:type="dxa"/>
            <w:tcBorders>
              <w:left w:val="single" w:color="000000" w:sz="4" w:space="0"/>
              <w:right w:val="single" w:color="000000" w:sz="4" w:space="0"/>
            </w:tcBorders>
          </w:tcPr>
          <w:p w14:paraId="7BABCB02">
            <w:pPr>
              <w:spacing w:before="75" w:line="195"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6"/>
                <w:sz w:val="20"/>
                <w:szCs w:val="20"/>
              </w:rPr>
              <w:t>0</w:t>
            </w:r>
            <w:r>
              <w:rPr>
                <w:rFonts w:ascii="Times New Roman" w:hAnsi="Times New Roman" w:eastAsia="Times New Roman" w:cs="Times New Roman"/>
                <w:spacing w:val="-4"/>
                <w:sz w:val="20"/>
                <w:szCs w:val="20"/>
              </w:rPr>
              <w:t>0~ 105</w:t>
            </w:r>
          </w:p>
        </w:tc>
        <w:tc>
          <w:tcPr>
            <w:tcW w:w="1181" w:type="dxa"/>
            <w:vMerge w:val="continue"/>
            <w:tcBorders>
              <w:top w:val="nil"/>
              <w:left w:val="single" w:color="000000" w:sz="4" w:space="0"/>
              <w:bottom w:val="nil"/>
              <w:right w:val="single" w:color="000000" w:sz="4" w:space="0"/>
            </w:tcBorders>
          </w:tcPr>
          <w:p w14:paraId="0897F83A"/>
        </w:tc>
        <w:tc>
          <w:tcPr>
            <w:tcW w:w="967" w:type="dxa"/>
            <w:vMerge w:val="continue"/>
            <w:tcBorders>
              <w:top w:val="nil"/>
              <w:left w:val="single" w:color="000000" w:sz="4" w:space="0"/>
              <w:bottom w:val="nil"/>
            </w:tcBorders>
          </w:tcPr>
          <w:p w14:paraId="491A7D25"/>
        </w:tc>
        <w:tc>
          <w:tcPr>
            <w:tcW w:w="968" w:type="dxa"/>
            <w:vMerge w:val="continue"/>
            <w:tcBorders>
              <w:top w:val="nil"/>
              <w:bottom w:val="nil"/>
            </w:tcBorders>
          </w:tcPr>
          <w:p w14:paraId="183FD780"/>
        </w:tc>
        <w:tc>
          <w:tcPr>
            <w:tcW w:w="966" w:type="dxa"/>
            <w:vMerge w:val="continue"/>
            <w:tcBorders>
              <w:top w:val="nil"/>
              <w:bottom w:val="nil"/>
            </w:tcBorders>
          </w:tcPr>
          <w:p w14:paraId="643B01EB"/>
        </w:tc>
        <w:tc>
          <w:tcPr>
            <w:tcW w:w="901" w:type="dxa"/>
            <w:vMerge w:val="continue"/>
            <w:tcBorders>
              <w:top w:val="nil"/>
              <w:bottom w:val="nil"/>
              <w:right w:val="nil"/>
            </w:tcBorders>
          </w:tcPr>
          <w:p w14:paraId="46C58BF5"/>
        </w:tc>
      </w:tr>
      <w:tr w14:paraId="6366C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1180" w:type="dxa"/>
            <w:vMerge w:val="continue"/>
            <w:tcBorders>
              <w:top w:val="nil"/>
              <w:left w:val="nil"/>
              <w:right w:val="single" w:color="000000" w:sz="4" w:space="0"/>
            </w:tcBorders>
          </w:tcPr>
          <w:p w14:paraId="74B229DD"/>
        </w:tc>
        <w:tc>
          <w:tcPr>
            <w:tcW w:w="1624" w:type="dxa"/>
            <w:tcBorders>
              <w:left w:val="single" w:color="000000" w:sz="4" w:space="0"/>
              <w:right w:val="single" w:color="000000" w:sz="4" w:space="0"/>
            </w:tcBorders>
          </w:tcPr>
          <w:p w14:paraId="71FCF326">
            <w:pPr>
              <w:spacing w:before="37" w:line="227" w:lineRule="auto"/>
              <w:ind w:left="292"/>
              <w:rPr>
                <w:rFonts w:ascii="宋体" w:hAnsi="宋体" w:eastAsia="宋体" w:cs="宋体"/>
                <w:sz w:val="20"/>
                <w:szCs w:val="20"/>
              </w:rPr>
            </w:pPr>
            <w:r>
              <w:rPr>
                <w:rFonts w:ascii="宋体" w:hAnsi="宋体" w:eastAsia="宋体" w:cs="宋体"/>
                <w:spacing w:val="9"/>
                <w:sz w:val="20"/>
                <w:szCs w:val="20"/>
              </w:rPr>
              <w:t>角</w:t>
            </w:r>
            <w:r>
              <w:rPr>
                <w:rFonts w:ascii="宋体" w:hAnsi="宋体" w:eastAsia="宋体" w:cs="宋体"/>
                <w:spacing w:val="7"/>
                <w:sz w:val="20"/>
                <w:szCs w:val="20"/>
              </w:rPr>
              <w:t>向磨光机</w:t>
            </w:r>
          </w:p>
        </w:tc>
        <w:tc>
          <w:tcPr>
            <w:tcW w:w="1766" w:type="dxa"/>
            <w:tcBorders>
              <w:left w:val="single" w:color="000000" w:sz="4" w:space="0"/>
              <w:right w:val="single" w:color="000000" w:sz="4" w:space="0"/>
            </w:tcBorders>
          </w:tcPr>
          <w:p w14:paraId="1009005A">
            <w:pPr>
              <w:spacing w:before="73" w:line="195"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6"/>
                <w:sz w:val="20"/>
                <w:szCs w:val="20"/>
              </w:rPr>
              <w:t>0</w:t>
            </w:r>
            <w:r>
              <w:rPr>
                <w:rFonts w:ascii="Times New Roman" w:hAnsi="Times New Roman" w:eastAsia="Times New Roman" w:cs="Times New Roman"/>
                <w:spacing w:val="-4"/>
                <w:sz w:val="20"/>
                <w:szCs w:val="20"/>
              </w:rPr>
              <w:t>0~ 105</w:t>
            </w:r>
          </w:p>
        </w:tc>
        <w:tc>
          <w:tcPr>
            <w:tcW w:w="1181" w:type="dxa"/>
            <w:vMerge w:val="continue"/>
            <w:tcBorders>
              <w:top w:val="nil"/>
              <w:left w:val="single" w:color="000000" w:sz="4" w:space="0"/>
              <w:right w:val="single" w:color="000000" w:sz="4" w:space="0"/>
            </w:tcBorders>
          </w:tcPr>
          <w:p w14:paraId="445F46CD"/>
        </w:tc>
        <w:tc>
          <w:tcPr>
            <w:tcW w:w="967" w:type="dxa"/>
            <w:vMerge w:val="continue"/>
            <w:tcBorders>
              <w:top w:val="nil"/>
              <w:left w:val="single" w:color="000000" w:sz="4" w:space="0"/>
            </w:tcBorders>
          </w:tcPr>
          <w:p w14:paraId="162BF29A"/>
        </w:tc>
        <w:tc>
          <w:tcPr>
            <w:tcW w:w="968" w:type="dxa"/>
            <w:vMerge w:val="continue"/>
            <w:tcBorders>
              <w:top w:val="nil"/>
            </w:tcBorders>
          </w:tcPr>
          <w:p w14:paraId="2F06C667"/>
        </w:tc>
        <w:tc>
          <w:tcPr>
            <w:tcW w:w="966" w:type="dxa"/>
            <w:vMerge w:val="continue"/>
            <w:tcBorders>
              <w:top w:val="nil"/>
            </w:tcBorders>
          </w:tcPr>
          <w:p w14:paraId="31F629B2"/>
        </w:tc>
        <w:tc>
          <w:tcPr>
            <w:tcW w:w="901" w:type="dxa"/>
            <w:vMerge w:val="continue"/>
            <w:tcBorders>
              <w:top w:val="nil"/>
              <w:right w:val="nil"/>
            </w:tcBorders>
          </w:tcPr>
          <w:p w14:paraId="4BAA680E"/>
        </w:tc>
      </w:tr>
    </w:tbl>
    <w:p w14:paraId="79992B2F">
      <w:pPr>
        <w:spacing w:before="36" w:line="228" w:lineRule="auto"/>
        <w:ind w:left="489"/>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2</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治理措施</w:t>
      </w:r>
    </w:p>
    <w:p w14:paraId="041AB3CC">
      <w:pPr>
        <w:tabs>
          <w:tab w:val="left" w:pos="243"/>
        </w:tabs>
        <w:spacing w:before="179" w:line="374" w:lineRule="auto"/>
        <w:ind w:left="117" w:right="102" w:firstLine="510"/>
        <w:rPr>
          <w:rFonts w:ascii="宋体" w:hAnsi="宋体" w:eastAsia="宋体" w:cs="宋体"/>
          <w:sz w:val="23"/>
          <w:szCs w:val="23"/>
        </w:rPr>
      </w:pPr>
      <w:r>
        <w:rPr>
          <w:rFonts w:ascii="宋体" w:hAnsi="宋体" w:eastAsia="宋体" w:cs="宋体"/>
          <w:spacing w:val="24"/>
          <w:sz w:val="23"/>
          <w:szCs w:val="23"/>
        </w:rPr>
        <w:t>由上</w:t>
      </w:r>
      <w:r>
        <w:rPr>
          <w:rFonts w:ascii="宋体" w:hAnsi="宋体" w:eastAsia="宋体" w:cs="宋体"/>
          <w:spacing w:val="12"/>
          <w:sz w:val="23"/>
          <w:szCs w:val="23"/>
        </w:rPr>
        <w:t>表可以看出，项目施工期产生的噪声在未经任何处理的情况下预估场界噪声约为</w:t>
      </w:r>
      <w:r>
        <w:rPr>
          <w:rFonts w:ascii="宋体" w:hAnsi="宋体" w:eastAsia="宋体" w:cs="宋体"/>
          <w:sz w:val="23"/>
          <w:szCs w:val="23"/>
        </w:rPr>
        <w:t xml:space="preserve"> </w:t>
      </w:r>
      <w:r>
        <w:rPr>
          <w:rFonts w:ascii="Times New Roman" w:hAnsi="Times New Roman" w:eastAsia="Times New Roman" w:cs="Times New Roman"/>
          <w:spacing w:val="10"/>
          <w:sz w:val="23"/>
          <w:szCs w:val="23"/>
        </w:rPr>
        <w:t>70</w:t>
      </w:r>
      <w:r>
        <w:rPr>
          <w:rFonts w:ascii="Times New Roman" w:hAnsi="Times New Roman" w:eastAsia="Times New Roman" w:cs="Times New Roman"/>
          <w:sz w:val="23"/>
          <w:szCs w:val="23"/>
        </w:rPr>
        <w:t>dB</w:t>
      </w:r>
      <w:r>
        <w:rPr>
          <w:rFonts w:ascii="Times New Roman" w:hAnsi="Times New Roman" w:eastAsia="Times New Roman" w:cs="Times New Roman"/>
          <w:spacing w:val="10"/>
          <w:sz w:val="23"/>
          <w:szCs w:val="23"/>
        </w:rPr>
        <w:t xml:space="preserve">  </w:t>
      </w:r>
      <w:r>
        <w:rPr>
          <w:rFonts w:ascii="宋体" w:hAnsi="宋体" w:eastAsia="宋体" w:cs="宋体"/>
          <w:spacing w:val="10"/>
          <w:sz w:val="23"/>
          <w:szCs w:val="23"/>
        </w:rPr>
        <w:t>(</w:t>
      </w:r>
      <w:r>
        <w:rPr>
          <w:rFonts w:ascii="Times New Roman" w:hAnsi="Times New Roman" w:eastAsia="Times New Roman" w:cs="Times New Roman"/>
          <w:sz w:val="23"/>
          <w:szCs w:val="23"/>
        </w:rPr>
        <w:t>A</w:t>
      </w:r>
      <w:r>
        <w:rPr>
          <w:rFonts w:ascii="宋体" w:hAnsi="宋体" w:eastAsia="宋体" w:cs="宋体"/>
          <w:spacing w:val="6"/>
          <w:sz w:val="23"/>
          <w:szCs w:val="23"/>
        </w:rPr>
        <w:t>)</w:t>
      </w:r>
      <w:r>
        <w:rPr>
          <w:rFonts w:ascii="宋体" w:hAnsi="宋体" w:eastAsia="宋体" w:cs="宋体"/>
          <w:spacing w:val="5"/>
          <w:sz w:val="23"/>
          <w:szCs w:val="23"/>
        </w:rPr>
        <w:t xml:space="preserve"> </w:t>
      </w:r>
      <w:r>
        <w:rPr>
          <w:rFonts w:ascii="Times New Roman" w:hAnsi="Times New Roman" w:eastAsia="Times New Roman" w:cs="Times New Roman"/>
          <w:spacing w:val="5"/>
          <w:sz w:val="23"/>
          <w:szCs w:val="23"/>
        </w:rPr>
        <w:t>~95</w:t>
      </w:r>
      <w:r>
        <w:rPr>
          <w:rFonts w:ascii="Times New Roman" w:hAnsi="Times New Roman" w:eastAsia="Times New Roman" w:cs="Times New Roman"/>
          <w:sz w:val="23"/>
          <w:szCs w:val="23"/>
        </w:rPr>
        <w:t>dB</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w:t>
      </w:r>
      <w:r>
        <w:rPr>
          <w:rFonts w:ascii="Times New Roman" w:hAnsi="Times New Roman" w:eastAsia="Times New Roman" w:cs="Times New Roman"/>
          <w:sz w:val="23"/>
          <w:szCs w:val="23"/>
        </w:rPr>
        <w:t>A</w:t>
      </w:r>
      <w:r>
        <w:rPr>
          <w:rFonts w:ascii="宋体" w:hAnsi="宋体" w:eastAsia="宋体" w:cs="宋体"/>
          <w:spacing w:val="5"/>
          <w:sz w:val="23"/>
          <w:szCs w:val="23"/>
        </w:rPr>
        <w:t>) 之间，《建筑施工场界环境噪声排放标准》  (</w:t>
      </w:r>
      <w:r>
        <w:rPr>
          <w:rFonts w:ascii="Times New Roman" w:hAnsi="Times New Roman" w:eastAsia="Times New Roman" w:cs="Times New Roman"/>
          <w:sz w:val="23"/>
          <w:szCs w:val="23"/>
        </w:rPr>
        <w:t>GB</w:t>
      </w:r>
      <w:r>
        <w:rPr>
          <w:rFonts w:ascii="Times New Roman" w:hAnsi="Times New Roman" w:eastAsia="Times New Roman" w:cs="Times New Roman"/>
          <w:spacing w:val="5"/>
          <w:sz w:val="23"/>
          <w:szCs w:val="23"/>
        </w:rPr>
        <w:t>12523-2011</w:t>
      </w:r>
      <w:r>
        <w:rPr>
          <w:rFonts w:ascii="宋体" w:hAnsi="宋体" w:eastAsia="宋体" w:cs="宋体"/>
          <w:spacing w:val="5"/>
          <w:sz w:val="23"/>
          <w:szCs w:val="23"/>
        </w:rPr>
        <w:t>) 的标</w:t>
      </w:r>
      <w:r>
        <w:rPr>
          <w:rFonts w:ascii="宋体" w:hAnsi="宋体" w:eastAsia="宋体" w:cs="宋体"/>
          <w:sz w:val="23"/>
          <w:szCs w:val="23"/>
        </w:rPr>
        <w:t xml:space="preserve"> </w:t>
      </w:r>
      <w:r>
        <w:rPr>
          <w:rFonts w:ascii="宋体" w:hAnsi="宋体" w:eastAsia="宋体" w:cs="宋体"/>
          <w:spacing w:val="8"/>
          <w:sz w:val="23"/>
          <w:szCs w:val="23"/>
        </w:rPr>
        <w:t>准限值为昼间</w:t>
      </w:r>
      <w:r>
        <w:rPr>
          <w:rFonts w:ascii="Times New Roman" w:hAnsi="Times New Roman" w:eastAsia="Times New Roman" w:cs="Times New Roman"/>
          <w:spacing w:val="8"/>
          <w:sz w:val="23"/>
          <w:szCs w:val="23"/>
        </w:rPr>
        <w:t>70</w:t>
      </w:r>
      <w:r>
        <w:rPr>
          <w:rFonts w:ascii="Times New Roman" w:hAnsi="Times New Roman" w:eastAsia="Times New Roman" w:cs="Times New Roman"/>
          <w:sz w:val="23"/>
          <w:szCs w:val="23"/>
        </w:rPr>
        <w:t>dB</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w:t>
      </w:r>
      <w:r>
        <w:rPr>
          <w:rFonts w:ascii="Times New Roman" w:hAnsi="Times New Roman" w:eastAsia="Times New Roman" w:cs="Times New Roman"/>
          <w:sz w:val="23"/>
          <w:szCs w:val="23"/>
        </w:rPr>
        <w:t>A</w:t>
      </w:r>
      <w:r>
        <w:rPr>
          <w:rFonts w:ascii="宋体" w:hAnsi="宋体" w:eastAsia="宋体" w:cs="宋体"/>
          <w:spacing w:val="8"/>
          <w:sz w:val="23"/>
          <w:szCs w:val="23"/>
        </w:rPr>
        <w:t>) 、夜间</w:t>
      </w:r>
      <w:r>
        <w:rPr>
          <w:rFonts w:ascii="Times New Roman" w:hAnsi="Times New Roman" w:eastAsia="Times New Roman" w:cs="Times New Roman"/>
          <w:spacing w:val="8"/>
          <w:sz w:val="23"/>
          <w:szCs w:val="23"/>
        </w:rPr>
        <w:t>55</w:t>
      </w:r>
      <w:r>
        <w:rPr>
          <w:rFonts w:ascii="Times New Roman" w:hAnsi="Times New Roman" w:eastAsia="Times New Roman" w:cs="Times New Roman"/>
          <w:sz w:val="23"/>
          <w:szCs w:val="23"/>
        </w:rPr>
        <w:t>dB</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w:t>
      </w:r>
      <w:r>
        <w:rPr>
          <w:rFonts w:ascii="Times New Roman" w:hAnsi="Times New Roman" w:eastAsia="Times New Roman" w:cs="Times New Roman"/>
          <w:sz w:val="23"/>
          <w:szCs w:val="23"/>
        </w:rPr>
        <w:t>A</w:t>
      </w:r>
      <w:r>
        <w:rPr>
          <w:rFonts w:ascii="宋体" w:hAnsi="宋体" w:eastAsia="宋体" w:cs="宋体"/>
          <w:spacing w:val="8"/>
          <w:sz w:val="23"/>
          <w:szCs w:val="23"/>
        </w:rPr>
        <w:t>) 。若不经相关措施处理，噪声场界无法达标，</w:t>
      </w:r>
      <w:r>
        <w:rPr>
          <w:rFonts w:ascii="宋体" w:hAnsi="宋体" w:eastAsia="宋体" w:cs="宋体"/>
          <w:sz w:val="23"/>
          <w:szCs w:val="23"/>
        </w:rPr>
        <w:t xml:space="preserve">因 </w:t>
      </w:r>
      <w:r>
        <w:rPr>
          <w:rFonts w:ascii="宋体" w:hAnsi="宋体" w:eastAsia="宋体" w:cs="宋体"/>
          <w:spacing w:val="14"/>
          <w:sz w:val="23"/>
          <w:szCs w:val="23"/>
        </w:rPr>
        <w:t>此</w:t>
      </w:r>
      <w:r>
        <w:rPr>
          <w:rFonts w:ascii="宋体" w:hAnsi="宋体" w:eastAsia="宋体" w:cs="宋体"/>
          <w:spacing w:val="8"/>
          <w:sz w:val="23"/>
          <w:szCs w:val="23"/>
        </w:rPr>
        <w:t>，</w:t>
      </w:r>
      <w:r>
        <w:rPr>
          <w:rFonts w:ascii="宋体" w:hAnsi="宋体" w:eastAsia="宋体" w:cs="宋体"/>
          <w:spacing w:val="7"/>
          <w:sz w:val="23"/>
          <w:szCs w:val="23"/>
        </w:rPr>
        <w:t>为了降低施工噪声的影响，施工单位应采取相应措施。在施工作业中必须合理安排各类</w:t>
      </w:r>
      <w:r>
        <w:rPr>
          <w:rFonts w:ascii="宋体" w:hAnsi="宋体" w:eastAsia="宋体" w:cs="宋体"/>
          <w:sz w:val="23"/>
          <w:szCs w:val="23"/>
        </w:rPr>
        <w:t xml:space="preserve"> </w:t>
      </w:r>
      <w:r>
        <w:rPr>
          <w:rFonts w:ascii="宋体" w:hAnsi="宋体" w:eastAsia="宋体" w:cs="宋体"/>
          <w:spacing w:val="33"/>
          <w:sz w:val="23"/>
          <w:szCs w:val="23"/>
        </w:rPr>
        <w:t>施</w:t>
      </w:r>
      <w:r>
        <w:rPr>
          <w:rFonts w:ascii="宋体" w:hAnsi="宋体" w:eastAsia="宋体" w:cs="宋体"/>
          <w:spacing w:val="18"/>
          <w:sz w:val="23"/>
          <w:szCs w:val="23"/>
        </w:rPr>
        <w:t>工机械的工作时间 ， 对不同施工阶段 ， 按《 建筑施工场界环境噪声排放标准 》</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12"/>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11"/>
          <w:sz w:val="23"/>
          <w:szCs w:val="23"/>
        </w:rPr>
        <w:t>1</w:t>
      </w:r>
      <w:r>
        <w:rPr>
          <w:rFonts w:ascii="Times New Roman" w:hAnsi="Times New Roman" w:eastAsia="Times New Roman" w:cs="Times New Roman"/>
          <w:spacing w:val="6"/>
          <w:sz w:val="23"/>
          <w:szCs w:val="23"/>
        </w:rPr>
        <w:t>2523-2011</w:t>
      </w:r>
      <w:r>
        <w:rPr>
          <w:rFonts w:ascii="宋体" w:hAnsi="宋体" w:eastAsia="宋体" w:cs="宋体"/>
          <w:spacing w:val="6"/>
          <w:sz w:val="23"/>
          <w:szCs w:val="23"/>
        </w:rPr>
        <w:t>) 对施工场界进行噪声控制。</w:t>
      </w:r>
    </w:p>
    <w:p w14:paraId="0F704732">
      <w:pPr>
        <w:spacing w:before="10" w:line="374" w:lineRule="auto"/>
        <w:ind w:left="117" w:right="44" w:firstLine="473"/>
        <w:rPr>
          <w:rFonts w:ascii="宋体" w:hAnsi="宋体" w:eastAsia="宋体" w:cs="宋体"/>
          <w:sz w:val="23"/>
          <w:szCs w:val="23"/>
        </w:rPr>
      </w:pPr>
      <w:r>
        <w:rPr>
          <w:rFonts w:ascii="Times New Roman" w:hAnsi="Times New Roman" w:eastAsia="Times New Roman" w:cs="Times New Roman"/>
          <w:b/>
          <w:bCs/>
          <w:sz w:val="23"/>
          <w:szCs w:val="23"/>
        </w:rPr>
        <w:t>A</w:t>
      </w:r>
      <w:r>
        <w:rPr>
          <w:rFonts w:ascii="Times New Roman" w:hAnsi="Times New Roman" w:eastAsia="Times New Roman" w:cs="Times New Roman"/>
          <w:b/>
          <w:bCs/>
          <w:spacing w:val="14"/>
          <w:sz w:val="23"/>
          <w:szCs w:val="23"/>
        </w:rPr>
        <w:t>.</w:t>
      </w:r>
      <w:r>
        <w:rPr>
          <w:rFonts w:ascii="宋体" w:hAnsi="宋体" w:eastAsia="宋体" w:cs="宋体"/>
          <w:spacing w:val="14"/>
          <w:sz w:val="23"/>
          <w:szCs w:val="23"/>
        </w:rPr>
        <w:t>从</w:t>
      </w:r>
      <w:r>
        <w:rPr>
          <w:rFonts w:ascii="宋体" w:hAnsi="宋体" w:eastAsia="宋体" w:cs="宋体"/>
          <w:spacing w:val="8"/>
          <w:sz w:val="23"/>
          <w:szCs w:val="23"/>
        </w:rPr>
        <w:t>声</w:t>
      </w:r>
      <w:r>
        <w:rPr>
          <w:rFonts w:ascii="宋体" w:hAnsi="宋体" w:eastAsia="宋体" w:cs="宋体"/>
          <w:spacing w:val="7"/>
          <w:sz w:val="23"/>
          <w:szCs w:val="23"/>
        </w:rPr>
        <w:t>源上控制：建设单位在与施工单位签订合同时，应要求其使用的主要机械设备为</w:t>
      </w:r>
      <w:r>
        <w:rPr>
          <w:rFonts w:ascii="宋体" w:hAnsi="宋体" w:eastAsia="宋体" w:cs="宋体"/>
          <w:sz w:val="23"/>
          <w:szCs w:val="23"/>
        </w:rPr>
        <w:t xml:space="preserve"> </w:t>
      </w:r>
      <w:r>
        <w:rPr>
          <w:rFonts w:ascii="宋体" w:hAnsi="宋体" w:eastAsia="宋体" w:cs="宋体"/>
          <w:spacing w:val="14"/>
          <w:sz w:val="23"/>
          <w:szCs w:val="23"/>
        </w:rPr>
        <w:t>低</w:t>
      </w:r>
      <w:r>
        <w:rPr>
          <w:rFonts w:ascii="宋体" w:hAnsi="宋体" w:eastAsia="宋体" w:cs="宋体"/>
          <w:spacing w:val="8"/>
          <w:sz w:val="23"/>
          <w:szCs w:val="23"/>
        </w:rPr>
        <w:t>噪</w:t>
      </w:r>
      <w:r>
        <w:rPr>
          <w:rFonts w:ascii="宋体" w:hAnsi="宋体" w:eastAsia="宋体" w:cs="宋体"/>
          <w:spacing w:val="7"/>
          <w:sz w:val="23"/>
          <w:szCs w:val="23"/>
        </w:rPr>
        <w:t>声机械设备，例如选液压机械取代燃油机械。同时在施工过程中施工单位应设专人对设</w:t>
      </w:r>
      <w:r>
        <w:rPr>
          <w:rFonts w:ascii="宋体" w:hAnsi="宋体" w:eastAsia="宋体" w:cs="宋体"/>
          <w:sz w:val="23"/>
          <w:szCs w:val="23"/>
        </w:rPr>
        <w:t xml:space="preserve"> </w:t>
      </w:r>
      <w:r>
        <w:rPr>
          <w:rFonts w:ascii="宋体" w:hAnsi="宋体" w:eastAsia="宋体" w:cs="宋体"/>
          <w:spacing w:val="16"/>
          <w:sz w:val="23"/>
          <w:szCs w:val="23"/>
        </w:rPr>
        <w:t>备进行</w:t>
      </w:r>
      <w:r>
        <w:rPr>
          <w:rFonts w:ascii="宋体" w:hAnsi="宋体" w:eastAsia="宋体" w:cs="宋体"/>
          <w:spacing w:val="15"/>
          <w:sz w:val="23"/>
          <w:szCs w:val="23"/>
        </w:rPr>
        <w:t>定</w:t>
      </w:r>
      <w:r>
        <w:rPr>
          <w:rFonts w:ascii="宋体" w:hAnsi="宋体" w:eastAsia="宋体" w:cs="宋体"/>
          <w:spacing w:val="8"/>
          <w:sz w:val="23"/>
          <w:szCs w:val="23"/>
        </w:rPr>
        <w:t>期保养和维护，并负责对现场工作人员进行培训，严格按操作规范使用各类机械。</w:t>
      </w:r>
    </w:p>
    <w:p w14:paraId="6167F179">
      <w:pPr>
        <w:spacing w:before="1" w:line="374" w:lineRule="auto"/>
        <w:ind w:left="131" w:right="163" w:firstLine="462"/>
        <w:rPr>
          <w:rFonts w:ascii="宋体" w:hAnsi="宋体" w:eastAsia="宋体" w:cs="宋体"/>
          <w:sz w:val="23"/>
          <w:szCs w:val="23"/>
        </w:rPr>
      </w:pPr>
      <w:r>
        <w:rPr>
          <w:rFonts w:ascii="Times New Roman" w:hAnsi="Times New Roman" w:eastAsia="Times New Roman" w:cs="Times New Roman"/>
          <w:b/>
          <w:bCs/>
          <w:sz w:val="23"/>
          <w:szCs w:val="23"/>
        </w:rPr>
        <w:t>B</w:t>
      </w:r>
      <w:r>
        <w:rPr>
          <w:rFonts w:ascii="Times New Roman" w:hAnsi="Times New Roman" w:eastAsia="Times New Roman" w:cs="Times New Roman"/>
          <w:b/>
          <w:bCs/>
          <w:spacing w:val="14"/>
          <w:sz w:val="23"/>
          <w:szCs w:val="23"/>
        </w:rPr>
        <w:t>.</w:t>
      </w:r>
      <w:r>
        <w:rPr>
          <w:rFonts w:ascii="宋体" w:hAnsi="宋体" w:eastAsia="宋体" w:cs="宋体"/>
          <w:spacing w:val="12"/>
          <w:sz w:val="23"/>
          <w:szCs w:val="23"/>
        </w:rPr>
        <w:t>合</w:t>
      </w:r>
      <w:r>
        <w:rPr>
          <w:rFonts w:ascii="宋体" w:hAnsi="宋体" w:eastAsia="宋体" w:cs="宋体"/>
          <w:spacing w:val="7"/>
          <w:sz w:val="23"/>
          <w:szCs w:val="23"/>
        </w:rPr>
        <w:t>理安排施工时间，评价要求严禁夜间 (</w:t>
      </w:r>
      <w:r>
        <w:rPr>
          <w:rFonts w:ascii="Times New Roman" w:hAnsi="Times New Roman" w:eastAsia="Times New Roman" w:cs="Times New Roman"/>
          <w:spacing w:val="7"/>
          <w:sz w:val="23"/>
          <w:szCs w:val="23"/>
        </w:rPr>
        <w:t>22:00~6:00</w:t>
      </w:r>
      <w:r>
        <w:rPr>
          <w:rFonts w:ascii="宋体" w:hAnsi="宋体" w:eastAsia="宋体" w:cs="宋体"/>
          <w:spacing w:val="7"/>
          <w:sz w:val="23"/>
          <w:szCs w:val="23"/>
        </w:rPr>
        <w:t>) 施工；工程若必须夜间施工，</w:t>
      </w:r>
      <w:r>
        <w:rPr>
          <w:rFonts w:ascii="宋体" w:hAnsi="宋体" w:eastAsia="宋体" w:cs="宋体"/>
          <w:sz w:val="23"/>
          <w:szCs w:val="23"/>
        </w:rPr>
        <w:t xml:space="preserve"> </w:t>
      </w:r>
      <w:r>
        <w:rPr>
          <w:rFonts w:ascii="宋体" w:hAnsi="宋体" w:eastAsia="宋体" w:cs="宋体"/>
          <w:spacing w:val="9"/>
          <w:sz w:val="23"/>
          <w:szCs w:val="23"/>
        </w:rPr>
        <w:t>需取得相关部门的同意，并及时与周围住户沟通取得谅解，以免发生纠纷。</w:t>
      </w:r>
    </w:p>
    <w:p w14:paraId="6BA7A484">
      <w:pPr>
        <w:spacing w:before="1" w:line="226" w:lineRule="auto"/>
        <w:ind w:left="598"/>
        <w:rPr>
          <w:rFonts w:ascii="宋体" w:hAnsi="宋体" w:eastAsia="宋体" w:cs="宋体"/>
          <w:sz w:val="23"/>
          <w:szCs w:val="23"/>
        </w:rPr>
      </w:pPr>
      <w:r>
        <w:rPr>
          <w:rFonts w:ascii="Times New Roman" w:hAnsi="Times New Roman" w:eastAsia="Times New Roman" w:cs="Times New Roman"/>
          <w:b/>
          <w:bCs/>
          <w:sz w:val="23"/>
          <w:szCs w:val="23"/>
        </w:rPr>
        <w:t>C</w:t>
      </w:r>
      <w:r>
        <w:rPr>
          <w:rFonts w:ascii="Times New Roman" w:hAnsi="Times New Roman" w:eastAsia="Times New Roman" w:cs="Times New Roman"/>
          <w:b/>
          <w:bCs/>
          <w:spacing w:val="14"/>
          <w:sz w:val="23"/>
          <w:szCs w:val="23"/>
        </w:rPr>
        <w:t>.</w:t>
      </w:r>
      <w:r>
        <w:rPr>
          <w:rFonts w:ascii="宋体" w:hAnsi="宋体" w:eastAsia="宋体" w:cs="宋体"/>
          <w:spacing w:val="7"/>
          <w:sz w:val="23"/>
          <w:szCs w:val="23"/>
        </w:rPr>
        <w:t>合理布置：在不影响施工情况下将噪声设备尽量不集中安排，并将其移至场地中间位</w:t>
      </w:r>
    </w:p>
    <w:p w14:paraId="195F5BEF">
      <w:pPr>
        <w:spacing w:before="186" w:line="233" w:lineRule="auto"/>
        <w:ind w:left="116"/>
        <w:rPr>
          <w:rFonts w:ascii="宋体" w:hAnsi="宋体" w:eastAsia="宋体" w:cs="宋体"/>
          <w:sz w:val="23"/>
          <w:szCs w:val="23"/>
        </w:rPr>
      </w:pPr>
      <w:r>
        <w:rPr>
          <w:rFonts w:ascii="宋体" w:hAnsi="宋体" w:eastAsia="宋体" w:cs="宋体"/>
          <w:spacing w:val="18"/>
          <w:sz w:val="23"/>
          <w:szCs w:val="23"/>
        </w:rPr>
        <w:t>置</w:t>
      </w:r>
      <w:r>
        <w:rPr>
          <w:rFonts w:ascii="宋体" w:hAnsi="宋体" w:eastAsia="宋体" w:cs="宋体"/>
          <w:spacing w:val="13"/>
          <w:sz w:val="23"/>
          <w:szCs w:val="23"/>
        </w:rPr>
        <w:t>，</w:t>
      </w:r>
      <w:r>
        <w:rPr>
          <w:rFonts w:ascii="宋体" w:hAnsi="宋体" w:eastAsia="宋体" w:cs="宋体"/>
          <w:spacing w:val="9"/>
          <w:sz w:val="23"/>
          <w:szCs w:val="23"/>
        </w:rPr>
        <w:t>距离周边居民较远的地方。同时对固定的机械设备尽量入棚操作。</w:t>
      </w:r>
    </w:p>
    <w:p w14:paraId="7A569C96">
      <w:pPr>
        <w:spacing w:before="178" w:line="227" w:lineRule="auto"/>
        <w:ind w:left="591"/>
        <w:rPr>
          <w:rFonts w:ascii="宋体" w:hAnsi="宋体" w:eastAsia="宋体" w:cs="宋体"/>
          <w:sz w:val="23"/>
          <w:szCs w:val="23"/>
        </w:rPr>
      </w:pPr>
      <w:r>
        <w:rPr>
          <w:rFonts w:ascii="Times New Roman" w:hAnsi="Times New Roman" w:eastAsia="Times New Roman" w:cs="Times New Roman"/>
          <w:b/>
          <w:bCs/>
          <w:sz w:val="23"/>
          <w:szCs w:val="23"/>
        </w:rPr>
        <w:t>D</w:t>
      </w:r>
      <w:r>
        <w:rPr>
          <w:rFonts w:ascii="Times New Roman" w:hAnsi="Times New Roman" w:eastAsia="Times New Roman" w:cs="Times New Roman"/>
          <w:b/>
          <w:bCs/>
          <w:spacing w:val="9"/>
          <w:sz w:val="23"/>
          <w:szCs w:val="23"/>
        </w:rPr>
        <w:t>.</w:t>
      </w:r>
      <w:r>
        <w:rPr>
          <w:rFonts w:ascii="宋体" w:hAnsi="宋体" w:eastAsia="宋体" w:cs="宋体"/>
          <w:spacing w:val="9"/>
          <w:sz w:val="23"/>
          <w:szCs w:val="23"/>
        </w:rPr>
        <w:t>车辆出入现场时应低速</w:t>
      </w:r>
      <w:r>
        <w:rPr>
          <w:rFonts w:ascii="宋体" w:hAnsi="宋体" w:eastAsia="宋体" w:cs="宋体"/>
          <w:spacing w:val="7"/>
          <w:sz w:val="23"/>
          <w:szCs w:val="23"/>
        </w:rPr>
        <w:t>。</w:t>
      </w:r>
    </w:p>
    <w:p w14:paraId="67C2329B">
      <w:pPr>
        <w:sectPr>
          <w:headerReference r:id="rId92" w:type="default"/>
          <w:footerReference r:id="rId93" w:type="default"/>
          <w:pgSz w:w="11907" w:h="16840"/>
          <w:pgMar w:top="829" w:right="1025" w:bottom="1139" w:left="1168" w:header="595" w:footer="953" w:gutter="0"/>
          <w:cols w:space="720" w:num="1"/>
        </w:sectPr>
      </w:pPr>
    </w:p>
    <w:p w14:paraId="201C57ED">
      <w:pPr>
        <w:spacing w:before="145" w:line="375" w:lineRule="auto"/>
        <w:ind w:left="32" w:right="33" w:firstLine="452"/>
        <w:rPr>
          <w:rFonts w:ascii="宋体" w:hAnsi="宋体" w:eastAsia="宋体" w:cs="宋体"/>
          <w:sz w:val="23"/>
          <w:szCs w:val="23"/>
        </w:rPr>
      </w:pPr>
      <w:r>
        <w:rPr>
          <w:rFonts w:ascii="Times New Roman" w:hAnsi="Times New Roman" w:eastAsia="Times New Roman" w:cs="Times New Roman"/>
          <w:b/>
          <w:bCs/>
          <w:sz w:val="23"/>
          <w:szCs w:val="23"/>
        </w:rPr>
        <w:t>E</w:t>
      </w:r>
      <w:r>
        <w:rPr>
          <w:rFonts w:ascii="Times New Roman" w:hAnsi="Times New Roman" w:eastAsia="Times New Roman" w:cs="Times New Roman"/>
          <w:b/>
          <w:bCs/>
          <w:spacing w:val="14"/>
          <w:sz w:val="23"/>
          <w:szCs w:val="23"/>
        </w:rPr>
        <w:t>.</w:t>
      </w:r>
      <w:r>
        <w:rPr>
          <w:rFonts w:ascii="宋体" w:hAnsi="宋体" w:eastAsia="宋体" w:cs="宋体"/>
          <w:spacing w:val="14"/>
          <w:sz w:val="23"/>
          <w:szCs w:val="23"/>
        </w:rPr>
        <w:t>建设</w:t>
      </w:r>
      <w:r>
        <w:rPr>
          <w:rFonts w:ascii="宋体" w:hAnsi="宋体" w:eastAsia="宋体" w:cs="宋体"/>
          <w:spacing w:val="11"/>
          <w:sz w:val="23"/>
          <w:szCs w:val="23"/>
        </w:rPr>
        <w:t>管</w:t>
      </w:r>
      <w:r>
        <w:rPr>
          <w:rFonts w:ascii="宋体" w:hAnsi="宋体" w:eastAsia="宋体" w:cs="宋体"/>
          <w:spacing w:val="7"/>
          <w:sz w:val="23"/>
          <w:szCs w:val="23"/>
        </w:rPr>
        <w:t>理部门应加强对施工场地的噪声管理，施工企业也应对施工噪声进行自律，文</w:t>
      </w:r>
      <w:r>
        <w:rPr>
          <w:rFonts w:ascii="宋体" w:hAnsi="宋体" w:eastAsia="宋体" w:cs="宋体"/>
          <w:sz w:val="23"/>
          <w:szCs w:val="23"/>
        </w:rPr>
        <w:t xml:space="preserve"> </w:t>
      </w:r>
      <w:r>
        <w:rPr>
          <w:rFonts w:ascii="宋体" w:hAnsi="宋体" w:eastAsia="宋体" w:cs="宋体"/>
          <w:spacing w:val="13"/>
          <w:sz w:val="23"/>
          <w:szCs w:val="23"/>
        </w:rPr>
        <w:t>明</w:t>
      </w:r>
      <w:r>
        <w:rPr>
          <w:rFonts w:ascii="宋体" w:hAnsi="宋体" w:eastAsia="宋体" w:cs="宋体"/>
          <w:spacing w:val="7"/>
          <w:sz w:val="23"/>
          <w:szCs w:val="23"/>
        </w:rPr>
        <w:t>施工，避免因施工噪声产生纠纷。</w:t>
      </w:r>
    </w:p>
    <w:p w14:paraId="7A65DCFC">
      <w:pPr>
        <w:spacing w:line="227" w:lineRule="auto"/>
        <w:ind w:left="486"/>
        <w:rPr>
          <w:rFonts w:ascii="宋体" w:hAnsi="宋体" w:eastAsia="宋体" w:cs="宋体"/>
          <w:sz w:val="23"/>
          <w:szCs w:val="23"/>
        </w:rPr>
      </w:pPr>
      <w:r>
        <w:rPr>
          <w:rFonts w:ascii="Times New Roman" w:hAnsi="Times New Roman" w:eastAsia="Times New Roman" w:cs="Times New Roman"/>
          <w:b/>
          <w:bCs/>
          <w:sz w:val="23"/>
          <w:szCs w:val="23"/>
        </w:rPr>
        <w:t>F</w:t>
      </w:r>
      <w:r>
        <w:rPr>
          <w:rFonts w:ascii="Times New Roman" w:hAnsi="Times New Roman" w:eastAsia="Times New Roman" w:cs="Times New Roman"/>
          <w:b/>
          <w:bCs/>
          <w:spacing w:val="8"/>
          <w:sz w:val="23"/>
          <w:szCs w:val="23"/>
        </w:rPr>
        <w:t>.</w:t>
      </w:r>
      <w:r>
        <w:rPr>
          <w:rFonts w:ascii="宋体" w:hAnsi="宋体" w:eastAsia="宋体" w:cs="宋体"/>
          <w:spacing w:val="8"/>
          <w:sz w:val="23"/>
          <w:szCs w:val="23"/>
        </w:rPr>
        <w:t>施工现场提倡文明施工，建立健全控制人为噪声的管理制度，尽量减少人为的大声</w:t>
      </w:r>
      <w:r>
        <w:rPr>
          <w:rFonts w:ascii="宋体" w:hAnsi="宋体" w:eastAsia="宋体" w:cs="宋体"/>
          <w:spacing w:val="7"/>
          <w:sz w:val="23"/>
          <w:szCs w:val="23"/>
        </w:rPr>
        <w:t>喧</w:t>
      </w:r>
    </w:p>
    <w:p w14:paraId="30DBB119">
      <w:pPr>
        <w:spacing w:before="182" w:line="228" w:lineRule="auto"/>
        <w:ind w:left="22"/>
        <w:rPr>
          <w:rFonts w:ascii="宋体" w:hAnsi="宋体" w:eastAsia="宋体" w:cs="宋体"/>
          <w:sz w:val="23"/>
          <w:szCs w:val="23"/>
        </w:rPr>
      </w:pPr>
      <w:r>
        <w:rPr>
          <w:rFonts w:ascii="宋体" w:hAnsi="宋体" w:eastAsia="宋体" w:cs="宋体"/>
          <w:spacing w:val="14"/>
          <w:sz w:val="23"/>
          <w:szCs w:val="23"/>
        </w:rPr>
        <w:t>哗</w:t>
      </w:r>
      <w:r>
        <w:rPr>
          <w:rFonts w:ascii="宋体" w:hAnsi="宋体" w:eastAsia="宋体" w:cs="宋体"/>
          <w:spacing w:val="8"/>
          <w:sz w:val="23"/>
          <w:szCs w:val="23"/>
        </w:rPr>
        <w:t>，增强全体施工人员的防噪的自觉意识。</w:t>
      </w:r>
    </w:p>
    <w:p w14:paraId="7725E82A">
      <w:pPr>
        <w:spacing w:before="183" w:line="375" w:lineRule="auto"/>
        <w:ind w:left="10" w:right="31" w:firstLine="480"/>
        <w:rPr>
          <w:rFonts w:ascii="宋体" w:hAnsi="宋体" w:eastAsia="宋体" w:cs="宋体"/>
          <w:sz w:val="23"/>
          <w:szCs w:val="23"/>
        </w:rPr>
      </w:pPr>
      <w:r>
        <w:rPr>
          <w:rFonts w:ascii="Times New Roman" w:hAnsi="Times New Roman" w:eastAsia="Times New Roman" w:cs="Times New Roman"/>
          <w:b/>
          <w:bCs/>
          <w:sz w:val="23"/>
          <w:szCs w:val="23"/>
        </w:rPr>
        <w:t>G</w:t>
      </w:r>
      <w:r>
        <w:rPr>
          <w:rFonts w:ascii="Times New Roman" w:hAnsi="Times New Roman" w:eastAsia="Times New Roman" w:cs="Times New Roman"/>
          <w:b/>
          <w:bCs/>
          <w:spacing w:val="10"/>
          <w:sz w:val="23"/>
          <w:szCs w:val="23"/>
        </w:rPr>
        <w:t>.</w:t>
      </w:r>
      <w:r>
        <w:rPr>
          <w:rFonts w:ascii="Times New Roman" w:hAnsi="Times New Roman" w:eastAsia="Times New Roman" w:cs="Times New Roman"/>
          <w:spacing w:val="10"/>
          <w:sz w:val="23"/>
          <w:szCs w:val="23"/>
        </w:rPr>
        <w:t xml:space="preserve"> </w:t>
      </w:r>
      <w:r>
        <w:rPr>
          <w:rFonts w:ascii="宋体" w:hAnsi="宋体" w:eastAsia="宋体" w:cs="宋体"/>
          <w:spacing w:val="5"/>
          <w:sz w:val="23"/>
          <w:szCs w:val="23"/>
        </w:rPr>
        <w:t>门窗、预制构件、大部分钢筋的成品，半成品在工厂完成，减少施工场地内加工机械</w:t>
      </w:r>
      <w:r>
        <w:rPr>
          <w:rFonts w:ascii="宋体" w:hAnsi="宋体" w:eastAsia="宋体" w:cs="宋体"/>
          <w:sz w:val="23"/>
          <w:szCs w:val="23"/>
        </w:rPr>
        <w:t xml:space="preserve"> </w:t>
      </w:r>
      <w:r>
        <w:rPr>
          <w:rFonts w:ascii="宋体" w:hAnsi="宋体" w:eastAsia="宋体" w:cs="宋体"/>
          <w:spacing w:val="16"/>
          <w:sz w:val="23"/>
          <w:szCs w:val="23"/>
        </w:rPr>
        <w:t>产</w:t>
      </w:r>
      <w:r>
        <w:rPr>
          <w:rFonts w:ascii="宋体" w:hAnsi="宋体" w:eastAsia="宋体" w:cs="宋体"/>
          <w:spacing w:val="9"/>
          <w:sz w:val="23"/>
          <w:szCs w:val="23"/>
        </w:rPr>
        <w:t>生的噪声，如少量需现场钢筋加工的尽量安排在白天进行。</w:t>
      </w:r>
    </w:p>
    <w:p w14:paraId="04489C88">
      <w:pPr>
        <w:spacing w:before="1" w:line="374" w:lineRule="auto"/>
        <w:ind w:left="11" w:right="33" w:firstLine="474"/>
        <w:rPr>
          <w:rFonts w:ascii="宋体" w:hAnsi="宋体" w:eastAsia="宋体" w:cs="宋体"/>
          <w:sz w:val="23"/>
          <w:szCs w:val="23"/>
        </w:rPr>
      </w:pPr>
      <w:r>
        <w:rPr>
          <w:rFonts w:ascii="Times New Roman" w:hAnsi="Times New Roman" w:eastAsia="Times New Roman" w:cs="Times New Roman"/>
          <w:b/>
          <w:bCs/>
          <w:sz w:val="23"/>
          <w:szCs w:val="23"/>
        </w:rPr>
        <w:t>H</w:t>
      </w:r>
      <w:r>
        <w:rPr>
          <w:rFonts w:ascii="Times New Roman" w:hAnsi="Times New Roman" w:eastAsia="Times New Roman" w:cs="Times New Roman"/>
          <w:b/>
          <w:bCs/>
          <w:spacing w:val="7"/>
          <w:sz w:val="23"/>
          <w:szCs w:val="23"/>
        </w:rPr>
        <w:t>.</w:t>
      </w:r>
      <w:r>
        <w:rPr>
          <w:rFonts w:ascii="宋体" w:hAnsi="宋体" w:eastAsia="宋体" w:cs="宋体"/>
          <w:spacing w:val="7"/>
          <w:sz w:val="23"/>
          <w:szCs w:val="23"/>
        </w:rPr>
        <w:t>及时关闭不用设备，将可在固定点施工的机械设置在临时施工棚内作业，同时定期</w:t>
      </w:r>
      <w:r>
        <w:rPr>
          <w:rFonts w:ascii="宋体" w:hAnsi="宋体" w:eastAsia="宋体" w:cs="宋体"/>
          <w:spacing w:val="6"/>
          <w:sz w:val="23"/>
          <w:szCs w:val="23"/>
        </w:rPr>
        <w:t>维</w:t>
      </w:r>
      <w:r>
        <w:rPr>
          <w:rFonts w:ascii="宋体" w:hAnsi="宋体" w:eastAsia="宋体" w:cs="宋体"/>
          <w:sz w:val="23"/>
          <w:szCs w:val="23"/>
        </w:rPr>
        <w:t xml:space="preserve"> </w:t>
      </w:r>
      <w:r>
        <w:rPr>
          <w:rFonts w:ascii="宋体" w:hAnsi="宋体" w:eastAsia="宋体" w:cs="宋体"/>
          <w:spacing w:val="9"/>
          <w:sz w:val="23"/>
          <w:szCs w:val="23"/>
        </w:rPr>
        <w:t>护保养设备，使其处于良好的运转状态</w:t>
      </w:r>
      <w:r>
        <w:rPr>
          <w:rFonts w:ascii="宋体" w:hAnsi="宋体" w:eastAsia="宋体" w:cs="宋体"/>
          <w:spacing w:val="6"/>
          <w:sz w:val="23"/>
          <w:szCs w:val="23"/>
        </w:rPr>
        <w:t>。</w:t>
      </w:r>
    </w:p>
    <w:p w14:paraId="70A9B7E3">
      <w:pPr>
        <w:spacing w:line="375" w:lineRule="auto"/>
        <w:ind w:left="9" w:right="33" w:firstLine="510"/>
        <w:rPr>
          <w:rFonts w:ascii="宋体" w:hAnsi="宋体" w:eastAsia="宋体" w:cs="宋体"/>
          <w:sz w:val="23"/>
          <w:szCs w:val="23"/>
        </w:rPr>
      </w:pPr>
      <w:r>
        <w:rPr>
          <w:rFonts w:ascii="宋体" w:hAnsi="宋体" w:eastAsia="宋体" w:cs="宋体"/>
          <w:spacing w:val="12"/>
          <w:sz w:val="23"/>
          <w:szCs w:val="23"/>
        </w:rPr>
        <w:t>由</w:t>
      </w:r>
      <w:r>
        <w:rPr>
          <w:rFonts w:ascii="宋体" w:hAnsi="宋体" w:eastAsia="宋体" w:cs="宋体"/>
          <w:spacing w:val="10"/>
          <w:sz w:val="23"/>
          <w:szCs w:val="23"/>
        </w:rPr>
        <w:t>于</w:t>
      </w:r>
      <w:r>
        <w:rPr>
          <w:rFonts w:ascii="宋体" w:hAnsi="宋体" w:eastAsia="宋体" w:cs="宋体"/>
          <w:spacing w:val="6"/>
          <w:sz w:val="23"/>
          <w:szCs w:val="23"/>
        </w:rPr>
        <w:t>项目施工期的噪声影响是暂时的，项目完工后，声环境质量会得到恢复。因此，施</w:t>
      </w:r>
      <w:r>
        <w:rPr>
          <w:rFonts w:ascii="宋体" w:hAnsi="宋体" w:eastAsia="宋体" w:cs="宋体"/>
          <w:sz w:val="23"/>
          <w:szCs w:val="23"/>
        </w:rPr>
        <w:t xml:space="preserve"> </w:t>
      </w:r>
      <w:r>
        <w:rPr>
          <w:rFonts w:ascii="宋体" w:hAnsi="宋体" w:eastAsia="宋体" w:cs="宋体"/>
          <w:spacing w:val="14"/>
          <w:sz w:val="23"/>
          <w:szCs w:val="23"/>
        </w:rPr>
        <w:t>工</w:t>
      </w:r>
      <w:r>
        <w:rPr>
          <w:rFonts w:ascii="宋体" w:hAnsi="宋体" w:eastAsia="宋体" w:cs="宋体"/>
          <w:spacing w:val="8"/>
          <w:sz w:val="23"/>
          <w:szCs w:val="23"/>
        </w:rPr>
        <w:t>期</w:t>
      </w:r>
      <w:r>
        <w:rPr>
          <w:rFonts w:ascii="宋体" w:hAnsi="宋体" w:eastAsia="宋体" w:cs="宋体"/>
          <w:spacing w:val="7"/>
          <w:sz w:val="23"/>
          <w:szCs w:val="23"/>
        </w:rPr>
        <w:t>间注意合理安排施工布局，同时高噪声作业安排在昼间进行，并在施工场界设置维护设</w:t>
      </w:r>
      <w:r>
        <w:rPr>
          <w:rFonts w:ascii="宋体" w:hAnsi="宋体" w:eastAsia="宋体" w:cs="宋体"/>
          <w:sz w:val="23"/>
          <w:szCs w:val="23"/>
        </w:rPr>
        <w:t xml:space="preserve"> </w:t>
      </w:r>
      <w:r>
        <w:rPr>
          <w:rFonts w:ascii="宋体" w:hAnsi="宋体" w:eastAsia="宋体" w:cs="宋体"/>
          <w:spacing w:val="12"/>
          <w:sz w:val="23"/>
          <w:szCs w:val="23"/>
        </w:rPr>
        <w:t>施</w:t>
      </w:r>
      <w:r>
        <w:rPr>
          <w:rFonts w:ascii="宋体" w:hAnsi="宋体" w:eastAsia="宋体" w:cs="宋体"/>
          <w:spacing w:val="9"/>
          <w:sz w:val="23"/>
          <w:szCs w:val="23"/>
        </w:rPr>
        <w:t>，噪声对周围环境和人们的正常生活影响较小。</w:t>
      </w:r>
    </w:p>
    <w:p w14:paraId="3A007F4B">
      <w:pPr>
        <w:spacing w:line="227" w:lineRule="auto"/>
        <w:ind w:left="4"/>
        <w:outlineLvl w:val="3"/>
        <w:rPr>
          <w:rFonts w:ascii="宋体" w:hAnsi="宋体" w:eastAsia="宋体" w:cs="宋体"/>
          <w:sz w:val="23"/>
          <w:szCs w:val="23"/>
        </w:rPr>
      </w:pPr>
      <w:r>
        <w:rPr>
          <w:rFonts w:ascii="Times New Roman" w:hAnsi="Times New Roman" w:eastAsia="Times New Roman" w:cs="Times New Roman"/>
          <w:b/>
          <w:bCs/>
          <w:spacing w:val="15"/>
          <w:sz w:val="23"/>
          <w:szCs w:val="23"/>
        </w:rPr>
        <w:t>3.2.3.4</w:t>
      </w:r>
      <w:r>
        <w:rPr>
          <w:rFonts w:ascii="Times New Roman" w:hAnsi="Times New Roman" w:eastAsia="Times New Roman" w:cs="Times New Roman"/>
          <w:spacing w:val="15"/>
          <w:sz w:val="23"/>
          <w:szCs w:val="23"/>
        </w:rPr>
        <w:t xml:space="preserve">   </w:t>
      </w:r>
      <w:r>
        <w:rPr>
          <w:rFonts w:ascii="宋体" w:hAnsi="宋体" w:eastAsia="宋体" w:cs="宋体"/>
          <w:spacing w:val="15"/>
          <w:sz w:val="23"/>
          <w:szCs w:val="23"/>
          <w14:textOutline w14:w="4356" w14:cap="sq" w14:cmpd="sng" w14:algn="ctr">
            <w14:solidFill>
              <w14:srgbClr w14:val="000000"/>
            </w14:solidFill>
            <w14:prstDash w14:val="solid"/>
            <w14:bevel/>
          </w14:textOutline>
        </w:rPr>
        <w:t>固体废弃物污</w:t>
      </w:r>
      <w:r>
        <w:rPr>
          <w:rFonts w:ascii="宋体" w:hAnsi="宋体" w:eastAsia="宋体" w:cs="宋体"/>
          <w:spacing w:val="14"/>
          <w:sz w:val="23"/>
          <w:szCs w:val="23"/>
          <w14:textOutline w14:w="4356" w14:cap="sq" w14:cmpd="sng" w14:algn="ctr">
            <w14:solidFill>
              <w14:srgbClr w14:val="000000"/>
            </w14:solidFill>
            <w14:prstDash w14:val="solid"/>
            <w14:bevel/>
          </w14:textOutline>
        </w:rPr>
        <w:t>染</w:t>
      </w:r>
    </w:p>
    <w:p w14:paraId="40203597">
      <w:pPr>
        <w:spacing w:before="182" w:line="228" w:lineRule="auto"/>
        <w:ind w:left="501"/>
        <w:rPr>
          <w:rFonts w:ascii="宋体" w:hAnsi="宋体" w:eastAsia="宋体" w:cs="宋体"/>
          <w:sz w:val="23"/>
          <w:szCs w:val="23"/>
        </w:rPr>
      </w:pP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9"/>
          <w:sz w:val="23"/>
          <w:szCs w:val="23"/>
        </w:rPr>
        <w:t>1</w:t>
      </w: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宋体" w:hAnsi="宋体" w:eastAsia="宋体" w:cs="宋体"/>
          <w:spacing w:val="19"/>
          <w:sz w:val="23"/>
          <w:szCs w:val="23"/>
        </w:rPr>
        <w:t xml:space="preserve"> </w:t>
      </w:r>
      <w:r>
        <w:rPr>
          <w:rFonts w:ascii="宋体" w:hAnsi="宋体" w:eastAsia="宋体" w:cs="宋体"/>
          <w:spacing w:val="19"/>
          <w:sz w:val="23"/>
          <w:szCs w:val="23"/>
          <w14:textOutline w14:w="4356" w14:cap="sq" w14:cmpd="sng" w14:algn="ctr">
            <w14:solidFill>
              <w14:srgbClr w14:val="000000"/>
            </w14:solidFill>
            <w14:prstDash w14:val="solid"/>
            <w14:bevel/>
          </w14:textOutline>
        </w:rPr>
        <w:t>污染源分析</w:t>
      </w:r>
    </w:p>
    <w:p w14:paraId="2EB4B76D">
      <w:pPr>
        <w:spacing w:before="183" w:line="375" w:lineRule="auto"/>
        <w:ind w:left="12" w:right="33" w:firstLine="479"/>
        <w:rPr>
          <w:rFonts w:ascii="宋体" w:hAnsi="宋体" w:eastAsia="宋体" w:cs="宋体"/>
          <w:sz w:val="23"/>
          <w:szCs w:val="23"/>
        </w:rPr>
      </w:pPr>
      <w:r>
        <w:rPr>
          <w:rFonts w:ascii="宋体" w:hAnsi="宋体" w:eastAsia="宋体" w:cs="宋体"/>
          <w:spacing w:val="7"/>
          <w:sz w:val="23"/>
          <w:szCs w:val="23"/>
        </w:rPr>
        <w:t>本项目施工期固体废弃物包括基础施工时产生的土石方、建筑垃圾、装修垃圾以及施工</w:t>
      </w:r>
      <w:r>
        <w:rPr>
          <w:rFonts w:ascii="宋体" w:hAnsi="宋体" w:eastAsia="宋体" w:cs="宋体"/>
          <w:sz w:val="23"/>
          <w:szCs w:val="23"/>
        </w:rPr>
        <w:t xml:space="preserve"> </w:t>
      </w:r>
      <w:r>
        <w:rPr>
          <w:rFonts w:ascii="宋体" w:hAnsi="宋体" w:eastAsia="宋体" w:cs="宋体"/>
          <w:spacing w:val="8"/>
          <w:sz w:val="23"/>
          <w:szCs w:val="23"/>
        </w:rPr>
        <w:t>人员产生的生活垃圾</w:t>
      </w:r>
      <w:r>
        <w:rPr>
          <w:rFonts w:ascii="宋体" w:hAnsi="宋体" w:eastAsia="宋体" w:cs="宋体"/>
          <w:spacing w:val="6"/>
          <w:sz w:val="23"/>
          <w:szCs w:val="23"/>
        </w:rPr>
        <w:t>。</w:t>
      </w:r>
    </w:p>
    <w:p w14:paraId="65ED94B5">
      <w:pPr>
        <w:spacing w:before="1" w:line="225" w:lineRule="auto"/>
        <w:ind w:left="489"/>
        <w:rPr>
          <w:rFonts w:ascii="宋体" w:hAnsi="宋体" w:eastAsia="宋体" w:cs="宋体"/>
          <w:sz w:val="23"/>
          <w:szCs w:val="23"/>
        </w:rPr>
      </w:pPr>
      <w:r>
        <w:rPr>
          <w:rFonts w:ascii="宋体" w:hAnsi="宋体" w:eastAsia="宋体" w:cs="宋体"/>
          <w:spacing w:val="8"/>
          <w:sz w:val="23"/>
          <w:szCs w:val="23"/>
        </w:rPr>
        <w:t>①土石</w:t>
      </w:r>
      <w:r>
        <w:rPr>
          <w:rFonts w:ascii="宋体" w:hAnsi="宋体" w:eastAsia="宋体" w:cs="宋体"/>
          <w:spacing w:val="7"/>
          <w:sz w:val="23"/>
          <w:szCs w:val="23"/>
        </w:rPr>
        <w:t>方</w:t>
      </w:r>
    </w:p>
    <w:p w14:paraId="666EC1DD">
      <w:pPr>
        <w:spacing w:before="186" w:line="374" w:lineRule="auto"/>
        <w:ind w:left="15" w:right="33" w:firstLine="478"/>
        <w:rPr>
          <w:rFonts w:ascii="宋体" w:hAnsi="宋体" w:eastAsia="宋体" w:cs="宋体"/>
          <w:sz w:val="23"/>
          <w:szCs w:val="23"/>
        </w:rPr>
      </w:pPr>
      <w:r>
        <w:rPr>
          <w:rFonts w:ascii="宋体" w:hAnsi="宋体" w:eastAsia="宋体" w:cs="宋体"/>
          <w:spacing w:val="7"/>
          <w:sz w:val="23"/>
          <w:szCs w:val="23"/>
        </w:rPr>
        <w:t>项目场地位于丘陵地块，占用土地地形起伏较大，根据统计，项目施工期开挖土石方</w:t>
      </w:r>
      <w:r>
        <w:rPr>
          <w:rFonts w:ascii="宋体" w:hAnsi="宋体" w:eastAsia="宋体" w:cs="宋体"/>
          <w:spacing w:val="4"/>
          <w:sz w:val="23"/>
          <w:szCs w:val="23"/>
        </w:rPr>
        <w:t>量</w:t>
      </w:r>
      <w:r>
        <w:rPr>
          <w:rFonts w:ascii="宋体" w:hAnsi="宋体" w:eastAsia="宋体" w:cs="宋体"/>
          <w:sz w:val="23"/>
          <w:szCs w:val="23"/>
        </w:rPr>
        <w:t xml:space="preserve"> </w:t>
      </w:r>
      <w:r>
        <w:rPr>
          <w:rFonts w:ascii="宋体" w:hAnsi="宋体" w:eastAsia="宋体" w:cs="宋体"/>
          <w:spacing w:val="8"/>
          <w:sz w:val="23"/>
          <w:szCs w:val="23"/>
        </w:rPr>
        <w:t xml:space="preserve">约 </w:t>
      </w:r>
      <w:r>
        <w:rPr>
          <w:rFonts w:ascii="Times New Roman" w:hAnsi="Times New Roman" w:eastAsia="Times New Roman" w:cs="Times New Roman"/>
          <w:spacing w:val="8"/>
          <w:sz w:val="23"/>
          <w:szCs w:val="23"/>
        </w:rPr>
        <w:t xml:space="preserve">1 </w:t>
      </w:r>
      <w:r>
        <w:rPr>
          <w:rFonts w:ascii="宋体" w:hAnsi="宋体" w:eastAsia="宋体" w:cs="宋体"/>
          <w:spacing w:val="8"/>
          <w:sz w:val="23"/>
          <w:szCs w:val="23"/>
        </w:rPr>
        <w:t xml:space="preserve">万 </w:t>
      </w:r>
      <w:r>
        <w:rPr>
          <w:rFonts w:ascii="Times New Roman" w:hAnsi="Times New Roman" w:eastAsia="Times New Roman" w:cs="Times New Roman"/>
          <w:sz w:val="23"/>
          <w:szCs w:val="23"/>
        </w:rPr>
        <w:t>m</w:t>
      </w:r>
      <w:r>
        <w:rPr>
          <w:rFonts w:ascii="Times New Roman" w:hAnsi="Times New Roman" w:eastAsia="Times New Roman" w:cs="Times New Roman"/>
          <w:spacing w:val="4"/>
          <w:position w:val="8"/>
          <w:sz w:val="15"/>
          <w:szCs w:val="15"/>
        </w:rPr>
        <w:t xml:space="preserve">3 </w:t>
      </w:r>
      <w:r>
        <w:rPr>
          <w:rFonts w:ascii="宋体" w:hAnsi="宋体" w:eastAsia="宋体" w:cs="宋体"/>
          <w:spacing w:val="4"/>
          <w:sz w:val="23"/>
          <w:szCs w:val="23"/>
        </w:rPr>
        <w:t>左右，全部用于场地内回填、地势平整，无外运弃土产生，</w:t>
      </w:r>
    </w:p>
    <w:p w14:paraId="42101A85">
      <w:pPr>
        <w:spacing w:before="1" w:line="225" w:lineRule="auto"/>
        <w:ind w:left="488"/>
        <w:rPr>
          <w:rFonts w:ascii="宋体" w:hAnsi="宋体" w:eastAsia="宋体" w:cs="宋体"/>
          <w:sz w:val="23"/>
          <w:szCs w:val="23"/>
        </w:rPr>
      </w:pPr>
      <w:r>
        <w:rPr>
          <w:rFonts w:ascii="宋体" w:hAnsi="宋体" w:eastAsia="宋体" w:cs="宋体"/>
          <w:spacing w:val="10"/>
          <w:sz w:val="23"/>
          <w:szCs w:val="23"/>
        </w:rPr>
        <w:t>②</w:t>
      </w:r>
      <w:r>
        <w:rPr>
          <w:rFonts w:ascii="宋体" w:hAnsi="宋体" w:eastAsia="宋体" w:cs="宋体"/>
          <w:spacing w:val="8"/>
          <w:sz w:val="23"/>
          <w:szCs w:val="23"/>
        </w:rPr>
        <w:t>建筑垃圾</w:t>
      </w:r>
    </w:p>
    <w:p w14:paraId="7ED634FB">
      <w:pPr>
        <w:spacing w:before="186" w:line="375" w:lineRule="auto"/>
        <w:ind w:left="488" w:right="1410" w:firstLine="3"/>
        <w:rPr>
          <w:rFonts w:ascii="宋体" w:hAnsi="宋体" w:eastAsia="宋体" w:cs="宋体"/>
          <w:sz w:val="23"/>
          <w:szCs w:val="23"/>
        </w:rPr>
      </w:pPr>
      <w:r>
        <w:rPr>
          <w:rFonts w:ascii="宋体" w:hAnsi="宋体" w:eastAsia="宋体" w:cs="宋体"/>
          <w:spacing w:val="16"/>
          <w:sz w:val="23"/>
          <w:szCs w:val="23"/>
        </w:rPr>
        <w:t>主</w:t>
      </w:r>
      <w:r>
        <w:rPr>
          <w:rFonts w:ascii="宋体" w:hAnsi="宋体" w:eastAsia="宋体" w:cs="宋体"/>
          <w:spacing w:val="12"/>
          <w:sz w:val="23"/>
          <w:szCs w:val="23"/>
        </w:rPr>
        <w:t>要</w:t>
      </w:r>
      <w:r>
        <w:rPr>
          <w:rFonts w:ascii="宋体" w:hAnsi="宋体" w:eastAsia="宋体" w:cs="宋体"/>
          <w:spacing w:val="8"/>
          <w:sz w:val="23"/>
          <w:szCs w:val="23"/>
        </w:rPr>
        <w:t>包括砂石、石块、碎砖瓦、废木料、废金属、废钢筋、钢材等杂物。</w:t>
      </w:r>
      <w:r>
        <w:rPr>
          <w:rFonts w:ascii="宋体" w:hAnsi="宋体" w:eastAsia="宋体" w:cs="宋体"/>
          <w:sz w:val="23"/>
          <w:szCs w:val="23"/>
        </w:rPr>
        <w:t xml:space="preserve"> </w:t>
      </w:r>
      <w:r>
        <w:rPr>
          <w:rFonts w:ascii="宋体" w:hAnsi="宋体" w:eastAsia="宋体" w:cs="宋体"/>
          <w:spacing w:val="10"/>
          <w:sz w:val="23"/>
          <w:szCs w:val="23"/>
        </w:rPr>
        <w:t>③</w:t>
      </w:r>
      <w:r>
        <w:rPr>
          <w:rFonts w:ascii="宋体" w:hAnsi="宋体" w:eastAsia="宋体" w:cs="宋体"/>
          <w:spacing w:val="8"/>
          <w:sz w:val="23"/>
          <w:szCs w:val="23"/>
        </w:rPr>
        <w:t>装修垃圾</w:t>
      </w:r>
    </w:p>
    <w:p w14:paraId="7ABB8B20">
      <w:pPr>
        <w:spacing w:before="1" w:line="227" w:lineRule="auto"/>
        <w:ind w:left="490"/>
        <w:rPr>
          <w:rFonts w:ascii="宋体" w:hAnsi="宋体" w:eastAsia="宋体" w:cs="宋体"/>
          <w:sz w:val="23"/>
          <w:szCs w:val="23"/>
        </w:rPr>
      </w:pPr>
      <w:r>
        <w:rPr>
          <w:rFonts w:ascii="宋体" w:hAnsi="宋体" w:eastAsia="宋体" w:cs="宋体"/>
          <w:spacing w:val="13"/>
          <w:sz w:val="23"/>
          <w:szCs w:val="23"/>
        </w:rPr>
        <w:t>装</w:t>
      </w:r>
      <w:r>
        <w:rPr>
          <w:rFonts w:ascii="宋体" w:hAnsi="宋体" w:eastAsia="宋体" w:cs="宋体"/>
          <w:spacing w:val="9"/>
          <w:sz w:val="23"/>
          <w:szCs w:val="23"/>
        </w:rPr>
        <w:t>修垃圾一般有废弃的砖块、砂、水泥块以及木屑等。</w:t>
      </w:r>
    </w:p>
    <w:p w14:paraId="07D533E7">
      <w:pPr>
        <w:spacing w:before="185" w:line="225" w:lineRule="auto"/>
        <w:ind w:left="488"/>
        <w:rPr>
          <w:rFonts w:ascii="宋体" w:hAnsi="宋体" w:eastAsia="宋体" w:cs="宋体"/>
          <w:sz w:val="23"/>
          <w:szCs w:val="23"/>
        </w:rPr>
      </w:pPr>
      <w:r>
        <w:rPr>
          <w:rFonts w:ascii="宋体" w:hAnsi="宋体" w:eastAsia="宋体" w:cs="宋体"/>
          <w:spacing w:val="10"/>
          <w:sz w:val="23"/>
          <w:szCs w:val="23"/>
        </w:rPr>
        <w:t>④</w:t>
      </w:r>
      <w:r>
        <w:rPr>
          <w:rFonts w:ascii="宋体" w:hAnsi="宋体" w:eastAsia="宋体" w:cs="宋体"/>
          <w:spacing w:val="8"/>
          <w:sz w:val="23"/>
          <w:szCs w:val="23"/>
        </w:rPr>
        <w:t>生活垃圾</w:t>
      </w:r>
    </w:p>
    <w:p w14:paraId="1934E057">
      <w:pPr>
        <w:spacing w:before="141" w:line="375" w:lineRule="auto"/>
        <w:ind w:left="12" w:right="33" w:firstLine="480"/>
        <w:rPr>
          <w:rFonts w:ascii="宋体" w:hAnsi="宋体" w:eastAsia="宋体" w:cs="宋体"/>
          <w:sz w:val="23"/>
          <w:szCs w:val="23"/>
        </w:rPr>
      </w:pPr>
      <w:r>
        <w:rPr>
          <w:rFonts w:ascii="宋体" w:hAnsi="宋体" w:eastAsia="宋体" w:cs="宋体"/>
          <w:spacing w:val="10"/>
          <w:sz w:val="23"/>
          <w:szCs w:val="23"/>
        </w:rPr>
        <w:t>生活垃</w:t>
      </w:r>
      <w:r>
        <w:rPr>
          <w:rFonts w:ascii="宋体" w:hAnsi="宋体" w:eastAsia="宋体" w:cs="宋体"/>
          <w:spacing w:val="9"/>
          <w:sz w:val="23"/>
          <w:szCs w:val="23"/>
        </w:rPr>
        <w:t>圾</w:t>
      </w:r>
      <w:r>
        <w:rPr>
          <w:rFonts w:ascii="宋体" w:hAnsi="宋体" w:eastAsia="宋体" w:cs="宋体"/>
          <w:spacing w:val="5"/>
          <w:sz w:val="23"/>
          <w:szCs w:val="23"/>
        </w:rPr>
        <w:t xml:space="preserve">产生量按照 </w:t>
      </w:r>
      <w:r>
        <w:rPr>
          <w:rFonts w:ascii="Times New Roman" w:hAnsi="Times New Roman" w:eastAsia="Times New Roman" w:cs="Times New Roman"/>
          <w:spacing w:val="5"/>
          <w:sz w:val="23"/>
          <w:szCs w:val="23"/>
        </w:rPr>
        <w:t>0.5</w:t>
      </w:r>
      <w:r>
        <w:rPr>
          <w:rFonts w:ascii="Times New Roman" w:hAnsi="Times New Roman" w:eastAsia="Times New Roman" w:cs="Times New Roman"/>
          <w:sz w:val="23"/>
          <w:szCs w:val="23"/>
        </w:rPr>
        <w:t>kg</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5"/>
          <w:sz w:val="23"/>
          <w:szCs w:val="23"/>
        </w:rPr>
        <w:t xml:space="preserve"> · </w:t>
      </w:r>
      <w:r>
        <w:rPr>
          <w:rFonts w:ascii="宋体" w:hAnsi="宋体" w:eastAsia="宋体" w:cs="宋体"/>
          <w:spacing w:val="5"/>
          <w:sz w:val="23"/>
          <w:szCs w:val="23"/>
        </w:rPr>
        <w:t xml:space="preserve">人计算。预计施工高峰期施工人员有 </w:t>
      </w:r>
      <w:r>
        <w:rPr>
          <w:rFonts w:ascii="Times New Roman" w:hAnsi="Times New Roman" w:eastAsia="Times New Roman" w:cs="Times New Roman"/>
          <w:spacing w:val="5"/>
          <w:sz w:val="23"/>
          <w:szCs w:val="23"/>
        </w:rPr>
        <w:t xml:space="preserve">50 </w:t>
      </w:r>
      <w:r>
        <w:rPr>
          <w:rFonts w:ascii="宋体" w:hAnsi="宋体" w:eastAsia="宋体" w:cs="宋体"/>
          <w:spacing w:val="5"/>
          <w:sz w:val="23"/>
          <w:szCs w:val="23"/>
        </w:rPr>
        <w:t>人，项目施工期</w:t>
      </w:r>
      <w:r>
        <w:rPr>
          <w:rFonts w:ascii="宋体" w:hAnsi="宋体" w:eastAsia="宋体" w:cs="宋体"/>
          <w:sz w:val="23"/>
          <w:szCs w:val="23"/>
        </w:rPr>
        <w:t xml:space="preserve"> </w:t>
      </w:r>
      <w:r>
        <w:rPr>
          <w:rFonts w:ascii="宋体" w:hAnsi="宋体" w:eastAsia="宋体" w:cs="宋体"/>
          <w:spacing w:val="4"/>
          <w:sz w:val="23"/>
          <w:szCs w:val="23"/>
        </w:rPr>
        <w:t>生</w:t>
      </w:r>
      <w:r>
        <w:rPr>
          <w:rFonts w:ascii="宋体" w:hAnsi="宋体" w:eastAsia="宋体" w:cs="宋体"/>
          <w:spacing w:val="3"/>
          <w:sz w:val="23"/>
          <w:szCs w:val="23"/>
        </w:rPr>
        <w:t xml:space="preserve">活垃圾产生量为 </w:t>
      </w:r>
      <w:r>
        <w:rPr>
          <w:rFonts w:ascii="Times New Roman" w:hAnsi="Times New Roman" w:eastAsia="Times New Roman" w:cs="Times New Roman"/>
          <w:spacing w:val="3"/>
          <w:sz w:val="23"/>
          <w:szCs w:val="23"/>
        </w:rPr>
        <w:t>25</w:t>
      </w:r>
      <w:r>
        <w:rPr>
          <w:rFonts w:ascii="Times New Roman" w:hAnsi="Times New Roman" w:eastAsia="Times New Roman" w:cs="Times New Roman"/>
          <w:sz w:val="23"/>
          <w:szCs w:val="23"/>
        </w:rPr>
        <w:t>kg</w:t>
      </w:r>
      <w:r>
        <w:rPr>
          <w:rFonts w:ascii="Times New Roman" w:hAnsi="Times New Roman" w:eastAsia="Times New Roman" w:cs="Times New Roman"/>
          <w:spacing w:val="3"/>
          <w:sz w:val="23"/>
          <w:szCs w:val="23"/>
        </w:rPr>
        <w:t>/</w:t>
      </w:r>
      <w:r>
        <w:rPr>
          <w:rFonts w:ascii="Times New Roman" w:hAnsi="Times New Roman" w:eastAsia="Times New Roman" w:cs="Times New Roman"/>
          <w:sz w:val="23"/>
          <w:szCs w:val="23"/>
        </w:rPr>
        <w:t>d</w:t>
      </w:r>
      <w:r>
        <w:rPr>
          <w:rFonts w:ascii="宋体" w:hAnsi="宋体" w:eastAsia="宋体" w:cs="宋体"/>
          <w:spacing w:val="3"/>
          <w:sz w:val="23"/>
          <w:szCs w:val="23"/>
        </w:rPr>
        <w:t>。</w:t>
      </w:r>
    </w:p>
    <w:p w14:paraId="1C8F1EA8">
      <w:pPr>
        <w:spacing w:before="43" w:line="228" w:lineRule="auto"/>
        <w:ind w:left="501"/>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2</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治理措施</w:t>
      </w:r>
    </w:p>
    <w:p w14:paraId="3997DD96">
      <w:pPr>
        <w:spacing w:before="184" w:line="225" w:lineRule="auto"/>
        <w:ind w:left="489"/>
        <w:rPr>
          <w:rFonts w:ascii="宋体" w:hAnsi="宋体" w:eastAsia="宋体" w:cs="宋体"/>
          <w:sz w:val="23"/>
          <w:szCs w:val="23"/>
        </w:rPr>
      </w:pPr>
      <w:r>
        <w:rPr>
          <w:rFonts w:ascii="宋体" w:hAnsi="宋体" w:eastAsia="宋体" w:cs="宋体"/>
          <w:spacing w:val="8"/>
          <w:sz w:val="23"/>
          <w:szCs w:val="23"/>
        </w:rPr>
        <w:t>①土石</w:t>
      </w:r>
      <w:r>
        <w:rPr>
          <w:rFonts w:ascii="宋体" w:hAnsi="宋体" w:eastAsia="宋体" w:cs="宋体"/>
          <w:spacing w:val="7"/>
          <w:sz w:val="23"/>
          <w:szCs w:val="23"/>
        </w:rPr>
        <w:t>方</w:t>
      </w:r>
    </w:p>
    <w:p w14:paraId="121C9312">
      <w:pPr>
        <w:spacing w:before="185" w:line="375" w:lineRule="auto"/>
        <w:ind w:left="11" w:firstLine="479"/>
        <w:rPr>
          <w:rFonts w:ascii="宋体" w:hAnsi="宋体" w:eastAsia="宋体" w:cs="宋体"/>
          <w:sz w:val="23"/>
          <w:szCs w:val="23"/>
        </w:rPr>
      </w:pPr>
      <w:r>
        <w:rPr>
          <w:rFonts w:ascii="宋体" w:hAnsi="宋体" w:eastAsia="宋体" w:cs="宋体"/>
          <w:spacing w:val="26"/>
          <w:sz w:val="23"/>
          <w:szCs w:val="23"/>
          <w14:textOutline w14:w="4356" w14:cap="sq" w14:cmpd="sng" w14:algn="ctr">
            <w14:solidFill>
              <w14:srgbClr w14:val="000000"/>
            </w14:solidFill>
            <w14:prstDash w14:val="solid"/>
            <w14:bevel/>
          </w14:textOutline>
        </w:rPr>
        <w:t>根</w:t>
      </w:r>
      <w:r>
        <w:rPr>
          <w:rFonts w:ascii="宋体" w:hAnsi="宋体" w:eastAsia="宋体" w:cs="宋体"/>
          <w:spacing w:val="14"/>
          <w:sz w:val="23"/>
          <w:szCs w:val="23"/>
          <w14:textOutline w14:w="4356" w14:cap="sq" w14:cmpd="sng" w14:algn="ctr">
            <w14:solidFill>
              <w14:srgbClr w14:val="000000"/>
            </w14:solidFill>
            <w14:prstDash w14:val="solid"/>
            <w14:bevel/>
          </w14:textOutline>
        </w:rPr>
        <w:t>据业主介绍，项目施工开挖的土方均用于填方或场地平整，无弃土外运。评价对土</w:t>
      </w:r>
      <w:r>
        <w:rPr>
          <w:rFonts w:ascii="宋体" w:hAnsi="宋体" w:eastAsia="宋体" w:cs="宋体"/>
          <w:sz w:val="23"/>
          <w:szCs w:val="23"/>
        </w:rPr>
        <w:t xml:space="preserve"> </w:t>
      </w:r>
      <w:r>
        <w:rPr>
          <w:rFonts w:ascii="宋体" w:hAnsi="宋体" w:eastAsia="宋体" w:cs="宋体"/>
          <w:spacing w:val="18"/>
          <w:sz w:val="23"/>
          <w:szCs w:val="23"/>
          <w14:textOutline w14:w="4356" w14:cap="sq" w14:cmpd="sng" w14:algn="ctr">
            <w14:solidFill>
              <w14:srgbClr w14:val="000000"/>
            </w14:solidFill>
            <w14:prstDash w14:val="solid"/>
            <w14:bevel/>
          </w14:textOutline>
        </w:rPr>
        <w:t>方</w:t>
      </w:r>
      <w:r>
        <w:rPr>
          <w:rFonts w:ascii="宋体" w:hAnsi="宋体" w:eastAsia="宋体" w:cs="宋体"/>
          <w:spacing w:val="12"/>
          <w:sz w:val="23"/>
          <w:szCs w:val="23"/>
          <w14:textOutline w14:w="4356" w14:cap="sq" w14:cmpd="sng" w14:algn="ctr">
            <w14:solidFill>
              <w14:srgbClr w14:val="000000"/>
            </w14:solidFill>
            <w14:prstDash w14:val="solid"/>
            <w14:bevel/>
          </w14:textOutline>
        </w:rPr>
        <w:t>开</w:t>
      </w:r>
      <w:r>
        <w:rPr>
          <w:rFonts w:ascii="宋体" w:hAnsi="宋体" w:eastAsia="宋体" w:cs="宋体"/>
          <w:spacing w:val="9"/>
          <w:sz w:val="23"/>
          <w:szCs w:val="23"/>
          <w14:textOutline w14:w="4356" w14:cap="sq" w14:cmpd="sng" w14:algn="ctr">
            <w14:solidFill>
              <w14:srgbClr w14:val="000000"/>
            </w14:solidFill>
            <w14:prstDash w14:val="solid"/>
            <w14:bevel/>
          </w14:textOutline>
        </w:rPr>
        <w:t>挖及暂存过程提出相应的防治措施。</w:t>
      </w:r>
    </w:p>
    <w:p w14:paraId="6D42C944">
      <w:pPr>
        <w:spacing w:before="2" w:line="383" w:lineRule="auto"/>
        <w:ind w:left="12" w:right="33" w:firstLine="470"/>
        <w:rPr>
          <w:rFonts w:ascii="宋体" w:hAnsi="宋体" w:eastAsia="宋体" w:cs="宋体"/>
          <w:sz w:val="23"/>
          <w:szCs w:val="23"/>
        </w:rPr>
      </w:pPr>
      <w:r>
        <w:rPr>
          <w:rFonts w:ascii="Times New Roman" w:hAnsi="Times New Roman" w:eastAsia="Times New Roman" w:cs="Times New Roman"/>
          <w:sz w:val="23"/>
          <w:szCs w:val="23"/>
        </w:rPr>
        <w:t>A</w:t>
      </w:r>
      <w:r>
        <w:rPr>
          <w:rFonts w:ascii="Times New Roman" w:hAnsi="Times New Roman" w:eastAsia="Times New Roman" w:cs="Times New Roman"/>
          <w:spacing w:val="14"/>
          <w:sz w:val="23"/>
          <w:szCs w:val="23"/>
        </w:rPr>
        <w:t xml:space="preserve"> </w:t>
      </w:r>
      <w:r>
        <w:rPr>
          <w:rFonts w:ascii="宋体" w:hAnsi="宋体" w:eastAsia="宋体" w:cs="宋体"/>
          <w:spacing w:val="14"/>
          <w:sz w:val="23"/>
          <w:szCs w:val="23"/>
        </w:rPr>
        <w:t>、</w:t>
      </w:r>
      <w:r>
        <w:rPr>
          <w:rFonts w:ascii="宋体" w:hAnsi="宋体" w:eastAsia="宋体" w:cs="宋体"/>
          <w:spacing w:val="8"/>
          <w:sz w:val="23"/>
          <w:szCs w:val="23"/>
        </w:rPr>
        <w:t>对</w:t>
      </w:r>
      <w:r>
        <w:rPr>
          <w:rFonts w:ascii="宋体" w:hAnsi="宋体" w:eastAsia="宋体" w:cs="宋体"/>
          <w:spacing w:val="7"/>
          <w:sz w:val="23"/>
          <w:szCs w:val="23"/>
        </w:rPr>
        <w:t>开挖的土方进行分层剥离，将可用土单独保存。在开挖土石方时，遇降雨容易形</w:t>
      </w:r>
      <w:r>
        <w:rPr>
          <w:rFonts w:ascii="宋体" w:hAnsi="宋体" w:eastAsia="宋体" w:cs="宋体"/>
          <w:sz w:val="23"/>
          <w:szCs w:val="23"/>
        </w:rPr>
        <w:t xml:space="preserve"> </w:t>
      </w:r>
      <w:r>
        <w:rPr>
          <w:rFonts w:ascii="宋体" w:hAnsi="宋体" w:eastAsia="宋体" w:cs="宋体"/>
          <w:spacing w:val="12"/>
          <w:sz w:val="23"/>
          <w:szCs w:val="23"/>
        </w:rPr>
        <w:t>成</w:t>
      </w:r>
      <w:r>
        <w:rPr>
          <w:rFonts w:ascii="宋体" w:hAnsi="宋体" w:eastAsia="宋体" w:cs="宋体"/>
          <w:spacing w:val="7"/>
          <w:sz w:val="23"/>
          <w:szCs w:val="23"/>
        </w:rPr>
        <w:t>水土流失而造成对受纳水道的影响，因此，要求在进行开挖土石方作业时，在堆放场地周</w:t>
      </w:r>
    </w:p>
    <w:p w14:paraId="36302A98">
      <w:pPr>
        <w:sectPr>
          <w:headerReference r:id="rId94" w:type="default"/>
          <w:footerReference r:id="rId95" w:type="default"/>
          <w:pgSz w:w="11907" w:h="16840"/>
          <w:pgMar w:top="829" w:right="1099" w:bottom="1139" w:left="1275" w:header="595" w:footer="953" w:gutter="0"/>
          <w:cols w:space="720" w:num="1"/>
        </w:sectPr>
      </w:pPr>
    </w:p>
    <w:p w14:paraId="70DECA7B">
      <w:pPr>
        <w:spacing w:before="145" w:line="375" w:lineRule="auto"/>
        <w:ind w:left="11" w:right="77" w:firstLine="20"/>
        <w:rPr>
          <w:rFonts w:ascii="宋体" w:hAnsi="宋体" w:eastAsia="宋体" w:cs="宋体"/>
          <w:sz w:val="23"/>
          <w:szCs w:val="23"/>
        </w:rPr>
      </w:pPr>
      <w:r>
        <w:rPr>
          <w:rFonts w:ascii="宋体" w:hAnsi="宋体" w:eastAsia="宋体" w:cs="宋体"/>
          <w:spacing w:val="12"/>
          <w:sz w:val="23"/>
          <w:szCs w:val="23"/>
        </w:rPr>
        <w:t>围设置排</w:t>
      </w:r>
      <w:r>
        <w:rPr>
          <w:rFonts w:ascii="宋体" w:hAnsi="宋体" w:eastAsia="宋体" w:cs="宋体"/>
          <w:spacing w:val="7"/>
          <w:sz w:val="23"/>
          <w:szCs w:val="23"/>
        </w:rPr>
        <w:t>水</w:t>
      </w:r>
      <w:r>
        <w:rPr>
          <w:rFonts w:ascii="宋体" w:hAnsi="宋体" w:eastAsia="宋体" w:cs="宋体"/>
          <w:spacing w:val="6"/>
          <w:sz w:val="23"/>
          <w:szCs w:val="23"/>
        </w:rPr>
        <w:t>沟及沉淀池，并且在雨季不进行开挖作业或只进行小规模作业，尽可能减少堆放</w:t>
      </w:r>
      <w:r>
        <w:rPr>
          <w:rFonts w:ascii="宋体" w:hAnsi="宋体" w:eastAsia="宋体" w:cs="宋体"/>
          <w:sz w:val="23"/>
          <w:szCs w:val="23"/>
        </w:rPr>
        <w:t xml:space="preserve"> </w:t>
      </w:r>
      <w:r>
        <w:rPr>
          <w:rFonts w:ascii="宋体" w:hAnsi="宋体" w:eastAsia="宋体" w:cs="宋体"/>
          <w:spacing w:val="8"/>
          <w:sz w:val="23"/>
          <w:szCs w:val="23"/>
        </w:rPr>
        <w:t>土形成水土流失现象</w:t>
      </w:r>
      <w:r>
        <w:rPr>
          <w:rFonts w:ascii="宋体" w:hAnsi="宋体" w:eastAsia="宋体" w:cs="宋体"/>
          <w:spacing w:val="7"/>
          <w:sz w:val="23"/>
          <w:szCs w:val="23"/>
        </w:rPr>
        <w:t>。</w:t>
      </w:r>
    </w:p>
    <w:p w14:paraId="2E0AB28B">
      <w:pPr>
        <w:spacing w:line="303" w:lineRule="exact"/>
        <w:ind w:left="484"/>
        <w:rPr>
          <w:rFonts w:ascii="宋体" w:hAnsi="宋体" w:eastAsia="宋体" w:cs="宋体"/>
          <w:sz w:val="23"/>
          <w:szCs w:val="23"/>
        </w:rPr>
      </w:pPr>
      <w:r>
        <w:rPr>
          <w:rFonts w:ascii="Times New Roman" w:hAnsi="Times New Roman" w:eastAsia="Times New Roman" w:cs="Times New Roman"/>
          <w:position w:val="2"/>
          <w:sz w:val="23"/>
          <w:szCs w:val="23"/>
        </w:rPr>
        <w:t>B</w:t>
      </w:r>
      <w:r>
        <w:rPr>
          <w:rFonts w:ascii="Times New Roman" w:hAnsi="Times New Roman" w:eastAsia="Times New Roman" w:cs="Times New Roman"/>
          <w:spacing w:val="14"/>
          <w:position w:val="2"/>
          <w:sz w:val="23"/>
          <w:szCs w:val="23"/>
        </w:rPr>
        <w:t xml:space="preserve"> </w:t>
      </w:r>
      <w:r>
        <w:rPr>
          <w:rFonts w:ascii="宋体" w:hAnsi="宋体" w:eastAsia="宋体" w:cs="宋体"/>
          <w:spacing w:val="10"/>
          <w:position w:val="2"/>
          <w:sz w:val="23"/>
          <w:szCs w:val="23"/>
        </w:rPr>
        <w:t>、</w:t>
      </w:r>
      <w:r>
        <w:rPr>
          <w:rFonts w:ascii="宋体" w:hAnsi="宋体" w:eastAsia="宋体" w:cs="宋体"/>
          <w:spacing w:val="7"/>
          <w:position w:val="2"/>
          <w:sz w:val="23"/>
          <w:szCs w:val="23"/>
        </w:rPr>
        <w:t>堆存于场地的土石方应加强围栏，表面加盖，加盖材料防雨。</w:t>
      </w:r>
    </w:p>
    <w:p w14:paraId="6B703AA9">
      <w:pPr>
        <w:spacing w:before="161" w:line="376" w:lineRule="auto"/>
        <w:ind w:left="11" w:right="95" w:firstLine="478"/>
        <w:rPr>
          <w:rFonts w:ascii="宋体" w:hAnsi="宋体" w:eastAsia="宋体" w:cs="宋体"/>
          <w:sz w:val="23"/>
          <w:szCs w:val="23"/>
        </w:rPr>
      </w:pPr>
      <w:r>
        <w:rPr>
          <w:rFonts w:ascii="Times New Roman" w:hAnsi="Times New Roman" w:eastAsia="Times New Roman" w:cs="Times New Roman"/>
          <w:sz w:val="23"/>
          <w:szCs w:val="23"/>
        </w:rPr>
        <w:t>C</w:t>
      </w:r>
      <w:r>
        <w:rPr>
          <w:rFonts w:ascii="Times New Roman" w:hAnsi="Times New Roman" w:eastAsia="Times New Roman" w:cs="Times New Roman"/>
          <w:spacing w:val="10"/>
          <w:sz w:val="23"/>
          <w:szCs w:val="23"/>
        </w:rPr>
        <w:t xml:space="preserve"> </w:t>
      </w:r>
      <w:r>
        <w:rPr>
          <w:rFonts w:ascii="宋体" w:hAnsi="宋体" w:eastAsia="宋体" w:cs="宋体"/>
          <w:spacing w:val="7"/>
          <w:sz w:val="23"/>
          <w:szCs w:val="23"/>
        </w:rPr>
        <w:t>、开挖的土方及时运至堆放区域存放，应及时使用，不宜在场地内长期、大量堆存。</w:t>
      </w:r>
      <w:r>
        <w:rPr>
          <w:rFonts w:ascii="宋体" w:hAnsi="宋体" w:eastAsia="宋体" w:cs="宋体"/>
          <w:sz w:val="23"/>
          <w:szCs w:val="23"/>
        </w:rPr>
        <w:t xml:space="preserve"> </w:t>
      </w:r>
      <w:r>
        <w:rPr>
          <w:rFonts w:ascii="宋体" w:hAnsi="宋体" w:eastAsia="宋体" w:cs="宋体"/>
          <w:spacing w:val="7"/>
          <w:sz w:val="23"/>
          <w:szCs w:val="23"/>
        </w:rPr>
        <w:t>严禁随意乱排。</w:t>
      </w:r>
    </w:p>
    <w:p w14:paraId="4B876020">
      <w:pPr>
        <w:spacing w:line="225" w:lineRule="auto"/>
        <w:ind w:left="488"/>
        <w:rPr>
          <w:rFonts w:ascii="宋体" w:hAnsi="宋体" w:eastAsia="宋体" w:cs="宋体"/>
          <w:sz w:val="23"/>
          <w:szCs w:val="23"/>
        </w:rPr>
      </w:pPr>
      <w:r>
        <w:rPr>
          <w:rFonts w:ascii="宋体" w:hAnsi="宋体" w:eastAsia="宋体" w:cs="宋体"/>
          <w:spacing w:val="7"/>
          <w:sz w:val="23"/>
          <w:szCs w:val="23"/>
        </w:rPr>
        <w:t>②建筑垃圾：</w:t>
      </w:r>
    </w:p>
    <w:p w14:paraId="237F99D9">
      <w:pPr>
        <w:spacing w:before="181" w:line="375" w:lineRule="auto"/>
        <w:ind w:left="9" w:right="33" w:firstLine="480"/>
        <w:rPr>
          <w:rFonts w:ascii="宋体" w:hAnsi="宋体" w:eastAsia="宋体" w:cs="宋体"/>
          <w:sz w:val="23"/>
          <w:szCs w:val="23"/>
        </w:rPr>
      </w:pPr>
      <w:r>
        <w:rPr>
          <w:rFonts w:ascii="宋体" w:hAnsi="宋体" w:eastAsia="宋体" w:cs="宋体"/>
          <w:spacing w:val="12"/>
          <w:sz w:val="23"/>
          <w:szCs w:val="23"/>
        </w:rPr>
        <w:t>在施工现</w:t>
      </w:r>
      <w:r>
        <w:rPr>
          <w:rFonts w:ascii="宋体" w:hAnsi="宋体" w:eastAsia="宋体" w:cs="宋体"/>
          <w:spacing w:val="10"/>
          <w:sz w:val="23"/>
          <w:szCs w:val="23"/>
        </w:rPr>
        <w:t>场</w:t>
      </w:r>
      <w:r>
        <w:rPr>
          <w:rFonts w:ascii="宋体" w:hAnsi="宋体" w:eastAsia="宋体" w:cs="宋体"/>
          <w:spacing w:val="6"/>
          <w:sz w:val="23"/>
          <w:szCs w:val="23"/>
        </w:rPr>
        <w:t>应设置建筑废弃物临时堆场 (树立标示牌) 并进行防雨、防泄漏处理。施工</w:t>
      </w:r>
      <w:r>
        <w:rPr>
          <w:rFonts w:ascii="宋体" w:hAnsi="宋体" w:eastAsia="宋体" w:cs="宋体"/>
          <w:sz w:val="23"/>
          <w:szCs w:val="23"/>
        </w:rPr>
        <w:t xml:space="preserve"> </w:t>
      </w:r>
      <w:r>
        <w:rPr>
          <w:rFonts w:ascii="宋体" w:hAnsi="宋体" w:eastAsia="宋体" w:cs="宋体"/>
          <w:spacing w:val="14"/>
          <w:sz w:val="23"/>
          <w:szCs w:val="23"/>
        </w:rPr>
        <w:t>生</w:t>
      </w:r>
      <w:r>
        <w:rPr>
          <w:rFonts w:ascii="宋体" w:hAnsi="宋体" w:eastAsia="宋体" w:cs="宋体"/>
          <w:spacing w:val="8"/>
          <w:sz w:val="23"/>
          <w:szCs w:val="23"/>
        </w:rPr>
        <w:t>产</w:t>
      </w:r>
      <w:r>
        <w:rPr>
          <w:rFonts w:ascii="宋体" w:hAnsi="宋体" w:eastAsia="宋体" w:cs="宋体"/>
          <w:spacing w:val="7"/>
          <w:sz w:val="23"/>
          <w:szCs w:val="23"/>
        </w:rPr>
        <w:t>的废料首先应考虑废料的回收利用，对钢筋、钢板、木材等下角料可分类回收，交废物</w:t>
      </w:r>
      <w:r>
        <w:rPr>
          <w:rFonts w:ascii="宋体" w:hAnsi="宋体" w:eastAsia="宋体" w:cs="宋体"/>
          <w:sz w:val="23"/>
          <w:szCs w:val="23"/>
        </w:rPr>
        <w:t xml:space="preserve"> </w:t>
      </w:r>
      <w:r>
        <w:rPr>
          <w:rFonts w:ascii="宋体" w:hAnsi="宋体" w:eastAsia="宋体" w:cs="宋体"/>
          <w:spacing w:val="14"/>
          <w:sz w:val="23"/>
          <w:szCs w:val="23"/>
        </w:rPr>
        <w:t>收</w:t>
      </w:r>
      <w:r>
        <w:rPr>
          <w:rFonts w:ascii="宋体" w:hAnsi="宋体" w:eastAsia="宋体" w:cs="宋体"/>
          <w:spacing w:val="8"/>
          <w:sz w:val="23"/>
          <w:szCs w:val="23"/>
        </w:rPr>
        <w:t>购</w:t>
      </w:r>
      <w:r>
        <w:rPr>
          <w:rFonts w:ascii="宋体" w:hAnsi="宋体" w:eastAsia="宋体" w:cs="宋体"/>
          <w:spacing w:val="7"/>
          <w:sz w:val="23"/>
          <w:szCs w:val="23"/>
        </w:rPr>
        <w:t>站处理；对不能回收的建筑垃圾，如混凝土废料、含砖、石、砂的杂土等要求及时运往</w:t>
      </w:r>
      <w:r>
        <w:rPr>
          <w:rFonts w:ascii="宋体" w:hAnsi="宋体" w:eastAsia="宋体" w:cs="宋体"/>
          <w:sz w:val="23"/>
          <w:szCs w:val="23"/>
        </w:rPr>
        <w:t xml:space="preserve"> </w:t>
      </w:r>
      <w:r>
        <w:rPr>
          <w:rFonts w:ascii="宋体" w:hAnsi="宋体" w:eastAsia="宋体" w:cs="宋体"/>
          <w:spacing w:val="16"/>
          <w:sz w:val="23"/>
          <w:szCs w:val="23"/>
        </w:rPr>
        <w:t>夹</w:t>
      </w:r>
      <w:r>
        <w:rPr>
          <w:rFonts w:ascii="宋体" w:hAnsi="宋体" w:eastAsia="宋体" w:cs="宋体"/>
          <w:spacing w:val="13"/>
          <w:sz w:val="23"/>
          <w:szCs w:val="23"/>
        </w:rPr>
        <w:t>江</w:t>
      </w:r>
      <w:r>
        <w:rPr>
          <w:rFonts w:ascii="宋体" w:hAnsi="宋体" w:eastAsia="宋体" w:cs="宋体"/>
          <w:spacing w:val="8"/>
          <w:sz w:val="23"/>
          <w:szCs w:val="23"/>
        </w:rPr>
        <w:t>县指定的建筑垃圾堆放点堆放，并做好相应的防护措施；若实际施工时无法及时清运，</w:t>
      </w:r>
      <w:r>
        <w:rPr>
          <w:rFonts w:ascii="宋体" w:hAnsi="宋体" w:eastAsia="宋体" w:cs="宋体"/>
          <w:sz w:val="23"/>
          <w:szCs w:val="23"/>
        </w:rPr>
        <w:t xml:space="preserve"> </w:t>
      </w:r>
      <w:r>
        <w:rPr>
          <w:rFonts w:ascii="宋体" w:hAnsi="宋体" w:eastAsia="宋体" w:cs="宋体"/>
          <w:spacing w:val="14"/>
          <w:sz w:val="23"/>
          <w:szCs w:val="23"/>
        </w:rPr>
        <w:t>在</w:t>
      </w:r>
      <w:r>
        <w:rPr>
          <w:rFonts w:ascii="宋体" w:hAnsi="宋体" w:eastAsia="宋体" w:cs="宋体"/>
          <w:spacing w:val="8"/>
          <w:sz w:val="23"/>
          <w:szCs w:val="23"/>
        </w:rPr>
        <w:t>项</w:t>
      </w:r>
      <w:r>
        <w:rPr>
          <w:rFonts w:ascii="宋体" w:hAnsi="宋体" w:eastAsia="宋体" w:cs="宋体"/>
          <w:spacing w:val="7"/>
          <w:sz w:val="23"/>
          <w:szCs w:val="23"/>
        </w:rPr>
        <w:t>目地集中堆放，做好防护措施，定时清运到指定垃圾场，以免影响环境质量。建筑垃圾</w:t>
      </w:r>
      <w:r>
        <w:rPr>
          <w:rFonts w:ascii="宋体" w:hAnsi="宋体" w:eastAsia="宋体" w:cs="宋体"/>
          <w:sz w:val="23"/>
          <w:szCs w:val="23"/>
        </w:rPr>
        <w:t xml:space="preserve"> </w:t>
      </w:r>
      <w:r>
        <w:rPr>
          <w:rFonts w:ascii="宋体" w:hAnsi="宋体" w:eastAsia="宋体" w:cs="宋体"/>
          <w:spacing w:val="14"/>
          <w:sz w:val="23"/>
          <w:szCs w:val="23"/>
        </w:rPr>
        <w:t>清</w:t>
      </w:r>
      <w:r>
        <w:rPr>
          <w:rFonts w:ascii="宋体" w:hAnsi="宋体" w:eastAsia="宋体" w:cs="宋体"/>
          <w:spacing w:val="8"/>
          <w:sz w:val="23"/>
          <w:szCs w:val="23"/>
        </w:rPr>
        <w:t>运</w:t>
      </w:r>
      <w:r>
        <w:rPr>
          <w:rFonts w:ascii="宋体" w:hAnsi="宋体" w:eastAsia="宋体" w:cs="宋体"/>
          <w:spacing w:val="7"/>
          <w:sz w:val="23"/>
          <w:szCs w:val="23"/>
        </w:rPr>
        <w:t>车辆尽量不行走市区道路，避免给沿线地区增加车流量、造成交通堵塞。另外，建筑垃</w:t>
      </w:r>
      <w:r>
        <w:rPr>
          <w:rFonts w:ascii="宋体" w:hAnsi="宋体" w:eastAsia="宋体" w:cs="宋体"/>
          <w:sz w:val="23"/>
          <w:szCs w:val="23"/>
        </w:rPr>
        <w:t xml:space="preserve"> </w:t>
      </w:r>
      <w:r>
        <w:rPr>
          <w:rFonts w:ascii="宋体" w:hAnsi="宋体" w:eastAsia="宋体" w:cs="宋体"/>
          <w:spacing w:val="14"/>
          <w:sz w:val="23"/>
          <w:szCs w:val="23"/>
        </w:rPr>
        <w:t>圾</w:t>
      </w:r>
      <w:r>
        <w:rPr>
          <w:rFonts w:ascii="宋体" w:hAnsi="宋体" w:eastAsia="宋体" w:cs="宋体"/>
          <w:spacing w:val="8"/>
          <w:sz w:val="23"/>
          <w:szCs w:val="23"/>
        </w:rPr>
        <w:t>的</w:t>
      </w:r>
      <w:r>
        <w:rPr>
          <w:rFonts w:ascii="宋体" w:hAnsi="宋体" w:eastAsia="宋体" w:cs="宋体"/>
          <w:spacing w:val="7"/>
          <w:sz w:val="23"/>
          <w:szCs w:val="23"/>
        </w:rPr>
        <w:t>清运时应加盖苫布，防止洒落，外运时间应该避开上下班的高峰期及人流物流的高峰时</w:t>
      </w:r>
      <w:r>
        <w:rPr>
          <w:rFonts w:ascii="宋体" w:hAnsi="宋体" w:eastAsia="宋体" w:cs="宋体"/>
          <w:sz w:val="23"/>
          <w:szCs w:val="23"/>
        </w:rPr>
        <w:t xml:space="preserve"> </w:t>
      </w:r>
      <w:r>
        <w:rPr>
          <w:rFonts w:ascii="宋体" w:hAnsi="宋体" w:eastAsia="宋体" w:cs="宋体"/>
          <w:spacing w:val="1"/>
          <w:sz w:val="23"/>
          <w:szCs w:val="23"/>
        </w:rPr>
        <w:t>间</w:t>
      </w:r>
      <w:r>
        <w:rPr>
          <w:rFonts w:ascii="宋体" w:hAnsi="宋体" w:eastAsia="宋体" w:cs="宋体"/>
          <w:sz w:val="23"/>
          <w:szCs w:val="23"/>
        </w:rPr>
        <w:t>。</w:t>
      </w:r>
    </w:p>
    <w:p w14:paraId="713DD4B9">
      <w:pPr>
        <w:spacing w:line="225" w:lineRule="auto"/>
        <w:ind w:left="488"/>
        <w:rPr>
          <w:rFonts w:ascii="宋体" w:hAnsi="宋体" w:eastAsia="宋体" w:cs="宋体"/>
          <w:sz w:val="23"/>
          <w:szCs w:val="23"/>
        </w:rPr>
      </w:pPr>
      <w:r>
        <w:rPr>
          <w:rFonts w:ascii="宋体" w:hAnsi="宋体" w:eastAsia="宋体" w:cs="宋体"/>
          <w:spacing w:val="7"/>
          <w:sz w:val="23"/>
          <w:szCs w:val="23"/>
        </w:rPr>
        <w:t>③装修垃圾：</w:t>
      </w:r>
    </w:p>
    <w:p w14:paraId="6C16B491">
      <w:pPr>
        <w:spacing w:before="187" w:line="375" w:lineRule="auto"/>
        <w:ind w:left="14" w:right="77" w:firstLine="476"/>
        <w:rPr>
          <w:rFonts w:ascii="宋体" w:hAnsi="宋体" w:eastAsia="宋体" w:cs="宋体"/>
          <w:sz w:val="23"/>
          <w:szCs w:val="23"/>
        </w:rPr>
      </w:pPr>
      <w:r>
        <w:rPr>
          <w:rFonts w:ascii="宋体" w:hAnsi="宋体" w:eastAsia="宋体" w:cs="宋体"/>
          <w:spacing w:val="8"/>
          <w:sz w:val="23"/>
          <w:szCs w:val="23"/>
        </w:rPr>
        <w:t>装</w:t>
      </w:r>
      <w:r>
        <w:rPr>
          <w:rFonts w:ascii="宋体" w:hAnsi="宋体" w:eastAsia="宋体" w:cs="宋体"/>
          <w:spacing w:val="7"/>
          <w:sz w:val="23"/>
          <w:szCs w:val="23"/>
        </w:rPr>
        <w:t>修垃圾不能随意倾倒，而应用编织袋包装后运出屋外，放在指定地点，由环卫部门统</w:t>
      </w:r>
      <w:r>
        <w:rPr>
          <w:rFonts w:ascii="宋体" w:hAnsi="宋体" w:eastAsia="宋体" w:cs="宋体"/>
          <w:sz w:val="23"/>
          <w:szCs w:val="23"/>
        </w:rPr>
        <w:t xml:space="preserve"> </w:t>
      </w:r>
      <w:r>
        <w:rPr>
          <w:rFonts w:ascii="宋体" w:hAnsi="宋体" w:eastAsia="宋体" w:cs="宋体"/>
          <w:spacing w:val="6"/>
          <w:sz w:val="23"/>
          <w:szCs w:val="23"/>
        </w:rPr>
        <w:t>一清运处理。</w:t>
      </w:r>
    </w:p>
    <w:p w14:paraId="3E1A0627">
      <w:pPr>
        <w:spacing w:before="1" w:line="374" w:lineRule="auto"/>
        <w:ind w:left="12" w:right="33" w:firstLine="480"/>
        <w:rPr>
          <w:rFonts w:ascii="宋体" w:hAnsi="宋体" w:eastAsia="宋体" w:cs="宋体"/>
          <w:sz w:val="23"/>
          <w:szCs w:val="23"/>
        </w:rPr>
      </w:pPr>
      <w:r>
        <w:rPr>
          <w:rFonts w:ascii="宋体" w:hAnsi="宋体" w:eastAsia="宋体" w:cs="宋体"/>
          <w:spacing w:val="13"/>
          <w:sz w:val="23"/>
          <w:szCs w:val="23"/>
        </w:rPr>
        <w:t>为</w:t>
      </w:r>
      <w:r>
        <w:rPr>
          <w:rFonts w:ascii="宋体" w:hAnsi="宋体" w:eastAsia="宋体" w:cs="宋体"/>
          <w:spacing w:val="8"/>
          <w:sz w:val="23"/>
          <w:szCs w:val="23"/>
        </w:rPr>
        <w:t>降低装修垃圾清运对环境的影响，外运以上各种建筑垃圾时，出场前一律清洗轮胎，</w:t>
      </w:r>
      <w:r>
        <w:rPr>
          <w:rFonts w:ascii="宋体" w:hAnsi="宋体" w:eastAsia="宋体" w:cs="宋体"/>
          <w:sz w:val="23"/>
          <w:szCs w:val="23"/>
        </w:rPr>
        <w:t xml:space="preserve"> </w:t>
      </w:r>
      <w:r>
        <w:rPr>
          <w:rFonts w:ascii="宋体" w:hAnsi="宋体" w:eastAsia="宋体" w:cs="宋体"/>
          <w:spacing w:val="14"/>
          <w:sz w:val="23"/>
          <w:szCs w:val="23"/>
        </w:rPr>
        <w:t>用</w:t>
      </w:r>
      <w:r>
        <w:rPr>
          <w:rFonts w:ascii="宋体" w:hAnsi="宋体" w:eastAsia="宋体" w:cs="宋体"/>
          <w:spacing w:val="9"/>
          <w:sz w:val="23"/>
          <w:szCs w:val="23"/>
        </w:rPr>
        <w:t>毡布覆盖，尽量避免轮胎上的泥土掉落至路面而造成扬尘。</w:t>
      </w:r>
    </w:p>
    <w:p w14:paraId="076ADA2B">
      <w:pPr>
        <w:spacing w:before="1" w:line="225" w:lineRule="auto"/>
        <w:ind w:left="488"/>
        <w:rPr>
          <w:rFonts w:ascii="宋体" w:hAnsi="宋体" w:eastAsia="宋体" w:cs="宋体"/>
          <w:sz w:val="23"/>
          <w:szCs w:val="23"/>
        </w:rPr>
      </w:pPr>
      <w:r>
        <w:rPr>
          <w:rFonts w:ascii="宋体" w:hAnsi="宋体" w:eastAsia="宋体" w:cs="宋体"/>
          <w:spacing w:val="7"/>
          <w:sz w:val="23"/>
          <w:szCs w:val="23"/>
        </w:rPr>
        <w:t>④生活垃圾：</w:t>
      </w:r>
    </w:p>
    <w:p w14:paraId="2940487D">
      <w:pPr>
        <w:spacing w:before="184" w:line="376" w:lineRule="auto"/>
        <w:ind w:left="28" w:right="77" w:firstLine="465"/>
        <w:rPr>
          <w:rFonts w:ascii="宋体" w:hAnsi="宋体" w:eastAsia="宋体" w:cs="宋体"/>
          <w:sz w:val="23"/>
          <w:szCs w:val="23"/>
        </w:rPr>
      </w:pPr>
      <w:r>
        <w:rPr>
          <w:rFonts w:ascii="宋体" w:hAnsi="宋体" w:eastAsia="宋体" w:cs="宋体"/>
          <w:spacing w:val="7"/>
          <w:sz w:val="23"/>
          <w:szCs w:val="23"/>
        </w:rPr>
        <w:t>设置垃圾桶并且加盖，施工人员每日产生的生活垃圾应经过垃圾桶收集后，由专人送</w:t>
      </w:r>
      <w:r>
        <w:rPr>
          <w:rFonts w:ascii="宋体" w:hAnsi="宋体" w:eastAsia="宋体" w:cs="宋体"/>
          <w:spacing w:val="4"/>
          <w:sz w:val="23"/>
          <w:szCs w:val="23"/>
        </w:rPr>
        <w:t>往</w:t>
      </w:r>
      <w:r>
        <w:rPr>
          <w:rFonts w:ascii="宋体" w:hAnsi="宋体" w:eastAsia="宋体" w:cs="宋体"/>
          <w:sz w:val="23"/>
          <w:szCs w:val="23"/>
        </w:rPr>
        <w:t xml:space="preserve"> </w:t>
      </w:r>
      <w:r>
        <w:rPr>
          <w:rFonts w:ascii="宋体" w:hAnsi="宋体" w:eastAsia="宋体" w:cs="宋体"/>
          <w:spacing w:val="16"/>
          <w:sz w:val="23"/>
          <w:szCs w:val="23"/>
        </w:rPr>
        <w:t>附</w:t>
      </w:r>
      <w:r>
        <w:rPr>
          <w:rFonts w:ascii="宋体" w:hAnsi="宋体" w:eastAsia="宋体" w:cs="宋体"/>
          <w:spacing w:val="13"/>
          <w:sz w:val="23"/>
          <w:szCs w:val="23"/>
        </w:rPr>
        <w:t>近</w:t>
      </w:r>
      <w:r>
        <w:rPr>
          <w:rFonts w:ascii="宋体" w:hAnsi="宋体" w:eastAsia="宋体" w:cs="宋体"/>
          <w:spacing w:val="8"/>
          <w:sz w:val="23"/>
          <w:szCs w:val="23"/>
        </w:rPr>
        <w:t>生活垃圾收集点堆放，不可就地填埋，不可随意丢弃。</w:t>
      </w:r>
    </w:p>
    <w:p w14:paraId="2229A4F9">
      <w:pPr>
        <w:spacing w:before="1" w:line="374" w:lineRule="auto"/>
        <w:ind w:left="12" w:firstLine="480"/>
        <w:rPr>
          <w:rFonts w:ascii="宋体" w:hAnsi="宋体" w:eastAsia="宋体" w:cs="宋体"/>
          <w:sz w:val="23"/>
          <w:szCs w:val="23"/>
        </w:rPr>
      </w:pPr>
      <w:r>
        <w:rPr>
          <w:rFonts w:ascii="宋体" w:hAnsi="宋体" w:eastAsia="宋体" w:cs="宋体"/>
          <w:spacing w:val="7"/>
          <w:sz w:val="23"/>
          <w:szCs w:val="23"/>
        </w:rPr>
        <w:t>综上所述，项目施工期在严格落实了本环评提出的上述措施后，其施工期的固体废弃</w:t>
      </w:r>
      <w:r>
        <w:rPr>
          <w:rFonts w:ascii="宋体" w:hAnsi="宋体" w:eastAsia="宋体" w:cs="宋体"/>
          <w:spacing w:val="5"/>
          <w:sz w:val="23"/>
          <w:szCs w:val="23"/>
        </w:rPr>
        <w:t>物</w:t>
      </w:r>
      <w:r>
        <w:rPr>
          <w:rFonts w:ascii="宋体" w:hAnsi="宋体" w:eastAsia="宋体" w:cs="宋体"/>
          <w:sz w:val="23"/>
          <w:szCs w:val="23"/>
        </w:rPr>
        <w:t xml:space="preserve"> </w:t>
      </w:r>
      <w:r>
        <w:rPr>
          <w:rFonts w:ascii="宋体" w:hAnsi="宋体" w:eastAsia="宋体" w:cs="宋体"/>
          <w:spacing w:val="12"/>
          <w:sz w:val="23"/>
          <w:szCs w:val="23"/>
        </w:rPr>
        <w:t>可</w:t>
      </w:r>
      <w:r>
        <w:rPr>
          <w:rFonts w:ascii="宋体" w:hAnsi="宋体" w:eastAsia="宋体" w:cs="宋体"/>
          <w:spacing w:val="9"/>
          <w:sz w:val="23"/>
          <w:szCs w:val="23"/>
        </w:rPr>
        <w:t>实现清洁处理和处置，不造成二次污染。</w:t>
      </w:r>
      <w:r>
        <w:rPr>
          <w:rFonts w:ascii="宋体" w:hAnsi="宋体" w:eastAsia="宋体" w:cs="宋体"/>
          <w:spacing w:val="9"/>
          <w:sz w:val="23"/>
          <w:szCs w:val="23"/>
          <w14:textOutline w14:w="4356" w14:cap="sq" w14:cmpd="sng" w14:algn="ctr">
            <w14:solidFill>
              <w14:srgbClr w14:val="000000"/>
            </w14:solidFill>
            <w14:prstDash w14:val="solid"/>
            <w14:bevel/>
          </w14:textOutline>
        </w:rPr>
        <w:t>环评要求，施工期间严禁将固体废物随意乱排。</w:t>
      </w:r>
    </w:p>
    <w:p w14:paraId="32AABBD3">
      <w:pPr>
        <w:spacing w:before="1" w:line="228" w:lineRule="auto"/>
        <w:ind w:left="4"/>
        <w:outlineLvl w:val="3"/>
        <w:rPr>
          <w:rFonts w:ascii="宋体" w:hAnsi="宋体" w:eastAsia="宋体" w:cs="宋体"/>
          <w:sz w:val="23"/>
          <w:szCs w:val="23"/>
        </w:rPr>
      </w:pPr>
      <w:r>
        <w:rPr>
          <w:rFonts w:ascii="Times New Roman" w:hAnsi="Times New Roman" w:eastAsia="Times New Roman" w:cs="Times New Roman"/>
          <w:b/>
          <w:bCs/>
          <w:spacing w:val="17"/>
          <w:sz w:val="23"/>
          <w:szCs w:val="23"/>
        </w:rPr>
        <w:t>3.2.3.5</w:t>
      </w:r>
      <w:r>
        <w:rPr>
          <w:rFonts w:ascii="Times New Roman" w:hAnsi="Times New Roman" w:eastAsia="Times New Roman" w:cs="Times New Roman"/>
          <w:spacing w:val="17"/>
          <w:sz w:val="23"/>
          <w:szCs w:val="23"/>
        </w:rPr>
        <w:t xml:space="preserve">  </w:t>
      </w:r>
      <w:r>
        <w:rPr>
          <w:rFonts w:ascii="宋体" w:hAnsi="宋体" w:eastAsia="宋体" w:cs="宋体"/>
          <w:spacing w:val="17"/>
          <w:sz w:val="23"/>
          <w:szCs w:val="23"/>
          <w14:textOutline w14:w="4356" w14:cap="sq" w14:cmpd="sng" w14:algn="ctr">
            <w14:solidFill>
              <w14:srgbClr w14:val="000000"/>
            </w14:solidFill>
            <w14:prstDash w14:val="solid"/>
            <w14:bevel/>
          </w14:textOutline>
        </w:rPr>
        <w:t>生态环</w:t>
      </w:r>
      <w:r>
        <w:rPr>
          <w:rFonts w:ascii="宋体" w:hAnsi="宋体" w:eastAsia="宋体" w:cs="宋体"/>
          <w:spacing w:val="15"/>
          <w:sz w:val="23"/>
          <w:szCs w:val="23"/>
          <w14:textOutline w14:w="4356" w14:cap="sq" w14:cmpd="sng" w14:algn="ctr">
            <w14:solidFill>
              <w14:srgbClr w14:val="000000"/>
            </w14:solidFill>
            <w14:prstDash w14:val="solid"/>
            <w14:bevel/>
          </w14:textOutline>
        </w:rPr>
        <w:t>境</w:t>
      </w:r>
    </w:p>
    <w:p w14:paraId="5AF45F8C">
      <w:pPr>
        <w:spacing w:before="181" w:line="228" w:lineRule="auto"/>
        <w:ind w:left="501"/>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1</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影响分析</w:t>
      </w:r>
    </w:p>
    <w:p w14:paraId="6C026C27">
      <w:pPr>
        <w:spacing w:before="182" w:line="375" w:lineRule="auto"/>
        <w:ind w:left="10" w:right="33" w:firstLine="483"/>
        <w:rPr>
          <w:rFonts w:ascii="宋体" w:hAnsi="宋体" w:eastAsia="宋体" w:cs="宋体"/>
          <w:sz w:val="23"/>
          <w:szCs w:val="23"/>
        </w:rPr>
      </w:pPr>
      <w:r>
        <w:rPr>
          <w:rFonts w:ascii="宋体" w:hAnsi="宋体" w:eastAsia="宋体" w:cs="宋体"/>
          <w:spacing w:val="7"/>
          <w:sz w:val="23"/>
          <w:szCs w:val="23"/>
        </w:rPr>
        <w:t>项目用地不涉及风景名胜、自然遗产地、森林公园等特殊保护区，也无珍惜、保护动</w:t>
      </w:r>
      <w:r>
        <w:rPr>
          <w:rFonts w:ascii="宋体" w:hAnsi="宋体" w:eastAsia="宋体" w:cs="宋体"/>
          <w:spacing w:val="4"/>
          <w:sz w:val="23"/>
          <w:szCs w:val="23"/>
        </w:rPr>
        <w:t>植</w:t>
      </w:r>
      <w:r>
        <w:rPr>
          <w:rFonts w:ascii="宋体" w:hAnsi="宋体" w:eastAsia="宋体" w:cs="宋体"/>
          <w:sz w:val="23"/>
          <w:szCs w:val="23"/>
        </w:rPr>
        <w:t xml:space="preserve"> </w:t>
      </w:r>
      <w:r>
        <w:rPr>
          <w:rFonts w:ascii="宋体" w:hAnsi="宋体" w:eastAsia="宋体" w:cs="宋体"/>
          <w:spacing w:val="7"/>
          <w:sz w:val="23"/>
          <w:szCs w:val="23"/>
        </w:rPr>
        <w:t>物分布。项目用地现状覆盖有植被 (主要为杂草、灌木、经济作物) ，项目的实施将会对</w:t>
      </w:r>
      <w:r>
        <w:rPr>
          <w:rFonts w:ascii="宋体" w:hAnsi="宋体" w:eastAsia="宋体" w:cs="宋体"/>
          <w:spacing w:val="2"/>
          <w:sz w:val="23"/>
          <w:szCs w:val="23"/>
        </w:rPr>
        <w:t>现</w:t>
      </w:r>
      <w:r>
        <w:rPr>
          <w:rFonts w:ascii="宋体" w:hAnsi="宋体" w:eastAsia="宋体" w:cs="宋体"/>
          <w:sz w:val="23"/>
          <w:szCs w:val="23"/>
        </w:rPr>
        <w:t xml:space="preserve"> </w:t>
      </w:r>
      <w:r>
        <w:rPr>
          <w:rFonts w:ascii="宋体" w:hAnsi="宋体" w:eastAsia="宋体" w:cs="宋体"/>
          <w:spacing w:val="16"/>
          <w:sz w:val="23"/>
          <w:szCs w:val="23"/>
        </w:rPr>
        <w:t>有</w:t>
      </w:r>
      <w:r>
        <w:rPr>
          <w:rFonts w:ascii="宋体" w:hAnsi="宋体" w:eastAsia="宋体" w:cs="宋体"/>
          <w:spacing w:val="12"/>
          <w:sz w:val="23"/>
          <w:szCs w:val="23"/>
        </w:rPr>
        <w:t>植</w:t>
      </w:r>
      <w:r>
        <w:rPr>
          <w:rFonts w:ascii="宋体" w:hAnsi="宋体" w:eastAsia="宋体" w:cs="宋体"/>
          <w:spacing w:val="8"/>
          <w:sz w:val="23"/>
          <w:szCs w:val="23"/>
        </w:rPr>
        <w:t>被造成破坏。项目实施工程中造成场地内土质结构松散，易被雨水冲刷造成水土流失，</w:t>
      </w:r>
      <w:r>
        <w:rPr>
          <w:rFonts w:ascii="宋体" w:hAnsi="宋体" w:eastAsia="宋体" w:cs="宋体"/>
          <w:sz w:val="23"/>
          <w:szCs w:val="23"/>
        </w:rPr>
        <w:t xml:space="preserve"> </w:t>
      </w:r>
      <w:r>
        <w:rPr>
          <w:rFonts w:ascii="宋体" w:hAnsi="宋体" w:eastAsia="宋体" w:cs="宋体"/>
          <w:spacing w:val="18"/>
          <w:sz w:val="23"/>
          <w:szCs w:val="23"/>
        </w:rPr>
        <w:t>另</w:t>
      </w:r>
      <w:r>
        <w:rPr>
          <w:rFonts w:ascii="宋体" w:hAnsi="宋体" w:eastAsia="宋体" w:cs="宋体"/>
          <w:spacing w:val="17"/>
          <w:sz w:val="23"/>
          <w:szCs w:val="23"/>
        </w:rPr>
        <w:t>外</w:t>
      </w:r>
      <w:r>
        <w:rPr>
          <w:rFonts w:ascii="宋体" w:hAnsi="宋体" w:eastAsia="宋体" w:cs="宋体"/>
          <w:spacing w:val="9"/>
          <w:sz w:val="23"/>
          <w:szCs w:val="23"/>
        </w:rPr>
        <w:t>土方临时堆场若未及时清运以及对堆场进行覆盖将由于雨水冲刷造成水土流失。</w:t>
      </w:r>
    </w:p>
    <w:p w14:paraId="33FBFC65">
      <w:pPr>
        <w:spacing w:line="228" w:lineRule="auto"/>
        <w:ind w:left="501"/>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2</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治理措施</w:t>
      </w:r>
    </w:p>
    <w:p w14:paraId="650E7BA4">
      <w:pPr>
        <w:sectPr>
          <w:headerReference r:id="rId96" w:type="default"/>
          <w:footerReference r:id="rId97" w:type="default"/>
          <w:pgSz w:w="11907" w:h="16840"/>
          <w:pgMar w:top="829" w:right="1055" w:bottom="1139" w:left="1275" w:header="595" w:footer="953" w:gutter="0"/>
          <w:cols w:space="720" w:num="1"/>
        </w:sectPr>
      </w:pPr>
    </w:p>
    <w:p w14:paraId="77AA3152">
      <w:pPr>
        <w:spacing w:before="146" w:line="225" w:lineRule="auto"/>
        <w:ind w:left="489"/>
        <w:rPr>
          <w:rFonts w:ascii="宋体" w:hAnsi="宋体" w:eastAsia="宋体" w:cs="宋体"/>
          <w:sz w:val="23"/>
          <w:szCs w:val="23"/>
        </w:rPr>
      </w:pPr>
      <w:r>
        <w:rPr>
          <w:rFonts w:ascii="宋体" w:hAnsi="宋体" w:eastAsia="宋体" w:cs="宋体"/>
          <w:spacing w:val="9"/>
          <w:sz w:val="23"/>
          <w:szCs w:val="23"/>
        </w:rPr>
        <w:t>①</w:t>
      </w:r>
      <w:r>
        <w:rPr>
          <w:rFonts w:ascii="宋体" w:hAnsi="宋体" w:eastAsia="宋体" w:cs="宋体"/>
          <w:spacing w:val="8"/>
          <w:sz w:val="23"/>
          <w:szCs w:val="23"/>
        </w:rPr>
        <w:t>植被破坏</w:t>
      </w:r>
    </w:p>
    <w:p w14:paraId="57330276">
      <w:pPr>
        <w:spacing w:before="184" w:line="375" w:lineRule="auto"/>
        <w:ind w:left="14" w:firstLine="494"/>
        <w:rPr>
          <w:rFonts w:ascii="宋体" w:hAnsi="宋体" w:eastAsia="宋体" w:cs="宋体"/>
          <w:sz w:val="23"/>
          <w:szCs w:val="23"/>
        </w:rPr>
      </w:pPr>
      <w:r>
        <w:rPr>
          <w:rFonts w:ascii="Times New Roman" w:hAnsi="Times New Roman" w:eastAsia="Times New Roman" w:cs="Times New Roman"/>
          <w:spacing w:val="5"/>
          <w:sz w:val="23"/>
          <w:szCs w:val="23"/>
        </w:rPr>
        <w:t>1</w:t>
      </w:r>
      <w:r>
        <w:rPr>
          <w:rFonts w:ascii="宋体" w:hAnsi="宋体" w:eastAsia="宋体" w:cs="宋体"/>
          <w:spacing w:val="5"/>
          <w:sz w:val="23"/>
          <w:szCs w:val="23"/>
        </w:rPr>
        <w:t>) 在施工作业过程中，不得随意开挖，强化生态环境保护意识，严格控制施工作业区</w:t>
      </w:r>
      <w:r>
        <w:rPr>
          <w:rFonts w:ascii="宋体" w:hAnsi="宋体" w:eastAsia="宋体" w:cs="宋体"/>
          <w:sz w:val="23"/>
          <w:szCs w:val="23"/>
        </w:rPr>
        <w:t xml:space="preserve">， </w:t>
      </w:r>
      <w:r>
        <w:rPr>
          <w:rFonts w:ascii="宋体" w:hAnsi="宋体" w:eastAsia="宋体" w:cs="宋体"/>
          <w:spacing w:val="9"/>
          <w:sz w:val="23"/>
          <w:szCs w:val="23"/>
        </w:rPr>
        <w:t>不得随意扩大范围，尽量减少对植被的破坏</w:t>
      </w:r>
      <w:r>
        <w:rPr>
          <w:rFonts w:ascii="宋体" w:hAnsi="宋体" w:eastAsia="宋体" w:cs="宋体"/>
          <w:spacing w:val="5"/>
          <w:sz w:val="23"/>
          <w:szCs w:val="23"/>
        </w:rPr>
        <w:t>。</w:t>
      </w:r>
    </w:p>
    <w:p w14:paraId="5AF24374">
      <w:pPr>
        <w:spacing w:line="227" w:lineRule="auto"/>
        <w:ind w:left="485"/>
        <w:rPr>
          <w:rFonts w:ascii="宋体" w:hAnsi="宋体" w:eastAsia="宋体" w:cs="宋体"/>
          <w:sz w:val="23"/>
          <w:szCs w:val="23"/>
        </w:rPr>
      </w:pPr>
      <w:r>
        <w:rPr>
          <w:rFonts w:ascii="Times New Roman" w:hAnsi="Times New Roman" w:eastAsia="Times New Roman" w:cs="Times New Roman"/>
          <w:spacing w:val="17"/>
          <w:sz w:val="23"/>
          <w:szCs w:val="23"/>
        </w:rPr>
        <w:t>2</w:t>
      </w:r>
      <w:r>
        <w:rPr>
          <w:rFonts w:ascii="宋体" w:hAnsi="宋体" w:eastAsia="宋体" w:cs="宋体"/>
          <w:spacing w:val="9"/>
          <w:sz w:val="23"/>
          <w:szCs w:val="23"/>
        </w:rPr>
        <w:t>) 合理利用场地内原有树林植被设置绿化带，尽量保留可利用植被，降低生态影响。</w:t>
      </w:r>
    </w:p>
    <w:p w14:paraId="1B12AA23">
      <w:pPr>
        <w:spacing w:before="184" w:line="228" w:lineRule="auto"/>
        <w:ind w:left="490"/>
        <w:rPr>
          <w:rFonts w:ascii="宋体" w:hAnsi="宋体" w:eastAsia="宋体" w:cs="宋体"/>
          <w:sz w:val="23"/>
          <w:szCs w:val="23"/>
        </w:rPr>
      </w:pPr>
      <w:r>
        <w:rPr>
          <w:rFonts w:ascii="Times New Roman" w:hAnsi="Times New Roman" w:eastAsia="Times New Roman" w:cs="Times New Roman"/>
          <w:spacing w:val="9"/>
          <w:sz w:val="23"/>
          <w:szCs w:val="23"/>
        </w:rPr>
        <w:t>3</w:t>
      </w:r>
      <w:r>
        <w:rPr>
          <w:rFonts w:ascii="宋体" w:hAnsi="宋体" w:eastAsia="宋体" w:cs="宋体"/>
          <w:spacing w:val="9"/>
          <w:sz w:val="23"/>
          <w:szCs w:val="23"/>
        </w:rPr>
        <w:t>) 项目实施后，对厂区内进行绿化，种植花草树木，尽量恢复区域绿化</w:t>
      </w:r>
      <w:r>
        <w:rPr>
          <w:rFonts w:ascii="宋体" w:hAnsi="宋体" w:eastAsia="宋体" w:cs="宋体"/>
          <w:spacing w:val="8"/>
          <w:sz w:val="23"/>
          <w:szCs w:val="23"/>
        </w:rPr>
        <w:t>。</w:t>
      </w:r>
    </w:p>
    <w:p w14:paraId="3615B0E5">
      <w:pPr>
        <w:spacing w:before="184" w:line="225" w:lineRule="auto"/>
        <w:ind w:left="488"/>
        <w:rPr>
          <w:rFonts w:ascii="宋体" w:hAnsi="宋体" w:eastAsia="宋体" w:cs="宋体"/>
          <w:sz w:val="23"/>
          <w:szCs w:val="23"/>
        </w:rPr>
      </w:pPr>
      <w:r>
        <w:rPr>
          <w:rFonts w:ascii="宋体" w:hAnsi="宋体" w:eastAsia="宋体" w:cs="宋体"/>
          <w:spacing w:val="10"/>
          <w:sz w:val="23"/>
          <w:szCs w:val="23"/>
        </w:rPr>
        <w:t>②</w:t>
      </w:r>
      <w:r>
        <w:rPr>
          <w:rFonts w:ascii="宋体" w:hAnsi="宋体" w:eastAsia="宋体" w:cs="宋体"/>
          <w:spacing w:val="8"/>
          <w:sz w:val="23"/>
          <w:szCs w:val="23"/>
        </w:rPr>
        <w:t>水土流失</w:t>
      </w:r>
    </w:p>
    <w:p w14:paraId="79301329">
      <w:pPr>
        <w:spacing w:before="185" w:line="227" w:lineRule="auto"/>
        <w:ind w:left="508"/>
        <w:rPr>
          <w:rFonts w:ascii="宋体" w:hAnsi="宋体" w:eastAsia="宋体" w:cs="宋体"/>
          <w:sz w:val="23"/>
          <w:szCs w:val="23"/>
        </w:rPr>
      </w:pPr>
      <w:r>
        <w:rPr>
          <w:rFonts w:ascii="Times New Roman" w:hAnsi="Times New Roman" w:eastAsia="Times New Roman" w:cs="Times New Roman"/>
          <w:spacing w:val="14"/>
          <w:sz w:val="23"/>
          <w:szCs w:val="23"/>
        </w:rPr>
        <w:t>1</w:t>
      </w:r>
      <w:r>
        <w:rPr>
          <w:rFonts w:ascii="宋体" w:hAnsi="宋体" w:eastAsia="宋体" w:cs="宋体"/>
          <w:spacing w:val="12"/>
          <w:sz w:val="23"/>
          <w:szCs w:val="23"/>
        </w:rPr>
        <w:t>)</w:t>
      </w:r>
      <w:r>
        <w:rPr>
          <w:rFonts w:ascii="宋体" w:hAnsi="宋体" w:eastAsia="宋体" w:cs="宋体"/>
          <w:spacing w:val="7"/>
          <w:sz w:val="23"/>
          <w:szCs w:val="23"/>
        </w:rPr>
        <w:t xml:space="preserve"> 整个施工过程中尽可能避开雨天开挖施工；</w:t>
      </w:r>
    </w:p>
    <w:p w14:paraId="445C0128">
      <w:pPr>
        <w:spacing w:before="184" w:line="374" w:lineRule="auto"/>
        <w:ind w:left="14" w:firstLine="471"/>
        <w:rPr>
          <w:rFonts w:ascii="宋体" w:hAnsi="宋体" w:eastAsia="宋体" w:cs="宋体"/>
          <w:sz w:val="23"/>
          <w:szCs w:val="23"/>
        </w:rPr>
      </w:pPr>
      <w:r>
        <w:rPr>
          <w:rFonts w:ascii="Times New Roman" w:hAnsi="Times New Roman" w:eastAsia="Times New Roman" w:cs="Times New Roman"/>
          <w:spacing w:val="10"/>
          <w:sz w:val="23"/>
          <w:szCs w:val="23"/>
        </w:rPr>
        <w:t>2</w:t>
      </w:r>
      <w:r>
        <w:rPr>
          <w:rFonts w:ascii="宋体" w:hAnsi="宋体" w:eastAsia="宋体" w:cs="宋体"/>
          <w:spacing w:val="10"/>
          <w:sz w:val="23"/>
          <w:szCs w:val="23"/>
        </w:rPr>
        <w:t xml:space="preserve">) </w:t>
      </w:r>
      <w:r>
        <w:rPr>
          <w:rFonts w:ascii="宋体" w:hAnsi="宋体" w:eastAsia="宋体" w:cs="宋体"/>
          <w:spacing w:val="8"/>
          <w:sz w:val="23"/>
          <w:szCs w:val="23"/>
        </w:rPr>
        <w:t>在</w:t>
      </w:r>
      <w:r>
        <w:rPr>
          <w:rFonts w:ascii="宋体" w:hAnsi="宋体" w:eastAsia="宋体" w:cs="宋体"/>
          <w:spacing w:val="5"/>
          <w:sz w:val="23"/>
          <w:szCs w:val="23"/>
        </w:rPr>
        <w:t>施工作业过程中，不得随意开挖，强化生态环境保护意识，严格控制施工作业区，</w:t>
      </w:r>
      <w:r>
        <w:rPr>
          <w:rFonts w:ascii="宋体" w:hAnsi="宋体" w:eastAsia="宋体" w:cs="宋体"/>
          <w:sz w:val="23"/>
          <w:szCs w:val="23"/>
        </w:rPr>
        <w:t xml:space="preserve"> </w:t>
      </w:r>
      <w:r>
        <w:rPr>
          <w:rFonts w:ascii="宋体" w:hAnsi="宋体" w:eastAsia="宋体" w:cs="宋体"/>
          <w:spacing w:val="12"/>
          <w:sz w:val="23"/>
          <w:szCs w:val="23"/>
        </w:rPr>
        <w:t>不</w:t>
      </w:r>
      <w:r>
        <w:rPr>
          <w:rFonts w:ascii="宋体" w:hAnsi="宋体" w:eastAsia="宋体" w:cs="宋体"/>
          <w:spacing w:val="9"/>
          <w:sz w:val="23"/>
          <w:szCs w:val="23"/>
        </w:rPr>
        <w:t>得随意扩大范围，尽量减少对植被的破坏，保护水土资源；</w:t>
      </w:r>
    </w:p>
    <w:p w14:paraId="18A53FB7">
      <w:pPr>
        <w:spacing w:before="2" w:line="375" w:lineRule="auto"/>
        <w:ind w:left="11" w:right="61" w:firstLine="479"/>
        <w:rPr>
          <w:rFonts w:ascii="宋体" w:hAnsi="宋体" w:eastAsia="宋体" w:cs="宋体"/>
          <w:sz w:val="23"/>
          <w:szCs w:val="23"/>
        </w:rPr>
      </w:pPr>
      <w:r>
        <w:rPr>
          <w:rFonts w:ascii="Times New Roman" w:hAnsi="Times New Roman" w:eastAsia="Times New Roman" w:cs="Times New Roman"/>
          <w:spacing w:val="18"/>
          <w:sz w:val="23"/>
          <w:szCs w:val="23"/>
        </w:rPr>
        <w:t>3</w:t>
      </w:r>
      <w:r>
        <w:rPr>
          <w:rFonts w:ascii="宋体" w:hAnsi="宋体" w:eastAsia="宋体" w:cs="宋体"/>
          <w:spacing w:val="18"/>
          <w:sz w:val="23"/>
          <w:szCs w:val="23"/>
        </w:rPr>
        <w:t xml:space="preserve">) </w:t>
      </w:r>
      <w:r>
        <w:rPr>
          <w:rFonts w:ascii="宋体" w:hAnsi="宋体" w:eastAsia="宋体" w:cs="宋体"/>
          <w:spacing w:val="12"/>
          <w:sz w:val="23"/>
          <w:szCs w:val="23"/>
        </w:rPr>
        <w:t>对</w:t>
      </w:r>
      <w:r>
        <w:rPr>
          <w:rFonts w:ascii="宋体" w:hAnsi="宋体" w:eastAsia="宋体" w:cs="宋体"/>
          <w:spacing w:val="9"/>
          <w:sz w:val="23"/>
          <w:szCs w:val="23"/>
        </w:rPr>
        <w:t>于开挖土石方，减少临时堆放和不必要的转运过程，应尽快回填剩余用于场区内</w:t>
      </w:r>
      <w:r>
        <w:rPr>
          <w:rFonts w:ascii="宋体" w:hAnsi="宋体" w:eastAsia="宋体" w:cs="宋体"/>
          <w:sz w:val="23"/>
          <w:szCs w:val="23"/>
        </w:rPr>
        <w:t xml:space="preserve"> </w:t>
      </w:r>
      <w:r>
        <w:rPr>
          <w:rFonts w:ascii="宋体" w:hAnsi="宋体" w:eastAsia="宋体" w:cs="宋体"/>
          <w:spacing w:val="18"/>
          <w:sz w:val="23"/>
          <w:szCs w:val="23"/>
        </w:rPr>
        <w:t>土</w:t>
      </w:r>
      <w:r>
        <w:rPr>
          <w:rFonts w:ascii="宋体" w:hAnsi="宋体" w:eastAsia="宋体" w:cs="宋体"/>
          <w:spacing w:val="9"/>
          <w:sz w:val="23"/>
          <w:szCs w:val="23"/>
        </w:rPr>
        <w:t>地平整。环评要求挖方时对土方进行剥离，可用土进行单独保存。</w:t>
      </w:r>
    </w:p>
    <w:p w14:paraId="1689FD57">
      <w:pPr>
        <w:spacing w:before="1" w:line="374" w:lineRule="auto"/>
        <w:ind w:left="10" w:right="61" w:firstLine="474"/>
        <w:rPr>
          <w:rFonts w:ascii="宋体" w:hAnsi="宋体" w:eastAsia="宋体" w:cs="宋体"/>
          <w:sz w:val="23"/>
          <w:szCs w:val="23"/>
        </w:rPr>
      </w:pPr>
      <w:r>
        <w:rPr>
          <w:rFonts w:ascii="Times New Roman" w:hAnsi="Times New Roman" w:eastAsia="Times New Roman" w:cs="Times New Roman"/>
          <w:spacing w:val="7"/>
          <w:sz w:val="23"/>
          <w:szCs w:val="23"/>
        </w:rPr>
        <w:t>4</w:t>
      </w:r>
      <w:r>
        <w:rPr>
          <w:rFonts w:ascii="宋体" w:hAnsi="宋体" w:eastAsia="宋体" w:cs="宋体"/>
          <w:spacing w:val="7"/>
          <w:sz w:val="23"/>
          <w:szCs w:val="23"/>
        </w:rPr>
        <w:t xml:space="preserve">) 在基础清理开挖时，为防止开挖土方进入施工区外，在开挖线外缘一侧用编织 </w:t>
      </w:r>
      <w:r>
        <w:rPr>
          <w:rFonts w:ascii="宋体" w:hAnsi="宋体" w:eastAsia="宋体" w:cs="宋体"/>
          <w:spacing w:val="6"/>
          <w:sz w:val="23"/>
          <w:szCs w:val="23"/>
        </w:rPr>
        <w:t>袋</w:t>
      </w:r>
      <w:r>
        <w:rPr>
          <w:rFonts w:ascii="宋体" w:hAnsi="宋体" w:eastAsia="宋体" w:cs="宋体"/>
          <w:sz w:val="23"/>
          <w:szCs w:val="23"/>
        </w:rPr>
        <w:t xml:space="preserve">装 </w:t>
      </w:r>
      <w:r>
        <w:rPr>
          <w:rFonts w:ascii="宋体" w:hAnsi="宋体" w:eastAsia="宋体" w:cs="宋体"/>
          <w:spacing w:val="8"/>
          <w:sz w:val="23"/>
          <w:szCs w:val="23"/>
        </w:rPr>
        <w:t>清理表层土临时拦挡；</w:t>
      </w:r>
    </w:p>
    <w:p w14:paraId="46C8AC60">
      <w:pPr>
        <w:spacing w:before="1" w:line="227" w:lineRule="auto"/>
        <w:ind w:left="492"/>
        <w:rPr>
          <w:rFonts w:ascii="宋体" w:hAnsi="宋体" w:eastAsia="宋体" w:cs="宋体"/>
          <w:sz w:val="23"/>
          <w:szCs w:val="23"/>
        </w:rPr>
      </w:pPr>
      <w:r>
        <w:rPr>
          <w:rFonts w:ascii="Times New Roman" w:hAnsi="Times New Roman" w:eastAsia="Times New Roman" w:cs="Times New Roman"/>
          <w:spacing w:val="16"/>
          <w:sz w:val="23"/>
          <w:szCs w:val="23"/>
        </w:rPr>
        <w:t>5</w:t>
      </w:r>
      <w:r>
        <w:rPr>
          <w:rFonts w:ascii="宋体" w:hAnsi="宋体" w:eastAsia="宋体" w:cs="宋体"/>
          <w:spacing w:val="13"/>
          <w:sz w:val="23"/>
          <w:szCs w:val="23"/>
        </w:rPr>
        <w:t>)</w:t>
      </w:r>
      <w:r>
        <w:rPr>
          <w:rFonts w:ascii="宋体" w:hAnsi="宋体" w:eastAsia="宋体" w:cs="宋体"/>
          <w:spacing w:val="8"/>
          <w:sz w:val="23"/>
          <w:szCs w:val="23"/>
        </w:rPr>
        <w:t xml:space="preserve"> 临时堆场周边设置围挡，并采用防雨布进行覆盖。</w:t>
      </w:r>
    </w:p>
    <w:p w14:paraId="1B89BA71">
      <w:pPr>
        <w:spacing w:before="181" w:line="376" w:lineRule="auto"/>
        <w:ind w:left="10" w:right="61" w:firstLine="480"/>
        <w:rPr>
          <w:rFonts w:ascii="宋体" w:hAnsi="宋体" w:eastAsia="宋体" w:cs="宋体"/>
          <w:sz w:val="23"/>
          <w:szCs w:val="23"/>
        </w:rPr>
      </w:pPr>
      <w:r>
        <w:rPr>
          <w:rFonts w:ascii="Times New Roman" w:hAnsi="Times New Roman" w:eastAsia="Times New Roman" w:cs="Times New Roman"/>
          <w:spacing w:val="18"/>
          <w:sz w:val="23"/>
          <w:szCs w:val="23"/>
        </w:rPr>
        <w:t>6</w:t>
      </w:r>
      <w:r>
        <w:rPr>
          <w:rFonts w:ascii="宋体" w:hAnsi="宋体" w:eastAsia="宋体" w:cs="宋体"/>
          <w:spacing w:val="18"/>
          <w:sz w:val="23"/>
          <w:szCs w:val="23"/>
        </w:rPr>
        <w:t xml:space="preserve">) </w:t>
      </w:r>
      <w:r>
        <w:rPr>
          <w:rFonts w:ascii="宋体" w:hAnsi="宋体" w:eastAsia="宋体" w:cs="宋体"/>
          <w:spacing w:val="12"/>
          <w:sz w:val="23"/>
          <w:szCs w:val="23"/>
        </w:rPr>
        <w:t>尽</w:t>
      </w:r>
      <w:r>
        <w:rPr>
          <w:rFonts w:ascii="宋体" w:hAnsi="宋体" w:eastAsia="宋体" w:cs="宋体"/>
          <w:spacing w:val="9"/>
          <w:sz w:val="23"/>
          <w:szCs w:val="23"/>
        </w:rPr>
        <w:t>快完善在施工场地四周雨水排水沟，防止雨水冲刷场地，并在排水沟出口设临时</w:t>
      </w:r>
      <w:r>
        <w:rPr>
          <w:rFonts w:ascii="宋体" w:hAnsi="宋体" w:eastAsia="宋体" w:cs="宋体"/>
          <w:sz w:val="23"/>
          <w:szCs w:val="23"/>
        </w:rPr>
        <w:t xml:space="preserve"> </w:t>
      </w:r>
      <w:r>
        <w:rPr>
          <w:rFonts w:ascii="宋体" w:hAnsi="宋体" w:eastAsia="宋体" w:cs="宋体"/>
          <w:spacing w:val="15"/>
          <w:sz w:val="23"/>
          <w:szCs w:val="23"/>
        </w:rPr>
        <w:t>沉</w:t>
      </w:r>
      <w:r>
        <w:rPr>
          <w:rFonts w:ascii="宋体" w:hAnsi="宋体" w:eastAsia="宋体" w:cs="宋体"/>
          <w:spacing w:val="9"/>
          <w:sz w:val="23"/>
          <w:szCs w:val="23"/>
        </w:rPr>
        <w:t>淀池，使雨水经沉淀后排放，尽力减少施工期水土流失。</w:t>
      </w:r>
    </w:p>
    <w:p w14:paraId="0DC2332E">
      <w:pPr>
        <w:spacing w:line="228" w:lineRule="auto"/>
        <w:ind w:left="490"/>
        <w:rPr>
          <w:rFonts w:ascii="宋体" w:hAnsi="宋体" w:eastAsia="宋体" w:cs="宋体"/>
          <w:sz w:val="23"/>
          <w:szCs w:val="23"/>
        </w:rPr>
      </w:pPr>
      <w:r>
        <w:rPr>
          <w:rFonts w:ascii="宋体" w:hAnsi="宋体" w:eastAsia="宋体" w:cs="宋体"/>
          <w:spacing w:val="16"/>
          <w:sz w:val="23"/>
          <w:szCs w:val="23"/>
        </w:rPr>
        <w:t>通</w:t>
      </w:r>
      <w:r>
        <w:rPr>
          <w:rFonts w:ascii="宋体" w:hAnsi="宋体" w:eastAsia="宋体" w:cs="宋体"/>
          <w:spacing w:val="9"/>
          <w:sz w:val="23"/>
          <w:szCs w:val="23"/>
        </w:rPr>
        <w:t>过上述处理后，可有效减小本项目实施对生态环境的影响。</w:t>
      </w:r>
    </w:p>
    <w:p w14:paraId="6E32330A">
      <w:pPr>
        <w:spacing w:before="187" w:line="221" w:lineRule="auto"/>
        <w:ind w:left="5"/>
        <w:outlineLvl w:val="1"/>
        <w:rPr>
          <w:rFonts w:ascii="宋体" w:hAnsi="宋体" w:eastAsia="宋体" w:cs="宋体"/>
          <w:sz w:val="28"/>
          <w:szCs w:val="28"/>
        </w:rPr>
      </w:pPr>
      <w:bookmarkStart w:id="35" w:name="_bookmark36"/>
      <w:bookmarkEnd w:id="35"/>
      <w:r>
        <w:rPr>
          <w:rFonts w:ascii="Times New Roman" w:hAnsi="Times New Roman" w:eastAsia="Times New Roman" w:cs="Times New Roman"/>
          <w:b/>
          <w:bCs/>
          <w:spacing w:val="1"/>
          <w:sz w:val="28"/>
          <w:szCs w:val="28"/>
        </w:rPr>
        <w:t>3.3</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运营期工程分析</w:t>
      </w:r>
    </w:p>
    <w:p w14:paraId="16DD03D7">
      <w:pPr>
        <w:spacing w:before="205" w:line="227" w:lineRule="auto"/>
        <w:ind w:left="4"/>
        <w:outlineLvl w:val="2"/>
        <w:rPr>
          <w:rFonts w:ascii="宋体" w:hAnsi="宋体" w:eastAsia="宋体" w:cs="宋体"/>
          <w:sz w:val="23"/>
          <w:szCs w:val="23"/>
        </w:rPr>
      </w:pPr>
      <w:r>
        <w:rPr>
          <w:rFonts w:ascii="Times New Roman" w:hAnsi="Times New Roman" w:eastAsia="Times New Roman" w:cs="Times New Roman"/>
          <w:b/>
          <w:bCs/>
          <w:spacing w:val="14"/>
          <w:sz w:val="23"/>
          <w:szCs w:val="23"/>
        </w:rPr>
        <w:t>3</w:t>
      </w:r>
      <w:r>
        <w:rPr>
          <w:rFonts w:ascii="Times New Roman" w:hAnsi="Times New Roman" w:eastAsia="Times New Roman" w:cs="Times New Roman"/>
          <w:b/>
          <w:bCs/>
          <w:spacing w:val="12"/>
          <w:sz w:val="23"/>
          <w:szCs w:val="23"/>
        </w:rPr>
        <w:t>.</w:t>
      </w:r>
      <w:r>
        <w:rPr>
          <w:rFonts w:ascii="Times New Roman" w:hAnsi="Times New Roman" w:eastAsia="Times New Roman" w:cs="Times New Roman"/>
          <w:b/>
          <w:bCs/>
          <w:spacing w:val="7"/>
          <w:sz w:val="23"/>
          <w:szCs w:val="23"/>
        </w:rPr>
        <w:t>3.1</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养殖工艺流程及产污环节</w:t>
      </w:r>
    </w:p>
    <w:p w14:paraId="37E916AA">
      <w:pPr>
        <w:spacing w:before="181" w:line="376" w:lineRule="auto"/>
        <w:ind w:left="11" w:right="61" w:firstLine="480"/>
        <w:rPr>
          <w:rFonts w:ascii="宋体" w:hAnsi="宋体" w:eastAsia="宋体" w:cs="宋体"/>
          <w:sz w:val="23"/>
          <w:szCs w:val="23"/>
        </w:rPr>
      </w:pPr>
      <w:r>
        <w:rPr>
          <w:rFonts w:ascii="宋体" w:hAnsi="宋体" w:eastAsia="宋体" w:cs="宋体"/>
          <w:spacing w:val="7"/>
          <w:sz w:val="23"/>
          <w:szCs w:val="23"/>
        </w:rPr>
        <w:t>本项目采取集约化养殖方式，在养殖场地内，采用新的工艺技术措施，通过集中管理饲</w:t>
      </w:r>
      <w:r>
        <w:rPr>
          <w:rFonts w:ascii="宋体" w:hAnsi="宋体" w:eastAsia="宋体" w:cs="宋体"/>
          <w:sz w:val="23"/>
          <w:szCs w:val="23"/>
        </w:rPr>
        <w:t xml:space="preserve"> </w:t>
      </w:r>
      <w:r>
        <w:rPr>
          <w:rFonts w:ascii="宋体" w:hAnsi="宋体" w:eastAsia="宋体" w:cs="宋体"/>
          <w:spacing w:val="5"/>
          <w:sz w:val="23"/>
          <w:szCs w:val="23"/>
        </w:rPr>
        <w:t>养生猪</w:t>
      </w:r>
      <w:r>
        <w:rPr>
          <w:rFonts w:ascii="宋体" w:hAnsi="宋体" w:eastAsia="宋体" w:cs="宋体"/>
          <w:spacing w:val="4"/>
          <w:sz w:val="23"/>
          <w:szCs w:val="23"/>
        </w:rPr>
        <w:t>。</w:t>
      </w:r>
    </w:p>
    <w:p w14:paraId="04173D25">
      <w:pPr>
        <w:spacing w:before="1" w:line="226" w:lineRule="auto"/>
        <w:ind w:left="491"/>
        <w:rPr>
          <w:rFonts w:ascii="宋体" w:hAnsi="宋体" w:eastAsia="宋体" w:cs="宋体"/>
          <w:sz w:val="23"/>
          <w:szCs w:val="23"/>
        </w:rPr>
      </w:pPr>
      <w:r>
        <w:rPr>
          <w:rFonts w:ascii="宋体" w:hAnsi="宋体" w:eastAsia="宋体" w:cs="宋体"/>
          <w:spacing w:val="13"/>
          <w:sz w:val="23"/>
          <w:szCs w:val="23"/>
        </w:rPr>
        <w:t>本</w:t>
      </w:r>
      <w:r>
        <w:rPr>
          <w:rFonts w:ascii="宋体" w:hAnsi="宋体" w:eastAsia="宋体" w:cs="宋体"/>
          <w:spacing w:val="8"/>
          <w:sz w:val="23"/>
          <w:szCs w:val="23"/>
        </w:rPr>
        <w:t>项目养殖工艺流程如下示：</w:t>
      </w:r>
    </w:p>
    <w:p w14:paraId="0A916F90">
      <w:pPr>
        <w:spacing w:line="268" w:lineRule="auto"/>
      </w:pPr>
    </w:p>
    <w:p w14:paraId="0871A6DB">
      <w:pPr>
        <w:spacing w:line="268" w:lineRule="auto"/>
      </w:pPr>
    </w:p>
    <w:p w14:paraId="0B1AD43D">
      <w:pPr>
        <w:spacing w:line="268" w:lineRule="auto"/>
      </w:pPr>
    </w:p>
    <w:p w14:paraId="1F4CCFE0">
      <w:pPr>
        <w:spacing w:line="268" w:lineRule="auto"/>
      </w:pPr>
    </w:p>
    <w:p w14:paraId="60CF8230">
      <w:pPr>
        <w:spacing w:line="269" w:lineRule="auto"/>
      </w:pPr>
    </w:p>
    <w:p w14:paraId="13C26606">
      <w:pPr>
        <w:spacing w:before="75" w:line="229" w:lineRule="auto"/>
        <w:ind w:left="3501"/>
        <w:rPr>
          <w:rFonts w:ascii="黑体" w:hAnsi="黑体" w:eastAsia="黑体" w:cs="黑体"/>
          <w:sz w:val="23"/>
          <w:szCs w:val="23"/>
        </w:rPr>
      </w:pPr>
      <w:r>
        <w:rPr>
          <w:rFonts w:ascii="黑体" w:hAnsi="黑体" w:eastAsia="黑体" w:cs="黑体"/>
          <w:spacing w:val="4"/>
          <w:sz w:val="23"/>
          <w:szCs w:val="23"/>
        </w:rPr>
        <w:t>图</w:t>
      </w:r>
      <w:r>
        <w:rPr>
          <w:rFonts w:ascii="Times New Roman" w:hAnsi="Times New Roman" w:eastAsia="Times New Roman" w:cs="Times New Roman"/>
          <w:spacing w:val="4"/>
          <w:sz w:val="23"/>
          <w:szCs w:val="23"/>
        </w:rPr>
        <w:t>3.3</w:t>
      </w:r>
      <w:r>
        <w:rPr>
          <w:rFonts w:ascii="Times New Roman" w:hAnsi="Times New Roman" w:eastAsia="Times New Roman" w:cs="Times New Roman"/>
          <w:spacing w:val="2"/>
          <w:sz w:val="23"/>
          <w:szCs w:val="23"/>
        </w:rPr>
        <w:t xml:space="preserve">- 1  </w:t>
      </w:r>
      <w:r>
        <w:rPr>
          <w:rFonts w:ascii="黑体" w:hAnsi="黑体" w:eastAsia="黑体" w:cs="黑体"/>
          <w:spacing w:val="2"/>
          <w:sz w:val="23"/>
          <w:szCs w:val="23"/>
        </w:rPr>
        <w:t>育肥猪饲养工艺流程</w:t>
      </w:r>
    </w:p>
    <w:p w14:paraId="23D0ADF4">
      <w:pPr>
        <w:spacing w:before="182" w:line="373" w:lineRule="auto"/>
        <w:ind w:left="14" w:right="30" w:firstLine="475"/>
        <w:rPr>
          <w:rFonts w:ascii="Times New Roman" w:hAnsi="Times New Roman" w:eastAsia="Times New Roman" w:cs="Times New Roman"/>
          <w:sz w:val="23"/>
          <w:szCs w:val="23"/>
        </w:rPr>
      </w:pPr>
      <w:r>
        <w:rPr>
          <w:rFonts w:ascii="宋体" w:hAnsi="宋体" w:eastAsia="宋体" w:cs="宋体"/>
          <w:spacing w:val="24"/>
          <w:sz w:val="23"/>
          <w:szCs w:val="23"/>
          <w14:textOutline w14:w="4356" w14:cap="sq" w14:cmpd="sng" w14:algn="ctr">
            <w14:solidFill>
              <w14:srgbClr w14:val="000000"/>
            </w14:solidFill>
            <w14:prstDash w14:val="solid"/>
            <w14:bevel/>
          </w14:textOutline>
        </w:rPr>
        <w:t>仔</w:t>
      </w:r>
      <w:r>
        <w:rPr>
          <w:rFonts w:ascii="宋体" w:hAnsi="宋体" w:eastAsia="宋体" w:cs="宋体"/>
          <w:spacing w:val="14"/>
          <w:sz w:val="23"/>
          <w:szCs w:val="23"/>
          <w14:textOutline w14:w="4356" w14:cap="sq" w14:cmpd="sng" w14:algn="ctr">
            <w14:solidFill>
              <w14:srgbClr w14:val="000000"/>
            </w14:solidFill>
            <w14:prstDash w14:val="solid"/>
            <w14:bevel/>
          </w14:textOutline>
        </w:rPr>
        <w:t>猪育肥分为两种，一种为企业自身繁殖的仔猪，一种为外购仔猪。本项目采取仔猪</w:t>
      </w:r>
      <w:r>
        <w:rPr>
          <w:rFonts w:ascii="宋体" w:hAnsi="宋体" w:eastAsia="宋体" w:cs="宋体"/>
          <w:sz w:val="23"/>
          <w:szCs w:val="23"/>
        </w:rPr>
        <w:t xml:space="preserve"> </w:t>
      </w:r>
      <w:r>
        <w:rPr>
          <w:rFonts w:ascii="宋体" w:hAnsi="宋体" w:eastAsia="宋体" w:cs="宋体"/>
          <w:spacing w:val="-1"/>
          <w:sz w:val="23"/>
          <w:szCs w:val="23"/>
          <w14:textOutline w14:w="4356" w14:cap="sq" w14:cmpd="sng" w14:algn="ctr">
            <w14:solidFill>
              <w14:srgbClr w14:val="000000"/>
            </w14:solidFill>
            <w14:prstDash w14:val="solid"/>
            <w14:bevel/>
          </w14:textOutline>
        </w:rPr>
        <w:t>外购，主要来源于正</w:t>
      </w:r>
      <w:r>
        <w:rPr>
          <w:rFonts w:ascii="宋体" w:hAnsi="宋体" w:eastAsia="宋体" w:cs="宋体"/>
          <w:sz w:val="23"/>
          <w:szCs w:val="23"/>
          <w14:textOutline w14:w="4356" w14:cap="sq" w14:cmpd="sng" w14:algn="ctr">
            <w14:solidFill>
              <w14:srgbClr w14:val="000000"/>
            </w14:solidFill>
            <w14:prstDash w14:val="solid"/>
            <w14:bevel/>
          </w14:textOutline>
        </w:rPr>
        <w:t>邦集团，仔猪</w:t>
      </w:r>
      <w:r>
        <w:rPr>
          <w:rFonts w:ascii="宋体" w:hAnsi="宋体" w:eastAsia="宋体" w:cs="宋体"/>
          <w:sz w:val="23"/>
          <w:szCs w:val="23"/>
        </w:rPr>
        <w:t xml:space="preserve"> </w:t>
      </w:r>
      <w:r>
        <w:rPr>
          <w:rFonts w:ascii="Times New Roman" w:hAnsi="Times New Roman" w:eastAsia="Times New Roman" w:cs="Times New Roman"/>
          <w:b/>
          <w:bCs/>
          <w:sz w:val="23"/>
          <w:szCs w:val="23"/>
        </w:rPr>
        <w:t>10~20kg</w:t>
      </w:r>
      <w:r>
        <w:rPr>
          <w:rFonts w:ascii="Times New Roman" w:hAnsi="Times New Roman" w:eastAsia="Times New Roman" w:cs="Times New Roman"/>
          <w:sz w:val="23"/>
          <w:szCs w:val="23"/>
        </w:rPr>
        <w:t xml:space="preserve"> </w:t>
      </w:r>
      <w:r>
        <w:rPr>
          <w:rFonts w:ascii="宋体" w:hAnsi="宋体" w:eastAsia="宋体" w:cs="宋体"/>
          <w:sz w:val="23"/>
          <w:szCs w:val="23"/>
          <w14:textOutline w14:w="4356" w14:cap="sq" w14:cmpd="sng" w14:algn="ctr">
            <w14:solidFill>
              <w14:srgbClr w14:val="000000"/>
            </w14:solidFill>
            <w14:prstDash w14:val="solid"/>
            <w14:bevel/>
          </w14:textOutline>
        </w:rPr>
        <w:t>进场，在项目地进行育肥养殖，养殖至</w:t>
      </w:r>
      <w:r>
        <w:rPr>
          <w:rFonts w:ascii="宋体" w:hAnsi="宋体" w:eastAsia="宋体" w:cs="宋体"/>
          <w:sz w:val="23"/>
          <w:szCs w:val="23"/>
        </w:rPr>
        <w:t xml:space="preserve"> </w:t>
      </w:r>
      <w:r>
        <w:rPr>
          <w:rFonts w:ascii="Times New Roman" w:hAnsi="Times New Roman" w:eastAsia="Times New Roman" w:cs="Times New Roman"/>
          <w:b/>
          <w:bCs/>
          <w:sz w:val="23"/>
          <w:szCs w:val="23"/>
        </w:rPr>
        <w:t>150~170kg</w:t>
      </w:r>
    </w:p>
    <w:p w14:paraId="17AE1ED8">
      <w:pPr>
        <w:spacing w:before="5" w:line="468" w:lineRule="exact"/>
        <w:ind w:left="12"/>
        <w:rPr>
          <w:rFonts w:ascii="宋体" w:hAnsi="宋体" w:eastAsia="宋体" w:cs="宋体"/>
          <w:sz w:val="23"/>
          <w:szCs w:val="23"/>
        </w:rPr>
      </w:pPr>
      <w:r>
        <w:rPr>
          <w:rFonts w:ascii="宋体" w:hAnsi="宋体" w:eastAsia="宋体" w:cs="宋体"/>
          <w:spacing w:val="18"/>
          <w:position w:val="17"/>
          <w:sz w:val="23"/>
          <w:szCs w:val="23"/>
          <w14:textOutline w14:w="4356" w14:cap="sq" w14:cmpd="sng" w14:algn="ctr">
            <w14:solidFill>
              <w14:srgbClr w14:val="000000"/>
            </w14:solidFill>
            <w14:prstDash w14:val="solid"/>
            <w14:bevel/>
          </w14:textOutline>
        </w:rPr>
        <w:t>后</w:t>
      </w:r>
      <w:r>
        <w:rPr>
          <w:rFonts w:ascii="宋体" w:hAnsi="宋体" w:eastAsia="宋体" w:cs="宋体"/>
          <w:spacing w:val="14"/>
          <w:position w:val="17"/>
          <w:sz w:val="23"/>
          <w:szCs w:val="23"/>
          <w14:textOutline w14:w="4356" w14:cap="sq" w14:cmpd="sng" w14:algn="ctr">
            <w14:solidFill>
              <w14:srgbClr w14:val="000000"/>
            </w14:solidFill>
            <w14:prstDash w14:val="solid"/>
            <w14:bevel/>
          </w14:textOutline>
        </w:rPr>
        <w:t>外</w:t>
      </w:r>
      <w:r>
        <w:rPr>
          <w:rFonts w:ascii="宋体" w:hAnsi="宋体" w:eastAsia="宋体" w:cs="宋体"/>
          <w:spacing w:val="9"/>
          <w:position w:val="17"/>
          <w:sz w:val="23"/>
          <w:szCs w:val="23"/>
          <w14:textOutline w14:w="4356" w14:cap="sq" w14:cmpd="sng" w14:algn="ctr">
            <w14:solidFill>
              <w14:srgbClr w14:val="000000"/>
            </w14:solidFill>
            <w14:prstDash w14:val="solid"/>
            <w14:bevel/>
          </w14:textOutline>
        </w:rPr>
        <w:t>卖。项目不在养殖场内进行仔猪繁殖。</w:t>
      </w:r>
    </w:p>
    <w:p w14:paraId="0DE1F699">
      <w:pPr>
        <w:spacing w:before="1" w:line="226" w:lineRule="auto"/>
        <w:ind w:left="19"/>
        <w:rPr>
          <w:rFonts w:ascii="宋体" w:hAnsi="宋体" w:eastAsia="宋体" w:cs="宋体"/>
          <w:sz w:val="23"/>
          <w:szCs w:val="23"/>
        </w:rPr>
      </w:pPr>
      <w:r>
        <w:rPr>
          <w:rFonts w:ascii="宋体" w:hAnsi="宋体" w:eastAsia="宋体" w:cs="宋体"/>
          <w:spacing w:val="12"/>
          <w:sz w:val="23"/>
          <w:szCs w:val="23"/>
          <w14:textOutline w14:w="4356" w14:cap="sq" w14:cmpd="sng" w14:algn="ctr">
            <w14:solidFill>
              <w14:srgbClr w14:val="000000"/>
            </w14:solidFill>
            <w14:prstDash w14:val="solid"/>
            <w14:bevel/>
          </w14:textOutline>
        </w:rPr>
        <w:t>育</w:t>
      </w:r>
      <w:r>
        <w:rPr>
          <w:rFonts w:ascii="宋体" w:hAnsi="宋体" w:eastAsia="宋体" w:cs="宋体"/>
          <w:spacing w:val="8"/>
          <w:sz w:val="23"/>
          <w:szCs w:val="23"/>
          <w14:textOutline w14:w="4356" w14:cap="sq" w14:cmpd="sng" w14:algn="ctr">
            <w14:solidFill>
              <w14:srgbClr w14:val="000000"/>
            </w14:solidFill>
            <w14:prstDash w14:val="solid"/>
            <w14:bevel/>
          </w14:textOutline>
        </w:rPr>
        <w:t>肥猪饲养工艺流程介绍：</w:t>
      </w:r>
    </w:p>
    <w:p w14:paraId="30BE12EA">
      <w:pPr>
        <w:spacing w:before="183" w:line="468" w:lineRule="exact"/>
        <w:ind w:left="499"/>
        <w:rPr>
          <w:rFonts w:ascii="宋体" w:hAnsi="宋体" w:eastAsia="宋体" w:cs="宋体"/>
          <w:sz w:val="23"/>
          <w:szCs w:val="23"/>
        </w:rPr>
      </w:pPr>
      <w:r>
        <w:rPr>
          <w:rFonts w:ascii="宋体" w:hAnsi="宋体" w:eastAsia="宋体" w:cs="宋体"/>
          <w:spacing w:val="7"/>
          <w:position w:val="17"/>
          <w:sz w:val="23"/>
          <w:szCs w:val="23"/>
        </w:rPr>
        <w:t>育肥舍在进猪前应进行维修和彻底地冲洗、消毒。进猪后保持舍内清洁、干燥、通风</w:t>
      </w:r>
      <w:r>
        <w:rPr>
          <w:rFonts w:ascii="宋体" w:hAnsi="宋体" w:eastAsia="宋体" w:cs="宋体"/>
          <w:spacing w:val="1"/>
          <w:position w:val="17"/>
          <w:sz w:val="23"/>
          <w:szCs w:val="23"/>
        </w:rPr>
        <w:t>良</w:t>
      </w:r>
    </w:p>
    <w:p w14:paraId="06E871DA">
      <w:pPr>
        <w:spacing w:line="227" w:lineRule="auto"/>
        <w:ind w:left="10"/>
        <w:rPr>
          <w:rFonts w:ascii="宋体" w:hAnsi="宋体" w:eastAsia="宋体" w:cs="宋体"/>
          <w:sz w:val="23"/>
          <w:szCs w:val="23"/>
        </w:rPr>
      </w:pPr>
      <w:r>
        <w:rPr>
          <w:rFonts w:ascii="宋体" w:hAnsi="宋体" w:eastAsia="宋体" w:cs="宋体"/>
          <w:spacing w:val="12"/>
          <w:sz w:val="23"/>
          <w:szCs w:val="23"/>
        </w:rPr>
        <w:t>好、饮</w:t>
      </w:r>
      <w:r>
        <w:rPr>
          <w:rFonts w:ascii="宋体" w:hAnsi="宋体" w:eastAsia="宋体" w:cs="宋体"/>
          <w:spacing w:val="11"/>
          <w:sz w:val="23"/>
          <w:szCs w:val="23"/>
        </w:rPr>
        <w:t>水</w:t>
      </w:r>
      <w:r>
        <w:rPr>
          <w:rFonts w:ascii="宋体" w:hAnsi="宋体" w:eastAsia="宋体" w:cs="宋体"/>
          <w:spacing w:val="6"/>
          <w:sz w:val="23"/>
          <w:szCs w:val="23"/>
        </w:rPr>
        <w:t xml:space="preserve">充足，温度控制在 </w:t>
      </w:r>
      <w:r>
        <w:rPr>
          <w:rFonts w:ascii="Times New Roman" w:hAnsi="Times New Roman" w:eastAsia="Times New Roman" w:cs="Times New Roman"/>
          <w:spacing w:val="6"/>
          <w:sz w:val="23"/>
          <w:szCs w:val="23"/>
        </w:rPr>
        <w:t>18</w:t>
      </w:r>
      <w:r>
        <w:rPr>
          <w:rFonts w:ascii="宋体" w:hAnsi="宋体" w:eastAsia="宋体" w:cs="宋体"/>
          <w:spacing w:val="6"/>
          <w:sz w:val="23"/>
          <w:szCs w:val="23"/>
        </w:rPr>
        <w:t>~</w:t>
      </w:r>
      <w:r>
        <w:rPr>
          <w:rFonts w:ascii="Times New Roman" w:hAnsi="Times New Roman" w:eastAsia="Times New Roman" w:cs="Times New Roman"/>
          <w:spacing w:val="6"/>
          <w:sz w:val="23"/>
          <w:szCs w:val="23"/>
        </w:rPr>
        <w:t>22</w:t>
      </w:r>
      <w:r>
        <w:rPr>
          <w:rFonts w:ascii="宋体" w:hAnsi="宋体" w:eastAsia="宋体" w:cs="宋体"/>
          <w:spacing w:val="6"/>
          <w:sz w:val="23"/>
          <w:szCs w:val="23"/>
        </w:rPr>
        <w:t>℃ ，夏季注意防暑降温。每月要定期称重， 以检查饲喂</w:t>
      </w:r>
    </w:p>
    <w:p w14:paraId="1E647FAE">
      <w:pPr>
        <w:sectPr>
          <w:headerReference r:id="rId98" w:type="default"/>
          <w:footerReference r:id="rId99" w:type="default"/>
          <w:pgSz w:w="11907" w:h="16840"/>
          <w:pgMar w:top="829" w:right="1071" w:bottom="1139" w:left="1275" w:header="595" w:footer="953" w:gutter="0"/>
          <w:cols w:space="720" w:num="1"/>
        </w:sectPr>
      </w:pPr>
    </w:p>
    <w:p w14:paraId="1082F4A1">
      <w:pPr>
        <w:spacing w:before="147" w:line="374" w:lineRule="auto"/>
        <w:ind w:left="11" w:right="80" w:firstLine="4"/>
        <w:rPr>
          <w:rFonts w:ascii="宋体" w:hAnsi="宋体" w:eastAsia="宋体" w:cs="宋体"/>
          <w:sz w:val="23"/>
          <w:szCs w:val="23"/>
        </w:rPr>
      </w:pPr>
      <w:r>
        <w:rPr>
          <w:rFonts w:ascii="宋体" w:hAnsi="宋体" w:eastAsia="宋体" w:cs="宋体"/>
          <w:spacing w:val="8"/>
          <w:sz w:val="23"/>
          <w:szCs w:val="23"/>
        </w:rPr>
        <w:t>效</w:t>
      </w:r>
      <w:r>
        <w:rPr>
          <w:rFonts w:ascii="宋体" w:hAnsi="宋体" w:eastAsia="宋体" w:cs="宋体"/>
          <w:spacing w:val="7"/>
          <w:sz w:val="23"/>
          <w:szCs w:val="23"/>
        </w:rPr>
        <w:t>果，外购颗粒饲料可直接投喂，项目不再场内进行饲料加工。经常检查猪群的采食、发育</w:t>
      </w:r>
      <w:r>
        <w:rPr>
          <w:rFonts w:ascii="宋体" w:hAnsi="宋体" w:eastAsia="宋体" w:cs="宋体"/>
          <w:sz w:val="23"/>
          <w:szCs w:val="23"/>
        </w:rPr>
        <w:t xml:space="preserve"> </w:t>
      </w:r>
      <w:r>
        <w:rPr>
          <w:rFonts w:ascii="宋体" w:hAnsi="宋体" w:eastAsia="宋体" w:cs="宋体"/>
          <w:spacing w:val="13"/>
          <w:sz w:val="23"/>
          <w:szCs w:val="23"/>
        </w:rPr>
        <w:t>等</w:t>
      </w:r>
      <w:r>
        <w:rPr>
          <w:rFonts w:ascii="宋体" w:hAnsi="宋体" w:eastAsia="宋体" w:cs="宋体"/>
          <w:spacing w:val="7"/>
          <w:sz w:val="23"/>
          <w:szCs w:val="23"/>
        </w:rPr>
        <w:t>情况，及时调整饲料配方，发现疫病及时报告，采取有效措施进行治疗和处理。商品猪体</w:t>
      </w:r>
      <w:r>
        <w:rPr>
          <w:rFonts w:ascii="宋体" w:hAnsi="宋体" w:eastAsia="宋体" w:cs="宋体"/>
          <w:sz w:val="23"/>
          <w:szCs w:val="23"/>
        </w:rPr>
        <w:t xml:space="preserve"> </w:t>
      </w:r>
      <w:r>
        <w:rPr>
          <w:rFonts w:ascii="宋体" w:hAnsi="宋体" w:eastAsia="宋体" w:cs="宋体"/>
          <w:spacing w:val="1"/>
          <w:sz w:val="23"/>
          <w:szCs w:val="23"/>
        </w:rPr>
        <w:t xml:space="preserve">重达 </w:t>
      </w:r>
      <w:r>
        <w:rPr>
          <w:rFonts w:ascii="Times New Roman" w:hAnsi="Times New Roman" w:eastAsia="Times New Roman" w:cs="Times New Roman"/>
          <w:spacing w:val="1"/>
          <w:sz w:val="23"/>
          <w:szCs w:val="23"/>
        </w:rPr>
        <w:t>110~ 120</w:t>
      </w:r>
      <w:r>
        <w:rPr>
          <w:rFonts w:ascii="Times New Roman" w:hAnsi="Times New Roman" w:eastAsia="Times New Roman" w:cs="Times New Roman"/>
          <w:sz w:val="23"/>
          <w:szCs w:val="23"/>
        </w:rPr>
        <w:t>kg</w:t>
      </w:r>
      <w:r>
        <w:rPr>
          <w:rFonts w:ascii="Times New Roman" w:hAnsi="Times New Roman" w:eastAsia="Times New Roman" w:cs="Times New Roman"/>
          <w:spacing w:val="1"/>
          <w:sz w:val="23"/>
          <w:szCs w:val="23"/>
        </w:rPr>
        <w:t xml:space="preserve"> </w:t>
      </w:r>
      <w:r>
        <w:rPr>
          <w:rFonts w:ascii="宋体" w:hAnsi="宋体" w:eastAsia="宋体" w:cs="宋体"/>
          <w:sz w:val="23"/>
          <w:szCs w:val="23"/>
        </w:rPr>
        <w:t>时及时出栏上市。</w:t>
      </w:r>
    </w:p>
    <w:p w14:paraId="0AEF83BB">
      <w:pPr>
        <w:spacing w:before="1" w:line="375" w:lineRule="auto"/>
        <w:ind w:left="9" w:right="85" w:firstLine="491"/>
        <w:rPr>
          <w:rFonts w:ascii="宋体" w:hAnsi="宋体" w:eastAsia="宋体" w:cs="宋体"/>
          <w:sz w:val="23"/>
          <w:szCs w:val="23"/>
        </w:rPr>
      </w:pPr>
      <w:r>
        <w:rPr>
          <w:rFonts w:ascii="宋体" w:hAnsi="宋体" w:eastAsia="宋体" w:cs="宋体"/>
          <w:spacing w:val="13"/>
          <w:sz w:val="23"/>
          <w:szCs w:val="23"/>
        </w:rPr>
        <w:t>项目饲养期间应保持圈舍的卫生清洁。每天清理圈内粪便，定期对场地内以及圈舍等</w:t>
      </w:r>
      <w:r>
        <w:rPr>
          <w:rFonts w:ascii="宋体" w:hAnsi="宋体" w:eastAsia="宋体" w:cs="宋体"/>
          <w:sz w:val="23"/>
          <w:szCs w:val="23"/>
        </w:rPr>
        <w:t xml:space="preserve"> </w:t>
      </w:r>
      <w:r>
        <w:rPr>
          <w:rFonts w:ascii="宋体" w:hAnsi="宋体" w:eastAsia="宋体" w:cs="宋体"/>
          <w:spacing w:val="19"/>
          <w:sz w:val="23"/>
          <w:szCs w:val="23"/>
        </w:rPr>
        <w:t>采</w:t>
      </w:r>
      <w:r>
        <w:rPr>
          <w:rFonts w:ascii="宋体" w:hAnsi="宋体" w:eastAsia="宋体" w:cs="宋体"/>
          <w:spacing w:val="12"/>
          <w:sz w:val="23"/>
          <w:szCs w:val="23"/>
        </w:rPr>
        <w:t>用消毒剂进行消毒，消毒方法如下：</w:t>
      </w:r>
    </w:p>
    <w:p w14:paraId="219D5C1A">
      <w:pPr>
        <w:spacing w:line="227" w:lineRule="auto"/>
        <w:ind w:left="50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1</w:t>
      </w:r>
      <w:r>
        <w:rPr>
          <w:rFonts w:ascii="宋体" w:hAnsi="宋体" w:eastAsia="宋体" w:cs="宋体"/>
          <w:spacing w:val="20"/>
          <w:sz w:val="23"/>
          <w:szCs w:val="23"/>
        </w:rPr>
        <w:t>) 猪舍消</w:t>
      </w:r>
      <w:r>
        <w:rPr>
          <w:rFonts w:ascii="宋体" w:hAnsi="宋体" w:eastAsia="宋体" w:cs="宋体"/>
          <w:spacing w:val="19"/>
          <w:sz w:val="23"/>
          <w:szCs w:val="23"/>
        </w:rPr>
        <w:t>毒</w:t>
      </w:r>
    </w:p>
    <w:p w14:paraId="2CE309A5">
      <w:pPr>
        <w:spacing w:before="180" w:line="375" w:lineRule="auto"/>
        <w:ind w:left="11" w:right="80" w:firstLine="479"/>
        <w:rPr>
          <w:rFonts w:ascii="宋体" w:hAnsi="宋体" w:eastAsia="宋体" w:cs="宋体"/>
          <w:sz w:val="23"/>
          <w:szCs w:val="23"/>
        </w:rPr>
      </w:pPr>
      <w:r>
        <w:rPr>
          <w:rFonts w:ascii="宋体" w:hAnsi="宋体" w:eastAsia="宋体" w:cs="宋体"/>
          <w:spacing w:val="8"/>
          <w:sz w:val="23"/>
          <w:szCs w:val="23"/>
        </w:rPr>
        <w:t>猪</w:t>
      </w:r>
      <w:r>
        <w:rPr>
          <w:rFonts w:ascii="宋体" w:hAnsi="宋体" w:eastAsia="宋体" w:cs="宋体"/>
          <w:spacing w:val="7"/>
          <w:sz w:val="23"/>
          <w:szCs w:val="23"/>
        </w:rPr>
        <w:t>舍建设做到合理布局，建立消毒隔离带。不同日龄的猪群应分舍饲养，不得混养。实</w:t>
      </w:r>
      <w:r>
        <w:rPr>
          <w:rFonts w:ascii="宋体" w:hAnsi="宋体" w:eastAsia="宋体" w:cs="宋体"/>
          <w:sz w:val="23"/>
          <w:szCs w:val="23"/>
        </w:rPr>
        <w:t xml:space="preserve"> </w:t>
      </w:r>
      <w:r>
        <w:rPr>
          <w:rFonts w:ascii="宋体" w:hAnsi="宋体" w:eastAsia="宋体" w:cs="宋体"/>
          <w:spacing w:val="14"/>
          <w:sz w:val="23"/>
          <w:szCs w:val="23"/>
        </w:rPr>
        <w:t>行整场</w:t>
      </w:r>
      <w:r>
        <w:rPr>
          <w:rFonts w:ascii="宋体" w:hAnsi="宋体" w:eastAsia="宋体" w:cs="宋体"/>
          <w:spacing w:val="11"/>
          <w:sz w:val="23"/>
          <w:szCs w:val="23"/>
        </w:rPr>
        <w:t>或</w:t>
      </w:r>
      <w:r>
        <w:rPr>
          <w:rFonts w:ascii="宋体" w:hAnsi="宋体" w:eastAsia="宋体" w:cs="宋体"/>
          <w:spacing w:val="7"/>
          <w:sz w:val="23"/>
          <w:szCs w:val="23"/>
        </w:rPr>
        <w:t>整舍的</w:t>
      </w:r>
      <w:r>
        <w:rPr>
          <w:rFonts w:ascii="Times New Roman" w:hAnsi="Times New Roman" w:eastAsia="Times New Roman" w:cs="Times New Roman"/>
          <w:spacing w:val="7"/>
          <w:sz w:val="23"/>
          <w:szCs w:val="23"/>
        </w:rPr>
        <w:t>“</w:t>
      </w:r>
      <w:r>
        <w:rPr>
          <w:rFonts w:ascii="宋体" w:hAnsi="宋体" w:eastAsia="宋体" w:cs="宋体"/>
          <w:spacing w:val="7"/>
          <w:sz w:val="23"/>
          <w:szCs w:val="23"/>
        </w:rPr>
        <w:t>全进全出</w:t>
      </w:r>
      <w:r>
        <w:rPr>
          <w:rFonts w:ascii="Times New Roman" w:hAnsi="Times New Roman" w:eastAsia="Times New Roman" w:cs="Times New Roman"/>
          <w:spacing w:val="7"/>
          <w:sz w:val="23"/>
          <w:szCs w:val="23"/>
        </w:rPr>
        <w:t>”</w:t>
      </w:r>
      <w:r>
        <w:rPr>
          <w:rFonts w:ascii="宋体" w:hAnsi="宋体" w:eastAsia="宋体" w:cs="宋体"/>
          <w:spacing w:val="7"/>
          <w:sz w:val="23"/>
          <w:szCs w:val="23"/>
        </w:rPr>
        <w:t>猪群周转制度，每次猪只出栏后的猪舍空栏进行彻底冲洗和消毒</w:t>
      </w:r>
      <w:r>
        <w:rPr>
          <w:rFonts w:ascii="宋体" w:hAnsi="宋体" w:eastAsia="宋体" w:cs="宋体"/>
          <w:sz w:val="23"/>
          <w:szCs w:val="23"/>
        </w:rPr>
        <w:t xml:space="preserve"> </w:t>
      </w:r>
      <w:r>
        <w:rPr>
          <w:rFonts w:ascii="宋体" w:hAnsi="宋体" w:eastAsia="宋体" w:cs="宋体"/>
          <w:spacing w:val="13"/>
          <w:sz w:val="23"/>
          <w:szCs w:val="23"/>
        </w:rPr>
        <w:t>一</w:t>
      </w:r>
      <w:r>
        <w:rPr>
          <w:rFonts w:ascii="宋体" w:hAnsi="宋体" w:eastAsia="宋体" w:cs="宋体"/>
          <w:spacing w:val="7"/>
          <w:sz w:val="23"/>
          <w:szCs w:val="23"/>
        </w:rPr>
        <w:t>次，消毒方式为猪舍冲洗干净后，将消毒液喷洒于猪舍内。养猪工作人员必须更换舍内工</w:t>
      </w:r>
      <w:r>
        <w:rPr>
          <w:rFonts w:ascii="宋体" w:hAnsi="宋体" w:eastAsia="宋体" w:cs="宋体"/>
          <w:sz w:val="23"/>
          <w:szCs w:val="23"/>
        </w:rPr>
        <w:t xml:space="preserve"> </w:t>
      </w:r>
      <w:r>
        <w:rPr>
          <w:rFonts w:ascii="宋体" w:hAnsi="宋体" w:eastAsia="宋体" w:cs="宋体"/>
          <w:spacing w:val="16"/>
          <w:sz w:val="23"/>
          <w:szCs w:val="23"/>
        </w:rPr>
        <w:t>作</w:t>
      </w:r>
      <w:r>
        <w:rPr>
          <w:rFonts w:ascii="宋体" w:hAnsi="宋体" w:eastAsia="宋体" w:cs="宋体"/>
          <w:spacing w:val="11"/>
          <w:sz w:val="23"/>
          <w:szCs w:val="23"/>
        </w:rPr>
        <w:t>服</w:t>
      </w:r>
      <w:r>
        <w:rPr>
          <w:rFonts w:ascii="宋体" w:hAnsi="宋体" w:eastAsia="宋体" w:cs="宋体"/>
          <w:spacing w:val="8"/>
          <w:sz w:val="23"/>
          <w:szCs w:val="23"/>
        </w:rPr>
        <w:t>和消毒工作鞋后方可进入猪场。</w:t>
      </w:r>
    </w:p>
    <w:p w14:paraId="1CF5BB43">
      <w:pPr>
        <w:spacing w:line="227" w:lineRule="auto"/>
        <w:ind w:left="501"/>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8"/>
          <w:sz w:val="23"/>
          <w:szCs w:val="23"/>
        </w:rPr>
        <w:t>2</w:t>
      </w:r>
      <w:r>
        <w:rPr>
          <w:rFonts w:ascii="宋体" w:hAnsi="宋体" w:eastAsia="宋体" w:cs="宋体"/>
          <w:spacing w:val="18"/>
          <w:sz w:val="23"/>
          <w:szCs w:val="23"/>
        </w:rPr>
        <w:t>) 猪的消毒防</w:t>
      </w:r>
      <w:r>
        <w:rPr>
          <w:rFonts w:ascii="宋体" w:hAnsi="宋体" w:eastAsia="宋体" w:cs="宋体"/>
          <w:spacing w:val="17"/>
          <w:sz w:val="23"/>
          <w:szCs w:val="23"/>
        </w:rPr>
        <w:t>疫</w:t>
      </w:r>
    </w:p>
    <w:p w14:paraId="1A1DB549">
      <w:pPr>
        <w:spacing w:before="184" w:line="375" w:lineRule="auto"/>
        <w:ind w:left="10" w:firstLine="480"/>
        <w:rPr>
          <w:rFonts w:ascii="宋体" w:hAnsi="宋体" w:eastAsia="宋体" w:cs="宋体"/>
          <w:sz w:val="23"/>
          <w:szCs w:val="23"/>
        </w:rPr>
      </w:pPr>
      <w:r>
        <w:rPr>
          <w:rFonts w:ascii="宋体" w:hAnsi="宋体" w:eastAsia="宋体" w:cs="宋体"/>
          <w:spacing w:val="8"/>
          <w:sz w:val="23"/>
          <w:szCs w:val="23"/>
        </w:rPr>
        <w:t>猪舍</w:t>
      </w:r>
      <w:r>
        <w:rPr>
          <w:rFonts w:ascii="宋体" w:hAnsi="宋体" w:eastAsia="宋体" w:cs="宋体"/>
          <w:spacing w:val="7"/>
          <w:sz w:val="23"/>
          <w:szCs w:val="23"/>
        </w:rPr>
        <w:t>每</w:t>
      </w:r>
      <w:r>
        <w:rPr>
          <w:rFonts w:ascii="宋体" w:hAnsi="宋体" w:eastAsia="宋体" w:cs="宋体"/>
          <w:spacing w:val="4"/>
          <w:sz w:val="23"/>
          <w:szCs w:val="23"/>
        </w:rPr>
        <w:t xml:space="preserve">周使用 </w:t>
      </w:r>
      <w:r>
        <w:rPr>
          <w:rFonts w:ascii="Times New Roman" w:hAnsi="Times New Roman" w:eastAsia="Times New Roman" w:cs="Times New Roman"/>
          <w:spacing w:val="4"/>
          <w:sz w:val="23"/>
          <w:szCs w:val="23"/>
        </w:rPr>
        <w:t xml:space="preserve">84 </w:t>
      </w:r>
      <w:r>
        <w:rPr>
          <w:rFonts w:ascii="宋体" w:hAnsi="宋体" w:eastAsia="宋体" w:cs="宋体"/>
          <w:spacing w:val="4"/>
          <w:sz w:val="23"/>
          <w:szCs w:val="23"/>
        </w:rPr>
        <w:t>消毒液对猪体喷雾消毒一次，可有效控制猪气喘病、猪萎缩性鼻炎等。</w:t>
      </w:r>
      <w:r>
        <w:rPr>
          <w:rFonts w:ascii="宋体" w:hAnsi="宋体" w:eastAsia="宋体" w:cs="宋体"/>
          <w:sz w:val="23"/>
          <w:szCs w:val="23"/>
        </w:rPr>
        <w:t xml:space="preserve"> </w:t>
      </w:r>
      <w:r>
        <w:rPr>
          <w:rFonts w:ascii="宋体" w:hAnsi="宋体" w:eastAsia="宋体" w:cs="宋体"/>
          <w:spacing w:val="18"/>
          <w:sz w:val="23"/>
          <w:szCs w:val="23"/>
        </w:rPr>
        <w:t>根</w:t>
      </w:r>
      <w:r>
        <w:rPr>
          <w:rFonts w:ascii="宋体" w:hAnsi="宋体" w:eastAsia="宋体" w:cs="宋体"/>
          <w:spacing w:val="14"/>
          <w:sz w:val="23"/>
          <w:szCs w:val="23"/>
        </w:rPr>
        <w:t>据</w:t>
      </w:r>
      <w:r>
        <w:rPr>
          <w:rFonts w:ascii="宋体" w:hAnsi="宋体" w:eastAsia="宋体" w:cs="宋体"/>
          <w:spacing w:val="9"/>
          <w:sz w:val="23"/>
          <w:szCs w:val="23"/>
        </w:rPr>
        <w:t>其他养殖场经验，其效果比抗生素鼻内喷雾和饲料拌喂或疫苗接种更好。</w:t>
      </w:r>
    </w:p>
    <w:p w14:paraId="00C070FD">
      <w:pPr>
        <w:spacing w:before="1" w:line="227" w:lineRule="auto"/>
        <w:ind w:left="501"/>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8"/>
          <w:sz w:val="23"/>
          <w:szCs w:val="23"/>
        </w:rPr>
        <w:t>3</w:t>
      </w:r>
      <w:r>
        <w:rPr>
          <w:rFonts w:ascii="宋体" w:hAnsi="宋体" w:eastAsia="宋体" w:cs="宋体"/>
          <w:spacing w:val="18"/>
          <w:sz w:val="23"/>
          <w:szCs w:val="23"/>
        </w:rPr>
        <w:t>) 猪舍器具消</w:t>
      </w:r>
      <w:r>
        <w:rPr>
          <w:rFonts w:ascii="宋体" w:hAnsi="宋体" w:eastAsia="宋体" w:cs="宋体"/>
          <w:spacing w:val="17"/>
          <w:sz w:val="23"/>
          <w:szCs w:val="23"/>
        </w:rPr>
        <w:t>毒</w:t>
      </w:r>
    </w:p>
    <w:p w14:paraId="71BB479D">
      <w:pPr>
        <w:spacing w:before="182" w:line="227" w:lineRule="auto"/>
        <w:ind w:left="490"/>
        <w:rPr>
          <w:rFonts w:ascii="宋体" w:hAnsi="宋体" w:eastAsia="宋体" w:cs="宋体"/>
          <w:sz w:val="23"/>
          <w:szCs w:val="23"/>
        </w:rPr>
      </w:pPr>
      <w:r>
        <w:rPr>
          <w:rFonts w:ascii="宋体" w:hAnsi="宋体" w:eastAsia="宋体" w:cs="宋体"/>
          <w:spacing w:val="16"/>
          <w:sz w:val="23"/>
          <w:szCs w:val="23"/>
        </w:rPr>
        <w:t>猪饲槽</w:t>
      </w:r>
      <w:r>
        <w:rPr>
          <w:rFonts w:ascii="宋体" w:hAnsi="宋体" w:eastAsia="宋体" w:cs="宋体"/>
          <w:spacing w:val="10"/>
          <w:sz w:val="23"/>
          <w:szCs w:val="23"/>
        </w:rPr>
        <w:t>、</w:t>
      </w:r>
      <w:r>
        <w:rPr>
          <w:rFonts w:ascii="宋体" w:hAnsi="宋体" w:eastAsia="宋体" w:cs="宋体"/>
          <w:spacing w:val="8"/>
          <w:sz w:val="23"/>
          <w:szCs w:val="23"/>
        </w:rPr>
        <w:t>饮水器及其他用具需每天洗刷，并定期进行消毒，运载工具进出需严格消毒。</w:t>
      </w:r>
    </w:p>
    <w:p w14:paraId="38B74A99">
      <w:pPr>
        <w:spacing w:before="186" w:line="227" w:lineRule="auto"/>
        <w:ind w:left="4"/>
        <w:outlineLvl w:val="2"/>
        <w:rPr>
          <w:rFonts w:ascii="宋体" w:hAnsi="宋体" w:eastAsia="宋体" w:cs="宋体"/>
          <w:sz w:val="23"/>
          <w:szCs w:val="23"/>
        </w:rPr>
      </w:pPr>
      <w:r>
        <w:rPr>
          <w:rFonts w:ascii="Times New Roman" w:hAnsi="Times New Roman" w:eastAsia="Times New Roman" w:cs="Times New Roman"/>
          <w:b/>
          <w:bCs/>
          <w:spacing w:val="12"/>
          <w:sz w:val="23"/>
          <w:szCs w:val="23"/>
        </w:rPr>
        <w:t>3</w:t>
      </w:r>
      <w:r>
        <w:rPr>
          <w:rFonts w:ascii="Times New Roman" w:hAnsi="Times New Roman" w:eastAsia="Times New Roman" w:cs="Times New Roman"/>
          <w:b/>
          <w:bCs/>
          <w:spacing w:val="7"/>
          <w:sz w:val="23"/>
          <w:szCs w:val="23"/>
        </w:rPr>
        <w:t>.</w:t>
      </w:r>
      <w:r>
        <w:rPr>
          <w:rFonts w:ascii="Times New Roman" w:hAnsi="Times New Roman" w:eastAsia="Times New Roman" w:cs="Times New Roman"/>
          <w:b/>
          <w:bCs/>
          <w:spacing w:val="6"/>
          <w:sz w:val="23"/>
          <w:szCs w:val="23"/>
        </w:rPr>
        <w:t>3.2</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猪舍清粪工艺</w:t>
      </w:r>
    </w:p>
    <w:p w14:paraId="6AB598A3">
      <w:pPr>
        <w:spacing w:before="137" w:line="387" w:lineRule="auto"/>
        <w:ind w:left="10" w:right="80" w:firstLine="480"/>
        <w:rPr>
          <w:rFonts w:ascii="宋体" w:hAnsi="宋体" w:eastAsia="宋体" w:cs="宋体"/>
          <w:sz w:val="23"/>
          <w:szCs w:val="23"/>
        </w:rPr>
      </w:pPr>
      <w:r>
        <w:rPr>
          <w:rFonts w:ascii="宋体" w:hAnsi="宋体" w:eastAsia="宋体" w:cs="宋体"/>
          <w:spacing w:val="12"/>
          <w:sz w:val="23"/>
          <w:szCs w:val="23"/>
        </w:rPr>
        <w:t>本项</w:t>
      </w:r>
      <w:r>
        <w:rPr>
          <w:rFonts w:ascii="宋体" w:hAnsi="宋体" w:eastAsia="宋体" w:cs="宋体"/>
          <w:spacing w:val="8"/>
          <w:sz w:val="23"/>
          <w:szCs w:val="23"/>
        </w:rPr>
        <w:t>目</w:t>
      </w:r>
      <w:r>
        <w:rPr>
          <w:rFonts w:ascii="宋体" w:hAnsi="宋体" w:eastAsia="宋体" w:cs="宋体"/>
          <w:spacing w:val="6"/>
          <w:sz w:val="23"/>
          <w:szCs w:val="23"/>
        </w:rPr>
        <w:t xml:space="preserve">清粪工艺采用 </w:t>
      </w:r>
      <w:r>
        <w:rPr>
          <w:rFonts w:ascii="Times New Roman" w:hAnsi="Times New Roman" w:eastAsia="Times New Roman" w:cs="Times New Roman"/>
          <w:spacing w:val="6"/>
          <w:sz w:val="23"/>
          <w:szCs w:val="23"/>
        </w:rPr>
        <w:t xml:space="preserve">2/3 </w:t>
      </w:r>
      <w:r>
        <w:rPr>
          <w:rFonts w:ascii="宋体" w:hAnsi="宋体" w:eastAsia="宋体" w:cs="宋体"/>
          <w:spacing w:val="6"/>
          <w:sz w:val="23"/>
          <w:szCs w:val="23"/>
        </w:rPr>
        <w:t>漏缝板清粪工艺，原理是猪舍内产生的粪尿依靠重力进入缝隙</w:t>
      </w:r>
      <w:r>
        <w:rPr>
          <w:rFonts w:ascii="宋体" w:hAnsi="宋体" w:eastAsia="宋体" w:cs="宋体"/>
          <w:sz w:val="23"/>
          <w:szCs w:val="23"/>
        </w:rPr>
        <w:t xml:space="preserve"> </w:t>
      </w:r>
      <w:r>
        <w:rPr>
          <w:rFonts w:ascii="宋体" w:hAnsi="宋体" w:eastAsia="宋体" w:cs="宋体"/>
          <w:spacing w:val="16"/>
          <w:sz w:val="23"/>
          <w:szCs w:val="23"/>
        </w:rPr>
        <w:t>地板</w:t>
      </w:r>
      <w:r>
        <w:rPr>
          <w:rFonts w:ascii="宋体" w:hAnsi="宋体" w:eastAsia="宋体" w:cs="宋体"/>
          <w:spacing w:val="12"/>
          <w:sz w:val="23"/>
          <w:szCs w:val="23"/>
        </w:rPr>
        <w:t>下</w:t>
      </w:r>
      <w:r>
        <w:rPr>
          <w:rFonts w:ascii="宋体" w:hAnsi="宋体" w:eastAsia="宋体" w:cs="宋体"/>
          <w:spacing w:val="8"/>
          <w:sz w:val="23"/>
          <w:szCs w:val="23"/>
        </w:rPr>
        <w:t xml:space="preserve">的 </w:t>
      </w:r>
      <w:r>
        <w:rPr>
          <w:rFonts w:ascii="Times New Roman" w:hAnsi="Times New Roman" w:eastAsia="Times New Roman" w:cs="Times New Roman"/>
          <w:sz w:val="23"/>
          <w:szCs w:val="23"/>
        </w:rPr>
        <w:t>V</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型储存池，储存池两侧高，中间低，尿液随着斜坡流进储存池中间设置的导尿</w:t>
      </w:r>
      <w:r>
        <w:rPr>
          <w:rFonts w:ascii="宋体" w:hAnsi="宋体" w:eastAsia="宋体" w:cs="宋体"/>
          <w:sz w:val="23"/>
          <w:szCs w:val="23"/>
        </w:rPr>
        <w:t xml:space="preserve"> </w:t>
      </w:r>
      <w:r>
        <w:rPr>
          <w:rFonts w:ascii="宋体" w:hAnsi="宋体" w:eastAsia="宋体" w:cs="宋体"/>
          <w:spacing w:val="14"/>
          <w:sz w:val="23"/>
          <w:szCs w:val="23"/>
        </w:rPr>
        <w:t>渠</w:t>
      </w:r>
      <w:r>
        <w:rPr>
          <w:rFonts w:ascii="宋体" w:hAnsi="宋体" w:eastAsia="宋体" w:cs="宋体"/>
          <w:spacing w:val="7"/>
          <w:sz w:val="23"/>
          <w:szCs w:val="23"/>
        </w:rPr>
        <w:t>，之后流入圈舍外下水道最终进入场区集污池，储存池内粪尿通过机械刮板排出，运至集</w:t>
      </w:r>
    </w:p>
    <w:p w14:paraId="53AD82E0">
      <w:pPr>
        <w:spacing w:line="230" w:lineRule="auto"/>
        <w:ind w:left="12"/>
        <w:rPr>
          <w:rFonts w:ascii="宋体" w:hAnsi="宋体" w:eastAsia="宋体" w:cs="宋体"/>
          <w:sz w:val="23"/>
          <w:szCs w:val="23"/>
        </w:rPr>
      </w:pPr>
      <w:r>
        <w:rPr>
          <w:rFonts w:ascii="宋体" w:hAnsi="宋体" w:eastAsia="宋体" w:cs="宋体"/>
          <w:spacing w:val="15"/>
          <w:sz w:val="23"/>
          <w:szCs w:val="23"/>
        </w:rPr>
        <w:t>污</w:t>
      </w:r>
      <w:r>
        <w:rPr>
          <w:rFonts w:ascii="宋体" w:hAnsi="宋体" w:eastAsia="宋体" w:cs="宋体"/>
          <w:spacing w:val="9"/>
          <w:sz w:val="23"/>
          <w:szCs w:val="23"/>
        </w:rPr>
        <w:t>池，与废水混合均匀后喷洒至异位微生物发酵床无害化处理。</w:t>
      </w:r>
    </w:p>
    <w:p w14:paraId="4282A72A">
      <w:pPr>
        <w:spacing w:before="137" w:line="387" w:lineRule="auto"/>
        <w:ind w:left="12" w:right="77" w:firstLine="478"/>
        <w:rPr>
          <w:rFonts w:ascii="宋体" w:hAnsi="宋体" w:eastAsia="宋体" w:cs="宋体"/>
          <w:sz w:val="23"/>
          <w:szCs w:val="23"/>
        </w:rPr>
      </w:pPr>
      <w:r>
        <w:rPr>
          <w:rFonts w:ascii="宋体" w:hAnsi="宋体" w:eastAsia="宋体" w:cs="宋体"/>
          <w:spacing w:val="12"/>
          <w:sz w:val="23"/>
          <w:szCs w:val="23"/>
        </w:rPr>
        <w:t>猪舍</w:t>
      </w:r>
      <w:r>
        <w:rPr>
          <w:rFonts w:ascii="宋体" w:hAnsi="宋体" w:eastAsia="宋体" w:cs="宋体"/>
          <w:spacing w:val="11"/>
          <w:sz w:val="23"/>
          <w:szCs w:val="23"/>
        </w:rPr>
        <w:t>采</w:t>
      </w:r>
      <w:r>
        <w:rPr>
          <w:rFonts w:ascii="宋体" w:hAnsi="宋体" w:eastAsia="宋体" w:cs="宋体"/>
          <w:spacing w:val="6"/>
          <w:sz w:val="23"/>
          <w:szCs w:val="23"/>
        </w:rPr>
        <w:t xml:space="preserve">用 </w:t>
      </w:r>
      <w:r>
        <w:rPr>
          <w:rFonts w:ascii="Times New Roman" w:hAnsi="Times New Roman" w:eastAsia="Times New Roman" w:cs="Times New Roman"/>
          <w:spacing w:val="6"/>
          <w:sz w:val="23"/>
          <w:szCs w:val="23"/>
        </w:rPr>
        <w:t xml:space="preserve">2/3 </w:t>
      </w:r>
      <w:r>
        <w:rPr>
          <w:rFonts w:ascii="宋体" w:hAnsi="宋体" w:eastAsia="宋体" w:cs="宋体"/>
          <w:spacing w:val="6"/>
          <w:sz w:val="23"/>
          <w:szCs w:val="23"/>
        </w:rPr>
        <w:t>漏缝将粪尿分开，实行机械清粪，勤清勤扫，减少氨散发。项目采用尿泡</w:t>
      </w:r>
      <w:r>
        <w:rPr>
          <w:rFonts w:ascii="宋体" w:hAnsi="宋体" w:eastAsia="宋体" w:cs="宋体"/>
          <w:sz w:val="23"/>
          <w:szCs w:val="23"/>
        </w:rPr>
        <w:t xml:space="preserve"> </w:t>
      </w:r>
      <w:r>
        <w:rPr>
          <w:rFonts w:ascii="宋体" w:hAnsi="宋体" w:eastAsia="宋体" w:cs="宋体"/>
          <w:spacing w:val="8"/>
          <w:sz w:val="23"/>
          <w:szCs w:val="23"/>
        </w:rPr>
        <w:t>粪工艺满足</w:t>
      </w:r>
      <w:r>
        <w:rPr>
          <w:rFonts w:ascii="宋体" w:hAnsi="宋体" w:eastAsia="宋体" w:cs="宋体"/>
          <w:spacing w:val="6"/>
          <w:sz w:val="23"/>
          <w:szCs w:val="23"/>
        </w:rPr>
        <w:t>《</w:t>
      </w:r>
      <w:r>
        <w:rPr>
          <w:rFonts w:ascii="宋体" w:hAnsi="宋体" w:eastAsia="宋体" w:cs="宋体"/>
          <w:spacing w:val="4"/>
          <w:sz w:val="23"/>
          <w:szCs w:val="23"/>
        </w:rPr>
        <w:t>畜禽养殖业污染防治技术规范》  (</w:t>
      </w:r>
      <w:r>
        <w:rPr>
          <w:rFonts w:ascii="Times New Roman" w:hAnsi="Times New Roman" w:eastAsia="Times New Roman" w:cs="Times New Roman"/>
          <w:sz w:val="23"/>
          <w:szCs w:val="23"/>
        </w:rPr>
        <w:t>HJ</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4"/>
          <w:sz w:val="23"/>
          <w:szCs w:val="23"/>
        </w:rPr>
        <w:t>81-2001</w:t>
      </w:r>
      <w:r>
        <w:rPr>
          <w:rFonts w:ascii="宋体" w:hAnsi="宋体" w:eastAsia="宋体" w:cs="宋体"/>
          <w:spacing w:val="4"/>
          <w:sz w:val="23"/>
          <w:szCs w:val="23"/>
        </w:rPr>
        <w:t>) 要求。</w:t>
      </w:r>
    </w:p>
    <w:p w14:paraId="2953BD4B">
      <w:pPr>
        <w:spacing w:line="244" w:lineRule="auto"/>
      </w:pPr>
    </w:p>
    <w:p w14:paraId="0C91A138">
      <w:pPr>
        <w:spacing w:line="244" w:lineRule="auto"/>
      </w:pPr>
    </w:p>
    <w:p w14:paraId="49E292F2">
      <w:pPr>
        <w:spacing w:before="75" w:line="229" w:lineRule="auto"/>
        <w:ind w:left="2513"/>
        <w:rPr>
          <w:rFonts w:ascii="黑体" w:hAnsi="黑体" w:eastAsia="黑体" w:cs="黑体"/>
          <w:sz w:val="23"/>
          <w:szCs w:val="23"/>
        </w:rPr>
      </w:pPr>
      <w:r>
        <w:rPr>
          <w:rFonts w:ascii="黑体" w:hAnsi="黑体" w:eastAsia="黑体" w:cs="黑体"/>
          <w:spacing w:val="8"/>
          <w:sz w:val="23"/>
          <w:szCs w:val="23"/>
        </w:rPr>
        <w:t xml:space="preserve">图 </w:t>
      </w:r>
      <w:r>
        <w:rPr>
          <w:rFonts w:ascii="Times New Roman" w:hAnsi="Times New Roman" w:eastAsia="Times New Roman" w:cs="Times New Roman"/>
          <w:spacing w:val="6"/>
          <w:sz w:val="23"/>
          <w:szCs w:val="23"/>
        </w:rPr>
        <w:t>3</w:t>
      </w:r>
      <w:r>
        <w:rPr>
          <w:rFonts w:ascii="Times New Roman" w:hAnsi="Times New Roman" w:eastAsia="Times New Roman" w:cs="Times New Roman"/>
          <w:spacing w:val="4"/>
          <w:sz w:val="23"/>
          <w:szCs w:val="23"/>
        </w:rPr>
        <w:t xml:space="preserve">.3-2  </w:t>
      </w:r>
      <w:r>
        <w:rPr>
          <w:rFonts w:ascii="黑体" w:hAnsi="黑体" w:eastAsia="黑体" w:cs="黑体"/>
          <w:spacing w:val="4"/>
          <w:sz w:val="23"/>
          <w:szCs w:val="23"/>
        </w:rPr>
        <w:t>机械刮粪机及漏缝地板结构示意图</w:t>
      </w:r>
    </w:p>
    <w:p w14:paraId="142C3132">
      <w:pPr>
        <w:spacing w:before="24" w:line="228" w:lineRule="auto"/>
        <w:ind w:left="4"/>
        <w:outlineLvl w:val="2"/>
        <w:rPr>
          <w:rFonts w:ascii="宋体" w:hAnsi="宋体" w:eastAsia="宋体" w:cs="宋体"/>
          <w:sz w:val="23"/>
          <w:szCs w:val="23"/>
        </w:rPr>
      </w:pPr>
      <w:r>
        <w:rPr>
          <w:rFonts w:ascii="Times New Roman" w:hAnsi="Times New Roman" w:eastAsia="Times New Roman" w:cs="Times New Roman"/>
          <w:b/>
          <w:bCs/>
          <w:spacing w:val="10"/>
          <w:sz w:val="23"/>
          <w:szCs w:val="23"/>
        </w:rPr>
        <w:t>3</w:t>
      </w:r>
      <w:r>
        <w:rPr>
          <w:rFonts w:ascii="Times New Roman" w:hAnsi="Times New Roman" w:eastAsia="Times New Roman" w:cs="Times New Roman"/>
          <w:b/>
          <w:bCs/>
          <w:spacing w:val="8"/>
          <w:sz w:val="23"/>
          <w:szCs w:val="23"/>
        </w:rPr>
        <w:t>.</w:t>
      </w:r>
      <w:r>
        <w:rPr>
          <w:rFonts w:ascii="Times New Roman" w:hAnsi="Times New Roman" w:eastAsia="Times New Roman" w:cs="Times New Roman"/>
          <w:b/>
          <w:bCs/>
          <w:spacing w:val="5"/>
          <w:sz w:val="23"/>
          <w:szCs w:val="23"/>
        </w:rPr>
        <w:t>3.3</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猪舍冲洗</w:t>
      </w:r>
    </w:p>
    <w:p w14:paraId="7E68187D">
      <w:pPr>
        <w:spacing w:before="140" w:line="388" w:lineRule="auto"/>
        <w:ind w:left="9" w:right="80" w:firstLine="481"/>
        <w:rPr>
          <w:rFonts w:ascii="宋体" w:hAnsi="宋体" w:eastAsia="宋体" w:cs="宋体"/>
          <w:sz w:val="23"/>
          <w:szCs w:val="23"/>
        </w:rPr>
      </w:pPr>
      <w:r>
        <w:rPr>
          <w:rFonts w:ascii="宋体" w:hAnsi="宋体" w:eastAsia="宋体" w:cs="宋体"/>
          <w:spacing w:val="12"/>
          <w:sz w:val="23"/>
          <w:szCs w:val="23"/>
        </w:rPr>
        <w:t>本项</w:t>
      </w:r>
      <w:r>
        <w:rPr>
          <w:rFonts w:ascii="宋体" w:hAnsi="宋体" w:eastAsia="宋体" w:cs="宋体"/>
          <w:spacing w:val="8"/>
          <w:sz w:val="23"/>
          <w:szCs w:val="23"/>
        </w:rPr>
        <w:t>目</w:t>
      </w:r>
      <w:r>
        <w:rPr>
          <w:rFonts w:ascii="宋体" w:hAnsi="宋体" w:eastAsia="宋体" w:cs="宋体"/>
          <w:spacing w:val="6"/>
          <w:sz w:val="23"/>
          <w:szCs w:val="23"/>
        </w:rPr>
        <w:t xml:space="preserve">猪舍采用尿泡粪工艺，所有圈舍均为 </w:t>
      </w:r>
      <w:r>
        <w:rPr>
          <w:rFonts w:ascii="Times New Roman" w:hAnsi="Times New Roman" w:eastAsia="Times New Roman" w:cs="Times New Roman"/>
          <w:spacing w:val="6"/>
          <w:sz w:val="23"/>
          <w:szCs w:val="23"/>
        </w:rPr>
        <w:t xml:space="preserve">2/3 </w:t>
      </w:r>
      <w:r>
        <w:rPr>
          <w:rFonts w:ascii="宋体" w:hAnsi="宋体" w:eastAsia="宋体" w:cs="宋体"/>
          <w:spacing w:val="6"/>
          <w:sz w:val="23"/>
          <w:szCs w:val="23"/>
        </w:rPr>
        <w:t>漏缝地板设置，采用刮粪板工艺。项目</w:t>
      </w:r>
      <w:r>
        <w:rPr>
          <w:rFonts w:ascii="宋体" w:hAnsi="宋体" w:eastAsia="宋体" w:cs="宋体"/>
          <w:sz w:val="23"/>
          <w:szCs w:val="23"/>
        </w:rPr>
        <w:t xml:space="preserve"> </w:t>
      </w:r>
      <w:r>
        <w:rPr>
          <w:rFonts w:ascii="宋体" w:hAnsi="宋体" w:eastAsia="宋体" w:cs="宋体"/>
          <w:spacing w:val="10"/>
          <w:sz w:val="23"/>
          <w:szCs w:val="23"/>
        </w:rPr>
        <w:t>圈舍平时</w:t>
      </w:r>
      <w:r>
        <w:rPr>
          <w:rFonts w:ascii="宋体" w:hAnsi="宋体" w:eastAsia="宋体" w:cs="宋体"/>
          <w:spacing w:val="5"/>
          <w:sz w:val="23"/>
          <w:szCs w:val="23"/>
        </w:rPr>
        <w:t xml:space="preserve">不冲洗，仅在猪只出栏清圈时进行冲洗，平均每年冲洗 </w:t>
      </w:r>
      <w:r>
        <w:rPr>
          <w:rFonts w:ascii="Times New Roman" w:hAnsi="Times New Roman" w:eastAsia="Times New Roman" w:cs="Times New Roman"/>
          <w:spacing w:val="5"/>
          <w:sz w:val="23"/>
          <w:szCs w:val="23"/>
        </w:rPr>
        <w:t xml:space="preserve">2 </w:t>
      </w:r>
      <w:r>
        <w:rPr>
          <w:rFonts w:ascii="宋体" w:hAnsi="宋体" w:eastAsia="宋体" w:cs="宋体"/>
          <w:spacing w:val="5"/>
          <w:sz w:val="23"/>
          <w:szCs w:val="23"/>
        </w:rPr>
        <w:t>次，项目采用高压喷枪冲</w:t>
      </w:r>
      <w:r>
        <w:rPr>
          <w:rFonts w:ascii="宋体" w:hAnsi="宋体" w:eastAsia="宋体" w:cs="宋体"/>
          <w:sz w:val="23"/>
          <w:szCs w:val="23"/>
        </w:rPr>
        <w:t xml:space="preserve"> </w:t>
      </w:r>
      <w:r>
        <w:rPr>
          <w:rFonts w:ascii="宋体" w:hAnsi="宋体" w:eastAsia="宋体" w:cs="宋体"/>
          <w:spacing w:val="8"/>
          <w:sz w:val="23"/>
          <w:szCs w:val="23"/>
        </w:rPr>
        <w:t>洗，可节约用水量</w:t>
      </w:r>
      <w:r>
        <w:rPr>
          <w:rFonts w:ascii="宋体" w:hAnsi="宋体" w:eastAsia="宋体" w:cs="宋体"/>
          <w:spacing w:val="7"/>
          <w:sz w:val="23"/>
          <w:szCs w:val="23"/>
        </w:rPr>
        <w:t>。</w:t>
      </w:r>
    </w:p>
    <w:p w14:paraId="7A805EA1">
      <w:pPr>
        <w:spacing w:line="247" w:lineRule="auto"/>
      </w:pPr>
    </w:p>
    <w:p w14:paraId="29BB43FF">
      <w:pPr>
        <w:spacing w:line="247" w:lineRule="auto"/>
      </w:pPr>
    </w:p>
    <w:p w14:paraId="102C4AB5">
      <w:pPr>
        <w:spacing w:line="247" w:lineRule="auto"/>
      </w:pPr>
    </w:p>
    <w:p w14:paraId="0E3AB6A8">
      <w:pPr>
        <w:spacing w:before="75" w:line="230" w:lineRule="auto"/>
        <w:ind w:left="3293"/>
        <w:rPr>
          <w:rFonts w:ascii="黑体" w:hAnsi="黑体" w:eastAsia="黑体" w:cs="黑体"/>
          <w:sz w:val="23"/>
          <w:szCs w:val="23"/>
        </w:rPr>
      </w:pPr>
      <w:r>
        <w:rPr>
          <w:rFonts w:ascii="黑体" w:hAnsi="黑体" w:eastAsia="黑体" w:cs="黑体"/>
          <w:spacing w:val="4"/>
          <w:sz w:val="23"/>
          <w:szCs w:val="23"/>
        </w:rPr>
        <w:t>图</w:t>
      </w:r>
      <w:r>
        <w:rPr>
          <w:rFonts w:ascii="黑体" w:hAnsi="黑体" w:eastAsia="黑体" w:cs="黑体"/>
          <w:spacing w:val="3"/>
          <w:sz w:val="23"/>
          <w:szCs w:val="23"/>
        </w:rPr>
        <w:t xml:space="preserve"> </w:t>
      </w:r>
      <w:r>
        <w:rPr>
          <w:rFonts w:ascii="Times New Roman" w:hAnsi="Times New Roman" w:eastAsia="Times New Roman" w:cs="Times New Roman"/>
          <w:spacing w:val="2"/>
          <w:sz w:val="23"/>
          <w:szCs w:val="23"/>
        </w:rPr>
        <w:t xml:space="preserve">3.3-3    </w:t>
      </w:r>
      <w:r>
        <w:rPr>
          <w:rFonts w:ascii="黑体" w:hAnsi="黑体" w:eastAsia="黑体" w:cs="黑体"/>
          <w:spacing w:val="2"/>
          <w:sz w:val="23"/>
          <w:szCs w:val="23"/>
        </w:rPr>
        <w:t>高压喷枪冲洗猪舍</w:t>
      </w:r>
    </w:p>
    <w:p w14:paraId="7D7E07A5">
      <w:pPr>
        <w:spacing w:before="26" w:line="228" w:lineRule="auto"/>
        <w:ind w:left="4"/>
        <w:outlineLvl w:val="2"/>
        <w:rPr>
          <w:rFonts w:ascii="宋体" w:hAnsi="宋体" w:eastAsia="宋体" w:cs="宋体"/>
          <w:sz w:val="23"/>
          <w:szCs w:val="23"/>
        </w:rPr>
      </w:pPr>
      <w:r>
        <w:rPr>
          <w:rFonts w:ascii="Times New Roman" w:hAnsi="Times New Roman" w:eastAsia="Times New Roman" w:cs="Times New Roman"/>
          <w:b/>
          <w:bCs/>
          <w:spacing w:val="10"/>
          <w:sz w:val="23"/>
          <w:szCs w:val="23"/>
        </w:rPr>
        <w:t>3</w:t>
      </w:r>
      <w:r>
        <w:rPr>
          <w:rFonts w:ascii="Times New Roman" w:hAnsi="Times New Roman" w:eastAsia="Times New Roman" w:cs="Times New Roman"/>
          <w:b/>
          <w:bCs/>
          <w:spacing w:val="7"/>
          <w:sz w:val="23"/>
          <w:szCs w:val="23"/>
        </w:rPr>
        <w:t>.3.4</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猪排泄物处理过程</w:t>
      </w:r>
    </w:p>
    <w:p w14:paraId="66F8431E">
      <w:pPr>
        <w:sectPr>
          <w:headerReference r:id="rId100" w:type="default"/>
          <w:footerReference r:id="rId101" w:type="default"/>
          <w:pgSz w:w="11907" w:h="16840"/>
          <w:pgMar w:top="829" w:right="1053" w:bottom="1139" w:left="1275" w:header="595" w:footer="953" w:gutter="0"/>
          <w:cols w:space="720" w:num="1"/>
        </w:sectPr>
      </w:pPr>
    </w:p>
    <w:p w14:paraId="5D33D19B">
      <w:pPr>
        <w:spacing w:before="145" w:line="375" w:lineRule="auto"/>
        <w:ind w:left="9" w:right="80" w:firstLine="484"/>
        <w:rPr>
          <w:rFonts w:ascii="宋体" w:hAnsi="宋体" w:eastAsia="宋体" w:cs="宋体"/>
          <w:sz w:val="23"/>
          <w:szCs w:val="23"/>
        </w:rPr>
      </w:pPr>
      <w:r>
        <w:rPr>
          <w:rFonts w:ascii="宋体" w:hAnsi="宋体" w:eastAsia="宋体" w:cs="宋体"/>
          <w:spacing w:val="7"/>
          <w:sz w:val="23"/>
          <w:szCs w:val="23"/>
        </w:rPr>
        <w:t>项目生猪养殖区产生的猪只尿液、猪舍冲洗水、猪粪等每日运输至乐山乐高勤力生物</w:t>
      </w:r>
      <w:r>
        <w:rPr>
          <w:rFonts w:ascii="宋体" w:hAnsi="宋体" w:eastAsia="宋体" w:cs="宋体"/>
          <w:spacing w:val="4"/>
          <w:sz w:val="23"/>
          <w:szCs w:val="23"/>
        </w:rPr>
        <w:t>质</w:t>
      </w:r>
      <w:r>
        <w:rPr>
          <w:rFonts w:ascii="宋体" w:hAnsi="宋体" w:eastAsia="宋体" w:cs="宋体"/>
          <w:sz w:val="23"/>
          <w:szCs w:val="23"/>
        </w:rPr>
        <w:t xml:space="preserve"> </w:t>
      </w:r>
      <w:r>
        <w:rPr>
          <w:rFonts w:ascii="宋体" w:hAnsi="宋体" w:eastAsia="宋体" w:cs="宋体"/>
          <w:spacing w:val="10"/>
          <w:sz w:val="23"/>
          <w:szCs w:val="23"/>
        </w:rPr>
        <w:t>能</w:t>
      </w:r>
      <w:r>
        <w:rPr>
          <w:rFonts w:ascii="宋体" w:hAnsi="宋体" w:eastAsia="宋体" w:cs="宋体"/>
          <w:spacing w:val="6"/>
          <w:sz w:val="23"/>
          <w:szCs w:val="23"/>
        </w:rPr>
        <w:t>源</w:t>
      </w:r>
      <w:r>
        <w:rPr>
          <w:rFonts w:ascii="宋体" w:hAnsi="宋体" w:eastAsia="宋体" w:cs="宋体"/>
          <w:spacing w:val="5"/>
          <w:sz w:val="23"/>
          <w:szCs w:val="23"/>
        </w:rPr>
        <w:t xml:space="preserve">综合利用有限公司集中处置， 日产日清，同时，厂区还配套建设有一 </w:t>
      </w:r>
      <w:r>
        <w:rPr>
          <w:rFonts w:ascii="Times New Roman" w:hAnsi="Times New Roman" w:eastAsia="Times New Roman" w:cs="Times New Roman"/>
          <w:spacing w:val="5"/>
          <w:sz w:val="23"/>
          <w:szCs w:val="23"/>
        </w:rPr>
        <w:t>1600</w:t>
      </w:r>
      <w:r>
        <w:rPr>
          <w:rFonts w:ascii="Times New Roman" w:hAnsi="Times New Roman" w:eastAsia="Times New Roman" w:cs="Times New Roman"/>
          <w:sz w:val="23"/>
          <w:szCs w:val="23"/>
        </w:rPr>
        <w:t>m</w:t>
      </w:r>
      <w:r>
        <w:rPr>
          <w:rFonts w:ascii="Times New Roman" w:hAnsi="Times New Roman" w:eastAsia="Times New Roman" w:cs="Times New Roman"/>
          <w:spacing w:val="5"/>
          <w:position w:val="8"/>
          <w:sz w:val="15"/>
          <w:szCs w:val="15"/>
        </w:rPr>
        <w:t xml:space="preserve">2 </w:t>
      </w:r>
      <w:r>
        <w:rPr>
          <w:rFonts w:ascii="宋体" w:hAnsi="宋体" w:eastAsia="宋体" w:cs="宋体"/>
          <w:spacing w:val="5"/>
          <w:sz w:val="23"/>
          <w:szCs w:val="23"/>
        </w:rPr>
        <w:t>的发酵床</w:t>
      </w:r>
      <w:r>
        <w:rPr>
          <w:rFonts w:ascii="宋体" w:hAnsi="宋体" w:eastAsia="宋体" w:cs="宋体"/>
          <w:sz w:val="23"/>
          <w:szCs w:val="23"/>
        </w:rPr>
        <w:t xml:space="preserve"> </w:t>
      </w:r>
      <w:r>
        <w:rPr>
          <w:rFonts w:ascii="宋体" w:hAnsi="宋体" w:eastAsia="宋体" w:cs="宋体"/>
          <w:spacing w:val="14"/>
          <w:sz w:val="23"/>
          <w:szCs w:val="23"/>
        </w:rPr>
        <w:t>备</w:t>
      </w:r>
      <w:r>
        <w:rPr>
          <w:rFonts w:ascii="宋体" w:hAnsi="宋体" w:eastAsia="宋体" w:cs="宋体"/>
          <w:spacing w:val="8"/>
          <w:sz w:val="23"/>
          <w:szCs w:val="23"/>
        </w:rPr>
        <w:t>用</w:t>
      </w:r>
      <w:r>
        <w:rPr>
          <w:rFonts w:ascii="宋体" w:hAnsi="宋体" w:eastAsia="宋体" w:cs="宋体"/>
          <w:spacing w:val="7"/>
          <w:sz w:val="23"/>
          <w:szCs w:val="23"/>
        </w:rPr>
        <w:t>，若后期乐山乐高勤力生物质能源综合利用有限公司不再回收厂区内的养殖废水，可将</w:t>
      </w:r>
      <w:r>
        <w:rPr>
          <w:rFonts w:ascii="宋体" w:hAnsi="宋体" w:eastAsia="宋体" w:cs="宋体"/>
          <w:sz w:val="23"/>
          <w:szCs w:val="23"/>
        </w:rPr>
        <w:t xml:space="preserve"> </w:t>
      </w:r>
      <w:r>
        <w:rPr>
          <w:rFonts w:ascii="宋体" w:hAnsi="宋体" w:eastAsia="宋体" w:cs="宋体"/>
          <w:spacing w:val="14"/>
          <w:sz w:val="23"/>
          <w:szCs w:val="23"/>
        </w:rPr>
        <w:t>通</w:t>
      </w:r>
      <w:r>
        <w:rPr>
          <w:rFonts w:ascii="宋体" w:hAnsi="宋体" w:eastAsia="宋体" w:cs="宋体"/>
          <w:spacing w:val="8"/>
          <w:sz w:val="23"/>
          <w:szCs w:val="23"/>
        </w:rPr>
        <w:t>过</w:t>
      </w:r>
      <w:r>
        <w:rPr>
          <w:rFonts w:ascii="宋体" w:hAnsi="宋体" w:eastAsia="宋体" w:cs="宋体"/>
          <w:spacing w:val="7"/>
          <w:sz w:val="23"/>
          <w:szCs w:val="23"/>
        </w:rPr>
        <w:t>异位发酵床自行处置，产生的农肥用于用作周边林地和旱地施肥。本次报告分两种情况</w:t>
      </w:r>
      <w:r>
        <w:rPr>
          <w:rFonts w:ascii="宋体" w:hAnsi="宋体" w:eastAsia="宋体" w:cs="宋体"/>
          <w:sz w:val="23"/>
          <w:szCs w:val="23"/>
        </w:rPr>
        <w:t xml:space="preserve"> </w:t>
      </w:r>
      <w:r>
        <w:rPr>
          <w:rFonts w:ascii="宋体" w:hAnsi="宋体" w:eastAsia="宋体" w:cs="宋体"/>
          <w:spacing w:val="16"/>
          <w:sz w:val="23"/>
          <w:szCs w:val="23"/>
        </w:rPr>
        <w:t>对</w:t>
      </w:r>
      <w:r>
        <w:rPr>
          <w:rFonts w:ascii="宋体" w:hAnsi="宋体" w:eastAsia="宋体" w:cs="宋体"/>
          <w:spacing w:val="9"/>
          <w:sz w:val="23"/>
          <w:szCs w:val="23"/>
        </w:rPr>
        <w:t>猪</w:t>
      </w:r>
      <w:r>
        <w:rPr>
          <w:rFonts w:ascii="宋体" w:hAnsi="宋体" w:eastAsia="宋体" w:cs="宋体"/>
          <w:spacing w:val="8"/>
          <w:sz w:val="23"/>
          <w:szCs w:val="23"/>
        </w:rPr>
        <w:t>排泄物处理方式进行分析。</w:t>
      </w:r>
    </w:p>
    <w:p w14:paraId="27FCFCE1">
      <w:pPr>
        <w:spacing w:line="303" w:lineRule="exact"/>
        <w:ind w:left="496"/>
        <w:rPr>
          <w:rFonts w:ascii="宋体" w:hAnsi="宋体" w:eastAsia="宋体" w:cs="宋体"/>
          <w:sz w:val="23"/>
          <w:szCs w:val="23"/>
        </w:rPr>
      </w:pPr>
      <w:r>
        <w:rPr>
          <w:rFonts w:ascii="Times New Roman" w:hAnsi="Times New Roman" w:eastAsia="Times New Roman" w:cs="Times New Roman"/>
          <w:b/>
          <w:bCs/>
          <w:spacing w:val="8"/>
          <w:position w:val="1"/>
          <w:sz w:val="23"/>
          <w:szCs w:val="23"/>
        </w:rPr>
        <w:t>1</w:t>
      </w:r>
      <w:r>
        <w:rPr>
          <w:rFonts w:ascii="Times New Roman" w:hAnsi="Times New Roman" w:eastAsia="Times New Roman" w:cs="Times New Roman"/>
          <w:spacing w:val="8"/>
          <w:position w:val="1"/>
          <w:sz w:val="23"/>
          <w:szCs w:val="23"/>
        </w:rPr>
        <w:t xml:space="preserve"> </w:t>
      </w:r>
      <w:r>
        <w:rPr>
          <w:rFonts w:ascii="宋体" w:hAnsi="宋体" w:eastAsia="宋体" w:cs="宋体"/>
          <w:spacing w:val="8"/>
          <w:position w:val="1"/>
          <w:sz w:val="23"/>
          <w:szCs w:val="23"/>
          <w14:textOutline w14:w="4356" w14:cap="sq" w14:cmpd="sng" w14:algn="ctr">
            <w14:solidFill>
              <w14:srgbClr w14:val="000000"/>
            </w14:solidFill>
            <w14:prstDash w14:val="solid"/>
            <w14:bevel/>
          </w14:textOutline>
        </w:rPr>
        <w:t>、乐山乐高勤力生物质能源综合利用有限公司集中处置可行性分</w:t>
      </w:r>
      <w:r>
        <w:rPr>
          <w:rFonts w:ascii="宋体" w:hAnsi="宋体" w:eastAsia="宋体" w:cs="宋体"/>
          <w:spacing w:val="7"/>
          <w:position w:val="1"/>
          <w:sz w:val="23"/>
          <w:szCs w:val="23"/>
          <w14:textOutline w14:w="4356" w14:cap="sq" w14:cmpd="sng" w14:algn="ctr">
            <w14:solidFill>
              <w14:srgbClr w14:val="000000"/>
            </w14:solidFill>
            <w14:prstDash w14:val="solid"/>
            <w14:bevel/>
          </w14:textOutline>
        </w:rPr>
        <w:t>析</w:t>
      </w:r>
    </w:p>
    <w:p w14:paraId="2F7E07D9">
      <w:pPr>
        <w:spacing w:before="161" w:line="375" w:lineRule="auto"/>
        <w:ind w:left="9" w:right="80" w:firstLine="488"/>
        <w:rPr>
          <w:rFonts w:ascii="宋体" w:hAnsi="宋体" w:eastAsia="宋体" w:cs="宋体"/>
          <w:sz w:val="23"/>
          <w:szCs w:val="23"/>
        </w:rPr>
      </w:pPr>
      <w:r>
        <w:rPr>
          <w:rFonts w:ascii="宋体" w:hAnsi="宋体" w:eastAsia="宋体" w:cs="宋体"/>
          <w:spacing w:val="12"/>
          <w:sz w:val="23"/>
          <w:szCs w:val="23"/>
        </w:rPr>
        <w:t>乐</w:t>
      </w:r>
      <w:r>
        <w:rPr>
          <w:rFonts w:ascii="宋体" w:hAnsi="宋体" w:eastAsia="宋体" w:cs="宋体"/>
          <w:spacing w:val="7"/>
          <w:sz w:val="23"/>
          <w:szCs w:val="23"/>
        </w:rPr>
        <w:t>山</w:t>
      </w:r>
      <w:r>
        <w:rPr>
          <w:rFonts w:ascii="宋体" w:hAnsi="宋体" w:eastAsia="宋体" w:cs="宋体"/>
          <w:spacing w:val="6"/>
          <w:sz w:val="23"/>
          <w:szCs w:val="23"/>
        </w:rPr>
        <w:t>乐高勤力生物质能源综合利用有限公司成立于</w:t>
      </w:r>
      <w:r>
        <w:rPr>
          <w:rFonts w:ascii="Times New Roman" w:hAnsi="Times New Roman" w:eastAsia="Times New Roman" w:cs="Times New Roman"/>
          <w:spacing w:val="6"/>
          <w:sz w:val="23"/>
          <w:szCs w:val="23"/>
        </w:rPr>
        <w:t>2018</w:t>
      </w:r>
      <w:r>
        <w:rPr>
          <w:rFonts w:ascii="宋体" w:hAnsi="宋体" w:eastAsia="宋体" w:cs="宋体"/>
          <w:spacing w:val="6"/>
          <w:sz w:val="23"/>
          <w:szCs w:val="23"/>
        </w:rPr>
        <w:t>年</w:t>
      </w:r>
      <w:r>
        <w:rPr>
          <w:rFonts w:ascii="Times New Roman" w:hAnsi="Times New Roman" w:eastAsia="Times New Roman" w:cs="Times New Roman"/>
          <w:spacing w:val="6"/>
          <w:sz w:val="23"/>
          <w:szCs w:val="23"/>
        </w:rPr>
        <w:t>04</w:t>
      </w:r>
      <w:r>
        <w:rPr>
          <w:rFonts w:ascii="宋体" w:hAnsi="宋体" w:eastAsia="宋体" w:cs="宋体"/>
          <w:spacing w:val="6"/>
          <w:sz w:val="23"/>
          <w:szCs w:val="23"/>
        </w:rPr>
        <w:t>月</w:t>
      </w:r>
      <w:r>
        <w:rPr>
          <w:rFonts w:ascii="Times New Roman" w:hAnsi="Times New Roman" w:eastAsia="Times New Roman" w:cs="Times New Roman"/>
          <w:spacing w:val="6"/>
          <w:sz w:val="23"/>
          <w:szCs w:val="23"/>
        </w:rPr>
        <w:t>16</w:t>
      </w:r>
      <w:r>
        <w:rPr>
          <w:rFonts w:ascii="宋体" w:hAnsi="宋体" w:eastAsia="宋体" w:cs="宋体"/>
          <w:spacing w:val="6"/>
          <w:sz w:val="23"/>
          <w:szCs w:val="23"/>
        </w:rPr>
        <w:t>日，主要从事环保及污</w:t>
      </w:r>
      <w:r>
        <w:rPr>
          <w:rFonts w:ascii="宋体" w:hAnsi="宋体" w:eastAsia="宋体" w:cs="宋体"/>
          <w:sz w:val="23"/>
          <w:szCs w:val="23"/>
        </w:rPr>
        <w:t xml:space="preserve"> </w:t>
      </w:r>
      <w:r>
        <w:rPr>
          <w:rFonts w:ascii="宋体" w:hAnsi="宋体" w:eastAsia="宋体" w:cs="宋体"/>
          <w:spacing w:val="14"/>
          <w:sz w:val="23"/>
          <w:szCs w:val="23"/>
        </w:rPr>
        <w:t>水</w:t>
      </w:r>
      <w:r>
        <w:rPr>
          <w:rFonts w:ascii="宋体" w:hAnsi="宋体" w:eastAsia="宋体" w:cs="宋体"/>
          <w:spacing w:val="8"/>
          <w:sz w:val="23"/>
          <w:szCs w:val="23"/>
        </w:rPr>
        <w:t>处</w:t>
      </w:r>
      <w:r>
        <w:rPr>
          <w:rFonts w:ascii="宋体" w:hAnsi="宋体" w:eastAsia="宋体" w:cs="宋体"/>
          <w:spacing w:val="7"/>
          <w:sz w:val="23"/>
          <w:szCs w:val="23"/>
        </w:rPr>
        <w:t>理技术服务、水污染和固体废物治理、畜禽无害化收集处理及运输、粪污收集处理及运</w:t>
      </w:r>
      <w:r>
        <w:rPr>
          <w:rFonts w:ascii="宋体" w:hAnsi="宋体" w:eastAsia="宋体" w:cs="宋体"/>
          <w:sz w:val="23"/>
          <w:szCs w:val="23"/>
        </w:rPr>
        <w:t xml:space="preserve"> </w:t>
      </w:r>
      <w:r>
        <w:rPr>
          <w:rFonts w:ascii="宋体" w:hAnsi="宋体" w:eastAsia="宋体" w:cs="宋体"/>
          <w:spacing w:val="14"/>
          <w:sz w:val="23"/>
          <w:szCs w:val="23"/>
        </w:rPr>
        <w:t>输</w:t>
      </w:r>
      <w:r>
        <w:rPr>
          <w:rFonts w:ascii="宋体" w:hAnsi="宋体" w:eastAsia="宋体" w:cs="宋体"/>
          <w:spacing w:val="8"/>
          <w:sz w:val="23"/>
          <w:szCs w:val="23"/>
        </w:rPr>
        <w:t>、</w:t>
      </w:r>
      <w:r>
        <w:rPr>
          <w:rFonts w:ascii="宋体" w:hAnsi="宋体" w:eastAsia="宋体" w:cs="宋体"/>
          <w:spacing w:val="7"/>
          <w:sz w:val="23"/>
          <w:szCs w:val="23"/>
        </w:rPr>
        <w:t>农作物秸秆收集处理及运输、有机肥生产及加工、沼气发电及供热等行业，距离本项目</w:t>
      </w:r>
      <w:r>
        <w:rPr>
          <w:rFonts w:ascii="宋体" w:hAnsi="宋体" w:eastAsia="宋体" w:cs="宋体"/>
          <w:sz w:val="23"/>
          <w:szCs w:val="23"/>
        </w:rPr>
        <w:t xml:space="preserve"> </w:t>
      </w:r>
      <w:r>
        <w:rPr>
          <w:rFonts w:ascii="Times New Roman" w:hAnsi="Times New Roman" w:eastAsia="Times New Roman" w:cs="Times New Roman"/>
          <w:spacing w:val="10"/>
          <w:sz w:val="23"/>
          <w:szCs w:val="23"/>
        </w:rPr>
        <w:t>13</w:t>
      </w:r>
      <w:r>
        <w:rPr>
          <w:rFonts w:ascii="Times New Roman" w:hAnsi="Times New Roman" w:eastAsia="Times New Roman" w:cs="Times New Roman"/>
          <w:sz w:val="23"/>
          <w:szCs w:val="23"/>
        </w:rPr>
        <w:t>km</w:t>
      </w:r>
      <w:r>
        <w:rPr>
          <w:rFonts w:ascii="宋体" w:hAnsi="宋体" w:eastAsia="宋体" w:cs="宋体"/>
          <w:spacing w:val="10"/>
          <w:sz w:val="23"/>
          <w:szCs w:val="23"/>
        </w:rPr>
        <w:t>左右，交通方便，运输便捷，且有足够的处理能力处理本项目污水，建设单位将粪</w:t>
      </w:r>
      <w:r>
        <w:rPr>
          <w:rFonts w:ascii="宋体" w:hAnsi="宋体" w:eastAsia="宋体" w:cs="宋体"/>
          <w:spacing w:val="2"/>
          <w:sz w:val="23"/>
          <w:szCs w:val="23"/>
        </w:rPr>
        <w:t>水</w:t>
      </w:r>
      <w:r>
        <w:rPr>
          <w:rFonts w:ascii="宋体" w:hAnsi="宋体" w:eastAsia="宋体" w:cs="宋体"/>
          <w:sz w:val="23"/>
          <w:szCs w:val="23"/>
        </w:rPr>
        <w:t xml:space="preserve"> </w:t>
      </w:r>
      <w:r>
        <w:rPr>
          <w:rFonts w:ascii="宋体" w:hAnsi="宋体" w:eastAsia="宋体" w:cs="宋体"/>
          <w:spacing w:val="18"/>
          <w:sz w:val="23"/>
          <w:szCs w:val="23"/>
        </w:rPr>
        <w:t>运</w:t>
      </w:r>
      <w:r>
        <w:rPr>
          <w:rFonts w:ascii="宋体" w:hAnsi="宋体" w:eastAsia="宋体" w:cs="宋体"/>
          <w:spacing w:val="13"/>
          <w:sz w:val="23"/>
          <w:szCs w:val="23"/>
        </w:rPr>
        <w:t>至</w:t>
      </w:r>
      <w:r>
        <w:rPr>
          <w:rFonts w:ascii="宋体" w:hAnsi="宋体" w:eastAsia="宋体" w:cs="宋体"/>
          <w:spacing w:val="9"/>
          <w:sz w:val="23"/>
          <w:szCs w:val="23"/>
        </w:rPr>
        <w:t>该公司既节省了建设成本，又能实现畜禽粪污基本实现资源化利用。</w:t>
      </w:r>
    </w:p>
    <w:p w14:paraId="10FFEDF2">
      <w:pPr>
        <w:spacing w:line="303" w:lineRule="exact"/>
        <w:ind w:left="486"/>
        <w:rPr>
          <w:rFonts w:ascii="宋体" w:hAnsi="宋体" w:eastAsia="宋体" w:cs="宋体"/>
          <w:sz w:val="23"/>
          <w:szCs w:val="23"/>
        </w:rPr>
      </w:pPr>
      <w:r>
        <w:rPr>
          <w:rFonts w:ascii="Times New Roman" w:hAnsi="Times New Roman" w:eastAsia="Times New Roman" w:cs="Times New Roman"/>
          <w:b/>
          <w:bCs/>
          <w:spacing w:val="12"/>
          <w:position w:val="1"/>
          <w:sz w:val="23"/>
          <w:szCs w:val="23"/>
        </w:rPr>
        <w:t>2</w:t>
      </w:r>
      <w:r>
        <w:rPr>
          <w:rFonts w:ascii="Times New Roman" w:hAnsi="Times New Roman" w:eastAsia="Times New Roman" w:cs="Times New Roman"/>
          <w:spacing w:val="12"/>
          <w:position w:val="1"/>
          <w:sz w:val="23"/>
          <w:szCs w:val="23"/>
        </w:rPr>
        <w:t xml:space="preserve"> </w:t>
      </w:r>
      <w:r>
        <w:rPr>
          <w:rFonts w:ascii="宋体" w:hAnsi="宋体" w:eastAsia="宋体" w:cs="宋体"/>
          <w:spacing w:val="6"/>
          <w:position w:val="1"/>
          <w:sz w:val="23"/>
          <w:szCs w:val="23"/>
          <w14:textOutline w14:w="4356" w14:cap="sq" w14:cmpd="sng" w14:algn="ctr">
            <w14:solidFill>
              <w14:srgbClr w14:val="000000"/>
            </w14:solidFill>
            <w14:prstDash w14:val="solid"/>
            <w14:bevel/>
          </w14:textOutline>
        </w:rPr>
        <w:t>、厂区异位微生物发酵床处置方式分析</w:t>
      </w:r>
    </w:p>
    <w:p w14:paraId="455815C9">
      <w:pPr>
        <w:spacing w:before="160" w:line="375" w:lineRule="auto"/>
        <w:ind w:left="9" w:firstLine="484"/>
        <w:rPr>
          <w:rFonts w:ascii="宋体" w:hAnsi="宋体" w:eastAsia="宋体" w:cs="宋体"/>
          <w:sz w:val="23"/>
          <w:szCs w:val="23"/>
        </w:rPr>
      </w:pPr>
      <w:r>
        <w:rPr>
          <w:rFonts w:ascii="宋体" w:hAnsi="宋体" w:eastAsia="宋体" w:cs="宋体"/>
          <w:spacing w:val="12"/>
          <w:sz w:val="23"/>
          <w:szCs w:val="23"/>
        </w:rPr>
        <w:t>项目生</w:t>
      </w:r>
      <w:r>
        <w:rPr>
          <w:rFonts w:ascii="宋体" w:hAnsi="宋体" w:eastAsia="宋体" w:cs="宋体"/>
          <w:spacing w:val="11"/>
          <w:sz w:val="23"/>
          <w:szCs w:val="23"/>
        </w:rPr>
        <w:t>产</w:t>
      </w:r>
      <w:r>
        <w:rPr>
          <w:rFonts w:ascii="宋体" w:hAnsi="宋体" w:eastAsia="宋体" w:cs="宋体"/>
          <w:spacing w:val="6"/>
          <w:sz w:val="23"/>
          <w:szCs w:val="23"/>
        </w:rPr>
        <w:t>废水主要为养殖废水 (包含猪尿、猪具清洗废水、消毒废水) ，消毒废水在调</w:t>
      </w:r>
      <w:r>
        <w:rPr>
          <w:rFonts w:ascii="宋体" w:hAnsi="宋体" w:eastAsia="宋体" w:cs="宋体"/>
          <w:sz w:val="23"/>
          <w:szCs w:val="23"/>
        </w:rPr>
        <w:t xml:space="preserve"> </w:t>
      </w:r>
      <w:r>
        <w:rPr>
          <w:rFonts w:ascii="宋体" w:hAnsi="宋体" w:eastAsia="宋体" w:cs="宋体"/>
          <w:spacing w:val="14"/>
          <w:sz w:val="23"/>
          <w:szCs w:val="23"/>
        </w:rPr>
        <w:t>节</w:t>
      </w:r>
      <w:r>
        <w:rPr>
          <w:rFonts w:ascii="宋体" w:hAnsi="宋体" w:eastAsia="宋体" w:cs="宋体"/>
          <w:spacing w:val="8"/>
          <w:sz w:val="23"/>
          <w:szCs w:val="23"/>
        </w:rPr>
        <w:t>池</w:t>
      </w:r>
      <w:r>
        <w:rPr>
          <w:rFonts w:ascii="宋体" w:hAnsi="宋体" w:eastAsia="宋体" w:cs="宋体"/>
          <w:spacing w:val="7"/>
          <w:sz w:val="23"/>
          <w:szCs w:val="23"/>
        </w:rPr>
        <w:t>内经中和作用后，与猪尿、猪具清洗废水经密闭污水管道汇集至异位微生物发酵系统的</w:t>
      </w:r>
      <w:r>
        <w:rPr>
          <w:rFonts w:ascii="宋体" w:hAnsi="宋体" w:eastAsia="宋体" w:cs="宋体"/>
          <w:sz w:val="23"/>
          <w:szCs w:val="23"/>
        </w:rPr>
        <w:t xml:space="preserve"> </w:t>
      </w:r>
      <w:r>
        <w:rPr>
          <w:rFonts w:ascii="宋体" w:hAnsi="宋体" w:eastAsia="宋体" w:cs="宋体"/>
          <w:spacing w:val="14"/>
          <w:sz w:val="23"/>
          <w:szCs w:val="23"/>
        </w:rPr>
        <w:t>集</w:t>
      </w:r>
      <w:r>
        <w:rPr>
          <w:rFonts w:ascii="宋体" w:hAnsi="宋体" w:eastAsia="宋体" w:cs="宋体"/>
          <w:spacing w:val="8"/>
          <w:sz w:val="23"/>
          <w:szCs w:val="23"/>
        </w:rPr>
        <w:t>污</w:t>
      </w:r>
      <w:r>
        <w:rPr>
          <w:rFonts w:ascii="宋体" w:hAnsi="宋体" w:eastAsia="宋体" w:cs="宋体"/>
          <w:spacing w:val="7"/>
          <w:sz w:val="23"/>
          <w:szCs w:val="23"/>
        </w:rPr>
        <w:t>池，在集污池内利用切割泵和搅拌机使猪粪便与废水混合均匀，混合均匀的粪污进入喷</w:t>
      </w:r>
      <w:r>
        <w:rPr>
          <w:rFonts w:ascii="宋体" w:hAnsi="宋体" w:eastAsia="宋体" w:cs="宋体"/>
          <w:sz w:val="23"/>
          <w:szCs w:val="23"/>
        </w:rPr>
        <w:t xml:space="preserve"> </w:t>
      </w:r>
      <w:r>
        <w:rPr>
          <w:rFonts w:ascii="宋体" w:hAnsi="宋体" w:eastAsia="宋体" w:cs="宋体"/>
          <w:spacing w:val="14"/>
          <w:sz w:val="23"/>
          <w:szCs w:val="23"/>
        </w:rPr>
        <w:t>淋</w:t>
      </w:r>
      <w:r>
        <w:rPr>
          <w:rFonts w:ascii="宋体" w:hAnsi="宋体" w:eastAsia="宋体" w:cs="宋体"/>
          <w:spacing w:val="8"/>
          <w:sz w:val="23"/>
          <w:szCs w:val="23"/>
        </w:rPr>
        <w:t>池</w:t>
      </w:r>
      <w:r>
        <w:rPr>
          <w:rFonts w:ascii="宋体" w:hAnsi="宋体" w:eastAsia="宋体" w:cs="宋体"/>
          <w:spacing w:val="7"/>
          <w:sz w:val="23"/>
          <w:szCs w:val="23"/>
        </w:rPr>
        <w:t>，再通过自动喷淋装置均匀地喷洒于由高效粪污发酵菌与垫料组成的发酵床上，利用翻</w:t>
      </w:r>
      <w:r>
        <w:rPr>
          <w:rFonts w:ascii="宋体" w:hAnsi="宋体" w:eastAsia="宋体" w:cs="宋体"/>
          <w:sz w:val="23"/>
          <w:szCs w:val="23"/>
        </w:rPr>
        <w:t xml:space="preserve"> </w:t>
      </w:r>
      <w:r>
        <w:rPr>
          <w:rFonts w:ascii="宋体" w:hAnsi="宋体" w:eastAsia="宋体" w:cs="宋体"/>
          <w:spacing w:val="14"/>
          <w:sz w:val="23"/>
          <w:szCs w:val="23"/>
        </w:rPr>
        <w:t>抛</w:t>
      </w:r>
      <w:r>
        <w:rPr>
          <w:rFonts w:ascii="宋体" w:hAnsi="宋体" w:eastAsia="宋体" w:cs="宋体"/>
          <w:spacing w:val="8"/>
          <w:sz w:val="23"/>
          <w:szCs w:val="23"/>
        </w:rPr>
        <w:t>机</w:t>
      </w:r>
      <w:r>
        <w:rPr>
          <w:rFonts w:ascii="宋体" w:hAnsi="宋体" w:eastAsia="宋体" w:cs="宋体"/>
          <w:spacing w:val="7"/>
          <w:sz w:val="23"/>
          <w:szCs w:val="23"/>
        </w:rPr>
        <w:t>使猪粪、尿和垫料充分混合。在适宜的温度、湿度、碳氮比及有氧的条件下，利用在垫</w:t>
      </w:r>
      <w:r>
        <w:rPr>
          <w:rFonts w:ascii="宋体" w:hAnsi="宋体" w:eastAsia="宋体" w:cs="宋体"/>
          <w:sz w:val="23"/>
          <w:szCs w:val="23"/>
        </w:rPr>
        <w:t xml:space="preserve"> </w:t>
      </w:r>
      <w:r>
        <w:rPr>
          <w:rFonts w:ascii="宋体" w:hAnsi="宋体" w:eastAsia="宋体" w:cs="宋体"/>
          <w:spacing w:val="6"/>
          <w:sz w:val="23"/>
          <w:szCs w:val="23"/>
        </w:rPr>
        <w:t>料中生长繁</w:t>
      </w:r>
      <w:r>
        <w:rPr>
          <w:rFonts w:ascii="宋体" w:hAnsi="宋体" w:eastAsia="宋体" w:cs="宋体"/>
          <w:spacing w:val="3"/>
          <w:sz w:val="23"/>
          <w:szCs w:val="23"/>
        </w:rPr>
        <w:t>殖的发酵菌，使粪污中的有机物质得到充分的分解和转化，从而降解、消化粪污。</w:t>
      </w:r>
      <w:r>
        <w:rPr>
          <w:rFonts w:ascii="宋体" w:hAnsi="宋体" w:eastAsia="宋体" w:cs="宋体"/>
          <w:sz w:val="23"/>
          <w:szCs w:val="23"/>
        </w:rPr>
        <w:t xml:space="preserve"> </w:t>
      </w:r>
      <w:r>
        <w:rPr>
          <w:rFonts w:ascii="宋体" w:hAnsi="宋体" w:eastAsia="宋体" w:cs="宋体"/>
          <w:spacing w:val="14"/>
          <w:sz w:val="23"/>
          <w:szCs w:val="23"/>
        </w:rPr>
        <w:t>在</w:t>
      </w:r>
      <w:r>
        <w:rPr>
          <w:rFonts w:ascii="宋体" w:hAnsi="宋体" w:eastAsia="宋体" w:cs="宋体"/>
          <w:spacing w:val="8"/>
          <w:sz w:val="23"/>
          <w:szCs w:val="23"/>
        </w:rPr>
        <w:t>此</w:t>
      </w:r>
      <w:r>
        <w:rPr>
          <w:rFonts w:ascii="宋体" w:hAnsi="宋体" w:eastAsia="宋体" w:cs="宋体"/>
          <w:spacing w:val="7"/>
          <w:sz w:val="23"/>
          <w:szCs w:val="23"/>
        </w:rPr>
        <w:t>过程中，粪污中水分大部分蒸发，未能降解的残留有机物部分转化为腐殖质，粪污中病</w:t>
      </w:r>
      <w:r>
        <w:rPr>
          <w:rFonts w:ascii="宋体" w:hAnsi="宋体" w:eastAsia="宋体" w:cs="宋体"/>
          <w:sz w:val="23"/>
          <w:szCs w:val="23"/>
        </w:rPr>
        <w:t xml:space="preserve"> </w:t>
      </w:r>
      <w:r>
        <w:rPr>
          <w:rFonts w:ascii="宋体" w:hAnsi="宋体" w:eastAsia="宋体" w:cs="宋体"/>
          <w:spacing w:val="17"/>
          <w:sz w:val="23"/>
          <w:szCs w:val="23"/>
        </w:rPr>
        <w:t>原</w:t>
      </w:r>
      <w:r>
        <w:rPr>
          <w:rFonts w:ascii="宋体" w:hAnsi="宋体" w:eastAsia="宋体" w:cs="宋体"/>
          <w:spacing w:val="9"/>
          <w:sz w:val="23"/>
          <w:szCs w:val="23"/>
        </w:rPr>
        <w:t>体也在长时间的高温环境中失活，达到养殖场无污水排放及粪污无害化、资源化的目的。</w:t>
      </w:r>
      <w:r>
        <w:rPr>
          <w:rFonts w:ascii="宋体" w:hAnsi="宋体" w:eastAsia="宋体" w:cs="宋体"/>
          <w:sz w:val="23"/>
          <w:szCs w:val="23"/>
        </w:rPr>
        <w:t xml:space="preserve"> </w:t>
      </w:r>
      <w:r>
        <w:rPr>
          <w:rFonts w:ascii="宋体" w:hAnsi="宋体" w:eastAsia="宋体" w:cs="宋体"/>
          <w:spacing w:val="18"/>
          <w:sz w:val="23"/>
          <w:szCs w:val="23"/>
        </w:rPr>
        <w:t>运</w:t>
      </w:r>
      <w:r>
        <w:rPr>
          <w:rFonts w:ascii="宋体" w:hAnsi="宋体" w:eastAsia="宋体" w:cs="宋体"/>
          <w:spacing w:val="17"/>
          <w:sz w:val="23"/>
          <w:szCs w:val="23"/>
        </w:rPr>
        <w:t>行</w:t>
      </w:r>
      <w:r>
        <w:rPr>
          <w:rFonts w:ascii="宋体" w:hAnsi="宋体" w:eastAsia="宋体" w:cs="宋体"/>
          <w:spacing w:val="9"/>
          <w:sz w:val="23"/>
          <w:szCs w:val="23"/>
        </w:rPr>
        <w:t>中偶尔产生的少量渗滤液，通过导流管回送至喷淋池，随下一批次粪污处理。</w:t>
      </w:r>
    </w:p>
    <w:p w14:paraId="5F4894B0">
      <w:pPr>
        <w:spacing w:before="1" w:line="374" w:lineRule="auto"/>
        <w:ind w:left="15" w:right="35" w:firstLine="475"/>
        <w:rPr>
          <w:rFonts w:ascii="宋体" w:hAnsi="宋体" w:eastAsia="宋体" w:cs="宋体"/>
          <w:sz w:val="23"/>
          <w:szCs w:val="23"/>
        </w:rPr>
      </w:pPr>
      <w:r>
        <w:rPr>
          <w:rFonts w:ascii="宋体" w:hAnsi="宋体" w:eastAsia="宋体" w:cs="宋体"/>
          <w:spacing w:val="15"/>
          <w:sz w:val="23"/>
          <w:szCs w:val="23"/>
        </w:rPr>
        <w:t>本</w:t>
      </w:r>
      <w:r>
        <w:rPr>
          <w:rFonts w:ascii="宋体" w:hAnsi="宋体" w:eastAsia="宋体" w:cs="宋体"/>
          <w:spacing w:val="8"/>
          <w:sz w:val="23"/>
          <w:szCs w:val="23"/>
        </w:rPr>
        <w:t>项目采用的异位微生物发酵床处理技术已经过中华人民共和国国家知识产权局鉴定，</w:t>
      </w:r>
      <w:r>
        <w:rPr>
          <w:rFonts w:ascii="宋体" w:hAnsi="宋体" w:eastAsia="宋体" w:cs="宋体"/>
          <w:sz w:val="23"/>
          <w:szCs w:val="23"/>
        </w:rPr>
        <w:t xml:space="preserve"> </w:t>
      </w:r>
      <w:r>
        <w:rPr>
          <w:rFonts w:ascii="宋体" w:hAnsi="宋体" w:eastAsia="宋体" w:cs="宋体"/>
          <w:spacing w:val="6"/>
          <w:sz w:val="23"/>
          <w:szCs w:val="23"/>
        </w:rPr>
        <w:t>并取得了</w:t>
      </w:r>
      <w:r>
        <w:rPr>
          <w:rFonts w:ascii="宋体" w:hAnsi="宋体" w:eastAsia="宋体" w:cs="宋体"/>
          <w:spacing w:val="5"/>
          <w:sz w:val="23"/>
          <w:szCs w:val="23"/>
        </w:rPr>
        <w:t>鉴</w:t>
      </w:r>
      <w:r>
        <w:rPr>
          <w:rFonts w:ascii="宋体" w:hAnsi="宋体" w:eastAsia="宋体" w:cs="宋体"/>
          <w:spacing w:val="3"/>
          <w:sz w:val="23"/>
          <w:szCs w:val="23"/>
        </w:rPr>
        <w:t xml:space="preserve">定证书 (证书号 第 </w:t>
      </w:r>
      <w:r>
        <w:rPr>
          <w:rFonts w:ascii="Times New Roman" w:hAnsi="Times New Roman" w:eastAsia="Times New Roman" w:cs="Times New Roman"/>
          <w:spacing w:val="3"/>
          <w:sz w:val="23"/>
          <w:szCs w:val="23"/>
        </w:rPr>
        <w:t xml:space="preserve">5447993 </w:t>
      </w:r>
      <w:r>
        <w:rPr>
          <w:rFonts w:ascii="宋体" w:hAnsi="宋体" w:eastAsia="宋体" w:cs="宋体"/>
          <w:spacing w:val="3"/>
          <w:sz w:val="23"/>
          <w:szCs w:val="23"/>
        </w:rPr>
        <w:t xml:space="preserve">号)  (见附件 </w:t>
      </w:r>
      <w:r>
        <w:rPr>
          <w:rFonts w:ascii="Times New Roman" w:hAnsi="Times New Roman" w:eastAsia="Times New Roman" w:cs="Times New Roman"/>
          <w:spacing w:val="3"/>
          <w:sz w:val="23"/>
          <w:szCs w:val="23"/>
        </w:rPr>
        <w:t>12</w:t>
      </w:r>
      <w:r>
        <w:rPr>
          <w:rFonts w:ascii="宋体" w:hAnsi="宋体" w:eastAsia="宋体" w:cs="宋体"/>
          <w:spacing w:val="3"/>
          <w:sz w:val="23"/>
          <w:szCs w:val="23"/>
        </w:rPr>
        <w:t>) 。</w:t>
      </w:r>
    </w:p>
    <w:p w14:paraId="7E7D0784">
      <w:pPr>
        <w:spacing w:before="2" w:line="391" w:lineRule="auto"/>
        <w:ind w:left="10" w:right="80" w:firstLine="479"/>
        <w:rPr>
          <w:rFonts w:ascii="宋体" w:hAnsi="宋体" w:eastAsia="宋体" w:cs="宋体"/>
          <w:sz w:val="23"/>
          <w:szCs w:val="23"/>
        </w:rPr>
      </w:pPr>
      <w:r>
        <w:rPr>
          <w:rFonts w:ascii="宋体" w:hAnsi="宋体" w:eastAsia="宋体" w:cs="宋体"/>
          <w:spacing w:val="8"/>
          <w:sz w:val="23"/>
          <w:szCs w:val="23"/>
        </w:rPr>
        <w:t>根</w:t>
      </w:r>
      <w:r>
        <w:rPr>
          <w:rFonts w:ascii="宋体" w:hAnsi="宋体" w:eastAsia="宋体" w:cs="宋体"/>
          <w:spacing w:val="7"/>
          <w:sz w:val="23"/>
          <w:szCs w:val="23"/>
        </w:rPr>
        <w:t>据建设单位提供的项目异位微生物发酵床处理设计报告，项目粪污处理工艺流程见图</w:t>
      </w:r>
      <w:r>
        <w:rPr>
          <w:rFonts w:ascii="宋体" w:hAnsi="宋体" w:eastAsia="宋体" w:cs="宋体"/>
          <w:sz w:val="23"/>
          <w:szCs w:val="23"/>
        </w:rPr>
        <w:t xml:space="preserve"> </w:t>
      </w:r>
      <w:r>
        <w:rPr>
          <w:rFonts w:ascii="Times New Roman" w:hAnsi="Times New Roman" w:eastAsia="Times New Roman" w:cs="Times New Roman"/>
          <w:spacing w:val="-2"/>
          <w:sz w:val="23"/>
          <w:szCs w:val="23"/>
        </w:rPr>
        <w:t>3.3-4</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w:t>
      </w:r>
      <w:r>
        <w:rPr>
          <w:rFonts w:ascii="Times New Roman" w:hAnsi="Times New Roman" w:eastAsia="Times New Roman" w:cs="Times New Roman"/>
          <w:spacing w:val="-1"/>
          <w:sz w:val="23"/>
          <w:szCs w:val="23"/>
        </w:rPr>
        <w:t>3.3-5</w:t>
      </w:r>
      <w:r>
        <w:rPr>
          <w:rFonts w:ascii="宋体" w:hAnsi="宋体" w:eastAsia="宋体" w:cs="宋体"/>
          <w:spacing w:val="-1"/>
          <w:sz w:val="23"/>
          <w:szCs w:val="23"/>
        </w:rPr>
        <w:t>：</w:t>
      </w:r>
    </w:p>
    <w:p w14:paraId="1D963C28">
      <w:pPr>
        <w:sectPr>
          <w:footerReference r:id="rId102" w:type="default"/>
          <w:pgSz w:w="11907" w:h="16840"/>
          <w:pgMar w:top="829" w:right="1053" w:bottom="1137" w:left="1275" w:header="595" w:footer="953" w:gutter="0"/>
          <w:cols w:space="720" w:num="1"/>
        </w:sectPr>
      </w:pPr>
    </w:p>
    <w:p w14:paraId="278E7EE8">
      <w:pPr>
        <w:spacing w:before="111" w:line="3182" w:lineRule="exact"/>
        <w:textAlignment w:val="center"/>
      </w:pPr>
      <w:r>
        <w:drawing>
          <wp:inline distT="0" distB="0" distL="0" distR="0">
            <wp:extent cx="6024245" cy="2020570"/>
            <wp:effectExtent l="0" t="0" r="0" b="0"/>
            <wp:docPr id="19" name="IM 19"/>
            <wp:cNvGraphicFramePr/>
            <a:graphic xmlns:a="http://schemas.openxmlformats.org/drawingml/2006/main">
              <a:graphicData uri="http://schemas.openxmlformats.org/drawingml/2006/picture">
                <pic:pic xmlns:pic="http://schemas.openxmlformats.org/drawingml/2006/picture">
                  <pic:nvPicPr>
                    <pic:cNvPr id="19" name="IM 19"/>
                    <pic:cNvPicPr/>
                  </pic:nvPicPr>
                  <pic:blipFill>
                    <a:blip r:embed="rId370"/>
                    <a:stretch>
                      <a:fillRect/>
                    </a:stretch>
                  </pic:blipFill>
                  <pic:spPr>
                    <a:xfrm>
                      <a:off x="0" y="0"/>
                      <a:ext cx="6024372" cy="2020823"/>
                    </a:xfrm>
                    <a:prstGeom prst="rect">
                      <a:avLst/>
                    </a:prstGeom>
                  </pic:spPr>
                </pic:pic>
              </a:graphicData>
            </a:graphic>
          </wp:inline>
        </w:drawing>
      </w:r>
    </w:p>
    <w:p w14:paraId="20A762D9">
      <w:pPr>
        <w:spacing w:before="217" w:line="229" w:lineRule="auto"/>
        <w:ind w:left="2813"/>
        <w:rPr>
          <w:rFonts w:ascii="黑体" w:hAnsi="黑体" w:eastAsia="黑体" w:cs="黑体"/>
          <w:sz w:val="23"/>
          <w:szCs w:val="23"/>
        </w:rPr>
      </w:pPr>
      <w:r>
        <w:rPr>
          <w:rFonts w:ascii="黑体" w:hAnsi="黑体" w:eastAsia="黑体" w:cs="黑体"/>
          <w:spacing w:val="6"/>
          <w:sz w:val="23"/>
          <w:szCs w:val="23"/>
        </w:rPr>
        <w:t xml:space="preserve">图 </w:t>
      </w:r>
      <w:r>
        <w:rPr>
          <w:rFonts w:ascii="Times New Roman" w:hAnsi="Times New Roman" w:eastAsia="Times New Roman" w:cs="Times New Roman"/>
          <w:spacing w:val="6"/>
          <w:sz w:val="23"/>
          <w:szCs w:val="23"/>
        </w:rPr>
        <w:t>3.</w:t>
      </w:r>
      <w:r>
        <w:rPr>
          <w:rFonts w:ascii="Times New Roman" w:hAnsi="Times New Roman" w:eastAsia="Times New Roman" w:cs="Times New Roman"/>
          <w:spacing w:val="3"/>
          <w:sz w:val="23"/>
          <w:szCs w:val="23"/>
        </w:rPr>
        <w:t xml:space="preserve">3-4    </w:t>
      </w:r>
      <w:r>
        <w:rPr>
          <w:rFonts w:ascii="黑体" w:hAnsi="黑体" w:eastAsia="黑体" w:cs="黑体"/>
          <w:spacing w:val="3"/>
          <w:sz w:val="23"/>
          <w:szCs w:val="23"/>
        </w:rPr>
        <w:t>异位微生物发酵床处理工艺</w:t>
      </w:r>
    </w:p>
    <w:p w14:paraId="5087ED22">
      <w:pPr>
        <w:spacing w:before="303" w:line="230" w:lineRule="auto"/>
        <w:ind w:left="501"/>
        <w:rPr>
          <w:rFonts w:ascii="宋体" w:hAnsi="宋体" w:eastAsia="宋体" w:cs="宋体"/>
          <w:sz w:val="23"/>
          <w:szCs w:val="23"/>
        </w:rPr>
      </w:pP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8"/>
          <w:sz w:val="23"/>
          <w:szCs w:val="23"/>
        </w:rPr>
        <w:t>1</w:t>
      </w: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宋体" w:hAnsi="宋体" w:eastAsia="宋体" w:cs="宋体"/>
          <w:spacing w:val="18"/>
          <w:sz w:val="23"/>
          <w:szCs w:val="23"/>
        </w:rPr>
        <w:t xml:space="preserve"> </w:t>
      </w:r>
      <w:r>
        <w:rPr>
          <w:rFonts w:ascii="宋体" w:hAnsi="宋体" w:eastAsia="宋体" w:cs="宋体"/>
          <w:spacing w:val="18"/>
          <w:sz w:val="23"/>
          <w:szCs w:val="23"/>
          <w14:textOutline w14:w="4356" w14:cap="sq" w14:cmpd="sng" w14:algn="ctr">
            <w14:solidFill>
              <w14:srgbClr w14:val="000000"/>
            </w14:solidFill>
            <w14:prstDash w14:val="solid"/>
            <w14:bevel/>
          </w14:textOutline>
        </w:rPr>
        <w:t>工艺原理</w:t>
      </w:r>
      <w:r>
        <w:rPr>
          <w:rFonts w:ascii="宋体" w:hAnsi="宋体" w:eastAsia="宋体" w:cs="宋体"/>
          <w:spacing w:val="17"/>
          <w:sz w:val="23"/>
          <w:szCs w:val="23"/>
          <w14:textOutline w14:w="4356" w14:cap="sq" w14:cmpd="sng" w14:algn="ctr">
            <w14:solidFill>
              <w14:srgbClr w14:val="000000"/>
            </w14:solidFill>
            <w14:prstDash w14:val="solid"/>
            <w14:bevel/>
          </w14:textOutline>
        </w:rPr>
        <w:t>：</w:t>
      </w:r>
    </w:p>
    <w:p w14:paraId="09A10413">
      <w:pPr>
        <w:spacing w:before="179" w:line="375" w:lineRule="auto"/>
        <w:ind w:left="11" w:firstLine="479"/>
        <w:rPr>
          <w:rFonts w:ascii="宋体" w:hAnsi="宋体" w:eastAsia="宋体" w:cs="宋体"/>
          <w:sz w:val="23"/>
          <w:szCs w:val="23"/>
        </w:rPr>
      </w:pPr>
      <w:r>
        <w:rPr>
          <w:rFonts w:ascii="宋体" w:hAnsi="宋体" w:eastAsia="宋体" w:cs="宋体"/>
          <w:spacing w:val="8"/>
          <w:sz w:val="23"/>
          <w:szCs w:val="23"/>
        </w:rPr>
        <w:t>微</w:t>
      </w:r>
      <w:r>
        <w:rPr>
          <w:rFonts w:ascii="宋体" w:hAnsi="宋体" w:eastAsia="宋体" w:cs="宋体"/>
          <w:spacing w:val="7"/>
          <w:sz w:val="23"/>
          <w:szCs w:val="23"/>
        </w:rPr>
        <w:t>生物异位发酵粪污处理机理主要是在一定温度、湿度、碳氮比以及氧气的条件下，好</w:t>
      </w:r>
      <w:r>
        <w:rPr>
          <w:rFonts w:ascii="宋体" w:hAnsi="宋体" w:eastAsia="宋体" w:cs="宋体"/>
          <w:sz w:val="23"/>
          <w:szCs w:val="23"/>
        </w:rPr>
        <w:t xml:space="preserve"> </w:t>
      </w:r>
      <w:r>
        <w:rPr>
          <w:rFonts w:ascii="宋体" w:hAnsi="宋体" w:eastAsia="宋体" w:cs="宋体"/>
          <w:spacing w:val="15"/>
          <w:sz w:val="23"/>
          <w:szCs w:val="23"/>
        </w:rPr>
        <w:t>氧</w:t>
      </w:r>
      <w:r>
        <w:rPr>
          <w:rFonts w:ascii="宋体" w:hAnsi="宋体" w:eastAsia="宋体" w:cs="宋体"/>
          <w:spacing w:val="9"/>
          <w:sz w:val="23"/>
          <w:szCs w:val="23"/>
        </w:rPr>
        <w:t>微生物以粪污中的有机物为营养物质，大量繁殖并快速分解有机物，同时释放大量热能，</w:t>
      </w:r>
      <w:r>
        <w:rPr>
          <w:rFonts w:ascii="宋体" w:hAnsi="宋体" w:eastAsia="宋体" w:cs="宋体"/>
          <w:sz w:val="23"/>
          <w:szCs w:val="23"/>
        </w:rPr>
        <w:t xml:space="preserve"> </w:t>
      </w:r>
      <w:r>
        <w:rPr>
          <w:rFonts w:ascii="宋体" w:hAnsi="宋体" w:eastAsia="宋体" w:cs="宋体"/>
          <w:spacing w:val="6"/>
          <w:sz w:val="23"/>
          <w:szCs w:val="23"/>
        </w:rPr>
        <w:t>促使发酵</w:t>
      </w:r>
      <w:r>
        <w:rPr>
          <w:rFonts w:ascii="宋体" w:hAnsi="宋体" w:eastAsia="宋体" w:cs="宋体"/>
          <w:spacing w:val="4"/>
          <w:sz w:val="23"/>
          <w:szCs w:val="23"/>
        </w:rPr>
        <w:t>槽</w:t>
      </w:r>
      <w:r>
        <w:rPr>
          <w:rFonts w:ascii="宋体" w:hAnsi="宋体" w:eastAsia="宋体" w:cs="宋体"/>
          <w:spacing w:val="3"/>
          <w:sz w:val="23"/>
          <w:szCs w:val="23"/>
        </w:rPr>
        <w:t>内温度不断上升，并维持一定时间，在此过程中，粪污中的有机物转化为腐殖质。</w:t>
      </w:r>
      <w:r>
        <w:rPr>
          <w:rFonts w:ascii="宋体" w:hAnsi="宋体" w:eastAsia="宋体" w:cs="宋体"/>
          <w:sz w:val="23"/>
          <w:szCs w:val="23"/>
        </w:rPr>
        <w:t xml:space="preserve"> </w:t>
      </w:r>
      <w:r>
        <w:rPr>
          <w:rFonts w:ascii="宋体" w:hAnsi="宋体" w:eastAsia="宋体" w:cs="宋体"/>
          <w:spacing w:val="18"/>
          <w:sz w:val="23"/>
          <w:szCs w:val="23"/>
        </w:rPr>
        <w:t>与此</w:t>
      </w:r>
      <w:r>
        <w:rPr>
          <w:rFonts w:ascii="宋体" w:hAnsi="宋体" w:eastAsia="宋体" w:cs="宋体"/>
          <w:spacing w:val="9"/>
          <w:sz w:val="23"/>
          <w:szCs w:val="23"/>
        </w:rPr>
        <w:t>同时，粪污中的病原体在长时间的高温环境中失活，从而达到无害化、腐殖化目的。</w:t>
      </w:r>
    </w:p>
    <w:p w14:paraId="012614C3">
      <w:pPr>
        <w:spacing w:before="1" w:line="373" w:lineRule="auto"/>
        <w:ind w:left="12" w:right="253" w:firstLine="478"/>
        <w:rPr>
          <w:rFonts w:ascii="宋体" w:hAnsi="宋体" w:eastAsia="宋体" w:cs="宋体"/>
          <w:sz w:val="23"/>
          <w:szCs w:val="23"/>
        </w:rPr>
      </w:pPr>
      <w:r>
        <w:rPr>
          <w:rFonts w:ascii="宋体" w:hAnsi="宋体" w:eastAsia="宋体" w:cs="宋体"/>
          <w:spacing w:val="3"/>
          <w:sz w:val="23"/>
          <w:szCs w:val="23"/>
        </w:rPr>
        <w:t xml:space="preserve">保持异位微生物发酵垫料床正常运行的参数为垫料中心层温度 </w:t>
      </w:r>
      <w:r>
        <w:rPr>
          <w:rFonts w:ascii="Times New Roman" w:hAnsi="Times New Roman" w:eastAsia="Times New Roman" w:cs="Times New Roman"/>
          <w:spacing w:val="3"/>
          <w:sz w:val="23"/>
          <w:szCs w:val="23"/>
        </w:rPr>
        <w:t>50-60</w:t>
      </w:r>
      <w:r>
        <w:rPr>
          <w:rFonts w:ascii="宋体" w:hAnsi="宋体" w:eastAsia="宋体" w:cs="宋体"/>
          <w:spacing w:val="3"/>
          <w:sz w:val="23"/>
          <w:szCs w:val="23"/>
        </w:rPr>
        <w:t>℃ ，粪污浓度</w:t>
      </w:r>
      <w:r>
        <w:rPr>
          <w:rFonts w:ascii="Times New Roman" w:hAnsi="Times New Roman" w:eastAsia="Times New Roman" w:cs="Times New Roman"/>
          <w:spacing w:val="3"/>
          <w:sz w:val="23"/>
          <w:szCs w:val="23"/>
        </w:rPr>
        <w:t>:</w:t>
      </w:r>
      <w:r>
        <w:rPr>
          <w:rFonts w:ascii="Times New Roman" w:hAnsi="Times New Roman" w:eastAsia="Times New Roman" w:cs="Times New Roman"/>
          <w:spacing w:val="2"/>
          <w:sz w:val="23"/>
          <w:szCs w:val="23"/>
        </w:rPr>
        <w:t xml:space="preserve"> </w:t>
      </w:r>
      <w:r>
        <w:rPr>
          <w:rFonts w:ascii="宋体" w:hAnsi="宋体" w:eastAsia="宋体" w:cs="宋体"/>
          <w:sz w:val="23"/>
          <w:szCs w:val="23"/>
        </w:rPr>
        <w:t xml:space="preserve">≧ </w:t>
      </w:r>
      <w:r>
        <w:rPr>
          <w:rFonts w:ascii="Times New Roman" w:hAnsi="Times New Roman" w:eastAsia="Times New Roman" w:cs="Times New Roman"/>
          <w:spacing w:val="4"/>
          <w:sz w:val="23"/>
          <w:szCs w:val="23"/>
        </w:rPr>
        <w:t xml:space="preserve">5-6% </w:t>
      </w:r>
      <w:r>
        <w:rPr>
          <w:rFonts w:ascii="宋体" w:hAnsi="宋体" w:eastAsia="宋体" w:cs="宋体"/>
          <w:spacing w:val="4"/>
          <w:sz w:val="23"/>
          <w:szCs w:val="23"/>
        </w:rPr>
        <w:t>，垫料湿度：</w:t>
      </w:r>
      <w:r>
        <w:rPr>
          <w:rFonts w:ascii="Times New Roman" w:hAnsi="Times New Roman" w:eastAsia="Times New Roman" w:cs="Times New Roman"/>
          <w:spacing w:val="4"/>
          <w:sz w:val="23"/>
          <w:szCs w:val="23"/>
        </w:rPr>
        <w:t xml:space="preserve">≤50% </w:t>
      </w:r>
      <w:r>
        <w:rPr>
          <w:rFonts w:ascii="宋体" w:hAnsi="宋体" w:eastAsia="宋体" w:cs="宋体"/>
          <w:spacing w:val="3"/>
          <w:sz w:val="23"/>
          <w:szCs w:val="23"/>
        </w:rPr>
        <w:t>，</w:t>
      </w:r>
      <w:r>
        <w:rPr>
          <w:rFonts w:ascii="宋体" w:hAnsi="宋体" w:eastAsia="宋体" w:cs="宋体"/>
          <w:spacing w:val="2"/>
          <w:sz w:val="23"/>
          <w:szCs w:val="23"/>
        </w:rPr>
        <w:t xml:space="preserve">垫料深度保持不低于 </w:t>
      </w:r>
      <w:r>
        <w:rPr>
          <w:rFonts w:ascii="Times New Roman" w:hAnsi="Times New Roman" w:eastAsia="Times New Roman" w:cs="Times New Roman"/>
          <w:spacing w:val="2"/>
          <w:sz w:val="23"/>
          <w:szCs w:val="23"/>
        </w:rPr>
        <w:t>1.5</w:t>
      </w:r>
      <w:r>
        <w:rPr>
          <w:rFonts w:ascii="Times New Roman" w:hAnsi="Times New Roman" w:eastAsia="Times New Roman" w:cs="Times New Roman"/>
          <w:sz w:val="23"/>
          <w:szCs w:val="23"/>
        </w:rPr>
        <w:t>m</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，所用的菌种为发酵床专用菌种。</w:t>
      </w:r>
    </w:p>
    <w:p w14:paraId="2CF737BC">
      <w:pPr>
        <w:spacing w:line="375" w:lineRule="auto"/>
        <w:ind w:left="14" w:right="80" w:firstLine="475"/>
        <w:rPr>
          <w:rFonts w:ascii="宋体" w:hAnsi="宋体" w:eastAsia="宋体" w:cs="宋体"/>
          <w:sz w:val="23"/>
          <w:szCs w:val="23"/>
        </w:rPr>
      </w:pPr>
      <w:r>
        <w:rPr>
          <w:rFonts w:ascii="宋体" w:hAnsi="宋体" w:eastAsia="宋体" w:cs="宋体"/>
          <w:spacing w:val="8"/>
          <w:sz w:val="23"/>
          <w:szCs w:val="23"/>
        </w:rPr>
        <w:t>好</w:t>
      </w:r>
      <w:r>
        <w:rPr>
          <w:rFonts w:ascii="宋体" w:hAnsi="宋体" w:eastAsia="宋体" w:cs="宋体"/>
          <w:spacing w:val="7"/>
          <w:sz w:val="23"/>
          <w:szCs w:val="23"/>
        </w:rPr>
        <w:t>氧发酵分解的产物主要为水、二氧化碳和极少量氦气，它不同于沼气发酵的厌氧发酵</w:t>
      </w:r>
      <w:r>
        <w:rPr>
          <w:rFonts w:ascii="宋体" w:hAnsi="宋体" w:eastAsia="宋体" w:cs="宋体"/>
          <w:sz w:val="23"/>
          <w:szCs w:val="23"/>
        </w:rPr>
        <w:t xml:space="preserve"> </w:t>
      </w:r>
      <w:r>
        <w:rPr>
          <w:rFonts w:ascii="宋体" w:hAnsi="宋体" w:eastAsia="宋体" w:cs="宋体"/>
          <w:spacing w:val="9"/>
          <w:sz w:val="23"/>
          <w:szCs w:val="23"/>
        </w:rPr>
        <w:t>原</w:t>
      </w:r>
      <w:r>
        <w:rPr>
          <w:rFonts w:ascii="宋体" w:hAnsi="宋体" w:eastAsia="宋体" w:cs="宋体"/>
          <w:spacing w:val="7"/>
          <w:sz w:val="23"/>
          <w:szCs w:val="23"/>
        </w:rPr>
        <w:t>理，会产硫化氢和大量氨气等有臭味的气体。异位微生物发酵可以很好地消除养殖场粪污</w:t>
      </w:r>
      <w:r>
        <w:rPr>
          <w:rFonts w:ascii="宋体" w:hAnsi="宋体" w:eastAsia="宋体" w:cs="宋体"/>
          <w:sz w:val="23"/>
          <w:szCs w:val="23"/>
        </w:rPr>
        <w:t xml:space="preserve"> </w:t>
      </w:r>
      <w:r>
        <w:rPr>
          <w:rFonts w:ascii="宋体" w:hAnsi="宋体" w:eastAsia="宋体" w:cs="宋体"/>
          <w:spacing w:val="12"/>
          <w:sz w:val="23"/>
          <w:szCs w:val="23"/>
        </w:rPr>
        <w:t>处</w:t>
      </w:r>
      <w:r>
        <w:rPr>
          <w:rFonts w:ascii="宋体" w:hAnsi="宋体" w:eastAsia="宋体" w:cs="宋体"/>
          <w:spacing w:val="7"/>
          <w:sz w:val="23"/>
          <w:szCs w:val="23"/>
        </w:rPr>
        <w:t>理固有的臭味问题。</w:t>
      </w:r>
    </w:p>
    <w:p w14:paraId="2321F84C">
      <w:pPr>
        <w:spacing w:line="227" w:lineRule="auto"/>
        <w:ind w:left="501"/>
        <w:rPr>
          <w:rFonts w:ascii="宋体" w:hAnsi="宋体" w:eastAsia="宋体" w:cs="宋体"/>
          <w:sz w:val="23"/>
          <w:szCs w:val="23"/>
        </w:rPr>
      </w:pP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7"/>
          <w:sz w:val="23"/>
          <w:szCs w:val="23"/>
        </w:rPr>
        <w:t>2</w:t>
      </w:r>
      <w:r>
        <w:rPr>
          <w:rFonts w:ascii="宋体" w:hAnsi="宋体" w:eastAsia="宋体" w:cs="宋体"/>
          <w:spacing w:val="17"/>
          <w:sz w:val="23"/>
          <w:szCs w:val="23"/>
          <w14:textOutline w14:w="4356" w14:cap="sq" w14:cmpd="sng" w14:algn="ctr">
            <w14:solidFill>
              <w14:srgbClr w14:val="000000"/>
            </w14:solidFill>
            <w14:prstDash w14:val="solid"/>
            <w14:bevel/>
          </w14:textOutline>
        </w:rPr>
        <w:t>)</w:t>
      </w:r>
      <w:r>
        <w:rPr>
          <w:rFonts w:ascii="宋体" w:hAnsi="宋体" w:eastAsia="宋体" w:cs="宋体"/>
          <w:spacing w:val="17"/>
          <w:sz w:val="23"/>
          <w:szCs w:val="23"/>
        </w:rPr>
        <w:t xml:space="preserve"> </w:t>
      </w:r>
      <w:r>
        <w:rPr>
          <w:rFonts w:ascii="宋体" w:hAnsi="宋体" w:eastAsia="宋体" w:cs="宋体"/>
          <w:spacing w:val="17"/>
          <w:sz w:val="23"/>
          <w:szCs w:val="23"/>
          <w14:textOutline w14:w="4356" w14:cap="sq" w14:cmpd="sng" w14:algn="ctr">
            <w14:solidFill>
              <w14:srgbClr w14:val="000000"/>
            </w14:solidFill>
            <w14:prstDash w14:val="solid"/>
            <w14:bevel/>
          </w14:textOutline>
        </w:rPr>
        <w:t>技术关键点：</w:t>
      </w:r>
    </w:p>
    <w:p w14:paraId="693F4825">
      <w:pPr>
        <w:spacing w:before="184" w:line="375" w:lineRule="auto"/>
        <w:ind w:left="11" w:right="65" w:firstLine="480"/>
        <w:rPr>
          <w:rFonts w:ascii="宋体" w:hAnsi="宋体" w:eastAsia="宋体" w:cs="宋体"/>
          <w:sz w:val="23"/>
          <w:szCs w:val="23"/>
        </w:rPr>
      </w:pPr>
      <w:r>
        <w:rPr>
          <w:rFonts w:ascii="宋体" w:hAnsi="宋体" w:eastAsia="宋体" w:cs="宋体"/>
          <w:spacing w:val="7"/>
          <w:sz w:val="23"/>
          <w:szCs w:val="23"/>
          <w14:textOutline w14:w="4356" w14:cap="sq" w14:cmpd="sng" w14:algn="ctr">
            <w14:solidFill>
              <w14:srgbClr w14:val="000000"/>
            </w14:solidFill>
            <w14:prstDash w14:val="solid"/>
            <w14:bevel/>
          </w14:textOutline>
        </w:rPr>
        <w:t>专用异位发酵成套设施设备：</w:t>
      </w:r>
      <w:r>
        <w:rPr>
          <w:rFonts w:ascii="宋体" w:hAnsi="宋体" w:eastAsia="宋体" w:cs="宋体"/>
          <w:spacing w:val="7"/>
          <w:sz w:val="23"/>
          <w:szCs w:val="23"/>
        </w:rPr>
        <w:t>异位发酵设施包括集污池、喷淋池、异位发酵池 (槽) 及</w:t>
      </w:r>
      <w:r>
        <w:rPr>
          <w:rFonts w:ascii="宋体" w:hAnsi="宋体" w:eastAsia="宋体" w:cs="宋体"/>
          <w:sz w:val="23"/>
          <w:szCs w:val="23"/>
        </w:rPr>
        <w:t xml:space="preserve"> </w:t>
      </w:r>
      <w:r>
        <w:rPr>
          <w:rFonts w:ascii="宋体" w:hAnsi="宋体" w:eastAsia="宋体" w:cs="宋体"/>
          <w:spacing w:val="6"/>
          <w:sz w:val="23"/>
          <w:szCs w:val="23"/>
        </w:rPr>
        <w:t>其阳光棚等，配套设备包括粪污切割泵、搅拌机、 自动喷淋机、曝气系统等</w:t>
      </w:r>
      <w:r>
        <w:rPr>
          <w:rFonts w:ascii="宋体" w:hAnsi="宋体" w:eastAsia="宋体" w:cs="宋体"/>
          <w:sz w:val="23"/>
          <w:szCs w:val="23"/>
        </w:rPr>
        <w:t>。</w:t>
      </w:r>
    </w:p>
    <w:p w14:paraId="3BBFB568">
      <w:pPr>
        <w:spacing w:before="2" w:line="374" w:lineRule="auto"/>
        <w:ind w:left="4" w:right="73" w:firstLine="488"/>
        <w:rPr>
          <w:rFonts w:ascii="宋体" w:hAnsi="宋体" w:eastAsia="宋体" w:cs="宋体"/>
          <w:sz w:val="23"/>
          <w:szCs w:val="23"/>
        </w:rPr>
      </w:pPr>
      <w:r>
        <w:rPr>
          <w:rFonts w:ascii="宋体" w:hAnsi="宋体" w:eastAsia="宋体" w:cs="宋体"/>
          <w:spacing w:val="10"/>
          <w:sz w:val="23"/>
          <w:szCs w:val="23"/>
          <w14:textOutline w14:w="4356" w14:cap="sq" w14:cmpd="sng" w14:algn="ctr">
            <w14:solidFill>
              <w14:srgbClr w14:val="000000"/>
            </w14:solidFill>
            <w14:prstDash w14:val="solid"/>
            <w14:bevel/>
          </w14:textOutline>
        </w:rPr>
        <w:t>异位</w:t>
      </w:r>
      <w:r>
        <w:rPr>
          <w:rFonts w:ascii="宋体" w:hAnsi="宋体" w:eastAsia="宋体" w:cs="宋体"/>
          <w:spacing w:val="9"/>
          <w:sz w:val="23"/>
          <w:szCs w:val="23"/>
          <w14:textOutline w14:w="4356" w14:cap="sq" w14:cmpd="sng" w14:algn="ctr">
            <w14:solidFill>
              <w14:srgbClr w14:val="000000"/>
            </w14:solidFill>
            <w14:prstDash w14:val="solid"/>
            <w14:bevel/>
          </w14:textOutline>
        </w:rPr>
        <w:t>发</w:t>
      </w:r>
      <w:r>
        <w:rPr>
          <w:rFonts w:ascii="宋体" w:hAnsi="宋体" w:eastAsia="宋体" w:cs="宋体"/>
          <w:spacing w:val="5"/>
          <w:sz w:val="23"/>
          <w:szCs w:val="23"/>
          <w14:textOutline w14:w="4356" w14:cap="sq" w14:cmpd="sng" w14:algn="ctr">
            <w14:solidFill>
              <w14:srgbClr w14:val="000000"/>
            </w14:solidFill>
            <w14:prstDash w14:val="solid"/>
            <w14:bevel/>
          </w14:textOutline>
        </w:rPr>
        <w:t>酵阳光棚：</w:t>
      </w:r>
      <w:r>
        <w:rPr>
          <w:rFonts w:ascii="宋体" w:hAnsi="宋体" w:eastAsia="宋体" w:cs="宋体"/>
          <w:spacing w:val="5"/>
          <w:sz w:val="23"/>
          <w:szCs w:val="23"/>
        </w:rPr>
        <w:t xml:space="preserve">建筑层数 </w:t>
      </w:r>
      <w:r>
        <w:rPr>
          <w:rFonts w:ascii="Times New Roman" w:hAnsi="Times New Roman" w:eastAsia="Times New Roman" w:cs="Times New Roman"/>
          <w:spacing w:val="5"/>
          <w:sz w:val="23"/>
          <w:szCs w:val="23"/>
        </w:rPr>
        <w:t xml:space="preserve">1 </w:t>
      </w:r>
      <w:r>
        <w:rPr>
          <w:rFonts w:ascii="宋体" w:hAnsi="宋体" w:eastAsia="宋体" w:cs="宋体"/>
          <w:spacing w:val="5"/>
          <w:sz w:val="23"/>
          <w:szCs w:val="23"/>
        </w:rPr>
        <w:t>层，结构形式为轻钢结构，内设发酵槽与喷淋池。高檐高</w:t>
      </w:r>
      <w:r>
        <w:rPr>
          <w:rFonts w:ascii="宋体" w:hAnsi="宋体" w:eastAsia="宋体" w:cs="宋体"/>
          <w:sz w:val="23"/>
          <w:szCs w:val="23"/>
        </w:rPr>
        <w:t xml:space="preserve"> </w:t>
      </w:r>
      <w:r>
        <w:rPr>
          <w:rFonts w:ascii="Times New Roman" w:hAnsi="Times New Roman" w:eastAsia="Times New Roman" w:cs="Times New Roman"/>
          <w:spacing w:val="7"/>
          <w:sz w:val="23"/>
          <w:szCs w:val="23"/>
        </w:rPr>
        <w:t xml:space="preserve">4.5 </w:t>
      </w:r>
      <w:r>
        <w:rPr>
          <w:rFonts w:ascii="宋体" w:hAnsi="宋体" w:eastAsia="宋体" w:cs="宋体"/>
          <w:spacing w:val="7"/>
          <w:sz w:val="23"/>
          <w:szCs w:val="23"/>
        </w:rPr>
        <w:t>米，</w:t>
      </w:r>
      <w:r>
        <w:rPr>
          <w:rFonts w:ascii="Times New Roman" w:hAnsi="Times New Roman" w:eastAsia="Times New Roman" w:cs="Times New Roman"/>
          <w:spacing w:val="7"/>
          <w:sz w:val="23"/>
          <w:szCs w:val="23"/>
        </w:rPr>
        <w:t xml:space="preserve">1.8/2/2.3 </w:t>
      </w:r>
      <w:r>
        <w:rPr>
          <w:rFonts w:ascii="宋体" w:hAnsi="宋体" w:eastAsia="宋体" w:cs="宋体"/>
          <w:spacing w:val="7"/>
          <w:sz w:val="23"/>
          <w:szCs w:val="23"/>
        </w:rPr>
        <w:t>米墙，配套卷帘布、铝合金卷帘门</w:t>
      </w:r>
      <w:r>
        <w:rPr>
          <w:rFonts w:ascii="宋体" w:hAnsi="宋体" w:eastAsia="宋体" w:cs="宋体"/>
          <w:sz w:val="23"/>
          <w:szCs w:val="23"/>
        </w:rPr>
        <w:t>。</w:t>
      </w:r>
    </w:p>
    <w:p w14:paraId="449F1F9D">
      <w:pPr>
        <w:spacing w:before="5" w:line="374" w:lineRule="auto"/>
        <w:ind w:left="8" w:right="77" w:firstLine="480"/>
        <w:rPr>
          <w:rFonts w:ascii="宋体" w:hAnsi="宋体" w:eastAsia="宋体" w:cs="宋体"/>
          <w:sz w:val="23"/>
          <w:szCs w:val="23"/>
        </w:rPr>
      </w:pPr>
      <w:r>
        <w:rPr>
          <w:rFonts w:ascii="宋体" w:hAnsi="宋体" w:eastAsia="宋体" w:cs="宋体"/>
          <w:spacing w:val="11"/>
          <w:sz w:val="23"/>
          <w:szCs w:val="23"/>
          <w14:textOutline w14:w="4356" w14:cap="sq" w14:cmpd="sng" w14:algn="ctr">
            <w14:solidFill>
              <w14:srgbClr w14:val="000000"/>
            </w14:solidFill>
            <w14:prstDash w14:val="solid"/>
            <w14:bevel/>
          </w14:textOutline>
        </w:rPr>
        <w:t>切</w:t>
      </w:r>
      <w:r>
        <w:rPr>
          <w:rFonts w:ascii="宋体" w:hAnsi="宋体" w:eastAsia="宋体" w:cs="宋体"/>
          <w:spacing w:val="7"/>
          <w:sz w:val="23"/>
          <w:szCs w:val="23"/>
          <w14:textOutline w14:w="4356" w14:cap="sq" w14:cmpd="sng" w14:algn="ctr">
            <w14:solidFill>
              <w14:srgbClr w14:val="000000"/>
            </w14:solidFill>
            <w14:prstDash w14:val="solid"/>
            <w14:bevel/>
          </w14:textOutline>
        </w:rPr>
        <w:t>割泵：</w:t>
      </w:r>
      <w:r>
        <w:rPr>
          <w:rFonts w:ascii="宋体" w:hAnsi="宋体" w:eastAsia="宋体" w:cs="宋体"/>
          <w:spacing w:val="7"/>
          <w:sz w:val="23"/>
          <w:szCs w:val="23"/>
        </w:rPr>
        <w:t>对混入集污池的异物进行切割，防止堵塞管道：搅拌机：粪便与尿液和污水充</w:t>
      </w:r>
      <w:r>
        <w:rPr>
          <w:rFonts w:ascii="宋体" w:hAnsi="宋体" w:eastAsia="宋体" w:cs="宋体"/>
          <w:sz w:val="23"/>
          <w:szCs w:val="23"/>
        </w:rPr>
        <w:t xml:space="preserve"> </w:t>
      </w:r>
      <w:r>
        <w:rPr>
          <w:rFonts w:ascii="宋体" w:hAnsi="宋体" w:eastAsia="宋体" w:cs="宋体"/>
          <w:spacing w:val="14"/>
          <w:sz w:val="23"/>
          <w:szCs w:val="23"/>
        </w:rPr>
        <w:t>分</w:t>
      </w:r>
      <w:r>
        <w:rPr>
          <w:rFonts w:ascii="宋体" w:hAnsi="宋体" w:eastAsia="宋体" w:cs="宋体"/>
          <w:spacing w:val="9"/>
          <w:sz w:val="23"/>
          <w:szCs w:val="23"/>
        </w:rPr>
        <w:t>混</w:t>
      </w:r>
      <w:r>
        <w:rPr>
          <w:rFonts w:ascii="宋体" w:hAnsi="宋体" w:eastAsia="宋体" w:cs="宋体"/>
          <w:spacing w:val="7"/>
          <w:sz w:val="23"/>
          <w:szCs w:val="23"/>
        </w:rPr>
        <w:t>合，防止分层沉淀：自动喷淋机：确保每道发酵槽都能均匀喷淋粪污：智能翻抛机最大</w:t>
      </w:r>
      <w:r>
        <w:rPr>
          <w:rFonts w:ascii="宋体" w:hAnsi="宋体" w:eastAsia="宋体" w:cs="宋体"/>
          <w:sz w:val="23"/>
          <w:szCs w:val="23"/>
        </w:rPr>
        <w:t xml:space="preserve"> </w:t>
      </w:r>
      <w:r>
        <w:rPr>
          <w:rFonts w:ascii="宋体" w:hAnsi="宋体" w:eastAsia="宋体" w:cs="宋体"/>
          <w:spacing w:val="12"/>
          <w:sz w:val="23"/>
          <w:szCs w:val="23"/>
        </w:rPr>
        <w:t xml:space="preserve">翻抛深度 </w:t>
      </w:r>
      <w:r>
        <w:rPr>
          <w:rFonts w:ascii="Times New Roman" w:hAnsi="Times New Roman" w:eastAsia="Times New Roman" w:cs="Times New Roman"/>
          <w:spacing w:val="9"/>
          <w:sz w:val="23"/>
          <w:szCs w:val="23"/>
        </w:rPr>
        <w:t>1</w:t>
      </w:r>
      <w:r>
        <w:rPr>
          <w:rFonts w:ascii="Times New Roman" w:hAnsi="Times New Roman" w:eastAsia="Times New Roman" w:cs="Times New Roman"/>
          <w:spacing w:val="6"/>
          <w:sz w:val="23"/>
          <w:szCs w:val="23"/>
        </w:rPr>
        <w:t xml:space="preserve">.8 </w:t>
      </w:r>
      <w:r>
        <w:rPr>
          <w:rFonts w:ascii="宋体" w:hAnsi="宋体" w:eastAsia="宋体" w:cs="宋体"/>
          <w:spacing w:val="6"/>
          <w:sz w:val="23"/>
          <w:szCs w:val="23"/>
        </w:rPr>
        <w:t>米，可升降；好氧发酵均匀；工作过程无空行程、双向工作；曝气系统：当发</w:t>
      </w:r>
      <w:r>
        <w:rPr>
          <w:rFonts w:ascii="宋体" w:hAnsi="宋体" w:eastAsia="宋体" w:cs="宋体"/>
          <w:sz w:val="23"/>
          <w:szCs w:val="23"/>
        </w:rPr>
        <w:t xml:space="preserve"> </w:t>
      </w:r>
      <w:r>
        <w:rPr>
          <w:rFonts w:ascii="宋体" w:hAnsi="宋体" w:eastAsia="宋体" w:cs="宋体"/>
          <w:spacing w:val="14"/>
          <w:sz w:val="23"/>
          <w:szCs w:val="23"/>
        </w:rPr>
        <w:t>酵</w:t>
      </w:r>
      <w:r>
        <w:rPr>
          <w:rFonts w:ascii="宋体" w:hAnsi="宋体" w:eastAsia="宋体" w:cs="宋体"/>
          <w:spacing w:val="9"/>
          <w:sz w:val="23"/>
          <w:szCs w:val="23"/>
        </w:rPr>
        <w:t>床</w:t>
      </w:r>
      <w:r>
        <w:rPr>
          <w:rFonts w:ascii="宋体" w:hAnsi="宋体" w:eastAsia="宋体" w:cs="宋体"/>
          <w:spacing w:val="7"/>
          <w:sz w:val="23"/>
          <w:szCs w:val="23"/>
        </w:rPr>
        <w:t>氧气不足时，通过曝气系统提供充足的氧气，提高发酵床的水分蒸发效率，确保发酵床</w:t>
      </w:r>
      <w:r>
        <w:rPr>
          <w:rFonts w:ascii="宋体" w:hAnsi="宋体" w:eastAsia="宋体" w:cs="宋体"/>
          <w:sz w:val="23"/>
          <w:szCs w:val="23"/>
        </w:rPr>
        <w:t xml:space="preserve"> </w:t>
      </w:r>
      <w:r>
        <w:rPr>
          <w:rFonts w:ascii="宋体" w:hAnsi="宋体" w:eastAsia="宋体" w:cs="宋体"/>
          <w:spacing w:val="7"/>
          <w:sz w:val="23"/>
          <w:szCs w:val="23"/>
        </w:rPr>
        <w:t>的正常运行。</w:t>
      </w:r>
    </w:p>
    <w:p w14:paraId="278C92CB">
      <w:pPr>
        <w:spacing w:line="380" w:lineRule="auto"/>
        <w:ind w:left="10" w:right="18" w:firstLine="482"/>
        <w:rPr>
          <w:rFonts w:ascii="宋体" w:hAnsi="宋体" w:eastAsia="宋体" w:cs="宋体"/>
          <w:sz w:val="23"/>
          <w:szCs w:val="23"/>
        </w:rPr>
      </w:pPr>
      <w:r>
        <w:rPr>
          <w:rFonts w:ascii="宋体" w:hAnsi="宋体" w:eastAsia="宋体" w:cs="宋体"/>
          <w:spacing w:val="12"/>
          <w:sz w:val="23"/>
          <w:szCs w:val="23"/>
          <w14:textOutline w14:w="4356" w14:cap="sq" w14:cmpd="sng" w14:algn="ctr">
            <w14:solidFill>
              <w14:srgbClr w14:val="000000"/>
            </w14:solidFill>
            <w14:prstDash w14:val="solid"/>
            <w14:bevel/>
          </w14:textOutline>
        </w:rPr>
        <w:t>异</w:t>
      </w:r>
      <w:r>
        <w:rPr>
          <w:rFonts w:ascii="宋体" w:hAnsi="宋体" w:eastAsia="宋体" w:cs="宋体"/>
          <w:spacing w:val="7"/>
          <w:sz w:val="23"/>
          <w:szCs w:val="23"/>
          <w14:textOutline w14:w="4356" w14:cap="sq" w14:cmpd="sng" w14:algn="ctr">
            <w14:solidFill>
              <w14:srgbClr w14:val="000000"/>
            </w14:solidFill>
            <w14:prstDash w14:val="solid"/>
            <w14:bevel/>
          </w14:textOutline>
        </w:rPr>
        <w:t>位发酵专用菌种：</w:t>
      </w:r>
      <w:r>
        <w:rPr>
          <w:rFonts w:ascii="宋体" w:hAnsi="宋体" w:eastAsia="宋体" w:cs="宋体"/>
          <w:spacing w:val="7"/>
          <w:sz w:val="23"/>
          <w:szCs w:val="23"/>
        </w:rPr>
        <w:t>微生物异位发酵主要利用微生物好氧发酵对有机物进行降解，因此</w:t>
      </w:r>
      <w:r>
        <w:rPr>
          <w:rFonts w:ascii="宋体" w:hAnsi="宋体" w:eastAsia="宋体" w:cs="宋体"/>
          <w:sz w:val="23"/>
          <w:szCs w:val="23"/>
        </w:rPr>
        <w:t xml:space="preserve"> </w:t>
      </w:r>
      <w:r>
        <w:rPr>
          <w:rFonts w:ascii="宋体" w:hAnsi="宋体" w:eastAsia="宋体" w:cs="宋体"/>
          <w:spacing w:val="3"/>
          <w:sz w:val="23"/>
          <w:szCs w:val="23"/>
        </w:rPr>
        <w:t>菌种降解效率是整个系统的关键。好氧发酵同时会产生大量热量，使发酵床的温度不断上</w:t>
      </w:r>
      <w:r>
        <w:rPr>
          <w:rFonts w:ascii="宋体" w:hAnsi="宋体" w:eastAsia="宋体" w:cs="宋体"/>
          <w:spacing w:val="1"/>
          <w:sz w:val="23"/>
          <w:szCs w:val="23"/>
        </w:rPr>
        <w:t>升</w:t>
      </w:r>
      <w:r>
        <w:rPr>
          <w:rFonts w:ascii="宋体" w:hAnsi="宋体" w:eastAsia="宋体" w:cs="宋体"/>
          <w:sz w:val="23"/>
          <w:szCs w:val="23"/>
        </w:rPr>
        <w:t xml:space="preserve">， </w:t>
      </w:r>
      <w:r>
        <w:rPr>
          <w:rFonts w:ascii="宋体" w:hAnsi="宋体" w:eastAsia="宋体" w:cs="宋体"/>
          <w:spacing w:val="8"/>
          <w:sz w:val="23"/>
          <w:szCs w:val="23"/>
        </w:rPr>
        <w:t xml:space="preserve">通常温度会达到 </w:t>
      </w:r>
      <w:r>
        <w:rPr>
          <w:rFonts w:ascii="Times New Roman" w:hAnsi="Times New Roman" w:eastAsia="Times New Roman" w:cs="Times New Roman"/>
          <w:spacing w:val="6"/>
          <w:sz w:val="23"/>
          <w:szCs w:val="23"/>
        </w:rPr>
        <w:t>5</w:t>
      </w:r>
      <w:r>
        <w:rPr>
          <w:rFonts w:ascii="Times New Roman" w:hAnsi="Times New Roman" w:eastAsia="Times New Roman" w:cs="Times New Roman"/>
          <w:spacing w:val="4"/>
          <w:sz w:val="23"/>
          <w:szCs w:val="23"/>
        </w:rPr>
        <w:t>5-65</w:t>
      </w:r>
      <w:r>
        <w:rPr>
          <w:rFonts w:ascii="宋体" w:hAnsi="宋体" w:eastAsia="宋体" w:cs="宋体"/>
          <w:spacing w:val="4"/>
          <w:sz w:val="23"/>
          <w:szCs w:val="23"/>
        </w:rPr>
        <w:t>℃ 。在这个温度范围内绝大多数微生物会失活或直接被杀死，所以选</w:t>
      </w:r>
    </w:p>
    <w:p w14:paraId="56E83788">
      <w:pPr>
        <w:sectPr>
          <w:footerReference r:id="rId103" w:type="default"/>
          <w:pgSz w:w="11907" w:h="16840"/>
          <w:pgMar w:top="829" w:right="1053" w:bottom="1139" w:left="1275" w:header="595" w:footer="953" w:gutter="0"/>
          <w:cols w:space="720" w:num="1"/>
        </w:sectPr>
      </w:pPr>
    </w:p>
    <w:p w14:paraId="25A748AE">
      <w:pPr>
        <w:spacing w:before="146" w:line="227" w:lineRule="auto"/>
        <w:ind w:left="12"/>
        <w:rPr>
          <w:rFonts w:ascii="宋体" w:hAnsi="宋体" w:eastAsia="宋体" w:cs="宋体"/>
          <w:sz w:val="23"/>
          <w:szCs w:val="23"/>
        </w:rPr>
      </w:pPr>
      <w:r>
        <w:rPr>
          <w:rFonts w:ascii="宋体" w:hAnsi="宋体" w:eastAsia="宋体" w:cs="宋体"/>
          <w:spacing w:val="17"/>
          <w:sz w:val="23"/>
          <w:szCs w:val="23"/>
        </w:rPr>
        <w:t>用</w:t>
      </w:r>
      <w:r>
        <w:rPr>
          <w:rFonts w:ascii="宋体" w:hAnsi="宋体" w:eastAsia="宋体" w:cs="宋体"/>
          <w:spacing w:val="9"/>
          <w:sz w:val="23"/>
          <w:szCs w:val="23"/>
        </w:rPr>
        <w:t>耐高温、高效的专用菌种是该异位发酵是否成功的关键条件之一。</w:t>
      </w:r>
    </w:p>
    <w:p w14:paraId="1D9C00BF">
      <w:pPr>
        <w:spacing w:before="182" w:line="375" w:lineRule="auto"/>
        <w:ind w:left="10" w:right="75" w:firstLine="480"/>
        <w:rPr>
          <w:rFonts w:ascii="宋体" w:hAnsi="宋体" w:eastAsia="宋体" w:cs="宋体"/>
          <w:sz w:val="23"/>
          <w:szCs w:val="23"/>
        </w:rPr>
      </w:pPr>
      <w:r>
        <w:rPr>
          <w:rFonts w:ascii="宋体" w:hAnsi="宋体" w:eastAsia="宋体" w:cs="宋体"/>
          <w:spacing w:val="8"/>
          <w:sz w:val="23"/>
          <w:szCs w:val="23"/>
        </w:rPr>
        <w:t>微</w:t>
      </w:r>
      <w:r>
        <w:rPr>
          <w:rFonts w:ascii="宋体" w:hAnsi="宋体" w:eastAsia="宋体" w:cs="宋体"/>
          <w:spacing w:val="7"/>
          <w:sz w:val="23"/>
          <w:szCs w:val="23"/>
        </w:rPr>
        <w:t>生物在繁殖过程中随着繁殖代数增加会逐渐退化，降解有机物能力随之降低。农科公</w:t>
      </w:r>
      <w:r>
        <w:rPr>
          <w:rFonts w:ascii="宋体" w:hAnsi="宋体" w:eastAsia="宋体" w:cs="宋体"/>
          <w:sz w:val="23"/>
          <w:szCs w:val="23"/>
        </w:rPr>
        <w:t xml:space="preserve"> </w:t>
      </w:r>
      <w:r>
        <w:rPr>
          <w:rFonts w:ascii="宋体" w:hAnsi="宋体" w:eastAsia="宋体" w:cs="宋体"/>
          <w:spacing w:val="14"/>
          <w:sz w:val="23"/>
          <w:szCs w:val="23"/>
        </w:rPr>
        <w:t>司</w:t>
      </w:r>
      <w:r>
        <w:rPr>
          <w:rFonts w:ascii="宋体" w:hAnsi="宋体" w:eastAsia="宋体" w:cs="宋体"/>
          <w:spacing w:val="7"/>
          <w:sz w:val="23"/>
          <w:szCs w:val="23"/>
        </w:rPr>
        <w:t>联合福建省农业科学院以耐高温、缺碳生长、缺氧生长等为标准，从采集保存的土壤、猪</w:t>
      </w:r>
      <w:r>
        <w:rPr>
          <w:rFonts w:ascii="宋体" w:hAnsi="宋体" w:eastAsia="宋体" w:cs="宋体"/>
          <w:sz w:val="23"/>
          <w:szCs w:val="23"/>
        </w:rPr>
        <w:t xml:space="preserve"> </w:t>
      </w:r>
      <w:r>
        <w:rPr>
          <w:rFonts w:ascii="宋体" w:hAnsi="宋体" w:eastAsia="宋体" w:cs="宋体"/>
          <w:spacing w:val="14"/>
          <w:sz w:val="23"/>
          <w:szCs w:val="23"/>
        </w:rPr>
        <w:t>粪</w:t>
      </w:r>
      <w:r>
        <w:rPr>
          <w:rFonts w:ascii="宋体" w:hAnsi="宋体" w:eastAsia="宋体" w:cs="宋体"/>
          <w:spacing w:val="7"/>
          <w:sz w:val="23"/>
          <w:szCs w:val="23"/>
        </w:rPr>
        <w:t>、堆肥等样品以及国内外引进的菌株中进行分离筛选，最终获得的异位微生物发酵专用菌</w:t>
      </w:r>
      <w:r>
        <w:rPr>
          <w:rFonts w:ascii="宋体" w:hAnsi="宋体" w:eastAsia="宋体" w:cs="宋体"/>
          <w:sz w:val="23"/>
          <w:szCs w:val="23"/>
        </w:rPr>
        <w:t xml:space="preserve"> </w:t>
      </w:r>
      <w:r>
        <w:rPr>
          <w:rFonts w:ascii="宋体" w:hAnsi="宋体" w:eastAsia="宋体" w:cs="宋体"/>
          <w:spacing w:val="7"/>
          <w:sz w:val="23"/>
          <w:szCs w:val="23"/>
        </w:rPr>
        <w:t>种 (工程菌) 具有自我繁殖能力强，菌种退化慢，纤维素酶含量低、运行成本低等优势。</w:t>
      </w:r>
      <w:r>
        <w:rPr>
          <w:rFonts w:ascii="宋体" w:hAnsi="宋体" w:eastAsia="宋体" w:cs="宋体"/>
          <w:spacing w:val="5"/>
          <w:sz w:val="23"/>
          <w:szCs w:val="23"/>
        </w:rPr>
        <w:t>而</w:t>
      </w:r>
      <w:r>
        <w:rPr>
          <w:rFonts w:ascii="宋体" w:hAnsi="宋体" w:eastAsia="宋体" w:cs="宋体"/>
          <w:sz w:val="23"/>
          <w:szCs w:val="23"/>
        </w:rPr>
        <w:t xml:space="preserve"> </w:t>
      </w:r>
      <w:r>
        <w:rPr>
          <w:rFonts w:ascii="宋体" w:hAnsi="宋体" w:eastAsia="宋体" w:cs="宋体"/>
          <w:spacing w:val="14"/>
          <w:sz w:val="23"/>
          <w:szCs w:val="23"/>
        </w:rPr>
        <w:t>一般普</w:t>
      </w:r>
      <w:r>
        <w:rPr>
          <w:rFonts w:ascii="宋体" w:hAnsi="宋体" w:eastAsia="宋体" w:cs="宋体"/>
          <w:spacing w:val="13"/>
          <w:sz w:val="23"/>
          <w:szCs w:val="23"/>
        </w:rPr>
        <w:t>通</w:t>
      </w:r>
      <w:r>
        <w:rPr>
          <w:rFonts w:ascii="宋体" w:hAnsi="宋体" w:eastAsia="宋体" w:cs="宋体"/>
          <w:spacing w:val="7"/>
          <w:sz w:val="23"/>
          <w:szCs w:val="23"/>
        </w:rPr>
        <w:t xml:space="preserve">菌种分解效率极低，当温度上升到 </w:t>
      </w:r>
      <w:r>
        <w:rPr>
          <w:rFonts w:ascii="Times New Roman" w:hAnsi="Times New Roman" w:eastAsia="Times New Roman" w:cs="Times New Roman"/>
          <w:spacing w:val="7"/>
          <w:sz w:val="23"/>
          <w:szCs w:val="23"/>
        </w:rPr>
        <w:t>55-65</w:t>
      </w:r>
      <w:r>
        <w:rPr>
          <w:rFonts w:ascii="宋体" w:hAnsi="宋体" w:eastAsia="宋体" w:cs="宋体"/>
          <w:spacing w:val="7"/>
          <w:sz w:val="23"/>
          <w:szCs w:val="23"/>
        </w:rPr>
        <w:t>℃后基本失活而失去降解粪污的能力，极</w:t>
      </w:r>
      <w:r>
        <w:rPr>
          <w:rFonts w:ascii="宋体" w:hAnsi="宋体" w:eastAsia="宋体" w:cs="宋体"/>
          <w:sz w:val="23"/>
          <w:szCs w:val="23"/>
        </w:rPr>
        <w:t xml:space="preserve"> </w:t>
      </w:r>
      <w:r>
        <w:rPr>
          <w:rFonts w:ascii="宋体" w:hAnsi="宋体" w:eastAsia="宋体" w:cs="宋体"/>
          <w:spacing w:val="6"/>
          <w:sz w:val="23"/>
          <w:szCs w:val="23"/>
        </w:rPr>
        <w:t>易造成</w:t>
      </w:r>
      <w:r>
        <w:rPr>
          <w:rFonts w:ascii="Times New Roman" w:hAnsi="Times New Roman" w:eastAsia="Times New Roman" w:cs="Times New Roman"/>
          <w:spacing w:val="6"/>
          <w:sz w:val="23"/>
          <w:szCs w:val="23"/>
        </w:rPr>
        <w:t>“</w:t>
      </w:r>
      <w:r>
        <w:rPr>
          <w:rFonts w:ascii="宋体" w:hAnsi="宋体" w:eastAsia="宋体" w:cs="宋体"/>
          <w:spacing w:val="6"/>
          <w:sz w:val="23"/>
          <w:szCs w:val="23"/>
        </w:rPr>
        <w:t>死床</w:t>
      </w:r>
      <w:r>
        <w:rPr>
          <w:rFonts w:ascii="Times New Roman" w:hAnsi="Times New Roman" w:eastAsia="Times New Roman" w:cs="Times New Roman"/>
          <w:spacing w:val="6"/>
          <w:sz w:val="23"/>
          <w:szCs w:val="23"/>
        </w:rPr>
        <w:t>”</w:t>
      </w:r>
      <w:r>
        <w:rPr>
          <w:rFonts w:ascii="宋体" w:hAnsi="宋体" w:eastAsia="宋体" w:cs="宋体"/>
          <w:spacing w:val="6"/>
          <w:sz w:val="23"/>
          <w:szCs w:val="23"/>
        </w:rPr>
        <w:t>。</w:t>
      </w:r>
    </w:p>
    <w:p w14:paraId="04D56872">
      <w:pPr>
        <w:spacing w:before="1" w:line="374" w:lineRule="auto"/>
        <w:ind w:left="11" w:firstLine="481"/>
        <w:rPr>
          <w:rFonts w:ascii="宋体" w:hAnsi="宋体" w:eastAsia="宋体" w:cs="宋体"/>
          <w:sz w:val="23"/>
          <w:szCs w:val="23"/>
        </w:rPr>
      </w:pPr>
      <w:r>
        <w:rPr>
          <w:rFonts w:ascii="宋体" w:hAnsi="宋体" w:eastAsia="宋体" w:cs="宋体"/>
          <w:spacing w:val="12"/>
          <w:sz w:val="23"/>
          <w:szCs w:val="23"/>
          <w14:textOutline w14:w="4356" w14:cap="sq" w14:cmpd="sng" w14:algn="ctr">
            <w14:solidFill>
              <w14:srgbClr w14:val="000000"/>
            </w14:solidFill>
            <w14:prstDash w14:val="solid"/>
            <w14:bevel/>
          </w14:textOutline>
        </w:rPr>
        <w:t>异位发</w:t>
      </w:r>
      <w:r>
        <w:rPr>
          <w:rFonts w:ascii="宋体" w:hAnsi="宋体" w:eastAsia="宋体" w:cs="宋体"/>
          <w:spacing w:val="7"/>
          <w:sz w:val="23"/>
          <w:szCs w:val="23"/>
          <w14:textOutline w14:w="4356" w14:cap="sq" w14:cmpd="sng" w14:algn="ctr">
            <w14:solidFill>
              <w14:srgbClr w14:val="000000"/>
            </w14:solidFill>
            <w14:prstDash w14:val="solid"/>
            <w14:bevel/>
          </w14:textOutline>
        </w:rPr>
        <w:t>酵</w:t>
      </w:r>
      <w:r>
        <w:rPr>
          <w:rFonts w:ascii="宋体" w:hAnsi="宋体" w:eastAsia="宋体" w:cs="宋体"/>
          <w:spacing w:val="6"/>
          <w:sz w:val="23"/>
          <w:szCs w:val="23"/>
          <w14:textOutline w14:w="4356" w14:cap="sq" w14:cmpd="sng" w14:algn="ctr">
            <w14:solidFill>
              <w14:srgbClr w14:val="000000"/>
            </w14:solidFill>
            <w14:prstDash w14:val="solid"/>
            <w14:bevel/>
          </w14:textOutline>
        </w:rPr>
        <w:t>池</w:t>
      </w:r>
      <w:r>
        <w:rPr>
          <w:rFonts w:ascii="宋体" w:hAnsi="宋体" w:eastAsia="宋体" w:cs="宋体"/>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(槽)</w:t>
      </w:r>
      <w:r>
        <w:rPr>
          <w:rFonts w:ascii="宋体" w:hAnsi="宋体" w:eastAsia="宋体" w:cs="宋体"/>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容量：</w:t>
      </w:r>
      <w:r>
        <w:rPr>
          <w:rFonts w:ascii="宋体" w:hAnsi="宋体" w:eastAsia="宋体" w:cs="宋体"/>
          <w:spacing w:val="6"/>
          <w:sz w:val="23"/>
          <w:szCs w:val="23"/>
        </w:rPr>
        <w:t>在粪污处理区内建造异位发酵池 (槽) ，其容量按每立方米发</w:t>
      </w:r>
      <w:r>
        <w:rPr>
          <w:rFonts w:ascii="宋体" w:hAnsi="宋体" w:eastAsia="宋体" w:cs="宋体"/>
          <w:sz w:val="23"/>
          <w:szCs w:val="23"/>
        </w:rPr>
        <w:t xml:space="preserve"> </w:t>
      </w:r>
      <w:r>
        <w:rPr>
          <w:rFonts w:ascii="宋体" w:hAnsi="宋体" w:eastAsia="宋体" w:cs="宋体"/>
          <w:spacing w:val="3"/>
          <w:sz w:val="23"/>
          <w:szCs w:val="23"/>
        </w:rPr>
        <w:t xml:space="preserve">酵基质每日可发酵处理粪污 </w:t>
      </w:r>
      <w:r>
        <w:rPr>
          <w:rFonts w:ascii="Times New Roman" w:hAnsi="Times New Roman" w:eastAsia="Times New Roman" w:cs="Times New Roman"/>
          <w:spacing w:val="3"/>
          <w:sz w:val="23"/>
          <w:szCs w:val="23"/>
        </w:rPr>
        <w:t xml:space="preserve">30 </w:t>
      </w:r>
      <w:r>
        <w:rPr>
          <w:rFonts w:ascii="宋体" w:hAnsi="宋体" w:eastAsia="宋体" w:cs="宋体"/>
          <w:spacing w:val="3"/>
          <w:sz w:val="23"/>
          <w:szCs w:val="23"/>
        </w:rPr>
        <w:t xml:space="preserve">千克的参数测算。发酵池 (槽) 的宽、高分别为 </w:t>
      </w:r>
      <w:r>
        <w:rPr>
          <w:rFonts w:ascii="Times New Roman" w:hAnsi="Times New Roman" w:eastAsia="Times New Roman" w:cs="Times New Roman"/>
          <w:spacing w:val="3"/>
          <w:sz w:val="23"/>
          <w:szCs w:val="23"/>
        </w:rPr>
        <w:t xml:space="preserve">4 </w:t>
      </w:r>
      <w:r>
        <w:rPr>
          <w:rFonts w:ascii="宋体" w:hAnsi="宋体" w:eastAsia="宋体" w:cs="宋体"/>
          <w:spacing w:val="3"/>
          <w:sz w:val="23"/>
          <w:szCs w:val="23"/>
        </w:rPr>
        <w:t>米的倍</w:t>
      </w:r>
      <w:r>
        <w:rPr>
          <w:rFonts w:ascii="宋体" w:hAnsi="宋体" w:eastAsia="宋体" w:cs="宋体"/>
          <w:spacing w:val="1"/>
          <w:sz w:val="23"/>
          <w:szCs w:val="23"/>
        </w:rPr>
        <w:t>数</w:t>
      </w:r>
      <w:r>
        <w:rPr>
          <w:rFonts w:ascii="宋体" w:hAnsi="宋体" w:eastAsia="宋体" w:cs="宋体"/>
          <w:sz w:val="23"/>
          <w:szCs w:val="23"/>
        </w:rPr>
        <w:t xml:space="preserve">、 </w:t>
      </w:r>
      <w:r>
        <w:rPr>
          <w:rFonts w:ascii="Times New Roman" w:hAnsi="Times New Roman" w:eastAsia="Times New Roman" w:cs="Times New Roman"/>
          <w:spacing w:val="11"/>
          <w:sz w:val="23"/>
          <w:szCs w:val="23"/>
        </w:rPr>
        <w:t>1</w:t>
      </w:r>
      <w:r>
        <w:rPr>
          <w:rFonts w:ascii="Times New Roman" w:hAnsi="Times New Roman" w:eastAsia="Times New Roman" w:cs="Times New Roman"/>
          <w:spacing w:val="7"/>
          <w:sz w:val="23"/>
          <w:szCs w:val="23"/>
        </w:rPr>
        <w:t xml:space="preserve">.8/2/2.3 </w:t>
      </w:r>
      <w:r>
        <w:rPr>
          <w:rFonts w:ascii="宋体" w:hAnsi="宋体" w:eastAsia="宋体" w:cs="宋体"/>
          <w:spacing w:val="7"/>
          <w:sz w:val="23"/>
          <w:szCs w:val="23"/>
        </w:rPr>
        <w:t>米，长度和发酵池 (槽) 的个数依日处理粪污量而定。</w:t>
      </w:r>
    </w:p>
    <w:p w14:paraId="0A1494B7">
      <w:pPr>
        <w:spacing w:line="374" w:lineRule="auto"/>
        <w:ind w:left="11" w:right="4" w:firstLine="482"/>
        <w:rPr>
          <w:rFonts w:ascii="宋体" w:hAnsi="宋体" w:eastAsia="宋体" w:cs="宋体"/>
          <w:sz w:val="23"/>
          <w:szCs w:val="23"/>
        </w:rPr>
      </w:pPr>
      <w:r>
        <w:rPr>
          <w:rFonts w:ascii="宋体" w:hAnsi="宋体" w:eastAsia="宋体" w:cs="宋体"/>
          <w:spacing w:val="9"/>
          <w:sz w:val="23"/>
          <w:szCs w:val="23"/>
          <w14:textOutline w14:w="4356" w14:cap="sq" w14:cmpd="sng" w14:algn="ctr">
            <w14:solidFill>
              <w14:srgbClr w14:val="000000"/>
            </w14:solidFill>
            <w14:prstDash w14:val="solid"/>
            <w14:bevel/>
          </w14:textOutline>
        </w:rPr>
        <w:t>发酵原料要求：</w:t>
      </w:r>
      <w:r>
        <w:rPr>
          <w:rFonts w:ascii="宋体" w:hAnsi="宋体" w:eastAsia="宋体" w:cs="宋体"/>
          <w:spacing w:val="9"/>
          <w:sz w:val="23"/>
          <w:szCs w:val="23"/>
        </w:rPr>
        <w:t>发酵原料包括发酵基质和发酵菌。发酵基质可选用秸秆、菌渣、谷壳</w:t>
      </w:r>
      <w:r>
        <w:rPr>
          <w:rFonts w:ascii="宋体" w:hAnsi="宋体" w:eastAsia="宋体" w:cs="宋体"/>
          <w:spacing w:val="6"/>
          <w:sz w:val="23"/>
          <w:szCs w:val="23"/>
        </w:rPr>
        <w:t>、</w:t>
      </w:r>
      <w:r>
        <w:rPr>
          <w:rFonts w:ascii="宋体" w:hAnsi="宋体" w:eastAsia="宋体" w:cs="宋体"/>
          <w:sz w:val="23"/>
          <w:szCs w:val="23"/>
        </w:rPr>
        <w:t xml:space="preserve"> </w:t>
      </w:r>
      <w:r>
        <w:rPr>
          <w:rFonts w:ascii="宋体" w:hAnsi="宋体" w:eastAsia="宋体" w:cs="宋体"/>
          <w:spacing w:val="7"/>
          <w:sz w:val="23"/>
          <w:szCs w:val="23"/>
        </w:rPr>
        <w:t xml:space="preserve">木屑、椰子壳粉、花生壳粉等，如以谷壳、秸秆 (木屑) 为原料，两者的重量比为 </w:t>
      </w:r>
      <w:r>
        <w:rPr>
          <w:rFonts w:ascii="Times New Roman" w:hAnsi="Times New Roman" w:eastAsia="Times New Roman" w:cs="Times New Roman"/>
          <w:spacing w:val="7"/>
          <w:sz w:val="23"/>
          <w:szCs w:val="23"/>
        </w:rPr>
        <w:t xml:space="preserve">4 </w:t>
      </w:r>
      <w:r>
        <w:rPr>
          <w:rFonts w:ascii="宋体" w:hAnsi="宋体" w:eastAsia="宋体" w:cs="宋体"/>
          <w:spacing w:val="7"/>
          <w:sz w:val="23"/>
          <w:szCs w:val="23"/>
        </w:rPr>
        <w:t>：</w:t>
      </w:r>
      <w:r>
        <w:rPr>
          <w:rFonts w:ascii="Times New Roman" w:hAnsi="Times New Roman" w:eastAsia="Times New Roman" w:cs="Times New Roman"/>
          <w:spacing w:val="7"/>
          <w:sz w:val="23"/>
          <w:szCs w:val="23"/>
        </w:rPr>
        <w:t>6</w:t>
      </w:r>
      <w:r>
        <w:rPr>
          <w:rFonts w:ascii="Times New Roman" w:hAnsi="Times New Roman" w:eastAsia="Times New Roman" w:cs="Times New Roman"/>
          <w:spacing w:val="5"/>
          <w:sz w:val="23"/>
          <w:szCs w:val="23"/>
        </w:rPr>
        <w:t xml:space="preserve"> </w:t>
      </w:r>
      <w:r>
        <w:rPr>
          <w:rFonts w:ascii="宋体" w:hAnsi="宋体" w:eastAsia="宋体" w:cs="宋体"/>
          <w:sz w:val="23"/>
          <w:szCs w:val="23"/>
        </w:rPr>
        <w:t xml:space="preserve">； </w:t>
      </w:r>
      <w:r>
        <w:rPr>
          <w:rFonts w:ascii="宋体" w:hAnsi="宋体" w:eastAsia="宋体" w:cs="宋体"/>
          <w:spacing w:val="5"/>
          <w:sz w:val="23"/>
          <w:szCs w:val="23"/>
        </w:rPr>
        <w:t xml:space="preserve">发酵基质每年补充量约为 </w:t>
      </w:r>
      <w:r>
        <w:rPr>
          <w:rFonts w:ascii="Times New Roman" w:hAnsi="Times New Roman" w:eastAsia="Times New Roman" w:cs="Times New Roman"/>
          <w:spacing w:val="5"/>
          <w:sz w:val="23"/>
          <w:szCs w:val="23"/>
        </w:rPr>
        <w:t xml:space="preserve">1/3 </w:t>
      </w:r>
      <w:r>
        <w:rPr>
          <w:rFonts w:ascii="宋体" w:hAnsi="宋体" w:eastAsia="宋体" w:cs="宋体"/>
          <w:spacing w:val="5"/>
          <w:sz w:val="23"/>
          <w:szCs w:val="23"/>
        </w:rPr>
        <w:t xml:space="preserve">。发酵菌应选用耐高温的专用菌种，首次添加时每 </w:t>
      </w:r>
      <w:r>
        <w:rPr>
          <w:rFonts w:ascii="Times New Roman" w:hAnsi="Times New Roman" w:eastAsia="Times New Roman" w:cs="Times New Roman"/>
          <w:spacing w:val="5"/>
          <w:sz w:val="23"/>
          <w:szCs w:val="23"/>
        </w:rPr>
        <w:t xml:space="preserve">3 </w:t>
      </w:r>
      <w:r>
        <w:rPr>
          <w:rFonts w:ascii="宋体" w:hAnsi="宋体" w:eastAsia="宋体" w:cs="宋体"/>
          <w:spacing w:val="5"/>
          <w:sz w:val="23"/>
          <w:szCs w:val="23"/>
        </w:rPr>
        <w:t>立方米</w:t>
      </w:r>
      <w:r>
        <w:rPr>
          <w:rFonts w:ascii="宋体" w:hAnsi="宋体" w:eastAsia="宋体" w:cs="宋体"/>
          <w:sz w:val="23"/>
          <w:szCs w:val="23"/>
        </w:rPr>
        <w:t xml:space="preserve">发 </w:t>
      </w:r>
      <w:r>
        <w:rPr>
          <w:rFonts w:ascii="宋体" w:hAnsi="宋体" w:eastAsia="宋体" w:cs="宋体"/>
          <w:spacing w:val="8"/>
          <w:sz w:val="23"/>
          <w:szCs w:val="23"/>
        </w:rPr>
        <w:t>酵</w:t>
      </w:r>
      <w:r>
        <w:rPr>
          <w:rFonts w:ascii="宋体" w:hAnsi="宋体" w:eastAsia="宋体" w:cs="宋体"/>
          <w:spacing w:val="6"/>
          <w:sz w:val="23"/>
          <w:szCs w:val="23"/>
        </w:rPr>
        <w:t xml:space="preserve">基质添加 </w:t>
      </w:r>
      <w:r>
        <w:rPr>
          <w:rFonts w:ascii="Times New Roman" w:hAnsi="Times New Roman" w:eastAsia="Times New Roman" w:cs="Times New Roman"/>
          <w:spacing w:val="6"/>
          <w:sz w:val="23"/>
          <w:szCs w:val="23"/>
        </w:rPr>
        <w:t xml:space="preserve">1 </w:t>
      </w:r>
      <w:r>
        <w:rPr>
          <w:rFonts w:ascii="宋体" w:hAnsi="宋体" w:eastAsia="宋体" w:cs="宋体"/>
          <w:spacing w:val="6"/>
          <w:sz w:val="23"/>
          <w:szCs w:val="23"/>
        </w:rPr>
        <w:t>千克菌种，均匀地撒到发酵基质表面。</w:t>
      </w:r>
    </w:p>
    <w:p w14:paraId="5299E5E7">
      <w:pPr>
        <w:spacing w:before="2" w:line="372" w:lineRule="auto"/>
        <w:ind w:left="11" w:right="75" w:firstLine="480"/>
        <w:rPr>
          <w:rFonts w:ascii="宋体" w:hAnsi="宋体" w:eastAsia="宋体" w:cs="宋体"/>
          <w:sz w:val="23"/>
          <w:szCs w:val="23"/>
        </w:rPr>
      </w:pPr>
      <w:r>
        <w:rPr>
          <w:rFonts w:ascii="宋体" w:hAnsi="宋体" w:eastAsia="宋体" w:cs="宋体"/>
          <w:spacing w:val="7"/>
          <w:sz w:val="23"/>
          <w:szCs w:val="23"/>
          <w14:textOutline w14:w="4356" w14:cap="sq" w14:cmpd="sng" w14:algn="ctr">
            <w14:solidFill>
              <w14:srgbClr w14:val="000000"/>
            </w14:solidFill>
            <w14:prstDash w14:val="solid"/>
            <w14:bevel/>
          </w14:textOutline>
        </w:rPr>
        <w:t>粪污喷淋要求：</w:t>
      </w:r>
      <w:r>
        <w:rPr>
          <w:rFonts w:ascii="宋体" w:hAnsi="宋体" w:eastAsia="宋体" w:cs="宋体"/>
          <w:spacing w:val="7"/>
          <w:sz w:val="23"/>
          <w:szCs w:val="23"/>
        </w:rPr>
        <w:t xml:space="preserve">将发酵基质一次性装填到发酵池 (槽) 内，装填高度 </w:t>
      </w:r>
      <w:r>
        <w:rPr>
          <w:rFonts w:ascii="Times New Roman" w:hAnsi="Times New Roman" w:eastAsia="Times New Roman" w:cs="Times New Roman"/>
          <w:spacing w:val="7"/>
          <w:sz w:val="23"/>
          <w:szCs w:val="23"/>
        </w:rPr>
        <w:t xml:space="preserve">1.5-2 </w:t>
      </w:r>
      <w:r>
        <w:rPr>
          <w:rFonts w:ascii="宋体" w:hAnsi="宋体" w:eastAsia="宋体" w:cs="宋体"/>
          <w:spacing w:val="7"/>
          <w:sz w:val="23"/>
          <w:szCs w:val="23"/>
        </w:rPr>
        <w:t>米，装填完</w:t>
      </w:r>
      <w:r>
        <w:rPr>
          <w:rFonts w:ascii="宋体" w:hAnsi="宋体" w:eastAsia="宋体" w:cs="宋体"/>
          <w:sz w:val="23"/>
          <w:szCs w:val="23"/>
        </w:rPr>
        <w:t xml:space="preserve"> </w:t>
      </w:r>
      <w:r>
        <w:rPr>
          <w:rFonts w:ascii="宋体" w:hAnsi="宋体" w:eastAsia="宋体" w:cs="宋体"/>
          <w:spacing w:val="12"/>
          <w:sz w:val="23"/>
          <w:szCs w:val="23"/>
        </w:rPr>
        <w:t>毕后，</w:t>
      </w:r>
      <w:r>
        <w:rPr>
          <w:rFonts w:ascii="宋体" w:hAnsi="宋体" w:eastAsia="宋体" w:cs="宋体"/>
          <w:spacing w:val="10"/>
          <w:sz w:val="23"/>
          <w:szCs w:val="23"/>
        </w:rPr>
        <w:t>按</w:t>
      </w:r>
      <w:r>
        <w:rPr>
          <w:rFonts w:ascii="宋体" w:hAnsi="宋体" w:eastAsia="宋体" w:cs="宋体"/>
          <w:spacing w:val="6"/>
          <w:sz w:val="23"/>
          <w:szCs w:val="23"/>
        </w:rPr>
        <w:t xml:space="preserve">每立方米发酵基质喷淋粪污量不超过 </w:t>
      </w:r>
      <w:r>
        <w:rPr>
          <w:rFonts w:ascii="Times New Roman" w:hAnsi="Times New Roman" w:eastAsia="Times New Roman" w:cs="Times New Roman"/>
          <w:spacing w:val="6"/>
          <w:sz w:val="23"/>
          <w:szCs w:val="23"/>
        </w:rPr>
        <w:t xml:space="preserve">30 </w:t>
      </w:r>
      <w:r>
        <w:rPr>
          <w:rFonts w:ascii="宋体" w:hAnsi="宋体" w:eastAsia="宋体" w:cs="宋体"/>
          <w:spacing w:val="6"/>
          <w:sz w:val="23"/>
          <w:szCs w:val="23"/>
        </w:rPr>
        <w:t>千克</w:t>
      </w:r>
      <w:r>
        <w:rPr>
          <w:rFonts w:ascii="Times New Roman" w:hAnsi="Times New Roman" w:eastAsia="Times New Roman" w:cs="Times New Roman"/>
          <w:spacing w:val="6"/>
          <w:sz w:val="23"/>
          <w:szCs w:val="23"/>
        </w:rPr>
        <w:t>/</w:t>
      </w:r>
      <w:r>
        <w:rPr>
          <w:rFonts w:ascii="宋体" w:hAnsi="宋体" w:eastAsia="宋体" w:cs="宋体"/>
          <w:spacing w:val="6"/>
          <w:sz w:val="23"/>
          <w:szCs w:val="23"/>
        </w:rPr>
        <w:t>天测算，将暂贮在喷淋池中的粪污通</w:t>
      </w:r>
      <w:r>
        <w:rPr>
          <w:rFonts w:ascii="宋体" w:hAnsi="宋体" w:eastAsia="宋体" w:cs="宋体"/>
          <w:sz w:val="23"/>
          <w:szCs w:val="23"/>
        </w:rPr>
        <w:t xml:space="preserve"> </w:t>
      </w:r>
      <w:r>
        <w:rPr>
          <w:rFonts w:ascii="宋体" w:hAnsi="宋体" w:eastAsia="宋体" w:cs="宋体"/>
          <w:spacing w:val="12"/>
          <w:sz w:val="23"/>
          <w:szCs w:val="23"/>
        </w:rPr>
        <w:t>过喷淋</w:t>
      </w:r>
      <w:r>
        <w:rPr>
          <w:rFonts w:ascii="宋体" w:hAnsi="宋体" w:eastAsia="宋体" w:cs="宋体"/>
          <w:spacing w:val="10"/>
          <w:sz w:val="23"/>
          <w:szCs w:val="23"/>
        </w:rPr>
        <w:t>机</w:t>
      </w:r>
      <w:r>
        <w:rPr>
          <w:rFonts w:ascii="宋体" w:hAnsi="宋体" w:eastAsia="宋体" w:cs="宋体"/>
          <w:spacing w:val="6"/>
          <w:sz w:val="23"/>
          <w:szCs w:val="23"/>
        </w:rPr>
        <w:t>一次或多次均匀地喷淋到发酵池 (槽) 表面，多个发酵池 (槽) 的可轮换错开喷淋</w:t>
      </w:r>
      <w:r>
        <w:rPr>
          <w:rFonts w:ascii="宋体" w:hAnsi="宋体" w:eastAsia="宋体" w:cs="宋体"/>
          <w:sz w:val="23"/>
          <w:szCs w:val="23"/>
        </w:rPr>
        <w:t xml:space="preserve"> </w:t>
      </w:r>
      <w:r>
        <w:rPr>
          <w:rFonts w:ascii="宋体" w:hAnsi="宋体" w:eastAsia="宋体" w:cs="宋体"/>
          <w:spacing w:val="8"/>
          <w:sz w:val="23"/>
          <w:szCs w:val="23"/>
        </w:rPr>
        <w:t>时间：粪污与发</w:t>
      </w:r>
      <w:r>
        <w:rPr>
          <w:rFonts w:ascii="宋体" w:hAnsi="宋体" w:eastAsia="宋体" w:cs="宋体"/>
          <w:spacing w:val="4"/>
          <w:sz w:val="23"/>
          <w:szCs w:val="23"/>
        </w:rPr>
        <w:t xml:space="preserve">酵基质混合后的水分含量以 </w:t>
      </w:r>
      <w:r>
        <w:rPr>
          <w:rFonts w:ascii="Times New Roman" w:hAnsi="Times New Roman" w:eastAsia="Times New Roman" w:cs="Times New Roman"/>
          <w:spacing w:val="4"/>
          <w:sz w:val="23"/>
          <w:szCs w:val="23"/>
        </w:rPr>
        <w:t>45%-50%</w:t>
      </w:r>
      <w:r>
        <w:rPr>
          <w:rFonts w:ascii="宋体" w:hAnsi="宋体" w:eastAsia="宋体" w:cs="宋体"/>
          <w:spacing w:val="4"/>
          <w:sz w:val="23"/>
          <w:szCs w:val="23"/>
        </w:rPr>
        <w:t xml:space="preserve">为宜。翻抛及其频率：粪污喷淋后 </w:t>
      </w:r>
      <w:r>
        <w:rPr>
          <w:rFonts w:ascii="Times New Roman" w:hAnsi="Times New Roman" w:eastAsia="Times New Roman" w:cs="Times New Roman"/>
          <w:spacing w:val="4"/>
          <w:sz w:val="23"/>
          <w:szCs w:val="23"/>
        </w:rPr>
        <w:t>3-4</w:t>
      </w:r>
      <w:r>
        <w:rPr>
          <w:rFonts w:ascii="Times New Roman" w:hAnsi="Times New Roman" w:eastAsia="Times New Roman" w:cs="Times New Roman"/>
          <w:sz w:val="23"/>
          <w:szCs w:val="23"/>
        </w:rPr>
        <w:t xml:space="preserve"> </w:t>
      </w:r>
      <w:r>
        <w:rPr>
          <w:rFonts w:ascii="宋体" w:hAnsi="宋体" w:eastAsia="宋体" w:cs="宋体"/>
          <w:spacing w:val="10"/>
          <w:sz w:val="23"/>
          <w:szCs w:val="23"/>
        </w:rPr>
        <w:t>小时</w:t>
      </w:r>
      <w:r>
        <w:rPr>
          <w:rFonts w:ascii="宋体" w:hAnsi="宋体" w:eastAsia="宋体" w:cs="宋体"/>
          <w:spacing w:val="7"/>
          <w:sz w:val="23"/>
          <w:szCs w:val="23"/>
        </w:rPr>
        <w:t>，</w:t>
      </w:r>
      <w:r>
        <w:rPr>
          <w:rFonts w:ascii="宋体" w:hAnsi="宋体" w:eastAsia="宋体" w:cs="宋体"/>
          <w:spacing w:val="5"/>
          <w:sz w:val="23"/>
          <w:szCs w:val="23"/>
        </w:rPr>
        <w:t xml:space="preserve">完全渗入基质内部后，方可开动翻抛机进行翻抛：要求 </w:t>
      </w:r>
      <w:r>
        <w:rPr>
          <w:rFonts w:ascii="Times New Roman" w:hAnsi="Times New Roman" w:eastAsia="Times New Roman" w:cs="Times New Roman"/>
          <w:spacing w:val="5"/>
          <w:sz w:val="23"/>
          <w:szCs w:val="23"/>
        </w:rPr>
        <w:t xml:space="preserve">1-2 </w:t>
      </w:r>
      <w:r>
        <w:rPr>
          <w:rFonts w:ascii="宋体" w:hAnsi="宋体" w:eastAsia="宋体" w:cs="宋体"/>
          <w:spacing w:val="5"/>
          <w:sz w:val="23"/>
          <w:szCs w:val="23"/>
        </w:rPr>
        <w:t xml:space="preserve">天翻抛 </w:t>
      </w:r>
      <w:r>
        <w:rPr>
          <w:rFonts w:ascii="Times New Roman" w:hAnsi="Times New Roman" w:eastAsia="Times New Roman" w:cs="Times New Roman"/>
          <w:spacing w:val="5"/>
          <w:sz w:val="23"/>
          <w:szCs w:val="23"/>
        </w:rPr>
        <w:t xml:space="preserve">1 </w:t>
      </w:r>
      <w:r>
        <w:rPr>
          <w:rFonts w:ascii="宋体" w:hAnsi="宋体" w:eastAsia="宋体" w:cs="宋体"/>
          <w:spacing w:val="5"/>
          <w:sz w:val="23"/>
          <w:szCs w:val="23"/>
        </w:rPr>
        <w:t>次。</w:t>
      </w:r>
    </w:p>
    <w:p w14:paraId="7515BC4F">
      <w:pPr>
        <w:spacing w:before="18" w:line="375" w:lineRule="auto"/>
        <w:ind w:left="12" w:right="73" w:firstLine="481"/>
        <w:rPr>
          <w:rFonts w:ascii="宋体" w:hAnsi="宋体" w:eastAsia="宋体" w:cs="宋体"/>
          <w:sz w:val="23"/>
          <w:szCs w:val="23"/>
        </w:rPr>
      </w:pPr>
      <w:r>
        <w:rPr>
          <w:rFonts w:ascii="宋体" w:hAnsi="宋体" w:eastAsia="宋体" w:cs="宋体"/>
          <w:spacing w:val="6"/>
          <w:sz w:val="23"/>
          <w:szCs w:val="23"/>
          <w14:textOutline w14:w="4356" w14:cap="sq" w14:cmpd="sng" w14:algn="ctr">
            <w14:solidFill>
              <w14:srgbClr w14:val="000000"/>
            </w14:solidFill>
            <w14:prstDash w14:val="solid"/>
            <w14:bevel/>
          </w14:textOutline>
        </w:rPr>
        <w:t>发酵温度及其</w:t>
      </w:r>
      <w:r>
        <w:rPr>
          <w:rFonts w:ascii="宋体" w:hAnsi="宋体" w:eastAsia="宋体" w:cs="宋体"/>
          <w:spacing w:val="5"/>
          <w:sz w:val="23"/>
          <w:szCs w:val="23"/>
          <w14:textOutline w14:w="4356" w14:cap="sq" w14:cmpd="sng" w14:algn="ctr">
            <w14:solidFill>
              <w14:srgbClr w14:val="000000"/>
            </w14:solidFill>
            <w14:prstDash w14:val="solid"/>
            <w14:bevel/>
          </w14:textOutline>
        </w:rPr>
        <w:t>周</w:t>
      </w:r>
      <w:r>
        <w:rPr>
          <w:rFonts w:ascii="宋体" w:hAnsi="宋体" w:eastAsia="宋体" w:cs="宋体"/>
          <w:spacing w:val="3"/>
          <w:sz w:val="23"/>
          <w:szCs w:val="23"/>
          <w14:textOutline w14:w="4356" w14:cap="sq" w14:cmpd="sng" w14:algn="ctr">
            <w14:solidFill>
              <w14:srgbClr w14:val="000000"/>
            </w14:solidFill>
            <w14:prstDash w14:val="solid"/>
            <w14:bevel/>
          </w14:textOutline>
        </w:rPr>
        <w:t>期：</w:t>
      </w:r>
      <w:r>
        <w:rPr>
          <w:rFonts w:ascii="宋体" w:hAnsi="宋体" w:eastAsia="宋体" w:cs="宋体"/>
          <w:spacing w:val="3"/>
          <w:sz w:val="23"/>
          <w:szCs w:val="23"/>
        </w:rPr>
        <w:t xml:space="preserve">粪污喷淋后经 </w:t>
      </w:r>
      <w:r>
        <w:rPr>
          <w:rFonts w:ascii="Times New Roman" w:hAnsi="Times New Roman" w:eastAsia="Times New Roman" w:cs="Times New Roman"/>
          <w:spacing w:val="3"/>
          <w:sz w:val="23"/>
          <w:szCs w:val="23"/>
        </w:rPr>
        <w:t xml:space="preserve">24 </w:t>
      </w:r>
      <w:r>
        <w:rPr>
          <w:rFonts w:ascii="宋体" w:hAnsi="宋体" w:eastAsia="宋体" w:cs="宋体"/>
          <w:spacing w:val="3"/>
          <w:sz w:val="23"/>
          <w:szCs w:val="23"/>
        </w:rPr>
        <w:t xml:space="preserve">小时的发酵，发酵池 (槽) 表面以下 </w:t>
      </w:r>
      <w:r>
        <w:rPr>
          <w:rFonts w:ascii="Times New Roman" w:hAnsi="Times New Roman" w:eastAsia="Times New Roman" w:cs="Times New Roman"/>
          <w:spacing w:val="3"/>
          <w:sz w:val="23"/>
          <w:szCs w:val="23"/>
        </w:rPr>
        <w:t xml:space="preserve">35 </w:t>
      </w:r>
      <w:r>
        <w:rPr>
          <w:rFonts w:ascii="宋体" w:hAnsi="宋体" w:eastAsia="宋体" w:cs="宋体"/>
          <w:spacing w:val="3"/>
          <w:sz w:val="23"/>
          <w:szCs w:val="23"/>
        </w:rPr>
        <w:t>厘米处的</w:t>
      </w:r>
      <w:r>
        <w:rPr>
          <w:rFonts w:ascii="宋体" w:hAnsi="宋体" w:eastAsia="宋体" w:cs="宋体"/>
          <w:sz w:val="23"/>
          <w:szCs w:val="23"/>
        </w:rPr>
        <w:t xml:space="preserve"> </w:t>
      </w:r>
      <w:r>
        <w:rPr>
          <w:rFonts w:ascii="宋体" w:hAnsi="宋体" w:eastAsia="宋体" w:cs="宋体"/>
          <w:spacing w:val="7"/>
          <w:sz w:val="23"/>
          <w:szCs w:val="23"/>
        </w:rPr>
        <w:t>温</w:t>
      </w:r>
      <w:r>
        <w:rPr>
          <w:rFonts w:ascii="宋体" w:hAnsi="宋体" w:eastAsia="宋体" w:cs="宋体"/>
          <w:spacing w:val="6"/>
          <w:sz w:val="23"/>
          <w:szCs w:val="23"/>
        </w:rPr>
        <w:t xml:space="preserve">度应上升至 </w:t>
      </w:r>
      <w:r>
        <w:rPr>
          <w:rFonts w:ascii="Times New Roman" w:hAnsi="Times New Roman" w:eastAsia="Times New Roman" w:cs="Times New Roman"/>
          <w:spacing w:val="6"/>
          <w:sz w:val="23"/>
          <w:szCs w:val="23"/>
        </w:rPr>
        <w:t>45</w:t>
      </w:r>
      <w:r>
        <w:rPr>
          <w:rFonts w:ascii="宋体" w:hAnsi="宋体" w:eastAsia="宋体" w:cs="宋体"/>
          <w:spacing w:val="6"/>
          <w:sz w:val="23"/>
          <w:szCs w:val="23"/>
        </w:rPr>
        <w:t>℃左右，</w:t>
      </w:r>
      <w:r>
        <w:rPr>
          <w:rFonts w:ascii="Times New Roman" w:hAnsi="Times New Roman" w:eastAsia="Times New Roman" w:cs="Times New Roman"/>
          <w:spacing w:val="6"/>
          <w:sz w:val="23"/>
          <w:szCs w:val="23"/>
        </w:rPr>
        <w:t xml:space="preserve">48 </w:t>
      </w:r>
      <w:r>
        <w:rPr>
          <w:rFonts w:ascii="宋体" w:hAnsi="宋体" w:eastAsia="宋体" w:cs="宋体"/>
          <w:spacing w:val="6"/>
          <w:sz w:val="23"/>
          <w:szCs w:val="23"/>
        </w:rPr>
        <w:t xml:space="preserve">小时后应升至 </w:t>
      </w:r>
      <w:r>
        <w:rPr>
          <w:rFonts w:ascii="Times New Roman" w:hAnsi="Times New Roman" w:eastAsia="Times New Roman" w:cs="Times New Roman"/>
          <w:spacing w:val="6"/>
          <w:sz w:val="23"/>
          <w:szCs w:val="23"/>
        </w:rPr>
        <w:t>60</w:t>
      </w:r>
      <w:r>
        <w:rPr>
          <w:rFonts w:ascii="宋体" w:hAnsi="宋体" w:eastAsia="宋体" w:cs="宋体"/>
          <w:spacing w:val="6"/>
          <w:sz w:val="23"/>
          <w:szCs w:val="23"/>
        </w:rPr>
        <w:t xml:space="preserve">℃以上，在此温度下保持 </w:t>
      </w:r>
      <w:r>
        <w:rPr>
          <w:rFonts w:ascii="Times New Roman" w:hAnsi="Times New Roman" w:eastAsia="Times New Roman" w:cs="Times New Roman"/>
          <w:spacing w:val="6"/>
          <w:sz w:val="23"/>
          <w:szCs w:val="23"/>
        </w:rPr>
        <w:t xml:space="preserve">24 </w:t>
      </w:r>
      <w:r>
        <w:rPr>
          <w:rFonts w:ascii="宋体" w:hAnsi="宋体" w:eastAsia="宋体" w:cs="宋体"/>
          <w:spacing w:val="6"/>
          <w:sz w:val="23"/>
          <w:szCs w:val="23"/>
        </w:rPr>
        <w:t>小时后，再进行</w:t>
      </w:r>
      <w:r>
        <w:rPr>
          <w:rFonts w:ascii="宋体" w:hAnsi="宋体" w:eastAsia="宋体" w:cs="宋体"/>
          <w:sz w:val="23"/>
          <w:szCs w:val="23"/>
        </w:rPr>
        <w:t xml:space="preserve"> </w:t>
      </w:r>
      <w:r>
        <w:rPr>
          <w:rFonts w:ascii="宋体" w:hAnsi="宋体" w:eastAsia="宋体" w:cs="宋体"/>
          <w:spacing w:val="5"/>
          <w:sz w:val="23"/>
          <w:szCs w:val="23"/>
        </w:rPr>
        <w:t xml:space="preserve">下一次粪污喷淋。发酵周期约为 </w:t>
      </w:r>
      <w:r>
        <w:rPr>
          <w:rFonts w:ascii="Times New Roman" w:hAnsi="Times New Roman" w:eastAsia="Times New Roman" w:cs="Times New Roman"/>
          <w:spacing w:val="5"/>
          <w:sz w:val="23"/>
          <w:szCs w:val="23"/>
        </w:rPr>
        <w:t xml:space="preserve">3 </w:t>
      </w:r>
      <w:r>
        <w:rPr>
          <w:rFonts w:ascii="宋体" w:hAnsi="宋体" w:eastAsia="宋体" w:cs="宋体"/>
          <w:spacing w:val="5"/>
          <w:sz w:val="23"/>
          <w:szCs w:val="23"/>
        </w:rPr>
        <w:t>天</w:t>
      </w:r>
      <w:r>
        <w:rPr>
          <w:rFonts w:ascii="宋体" w:hAnsi="宋体" w:eastAsia="宋体" w:cs="宋体"/>
          <w:spacing w:val="1"/>
          <w:sz w:val="23"/>
          <w:szCs w:val="23"/>
        </w:rPr>
        <w:t>。</w:t>
      </w:r>
    </w:p>
    <w:p w14:paraId="5DE62A65">
      <w:pPr>
        <w:tabs>
          <w:tab w:val="left" w:pos="136"/>
        </w:tabs>
        <w:spacing w:before="5" w:line="374" w:lineRule="auto"/>
        <w:ind w:left="9" w:right="18" w:firstLine="480"/>
        <w:rPr>
          <w:rFonts w:ascii="宋体" w:hAnsi="宋体" w:eastAsia="宋体" w:cs="宋体"/>
          <w:sz w:val="23"/>
          <w:szCs w:val="23"/>
        </w:rPr>
      </w:pPr>
      <w:r>
        <w:rPr>
          <w:rFonts w:ascii="宋体" w:hAnsi="宋体" w:eastAsia="宋体" w:cs="宋体"/>
          <w:spacing w:val="10"/>
          <w:sz w:val="23"/>
          <w:szCs w:val="23"/>
          <w14:textOutline w14:w="4356" w14:cap="sq" w14:cmpd="sng" w14:algn="ctr">
            <w14:solidFill>
              <w14:srgbClr w14:val="000000"/>
            </w14:solidFill>
            <w14:prstDash w14:val="solid"/>
            <w14:bevel/>
          </w14:textOutline>
        </w:rPr>
        <w:t>腐熟基</w:t>
      </w:r>
      <w:r>
        <w:rPr>
          <w:rFonts w:ascii="宋体" w:hAnsi="宋体" w:eastAsia="宋体" w:cs="宋体"/>
          <w:spacing w:val="9"/>
          <w:sz w:val="23"/>
          <w:szCs w:val="23"/>
          <w14:textOutline w14:w="4356" w14:cap="sq" w14:cmpd="sng" w14:algn="ctr">
            <w14:solidFill>
              <w14:srgbClr w14:val="000000"/>
            </w14:solidFill>
            <w14:prstDash w14:val="solid"/>
            <w14:bevel/>
          </w14:textOutline>
        </w:rPr>
        <w:t>质</w:t>
      </w:r>
      <w:r>
        <w:rPr>
          <w:rFonts w:ascii="宋体" w:hAnsi="宋体" w:eastAsia="宋体" w:cs="宋体"/>
          <w:spacing w:val="5"/>
          <w:sz w:val="23"/>
          <w:szCs w:val="23"/>
          <w14:textOutline w14:w="4356" w14:cap="sq" w14:cmpd="sng" w14:algn="ctr">
            <w14:solidFill>
              <w14:srgbClr w14:val="000000"/>
            </w14:solidFill>
            <w14:prstDash w14:val="solid"/>
            <w14:bevel/>
          </w14:textOutline>
        </w:rPr>
        <w:t>资源化利用：</w:t>
      </w:r>
      <w:r>
        <w:rPr>
          <w:rFonts w:ascii="宋体" w:hAnsi="宋体" w:eastAsia="宋体" w:cs="宋体"/>
          <w:spacing w:val="5"/>
          <w:sz w:val="23"/>
          <w:szCs w:val="23"/>
        </w:rPr>
        <w:t xml:space="preserve">发酵基质原料一般可连续使用 </w:t>
      </w:r>
      <w:r>
        <w:rPr>
          <w:rFonts w:ascii="Times New Roman" w:hAnsi="Times New Roman" w:eastAsia="Times New Roman" w:cs="Times New Roman"/>
          <w:spacing w:val="5"/>
          <w:sz w:val="23"/>
          <w:szCs w:val="23"/>
        </w:rPr>
        <w:t xml:space="preserve">3 </w:t>
      </w:r>
      <w:r>
        <w:rPr>
          <w:rFonts w:ascii="宋体" w:hAnsi="宋体" w:eastAsia="宋体" w:cs="宋体"/>
          <w:spacing w:val="5"/>
          <w:sz w:val="23"/>
          <w:szCs w:val="23"/>
        </w:rPr>
        <w:t>年：腐熟后的固态粪污混合物可</w:t>
      </w:r>
      <w:r>
        <w:rPr>
          <w:rFonts w:ascii="宋体" w:hAnsi="宋体" w:eastAsia="宋体" w:cs="宋体"/>
          <w:sz w:val="23"/>
          <w:szCs w:val="23"/>
        </w:rPr>
        <w:t xml:space="preserve"> </w:t>
      </w:r>
      <w:r>
        <w:rPr>
          <w:rFonts w:ascii="宋体" w:hAnsi="宋体" w:eastAsia="宋体" w:cs="宋体"/>
          <w:spacing w:val="3"/>
          <w:sz w:val="23"/>
          <w:szCs w:val="23"/>
        </w:rPr>
        <w:t>就地加工成有机肥或对外销售。研究表明，腐熟的垫料富含有机质与氮、磷、钾等营养物</w:t>
      </w:r>
      <w:r>
        <w:rPr>
          <w:rFonts w:ascii="宋体" w:hAnsi="宋体" w:eastAsia="宋体" w:cs="宋体"/>
          <w:spacing w:val="2"/>
          <w:sz w:val="23"/>
          <w:szCs w:val="23"/>
        </w:rPr>
        <w:t>质</w:t>
      </w:r>
      <w:r>
        <w:rPr>
          <w:rFonts w:ascii="宋体" w:hAnsi="宋体" w:eastAsia="宋体" w:cs="宋体"/>
          <w:sz w:val="23"/>
          <w:szCs w:val="23"/>
        </w:rPr>
        <w:t xml:space="preserve">， </w:t>
      </w:r>
      <w:r>
        <w:rPr>
          <w:rFonts w:ascii="宋体" w:hAnsi="宋体" w:eastAsia="宋体" w:cs="宋体"/>
          <w:spacing w:val="26"/>
          <w:sz w:val="23"/>
          <w:szCs w:val="23"/>
        </w:rPr>
        <w:t>其</w:t>
      </w:r>
      <w:r>
        <w:rPr>
          <w:rFonts w:ascii="宋体" w:hAnsi="宋体" w:eastAsia="宋体" w:cs="宋体"/>
          <w:spacing w:val="18"/>
          <w:sz w:val="23"/>
          <w:szCs w:val="23"/>
        </w:rPr>
        <w:t>含</w:t>
      </w:r>
      <w:r>
        <w:rPr>
          <w:rFonts w:ascii="宋体" w:hAnsi="宋体" w:eastAsia="宋体" w:cs="宋体"/>
          <w:spacing w:val="13"/>
          <w:sz w:val="23"/>
          <w:szCs w:val="23"/>
        </w:rPr>
        <w:t xml:space="preserve">量符合 我 国有机肥料农业 行业标准 ( </w:t>
      </w:r>
      <w:r>
        <w:rPr>
          <w:rFonts w:ascii="Times New Roman" w:hAnsi="Times New Roman" w:eastAsia="Times New Roman" w:cs="Times New Roman"/>
          <w:sz w:val="23"/>
          <w:szCs w:val="23"/>
        </w:rPr>
        <w:t>NY</w:t>
      </w:r>
      <w:r>
        <w:rPr>
          <w:rFonts w:ascii="Times New Roman" w:hAnsi="Times New Roman" w:eastAsia="Times New Roman" w:cs="Times New Roman"/>
          <w:spacing w:val="13"/>
          <w:sz w:val="23"/>
          <w:szCs w:val="23"/>
        </w:rPr>
        <w:t xml:space="preserve">525-2012 </w:t>
      </w:r>
      <w:r>
        <w:rPr>
          <w:rFonts w:ascii="宋体" w:hAnsi="宋体" w:eastAsia="宋体" w:cs="宋体"/>
          <w:spacing w:val="13"/>
          <w:sz w:val="23"/>
          <w:szCs w:val="23"/>
        </w:rPr>
        <w:t>) 与城镇垃 圾农用控制标 准</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12"/>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12"/>
          <w:sz w:val="23"/>
          <w:szCs w:val="23"/>
        </w:rPr>
        <w:t>8</w:t>
      </w:r>
      <w:r>
        <w:rPr>
          <w:rFonts w:ascii="Times New Roman" w:hAnsi="Times New Roman" w:eastAsia="Times New Roman" w:cs="Times New Roman"/>
          <w:spacing w:val="9"/>
          <w:sz w:val="23"/>
          <w:szCs w:val="23"/>
        </w:rPr>
        <w:t>1</w:t>
      </w:r>
      <w:r>
        <w:rPr>
          <w:rFonts w:ascii="Times New Roman" w:hAnsi="Times New Roman" w:eastAsia="Times New Roman" w:cs="Times New Roman"/>
          <w:spacing w:val="6"/>
          <w:sz w:val="23"/>
          <w:szCs w:val="23"/>
        </w:rPr>
        <w:t>72- 1987</w:t>
      </w:r>
      <w:r>
        <w:rPr>
          <w:rFonts w:ascii="宋体" w:hAnsi="宋体" w:eastAsia="宋体" w:cs="宋体"/>
          <w:spacing w:val="6"/>
          <w:sz w:val="23"/>
          <w:szCs w:val="23"/>
        </w:rPr>
        <w:t>) 的要求，同时重金属元素与抗生素的含量也均在相关标准限量范围内，是</w:t>
      </w:r>
      <w:r>
        <w:rPr>
          <w:rFonts w:ascii="宋体" w:hAnsi="宋体" w:eastAsia="宋体" w:cs="宋体"/>
          <w:sz w:val="23"/>
          <w:szCs w:val="23"/>
        </w:rPr>
        <w:t xml:space="preserve"> </w:t>
      </w:r>
      <w:r>
        <w:rPr>
          <w:rFonts w:ascii="宋体" w:hAnsi="宋体" w:eastAsia="宋体" w:cs="宋体"/>
          <w:spacing w:val="16"/>
          <w:sz w:val="23"/>
          <w:szCs w:val="23"/>
        </w:rPr>
        <w:t>优良的</w:t>
      </w:r>
      <w:r>
        <w:rPr>
          <w:rFonts w:ascii="宋体" w:hAnsi="宋体" w:eastAsia="宋体" w:cs="宋体"/>
          <w:spacing w:val="13"/>
          <w:sz w:val="23"/>
          <w:szCs w:val="23"/>
        </w:rPr>
        <w:t>有</w:t>
      </w:r>
      <w:r>
        <w:rPr>
          <w:rFonts w:ascii="宋体" w:hAnsi="宋体" w:eastAsia="宋体" w:cs="宋体"/>
          <w:spacing w:val="8"/>
          <w:sz w:val="23"/>
          <w:szCs w:val="23"/>
        </w:rPr>
        <w:t>机肥生产原料。因此，将腐熟垫料加工为有机肥是垫料资源化再利用的重要途径，</w:t>
      </w:r>
      <w:r>
        <w:rPr>
          <w:rFonts w:ascii="宋体" w:hAnsi="宋体" w:eastAsia="宋体" w:cs="宋体"/>
          <w:sz w:val="23"/>
          <w:szCs w:val="23"/>
        </w:rPr>
        <w:t xml:space="preserve"> </w:t>
      </w:r>
      <w:r>
        <w:rPr>
          <w:rFonts w:ascii="宋体" w:hAnsi="宋体" w:eastAsia="宋体" w:cs="宋体"/>
          <w:spacing w:val="11"/>
          <w:sz w:val="23"/>
          <w:szCs w:val="23"/>
        </w:rPr>
        <w:t>可</w:t>
      </w:r>
      <w:r>
        <w:rPr>
          <w:rFonts w:ascii="宋体" w:hAnsi="宋体" w:eastAsia="宋体" w:cs="宋体"/>
          <w:spacing w:val="8"/>
          <w:sz w:val="23"/>
          <w:szCs w:val="23"/>
        </w:rPr>
        <w:t>产生良好的经济效益。</w:t>
      </w:r>
    </w:p>
    <w:p w14:paraId="61F53CBB">
      <w:pPr>
        <w:spacing w:line="228" w:lineRule="auto"/>
        <w:ind w:left="501"/>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3</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注意事项</w:t>
      </w:r>
    </w:p>
    <w:p w14:paraId="1827BC2F">
      <w:pPr>
        <w:spacing w:before="182" w:line="225" w:lineRule="auto"/>
        <w:ind w:left="489"/>
        <w:rPr>
          <w:rFonts w:ascii="宋体" w:hAnsi="宋体" w:eastAsia="宋体" w:cs="宋体"/>
          <w:sz w:val="23"/>
          <w:szCs w:val="23"/>
        </w:rPr>
      </w:pPr>
      <w:r>
        <w:rPr>
          <w:rFonts w:ascii="宋体" w:hAnsi="宋体" w:eastAsia="宋体" w:cs="宋体"/>
          <w:spacing w:val="9"/>
          <w:sz w:val="23"/>
          <w:szCs w:val="23"/>
        </w:rPr>
        <w:t>①建造发酵池 (槽) 时，池底地面及墙体内侧面应作防渗漏处理，确保污水不渗出。</w:t>
      </w:r>
    </w:p>
    <w:p w14:paraId="476B2047">
      <w:pPr>
        <w:spacing w:before="188" w:line="225" w:lineRule="auto"/>
        <w:ind w:left="488"/>
        <w:rPr>
          <w:rFonts w:ascii="宋体" w:hAnsi="宋体" w:eastAsia="宋体" w:cs="宋体"/>
          <w:sz w:val="23"/>
          <w:szCs w:val="23"/>
        </w:rPr>
      </w:pPr>
      <w:r>
        <w:rPr>
          <w:rFonts w:ascii="宋体" w:hAnsi="宋体" w:eastAsia="宋体" w:cs="宋体"/>
          <w:spacing w:val="12"/>
          <w:sz w:val="23"/>
          <w:szCs w:val="23"/>
        </w:rPr>
        <w:t>②</w:t>
      </w:r>
      <w:r>
        <w:rPr>
          <w:rFonts w:ascii="宋体" w:hAnsi="宋体" w:eastAsia="宋体" w:cs="宋体"/>
          <w:spacing w:val="8"/>
          <w:sz w:val="23"/>
          <w:szCs w:val="23"/>
        </w:rPr>
        <w:t>每</w:t>
      </w:r>
      <w:r>
        <w:rPr>
          <w:rFonts w:ascii="宋体" w:hAnsi="宋体" w:eastAsia="宋体" w:cs="宋体"/>
          <w:spacing w:val="6"/>
          <w:sz w:val="23"/>
          <w:szCs w:val="23"/>
        </w:rPr>
        <w:t xml:space="preserve">立方米发酵基质每日粪污喷淋量不得超过 </w:t>
      </w:r>
      <w:r>
        <w:rPr>
          <w:rFonts w:ascii="Times New Roman" w:hAnsi="Times New Roman" w:eastAsia="Times New Roman" w:cs="Times New Roman"/>
          <w:spacing w:val="6"/>
          <w:sz w:val="23"/>
          <w:szCs w:val="23"/>
        </w:rPr>
        <w:t xml:space="preserve">30 </w:t>
      </w:r>
      <w:r>
        <w:rPr>
          <w:rFonts w:ascii="宋体" w:hAnsi="宋体" w:eastAsia="宋体" w:cs="宋体"/>
          <w:spacing w:val="6"/>
          <w:sz w:val="23"/>
          <w:szCs w:val="23"/>
        </w:rPr>
        <w:t>千克。</w:t>
      </w:r>
    </w:p>
    <w:p w14:paraId="73C22F63">
      <w:pPr>
        <w:sectPr>
          <w:footerReference r:id="rId104" w:type="default"/>
          <w:pgSz w:w="11907" w:h="16840"/>
          <w:pgMar w:top="829" w:right="1053" w:bottom="1137" w:left="1275" w:header="595" w:footer="953" w:gutter="0"/>
          <w:cols w:space="720" w:num="1"/>
        </w:sectPr>
      </w:pPr>
    </w:p>
    <w:p w14:paraId="7BA0E2DF">
      <w:pPr>
        <w:spacing w:before="146" w:line="225" w:lineRule="auto"/>
        <w:ind w:left="488"/>
        <w:rPr>
          <w:rFonts w:ascii="宋体" w:hAnsi="宋体" w:eastAsia="宋体" w:cs="宋体"/>
          <w:sz w:val="23"/>
          <w:szCs w:val="23"/>
        </w:rPr>
      </w:pPr>
      <w:r>
        <w:rPr>
          <w:rFonts w:ascii="宋体" w:hAnsi="宋体" w:eastAsia="宋体" w:cs="宋体"/>
          <w:spacing w:val="10"/>
          <w:sz w:val="23"/>
          <w:szCs w:val="23"/>
        </w:rPr>
        <w:t>③</w:t>
      </w:r>
      <w:r>
        <w:rPr>
          <w:rFonts w:ascii="宋体" w:hAnsi="宋体" w:eastAsia="宋体" w:cs="宋体"/>
          <w:spacing w:val="9"/>
          <w:sz w:val="23"/>
          <w:szCs w:val="23"/>
        </w:rPr>
        <w:t>每日密切监测发酵池 (槽) 的运行状况，尤其是发酵温度变化，并做好相关记录。</w:t>
      </w:r>
    </w:p>
    <w:p w14:paraId="662C733B">
      <w:pPr>
        <w:spacing w:before="185" w:line="225" w:lineRule="auto"/>
        <w:ind w:left="488"/>
        <w:rPr>
          <w:rFonts w:ascii="宋体" w:hAnsi="宋体" w:eastAsia="宋体" w:cs="宋体"/>
          <w:sz w:val="23"/>
          <w:szCs w:val="23"/>
        </w:rPr>
      </w:pPr>
      <w:r>
        <w:rPr>
          <w:rFonts w:ascii="宋体" w:hAnsi="宋体" w:eastAsia="宋体" w:cs="宋体"/>
          <w:spacing w:val="9"/>
          <w:sz w:val="23"/>
          <w:szCs w:val="23"/>
        </w:rPr>
        <w:t>④加强猪场日常用水管理，防止</w:t>
      </w:r>
      <w:r>
        <w:rPr>
          <w:rFonts w:ascii="Times New Roman" w:hAnsi="Times New Roman" w:eastAsia="Times New Roman" w:cs="Times New Roman"/>
          <w:spacing w:val="9"/>
          <w:sz w:val="23"/>
          <w:szCs w:val="23"/>
        </w:rPr>
        <w:t>“</w:t>
      </w:r>
      <w:r>
        <w:rPr>
          <w:rFonts w:ascii="宋体" w:hAnsi="宋体" w:eastAsia="宋体" w:cs="宋体"/>
          <w:spacing w:val="9"/>
          <w:sz w:val="23"/>
          <w:szCs w:val="23"/>
        </w:rPr>
        <w:t>跑、冒、滴、漏</w:t>
      </w:r>
      <w:r>
        <w:rPr>
          <w:rFonts w:ascii="Times New Roman" w:hAnsi="Times New Roman" w:eastAsia="Times New Roman" w:cs="Times New Roman"/>
          <w:spacing w:val="9"/>
          <w:sz w:val="23"/>
          <w:szCs w:val="23"/>
        </w:rPr>
        <w:t>”</w:t>
      </w:r>
      <w:r>
        <w:rPr>
          <w:rFonts w:ascii="宋体" w:hAnsi="宋体" w:eastAsia="宋体" w:cs="宋体"/>
          <w:spacing w:val="9"/>
          <w:sz w:val="23"/>
          <w:szCs w:val="23"/>
        </w:rPr>
        <w:t>现象发生</w:t>
      </w:r>
      <w:r>
        <w:rPr>
          <w:rFonts w:ascii="宋体" w:hAnsi="宋体" w:eastAsia="宋体" w:cs="宋体"/>
          <w:spacing w:val="6"/>
          <w:sz w:val="23"/>
          <w:szCs w:val="23"/>
        </w:rPr>
        <w:t>。</w:t>
      </w:r>
    </w:p>
    <w:p w14:paraId="524D7FC4">
      <w:pPr>
        <w:spacing w:before="187" w:line="227" w:lineRule="auto"/>
        <w:ind w:left="501"/>
        <w:rPr>
          <w:rFonts w:ascii="宋体" w:hAnsi="宋体" w:eastAsia="宋体" w:cs="宋体"/>
          <w:sz w:val="23"/>
          <w:szCs w:val="23"/>
        </w:rPr>
      </w:pP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8"/>
          <w:sz w:val="23"/>
          <w:szCs w:val="23"/>
        </w:rPr>
        <w:t>4</w:t>
      </w: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宋体" w:hAnsi="宋体" w:eastAsia="宋体" w:cs="宋体"/>
          <w:spacing w:val="18"/>
          <w:sz w:val="23"/>
          <w:szCs w:val="23"/>
        </w:rPr>
        <w:t xml:space="preserve"> </w:t>
      </w:r>
      <w:r>
        <w:rPr>
          <w:rFonts w:ascii="宋体" w:hAnsi="宋体" w:eastAsia="宋体" w:cs="宋体"/>
          <w:spacing w:val="18"/>
          <w:sz w:val="23"/>
          <w:szCs w:val="23"/>
          <w14:textOutline w14:w="4356" w14:cap="sq" w14:cmpd="sng" w14:algn="ctr">
            <w14:solidFill>
              <w14:srgbClr w14:val="000000"/>
            </w14:solidFill>
            <w14:prstDash w14:val="solid"/>
            <w14:bevel/>
          </w14:textOutline>
        </w:rPr>
        <w:t>工艺说明</w:t>
      </w:r>
      <w:r>
        <w:rPr>
          <w:rFonts w:ascii="宋体" w:hAnsi="宋体" w:eastAsia="宋体" w:cs="宋体"/>
          <w:spacing w:val="17"/>
          <w:sz w:val="23"/>
          <w:szCs w:val="23"/>
          <w14:textOutline w14:w="4356" w14:cap="sq" w14:cmpd="sng" w14:algn="ctr">
            <w14:solidFill>
              <w14:srgbClr w14:val="000000"/>
            </w14:solidFill>
            <w14:prstDash w14:val="solid"/>
            <w14:bevel/>
          </w14:textOutline>
        </w:rPr>
        <w:t>：</w:t>
      </w:r>
    </w:p>
    <w:p w14:paraId="022B5A2C">
      <w:pPr>
        <w:spacing w:before="182" w:line="227" w:lineRule="auto"/>
        <w:ind w:left="501"/>
        <w:rPr>
          <w:rFonts w:ascii="宋体" w:hAnsi="宋体" w:eastAsia="宋体" w:cs="宋体"/>
          <w:sz w:val="23"/>
          <w:szCs w:val="23"/>
        </w:rPr>
      </w:pP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8"/>
          <w:sz w:val="23"/>
          <w:szCs w:val="23"/>
        </w:rPr>
        <w:t>1</w:t>
      </w: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宋体" w:hAnsi="宋体" w:eastAsia="宋体" w:cs="宋体"/>
          <w:spacing w:val="18"/>
          <w:sz w:val="23"/>
          <w:szCs w:val="23"/>
        </w:rPr>
        <w:t xml:space="preserve"> </w:t>
      </w:r>
      <w:r>
        <w:rPr>
          <w:rFonts w:ascii="宋体" w:hAnsi="宋体" w:eastAsia="宋体" w:cs="宋体"/>
          <w:spacing w:val="18"/>
          <w:sz w:val="23"/>
          <w:szCs w:val="23"/>
          <w14:textOutline w14:w="4356" w14:cap="sq" w14:cmpd="sng" w14:algn="ctr">
            <w14:solidFill>
              <w14:srgbClr w14:val="000000"/>
            </w14:solidFill>
            <w14:prstDash w14:val="solid"/>
            <w14:bevel/>
          </w14:textOutline>
        </w:rPr>
        <w:t>收集、搅拌混</w:t>
      </w:r>
      <w:r>
        <w:rPr>
          <w:rFonts w:ascii="宋体" w:hAnsi="宋体" w:eastAsia="宋体" w:cs="宋体"/>
          <w:spacing w:val="16"/>
          <w:sz w:val="23"/>
          <w:szCs w:val="23"/>
          <w14:textOutline w14:w="4356" w14:cap="sq" w14:cmpd="sng" w14:algn="ctr">
            <w14:solidFill>
              <w14:srgbClr w14:val="000000"/>
            </w14:solidFill>
            <w14:prstDash w14:val="solid"/>
            <w14:bevel/>
          </w14:textOutline>
        </w:rPr>
        <w:t>匀</w:t>
      </w:r>
    </w:p>
    <w:p w14:paraId="542F06E6">
      <w:pPr>
        <w:spacing w:before="184" w:line="375" w:lineRule="auto"/>
        <w:ind w:left="9" w:right="80" w:firstLine="481"/>
        <w:rPr>
          <w:rFonts w:ascii="宋体" w:hAnsi="宋体" w:eastAsia="宋体" w:cs="宋体"/>
          <w:sz w:val="23"/>
          <w:szCs w:val="23"/>
        </w:rPr>
      </w:pPr>
      <w:r>
        <w:rPr>
          <w:rFonts w:ascii="宋体" w:hAnsi="宋体" w:eastAsia="宋体" w:cs="宋体"/>
          <w:spacing w:val="7"/>
          <w:sz w:val="23"/>
          <w:szCs w:val="23"/>
        </w:rPr>
        <w:t>养殖区的猪粪通过机械清理出来，猪尿液等经密闭管道引至厂区的集污池，猪粪和猪尿</w:t>
      </w:r>
      <w:r>
        <w:rPr>
          <w:rFonts w:ascii="宋体" w:hAnsi="宋体" w:eastAsia="宋体" w:cs="宋体"/>
          <w:sz w:val="23"/>
          <w:szCs w:val="23"/>
        </w:rPr>
        <w:t xml:space="preserve"> </w:t>
      </w:r>
      <w:r>
        <w:rPr>
          <w:rFonts w:ascii="宋体" w:hAnsi="宋体" w:eastAsia="宋体" w:cs="宋体"/>
          <w:spacing w:val="14"/>
          <w:sz w:val="23"/>
          <w:szCs w:val="23"/>
        </w:rPr>
        <w:t>在集污</w:t>
      </w:r>
      <w:r>
        <w:rPr>
          <w:rFonts w:ascii="宋体" w:hAnsi="宋体" w:eastAsia="宋体" w:cs="宋体"/>
          <w:spacing w:val="11"/>
          <w:sz w:val="23"/>
          <w:szCs w:val="23"/>
        </w:rPr>
        <w:t>池</w:t>
      </w:r>
      <w:r>
        <w:rPr>
          <w:rFonts w:ascii="宋体" w:hAnsi="宋体" w:eastAsia="宋体" w:cs="宋体"/>
          <w:spacing w:val="7"/>
          <w:sz w:val="23"/>
          <w:szCs w:val="23"/>
        </w:rPr>
        <w:t xml:space="preserve">内按照比例 (混合后的粪污中固态物质的含量不得低于 </w:t>
      </w:r>
      <w:r>
        <w:rPr>
          <w:rFonts w:ascii="Times New Roman" w:hAnsi="Times New Roman" w:eastAsia="Times New Roman" w:cs="Times New Roman"/>
          <w:spacing w:val="7"/>
          <w:sz w:val="23"/>
          <w:szCs w:val="23"/>
        </w:rPr>
        <w:t>5%</w:t>
      </w:r>
      <w:r>
        <w:rPr>
          <w:rFonts w:ascii="宋体" w:hAnsi="宋体" w:eastAsia="宋体" w:cs="宋体"/>
          <w:spacing w:val="7"/>
          <w:sz w:val="23"/>
          <w:szCs w:val="23"/>
        </w:rPr>
        <w:t>) 搅拌、混合均匀。该</w:t>
      </w:r>
    </w:p>
    <w:p w14:paraId="2B28993F">
      <w:pPr>
        <w:spacing w:before="1" w:line="374" w:lineRule="auto"/>
        <w:ind w:left="9" w:right="1364" w:firstLine="1"/>
        <w:rPr>
          <w:rFonts w:ascii="宋体" w:hAnsi="宋体" w:eastAsia="宋体" w:cs="宋体"/>
          <w:sz w:val="23"/>
          <w:szCs w:val="23"/>
        </w:rPr>
      </w:pPr>
      <w:r>
        <w:rPr>
          <w:rFonts w:ascii="宋体" w:hAnsi="宋体" w:eastAsia="宋体" w:cs="宋体"/>
          <w:spacing w:val="12"/>
          <w:sz w:val="23"/>
          <w:szCs w:val="23"/>
        </w:rPr>
        <w:t>过</w:t>
      </w:r>
      <w:r>
        <w:rPr>
          <w:rFonts w:ascii="宋体" w:hAnsi="宋体" w:eastAsia="宋体" w:cs="宋体"/>
          <w:spacing w:val="6"/>
          <w:sz w:val="23"/>
          <w:szCs w:val="23"/>
        </w:rPr>
        <w:t xml:space="preserve">程会产生废气，其主要污染因子为 </w:t>
      </w:r>
      <w:r>
        <w:rPr>
          <w:rFonts w:ascii="Times New Roman" w:hAnsi="Times New Roman" w:eastAsia="Times New Roman" w:cs="Times New Roman"/>
          <w:sz w:val="23"/>
          <w:szCs w:val="23"/>
        </w:rPr>
        <w:t>NH</w:t>
      </w:r>
      <w:r>
        <w:rPr>
          <w:rFonts w:ascii="Times New Roman" w:hAnsi="Times New Roman" w:eastAsia="Times New Roman" w:cs="Times New Roman"/>
          <w:spacing w:val="6"/>
          <w:sz w:val="23"/>
          <w:szCs w:val="23"/>
        </w:rPr>
        <w:t xml:space="preserve">3 </w:t>
      </w:r>
      <w:r>
        <w:rPr>
          <w:rFonts w:ascii="宋体" w:hAnsi="宋体" w:eastAsia="宋体" w:cs="宋体"/>
          <w:spacing w:val="6"/>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6"/>
          <w:sz w:val="23"/>
          <w:szCs w:val="23"/>
        </w:rPr>
        <w:t>2</w:t>
      </w:r>
      <w:r>
        <w:rPr>
          <w:rFonts w:ascii="Times New Roman" w:hAnsi="Times New Roman" w:eastAsia="Times New Roman" w:cs="Times New Roman"/>
          <w:sz w:val="23"/>
          <w:szCs w:val="23"/>
        </w:rPr>
        <w:t>S</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和臭气浓度。混匀过程中搅拌</w:t>
      </w:r>
      <w:r>
        <w:rPr>
          <w:rFonts w:ascii="宋体" w:hAnsi="宋体" w:eastAsia="宋体" w:cs="宋体"/>
          <w:sz w:val="23"/>
          <w:szCs w:val="23"/>
        </w:rPr>
        <w:t xml:space="preserve"> </w:t>
      </w:r>
      <w:r>
        <w:rPr>
          <w:rFonts w:ascii="宋体" w:hAnsi="宋体" w:eastAsia="宋体" w:cs="宋体"/>
          <w:spacing w:val="9"/>
          <w:sz w:val="23"/>
          <w:szCs w:val="23"/>
        </w:rPr>
        <w:t>机</w:t>
      </w:r>
      <w:r>
        <w:rPr>
          <w:rFonts w:ascii="宋体" w:hAnsi="宋体" w:eastAsia="宋体" w:cs="宋体"/>
          <w:spacing w:val="7"/>
          <w:sz w:val="23"/>
          <w:szCs w:val="23"/>
        </w:rPr>
        <w:t>会产生噪声。</w:t>
      </w:r>
    </w:p>
    <w:p w14:paraId="4F8BE1C0">
      <w:pPr>
        <w:spacing w:before="2" w:line="225" w:lineRule="auto"/>
        <w:ind w:left="501"/>
        <w:rPr>
          <w:rFonts w:ascii="宋体" w:hAnsi="宋体" w:eastAsia="宋体" w:cs="宋体"/>
          <w:sz w:val="23"/>
          <w:szCs w:val="23"/>
        </w:rPr>
      </w:pPr>
      <w:r>
        <w:rPr>
          <w:rFonts w:ascii="宋体" w:hAnsi="宋体" w:eastAsia="宋体" w:cs="宋体"/>
          <w:spacing w:val="26"/>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3"/>
          <w:sz w:val="23"/>
          <w:szCs w:val="23"/>
        </w:rPr>
        <w:t>2</w:t>
      </w: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宋体" w:hAnsi="宋体" w:eastAsia="宋体" w:cs="宋体"/>
          <w:spacing w:val="23"/>
          <w:sz w:val="23"/>
          <w:szCs w:val="23"/>
        </w:rPr>
        <w:t xml:space="preserve"> </w:t>
      </w:r>
      <w:r>
        <w:rPr>
          <w:rFonts w:ascii="宋体" w:hAnsi="宋体" w:eastAsia="宋体" w:cs="宋体"/>
          <w:spacing w:val="23"/>
          <w:sz w:val="23"/>
          <w:szCs w:val="23"/>
          <w14:textOutline w14:w="4356" w14:cap="sq" w14:cmpd="sng" w14:algn="ctr">
            <w14:solidFill>
              <w14:srgbClr w14:val="000000"/>
            </w14:solidFill>
            <w14:prstDash w14:val="solid"/>
            <w14:bevel/>
          </w14:textOutline>
        </w:rPr>
        <w:t>喷淋</w:t>
      </w:r>
    </w:p>
    <w:p w14:paraId="446050C0">
      <w:pPr>
        <w:spacing w:before="185" w:line="375" w:lineRule="auto"/>
        <w:ind w:left="10" w:right="77" w:firstLine="478"/>
        <w:rPr>
          <w:rFonts w:ascii="宋体" w:hAnsi="宋体" w:eastAsia="宋体" w:cs="宋体"/>
          <w:sz w:val="23"/>
          <w:szCs w:val="23"/>
        </w:rPr>
      </w:pPr>
      <w:r>
        <w:rPr>
          <w:rFonts w:ascii="宋体" w:hAnsi="宋体" w:eastAsia="宋体" w:cs="宋体"/>
          <w:spacing w:val="12"/>
          <w:sz w:val="23"/>
          <w:szCs w:val="23"/>
        </w:rPr>
        <w:t>将</w:t>
      </w:r>
      <w:r>
        <w:rPr>
          <w:rFonts w:ascii="宋体" w:hAnsi="宋体" w:eastAsia="宋体" w:cs="宋体"/>
          <w:spacing w:val="11"/>
          <w:sz w:val="23"/>
          <w:szCs w:val="23"/>
        </w:rPr>
        <w:t>发</w:t>
      </w:r>
      <w:r>
        <w:rPr>
          <w:rFonts w:ascii="宋体" w:hAnsi="宋体" w:eastAsia="宋体" w:cs="宋体"/>
          <w:spacing w:val="6"/>
          <w:sz w:val="23"/>
          <w:szCs w:val="23"/>
        </w:rPr>
        <w:t xml:space="preserve">酵垫料一次性装填到发酵池 (槽) 内，装填高度 </w:t>
      </w:r>
      <w:r>
        <w:rPr>
          <w:rFonts w:ascii="Times New Roman" w:hAnsi="Times New Roman" w:eastAsia="Times New Roman" w:cs="Times New Roman"/>
          <w:spacing w:val="6"/>
          <w:sz w:val="23"/>
          <w:szCs w:val="23"/>
        </w:rPr>
        <w:t xml:space="preserve">1.5 </w:t>
      </w:r>
      <w:r>
        <w:rPr>
          <w:rFonts w:ascii="宋体" w:hAnsi="宋体" w:eastAsia="宋体" w:cs="宋体"/>
          <w:spacing w:val="6"/>
          <w:sz w:val="23"/>
          <w:szCs w:val="23"/>
        </w:rPr>
        <w:t>米，装填完毕后，按每立方米</w:t>
      </w:r>
      <w:r>
        <w:rPr>
          <w:rFonts w:ascii="宋体" w:hAnsi="宋体" w:eastAsia="宋体" w:cs="宋体"/>
          <w:sz w:val="23"/>
          <w:szCs w:val="23"/>
        </w:rPr>
        <w:t xml:space="preserve"> </w:t>
      </w:r>
      <w:r>
        <w:rPr>
          <w:rFonts w:ascii="宋体" w:hAnsi="宋体" w:eastAsia="宋体" w:cs="宋体"/>
          <w:spacing w:val="12"/>
          <w:sz w:val="23"/>
          <w:szCs w:val="23"/>
        </w:rPr>
        <w:t>发酵基</w:t>
      </w:r>
      <w:r>
        <w:rPr>
          <w:rFonts w:ascii="宋体" w:hAnsi="宋体" w:eastAsia="宋体" w:cs="宋体"/>
          <w:spacing w:val="11"/>
          <w:sz w:val="23"/>
          <w:szCs w:val="23"/>
        </w:rPr>
        <w:t>质</w:t>
      </w:r>
      <w:r>
        <w:rPr>
          <w:rFonts w:ascii="宋体" w:hAnsi="宋体" w:eastAsia="宋体" w:cs="宋体"/>
          <w:spacing w:val="6"/>
          <w:sz w:val="23"/>
          <w:szCs w:val="23"/>
        </w:rPr>
        <w:t xml:space="preserve">喷淋粪污量不超过 </w:t>
      </w:r>
      <w:r>
        <w:rPr>
          <w:rFonts w:ascii="Times New Roman" w:hAnsi="Times New Roman" w:eastAsia="Times New Roman" w:cs="Times New Roman"/>
          <w:spacing w:val="6"/>
          <w:sz w:val="23"/>
          <w:szCs w:val="23"/>
        </w:rPr>
        <w:t xml:space="preserve">30 </w:t>
      </w:r>
      <w:r>
        <w:rPr>
          <w:rFonts w:ascii="宋体" w:hAnsi="宋体" w:eastAsia="宋体" w:cs="宋体"/>
          <w:spacing w:val="6"/>
          <w:sz w:val="23"/>
          <w:szCs w:val="23"/>
        </w:rPr>
        <w:t>千克</w:t>
      </w:r>
      <w:r>
        <w:rPr>
          <w:rFonts w:ascii="Times New Roman" w:hAnsi="Times New Roman" w:eastAsia="Times New Roman" w:cs="Times New Roman"/>
          <w:spacing w:val="6"/>
          <w:sz w:val="23"/>
          <w:szCs w:val="23"/>
        </w:rPr>
        <w:t>/</w:t>
      </w:r>
      <w:r>
        <w:rPr>
          <w:rFonts w:ascii="宋体" w:hAnsi="宋体" w:eastAsia="宋体" w:cs="宋体"/>
          <w:spacing w:val="6"/>
          <w:sz w:val="23"/>
          <w:szCs w:val="23"/>
        </w:rPr>
        <w:t>天测算，将暂贮在喷淋池中的粪污通过喷淋机一次或多</w:t>
      </w:r>
      <w:r>
        <w:rPr>
          <w:rFonts w:ascii="宋体" w:hAnsi="宋体" w:eastAsia="宋体" w:cs="宋体"/>
          <w:sz w:val="23"/>
          <w:szCs w:val="23"/>
        </w:rPr>
        <w:t xml:space="preserve"> </w:t>
      </w:r>
      <w:r>
        <w:rPr>
          <w:rFonts w:ascii="宋体" w:hAnsi="宋体" w:eastAsia="宋体" w:cs="宋体"/>
          <w:spacing w:val="12"/>
          <w:sz w:val="23"/>
          <w:szCs w:val="23"/>
        </w:rPr>
        <w:t>次均匀地</w:t>
      </w:r>
      <w:r>
        <w:rPr>
          <w:rFonts w:ascii="宋体" w:hAnsi="宋体" w:eastAsia="宋体" w:cs="宋体"/>
          <w:spacing w:val="7"/>
          <w:sz w:val="23"/>
          <w:szCs w:val="23"/>
        </w:rPr>
        <w:t>喷</w:t>
      </w:r>
      <w:r>
        <w:rPr>
          <w:rFonts w:ascii="宋体" w:hAnsi="宋体" w:eastAsia="宋体" w:cs="宋体"/>
          <w:spacing w:val="6"/>
          <w:sz w:val="23"/>
          <w:szCs w:val="23"/>
        </w:rPr>
        <w:t>淋到发酵池 (槽) 表面，多个发酵池 (槽) 的可轮换错开喷淋时间；粪污与发酵</w:t>
      </w:r>
      <w:r>
        <w:rPr>
          <w:rFonts w:ascii="宋体" w:hAnsi="宋体" w:eastAsia="宋体" w:cs="宋体"/>
          <w:sz w:val="23"/>
          <w:szCs w:val="23"/>
        </w:rPr>
        <w:t xml:space="preserve"> </w:t>
      </w:r>
      <w:r>
        <w:rPr>
          <w:rFonts w:ascii="宋体" w:hAnsi="宋体" w:eastAsia="宋体" w:cs="宋体"/>
          <w:spacing w:val="8"/>
          <w:sz w:val="23"/>
          <w:szCs w:val="23"/>
        </w:rPr>
        <w:t>基质混</w:t>
      </w:r>
      <w:r>
        <w:rPr>
          <w:rFonts w:ascii="宋体" w:hAnsi="宋体" w:eastAsia="宋体" w:cs="宋体"/>
          <w:spacing w:val="7"/>
          <w:sz w:val="23"/>
          <w:szCs w:val="23"/>
        </w:rPr>
        <w:t>合</w:t>
      </w:r>
      <w:r>
        <w:rPr>
          <w:rFonts w:ascii="宋体" w:hAnsi="宋体" w:eastAsia="宋体" w:cs="宋体"/>
          <w:spacing w:val="4"/>
          <w:sz w:val="23"/>
          <w:szCs w:val="23"/>
        </w:rPr>
        <w:t xml:space="preserve">后的水分含量以 </w:t>
      </w:r>
      <w:r>
        <w:rPr>
          <w:rFonts w:ascii="Times New Roman" w:hAnsi="Times New Roman" w:eastAsia="Times New Roman" w:cs="Times New Roman"/>
          <w:spacing w:val="4"/>
          <w:sz w:val="23"/>
          <w:szCs w:val="23"/>
        </w:rPr>
        <w:t>45%-50%</w:t>
      </w:r>
      <w:r>
        <w:rPr>
          <w:rFonts w:ascii="宋体" w:hAnsi="宋体" w:eastAsia="宋体" w:cs="宋体"/>
          <w:spacing w:val="4"/>
          <w:sz w:val="23"/>
          <w:szCs w:val="23"/>
        </w:rPr>
        <w:t>为宜。</w:t>
      </w:r>
    </w:p>
    <w:p w14:paraId="3E06B2F6">
      <w:pPr>
        <w:spacing w:before="1" w:line="225" w:lineRule="auto"/>
        <w:ind w:left="499"/>
        <w:rPr>
          <w:rFonts w:ascii="宋体" w:hAnsi="宋体" w:eastAsia="宋体" w:cs="宋体"/>
          <w:sz w:val="23"/>
          <w:szCs w:val="23"/>
        </w:rPr>
      </w:pPr>
      <w:r>
        <w:rPr>
          <w:rFonts w:ascii="宋体" w:hAnsi="宋体" w:eastAsia="宋体" w:cs="宋体"/>
          <w:spacing w:val="6"/>
          <w:sz w:val="23"/>
          <w:szCs w:val="23"/>
        </w:rPr>
        <w:t>喷</w:t>
      </w:r>
      <w:r>
        <w:rPr>
          <w:rFonts w:ascii="宋体" w:hAnsi="宋体" w:eastAsia="宋体" w:cs="宋体"/>
          <w:spacing w:val="5"/>
          <w:sz w:val="23"/>
          <w:szCs w:val="23"/>
        </w:rPr>
        <w:t xml:space="preserve">淋会产生废气，其主要污染因子为 </w:t>
      </w:r>
      <w:r>
        <w:rPr>
          <w:rFonts w:ascii="Times New Roman" w:hAnsi="Times New Roman" w:eastAsia="Times New Roman" w:cs="Times New Roman"/>
          <w:sz w:val="23"/>
          <w:szCs w:val="23"/>
        </w:rPr>
        <w:t>NH</w:t>
      </w:r>
      <w:r>
        <w:rPr>
          <w:rFonts w:ascii="Times New Roman" w:hAnsi="Times New Roman" w:eastAsia="Times New Roman" w:cs="Times New Roman"/>
          <w:spacing w:val="5"/>
          <w:position w:val="-1"/>
          <w:sz w:val="15"/>
          <w:szCs w:val="15"/>
        </w:rPr>
        <w:t xml:space="preserve">3 </w:t>
      </w:r>
      <w:r>
        <w:rPr>
          <w:rFonts w:ascii="宋体" w:hAnsi="宋体" w:eastAsia="宋体" w:cs="宋体"/>
          <w:spacing w:val="5"/>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5"/>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和臭气浓度。</w:t>
      </w:r>
    </w:p>
    <w:p w14:paraId="220C5FB6">
      <w:pPr>
        <w:spacing w:before="184" w:line="230" w:lineRule="auto"/>
        <w:ind w:left="501"/>
        <w:rPr>
          <w:rFonts w:ascii="宋体" w:hAnsi="宋体" w:eastAsia="宋体" w:cs="宋体"/>
          <w:sz w:val="23"/>
          <w:szCs w:val="23"/>
        </w:rPr>
      </w:pPr>
      <w:r>
        <w:rPr>
          <w:rFonts w:ascii="宋体" w:hAnsi="宋体" w:eastAsia="宋体" w:cs="宋体"/>
          <w:spacing w:val="26"/>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3"/>
          <w:sz w:val="23"/>
          <w:szCs w:val="23"/>
        </w:rPr>
        <w:t>3</w:t>
      </w: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宋体" w:hAnsi="宋体" w:eastAsia="宋体" w:cs="宋体"/>
          <w:spacing w:val="23"/>
          <w:sz w:val="23"/>
          <w:szCs w:val="23"/>
        </w:rPr>
        <w:t xml:space="preserve"> </w:t>
      </w:r>
      <w:r>
        <w:rPr>
          <w:rFonts w:ascii="宋体" w:hAnsi="宋体" w:eastAsia="宋体" w:cs="宋体"/>
          <w:spacing w:val="23"/>
          <w:sz w:val="23"/>
          <w:szCs w:val="23"/>
          <w14:textOutline w14:w="4356" w14:cap="sq" w14:cmpd="sng" w14:algn="ctr">
            <w14:solidFill>
              <w14:srgbClr w14:val="000000"/>
            </w14:solidFill>
            <w14:prstDash w14:val="solid"/>
            <w14:bevel/>
          </w14:textOutline>
        </w:rPr>
        <w:t>翻抛</w:t>
      </w:r>
    </w:p>
    <w:p w14:paraId="4FC08283">
      <w:pPr>
        <w:spacing w:before="183" w:line="374" w:lineRule="auto"/>
        <w:ind w:left="9" w:right="75" w:firstLine="482"/>
        <w:rPr>
          <w:rFonts w:ascii="宋体" w:hAnsi="宋体" w:eastAsia="宋体" w:cs="宋体"/>
          <w:sz w:val="23"/>
          <w:szCs w:val="23"/>
        </w:rPr>
      </w:pPr>
      <w:r>
        <w:rPr>
          <w:rFonts w:ascii="宋体" w:hAnsi="宋体" w:eastAsia="宋体" w:cs="宋体"/>
          <w:spacing w:val="6"/>
          <w:sz w:val="23"/>
          <w:szCs w:val="23"/>
        </w:rPr>
        <w:t xml:space="preserve">粪污喷淋到基质后，需等粪污完全渗入基质 (约 </w:t>
      </w:r>
      <w:r>
        <w:rPr>
          <w:rFonts w:ascii="Times New Roman" w:hAnsi="Times New Roman" w:eastAsia="Times New Roman" w:cs="Times New Roman"/>
          <w:spacing w:val="6"/>
          <w:sz w:val="23"/>
          <w:szCs w:val="23"/>
        </w:rPr>
        <w:t xml:space="preserve">3-4 </w:t>
      </w:r>
      <w:r>
        <w:rPr>
          <w:rFonts w:ascii="宋体" w:hAnsi="宋体" w:eastAsia="宋体" w:cs="宋体"/>
          <w:spacing w:val="6"/>
          <w:sz w:val="23"/>
          <w:szCs w:val="23"/>
        </w:rPr>
        <w:t>小时) 后，开动翻抛机进行翻</w:t>
      </w:r>
      <w:r>
        <w:rPr>
          <w:rFonts w:ascii="宋体" w:hAnsi="宋体" w:eastAsia="宋体" w:cs="宋体"/>
          <w:spacing w:val="5"/>
          <w:sz w:val="23"/>
          <w:szCs w:val="23"/>
        </w:rPr>
        <w:t>抛</w:t>
      </w:r>
      <w:r>
        <w:rPr>
          <w:rFonts w:ascii="宋体" w:hAnsi="宋体" w:eastAsia="宋体" w:cs="宋体"/>
          <w:sz w:val="23"/>
          <w:szCs w:val="23"/>
        </w:rPr>
        <w:t xml:space="preserve">； </w:t>
      </w:r>
      <w:r>
        <w:rPr>
          <w:rFonts w:ascii="宋体" w:hAnsi="宋体" w:eastAsia="宋体" w:cs="宋体"/>
          <w:spacing w:val="6"/>
          <w:sz w:val="23"/>
          <w:szCs w:val="23"/>
        </w:rPr>
        <w:t>要</w:t>
      </w:r>
      <w:r>
        <w:rPr>
          <w:rFonts w:ascii="宋体" w:hAnsi="宋体" w:eastAsia="宋体" w:cs="宋体"/>
          <w:spacing w:val="5"/>
          <w:sz w:val="23"/>
          <w:szCs w:val="23"/>
        </w:rPr>
        <w:t>求</w:t>
      </w:r>
      <w:r>
        <w:rPr>
          <w:rFonts w:ascii="宋体" w:hAnsi="宋体" w:eastAsia="宋体" w:cs="宋体"/>
          <w:spacing w:val="3"/>
          <w:sz w:val="23"/>
          <w:szCs w:val="23"/>
        </w:rPr>
        <w:t xml:space="preserve"> </w:t>
      </w:r>
      <w:r>
        <w:rPr>
          <w:rFonts w:ascii="Times New Roman" w:hAnsi="Times New Roman" w:eastAsia="Times New Roman" w:cs="Times New Roman"/>
          <w:spacing w:val="3"/>
          <w:sz w:val="23"/>
          <w:szCs w:val="23"/>
        </w:rPr>
        <w:t xml:space="preserve">1~2 </w:t>
      </w:r>
      <w:r>
        <w:rPr>
          <w:rFonts w:ascii="宋体" w:hAnsi="宋体" w:eastAsia="宋体" w:cs="宋体"/>
          <w:spacing w:val="3"/>
          <w:sz w:val="23"/>
          <w:szCs w:val="23"/>
        </w:rPr>
        <w:t xml:space="preserve">天翻抛 </w:t>
      </w:r>
      <w:r>
        <w:rPr>
          <w:rFonts w:ascii="Times New Roman" w:hAnsi="Times New Roman" w:eastAsia="Times New Roman" w:cs="Times New Roman"/>
          <w:spacing w:val="3"/>
          <w:sz w:val="23"/>
          <w:szCs w:val="23"/>
        </w:rPr>
        <w:t xml:space="preserve">1 </w:t>
      </w:r>
      <w:r>
        <w:rPr>
          <w:rFonts w:ascii="宋体" w:hAnsi="宋体" w:eastAsia="宋体" w:cs="宋体"/>
          <w:spacing w:val="3"/>
          <w:sz w:val="23"/>
          <w:szCs w:val="23"/>
        </w:rPr>
        <w:t xml:space="preserve">次。此过程会产生噪声和废气。废气主要污染因子为 </w:t>
      </w:r>
      <w:r>
        <w:rPr>
          <w:rFonts w:ascii="Times New Roman" w:hAnsi="Times New Roman" w:eastAsia="Times New Roman" w:cs="Times New Roman"/>
          <w:sz w:val="23"/>
          <w:szCs w:val="23"/>
        </w:rPr>
        <w:t>NH</w:t>
      </w:r>
      <w:r>
        <w:rPr>
          <w:rFonts w:ascii="Times New Roman" w:hAnsi="Times New Roman" w:eastAsia="Times New Roman" w:cs="Times New Roman"/>
          <w:spacing w:val="3"/>
          <w:position w:val="-1"/>
          <w:sz w:val="15"/>
          <w:szCs w:val="15"/>
        </w:rPr>
        <w:t>3</w:t>
      </w:r>
      <w:r>
        <w:rPr>
          <w:rFonts w:ascii="宋体" w:hAnsi="宋体" w:eastAsia="宋体" w:cs="宋体"/>
          <w:spacing w:val="3"/>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3"/>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和臭气浓</w:t>
      </w:r>
      <w:r>
        <w:rPr>
          <w:rFonts w:ascii="宋体" w:hAnsi="宋体" w:eastAsia="宋体" w:cs="宋体"/>
          <w:sz w:val="23"/>
          <w:szCs w:val="23"/>
        </w:rPr>
        <w:t xml:space="preserve"> </w:t>
      </w:r>
      <w:r>
        <w:rPr>
          <w:rFonts w:ascii="宋体" w:hAnsi="宋体" w:eastAsia="宋体" w:cs="宋体"/>
          <w:spacing w:val="1"/>
          <w:sz w:val="23"/>
          <w:szCs w:val="23"/>
        </w:rPr>
        <w:t>度</w:t>
      </w:r>
      <w:r>
        <w:rPr>
          <w:rFonts w:ascii="宋体" w:hAnsi="宋体" w:eastAsia="宋体" w:cs="宋体"/>
          <w:sz w:val="23"/>
          <w:szCs w:val="23"/>
        </w:rPr>
        <w:t>。</w:t>
      </w:r>
    </w:p>
    <w:p w14:paraId="275BBAAD">
      <w:pPr>
        <w:spacing w:line="228" w:lineRule="auto"/>
        <w:ind w:left="501"/>
        <w:rPr>
          <w:rFonts w:ascii="宋体" w:hAnsi="宋体" w:eastAsia="宋体" w:cs="宋体"/>
          <w:sz w:val="23"/>
          <w:szCs w:val="23"/>
        </w:rPr>
      </w:pPr>
      <w:r>
        <w:rPr>
          <w:rFonts w:ascii="宋体" w:hAnsi="宋体" w:eastAsia="宋体" w:cs="宋体"/>
          <w:spacing w:val="26"/>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3"/>
          <w:sz w:val="23"/>
          <w:szCs w:val="23"/>
        </w:rPr>
        <w:t>4</w:t>
      </w: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宋体" w:hAnsi="宋体" w:eastAsia="宋体" w:cs="宋体"/>
          <w:spacing w:val="23"/>
          <w:sz w:val="23"/>
          <w:szCs w:val="23"/>
        </w:rPr>
        <w:t xml:space="preserve"> </w:t>
      </w:r>
      <w:r>
        <w:rPr>
          <w:rFonts w:ascii="宋体" w:hAnsi="宋体" w:eastAsia="宋体" w:cs="宋体"/>
          <w:spacing w:val="23"/>
          <w:sz w:val="23"/>
          <w:szCs w:val="23"/>
          <w14:textOutline w14:w="4356" w14:cap="sq" w14:cmpd="sng" w14:algn="ctr">
            <w14:solidFill>
              <w14:srgbClr w14:val="000000"/>
            </w14:solidFill>
            <w14:prstDash w14:val="solid"/>
            <w14:bevel/>
          </w14:textOutline>
        </w:rPr>
        <w:t>发酵</w:t>
      </w:r>
    </w:p>
    <w:p w14:paraId="05154595">
      <w:pPr>
        <w:spacing w:before="184" w:line="228" w:lineRule="auto"/>
        <w:ind w:left="494"/>
        <w:rPr>
          <w:rFonts w:ascii="宋体" w:hAnsi="宋体" w:eastAsia="宋体" w:cs="宋体"/>
          <w:sz w:val="23"/>
          <w:szCs w:val="23"/>
        </w:rPr>
      </w:pPr>
      <w:r>
        <w:rPr>
          <w:rFonts w:ascii="宋体" w:hAnsi="宋体" w:eastAsia="宋体" w:cs="宋体"/>
          <w:spacing w:val="12"/>
          <w:sz w:val="23"/>
          <w:szCs w:val="23"/>
        </w:rPr>
        <w:t>发酵原</w:t>
      </w:r>
      <w:r>
        <w:rPr>
          <w:rFonts w:ascii="宋体" w:hAnsi="宋体" w:eastAsia="宋体" w:cs="宋体"/>
          <w:spacing w:val="11"/>
          <w:sz w:val="23"/>
          <w:szCs w:val="23"/>
        </w:rPr>
        <w:t>料</w:t>
      </w:r>
      <w:r>
        <w:rPr>
          <w:rFonts w:ascii="宋体" w:hAnsi="宋体" w:eastAsia="宋体" w:cs="宋体"/>
          <w:spacing w:val="6"/>
          <w:sz w:val="23"/>
          <w:szCs w:val="23"/>
        </w:rPr>
        <w:t>要求：发酵原料包括发酵垫料和发酵菌。发酵垫料以谷壳、秸秆 (木屑) 为原</w:t>
      </w:r>
    </w:p>
    <w:p w14:paraId="1C1B2A97">
      <w:pPr>
        <w:spacing w:before="137" w:line="377" w:lineRule="auto"/>
        <w:ind w:left="13" w:right="21" w:hanging="3"/>
        <w:rPr>
          <w:rFonts w:ascii="宋体" w:hAnsi="宋体" w:eastAsia="宋体" w:cs="宋体"/>
          <w:sz w:val="23"/>
          <w:szCs w:val="23"/>
        </w:rPr>
      </w:pPr>
      <w:r>
        <w:rPr>
          <w:rFonts w:ascii="宋体" w:hAnsi="宋体" w:eastAsia="宋体" w:cs="宋体"/>
          <w:spacing w:val="12"/>
          <w:sz w:val="23"/>
          <w:szCs w:val="23"/>
        </w:rPr>
        <w:t>料</w:t>
      </w:r>
      <w:r>
        <w:rPr>
          <w:rFonts w:ascii="宋体" w:hAnsi="宋体" w:eastAsia="宋体" w:cs="宋体"/>
          <w:spacing w:val="6"/>
          <w:sz w:val="23"/>
          <w:szCs w:val="23"/>
        </w:rPr>
        <w:t>，两者的重量比为</w:t>
      </w:r>
      <w:r>
        <w:rPr>
          <w:rFonts w:ascii="Times New Roman" w:hAnsi="Times New Roman" w:eastAsia="Times New Roman" w:cs="Times New Roman"/>
          <w:spacing w:val="6"/>
          <w:sz w:val="23"/>
          <w:szCs w:val="23"/>
        </w:rPr>
        <w:t>4:6</w:t>
      </w:r>
      <w:r>
        <w:rPr>
          <w:rFonts w:ascii="宋体" w:hAnsi="宋体" w:eastAsia="宋体" w:cs="宋体"/>
          <w:spacing w:val="6"/>
          <w:sz w:val="23"/>
          <w:szCs w:val="23"/>
        </w:rPr>
        <w:t xml:space="preserve">；发酵基质每年补充量约为 </w:t>
      </w:r>
      <w:r>
        <w:rPr>
          <w:rFonts w:ascii="Times New Roman" w:hAnsi="Times New Roman" w:eastAsia="Times New Roman" w:cs="Times New Roman"/>
          <w:spacing w:val="6"/>
          <w:sz w:val="23"/>
          <w:szCs w:val="23"/>
        </w:rPr>
        <w:t xml:space="preserve">1/3 </w:t>
      </w:r>
      <w:r>
        <w:rPr>
          <w:rFonts w:ascii="宋体" w:hAnsi="宋体" w:eastAsia="宋体" w:cs="宋体"/>
          <w:spacing w:val="6"/>
          <w:sz w:val="23"/>
          <w:szCs w:val="23"/>
        </w:rPr>
        <w:t>。发酵菌应选用耐高温的专用菌种，</w:t>
      </w:r>
      <w:r>
        <w:rPr>
          <w:rFonts w:ascii="宋体" w:hAnsi="宋体" w:eastAsia="宋体" w:cs="宋体"/>
          <w:sz w:val="23"/>
          <w:szCs w:val="23"/>
        </w:rPr>
        <w:t xml:space="preserve"> </w:t>
      </w:r>
      <w:r>
        <w:rPr>
          <w:rFonts w:ascii="宋体" w:hAnsi="宋体" w:eastAsia="宋体" w:cs="宋体"/>
          <w:spacing w:val="5"/>
          <w:sz w:val="23"/>
          <w:szCs w:val="23"/>
        </w:rPr>
        <w:t xml:space="preserve">首次添加时每 </w:t>
      </w:r>
      <w:r>
        <w:rPr>
          <w:rFonts w:ascii="Times New Roman" w:hAnsi="Times New Roman" w:eastAsia="Times New Roman" w:cs="Times New Roman"/>
          <w:spacing w:val="5"/>
          <w:sz w:val="23"/>
          <w:szCs w:val="23"/>
        </w:rPr>
        <w:t>3</w:t>
      </w:r>
      <w:r>
        <w:rPr>
          <w:rFonts w:ascii="Times New Roman" w:hAnsi="Times New Roman" w:eastAsia="Times New Roman" w:cs="Times New Roman"/>
          <w:sz w:val="23"/>
          <w:szCs w:val="23"/>
        </w:rPr>
        <w:t>m</w:t>
      </w:r>
      <w:r>
        <w:rPr>
          <w:rFonts w:ascii="Times New Roman" w:hAnsi="Times New Roman" w:eastAsia="Times New Roman" w:cs="Times New Roman"/>
          <w:spacing w:val="5"/>
          <w:position w:val="8"/>
          <w:sz w:val="15"/>
          <w:szCs w:val="15"/>
        </w:rPr>
        <w:t xml:space="preserve">3 </w:t>
      </w:r>
      <w:r>
        <w:rPr>
          <w:rFonts w:ascii="宋体" w:hAnsi="宋体" w:eastAsia="宋体" w:cs="宋体"/>
          <w:spacing w:val="5"/>
          <w:sz w:val="23"/>
          <w:szCs w:val="23"/>
        </w:rPr>
        <w:t xml:space="preserve">发酵基质添加 </w:t>
      </w:r>
      <w:r>
        <w:rPr>
          <w:rFonts w:ascii="Times New Roman" w:hAnsi="Times New Roman" w:eastAsia="Times New Roman" w:cs="Times New Roman"/>
          <w:spacing w:val="5"/>
          <w:sz w:val="23"/>
          <w:szCs w:val="23"/>
        </w:rPr>
        <w:t>1</w:t>
      </w:r>
      <w:r>
        <w:rPr>
          <w:rFonts w:ascii="Times New Roman" w:hAnsi="Times New Roman" w:eastAsia="Times New Roman" w:cs="Times New Roman"/>
          <w:sz w:val="23"/>
          <w:szCs w:val="23"/>
        </w:rPr>
        <w:t>kg</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菌种，均匀地撒到发酵垫料表面</w:t>
      </w:r>
      <w:r>
        <w:rPr>
          <w:rFonts w:ascii="宋体" w:hAnsi="宋体" w:eastAsia="宋体" w:cs="宋体"/>
          <w:spacing w:val="2"/>
          <w:sz w:val="23"/>
          <w:szCs w:val="23"/>
        </w:rPr>
        <w:t>。</w:t>
      </w:r>
    </w:p>
    <w:p w14:paraId="593DA4F1">
      <w:pPr>
        <w:spacing w:before="41" w:line="226" w:lineRule="auto"/>
        <w:ind w:left="490"/>
        <w:rPr>
          <w:rFonts w:ascii="宋体" w:hAnsi="宋体" w:eastAsia="宋体" w:cs="宋体"/>
          <w:sz w:val="23"/>
          <w:szCs w:val="23"/>
        </w:rPr>
      </w:pPr>
      <w:r>
        <w:rPr>
          <w:rFonts w:ascii="宋体" w:hAnsi="宋体" w:eastAsia="宋体" w:cs="宋体"/>
          <w:spacing w:val="6"/>
          <w:sz w:val="23"/>
          <w:szCs w:val="23"/>
        </w:rPr>
        <w:t>每</w:t>
      </w:r>
      <w:r>
        <w:rPr>
          <w:rFonts w:ascii="宋体" w:hAnsi="宋体" w:eastAsia="宋体" w:cs="宋体"/>
          <w:spacing w:val="5"/>
          <w:sz w:val="23"/>
          <w:szCs w:val="23"/>
        </w:rPr>
        <w:t xml:space="preserve">次喷淋粪污后，经 </w:t>
      </w:r>
      <w:r>
        <w:rPr>
          <w:rFonts w:ascii="Times New Roman" w:hAnsi="Times New Roman" w:eastAsia="Times New Roman" w:cs="Times New Roman"/>
          <w:spacing w:val="5"/>
          <w:sz w:val="23"/>
          <w:szCs w:val="23"/>
        </w:rPr>
        <w:t xml:space="preserve">24 </w:t>
      </w:r>
      <w:r>
        <w:rPr>
          <w:rFonts w:ascii="宋体" w:hAnsi="宋体" w:eastAsia="宋体" w:cs="宋体"/>
          <w:spacing w:val="5"/>
          <w:sz w:val="23"/>
          <w:szCs w:val="23"/>
        </w:rPr>
        <w:t xml:space="preserve">小时发酵后，发酵床表面以下 </w:t>
      </w:r>
      <w:r>
        <w:rPr>
          <w:rFonts w:ascii="Times New Roman" w:hAnsi="Times New Roman" w:eastAsia="Times New Roman" w:cs="Times New Roman"/>
          <w:spacing w:val="5"/>
          <w:sz w:val="23"/>
          <w:szCs w:val="23"/>
        </w:rPr>
        <w:t>35</w:t>
      </w:r>
      <w:r>
        <w:rPr>
          <w:rFonts w:ascii="Times New Roman" w:hAnsi="Times New Roman" w:eastAsia="Times New Roman" w:cs="Times New Roman"/>
          <w:sz w:val="23"/>
          <w:szCs w:val="23"/>
        </w:rPr>
        <w:t>cm</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 xml:space="preserve">处的温度应上升至 </w:t>
      </w:r>
      <w:r>
        <w:rPr>
          <w:rFonts w:ascii="Times New Roman" w:hAnsi="Times New Roman" w:eastAsia="Times New Roman" w:cs="Times New Roman"/>
          <w:spacing w:val="5"/>
          <w:sz w:val="23"/>
          <w:szCs w:val="23"/>
        </w:rPr>
        <w:t>45</w:t>
      </w:r>
      <w:r>
        <w:rPr>
          <w:rFonts w:ascii="宋体" w:hAnsi="宋体" w:eastAsia="宋体" w:cs="宋体"/>
          <w:spacing w:val="5"/>
          <w:sz w:val="23"/>
          <w:szCs w:val="23"/>
        </w:rPr>
        <w:t>℃左</w:t>
      </w:r>
    </w:p>
    <w:p w14:paraId="2CED9355">
      <w:pPr>
        <w:spacing w:before="184" w:line="468" w:lineRule="exact"/>
        <w:ind w:left="12"/>
        <w:rPr>
          <w:rFonts w:ascii="宋体" w:hAnsi="宋体" w:eastAsia="宋体" w:cs="宋体"/>
          <w:sz w:val="23"/>
          <w:szCs w:val="23"/>
        </w:rPr>
      </w:pPr>
      <w:r>
        <w:rPr>
          <w:rFonts w:ascii="宋体" w:hAnsi="宋体" w:eastAsia="宋体" w:cs="宋体"/>
          <w:spacing w:val="8"/>
          <w:position w:val="17"/>
          <w:sz w:val="23"/>
          <w:szCs w:val="23"/>
        </w:rPr>
        <w:t>右，</w:t>
      </w:r>
      <w:r>
        <w:rPr>
          <w:rFonts w:ascii="Times New Roman" w:hAnsi="Times New Roman" w:eastAsia="Times New Roman" w:cs="Times New Roman"/>
          <w:spacing w:val="8"/>
          <w:position w:val="17"/>
          <w:sz w:val="23"/>
          <w:szCs w:val="23"/>
        </w:rPr>
        <w:t xml:space="preserve">48 </w:t>
      </w:r>
      <w:r>
        <w:rPr>
          <w:rFonts w:ascii="宋体" w:hAnsi="宋体" w:eastAsia="宋体" w:cs="宋体"/>
          <w:spacing w:val="8"/>
          <w:position w:val="17"/>
          <w:sz w:val="23"/>
          <w:szCs w:val="23"/>
        </w:rPr>
        <w:t>小时</w:t>
      </w:r>
      <w:r>
        <w:rPr>
          <w:rFonts w:ascii="宋体" w:hAnsi="宋体" w:eastAsia="宋体" w:cs="宋体"/>
          <w:spacing w:val="7"/>
          <w:position w:val="17"/>
          <w:sz w:val="23"/>
          <w:szCs w:val="23"/>
        </w:rPr>
        <w:t>后</w:t>
      </w:r>
      <w:r>
        <w:rPr>
          <w:rFonts w:ascii="宋体" w:hAnsi="宋体" w:eastAsia="宋体" w:cs="宋体"/>
          <w:spacing w:val="4"/>
          <w:position w:val="17"/>
          <w:sz w:val="23"/>
          <w:szCs w:val="23"/>
        </w:rPr>
        <w:t xml:space="preserve">应升至 </w:t>
      </w:r>
      <w:r>
        <w:rPr>
          <w:rFonts w:ascii="Times New Roman" w:hAnsi="Times New Roman" w:eastAsia="Times New Roman" w:cs="Times New Roman"/>
          <w:spacing w:val="4"/>
          <w:position w:val="17"/>
          <w:sz w:val="23"/>
          <w:szCs w:val="23"/>
        </w:rPr>
        <w:t>60</w:t>
      </w:r>
      <w:r>
        <w:rPr>
          <w:rFonts w:ascii="宋体" w:hAnsi="宋体" w:eastAsia="宋体" w:cs="宋体"/>
          <w:spacing w:val="4"/>
          <w:position w:val="17"/>
          <w:sz w:val="23"/>
          <w:szCs w:val="23"/>
        </w:rPr>
        <w:t xml:space="preserve">℃以上，在此温度下保持 </w:t>
      </w:r>
      <w:r>
        <w:rPr>
          <w:rFonts w:ascii="Times New Roman" w:hAnsi="Times New Roman" w:eastAsia="Times New Roman" w:cs="Times New Roman"/>
          <w:spacing w:val="4"/>
          <w:position w:val="17"/>
          <w:sz w:val="23"/>
          <w:szCs w:val="23"/>
        </w:rPr>
        <w:t xml:space="preserve">24 </w:t>
      </w:r>
      <w:r>
        <w:rPr>
          <w:rFonts w:ascii="宋体" w:hAnsi="宋体" w:eastAsia="宋体" w:cs="宋体"/>
          <w:spacing w:val="4"/>
          <w:position w:val="17"/>
          <w:sz w:val="23"/>
          <w:szCs w:val="23"/>
        </w:rPr>
        <w:t>小时后，再行下一次粪污喷淋。因此，</w:t>
      </w:r>
    </w:p>
    <w:p w14:paraId="3139FF4B">
      <w:pPr>
        <w:spacing w:before="1" w:line="225" w:lineRule="auto"/>
        <w:ind w:left="19"/>
        <w:rPr>
          <w:rFonts w:ascii="宋体" w:hAnsi="宋体" w:eastAsia="宋体" w:cs="宋体"/>
          <w:sz w:val="23"/>
          <w:szCs w:val="23"/>
        </w:rPr>
      </w:pPr>
      <w:r>
        <w:rPr>
          <w:rFonts w:ascii="宋体" w:hAnsi="宋体" w:eastAsia="宋体" w:cs="宋体"/>
          <w:spacing w:val="1"/>
          <w:sz w:val="23"/>
          <w:szCs w:val="23"/>
        </w:rPr>
        <w:t xml:space="preserve">喷淋一次发酵周期约为 </w:t>
      </w:r>
      <w:r>
        <w:rPr>
          <w:rFonts w:ascii="Times New Roman" w:hAnsi="Times New Roman" w:eastAsia="Times New Roman" w:cs="Times New Roman"/>
          <w:spacing w:val="1"/>
          <w:sz w:val="23"/>
          <w:szCs w:val="23"/>
        </w:rPr>
        <w:t xml:space="preserve">3 </w:t>
      </w:r>
      <w:r>
        <w:rPr>
          <w:rFonts w:ascii="宋体" w:hAnsi="宋体" w:eastAsia="宋体" w:cs="宋体"/>
          <w:spacing w:val="1"/>
          <w:sz w:val="23"/>
          <w:szCs w:val="23"/>
        </w:rPr>
        <w:t xml:space="preserve">天。此过程会产生废气，其主要污染因子为 </w:t>
      </w:r>
      <w:r>
        <w:rPr>
          <w:rFonts w:ascii="Times New Roman" w:hAnsi="Times New Roman" w:eastAsia="Times New Roman" w:cs="Times New Roman"/>
          <w:sz w:val="23"/>
          <w:szCs w:val="23"/>
        </w:rPr>
        <w:t>NH</w:t>
      </w:r>
      <w:r>
        <w:rPr>
          <w:rFonts w:ascii="Times New Roman" w:hAnsi="Times New Roman" w:eastAsia="Times New Roman" w:cs="Times New Roman"/>
          <w:spacing w:val="1"/>
          <w:position w:val="-1"/>
          <w:sz w:val="15"/>
          <w:szCs w:val="15"/>
        </w:rPr>
        <w:t>3</w:t>
      </w:r>
      <w:r>
        <w:rPr>
          <w:rFonts w:ascii="宋体" w:hAnsi="宋体" w:eastAsia="宋体" w:cs="宋体"/>
          <w:spacing w:val="1"/>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1"/>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和臭气浓度</w:t>
      </w:r>
      <w:r>
        <w:rPr>
          <w:rFonts w:ascii="宋体" w:hAnsi="宋体" w:eastAsia="宋体" w:cs="宋体"/>
          <w:sz w:val="23"/>
          <w:szCs w:val="23"/>
        </w:rPr>
        <w:t>。</w:t>
      </w:r>
    </w:p>
    <w:p w14:paraId="1903AACD">
      <w:pPr>
        <w:spacing w:before="141" w:line="387" w:lineRule="auto"/>
        <w:ind w:left="21" w:right="77" w:firstLine="468"/>
        <w:rPr>
          <w:rFonts w:ascii="宋体" w:hAnsi="宋体" w:eastAsia="宋体" w:cs="宋体"/>
          <w:sz w:val="23"/>
          <w:szCs w:val="23"/>
        </w:rPr>
      </w:pPr>
      <w:r>
        <w:rPr>
          <w:rFonts w:ascii="宋体" w:hAnsi="宋体" w:eastAsia="宋体" w:cs="宋体"/>
          <w:spacing w:val="16"/>
          <w:sz w:val="23"/>
          <w:szCs w:val="23"/>
        </w:rPr>
        <w:t>猪</w:t>
      </w:r>
      <w:r>
        <w:rPr>
          <w:rFonts w:ascii="宋体" w:hAnsi="宋体" w:eastAsia="宋体" w:cs="宋体"/>
          <w:spacing w:val="9"/>
          <w:sz w:val="23"/>
          <w:szCs w:val="23"/>
        </w:rPr>
        <w:t>粪</w:t>
      </w:r>
      <w:r>
        <w:rPr>
          <w:rFonts w:ascii="宋体" w:hAnsi="宋体" w:eastAsia="宋体" w:cs="宋体"/>
          <w:spacing w:val="8"/>
          <w:sz w:val="23"/>
          <w:szCs w:val="23"/>
        </w:rPr>
        <w:t>的主要成分包括纤维素 (</w:t>
      </w:r>
      <w:r>
        <w:rPr>
          <w:rFonts w:ascii="Times New Roman" w:hAnsi="Times New Roman" w:eastAsia="Times New Roman" w:cs="Times New Roman"/>
          <w:spacing w:val="8"/>
          <w:sz w:val="23"/>
          <w:szCs w:val="23"/>
        </w:rPr>
        <w:t>17%</w:t>
      </w:r>
      <w:r>
        <w:rPr>
          <w:rFonts w:ascii="宋体" w:hAnsi="宋体" w:eastAsia="宋体" w:cs="宋体"/>
          <w:spacing w:val="8"/>
          <w:sz w:val="23"/>
          <w:szCs w:val="23"/>
        </w:rPr>
        <w:t>) 、半纤维素 (</w:t>
      </w:r>
      <w:r>
        <w:rPr>
          <w:rFonts w:ascii="Times New Roman" w:hAnsi="Times New Roman" w:eastAsia="Times New Roman" w:cs="Times New Roman"/>
          <w:spacing w:val="8"/>
          <w:sz w:val="23"/>
          <w:szCs w:val="23"/>
        </w:rPr>
        <w:t>20%</w:t>
      </w:r>
      <w:r>
        <w:rPr>
          <w:rFonts w:ascii="宋体" w:hAnsi="宋体" w:eastAsia="宋体" w:cs="宋体"/>
          <w:spacing w:val="8"/>
          <w:sz w:val="23"/>
          <w:szCs w:val="23"/>
        </w:rPr>
        <w:t>) 、粗蛋白质 (</w:t>
      </w:r>
      <w:r>
        <w:rPr>
          <w:rFonts w:ascii="Times New Roman" w:hAnsi="Times New Roman" w:eastAsia="Times New Roman" w:cs="Times New Roman"/>
          <w:spacing w:val="8"/>
          <w:sz w:val="23"/>
          <w:szCs w:val="23"/>
        </w:rPr>
        <w:t>12%</w:t>
      </w:r>
      <w:r>
        <w:rPr>
          <w:rFonts w:ascii="宋体" w:hAnsi="宋体" w:eastAsia="宋体" w:cs="宋体"/>
          <w:spacing w:val="8"/>
          <w:sz w:val="23"/>
          <w:szCs w:val="23"/>
        </w:rPr>
        <w:t>) 、粗脂肪</w:t>
      </w:r>
      <w:r>
        <w:rPr>
          <w:rFonts w:ascii="宋体" w:hAnsi="宋体" w:eastAsia="宋体" w:cs="宋体"/>
          <w:sz w:val="23"/>
          <w:szCs w:val="23"/>
        </w:rPr>
        <w:t xml:space="preserve"> </w:t>
      </w:r>
      <w:r>
        <w:rPr>
          <w:rFonts w:ascii="宋体" w:hAnsi="宋体" w:eastAsia="宋体" w:cs="宋体"/>
          <w:spacing w:val="18"/>
          <w:sz w:val="23"/>
          <w:szCs w:val="23"/>
        </w:rPr>
        <w:t>(</w:t>
      </w:r>
      <w:r>
        <w:rPr>
          <w:rFonts w:ascii="Times New Roman" w:hAnsi="Times New Roman" w:eastAsia="Times New Roman" w:cs="Times New Roman"/>
          <w:spacing w:val="10"/>
          <w:sz w:val="23"/>
          <w:szCs w:val="23"/>
        </w:rPr>
        <w:t>5%</w:t>
      </w:r>
      <w:r>
        <w:rPr>
          <w:rFonts w:ascii="宋体" w:hAnsi="宋体" w:eastAsia="宋体" w:cs="宋体"/>
          <w:spacing w:val="10"/>
          <w:sz w:val="23"/>
          <w:szCs w:val="23"/>
        </w:rPr>
        <w:t>) 、木质素 (</w:t>
      </w:r>
      <w:r>
        <w:rPr>
          <w:rFonts w:ascii="Times New Roman" w:hAnsi="Times New Roman" w:eastAsia="Times New Roman" w:cs="Times New Roman"/>
          <w:spacing w:val="10"/>
          <w:sz w:val="23"/>
          <w:szCs w:val="23"/>
        </w:rPr>
        <w:t>5%</w:t>
      </w:r>
      <w:r>
        <w:rPr>
          <w:rFonts w:ascii="宋体" w:hAnsi="宋体" w:eastAsia="宋体" w:cs="宋体"/>
          <w:spacing w:val="10"/>
          <w:sz w:val="23"/>
          <w:szCs w:val="23"/>
        </w:rPr>
        <w:t>) 、粗灰分 (</w:t>
      </w:r>
      <w:r>
        <w:rPr>
          <w:rFonts w:ascii="Times New Roman" w:hAnsi="Times New Roman" w:eastAsia="Times New Roman" w:cs="Times New Roman"/>
          <w:spacing w:val="10"/>
          <w:sz w:val="23"/>
          <w:szCs w:val="23"/>
        </w:rPr>
        <w:t>17%</w:t>
      </w:r>
      <w:r>
        <w:rPr>
          <w:rFonts w:ascii="宋体" w:hAnsi="宋体" w:eastAsia="宋体" w:cs="宋体"/>
          <w:spacing w:val="10"/>
          <w:sz w:val="23"/>
          <w:szCs w:val="23"/>
        </w:rPr>
        <w:t>) 。</w:t>
      </w:r>
    </w:p>
    <w:p w14:paraId="3CBC4A0C">
      <w:pPr>
        <w:spacing w:before="12" w:line="227" w:lineRule="auto"/>
        <w:ind w:left="490"/>
        <w:rPr>
          <w:rFonts w:ascii="宋体" w:hAnsi="宋体" w:eastAsia="宋体" w:cs="宋体"/>
          <w:sz w:val="23"/>
          <w:szCs w:val="23"/>
        </w:rPr>
      </w:pPr>
      <w:r>
        <w:rPr>
          <w:rFonts w:ascii="宋体" w:hAnsi="宋体" w:eastAsia="宋体" w:cs="宋体"/>
          <w:spacing w:val="18"/>
          <w:sz w:val="23"/>
          <w:szCs w:val="23"/>
        </w:rPr>
        <w:t>猪</w:t>
      </w:r>
      <w:r>
        <w:rPr>
          <w:rFonts w:ascii="宋体" w:hAnsi="宋体" w:eastAsia="宋体" w:cs="宋体"/>
          <w:spacing w:val="16"/>
          <w:sz w:val="23"/>
          <w:szCs w:val="23"/>
        </w:rPr>
        <w:t>尿</w:t>
      </w:r>
      <w:r>
        <w:rPr>
          <w:rFonts w:ascii="宋体" w:hAnsi="宋体" w:eastAsia="宋体" w:cs="宋体"/>
          <w:spacing w:val="9"/>
          <w:sz w:val="23"/>
          <w:szCs w:val="23"/>
        </w:rPr>
        <w:t>的主要成分比较简单，主要含尿素、尿酸、马尿酸及磷、钾、钠、镁等元素。</w:t>
      </w:r>
    </w:p>
    <w:p w14:paraId="1E718474">
      <w:pPr>
        <w:spacing w:before="186" w:line="382" w:lineRule="auto"/>
        <w:ind w:left="15" w:right="16" w:firstLine="475"/>
        <w:rPr>
          <w:rFonts w:ascii="宋体" w:hAnsi="宋体" w:eastAsia="宋体" w:cs="宋体"/>
          <w:sz w:val="23"/>
          <w:szCs w:val="23"/>
        </w:rPr>
      </w:pPr>
      <w:r>
        <w:rPr>
          <w:rFonts w:ascii="宋体" w:hAnsi="宋体" w:eastAsia="宋体" w:cs="宋体"/>
          <w:spacing w:val="16"/>
          <w:sz w:val="23"/>
          <w:szCs w:val="23"/>
        </w:rPr>
        <w:t>本项目</w:t>
      </w:r>
      <w:r>
        <w:rPr>
          <w:rFonts w:ascii="宋体" w:hAnsi="宋体" w:eastAsia="宋体" w:cs="宋体"/>
          <w:spacing w:val="9"/>
          <w:sz w:val="23"/>
          <w:szCs w:val="23"/>
        </w:rPr>
        <w:t>添</w:t>
      </w:r>
      <w:r>
        <w:rPr>
          <w:rFonts w:ascii="宋体" w:hAnsi="宋体" w:eastAsia="宋体" w:cs="宋体"/>
          <w:spacing w:val="8"/>
          <w:sz w:val="23"/>
          <w:szCs w:val="23"/>
        </w:rPr>
        <w:t>加的专用菌种主要为芽孢杆菌，芽孢杆菌生长的同时会产生蛋白酶、脂肪酶、</w:t>
      </w:r>
      <w:r>
        <w:rPr>
          <w:rFonts w:ascii="宋体" w:hAnsi="宋体" w:eastAsia="宋体" w:cs="宋体"/>
          <w:sz w:val="23"/>
          <w:szCs w:val="23"/>
        </w:rPr>
        <w:t xml:space="preserve"> </w:t>
      </w:r>
      <w:r>
        <w:rPr>
          <w:rFonts w:ascii="宋体" w:hAnsi="宋体" w:eastAsia="宋体" w:cs="宋体"/>
          <w:spacing w:val="12"/>
          <w:sz w:val="23"/>
          <w:szCs w:val="23"/>
        </w:rPr>
        <w:t>纤</w:t>
      </w:r>
      <w:r>
        <w:rPr>
          <w:rFonts w:ascii="宋体" w:hAnsi="宋体" w:eastAsia="宋体" w:cs="宋体"/>
          <w:spacing w:val="7"/>
          <w:sz w:val="23"/>
          <w:szCs w:val="23"/>
        </w:rPr>
        <w:t>维</w:t>
      </w:r>
      <w:r>
        <w:rPr>
          <w:rFonts w:ascii="宋体" w:hAnsi="宋体" w:eastAsia="宋体" w:cs="宋体"/>
          <w:spacing w:val="6"/>
          <w:sz w:val="23"/>
          <w:szCs w:val="23"/>
        </w:rPr>
        <w:t xml:space="preserve">素酶等高活性的胞外酶，其降解粪污过程的原理见图 </w:t>
      </w:r>
      <w:r>
        <w:rPr>
          <w:rFonts w:ascii="Times New Roman" w:hAnsi="Times New Roman" w:eastAsia="Times New Roman" w:cs="Times New Roman"/>
          <w:spacing w:val="6"/>
          <w:sz w:val="23"/>
          <w:szCs w:val="23"/>
        </w:rPr>
        <w:t>3.3-4</w:t>
      </w:r>
      <w:r>
        <w:rPr>
          <w:rFonts w:ascii="宋体" w:hAnsi="宋体" w:eastAsia="宋体" w:cs="宋体"/>
          <w:spacing w:val="6"/>
          <w:sz w:val="23"/>
          <w:szCs w:val="23"/>
        </w:rPr>
        <w:t>。</w:t>
      </w:r>
    </w:p>
    <w:p w14:paraId="03F324AB">
      <w:pPr>
        <w:sectPr>
          <w:footerReference r:id="rId105" w:type="default"/>
          <w:pgSz w:w="11907" w:h="16840"/>
          <w:pgMar w:top="829" w:right="1053" w:bottom="1139" w:left="1275" w:header="595" w:footer="953" w:gutter="0"/>
          <w:cols w:space="720" w:num="1"/>
        </w:sectPr>
      </w:pPr>
    </w:p>
    <w:p w14:paraId="21D27563">
      <w:pPr>
        <w:spacing w:before="111" w:line="3926" w:lineRule="exact"/>
        <w:ind w:firstLine="1087"/>
        <w:textAlignment w:val="center"/>
      </w:pPr>
      <w:r>
        <w:drawing>
          <wp:inline distT="0" distB="0" distL="0" distR="0">
            <wp:extent cx="4637405" cy="249301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371"/>
                    <a:stretch>
                      <a:fillRect/>
                    </a:stretch>
                  </pic:blipFill>
                  <pic:spPr>
                    <a:xfrm>
                      <a:off x="0" y="0"/>
                      <a:ext cx="4637531" cy="2493264"/>
                    </a:xfrm>
                    <a:prstGeom prst="rect">
                      <a:avLst/>
                    </a:prstGeom>
                  </pic:spPr>
                </pic:pic>
              </a:graphicData>
            </a:graphic>
          </wp:inline>
        </w:drawing>
      </w:r>
    </w:p>
    <w:p w14:paraId="21EE1276">
      <w:pPr>
        <w:spacing w:before="159" w:line="230" w:lineRule="auto"/>
        <w:ind w:left="2333"/>
        <w:rPr>
          <w:rFonts w:ascii="黑体" w:hAnsi="黑体" w:eastAsia="黑体" w:cs="黑体"/>
          <w:sz w:val="23"/>
          <w:szCs w:val="23"/>
        </w:rPr>
      </w:pPr>
      <w:r>
        <w:rPr>
          <w:rFonts w:ascii="黑体" w:hAnsi="黑体" w:eastAsia="黑体" w:cs="黑体"/>
          <w:spacing w:val="8"/>
          <w:sz w:val="23"/>
          <w:szCs w:val="23"/>
        </w:rPr>
        <w:t xml:space="preserve">图 </w:t>
      </w:r>
      <w:r>
        <w:rPr>
          <w:rFonts w:ascii="Times New Roman" w:hAnsi="Times New Roman" w:eastAsia="Times New Roman" w:cs="Times New Roman"/>
          <w:spacing w:val="8"/>
          <w:sz w:val="23"/>
          <w:szCs w:val="23"/>
        </w:rPr>
        <w:t>3</w:t>
      </w:r>
      <w:r>
        <w:rPr>
          <w:rFonts w:ascii="Times New Roman" w:hAnsi="Times New Roman" w:eastAsia="Times New Roman" w:cs="Times New Roman"/>
          <w:spacing w:val="5"/>
          <w:sz w:val="23"/>
          <w:szCs w:val="23"/>
        </w:rPr>
        <w:t>.</w:t>
      </w:r>
      <w:r>
        <w:rPr>
          <w:rFonts w:ascii="Times New Roman" w:hAnsi="Times New Roman" w:eastAsia="Times New Roman" w:cs="Times New Roman"/>
          <w:spacing w:val="4"/>
          <w:sz w:val="23"/>
          <w:szCs w:val="23"/>
        </w:rPr>
        <w:t xml:space="preserve">3-5    </w:t>
      </w:r>
      <w:r>
        <w:rPr>
          <w:rFonts w:ascii="黑体" w:hAnsi="黑体" w:eastAsia="黑体" w:cs="黑体"/>
          <w:spacing w:val="4"/>
          <w:sz w:val="23"/>
          <w:szCs w:val="23"/>
        </w:rPr>
        <w:t>垫料上芽孢杆菌降解粪污过程示意图</w:t>
      </w:r>
    </w:p>
    <w:p w14:paraId="4546F4E2">
      <w:pPr>
        <w:spacing w:before="24" w:line="374" w:lineRule="auto"/>
        <w:ind w:left="11" w:firstLine="479"/>
        <w:rPr>
          <w:rFonts w:ascii="宋体" w:hAnsi="宋体" w:eastAsia="宋体" w:cs="宋体"/>
          <w:sz w:val="23"/>
          <w:szCs w:val="23"/>
        </w:rPr>
      </w:pPr>
      <w:r>
        <w:rPr>
          <w:rFonts w:ascii="宋体" w:hAnsi="宋体" w:eastAsia="宋体" w:cs="宋体"/>
          <w:spacing w:val="8"/>
          <w:sz w:val="23"/>
          <w:szCs w:val="23"/>
        </w:rPr>
        <w:t>猪</w:t>
      </w:r>
      <w:r>
        <w:rPr>
          <w:rFonts w:ascii="宋体" w:hAnsi="宋体" w:eastAsia="宋体" w:cs="宋体"/>
          <w:spacing w:val="7"/>
          <w:sz w:val="23"/>
          <w:szCs w:val="23"/>
        </w:rPr>
        <w:t>粪中的蛋白质在蛋白酶作用下分解为寡肽和氨基酸，其可以作为营养物质被微生物吸</w:t>
      </w:r>
      <w:r>
        <w:rPr>
          <w:rFonts w:ascii="宋体" w:hAnsi="宋体" w:eastAsia="宋体" w:cs="宋体"/>
          <w:sz w:val="23"/>
          <w:szCs w:val="23"/>
        </w:rPr>
        <w:t xml:space="preserve"> </w:t>
      </w:r>
      <w:r>
        <w:rPr>
          <w:rFonts w:ascii="宋体" w:hAnsi="宋体" w:eastAsia="宋体" w:cs="宋体"/>
          <w:spacing w:val="13"/>
          <w:sz w:val="23"/>
          <w:szCs w:val="23"/>
        </w:rPr>
        <w:t>收</w:t>
      </w:r>
      <w:r>
        <w:rPr>
          <w:rFonts w:ascii="宋体" w:hAnsi="宋体" w:eastAsia="宋体" w:cs="宋体"/>
          <w:spacing w:val="7"/>
          <w:sz w:val="23"/>
          <w:szCs w:val="23"/>
        </w:rPr>
        <w:t>利用，也可以经过脱氨作用生成氨气，在垫料中亚硝酸细菌和硝酸细菌的作用下发生硝化</w:t>
      </w:r>
      <w:r>
        <w:rPr>
          <w:rFonts w:ascii="宋体" w:hAnsi="宋体" w:eastAsia="宋体" w:cs="宋体"/>
          <w:sz w:val="23"/>
          <w:szCs w:val="23"/>
        </w:rPr>
        <w:t xml:space="preserve"> </w:t>
      </w:r>
      <w:r>
        <w:rPr>
          <w:rFonts w:ascii="宋体" w:hAnsi="宋体" w:eastAsia="宋体" w:cs="宋体"/>
          <w:spacing w:val="18"/>
          <w:sz w:val="23"/>
          <w:szCs w:val="23"/>
        </w:rPr>
        <w:t>作</w:t>
      </w:r>
      <w:r>
        <w:rPr>
          <w:rFonts w:ascii="宋体" w:hAnsi="宋体" w:eastAsia="宋体" w:cs="宋体"/>
          <w:spacing w:val="16"/>
          <w:sz w:val="23"/>
          <w:szCs w:val="23"/>
        </w:rPr>
        <w:t>用</w:t>
      </w:r>
      <w:r>
        <w:rPr>
          <w:rFonts w:ascii="宋体" w:hAnsi="宋体" w:eastAsia="宋体" w:cs="宋体"/>
          <w:spacing w:val="9"/>
          <w:sz w:val="23"/>
          <w:szCs w:val="23"/>
        </w:rPr>
        <w:t>生成硝酸盐，部分硝酸盐和亚硝酸盐可由反硝化细菌发生反硝化作用生成氮气。</w:t>
      </w:r>
    </w:p>
    <w:p w14:paraId="4E2D6EE6">
      <w:pPr>
        <w:spacing w:before="1" w:line="375" w:lineRule="auto"/>
        <w:ind w:left="11" w:firstLine="479"/>
        <w:rPr>
          <w:rFonts w:ascii="宋体" w:hAnsi="宋体" w:eastAsia="宋体" w:cs="宋体"/>
          <w:sz w:val="23"/>
          <w:szCs w:val="23"/>
        </w:rPr>
      </w:pPr>
      <w:r>
        <w:rPr>
          <w:rFonts w:ascii="宋体" w:hAnsi="宋体" w:eastAsia="宋体" w:cs="宋体"/>
          <w:spacing w:val="8"/>
          <w:sz w:val="23"/>
          <w:szCs w:val="23"/>
        </w:rPr>
        <w:t>猪</w:t>
      </w:r>
      <w:r>
        <w:rPr>
          <w:rFonts w:ascii="宋体" w:hAnsi="宋体" w:eastAsia="宋体" w:cs="宋体"/>
          <w:spacing w:val="7"/>
          <w:sz w:val="23"/>
          <w:szCs w:val="23"/>
        </w:rPr>
        <w:t>尿中的尿素在脲酶的作用下分解产生的氨，溶于水后变成铵，在亚硝酸细菌和反硝化</w:t>
      </w:r>
      <w:r>
        <w:rPr>
          <w:rFonts w:ascii="宋体" w:hAnsi="宋体" w:eastAsia="宋体" w:cs="宋体"/>
          <w:sz w:val="23"/>
          <w:szCs w:val="23"/>
        </w:rPr>
        <w:t xml:space="preserve"> </w:t>
      </w:r>
      <w:r>
        <w:rPr>
          <w:rFonts w:ascii="宋体" w:hAnsi="宋体" w:eastAsia="宋体" w:cs="宋体"/>
          <w:spacing w:val="12"/>
          <w:sz w:val="23"/>
          <w:szCs w:val="23"/>
        </w:rPr>
        <w:t>细</w:t>
      </w:r>
      <w:r>
        <w:rPr>
          <w:rFonts w:ascii="宋体" w:hAnsi="宋体" w:eastAsia="宋体" w:cs="宋体"/>
          <w:spacing w:val="9"/>
          <w:sz w:val="23"/>
          <w:szCs w:val="23"/>
        </w:rPr>
        <w:t>菌的作用下进行硝化和反硝化作用转化为氮气释放。</w:t>
      </w:r>
    </w:p>
    <w:p w14:paraId="40043D81">
      <w:pPr>
        <w:spacing w:before="1" w:line="374" w:lineRule="auto"/>
        <w:ind w:left="37" w:firstLine="454"/>
        <w:rPr>
          <w:rFonts w:ascii="宋体" w:hAnsi="宋体" w:eastAsia="宋体" w:cs="宋体"/>
          <w:sz w:val="23"/>
          <w:szCs w:val="23"/>
        </w:rPr>
      </w:pPr>
      <w:r>
        <w:rPr>
          <w:rFonts w:ascii="宋体" w:hAnsi="宋体" w:eastAsia="宋体" w:cs="宋体"/>
          <w:spacing w:val="7"/>
          <w:sz w:val="23"/>
          <w:szCs w:val="23"/>
        </w:rPr>
        <w:t>脂肪酶将脂肪分解为丙三醇和脂肪酸，作为垫料中的微生物利用的碳源，有氧条件下</w:t>
      </w:r>
      <w:r>
        <w:rPr>
          <w:rFonts w:ascii="宋体" w:hAnsi="宋体" w:eastAsia="宋体" w:cs="宋体"/>
          <w:spacing w:val="6"/>
          <w:sz w:val="23"/>
          <w:szCs w:val="23"/>
        </w:rPr>
        <w:t>可</w:t>
      </w:r>
      <w:r>
        <w:rPr>
          <w:rFonts w:ascii="宋体" w:hAnsi="宋体" w:eastAsia="宋体" w:cs="宋体"/>
          <w:sz w:val="23"/>
          <w:szCs w:val="23"/>
        </w:rPr>
        <w:t xml:space="preserve"> </w:t>
      </w:r>
      <w:r>
        <w:rPr>
          <w:rFonts w:ascii="宋体" w:hAnsi="宋体" w:eastAsia="宋体" w:cs="宋体"/>
          <w:spacing w:val="10"/>
          <w:sz w:val="23"/>
          <w:szCs w:val="23"/>
        </w:rPr>
        <w:t>以</w:t>
      </w:r>
      <w:r>
        <w:rPr>
          <w:rFonts w:ascii="宋体" w:hAnsi="宋体" w:eastAsia="宋体" w:cs="宋体"/>
          <w:spacing w:val="8"/>
          <w:sz w:val="23"/>
          <w:szCs w:val="23"/>
        </w:rPr>
        <w:t>分</w:t>
      </w:r>
      <w:r>
        <w:rPr>
          <w:rFonts w:ascii="宋体" w:hAnsi="宋体" w:eastAsia="宋体" w:cs="宋体"/>
          <w:spacing w:val="5"/>
          <w:sz w:val="23"/>
          <w:szCs w:val="23"/>
        </w:rPr>
        <w:t>解为二氧化碳和水。</w:t>
      </w:r>
    </w:p>
    <w:p w14:paraId="7DB8506E">
      <w:pPr>
        <w:spacing w:before="1" w:line="375" w:lineRule="auto"/>
        <w:ind w:left="13" w:firstLine="477"/>
        <w:rPr>
          <w:rFonts w:ascii="宋体" w:hAnsi="宋体" w:eastAsia="宋体" w:cs="宋体"/>
          <w:sz w:val="23"/>
          <w:szCs w:val="23"/>
        </w:rPr>
      </w:pPr>
      <w:r>
        <w:rPr>
          <w:rFonts w:ascii="宋体" w:hAnsi="宋体" w:eastAsia="宋体" w:cs="宋体"/>
          <w:spacing w:val="8"/>
          <w:sz w:val="23"/>
          <w:szCs w:val="23"/>
        </w:rPr>
        <w:t>猪</w:t>
      </w:r>
      <w:r>
        <w:rPr>
          <w:rFonts w:ascii="宋体" w:hAnsi="宋体" w:eastAsia="宋体" w:cs="宋体"/>
          <w:spacing w:val="7"/>
          <w:sz w:val="23"/>
          <w:szCs w:val="23"/>
        </w:rPr>
        <w:t>粪中的纤维素分解困难在纤维素酶的作用下与垫料中的纤维素一同缓慢分解。发酵初</w:t>
      </w:r>
      <w:r>
        <w:rPr>
          <w:rFonts w:ascii="宋体" w:hAnsi="宋体" w:eastAsia="宋体" w:cs="宋体"/>
          <w:sz w:val="23"/>
          <w:szCs w:val="23"/>
        </w:rPr>
        <w:t xml:space="preserve"> </w:t>
      </w:r>
      <w:r>
        <w:rPr>
          <w:rFonts w:ascii="宋体" w:hAnsi="宋体" w:eastAsia="宋体" w:cs="宋体"/>
          <w:spacing w:val="11"/>
          <w:sz w:val="23"/>
          <w:szCs w:val="23"/>
        </w:rPr>
        <w:t>期</w:t>
      </w:r>
      <w:r>
        <w:rPr>
          <w:rFonts w:ascii="宋体" w:hAnsi="宋体" w:eastAsia="宋体" w:cs="宋体"/>
          <w:spacing w:val="7"/>
          <w:sz w:val="23"/>
          <w:szCs w:val="23"/>
        </w:rPr>
        <w:t>，垫料中含有的少量淀粉可以在酵素高活性淀粉酶的作用下分解为葡萄糖作为微生物代谢</w:t>
      </w:r>
      <w:r>
        <w:rPr>
          <w:rFonts w:ascii="宋体" w:hAnsi="宋体" w:eastAsia="宋体" w:cs="宋体"/>
          <w:sz w:val="23"/>
          <w:szCs w:val="23"/>
        </w:rPr>
        <w:t xml:space="preserve"> </w:t>
      </w:r>
      <w:r>
        <w:rPr>
          <w:rFonts w:ascii="宋体" w:hAnsi="宋体" w:eastAsia="宋体" w:cs="宋体"/>
          <w:spacing w:val="12"/>
          <w:sz w:val="23"/>
          <w:szCs w:val="23"/>
        </w:rPr>
        <w:t>的</w:t>
      </w:r>
      <w:r>
        <w:rPr>
          <w:rFonts w:ascii="宋体" w:hAnsi="宋体" w:eastAsia="宋体" w:cs="宋体"/>
          <w:spacing w:val="9"/>
          <w:sz w:val="23"/>
          <w:szCs w:val="23"/>
        </w:rPr>
        <w:t>能量。难以分解的纤维素和木质素滞留为垫料的一部分。</w:t>
      </w:r>
    </w:p>
    <w:p w14:paraId="22F2929C">
      <w:pPr>
        <w:spacing w:line="230" w:lineRule="auto"/>
        <w:ind w:left="508"/>
        <w:rPr>
          <w:rFonts w:ascii="宋体" w:hAnsi="宋体" w:eastAsia="宋体" w:cs="宋体"/>
          <w:sz w:val="23"/>
          <w:szCs w:val="23"/>
        </w:rPr>
      </w:pPr>
      <w:r>
        <w:rPr>
          <w:rFonts w:ascii="宋体" w:hAnsi="宋体" w:eastAsia="宋体" w:cs="宋体"/>
          <w:spacing w:val="16"/>
          <w:sz w:val="23"/>
          <w:szCs w:val="23"/>
        </w:rPr>
        <w:t>因</w:t>
      </w:r>
      <w:r>
        <w:rPr>
          <w:rFonts w:ascii="宋体" w:hAnsi="宋体" w:eastAsia="宋体" w:cs="宋体"/>
          <w:spacing w:val="15"/>
          <w:sz w:val="23"/>
          <w:szCs w:val="23"/>
        </w:rPr>
        <w:t>此</w:t>
      </w:r>
      <w:r>
        <w:rPr>
          <w:rFonts w:ascii="宋体" w:hAnsi="宋体" w:eastAsia="宋体" w:cs="宋体"/>
          <w:spacing w:val="8"/>
          <w:sz w:val="23"/>
          <w:szCs w:val="23"/>
        </w:rPr>
        <w:t>，异位微生物发酵床处理后氨和硫化氢等恶臭气体较少。</w:t>
      </w:r>
    </w:p>
    <w:p w14:paraId="4EEF2DE2">
      <w:pPr>
        <w:spacing w:before="131" w:line="387" w:lineRule="auto"/>
        <w:ind w:left="10" w:firstLine="480"/>
        <w:rPr>
          <w:rFonts w:ascii="宋体" w:hAnsi="宋体" w:eastAsia="宋体" w:cs="宋体"/>
          <w:sz w:val="23"/>
          <w:szCs w:val="23"/>
        </w:rPr>
      </w:pPr>
      <w:r>
        <w:rPr>
          <w:rFonts w:ascii="宋体" w:hAnsi="宋体" w:eastAsia="宋体" w:cs="宋体"/>
          <w:spacing w:val="10"/>
          <w:sz w:val="23"/>
          <w:szCs w:val="23"/>
        </w:rPr>
        <w:t>微生物菌种在垫料上降解粪污的过程中需要使垫料保持一定的湿度 (</w:t>
      </w:r>
      <w:r>
        <w:rPr>
          <w:rFonts w:ascii="Times New Roman" w:hAnsi="Times New Roman" w:eastAsia="Times New Roman" w:cs="Times New Roman"/>
          <w:spacing w:val="10"/>
          <w:sz w:val="23"/>
          <w:szCs w:val="23"/>
        </w:rPr>
        <w:t>≤50%</w:t>
      </w:r>
      <w:r>
        <w:rPr>
          <w:rFonts w:ascii="宋体" w:hAnsi="宋体" w:eastAsia="宋体" w:cs="宋体"/>
          <w:spacing w:val="10"/>
          <w:sz w:val="23"/>
          <w:szCs w:val="23"/>
        </w:rPr>
        <w:t>) ，且要</w:t>
      </w:r>
      <w:r>
        <w:rPr>
          <w:rFonts w:ascii="宋体" w:hAnsi="宋体" w:eastAsia="宋体" w:cs="宋体"/>
          <w:spacing w:val="9"/>
          <w:sz w:val="23"/>
          <w:szCs w:val="23"/>
        </w:rPr>
        <w:t>为</w:t>
      </w:r>
      <w:r>
        <w:rPr>
          <w:rFonts w:ascii="宋体" w:hAnsi="宋体" w:eastAsia="宋体" w:cs="宋体"/>
          <w:sz w:val="23"/>
          <w:szCs w:val="23"/>
        </w:rPr>
        <w:t xml:space="preserve"> </w:t>
      </w:r>
      <w:r>
        <w:rPr>
          <w:rFonts w:ascii="宋体" w:hAnsi="宋体" w:eastAsia="宋体" w:cs="宋体"/>
          <w:spacing w:val="7"/>
          <w:sz w:val="23"/>
          <w:szCs w:val="23"/>
        </w:rPr>
        <w:t>微生物的生长提供足够的营养物质 (猪粪) ，同时需要保持微生物的好氧状态。因此，粪</w:t>
      </w:r>
      <w:r>
        <w:rPr>
          <w:rFonts w:ascii="宋体" w:hAnsi="宋体" w:eastAsia="宋体" w:cs="宋体"/>
          <w:sz w:val="23"/>
          <w:szCs w:val="23"/>
        </w:rPr>
        <w:t xml:space="preserve">污 </w:t>
      </w:r>
      <w:r>
        <w:rPr>
          <w:rFonts w:ascii="宋体" w:hAnsi="宋体" w:eastAsia="宋体" w:cs="宋体"/>
          <w:spacing w:val="6"/>
          <w:sz w:val="23"/>
          <w:szCs w:val="23"/>
        </w:rPr>
        <w:t>中固态物质</w:t>
      </w:r>
      <w:r>
        <w:rPr>
          <w:rFonts w:ascii="宋体" w:hAnsi="宋体" w:eastAsia="宋体" w:cs="宋体"/>
          <w:spacing w:val="3"/>
          <w:sz w:val="23"/>
          <w:szCs w:val="23"/>
        </w:rPr>
        <w:t xml:space="preserve">的含量不得低于 </w:t>
      </w:r>
      <w:r>
        <w:rPr>
          <w:rFonts w:ascii="Times New Roman" w:hAnsi="Times New Roman" w:eastAsia="Times New Roman" w:cs="Times New Roman"/>
          <w:spacing w:val="3"/>
          <w:sz w:val="23"/>
          <w:szCs w:val="23"/>
        </w:rPr>
        <w:t xml:space="preserve">5% </w:t>
      </w:r>
      <w:r>
        <w:rPr>
          <w:rFonts w:ascii="宋体" w:hAnsi="宋体" w:eastAsia="宋体" w:cs="宋体"/>
          <w:spacing w:val="3"/>
          <w:sz w:val="23"/>
          <w:szCs w:val="23"/>
        </w:rPr>
        <w:t>，并持续通入空气。</w:t>
      </w:r>
    </w:p>
    <w:p w14:paraId="48C00E51">
      <w:pPr>
        <w:spacing w:before="2" w:line="363" w:lineRule="auto"/>
        <w:ind w:left="29" w:firstLine="460"/>
        <w:rPr>
          <w:rFonts w:ascii="宋体" w:hAnsi="宋体" w:eastAsia="宋体" w:cs="宋体"/>
          <w:sz w:val="23"/>
          <w:szCs w:val="23"/>
        </w:rPr>
      </w:pPr>
      <w:r>
        <w:rPr>
          <w:rFonts w:ascii="宋体" w:hAnsi="宋体" w:eastAsia="宋体" w:cs="宋体"/>
          <w:spacing w:val="18"/>
          <w:sz w:val="23"/>
          <w:szCs w:val="23"/>
        </w:rPr>
        <w:t>微生物</w:t>
      </w:r>
      <w:r>
        <w:rPr>
          <w:rFonts w:ascii="宋体" w:hAnsi="宋体" w:eastAsia="宋体" w:cs="宋体"/>
          <w:spacing w:val="10"/>
          <w:sz w:val="23"/>
          <w:szCs w:val="23"/>
        </w:rPr>
        <w:t>在</w:t>
      </w:r>
      <w:r>
        <w:rPr>
          <w:rFonts w:ascii="宋体" w:hAnsi="宋体" w:eastAsia="宋体" w:cs="宋体"/>
          <w:spacing w:val="9"/>
          <w:sz w:val="23"/>
          <w:szCs w:val="23"/>
        </w:rPr>
        <w:t>生长过程中会产生生物热，使垫料中的温度维持在</w:t>
      </w:r>
      <w:r>
        <w:rPr>
          <w:rFonts w:ascii="Times New Roman" w:hAnsi="Times New Roman" w:eastAsia="Times New Roman" w:cs="Times New Roman"/>
          <w:spacing w:val="9"/>
          <w:sz w:val="23"/>
          <w:szCs w:val="23"/>
        </w:rPr>
        <w:t>65</w:t>
      </w:r>
      <w:r>
        <w:rPr>
          <w:rFonts w:ascii="宋体" w:hAnsi="宋体" w:eastAsia="宋体" w:cs="宋体"/>
          <w:spacing w:val="9"/>
          <w:sz w:val="23"/>
          <w:szCs w:val="23"/>
        </w:rPr>
        <w:t>℃ ，该温度有利于菌种</w:t>
      </w:r>
      <w:r>
        <w:rPr>
          <w:rFonts w:ascii="宋体" w:hAnsi="宋体" w:eastAsia="宋体" w:cs="宋体"/>
          <w:sz w:val="23"/>
          <w:szCs w:val="23"/>
        </w:rPr>
        <w:t xml:space="preserve"> </w:t>
      </w:r>
      <w:r>
        <w:rPr>
          <w:rFonts w:ascii="宋体" w:hAnsi="宋体" w:eastAsia="宋体" w:cs="宋体"/>
          <w:spacing w:val="12"/>
          <w:sz w:val="23"/>
          <w:szCs w:val="23"/>
        </w:rPr>
        <w:t>的</w:t>
      </w:r>
      <w:r>
        <w:rPr>
          <w:rFonts w:ascii="宋体" w:hAnsi="宋体" w:eastAsia="宋体" w:cs="宋体"/>
          <w:spacing w:val="6"/>
          <w:sz w:val="23"/>
          <w:szCs w:val="23"/>
        </w:rPr>
        <w:t xml:space="preserve">生长。当发酵床内发酵基质的高度沉降 </w:t>
      </w:r>
      <w:r>
        <w:rPr>
          <w:rFonts w:ascii="Times New Roman" w:hAnsi="Times New Roman" w:eastAsia="Times New Roman" w:cs="Times New Roman"/>
          <w:spacing w:val="6"/>
          <w:sz w:val="23"/>
          <w:szCs w:val="23"/>
        </w:rPr>
        <w:t>15~20</w:t>
      </w:r>
      <w:r>
        <w:rPr>
          <w:rFonts w:ascii="Times New Roman" w:hAnsi="Times New Roman" w:eastAsia="Times New Roman" w:cs="Times New Roman"/>
          <w:sz w:val="23"/>
          <w:szCs w:val="23"/>
        </w:rPr>
        <w:t>cm</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时，及时补充发酵垫料， 以维持酵床内</w:t>
      </w:r>
      <w:r>
        <w:rPr>
          <w:rFonts w:ascii="宋体" w:hAnsi="宋体" w:eastAsia="宋体" w:cs="宋体"/>
          <w:sz w:val="23"/>
          <w:szCs w:val="23"/>
        </w:rPr>
        <w:t xml:space="preserve"> </w:t>
      </w:r>
      <w:r>
        <w:rPr>
          <w:rFonts w:ascii="宋体" w:hAnsi="宋体" w:eastAsia="宋体" w:cs="宋体"/>
          <w:spacing w:val="12"/>
          <w:sz w:val="23"/>
          <w:szCs w:val="23"/>
        </w:rPr>
        <w:t>内发酵垫</w:t>
      </w:r>
      <w:r>
        <w:rPr>
          <w:rFonts w:ascii="宋体" w:hAnsi="宋体" w:eastAsia="宋体" w:cs="宋体"/>
          <w:spacing w:val="9"/>
          <w:sz w:val="23"/>
          <w:szCs w:val="23"/>
        </w:rPr>
        <w:t>料</w:t>
      </w:r>
      <w:r>
        <w:rPr>
          <w:rFonts w:ascii="宋体" w:hAnsi="宋体" w:eastAsia="宋体" w:cs="宋体"/>
          <w:spacing w:val="6"/>
          <w:sz w:val="23"/>
          <w:szCs w:val="23"/>
        </w:rPr>
        <w:t>的总量。异位微生物发酵床每三个月需要补充一次新鲜菌种，确保菌种的优势生</w:t>
      </w:r>
    </w:p>
    <w:p w14:paraId="0AF223C1">
      <w:pPr>
        <w:spacing w:line="323" w:lineRule="exact"/>
        <w:ind w:left="11"/>
        <w:rPr>
          <w:rFonts w:ascii="宋体" w:hAnsi="宋体" w:eastAsia="宋体" w:cs="宋体"/>
          <w:sz w:val="23"/>
          <w:szCs w:val="23"/>
        </w:rPr>
      </w:pPr>
      <w:r>
        <w:rPr>
          <w:rFonts w:ascii="宋体" w:hAnsi="宋体" w:eastAsia="宋体" w:cs="宋体"/>
          <w:spacing w:val="10"/>
          <w:position w:val="1"/>
          <w:sz w:val="23"/>
          <w:szCs w:val="23"/>
        </w:rPr>
        <w:t>长</w:t>
      </w:r>
      <w:r>
        <w:rPr>
          <w:rFonts w:ascii="宋体" w:hAnsi="宋体" w:eastAsia="宋体" w:cs="宋体"/>
          <w:spacing w:val="6"/>
          <w:position w:val="1"/>
          <w:sz w:val="23"/>
          <w:szCs w:val="23"/>
        </w:rPr>
        <w:t>，</w:t>
      </w:r>
      <w:r>
        <w:rPr>
          <w:rFonts w:ascii="宋体" w:hAnsi="宋体" w:eastAsia="宋体" w:cs="宋体"/>
          <w:spacing w:val="5"/>
          <w:position w:val="1"/>
          <w:sz w:val="23"/>
          <w:szCs w:val="23"/>
        </w:rPr>
        <w:t>抑制杂菌及有害菌；</w:t>
      </w:r>
      <w:r>
        <w:rPr>
          <w:rFonts w:ascii="Times New Roman" w:hAnsi="Times New Roman" w:eastAsia="Times New Roman" w:cs="Times New Roman"/>
          <w:spacing w:val="5"/>
          <w:position w:val="1"/>
          <w:sz w:val="23"/>
          <w:szCs w:val="23"/>
        </w:rPr>
        <w:t>33.33</w:t>
      </w:r>
      <w:r>
        <w:rPr>
          <w:rFonts w:ascii="Times New Roman" w:hAnsi="Times New Roman" w:eastAsia="Times New Roman" w:cs="Times New Roman"/>
          <w:position w:val="1"/>
          <w:sz w:val="23"/>
          <w:szCs w:val="23"/>
        </w:rPr>
        <w:t>m</w:t>
      </w:r>
      <w:r>
        <w:rPr>
          <w:rFonts w:ascii="Times New Roman" w:hAnsi="Times New Roman" w:eastAsia="Times New Roman" w:cs="Times New Roman"/>
          <w:spacing w:val="5"/>
          <w:position w:val="9"/>
          <w:sz w:val="15"/>
          <w:szCs w:val="15"/>
        </w:rPr>
        <w:t xml:space="preserve">3 </w:t>
      </w:r>
      <w:r>
        <w:rPr>
          <w:rFonts w:ascii="宋体" w:hAnsi="宋体" w:eastAsia="宋体" w:cs="宋体"/>
          <w:spacing w:val="5"/>
          <w:position w:val="1"/>
          <w:sz w:val="23"/>
          <w:szCs w:val="23"/>
        </w:rPr>
        <w:t xml:space="preserve">垫料处理 </w:t>
      </w:r>
      <w:r>
        <w:rPr>
          <w:rFonts w:ascii="Times New Roman" w:hAnsi="Times New Roman" w:eastAsia="Times New Roman" w:cs="Times New Roman"/>
          <w:spacing w:val="5"/>
          <w:position w:val="1"/>
          <w:sz w:val="23"/>
          <w:szCs w:val="23"/>
        </w:rPr>
        <w:t>1</w:t>
      </w:r>
      <w:r>
        <w:rPr>
          <w:rFonts w:ascii="Times New Roman" w:hAnsi="Times New Roman" w:eastAsia="Times New Roman" w:cs="Times New Roman"/>
          <w:position w:val="1"/>
          <w:sz w:val="23"/>
          <w:szCs w:val="23"/>
        </w:rPr>
        <w:t>t</w:t>
      </w:r>
      <w:r>
        <w:rPr>
          <w:rFonts w:ascii="Times New Roman" w:hAnsi="Times New Roman" w:eastAsia="Times New Roman" w:cs="Times New Roman"/>
          <w:spacing w:val="5"/>
          <w:position w:val="1"/>
          <w:sz w:val="23"/>
          <w:szCs w:val="23"/>
        </w:rPr>
        <w:t xml:space="preserve"> </w:t>
      </w:r>
      <w:r>
        <w:rPr>
          <w:rFonts w:ascii="宋体" w:hAnsi="宋体" w:eastAsia="宋体" w:cs="宋体"/>
          <w:spacing w:val="5"/>
          <w:position w:val="1"/>
          <w:sz w:val="23"/>
          <w:szCs w:val="23"/>
        </w:rPr>
        <w:t>粪污。</w:t>
      </w:r>
    </w:p>
    <w:p w14:paraId="06524CED">
      <w:pPr>
        <w:spacing w:before="188" w:line="227" w:lineRule="auto"/>
        <w:ind w:left="493"/>
        <w:rPr>
          <w:rFonts w:ascii="宋体" w:hAnsi="宋体" w:eastAsia="宋体" w:cs="宋体"/>
          <w:sz w:val="23"/>
          <w:szCs w:val="23"/>
        </w:rPr>
      </w:pPr>
      <w:r>
        <w:rPr>
          <w:rFonts w:ascii="宋体" w:hAnsi="宋体" w:eastAsia="宋体" w:cs="宋体"/>
          <w:spacing w:val="9"/>
          <w:sz w:val="23"/>
          <w:szCs w:val="23"/>
        </w:rPr>
        <w:t>异位微生物发酵床安装的离心风机会产生噪声</w:t>
      </w:r>
      <w:r>
        <w:rPr>
          <w:rFonts w:ascii="宋体" w:hAnsi="宋体" w:eastAsia="宋体" w:cs="宋体"/>
          <w:spacing w:val="7"/>
          <w:sz w:val="23"/>
          <w:szCs w:val="23"/>
        </w:rPr>
        <w:t>。</w:t>
      </w:r>
    </w:p>
    <w:p w14:paraId="1E5DE136">
      <w:pPr>
        <w:spacing w:before="183" w:line="227" w:lineRule="auto"/>
        <w:ind w:left="501"/>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5</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肥料外售</w:t>
      </w:r>
    </w:p>
    <w:p w14:paraId="1295A88A">
      <w:pPr>
        <w:spacing w:before="186" w:line="382" w:lineRule="auto"/>
        <w:ind w:left="13" w:firstLine="480"/>
        <w:rPr>
          <w:rFonts w:ascii="宋体" w:hAnsi="宋体" w:eastAsia="宋体" w:cs="宋体"/>
          <w:sz w:val="23"/>
          <w:szCs w:val="23"/>
        </w:rPr>
      </w:pPr>
      <w:r>
        <w:rPr>
          <w:rFonts w:ascii="宋体" w:hAnsi="宋体" w:eastAsia="宋体" w:cs="宋体"/>
          <w:spacing w:val="7"/>
          <w:sz w:val="23"/>
          <w:szCs w:val="23"/>
        </w:rPr>
        <w:t>项目运营产生的粪污全部采用发酵床处理系统处理。在发酵过程中，粪污中的水分大</w:t>
      </w:r>
      <w:r>
        <w:rPr>
          <w:rFonts w:ascii="宋体" w:hAnsi="宋体" w:eastAsia="宋体" w:cs="宋体"/>
          <w:spacing w:val="4"/>
          <w:sz w:val="23"/>
          <w:szCs w:val="23"/>
        </w:rPr>
        <w:t>部</w:t>
      </w:r>
      <w:r>
        <w:rPr>
          <w:rFonts w:ascii="宋体" w:hAnsi="宋体" w:eastAsia="宋体" w:cs="宋体"/>
          <w:sz w:val="23"/>
          <w:szCs w:val="23"/>
        </w:rPr>
        <w:t xml:space="preserve"> </w:t>
      </w:r>
      <w:r>
        <w:rPr>
          <w:rFonts w:ascii="宋体" w:hAnsi="宋体" w:eastAsia="宋体" w:cs="宋体"/>
          <w:spacing w:val="11"/>
          <w:sz w:val="23"/>
          <w:szCs w:val="23"/>
        </w:rPr>
        <w:t>分</w:t>
      </w:r>
      <w:r>
        <w:rPr>
          <w:rFonts w:ascii="宋体" w:hAnsi="宋体" w:eastAsia="宋体" w:cs="宋体"/>
          <w:spacing w:val="7"/>
          <w:sz w:val="23"/>
          <w:szCs w:val="23"/>
        </w:rPr>
        <w:t>蒸发，未能降解的残留有机物部分转化为腐殖质，粪污中病原体也在长时间的高温环境中</w:t>
      </w:r>
    </w:p>
    <w:p w14:paraId="126F7A65">
      <w:pPr>
        <w:sectPr>
          <w:headerReference r:id="rId106" w:type="default"/>
          <w:footerReference r:id="rId107" w:type="default"/>
          <w:pgSz w:w="11907" w:h="16840"/>
          <w:pgMar w:top="829" w:right="1133" w:bottom="1139" w:left="1275" w:header="595" w:footer="953" w:gutter="0"/>
          <w:cols w:space="720" w:num="1"/>
        </w:sectPr>
      </w:pPr>
    </w:p>
    <w:p w14:paraId="59B73A60">
      <w:pPr>
        <w:tabs>
          <w:tab w:val="left" w:pos="248"/>
        </w:tabs>
        <w:spacing w:before="145" w:line="375" w:lineRule="auto"/>
        <w:ind w:left="122" w:firstLine="6"/>
        <w:rPr>
          <w:rFonts w:ascii="宋体" w:hAnsi="宋体" w:eastAsia="宋体" w:cs="宋体"/>
          <w:sz w:val="23"/>
          <w:szCs w:val="23"/>
        </w:rPr>
      </w:pPr>
      <w:r>
        <w:rPr>
          <w:rFonts w:ascii="宋体" w:hAnsi="宋体" w:eastAsia="宋体" w:cs="宋体"/>
          <w:spacing w:val="12"/>
          <w:sz w:val="23"/>
          <w:szCs w:val="23"/>
        </w:rPr>
        <w:t>失活，</w:t>
      </w:r>
      <w:r>
        <w:rPr>
          <w:rFonts w:ascii="宋体" w:hAnsi="宋体" w:eastAsia="宋体" w:cs="宋体"/>
          <w:spacing w:val="11"/>
          <w:sz w:val="23"/>
          <w:szCs w:val="23"/>
        </w:rPr>
        <w:t>达</w:t>
      </w:r>
      <w:r>
        <w:rPr>
          <w:rFonts w:ascii="宋体" w:hAnsi="宋体" w:eastAsia="宋体" w:cs="宋体"/>
          <w:spacing w:val="6"/>
          <w:sz w:val="23"/>
          <w:szCs w:val="23"/>
        </w:rPr>
        <w:t xml:space="preserve">到无害化处理的目的。垫料一般连续使用 </w:t>
      </w:r>
      <w:r>
        <w:rPr>
          <w:rFonts w:ascii="Times New Roman" w:hAnsi="Times New Roman" w:eastAsia="Times New Roman" w:cs="Times New Roman"/>
          <w:spacing w:val="6"/>
          <w:sz w:val="23"/>
          <w:szCs w:val="23"/>
        </w:rPr>
        <w:t xml:space="preserve">1.5 </w:t>
      </w:r>
      <w:r>
        <w:rPr>
          <w:rFonts w:ascii="宋体" w:hAnsi="宋体" w:eastAsia="宋体" w:cs="宋体"/>
          <w:spacing w:val="6"/>
          <w:sz w:val="23"/>
          <w:szCs w:val="23"/>
        </w:rPr>
        <w:t>年将进行清理，腐熟后的固态粪污与</w:t>
      </w:r>
      <w:r>
        <w:rPr>
          <w:rFonts w:ascii="宋体" w:hAnsi="宋体" w:eastAsia="宋体" w:cs="宋体"/>
          <w:sz w:val="23"/>
          <w:szCs w:val="23"/>
        </w:rPr>
        <w:t xml:space="preserve"> </w:t>
      </w:r>
      <w:r>
        <w:rPr>
          <w:rFonts w:ascii="宋体" w:hAnsi="宋体" w:eastAsia="宋体" w:cs="宋体"/>
          <w:spacing w:val="4"/>
          <w:sz w:val="23"/>
          <w:szCs w:val="23"/>
        </w:rPr>
        <w:t>垫料混合物富含有机质与氮、磷、钾等营养物质，其含量符合我国农业行业标准《有机肥料》</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20"/>
          <w:sz w:val="23"/>
          <w:szCs w:val="23"/>
        </w:rPr>
        <w:t>(</w:t>
      </w:r>
      <w:r>
        <w:rPr>
          <w:rFonts w:ascii="Times New Roman" w:hAnsi="Times New Roman" w:eastAsia="Times New Roman" w:cs="Times New Roman"/>
          <w:sz w:val="23"/>
          <w:szCs w:val="23"/>
        </w:rPr>
        <w:t>NY</w:t>
      </w:r>
      <w:r>
        <w:rPr>
          <w:rFonts w:ascii="Times New Roman" w:hAnsi="Times New Roman" w:eastAsia="Times New Roman" w:cs="Times New Roman"/>
          <w:spacing w:val="12"/>
          <w:sz w:val="23"/>
          <w:szCs w:val="23"/>
        </w:rPr>
        <w:t>5</w:t>
      </w:r>
      <w:r>
        <w:rPr>
          <w:rFonts w:ascii="Times New Roman" w:hAnsi="Times New Roman" w:eastAsia="Times New Roman" w:cs="Times New Roman"/>
          <w:spacing w:val="10"/>
          <w:sz w:val="23"/>
          <w:szCs w:val="23"/>
        </w:rPr>
        <w:t>25-2012</w:t>
      </w:r>
      <w:r>
        <w:rPr>
          <w:rFonts w:ascii="宋体" w:hAnsi="宋体" w:eastAsia="宋体" w:cs="宋体"/>
          <w:spacing w:val="10"/>
          <w:sz w:val="23"/>
          <w:szCs w:val="23"/>
        </w:rPr>
        <w:t>) 的要求，同时重金属元素与抗生素的含量也均在相关标准限量范围内，是</w:t>
      </w:r>
      <w:r>
        <w:rPr>
          <w:rFonts w:ascii="宋体" w:hAnsi="宋体" w:eastAsia="宋体" w:cs="宋体"/>
          <w:sz w:val="23"/>
          <w:szCs w:val="23"/>
        </w:rPr>
        <w:t xml:space="preserve"> </w:t>
      </w:r>
      <w:r>
        <w:rPr>
          <w:rFonts w:ascii="宋体" w:hAnsi="宋体" w:eastAsia="宋体" w:cs="宋体"/>
          <w:spacing w:val="10"/>
          <w:sz w:val="23"/>
          <w:szCs w:val="23"/>
        </w:rPr>
        <w:t>优良的有机肥生产原料。因此，将腐熟垫料加工为有机肥是垫料资源化再利用的重要途径</w:t>
      </w:r>
      <w:r>
        <w:rPr>
          <w:rFonts w:ascii="宋体" w:hAnsi="宋体" w:eastAsia="宋体" w:cs="宋体"/>
          <w:spacing w:val="4"/>
          <w:sz w:val="23"/>
          <w:szCs w:val="23"/>
        </w:rPr>
        <w:t>，</w:t>
      </w:r>
      <w:r>
        <w:rPr>
          <w:rFonts w:ascii="宋体" w:hAnsi="宋体" w:eastAsia="宋体" w:cs="宋体"/>
          <w:sz w:val="23"/>
          <w:szCs w:val="23"/>
        </w:rPr>
        <w:t xml:space="preserve"> </w:t>
      </w:r>
      <w:r>
        <w:rPr>
          <w:rFonts w:ascii="宋体" w:hAnsi="宋体" w:eastAsia="宋体" w:cs="宋体"/>
          <w:spacing w:val="11"/>
          <w:sz w:val="23"/>
          <w:szCs w:val="23"/>
        </w:rPr>
        <w:t>可</w:t>
      </w:r>
      <w:r>
        <w:rPr>
          <w:rFonts w:ascii="宋体" w:hAnsi="宋体" w:eastAsia="宋体" w:cs="宋体"/>
          <w:spacing w:val="8"/>
          <w:sz w:val="23"/>
          <w:szCs w:val="23"/>
        </w:rPr>
        <w:t>产生良好的经济效益。</w:t>
      </w:r>
    </w:p>
    <w:p w14:paraId="65474BDD">
      <w:pPr>
        <w:spacing w:line="226" w:lineRule="auto"/>
        <w:ind w:left="605"/>
        <w:rPr>
          <w:rFonts w:ascii="宋体" w:hAnsi="宋体" w:eastAsia="宋体" w:cs="宋体"/>
          <w:sz w:val="23"/>
          <w:szCs w:val="23"/>
        </w:rPr>
      </w:pPr>
      <w:r>
        <w:rPr>
          <w:rFonts w:ascii="宋体" w:hAnsi="宋体" w:eastAsia="宋体" w:cs="宋体"/>
          <w:spacing w:val="7"/>
          <w:sz w:val="23"/>
          <w:szCs w:val="23"/>
        </w:rPr>
        <w:t>异位微生物发酵床采用水泥硬化防渗，异位微生物发酵床为透光的阳光顶棚，两头为</w:t>
      </w:r>
      <w:r>
        <w:rPr>
          <w:rFonts w:ascii="宋体" w:hAnsi="宋体" w:eastAsia="宋体" w:cs="宋体"/>
          <w:spacing w:val="5"/>
          <w:sz w:val="23"/>
          <w:szCs w:val="23"/>
        </w:rPr>
        <w:t>敞</w:t>
      </w:r>
    </w:p>
    <w:p w14:paraId="7B365910">
      <w:pPr>
        <w:spacing w:before="183" w:line="468" w:lineRule="exact"/>
        <w:ind w:left="123"/>
        <w:rPr>
          <w:rFonts w:ascii="宋体" w:hAnsi="宋体" w:eastAsia="宋体" w:cs="宋体"/>
          <w:sz w:val="23"/>
          <w:szCs w:val="23"/>
        </w:rPr>
      </w:pPr>
      <w:r>
        <w:rPr>
          <w:rFonts w:ascii="宋体" w:hAnsi="宋体" w:eastAsia="宋体" w:cs="宋体"/>
          <w:spacing w:val="13"/>
          <w:position w:val="18"/>
          <w:sz w:val="23"/>
          <w:szCs w:val="23"/>
        </w:rPr>
        <w:t>开</w:t>
      </w:r>
      <w:r>
        <w:rPr>
          <w:rFonts w:ascii="宋体" w:hAnsi="宋体" w:eastAsia="宋体" w:cs="宋体"/>
          <w:spacing w:val="7"/>
          <w:position w:val="18"/>
          <w:sz w:val="23"/>
          <w:szCs w:val="23"/>
        </w:rPr>
        <w:t>，既能保证通风，阳光照射，有利于发酵床内微生物的好氧发酵，又能防止雨水进入异位</w:t>
      </w:r>
    </w:p>
    <w:p w14:paraId="6F03BDB6">
      <w:pPr>
        <w:spacing w:line="227" w:lineRule="auto"/>
        <w:ind w:left="122"/>
        <w:rPr>
          <w:rFonts w:ascii="宋体" w:hAnsi="宋体" w:eastAsia="宋体" w:cs="宋体"/>
          <w:sz w:val="23"/>
          <w:szCs w:val="23"/>
        </w:rPr>
      </w:pPr>
      <w:r>
        <w:rPr>
          <w:rFonts w:ascii="宋体" w:hAnsi="宋体" w:eastAsia="宋体" w:cs="宋体"/>
          <w:spacing w:val="11"/>
          <w:sz w:val="23"/>
          <w:szCs w:val="23"/>
        </w:rPr>
        <w:t>微</w:t>
      </w:r>
      <w:r>
        <w:rPr>
          <w:rFonts w:ascii="宋体" w:hAnsi="宋体" w:eastAsia="宋体" w:cs="宋体"/>
          <w:spacing w:val="7"/>
          <w:sz w:val="23"/>
          <w:szCs w:val="23"/>
        </w:rPr>
        <w:t>生物发酵床内。</w:t>
      </w:r>
    </w:p>
    <w:p w14:paraId="7D91D58A">
      <w:pPr>
        <w:spacing w:line="147" w:lineRule="exact"/>
      </w:pPr>
    </w:p>
    <w:tbl>
      <w:tblPr>
        <w:tblStyle w:val="4"/>
        <w:tblW w:w="92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46"/>
        <w:gridCol w:w="4647"/>
      </w:tblGrid>
      <w:tr w14:paraId="65527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5" w:hRule="atLeast"/>
        </w:trPr>
        <w:tc>
          <w:tcPr>
            <w:tcW w:w="4646" w:type="dxa"/>
          </w:tcPr>
          <w:p w14:paraId="5EBA1B06">
            <w:pPr>
              <w:spacing w:before="4" w:line="2513" w:lineRule="exact"/>
              <w:ind w:firstLine="108"/>
              <w:textAlignment w:val="center"/>
            </w:pPr>
            <w:r>
              <w:drawing>
                <wp:inline distT="0" distB="0" distL="0" distR="0">
                  <wp:extent cx="2808605" cy="1595120"/>
                  <wp:effectExtent l="0" t="0" r="0" b="0"/>
                  <wp:docPr id="21" name="IM 21"/>
                  <wp:cNvGraphicFramePr/>
                  <a:graphic xmlns:a="http://schemas.openxmlformats.org/drawingml/2006/main">
                    <a:graphicData uri="http://schemas.openxmlformats.org/drawingml/2006/picture">
                      <pic:pic xmlns:pic="http://schemas.openxmlformats.org/drawingml/2006/picture">
                        <pic:nvPicPr>
                          <pic:cNvPr id="21" name="IM 21"/>
                          <pic:cNvPicPr/>
                        </pic:nvPicPr>
                        <pic:blipFill>
                          <a:blip r:embed="rId372"/>
                          <a:stretch>
                            <a:fillRect/>
                          </a:stretch>
                        </pic:blipFill>
                        <pic:spPr>
                          <a:xfrm>
                            <a:off x="0" y="0"/>
                            <a:ext cx="2808732" cy="1595627"/>
                          </a:xfrm>
                          <a:prstGeom prst="rect">
                            <a:avLst/>
                          </a:prstGeom>
                        </pic:spPr>
                      </pic:pic>
                    </a:graphicData>
                  </a:graphic>
                </wp:inline>
              </w:drawing>
            </w:r>
          </w:p>
        </w:tc>
        <w:tc>
          <w:tcPr>
            <w:tcW w:w="4647" w:type="dxa"/>
          </w:tcPr>
          <w:p w14:paraId="24AB93D1">
            <w:pPr>
              <w:spacing w:before="4" w:line="2532" w:lineRule="exact"/>
              <w:ind w:firstLine="106"/>
              <w:textAlignment w:val="center"/>
            </w:pPr>
            <w:r>
              <w:drawing>
                <wp:inline distT="0" distB="0" distL="0" distR="0">
                  <wp:extent cx="2811145" cy="160782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373"/>
                          <a:stretch>
                            <a:fillRect/>
                          </a:stretch>
                        </pic:blipFill>
                        <pic:spPr>
                          <a:xfrm>
                            <a:off x="0" y="0"/>
                            <a:ext cx="2811779" cy="1607820"/>
                          </a:xfrm>
                          <a:prstGeom prst="rect">
                            <a:avLst/>
                          </a:prstGeom>
                        </pic:spPr>
                      </pic:pic>
                    </a:graphicData>
                  </a:graphic>
                </wp:inline>
              </w:drawing>
            </w:r>
          </w:p>
        </w:tc>
      </w:tr>
    </w:tbl>
    <w:p w14:paraId="287401CE">
      <w:pPr>
        <w:spacing w:before="156" w:line="229" w:lineRule="auto"/>
        <w:ind w:left="645"/>
        <w:rPr>
          <w:rFonts w:ascii="黑体" w:hAnsi="黑体" w:eastAsia="黑体" w:cs="黑体"/>
          <w:sz w:val="23"/>
          <w:szCs w:val="23"/>
        </w:rPr>
      </w:pPr>
      <w:r>
        <w:rPr>
          <w:rFonts w:ascii="黑体" w:hAnsi="黑体" w:eastAsia="黑体" w:cs="黑体"/>
          <w:spacing w:val="12"/>
          <w:sz w:val="23"/>
          <w:szCs w:val="23"/>
        </w:rPr>
        <w:t xml:space="preserve">图 </w:t>
      </w:r>
      <w:r>
        <w:rPr>
          <w:rFonts w:ascii="Times New Roman" w:hAnsi="Times New Roman" w:eastAsia="Times New Roman" w:cs="Times New Roman"/>
          <w:spacing w:val="12"/>
          <w:sz w:val="23"/>
          <w:szCs w:val="23"/>
        </w:rPr>
        <w:t>3</w:t>
      </w:r>
      <w:r>
        <w:rPr>
          <w:rFonts w:ascii="Times New Roman" w:hAnsi="Times New Roman" w:eastAsia="Times New Roman" w:cs="Times New Roman"/>
          <w:spacing w:val="7"/>
          <w:sz w:val="23"/>
          <w:szCs w:val="23"/>
        </w:rPr>
        <w:t>.</w:t>
      </w:r>
      <w:r>
        <w:rPr>
          <w:rFonts w:ascii="Times New Roman" w:hAnsi="Times New Roman" w:eastAsia="Times New Roman" w:cs="Times New Roman"/>
          <w:spacing w:val="6"/>
          <w:sz w:val="23"/>
          <w:szCs w:val="23"/>
        </w:rPr>
        <w:t xml:space="preserve">3-6    </w:t>
      </w:r>
      <w:r>
        <w:rPr>
          <w:rFonts w:ascii="黑体" w:hAnsi="黑体" w:eastAsia="黑体" w:cs="黑体"/>
          <w:spacing w:val="6"/>
          <w:sz w:val="23"/>
          <w:szCs w:val="23"/>
        </w:rPr>
        <w:t>四川洁牧联创生态农业有限公司设计的同类养殖项目异位微生物发酵床</w:t>
      </w:r>
    </w:p>
    <w:p w14:paraId="0575FBAE">
      <w:pPr>
        <w:spacing w:line="362" w:lineRule="auto"/>
      </w:pPr>
    </w:p>
    <w:p w14:paraId="1A44EC66">
      <w:pPr>
        <w:spacing w:before="75" w:line="384" w:lineRule="auto"/>
        <w:ind w:left="132" w:right="105" w:firstLine="470"/>
        <w:rPr>
          <w:rFonts w:ascii="宋体" w:hAnsi="宋体" w:eastAsia="宋体" w:cs="宋体"/>
          <w:sz w:val="23"/>
          <w:szCs w:val="23"/>
        </w:rPr>
      </w:pPr>
      <w:r>
        <w:rPr>
          <w:rFonts w:ascii="宋体" w:hAnsi="宋体" w:eastAsia="宋体" w:cs="宋体"/>
          <w:spacing w:val="26"/>
          <w:sz w:val="23"/>
          <w:szCs w:val="23"/>
        </w:rPr>
        <w:t>根</w:t>
      </w:r>
      <w:r>
        <w:rPr>
          <w:rFonts w:ascii="宋体" w:hAnsi="宋体" w:eastAsia="宋体" w:cs="宋体"/>
          <w:spacing w:val="16"/>
          <w:sz w:val="23"/>
          <w:szCs w:val="23"/>
        </w:rPr>
        <w:t>据</w:t>
      </w:r>
      <w:r>
        <w:rPr>
          <w:rFonts w:ascii="宋体" w:hAnsi="宋体" w:eastAsia="宋体" w:cs="宋体"/>
          <w:spacing w:val="13"/>
          <w:sz w:val="23"/>
          <w:szCs w:val="23"/>
        </w:rPr>
        <w:t>四川铁骑力士牧业科技有限公司古井猪场委托四川众检四方检验监测技术有限公</w:t>
      </w:r>
      <w:r>
        <w:rPr>
          <w:rFonts w:ascii="宋体" w:hAnsi="宋体" w:eastAsia="宋体" w:cs="宋体"/>
          <w:sz w:val="23"/>
          <w:szCs w:val="23"/>
        </w:rPr>
        <w:t xml:space="preserve"> </w:t>
      </w:r>
      <w:r>
        <w:rPr>
          <w:rFonts w:ascii="宋体" w:hAnsi="宋体" w:eastAsia="宋体" w:cs="宋体"/>
          <w:spacing w:val="4"/>
          <w:sz w:val="23"/>
          <w:szCs w:val="23"/>
        </w:rPr>
        <w:t xml:space="preserve">司对运行 </w:t>
      </w:r>
      <w:r>
        <w:rPr>
          <w:rFonts w:ascii="Times New Roman" w:hAnsi="Times New Roman" w:eastAsia="Times New Roman" w:cs="Times New Roman"/>
          <w:spacing w:val="4"/>
          <w:sz w:val="23"/>
          <w:szCs w:val="23"/>
        </w:rPr>
        <w:t xml:space="preserve">1.5 </w:t>
      </w:r>
      <w:r>
        <w:rPr>
          <w:rFonts w:ascii="宋体" w:hAnsi="宋体" w:eastAsia="宋体" w:cs="宋体"/>
          <w:spacing w:val="4"/>
          <w:sz w:val="23"/>
          <w:szCs w:val="23"/>
        </w:rPr>
        <w:t xml:space="preserve">年垫料进行检测的结果，腐熟垫料混合物各项检测指标如下表 </w:t>
      </w:r>
      <w:r>
        <w:rPr>
          <w:rFonts w:ascii="Times New Roman" w:hAnsi="Times New Roman" w:eastAsia="Times New Roman" w:cs="Times New Roman"/>
          <w:spacing w:val="4"/>
          <w:sz w:val="23"/>
          <w:szCs w:val="23"/>
        </w:rPr>
        <w:t xml:space="preserve">3.3- 1 </w:t>
      </w:r>
      <w:r>
        <w:rPr>
          <w:rFonts w:ascii="宋体" w:hAnsi="宋体" w:eastAsia="宋体" w:cs="宋体"/>
          <w:spacing w:val="4"/>
          <w:sz w:val="23"/>
          <w:szCs w:val="23"/>
        </w:rPr>
        <w:t>所</w:t>
      </w:r>
      <w:r>
        <w:rPr>
          <w:rFonts w:ascii="宋体" w:hAnsi="宋体" w:eastAsia="宋体" w:cs="宋体"/>
          <w:spacing w:val="1"/>
          <w:sz w:val="23"/>
          <w:szCs w:val="23"/>
        </w:rPr>
        <w:t>示</w:t>
      </w:r>
      <w:r>
        <w:rPr>
          <w:rFonts w:ascii="宋体" w:hAnsi="宋体" w:eastAsia="宋体" w:cs="宋体"/>
          <w:sz w:val="23"/>
          <w:szCs w:val="23"/>
        </w:rPr>
        <w:t>：</w:t>
      </w:r>
    </w:p>
    <w:p w14:paraId="612DC2A5">
      <w:pPr>
        <w:spacing w:before="97" w:line="222" w:lineRule="auto"/>
        <w:ind w:left="2915"/>
        <w:rPr>
          <w:rFonts w:ascii="黑体" w:hAnsi="黑体" w:eastAsia="黑体" w:cs="黑体"/>
          <w:sz w:val="23"/>
          <w:szCs w:val="23"/>
        </w:rPr>
      </w:pPr>
      <w:r>
        <w:rPr>
          <w:rFonts w:ascii="黑体" w:hAnsi="黑体" w:eastAsia="黑体" w:cs="黑体"/>
          <w:spacing w:val="2"/>
          <w:sz w:val="23"/>
          <w:szCs w:val="23"/>
        </w:rPr>
        <w:t xml:space="preserve">表 </w:t>
      </w:r>
      <w:r>
        <w:rPr>
          <w:rFonts w:ascii="Times New Roman" w:hAnsi="Times New Roman" w:eastAsia="Times New Roman" w:cs="Times New Roman"/>
          <w:spacing w:val="2"/>
          <w:sz w:val="23"/>
          <w:szCs w:val="23"/>
        </w:rPr>
        <w:t xml:space="preserve">3.3- 1  </w:t>
      </w:r>
      <w:r>
        <w:rPr>
          <w:rFonts w:ascii="Times New Roman" w:hAnsi="Times New Roman" w:eastAsia="Times New Roman" w:cs="Times New Roman"/>
          <w:spacing w:val="1"/>
          <w:sz w:val="23"/>
          <w:szCs w:val="23"/>
        </w:rPr>
        <w:t xml:space="preserve">  </w:t>
      </w:r>
      <w:r>
        <w:rPr>
          <w:rFonts w:ascii="黑体" w:hAnsi="黑体" w:eastAsia="黑体" w:cs="黑体"/>
          <w:spacing w:val="1"/>
          <w:sz w:val="23"/>
          <w:szCs w:val="23"/>
        </w:rPr>
        <w:t>粗堆有机肥产品指标一览表</w:t>
      </w:r>
    </w:p>
    <w:tbl>
      <w:tblPr>
        <w:tblStyle w:val="4"/>
        <w:tblW w:w="9289" w:type="dxa"/>
        <w:tblInd w:w="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68"/>
        <w:gridCol w:w="2835"/>
        <w:gridCol w:w="3786"/>
      </w:tblGrid>
      <w:tr w14:paraId="6FB840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2668" w:type="dxa"/>
            <w:tcBorders>
              <w:left w:val="nil"/>
            </w:tcBorders>
          </w:tcPr>
          <w:p w14:paraId="3391199F">
            <w:pPr>
              <w:spacing w:before="88" w:line="229" w:lineRule="auto"/>
              <w:ind w:left="1131"/>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2835" w:type="dxa"/>
          </w:tcPr>
          <w:p w14:paraId="6090AEE5">
            <w:pPr>
              <w:spacing w:before="87" w:line="228" w:lineRule="auto"/>
              <w:ind w:left="1106"/>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检</w:t>
            </w:r>
            <w:r>
              <w:rPr>
                <w:rFonts w:ascii="宋体" w:hAnsi="宋体" w:eastAsia="宋体" w:cs="宋体"/>
                <w:spacing w:val="7"/>
                <w:sz w:val="20"/>
                <w:szCs w:val="20"/>
                <w14:textOutline w14:w="3797" w14:cap="sq" w14:cmpd="sng" w14:algn="ctr">
                  <w14:solidFill>
                    <w14:srgbClr w14:val="000000"/>
                  </w14:solidFill>
                  <w14:prstDash w14:val="solid"/>
                  <w14:bevel/>
                </w14:textOutline>
              </w:rPr>
              <w:t>测值</w:t>
            </w:r>
          </w:p>
        </w:tc>
        <w:tc>
          <w:tcPr>
            <w:tcW w:w="3786" w:type="dxa"/>
            <w:tcBorders>
              <w:right w:val="nil"/>
            </w:tcBorders>
          </w:tcPr>
          <w:p w14:paraId="299261A2">
            <w:pPr>
              <w:spacing w:before="87" w:line="227" w:lineRule="auto"/>
              <w:ind w:left="124"/>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《有</w:t>
            </w:r>
            <w:r>
              <w:rPr>
                <w:rFonts w:ascii="宋体" w:hAnsi="宋体" w:eastAsia="宋体" w:cs="宋体"/>
                <w:spacing w:val="5"/>
                <w:sz w:val="20"/>
                <w:szCs w:val="20"/>
                <w14:textOutline w14:w="3797" w14:cap="sq" w14:cmpd="sng" w14:algn="ctr">
                  <w14:solidFill>
                    <w14:srgbClr w14:val="000000"/>
                  </w14:solidFill>
                  <w14:prstDash w14:val="solid"/>
                  <w14:bevel/>
                </w14:textOutline>
              </w:rPr>
              <w:t>机</w:t>
            </w:r>
            <w:r>
              <w:rPr>
                <w:rFonts w:ascii="宋体" w:hAnsi="宋体" w:eastAsia="宋体" w:cs="宋体"/>
                <w:spacing w:val="4"/>
                <w:sz w:val="20"/>
                <w:szCs w:val="20"/>
                <w14:textOutline w14:w="3797" w14:cap="sq" w14:cmpd="sng" w14:algn="ctr">
                  <w14:solidFill>
                    <w14:srgbClr w14:val="000000"/>
                  </w14:solidFill>
                  <w14:prstDash w14:val="solid"/>
                  <w14:bevel/>
                </w14:textOutline>
              </w:rPr>
              <w:t>肥料》</w:t>
            </w:r>
            <w:r>
              <w:rPr>
                <w:rFonts w:ascii="宋体" w:hAnsi="宋体" w:eastAsia="宋体" w:cs="宋体"/>
                <w:spacing w:val="4"/>
                <w:sz w:val="20"/>
                <w:szCs w:val="20"/>
              </w:rPr>
              <w:t xml:space="preserve"> </w:t>
            </w:r>
            <w:r>
              <w:rPr>
                <w:rFonts w:ascii="宋体" w:hAnsi="宋体" w:eastAsia="宋体" w:cs="宋体"/>
                <w:spacing w:val="4"/>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sz w:val="20"/>
                <w:szCs w:val="20"/>
              </w:rPr>
              <w:t>NY</w:t>
            </w:r>
            <w:r>
              <w:rPr>
                <w:rFonts w:ascii="Times New Roman" w:hAnsi="Times New Roman" w:eastAsia="Times New Roman" w:cs="Times New Roman"/>
                <w:b/>
                <w:bCs/>
                <w:spacing w:val="4"/>
                <w:sz w:val="20"/>
                <w:szCs w:val="20"/>
              </w:rPr>
              <w:t>525-2012</w:t>
            </w:r>
            <w:r>
              <w:rPr>
                <w:rFonts w:ascii="宋体" w:hAnsi="宋体" w:eastAsia="宋体" w:cs="宋体"/>
                <w:spacing w:val="4"/>
                <w:sz w:val="20"/>
                <w:szCs w:val="20"/>
                <w14:textOutline w14:w="3797" w14:cap="sq" w14:cmpd="sng" w14:algn="ctr">
                  <w14:solidFill>
                    <w14:srgbClr w14:val="000000"/>
                  </w14:solidFill>
                  <w14:prstDash w14:val="solid"/>
                  <w14:bevel/>
                </w14:textOutline>
              </w:rPr>
              <w:t>)</w:t>
            </w:r>
            <w:r>
              <w:rPr>
                <w:rFonts w:ascii="宋体" w:hAnsi="宋体" w:eastAsia="宋体" w:cs="宋体"/>
                <w:spacing w:val="4"/>
                <w:sz w:val="20"/>
                <w:szCs w:val="20"/>
              </w:rPr>
              <w:t xml:space="preserve"> </w:t>
            </w:r>
            <w:r>
              <w:rPr>
                <w:rFonts w:ascii="宋体" w:hAnsi="宋体" w:eastAsia="宋体" w:cs="宋体"/>
                <w:spacing w:val="4"/>
                <w:sz w:val="20"/>
                <w:szCs w:val="20"/>
                <w14:textOutline w14:w="3797" w14:cap="sq" w14:cmpd="sng" w14:algn="ctr">
                  <w14:solidFill>
                    <w14:srgbClr w14:val="000000"/>
                  </w14:solidFill>
                  <w14:prstDash w14:val="solid"/>
                  <w14:bevel/>
                </w14:textOutline>
              </w:rPr>
              <w:t>技术标准</w:t>
            </w:r>
          </w:p>
        </w:tc>
      </w:tr>
      <w:tr w14:paraId="060A2A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668" w:type="dxa"/>
            <w:tcBorders>
              <w:left w:val="nil"/>
            </w:tcBorders>
          </w:tcPr>
          <w:p w14:paraId="0A90F349">
            <w:pPr>
              <w:spacing w:before="64" w:line="228" w:lineRule="auto"/>
              <w:ind w:left="1027"/>
              <w:rPr>
                <w:rFonts w:ascii="宋体" w:hAnsi="宋体" w:eastAsia="宋体" w:cs="宋体"/>
                <w:sz w:val="20"/>
                <w:szCs w:val="20"/>
              </w:rPr>
            </w:pPr>
            <w:r>
              <w:rPr>
                <w:rFonts w:ascii="宋体" w:hAnsi="宋体" w:eastAsia="宋体" w:cs="宋体"/>
                <w:spacing w:val="7"/>
                <w:sz w:val="20"/>
                <w:szCs w:val="20"/>
              </w:rPr>
              <w:t>酸</w:t>
            </w:r>
            <w:r>
              <w:rPr>
                <w:rFonts w:ascii="宋体" w:hAnsi="宋体" w:eastAsia="宋体" w:cs="宋体"/>
                <w:spacing w:val="6"/>
                <w:sz w:val="20"/>
                <w:szCs w:val="20"/>
              </w:rPr>
              <w:t>碱度</w:t>
            </w:r>
          </w:p>
        </w:tc>
        <w:tc>
          <w:tcPr>
            <w:tcW w:w="2835" w:type="dxa"/>
          </w:tcPr>
          <w:p w14:paraId="75D1E273"/>
        </w:tc>
        <w:tc>
          <w:tcPr>
            <w:tcW w:w="3786" w:type="dxa"/>
            <w:tcBorders>
              <w:right w:val="nil"/>
            </w:tcBorders>
          </w:tcPr>
          <w:p w14:paraId="0FE9590E">
            <w:pPr>
              <w:spacing w:before="100" w:line="195" w:lineRule="auto"/>
              <w:ind w:left="160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5</w:t>
            </w:r>
            <w:r>
              <w:rPr>
                <w:rFonts w:ascii="Times New Roman" w:hAnsi="Times New Roman" w:eastAsia="Times New Roman" w:cs="Times New Roman"/>
                <w:spacing w:val="3"/>
                <w:sz w:val="20"/>
                <w:szCs w:val="20"/>
              </w:rPr>
              <w:t>.5-8.5</w:t>
            </w:r>
          </w:p>
        </w:tc>
      </w:tr>
      <w:tr w14:paraId="377F99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668" w:type="dxa"/>
            <w:tcBorders>
              <w:left w:val="nil"/>
            </w:tcBorders>
          </w:tcPr>
          <w:p w14:paraId="4F0F5377">
            <w:pPr>
              <w:spacing w:before="65" w:line="227" w:lineRule="auto"/>
              <w:ind w:left="1027"/>
              <w:rPr>
                <w:rFonts w:ascii="宋体" w:hAnsi="宋体" w:eastAsia="宋体" w:cs="宋体"/>
                <w:sz w:val="20"/>
                <w:szCs w:val="20"/>
              </w:rPr>
            </w:pPr>
            <w:r>
              <w:rPr>
                <w:rFonts w:ascii="宋体" w:hAnsi="宋体" w:eastAsia="宋体" w:cs="宋体"/>
                <w:spacing w:val="7"/>
                <w:sz w:val="20"/>
                <w:szCs w:val="20"/>
              </w:rPr>
              <w:t>有</w:t>
            </w:r>
            <w:r>
              <w:rPr>
                <w:rFonts w:ascii="宋体" w:hAnsi="宋体" w:eastAsia="宋体" w:cs="宋体"/>
                <w:spacing w:val="6"/>
                <w:sz w:val="20"/>
                <w:szCs w:val="20"/>
              </w:rPr>
              <w:t>机质</w:t>
            </w:r>
          </w:p>
        </w:tc>
        <w:tc>
          <w:tcPr>
            <w:tcW w:w="2835" w:type="dxa"/>
          </w:tcPr>
          <w:p w14:paraId="1A01D9D2"/>
        </w:tc>
        <w:tc>
          <w:tcPr>
            <w:tcW w:w="3786" w:type="dxa"/>
            <w:tcBorders>
              <w:right w:val="nil"/>
            </w:tcBorders>
          </w:tcPr>
          <w:p w14:paraId="540DFBBE">
            <w:pPr>
              <w:spacing w:before="28" w:line="281" w:lineRule="exact"/>
              <w:ind w:left="1642"/>
              <w:rPr>
                <w:rFonts w:ascii="Times New Roman" w:hAnsi="Times New Roman" w:eastAsia="Times New Roman" w:cs="Times New Roman"/>
                <w:sz w:val="20"/>
                <w:szCs w:val="20"/>
              </w:rPr>
            </w:pPr>
            <w:r>
              <w:rPr>
                <w:rFonts w:ascii="Times New Roman" w:hAnsi="Times New Roman" w:eastAsia="Times New Roman" w:cs="Times New Roman"/>
                <w:spacing w:val="6"/>
                <w:position w:val="2"/>
                <w:sz w:val="20"/>
                <w:szCs w:val="20"/>
              </w:rPr>
              <w:t>≥</w:t>
            </w:r>
            <w:r>
              <w:rPr>
                <w:rFonts w:ascii="Times New Roman" w:hAnsi="Times New Roman" w:eastAsia="Times New Roman" w:cs="Times New Roman"/>
                <w:spacing w:val="5"/>
                <w:position w:val="2"/>
                <w:sz w:val="20"/>
                <w:szCs w:val="20"/>
              </w:rPr>
              <w:t>45%</w:t>
            </w:r>
          </w:p>
        </w:tc>
      </w:tr>
      <w:tr w14:paraId="4D5717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668" w:type="dxa"/>
            <w:tcBorders>
              <w:left w:val="nil"/>
            </w:tcBorders>
          </w:tcPr>
          <w:p w14:paraId="35322417">
            <w:pPr>
              <w:spacing w:before="67" w:line="227" w:lineRule="auto"/>
              <w:ind w:left="1137"/>
              <w:rPr>
                <w:rFonts w:ascii="宋体" w:hAnsi="宋体" w:eastAsia="宋体" w:cs="宋体"/>
                <w:sz w:val="20"/>
                <w:szCs w:val="20"/>
              </w:rPr>
            </w:pPr>
            <w:r>
              <w:rPr>
                <w:rFonts w:ascii="宋体" w:hAnsi="宋体" w:eastAsia="宋体" w:cs="宋体"/>
                <w:spacing w:val="2"/>
                <w:sz w:val="20"/>
                <w:szCs w:val="20"/>
              </w:rPr>
              <w:t>总氮</w:t>
            </w:r>
          </w:p>
        </w:tc>
        <w:tc>
          <w:tcPr>
            <w:tcW w:w="2835" w:type="dxa"/>
          </w:tcPr>
          <w:p w14:paraId="5F9F61D7"/>
        </w:tc>
        <w:tc>
          <w:tcPr>
            <w:tcW w:w="3786" w:type="dxa"/>
            <w:vMerge w:val="restart"/>
            <w:tcBorders>
              <w:bottom w:val="nil"/>
              <w:right w:val="nil"/>
            </w:tcBorders>
          </w:tcPr>
          <w:p w14:paraId="00796CFF">
            <w:pPr>
              <w:spacing w:before="242" w:line="269" w:lineRule="auto"/>
              <w:ind w:left="1479" w:right="148" w:hanging="1332"/>
              <w:rPr>
                <w:rFonts w:ascii="宋体" w:hAnsi="宋体" w:eastAsia="宋体" w:cs="宋体"/>
                <w:sz w:val="20"/>
                <w:szCs w:val="20"/>
              </w:rPr>
            </w:pPr>
            <w:r>
              <w:rPr>
                <w:rFonts w:ascii="Times New Roman" w:hAnsi="Times New Roman" w:eastAsia="Times New Roman" w:cs="Times New Roman"/>
                <w:spacing w:val="14"/>
                <w:sz w:val="20"/>
                <w:szCs w:val="20"/>
              </w:rPr>
              <w:t>≥</w:t>
            </w:r>
            <w:r>
              <w:rPr>
                <w:rFonts w:ascii="Times New Roman" w:hAnsi="Times New Roman" w:eastAsia="Times New Roman" w:cs="Times New Roman"/>
                <w:spacing w:val="13"/>
                <w:sz w:val="20"/>
                <w:szCs w:val="20"/>
              </w:rPr>
              <w:t>5</w:t>
            </w:r>
            <w:r>
              <w:rPr>
                <w:rFonts w:ascii="Times New Roman" w:hAnsi="Times New Roman" w:eastAsia="Times New Roman" w:cs="Times New Roman"/>
                <w:spacing w:val="7"/>
                <w:sz w:val="20"/>
                <w:szCs w:val="20"/>
              </w:rPr>
              <w:t xml:space="preserve">.0%  </w:t>
            </w:r>
            <w:r>
              <w:rPr>
                <w:rFonts w:ascii="宋体" w:hAnsi="宋体" w:eastAsia="宋体" w:cs="宋体"/>
                <w:spacing w:val="7"/>
                <w:sz w:val="20"/>
                <w:szCs w:val="20"/>
              </w:rPr>
              <w:t>(以总氮、五氧化二磷、氧化钾</w:t>
            </w:r>
            <w:r>
              <w:rPr>
                <w:rFonts w:ascii="宋体" w:hAnsi="宋体" w:eastAsia="宋体" w:cs="宋体"/>
                <w:sz w:val="20"/>
                <w:szCs w:val="20"/>
              </w:rPr>
              <w:t xml:space="preserve"> </w:t>
            </w:r>
            <w:r>
              <w:rPr>
                <w:rFonts w:ascii="宋体" w:hAnsi="宋体" w:eastAsia="宋体" w:cs="宋体"/>
                <w:spacing w:val="7"/>
                <w:sz w:val="20"/>
                <w:szCs w:val="20"/>
              </w:rPr>
              <w:t>之</w:t>
            </w:r>
            <w:r>
              <w:rPr>
                <w:rFonts w:ascii="宋体" w:hAnsi="宋体" w:eastAsia="宋体" w:cs="宋体"/>
                <w:spacing w:val="4"/>
                <w:sz w:val="20"/>
                <w:szCs w:val="20"/>
              </w:rPr>
              <w:t>和计)</w:t>
            </w:r>
          </w:p>
        </w:tc>
      </w:tr>
      <w:tr w14:paraId="4E63D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668" w:type="dxa"/>
            <w:tcBorders>
              <w:left w:val="nil"/>
            </w:tcBorders>
          </w:tcPr>
          <w:p w14:paraId="2136110A">
            <w:pPr>
              <w:spacing w:before="66" w:line="227" w:lineRule="auto"/>
              <w:ind w:left="120"/>
              <w:rPr>
                <w:rFonts w:ascii="宋体" w:hAnsi="宋体" w:eastAsia="宋体" w:cs="宋体"/>
                <w:sz w:val="20"/>
                <w:szCs w:val="20"/>
              </w:rPr>
            </w:pPr>
            <w:r>
              <w:rPr>
                <w:rFonts w:ascii="宋体" w:hAnsi="宋体" w:eastAsia="宋体" w:cs="宋体"/>
                <w:spacing w:val="13"/>
                <w:sz w:val="20"/>
                <w:szCs w:val="20"/>
              </w:rPr>
              <w:t>五</w:t>
            </w:r>
            <w:r>
              <w:rPr>
                <w:rFonts w:ascii="宋体" w:hAnsi="宋体" w:eastAsia="宋体" w:cs="宋体"/>
                <w:spacing w:val="7"/>
                <w:sz w:val="20"/>
                <w:szCs w:val="20"/>
              </w:rPr>
              <w:t>氧化二磷 (以烘干基计)</w:t>
            </w:r>
          </w:p>
        </w:tc>
        <w:tc>
          <w:tcPr>
            <w:tcW w:w="2835" w:type="dxa"/>
          </w:tcPr>
          <w:p w14:paraId="3238831A"/>
        </w:tc>
        <w:tc>
          <w:tcPr>
            <w:tcW w:w="3786" w:type="dxa"/>
            <w:vMerge w:val="continue"/>
            <w:tcBorders>
              <w:top w:val="nil"/>
              <w:bottom w:val="nil"/>
              <w:right w:val="nil"/>
            </w:tcBorders>
          </w:tcPr>
          <w:p w14:paraId="3D0A4773"/>
        </w:tc>
      </w:tr>
      <w:tr w14:paraId="26D1B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668" w:type="dxa"/>
            <w:tcBorders>
              <w:left w:val="nil"/>
            </w:tcBorders>
          </w:tcPr>
          <w:p w14:paraId="67A74AD6">
            <w:pPr>
              <w:spacing w:before="67" w:line="227" w:lineRule="auto"/>
              <w:ind w:left="292"/>
              <w:rPr>
                <w:rFonts w:ascii="宋体" w:hAnsi="宋体" w:eastAsia="宋体" w:cs="宋体"/>
                <w:sz w:val="20"/>
                <w:szCs w:val="20"/>
              </w:rPr>
            </w:pPr>
            <w:r>
              <w:rPr>
                <w:rFonts w:ascii="宋体" w:hAnsi="宋体" w:eastAsia="宋体" w:cs="宋体"/>
                <w:spacing w:val="9"/>
                <w:sz w:val="20"/>
                <w:szCs w:val="20"/>
              </w:rPr>
              <w:t>氧</w:t>
            </w:r>
            <w:r>
              <w:rPr>
                <w:rFonts w:ascii="宋体" w:hAnsi="宋体" w:eastAsia="宋体" w:cs="宋体"/>
                <w:spacing w:val="7"/>
                <w:sz w:val="20"/>
                <w:szCs w:val="20"/>
              </w:rPr>
              <w:t>化钾 (以烘干基计)</w:t>
            </w:r>
          </w:p>
        </w:tc>
        <w:tc>
          <w:tcPr>
            <w:tcW w:w="2835" w:type="dxa"/>
          </w:tcPr>
          <w:p w14:paraId="17EEEAE2"/>
        </w:tc>
        <w:tc>
          <w:tcPr>
            <w:tcW w:w="3786" w:type="dxa"/>
            <w:vMerge w:val="continue"/>
            <w:tcBorders>
              <w:top w:val="nil"/>
              <w:right w:val="nil"/>
            </w:tcBorders>
          </w:tcPr>
          <w:p w14:paraId="43B58C3C"/>
        </w:tc>
      </w:tr>
      <w:tr w14:paraId="1048A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668" w:type="dxa"/>
            <w:tcBorders>
              <w:left w:val="nil"/>
            </w:tcBorders>
          </w:tcPr>
          <w:p w14:paraId="55D126CA">
            <w:pPr>
              <w:spacing w:before="68" w:line="228" w:lineRule="auto"/>
              <w:ind w:left="1137"/>
              <w:rPr>
                <w:rFonts w:ascii="宋体" w:hAnsi="宋体" w:eastAsia="宋体" w:cs="宋体"/>
                <w:sz w:val="20"/>
                <w:szCs w:val="20"/>
              </w:rPr>
            </w:pPr>
            <w:r>
              <w:rPr>
                <w:rFonts w:ascii="宋体" w:hAnsi="宋体" w:eastAsia="宋体" w:cs="宋体"/>
                <w:spacing w:val="2"/>
                <w:sz w:val="20"/>
                <w:szCs w:val="20"/>
              </w:rPr>
              <w:t>总砷</w:t>
            </w:r>
          </w:p>
        </w:tc>
        <w:tc>
          <w:tcPr>
            <w:tcW w:w="2835" w:type="dxa"/>
          </w:tcPr>
          <w:p w14:paraId="53CA099E"/>
        </w:tc>
        <w:tc>
          <w:tcPr>
            <w:tcW w:w="3786" w:type="dxa"/>
            <w:tcBorders>
              <w:right w:val="nil"/>
            </w:tcBorders>
          </w:tcPr>
          <w:p w14:paraId="08DFE45E">
            <w:pPr>
              <w:spacing w:before="32" w:line="281" w:lineRule="exact"/>
              <w:ind w:left="1462"/>
              <w:rPr>
                <w:rFonts w:ascii="Times New Roman" w:hAnsi="Times New Roman" w:eastAsia="Times New Roman" w:cs="Times New Roman"/>
                <w:sz w:val="20"/>
                <w:szCs w:val="20"/>
              </w:rPr>
            </w:pPr>
            <w:r>
              <w:rPr>
                <w:rFonts w:ascii="Times New Roman" w:hAnsi="Times New Roman" w:eastAsia="Times New Roman" w:cs="Times New Roman"/>
                <w:spacing w:val="-2"/>
                <w:position w:val="4"/>
                <w:sz w:val="20"/>
                <w:szCs w:val="20"/>
              </w:rPr>
              <w:t>≤ 15</w:t>
            </w:r>
            <w:r>
              <w:rPr>
                <w:rFonts w:ascii="Times New Roman" w:hAnsi="Times New Roman" w:eastAsia="Times New Roman" w:cs="Times New Roman"/>
                <w:spacing w:val="-1"/>
                <w:position w:val="4"/>
                <w:sz w:val="20"/>
                <w:szCs w:val="20"/>
              </w:rPr>
              <w:t>mg/kg</w:t>
            </w:r>
          </w:p>
        </w:tc>
      </w:tr>
      <w:tr w14:paraId="4D9EFD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668" w:type="dxa"/>
            <w:tcBorders>
              <w:left w:val="nil"/>
            </w:tcBorders>
          </w:tcPr>
          <w:p w14:paraId="4E692290">
            <w:pPr>
              <w:spacing w:before="68" w:line="228" w:lineRule="auto"/>
              <w:ind w:left="1137"/>
              <w:rPr>
                <w:rFonts w:ascii="宋体" w:hAnsi="宋体" w:eastAsia="宋体" w:cs="宋体"/>
                <w:sz w:val="20"/>
                <w:szCs w:val="20"/>
              </w:rPr>
            </w:pPr>
            <w:r>
              <w:rPr>
                <w:rFonts w:ascii="宋体" w:hAnsi="宋体" w:eastAsia="宋体" w:cs="宋体"/>
                <w:spacing w:val="2"/>
                <w:sz w:val="20"/>
                <w:szCs w:val="20"/>
              </w:rPr>
              <w:t>总汞</w:t>
            </w:r>
          </w:p>
        </w:tc>
        <w:tc>
          <w:tcPr>
            <w:tcW w:w="2835" w:type="dxa"/>
          </w:tcPr>
          <w:p w14:paraId="325FC215"/>
        </w:tc>
        <w:tc>
          <w:tcPr>
            <w:tcW w:w="3786" w:type="dxa"/>
            <w:tcBorders>
              <w:right w:val="nil"/>
            </w:tcBorders>
          </w:tcPr>
          <w:p w14:paraId="1EA57C51">
            <w:pPr>
              <w:spacing w:before="30" w:line="281" w:lineRule="exact"/>
              <w:ind w:left="1515"/>
              <w:rPr>
                <w:rFonts w:ascii="Times New Roman" w:hAnsi="Times New Roman" w:eastAsia="Times New Roman" w:cs="Times New Roman"/>
                <w:sz w:val="20"/>
                <w:szCs w:val="20"/>
              </w:rPr>
            </w:pPr>
            <w:r>
              <w:rPr>
                <w:rFonts w:ascii="Times New Roman" w:hAnsi="Times New Roman" w:eastAsia="Times New Roman" w:cs="Times New Roman"/>
                <w:spacing w:val="11"/>
                <w:position w:val="4"/>
                <w:sz w:val="20"/>
                <w:szCs w:val="20"/>
              </w:rPr>
              <w:t>≤</w:t>
            </w:r>
            <w:r>
              <w:rPr>
                <w:rFonts w:ascii="Times New Roman" w:hAnsi="Times New Roman" w:eastAsia="Times New Roman" w:cs="Times New Roman"/>
                <w:spacing w:val="10"/>
                <w:position w:val="4"/>
                <w:sz w:val="20"/>
                <w:szCs w:val="20"/>
              </w:rPr>
              <w:t>2</w:t>
            </w:r>
            <w:r>
              <w:rPr>
                <w:rFonts w:ascii="Times New Roman" w:hAnsi="Times New Roman" w:eastAsia="Times New Roman" w:cs="Times New Roman"/>
                <w:position w:val="4"/>
                <w:sz w:val="20"/>
                <w:szCs w:val="20"/>
              </w:rPr>
              <w:t>mg</w:t>
            </w:r>
            <w:r>
              <w:rPr>
                <w:rFonts w:ascii="Times New Roman" w:hAnsi="Times New Roman" w:eastAsia="Times New Roman" w:cs="Times New Roman"/>
                <w:spacing w:val="10"/>
                <w:position w:val="4"/>
                <w:sz w:val="20"/>
                <w:szCs w:val="20"/>
              </w:rPr>
              <w:t>/</w:t>
            </w:r>
            <w:r>
              <w:rPr>
                <w:rFonts w:ascii="Times New Roman" w:hAnsi="Times New Roman" w:eastAsia="Times New Roman" w:cs="Times New Roman"/>
                <w:position w:val="4"/>
                <w:sz w:val="20"/>
                <w:szCs w:val="20"/>
              </w:rPr>
              <w:t>kg</w:t>
            </w:r>
          </w:p>
        </w:tc>
      </w:tr>
      <w:tr w14:paraId="087F7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668" w:type="dxa"/>
            <w:tcBorders>
              <w:left w:val="nil"/>
            </w:tcBorders>
          </w:tcPr>
          <w:p w14:paraId="676A3BF0">
            <w:pPr>
              <w:spacing w:before="68" w:line="232" w:lineRule="auto"/>
              <w:ind w:left="1137"/>
              <w:rPr>
                <w:rFonts w:ascii="宋体" w:hAnsi="宋体" w:eastAsia="宋体" w:cs="宋体"/>
                <w:sz w:val="20"/>
                <w:szCs w:val="20"/>
              </w:rPr>
            </w:pPr>
            <w:r>
              <w:rPr>
                <w:rFonts w:ascii="宋体" w:hAnsi="宋体" w:eastAsia="宋体" w:cs="宋体"/>
                <w:spacing w:val="2"/>
                <w:sz w:val="20"/>
                <w:szCs w:val="20"/>
              </w:rPr>
              <w:t>总铅</w:t>
            </w:r>
          </w:p>
        </w:tc>
        <w:tc>
          <w:tcPr>
            <w:tcW w:w="2835" w:type="dxa"/>
          </w:tcPr>
          <w:p w14:paraId="718A42A5"/>
        </w:tc>
        <w:tc>
          <w:tcPr>
            <w:tcW w:w="3786" w:type="dxa"/>
            <w:tcBorders>
              <w:right w:val="nil"/>
            </w:tcBorders>
          </w:tcPr>
          <w:p w14:paraId="602BB9B0">
            <w:pPr>
              <w:spacing w:before="31" w:line="281" w:lineRule="exact"/>
              <w:ind w:left="1462"/>
              <w:rPr>
                <w:rFonts w:ascii="Times New Roman" w:hAnsi="Times New Roman" w:eastAsia="Times New Roman" w:cs="Times New Roman"/>
                <w:sz w:val="20"/>
                <w:szCs w:val="20"/>
              </w:rPr>
            </w:pPr>
            <w:r>
              <w:rPr>
                <w:rFonts w:ascii="Times New Roman" w:hAnsi="Times New Roman" w:eastAsia="Times New Roman" w:cs="Times New Roman"/>
                <w:spacing w:val="10"/>
                <w:position w:val="3"/>
                <w:sz w:val="20"/>
                <w:szCs w:val="20"/>
              </w:rPr>
              <w:t>≤</w:t>
            </w:r>
            <w:r>
              <w:rPr>
                <w:rFonts w:ascii="Times New Roman" w:hAnsi="Times New Roman" w:eastAsia="Times New Roman" w:cs="Times New Roman"/>
                <w:spacing w:val="9"/>
                <w:position w:val="3"/>
                <w:sz w:val="20"/>
                <w:szCs w:val="20"/>
              </w:rPr>
              <w:t>50</w:t>
            </w:r>
            <w:r>
              <w:rPr>
                <w:rFonts w:ascii="Times New Roman" w:hAnsi="Times New Roman" w:eastAsia="Times New Roman" w:cs="Times New Roman"/>
                <w:position w:val="3"/>
                <w:sz w:val="20"/>
                <w:szCs w:val="20"/>
              </w:rPr>
              <w:t>mg</w:t>
            </w:r>
            <w:r>
              <w:rPr>
                <w:rFonts w:ascii="Times New Roman" w:hAnsi="Times New Roman" w:eastAsia="Times New Roman" w:cs="Times New Roman"/>
                <w:spacing w:val="9"/>
                <w:position w:val="3"/>
                <w:sz w:val="20"/>
                <w:szCs w:val="20"/>
              </w:rPr>
              <w:t>/</w:t>
            </w:r>
            <w:r>
              <w:rPr>
                <w:rFonts w:ascii="Times New Roman" w:hAnsi="Times New Roman" w:eastAsia="Times New Roman" w:cs="Times New Roman"/>
                <w:position w:val="3"/>
                <w:sz w:val="20"/>
                <w:szCs w:val="20"/>
              </w:rPr>
              <w:t>kg</w:t>
            </w:r>
          </w:p>
        </w:tc>
      </w:tr>
      <w:tr w14:paraId="487315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668" w:type="dxa"/>
            <w:tcBorders>
              <w:left w:val="nil"/>
            </w:tcBorders>
          </w:tcPr>
          <w:p w14:paraId="1D1CCAB5">
            <w:pPr>
              <w:spacing w:before="68" w:line="231" w:lineRule="auto"/>
              <w:ind w:left="1137"/>
              <w:rPr>
                <w:rFonts w:ascii="宋体" w:hAnsi="宋体" w:eastAsia="宋体" w:cs="宋体"/>
                <w:sz w:val="20"/>
                <w:szCs w:val="20"/>
              </w:rPr>
            </w:pPr>
            <w:r>
              <w:rPr>
                <w:rFonts w:ascii="宋体" w:hAnsi="宋体" w:eastAsia="宋体" w:cs="宋体"/>
                <w:spacing w:val="2"/>
                <w:sz w:val="20"/>
                <w:szCs w:val="20"/>
              </w:rPr>
              <w:t>总镉</w:t>
            </w:r>
          </w:p>
        </w:tc>
        <w:tc>
          <w:tcPr>
            <w:tcW w:w="2835" w:type="dxa"/>
          </w:tcPr>
          <w:p w14:paraId="74994137"/>
        </w:tc>
        <w:tc>
          <w:tcPr>
            <w:tcW w:w="3786" w:type="dxa"/>
            <w:tcBorders>
              <w:right w:val="nil"/>
            </w:tcBorders>
          </w:tcPr>
          <w:p w14:paraId="3667D56A">
            <w:pPr>
              <w:spacing w:before="31" w:line="281" w:lineRule="exact"/>
              <w:ind w:left="1515"/>
              <w:rPr>
                <w:rFonts w:ascii="Times New Roman" w:hAnsi="Times New Roman" w:eastAsia="Times New Roman" w:cs="Times New Roman"/>
                <w:sz w:val="20"/>
                <w:szCs w:val="20"/>
              </w:rPr>
            </w:pPr>
            <w:r>
              <w:rPr>
                <w:rFonts w:ascii="Times New Roman" w:hAnsi="Times New Roman" w:eastAsia="Times New Roman" w:cs="Times New Roman"/>
                <w:spacing w:val="11"/>
                <w:position w:val="4"/>
                <w:sz w:val="20"/>
                <w:szCs w:val="20"/>
              </w:rPr>
              <w:t>≤</w:t>
            </w:r>
            <w:r>
              <w:rPr>
                <w:rFonts w:ascii="Times New Roman" w:hAnsi="Times New Roman" w:eastAsia="Times New Roman" w:cs="Times New Roman"/>
                <w:spacing w:val="10"/>
                <w:position w:val="4"/>
                <w:sz w:val="20"/>
                <w:szCs w:val="20"/>
              </w:rPr>
              <w:t>3</w:t>
            </w:r>
            <w:r>
              <w:rPr>
                <w:rFonts w:ascii="Times New Roman" w:hAnsi="Times New Roman" w:eastAsia="Times New Roman" w:cs="Times New Roman"/>
                <w:position w:val="4"/>
                <w:sz w:val="20"/>
                <w:szCs w:val="20"/>
              </w:rPr>
              <w:t>mg</w:t>
            </w:r>
            <w:r>
              <w:rPr>
                <w:rFonts w:ascii="Times New Roman" w:hAnsi="Times New Roman" w:eastAsia="Times New Roman" w:cs="Times New Roman"/>
                <w:spacing w:val="10"/>
                <w:position w:val="4"/>
                <w:sz w:val="20"/>
                <w:szCs w:val="20"/>
              </w:rPr>
              <w:t>/</w:t>
            </w:r>
            <w:r>
              <w:rPr>
                <w:rFonts w:ascii="Times New Roman" w:hAnsi="Times New Roman" w:eastAsia="Times New Roman" w:cs="Times New Roman"/>
                <w:position w:val="4"/>
                <w:sz w:val="20"/>
                <w:szCs w:val="20"/>
              </w:rPr>
              <w:t>kg</w:t>
            </w:r>
          </w:p>
        </w:tc>
      </w:tr>
      <w:tr w14:paraId="2FEA09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2668" w:type="dxa"/>
            <w:tcBorders>
              <w:left w:val="nil"/>
            </w:tcBorders>
          </w:tcPr>
          <w:p w14:paraId="021A3DF1">
            <w:pPr>
              <w:spacing w:before="67" w:line="230" w:lineRule="auto"/>
              <w:ind w:left="1137"/>
              <w:rPr>
                <w:rFonts w:ascii="宋体" w:hAnsi="宋体" w:eastAsia="宋体" w:cs="宋体"/>
                <w:sz w:val="20"/>
                <w:szCs w:val="20"/>
              </w:rPr>
            </w:pPr>
            <w:r>
              <w:rPr>
                <w:rFonts w:ascii="宋体" w:hAnsi="宋体" w:eastAsia="宋体" w:cs="宋体"/>
                <w:spacing w:val="2"/>
                <w:sz w:val="20"/>
                <w:szCs w:val="20"/>
              </w:rPr>
              <w:t>总铬</w:t>
            </w:r>
          </w:p>
        </w:tc>
        <w:tc>
          <w:tcPr>
            <w:tcW w:w="2835" w:type="dxa"/>
          </w:tcPr>
          <w:p w14:paraId="43C6EFB0"/>
        </w:tc>
        <w:tc>
          <w:tcPr>
            <w:tcW w:w="3786" w:type="dxa"/>
            <w:tcBorders>
              <w:right w:val="nil"/>
            </w:tcBorders>
          </w:tcPr>
          <w:p w14:paraId="41E60210">
            <w:pPr>
              <w:spacing w:before="32" w:line="281" w:lineRule="exact"/>
              <w:ind w:left="1409"/>
              <w:rPr>
                <w:rFonts w:ascii="Times New Roman" w:hAnsi="Times New Roman" w:eastAsia="Times New Roman" w:cs="Times New Roman"/>
                <w:sz w:val="20"/>
                <w:szCs w:val="20"/>
              </w:rPr>
            </w:pPr>
            <w:r>
              <w:rPr>
                <w:rFonts w:ascii="Times New Roman" w:hAnsi="Times New Roman" w:eastAsia="Times New Roman" w:cs="Times New Roman"/>
                <w:spacing w:val="-1"/>
                <w:position w:val="4"/>
                <w:sz w:val="20"/>
                <w:szCs w:val="20"/>
              </w:rPr>
              <w:t>≤ 150mg/</w:t>
            </w:r>
            <w:r>
              <w:rPr>
                <w:rFonts w:ascii="Times New Roman" w:hAnsi="Times New Roman" w:eastAsia="Times New Roman" w:cs="Times New Roman"/>
                <w:position w:val="4"/>
                <w:sz w:val="20"/>
                <w:szCs w:val="20"/>
              </w:rPr>
              <w:t>kg</w:t>
            </w:r>
          </w:p>
        </w:tc>
      </w:tr>
    </w:tbl>
    <w:p w14:paraId="4079D20D">
      <w:pPr>
        <w:spacing w:before="37" w:line="379" w:lineRule="auto"/>
        <w:ind w:left="122" w:right="103" w:firstLine="482"/>
        <w:rPr>
          <w:rFonts w:ascii="宋体" w:hAnsi="宋体" w:eastAsia="宋体" w:cs="宋体"/>
          <w:sz w:val="23"/>
          <w:szCs w:val="23"/>
        </w:rPr>
      </w:pPr>
      <w:r>
        <w:rPr>
          <w:rFonts w:ascii="宋体" w:hAnsi="宋体" w:eastAsia="宋体" w:cs="宋体"/>
          <w:spacing w:val="14"/>
          <w:sz w:val="23"/>
          <w:szCs w:val="23"/>
        </w:rPr>
        <w:t>异位微</w:t>
      </w:r>
      <w:r>
        <w:rPr>
          <w:rFonts w:ascii="宋体" w:hAnsi="宋体" w:eastAsia="宋体" w:cs="宋体"/>
          <w:spacing w:val="7"/>
          <w:sz w:val="23"/>
          <w:szCs w:val="23"/>
        </w:rPr>
        <w:t xml:space="preserve">生物发酵床已成功运用于四川巨星集团集贤猪场 (存栏 </w:t>
      </w:r>
      <w:r>
        <w:rPr>
          <w:rFonts w:ascii="Times New Roman" w:hAnsi="Times New Roman" w:eastAsia="Times New Roman" w:cs="Times New Roman"/>
          <w:spacing w:val="7"/>
          <w:sz w:val="23"/>
          <w:szCs w:val="23"/>
        </w:rPr>
        <w:t xml:space="preserve">5000 </w:t>
      </w:r>
      <w:r>
        <w:rPr>
          <w:rFonts w:ascii="宋体" w:hAnsi="宋体" w:eastAsia="宋体" w:cs="宋体"/>
          <w:spacing w:val="7"/>
          <w:sz w:val="23"/>
          <w:szCs w:val="23"/>
        </w:rPr>
        <w:t>头) 、泸州万物生</w:t>
      </w:r>
      <w:r>
        <w:rPr>
          <w:rFonts w:ascii="宋体" w:hAnsi="宋体" w:eastAsia="宋体" w:cs="宋体"/>
          <w:sz w:val="23"/>
          <w:szCs w:val="23"/>
        </w:rPr>
        <w:t xml:space="preserve"> </w:t>
      </w:r>
      <w:r>
        <w:rPr>
          <w:rFonts w:ascii="宋体" w:hAnsi="宋体" w:eastAsia="宋体" w:cs="宋体"/>
          <w:spacing w:val="6"/>
          <w:sz w:val="23"/>
          <w:szCs w:val="23"/>
        </w:rPr>
        <w:t>态农业有限公司 (</w:t>
      </w:r>
      <w:r>
        <w:rPr>
          <w:rFonts w:ascii="Times New Roman" w:hAnsi="Times New Roman" w:eastAsia="Times New Roman" w:cs="Times New Roman"/>
          <w:spacing w:val="6"/>
          <w:sz w:val="23"/>
          <w:szCs w:val="23"/>
        </w:rPr>
        <w:t xml:space="preserve">500 </w:t>
      </w:r>
      <w:r>
        <w:rPr>
          <w:rFonts w:ascii="宋体" w:hAnsi="宋体" w:eastAsia="宋体" w:cs="宋体"/>
          <w:spacing w:val="6"/>
          <w:sz w:val="23"/>
          <w:szCs w:val="23"/>
        </w:rPr>
        <w:t>头母猪场) 、武胜天兆畜牧有限公司 (</w:t>
      </w:r>
      <w:r>
        <w:rPr>
          <w:rFonts w:ascii="Times New Roman" w:hAnsi="Times New Roman" w:eastAsia="Times New Roman" w:cs="Times New Roman"/>
          <w:spacing w:val="6"/>
          <w:sz w:val="23"/>
          <w:szCs w:val="23"/>
        </w:rPr>
        <w:t xml:space="preserve">4400 </w:t>
      </w:r>
      <w:r>
        <w:rPr>
          <w:rFonts w:ascii="宋体" w:hAnsi="宋体" w:eastAsia="宋体" w:cs="宋体"/>
          <w:spacing w:val="6"/>
          <w:sz w:val="23"/>
          <w:szCs w:val="23"/>
        </w:rPr>
        <w:t>头母猪) ，绵阳新希望</w:t>
      </w:r>
      <w:r>
        <w:rPr>
          <w:rFonts w:ascii="宋体" w:hAnsi="宋体" w:eastAsia="宋体" w:cs="宋体"/>
          <w:spacing w:val="1"/>
          <w:sz w:val="23"/>
          <w:szCs w:val="23"/>
        </w:rPr>
        <w:t>畜</w:t>
      </w:r>
      <w:r>
        <w:rPr>
          <w:rFonts w:ascii="宋体" w:hAnsi="宋体" w:eastAsia="宋体" w:cs="宋体"/>
          <w:sz w:val="23"/>
          <w:szCs w:val="23"/>
        </w:rPr>
        <w:t xml:space="preserve"> </w:t>
      </w:r>
      <w:r>
        <w:rPr>
          <w:rFonts w:ascii="宋体" w:hAnsi="宋体" w:eastAsia="宋体" w:cs="宋体"/>
          <w:spacing w:val="16"/>
          <w:sz w:val="23"/>
          <w:szCs w:val="23"/>
        </w:rPr>
        <w:t>牧</w:t>
      </w:r>
      <w:r>
        <w:rPr>
          <w:rFonts w:ascii="宋体" w:hAnsi="宋体" w:eastAsia="宋体" w:cs="宋体"/>
          <w:spacing w:val="8"/>
          <w:sz w:val="23"/>
          <w:szCs w:val="23"/>
        </w:rPr>
        <w:t>养殖有限公司 (</w:t>
      </w:r>
      <w:r>
        <w:rPr>
          <w:rFonts w:ascii="Times New Roman" w:hAnsi="Times New Roman" w:eastAsia="Times New Roman" w:cs="Times New Roman"/>
          <w:spacing w:val="8"/>
          <w:sz w:val="23"/>
          <w:szCs w:val="23"/>
        </w:rPr>
        <w:t xml:space="preserve">3000 </w:t>
      </w:r>
      <w:r>
        <w:rPr>
          <w:rFonts w:ascii="宋体" w:hAnsi="宋体" w:eastAsia="宋体" w:cs="宋体"/>
          <w:spacing w:val="8"/>
          <w:sz w:val="23"/>
          <w:szCs w:val="23"/>
        </w:rPr>
        <w:t>头种猪) 铁骑力士集团古井猪场 (</w:t>
      </w:r>
      <w:r>
        <w:rPr>
          <w:rFonts w:ascii="Times New Roman" w:hAnsi="Times New Roman" w:eastAsia="Times New Roman" w:cs="Times New Roman"/>
          <w:spacing w:val="8"/>
          <w:sz w:val="23"/>
          <w:szCs w:val="23"/>
        </w:rPr>
        <w:t xml:space="preserve">3000 </w:t>
      </w:r>
      <w:r>
        <w:rPr>
          <w:rFonts w:ascii="宋体" w:hAnsi="宋体" w:eastAsia="宋体" w:cs="宋体"/>
          <w:spacing w:val="8"/>
          <w:sz w:val="23"/>
          <w:szCs w:val="23"/>
        </w:rPr>
        <w:t>头育肥猪) 、大竹玖种猪场</w:t>
      </w:r>
      <w:r>
        <w:rPr>
          <w:rFonts w:ascii="宋体" w:hAnsi="宋体" w:eastAsia="宋体" w:cs="宋体"/>
          <w:sz w:val="23"/>
          <w:szCs w:val="23"/>
        </w:rPr>
        <w:t xml:space="preserve"> </w:t>
      </w:r>
      <w:r>
        <w:rPr>
          <w:rFonts w:ascii="宋体" w:hAnsi="宋体" w:eastAsia="宋体" w:cs="宋体"/>
          <w:spacing w:val="8"/>
          <w:sz w:val="23"/>
          <w:szCs w:val="23"/>
        </w:rPr>
        <w:t>等</w:t>
      </w:r>
      <w:r>
        <w:rPr>
          <w:rFonts w:ascii="宋体" w:hAnsi="宋体" w:eastAsia="宋体" w:cs="宋体"/>
          <w:spacing w:val="7"/>
          <w:sz w:val="23"/>
          <w:szCs w:val="23"/>
        </w:rPr>
        <w:t>多个养殖场。</w:t>
      </w:r>
    </w:p>
    <w:p w14:paraId="1C7C22ED">
      <w:pPr>
        <w:sectPr>
          <w:headerReference r:id="rId108" w:type="default"/>
          <w:footerReference r:id="rId109" w:type="default"/>
          <w:pgSz w:w="11907" w:h="16840"/>
          <w:pgMar w:top="829" w:right="1027" w:bottom="1139" w:left="1163" w:header="595" w:footer="953" w:gutter="0"/>
          <w:cols w:space="720" w:num="1"/>
        </w:sectPr>
      </w:pPr>
    </w:p>
    <w:p w14:paraId="6154AEA5">
      <w:pPr>
        <w:spacing w:before="146" w:line="227" w:lineRule="auto"/>
        <w:ind w:left="112"/>
        <w:outlineLvl w:val="2"/>
        <w:rPr>
          <w:rFonts w:ascii="宋体" w:hAnsi="宋体" w:eastAsia="宋体" w:cs="宋体"/>
          <w:sz w:val="23"/>
          <w:szCs w:val="23"/>
        </w:rPr>
      </w:pPr>
      <w:r>
        <w:rPr>
          <w:rFonts w:ascii="Times New Roman" w:hAnsi="Times New Roman" w:eastAsia="Times New Roman" w:cs="Times New Roman"/>
          <w:b/>
          <w:bCs/>
          <w:spacing w:val="9"/>
          <w:sz w:val="23"/>
          <w:szCs w:val="23"/>
        </w:rPr>
        <w:t>3</w:t>
      </w:r>
      <w:r>
        <w:rPr>
          <w:rFonts w:ascii="Times New Roman" w:hAnsi="Times New Roman" w:eastAsia="Times New Roman" w:cs="Times New Roman"/>
          <w:b/>
          <w:bCs/>
          <w:spacing w:val="6"/>
          <w:sz w:val="23"/>
          <w:szCs w:val="23"/>
        </w:rPr>
        <w:t>.3.5</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项目水平衡</w:t>
      </w:r>
    </w:p>
    <w:p w14:paraId="08BCD3E6">
      <w:pPr>
        <w:spacing w:before="182" w:line="227" w:lineRule="auto"/>
        <w:ind w:left="609"/>
        <w:rPr>
          <w:rFonts w:ascii="宋体" w:hAnsi="宋体" w:eastAsia="宋体" w:cs="宋体"/>
          <w:sz w:val="23"/>
          <w:szCs w:val="23"/>
        </w:rPr>
      </w:pP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9"/>
          <w:sz w:val="23"/>
          <w:szCs w:val="23"/>
        </w:rPr>
        <w:t>1</w:t>
      </w: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宋体" w:hAnsi="宋体" w:eastAsia="宋体" w:cs="宋体"/>
          <w:spacing w:val="19"/>
          <w:sz w:val="23"/>
          <w:szCs w:val="23"/>
        </w:rPr>
        <w:t xml:space="preserve"> </w:t>
      </w:r>
      <w:r>
        <w:rPr>
          <w:rFonts w:ascii="宋体" w:hAnsi="宋体" w:eastAsia="宋体" w:cs="宋体"/>
          <w:spacing w:val="19"/>
          <w:sz w:val="23"/>
          <w:szCs w:val="23"/>
          <w14:textOutline w14:w="4356" w14:cap="sq" w14:cmpd="sng" w14:algn="ctr">
            <w14:solidFill>
              <w14:srgbClr w14:val="000000"/>
            </w14:solidFill>
            <w14:prstDash w14:val="solid"/>
            <w14:bevel/>
          </w14:textOutline>
        </w:rPr>
        <w:t>用水量核定</w:t>
      </w:r>
    </w:p>
    <w:p w14:paraId="4F19DDDE">
      <w:pPr>
        <w:tabs>
          <w:tab w:val="left" w:pos="243"/>
        </w:tabs>
        <w:spacing w:before="184" w:line="375" w:lineRule="auto"/>
        <w:ind w:left="118" w:right="99" w:firstLine="483"/>
        <w:rPr>
          <w:rFonts w:ascii="宋体" w:hAnsi="宋体" w:eastAsia="宋体" w:cs="宋体"/>
          <w:sz w:val="23"/>
          <w:szCs w:val="23"/>
        </w:rPr>
      </w:pPr>
      <w:r>
        <w:rPr>
          <w:rFonts w:ascii="宋体" w:hAnsi="宋体" w:eastAsia="宋体" w:cs="宋体"/>
          <w:spacing w:val="12"/>
          <w:sz w:val="23"/>
          <w:szCs w:val="23"/>
        </w:rPr>
        <w:t>项目</w:t>
      </w:r>
      <w:r>
        <w:rPr>
          <w:rFonts w:ascii="宋体" w:hAnsi="宋体" w:eastAsia="宋体" w:cs="宋体"/>
          <w:spacing w:val="11"/>
          <w:sz w:val="23"/>
          <w:szCs w:val="23"/>
        </w:rPr>
        <w:t>生</w:t>
      </w:r>
      <w:r>
        <w:rPr>
          <w:rFonts w:ascii="宋体" w:hAnsi="宋体" w:eastAsia="宋体" w:cs="宋体"/>
          <w:spacing w:val="6"/>
          <w:sz w:val="23"/>
          <w:szCs w:val="23"/>
        </w:rPr>
        <w:t xml:space="preserve">产、生活用水均采用地下水，项目用水取自项目场区外东侧约 </w:t>
      </w:r>
      <w:r>
        <w:rPr>
          <w:rFonts w:ascii="Times New Roman" w:hAnsi="Times New Roman" w:eastAsia="Times New Roman" w:cs="Times New Roman"/>
          <w:spacing w:val="6"/>
          <w:sz w:val="23"/>
          <w:szCs w:val="23"/>
        </w:rPr>
        <w:t>300</w:t>
      </w:r>
      <w:r>
        <w:rPr>
          <w:rFonts w:ascii="Times New Roman" w:hAnsi="Times New Roman" w:eastAsia="Times New Roman" w:cs="Times New Roman"/>
          <w:sz w:val="23"/>
          <w:szCs w:val="23"/>
        </w:rPr>
        <w:t>m</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处的深水井</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8"/>
          <w:sz w:val="23"/>
          <w:szCs w:val="23"/>
        </w:rPr>
        <w:t>(</w:t>
      </w:r>
      <w:r>
        <w:rPr>
          <w:rFonts w:ascii="Times New Roman" w:hAnsi="Times New Roman" w:eastAsia="Times New Roman" w:cs="Times New Roman"/>
          <w:spacing w:val="8"/>
          <w:sz w:val="23"/>
          <w:szCs w:val="23"/>
        </w:rPr>
        <w:t xml:space="preserve">1 </w:t>
      </w:r>
      <w:r>
        <w:rPr>
          <w:rFonts w:ascii="宋体" w:hAnsi="宋体" w:eastAsia="宋体" w:cs="宋体"/>
          <w:spacing w:val="8"/>
          <w:sz w:val="23"/>
          <w:szCs w:val="23"/>
        </w:rPr>
        <w:t xml:space="preserve">口、直径 </w:t>
      </w:r>
      <w:r>
        <w:rPr>
          <w:rFonts w:ascii="Times New Roman" w:hAnsi="Times New Roman" w:eastAsia="Times New Roman" w:cs="Times New Roman"/>
          <w:spacing w:val="4"/>
          <w:sz w:val="23"/>
          <w:szCs w:val="23"/>
        </w:rPr>
        <w:t>80</w:t>
      </w:r>
      <w:r>
        <w:rPr>
          <w:rFonts w:ascii="Times New Roman" w:hAnsi="Times New Roman" w:eastAsia="Times New Roman" w:cs="Times New Roman"/>
          <w:sz w:val="23"/>
          <w:szCs w:val="23"/>
        </w:rPr>
        <w:t>cm</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 xml:space="preserve">、深 </w:t>
      </w:r>
      <w:r>
        <w:rPr>
          <w:rFonts w:ascii="Times New Roman" w:hAnsi="Times New Roman" w:eastAsia="Times New Roman" w:cs="Times New Roman"/>
          <w:spacing w:val="4"/>
          <w:sz w:val="23"/>
          <w:szCs w:val="23"/>
        </w:rPr>
        <w:t>90</w:t>
      </w:r>
      <w:r>
        <w:rPr>
          <w:rFonts w:ascii="Times New Roman" w:hAnsi="Times New Roman" w:eastAsia="Times New Roman" w:cs="Times New Roman"/>
          <w:sz w:val="23"/>
          <w:szCs w:val="23"/>
        </w:rPr>
        <w:t>m</w:t>
      </w:r>
      <w:r>
        <w:rPr>
          <w:rFonts w:ascii="宋体" w:hAnsi="宋体" w:eastAsia="宋体" w:cs="宋体"/>
          <w:spacing w:val="4"/>
          <w:sz w:val="23"/>
          <w:szCs w:val="23"/>
        </w:rPr>
        <w:t xml:space="preserve">) ，通过水泵抽至场区内东南侧 </w:t>
      </w:r>
      <w:r>
        <w:rPr>
          <w:rFonts w:ascii="Times New Roman" w:hAnsi="Times New Roman" w:eastAsia="Times New Roman" w:cs="Times New Roman"/>
          <w:spacing w:val="4"/>
          <w:sz w:val="23"/>
          <w:szCs w:val="23"/>
        </w:rPr>
        <w:t>300</w:t>
      </w:r>
      <w:r>
        <w:rPr>
          <w:rFonts w:ascii="Times New Roman" w:hAnsi="Times New Roman" w:eastAsia="Times New Roman" w:cs="Times New Roman"/>
          <w:sz w:val="23"/>
          <w:szCs w:val="23"/>
        </w:rPr>
        <w:t>m</w:t>
      </w:r>
      <w:r>
        <w:rPr>
          <w:rFonts w:ascii="Times New Roman" w:hAnsi="Times New Roman" w:eastAsia="Times New Roman" w:cs="Times New Roman"/>
          <w:spacing w:val="4"/>
          <w:position w:val="7"/>
          <w:sz w:val="15"/>
          <w:szCs w:val="15"/>
        </w:rPr>
        <w:t xml:space="preserve">3 </w:t>
      </w:r>
      <w:r>
        <w:rPr>
          <w:rFonts w:ascii="宋体" w:hAnsi="宋体" w:eastAsia="宋体" w:cs="宋体"/>
          <w:spacing w:val="4"/>
          <w:sz w:val="23"/>
          <w:szCs w:val="23"/>
        </w:rPr>
        <w:t>蓄水池备用，其水质、</w:t>
      </w:r>
      <w:r>
        <w:rPr>
          <w:rFonts w:ascii="宋体" w:hAnsi="宋体" w:eastAsia="宋体" w:cs="宋体"/>
          <w:sz w:val="23"/>
          <w:szCs w:val="23"/>
        </w:rPr>
        <w:t xml:space="preserve"> </w:t>
      </w:r>
      <w:r>
        <w:rPr>
          <w:rFonts w:ascii="宋体" w:hAnsi="宋体" w:eastAsia="宋体" w:cs="宋体"/>
          <w:spacing w:val="14"/>
          <w:sz w:val="23"/>
          <w:szCs w:val="23"/>
        </w:rPr>
        <w:t>水</w:t>
      </w:r>
      <w:r>
        <w:rPr>
          <w:rFonts w:ascii="宋体" w:hAnsi="宋体" w:eastAsia="宋体" w:cs="宋体"/>
          <w:spacing w:val="7"/>
          <w:sz w:val="23"/>
          <w:szCs w:val="23"/>
        </w:rPr>
        <w:t>量及水压均能满足项目生产、生活用水的要求。场区供水管线采用生产、生活公用的管线</w:t>
      </w:r>
      <w:r>
        <w:rPr>
          <w:rFonts w:ascii="宋体" w:hAnsi="宋体" w:eastAsia="宋体" w:cs="宋体"/>
          <w:sz w:val="23"/>
          <w:szCs w:val="23"/>
        </w:rPr>
        <w:t xml:space="preserve"> </w:t>
      </w:r>
      <w:r>
        <w:rPr>
          <w:rFonts w:ascii="宋体" w:hAnsi="宋体" w:eastAsia="宋体" w:cs="宋体"/>
          <w:spacing w:val="8"/>
          <w:sz w:val="23"/>
          <w:szCs w:val="23"/>
        </w:rPr>
        <w:t>系统，给水管网在</w:t>
      </w:r>
      <w:r>
        <w:rPr>
          <w:rFonts w:ascii="宋体" w:hAnsi="宋体" w:eastAsia="宋体" w:cs="宋体"/>
          <w:spacing w:val="5"/>
          <w:sz w:val="23"/>
          <w:szCs w:val="23"/>
        </w:rPr>
        <w:t>场</w:t>
      </w:r>
      <w:r>
        <w:rPr>
          <w:rFonts w:ascii="宋体" w:hAnsi="宋体" w:eastAsia="宋体" w:cs="宋体"/>
          <w:spacing w:val="4"/>
          <w:sz w:val="23"/>
          <w:szCs w:val="23"/>
        </w:rPr>
        <w:t xml:space="preserve">内呈环状布置。项目总用水量为 </w:t>
      </w:r>
      <w:r>
        <w:rPr>
          <w:rFonts w:ascii="Times New Roman" w:hAnsi="Times New Roman" w:eastAsia="Times New Roman" w:cs="Times New Roman"/>
          <w:spacing w:val="4"/>
          <w:sz w:val="23"/>
          <w:szCs w:val="23"/>
        </w:rPr>
        <w:t>63393.93</w:t>
      </w:r>
      <w:r>
        <w:rPr>
          <w:rFonts w:ascii="Times New Roman" w:hAnsi="Times New Roman" w:eastAsia="Times New Roman" w:cs="Times New Roman"/>
          <w:sz w:val="23"/>
          <w:szCs w:val="23"/>
        </w:rPr>
        <w:t>m</w:t>
      </w:r>
      <w:r>
        <w:rPr>
          <w:rFonts w:ascii="Times New Roman" w:hAnsi="Times New Roman" w:eastAsia="Times New Roman" w:cs="Times New Roman"/>
          <w:spacing w:val="4"/>
          <w:position w:val="8"/>
          <w:sz w:val="15"/>
          <w:szCs w:val="15"/>
        </w:rPr>
        <w:t>3</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，其中生产用水包括猪只</w:t>
      </w:r>
      <w:r>
        <w:rPr>
          <w:rFonts w:ascii="宋体" w:hAnsi="宋体" w:eastAsia="宋体" w:cs="宋体"/>
          <w:sz w:val="23"/>
          <w:szCs w:val="23"/>
        </w:rPr>
        <w:t xml:space="preserve"> </w:t>
      </w:r>
      <w:r>
        <w:rPr>
          <w:rFonts w:ascii="宋体" w:hAnsi="宋体" w:eastAsia="宋体" w:cs="宋体"/>
          <w:spacing w:val="18"/>
          <w:sz w:val="23"/>
          <w:szCs w:val="23"/>
        </w:rPr>
        <w:t>饮</w:t>
      </w:r>
      <w:r>
        <w:rPr>
          <w:rFonts w:ascii="宋体" w:hAnsi="宋体" w:eastAsia="宋体" w:cs="宋体"/>
          <w:spacing w:val="13"/>
          <w:sz w:val="23"/>
          <w:szCs w:val="23"/>
        </w:rPr>
        <w:t>用</w:t>
      </w:r>
      <w:r>
        <w:rPr>
          <w:rFonts w:ascii="宋体" w:hAnsi="宋体" w:eastAsia="宋体" w:cs="宋体"/>
          <w:spacing w:val="9"/>
          <w:sz w:val="23"/>
          <w:szCs w:val="23"/>
        </w:rPr>
        <w:t>水、猪舍冲洗水、消毒用水等，生活用水为员工日常办公、生活用水。</w:t>
      </w:r>
    </w:p>
    <w:p w14:paraId="2E617A25">
      <w:pPr>
        <w:spacing w:line="225" w:lineRule="auto"/>
        <w:ind w:left="597"/>
        <w:rPr>
          <w:rFonts w:ascii="宋体" w:hAnsi="宋体" w:eastAsia="宋体" w:cs="宋体"/>
          <w:sz w:val="23"/>
          <w:szCs w:val="23"/>
        </w:rPr>
      </w:pPr>
      <w:r>
        <w:rPr>
          <w:rFonts w:ascii="宋体" w:hAnsi="宋体" w:eastAsia="宋体" w:cs="宋体"/>
          <w:spacing w:val="11"/>
          <w:sz w:val="23"/>
          <w:szCs w:val="23"/>
          <w14:textOutline w14:w="4356" w14:cap="sq" w14:cmpd="sng" w14:algn="ctr">
            <w14:solidFill>
              <w14:srgbClr w14:val="000000"/>
            </w14:solidFill>
            <w14:prstDash w14:val="solid"/>
            <w14:bevel/>
          </w14:textOutline>
        </w:rPr>
        <w:t>①</w:t>
      </w:r>
      <w:r>
        <w:rPr>
          <w:rFonts w:ascii="宋体" w:hAnsi="宋体" w:eastAsia="宋体" w:cs="宋体"/>
          <w:spacing w:val="9"/>
          <w:sz w:val="23"/>
          <w:szCs w:val="23"/>
          <w14:textOutline w14:w="4356" w14:cap="sq" w14:cmpd="sng" w14:algn="ctr">
            <w14:solidFill>
              <w14:srgbClr w14:val="000000"/>
            </w14:solidFill>
            <w14:prstDash w14:val="solid"/>
            <w14:bevel/>
          </w14:textOutline>
        </w:rPr>
        <w:t>猪只饮水量</w:t>
      </w:r>
    </w:p>
    <w:p w14:paraId="6C97B7E1">
      <w:pPr>
        <w:spacing w:before="185" w:line="382" w:lineRule="auto"/>
        <w:ind w:left="118" w:right="103" w:firstLine="483"/>
        <w:rPr>
          <w:rFonts w:ascii="宋体" w:hAnsi="宋体" w:eastAsia="宋体" w:cs="宋体"/>
          <w:sz w:val="23"/>
          <w:szCs w:val="23"/>
        </w:rPr>
      </w:pPr>
      <w:r>
        <w:rPr>
          <w:rFonts w:ascii="宋体" w:hAnsi="宋体" w:eastAsia="宋体" w:cs="宋体"/>
          <w:spacing w:val="15"/>
          <w:sz w:val="23"/>
          <w:szCs w:val="23"/>
        </w:rPr>
        <w:t>项</w:t>
      </w:r>
      <w:r>
        <w:rPr>
          <w:rFonts w:ascii="宋体" w:hAnsi="宋体" w:eastAsia="宋体" w:cs="宋体"/>
          <w:spacing w:val="8"/>
          <w:sz w:val="23"/>
          <w:szCs w:val="23"/>
        </w:rPr>
        <w:t>目猪只饮水量参考《生猪健康养殖技术规程 (</w:t>
      </w:r>
      <w:r>
        <w:rPr>
          <w:rFonts w:ascii="Times New Roman" w:hAnsi="Times New Roman" w:eastAsia="Times New Roman" w:cs="Times New Roman"/>
          <w:sz w:val="23"/>
          <w:szCs w:val="23"/>
        </w:rPr>
        <w:t>DB</w:t>
      </w:r>
      <w:r>
        <w:rPr>
          <w:rFonts w:ascii="Times New Roman" w:hAnsi="Times New Roman" w:eastAsia="Times New Roman" w:cs="Times New Roman"/>
          <w:spacing w:val="8"/>
          <w:sz w:val="23"/>
          <w:szCs w:val="23"/>
        </w:rPr>
        <w:t>34</w:t>
      </w:r>
      <w:r>
        <w:rPr>
          <w:rFonts w:ascii="Times New Roman" w:hAnsi="Times New Roman" w:eastAsia="Times New Roman" w:cs="Times New Roman"/>
          <w:sz w:val="23"/>
          <w:szCs w:val="23"/>
        </w:rPr>
        <w:t>T</w:t>
      </w:r>
      <w:r>
        <w:rPr>
          <w:rFonts w:ascii="Times New Roman" w:hAnsi="Times New Roman" w:eastAsia="Times New Roman" w:cs="Times New Roman"/>
          <w:spacing w:val="8"/>
          <w:sz w:val="23"/>
          <w:szCs w:val="23"/>
        </w:rPr>
        <w:t xml:space="preserve"> 1133-2010</w:t>
      </w:r>
      <w:r>
        <w:rPr>
          <w:rFonts w:ascii="宋体" w:hAnsi="宋体" w:eastAsia="宋体" w:cs="宋体"/>
          <w:spacing w:val="8"/>
          <w:sz w:val="23"/>
          <w:szCs w:val="23"/>
        </w:rPr>
        <w:t>) 》，项目猪只饮水</w:t>
      </w:r>
      <w:r>
        <w:rPr>
          <w:rFonts w:ascii="宋体" w:hAnsi="宋体" w:eastAsia="宋体" w:cs="宋体"/>
          <w:sz w:val="23"/>
          <w:szCs w:val="23"/>
        </w:rPr>
        <w:t xml:space="preserve"> </w:t>
      </w:r>
      <w:r>
        <w:rPr>
          <w:rFonts w:ascii="宋体" w:hAnsi="宋体" w:eastAsia="宋体" w:cs="宋体"/>
          <w:spacing w:val="1"/>
          <w:sz w:val="23"/>
          <w:szCs w:val="23"/>
        </w:rPr>
        <w:t>量情况见表</w:t>
      </w:r>
      <w:r>
        <w:rPr>
          <w:rFonts w:ascii="宋体" w:hAnsi="宋体" w:eastAsia="宋体" w:cs="宋体"/>
          <w:sz w:val="23"/>
          <w:szCs w:val="23"/>
        </w:rPr>
        <w:t xml:space="preserve"> </w:t>
      </w:r>
      <w:r>
        <w:rPr>
          <w:rFonts w:ascii="Times New Roman" w:hAnsi="Times New Roman" w:eastAsia="Times New Roman" w:cs="Times New Roman"/>
          <w:sz w:val="23"/>
          <w:szCs w:val="23"/>
        </w:rPr>
        <w:t>3.3-2</w:t>
      </w:r>
      <w:r>
        <w:rPr>
          <w:rFonts w:ascii="宋体" w:hAnsi="宋体" w:eastAsia="宋体" w:cs="宋体"/>
          <w:sz w:val="23"/>
          <w:szCs w:val="23"/>
        </w:rPr>
        <w:t>。</w:t>
      </w:r>
    </w:p>
    <w:p w14:paraId="137615CC">
      <w:pPr>
        <w:spacing w:before="101" w:line="222" w:lineRule="auto"/>
        <w:ind w:left="3210"/>
        <w:rPr>
          <w:rFonts w:ascii="黑体" w:hAnsi="黑体" w:eastAsia="黑体" w:cs="黑体"/>
          <w:sz w:val="23"/>
          <w:szCs w:val="23"/>
        </w:rPr>
      </w:pPr>
      <w:r>
        <w:rPr>
          <w:rFonts w:ascii="黑体" w:hAnsi="黑体" w:eastAsia="黑体" w:cs="黑体"/>
          <w:spacing w:val="6"/>
          <w:sz w:val="23"/>
          <w:szCs w:val="23"/>
        </w:rPr>
        <w:t>表</w:t>
      </w:r>
      <w:r>
        <w:rPr>
          <w:rFonts w:ascii="黑体" w:hAnsi="黑体" w:eastAsia="黑体" w:cs="黑体"/>
          <w:spacing w:val="4"/>
          <w:sz w:val="23"/>
          <w:szCs w:val="23"/>
        </w:rPr>
        <w:t xml:space="preserve"> </w:t>
      </w:r>
      <w:r>
        <w:rPr>
          <w:rFonts w:ascii="Times New Roman" w:hAnsi="Times New Roman" w:eastAsia="Times New Roman" w:cs="Times New Roman"/>
          <w:spacing w:val="4"/>
          <w:sz w:val="23"/>
          <w:szCs w:val="23"/>
        </w:rPr>
        <w:t xml:space="preserve">3.3-2  </w:t>
      </w:r>
      <w:r>
        <w:rPr>
          <w:rFonts w:ascii="黑体" w:hAnsi="黑体" w:eastAsia="黑体" w:cs="黑体"/>
          <w:spacing w:val="4"/>
          <w:sz w:val="23"/>
          <w:szCs w:val="23"/>
        </w:rPr>
        <w:t>项目猪只饮水量情况一览表</w:t>
      </w:r>
    </w:p>
    <w:tbl>
      <w:tblPr>
        <w:tblStyle w:val="4"/>
        <w:tblW w:w="9237" w:type="dxa"/>
        <w:tblInd w:w="23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726"/>
        <w:gridCol w:w="1371"/>
        <w:gridCol w:w="1390"/>
        <w:gridCol w:w="1256"/>
        <w:gridCol w:w="1466"/>
        <w:gridCol w:w="1457"/>
      </w:tblGrid>
      <w:tr w14:paraId="2237B3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71" w:type="dxa"/>
            <w:vMerge w:val="restart"/>
            <w:tcBorders>
              <w:left w:val="nil"/>
              <w:bottom w:val="nil"/>
            </w:tcBorders>
            <w:textDirection w:val="tbRlV"/>
          </w:tcPr>
          <w:p w14:paraId="342EEBAE">
            <w:pPr>
              <w:spacing w:before="252" w:line="218" w:lineRule="auto"/>
              <w:ind w:left="237"/>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序</w:t>
            </w:r>
            <w:r>
              <w:rPr>
                <w:rFonts w:ascii="宋体" w:hAnsi="宋体" w:eastAsia="宋体" w:cs="宋体"/>
                <w:spacing w:val="-6"/>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号</w:t>
            </w:r>
          </w:p>
        </w:tc>
        <w:tc>
          <w:tcPr>
            <w:tcW w:w="1726" w:type="dxa"/>
            <w:vMerge w:val="restart"/>
            <w:tcBorders>
              <w:bottom w:val="nil"/>
            </w:tcBorders>
          </w:tcPr>
          <w:p w14:paraId="07145160">
            <w:pPr>
              <w:spacing w:line="304" w:lineRule="auto"/>
            </w:pPr>
          </w:p>
          <w:p w14:paraId="31827737">
            <w:pPr>
              <w:spacing w:before="65" w:line="228" w:lineRule="auto"/>
              <w:ind w:left="659"/>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生猪种类</w:t>
            </w:r>
          </w:p>
        </w:tc>
        <w:tc>
          <w:tcPr>
            <w:tcW w:w="1371" w:type="dxa"/>
            <w:vMerge w:val="restart"/>
            <w:tcBorders>
              <w:bottom w:val="nil"/>
            </w:tcBorders>
          </w:tcPr>
          <w:p w14:paraId="75243A51">
            <w:pPr>
              <w:spacing w:line="304" w:lineRule="auto"/>
            </w:pPr>
          </w:p>
          <w:p w14:paraId="09DE1E41">
            <w:pPr>
              <w:spacing w:before="65" w:line="228" w:lineRule="auto"/>
              <w:ind w:left="111"/>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存栏数</w:t>
            </w:r>
            <w:r>
              <w:rPr>
                <w:rFonts w:ascii="宋体" w:hAnsi="宋体" w:eastAsia="宋体" w:cs="宋体"/>
                <w:spacing w:val="6"/>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(头</w:t>
            </w:r>
            <w:r>
              <w:rPr>
                <w:rFonts w:ascii="宋体" w:hAnsi="宋体" w:eastAsia="宋体" w:cs="宋体"/>
                <w:spacing w:val="5"/>
                <w:sz w:val="20"/>
                <w:szCs w:val="20"/>
                <w14:textOutline w14:w="3797" w14:cap="sq" w14:cmpd="sng" w14:algn="ctr">
                  <w14:solidFill>
                    <w14:srgbClr w14:val="000000"/>
                  </w14:solidFill>
                  <w14:prstDash w14:val="solid"/>
                  <w14:bevel/>
                </w14:textOutline>
              </w:rPr>
              <w:t>)</w:t>
            </w:r>
          </w:p>
        </w:tc>
        <w:tc>
          <w:tcPr>
            <w:tcW w:w="4112" w:type="dxa"/>
            <w:gridSpan w:val="3"/>
          </w:tcPr>
          <w:p w14:paraId="293B5B96">
            <w:pPr>
              <w:spacing w:before="95" w:line="228" w:lineRule="auto"/>
              <w:ind w:left="1957"/>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饮</w:t>
            </w:r>
            <w:r>
              <w:rPr>
                <w:rFonts w:ascii="宋体" w:hAnsi="宋体" w:eastAsia="宋体" w:cs="宋体"/>
                <w:spacing w:val="7"/>
                <w:sz w:val="20"/>
                <w:szCs w:val="20"/>
                <w14:textOutline w14:w="3797" w14:cap="sq" w14:cmpd="sng" w14:algn="ctr">
                  <w14:solidFill>
                    <w14:srgbClr w14:val="000000"/>
                  </w14:solidFill>
                  <w14:prstDash w14:val="solid"/>
                  <w14:bevel/>
                </w14:textOutline>
              </w:rPr>
              <w:t>水量</w:t>
            </w:r>
          </w:p>
        </w:tc>
        <w:tc>
          <w:tcPr>
            <w:tcW w:w="1457" w:type="dxa"/>
            <w:vMerge w:val="restart"/>
            <w:tcBorders>
              <w:bottom w:val="nil"/>
              <w:right w:val="nil"/>
            </w:tcBorders>
          </w:tcPr>
          <w:p w14:paraId="65355744">
            <w:pPr>
              <w:spacing w:line="269" w:lineRule="auto"/>
            </w:pPr>
          </w:p>
          <w:p w14:paraId="4A61BA5F">
            <w:pPr>
              <w:spacing w:before="65" w:line="281" w:lineRule="exact"/>
              <w:ind w:left="116"/>
              <w:rPr>
                <w:rFonts w:ascii="宋体" w:hAnsi="宋体" w:eastAsia="宋体" w:cs="宋体"/>
                <w:sz w:val="20"/>
                <w:szCs w:val="20"/>
              </w:rPr>
            </w:pPr>
            <w:r>
              <w:rPr>
                <w:rFonts w:ascii="宋体" w:hAnsi="宋体" w:eastAsia="宋体" w:cs="宋体"/>
                <w:spacing w:val="-7"/>
                <w:position w:val="2"/>
                <w:sz w:val="20"/>
                <w:szCs w:val="20"/>
                <w14:textOutline w14:w="3797" w14:cap="sq" w14:cmpd="sng" w14:algn="ctr">
                  <w14:solidFill>
                    <w14:srgbClr w14:val="000000"/>
                  </w14:solidFill>
                  <w14:prstDash w14:val="solid"/>
                  <w14:bevel/>
                </w14:textOutline>
              </w:rPr>
              <w:t>合计</w:t>
            </w:r>
            <w:r>
              <w:rPr>
                <w:rFonts w:ascii="宋体" w:hAnsi="宋体" w:eastAsia="宋体" w:cs="宋体"/>
                <w:spacing w:val="-7"/>
                <w:position w:val="2"/>
                <w:sz w:val="20"/>
                <w:szCs w:val="20"/>
              </w:rPr>
              <w:t xml:space="preserve"> </w:t>
            </w:r>
            <w:r>
              <w:rPr>
                <w:rFonts w:ascii="宋体" w:hAnsi="宋体" w:eastAsia="宋体" w:cs="宋体"/>
                <w:spacing w:val="-7"/>
                <w:position w:val="2"/>
                <w:sz w:val="20"/>
                <w:szCs w:val="20"/>
                <w14:textOutline w14:w="3797" w14:cap="sq" w14:cmpd="sng" w14:algn="ctr">
                  <w14:solidFill>
                    <w14:srgbClr w14:val="000000"/>
                  </w14:solidFill>
                  <w14:prstDash w14:val="solid"/>
                  <w14:bevel/>
                </w14:textOutline>
              </w:rPr>
              <w:t>(</w:t>
            </w:r>
            <w:r>
              <w:rPr>
                <w:rFonts w:ascii="宋体" w:hAnsi="宋体" w:eastAsia="宋体" w:cs="宋体"/>
                <w:spacing w:val="-7"/>
                <w:position w:val="2"/>
                <w:sz w:val="20"/>
                <w:szCs w:val="20"/>
              </w:rPr>
              <w:t xml:space="preserve"> </w:t>
            </w:r>
            <w:r>
              <w:rPr>
                <w:rFonts w:ascii="Calibri" w:hAnsi="Calibri" w:eastAsia="Calibri" w:cs="Calibri"/>
                <w:b/>
                <w:bCs/>
                <w:spacing w:val="-7"/>
                <w:position w:val="2"/>
                <w:sz w:val="20"/>
                <w:szCs w:val="20"/>
              </w:rPr>
              <w:t>m</w:t>
            </w:r>
            <w:r>
              <w:rPr>
                <w:rFonts w:ascii="Calibri" w:hAnsi="Calibri" w:eastAsia="Calibri" w:cs="Calibri"/>
                <w:b/>
                <w:bCs/>
                <w:spacing w:val="-7"/>
                <w:position w:val="8"/>
                <w:sz w:val="13"/>
                <w:szCs w:val="13"/>
              </w:rPr>
              <w:t>3</w:t>
            </w:r>
            <w:r>
              <w:rPr>
                <w:rFonts w:ascii="Calibri" w:hAnsi="Calibri" w:eastAsia="Calibri" w:cs="Calibri"/>
                <w:b/>
                <w:bCs/>
                <w:spacing w:val="-7"/>
                <w:position w:val="2"/>
                <w:sz w:val="20"/>
                <w:szCs w:val="20"/>
              </w:rPr>
              <w:t>/a</w:t>
            </w:r>
            <w:r>
              <w:rPr>
                <w:rFonts w:ascii="Calibri" w:hAnsi="Calibri" w:eastAsia="Calibri" w:cs="Calibri"/>
                <w:spacing w:val="-7"/>
                <w:position w:val="2"/>
                <w:sz w:val="20"/>
                <w:szCs w:val="20"/>
              </w:rPr>
              <w:t xml:space="preserve"> </w:t>
            </w:r>
            <w:r>
              <w:rPr>
                <w:rFonts w:ascii="宋体" w:hAnsi="宋体" w:eastAsia="宋体" w:cs="宋体"/>
                <w:spacing w:val="-7"/>
                <w:position w:val="2"/>
                <w:sz w:val="20"/>
                <w:szCs w:val="20"/>
                <w14:textOutline w14:w="3797" w14:cap="sq" w14:cmpd="sng" w14:algn="ctr">
                  <w14:solidFill>
                    <w14:srgbClr w14:val="000000"/>
                  </w14:solidFill>
                  <w14:prstDash w14:val="solid"/>
                  <w14:bevel/>
                </w14:textOutline>
              </w:rPr>
              <w:t>)</w:t>
            </w:r>
          </w:p>
        </w:tc>
      </w:tr>
      <w:tr w14:paraId="481DC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571" w:type="dxa"/>
            <w:vMerge w:val="continue"/>
            <w:tcBorders>
              <w:top w:val="nil"/>
              <w:left w:val="nil"/>
            </w:tcBorders>
            <w:textDirection w:val="tbRlV"/>
          </w:tcPr>
          <w:p w14:paraId="4DE3239D"/>
        </w:tc>
        <w:tc>
          <w:tcPr>
            <w:tcW w:w="1726" w:type="dxa"/>
            <w:vMerge w:val="continue"/>
            <w:tcBorders>
              <w:top w:val="nil"/>
            </w:tcBorders>
          </w:tcPr>
          <w:p w14:paraId="1DDA27B0"/>
        </w:tc>
        <w:tc>
          <w:tcPr>
            <w:tcW w:w="1371" w:type="dxa"/>
            <w:vMerge w:val="continue"/>
            <w:tcBorders>
              <w:top w:val="nil"/>
            </w:tcBorders>
          </w:tcPr>
          <w:p w14:paraId="553142C2"/>
        </w:tc>
        <w:tc>
          <w:tcPr>
            <w:tcW w:w="1390" w:type="dxa"/>
          </w:tcPr>
          <w:p w14:paraId="5DDAF2AD">
            <w:pPr>
              <w:spacing w:before="32" w:line="238" w:lineRule="auto"/>
              <w:ind w:left="202" w:right="165" w:hanging="26"/>
              <w:rPr>
                <w:rFonts w:ascii="宋体" w:hAnsi="宋体" w:eastAsia="宋体" w:cs="宋体"/>
                <w:sz w:val="20"/>
                <w:szCs w:val="20"/>
              </w:rPr>
            </w:pPr>
            <w:r>
              <w:rPr>
                <w:rFonts w:ascii="宋体" w:hAnsi="宋体" w:eastAsia="宋体" w:cs="宋体"/>
                <w:spacing w:val="11"/>
                <w:sz w:val="20"/>
                <w:szCs w:val="20"/>
                <w14:textOutline w14:w="3759" w14:cap="sq" w14:cmpd="sng" w14:algn="ctr">
                  <w14:solidFill>
                    <w14:srgbClr w14:val="000000"/>
                  </w14:solidFill>
                  <w14:prstDash w14:val="solid"/>
                  <w14:bevel/>
                </w14:textOutline>
              </w:rPr>
              <w:t>饮</w:t>
            </w:r>
            <w:r>
              <w:rPr>
                <w:rFonts w:ascii="宋体" w:hAnsi="宋体" w:eastAsia="宋体" w:cs="宋体"/>
                <w:spacing w:val="8"/>
                <w:sz w:val="20"/>
                <w:szCs w:val="20"/>
                <w14:textOutline w14:w="3759" w14:cap="sq" w14:cmpd="sng" w14:algn="ctr">
                  <w14:solidFill>
                    <w14:srgbClr w14:val="000000"/>
                  </w14:solidFill>
                  <w14:prstDash w14:val="solid"/>
                  <w14:bevel/>
                </w14:textOutline>
              </w:rPr>
              <w:t>水量定额</w:t>
            </w:r>
            <w:r>
              <w:rPr>
                <w:rFonts w:ascii="宋体" w:hAnsi="宋体" w:eastAsia="宋体" w:cs="宋体"/>
                <w:sz w:val="20"/>
                <w:szCs w:val="20"/>
              </w:rPr>
              <w:t xml:space="preserve"> </w:t>
            </w:r>
            <w:r>
              <w:rPr>
                <w:rFonts w:ascii="宋体" w:hAnsi="宋体" w:eastAsia="宋体" w:cs="宋体"/>
                <w:spacing w:val="26"/>
                <w:sz w:val="20"/>
                <w:szCs w:val="20"/>
                <w14:textOutline w14:w="3759" w14:cap="sq" w14:cmpd="sng" w14:algn="ctr">
                  <w14:solidFill>
                    <w14:srgbClr w14:val="000000"/>
                  </w14:solidFill>
                  <w14:prstDash w14:val="solid"/>
                  <w14:bevel/>
                </w14:textOutline>
              </w:rPr>
              <w:t>(</w:t>
            </w:r>
            <w:r>
              <w:rPr>
                <w:rFonts w:ascii="Times New Roman" w:hAnsi="Times New Roman" w:eastAsia="Times New Roman" w:cs="Times New Roman"/>
                <w:b/>
                <w:bCs/>
                <w:sz w:val="20"/>
                <w:szCs w:val="20"/>
              </w:rPr>
              <w:t>L</w:t>
            </w:r>
            <w:r>
              <w:rPr>
                <w:rFonts w:ascii="Times New Roman" w:hAnsi="Times New Roman" w:eastAsia="Times New Roman" w:cs="Times New Roman"/>
                <w:b/>
                <w:bCs/>
                <w:spacing w:val="24"/>
                <w:sz w:val="20"/>
                <w:szCs w:val="20"/>
              </w:rPr>
              <w:t>/</w:t>
            </w:r>
            <w:r>
              <w:rPr>
                <w:rFonts w:ascii="宋体" w:hAnsi="宋体" w:eastAsia="宋体" w:cs="宋体"/>
                <w:spacing w:val="24"/>
                <w:sz w:val="20"/>
                <w:szCs w:val="20"/>
                <w14:textOutline w14:w="3759" w14:cap="sq" w14:cmpd="sng" w14:algn="ctr">
                  <w14:solidFill>
                    <w14:srgbClr w14:val="000000"/>
                  </w14:solidFill>
                  <w14:prstDash w14:val="solid"/>
                  <w14:bevel/>
                </w14:textOutline>
              </w:rPr>
              <w:t>头</w:t>
            </w:r>
            <w:r>
              <w:rPr>
                <w:rFonts w:ascii="Times New Roman" w:hAnsi="Times New Roman" w:eastAsia="Times New Roman" w:cs="Times New Roman"/>
                <w:b/>
                <w:bCs/>
                <w:spacing w:val="24"/>
                <w:sz w:val="20"/>
                <w:szCs w:val="20"/>
              </w:rPr>
              <w:t>·</w:t>
            </w:r>
            <w:r>
              <w:rPr>
                <w:rFonts w:ascii="Times New Roman" w:hAnsi="Times New Roman" w:eastAsia="Times New Roman" w:cs="Times New Roman"/>
                <w:b/>
                <w:bCs/>
                <w:sz w:val="20"/>
                <w:szCs w:val="20"/>
              </w:rPr>
              <w:t>d</w:t>
            </w:r>
            <w:r>
              <w:rPr>
                <w:rFonts w:ascii="宋体" w:hAnsi="宋体" w:eastAsia="宋体" w:cs="宋体"/>
                <w:spacing w:val="24"/>
                <w:sz w:val="20"/>
                <w:szCs w:val="20"/>
                <w14:textOutline w14:w="3759" w14:cap="sq" w14:cmpd="sng" w14:algn="ctr">
                  <w14:solidFill>
                    <w14:srgbClr w14:val="000000"/>
                  </w14:solidFill>
                  <w14:prstDash w14:val="solid"/>
                  <w14:bevel/>
                </w14:textOutline>
              </w:rPr>
              <w:t>)</w:t>
            </w:r>
          </w:p>
        </w:tc>
        <w:tc>
          <w:tcPr>
            <w:tcW w:w="1256" w:type="dxa"/>
          </w:tcPr>
          <w:p w14:paraId="339CCDC3">
            <w:pPr>
              <w:spacing w:before="32" w:line="238" w:lineRule="auto"/>
              <w:ind w:left="224" w:right="201" w:firstLine="25"/>
              <w:rPr>
                <w:rFonts w:ascii="宋体" w:hAnsi="宋体" w:eastAsia="宋体" w:cs="宋体"/>
                <w:sz w:val="20"/>
                <w:szCs w:val="20"/>
              </w:rPr>
            </w:pPr>
            <w:r>
              <w:rPr>
                <w:rFonts w:ascii="宋体" w:hAnsi="宋体" w:eastAsia="宋体" w:cs="宋体"/>
                <w:spacing w:val="-1"/>
                <w:sz w:val="20"/>
                <w:szCs w:val="20"/>
                <w14:textOutline w14:w="3759" w14:cap="sq" w14:cmpd="sng" w14:algn="ctr">
                  <w14:solidFill>
                    <w14:srgbClr w14:val="000000"/>
                  </w14:solidFill>
                  <w14:prstDash w14:val="solid"/>
                  <w14:bevel/>
                </w14:textOutline>
              </w:rPr>
              <w:t>日饮</w:t>
            </w:r>
            <w:r>
              <w:rPr>
                <w:rFonts w:ascii="宋体" w:hAnsi="宋体" w:eastAsia="宋体" w:cs="宋体"/>
                <w:sz w:val="20"/>
                <w:szCs w:val="20"/>
                <w14:textOutline w14:w="3759" w14:cap="sq" w14:cmpd="sng" w14:algn="ctr">
                  <w14:solidFill>
                    <w14:srgbClr w14:val="000000"/>
                  </w14:solidFill>
                  <w14:prstDash w14:val="solid"/>
                  <w14:bevel/>
                </w14:textOutline>
              </w:rPr>
              <w:t>水量</w:t>
            </w:r>
            <w:r>
              <w:rPr>
                <w:rFonts w:ascii="宋体" w:hAnsi="宋体" w:eastAsia="宋体" w:cs="宋体"/>
                <w:sz w:val="20"/>
                <w:szCs w:val="20"/>
              </w:rPr>
              <w:t xml:space="preserve"> </w:t>
            </w:r>
            <w:r>
              <w:rPr>
                <w:rFonts w:ascii="宋体" w:hAnsi="宋体" w:eastAsia="宋体" w:cs="宋体"/>
                <w:spacing w:val="2"/>
                <w:sz w:val="20"/>
                <w:szCs w:val="20"/>
                <w14:textOutline w14:w="3759" w14:cap="sq" w14:cmpd="sng" w14:algn="ctr">
                  <w14:solidFill>
                    <w14:srgbClr w14:val="000000"/>
                  </w14:solidFill>
                  <w14:prstDash w14:val="solid"/>
                  <w14:bevel/>
                </w14:textOutline>
              </w:rPr>
              <w:t>(</w:t>
            </w:r>
            <w:r>
              <w:rPr>
                <w:rFonts w:ascii="宋体" w:hAnsi="宋体" w:eastAsia="宋体" w:cs="宋体"/>
                <w:spacing w:val="2"/>
                <w:sz w:val="20"/>
                <w:szCs w:val="20"/>
              </w:rPr>
              <w:t xml:space="preserve"> </w:t>
            </w:r>
            <w:r>
              <w:rPr>
                <w:rFonts w:ascii="Times New Roman" w:hAnsi="Times New Roman" w:eastAsia="Times New Roman" w:cs="Times New Roman"/>
                <w:b/>
                <w:bCs/>
                <w:sz w:val="20"/>
                <w:szCs w:val="20"/>
              </w:rPr>
              <w:t>m</w:t>
            </w:r>
            <w:r>
              <w:rPr>
                <w:rFonts w:ascii="Times New Roman" w:hAnsi="Times New Roman" w:eastAsia="Times New Roman" w:cs="Times New Roman"/>
                <w:b/>
                <w:bCs/>
                <w:spacing w:val="2"/>
                <w:position w:val="6"/>
                <w:sz w:val="13"/>
                <w:szCs w:val="13"/>
              </w:rPr>
              <w:t>3</w:t>
            </w:r>
            <w:r>
              <w:rPr>
                <w:rFonts w:ascii="Times New Roman" w:hAnsi="Times New Roman" w:eastAsia="Times New Roman" w:cs="Times New Roman"/>
                <w:b/>
                <w:bCs/>
                <w:spacing w:val="2"/>
                <w:sz w:val="20"/>
                <w:szCs w:val="20"/>
              </w:rPr>
              <w:t>/</w:t>
            </w:r>
            <w:r>
              <w:rPr>
                <w:rFonts w:ascii="Times New Roman" w:hAnsi="Times New Roman" w:eastAsia="Times New Roman" w:cs="Times New Roman"/>
                <w:b/>
                <w:bCs/>
                <w:sz w:val="20"/>
                <w:szCs w:val="20"/>
              </w:rPr>
              <w:t>d</w:t>
            </w:r>
            <w:r>
              <w:rPr>
                <w:rFonts w:ascii="宋体" w:hAnsi="宋体" w:eastAsia="宋体" w:cs="宋体"/>
                <w:spacing w:val="2"/>
                <w:sz w:val="20"/>
                <w:szCs w:val="20"/>
                <w14:textOutline w14:w="3759" w14:cap="sq" w14:cmpd="sng" w14:algn="ctr">
                  <w14:solidFill>
                    <w14:srgbClr w14:val="000000"/>
                  </w14:solidFill>
                  <w14:prstDash w14:val="solid"/>
                  <w14:bevel/>
                </w14:textOutline>
              </w:rPr>
              <w:t>)</w:t>
            </w:r>
          </w:p>
        </w:tc>
        <w:tc>
          <w:tcPr>
            <w:tcW w:w="1466" w:type="dxa"/>
          </w:tcPr>
          <w:p w14:paraId="218E6F6F">
            <w:pPr>
              <w:spacing w:before="32" w:line="211" w:lineRule="auto"/>
              <w:ind w:left="320"/>
              <w:rPr>
                <w:rFonts w:ascii="宋体" w:hAnsi="宋体" w:eastAsia="宋体" w:cs="宋体"/>
                <w:sz w:val="20"/>
                <w:szCs w:val="20"/>
              </w:rPr>
            </w:pPr>
            <w:r>
              <w:rPr>
                <w:rFonts w:ascii="宋体" w:hAnsi="宋体" w:eastAsia="宋体" w:cs="宋体"/>
                <w:spacing w:val="9"/>
                <w:sz w:val="20"/>
                <w:szCs w:val="20"/>
                <w14:textOutline w14:w="3759" w14:cap="sq" w14:cmpd="sng" w14:algn="ctr">
                  <w14:solidFill>
                    <w14:srgbClr w14:val="000000"/>
                  </w14:solidFill>
                  <w14:prstDash w14:val="solid"/>
                  <w14:bevel/>
                </w14:textOutline>
              </w:rPr>
              <w:t>年</w:t>
            </w:r>
            <w:r>
              <w:rPr>
                <w:rFonts w:ascii="宋体" w:hAnsi="宋体" w:eastAsia="宋体" w:cs="宋体"/>
                <w:spacing w:val="8"/>
                <w:sz w:val="20"/>
                <w:szCs w:val="20"/>
                <w14:textOutline w14:w="3759" w14:cap="sq" w14:cmpd="sng" w14:algn="ctr">
                  <w14:solidFill>
                    <w14:srgbClr w14:val="000000"/>
                  </w14:solidFill>
                  <w14:prstDash w14:val="solid"/>
                  <w14:bevel/>
                </w14:textOutline>
              </w:rPr>
              <w:t>饮水量</w:t>
            </w:r>
          </w:p>
          <w:p w14:paraId="7055B4A3">
            <w:pPr>
              <w:spacing w:line="286" w:lineRule="exact"/>
              <w:ind w:left="336"/>
              <w:rPr>
                <w:rFonts w:ascii="宋体" w:hAnsi="宋体" w:eastAsia="宋体" w:cs="宋体"/>
                <w:sz w:val="20"/>
                <w:szCs w:val="20"/>
              </w:rPr>
            </w:pPr>
            <w:r>
              <w:rPr>
                <w:rFonts w:ascii="宋体" w:hAnsi="宋体" w:eastAsia="宋体" w:cs="宋体"/>
                <w:spacing w:val="19"/>
                <w:position w:val="1"/>
                <w:sz w:val="20"/>
                <w:szCs w:val="20"/>
                <w14:textOutline w14:w="3759" w14:cap="sq" w14:cmpd="sng" w14:algn="ctr">
                  <w14:solidFill>
                    <w14:srgbClr w14:val="000000"/>
                  </w14:solidFill>
                  <w14:prstDash w14:val="solid"/>
                  <w14:bevel/>
                </w14:textOutline>
              </w:rPr>
              <w:t>(</w:t>
            </w:r>
            <w:r>
              <w:rPr>
                <w:rFonts w:ascii="Times New Roman" w:hAnsi="Times New Roman" w:eastAsia="Times New Roman" w:cs="Times New Roman"/>
                <w:b/>
                <w:bCs/>
                <w:position w:val="1"/>
                <w:sz w:val="20"/>
                <w:szCs w:val="20"/>
              </w:rPr>
              <w:t>m</w:t>
            </w:r>
            <w:r>
              <w:rPr>
                <w:rFonts w:ascii="Times New Roman" w:hAnsi="Times New Roman" w:eastAsia="Times New Roman" w:cs="Times New Roman"/>
                <w:b/>
                <w:bCs/>
                <w:spacing w:val="18"/>
                <w:position w:val="7"/>
                <w:sz w:val="13"/>
                <w:szCs w:val="13"/>
              </w:rPr>
              <w:t>3</w:t>
            </w:r>
            <w:r>
              <w:rPr>
                <w:rFonts w:ascii="Times New Roman" w:hAnsi="Times New Roman" w:eastAsia="Times New Roman" w:cs="Times New Roman"/>
                <w:b/>
                <w:bCs/>
                <w:spacing w:val="18"/>
                <w:position w:val="1"/>
                <w:sz w:val="20"/>
                <w:szCs w:val="20"/>
              </w:rPr>
              <w:t>/</w:t>
            </w:r>
            <w:r>
              <w:rPr>
                <w:rFonts w:ascii="Times New Roman" w:hAnsi="Times New Roman" w:eastAsia="Times New Roman" w:cs="Times New Roman"/>
                <w:b/>
                <w:bCs/>
                <w:position w:val="1"/>
                <w:sz w:val="20"/>
                <w:szCs w:val="20"/>
              </w:rPr>
              <w:t>a</w:t>
            </w:r>
            <w:r>
              <w:rPr>
                <w:rFonts w:ascii="Times New Roman" w:hAnsi="Times New Roman" w:eastAsia="Times New Roman" w:cs="Times New Roman"/>
                <w:spacing w:val="18"/>
                <w:position w:val="1"/>
                <w:sz w:val="20"/>
                <w:szCs w:val="20"/>
              </w:rPr>
              <w:t xml:space="preserve"> </w:t>
            </w:r>
            <w:r>
              <w:rPr>
                <w:rFonts w:ascii="宋体" w:hAnsi="宋体" w:eastAsia="宋体" w:cs="宋体"/>
                <w:spacing w:val="18"/>
                <w:position w:val="1"/>
                <w:sz w:val="20"/>
                <w:szCs w:val="20"/>
                <w14:textOutline w14:w="3759" w14:cap="sq" w14:cmpd="sng" w14:algn="ctr">
                  <w14:solidFill>
                    <w14:srgbClr w14:val="000000"/>
                  </w14:solidFill>
                  <w14:prstDash w14:val="solid"/>
                  <w14:bevel/>
                </w14:textOutline>
              </w:rPr>
              <w:t>)</w:t>
            </w:r>
          </w:p>
        </w:tc>
        <w:tc>
          <w:tcPr>
            <w:tcW w:w="1457" w:type="dxa"/>
            <w:vMerge w:val="continue"/>
            <w:tcBorders>
              <w:top w:val="nil"/>
              <w:right w:val="nil"/>
            </w:tcBorders>
          </w:tcPr>
          <w:p w14:paraId="22FFBDB7"/>
        </w:tc>
      </w:tr>
      <w:tr w14:paraId="35690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571" w:type="dxa"/>
            <w:tcBorders>
              <w:left w:val="nil"/>
            </w:tcBorders>
          </w:tcPr>
          <w:p w14:paraId="39CA2FA4">
            <w:pPr>
              <w:spacing w:before="70" w:line="195" w:lineRule="auto"/>
              <w:ind w:left="342"/>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726" w:type="dxa"/>
          </w:tcPr>
          <w:p w14:paraId="1C92855D">
            <w:pPr>
              <w:spacing w:before="34" w:line="227" w:lineRule="auto"/>
              <w:ind w:left="771"/>
              <w:rPr>
                <w:rFonts w:ascii="宋体" w:hAnsi="宋体" w:eastAsia="宋体" w:cs="宋体"/>
                <w:sz w:val="20"/>
                <w:szCs w:val="20"/>
              </w:rPr>
            </w:pPr>
            <w:r>
              <w:rPr>
                <w:rFonts w:ascii="宋体" w:hAnsi="宋体" w:eastAsia="宋体" w:cs="宋体"/>
                <w:spacing w:val="4"/>
                <w:sz w:val="20"/>
                <w:szCs w:val="20"/>
              </w:rPr>
              <w:t>育肥猪</w:t>
            </w:r>
          </w:p>
        </w:tc>
        <w:tc>
          <w:tcPr>
            <w:tcW w:w="1371" w:type="dxa"/>
          </w:tcPr>
          <w:p w14:paraId="3C131202">
            <w:pPr>
              <w:spacing w:before="70" w:line="195" w:lineRule="auto"/>
              <w:ind w:left="445"/>
              <w:rPr>
                <w:rFonts w:ascii="Times New Roman" w:hAnsi="Times New Roman" w:eastAsia="Times New Roman" w:cs="Times New Roman"/>
                <w:sz w:val="20"/>
                <w:szCs w:val="20"/>
              </w:rPr>
            </w:pPr>
            <w:r>
              <w:rPr>
                <w:rFonts w:ascii="Times New Roman" w:hAnsi="Times New Roman" w:eastAsia="Times New Roman" w:cs="Times New Roman"/>
                <w:sz w:val="20"/>
                <w:szCs w:val="20"/>
              </w:rPr>
              <w:t>10400</w:t>
            </w:r>
          </w:p>
        </w:tc>
        <w:tc>
          <w:tcPr>
            <w:tcW w:w="1390" w:type="dxa"/>
          </w:tcPr>
          <w:p w14:paraId="42A6ACAB"/>
        </w:tc>
        <w:tc>
          <w:tcPr>
            <w:tcW w:w="1256" w:type="dxa"/>
          </w:tcPr>
          <w:p w14:paraId="0F3B0313"/>
        </w:tc>
        <w:tc>
          <w:tcPr>
            <w:tcW w:w="1466" w:type="dxa"/>
          </w:tcPr>
          <w:p w14:paraId="65F1B968"/>
        </w:tc>
        <w:tc>
          <w:tcPr>
            <w:tcW w:w="1457" w:type="dxa"/>
            <w:tcBorders>
              <w:right w:val="nil"/>
            </w:tcBorders>
          </w:tcPr>
          <w:p w14:paraId="0562ABE4"/>
        </w:tc>
      </w:tr>
    </w:tbl>
    <w:p w14:paraId="1A20501C">
      <w:pPr>
        <w:spacing w:before="37" w:line="225" w:lineRule="auto"/>
        <w:ind w:left="596"/>
        <w:rPr>
          <w:rFonts w:ascii="宋体" w:hAnsi="宋体" w:eastAsia="宋体" w:cs="宋体"/>
          <w:sz w:val="23"/>
          <w:szCs w:val="23"/>
        </w:rPr>
      </w:pPr>
      <w:r>
        <w:rPr>
          <w:rFonts w:ascii="宋体" w:hAnsi="宋体" w:eastAsia="宋体" w:cs="宋体"/>
          <w:spacing w:val="13"/>
          <w:sz w:val="23"/>
          <w:szCs w:val="23"/>
          <w14:textOutline w14:w="4356" w14:cap="sq" w14:cmpd="sng" w14:algn="ctr">
            <w14:solidFill>
              <w14:srgbClr w14:val="000000"/>
            </w14:solidFill>
            <w14:prstDash w14:val="solid"/>
            <w14:bevel/>
          </w14:textOutline>
        </w:rPr>
        <w:t>②</w:t>
      </w:r>
      <w:r>
        <w:rPr>
          <w:rFonts w:ascii="宋体" w:hAnsi="宋体" w:eastAsia="宋体" w:cs="宋体"/>
          <w:spacing w:val="9"/>
          <w:sz w:val="23"/>
          <w:szCs w:val="23"/>
          <w14:textOutline w14:w="4356" w14:cap="sq" w14:cmpd="sng" w14:algn="ctr">
            <w14:solidFill>
              <w14:srgbClr w14:val="000000"/>
            </w14:solidFill>
            <w14:prstDash w14:val="solid"/>
            <w14:bevel/>
          </w14:textOutline>
        </w:rPr>
        <w:t>猪舍冲洗用水</w:t>
      </w:r>
    </w:p>
    <w:p w14:paraId="64AE0E5F">
      <w:pPr>
        <w:spacing w:before="141" w:line="384" w:lineRule="auto"/>
        <w:ind w:left="121" w:right="40" w:firstLine="477"/>
        <w:rPr>
          <w:rFonts w:ascii="宋体" w:hAnsi="宋体" w:eastAsia="宋体" w:cs="宋体"/>
          <w:sz w:val="23"/>
          <w:szCs w:val="23"/>
        </w:rPr>
      </w:pPr>
      <w:r>
        <w:rPr>
          <w:rFonts w:ascii="宋体" w:hAnsi="宋体" w:eastAsia="宋体" w:cs="宋体"/>
          <w:spacing w:val="12"/>
          <w:sz w:val="23"/>
          <w:szCs w:val="23"/>
        </w:rPr>
        <w:t>本项</w:t>
      </w:r>
      <w:r>
        <w:rPr>
          <w:rFonts w:ascii="宋体" w:hAnsi="宋体" w:eastAsia="宋体" w:cs="宋体"/>
          <w:spacing w:val="8"/>
          <w:sz w:val="23"/>
          <w:szCs w:val="23"/>
        </w:rPr>
        <w:t>目</w:t>
      </w:r>
      <w:r>
        <w:rPr>
          <w:rFonts w:ascii="宋体" w:hAnsi="宋体" w:eastAsia="宋体" w:cs="宋体"/>
          <w:spacing w:val="6"/>
          <w:sz w:val="23"/>
          <w:szCs w:val="23"/>
        </w:rPr>
        <w:t xml:space="preserve">猪舍采用尿泡粪工艺，所有圈舍均为 </w:t>
      </w:r>
      <w:r>
        <w:rPr>
          <w:rFonts w:ascii="Times New Roman" w:hAnsi="Times New Roman" w:eastAsia="Times New Roman" w:cs="Times New Roman"/>
          <w:spacing w:val="6"/>
          <w:sz w:val="23"/>
          <w:szCs w:val="23"/>
        </w:rPr>
        <w:t xml:space="preserve">2/3 </w:t>
      </w:r>
      <w:r>
        <w:rPr>
          <w:rFonts w:ascii="宋体" w:hAnsi="宋体" w:eastAsia="宋体" w:cs="宋体"/>
          <w:spacing w:val="6"/>
          <w:sz w:val="23"/>
          <w:szCs w:val="23"/>
        </w:rPr>
        <w:t>漏缝地板设置，采用刮粪板工艺。项目</w:t>
      </w:r>
      <w:r>
        <w:rPr>
          <w:rFonts w:ascii="宋体" w:hAnsi="宋体" w:eastAsia="宋体" w:cs="宋体"/>
          <w:sz w:val="23"/>
          <w:szCs w:val="23"/>
        </w:rPr>
        <w:t xml:space="preserve"> </w:t>
      </w:r>
      <w:r>
        <w:rPr>
          <w:rFonts w:ascii="宋体" w:hAnsi="宋体" w:eastAsia="宋体" w:cs="宋体"/>
          <w:spacing w:val="16"/>
          <w:sz w:val="23"/>
          <w:szCs w:val="23"/>
        </w:rPr>
        <w:t>圈舍平</w:t>
      </w:r>
      <w:r>
        <w:rPr>
          <w:rFonts w:ascii="宋体" w:hAnsi="宋体" w:eastAsia="宋体" w:cs="宋体"/>
          <w:spacing w:val="10"/>
          <w:sz w:val="23"/>
          <w:szCs w:val="23"/>
        </w:rPr>
        <w:t>时</w:t>
      </w:r>
      <w:r>
        <w:rPr>
          <w:rFonts w:ascii="宋体" w:hAnsi="宋体" w:eastAsia="宋体" w:cs="宋体"/>
          <w:spacing w:val="8"/>
          <w:sz w:val="23"/>
          <w:szCs w:val="23"/>
        </w:rPr>
        <w:t>不冲洗，仅在猪只出栏清圈时进行冲洗。项目采用高压喷枪冲洗，可节约用水量。</w:t>
      </w:r>
      <w:r>
        <w:rPr>
          <w:rFonts w:ascii="宋体" w:hAnsi="宋体" w:eastAsia="宋体" w:cs="宋体"/>
          <w:sz w:val="23"/>
          <w:szCs w:val="23"/>
        </w:rPr>
        <w:t xml:space="preserve"> </w:t>
      </w:r>
      <w:r>
        <w:rPr>
          <w:rFonts w:ascii="宋体" w:hAnsi="宋体" w:eastAsia="宋体" w:cs="宋体"/>
          <w:spacing w:val="10"/>
          <w:sz w:val="23"/>
          <w:szCs w:val="23"/>
        </w:rPr>
        <w:t>项目圈</w:t>
      </w:r>
      <w:r>
        <w:rPr>
          <w:rFonts w:ascii="宋体" w:hAnsi="宋体" w:eastAsia="宋体" w:cs="宋体"/>
          <w:spacing w:val="6"/>
          <w:sz w:val="23"/>
          <w:szCs w:val="23"/>
        </w:rPr>
        <w:t>舍</w:t>
      </w:r>
      <w:r>
        <w:rPr>
          <w:rFonts w:ascii="宋体" w:hAnsi="宋体" w:eastAsia="宋体" w:cs="宋体"/>
          <w:spacing w:val="5"/>
          <w:sz w:val="23"/>
          <w:szCs w:val="23"/>
        </w:rPr>
        <w:t xml:space="preserve">平均每年出栏 </w:t>
      </w:r>
      <w:r>
        <w:rPr>
          <w:rFonts w:ascii="Times New Roman" w:hAnsi="Times New Roman" w:eastAsia="Times New Roman" w:cs="Times New Roman"/>
          <w:spacing w:val="5"/>
          <w:sz w:val="23"/>
          <w:szCs w:val="23"/>
        </w:rPr>
        <w:t xml:space="preserve">2 </w:t>
      </w:r>
      <w:r>
        <w:rPr>
          <w:rFonts w:ascii="宋体" w:hAnsi="宋体" w:eastAsia="宋体" w:cs="宋体"/>
          <w:spacing w:val="5"/>
          <w:sz w:val="23"/>
          <w:szCs w:val="23"/>
        </w:rPr>
        <w:t>次，根据建设单位提供的经验数据，项目采用高压喷枪冲洗耗水量</w:t>
      </w:r>
      <w:r>
        <w:rPr>
          <w:rFonts w:ascii="宋体" w:hAnsi="宋体" w:eastAsia="宋体" w:cs="宋体"/>
          <w:sz w:val="23"/>
          <w:szCs w:val="23"/>
        </w:rPr>
        <w:t xml:space="preserve"> </w:t>
      </w:r>
      <w:r>
        <w:rPr>
          <w:rFonts w:ascii="宋体" w:hAnsi="宋体" w:eastAsia="宋体" w:cs="宋体"/>
          <w:spacing w:val="1"/>
          <w:sz w:val="23"/>
          <w:szCs w:val="23"/>
        </w:rPr>
        <w:t>约</w:t>
      </w:r>
      <w:r>
        <w:rPr>
          <w:rFonts w:ascii="宋体" w:hAnsi="宋体" w:eastAsia="宋体" w:cs="宋体"/>
          <w:sz w:val="23"/>
          <w:szCs w:val="23"/>
        </w:rPr>
        <w:t xml:space="preserve">为 </w:t>
      </w:r>
      <w:r>
        <w:rPr>
          <w:rFonts w:ascii="Times New Roman" w:hAnsi="Times New Roman" w:eastAsia="Times New Roman" w:cs="Times New Roman"/>
          <w:sz w:val="23"/>
          <w:szCs w:val="23"/>
        </w:rPr>
        <w:t>6L/m</w:t>
      </w:r>
      <w:r>
        <w:rPr>
          <w:rFonts w:ascii="Times New Roman" w:hAnsi="Times New Roman" w:eastAsia="Times New Roman" w:cs="Times New Roman"/>
          <w:position w:val="8"/>
          <w:sz w:val="15"/>
          <w:szCs w:val="15"/>
        </w:rPr>
        <w:t xml:space="preserve">2 </w:t>
      </w:r>
      <w:r>
        <w:rPr>
          <w:rFonts w:ascii="Times New Roman" w:hAnsi="Times New Roman" w:eastAsia="Times New Roman" w:cs="Times New Roman"/>
          <w:sz w:val="23"/>
          <w:szCs w:val="23"/>
        </w:rPr>
        <w:t xml:space="preserve">· </w:t>
      </w:r>
      <w:r>
        <w:rPr>
          <w:rFonts w:ascii="宋体" w:hAnsi="宋体" w:eastAsia="宋体" w:cs="宋体"/>
          <w:sz w:val="23"/>
          <w:szCs w:val="23"/>
        </w:rPr>
        <w:t xml:space="preserve">次计，猪舍总面积 </w:t>
      </w:r>
      <w:r>
        <w:rPr>
          <w:rFonts w:ascii="Times New Roman" w:hAnsi="Times New Roman" w:eastAsia="Times New Roman" w:cs="Times New Roman"/>
          <w:sz w:val="23"/>
          <w:szCs w:val="23"/>
        </w:rPr>
        <w:t>14755m</w:t>
      </w:r>
      <w:r>
        <w:rPr>
          <w:rFonts w:ascii="Times New Roman" w:hAnsi="Times New Roman" w:eastAsia="Times New Roman" w:cs="Times New Roman"/>
          <w:position w:val="8"/>
          <w:sz w:val="15"/>
          <w:szCs w:val="15"/>
        </w:rPr>
        <w:t xml:space="preserve">2 </w:t>
      </w:r>
      <w:r>
        <w:rPr>
          <w:rFonts w:ascii="宋体" w:hAnsi="宋体" w:eastAsia="宋体" w:cs="宋体"/>
          <w:sz w:val="23"/>
          <w:szCs w:val="23"/>
        </w:rPr>
        <w:t xml:space="preserve">。项目猪舍冲洗用水情况见表 </w:t>
      </w:r>
      <w:r>
        <w:rPr>
          <w:rFonts w:ascii="Times New Roman" w:hAnsi="Times New Roman" w:eastAsia="Times New Roman" w:cs="Times New Roman"/>
          <w:sz w:val="23"/>
          <w:szCs w:val="23"/>
        </w:rPr>
        <w:t>3.3-3</w:t>
      </w:r>
      <w:r>
        <w:rPr>
          <w:rFonts w:ascii="宋体" w:hAnsi="宋体" w:eastAsia="宋体" w:cs="宋体"/>
          <w:sz w:val="23"/>
          <w:szCs w:val="23"/>
        </w:rPr>
        <w:t>。</w:t>
      </w:r>
    </w:p>
    <w:p w14:paraId="046A484E">
      <w:pPr>
        <w:spacing w:before="1" w:line="220" w:lineRule="auto"/>
        <w:ind w:left="3450"/>
        <w:rPr>
          <w:rFonts w:ascii="黑体" w:hAnsi="黑体" w:eastAsia="黑体" w:cs="黑体"/>
          <w:sz w:val="23"/>
          <w:szCs w:val="23"/>
        </w:rPr>
      </w:pPr>
      <w:r>
        <w:rPr>
          <w:rFonts w:ascii="黑体" w:hAnsi="黑体" w:eastAsia="黑体" w:cs="黑体"/>
          <w:spacing w:val="4"/>
          <w:sz w:val="23"/>
          <w:szCs w:val="23"/>
        </w:rPr>
        <w:t xml:space="preserve">表 </w:t>
      </w:r>
      <w:r>
        <w:rPr>
          <w:rFonts w:ascii="Times New Roman" w:hAnsi="Times New Roman" w:eastAsia="Times New Roman" w:cs="Times New Roman"/>
          <w:spacing w:val="4"/>
          <w:sz w:val="23"/>
          <w:szCs w:val="23"/>
        </w:rPr>
        <w:t>3.3-</w:t>
      </w:r>
      <w:r>
        <w:rPr>
          <w:rFonts w:ascii="Times New Roman" w:hAnsi="Times New Roman" w:eastAsia="Times New Roman" w:cs="Times New Roman"/>
          <w:spacing w:val="2"/>
          <w:sz w:val="23"/>
          <w:szCs w:val="23"/>
        </w:rPr>
        <w:t xml:space="preserve">3  </w:t>
      </w:r>
      <w:r>
        <w:rPr>
          <w:rFonts w:ascii="黑体" w:hAnsi="黑体" w:eastAsia="黑体" w:cs="黑体"/>
          <w:spacing w:val="2"/>
          <w:sz w:val="23"/>
          <w:szCs w:val="23"/>
        </w:rPr>
        <w:t>猪舍冲洗用水情况</w:t>
      </w:r>
    </w:p>
    <w:tbl>
      <w:tblPr>
        <w:tblStyle w:val="4"/>
        <w:tblW w:w="923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8"/>
        <w:gridCol w:w="776"/>
        <w:gridCol w:w="884"/>
        <w:gridCol w:w="1212"/>
        <w:gridCol w:w="1443"/>
        <w:gridCol w:w="1727"/>
        <w:gridCol w:w="1244"/>
        <w:gridCol w:w="1243"/>
      </w:tblGrid>
      <w:tr w14:paraId="52BBE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08" w:type="dxa"/>
            <w:tcBorders>
              <w:left w:val="nil"/>
            </w:tcBorders>
          </w:tcPr>
          <w:p w14:paraId="7C647A20">
            <w:pPr>
              <w:spacing w:before="190" w:line="229" w:lineRule="auto"/>
              <w:ind w:left="152"/>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776" w:type="dxa"/>
          </w:tcPr>
          <w:p w14:paraId="35AE1AC2">
            <w:pPr>
              <w:spacing w:before="190" w:line="228" w:lineRule="auto"/>
              <w:ind w:left="184"/>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猪舍</w:t>
            </w:r>
          </w:p>
        </w:tc>
        <w:tc>
          <w:tcPr>
            <w:tcW w:w="884" w:type="dxa"/>
          </w:tcPr>
          <w:p w14:paraId="73454523">
            <w:pPr>
              <w:spacing w:before="55" w:line="238" w:lineRule="auto"/>
              <w:ind w:left="243" w:right="122" w:hanging="110"/>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年</w:t>
            </w:r>
            <w:r>
              <w:rPr>
                <w:rFonts w:ascii="宋体" w:hAnsi="宋体" w:eastAsia="宋体" w:cs="宋体"/>
                <w:spacing w:val="7"/>
                <w:sz w:val="20"/>
                <w:szCs w:val="20"/>
                <w14:textOutline w14:w="3797" w14:cap="sq" w14:cmpd="sng" w14:algn="ctr">
                  <w14:solidFill>
                    <w14:srgbClr w14:val="000000"/>
                  </w14:solidFill>
                  <w14:prstDash w14:val="solid"/>
                  <w14:bevel/>
                </w14:textOutline>
              </w:rPr>
              <w:t>冲洗</w:t>
            </w:r>
            <w:r>
              <w:rPr>
                <w:rFonts w:ascii="宋体" w:hAnsi="宋体" w:eastAsia="宋体" w:cs="宋体"/>
                <w:sz w:val="20"/>
                <w:szCs w:val="20"/>
              </w:rPr>
              <w:t xml:space="preserve"> </w:t>
            </w:r>
            <w:r>
              <w:rPr>
                <w:rFonts w:ascii="宋体" w:hAnsi="宋体" w:eastAsia="宋体" w:cs="宋体"/>
                <w:spacing w:val="3"/>
                <w:sz w:val="20"/>
                <w:szCs w:val="20"/>
                <w14:textOutline w14:w="3797" w14:cap="sq" w14:cmpd="sng" w14:algn="ctr">
                  <w14:solidFill>
                    <w14:srgbClr w14:val="000000"/>
                  </w14:solidFill>
                  <w14:prstDash w14:val="solid"/>
                  <w14:bevel/>
                </w14:textOutline>
              </w:rPr>
              <w:t>次数</w:t>
            </w:r>
          </w:p>
        </w:tc>
        <w:tc>
          <w:tcPr>
            <w:tcW w:w="1212" w:type="dxa"/>
          </w:tcPr>
          <w:p w14:paraId="437A468D">
            <w:pPr>
              <w:spacing w:before="149" w:line="289" w:lineRule="exact"/>
              <w:ind w:left="212"/>
              <w:rPr>
                <w:rFonts w:ascii="Times New Roman" w:hAnsi="Times New Roman" w:eastAsia="Times New Roman" w:cs="Times New Roman"/>
                <w:sz w:val="20"/>
                <w:szCs w:val="20"/>
              </w:rPr>
            </w:pPr>
            <w:r>
              <w:rPr>
                <w:rFonts w:ascii="宋体" w:hAnsi="宋体" w:eastAsia="宋体" w:cs="宋体"/>
                <w:spacing w:val="6"/>
                <w:position w:val="3"/>
                <w:sz w:val="20"/>
                <w:szCs w:val="20"/>
                <w14:textOutline w14:w="3797" w14:cap="sq" w14:cmpd="sng" w14:algn="ctr">
                  <w14:solidFill>
                    <w14:srgbClr w14:val="000000"/>
                  </w14:solidFill>
                  <w14:prstDash w14:val="solid"/>
                  <w14:bevel/>
                </w14:textOutline>
              </w:rPr>
              <w:t>面积</w:t>
            </w:r>
            <w:r>
              <w:rPr>
                <w:rFonts w:ascii="Times New Roman" w:hAnsi="Times New Roman" w:eastAsia="Times New Roman" w:cs="Times New Roman"/>
                <w:b/>
                <w:bCs/>
                <w:spacing w:val="6"/>
                <w:position w:val="3"/>
                <w:sz w:val="20"/>
                <w:szCs w:val="20"/>
              </w:rPr>
              <w:t>(</w:t>
            </w:r>
            <w:r>
              <w:rPr>
                <w:rFonts w:ascii="Times New Roman" w:hAnsi="Times New Roman" w:eastAsia="Times New Roman" w:cs="Times New Roman"/>
                <w:b/>
                <w:bCs/>
                <w:position w:val="3"/>
                <w:sz w:val="20"/>
                <w:szCs w:val="20"/>
              </w:rPr>
              <w:t>m</w:t>
            </w:r>
            <w:r>
              <w:rPr>
                <w:rFonts w:ascii="Times New Roman" w:hAnsi="Times New Roman" w:eastAsia="Times New Roman" w:cs="Times New Roman"/>
                <w:b/>
                <w:bCs/>
                <w:spacing w:val="6"/>
                <w:position w:val="9"/>
                <w:sz w:val="13"/>
                <w:szCs w:val="13"/>
              </w:rPr>
              <w:t>3</w:t>
            </w:r>
            <w:r>
              <w:rPr>
                <w:rFonts w:ascii="Times New Roman" w:hAnsi="Times New Roman" w:eastAsia="Times New Roman" w:cs="Times New Roman"/>
                <w:b/>
                <w:bCs/>
                <w:spacing w:val="6"/>
                <w:position w:val="3"/>
                <w:sz w:val="20"/>
                <w:szCs w:val="20"/>
              </w:rPr>
              <w:t>)</w:t>
            </w:r>
          </w:p>
        </w:tc>
        <w:tc>
          <w:tcPr>
            <w:tcW w:w="1443" w:type="dxa"/>
          </w:tcPr>
          <w:p w14:paraId="44F16C5C">
            <w:pPr>
              <w:spacing w:before="55" w:line="238" w:lineRule="auto"/>
              <w:ind w:left="297" w:right="286" w:firstLine="113"/>
              <w:rPr>
                <w:rFonts w:ascii="Times New Roman" w:hAnsi="Times New Roman" w:eastAsia="Times New Roman" w:cs="Times New Roman"/>
                <w:sz w:val="20"/>
                <w:szCs w:val="20"/>
              </w:rPr>
            </w:pPr>
            <w:r>
              <w:rPr>
                <w:rFonts w:ascii="宋体" w:hAnsi="宋体" w:eastAsia="宋体" w:cs="宋体"/>
                <w:spacing w:val="8"/>
                <w:sz w:val="20"/>
                <w:szCs w:val="20"/>
                <w14:textOutline w14:w="3759" w14:cap="sq" w14:cmpd="sng" w14:algn="ctr">
                  <w14:solidFill>
                    <w14:srgbClr w14:val="000000"/>
                  </w14:solidFill>
                  <w14:prstDash w14:val="solid"/>
                  <w14:bevel/>
                </w14:textOutline>
              </w:rPr>
              <w:t>耗</w:t>
            </w:r>
            <w:r>
              <w:rPr>
                <w:rFonts w:ascii="宋体" w:hAnsi="宋体" w:eastAsia="宋体" w:cs="宋体"/>
                <w:spacing w:val="7"/>
                <w:sz w:val="20"/>
                <w:szCs w:val="20"/>
                <w14:textOutline w14:w="3759" w14:cap="sq" w14:cmpd="sng" w14:algn="ctr">
                  <w14:solidFill>
                    <w14:srgbClr w14:val="000000"/>
                  </w14:solidFill>
                  <w14:prstDash w14:val="solid"/>
                  <w14:bevel/>
                </w14:textOutline>
              </w:rPr>
              <w:t>水量</w:t>
            </w:r>
            <w:r>
              <w:rPr>
                <w:rFonts w:ascii="宋体" w:hAnsi="宋体" w:eastAsia="宋体" w:cs="宋体"/>
                <w:sz w:val="20"/>
                <w:szCs w:val="20"/>
              </w:rPr>
              <w:t xml:space="preserve"> </w:t>
            </w:r>
            <w:r>
              <w:rPr>
                <w:rFonts w:ascii="Times New Roman" w:hAnsi="Times New Roman" w:eastAsia="Times New Roman" w:cs="Times New Roman"/>
                <w:b/>
                <w:bCs/>
                <w:spacing w:val="-5"/>
                <w:sz w:val="20"/>
                <w:szCs w:val="20"/>
              </w:rPr>
              <w:t>(L/m</w:t>
            </w:r>
            <w:r>
              <w:rPr>
                <w:rFonts w:ascii="Times New Roman" w:hAnsi="Times New Roman" w:eastAsia="Times New Roman" w:cs="Times New Roman"/>
                <w:b/>
                <w:bCs/>
                <w:spacing w:val="-5"/>
                <w:position w:val="6"/>
                <w:sz w:val="13"/>
                <w:szCs w:val="13"/>
              </w:rPr>
              <w:t>2</w:t>
            </w:r>
            <w:r>
              <w:rPr>
                <w:rFonts w:ascii="Times New Roman" w:hAnsi="Times New Roman" w:eastAsia="Times New Roman" w:cs="Times New Roman"/>
                <w:spacing w:val="-5"/>
                <w:position w:val="6"/>
                <w:sz w:val="13"/>
                <w:szCs w:val="13"/>
              </w:rPr>
              <w:t xml:space="preserve"> </w:t>
            </w:r>
            <w:r>
              <w:rPr>
                <w:rFonts w:ascii="Times New Roman" w:hAnsi="Times New Roman" w:eastAsia="Times New Roman" w:cs="Times New Roman"/>
                <w:b/>
                <w:bCs/>
                <w:spacing w:val="-5"/>
                <w:sz w:val="20"/>
                <w:szCs w:val="20"/>
              </w:rPr>
              <w:t>·</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14:textOutline w14:w="3759" w14:cap="sq" w14:cmpd="sng" w14:algn="ctr">
                  <w14:solidFill>
                    <w14:srgbClr w14:val="000000"/>
                  </w14:solidFill>
                  <w14:prstDash w14:val="solid"/>
                  <w14:bevel/>
                </w14:textOutline>
              </w:rPr>
              <w:t>次</w:t>
            </w:r>
            <w:r>
              <w:rPr>
                <w:rFonts w:ascii="Times New Roman" w:hAnsi="Times New Roman" w:eastAsia="Times New Roman" w:cs="Times New Roman"/>
                <w:b/>
                <w:bCs/>
                <w:spacing w:val="-5"/>
                <w:sz w:val="20"/>
                <w:szCs w:val="20"/>
              </w:rPr>
              <w:t>)</w:t>
            </w:r>
          </w:p>
        </w:tc>
        <w:tc>
          <w:tcPr>
            <w:tcW w:w="1727" w:type="dxa"/>
          </w:tcPr>
          <w:p w14:paraId="7CD6D6CA">
            <w:pPr>
              <w:spacing w:before="149" w:line="289" w:lineRule="exact"/>
              <w:ind w:left="154"/>
              <w:rPr>
                <w:rFonts w:ascii="Times New Roman" w:hAnsi="Times New Roman" w:eastAsia="Times New Roman" w:cs="Times New Roman"/>
                <w:sz w:val="20"/>
                <w:szCs w:val="20"/>
              </w:rPr>
            </w:pPr>
            <w:r>
              <w:rPr>
                <w:rFonts w:ascii="宋体" w:hAnsi="宋体" w:eastAsia="宋体" w:cs="宋体"/>
                <w:spacing w:val="11"/>
                <w:position w:val="2"/>
                <w:sz w:val="20"/>
                <w:szCs w:val="20"/>
                <w14:textOutline w14:w="3797" w14:cap="sq" w14:cmpd="sng" w14:algn="ctr">
                  <w14:solidFill>
                    <w14:srgbClr w14:val="000000"/>
                  </w14:solidFill>
                  <w14:prstDash w14:val="solid"/>
                  <w14:bevel/>
                </w14:textOutline>
              </w:rPr>
              <w:t>单</w:t>
            </w:r>
            <w:r>
              <w:rPr>
                <w:rFonts w:ascii="宋体" w:hAnsi="宋体" w:eastAsia="宋体" w:cs="宋体"/>
                <w:spacing w:val="7"/>
                <w:position w:val="2"/>
                <w:sz w:val="20"/>
                <w:szCs w:val="20"/>
                <w14:textOutline w14:w="3797" w14:cap="sq" w14:cmpd="sng" w14:algn="ctr">
                  <w14:solidFill>
                    <w14:srgbClr w14:val="000000"/>
                  </w14:solidFill>
                  <w14:prstDash w14:val="solid"/>
                  <w14:bevel/>
                </w14:textOutline>
              </w:rPr>
              <w:t>次冲水量</w:t>
            </w:r>
            <w:r>
              <w:rPr>
                <w:rFonts w:ascii="Times New Roman" w:hAnsi="Times New Roman" w:eastAsia="Times New Roman" w:cs="Times New Roman"/>
                <w:b/>
                <w:bCs/>
                <w:spacing w:val="7"/>
                <w:position w:val="2"/>
                <w:sz w:val="20"/>
                <w:szCs w:val="20"/>
              </w:rPr>
              <w:t>(</w:t>
            </w:r>
            <w:r>
              <w:rPr>
                <w:rFonts w:ascii="Times New Roman" w:hAnsi="Times New Roman" w:eastAsia="Times New Roman" w:cs="Times New Roman"/>
                <w:b/>
                <w:bCs/>
                <w:position w:val="2"/>
                <w:sz w:val="20"/>
                <w:szCs w:val="20"/>
              </w:rPr>
              <w:t>m</w:t>
            </w:r>
            <w:r>
              <w:rPr>
                <w:rFonts w:ascii="Times New Roman" w:hAnsi="Times New Roman" w:eastAsia="Times New Roman" w:cs="Times New Roman"/>
                <w:b/>
                <w:bCs/>
                <w:spacing w:val="7"/>
                <w:position w:val="8"/>
                <w:sz w:val="13"/>
                <w:szCs w:val="13"/>
              </w:rPr>
              <w:t>3</w:t>
            </w:r>
            <w:r>
              <w:rPr>
                <w:rFonts w:ascii="Times New Roman" w:hAnsi="Times New Roman" w:eastAsia="Times New Roman" w:cs="Times New Roman"/>
                <w:b/>
                <w:bCs/>
                <w:spacing w:val="7"/>
                <w:position w:val="2"/>
                <w:sz w:val="20"/>
                <w:szCs w:val="20"/>
              </w:rPr>
              <w:t>)</w:t>
            </w:r>
          </w:p>
        </w:tc>
        <w:tc>
          <w:tcPr>
            <w:tcW w:w="1244" w:type="dxa"/>
          </w:tcPr>
          <w:p w14:paraId="58FB0DA0">
            <w:pPr>
              <w:spacing w:before="55" w:line="238" w:lineRule="auto"/>
              <w:ind w:left="231" w:right="197" w:firstLine="11"/>
              <w:rPr>
                <w:rFonts w:ascii="宋体" w:hAnsi="宋体" w:eastAsia="宋体" w:cs="宋体"/>
                <w:sz w:val="20"/>
                <w:szCs w:val="20"/>
              </w:rPr>
            </w:pPr>
            <w:r>
              <w:rPr>
                <w:rFonts w:ascii="宋体" w:hAnsi="宋体" w:eastAsia="宋体" w:cs="宋体"/>
                <w:spacing w:val="-1"/>
                <w:sz w:val="20"/>
                <w:szCs w:val="20"/>
                <w14:textOutline w14:w="3797" w14:cap="sq" w14:cmpd="sng" w14:algn="ctr">
                  <w14:solidFill>
                    <w14:srgbClr w14:val="000000"/>
                  </w14:solidFill>
                  <w14:prstDash w14:val="solid"/>
                  <w14:bevel/>
                </w14:textOutline>
              </w:rPr>
              <w:t>日用</w:t>
            </w:r>
            <w:r>
              <w:rPr>
                <w:rFonts w:ascii="宋体" w:hAnsi="宋体" w:eastAsia="宋体" w:cs="宋体"/>
                <w:sz w:val="20"/>
                <w:szCs w:val="20"/>
                <w14:textOutline w14:w="3797" w14:cap="sq" w14:cmpd="sng" w14:algn="ctr">
                  <w14:solidFill>
                    <w14:srgbClr w14:val="000000"/>
                  </w14:solidFill>
                  <w14:prstDash w14:val="solid"/>
                  <w14:bevel/>
                </w14:textOutline>
              </w:rPr>
              <w:t>水量</w:t>
            </w:r>
            <w:r>
              <w:rPr>
                <w:rFonts w:ascii="宋体" w:hAnsi="宋体" w:eastAsia="宋体" w:cs="宋体"/>
                <w:sz w:val="20"/>
                <w:szCs w:val="20"/>
              </w:rPr>
              <w:t xml:space="preserve"> </w:t>
            </w:r>
            <w:r>
              <w:rPr>
                <w:rFonts w:ascii="宋体" w:hAnsi="宋体" w:eastAsia="宋体" w:cs="宋体"/>
                <w:spacing w:val="28"/>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sz w:val="20"/>
                <w:szCs w:val="20"/>
              </w:rPr>
              <w:t>m</w:t>
            </w:r>
            <w:r>
              <w:rPr>
                <w:rFonts w:ascii="Times New Roman" w:hAnsi="Times New Roman" w:eastAsia="Times New Roman" w:cs="Times New Roman"/>
                <w:spacing w:val="27"/>
                <w:position w:val="6"/>
                <w:sz w:val="13"/>
                <w:szCs w:val="13"/>
              </w:rPr>
              <w:t>3</w:t>
            </w:r>
            <w:r>
              <w:rPr>
                <w:rFonts w:ascii="Times New Roman" w:hAnsi="Times New Roman" w:eastAsia="Times New Roman" w:cs="Times New Roman"/>
                <w:spacing w:val="27"/>
                <w:sz w:val="20"/>
                <w:szCs w:val="20"/>
              </w:rPr>
              <w:t>/</w:t>
            </w:r>
            <w:r>
              <w:rPr>
                <w:rFonts w:ascii="Times New Roman" w:hAnsi="Times New Roman" w:eastAsia="Times New Roman" w:cs="Times New Roman"/>
                <w:sz w:val="20"/>
                <w:szCs w:val="20"/>
              </w:rPr>
              <w:t>d</w:t>
            </w:r>
            <w:r>
              <w:rPr>
                <w:rFonts w:ascii="宋体" w:hAnsi="宋体" w:eastAsia="宋体" w:cs="宋体"/>
                <w:spacing w:val="27"/>
                <w:sz w:val="20"/>
                <w:szCs w:val="20"/>
                <w14:textOutline w14:w="3797" w14:cap="sq" w14:cmpd="sng" w14:algn="ctr">
                  <w14:solidFill>
                    <w14:srgbClr w14:val="000000"/>
                  </w14:solidFill>
                  <w14:prstDash w14:val="solid"/>
                  <w14:bevel/>
                </w14:textOutline>
              </w:rPr>
              <w:t>)</w:t>
            </w:r>
          </w:p>
        </w:tc>
        <w:tc>
          <w:tcPr>
            <w:tcW w:w="1243" w:type="dxa"/>
            <w:tcBorders>
              <w:right w:val="nil"/>
            </w:tcBorders>
          </w:tcPr>
          <w:p w14:paraId="324691E9">
            <w:pPr>
              <w:spacing w:before="70" w:line="199" w:lineRule="auto"/>
              <w:ind w:left="209"/>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年</w:t>
            </w:r>
            <w:r>
              <w:rPr>
                <w:rFonts w:ascii="宋体" w:hAnsi="宋体" w:eastAsia="宋体" w:cs="宋体"/>
                <w:spacing w:val="8"/>
                <w:sz w:val="20"/>
                <w:szCs w:val="20"/>
                <w14:textOutline w14:w="3797" w14:cap="sq" w14:cmpd="sng" w14:algn="ctr">
                  <w14:solidFill>
                    <w14:srgbClr w14:val="000000"/>
                  </w14:solidFill>
                  <w14:prstDash w14:val="solid"/>
                  <w14:bevel/>
                </w14:textOutline>
              </w:rPr>
              <w:t>用水量</w:t>
            </w:r>
          </w:p>
          <w:p w14:paraId="585868DE">
            <w:pPr>
              <w:spacing w:line="284" w:lineRule="exact"/>
              <w:ind w:left="436"/>
              <w:rPr>
                <w:rFonts w:ascii="Times New Roman" w:hAnsi="Times New Roman" w:eastAsia="Times New Roman" w:cs="Times New Roman"/>
                <w:sz w:val="20"/>
                <w:szCs w:val="20"/>
              </w:rPr>
            </w:pPr>
            <w:r>
              <w:rPr>
                <w:rFonts w:ascii="Times New Roman" w:hAnsi="Times New Roman" w:eastAsia="Times New Roman" w:cs="Times New Roman"/>
                <w:b/>
                <w:bCs/>
                <w:spacing w:val="3"/>
                <w:position w:val="3"/>
                <w:sz w:val="20"/>
                <w:szCs w:val="20"/>
              </w:rPr>
              <w:t>(</w:t>
            </w:r>
            <w:r>
              <w:rPr>
                <w:rFonts w:ascii="Times New Roman" w:hAnsi="Times New Roman" w:eastAsia="Times New Roman" w:cs="Times New Roman"/>
                <w:b/>
                <w:bCs/>
                <w:position w:val="3"/>
                <w:sz w:val="20"/>
                <w:szCs w:val="20"/>
              </w:rPr>
              <w:t>m</w:t>
            </w:r>
            <w:r>
              <w:rPr>
                <w:rFonts w:ascii="Times New Roman" w:hAnsi="Times New Roman" w:eastAsia="Times New Roman" w:cs="Times New Roman"/>
                <w:b/>
                <w:bCs/>
                <w:spacing w:val="3"/>
                <w:position w:val="9"/>
                <w:sz w:val="13"/>
                <w:szCs w:val="13"/>
              </w:rPr>
              <w:t>3</w:t>
            </w:r>
            <w:r>
              <w:rPr>
                <w:rFonts w:ascii="Times New Roman" w:hAnsi="Times New Roman" w:eastAsia="Times New Roman" w:cs="Times New Roman"/>
                <w:b/>
                <w:bCs/>
                <w:spacing w:val="2"/>
                <w:position w:val="3"/>
                <w:sz w:val="20"/>
                <w:szCs w:val="20"/>
              </w:rPr>
              <w:t>)</w:t>
            </w:r>
          </w:p>
        </w:tc>
      </w:tr>
      <w:tr w14:paraId="76318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708" w:type="dxa"/>
            <w:tcBorders>
              <w:left w:val="nil"/>
            </w:tcBorders>
          </w:tcPr>
          <w:p w14:paraId="0CF0A1CF">
            <w:pPr>
              <w:spacing w:before="159" w:line="195" w:lineRule="auto"/>
              <w:ind w:left="325"/>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776" w:type="dxa"/>
          </w:tcPr>
          <w:p w14:paraId="067C4BB5">
            <w:pPr>
              <w:spacing w:before="123" w:line="228" w:lineRule="auto"/>
              <w:ind w:left="184"/>
              <w:rPr>
                <w:rFonts w:ascii="宋体" w:hAnsi="宋体" w:eastAsia="宋体" w:cs="宋体"/>
                <w:sz w:val="20"/>
                <w:szCs w:val="20"/>
              </w:rPr>
            </w:pPr>
            <w:r>
              <w:rPr>
                <w:rFonts w:ascii="宋体" w:hAnsi="宋体" w:eastAsia="宋体" w:cs="宋体"/>
                <w:spacing w:val="5"/>
                <w:sz w:val="20"/>
                <w:szCs w:val="20"/>
              </w:rPr>
              <w:t>猪</w:t>
            </w:r>
            <w:r>
              <w:rPr>
                <w:rFonts w:ascii="宋体" w:hAnsi="宋体" w:eastAsia="宋体" w:cs="宋体"/>
                <w:spacing w:val="4"/>
                <w:sz w:val="20"/>
                <w:szCs w:val="20"/>
              </w:rPr>
              <w:t>舍</w:t>
            </w:r>
          </w:p>
        </w:tc>
        <w:tc>
          <w:tcPr>
            <w:tcW w:w="884" w:type="dxa"/>
          </w:tcPr>
          <w:p w14:paraId="6971197F">
            <w:pPr>
              <w:spacing w:before="159" w:line="195" w:lineRule="auto"/>
              <w:ind w:left="390"/>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212" w:type="dxa"/>
          </w:tcPr>
          <w:p w14:paraId="32EC0690"/>
        </w:tc>
        <w:tc>
          <w:tcPr>
            <w:tcW w:w="1443" w:type="dxa"/>
          </w:tcPr>
          <w:p w14:paraId="23C48B98"/>
        </w:tc>
        <w:tc>
          <w:tcPr>
            <w:tcW w:w="1727" w:type="dxa"/>
          </w:tcPr>
          <w:p w14:paraId="462C126C"/>
        </w:tc>
        <w:tc>
          <w:tcPr>
            <w:tcW w:w="1244" w:type="dxa"/>
          </w:tcPr>
          <w:p w14:paraId="23CB88A9"/>
        </w:tc>
        <w:tc>
          <w:tcPr>
            <w:tcW w:w="1243" w:type="dxa"/>
            <w:tcBorders>
              <w:right w:val="nil"/>
            </w:tcBorders>
          </w:tcPr>
          <w:p w14:paraId="5246838D"/>
        </w:tc>
      </w:tr>
    </w:tbl>
    <w:p w14:paraId="664766C9">
      <w:pPr>
        <w:spacing w:before="36" w:line="225" w:lineRule="auto"/>
        <w:ind w:left="596"/>
        <w:rPr>
          <w:rFonts w:ascii="宋体" w:hAnsi="宋体" w:eastAsia="宋体" w:cs="宋体"/>
          <w:sz w:val="23"/>
          <w:szCs w:val="23"/>
        </w:rPr>
      </w:pPr>
      <w:r>
        <w:rPr>
          <w:rFonts w:ascii="宋体" w:hAnsi="宋体" w:eastAsia="宋体" w:cs="宋体"/>
          <w:spacing w:val="9"/>
          <w:sz w:val="23"/>
          <w:szCs w:val="23"/>
          <w14:textOutline w14:w="4356" w14:cap="sq" w14:cmpd="sng" w14:algn="ctr">
            <w14:solidFill>
              <w14:srgbClr w14:val="000000"/>
            </w14:solidFill>
            <w14:prstDash w14:val="solid"/>
            <w14:bevel/>
          </w14:textOutline>
        </w:rPr>
        <w:t>③水帘降温系统用水</w:t>
      </w:r>
      <w:r>
        <w:rPr>
          <w:rFonts w:ascii="宋体" w:hAnsi="宋体" w:eastAsia="宋体" w:cs="宋体"/>
          <w:spacing w:val="9"/>
          <w:sz w:val="23"/>
          <w:szCs w:val="23"/>
        </w:rPr>
        <w:t xml:space="preserve"> </w:t>
      </w:r>
      <w:r>
        <w:rPr>
          <w:rFonts w:ascii="宋体" w:hAnsi="宋体" w:eastAsia="宋体" w:cs="宋体"/>
          <w:spacing w:val="9"/>
          <w:sz w:val="23"/>
          <w:szCs w:val="23"/>
          <w14:textOutline w14:w="4356" w14:cap="sq" w14:cmpd="sng" w14:algn="ctr">
            <w14:solidFill>
              <w14:srgbClr w14:val="000000"/>
            </w14:solidFill>
            <w14:prstDash w14:val="solid"/>
            <w14:bevel/>
          </w14:textOutline>
        </w:rPr>
        <w:t>(补充用水)</w:t>
      </w:r>
    </w:p>
    <w:p w14:paraId="5C3F15FE">
      <w:pPr>
        <w:spacing w:before="191" w:line="374" w:lineRule="auto"/>
        <w:ind w:left="116" w:firstLine="485"/>
        <w:rPr>
          <w:rFonts w:ascii="宋体" w:hAnsi="宋体" w:eastAsia="宋体" w:cs="宋体"/>
          <w:sz w:val="23"/>
          <w:szCs w:val="23"/>
        </w:rPr>
      </w:pPr>
      <w:r>
        <w:rPr>
          <w:rFonts w:ascii="宋体" w:hAnsi="宋体" w:eastAsia="宋体" w:cs="宋体"/>
          <w:spacing w:val="7"/>
          <w:sz w:val="23"/>
          <w:szCs w:val="23"/>
        </w:rPr>
        <w:t>项目降温主要为夏季降温，采取水帘降温系统，项目每个猪舍一端设置水帘，另一端</w:t>
      </w:r>
      <w:r>
        <w:rPr>
          <w:rFonts w:ascii="宋体" w:hAnsi="宋体" w:eastAsia="宋体" w:cs="宋体"/>
          <w:spacing w:val="4"/>
          <w:sz w:val="23"/>
          <w:szCs w:val="23"/>
        </w:rPr>
        <w:t>设</w:t>
      </w:r>
      <w:r>
        <w:rPr>
          <w:rFonts w:ascii="宋体" w:hAnsi="宋体" w:eastAsia="宋体" w:cs="宋体"/>
          <w:sz w:val="23"/>
          <w:szCs w:val="23"/>
        </w:rPr>
        <w:t xml:space="preserve"> </w:t>
      </w:r>
      <w:r>
        <w:rPr>
          <w:rFonts w:ascii="宋体" w:hAnsi="宋体" w:eastAsia="宋体" w:cs="宋体"/>
          <w:spacing w:val="14"/>
          <w:sz w:val="23"/>
          <w:szCs w:val="23"/>
        </w:rPr>
        <w:t>置</w:t>
      </w:r>
      <w:r>
        <w:rPr>
          <w:rFonts w:ascii="宋体" w:hAnsi="宋体" w:eastAsia="宋体" w:cs="宋体"/>
          <w:spacing w:val="9"/>
          <w:sz w:val="23"/>
          <w:szCs w:val="23"/>
        </w:rPr>
        <w:t>水</w:t>
      </w:r>
      <w:r>
        <w:rPr>
          <w:rFonts w:ascii="宋体" w:hAnsi="宋体" w:eastAsia="宋体" w:cs="宋体"/>
          <w:spacing w:val="7"/>
          <w:sz w:val="23"/>
          <w:szCs w:val="23"/>
        </w:rPr>
        <w:t>帘式风机，外界空气经水帘降温进入猪舍，猪舍内臭气经水帘式风机净化除臭。根据运</w:t>
      </w:r>
      <w:r>
        <w:rPr>
          <w:rFonts w:ascii="宋体" w:hAnsi="宋体" w:eastAsia="宋体" w:cs="宋体"/>
          <w:sz w:val="23"/>
          <w:szCs w:val="23"/>
        </w:rPr>
        <w:t xml:space="preserve"> </w:t>
      </w:r>
      <w:r>
        <w:rPr>
          <w:rFonts w:ascii="宋体" w:hAnsi="宋体" w:eastAsia="宋体" w:cs="宋体"/>
          <w:spacing w:val="4"/>
          <w:sz w:val="23"/>
          <w:szCs w:val="23"/>
        </w:rPr>
        <w:t>行经验，项目每</w:t>
      </w:r>
      <w:r>
        <w:rPr>
          <w:rFonts w:ascii="宋体" w:hAnsi="宋体" w:eastAsia="宋体" w:cs="宋体"/>
          <w:spacing w:val="2"/>
          <w:sz w:val="23"/>
          <w:szCs w:val="23"/>
        </w:rPr>
        <w:t xml:space="preserve">个猪舍水帘循环水用水量约为 </w:t>
      </w:r>
      <w:r>
        <w:rPr>
          <w:rFonts w:ascii="Times New Roman" w:hAnsi="Times New Roman" w:eastAsia="Times New Roman" w:cs="Times New Roman"/>
          <w:spacing w:val="2"/>
          <w:sz w:val="23"/>
          <w:szCs w:val="23"/>
        </w:rPr>
        <w:t>2</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d</w:t>
      </w:r>
      <w:r>
        <w:rPr>
          <w:rFonts w:ascii="宋体" w:hAnsi="宋体" w:eastAsia="宋体" w:cs="宋体"/>
          <w:spacing w:val="2"/>
          <w:sz w:val="23"/>
          <w:szCs w:val="23"/>
        </w:rPr>
        <w:t xml:space="preserve">，猪舍水帘循环水总用水量约为 </w:t>
      </w:r>
      <w:r>
        <w:rPr>
          <w:rFonts w:ascii="Times New Roman" w:hAnsi="Times New Roman" w:eastAsia="Times New Roman" w:cs="Times New Roman"/>
          <w:spacing w:val="2"/>
          <w:sz w:val="23"/>
          <w:szCs w:val="23"/>
        </w:rPr>
        <w:t>16</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d</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4"/>
          <w:sz w:val="23"/>
          <w:szCs w:val="23"/>
        </w:rPr>
        <w:t>日蒸发量按</w:t>
      </w:r>
      <w:r>
        <w:rPr>
          <w:rFonts w:ascii="宋体" w:hAnsi="宋体" w:eastAsia="宋体" w:cs="宋体"/>
          <w:spacing w:val="3"/>
          <w:sz w:val="23"/>
          <w:szCs w:val="23"/>
        </w:rPr>
        <w:t xml:space="preserve"> </w:t>
      </w:r>
      <w:r>
        <w:rPr>
          <w:rFonts w:ascii="Times New Roman" w:hAnsi="Times New Roman" w:eastAsia="Times New Roman" w:cs="Times New Roman"/>
          <w:spacing w:val="2"/>
          <w:sz w:val="23"/>
          <w:szCs w:val="23"/>
        </w:rPr>
        <w:t>40%</w:t>
      </w:r>
      <w:r>
        <w:rPr>
          <w:rFonts w:ascii="宋体" w:hAnsi="宋体" w:eastAsia="宋体" w:cs="宋体"/>
          <w:spacing w:val="2"/>
          <w:sz w:val="23"/>
          <w:szCs w:val="23"/>
        </w:rPr>
        <w:t xml:space="preserve">计，则每天需补充损耗的水量为 </w:t>
      </w:r>
      <w:r>
        <w:rPr>
          <w:rFonts w:ascii="Times New Roman" w:hAnsi="Times New Roman" w:eastAsia="Times New Roman" w:cs="Times New Roman"/>
          <w:spacing w:val="2"/>
          <w:sz w:val="23"/>
          <w:szCs w:val="23"/>
        </w:rPr>
        <w:t>6.4</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 xml:space="preserve">，每年降温时间按 </w:t>
      </w:r>
      <w:r>
        <w:rPr>
          <w:rFonts w:ascii="Times New Roman" w:hAnsi="Times New Roman" w:eastAsia="Times New Roman" w:cs="Times New Roman"/>
          <w:spacing w:val="2"/>
          <w:sz w:val="23"/>
          <w:szCs w:val="23"/>
        </w:rPr>
        <w:t xml:space="preserve">6 </w:t>
      </w:r>
      <w:r>
        <w:rPr>
          <w:rFonts w:ascii="宋体" w:hAnsi="宋体" w:eastAsia="宋体" w:cs="宋体"/>
          <w:spacing w:val="2"/>
          <w:sz w:val="23"/>
          <w:szCs w:val="23"/>
        </w:rPr>
        <w:t>个月 (</w:t>
      </w:r>
      <w:r>
        <w:rPr>
          <w:rFonts w:ascii="Times New Roman" w:hAnsi="Times New Roman" w:eastAsia="Times New Roman" w:cs="Times New Roman"/>
          <w:spacing w:val="2"/>
          <w:sz w:val="23"/>
          <w:szCs w:val="23"/>
        </w:rPr>
        <w:t xml:space="preserve">180 </w:t>
      </w:r>
      <w:r>
        <w:rPr>
          <w:rFonts w:ascii="宋体" w:hAnsi="宋体" w:eastAsia="宋体" w:cs="宋体"/>
          <w:spacing w:val="2"/>
          <w:sz w:val="23"/>
          <w:szCs w:val="23"/>
        </w:rPr>
        <w:t>天)</w:t>
      </w:r>
      <w:r>
        <w:rPr>
          <w:rFonts w:ascii="宋体" w:hAnsi="宋体" w:eastAsia="宋体" w:cs="宋体"/>
          <w:sz w:val="23"/>
          <w:szCs w:val="23"/>
        </w:rPr>
        <w:t xml:space="preserve"> </w:t>
      </w:r>
      <w:r>
        <w:rPr>
          <w:rFonts w:ascii="宋体" w:hAnsi="宋体" w:eastAsia="宋体" w:cs="宋体"/>
          <w:spacing w:val="2"/>
          <w:sz w:val="23"/>
          <w:szCs w:val="23"/>
        </w:rPr>
        <w:t>计，则年补充新</w:t>
      </w:r>
      <w:r>
        <w:rPr>
          <w:rFonts w:ascii="宋体" w:hAnsi="宋体" w:eastAsia="宋体" w:cs="宋体"/>
          <w:spacing w:val="1"/>
          <w:sz w:val="23"/>
          <w:szCs w:val="23"/>
        </w:rPr>
        <w:t xml:space="preserve">鲜水量为 </w:t>
      </w:r>
      <w:r>
        <w:rPr>
          <w:rFonts w:ascii="Times New Roman" w:hAnsi="Times New Roman" w:eastAsia="Times New Roman" w:cs="Times New Roman"/>
          <w:spacing w:val="1"/>
          <w:sz w:val="23"/>
          <w:szCs w:val="23"/>
        </w:rPr>
        <w:t>1152</w:t>
      </w:r>
      <w:r>
        <w:rPr>
          <w:rFonts w:ascii="Times New Roman" w:hAnsi="Times New Roman" w:eastAsia="Times New Roman" w:cs="Times New Roman"/>
          <w:sz w:val="23"/>
          <w:szCs w:val="23"/>
        </w:rPr>
        <w:t>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 xml:space="preserve">，平均到每天耗水量为 </w:t>
      </w:r>
      <w:r>
        <w:rPr>
          <w:rFonts w:ascii="Times New Roman" w:hAnsi="Times New Roman" w:eastAsia="Times New Roman" w:cs="Times New Roman"/>
          <w:spacing w:val="1"/>
          <w:sz w:val="23"/>
          <w:szCs w:val="23"/>
        </w:rPr>
        <w:t>3. 156</w:t>
      </w:r>
      <w:r>
        <w:rPr>
          <w:rFonts w:ascii="Times New Roman" w:hAnsi="Times New Roman" w:eastAsia="Times New Roman" w:cs="Times New Roman"/>
          <w:sz w:val="23"/>
          <w:szCs w:val="23"/>
        </w:rPr>
        <w:t>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d</w:t>
      </w:r>
      <w:r>
        <w:rPr>
          <w:rFonts w:ascii="宋体" w:hAnsi="宋体" w:eastAsia="宋体" w:cs="宋体"/>
          <w:spacing w:val="1"/>
          <w:sz w:val="23"/>
          <w:szCs w:val="23"/>
        </w:rPr>
        <w:t>。</w:t>
      </w:r>
    </w:p>
    <w:p w14:paraId="7B3B9D77">
      <w:pPr>
        <w:spacing w:line="225" w:lineRule="auto"/>
        <w:ind w:left="596"/>
        <w:rPr>
          <w:rFonts w:ascii="宋体" w:hAnsi="宋体" w:eastAsia="宋体" w:cs="宋体"/>
          <w:sz w:val="23"/>
          <w:szCs w:val="23"/>
        </w:rPr>
      </w:pPr>
      <w:r>
        <w:rPr>
          <w:rFonts w:ascii="宋体" w:hAnsi="宋体" w:eastAsia="宋体" w:cs="宋体"/>
          <w:spacing w:val="13"/>
          <w:sz w:val="23"/>
          <w:szCs w:val="23"/>
          <w14:textOutline w14:w="4356" w14:cap="sq" w14:cmpd="sng" w14:algn="ctr">
            <w14:solidFill>
              <w14:srgbClr w14:val="000000"/>
            </w14:solidFill>
            <w14:prstDash w14:val="solid"/>
            <w14:bevel/>
          </w14:textOutline>
        </w:rPr>
        <w:t>④</w:t>
      </w:r>
      <w:r>
        <w:rPr>
          <w:rFonts w:ascii="宋体" w:hAnsi="宋体" w:eastAsia="宋体" w:cs="宋体"/>
          <w:spacing w:val="9"/>
          <w:sz w:val="23"/>
          <w:szCs w:val="23"/>
          <w14:textOutline w14:w="4356" w14:cap="sq" w14:cmpd="sng" w14:algn="ctr">
            <w14:solidFill>
              <w14:srgbClr w14:val="000000"/>
            </w14:solidFill>
            <w14:prstDash w14:val="solid"/>
            <w14:bevel/>
          </w14:textOutline>
        </w:rPr>
        <w:t>猪舍消毒用水</w:t>
      </w:r>
    </w:p>
    <w:p w14:paraId="3914E986">
      <w:pPr>
        <w:spacing w:before="144" w:line="377" w:lineRule="auto"/>
        <w:ind w:left="117" w:right="101" w:firstLine="481"/>
        <w:rPr>
          <w:rFonts w:ascii="宋体" w:hAnsi="宋体" w:eastAsia="宋体" w:cs="宋体"/>
          <w:sz w:val="23"/>
          <w:szCs w:val="23"/>
        </w:rPr>
      </w:pPr>
      <w:r>
        <w:rPr>
          <w:rFonts w:ascii="宋体" w:hAnsi="宋体" w:eastAsia="宋体" w:cs="宋体"/>
          <w:spacing w:val="5"/>
          <w:sz w:val="23"/>
          <w:szCs w:val="23"/>
        </w:rPr>
        <w:t xml:space="preserve">养猪场需要进行消毒，根据建设单位生产经验，项目需要消毒用水约 </w:t>
      </w:r>
      <w:r>
        <w:rPr>
          <w:rFonts w:ascii="Times New Roman" w:hAnsi="Times New Roman" w:eastAsia="Times New Roman" w:cs="Times New Roman"/>
          <w:spacing w:val="5"/>
          <w:sz w:val="23"/>
          <w:szCs w:val="23"/>
        </w:rPr>
        <w:t>0. 1</w:t>
      </w:r>
      <w:r>
        <w:rPr>
          <w:rFonts w:ascii="Times New Roman" w:hAnsi="Times New Roman" w:eastAsia="Times New Roman" w:cs="Times New Roman"/>
          <w:sz w:val="23"/>
          <w:szCs w:val="23"/>
        </w:rPr>
        <w:t>L</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5"/>
          <w:position w:val="8"/>
          <w:sz w:val="15"/>
          <w:szCs w:val="15"/>
        </w:rPr>
        <w:t xml:space="preserve">2 </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，项</w:t>
      </w:r>
      <w:r>
        <w:rPr>
          <w:rFonts w:ascii="宋体" w:hAnsi="宋体" w:eastAsia="宋体" w:cs="宋体"/>
          <w:spacing w:val="3"/>
          <w:sz w:val="23"/>
          <w:szCs w:val="23"/>
        </w:rPr>
        <w:t>目</w:t>
      </w:r>
      <w:r>
        <w:rPr>
          <w:rFonts w:ascii="宋体" w:hAnsi="宋体" w:eastAsia="宋体" w:cs="宋体"/>
          <w:sz w:val="23"/>
          <w:szCs w:val="23"/>
        </w:rPr>
        <w:t xml:space="preserve"> </w:t>
      </w:r>
      <w:r>
        <w:rPr>
          <w:rFonts w:ascii="宋体" w:hAnsi="宋体" w:eastAsia="宋体" w:cs="宋体"/>
          <w:spacing w:val="3"/>
          <w:sz w:val="23"/>
          <w:szCs w:val="23"/>
        </w:rPr>
        <w:t xml:space="preserve">猪舍总建筑面积约 </w:t>
      </w:r>
      <w:r>
        <w:rPr>
          <w:rFonts w:ascii="Times New Roman" w:hAnsi="Times New Roman" w:eastAsia="Times New Roman" w:cs="Times New Roman"/>
          <w:spacing w:val="3"/>
          <w:sz w:val="23"/>
          <w:szCs w:val="23"/>
        </w:rPr>
        <w:t>14755</w:t>
      </w:r>
      <w:r>
        <w:rPr>
          <w:rFonts w:ascii="Times New Roman" w:hAnsi="Times New Roman" w:eastAsia="Times New Roman" w:cs="Times New Roman"/>
          <w:sz w:val="23"/>
          <w:szCs w:val="23"/>
        </w:rPr>
        <w:t>m</w:t>
      </w:r>
      <w:r>
        <w:rPr>
          <w:rFonts w:ascii="Times New Roman" w:hAnsi="Times New Roman" w:eastAsia="Times New Roman" w:cs="Times New Roman"/>
          <w:spacing w:val="3"/>
          <w:position w:val="7"/>
          <w:sz w:val="15"/>
          <w:szCs w:val="15"/>
        </w:rPr>
        <w:t xml:space="preserve">2 </w:t>
      </w:r>
      <w:r>
        <w:rPr>
          <w:rFonts w:ascii="宋体" w:hAnsi="宋体" w:eastAsia="宋体" w:cs="宋体"/>
          <w:spacing w:val="3"/>
          <w:sz w:val="23"/>
          <w:szCs w:val="23"/>
        </w:rPr>
        <w:t xml:space="preserve">，则每天消毒用水量为 </w:t>
      </w:r>
      <w:r>
        <w:rPr>
          <w:rFonts w:ascii="Times New Roman" w:hAnsi="Times New Roman" w:eastAsia="Times New Roman" w:cs="Times New Roman"/>
          <w:spacing w:val="3"/>
          <w:sz w:val="23"/>
          <w:szCs w:val="23"/>
        </w:rPr>
        <w:t>1.476</w:t>
      </w:r>
      <w:r>
        <w:rPr>
          <w:rFonts w:ascii="Times New Roman" w:hAnsi="Times New Roman" w:eastAsia="Times New Roman" w:cs="Times New Roman"/>
          <w:sz w:val="23"/>
          <w:szCs w:val="23"/>
        </w:rPr>
        <w:t>m</w:t>
      </w:r>
      <w:r>
        <w:rPr>
          <w:rFonts w:ascii="Times New Roman" w:hAnsi="Times New Roman" w:eastAsia="Times New Roman" w:cs="Times New Roman"/>
          <w:spacing w:val="3"/>
          <w:position w:val="7"/>
          <w:sz w:val="15"/>
          <w:szCs w:val="15"/>
        </w:rPr>
        <w:t xml:space="preserve">3 </w:t>
      </w:r>
      <w:r>
        <w:rPr>
          <w:rFonts w:ascii="宋体" w:hAnsi="宋体" w:eastAsia="宋体" w:cs="宋体"/>
          <w:spacing w:val="3"/>
          <w:sz w:val="23"/>
          <w:szCs w:val="23"/>
        </w:rPr>
        <w:t xml:space="preserve">，总用水量为 </w:t>
      </w:r>
      <w:r>
        <w:rPr>
          <w:rFonts w:ascii="Times New Roman" w:hAnsi="Times New Roman" w:eastAsia="Times New Roman" w:cs="Times New Roman"/>
          <w:spacing w:val="3"/>
          <w:sz w:val="23"/>
          <w:szCs w:val="23"/>
        </w:rPr>
        <w:t>538.74</w:t>
      </w:r>
      <w:r>
        <w:rPr>
          <w:rFonts w:ascii="Times New Roman" w:hAnsi="Times New Roman" w:eastAsia="Times New Roman" w:cs="Times New Roman"/>
          <w:sz w:val="23"/>
          <w:szCs w:val="23"/>
        </w:rPr>
        <w:t>m</w:t>
      </w:r>
      <w:r>
        <w:rPr>
          <w:rFonts w:ascii="Times New Roman" w:hAnsi="Times New Roman" w:eastAsia="Times New Roman" w:cs="Times New Roman"/>
          <w:spacing w:val="3"/>
          <w:position w:val="7"/>
          <w:sz w:val="15"/>
          <w:szCs w:val="15"/>
        </w:rPr>
        <w:t>3</w:t>
      </w:r>
      <w:r>
        <w:rPr>
          <w:rFonts w:ascii="Times New Roman" w:hAnsi="Times New Roman" w:eastAsia="Times New Roman" w:cs="Times New Roman"/>
          <w:spacing w:val="3"/>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3"/>
          <w:sz w:val="23"/>
          <w:szCs w:val="23"/>
        </w:rPr>
        <w:t xml:space="preserve"> </w:t>
      </w:r>
      <w:r>
        <w:rPr>
          <w:rFonts w:ascii="宋体" w:hAnsi="宋体" w:eastAsia="宋体" w:cs="宋体"/>
          <w:sz w:val="23"/>
          <w:szCs w:val="23"/>
        </w:rPr>
        <w:t xml:space="preserve">，消毒 </w:t>
      </w:r>
      <w:r>
        <w:rPr>
          <w:rFonts w:ascii="宋体" w:hAnsi="宋体" w:eastAsia="宋体" w:cs="宋体"/>
          <w:spacing w:val="15"/>
          <w:sz w:val="23"/>
          <w:szCs w:val="23"/>
        </w:rPr>
        <w:t>废</w:t>
      </w:r>
      <w:r>
        <w:rPr>
          <w:rFonts w:ascii="宋体" w:hAnsi="宋体" w:eastAsia="宋体" w:cs="宋体"/>
          <w:spacing w:val="8"/>
          <w:sz w:val="23"/>
          <w:szCs w:val="23"/>
        </w:rPr>
        <w:t>水只是挥发损耗，不排放。</w:t>
      </w:r>
    </w:p>
    <w:p w14:paraId="724F86EE">
      <w:pPr>
        <w:sectPr>
          <w:headerReference r:id="rId110" w:type="default"/>
          <w:footerReference r:id="rId111" w:type="default"/>
          <w:pgSz w:w="11907" w:h="16840"/>
          <w:pgMar w:top="829" w:right="1029" w:bottom="1139" w:left="1168" w:header="595" w:footer="953" w:gutter="0"/>
          <w:cols w:space="720" w:num="1"/>
        </w:sectPr>
      </w:pPr>
    </w:p>
    <w:p w14:paraId="6FF83CB6">
      <w:pPr>
        <w:spacing w:before="146" w:line="225" w:lineRule="auto"/>
        <w:ind w:left="596"/>
        <w:rPr>
          <w:rFonts w:ascii="宋体" w:hAnsi="宋体" w:eastAsia="宋体" w:cs="宋体"/>
          <w:sz w:val="23"/>
          <w:szCs w:val="23"/>
        </w:rPr>
      </w:pPr>
      <w:r>
        <w:rPr>
          <w:rFonts w:ascii="宋体" w:hAnsi="宋体" w:eastAsia="宋体" w:cs="宋体"/>
          <w:spacing w:val="16"/>
          <w:sz w:val="23"/>
          <w:szCs w:val="23"/>
          <w14:textOutline w14:w="4356" w14:cap="sq" w14:cmpd="sng" w14:algn="ctr">
            <w14:solidFill>
              <w14:srgbClr w14:val="000000"/>
            </w14:solidFill>
            <w14:prstDash w14:val="solid"/>
            <w14:bevel/>
          </w14:textOutline>
        </w:rPr>
        <w:t>⑤</w:t>
      </w:r>
      <w:r>
        <w:rPr>
          <w:rFonts w:ascii="宋体" w:hAnsi="宋体" w:eastAsia="宋体" w:cs="宋体"/>
          <w:spacing w:val="10"/>
          <w:sz w:val="23"/>
          <w:szCs w:val="23"/>
          <w14:textOutline w14:w="4356" w14:cap="sq" w14:cmpd="sng" w14:algn="ctr">
            <w14:solidFill>
              <w14:srgbClr w14:val="000000"/>
            </w14:solidFill>
            <w14:prstDash w14:val="solid"/>
            <w14:bevel/>
          </w14:textOutline>
        </w:rPr>
        <w:t>生</w:t>
      </w:r>
      <w:r>
        <w:rPr>
          <w:rFonts w:ascii="宋体" w:hAnsi="宋体" w:eastAsia="宋体" w:cs="宋体"/>
          <w:spacing w:val="8"/>
          <w:sz w:val="23"/>
          <w:szCs w:val="23"/>
          <w14:textOutline w14:w="4356" w14:cap="sq" w14:cmpd="sng" w14:algn="ctr">
            <w14:solidFill>
              <w14:srgbClr w14:val="000000"/>
            </w14:solidFill>
            <w14:prstDash w14:val="solid"/>
            <w14:bevel/>
          </w14:textOutline>
        </w:rPr>
        <w:t>活用水</w:t>
      </w:r>
      <w:r>
        <w:rPr>
          <w:rFonts w:ascii="宋体" w:hAnsi="宋体" w:eastAsia="宋体" w:cs="宋体"/>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(包含食堂用水)</w:t>
      </w:r>
    </w:p>
    <w:p w14:paraId="213E13D2">
      <w:pPr>
        <w:spacing w:before="185" w:line="375" w:lineRule="auto"/>
        <w:ind w:left="120" w:right="105" w:firstLine="479"/>
        <w:rPr>
          <w:rFonts w:ascii="宋体" w:hAnsi="宋体" w:eastAsia="宋体" w:cs="宋体"/>
          <w:sz w:val="23"/>
          <w:szCs w:val="23"/>
        </w:rPr>
      </w:pPr>
      <w:r>
        <w:rPr>
          <w:rFonts w:ascii="宋体" w:hAnsi="宋体" w:eastAsia="宋体" w:cs="宋体"/>
          <w:spacing w:val="6"/>
          <w:sz w:val="23"/>
          <w:szCs w:val="23"/>
        </w:rPr>
        <w:t>本项目有</w:t>
      </w:r>
      <w:r>
        <w:rPr>
          <w:rFonts w:ascii="宋体" w:hAnsi="宋体" w:eastAsia="宋体" w:cs="宋体"/>
          <w:spacing w:val="5"/>
          <w:sz w:val="23"/>
          <w:szCs w:val="23"/>
        </w:rPr>
        <w:t>员</w:t>
      </w:r>
      <w:r>
        <w:rPr>
          <w:rFonts w:ascii="宋体" w:hAnsi="宋体" w:eastAsia="宋体" w:cs="宋体"/>
          <w:spacing w:val="3"/>
          <w:sz w:val="23"/>
          <w:szCs w:val="23"/>
        </w:rPr>
        <w:t xml:space="preserve">工 </w:t>
      </w:r>
      <w:r>
        <w:rPr>
          <w:rFonts w:ascii="Times New Roman" w:hAnsi="Times New Roman" w:eastAsia="Times New Roman" w:cs="Times New Roman"/>
          <w:spacing w:val="3"/>
          <w:sz w:val="23"/>
          <w:szCs w:val="23"/>
        </w:rPr>
        <w:t xml:space="preserve">12 </w:t>
      </w:r>
      <w:r>
        <w:rPr>
          <w:rFonts w:ascii="宋体" w:hAnsi="宋体" w:eastAsia="宋体" w:cs="宋体"/>
          <w:spacing w:val="3"/>
          <w:sz w:val="23"/>
          <w:szCs w:val="23"/>
        </w:rPr>
        <w:t xml:space="preserve">人，其中留宿 </w:t>
      </w:r>
      <w:r>
        <w:rPr>
          <w:rFonts w:ascii="Times New Roman" w:hAnsi="Times New Roman" w:eastAsia="Times New Roman" w:cs="Times New Roman"/>
          <w:spacing w:val="3"/>
          <w:sz w:val="23"/>
          <w:szCs w:val="23"/>
        </w:rPr>
        <w:t xml:space="preserve">8 </w:t>
      </w:r>
      <w:r>
        <w:rPr>
          <w:rFonts w:ascii="宋体" w:hAnsi="宋体" w:eastAsia="宋体" w:cs="宋体"/>
          <w:spacing w:val="3"/>
          <w:sz w:val="23"/>
          <w:szCs w:val="23"/>
        </w:rPr>
        <w:t>人。参照《四川省用水定额》  (修订稿) 并结合项目</w:t>
      </w:r>
      <w:r>
        <w:rPr>
          <w:rFonts w:ascii="宋体" w:hAnsi="宋体" w:eastAsia="宋体" w:cs="宋体"/>
          <w:sz w:val="23"/>
          <w:szCs w:val="23"/>
        </w:rPr>
        <w:t xml:space="preserve"> </w:t>
      </w:r>
      <w:r>
        <w:rPr>
          <w:rFonts w:ascii="宋体" w:hAnsi="宋体" w:eastAsia="宋体" w:cs="宋体"/>
          <w:spacing w:val="2"/>
          <w:sz w:val="23"/>
          <w:szCs w:val="23"/>
        </w:rPr>
        <w:t xml:space="preserve">实际情况，不留宿员工用水量按 </w:t>
      </w:r>
      <w:r>
        <w:rPr>
          <w:rFonts w:ascii="Times New Roman" w:hAnsi="Times New Roman" w:eastAsia="Times New Roman" w:cs="Times New Roman"/>
          <w:spacing w:val="2"/>
          <w:sz w:val="23"/>
          <w:szCs w:val="23"/>
        </w:rPr>
        <w:t>50</w:t>
      </w:r>
      <w:r>
        <w:rPr>
          <w:rFonts w:ascii="Times New Roman" w:hAnsi="Times New Roman" w:eastAsia="Times New Roman" w:cs="Times New Roman"/>
          <w:sz w:val="23"/>
          <w:szCs w:val="23"/>
        </w:rPr>
        <w:t>L</w:t>
      </w:r>
      <w:r>
        <w:rPr>
          <w:rFonts w:ascii="Times New Roman" w:hAnsi="Times New Roman" w:eastAsia="Times New Roman" w:cs="Times New Roman"/>
          <w:spacing w:val="2"/>
          <w:sz w:val="23"/>
          <w:szCs w:val="23"/>
        </w:rPr>
        <w:t>/</w:t>
      </w:r>
      <w:r>
        <w:rPr>
          <w:rFonts w:ascii="宋体" w:hAnsi="宋体" w:eastAsia="宋体" w:cs="宋体"/>
          <w:spacing w:val="2"/>
          <w:sz w:val="23"/>
          <w:szCs w:val="23"/>
        </w:rPr>
        <w:t>人</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计算</w:t>
      </w:r>
      <w:r>
        <w:rPr>
          <w:rFonts w:ascii="宋体" w:hAnsi="宋体" w:eastAsia="宋体" w:cs="宋体"/>
          <w:spacing w:val="1"/>
          <w:sz w:val="23"/>
          <w:szCs w:val="23"/>
        </w:rPr>
        <w:t xml:space="preserve">，留宿员工用水量按 </w:t>
      </w:r>
      <w:r>
        <w:rPr>
          <w:rFonts w:ascii="Times New Roman" w:hAnsi="Times New Roman" w:eastAsia="Times New Roman" w:cs="Times New Roman"/>
          <w:spacing w:val="1"/>
          <w:sz w:val="23"/>
          <w:szCs w:val="23"/>
        </w:rPr>
        <w:t>100</w:t>
      </w:r>
      <w:r>
        <w:rPr>
          <w:rFonts w:ascii="Times New Roman" w:hAnsi="Times New Roman" w:eastAsia="Times New Roman" w:cs="Times New Roman"/>
          <w:sz w:val="23"/>
          <w:szCs w:val="23"/>
        </w:rPr>
        <w:t>L</w:t>
      </w:r>
      <w:r>
        <w:rPr>
          <w:rFonts w:ascii="Times New Roman" w:hAnsi="Times New Roman" w:eastAsia="Times New Roman" w:cs="Times New Roman"/>
          <w:spacing w:val="1"/>
          <w:sz w:val="23"/>
          <w:szCs w:val="23"/>
        </w:rPr>
        <w:t>/</w:t>
      </w:r>
      <w:r>
        <w:rPr>
          <w:rFonts w:ascii="宋体" w:hAnsi="宋体" w:eastAsia="宋体" w:cs="宋体"/>
          <w:spacing w:val="1"/>
          <w:sz w:val="23"/>
          <w:szCs w:val="23"/>
        </w:rPr>
        <w:t xml:space="preserve">人 </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计算。则生活</w:t>
      </w:r>
      <w:r>
        <w:rPr>
          <w:rFonts w:ascii="宋体" w:hAnsi="宋体" w:eastAsia="宋体" w:cs="宋体"/>
          <w:sz w:val="23"/>
          <w:szCs w:val="23"/>
        </w:rPr>
        <w:t xml:space="preserve"> </w:t>
      </w:r>
      <w:r>
        <w:rPr>
          <w:rFonts w:ascii="宋体" w:hAnsi="宋体" w:eastAsia="宋体" w:cs="宋体"/>
          <w:spacing w:val="-1"/>
          <w:sz w:val="23"/>
          <w:szCs w:val="23"/>
        </w:rPr>
        <w:t xml:space="preserve">用水量为 </w:t>
      </w:r>
      <w:r>
        <w:rPr>
          <w:rFonts w:ascii="Times New Roman" w:hAnsi="Times New Roman" w:eastAsia="Times New Roman" w:cs="Times New Roman"/>
          <w:spacing w:val="-1"/>
          <w:sz w:val="23"/>
          <w:szCs w:val="23"/>
        </w:rPr>
        <w:t xml:space="preserve">1m³/d </w:t>
      </w:r>
      <w:r>
        <w:rPr>
          <w:rFonts w:ascii="宋体" w:hAnsi="宋体" w:eastAsia="宋体" w:cs="宋体"/>
          <w:spacing w:val="-1"/>
          <w:sz w:val="23"/>
          <w:szCs w:val="23"/>
        </w:rPr>
        <w:t>，</w:t>
      </w:r>
      <w:r>
        <w:rPr>
          <w:rFonts w:ascii="Times New Roman" w:hAnsi="Times New Roman" w:eastAsia="Times New Roman" w:cs="Times New Roman"/>
          <w:spacing w:val="-1"/>
          <w:sz w:val="23"/>
          <w:szCs w:val="23"/>
        </w:rPr>
        <w:t>365</w:t>
      </w:r>
      <w:r>
        <w:rPr>
          <w:rFonts w:ascii="Times New Roman" w:hAnsi="Times New Roman" w:eastAsia="Times New Roman" w:cs="Times New Roman"/>
          <w:sz w:val="23"/>
          <w:szCs w:val="23"/>
        </w:rPr>
        <w:t>m</w:t>
      </w:r>
      <w:r>
        <w:rPr>
          <w:rFonts w:ascii="Times New Roman" w:hAnsi="Times New Roman" w:eastAsia="Times New Roman" w:cs="Times New Roman"/>
          <w:spacing w:val="-1"/>
          <w:sz w:val="23"/>
          <w:szCs w:val="23"/>
        </w:rPr>
        <w:t>³/</w:t>
      </w:r>
      <w:r>
        <w:rPr>
          <w:rFonts w:ascii="Times New Roman" w:hAnsi="Times New Roman" w:eastAsia="Times New Roman" w:cs="Times New Roman"/>
          <w:sz w:val="23"/>
          <w:szCs w:val="23"/>
        </w:rPr>
        <w:t>a</w:t>
      </w:r>
      <w:r>
        <w:rPr>
          <w:rFonts w:ascii="宋体" w:hAnsi="宋体" w:eastAsia="宋体" w:cs="宋体"/>
          <w:spacing w:val="-1"/>
          <w:sz w:val="23"/>
          <w:szCs w:val="23"/>
        </w:rPr>
        <w:t>。</w:t>
      </w:r>
    </w:p>
    <w:p w14:paraId="658B22F3">
      <w:pPr>
        <w:spacing w:line="225" w:lineRule="auto"/>
        <w:ind w:left="596"/>
        <w:rPr>
          <w:rFonts w:ascii="宋体" w:hAnsi="宋体" w:eastAsia="宋体" w:cs="宋体"/>
          <w:sz w:val="23"/>
          <w:szCs w:val="23"/>
        </w:rPr>
      </w:pPr>
      <w:r>
        <w:rPr>
          <w:rFonts w:ascii="宋体" w:hAnsi="宋体" w:eastAsia="宋体" w:cs="宋体"/>
          <w:spacing w:val="9"/>
          <w:sz w:val="23"/>
          <w:szCs w:val="23"/>
          <w14:textOutline w14:w="4356" w14:cap="sq" w14:cmpd="sng" w14:algn="ctr">
            <w14:solidFill>
              <w14:srgbClr w14:val="000000"/>
            </w14:solidFill>
            <w14:prstDash w14:val="solid"/>
            <w14:bevel/>
          </w14:textOutline>
        </w:rPr>
        <w:t>⑥绿化用</w:t>
      </w:r>
      <w:r>
        <w:rPr>
          <w:rFonts w:ascii="宋体" w:hAnsi="宋体" w:eastAsia="宋体" w:cs="宋体"/>
          <w:spacing w:val="8"/>
          <w:sz w:val="23"/>
          <w:szCs w:val="23"/>
          <w14:textOutline w14:w="4356" w14:cap="sq" w14:cmpd="sng" w14:algn="ctr">
            <w14:solidFill>
              <w14:srgbClr w14:val="000000"/>
            </w14:solidFill>
            <w14:prstDash w14:val="solid"/>
            <w14:bevel/>
          </w14:textOutline>
        </w:rPr>
        <w:t>水</w:t>
      </w:r>
    </w:p>
    <w:p w14:paraId="25C89EF1">
      <w:pPr>
        <w:spacing w:before="141" w:line="388" w:lineRule="auto"/>
        <w:ind w:left="135" w:right="102" w:firstLine="464"/>
        <w:rPr>
          <w:rFonts w:ascii="宋体" w:hAnsi="宋体" w:eastAsia="宋体" w:cs="宋体"/>
          <w:sz w:val="23"/>
          <w:szCs w:val="23"/>
        </w:rPr>
      </w:pPr>
      <w:r>
        <w:rPr>
          <w:rFonts w:ascii="宋体" w:hAnsi="宋体" w:eastAsia="宋体" w:cs="宋体"/>
          <w:spacing w:val="2"/>
          <w:sz w:val="23"/>
          <w:szCs w:val="23"/>
        </w:rPr>
        <w:t xml:space="preserve">绿化面积 </w:t>
      </w:r>
      <w:r>
        <w:rPr>
          <w:rFonts w:ascii="Times New Roman" w:hAnsi="Times New Roman" w:eastAsia="Times New Roman" w:cs="Times New Roman"/>
          <w:spacing w:val="2"/>
          <w:sz w:val="23"/>
          <w:szCs w:val="23"/>
        </w:rPr>
        <w:t>2000</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7"/>
          <w:sz w:val="15"/>
          <w:szCs w:val="15"/>
        </w:rPr>
        <w:t xml:space="preserve">2 </w:t>
      </w:r>
      <w:r>
        <w:rPr>
          <w:rFonts w:ascii="宋体" w:hAnsi="宋体" w:eastAsia="宋体" w:cs="宋体"/>
          <w:spacing w:val="2"/>
          <w:sz w:val="23"/>
          <w:szCs w:val="23"/>
        </w:rPr>
        <w:t xml:space="preserve">，按 </w:t>
      </w:r>
      <w:r>
        <w:rPr>
          <w:rFonts w:ascii="Times New Roman" w:hAnsi="Times New Roman" w:eastAsia="Times New Roman" w:cs="Times New Roman"/>
          <w:spacing w:val="2"/>
          <w:sz w:val="23"/>
          <w:szCs w:val="23"/>
        </w:rPr>
        <w:t>2</w:t>
      </w:r>
      <w:r>
        <w:rPr>
          <w:rFonts w:ascii="Times New Roman" w:hAnsi="Times New Roman" w:eastAsia="Times New Roman" w:cs="Times New Roman"/>
          <w:sz w:val="23"/>
          <w:szCs w:val="23"/>
        </w:rPr>
        <w:t>L</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7"/>
          <w:sz w:val="15"/>
          <w:szCs w:val="15"/>
        </w:rPr>
        <w:t xml:space="preserve">2 </w:t>
      </w:r>
      <w:r>
        <w:rPr>
          <w:rFonts w:ascii="Times New Roman" w:hAnsi="Times New Roman" w:eastAsia="Times New Roman" w:cs="Times New Roman"/>
          <w:spacing w:val="2"/>
          <w:sz w:val="23"/>
          <w:szCs w:val="23"/>
        </w:rPr>
        <w:t>·</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 xml:space="preserve">次计算，本项目绿化用水量为 </w:t>
      </w:r>
      <w:r>
        <w:rPr>
          <w:rFonts w:ascii="Times New Roman" w:hAnsi="Times New Roman" w:eastAsia="Times New Roman" w:cs="Times New Roman"/>
          <w:spacing w:val="1"/>
          <w:sz w:val="23"/>
          <w:szCs w:val="23"/>
        </w:rPr>
        <w:t>4</w:t>
      </w:r>
      <w:r>
        <w:rPr>
          <w:rFonts w:ascii="Times New Roman" w:hAnsi="Times New Roman" w:eastAsia="Times New Roman" w:cs="Times New Roman"/>
          <w:sz w:val="23"/>
          <w:szCs w:val="23"/>
        </w:rPr>
        <w:t>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
          <w:sz w:val="23"/>
          <w:szCs w:val="23"/>
        </w:rPr>
        <w:t>/</w:t>
      </w:r>
      <w:r>
        <w:rPr>
          <w:rFonts w:ascii="宋体" w:hAnsi="宋体" w:eastAsia="宋体" w:cs="宋体"/>
          <w:spacing w:val="1"/>
          <w:sz w:val="23"/>
          <w:szCs w:val="23"/>
        </w:rPr>
        <w:t>次，每三天浇灌一次厂</w:t>
      </w:r>
      <w:r>
        <w:rPr>
          <w:rFonts w:ascii="宋体" w:hAnsi="宋体" w:eastAsia="宋体" w:cs="宋体"/>
          <w:sz w:val="23"/>
          <w:szCs w:val="23"/>
        </w:rPr>
        <w:t xml:space="preserve"> </w:t>
      </w:r>
      <w:r>
        <w:rPr>
          <w:rFonts w:ascii="宋体" w:hAnsi="宋体" w:eastAsia="宋体" w:cs="宋体"/>
          <w:spacing w:val="2"/>
          <w:sz w:val="23"/>
          <w:szCs w:val="23"/>
        </w:rPr>
        <w:t xml:space="preserve">区绿化，合计 </w:t>
      </w:r>
      <w:r>
        <w:rPr>
          <w:rFonts w:ascii="Times New Roman" w:hAnsi="Times New Roman" w:eastAsia="Times New Roman" w:cs="Times New Roman"/>
          <w:spacing w:val="1"/>
          <w:sz w:val="23"/>
          <w:szCs w:val="23"/>
        </w:rPr>
        <w:t>486.67</w:t>
      </w:r>
      <w:r>
        <w:rPr>
          <w:rFonts w:ascii="Times New Roman" w:hAnsi="Times New Roman" w:eastAsia="Times New Roman" w:cs="Times New Roman"/>
          <w:sz w:val="23"/>
          <w:szCs w:val="23"/>
        </w:rPr>
        <w:t>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a</w:t>
      </w:r>
      <w:r>
        <w:rPr>
          <w:rFonts w:ascii="宋体" w:hAnsi="宋体" w:eastAsia="宋体" w:cs="宋体"/>
          <w:spacing w:val="1"/>
          <w:sz w:val="23"/>
          <w:szCs w:val="23"/>
        </w:rPr>
        <w:t>。</w:t>
      </w:r>
    </w:p>
    <w:p w14:paraId="1C865526">
      <w:pPr>
        <w:spacing w:before="12" w:line="225" w:lineRule="auto"/>
        <w:ind w:left="596"/>
        <w:rPr>
          <w:rFonts w:ascii="宋体" w:hAnsi="宋体" w:eastAsia="宋体" w:cs="宋体"/>
          <w:sz w:val="23"/>
          <w:szCs w:val="23"/>
        </w:rPr>
      </w:pPr>
      <w:r>
        <w:rPr>
          <w:rFonts w:ascii="宋体" w:hAnsi="宋体" w:eastAsia="宋体" w:cs="宋体"/>
          <w:spacing w:val="12"/>
          <w:sz w:val="23"/>
          <w:szCs w:val="23"/>
          <w14:textOutline w14:w="4356" w14:cap="sq" w14:cmpd="sng" w14:algn="ctr">
            <w14:solidFill>
              <w14:srgbClr w14:val="000000"/>
            </w14:solidFill>
            <w14:prstDash w14:val="solid"/>
            <w14:bevel/>
          </w14:textOutline>
        </w:rPr>
        <w:t>⑦</w:t>
      </w:r>
      <w:r>
        <w:rPr>
          <w:rFonts w:ascii="宋体" w:hAnsi="宋体" w:eastAsia="宋体" w:cs="宋体"/>
          <w:spacing w:val="9"/>
          <w:sz w:val="23"/>
          <w:szCs w:val="23"/>
          <w14:textOutline w14:w="4356" w14:cap="sq" w14:cmpd="sng" w14:algn="ctr">
            <w14:solidFill>
              <w14:srgbClr w14:val="000000"/>
            </w14:solidFill>
            <w14:prstDash w14:val="solid"/>
            <w14:bevel/>
          </w14:textOutline>
        </w:rPr>
        <w:t>未预见用水</w:t>
      </w:r>
    </w:p>
    <w:p w14:paraId="687D6539">
      <w:pPr>
        <w:spacing w:before="141" w:line="323" w:lineRule="exact"/>
        <w:ind w:left="602"/>
        <w:rPr>
          <w:rFonts w:ascii="宋体" w:hAnsi="宋体" w:eastAsia="宋体" w:cs="宋体"/>
          <w:sz w:val="23"/>
          <w:szCs w:val="23"/>
        </w:rPr>
      </w:pPr>
      <w:r>
        <w:rPr>
          <w:rFonts w:ascii="宋体" w:hAnsi="宋体" w:eastAsia="宋体" w:cs="宋体"/>
          <w:spacing w:val="8"/>
          <w:position w:val="1"/>
          <w:sz w:val="23"/>
          <w:szCs w:val="23"/>
        </w:rPr>
        <w:t>不可</w:t>
      </w:r>
      <w:r>
        <w:rPr>
          <w:rFonts w:ascii="宋体" w:hAnsi="宋体" w:eastAsia="宋体" w:cs="宋体"/>
          <w:spacing w:val="4"/>
          <w:position w:val="1"/>
          <w:sz w:val="23"/>
          <w:szCs w:val="23"/>
        </w:rPr>
        <w:t xml:space="preserve">预见用水为上述用水量的 </w:t>
      </w:r>
      <w:r>
        <w:rPr>
          <w:rFonts w:ascii="Times New Roman" w:hAnsi="Times New Roman" w:eastAsia="Times New Roman" w:cs="Times New Roman"/>
          <w:spacing w:val="4"/>
          <w:position w:val="1"/>
          <w:sz w:val="23"/>
          <w:szCs w:val="23"/>
        </w:rPr>
        <w:t>10%</w:t>
      </w:r>
      <w:r>
        <w:rPr>
          <w:rFonts w:ascii="宋体" w:hAnsi="宋体" w:eastAsia="宋体" w:cs="宋体"/>
          <w:spacing w:val="4"/>
          <w:position w:val="1"/>
          <w:sz w:val="23"/>
          <w:szCs w:val="23"/>
        </w:rPr>
        <w:t>。</w:t>
      </w:r>
    </w:p>
    <w:p w14:paraId="2DA1346B">
      <w:pPr>
        <w:spacing w:before="187" w:line="227" w:lineRule="auto"/>
        <w:ind w:left="609"/>
        <w:rPr>
          <w:rFonts w:ascii="宋体" w:hAnsi="宋体" w:eastAsia="宋体" w:cs="宋体"/>
          <w:sz w:val="23"/>
          <w:szCs w:val="23"/>
        </w:rPr>
      </w:pP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9"/>
          <w:sz w:val="23"/>
          <w:szCs w:val="23"/>
        </w:rPr>
        <w:t>2</w:t>
      </w: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宋体" w:hAnsi="宋体" w:eastAsia="宋体" w:cs="宋体"/>
          <w:spacing w:val="19"/>
          <w:sz w:val="23"/>
          <w:szCs w:val="23"/>
        </w:rPr>
        <w:t xml:space="preserve"> </w:t>
      </w:r>
      <w:r>
        <w:rPr>
          <w:rFonts w:ascii="宋体" w:hAnsi="宋体" w:eastAsia="宋体" w:cs="宋体"/>
          <w:spacing w:val="19"/>
          <w:sz w:val="23"/>
          <w:szCs w:val="23"/>
          <w14:textOutline w14:w="4356" w14:cap="sq" w14:cmpd="sng" w14:algn="ctr">
            <w14:solidFill>
              <w14:srgbClr w14:val="000000"/>
            </w14:solidFill>
            <w14:prstDash w14:val="solid"/>
            <w14:bevel/>
          </w14:textOutline>
        </w:rPr>
        <w:t>排水量核定</w:t>
      </w:r>
    </w:p>
    <w:p w14:paraId="1C64B840">
      <w:pPr>
        <w:spacing w:before="184" w:line="375" w:lineRule="auto"/>
        <w:ind w:left="118" w:right="27" w:firstLine="483"/>
        <w:rPr>
          <w:rFonts w:ascii="宋体" w:hAnsi="宋体" w:eastAsia="宋体" w:cs="宋体"/>
          <w:sz w:val="23"/>
          <w:szCs w:val="23"/>
        </w:rPr>
      </w:pPr>
      <w:r>
        <w:rPr>
          <w:rFonts w:ascii="宋体" w:hAnsi="宋体" w:eastAsia="宋体" w:cs="宋体"/>
          <w:spacing w:val="7"/>
          <w:sz w:val="23"/>
          <w:szCs w:val="23"/>
        </w:rPr>
        <w:t>项目营运期产生的废水主要生产废水、生活污水及初期雨水，项目生产废水主要为猪</w:t>
      </w:r>
      <w:r>
        <w:rPr>
          <w:rFonts w:ascii="宋体" w:hAnsi="宋体" w:eastAsia="宋体" w:cs="宋体"/>
          <w:spacing w:val="4"/>
          <w:sz w:val="23"/>
          <w:szCs w:val="23"/>
        </w:rPr>
        <w:t>只</w:t>
      </w:r>
      <w:r>
        <w:rPr>
          <w:rFonts w:ascii="宋体" w:hAnsi="宋体" w:eastAsia="宋体" w:cs="宋体"/>
          <w:sz w:val="23"/>
          <w:szCs w:val="23"/>
        </w:rPr>
        <w:t xml:space="preserve"> </w:t>
      </w:r>
      <w:r>
        <w:rPr>
          <w:rFonts w:ascii="宋体" w:hAnsi="宋体" w:eastAsia="宋体" w:cs="宋体"/>
          <w:spacing w:val="14"/>
          <w:sz w:val="23"/>
          <w:szCs w:val="23"/>
        </w:rPr>
        <w:t>排</w:t>
      </w:r>
      <w:r>
        <w:rPr>
          <w:rFonts w:ascii="宋体" w:hAnsi="宋体" w:eastAsia="宋体" w:cs="宋体"/>
          <w:spacing w:val="7"/>
          <w:sz w:val="23"/>
          <w:szCs w:val="23"/>
        </w:rPr>
        <w:t>放的尿液、猪舍及猪用具冲洗废水、消毒水、猪舍水帘排放水，生活污水为职工生活排放</w:t>
      </w:r>
      <w:r>
        <w:rPr>
          <w:rFonts w:ascii="宋体" w:hAnsi="宋体" w:eastAsia="宋体" w:cs="宋体"/>
          <w:sz w:val="23"/>
          <w:szCs w:val="23"/>
        </w:rPr>
        <w:t xml:space="preserve"> </w:t>
      </w:r>
      <w:r>
        <w:rPr>
          <w:rFonts w:ascii="宋体" w:hAnsi="宋体" w:eastAsia="宋体" w:cs="宋体"/>
          <w:spacing w:val="6"/>
          <w:sz w:val="23"/>
          <w:szCs w:val="23"/>
        </w:rPr>
        <w:t>的污水等</w:t>
      </w:r>
      <w:r>
        <w:rPr>
          <w:rFonts w:ascii="宋体" w:hAnsi="宋体" w:eastAsia="宋体" w:cs="宋体"/>
          <w:spacing w:val="5"/>
          <w:sz w:val="23"/>
          <w:szCs w:val="23"/>
        </w:rPr>
        <w:t>。</w:t>
      </w:r>
      <w:r>
        <w:rPr>
          <w:rFonts w:ascii="宋体" w:hAnsi="宋体" w:eastAsia="宋体" w:cs="宋体"/>
          <w:spacing w:val="3"/>
          <w:sz w:val="23"/>
          <w:szCs w:val="23"/>
        </w:rPr>
        <w:t>由于目前项目废水处置方式有两种，因此本环评分两种情况对项目排水进行分析。</w:t>
      </w:r>
    </w:p>
    <w:p w14:paraId="5EFD3EBF">
      <w:pPr>
        <w:spacing w:before="1" w:line="225" w:lineRule="auto"/>
        <w:ind w:left="597"/>
        <w:rPr>
          <w:rFonts w:ascii="宋体" w:hAnsi="宋体" w:eastAsia="宋体" w:cs="宋体"/>
          <w:sz w:val="23"/>
          <w:szCs w:val="23"/>
        </w:rPr>
      </w:pPr>
      <w:r>
        <w:rPr>
          <w:rFonts w:ascii="宋体" w:hAnsi="宋体" w:eastAsia="宋体" w:cs="宋体"/>
          <w:spacing w:val="13"/>
          <w:sz w:val="23"/>
          <w:szCs w:val="23"/>
          <w14:textOutline w14:w="4356" w14:cap="sq" w14:cmpd="sng" w14:algn="ctr">
            <w14:solidFill>
              <w14:srgbClr w14:val="000000"/>
            </w14:solidFill>
            <w14:prstDash w14:val="solid"/>
            <w14:bevel/>
          </w14:textOutline>
        </w:rPr>
        <w:t>①</w:t>
      </w:r>
      <w:r>
        <w:rPr>
          <w:rFonts w:ascii="宋体" w:hAnsi="宋体" w:eastAsia="宋体" w:cs="宋体"/>
          <w:spacing w:val="9"/>
          <w:sz w:val="23"/>
          <w:szCs w:val="23"/>
          <w14:textOutline w14:w="4356" w14:cap="sq" w14:cmpd="sng" w14:algn="ctr">
            <w14:solidFill>
              <w14:srgbClr w14:val="000000"/>
            </w14:solidFill>
            <w14:prstDash w14:val="solid"/>
            <w14:bevel/>
          </w14:textOutline>
        </w:rPr>
        <w:t>猪只排放的尿液</w:t>
      </w:r>
    </w:p>
    <w:p w14:paraId="345D1AE0">
      <w:pPr>
        <w:spacing w:before="184" w:line="376" w:lineRule="auto"/>
        <w:ind w:left="117" w:right="107" w:firstLine="480"/>
        <w:rPr>
          <w:rFonts w:ascii="宋体" w:hAnsi="宋体" w:eastAsia="宋体" w:cs="宋体"/>
          <w:sz w:val="23"/>
          <w:szCs w:val="23"/>
        </w:rPr>
      </w:pPr>
      <w:r>
        <w:rPr>
          <w:rFonts w:ascii="宋体" w:hAnsi="宋体" w:eastAsia="宋体" w:cs="宋体"/>
          <w:spacing w:val="8"/>
          <w:sz w:val="23"/>
          <w:szCs w:val="23"/>
        </w:rPr>
        <w:t>猪</w:t>
      </w:r>
      <w:r>
        <w:rPr>
          <w:rFonts w:ascii="宋体" w:hAnsi="宋体" w:eastAsia="宋体" w:cs="宋体"/>
          <w:spacing w:val="7"/>
          <w:sz w:val="23"/>
          <w:szCs w:val="23"/>
        </w:rPr>
        <w:t>粪尿的产生量因猪的生长阶段不同而异，根据《全国规模化畜禽养殖业污染情况调查</w:t>
      </w:r>
      <w:r>
        <w:rPr>
          <w:rFonts w:ascii="宋体" w:hAnsi="宋体" w:eastAsia="宋体" w:cs="宋体"/>
          <w:sz w:val="23"/>
          <w:szCs w:val="23"/>
        </w:rPr>
        <w:t xml:space="preserve"> </w:t>
      </w:r>
      <w:r>
        <w:rPr>
          <w:rFonts w:ascii="宋体" w:hAnsi="宋体" w:eastAsia="宋体" w:cs="宋体"/>
          <w:spacing w:val="6"/>
          <w:sz w:val="23"/>
          <w:szCs w:val="23"/>
        </w:rPr>
        <w:t xml:space="preserve">及防治对策》 </w:t>
      </w:r>
      <w:r>
        <w:rPr>
          <w:rFonts w:ascii="宋体" w:hAnsi="宋体" w:eastAsia="宋体" w:cs="宋体"/>
          <w:spacing w:val="3"/>
          <w:sz w:val="23"/>
          <w:szCs w:val="23"/>
        </w:rPr>
        <w:t xml:space="preserve"> (国家环保总局自然生态保护司) ，猪粪的排泄量见表 </w:t>
      </w:r>
      <w:r>
        <w:rPr>
          <w:rFonts w:ascii="Times New Roman" w:hAnsi="Times New Roman" w:eastAsia="Times New Roman" w:cs="Times New Roman"/>
          <w:spacing w:val="3"/>
          <w:sz w:val="23"/>
          <w:szCs w:val="23"/>
        </w:rPr>
        <w:t>3.3-4</w:t>
      </w:r>
      <w:r>
        <w:rPr>
          <w:rFonts w:ascii="宋体" w:hAnsi="宋体" w:eastAsia="宋体" w:cs="宋体"/>
          <w:spacing w:val="3"/>
          <w:sz w:val="23"/>
          <w:szCs w:val="23"/>
        </w:rPr>
        <w:t>。</w:t>
      </w:r>
    </w:p>
    <w:p w14:paraId="72DCD605">
      <w:pPr>
        <w:spacing w:line="220" w:lineRule="auto"/>
        <w:ind w:left="3510"/>
        <w:rPr>
          <w:rFonts w:ascii="黑体" w:hAnsi="黑体" w:eastAsia="黑体" w:cs="黑体"/>
          <w:sz w:val="23"/>
          <w:szCs w:val="23"/>
        </w:rPr>
      </w:pPr>
      <w:r>
        <w:rPr>
          <w:rFonts w:ascii="黑体" w:hAnsi="黑体" w:eastAsia="黑体" w:cs="黑体"/>
          <w:spacing w:val="4"/>
          <w:sz w:val="23"/>
          <w:szCs w:val="23"/>
        </w:rPr>
        <w:t xml:space="preserve">表 </w:t>
      </w:r>
      <w:r>
        <w:rPr>
          <w:rFonts w:ascii="Times New Roman" w:hAnsi="Times New Roman" w:eastAsia="Times New Roman" w:cs="Times New Roman"/>
          <w:spacing w:val="3"/>
          <w:sz w:val="23"/>
          <w:szCs w:val="23"/>
        </w:rPr>
        <w:t>3</w:t>
      </w:r>
      <w:r>
        <w:rPr>
          <w:rFonts w:ascii="Times New Roman" w:hAnsi="Times New Roman" w:eastAsia="Times New Roman" w:cs="Times New Roman"/>
          <w:spacing w:val="2"/>
          <w:sz w:val="23"/>
          <w:szCs w:val="23"/>
        </w:rPr>
        <w:t xml:space="preserve">.3-4    </w:t>
      </w:r>
      <w:r>
        <w:rPr>
          <w:rFonts w:ascii="黑体" w:hAnsi="黑体" w:eastAsia="黑体" w:cs="黑体"/>
          <w:spacing w:val="2"/>
          <w:sz w:val="23"/>
          <w:szCs w:val="23"/>
        </w:rPr>
        <w:t>猪粪尿的排泄量</w:t>
      </w:r>
    </w:p>
    <w:p w14:paraId="1D0B6512">
      <w:pPr>
        <w:spacing w:line="614" w:lineRule="exact"/>
        <w:ind w:firstLine="211"/>
        <w:textAlignment w:val="center"/>
      </w:pPr>
      <w:r>
        <w:pict>
          <v:group id="_x0000_s2074" o:spid="_x0000_s2074" o:spt="203" style="height:30.7pt;width:464.5pt;" coordsize="9290,614">
            <o:lock v:ext="edit"/>
            <v:group id="_x0000_s2075" o:spid="_x0000_s2075" o:spt="203" style="position:absolute;left:0;top:0;height:614;width:9290;" coordsize="9290,614">
              <o:lock v:ext="edit"/>
              <v:shape id="_x0000_s2076" o:spid="_x0000_s2076" o:spt="100" style="position:absolute;left:0;top:0;height:614;width:9290;" filled="f" coordsize="9290,614" adj=",," path="m0,14l9289,14m0,599l9289,599e">
                <v:path o:connecttype="segments"/>
                <v:fill on="f" focussize="0,0"/>
                <v:stroke weight="1.44pt" miterlimit="2" joinstyle="bevel"/>
                <v:imagedata o:title=""/>
                <o:lock v:ext="edit"/>
              </v:shape>
              <v:shape id="_x0000_s2077" o:spid="_x0000_s2077" o:spt="100" style="position:absolute;left:0;top:28;height:557;width:9290;" filled="f" coordsize="9290,557" adj=",," path="m0,279l9289,279m1642,0l1642,556m5465,0l5465,556e">
                <v:path o:connecttype="segments"/>
                <v:fill on="f" focussize="0,0"/>
                <v:stroke weight="0.48pt" miterlimit="2" joinstyle="bevel"/>
                <v:imagedata o:title=""/>
                <o:lock v:ext="edit"/>
              </v:shape>
            </v:group>
            <v:shape id="_x0000_s2078" o:spid="_x0000_s2078" o:spt="202" type="#_x0000_t202" style="position:absolute;left:6503;top:1;height:329;width:2165;" filled="f" stroked="f" coordsize="21600,21600">
              <v:path/>
              <v:fill on="f" focussize="0,0"/>
              <v:stroke on="f" joinstyle="miter"/>
              <v:imagedata o:title=""/>
              <o:lock v:ext="edit"/>
              <v:textbox inset="0mm,0mm,0mm,0mm">
                <w:txbxContent>
                  <w:p w14:paraId="4985924C">
                    <w:pPr>
                      <w:spacing w:before="20" w:line="288" w:lineRule="exact"/>
                      <w:ind w:left="20"/>
                      <w:rPr>
                        <w:rFonts w:ascii="宋体" w:hAnsi="宋体" w:eastAsia="宋体" w:cs="宋体"/>
                        <w:sz w:val="20"/>
                        <w:szCs w:val="20"/>
                      </w:rPr>
                    </w:pPr>
                    <w:r>
                      <w:rPr>
                        <w:rFonts w:ascii="宋体" w:hAnsi="宋体" w:eastAsia="宋体" w:cs="宋体"/>
                        <w:spacing w:val="8"/>
                        <w:position w:val="3"/>
                        <w:sz w:val="20"/>
                        <w:szCs w:val="20"/>
                        <w14:textOutline w14:w="3797" w14:cap="sq" w14:cmpd="sng" w14:algn="ctr">
                          <w14:solidFill>
                            <w14:srgbClr w14:val="000000"/>
                          </w14:solidFill>
                          <w14:prstDash w14:val="solid"/>
                          <w14:bevel/>
                        </w14:textOutline>
                      </w:rPr>
                      <w:t>尿液排泄量</w:t>
                    </w:r>
                    <w:r>
                      <w:rPr>
                        <w:rFonts w:ascii="宋体" w:hAnsi="宋体" w:eastAsia="宋体" w:cs="宋体"/>
                        <w:spacing w:val="8"/>
                        <w:position w:val="3"/>
                        <w:sz w:val="20"/>
                        <w:szCs w:val="20"/>
                      </w:rPr>
                      <w:t xml:space="preserve"> </w:t>
                    </w:r>
                    <w:r>
                      <w:rPr>
                        <w:rFonts w:ascii="宋体" w:hAnsi="宋体" w:eastAsia="宋体" w:cs="宋体"/>
                        <w:spacing w:val="8"/>
                        <w:position w:val="3"/>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position w:val="3"/>
                        <w:sz w:val="20"/>
                        <w:szCs w:val="20"/>
                      </w:rPr>
                      <w:t>kg</w:t>
                    </w:r>
                    <w:r>
                      <w:rPr>
                        <w:rFonts w:ascii="Times New Roman" w:hAnsi="Times New Roman" w:eastAsia="Times New Roman" w:cs="Times New Roman"/>
                        <w:b/>
                        <w:bCs/>
                        <w:spacing w:val="8"/>
                        <w:position w:val="3"/>
                        <w:sz w:val="20"/>
                        <w:szCs w:val="20"/>
                      </w:rPr>
                      <w:t>/</w:t>
                    </w:r>
                    <w:r>
                      <w:rPr>
                        <w:rFonts w:ascii="Times New Roman" w:hAnsi="Times New Roman" w:eastAsia="Times New Roman" w:cs="Times New Roman"/>
                        <w:b/>
                        <w:bCs/>
                        <w:position w:val="3"/>
                        <w:sz w:val="20"/>
                        <w:szCs w:val="20"/>
                      </w:rPr>
                      <w:t>d</w:t>
                    </w:r>
                    <w:r>
                      <w:rPr>
                        <w:rFonts w:ascii="Times New Roman" w:hAnsi="Times New Roman" w:eastAsia="Times New Roman" w:cs="Times New Roman"/>
                        <w:b/>
                        <w:bCs/>
                        <w:spacing w:val="8"/>
                        <w:position w:val="3"/>
                        <w:sz w:val="20"/>
                        <w:szCs w:val="20"/>
                      </w:rPr>
                      <w:t>·</w:t>
                    </w:r>
                    <w:r>
                      <w:rPr>
                        <w:rFonts w:ascii="宋体" w:hAnsi="宋体" w:eastAsia="宋体" w:cs="宋体"/>
                        <w:spacing w:val="8"/>
                        <w:position w:val="3"/>
                        <w:sz w:val="20"/>
                        <w:szCs w:val="20"/>
                        <w14:textOutline w14:w="3797" w14:cap="sq" w14:cmpd="sng" w14:algn="ctr">
                          <w14:solidFill>
                            <w14:srgbClr w14:val="000000"/>
                          </w14:solidFill>
                          <w14:prstDash w14:val="solid"/>
                          <w14:bevel/>
                        </w14:textOutline>
                      </w:rPr>
                      <w:t>头</w:t>
                    </w:r>
                    <w:r>
                      <w:rPr>
                        <w:rFonts w:ascii="宋体" w:hAnsi="宋体" w:eastAsia="宋体" w:cs="宋体"/>
                        <w:spacing w:val="7"/>
                        <w:position w:val="3"/>
                        <w:sz w:val="20"/>
                        <w:szCs w:val="20"/>
                        <w14:textOutline w14:w="3797" w14:cap="sq" w14:cmpd="sng" w14:algn="ctr">
                          <w14:solidFill>
                            <w14:srgbClr w14:val="000000"/>
                          </w14:solidFill>
                          <w14:prstDash w14:val="solid"/>
                          <w14:bevel/>
                        </w14:textOutline>
                      </w:rPr>
                      <w:t>)</w:t>
                    </w:r>
                  </w:p>
                </w:txbxContent>
              </v:textbox>
            </v:shape>
            <v:shape id="_x0000_s2079" o:spid="_x0000_s2079" o:spt="202" type="#_x0000_t202" style="position:absolute;left:2785;top:1;height:329;width:1953;" filled="f" stroked="f" coordsize="21600,21600">
              <v:path/>
              <v:fill on="f" focussize="0,0"/>
              <v:stroke on="f" joinstyle="miter"/>
              <v:imagedata o:title=""/>
              <o:lock v:ext="edit"/>
              <v:textbox inset="0mm,0mm,0mm,0mm">
                <w:txbxContent>
                  <w:p w14:paraId="530DDCA5">
                    <w:pPr>
                      <w:spacing w:before="20" w:line="288" w:lineRule="exact"/>
                      <w:ind w:left="20"/>
                      <w:rPr>
                        <w:rFonts w:ascii="宋体" w:hAnsi="宋体" w:eastAsia="宋体" w:cs="宋体"/>
                        <w:sz w:val="20"/>
                        <w:szCs w:val="20"/>
                      </w:rPr>
                    </w:pPr>
                    <w:r>
                      <w:rPr>
                        <w:rFonts w:ascii="宋体" w:hAnsi="宋体" w:eastAsia="宋体" w:cs="宋体"/>
                        <w:spacing w:val="13"/>
                        <w:position w:val="3"/>
                        <w:sz w:val="20"/>
                        <w:szCs w:val="20"/>
                        <w14:textOutline w14:w="3797" w14:cap="sq" w14:cmpd="sng" w14:algn="ctr">
                          <w14:solidFill>
                            <w14:srgbClr w14:val="000000"/>
                          </w14:solidFill>
                          <w14:prstDash w14:val="solid"/>
                          <w14:bevel/>
                        </w14:textOutline>
                      </w:rPr>
                      <w:t>粪</w:t>
                    </w:r>
                    <w:r>
                      <w:rPr>
                        <w:rFonts w:ascii="宋体" w:hAnsi="宋体" w:eastAsia="宋体" w:cs="宋体"/>
                        <w:spacing w:val="7"/>
                        <w:position w:val="3"/>
                        <w:sz w:val="20"/>
                        <w:szCs w:val="20"/>
                        <w14:textOutline w14:w="3797" w14:cap="sq" w14:cmpd="sng" w14:algn="ctr">
                          <w14:solidFill>
                            <w14:srgbClr w14:val="000000"/>
                          </w14:solidFill>
                          <w14:prstDash w14:val="solid"/>
                          <w14:bevel/>
                        </w14:textOutline>
                      </w:rPr>
                      <w:t>排泄量</w:t>
                    </w:r>
                    <w:r>
                      <w:rPr>
                        <w:rFonts w:ascii="宋体" w:hAnsi="宋体" w:eastAsia="宋体" w:cs="宋体"/>
                        <w:spacing w:val="7"/>
                        <w:position w:val="3"/>
                        <w:sz w:val="20"/>
                        <w:szCs w:val="20"/>
                      </w:rPr>
                      <w:t xml:space="preserve"> </w:t>
                    </w:r>
                    <w:r>
                      <w:rPr>
                        <w:rFonts w:ascii="宋体" w:hAnsi="宋体" w:eastAsia="宋体" w:cs="宋体"/>
                        <w:spacing w:val="7"/>
                        <w:position w:val="3"/>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position w:val="3"/>
                        <w:sz w:val="20"/>
                        <w:szCs w:val="20"/>
                      </w:rPr>
                      <w:t>kg</w:t>
                    </w:r>
                    <w:r>
                      <w:rPr>
                        <w:rFonts w:ascii="Times New Roman" w:hAnsi="Times New Roman" w:eastAsia="Times New Roman" w:cs="Times New Roman"/>
                        <w:b/>
                        <w:bCs/>
                        <w:spacing w:val="7"/>
                        <w:position w:val="3"/>
                        <w:sz w:val="20"/>
                        <w:szCs w:val="20"/>
                      </w:rPr>
                      <w:t>/</w:t>
                    </w:r>
                    <w:r>
                      <w:rPr>
                        <w:rFonts w:ascii="Times New Roman" w:hAnsi="Times New Roman" w:eastAsia="Times New Roman" w:cs="Times New Roman"/>
                        <w:b/>
                        <w:bCs/>
                        <w:position w:val="3"/>
                        <w:sz w:val="20"/>
                        <w:szCs w:val="20"/>
                      </w:rPr>
                      <w:t>d</w:t>
                    </w:r>
                    <w:r>
                      <w:rPr>
                        <w:rFonts w:ascii="Times New Roman" w:hAnsi="Times New Roman" w:eastAsia="Times New Roman" w:cs="Times New Roman"/>
                        <w:b/>
                        <w:bCs/>
                        <w:spacing w:val="7"/>
                        <w:position w:val="3"/>
                        <w:sz w:val="20"/>
                        <w:szCs w:val="20"/>
                      </w:rPr>
                      <w:t>·</w:t>
                    </w:r>
                    <w:r>
                      <w:rPr>
                        <w:rFonts w:ascii="宋体" w:hAnsi="宋体" w:eastAsia="宋体" w:cs="宋体"/>
                        <w:spacing w:val="7"/>
                        <w:position w:val="3"/>
                        <w:sz w:val="20"/>
                        <w:szCs w:val="20"/>
                        <w14:textOutline w14:w="3797" w14:cap="sq" w14:cmpd="sng" w14:algn="ctr">
                          <w14:solidFill>
                            <w14:srgbClr w14:val="000000"/>
                          </w14:solidFill>
                          <w14:prstDash w14:val="solid"/>
                          <w14:bevel/>
                        </w14:textOutline>
                      </w:rPr>
                      <w:t>头)</w:t>
                    </w:r>
                  </w:p>
                </w:txbxContent>
              </v:textbox>
            </v:shape>
            <v:shape id="_x0000_s2080" o:spid="_x0000_s2080" o:spt="202" type="#_x0000_t202" style="position:absolute;left:711;top:42;height:567;width:653;" filled="f" stroked="f" coordsize="21600,21600">
              <v:path/>
              <v:fill on="f" focussize="0,0"/>
              <v:stroke on="f" joinstyle="miter"/>
              <v:imagedata o:title=""/>
              <o:lock v:ext="edit"/>
              <v:textbox inset="0mm,0mm,0mm,0mm">
                <w:txbxContent>
                  <w:p w14:paraId="2052D471">
                    <w:pPr>
                      <w:spacing w:before="20" w:line="228" w:lineRule="auto"/>
                      <w:ind w:left="120"/>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项目</w:t>
                    </w:r>
                  </w:p>
                  <w:p w14:paraId="24ACC8EC">
                    <w:pPr>
                      <w:spacing w:before="33" w:line="227" w:lineRule="auto"/>
                      <w:ind w:left="20"/>
                      <w:rPr>
                        <w:rFonts w:ascii="宋体" w:hAnsi="宋体" w:eastAsia="宋体" w:cs="宋体"/>
                        <w:sz w:val="20"/>
                        <w:szCs w:val="20"/>
                      </w:rPr>
                    </w:pPr>
                    <w:r>
                      <w:rPr>
                        <w:rFonts w:ascii="宋体" w:hAnsi="宋体" w:eastAsia="宋体" w:cs="宋体"/>
                        <w:spacing w:val="4"/>
                        <w:sz w:val="20"/>
                        <w:szCs w:val="20"/>
                      </w:rPr>
                      <w:t>育肥猪</w:t>
                    </w:r>
                  </w:p>
                </w:txbxContent>
              </v:textbox>
            </v:shape>
            <w10:wrap type="none"/>
            <w10:anchorlock/>
          </v:group>
        </w:pict>
      </w:r>
    </w:p>
    <w:p w14:paraId="593122B4">
      <w:pPr>
        <w:spacing w:before="36" w:line="468" w:lineRule="exact"/>
        <w:ind w:left="599"/>
        <w:rPr>
          <w:rFonts w:ascii="宋体" w:hAnsi="宋体" w:eastAsia="宋体" w:cs="宋体"/>
          <w:sz w:val="23"/>
          <w:szCs w:val="23"/>
        </w:rPr>
      </w:pPr>
      <w:r>
        <w:rPr>
          <w:rFonts w:ascii="宋体" w:hAnsi="宋体" w:eastAsia="宋体" w:cs="宋体"/>
          <w:spacing w:val="8"/>
          <w:position w:val="17"/>
          <w:sz w:val="23"/>
          <w:szCs w:val="23"/>
        </w:rPr>
        <w:t>本项目育肥猪</w:t>
      </w:r>
      <w:r>
        <w:rPr>
          <w:rFonts w:ascii="宋体" w:hAnsi="宋体" w:eastAsia="宋体" w:cs="宋体"/>
          <w:spacing w:val="7"/>
          <w:position w:val="17"/>
          <w:sz w:val="23"/>
          <w:szCs w:val="23"/>
        </w:rPr>
        <w:t>存</w:t>
      </w:r>
      <w:r>
        <w:rPr>
          <w:rFonts w:ascii="宋体" w:hAnsi="宋体" w:eastAsia="宋体" w:cs="宋体"/>
          <w:spacing w:val="4"/>
          <w:position w:val="17"/>
          <w:sz w:val="23"/>
          <w:szCs w:val="23"/>
        </w:rPr>
        <w:t xml:space="preserve">栏量 </w:t>
      </w:r>
      <w:r>
        <w:rPr>
          <w:rFonts w:ascii="Times New Roman" w:hAnsi="Times New Roman" w:eastAsia="Times New Roman" w:cs="Times New Roman"/>
          <w:spacing w:val="4"/>
          <w:position w:val="17"/>
          <w:sz w:val="23"/>
          <w:szCs w:val="23"/>
        </w:rPr>
        <w:t xml:space="preserve">10400 </w:t>
      </w:r>
      <w:r>
        <w:rPr>
          <w:rFonts w:ascii="宋体" w:hAnsi="宋体" w:eastAsia="宋体" w:cs="宋体"/>
          <w:spacing w:val="4"/>
          <w:position w:val="17"/>
          <w:sz w:val="23"/>
          <w:szCs w:val="23"/>
        </w:rPr>
        <w:t xml:space="preserve">头，则本项目猪只尿液产生量计算见表 </w:t>
      </w:r>
      <w:r>
        <w:rPr>
          <w:rFonts w:ascii="Times New Roman" w:hAnsi="Times New Roman" w:eastAsia="Times New Roman" w:cs="Times New Roman"/>
          <w:spacing w:val="4"/>
          <w:position w:val="17"/>
          <w:sz w:val="23"/>
          <w:szCs w:val="23"/>
        </w:rPr>
        <w:t>3.3-5</w:t>
      </w:r>
      <w:r>
        <w:rPr>
          <w:rFonts w:ascii="宋体" w:hAnsi="宋体" w:eastAsia="宋体" w:cs="宋体"/>
          <w:spacing w:val="4"/>
          <w:position w:val="17"/>
          <w:sz w:val="23"/>
          <w:szCs w:val="23"/>
        </w:rPr>
        <w:t>。</w:t>
      </w:r>
    </w:p>
    <w:p w14:paraId="4D0D31F3">
      <w:pPr>
        <w:spacing w:before="1" w:line="220" w:lineRule="auto"/>
        <w:ind w:left="3270"/>
        <w:rPr>
          <w:rFonts w:ascii="黑体" w:hAnsi="黑体" w:eastAsia="黑体" w:cs="黑体"/>
          <w:sz w:val="23"/>
          <w:szCs w:val="23"/>
        </w:rPr>
      </w:pPr>
      <w:r>
        <w:rPr>
          <w:rFonts w:ascii="黑体" w:hAnsi="黑体" w:eastAsia="黑体" w:cs="黑体"/>
          <w:spacing w:val="4"/>
          <w:sz w:val="23"/>
          <w:szCs w:val="23"/>
        </w:rPr>
        <w:t>表</w:t>
      </w:r>
      <w:r>
        <w:rPr>
          <w:rFonts w:ascii="黑体" w:hAnsi="黑体" w:eastAsia="黑体" w:cs="黑体"/>
          <w:spacing w:val="3"/>
          <w:sz w:val="23"/>
          <w:szCs w:val="23"/>
        </w:rPr>
        <w:t xml:space="preserve"> </w:t>
      </w:r>
      <w:r>
        <w:rPr>
          <w:rFonts w:ascii="Times New Roman" w:hAnsi="Times New Roman" w:eastAsia="Times New Roman" w:cs="Times New Roman"/>
          <w:spacing w:val="3"/>
          <w:sz w:val="23"/>
          <w:szCs w:val="23"/>
        </w:rPr>
        <w:t xml:space="preserve">3.3-5    </w:t>
      </w:r>
      <w:r>
        <w:rPr>
          <w:rFonts w:ascii="黑体" w:hAnsi="黑体" w:eastAsia="黑体" w:cs="黑体"/>
          <w:spacing w:val="3"/>
          <w:sz w:val="23"/>
          <w:szCs w:val="23"/>
        </w:rPr>
        <w:t>猪尿的产生量计算表</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7"/>
        <w:gridCol w:w="1393"/>
        <w:gridCol w:w="1407"/>
        <w:gridCol w:w="1789"/>
        <w:gridCol w:w="1788"/>
        <w:gridCol w:w="1778"/>
      </w:tblGrid>
      <w:tr w14:paraId="65762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557" w:type="dxa"/>
            <w:tcBorders>
              <w:left w:val="nil"/>
            </w:tcBorders>
          </w:tcPr>
          <w:p w14:paraId="0E4219F6">
            <w:pPr>
              <w:spacing w:before="190" w:line="228" w:lineRule="auto"/>
              <w:ind w:left="578"/>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项目</w:t>
            </w:r>
          </w:p>
        </w:tc>
        <w:tc>
          <w:tcPr>
            <w:tcW w:w="1393" w:type="dxa"/>
          </w:tcPr>
          <w:p w14:paraId="18EAAE50">
            <w:pPr>
              <w:spacing w:before="190" w:line="228" w:lineRule="auto"/>
              <w:ind w:left="386"/>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猪</w:t>
            </w:r>
            <w:r>
              <w:rPr>
                <w:rFonts w:ascii="宋体" w:hAnsi="宋体" w:eastAsia="宋体" w:cs="宋体"/>
                <w:spacing w:val="7"/>
                <w:sz w:val="20"/>
                <w:szCs w:val="20"/>
                <w14:textOutline w14:w="3797" w14:cap="sq" w14:cmpd="sng" w14:algn="ctr">
                  <w14:solidFill>
                    <w14:srgbClr w14:val="000000"/>
                  </w14:solidFill>
                  <w14:prstDash w14:val="solid"/>
                  <w14:bevel/>
                </w14:textOutline>
              </w:rPr>
              <w:t>类型</w:t>
            </w:r>
          </w:p>
        </w:tc>
        <w:tc>
          <w:tcPr>
            <w:tcW w:w="1407" w:type="dxa"/>
          </w:tcPr>
          <w:p w14:paraId="7E2DF286">
            <w:pPr>
              <w:spacing w:before="190" w:line="228" w:lineRule="auto"/>
              <w:ind w:left="499"/>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数量</w:t>
            </w:r>
          </w:p>
        </w:tc>
        <w:tc>
          <w:tcPr>
            <w:tcW w:w="1789" w:type="dxa"/>
          </w:tcPr>
          <w:p w14:paraId="43BDF91D">
            <w:pPr>
              <w:spacing w:before="56" w:line="210" w:lineRule="auto"/>
              <w:ind w:left="375"/>
              <w:rPr>
                <w:rFonts w:ascii="宋体" w:hAnsi="宋体" w:eastAsia="宋体" w:cs="宋体"/>
                <w:sz w:val="20"/>
                <w:szCs w:val="20"/>
              </w:rPr>
            </w:pPr>
            <w:r>
              <w:rPr>
                <w:rFonts w:ascii="宋体" w:hAnsi="宋体" w:eastAsia="宋体" w:cs="宋体"/>
                <w:spacing w:val="11"/>
                <w:sz w:val="20"/>
                <w:szCs w:val="20"/>
                <w14:textOutline w14:w="3746" w14:cap="sq" w14:cmpd="sng" w14:algn="ctr">
                  <w14:solidFill>
                    <w14:srgbClr w14:val="000000"/>
                  </w14:solidFill>
                  <w14:prstDash w14:val="solid"/>
                  <w14:bevel/>
                </w14:textOutline>
              </w:rPr>
              <w:t>排</w:t>
            </w:r>
            <w:r>
              <w:rPr>
                <w:rFonts w:ascii="宋体" w:hAnsi="宋体" w:eastAsia="宋体" w:cs="宋体"/>
                <w:spacing w:val="8"/>
                <w:sz w:val="20"/>
                <w:szCs w:val="20"/>
                <w14:textOutline w14:w="3746" w14:cap="sq" w14:cmpd="sng" w14:algn="ctr">
                  <w14:solidFill>
                    <w14:srgbClr w14:val="000000"/>
                  </w14:solidFill>
                  <w14:prstDash w14:val="solid"/>
                  <w14:bevel/>
                </w14:textOutline>
              </w:rPr>
              <w:t>泄量系数</w:t>
            </w:r>
          </w:p>
          <w:p w14:paraId="6A0A9FE1">
            <w:pPr>
              <w:spacing w:line="285" w:lineRule="exact"/>
              <w:ind w:left="363"/>
              <w:rPr>
                <w:rFonts w:ascii="宋体" w:hAnsi="宋体" w:eastAsia="宋体" w:cs="宋体"/>
                <w:sz w:val="20"/>
                <w:szCs w:val="20"/>
              </w:rPr>
            </w:pPr>
            <w:r>
              <w:rPr>
                <w:rFonts w:ascii="宋体" w:hAnsi="宋体" w:eastAsia="宋体" w:cs="宋体"/>
                <w:spacing w:val="26"/>
                <w:position w:val="3"/>
                <w:sz w:val="20"/>
                <w:szCs w:val="20"/>
                <w14:textOutline w14:w="3746" w14:cap="sq" w14:cmpd="sng" w14:algn="ctr">
                  <w14:solidFill>
                    <w14:srgbClr w14:val="000000"/>
                  </w14:solidFill>
                  <w14:prstDash w14:val="solid"/>
                  <w14:bevel/>
                </w14:textOutline>
              </w:rPr>
              <w:t>(</w:t>
            </w:r>
            <w:r>
              <w:rPr>
                <w:rFonts w:ascii="Times New Roman" w:hAnsi="Times New Roman" w:eastAsia="Times New Roman" w:cs="Times New Roman"/>
                <w:b/>
                <w:bCs/>
                <w:position w:val="3"/>
                <w:sz w:val="20"/>
                <w:szCs w:val="20"/>
              </w:rPr>
              <w:t>kg</w:t>
            </w:r>
            <w:r>
              <w:rPr>
                <w:rFonts w:ascii="Times New Roman" w:hAnsi="Times New Roman" w:eastAsia="Times New Roman" w:cs="Times New Roman"/>
                <w:b/>
                <w:bCs/>
                <w:spacing w:val="24"/>
                <w:position w:val="3"/>
                <w:sz w:val="20"/>
                <w:szCs w:val="20"/>
              </w:rPr>
              <w:t>/</w:t>
            </w:r>
            <w:r>
              <w:rPr>
                <w:rFonts w:ascii="Times New Roman" w:hAnsi="Times New Roman" w:eastAsia="Times New Roman" w:cs="Times New Roman"/>
                <w:b/>
                <w:bCs/>
                <w:position w:val="3"/>
                <w:sz w:val="20"/>
                <w:szCs w:val="20"/>
              </w:rPr>
              <w:t>d</w:t>
            </w:r>
            <w:r>
              <w:rPr>
                <w:rFonts w:ascii="Times New Roman" w:hAnsi="Times New Roman" w:eastAsia="Times New Roman" w:cs="Times New Roman"/>
                <w:b/>
                <w:bCs/>
                <w:spacing w:val="24"/>
                <w:position w:val="3"/>
                <w:sz w:val="20"/>
                <w:szCs w:val="20"/>
              </w:rPr>
              <w:t>·</w:t>
            </w:r>
            <w:r>
              <w:rPr>
                <w:rFonts w:ascii="宋体" w:hAnsi="宋体" w:eastAsia="宋体" w:cs="宋体"/>
                <w:spacing w:val="24"/>
                <w:position w:val="3"/>
                <w:sz w:val="20"/>
                <w:szCs w:val="20"/>
                <w14:textOutline w14:w="3746" w14:cap="sq" w14:cmpd="sng" w14:algn="ctr">
                  <w14:solidFill>
                    <w14:srgbClr w14:val="000000"/>
                  </w14:solidFill>
                  <w14:prstDash w14:val="solid"/>
                  <w14:bevel/>
                </w14:textOutline>
              </w:rPr>
              <w:t>头)</w:t>
            </w:r>
          </w:p>
        </w:tc>
        <w:tc>
          <w:tcPr>
            <w:tcW w:w="1788" w:type="dxa"/>
          </w:tcPr>
          <w:p w14:paraId="34A46C7B">
            <w:pPr>
              <w:spacing w:before="149" w:line="289" w:lineRule="exact"/>
              <w:ind w:left="362"/>
              <w:rPr>
                <w:rFonts w:ascii="宋体" w:hAnsi="宋体" w:eastAsia="宋体" w:cs="宋体"/>
                <w:sz w:val="20"/>
                <w:szCs w:val="20"/>
              </w:rPr>
            </w:pPr>
            <w:r>
              <w:rPr>
                <w:rFonts w:ascii="宋体" w:hAnsi="宋体" w:eastAsia="宋体" w:cs="宋体"/>
                <w:spacing w:val="7"/>
                <w:position w:val="2"/>
                <w:sz w:val="20"/>
                <w:szCs w:val="20"/>
                <w14:textOutline w14:w="3797" w14:cap="sq" w14:cmpd="sng" w14:algn="ctr">
                  <w14:solidFill>
                    <w14:srgbClr w14:val="000000"/>
                  </w14:solidFill>
                  <w14:prstDash w14:val="solid"/>
                  <w14:bevel/>
                </w14:textOutline>
              </w:rPr>
              <w:t>小</w:t>
            </w:r>
            <w:r>
              <w:rPr>
                <w:rFonts w:ascii="宋体" w:hAnsi="宋体" w:eastAsia="宋体" w:cs="宋体"/>
                <w:spacing w:val="4"/>
                <w:position w:val="2"/>
                <w:sz w:val="20"/>
                <w:szCs w:val="20"/>
                <w14:textOutline w14:w="3797" w14:cap="sq" w14:cmpd="sng" w14:algn="ctr">
                  <w14:solidFill>
                    <w14:srgbClr w14:val="000000"/>
                  </w14:solidFill>
                  <w14:prstDash w14:val="solid"/>
                  <w14:bevel/>
                </w14:textOutline>
              </w:rPr>
              <w:t>计</w:t>
            </w:r>
            <w:r>
              <w:rPr>
                <w:rFonts w:ascii="宋体" w:hAnsi="宋体" w:eastAsia="宋体" w:cs="宋体"/>
                <w:spacing w:val="4"/>
                <w:position w:val="2"/>
                <w:sz w:val="20"/>
                <w:szCs w:val="20"/>
              </w:rPr>
              <w:t xml:space="preserve"> </w:t>
            </w:r>
            <w:r>
              <w:rPr>
                <w:rFonts w:ascii="宋体" w:hAnsi="宋体" w:eastAsia="宋体" w:cs="宋体"/>
                <w:spacing w:val="4"/>
                <w:position w:val="2"/>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position w:val="2"/>
                <w:sz w:val="20"/>
                <w:szCs w:val="20"/>
              </w:rPr>
              <w:t>t</w:t>
            </w:r>
            <w:r>
              <w:rPr>
                <w:rFonts w:ascii="Times New Roman" w:hAnsi="Times New Roman" w:eastAsia="Times New Roman" w:cs="Times New Roman"/>
                <w:b/>
                <w:bCs/>
                <w:spacing w:val="4"/>
                <w:position w:val="2"/>
                <w:sz w:val="20"/>
                <w:szCs w:val="20"/>
              </w:rPr>
              <w:t>/</w:t>
            </w:r>
            <w:r>
              <w:rPr>
                <w:rFonts w:ascii="Times New Roman" w:hAnsi="Times New Roman" w:eastAsia="Times New Roman" w:cs="Times New Roman"/>
                <w:b/>
                <w:bCs/>
                <w:position w:val="2"/>
                <w:sz w:val="20"/>
                <w:szCs w:val="20"/>
              </w:rPr>
              <w:t>d</w:t>
            </w:r>
            <w:r>
              <w:rPr>
                <w:rFonts w:ascii="宋体" w:hAnsi="宋体" w:eastAsia="宋体" w:cs="宋体"/>
                <w:spacing w:val="4"/>
                <w:position w:val="2"/>
                <w:sz w:val="20"/>
                <w:szCs w:val="20"/>
                <w14:textOutline w14:w="3797" w14:cap="sq" w14:cmpd="sng" w14:algn="ctr">
                  <w14:solidFill>
                    <w14:srgbClr w14:val="000000"/>
                  </w14:solidFill>
                  <w14:prstDash w14:val="solid"/>
                  <w14:bevel/>
                </w14:textOutline>
              </w:rPr>
              <w:t>)</w:t>
            </w:r>
          </w:p>
        </w:tc>
        <w:tc>
          <w:tcPr>
            <w:tcW w:w="1778" w:type="dxa"/>
            <w:tcBorders>
              <w:right w:val="nil"/>
            </w:tcBorders>
          </w:tcPr>
          <w:p w14:paraId="22E27A2F">
            <w:pPr>
              <w:spacing w:before="149" w:line="289" w:lineRule="exact"/>
              <w:ind w:left="149"/>
              <w:rPr>
                <w:rFonts w:ascii="宋体" w:hAnsi="宋体" w:eastAsia="宋体" w:cs="宋体"/>
                <w:sz w:val="20"/>
                <w:szCs w:val="20"/>
              </w:rPr>
            </w:pPr>
            <w:r>
              <w:rPr>
                <w:rFonts w:ascii="宋体" w:hAnsi="宋体" w:eastAsia="宋体" w:cs="宋体"/>
                <w:spacing w:val="4"/>
                <w:position w:val="1"/>
                <w:sz w:val="20"/>
                <w:szCs w:val="20"/>
                <w14:textOutline w14:w="3797" w14:cap="sq" w14:cmpd="sng" w14:algn="ctr">
                  <w14:solidFill>
                    <w14:srgbClr w14:val="000000"/>
                  </w14:solidFill>
                  <w14:prstDash w14:val="solid"/>
                  <w14:bevel/>
                </w14:textOutline>
              </w:rPr>
              <w:t>年产生量</w:t>
            </w:r>
            <w:r>
              <w:rPr>
                <w:rFonts w:ascii="宋体" w:hAnsi="宋体" w:eastAsia="宋体" w:cs="宋体"/>
                <w:spacing w:val="4"/>
                <w:position w:val="1"/>
                <w:sz w:val="20"/>
                <w:szCs w:val="20"/>
              </w:rPr>
              <w:t xml:space="preserve"> </w:t>
            </w:r>
            <w:r>
              <w:rPr>
                <w:rFonts w:ascii="宋体" w:hAnsi="宋体" w:eastAsia="宋体" w:cs="宋体"/>
                <w:spacing w:val="4"/>
                <w:position w:val="1"/>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position w:val="1"/>
                <w:sz w:val="20"/>
                <w:szCs w:val="20"/>
              </w:rPr>
              <w:t>t</w:t>
            </w:r>
            <w:r>
              <w:rPr>
                <w:rFonts w:ascii="Times New Roman" w:hAnsi="Times New Roman" w:eastAsia="Times New Roman" w:cs="Times New Roman"/>
                <w:b/>
                <w:bCs/>
                <w:spacing w:val="4"/>
                <w:position w:val="1"/>
                <w:sz w:val="20"/>
                <w:szCs w:val="20"/>
              </w:rPr>
              <w:t>/</w:t>
            </w:r>
            <w:r>
              <w:rPr>
                <w:rFonts w:ascii="Times New Roman" w:hAnsi="Times New Roman" w:eastAsia="Times New Roman" w:cs="Times New Roman"/>
                <w:b/>
                <w:bCs/>
                <w:position w:val="1"/>
                <w:sz w:val="20"/>
                <w:szCs w:val="20"/>
              </w:rPr>
              <w:t>a</w:t>
            </w:r>
            <w:r>
              <w:rPr>
                <w:rFonts w:ascii="Times New Roman" w:hAnsi="Times New Roman" w:eastAsia="Times New Roman" w:cs="Times New Roman"/>
                <w:spacing w:val="4"/>
                <w:position w:val="1"/>
                <w:sz w:val="20"/>
                <w:szCs w:val="20"/>
              </w:rPr>
              <w:t xml:space="preserve"> </w:t>
            </w:r>
            <w:r>
              <w:rPr>
                <w:rFonts w:ascii="宋体" w:hAnsi="宋体" w:eastAsia="宋体" w:cs="宋体"/>
                <w:spacing w:val="3"/>
                <w:position w:val="1"/>
                <w:sz w:val="20"/>
                <w:szCs w:val="20"/>
                <w14:textOutline w14:w="3797" w14:cap="sq" w14:cmpd="sng" w14:algn="ctr">
                  <w14:solidFill>
                    <w14:srgbClr w14:val="000000"/>
                  </w14:solidFill>
                  <w14:prstDash w14:val="solid"/>
                  <w14:bevel/>
                </w14:textOutline>
              </w:rPr>
              <w:t>)</w:t>
            </w:r>
          </w:p>
        </w:tc>
      </w:tr>
      <w:tr w14:paraId="216F3B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1557" w:type="dxa"/>
            <w:tcBorders>
              <w:left w:val="nil"/>
            </w:tcBorders>
          </w:tcPr>
          <w:p w14:paraId="018A732D">
            <w:pPr>
              <w:spacing w:before="36" w:line="228" w:lineRule="auto"/>
              <w:ind w:left="260"/>
              <w:rPr>
                <w:rFonts w:ascii="宋体" w:hAnsi="宋体" w:eastAsia="宋体" w:cs="宋体"/>
                <w:sz w:val="20"/>
                <w:szCs w:val="20"/>
              </w:rPr>
            </w:pPr>
            <w:r>
              <w:rPr>
                <w:rFonts w:ascii="宋体" w:hAnsi="宋体" w:eastAsia="宋体" w:cs="宋体"/>
                <w:spacing w:val="9"/>
                <w:sz w:val="20"/>
                <w:szCs w:val="20"/>
              </w:rPr>
              <w:t>尿</w:t>
            </w:r>
            <w:r>
              <w:rPr>
                <w:rFonts w:ascii="宋体" w:hAnsi="宋体" w:eastAsia="宋体" w:cs="宋体"/>
                <w:spacing w:val="8"/>
                <w:sz w:val="20"/>
                <w:szCs w:val="20"/>
              </w:rPr>
              <w:t>液产生量</w:t>
            </w:r>
          </w:p>
        </w:tc>
        <w:tc>
          <w:tcPr>
            <w:tcW w:w="1393" w:type="dxa"/>
          </w:tcPr>
          <w:p w14:paraId="3771463D">
            <w:pPr>
              <w:spacing w:before="36" w:line="227" w:lineRule="auto"/>
              <w:ind w:left="394"/>
              <w:rPr>
                <w:rFonts w:ascii="宋体" w:hAnsi="宋体" w:eastAsia="宋体" w:cs="宋体"/>
                <w:sz w:val="20"/>
                <w:szCs w:val="20"/>
              </w:rPr>
            </w:pPr>
            <w:r>
              <w:rPr>
                <w:rFonts w:ascii="宋体" w:hAnsi="宋体" w:eastAsia="宋体" w:cs="宋体"/>
                <w:spacing w:val="4"/>
                <w:sz w:val="20"/>
                <w:szCs w:val="20"/>
              </w:rPr>
              <w:t>育肥猪</w:t>
            </w:r>
          </w:p>
        </w:tc>
        <w:tc>
          <w:tcPr>
            <w:tcW w:w="1407" w:type="dxa"/>
          </w:tcPr>
          <w:p w14:paraId="0FA0512E"/>
        </w:tc>
        <w:tc>
          <w:tcPr>
            <w:tcW w:w="1789" w:type="dxa"/>
          </w:tcPr>
          <w:p w14:paraId="14570770"/>
        </w:tc>
        <w:tc>
          <w:tcPr>
            <w:tcW w:w="1788" w:type="dxa"/>
          </w:tcPr>
          <w:p w14:paraId="69C5103A"/>
        </w:tc>
        <w:tc>
          <w:tcPr>
            <w:tcW w:w="1778" w:type="dxa"/>
            <w:tcBorders>
              <w:right w:val="nil"/>
            </w:tcBorders>
          </w:tcPr>
          <w:p w14:paraId="480C7848"/>
        </w:tc>
      </w:tr>
    </w:tbl>
    <w:p w14:paraId="434F17F5">
      <w:pPr>
        <w:spacing w:before="1" w:line="383" w:lineRule="auto"/>
        <w:ind w:left="120" w:right="105" w:firstLine="479"/>
        <w:rPr>
          <w:rFonts w:ascii="宋体" w:hAnsi="宋体" w:eastAsia="宋体" w:cs="宋体"/>
          <w:sz w:val="23"/>
          <w:szCs w:val="23"/>
        </w:rPr>
      </w:pPr>
      <w:r>
        <w:rPr>
          <w:rFonts w:ascii="宋体" w:hAnsi="宋体" w:eastAsia="宋体" w:cs="宋体"/>
          <w:spacing w:val="6"/>
          <w:sz w:val="23"/>
          <w:szCs w:val="23"/>
        </w:rPr>
        <w:t xml:space="preserve">本项目猪只尿液产生量共 </w:t>
      </w:r>
      <w:r>
        <w:rPr>
          <w:rFonts w:ascii="Times New Roman" w:hAnsi="Times New Roman" w:eastAsia="Times New Roman" w:cs="Times New Roman"/>
          <w:spacing w:val="6"/>
          <w:sz w:val="23"/>
          <w:szCs w:val="23"/>
        </w:rPr>
        <w:t>12374.96</w:t>
      </w:r>
      <w:r>
        <w:rPr>
          <w:rFonts w:ascii="Times New Roman" w:hAnsi="Times New Roman" w:eastAsia="Times New Roman" w:cs="Times New Roman"/>
          <w:sz w:val="23"/>
          <w:szCs w:val="23"/>
        </w:rPr>
        <w:t>m</w:t>
      </w:r>
      <w:r>
        <w:rPr>
          <w:rFonts w:ascii="Times New Roman" w:hAnsi="Times New Roman" w:eastAsia="Times New Roman" w:cs="Times New Roman"/>
          <w:spacing w:val="6"/>
          <w:position w:val="8"/>
          <w:sz w:val="15"/>
          <w:szCs w:val="15"/>
        </w:rPr>
        <w:t>3</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a</w:t>
      </w:r>
      <w:r>
        <w:rPr>
          <w:rFonts w:ascii="宋体" w:hAnsi="宋体" w:eastAsia="宋体" w:cs="宋体"/>
          <w:spacing w:val="6"/>
          <w:sz w:val="23"/>
          <w:szCs w:val="23"/>
        </w:rPr>
        <w:t>，猪尿由专门尿液管道排入养殖废水化粪池</w:t>
      </w:r>
      <w:r>
        <w:rPr>
          <w:rFonts w:ascii="宋体" w:hAnsi="宋体" w:eastAsia="宋体" w:cs="宋体"/>
          <w:spacing w:val="5"/>
          <w:sz w:val="23"/>
          <w:szCs w:val="23"/>
        </w:rPr>
        <w:t>。</w:t>
      </w:r>
      <w:r>
        <w:rPr>
          <w:rFonts w:ascii="宋体" w:hAnsi="宋体" w:eastAsia="宋体" w:cs="宋体"/>
          <w:sz w:val="23"/>
          <w:szCs w:val="23"/>
        </w:rPr>
        <w:t xml:space="preserve">尿 </w:t>
      </w:r>
      <w:r>
        <w:rPr>
          <w:rFonts w:ascii="宋体" w:hAnsi="宋体" w:eastAsia="宋体" w:cs="宋体"/>
          <w:spacing w:val="-2"/>
          <w:sz w:val="23"/>
          <w:szCs w:val="23"/>
        </w:rPr>
        <w:t xml:space="preserve">液中主要含有 </w:t>
      </w:r>
      <w:r>
        <w:rPr>
          <w:rFonts w:ascii="Times New Roman" w:hAnsi="Times New Roman" w:eastAsia="Times New Roman" w:cs="Times New Roman"/>
          <w:spacing w:val="-2"/>
          <w:sz w:val="23"/>
          <w:szCs w:val="23"/>
        </w:rPr>
        <w:t xml:space="preserve">CODcr </w:t>
      </w:r>
      <w:r>
        <w:rPr>
          <w:rFonts w:ascii="宋体" w:hAnsi="宋体" w:eastAsia="宋体" w:cs="宋体"/>
          <w:spacing w:val="-2"/>
          <w:sz w:val="23"/>
          <w:szCs w:val="23"/>
        </w:rPr>
        <w:t>、</w:t>
      </w:r>
      <w:r>
        <w:rPr>
          <w:rFonts w:ascii="Times New Roman" w:hAnsi="Times New Roman" w:eastAsia="Times New Roman" w:cs="Times New Roman"/>
          <w:spacing w:val="-1"/>
          <w:sz w:val="23"/>
          <w:szCs w:val="23"/>
        </w:rPr>
        <w:t>BOD</w:t>
      </w:r>
      <w:r>
        <w:rPr>
          <w:rFonts w:ascii="Times New Roman" w:hAnsi="Times New Roman" w:eastAsia="Times New Roman" w:cs="Times New Roman"/>
          <w:spacing w:val="-2"/>
          <w:position w:val="-1"/>
          <w:sz w:val="15"/>
          <w:szCs w:val="15"/>
        </w:rPr>
        <w:t xml:space="preserve">5 </w:t>
      </w:r>
      <w:r>
        <w:rPr>
          <w:rFonts w:ascii="宋体" w:hAnsi="宋体" w:eastAsia="宋体" w:cs="宋体"/>
          <w:spacing w:val="-2"/>
          <w:sz w:val="23"/>
          <w:szCs w:val="23"/>
        </w:rPr>
        <w:t>、</w:t>
      </w:r>
      <w:r>
        <w:rPr>
          <w:rFonts w:ascii="Times New Roman" w:hAnsi="Times New Roman" w:eastAsia="Times New Roman" w:cs="Times New Roman"/>
          <w:spacing w:val="-1"/>
          <w:sz w:val="23"/>
          <w:szCs w:val="23"/>
        </w:rPr>
        <w:t>SS</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w:t>
      </w:r>
      <w:r>
        <w:rPr>
          <w:rFonts w:ascii="Times New Roman" w:hAnsi="Times New Roman" w:eastAsia="Times New Roman" w:cs="Times New Roman"/>
          <w:spacing w:val="-1"/>
          <w:sz w:val="23"/>
          <w:szCs w:val="23"/>
        </w:rPr>
        <w:t>NH</w:t>
      </w:r>
      <w:r>
        <w:rPr>
          <w:rFonts w:ascii="Times New Roman" w:hAnsi="Times New Roman" w:eastAsia="Times New Roman" w:cs="Times New Roman"/>
          <w:spacing w:val="-2"/>
          <w:position w:val="-1"/>
          <w:sz w:val="15"/>
          <w:szCs w:val="15"/>
        </w:rPr>
        <w:t>3</w:t>
      </w:r>
      <w:r>
        <w:rPr>
          <w:rFonts w:ascii="Times New Roman" w:hAnsi="Times New Roman" w:eastAsia="Times New Roman" w:cs="Times New Roman"/>
          <w:spacing w:val="-2"/>
          <w:sz w:val="23"/>
          <w:szCs w:val="23"/>
        </w:rPr>
        <w:t>-</w:t>
      </w:r>
      <w:r>
        <w:rPr>
          <w:rFonts w:ascii="Times New Roman" w:hAnsi="Times New Roman" w:eastAsia="Times New Roman" w:cs="Times New Roman"/>
          <w:spacing w:val="-1"/>
          <w:sz w:val="23"/>
          <w:szCs w:val="23"/>
        </w:rPr>
        <w:t>N</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w:t>
      </w:r>
      <w:r>
        <w:rPr>
          <w:rFonts w:ascii="Times New Roman" w:hAnsi="Times New Roman" w:eastAsia="Times New Roman" w:cs="Times New Roman"/>
          <w:spacing w:val="-1"/>
          <w:sz w:val="23"/>
          <w:szCs w:val="23"/>
        </w:rPr>
        <w:t>TP</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、粪大肠菌群。</w:t>
      </w:r>
    </w:p>
    <w:p w14:paraId="4C56D9A3">
      <w:pPr>
        <w:spacing w:before="19" w:line="227" w:lineRule="auto"/>
        <w:ind w:left="602"/>
        <w:rPr>
          <w:rFonts w:ascii="宋体" w:hAnsi="宋体" w:eastAsia="宋体" w:cs="宋体"/>
          <w:sz w:val="23"/>
          <w:szCs w:val="23"/>
        </w:rPr>
      </w:pPr>
      <w:r>
        <w:rPr>
          <w:rFonts w:ascii="宋体" w:hAnsi="宋体" w:eastAsia="宋体" w:cs="宋体"/>
          <w:spacing w:val="6"/>
          <w:sz w:val="23"/>
          <w:szCs w:val="23"/>
        </w:rPr>
        <w:t>项目</w:t>
      </w:r>
      <w:r>
        <w:rPr>
          <w:rFonts w:ascii="宋体" w:hAnsi="宋体" w:eastAsia="宋体" w:cs="宋体"/>
          <w:spacing w:val="4"/>
          <w:sz w:val="23"/>
          <w:szCs w:val="23"/>
        </w:rPr>
        <w:t>猪</w:t>
      </w:r>
      <w:r>
        <w:rPr>
          <w:rFonts w:ascii="宋体" w:hAnsi="宋体" w:eastAsia="宋体" w:cs="宋体"/>
          <w:spacing w:val="3"/>
          <w:sz w:val="23"/>
          <w:szCs w:val="23"/>
        </w:rPr>
        <w:t xml:space="preserve">粪产生量计算见表 </w:t>
      </w:r>
      <w:r>
        <w:rPr>
          <w:rFonts w:ascii="Times New Roman" w:hAnsi="Times New Roman" w:eastAsia="Times New Roman" w:cs="Times New Roman"/>
          <w:spacing w:val="3"/>
          <w:sz w:val="23"/>
          <w:szCs w:val="23"/>
        </w:rPr>
        <w:t>3.3-6</w:t>
      </w:r>
      <w:r>
        <w:rPr>
          <w:rFonts w:ascii="宋体" w:hAnsi="宋体" w:eastAsia="宋体" w:cs="宋体"/>
          <w:spacing w:val="3"/>
          <w:sz w:val="23"/>
          <w:szCs w:val="23"/>
        </w:rPr>
        <w:t>。</w:t>
      </w:r>
    </w:p>
    <w:p w14:paraId="3AE80E91">
      <w:pPr>
        <w:spacing w:before="181" w:line="223" w:lineRule="auto"/>
        <w:ind w:left="3270"/>
        <w:rPr>
          <w:rFonts w:ascii="黑体" w:hAnsi="黑体" w:eastAsia="黑体" w:cs="黑体"/>
          <w:sz w:val="23"/>
          <w:szCs w:val="23"/>
        </w:rPr>
      </w:pPr>
      <w:r>
        <w:rPr>
          <w:rFonts w:ascii="黑体" w:hAnsi="黑体" w:eastAsia="黑体" w:cs="黑体"/>
          <w:spacing w:val="4"/>
          <w:sz w:val="23"/>
          <w:szCs w:val="23"/>
        </w:rPr>
        <w:t>表</w:t>
      </w:r>
      <w:r>
        <w:rPr>
          <w:rFonts w:ascii="黑体" w:hAnsi="黑体" w:eastAsia="黑体" w:cs="黑体"/>
          <w:spacing w:val="3"/>
          <w:sz w:val="23"/>
          <w:szCs w:val="23"/>
        </w:rPr>
        <w:t xml:space="preserve"> </w:t>
      </w:r>
      <w:r>
        <w:rPr>
          <w:rFonts w:ascii="Times New Roman" w:hAnsi="Times New Roman" w:eastAsia="Times New Roman" w:cs="Times New Roman"/>
          <w:spacing w:val="3"/>
          <w:sz w:val="23"/>
          <w:szCs w:val="23"/>
        </w:rPr>
        <w:t xml:space="preserve">3.3-6    </w:t>
      </w:r>
      <w:r>
        <w:rPr>
          <w:rFonts w:ascii="黑体" w:hAnsi="黑体" w:eastAsia="黑体" w:cs="黑体"/>
          <w:spacing w:val="3"/>
          <w:sz w:val="23"/>
          <w:szCs w:val="23"/>
        </w:rPr>
        <w:t>猪粪的产生量计算表</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7"/>
        <w:gridCol w:w="1393"/>
        <w:gridCol w:w="1407"/>
        <w:gridCol w:w="1789"/>
        <w:gridCol w:w="1788"/>
        <w:gridCol w:w="1778"/>
      </w:tblGrid>
      <w:tr w14:paraId="6BA2F3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557" w:type="dxa"/>
            <w:tcBorders>
              <w:left w:val="nil"/>
            </w:tcBorders>
          </w:tcPr>
          <w:p w14:paraId="7383AE09">
            <w:pPr>
              <w:spacing w:before="191" w:line="228" w:lineRule="auto"/>
              <w:ind w:left="578"/>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项目</w:t>
            </w:r>
          </w:p>
        </w:tc>
        <w:tc>
          <w:tcPr>
            <w:tcW w:w="1393" w:type="dxa"/>
          </w:tcPr>
          <w:p w14:paraId="1DB8758D">
            <w:pPr>
              <w:spacing w:before="190" w:line="228" w:lineRule="auto"/>
              <w:ind w:left="386"/>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猪</w:t>
            </w:r>
            <w:r>
              <w:rPr>
                <w:rFonts w:ascii="宋体" w:hAnsi="宋体" w:eastAsia="宋体" w:cs="宋体"/>
                <w:spacing w:val="7"/>
                <w:sz w:val="20"/>
                <w:szCs w:val="20"/>
                <w14:textOutline w14:w="3797" w14:cap="sq" w14:cmpd="sng" w14:algn="ctr">
                  <w14:solidFill>
                    <w14:srgbClr w14:val="000000"/>
                  </w14:solidFill>
                  <w14:prstDash w14:val="solid"/>
                  <w14:bevel/>
                </w14:textOutline>
              </w:rPr>
              <w:t>类型</w:t>
            </w:r>
          </w:p>
        </w:tc>
        <w:tc>
          <w:tcPr>
            <w:tcW w:w="1407" w:type="dxa"/>
          </w:tcPr>
          <w:p w14:paraId="48825373">
            <w:pPr>
              <w:spacing w:before="190" w:line="228" w:lineRule="auto"/>
              <w:ind w:left="499"/>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数量</w:t>
            </w:r>
          </w:p>
        </w:tc>
        <w:tc>
          <w:tcPr>
            <w:tcW w:w="1789" w:type="dxa"/>
          </w:tcPr>
          <w:p w14:paraId="4AC84994">
            <w:pPr>
              <w:spacing w:before="56" w:line="210" w:lineRule="auto"/>
              <w:ind w:left="375"/>
              <w:rPr>
                <w:rFonts w:ascii="宋体" w:hAnsi="宋体" w:eastAsia="宋体" w:cs="宋体"/>
                <w:sz w:val="20"/>
                <w:szCs w:val="20"/>
              </w:rPr>
            </w:pPr>
            <w:r>
              <w:rPr>
                <w:rFonts w:ascii="宋体" w:hAnsi="宋体" w:eastAsia="宋体" w:cs="宋体"/>
                <w:spacing w:val="11"/>
                <w:sz w:val="20"/>
                <w:szCs w:val="20"/>
                <w14:textOutline w14:w="3746" w14:cap="sq" w14:cmpd="sng" w14:algn="ctr">
                  <w14:solidFill>
                    <w14:srgbClr w14:val="000000"/>
                  </w14:solidFill>
                  <w14:prstDash w14:val="solid"/>
                  <w14:bevel/>
                </w14:textOutline>
              </w:rPr>
              <w:t>排</w:t>
            </w:r>
            <w:r>
              <w:rPr>
                <w:rFonts w:ascii="宋体" w:hAnsi="宋体" w:eastAsia="宋体" w:cs="宋体"/>
                <w:spacing w:val="8"/>
                <w:sz w:val="20"/>
                <w:szCs w:val="20"/>
                <w14:textOutline w14:w="3746" w14:cap="sq" w14:cmpd="sng" w14:algn="ctr">
                  <w14:solidFill>
                    <w14:srgbClr w14:val="000000"/>
                  </w14:solidFill>
                  <w14:prstDash w14:val="solid"/>
                  <w14:bevel/>
                </w14:textOutline>
              </w:rPr>
              <w:t>泄量系数</w:t>
            </w:r>
          </w:p>
          <w:p w14:paraId="00BB94B3">
            <w:pPr>
              <w:spacing w:line="285" w:lineRule="exact"/>
              <w:ind w:left="363"/>
              <w:rPr>
                <w:rFonts w:ascii="宋体" w:hAnsi="宋体" w:eastAsia="宋体" w:cs="宋体"/>
                <w:sz w:val="20"/>
                <w:szCs w:val="20"/>
              </w:rPr>
            </w:pPr>
            <w:r>
              <w:rPr>
                <w:rFonts w:ascii="宋体" w:hAnsi="宋体" w:eastAsia="宋体" w:cs="宋体"/>
                <w:spacing w:val="26"/>
                <w:position w:val="3"/>
                <w:sz w:val="20"/>
                <w:szCs w:val="20"/>
                <w14:textOutline w14:w="3746" w14:cap="sq" w14:cmpd="sng" w14:algn="ctr">
                  <w14:solidFill>
                    <w14:srgbClr w14:val="000000"/>
                  </w14:solidFill>
                  <w14:prstDash w14:val="solid"/>
                  <w14:bevel/>
                </w14:textOutline>
              </w:rPr>
              <w:t>(</w:t>
            </w:r>
            <w:r>
              <w:rPr>
                <w:rFonts w:ascii="Times New Roman" w:hAnsi="Times New Roman" w:eastAsia="Times New Roman" w:cs="Times New Roman"/>
                <w:b/>
                <w:bCs/>
                <w:position w:val="3"/>
                <w:sz w:val="20"/>
                <w:szCs w:val="20"/>
              </w:rPr>
              <w:t>kg</w:t>
            </w:r>
            <w:r>
              <w:rPr>
                <w:rFonts w:ascii="Times New Roman" w:hAnsi="Times New Roman" w:eastAsia="Times New Roman" w:cs="Times New Roman"/>
                <w:b/>
                <w:bCs/>
                <w:spacing w:val="24"/>
                <w:position w:val="3"/>
                <w:sz w:val="20"/>
                <w:szCs w:val="20"/>
              </w:rPr>
              <w:t>/</w:t>
            </w:r>
            <w:r>
              <w:rPr>
                <w:rFonts w:ascii="Times New Roman" w:hAnsi="Times New Roman" w:eastAsia="Times New Roman" w:cs="Times New Roman"/>
                <w:b/>
                <w:bCs/>
                <w:position w:val="3"/>
                <w:sz w:val="20"/>
                <w:szCs w:val="20"/>
              </w:rPr>
              <w:t>d</w:t>
            </w:r>
            <w:r>
              <w:rPr>
                <w:rFonts w:ascii="Times New Roman" w:hAnsi="Times New Roman" w:eastAsia="Times New Roman" w:cs="Times New Roman"/>
                <w:b/>
                <w:bCs/>
                <w:spacing w:val="24"/>
                <w:position w:val="3"/>
                <w:sz w:val="20"/>
                <w:szCs w:val="20"/>
              </w:rPr>
              <w:t>·</w:t>
            </w:r>
            <w:r>
              <w:rPr>
                <w:rFonts w:ascii="宋体" w:hAnsi="宋体" w:eastAsia="宋体" w:cs="宋体"/>
                <w:spacing w:val="24"/>
                <w:position w:val="3"/>
                <w:sz w:val="20"/>
                <w:szCs w:val="20"/>
                <w14:textOutline w14:w="3746" w14:cap="sq" w14:cmpd="sng" w14:algn="ctr">
                  <w14:solidFill>
                    <w14:srgbClr w14:val="000000"/>
                  </w14:solidFill>
                  <w14:prstDash w14:val="solid"/>
                  <w14:bevel/>
                </w14:textOutline>
              </w:rPr>
              <w:t>头)</w:t>
            </w:r>
          </w:p>
        </w:tc>
        <w:tc>
          <w:tcPr>
            <w:tcW w:w="1788" w:type="dxa"/>
          </w:tcPr>
          <w:p w14:paraId="37445A04">
            <w:pPr>
              <w:spacing w:before="149" w:line="289" w:lineRule="exact"/>
              <w:ind w:left="362"/>
              <w:rPr>
                <w:rFonts w:ascii="宋体" w:hAnsi="宋体" w:eastAsia="宋体" w:cs="宋体"/>
                <w:sz w:val="20"/>
                <w:szCs w:val="20"/>
              </w:rPr>
            </w:pPr>
            <w:r>
              <w:rPr>
                <w:rFonts w:ascii="宋体" w:hAnsi="宋体" w:eastAsia="宋体" w:cs="宋体"/>
                <w:spacing w:val="7"/>
                <w:position w:val="2"/>
                <w:sz w:val="20"/>
                <w:szCs w:val="20"/>
                <w14:textOutline w14:w="3797" w14:cap="sq" w14:cmpd="sng" w14:algn="ctr">
                  <w14:solidFill>
                    <w14:srgbClr w14:val="000000"/>
                  </w14:solidFill>
                  <w14:prstDash w14:val="solid"/>
                  <w14:bevel/>
                </w14:textOutline>
              </w:rPr>
              <w:t>小</w:t>
            </w:r>
            <w:r>
              <w:rPr>
                <w:rFonts w:ascii="宋体" w:hAnsi="宋体" w:eastAsia="宋体" w:cs="宋体"/>
                <w:spacing w:val="4"/>
                <w:position w:val="2"/>
                <w:sz w:val="20"/>
                <w:szCs w:val="20"/>
                <w14:textOutline w14:w="3797" w14:cap="sq" w14:cmpd="sng" w14:algn="ctr">
                  <w14:solidFill>
                    <w14:srgbClr w14:val="000000"/>
                  </w14:solidFill>
                  <w14:prstDash w14:val="solid"/>
                  <w14:bevel/>
                </w14:textOutline>
              </w:rPr>
              <w:t>计</w:t>
            </w:r>
            <w:r>
              <w:rPr>
                <w:rFonts w:ascii="宋体" w:hAnsi="宋体" w:eastAsia="宋体" w:cs="宋体"/>
                <w:spacing w:val="4"/>
                <w:position w:val="2"/>
                <w:sz w:val="20"/>
                <w:szCs w:val="20"/>
              </w:rPr>
              <w:t xml:space="preserve"> </w:t>
            </w:r>
            <w:r>
              <w:rPr>
                <w:rFonts w:ascii="宋体" w:hAnsi="宋体" w:eastAsia="宋体" w:cs="宋体"/>
                <w:spacing w:val="4"/>
                <w:position w:val="2"/>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position w:val="2"/>
                <w:sz w:val="20"/>
                <w:szCs w:val="20"/>
              </w:rPr>
              <w:t>t</w:t>
            </w:r>
            <w:r>
              <w:rPr>
                <w:rFonts w:ascii="Times New Roman" w:hAnsi="Times New Roman" w:eastAsia="Times New Roman" w:cs="Times New Roman"/>
                <w:b/>
                <w:bCs/>
                <w:spacing w:val="4"/>
                <w:position w:val="2"/>
                <w:sz w:val="20"/>
                <w:szCs w:val="20"/>
              </w:rPr>
              <w:t>/</w:t>
            </w:r>
            <w:r>
              <w:rPr>
                <w:rFonts w:ascii="Times New Roman" w:hAnsi="Times New Roman" w:eastAsia="Times New Roman" w:cs="Times New Roman"/>
                <w:b/>
                <w:bCs/>
                <w:position w:val="2"/>
                <w:sz w:val="20"/>
                <w:szCs w:val="20"/>
              </w:rPr>
              <w:t>d</w:t>
            </w:r>
            <w:r>
              <w:rPr>
                <w:rFonts w:ascii="宋体" w:hAnsi="宋体" w:eastAsia="宋体" w:cs="宋体"/>
                <w:spacing w:val="4"/>
                <w:position w:val="2"/>
                <w:sz w:val="20"/>
                <w:szCs w:val="20"/>
                <w14:textOutline w14:w="3797" w14:cap="sq" w14:cmpd="sng" w14:algn="ctr">
                  <w14:solidFill>
                    <w14:srgbClr w14:val="000000"/>
                  </w14:solidFill>
                  <w14:prstDash w14:val="solid"/>
                  <w14:bevel/>
                </w14:textOutline>
              </w:rPr>
              <w:t>)</w:t>
            </w:r>
          </w:p>
        </w:tc>
        <w:tc>
          <w:tcPr>
            <w:tcW w:w="1778" w:type="dxa"/>
            <w:tcBorders>
              <w:right w:val="nil"/>
            </w:tcBorders>
          </w:tcPr>
          <w:p w14:paraId="543E0DC4">
            <w:pPr>
              <w:spacing w:before="149" w:line="289" w:lineRule="exact"/>
              <w:ind w:left="149"/>
              <w:rPr>
                <w:rFonts w:ascii="宋体" w:hAnsi="宋体" w:eastAsia="宋体" w:cs="宋体"/>
                <w:sz w:val="20"/>
                <w:szCs w:val="20"/>
              </w:rPr>
            </w:pPr>
            <w:r>
              <w:rPr>
                <w:rFonts w:ascii="宋体" w:hAnsi="宋体" w:eastAsia="宋体" w:cs="宋体"/>
                <w:spacing w:val="4"/>
                <w:position w:val="1"/>
                <w:sz w:val="20"/>
                <w:szCs w:val="20"/>
                <w14:textOutline w14:w="3797" w14:cap="sq" w14:cmpd="sng" w14:algn="ctr">
                  <w14:solidFill>
                    <w14:srgbClr w14:val="000000"/>
                  </w14:solidFill>
                  <w14:prstDash w14:val="solid"/>
                  <w14:bevel/>
                </w14:textOutline>
              </w:rPr>
              <w:t>年产生量</w:t>
            </w:r>
            <w:r>
              <w:rPr>
                <w:rFonts w:ascii="宋体" w:hAnsi="宋体" w:eastAsia="宋体" w:cs="宋体"/>
                <w:spacing w:val="4"/>
                <w:position w:val="1"/>
                <w:sz w:val="20"/>
                <w:szCs w:val="20"/>
              </w:rPr>
              <w:t xml:space="preserve"> </w:t>
            </w:r>
            <w:r>
              <w:rPr>
                <w:rFonts w:ascii="宋体" w:hAnsi="宋体" w:eastAsia="宋体" w:cs="宋体"/>
                <w:spacing w:val="4"/>
                <w:position w:val="1"/>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position w:val="1"/>
                <w:sz w:val="20"/>
                <w:szCs w:val="20"/>
              </w:rPr>
              <w:t>t</w:t>
            </w:r>
            <w:r>
              <w:rPr>
                <w:rFonts w:ascii="Times New Roman" w:hAnsi="Times New Roman" w:eastAsia="Times New Roman" w:cs="Times New Roman"/>
                <w:b/>
                <w:bCs/>
                <w:spacing w:val="4"/>
                <w:position w:val="1"/>
                <w:sz w:val="20"/>
                <w:szCs w:val="20"/>
              </w:rPr>
              <w:t>/</w:t>
            </w:r>
            <w:r>
              <w:rPr>
                <w:rFonts w:ascii="Times New Roman" w:hAnsi="Times New Roman" w:eastAsia="Times New Roman" w:cs="Times New Roman"/>
                <w:b/>
                <w:bCs/>
                <w:position w:val="1"/>
                <w:sz w:val="20"/>
                <w:szCs w:val="20"/>
              </w:rPr>
              <w:t>a</w:t>
            </w:r>
            <w:r>
              <w:rPr>
                <w:rFonts w:ascii="Times New Roman" w:hAnsi="Times New Roman" w:eastAsia="Times New Roman" w:cs="Times New Roman"/>
                <w:spacing w:val="4"/>
                <w:position w:val="1"/>
                <w:sz w:val="20"/>
                <w:szCs w:val="20"/>
              </w:rPr>
              <w:t xml:space="preserve"> </w:t>
            </w:r>
            <w:r>
              <w:rPr>
                <w:rFonts w:ascii="宋体" w:hAnsi="宋体" w:eastAsia="宋体" w:cs="宋体"/>
                <w:spacing w:val="3"/>
                <w:position w:val="1"/>
                <w:sz w:val="20"/>
                <w:szCs w:val="20"/>
                <w14:textOutline w14:w="3797" w14:cap="sq" w14:cmpd="sng" w14:algn="ctr">
                  <w14:solidFill>
                    <w14:srgbClr w14:val="000000"/>
                  </w14:solidFill>
                  <w14:prstDash w14:val="solid"/>
                  <w14:bevel/>
                </w14:textOutline>
              </w:rPr>
              <w:t>)</w:t>
            </w:r>
          </w:p>
        </w:tc>
      </w:tr>
      <w:tr w14:paraId="5F16FD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1557" w:type="dxa"/>
            <w:tcBorders>
              <w:left w:val="nil"/>
            </w:tcBorders>
          </w:tcPr>
          <w:p w14:paraId="65771E4E">
            <w:pPr>
              <w:spacing w:before="36" w:line="228" w:lineRule="auto"/>
              <w:ind w:left="260"/>
              <w:rPr>
                <w:rFonts w:ascii="宋体" w:hAnsi="宋体" w:eastAsia="宋体" w:cs="宋体"/>
                <w:sz w:val="20"/>
                <w:szCs w:val="20"/>
              </w:rPr>
            </w:pPr>
            <w:r>
              <w:rPr>
                <w:rFonts w:ascii="宋体" w:hAnsi="宋体" w:eastAsia="宋体" w:cs="宋体"/>
                <w:spacing w:val="8"/>
                <w:sz w:val="20"/>
                <w:szCs w:val="20"/>
              </w:rPr>
              <w:t>猪粪产生量</w:t>
            </w:r>
          </w:p>
        </w:tc>
        <w:tc>
          <w:tcPr>
            <w:tcW w:w="1393" w:type="dxa"/>
          </w:tcPr>
          <w:p w14:paraId="25D277AB">
            <w:pPr>
              <w:spacing w:before="36" w:line="227" w:lineRule="auto"/>
              <w:ind w:left="394"/>
              <w:rPr>
                <w:rFonts w:ascii="宋体" w:hAnsi="宋体" w:eastAsia="宋体" w:cs="宋体"/>
                <w:sz w:val="20"/>
                <w:szCs w:val="20"/>
              </w:rPr>
            </w:pPr>
            <w:r>
              <w:rPr>
                <w:rFonts w:ascii="宋体" w:hAnsi="宋体" w:eastAsia="宋体" w:cs="宋体"/>
                <w:spacing w:val="4"/>
                <w:sz w:val="20"/>
                <w:szCs w:val="20"/>
              </w:rPr>
              <w:t>育肥猪</w:t>
            </w:r>
          </w:p>
        </w:tc>
        <w:tc>
          <w:tcPr>
            <w:tcW w:w="1407" w:type="dxa"/>
          </w:tcPr>
          <w:p w14:paraId="1645B317"/>
        </w:tc>
        <w:tc>
          <w:tcPr>
            <w:tcW w:w="1789" w:type="dxa"/>
          </w:tcPr>
          <w:p w14:paraId="0AF43647"/>
        </w:tc>
        <w:tc>
          <w:tcPr>
            <w:tcW w:w="1788" w:type="dxa"/>
          </w:tcPr>
          <w:p w14:paraId="55D2E8C1"/>
        </w:tc>
        <w:tc>
          <w:tcPr>
            <w:tcW w:w="1778" w:type="dxa"/>
            <w:tcBorders>
              <w:right w:val="nil"/>
            </w:tcBorders>
          </w:tcPr>
          <w:p w14:paraId="17381F57"/>
        </w:tc>
      </w:tr>
    </w:tbl>
    <w:p w14:paraId="10009C17">
      <w:pPr>
        <w:spacing w:line="320" w:lineRule="exact"/>
        <w:ind w:left="602"/>
        <w:rPr>
          <w:rFonts w:ascii="宋体" w:hAnsi="宋体" w:eastAsia="宋体" w:cs="宋体"/>
          <w:sz w:val="23"/>
          <w:szCs w:val="23"/>
        </w:rPr>
      </w:pPr>
      <w:r>
        <w:rPr>
          <w:rFonts w:ascii="宋体" w:hAnsi="宋体" w:eastAsia="宋体" w:cs="宋体"/>
          <w:spacing w:val="2"/>
          <w:position w:val="1"/>
          <w:sz w:val="23"/>
          <w:szCs w:val="23"/>
        </w:rPr>
        <w:t xml:space="preserve">项目猪粪产生量为 </w:t>
      </w:r>
      <w:r>
        <w:rPr>
          <w:rFonts w:ascii="Times New Roman" w:hAnsi="Times New Roman" w:eastAsia="Times New Roman" w:cs="Times New Roman"/>
          <w:spacing w:val="2"/>
          <w:position w:val="1"/>
          <w:sz w:val="23"/>
          <w:szCs w:val="23"/>
        </w:rPr>
        <w:t>17.264</w:t>
      </w:r>
      <w:r>
        <w:rPr>
          <w:rFonts w:ascii="Times New Roman" w:hAnsi="Times New Roman" w:eastAsia="Times New Roman" w:cs="Times New Roman"/>
          <w:position w:val="1"/>
          <w:sz w:val="23"/>
          <w:szCs w:val="23"/>
        </w:rPr>
        <w:t>t</w:t>
      </w:r>
      <w:r>
        <w:rPr>
          <w:rFonts w:ascii="Times New Roman" w:hAnsi="Times New Roman" w:eastAsia="Times New Roman" w:cs="Times New Roman"/>
          <w:spacing w:val="2"/>
          <w:position w:val="1"/>
          <w:sz w:val="23"/>
          <w:szCs w:val="23"/>
        </w:rPr>
        <w:t>/</w:t>
      </w:r>
      <w:r>
        <w:rPr>
          <w:rFonts w:ascii="Times New Roman" w:hAnsi="Times New Roman" w:eastAsia="Times New Roman" w:cs="Times New Roman"/>
          <w:position w:val="1"/>
          <w:sz w:val="23"/>
          <w:szCs w:val="23"/>
        </w:rPr>
        <w:t>d</w:t>
      </w:r>
      <w:r>
        <w:rPr>
          <w:rFonts w:ascii="Times New Roman" w:hAnsi="Times New Roman" w:eastAsia="Times New Roman" w:cs="Times New Roman"/>
          <w:spacing w:val="2"/>
          <w:position w:val="1"/>
          <w:sz w:val="23"/>
          <w:szCs w:val="23"/>
        </w:rPr>
        <w:t xml:space="preserve"> </w:t>
      </w:r>
      <w:r>
        <w:rPr>
          <w:rFonts w:ascii="宋体" w:hAnsi="宋体" w:eastAsia="宋体" w:cs="宋体"/>
          <w:spacing w:val="1"/>
          <w:position w:val="1"/>
          <w:sz w:val="23"/>
          <w:szCs w:val="23"/>
        </w:rPr>
        <w:t>，</w:t>
      </w:r>
      <w:r>
        <w:rPr>
          <w:rFonts w:ascii="Times New Roman" w:hAnsi="Times New Roman" w:eastAsia="Times New Roman" w:cs="Times New Roman"/>
          <w:spacing w:val="1"/>
          <w:position w:val="1"/>
          <w:sz w:val="23"/>
          <w:szCs w:val="23"/>
        </w:rPr>
        <w:t>6301.36</w:t>
      </w:r>
      <w:r>
        <w:rPr>
          <w:rFonts w:ascii="Times New Roman" w:hAnsi="Times New Roman" w:eastAsia="Times New Roman" w:cs="Times New Roman"/>
          <w:position w:val="1"/>
          <w:sz w:val="23"/>
          <w:szCs w:val="23"/>
        </w:rPr>
        <w:t>t</w:t>
      </w:r>
      <w:r>
        <w:rPr>
          <w:rFonts w:ascii="Times New Roman" w:hAnsi="Times New Roman" w:eastAsia="Times New Roman" w:cs="Times New Roman"/>
          <w:spacing w:val="1"/>
          <w:position w:val="1"/>
          <w:sz w:val="23"/>
          <w:szCs w:val="23"/>
        </w:rPr>
        <w:t>/</w:t>
      </w:r>
      <w:r>
        <w:rPr>
          <w:rFonts w:ascii="Times New Roman" w:hAnsi="Times New Roman" w:eastAsia="Times New Roman" w:cs="Times New Roman"/>
          <w:position w:val="1"/>
          <w:sz w:val="23"/>
          <w:szCs w:val="23"/>
        </w:rPr>
        <w:t>a</w:t>
      </w:r>
      <w:r>
        <w:rPr>
          <w:rFonts w:ascii="宋体" w:hAnsi="宋体" w:eastAsia="宋体" w:cs="宋体"/>
          <w:spacing w:val="1"/>
          <w:position w:val="1"/>
          <w:sz w:val="23"/>
          <w:szCs w:val="23"/>
        </w:rPr>
        <w:t>。</w:t>
      </w:r>
    </w:p>
    <w:p w14:paraId="0270D069">
      <w:pPr>
        <w:spacing w:before="187" w:line="380" w:lineRule="auto"/>
        <w:ind w:left="120" w:right="62" w:firstLine="362"/>
        <w:rPr>
          <w:rFonts w:ascii="宋体" w:hAnsi="宋体" w:eastAsia="宋体" w:cs="宋体"/>
          <w:sz w:val="23"/>
          <w:szCs w:val="23"/>
        </w:rPr>
      </w:pPr>
      <w:r>
        <w:rPr>
          <w:rFonts w:ascii="宋体" w:hAnsi="宋体" w:eastAsia="宋体" w:cs="宋体"/>
          <w:spacing w:val="18"/>
          <w:sz w:val="23"/>
          <w:szCs w:val="23"/>
          <w14:textOutline w14:w="4356" w14:cap="sq" w14:cmpd="sng" w14:algn="ctr">
            <w14:solidFill>
              <w14:srgbClr w14:val="000000"/>
            </w14:solidFill>
            <w14:prstDash w14:val="solid"/>
            <w14:bevel/>
          </w14:textOutline>
        </w:rPr>
        <w:t>处置</w:t>
      </w:r>
      <w:r>
        <w:rPr>
          <w:rFonts w:ascii="宋体" w:hAnsi="宋体" w:eastAsia="宋体" w:cs="宋体"/>
          <w:spacing w:val="17"/>
          <w:sz w:val="23"/>
          <w:szCs w:val="23"/>
          <w14:textOutline w14:w="4356" w14:cap="sq" w14:cmpd="sng" w14:algn="ctr">
            <w14:solidFill>
              <w14:srgbClr w14:val="000000"/>
            </w14:solidFill>
            <w14:prstDash w14:val="solid"/>
            <w14:bevel/>
          </w14:textOutline>
        </w:rPr>
        <w:t>方</w:t>
      </w:r>
      <w:r>
        <w:rPr>
          <w:rFonts w:ascii="宋体" w:hAnsi="宋体" w:eastAsia="宋体" w:cs="宋体"/>
          <w:spacing w:val="9"/>
          <w:sz w:val="23"/>
          <w:szCs w:val="23"/>
          <w14:textOutline w14:w="4356" w14:cap="sq" w14:cmpd="sng" w14:algn="ctr">
            <w14:solidFill>
              <w14:srgbClr w14:val="000000"/>
            </w14:solidFill>
            <w14:prstDash w14:val="solid"/>
            <w14:bevel/>
          </w14:textOutline>
        </w:rPr>
        <w:t>式：</w:t>
      </w:r>
      <w:r>
        <w:rPr>
          <w:rFonts w:ascii="宋体" w:hAnsi="宋体" w:eastAsia="宋体" w:cs="宋体"/>
          <w:spacing w:val="9"/>
          <w:sz w:val="23"/>
          <w:szCs w:val="23"/>
        </w:rPr>
        <w:t>养殖废水目前拟每日运输至乐山乐高勤力生物质能源综合利用有限公司集中</w:t>
      </w:r>
      <w:r>
        <w:rPr>
          <w:rFonts w:ascii="宋体" w:hAnsi="宋体" w:eastAsia="宋体" w:cs="宋体"/>
          <w:sz w:val="23"/>
          <w:szCs w:val="23"/>
        </w:rPr>
        <w:t xml:space="preserve"> </w:t>
      </w:r>
      <w:r>
        <w:rPr>
          <w:rFonts w:ascii="宋体" w:hAnsi="宋体" w:eastAsia="宋体" w:cs="宋体"/>
          <w:spacing w:val="10"/>
          <w:sz w:val="23"/>
          <w:szCs w:val="23"/>
        </w:rPr>
        <w:t>处置</w:t>
      </w:r>
      <w:r>
        <w:rPr>
          <w:rFonts w:ascii="宋体" w:hAnsi="宋体" w:eastAsia="宋体" w:cs="宋体"/>
          <w:spacing w:val="6"/>
          <w:sz w:val="23"/>
          <w:szCs w:val="23"/>
        </w:rPr>
        <w:t>，</w:t>
      </w:r>
      <w:r>
        <w:rPr>
          <w:rFonts w:ascii="宋体" w:hAnsi="宋体" w:eastAsia="宋体" w:cs="宋体"/>
          <w:spacing w:val="5"/>
          <w:sz w:val="23"/>
          <w:szCs w:val="23"/>
        </w:rPr>
        <w:t xml:space="preserve"> 日产日清，同时，厂区还配套建设有一</w:t>
      </w:r>
      <w:r>
        <w:rPr>
          <w:rFonts w:ascii="Times New Roman" w:hAnsi="Times New Roman" w:eastAsia="Times New Roman" w:cs="Times New Roman"/>
          <w:spacing w:val="5"/>
          <w:sz w:val="23"/>
          <w:szCs w:val="23"/>
        </w:rPr>
        <w:t>1600</w:t>
      </w:r>
      <w:r>
        <w:rPr>
          <w:rFonts w:ascii="Times New Roman" w:hAnsi="Times New Roman" w:eastAsia="Times New Roman" w:cs="Times New Roman"/>
          <w:sz w:val="23"/>
          <w:szCs w:val="23"/>
        </w:rPr>
        <w:t>m</w:t>
      </w:r>
      <w:r>
        <w:rPr>
          <w:rFonts w:ascii="Times New Roman" w:hAnsi="Times New Roman" w:eastAsia="Times New Roman" w:cs="Times New Roman"/>
          <w:spacing w:val="5"/>
          <w:position w:val="8"/>
          <w:sz w:val="15"/>
          <w:szCs w:val="15"/>
        </w:rPr>
        <w:t xml:space="preserve">2 </w:t>
      </w:r>
      <w:r>
        <w:rPr>
          <w:rFonts w:ascii="宋体" w:hAnsi="宋体" w:eastAsia="宋体" w:cs="宋体"/>
          <w:spacing w:val="5"/>
          <w:sz w:val="23"/>
          <w:szCs w:val="23"/>
        </w:rPr>
        <w:t>的发酵床备用，若后期乐山乐高勤力</w:t>
      </w:r>
      <w:r>
        <w:rPr>
          <w:rFonts w:ascii="宋体" w:hAnsi="宋体" w:eastAsia="宋体" w:cs="宋体"/>
          <w:sz w:val="23"/>
          <w:szCs w:val="23"/>
        </w:rPr>
        <w:t xml:space="preserve"> </w:t>
      </w:r>
      <w:r>
        <w:rPr>
          <w:rFonts w:ascii="宋体" w:hAnsi="宋体" w:eastAsia="宋体" w:cs="宋体"/>
          <w:spacing w:val="16"/>
          <w:sz w:val="23"/>
          <w:szCs w:val="23"/>
        </w:rPr>
        <w:t>生</w:t>
      </w:r>
      <w:r>
        <w:rPr>
          <w:rFonts w:ascii="宋体" w:hAnsi="宋体" w:eastAsia="宋体" w:cs="宋体"/>
          <w:spacing w:val="10"/>
          <w:sz w:val="23"/>
          <w:szCs w:val="23"/>
        </w:rPr>
        <w:t>物</w:t>
      </w:r>
      <w:r>
        <w:rPr>
          <w:rFonts w:ascii="宋体" w:hAnsi="宋体" w:eastAsia="宋体" w:cs="宋体"/>
          <w:spacing w:val="8"/>
          <w:sz w:val="23"/>
          <w:szCs w:val="23"/>
        </w:rPr>
        <w:t>质能源综合利用有限公司不再回收厂区内的养殖废水，可将通过异位发酵床自行处置，</w:t>
      </w:r>
    </w:p>
    <w:p w14:paraId="3CF80C82">
      <w:pPr>
        <w:sectPr>
          <w:headerReference r:id="rId112" w:type="default"/>
          <w:footerReference r:id="rId113" w:type="default"/>
          <w:pgSz w:w="11907" w:h="16840"/>
          <w:pgMar w:top="829" w:right="1025" w:bottom="1139" w:left="1168" w:header="595" w:footer="953" w:gutter="0"/>
          <w:cols w:space="720" w:num="1"/>
        </w:sectPr>
      </w:pPr>
    </w:p>
    <w:p w14:paraId="1304B232">
      <w:pPr>
        <w:spacing w:before="145" w:line="227" w:lineRule="auto"/>
        <w:ind w:left="14"/>
        <w:rPr>
          <w:rFonts w:ascii="宋体" w:hAnsi="宋体" w:eastAsia="宋体" w:cs="宋体"/>
          <w:sz w:val="23"/>
          <w:szCs w:val="23"/>
        </w:rPr>
      </w:pPr>
      <w:r>
        <w:pict>
          <v:shape id="_x0000_s2081" o:spid="_x0000_s2081" o:spt="202" type="#_x0000_t202" style="position:absolute;left:0pt;margin-left:93.8pt;margin-top:756.5pt;height:14.35pt;width:22.4pt;mso-position-horizontal-relative:page;mso-position-vertical-relative:page;z-index:-251607040;mso-width-relative:page;mso-height-relative:page;" filled="f" stroked="f" coordsize="21600,21600" o:allowincell="f">
            <v:path/>
            <v:fill on="f" focussize="0,0"/>
            <v:stroke on="f" joinstyle="miter"/>
            <v:imagedata o:title=""/>
            <o:lock v:ext="edit"/>
            <v:textbox inset="0mm,0mm,0mm,0mm">
              <w:txbxContent>
                <w:p w14:paraId="324DD3AF">
                  <w:pPr>
                    <w:spacing w:before="19" w:line="228" w:lineRule="auto"/>
                    <w:ind w:left="20"/>
                    <w:rPr>
                      <w:rFonts w:ascii="宋体" w:hAnsi="宋体" w:eastAsia="宋体" w:cs="宋体"/>
                      <w:sz w:val="20"/>
                      <w:szCs w:val="20"/>
                    </w:rPr>
                  </w:pPr>
                  <w:r>
                    <w:rPr>
                      <w:rFonts w:ascii="宋体" w:hAnsi="宋体" w:eastAsia="宋体" w:cs="宋体"/>
                      <w:spacing w:val="4"/>
                      <w:sz w:val="20"/>
                      <w:szCs w:val="20"/>
                    </w:rPr>
                    <w:t>用</w:t>
                  </w:r>
                  <w:r>
                    <w:rPr>
                      <w:rFonts w:ascii="宋体" w:hAnsi="宋体" w:eastAsia="宋体" w:cs="宋体"/>
                      <w:spacing w:val="3"/>
                      <w:sz w:val="20"/>
                      <w:szCs w:val="20"/>
                    </w:rPr>
                    <w:t>水</w:t>
                  </w:r>
                </w:p>
              </w:txbxContent>
            </v:textbox>
          </v:shape>
        </w:pict>
      </w:r>
      <w:r>
        <w:pict>
          <v:shape id="_x0000_s2082" o:spid="_x0000_s2082" o:spt="202" type="#_x0000_t202" style="position:absolute;left:0pt;margin-left:481pt;margin-top:756.5pt;height:14.35pt;width:53.9pt;mso-position-horizontal-relative:page;mso-position-vertical-relative:page;z-index:-251606016;mso-width-relative:page;mso-height-relative:page;" filled="f" stroked="f" coordsize="21600,21600" o:allowincell="f">
            <v:path/>
            <v:fill on="f" focussize="0,0"/>
            <v:stroke on="f" joinstyle="miter"/>
            <v:imagedata o:title=""/>
            <o:lock v:ext="edit"/>
            <v:textbox inset="0mm,0mm,0mm,0mm">
              <w:txbxContent>
                <w:p w14:paraId="270ABA49">
                  <w:pPr>
                    <w:spacing w:before="19" w:line="228" w:lineRule="auto"/>
                    <w:ind w:left="20"/>
                    <w:rPr>
                      <w:rFonts w:ascii="宋体" w:hAnsi="宋体" w:eastAsia="宋体" w:cs="宋体"/>
                      <w:sz w:val="20"/>
                      <w:szCs w:val="20"/>
                    </w:rPr>
                  </w:pPr>
                  <w:r>
                    <w:rPr>
                      <w:rFonts w:ascii="宋体" w:hAnsi="宋体" w:eastAsia="宋体" w:cs="宋体"/>
                      <w:spacing w:val="9"/>
                      <w:sz w:val="20"/>
                      <w:szCs w:val="20"/>
                    </w:rPr>
                    <w:t>力</w:t>
                  </w:r>
                  <w:r>
                    <w:rPr>
                      <w:rFonts w:ascii="宋体" w:hAnsi="宋体" w:eastAsia="宋体" w:cs="宋体"/>
                      <w:spacing w:val="7"/>
                      <w:sz w:val="20"/>
                      <w:szCs w:val="20"/>
                    </w:rPr>
                    <w:t>生物质公</w:t>
                  </w:r>
                </w:p>
              </w:txbxContent>
            </v:textbox>
          </v:shape>
        </w:pict>
      </w:r>
      <w:r>
        <w:rPr>
          <w:rFonts w:ascii="宋体" w:hAnsi="宋体" w:eastAsia="宋体" w:cs="宋体"/>
          <w:spacing w:val="9"/>
          <w:sz w:val="23"/>
          <w:szCs w:val="23"/>
        </w:rPr>
        <w:t>处</w:t>
      </w:r>
      <w:r>
        <w:rPr>
          <w:rFonts w:ascii="宋体" w:hAnsi="宋体" w:eastAsia="宋体" w:cs="宋体"/>
          <w:spacing w:val="8"/>
          <w:sz w:val="23"/>
          <w:szCs w:val="23"/>
        </w:rPr>
        <w:t>理产生的有机肥外售处理。</w:t>
      </w:r>
    </w:p>
    <w:p w14:paraId="3634DFE9">
      <w:pPr>
        <w:spacing w:before="183" w:line="225" w:lineRule="auto"/>
        <w:ind w:left="488"/>
        <w:rPr>
          <w:rFonts w:ascii="宋体" w:hAnsi="宋体" w:eastAsia="宋体" w:cs="宋体"/>
          <w:sz w:val="23"/>
          <w:szCs w:val="23"/>
        </w:rPr>
      </w:pPr>
      <w:r>
        <w:rPr>
          <w:rFonts w:ascii="宋体" w:hAnsi="宋体" w:eastAsia="宋体" w:cs="宋体"/>
          <w:spacing w:val="13"/>
          <w:sz w:val="23"/>
          <w:szCs w:val="23"/>
          <w14:textOutline w14:w="4356" w14:cap="sq" w14:cmpd="sng" w14:algn="ctr">
            <w14:solidFill>
              <w14:srgbClr w14:val="000000"/>
            </w14:solidFill>
            <w14:prstDash w14:val="solid"/>
            <w14:bevel/>
          </w14:textOutline>
        </w:rPr>
        <w:t>②</w:t>
      </w:r>
      <w:r>
        <w:rPr>
          <w:rFonts w:ascii="宋体" w:hAnsi="宋体" w:eastAsia="宋体" w:cs="宋体"/>
          <w:spacing w:val="9"/>
          <w:sz w:val="23"/>
          <w:szCs w:val="23"/>
          <w14:textOutline w14:w="4356" w14:cap="sq" w14:cmpd="sng" w14:algn="ctr">
            <w14:solidFill>
              <w14:srgbClr w14:val="000000"/>
            </w14:solidFill>
            <w14:prstDash w14:val="solid"/>
            <w14:bevel/>
          </w14:textOutline>
        </w:rPr>
        <w:t>猪舍冲洗废水</w:t>
      </w:r>
    </w:p>
    <w:p w14:paraId="257ECCE1">
      <w:pPr>
        <w:spacing w:before="143" w:line="381" w:lineRule="auto"/>
        <w:ind w:left="8" w:right="32" w:firstLine="485"/>
        <w:rPr>
          <w:rFonts w:ascii="宋体" w:hAnsi="宋体" w:eastAsia="宋体" w:cs="宋体"/>
          <w:sz w:val="23"/>
          <w:szCs w:val="23"/>
        </w:rPr>
      </w:pPr>
      <w:r>
        <w:rPr>
          <w:rFonts w:ascii="宋体" w:hAnsi="宋体" w:eastAsia="宋体" w:cs="宋体"/>
          <w:spacing w:val="6"/>
          <w:sz w:val="23"/>
          <w:szCs w:val="23"/>
        </w:rPr>
        <w:t xml:space="preserve">项目猪舍冲洗用水情况由用水量核定可知，猪舍年冲洗水量为 </w:t>
      </w:r>
      <w:r>
        <w:rPr>
          <w:rFonts w:ascii="Times New Roman" w:hAnsi="Times New Roman" w:eastAsia="Times New Roman" w:cs="Times New Roman"/>
          <w:spacing w:val="6"/>
          <w:sz w:val="23"/>
          <w:szCs w:val="23"/>
        </w:rPr>
        <w:t>177.06</w:t>
      </w:r>
      <w:r>
        <w:rPr>
          <w:rFonts w:ascii="Times New Roman" w:hAnsi="Times New Roman" w:eastAsia="Times New Roman" w:cs="Times New Roman"/>
          <w:sz w:val="23"/>
          <w:szCs w:val="23"/>
        </w:rPr>
        <w:t>m</w:t>
      </w:r>
      <w:r>
        <w:rPr>
          <w:rFonts w:ascii="Times New Roman" w:hAnsi="Times New Roman" w:eastAsia="Times New Roman" w:cs="Times New Roman"/>
          <w:spacing w:val="6"/>
          <w:position w:val="8"/>
          <w:sz w:val="15"/>
          <w:szCs w:val="15"/>
        </w:rPr>
        <w:t>3</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a</w:t>
      </w:r>
      <w:r>
        <w:rPr>
          <w:rFonts w:ascii="宋体" w:hAnsi="宋体" w:eastAsia="宋体" w:cs="宋体"/>
          <w:spacing w:val="6"/>
          <w:sz w:val="23"/>
          <w:szCs w:val="23"/>
        </w:rPr>
        <w:t>。猪舍冲洗</w:t>
      </w:r>
      <w:r>
        <w:rPr>
          <w:rFonts w:ascii="宋体" w:hAnsi="宋体" w:eastAsia="宋体" w:cs="宋体"/>
          <w:spacing w:val="2"/>
          <w:sz w:val="23"/>
          <w:szCs w:val="23"/>
        </w:rPr>
        <w:t>废</w:t>
      </w:r>
      <w:r>
        <w:rPr>
          <w:rFonts w:ascii="宋体" w:hAnsi="宋体" w:eastAsia="宋体" w:cs="宋体"/>
          <w:sz w:val="23"/>
          <w:szCs w:val="23"/>
        </w:rPr>
        <w:t xml:space="preserve"> </w:t>
      </w:r>
      <w:r>
        <w:rPr>
          <w:rFonts w:ascii="宋体" w:hAnsi="宋体" w:eastAsia="宋体" w:cs="宋体"/>
          <w:spacing w:val="10"/>
          <w:sz w:val="23"/>
          <w:szCs w:val="23"/>
        </w:rPr>
        <w:t>水排放</w:t>
      </w:r>
      <w:r>
        <w:rPr>
          <w:rFonts w:ascii="宋体" w:hAnsi="宋体" w:eastAsia="宋体" w:cs="宋体"/>
          <w:spacing w:val="7"/>
          <w:sz w:val="23"/>
          <w:szCs w:val="23"/>
        </w:rPr>
        <w:t>系</w:t>
      </w:r>
      <w:r>
        <w:rPr>
          <w:rFonts w:ascii="宋体" w:hAnsi="宋体" w:eastAsia="宋体" w:cs="宋体"/>
          <w:spacing w:val="5"/>
          <w:sz w:val="23"/>
          <w:szCs w:val="23"/>
        </w:rPr>
        <w:t xml:space="preserve">数按冲洗用水的 </w:t>
      </w:r>
      <w:r>
        <w:rPr>
          <w:rFonts w:ascii="Times New Roman" w:hAnsi="Times New Roman" w:eastAsia="Times New Roman" w:cs="Times New Roman"/>
          <w:spacing w:val="5"/>
          <w:sz w:val="23"/>
          <w:szCs w:val="23"/>
        </w:rPr>
        <w:t>90%</w:t>
      </w:r>
      <w:r>
        <w:rPr>
          <w:rFonts w:ascii="宋体" w:hAnsi="宋体" w:eastAsia="宋体" w:cs="宋体"/>
          <w:spacing w:val="5"/>
          <w:sz w:val="23"/>
          <w:szCs w:val="23"/>
        </w:rPr>
        <w:t xml:space="preserve">计算，则猪舍冲洗废水量为 </w:t>
      </w:r>
      <w:r>
        <w:rPr>
          <w:rFonts w:ascii="Times New Roman" w:hAnsi="Times New Roman" w:eastAsia="Times New Roman" w:cs="Times New Roman"/>
          <w:spacing w:val="5"/>
          <w:sz w:val="23"/>
          <w:szCs w:val="23"/>
        </w:rPr>
        <w:t>159.354</w:t>
      </w:r>
      <w:r>
        <w:rPr>
          <w:rFonts w:ascii="Times New Roman" w:hAnsi="Times New Roman" w:eastAsia="Times New Roman" w:cs="Times New Roman"/>
          <w:sz w:val="23"/>
          <w:szCs w:val="23"/>
        </w:rPr>
        <w:t>m</w:t>
      </w:r>
      <w:r>
        <w:rPr>
          <w:rFonts w:ascii="Times New Roman" w:hAnsi="Times New Roman" w:eastAsia="Times New Roman" w:cs="Times New Roman"/>
          <w:spacing w:val="5"/>
          <w:position w:val="7"/>
          <w:sz w:val="15"/>
          <w:szCs w:val="15"/>
        </w:rPr>
        <w:t>3</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，废水中的主要污染</w:t>
      </w:r>
      <w:r>
        <w:rPr>
          <w:rFonts w:ascii="宋体" w:hAnsi="宋体" w:eastAsia="宋体" w:cs="宋体"/>
          <w:sz w:val="23"/>
          <w:szCs w:val="23"/>
        </w:rPr>
        <w:t xml:space="preserve"> </w:t>
      </w:r>
      <w:r>
        <w:rPr>
          <w:rFonts w:ascii="宋体" w:hAnsi="宋体" w:eastAsia="宋体" w:cs="宋体"/>
          <w:spacing w:val="2"/>
          <w:sz w:val="23"/>
          <w:szCs w:val="23"/>
        </w:rPr>
        <w:t xml:space="preserve">物为 </w:t>
      </w:r>
      <w:r>
        <w:rPr>
          <w:rFonts w:ascii="Times New Roman" w:hAnsi="Times New Roman" w:eastAsia="Times New Roman" w:cs="Times New Roman"/>
          <w:sz w:val="23"/>
          <w:szCs w:val="23"/>
        </w:rPr>
        <w:t>CODcr</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w:t>
      </w:r>
      <w:r>
        <w:rPr>
          <w:rFonts w:ascii="Times New Roman" w:hAnsi="Times New Roman" w:eastAsia="Times New Roman" w:cs="Times New Roman"/>
          <w:sz w:val="23"/>
          <w:szCs w:val="23"/>
        </w:rPr>
        <w:t>BOD</w:t>
      </w:r>
      <w:r>
        <w:rPr>
          <w:rFonts w:ascii="Times New Roman" w:hAnsi="Times New Roman" w:eastAsia="Times New Roman" w:cs="Times New Roman"/>
          <w:spacing w:val="2"/>
          <w:position w:val="-1"/>
          <w:sz w:val="15"/>
          <w:szCs w:val="15"/>
        </w:rPr>
        <w:t xml:space="preserve">5 </w:t>
      </w:r>
      <w:r>
        <w:rPr>
          <w:rFonts w:ascii="宋体" w:hAnsi="宋体" w:eastAsia="宋体" w:cs="宋体"/>
          <w:spacing w:val="2"/>
          <w:sz w:val="23"/>
          <w:szCs w:val="23"/>
        </w:rPr>
        <w:t>、</w:t>
      </w:r>
      <w:r>
        <w:rPr>
          <w:rFonts w:ascii="Times New Roman" w:hAnsi="Times New Roman" w:eastAsia="Times New Roman" w:cs="Times New Roman"/>
          <w:sz w:val="23"/>
          <w:szCs w:val="23"/>
        </w:rPr>
        <w:t>SS</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w:t>
      </w:r>
      <w:r>
        <w:rPr>
          <w:rFonts w:ascii="Times New Roman" w:hAnsi="Times New Roman" w:eastAsia="Times New Roman" w:cs="Times New Roman"/>
          <w:sz w:val="23"/>
          <w:szCs w:val="23"/>
        </w:rPr>
        <w:t>NH</w:t>
      </w:r>
      <w:r>
        <w:rPr>
          <w:rFonts w:ascii="Times New Roman" w:hAnsi="Times New Roman" w:eastAsia="Times New Roman" w:cs="Times New Roman"/>
          <w:spacing w:val="2"/>
          <w:position w:val="-1"/>
          <w:sz w:val="15"/>
          <w:szCs w:val="15"/>
        </w:rPr>
        <w:t>3</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N</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w:t>
      </w:r>
      <w:r>
        <w:rPr>
          <w:rFonts w:ascii="Times New Roman" w:hAnsi="Times New Roman" w:eastAsia="Times New Roman" w:cs="Times New Roman"/>
          <w:sz w:val="23"/>
          <w:szCs w:val="23"/>
        </w:rPr>
        <w:t>TP</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、粪大肠菌群。此类冲洗水经排水沟进入粪水化粪池</w:t>
      </w:r>
      <w:r>
        <w:rPr>
          <w:rFonts w:ascii="宋体" w:hAnsi="宋体" w:eastAsia="宋体" w:cs="宋体"/>
          <w:sz w:val="23"/>
          <w:szCs w:val="23"/>
        </w:rPr>
        <w:t xml:space="preserve"> </w:t>
      </w:r>
      <w:r>
        <w:rPr>
          <w:rFonts w:ascii="宋体" w:hAnsi="宋体" w:eastAsia="宋体" w:cs="宋体"/>
          <w:spacing w:val="8"/>
          <w:sz w:val="23"/>
          <w:szCs w:val="23"/>
        </w:rPr>
        <w:t>进行下一步处理</w:t>
      </w:r>
      <w:r>
        <w:rPr>
          <w:rFonts w:ascii="宋体" w:hAnsi="宋体" w:eastAsia="宋体" w:cs="宋体"/>
          <w:spacing w:val="6"/>
          <w:sz w:val="23"/>
          <w:szCs w:val="23"/>
        </w:rPr>
        <w:t>。</w:t>
      </w:r>
    </w:p>
    <w:p w14:paraId="0C86A869">
      <w:pPr>
        <w:spacing w:before="11" w:line="375" w:lineRule="auto"/>
        <w:ind w:left="12" w:firstLine="482"/>
        <w:rPr>
          <w:rFonts w:ascii="宋体" w:hAnsi="宋体" w:eastAsia="宋体" w:cs="宋体"/>
          <w:sz w:val="23"/>
          <w:szCs w:val="23"/>
        </w:rPr>
      </w:pPr>
      <w:r>
        <w:rPr>
          <w:rFonts w:ascii="宋体" w:hAnsi="宋体" w:eastAsia="宋体" w:cs="宋体"/>
          <w:spacing w:val="7"/>
          <w:sz w:val="23"/>
          <w:szCs w:val="23"/>
          <w14:textOutline w14:w="4356" w14:cap="sq" w14:cmpd="sng" w14:algn="ctr">
            <w14:solidFill>
              <w14:srgbClr w14:val="000000"/>
            </w14:solidFill>
            <w14:prstDash w14:val="solid"/>
            <w14:bevel/>
          </w14:textOutline>
        </w:rPr>
        <w:t>处置方式：</w:t>
      </w:r>
      <w:r>
        <w:rPr>
          <w:rFonts w:ascii="宋体" w:hAnsi="宋体" w:eastAsia="宋体" w:cs="宋体"/>
          <w:spacing w:val="7"/>
          <w:sz w:val="23"/>
          <w:szCs w:val="23"/>
        </w:rPr>
        <w:t>养殖废水目前拟每日运输至乐山乐高勤力生物质能源综合利用有限公司集</w:t>
      </w:r>
      <w:r>
        <w:rPr>
          <w:rFonts w:ascii="宋体" w:hAnsi="宋体" w:eastAsia="宋体" w:cs="宋体"/>
          <w:spacing w:val="3"/>
          <w:sz w:val="23"/>
          <w:szCs w:val="23"/>
        </w:rPr>
        <w:t>中</w:t>
      </w:r>
      <w:r>
        <w:rPr>
          <w:rFonts w:ascii="宋体" w:hAnsi="宋体" w:eastAsia="宋体" w:cs="宋体"/>
          <w:sz w:val="23"/>
          <w:szCs w:val="23"/>
        </w:rPr>
        <w:t xml:space="preserve"> </w:t>
      </w:r>
      <w:r>
        <w:rPr>
          <w:rFonts w:ascii="宋体" w:hAnsi="宋体" w:eastAsia="宋体" w:cs="宋体"/>
          <w:spacing w:val="10"/>
          <w:sz w:val="23"/>
          <w:szCs w:val="23"/>
        </w:rPr>
        <w:t>处置</w:t>
      </w:r>
      <w:r>
        <w:rPr>
          <w:rFonts w:ascii="宋体" w:hAnsi="宋体" w:eastAsia="宋体" w:cs="宋体"/>
          <w:spacing w:val="6"/>
          <w:sz w:val="23"/>
          <w:szCs w:val="23"/>
        </w:rPr>
        <w:t>，</w:t>
      </w:r>
      <w:r>
        <w:rPr>
          <w:rFonts w:ascii="宋体" w:hAnsi="宋体" w:eastAsia="宋体" w:cs="宋体"/>
          <w:spacing w:val="5"/>
          <w:sz w:val="23"/>
          <w:szCs w:val="23"/>
        </w:rPr>
        <w:t xml:space="preserve"> 日产日清，同时，厂区还配套建设有一</w:t>
      </w:r>
      <w:r>
        <w:rPr>
          <w:rFonts w:ascii="Times New Roman" w:hAnsi="Times New Roman" w:eastAsia="Times New Roman" w:cs="Times New Roman"/>
          <w:spacing w:val="5"/>
          <w:sz w:val="23"/>
          <w:szCs w:val="23"/>
        </w:rPr>
        <w:t>1600</w:t>
      </w:r>
      <w:r>
        <w:rPr>
          <w:rFonts w:ascii="Times New Roman" w:hAnsi="Times New Roman" w:eastAsia="Times New Roman" w:cs="Times New Roman"/>
          <w:sz w:val="23"/>
          <w:szCs w:val="23"/>
        </w:rPr>
        <w:t>m</w:t>
      </w:r>
      <w:r>
        <w:rPr>
          <w:rFonts w:ascii="Times New Roman" w:hAnsi="Times New Roman" w:eastAsia="Times New Roman" w:cs="Times New Roman"/>
          <w:spacing w:val="5"/>
          <w:position w:val="8"/>
          <w:sz w:val="15"/>
          <w:szCs w:val="15"/>
        </w:rPr>
        <w:t xml:space="preserve">2 </w:t>
      </w:r>
      <w:r>
        <w:rPr>
          <w:rFonts w:ascii="宋体" w:hAnsi="宋体" w:eastAsia="宋体" w:cs="宋体"/>
          <w:spacing w:val="5"/>
          <w:sz w:val="23"/>
          <w:szCs w:val="23"/>
        </w:rPr>
        <w:t>的发酵床备用，若后期乐山乐高勤力</w:t>
      </w:r>
      <w:r>
        <w:rPr>
          <w:rFonts w:ascii="宋体" w:hAnsi="宋体" w:eastAsia="宋体" w:cs="宋体"/>
          <w:sz w:val="23"/>
          <w:szCs w:val="23"/>
        </w:rPr>
        <w:t xml:space="preserve"> </w:t>
      </w:r>
      <w:r>
        <w:rPr>
          <w:rFonts w:ascii="宋体" w:hAnsi="宋体" w:eastAsia="宋体" w:cs="宋体"/>
          <w:spacing w:val="16"/>
          <w:sz w:val="23"/>
          <w:szCs w:val="23"/>
        </w:rPr>
        <w:t>生</w:t>
      </w:r>
      <w:r>
        <w:rPr>
          <w:rFonts w:ascii="宋体" w:hAnsi="宋体" w:eastAsia="宋体" w:cs="宋体"/>
          <w:spacing w:val="10"/>
          <w:sz w:val="23"/>
          <w:szCs w:val="23"/>
        </w:rPr>
        <w:t>物</w:t>
      </w:r>
      <w:r>
        <w:rPr>
          <w:rFonts w:ascii="宋体" w:hAnsi="宋体" w:eastAsia="宋体" w:cs="宋体"/>
          <w:spacing w:val="8"/>
          <w:sz w:val="23"/>
          <w:szCs w:val="23"/>
        </w:rPr>
        <w:t>质能源综合利用有限公司不再回收厂区内的养殖废水，可将通过异位发酵床自行处置，</w:t>
      </w:r>
      <w:r>
        <w:rPr>
          <w:rFonts w:ascii="宋体" w:hAnsi="宋体" w:eastAsia="宋体" w:cs="宋体"/>
          <w:sz w:val="23"/>
          <w:szCs w:val="23"/>
        </w:rPr>
        <w:t xml:space="preserve"> </w:t>
      </w:r>
      <w:r>
        <w:rPr>
          <w:rFonts w:ascii="宋体" w:hAnsi="宋体" w:eastAsia="宋体" w:cs="宋体"/>
          <w:spacing w:val="12"/>
          <w:sz w:val="23"/>
          <w:szCs w:val="23"/>
        </w:rPr>
        <w:t>处</w:t>
      </w:r>
      <w:r>
        <w:rPr>
          <w:rFonts w:ascii="宋体" w:hAnsi="宋体" w:eastAsia="宋体" w:cs="宋体"/>
          <w:spacing w:val="8"/>
          <w:sz w:val="23"/>
          <w:szCs w:val="23"/>
        </w:rPr>
        <w:t>理产生的有机肥外售处理。</w:t>
      </w:r>
    </w:p>
    <w:p w14:paraId="24F7815D">
      <w:pPr>
        <w:spacing w:line="225" w:lineRule="auto"/>
        <w:ind w:left="488"/>
        <w:rPr>
          <w:rFonts w:ascii="宋体" w:hAnsi="宋体" w:eastAsia="宋体" w:cs="宋体"/>
          <w:sz w:val="23"/>
          <w:szCs w:val="23"/>
        </w:rPr>
      </w:pPr>
      <w:r>
        <w:rPr>
          <w:rFonts w:ascii="宋体" w:hAnsi="宋体" w:eastAsia="宋体" w:cs="宋体"/>
          <w:spacing w:val="10"/>
          <w:sz w:val="23"/>
          <w:szCs w:val="23"/>
          <w14:textOutline w14:w="4356" w14:cap="sq" w14:cmpd="sng" w14:algn="ctr">
            <w14:solidFill>
              <w14:srgbClr w14:val="000000"/>
            </w14:solidFill>
            <w14:prstDash w14:val="solid"/>
            <w14:bevel/>
          </w14:textOutline>
        </w:rPr>
        <w:t>③猪舍水帘用排水</w:t>
      </w:r>
      <w:r>
        <w:rPr>
          <w:rFonts w:ascii="宋体" w:hAnsi="宋体" w:eastAsia="宋体" w:cs="宋体"/>
          <w:spacing w:val="9"/>
          <w:sz w:val="23"/>
          <w:szCs w:val="23"/>
          <w14:textOutline w14:w="4356" w14:cap="sq" w14:cmpd="sng" w14:algn="ctr">
            <w14:solidFill>
              <w14:srgbClr w14:val="000000"/>
            </w14:solidFill>
            <w14:prstDash w14:val="solid"/>
            <w14:bevel/>
          </w14:textOutline>
        </w:rPr>
        <w:t>量</w:t>
      </w:r>
    </w:p>
    <w:p w14:paraId="462A8F9F">
      <w:pPr>
        <w:spacing w:before="144" w:line="380" w:lineRule="auto"/>
        <w:ind w:left="10" w:right="42" w:firstLine="483"/>
        <w:rPr>
          <w:rFonts w:ascii="宋体" w:hAnsi="宋体" w:eastAsia="宋体" w:cs="宋体"/>
          <w:sz w:val="23"/>
          <w:szCs w:val="23"/>
        </w:rPr>
      </w:pPr>
      <w:r>
        <w:rPr>
          <w:rFonts w:ascii="宋体" w:hAnsi="宋体" w:eastAsia="宋体" w:cs="宋体"/>
          <w:spacing w:val="28"/>
          <w:sz w:val="23"/>
          <w:szCs w:val="23"/>
        </w:rPr>
        <w:t>项</w:t>
      </w:r>
      <w:r>
        <w:rPr>
          <w:rFonts w:ascii="宋体" w:hAnsi="宋体" w:eastAsia="宋体" w:cs="宋体"/>
          <w:spacing w:val="19"/>
          <w:sz w:val="23"/>
          <w:szCs w:val="23"/>
        </w:rPr>
        <w:t>目</w:t>
      </w:r>
      <w:r>
        <w:rPr>
          <w:rFonts w:ascii="宋体" w:hAnsi="宋体" w:eastAsia="宋体" w:cs="宋体"/>
          <w:spacing w:val="14"/>
          <w:sz w:val="23"/>
          <w:szCs w:val="23"/>
        </w:rPr>
        <w:t xml:space="preserve">猪舍水帘循环水总用水量约为 </w:t>
      </w:r>
      <w:r>
        <w:rPr>
          <w:rFonts w:ascii="Times New Roman" w:hAnsi="Times New Roman" w:eastAsia="Times New Roman" w:cs="Times New Roman"/>
          <w:spacing w:val="14"/>
          <w:sz w:val="23"/>
          <w:szCs w:val="23"/>
        </w:rPr>
        <w:t>16</w:t>
      </w:r>
      <w:r>
        <w:rPr>
          <w:rFonts w:ascii="Times New Roman" w:hAnsi="Times New Roman" w:eastAsia="Times New Roman" w:cs="Times New Roman"/>
          <w:sz w:val="23"/>
          <w:szCs w:val="23"/>
        </w:rPr>
        <w:t>m</w:t>
      </w:r>
      <w:r>
        <w:rPr>
          <w:rFonts w:ascii="Times New Roman" w:hAnsi="Times New Roman" w:eastAsia="Times New Roman" w:cs="Times New Roman"/>
          <w:spacing w:val="14"/>
          <w:position w:val="8"/>
          <w:sz w:val="15"/>
          <w:szCs w:val="15"/>
        </w:rPr>
        <w:t>3</w:t>
      </w:r>
      <w:r>
        <w:rPr>
          <w:rFonts w:ascii="Times New Roman" w:hAnsi="Times New Roman" w:eastAsia="Times New Roman" w:cs="Times New Roman"/>
          <w:spacing w:val="14"/>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14"/>
          <w:sz w:val="23"/>
          <w:szCs w:val="23"/>
        </w:rPr>
        <w:t xml:space="preserve"> </w:t>
      </w:r>
      <w:r>
        <w:rPr>
          <w:rFonts w:ascii="宋体" w:hAnsi="宋体" w:eastAsia="宋体" w:cs="宋体"/>
          <w:spacing w:val="14"/>
          <w:sz w:val="23"/>
          <w:szCs w:val="23"/>
        </w:rPr>
        <w:t xml:space="preserve">，其中回用水量为 </w:t>
      </w:r>
      <w:r>
        <w:rPr>
          <w:rFonts w:ascii="Times New Roman" w:hAnsi="Times New Roman" w:eastAsia="Times New Roman" w:cs="Times New Roman"/>
          <w:spacing w:val="14"/>
          <w:sz w:val="23"/>
          <w:szCs w:val="23"/>
        </w:rPr>
        <w:t>9.6</w:t>
      </w:r>
      <w:r>
        <w:rPr>
          <w:rFonts w:ascii="Times New Roman" w:hAnsi="Times New Roman" w:eastAsia="Times New Roman" w:cs="Times New Roman"/>
          <w:sz w:val="23"/>
          <w:szCs w:val="23"/>
        </w:rPr>
        <w:t>m</w:t>
      </w:r>
      <w:r>
        <w:rPr>
          <w:rFonts w:ascii="Times New Roman" w:hAnsi="Times New Roman" w:eastAsia="Times New Roman" w:cs="Times New Roman"/>
          <w:spacing w:val="14"/>
          <w:position w:val="8"/>
          <w:sz w:val="15"/>
          <w:szCs w:val="15"/>
        </w:rPr>
        <w:t>3</w:t>
      </w:r>
      <w:r>
        <w:rPr>
          <w:rFonts w:ascii="Times New Roman" w:hAnsi="Times New Roman" w:eastAsia="Times New Roman" w:cs="Times New Roman"/>
          <w:spacing w:val="14"/>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14"/>
          <w:sz w:val="23"/>
          <w:szCs w:val="23"/>
        </w:rPr>
        <w:t xml:space="preserve"> </w:t>
      </w:r>
      <w:r>
        <w:rPr>
          <w:rFonts w:ascii="宋体" w:hAnsi="宋体" w:eastAsia="宋体" w:cs="宋体"/>
          <w:spacing w:val="14"/>
          <w:sz w:val="23"/>
          <w:szCs w:val="23"/>
        </w:rPr>
        <w:t>，新鲜水用量</w:t>
      </w:r>
      <w:r>
        <w:rPr>
          <w:rFonts w:ascii="宋体" w:hAnsi="宋体" w:eastAsia="宋体" w:cs="宋体"/>
          <w:sz w:val="23"/>
          <w:szCs w:val="23"/>
        </w:rPr>
        <w:t xml:space="preserve"> </w:t>
      </w:r>
      <w:r>
        <w:rPr>
          <w:rFonts w:ascii="Times New Roman" w:hAnsi="Times New Roman" w:eastAsia="Times New Roman" w:cs="Times New Roman"/>
          <w:spacing w:val="12"/>
          <w:sz w:val="23"/>
          <w:szCs w:val="23"/>
        </w:rPr>
        <w:t>6.4</w:t>
      </w:r>
      <w:r>
        <w:rPr>
          <w:rFonts w:ascii="Times New Roman" w:hAnsi="Times New Roman" w:eastAsia="Times New Roman" w:cs="Times New Roman"/>
          <w:sz w:val="23"/>
          <w:szCs w:val="23"/>
        </w:rPr>
        <w:t>m</w:t>
      </w:r>
      <w:r>
        <w:rPr>
          <w:rFonts w:ascii="Times New Roman" w:hAnsi="Times New Roman" w:eastAsia="Times New Roman" w:cs="Times New Roman"/>
          <w:spacing w:val="11"/>
          <w:position w:val="8"/>
          <w:sz w:val="15"/>
          <w:szCs w:val="15"/>
        </w:rPr>
        <w:t>3</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 xml:space="preserve">，年补充新鲜用水量为 </w:t>
      </w:r>
      <w:r>
        <w:rPr>
          <w:rFonts w:ascii="Times New Roman" w:hAnsi="Times New Roman" w:eastAsia="Times New Roman" w:cs="Times New Roman"/>
          <w:spacing w:val="6"/>
          <w:sz w:val="23"/>
          <w:szCs w:val="23"/>
        </w:rPr>
        <w:t>1152</w:t>
      </w:r>
      <w:r>
        <w:rPr>
          <w:rFonts w:ascii="Times New Roman" w:hAnsi="Times New Roman" w:eastAsia="Times New Roman" w:cs="Times New Roman"/>
          <w:sz w:val="23"/>
          <w:szCs w:val="23"/>
        </w:rPr>
        <w:t>m</w:t>
      </w:r>
      <w:r>
        <w:rPr>
          <w:rFonts w:ascii="Times New Roman" w:hAnsi="Times New Roman" w:eastAsia="Times New Roman" w:cs="Times New Roman"/>
          <w:spacing w:val="6"/>
          <w:position w:val="8"/>
          <w:sz w:val="15"/>
          <w:szCs w:val="15"/>
        </w:rPr>
        <w:t>3</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。水帘使用天然植物提取液水溶液，对项目猪舍恶</w:t>
      </w:r>
      <w:r>
        <w:rPr>
          <w:rFonts w:ascii="宋体" w:hAnsi="宋体" w:eastAsia="宋体" w:cs="宋体"/>
          <w:sz w:val="23"/>
          <w:szCs w:val="23"/>
        </w:rPr>
        <w:t xml:space="preserve"> </w:t>
      </w:r>
      <w:r>
        <w:rPr>
          <w:rFonts w:ascii="宋体" w:hAnsi="宋体" w:eastAsia="宋体" w:cs="宋体"/>
          <w:spacing w:val="14"/>
          <w:sz w:val="23"/>
          <w:szCs w:val="23"/>
        </w:rPr>
        <w:t>臭</w:t>
      </w:r>
      <w:r>
        <w:rPr>
          <w:rFonts w:ascii="宋体" w:hAnsi="宋体" w:eastAsia="宋体" w:cs="宋体"/>
          <w:spacing w:val="7"/>
          <w:sz w:val="23"/>
          <w:szCs w:val="23"/>
        </w:rPr>
        <w:t>气体进行吸附，除臭水溶液落入下方水池，经水泵提升继续进入水帘循环利用，仅补充新</w:t>
      </w:r>
      <w:r>
        <w:rPr>
          <w:rFonts w:ascii="宋体" w:hAnsi="宋体" w:eastAsia="宋体" w:cs="宋体"/>
          <w:sz w:val="23"/>
          <w:szCs w:val="23"/>
        </w:rPr>
        <w:t xml:space="preserve"> </w:t>
      </w:r>
      <w:r>
        <w:rPr>
          <w:rFonts w:ascii="宋体" w:hAnsi="宋体" w:eastAsia="宋体" w:cs="宋体"/>
          <w:spacing w:val="8"/>
          <w:sz w:val="23"/>
          <w:szCs w:val="23"/>
        </w:rPr>
        <w:t>鲜用水，无外排废水。</w:t>
      </w:r>
    </w:p>
    <w:p w14:paraId="69D4A17F">
      <w:pPr>
        <w:spacing w:before="17" w:line="225" w:lineRule="auto"/>
        <w:ind w:left="488"/>
        <w:rPr>
          <w:rFonts w:ascii="宋体" w:hAnsi="宋体" w:eastAsia="宋体" w:cs="宋体"/>
          <w:sz w:val="23"/>
          <w:szCs w:val="23"/>
        </w:rPr>
      </w:pPr>
      <w:r>
        <w:rPr>
          <w:rFonts w:ascii="宋体" w:hAnsi="宋体" w:eastAsia="宋体" w:cs="宋体"/>
          <w:spacing w:val="9"/>
          <w:sz w:val="23"/>
          <w:szCs w:val="23"/>
          <w14:textOutline w14:w="4356" w14:cap="sq" w14:cmpd="sng" w14:algn="ctr">
            <w14:solidFill>
              <w14:srgbClr w14:val="000000"/>
            </w14:solidFill>
            <w14:prstDash w14:val="solid"/>
            <w14:bevel/>
          </w14:textOutline>
        </w:rPr>
        <w:t>④消毒废</w:t>
      </w:r>
      <w:r>
        <w:rPr>
          <w:rFonts w:ascii="宋体" w:hAnsi="宋体" w:eastAsia="宋体" w:cs="宋体"/>
          <w:spacing w:val="8"/>
          <w:sz w:val="23"/>
          <w:szCs w:val="23"/>
          <w14:textOutline w14:w="4356" w14:cap="sq" w14:cmpd="sng" w14:algn="ctr">
            <w14:solidFill>
              <w14:srgbClr w14:val="000000"/>
            </w14:solidFill>
            <w14:prstDash w14:val="solid"/>
            <w14:bevel/>
          </w14:textOutline>
        </w:rPr>
        <w:t>水</w:t>
      </w:r>
    </w:p>
    <w:p w14:paraId="1D448411">
      <w:pPr>
        <w:spacing w:before="187" w:line="227" w:lineRule="auto"/>
        <w:ind w:left="494"/>
        <w:rPr>
          <w:rFonts w:ascii="宋体" w:hAnsi="宋体" w:eastAsia="宋体" w:cs="宋体"/>
          <w:sz w:val="23"/>
          <w:szCs w:val="23"/>
        </w:rPr>
      </w:pPr>
      <w:r>
        <w:rPr>
          <w:rFonts w:ascii="宋体" w:hAnsi="宋体" w:eastAsia="宋体" w:cs="宋体"/>
          <w:spacing w:val="13"/>
          <w:sz w:val="23"/>
          <w:szCs w:val="23"/>
        </w:rPr>
        <w:t>消</w:t>
      </w:r>
      <w:r>
        <w:rPr>
          <w:rFonts w:ascii="宋体" w:hAnsi="宋体" w:eastAsia="宋体" w:cs="宋体"/>
          <w:spacing w:val="8"/>
          <w:sz w:val="23"/>
          <w:szCs w:val="23"/>
        </w:rPr>
        <w:t>毒废水只是挥发损耗，不排放。</w:t>
      </w:r>
    </w:p>
    <w:p w14:paraId="688B4E79">
      <w:pPr>
        <w:spacing w:before="183" w:line="225" w:lineRule="auto"/>
        <w:ind w:left="488"/>
        <w:rPr>
          <w:rFonts w:ascii="宋体" w:hAnsi="宋体" w:eastAsia="宋体" w:cs="宋体"/>
          <w:sz w:val="23"/>
          <w:szCs w:val="23"/>
        </w:rPr>
      </w:pPr>
      <w:r>
        <w:rPr>
          <w:rFonts w:ascii="宋体" w:hAnsi="宋体" w:eastAsia="宋体" w:cs="宋体"/>
          <w:spacing w:val="9"/>
          <w:sz w:val="23"/>
          <w:szCs w:val="23"/>
          <w14:textOutline w14:w="4356" w14:cap="sq" w14:cmpd="sng" w14:algn="ctr">
            <w14:solidFill>
              <w14:srgbClr w14:val="000000"/>
            </w14:solidFill>
            <w14:prstDash w14:val="solid"/>
            <w14:bevel/>
          </w14:textOutline>
        </w:rPr>
        <w:t>⑤生活污</w:t>
      </w:r>
      <w:r>
        <w:rPr>
          <w:rFonts w:ascii="宋体" w:hAnsi="宋体" w:eastAsia="宋体" w:cs="宋体"/>
          <w:spacing w:val="8"/>
          <w:sz w:val="23"/>
          <w:szCs w:val="23"/>
          <w14:textOutline w14:w="4356" w14:cap="sq" w14:cmpd="sng" w14:algn="ctr">
            <w14:solidFill>
              <w14:srgbClr w14:val="000000"/>
            </w14:solidFill>
            <w14:prstDash w14:val="solid"/>
            <w14:bevel/>
          </w14:textOutline>
        </w:rPr>
        <w:t>水</w:t>
      </w:r>
    </w:p>
    <w:p w14:paraId="434E710B">
      <w:pPr>
        <w:spacing w:before="142" w:line="377" w:lineRule="auto"/>
        <w:ind w:left="9" w:right="30" w:firstLine="484"/>
        <w:rPr>
          <w:rFonts w:ascii="宋体" w:hAnsi="宋体" w:eastAsia="宋体" w:cs="宋体"/>
          <w:sz w:val="23"/>
          <w:szCs w:val="23"/>
        </w:rPr>
      </w:pPr>
      <w:r>
        <w:rPr>
          <w:rFonts w:ascii="宋体" w:hAnsi="宋体" w:eastAsia="宋体" w:cs="宋体"/>
          <w:spacing w:val="30"/>
          <w:sz w:val="23"/>
          <w:szCs w:val="23"/>
        </w:rPr>
        <w:t>项</w:t>
      </w:r>
      <w:r>
        <w:rPr>
          <w:rFonts w:ascii="宋体" w:hAnsi="宋体" w:eastAsia="宋体" w:cs="宋体"/>
          <w:spacing w:val="17"/>
          <w:sz w:val="23"/>
          <w:szCs w:val="23"/>
        </w:rPr>
        <w:t>目</w:t>
      </w:r>
      <w:r>
        <w:rPr>
          <w:rFonts w:ascii="宋体" w:hAnsi="宋体" w:eastAsia="宋体" w:cs="宋体"/>
          <w:spacing w:val="15"/>
          <w:sz w:val="23"/>
          <w:szCs w:val="23"/>
        </w:rPr>
        <w:t xml:space="preserve">生活用水量为 </w:t>
      </w:r>
      <w:r>
        <w:rPr>
          <w:rFonts w:ascii="Times New Roman" w:hAnsi="Times New Roman" w:eastAsia="Times New Roman" w:cs="Times New Roman"/>
          <w:spacing w:val="15"/>
          <w:sz w:val="23"/>
          <w:szCs w:val="23"/>
        </w:rPr>
        <w:t>365</w:t>
      </w:r>
      <w:r>
        <w:rPr>
          <w:rFonts w:ascii="Times New Roman" w:hAnsi="Times New Roman" w:eastAsia="Times New Roman" w:cs="Times New Roman"/>
          <w:sz w:val="23"/>
          <w:szCs w:val="23"/>
        </w:rPr>
        <w:t>m</w:t>
      </w:r>
      <w:r>
        <w:rPr>
          <w:rFonts w:ascii="Times New Roman" w:hAnsi="Times New Roman" w:eastAsia="Times New Roman" w:cs="Times New Roman"/>
          <w:spacing w:val="15"/>
          <w:position w:val="7"/>
          <w:sz w:val="15"/>
          <w:szCs w:val="15"/>
        </w:rPr>
        <w:t>3</w:t>
      </w:r>
      <w:r>
        <w:rPr>
          <w:rFonts w:ascii="Times New Roman" w:hAnsi="Times New Roman" w:eastAsia="Times New Roman" w:cs="Times New Roman"/>
          <w:spacing w:val="15"/>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15"/>
          <w:sz w:val="23"/>
          <w:szCs w:val="23"/>
        </w:rPr>
        <w:t xml:space="preserve"> </w:t>
      </w:r>
      <w:r>
        <w:rPr>
          <w:rFonts w:ascii="宋体" w:hAnsi="宋体" w:eastAsia="宋体" w:cs="宋体"/>
          <w:spacing w:val="15"/>
          <w:sz w:val="23"/>
          <w:szCs w:val="23"/>
        </w:rPr>
        <w:t xml:space="preserve">。排放的废水量按用水量的 </w:t>
      </w:r>
      <w:r>
        <w:rPr>
          <w:rFonts w:ascii="Times New Roman" w:hAnsi="Times New Roman" w:eastAsia="Times New Roman" w:cs="Times New Roman"/>
          <w:spacing w:val="15"/>
          <w:sz w:val="23"/>
          <w:szCs w:val="23"/>
        </w:rPr>
        <w:t>85%</w:t>
      </w:r>
      <w:r>
        <w:rPr>
          <w:rFonts w:ascii="宋体" w:hAnsi="宋体" w:eastAsia="宋体" w:cs="宋体"/>
          <w:spacing w:val="15"/>
          <w:sz w:val="23"/>
          <w:szCs w:val="23"/>
        </w:rPr>
        <w:t>计算，则废水产生量为</w:t>
      </w:r>
      <w:r>
        <w:rPr>
          <w:rFonts w:ascii="宋体" w:hAnsi="宋体" w:eastAsia="宋体" w:cs="宋体"/>
          <w:sz w:val="23"/>
          <w:szCs w:val="23"/>
        </w:rPr>
        <w:t xml:space="preserve"> </w:t>
      </w:r>
      <w:r>
        <w:rPr>
          <w:rFonts w:ascii="Times New Roman" w:hAnsi="Times New Roman" w:eastAsia="Times New Roman" w:cs="Times New Roman"/>
          <w:spacing w:val="-2"/>
          <w:sz w:val="23"/>
          <w:szCs w:val="23"/>
        </w:rPr>
        <w:t>0.85</w:t>
      </w:r>
      <w:r>
        <w:rPr>
          <w:rFonts w:ascii="Times New Roman" w:hAnsi="Times New Roman" w:eastAsia="Times New Roman" w:cs="Times New Roman"/>
          <w:spacing w:val="-1"/>
          <w:sz w:val="23"/>
          <w:szCs w:val="23"/>
        </w:rPr>
        <w:t>m</w:t>
      </w:r>
      <w:r>
        <w:rPr>
          <w:rFonts w:ascii="Times New Roman" w:hAnsi="Times New Roman" w:eastAsia="Times New Roman" w:cs="Times New Roman"/>
          <w:spacing w:val="-2"/>
          <w:position w:val="7"/>
          <w:sz w:val="15"/>
          <w:szCs w:val="15"/>
        </w:rPr>
        <w:t>3</w:t>
      </w:r>
      <w:r>
        <w:rPr>
          <w:rFonts w:ascii="Times New Roman" w:hAnsi="Times New Roman" w:eastAsia="Times New Roman" w:cs="Times New Roman"/>
          <w:spacing w:val="-2"/>
          <w:sz w:val="23"/>
          <w:szCs w:val="23"/>
        </w:rPr>
        <w:t>/</w:t>
      </w:r>
      <w:r>
        <w:rPr>
          <w:rFonts w:ascii="Times New Roman" w:hAnsi="Times New Roman" w:eastAsia="Times New Roman" w:cs="Times New Roman"/>
          <w:spacing w:val="-1"/>
          <w:sz w:val="23"/>
          <w:szCs w:val="23"/>
        </w:rPr>
        <w:t>d</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 xml:space="preserve">，合计 </w:t>
      </w:r>
      <w:r>
        <w:rPr>
          <w:rFonts w:ascii="Times New Roman" w:hAnsi="Times New Roman" w:eastAsia="Times New Roman" w:cs="Times New Roman"/>
          <w:spacing w:val="-1"/>
          <w:sz w:val="23"/>
          <w:szCs w:val="23"/>
        </w:rPr>
        <w:t>310.25m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1"/>
          <w:sz w:val="23"/>
          <w:szCs w:val="23"/>
        </w:rPr>
        <w:t xml:space="preserve">/a </w:t>
      </w:r>
      <w:r>
        <w:rPr>
          <w:rFonts w:ascii="宋体" w:hAnsi="宋体" w:eastAsia="宋体" w:cs="宋体"/>
          <w:spacing w:val="-1"/>
          <w:sz w:val="23"/>
          <w:szCs w:val="23"/>
        </w:rPr>
        <w:t xml:space="preserve">。污水中的主要污染物为 </w:t>
      </w:r>
      <w:r>
        <w:rPr>
          <w:rFonts w:ascii="Times New Roman" w:hAnsi="Times New Roman" w:eastAsia="Times New Roman" w:cs="Times New Roman"/>
          <w:spacing w:val="-1"/>
          <w:sz w:val="23"/>
          <w:szCs w:val="23"/>
        </w:rPr>
        <w:t xml:space="preserve">CODcr </w:t>
      </w:r>
      <w:r>
        <w:rPr>
          <w:rFonts w:ascii="宋体" w:hAnsi="宋体" w:eastAsia="宋体" w:cs="宋体"/>
          <w:spacing w:val="-1"/>
          <w:sz w:val="23"/>
          <w:szCs w:val="23"/>
        </w:rPr>
        <w:t>、</w:t>
      </w:r>
      <w:r>
        <w:rPr>
          <w:rFonts w:ascii="Times New Roman" w:hAnsi="Times New Roman" w:eastAsia="Times New Roman" w:cs="Times New Roman"/>
          <w:spacing w:val="-1"/>
          <w:sz w:val="23"/>
          <w:szCs w:val="23"/>
        </w:rPr>
        <w:t>BOD</w:t>
      </w:r>
      <w:r>
        <w:rPr>
          <w:rFonts w:ascii="Times New Roman" w:hAnsi="Times New Roman" w:eastAsia="Times New Roman" w:cs="Times New Roman"/>
          <w:spacing w:val="-1"/>
          <w:position w:val="-1"/>
          <w:sz w:val="15"/>
          <w:szCs w:val="15"/>
        </w:rPr>
        <w:t xml:space="preserve">5 </w:t>
      </w:r>
      <w:r>
        <w:rPr>
          <w:rFonts w:ascii="宋体" w:hAnsi="宋体" w:eastAsia="宋体" w:cs="宋体"/>
          <w:spacing w:val="-1"/>
          <w:sz w:val="23"/>
          <w:szCs w:val="23"/>
        </w:rPr>
        <w:t>、</w:t>
      </w:r>
      <w:r>
        <w:rPr>
          <w:rFonts w:ascii="Times New Roman" w:hAnsi="Times New Roman" w:eastAsia="Times New Roman" w:cs="Times New Roman"/>
          <w:spacing w:val="-1"/>
          <w:sz w:val="23"/>
          <w:szCs w:val="23"/>
        </w:rPr>
        <w:t>SS</w:t>
      </w:r>
      <w:r>
        <w:rPr>
          <w:rFonts w:ascii="宋体" w:hAnsi="宋体" w:eastAsia="宋体" w:cs="宋体"/>
          <w:spacing w:val="-1"/>
          <w:sz w:val="23"/>
          <w:szCs w:val="23"/>
        </w:rPr>
        <w:t>、</w:t>
      </w:r>
      <w:r>
        <w:rPr>
          <w:rFonts w:ascii="Times New Roman" w:hAnsi="Times New Roman" w:eastAsia="Times New Roman" w:cs="Times New Roman"/>
          <w:spacing w:val="-1"/>
          <w:sz w:val="23"/>
          <w:szCs w:val="23"/>
        </w:rPr>
        <w:t>NH</w:t>
      </w:r>
      <w:r>
        <w:rPr>
          <w:rFonts w:ascii="Times New Roman" w:hAnsi="Times New Roman" w:eastAsia="Times New Roman" w:cs="Times New Roman"/>
          <w:spacing w:val="-1"/>
          <w:position w:val="-1"/>
          <w:sz w:val="15"/>
          <w:szCs w:val="15"/>
        </w:rPr>
        <w:t>3</w:t>
      </w:r>
      <w:r>
        <w:rPr>
          <w:rFonts w:ascii="Times New Roman" w:hAnsi="Times New Roman" w:eastAsia="Times New Roman" w:cs="Times New Roman"/>
          <w:spacing w:val="-1"/>
          <w:sz w:val="23"/>
          <w:szCs w:val="23"/>
        </w:rPr>
        <w:t xml:space="preserve">-N </w:t>
      </w:r>
      <w:r>
        <w:rPr>
          <w:rFonts w:ascii="宋体" w:hAnsi="宋体" w:eastAsia="宋体" w:cs="宋体"/>
          <w:spacing w:val="-1"/>
          <w:sz w:val="23"/>
          <w:szCs w:val="23"/>
        </w:rPr>
        <w:t>。生活污水</w:t>
      </w:r>
      <w:r>
        <w:rPr>
          <w:rFonts w:ascii="宋体" w:hAnsi="宋体" w:eastAsia="宋体" w:cs="宋体"/>
          <w:sz w:val="23"/>
          <w:szCs w:val="23"/>
        </w:rPr>
        <w:t xml:space="preserve"> </w:t>
      </w:r>
      <w:r>
        <w:rPr>
          <w:rFonts w:ascii="宋体" w:hAnsi="宋体" w:eastAsia="宋体" w:cs="宋体"/>
          <w:spacing w:val="16"/>
          <w:sz w:val="23"/>
          <w:szCs w:val="23"/>
        </w:rPr>
        <w:t>经</w:t>
      </w:r>
      <w:r>
        <w:rPr>
          <w:rFonts w:ascii="宋体" w:hAnsi="宋体" w:eastAsia="宋体" w:cs="宋体"/>
          <w:spacing w:val="9"/>
          <w:sz w:val="23"/>
          <w:szCs w:val="23"/>
        </w:rPr>
        <w:t>化粪池处理后用作周边建设单位自家林地灌溉，不外排。</w:t>
      </w:r>
    </w:p>
    <w:p w14:paraId="33537ADA">
      <w:pPr>
        <w:spacing w:before="36" w:line="225" w:lineRule="auto"/>
        <w:ind w:left="488"/>
        <w:rPr>
          <w:rFonts w:ascii="宋体" w:hAnsi="宋体" w:eastAsia="宋体" w:cs="宋体"/>
          <w:sz w:val="23"/>
          <w:szCs w:val="23"/>
        </w:rPr>
      </w:pPr>
      <w:r>
        <w:rPr>
          <w:rFonts w:ascii="宋体" w:hAnsi="宋体" w:eastAsia="宋体" w:cs="宋体"/>
          <w:spacing w:val="12"/>
          <w:sz w:val="23"/>
          <w:szCs w:val="23"/>
          <w14:textOutline w14:w="4356" w14:cap="sq" w14:cmpd="sng" w14:algn="ctr">
            <w14:solidFill>
              <w14:srgbClr w14:val="000000"/>
            </w14:solidFill>
            <w14:prstDash w14:val="solid"/>
            <w14:bevel/>
          </w14:textOutline>
        </w:rPr>
        <w:t>⑥</w:t>
      </w:r>
      <w:r>
        <w:rPr>
          <w:rFonts w:ascii="宋体" w:hAnsi="宋体" w:eastAsia="宋体" w:cs="宋体"/>
          <w:spacing w:val="10"/>
          <w:sz w:val="23"/>
          <w:szCs w:val="23"/>
          <w14:textOutline w14:w="4356" w14:cap="sq" w14:cmpd="sng" w14:algn="ctr">
            <w14:solidFill>
              <w14:srgbClr w14:val="000000"/>
            </w14:solidFill>
            <w14:prstDash w14:val="solid"/>
            <w14:bevel/>
          </w14:textOutline>
        </w:rPr>
        <w:t>粪污处理过程蒸发水量</w:t>
      </w:r>
    </w:p>
    <w:p w14:paraId="249CDE74">
      <w:pPr>
        <w:spacing w:before="190" w:line="373" w:lineRule="auto"/>
        <w:ind w:left="9" w:right="42" w:firstLine="481"/>
        <w:rPr>
          <w:rFonts w:ascii="宋体" w:hAnsi="宋体" w:eastAsia="宋体" w:cs="宋体"/>
          <w:sz w:val="23"/>
          <w:szCs w:val="23"/>
        </w:rPr>
      </w:pPr>
      <w:r>
        <w:rPr>
          <w:rFonts w:ascii="宋体" w:hAnsi="宋体" w:eastAsia="宋体" w:cs="宋体"/>
          <w:spacing w:val="7"/>
          <w:sz w:val="23"/>
          <w:szCs w:val="23"/>
        </w:rPr>
        <w:t>若后期乐山乐高勤力生物质能源综合利用有限公司不再回收厂区内的养殖废水，本项目</w:t>
      </w:r>
      <w:r>
        <w:rPr>
          <w:rFonts w:ascii="宋体" w:hAnsi="宋体" w:eastAsia="宋体" w:cs="宋体"/>
          <w:sz w:val="23"/>
          <w:szCs w:val="23"/>
        </w:rPr>
        <w:t xml:space="preserve"> </w:t>
      </w:r>
      <w:r>
        <w:rPr>
          <w:rFonts w:ascii="宋体" w:hAnsi="宋体" w:eastAsia="宋体" w:cs="宋体"/>
          <w:spacing w:val="14"/>
          <w:sz w:val="23"/>
          <w:szCs w:val="23"/>
        </w:rPr>
        <w:t>在</w:t>
      </w:r>
      <w:r>
        <w:rPr>
          <w:rFonts w:ascii="宋体" w:hAnsi="宋体" w:eastAsia="宋体" w:cs="宋体"/>
          <w:spacing w:val="8"/>
          <w:sz w:val="23"/>
          <w:szCs w:val="23"/>
        </w:rPr>
        <w:t>厂</w:t>
      </w:r>
      <w:r>
        <w:rPr>
          <w:rFonts w:ascii="宋体" w:hAnsi="宋体" w:eastAsia="宋体" w:cs="宋体"/>
          <w:spacing w:val="7"/>
          <w:sz w:val="23"/>
          <w:szCs w:val="23"/>
        </w:rPr>
        <w:t xml:space="preserve">区内自行处理养殖废水的情况下：项目废水产生总量为 </w:t>
      </w:r>
      <w:r>
        <w:rPr>
          <w:rFonts w:ascii="Times New Roman" w:hAnsi="Times New Roman" w:eastAsia="Times New Roman" w:cs="Times New Roman"/>
          <w:spacing w:val="7"/>
          <w:sz w:val="23"/>
          <w:szCs w:val="23"/>
        </w:rPr>
        <w:t>18835.674</w:t>
      </w:r>
      <w:r>
        <w:rPr>
          <w:rFonts w:ascii="Times New Roman" w:hAnsi="Times New Roman" w:eastAsia="Times New Roman" w:cs="Times New Roman"/>
          <w:sz w:val="23"/>
          <w:szCs w:val="23"/>
        </w:rPr>
        <w:t>m</w:t>
      </w:r>
      <w:r>
        <w:rPr>
          <w:rFonts w:ascii="Times New Roman" w:hAnsi="Times New Roman" w:eastAsia="Times New Roman" w:cs="Times New Roman"/>
          <w:spacing w:val="7"/>
          <w:position w:val="8"/>
          <w:sz w:val="15"/>
          <w:szCs w:val="15"/>
        </w:rPr>
        <w:t>3</w:t>
      </w:r>
      <w:r>
        <w:rPr>
          <w:rFonts w:ascii="Times New Roman" w:hAnsi="Times New Roman" w:eastAsia="Times New Roman" w:cs="Times New Roman"/>
          <w:spacing w:val="7"/>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，产生新鲜猪粪</w:t>
      </w:r>
      <w:r>
        <w:rPr>
          <w:rFonts w:ascii="宋体" w:hAnsi="宋体" w:eastAsia="宋体" w:cs="宋体"/>
          <w:sz w:val="23"/>
          <w:szCs w:val="23"/>
        </w:rPr>
        <w:t xml:space="preserve"> </w:t>
      </w:r>
      <w:r>
        <w:rPr>
          <w:rFonts w:ascii="宋体" w:hAnsi="宋体" w:eastAsia="宋体" w:cs="宋体"/>
          <w:spacing w:val="2"/>
          <w:sz w:val="23"/>
          <w:szCs w:val="23"/>
        </w:rPr>
        <w:t xml:space="preserve">约为 </w:t>
      </w:r>
      <w:r>
        <w:rPr>
          <w:rFonts w:ascii="Times New Roman" w:hAnsi="Times New Roman" w:eastAsia="Times New Roman" w:cs="Times New Roman"/>
          <w:spacing w:val="2"/>
          <w:sz w:val="23"/>
          <w:szCs w:val="23"/>
        </w:rPr>
        <w:t>17.264</w:t>
      </w:r>
      <w:r>
        <w:rPr>
          <w:rFonts w:ascii="Times New Roman" w:hAnsi="Times New Roman" w:eastAsia="Times New Roman" w:cs="Times New Roman"/>
          <w:sz w:val="23"/>
          <w:szCs w:val="23"/>
        </w:rPr>
        <w:t>t</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w:t>
      </w:r>
      <w:r>
        <w:rPr>
          <w:rFonts w:ascii="Times New Roman" w:hAnsi="Times New Roman" w:eastAsia="Times New Roman" w:cs="Times New Roman"/>
          <w:spacing w:val="2"/>
          <w:sz w:val="23"/>
          <w:szCs w:val="23"/>
        </w:rPr>
        <w:t>6301.36</w:t>
      </w:r>
      <w:r>
        <w:rPr>
          <w:rFonts w:ascii="Times New Roman" w:hAnsi="Times New Roman" w:eastAsia="Times New Roman" w:cs="Times New Roman"/>
          <w:sz w:val="23"/>
          <w:szCs w:val="23"/>
        </w:rPr>
        <w:t>t</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，项目新鲜猪粪含</w:t>
      </w:r>
      <w:r>
        <w:rPr>
          <w:rFonts w:ascii="宋体" w:hAnsi="宋体" w:eastAsia="宋体" w:cs="宋体"/>
          <w:spacing w:val="1"/>
          <w:sz w:val="23"/>
          <w:szCs w:val="23"/>
        </w:rPr>
        <w:t xml:space="preserve">水率以 </w:t>
      </w:r>
      <w:r>
        <w:rPr>
          <w:rFonts w:ascii="Times New Roman" w:hAnsi="Times New Roman" w:eastAsia="Times New Roman" w:cs="Times New Roman"/>
          <w:spacing w:val="1"/>
          <w:sz w:val="23"/>
          <w:szCs w:val="23"/>
        </w:rPr>
        <w:t>70%</w:t>
      </w:r>
      <w:r>
        <w:rPr>
          <w:rFonts w:ascii="宋体" w:hAnsi="宋体" w:eastAsia="宋体" w:cs="宋体"/>
          <w:spacing w:val="1"/>
          <w:sz w:val="23"/>
          <w:szCs w:val="23"/>
        </w:rPr>
        <w:t xml:space="preserve">计，则干粪产生量为 </w:t>
      </w:r>
      <w:r>
        <w:rPr>
          <w:rFonts w:ascii="Times New Roman" w:hAnsi="Times New Roman" w:eastAsia="Times New Roman" w:cs="Times New Roman"/>
          <w:spacing w:val="1"/>
          <w:sz w:val="23"/>
          <w:szCs w:val="23"/>
        </w:rPr>
        <w:t>1890.408</w:t>
      </w:r>
      <w:r>
        <w:rPr>
          <w:rFonts w:ascii="Times New Roman" w:hAnsi="Times New Roman" w:eastAsia="Times New Roman" w:cs="Times New Roman"/>
          <w:sz w:val="23"/>
          <w:szCs w:val="23"/>
        </w:rPr>
        <w:t>t</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w:t>
      </w:r>
      <w:r>
        <w:rPr>
          <w:rFonts w:ascii="宋体" w:hAnsi="宋体" w:eastAsia="宋体" w:cs="宋体"/>
          <w:sz w:val="23"/>
          <w:szCs w:val="23"/>
        </w:rPr>
        <w:t xml:space="preserve"> </w:t>
      </w:r>
      <w:r>
        <w:rPr>
          <w:rFonts w:ascii="宋体" w:hAnsi="宋体" w:eastAsia="宋体" w:cs="宋体"/>
          <w:spacing w:val="8"/>
          <w:sz w:val="23"/>
          <w:szCs w:val="23"/>
        </w:rPr>
        <w:t>粪污经菌种发</w:t>
      </w:r>
      <w:r>
        <w:rPr>
          <w:rFonts w:ascii="宋体" w:hAnsi="宋体" w:eastAsia="宋体" w:cs="宋体"/>
          <w:spacing w:val="6"/>
          <w:sz w:val="23"/>
          <w:szCs w:val="23"/>
        </w:rPr>
        <w:t>酵</w:t>
      </w:r>
      <w:r>
        <w:rPr>
          <w:rFonts w:ascii="宋体" w:hAnsi="宋体" w:eastAsia="宋体" w:cs="宋体"/>
          <w:spacing w:val="4"/>
          <w:sz w:val="23"/>
          <w:szCs w:val="23"/>
        </w:rPr>
        <w:t xml:space="preserve">后含水率在 </w:t>
      </w:r>
      <w:r>
        <w:rPr>
          <w:rFonts w:ascii="Times New Roman" w:hAnsi="Times New Roman" w:eastAsia="Times New Roman" w:cs="Times New Roman"/>
          <w:spacing w:val="4"/>
          <w:sz w:val="23"/>
          <w:szCs w:val="23"/>
        </w:rPr>
        <w:t>30%</w:t>
      </w:r>
      <w:r>
        <w:rPr>
          <w:rFonts w:ascii="宋体" w:hAnsi="宋体" w:eastAsia="宋体" w:cs="宋体"/>
          <w:spacing w:val="4"/>
          <w:sz w:val="23"/>
          <w:szCs w:val="23"/>
        </w:rPr>
        <w:t xml:space="preserve">左右，则项目发酵产生的有机肥量为 </w:t>
      </w:r>
      <w:r>
        <w:rPr>
          <w:rFonts w:ascii="Times New Roman" w:hAnsi="Times New Roman" w:eastAsia="Times New Roman" w:cs="Times New Roman"/>
          <w:spacing w:val="4"/>
          <w:sz w:val="23"/>
          <w:szCs w:val="23"/>
        </w:rPr>
        <w:t>2410.97</w:t>
      </w:r>
      <w:r>
        <w:rPr>
          <w:rFonts w:ascii="Times New Roman" w:hAnsi="Times New Roman" w:eastAsia="Times New Roman" w:cs="Times New Roman"/>
          <w:sz w:val="23"/>
          <w:szCs w:val="23"/>
        </w:rPr>
        <w:t>t</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，有机肥中</w:t>
      </w:r>
      <w:r>
        <w:rPr>
          <w:rFonts w:ascii="宋体" w:hAnsi="宋体" w:eastAsia="宋体" w:cs="宋体"/>
          <w:sz w:val="23"/>
          <w:szCs w:val="23"/>
        </w:rPr>
        <w:t xml:space="preserve"> </w:t>
      </w:r>
      <w:r>
        <w:rPr>
          <w:rFonts w:ascii="宋体" w:hAnsi="宋体" w:eastAsia="宋体" w:cs="宋体"/>
          <w:spacing w:val="6"/>
          <w:sz w:val="23"/>
          <w:szCs w:val="23"/>
        </w:rPr>
        <w:t xml:space="preserve">含水量为 </w:t>
      </w:r>
      <w:r>
        <w:rPr>
          <w:rFonts w:ascii="Times New Roman" w:hAnsi="Times New Roman" w:eastAsia="Times New Roman" w:cs="Times New Roman"/>
          <w:spacing w:val="6"/>
          <w:sz w:val="23"/>
          <w:szCs w:val="23"/>
        </w:rPr>
        <w:t>723</w:t>
      </w:r>
      <w:r>
        <w:rPr>
          <w:rFonts w:ascii="Times New Roman" w:hAnsi="Times New Roman" w:eastAsia="Times New Roman" w:cs="Times New Roman"/>
          <w:spacing w:val="5"/>
          <w:sz w:val="23"/>
          <w:szCs w:val="23"/>
        </w:rPr>
        <w:t>.</w:t>
      </w:r>
      <w:r>
        <w:rPr>
          <w:rFonts w:ascii="Times New Roman" w:hAnsi="Times New Roman" w:eastAsia="Times New Roman" w:cs="Times New Roman"/>
          <w:spacing w:val="3"/>
          <w:sz w:val="23"/>
          <w:szCs w:val="23"/>
        </w:rPr>
        <w:t>291</w:t>
      </w:r>
      <w:r>
        <w:rPr>
          <w:rFonts w:ascii="Times New Roman" w:hAnsi="Times New Roman" w:eastAsia="Times New Roman" w:cs="Times New Roman"/>
          <w:sz w:val="23"/>
          <w:szCs w:val="23"/>
        </w:rPr>
        <w:t>t</w:t>
      </w:r>
      <w:r>
        <w:rPr>
          <w:rFonts w:ascii="Times New Roman" w:hAnsi="Times New Roman" w:eastAsia="Times New Roman" w:cs="Times New Roman"/>
          <w:spacing w:val="3"/>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 xml:space="preserve">，粪污经异位微生物发酵系统发酵蒸发的水量为 </w:t>
      </w:r>
      <w:r>
        <w:rPr>
          <w:rFonts w:ascii="Times New Roman" w:hAnsi="Times New Roman" w:eastAsia="Times New Roman" w:cs="Times New Roman"/>
          <w:spacing w:val="3"/>
          <w:sz w:val="23"/>
          <w:szCs w:val="23"/>
        </w:rPr>
        <w:t>16424.704</w:t>
      </w:r>
      <w:r>
        <w:rPr>
          <w:rFonts w:ascii="Times New Roman" w:hAnsi="Times New Roman" w:eastAsia="Times New Roman" w:cs="Times New Roman"/>
          <w:sz w:val="23"/>
          <w:szCs w:val="23"/>
        </w:rPr>
        <w:t>t</w:t>
      </w:r>
      <w:r>
        <w:rPr>
          <w:rFonts w:ascii="Times New Roman" w:hAnsi="Times New Roman" w:eastAsia="Times New Roman" w:cs="Times New Roman"/>
          <w:spacing w:val="3"/>
          <w:sz w:val="23"/>
          <w:szCs w:val="23"/>
        </w:rPr>
        <w:t>/</w:t>
      </w:r>
      <w:r>
        <w:rPr>
          <w:rFonts w:ascii="Times New Roman" w:hAnsi="Times New Roman" w:eastAsia="Times New Roman" w:cs="Times New Roman"/>
          <w:sz w:val="23"/>
          <w:szCs w:val="23"/>
        </w:rPr>
        <w:t>a</w:t>
      </w:r>
      <w:r>
        <w:rPr>
          <w:rFonts w:ascii="宋体" w:hAnsi="宋体" w:eastAsia="宋体" w:cs="宋体"/>
          <w:spacing w:val="3"/>
          <w:sz w:val="23"/>
          <w:szCs w:val="23"/>
        </w:rPr>
        <w:t>。</w:t>
      </w:r>
    </w:p>
    <w:p w14:paraId="310ED924">
      <w:pPr>
        <w:spacing w:before="7" w:line="227" w:lineRule="auto"/>
        <w:ind w:left="494"/>
        <w:rPr>
          <w:rFonts w:ascii="宋体" w:hAnsi="宋体" w:eastAsia="宋体" w:cs="宋体"/>
          <w:sz w:val="23"/>
          <w:szCs w:val="23"/>
        </w:rPr>
      </w:pPr>
      <w:r>
        <w:rPr>
          <w:rFonts w:ascii="宋体" w:hAnsi="宋体" w:eastAsia="宋体" w:cs="宋体"/>
          <w:spacing w:val="8"/>
          <w:sz w:val="23"/>
          <w:szCs w:val="23"/>
        </w:rPr>
        <w:t>项目给排水情况见下表</w:t>
      </w:r>
      <w:r>
        <w:rPr>
          <w:rFonts w:ascii="宋体" w:hAnsi="宋体" w:eastAsia="宋体" w:cs="宋体"/>
          <w:spacing w:val="6"/>
          <w:sz w:val="23"/>
          <w:szCs w:val="23"/>
        </w:rPr>
        <w:t>。</w:t>
      </w:r>
    </w:p>
    <w:p w14:paraId="21ACFB1E">
      <w:pPr>
        <w:spacing w:before="305" w:line="221" w:lineRule="auto"/>
        <w:ind w:left="1662"/>
        <w:rPr>
          <w:rFonts w:ascii="黑体" w:hAnsi="黑体" w:eastAsia="黑体" w:cs="黑体"/>
          <w:sz w:val="23"/>
          <w:szCs w:val="23"/>
        </w:rPr>
      </w:pPr>
      <w:r>
        <w:rPr>
          <w:rFonts w:ascii="黑体" w:hAnsi="黑体" w:eastAsia="黑体" w:cs="黑体"/>
          <w:spacing w:val="10"/>
          <w:sz w:val="23"/>
          <w:szCs w:val="23"/>
        </w:rPr>
        <w:t xml:space="preserve">表 </w:t>
      </w:r>
      <w:r>
        <w:rPr>
          <w:rFonts w:ascii="Times New Roman" w:hAnsi="Times New Roman" w:eastAsia="Times New Roman" w:cs="Times New Roman"/>
          <w:spacing w:val="10"/>
          <w:sz w:val="23"/>
          <w:szCs w:val="23"/>
        </w:rPr>
        <w:t>3</w:t>
      </w:r>
      <w:r>
        <w:rPr>
          <w:rFonts w:ascii="Times New Roman" w:hAnsi="Times New Roman" w:eastAsia="Times New Roman" w:cs="Times New Roman"/>
          <w:spacing w:val="6"/>
          <w:sz w:val="23"/>
          <w:szCs w:val="23"/>
        </w:rPr>
        <w:t>.</w:t>
      </w:r>
      <w:r>
        <w:rPr>
          <w:rFonts w:ascii="Times New Roman" w:hAnsi="Times New Roman" w:eastAsia="Times New Roman" w:cs="Times New Roman"/>
          <w:spacing w:val="5"/>
          <w:sz w:val="23"/>
          <w:szCs w:val="23"/>
        </w:rPr>
        <w:t xml:space="preserve">3-7      </w:t>
      </w:r>
      <w:r>
        <w:rPr>
          <w:rFonts w:ascii="黑体" w:hAnsi="黑体" w:eastAsia="黑体" w:cs="黑体"/>
          <w:spacing w:val="5"/>
          <w:sz w:val="23"/>
          <w:szCs w:val="23"/>
        </w:rPr>
        <w:t>项目养殖粪水委外处理情况下用水及产污情况表</w:t>
      </w:r>
    </w:p>
    <w:tbl>
      <w:tblPr>
        <w:tblStyle w:val="4"/>
        <w:tblW w:w="949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563"/>
        <w:gridCol w:w="962"/>
        <w:gridCol w:w="911"/>
        <w:gridCol w:w="1310"/>
        <w:gridCol w:w="1406"/>
        <w:gridCol w:w="910"/>
        <w:gridCol w:w="1654"/>
        <w:gridCol w:w="1242"/>
      </w:tblGrid>
      <w:tr w14:paraId="6D0837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539" w:type="dxa"/>
            <w:tcBorders>
              <w:left w:val="nil"/>
            </w:tcBorders>
          </w:tcPr>
          <w:p w14:paraId="042A7ADB">
            <w:pPr>
              <w:spacing w:before="101" w:line="229" w:lineRule="auto"/>
              <w:ind w:left="63"/>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1525" w:type="dxa"/>
            <w:gridSpan w:val="2"/>
          </w:tcPr>
          <w:p w14:paraId="6CB7C593">
            <w:pPr>
              <w:spacing w:before="100" w:line="228" w:lineRule="auto"/>
              <w:ind w:left="349"/>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用水对象</w:t>
            </w:r>
          </w:p>
        </w:tc>
        <w:tc>
          <w:tcPr>
            <w:tcW w:w="911" w:type="dxa"/>
          </w:tcPr>
          <w:p w14:paraId="61238413">
            <w:pPr>
              <w:spacing w:before="100" w:line="228" w:lineRule="auto"/>
              <w:ind w:left="252"/>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规</w:t>
            </w:r>
            <w:r>
              <w:rPr>
                <w:rFonts w:ascii="宋体" w:hAnsi="宋体" w:eastAsia="宋体" w:cs="宋体"/>
                <w:spacing w:val="5"/>
                <w:sz w:val="20"/>
                <w:szCs w:val="20"/>
                <w14:textOutline w14:w="3797" w14:cap="sq" w14:cmpd="sng" w14:algn="ctr">
                  <w14:solidFill>
                    <w14:srgbClr w14:val="000000"/>
                  </w14:solidFill>
                  <w14:prstDash w14:val="solid"/>
                  <w14:bevel/>
                </w14:textOutline>
              </w:rPr>
              <w:t>模</w:t>
            </w:r>
          </w:p>
        </w:tc>
        <w:tc>
          <w:tcPr>
            <w:tcW w:w="1310" w:type="dxa"/>
          </w:tcPr>
          <w:p w14:paraId="2A8EA77E">
            <w:pPr>
              <w:spacing w:before="100" w:line="228" w:lineRule="auto"/>
              <w:ind w:left="241"/>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用水标准</w:t>
            </w:r>
          </w:p>
        </w:tc>
        <w:tc>
          <w:tcPr>
            <w:tcW w:w="1406" w:type="dxa"/>
          </w:tcPr>
          <w:p w14:paraId="3DBC5767">
            <w:pPr>
              <w:spacing w:before="60" w:line="289" w:lineRule="exact"/>
              <w:ind w:left="14"/>
              <w:rPr>
                <w:rFonts w:ascii="宋体" w:hAnsi="宋体" w:eastAsia="宋体" w:cs="宋体"/>
                <w:sz w:val="20"/>
                <w:szCs w:val="20"/>
              </w:rPr>
            </w:pPr>
            <w:r>
              <w:rPr>
                <w:rFonts w:ascii="宋体" w:hAnsi="宋体" w:eastAsia="宋体" w:cs="宋体"/>
                <w:spacing w:val="-8"/>
                <w:position w:val="2"/>
                <w:sz w:val="20"/>
                <w:szCs w:val="20"/>
                <w14:textOutline w14:w="3657" w14:cap="sq" w14:cmpd="sng" w14:algn="ctr">
                  <w14:solidFill>
                    <w14:srgbClr w14:val="000000"/>
                  </w14:solidFill>
                  <w14:prstDash w14:val="solid"/>
                  <w14:bevel/>
                </w14:textOutline>
              </w:rPr>
              <w:t>用</w:t>
            </w:r>
            <w:r>
              <w:rPr>
                <w:rFonts w:ascii="宋体" w:hAnsi="宋体" w:eastAsia="宋体" w:cs="宋体"/>
                <w:spacing w:val="-4"/>
                <w:position w:val="2"/>
                <w:sz w:val="20"/>
                <w:szCs w:val="20"/>
                <w14:textOutline w14:w="3657" w14:cap="sq" w14:cmpd="sng" w14:algn="ctr">
                  <w14:solidFill>
                    <w14:srgbClr w14:val="000000"/>
                  </w14:solidFill>
                  <w14:prstDash w14:val="solid"/>
                  <w14:bevel/>
                </w14:textOutline>
              </w:rPr>
              <w:t>水量</w:t>
            </w:r>
            <w:r>
              <w:rPr>
                <w:rFonts w:ascii="宋体" w:hAnsi="宋体" w:eastAsia="宋体" w:cs="宋体"/>
                <w:spacing w:val="-4"/>
                <w:position w:val="2"/>
                <w:sz w:val="20"/>
                <w:szCs w:val="20"/>
              </w:rPr>
              <w:t xml:space="preserve"> </w:t>
            </w:r>
            <w:r>
              <w:rPr>
                <w:rFonts w:ascii="宋体" w:hAnsi="宋体" w:eastAsia="宋体" w:cs="宋体"/>
                <w:spacing w:val="-4"/>
                <w:position w:val="2"/>
                <w:sz w:val="20"/>
                <w:szCs w:val="20"/>
                <w14:textOutline w14:w="3657" w14:cap="sq" w14:cmpd="sng" w14:algn="ctr">
                  <w14:solidFill>
                    <w14:srgbClr w14:val="000000"/>
                  </w14:solidFill>
                  <w14:prstDash w14:val="solid"/>
                  <w14:bevel/>
                </w14:textOutline>
              </w:rPr>
              <w:t>(</w:t>
            </w:r>
            <w:r>
              <w:rPr>
                <w:rFonts w:ascii="Times New Roman" w:hAnsi="Times New Roman" w:eastAsia="Times New Roman" w:cs="Times New Roman"/>
                <w:b/>
                <w:bCs/>
                <w:spacing w:val="-4"/>
                <w:position w:val="2"/>
                <w:sz w:val="20"/>
                <w:szCs w:val="20"/>
              </w:rPr>
              <w:t>m3/d</w:t>
            </w:r>
            <w:r>
              <w:rPr>
                <w:rFonts w:ascii="宋体" w:hAnsi="宋体" w:eastAsia="宋体" w:cs="宋体"/>
                <w:spacing w:val="-4"/>
                <w:position w:val="2"/>
                <w:sz w:val="20"/>
                <w:szCs w:val="20"/>
                <w14:textOutline w14:w="3657" w14:cap="sq" w14:cmpd="sng" w14:algn="ctr">
                  <w14:solidFill>
                    <w14:srgbClr w14:val="000000"/>
                  </w14:solidFill>
                  <w14:prstDash w14:val="solid"/>
                  <w14:bevel/>
                </w14:textOutline>
              </w:rPr>
              <w:t>)</w:t>
            </w:r>
          </w:p>
        </w:tc>
        <w:tc>
          <w:tcPr>
            <w:tcW w:w="910" w:type="dxa"/>
          </w:tcPr>
          <w:p w14:paraId="7D71E0F5">
            <w:pPr>
              <w:spacing w:before="100" w:line="228" w:lineRule="auto"/>
              <w:ind w:left="39"/>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产</w:t>
            </w:r>
            <w:r>
              <w:rPr>
                <w:rFonts w:ascii="宋体" w:hAnsi="宋体" w:eastAsia="宋体" w:cs="宋体"/>
                <w:spacing w:val="8"/>
                <w:sz w:val="20"/>
                <w:szCs w:val="20"/>
                <w14:textOutline w14:w="3797" w14:cap="sq" w14:cmpd="sng" w14:algn="ctr">
                  <w14:solidFill>
                    <w14:srgbClr w14:val="000000"/>
                  </w14:solidFill>
                  <w14:prstDash w14:val="solid"/>
                  <w14:bevel/>
                </w14:textOutline>
              </w:rPr>
              <w:t>污系数</w:t>
            </w:r>
          </w:p>
        </w:tc>
        <w:tc>
          <w:tcPr>
            <w:tcW w:w="1654" w:type="dxa"/>
          </w:tcPr>
          <w:p w14:paraId="14D00F57">
            <w:pPr>
              <w:spacing w:before="60" w:line="289" w:lineRule="exact"/>
              <w:ind w:left="99"/>
              <w:rPr>
                <w:rFonts w:ascii="宋体" w:hAnsi="宋体" w:eastAsia="宋体" w:cs="宋体"/>
                <w:sz w:val="20"/>
                <w:szCs w:val="20"/>
              </w:rPr>
            </w:pPr>
            <w:r>
              <w:rPr>
                <w:rFonts w:ascii="宋体" w:hAnsi="宋体" w:eastAsia="宋体" w:cs="宋体"/>
                <w:spacing w:val="7"/>
                <w:position w:val="1"/>
                <w:sz w:val="20"/>
                <w:szCs w:val="20"/>
                <w14:textOutline w14:w="3797" w14:cap="sq" w14:cmpd="sng" w14:algn="ctr">
                  <w14:solidFill>
                    <w14:srgbClr w14:val="000000"/>
                  </w14:solidFill>
                  <w14:prstDash w14:val="solid"/>
                  <w14:bevel/>
                </w14:textOutline>
              </w:rPr>
              <w:t>排水量</w:t>
            </w:r>
            <w:r>
              <w:rPr>
                <w:rFonts w:ascii="宋体" w:hAnsi="宋体" w:eastAsia="宋体" w:cs="宋体"/>
                <w:spacing w:val="7"/>
                <w:position w:val="1"/>
                <w:sz w:val="20"/>
                <w:szCs w:val="20"/>
              </w:rPr>
              <w:t xml:space="preserve"> </w:t>
            </w:r>
            <w:r>
              <w:rPr>
                <w:rFonts w:ascii="宋体" w:hAnsi="宋体" w:eastAsia="宋体" w:cs="宋体"/>
                <w:spacing w:val="7"/>
                <w:position w:val="1"/>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position w:val="1"/>
                <w:sz w:val="20"/>
                <w:szCs w:val="20"/>
              </w:rPr>
              <w:t>m</w:t>
            </w:r>
            <w:r>
              <w:rPr>
                <w:rFonts w:ascii="Times New Roman" w:hAnsi="Times New Roman" w:eastAsia="Times New Roman" w:cs="Times New Roman"/>
                <w:b/>
                <w:bCs/>
                <w:spacing w:val="7"/>
                <w:position w:val="7"/>
                <w:sz w:val="13"/>
                <w:szCs w:val="13"/>
              </w:rPr>
              <w:t>3</w:t>
            </w:r>
            <w:r>
              <w:rPr>
                <w:rFonts w:ascii="Times New Roman" w:hAnsi="Times New Roman" w:eastAsia="Times New Roman" w:cs="Times New Roman"/>
                <w:b/>
                <w:bCs/>
                <w:spacing w:val="7"/>
                <w:position w:val="1"/>
                <w:sz w:val="20"/>
                <w:szCs w:val="20"/>
              </w:rPr>
              <w:t>/</w:t>
            </w:r>
            <w:r>
              <w:rPr>
                <w:rFonts w:ascii="Times New Roman" w:hAnsi="Times New Roman" w:eastAsia="Times New Roman" w:cs="Times New Roman"/>
                <w:b/>
                <w:bCs/>
                <w:position w:val="1"/>
                <w:sz w:val="20"/>
                <w:szCs w:val="20"/>
              </w:rPr>
              <w:t>d</w:t>
            </w:r>
            <w:r>
              <w:rPr>
                <w:rFonts w:ascii="宋体" w:hAnsi="宋体" w:eastAsia="宋体" w:cs="宋体"/>
                <w:spacing w:val="5"/>
                <w:position w:val="1"/>
                <w:sz w:val="20"/>
                <w:szCs w:val="20"/>
                <w14:textOutline w14:w="3797" w14:cap="sq" w14:cmpd="sng" w14:algn="ctr">
                  <w14:solidFill>
                    <w14:srgbClr w14:val="000000"/>
                  </w14:solidFill>
                  <w14:prstDash w14:val="solid"/>
                  <w14:bevel/>
                </w14:textOutline>
              </w:rPr>
              <w:t>)</w:t>
            </w:r>
          </w:p>
        </w:tc>
        <w:tc>
          <w:tcPr>
            <w:tcW w:w="1242" w:type="dxa"/>
            <w:tcBorders>
              <w:right w:val="nil"/>
            </w:tcBorders>
          </w:tcPr>
          <w:p w14:paraId="0CE94BA9">
            <w:pPr>
              <w:spacing w:before="101" w:line="229" w:lineRule="auto"/>
              <w:ind w:left="421"/>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去向</w:t>
            </w:r>
          </w:p>
        </w:tc>
      </w:tr>
      <w:tr w14:paraId="4DDF1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539" w:type="dxa"/>
            <w:tcBorders>
              <w:left w:val="nil"/>
            </w:tcBorders>
          </w:tcPr>
          <w:p w14:paraId="6F4E0620">
            <w:pPr>
              <w:spacing w:before="137" w:line="195" w:lineRule="auto"/>
              <w:ind w:left="23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563" w:type="dxa"/>
          </w:tcPr>
          <w:p w14:paraId="1F4DDEB5">
            <w:pPr>
              <w:spacing w:before="33" w:line="228" w:lineRule="auto"/>
              <w:ind w:left="77"/>
              <w:rPr>
                <w:rFonts w:ascii="宋体" w:hAnsi="宋体" w:eastAsia="宋体" w:cs="宋体"/>
                <w:sz w:val="20"/>
                <w:szCs w:val="20"/>
              </w:rPr>
            </w:pPr>
            <w:r>
              <w:rPr>
                <w:rFonts w:ascii="宋体" w:hAnsi="宋体" w:eastAsia="宋体" w:cs="宋体"/>
                <w:spacing w:val="4"/>
                <w:sz w:val="20"/>
                <w:szCs w:val="20"/>
              </w:rPr>
              <w:t>养殖</w:t>
            </w:r>
          </w:p>
        </w:tc>
        <w:tc>
          <w:tcPr>
            <w:tcW w:w="962" w:type="dxa"/>
          </w:tcPr>
          <w:p w14:paraId="09657A95">
            <w:pPr>
              <w:spacing w:before="101" w:line="228" w:lineRule="auto"/>
              <w:ind w:left="66"/>
              <w:rPr>
                <w:rFonts w:ascii="宋体" w:hAnsi="宋体" w:eastAsia="宋体" w:cs="宋体"/>
                <w:sz w:val="20"/>
                <w:szCs w:val="20"/>
              </w:rPr>
            </w:pPr>
            <w:r>
              <w:rPr>
                <w:rFonts w:ascii="宋体" w:hAnsi="宋体" w:eastAsia="宋体" w:cs="宋体"/>
                <w:spacing w:val="8"/>
                <w:sz w:val="20"/>
                <w:szCs w:val="20"/>
              </w:rPr>
              <w:t>猪</w:t>
            </w:r>
            <w:r>
              <w:rPr>
                <w:rFonts w:ascii="宋体" w:hAnsi="宋体" w:eastAsia="宋体" w:cs="宋体"/>
                <w:spacing w:val="7"/>
                <w:sz w:val="20"/>
                <w:szCs w:val="20"/>
              </w:rPr>
              <w:t>只饮用</w:t>
            </w:r>
          </w:p>
        </w:tc>
        <w:tc>
          <w:tcPr>
            <w:tcW w:w="911" w:type="dxa"/>
          </w:tcPr>
          <w:p w14:paraId="151C5BC8"/>
        </w:tc>
        <w:tc>
          <w:tcPr>
            <w:tcW w:w="1310" w:type="dxa"/>
          </w:tcPr>
          <w:p w14:paraId="7BF9BD3A"/>
        </w:tc>
        <w:tc>
          <w:tcPr>
            <w:tcW w:w="1406" w:type="dxa"/>
          </w:tcPr>
          <w:p w14:paraId="36DD5567"/>
        </w:tc>
        <w:tc>
          <w:tcPr>
            <w:tcW w:w="910" w:type="dxa"/>
          </w:tcPr>
          <w:p w14:paraId="642229A8"/>
        </w:tc>
        <w:tc>
          <w:tcPr>
            <w:tcW w:w="1654" w:type="dxa"/>
          </w:tcPr>
          <w:p w14:paraId="0DA4F8B0">
            <w:pPr>
              <w:spacing w:before="137" w:line="195" w:lineRule="auto"/>
              <w:ind w:left="544"/>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5</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4"/>
                <w:sz w:val="20"/>
                <w:szCs w:val="20"/>
              </w:rPr>
              <w:t>. 168</w:t>
            </w:r>
          </w:p>
        </w:tc>
        <w:tc>
          <w:tcPr>
            <w:tcW w:w="1242" w:type="dxa"/>
            <w:tcBorders>
              <w:right w:val="nil"/>
            </w:tcBorders>
          </w:tcPr>
          <w:p w14:paraId="0CE52593">
            <w:pPr>
              <w:spacing w:before="33" w:line="227" w:lineRule="auto"/>
              <w:ind w:left="101"/>
              <w:rPr>
                <w:rFonts w:ascii="宋体" w:hAnsi="宋体" w:eastAsia="宋体" w:cs="宋体"/>
                <w:sz w:val="20"/>
                <w:szCs w:val="20"/>
              </w:rPr>
            </w:pPr>
            <w:r>
              <w:rPr>
                <w:rFonts w:ascii="宋体" w:hAnsi="宋体" w:eastAsia="宋体" w:cs="宋体"/>
                <w:spacing w:val="10"/>
                <w:sz w:val="20"/>
                <w:szCs w:val="20"/>
              </w:rPr>
              <w:t>送</w:t>
            </w:r>
            <w:r>
              <w:rPr>
                <w:rFonts w:ascii="宋体" w:hAnsi="宋体" w:eastAsia="宋体" w:cs="宋体"/>
                <w:spacing w:val="8"/>
                <w:sz w:val="20"/>
                <w:szCs w:val="20"/>
              </w:rPr>
              <w:t>至乐高勤</w:t>
            </w:r>
          </w:p>
        </w:tc>
      </w:tr>
    </w:tbl>
    <w:p w14:paraId="0372A1A2"/>
    <w:p w14:paraId="5FAF74DA">
      <w:pPr>
        <w:sectPr>
          <w:headerReference r:id="rId114" w:type="default"/>
          <w:footerReference r:id="rId115" w:type="default"/>
          <w:pgSz w:w="11907" w:h="16840"/>
          <w:pgMar w:top="829" w:right="1088" w:bottom="1139" w:left="1275" w:header="595" w:footer="953" w:gutter="0"/>
          <w:cols w:space="720" w:num="1"/>
        </w:sectPr>
      </w:pPr>
    </w:p>
    <w:p w14:paraId="6922C774">
      <w:pPr>
        <w:spacing w:before="194" w:line="229" w:lineRule="auto"/>
        <w:ind w:left="7"/>
        <w:rPr>
          <w:rFonts w:ascii="宋体" w:hAnsi="宋体" w:eastAsia="宋体" w:cs="宋体"/>
          <w:sz w:val="17"/>
          <w:szCs w:val="17"/>
        </w:rPr>
      </w:pPr>
      <w:r>
        <w:pict>
          <v:rect id="_x0000_s2083" o:spid="_x0000_s2083" o:spt="1" style="position:absolute;left:0pt;margin-left:63.8pt;margin-top:47pt;height:1.45pt;width:474.85pt;mso-position-horizontal-relative:page;mso-position-vertical-relative:page;z-index:251711488;mso-width-relative:page;mso-height-relative:page;" fillcolor="#000000" filled="t" stroked="f" coordsize="21600,21600" o:allowincell="f">
            <v:path/>
            <v:fill on="t" focussize="0,0"/>
            <v:stroke on="f"/>
            <v:imagedata o:title=""/>
            <o:lock v:ext="edit"/>
          </v:rect>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764A9B6F">
      <w:pPr>
        <w:spacing w:line="14" w:lineRule="exact"/>
      </w:pPr>
    </w:p>
    <w:tbl>
      <w:tblPr>
        <w:tblStyle w:val="4"/>
        <w:tblW w:w="949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563"/>
        <w:gridCol w:w="962"/>
        <w:gridCol w:w="911"/>
        <w:gridCol w:w="1310"/>
        <w:gridCol w:w="1406"/>
        <w:gridCol w:w="910"/>
        <w:gridCol w:w="1653"/>
        <w:gridCol w:w="1242"/>
      </w:tblGrid>
      <w:tr w14:paraId="5584C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trPr>
        <w:tc>
          <w:tcPr>
            <w:tcW w:w="539" w:type="dxa"/>
            <w:tcBorders>
              <w:left w:val="nil"/>
            </w:tcBorders>
          </w:tcPr>
          <w:p w14:paraId="2739D98D"/>
        </w:tc>
        <w:tc>
          <w:tcPr>
            <w:tcW w:w="563" w:type="dxa"/>
          </w:tcPr>
          <w:p w14:paraId="715BC32C"/>
        </w:tc>
        <w:tc>
          <w:tcPr>
            <w:tcW w:w="962" w:type="dxa"/>
          </w:tcPr>
          <w:p w14:paraId="685B5DBA">
            <w:pPr>
              <w:spacing w:line="323" w:lineRule="auto"/>
            </w:pPr>
          </w:p>
          <w:p w14:paraId="14279465">
            <w:pPr>
              <w:spacing w:before="65" w:line="229" w:lineRule="auto"/>
              <w:ind w:left="82"/>
              <w:rPr>
                <w:rFonts w:ascii="宋体" w:hAnsi="宋体" w:eastAsia="宋体" w:cs="宋体"/>
                <w:sz w:val="20"/>
                <w:szCs w:val="20"/>
              </w:rPr>
            </w:pPr>
            <w:r>
              <w:rPr>
                <w:rFonts w:ascii="宋体" w:hAnsi="宋体" w:eastAsia="宋体" w:cs="宋体"/>
                <w:spacing w:val="4"/>
                <w:sz w:val="20"/>
                <w:szCs w:val="20"/>
              </w:rPr>
              <w:t>圈</w:t>
            </w:r>
            <w:r>
              <w:rPr>
                <w:rFonts w:ascii="宋体" w:hAnsi="宋体" w:eastAsia="宋体" w:cs="宋体"/>
                <w:spacing w:val="3"/>
                <w:sz w:val="20"/>
                <w:szCs w:val="20"/>
              </w:rPr>
              <w:t>舍冲洗</w:t>
            </w:r>
          </w:p>
        </w:tc>
        <w:tc>
          <w:tcPr>
            <w:tcW w:w="911" w:type="dxa"/>
          </w:tcPr>
          <w:p w14:paraId="4D74A8C7"/>
        </w:tc>
        <w:tc>
          <w:tcPr>
            <w:tcW w:w="1310" w:type="dxa"/>
          </w:tcPr>
          <w:p w14:paraId="0F7BBC14"/>
        </w:tc>
        <w:tc>
          <w:tcPr>
            <w:tcW w:w="1406" w:type="dxa"/>
          </w:tcPr>
          <w:p w14:paraId="18EB0051"/>
        </w:tc>
        <w:tc>
          <w:tcPr>
            <w:tcW w:w="910" w:type="dxa"/>
          </w:tcPr>
          <w:p w14:paraId="0A77EDFC"/>
        </w:tc>
        <w:tc>
          <w:tcPr>
            <w:tcW w:w="1653" w:type="dxa"/>
          </w:tcPr>
          <w:p w14:paraId="35F185C2">
            <w:pPr>
              <w:spacing w:line="367" w:lineRule="auto"/>
            </w:pPr>
          </w:p>
          <w:p w14:paraId="0DA53993">
            <w:pPr>
              <w:spacing w:before="57" w:line="195" w:lineRule="auto"/>
              <w:ind w:left="54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7</w:t>
            </w:r>
            <w:r>
              <w:rPr>
                <w:rFonts w:ascii="Times New Roman" w:hAnsi="Times New Roman" w:eastAsia="Times New Roman" w:cs="Times New Roman"/>
                <w:spacing w:val="3"/>
                <w:sz w:val="20"/>
                <w:szCs w:val="20"/>
              </w:rPr>
              <w:t>9.677</w:t>
            </w:r>
          </w:p>
        </w:tc>
        <w:tc>
          <w:tcPr>
            <w:tcW w:w="1242" w:type="dxa"/>
            <w:tcBorders>
              <w:right w:val="nil"/>
            </w:tcBorders>
          </w:tcPr>
          <w:p w14:paraId="169E6491"/>
        </w:tc>
      </w:tr>
      <w:tr w14:paraId="70FBF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39" w:type="dxa"/>
            <w:vMerge w:val="restart"/>
            <w:tcBorders>
              <w:left w:val="nil"/>
              <w:bottom w:val="nil"/>
            </w:tcBorders>
          </w:tcPr>
          <w:p w14:paraId="632A0C0B">
            <w:pPr>
              <w:spacing w:line="274" w:lineRule="auto"/>
            </w:pPr>
          </w:p>
          <w:p w14:paraId="5F1CE460">
            <w:pPr>
              <w:spacing w:before="58" w:line="195" w:lineRule="auto"/>
              <w:ind w:left="21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563" w:type="dxa"/>
            <w:vMerge w:val="restart"/>
            <w:tcBorders>
              <w:bottom w:val="nil"/>
            </w:tcBorders>
          </w:tcPr>
          <w:p w14:paraId="727223AB">
            <w:pPr>
              <w:spacing w:before="161" w:line="265" w:lineRule="auto"/>
              <w:ind w:left="78" w:right="71"/>
              <w:rPr>
                <w:rFonts w:ascii="宋体" w:hAnsi="宋体" w:eastAsia="宋体" w:cs="宋体"/>
                <w:sz w:val="20"/>
                <w:szCs w:val="20"/>
              </w:rPr>
            </w:pPr>
            <w:r>
              <w:rPr>
                <w:rFonts w:ascii="宋体" w:hAnsi="宋体" w:eastAsia="宋体" w:cs="宋体"/>
                <w:spacing w:val="4"/>
                <w:sz w:val="20"/>
                <w:szCs w:val="20"/>
              </w:rPr>
              <w:t>生</w:t>
            </w:r>
            <w:r>
              <w:rPr>
                <w:rFonts w:ascii="宋体" w:hAnsi="宋体" w:eastAsia="宋体" w:cs="宋体"/>
                <w:spacing w:val="3"/>
                <w:sz w:val="20"/>
                <w:szCs w:val="20"/>
              </w:rPr>
              <w:t>活</w:t>
            </w:r>
            <w:r>
              <w:rPr>
                <w:rFonts w:ascii="宋体" w:hAnsi="宋体" w:eastAsia="宋体" w:cs="宋体"/>
                <w:sz w:val="20"/>
                <w:szCs w:val="20"/>
              </w:rPr>
              <w:t xml:space="preserve"> </w:t>
            </w:r>
            <w:r>
              <w:rPr>
                <w:rFonts w:ascii="宋体" w:hAnsi="宋体" w:eastAsia="宋体" w:cs="宋体"/>
                <w:spacing w:val="4"/>
                <w:sz w:val="20"/>
                <w:szCs w:val="20"/>
              </w:rPr>
              <w:t>用</w:t>
            </w:r>
            <w:r>
              <w:rPr>
                <w:rFonts w:ascii="宋体" w:hAnsi="宋体" w:eastAsia="宋体" w:cs="宋体"/>
                <w:spacing w:val="3"/>
                <w:sz w:val="20"/>
                <w:szCs w:val="20"/>
              </w:rPr>
              <w:t>水</w:t>
            </w:r>
          </w:p>
        </w:tc>
        <w:tc>
          <w:tcPr>
            <w:tcW w:w="962" w:type="dxa"/>
          </w:tcPr>
          <w:p w14:paraId="1FCF4D6F">
            <w:pPr>
              <w:spacing w:before="64" w:line="228" w:lineRule="auto"/>
              <w:ind w:left="292"/>
              <w:rPr>
                <w:rFonts w:ascii="宋体" w:hAnsi="宋体" w:eastAsia="宋体" w:cs="宋体"/>
                <w:sz w:val="20"/>
                <w:szCs w:val="20"/>
              </w:rPr>
            </w:pPr>
            <w:r>
              <w:rPr>
                <w:rFonts w:ascii="宋体" w:hAnsi="宋体" w:eastAsia="宋体" w:cs="宋体"/>
                <w:spacing w:val="-3"/>
                <w:sz w:val="20"/>
                <w:szCs w:val="20"/>
              </w:rPr>
              <w:t>留宿</w:t>
            </w:r>
          </w:p>
        </w:tc>
        <w:tc>
          <w:tcPr>
            <w:tcW w:w="911" w:type="dxa"/>
          </w:tcPr>
          <w:p w14:paraId="6EDA6DF8"/>
        </w:tc>
        <w:tc>
          <w:tcPr>
            <w:tcW w:w="1310" w:type="dxa"/>
          </w:tcPr>
          <w:p w14:paraId="4CB9AA58"/>
        </w:tc>
        <w:tc>
          <w:tcPr>
            <w:tcW w:w="1406" w:type="dxa"/>
          </w:tcPr>
          <w:p w14:paraId="09C8D780"/>
        </w:tc>
        <w:tc>
          <w:tcPr>
            <w:tcW w:w="910" w:type="dxa"/>
            <w:vMerge w:val="restart"/>
            <w:tcBorders>
              <w:bottom w:val="nil"/>
            </w:tcBorders>
          </w:tcPr>
          <w:p w14:paraId="790001B1"/>
        </w:tc>
        <w:tc>
          <w:tcPr>
            <w:tcW w:w="1653" w:type="dxa"/>
            <w:vMerge w:val="restart"/>
            <w:tcBorders>
              <w:bottom w:val="nil"/>
            </w:tcBorders>
          </w:tcPr>
          <w:p w14:paraId="104DEC59">
            <w:pPr>
              <w:spacing w:line="275" w:lineRule="auto"/>
            </w:pPr>
          </w:p>
          <w:p w14:paraId="1870CE5A">
            <w:pPr>
              <w:spacing w:before="57" w:line="195" w:lineRule="auto"/>
              <w:ind w:left="64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2"/>
                <w:sz w:val="20"/>
                <w:szCs w:val="20"/>
              </w:rPr>
              <w:t>.85</w:t>
            </w:r>
          </w:p>
        </w:tc>
        <w:tc>
          <w:tcPr>
            <w:tcW w:w="1242" w:type="dxa"/>
            <w:vMerge w:val="restart"/>
            <w:tcBorders>
              <w:bottom w:val="nil"/>
              <w:right w:val="nil"/>
            </w:tcBorders>
          </w:tcPr>
          <w:p w14:paraId="3AA91921">
            <w:pPr>
              <w:spacing w:before="31" w:line="228" w:lineRule="auto"/>
              <w:ind w:left="105"/>
              <w:rPr>
                <w:rFonts w:ascii="宋体" w:hAnsi="宋体" w:eastAsia="宋体" w:cs="宋体"/>
                <w:sz w:val="20"/>
                <w:szCs w:val="20"/>
              </w:rPr>
            </w:pPr>
            <w:r>
              <w:rPr>
                <w:rFonts w:ascii="宋体" w:hAnsi="宋体" w:eastAsia="宋体" w:cs="宋体"/>
                <w:spacing w:val="8"/>
                <w:sz w:val="20"/>
                <w:szCs w:val="20"/>
              </w:rPr>
              <w:t>化粪池收</w:t>
            </w:r>
            <w:r>
              <w:rPr>
                <w:rFonts w:ascii="宋体" w:hAnsi="宋体" w:eastAsia="宋体" w:cs="宋体"/>
                <w:spacing w:val="7"/>
                <w:sz w:val="20"/>
                <w:szCs w:val="20"/>
              </w:rPr>
              <w:t>集</w:t>
            </w:r>
          </w:p>
          <w:p w14:paraId="0435D6F1">
            <w:pPr>
              <w:spacing w:before="26" w:line="228" w:lineRule="auto"/>
              <w:ind w:left="106"/>
              <w:rPr>
                <w:rFonts w:ascii="宋体" w:hAnsi="宋体" w:eastAsia="宋体" w:cs="宋体"/>
                <w:sz w:val="20"/>
                <w:szCs w:val="20"/>
              </w:rPr>
            </w:pPr>
            <w:r>
              <w:rPr>
                <w:rFonts w:ascii="宋体" w:hAnsi="宋体" w:eastAsia="宋体" w:cs="宋体"/>
                <w:spacing w:val="8"/>
                <w:sz w:val="20"/>
                <w:szCs w:val="20"/>
              </w:rPr>
              <w:t>后用作林</w:t>
            </w:r>
            <w:r>
              <w:rPr>
                <w:rFonts w:ascii="宋体" w:hAnsi="宋体" w:eastAsia="宋体" w:cs="宋体"/>
                <w:spacing w:val="7"/>
                <w:sz w:val="20"/>
                <w:szCs w:val="20"/>
              </w:rPr>
              <w:t>地</w:t>
            </w:r>
          </w:p>
          <w:p w14:paraId="208387C3">
            <w:pPr>
              <w:spacing w:before="24" w:line="213" w:lineRule="auto"/>
              <w:ind w:left="421"/>
              <w:rPr>
                <w:rFonts w:ascii="宋体" w:hAnsi="宋体" w:eastAsia="宋体" w:cs="宋体"/>
                <w:sz w:val="20"/>
                <w:szCs w:val="20"/>
              </w:rPr>
            </w:pPr>
            <w:r>
              <w:rPr>
                <w:rFonts w:ascii="宋体" w:hAnsi="宋体" w:eastAsia="宋体" w:cs="宋体"/>
                <w:spacing w:val="4"/>
                <w:sz w:val="20"/>
                <w:szCs w:val="20"/>
              </w:rPr>
              <w:t>灌</w:t>
            </w:r>
            <w:r>
              <w:rPr>
                <w:rFonts w:ascii="宋体" w:hAnsi="宋体" w:eastAsia="宋体" w:cs="宋体"/>
                <w:spacing w:val="3"/>
                <w:sz w:val="20"/>
                <w:szCs w:val="20"/>
              </w:rPr>
              <w:t>溉</w:t>
            </w:r>
          </w:p>
        </w:tc>
      </w:tr>
      <w:tr w14:paraId="4D61D4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39" w:type="dxa"/>
            <w:vMerge w:val="continue"/>
            <w:tcBorders>
              <w:top w:val="nil"/>
              <w:left w:val="nil"/>
            </w:tcBorders>
          </w:tcPr>
          <w:p w14:paraId="0E42E4FB"/>
        </w:tc>
        <w:tc>
          <w:tcPr>
            <w:tcW w:w="563" w:type="dxa"/>
            <w:vMerge w:val="continue"/>
            <w:tcBorders>
              <w:top w:val="nil"/>
            </w:tcBorders>
          </w:tcPr>
          <w:p w14:paraId="37571B12"/>
        </w:tc>
        <w:tc>
          <w:tcPr>
            <w:tcW w:w="962" w:type="dxa"/>
          </w:tcPr>
          <w:p w14:paraId="23B6499F">
            <w:pPr>
              <w:spacing w:before="121" w:line="228" w:lineRule="auto"/>
              <w:ind w:left="174"/>
              <w:rPr>
                <w:rFonts w:ascii="宋体" w:hAnsi="宋体" w:eastAsia="宋体" w:cs="宋体"/>
                <w:sz w:val="20"/>
                <w:szCs w:val="20"/>
              </w:rPr>
            </w:pPr>
            <w:r>
              <w:rPr>
                <w:rFonts w:ascii="宋体" w:hAnsi="宋体" w:eastAsia="宋体" w:cs="宋体"/>
                <w:spacing w:val="6"/>
                <w:sz w:val="20"/>
                <w:szCs w:val="20"/>
              </w:rPr>
              <w:t>不留</w:t>
            </w:r>
            <w:r>
              <w:rPr>
                <w:rFonts w:ascii="宋体" w:hAnsi="宋体" w:eastAsia="宋体" w:cs="宋体"/>
                <w:spacing w:val="5"/>
                <w:sz w:val="20"/>
                <w:szCs w:val="20"/>
              </w:rPr>
              <w:t>宿</w:t>
            </w:r>
          </w:p>
        </w:tc>
        <w:tc>
          <w:tcPr>
            <w:tcW w:w="911" w:type="dxa"/>
          </w:tcPr>
          <w:p w14:paraId="23332890"/>
        </w:tc>
        <w:tc>
          <w:tcPr>
            <w:tcW w:w="1310" w:type="dxa"/>
          </w:tcPr>
          <w:p w14:paraId="7CA7E0F2"/>
        </w:tc>
        <w:tc>
          <w:tcPr>
            <w:tcW w:w="1406" w:type="dxa"/>
          </w:tcPr>
          <w:p w14:paraId="4F6D8C70"/>
        </w:tc>
        <w:tc>
          <w:tcPr>
            <w:tcW w:w="910" w:type="dxa"/>
            <w:vMerge w:val="continue"/>
            <w:tcBorders>
              <w:top w:val="nil"/>
            </w:tcBorders>
          </w:tcPr>
          <w:p w14:paraId="38B18D83"/>
        </w:tc>
        <w:tc>
          <w:tcPr>
            <w:tcW w:w="1653" w:type="dxa"/>
            <w:vMerge w:val="continue"/>
            <w:tcBorders>
              <w:top w:val="nil"/>
            </w:tcBorders>
          </w:tcPr>
          <w:p w14:paraId="0E8EB8DA"/>
        </w:tc>
        <w:tc>
          <w:tcPr>
            <w:tcW w:w="1242" w:type="dxa"/>
            <w:vMerge w:val="continue"/>
            <w:tcBorders>
              <w:top w:val="nil"/>
              <w:right w:val="nil"/>
            </w:tcBorders>
          </w:tcPr>
          <w:p w14:paraId="14564A01"/>
        </w:tc>
      </w:tr>
      <w:tr w14:paraId="75C4AE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539" w:type="dxa"/>
            <w:tcBorders>
              <w:left w:val="nil"/>
            </w:tcBorders>
          </w:tcPr>
          <w:p w14:paraId="3D2D2DB6">
            <w:pPr>
              <w:spacing w:before="234" w:line="195" w:lineRule="auto"/>
              <w:ind w:left="222"/>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525" w:type="dxa"/>
            <w:gridSpan w:val="2"/>
          </w:tcPr>
          <w:p w14:paraId="093F8147">
            <w:pPr>
              <w:spacing w:before="62" w:line="252" w:lineRule="auto"/>
              <w:ind w:left="558" w:right="27" w:hanging="525"/>
              <w:rPr>
                <w:rFonts w:ascii="宋体" w:hAnsi="宋体" w:eastAsia="宋体" w:cs="宋体"/>
                <w:sz w:val="20"/>
                <w:szCs w:val="20"/>
              </w:rPr>
            </w:pPr>
            <w:r>
              <w:rPr>
                <w:rFonts w:ascii="宋体" w:hAnsi="宋体" w:eastAsia="宋体" w:cs="宋体"/>
                <w:spacing w:val="10"/>
                <w:sz w:val="20"/>
                <w:szCs w:val="20"/>
              </w:rPr>
              <w:t>水</w:t>
            </w:r>
            <w:r>
              <w:rPr>
                <w:rFonts w:ascii="宋体" w:hAnsi="宋体" w:eastAsia="宋体" w:cs="宋体"/>
                <w:spacing w:val="8"/>
                <w:sz w:val="20"/>
                <w:szCs w:val="20"/>
              </w:rPr>
              <w:t>帘降温系统补</w:t>
            </w:r>
            <w:r>
              <w:rPr>
                <w:rFonts w:ascii="宋体" w:hAnsi="宋体" w:eastAsia="宋体" w:cs="宋体"/>
                <w:sz w:val="20"/>
                <w:szCs w:val="20"/>
              </w:rPr>
              <w:t xml:space="preserve"> </w:t>
            </w:r>
            <w:r>
              <w:rPr>
                <w:rFonts w:ascii="宋体" w:hAnsi="宋体" w:eastAsia="宋体" w:cs="宋体"/>
                <w:spacing w:val="4"/>
                <w:sz w:val="20"/>
                <w:szCs w:val="20"/>
              </w:rPr>
              <w:t>充</w:t>
            </w:r>
            <w:r>
              <w:rPr>
                <w:rFonts w:ascii="宋体" w:hAnsi="宋体" w:eastAsia="宋体" w:cs="宋体"/>
                <w:spacing w:val="3"/>
                <w:sz w:val="20"/>
                <w:szCs w:val="20"/>
              </w:rPr>
              <w:t>水</w:t>
            </w:r>
          </w:p>
        </w:tc>
        <w:tc>
          <w:tcPr>
            <w:tcW w:w="911" w:type="dxa"/>
          </w:tcPr>
          <w:p w14:paraId="644F3252"/>
        </w:tc>
        <w:tc>
          <w:tcPr>
            <w:tcW w:w="1310" w:type="dxa"/>
          </w:tcPr>
          <w:p w14:paraId="4D4A501A"/>
        </w:tc>
        <w:tc>
          <w:tcPr>
            <w:tcW w:w="1406" w:type="dxa"/>
          </w:tcPr>
          <w:p w14:paraId="36EFC6E5"/>
        </w:tc>
        <w:tc>
          <w:tcPr>
            <w:tcW w:w="910" w:type="dxa"/>
          </w:tcPr>
          <w:p w14:paraId="27AE03AD"/>
        </w:tc>
        <w:tc>
          <w:tcPr>
            <w:tcW w:w="1653" w:type="dxa"/>
          </w:tcPr>
          <w:p w14:paraId="59CFDE6F">
            <w:pPr>
              <w:spacing w:before="234" w:line="195" w:lineRule="auto"/>
              <w:ind w:left="780"/>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42" w:type="dxa"/>
            <w:tcBorders>
              <w:right w:val="nil"/>
            </w:tcBorders>
          </w:tcPr>
          <w:p w14:paraId="16953952">
            <w:pPr>
              <w:spacing w:before="198" w:line="228" w:lineRule="auto"/>
              <w:ind w:left="210"/>
              <w:rPr>
                <w:rFonts w:ascii="宋体" w:hAnsi="宋体" w:eastAsia="宋体" w:cs="宋体"/>
                <w:sz w:val="20"/>
                <w:szCs w:val="20"/>
              </w:rPr>
            </w:pPr>
            <w:r>
              <w:rPr>
                <w:rFonts w:ascii="宋体" w:hAnsi="宋体" w:eastAsia="宋体" w:cs="宋体"/>
                <w:spacing w:val="8"/>
                <w:sz w:val="20"/>
                <w:szCs w:val="20"/>
              </w:rPr>
              <w:t>循</w:t>
            </w:r>
            <w:r>
              <w:rPr>
                <w:rFonts w:ascii="宋体" w:hAnsi="宋体" w:eastAsia="宋体" w:cs="宋体"/>
                <w:spacing w:val="7"/>
                <w:sz w:val="20"/>
                <w:szCs w:val="20"/>
              </w:rPr>
              <w:t>环使用</w:t>
            </w:r>
          </w:p>
        </w:tc>
      </w:tr>
      <w:tr w14:paraId="6545F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539" w:type="dxa"/>
            <w:tcBorders>
              <w:left w:val="nil"/>
            </w:tcBorders>
          </w:tcPr>
          <w:p w14:paraId="15793211">
            <w:pPr>
              <w:spacing w:before="236" w:line="195" w:lineRule="auto"/>
              <w:ind w:left="21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525" w:type="dxa"/>
            <w:gridSpan w:val="2"/>
          </w:tcPr>
          <w:p w14:paraId="65828539">
            <w:pPr>
              <w:spacing w:before="199" w:line="228" w:lineRule="auto"/>
              <w:ind w:left="137"/>
              <w:rPr>
                <w:rFonts w:ascii="宋体" w:hAnsi="宋体" w:eastAsia="宋体" w:cs="宋体"/>
                <w:sz w:val="20"/>
                <w:szCs w:val="20"/>
              </w:rPr>
            </w:pPr>
            <w:r>
              <w:rPr>
                <w:rFonts w:ascii="宋体" w:hAnsi="宋体" w:eastAsia="宋体" w:cs="宋体"/>
                <w:spacing w:val="9"/>
                <w:sz w:val="20"/>
                <w:szCs w:val="20"/>
              </w:rPr>
              <w:t>猪</w:t>
            </w:r>
            <w:r>
              <w:rPr>
                <w:rFonts w:ascii="宋体" w:hAnsi="宋体" w:eastAsia="宋体" w:cs="宋体"/>
                <w:spacing w:val="8"/>
                <w:sz w:val="20"/>
                <w:szCs w:val="20"/>
              </w:rPr>
              <w:t>舍消毒用水</w:t>
            </w:r>
          </w:p>
        </w:tc>
        <w:tc>
          <w:tcPr>
            <w:tcW w:w="911" w:type="dxa"/>
          </w:tcPr>
          <w:p w14:paraId="5B3DCDBF"/>
        </w:tc>
        <w:tc>
          <w:tcPr>
            <w:tcW w:w="1310" w:type="dxa"/>
          </w:tcPr>
          <w:p w14:paraId="6D0B03C2"/>
        </w:tc>
        <w:tc>
          <w:tcPr>
            <w:tcW w:w="1406" w:type="dxa"/>
          </w:tcPr>
          <w:p w14:paraId="5A9C0E7B"/>
        </w:tc>
        <w:tc>
          <w:tcPr>
            <w:tcW w:w="910" w:type="dxa"/>
          </w:tcPr>
          <w:p w14:paraId="2FE458D4"/>
        </w:tc>
        <w:tc>
          <w:tcPr>
            <w:tcW w:w="1653" w:type="dxa"/>
          </w:tcPr>
          <w:p w14:paraId="6630962E">
            <w:pPr>
              <w:spacing w:before="236" w:line="195" w:lineRule="auto"/>
              <w:ind w:left="780"/>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42" w:type="dxa"/>
            <w:tcBorders>
              <w:right w:val="nil"/>
            </w:tcBorders>
          </w:tcPr>
          <w:p w14:paraId="70FE4264">
            <w:pPr>
              <w:spacing w:before="199" w:line="228" w:lineRule="auto"/>
              <w:ind w:left="418"/>
              <w:rPr>
                <w:rFonts w:ascii="宋体" w:hAnsi="宋体" w:eastAsia="宋体" w:cs="宋体"/>
                <w:sz w:val="20"/>
                <w:szCs w:val="20"/>
              </w:rPr>
            </w:pPr>
            <w:r>
              <w:rPr>
                <w:rFonts w:ascii="宋体" w:hAnsi="宋体" w:eastAsia="宋体" w:cs="宋体"/>
                <w:spacing w:val="5"/>
                <w:sz w:val="20"/>
                <w:szCs w:val="20"/>
              </w:rPr>
              <w:t>损</w:t>
            </w:r>
            <w:r>
              <w:rPr>
                <w:rFonts w:ascii="宋体" w:hAnsi="宋体" w:eastAsia="宋体" w:cs="宋体"/>
                <w:spacing w:val="4"/>
                <w:sz w:val="20"/>
                <w:szCs w:val="20"/>
              </w:rPr>
              <w:t>耗</w:t>
            </w:r>
          </w:p>
        </w:tc>
      </w:tr>
      <w:tr w14:paraId="38C116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539" w:type="dxa"/>
            <w:tcBorders>
              <w:left w:val="nil"/>
            </w:tcBorders>
          </w:tcPr>
          <w:p w14:paraId="47CD740D">
            <w:pPr>
              <w:spacing w:before="237" w:line="195" w:lineRule="auto"/>
              <w:ind w:left="21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525" w:type="dxa"/>
            <w:gridSpan w:val="2"/>
          </w:tcPr>
          <w:p w14:paraId="2FEA022C">
            <w:pPr>
              <w:spacing w:before="201" w:line="228" w:lineRule="auto"/>
              <w:ind w:left="349"/>
              <w:rPr>
                <w:rFonts w:ascii="宋体" w:hAnsi="宋体" w:eastAsia="宋体" w:cs="宋体"/>
                <w:sz w:val="20"/>
                <w:szCs w:val="20"/>
              </w:rPr>
            </w:pPr>
            <w:r>
              <w:rPr>
                <w:rFonts w:ascii="宋体" w:hAnsi="宋体" w:eastAsia="宋体" w:cs="宋体"/>
                <w:spacing w:val="7"/>
                <w:sz w:val="20"/>
                <w:szCs w:val="20"/>
              </w:rPr>
              <w:t>绿化用</w:t>
            </w:r>
            <w:r>
              <w:rPr>
                <w:rFonts w:ascii="宋体" w:hAnsi="宋体" w:eastAsia="宋体" w:cs="宋体"/>
                <w:spacing w:val="6"/>
                <w:sz w:val="20"/>
                <w:szCs w:val="20"/>
              </w:rPr>
              <w:t>水</w:t>
            </w:r>
          </w:p>
        </w:tc>
        <w:tc>
          <w:tcPr>
            <w:tcW w:w="911" w:type="dxa"/>
          </w:tcPr>
          <w:p w14:paraId="3F621798"/>
        </w:tc>
        <w:tc>
          <w:tcPr>
            <w:tcW w:w="1310" w:type="dxa"/>
          </w:tcPr>
          <w:p w14:paraId="312FF23E"/>
        </w:tc>
        <w:tc>
          <w:tcPr>
            <w:tcW w:w="1406" w:type="dxa"/>
          </w:tcPr>
          <w:p w14:paraId="176D0E11"/>
        </w:tc>
        <w:tc>
          <w:tcPr>
            <w:tcW w:w="910" w:type="dxa"/>
          </w:tcPr>
          <w:p w14:paraId="4DC157F9"/>
        </w:tc>
        <w:tc>
          <w:tcPr>
            <w:tcW w:w="1653" w:type="dxa"/>
          </w:tcPr>
          <w:p w14:paraId="0D58D556">
            <w:pPr>
              <w:spacing w:before="237" w:line="195" w:lineRule="auto"/>
              <w:ind w:left="780"/>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42" w:type="dxa"/>
            <w:tcBorders>
              <w:right w:val="nil"/>
            </w:tcBorders>
          </w:tcPr>
          <w:p w14:paraId="23FCEA9C">
            <w:pPr>
              <w:spacing w:before="201" w:line="228" w:lineRule="auto"/>
              <w:ind w:left="418"/>
              <w:rPr>
                <w:rFonts w:ascii="宋体" w:hAnsi="宋体" w:eastAsia="宋体" w:cs="宋体"/>
                <w:sz w:val="20"/>
                <w:szCs w:val="20"/>
              </w:rPr>
            </w:pPr>
            <w:r>
              <w:rPr>
                <w:rFonts w:ascii="宋体" w:hAnsi="宋体" w:eastAsia="宋体" w:cs="宋体"/>
                <w:spacing w:val="5"/>
                <w:sz w:val="20"/>
                <w:szCs w:val="20"/>
              </w:rPr>
              <w:t>损</w:t>
            </w:r>
            <w:r>
              <w:rPr>
                <w:rFonts w:ascii="宋体" w:hAnsi="宋体" w:eastAsia="宋体" w:cs="宋体"/>
                <w:spacing w:val="4"/>
                <w:sz w:val="20"/>
                <w:szCs w:val="20"/>
              </w:rPr>
              <w:t>耗</w:t>
            </w:r>
          </w:p>
        </w:tc>
      </w:tr>
      <w:tr w14:paraId="575FC2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539" w:type="dxa"/>
            <w:tcBorders>
              <w:left w:val="nil"/>
            </w:tcBorders>
          </w:tcPr>
          <w:p w14:paraId="627B817A">
            <w:pPr>
              <w:spacing w:before="147" w:line="192" w:lineRule="auto"/>
              <w:ind w:left="224"/>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525" w:type="dxa"/>
            <w:gridSpan w:val="2"/>
          </w:tcPr>
          <w:p w14:paraId="3722FEB6">
            <w:pPr>
              <w:spacing w:before="108" w:line="228" w:lineRule="auto"/>
              <w:ind w:left="245"/>
              <w:rPr>
                <w:rFonts w:ascii="宋体" w:hAnsi="宋体" w:eastAsia="宋体" w:cs="宋体"/>
                <w:sz w:val="20"/>
                <w:szCs w:val="20"/>
              </w:rPr>
            </w:pPr>
            <w:r>
              <w:rPr>
                <w:rFonts w:ascii="宋体" w:hAnsi="宋体" w:eastAsia="宋体" w:cs="宋体"/>
                <w:spacing w:val="9"/>
                <w:sz w:val="20"/>
                <w:szCs w:val="20"/>
              </w:rPr>
              <w:t>未</w:t>
            </w:r>
            <w:r>
              <w:rPr>
                <w:rFonts w:ascii="宋体" w:hAnsi="宋体" w:eastAsia="宋体" w:cs="宋体"/>
                <w:spacing w:val="7"/>
                <w:sz w:val="20"/>
                <w:szCs w:val="20"/>
              </w:rPr>
              <w:t>预见用水</w:t>
            </w:r>
          </w:p>
        </w:tc>
        <w:tc>
          <w:tcPr>
            <w:tcW w:w="2221" w:type="dxa"/>
            <w:gridSpan w:val="2"/>
          </w:tcPr>
          <w:p w14:paraId="54925A57"/>
        </w:tc>
        <w:tc>
          <w:tcPr>
            <w:tcW w:w="1406" w:type="dxa"/>
          </w:tcPr>
          <w:p w14:paraId="0DA0ADBA"/>
        </w:tc>
        <w:tc>
          <w:tcPr>
            <w:tcW w:w="910" w:type="dxa"/>
          </w:tcPr>
          <w:p w14:paraId="68355E2F"/>
        </w:tc>
        <w:tc>
          <w:tcPr>
            <w:tcW w:w="1653" w:type="dxa"/>
          </w:tcPr>
          <w:p w14:paraId="626B11F4">
            <w:pPr>
              <w:spacing w:before="144" w:line="195" w:lineRule="auto"/>
              <w:ind w:left="780"/>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42" w:type="dxa"/>
            <w:tcBorders>
              <w:right w:val="nil"/>
            </w:tcBorders>
          </w:tcPr>
          <w:p w14:paraId="409CB886"/>
        </w:tc>
      </w:tr>
      <w:tr w14:paraId="38087E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539" w:type="dxa"/>
            <w:tcBorders>
              <w:left w:val="nil"/>
            </w:tcBorders>
          </w:tcPr>
          <w:p w14:paraId="0FAEB53C"/>
        </w:tc>
        <w:tc>
          <w:tcPr>
            <w:tcW w:w="3746" w:type="dxa"/>
            <w:gridSpan w:val="4"/>
          </w:tcPr>
          <w:p w14:paraId="3C6B726C">
            <w:pPr>
              <w:spacing w:before="109" w:line="229" w:lineRule="auto"/>
              <w:ind w:left="1568"/>
              <w:rPr>
                <w:rFonts w:ascii="宋体" w:hAnsi="宋体" w:eastAsia="宋体" w:cs="宋体"/>
                <w:sz w:val="20"/>
                <w:szCs w:val="20"/>
              </w:rPr>
            </w:pPr>
            <w:r>
              <w:rPr>
                <w:rFonts w:ascii="宋体" w:hAnsi="宋体" w:eastAsia="宋体" w:cs="宋体"/>
                <w:spacing w:val="4"/>
                <w:sz w:val="20"/>
                <w:szCs w:val="20"/>
              </w:rPr>
              <w:t xml:space="preserve">总  </w:t>
            </w:r>
            <w:r>
              <w:rPr>
                <w:rFonts w:ascii="宋体" w:hAnsi="宋体" w:eastAsia="宋体" w:cs="宋体"/>
                <w:spacing w:val="3"/>
                <w:sz w:val="20"/>
                <w:szCs w:val="20"/>
              </w:rPr>
              <w:t>计</w:t>
            </w:r>
          </w:p>
        </w:tc>
        <w:tc>
          <w:tcPr>
            <w:tcW w:w="1406" w:type="dxa"/>
          </w:tcPr>
          <w:p w14:paraId="011178D9"/>
        </w:tc>
        <w:tc>
          <w:tcPr>
            <w:tcW w:w="910" w:type="dxa"/>
          </w:tcPr>
          <w:p w14:paraId="1655C79E"/>
        </w:tc>
        <w:tc>
          <w:tcPr>
            <w:tcW w:w="2895" w:type="dxa"/>
            <w:gridSpan w:val="2"/>
            <w:tcBorders>
              <w:right w:val="nil"/>
            </w:tcBorders>
          </w:tcPr>
          <w:p w14:paraId="73D7C75F">
            <w:pPr>
              <w:spacing w:before="144" w:line="195" w:lineRule="auto"/>
              <w:ind w:left="1404"/>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r>
    </w:tbl>
    <w:p w14:paraId="38D9E9E2">
      <w:pPr>
        <w:spacing w:before="311" w:line="222" w:lineRule="auto"/>
        <w:ind w:left="1662"/>
        <w:rPr>
          <w:rFonts w:ascii="黑体" w:hAnsi="黑体" w:eastAsia="黑体" w:cs="黑体"/>
          <w:sz w:val="23"/>
          <w:szCs w:val="23"/>
        </w:rPr>
      </w:pPr>
      <w:r>
        <w:rPr>
          <w:rFonts w:ascii="黑体" w:hAnsi="黑体" w:eastAsia="黑体" w:cs="黑体"/>
          <w:spacing w:val="10"/>
          <w:sz w:val="23"/>
          <w:szCs w:val="23"/>
        </w:rPr>
        <w:t xml:space="preserve">表 </w:t>
      </w:r>
      <w:r>
        <w:rPr>
          <w:rFonts w:ascii="Times New Roman" w:hAnsi="Times New Roman" w:eastAsia="Times New Roman" w:cs="Times New Roman"/>
          <w:spacing w:val="10"/>
          <w:sz w:val="23"/>
          <w:szCs w:val="23"/>
        </w:rPr>
        <w:t>3</w:t>
      </w:r>
      <w:r>
        <w:rPr>
          <w:rFonts w:ascii="Times New Roman" w:hAnsi="Times New Roman" w:eastAsia="Times New Roman" w:cs="Times New Roman"/>
          <w:spacing w:val="6"/>
          <w:sz w:val="23"/>
          <w:szCs w:val="23"/>
        </w:rPr>
        <w:t>.</w:t>
      </w:r>
      <w:r>
        <w:rPr>
          <w:rFonts w:ascii="Times New Roman" w:hAnsi="Times New Roman" w:eastAsia="Times New Roman" w:cs="Times New Roman"/>
          <w:spacing w:val="5"/>
          <w:sz w:val="23"/>
          <w:szCs w:val="23"/>
        </w:rPr>
        <w:t xml:space="preserve">3-8      </w:t>
      </w:r>
      <w:r>
        <w:rPr>
          <w:rFonts w:ascii="黑体" w:hAnsi="黑体" w:eastAsia="黑体" w:cs="黑体"/>
          <w:spacing w:val="5"/>
          <w:sz w:val="23"/>
          <w:szCs w:val="23"/>
        </w:rPr>
        <w:t>项目养殖粪水自行处置情况下用水及产污情况表</w:t>
      </w:r>
    </w:p>
    <w:tbl>
      <w:tblPr>
        <w:tblStyle w:val="4"/>
        <w:tblW w:w="949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563"/>
        <w:gridCol w:w="962"/>
        <w:gridCol w:w="911"/>
        <w:gridCol w:w="1310"/>
        <w:gridCol w:w="1406"/>
        <w:gridCol w:w="910"/>
        <w:gridCol w:w="1653"/>
        <w:gridCol w:w="1242"/>
      </w:tblGrid>
      <w:tr w14:paraId="1F212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539" w:type="dxa"/>
            <w:tcBorders>
              <w:left w:val="nil"/>
            </w:tcBorders>
          </w:tcPr>
          <w:p w14:paraId="1AEE5F6A">
            <w:pPr>
              <w:spacing w:before="102" w:line="229" w:lineRule="auto"/>
              <w:ind w:left="63"/>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1525" w:type="dxa"/>
            <w:gridSpan w:val="2"/>
          </w:tcPr>
          <w:p w14:paraId="45CF36F4">
            <w:pPr>
              <w:spacing w:before="101" w:line="228" w:lineRule="auto"/>
              <w:ind w:left="349"/>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用水对象</w:t>
            </w:r>
          </w:p>
        </w:tc>
        <w:tc>
          <w:tcPr>
            <w:tcW w:w="911" w:type="dxa"/>
          </w:tcPr>
          <w:p w14:paraId="397C197D">
            <w:pPr>
              <w:spacing w:before="101" w:line="228" w:lineRule="auto"/>
              <w:ind w:left="252"/>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规</w:t>
            </w:r>
            <w:r>
              <w:rPr>
                <w:rFonts w:ascii="宋体" w:hAnsi="宋体" w:eastAsia="宋体" w:cs="宋体"/>
                <w:spacing w:val="5"/>
                <w:sz w:val="20"/>
                <w:szCs w:val="20"/>
                <w14:textOutline w14:w="3797" w14:cap="sq" w14:cmpd="sng" w14:algn="ctr">
                  <w14:solidFill>
                    <w14:srgbClr w14:val="000000"/>
                  </w14:solidFill>
                  <w14:prstDash w14:val="solid"/>
                  <w14:bevel/>
                </w14:textOutline>
              </w:rPr>
              <w:t>模</w:t>
            </w:r>
          </w:p>
        </w:tc>
        <w:tc>
          <w:tcPr>
            <w:tcW w:w="1310" w:type="dxa"/>
          </w:tcPr>
          <w:p w14:paraId="68EAAAFF">
            <w:pPr>
              <w:spacing w:before="101" w:line="228" w:lineRule="auto"/>
              <w:ind w:left="241"/>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用水标准</w:t>
            </w:r>
          </w:p>
        </w:tc>
        <w:tc>
          <w:tcPr>
            <w:tcW w:w="1406" w:type="dxa"/>
          </w:tcPr>
          <w:p w14:paraId="0DAEE9A2">
            <w:pPr>
              <w:spacing w:before="61" w:line="289" w:lineRule="exact"/>
              <w:ind w:left="14"/>
              <w:rPr>
                <w:rFonts w:ascii="宋体" w:hAnsi="宋体" w:eastAsia="宋体" w:cs="宋体"/>
                <w:sz w:val="20"/>
                <w:szCs w:val="20"/>
              </w:rPr>
            </w:pPr>
            <w:r>
              <w:rPr>
                <w:rFonts w:ascii="宋体" w:hAnsi="宋体" w:eastAsia="宋体" w:cs="宋体"/>
                <w:spacing w:val="-8"/>
                <w:position w:val="2"/>
                <w:sz w:val="20"/>
                <w:szCs w:val="20"/>
                <w14:textOutline w14:w="3657" w14:cap="sq" w14:cmpd="sng" w14:algn="ctr">
                  <w14:solidFill>
                    <w14:srgbClr w14:val="000000"/>
                  </w14:solidFill>
                  <w14:prstDash w14:val="solid"/>
                  <w14:bevel/>
                </w14:textOutline>
              </w:rPr>
              <w:t>用</w:t>
            </w:r>
            <w:r>
              <w:rPr>
                <w:rFonts w:ascii="宋体" w:hAnsi="宋体" w:eastAsia="宋体" w:cs="宋体"/>
                <w:spacing w:val="-4"/>
                <w:position w:val="2"/>
                <w:sz w:val="20"/>
                <w:szCs w:val="20"/>
                <w14:textOutline w14:w="3657" w14:cap="sq" w14:cmpd="sng" w14:algn="ctr">
                  <w14:solidFill>
                    <w14:srgbClr w14:val="000000"/>
                  </w14:solidFill>
                  <w14:prstDash w14:val="solid"/>
                  <w14:bevel/>
                </w14:textOutline>
              </w:rPr>
              <w:t>水量</w:t>
            </w:r>
            <w:r>
              <w:rPr>
                <w:rFonts w:ascii="宋体" w:hAnsi="宋体" w:eastAsia="宋体" w:cs="宋体"/>
                <w:spacing w:val="-4"/>
                <w:position w:val="2"/>
                <w:sz w:val="20"/>
                <w:szCs w:val="20"/>
              </w:rPr>
              <w:t xml:space="preserve"> </w:t>
            </w:r>
            <w:r>
              <w:rPr>
                <w:rFonts w:ascii="宋体" w:hAnsi="宋体" w:eastAsia="宋体" w:cs="宋体"/>
                <w:spacing w:val="-4"/>
                <w:position w:val="2"/>
                <w:sz w:val="20"/>
                <w:szCs w:val="20"/>
                <w14:textOutline w14:w="3657" w14:cap="sq" w14:cmpd="sng" w14:algn="ctr">
                  <w14:solidFill>
                    <w14:srgbClr w14:val="000000"/>
                  </w14:solidFill>
                  <w14:prstDash w14:val="solid"/>
                  <w14:bevel/>
                </w14:textOutline>
              </w:rPr>
              <w:t>(</w:t>
            </w:r>
            <w:r>
              <w:rPr>
                <w:rFonts w:ascii="Times New Roman" w:hAnsi="Times New Roman" w:eastAsia="Times New Roman" w:cs="Times New Roman"/>
                <w:b/>
                <w:bCs/>
                <w:spacing w:val="-4"/>
                <w:position w:val="2"/>
                <w:sz w:val="20"/>
                <w:szCs w:val="20"/>
              </w:rPr>
              <w:t>m3/d</w:t>
            </w:r>
            <w:r>
              <w:rPr>
                <w:rFonts w:ascii="宋体" w:hAnsi="宋体" w:eastAsia="宋体" w:cs="宋体"/>
                <w:spacing w:val="-4"/>
                <w:position w:val="2"/>
                <w:sz w:val="20"/>
                <w:szCs w:val="20"/>
                <w14:textOutline w14:w="3657" w14:cap="sq" w14:cmpd="sng" w14:algn="ctr">
                  <w14:solidFill>
                    <w14:srgbClr w14:val="000000"/>
                  </w14:solidFill>
                  <w14:prstDash w14:val="solid"/>
                  <w14:bevel/>
                </w14:textOutline>
              </w:rPr>
              <w:t>)</w:t>
            </w:r>
          </w:p>
        </w:tc>
        <w:tc>
          <w:tcPr>
            <w:tcW w:w="910" w:type="dxa"/>
          </w:tcPr>
          <w:p w14:paraId="0A459C09">
            <w:pPr>
              <w:spacing w:before="101" w:line="228" w:lineRule="auto"/>
              <w:ind w:left="39"/>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产</w:t>
            </w:r>
            <w:r>
              <w:rPr>
                <w:rFonts w:ascii="宋体" w:hAnsi="宋体" w:eastAsia="宋体" w:cs="宋体"/>
                <w:spacing w:val="8"/>
                <w:sz w:val="20"/>
                <w:szCs w:val="20"/>
                <w14:textOutline w14:w="3797" w14:cap="sq" w14:cmpd="sng" w14:algn="ctr">
                  <w14:solidFill>
                    <w14:srgbClr w14:val="000000"/>
                  </w14:solidFill>
                  <w14:prstDash w14:val="solid"/>
                  <w14:bevel/>
                </w14:textOutline>
              </w:rPr>
              <w:t>污系数</w:t>
            </w:r>
          </w:p>
        </w:tc>
        <w:tc>
          <w:tcPr>
            <w:tcW w:w="1653" w:type="dxa"/>
          </w:tcPr>
          <w:p w14:paraId="2B7FB0E1">
            <w:pPr>
              <w:spacing w:before="61" w:line="289" w:lineRule="exact"/>
              <w:ind w:left="99"/>
              <w:rPr>
                <w:rFonts w:ascii="宋体" w:hAnsi="宋体" w:eastAsia="宋体" w:cs="宋体"/>
                <w:sz w:val="20"/>
                <w:szCs w:val="20"/>
              </w:rPr>
            </w:pPr>
            <w:r>
              <w:rPr>
                <w:rFonts w:ascii="宋体" w:hAnsi="宋体" w:eastAsia="宋体" w:cs="宋体"/>
                <w:spacing w:val="7"/>
                <w:position w:val="1"/>
                <w:sz w:val="20"/>
                <w:szCs w:val="20"/>
                <w14:textOutline w14:w="3797" w14:cap="sq" w14:cmpd="sng" w14:algn="ctr">
                  <w14:solidFill>
                    <w14:srgbClr w14:val="000000"/>
                  </w14:solidFill>
                  <w14:prstDash w14:val="solid"/>
                  <w14:bevel/>
                </w14:textOutline>
              </w:rPr>
              <w:t>排水量</w:t>
            </w:r>
            <w:r>
              <w:rPr>
                <w:rFonts w:ascii="宋体" w:hAnsi="宋体" w:eastAsia="宋体" w:cs="宋体"/>
                <w:spacing w:val="7"/>
                <w:position w:val="1"/>
                <w:sz w:val="20"/>
                <w:szCs w:val="20"/>
              </w:rPr>
              <w:t xml:space="preserve"> </w:t>
            </w:r>
            <w:r>
              <w:rPr>
                <w:rFonts w:ascii="宋体" w:hAnsi="宋体" w:eastAsia="宋体" w:cs="宋体"/>
                <w:spacing w:val="7"/>
                <w:position w:val="1"/>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position w:val="1"/>
                <w:sz w:val="20"/>
                <w:szCs w:val="20"/>
              </w:rPr>
              <w:t>m</w:t>
            </w:r>
            <w:r>
              <w:rPr>
                <w:rFonts w:ascii="Times New Roman" w:hAnsi="Times New Roman" w:eastAsia="Times New Roman" w:cs="Times New Roman"/>
                <w:b/>
                <w:bCs/>
                <w:spacing w:val="7"/>
                <w:position w:val="7"/>
                <w:sz w:val="13"/>
                <w:szCs w:val="13"/>
              </w:rPr>
              <w:t>3</w:t>
            </w:r>
            <w:r>
              <w:rPr>
                <w:rFonts w:ascii="Times New Roman" w:hAnsi="Times New Roman" w:eastAsia="Times New Roman" w:cs="Times New Roman"/>
                <w:b/>
                <w:bCs/>
                <w:spacing w:val="7"/>
                <w:position w:val="1"/>
                <w:sz w:val="20"/>
                <w:szCs w:val="20"/>
              </w:rPr>
              <w:t>/</w:t>
            </w:r>
            <w:r>
              <w:rPr>
                <w:rFonts w:ascii="Times New Roman" w:hAnsi="Times New Roman" w:eastAsia="Times New Roman" w:cs="Times New Roman"/>
                <w:b/>
                <w:bCs/>
                <w:position w:val="1"/>
                <w:sz w:val="20"/>
                <w:szCs w:val="20"/>
              </w:rPr>
              <w:t>d</w:t>
            </w:r>
            <w:r>
              <w:rPr>
                <w:rFonts w:ascii="宋体" w:hAnsi="宋体" w:eastAsia="宋体" w:cs="宋体"/>
                <w:spacing w:val="5"/>
                <w:position w:val="1"/>
                <w:sz w:val="20"/>
                <w:szCs w:val="20"/>
                <w14:textOutline w14:w="3797" w14:cap="sq" w14:cmpd="sng" w14:algn="ctr">
                  <w14:solidFill>
                    <w14:srgbClr w14:val="000000"/>
                  </w14:solidFill>
                  <w14:prstDash w14:val="solid"/>
                  <w14:bevel/>
                </w14:textOutline>
              </w:rPr>
              <w:t>)</w:t>
            </w:r>
          </w:p>
        </w:tc>
        <w:tc>
          <w:tcPr>
            <w:tcW w:w="1242" w:type="dxa"/>
            <w:tcBorders>
              <w:right w:val="nil"/>
            </w:tcBorders>
          </w:tcPr>
          <w:p w14:paraId="5CB176A3">
            <w:pPr>
              <w:spacing w:before="102" w:line="229" w:lineRule="auto"/>
              <w:ind w:left="422"/>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去向</w:t>
            </w:r>
          </w:p>
        </w:tc>
      </w:tr>
      <w:tr w14:paraId="74375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539" w:type="dxa"/>
            <w:vMerge w:val="restart"/>
            <w:tcBorders>
              <w:left w:val="nil"/>
              <w:bottom w:val="nil"/>
            </w:tcBorders>
          </w:tcPr>
          <w:p w14:paraId="57212A0A">
            <w:pPr>
              <w:spacing w:line="440" w:lineRule="auto"/>
            </w:pPr>
          </w:p>
          <w:p w14:paraId="2E56A5E3">
            <w:pPr>
              <w:spacing w:before="58" w:line="195" w:lineRule="auto"/>
              <w:ind w:left="23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563" w:type="dxa"/>
            <w:vMerge w:val="restart"/>
            <w:tcBorders>
              <w:bottom w:val="nil"/>
            </w:tcBorders>
          </w:tcPr>
          <w:p w14:paraId="4D26D0A7">
            <w:pPr>
              <w:spacing w:line="261" w:lineRule="auto"/>
            </w:pPr>
          </w:p>
          <w:p w14:paraId="651F72AE">
            <w:pPr>
              <w:spacing w:before="65" w:line="267" w:lineRule="auto"/>
              <w:ind w:left="77" w:right="71"/>
              <w:rPr>
                <w:rFonts w:ascii="宋体" w:hAnsi="宋体" w:eastAsia="宋体" w:cs="宋体"/>
                <w:sz w:val="20"/>
                <w:szCs w:val="20"/>
              </w:rPr>
            </w:pPr>
            <w:r>
              <w:rPr>
                <w:rFonts w:ascii="宋体" w:hAnsi="宋体" w:eastAsia="宋体" w:cs="宋体"/>
                <w:spacing w:val="4"/>
                <w:sz w:val="20"/>
                <w:szCs w:val="20"/>
              </w:rPr>
              <w:t>养殖</w:t>
            </w:r>
            <w:r>
              <w:rPr>
                <w:rFonts w:ascii="宋体" w:hAnsi="宋体" w:eastAsia="宋体" w:cs="宋体"/>
                <w:sz w:val="20"/>
                <w:szCs w:val="20"/>
              </w:rPr>
              <w:t xml:space="preserve"> </w:t>
            </w:r>
            <w:r>
              <w:rPr>
                <w:rFonts w:ascii="宋体" w:hAnsi="宋体" w:eastAsia="宋体" w:cs="宋体"/>
                <w:spacing w:val="4"/>
                <w:sz w:val="20"/>
                <w:szCs w:val="20"/>
              </w:rPr>
              <w:t>用</w:t>
            </w:r>
            <w:r>
              <w:rPr>
                <w:rFonts w:ascii="宋体" w:hAnsi="宋体" w:eastAsia="宋体" w:cs="宋体"/>
                <w:spacing w:val="3"/>
                <w:sz w:val="20"/>
                <w:szCs w:val="20"/>
              </w:rPr>
              <w:t>水</w:t>
            </w:r>
          </w:p>
        </w:tc>
        <w:tc>
          <w:tcPr>
            <w:tcW w:w="962" w:type="dxa"/>
          </w:tcPr>
          <w:p w14:paraId="027F5927">
            <w:pPr>
              <w:spacing w:before="100" w:line="228" w:lineRule="auto"/>
              <w:ind w:left="66"/>
              <w:rPr>
                <w:rFonts w:ascii="宋体" w:hAnsi="宋体" w:eastAsia="宋体" w:cs="宋体"/>
                <w:sz w:val="20"/>
                <w:szCs w:val="20"/>
              </w:rPr>
            </w:pPr>
            <w:r>
              <w:rPr>
                <w:rFonts w:ascii="宋体" w:hAnsi="宋体" w:eastAsia="宋体" w:cs="宋体"/>
                <w:spacing w:val="8"/>
                <w:sz w:val="20"/>
                <w:szCs w:val="20"/>
              </w:rPr>
              <w:t>猪</w:t>
            </w:r>
            <w:r>
              <w:rPr>
                <w:rFonts w:ascii="宋体" w:hAnsi="宋体" w:eastAsia="宋体" w:cs="宋体"/>
                <w:spacing w:val="7"/>
                <w:sz w:val="20"/>
                <w:szCs w:val="20"/>
              </w:rPr>
              <w:t>只饮用</w:t>
            </w:r>
          </w:p>
        </w:tc>
        <w:tc>
          <w:tcPr>
            <w:tcW w:w="911" w:type="dxa"/>
          </w:tcPr>
          <w:p w14:paraId="6A8BDBC5"/>
        </w:tc>
        <w:tc>
          <w:tcPr>
            <w:tcW w:w="1310" w:type="dxa"/>
          </w:tcPr>
          <w:p w14:paraId="127B1406"/>
        </w:tc>
        <w:tc>
          <w:tcPr>
            <w:tcW w:w="1406" w:type="dxa"/>
          </w:tcPr>
          <w:p w14:paraId="16BBF38A"/>
        </w:tc>
        <w:tc>
          <w:tcPr>
            <w:tcW w:w="910" w:type="dxa"/>
          </w:tcPr>
          <w:p w14:paraId="437AA1F1"/>
        </w:tc>
        <w:tc>
          <w:tcPr>
            <w:tcW w:w="1653" w:type="dxa"/>
          </w:tcPr>
          <w:p w14:paraId="52A365DA">
            <w:pPr>
              <w:spacing w:before="136" w:line="195" w:lineRule="auto"/>
              <w:ind w:left="544"/>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5</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4"/>
                <w:sz w:val="20"/>
                <w:szCs w:val="20"/>
              </w:rPr>
              <w:t>. 168</w:t>
            </w:r>
          </w:p>
        </w:tc>
        <w:tc>
          <w:tcPr>
            <w:tcW w:w="1242" w:type="dxa"/>
            <w:vMerge w:val="restart"/>
            <w:tcBorders>
              <w:bottom w:val="nil"/>
              <w:right w:val="nil"/>
            </w:tcBorders>
          </w:tcPr>
          <w:p w14:paraId="61874B16">
            <w:pPr>
              <w:spacing w:before="191" w:line="228" w:lineRule="auto"/>
              <w:ind w:left="106"/>
              <w:rPr>
                <w:rFonts w:ascii="宋体" w:hAnsi="宋体" w:eastAsia="宋体" w:cs="宋体"/>
                <w:sz w:val="20"/>
                <w:szCs w:val="20"/>
              </w:rPr>
            </w:pPr>
            <w:r>
              <w:rPr>
                <w:rFonts w:ascii="宋体" w:hAnsi="宋体" w:eastAsia="宋体" w:cs="宋体"/>
                <w:spacing w:val="10"/>
                <w:sz w:val="20"/>
                <w:szCs w:val="20"/>
              </w:rPr>
              <w:t>异</w:t>
            </w:r>
            <w:r>
              <w:rPr>
                <w:rFonts w:ascii="宋体" w:hAnsi="宋体" w:eastAsia="宋体" w:cs="宋体"/>
                <w:spacing w:val="7"/>
                <w:sz w:val="20"/>
                <w:szCs w:val="20"/>
              </w:rPr>
              <w:t>位发酵床</w:t>
            </w:r>
          </w:p>
          <w:p w14:paraId="1E58849A">
            <w:pPr>
              <w:spacing w:before="27" w:line="228" w:lineRule="auto"/>
              <w:ind w:left="108"/>
              <w:rPr>
                <w:rFonts w:ascii="宋体" w:hAnsi="宋体" w:eastAsia="宋体" w:cs="宋体"/>
                <w:sz w:val="20"/>
                <w:szCs w:val="20"/>
              </w:rPr>
            </w:pPr>
            <w:r>
              <w:rPr>
                <w:rFonts w:ascii="宋体" w:hAnsi="宋体" w:eastAsia="宋体" w:cs="宋体"/>
                <w:spacing w:val="8"/>
                <w:sz w:val="20"/>
                <w:szCs w:val="20"/>
              </w:rPr>
              <w:t>处</w:t>
            </w:r>
            <w:r>
              <w:rPr>
                <w:rFonts w:ascii="宋体" w:hAnsi="宋体" w:eastAsia="宋体" w:cs="宋体"/>
                <w:spacing w:val="7"/>
                <w:sz w:val="20"/>
                <w:szCs w:val="20"/>
              </w:rPr>
              <w:t>理后作为</w:t>
            </w:r>
          </w:p>
          <w:p w14:paraId="44E3DA37">
            <w:pPr>
              <w:spacing w:before="23" w:line="227" w:lineRule="auto"/>
              <w:ind w:left="210"/>
              <w:rPr>
                <w:rFonts w:ascii="宋体" w:hAnsi="宋体" w:eastAsia="宋体" w:cs="宋体"/>
                <w:sz w:val="20"/>
                <w:szCs w:val="20"/>
              </w:rPr>
            </w:pPr>
            <w:r>
              <w:rPr>
                <w:rFonts w:ascii="宋体" w:hAnsi="宋体" w:eastAsia="宋体" w:cs="宋体"/>
                <w:spacing w:val="8"/>
                <w:sz w:val="20"/>
                <w:szCs w:val="20"/>
              </w:rPr>
              <w:t>农</w:t>
            </w:r>
            <w:r>
              <w:rPr>
                <w:rFonts w:ascii="宋体" w:hAnsi="宋体" w:eastAsia="宋体" w:cs="宋体"/>
                <w:spacing w:val="7"/>
                <w:sz w:val="20"/>
                <w:szCs w:val="20"/>
              </w:rPr>
              <w:t>肥外售</w:t>
            </w:r>
          </w:p>
        </w:tc>
      </w:tr>
      <w:tr w14:paraId="171EFA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539" w:type="dxa"/>
            <w:vMerge w:val="continue"/>
            <w:tcBorders>
              <w:top w:val="nil"/>
              <w:left w:val="nil"/>
            </w:tcBorders>
          </w:tcPr>
          <w:p w14:paraId="0AA171BD"/>
        </w:tc>
        <w:tc>
          <w:tcPr>
            <w:tcW w:w="563" w:type="dxa"/>
            <w:vMerge w:val="continue"/>
            <w:tcBorders>
              <w:top w:val="nil"/>
            </w:tcBorders>
          </w:tcPr>
          <w:p w14:paraId="6E95080B"/>
        </w:tc>
        <w:tc>
          <w:tcPr>
            <w:tcW w:w="962" w:type="dxa"/>
          </w:tcPr>
          <w:p w14:paraId="66628A86">
            <w:pPr>
              <w:spacing w:before="256" w:line="229" w:lineRule="auto"/>
              <w:ind w:left="82"/>
              <w:rPr>
                <w:rFonts w:ascii="宋体" w:hAnsi="宋体" w:eastAsia="宋体" w:cs="宋体"/>
                <w:sz w:val="20"/>
                <w:szCs w:val="20"/>
              </w:rPr>
            </w:pPr>
            <w:r>
              <w:rPr>
                <w:rFonts w:ascii="宋体" w:hAnsi="宋体" w:eastAsia="宋体" w:cs="宋体"/>
                <w:spacing w:val="4"/>
                <w:sz w:val="20"/>
                <w:szCs w:val="20"/>
              </w:rPr>
              <w:t>圈</w:t>
            </w:r>
            <w:r>
              <w:rPr>
                <w:rFonts w:ascii="宋体" w:hAnsi="宋体" w:eastAsia="宋体" w:cs="宋体"/>
                <w:spacing w:val="3"/>
                <w:sz w:val="20"/>
                <w:szCs w:val="20"/>
              </w:rPr>
              <w:t>舍冲洗</w:t>
            </w:r>
          </w:p>
        </w:tc>
        <w:tc>
          <w:tcPr>
            <w:tcW w:w="911" w:type="dxa"/>
          </w:tcPr>
          <w:p w14:paraId="6D6932AF"/>
        </w:tc>
        <w:tc>
          <w:tcPr>
            <w:tcW w:w="1310" w:type="dxa"/>
          </w:tcPr>
          <w:p w14:paraId="77CA5503"/>
        </w:tc>
        <w:tc>
          <w:tcPr>
            <w:tcW w:w="1406" w:type="dxa"/>
          </w:tcPr>
          <w:p w14:paraId="282C5498"/>
        </w:tc>
        <w:tc>
          <w:tcPr>
            <w:tcW w:w="910" w:type="dxa"/>
          </w:tcPr>
          <w:p w14:paraId="47B6127A"/>
        </w:tc>
        <w:tc>
          <w:tcPr>
            <w:tcW w:w="1653" w:type="dxa"/>
          </w:tcPr>
          <w:p w14:paraId="2EEFA232">
            <w:pPr>
              <w:spacing w:before="292" w:line="195" w:lineRule="auto"/>
              <w:ind w:left="54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7</w:t>
            </w:r>
            <w:r>
              <w:rPr>
                <w:rFonts w:ascii="Times New Roman" w:hAnsi="Times New Roman" w:eastAsia="Times New Roman" w:cs="Times New Roman"/>
                <w:spacing w:val="3"/>
                <w:sz w:val="20"/>
                <w:szCs w:val="20"/>
              </w:rPr>
              <w:t>9.677</w:t>
            </w:r>
          </w:p>
        </w:tc>
        <w:tc>
          <w:tcPr>
            <w:tcW w:w="1242" w:type="dxa"/>
            <w:vMerge w:val="continue"/>
            <w:tcBorders>
              <w:top w:val="nil"/>
              <w:right w:val="nil"/>
            </w:tcBorders>
          </w:tcPr>
          <w:p w14:paraId="3A2E23C4"/>
        </w:tc>
      </w:tr>
      <w:tr w14:paraId="4B1B28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39" w:type="dxa"/>
            <w:vMerge w:val="restart"/>
            <w:tcBorders>
              <w:left w:val="nil"/>
              <w:bottom w:val="nil"/>
            </w:tcBorders>
          </w:tcPr>
          <w:p w14:paraId="1A80F570">
            <w:pPr>
              <w:spacing w:line="275" w:lineRule="auto"/>
            </w:pPr>
          </w:p>
          <w:p w14:paraId="60547718">
            <w:pPr>
              <w:spacing w:before="57" w:line="195" w:lineRule="auto"/>
              <w:ind w:left="21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563" w:type="dxa"/>
            <w:vMerge w:val="restart"/>
            <w:tcBorders>
              <w:bottom w:val="nil"/>
            </w:tcBorders>
          </w:tcPr>
          <w:p w14:paraId="2369B068">
            <w:pPr>
              <w:spacing w:before="161" w:line="267" w:lineRule="auto"/>
              <w:ind w:left="78" w:right="71"/>
              <w:rPr>
                <w:rFonts w:ascii="宋体" w:hAnsi="宋体" w:eastAsia="宋体" w:cs="宋体"/>
                <w:sz w:val="20"/>
                <w:szCs w:val="20"/>
              </w:rPr>
            </w:pPr>
            <w:r>
              <w:rPr>
                <w:rFonts w:ascii="宋体" w:hAnsi="宋体" w:eastAsia="宋体" w:cs="宋体"/>
                <w:spacing w:val="4"/>
                <w:sz w:val="20"/>
                <w:szCs w:val="20"/>
              </w:rPr>
              <w:t>生</w:t>
            </w:r>
            <w:r>
              <w:rPr>
                <w:rFonts w:ascii="宋体" w:hAnsi="宋体" w:eastAsia="宋体" w:cs="宋体"/>
                <w:spacing w:val="3"/>
                <w:sz w:val="20"/>
                <w:szCs w:val="20"/>
              </w:rPr>
              <w:t>活</w:t>
            </w:r>
            <w:r>
              <w:rPr>
                <w:rFonts w:ascii="宋体" w:hAnsi="宋体" w:eastAsia="宋体" w:cs="宋体"/>
                <w:sz w:val="20"/>
                <w:szCs w:val="20"/>
              </w:rPr>
              <w:t xml:space="preserve"> </w:t>
            </w:r>
            <w:r>
              <w:rPr>
                <w:rFonts w:ascii="宋体" w:hAnsi="宋体" w:eastAsia="宋体" w:cs="宋体"/>
                <w:spacing w:val="4"/>
                <w:sz w:val="20"/>
                <w:szCs w:val="20"/>
              </w:rPr>
              <w:t>用</w:t>
            </w:r>
            <w:r>
              <w:rPr>
                <w:rFonts w:ascii="宋体" w:hAnsi="宋体" w:eastAsia="宋体" w:cs="宋体"/>
                <w:spacing w:val="3"/>
                <w:sz w:val="20"/>
                <w:szCs w:val="20"/>
              </w:rPr>
              <w:t>水</w:t>
            </w:r>
          </w:p>
        </w:tc>
        <w:tc>
          <w:tcPr>
            <w:tcW w:w="962" w:type="dxa"/>
          </w:tcPr>
          <w:p w14:paraId="28A153B5">
            <w:pPr>
              <w:spacing w:before="65" w:line="228" w:lineRule="auto"/>
              <w:ind w:left="292"/>
              <w:rPr>
                <w:rFonts w:ascii="宋体" w:hAnsi="宋体" w:eastAsia="宋体" w:cs="宋体"/>
                <w:sz w:val="20"/>
                <w:szCs w:val="20"/>
              </w:rPr>
            </w:pPr>
            <w:r>
              <w:rPr>
                <w:rFonts w:ascii="宋体" w:hAnsi="宋体" w:eastAsia="宋体" w:cs="宋体"/>
                <w:spacing w:val="-3"/>
                <w:sz w:val="20"/>
                <w:szCs w:val="20"/>
              </w:rPr>
              <w:t>留宿</w:t>
            </w:r>
          </w:p>
        </w:tc>
        <w:tc>
          <w:tcPr>
            <w:tcW w:w="911" w:type="dxa"/>
          </w:tcPr>
          <w:p w14:paraId="50151CFF"/>
        </w:tc>
        <w:tc>
          <w:tcPr>
            <w:tcW w:w="1310" w:type="dxa"/>
          </w:tcPr>
          <w:p w14:paraId="55063F19"/>
        </w:tc>
        <w:tc>
          <w:tcPr>
            <w:tcW w:w="1406" w:type="dxa"/>
          </w:tcPr>
          <w:p w14:paraId="6BAF8177"/>
        </w:tc>
        <w:tc>
          <w:tcPr>
            <w:tcW w:w="910" w:type="dxa"/>
            <w:vMerge w:val="restart"/>
            <w:tcBorders>
              <w:bottom w:val="nil"/>
            </w:tcBorders>
          </w:tcPr>
          <w:p w14:paraId="470694D6"/>
        </w:tc>
        <w:tc>
          <w:tcPr>
            <w:tcW w:w="1653" w:type="dxa"/>
            <w:vMerge w:val="restart"/>
            <w:tcBorders>
              <w:bottom w:val="nil"/>
            </w:tcBorders>
          </w:tcPr>
          <w:p w14:paraId="6288B114">
            <w:pPr>
              <w:spacing w:line="275" w:lineRule="auto"/>
            </w:pPr>
          </w:p>
          <w:p w14:paraId="30FE3637">
            <w:pPr>
              <w:spacing w:before="58" w:line="195" w:lineRule="auto"/>
              <w:ind w:left="64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2"/>
                <w:sz w:val="20"/>
                <w:szCs w:val="20"/>
              </w:rPr>
              <w:t>.85</w:t>
            </w:r>
          </w:p>
        </w:tc>
        <w:tc>
          <w:tcPr>
            <w:tcW w:w="1242" w:type="dxa"/>
            <w:vMerge w:val="restart"/>
            <w:tcBorders>
              <w:bottom w:val="nil"/>
              <w:right w:val="nil"/>
            </w:tcBorders>
          </w:tcPr>
          <w:p w14:paraId="2372AFAD">
            <w:pPr>
              <w:spacing w:before="31" w:line="228" w:lineRule="auto"/>
              <w:ind w:left="105"/>
              <w:rPr>
                <w:rFonts w:ascii="宋体" w:hAnsi="宋体" w:eastAsia="宋体" w:cs="宋体"/>
                <w:sz w:val="20"/>
                <w:szCs w:val="20"/>
              </w:rPr>
            </w:pPr>
            <w:r>
              <w:rPr>
                <w:rFonts w:ascii="宋体" w:hAnsi="宋体" w:eastAsia="宋体" w:cs="宋体"/>
                <w:spacing w:val="8"/>
                <w:sz w:val="20"/>
                <w:szCs w:val="20"/>
              </w:rPr>
              <w:t>化粪池收</w:t>
            </w:r>
            <w:r>
              <w:rPr>
                <w:rFonts w:ascii="宋体" w:hAnsi="宋体" w:eastAsia="宋体" w:cs="宋体"/>
                <w:spacing w:val="7"/>
                <w:sz w:val="20"/>
                <w:szCs w:val="20"/>
              </w:rPr>
              <w:t>集</w:t>
            </w:r>
          </w:p>
          <w:p w14:paraId="01CA5592">
            <w:pPr>
              <w:spacing w:before="26" w:line="228" w:lineRule="auto"/>
              <w:ind w:left="106"/>
              <w:rPr>
                <w:rFonts w:ascii="宋体" w:hAnsi="宋体" w:eastAsia="宋体" w:cs="宋体"/>
                <w:sz w:val="20"/>
                <w:szCs w:val="20"/>
              </w:rPr>
            </w:pPr>
            <w:r>
              <w:rPr>
                <w:rFonts w:ascii="宋体" w:hAnsi="宋体" w:eastAsia="宋体" w:cs="宋体"/>
                <w:spacing w:val="8"/>
                <w:sz w:val="20"/>
                <w:szCs w:val="20"/>
              </w:rPr>
              <w:t>后用作林</w:t>
            </w:r>
            <w:r>
              <w:rPr>
                <w:rFonts w:ascii="宋体" w:hAnsi="宋体" w:eastAsia="宋体" w:cs="宋体"/>
                <w:spacing w:val="7"/>
                <w:sz w:val="20"/>
                <w:szCs w:val="20"/>
              </w:rPr>
              <w:t>地</w:t>
            </w:r>
          </w:p>
          <w:p w14:paraId="4A416DB9">
            <w:pPr>
              <w:spacing w:before="24" w:line="212" w:lineRule="auto"/>
              <w:ind w:left="421"/>
              <w:rPr>
                <w:rFonts w:ascii="宋体" w:hAnsi="宋体" w:eastAsia="宋体" w:cs="宋体"/>
                <w:sz w:val="20"/>
                <w:szCs w:val="20"/>
              </w:rPr>
            </w:pPr>
            <w:r>
              <w:rPr>
                <w:rFonts w:ascii="宋体" w:hAnsi="宋体" w:eastAsia="宋体" w:cs="宋体"/>
                <w:spacing w:val="4"/>
                <w:sz w:val="20"/>
                <w:szCs w:val="20"/>
              </w:rPr>
              <w:t>灌</w:t>
            </w:r>
            <w:r>
              <w:rPr>
                <w:rFonts w:ascii="宋体" w:hAnsi="宋体" w:eastAsia="宋体" w:cs="宋体"/>
                <w:spacing w:val="3"/>
                <w:sz w:val="20"/>
                <w:szCs w:val="20"/>
              </w:rPr>
              <w:t>溉</w:t>
            </w:r>
          </w:p>
        </w:tc>
      </w:tr>
      <w:tr w14:paraId="6F88BB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39" w:type="dxa"/>
            <w:vMerge w:val="continue"/>
            <w:tcBorders>
              <w:top w:val="nil"/>
              <w:left w:val="nil"/>
            </w:tcBorders>
          </w:tcPr>
          <w:p w14:paraId="6BDD57E3"/>
        </w:tc>
        <w:tc>
          <w:tcPr>
            <w:tcW w:w="563" w:type="dxa"/>
            <w:vMerge w:val="continue"/>
            <w:tcBorders>
              <w:top w:val="nil"/>
            </w:tcBorders>
          </w:tcPr>
          <w:p w14:paraId="25818A64"/>
        </w:tc>
        <w:tc>
          <w:tcPr>
            <w:tcW w:w="962" w:type="dxa"/>
          </w:tcPr>
          <w:p w14:paraId="75A6D998">
            <w:pPr>
              <w:spacing w:before="122" w:line="228" w:lineRule="auto"/>
              <w:ind w:left="174"/>
              <w:rPr>
                <w:rFonts w:ascii="宋体" w:hAnsi="宋体" w:eastAsia="宋体" w:cs="宋体"/>
                <w:sz w:val="20"/>
                <w:szCs w:val="20"/>
              </w:rPr>
            </w:pPr>
            <w:r>
              <w:rPr>
                <w:rFonts w:ascii="宋体" w:hAnsi="宋体" w:eastAsia="宋体" w:cs="宋体"/>
                <w:spacing w:val="6"/>
                <w:sz w:val="20"/>
                <w:szCs w:val="20"/>
              </w:rPr>
              <w:t>不留</w:t>
            </w:r>
            <w:r>
              <w:rPr>
                <w:rFonts w:ascii="宋体" w:hAnsi="宋体" w:eastAsia="宋体" w:cs="宋体"/>
                <w:spacing w:val="5"/>
                <w:sz w:val="20"/>
                <w:szCs w:val="20"/>
              </w:rPr>
              <w:t>宿</w:t>
            </w:r>
          </w:p>
        </w:tc>
        <w:tc>
          <w:tcPr>
            <w:tcW w:w="911" w:type="dxa"/>
          </w:tcPr>
          <w:p w14:paraId="1CF6900F"/>
        </w:tc>
        <w:tc>
          <w:tcPr>
            <w:tcW w:w="1310" w:type="dxa"/>
          </w:tcPr>
          <w:p w14:paraId="3A016265"/>
        </w:tc>
        <w:tc>
          <w:tcPr>
            <w:tcW w:w="1406" w:type="dxa"/>
          </w:tcPr>
          <w:p w14:paraId="62289973"/>
        </w:tc>
        <w:tc>
          <w:tcPr>
            <w:tcW w:w="910" w:type="dxa"/>
            <w:vMerge w:val="continue"/>
            <w:tcBorders>
              <w:top w:val="nil"/>
            </w:tcBorders>
          </w:tcPr>
          <w:p w14:paraId="4A93CC09"/>
        </w:tc>
        <w:tc>
          <w:tcPr>
            <w:tcW w:w="1653" w:type="dxa"/>
            <w:vMerge w:val="continue"/>
            <w:tcBorders>
              <w:top w:val="nil"/>
            </w:tcBorders>
          </w:tcPr>
          <w:p w14:paraId="23074765"/>
        </w:tc>
        <w:tc>
          <w:tcPr>
            <w:tcW w:w="1242" w:type="dxa"/>
            <w:vMerge w:val="continue"/>
            <w:tcBorders>
              <w:top w:val="nil"/>
              <w:right w:val="nil"/>
            </w:tcBorders>
          </w:tcPr>
          <w:p w14:paraId="694AA429"/>
        </w:tc>
      </w:tr>
      <w:tr w14:paraId="37ED8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539" w:type="dxa"/>
            <w:tcBorders>
              <w:left w:val="nil"/>
            </w:tcBorders>
          </w:tcPr>
          <w:p w14:paraId="6B7F6242">
            <w:pPr>
              <w:spacing w:before="235" w:line="195" w:lineRule="auto"/>
              <w:ind w:left="222"/>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525" w:type="dxa"/>
            <w:gridSpan w:val="2"/>
          </w:tcPr>
          <w:p w14:paraId="10E981A1">
            <w:pPr>
              <w:spacing w:before="61" w:line="252" w:lineRule="auto"/>
              <w:ind w:left="558" w:right="27" w:hanging="525"/>
              <w:rPr>
                <w:rFonts w:ascii="宋体" w:hAnsi="宋体" w:eastAsia="宋体" w:cs="宋体"/>
                <w:sz w:val="20"/>
                <w:szCs w:val="20"/>
              </w:rPr>
            </w:pPr>
            <w:r>
              <w:rPr>
                <w:rFonts w:ascii="宋体" w:hAnsi="宋体" w:eastAsia="宋体" w:cs="宋体"/>
                <w:spacing w:val="10"/>
                <w:sz w:val="20"/>
                <w:szCs w:val="20"/>
              </w:rPr>
              <w:t>水</w:t>
            </w:r>
            <w:r>
              <w:rPr>
                <w:rFonts w:ascii="宋体" w:hAnsi="宋体" w:eastAsia="宋体" w:cs="宋体"/>
                <w:spacing w:val="8"/>
                <w:sz w:val="20"/>
                <w:szCs w:val="20"/>
              </w:rPr>
              <w:t>帘降温系统补</w:t>
            </w:r>
            <w:r>
              <w:rPr>
                <w:rFonts w:ascii="宋体" w:hAnsi="宋体" w:eastAsia="宋体" w:cs="宋体"/>
                <w:sz w:val="20"/>
                <w:szCs w:val="20"/>
              </w:rPr>
              <w:t xml:space="preserve"> </w:t>
            </w:r>
            <w:r>
              <w:rPr>
                <w:rFonts w:ascii="宋体" w:hAnsi="宋体" w:eastAsia="宋体" w:cs="宋体"/>
                <w:spacing w:val="4"/>
                <w:sz w:val="20"/>
                <w:szCs w:val="20"/>
              </w:rPr>
              <w:t>充</w:t>
            </w:r>
            <w:r>
              <w:rPr>
                <w:rFonts w:ascii="宋体" w:hAnsi="宋体" w:eastAsia="宋体" w:cs="宋体"/>
                <w:spacing w:val="3"/>
                <w:sz w:val="20"/>
                <w:szCs w:val="20"/>
              </w:rPr>
              <w:t>水</w:t>
            </w:r>
          </w:p>
        </w:tc>
        <w:tc>
          <w:tcPr>
            <w:tcW w:w="911" w:type="dxa"/>
          </w:tcPr>
          <w:p w14:paraId="691EB682"/>
        </w:tc>
        <w:tc>
          <w:tcPr>
            <w:tcW w:w="1310" w:type="dxa"/>
          </w:tcPr>
          <w:p w14:paraId="5A4C7BD5"/>
        </w:tc>
        <w:tc>
          <w:tcPr>
            <w:tcW w:w="1406" w:type="dxa"/>
          </w:tcPr>
          <w:p w14:paraId="433775B7"/>
        </w:tc>
        <w:tc>
          <w:tcPr>
            <w:tcW w:w="910" w:type="dxa"/>
          </w:tcPr>
          <w:p w14:paraId="41ABD76E"/>
        </w:tc>
        <w:tc>
          <w:tcPr>
            <w:tcW w:w="1653" w:type="dxa"/>
          </w:tcPr>
          <w:p w14:paraId="78746AA7">
            <w:pPr>
              <w:spacing w:before="235" w:line="195" w:lineRule="auto"/>
              <w:ind w:left="780"/>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42" w:type="dxa"/>
            <w:tcBorders>
              <w:right w:val="nil"/>
            </w:tcBorders>
          </w:tcPr>
          <w:p w14:paraId="252C84C0">
            <w:pPr>
              <w:spacing w:before="199" w:line="228" w:lineRule="auto"/>
              <w:ind w:left="210"/>
              <w:rPr>
                <w:rFonts w:ascii="宋体" w:hAnsi="宋体" w:eastAsia="宋体" w:cs="宋体"/>
                <w:sz w:val="20"/>
                <w:szCs w:val="20"/>
              </w:rPr>
            </w:pPr>
            <w:r>
              <w:rPr>
                <w:rFonts w:ascii="宋体" w:hAnsi="宋体" w:eastAsia="宋体" w:cs="宋体"/>
                <w:spacing w:val="8"/>
                <w:sz w:val="20"/>
                <w:szCs w:val="20"/>
              </w:rPr>
              <w:t>循</w:t>
            </w:r>
            <w:r>
              <w:rPr>
                <w:rFonts w:ascii="宋体" w:hAnsi="宋体" w:eastAsia="宋体" w:cs="宋体"/>
                <w:spacing w:val="7"/>
                <w:sz w:val="20"/>
                <w:szCs w:val="20"/>
              </w:rPr>
              <w:t>环使用</w:t>
            </w:r>
          </w:p>
        </w:tc>
      </w:tr>
      <w:tr w14:paraId="29D3D3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539" w:type="dxa"/>
            <w:tcBorders>
              <w:left w:val="nil"/>
            </w:tcBorders>
          </w:tcPr>
          <w:p w14:paraId="2F18E6FB">
            <w:pPr>
              <w:spacing w:before="236" w:line="195" w:lineRule="auto"/>
              <w:ind w:left="21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525" w:type="dxa"/>
            <w:gridSpan w:val="2"/>
          </w:tcPr>
          <w:p w14:paraId="6961E4CD">
            <w:pPr>
              <w:spacing w:before="200" w:line="228" w:lineRule="auto"/>
              <w:ind w:left="137"/>
              <w:rPr>
                <w:rFonts w:ascii="宋体" w:hAnsi="宋体" w:eastAsia="宋体" w:cs="宋体"/>
                <w:sz w:val="20"/>
                <w:szCs w:val="20"/>
              </w:rPr>
            </w:pPr>
            <w:r>
              <w:rPr>
                <w:rFonts w:ascii="宋体" w:hAnsi="宋体" w:eastAsia="宋体" w:cs="宋体"/>
                <w:spacing w:val="9"/>
                <w:sz w:val="20"/>
                <w:szCs w:val="20"/>
              </w:rPr>
              <w:t>猪</w:t>
            </w:r>
            <w:r>
              <w:rPr>
                <w:rFonts w:ascii="宋体" w:hAnsi="宋体" w:eastAsia="宋体" w:cs="宋体"/>
                <w:spacing w:val="8"/>
                <w:sz w:val="20"/>
                <w:szCs w:val="20"/>
              </w:rPr>
              <w:t>舍消毒用水</w:t>
            </w:r>
          </w:p>
        </w:tc>
        <w:tc>
          <w:tcPr>
            <w:tcW w:w="911" w:type="dxa"/>
          </w:tcPr>
          <w:p w14:paraId="6B938076"/>
        </w:tc>
        <w:tc>
          <w:tcPr>
            <w:tcW w:w="1310" w:type="dxa"/>
          </w:tcPr>
          <w:p w14:paraId="14B40F9A"/>
        </w:tc>
        <w:tc>
          <w:tcPr>
            <w:tcW w:w="1406" w:type="dxa"/>
          </w:tcPr>
          <w:p w14:paraId="5AC74D9A"/>
        </w:tc>
        <w:tc>
          <w:tcPr>
            <w:tcW w:w="910" w:type="dxa"/>
          </w:tcPr>
          <w:p w14:paraId="2AF8F1CD"/>
        </w:tc>
        <w:tc>
          <w:tcPr>
            <w:tcW w:w="1653" w:type="dxa"/>
          </w:tcPr>
          <w:p w14:paraId="2B610BAF">
            <w:pPr>
              <w:spacing w:before="236" w:line="195" w:lineRule="auto"/>
              <w:ind w:left="780"/>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42" w:type="dxa"/>
            <w:tcBorders>
              <w:right w:val="nil"/>
            </w:tcBorders>
          </w:tcPr>
          <w:p w14:paraId="4509F39E">
            <w:pPr>
              <w:spacing w:before="200" w:line="228" w:lineRule="auto"/>
              <w:ind w:left="418"/>
              <w:rPr>
                <w:rFonts w:ascii="宋体" w:hAnsi="宋体" w:eastAsia="宋体" w:cs="宋体"/>
                <w:sz w:val="20"/>
                <w:szCs w:val="20"/>
              </w:rPr>
            </w:pPr>
            <w:r>
              <w:rPr>
                <w:rFonts w:ascii="宋体" w:hAnsi="宋体" w:eastAsia="宋体" w:cs="宋体"/>
                <w:spacing w:val="5"/>
                <w:sz w:val="20"/>
                <w:szCs w:val="20"/>
              </w:rPr>
              <w:t>损</w:t>
            </w:r>
            <w:r>
              <w:rPr>
                <w:rFonts w:ascii="宋体" w:hAnsi="宋体" w:eastAsia="宋体" w:cs="宋体"/>
                <w:spacing w:val="4"/>
                <w:sz w:val="20"/>
                <w:szCs w:val="20"/>
              </w:rPr>
              <w:t>耗</w:t>
            </w:r>
          </w:p>
        </w:tc>
      </w:tr>
      <w:tr w14:paraId="02BF90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539" w:type="dxa"/>
            <w:tcBorders>
              <w:left w:val="nil"/>
            </w:tcBorders>
          </w:tcPr>
          <w:p w14:paraId="3E5F430A">
            <w:pPr>
              <w:spacing w:before="238" w:line="195" w:lineRule="auto"/>
              <w:ind w:left="21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525" w:type="dxa"/>
            <w:gridSpan w:val="2"/>
          </w:tcPr>
          <w:p w14:paraId="679BA455">
            <w:pPr>
              <w:spacing w:before="201" w:line="228" w:lineRule="auto"/>
              <w:ind w:left="349"/>
              <w:rPr>
                <w:rFonts w:ascii="宋体" w:hAnsi="宋体" w:eastAsia="宋体" w:cs="宋体"/>
                <w:sz w:val="20"/>
                <w:szCs w:val="20"/>
              </w:rPr>
            </w:pPr>
            <w:r>
              <w:rPr>
                <w:rFonts w:ascii="宋体" w:hAnsi="宋体" w:eastAsia="宋体" w:cs="宋体"/>
                <w:spacing w:val="7"/>
                <w:sz w:val="20"/>
                <w:szCs w:val="20"/>
              </w:rPr>
              <w:t>绿化用</w:t>
            </w:r>
            <w:r>
              <w:rPr>
                <w:rFonts w:ascii="宋体" w:hAnsi="宋体" w:eastAsia="宋体" w:cs="宋体"/>
                <w:spacing w:val="6"/>
                <w:sz w:val="20"/>
                <w:szCs w:val="20"/>
              </w:rPr>
              <w:t>水</w:t>
            </w:r>
          </w:p>
        </w:tc>
        <w:tc>
          <w:tcPr>
            <w:tcW w:w="911" w:type="dxa"/>
          </w:tcPr>
          <w:p w14:paraId="58FC3894"/>
        </w:tc>
        <w:tc>
          <w:tcPr>
            <w:tcW w:w="1310" w:type="dxa"/>
          </w:tcPr>
          <w:p w14:paraId="5F136E97"/>
        </w:tc>
        <w:tc>
          <w:tcPr>
            <w:tcW w:w="1406" w:type="dxa"/>
          </w:tcPr>
          <w:p w14:paraId="0786751E"/>
        </w:tc>
        <w:tc>
          <w:tcPr>
            <w:tcW w:w="910" w:type="dxa"/>
          </w:tcPr>
          <w:p w14:paraId="4C47C6B5"/>
        </w:tc>
        <w:tc>
          <w:tcPr>
            <w:tcW w:w="1653" w:type="dxa"/>
          </w:tcPr>
          <w:p w14:paraId="789EDA2D">
            <w:pPr>
              <w:spacing w:before="238" w:line="195" w:lineRule="auto"/>
              <w:ind w:left="780"/>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42" w:type="dxa"/>
            <w:tcBorders>
              <w:right w:val="nil"/>
            </w:tcBorders>
          </w:tcPr>
          <w:p w14:paraId="0124FB0B">
            <w:pPr>
              <w:spacing w:before="201" w:line="228" w:lineRule="auto"/>
              <w:ind w:left="418"/>
              <w:rPr>
                <w:rFonts w:ascii="宋体" w:hAnsi="宋体" w:eastAsia="宋体" w:cs="宋体"/>
                <w:sz w:val="20"/>
                <w:szCs w:val="20"/>
              </w:rPr>
            </w:pPr>
            <w:r>
              <w:rPr>
                <w:rFonts w:ascii="宋体" w:hAnsi="宋体" w:eastAsia="宋体" w:cs="宋体"/>
                <w:spacing w:val="5"/>
                <w:sz w:val="20"/>
                <w:szCs w:val="20"/>
              </w:rPr>
              <w:t>损</w:t>
            </w:r>
            <w:r>
              <w:rPr>
                <w:rFonts w:ascii="宋体" w:hAnsi="宋体" w:eastAsia="宋体" w:cs="宋体"/>
                <w:spacing w:val="4"/>
                <w:sz w:val="20"/>
                <w:szCs w:val="20"/>
              </w:rPr>
              <w:t>耗</w:t>
            </w:r>
          </w:p>
        </w:tc>
      </w:tr>
      <w:tr w14:paraId="47E2E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539" w:type="dxa"/>
            <w:tcBorders>
              <w:left w:val="nil"/>
            </w:tcBorders>
          </w:tcPr>
          <w:p w14:paraId="0A254D26">
            <w:pPr>
              <w:spacing w:before="148" w:line="192" w:lineRule="auto"/>
              <w:ind w:left="224"/>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525" w:type="dxa"/>
            <w:gridSpan w:val="2"/>
          </w:tcPr>
          <w:p w14:paraId="540D6821">
            <w:pPr>
              <w:spacing w:before="109" w:line="228" w:lineRule="auto"/>
              <w:ind w:left="245"/>
              <w:rPr>
                <w:rFonts w:ascii="宋体" w:hAnsi="宋体" w:eastAsia="宋体" w:cs="宋体"/>
                <w:sz w:val="20"/>
                <w:szCs w:val="20"/>
              </w:rPr>
            </w:pPr>
            <w:r>
              <w:rPr>
                <w:rFonts w:ascii="宋体" w:hAnsi="宋体" w:eastAsia="宋体" w:cs="宋体"/>
                <w:spacing w:val="9"/>
                <w:sz w:val="20"/>
                <w:szCs w:val="20"/>
              </w:rPr>
              <w:t>未</w:t>
            </w:r>
            <w:r>
              <w:rPr>
                <w:rFonts w:ascii="宋体" w:hAnsi="宋体" w:eastAsia="宋体" w:cs="宋体"/>
                <w:spacing w:val="7"/>
                <w:sz w:val="20"/>
                <w:szCs w:val="20"/>
              </w:rPr>
              <w:t>预见用水</w:t>
            </w:r>
          </w:p>
        </w:tc>
        <w:tc>
          <w:tcPr>
            <w:tcW w:w="2221" w:type="dxa"/>
            <w:gridSpan w:val="2"/>
          </w:tcPr>
          <w:p w14:paraId="2160A9D5"/>
        </w:tc>
        <w:tc>
          <w:tcPr>
            <w:tcW w:w="1406" w:type="dxa"/>
          </w:tcPr>
          <w:p w14:paraId="146003B5"/>
        </w:tc>
        <w:tc>
          <w:tcPr>
            <w:tcW w:w="910" w:type="dxa"/>
          </w:tcPr>
          <w:p w14:paraId="427AFA7D"/>
        </w:tc>
        <w:tc>
          <w:tcPr>
            <w:tcW w:w="1653" w:type="dxa"/>
          </w:tcPr>
          <w:p w14:paraId="02E86F0C">
            <w:pPr>
              <w:spacing w:before="145" w:line="195" w:lineRule="auto"/>
              <w:ind w:left="780"/>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242" w:type="dxa"/>
            <w:tcBorders>
              <w:right w:val="nil"/>
            </w:tcBorders>
          </w:tcPr>
          <w:p w14:paraId="29F8C679"/>
        </w:tc>
      </w:tr>
      <w:tr w14:paraId="36F14A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539" w:type="dxa"/>
            <w:tcBorders>
              <w:left w:val="nil"/>
            </w:tcBorders>
          </w:tcPr>
          <w:p w14:paraId="6621EBF0"/>
        </w:tc>
        <w:tc>
          <w:tcPr>
            <w:tcW w:w="3746" w:type="dxa"/>
            <w:gridSpan w:val="4"/>
          </w:tcPr>
          <w:p w14:paraId="3E65509F">
            <w:pPr>
              <w:spacing w:before="109" w:line="229" w:lineRule="auto"/>
              <w:ind w:left="1568"/>
              <w:rPr>
                <w:rFonts w:ascii="宋体" w:hAnsi="宋体" w:eastAsia="宋体" w:cs="宋体"/>
                <w:sz w:val="20"/>
                <w:szCs w:val="20"/>
              </w:rPr>
            </w:pPr>
            <w:r>
              <w:rPr>
                <w:rFonts w:ascii="宋体" w:hAnsi="宋体" w:eastAsia="宋体" w:cs="宋体"/>
                <w:spacing w:val="4"/>
                <w:sz w:val="20"/>
                <w:szCs w:val="20"/>
              </w:rPr>
              <w:t xml:space="preserve">总  </w:t>
            </w:r>
            <w:r>
              <w:rPr>
                <w:rFonts w:ascii="宋体" w:hAnsi="宋体" w:eastAsia="宋体" w:cs="宋体"/>
                <w:spacing w:val="3"/>
                <w:sz w:val="20"/>
                <w:szCs w:val="20"/>
              </w:rPr>
              <w:t>计</w:t>
            </w:r>
          </w:p>
        </w:tc>
        <w:tc>
          <w:tcPr>
            <w:tcW w:w="1406" w:type="dxa"/>
          </w:tcPr>
          <w:p w14:paraId="4FD2B5F5"/>
        </w:tc>
        <w:tc>
          <w:tcPr>
            <w:tcW w:w="910" w:type="dxa"/>
          </w:tcPr>
          <w:p w14:paraId="619B5BCF"/>
        </w:tc>
        <w:tc>
          <w:tcPr>
            <w:tcW w:w="2895" w:type="dxa"/>
            <w:gridSpan w:val="2"/>
            <w:tcBorders>
              <w:right w:val="nil"/>
            </w:tcBorders>
          </w:tcPr>
          <w:p w14:paraId="201DEBF1">
            <w:pPr>
              <w:spacing w:before="145" w:line="195" w:lineRule="auto"/>
              <w:ind w:left="1404"/>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r>
    </w:tbl>
    <w:p w14:paraId="61D43FC9">
      <w:pPr>
        <w:spacing w:before="37" w:line="227" w:lineRule="auto"/>
        <w:ind w:left="50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3</w:t>
      </w:r>
      <w:r>
        <w:rPr>
          <w:rFonts w:ascii="宋体" w:hAnsi="宋体" w:eastAsia="宋体" w:cs="宋体"/>
          <w:spacing w:val="20"/>
          <w:sz w:val="23"/>
          <w:szCs w:val="23"/>
        </w:rPr>
        <w:t>) 水平衡</w:t>
      </w:r>
      <w:r>
        <w:rPr>
          <w:rFonts w:ascii="宋体" w:hAnsi="宋体" w:eastAsia="宋体" w:cs="宋体"/>
          <w:spacing w:val="19"/>
          <w:sz w:val="23"/>
          <w:szCs w:val="23"/>
        </w:rPr>
        <w:t>图</w:t>
      </w:r>
    </w:p>
    <w:p w14:paraId="269FEC1F">
      <w:pPr>
        <w:spacing w:before="182" w:line="227" w:lineRule="auto"/>
        <w:ind w:left="491"/>
        <w:rPr>
          <w:rFonts w:ascii="宋体" w:hAnsi="宋体" w:eastAsia="宋体" w:cs="宋体"/>
          <w:sz w:val="23"/>
          <w:szCs w:val="23"/>
        </w:rPr>
      </w:pPr>
      <w:r>
        <w:rPr>
          <w:rFonts w:ascii="宋体" w:hAnsi="宋体" w:eastAsia="宋体" w:cs="宋体"/>
          <w:spacing w:val="3"/>
          <w:sz w:val="23"/>
          <w:szCs w:val="23"/>
        </w:rPr>
        <w:t xml:space="preserve">本项目水平衡见图 </w:t>
      </w:r>
      <w:r>
        <w:rPr>
          <w:rFonts w:ascii="Times New Roman" w:hAnsi="Times New Roman" w:eastAsia="Times New Roman" w:cs="Times New Roman"/>
          <w:spacing w:val="3"/>
          <w:sz w:val="23"/>
          <w:szCs w:val="23"/>
        </w:rPr>
        <w:t>3.3-7~3.3-8</w:t>
      </w:r>
      <w:r>
        <w:rPr>
          <w:rFonts w:ascii="宋体" w:hAnsi="宋体" w:eastAsia="宋体" w:cs="宋体"/>
          <w:sz w:val="23"/>
          <w:szCs w:val="23"/>
        </w:rPr>
        <w:t>。</w:t>
      </w:r>
    </w:p>
    <w:p w14:paraId="60321C87">
      <w:pPr>
        <w:spacing w:line="458" w:lineRule="auto"/>
      </w:pPr>
    </w:p>
    <w:p w14:paraId="7D7D5AE1">
      <w:pPr>
        <w:spacing w:before="75" w:line="323" w:lineRule="exact"/>
        <w:ind w:left="1224"/>
        <w:rPr>
          <w:rFonts w:ascii="Times New Roman" w:hAnsi="Times New Roman" w:eastAsia="Times New Roman" w:cs="Times New Roman"/>
          <w:sz w:val="23"/>
          <w:szCs w:val="23"/>
        </w:rPr>
      </w:pPr>
      <w:r>
        <w:rPr>
          <w:rFonts w:ascii="黑体" w:hAnsi="黑体" w:eastAsia="黑体" w:cs="黑体"/>
          <w:spacing w:val="4"/>
          <w:position w:val="1"/>
          <w:sz w:val="23"/>
          <w:szCs w:val="23"/>
        </w:rPr>
        <w:t xml:space="preserve">图 </w:t>
      </w:r>
      <w:r>
        <w:rPr>
          <w:rFonts w:ascii="Times New Roman" w:hAnsi="Times New Roman" w:eastAsia="Times New Roman" w:cs="Times New Roman"/>
          <w:spacing w:val="4"/>
          <w:position w:val="1"/>
          <w:sz w:val="23"/>
          <w:szCs w:val="23"/>
        </w:rPr>
        <w:t xml:space="preserve">3.3-7    </w:t>
      </w:r>
      <w:r>
        <w:rPr>
          <w:rFonts w:ascii="黑体" w:hAnsi="黑体" w:eastAsia="黑体" w:cs="黑体"/>
          <w:spacing w:val="4"/>
          <w:position w:val="1"/>
          <w:sz w:val="23"/>
          <w:szCs w:val="23"/>
        </w:rPr>
        <w:t xml:space="preserve">项目水平衡图 (生产废水外委处理情况下)        单位 </w:t>
      </w:r>
      <w:r>
        <w:rPr>
          <w:rFonts w:ascii="Times New Roman" w:hAnsi="Times New Roman" w:eastAsia="Times New Roman" w:cs="Times New Roman"/>
          <w:position w:val="1"/>
          <w:sz w:val="23"/>
          <w:szCs w:val="23"/>
        </w:rPr>
        <w:t>m</w:t>
      </w:r>
      <w:r>
        <w:rPr>
          <w:rFonts w:ascii="Times New Roman" w:hAnsi="Times New Roman" w:eastAsia="Times New Roman" w:cs="Times New Roman"/>
          <w:spacing w:val="2"/>
          <w:position w:val="9"/>
          <w:sz w:val="15"/>
          <w:szCs w:val="15"/>
        </w:rPr>
        <w:t>3</w:t>
      </w:r>
      <w:r>
        <w:rPr>
          <w:rFonts w:ascii="Times New Roman" w:hAnsi="Times New Roman" w:eastAsia="Times New Roman" w:cs="Times New Roman"/>
          <w:position w:val="1"/>
          <w:sz w:val="23"/>
          <w:szCs w:val="23"/>
        </w:rPr>
        <w:t>/d</w:t>
      </w:r>
    </w:p>
    <w:p w14:paraId="4D1462E6">
      <w:pPr>
        <w:spacing w:line="281" w:lineRule="auto"/>
      </w:pPr>
    </w:p>
    <w:p w14:paraId="2222E075">
      <w:pPr>
        <w:spacing w:line="281" w:lineRule="auto"/>
      </w:pPr>
    </w:p>
    <w:p w14:paraId="2F09A63F">
      <w:pPr>
        <w:spacing w:line="281" w:lineRule="auto"/>
      </w:pPr>
    </w:p>
    <w:p w14:paraId="203B8C24">
      <w:pPr>
        <w:spacing w:line="281" w:lineRule="auto"/>
      </w:pPr>
    </w:p>
    <w:p w14:paraId="277BFEF9">
      <w:pPr>
        <w:spacing w:line="281" w:lineRule="auto"/>
      </w:pPr>
    </w:p>
    <w:p w14:paraId="5AF14B48">
      <w:pPr>
        <w:spacing w:before="75" w:line="323" w:lineRule="exact"/>
        <w:ind w:left="984"/>
        <w:rPr>
          <w:rFonts w:ascii="Times New Roman" w:hAnsi="Times New Roman" w:eastAsia="Times New Roman" w:cs="Times New Roman"/>
          <w:sz w:val="23"/>
          <w:szCs w:val="23"/>
        </w:rPr>
      </w:pPr>
      <w:r>
        <w:rPr>
          <w:rFonts w:ascii="黑体" w:hAnsi="黑体" w:eastAsia="黑体" w:cs="黑体"/>
          <w:spacing w:val="4"/>
          <w:position w:val="1"/>
          <w:sz w:val="23"/>
          <w:szCs w:val="23"/>
        </w:rPr>
        <w:t xml:space="preserve">图 </w:t>
      </w:r>
      <w:r>
        <w:rPr>
          <w:rFonts w:ascii="Times New Roman" w:hAnsi="Times New Roman" w:eastAsia="Times New Roman" w:cs="Times New Roman"/>
          <w:spacing w:val="4"/>
          <w:position w:val="1"/>
          <w:sz w:val="23"/>
          <w:szCs w:val="23"/>
        </w:rPr>
        <w:t xml:space="preserve">3.3-8    </w:t>
      </w:r>
      <w:r>
        <w:rPr>
          <w:rFonts w:ascii="黑体" w:hAnsi="黑体" w:eastAsia="黑体" w:cs="黑体"/>
          <w:spacing w:val="4"/>
          <w:position w:val="1"/>
          <w:sz w:val="23"/>
          <w:szCs w:val="23"/>
        </w:rPr>
        <w:t xml:space="preserve">项目水平衡图 (生产废水经异位发酵床处置)        单位 </w:t>
      </w:r>
      <w:r>
        <w:rPr>
          <w:rFonts w:ascii="Times New Roman" w:hAnsi="Times New Roman" w:eastAsia="Times New Roman" w:cs="Times New Roman"/>
          <w:position w:val="1"/>
          <w:sz w:val="23"/>
          <w:szCs w:val="23"/>
        </w:rPr>
        <w:t>m</w:t>
      </w:r>
      <w:r>
        <w:rPr>
          <w:rFonts w:ascii="Times New Roman" w:hAnsi="Times New Roman" w:eastAsia="Times New Roman" w:cs="Times New Roman"/>
          <w:spacing w:val="4"/>
          <w:position w:val="9"/>
          <w:sz w:val="15"/>
          <w:szCs w:val="15"/>
        </w:rPr>
        <w:t>3</w:t>
      </w:r>
      <w:r>
        <w:rPr>
          <w:rFonts w:ascii="Times New Roman" w:hAnsi="Times New Roman" w:eastAsia="Times New Roman" w:cs="Times New Roman"/>
          <w:spacing w:val="4"/>
          <w:position w:val="1"/>
          <w:sz w:val="23"/>
          <w:szCs w:val="23"/>
        </w:rPr>
        <w:t>/</w:t>
      </w:r>
      <w:r>
        <w:rPr>
          <w:rFonts w:ascii="Times New Roman" w:hAnsi="Times New Roman" w:eastAsia="Times New Roman" w:cs="Times New Roman"/>
          <w:position w:val="1"/>
          <w:sz w:val="23"/>
          <w:szCs w:val="23"/>
        </w:rPr>
        <w:t>d</w:t>
      </w:r>
    </w:p>
    <w:p w14:paraId="75E1E52A">
      <w:pPr>
        <w:spacing w:before="33" w:line="227" w:lineRule="auto"/>
        <w:ind w:left="4"/>
        <w:outlineLvl w:val="2"/>
        <w:rPr>
          <w:rFonts w:ascii="宋体" w:hAnsi="宋体" w:eastAsia="宋体" w:cs="宋体"/>
          <w:sz w:val="23"/>
          <w:szCs w:val="23"/>
        </w:rPr>
      </w:pPr>
      <w:r>
        <w:rPr>
          <w:rFonts w:ascii="Times New Roman" w:hAnsi="Times New Roman" w:eastAsia="Times New Roman" w:cs="Times New Roman"/>
          <w:b/>
          <w:bCs/>
          <w:spacing w:val="13"/>
          <w:sz w:val="23"/>
          <w:szCs w:val="23"/>
        </w:rPr>
        <w:t>3</w:t>
      </w:r>
      <w:r>
        <w:rPr>
          <w:rFonts w:ascii="Times New Roman" w:hAnsi="Times New Roman" w:eastAsia="Times New Roman" w:cs="Times New Roman"/>
          <w:b/>
          <w:bCs/>
          <w:spacing w:val="8"/>
          <w:sz w:val="23"/>
          <w:szCs w:val="23"/>
        </w:rPr>
        <w:t>.3.6</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运营期主要污染来源及污染因子</w:t>
      </w:r>
    </w:p>
    <w:p w14:paraId="76217E8E">
      <w:pPr>
        <w:spacing w:before="185" w:line="228" w:lineRule="auto"/>
        <w:ind w:left="462"/>
        <w:rPr>
          <w:rFonts w:ascii="宋体" w:hAnsi="宋体" w:eastAsia="宋体" w:cs="宋体"/>
          <w:sz w:val="23"/>
          <w:szCs w:val="23"/>
        </w:rPr>
      </w:pPr>
      <w:r>
        <w:rPr>
          <w:rFonts w:ascii="宋体" w:hAnsi="宋体" w:eastAsia="宋体" w:cs="宋体"/>
          <w:spacing w:val="16"/>
          <w:sz w:val="23"/>
          <w:szCs w:val="23"/>
        </w:rPr>
        <w:t>项</w:t>
      </w:r>
      <w:r>
        <w:rPr>
          <w:rFonts w:ascii="宋体" w:hAnsi="宋体" w:eastAsia="宋体" w:cs="宋体"/>
          <w:spacing w:val="8"/>
          <w:sz w:val="23"/>
          <w:szCs w:val="23"/>
        </w:rPr>
        <w:t>目运营期主要污染工序如下表示：</w:t>
      </w:r>
    </w:p>
    <w:p w14:paraId="7E0108FD">
      <w:pPr>
        <w:spacing w:before="181" w:line="229" w:lineRule="auto"/>
        <w:ind w:left="2082"/>
        <w:rPr>
          <w:rFonts w:ascii="黑体" w:hAnsi="黑体" w:eastAsia="黑体" w:cs="黑体"/>
          <w:sz w:val="23"/>
          <w:szCs w:val="23"/>
        </w:rPr>
      </w:pPr>
      <w:r>
        <w:rPr>
          <w:rFonts w:ascii="黑体" w:hAnsi="黑体" w:eastAsia="黑体" w:cs="黑体"/>
          <w:spacing w:val="10"/>
          <w:sz w:val="23"/>
          <w:szCs w:val="23"/>
        </w:rPr>
        <w:t>表</w:t>
      </w:r>
      <w:r>
        <w:rPr>
          <w:rFonts w:ascii="黑体" w:hAnsi="黑体" w:eastAsia="黑体" w:cs="黑体"/>
          <w:spacing w:val="6"/>
          <w:sz w:val="23"/>
          <w:szCs w:val="23"/>
        </w:rPr>
        <w:t xml:space="preserve"> </w:t>
      </w:r>
      <w:r>
        <w:rPr>
          <w:rFonts w:ascii="Times New Roman" w:hAnsi="Times New Roman" w:eastAsia="Times New Roman" w:cs="Times New Roman"/>
          <w:spacing w:val="5"/>
          <w:sz w:val="23"/>
          <w:szCs w:val="23"/>
        </w:rPr>
        <w:t xml:space="preserve">3.3-9    </w:t>
      </w:r>
      <w:r>
        <w:rPr>
          <w:rFonts w:ascii="黑体" w:hAnsi="黑体" w:eastAsia="黑体" w:cs="黑体"/>
          <w:spacing w:val="5"/>
          <w:sz w:val="23"/>
          <w:szCs w:val="23"/>
        </w:rPr>
        <w:t>建设项目运营期污染源和污染因子识别表</w:t>
      </w:r>
    </w:p>
    <w:p w14:paraId="08C2D869">
      <w:pPr>
        <w:sectPr>
          <w:headerReference r:id="rId116" w:type="default"/>
          <w:footerReference r:id="rId117" w:type="default"/>
          <w:pgSz w:w="11907" w:h="16840"/>
          <w:pgMar w:top="400" w:right="1134" w:bottom="1139" w:left="1275" w:header="0" w:footer="953" w:gutter="0"/>
          <w:cols w:space="720" w:num="1"/>
        </w:sectPr>
      </w:pPr>
    </w:p>
    <w:p w14:paraId="35F4E96B">
      <w:pPr>
        <w:spacing w:before="194" w:line="229" w:lineRule="auto"/>
        <w:ind w:left="115"/>
        <w:rPr>
          <w:rFonts w:ascii="宋体" w:hAnsi="宋体" w:eastAsia="宋体" w:cs="宋体"/>
          <w:sz w:val="17"/>
          <w:szCs w:val="17"/>
        </w:rPr>
      </w:pPr>
      <w:r>
        <w:pict>
          <v:shape id="_x0000_s2084" o:spid="_x0000_s2084" style="position:absolute;left:0pt;margin-left:63.8pt;margin-top:41pt;height:0.5pt;width:474.85pt;mso-position-horizontal-relative:page;mso-position-vertical-relative:page;z-index:251712512;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0FAB8D55">
      <w:pPr>
        <w:spacing w:line="134" w:lineRule="exact"/>
      </w:pPr>
    </w:p>
    <w:tbl>
      <w:tblPr>
        <w:tblStyle w:val="4"/>
        <w:tblW w:w="971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00"/>
        <w:gridCol w:w="1849"/>
        <w:gridCol w:w="2002"/>
        <w:gridCol w:w="4362"/>
      </w:tblGrid>
      <w:tr w14:paraId="007BDA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1500" w:type="dxa"/>
            <w:tcBorders>
              <w:left w:val="nil"/>
            </w:tcBorders>
          </w:tcPr>
          <w:p w14:paraId="4359B917">
            <w:pPr>
              <w:spacing w:before="78" w:line="228" w:lineRule="auto"/>
              <w:ind w:left="233"/>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污</w:t>
            </w:r>
            <w:r>
              <w:rPr>
                <w:rFonts w:ascii="宋体" w:hAnsi="宋体" w:eastAsia="宋体" w:cs="宋体"/>
                <w:spacing w:val="8"/>
                <w:sz w:val="20"/>
                <w:szCs w:val="20"/>
                <w14:textOutline w14:w="3797" w14:cap="sq" w14:cmpd="sng" w14:algn="ctr">
                  <w14:solidFill>
                    <w14:srgbClr w14:val="000000"/>
                  </w14:solidFill>
                  <w14:prstDash w14:val="solid"/>
                  <w14:bevel/>
                </w14:textOutline>
              </w:rPr>
              <w:t>染源分类</w:t>
            </w:r>
          </w:p>
        </w:tc>
        <w:tc>
          <w:tcPr>
            <w:tcW w:w="1849" w:type="dxa"/>
          </w:tcPr>
          <w:p w14:paraId="641E7E92">
            <w:pPr>
              <w:spacing w:before="78" w:line="228" w:lineRule="auto"/>
              <w:ind w:left="512"/>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污染来源</w:t>
            </w:r>
          </w:p>
        </w:tc>
        <w:tc>
          <w:tcPr>
            <w:tcW w:w="2002" w:type="dxa"/>
          </w:tcPr>
          <w:p w14:paraId="00EA915E">
            <w:pPr>
              <w:spacing w:before="78" w:line="228" w:lineRule="auto"/>
              <w:ind w:left="586"/>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产</w:t>
            </w:r>
            <w:r>
              <w:rPr>
                <w:rFonts w:ascii="宋体" w:hAnsi="宋体" w:eastAsia="宋体" w:cs="宋体"/>
                <w:spacing w:val="8"/>
                <w:sz w:val="20"/>
                <w:szCs w:val="20"/>
                <w14:textOutline w14:w="3797" w14:cap="sq" w14:cmpd="sng" w14:algn="ctr">
                  <w14:solidFill>
                    <w14:srgbClr w14:val="000000"/>
                  </w14:solidFill>
                  <w14:prstDash w14:val="solid"/>
                  <w14:bevel/>
                </w14:textOutline>
              </w:rPr>
              <w:t>污类别</w:t>
            </w:r>
          </w:p>
        </w:tc>
        <w:tc>
          <w:tcPr>
            <w:tcW w:w="4362" w:type="dxa"/>
            <w:tcBorders>
              <w:right w:val="nil"/>
            </w:tcBorders>
          </w:tcPr>
          <w:p w14:paraId="41D76CF5">
            <w:pPr>
              <w:spacing w:before="79" w:line="228" w:lineRule="auto"/>
              <w:ind w:left="1557"/>
              <w:rPr>
                <w:rFonts w:ascii="宋体" w:hAnsi="宋体" w:eastAsia="宋体" w:cs="宋体"/>
                <w:sz w:val="20"/>
                <w:szCs w:val="20"/>
              </w:rPr>
            </w:pPr>
            <w:r>
              <w:rPr>
                <w:rFonts w:ascii="宋体" w:hAnsi="宋体" w:eastAsia="宋体" w:cs="宋体"/>
                <w:spacing w:val="12"/>
                <w:sz w:val="20"/>
                <w:szCs w:val="20"/>
                <w14:textOutline w14:w="3797" w14:cap="sq" w14:cmpd="sng" w14:algn="ctr">
                  <w14:solidFill>
                    <w14:srgbClr w14:val="000000"/>
                  </w14:solidFill>
                  <w14:prstDash w14:val="solid"/>
                  <w14:bevel/>
                </w14:textOutline>
              </w:rPr>
              <w:t>主</w:t>
            </w:r>
            <w:r>
              <w:rPr>
                <w:rFonts w:ascii="宋体" w:hAnsi="宋体" w:eastAsia="宋体" w:cs="宋体"/>
                <w:spacing w:val="8"/>
                <w:sz w:val="20"/>
                <w:szCs w:val="20"/>
                <w14:textOutline w14:w="3797" w14:cap="sq" w14:cmpd="sng" w14:algn="ctr">
                  <w14:solidFill>
                    <w14:srgbClr w14:val="000000"/>
                  </w14:solidFill>
                  <w14:prstDash w14:val="solid"/>
                  <w14:bevel/>
                </w14:textOutline>
              </w:rPr>
              <w:t>要污染因子</w:t>
            </w:r>
          </w:p>
        </w:tc>
      </w:tr>
      <w:tr w14:paraId="4B285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1500" w:type="dxa"/>
            <w:vMerge w:val="restart"/>
            <w:tcBorders>
              <w:left w:val="nil"/>
              <w:bottom w:val="nil"/>
            </w:tcBorders>
          </w:tcPr>
          <w:p w14:paraId="2A798012">
            <w:pPr>
              <w:spacing w:line="284" w:lineRule="auto"/>
            </w:pPr>
          </w:p>
          <w:p w14:paraId="1232EEC9">
            <w:pPr>
              <w:spacing w:line="285" w:lineRule="auto"/>
            </w:pPr>
          </w:p>
          <w:p w14:paraId="46FF557F">
            <w:pPr>
              <w:spacing w:before="65" w:line="228" w:lineRule="auto"/>
              <w:ind w:left="548"/>
              <w:rPr>
                <w:rFonts w:ascii="宋体" w:hAnsi="宋体" w:eastAsia="宋体" w:cs="宋体"/>
                <w:sz w:val="20"/>
                <w:szCs w:val="20"/>
              </w:rPr>
            </w:pPr>
            <w:r>
              <w:rPr>
                <w:rFonts w:ascii="宋体" w:hAnsi="宋体" w:eastAsia="宋体" w:cs="宋体"/>
                <w:spacing w:val="5"/>
                <w:sz w:val="20"/>
                <w:szCs w:val="20"/>
              </w:rPr>
              <w:t>废气</w:t>
            </w:r>
          </w:p>
        </w:tc>
        <w:tc>
          <w:tcPr>
            <w:tcW w:w="1849" w:type="dxa"/>
          </w:tcPr>
          <w:p w14:paraId="4C7FBB5F">
            <w:pPr>
              <w:spacing w:before="40" w:line="228" w:lineRule="auto"/>
              <w:ind w:left="719"/>
              <w:rPr>
                <w:rFonts w:ascii="宋体" w:hAnsi="宋体" w:eastAsia="宋体" w:cs="宋体"/>
                <w:sz w:val="20"/>
                <w:szCs w:val="20"/>
              </w:rPr>
            </w:pPr>
            <w:r>
              <w:rPr>
                <w:rFonts w:ascii="宋体" w:hAnsi="宋体" w:eastAsia="宋体" w:cs="宋体"/>
                <w:spacing w:val="5"/>
                <w:sz w:val="20"/>
                <w:szCs w:val="20"/>
              </w:rPr>
              <w:t>食</w:t>
            </w:r>
            <w:r>
              <w:rPr>
                <w:rFonts w:ascii="宋体" w:hAnsi="宋体" w:eastAsia="宋体" w:cs="宋体"/>
                <w:spacing w:val="4"/>
                <w:sz w:val="20"/>
                <w:szCs w:val="20"/>
              </w:rPr>
              <w:t>堂</w:t>
            </w:r>
          </w:p>
        </w:tc>
        <w:tc>
          <w:tcPr>
            <w:tcW w:w="2002" w:type="dxa"/>
          </w:tcPr>
          <w:p w14:paraId="5B43FF94">
            <w:pPr>
              <w:spacing w:before="39" w:line="228" w:lineRule="auto"/>
              <w:ind w:left="587"/>
              <w:rPr>
                <w:rFonts w:ascii="宋体" w:hAnsi="宋体" w:eastAsia="宋体" w:cs="宋体"/>
                <w:sz w:val="20"/>
                <w:szCs w:val="20"/>
              </w:rPr>
            </w:pPr>
            <w:r>
              <w:rPr>
                <w:rFonts w:ascii="宋体" w:hAnsi="宋体" w:eastAsia="宋体" w:cs="宋体"/>
                <w:spacing w:val="7"/>
                <w:sz w:val="20"/>
                <w:szCs w:val="20"/>
              </w:rPr>
              <w:t>餐饮油</w:t>
            </w:r>
            <w:r>
              <w:rPr>
                <w:rFonts w:ascii="宋体" w:hAnsi="宋体" w:eastAsia="宋体" w:cs="宋体"/>
                <w:spacing w:val="6"/>
                <w:sz w:val="20"/>
                <w:szCs w:val="20"/>
              </w:rPr>
              <w:t>烟</w:t>
            </w:r>
          </w:p>
        </w:tc>
        <w:tc>
          <w:tcPr>
            <w:tcW w:w="4362" w:type="dxa"/>
            <w:tcBorders>
              <w:right w:val="nil"/>
            </w:tcBorders>
          </w:tcPr>
          <w:p w14:paraId="5AB0C953">
            <w:pPr>
              <w:spacing w:before="39" w:line="229" w:lineRule="auto"/>
              <w:ind w:left="1978"/>
              <w:rPr>
                <w:rFonts w:ascii="宋体" w:hAnsi="宋体" w:eastAsia="宋体" w:cs="宋体"/>
                <w:sz w:val="20"/>
                <w:szCs w:val="20"/>
              </w:rPr>
            </w:pPr>
            <w:r>
              <w:rPr>
                <w:rFonts w:ascii="宋体" w:hAnsi="宋体" w:eastAsia="宋体" w:cs="宋体"/>
                <w:spacing w:val="3"/>
                <w:sz w:val="20"/>
                <w:szCs w:val="20"/>
              </w:rPr>
              <w:t>油烟</w:t>
            </w:r>
          </w:p>
        </w:tc>
      </w:tr>
      <w:tr w14:paraId="57746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1500" w:type="dxa"/>
            <w:vMerge w:val="continue"/>
            <w:tcBorders>
              <w:top w:val="nil"/>
              <w:left w:val="nil"/>
              <w:bottom w:val="nil"/>
            </w:tcBorders>
          </w:tcPr>
          <w:p w14:paraId="65E986BE"/>
        </w:tc>
        <w:tc>
          <w:tcPr>
            <w:tcW w:w="1849" w:type="dxa"/>
          </w:tcPr>
          <w:p w14:paraId="4AE31BC3">
            <w:pPr>
              <w:spacing w:before="40" w:line="229" w:lineRule="auto"/>
              <w:ind w:left="735"/>
              <w:rPr>
                <w:rFonts w:ascii="宋体" w:hAnsi="宋体" w:eastAsia="宋体" w:cs="宋体"/>
                <w:sz w:val="20"/>
                <w:szCs w:val="20"/>
              </w:rPr>
            </w:pPr>
            <w:r>
              <w:rPr>
                <w:rFonts w:ascii="宋体" w:hAnsi="宋体" w:eastAsia="宋体" w:cs="宋体"/>
                <w:spacing w:val="-4"/>
                <w:sz w:val="20"/>
                <w:szCs w:val="20"/>
              </w:rPr>
              <w:t>圈</w:t>
            </w:r>
            <w:r>
              <w:rPr>
                <w:rFonts w:ascii="宋体" w:hAnsi="宋体" w:eastAsia="宋体" w:cs="宋体"/>
                <w:spacing w:val="-3"/>
                <w:sz w:val="20"/>
                <w:szCs w:val="20"/>
              </w:rPr>
              <w:t>舍</w:t>
            </w:r>
          </w:p>
        </w:tc>
        <w:tc>
          <w:tcPr>
            <w:tcW w:w="2002" w:type="dxa"/>
          </w:tcPr>
          <w:p w14:paraId="05ACE188">
            <w:pPr>
              <w:spacing w:before="40" w:line="228" w:lineRule="auto"/>
              <w:ind w:left="798"/>
              <w:rPr>
                <w:rFonts w:ascii="宋体" w:hAnsi="宋体" w:eastAsia="宋体" w:cs="宋体"/>
                <w:sz w:val="20"/>
                <w:szCs w:val="20"/>
              </w:rPr>
            </w:pPr>
            <w:r>
              <w:rPr>
                <w:rFonts w:ascii="宋体" w:hAnsi="宋体" w:eastAsia="宋体" w:cs="宋体"/>
                <w:spacing w:val="4"/>
                <w:sz w:val="20"/>
                <w:szCs w:val="20"/>
              </w:rPr>
              <w:t>恶臭</w:t>
            </w:r>
          </w:p>
        </w:tc>
        <w:tc>
          <w:tcPr>
            <w:tcW w:w="4362" w:type="dxa"/>
            <w:tcBorders>
              <w:right w:val="nil"/>
            </w:tcBorders>
          </w:tcPr>
          <w:p w14:paraId="5454E224">
            <w:pPr>
              <w:spacing w:before="77" w:line="192" w:lineRule="auto"/>
              <w:ind w:left="1723"/>
              <w:rPr>
                <w:rFonts w:ascii="Times New Roman" w:hAnsi="Times New Roman" w:eastAsia="Times New Roman" w:cs="Times New Roman"/>
                <w:sz w:val="13"/>
                <w:szCs w:val="13"/>
              </w:rPr>
            </w:pPr>
            <w:r>
              <w:rPr>
                <w:rFonts w:ascii="Times New Roman" w:hAnsi="Times New Roman" w:eastAsia="Times New Roman" w:cs="Times New Roman"/>
                <w:spacing w:val="-1"/>
                <w:sz w:val="20"/>
                <w:szCs w:val="20"/>
              </w:rPr>
              <w:t>H</w:t>
            </w:r>
            <w:r>
              <w:rPr>
                <w:rFonts w:ascii="Times New Roman" w:hAnsi="Times New Roman" w:eastAsia="Times New Roman" w:cs="Times New Roman"/>
                <w:spacing w:val="-2"/>
                <w:position w:val="-1"/>
                <w:sz w:val="13"/>
                <w:szCs w:val="13"/>
              </w:rPr>
              <w:t>2</w:t>
            </w:r>
            <w:r>
              <w:rPr>
                <w:rFonts w:ascii="Times New Roman" w:hAnsi="Times New Roman" w:eastAsia="Times New Roman" w:cs="Times New Roman"/>
                <w:spacing w:val="-1"/>
                <w:sz w:val="20"/>
                <w:szCs w:val="20"/>
              </w:rPr>
              <w:t>S</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w:t>
            </w:r>
            <w:r>
              <w:rPr>
                <w:rFonts w:ascii="Times New Roman" w:hAnsi="Times New Roman" w:eastAsia="Times New Roman" w:cs="Times New Roman"/>
                <w:spacing w:val="-1"/>
                <w:sz w:val="20"/>
                <w:szCs w:val="20"/>
              </w:rPr>
              <w:t>NH</w:t>
            </w:r>
            <w:r>
              <w:rPr>
                <w:rFonts w:ascii="Times New Roman" w:hAnsi="Times New Roman" w:eastAsia="Times New Roman" w:cs="Times New Roman"/>
                <w:spacing w:val="-1"/>
                <w:position w:val="-1"/>
                <w:sz w:val="13"/>
                <w:szCs w:val="13"/>
              </w:rPr>
              <w:t>3</w:t>
            </w:r>
          </w:p>
        </w:tc>
      </w:tr>
      <w:tr w14:paraId="49A40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1500" w:type="dxa"/>
            <w:vMerge w:val="continue"/>
            <w:tcBorders>
              <w:top w:val="nil"/>
              <w:left w:val="nil"/>
              <w:bottom w:val="nil"/>
            </w:tcBorders>
          </w:tcPr>
          <w:p w14:paraId="26AEF398"/>
        </w:tc>
        <w:tc>
          <w:tcPr>
            <w:tcW w:w="1849" w:type="dxa"/>
          </w:tcPr>
          <w:p w14:paraId="20C3E104">
            <w:pPr>
              <w:spacing w:before="39" w:line="228" w:lineRule="auto"/>
              <w:ind w:left="407"/>
              <w:rPr>
                <w:rFonts w:ascii="宋体" w:hAnsi="宋体" w:eastAsia="宋体" w:cs="宋体"/>
                <w:sz w:val="20"/>
                <w:szCs w:val="20"/>
              </w:rPr>
            </w:pPr>
            <w:r>
              <w:rPr>
                <w:rFonts w:ascii="宋体" w:hAnsi="宋体" w:eastAsia="宋体" w:cs="宋体"/>
                <w:spacing w:val="10"/>
                <w:sz w:val="20"/>
                <w:szCs w:val="20"/>
              </w:rPr>
              <w:t>异</w:t>
            </w:r>
            <w:r>
              <w:rPr>
                <w:rFonts w:ascii="宋体" w:hAnsi="宋体" w:eastAsia="宋体" w:cs="宋体"/>
                <w:spacing w:val="7"/>
                <w:sz w:val="20"/>
                <w:szCs w:val="20"/>
              </w:rPr>
              <w:t>位发酵床</w:t>
            </w:r>
          </w:p>
        </w:tc>
        <w:tc>
          <w:tcPr>
            <w:tcW w:w="2002" w:type="dxa"/>
          </w:tcPr>
          <w:p w14:paraId="159C2548">
            <w:pPr>
              <w:spacing w:before="39" w:line="228" w:lineRule="auto"/>
              <w:ind w:left="798"/>
              <w:rPr>
                <w:rFonts w:ascii="宋体" w:hAnsi="宋体" w:eastAsia="宋体" w:cs="宋体"/>
                <w:sz w:val="20"/>
                <w:szCs w:val="20"/>
              </w:rPr>
            </w:pPr>
            <w:r>
              <w:rPr>
                <w:rFonts w:ascii="宋体" w:hAnsi="宋体" w:eastAsia="宋体" w:cs="宋体"/>
                <w:spacing w:val="4"/>
                <w:sz w:val="20"/>
                <w:szCs w:val="20"/>
              </w:rPr>
              <w:t>恶臭</w:t>
            </w:r>
          </w:p>
        </w:tc>
        <w:tc>
          <w:tcPr>
            <w:tcW w:w="4362" w:type="dxa"/>
            <w:tcBorders>
              <w:right w:val="nil"/>
            </w:tcBorders>
          </w:tcPr>
          <w:p w14:paraId="224EF1EE">
            <w:pPr>
              <w:spacing w:before="75" w:line="192" w:lineRule="auto"/>
              <w:ind w:left="1723"/>
              <w:rPr>
                <w:rFonts w:ascii="Times New Roman" w:hAnsi="Times New Roman" w:eastAsia="Times New Roman" w:cs="Times New Roman"/>
                <w:sz w:val="13"/>
                <w:szCs w:val="13"/>
              </w:rPr>
            </w:pPr>
            <w:r>
              <w:rPr>
                <w:rFonts w:ascii="Times New Roman" w:hAnsi="Times New Roman" w:eastAsia="Times New Roman" w:cs="Times New Roman"/>
                <w:spacing w:val="-1"/>
                <w:sz w:val="20"/>
                <w:szCs w:val="20"/>
              </w:rPr>
              <w:t>H</w:t>
            </w:r>
            <w:r>
              <w:rPr>
                <w:rFonts w:ascii="Times New Roman" w:hAnsi="Times New Roman" w:eastAsia="Times New Roman" w:cs="Times New Roman"/>
                <w:spacing w:val="-2"/>
                <w:position w:val="-1"/>
                <w:sz w:val="13"/>
                <w:szCs w:val="13"/>
              </w:rPr>
              <w:t>2</w:t>
            </w:r>
            <w:r>
              <w:rPr>
                <w:rFonts w:ascii="Times New Roman" w:hAnsi="Times New Roman" w:eastAsia="Times New Roman" w:cs="Times New Roman"/>
                <w:spacing w:val="-1"/>
                <w:sz w:val="20"/>
                <w:szCs w:val="20"/>
              </w:rPr>
              <w:t>S</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w:t>
            </w:r>
            <w:r>
              <w:rPr>
                <w:rFonts w:ascii="Times New Roman" w:hAnsi="Times New Roman" w:eastAsia="Times New Roman" w:cs="Times New Roman"/>
                <w:spacing w:val="-1"/>
                <w:sz w:val="20"/>
                <w:szCs w:val="20"/>
              </w:rPr>
              <w:t>NH</w:t>
            </w:r>
            <w:r>
              <w:rPr>
                <w:rFonts w:ascii="Times New Roman" w:hAnsi="Times New Roman" w:eastAsia="Times New Roman" w:cs="Times New Roman"/>
                <w:spacing w:val="-1"/>
                <w:position w:val="-1"/>
                <w:sz w:val="13"/>
                <w:szCs w:val="13"/>
              </w:rPr>
              <w:t>3</w:t>
            </w:r>
          </w:p>
        </w:tc>
      </w:tr>
      <w:tr w14:paraId="6126FC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1500" w:type="dxa"/>
            <w:vMerge w:val="continue"/>
            <w:tcBorders>
              <w:top w:val="nil"/>
              <w:left w:val="nil"/>
              <w:bottom w:val="nil"/>
            </w:tcBorders>
          </w:tcPr>
          <w:p w14:paraId="34F3B742"/>
        </w:tc>
        <w:tc>
          <w:tcPr>
            <w:tcW w:w="1849" w:type="dxa"/>
          </w:tcPr>
          <w:p w14:paraId="04CA3DB1">
            <w:pPr>
              <w:spacing w:before="40" w:line="228" w:lineRule="auto"/>
              <w:ind w:left="614"/>
              <w:rPr>
                <w:rFonts w:ascii="宋体" w:hAnsi="宋体" w:eastAsia="宋体" w:cs="宋体"/>
                <w:sz w:val="20"/>
                <w:szCs w:val="20"/>
              </w:rPr>
            </w:pPr>
            <w:r>
              <w:rPr>
                <w:rFonts w:ascii="宋体" w:hAnsi="宋体" w:eastAsia="宋体" w:cs="宋体"/>
                <w:spacing w:val="7"/>
                <w:sz w:val="20"/>
                <w:szCs w:val="20"/>
              </w:rPr>
              <w:t>化</w:t>
            </w:r>
            <w:r>
              <w:rPr>
                <w:rFonts w:ascii="宋体" w:hAnsi="宋体" w:eastAsia="宋体" w:cs="宋体"/>
                <w:spacing w:val="6"/>
                <w:sz w:val="20"/>
                <w:szCs w:val="20"/>
              </w:rPr>
              <w:t>粪池</w:t>
            </w:r>
          </w:p>
        </w:tc>
        <w:tc>
          <w:tcPr>
            <w:tcW w:w="2002" w:type="dxa"/>
          </w:tcPr>
          <w:p w14:paraId="5DAD5331">
            <w:pPr>
              <w:spacing w:before="40" w:line="228" w:lineRule="auto"/>
              <w:ind w:left="798"/>
              <w:rPr>
                <w:rFonts w:ascii="宋体" w:hAnsi="宋体" w:eastAsia="宋体" w:cs="宋体"/>
                <w:sz w:val="20"/>
                <w:szCs w:val="20"/>
              </w:rPr>
            </w:pPr>
            <w:r>
              <w:rPr>
                <w:rFonts w:ascii="宋体" w:hAnsi="宋体" w:eastAsia="宋体" w:cs="宋体"/>
                <w:spacing w:val="4"/>
                <w:sz w:val="20"/>
                <w:szCs w:val="20"/>
              </w:rPr>
              <w:t>恶臭</w:t>
            </w:r>
          </w:p>
        </w:tc>
        <w:tc>
          <w:tcPr>
            <w:tcW w:w="4362" w:type="dxa"/>
            <w:tcBorders>
              <w:right w:val="nil"/>
            </w:tcBorders>
          </w:tcPr>
          <w:p w14:paraId="5D5D58DD">
            <w:pPr>
              <w:spacing w:before="76" w:line="192" w:lineRule="auto"/>
              <w:ind w:left="1723"/>
              <w:rPr>
                <w:rFonts w:ascii="Times New Roman" w:hAnsi="Times New Roman" w:eastAsia="Times New Roman" w:cs="Times New Roman"/>
                <w:sz w:val="13"/>
                <w:szCs w:val="13"/>
              </w:rPr>
            </w:pPr>
            <w:r>
              <w:rPr>
                <w:rFonts w:ascii="Times New Roman" w:hAnsi="Times New Roman" w:eastAsia="Times New Roman" w:cs="Times New Roman"/>
                <w:spacing w:val="-1"/>
                <w:sz w:val="20"/>
                <w:szCs w:val="20"/>
              </w:rPr>
              <w:t>H</w:t>
            </w:r>
            <w:r>
              <w:rPr>
                <w:rFonts w:ascii="Times New Roman" w:hAnsi="Times New Roman" w:eastAsia="Times New Roman" w:cs="Times New Roman"/>
                <w:spacing w:val="-2"/>
                <w:position w:val="-1"/>
                <w:sz w:val="13"/>
                <w:szCs w:val="13"/>
              </w:rPr>
              <w:t>2</w:t>
            </w:r>
            <w:r>
              <w:rPr>
                <w:rFonts w:ascii="Times New Roman" w:hAnsi="Times New Roman" w:eastAsia="Times New Roman" w:cs="Times New Roman"/>
                <w:spacing w:val="-1"/>
                <w:sz w:val="20"/>
                <w:szCs w:val="20"/>
              </w:rPr>
              <w:t>S</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w:t>
            </w:r>
            <w:r>
              <w:rPr>
                <w:rFonts w:ascii="Times New Roman" w:hAnsi="Times New Roman" w:eastAsia="Times New Roman" w:cs="Times New Roman"/>
                <w:spacing w:val="-1"/>
                <w:sz w:val="20"/>
                <w:szCs w:val="20"/>
              </w:rPr>
              <w:t>NH</w:t>
            </w:r>
            <w:r>
              <w:rPr>
                <w:rFonts w:ascii="Times New Roman" w:hAnsi="Times New Roman" w:eastAsia="Times New Roman" w:cs="Times New Roman"/>
                <w:spacing w:val="-1"/>
                <w:position w:val="-1"/>
                <w:sz w:val="13"/>
                <w:szCs w:val="13"/>
              </w:rPr>
              <w:t>3</w:t>
            </w:r>
          </w:p>
        </w:tc>
      </w:tr>
      <w:tr w14:paraId="506830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1500" w:type="dxa"/>
            <w:vMerge w:val="continue"/>
            <w:tcBorders>
              <w:top w:val="nil"/>
              <w:left w:val="nil"/>
            </w:tcBorders>
          </w:tcPr>
          <w:p w14:paraId="2FBF7750"/>
        </w:tc>
        <w:tc>
          <w:tcPr>
            <w:tcW w:w="1849" w:type="dxa"/>
          </w:tcPr>
          <w:p w14:paraId="5F510769">
            <w:pPr>
              <w:spacing w:before="41" w:line="227" w:lineRule="auto"/>
              <w:ind w:left="616"/>
              <w:rPr>
                <w:rFonts w:ascii="宋体" w:hAnsi="宋体" w:eastAsia="宋体" w:cs="宋体"/>
                <w:sz w:val="20"/>
                <w:szCs w:val="20"/>
              </w:rPr>
            </w:pPr>
            <w:r>
              <w:rPr>
                <w:rFonts w:ascii="宋体" w:hAnsi="宋体" w:eastAsia="宋体" w:cs="宋体"/>
                <w:spacing w:val="6"/>
                <w:sz w:val="20"/>
                <w:szCs w:val="20"/>
              </w:rPr>
              <w:t>发电</w:t>
            </w:r>
            <w:r>
              <w:rPr>
                <w:rFonts w:ascii="宋体" w:hAnsi="宋体" w:eastAsia="宋体" w:cs="宋体"/>
                <w:spacing w:val="5"/>
                <w:sz w:val="20"/>
                <w:szCs w:val="20"/>
              </w:rPr>
              <w:t>机</w:t>
            </w:r>
          </w:p>
        </w:tc>
        <w:tc>
          <w:tcPr>
            <w:tcW w:w="2002" w:type="dxa"/>
          </w:tcPr>
          <w:p w14:paraId="42962EB2">
            <w:pPr>
              <w:spacing w:before="41" w:line="227" w:lineRule="auto"/>
              <w:ind w:left="483"/>
              <w:rPr>
                <w:rFonts w:ascii="宋体" w:hAnsi="宋体" w:eastAsia="宋体" w:cs="宋体"/>
                <w:sz w:val="20"/>
                <w:szCs w:val="20"/>
              </w:rPr>
            </w:pPr>
            <w:r>
              <w:rPr>
                <w:rFonts w:ascii="宋体" w:hAnsi="宋体" w:eastAsia="宋体" w:cs="宋体"/>
                <w:spacing w:val="9"/>
                <w:sz w:val="20"/>
                <w:szCs w:val="20"/>
              </w:rPr>
              <w:t>发</w:t>
            </w:r>
            <w:r>
              <w:rPr>
                <w:rFonts w:ascii="宋体" w:hAnsi="宋体" w:eastAsia="宋体" w:cs="宋体"/>
                <w:spacing w:val="7"/>
                <w:sz w:val="20"/>
                <w:szCs w:val="20"/>
              </w:rPr>
              <w:t>电机烟尘</w:t>
            </w:r>
          </w:p>
        </w:tc>
        <w:tc>
          <w:tcPr>
            <w:tcW w:w="4362" w:type="dxa"/>
            <w:tcBorders>
              <w:right w:val="nil"/>
            </w:tcBorders>
          </w:tcPr>
          <w:p w14:paraId="168A3D8E">
            <w:pPr>
              <w:spacing w:before="41" w:line="229" w:lineRule="auto"/>
              <w:ind w:left="1976"/>
              <w:rPr>
                <w:rFonts w:ascii="宋体" w:hAnsi="宋体" w:eastAsia="宋体" w:cs="宋体"/>
                <w:sz w:val="20"/>
                <w:szCs w:val="20"/>
              </w:rPr>
            </w:pPr>
            <w:r>
              <w:rPr>
                <w:rFonts w:ascii="宋体" w:hAnsi="宋体" w:eastAsia="宋体" w:cs="宋体"/>
                <w:spacing w:val="4"/>
                <w:sz w:val="20"/>
                <w:szCs w:val="20"/>
              </w:rPr>
              <w:t>烟尘</w:t>
            </w:r>
          </w:p>
        </w:tc>
      </w:tr>
      <w:tr w14:paraId="604E6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500" w:type="dxa"/>
            <w:vMerge w:val="restart"/>
            <w:tcBorders>
              <w:left w:val="nil"/>
              <w:bottom w:val="nil"/>
            </w:tcBorders>
          </w:tcPr>
          <w:p w14:paraId="482215A1">
            <w:pPr>
              <w:spacing w:line="387" w:lineRule="auto"/>
            </w:pPr>
          </w:p>
          <w:p w14:paraId="5EA494F5">
            <w:pPr>
              <w:spacing w:before="65" w:line="228" w:lineRule="auto"/>
              <w:ind w:left="550"/>
              <w:rPr>
                <w:rFonts w:ascii="宋体" w:hAnsi="宋体" w:eastAsia="宋体" w:cs="宋体"/>
                <w:sz w:val="20"/>
                <w:szCs w:val="20"/>
              </w:rPr>
            </w:pPr>
            <w:r>
              <w:rPr>
                <w:rFonts w:ascii="宋体" w:hAnsi="宋体" w:eastAsia="宋体" w:cs="宋体"/>
                <w:spacing w:val="4"/>
                <w:sz w:val="20"/>
                <w:szCs w:val="20"/>
              </w:rPr>
              <w:t>污</w:t>
            </w:r>
            <w:r>
              <w:rPr>
                <w:rFonts w:ascii="宋体" w:hAnsi="宋体" w:eastAsia="宋体" w:cs="宋体"/>
                <w:spacing w:val="3"/>
                <w:sz w:val="20"/>
                <w:szCs w:val="20"/>
              </w:rPr>
              <w:t>水</w:t>
            </w:r>
          </w:p>
        </w:tc>
        <w:tc>
          <w:tcPr>
            <w:tcW w:w="1849" w:type="dxa"/>
          </w:tcPr>
          <w:p w14:paraId="6AF3622E">
            <w:pPr>
              <w:spacing w:before="33" w:line="225" w:lineRule="auto"/>
              <w:ind w:left="307"/>
              <w:rPr>
                <w:rFonts w:ascii="宋体" w:hAnsi="宋体" w:eastAsia="宋体" w:cs="宋体"/>
                <w:sz w:val="20"/>
                <w:szCs w:val="20"/>
              </w:rPr>
            </w:pPr>
            <w:r>
              <w:rPr>
                <w:rFonts w:ascii="宋体" w:hAnsi="宋体" w:eastAsia="宋体" w:cs="宋体"/>
                <w:spacing w:val="7"/>
                <w:sz w:val="20"/>
                <w:szCs w:val="20"/>
              </w:rPr>
              <w:t>员工日常生</w:t>
            </w:r>
            <w:r>
              <w:rPr>
                <w:rFonts w:ascii="宋体" w:hAnsi="宋体" w:eastAsia="宋体" w:cs="宋体"/>
                <w:spacing w:val="6"/>
                <w:sz w:val="20"/>
                <w:szCs w:val="20"/>
              </w:rPr>
              <w:t>活</w:t>
            </w:r>
          </w:p>
        </w:tc>
        <w:tc>
          <w:tcPr>
            <w:tcW w:w="2002" w:type="dxa"/>
          </w:tcPr>
          <w:p w14:paraId="160A5D20">
            <w:pPr>
              <w:spacing w:before="33" w:line="225" w:lineRule="auto"/>
              <w:ind w:left="587"/>
              <w:rPr>
                <w:rFonts w:ascii="宋体" w:hAnsi="宋体" w:eastAsia="宋体" w:cs="宋体"/>
                <w:sz w:val="20"/>
                <w:szCs w:val="20"/>
              </w:rPr>
            </w:pPr>
            <w:r>
              <w:rPr>
                <w:rFonts w:ascii="宋体" w:hAnsi="宋体" w:eastAsia="宋体" w:cs="宋体"/>
                <w:spacing w:val="7"/>
                <w:sz w:val="20"/>
                <w:szCs w:val="20"/>
              </w:rPr>
              <w:t>生活污</w:t>
            </w:r>
            <w:r>
              <w:rPr>
                <w:rFonts w:ascii="宋体" w:hAnsi="宋体" w:eastAsia="宋体" w:cs="宋体"/>
                <w:spacing w:val="6"/>
                <w:sz w:val="20"/>
                <w:szCs w:val="20"/>
              </w:rPr>
              <w:t>水</w:t>
            </w:r>
          </w:p>
        </w:tc>
        <w:tc>
          <w:tcPr>
            <w:tcW w:w="4362" w:type="dxa"/>
            <w:tcBorders>
              <w:right w:val="nil"/>
            </w:tcBorders>
          </w:tcPr>
          <w:p w14:paraId="26A34302">
            <w:pPr>
              <w:spacing w:before="33" w:line="225" w:lineRule="auto"/>
              <w:ind w:left="1000"/>
              <w:rPr>
                <w:rFonts w:ascii="宋体" w:hAnsi="宋体" w:eastAsia="宋体" w:cs="宋体"/>
                <w:sz w:val="20"/>
                <w:szCs w:val="20"/>
              </w:rPr>
            </w:pPr>
            <w:r>
              <w:rPr>
                <w:rFonts w:ascii="Times New Roman" w:hAnsi="Times New Roman" w:eastAsia="Times New Roman" w:cs="Times New Roman"/>
                <w:spacing w:val="-1"/>
                <w:sz w:val="20"/>
                <w:szCs w:val="20"/>
              </w:rPr>
              <w:t>CO</w:t>
            </w:r>
            <w:r>
              <w:rPr>
                <w:rFonts w:ascii="Times New Roman" w:hAnsi="Times New Roman" w:eastAsia="Times New Roman" w:cs="Times New Roman"/>
                <w:sz w:val="20"/>
                <w:szCs w:val="20"/>
              </w:rPr>
              <w:t>D</w:t>
            </w:r>
            <w:r>
              <w:rPr>
                <w:rFonts w:ascii="Times New Roman" w:hAnsi="Times New Roman" w:eastAsia="Times New Roman" w:cs="Times New Roman"/>
                <w:position w:val="-1"/>
                <w:sz w:val="13"/>
                <w:szCs w:val="13"/>
              </w:rPr>
              <w:t>Cr</w:t>
            </w:r>
            <w:r>
              <w:rPr>
                <w:rFonts w:ascii="Times New Roman" w:hAnsi="Times New Roman" w:eastAsia="Times New Roman" w:cs="Times New Roman"/>
                <w:spacing w:val="-1"/>
                <w:position w:val="-1"/>
                <w:sz w:val="13"/>
                <w:szCs w:val="13"/>
              </w:rPr>
              <w:t xml:space="preserve"> </w:t>
            </w:r>
            <w:r>
              <w:rPr>
                <w:rFonts w:ascii="宋体" w:hAnsi="宋体" w:eastAsia="宋体" w:cs="宋体"/>
                <w:spacing w:val="-1"/>
                <w:sz w:val="20"/>
                <w:szCs w:val="20"/>
              </w:rPr>
              <w:t>、</w:t>
            </w:r>
            <w:r>
              <w:rPr>
                <w:rFonts w:ascii="Times New Roman" w:hAnsi="Times New Roman" w:eastAsia="Times New Roman" w:cs="Times New Roman"/>
                <w:sz w:val="20"/>
                <w:szCs w:val="20"/>
              </w:rPr>
              <w:t>BOD</w:t>
            </w:r>
            <w:r>
              <w:rPr>
                <w:rFonts w:ascii="Times New Roman" w:hAnsi="Times New Roman" w:eastAsia="Times New Roman" w:cs="Times New Roman"/>
                <w:spacing w:val="-1"/>
                <w:position w:val="-1"/>
                <w:sz w:val="13"/>
                <w:szCs w:val="13"/>
              </w:rPr>
              <w:t xml:space="preserve">5 </w:t>
            </w:r>
            <w:r>
              <w:rPr>
                <w:rFonts w:ascii="宋体" w:hAnsi="宋体" w:eastAsia="宋体" w:cs="宋体"/>
                <w:spacing w:val="-1"/>
                <w:sz w:val="20"/>
                <w:szCs w:val="20"/>
              </w:rPr>
              <w:t>、</w:t>
            </w:r>
            <w:r>
              <w:rPr>
                <w:rFonts w:ascii="Times New Roman" w:hAnsi="Times New Roman" w:eastAsia="Times New Roman" w:cs="Times New Roman"/>
                <w:sz w:val="20"/>
                <w:szCs w:val="20"/>
              </w:rPr>
              <w:t>SS</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rPr>
              <w:t>、氨氮</w:t>
            </w:r>
          </w:p>
        </w:tc>
      </w:tr>
      <w:tr w14:paraId="185C0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500" w:type="dxa"/>
            <w:vMerge w:val="continue"/>
            <w:tcBorders>
              <w:top w:val="nil"/>
              <w:left w:val="nil"/>
              <w:bottom w:val="nil"/>
            </w:tcBorders>
          </w:tcPr>
          <w:p w14:paraId="3AF53AB9"/>
        </w:tc>
        <w:tc>
          <w:tcPr>
            <w:tcW w:w="1849" w:type="dxa"/>
          </w:tcPr>
          <w:p w14:paraId="6CDAA651">
            <w:pPr>
              <w:spacing w:before="32" w:line="227" w:lineRule="auto"/>
              <w:ind w:left="719"/>
              <w:rPr>
                <w:rFonts w:ascii="宋体" w:hAnsi="宋体" w:eastAsia="宋体" w:cs="宋体"/>
                <w:sz w:val="20"/>
                <w:szCs w:val="20"/>
              </w:rPr>
            </w:pPr>
            <w:r>
              <w:rPr>
                <w:rFonts w:ascii="宋体" w:hAnsi="宋体" w:eastAsia="宋体" w:cs="宋体"/>
                <w:spacing w:val="5"/>
                <w:sz w:val="20"/>
                <w:szCs w:val="20"/>
              </w:rPr>
              <w:t>食</w:t>
            </w:r>
            <w:r>
              <w:rPr>
                <w:rFonts w:ascii="宋体" w:hAnsi="宋体" w:eastAsia="宋体" w:cs="宋体"/>
                <w:spacing w:val="4"/>
                <w:sz w:val="20"/>
                <w:szCs w:val="20"/>
              </w:rPr>
              <w:t>堂</w:t>
            </w:r>
          </w:p>
        </w:tc>
        <w:tc>
          <w:tcPr>
            <w:tcW w:w="2002" w:type="dxa"/>
          </w:tcPr>
          <w:p w14:paraId="1B2B6CD6">
            <w:pPr>
              <w:spacing w:before="32" w:line="227" w:lineRule="auto"/>
              <w:ind w:left="587"/>
              <w:rPr>
                <w:rFonts w:ascii="宋体" w:hAnsi="宋体" w:eastAsia="宋体" w:cs="宋体"/>
                <w:sz w:val="20"/>
                <w:szCs w:val="20"/>
              </w:rPr>
            </w:pPr>
            <w:r>
              <w:rPr>
                <w:rFonts w:ascii="宋体" w:hAnsi="宋体" w:eastAsia="宋体" w:cs="宋体"/>
                <w:spacing w:val="7"/>
                <w:sz w:val="20"/>
                <w:szCs w:val="20"/>
              </w:rPr>
              <w:t>餐饮废</w:t>
            </w:r>
            <w:r>
              <w:rPr>
                <w:rFonts w:ascii="宋体" w:hAnsi="宋体" w:eastAsia="宋体" w:cs="宋体"/>
                <w:spacing w:val="6"/>
                <w:sz w:val="20"/>
                <w:szCs w:val="20"/>
              </w:rPr>
              <w:t>水</w:t>
            </w:r>
          </w:p>
        </w:tc>
        <w:tc>
          <w:tcPr>
            <w:tcW w:w="4362" w:type="dxa"/>
            <w:tcBorders>
              <w:right w:val="nil"/>
            </w:tcBorders>
          </w:tcPr>
          <w:p w14:paraId="6BFB0782">
            <w:pPr>
              <w:spacing w:before="32" w:line="227" w:lineRule="auto"/>
              <w:ind w:left="474"/>
              <w:rPr>
                <w:rFonts w:ascii="宋体" w:hAnsi="宋体" w:eastAsia="宋体" w:cs="宋体"/>
                <w:sz w:val="20"/>
                <w:szCs w:val="20"/>
              </w:rPr>
            </w:pPr>
            <w:r>
              <w:rPr>
                <w:rFonts w:ascii="Times New Roman" w:hAnsi="Times New Roman" w:eastAsia="Times New Roman" w:cs="Times New Roman"/>
                <w:sz w:val="20"/>
                <w:szCs w:val="20"/>
              </w:rPr>
              <w:t>COD</w:t>
            </w:r>
            <w:r>
              <w:rPr>
                <w:rFonts w:ascii="Times New Roman" w:hAnsi="Times New Roman" w:eastAsia="Times New Roman" w:cs="Times New Roman"/>
                <w:position w:val="-1"/>
                <w:sz w:val="13"/>
                <w:szCs w:val="13"/>
              </w:rPr>
              <w:t>Cr</w:t>
            </w:r>
            <w:r>
              <w:rPr>
                <w:rFonts w:ascii="Times New Roman" w:hAnsi="Times New Roman" w:eastAsia="Times New Roman" w:cs="Times New Roman"/>
                <w:spacing w:val="4"/>
                <w:position w:val="-1"/>
                <w:sz w:val="13"/>
                <w:szCs w:val="13"/>
              </w:rPr>
              <w:t xml:space="preserve"> </w:t>
            </w:r>
            <w:r>
              <w:rPr>
                <w:rFonts w:ascii="宋体" w:hAnsi="宋体" w:eastAsia="宋体" w:cs="宋体"/>
                <w:spacing w:val="4"/>
                <w:sz w:val="20"/>
                <w:szCs w:val="20"/>
              </w:rPr>
              <w:t>、</w:t>
            </w:r>
            <w:r>
              <w:rPr>
                <w:rFonts w:ascii="Times New Roman" w:hAnsi="Times New Roman" w:eastAsia="Times New Roman" w:cs="Times New Roman"/>
                <w:sz w:val="20"/>
                <w:szCs w:val="20"/>
              </w:rPr>
              <w:t>BOD</w:t>
            </w:r>
            <w:r>
              <w:rPr>
                <w:rFonts w:ascii="Times New Roman" w:hAnsi="Times New Roman" w:eastAsia="Times New Roman" w:cs="Times New Roman"/>
                <w:spacing w:val="4"/>
                <w:position w:val="-1"/>
                <w:sz w:val="13"/>
                <w:szCs w:val="13"/>
              </w:rPr>
              <w:t xml:space="preserve">5 </w:t>
            </w:r>
            <w:r>
              <w:rPr>
                <w:rFonts w:ascii="宋体" w:hAnsi="宋体" w:eastAsia="宋体" w:cs="宋体"/>
                <w:spacing w:val="4"/>
                <w:sz w:val="20"/>
                <w:szCs w:val="20"/>
              </w:rPr>
              <w:t>、</w:t>
            </w:r>
            <w:r>
              <w:rPr>
                <w:rFonts w:ascii="Times New Roman" w:hAnsi="Times New Roman" w:eastAsia="Times New Roman" w:cs="Times New Roman"/>
                <w:sz w:val="20"/>
                <w:szCs w:val="20"/>
              </w:rPr>
              <w:t>SS</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、氨氮、动植物油</w:t>
            </w:r>
          </w:p>
        </w:tc>
      </w:tr>
      <w:tr w14:paraId="5A7C6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500" w:type="dxa"/>
            <w:vMerge w:val="continue"/>
            <w:tcBorders>
              <w:top w:val="nil"/>
              <w:left w:val="nil"/>
              <w:bottom w:val="nil"/>
            </w:tcBorders>
          </w:tcPr>
          <w:p w14:paraId="1DB198D0"/>
        </w:tc>
        <w:tc>
          <w:tcPr>
            <w:tcW w:w="1849" w:type="dxa"/>
          </w:tcPr>
          <w:p w14:paraId="41401278">
            <w:pPr>
              <w:spacing w:before="32" w:line="226" w:lineRule="auto"/>
              <w:ind w:left="735"/>
              <w:rPr>
                <w:rFonts w:ascii="宋体" w:hAnsi="宋体" w:eastAsia="宋体" w:cs="宋体"/>
                <w:sz w:val="20"/>
                <w:szCs w:val="20"/>
              </w:rPr>
            </w:pPr>
            <w:r>
              <w:rPr>
                <w:rFonts w:ascii="宋体" w:hAnsi="宋体" w:eastAsia="宋体" w:cs="宋体"/>
                <w:spacing w:val="-4"/>
                <w:sz w:val="20"/>
                <w:szCs w:val="20"/>
              </w:rPr>
              <w:t>圈</w:t>
            </w:r>
            <w:r>
              <w:rPr>
                <w:rFonts w:ascii="宋体" w:hAnsi="宋体" w:eastAsia="宋体" w:cs="宋体"/>
                <w:spacing w:val="-3"/>
                <w:sz w:val="20"/>
                <w:szCs w:val="20"/>
              </w:rPr>
              <w:t>舍</w:t>
            </w:r>
          </w:p>
        </w:tc>
        <w:tc>
          <w:tcPr>
            <w:tcW w:w="2002" w:type="dxa"/>
          </w:tcPr>
          <w:p w14:paraId="52115431">
            <w:pPr>
              <w:spacing w:before="32" w:line="226" w:lineRule="auto"/>
              <w:ind w:left="587"/>
              <w:rPr>
                <w:rFonts w:ascii="宋体" w:hAnsi="宋体" w:eastAsia="宋体" w:cs="宋体"/>
                <w:sz w:val="20"/>
                <w:szCs w:val="20"/>
              </w:rPr>
            </w:pPr>
            <w:r>
              <w:rPr>
                <w:rFonts w:ascii="宋体" w:hAnsi="宋体" w:eastAsia="宋体" w:cs="宋体"/>
                <w:spacing w:val="7"/>
                <w:sz w:val="20"/>
                <w:szCs w:val="20"/>
              </w:rPr>
              <w:t>养殖废水</w:t>
            </w:r>
          </w:p>
        </w:tc>
        <w:tc>
          <w:tcPr>
            <w:tcW w:w="4362" w:type="dxa"/>
            <w:tcBorders>
              <w:right w:val="nil"/>
            </w:tcBorders>
          </w:tcPr>
          <w:p w14:paraId="7DD7CA64">
            <w:pPr>
              <w:spacing w:before="32" w:line="226" w:lineRule="auto"/>
              <w:ind w:left="474"/>
              <w:rPr>
                <w:rFonts w:ascii="宋体" w:hAnsi="宋体" w:eastAsia="宋体" w:cs="宋体"/>
                <w:sz w:val="20"/>
                <w:szCs w:val="20"/>
              </w:rPr>
            </w:pPr>
            <w:r>
              <w:rPr>
                <w:rFonts w:ascii="Times New Roman" w:hAnsi="Times New Roman" w:eastAsia="Times New Roman" w:cs="Times New Roman"/>
                <w:sz w:val="20"/>
                <w:szCs w:val="20"/>
              </w:rPr>
              <w:t>COD</w:t>
            </w:r>
            <w:r>
              <w:rPr>
                <w:rFonts w:ascii="Times New Roman" w:hAnsi="Times New Roman" w:eastAsia="Times New Roman" w:cs="Times New Roman"/>
                <w:position w:val="-1"/>
                <w:sz w:val="13"/>
                <w:szCs w:val="13"/>
              </w:rPr>
              <w:t>Cr</w:t>
            </w:r>
            <w:r>
              <w:rPr>
                <w:rFonts w:ascii="Times New Roman" w:hAnsi="Times New Roman" w:eastAsia="Times New Roman" w:cs="Times New Roman"/>
                <w:spacing w:val="3"/>
                <w:position w:val="-1"/>
                <w:sz w:val="13"/>
                <w:szCs w:val="13"/>
              </w:rPr>
              <w:t xml:space="preserve"> </w:t>
            </w:r>
            <w:r>
              <w:rPr>
                <w:rFonts w:ascii="宋体" w:hAnsi="宋体" w:eastAsia="宋体" w:cs="宋体"/>
                <w:spacing w:val="3"/>
                <w:sz w:val="20"/>
                <w:szCs w:val="20"/>
              </w:rPr>
              <w:t>、</w:t>
            </w:r>
            <w:r>
              <w:rPr>
                <w:rFonts w:ascii="Times New Roman" w:hAnsi="Times New Roman" w:eastAsia="Times New Roman" w:cs="Times New Roman"/>
                <w:sz w:val="20"/>
                <w:szCs w:val="20"/>
              </w:rPr>
              <w:t>BOD</w:t>
            </w:r>
            <w:r>
              <w:rPr>
                <w:rFonts w:ascii="Times New Roman" w:hAnsi="Times New Roman" w:eastAsia="Times New Roman" w:cs="Times New Roman"/>
                <w:spacing w:val="3"/>
                <w:position w:val="-1"/>
                <w:sz w:val="13"/>
                <w:szCs w:val="13"/>
              </w:rPr>
              <w:t xml:space="preserve">5 </w:t>
            </w:r>
            <w:r>
              <w:rPr>
                <w:rFonts w:ascii="宋体" w:hAnsi="宋体" w:eastAsia="宋体" w:cs="宋体"/>
                <w:spacing w:val="3"/>
                <w:sz w:val="20"/>
                <w:szCs w:val="20"/>
              </w:rPr>
              <w:t>、氨氮、</w:t>
            </w:r>
            <w:r>
              <w:rPr>
                <w:rFonts w:ascii="Times New Roman" w:hAnsi="Times New Roman" w:eastAsia="Times New Roman" w:cs="Times New Roman"/>
                <w:sz w:val="20"/>
                <w:szCs w:val="20"/>
              </w:rPr>
              <w:t>SS</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、大肠菌</w:t>
            </w:r>
            <w:r>
              <w:rPr>
                <w:rFonts w:ascii="宋体" w:hAnsi="宋体" w:eastAsia="宋体" w:cs="宋体"/>
                <w:spacing w:val="1"/>
                <w:sz w:val="20"/>
                <w:szCs w:val="20"/>
              </w:rPr>
              <w:t>群</w:t>
            </w:r>
          </w:p>
        </w:tc>
      </w:tr>
      <w:tr w14:paraId="584E9B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500" w:type="dxa"/>
            <w:vMerge w:val="continue"/>
            <w:tcBorders>
              <w:top w:val="nil"/>
              <w:left w:val="nil"/>
            </w:tcBorders>
          </w:tcPr>
          <w:p w14:paraId="70D8D26D"/>
        </w:tc>
        <w:tc>
          <w:tcPr>
            <w:tcW w:w="1849" w:type="dxa"/>
          </w:tcPr>
          <w:p w14:paraId="490D8FD7">
            <w:pPr>
              <w:spacing w:before="33" w:line="225" w:lineRule="auto"/>
              <w:ind w:left="512"/>
              <w:rPr>
                <w:rFonts w:ascii="宋体" w:hAnsi="宋体" w:eastAsia="宋体" w:cs="宋体"/>
                <w:sz w:val="20"/>
                <w:szCs w:val="20"/>
              </w:rPr>
            </w:pPr>
            <w:r>
              <w:rPr>
                <w:rFonts w:ascii="宋体" w:hAnsi="宋体" w:eastAsia="宋体" w:cs="宋体"/>
                <w:spacing w:val="9"/>
                <w:sz w:val="20"/>
                <w:szCs w:val="20"/>
              </w:rPr>
              <w:t>水</w:t>
            </w:r>
            <w:r>
              <w:rPr>
                <w:rFonts w:ascii="宋体" w:hAnsi="宋体" w:eastAsia="宋体" w:cs="宋体"/>
                <w:spacing w:val="6"/>
                <w:sz w:val="20"/>
                <w:szCs w:val="20"/>
              </w:rPr>
              <w:t>帘降温</w:t>
            </w:r>
          </w:p>
        </w:tc>
        <w:tc>
          <w:tcPr>
            <w:tcW w:w="2002" w:type="dxa"/>
          </w:tcPr>
          <w:p w14:paraId="285408D8">
            <w:pPr>
              <w:spacing w:before="33" w:line="225" w:lineRule="auto"/>
              <w:ind w:left="602"/>
              <w:rPr>
                <w:rFonts w:ascii="宋体" w:hAnsi="宋体" w:eastAsia="宋体" w:cs="宋体"/>
                <w:sz w:val="20"/>
                <w:szCs w:val="20"/>
              </w:rPr>
            </w:pPr>
            <w:r>
              <w:rPr>
                <w:rFonts w:ascii="宋体" w:hAnsi="宋体" w:eastAsia="宋体" w:cs="宋体"/>
                <w:spacing w:val="4"/>
                <w:sz w:val="20"/>
                <w:szCs w:val="20"/>
              </w:rPr>
              <w:t>降</w:t>
            </w:r>
            <w:r>
              <w:rPr>
                <w:rFonts w:ascii="宋体" w:hAnsi="宋体" w:eastAsia="宋体" w:cs="宋体"/>
                <w:spacing w:val="3"/>
                <w:sz w:val="20"/>
                <w:szCs w:val="20"/>
              </w:rPr>
              <w:t>温废水</w:t>
            </w:r>
          </w:p>
        </w:tc>
        <w:tc>
          <w:tcPr>
            <w:tcW w:w="4362" w:type="dxa"/>
            <w:tcBorders>
              <w:right w:val="nil"/>
            </w:tcBorders>
          </w:tcPr>
          <w:p w14:paraId="3AE402DD">
            <w:pPr>
              <w:spacing w:line="276" w:lineRule="exact"/>
              <w:ind w:left="214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109023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1500" w:type="dxa"/>
            <w:vMerge w:val="restart"/>
            <w:tcBorders>
              <w:left w:val="nil"/>
              <w:bottom w:val="nil"/>
            </w:tcBorders>
          </w:tcPr>
          <w:p w14:paraId="5AA4AEDF">
            <w:pPr>
              <w:spacing w:before="197" w:line="228" w:lineRule="auto"/>
              <w:ind w:left="453"/>
              <w:rPr>
                <w:rFonts w:ascii="宋体" w:hAnsi="宋体" w:eastAsia="宋体" w:cs="宋体"/>
                <w:sz w:val="20"/>
                <w:szCs w:val="20"/>
              </w:rPr>
            </w:pPr>
            <w:r>
              <w:rPr>
                <w:rFonts w:ascii="宋体" w:hAnsi="宋体" w:eastAsia="宋体" w:cs="宋体"/>
                <w:spacing w:val="5"/>
                <w:sz w:val="20"/>
                <w:szCs w:val="20"/>
              </w:rPr>
              <w:t>噪</w:t>
            </w:r>
            <w:r>
              <w:rPr>
                <w:rFonts w:ascii="宋体" w:hAnsi="宋体" w:eastAsia="宋体" w:cs="宋体"/>
                <w:spacing w:val="3"/>
                <w:sz w:val="20"/>
                <w:szCs w:val="20"/>
              </w:rPr>
              <w:t xml:space="preserve">  声</w:t>
            </w:r>
          </w:p>
        </w:tc>
        <w:tc>
          <w:tcPr>
            <w:tcW w:w="1849" w:type="dxa"/>
          </w:tcPr>
          <w:p w14:paraId="7AD57574">
            <w:pPr>
              <w:spacing w:before="58" w:line="228" w:lineRule="auto"/>
              <w:ind w:left="513"/>
              <w:rPr>
                <w:rFonts w:ascii="宋体" w:hAnsi="宋体" w:eastAsia="宋体" w:cs="宋体"/>
                <w:sz w:val="20"/>
                <w:szCs w:val="20"/>
              </w:rPr>
            </w:pPr>
            <w:r>
              <w:rPr>
                <w:rFonts w:ascii="宋体" w:hAnsi="宋体" w:eastAsia="宋体" w:cs="宋体"/>
                <w:spacing w:val="8"/>
                <w:sz w:val="20"/>
                <w:szCs w:val="20"/>
              </w:rPr>
              <w:t>设</w:t>
            </w:r>
            <w:r>
              <w:rPr>
                <w:rFonts w:ascii="宋体" w:hAnsi="宋体" w:eastAsia="宋体" w:cs="宋体"/>
                <w:spacing w:val="6"/>
                <w:sz w:val="20"/>
                <w:szCs w:val="20"/>
              </w:rPr>
              <w:t>备运行</w:t>
            </w:r>
          </w:p>
        </w:tc>
        <w:tc>
          <w:tcPr>
            <w:tcW w:w="2002" w:type="dxa"/>
          </w:tcPr>
          <w:p w14:paraId="6A07D82D">
            <w:pPr>
              <w:spacing w:before="58" w:line="228" w:lineRule="auto"/>
              <w:ind w:left="589"/>
              <w:rPr>
                <w:rFonts w:ascii="宋体" w:hAnsi="宋体" w:eastAsia="宋体" w:cs="宋体"/>
                <w:sz w:val="20"/>
                <w:szCs w:val="20"/>
              </w:rPr>
            </w:pPr>
            <w:r>
              <w:rPr>
                <w:rFonts w:ascii="宋体" w:hAnsi="宋体" w:eastAsia="宋体" w:cs="宋体"/>
                <w:spacing w:val="8"/>
                <w:sz w:val="20"/>
                <w:szCs w:val="20"/>
              </w:rPr>
              <w:t>设</w:t>
            </w:r>
            <w:r>
              <w:rPr>
                <w:rFonts w:ascii="宋体" w:hAnsi="宋体" w:eastAsia="宋体" w:cs="宋体"/>
                <w:spacing w:val="6"/>
                <w:sz w:val="20"/>
                <w:szCs w:val="20"/>
              </w:rPr>
              <w:t>备噪声</w:t>
            </w:r>
          </w:p>
        </w:tc>
        <w:tc>
          <w:tcPr>
            <w:tcW w:w="4362" w:type="dxa"/>
            <w:tcBorders>
              <w:right w:val="nil"/>
            </w:tcBorders>
          </w:tcPr>
          <w:p w14:paraId="49FD2C0F">
            <w:pPr>
              <w:spacing w:before="58" w:line="228" w:lineRule="auto"/>
              <w:ind w:left="1769"/>
              <w:rPr>
                <w:rFonts w:ascii="宋体" w:hAnsi="宋体" w:eastAsia="宋体" w:cs="宋体"/>
                <w:sz w:val="20"/>
                <w:szCs w:val="20"/>
              </w:rPr>
            </w:pPr>
            <w:r>
              <w:rPr>
                <w:rFonts w:ascii="宋体" w:hAnsi="宋体" w:eastAsia="宋体" w:cs="宋体"/>
                <w:spacing w:val="8"/>
                <w:sz w:val="20"/>
                <w:szCs w:val="20"/>
              </w:rPr>
              <w:t>设</w:t>
            </w:r>
            <w:r>
              <w:rPr>
                <w:rFonts w:ascii="宋体" w:hAnsi="宋体" w:eastAsia="宋体" w:cs="宋体"/>
                <w:spacing w:val="6"/>
                <w:sz w:val="20"/>
                <w:szCs w:val="20"/>
              </w:rPr>
              <w:t>备噪声</w:t>
            </w:r>
          </w:p>
        </w:tc>
      </w:tr>
      <w:tr w14:paraId="05C7D6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500" w:type="dxa"/>
            <w:vMerge w:val="continue"/>
            <w:tcBorders>
              <w:top w:val="nil"/>
              <w:left w:val="nil"/>
            </w:tcBorders>
          </w:tcPr>
          <w:p w14:paraId="049B91E4"/>
        </w:tc>
        <w:tc>
          <w:tcPr>
            <w:tcW w:w="1849" w:type="dxa"/>
          </w:tcPr>
          <w:p w14:paraId="5F3897F7">
            <w:pPr>
              <w:spacing w:before="31" w:line="228" w:lineRule="auto"/>
              <w:ind w:left="735"/>
              <w:rPr>
                <w:rFonts w:ascii="宋体" w:hAnsi="宋体" w:eastAsia="宋体" w:cs="宋体"/>
                <w:sz w:val="20"/>
                <w:szCs w:val="20"/>
              </w:rPr>
            </w:pPr>
            <w:r>
              <w:rPr>
                <w:rFonts w:ascii="宋体" w:hAnsi="宋体" w:eastAsia="宋体" w:cs="宋体"/>
                <w:spacing w:val="-4"/>
                <w:sz w:val="20"/>
                <w:szCs w:val="20"/>
              </w:rPr>
              <w:t>圈</w:t>
            </w:r>
            <w:r>
              <w:rPr>
                <w:rFonts w:ascii="宋体" w:hAnsi="宋体" w:eastAsia="宋体" w:cs="宋体"/>
                <w:spacing w:val="-3"/>
                <w:sz w:val="20"/>
                <w:szCs w:val="20"/>
              </w:rPr>
              <w:t>舍</w:t>
            </w:r>
          </w:p>
        </w:tc>
        <w:tc>
          <w:tcPr>
            <w:tcW w:w="2002" w:type="dxa"/>
          </w:tcPr>
          <w:p w14:paraId="192ACB28">
            <w:pPr>
              <w:spacing w:before="31" w:line="228" w:lineRule="auto"/>
              <w:ind w:left="797"/>
              <w:rPr>
                <w:rFonts w:ascii="宋体" w:hAnsi="宋体" w:eastAsia="宋体" w:cs="宋体"/>
                <w:sz w:val="20"/>
                <w:szCs w:val="20"/>
              </w:rPr>
            </w:pPr>
            <w:r>
              <w:rPr>
                <w:rFonts w:ascii="宋体" w:hAnsi="宋体" w:eastAsia="宋体" w:cs="宋体"/>
                <w:spacing w:val="5"/>
                <w:sz w:val="20"/>
                <w:szCs w:val="20"/>
              </w:rPr>
              <w:t>猪</w:t>
            </w:r>
            <w:r>
              <w:rPr>
                <w:rFonts w:ascii="宋体" w:hAnsi="宋体" w:eastAsia="宋体" w:cs="宋体"/>
                <w:spacing w:val="4"/>
                <w:sz w:val="20"/>
                <w:szCs w:val="20"/>
              </w:rPr>
              <w:t>叫</w:t>
            </w:r>
          </w:p>
        </w:tc>
        <w:tc>
          <w:tcPr>
            <w:tcW w:w="4362" w:type="dxa"/>
            <w:tcBorders>
              <w:right w:val="nil"/>
            </w:tcBorders>
          </w:tcPr>
          <w:p w14:paraId="19C06AA4">
            <w:pPr>
              <w:spacing w:before="31" w:line="228" w:lineRule="auto"/>
              <w:ind w:left="1985"/>
              <w:rPr>
                <w:rFonts w:ascii="宋体" w:hAnsi="宋体" w:eastAsia="宋体" w:cs="宋体"/>
                <w:sz w:val="20"/>
                <w:szCs w:val="20"/>
              </w:rPr>
            </w:pPr>
            <w:r>
              <w:rPr>
                <w:rFonts w:ascii="宋体" w:hAnsi="宋体" w:eastAsia="宋体" w:cs="宋体"/>
                <w:spacing w:val="-1"/>
                <w:sz w:val="20"/>
                <w:szCs w:val="20"/>
              </w:rPr>
              <w:t>噪</w:t>
            </w:r>
            <w:r>
              <w:rPr>
                <w:rFonts w:ascii="宋体" w:hAnsi="宋体" w:eastAsia="宋体" w:cs="宋体"/>
                <w:sz w:val="20"/>
                <w:szCs w:val="20"/>
              </w:rPr>
              <w:t>声</w:t>
            </w:r>
          </w:p>
        </w:tc>
      </w:tr>
      <w:tr w14:paraId="70453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500" w:type="dxa"/>
            <w:vMerge w:val="restart"/>
            <w:tcBorders>
              <w:left w:val="nil"/>
              <w:bottom w:val="nil"/>
            </w:tcBorders>
          </w:tcPr>
          <w:p w14:paraId="5E7898BC">
            <w:pPr>
              <w:spacing w:line="336" w:lineRule="auto"/>
            </w:pPr>
          </w:p>
          <w:p w14:paraId="53885F67">
            <w:pPr>
              <w:spacing w:line="337" w:lineRule="auto"/>
            </w:pPr>
          </w:p>
          <w:p w14:paraId="31C0DCF8">
            <w:pPr>
              <w:spacing w:before="65" w:line="228" w:lineRule="auto"/>
              <w:ind w:left="461"/>
              <w:rPr>
                <w:rFonts w:ascii="宋体" w:hAnsi="宋体" w:eastAsia="宋体" w:cs="宋体"/>
                <w:sz w:val="20"/>
                <w:szCs w:val="20"/>
              </w:rPr>
            </w:pPr>
            <w:r>
              <w:rPr>
                <w:rFonts w:ascii="宋体" w:hAnsi="宋体" w:eastAsia="宋体" w:cs="宋体"/>
                <w:spacing w:val="1"/>
                <w:sz w:val="20"/>
                <w:szCs w:val="20"/>
              </w:rPr>
              <w:t xml:space="preserve">固 </w:t>
            </w:r>
            <w:r>
              <w:rPr>
                <w:rFonts w:ascii="宋体" w:hAnsi="宋体" w:eastAsia="宋体" w:cs="宋体"/>
                <w:sz w:val="20"/>
                <w:szCs w:val="20"/>
              </w:rPr>
              <w:t xml:space="preserve"> 废</w:t>
            </w:r>
          </w:p>
        </w:tc>
        <w:tc>
          <w:tcPr>
            <w:tcW w:w="1849" w:type="dxa"/>
          </w:tcPr>
          <w:p w14:paraId="4EE9D4CF">
            <w:pPr>
              <w:spacing w:before="60" w:line="228" w:lineRule="auto"/>
              <w:ind w:left="512"/>
              <w:rPr>
                <w:rFonts w:ascii="宋体" w:hAnsi="宋体" w:eastAsia="宋体" w:cs="宋体"/>
                <w:sz w:val="20"/>
                <w:szCs w:val="20"/>
              </w:rPr>
            </w:pPr>
            <w:r>
              <w:rPr>
                <w:rFonts w:ascii="宋体" w:hAnsi="宋体" w:eastAsia="宋体" w:cs="宋体"/>
                <w:spacing w:val="9"/>
                <w:sz w:val="20"/>
                <w:szCs w:val="20"/>
              </w:rPr>
              <w:t>工</w:t>
            </w:r>
            <w:r>
              <w:rPr>
                <w:rFonts w:ascii="宋体" w:hAnsi="宋体" w:eastAsia="宋体" w:cs="宋体"/>
                <w:spacing w:val="6"/>
                <w:sz w:val="20"/>
                <w:szCs w:val="20"/>
              </w:rPr>
              <w:t>作人员</w:t>
            </w:r>
          </w:p>
        </w:tc>
        <w:tc>
          <w:tcPr>
            <w:tcW w:w="2002" w:type="dxa"/>
          </w:tcPr>
          <w:p w14:paraId="7B95E44F">
            <w:pPr>
              <w:spacing w:before="60" w:line="228" w:lineRule="auto"/>
              <w:ind w:left="589"/>
              <w:rPr>
                <w:rFonts w:ascii="宋体" w:hAnsi="宋体" w:eastAsia="宋体" w:cs="宋体"/>
                <w:sz w:val="20"/>
                <w:szCs w:val="20"/>
              </w:rPr>
            </w:pPr>
            <w:r>
              <w:rPr>
                <w:rFonts w:ascii="宋体" w:hAnsi="宋体" w:eastAsia="宋体" w:cs="宋体"/>
                <w:spacing w:val="8"/>
                <w:sz w:val="20"/>
                <w:szCs w:val="20"/>
              </w:rPr>
              <w:t>一</w:t>
            </w:r>
            <w:r>
              <w:rPr>
                <w:rFonts w:ascii="宋体" w:hAnsi="宋体" w:eastAsia="宋体" w:cs="宋体"/>
                <w:spacing w:val="6"/>
                <w:sz w:val="20"/>
                <w:szCs w:val="20"/>
              </w:rPr>
              <w:t>般固废</w:t>
            </w:r>
          </w:p>
        </w:tc>
        <w:tc>
          <w:tcPr>
            <w:tcW w:w="4362" w:type="dxa"/>
            <w:tcBorders>
              <w:right w:val="nil"/>
            </w:tcBorders>
          </w:tcPr>
          <w:p w14:paraId="4064A61B">
            <w:pPr>
              <w:spacing w:before="60" w:line="228" w:lineRule="auto"/>
              <w:ind w:left="1768"/>
              <w:rPr>
                <w:rFonts w:ascii="宋体" w:hAnsi="宋体" w:eastAsia="宋体" w:cs="宋体"/>
                <w:sz w:val="20"/>
                <w:szCs w:val="20"/>
              </w:rPr>
            </w:pPr>
            <w:r>
              <w:rPr>
                <w:rFonts w:ascii="宋体" w:hAnsi="宋体" w:eastAsia="宋体" w:cs="宋体"/>
                <w:spacing w:val="7"/>
                <w:sz w:val="20"/>
                <w:szCs w:val="20"/>
              </w:rPr>
              <w:t>生活垃</w:t>
            </w:r>
            <w:r>
              <w:rPr>
                <w:rFonts w:ascii="宋体" w:hAnsi="宋体" w:eastAsia="宋体" w:cs="宋体"/>
                <w:spacing w:val="6"/>
                <w:sz w:val="20"/>
                <w:szCs w:val="20"/>
              </w:rPr>
              <w:t>圾</w:t>
            </w:r>
          </w:p>
        </w:tc>
      </w:tr>
      <w:tr w14:paraId="28554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500" w:type="dxa"/>
            <w:vMerge w:val="continue"/>
            <w:tcBorders>
              <w:top w:val="nil"/>
              <w:left w:val="nil"/>
              <w:bottom w:val="nil"/>
            </w:tcBorders>
          </w:tcPr>
          <w:p w14:paraId="2ACCAE1D"/>
        </w:tc>
        <w:tc>
          <w:tcPr>
            <w:tcW w:w="1849" w:type="dxa"/>
          </w:tcPr>
          <w:p w14:paraId="0940672E">
            <w:pPr>
              <w:spacing w:before="61" w:line="229" w:lineRule="auto"/>
              <w:ind w:left="735"/>
              <w:rPr>
                <w:rFonts w:ascii="宋体" w:hAnsi="宋体" w:eastAsia="宋体" w:cs="宋体"/>
                <w:sz w:val="20"/>
                <w:szCs w:val="20"/>
              </w:rPr>
            </w:pPr>
            <w:r>
              <w:rPr>
                <w:rFonts w:ascii="宋体" w:hAnsi="宋体" w:eastAsia="宋体" w:cs="宋体"/>
                <w:spacing w:val="-4"/>
                <w:sz w:val="20"/>
                <w:szCs w:val="20"/>
              </w:rPr>
              <w:t>圈</w:t>
            </w:r>
            <w:r>
              <w:rPr>
                <w:rFonts w:ascii="宋体" w:hAnsi="宋体" w:eastAsia="宋体" w:cs="宋体"/>
                <w:spacing w:val="-3"/>
                <w:sz w:val="20"/>
                <w:szCs w:val="20"/>
              </w:rPr>
              <w:t>舍</w:t>
            </w:r>
          </w:p>
        </w:tc>
        <w:tc>
          <w:tcPr>
            <w:tcW w:w="2002" w:type="dxa"/>
          </w:tcPr>
          <w:p w14:paraId="06C2FE9F">
            <w:pPr>
              <w:spacing w:before="61" w:line="228" w:lineRule="auto"/>
              <w:ind w:left="589"/>
              <w:rPr>
                <w:rFonts w:ascii="宋体" w:hAnsi="宋体" w:eastAsia="宋体" w:cs="宋体"/>
                <w:sz w:val="20"/>
                <w:szCs w:val="20"/>
              </w:rPr>
            </w:pPr>
            <w:r>
              <w:rPr>
                <w:rFonts w:ascii="宋体" w:hAnsi="宋体" w:eastAsia="宋体" w:cs="宋体"/>
                <w:spacing w:val="8"/>
                <w:sz w:val="20"/>
                <w:szCs w:val="20"/>
              </w:rPr>
              <w:t>一</w:t>
            </w:r>
            <w:r>
              <w:rPr>
                <w:rFonts w:ascii="宋体" w:hAnsi="宋体" w:eastAsia="宋体" w:cs="宋体"/>
                <w:spacing w:val="6"/>
                <w:sz w:val="20"/>
                <w:szCs w:val="20"/>
              </w:rPr>
              <w:t>般固废</w:t>
            </w:r>
          </w:p>
        </w:tc>
        <w:tc>
          <w:tcPr>
            <w:tcW w:w="4362" w:type="dxa"/>
            <w:tcBorders>
              <w:right w:val="nil"/>
            </w:tcBorders>
          </w:tcPr>
          <w:p w14:paraId="01AEC201">
            <w:pPr>
              <w:spacing w:before="61" w:line="228" w:lineRule="auto"/>
              <w:ind w:left="1554"/>
              <w:rPr>
                <w:rFonts w:ascii="宋体" w:hAnsi="宋体" w:eastAsia="宋体" w:cs="宋体"/>
                <w:sz w:val="20"/>
                <w:szCs w:val="20"/>
              </w:rPr>
            </w:pPr>
            <w:r>
              <w:rPr>
                <w:rFonts w:ascii="宋体" w:hAnsi="宋体" w:eastAsia="宋体" w:cs="宋体"/>
                <w:spacing w:val="10"/>
                <w:sz w:val="20"/>
                <w:szCs w:val="20"/>
              </w:rPr>
              <w:t>病</w:t>
            </w:r>
            <w:r>
              <w:rPr>
                <w:rFonts w:ascii="宋体" w:hAnsi="宋体" w:eastAsia="宋体" w:cs="宋体"/>
                <w:spacing w:val="8"/>
                <w:sz w:val="20"/>
                <w:szCs w:val="20"/>
              </w:rPr>
              <w:t>死猪、粪便</w:t>
            </w:r>
          </w:p>
        </w:tc>
      </w:tr>
      <w:tr w14:paraId="6FB33A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500" w:type="dxa"/>
            <w:vMerge w:val="continue"/>
            <w:tcBorders>
              <w:top w:val="nil"/>
              <w:left w:val="nil"/>
              <w:bottom w:val="nil"/>
            </w:tcBorders>
          </w:tcPr>
          <w:p w14:paraId="69DAAF2B"/>
        </w:tc>
        <w:tc>
          <w:tcPr>
            <w:tcW w:w="1849" w:type="dxa"/>
          </w:tcPr>
          <w:p w14:paraId="057EFE62">
            <w:pPr>
              <w:spacing w:before="61" w:line="228" w:lineRule="auto"/>
              <w:ind w:left="407"/>
              <w:rPr>
                <w:rFonts w:ascii="宋体" w:hAnsi="宋体" w:eastAsia="宋体" w:cs="宋体"/>
                <w:sz w:val="20"/>
                <w:szCs w:val="20"/>
              </w:rPr>
            </w:pPr>
            <w:r>
              <w:rPr>
                <w:rFonts w:ascii="宋体" w:hAnsi="宋体" w:eastAsia="宋体" w:cs="宋体"/>
                <w:spacing w:val="10"/>
                <w:sz w:val="20"/>
                <w:szCs w:val="20"/>
              </w:rPr>
              <w:t>异</w:t>
            </w:r>
            <w:r>
              <w:rPr>
                <w:rFonts w:ascii="宋体" w:hAnsi="宋体" w:eastAsia="宋体" w:cs="宋体"/>
                <w:spacing w:val="7"/>
                <w:sz w:val="20"/>
                <w:szCs w:val="20"/>
              </w:rPr>
              <w:t>位发酵床</w:t>
            </w:r>
          </w:p>
        </w:tc>
        <w:tc>
          <w:tcPr>
            <w:tcW w:w="2002" w:type="dxa"/>
          </w:tcPr>
          <w:p w14:paraId="73F1AF72">
            <w:pPr>
              <w:spacing w:before="62" w:line="228" w:lineRule="auto"/>
              <w:ind w:left="589"/>
              <w:rPr>
                <w:rFonts w:ascii="宋体" w:hAnsi="宋体" w:eastAsia="宋体" w:cs="宋体"/>
                <w:sz w:val="20"/>
                <w:szCs w:val="20"/>
              </w:rPr>
            </w:pPr>
            <w:r>
              <w:rPr>
                <w:rFonts w:ascii="宋体" w:hAnsi="宋体" w:eastAsia="宋体" w:cs="宋体"/>
                <w:spacing w:val="8"/>
                <w:sz w:val="20"/>
                <w:szCs w:val="20"/>
              </w:rPr>
              <w:t>一</w:t>
            </w:r>
            <w:r>
              <w:rPr>
                <w:rFonts w:ascii="宋体" w:hAnsi="宋体" w:eastAsia="宋体" w:cs="宋体"/>
                <w:spacing w:val="6"/>
                <w:sz w:val="20"/>
                <w:szCs w:val="20"/>
              </w:rPr>
              <w:t>般固废</w:t>
            </w:r>
          </w:p>
        </w:tc>
        <w:tc>
          <w:tcPr>
            <w:tcW w:w="4362" w:type="dxa"/>
            <w:tcBorders>
              <w:right w:val="nil"/>
            </w:tcBorders>
          </w:tcPr>
          <w:p w14:paraId="19E48AF3">
            <w:pPr>
              <w:spacing w:before="62" w:line="228" w:lineRule="auto"/>
              <w:ind w:left="1871"/>
              <w:rPr>
                <w:rFonts w:ascii="宋体" w:hAnsi="宋体" w:eastAsia="宋体" w:cs="宋体"/>
                <w:sz w:val="20"/>
                <w:szCs w:val="20"/>
              </w:rPr>
            </w:pPr>
            <w:r>
              <w:rPr>
                <w:rFonts w:ascii="宋体" w:hAnsi="宋体" w:eastAsia="宋体" w:cs="宋体"/>
                <w:spacing w:val="7"/>
                <w:sz w:val="20"/>
                <w:szCs w:val="20"/>
              </w:rPr>
              <w:t>废垫料</w:t>
            </w:r>
          </w:p>
        </w:tc>
      </w:tr>
      <w:tr w14:paraId="692385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500" w:type="dxa"/>
            <w:vMerge w:val="continue"/>
            <w:tcBorders>
              <w:top w:val="nil"/>
              <w:left w:val="nil"/>
              <w:bottom w:val="nil"/>
            </w:tcBorders>
          </w:tcPr>
          <w:p w14:paraId="49D2AA19"/>
        </w:tc>
        <w:tc>
          <w:tcPr>
            <w:tcW w:w="1849" w:type="dxa"/>
          </w:tcPr>
          <w:p w14:paraId="31D4506F">
            <w:pPr>
              <w:spacing w:before="62" w:line="228" w:lineRule="auto"/>
              <w:ind w:left="512"/>
              <w:rPr>
                <w:rFonts w:ascii="宋体" w:hAnsi="宋体" w:eastAsia="宋体" w:cs="宋体"/>
                <w:sz w:val="20"/>
                <w:szCs w:val="20"/>
              </w:rPr>
            </w:pPr>
            <w:r>
              <w:rPr>
                <w:rFonts w:ascii="宋体" w:hAnsi="宋体" w:eastAsia="宋体" w:cs="宋体"/>
                <w:spacing w:val="7"/>
                <w:sz w:val="20"/>
                <w:szCs w:val="20"/>
              </w:rPr>
              <w:t>生猪养</w:t>
            </w:r>
            <w:r>
              <w:rPr>
                <w:rFonts w:ascii="宋体" w:hAnsi="宋体" w:eastAsia="宋体" w:cs="宋体"/>
                <w:spacing w:val="6"/>
                <w:sz w:val="20"/>
                <w:szCs w:val="20"/>
              </w:rPr>
              <w:t>殖</w:t>
            </w:r>
          </w:p>
        </w:tc>
        <w:tc>
          <w:tcPr>
            <w:tcW w:w="2002" w:type="dxa"/>
          </w:tcPr>
          <w:p w14:paraId="391E7383">
            <w:pPr>
              <w:spacing w:before="63" w:line="228" w:lineRule="auto"/>
              <w:ind w:left="589"/>
              <w:rPr>
                <w:rFonts w:ascii="宋体" w:hAnsi="宋体" w:eastAsia="宋体" w:cs="宋体"/>
                <w:sz w:val="20"/>
                <w:szCs w:val="20"/>
              </w:rPr>
            </w:pPr>
            <w:r>
              <w:rPr>
                <w:rFonts w:ascii="宋体" w:hAnsi="宋体" w:eastAsia="宋体" w:cs="宋体"/>
                <w:spacing w:val="8"/>
                <w:sz w:val="20"/>
                <w:szCs w:val="20"/>
              </w:rPr>
              <w:t>一</w:t>
            </w:r>
            <w:r>
              <w:rPr>
                <w:rFonts w:ascii="宋体" w:hAnsi="宋体" w:eastAsia="宋体" w:cs="宋体"/>
                <w:spacing w:val="6"/>
                <w:sz w:val="20"/>
                <w:szCs w:val="20"/>
              </w:rPr>
              <w:t>般固废</w:t>
            </w:r>
          </w:p>
        </w:tc>
        <w:tc>
          <w:tcPr>
            <w:tcW w:w="4362" w:type="dxa"/>
            <w:tcBorders>
              <w:right w:val="nil"/>
            </w:tcBorders>
          </w:tcPr>
          <w:p w14:paraId="6042437A">
            <w:pPr>
              <w:spacing w:before="63" w:line="228" w:lineRule="auto"/>
              <w:ind w:left="1765"/>
              <w:rPr>
                <w:rFonts w:ascii="宋体" w:hAnsi="宋体" w:eastAsia="宋体" w:cs="宋体"/>
                <w:sz w:val="20"/>
                <w:szCs w:val="20"/>
              </w:rPr>
            </w:pPr>
            <w:r>
              <w:rPr>
                <w:rFonts w:ascii="宋体" w:hAnsi="宋体" w:eastAsia="宋体" w:cs="宋体"/>
                <w:spacing w:val="9"/>
                <w:sz w:val="20"/>
                <w:szCs w:val="20"/>
              </w:rPr>
              <w:t>废</w:t>
            </w:r>
            <w:r>
              <w:rPr>
                <w:rFonts w:ascii="宋体" w:hAnsi="宋体" w:eastAsia="宋体" w:cs="宋体"/>
                <w:spacing w:val="7"/>
                <w:sz w:val="20"/>
                <w:szCs w:val="20"/>
              </w:rPr>
              <w:t>饲料袋</w:t>
            </w:r>
          </w:p>
        </w:tc>
      </w:tr>
      <w:tr w14:paraId="4E8D67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500" w:type="dxa"/>
            <w:vMerge w:val="continue"/>
            <w:tcBorders>
              <w:top w:val="nil"/>
              <w:left w:val="nil"/>
            </w:tcBorders>
          </w:tcPr>
          <w:p w14:paraId="12D1B5B7"/>
        </w:tc>
        <w:tc>
          <w:tcPr>
            <w:tcW w:w="1849" w:type="dxa"/>
          </w:tcPr>
          <w:p w14:paraId="1234DA97">
            <w:pPr>
              <w:spacing w:before="64" w:line="228" w:lineRule="auto"/>
              <w:ind w:left="417"/>
              <w:rPr>
                <w:rFonts w:ascii="宋体" w:hAnsi="宋体" w:eastAsia="宋体" w:cs="宋体"/>
                <w:sz w:val="20"/>
                <w:szCs w:val="20"/>
              </w:rPr>
            </w:pPr>
            <w:r>
              <w:rPr>
                <w:rFonts w:ascii="宋体" w:hAnsi="宋体" w:eastAsia="宋体" w:cs="宋体"/>
                <w:spacing w:val="5"/>
                <w:sz w:val="20"/>
                <w:szCs w:val="20"/>
              </w:rPr>
              <w:t>防疫、医疗</w:t>
            </w:r>
          </w:p>
        </w:tc>
        <w:tc>
          <w:tcPr>
            <w:tcW w:w="2002" w:type="dxa"/>
          </w:tcPr>
          <w:p w14:paraId="10B293AC">
            <w:pPr>
              <w:spacing w:before="64" w:line="228" w:lineRule="auto"/>
              <w:ind w:left="596"/>
              <w:rPr>
                <w:rFonts w:ascii="宋体" w:hAnsi="宋体" w:eastAsia="宋体" w:cs="宋体"/>
                <w:sz w:val="20"/>
                <w:szCs w:val="20"/>
              </w:rPr>
            </w:pPr>
            <w:r>
              <w:rPr>
                <w:rFonts w:ascii="宋体" w:hAnsi="宋体" w:eastAsia="宋体" w:cs="宋体"/>
                <w:spacing w:val="5"/>
                <w:sz w:val="20"/>
                <w:szCs w:val="20"/>
              </w:rPr>
              <w:t>医疗废</w:t>
            </w:r>
            <w:r>
              <w:rPr>
                <w:rFonts w:ascii="宋体" w:hAnsi="宋体" w:eastAsia="宋体" w:cs="宋体"/>
                <w:spacing w:val="4"/>
                <w:sz w:val="20"/>
                <w:szCs w:val="20"/>
              </w:rPr>
              <w:t>物</w:t>
            </w:r>
          </w:p>
        </w:tc>
        <w:tc>
          <w:tcPr>
            <w:tcW w:w="4362" w:type="dxa"/>
            <w:tcBorders>
              <w:right w:val="nil"/>
            </w:tcBorders>
          </w:tcPr>
          <w:p w14:paraId="2DD7E588">
            <w:pPr>
              <w:spacing w:before="64" w:line="228" w:lineRule="auto"/>
              <w:ind w:left="1240"/>
              <w:rPr>
                <w:rFonts w:ascii="宋体" w:hAnsi="宋体" w:eastAsia="宋体" w:cs="宋体"/>
                <w:sz w:val="20"/>
                <w:szCs w:val="20"/>
              </w:rPr>
            </w:pPr>
            <w:r>
              <w:rPr>
                <w:rFonts w:ascii="宋体" w:hAnsi="宋体" w:eastAsia="宋体" w:cs="宋体"/>
                <w:spacing w:val="9"/>
                <w:sz w:val="20"/>
                <w:szCs w:val="20"/>
              </w:rPr>
              <w:t>废药品包装、针头等</w:t>
            </w:r>
          </w:p>
        </w:tc>
      </w:tr>
    </w:tbl>
    <w:p w14:paraId="21BB075B">
      <w:pPr>
        <w:spacing w:before="37" w:line="228" w:lineRule="auto"/>
        <w:ind w:left="112"/>
        <w:outlineLvl w:val="2"/>
        <w:rPr>
          <w:rFonts w:ascii="宋体" w:hAnsi="宋体" w:eastAsia="宋体" w:cs="宋体"/>
          <w:sz w:val="23"/>
          <w:szCs w:val="23"/>
        </w:rPr>
      </w:pPr>
      <w:r>
        <w:rPr>
          <w:rFonts w:ascii="Times New Roman" w:hAnsi="Times New Roman" w:eastAsia="Times New Roman" w:cs="Times New Roman"/>
          <w:b/>
          <w:bCs/>
          <w:spacing w:val="12"/>
          <w:sz w:val="23"/>
          <w:szCs w:val="23"/>
        </w:rPr>
        <w:t>3</w:t>
      </w:r>
      <w:r>
        <w:rPr>
          <w:rFonts w:ascii="Times New Roman" w:hAnsi="Times New Roman" w:eastAsia="Times New Roman" w:cs="Times New Roman"/>
          <w:b/>
          <w:bCs/>
          <w:spacing w:val="8"/>
          <w:sz w:val="23"/>
          <w:szCs w:val="23"/>
        </w:rPr>
        <w:t>.3.7</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运营期污染排放及治理措施</w:t>
      </w:r>
    </w:p>
    <w:p w14:paraId="1F15ECC7">
      <w:pPr>
        <w:spacing w:before="181" w:line="227" w:lineRule="auto"/>
        <w:ind w:left="112"/>
        <w:outlineLvl w:val="3"/>
        <w:rPr>
          <w:rFonts w:ascii="宋体" w:hAnsi="宋体" w:eastAsia="宋体" w:cs="宋体"/>
          <w:sz w:val="23"/>
          <w:szCs w:val="23"/>
        </w:rPr>
      </w:pPr>
      <w:r>
        <w:rPr>
          <w:rFonts w:ascii="Times New Roman" w:hAnsi="Times New Roman" w:eastAsia="Times New Roman" w:cs="Times New Roman"/>
          <w:b/>
          <w:bCs/>
          <w:spacing w:val="6"/>
          <w:sz w:val="23"/>
          <w:szCs w:val="23"/>
        </w:rPr>
        <w:t>3</w:t>
      </w:r>
      <w:r>
        <w:rPr>
          <w:rFonts w:ascii="Times New Roman" w:hAnsi="Times New Roman" w:eastAsia="Times New Roman" w:cs="Times New Roman"/>
          <w:b/>
          <w:bCs/>
          <w:spacing w:val="5"/>
          <w:sz w:val="23"/>
          <w:szCs w:val="23"/>
        </w:rPr>
        <w:t>.3.7.1</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地表水</w:t>
      </w:r>
    </w:p>
    <w:p w14:paraId="2729430B">
      <w:pPr>
        <w:spacing w:before="184" w:line="375" w:lineRule="auto"/>
        <w:ind w:left="132" w:right="107" w:firstLine="469"/>
        <w:rPr>
          <w:rFonts w:ascii="宋体" w:hAnsi="宋体" w:eastAsia="宋体" w:cs="宋体"/>
          <w:sz w:val="23"/>
          <w:szCs w:val="23"/>
        </w:rPr>
      </w:pPr>
      <w:r>
        <w:rPr>
          <w:rFonts w:ascii="宋体" w:hAnsi="宋体" w:eastAsia="宋体" w:cs="宋体"/>
          <w:spacing w:val="7"/>
          <w:sz w:val="23"/>
          <w:szCs w:val="23"/>
        </w:rPr>
        <w:t>项目营运期产生的废水主要为生产废水、生活污水及初期雨水，项目生产废水主要为</w:t>
      </w:r>
      <w:r>
        <w:rPr>
          <w:rFonts w:ascii="宋体" w:hAnsi="宋体" w:eastAsia="宋体" w:cs="宋体"/>
          <w:spacing w:val="4"/>
          <w:sz w:val="23"/>
          <w:szCs w:val="23"/>
        </w:rPr>
        <w:t>猪</w:t>
      </w:r>
      <w:r>
        <w:rPr>
          <w:rFonts w:ascii="宋体" w:hAnsi="宋体" w:eastAsia="宋体" w:cs="宋体"/>
          <w:sz w:val="23"/>
          <w:szCs w:val="23"/>
        </w:rPr>
        <w:t xml:space="preserve"> </w:t>
      </w:r>
      <w:r>
        <w:rPr>
          <w:rFonts w:ascii="宋体" w:hAnsi="宋体" w:eastAsia="宋体" w:cs="宋体"/>
          <w:spacing w:val="9"/>
          <w:sz w:val="23"/>
          <w:szCs w:val="23"/>
        </w:rPr>
        <w:t>只排放的尿液、猪舍及猪用具冲洗废水，生活污水为职工生活排放的污水等。</w:t>
      </w:r>
    </w:p>
    <w:p w14:paraId="74FDD209">
      <w:pPr>
        <w:spacing w:line="227" w:lineRule="auto"/>
        <w:ind w:left="609"/>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1</w:t>
      </w:r>
      <w:r>
        <w:rPr>
          <w:rFonts w:ascii="宋体" w:hAnsi="宋体" w:eastAsia="宋体" w:cs="宋体"/>
          <w:spacing w:val="20"/>
          <w:sz w:val="23"/>
          <w:szCs w:val="23"/>
        </w:rPr>
        <w:t>) 生产废</w:t>
      </w:r>
      <w:r>
        <w:rPr>
          <w:rFonts w:ascii="宋体" w:hAnsi="宋体" w:eastAsia="宋体" w:cs="宋体"/>
          <w:spacing w:val="19"/>
          <w:sz w:val="23"/>
          <w:szCs w:val="23"/>
        </w:rPr>
        <w:t>水</w:t>
      </w:r>
    </w:p>
    <w:p w14:paraId="486FA9B1">
      <w:pPr>
        <w:spacing w:before="138" w:line="375" w:lineRule="auto"/>
        <w:ind w:left="116" w:right="100" w:firstLine="481"/>
        <w:rPr>
          <w:rFonts w:ascii="宋体" w:hAnsi="宋体" w:eastAsia="宋体" w:cs="宋体"/>
          <w:sz w:val="23"/>
          <w:szCs w:val="23"/>
        </w:rPr>
      </w:pPr>
      <w:r>
        <w:rPr>
          <w:rFonts w:ascii="宋体" w:hAnsi="宋体" w:eastAsia="宋体" w:cs="宋体"/>
          <w:spacing w:val="4"/>
          <w:sz w:val="23"/>
          <w:szCs w:val="23"/>
        </w:rPr>
        <w:t>根</w:t>
      </w:r>
      <w:r>
        <w:rPr>
          <w:rFonts w:ascii="宋体" w:hAnsi="宋体" w:eastAsia="宋体" w:cs="宋体"/>
          <w:spacing w:val="3"/>
          <w:sz w:val="23"/>
          <w:szCs w:val="23"/>
        </w:rPr>
        <w:t>据</w:t>
      </w:r>
      <w:r>
        <w:rPr>
          <w:rFonts w:ascii="宋体" w:hAnsi="宋体" w:eastAsia="宋体" w:cs="宋体"/>
          <w:spacing w:val="2"/>
          <w:sz w:val="23"/>
          <w:szCs w:val="23"/>
        </w:rPr>
        <w:t>章节</w:t>
      </w:r>
      <w:r>
        <w:rPr>
          <w:rFonts w:ascii="Times New Roman" w:hAnsi="Times New Roman" w:eastAsia="Times New Roman" w:cs="Times New Roman"/>
          <w:spacing w:val="2"/>
          <w:sz w:val="23"/>
          <w:szCs w:val="23"/>
        </w:rPr>
        <w:t xml:space="preserve">“3.3.5 </w:t>
      </w:r>
      <w:r>
        <w:rPr>
          <w:rFonts w:ascii="宋体" w:hAnsi="宋体" w:eastAsia="宋体" w:cs="宋体"/>
          <w:spacing w:val="2"/>
          <w:sz w:val="23"/>
          <w:szCs w:val="23"/>
        </w:rPr>
        <w:t>项目水平衡分析</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 xml:space="preserve">，  猪只尿液产生量为 </w:t>
      </w:r>
      <w:r>
        <w:rPr>
          <w:rFonts w:ascii="Times New Roman" w:hAnsi="Times New Roman" w:eastAsia="Times New Roman" w:cs="Times New Roman"/>
          <w:spacing w:val="2"/>
          <w:sz w:val="23"/>
          <w:szCs w:val="23"/>
        </w:rPr>
        <w:t>12374.96</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7"/>
          <w:sz w:val="15"/>
          <w:szCs w:val="15"/>
        </w:rPr>
        <w:t>3</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，猪舍冲洗废水量</w:t>
      </w:r>
      <w:r>
        <w:rPr>
          <w:rFonts w:ascii="宋体" w:hAnsi="宋体" w:eastAsia="宋体" w:cs="宋体"/>
          <w:sz w:val="23"/>
          <w:szCs w:val="23"/>
        </w:rPr>
        <w:t xml:space="preserve"> </w:t>
      </w:r>
      <w:r>
        <w:rPr>
          <w:rFonts w:ascii="宋体" w:hAnsi="宋体" w:eastAsia="宋体" w:cs="宋体"/>
          <w:spacing w:val="18"/>
          <w:sz w:val="23"/>
          <w:szCs w:val="23"/>
        </w:rPr>
        <w:t>为</w:t>
      </w:r>
      <w:r>
        <w:rPr>
          <w:rFonts w:ascii="宋体" w:hAnsi="宋体" w:eastAsia="宋体" w:cs="宋体"/>
          <w:spacing w:val="12"/>
          <w:sz w:val="23"/>
          <w:szCs w:val="23"/>
        </w:rPr>
        <w:t xml:space="preserve"> </w:t>
      </w:r>
      <w:r>
        <w:rPr>
          <w:rFonts w:ascii="Times New Roman" w:hAnsi="Times New Roman" w:eastAsia="Times New Roman" w:cs="Times New Roman"/>
          <w:spacing w:val="9"/>
          <w:sz w:val="23"/>
          <w:szCs w:val="23"/>
        </w:rPr>
        <w:t>159.354</w:t>
      </w:r>
      <w:r>
        <w:rPr>
          <w:rFonts w:ascii="Times New Roman" w:hAnsi="Times New Roman" w:eastAsia="Times New Roman" w:cs="Times New Roman"/>
          <w:sz w:val="23"/>
          <w:szCs w:val="23"/>
        </w:rPr>
        <w:t>m</w:t>
      </w:r>
      <w:r>
        <w:rPr>
          <w:rFonts w:ascii="Times New Roman" w:hAnsi="Times New Roman" w:eastAsia="Times New Roman" w:cs="Times New Roman"/>
          <w:spacing w:val="9"/>
          <w:position w:val="7"/>
          <w:sz w:val="15"/>
          <w:szCs w:val="15"/>
        </w:rPr>
        <w:t>3</w:t>
      </w:r>
      <w:r>
        <w:rPr>
          <w:rFonts w:ascii="Times New Roman" w:hAnsi="Times New Roman" w:eastAsia="Times New Roman" w:cs="Times New Roman"/>
          <w:spacing w:val="9"/>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 xml:space="preserve">，生产废水产生总量为 </w:t>
      </w:r>
      <w:r>
        <w:rPr>
          <w:rFonts w:ascii="Times New Roman" w:hAnsi="Times New Roman" w:eastAsia="Times New Roman" w:cs="Times New Roman"/>
          <w:spacing w:val="9"/>
          <w:sz w:val="23"/>
          <w:szCs w:val="23"/>
        </w:rPr>
        <w:t>12534.314</w:t>
      </w:r>
      <w:r>
        <w:rPr>
          <w:rFonts w:ascii="Times New Roman" w:hAnsi="Times New Roman" w:eastAsia="Times New Roman" w:cs="Times New Roman"/>
          <w:sz w:val="23"/>
          <w:szCs w:val="23"/>
        </w:rPr>
        <w:t>m</w:t>
      </w:r>
      <w:r>
        <w:rPr>
          <w:rFonts w:ascii="Times New Roman" w:hAnsi="Times New Roman" w:eastAsia="Times New Roman" w:cs="Times New Roman"/>
          <w:spacing w:val="9"/>
          <w:position w:val="7"/>
          <w:sz w:val="15"/>
          <w:szCs w:val="15"/>
        </w:rPr>
        <w:t>3</w:t>
      </w:r>
      <w:r>
        <w:rPr>
          <w:rFonts w:ascii="Times New Roman" w:hAnsi="Times New Roman" w:eastAsia="Times New Roman" w:cs="Times New Roman"/>
          <w:spacing w:val="9"/>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w:t>
      </w:r>
      <w:r>
        <w:rPr>
          <w:rFonts w:ascii="Times New Roman" w:hAnsi="Times New Roman" w:eastAsia="Times New Roman" w:cs="Times New Roman"/>
          <w:spacing w:val="9"/>
          <w:sz w:val="23"/>
          <w:szCs w:val="23"/>
        </w:rPr>
        <w:t>34.34</w:t>
      </w:r>
      <w:r>
        <w:rPr>
          <w:rFonts w:ascii="Times New Roman" w:hAnsi="Times New Roman" w:eastAsia="Times New Roman" w:cs="Times New Roman"/>
          <w:sz w:val="23"/>
          <w:szCs w:val="23"/>
        </w:rPr>
        <w:t>m</w:t>
      </w:r>
      <w:r>
        <w:rPr>
          <w:rFonts w:ascii="Times New Roman" w:hAnsi="Times New Roman" w:eastAsia="Times New Roman" w:cs="Times New Roman"/>
          <w:spacing w:val="9"/>
          <w:position w:val="7"/>
          <w:sz w:val="15"/>
          <w:szCs w:val="15"/>
        </w:rPr>
        <w:t>3</w:t>
      </w:r>
      <w:r>
        <w:rPr>
          <w:rFonts w:ascii="Times New Roman" w:hAnsi="Times New Roman" w:eastAsia="Times New Roman" w:cs="Times New Roman"/>
          <w:spacing w:val="9"/>
          <w:sz w:val="23"/>
          <w:szCs w:val="23"/>
        </w:rPr>
        <w:t>/</w:t>
      </w:r>
      <w:r>
        <w:rPr>
          <w:rFonts w:ascii="Times New Roman" w:hAnsi="Times New Roman" w:eastAsia="Times New Roman" w:cs="Times New Roman"/>
          <w:sz w:val="23"/>
          <w:szCs w:val="23"/>
        </w:rPr>
        <w:t>d</w:t>
      </w:r>
      <w:r>
        <w:rPr>
          <w:rFonts w:ascii="宋体" w:hAnsi="宋体" w:eastAsia="宋体" w:cs="宋体"/>
          <w:spacing w:val="9"/>
          <w:sz w:val="23"/>
          <w:szCs w:val="23"/>
        </w:rPr>
        <w:t>) ；项 目产生猪粪约为</w:t>
      </w:r>
      <w:r>
        <w:rPr>
          <w:rFonts w:ascii="宋体" w:hAnsi="宋体" w:eastAsia="宋体" w:cs="宋体"/>
          <w:sz w:val="23"/>
          <w:szCs w:val="23"/>
        </w:rPr>
        <w:t xml:space="preserve"> </w:t>
      </w:r>
      <w:r>
        <w:rPr>
          <w:rFonts w:ascii="Times New Roman" w:hAnsi="Times New Roman" w:eastAsia="Times New Roman" w:cs="Times New Roman"/>
          <w:spacing w:val="8"/>
          <w:sz w:val="23"/>
          <w:szCs w:val="23"/>
        </w:rPr>
        <w:t>6301.3</w:t>
      </w:r>
      <w:r>
        <w:rPr>
          <w:rFonts w:ascii="Times New Roman" w:hAnsi="Times New Roman" w:eastAsia="Times New Roman" w:cs="Times New Roman"/>
          <w:spacing w:val="7"/>
          <w:sz w:val="23"/>
          <w:szCs w:val="23"/>
        </w:rPr>
        <w:t>6</w:t>
      </w:r>
      <w:r>
        <w:rPr>
          <w:rFonts w:ascii="Times New Roman" w:hAnsi="Times New Roman" w:eastAsia="Times New Roman" w:cs="Times New Roman"/>
          <w:sz w:val="23"/>
          <w:szCs w:val="23"/>
        </w:rPr>
        <w:t>t</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w:t>
      </w:r>
      <w:r>
        <w:rPr>
          <w:rFonts w:ascii="Times New Roman" w:hAnsi="Times New Roman" w:eastAsia="Times New Roman" w:cs="Times New Roman"/>
          <w:spacing w:val="4"/>
          <w:sz w:val="23"/>
          <w:szCs w:val="23"/>
        </w:rPr>
        <w:t>17.264</w:t>
      </w:r>
      <w:r>
        <w:rPr>
          <w:rFonts w:ascii="Times New Roman" w:hAnsi="Times New Roman" w:eastAsia="Times New Roman" w:cs="Times New Roman"/>
          <w:sz w:val="23"/>
          <w:szCs w:val="23"/>
        </w:rPr>
        <w:t>t</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d</w:t>
      </w:r>
      <w:r>
        <w:rPr>
          <w:rFonts w:ascii="宋体" w:hAnsi="宋体" w:eastAsia="宋体" w:cs="宋体"/>
          <w:spacing w:val="4"/>
          <w:sz w:val="23"/>
          <w:szCs w:val="23"/>
        </w:rPr>
        <w:t xml:space="preserve">) ，则项目粪污总量为 </w:t>
      </w:r>
      <w:r>
        <w:rPr>
          <w:rFonts w:ascii="Times New Roman" w:hAnsi="Times New Roman" w:eastAsia="Times New Roman" w:cs="Times New Roman"/>
          <w:spacing w:val="4"/>
          <w:sz w:val="23"/>
          <w:szCs w:val="23"/>
        </w:rPr>
        <w:t>18835.674</w:t>
      </w:r>
      <w:r>
        <w:rPr>
          <w:rFonts w:ascii="Times New Roman" w:hAnsi="Times New Roman" w:eastAsia="Times New Roman" w:cs="Times New Roman"/>
          <w:sz w:val="23"/>
          <w:szCs w:val="23"/>
        </w:rPr>
        <w:t>t</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w:t>
      </w:r>
      <w:r>
        <w:rPr>
          <w:rFonts w:ascii="Times New Roman" w:hAnsi="Times New Roman" w:eastAsia="Times New Roman" w:cs="Times New Roman"/>
          <w:spacing w:val="4"/>
          <w:sz w:val="23"/>
          <w:szCs w:val="23"/>
        </w:rPr>
        <w:t>24.58</w:t>
      </w:r>
      <w:r>
        <w:rPr>
          <w:rFonts w:ascii="Times New Roman" w:hAnsi="Times New Roman" w:eastAsia="Times New Roman" w:cs="Times New Roman"/>
          <w:sz w:val="23"/>
          <w:szCs w:val="23"/>
        </w:rPr>
        <w:t>t</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d</w:t>
      </w:r>
      <w:r>
        <w:rPr>
          <w:rFonts w:ascii="宋体" w:hAnsi="宋体" w:eastAsia="宋体" w:cs="宋体"/>
          <w:spacing w:val="4"/>
          <w:sz w:val="23"/>
          <w:szCs w:val="23"/>
        </w:rPr>
        <w:t>) 。厂区内建设有粪水储</w:t>
      </w:r>
      <w:r>
        <w:rPr>
          <w:rFonts w:ascii="宋体" w:hAnsi="宋体" w:eastAsia="宋体" w:cs="宋体"/>
          <w:sz w:val="23"/>
          <w:szCs w:val="23"/>
        </w:rPr>
        <w:t xml:space="preserve"> </w:t>
      </w:r>
      <w:r>
        <w:rPr>
          <w:rFonts w:ascii="宋体" w:hAnsi="宋体" w:eastAsia="宋体" w:cs="宋体"/>
          <w:spacing w:val="10"/>
          <w:sz w:val="23"/>
          <w:szCs w:val="23"/>
        </w:rPr>
        <w:t>存</w:t>
      </w:r>
      <w:r>
        <w:rPr>
          <w:rFonts w:ascii="宋体" w:hAnsi="宋体" w:eastAsia="宋体" w:cs="宋体"/>
          <w:spacing w:val="8"/>
          <w:sz w:val="23"/>
          <w:szCs w:val="23"/>
        </w:rPr>
        <w:t xml:space="preserve">池 </w:t>
      </w:r>
      <w:r>
        <w:rPr>
          <w:rFonts w:ascii="Times New Roman" w:hAnsi="Times New Roman" w:eastAsia="Times New Roman" w:cs="Times New Roman"/>
          <w:spacing w:val="8"/>
          <w:sz w:val="23"/>
          <w:szCs w:val="23"/>
        </w:rPr>
        <w:t xml:space="preserve">1000 </w:t>
      </w:r>
      <w:r>
        <w:rPr>
          <w:rFonts w:ascii="宋体" w:hAnsi="宋体" w:eastAsia="宋体" w:cs="宋体"/>
          <w:spacing w:val="8"/>
          <w:sz w:val="23"/>
          <w:szCs w:val="23"/>
        </w:rPr>
        <w:t>立方米，养殖废水每日运输至乐山乐高勤力生物质能源综合利用有限公司集中处</w:t>
      </w:r>
      <w:r>
        <w:rPr>
          <w:rFonts w:ascii="宋体" w:hAnsi="宋体" w:eastAsia="宋体" w:cs="宋体"/>
          <w:sz w:val="23"/>
          <w:szCs w:val="23"/>
        </w:rPr>
        <w:t xml:space="preserve"> </w:t>
      </w:r>
      <w:r>
        <w:rPr>
          <w:rFonts w:ascii="宋体" w:hAnsi="宋体" w:eastAsia="宋体" w:cs="宋体"/>
          <w:spacing w:val="10"/>
          <w:sz w:val="23"/>
          <w:szCs w:val="23"/>
        </w:rPr>
        <w:t>置</w:t>
      </w:r>
      <w:r>
        <w:rPr>
          <w:rFonts w:ascii="宋体" w:hAnsi="宋体" w:eastAsia="宋体" w:cs="宋体"/>
          <w:spacing w:val="7"/>
          <w:sz w:val="23"/>
          <w:szCs w:val="23"/>
        </w:rPr>
        <w:t>，</w:t>
      </w:r>
      <w:r>
        <w:rPr>
          <w:rFonts w:ascii="宋体" w:hAnsi="宋体" w:eastAsia="宋体" w:cs="宋体"/>
          <w:spacing w:val="5"/>
          <w:sz w:val="23"/>
          <w:szCs w:val="23"/>
        </w:rPr>
        <w:t xml:space="preserve"> 日产日清，此外，厂区还配套建设有一 </w:t>
      </w:r>
      <w:r>
        <w:rPr>
          <w:rFonts w:ascii="Times New Roman" w:hAnsi="Times New Roman" w:eastAsia="Times New Roman" w:cs="Times New Roman"/>
          <w:spacing w:val="5"/>
          <w:sz w:val="23"/>
          <w:szCs w:val="23"/>
        </w:rPr>
        <w:t>1600</w:t>
      </w:r>
      <w:r>
        <w:rPr>
          <w:rFonts w:ascii="Times New Roman" w:hAnsi="Times New Roman" w:eastAsia="Times New Roman" w:cs="Times New Roman"/>
          <w:sz w:val="23"/>
          <w:szCs w:val="23"/>
        </w:rPr>
        <w:t>m</w:t>
      </w:r>
      <w:r>
        <w:rPr>
          <w:rFonts w:ascii="Times New Roman" w:hAnsi="Times New Roman" w:eastAsia="Times New Roman" w:cs="Times New Roman"/>
          <w:spacing w:val="5"/>
          <w:position w:val="7"/>
          <w:sz w:val="15"/>
          <w:szCs w:val="15"/>
        </w:rPr>
        <w:t xml:space="preserve">2 </w:t>
      </w:r>
      <w:r>
        <w:rPr>
          <w:rFonts w:ascii="宋体" w:hAnsi="宋体" w:eastAsia="宋体" w:cs="宋体"/>
          <w:spacing w:val="5"/>
          <w:sz w:val="23"/>
          <w:szCs w:val="23"/>
        </w:rPr>
        <w:t>的发酵床备用，若后期乐山乐高勤力生</w:t>
      </w:r>
      <w:r>
        <w:rPr>
          <w:rFonts w:ascii="宋体" w:hAnsi="宋体" w:eastAsia="宋体" w:cs="宋体"/>
          <w:sz w:val="23"/>
          <w:szCs w:val="23"/>
        </w:rPr>
        <w:t xml:space="preserve"> </w:t>
      </w:r>
      <w:r>
        <w:rPr>
          <w:rFonts w:ascii="宋体" w:hAnsi="宋体" w:eastAsia="宋体" w:cs="宋体"/>
          <w:spacing w:val="14"/>
          <w:sz w:val="23"/>
          <w:szCs w:val="23"/>
        </w:rPr>
        <w:t>物</w:t>
      </w:r>
      <w:r>
        <w:rPr>
          <w:rFonts w:ascii="宋体" w:hAnsi="宋体" w:eastAsia="宋体" w:cs="宋体"/>
          <w:spacing w:val="9"/>
          <w:sz w:val="23"/>
          <w:szCs w:val="23"/>
        </w:rPr>
        <w:t>质</w:t>
      </w:r>
      <w:r>
        <w:rPr>
          <w:rFonts w:ascii="宋体" w:hAnsi="宋体" w:eastAsia="宋体" w:cs="宋体"/>
          <w:spacing w:val="7"/>
          <w:sz w:val="23"/>
          <w:szCs w:val="23"/>
        </w:rPr>
        <w:t>能源综合利用有限公司不再回收厂区内的养殖废水，可将通过异位发酵床自行处置，处</w:t>
      </w:r>
      <w:r>
        <w:rPr>
          <w:rFonts w:ascii="宋体" w:hAnsi="宋体" w:eastAsia="宋体" w:cs="宋体"/>
          <w:sz w:val="23"/>
          <w:szCs w:val="23"/>
        </w:rPr>
        <w:t xml:space="preserve"> </w:t>
      </w:r>
      <w:r>
        <w:rPr>
          <w:rFonts w:ascii="宋体" w:hAnsi="宋体" w:eastAsia="宋体" w:cs="宋体"/>
          <w:spacing w:val="14"/>
          <w:sz w:val="23"/>
          <w:szCs w:val="23"/>
        </w:rPr>
        <w:t>理</w:t>
      </w:r>
      <w:r>
        <w:rPr>
          <w:rFonts w:ascii="宋体" w:hAnsi="宋体" w:eastAsia="宋体" w:cs="宋体"/>
          <w:spacing w:val="8"/>
          <w:sz w:val="23"/>
          <w:szCs w:val="23"/>
        </w:rPr>
        <w:t>产生的有机肥外售处理。</w:t>
      </w:r>
    </w:p>
    <w:p w14:paraId="7ECDC00B">
      <w:pPr>
        <w:spacing w:before="1" w:line="380" w:lineRule="auto"/>
        <w:ind w:left="120" w:right="99" w:firstLine="481"/>
        <w:rPr>
          <w:rFonts w:ascii="宋体" w:hAnsi="宋体" w:eastAsia="宋体" w:cs="宋体"/>
          <w:sz w:val="23"/>
          <w:szCs w:val="23"/>
        </w:rPr>
      </w:pPr>
      <w:r>
        <w:rPr>
          <w:rFonts w:ascii="宋体" w:hAnsi="宋体" w:eastAsia="宋体" w:cs="宋体"/>
          <w:spacing w:val="6"/>
          <w:sz w:val="23"/>
          <w:szCs w:val="23"/>
        </w:rPr>
        <w:t xml:space="preserve">项目产生猪粪约为 </w:t>
      </w:r>
      <w:r>
        <w:rPr>
          <w:rFonts w:ascii="Times New Roman" w:hAnsi="Times New Roman" w:eastAsia="Times New Roman" w:cs="Times New Roman"/>
          <w:spacing w:val="6"/>
          <w:sz w:val="23"/>
          <w:szCs w:val="23"/>
        </w:rPr>
        <w:t>6301.36</w:t>
      </w:r>
      <w:r>
        <w:rPr>
          <w:rFonts w:ascii="Times New Roman" w:hAnsi="Times New Roman" w:eastAsia="Times New Roman" w:cs="Times New Roman"/>
          <w:sz w:val="23"/>
          <w:szCs w:val="23"/>
        </w:rPr>
        <w:t>t</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w:t>
      </w:r>
      <w:r>
        <w:rPr>
          <w:rFonts w:ascii="Times New Roman" w:hAnsi="Times New Roman" w:eastAsia="Times New Roman" w:cs="Times New Roman"/>
          <w:spacing w:val="6"/>
          <w:sz w:val="23"/>
          <w:szCs w:val="23"/>
        </w:rPr>
        <w:t>17.264</w:t>
      </w:r>
      <w:r>
        <w:rPr>
          <w:rFonts w:ascii="Times New Roman" w:hAnsi="Times New Roman" w:eastAsia="Times New Roman" w:cs="Times New Roman"/>
          <w:sz w:val="23"/>
          <w:szCs w:val="23"/>
        </w:rPr>
        <w:t>t</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d</w:t>
      </w:r>
      <w:r>
        <w:rPr>
          <w:rFonts w:ascii="宋体" w:hAnsi="宋体" w:eastAsia="宋体" w:cs="宋体"/>
          <w:spacing w:val="6"/>
          <w:sz w:val="23"/>
          <w:szCs w:val="23"/>
        </w:rPr>
        <w:t xml:space="preserve">) ，新鲜猪粪含水率以 </w:t>
      </w:r>
      <w:r>
        <w:rPr>
          <w:rFonts w:ascii="Times New Roman" w:hAnsi="Times New Roman" w:eastAsia="Times New Roman" w:cs="Times New Roman"/>
          <w:spacing w:val="6"/>
          <w:sz w:val="23"/>
          <w:szCs w:val="23"/>
        </w:rPr>
        <w:t>70%</w:t>
      </w:r>
      <w:r>
        <w:rPr>
          <w:rFonts w:ascii="宋体" w:hAnsi="宋体" w:eastAsia="宋体" w:cs="宋体"/>
          <w:spacing w:val="6"/>
          <w:sz w:val="23"/>
          <w:szCs w:val="23"/>
        </w:rPr>
        <w:t>计，则干粪产</w:t>
      </w:r>
      <w:r>
        <w:rPr>
          <w:rFonts w:ascii="宋体" w:hAnsi="宋体" w:eastAsia="宋体" w:cs="宋体"/>
          <w:spacing w:val="3"/>
          <w:sz w:val="23"/>
          <w:szCs w:val="23"/>
        </w:rPr>
        <w:t>生</w:t>
      </w:r>
      <w:r>
        <w:rPr>
          <w:rFonts w:ascii="宋体" w:hAnsi="宋体" w:eastAsia="宋体" w:cs="宋体"/>
          <w:sz w:val="23"/>
          <w:szCs w:val="23"/>
        </w:rPr>
        <w:t xml:space="preserve">量 </w:t>
      </w:r>
      <w:r>
        <w:rPr>
          <w:rFonts w:ascii="宋体" w:hAnsi="宋体" w:eastAsia="宋体" w:cs="宋体"/>
          <w:spacing w:val="4"/>
          <w:sz w:val="23"/>
          <w:szCs w:val="23"/>
        </w:rPr>
        <w:t xml:space="preserve">为 </w:t>
      </w:r>
      <w:r>
        <w:rPr>
          <w:rFonts w:ascii="Times New Roman" w:hAnsi="Times New Roman" w:eastAsia="Times New Roman" w:cs="Times New Roman"/>
          <w:spacing w:val="4"/>
          <w:sz w:val="23"/>
          <w:szCs w:val="23"/>
        </w:rPr>
        <w:t>189</w:t>
      </w:r>
      <w:r>
        <w:rPr>
          <w:rFonts w:ascii="Times New Roman" w:hAnsi="Times New Roman" w:eastAsia="Times New Roman" w:cs="Times New Roman"/>
          <w:spacing w:val="3"/>
          <w:sz w:val="23"/>
          <w:szCs w:val="23"/>
        </w:rPr>
        <w:t>0</w:t>
      </w:r>
      <w:r>
        <w:rPr>
          <w:rFonts w:ascii="Times New Roman" w:hAnsi="Times New Roman" w:eastAsia="Times New Roman" w:cs="Times New Roman"/>
          <w:spacing w:val="2"/>
          <w:sz w:val="23"/>
          <w:szCs w:val="23"/>
        </w:rPr>
        <w:t>.407</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7"/>
          <w:sz w:val="15"/>
          <w:szCs w:val="15"/>
        </w:rPr>
        <w:t>3</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 xml:space="preserve">；项目粪污总量为 </w:t>
      </w:r>
      <w:r>
        <w:rPr>
          <w:rFonts w:ascii="Times New Roman" w:hAnsi="Times New Roman" w:eastAsia="Times New Roman" w:cs="Times New Roman"/>
          <w:spacing w:val="2"/>
          <w:sz w:val="23"/>
          <w:szCs w:val="23"/>
        </w:rPr>
        <w:t>18835.674</w:t>
      </w:r>
      <w:r>
        <w:rPr>
          <w:rFonts w:ascii="Times New Roman" w:hAnsi="Times New Roman" w:eastAsia="Times New Roman" w:cs="Times New Roman"/>
          <w:sz w:val="23"/>
          <w:szCs w:val="23"/>
        </w:rPr>
        <w:t>t</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w:t>
      </w:r>
      <w:r>
        <w:rPr>
          <w:rFonts w:ascii="Times New Roman" w:hAnsi="Times New Roman" w:eastAsia="Times New Roman" w:cs="Times New Roman"/>
          <w:spacing w:val="2"/>
          <w:sz w:val="23"/>
          <w:szCs w:val="23"/>
        </w:rPr>
        <w:t>24.58</w:t>
      </w:r>
      <w:r>
        <w:rPr>
          <w:rFonts w:ascii="Times New Roman" w:hAnsi="Times New Roman" w:eastAsia="Times New Roman" w:cs="Times New Roman"/>
          <w:sz w:val="23"/>
          <w:szCs w:val="23"/>
        </w:rPr>
        <w:t>t</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d</w:t>
      </w:r>
      <w:r>
        <w:rPr>
          <w:rFonts w:ascii="宋体" w:hAnsi="宋体" w:eastAsia="宋体" w:cs="宋体"/>
          <w:spacing w:val="2"/>
          <w:sz w:val="23"/>
          <w:szCs w:val="23"/>
        </w:rPr>
        <w:t xml:space="preserve">) ，粪污经菌种发酵后含水在 </w:t>
      </w:r>
      <w:r>
        <w:rPr>
          <w:rFonts w:ascii="Times New Roman" w:hAnsi="Times New Roman" w:eastAsia="Times New Roman" w:cs="Times New Roman"/>
          <w:spacing w:val="2"/>
          <w:sz w:val="23"/>
          <w:szCs w:val="23"/>
        </w:rPr>
        <w:t>30%</w:t>
      </w:r>
      <w:r>
        <w:rPr>
          <w:rFonts w:ascii="Times New Roman" w:hAnsi="Times New Roman" w:eastAsia="Times New Roman" w:cs="Times New Roman"/>
          <w:sz w:val="23"/>
          <w:szCs w:val="23"/>
        </w:rPr>
        <w:t xml:space="preserve"> </w:t>
      </w:r>
      <w:r>
        <w:rPr>
          <w:rFonts w:ascii="宋体" w:hAnsi="宋体" w:eastAsia="宋体" w:cs="宋体"/>
          <w:spacing w:val="6"/>
          <w:sz w:val="23"/>
          <w:szCs w:val="23"/>
        </w:rPr>
        <w:t>左右，则项目发酵产</w:t>
      </w:r>
      <w:r>
        <w:rPr>
          <w:rFonts w:ascii="宋体" w:hAnsi="宋体" w:eastAsia="宋体" w:cs="宋体"/>
          <w:spacing w:val="4"/>
          <w:sz w:val="23"/>
          <w:szCs w:val="23"/>
        </w:rPr>
        <w:t>生</w:t>
      </w:r>
      <w:r>
        <w:rPr>
          <w:rFonts w:ascii="宋体" w:hAnsi="宋体" w:eastAsia="宋体" w:cs="宋体"/>
          <w:spacing w:val="3"/>
          <w:sz w:val="23"/>
          <w:szCs w:val="23"/>
        </w:rPr>
        <w:t xml:space="preserve">的有机肥量为 </w:t>
      </w:r>
      <w:r>
        <w:rPr>
          <w:rFonts w:ascii="Times New Roman" w:hAnsi="Times New Roman" w:eastAsia="Times New Roman" w:cs="Times New Roman"/>
          <w:spacing w:val="3"/>
          <w:sz w:val="23"/>
          <w:szCs w:val="23"/>
        </w:rPr>
        <w:t>2410.97</w:t>
      </w:r>
      <w:r>
        <w:rPr>
          <w:rFonts w:ascii="Times New Roman" w:hAnsi="Times New Roman" w:eastAsia="Times New Roman" w:cs="Times New Roman"/>
          <w:sz w:val="23"/>
          <w:szCs w:val="23"/>
        </w:rPr>
        <w:t>t</w:t>
      </w:r>
      <w:r>
        <w:rPr>
          <w:rFonts w:ascii="Times New Roman" w:hAnsi="Times New Roman" w:eastAsia="Times New Roman" w:cs="Times New Roman"/>
          <w:spacing w:val="3"/>
          <w:sz w:val="23"/>
          <w:szCs w:val="23"/>
        </w:rPr>
        <w:t>/</w:t>
      </w:r>
      <w:r>
        <w:rPr>
          <w:rFonts w:ascii="Times New Roman" w:hAnsi="Times New Roman" w:eastAsia="Times New Roman" w:cs="Times New Roman"/>
          <w:sz w:val="23"/>
          <w:szCs w:val="23"/>
        </w:rPr>
        <w:t>a</w:t>
      </w:r>
      <w:r>
        <w:rPr>
          <w:rFonts w:ascii="宋体" w:hAnsi="宋体" w:eastAsia="宋体" w:cs="宋体"/>
          <w:spacing w:val="3"/>
          <w:sz w:val="23"/>
          <w:szCs w:val="23"/>
        </w:rPr>
        <w:t xml:space="preserve">，其中有机肥中含水量为 </w:t>
      </w:r>
      <w:r>
        <w:rPr>
          <w:rFonts w:ascii="Times New Roman" w:hAnsi="Times New Roman" w:eastAsia="Times New Roman" w:cs="Times New Roman"/>
          <w:spacing w:val="3"/>
          <w:sz w:val="23"/>
          <w:szCs w:val="23"/>
        </w:rPr>
        <w:t>723.291</w:t>
      </w:r>
      <w:r>
        <w:rPr>
          <w:rFonts w:ascii="Times New Roman" w:hAnsi="Times New Roman" w:eastAsia="Times New Roman" w:cs="Times New Roman"/>
          <w:sz w:val="23"/>
          <w:szCs w:val="23"/>
        </w:rPr>
        <w:t>t</w:t>
      </w:r>
      <w:r>
        <w:rPr>
          <w:rFonts w:ascii="Times New Roman" w:hAnsi="Times New Roman" w:eastAsia="Times New Roman" w:cs="Times New Roman"/>
          <w:spacing w:val="3"/>
          <w:sz w:val="23"/>
          <w:szCs w:val="23"/>
        </w:rPr>
        <w:t>/</w:t>
      </w:r>
      <w:r>
        <w:rPr>
          <w:rFonts w:ascii="Times New Roman" w:hAnsi="Times New Roman" w:eastAsia="Times New Roman" w:cs="Times New Roman"/>
          <w:sz w:val="23"/>
          <w:szCs w:val="23"/>
        </w:rPr>
        <w:t>a</w:t>
      </w:r>
      <w:r>
        <w:rPr>
          <w:rFonts w:ascii="宋体" w:hAnsi="宋体" w:eastAsia="宋体" w:cs="宋体"/>
          <w:spacing w:val="3"/>
          <w:sz w:val="23"/>
          <w:szCs w:val="23"/>
        </w:rPr>
        <w:t>。粪污经</w:t>
      </w:r>
      <w:r>
        <w:rPr>
          <w:rFonts w:ascii="宋体" w:hAnsi="宋体" w:eastAsia="宋体" w:cs="宋体"/>
          <w:sz w:val="23"/>
          <w:szCs w:val="23"/>
        </w:rPr>
        <w:t xml:space="preserve"> </w:t>
      </w:r>
      <w:r>
        <w:rPr>
          <w:rFonts w:ascii="宋体" w:hAnsi="宋体" w:eastAsia="宋体" w:cs="宋体"/>
          <w:spacing w:val="10"/>
          <w:sz w:val="23"/>
          <w:szCs w:val="23"/>
        </w:rPr>
        <w:t>异位</w:t>
      </w:r>
      <w:r>
        <w:rPr>
          <w:rFonts w:ascii="宋体" w:hAnsi="宋体" w:eastAsia="宋体" w:cs="宋体"/>
          <w:spacing w:val="8"/>
          <w:sz w:val="23"/>
          <w:szCs w:val="23"/>
        </w:rPr>
        <w:t>微</w:t>
      </w:r>
      <w:r>
        <w:rPr>
          <w:rFonts w:ascii="宋体" w:hAnsi="宋体" w:eastAsia="宋体" w:cs="宋体"/>
          <w:spacing w:val="5"/>
          <w:sz w:val="23"/>
          <w:szCs w:val="23"/>
        </w:rPr>
        <w:t xml:space="preserve">生物发酵系统发酵蒸发的水量为 </w:t>
      </w:r>
      <w:r>
        <w:rPr>
          <w:rFonts w:ascii="Times New Roman" w:hAnsi="Times New Roman" w:eastAsia="Times New Roman" w:cs="Times New Roman"/>
          <w:spacing w:val="5"/>
          <w:sz w:val="23"/>
          <w:szCs w:val="23"/>
        </w:rPr>
        <w:t>16424.704</w:t>
      </w:r>
      <w:r>
        <w:rPr>
          <w:rFonts w:ascii="Times New Roman" w:hAnsi="Times New Roman" w:eastAsia="Times New Roman" w:cs="Times New Roman"/>
          <w:sz w:val="23"/>
          <w:szCs w:val="23"/>
        </w:rPr>
        <w:t>m</w:t>
      </w:r>
      <w:r>
        <w:rPr>
          <w:rFonts w:ascii="Times New Roman" w:hAnsi="Times New Roman" w:eastAsia="Times New Roman" w:cs="Times New Roman"/>
          <w:spacing w:val="5"/>
          <w:position w:val="7"/>
          <w:sz w:val="15"/>
          <w:szCs w:val="15"/>
        </w:rPr>
        <w:t>3</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a</w:t>
      </w:r>
      <w:r>
        <w:rPr>
          <w:rFonts w:ascii="宋体" w:hAnsi="宋体" w:eastAsia="宋体" w:cs="宋体"/>
          <w:spacing w:val="5"/>
          <w:sz w:val="23"/>
          <w:szCs w:val="23"/>
        </w:rPr>
        <w:t>。</w:t>
      </w:r>
    </w:p>
    <w:p w14:paraId="364D508C">
      <w:pPr>
        <w:spacing w:before="16" w:line="227" w:lineRule="auto"/>
        <w:ind w:left="609"/>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2</w:t>
      </w:r>
      <w:r>
        <w:rPr>
          <w:rFonts w:ascii="宋体" w:hAnsi="宋体" w:eastAsia="宋体" w:cs="宋体"/>
          <w:spacing w:val="20"/>
          <w:sz w:val="23"/>
          <w:szCs w:val="23"/>
        </w:rPr>
        <w:t>) 生活污</w:t>
      </w:r>
      <w:r>
        <w:rPr>
          <w:rFonts w:ascii="宋体" w:hAnsi="宋体" w:eastAsia="宋体" w:cs="宋体"/>
          <w:spacing w:val="19"/>
          <w:sz w:val="23"/>
          <w:szCs w:val="23"/>
        </w:rPr>
        <w:t>水</w:t>
      </w:r>
    </w:p>
    <w:p w14:paraId="4F17C9B9">
      <w:pPr>
        <w:spacing w:before="184" w:line="375" w:lineRule="auto"/>
        <w:ind w:left="120" w:right="89" w:firstLine="479"/>
        <w:rPr>
          <w:rFonts w:ascii="宋体" w:hAnsi="宋体" w:eastAsia="宋体" w:cs="宋体"/>
          <w:sz w:val="23"/>
          <w:szCs w:val="23"/>
        </w:rPr>
      </w:pPr>
      <w:r>
        <w:rPr>
          <w:rFonts w:ascii="宋体" w:hAnsi="宋体" w:eastAsia="宋体" w:cs="宋体"/>
          <w:spacing w:val="6"/>
          <w:sz w:val="23"/>
          <w:szCs w:val="23"/>
        </w:rPr>
        <w:t>本项目有</w:t>
      </w:r>
      <w:r>
        <w:rPr>
          <w:rFonts w:ascii="宋体" w:hAnsi="宋体" w:eastAsia="宋体" w:cs="宋体"/>
          <w:spacing w:val="5"/>
          <w:sz w:val="23"/>
          <w:szCs w:val="23"/>
        </w:rPr>
        <w:t>员</w:t>
      </w:r>
      <w:r>
        <w:rPr>
          <w:rFonts w:ascii="宋体" w:hAnsi="宋体" w:eastAsia="宋体" w:cs="宋体"/>
          <w:spacing w:val="3"/>
          <w:sz w:val="23"/>
          <w:szCs w:val="23"/>
        </w:rPr>
        <w:t xml:space="preserve">工 </w:t>
      </w:r>
      <w:r>
        <w:rPr>
          <w:rFonts w:ascii="Times New Roman" w:hAnsi="Times New Roman" w:eastAsia="Times New Roman" w:cs="Times New Roman"/>
          <w:spacing w:val="3"/>
          <w:sz w:val="23"/>
          <w:szCs w:val="23"/>
        </w:rPr>
        <w:t xml:space="preserve">12 </w:t>
      </w:r>
      <w:r>
        <w:rPr>
          <w:rFonts w:ascii="宋体" w:hAnsi="宋体" w:eastAsia="宋体" w:cs="宋体"/>
          <w:spacing w:val="3"/>
          <w:sz w:val="23"/>
          <w:szCs w:val="23"/>
        </w:rPr>
        <w:t xml:space="preserve">人，其中留宿 </w:t>
      </w:r>
      <w:r>
        <w:rPr>
          <w:rFonts w:ascii="Times New Roman" w:hAnsi="Times New Roman" w:eastAsia="Times New Roman" w:cs="Times New Roman"/>
          <w:spacing w:val="3"/>
          <w:sz w:val="23"/>
          <w:szCs w:val="23"/>
        </w:rPr>
        <w:t xml:space="preserve">8 </w:t>
      </w:r>
      <w:r>
        <w:rPr>
          <w:rFonts w:ascii="宋体" w:hAnsi="宋体" w:eastAsia="宋体" w:cs="宋体"/>
          <w:spacing w:val="3"/>
          <w:sz w:val="23"/>
          <w:szCs w:val="23"/>
        </w:rPr>
        <w:t>人。参照《四川省用水定额》  (修订稿) 并结合项目</w:t>
      </w:r>
      <w:r>
        <w:rPr>
          <w:rFonts w:ascii="宋体" w:hAnsi="宋体" w:eastAsia="宋体" w:cs="宋体"/>
          <w:sz w:val="23"/>
          <w:szCs w:val="23"/>
        </w:rPr>
        <w:t xml:space="preserve"> </w:t>
      </w:r>
      <w:r>
        <w:rPr>
          <w:rFonts w:ascii="宋体" w:hAnsi="宋体" w:eastAsia="宋体" w:cs="宋体"/>
          <w:spacing w:val="2"/>
          <w:sz w:val="23"/>
          <w:szCs w:val="23"/>
        </w:rPr>
        <w:t xml:space="preserve">实际情况，不留宿员工用水量按 </w:t>
      </w:r>
      <w:r>
        <w:rPr>
          <w:rFonts w:ascii="Times New Roman" w:hAnsi="Times New Roman" w:eastAsia="Times New Roman" w:cs="Times New Roman"/>
          <w:spacing w:val="2"/>
          <w:sz w:val="23"/>
          <w:szCs w:val="23"/>
        </w:rPr>
        <w:t>50</w:t>
      </w:r>
      <w:r>
        <w:rPr>
          <w:rFonts w:ascii="Times New Roman" w:hAnsi="Times New Roman" w:eastAsia="Times New Roman" w:cs="Times New Roman"/>
          <w:sz w:val="23"/>
          <w:szCs w:val="23"/>
        </w:rPr>
        <w:t>L</w:t>
      </w:r>
      <w:r>
        <w:rPr>
          <w:rFonts w:ascii="Times New Roman" w:hAnsi="Times New Roman" w:eastAsia="Times New Roman" w:cs="Times New Roman"/>
          <w:spacing w:val="2"/>
          <w:sz w:val="23"/>
          <w:szCs w:val="23"/>
        </w:rPr>
        <w:t>/</w:t>
      </w:r>
      <w:r>
        <w:rPr>
          <w:rFonts w:ascii="宋体" w:hAnsi="宋体" w:eastAsia="宋体" w:cs="宋体"/>
          <w:spacing w:val="2"/>
          <w:sz w:val="23"/>
          <w:szCs w:val="23"/>
        </w:rPr>
        <w:t>人</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计算</w:t>
      </w:r>
      <w:r>
        <w:rPr>
          <w:rFonts w:ascii="宋体" w:hAnsi="宋体" w:eastAsia="宋体" w:cs="宋体"/>
          <w:spacing w:val="1"/>
          <w:sz w:val="23"/>
          <w:szCs w:val="23"/>
        </w:rPr>
        <w:t xml:space="preserve">，留宿员工用水量按 </w:t>
      </w:r>
      <w:r>
        <w:rPr>
          <w:rFonts w:ascii="Times New Roman" w:hAnsi="Times New Roman" w:eastAsia="Times New Roman" w:cs="Times New Roman"/>
          <w:spacing w:val="1"/>
          <w:sz w:val="23"/>
          <w:szCs w:val="23"/>
        </w:rPr>
        <w:t>100</w:t>
      </w:r>
      <w:r>
        <w:rPr>
          <w:rFonts w:ascii="Times New Roman" w:hAnsi="Times New Roman" w:eastAsia="Times New Roman" w:cs="Times New Roman"/>
          <w:sz w:val="23"/>
          <w:szCs w:val="23"/>
        </w:rPr>
        <w:t>L</w:t>
      </w:r>
      <w:r>
        <w:rPr>
          <w:rFonts w:ascii="Times New Roman" w:hAnsi="Times New Roman" w:eastAsia="Times New Roman" w:cs="Times New Roman"/>
          <w:spacing w:val="1"/>
          <w:sz w:val="23"/>
          <w:szCs w:val="23"/>
        </w:rPr>
        <w:t>/</w:t>
      </w:r>
      <w:r>
        <w:rPr>
          <w:rFonts w:ascii="宋体" w:hAnsi="宋体" w:eastAsia="宋体" w:cs="宋体"/>
          <w:spacing w:val="1"/>
          <w:sz w:val="23"/>
          <w:szCs w:val="23"/>
        </w:rPr>
        <w:t xml:space="preserve">人 </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计算。则生活</w:t>
      </w:r>
      <w:r>
        <w:rPr>
          <w:rFonts w:ascii="宋体" w:hAnsi="宋体" w:eastAsia="宋体" w:cs="宋体"/>
          <w:sz w:val="23"/>
          <w:szCs w:val="23"/>
        </w:rPr>
        <w:t xml:space="preserve"> </w:t>
      </w:r>
      <w:r>
        <w:rPr>
          <w:rFonts w:ascii="宋体" w:hAnsi="宋体" w:eastAsia="宋体" w:cs="宋体"/>
          <w:spacing w:val="1"/>
          <w:sz w:val="23"/>
          <w:szCs w:val="23"/>
        </w:rPr>
        <w:t xml:space="preserve">用水量为 </w:t>
      </w:r>
      <w:r>
        <w:rPr>
          <w:rFonts w:ascii="Times New Roman" w:hAnsi="Times New Roman" w:eastAsia="Times New Roman" w:cs="Times New Roman"/>
          <w:spacing w:val="1"/>
          <w:sz w:val="23"/>
          <w:szCs w:val="23"/>
        </w:rPr>
        <w:t>1</w:t>
      </w:r>
      <w:r>
        <w:rPr>
          <w:rFonts w:ascii="Times New Roman" w:hAnsi="Times New Roman" w:eastAsia="Times New Roman" w:cs="Times New Roman"/>
          <w:sz w:val="23"/>
          <w:szCs w:val="23"/>
        </w:rPr>
        <w:t>m</w:t>
      </w:r>
      <w:r>
        <w:rPr>
          <w:rFonts w:ascii="Times New Roman" w:hAnsi="Times New Roman" w:eastAsia="Times New Roman" w:cs="Times New Roman"/>
          <w:spacing w:val="1"/>
          <w:sz w:val="23"/>
          <w:szCs w:val="23"/>
        </w:rPr>
        <w:t>³/</w:t>
      </w:r>
      <w:r>
        <w:rPr>
          <w:rFonts w:ascii="Times New Roman" w:hAnsi="Times New Roman" w:eastAsia="Times New Roman" w:cs="Times New Roman"/>
          <w:sz w:val="23"/>
          <w:szCs w:val="23"/>
        </w:rPr>
        <w:t>d</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w:t>
      </w:r>
      <w:r>
        <w:rPr>
          <w:rFonts w:ascii="Times New Roman" w:hAnsi="Times New Roman" w:eastAsia="Times New Roman" w:cs="Times New Roman"/>
          <w:spacing w:val="1"/>
          <w:sz w:val="23"/>
          <w:szCs w:val="23"/>
        </w:rPr>
        <w:t>365</w:t>
      </w:r>
      <w:r>
        <w:rPr>
          <w:rFonts w:ascii="Times New Roman" w:hAnsi="Times New Roman" w:eastAsia="Times New Roman" w:cs="Times New Roman"/>
          <w:sz w:val="23"/>
          <w:szCs w:val="23"/>
        </w:rPr>
        <w:t>m</w:t>
      </w:r>
      <w:r>
        <w:rPr>
          <w:rFonts w:ascii="Times New Roman" w:hAnsi="Times New Roman" w:eastAsia="Times New Roman" w:cs="Times New Roman"/>
          <w:spacing w:val="1"/>
          <w:sz w:val="23"/>
          <w:szCs w:val="23"/>
        </w:rPr>
        <w:t>³/</w:t>
      </w:r>
      <w:r>
        <w:rPr>
          <w:rFonts w:ascii="Times New Roman" w:hAnsi="Times New Roman" w:eastAsia="Times New Roman" w:cs="Times New Roman"/>
          <w:sz w:val="23"/>
          <w:szCs w:val="23"/>
        </w:rPr>
        <w:t>a</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 xml:space="preserve">。排放的废水量按用水量的 </w:t>
      </w:r>
      <w:r>
        <w:rPr>
          <w:rFonts w:ascii="Times New Roman" w:hAnsi="Times New Roman" w:eastAsia="Times New Roman" w:cs="Times New Roman"/>
          <w:spacing w:val="1"/>
          <w:sz w:val="23"/>
          <w:szCs w:val="23"/>
        </w:rPr>
        <w:t>85%</w:t>
      </w:r>
      <w:r>
        <w:rPr>
          <w:rFonts w:ascii="宋体" w:hAnsi="宋体" w:eastAsia="宋体" w:cs="宋体"/>
          <w:spacing w:val="1"/>
          <w:sz w:val="23"/>
          <w:szCs w:val="23"/>
        </w:rPr>
        <w:t xml:space="preserve">计算，则废水产生量为 </w:t>
      </w:r>
      <w:r>
        <w:rPr>
          <w:rFonts w:ascii="Times New Roman" w:hAnsi="Times New Roman" w:eastAsia="Times New Roman" w:cs="Times New Roman"/>
          <w:spacing w:val="1"/>
          <w:sz w:val="23"/>
          <w:szCs w:val="23"/>
        </w:rPr>
        <w:t>0.8</w:t>
      </w:r>
      <w:r>
        <w:rPr>
          <w:rFonts w:ascii="Times New Roman" w:hAnsi="Times New Roman" w:eastAsia="Times New Roman" w:cs="Times New Roman"/>
          <w:sz w:val="23"/>
          <w:szCs w:val="23"/>
        </w:rPr>
        <w:t>5m</w:t>
      </w:r>
      <w:r>
        <w:rPr>
          <w:rFonts w:ascii="Times New Roman" w:hAnsi="Times New Roman" w:eastAsia="Times New Roman" w:cs="Times New Roman"/>
          <w:position w:val="8"/>
          <w:sz w:val="15"/>
          <w:szCs w:val="15"/>
        </w:rPr>
        <w:t>3</w:t>
      </w:r>
      <w:r>
        <w:rPr>
          <w:rFonts w:ascii="Times New Roman" w:hAnsi="Times New Roman" w:eastAsia="Times New Roman" w:cs="Times New Roman"/>
          <w:sz w:val="23"/>
          <w:szCs w:val="23"/>
        </w:rPr>
        <w:t>/d</w:t>
      </w:r>
      <w:r>
        <w:rPr>
          <w:rFonts w:ascii="宋体" w:hAnsi="宋体" w:eastAsia="宋体" w:cs="宋体"/>
          <w:sz w:val="23"/>
          <w:szCs w:val="23"/>
        </w:rPr>
        <w:t>，</w:t>
      </w:r>
    </w:p>
    <w:p w14:paraId="5EA2A741">
      <w:pPr>
        <w:sectPr>
          <w:footerReference r:id="rId118" w:type="default"/>
          <w:pgSz w:w="11907" w:h="16840"/>
          <w:pgMar w:top="400" w:right="1025" w:bottom="1139" w:left="1168" w:header="0" w:footer="953" w:gutter="0"/>
          <w:cols w:space="720" w:num="1"/>
        </w:sectPr>
      </w:pPr>
    </w:p>
    <w:p w14:paraId="20F75BC8">
      <w:pPr>
        <w:spacing w:before="102" w:line="374" w:lineRule="auto"/>
        <w:ind w:left="98" w:right="68" w:hanging="7"/>
        <w:rPr>
          <w:rFonts w:ascii="宋体" w:hAnsi="宋体" w:eastAsia="宋体" w:cs="宋体"/>
          <w:sz w:val="23"/>
          <w:szCs w:val="23"/>
        </w:rPr>
      </w:pPr>
      <w:r>
        <w:drawing>
          <wp:anchor distT="0" distB="0" distL="0" distR="0" simplePos="0" relativeHeight="251692032" behindDoc="0" locked="0" layoutInCell="0" allowOverlap="1">
            <wp:simplePos x="0" y="0"/>
            <wp:positionH relativeFrom="page">
              <wp:posOffset>1866900</wp:posOffset>
            </wp:positionH>
            <wp:positionV relativeFrom="page">
              <wp:posOffset>8538845</wp:posOffset>
            </wp:positionV>
            <wp:extent cx="3276600" cy="743585"/>
            <wp:effectExtent l="0" t="0" r="0" b="0"/>
            <wp:wrapNone/>
            <wp:docPr id="23" name="IM 23"/>
            <wp:cNvGraphicFramePr/>
            <a:graphic xmlns:a="http://schemas.openxmlformats.org/drawingml/2006/main">
              <a:graphicData uri="http://schemas.openxmlformats.org/drawingml/2006/picture">
                <pic:pic xmlns:pic="http://schemas.openxmlformats.org/drawingml/2006/picture">
                  <pic:nvPicPr>
                    <pic:cNvPr id="23" name="IM 23"/>
                    <pic:cNvPicPr/>
                  </pic:nvPicPr>
                  <pic:blipFill>
                    <a:blip r:embed="rId374"/>
                    <a:stretch>
                      <a:fillRect/>
                    </a:stretch>
                  </pic:blipFill>
                  <pic:spPr>
                    <a:xfrm>
                      <a:off x="0" y="0"/>
                      <a:ext cx="3276600" cy="743711"/>
                    </a:xfrm>
                    <a:prstGeom prst="rect">
                      <a:avLst/>
                    </a:prstGeom>
                  </pic:spPr>
                </pic:pic>
              </a:graphicData>
            </a:graphic>
          </wp:anchor>
        </w:drawing>
      </w:r>
      <w:r>
        <w:rPr>
          <w:rFonts w:ascii="宋体" w:hAnsi="宋体" w:eastAsia="宋体" w:cs="宋体"/>
          <w:spacing w:val="2"/>
          <w:sz w:val="23"/>
          <w:szCs w:val="23"/>
        </w:rPr>
        <w:t xml:space="preserve">合计 </w:t>
      </w:r>
      <w:r>
        <w:rPr>
          <w:rFonts w:ascii="Times New Roman" w:hAnsi="Times New Roman" w:eastAsia="Times New Roman" w:cs="Times New Roman"/>
          <w:spacing w:val="2"/>
          <w:sz w:val="23"/>
          <w:szCs w:val="23"/>
        </w:rPr>
        <w:t>310.25</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。污水中的主要污染物</w:t>
      </w:r>
      <w:r>
        <w:rPr>
          <w:rFonts w:ascii="宋体" w:hAnsi="宋体" w:eastAsia="宋体" w:cs="宋体"/>
          <w:spacing w:val="1"/>
          <w:sz w:val="23"/>
          <w:szCs w:val="23"/>
        </w:rPr>
        <w:t xml:space="preserve">为 </w:t>
      </w:r>
      <w:r>
        <w:rPr>
          <w:rFonts w:ascii="Times New Roman" w:hAnsi="Times New Roman" w:eastAsia="Times New Roman" w:cs="Times New Roman"/>
          <w:sz w:val="23"/>
          <w:szCs w:val="23"/>
        </w:rPr>
        <w:t>CODcr</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w:t>
      </w:r>
      <w:r>
        <w:rPr>
          <w:rFonts w:ascii="Times New Roman" w:hAnsi="Times New Roman" w:eastAsia="Times New Roman" w:cs="Times New Roman"/>
          <w:sz w:val="23"/>
          <w:szCs w:val="23"/>
        </w:rPr>
        <w:t>BOD</w:t>
      </w:r>
      <w:r>
        <w:rPr>
          <w:rFonts w:ascii="Times New Roman" w:hAnsi="Times New Roman" w:eastAsia="Times New Roman" w:cs="Times New Roman"/>
          <w:spacing w:val="1"/>
          <w:position w:val="-1"/>
          <w:sz w:val="15"/>
          <w:szCs w:val="15"/>
        </w:rPr>
        <w:t xml:space="preserve">5 </w:t>
      </w:r>
      <w:r>
        <w:rPr>
          <w:rFonts w:ascii="宋体" w:hAnsi="宋体" w:eastAsia="宋体" w:cs="宋体"/>
          <w:spacing w:val="1"/>
          <w:sz w:val="23"/>
          <w:szCs w:val="23"/>
        </w:rPr>
        <w:t>、</w:t>
      </w:r>
      <w:r>
        <w:rPr>
          <w:rFonts w:ascii="Times New Roman" w:hAnsi="Times New Roman" w:eastAsia="Times New Roman" w:cs="Times New Roman"/>
          <w:sz w:val="23"/>
          <w:szCs w:val="23"/>
        </w:rPr>
        <w:t>SS</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w:t>
      </w:r>
      <w:r>
        <w:rPr>
          <w:rFonts w:ascii="Times New Roman" w:hAnsi="Times New Roman" w:eastAsia="Times New Roman" w:cs="Times New Roman"/>
          <w:sz w:val="23"/>
          <w:szCs w:val="23"/>
        </w:rPr>
        <w:t>NH</w:t>
      </w:r>
      <w:r>
        <w:rPr>
          <w:rFonts w:ascii="Times New Roman" w:hAnsi="Times New Roman" w:eastAsia="Times New Roman" w:cs="Times New Roman"/>
          <w:spacing w:val="1"/>
          <w:position w:val="-1"/>
          <w:sz w:val="15"/>
          <w:szCs w:val="15"/>
        </w:rPr>
        <w:t>3</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N</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。生活污水经化粪池</w:t>
      </w:r>
      <w:r>
        <w:rPr>
          <w:rFonts w:ascii="宋体" w:hAnsi="宋体" w:eastAsia="宋体" w:cs="宋体"/>
          <w:sz w:val="23"/>
          <w:szCs w:val="23"/>
        </w:rPr>
        <w:t xml:space="preserve"> </w:t>
      </w:r>
      <w:r>
        <w:rPr>
          <w:rFonts w:ascii="宋体" w:hAnsi="宋体" w:eastAsia="宋体" w:cs="宋体"/>
          <w:spacing w:val="12"/>
          <w:sz w:val="23"/>
          <w:szCs w:val="23"/>
        </w:rPr>
        <w:t>收</w:t>
      </w:r>
      <w:r>
        <w:rPr>
          <w:rFonts w:ascii="宋体" w:hAnsi="宋体" w:eastAsia="宋体" w:cs="宋体"/>
          <w:spacing w:val="8"/>
          <w:sz w:val="23"/>
          <w:szCs w:val="23"/>
        </w:rPr>
        <w:t>集后用作自家林地灌溉，不外排。</w:t>
      </w:r>
    </w:p>
    <w:p w14:paraId="4C88C21A">
      <w:pPr>
        <w:spacing w:line="381" w:lineRule="auto"/>
        <w:ind w:left="90" w:right="71" w:firstLine="487"/>
        <w:rPr>
          <w:rFonts w:ascii="宋体" w:hAnsi="宋体" w:eastAsia="宋体" w:cs="宋体"/>
          <w:sz w:val="23"/>
          <w:szCs w:val="23"/>
        </w:rPr>
      </w:pPr>
      <w:r>
        <w:rPr>
          <w:rFonts w:ascii="宋体" w:hAnsi="宋体" w:eastAsia="宋体" w:cs="宋体"/>
          <w:spacing w:val="-1"/>
          <w:sz w:val="23"/>
          <w:szCs w:val="23"/>
        </w:rPr>
        <w:t>营运期</w:t>
      </w:r>
      <w:r>
        <w:rPr>
          <w:rFonts w:ascii="宋体" w:hAnsi="宋体" w:eastAsia="宋体" w:cs="宋体"/>
          <w:sz w:val="23"/>
          <w:szCs w:val="23"/>
        </w:rPr>
        <w:t xml:space="preserve">，项目养殖废水量为 </w:t>
      </w:r>
      <w:r>
        <w:rPr>
          <w:rFonts w:ascii="Times New Roman" w:hAnsi="Times New Roman" w:eastAsia="Times New Roman" w:cs="Times New Roman"/>
          <w:sz w:val="23"/>
          <w:szCs w:val="23"/>
        </w:rPr>
        <w:t>12534.314m</w:t>
      </w:r>
      <w:r>
        <w:rPr>
          <w:rFonts w:ascii="Times New Roman" w:hAnsi="Times New Roman" w:eastAsia="Times New Roman" w:cs="Times New Roman"/>
          <w:position w:val="7"/>
          <w:sz w:val="15"/>
          <w:szCs w:val="15"/>
        </w:rPr>
        <w:t>3</w:t>
      </w:r>
      <w:r>
        <w:rPr>
          <w:rFonts w:ascii="Times New Roman" w:hAnsi="Times New Roman" w:eastAsia="Times New Roman" w:cs="Times New Roman"/>
          <w:sz w:val="23"/>
          <w:szCs w:val="23"/>
        </w:rPr>
        <w:t xml:space="preserve">/a </w:t>
      </w:r>
      <w:r>
        <w:rPr>
          <w:rFonts w:ascii="宋体" w:hAnsi="宋体" w:eastAsia="宋体" w:cs="宋体"/>
          <w:sz w:val="23"/>
          <w:szCs w:val="23"/>
        </w:rPr>
        <w:t xml:space="preserve">，约为 </w:t>
      </w:r>
      <w:r>
        <w:rPr>
          <w:rFonts w:ascii="Times New Roman" w:hAnsi="Times New Roman" w:eastAsia="Times New Roman" w:cs="Times New Roman"/>
          <w:sz w:val="23"/>
          <w:szCs w:val="23"/>
        </w:rPr>
        <w:t>34.34m</w:t>
      </w:r>
      <w:r>
        <w:rPr>
          <w:rFonts w:ascii="Times New Roman" w:hAnsi="Times New Roman" w:eastAsia="Times New Roman" w:cs="Times New Roman"/>
          <w:position w:val="7"/>
          <w:sz w:val="15"/>
          <w:szCs w:val="15"/>
        </w:rPr>
        <w:t>3</w:t>
      </w:r>
      <w:r>
        <w:rPr>
          <w:rFonts w:ascii="Times New Roman" w:hAnsi="Times New Roman" w:eastAsia="Times New Roman" w:cs="Times New Roman"/>
          <w:sz w:val="23"/>
          <w:szCs w:val="23"/>
        </w:rPr>
        <w:t xml:space="preserve">/d </w:t>
      </w:r>
      <w:r>
        <w:rPr>
          <w:rFonts w:ascii="宋体" w:hAnsi="宋体" w:eastAsia="宋体" w:cs="宋体"/>
          <w:sz w:val="23"/>
          <w:szCs w:val="23"/>
        </w:rPr>
        <w:t xml:space="preserve">，合 </w:t>
      </w:r>
      <w:r>
        <w:rPr>
          <w:rFonts w:ascii="Times New Roman" w:hAnsi="Times New Roman" w:eastAsia="Times New Roman" w:cs="Times New Roman"/>
          <w:sz w:val="23"/>
          <w:szCs w:val="23"/>
        </w:rPr>
        <w:t>0.33m</w:t>
      </w:r>
      <w:r>
        <w:rPr>
          <w:rFonts w:ascii="Times New Roman" w:hAnsi="Times New Roman" w:eastAsia="Times New Roman" w:cs="Times New Roman"/>
          <w:position w:val="7"/>
          <w:sz w:val="15"/>
          <w:szCs w:val="15"/>
        </w:rPr>
        <w:t>3</w:t>
      </w:r>
      <w:r>
        <w:rPr>
          <w:rFonts w:ascii="Times New Roman" w:hAnsi="Times New Roman" w:eastAsia="Times New Roman" w:cs="Times New Roman"/>
          <w:sz w:val="23"/>
          <w:szCs w:val="23"/>
        </w:rPr>
        <w:t xml:space="preserve">/  </w:t>
      </w:r>
      <w:r>
        <w:rPr>
          <w:rFonts w:ascii="宋体" w:hAnsi="宋体" w:eastAsia="宋体" w:cs="宋体"/>
          <w:sz w:val="23"/>
          <w:szCs w:val="23"/>
        </w:rPr>
        <w:t>(百头</w:t>
      </w:r>
      <w:r>
        <w:rPr>
          <w:rFonts w:ascii="Times New Roman" w:hAnsi="Times New Roman" w:eastAsia="Times New Roman" w:cs="Times New Roman"/>
          <w:sz w:val="23"/>
          <w:szCs w:val="23"/>
        </w:rPr>
        <w:t>·d</w:t>
      </w:r>
      <w:r>
        <w:rPr>
          <w:rFonts w:ascii="宋体" w:hAnsi="宋体" w:eastAsia="宋体" w:cs="宋体"/>
          <w:sz w:val="23"/>
          <w:szCs w:val="23"/>
        </w:rPr>
        <w:t xml:space="preserve">) ，满 </w:t>
      </w:r>
      <w:r>
        <w:rPr>
          <w:rFonts w:ascii="宋体" w:hAnsi="宋体" w:eastAsia="宋体" w:cs="宋体"/>
          <w:spacing w:val="14"/>
          <w:sz w:val="23"/>
          <w:szCs w:val="23"/>
        </w:rPr>
        <w:t>足</w:t>
      </w:r>
      <w:r>
        <w:rPr>
          <w:rFonts w:ascii="宋体" w:hAnsi="宋体" w:eastAsia="宋体" w:cs="宋体"/>
          <w:spacing w:val="7"/>
          <w:sz w:val="23"/>
          <w:szCs w:val="23"/>
        </w:rPr>
        <w:t>《畜禽养殖业污染物排放标准》尿泡粪工艺最高允许排水量相关要求。项目养殖废水污染</w:t>
      </w:r>
      <w:r>
        <w:rPr>
          <w:rFonts w:ascii="宋体" w:hAnsi="宋体" w:eastAsia="宋体" w:cs="宋体"/>
          <w:sz w:val="23"/>
          <w:szCs w:val="23"/>
        </w:rPr>
        <w:t xml:space="preserve"> </w:t>
      </w:r>
      <w:r>
        <w:rPr>
          <w:rFonts w:ascii="宋体" w:hAnsi="宋体" w:eastAsia="宋体" w:cs="宋体"/>
          <w:spacing w:val="7"/>
          <w:sz w:val="23"/>
          <w:szCs w:val="23"/>
        </w:rPr>
        <w:t>物</w:t>
      </w:r>
      <w:r>
        <w:rPr>
          <w:rFonts w:ascii="宋体" w:hAnsi="宋体" w:eastAsia="宋体" w:cs="宋体"/>
          <w:spacing w:val="6"/>
          <w:sz w:val="23"/>
          <w:szCs w:val="23"/>
        </w:rPr>
        <w:t xml:space="preserve">浓度类比根据《乐山市井研猪场 </w:t>
      </w:r>
      <w:r>
        <w:rPr>
          <w:rFonts w:ascii="Times New Roman" w:hAnsi="Times New Roman" w:eastAsia="Times New Roman" w:cs="Times New Roman"/>
          <w:spacing w:val="6"/>
          <w:sz w:val="23"/>
          <w:szCs w:val="23"/>
        </w:rPr>
        <w:t>240</w:t>
      </w:r>
      <w:r>
        <w:rPr>
          <w:rFonts w:ascii="Times New Roman" w:hAnsi="Times New Roman" w:eastAsia="Times New Roman" w:cs="Times New Roman"/>
          <w:sz w:val="23"/>
          <w:szCs w:val="23"/>
        </w:rPr>
        <w:t>m</w:t>
      </w:r>
      <w:r>
        <w:rPr>
          <w:rFonts w:ascii="Times New Roman" w:hAnsi="Times New Roman" w:eastAsia="Times New Roman" w:cs="Times New Roman"/>
          <w:spacing w:val="6"/>
          <w:position w:val="8"/>
          <w:sz w:val="15"/>
          <w:szCs w:val="15"/>
        </w:rPr>
        <w:t>3</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污水处理系统工程技术方案》处理前的浓度，拟</w:t>
      </w:r>
      <w:r>
        <w:rPr>
          <w:rFonts w:ascii="宋体" w:hAnsi="宋体" w:eastAsia="宋体" w:cs="宋体"/>
          <w:sz w:val="23"/>
          <w:szCs w:val="23"/>
        </w:rPr>
        <w:t xml:space="preserve"> </w:t>
      </w:r>
      <w:r>
        <w:rPr>
          <w:rFonts w:ascii="宋体" w:hAnsi="宋体" w:eastAsia="宋体" w:cs="宋体"/>
          <w:spacing w:val="4"/>
          <w:sz w:val="23"/>
          <w:szCs w:val="23"/>
        </w:rPr>
        <w:t>建项目</w:t>
      </w:r>
      <w:r>
        <w:rPr>
          <w:rFonts w:ascii="宋体" w:hAnsi="宋体" w:eastAsia="宋体" w:cs="宋体"/>
          <w:spacing w:val="2"/>
          <w:sz w:val="23"/>
          <w:szCs w:val="23"/>
        </w:rPr>
        <w:t xml:space="preserve">废水的产生情况详见表 </w:t>
      </w:r>
      <w:r>
        <w:rPr>
          <w:rFonts w:ascii="Times New Roman" w:hAnsi="Times New Roman" w:eastAsia="Times New Roman" w:cs="Times New Roman"/>
          <w:spacing w:val="2"/>
          <w:sz w:val="23"/>
          <w:szCs w:val="23"/>
        </w:rPr>
        <w:t xml:space="preserve">3.3- 10  </w:t>
      </w:r>
      <w:r>
        <w:rPr>
          <w:rFonts w:ascii="宋体" w:hAnsi="宋体" w:eastAsia="宋体" w:cs="宋体"/>
          <w:spacing w:val="2"/>
          <w:sz w:val="23"/>
          <w:szCs w:val="23"/>
        </w:rPr>
        <w:t>所示。</w:t>
      </w:r>
    </w:p>
    <w:p w14:paraId="358B2CFF">
      <w:pPr>
        <w:spacing w:before="13" w:line="222" w:lineRule="auto"/>
        <w:ind w:left="2942"/>
        <w:rPr>
          <w:rFonts w:ascii="黑体" w:hAnsi="黑体" w:eastAsia="黑体" w:cs="黑体"/>
          <w:sz w:val="23"/>
          <w:szCs w:val="23"/>
        </w:rPr>
      </w:pPr>
      <w:r>
        <w:rPr>
          <w:rFonts w:ascii="黑体" w:hAnsi="黑体" w:eastAsia="黑体" w:cs="黑体"/>
          <w:spacing w:val="2"/>
          <w:sz w:val="23"/>
          <w:szCs w:val="23"/>
        </w:rPr>
        <w:t xml:space="preserve">表 </w:t>
      </w:r>
      <w:r>
        <w:rPr>
          <w:rFonts w:ascii="Times New Roman" w:hAnsi="Times New Roman" w:eastAsia="Times New Roman" w:cs="Times New Roman"/>
          <w:spacing w:val="2"/>
          <w:sz w:val="23"/>
          <w:szCs w:val="23"/>
        </w:rPr>
        <w:t>3.3</w:t>
      </w:r>
      <w:r>
        <w:rPr>
          <w:rFonts w:ascii="Times New Roman" w:hAnsi="Times New Roman" w:eastAsia="Times New Roman" w:cs="Times New Roman"/>
          <w:spacing w:val="1"/>
          <w:sz w:val="23"/>
          <w:szCs w:val="23"/>
        </w:rPr>
        <w:t xml:space="preserve">- 10    </w:t>
      </w:r>
      <w:r>
        <w:rPr>
          <w:rFonts w:ascii="黑体" w:hAnsi="黑体" w:eastAsia="黑体" w:cs="黑体"/>
          <w:spacing w:val="1"/>
          <w:sz w:val="23"/>
          <w:szCs w:val="23"/>
        </w:rPr>
        <w:t>综合废水污染物产生情况</w:t>
      </w:r>
    </w:p>
    <w:tbl>
      <w:tblPr>
        <w:tblStyle w:val="4"/>
        <w:tblW w:w="965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43"/>
        <w:gridCol w:w="1394"/>
        <w:gridCol w:w="1425"/>
        <w:gridCol w:w="1148"/>
        <w:gridCol w:w="1224"/>
        <w:gridCol w:w="933"/>
        <w:gridCol w:w="1147"/>
        <w:gridCol w:w="1141"/>
      </w:tblGrid>
      <w:tr w14:paraId="3230A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1243" w:type="dxa"/>
            <w:tcBorders>
              <w:left w:val="nil"/>
            </w:tcBorders>
          </w:tcPr>
          <w:p w14:paraId="374A0C67">
            <w:pPr>
              <w:spacing w:before="111" w:line="228" w:lineRule="auto"/>
              <w:ind w:left="208"/>
              <w:rPr>
                <w:rFonts w:ascii="宋体" w:hAnsi="宋体" w:eastAsia="宋体" w:cs="宋体"/>
                <w:sz w:val="20"/>
                <w:szCs w:val="20"/>
              </w:rPr>
            </w:pPr>
            <w:r>
              <w:rPr>
                <w:rFonts w:ascii="宋体" w:hAnsi="宋体" w:eastAsia="宋体" w:cs="宋体"/>
                <w:spacing w:val="9"/>
                <w:sz w:val="20"/>
                <w:szCs w:val="20"/>
              </w:rPr>
              <w:t>废</w:t>
            </w:r>
            <w:r>
              <w:rPr>
                <w:rFonts w:ascii="宋体" w:hAnsi="宋体" w:eastAsia="宋体" w:cs="宋体"/>
                <w:spacing w:val="7"/>
                <w:sz w:val="20"/>
                <w:szCs w:val="20"/>
              </w:rPr>
              <w:t>水种类</w:t>
            </w:r>
          </w:p>
        </w:tc>
        <w:tc>
          <w:tcPr>
            <w:tcW w:w="1394" w:type="dxa"/>
          </w:tcPr>
          <w:p w14:paraId="2ECA961F">
            <w:pPr>
              <w:spacing w:before="74" w:line="281" w:lineRule="exact"/>
              <w:ind w:left="32"/>
              <w:rPr>
                <w:rFonts w:ascii="宋体" w:hAnsi="宋体" w:eastAsia="宋体" w:cs="宋体"/>
                <w:sz w:val="20"/>
                <w:szCs w:val="20"/>
              </w:rPr>
            </w:pPr>
            <w:r>
              <w:rPr>
                <w:rFonts w:ascii="宋体" w:hAnsi="宋体" w:eastAsia="宋体" w:cs="宋体"/>
                <w:spacing w:val="-6"/>
                <w:position w:val="1"/>
                <w:sz w:val="20"/>
                <w:szCs w:val="20"/>
              </w:rPr>
              <w:t>废</w:t>
            </w:r>
            <w:r>
              <w:rPr>
                <w:rFonts w:ascii="宋体" w:hAnsi="宋体" w:eastAsia="宋体" w:cs="宋体"/>
                <w:spacing w:val="-5"/>
                <w:position w:val="1"/>
                <w:sz w:val="20"/>
                <w:szCs w:val="20"/>
              </w:rPr>
              <w:t>水量 (</w:t>
            </w:r>
            <w:r>
              <w:rPr>
                <w:rFonts w:ascii="Times New Roman" w:hAnsi="Times New Roman" w:eastAsia="Times New Roman" w:cs="Times New Roman"/>
                <w:spacing w:val="-5"/>
                <w:position w:val="1"/>
                <w:sz w:val="20"/>
                <w:szCs w:val="20"/>
              </w:rPr>
              <w:t>m</w:t>
            </w:r>
            <w:r>
              <w:rPr>
                <w:rFonts w:ascii="Times New Roman" w:hAnsi="Times New Roman" w:eastAsia="Times New Roman" w:cs="Times New Roman"/>
                <w:spacing w:val="-5"/>
                <w:position w:val="7"/>
                <w:sz w:val="13"/>
                <w:szCs w:val="13"/>
              </w:rPr>
              <w:t>3</w:t>
            </w:r>
            <w:r>
              <w:rPr>
                <w:rFonts w:ascii="Times New Roman" w:hAnsi="Times New Roman" w:eastAsia="Times New Roman" w:cs="Times New Roman"/>
                <w:spacing w:val="-5"/>
                <w:position w:val="1"/>
                <w:sz w:val="20"/>
                <w:szCs w:val="20"/>
              </w:rPr>
              <w:t xml:space="preserve">/a </w:t>
            </w:r>
            <w:r>
              <w:rPr>
                <w:rFonts w:ascii="宋体" w:hAnsi="宋体" w:eastAsia="宋体" w:cs="宋体"/>
                <w:spacing w:val="-5"/>
                <w:position w:val="1"/>
                <w:sz w:val="20"/>
                <w:szCs w:val="20"/>
              </w:rPr>
              <w:t>)</w:t>
            </w:r>
          </w:p>
        </w:tc>
        <w:tc>
          <w:tcPr>
            <w:tcW w:w="1425" w:type="dxa"/>
          </w:tcPr>
          <w:p w14:paraId="2CEE00C6">
            <w:pPr>
              <w:spacing w:before="111" w:line="228" w:lineRule="auto"/>
              <w:ind w:left="298"/>
              <w:rPr>
                <w:rFonts w:ascii="宋体" w:hAnsi="宋体" w:eastAsia="宋体" w:cs="宋体"/>
                <w:sz w:val="20"/>
                <w:szCs w:val="20"/>
              </w:rPr>
            </w:pPr>
            <w:r>
              <w:rPr>
                <w:rFonts w:ascii="宋体" w:hAnsi="宋体" w:eastAsia="宋体" w:cs="宋体"/>
                <w:spacing w:val="8"/>
                <w:sz w:val="20"/>
                <w:szCs w:val="20"/>
              </w:rPr>
              <w:t>产</w:t>
            </w:r>
            <w:r>
              <w:rPr>
                <w:rFonts w:ascii="宋体" w:hAnsi="宋体" w:eastAsia="宋体" w:cs="宋体"/>
                <w:spacing w:val="7"/>
                <w:sz w:val="20"/>
                <w:szCs w:val="20"/>
              </w:rPr>
              <w:t>生情况</w:t>
            </w:r>
          </w:p>
        </w:tc>
        <w:tc>
          <w:tcPr>
            <w:tcW w:w="1148" w:type="dxa"/>
          </w:tcPr>
          <w:p w14:paraId="41A079C8">
            <w:pPr>
              <w:spacing w:before="148" w:line="195" w:lineRule="auto"/>
              <w:ind w:left="347"/>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COD</w:t>
            </w:r>
          </w:p>
        </w:tc>
        <w:tc>
          <w:tcPr>
            <w:tcW w:w="1224" w:type="dxa"/>
          </w:tcPr>
          <w:p w14:paraId="446CBCEE">
            <w:pPr>
              <w:spacing w:before="148" w:line="202" w:lineRule="auto"/>
              <w:ind w:left="354"/>
              <w:rPr>
                <w:rFonts w:ascii="Times New Roman" w:hAnsi="Times New Roman" w:eastAsia="Times New Roman" w:cs="Times New Roman"/>
                <w:sz w:val="13"/>
                <w:szCs w:val="13"/>
              </w:rPr>
            </w:pPr>
            <w:r>
              <w:rPr>
                <w:rFonts w:ascii="Times New Roman" w:hAnsi="Times New Roman" w:eastAsia="Times New Roman" w:cs="Times New Roman"/>
                <w:b/>
                <w:bCs/>
                <w:sz w:val="20"/>
                <w:szCs w:val="20"/>
              </w:rPr>
              <w:t>BOD</w:t>
            </w:r>
            <w:r>
              <w:rPr>
                <w:rFonts w:ascii="Times New Roman" w:hAnsi="Times New Roman" w:eastAsia="Times New Roman" w:cs="Times New Roman"/>
                <w:b/>
                <w:bCs/>
                <w:spacing w:val="19"/>
                <w:position w:val="-1"/>
                <w:sz w:val="13"/>
                <w:szCs w:val="13"/>
              </w:rPr>
              <w:t>5</w:t>
            </w:r>
          </w:p>
        </w:tc>
        <w:tc>
          <w:tcPr>
            <w:tcW w:w="933" w:type="dxa"/>
          </w:tcPr>
          <w:p w14:paraId="1A98D70C">
            <w:pPr>
              <w:spacing w:before="148" w:line="195" w:lineRule="auto"/>
              <w:ind w:left="358"/>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SS</w:t>
            </w:r>
          </w:p>
        </w:tc>
        <w:tc>
          <w:tcPr>
            <w:tcW w:w="1147" w:type="dxa"/>
          </w:tcPr>
          <w:p w14:paraId="747EA001">
            <w:pPr>
              <w:spacing w:before="151" w:line="199" w:lineRule="auto"/>
              <w:ind w:left="274"/>
              <w:rPr>
                <w:rFonts w:ascii="Times New Roman" w:hAnsi="Times New Roman" w:eastAsia="Times New Roman" w:cs="Times New Roman"/>
                <w:sz w:val="20"/>
                <w:szCs w:val="20"/>
              </w:rPr>
            </w:pPr>
            <w:r>
              <w:rPr>
                <w:rFonts w:ascii="Times New Roman" w:hAnsi="Times New Roman" w:eastAsia="Times New Roman" w:cs="Times New Roman"/>
                <w:b/>
                <w:bCs/>
                <w:sz w:val="20"/>
                <w:szCs w:val="20"/>
              </w:rPr>
              <w:t>NH</w:t>
            </w:r>
            <w:r>
              <w:rPr>
                <w:rFonts w:ascii="Times New Roman" w:hAnsi="Times New Roman" w:eastAsia="Times New Roman" w:cs="Times New Roman"/>
                <w:b/>
                <w:bCs/>
                <w:spacing w:val="12"/>
                <w:position w:val="-1"/>
                <w:sz w:val="13"/>
                <w:szCs w:val="13"/>
              </w:rPr>
              <w:t>3</w:t>
            </w:r>
            <w:r>
              <w:rPr>
                <w:rFonts w:ascii="Times New Roman" w:hAnsi="Times New Roman" w:eastAsia="Times New Roman" w:cs="Times New Roman"/>
                <w:b/>
                <w:bCs/>
                <w:spacing w:val="11"/>
                <w:sz w:val="20"/>
                <w:szCs w:val="20"/>
              </w:rPr>
              <w:t>-</w:t>
            </w:r>
            <w:r>
              <w:rPr>
                <w:rFonts w:ascii="Times New Roman" w:hAnsi="Times New Roman" w:eastAsia="Times New Roman" w:cs="Times New Roman"/>
                <w:b/>
                <w:bCs/>
                <w:sz w:val="20"/>
                <w:szCs w:val="20"/>
              </w:rPr>
              <w:t>N</w:t>
            </w:r>
          </w:p>
        </w:tc>
        <w:tc>
          <w:tcPr>
            <w:tcW w:w="1141" w:type="dxa"/>
            <w:tcBorders>
              <w:right w:val="nil"/>
            </w:tcBorders>
          </w:tcPr>
          <w:p w14:paraId="38CD2C7E">
            <w:pPr>
              <w:spacing w:before="151" w:line="192" w:lineRule="auto"/>
              <w:ind w:left="442"/>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T</w:t>
            </w:r>
            <w:r>
              <w:rPr>
                <w:rFonts w:ascii="Times New Roman" w:hAnsi="Times New Roman" w:eastAsia="Times New Roman" w:cs="Times New Roman"/>
                <w:b/>
                <w:bCs/>
                <w:spacing w:val="1"/>
                <w:sz w:val="20"/>
                <w:szCs w:val="20"/>
              </w:rPr>
              <w:t>P</w:t>
            </w:r>
          </w:p>
        </w:tc>
      </w:tr>
      <w:tr w14:paraId="69F7A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43" w:type="dxa"/>
            <w:vMerge w:val="restart"/>
            <w:tcBorders>
              <w:left w:val="nil"/>
              <w:bottom w:val="nil"/>
            </w:tcBorders>
          </w:tcPr>
          <w:p w14:paraId="0F93EFA5">
            <w:pPr>
              <w:spacing w:before="236" w:line="228" w:lineRule="auto"/>
              <w:ind w:left="209"/>
              <w:rPr>
                <w:rFonts w:ascii="宋体" w:hAnsi="宋体" w:eastAsia="宋体" w:cs="宋体"/>
                <w:sz w:val="20"/>
                <w:szCs w:val="20"/>
              </w:rPr>
            </w:pPr>
            <w:r>
              <w:rPr>
                <w:rFonts w:ascii="宋体" w:hAnsi="宋体" w:eastAsia="宋体" w:cs="宋体"/>
                <w:spacing w:val="7"/>
                <w:sz w:val="20"/>
                <w:szCs w:val="20"/>
              </w:rPr>
              <w:t>养殖废水</w:t>
            </w:r>
          </w:p>
        </w:tc>
        <w:tc>
          <w:tcPr>
            <w:tcW w:w="1394" w:type="dxa"/>
            <w:vMerge w:val="restart"/>
            <w:tcBorders>
              <w:bottom w:val="nil"/>
            </w:tcBorders>
          </w:tcPr>
          <w:p w14:paraId="395D47C3">
            <w:pPr>
              <w:spacing w:before="273" w:line="195" w:lineRule="auto"/>
              <w:ind w:left="27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12534.31</w:t>
            </w:r>
            <w:r>
              <w:rPr>
                <w:rFonts w:ascii="Times New Roman" w:hAnsi="Times New Roman" w:eastAsia="Times New Roman" w:cs="Times New Roman"/>
                <w:spacing w:val="1"/>
                <w:sz w:val="20"/>
                <w:szCs w:val="20"/>
              </w:rPr>
              <w:t>4</w:t>
            </w:r>
          </w:p>
        </w:tc>
        <w:tc>
          <w:tcPr>
            <w:tcW w:w="1425" w:type="dxa"/>
          </w:tcPr>
          <w:p w14:paraId="4A96CDDE">
            <w:pPr>
              <w:spacing w:before="26" w:line="281" w:lineRule="exact"/>
              <w:ind w:left="72"/>
              <w:rPr>
                <w:rFonts w:ascii="宋体" w:hAnsi="宋体" w:eastAsia="宋体" w:cs="宋体"/>
                <w:sz w:val="20"/>
                <w:szCs w:val="20"/>
              </w:rPr>
            </w:pPr>
            <w:r>
              <w:rPr>
                <w:rFonts w:ascii="宋体" w:hAnsi="宋体" w:eastAsia="宋体" w:cs="宋体"/>
                <w:spacing w:val="7"/>
                <w:position w:val="2"/>
                <w:sz w:val="20"/>
                <w:szCs w:val="20"/>
              </w:rPr>
              <w:t>浓度 (</w:t>
            </w:r>
            <w:r>
              <w:rPr>
                <w:rFonts w:ascii="Times New Roman" w:hAnsi="Times New Roman" w:eastAsia="Times New Roman" w:cs="Times New Roman"/>
                <w:position w:val="2"/>
                <w:sz w:val="20"/>
                <w:szCs w:val="20"/>
              </w:rPr>
              <w:t>mg</w:t>
            </w:r>
            <w:r>
              <w:rPr>
                <w:rFonts w:ascii="Times New Roman" w:hAnsi="Times New Roman" w:eastAsia="Times New Roman" w:cs="Times New Roman"/>
                <w:spacing w:val="7"/>
                <w:position w:val="2"/>
                <w:sz w:val="20"/>
                <w:szCs w:val="20"/>
              </w:rPr>
              <w:t>/</w:t>
            </w:r>
            <w:r>
              <w:rPr>
                <w:rFonts w:ascii="Times New Roman" w:hAnsi="Times New Roman" w:eastAsia="Times New Roman" w:cs="Times New Roman"/>
                <w:position w:val="2"/>
                <w:sz w:val="20"/>
                <w:szCs w:val="20"/>
              </w:rPr>
              <w:t>L</w:t>
            </w:r>
            <w:r>
              <w:rPr>
                <w:rFonts w:ascii="宋体" w:hAnsi="宋体" w:eastAsia="宋体" w:cs="宋体"/>
                <w:spacing w:val="6"/>
                <w:position w:val="2"/>
                <w:sz w:val="20"/>
                <w:szCs w:val="20"/>
              </w:rPr>
              <w:t>)</w:t>
            </w:r>
          </w:p>
        </w:tc>
        <w:tc>
          <w:tcPr>
            <w:tcW w:w="1148" w:type="dxa"/>
          </w:tcPr>
          <w:p w14:paraId="1664A92C"/>
        </w:tc>
        <w:tc>
          <w:tcPr>
            <w:tcW w:w="1224" w:type="dxa"/>
          </w:tcPr>
          <w:p w14:paraId="2EBAC990"/>
        </w:tc>
        <w:tc>
          <w:tcPr>
            <w:tcW w:w="933" w:type="dxa"/>
          </w:tcPr>
          <w:p w14:paraId="4ED36537"/>
        </w:tc>
        <w:tc>
          <w:tcPr>
            <w:tcW w:w="1147" w:type="dxa"/>
          </w:tcPr>
          <w:p w14:paraId="1EDEC8E6"/>
        </w:tc>
        <w:tc>
          <w:tcPr>
            <w:tcW w:w="1141" w:type="dxa"/>
            <w:tcBorders>
              <w:right w:val="nil"/>
            </w:tcBorders>
          </w:tcPr>
          <w:p w14:paraId="63CDD1D4"/>
        </w:tc>
      </w:tr>
      <w:tr w14:paraId="3CE9E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43" w:type="dxa"/>
            <w:vMerge w:val="continue"/>
            <w:tcBorders>
              <w:top w:val="nil"/>
              <w:left w:val="nil"/>
            </w:tcBorders>
          </w:tcPr>
          <w:p w14:paraId="5DCD87E7"/>
        </w:tc>
        <w:tc>
          <w:tcPr>
            <w:tcW w:w="1394" w:type="dxa"/>
            <w:vMerge w:val="continue"/>
            <w:tcBorders>
              <w:top w:val="nil"/>
            </w:tcBorders>
          </w:tcPr>
          <w:p w14:paraId="30E39783"/>
        </w:tc>
        <w:tc>
          <w:tcPr>
            <w:tcW w:w="1425" w:type="dxa"/>
          </w:tcPr>
          <w:p w14:paraId="26385A54">
            <w:pPr>
              <w:spacing w:before="27" w:line="281" w:lineRule="exact"/>
              <w:ind w:left="89"/>
              <w:rPr>
                <w:rFonts w:ascii="宋体" w:hAnsi="宋体" w:eastAsia="宋体" w:cs="宋体"/>
                <w:sz w:val="20"/>
                <w:szCs w:val="20"/>
              </w:rPr>
            </w:pPr>
            <w:r>
              <w:rPr>
                <w:rFonts w:ascii="宋体" w:hAnsi="宋体" w:eastAsia="宋体" w:cs="宋体"/>
                <w:spacing w:val="4"/>
                <w:position w:val="1"/>
                <w:sz w:val="20"/>
                <w:szCs w:val="20"/>
              </w:rPr>
              <w:t>产生</w:t>
            </w:r>
            <w:r>
              <w:rPr>
                <w:rFonts w:ascii="宋体" w:hAnsi="宋体" w:eastAsia="宋体" w:cs="宋体"/>
                <w:spacing w:val="3"/>
                <w:position w:val="1"/>
                <w:sz w:val="20"/>
                <w:szCs w:val="20"/>
              </w:rPr>
              <w:t>量</w:t>
            </w:r>
            <w:r>
              <w:rPr>
                <w:rFonts w:ascii="宋体" w:hAnsi="宋体" w:eastAsia="宋体" w:cs="宋体"/>
                <w:spacing w:val="2"/>
                <w:position w:val="1"/>
                <w:sz w:val="20"/>
                <w:szCs w:val="20"/>
              </w:rPr>
              <w:t xml:space="preserve"> (</w:t>
            </w:r>
            <w:r>
              <w:rPr>
                <w:rFonts w:ascii="Times New Roman" w:hAnsi="Times New Roman" w:eastAsia="Times New Roman" w:cs="Times New Roman"/>
                <w:position w:val="1"/>
                <w:sz w:val="20"/>
                <w:szCs w:val="20"/>
              </w:rPr>
              <w:t>t</w:t>
            </w:r>
            <w:r>
              <w:rPr>
                <w:rFonts w:ascii="Times New Roman" w:hAnsi="Times New Roman" w:eastAsia="Times New Roman" w:cs="Times New Roman"/>
                <w:spacing w:val="2"/>
                <w:position w:val="1"/>
                <w:sz w:val="20"/>
                <w:szCs w:val="20"/>
              </w:rPr>
              <w:t>/</w:t>
            </w:r>
            <w:r>
              <w:rPr>
                <w:rFonts w:ascii="Times New Roman" w:hAnsi="Times New Roman" w:eastAsia="Times New Roman" w:cs="Times New Roman"/>
                <w:position w:val="1"/>
                <w:sz w:val="20"/>
                <w:szCs w:val="20"/>
              </w:rPr>
              <w:t>a</w:t>
            </w:r>
            <w:r>
              <w:rPr>
                <w:rFonts w:ascii="Times New Roman" w:hAnsi="Times New Roman" w:eastAsia="Times New Roman" w:cs="Times New Roman"/>
                <w:spacing w:val="2"/>
                <w:position w:val="1"/>
                <w:sz w:val="20"/>
                <w:szCs w:val="20"/>
              </w:rPr>
              <w:t xml:space="preserve"> </w:t>
            </w:r>
            <w:r>
              <w:rPr>
                <w:rFonts w:ascii="宋体" w:hAnsi="宋体" w:eastAsia="宋体" w:cs="宋体"/>
                <w:spacing w:val="2"/>
                <w:position w:val="1"/>
                <w:sz w:val="20"/>
                <w:szCs w:val="20"/>
              </w:rPr>
              <w:t>)</w:t>
            </w:r>
          </w:p>
        </w:tc>
        <w:tc>
          <w:tcPr>
            <w:tcW w:w="1148" w:type="dxa"/>
          </w:tcPr>
          <w:p w14:paraId="5AEE04E8"/>
        </w:tc>
        <w:tc>
          <w:tcPr>
            <w:tcW w:w="1224" w:type="dxa"/>
          </w:tcPr>
          <w:p w14:paraId="783F218D"/>
        </w:tc>
        <w:tc>
          <w:tcPr>
            <w:tcW w:w="933" w:type="dxa"/>
          </w:tcPr>
          <w:p w14:paraId="28F7264B"/>
        </w:tc>
        <w:tc>
          <w:tcPr>
            <w:tcW w:w="1147" w:type="dxa"/>
          </w:tcPr>
          <w:p w14:paraId="2C84DFB1"/>
        </w:tc>
        <w:tc>
          <w:tcPr>
            <w:tcW w:w="1141" w:type="dxa"/>
            <w:tcBorders>
              <w:right w:val="nil"/>
            </w:tcBorders>
          </w:tcPr>
          <w:p w14:paraId="008657FB"/>
        </w:tc>
      </w:tr>
      <w:tr w14:paraId="48BB8B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1243" w:type="dxa"/>
            <w:vMerge w:val="restart"/>
            <w:tcBorders>
              <w:left w:val="nil"/>
              <w:bottom w:val="nil"/>
            </w:tcBorders>
          </w:tcPr>
          <w:p w14:paraId="736A566E">
            <w:pPr>
              <w:spacing w:before="77" w:line="267" w:lineRule="auto"/>
              <w:ind w:left="208" w:right="26" w:hanging="171"/>
              <w:rPr>
                <w:rFonts w:ascii="宋体" w:hAnsi="宋体" w:eastAsia="宋体" w:cs="宋体"/>
                <w:sz w:val="20"/>
                <w:szCs w:val="20"/>
              </w:rPr>
            </w:pPr>
            <w:r>
              <w:rPr>
                <w:rFonts w:ascii="宋体" w:hAnsi="宋体" w:eastAsia="宋体" w:cs="宋体"/>
                <w:spacing w:val="15"/>
                <w:sz w:val="20"/>
                <w:szCs w:val="20"/>
              </w:rPr>
              <w:t>生</w:t>
            </w:r>
            <w:r>
              <w:rPr>
                <w:rFonts w:ascii="宋体" w:hAnsi="宋体" w:eastAsia="宋体" w:cs="宋体"/>
                <w:spacing w:val="12"/>
                <w:sz w:val="20"/>
                <w:szCs w:val="20"/>
              </w:rPr>
              <w:t>活污水(餐</w:t>
            </w:r>
            <w:r>
              <w:rPr>
                <w:rFonts w:ascii="宋体" w:hAnsi="宋体" w:eastAsia="宋体" w:cs="宋体"/>
                <w:sz w:val="20"/>
                <w:szCs w:val="20"/>
              </w:rPr>
              <w:t xml:space="preserve"> </w:t>
            </w:r>
            <w:r>
              <w:rPr>
                <w:rFonts w:ascii="宋体" w:hAnsi="宋体" w:eastAsia="宋体" w:cs="宋体"/>
                <w:spacing w:val="5"/>
                <w:sz w:val="20"/>
                <w:szCs w:val="20"/>
              </w:rPr>
              <w:t>饮废水)</w:t>
            </w:r>
          </w:p>
        </w:tc>
        <w:tc>
          <w:tcPr>
            <w:tcW w:w="1394" w:type="dxa"/>
            <w:vMerge w:val="restart"/>
            <w:tcBorders>
              <w:bottom w:val="nil"/>
            </w:tcBorders>
          </w:tcPr>
          <w:p w14:paraId="5182A88E">
            <w:pPr>
              <w:spacing w:before="250" w:line="195" w:lineRule="auto"/>
              <w:ind w:left="41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310.25</w:t>
            </w:r>
          </w:p>
        </w:tc>
        <w:tc>
          <w:tcPr>
            <w:tcW w:w="1425" w:type="dxa"/>
          </w:tcPr>
          <w:p w14:paraId="1C892D53">
            <w:pPr>
              <w:spacing w:before="3" w:line="281" w:lineRule="exact"/>
              <w:ind w:left="72"/>
              <w:rPr>
                <w:rFonts w:ascii="宋体" w:hAnsi="宋体" w:eastAsia="宋体" w:cs="宋体"/>
                <w:sz w:val="20"/>
                <w:szCs w:val="20"/>
              </w:rPr>
            </w:pPr>
            <w:r>
              <w:rPr>
                <w:rFonts w:ascii="宋体" w:hAnsi="宋体" w:eastAsia="宋体" w:cs="宋体"/>
                <w:spacing w:val="7"/>
                <w:position w:val="2"/>
                <w:sz w:val="20"/>
                <w:szCs w:val="20"/>
              </w:rPr>
              <w:t>浓度 (</w:t>
            </w:r>
            <w:r>
              <w:rPr>
                <w:rFonts w:ascii="Times New Roman" w:hAnsi="Times New Roman" w:eastAsia="Times New Roman" w:cs="Times New Roman"/>
                <w:position w:val="2"/>
                <w:sz w:val="20"/>
                <w:szCs w:val="20"/>
              </w:rPr>
              <w:t>mg</w:t>
            </w:r>
            <w:r>
              <w:rPr>
                <w:rFonts w:ascii="Times New Roman" w:hAnsi="Times New Roman" w:eastAsia="Times New Roman" w:cs="Times New Roman"/>
                <w:spacing w:val="7"/>
                <w:position w:val="2"/>
                <w:sz w:val="20"/>
                <w:szCs w:val="20"/>
              </w:rPr>
              <w:t>/</w:t>
            </w:r>
            <w:r>
              <w:rPr>
                <w:rFonts w:ascii="Times New Roman" w:hAnsi="Times New Roman" w:eastAsia="Times New Roman" w:cs="Times New Roman"/>
                <w:position w:val="2"/>
                <w:sz w:val="20"/>
                <w:szCs w:val="20"/>
              </w:rPr>
              <w:t>L</w:t>
            </w:r>
            <w:r>
              <w:rPr>
                <w:rFonts w:ascii="宋体" w:hAnsi="宋体" w:eastAsia="宋体" w:cs="宋体"/>
                <w:spacing w:val="6"/>
                <w:position w:val="2"/>
                <w:sz w:val="20"/>
                <w:szCs w:val="20"/>
              </w:rPr>
              <w:t>)</w:t>
            </w:r>
          </w:p>
        </w:tc>
        <w:tc>
          <w:tcPr>
            <w:tcW w:w="1148" w:type="dxa"/>
          </w:tcPr>
          <w:p w14:paraId="559C858B"/>
        </w:tc>
        <w:tc>
          <w:tcPr>
            <w:tcW w:w="1224" w:type="dxa"/>
          </w:tcPr>
          <w:p w14:paraId="70BC0EC5"/>
        </w:tc>
        <w:tc>
          <w:tcPr>
            <w:tcW w:w="933" w:type="dxa"/>
          </w:tcPr>
          <w:p w14:paraId="798F7D45"/>
        </w:tc>
        <w:tc>
          <w:tcPr>
            <w:tcW w:w="1147" w:type="dxa"/>
          </w:tcPr>
          <w:p w14:paraId="10C5BAE1"/>
        </w:tc>
        <w:tc>
          <w:tcPr>
            <w:tcW w:w="1141" w:type="dxa"/>
            <w:tcBorders>
              <w:right w:val="nil"/>
            </w:tcBorders>
          </w:tcPr>
          <w:p w14:paraId="0C9EF221"/>
        </w:tc>
      </w:tr>
      <w:tr w14:paraId="01717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243" w:type="dxa"/>
            <w:vMerge w:val="continue"/>
            <w:tcBorders>
              <w:top w:val="nil"/>
              <w:left w:val="nil"/>
            </w:tcBorders>
          </w:tcPr>
          <w:p w14:paraId="5DEEC03D"/>
        </w:tc>
        <w:tc>
          <w:tcPr>
            <w:tcW w:w="1394" w:type="dxa"/>
            <w:vMerge w:val="continue"/>
            <w:tcBorders>
              <w:top w:val="nil"/>
            </w:tcBorders>
          </w:tcPr>
          <w:p w14:paraId="2B51C7AB"/>
        </w:tc>
        <w:tc>
          <w:tcPr>
            <w:tcW w:w="1425" w:type="dxa"/>
          </w:tcPr>
          <w:p w14:paraId="7B65A6FC">
            <w:pPr>
              <w:spacing w:before="29" w:line="281" w:lineRule="exact"/>
              <w:ind w:left="89"/>
              <w:rPr>
                <w:rFonts w:ascii="宋体" w:hAnsi="宋体" w:eastAsia="宋体" w:cs="宋体"/>
                <w:sz w:val="20"/>
                <w:szCs w:val="20"/>
              </w:rPr>
            </w:pPr>
            <w:r>
              <w:rPr>
                <w:rFonts w:ascii="宋体" w:hAnsi="宋体" w:eastAsia="宋体" w:cs="宋体"/>
                <w:spacing w:val="4"/>
                <w:position w:val="1"/>
                <w:sz w:val="20"/>
                <w:szCs w:val="20"/>
              </w:rPr>
              <w:t>产生</w:t>
            </w:r>
            <w:r>
              <w:rPr>
                <w:rFonts w:ascii="宋体" w:hAnsi="宋体" w:eastAsia="宋体" w:cs="宋体"/>
                <w:spacing w:val="3"/>
                <w:position w:val="1"/>
                <w:sz w:val="20"/>
                <w:szCs w:val="20"/>
              </w:rPr>
              <w:t>量</w:t>
            </w:r>
            <w:r>
              <w:rPr>
                <w:rFonts w:ascii="宋体" w:hAnsi="宋体" w:eastAsia="宋体" w:cs="宋体"/>
                <w:spacing w:val="2"/>
                <w:position w:val="1"/>
                <w:sz w:val="20"/>
                <w:szCs w:val="20"/>
              </w:rPr>
              <w:t xml:space="preserve"> (</w:t>
            </w:r>
            <w:r>
              <w:rPr>
                <w:rFonts w:ascii="Times New Roman" w:hAnsi="Times New Roman" w:eastAsia="Times New Roman" w:cs="Times New Roman"/>
                <w:position w:val="1"/>
                <w:sz w:val="20"/>
                <w:szCs w:val="20"/>
              </w:rPr>
              <w:t>t</w:t>
            </w:r>
            <w:r>
              <w:rPr>
                <w:rFonts w:ascii="Times New Roman" w:hAnsi="Times New Roman" w:eastAsia="Times New Roman" w:cs="Times New Roman"/>
                <w:spacing w:val="2"/>
                <w:position w:val="1"/>
                <w:sz w:val="20"/>
                <w:szCs w:val="20"/>
              </w:rPr>
              <w:t>/</w:t>
            </w:r>
            <w:r>
              <w:rPr>
                <w:rFonts w:ascii="Times New Roman" w:hAnsi="Times New Roman" w:eastAsia="Times New Roman" w:cs="Times New Roman"/>
                <w:position w:val="1"/>
                <w:sz w:val="20"/>
                <w:szCs w:val="20"/>
              </w:rPr>
              <w:t>a</w:t>
            </w:r>
            <w:r>
              <w:rPr>
                <w:rFonts w:ascii="Times New Roman" w:hAnsi="Times New Roman" w:eastAsia="Times New Roman" w:cs="Times New Roman"/>
                <w:spacing w:val="2"/>
                <w:position w:val="1"/>
                <w:sz w:val="20"/>
                <w:szCs w:val="20"/>
              </w:rPr>
              <w:t xml:space="preserve"> </w:t>
            </w:r>
            <w:r>
              <w:rPr>
                <w:rFonts w:ascii="宋体" w:hAnsi="宋体" w:eastAsia="宋体" w:cs="宋体"/>
                <w:spacing w:val="2"/>
                <w:position w:val="1"/>
                <w:sz w:val="20"/>
                <w:szCs w:val="20"/>
              </w:rPr>
              <w:t>)</w:t>
            </w:r>
          </w:p>
        </w:tc>
        <w:tc>
          <w:tcPr>
            <w:tcW w:w="1148" w:type="dxa"/>
          </w:tcPr>
          <w:p w14:paraId="05C416C6"/>
        </w:tc>
        <w:tc>
          <w:tcPr>
            <w:tcW w:w="1224" w:type="dxa"/>
          </w:tcPr>
          <w:p w14:paraId="4EAA5BE8"/>
        </w:tc>
        <w:tc>
          <w:tcPr>
            <w:tcW w:w="933" w:type="dxa"/>
          </w:tcPr>
          <w:p w14:paraId="7894B309"/>
        </w:tc>
        <w:tc>
          <w:tcPr>
            <w:tcW w:w="1147" w:type="dxa"/>
          </w:tcPr>
          <w:p w14:paraId="7BA565B7"/>
        </w:tc>
        <w:tc>
          <w:tcPr>
            <w:tcW w:w="1141" w:type="dxa"/>
            <w:tcBorders>
              <w:right w:val="nil"/>
            </w:tcBorders>
          </w:tcPr>
          <w:p w14:paraId="133C0AA7"/>
        </w:tc>
      </w:tr>
    </w:tbl>
    <w:p w14:paraId="78A8DDEA">
      <w:pPr>
        <w:spacing w:before="34" w:line="375" w:lineRule="auto"/>
        <w:ind w:left="90" w:right="78" w:firstLine="480"/>
        <w:rPr>
          <w:rFonts w:ascii="宋体" w:hAnsi="宋体" w:eastAsia="宋体" w:cs="宋体"/>
          <w:sz w:val="23"/>
          <w:szCs w:val="23"/>
        </w:rPr>
      </w:pPr>
      <w:r>
        <w:rPr>
          <w:rFonts w:ascii="宋体" w:hAnsi="宋体" w:eastAsia="宋体" w:cs="宋体"/>
          <w:spacing w:val="7"/>
          <w:sz w:val="23"/>
          <w:szCs w:val="23"/>
        </w:rPr>
        <w:t>本项目生活污水与养殖废水分开处置，生活污水经化粪池收集后用作自家林地灌溉，不</w:t>
      </w:r>
      <w:r>
        <w:rPr>
          <w:rFonts w:ascii="宋体" w:hAnsi="宋体" w:eastAsia="宋体" w:cs="宋体"/>
          <w:sz w:val="23"/>
          <w:szCs w:val="23"/>
        </w:rPr>
        <w:t xml:space="preserve"> </w:t>
      </w:r>
      <w:r>
        <w:rPr>
          <w:rFonts w:ascii="宋体" w:hAnsi="宋体" w:eastAsia="宋体" w:cs="宋体"/>
          <w:spacing w:val="7"/>
          <w:sz w:val="23"/>
          <w:szCs w:val="23"/>
        </w:rPr>
        <w:t>外排；养殖废水目前拟每日运输至乐山乐高勤力生物质能源综合利用有限公司集中处置 (已</w:t>
      </w:r>
      <w:r>
        <w:rPr>
          <w:rFonts w:ascii="宋体" w:hAnsi="宋体" w:eastAsia="宋体" w:cs="宋体"/>
          <w:sz w:val="23"/>
          <w:szCs w:val="23"/>
        </w:rPr>
        <w:t xml:space="preserve"> </w:t>
      </w:r>
      <w:r>
        <w:rPr>
          <w:rFonts w:ascii="宋体" w:hAnsi="宋体" w:eastAsia="宋体" w:cs="宋体"/>
          <w:spacing w:val="8"/>
          <w:sz w:val="23"/>
          <w:szCs w:val="23"/>
        </w:rPr>
        <w:t>签订收纳协议)</w:t>
      </w:r>
      <w:r>
        <w:rPr>
          <w:rFonts w:ascii="宋体" w:hAnsi="宋体" w:eastAsia="宋体" w:cs="宋体"/>
          <w:spacing w:val="5"/>
          <w:sz w:val="23"/>
          <w:szCs w:val="23"/>
        </w:rPr>
        <w:t xml:space="preserve"> </w:t>
      </w:r>
      <w:r>
        <w:rPr>
          <w:rFonts w:ascii="宋体" w:hAnsi="宋体" w:eastAsia="宋体" w:cs="宋体"/>
          <w:spacing w:val="4"/>
          <w:sz w:val="23"/>
          <w:szCs w:val="23"/>
        </w:rPr>
        <w:t xml:space="preserve">， 日产日清，同时，厂区还配套建设有一 </w:t>
      </w:r>
      <w:r>
        <w:rPr>
          <w:rFonts w:ascii="Times New Roman" w:hAnsi="Times New Roman" w:eastAsia="Times New Roman" w:cs="Times New Roman"/>
          <w:spacing w:val="4"/>
          <w:sz w:val="23"/>
          <w:szCs w:val="23"/>
        </w:rPr>
        <w:t>1600</w:t>
      </w:r>
      <w:r>
        <w:rPr>
          <w:rFonts w:ascii="Times New Roman" w:hAnsi="Times New Roman" w:eastAsia="Times New Roman" w:cs="Times New Roman"/>
          <w:sz w:val="23"/>
          <w:szCs w:val="23"/>
        </w:rPr>
        <w:t>m</w:t>
      </w:r>
      <w:r>
        <w:rPr>
          <w:rFonts w:ascii="Times New Roman" w:hAnsi="Times New Roman" w:eastAsia="Times New Roman" w:cs="Times New Roman"/>
          <w:spacing w:val="4"/>
          <w:position w:val="7"/>
          <w:sz w:val="15"/>
          <w:szCs w:val="15"/>
        </w:rPr>
        <w:t xml:space="preserve">2 </w:t>
      </w:r>
      <w:r>
        <w:rPr>
          <w:rFonts w:ascii="宋体" w:hAnsi="宋体" w:eastAsia="宋体" w:cs="宋体"/>
          <w:spacing w:val="4"/>
          <w:sz w:val="23"/>
          <w:szCs w:val="23"/>
        </w:rPr>
        <w:t>的发酵床备用，若后期乐</w:t>
      </w:r>
      <w:r>
        <w:rPr>
          <w:rFonts w:ascii="宋体" w:hAnsi="宋体" w:eastAsia="宋体" w:cs="宋体"/>
          <w:sz w:val="23"/>
          <w:szCs w:val="23"/>
        </w:rPr>
        <w:t xml:space="preserve"> </w:t>
      </w:r>
      <w:r>
        <w:rPr>
          <w:rFonts w:ascii="宋体" w:hAnsi="宋体" w:eastAsia="宋体" w:cs="宋体"/>
          <w:spacing w:val="14"/>
          <w:sz w:val="23"/>
          <w:szCs w:val="23"/>
        </w:rPr>
        <w:t>山</w:t>
      </w:r>
      <w:r>
        <w:rPr>
          <w:rFonts w:ascii="宋体" w:hAnsi="宋体" w:eastAsia="宋体" w:cs="宋体"/>
          <w:spacing w:val="7"/>
          <w:sz w:val="23"/>
          <w:szCs w:val="23"/>
        </w:rPr>
        <w:t>乐高勤力生物质能源综合利用有限公司不再回收厂区内的养殖废水，可将通过异位发酵床</w:t>
      </w:r>
      <w:r>
        <w:rPr>
          <w:rFonts w:ascii="宋体" w:hAnsi="宋体" w:eastAsia="宋体" w:cs="宋体"/>
          <w:sz w:val="23"/>
          <w:szCs w:val="23"/>
        </w:rPr>
        <w:t xml:space="preserve"> </w:t>
      </w:r>
      <w:r>
        <w:rPr>
          <w:rFonts w:ascii="宋体" w:hAnsi="宋体" w:eastAsia="宋体" w:cs="宋体"/>
          <w:spacing w:val="18"/>
          <w:sz w:val="23"/>
          <w:szCs w:val="23"/>
        </w:rPr>
        <w:t>自行</w:t>
      </w:r>
      <w:r>
        <w:rPr>
          <w:rFonts w:ascii="宋体" w:hAnsi="宋体" w:eastAsia="宋体" w:cs="宋体"/>
          <w:spacing w:val="9"/>
          <w:sz w:val="23"/>
          <w:szCs w:val="23"/>
        </w:rPr>
        <w:t>处置，处理产生的有机肥外售处理，两种养殖废水处置方式均能做到废水零排放。</w:t>
      </w:r>
    </w:p>
    <w:p w14:paraId="01565E69">
      <w:pPr>
        <w:spacing w:before="5" w:line="374" w:lineRule="auto"/>
        <w:ind w:left="91" w:right="78" w:firstLine="481"/>
        <w:rPr>
          <w:rFonts w:ascii="宋体" w:hAnsi="宋体" w:eastAsia="宋体" w:cs="宋体"/>
          <w:sz w:val="23"/>
          <w:szCs w:val="23"/>
        </w:rPr>
      </w:pPr>
      <w:r>
        <w:rPr>
          <w:rFonts w:ascii="宋体" w:hAnsi="宋体" w:eastAsia="宋体" w:cs="宋体"/>
          <w:spacing w:val="7"/>
          <w:sz w:val="23"/>
          <w:szCs w:val="23"/>
          <w14:textOutline w14:w="4356" w14:cap="sq" w14:cmpd="sng" w14:algn="ctr">
            <w14:solidFill>
              <w14:srgbClr w14:val="000000"/>
            </w14:solidFill>
            <w14:prstDash w14:val="solid"/>
            <w14:bevel/>
          </w14:textOutline>
        </w:rPr>
        <w:t>异位发酵床处置方式：</w:t>
      </w:r>
      <w:r>
        <w:rPr>
          <w:rFonts w:ascii="宋体" w:hAnsi="宋体" w:eastAsia="宋体" w:cs="宋体"/>
          <w:spacing w:val="7"/>
          <w:sz w:val="23"/>
          <w:szCs w:val="23"/>
        </w:rPr>
        <w:t>在适宜的温度、湿度、碳氮比及有氧的条件下，利用在垫料中</w:t>
      </w:r>
      <w:r>
        <w:rPr>
          <w:rFonts w:ascii="宋体" w:hAnsi="宋体" w:eastAsia="宋体" w:cs="宋体"/>
          <w:spacing w:val="5"/>
          <w:sz w:val="23"/>
          <w:szCs w:val="23"/>
        </w:rPr>
        <w:t>生</w:t>
      </w:r>
      <w:r>
        <w:rPr>
          <w:rFonts w:ascii="宋体" w:hAnsi="宋体" w:eastAsia="宋体" w:cs="宋体"/>
          <w:sz w:val="23"/>
          <w:szCs w:val="23"/>
        </w:rPr>
        <w:t xml:space="preserve"> </w:t>
      </w:r>
      <w:r>
        <w:rPr>
          <w:rFonts w:ascii="宋体" w:hAnsi="宋体" w:eastAsia="宋体" w:cs="宋体"/>
          <w:spacing w:val="13"/>
          <w:sz w:val="23"/>
          <w:szCs w:val="23"/>
        </w:rPr>
        <w:t>长</w:t>
      </w:r>
      <w:r>
        <w:rPr>
          <w:rFonts w:ascii="宋体" w:hAnsi="宋体" w:eastAsia="宋体" w:cs="宋体"/>
          <w:spacing w:val="7"/>
          <w:sz w:val="23"/>
          <w:szCs w:val="23"/>
        </w:rPr>
        <w:t>繁殖的发酵菌，使粪污中的有机物质得到充分的分解和转化，从而降解、消化粪污。在此</w:t>
      </w:r>
      <w:r>
        <w:rPr>
          <w:rFonts w:ascii="宋体" w:hAnsi="宋体" w:eastAsia="宋体" w:cs="宋体"/>
          <w:sz w:val="23"/>
          <w:szCs w:val="23"/>
        </w:rPr>
        <w:t xml:space="preserve"> </w:t>
      </w:r>
      <w:r>
        <w:rPr>
          <w:rFonts w:ascii="宋体" w:hAnsi="宋体" w:eastAsia="宋体" w:cs="宋体"/>
          <w:spacing w:val="13"/>
          <w:sz w:val="23"/>
          <w:szCs w:val="23"/>
        </w:rPr>
        <w:t>过</w:t>
      </w:r>
      <w:r>
        <w:rPr>
          <w:rFonts w:ascii="宋体" w:hAnsi="宋体" w:eastAsia="宋体" w:cs="宋体"/>
          <w:spacing w:val="7"/>
          <w:sz w:val="23"/>
          <w:szCs w:val="23"/>
        </w:rPr>
        <w:t>程中，粪污中水分大部分蒸发，未能降解的残留有机物部分转化为腐殖质，粪污中病原体</w:t>
      </w:r>
      <w:r>
        <w:rPr>
          <w:rFonts w:ascii="宋体" w:hAnsi="宋体" w:eastAsia="宋体" w:cs="宋体"/>
          <w:sz w:val="23"/>
          <w:szCs w:val="23"/>
        </w:rPr>
        <w:t xml:space="preserve"> </w:t>
      </w:r>
      <w:r>
        <w:rPr>
          <w:rFonts w:ascii="宋体" w:hAnsi="宋体" w:eastAsia="宋体" w:cs="宋体"/>
          <w:spacing w:val="13"/>
          <w:sz w:val="23"/>
          <w:szCs w:val="23"/>
        </w:rPr>
        <w:t>也</w:t>
      </w:r>
      <w:r>
        <w:rPr>
          <w:rFonts w:ascii="宋体" w:hAnsi="宋体" w:eastAsia="宋体" w:cs="宋体"/>
          <w:spacing w:val="7"/>
          <w:sz w:val="23"/>
          <w:szCs w:val="23"/>
        </w:rPr>
        <w:t>在长时间的高温环境中失活，达到养殖场无污水排放及粪污无害化、资源化的目的。定期</w:t>
      </w:r>
      <w:r>
        <w:rPr>
          <w:rFonts w:ascii="宋体" w:hAnsi="宋体" w:eastAsia="宋体" w:cs="宋体"/>
          <w:sz w:val="23"/>
          <w:szCs w:val="23"/>
        </w:rPr>
        <w:t xml:space="preserve"> </w:t>
      </w:r>
      <w:r>
        <w:rPr>
          <w:rFonts w:ascii="宋体" w:hAnsi="宋体" w:eastAsia="宋体" w:cs="宋体"/>
          <w:spacing w:val="15"/>
          <w:sz w:val="23"/>
          <w:szCs w:val="23"/>
        </w:rPr>
        <w:t>更</w:t>
      </w:r>
      <w:r>
        <w:rPr>
          <w:rFonts w:ascii="宋体" w:hAnsi="宋体" w:eastAsia="宋体" w:cs="宋体"/>
          <w:spacing w:val="8"/>
          <w:sz w:val="23"/>
          <w:szCs w:val="23"/>
        </w:rPr>
        <w:t>换的废垫料作为有机肥外售。</w:t>
      </w:r>
    </w:p>
    <w:p w14:paraId="69709FA9">
      <w:pPr>
        <w:spacing w:line="228" w:lineRule="auto"/>
        <w:ind w:left="573"/>
        <w:rPr>
          <w:rFonts w:ascii="宋体" w:hAnsi="宋体" w:eastAsia="宋体" w:cs="宋体"/>
          <w:sz w:val="23"/>
          <w:szCs w:val="23"/>
        </w:rPr>
      </w:pPr>
      <w:r>
        <w:rPr>
          <w:rFonts w:ascii="宋体" w:hAnsi="宋体" w:eastAsia="宋体" w:cs="宋体"/>
          <w:spacing w:val="15"/>
          <w:sz w:val="23"/>
          <w:szCs w:val="23"/>
        </w:rPr>
        <w:t>综</w:t>
      </w:r>
      <w:r>
        <w:rPr>
          <w:rFonts w:ascii="宋体" w:hAnsi="宋体" w:eastAsia="宋体" w:cs="宋体"/>
          <w:spacing w:val="9"/>
          <w:sz w:val="23"/>
          <w:szCs w:val="23"/>
        </w:rPr>
        <w:t>上所述，项目营运期产生的废水不外排，对周边环境影响不大。</w:t>
      </w:r>
    </w:p>
    <w:p w14:paraId="20A9F51B">
      <w:pPr>
        <w:spacing w:before="182" w:line="227" w:lineRule="auto"/>
        <w:ind w:left="58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4</w:t>
      </w:r>
      <w:r>
        <w:rPr>
          <w:rFonts w:ascii="宋体" w:hAnsi="宋体" w:eastAsia="宋体" w:cs="宋体"/>
          <w:spacing w:val="20"/>
          <w:sz w:val="23"/>
          <w:szCs w:val="23"/>
        </w:rPr>
        <w:t>) 初期雨</w:t>
      </w:r>
      <w:r>
        <w:rPr>
          <w:rFonts w:ascii="宋体" w:hAnsi="宋体" w:eastAsia="宋体" w:cs="宋体"/>
          <w:spacing w:val="19"/>
          <w:sz w:val="23"/>
          <w:szCs w:val="23"/>
        </w:rPr>
        <w:t>水</w:t>
      </w:r>
    </w:p>
    <w:p w14:paraId="332CE287">
      <w:pPr>
        <w:spacing w:before="186" w:line="374" w:lineRule="auto"/>
        <w:ind w:left="94" w:right="78" w:firstLine="479"/>
        <w:rPr>
          <w:rFonts w:ascii="宋体" w:hAnsi="宋体" w:eastAsia="宋体" w:cs="宋体"/>
          <w:sz w:val="23"/>
          <w:szCs w:val="23"/>
        </w:rPr>
      </w:pPr>
      <w:r>
        <w:rPr>
          <w:rFonts w:ascii="宋体" w:hAnsi="宋体" w:eastAsia="宋体" w:cs="宋体"/>
          <w:spacing w:val="12"/>
          <w:sz w:val="23"/>
          <w:szCs w:val="23"/>
        </w:rPr>
        <w:t>项目养</w:t>
      </w:r>
      <w:r>
        <w:rPr>
          <w:rFonts w:ascii="宋体" w:hAnsi="宋体" w:eastAsia="宋体" w:cs="宋体"/>
          <w:spacing w:val="11"/>
          <w:sz w:val="23"/>
          <w:szCs w:val="23"/>
        </w:rPr>
        <w:t>殖</w:t>
      </w:r>
      <w:r>
        <w:rPr>
          <w:rFonts w:ascii="宋体" w:hAnsi="宋体" w:eastAsia="宋体" w:cs="宋体"/>
          <w:spacing w:val="6"/>
          <w:sz w:val="23"/>
          <w:szCs w:val="23"/>
        </w:rPr>
        <w:t>区及环保区 (猪舍、异位微生物发酵床、化粪池、事故应急池) 占地地面积为</w:t>
      </w:r>
      <w:r>
        <w:rPr>
          <w:rFonts w:ascii="宋体" w:hAnsi="宋体" w:eastAsia="宋体" w:cs="宋体"/>
          <w:sz w:val="23"/>
          <w:szCs w:val="23"/>
        </w:rPr>
        <w:t xml:space="preserve"> </w:t>
      </w:r>
      <w:r>
        <w:rPr>
          <w:rFonts w:ascii="Times New Roman" w:hAnsi="Times New Roman" w:eastAsia="Times New Roman" w:cs="Times New Roman"/>
          <w:spacing w:val="8"/>
          <w:sz w:val="23"/>
          <w:szCs w:val="23"/>
        </w:rPr>
        <w:t>14755</w:t>
      </w:r>
      <w:r>
        <w:rPr>
          <w:rFonts w:ascii="Times New Roman" w:hAnsi="Times New Roman" w:eastAsia="Times New Roman" w:cs="Times New Roman"/>
          <w:sz w:val="23"/>
          <w:szCs w:val="23"/>
        </w:rPr>
        <w:t>m</w:t>
      </w:r>
      <w:r>
        <w:rPr>
          <w:rFonts w:ascii="Times New Roman" w:hAnsi="Times New Roman" w:eastAsia="Times New Roman" w:cs="Times New Roman"/>
          <w:spacing w:val="8"/>
          <w:position w:val="8"/>
          <w:sz w:val="15"/>
          <w:szCs w:val="15"/>
        </w:rPr>
        <w:t xml:space="preserve">2 </w:t>
      </w:r>
      <w:r>
        <w:rPr>
          <w:rFonts w:ascii="宋体" w:hAnsi="宋体" w:eastAsia="宋体" w:cs="宋体"/>
          <w:spacing w:val="8"/>
          <w:sz w:val="23"/>
          <w:szCs w:val="23"/>
        </w:rPr>
        <w:t>，当在一定的降雨强度和降雨历时条件下降雨形成一定量的雨水。项目场区排水</w:t>
      </w:r>
      <w:r>
        <w:rPr>
          <w:rFonts w:ascii="宋体" w:hAnsi="宋体" w:eastAsia="宋体" w:cs="宋体"/>
          <w:sz w:val="23"/>
          <w:szCs w:val="23"/>
        </w:rPr>
        <w:t xml:space="preserve">方 </w:t>
      </w:r>
      <w:r>
        <w:rPr>
          <w:rFonts w:ascii="宋体" w:hAnsi="宋体" w:eastAsia="宋体" w:cs="宋体"/>
          <w:spacing w:val="10"/>
          <w:sz w:val="23"/>
          <w:szCs w:val="23"/>
        </w:rPr>
        <w:t>式为</w:t>
      </w:r>
      <w:r>
        <w:rPr>
          <w:rFonts w:ascii="Times New Roman" w:hAnsi="Times New Roman" w:eastAsia="Times New Roman" w:cs="Times New Roman"/>
          <w:spacing w:val="10"/>
          <w:sz w:val="23"/>
          <w:szCs w:val="23"/>
        </w:rPr>
        <w:t>“</w:t>
      </w:r>
      <w:r>
        <w:rPr>
          <w:rFonts w:ascii="宋体" w:hAnsi="宋体" w:eastAsia="宋体" w:cs="宋体"/>
          <w:spacing w:val="5"/>
          <w:sz w:val="23"/>
          <w:szCs w:val="23"/>
        </w:rPr>
        <w:t>雨污分流</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，设置专门雨水沟将其引出场外。</w:t>
      </w:r>
    </w:p>
    <w:p w14:paraId="5BFB2717">
      <w:pPr>
        <w:spacing w:before="1" w:line="226" w:lineRule="auto"/>
        <w:ind w:left="570"/>
        <w:rPr>
          <w:rFonts w:ascii="宋体" w:hAnsi="宋体" w:eastAsia="宋体" w:cs="宋体"/>
          <w:sz w:val="23"/>
          <w:szCs w:val="23"/>
        </w:rPr>
      </w:pPr>
      <w:r>
        <w:rPr>
          <w:rFonts w:ascii="宋体" w:hAnsi="宋体" w:eastAsia="宋体" w:cs="宋体"/>
          <w:spacing w:val="18"/>
          <w:sz w:val="23"/>
          <w:szCs w:val="23"/>
        </w:rPr>
        <w:t>暴</w:t>
      </w:r>
      <w:r>
        <w:rPr>
          <w:rFonts w:ascii="宋体" w:hAnsi="宋体" w:eastAsia="宋体" w:cs="宋体"/>
          <w:spacing w:val="10"/>
          <w:sz w:val="23"/>
          <w:szCs w:val="23"/>
        </w:rPr>
        <w:t>雨</w:t>
      </w:r>
      <w:r>
        <w:rPr>
          <w:rFonts w:ascii="宋体" w:hAnsi="宋体" w:eastAsia="宋体" w:cs="宋体"/>
          <w:spacing w:val="9"/>
          <w:sz w:val="23"/>
          <w:szCs w:val="23"/>
        </w:rPr>
        <w:t>强度公式采用乐山市人民政府公布的暴雨强度公式，公式如下：</w:t>
      </w:r>
    </w:p>
    <w:p w14:paraId="4D177339">
      <w:pPr>
        <w:spacing w:line="268" w:lineRule="auto"/>
      </w:pPr>
    </w:p>
    <w:p w14:paraId="17AC31B1">
      <w:pPr>
        <w:spacing w:line="268" w:lineRule="auto"/>
      </w:pPr>
    </w:p>
    <w:p w14:paraId="43FB20ED">
      <w:pPr>
        <w:spacing w:line="269" w:lineRule="auto"/>
      </w:pPr>
    </w:p>
    <w:p w14:paraId="142B04D5">
      <w:pPr>
        <w:spacing w:line="269" w:lineRule="auto"/>
      </w:pPr>
    </w:p>
    <w:p w14:paraId="516525F6">
      <w:pPr>
        <w:spacing w:line="269" w:lineRule="auto"/>
      </w:pPr>
    </w:p>
    <w:p w14:paraId="306E2C41">
      <w:pPr>
        <w:spacing w:before="75" w:line="228" w:lineRule="auto"/>
        <w:ind w:left="574"/>
        <w:rPr>
          <w:rFonts w:ascii="宋体" w:hAnsi="宋体" w:eastAsia="宋体" w:cs="宋体"/>
          <w:sz w:val="23"/>
          <w:szCs w:val="23"/>
        </w:rPr>
      </w:pPr>
      <w:r>
        <w:rPr>
          <w:rFonts w:ascii="宋体" w:hAnsi="宋体" w:eastAsia="宋体" w:cs="宋体"/>
          <w:spacing w:val="2"/>
          <w:sz w:val="23"/>
          <w:szCs w:val="23"/>
        </w:rPr>
        <w:t>式中</w:t>
      </w:r>
      <w:r>
        <w:rPr>
          <w:rFonts w:ascii="宋体" w:hAnsi="宋体" w:eastAsia="宋体" w:cs="宋体"/>
          <w:spacing w:val="1"/>
          <w:sz w:val="23"/>
          <w:szCs w:val="23"/>
        </w:rPr>
        <w:t>：</w:t>
      </w:r>
    </w:p>
    <w:p w14:paraId="0DA483F2">
      <w:pPr>
        <w:spacing w:before="138" w:line="323" w:lineRule="exact"/>
        <w:ind w:left="1348"/>
        <w:rPr>
          <w:rFonts w:ascii="宋体" w:hAnsi="宋体" w:eastAsia="宋体" w:cs="宋体"/>
          <w:sz w:val="23"/>
          <w:szCs w:val="23"/>
        </w:rPr>
      </w:pPr>
      <w:r>
        <w:rPr>
          <w:rFonts w:ascii="Times New Roman" w:hAnsi="Times New Roman" w:eastAsia="Times New Roman" w:cs="Times New Roman"/>
          <w:position w:val="3"/>
          <w:sz w:val="23"/>
          <w:szCs w:val="23"/>
        </w:rPr>
        <w:t>q</w:t>
      </w:r>
      <w:r>
        <w:rPr>
          <w:rFonts w:ascii="Times New Roman" w:hAnsi="Times New Roman" w:eastAsia="Times New Roman" w:cs="Times New Roman"/>
          <w:spacing w:val="8"/>
          <w:position w:val="3"/>
          <w:sz w:val="23"/>
          <w:szCs w:val="23"/>
        </w:rPr>
        <w:t>——</w:t>
      </w:r>
      <w:r>
        <w:rPr>
          <w:rFonts w:ascii="宋体" w:hAnsi="宋体" w:eastAsia="宋体" w:cs="宋体"/>
          <w:spacing w:val="7"/>
          <w:position w:val="3"/>
          <w:sz w:val="23"/>
          <w:szCs w:val="23"/>
        </w:rPr>
        <w:t>暴</w:t>
      </w:r>
      <w:r>
        <w:rPr>
          <w:rFonts w:ascii="宋体" w:hAnsi="宋体" w:eastAsia="宋体" w:cs="宋体"/>
          <w:spacing w:val="4"/>
          <w:position w:val="3"/>
          <w:sz w:val="23"/>
          <w:szCs w:val="23"/>
        </w:rPr>
        <w:t>雨强度 (</w:t>
      </w:r>
      <w:r>
        <w:rPr>
          <w:rFonts w:ascii="Times New Roman" w:hAnsi="Times New Roman" w:eastAsia="Times New Roman" w:cs="Times New Roman"/>
          <w:position w:val="3"/>
          <w:sz w:val="23"/>
          <w:szCs w:val="23"/>
        </w:rPr>
        <w:t>L</w:t>
      </w:r>
      <w:r>
        <w:rPr>
          <w:rFonts w:ascii="Times New Roman" w:hAnsi="Times New Roman" w:eastAsia="Times New Roman" w:cs="Times New Roman"/>
          <w:spacing w:val="4"/>
          <w:position w:val="3"/>
          <w:sz w:val="23"/>
          <w:szCs w:val="23"/>
        </w:rPr>
        <w:t>/</w:t>
      </w:r>
      <w:r>
        <w:rPr>
          <w:rFonts w:ascii="Times New Roman" w:hAnsi="Times New Roman" w:eastAsia="Times New Roman" w:cs="Times New Roman"/>
          <w:position w:val="3"/>
          <w:sz w:val="23"/>
          <w:szCs w:val="23"/>
        </w:rPr>
        <w:t>s</w:t>
      </w:r>
      <w:r>
        <w:rPr>
          <w:rFonts w:ascii="Times New Roman" w:hAnsi="Times New Roman" w:eastAsia="Times New Roman" w:cs="Times New Roman"/>
          <w:spacing w:val="4"/>
          <w:position w:val="3"/>
          <w:sz w:val="23"/>
          <w:szCs w:val="23"/>
        </w:rPr>
        <w:t>·</w:t>
      </w:r>
      <w:r>
        <w:rPr>
          <w:rFonts w:ascii="Times New Roman" w:hAnsi="Times New Roman" w:eastAsia="Times New Roman" w:cs="Times New Roman"/>
          <w:position w:val="3"/>
          <w:sz w:val="23"/>
          <w:szCs w:val="23"/>
        </w:rPr>
        <w:t>hm</w:t>
      </w:r>
      <w:r>
        <w:rPr>
          <w:rFonts w:ascii="Times New Roman" w:hAnsi="Times New Roman" w:eastAsia="Times New Roman" w:cs="Times New Roman"/>
          <w:spacing w:val="4"/>
          <w:position w:val="10"/>
          <w:sz w:val="15"/>
          <w:szCs w:val="15"/>
        </w:rPr>
        <w:t xml:space="preserve">2 </w:t>
      </w:r>
      <w:r>
        <w:rPr>
          <w:rFonts w:ascii="宋体" w:hAnsi="宋体" w:eastAsia="宋体" w:cs="宋体"/>
          <w:spacing w:val="4"/>
          <w:position w:val="3"/>
          <w:sz w:val="23"/>
          <w:szCs w:val="23"/>
        </w:rPr>
        <w:t>) ；</w:t>
      </w:r>
    </w:p>
    <w:p w14:paraId="7B669594">
      <w:pPr>
        <w:sectPr>
          <w:headerReference r:id="rId119" w:type="default"/>
          <w:footerReference r:id="rId120" w:type="default"/>
          <w:pgSz w:w="11907" w:h="16840"/>
          <w:pgMar w:top="829" w:right="1055" w:bottom="1139" w:left="1195" w:header="595" w:footer="953" w:gutter="0"/>
          <w:cols w:space="720" w:num="1"/>
        </w:sectPr>
      </w:pPr>
    </w:p>
    <w:p w14:paraId="29855796">
      <w:pPr>
        <w:spacing w:before="146" w:line="227" w:lineRule="auto"/>
        <w:ind w:left="1204"/>
        <w:rPr>
          <w:rFonts w:ascii="宋体" w:hAnsi="宋体" w:eastAsia="宋体" w:cs="宋体"/>
          <w:sz w:val="23"/>
          <w:szCs w:val="23"/>
        </w:rPr>
      </w:pPr>
      <w:r>
        <w:rPr>
          <w:rFonts w:ascii="Times New Roman" w:hAnsi="Times New Roman" w:eastAsia="Times New Roman" w:cs="Times New Roman"/>
          <w:sz w:val="23"/>
          <w:szCs w:val="23"/>
        </w:rPr>
        <w:t>P</w:t>
      </w:r>
      <w:r>
        <w:rPr>
          <w:rFonts w:ascii="Times New Roman" w:hAnsi="Times New Roman" w:eastAsia="Times New Roman" w:cs="Times New Roman"/>
          <w:spacing w:val="4"/>
          <w:sz w:val="23"/>
          <w:szCs w:val="23"/>
        </w:rPr>
        <w:t>——</w:t>
      </w:r>
      <w:r>
        <w:rPr>
          <w:rFonts w:ascii="宋体" w:hAnsi="宋体" w:eastAsia="宋体" w:cs="宋体"/>
          <w:spacing w:val="4"/>
          <w:sz w:val="23"/>
          <w:szCs w:val="23"/>
        </w:rPr>
        <w:t>重现</w:t>
      </w:r>
      <w:r>
        <w:rPr>
          <w:rFonts w:ascii="宋体" w:hAnsi="宋体" w:eastAsia="宋体" w:cs="宋体"/>
          <w:spacing w:val="2"/>
          <w:sz w:val="23"/>
          <w:szCs w:val="23"/>
        </w:rPr>
        <w:t xml:space="preserve">期，取 </w:t>
      </w:r>
      <w:r>
        <w:rPr>
          <w:rFonts w:ascii="Times New Roman" w:hAnsi="Times New Roman" w:eastAsia="Times New Roman" w:cs="Times New Roman"/>
          <w:spacing w:val="2"/>
          <w:sz w:val="23"/>
          <w:szCs w:val="23"/>
        </w:rPr>
        <w:t xml:space="preserve">2 </w:t>
      </w:r>
      <w:r>
        <w:rPr>
          <w:rFonts w:ascii="宋体" w:hAnsi="宋体" w:eastAsia="宋体" w:cs="宋体"/>
          <w:spacing w:val="2"/>
          <w:sz w:val="23"/>
          <w:szCs w:val="23"/>
        </w:rPr>
        <w:t>年；</w:t>
      </w:r>
    </w:p>
    <w:p w14:paraId="7B7DE30A">
      <w:pPr>
        <w:spacing w:before="139" w:line="322" w:lineRule="exact"/>
        <w:ind w:left="1203"/>
        <w:rPr>
          <w:rFonts w:ascii="宋体" w:hAnsi="宋体" w:eastAsia="宋体" w:cs="宋体"/>
          <w:sz w:val="23"/>
          <w:szCs w:val="23"/>
        </w:rPr>
      </w:pPr>
      <w:r>
        <w:rPr>
          <w:rFonts w:ascii="Times New Roman" w:hAnsi="Times New Roman" w:eastAsia="Times New Roman" w:cs="Times New Roman"/>
          <w:spacing w:val="-1"/>
          <w:position w:val="1"/>
          <w:sz w:val="23"/>
          <w:szCs w:val="23"/>
        </w:rPr>
        <w:t>t</w:t>
      </w:r>
      <w:r>
        <w:rPr>
          <w:rFonts w:ascii="Times New Roman" w:hAnsi="Times New Roman" w:eastAsia="Times New Roman" w:cs="Times New Roman"/>
          <w:spacing w:val="-2"/>
          <w:position w:val="1"/>
          <w:sz w:val="23"/>
          <w:szCs w:val="23"/>
        </w:rPr>
        <w:t xml:space="preserve">—— </w:t>
      </w:r>
      <w:r>
        <w:rPr>
          <w:rFonts w:ascii="宋体" w:hAnsi="宋体" w:eastAsia="宋体" w:cs="宋体"/>
          <w:spacing w:val="-2"/>
          <w:position w:val="1"/>
          <w:sz w:val="23"/>
          <w:szCs w:val="23"/>
        </w:rPr>
        <w:t>降</w:t>
      </w:r>
      <w:r>
        <w:rPr>
          <w:rFonts w:ascii="宋体" w:hAnsi="宋体" w:eastAsia="宋体" w:cs="宋体"/>
          <w:spacing w:val="-1"/>
          <w:position w:val="1"/>
          <w:sz w:val="23"/>
          <w:szCs w:val="23"/>
        </w:rPr>
        <w:t>雨历时 (</w:t>
      </w:r>
      <w:r>
        <w:rPr>
          <w:rFonts w:ascii="Times New Roman" w:hAnsi="Times New Roman" w:eastAsia="Times New Roman" w:cs="Times New Roman"/>
          <w:spacing w:val="-1"/>
          <w:position w:val="1"/>
          <w:sz w:val="23"/>
          <w:szCs w:val="23"/>
        </w:rPr>
        <w:t xml:space="preserve">min </w:t>
      </w:r>
      <w:r>
        <w:rPr>
          <w:rFonts w:ascii="宋体" w:hAnsi="宋体" w:eastAsia="宋体" w:cs="宋体"/>
          <w:spacing w:val="-1"/>
          <w:position w:val="1"/>
          <w:sz w:val="23"/>
          <w:szCs w:val="23"/>
        </w:rPr>
        <w:t xml:space="preserve">) ，取 </w:t>
      </w:r>
      <w:r>
        <w:rPr>
          <w:rFonts w:ascii="Times New Roman" w:hAnsi="Times New Roman" w:eastAsia="Times New Roman" w:cs="Times New Roman"/>
          <w:spacing w:val="-1"/>
          <w:position w:val="1"/>
          <w:sz w:val="23"/>
          <w:szCs w:val="23"/>
        </w:rPr>
        <w:t>30min</w:t>
      </w:r>
      <w:r>
        <w:rPr>
          <w:rFonts w:ascii="宋体" w:hAnsi="宋体" w:eastAsia="宋体" w:cs="宋体"/>
          <w:spacing w:val="-1"/>
          <w:position w:val="1"/>
          <w:sz w:val="23"/>
          <w:szCs w:val="23"/>
        </w:rPr>
        <w:t>；</w:t>
      </w:r>
    </w:p>
    <w:p w14:paraId="277BF6C3">
      <w:pPr>
        <w:spacing w:before="142" w:line="512" w:lineRule="exact"/>
        <w:ind w:left="492"/>
        <w:rPr>
          <w:rFonts w:ascii="宋体" w:hAnsi="宋体" w:eastAsia="宋体" w:cs="宋体"/>
          <w:sz w:val="23"/>
          <w:szCs w:val="23"/>
        </w:rPr>
      </w:pPr>
      <w:r>
        <w:rPr>
          <w:rFonts w:ascii="宋体" w:hAnsi="宋体" w:eastAsia="宋体" w:cs="宋体"/>
          <w:spacing w:val="5"/>
          <w:position w:val="16"/>
          <w:sz w:val="23"/>
          <w:szCs w:val="23"/>
        </w:rPr>
        <w:t>经</w:t>
      </w:r>
      <w:r>
        <w:rPr>
          <w:rFonts w:ascii="宋体" w:hAnsi="宋体" w:eastAsia="宋体" w:cs="宋体"/>
          <w:spacing w:val="4"/>
          <w:position w:val="16"/>
          <w:sz w:val="23"/>
          <w:szCs w:val="23"/>
        </w:rPr>
        <w:t xml:space="preserve">计算，暴雨强度为 </w:t>
      </w:r>
      <w:r>
        <w:rPr>
          <w:rFonts w:ascii="Times New Roman" w:hAnsi="Times New Roman" w:eastAsia="Times New Roman" w:cs="Times New Roman"/>
          <w:spacing w:val="4"/>
          <w:position w:val="16"/>
          <w:sz w:val="23"/>
          <w:szCs w:val="23"/>
        </w:rPr>
        <w:t>208.79</w:t>
      </w:r>
      <w:r>
        <w:rPr>
          <w:rFonts w:ascii="Times New Roman" w:hAnsi="Times New Roman" w:eastAsia="Times New Roman" w:cs="Times New Roman"/>
          <w:position w:val="16"/>
          <w:sz w:val="23"/>
          <w:szCs w:val="23"/>
        </w:rPr>
        <w:t>L</w:t>
      </w:r>
      <w:r>
        <w:rPr>
          <w:rFonts w:ascii="Times New Roman" w:hAnsi="Times New Roman" w:eastAsia="Times New Roman" w:cs="Times New Roman"/>
          <w:spacing w:val="4"/>
          <w:position w:val="16"/>
          <w:sz w:val="23"/>
          <w:szCs w:val="23"/>
        </w:rPr>
        <w:t>/</w:t>
      </w:r>
      <w:r>
        <w:rPr>
          <w:rFonts w:ascii="Times New Roman" w:hAnsi="Times New Roman" w:eastAsia="Times New Roman" w:cs="Times New Roman"/>
          <w:position w:val="16"/>
          <w:sz w:val="23"/>
          <w:szCs w:val="23"/>
        </w:rPr>
        <w:t>s</w:t>
      </w:r>
      <w:r>
        <w:rPr>
          <w:rFonts w:ascii="Times New Roman" w:hAnsi="Times New Roman" w:eastAsia="Times New Roman" w:cs="Times New Roman"/>
          <w:spacing w:val="4"/>
          <w:position w:val="16"/>
          <w:sz w:val="23"/>
          <w:szCs w:val="23"/>
        </w:rPr>
        <w:t>·</w:t>
      </w:r>
      <w:r>
        <w:rPr>
          <w:rFonts w:ascii="Times New Roman" w:hAnsi="Times New Roman" w:eastAsia="Times New Roman" w:cs="Times New Roman"/>
          <w:position w:val="16"/>
          <w:sz w:val="23"/>
          <w:szCs w:val="23"/>
        </w:rPr>
        <w:t>hm</w:t>
      </w:r>
      <w:r>
        <w:rPr>
          <w:rFonts w:ascii="Times New Roman" w:hAnsi="Times New Roman" w:eastAsia="Times New Roman" w:cs="Times New Roman"/>
          <w:spacing w:val="4"/>
          <w:position w:val="23"/>
          <w:sz w:val="15"/>
          <w:szCs w:val="15"/>
        </w:rPr>
        <w:t>2</w:t>
      </w:r>
      <w:r>
        <w:rPr>
          <w:rFonts w:ascii="宋体" w:hAnsi="宋体" w:eastAsia="宋体" w:cs="宋体"/>
          <w:spacing w:val="4"/>
          <w:position w:val="16"/>
          <w:sz w:val="23"/>
          <w:szCs w:val="23"/>
        </w:rPr>
        <w:t>。</w:t>
      </w:r>
    </w:p>
    <w:p w14:paraId="59B661B1">
      <w:pPr>
        <w:spacing w:line="227" w:lineRule="auto"/>
        <w:ind w:left="489"/>
        <w:rPr>
          <w:rFonts w:ascii="宋体" w:hAnsi="宋体" w:eastAsia="宋体" w:cs="宋体"/>
          <w:sz w:val="23"/>
          <w:szCs w:val="23"/>
        </w:rPr>
      </w:pPr>
      <w:r>
        <w:rPr>
          <w:rFonts w:ascii="宋体" w:hAnsi="宋体" w:eastAsia="宋体" w:cs="宋体"/>
          <w:spacing w:val="13"/>
          <w:sz w:val="23"/>
          <w:szCs w:val="23"/>
        </w:rPr>
        <w:t>初</w:t>
      </w:r>
      <w:r>
        <w:rPr>
          <w:rFonts w:ascii="宋体" w:hAnsi="宋体" w:eastAsia="宋体" w:cs="宋体"/>
          <w:spacing w:val="8"/>
          <w:sz w:val="23"/>
          <w:szCs w:val="23"/>
        </w:rPr>
        <w:t>期雨水排放量公式如下：</w:t>
      </w:r>
    </w:p>
    <w:p w14:paraId="44CEAEBF">
      <w:pPr>
        <w:spacing w:before="122" w:line="323" w:lineRule="exact"/>
        <w:ind w:left="4554"/>
        <w:rPr>
          <w:rFonts w:ascii="Times New Roman" w:hAnsi="Times New Roman" w:eastAsia="Times New Roman" w:cs="Times New Roman"/>
          <w:sz w:val="23"/>
          <w:szCs w:val="23"/>
        </w:rPr>
      </w:pPr>
      <w:r>
        <w:rPr>
          <w:rFonts w:ascii="Times New Roman" w:hAnsi="Times New Roman" w:eastAsia="Times New Roman" w:cs="Times New Roman"/>
          <w:position w:val="4"/>
          <w:sz w:val="23"/>
          <w:szCs w:val="23"/>
        </w:rPr>
        <w:t>Q</w:t>
      </w:r>
      <w:r>
        <w:rPr>
          <w:rFonts w:ascii="Times New Roman" w:hAnsi="Times New Roman" w:eastAsia="Times New Roman" w:cs="Times New Roman"/>
          <w:spacing w:val="14"/>
          <w:position w:val="4"/>
          <w:sz w:val="23"/>
          <w:szCs w:val="23"/>
        </w:rPr>
        <w:t>=</w:t>
      </w:r>
      <w:r>
        <w:rPr>
          <w:rFonts w:ascii="Times New Roman" w:hAnsi="Times New Roman" w:eastAsia="Times New Roman" w:cs="Times New Roman"/>
          <w:position w:val="4"/>
          <w:sz w:val="23"/>
          <w:szCs w:val="23"/>
        </w:rPr>
        <w:t>qF</w:t>
      </w:r>
      <w:r>
        <w:rPr>
          <w:rFonts w:ascii="Times New Roman" w:hAnsi="Times New Roman" w:eastAsia="Times New Roman" w:cs="Times New Roman"/>
          <w:spacing w:val="14"/>
          <w:position w:val="4"/>
          <w:sz w:val="23"/>
          <w:szCs w:val="23"/>
        </w:rPr>
        <w:t>Ψ</w:t>
      </w:r>
      <w:r>
        <w:rPr>
          <w:rFonts w:ascii="Times New Roman" w:hAnsi="Times New Roman" w:eastAsia="Times New Roman" w:cs="Times New Roman"/>
          <w:position w:val="4"/>
          <w:sz w:val="23"/>
          <w:szCs w:val="23"/>
        </w:rPr>
        <w:t>T</w:t>
      </w:r>
    </w:p>
    <w:p w14:paraId="4812C15C">
      <w:pPr>
        <w:spacing w:before="151" w:line="221" w:lineRule="auto"/>
        <w:ind w:left="494"/>
        <w:rPr>
          <w:rFonts w:ascii="宋体" w:hAnsi="宋体" w:eastAsia="宋体" w:cs="宋体"/>
          <w:sz w:val="23"/>
          <w:szCs w:val="23"/>
        </w:rPr>
      </w:pPr>
      <w:r>
        <w:rPr>
          <w:rFonts w:ascii="宋体" w:hAnsi="宋体" w:eastAsia="宋体" w:cs="宋体"/>
          <w:spacing w:val="16"/>
          <w:sz w:val="23"/>
          <w:szCs w:val="23"/>
        </w:rPr>
        <w:t>式</w:t>
      </w:r>
      <w:r>
        <w:rPr>
          <w:rFonts w:ascii="宋体" w:hAnsi="宋体" w:eastAsia="宋体" w:cs="宋体"/>
          <w:spacing w:val="8"/>
          <w:sz w:val="23"/>
          <w:szCs w:val="23"/>
        </w:rPr>
        <w:t>中：</w:t>
      </w:r>
      <w:r>
        <w:rPr>
          <w:rFonts w:ascii="Times New Roman" w:hAnsi="Times New Roman" w:eastAsia="Times New Roman" w:cs="Times New Roman"/>
          <w:sz w:val="23"/>
          <w:szCs w:val="23"/>
        </w:rPr>
        <w:t>Q</w:t>
      </w:r>
      <w:r>
        <w:rPr>
          <w:rFonts w:ascii="Times New Roman" w:hAnsi="Times New Roman" w:eastAsia="Times New Roman" w:cs="Times New Roman"/>
          <w:spacing w:val="8"/>
          <w:sz w:val="23"/>
          <w:szCs w:val="23"/>
        </w:rPr>
        <w:t>——</w:t>
      </w:r>
      <w:r>
        <w:rPr>
          <w:rFonts w:ascii="宋体" w:hAnsi="宋体" w:eastAsia="宋体" w:cs="宋体"/>
          <w:spacing w:val="8"/>
          <w:sz w:val="23"/>
          <w:szCs w:val="23"/>
        </w:rPr>
        <w:t>初期雨水排放量；</w:t>
      </w:r>
    </w:p>
    <w:p w14:paraId="1290B673">
      <w:pPr>
        <w:spacing w:before="194" w:line="227" w:lineRule="auto"/>
        <w:ind w:left="1204"/>
        <w:rPr>
          <w:rFonts w:ascii="宋体" w:hAnsi="宋体" w:eastAsia="宋体" w:cs="宋体"/>
          <w:sz w:val="23"/>
          <w:szCs w:val="23"/>
        </w:rPr>
      </w:pPr>
      <w:r>
        <w:rPr>
          <w:rFonts w:ascii="Times New Roman" w:hAnsi="Times New Roman" w:eastAsia="Times New Roman" w:cs="Times New Roman"/>
          <w:sz w:val="23"/>
          <w:szCs w:val="23"/>
        </w:rPr>
        <w:t>F</w:t>
      </w:r>
      <w:r>
        <w:rPr>
          <w:rFonts w:ascii="Times New Roman" w:hAnsi="Times New Roman" w:eastAsia="Times New Roman" w:cs="Times New Roman"/>
          <w:spacing w:val="8"/>
          <w:sz w:val="23"/>
          <w:szCs w:val="23"/>
        </w:rPr>
        <w:t>——</w:t>
      </w:r>
      <w:r>
        <w:rPr>
          <w:rFonts w:ascii="宋体" w:hAnsi="宋体" w:eastAsia="宋体" w:cs="宋体"/>
          <w:spacing w:val="8"/>
          <w:sz w:val="23"/>
          <w:szCs w:val="23"/>
        </w:rPr>
        <w:t xml:space="preserve">汇水面积 (公顷) </w:t>
      </w:r>
      <w:r>
        <w:rPr>
          <w:rFonts w:ascii="宋体" w:hAnsi="宋体" w:eastAsia="宋体" w:cs="宋体"/>
          <w:spacing w:val="5"/>
          <w:sz w:val="23"/>
          <w:szCs w:val="23"/>
        </w:rPr>
        <w:t>；</w:t>
      </w:r>
    </w:p>
    <w:p w14:paraId="54B40CF4">
      <w:pPr>
        <w:spacing w:before="184" w:line="374" w:lineRule="auto"/>
        <w:ind w:left="1207" w:right="1902" w:hanging="4"/>
        <w:rPr>
          <w:rFonts w:ascii="宋体" w:hAnsi="宋体" w:eastAsia="宋体" w:cs="宋体"/>
          <w:sz w:val="23"/>
          <w:szCs w:val="23"/>
        </w:rPr>
      </w:pPr>
      <w:r>
        <w:rPr>
          <w:rFonts w:ascii="Times New Roman" w:hAnsi="Times New Roman" w:eastAsia="Times New Roman" w:cs="Times New Roman"/>
          <w:spacing w:val="8"/>
          <w:sz w:val="23"/>
          <w:szCs w:val="23"/>
        </w:rPr>
        <w:t>Ψ——</w:t>
      </w:r>
      <w:r>
        <w:rPr>
          <w:rFonts w:ascii="宋体" w:hAnsi="宋体" w:eastAsia="宋体" w:cs="宋体"/>
          <w:spacing w:val="8"/>
          <w:sz w:val="23"/>
          <w:szCs w:val="23"/>
        </w:rPr>
        <w:t>为径</w:t>
      </w:r>
      <w:r>
        <w:rPr>
          <w:rFonts w:ascii="宋体" w:hAnsi="宋体" w:eastAsia="宋体" w:cs="宋体"/>
          <w:spacing w:val="4"/>
          <w:sz w:val="23"/>
          <w:szCs w:val="23"/>
        </w:rPr>
        <w:t xml:space="preserve">流系数 (各种屋面、混凝土和沥青路面，取 </w:t>
      </w:r>
      <w:r>
        <w:rPr>
          <w:rFonts w:ascii="Times New Roman" w:hAnsi="Times New Roman" w:eastAsia="Times New Roman" w:cs="Times New Roman"/>
          <w:spacing w:val="4"/>
          <w:sz w:val="23"/>
          <w:szCs w:val="23"/>
        </w:rPr>
        <w:t>0.9</w:t>
      </w:r>
      <w:r>
        <w:rPr>
          <w:rFonts w:ascii="宋体" w:hAnsi="宋体" w:eastAsia="宋体" w:cs="宋体"/>
          <w:spacing w:val="4"/>
          <w:sz w:val="23"/>
          <w:szCs w:val="23"/>
        </w:rPr>
        <w:t>) ；</w:t>
      </w:r>
      <w:r>
        <w:rPr>
          <w:rFonts w:ascii="宋体" w:hAnsi="宋体" w:eastAsia="宋体" w:cs="宋体"/>
          <w:sz w:val="23"/>
          <w:szCs w:val="23"/>
        </w:rPr>
        <w:t xml:space="preserve"> </w:t>
      </w:r>
      <w:r>
        <w:rPr>
          <w:rFonts w:ascii="Times New Roman" w:hAnsi="Times New Roman" w:eastAsia="Times New Roman" w:cs="Times New Roman"/>
          <w:sz w:val="23"/>
          <w:szCs w:val="23"/>
        </w:rPr>
        <w:t>T</w:t>
      </w:r>
      <w:r>
        <w:rPr>
          <w:rFonts w:ascii="Times New Roman" w:hAnsi="Times New Roman" w:eastAsia="Times New Roman" w:cs="Times New Roman"/>
          <w:spacing w:val="8"/>
          <w:sz w:val="23"/>
          <w:szCs w:val="23"/>
        </w:rPr>
        <w:t>—</w:t>
      </w:r>
      <w:r>
        <w:rPr>
          <w:rFonts w:ascii="Times New Roman" w:hAnsi="Times New Roman" w:eastAsia="Times New Roman" w:cs="Times New Roman"/>
          <w:spacing w:val="5"/>
          <w:sz w:val="23"/>
          <w:szCs w:val="23"/>
        </w:rPr>
        <w:t>—</w:t>
      </w:r>
      <w:r>
        <w:rPr>
          <w:rFonts w:ascii="宋体" w:hAnsi="宋体" w:eastAsia="宋体" w:cs="宋体"/>
          <w:spacing w:val="4"/>
          <w:sz w:val="23"/>
          <w:szCs w:val="23"/>
        </w:rPr>
        <w:t xml:space="preserve">为集水时间，取 </w:t>
      </w:r>
      <w:r>
        <w:rPr>
          <w:rFonts w:ascii="Times New Roman" w:hAnsi="Times New Roman" w:eastAsia="Times New Roman" w:cs="Times New Roman"/>
          <w:spacing w:val="4"/>
          <w:sz w:val="23"/>
          <w:szCs w:val="23"/>
        </w:rPr>
        <w:t>15</w:t>
      </w:r>
      <w:r>
        <w:rPr>
          <w:rFonts w:ascii="Times New Roman" w:hAnsi="Times New Roman" w:eastAsia="Times New Roman" w:cs="Times New Roman"/>
          <w:sz w:val="23"/>
          <w:szCs w:val="23"/>
        </w:rPr>
        <w:t>min</w:t>
      </w:r>
      <w:r>
        <w:rPr>
          <w:rFonts w:ascii="宋体" w:hAnsi="宋体" w:eastAsia="宋体" w:cs="宋体"/>
          <w:spacing w:val="4"/>
          <w:sz w:val="23"/>
          <w:szCs w:val="23"/>
        </w:rPr>
        <w:t>。</w:t>
      </w:r>
    </w:p>
    <w:p w14:paraId="1A61C8CE">
      <w:pPr>
        <w:spacing w:before="1" w:line="375" w:lineRule="auto"/>
        <w:ind w:left="11" w:right="35" w:firstLine="479"/>
        <w:rPr>
          <w:rFonts w:ascii="宋体" w:hAnsi="宋体" w:eastAsia="宋体" w:cs="宋体"/>
          <w:sz w:val="23"/>
          <w:szCs w:val="23"/>
        </w:rPr>
      </w:pPr>
      <w:r>
        <w:rPr>
          <w:rFonts w:ascii="宋体" w:hAnsi="宋体" w:eastAsia="宋体" w:cs="宋体"/>
          <w:spacing w:val="9"/>
          <w:sz w:val="23"/>
          <w:szCs w:val="23"/>
        </w:rPr>
        <w:t xml:space="preserve">根据以上公式计算，项目初期雨水量为 </w:t>
      </w:r>
      <w:r>
        <w:rPr>
          <w:rFonts w:ascii="Times New Roman" w:hAnsi="Times New Roman" w:eastAsia="Times New Roman" w:cs="Times New Roman"/>
          <w:spacing w:val="9"/>
          <w:sz w:val="23"/>
          <w:szCs w:val="23"/>
        </w:rPr>
        <w:t>248.24</w:t>
      </w:r>
      <w:r>
        <w:rPr>
          <w:rFonts w:ascii="Times New Roman" w:hAnsi="Times New Roman" w:eastAsia="Times New Roman" w:cs="Times New Roman"/>
          <w:sz w:val="23"/>
          <w:szCs w:val="23"/>
        </w:rPr>
        <w:t>m</w:t>
      </w:r>
      <w:r>
        <w:rPr>
          <w:rFonts w:ascii="Times New Roman" w:hAnsi="Times New Roman" w:eastAsia="Times New Roman" w:cs="Times New Roman"/>
          <w:spacing w:val="9"/>
          <w:position w:val="7"/>
          <w:sz w:val="15"/>
          <w:szCs w:val="15"/>
        </w:rPr>
        <w:t xml:space="preserve">3 </w:t>
      </w:r>
      <w:r>
        <w:rPr>
          <w:rFonts w:ascii="宋体" w:hAnsi="宋体" w:eastAsia="宋体" w:cs="宋体"/>
          <w:spacing w:val="9"/>
          <w:sz w:val="23"/>
          <w:szCs w:val="23"/>
        </w:rPr>
        <w:t>。本项目排水系统雨污分流，项目场</w:t>
      </w:r>
      <w:r>
        <w:rPr>
          <w:rFonts w:ascii="宋体" w:hAnsi="宋体" w:eastAsia="宋体" w:cs="宋体"/>
          <w:sz w:val="23"/>
          <w:szCs w:val="23"/>
        </w:rPr>
        <w:t xml:space="preserve"> </w:t>
      </w:r>
      <w:r>
        <w:rPr>
          <w:rFonts w:ascii="宋体" w:hAnsi="宋体" w:eastAsia="宋体" w:cs="宋体"/>
          <w:spacing w:val="16"/>
          <w:sz w:val="23"/>
          <w:szCs w:val="23"/>
        </w:rPr>
        <w:t>区</w:t>
      </w:r>
      <w:r>
        <w:rPr>
          <w:rFonts w:ascii="宋体" w:hAnsi="宋体" w:eastAsia="宋体" w:cs="宋体"/>
          <w:spacing w:val="11"/>
          <w:sz w:val="23"/>
          <w:szCs w:val="23"/>
        </w:rPr>
        <w:t>内</w:t>
      </w:r>
      <w:r>
        <w:rPr>
          <w:rFonts w:ascii="宋体" w:hAnsi="宋体" w:eastAsia="宋体" w:cs="宋体"/>
          <w:spacing w:val="8"/>
          <w:sz w:val="23"/>
          <w:szCs w:val="23"/>
        </w:rPr>
        <w:t>各建筑四周及道路两侧均设置雨水排水沟，办公生活区雨水经雨水沟就近排入农灌渠，</w:t>
      </w:r>
      <w:r>
        <w:rPr>
          <w:rFonts w:ascii="宋体" w:hAnsi="宋体" w:eastAsia="宋体" w:cs="宋体"/>
          <w:sz w:val="23"/>
          <w:szCs w:val="23"/>
        </w:rPr>
        <w:t xml:space="preserve"> </w:t>
      </w:r>
      <w:r>
        <w:rPr>
          <w:rFonts w:ascii="宋体" w:hAnsi="宋体" w:eastAsia="宋体" w:cs="宋体"/>
          <w:spacing w:val="13"/>
          <w:sz w:val="23"/>
          <w:szCs w:val="23"/>
        </w:rPr>
        <w:t>养</w:t>
      </w:r>
      <w:r>
        <w:rPr>
          <w:rFonts w:ascii="宋体" w:hAnsi="宋体" w:eastAsia="宋体" w:cs="宋体"/>
          <w:spacing w:val="7"/>
          <w:sz w:val="23"/>
          <w:szCs w:val="23"/>
        </w:rPr>
        <w:t>殖区和环保区设置初期雨水收集池，初期雨水经简单沉淀处理后用于厂区绿化用水，后期</w:t>
      </w:r>
      <w:r>
        <w:rPr>
          <w:rFonts w:ascii="宋体" w:hAnsi="宋体" w:eastAsia="宋体" w:cs="宋体"/>
          <w:sz w:val="23"/>
          <w:szCs w:val="23"/>
        </w:rPr>
        <w:t xml:space="preserve"> </w:t>
      </w:r>
      <w:r>
        <w:rPr>
          <w:rFonts w:ascii="宋体" w:hAnsi="宋体" w:eastAsia="宋体" w:cs="宋体"/>
          <w:spacing w:val="16"/>
          <w:sz w:val="23"/>
          <w:szCs w:val="23"/>
        </w:rPr>
        <w:t>雨</w:t>
      </w:r>
      <w:r>
        <w:rPr>
          <w:rFonts w:ascii="宋体" w:hAnsi="宋体" w:eastAsia="宋体" w:cs="宋体"/>
          <w:spacing w:val="11"/>
          <w:sz w:val="23"/>
          <w:szCs w:val="23"/>
        </w:rPr>
        <w:t>水</w:t>
      </w:r>
      <w:r>
        <w:rPr>
          <w:rFonts w:ascii="宋体" w:hAnsi="宋体" w:eastAsia="宋体" w:cs="宋体"/>
          <w:spacing w:val="8"/>
          <w:sz w:val="23"/>
          <w:szCs w:val="23"/>
        </w:rPr>
        <w:t>经雨水沟直接就近排入农灌渠。</w:t>
      </w:r>
    </w:p>
    <w:p w14:paraId="34614A59">
      <w:pPr>
        <w:spacing w:line="227" w:lineRule="auto"/>
        <w:ind w:left="4"/>
        <w:outlineLvl w:val="3"/>
        <w:rPr>
          <w:rFonts w:ascii="宋体" w:hAnsi="宋体" w:eastAsia="宋体" w:cs="宋体"/>
          <w:sz w:val="23"/>
          <w:szCs w:val="23"/>
        </w:rPr>
      </w:pPr>
      <w:r>
        <w:rPr>
          <w:rFonts w:ascii="Times New Roman" w:hAnsi="Times New Roman" w:eastAsia="Times New Roman" w:cs="Times New Roman"/>
          <w:b/>
          <w:bCs/>
          <w:spacing w:val="6"/>
          <w:sz w:val="23"/>
          <w:szCs w:val="23"/>
        </w:rPr>
        <w:t>3</w:t>
      </w:r>
      <w:r>
        <w:rPr>
          <w:rFonts w:ascii="Times New Roman" w:hAnsi="Times New Roman" w:eastAsia="Times New Roman" w:cs="Times New Roman"/>
          <w:b/>
          <w:bCs/>
          <w:spacing w:val="5"/>
          <w:sz w:val="23"/>
          <w:szCs w:val="23"/>
        </w:rPr>
        <w:t>.3.7.2</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地下水</w:t>
      </w:r>
    </w:p>
    <w:p w14:paraId="136E0510">
      <w:pPr>
        <w:spacing w:before="183" w:line="375" w:lineRule="auto"/>
        <w:ind w:left="9" w:right="80" w:firstLine="481"/>
        <w:rPr>
          <w:rFonts w:ascii="宋体" w:hAnsi="宋体" w:eastAsia="宋体" w:cs="宋体"/>
          <w:sz w:val="23"/>
          <w:szCs w:val="23"/>
        </w:rPr>
      </w:pPr>
      <w:r>
        <w:rPr>
          <w:rFonts w:ascii="宋体" w:hAnsi="宋体" w:eastAsia="宋体" w:cs="宋体"/>
          <w:spacing w:val="7"/>
          <w:sz w:val="23"/>
          <w:szCs w:val="23"/>
        </w:rPr>
        <w:t>本项目为生猪养殖项目，猪舍、异位微生物发酵床、医疗废物暂存间等泄漏会对地下水</w:t>
      </w:r>
      <w:r>
        <w:rPr>
          <w:rFonts w:ascii="宋体" w:hAnsi="宋体" w:eastAsia="宋体" w:cs="宋体"/>
          <w:sz w:val="23"/>
          <w:szCs w:val="23"/>
        </w:rPr>
        <w:t xml:space="preserve"> </w:t>
      </w:r>
      <w:r>
        <w:rPr>
          <w:rFonts w:ascii="宋体" w:hAnsi="宋体" w:eastAsia="宋体" w:cs="宋体"/>
          <w:spacing w:val="20"/>
          <w:sz w:val="23"/>
          <w:szCs w:val="23"/>
        </w:rPr>
        <w:t>造</w:t>
      </w:r>
      <w:r>
        <w:rPr>
          <w:rFonts w:ascii="宋体" w:hAnsi="宋体" w:eastAsia="宋体" w:cs="宋体"/>
          <w:spacing w:val="16"/>
          <w:sz w:val="23"/>
          <w:szCs w:val="23"/>
        </w:rPr>
        <w:t>成</w:t>
      </w:r>
      <w:r>
        <w:rPr>
          <w:rFonts w:ascii="宋体" w:hAnsi="宋体" w:eastAsia="宋体" w:cs="宋体"/>
          <w:spacing w:val="10"/>
          <w:sz w:val="23"/>
          <w:szCs w:val="23"/>
        </w:rPr>
        <w:t>影响。本项目的地下水污染预防措施应按照</w:t>
      </w:r>
      <w:r>
        <w:rPr>
          <w:rFonts w:ascii="Times New Roman" w:hAnsi="Times New Roman" w:eastAsia="Times New Roman" w:cs="Times New Roman"/>
          <w:spacing w:val="10"/>
          <w:sz w:val="23"/>
          <w:szCs w:val="23"/>
        </w:rPr>
        <w:t>“</w:t>
      </w:r>
      <w:r>
        <w:rPr>
          <w:rFonts w:ascii="宋体" w:hAnsi="宋体" w:eastAsia="宋体" w:cs="宋体"/>
          <w:spacing w:val="10"/>
          <w:sz w:val="23"/>
          <w:szCs w:val="23"/>
        </w:rPr>
        <w:t>源头控制、分区防治、污染监控、应急响</w:t>
      </w:r>
      <w:r>
        <w:rPr>
          <w:rFonts w:ascii="宋体" w:hAnsi="宋体" w:eastAsia="宋体" w:cs="宋体"/>
          <w:sz w:val="23"/>
          <w:szCs w:val="23"/>
        </w:rPr>
        <w:t xml:space="preserve"> </w:t>
      </w:r>
      <w:r>
        <w:rPr>
          <w:rFonts w:ascii="宋体" w:hAnsi="宋体" w:eastAsia="宋体" w:cs="宋体"/>
          <w:spacing w:val="9"/>
          <w:sz w:val="23"/>
          <w:szCs w:val="23"/>
        </w:rPr>
        <w:t>应</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的主动与被动防渗相结合的防渗原则。本项目地下水和土壤的防治措施如下所述；</w:t>
      </w:r>
    </w:p>
    <w:p w14:paraId="7EC4EA49">
      <w:pPr>
        <w:spacing w:line="227" w:lineRule="auto"/>
        <w:ind w:left="381"/>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1</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源头控制</w:t>
      </w:r>
    </w:p>
    <w:p w14:paraId="635CEA8E">
      <w:pPr>
        <w:spacing w:before="183" w:line="225" w:lineRule="auto"/>
        <w:ind w:left="489"/>
        <w:rPr>
          <w:rFonts w:ascii="宋体" w:hAnsi="宋体" w:eastAsia="宋体" w:cs="宋体"/>
          <w:sz w:val="23"/>
          <w:szCs w:val="23"/>
        </w:rPr>
      </w:pPr>
      <w:r>
        <w:rPr>
          <w:rFonts w:ascii="宋体" w:hAnsi="宋体" w:eastAsia="宋体" w:cs="宋体"/>
          <w:spacing w:val="18"/>
          <w:sz w:val="23"/>
          <w:szCs w:val="23"/>
        </w:rPr>
        <w:t>①</w:t>
      </w:r>
      <w:r>
        <w:rPr>
          <w:rFonts w:ascii="宋体" w:hAnsi="宋体" w:eastAsia="宋体" w:cs="宋体"/>
          <w:spacing w:val="9"/>
          <w:sz w:val="23"/>
          <w:szCs w:val="23"/>
        </w:rPr>
        <w:t xml:space="preserve"> 积极推行实施清洁生产，实现各类废物循环利用，减少污染物的排放。</w:t>
      </w:r>
    </w:p>
    <w:p w14:paraId="7E9F231F">
      <w:pPr>
        <w:spacing w:before="188" w:line="225" w:lineRule="auto"/>
        <w:ind w:left="488"/>
        <w:rPr>
          <w:rFonts w:ascii="宋体" w:hAnsi="宋体" w:eastAsia="宋体" w:cs="宋体"/>
          <w:sz w:val="23"/>
          <w:szCs w:val="23"/>
        </w:rPr>
      </w:pPr>
      <w:r>
        <w:rPr>
          <w:rFonts w:ascii="宋体" w:hAnsi="宋体" w:eastAsia="宋体" w:cs="宋体"/>
          <w:spacing w:val="14"/>
          <w:sz w:val="23"/>
          <w:szCs w:val="23"/>
        </w:rPr>
        <w:t>②</w:t>
      </w:r>
      <w:r>
        <w:rPr>
          <w:rFonts w:ascii="宋体" w:hAnsi="宋体" w:eastAsia="宋体" w:cs="宋体"/>
          <w:spacing w:val="10"/>
          <w:sz w:val="23"/>
          <w:szCs w:val="23"/>
        </w:rPr>
        <w:t xml:space="preserve"> 根据国家现行相关规范加强环境管理，采取防止和降低污染物跑、冒、滴、漏的措</w:t>
      </w:r>
    </w:p>
    <w:p w14:paraId="3A135ECA">
      <w:pPr>
        <w:spacing w:before="184" w:line="376" w:lineRule="auto"/>
        <w:ind w:left="9" w:right="80"/>
        <w:rPr>
          <w:rFonts w:ascii="宋体" w:hAnsi="宋体" w:eastAsia="宋体" w:cs="宋体"/>
          <w:sz w:val="23"/>
          <w:szCs w:val="23"/>
        </w:rPr>
      </w:pPr>
      <w:r>
        <w:rPr>
          <w:rFonts w:ascii="宋体" w:hAnsi="宋体" w:eastAsia="宋体" w:cs="宋体"/>
          <w:spacing w:val="14"/>
          <w:sz w:val="23"/>
          <w:szCs w:val="23"/>
        </w:rPr>
        <w:t>施</w:t>
      </w:r>
      <w:r>
        <w:rPr>
          <w:rFonts w:ascii="宋体" w:hAnsi="宋体" w:eastAsia="宋体" w:cs="宋体"/>
          <w:spacing w:val="8"/>
          <w:sz w:val="23"/>
          <w:szCs w:val="23"/>
        </w:rPr>
        <w:t>。</w:t>
      </w:r>
      <w:r>
        <w:rPr>
          <w:rFonts w:ascii="宋体" w:hAnsi="宋体" w:eastAsia="宋体" w:cs="宋体"/>
          <w:spacing w:val="7"/>
          <w:sz w:val="23"/>
          <w:szCs w:val="23"/>
        </w:rPr>
        <w:t>正常生产过程中应加强巡检及时处理污染物跑、冒、滴、漏，同时应加强对防渗工程的</w:t>
      </w:r>
      <w:r>
        <w:rPr>
          <w:rFonts w:ascii="宋体" w:hAnsi="宋体" w:eastAsia="宋体" w:cs="宋体"/>
          <w:sz w:val="23"/>
          <w:szCs w:val="23"/>
        </w:rPr>
        <w:t xml:space="preserve"> </w:t>
      </w:r>
      <w:r>
        <w:rPr>
          <w:rFonts w:ascii="宋体" w:hAnsi="宋体" w:eastAsia="宋体" w:cs="宋体"/>
          <w:spacing w:val="15"/>
          <w:sz w:val="23"/>
          <w:szCs w:val="23"/>
        </w:rPr>
        <w:t>检</w:t>
      </w:r>
      <w:r>
        <w:rPr>
          <w:rFonts w:ascii="宋体" w:hAnsi="宋体" w:eastAsia="宋体" w:cs="宋体"/>
          <w:spacing w:val="9"/>
          <w:sz w:val="23"/>
          <w:szCs w:val="23"/>
        </w:rPr>
        <w:t>查，若发现防渗密封材料老化或损坏，应及时维修更换。</w:t>
      </w:r>
    </w:p>
    <w:p w14:paraId="14282F0C">
      <w:pPr>
        <w:spacing w:before="1" w:line="374" w:lineRule="auto"/>
        <w:ind w:left="12" w:firstLine="476"/>
        <w:rPr>
          <w:rFonts w:ascii="宋体" w:hAnsi="宋体" w:eastAsia="宋体" w:cs="宋体"/>
          <w:sz w:val="23"/>
          <w:szCs w:val="23"/>
        </w:rPr>
      </w:pPr>
      <w:r>
        <w:rPr>
          <w:rFonts w:ascii="宋体" w:hAnsi="宋体" w:eastAsia="宋体" w:cs="宋体"/>
          <w:spacing w:val="6"/>
          <w:sz w:val="23"/>
          <w:szCs w:val="23"/>
        </w:rPr>
        <w:t>③ 对工艺、管道、设备、污水储存及处理构筑物采取控制措施，防止污染物的跑、冒、</w:t>
      </w:r>
      <w:r>
        <w:rPr>
          <w:rFonts w:ascii="宋体" w:hAnsi="宋体" w:eastAsia="宋体" w:cs="宋体"/>
          <w:sz w:val="23"/>
          <w:szCs w:val="23"/>
        </w:rPr>
        <w:t xml:space="preserve"> </w:t>
      </w:r>
      <w:r>
        <w:rPr>
          <w:rFonts w:ascii="宋体" w:hAnsi="宋体" w:eastAsia="宋体" w:cs="宋体"/>
          <w:spacing w:val="11"/>
          <w:sz w:val="23"/>
          <w:szCs w:val="23"/>
        </w:rPr>
        <w:t>滴</w:t>
      </w:r>
      <w:r>
        <w:rPr>
          <w:rFonts w:ascii="宋体" w:hAnsi="宋体" w:eastAsia="宋体" w:cs="宋体"/>
          <w:spacing w:val="9"/>
          <w:sz w:val="23"/>
          <w:szCs w:val="23"/>
        </w:rPr>
        <w:t>、漏，将污染物泄漏的环境风险事故降到最低限度。</w:t>
      </w:r>
    </w:p>
    <w:p w14:paraId="64A193A8">
      <w:pPr>
        <w:spacing w:before="1" w:line="225" w:lineRule="auto"/>
        <w:ind w:left="488"/>
        <w:rPr>
          <w:rFonts w:ascii="宋体" w:hAnsi="宋体" w:eastAsia="宋体" w:cs="宋体"/>
          <w:sz w:val="23"/>
          <w:szCs w:val="23"/>
        </w:rPr>
      </w:pPr>
      <w:r>
        <w:rPr>
          <w:rFonts w:ascii="宋体" w:hAnsi="宋体" w:eastAsia="宋体" w:cs="宋体"/>
          <w:spacing w:val="18"/>
          <w:sz w:val="23"/>
          <w:szCs w:val="23"/>
        </w:rPr>
        <w:t>④及</w:t>
      </w:r>
      <w:r>
        <w:rPr>
          <w:rFonts w:ascii="宋体" w:hAnsi="宋体" w:eastAsia="宋体" w:cs="宋体"/>
          <w:spacing w:val="10"/>
          <w:sz w:val="23"/>
          <w:szCs w:val="23"/>
        </w:rPr>
        <w:t>时</w:t>
      </w:r>
      <w:r>
        <w:rPr>
          <w:rFonts w:ascii="宋体" w:hAnsi="宋体" w:eastAsia="宋体" w:cs="宋体"/>
          <w:spacing w:val="9"/>
          <w:sz w:val="23"/>
          <w:szCs w:val="23"/>
        </w:rPr>
        <w:t>检查相应污染治理措施，清理场地，避免受雨水冲刷污染物对居民造成影响。</w:t>
      </w:r>
    </w:p>
    <w:p w14:paraId="25AA8BFE">
      <w:pPr>
        <w:spacing w:before="185" w:line="228" w:lineRule="auto"/>
        <w:ind w:left="381"/>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2</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分区防治</w:t>
      </w:r>
    </w:p>
    <w:p w14:paraId="1AC961B2">
      <w:pPr>
        <w:spacing w:before="184" w:line="378" w:lineRule="auto"/>
        <w:ind w:left="13" w:right="16" w:firstLine="357"/>
        <w:rPr>
          <w:rFonts w:ascii="宋体" w:hAnsi="宋体" w:eastAsia="宋体" w:cs="宋体"/>
          <w:sz w:val="23"/>
          <w:szCs w:val="23"/>
        </w:rPr>
      </w:pPr>
      <w:r>
        <w:rPr>
          <w:rFonts w:ascii="宋体" w:hAnsi="宋体" w:eastAsia="宋体" w:cs="宋体"/>
          <w:spacing w:val="8"/>
          <w:sz w:val="23"/>
          <w:szCs w:val="23"/>
        </w:rPr>
        <w:t>根据《环境影响评价技术导则 地下水环境》  (</w:t>
      </w:r>
      <w:r>
        <w:rPr>
          <w:rFonts w:ascii="Times New Roman" w:hAnsi="Times New Roman" w:eastAsia="Times New Roman" w:cs="Times New Roman"/>
          <w:sz w:val="23"/>
          <w:szCs w:val="23"/>
        </w:rPr>
        <w:t>HJ</w:t>
      </w:r>
      <w:r>
        <w:rPr>
          <w:rFonts w:ascii="Times New Roman" w:hAnsi="Times New Roman" w:eastAsia="Times New Roman" w:cs="Times New Roman"/>
          <w:spacing w:val="8"/>
          <w:sz w:val="23"/>
          <w:szCs w:val="23"/>
        </w:rPr>
        <w:t xml:space="preserve"> 610-2016</w:t>
      </w:r>
      <w:r>
        <w:rPr>
          <w:rFonts w:ascii="宋体" w:hAnsi="宋体" w:eastAsia="宋体" w:cs="宋体"/>
          <w:spacing w:val="8"/>
          <w:sz w:val="23"/>
          <w:szCs w:val="23"/>
        </w:rPr>
        <w:t>) ，本项目分为非防渗区</w:t>
      </w:r>
      <w:r>
        <w:rPr>
          <w:rFonts w:ascii="宋体" w:hAnsi="宋体" w:eastAsia="宋体" w:cs="宋体"/>
          <w:spacing w:val="6"/>
          <w:sz w:val="23"/>
          <w:szCs w:val="23"/>
        </w:rPr>
        <w:t>、</w:t>
      </w:r>
      <w:r>
        <w:rPr>
          <w:rFonts w:ascii="宋体" w:hAnsi="宋体" w:eastAsia="宋体" w:cs="宋体"/>
          <w:sz w:val="23"/>
          <w:szCs w:val="23"/>
        </w:rPr>
        <w:t xml:space="preserve"> </w:t>
      </w:r>
      <w:r>
        <w:rPr>
          <w:rFonts w:ascii="宋体" w:hAnsi="宋体" w:eastAsia="宋体" w:cs="宋体"/>
          <w:spacing w:val="11"/>
          <w:sz w:val="23"/>
          <w:szCs w:val="23"/>
        </w:rPr>
        <w:t>简</w:t>
      </w:r>
      <w:r>
        <w:rPr>
          <w:rFonts w:ascii="宋体" w:hAnsi="宋体" w:eastAsia="宋体" w:cs="宋体"/>
          <w:spacing w:val="7"/>
          <w:sz w:val="23"/>
          <w:szCs w:val="23"/>
        </w:rPr>
        <w:t>单防渗区和一般防渗区域、重点防渗区域进行防渗。</w:t>
      </w:r>
      <w:r>
        <w:rPr>
          <w:rFonts w:ascii="宋体" w:hAnsi="宋体" w:eastAsia="宋体" w:cs="宋体"/>
          <w:spacing w:val="7"/>
          <w:sz w:val="23"/>
          <w:szCs w:val="23"/>
          <w:u w:val="single"/>
        </w:rPr>
        <w:t>非防渗区</w:t>
      </w:r>
      <w:r>
        <w:rPr>
          <w:rFonts w:ascii="宋体" w:hAnsi="宋体" w:eastAsia="宋体" w:cs="宋体"/>
          <w:spacing w:val="7"/>
          <w:sz w:val="23"/>
          <w:szCs w:val="23"/>
        </w:rPr>
        <w:t>主要为绿化用地；</w:t>
      </w:r>
      <w:r>
        <w:rPr>
          <w:rFonts w:ascii="宋体" w:hAnsi="宋体" w:eastAsia="宋体" w:cs="宋体"/>
          <w:spacing w:val="7"/>
          <w:sz w:val="23"/>
          <w:szCs w:val="23"/>
          <w:u w:val="single"/>
        </w:rPr>
        <w:t>简单防渗</w:t>
      </w:r>
      <w:r>
        <w:rPr>
          <w:rFonts w:ascii="宋体" w:hAnsi="宋体" w:eastAsia="宋体" w:cs="宋体"/>
          <w:sz w:val="23"/>
          <w:szCs w:val="23"/>
        </w:rPr>
        <w:t xml:space="preserve"> </w:t>
      </w:r>
      <w:r>
        <w:rPr>
          <w:rFonts w:ascii="宋体" w:hAnsi="宋体" w:eastAsia="宋体" w:cs="宋体"/>
          <w:spacing w:val="16"/>
          <w:sz w:val="23"/>
          <w:szCs w:val="23"/>
          <w:u w:val="single"/>
        </w:rPr>
        <w:t>区域</w:t>
      </w:r>
      <w:r>
        <w:rPr>
          <w:rFonts w:ascii="宋体" w:hAnsi="宋体" w:eastAsia="宋体" w:cs="宋体"/>
          <w:spacing w:val="16"/>
          <w:sz w:val="23"/>
          <w:szCs w:val="23"/>
        </w:rPr>
        <w:t>主</w:t>
      </w:r>
      <w:r>
        <w:rPr>
          <w:rFonts w:ascii="宋体" w:hAnsi="宋体" w:eastAsia="宋体" w:cs="宋体"/>
          <w:spacing w:val="11"/>
          <w:sz w:val="23"/>
          <w:szCs w:val="23"/>
        </w:rPr>
        <w:t>要</w:t>
      </w:r>
      <w:r>
        <w:rPr>
          <w:rFonts w:ascii="宋体" w:hAnsi="宋体" w:eastAsia="宋体" w:cs="宋体"/>
          <w:spacing w:val="8"/>
          <w:sz w:val="23"/>
          <w:szCs w:val="23"/>
        </w:rPr>
        <w:t>为办公楼、场内道路、生活区、仓库、配电房等；</w:t>
      </w:r>
      <w:r>
        <w:rPr>
          <w:rFonts w:ascii="宋体" w:hAnsi="宋体" w:eastAsia="宋体" w:cs="宋体"/>
          <w:spacing w:val="8"/>
          <w:sz w:val="23"/>
          <w:szCs w:val="23"/>
          <w:u w:val="single"/>
        </w:rPr>
        <w:t>一般防渗区域</w:t>
      </w:r>
      <w:r>
        <w:rPr>
          <w:rFonts w:ascii="宋体" w:hAnsi="宋体" w:eastAsia="宋体" w:cs="宋体"/>
          <w:spacing w:val="8"/>
          <w:sz w:val="23"/>
          <w:szCs w:val="23"/>
        </w:rPr>
        <w:t>为猪舍、隔离舍、</w:t>
      </w:r>
      <w:r>
        <w:rPr>
          <w:rFonts w:ascii="宋体" w:hAnsi="宋体" w:eastAsia="宋体" w:cs="宋体"/>
          <w:sz w:val="23"/>
          <w:szCs w:val="23"/>
        </w:rPr>
        <w:t xml:space="preserve"> </w:t>
      </w:r>
      <w:r>
        <w:rPr>
          <w:rFonts w:ascii="宋体" w:hAnsi="宋体" w:eastAsia="宋体" w:cs="宋体"/>
          <w:spacing w:val="11"/>
          <w:sz w:val="23"/>
          <w:szCs w:val="23"/>
        </w:rPr>
        <w:t>异</w:t>
      </w:r>
      <w:r>
        <w:rPr>
          <w:rFonts w:ascii="宋体" w:hAnsi="宋体" w:eastAsia="宋体" w:cs="宋体"/>
          <w:spacing w:val="7"/>
          <w:sz w:val="23"/>
          <w:szCs w:val="23"/>
        </w:rPr>
        <w:t>位微生物发酵系统集污池、渗滤池、发酵槽、喷淋槽、化粪池；</w:t>
      </w:r>
      <w:r>
        <w:rPr>
          <w:rFonts w:ascii="宋体" w:hAnsi="宋体" w:eastAsia="宋体" w:cs="宋体"/>
          <w:spacing w:val="7"/>
          <w:sz w:val="23"/>
          <w:szCs w:val="23"/>
          <w:u w:val="single"/>
        </w:rPr>
        <w:t>重点防渗区域</w:t>
      </w:r>
      <w:r>
        <w:rPr>
          <w:rFonts w:ascii="宋体" w:hAnsi="宋体" w:eastAsia="宋体" w:cs="宋体"/>
          <w:spacing w:val="7"/>
          <w:sz w:val="23"/>
          <w:szCs w:val="23"/>
        </w:rPr>
        <w:t>为医疗废物</w:t>
      </w:r>
      <w:r>
        <w:rPr>
          <w:rFonts w:ascii="宋体" w:hAnsi="宋体" w:eastAsia="宋体" w:cs="宋体"/>
          <w:sz w:val="23"/>
          <w:szCs w:val="23"/>
        </w:rPr>
        <w:t xml:space="preserve"> </w:t>
      </w:r>
      <w:r>
        <w:rPr>
          <w:rFonts w:ascii="宋体" w:hAnsi="宋体" w:eastAsia="宋体" w:cs="宋体"/>
          <w:spacing w:val="5"/>
          <w:sz w:val="23"/>
          <w:szCs w:val="23"/>
        </w:rPr>
        <w:t>暂</w:t>
      </w:r>
      <w:r>
        <w:rPr>
          <w:rFonts w:ascii="宋体" w:hAnsi="宋体" w:eastAsia="宋体" w:cs="宋体"/>
          <w:spacing w:val="4"/>
          <w:sz w:val="23"/>
          <w:szCs w:val="23"/>
        </w:rPr>
        <w:t>存间。</w:t>
      </w:r>
    </w:p>
    <w:p w14:paraId="3AB5BC03">
      <w:pPr>
        <w:sectPr>
          <w:headerReference r:id="rId121" w:type="default"/>
          <w:footerReference r:id="rId122" w:type="default"/>
          <w:pgSz w:w="11907" w:h="16840"/>
          <w:pgMar w:top="829" w:right="1053" w:bottom="1139" w:left="1275" w:header="595" w:footer="953" w:gutter="0"/>
          <w:cols w:space="720" w:num="1"/>
        </w:sectPr>
      </w:pPr>
    </w:p>
    <w:p w14:paraId="68FA8A77">
      <w:pPr>
        <w:spacing w:before="146" w:line="228" w:lineRule="auto"/>
        <w:ind w:left="496"/>
        <w:rPr>
          <w:rFonts w:ascii="宋体" w:hAnsi="宋体" w:eastAsia="宋体" w:cs="宋体"/>
          <w:sz w:val="23"/>
          <w:szCs w:val="23"/>
        </w:rPr>
      </w:pPr>
      <w:r>
        <w:rPr>
          <w:rFonts w:ascii="宋体" w:hAnsi="宋体" w:eastAsia="宋体" w:cs="宋体"/>
          <w:spacing w:val="8"/>
          <w:sz w:val="23"/>
          <w:szCs w:val="23"/>
          <w14:textOutline w14:w="4356" w14:cap="sq" w14:cmpd="sng" w14:algn="ctr">
            <w14:solidFill>
              <w14:srgbClr w14:val="000000"/>
            </w14:solidFill>
            <w14:prstDash w14:val="solid"/>
            <w14:bevel/>
          </w14:textOutline>
        </w:rPr>
        <w:t>非防渗区：</w:t>
      </w:r>
      <w:r>
        <w:rPr>
          <w:rFonts w:ascii="宋体" w:hAnsi="宋体" w:eastAsia="宋体" w:cs="宋体"/>
          <w:spacing w:val="8"/>
          <w:sz w:val="23"/>
          <w:szCs w:val="23"/>
        </w:rPr>
        <w:t>绿化用地</w:t>
      </w:r>
      <w:r>
        <w:rPr>
          <w:rFonts w:ascii="宋体" w:hAnsi="宋体" w:eastAsia="宋体" w:cs="宋体"/>
          <w:spacing w:val="7"/>
          <w:sz w:val="23"/>
          <w:szCs w:val="23"/>
        </w:rPr>
        <w:t>；</w:t>
      </w:r>
    </w:p>
    <w:p w14:paraId="6E9EED17">
      <w:pPr>
        <w:spacing w:before="181" w:line="375" w:lineRule="auto"/>
        <w:ind w:left="12" w:right="176" w:firstLine="484"/>
        <w:rPr>
          <w:rFonts w:ascii="宋体" w:hAnsi="宋体" w:eastAsia="宋体" w:cs="宋体"/>
          <w:sz w:val="23"/>
          <w:szCs w:val="23"/>
        </w:rPr>
      </w:pPr>
      <w:r>
        <w:rPr>
          <w:rFonts w:ascii="宋体" w:hAnsi="宋体" w:eastAsia="宋体" w:cs="宋体"/>
          <w:spacing w:val="10"/>
          <w:sz w:val="23"/>
          <w:szCs w:val="23"/>
          <w14:textOutline w14:w="4356" w14:cap="sq" w14:cmpd="sng" w14:algn="ctr">
            <w14:solidFill>
              <w14:srgbClr w14:val="000000"/>
            </w14:solidFill>
            <w14:prstDash w14:val="solid"/>
            <w14:bevel/>
          </w14:textOutline>
        </w:rPr>
        <w:t>简</w:t>
      </w:r>
      <w:r>
        <w:rPr>
          <w:rFonts w:ascii="宋体" w:hAnsi="宋体" w:eastAsia="宋体" w:cs="宋体"/>
          <w:spacing w:val="7"/>
          <w:sz w:val="23"/>
          <w:szCs w:val="23"/>
          <w14:textOutline w14:w="4356" w14:cap="sq" w14:cmpd="sng" w14:algn="ctr">
            <w14:solidFill>
              <w14:srgbClr w14:val="000000"/>
            </w14:solidFill>
            <w14:prstDash w14:val="solid"/>
            <w14:bevel/>
          </w14:textOutline>
        </w:rPr>
        <w:t>单防渗区域：</w:t>
      </w:r>
      <w:r>
        <w:rPr>
          <w:rFonts w:ascii="宋体" w:hAnsi="宋体" w:eastAsia="宋体" w:cs="宋体"/>
          <w:spacing w:val="7"/>
          <w:sz w:val="23"/>
          <w:szCs w:val="23"/>
        </w:rPr>
        <w:t>办公楼、场内道路、生活区、仓库、配电房以及厂区道路。参照《环境</w:t>
      </w:r>
      <w:r>
        <w:rPr>
          <w:rFonts w:ascii="宋体" w:hAnsi="宋体" w:eastAsia="宋体" w:cs="宋体"/>
          <w:sz w:val="23"/>
          <w:szCs w:val="23"/>
        </w:rPr>
        <w:t xml:space="preserve"> </w:t>
      </w:r>
      <w:r>
        <w:rPr>
          <w:rFonts w:ascii="宋体" w:hAnsi="宋体" w:eastAsia="宋体" w:cs="宋体"/>
          <w:spacing w:val="10"/>
          <w:sz w:val="23"/>
          <w:szCs w:val="23"/>
        </w:rPr>
        <w:t>影</w:t>
      </w:r>
      <w:r>
        <w:rPr>
          <w:rFonts w:ascii="宋体" w:hAnsi="宋体" w:eastAsia="宋体" w:cs="宋体"/>
          <w:spacing w:val="7"/>
          <w:sz w:val="23"/>
          <w:szCs w:val="23"/>
        </w:rPr>
        <w:t>响</w:t>
      </w:r>
      <w:r>
        <w:rPr>
          <w:rFonts w:ascii="宋体" w:hAnsi="宋体" w:eastAsia="宋体" w:cs="宋体"/>
          <w:spacing w:val="5"/>
          <w:sz w:val="23"/>
          <w:szCs w:val="23"/>
        </w:rPr>
        <w:t>评价技术导则 地下水环境》  (</w:t>
      </w:r>
      <w:r>
        <w:rPr>
          <w:rFonts w:ascii="Times New Roman" w:hAnsi="Times New Roman" w:eastAsia="Times New Roman" w:cs="Times New Roman"/>
          <w:sz w:val="23"/>
          <w:szCs w:val="23"/>
        </w:rPr>
        <w:t>HJ</w:t>
      </w:r>
      <w:r>
        <w:rPr>
          <w:rFonts w:ascii="Times New Roman" w:hAnsi="Times New Roman" w:eastAsia="Times New Roman" w:cs="Times New Roman"/>
          <w:spacing w:val="5"/>
          <w:sz w:val="23"/>
          <w:szCs w:val="23"/>
        </w:rPr>
        <w:t xml:space="preserve"> 610-2016</w:t>
      </w:r>
      <w:r>
        <w:rPr>
          <w:rFonts w:ascii="宋体" w:hAnsi="宋体" w:eastAsia="宋体" w:cs="宋体"/>
          <w:spacing w:val="5"/>
          <w:sz w:val="23"/>
          <w:szCs w:val="23"/>
        </w:rPr>
        <w:t>) ，简单防渗可采用一般地面硬化。评价要</w:t>
      </w:r>
      <w:r>
        <w:rPr>
          <w:rFonts w:ascii="宋体" w:hAnsi="宋体" w:eastAsia="宋体" w:cs="宋体"/>
          <w:sz w:val="23"/>
          <w:szCs w:val="23"/>
        </w:rPr>
        <w:t xml:space="preserve"> </w:t>
      </w:r>
      <w:r>
        <w:rPr>
          <w:rFonts w:ascii="宋体" w:hAnsi="宋体" w:eastAsia="宋体" w:cs="宋体"/>
          <w:spacing w:val="9"/>
          <w:sz w:val="23"/>
          <w:szCs w:val="23"/>
        </w:rPr>
        <w:t>求简单防渗地区采用混凝土进行硬化</w:t>
      </w:r>
      <w:r>
        <w:rPr>
          <w:rFonts w:ascii="宋体" w:hAnsi="宋体" w:eastAsia="宋体" w:cs="宋体"/>
          <w:spacing w:val="6"/>
          <w:sz w:val="23"/>
          <w:szCs w:val="23"/>
        </w:rPr>
        <w:t>。</w:t>
      </w:r>
    </w:p>
    <w:p w14:paraId="61FA80D7">
      <w:pPr>
        <w:spacing w:line="375" w:lineRule="auto"/>
        <w:ind w:left="13" w:right="107" w:firstLine="482"/>
        <w:rPr>
          <w:rFonts w:ascii="宋体" w:hAnsi="宋体" w:eastAsia="宋体" w:cs="宋体"/>
          <w:sz w:val="23"/>
          <w:szCs w:val="23"/>
        </w:rPr>
      </w:pPr>
      <w:r>
        <w:rPr>
          <w:rFonts w:ascii="宋体" w:hAnsi="宋体" w:eastAsia="宋体" w:cs="宋体"/>
          <w:spacing w:val="9"/>
          <w:sz w:val="23"/>
          <w:szCs w:val="23"/>
          <w14:textOutline w14:w="4356" w14:cap="sq" w14:cmpd="sng" w14:algn="ctr">
            <w14:solidFill>
              <w14:srgbClr w14:val="000000"/>
            </w14:solidFill>
            <w14:prstDash w14:val="solid"/>
            <w14:bevel/>
          </w14:textOutline>
        </w:rPr>
        <w:t>一般防渗区域：</w:t>
      </w:r>
      <w:r>
        <w:rPr>
          <w:rFonts w:ascii="宋体" w:hAnsi="宋体" w:eastAsia="宋体" w:cs="宋体"/>
          <w:spacing w:val="9"/>
          <w:sz w:val="23"/>
          <w:szCs w:val="23"/>
        </w:rPr>
        <w:t>一般防渗区域：猪舍、隔离舍、异位微生物发酵系统渗滤池、发酵槽</w:t>
      </w:r>
      <w:r>
        <w:rPr>
          <w:rFonts w:ascii="宋体" w:hAnsi="宋体" w:eastAsia="宋体" w:cs="宋体"/>
          <w:spacing w:val="6"/>
          <w:sz w:val="23"/>
          <w:szCs w:val="23"/>
        </w:rPr>
        <w:t>、</w:t>
      </w:r>
      <w:r>
        <w:rPr>
          <w:rFonts w:ascii="宋体" w:hAnsi="宋体" w:eastAsia="宋体" w:cs="宋体"/>
          <w:sz w:val="23"/>
          <w:szCs w:val="23"/>
        </w:rPr>
        <w:t xml:space="preserve"> </w:t>
      </w:r>
      <w:r>
        <w:rPr>
          <w:rFonts w:ascii="宋体" w:hAnsi="宋体" w:eastAsia="宋体" w:cs="宋体"/>
          <w:spacing w:val="1"/>
          <w:sz w:val="23"/>
          <w:szCs w:val="23"/>
        </w:rPr>
        <w:t>喷淋槽、化粪池应进行一般防渗，采用防渗混凝土，防</w:t>
      </w:r>
      <w:r>
        <w:rPr>
          <w:rFonts w:ascii="宋体" w:hAnsi="宋体" w:eastAsia="宋体" w:cs="宋体"/>
          <w:sz w:val="23"/>
          <w:szCs w:val="23"/>
        </w:rPr>
        <w:t xml:space="preserve">渗要求为：等效黏土防渗层 </w:t>
      </w:r>
      <w:r>
        <w:rPr>
          <w:rFonts w:ascii="Times New Roman" w:hAnsi="Times New Roman" w:eastAsia="Times New Roman" w:cs="Times New Roman"/>
          <w:sz w:val="23"/>
          <w:szCs w:val="23"/>
        </w:rPr>
        <w:t>Mb≥1.5m</w:t>
      </w:r>
      <w:r>
        <w:rPr>
          <w:rFonts w:ascii="宋体" w:hAnsi="宋体" w:eastAsia="宋体" w:cs="宋体"/>
          <w:sz w:val="23"/>
          <w:szCs w:val="23"/>
        </w:rPr>
        <w:t xml:space="preserve">， </w:t>
      </w:r>
      <w:r>
        <w:rPr>
          <w:rFonts w:ascii="宋体" w:hAnsi="宋体" w:eastAsia="宋体" w:cs="宋体"/>
          <w:spacing w:val="4"/>
          <w:sz w:val="23"/>
          <w:szCs w:val="23"/>
        </w:rPr>
        <w:t>渗透</w:t>
      </w:r>
      <w:r>
        <w:rPr>
          <w:rFonts w:ascii="宋体" w:hAnsi="宋体" w:eastAsia="宋体" w:cs="宋体"/>
          <w:spacing w:val="3"/>
          <w:sz w:val="23"/>
          <w:szCs w:val="23"/>
        </w:rPr>
        <w:t>系</w:t>
      </w:r>
      <w:r>
        <w:rPr>
          <w:rFonts w:ascii="宋体" w:hAnsi="宋体" w:eastAsia="宋体" w:cs="宋体"/>
          <w:spacing w:val="2"/>
          <w:sz w:val="23"/>
          <w:szCs w:val="23"/>
        </w:rPr>
        <w:t>数</w:t>
      </w:r>
      <w:r>
        <w:rPr>
          <w:rFonts w:ascii="Times New Roman" w:hAnsi="Times New Roman" w:eastAsia="Times New Roman" w:cs="Times New Roman"/>
          <w:spacing w:val="2"/>
          <w:sz w:val="23"/>
          <w:szCs w:val="23"/>
        </w:rPr>
        <w:t>≤10</w:t>
      </w:r>
      <w:r>
        <w:rPr>
          <w:rFonts w:ascii="Times New Roman" w:hAnsi="Times New Roman" w:eastAsia="Times New Roman" w:cs="Times New Roman"/>
          <w:spacing w:val="2"/>
          <w:position w:val="8"/>
          <w:sz w:val="15"/>
          <w:szCs w:val="15"/>
        </w:rPr>
        <w:t>-7</w:t>
      </w:r>
      <w:r>
        <w:rPr>
          <w:rFonts w:ascii="Times New Roman" w:hAnsi="Times New Roman" w:eastAsia="Times New Roman" w:cs="Times New Roman"/>
          <w:sz w:val="23"/>
          <w:szCs w:val="23"/>
        </w:rPr>
        <w:t>cm</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s</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 xml:space="preserve">；或参照 </w:t>
      </w:r>
      <w:r>
        <w:rPr>
          <w:rFonts w:ascii="Times New Roman" w:hAnsi="Times New Roman" w:eastAsia="Times New Roman" w:cs="Times New Roman"/>
          <w:sz w:val="23"/>
          <w:szCs w:val="23"/>
        </w:rPr>
        <w:t>GB</w:t>
      </w:r>
      <w:r>
        <w:rPr>
          <w:rFonts w:ascii="Times New Roman" w:hAnsi="Times New Roman" w:eastAsia="Times New Roman" w:cs="Times New Roman"/>
          <w:spacing w:val="2"/>
          <w:sz w:val="23"/>
          <w:szCs w:val="23"/>
        </w:rPr>
        <w:t xml:space="preserve">16889 </w:t>
      </w:r>
      <w:r>
        <w:rPr>
          <w:rFonts w:ascii="宋体" w:hAnsi="宋体" w:eastAsia="宋体" w:cs="宋体"/>
          <w:spacing w:val="2"/>
          <w:sz w:val="23"/>
          <w:szCs w:val="23"/>
        </w:rPr>
        <w:t>执行。</w:t>
      </w:r>
    </w:p>
    <w:p w14:paraId="622DB11D">
      <w:pPr>
        <w:spacing w:before="1" w:line="373" w:lineRule="auto"/>
        <w:ind w:left="15" w:right="183" w:firstLine="477"/>
        <w:rPr>
          <w:rFonts w:ascii="宋体" w:hAnsi="宋体" w:eastAsia="宋体" w:cs="宋体"/>
          <w:sz w:val="23"/>
          <w:szCs w:val="23"/>
        </w:rPr>
      </w:pPr>
      <w:r>
        <w:rPr>
          <w:rFonts w:ascii="宋体" w:hAnsi="宋体" w:eastAsia="宋体" w:cs="宋体"/>
          <w:spacing w:val="8"/>
          <w:sz w:val="23"/>
          <w:szCs w:val="23"/>
        </w:rPr>
        <w:t>猪</w:t>
      </w:r>
      <w:r>
        <w:rPr>
          <w:rFonts w:ascii="宋体" w:hAnsi="宋体" w:eastAsia="宋体" w:cs="宋体"/>
          <w:spacing w:val="7"/>
          <w:sz w:val="23"/>
          <w:szCs w:val="23"/>
        </w:rPr>
        <w:t>舍、隔离舍：修建地沟、围堰等必要设施，避免粪尿与地面的直接接触。同时地面全</w:t>
      </w:r>
      <w:r>
        <w:rPr>
          <w:rFonts w:ascii="宋体" w:hAnsi="宋体" w:eastAsia="宋体" w:cs="宋体"/>
          <w:sz w:val="23"/>
          <w:szCs w:val="23"/>
        </w:rPr>
        <w:t xml:space="preserve"> </w:t>
      </w:r>
      <w:r>
        <w:rPr>
          <w:rFonts w:ascii="宋体" w:hAnsi="宋体" w:eastAsia="宋体" w:cs="宋体"/>
          <w:spacing w:val="9"/>
          <w:sz w:val="23"/>
          <w:szCs w:val="23"/>
        </w:rPr>
        <w:t>部防渗，采用抗酸碱、抗腐蚀性的防渗材料</w:t>
      </w:r>
      <w:r>
        <w:rPr>
          <w:rFonts w:ascii="宋体" w:hAnsi="宋体" w:eastAsia="宋体" w:cs="宋体"/>
          <w:spacing w:val="6"/>
          <w:sz w:val="23"/>
          <w:szCs w:val="23"/>
        </w:rPr>
        <w:t>。</w:t>
      </w:r>
    </w:p>
    <w:p w14:paraId="0DF08CCA">
      <w:pPr>
        <w:spacing w:before="5" w:line="374" w:lineRule="auto"/>
        <w:ind w:left="12" w:right="183" w:firstLine="480"/>
        <w:rPr>
          <w:rFonts w:ascii="宋体" w:hAnsi="宋体" w:eastAsia="宋体" w:cs="宋体"/>
          <w:sz w:val="23"/>
          <w:szCs w:val="23"/>
        </w:rPr>
      </w:pPr>
      <w:r>
        <w:rPr>
          <w:rFonts w:ascii="宋体" w:hAnsi="宋体" w:eastAsia="宋体" w:cs="宋体"/>
          <w:spacing w:val="7"/>
          <w:sz w:val="23"/>
          <w:szCs w:val="23"/>
          <w14:textOutline w14:w="4356" w14:cap="sq" w14:cmpd="sng" w14:algn="ctr">
            <w14:solidFill>
              <w14:srgbClr w14:val="000000"/>
            </w14:solidFill>
            <w14:prstDash w14:val="solid"/>
            <w14:bevel/>
          </w14:textOutline>
        </w:rPr>
        <w:t>重点防渗：</w:t>
      </w:r>
      <w:r>
        <w:rPr>
          <w:rFonts w:ascii="宋体" w:hAnsi="宋体" w:eastAsia="宋体" w:cs="宋体"/>
          <w:spacing w:val="7"/>
          <w:sz w:val="23"/>
          <w:szCs w:val="23"/>
        </w:rPr>
        <w:t>医疗废物暂存间进行重点防渗，严格按照《危险废物贮存污染控制标准》的</w:t>
      </w:r>
      <w:r>
        <w:rPr>
          <w:rFonts w:ascii="宋体" w:hAnsi="宋体" w:eastAsia="宋体" w:cs="宋体"/>
          <w:sz w:val="23"/>
          <w:szCs w:val="23"/>
        </w:rPr>
        <w:t xml:space="preserve"> </w:t>
      </w:r>
      <w:r>
        <w:rPr>
          <w:rFonts w:ascii="宋体" w:hAnsi="宋体" w:eastAsia="宋体" w:cs="宋体"/>
          <w:spacing w:val="14"/>
          <w:sz w:val="23"/>
          <w:szCs w:val="23"/>
        </w:rPr>
        <w:t>要</w:t>
      </w:r>
      <w:r>
        <w:rPr>
          <w:rFonts w:ascii="宋体" w:hAnsi="宋体" w:eastAsia="宋体" w:cs="宋体"/>
          <w:spacing w:val="7"/>
          <w:sz w:val="23"/>
          <w:szCs w:val="23"/>
        </w:rPr>
        <w:t>求设计，地面做好地面防雨、防渗、防腐措施，基础周围设置地沟、围堰，并对地沟、围</w:t>
      </w:r>
      <w:r>
        <w:rPr>
          <w:rFonts w:ascii="宋体" w:hAnsi="宋体" w:eastAsia="宋体" w:cs="宋体"/>
          <w:sz w:val="23"/>
          <w:szCs w:val="23"/>
        </w:rPr>
        <w:t xml:space="preserve"> </w:t>
      </w:r>
      <w:r>
        <w:rPr>
          <w:rFonts w:ascii="宋体" w:hAnsi="宋体" w:eastAsia="宋体" w:cs="宋体"/>
          <w:spacing w:val="14"/>
          <w:sz w:val="23"/>
          <w:szCs w:val="23"/>
        </w:rPr>
        <w:t>堰</w:t>
      </w:r>
      <w:r>
        <w:rPr>
          <w:rFonts w:ascii="宋体" w:hAnsi="宋体" w:eastAsia="宋体" w:cs="宋体"/>
          <w:spacing w:val="7"/>
          <w:sz w:val="23"/>
          <w:szCs w:val="23"/>
        </w:rPr>
        <w:t>进行防渗、防腐处理，以防范装卸作业泄漏、溢流等意外污染事故的发生。本项目采用防</w:t>
      </w:r>
      <w:r>
        <w:rPr>
          <w:rFonts w:ascii="宋体" w:hAnsi="宋体" w:eastAsia="宋体" w:cs="宋体"/>
          <w:sz w:val="23"/>
          <w:szCs w:val="23"/>
        </w:rPr>
        <w:t xml:space="preserve"> </w:t>
      </w:r>
      <w:r>
        <w:rPr>
          <w:rFonts w:ascii="宋体" w:hAnsi="宋体" w:eastAsia="宋体" w:cs="宋体"/>
          <w:spacing w:val="4"/>
          <w:sz w:val="23"/>
          <w:szCs w:val="23"/>
        </w:rPr>
        <w:t>渗混凝土</w:t>
      </w:r>
      <w:r>
        <w:rPr>
          <w:rFonts w:ascii="Times New Roman" w:hAnsi="Times New Roman" w:eastAsia="Times New Roman" w:cs="Times New Roman"/>
          <w:spacing w:val="4"/>
          <w:sz w:val="23"/>
          <w:szCs w:val="23"/>
        </w:rPr>
        <w:t>+</w:t>
      </w:r>
      <w:r>
        <w:rPr>
          <w:rFonts w:ascii="宋体" w:hAnsi="宋体" w:eastAsia="宋体" w:cs="宋体"/>
          <w:spacing w:val="4"/>
          <w:sz w:val="23"/>
          <w:szCs w:val="23"/>
        </w:rPr>
        <w:t>环氧树脂，防渗等效黏土防渗层</w:t>
      </w:r>
      <w:r>
        <w:rPr>
          <w:rFonts w:ascii="Times New Roman" w:hAnsi="Times New Roman" w:eastAsia="Times New Roman" w:cs="Times New Roman"/>
          <w:sz w:val="23"/>
          <w:szCs w:val="23"/>
        </w:rPr>
        <w:t>Mb</w:t>
      </w:r>
      <w:r>
        <w:rPr>
          <w:rFonts w:ascii="Times New Roman" w:hAnsi="Times New Roman" w:eastAsia="Times New Roman" w:cs="Times New Roman"/>
          <w:spacing w:val="4"/>
          <w:sz w:val="23"/>
          <w:szCs w:val="23"/>
        </w:rPr>
        <w:t>≥6.0</w:t>
      </w:r>
      <w:r>
        <w:rPr>
          <w:rFonts w:ascii="Times New Roman" w:hAnsi="Times New Roman" w:eastAsia="Times New Roman" w:cs="Times New Roman"/>
          <w:sz w:val="23"/>
          <w:szCs w:val="23"/>
        </w:rPr>
        <w:t>m</w:t>
      </w:r>
      <w:r>
        <w:rPr>
          <w:rFonts w:ascii="宋体" w:hAnsi="宋体" w:eastAsia="宋体" w:cs="宋体"/>
          <w:spacing w:val="4"/>
          <w:sz w:val="23"/>
          <w:szCs w:val="23"/>
        </w:rPr>
        <w:t>，渗透系数</w:t>
      </w:r>
      <w:r>
        <w:rPr>
          <w:rFonts w:ascii="Times New Roman" w:hAnsi="Times New Roman" w:eastAsia="Times New Roman" w:cs="Times New Roman"/>
          <w:spacing w:val="4"/>
          <w:sz w:val="23"/>
          <w:szCs w:val="23"/>
        </w:rPr>
        <w:t>≤1×10</w:t>
      </w:r>
      <w:r>
        <w:rPr>
          <w:rFonts w:ascii="Times New Roman" w:hAnsi="Times New Roman" w:eastAsia="Times New Roman" w:cs="Times New Roman"/>
          <w:spacing w:val="4"/>
          <w:position w:val="8"/>
          <w:sz w:val="15"/>
          <w:szCs w:val="15"/>
        </w:rPr>
        <w:t>-7</w:t>
      </w:r>
      <w:r>
        <w:rPr>
          <w:rFonts w:ascii="Times New Roman" w:hAnsi="Times New Roman" w:eastAsia="Times New Roman" w:cs="Times New Roman"/>
          <w:sz w:val="23"/>
          <w:szCs w:val="23"/>
        </w:rPr>
        <w:t>cm</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s</w:t>
      </w:r>
      <w:r>
        <w:rPr>
          <w:rFonts w:ascii="宋体" w:hAnsi="宋体" w:eastAsia="宋体" w:cs="宋体"/>
          <w:spacing w:val="4"/>
          <w:sz w:val="23"/>
          <w:szCs w:val="23"/>
        </w:rPr>
        <w:t>；或参照</w:t>
      </w:r>
      <w:r>
        <w:rPr>
          <w:rFonts w:ascii="Times New Roman" w:hAnsi="Times New Roman" w:eastAsia="Times New Roman" w:cs="Times New Roman"/>
          <w:sz w:val="23"/>
          <w:szCs w:val="23"/>
        </w:rPr>
        <w:t>GB</w:t>
      </w:r>
      <w:r>
        <w:rPr>
          <w:rFonts w:ascii="Times New Roman" w:hAnsi="Times New Roman" w:eastAsia="Times New Roman" w:cs="Times New Roman"/>
          <w:spacing w:val="4"/>
          <w:sz w:val="23"/>
          <w:szCs w:val="23"/>
        </w:rPr>
        <w:t>1688</w:t>
      </w:r>
      <w:r>
        <w:rPr>
          <w:rFonts w:ascii="Times New Roman" w:hAnsi="Times New Roman" w:eastAsia="Times New Roman" w:cs="Times New Roman"/>
          <w:spacing w:val="2"/>
          <w:sz w:val="23"/>
          <w:szCs w:val="23"/>
        </w:rPr>
        <w:t>9</w:t>
      </w:r>
      <w:r>
        <w:rPr>
          <w:rFonts w:ascii="Times New Roman" w:hAnsi="Times New Roman" w:eastAsia="Times New Roman" w:cs="Times New Roman"/>
          <w:sz w:val="23"/>
          <w:szCs w:val="23"/>
        </w:rPr>
        <w:t xml:space="preserve"> </w:t>
      </w:r>
      <w:r>
        <w:rPr>
          <w:rFonts w:ascii="宋体" w:hAnsi="宋体" w:eastAsia="宋体" w:cs="宋体"/>
          <w:spacing w:val="4"/>
          <w:sz w:val="23"/>
          <w:szCs w:val="23"/>
        </w:rPr>
        <w:t>执</w:t>
      </w:r>
      <w:r>
        <w:rPr>
          <w:rFonts w:ascii="宋体" w:hAnsi="宋体" w:eastAsia="宋体" w:cs="宋体"/>
          <w:spacing w:val="3"/>
          <w:sz w:val="23"/>
          <w:szCs w:val="23"/>
        </w:rPr>
        <w:t>行。</w:t>
      </w:r>
    </w:p>
    <w:p w14:paraId="6055E065">
      <w:pPr>
        <w:spacing w:line="227" w:lineRule="auto"/>
        <w:ind w:left="383"/>
        <w:rPr>
          <w:rFonts w:ascii="宋体" w:hAnsi="宋体" w:eastAsia="宋体" w:cs="宋体"/>
          <w:sz w:val="23"/>
          <w:szCs w:val="23"/>
        </w:rPr>
      </w:pPr>
      <w:r>
        <w:rPr>
          <w:rFonts w:ascii="宋体" w:hAnsi="宋体" w:eastAsia="宋体" w:cs="宋体"/>
          <w:spacing w:val="16"/>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6"/>
          <w:sz w:val="23"/>
          <w:szCs w:val="23"/>
        </w:rPr>
        <w:t>3</w:t>
      </w:r>
      <w:r>
        <w:rPr>
          <w:rFonts w:ascii="宋体" w:hAnsi="宋体" w:eastAsia="宋体" w:cs="宋体"/>
          <w:spacing w:val="16"/>
          <w:sz w:val="23"/>
          <w:szCs w:val="23"/>
          <w14:textOutline w14:w="4356" w14:cap="sq" w14:cmpd="sng" w14:algn="ctr">
            <w14:solidFill>
              <w14:srgbClr w14:val="000000"/>
            </w14:solidFill>
            <w14:prstDash w14:val="solid"/>
            <w14:bevel/>
          </w14:textOutline>
        </w:rPr>
        <w:t>)</w:t>
      </w:r>
      <w:r>
        <w:rPr>
          <w:rFonts w:ascii="宋体" w:hAnsi="宋体" w:eastAsia="宋体" w:cs="宋体"/>
          <w:spacing w:val="16"/>
          <w:sz w:val="23"/>
          <w:szCs w:val="23"/>
        </w:rPr>
        <w:t xml:space="preserve"> </w:t>
      </w:r>
      <w:r>
        <w:rPr>
          <w:rFonts w:ascii="宋体" w:hAnsi="宋体" w:eastAsia="宋体" w:cs="宋体"/>
          <w:spacing w:val="16"/>
          <w:sz w:val="23"/>
          <w:szCs w:val="23"/>
          <w14:textOutline w14:w="4356" w14:cap="sq" w14:cmpd="sng" w14:algn="ctr">
            <w14:solidFill>
              <w14:srgbClr w14:val="000000"/>
            </w14:solidFill>
            <w14:prstDash w14:val="solid"/>
            <w14:bevel/>
          </w14:textOutline>
        </w:rPr>
        <w:t>定期进行检漏监测及检</w:t>
      </w:r>
      <w:r>
        <w:rPr>
          <w:rFonts w:ascii="宋体" w:hAnsi="宋体" w:eastAsia="宋体" w:cs="宋体"/>
          <w:spacing w:val="14"/>
          <w:sz w:val="23"/>
          <w:szCs w:val="23"/>
          <w14:textOutline w14:w="4356" w14:cap="sq" w14:cmpd="sng" w14:algn="ctr">
            <w14:solidFill>
              <w14:srgbClr w14:val="000000"/>
            </w14:solidFill>
            <w14:prstDash w14:val="solid"/>
            <w14:bevel/>
          </w14:textOutline>
        </w:rPr>
        <w:t>修</w:t>
      </w:r>
    </w:p>
    <w:p w14:paraId="598E79AD">
      <w:pPr>
        <w:spacing w:before="188" w:line="374" w:lineRule="auto"/>
        <w:ind w:left="11" w:firstLine="486"/>
        <w:rPr>
          <w:rFonts w:ascii="宋体" w:hAnsi="宋体" w:eastAsia="宋体" w:cs="宋体"/>
          <w:sz w:val="23"/>
          <w:szCs w:val="23"/>
        </w:rPr>
      </w:pPr>
      <w:r>
        <w:rPr>
          <w:rFonts w:ascii="宋体" w:hAnsi="宋体" w:eastAsia="宋体" w:cs="宋体"/>
          <w:spacing w:val="7"/>
          <w:sz w:val="23"/>
          <w:szCs w:val="23"/>
        </w:rPr>
        <w:t>强化各相关工程的转弯、承插、对接等处的防渗，做好隐蔽工程记录，强化施工期防</w:t>
      </w:r>
      <w:r>
        <w:rPr>
          <w:rFonts w:ascii="宋体" w:hAnsi="宋体" w:eastAsia="宋体" w:cs="宋体"/>
          <w:spacing w:val="2"/>
          <w:sz w:val="23"/>
          <w:szCs w:val="23"/>
        </w:rPr>
        <w:t>渗</w:t>
      </w:r>
      <w:r>
        <w:rPr>
          <w:rFonts w:ascii="宋体" w:hAnsi="宋体" w:eastAsia="宋体" w:cs="宋体"/>
          <w:sz w:val="23"/>
          <w:szCs w:val="23"/>
        </w:rPr>
        <w:t xml:space="preserve"> </w:t>
      </w:r>
      <w:r>
        <w:rPr>
          <w:rFonts w:ascii="宋体" w:hAnsi="宋体" w:eastAsia="宋体" w:cs="宋体"/>
          <w:spacing w:val="10"/>
          <w:sz w:val="23"/>
          <w:szCs w:val="23"/>
        </w:rPr>
        <w:t>工程的环境</w:t>
      </w:r>
      <w:r>
        <w:rPr>
          <w:rFonts w:ascii="宋体" w:hAnsi="宋体" w:eastAsia="宋体" w:cs="宋体"/>
          <w:spacing w:val="6"/>
          <w:sz w:val="23"/>
          <w:szCs w:val="23"/>
        </w:rPr>
        <w:t>监</w:t>
      </w:r>
      <w:r>
        <w:rPr>
          <w:rFonts w:ascii="宋体" w:hAnsi="宋体" w:eastAsia="宋体" w:cs="宋体"/>
          <w:spacing w:val="5"/>
          <w:sz w:val="23"/>
          <w:szCs w:val="23"/>
        </w:rPr>
        <w:t>理。本项目的猪舍、异位发酵床工艺中各池体 (渗滤池、发酵槽、喷淋槽等) 、</w:t>
      </w:r>
      <w:r>
        <w:rPr>
          <w:rFonts w:ascii="宋体" w:hAnsi="宋体" w:eastAsia="宋体" w:cs="宋体"/>
          <w:sz w:val="23"/>
          <w:szCs w:val="23"/>
        </w:rPr>
        <w:t xml:space="preserve"> </w:t>
      </w:r>
      <w:r>
        <w:rPr>
          <w:rFonts w:ascii="宋体" w:hAnsi="宋体" w:eastAsia="宋体" w:cs="宋体"/>
          <w:spacing w:val="14"/>
          <w:sz w:val="23"/>
          <w:szCs w:val="23"/>
        </w:rPr>
        <w:t>化</w:t>
      </w:r>
      <w:r>
        <w:rPr>
          <w:rFonts w:ascii="宋体" w:hAnsi="宋体" w:eastAsia="宋体" w:cs="宋体"/>
          <w:spacing w:val="8"/>
          <w:sz w:val="23"/>
          <w:szCs w:val="23"/>
        </w:rPr>
        <w:t>粪</w:t>
      </w:r>
      <w:r>
        <w:rPr>
          <w:rFonts w:ascii="宋体" w:hAnsi="宋体" w:eastAsia="宋体" w:cs="宋体"/>
          <w:spacing w:val="7"/>
          <w:sz w:val="23"/>
          <w:szCs w:val="23"/>
        </w:rPr>
        <w:t>池以及医疗废物暂存间的防渗措施应按照要求进行防渗。医疗废物暂存间对医疗废物应</w:t>
      </w:r>
      <w:r>
        <w:rPr>
          <w:rFonts w:ascii="宋体" w:hAnsi="宋体" w:eastAsia="宋体" w:cs="宋体"/>
          <w:sz w:val="23"/>
          <w:szCs w:val="23"/>
        </w:rPr>
        <w:t xml:space="preserve"> </w:t>
      </w:r>
      <w:r>
        <w:rPr>
          <w:rFonts w:ascii="宋体" w:hAnsi="宋体" w:eastAsia="宋体" w:cs="宋体"/>
          <w:spacing w:val="8"/>
          <w:sz w:val="23"/>
          <w:szCs w:val="23"/>
        </w:rPr>
        <w:t>及</w:t>
      </w:r>
      <w:r>
        <w:rPr>
          <w:rFonts w:ascii="宋体" w:hAnsi="宋体" w:eastAsia="宋体" w:cs="宋体"/>
          <w:spacing w:val="4"/>
          <w:sz w:val="23"/>
          <w:szCs w:val="23"/>
        </w:rPr>
        <w:t>时收集，并按照类别分置于防渗漏的专用包装物或容器，并有明显的警示标识和警示说明；</w:t>
      </w:r>
      <w:r>
        <w:rPr>
          <w:rFonts w:ascii="宋体" w:hAnsi="宋体" w:eastAsia="宋体" w:cs="宋体"/>
          <w:sz w:val="23"/>
          <w:szCs w:val="23"/>
        </w:rPr>
        <w:t xml:space="preserve"> </w:t>
      </w:r>
      <w:r>
        <w:rPr>
          <w:rFonts w:ascii="宋体" w:hAnsi="宋体" w:eastAsia="宋体" w:cs="宋体"/>
          <w:spacing w:val="16"/>
          <w:sz w:val="23"/>
          <w:szCs w:val="23"/>
        </w:rPr>
        <w:t>暂</w:t>
      </w:r>
      <w:r>
        <w:rPr>
          <w:rFonts w:ascii="宋体" w:hAnsi="宋体" w:eastAsia="宋体" w:cs="宋体"/>
          <w:spacing w:val="12"/>
          <w:sz w:val="23"/>
          <w:szCs w:val="23"/>
        </w:rPr>
        <w:t>存</w:t>
      </w:r>
      <w:r>
        <w:rPr>
          <w:rFonts w:ascii="宋体" w:hAnsi="宋体" w:eastAsia="宋体" w:cs="宋体"/>
          <w:spacing w:val="8"/>
          <w:sz w:val="23"/>
          <w:szCs w:val="23"/>
        </w:rPr>
        <w:t>间要采取</w:t>
      </w:r>
      <w:r>
        <w:rPr>
          <w:rFonts w:ascii="Times New Roman" w:hAnsi="Times New Roman" w:eastAsia="Times New Roman" w:cs="Times New Roman"/>
          <w:spacing w:val="8"/>
          <w:sz w:val="23"/>
          <w:szCs w:val="23"/>
        </w:rPr>
        <w:t>“</w:t>
      </w:r>
      <w:r>
        <w:rPr>
          <w:rFonts w:ascii="宋体" w:hAnsi="宋体" w:eastAsia="宋体" w:cs="宋体"/>
          <w:spacing w:val="8"/>
          <w:sz w:val="23"/>
          <w:szCs w:val="23"/>
        </w:rPr>
        <w:t>三防</w:t>
      </w:r>
      <w:r>
        <w:rPr>
          <w:rFonts w:ascii="Times New Roman" w:hAnsi="Times New Roman" w:eastAsia="Times New Roman" w:cs="Times New Roman"/>
          <w:spacing w:val="8"/>
          <w:sz w:val="23"/>
          <w:szCs w:val="23"/>
        </w:rPr>
        <w:t>”</w:t>
      </w:r>
      <w:r>
        <w:rPr>
          <w:rFonts w:ascii="宋体" w:hAnsi="宋体" w:eastAsia="宋体" w:cs="宋体"/>
          <w:spacing w:val="8"/>
          <w:sz w:val="23"/>
          <w:szCs w:val="23"/>
        </w:rPr>
        <w:t>措施；禁止在非贮存点 (容器) 倾倒和堆放。</w:t>
      </w:r>
    </w:p>
    <w:p w14:paraId="49DECCC5">
      <w:pPr>
        <w:spacing w:line="228" w:lineRule="auto"/>
        <w:ind w:left="503"/>
        <w:rPr>
          <w:rFonts w:ascii="宋体" w:hAnsi="宋体" w:eastAsia="宋体" w:cs="宋体"/>
          <w:sz w:val="23"/>
          <w:szCs w:val="23"/>
        </w:rPr>
      </w:pP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7"/>
          <w:sz w:val="23"/>
          <w:szCs w:val="23"/>
        </w:rPr>
        <w:t>4</w:t>
      </w:r>
      <w:r>
        <w:rPr>
          <w:rFonts w:ascii="宋体" w:hAnsi="宋体" w:eastAsia="宋体" w:cs="宋体"/>
          <w:spacing w:val="17"/>
          <w:sz w:val="23"/>
          <w:szCs w:val="23"/>
          <w14:textOutline w14:w="4356" w14:cap="sq" w14:cmpd="sng" w14:algn="ctr">
            <w14:solidFill>
              <w14:srgbClr w14:val="000000"/>
            </w14:solidFill>
            <w14:prstDash w14:val="solid"/>
            <w14:bevel/>
          </w14:textOutline>
        </w:rPr>
        <w:t>)</w:t>
      </w:r>
      <w:r>
        <w:rPr>
          <w:rFonts w:ascii="宋体" w:hAnsi="宋体" w:eastAsia="宋体" w:cs="宋体"/>
          <w:spacing w:val="17"/>
          <w:sz w:val="23"/>
          <w:szCs w:val="23"/>
        </w:rPr>
        <w:t xml:space="preserve"> </w:t>
      </w:r>
      <w:r>
        <w:rPr>
          <w:rFonts w:ascii="宋体" w:hAnsi="宋体" w:eastAsia="宋体" w:cs="宋体"/>
          <w:spacing w:val="17"/>
          <w:sz w:val="23"/>
          <w:szCs w:val="23"/>
          <w14:textOutline w14:w="4356" w14:cap="sq" w14:cmpd="sng" w14:algn="ctr">
            <w14:solidFill>
              <w14:srgbClr w14:val="000000"/>
            </w14:solidFill>
            <w14:prstDash w14:val="solid"/>
            <w14:bevel/>
          </w14:textOutline>
        </w:rPr>
        <w:t>风险事故应急响应</w:t>
      </w:r>
    </w:p>
    <w:p w14:paraId="03628321">
      <w:pPr>
        <w:spacing w:before="184" w:line="225" w:lineRule="auto"/>
        <w:ind w:left="491"/>
        <w:rPr>
          <w:rFonts w:ascii="宋体" w:hAnsi="宋体" w:eastAsia="宋体" w:cs="宋体"/>
          <w:sz w:val="23"/>
          <w:szCs w:val="23"/>
        </w:rPr>
      </w:pPr>
      <w:r>
        <w:rPr>
          <w:rFonts w:ascii="宋体" w:hAnsi="宋体" w:eastAsia="宋体" w:cs="宋体"/>
          <w:spacing w:val="18"/>
          <w:sz w:val="23"/>
          <w:szCs w:val="23"/>
        </w:rPr>
        <w:t>①</w:t>
      </w:r>
      <w:r>
        <w:rPr>
          <w:rFonts w:ascii="宋体" w:hAnsi="宋体" w:eastAsia="宋体" w:cs="宋体"/>
          <w:spacing w:val="10"/>
          <w:sz w:val="23"/>
          <w:szCs w:val="23"/>
        </w:rPr>
        <w:t xml:space="preserve"> </w:t>
      </w:r>
      <w:r>
        <w:rPr>
          <w:rFonts w:ascii="宋体" w:hAnsi="宋体" w:eastAsia="宋体" w:cs="宋体"/>
          <w:spacing w:val="9"/>
          <w:sz w:val="23"/>
          <w:szCs w:val="23"/>
        </w:rPr>
        <w:t>制定地下水风险事故应急响应预案，事故状态确保防控体系的有效运行。</w:t>
      </w:r>
    </w:p>
    <w:p w14:paraId="754D2921">
      <w:pPr>
        <w:spacing w:before="187" w:line="375" w:lineRule="auto"/>
        <w:ind w:left="13" w:right="183" w:firstLine="477"/>
        <w:rPr>
          <w:rFonts w:ascii="宋体" w:hAnsi="宋体" w:eastAsia="宋体" w:cs="宋体"/>
          <w:sz w:val="23"/>
          <w:szCs w:val="23"/>
        </w:rPr>
      </w:pPr>
      <w:r>
        <w:rPr>
          <w:rFonts w:ascii="宋体" w:hAnsi="宋体" w:eastAsia="宋体" w:cs="宋体"/>
          <w:spacing w:val="14"/>
          <w:sz w:val="23"/>
          <w:szCs w:val="23"/>
        </w:rPr>
        <w:t>②</w:t>
      </w:r>
      <w:r>
        <w:rPr>
          <w:rFonts w:ascii="宋体" w:hAnsi="宋体" w:eastAsia="宋体" w:cs="宋体"/>
          <w:spacing w:val="10"/>
          <w:sz w:val="23"/>
          <w:szCs w:val="23"/>
        </w:rPr>
        <w:t xml:space="preserve"> 地下水或土壤受到污染时，应及时采取措施防治污染扩散，并对受污染的地下水和</w:t>
      </w:r>
      <w:r>
        <w:rPr>
          <w:rFonts w:ascii="宋体" w:hAnsi="宋体" w:eastAsia="宋体" w:cs="宋体"/>
          <w:sz w:val="23"/>
          <w:szCs w:val="23"/>
        </w:rPr>
        <w:t xml:space="preserve"> </w:t>
      </w:r>
      <w:r>
        <w:rPr>
          <w:rFonts w:ascii="宋体" w:hAnsi="宋体" w:eastAsia="宋体" w:cs="宋体"/>
          <w:spacing w:val="7"/>
          <w:sz w:val="23"/>
          <w:szCs w:val="23"/>
        </w:rPr>
        <w:t>土壤进行治理。</w:t>
      </w:r>
    </w:p>
    <w:p w14:paraId="2C2FD445">
      <w:pPr>
        <w:spacing w:line="228" w:lineRule="auto"/>
        <w:ind w:left="495"/>
        <w:rPr>
          <w:rFonts w:ascii="宋体" w:hAnsi="宋体" w:eastAsia="宋体" w:cs="宋体"/>
          <w:sz w:val="23"/>
          <w:szCs w:val="23"/>
        </w:rPr>
      </w:pPr>
      <w:r>
        <w:rPr>
          <w:rFonts w:ascii="宋体" w:hAnsi="宋体" w:eastAsia="宋体" w:cs="宋体"/>
          <w:spacing w:val="16"/>
          <w:sz w:val="23"/>
          <w:szCs w:val="23"/>
        </w:rPr>
        <w:t>综</w:t>
      </w:r>
      <w:r>
        <w:rPr>
          <w:rFonts w:ascii="宋体" w:hAnsi="宋体" w:eastAsia="宋体" w:cs="宋体"/>
          <w:spacing w:val="9"/>
          <w:sz w:val="23"/>
          <w:szCs w:val="23"/>
        </w:rPr>
        <w:t>上，本项目采取以上防渗措施后，对地下水的影响是可以接受的。</w:t>
      </w:r>
    </w:p>
    <w:p w14:paraId="41EF2984">
      <w:pPr>
        <w:spacing w:before="181" w:line="228" w:lineRule="auto"/>
        <w:ind w:left="6"/>
        <w:outlineLvl w:val="3"/>
        <w:rPr>
          <w:rFonts w:ascii="宋体" w:hAnsi="宋体" w:eastAsia="宋体" w:cs="宋体"/>
          <w:sz w:val="23"/>
          <w:szCs w:val="23"/>
        </w:rPr>
      </w:pPr>
      <w:r>
        <w:rPr>
          <w:rFonts w:ascii="Times New Roman" w:hAnsi="Times New Roman" w:eastAsia="Times New Roman" w:cs="Times New Roman"/>
          <w:b/>
          <w:bCs/>
          <w:spacing w:val="8"/>
          <w:sz w:val="23"/>
          <w:szCs w:val="23"/>
        </w:rPr>
        <w:t>3</w:t>
      </w:r>
      <w:r>
        <w:rPr>
          <w:rFonts w:ascii="Times New Roman" w:hAnsi="Times New Roman" w:eastAsia="Times New Roman" w:cs="Times New Roman"/>
          <w:b/>
          <w:bCs/>
          <w:spacing w:val="4"/>
          <w:sz w:val="23"/>
          <w:szCs w:val="23"/>
        </w:rPr>
        <w:t>.3.7.3</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14:textOutline w14:w="4356" w14:cap="sq" w14:cmpd="sng" w14:algn="ctr">
            <w14:solidFill>
              <w14:srgbClr w14:val="000000"/>
            </w14:solidFill>
            <w14:prstDash w14:val="solid"/>
            <w14:bevel/>
          </w14:textOutline>
        </w:rPr>
        <w:t>废气</w:t>
      </w:r>
    </w:p>
    <w:p w14:paraId="0F188D9D">
      <w:pPr>
        <w:spacing w:before="183" w:line="378" w:lineRule="auto"/>
        <w:ind w:right="103" w:firstLine="493"/>
        <w:rPr>
          <w:rFonts w:ascii="宋体" w:hAnsi="宋体" w:eastAsia="宋体" w:cs="宋体"/>
          <w:sz w:val="23"/>
          <w:szCs w:val="23"/>
        </w:rPr>
      </w:pPr>
      <w:r>
        <w:rPr>
          <w:rFonts w:ascii="宋体" w:hAnsi="宋体" w:eastAsia="宋体" w:cs="宋体"/>
          <w:spacing w:val="7"/>
          <w:sz w:val="23"/>
          <w:szCs w:val="23"/>
        </w:rPr>
        <w:t>本项目项目饲料直接外购成品颗粒饲料，不进行加工，无粉尘等产生，因此产生的废气</w:t>
      </w:r>
      <w:r>
        <w:rPr>
          <w:rFonts w:ascii="宋体" w:hAnsi="宋体" w:eastAsia="宋体" w:cs="宋体"/>
          <w:sz w:val="23"/>
          <w:szCs w:val="23"/>
        </w:rPr>
        <w:t xml:space="preserve"> </w:t>
      </w:r>
      <w:r>
        <w:rPr>
          <w:rFonts w:ascii="宋体" w:hAnsi="宋体" w:eastAsia="宋体" w:cs="宋体"/>
          <w:spacing w:val="14"/>
          <w:sz w:val="23"/>
          <w:szCs w:val="23"/>
        </w:rPr>
        <w:t>主要</w:t>
      </w:r>
      <w:r>
        <w:rPr>
          <w:rFonts w:ascii="宋体" w:hAnsi="宋体" w:eastAsia="宋体" w:cs="宋体"/>
          <w:spacing w:val="12"/>
          <w:sz w:val="23"/>
          <w:szCs w:val="23"/>
        </w:rPr>
        <w:t>为</w:t>
      </w:r>
      <w:r>
        <w:rPr>
          <w:rFonts w:ascii="宋体" w:hAnsi="宋体" w:eastAsia="宋体" w:cs="宋体"/>
          <w:spacing w:val="7"/>
          <w:sz w:val="23"/>
          <w:szCs w:val="23"/>
        </w:rPr>
        <w:t>猪舍、异位微生物发酵床、集污池所产生的恶臭气体以及食堂油烟。其中恶臭气体是</w:t>
      </w:r>
      <w:r>
        <w:rPr>
          <w:rFonts w:ascii="宋体" w:hAnsi="宋体" w:eastAsia="宋体" w:cs="宋体"/>
          <w:sz w:val="23"/>
          <w:szCs w:val="23"/>
        </w:rPr>
        <w:t xml:space="preserve"> </w:t>
      </w:r>
      <w:r>
        <w:rPr>
          <w:rFonts w:ascii="宋体" w:hAnsi="宋体" w:eastAsia="宋体" w:cs="宋体"/>
          <w:spacing w:val="26"/>
          <w:sz w:val="23"/>
          <w:szCs w:val="23"/>
        </w:rPr>
        <w:t>多</w:t>
      </w:r>
      <w:r>
        <w:rPr>
          <w:rFonts w:ascii="宋体" w:hAnsi="宋体" w:eastAsia="宋体" w:cs="宋体"/>
          <w:spacing w:val="22"/>
          <w:sz w:val="23"/>
          <w:szCs w:val="23"/>
        </w:rPr>
        <w:t>组</w:t>
      </w:r>
      <w:r>
        <w:rPr>
          <w:rFonts w:ascii="宋体" w:hAnsi="宋体" w:eastAsia="宋体" w:cs="宋体"/>
          <w:spacing w:val="13"/>
          <w:sz w:val="23"/>
          <w:szCs w:val="23"/>
        </w:rPr>
        <w:t>分低浓度的混合气体，其化学成分达几十到几百种，与养猪场有关的恶臭气体主要为</w:t>
      </w:r>
      <w:r>
        <w:rPr>
          <w:rFonts w:ascii="宋体" w:hAnsi="宋体" w:eastAsia="宋体" w:cs="宋体"/>
          <w:sz w:val="23"/>
          <w:szCs w:val="23"/>
        </w:rPr>
        <w:t xml:space="preserve"> </w:t>
      </w:r>
      <w:r>
        <w:rPr>
          <w:rFonts w:ascii="Times New Roman" w:hAnsi="Times New Roman" w:eastAsia="Times New Roman" w:cs="Times New Roman"/>
          <w:sz w:val="23"/>
          <w:szCs w:val="23"/>
        </w:rPr>
        <w:t>NH</w:t>
      </w:r>
      <w:r>
        <w:rPr>
          <w:rFonts w:ascii="Times New Roman" w:hAnsi="Times New Roman" w:eastAsia="Times New Roman" w:cs="Times New Roman"/>
          <w:spacing w:val="10"/>
          <w:position w:val="-1"/>
          <w:sz w:val="15"/>
          <w:szCs w:val="15"/>
        </w:rPr>
        <w:t xml:space="preserve">3 </w:t>
      </w:r>
      <w:r>
        <w:rPr>
          <w:rFonts w:ascii="宋体" w:hAnsi="宋体" w:eastAsia="宋体" w:cs="宋体"/>
          <w:spacing w:val="10"/>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10"/>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10"/>
          <w:sz w:val="23"/>
          <w:szCs w:val="23"/>
        </w:rPr>
        <w:t xml:space="preserve"> </w:t>
      </w:r>
      <w:r>
        <w:rPr>
          <w:rFonts w:ascii="宋体" w:hAnsi="宋体" w:eastAsia="宋体" w:cs="宋体"/>
          <w:spacing w:val="10"/>
          <w:sz w:val="23"/>
          <w:szCs w:val="23"/>
        </w:rPr>
        <w:t>，</w:t>
      </w:r>
      <w:r>
        <w:rPr>
          <w:rFonts w:ascii="宋体" w:hAnsi="宋体" w:eastAsia="宋体" w:cs="宋体"/>
          <w:spacing w:val="5"/>
          <w:sz w:val="23"/>
          <w:szCs w:val="23"/>
        </w:rPr>
        <w:t>本项目恶臭气体污染物主要排放方式为无组织排放。 由于恶臭物质的逸出和扩</w:t>
      </w:r>
      <w:r>
        <w:rPr>
          <w:rFonts w:ascii="宋体" w:hAnsi="宋体" w:eastAsia="宋体" w:cs="宋体"/>
          <w:sz w:val="23"/>
          <w:szCs w:val="23"/>
        </w:rPr>
        <w:t xml:space="preserve"> </w:t>
      </w:r>
      <w:r>
        <w:rPr>
          <w:rFonts w:ascii="宋体" w:hAnsi="宋体" w:eastAsia="宋体" w:cs="宋体"/>
          <w:spacing w:val="6"/>
          <w:sz w:val="23"/>
          <w:szCs w:val="23"/>
        </w:rPr>
        <w:t>散机理复杂，废气</w:t>
      </w:r>
      <w:r>
        <w:rPr>
          <w:rFonts w:ascii="宋体" w:hAnsi="宋体" w:eastAsia="宋体" w:cs="宋体"/>
          <w:spacing w:val="5"/>
          <w:sz w:val="23"/>
          <w:szCs w:val="23"/>
        </w:rPr>
        <w:t>源</w:t>
      </w:r>
      <w:r>
        <w:rPr>
          <w:rFonts w:ascii="宋体" w:hAnsi="宋体" w:eastAsia="宋体" w:cs="宋体"/>
          <w:spacing w:val="3"/>
          <w:sz w:val="23"/>
          <w:szCs w:val="23"/>
        </w:rPr>
        <w:t>强难于计算，因此本评价主要通过类比同类工程，计算恶臭物质排放量。</w:t>
      </w:r>
    </w:p>
    <w:p w14:paraId="3BFD7FA6">
      <w:pPr>
        <w:sectPr>
          <w:headerReference r:id="rId123" w:type="default"/>
          <w:footerReference r:id="rId124" w:type="default"/>
          <w:pgSz w:w="11907" w:h="16840"/>
          <w:pgMar w:top="829" w:right="950" w:bottom="1139" w:left="1273" w:header="595" w:footer="953" w:gutter="0"/>
          <w:cols w:space="720" w:num="1"/>
        </w:sectPr>
      </w:pPr>
    </w:p>
    <w:p w14:paraId="0716E551">
      <w:pPr>
        <w:spacing w:before="146" w:line="303" w:lineRule="exact"/>
        <w:ind w:left="604"/>
        <w:rPr>
          <w:rFonts w:ascii="宋体" w:hAnsi="宋体" w:eastAsia="宋体" w:cs="宋体"/>
          <w:sz w:val="23"/>
          <w:szCs w:val="23"/>
        </w:rPr>
      </w:pPr>
      <w:r>
        <w:rPr>
          <w:rFonts w:ascii="Times New Roman" w:hAnsi="Times New Roman" w:eastAsia="Times New Roman" w:cs="Times New Roman"/>
          <w:b/>
          <w:bCs/>
          <w:spacing w:val="-8"/>
          <w:position w:val="1"/>
          <w:sz w:val="23"/>
          <w:szCs w:val="23"/>
        </w:rPr>
        <w:t>1</w:t>
      </w:r>
      <w:r>
        <w:rPr>
          <w:rFonts w:ascii="Times New Roman" w:hAnsi="Times New Roman" w:eastAsia="Times New Roman" w:cs="Times New Roman"/>
          <w:spacing w:val="-7"/>
          <w:position w:val="1"/>
          <w:sz w:val="23"/>
          <w:szCs w:val="23"/>
        </w:rPr>
        <w:t xml:space="preserve"> </w:t>
      </w:r>
      <w:r>
        <w:rPr>
          <w:rFonts w:ascii="宋体" w:hAnsi="宋体" w:eastAsia="宋体" w:cs="宋体"/>
          <w:spacing w:val="-7"/>
          <w:position w:val="1"/>
          <w:sz w:val="23"/>
          <w:szCs w:val="23"/>
          <w14:textOutline w14:w="4356" w14:cap="sq" w14:cmpd="sng" w14:algn="ctr">
            <w14:solidFill>
              <w14:srgbClr w14:val="000000"/>
            </w14:solidFill>
            <w14:prstDash w14:val="solid"/>
            <w14:bevel/>
          </w14:textOutline>
        </w:rPr>
        <w:t>、恶臭</w:t>
      </w:r>
    </w:p>
    <w:p w14:paraId="1467F805">
      <w:pPr>
        <w:spacing w:before="162" w:line="375" w:lineRule="auto"/>
        <w:ind w:left="118" w:right="145" w:firstLine="480"/>
        <w:rPr>
          <w:rFonts w:ascii="宋体" w:hAnsi="宋体" w:eastAsia="宋体" w:cs="宋体"/>
          <w:sz w:val="23"/>
          <w:szCs w:val="23"/>
        </w:rPr>
      </w:pPr>
      <w:r>
        <w:rPr>
          <w:rFonts w:ascii="宋体" w:hAnsi="宋体" w:eastAsia="宋体" w:cs="宋体"/>
          <w:spacing w:val="7"/>
          <w:sz w:val="23"/>
          <w:szCs w:val="23"/>
        </w:rPr>
        <w:t>恶臭是本建设项目大气主要污染物。养殖项目恶臭来自养殖区、异位微生物发酵床，产</w:t>
      </w:r>
      <w:r>
        <w:rPr>
          <w:rFonts w:ascii="宋体" w:hAnsi="宋体" w:eastAsia="宋体" w:cs="宋体"/>
          <w:sz w:val="23"/>
          <w:szCs w:val="23"/>
        </w:rPr>
        <w:t xml:space="preserve"> </w:t>
      </w:r>
      <w:r>
        <w:rPr>
          <w:rFonts w:ascii="宋体" w:hAnsi="宋体" w:eastAsia="宋体" w:cs="宋体"/>
          <w:spacing w:val="9"/>
          <w:sz w:val="23"/>
          <w:szCs w:val="23"/>
        </w:rPr>
        <w:t>生源主要为猪粪尿。据资料，猪粪中可散发出臭味化合物共有</w:t>
      </w:r>
      <w:r>
        <w:rPr>
          <w:rFonts w:ascii="Times New Roman" w:hAnsi="Times New Roman" w:eastAsia="Times New Roman" w:cs="Times New Roman"/>
          <w:spacing w:val="9"/>
          <w:sz w:val="23"/>
          <w:szCs w:val="23"/>
        </w:rPr>
        <w:t xml:space="preserve">75~ 168 </w:t>
      </w:r>
      <w:r>
        <w:rPr>
          <w:rFonts w:ascii="宋体" w:hAnsi="宋体" w:eastAsia="宋体" w:cs="宋体"/>
          <w:spacing w:val="9"/>
          <w:sz w:val="23"/>
          <w:szCs w:val="23"/>
        </w:rPr>
        <w:t>种之多，生猪体内</w:t>
      </w:r>
      <w:r>
        <w:rPr>
          <w:rFonts w:ascii="宋体" w:hAnsi="宋体" w:eastAsia="宋体" w:cs="宋体"/>
          <w:spacing w:val="5"/>
          <w:sz w:val="23"/>
          <w:szCs w:val="23"/>
        </w:rPr>
        <w:t>粗</w:t>
      </w:r>
      <w:r>
        <w:rPr>
          <w:rFonts w:ascii="宋体" w:hAnsi="宋体" w:eastAsia="宋体" w:cs="宋体"/>
          <w:sz w:val="23"/>
          <w:szCs w:val="23"/>
        </w:rPr>
        <w:t xml:space="preserve"> </w:t>
      </w:r>
      <w:r>
        <w:rPr>
          <w:rFonts w:ascii="宋体" w:hAnsi="宋体" w:eastAsia="宋体" w:cs="宋体"/>
          <w:spacing w:val="12"/>
          <w:sz w:val="23"/>
          <w:szCs w:val="23"/>
        </w:rPr>
        <w:t>蛋</w:t>
      </w:r>
      <w:r>
        <w:rPr>
          <w:rFonts w:ascii="宋体" w:hAnsi="宋体" w:eastAsia="宋体" w:cs="宋体"/>
          <w:spacing w:val="7"/>
          <w:sz w:val="23"/>
          <w:szCs w:val="23"/>
        </w:rPr>
        <w:t>白的代谢产物主要是：氨、硫化氢、醇类、醛类、酚类、酮类氨、酰胺、吲哚等碳水化合</w:t>
      </w:r>
      <w:r>
        <w:rPr>
          <w:rFonts w:ascii="宋体" w:hAnsi="宋体" w:eastAsia="宋体" w:cs="宋体"/>
          <w:sz w:val="23"/>
          <w:szCs w:val="23"/>
        </w:rPr>
        <w:t xml:space="preserve"> </w:t>
      </w:r>
      <w:r>
        <w:rPr>
          <w:rFonts w:ascii="宋体" w:hAnsi="宋体" w:eastAsia="宋体" w:cs="宋体"/>
          <w:spacing w:val="14"/>
          <w:sz w:val="23"/>
          <w:szCs w:val="23"/>
        </w:rPr>
        <w:t>物</w:t>
      </w:r>
      <w:r>
        <w:rPr>
          <w:rFonts w:ascii="宋体" w:hAnsi="宋体" w:eastAsia="宋体" w:cs="宋体"/>
          <w:spacing w:val="7"/>
          <w:sz w:val="23"/>
          <w:szCs w:val="23"/>
        </w:rPr>
        <w:t>和含氮有机物，它们在有氧的条件下可分解成二氧化碳、水和硝酸盐而无害化。若粪便大</w:t>
      </w:r>
      <w:r>
        <w:rPr>
          <w:rFonts w:ascii="宋体" w:hAnsi="宋体" w:eastAsia="宋体" w:cs="宋体"/>
          <w:sz w:val="23"/>
          <w:szCs w:val="23"/>
        </w:rPr>
        <w:t xml:space="preserve"> </w:t>
      </w:r>
      <w:r>
        <w:rPr>
          <w:rFonts w:ascii="宋体" w:hAnsi="宋体" w:eastAsia="宋体" w:cs="宋体"/>
          <w:spacing w:val="6"/>
          <w:sz w:val="23"/>
          <w:szCs w:val="23"/>
        </w:rPr>
        <w:t>量堆积、</w:t>
      </w:r>
      <w:r>
        <w:rPr>
          <w:rFonts w:ascii="宋体" w:hAnsi="宋体" w:eastAsia="宋体" w:cs="宋体"/>
          <w:spacing w:val="5"/>
          <w:sz w:val="23"/>
          <w:szCs w:val="23"/>
        </w:rPr>
        <w:t>它</w:t>
      </w:r>
      <w:r>
        <w:rPr>
          <w:rFonts w:ascii="宋体" w:hAnsi="宋体" w:eastAsia="宋体" w:cs="宋体"/>
          <w:spacing w:val="3"/>
          <w:sz w:val="23"/>
          <w:szCs w:val="23"/>
        </w:rPr>
        <w:t>们在无氧的条件下发酵。养猪场恶臭主要污染物成分为有机物腐败时产生的氨气、</w:t>
      </w:r>
      <w:r>
        <w:rPr>
          <w:rFonts w:ascii="宋体" w:hAnsi="宋体" w:eastAsia="宋体" w:cs="宋体"/>
          <w:sz w:val="23"/>
          <w:szCs w:val="23"/>
        </w:rPr>
        <w:t xml:space="preserve"> </w:t>
      </w:r>
      <w:r>
        <w:rPr>
          <w:rFonts w:ascii="宋体" w:hAnsi="宋体" w:eastAsia="宋体" w:cs="宋体"/>
          <w:spacing w:val="11"/>
          <w:sz w:val="23"/>
          <w:szCs w:val="23"/>
        </w:rPr>
        <w:t>动</w:t>
      </w:r>
      <w:r>
        <w:rPr>
          <w:rFonts w:ascii="宋体" w:hAnsi="宋体" w:eastAsia="宋体" w:cs="宋体"/>
          <w:spacing w:val="9"/>
          <w:sz w:val="23"/>
          <w:szCs w:val="23"/>
        </w:rPr>
        <w:t>物有机体中蛋白质腐败时所产生的硫化氢气体。</w:t>
      </w:r>
    </w:p>
    <w:p w14:paraId="73A29601">
      <w:pPr>
        <w:tabs>
          <w:tab w:val="left" w:pos="243"/>
        </w:tabs>
        <w:spacing w:before="1" w:line="374" w:lineRule="auto"/>
        <w:ind w:left="120" w:firstLine="478"/>
        <w:rPr>
          <w:rFonts w:ascii="宋体" w:hAnsi="宋体" w:eastAsia="宋体" w:cs="宋体"/>
          <w:sz w:val="23"/>
          <w:szCs w:val="23"/>
        </w:rPr>
      </w:pPr>
      <w:r>
        <w:rPr>
          <w:rFonts w:ascii="宋体" w:hAnsi="宋体" w:eastAsia="宋体" w:cs="宋体"/>
          <w:spacing w:val="12"/>
          <w:sz w:val="23"/>
          <w:szCs w:val="23"/>
        </w:rPr>
        <w:t>根据恶臭物</w:t>
      </w:r>
      <w:r>
        <w:rPr>
          <w:rFonts w:ascii="宋体" w:hAnsi="宋体" w:eastAsia="宋体" w:cs="宋体"/>
          <w:spacing w:val="11"/>
          <w:sz w:val="23"/>
          <w:szCs w:val="23"/>
        </w:rPr>
        <w:t>质</w:t>
      </w:r>
      <w:r>
        <w:rPr>
          <w:rFonts w:ascii="宋体" w:hAnsi="宋体" w:eastAsia="宋体" w:cs="宋体"/>
          <w:spacing w:val="6"/>
          <w:sz w:val="23"/>
          <w:szCs w:val="23"/>
        </w:rPr>
        <w:t xml:space="preserve">对感官作用的程度，按臭味强度分为 </w:t>
      </w:r>
      <w:r>
        <w:rPr>
          <w:rFonts w:ascii="Times New Roman" w:hAnsi="Times New Roman" w:eastAsia="Times New Roman" w:cs="Times New Roman"/>
          <w:spacing w:val="6"/>
          <w:sz w:val="23"/>
          <w:szCs w:val="23"/>
        </w:rPr>
        <w:t xml:space="preserve">5 </w:t>
      </w:r>
      <w:r>
        <w:rPr>
          <w:rFonts w:ascii="宋体" w:hAnsi="宋体" w:eastAsia="宋体" w:cs="宋体"/>
          <w:spacing w:val="6"/>
          <w:sz w:val="23"/>
          <w:szCs w:val="23"/>
        </w:rPr>
        <w:t xml:space="preserve">级 (详见表 </w:t>
      </w:r>
      <w:r>
        <w:rPr>
          <w:rFonts w:ascii="Times New Roman" w:hAnsi="Times New Roman" w:eastAsia="Times New Roman" w:cs="Times New Roman"/>
          <w:spacing w:val="6"/>
          <w:sz w:val="23"/>
          <w:szCs w:val="23"/>
        </w:rPr>
        <w:t>3.2-3</w:t>
      </w:r>
      <w:r>
        <w:rPr>
          <w:rFonts w:ascii="宋体" w:hAnsi="宋体" w:eastAsia="宋体" w:cs="宋体"/>
          <w:spacing w:val="6"/>
          <w:sz w:val="23"/>
          <w:szCs w:val="23"/>
        </w:rPr>
        <w:t>) 。我国环境卫</w:t>
      </w:r>
      <w:r>
        <w:rPr>
          <w:rFonts w:ascii="宋体" w:hAnsi="宋体" w:eastAsia="宋体" w:cs="宋体"/>
          <w:sz w:val="23"/>
          <w:szCs w:val="23"/>
        </w:rPr>
        <w:t xml:space="preserve">  </w:t>
      </w:r>
      <w:r>
        <w:rPr>
          <w:rFonts w:ascii="宋体" w:hAnsi="宋体" w:eastAsia="宋体" w:cs="宋体"/>
          <w:spacing w:val="24"/>
          <w:sz w:val="23"/>
          <w:szCs w:val="23"/>
        </w:rPr>
        <w:t>生标</w:t>
      </w:r>
      <w:r>
        <w:rPr>
          <w:rFonts w:ascii="宋体" w:hAnsi="宋体" w:eastAsia="宋体" w:cs="宋体"/>
          <w:spacing w:val="16"/>
          <w:sz w:val="23"/>
          <w:szCs w:val="23"/>
        </w:rPr>
        <w:t>准</w:t>
      </w:r>
      <w:r>
        <w:rPr>
          <w:rFonts w:ascii="宋体" w:hAnsi="宋体" w:eastAsia="宋体" w:cs="宋体"/>
          <w:spacing w:val="12"/>
          <w:sz w:val="23"/>
          <w:szCs w:val="23"/>
        </w:rPr>
        <w:t xml:space="preserve">中 ，凡按感官作用阀值制定均采用 </w:t>
      </w:r>
      <w:r>
        <w:rPr>
          <w:rFonts w:ascii="Times New Roman" w:hAnsi="Times New Roman" w:eastAsia="Times New Roman" w:cs="Times New Roman"/>
          <w:spacing w:val="12"/>
          <w:sz w:val="23"/>
          <w:szCs w:val="23"/>
        </w:rPr>
        <w:t xml:space="preserve">2   </w:t>
      </w:r>
      <w:r>
        <w:rPr>
          <w:rFonts w:ascii="宋体" w:hAnsi="宋体" w:eastAsia="宋体" w:cs="宋体"/>
          <w:spacing w:val="12"/>
          <w:sz w:val="23"/>
          <w:szCs w:val="23"/>
        </w:rPr>
        <w:t>级标准 。  《畜禽养殖业污染物排放标准》</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12"/>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10"/>
          <w:sz w:val="23"/>
          <w:szCs w:val="23"/>
        </w:rPr>
        <w:t>1</w:t>
      </w:r>
      <w:r>
        <w:rPr>
          <w:rFonts w:ascii="Times New Roman" w:hAnsi="Times New Roman" w:eastAsia="Times New Roman" w:cs="Times New Roman"/>
          <w:spacing w:val="6"/>
          <w:sz w:val="23"/>
          <w:szCs w:val="23"/>
        </w:rPr>
        <w:t>8596-2001</w:t>
      </w:r>
      <w:r>
        <w:rPr>
          <w:rFonts w:ascii="宋体" w:hAnsi="宋体" w:eastAsia="宋体" w:cs="宋体"/>
          <w:spacing w:val="6"/>
          <w:sz w:val="23"/>
          <w:szCs w:val="23"/>
        </w:rPr>
        <w:t>) 中臭气浓度 (无量纲) 阀值是</w:t>
      </w:r>
      <w:r>
        <w:rPr>
          <w:rFonts w:ascii="Times New Roman" w:hAnsi="Times New Roman" w:eastAsia="Times New Roman" w:cs="Times New Roman"/>
          <w:spacing w:val="6"/>
          <w:sz w:val="23"/>
          <w:szCs w:val="23"/>
        </w:rPr>
        <w:t>70</w:t>
      </w:r>
      <w:r>
        <w:rPr>
          <w:rFonts w:ascii="宋体" w:hAnsi="宋体" w:eastAsia="宋体" w:cs="宋体"/>
          <w:spacing w:val="6"/>
          <w:sz w:val="23"/>
          <w:szCs w:val="23"/>
        </w:rPr>
        <w:t>。</w:t>
      </w:r>
    </w:p>
    <w:p w14:paraId="3F619B6D">
      <w:pPr>
        <w:spacing w:before="1" w:line="228" w:lineRule="auto"/>
        <w:ind w:left="3340"/>
        <w:rPr>
          <w:rFonts w:ascii="黑体" w:hAnsi="黑体" w:eastAsia="黑体" w:cs="黑体"/>
          <w:sz w:val="23"/>
          <w:szCs w:val="23"/>
        </w:rPr>
      </w:pPr>
      <w:r>
        <w:rPr>
          <w:rFonts w:ascii="黑体" w:hAnsi="黑体" w:eastAsia="黑体" w:cs="黑体"/>
          <w:spacing w:val="4"/>
          <w:sz w:val="23"/>
          <w:szCs w:val="23"/>
        </w:rPr>
        <w:t xml:space="preserve">表 </w:t>
      </w:r>
      <w:r>
        <w:rPr>
          <w:rFonts w:ascii="Times New Roman" w:hAnsi="Times New Roman" w:eastAsia="Times New Roman" w:cs="Times New Roman"/>
          <w:spacing w:val="4"/>
          <w:sz w:val="23"/>
          <w:szCs w:val="23"/>
        </w:rPr>
        <w:t>3.3</w:t>
      </w:r>
      <w:r>
        <w:rPr>
          <w:rFonts w:ascii="Times New Roman" w:hAnsi="Times New Roman" w:eastAsia="Times New Roman" w:cs="Times New Roman"/>
          <w:spacing w:val="2"/>
          <w:sz w:val="23"/>
          <w:szCs w:val="23"/>
        </w:rPr>
        <w:t xml:space="preserve">- 11    </w:t>
      </w:r>
      <w:r>
        <w:rPr>
          <w:rFonts w:ascii="黑体" w:hAnsi="黑体" w:eastAsia="黑体" w:cs="黑体"/>
          <w:spacing w:val="2"/>
          <w:sz w:val="23"/>
          <w:szCs w:val="23"/>
        </w:rPr>
        <w:t>嗅和味的程度分级</w:t>
      </w:r>
    </w:p>
    <w:p w14:paraId="1E947034">
      <w:pPr>
        <w:spacing w:line="111" w:lineRule="exact"/>
      </w:pPr>
    </w:p>
    <w:tbl>
      <w:tblPr>
        <w:tblStyle w:val="4"/>
        <w:tblW w:w="9496" w:type="dxa"/>
        <w:tblInd w:w="10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87"/>
        <w:gridCol w:w="2003"/>
        <w:gridCol w:w="5106"/>
      </w:tblGrid>
      <w:tr w14:paraId="710EC0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2387" w:type="dxa"/>
            <w:tcBorders>
              <w:left w:val="nil"/>
            </w:tcBorders>
          </w:tcPr>
          <w:p w14:paraId="3FA138EE">
            <w:pPr>
              <w:spacing w:before="57" w:line="228" w:lineRule="auto"/>
              <w:ind w:left="914"/>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级别</w:t>
            </w:r>
          </w:p>
        </w:tc>
        <w:tc>
          <w:tcPr>
            <w:tcW w:w="2003" w:type="dxa"/>
          </w:tcPr>
          <w:p w14:paraId="2711EB96">
            <w:pPr>
              <w:spacing w:before="57" w:line="228" w:lineRule="auto"/>
              <w:ind w:left="802"/>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强</w:t>
            </w:r>
            <w:r>
              <w:rPr>
                <w:rFonts w:ascii="宋体" w:hAnsi="宋体" w:eastAsia="宋体" w:cs="宋体"/>
                <w:spacing w:val="3"/>
                <w:sz w:val="20"/>
                <w:szCs w:val="20"/>
                <w14:textOutline w14:w="3797" w14:cap="sq" w14:cmpd="sng" w14:algn="ctr">
                  <w14:solidFill>
                    <w14:srgbClr w14:val="000000"/>
                  </w14:solidFill>
                  <w14:prstDash w14:val="solid"/>
                  <w14:bevel/>
                </w14:textOutline>
              </w:rPr>
              <w:t>度</w:t>
            </w:r>
          </w:p>
        </w:tc>
        <w:tc>
          <w:tcPr>
            <w:tcW w:w="5106" w:type="dxa"/>
            <w:tcBorders>
              <w:right w:val="nil"/>
            </w:tcBorders>
          </w:tcPr>
          <w:p w14:paraId="7587AD42">
            <w:pPr>
              <w:spacing w:before="56" w:line="228" w:lineRule="auto"/>
              <w:ind w:left="2350"/>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说</w:t>
            </w:r>
            <w:r>
              <w:rPr>
                <w:rFonts w:ascii="宋体" w:hAnsi="宋体" w:eastAsia="宋体" w:cs="宋体"/>
                <w:spacing w:val="4"/>
                <w:sz w:val="20"/>
                <w:szCs w:val="20"/>
                <w14:textOutline w14:w="3797" w14:cap="sq" w14:cmpd="sng" w14:algn="ctr">
                  <w14:solidFill>
                    <w14:srgbClr w14:val="000000"/>
                  </w14:solidFill>
                  <w14:prstDash w14:val="solid"/>
                  <w14:bevel/>
                </w14:textOutline>
              </w:rPr>
              <w:t>明</w:t>
            </w:r>
          </w:p>
        </w:tc>
      </w:tr>
      <w:tr w14:paraId="55ACF5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2387" w:type="dxa"/>
            <w:tcBorders>
              <w:left w:val="nil"/>
            </w:tcBorders>
          </w:tcPr>
          <w:p w14:paraId="5DE99A8B">
            <w:pPr>
              <w:spacing w:before="89" w:line="195" w:lineRule="auto"/>
              <w:ind w:left="1155"/>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2003" w:type="dxa"/>
          </w:tcPr>
          <w:p w14:paraId="65DAA3C8">
            <w:pPr>
              <w:spacing w:before="32" w:line="228" w:lineRule="auto"/>
              <w:ind w:left="901"/>
              <w:rPr>
                <w:rFonts w:ascii="宋体" w:hAnsi="宋体" w:eastAsia="宋体" w:cs="宋体"/>
                <w:sz w:val="20"/>
                <w:szCs w:val="20"/>
              </w:rPr>
            </w:pPr>
            <w:r>
              <w:rPr>
                <w:rFonts w:ascii="宋体" w:hAnsi="宋体" w:eastAsia="宋体" w:cs="宋体"/>
                <w:sz w:val="20"/>
                <w:szCs w:val="20"/>
              </w:rPr>
              <w:t>无</w:t>
            </w:r>
          </w:p>
        </w:tc>
        <w:tc>
          <w:tcPr>
            <w:tcW w:w="5106" w:type="dxa"/>
            <w:tcBorders>
              <w:right w:val="nil"/>
            </w:tcBorders>
          </w:tcPr>
          <w:p w14:paraId="0FCA0EF8">
            <w:pPr>
              <w:spacing w:before="31" w:line="228" w:lineRule="auto"/>
              <w:ind w:left="1937"/>
              <w:rPr>
                <w:rFonts w:ascii="宋体" w:hAnsi="宋体" w:eastAsia="宋体" w:cs="宋体"/>
                <w:sz w:val="20"/>
                <w:szCs w:val="20"/>
              </w:rPr>
            </w:pPr>
            <w:r>
              <w:rPr>
                <w:rFonts w:ascii="宋体" w:hAnsi="宋体" w:eastAsia="宋体" w:cs="宋体"/>
                <w:spacing w:val="8"/>
                <w:sz w:val="20"/>
                <w:szCs w:val="20"/>
              </w:rPr>
              <w:t>无</w:t>
            </w:r>
            <w:r>
              <w:rPr>
                <w:rFonts w:ascii="宋体" w:hAnsi="宋体" w:eastAsia="宋体" w:cs="宋体"/>
                <w:spacing w:val="6"/>
                <w:sz w:val="20"/>
                <w:szCs w:val="20"/>
              </w:rPr>
              <w:t>任何嗅和味</w:t>
            </w:r>
          </w:p>
        </w:tc>
      </w:tr>
      <w:tr w14:paraId="32DB1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387" w:type="dxa"/>
            <w:tcBorders>
              <w:left w:val="nil"/>
            </w:tcBorders>
          </w:tcPr>
          <w:p w14:paraId="674DF69B">
            <w:pPr>
              <w:spacing w:before="88" w:line="195" w:lineRule="auto"/>
              <w:ind w:left="1172"/>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2003" w:type="dxa"/>
          </w:tcPr>
          <w:p w14:paraId="34FA81E2">
            <w:pPr>
              <w:spacing w:before="32" w:line="228" w:lineRule="auto"/>
              <w:ind w:left="797"/>
              <w:rPr>
                <w:rFonts w:ascii="宋体" w:hAnsi="宋体" w:eastAsia="宋体" w:cs="宋体"/>
                <w:sz w:val="20"/>
                <w:szCs w:val="20"/>
              </w:rPr>
            </w:pPr>
            <w:r>
              <w:rPr>
                <w:rFonts w:ascii="宋体" w:hAnsi="宋体" w:eastAsia="宋体" w:cs="宋体"/>
                <w:spacing w:val="5"/>
                <w:sz w:val="20"/>
                <w:szCs w:val="20"/>
              </w:rPr>
              <w:t>微</w:t>
            </w:r>
            <w:r>
              <w:rPr>
                <w:rFonts w:ascii="宋体" w:hAnsi="宋体" w:eastAsia="宋体" w:cs="宋体"/>
                <w:spacing w:val="4"/>
                <w:sz w:val="20"/>
                <w:szCs w:val="20"/>
              </w:rPr>
              <w:t>弱</w:t>
            </w:r>
          </w:p>
        </w:tc>
        <w:tc>
          <w:tcPr>
            <w:tcW w:w="5106" w:type="dxa"/>
            <w:tcBorders>
              <w:right w:val="nil"/>
            </w:tcBorders>
          </w:tcPr>
          <w:p w14:paraId="09559252">
            <w:pPr>
              <w:spacing w:before="32" w:line="228" w:lineRule="auto"/>
              <w:ind w:left="568"/>
              <w:rPr>
                <w:rFonts w:ascii="宋体" w:hAnsi="宋体" w:eastAsia="宋体" w:cs="宋体"/>
                <w:sz w:val="20"/>
                <w:szCs w:val="20"/>
              </w:rPr>
            </w:pPr>
            <w:r>
              <w:rPr>
                <w:rFonts w:ascii="宋体" w:hAnsi="宋体" w:eastAsia="宋体" w:cs="宋体"/>
                <w:spacing w:val="10"/>
                <w:sz w:val="20"/>
                <w:szCs w:val="20"/>
              </w:rPr>
              <w:t>一般</w:t>
            </w:r>
            <w:r>
              <w:rPr>
                <w:rFonts w:ascii="宋体" w:hAnsi="宋体" w:eastAsia="宋体" w:cs="宋体"/>
                <w:spacing w:val="6"/>
                <w:sz w:val="20"/>
                <w:szCs w:val="20"/>
              </w:rPr>
              <w:t>人</w:t>
            </w:r>
            <w:r>
              <w:rPr>
                <w:rFonts w:ascii="宋体" w:hAnsi="宋体" w:eastAsia="宋体" w:cs="宋体"/>
                <w:spacing w:val="5"/>
                <w:sz w:val="20"/>
                <w:szCs w:val="20"/>
              </w:rPr>
              <w:t>难以察觉，但嗅、味敏感的人可以发觉</w:t>
            </w:r>
          </w:p>
        </w:tc>
      </w:tr>
      <w:tr w14:paraId="61CAAE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387" w:type="dxa"/>
            <w:tcBorders>
              <w:left w:val="nil"/>
            </w:tcBorders>
          </w:tcPr>
          <w:p w14:paraId="1A2AF0ED">
            <w:pPr>
              <w:spacing w:before="88" w:line="195" w:lineRule="auto"/>
              <w:ind w:left="115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2003" w:type="dxa"/>
          </w:tcPr>
          <w:p w14:paraId="7C697535">
            <w:pPr>
              <w:spacing w:before="33" w:line="229" w:lineRule="auto"/>
              <w:ind w:left="903"/>
              <w:rPr>
                <w:rFonts w:ascii="宋体" w:hAnsi="宋体" w:eastAsia="宋体" w:cs="宋体"/>
                <w:sz w:val="20"/>
                <w:szCs w:val="20"/>
              </w:rPr>
            </w:pPr>
            <w:r>
              <w:rPr>
                <w:rFonts w:ascii="宋体" w:hAnsi="宋体" w:eastAsia="宋体" w:cs="宋体"/>
                <w:sz w:val="20"/>
                <w:szCs w:val="20"/>
              </w:rPr>
              <w:t>弱</w:t>
            </w:r>
          </w:p>
        </w:tc>
        <w:tc>
          <w:tcPr>
            <w:tcW w:w="5106" w:type="dxa"/>
            <w:tcBorders>
              <w:right w:val="nil"/>
            </w:tcBorders>
          </w:tcPr>
          <w:p w14:paraId="74C26C89">
            <w:pPr>
              <w:spacing w:before="33" w:line="228" w:lineRule="auto"/>
              <w:ind w:left="1833"/>
              <w:rPr>
                <w:rFonts w:ascii="宋体" w:hAnsi="宋体" w:eastAsia="宋体" w:cs="宋体"/>
                <w:sz w:val="20"/>
                <w:szCs w:val="20"/>
              </w:rPr>
            </w:pPr>
            <w:r>
              <w:rPr>
                <w:rFonts w:ascii="宋体" w:hAnsi="宋体" w:eastAsia="宋体" w:cs="宋体"/>
                <w:spacing w:val="9"/>
                <w:sz w:val="20"/>
                <w:szCs w:val="20"/>
              </w:rPr>
              <w:t>一</w:t>
            </w:r>
            <w:r>
              <w:rPr>
                <w:rFonts w:ascii="宋体" w:hAnsi="宋体" w:eastAsia="宋体" w:cs="宋体"/>
                <w:spacing w:val="6"/>
                <w:sz w:val="20"/>
                <w:szCs w:val="20"/>
              </w:rPr>
              <w:t>般人刚能察觉</w:t>
            </w:r>
          </w:p>
        </w:tc>
      </w:tr>
      <w:tr w14:paraId="6DB181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387" w:type="dxa"/>
            <w:tcBorders>
              <w:left w:val="nil"/>
            </w:tcBorders>
          </w:tcPr>
          <w:p w14:paraId="37911E73">
            <w:pPr>
              <w:spacing w:before="89" w:line="195" w:lineRule="auto"/>
              <w:ind w:left="1156"/>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2003" w:type="dxa"/>
          </w:tcPr>
          <w:p w14:paraId="5549FFBD">
            <w:pPr>
              <w:spacing w:before="36" w:line="228" w:lineRule="auto"/>
              <w:ind w:left="816"/>
              <w:rPr>
                <w:rFonts w:ascii="宋体" w:hAnsi="宋体" w:eastAsia="宋体" w:cs="宋体"/>
                <w:sz w:val="20"/>
                <w:szCs w:val="20"/>
              </w:rPr>
            </w:pPr>
            <w:r>
              <w:rPr>
                <w:rFonts w:ascii="宋体" w:hAnsi="宋体" w:eastAsia="宋体" w:cs="宋体"/>
                <w:spacing w:val="-5"/>
                <w:sz w:val="20"/>
                <w:szCs w:val="20"/>
              </w:rPr>
              <w:t>明显</w:t>
            </w:r>
          </w:p>
        </w:tc>
        <w:tc>
          <w:tcPr>
            <w:tcW w:w="5106" w:type="dxa"/>
            <w:tcBorders>
              <w:right w:val="nil"/>
            </w:tcBorders>
          </w:tcPr>
          <w:p w14:paraId="12E4C6F6">
            <w:pPr>
              <w:spacing w:before="36" w:line="228" w:lineRule="auto"/>
              <w:ind w:left="1958"/>
              <w:rPr>
                <w:rFonts w:ascii="宋体" w:hAnsi="宋体" w:eastAsia="宋体" w:cs="宋体"/>
                <w:sz w:val="20"/>
                <w:szCs w:val="20"/>
              </w:rPr>
            </w:pPr>
            <w:r>
              <w:rPr>
                <w:rFonts w:ascii="宋体" w:hAnsi="宋体" w:eastAsia="宋体" w:cs="宋体"/>
                <w:spacing w:val="3"/>
                <w:sz w:val="20"/>
                <w:szCs w:val="20"/>
              </w:rPr>
              <w:t>已能明显察</w:t>
            </w:r>
            <w:r>
              <w:rPr>
                <w:rFonts w:ascii="宋体" w:hAnsi="宋体" w:eastAsia="宋体" w:cs="宋体"/>
                <w:spacing w:val="2"/>
                <w:sz w:val="20"/>
                <w:szCs w:val="20"/>
              </w:rPr>
              <w:t>觉</w:t>
            </w:r>
          </w:p>
        </w:tc>
      </w:tr>
      <w:tr w14:paraId="1D4EAD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387" w:type="dxa"/>
            <w:tcBorders>
              <w:left w:val="nil"/>
            </w:tcBorders>
          </w:tcPr>
          <w:p w14:paraId="4DD1D0D6">
            <w:pPr>
              <w:spacing w:before="88" w:line="195" w:lineRule="auto"/>
              <w:ind w:left="115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2003" w:type="dxa"/>
          </w:tcPr>
          <w:p w14:paraId="05459210">
            <w:pPr>
              <w:spacing w:before="35" w:line="231" w:lineRule="auto"/>
              <w:ind w:left="905"/>
              <w:rPr>
                <w:rFonts w:ascii="宋体" w:hAnsi="宋体" w:eastAsia="宋体" w:cs="宋体"/>
                <w:sz w:val="20"/>
                <w:szCs w:val="20"/>
              </w:rPr>
            </w:pPr>
            <w:r>
              <w:rPr>
                <w:rFonts w:ascii="宋体" w:hAnsi="宋体" w:eastAsia="宋体" w:cs="宋体"/>
                <w:sz w:val="20"/>
                <w:szCs w:val="20"/>
              </w:rPr>
              <w:t>强</w:t>
            </w:r>
          </w:p>
        </w:tc>
        <w:tc>
          <w:tcPr>
            <w:tcW w:w="5106" w:type="dxa"/>
            <w:tcBorders>
              <w:right w:val="nil"/>
            </w:tcBorders>
          </w:tcPr>
          <w:p w14:paraId="59012E00">
            <w:pPr>
              <w:spacing w:before="35" w:line="228" w:lineRule="auto"/>
              <w:ind w:left="1833"/>
              <w:rPr>
                <w:rFonts w:ascii="宋体" w:hAnsi="宋体" w:eastAsia="宋体" w:cs="宋体"/>
                <w:sz w:val="20"/>
                <w:szCs w:val="20"/>
              </w:rPr>
            </w:pPr>
            <w:r>
              <w:rPr>
                <w:rFonts w:ascii="宋体" w:hAnsi="宋体" w:eastAsia="宋体" w:cs="宋体"/>
                <w:spacing w:val="4"/>
                <w:sz w:val="20"/>
                <w:szCs w:val="20"/>
              </w:rPr>
              <w:t>已有</w:t>
            </w:r>
            <w:r>
              <w:rPr>
                <w:rFonts w:ascii="宋体" w:hAnsi="宋体" w:eastAsia="宋体" w:cs="宋体"/>
                <w:spacing w:val="2"/>
                <w:sz w:val="20"/>
                <w:szCs w:val="20"/>
              </w:rPr>
              <w:t>显著的嗅和味</w:t>
            </w:r>
          </w:p>
        </w:tc>
      </w:tr>
      <w:tr w14:paraId="50C23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2387" w:type="dxa"/>
            <w:tcBorders>
              <w:left w:val="nil"/>
            </w:tcBorders>
          </w:tcPr>
          <w:p w14:paraId="6E520A56">
            <w:pPr>
              <w:spacing w:before="92" w:line="192" w:lineRule="auto"/>
              <w:ind w:left="1158"/>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2003" w:type="dxa"/>
          </w:tcPr>
          <w:p w14:paraId="5C63890A">
            <w:pPr>
              <w:spacing w:before="37" w:line="228" w:lineRule="auto"/>
              <w:ind w:left="798"/>
              <w:rPr>
                <w:rFonts w:ascii="宋体" w:hAnsi="宋体" w:eastAsia="宋体" w:cs="宋体"/>
                <w:sz w:val="20"/>
                <w:szCs w:val="20"/>
              </w:rPr>
            </w:pPr>
            <w:r>
              <w:rPr>
                <w:rFonts w:ascii="宋体" w:hAnsi="宋体" w:eastAsia="宋体" w:cs="宋体"/>
                <w:spacing w:val="4"/>
                <w:sz w:val="20"/>
                <w:szCs w:val="20"/>
              </w:rPr>
              <w:t>很</w:t>
            </w:r>
            <w:r>
              <w:rPr>
                <w:rFonts w:ascii="宋体" w:hAnsi="宋体" w:eastAsia="宋体" w:cs="宋体"/>
                <w:spacing w:val="3"/>
                <w:sz w:val="20"/>
                <w:szCs w:val="20"/>
              </w:rPr>
              <w:t>强</w:t>
            </w:r>
          </w:p>
        </w:tc>
        <w:tc>
          <w:tcPr>
            <w:tcW w:w="5106" w:type="dxa"/>
            <w:tcBorders>
              <w:right w:val="nil"/>
            </w:tcBorders>
          </w:tcPr>
          <w:p w14:paraId="718D31F3">
            <w:pPr>
              <w:spacing w:before="36" w:line="228" w:lineRule="auto"/>
              <w:ind w:left="1811"/>
              <w:rPr>
                <w:rFonts w:ascii="宋体" w:hAnsi="宋体" w:eastAsia="宋体" w:cs="宋体"/>
                <w:sz w:val="20"/>
                <w:szCs w:val="20"/>
              </w:rPr>
            </w:pPr>
            <w:r>
              <w:rPr>
                <w:rFonts w:ascii="宋体" w:hAnsi="宋体" w:eastAsia="宋体" w:cs="宋体"/>
                <w:spacing w:val="7"/>
                <w:sz w:val="20"/>
                <w:szCs w:val="20"/>
              </w:rPr>
              <w:t>有</w:t>
            </w:r>
            <w:r>
              <w:rPr>
                <w:rFonts w:ascii="宋体" w:hAnsi="宋体" w:eastAsia="宋体" w:cs="宋体"/>
                <w:spacing w:val="5"/>
                <w:sz w:val="20"/>
                <w:szCs w:val="20"/>
              </w:rPr>
              <w:t>强烈的恶臭异味</w:t>
            </w:r>
          </w:p>
        </w:tc>
      </w:tr>
    </w:tbl>
    <w:p w14:paraId="45EB5A9A">
      <w:pPr>
        <w:spacing w:before="36" w:line="375" w:lineRule="auto"/>
        <w:ind w:left="117" w:right="143" w:firstLine="481"/>
        <w:rPr>
          <w:rFonts w:ascii="宋体" w:hAnsi="宋体" w:eastAsia="宋体" w:cs="宋体"/>
          <w:sz w:val="23"/>
          <w:szCs w:val="23"/>
        </w:rPr>
      </w:pPr>
      <w:r>
        <w:rPr>
          <w:rFonts w:ascii="宋体" w:hAnsi="宋体" w:eastAsia="宋体" w:cs="宋体"/>
          <w:spacing w:val="3"/>
          <w:sz w:val="23"/>
          <w:szCs w:val="23"/>
        </w:rPr>
        <w:t xml:space="preserve">恶臭气体主要来自猪粪尿排放及其分解过程，成分较复杂，主要包括 </w:t>
      </w:r>
      <w:r>
        <w:rPr>
          <w:rFonts w:ascii="Times New Roman" w:hAnsi="Times New Roman" w:eastAsia="Times New Roman" w:cs="Times New Roman"/>
          <w:sz w:val="23"/>
          <w:szCs w:val="23"/>
        </w:rPr>
        <w:t>NH</w:t>
      </w:r>
      <w:r>
        <w:rPr>
          <w:rFonts w:ascii="Times New Roman" w:hAnsi="Times New Roman" w:eastAsia="Times New Roman" w:cs="Times New Roman"/>
          <w:spacing w:val="3"/>
          <w:position w:val="-1"/>
          <w:sz w:val="15"/>
          <w:szCs w:val="15"/>
        </w:rPr>
        <w:t>3</w:t>
      </w:r>
      <w:r>
        <w:rPr>
          <w:rFonts w:ascii="宋体" w:hAnsi="宋体" w:eastAsia="宋体" w:cs="宋体"/>
          <w:spacing w:val="3"/>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3"/>
          <w:position w:val="-1"/>
          <w:sz w:val="15"/>
          <w:szCs w:val="15"/>
        </w:rPr>
        <w:t xml:space="preserve">2 </w:t>
      </w:r>
      <w:r>
        <w:rPr>
          <w:rFonts w:ascii="Times New Roman" w:hAnsi="Times New Roman" w:eastAsia="Times New Roman" w:cs="Times New Roman"/>
          <w:sz w:val="23"/>
          <w:szCs w:val="23"/>
        </w:rPr>
        <w:t>S</w:t>
      </w:r>
      <w:r>
        <w:rPr>
          <w:rFonts w:ascii="宋体" w:hAnsi="宋体" w:eastAsia="宋体" w:cs="宋体"/>
          <w:spacing w:val="3"/>
          <w:sz w:val="23"/>
          <w:szCs w:val="23"/>
        </w:rPr>
        <w:t>、</w:t>
      </w:r>
      <w:r>
        <w:rPr>
          <w:rFonts w:ascii="宋体" w:hAnsi="宋体" w:eastAsia="宋体" w:cs="宋体"/>
          <w:spacing w:val="2"/>
          <w:sz w:val="23"/>
          <w:szCs w:val="23"/>
        </w:rPr>
        <w:t>硫</w:t>
      </w:r>
      <w:r>
        <w:rPr>
          <w:rFonts w:ascii="宋体" w:hAnsi="宋体" w:eastAsia="宋体" w:cs="宋体"/>
          <w:sz w:val="23"/>
          <w:szCs w:val="23"/>
        </w:rPr>
        <w:t xml:space="preserve">醇、 </w:t>
      </w:r>
      <w:r>
        <w:rPr>
          <w:rFonts w:ascii="宋体" w:hAnsi="宋体" w:eastAsia="宋体" w:cs="宋体"/>
          <w:spacing w:val="7"/>
          <w:sz w:val="23"/>
          <w:szCs w:val="23"/>
        </w:rPr>
        <w:t>胺</w:t>
      </w:r>
      <w:r>
        <w:rPr>
          <w:rFonts w:ascii="宋体" w:hAnsi="宋体" w:eastAsia="宋体" w:cs="宋体"/>
          <w:spacing w:val="4"/>
          <w:sz w:val="23"/>
          <w:szCs w:val="23"/>
        </w:rPr>
        <w:t xml:space="preserve">、吲哚等挥发性有机酸和其他有机气体，其中含量最大的主要为 </w:t>
      </w:r>
      <w:r>
        <w:rPr>
          <w:rFonts w:ascii="Times New Roman" w:hAnsi="Times New Roman" w:eastAsia="Times New Roman" w:cs="Times New Roman"/>
          <w:sz w:val="23"/>
          <w:szCs w:val="23"/>
        </w:rPr>
        <w:t>NH</w:t>
      </w:r>
      <w:r>
        <w:rPr>
          <w:rFonts w:ascii="Times New Roman" w:hAnsi="Times New Roman" w:eastAsia="Times New Roman" w:cs="Times New Roman"/>
          <w:spacing w:val="4"/>
          <w:position w:val="-1"/>
          <w:sz w:val="15"/>
          <w:szCs w:val="15"/>
        </w:rPr>
        <w:t xml:space="preserve">3 </w:t>
      </w:r>
      <w:r>
        <w:rPr>
          <w:rFonts w:ascii="宋体" w:hAnsi="宋体" w:eastAsia="宋体" w:cs="宋体"/>
          <w:spacing w:val="4"/>
          <w:sz w:val="23"/>
          <w:szCs w:val="23"/>
        </w:rPr>
        <w:t xml:space="preserve">和 </w:t>
      </w:r>
      <w:r>
        <w:rPr>
          <w:rFonts w:ascii="Times New Roman" w:hAnsi="Times New Roman" w:eastAsia="Times New Roman" w:cs="Times New Roman"/>
          <w:sz w:val="23"/>
          <w:szCs w:val="23"/>
        </w:rPr>
        <w:t>H</w:t>
      </w:r>
      <w:r>
        <w:rPr>
          <w:rFonts w:ascii="Times New Roman" w:hAnsi="Times New Roman" w:eastAsia="Times New Roman" w:cs="Times New Roman"/>
          <w:spacing w:val="4"/>
          <w:position w:val="-1"/>
          <w:sz w:val="15"/>
          <w:szCs w:val="15"/>
        </w:rPr>
        <w:t>2</w:t>
      </w:r>
      <w:r>
        <w:rPr>
          <w:rFonts w:ascii="Times New Roman" w:hAnsi="Times New Roman" w:eastAsia="Times New Roman" w:cs="Times New Roman"/>
          <w:sz w:val="23"/>
          <w:szCs w:val="23"/>
        </w:rPr>
        <w:t>S</w:t>
      </w:r>
      <w:r>
        <w:rPr>
          <w:rFonts w:ascii="宋体" w:hAnsi="宋体" w:eastAsia="宋体" w:cs="宋体"/>
          <w:spacing w:val="4"/>
          <w:sz w:val="23"/>
          <w:szCs w:val="23"/>
        </w:rPr>
        <w:t>，几种主要恶</w:t>
      </w:r>
      <w:r>
        <w:rPr>
          <w:rFonts w:ascii="宋体" w:hAnsi="宋体" w:eastAsia="宋体" w:cs="宋体"/>
          <w:sz w:val="23"/>
          <w:szCs w:val="23"/>
        </w:rPr>
        <w:t xml:space="preserve"> </w:t>
      </w:r>
      <w:r>
        <w:rPr>
          <w:rFonts w:ascii="宋体" w:hAnsi="宋体" w:eastAsia="宋体" w:cs="宋体"/>
          <w:spacing w:val="1"/>
          <w:sz w:val="23"/>
          <w:szCs w:val="23"/>
        </w:rPr>
        <w:t>臭物质的</w:t>
      </w:r>
      <w:r>
        <w:rPr>
          <w:rFonts w:ascii="宋体" w:hAnsi="宋体" w:eastAsia="宋体" w:cs="宋体"/>
          <w:sz w:val="23"/>
          <w:szCs w:val="23"/>
        </w:rPr>
        <w:t xml:space="preserve">理化性质见表 </w:t>
      </w:r>
      <w:r>
        <w:rPr>
          <w:rFonts w:ascii="Times New Roman" w:hAnsi="Times New Roman" w:eastAsia="Times New Roman" w:cs="Times New Roman"/>
          <w:sz w:val="23"/>
          <w:szCs w:val="23"/>
        </w:rPr>
        <w:t>3.3- 12</w:t>
      </w:r>
      <w:r>
        <w:rPr>
          <w:rFonts w:ascii="宋体" w:hAnsi="宋体" w:eastAsia="宋体" w:cs="宋体"/>
          <w:sz w:val="23"/>
          <w:szCs w:val="23"/>
        </w:rPr>
        <w:t>。</w:t>
      </w:r>
    </w:p>
    <w:p w14:paraId="70FF906C">
      <w:pPr>
        <w:spacing w:before="1" w:line="228" w:lineRule="auto"/>
        <w:ind w:left="3366"/>
        <w:rPr>
          <w:rFonts w:ascii="黑体" w:hAnsi="黑体" w:eastAsia="黑体" w:cs="黑体"/>
          <w:sz w:val="23"/>
          <w:szCs w:val="23"/>
        </w:rPr>
      </w:pPr>
      <w:r>
        <w:rPr>
          <w:rFonts w:ascii="黑体" w:hAnsi="黑体" w:eastAsia="黑体" w:cs="黑体"/>
          <w:spacing w:val="-1"/>
          <w:sz w:val="23"/>
          <w:szCs w:val="23"/>
        </w:rPr>
        <w:t>表</w:t>
      </w:r>
      <w:r>
        <w:rPr>
          <w:rFonts w:ascii="黑体" w:hAnsi="黑体" w:eastAsia="黑体" w:cs="黑体"/>
          <w:sz w:val="23"/>
          <w:szCs w:val="23"/>
        </w:rPr>
        <w:t xml:space="preserve"> </w:t>
      </w:r>
      <w:r>
        <w:rPr>
          <w:rFonts w:ascii="Times New Roman" w:hAnsi="Times New Roman" w:eastAsia="Times New Roman" w:cs="Times New Roman"/>
          <w:sz w:val="23"/>
          <w:szCs w:val="23"/>
        </w:rPr>
        <w:t xml:space="preserve">3.3- 12    </w:t>
      </w:r>
      <w:r>
        <w:rPr>
          <w:rFonts w:ascii="黑体" w:hAnsi="黑体" w:eastAsia="黑体" w:cs="黑体"/>
          <w:sz w:val="23"/>
          <w:szCs w:val="23"/>
        </w:rPr>
        <w:t>恶臭物质理化特征</w:t>
      </w:r>
    </w:p>
    <w:p w14:paraId="17546E35">
      <w:pPr>
        <w:spacing w:line="110" w:lineRule="exact"/>
      </w:pP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15"/>
        <w:gridCol w:w="2539"/>
        <w:gridCol w:w="2445"/>
        <w:gridCol w:w="2413"/>
      </w:tblGrid>
      <w:tr w14:paraId="0D0CEA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315" w:type="dxa"/>
            <w:tcBorders>
              <w:left w:val="nil"/>
              <w:right w:val="single" w:color="000000" w:sz="4" w:space="0"/>
            </w:tcBorders>
          </w:tcPr>
          <w:p w14:paraId="1D149B2F">
            <w:pPr>
              <w:spacing w:before="91" w:line="228" w:lineRule="auto"/>
              <w:ind w:left="746"/>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恶</w:t>
            </w:r>
            <w:r>
              <w:rPr>
                <w:rFonts w:ascii="宋体" w:hAnsi="宋体" w:eastAsia="宋体" w:cs="宋体"/>
                <w:spacing w:val="8"/>
                <w:sz w:val="20"/>
                <w:szCs w:val="20"/>
                <w14:textOutline w14:w="3797" w14:cap="sq" w14:cmpd="sng" w14:algn="ctr">
                  <w14:solidFill>
                    <w14:srgbClr w14:val="000000"/>
                  </w14:solidFill>
                  <w14:prstDash w14:val="solid"/>
                  <w14:bevel/>
                </w14:textOutline>
              </w:rPr>
              <w:t>臭物质</w:t>
            </w:r>
          </w:p>
        </w:tc>
        <w:tc>
          <w:tcPr>
            <w:tcW w:w="2539" w:type="dxa"/>
            <w:tcBorders>
              <w:left w:val="single" w:color="000000" w:sz="4" w:space="0"/>
              <w:right w:val="single" w:color="000000" w:sz="4" w:space="0"/>
            </w:tcBorders>
          </w:tcPr>
          <w:p w14:paraId="3A9208D5">
            <w:pPr>
              <w:spacing w:before="92" w:line="228" w:lineRule="auto"/>
              <w:ind w:left="960"/>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分子</w:t>
            </w:r>
            <w:r>
              <w:rPr>
                <w:rFonts w:ascii="宋体" w:hAnsi="宋体" w:eastAsia="宋体" w:cs="宋体"/>
                <w:spacing w:val="6"/>
                <w:sz w:val="20"/>
                <w:szCs w:val="20"/>
                <w14:textOutline w14:w="3797" w14:cap="sq" w14:cmpd="sng" w14:algn="ctr">
                  <w14:solidFill>
                    <w14:srgbClr w14:val="000000"/>
                  </w14:solidFill>
                  <w14:prstDash w14:val="solid"/>
                  <w14:bevel/>
                </w14:textOutline>
              </w:rPr>
              <w:t>式</w:t>
            </w:r>
          </w:p>
        </w:tc>
        <w:tc>
          <w:tcPr>
            <w:tcW w:w="2445" w:type="dxa"/>
            <w:tcBorders>
              <w:left w:val="single" w:color="000000" w:sz="4" w:space="0"/>
              <w:right w:val="single" w:color="000000" w:sz="4" w:space="0"/>
            </w:tcBorders>
          </w:tcPr>
          <w:p w14:paraId="0F69940C">
            <w:pPr>
              <w:spacing w:before="50" w:line="289" w:lineRule="exact"/>
              <w:ind w:left="649"/>
              <w:rPr>
                <w:rFonts w:ascii="Times New Roman" w:hAnsi="Times New Roman" w:eastAsia="Times New Roman" w:cs="Times New Roman"/>
                <w:sz w:val="20"/>
                <w:szCs w:val="20"/>
              </w:rPr>
            </w:pPr>
            <w:r>
              <w:rPr>
                <w:rFonts w:ascii="宋体" w:hAnsi="宋体" w:eastAsia="宋体" w:cs="宋体"/>
                <w:spacing w:val="9"/>
                <w:position w:val="3"/>
                <w:sz w:val="20"/>
                <w:szCs w:val="20"/>
                <w14:textOutline w14:w="3797" w14:cap="sq" w14:cmpd="sng" w14:algn="ctr">
                  <w14:solidFill>
                    <w14:srgbClr w14:val="000000"/>
                  </w14:solidFill>
                  <w14:prstDash w14:val="solid"/>
                  <w14:bevel/>
                </w14:textOutline>
              </w:rPr>
              <w:t>嗅</w:t>
            </w:r>
            <w:r>
              <w:rPr>
                <w:rFonts w:ascii="宋体" w:hAnsi="宋体" w:eastAsia="宋体" w:cs="宋体"/>
                <w:spacing w:val="7"/>
                <w:position w:val="3"/>
                <w:sz w:val="20"/>
                <w:szCs w:val="20"/>
                <w14:textOutline w14:w="3797" w14:cap="sq" w14:cmpd="sng" w14:algn="ctr">
                  <w14:solidFill>
                    <w14:srgbClr w14:val="000000"/>
                  </w14:solidFill>
                  <w14:prstDash w14:val="solid"/>
                  <w14:bevel/>
                </w14:textOutline>
              </w:rPr>
              <w:t>阈值</w:t>
            </w:r>
            <w:r>
              <w:rPr>
                <w:rFonts w:ascii="Times New Roman" w:hAnsi="Times New Roman" w:eastAsia="Times New Roman" w:cs="Times New Roman"/>
                <w:b/>
                <w:bCs/>
                <w:spacing w:val="7"/>
                <w:position w:val="3"/>
                <w:sz w:val="20"/>
                <w:szCs w:val="20"/>
              </w:rPr>
              <w:t>(</w:t>
            </w:r>
            <w:r>
              <w:rPr>
                <w:rFonts w:ascii="Times New Roman" w:hAnsi="Times New Roman" w:eastAsia="Times New Roman" w:cs="Times New Roman"/>
                <w:b/>
                <w:bCs/>
                <w:position w:val="3"/>
                <w:sz w:val="20"/>
                <w:szCs w:val="20"/>
              </w:rPr>
              <w:t>ppm</w:t>
            </w:r>
            <w:r>
              <w:rPr>
                <w:rFonts w:ascii="Times New Roman" w:hAnsi="Times New Roman" w:eastAsia="Times New Roman" w:cs="Times New Roman"/>
                <w:b/>
                <w:bCs/>
                <w:spacing w:val="7"/>
                <w:position w:val="3"/>
                <w:sz w:val="20"/>
                <w:szCs w:val="20"/>
              </w:rPr>
              <w:t>)</w:t>
            </w:r>
          </w:p>
        </w:tc>
        <w:tc>
          <w:tcPr>
            <w:tcW w:w="2413" w:type="dxa"/>
            <w:tcBorders>
              <w:left w:val="single" w:color="000000" w:sz="4" w:space="0"/>
              <w:right w:val="nil"/>
            </w:tcBorders>
          </w:tcPr>
          <w:p w14:paraId="60613A78">
            <w:pPr>
              <w:spacing w:before="91" w:line="228" w:lineRule="auto"/>
              <w:ind w:left="790"/>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臭</w:t>
            </w:r>
            <w:r>
              <w:rPr>
                <w:rFonts w:ascii="宋体" w:hAnsi="宋体" w:eastAsia="宋体" w:cs="宋体"/>
                <w:spacing w:val="8"/>
                <w:sz w:val="20"/>
                <w:szCs w:val="20"/>
                <w14:textOutline w14:w="3797" w14:cap="sq" w14:cmpd="sng" w14:algn="ctr">
                  <w14:solidFill>
                    <w14:srgbClr w14:val="000000"/>
                  </w14:solidFill>
                  <w14:prstDash w14:val="solid"/>
                  <w14:bevel/>
                </w14:textOutline>
              </w:rPr>
              <w:t>气特征</w:t>
            </w:r>
          </w:p>
        </w:tc>
      </w:tr>
      <w:tr w14:paraId="497CB4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2315" w:type="dxa"/>
            <w:tcBorders>
              <w:left w:val="nil"/>
              <w:right w:val="single" w:color="000000" w:sz="4" w:space="0"/>
            </w:tcBorders>
          </w:tcPr>
          <w:p w14:paraId="43901991">
            <w:pPr>
              <w:spacing w:before="33" w:line="228" w:lineRule="auto"/>
              <w:ind w:left="745"/>
              <w:rPr>
                <w:rFonts w:ascii="宋体" w:hAnsi="宋体" w:eastAsia="宋体" w:cs="宋体"/>
                <w:sz w:val="20"/>
                <w:szCs w:val="20"/>
              </w:rPr>
            </w:pPr>
            <w:r>
              <w:rPr>
                <w:rFonts w:ascii="宋体" w:hAnsi="宋体" w:eastAsia="宋体" w:cs="宋体"/>
                <w:spacing w:val="8"/>
                <w:sz w:val="20"/>
                <w:szCs w:val="20"/>
              </w:rPr>
              <w:t>三</w:t>
            </w:r>
            <w:r>
              <w:rPr>
                <w:rFonts w:ascii="宋体" w:hAnsi="宋体" w:eastAsia="宋体" w:cs="宋体"/>
                <w:spacing w:val="7"/>
                <w:sz w:val="20"/>
                <w:szCs w:val="20"/>
              </w:rPr>
              <w:t>甲基胺</w:t>
            </w:r>
          </w:p>
        </w:tc>
        <w:tc>
          <w:tcPr>
            <w:tcW w:w="2539" w:type="dxa"/>
            <w:tcBorders>
              <w:left w:val="single" w:color="000000" w:sz="4" w:space="0"/>
              <w:right w:val="single" w:color="000000" w:sz="4" w:space="0"/>
            </w:tcBorders>
          </w:tcPr>
          <w:p w14:paraId="0A319570">
            <w:pPr>
              <w:spacing w:before="33" w:line="228" w:lineRule="auto"/>
              <w:ind w:left="742"/>
              <w:rPr>
                <w:rFonts w:ascii="Times New Roman" w:hAnsi="Times New Roman" w:eastAsia="Times New Roman" w:cs="Times New Roman"/>
                <w:sz w:val="20"/>
                <w:szCs w:val="20"/>
              </w:rPr>
            </w:pPr>
            <w:r>
              <w:rPr>
                <w:rFonts w:ascii="宋体" w:hAnsi="宋体" w:eastAsia="宋体" w:cs="宋体"/>
                <w:spacing w:val="20"/>
                <w:sz w:val="20"/>
                <w:szCs w:val="20"/>
              </w:rPr>
              <w:t>(</w:t>
            </w:r>
            <w:r>
              <w:rPr>
                <w:rFonts w:ascii="Times New Roman" w:hAnsi="Times New Roman" w:eastAsia="Times New Roman" w:cs="Times New Roman"/>
                <w:sz w:val="20"/>
                <w:szCs w:val="20"/>
              </w:rPr>
              <w:t>COH</w:t>
            </w:r>
            <w:r>
              <w:rPr>
                <w:rFonts w:ascii="Times New Roman" w:hAnsi="Times New Roman" w:eastAsia="Times New Roman" w:cs="Times New Roman"/>
                <w:spacing w:val="20"/>
                <w:position w:val="-1"/>
                <w:sz w:val="13"/>
                <w:szCs w:val="13"/>
              </w:rPr>
              <w:t xml:space="preserve">3 </w:t>
            </w:r>
            <w:r>
              <w:rPr>
                <w:rFonts w:ascii="宋体" w:hAnsi="宋体" w:eastAsia="宋体" w:cs="宋体"/>
                <w:spacing w:val="20"/>
                <w:sz w:val="20"/>
                <w:szCs w:val="20"/>
              </w:rPr>
              <w:t>)</w:t>
            </w:r>
            <w:r>
              <w:rPr>
                <w:rFonts w:ascii="宋体" w:hAnsi="宋体" w:eastAsia="宋体" w:cs="宋体"/>
                <w:spacing w:val="19"/>
                <w:sz w:val="20"/>
                <w:szCs w:val="20"/>
              </w:rPr>
              <w:t xml:space="preserve"> </w:t>
            </w:r>
            <w:r>
              <w:rPr>
                <w:rFonts w:ascii="Times New Roman" w:hAnsi="Times New Roman" w:eastAsia="Times New Roman" w:cs="Times New Roman"/>
                <w:sz w:val="20"/>
                <w:szCs w:val="20"/>
              </w:rPr>
              <w:t>N</w:t>
            </w:r>
          </w:p>
        </w:tc>
        <w:tc>
          <w:tcPr>
            <w:tcW w:w="2445" w:type="dxa"/>
            <w:tcBorders>
              <w:left w:val="single" w:color="000000" w:sz="4" w:space="0"/>
              <w:right w:val="single" w:color="000000" w:sz="4" w:space="0"/>
            </w:tcBorders>
          </w:tcPr>
          <w:p w14:paraId="2B3EA149">
            <w:pPr>
              <w:spacing w:before="70" w:line="195" w:lineRule="auto"/>
              <w:ind w:left="832"/>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0</w:t>
            </w:r>
            <w:r>
              <w:rPr>
                <w:rFonts w:ascii="Times New Roman" w:hAnsi="Times New Roman" w:eastAsia="Times New Roman" w:cs="Times New Roman"/>
                <w:spacing w:val="4"/>
                <w:sz w:val="20"/>
                <w:szCs w:val="20"/>
              </w:rPr>
              <w:t>.</w:t>
            </w:r>
            <w:r>
              <w:rPr>
                <w:rFonts w:ascii="Times New Roman" w:hAnsi="Times New Roman" w:eastAsia="Times New Roman" w:cs="Times New Roman"/>
                <w:spacing w:val="3"/>
                <w:sz w:val="20"/>
                <w:szCs w:val="20"/>
              </w:rPr>
              <w:t>000027</w:t>
            </w:r>
          </w:p>
        </w:tc>
        <w:tc>
          <w:tcPr>
            <w:tcW w:w="2413" w:type="dxa"/>
            <w:tcBorders>
              <w:left w:val="single" w:color="000000" w:sz="4" w:space="0"/>
              <w:right w:val="nil"/>
            </w:tcBorders>
          </w:tcPr>
          <w:p w14:paraId="1CBE3ED2">
            <w:pPr>
              <w:spacing w:before="33" w:line="228" w:lineRule="auto"/>
              <w:ind w:left="896"/>
              <w:rPr>
                <w:rFonts w:ascii="宋体" w:hAnsi="宋体" w:eastAsia="宋体" w:cs="宋体"/>
                <w:sz w:val="20"/>
                <w:szCs w:val="20"/>
              </w:rPr>
            </w:pPr>
            <w:r>
              <w:rPr>
                <w:rFonts w:ascii="宋体" w:hAnsi="宋体" w:eastAsia="宋体" w:cs="宋体"/>
                <w:spacing w:val="7"/>
                <w:sz w:val="20"/>
                <w:szCs w:val="20"/>
              </w:rPr>
              <w:t>臭鱼</w:t>
            </w:r>
            <w:r>
              <w:rPr>
                <w:rFonts w:ascii="宋体" w:hAnsi="宋体" w:eastAsia="宋体" w:cs="宋体"/>
                <w:spacing w:val="6"/>
                <w:sz w:val="20"/>
                <w:szCs w:val="20"/>
              </w:rPr>
              <w:t>味</w:t>
            </w:r>
          </w:p>
        </w:tc>
      </w:tr>
      <w:tr w14:paraId="27F12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2315" w:type="dxa"/>
            <w:tcBorders>
              <w:left w:val="nil"/>
              <w:right w:val="single" w:color="000000" w:sz="4" w:space="0"/>
            </w:tcBorders>
          </w:tcPr>
          <w:p w14:paraId="50325892">
            <w:pPr>
              <w:spacing w:before="36" w:line="227" w:lineRule="auto"/>
              <w:ind w:left="1060"/>
              <w:rPr>
                <w:rFonts w:ascii="宋体" w:hAnsi="宋体" w:eastAsia="宋体" w:cs="宋体"/>
                <w:sz w:val="20"/>
                <w:szCs w:val="20"/>
              </w:rPr>
            </w:pPr>
            <w:r>
              <w:rPr>
                <w:rFonts w:ascii="宋体" w:hAnsi="宋体" w:eastAsia="宋体" w:cs="宋体"/>
                <w:sz w:val="20"/>
                <w:szCs w:val="20"/>
              </w:rPr>
              <w:t>氨</w:t>
            </w:r>
          </w:p>
        </w:tc>
        <w:tc>
          <w:tcPr>
            <w:tcW w:w="2539" w:type="dxa"/>
            <w:tcBorders>
              <w:left w:val="single" w:color="000000" w:sz="4" w:space="0"/>
              <w:right w:val="single" w:color="000000" w:sz="4" w:space="0"/>
            </w:tcBorders>
          </w:tcPr>
          <w:p w14:paraId="367CC948">
            <w:pPr>
              <w:spacing w:before="75" w:line="199" w:lineRule="auto"/>
              <w:ind w:left="1076"/>
              <w:rPr>
                <w:rFonts w:ascii="Times New Roman" w:hAnsi="Times New Roman" w:eastAsia="Times New Roman" w:cs="Times New Roman"/>
                <w:sz w:val="13"/>
                <w:szCs w:val="13"/>
              </w:rPr>
            </w:pPr>
            <w:r>
              <w:rPr>
                <w:rFonts w:ascii="Times New Roman" w:hAnsi="Times New Roman" w:eastAsia="Times New Roman" w:cs="Times New Roman"/>
                <w:sz w:val="20"/>
                <w:szCs w:val="20"/>
              </w:rPr>
              <w:t>NH</w:t>
            </w:r>
            <w:r>
              <w:rPr>
                <w:rFonts w:ascii="Times New Roman" w:hAnsi="Times New Roman" w:eastAsia="Times New Roman" w:cs="Times New Roman"/>
                <w:spacing w:val="19"/>
                <w:position w:val="-1"/>
                <w:sz w:val="13"/>
                <w:szCs w:val="13"/>
              </w:rPr>
              <w:t>3</w:t>
            </w:r>
          </w:p>
        </w:tc>
        <w:tc>
          <w:tcPr>
            <w:tcW w:w="2445" w:type="dxa"/>
            <w:tcBorders>
              <w:left w:val="single" w:color="000000" w:sz="4" w:space="0"/>
              <w:right w:val="single" w:color="000000" w:sz="4" w:space="0"/>
            </w:tcBorders>
          </w:tcPr>
          <w:p w14:paraId="6C42ACBD">
            <w:pPr>
              <w:spacing w:before="72" w:line="198" w:lineRule="auto"/>
              <w:ind w:left="105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1"/>
                <w:sz w:val="20"/>
                <w:szCs w:val="20"/>
              </w:rPr>
              <w:t>54</w:t>
            </w:r>
          </w:p>
        </w:tc>
        <w:tc>
          <w:tcPr>
            <w:tcW w:w="2413" w:type="dxa"/>
            <w:tcBorders>
              <w:left w:val="single" w:color="000000" w:sz="4" w:space="0"/>
              <w:right w:val="nil"/>
            </w:tcBorders>
          </w:tcPr>
          <w:p w14:paraId="54E9C9D7">
            <w:pPr>
              <w:spacing w:before="36" w:line="227" w:lineRule="auto"/>
              <w:ind w:left="895"/>
              <w:rPr>
                <w:rFonts w:ascii="宋体" w:hAnsi="宋体" w:eastAsia="宋体" w:cs="宋体"/>
                <w:sz w:val="20"/>
                <w:szCs w:val="20"/>
              </w:rPr>
            </w:pPr>
            <w:r>
              <w:rPr>
                <w:rFonts w:ascii="宋体" w:hAnsi="宋体" w:eastAsia="宋体" w:cs="宋体"/>
                <w:spacing w:val="7"/>
                <w:sz w:val="20"/>
                <w:szCs w:val="20"/>
              </w:rPr>
              <w:t>刺激味</w:t>
            </w:r>
          </w:p>
        </w:tc>
      </w:tr>
      <w:tr w14:paraId="4D1E81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trPr>
        <w:tc>
          <w:tcPr>
            <w:tcW w:w="2315" w:type="dxa"/>
            <w:tcBorders>
              <w:left w:val="nil"/>
              <w:right w:val="single" w:color="000000" w:sz="4" w:space="0"/>
            </w:tcBorders>
          </w:tcPr>
          <w:p w14:paraId="6A966AB7">
            <w:pPr>
              <w:spacing w:before="36" w:line="216" w:lineRule="auto"/>
              <w:ind w:left="848"/>
              <w:rPr>
                <w:rFonts w:ascii="宋体" w:hAnsi="宋体" w:eastAsia="宋体" w:cs="宋体"/>
                <w:sz w:val="20"/>
                <w:szCs w:val="20"/>
              </w:rPr>
            </w:pPr>
            <w:r>
              <w:rPr>
                <w:rFonts w:ascii="宋体" w:hAnsi="宋体" w:eastAsia="宋体" w:cs="宋体"/>
                <w:spacing w:val="7"/>
                <w:sz w:val="20"/>
                <w:szCs w:val="20"/>
              </w:rPr>
              <w:t>硫化氢</w:t>
            </w:r>
          </w:p>
        </w:tc>
        <w:tc>
          <w:tcPr>
            <w:tcW w:w="2539" w:type="dxa"/>
            <w:tcBorders>
              <w:left w:val="single" w:color="000000" w:sz="4" w:space="0"/>
              <w:right w:val="single" w:color="000000" w:sz="4" w:space="0"/>
            </w:tcBorders>
          </w:tcPr>
          <w:p w14:paraId="2788F055">
            <w:pPr>
              <w:spacing w:before="73" w:line="202" w:lineRule="auto"/>
              <w:ind w:left="109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H</w:t>
            </w:r>
            <w:r>
              <w:rPr>
                <w:rFonts w:ascii="Times New Roman" w:hAnsi="Times New Roman" w:eastAsia="Times New Roman" w:cs="Times New Roman"/>
                <w:spacing w:val="-3"/>
                <w:position w:val="-1"/>
                <w:sz w:val="13"/>
                <w:szCs w:val="13"/>
              </w:rPr>
              <w:t xml:space="preserve">2 </w:t>
            </w:r>
            <w:r>
              <w:rPr>
                <w:rFonts w:ascii="Times New Roman" w:hAnsi="Times New Roman" w:eastAsia="Times New Roman" w:cs="Times New Roman"/>
                <w:spacing w:val="-3"/>
                <w:sz w:val="20"/>
                <w:szCs w:val="20"/>
              </w:rPr>
              <w:t>S</w:t>
            </w:r>
          </w:p>
        </w:tc>
        <w:tc>
          <w:tcPr>
            <w:tcW w:w="2445" w:type="dxa"/>
            <w:tcBorders>
              <w:left w:val="single" w:color="000000" w:sz="4" w:space="0"/>
              <w:right w:val="single" w:color="000000" w:sz="4" w:space="0"/>
            </w:tcBorders>
          </w:tcPr>
          <w:p w14:paraId="4B78BE67">
            <w:pPr>
              <w:spacing w:before="73" w:line="195" w:lineRule="auto"/>
              <w:ind w:left="93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 xml:space="preserve"> 0041</w:t>
            </w:r>
          </w:p>
        </w:tc>
        <w:tc>
          <w:tcPr>
            <w:tcW w:w="2413" w:type="dxa"/>
            <w:tcBorders>
              <w:left w:val="single" w:color="000000" w:sz="4" w:space="0"/>
              <w:right w:val="nil"/>
            </w:tcBorders>
          </w:tcPr>
          <w:p w14:paraId="722D40DE">
            <w:pPr>
              <w:spacing w:before="36" w:line="216" w:lineRule="auto"/>
              <w:ind w:left="896"/>
              <w:rPr>
                <w:rFonts w:ascii="宋体" w:hAnsi="宋体" w:eastAsia="宋体" w:cs="宋体"/>
                <w:sz w:val="20"/>
                <w:szCs w:val="20"/>
              </w:rPr>
            </w:pPr>
            <w:r>
              <w:rPr>
                <w:rFonts w:ascii="宋体" w:hAnsi="宋体" w:eastAsia="宋体" w:cs="宋体"/>
                <w:spacing w:val="7"/>
                <w:sz w:val="20"/>
                <w:szCs w:val="20"/>
              </w:rPr>
              <w:t>臭蛋</w:t>
            </w:r>
            <w:r>
              <w:rPr>
                <w:rFonts w:ascii="宋体" w:hAnsi="宋体" w:eastAsia="宋体" w:cs="宋体"/>
                <w:spacing w:val="6"/>
                <w:sz w:val="20"/>
                <w:szCs w:val="20"/>
              </w:rPr>
              <w:t>味</w:t>
            </w:r>
          </w:p>
        </w:tc>
      </w:tr>
      <w:tr w14:paraId="25A0F6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2315" w:type="dxa"/>
            <w:tcBorders>
              <w:left w:val="nil"/>
              <w:right w:val="single" w:color="000000" w:sz="4" w:space="0"/>
            </w:tcBorders>
          </w:tcPr>
          <w:p w14:paraId="265A16D7">
            <w:pPr>
              <w:spacing w:before="46" w:line="228" w:lineRule="auto"/>
              <w:ind w:left="641"/>
              <w:rPr>
                <w:rFonts w:ascii="宋体" w:hAnsi="宋体" w:eastAsia="宋体" w:cs="宋体"/>
                <w:sz w:val="20"/>
                <w:szCs w:val="20"/>
              </w:rPr>
            </w:pPr>
            <w:r>
              <w:rPr>
                <w:rFonts w:ascii="宋体" w:hAnsi="宋体" w:eastAsia="宋体" w:cs="宋体"/>
                <w:spacing w:val="8"/>
                <w:sz w:val="20"/>
                <w:szCs w:val="20"/>
              </w:rPr>
              <w:t>粪臭基硫</w:t>
            </w:r>
            <w:r>
              <w:rPr>
                <w:rFonts w:ascii="宋体" w:hAnsi="宋体" w:eastAsia="宋体" w:cs="宋体"/>
                <w:spacing w:val="7"/>
                <w:sz w:val="20"/>
                <w:szCs w:val="20"/>
              </w:rPr>
              <w:t>酸</w:t>
            </w:r>
          </w:p>
        </w:tc>
        <w:tc>
          <w:tcPr>
            <w:tcW w:w="2539" w:type="dxa"/>
            <w:tcBorders>
              <w:left w:val="single" w:color="000000" w:sz="4" w:space="0"/>
              <w:right w:val="single" w:color="000000" w:sz="4" w:space="0"/>
            </w:tcBorders>
          </w:tcPr>
          <w:p w14:paraId="692AF0B2">
            <w:pPr>
              <w:spacing w:before="170" w:line="137" w:lineRule="exact"/>
              <w:ind w:left="120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r>
              <w:rPr>
                <w:rFonts w:ascii="Times New Roman" w:hAnsi="Times New Roman" w:eastAsia="Times New Roman" w:cs="Times New Roman"/>
                <w:spacing w:val="-1"/>
                <w:sz w:val="20"/>
                <w:szCs w:val="20"/>
              </w:rPr>
              <w:t>-</w:t>
            </w:r>
          </w:p>
        </w:tc>
        <w:tc>
          <w:tcPr>
            <w:tcW w:w="2445" w:type="dxa"/>
            <w:tcBorders>
              <w:left w:val="single" w:color="000000" w:sz="4" w:space="0"/>
              <w:right w:val="single" w:color="000000" w:sz="4" w:space="0"/>
            </w:tcBorders>
          </w:tcPr>
          <w:p w14:paraId="2F60DE84">
            <w:pPr>
              <w:spacing w:before="83" w:line="195" w:lineRule="auto"/>
              <w:ind w:left="77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0.0000056</w:t>
            </w:r>
          </w:p>
        </w:tc>
        <w:tc>
          <w:tcPr>
            <w:tcW w:w="2413" w:type="dxa"/>
            <w:tcBorders>
              <w:left w:val="single" w:color="000000" w:sz="4" w:space="0"/>
              <w:right w:val="nil"/>
            </w:tcBorders>
          </w:tcPr>
          <w:p w14:paraId="32453F7A">
            <w:pPr>
              <w:spacing w:before="46" w:line="228" w:lineRule="auto"/>
              <w:ind w:left="897"/>
              <w:rPr>
                <w:rFonts w:ascii="宋体" w:hAnsi="宋体" w:eastAsia="宋体" w:cs="宋体"/>
                <w:sz w:val="20"/>
                <w:szCs w:val="20"/>
              </w:rPr>
            </w:pPr>
            <w:r>
              <w:rPr>
                <w:rFonts w:ascii="宋体" w:hAnsi="宋体" w:eastAsia="宋体" w:cs="宋体"/>
                <w:spacing w:val="7"/>
                <w:sz w:val="20"/>
                <w:szCs w:val="20"/>
              </w:rPr>
              <w:t>粪</w:t>
            </w:r>
            <w:r>
              <w:rPr>
                <w:rFonts w:ascii="宋体" w:hAnsi="宋体" w:eastAsia="宋体" w:cs="宋体"/>
                <w:spacing w:val="6"/>
                <w:sz w:val="20"/>
                <w:szCs w:val="20"/>
              </w:rPr>
              <w:t>便臭</w:t>
            </w:r>
          </w:p>
        </w:tc>
      </w:tr>
    </w:tbl>
    <w:p w14:paraId="2B27E066">
      <w:pPr>
        <w:spacing w:before="36" w:line="227" w:lineRule="auto"/>
        <w:ind w:left="609"/>
        <w:rPr>
          <w:rFonts w:ascii="宋体" w:hAnsi="宋体" w:eastAsia="宋体" w:cs="宋体"/>
          <w:sz w:val="23"/>
          <w:szCs w:val="23"/>
        </w:rPr>
      </w:pP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1</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猪舍恶臭</w:t>
      </w:r>
    </w:p>
    <w:p w14:paraId="33D8740F">
      <w:pPr>
        <w:spacing w:before="185" w:line="227" w:lineRule="auto"/>
        <w:ind w:left="616"/>
        <w:rPr>
          <w:rFonts w:ascii="宋体" w:hAnsi="宋体" w:eastAsia="宋体" w:cs="宋体"/>
          <w:sz w:val="23"/>
          <w:szCs w:val="23"/>
        </w:rPr>
      </w:pPr>
      <w:r>
        <w:rPr>
          <w:rFonts w:ascii="Times New Roman" w:hAnsi="Times New Roman" w:eastAsia="Times New Roman" w:cs="Times New Roman"/>
          <w:spacing w:val="6"/>
          <w:sz w:val="23"/>
          <w:szCs w:val="23"/>
        </w:rPr>
        <w:t>1</w:t>
      </w:r>
      <w:r>
        <w:rPr>
          <w:rFonts w:ascii="宋体" w:hAnsi="宋体" w:eastAsia="宋体" w:cs="宋体"/>
          <w:spacing w:val="5"/>
          <w:sz w:val="23"/>
          <w:szCs w:val="23"/>
        </w:rPr>
        <w:t>) 恶臭产生情况</w:t>
      </w:r>
    </w:p>
    <w:p w14:paraId="11E93679">
      <w:pPr>
        <w:spacing w:before="186" w:line="374" w:lineRule="auto"/>
        <w:ind w:left="118" w:right="225" w:firstLine="525"/>
        <w:rPr>
          <w:rFonts w:ascii="宋体" w:hAnsi="宋体" w:eastAsia="宋体" w:cs="宋体"/>
          <w:sz w:val="23"/>
          <w:szCs w:val="23"/>
        </w:rPr>
      </w:pPr>
      <w:r>
        <w:rPr>
          <w:rFonts w:ascii="宋体" w:hAnsi="宋体" w:eastAsia="宋体" w:cs="宋体"/>
          <w:spacing w:val="5"/>
          <w:sz w:val="23"/>
          <w:szCs w:val="23"/>
        </w:rPr>
        <w:t xml:space="preserve">目前，已鉴定出猪粪尿中有恶臭成分 </w:t>
      </w:r>
      <w:r>
        <w:rPr>
          <w:rFonts w:ascii="Times New Roman" w:hAnsi="Times New Roman" w:eastAsia="Times New Roman" w:cs="Times New Roman"/>
          <w:spacing w:val="5"/>
          <w:sz w:val="23"/>
          <w:szCs w:val="23"/>
        </w:rPr>
        <w:t xml:space="preserve">75~ 168 </w:t>
      </w:r>
      <w:r>
        <w:rPr>
          <w:rFonts w:ascii="宋体" w:hAnsi="宋体" w:eastAsia="宋体" w:cs="宋体"/>
          <w:spacing w:val="5"/>
          <w:sz w:val="23"/>
          <w:szCs w:val="23"/>
        </w:rPr>
        <w:t>种，这些物质都是产生生化反应的中间</w:t>
      </w:r>
      <w:r>
        <w:rPr>
          <w:rFonts w:ascii="宋体" w:hAnsi="宋体" w:eastAsia="宋体" w:cs="宋体"/>
          <w:spacing w:val="2"/>
          <w:sz w:val="23"/>
          <w:szCs w:val="23"/>
        </w:rPr>
        <w:t>产</w:t>
      </w:r>
      <w:r>
        <w:rPr>
          <w:rFonts w:ascii="宋体" w:hAnsi="宋体" w:eastAsia="宋体" w:cs="宋体"/>
          <w:sz w:val="23"/>
          <w:szCs w:val="23"/>
        </w:rPr>
        <w:t xml:space="preserve"> </w:t>
      </w:r>
      <w:r>
        <w:rPr>
          <w:rFonts w:ascii="宋体" w:hAnsi="宋体" w:eastAsia="宋体" w:cs="宋体"/>
          <w:spacing w:val="14"/>
          <w:sz w:val="23"/>
          <w:szCs w:val="23"/>
        </w:rPr>
        <w:t>物</w:t>
      </w:r>
      <w:r>
        <w:rPr>
          <w:rFonts w:ascii="宋体" w:hAnsi="宋体" w:eastAsia="宋体" w:cs="宋体"/>
          <w:spacing w:val="7"/>
          <w:sz w:val="23"/>
          <w:szCs w:val="23"/>
        </w:rPr>
        <w:t>或终端产物，其中包括了多种挥发性有机酸、醇类物质、醛类物质、不流动气体、脂类物</w:t>
      </w:r>
      <w:r>
        <w:rPr>
          <w:rFonts w:ascii="宋体" w:hAnsi="宋体" w:eastAsia="宋体" w:cs="宋体"/>
          <w:sz w:val="23"/>
          <w:szCs w:val="23"/>
        </w:rPr>
        <w:t xml:space="preserve"> </w:t>
      </w:r>
      <w:r>
        <w:rPr>
          <w:rFonts w:ascii="宋体" w:hAnsi="宋体" w:eastAsia="宋体" w:cs="宋体"/>
          <w:spacing w:val="16"/>
          <w:sz w:val="23"/>
          <w:szCs w:val="23"/>
        </w:rPr>
        <w:t>质</w:t>
      </w:r>
      <w:r>
        <w:rPr>
          <w:rFonts w:ascii="宋体" w:hAnsi="宋体" w:eastAsia="宋体" w:cs="宋体"/>
          <w:spacing w:val="8"/>
          <w:sz w:val="23"/>
          <w:szCs w:val="23"/>
        </w:rPr>
        <w:t xml:space="preserve">、胺类物质、硫化物、硫醇以及含氮杂环类物质。在粪尿中还发现 </w:t>
      </w:r>
      <w:r>
        <w:rPr>
          <w:rFonts w:ascii="Times New Roman" w:hAnsi="Times New Roman" w:eastAsia="Times New Roman" w:cs="Times New Roman"/>
          <w:spacing w:val="8"/>
          <w:sz w:val="23"/>
          <w:szCs w:val="23"/>
        </w:rPr>
        <w:t xml:space="preserve">80 </w:t>
      </w:r>
      <w:r>
        <w:rPr>
          <w:rFonts w:ascii="宋体" w:hAnsi="宋体" w:eastAsia="宋体" w:cs="宋体"/>
          <w:spacing w:val="8"/>
          <w:sz w:val="23"/>
          <w:szCs w:val="23"/>
        </w:rPr>
        <w:t>多种含氮化合物，</w:t>
      </w:r>
      <w:r>
        <w:rPr>
          <w:rFonts w:ascii="宋体" w:hAnsi="宋体" w:eastAsia="宋体" w:cs="宋体"/>
          <w:sz w:val="23"/>
          <w:szCs w:val="23"/>
        </w:rPr>
        <w:t xml:space="preserve"> </w:t>
      </w:r>
      <w:r>
        <w:rPr>
          <w:rFonts w:ascii="宋体" w:hAnsi="宋体" w:eastAsia="宋体" w:cs="宋体"/>
          <w:spacing w:val="7"/>
          <w:sz w:val="23"/>
          <w:szCs w:val="23"/>
        </w:rPr>
        <w:t xml:space="preserve">其中有 </w:t>
      </w:r>
      <w:r>
        <w:rPr>
          <w:rFonts w:ascii="Times New Roman" w:hAnsi="Times New Roman" w:eastAsia="Times New Roman" w:cs="Times New Roman"/>
          <w:spacing w:val="7"/>
          <w:sz w:val="23"/>
          <w:szCs w:val="23"/>
        </w:rPr>
        <w:t xml:space="preserve">10 </w:t>
      </w:r>
      <w:r>
        <w:rPr>
          <w:rFonts w:ascii="宋体" w:hAnsi="宋体" w:eastAsia="宋体" w:cs="宋体"/>
          <w:spacing w:val="7"/>
          <w:sz w:val="23"/>
          <w:szCs w:val="23"/>
        </w:rPr>
        <w:t>种与恶臭味有关。其中对环境危害较大的是氨气、硫化氢等。</w:t>
      </w:r>
    </w:p>
    <w:p w14:paraId="3ADB7D53">
      <w:pPr>
        <w:spacing w:before="2" w:line="383" w:lineRule="auto"/>
        <w:ind w:left="118" w:right="220" w:firstLine="480"/>
        <w:rPr>
          <w:rFonts w:ascii="宋体" w:hAnsi="宋体" w:eastAsia="宋体" w:cs="宋体"/>
          <w:sz w:val="23"/>
          <w:szCs w:val="23"/>
        </w:rPr>
      </w:pPr>
      <w:r>
        <w:rPr>
          <w:rFonts w:ascii="宋体" w:hAnsi="宋体" w:eastAsia="宋体" w:cs="宋体"/>
          <w:spacing w:val="10"/>
          <w:sz w:val="23"/>
          <w:szCs w:val="23"/>
        </w:rPr>
        <w:t>猪舍</w:t>
      </w:r>
      <w:r>
        <w:rPr>
          <w:rFonts w:ascii="宋体" w:hAnsi="宋体" w:eastAsia="宋体" w:cs="宋体"/>
          <w:spacing w:val="6"/>
          <w:sz w:val="23"/>
          <w:szCs w:val="23"/>
        </w:rPr>
        <w:t>的</w:t>
      </w:r>
      <w:r>
        <w:rPr>
          <w:rFonts w:ascii="宋体" w:hAnsi="宋体" w:eastAsia="宋体" w:cs="宋体"/>
          <w:spacing w:val="5"/>
          <w:sz w:val="23"/>
          <w:szCs w:val="23"/>
        </w:rPr>
        <w:t xml:space="preserve"> </w:t>
      </w:r>
      <w:r>
        <w:rPr>
          <w:rFonts w:ascii="Times New Roman" w:hAnsi="Times New Roman" w:eastAsia="Times New Roman" w:cs="Times New Roman"/>
          <w:sz w:val="23"/>
          <w:szCs w:val="23"/>
        </w:rPr>
        <w:t>NH</w:t>
      </w:r>
      <w:r>
        <w:rPr>
          <w:rFonts w:ascii="Times New Roman" w:hAnsi="Times New Roman" w:eastAsia="Times New Roman" w:cs="Times New Roman"/>
          <w:spacing w:val="5"/>
          <w:position w:val="-1"/>
          <w:sz w:val="15"/>
          <w:szCs w:val="15"/>
        </w:rPr>
        <w:t xml:space="preserve">3 </w:t>
      </w:r>
      <w:r>
        <w:rPr>
          <w:rFonts w:ascii="宋体" w:hAnsi="宋体" w:eastAsia="宋体" w:cs="宋体"/>
          <w:spacing w:val="5"/>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5"/>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的排放强度受到许多因素的影响，包括生产工艺、气温、湿度、猪群</w:t>
      </w:r>
      <w:r>
        <w:rPr>
          <w:rFonts w:ascii="宋体" w:hAnsi="宋体" w:eastAsia="宋体" w:cs="宋体"/>
          <w:sz w:val="23"/>
          <w:szCs w:val="23"/>
        </w:rPr>
        <w:t xml:space="preserve"> </w:t>
      </w:r>
      <w:r>
        <w:rPr>
          <w:rFonts w:ascii="宋体" w:hAnsi="宋体" w:eastAsia="宋体" w:cs="宋体"/>
          <w:spacing w:val="10"/>
          <w:sz w:val="23"/>
          <w:szCs w:val="23"/>
        </w:rPr>
        <w:t>种类、</w:t>
      </w:r>
      <w:r>
        <w:rPr>
          <w:rFonts w:ascii="宋体" w:hAnsi="宋体" w:eastAsia="宋体" w:cs="宋体"/>
          <w:spacing w:val="8"/>
          <w:sz w:val="23"/>
          <w:szCs w:val="23"/>
        </w:rPr>
        <w:t>室</w:t>
      </w:r>
      <w:r>
        <w:rPr>
          <w:rFonts w:ascii="宋体" w:hAnsi="宋体" w:eastAsia="宋体" w:cs="宋体"/>
          <w:spacing w:val="5"/>
          <w:sz w:val="23"/>
          <w:szCs w:val="23"/>
        </w:rPr>
        <w:t xml:space="preserve">内排风情况以及粪便的堆积时间等。由于 </w:t>
      </w:r>
      <w:r>
        <w:rPr>
          <w:rFonts w:ascii="Times New Roman" w:hAnsi="Times New Roman" w:eastAsia="Times New Roman" w:cs="Times New Roman"/>
          <w:sz w:val="23"/>
          <w:szCs w:val="23"/>
        </w:rPr>
        <w:t>NH</w:t>
      </w:r>
      <w:r>
        <w:rPr>
          <w:rFonts w:ascii="Times New Roman" w:hAnsi="Times New Roman" w:eastAsia="Times New Roman" w:cs="Times New Roman"/>
          <w:spacing w:val="5"/>
          <w:position w:val="-1"/>
          <w:sz w:val="15"/>
          <w:szCs w:val="15"/>
        </w:rPr>
        <w:t xml:space="preserve">3 </w:t>
      </w:r>
      <w:r>
        <w:rPr>
          <w:rFonts w:ascii="宋体" w:hAnsi="宋体" w:eastAsia="宋体" w:cs="宋体"/>
          <w:spacing w:val="5"/>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5"/>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属于无组织排放源，难以进行</w:t>
      </w:r>
    </w:p>
    <w:p w14:paraId="1163A9EE">
      <w:pPr>
        <w:sectPr>
          <w:headerReference r:id="rId125" w:type="default"/>
          <w:footerReference r:id="rId126" w:type="default"/>
          <w:pgSz w:w="11907" w:h="16840"/>
          <w:pgMar w:top="829" w:right="907" w:bottom="1139" w:left="1168" w:header="595" w:footer="953" w:gutter="0"/>
          <w:cols w:space="720" w:num="1"/>
        </w:sectPr>
      </w:pPr>
    </w:p>
    <w:p w14:paraId="377ABB98">
      <w:pPr>
        <w:spacing w:before="147" w:line="374" w:lineRule="auto"/>
        <w:ind w:left="119" w:right="105"/>
        <w:rPr>
          <w:rFonts w:ascii="宋体" w:hAnsi="宋体" w:eastAsia="宋体" w:cs="宋体"/>
          <w:sz w:val="23"/>
          <w:szCs w:val="23"/>
        </w:rPr>
      </w:pPr>
      <w:r>
        <w:rPr>
          <w:rFonts w:ascii="宋体" w:hAnsi="宋体" w:eastAsia="宋体" w:cs="宋体"/>
          <w:spacing w:val="12"/>
          <w:sz w:val="23"/>
          <w:szCs w:val="23"/>
        </w:rPr>
        <w:t>准确定</w:t>
      </w:r>
      <w:r>
        <w:rPr>
          <w:rFonts w:ascii="宋体" w:hAnsi="宋体" w:eastAsia="宋体" w:cs="宋体"/>
          <w:spacing w:val="7"/>
          <w:sz w:val="23"/>
          <w:szCs w:val="23"/>
        </w:rPr>
        <w:t>量</w:t>
      </w:r>
      <w:r>
        <w:rPr>
          <w:rFonts w:ascii="宋体" w:hAnsi="宋体" w:eastAsia="宋体" w:cs="宋体"/>
          <w:spacing w:val="6"/>
          <w:sz w:val="23"/>
          <w:szCs w:val="23"/>
        </w:rPr>
        <w:t xml:space="preserve">分析，因此采用类比方法或采用经验系数对 </w:t>
      </w:r>
      <w:r>
        <w:rPr>
          <w:rFonts w:ascii="Times New Roman" w:hAnsi="Times New Roman" w:eastAsia="Times New Roman" w:cs="Times New Roman"/>
          <w:sz w:val="23"/>
          <w:szCs w:val="23"/>
        </w:rPr>
        <w:t>NH</w:t>
      </w:r>
      <w:r>
        <w:rPr>
          <w:rFonts w:ascii="Times New Roman" w:hAnsi="Times New Roman" w:eastAsia="Times New Roman" w:cs="Times New Roman"/>
          <w:spacing w:val="6"/>
          <w:position w:val="-1"/>
          <w:sz w:val="15"/>
          <w:szCs w:val="15"/>
        </w:rPr>
        <w:t>3</w:t>
      </w:r>
      <w:r>
        <w:rPr>
          <w:rFonts w:ascii="宋体" w:hAnsi="宋体" w:eastAsia="宋体" w:cs="宋体"/>
          <w:spacing w:val="6"/>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6"/>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的产生量进行估算具有较强</w:t>
      </w:r>
      <w:r>
        <w:rPr>
          <w:rFonts w:ascii="宋体" w:hAnsi="宋体" w:eastAsia="宋体" w:cs="宋体"/>
          <w:sz w:val="23"/>
          <w:szCs w:val="23"/>
        </w:rPr>
        <w:t xml:space="preserve"> </w:t>
      </w:r>
      <w:r>
        <w:rPr>
          <w:rFonts w:ascii="宋体" w:hAnsi="宋体" w:eastAsia="宋体" w:cs="宋体"/>
          <w:spacing w:val="13"/>
          <w:sz w:val="23"/>
          <w:szCs w:val="23"/>
        </w:rPr>
        <w:t>的</w:t>
      </w:r>
      <w:r>
        <w:rPr>
          <w:rFonts w:ascii="宋体" w:hAnsi="宋体" w:eastAsia="宋体" w:cs="宋体"/>
          <w:spacing w:val="7"/>
          <w:sz w:val="23"/>
          <w:szCs w:val="23"/>
        </w:rPr>
        <w:t>实用性和推广价值。首先，我国规模化畜禽养殖场从设计参数、养殖规模、管理手段和饲</w:t>
      </w:r>
      <w:r>
        <w:rPr>
          <w:rFonts w:ascii="宋体" w:hAnsi="宋体" w:eastAsia="宋体" w:cs="宋体"/>
          <w:sz w:val="23"/>
          <w:szCs w:val="23"/>
        </w:rPr>
        <w:t xml:space="preserve"> </w:t>
      </w:r>
      <w:r>
        <w:rPr>
          <w:rFonts w:ascii="宋体" w:hAnsi="宋体" w:eastAsia="宋体" w:cs="宋体"/>
          <w:spacing w:val="18"/>
          <w:sz w:val="23"/>
          <w:szCs w:val="23"/>
        </w:rPr>
        <w:t>养</w:t>
      </w:r>
      <w:r>
        <w:rPr>
          <w:rFonts w:ascii="宋体" w:hAnsi="宋体" w:eastAsia="宋体" w:cs="宋体"/>
          <w:spacing w:val="17"/>
          <w:sz w:val="23"/>
          <w:szCs w:val="23"/>
        </w:rPr>
        <w:t>方</w:t>
      </w:r>
      <w:r>
        <w:rPr>
          <w:rFonts w:ascii="宋体" w:hAnsi="宋体" w:eastAsia="宋体" w:cs="宋体"/>
          <w:spacing w:val="9"/>
          <w:sz w:val="23"/>
          <w:szCs w:val="23"/>
        </w:rPr>
        <w:t>式均有统一标准可循；其次，畜禽饲养环境对氨气、硫化氢的浓度有一定的要求。</w:t>
      </w:r>
    </w:p>
    <w:p w14:paraId="7A7B8F88">
      <w:pPr>
        <w:tabs>
          <w:tab w:val="left" w:pos="243"/>
        </w:tabs>
        <w:spacing w:line="375" w:lineRule="auto"/>
        <w:ind w:left="117" w:right="107" w:firstLine="481"/>
        <w:rPr>
          <w:rFonts w:ascii="宋体" w:hAnsi="宋体" w:eastAsia="宋体" w:cs="宋体"/>
          <w:sz w:val="23"/>
          <w:szCs w:val="23"/>
        </w:rPr>
      </w:pPr>
      <w:r>
        <w:rPr>
          <w:rFonts w:ascii="宋体" w:hAnsi="宋体" w:eastAsia="宋体" w:cs="宋体"/>
          <w:spacing w:val="7"/>
          <w:sz w:val="23"/>
          <w:szCs w:val="23"/>
        </w:rPr>
        <w:t>本项目猪舍采用尿泡粪工艺，猪粪日产日清，且猪舍日常进行喷淋天然植物提取液的除</w:t>
      </w:r>
      <w:r>
        <w:rPr>
          <w:rFonts w:ascii="宋体" w:hAnsi="宋体" w:eastAsia="宋体" w:cs="宋体"/>
          <w:sz w:val="23"/>
          <w:szCs w:val="23"/>
        </w:rPr>
        <w:t xml:space="preserve"> </w:t>
      </w:r>
      <w:r>
        <w:rPr>
          <w:rFonts w:ascii="宋体" w:hAnsi="宋体" w:eastAsia="宋体" w:cs="宋体"/>
          <w:spacing w:val="38"/>
          <w:sz w:val="23"/>
          <w:szCs w:val="23"/>
        </w:rPr>
        <w:t>臭</w:t>
      </w:r>
      <w:r>
        <w:rPr>
          <w:rFonts w:ascii="宋体" w:hAnsi="宋体" w:eastAsia="宋体" w:cs="宋体"/>
          <w:spacing w:val="26"/>
          <w:sz w:val="23"/>
          <w:szCs w:val="23"/>
        </w:rPr>
        <w:t>措</w:t>
      </w:r>
      <w:r>
        <w:rPr>
          <w:rFonts w:ascii="宋体" w:hAnsi="宋体" w:eastAsia="宋体" w:cs="宋体"/>
          <w:spacing w:val="19"/>
          <w:sz w:val="23"/>
          <w:szCs w:val="23"/>
        </w:rPr>
        <w:t>施，猪舍恶臭气体的产生得到有效控制。根据《中国环境科学学会学术年会论文集</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12"/>
          <w:sz w:val="23"/>
          <w:szCs w:val="23"/>
        </w:rPr>
        <w:t>(</w:t>
      </w:r>
      <w:r>
        <w:rPr>
          <w:rFonts w:ascii="Times New Roman" w:hAnsi="Times New Roman" w:eastAsia="Times New Roman" w:cs="Times New Roman"/>
          <w:spacing w:val="12"/>
          <w:sz w:val="23"/>
          <w:szCs w:val="23"/>
        </w:rPr>
        <w:t>20</w:t>
      </w:r>
      <w:r>
        <w:rPr>
          <w:rFonts w:ascii="Times New Roman" w:hAnsi="Times New Roman" w:eastAsia="Times New Roman" w:cs="Times New Roman"/>
          <w:spacing w:val="6"/>
          <w:sz w:val="23"/>
          <w:szCs w:val="23"/>
        </w:rPr>
        <w:t>10</w:t>
      </w:r>
      <w:r>
        <w:rPr>
          <w:rFonts w:ascii="宋体" w:hAnsi="宋体" w:eastAsia="宋体" w:cs="宋体"/>
          <w:spacing w:val="6"/>
          <w:sz w:val="23"/>
          <w:szCs w:val="23"/>
        </w:rPr>
        <w:t>) 》中天津市环境影响评价中心张艳青等人发布的论文：《养猪场恶臭影响量化分析</w:t>
      </w:r>
      <w:r>
        <w:rPr>
          <w:rFonts w:ascii="宋体" w:hAnsi="宋体" w:eastAsia="宋体" w:cs="宋体"/>
          <w:sz w:val="23"/>
          <w:szCs w:val="23"/>
        </w:rPr>
        <w:t xml:space="preserve"> </w:t>
      </w:r>
      <w:r>
        <w:rPr>
          <w:rFonts w:ascii="宋体" w:hAnsi="宋体" w:eastAsia="宋体" w:cs="宋体"/>
          <w:spacing w:val="4"/>
          <w:sz w:val="23"/>
          <w:szCs w:val="23"/>
        </w:rPr>
        <w:t>及</w:t>
      </w:r>
      <w:r>
        <w:rPr>
          <w:rFonts w:ascii="宋体" w:hAnsi="宋体" w:eastAsia="宋体" w:cs="宋体"/>
          <w:spacing w:val="2"/>
          <w:sz w:val="23"/>
          <w:szCs w:val="23"/>
        </w:rPr>
        <w:t xml:space="preserve">控制对策研究》，项目养猪场猪舍 </w:t>
      </w:r>
      <w:r>
        <w:rPr>
          <w:rFonts w:ascii="Times New Roman" w:hAnsi="Times New Roman" w:eastAsia="Times New Roman" w:cs="Times New Roman"/>
          <w:sz w:val="23"/>
          <w:szCs w:val="23"/>
        </w:rPr>
        <w:t>NH</w:t>
      </w:r>
      <w:r>
        <w:rPr>
          <w:rFonts w:ascii="Times New Roman" w:hAnsi="Times New Roman" w:eastAsia="Times New Roman" w:cs="Times New Roman"/>
          <w:spacing w:val="2"/>
          <w:position w:val="-1"/>
          <w:sz w:val="15"/>
          <w:szCs w:val="15"/>
        </w:rPr>
        <w:t xml:space="preserve">3 </w:t>
      </w:r>
      <w:r>
        <w:rPr>
          <w:rFonts w:ascii="宋体" w:hAnsi="宋体" w:eastAsia="宋体" w:cs="宋体"/>
          <w:spacing w:val="2"/>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2"/>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 xml:space="preserve">产污情况见表 </w:t>
      </w:r>
      <w:r>
        <w:rPr>
          <w:rFonts w:ascii="Times New Roman" w:hAnsi="Times New Roman" w:eastAsia="Times New Roman" w:cs="Times New Roman"/>
          <w:spacing w:val="2"/>
          <w:sz w:val="23"/>
          <w:szCs w:val="23"/>
        </w:rPr>
        <w:t>3.3- 13</w:t>
      </w:r>
      <w:r>
        <w:rPr>
          <w:rFonts w:ascii="宋体" w:hAnsi="宋体" w:eastAsia="宋体" w:cs="宋体"/>
          <w:spacing w:val="2"/>
          <w:sz w:val="23"/>
          <w:szCs w:val="23"/>
        </w:rPr>
        <w:t>。</w:t>
      </w:r>
    </w:p>
    <w:p w14:paraId="713E4206">
      <w:pPr>
        <w:spacing w:line="220" w:lineRule="auto"/>
        <w:ind w:left="2387"/>
        <w:rPr>
          <w:rFonts w:ascii="黑体" w:hAnsi="黑体" w:eastAsia="黑体" w:cs="黑体"/>
          <w:sz w:val="23"/>
          <w:szCs w:val="23"/>
        </w:rPr>
      </w:pPr>
      <w:r>
        <w:rPr>
          <w:rFonts w:ascii="黑体" w:hAnsi="黑体" w:eastAsia="黑体" w:cs="黑体"/>
          <w:spacing w:val="-1"/>
          <w:sz w:val="23"/>
          <w:szCs w:val="23"/>
        </w:rPr>
        <w:t xml:space="preserve">表 </w:t>
      </w:r>
      <w:r>
        <w:rPr>
          <w:rFonts w:ascii="Times New Roman" w:hAnsi="Times New Roman" w:eastAsia="Times New Roman" w:cs="Times New Roman"/>
          <w:spacing w:val="-1"/>
          <w:sz w:val="23"/>
          <w:szCs w:val="23"/>
        </w:rPr>
        <w:t xml:space="preserve">3.3- 13    </w:t>
      </w:r>
      <w:r>
        <w:rPr>
          <w:rFonts w:ascii="黑体" w:hAnsi="黑体" w:eastAsia="黑体" w:cs="黑体"/>
          <w:spacing w:val="-1"/>
          <w:sz w:val="23"/>
          <w:szCs w:val="23"/>
        </w:rPr>
        <w:t xml:space="preserve">项目猪舍 </w:t>
      </w:r>
      <w:r>
        <w:rPr>
          <w:rFonts w:ascii="Times New Roman" w:hAnsi="Times New Roman" w:eastAsia="Times New Roman" w:cs="Times New Roman"/>
          <w:sz w:val="23"/>
          <w:szCs w:val="23"/>
        </w:rPr>
        <w:t>NH</w:t>
      </w:r>
      <w:r>
        <w:rPr>
          <w:rFonts w:ascii="Times New Roman" w:hAnsi="Times New Roman" w:eastAsia="Times New Roman" w:cs="Times New Roman"/>
          <w:spacing w:val="-1"/>
          <w:position w:val="-1"/>
          <w:sz w:val="15"/>
          <w:szCs w:val="15"/>
        </w:rPr>
        <w:t>3</w:t>
      </w:r>
      <w:r>
        <w:rPr>
          <w:rFonts w:ascii="Times New Roman" w:hAnsi="Times New Roman" w:eastAsia="Times New Roman" w:cs="Times New Roman"/>
          <w:position w:val="-1"/>
          <w:sz w:val="15"/>
          <w:szCs w:val="15"/>
        </w:rPr>
        <w:t xml:space="preserve"> </w:t>
      </w:r>
      <w:r>
        <w:rPr>
          <w:rFonts w:ascii="黑体" w:hAnsi="黑体" w:eastAsia="黑体" w:cs="黑体"/>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position w:val="-1"/>
          <w:sz w:val="15"/>
          <w:szCs w:val="15"/>
        </w:rPr>
        <w:t>2</w:t>
      </w:r>
      <w:r>
        <w:rPr>
          <w:rFonts w:ascii="Times New Roman" w:hAnsi="Times New Roman" w:eastAsia="Times New Roman" w:cs="Times New Roman"/>
          <w:sz w:val="23"/>
          <w:szCs w:val="23"/>
        </w:rPr>
        <w:t xml:space="preserve">S </w:t>
      </w:r>
      <w:r>
        <w:rPr>
          <w:rFonts w:ascii="黑体" w:hAnsi="黑体" w:eastAsia="黑体" w:cs="黑体"/>
          <w:sz w:val="23"/>
          <w:szCs w:val="23"/>
        </w:rPr>
        <w:t>产污情况一览表</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1"/>
        <w:gridCol w:w="889"/>
        <w:gridCol w:w="1145"/>
        <w:gridCol w:w="1305"/>
        <w:gridCol w:w="1304"/>
        <w:gridCol w:w="1305"/>
        <w:gridCol w:w="1305"/>
        <w:gridCol w:w="1308"/>
      </w:tblGrid>
      <w:tr w14:paraId="3AED4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 w:hRule="atLeast"/>
        </w:trPr>
        <w:tc>
          <w:tcPr>
            <w:tcW w:w="1151" w:type="dxa"/>
            <w:vMerge w:val="restart"/>
            <w:tcBorders>
              <w:left w:val="nil"/>
              <w:bottom w:val="nil"/>
            </w:tcBorders>
          </w:tcPr>
          <w:p w14:paraId="7C77D67D">
            <w:pPr>
              <w:spacing w:line="263" w:lineRule="auto"/>
            </w:pPr>
          </w:p>
          <w:p w14:paraId="1C6C726C">
            <w:pPr>
              <w:spacing w:before="65" w:line="228" w:lineRule="auto"/>
              <w:ind w:left="162"/>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猪</w:t>
            </w:r>
            <w:r>
              <w:rPr>
                <w:rFonts w:ascii="宋体" w:hAnsi="宋体" w:eastAsia="宋体" w:cs="宋体"/>
                <w:spacing w:val="8"/>
                <w:sz w:val="20"/>
                <w:szCs w:val="20"/>
                <w14:textOutline w14:w="3797" w14:cap="sq" w14:cmpd="sng" w14:algn="ctr">
                  <w14:solidFill>
                    <w14:srgbClr w14:val="000000"/>
                  </w14:solidFill>
                  <w14:prstDash w14:val="solid"/>
                  <w14:bevel/>
                </w14:textOutline>
              </w:rPr>
              <w:t>群种类</w:t>
            </w:r>
          </w:p>
        </w:tc>
        <w:tc>
          <w:tcPr>
            <w:tcW w:w="889" w:type="dxa"/>
            <w:vMerge w:val="restart"/>
            <w:tcBorders>
              <w:bottom w:val="nil"/>
            </w:tcBorders>
          </w:tcPr>
          <w:p w14:paraId="076E5A33">
            <w:pPr>
              <w:spacing w:before="195" w:line="266" w:lineRule="auto"/>
              <w:ind w:left="305" w:right="126" w:hanging="172"/>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存栏量</w:t>
            </w:r>
            <w:r>
              <w:rPr>
                <w:rFonts w:ascii="宋体" w:hAnsi="宋体" w:eastAsia="宋体" w:cs="宋体"/>
                <w:sz w:val="20"/>
                <w:szCs w:val="20"/>
              </w:rPr>
              <w:t xml:space="preserve"> </w:t>
            </w:r>
            <w:r>
              <w:rPr>
                <w:rFonts w:ascii="Times New Roman" w:hAnsi="Times New Roman" w:eastAsia="Times New Roman" w:cs="Times New Roman"/>
                <w:b/>
                <w:bCs/>
                <w:spacing w:val="7"/>
                <w:sz w:val="20"/>
                <w:szCs w:val="20"/>
              </w:rPr>
              <w:t>/</w:t>
            </w:r>
            <w:r>
              <w:rPr>
                <w:rFonts w:ascii="宋体" w:hAnsi="宋体" w:eastAsia="宋体" w:cs="宋体"/>
                <w:spacing w:val="6"/>
                <w:sz w:val="20"/>
                <w:szCs w:val="20"/>
                <w14:textOutline w14:w="3797" w14:cap="sq" w14:cmpd="sng" w14:algn="ctr">
                  <w14:solidFill>
                    <w14:srgbClr w14:val="000000"/>
                  </w14:solidFill>
                  <w14:prstDash w14:val="solid"/>
                  <w14:bevel/>
                </w14:textOutline>
              </w:rPr>
              <w:t>头</w:t>
            </w:r>
          </w:p>
        </w:tc>
        <w:tc>
          <w:tcPr>
            <w:tcW w:w="3754" w:type="dxa"/>
            <w:gridSpan w:val="3"/>
          </w:tcPr>
          <w:p w14:paraId="2F871C83">
            <w:pPr>
              <w:spacing w:before="81" w:line="197" w:lineRule="auto"/>
              <w:ind w:left="1686"/>
              <w:rPr>
                <w:rFonts w:ascii="Times New Roman" w:hAnsi="Times New Roman" w:eastAsia="Times New Roman" w:cs="Times New Roman"/>
                <w:sz w:val="13"/>
                <w:szCs w:val="13"/>
              </w:rPr>
            </w:pPr>
            <w:r>
              <w:rPr>
                <w:rFonts w:ascii="Times New Roman" w:hAnsi="Times New Roman" w:eastAsia="Times New Roman" w:cs="Times New Roman"/>
                <w:b/>
                <w:bCs/>
                <w:sz w:val="20"/>
                <w:szCs w:val="20"/>
              </w:rPr>
              <w:t>NH</w:t>
            </w:r>
            <w:r>
              <w:rPr>
                <w:rFonts w:ascii="Times New Roman" w:hAnsi="Times New Roman" w:eastAsia="Times New Roman" w:cs="Times New Roman"/>
                <w:b/>
                <w:bCs/>
                <w:spacing w:val="14"/>
                <w:position w:val="-1"/>
                <w:sz w:val="13"/>
                <w:szCs w:val="13"/>
              </w:rPr>
              <w:t>3</w:t>
            </w:r>
          </w:p>
        </w:tc>
        <w:tc>
          <w:tcPr>
            <w:tcW w:w="3918" w:type="dxa"/>
            <w:gridSpan w:val="3"/>
            <w:tcBorders>
              <w:right w:val="nil"/>
            </w:tcBorders>
          </w:tcPr>
          <w:p w14:paraId="6D5D9A17">
            <w:pPr>
              <w:spacing w:before="78" w:line="200" w:lineRule="auto"/>
              <w:ind w:left="1787"/>
              <w:rPr>
                <w:rFonts w:ascii="Times New Roman" w:hAnsi="Times New Roman" w:eastAsia="Times New Roman" w:cs="Times New Roman"/>
                <w:sz w:val="20"/>
                <w:szCs w:val="20"/>
              </w:rPr>
            </w:pPr>
            <w:r>
              <w:rPr>
                <w:rFonts w:ascii="Times New Roman" w:hAnsi="Times New Roman" w:eastAsia="Times New Roman" w:cs="Times New Roman"/>
                <w:b/>
                <w:bCs/>
                <w:sz w:val="20"/>
                <w:szCs w:val="20"/>
              </w:rPr>
              <w:t>H</w:t>
            </w:r>
            <w:r>
              <w:rPr>
                <w:rFonts w:ascii="Times New Roman" w:hAnsi="Times New Roman" w:eastAsia="Times New Roman" w:cs="Times New Roman"/>
                <w:b/>
                <w:bCs/>
                <w:spacing w:val="10"/>
                <w:position w:val="-1"/>
                <w:sz w:val="13"/>
                <w:szCs w:val="13"/>
              </w:rPr>
              <w:t>2</w:t>
            </w:r>
            <w:r>
              <w:rPr>
                <w:rFonts w:ascii="Times New Roman" w:hAnsi="Times New Roman" w:eastAsia="Times New Roman" w:cs="Times New Roman"/>
                <w:b/>
                <w:bCs/>
                <w:sz w:val="20"/>
                <w:szCs w:val="20"/>
              </w:rPr>
              <w:t>S</w:t>
            </w:r>
          </w:p>
        </w:tc>
      </w:tr>
      <w:tr w14:paraId="06AB83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1151" w:type="dxa"/>
            <w:vMerge w:val="continue"/>
            <w:tcBorders>
              <w:top w:val="nil"/>
              <w:left w:val="nil"/>
              <w:bottom w:val="nil"/>
            </w:tcBorders>
          </w:tcPr>
          <w:p w14:paraId="3D1597B4"/>
        </w:tc>
        <w:tc>
          <w:tcPr>
            <w:tcW w:w="889" w:type="dxa"/>
            <w:vMerge w:val="continue"/>
            <w:tcBorders>
              <w:top w:val="nil"/>
              <w:bottom w:val="nil"/>
            </w:tcBorders>
          </w:tcPr>
          <w:p w14:paraId="0069ACA9"/>
        </w:tc>
        <w:tc>
          <w:tcPr>
            <w:tcW w:w="1145" w:type="dxa"/>
            <w:vMerge w:val="restart"/>
            <w:tcBorders>
              <w:bottom w:val="nil"/>
            </w:tcBorders>
          </w:tcPr>
          <w:p w14:paraId="711181D2">
            <w:pPr>
              <w:spacing w:before="46" w:line="244" w:lineRule="auto"/>
              <w:ind w:left="295" w:right="147" w:hanging="138"/>
              <w:rPr>
                <w:rFonts w:ascii="Times New Roman" w:hAnsi="Times New Roman" w:eastAsia="Times New Roman" w:cs="Times New Roman"/>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排</w:t>
            </w:r>
            <w:r>
              <w:rPr>
                <w:rFonts w:ascii="宋体" w:hAnsi="宋体" w:eastAsia="宋体" w:cs="宋体"/>
                <w:spacing w:val="8"/>
                <w:sz w:val="20"/>
                <w:szCs w:val="20"/>
                <w14:textOutline w14:w="3797" w14:cap="sq" w14:cmpd="sng" w14:algn="ctr">
                  <w14:solidFill>
                    <w14:srgbClr w14:val="000000"/>
                  </w14:solidFill>
                  <w14:prstDash w14:val="solid"/>
                  <w14:bevel/>
                </w14:textOutline>
              </w:rPr>
              <w:t>放强度</w:t>
            </w:r>
            <w:r>
              <w:rPr>
                <w:rFonts w:ascii="宋体" w:hAnsi="宋体" w:eastAsia="宋体" w:cs="宋体"/>
                <w:sz w:val="20"/>
                <w:szCs w:val="20"/>
              </w:rPr>
              <w:t xml:space="preserve"> </w:t>
            </w:r>
            <w:r>
              <w:rPr>
                <w:rFonts w:ascii="Times New Roman" w:hAnsi="Times New Roman" w:eastAsia="Times New Roman" w:cs="Times New Roman"/>
                <w:b/>
                <w:bCs/>
                <w:sz w:val="20"/>
                <w:szCs w:val="20"/>
              </w:rPr>
              <w:t>g</w:t>
            </w:r>
            <w:r>
              <w:rPr>
                <w:rFonts w:ascii="Times New Roman" w:hAnsi="Times New Roman" w:eastAsia="Times New Roman" w:cs="Times New Roman"/>
                <w:b/>
                <w:bCs/>
                <w:spacing w:val="6"/>
                <w:sz w:val="20"/>
                <w:szCs w:val="20"/>
              </w:rPr>
              <w:t>/</w:t>
            </w:r>
            <w:r>
              <w:rPr>
                <w:rFonts w:ascii="宋体" w:hAnsi="宋体" w:eastAsia="宋体" w:cs="宋体"/>
                <w:spacing w:val="6"/>
                <w:sz w:val="20"/>
                <w:szCs w:val="20"/>
                <w14:textOutline w14:w="3797" w14:cap="sq" w14:cmpd="sng" w14:algn="ctr">
                  <w14:solidFill>
                    <w14:srgbClr w14:val="000000"/>
                  </w14:solidFill>
                  <w14:prstDash w14:val="solid"/>
                  <w14:bevel/>
                </w14:textOutline>
              </w:rPr>
              <w:t>头</w:t>
            </w:r>
            <w:r>
              <w:rPr>
                <w:rFonts w:ascii="Times New Roman" w:hAnsi="Times New Roman" w:eastAsia="Times New Roman" w:cs="Times New Roman"/>
                <w:b/>
                <w:bCs/>
                <w:spacing w:val="5"/>
                <w:sz w:val="20"/>
                <w:szCs w:val="20"/>
              </w:rPr>
              <w:t>•</w:t>
            </w:r>
            <w:r>
              <w:rPr>
                <w:rFonts w:ascii="Times New Roman" w:hAnsi="Times New Roman" w:eastAsia="Times New Roman" w:cs="Times New Roman"/>
                <w:b/>
                <w:bCs/>
                <w:sz w:val="20"/>
                <w:szCs w:val="20"/>
              </w:rPr>
              <w:t>d</w:t>
            </w:r>
          </w:p>
        </w:tc>
        <w:tc>
          <w:tcPr>
            <w:tcW w:w="2609" w:type="dxa"/>
            <w:gridSpan w:val="2"/>
          </w:tcPr>
          <w:p w14:paraId="47AE387F">
            <w:pPr>
              <w:spacing w:before="35" w:line="228" w:lineRule="auto"/>
              <w:ind w:left="995"/>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产</w:t>
            </w:r>
            <w:r>
              <w:rPr>
                <w:rFonts w:ascii="宋体" w:hAnsi="宋体" w:eastAsia="宋体" w:cs="宋体"/>
                <w:spacing w:val="7"/>
                <w:sz w:val="20"/>
                <w:szCs w:val="20"/>
                <w14:textOutline w14:w="3797" w14:cap="sq" w14:cmpd="sng" w14:algn="ctr">
                  <w14:solidFill>
                    <w14:srgbClr w14:val="000000"/>
                  </w14:solidFill>
                  <w14:prstDash w14:val="solid"/>
                  <w14:bevel/>
                </w14:textOutline>
              </w:rPr>
              <w:t>生量</w:t>
            </w:r>
          </w:p>
        </w:tc>
        <w:tc>
          <w:tcPr>
            <w:tcW w:w="1305" w:type="dxa"/>
            <w:vMerge w:val="restart"/>
            <w:tcBorders>
              <w:bottom w:val="nil"/>
            </w:tcBorders>
          </w:tcPr>
          <w:p w14:paraId="01BA34E2">
            <w:pPr>
              <w:spacing w:before="46" w:line="244" w:lineRule="auto"/>
              <w:ind w:left="377" w:right="226" w:hanging="139"/>
              <w:rPr>
                <w:rFonts w:ascii="Times New Roman" w:hAnsi="Times New Roman" w:eastAsia="Times New Roman" w:cs="Times New Roman"/>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排</w:t>
            </w:r>
            <w:r>
              <w:rPr>
                <w:rFonts w:ascii="宋体" w:hAnsi="宋体" w:eastAsia="宋体" w:cs="宋体"/>
                <w:spacing w:val="8"/>
                <w:sz w:val="20"/>
                <w:szCs w:val="20"/>
                <w14:textOutline w14:w="3797" w14:cap="sq" w14:cmpd="sng" w14:algn="ctr">
                  <w14:solidFill>
                    <w14:srgbClr w14:val="000000"/>
                  </w14:solidFill>
                  <w14:prstDash w14:val="solid"/>
                  <w14:bevel/>
                </w14:textOutline>
              </w:rPr>
              <w:t>放强度</w:t>
            </w:r>
            <w:r>
              <w:rPr>
                <w:rFonts w:ascii="宋体" w:hAnsi="宋体" w:eastAsia="宋体" w:cs="宋体"/>
                <w:sz w:val="20"/>
                <w:szCs w:val="20"/>
              </w:rPr>
              <w:t xml:space="preserve"> </w:t>
            </w:r>
            <w:r>
              <w:rPr>
                <w:rFonts w:ascii="Times New Roman" w:hAnsi="Times New Roman" w:eastAsia="Times New Roman" w:cs="Times New Roman"/>
                <w:b/>
                <w:bCs/>
                <w:sz w:val="20"/>
                <w:szCs w:val="20"/>
              </w:rPr>
              <w:t>g</w:t>
            </w:r>
            <w:r>
              <w:rPr>
                <w:rFonts w:ascii="Times New Roman" w:hAnsi="Times New Roman" w:eastAsia="Times New Roman" w:cs="Times New Roman"/>
                <w:b/>
                <w:bCs/>
                <w:spacing w:val="6"/>
                <w:sz w:val="20"/>
                <w:szCs w:val="20"/>
              </w:rPr>
              <w:t>/</w:t>
            </w:r>
            <w:r>
              <w:rPr>
                <w:rFonts w:ascii="宋体" w:hAnsi="宋体" w:eastAsia="宋体" w:cs="宋体"/>
                <w:spacing w:val="6"/>
                <w:sz w:val="20"/>
                <w:szCs w:val="20"/>
                <w14:textOutline w14:w="3797" w14:cap="sq" w14:cmpd="sng" w14:algn="ctr">
                  <w14:solidFill>
                    <w14:srgbClr w14:val="000000"/>
                  </w14:solidFill>
                  <w14:prstDash w14:val="solid"/>
                  <w14:bevel/>
                </w14:textOutline>
              </w:rPr>
              <w:t>头</w:t>
            </w:r>
            <w:r>
              <w:rPr>
                <w:rFonts w:ascii="Times New Roman" w:hAnsi="Times New Roman" w:eastAsia="Times New Roman" w:cs="Times New Roman"/>
                <w:b/>
                <w:bCs/>
                <w:spacing w:val="5"/>
                <w:sz w:val="20"/>
                <w:szCs w:val="20"/>
              </w:rPr>
              <w:t>•</w:t>
            </w:r>
            <w:r>
              <w:rPr>
                <w:rFonts w:ascii="Times New Roman" w:hAnsi="Times New Roman" w:eastAsia="Times New Roman" w:cs="Times New Roman"/>
                <w:b/>
                <w:bCs/>
                <w:sz w:val="20"/>
                <w:szCs w:val="20"/>
              </w:rPr>
              <w:t>d</w:t>
            </w:r>
          </w:p>
        </w:tc>
        <w:tc>
          <w:tcPr>
            <w:tcW w:w="2613" w:type="dxa"/>
            <w:gridSpan w:val="2"/>
            <w:tcBorders>
              <w:right w:val="nil"/>
            </w:tcBorders>
          </w:tcPr>
          <w:p w14:paraId="5F8B8649">
            <w:pPr>
              <w:spacing w:before="36" w:line="229" w:lineRule="auto"/>
              <w:ind w:left="997"/>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排</w:t>
            </w:r>
            <w:r>
              <w:rPr>
                <w:rFonts w:ascii="宋体" w:hAnsi="宋体" w:eastAsia="宋体" w:cs="宋体"/>
                <w:spacing w:val="7"/>
                <w:sz w:val="20"/>
                <w:szCs w:val="20"/>
                <w14:textOutline w14:w="3797" w14:cap="sq" w14:cmpd="sng" w14:algn="ctr">
                  <w14:solidFill>
                    <w14:srgbClr w14:val="000000"/>
                  </w14:solidFill>
                  <w14:prstDash w14:val="solid"/>
                  <w14:bevel/>
                </w14:textOutline>
              </w:rPr>
              <w:t>放量</w:t>
            </w:r>
          </w:p>
        </w:tc>
      </w:tr>
      <w:tr w14:paraId="5CA07D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1151" w:type="dxa"/>
            <w:vMerge w:val="continue"/>
            <w:tcBorders>
              <w:top w:val="nil"/>
              <w:left w:val="nil"/>
            </w:tcBorders>
          </w:tcPr>
          <w:p w14:paraId="7CE476B2"/>
        </w:tc>
        <w:tc>
          <w:tcPr>
            <w:tcW w:w="889" w:type="dxa"/>
            <w:vMerge w:val="continue"/>
            <w:tcBorders>
              <w:top w:val="nil"/>
            </w:tcBorders>
          </w:tcPr>
          <w:p w14:paraId="63AA7D01"/>
        </w:tc>
        <w:tc>
          <w:tcPr>
            <w:tcW w:w="1145" w:type="dxa"/>
            <w:vMerge w:val="continue"/>
            <w:tcBorders>
              <w:top w:val="nil"/>
            </w:tcBorders>
          </w:tcPr>
          <w:p w14:paraId="1E8A7066"/>
        </w:tc>
        <w:tc>
          <w:tcPr>
            <w:tcW w:w="1305" w:type="dxa"/>
          </w:tcPr>
          <w:p w14:paraId="4006B526">
            <w:pPr>
              <w:spacing w:line="284" w:lineRule="exact"/>
              <w:ind w:left="458"/>
              <w:rPr>
                <w:rFonts w:ascii="Times New Roman" w:hAnsi="Times New Roman" w:eastAsia="Times New Roman" w:cs="Times New Roman"/>
                <w:sz w:val="20"/>
                <w:szCs w:val="20"/>
              </w:rPr>
            </w:pPr>
            <w:r>
              <w:rPr>
                <w:rFonts w:ascii="Times New Roman" w:hAnsi="Times New Roman" w:eastAsia="Times New Roman" w:cs="Times New Roman"/>
                <w:b/>
                <w:bCs/>
                <w:position w:val="4"/>
                <w:sz w:val="20"/>
                <w:szCs w:val="20"/>
              </w:rPr>
              <w:t>kg</w:t>
            </w:r>
            <w:r>
              <w:rPr>
                <w:rFonts w:ascii="Times New Roman" w:hAnsi="Times New Roman" w:eastAsia="Times New Roman" w:cs="Times New Roman"/>
                <w:b/>
                <w:bCs/>
                <w:spacing w:val="9"/>
                <w:position w:val="4"/>
                <w:sz w:val="20"/>
                <w:szCs w:val="20"/>
              </w:rPr>
              <w:t>/</w:t>
            </w:r>
            <w:r>
              <w:rPr>
                <w:rFonts w:ascii="Times New Roman" w:hAnsi="Times New Roman" w:eastAsia="Times New Roman" w:cs="Times New Roman"/>
                <w:b/>
                <w:bCs/>
                <w:position w:val="4"/>
                <w:sz w:val="20"/>
                <w:szCs w:val="20"/>
              </w:rPr>
              <w:t>d</w:t>
            </w:r>
          </w:p>
        </w:tc>
        <w:tc>
          <w:tcPr>
            <w:tcW w:w="1304" w:type="dxa"/>
          </w:tcPr>
          <w:p w14:paraId="5C604034">
            <w:pPr>
              <w:spacing w:line="284" w:lineRule="exact"/>
              <w:ind w:left="459"/>
              <w:rPr>
                <w:rFonts w:ascii="Times New Roman" w:hAnsi="Times New Roman" w:eastAsia="Times New Roman" w:cs="Times New Roman"/>
                <w:sz w:val="20"/>
                <w:szCs w:val="20"/>
              </w:rPr>
            </w:pPr>
            <w:r>
              <w:rPr>
                <w:rFonts w:ascii="Times New Roman" w:hAnsi="Times New Roman" w:eastAsia="Times New Roman" w:cs="Times New Roman"/>
                <w:b/>
                <w:bCs/>
                <w:position w:val="4"/>
                <w:sz w:val="20"/>
                <w:szCs w:val="20"/>
              </w:rPr>
              <w:t>kg</w:t>
            </w:r>
            <w:r>
              <w:rPr>
                <w:rFonts w:ascii="Times New Roman" w:hAnsi="Times New Roman" w:eastAsia="Times New Roman" w:cs="Times New Roman"/>
                <w:b/>
                <w:bCs/>
                <w:spacing w:val="9"/>
                <w:position w:val="4"/>
                <w:sz w:val="20"/>
                <w:szCs w:val="20"/>
              </w:rPr>
              <w:t>/</w:t>
            </w:r>
            <w:r>
              <w:rPr>
                <w:rFonts w:ascii="Times New Roman" w:hAnsi="Times New Roman" w:eastAsia="Times New Roman" w:cs="Times New Roman"/>
                <w:b/>
                <w:bCs/>
                <w:position w:val="4"/>
                <w:sz w:val="20"/>
                <w:szCs w:val="20"/>
              </w:rPr>
              <w:t>h</w:t>
            </w:r>
          </w:p>
        </w:tc>
        <w:tc>
          <w:tcPr>
            <w:tcW w:w="1305" w:type="dxa"/>
            <w:vMerge w:val="continue"/>
            <w:tcBorders>
              <w:top w:val="nil"/>
            </w:tcBorders>
          </w:tcPr>
          <w:p w14:paraId="738BFD14"/>
        </w:tc>
        <w:tc>
          <w:tcPr>
            <w:tcW w:w="1305" w:type="dxa"/>
          </w:tcPr>
          <w:p w14:paraId="5C78E193">
            <w:pPr>
              <w:spacing w:line="284" w:lineRule="exact"/>
              <w:ind w:left="461"/>
              <w:rPr>
                <w:rFonts w:ascii="Times New Roman" w:hAnsi="Times New Roman" w:eastAsia="Times New Roman" w:cs="Times New Roman"/>
                <w:sz w:val="20"/>
                <w:szCs w:val="20"/>
              </w:rPr>
            </w:pPr>
            <w:r>
              <w:rPr>
                <w:rFonts w:ascii="Times New Roman" w:hAnsi="Times New Roman" w:eastAsia="Times New Roman" w:cs="Times New Roman"/>
                <w:b/>
                <w:bCs/>
                <w:position w:val="4"/>
                <w:sz w:val="20"/>
                <w:szCs w:val="20"/>
              </w:rPr>
              <w:t>kg</w:t>
            </w:r>
            <w:r>
              <w:rPr>
                <w:rFonts w:ascii="Times New Roman" w:hAnsi="Times New Roman" w:eastAsia="Times New Roman" w:cs="Times New Roman"/>
                <w:b/>
                <w:bCs/>
                <w:spacing w:val="9"/>
                <w:position w:val="4"/>
                <w:sz w:val="20"/>
                <w:szCs w:val="20"/>
              </w:rPr>
              <w:t>/</w:t>
            </w:r>
            <w:r>
              <w:rPr>
                <w:rFonts w:ascii="Times New Roman" w:hAnsi="Times New Roman" w:eastAsia="Times New Roman" w:cs="Times New Roman"/>
                <w:b/>
                <w:bCs/>
                <w:position w:val="4"/>
                <w:sz w:val="20"/>
                <w:szCs w:val="20"/>
              </w:rPr>
              <w:t>d</w:t>
            </w:r>
          </w:p>
        </w:tc>
        <w:tc>
          <w:tcPr>
            <w:tcW w:w="1308" w:type="dxa"/>
            <w:tcBorders>
              <w:right w:val="nil"/>
            </w:tcBorders>
          </w:tcPr>
          <w:p w14:paraId="2472A13E">
            <w:pPr>
              <w:spacing w:line="284" w:lineRule="exact"/>
              <w:ind w:left="461"/>
              <w:rPr>
                <w:rFonts w:ascii="Times New Roman" w:hAnsi="Times New Roman" w:eastAsia="Times New Roman" w:cs="Times New Roman"/>
                <w:sz w:val="20"/>
                <w:szCs w:val="20"/>
              </w:rPr>
            </w:pPr>
            <w:r>
              <w:rPr>
                <w:rFonts w:ascii="Times New Roman" w:hAnsi="Times New Roman" w:eastAsia="Times New Roman" w:cs="Times New Roman"/>
                <w:b/>
                <w:bCs/>
                <w:position w:val="4"/>
                <w:sz w:val="20"/>
                <w:szCs w:val="20"/>
              </w:rPr>
              <w:t>kg</w:t>
            </w:r>
            <w:r>
              <w:rPr>
                <w:rFonts w:ascii="Times New Roman" w:hAnsi="Times New Roman" w:eastAsia="Times New Roman" w:cs="Times New Roman"/>
                <w:b/>
                <w:bCs/>
                <w:spacing w:val="9"/>
                <w:position w:val="4"/>
                <w:sz w:val="20"/>
                <w:szCs w:val="20"/>
              </w:rPr>
              <w:t>/</w:t>
            </w:r>
            <w:r>
              <w:rPr>
                <w:rFonts w:ascii="Times New Roman" w:hAnsi="Times New Roman" w:eastAsia="Times New Roman" w:cs="Times New Roman"/>
                <w:b/>
                <w:bCs/>
                <w:position w:val="4"/>
                <w:sz w:val="20"/>
                <w:szCs w:val="20"/>
              </w:rPr>
              <w:t>h</w:t>
            </w:r>
          </w:p>
        </w:tc>
      </w:tr>
      <w:tr w14:paraId="4B1737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1151" w:type="dxa"/>
            <w:tcBorders>
              <w:left w:val="nil"/>
            </w:tcBorders>
          </w:tcPr>
          <w:p w14:paraId="13E91D2F">
            <w:pPr>
              <w:spacing w:before="34" w:line="227" w:lineRule="auto"/>
              <w:ind w:left="276"/>
              <w:rPr>
                <w:rFonts w:ascii="宋体" w:hAnsi="宋体" w:eastAsia="宋体" w:cs="宋体"/>
                <w:sz w:val="20"/>
                <w:szCs w:val="20"/>
              </w:rPr>
            </w:pPr>
            <w:r>
              <w:rPr>
                <w:rFonts w:ascii="宋体" w:hAnsi="宋体" w:eastAsia="宋体" w:cs="宋体"/>
                <w:spacing w:val="4"/>
                <w:sz w:val="20"/>
                <w:szCs w:val="20"/>
              </w:rPr>
              <w:t>育肥猪</w:t>
            </w:r>
          </w:p>
        </w:tc>
        <w:tc>
          <w:tcPr>
            <w:tcW w:w="889" w:type="dxa"/>
          </w:tcPr>
          <w:p w14:paraId="71114AEB">
            <w:pPr>
              <w:spacing w:before="70" w:line="195" w:lineRule="auto"/>
              <w:ind w:left="203"/>
              <w:rPr>
                <w:rFonts w:ascii="Times New Roman" w:hAnsi="Times New Roman" w:eastAsia="Times New Roman" w:cs="Times New Roman"/>
                <w:sz w:val="20"/>
                <w:szCs w:val="20"/>
              </w:rPr>
            </w:pPr>
            <w:r>
              <w:rPr>
                <w:rFonts w:ascii="Times New Roman" w:hAnsi="Times New Roman" w:eastAsia="Times New Roman" w:cs="Times New Roman"/>
                <w:sz w:val="20"/>
                <w:szCs w:val="20"/>
              </w:rPr>
              <w:t>10400</w:t>
            </w:r>
          </w:p>
        </w:tc>
        <w:tc>
          <w:tcPr>
            <w:tcW w:w="1145" w:type="dxa"/>
          </w:tcPr>
          <w:p w14:paraId="3F741813"/>
        </w:tc>
        <w:tc>
          <w:tcPr>
            <w:tcW w:w="1305" w:type="dxa"/>
          </w:tcPr>
          <w:p w14:paraId="63CC70BC"/>
        </w:tc>
        <w:tc>
          <w:tcPr>
            <w:tcW w:w="1304" w:type="dxa"/>
          </w:tcPr>
          <w:p w14:paraId="350DC25A"/>
        </w:tc>
        <w:tc>
          <w:tcPr>
            <w:tcW w:w="1305" w:type="dxa"/>
          </w:tcPr>
          <w:p w14:paraId="6BE5B94E"/>
        </w:tc>
        <w:tc>
          <w:tcPr>
            <w:tcW w:w="1305" w:type="dxa"/>
          </w:tcPr>
          <w:p w14:paraId="6702D188"/>
        </w:tc>
        <w:tc>
          <w:tcPr>
            <w:tcW w:w="1308" w:type="dxa"/>
            <w:tcBorders>
              <w:right w:val="nil"/>
            </w:tcBorders>
          </w:tcPr>
          <w:p w14:paraId="722D3355"/>
        </w:tc>
      </w:tr>
    </w:tbl>
    <w:p w14:paraId="54B5E14E">
      <w:pPr>
        <w:spacing w:before="36" w:line="228" w:lineRule="auto"/>
        <w:ind w:left="593"/>
        <w:rPr>
          <w:rFonts w:ascii="宋体" w:hAnsi="宋体" w:eastAsia="宋体" w:cs="宋体"/>
          <w:sz w:val="23"/>
          <w:szCs w:val="23"/>
        </w:rPr>
      </w:pPr>
      <w:r>
        <w:rPr>
          <w:rFonts w:ascii="Times New Roman" w:hAnsi="Times New Roman" w:eastAsia="Times New Roman" w:cs="Times New Roman"/>
          <w:spacing w:val="7"/>
          <w:sz w:val="23"/>
          <w:szCs w:val="23"/>
        </w:rPr>
        <w:t>2</w:t>
      </w:r>
      <w:r>
        <w:rPr>
          <w:rFonts w:ascii="宋体" w:hAnsi="宋体" w:eastAsia="宋体" w:cs="宋体"/>
          <w:spacing w:val="7"/>
          <w:sz w:val="23"/>
          <w:szCs w:val="23"/>
        </w:rPr>
        <w:t>) 治理措施</w:t>
      </w:r>
    </w:p>
    <w:p w14:paraId="60915A94">
      <w:pPr>
        <w:spacing w:before="184" w:line="225" w:lineRule="auto"/>
        <w:ind w:left="597"/>
        <w:rPr>
          <w:rFonts w:ascii="宋体" w:hAnsi="宋体" w:eastAsia="宋体" w:cs="宋体"/>
          <w:sz w:val="23"/>
          <w:szCs w:val="23"/>
        </w:rPr>
      </w:pPr>
      <w:r>
        <w:rPr>
          <w:rFonts w:ascii="宋体" w:hAnsi="宋体" w:eastAsia="宋体" w:cs="宋体"/>
          <w:spacing w:val="9"/>
          <w:sz w:val="23"/>
          <w:szCs w:val="23"/>
        </w:rPr>
        <w:t>①</w:t>
      </w:r>
      <w:r>
        <w:rPr>
          <w:rFonts w:ascii="宋体" w:hAnsi="宋体" w:eastAsia="宋体" w:cs="宋体"/>
          <w:spacing w:val="7"/>
          <w:sz w:val="23"/>
          <w:szCs w:val="23"/>
        </w:rPr>
        <w:t>猪舍内产生的粪尿依靠重力进入缝隙地板下的收集池，不需用清水对圈舍粪尿日常清</w:t>
      </w:r>
    </w:p>
    <w:p w14:paraId="434CD986">
      <w:pPr>
        <w:spacing w:before="184" w:line="375" w:lineRule="auto"/>
        <w:ind w:left="117" w:right="107" w:firstLine="3"/>
        <w:rPr>
          <w:rFonts w:ascii="宋体" w:hAnsi="宋体" w:eastAsia="宋体" w:cs="宋体"/>
          <w:sz w:val="23"/>
          <w:szCs w:val="23"/>
        </w:rPr>
      </w:pPr>
      <w:r>
        <w:rPr>
          <w:rFonts w:ascii="宋体" w:hAnsi="宋体" w:eastAsia="宋体" w:cs="宋体"/>
          <w:spacing w:val="11"/>
          <w:sz w:val="23"/>
          <w:szCs w:val="23"/>
        </w:rPr>
        <w:t>理</w:t>
      </w:r>
      <w:r>
        <w:rPr>
          <w:rFonts w:ascii="宋体" w:hAnsi="宋体" w:eastAsia="宋体" w:cs="宋体"/>
          <w:spacing w:val="7"/>
          <w:sz w:val="23"/>
          <w:szCs w:val="23"/>
        </w:rPr>
        <w:t>，大大减少了粪污产生量并实现粪尿及时清理，保持猪舍的清洁和干燥；同时注意舍内防</w:t>
      </w:r>
      <w:r>
        <w:rPr>
          <w:rFonts w:ascii="宋体" w:hAnsi="宋体" w:eastAsia="宋体" w:cs="宋体"/>
          <w:sz w:val="23"/>
          <w:szCs w:val="23"/>
        </w:rPr>
        <w:t xml:space="preserve"> </w:t>
      </w:r>
      <w:r>
        <w:rPr>
          <w:rFonts w:ascii="宋体" w:hAnsi="宋体" w:eastAsia="宋体" w:cs="宋体"/>
          <w:spacing w:val="18"/>
          <w:sz w:val="23"/>
          <w:szCs w:val="23"/>
        </w:rPr>
        <w:t>潮；</w:t>
      </w:r>
      <w:r>
        <w:rPr>
          <w:rFonts w:ascii="宋体" w:hAnsi="宋体" w:eastAsia="宋体" w:cs="宋体"/>
          <w:spacing w:val="10"/>
          <w:sz w:val="23"/>
          <w:szCs w:val="23"/>
        </w:rPr>
        <w:t>猪</w:t>
      </w:r>
      <w:r>
        <w:rPr>
          <w:rFonts w:ascii="宋体" w:hAnsi="宋体" w:eastAsia="宋体" w:cs="宋体"/>
          <w:spacing w:val="9"/>
          <w:sz w:val="23"/>
          <w:szCs w:val="23"/>
        </w:rPr>
        <w:t>舍设计为密闭结构，设置屋面屋顶通风设备，安装负压通风机，加强舍内通风。</w:t>
      </w:r>
    </w:p>
    <w:p w14:paraId="7641C9E2">
      <w:pPr>
        <w:spacing w:before="4" w:line="374" w:lineRule="auto"/>
        <w:ind w:left="105" w:right="105" w:firstLine="490"/>
        <w:rPr>
          <w:rFonts w:ascii="宋体" w:hAnsi="宋体" w:eastAsia="宋体" w:cs="宋体"/>
          <w:sz w:val="23"/>
          <w:szCs w:val="23"/>
        </w:rPr>
      </w:pPr>
      <w:r>
        <w:rPr>
          <w:rFonts w:ascii="宋体" w:hAnsi="宋体" w:eastAsia="宋体" w:cs="宋体"/>
          <w:spacing w:val="10"/>
          <w:sz w:val="23"/>
          <w:szCs w:val="23"/>
        </w:rPr>
        <w:t>②</w:t>
      </w:r>
      <w:r>
        <w:rPr>
          <w:rFonts w:ascii="宋体" w:hAnsi="宋体" w:eastAsia="宋体" w:cs="宋体"/>
          <w:spacing w:val="7"/>
          <w:sz w:val="23"/>
          <w:szCs w:val="23"/>
        </w:rPr>
        <w:t>结合建设单位介绍养殖过程中在饲料中添加活菌剂等，根据《动物科学》现代农业科</w:t>
      </w:r>
      <w:r>
        <w:rPr>
          <w:rFonts w:ascii="宋体" w:hAnsi="宋体" w:eastAsia="宋体" w:cs="宋体"/>
          <w:sz w:val="23"/>
          <w:szCs w:val="23"/>
        </w:rPr>
        <w:t xml:space="preserve"> </w:t>
      </w:r>
      <w:r>
        <w:rPr>
          <w:rFonts w:ascii="宋体" w:hAnsi="宋体" w:eastAsia="宋体" w:cs="宋体"/>
          <w:spacing w:val="12"/>
          <w:sz w:val="23"/>
          <w:szCs w:val="23"/>
        </w:rPr>
        <w:t xml:space="preserve">技 </w:t>
      </w:r>
      <w:r>
        <w:rPr>
          <w:rFonts w:ascii="Times New Roman" w:hAnsi="Times New Roman" w:eastAsia="Times New Roman" w:cs="Times New Roman"/>
          <w:spacing w:val="12"/>
          <w:sz w:val="23"/>
          <w:szCs w:val="23"/>
        </w:rPr>
        <w:t>201</w:t>
      </w:r>
      <w:r>
        <w:rPr>
          <w:rFonts w:ascii="Times New Roman" w:hAnsi="Times New Roman" w:eastAsia="Times New Roman" w:cs="Times New Roman"/>
          <w:spacing w:val="9"/>
          <w:sz w:val="23"/>
          <w:szCs w:val="23"/>
        </w:rPr>
        <w:t>1</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 xml:space="preserve">年第 </w:t>
      </w:r>
      <w:r>
        <w:rPr>
          <w:rFonts w:ascii="Times New Roman" w:hAnsi="Times New Roman" w:eastAsia="Times New Roman" w:cs="Times New Roman"/>
          <w:spacing w:val="6"/>
          <w:sz w:val="23"/>
          <w:szCs w:val="23"/>
        </w:rPr>
        <w:t xml:space="preserve">6 </w:t>
      </w:r>
      <w:r>
        <w:rPr>
          <w:rFonts w:ascii="宋体" w:hAnsi="宋体" w:eastAsia="宋体" w:cs="宋体"/>
          <w:spacing w:val="6"/>
          <w:sz w:val="23"/>
          <w:szCs w:val="23"/>
        </w:rPr>
        <w:t>期</w:t>
      </w:r>
      <w:r>
        <w:rPr>
          <w:rFonts w:ascii="Times New Roman" w:hAnsi="Times New Roman" w:eastAsia="Times New Roman" w:cs="Times New Roman"/>
          <w:spacing w:val="6"/>
          <w:sz w:val="23"/>
          <w:szCs w:val="23"/>
        </w:rPr>
        <w:t>“</w:t>
      </w:r>
      <w:r>
        <w:rPr>
          <w:rFonts w:ascii="宋体" w:hAnsi="宋体" w:eastAsia="宋体" w:cs="宋体"/>
          <w:spacing w:val="6"/>
          <w:sz w:val="23"/>
          <w:szCs w:val="23"/>
        </w:rPr>
        <w:t>猪舍内氨气排放控制研究进展</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(山东省滕州市畜牧兽医局，高建萱) ，</w:t>
      </w:r>
      <w:r>
        <w:rPr>
          <w:rFonts w:ascii="宋体" w:hAnsi="宋体" w:eastAsia="宋体" w:cs="宋体"/>
          <w:sz w:val="23"/>
          <w:szCs w:val="23"/>
        </w:rPr>
        <w:t xml:space="preserve"> </w:t>
      </w:r>
      <w:r>
        <w:rPr>
          <w:rFonts w:ascii="宋体" w:hAnsi="宋体" w:eastAsia="宋体" w:cs="宋体"/>
          <w:spacing w:val="12"/>
          <w:sz w:val="23"/>
          <w:szCs w:val="23"/>
        </w:rPr>
        <w:t>通</w:t>
      </w:r>
      <w:r>
        <w:rPr>
          <w:rFonts w:ascii="宋体" w:hAnsi="宋体" w:eastAsia="宋体" w:cs="宋体"/>
          <w:spacing w:val="9"/>
          <w:sz w:val="23"/>
          <w:szCs w:val="23"/>
        </w:rPr>
        <w:t xml:space="preserve">过在饲料中添加活菌剂，可使猪舍中臭气含量下降 </w:t>
      </w:r>
      <w:r>
        <w:rPr>
          <w:rFonts w:ascii="Times New Roman" w:hAnsi="Times New Roman" w:eastAsia="Times New Roman" w:cs="Times New Roman"/>
          <w:spacing w:val="9"/>
          <w:sz w:val="23"/>
          <w:szCs w:val="23"/>
        </w:rPr>
        <w:t xml:space="preserve">40.28%~56.46% </w:t>
      </w:r>
      <w:r>
        <w:rPr>
          <w:rFonts w:ascii="宋体" w:hAnsi="宋体" w:eastAsia="宋体" w:cs="宋体"/>
          <w:spacing w:val="9"/>
          <w:sz w:val="23"/>
          <w:szCs w:val="23"/>
        </w:rPr>
        <w:t>，通过上述措施，对</w:t>
      </w:r>
      <w:r>
        <w:rPr>
          <w:rFonts w:ascii="宋体" w:hAnsi="宋体" w:eastAsia="宋体" w:cs="宋体"/>
          <w:sz w:val="23"/>
          <w:szCs w:val="23"/>
        </w:rPr>
        <w:t xml:space="preserve"> </w:t>
      </w:r>
      <w:r>
        <w:rPr>
          <w:rFonts w:ascii="Times New Roman" w:hAnsi="Times New Roman" w:eastAsia="Times New Roman" w:cs="Times New Roman"/>
          <w:sz w:val="23"/>
          <w:szCs w:val="23"/>
        </w:rPr>
        <w:t>NH</w:t>
      </w:r>
      <w:r>
        <w:rPr>
          <w:rFonts w:ascii="Times New Roman" w:hAnsi="Times New Roman" w:eastAsia="Times New Roman" w:cs="Times New Roman"/>
          <w:spacing w:val="2"/>
          <w:position w:val="-1"/>
          <w:sz w:val="15"/>
          <w:szCs w:val="15"/>
        </w:rPr>
        <w:t xml:space="preserve">3 </w:t>
      </w:r>
      <w:r>
        <w:rPr>
          <w:rFonts w:ascii="宋体" w:hAnsi="宋体" w:eastAsia="宋体" w:cs="宋体"/>
          <w:spacing w:val="2"/>
          <w:sz w:val="23"/>
          <w:szCs w:val="23"/>
        </w:rPr>
        <w:t xml:space="preserve">和 </w:t>
      </w:r>
      <w:r>
        <w:rPr>
          <w:rFonts w:ascii="Times New Roman" w:hAnsi="Times New Roman" w:eastAsia="Times New Roman" w:cs="Times New Roman"/>
          <w:sz w:val="23"/>
          <w:szCs w:val="23"/>
        </w:rPr>
        <w:t>H</w:t>
      </w:r>
      <w:r>
        <w:rPr>
          <w:rFonts w:ascii="Times New Roman" w:hAnsi="Times New Roman" w:eastAsia="Times New Roman" w:cs="Times New Roman"/>
          <w:spacing w:val="2"/>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 xml:space="preserve">的排放量可减少约 </w:t>
      </w:r>
      <w:r>
        <w:rPr>
          <w:rFonts w:ascii="Times New Roman" w:hAnsi="Times New Roman" w:eastAsia="Times New Roman" w:cs="Times New Roman"/>
          <w:spacing w:val="2"/>
          <w:sz w:val="23"/>
          <w:szCs w:val="23"/>
        </w:rPr>
        <w:t>55%</w:t>
      </w:r>
      <w:r>
        <w:rPr>
          <w:rFonts w:ascii="宋体" w:hAnsi="宋体" w:eastAsia="宋体" w:cs="宋体"/>
          <w:spacing w:val="1"/>
          <w:sz w:val="23"/>
          <w:szCs w:val="23"/>
        </w:rPr>
        <w:t>。</w:t>
      </w:r>
    </w:p>
    <w:p w14:paraId="54EAEBFF">
      <w:pPr>
        <w:spacing w:before="3" w:line="374" w:lineRule="auto"/>
        <w:ind w:left="117" w:right="107" w:firstLine="479"/>
        <w:rPr>
          <w:rFonts w:ascii="宋体" w:hAnsi="宋体" w:eastAsia="宋体" w:cs="宋体"/>
          <w:sz w:val="23"/>
          <w:szCs w:val="23"/>
        </w:rPr>
      </w:pPr>
      <w:r>
        <w:rPr>
          <w:rFonts w:ascii="宋体" w:hAnsi="宋体" w:eastAsia="宋体" w:cs="宋体"/>
          <w:spacing w:val="10"/>
          <w:sz w:val="23"/>
          <w:szCs w:val="23"/>
        </w:rPr>
        <w:t>③</w:t>
      </w:r>
      <w:r>
        <w:rPr>
          <w:rFonts w:ascii="宋体" w:hAnsi="宋体" w:eastAsia="宋体" w:cs="宋体"/>
          <w:spacing w:val="7"/>
          <w:sz w:val="23"/>
          <w:szCs w:val="23"/>
        </w:rPr>
        <w:t>本项目再通过采用生物除臭剂喷洒去除猪舍的恶臭。项目根据《自然科学》现代化农</w:t>
      </w:r>
      <w:r>
        <w:rPr>
          <w:rFonts w:ascii="宋体" w:hAnsi="宋体" w:eastAsia="宋体" w:cs="宋体"/>
          <w:sz w:val="23"/>
          <w:szCs w:val="23"/>
        </w:rPr>
        <w:t xml:space="preserve"> </w:t>
      </w:r>
      <w:r>
        <w:rPr>
          <w:rFonts w:ascii="宋体" w:hAnsi="宋体" w:eastAsia="宋体" w:cs="宋体"/>
          <w:spacing w:val="2"/>
          <w:sz w:val="23"/>
          <w:szCs w:val="23"/>
        </w:rPr>
        <w:t>业，</w:t>
      </w:r>
      <w:r>
        <w:rPr>
          <w:rFonts w:ascii="Times New Roman" w:hAnsi="Times New Roman" w:eastAsia="Times New Roman" w:cs="Times New Roman"/>
          <w:spacing w:val="2"/>
          <w:sz w:val="23"/>
          <w:szCs w:val="23"/>
        </w:rPr>
        <w:t xml:space="preserve">2011 </w:t>
      </w:r>
      <w:r>
        <w:rPr>
          <w:rFonts w:ascii="宋体" w:hAnsi="宋体" w:eastAsia="宋体" w:cs="宋体"/>
          <w:spacing w:val="2"/>
          <w:sz w:val="23"/>
          <w:szCs w:val="23"/>
        </w:rPr>
        <w:t xml:space="preserve">年第 </w:t>
      </w:r>
      <w:r>
        <w:rPr>
          <w:rFonts w:ascii="Times New Roman" w:hAnsi="Times New Roman" w:eastAsia="Times New Roman" w:cs="Times New Roman"/>
          <w:spacing w:val="2"/>
          <w:sz w:val="23"/>
          <w:szCs w:val="23"/>
        </w:rPr>
        <w:t xml:space="preserve">6 </w:t>
      </w:r>
      <w:r>
        <w:rPr>
          <w:rFonts w:ascii="宋体" w:hAnsi="宋体" w:eastAsia="宋体" w:cs="宋体"/>
          <w:spacing w:val="2"/>
          <w:sz w:val="23"/>
          <w:szCs w:val="23"/>
        </w:rPr>
        <w:t>期</w:t>
      </w:r>
      <w:r>
        <w:rPr>
          <w:rFonts w:ascii="Times New Roman" w:hAnsi="Times New Roman" w:eastAsia="Times New Roman" w:cs="Times New Roman"/>
          <w:spacing w:val="2"/>
          <w:sz w:val="23"/>
          <w:szCs w:val="23"/>
        </w:rPr>
        <w:t>(</w:t>
      </w:r>
      <w:r>
        <w:rPr>
          <w:rFonts w:ascii="宋体" w:hAnsi="宋体" w:eastAsia="宋体" w:cs="宋体"/>
          <w:spacing w:val="2"/>
          <w:sz w:val="23"/>
          <w:szCs w:val="23"/>
        </w:rPr>
        <w:t xml:space="preserve">总第 </w:t>
      </w:r>
      <w:r>
        <w:rPr>
          <w:rFonts w:ascii="Times New Roman" w:hAnsi="Times New Roman" w:eastAsia="Times New Roman" w:cs="Times New Roman"/>
          <w:spacing w:val="2"/>
          <w:sz w:val="23"/>
          <w:szCs w:val="23"/>
        </w:rPr>
        <w:t xml:space="preserve">383 </w:t>
      </w:r>
      <w:r>
        <w:rPr>
          <w:rFonts w:ascii="宋体" w:hAnsi="宋体" w:eastAsia="宋体" w:cs="宋体"/>
          <w:spacing w:val="2"/>
          <w:sz w:val="23"/>
          <w:szCs w:val="23"/>
        </w:rPr>
        <w:t>期</w:t>
      </w:r>
      <w:r>
        <w:rPr>
          <w:rFonts w:ascii="Times New Roman" w:hAnsi="Times New Roman" w:eastAsia="Times New Roman" w:cs="Times New Roman"/>
          <w:spacing w:val="2"/>
          <w:sz w:val="23"/>
          <w:szCs w:val="23"/>
        </w:rPr>
        <w:t>)“</w:t>
      </w:r>
      <w:r>
        <w:rPr>
          <w:rFonts w:ascii="宋体" w:hAnsi="宋体" w:eastAsia="宋体" w:cs="宋体"/>
          <w:spacing w:val="2"/>
          <w:sz w:val="23"/>
          <w:szCs w:val="23"/>
        </w:rPr>
        <w:t>微生物除臭剂研究进展</w:t>
      </w:r>
      <w:r>
        <w:rPr>
          <w:rFonts w:ascii="Times New Roman" w:hAnsi="Times New Roman" w:eastAsia="Times New Roman" w:cs="Times New Roman"/>
          <w:spacing w:val="2"/>
          <w:sz w:val="23"/>
          <w:szCs w:val="23"/>
        </w:rPr>
        <w:t>”</w:t>
      </w:r>
      <w:r>
        <w:rPr>
          <w:rFonts w:ascii="宋体" w:hAnsi="宋体" w:eastAsia="宋体" w:cs="宋体"/>
          <w:spacing w:val="2"/>
          <w:sz w:val="23"/>
          <w:szCs w:val="23"/>
        </w:rPr>
        <w:t>赵晓锋</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隋文志的资料，经国家</w:t>
      </w:r>
      <w:r>
        <w:rPr>
          <w:rFonts w:ascii="宋体" w:hAnsi="宋体" w:eastAsia="宋体" w:cs="宋体"/>
          <w:spacing w:val="1"/>
          <w:sz w:val="23"/>
          <w:szCs w:val="23"/>
        </w:rPr>
        <w:t>环</w:t>
      </w:r>
      <w:r>
        <w:rPr>
          <w:rFonts w:ascii="宋体" w:hAnsi="宋体" w:eastAsia="宋体" w:cs="宋体"/>
          <w:sz w:val="23"/>
          <w:szCs w:val="23"/>
        </w:rPr>
        <w:t xml:space="preserve">境 </w:t>
      </w:r>
      <w:r>
        <w:rPr>
          <w:rFonts w:ascii="宋体" w:hAnsi="宋体" w:eastAsia="宋体" w:cs="宋体"/>
          <w:spacing w:val="12"/>
          <w:sz w:val="23"/>
          <w:szCs w:val="23"/>
        </w:rPr>
        <w:t>分析测</w:t>
      </w:r>
      <w:r>
        <w:rPr>
          <w:rFonts w:ascii="宋体" w:hAnsi="宋体" w:eastAsia="宋体" w:cs="宋体"/>
          <w:spacing w:val="9"/>
          <w:sz w:val="23"/>
          <w:szCs w:val="23"/>
        </w:rPr>
        <w:t>试</w:t>
      </w:r>
      <w:r>
        <w:rPr>
          <w:rFonts w:ascii="宋体" w:hAnsi="宋体" w:eastAsia="宋体" w:cs="宋体"/>
          <w:spacing w:val="6"/>
          <w:sz w:val="23"/>
          <w:szCs w:val="23"/>
        </w:rPr>
        <w:t xml:space="preserve">中心和陕西环境监测中心测试养殖场生物除臭剂对 </w:t>
      </w:r>
      <w:r>
        <w:rPr>
          <w:rFonts w:ascii="Times New Roman" w:hAnsi="Times New Roman" w:eastAsia="Times New Roman" w:cs="Times New Roman"/>
          <w:sz w:val="23"/>
          <w:szCs w:val="23"/>
        </w:rPr>
        <w:t>NH</w:t>
      </w:r>
      <w:r>
        <w:rPr>
          <w:rFonts w:ascii="Times New Roman" w:hAnsi="Times New Roman" w:eastAsia="Times New Roman" w:cs="Times New Roman"/>
          <w:spacing w:val="6"/>
          <w:position w:val="-1"/>
          <w:sz w:val="15"/>
          <w:szCs w:val="15"/>
        </w:rPr>
        <w:t xml:space="preserve">3 </w:t>
      </w:r>
      <w:r>
        <w:rPr>
          <w:rFonts w:ascii="宋体" w:hAnsi="宋体" w:eastAsia="宋体" w:cs="宋体"/>
          <w:spacing w:val="6"/>
          <w:sz w:val="23"/>
          <w:szCs w:val="23"/>
        </w:rPr>
        <w:t xml:space="preserve">和 </w:t>
      </w:r>
      <w:r>
        <w:rPr>
          <w:rFonts w:ascii="Times New Roman" w:hAnsi="Times New Roman" w:eastAsia="Times New Roman" w:cs="Times New Roman"/>
          <w:sz w:val="23"/>
          <w:szCs w:val="23"/>
        </w:rPr>
        <w:t>H</w:t>
      </w:r>
      <w:r>
        <w:rPr>
          <w:rFonts w:ascii="Times New Roman" w:hAnsi="Times New Roman" w:eastAsia="Times New Roman" w:cs="Times New Roman"/>
          <w:spacing w:val="6"/>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的平均去除效率约</w:t>
      </w:r>
      <w:r>
        <w:rPr>
          <w:rFonts w:ascii="宋体" w:hAnsi="宋体" w:eastAsia="宋体" w:cs="宋体"/>
          <w:sz w:val="23"/>
          <w:szCs w:val="23"/>
        </w:rPr>
        <w:t xml:space="preserve"> </w:t>
      </w:r>
      <w:r>
        <w:rPr>
          <w:rFonts w:ascii="宋体" w:hAnsi="宋体" w:eastAsia="宋体" w:cs="宋体"/>
          <w:spacing w:val="-6"/>
          <w:sz w:val="23"/>
          <w:szCs w:val="23"/>
        </w:rPr>
        <w:t xml:space="preserve">为 </w:t>
      </w:r>
      <w:r>
        <w:rPr>
          <w:rFonts w:ascii="Times New Roman" w:hAnsi="Times New Roman" w:eastAsia="Times New Roman" w:cs="Times New Roman"/>
          <w:spacing w:val="-6"/>
          <w:sz w:val="23"/>
          <w:szCs w:val="23"/>
        </w:rPr>
        <w:t>90%</w:t>
      </w:r>
      <w:r>
        <w:rPr>
          <w:rFonts w:ascii="宋体" w:hAnsi="宋体" w:eastAsia="宋体" w:cs="宋体"/>
          <w:spacing w:val="-6"/>
          <w:sz w:val="23"/>
          <w:szCs w:val="23"/>
        </w:rPr>
        <w:t>。</w:t>
      </w:r>
    </w:p>
    <w:p w14:paraId="536C6A14">
      <w:pPr>
        <w:spacing w:line="225" w:lineRule="auto"/>
        <w:ind w:left="596"/>
        <w:rPr>
          <w:rFonts w:ascii="宋体" w:hAnsi="宋体" w:eastAsia="宋体" w:cs="宋体"/>
          <w:sz w:val="23"/>
          <w:szCs w:val="23"/>
        </w:rPr>
      </w:pPr>
      <w:r>
        <w:rPr>
          <w:rFonts w:ascii="宋体" w:hAnsi="宋体" w:eastAsia="宋体" w:cs="宋体"/>
          <w:spacing w:val="10"/>
          <w:sz w:val="23"/>
          <w:szCs w:val="23"/>
        </w:rPr>
        <w:t>④</w:t>
      </w:r>
      <w:r>
        <w:rPr>
          <w:rFonts w:ascii="宋体" w:hAnsi="宋体" w:eastAsia="宋体" w:cs="宋体"/>
          <w:spacing w:val="7"/>
          <w:sz w:val="23"/>
          <w:szCs w:val="23"/>
        </w:rPr>
        <w:t>场区内利用一切空地、边角地带等地方合理布局和设置绿化，绿化树木选择能抗污力</w:t>
      </w:r>
    </w:p>
    <w:p w14:paraId="012E764F">
      <w:pPr>
        <w:spacing w:before="187" w:line="375" w:lineRule="auto"/>
        <w:ind w:left="129" w:right="107" w:hanging="6"/>
        <w:rPr>
          <w:rFonts w:ascii="宋体" w:hAnsi="宋体" w:eastAsia="宋体" w:cs="宋体"/>
          <w:sz w:val="23"/>
          <w:szCs w:val="23"/>
        </w:rPr>
      </w:pPr>
      <w:r>
        <w:rPr>
          <w:rFonts w:ascii="宋体" w:hAnsi="宋体" w:eastAsia="宋体" w:cs="宋体"/>
          <w:spacing w:val="8"/>
          <w:sz w:val="23"/>
          <w:szCs w:val="23"/>
        </w:rPr>
        <w:t>强</w:t>
      </w:r>
      <w:r>
        <w:rPr>
          <w:rFonts w:ascii="宋体" w:hAnsi="宋体" w:eastAsia="宋体" w:cs="宋体"/>
          <w:spacing w:val="7"/>
          <w:sz w:val="23"/>
          <w:szCs w:val="23"/>
        </w:rPr>
        <w:t>，净化空气好的植物，入松树、夹竹桃等，利用绿色植物吸收恶臭等物质，减轻臭气的影</w:t>
      </w:r>
      <w:r>
        <w:rPr>
          <w:rFonts w:ascii="宋体" w:hAnsi="宋体" w:eastAsia="宋体" w:cs="宋体"/>
          <w:sz w:val="23"/>
          <w:szCs w:val="23"/>
        </w:rPr>
        <w:t xml:space="preserve"> </w:t>
      </w:r>
      <w:r>
        <w:rPr>
          <w:rFonts w:ascii="宋体" w:hAnsi="宋体" w:eastAsia="宋体" w:cs="宋体"/>
          <w:spacing w:val="6"/>
          <w:sz w:val="23"/>
          <w:szCs w:val="23"/>
        </w:rPr>
        <w:t>响</w:t>
      </w:r>
      <w:r>
        <w:rPr>
          <w:rFonts w:ascii="宋体" w:hAnsi="宋体" w:eastAsia="宋体" w:cs="宋体"/>
          <w:spacing w:val="3"/>
          <w:sz w:val="23"/>
          <w:szCs w:val="23"/>
        </w:rPr>
        <w:t xml:space="preserve">，预计可减少恶臭 </w:t>
      </w:r>
      <w:r>
        <w:rPr>
          <w:rFonts w:ascii="Times New Roman" w:hAnsi="Times New Roman" w:eastAsia="Times New Roman" w:cs="Times New Roman"/>
          <w:spacing w:val="3"/>
          <w:sz w:val="23"/>
          <w:szCs w:val="23"/>
        </w:rPr>
        <w:t>50%</w:t>
      </w:r>
      <w:r>
        <w:rPr>
          <w:rFonts w:ascii="宋体" w:hAnsi="宋体" w:eastAsia="宋体" w:cs="宋体"/>
          <w:spacing w:val="3"/>
          <w:sz w:val="23"/>
          <w:szCs w:val="23"/>
        </w:rPr>
        <w:t>以上。</w:t>
      </w:r>
    </w:p>
    <w:p w14:paraId="6E7D5D88">
      <w:pPr>
        <w:spacing w:before="2" w:line="374" w:lineRule="auto"/>
        <w:ind w:left="118" w:right="107" w:firstLine="480"/>
        <w:rPr>
          <w:rFonts w:ascii="宋体" w:hAnsi="宋体" w:eastAsia="宋体" w:cs="宋体"/>
          <w:sz w:val="23"/>
          <w:szCs w:val="23"/>
        </w:rPr>
      </w:pPr>
      <w:r>
        <w:rPr>
          <w:rFonts w:ascii="宋体" w:hAnsi="宋体" w:eastAsia="宋体" w:cs="宋体"/>
          <w:spacing w:val="7"/>
          <w:sz w:val="23"/>
          <w:szCs w:val="23"/>
        </w:rPr>
        <w:t>本项目通过喷洒除臭剂、饲料添加活菌剂及厂区绿化的措施后，恶臭气体由排风扇排出</w:t>
      </w:r>
      <w:r>
        <w:rPr>
          <w:rFonts w:ascii="宋体" w:hAnsi="宋体" w:eastAsia="宋体" w:cs="宋体"/>
          <w:sz w:val="23"/>
          <w:szCs w:val="23"/>
        </w:rPr>
        <w:t xml:space="preserve"> </w:t>
      </w:r>
      <w:r>
        <w:rPr>
          <w:rFonts w:ascii="宋体" w:hAnsi="宋体" w:eastAsia="宋体" w:cs="宋体"/>
          <w:spacing w:val="10"/>
          <w:sz w:val="23"/>
          <w:szCs w:val="23"/>
        </w:rPr>
        <w:t>猪舍外，</w:t>
      </w:r>
      <w:r>
        <w:rPr>
          <w:rFonts w:ascii="宋体" w:hAnsi="宋体" w:eastAsia="宋体" w:cs="宋体"/>
          <w:spacing w:val="5"/>
          <w:sz w:val="23"/>
          <w:szCs w:val="23"/>
        </w:rPr>
        <w:t xml:space="preserve">呈无组织排放。则猪舍中 </w:t>
      </w:r>
      <w:r>
        <w:rPr>
          <w:rFonts w:ascii="Times New Roman" w:hAnsi="Times New Roman" w:eastAsia="Times New Roman" w:cs="Times New Roman"/>
          <w:sz w:val="23"/>
          <w:szCs w:val="23"/>
        </w:rPr>
        <w:t>NH</w:t>
      </w:r>
      <w:r>
        <w:rPr>
          <w:rFonts w:ascii="Times New Roman" w:hAnsi="Times New Roman" w:eastAsia="Times New Roman" w:cs="Times New Roman"/>
          <w:spacing w:val="5"/>
          <w:position w:val="-1"/>
          <w:sz w:val="15"/>
          <w:szCs w:val="15"/>
        </w:rPr>
        <w:t xml:space="preserve">3 </w:t>
      </w:r>
      <w:r>
        <w:rPr>
          <w:rFonts w:ascii="宋体" w:hAnsi="宋体" w:eastAsia="宋体" w:cs="宋体"/>
          <w:spacing w:val="5"/>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5"/>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的排放情况见下表。</w:t>
      </w:r>
    </w:p>
    <w:p w14:paraId="5A7A2A62">
      <w:pPr>
        <w:spacing w:line="221" w:lineRule="auto"/>
        <w:ind w:left="2447"/>
        <w:rPr>
          <w:rFonts w:ascii="黑体" w:hAnsi="黑体" w:eastAsia="黑体" w:cs="黑体"/>
          <w:sz w:val="23"/>
          <w:szCs w:val="23"/>
        </w:rPr>
      </w:pPr>
      <w:r>
        <w:rPr>
          <w:rFonts w:ascii="黑体" w:hAnsi="黑体" w:eastAsia="黑体" w:cs="黑体"/>
          <w:spacing w:val="-1"/>
          <w:sz w:val="23"/>
          <w:szCs w:val="23"/>
        </w:rPr>
        <w:t xml:space="preserve">表 </w:t>
      </w:r>
      <w:r>
        <w:rPr>
          <w:rFonts w:ascii="Times New Roman" w:hAnsi="Times New Roman" w:eastAsia="Times New Roman" w:cs="Times New Roman"/>
          <w:spacing w:val="-1"/>
          <w:sz w:val="23"/>
          <w:szCs w:val="23"/>
        </w:rPr>
        <w:t xml:space="preserve">3.3- 14  </w:t>
      </w:r>
      <w:r>
        <w:rPr>
          <w:rFonts w:ascii="黑体" w:hAnsi="黑体" w:eastAsia="黑体" w:cs="黑体"/>
          <w:spacing w:val="-1"/>
          <w:sz w:val="23"/>
          <w:szCs w:val="23"/>
        </w:rPr>
        <w:t xml:space="preserve">项目猪舍 </w:t>
      </w:r>
      <w:r>
        <w:rPr>
          <w:rFonts w:ascii="Times New Roman" w:hAnsi="Times New Roman" w:eastAsia="Times New Roman" w:cs="Times New Roman"/>
          <w:sz w:val="23"/>
          <w:szCs w:val="23"/>
        </w:rPr>
        <w:t>NH</w:t>
      </w:r>
      <w:r>
        <w:rPr>
          <w:rFonts w:ascii="Times New Roman" w:hAnsi="Times New Roman" w:eastAsia="Times New Roman" w:cs="Times New Roman"/>
          <w:spacing w:val="-1"/>
          <w:position w:val="-1"/>
          <w:sz w:val="15"/>
          <w:szCs w:val="15"/>
        </w:rPr>
        <w:t xml:space="preserve">3 </w:t>
      </w:r>
      <w:r>
        <w:rPr>
          <w:rFonts w:ascii="黑体" w:hAnsi="黑体" w:eastAsia="黑体" w:cs="黑体"/>
          <w:spacing w:val="-1"/>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1"/>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1"/>
          <w:sz w:val="23"/>
          <w:szCs w:val="23"/>
        </w:rPr>
        <w:t xml:space="preserve"> </w:t>
      </w:r>
      <w:r>
        <w:rPr>
          <w:rFonts w:ascii="黑体" w:hAnsi="黑体" w:eastAsia="黑体" w:cs="黑体"/>
          <w:spacing w:val="-1"/>
          <w:sz w:val="23"/>
          <w:szCs w:val="23"/>
        </w:rPr>
        <w:t>产排情</w:t>
      </w:r>
      <w:r>
        <w:rPr>
          <w:rFonts w:ascii="黑体" w:hAnsi="黑体" w:eastAsia="黑体" w:cs="黑体"/>
          <w:sz w:val="23"/>
          <w:szCs w:val="23"/>
        </w:rPr>
        <w:t>况一览表</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57"/>
        <w:gridCol w:w="1240"/>
        <w:gridCol w:w="1301"/>
        <w:gridCol w:w="2870"/>
        <w:gridCol w:w="1189"/>
        <w:gridCol w:w="1655"/>
      </w:tblGrid>
      <w:tr w14:paraId="0D56BD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457" w:type="dxa"/>
            <w:vMerge w:val="restart"/>
            <w:tcBorders>
              <w:left w:val="nil"/>
              <w:bottom w:val="nil"/>
            </w:tcBorders>
          </w:tcPr>
          <w:p w14:paraId="1BB8E046">
            <w:pPr>
              <w:spacing w:before="221" w:line="228" w:lineRule="auto"/>
              <w:ind w:left="423"/>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污染物</w:t>
            </w:r>
          </w:p>
        </w:tc>
        <w:tc>
          <w:tcPr>
            <w:tcW w:w="2541" w:type="dxa"/>
            <w:gridSpan w:val="2"/>
          </w:tcPr>
          <w:p w14:paraId="1E809BC6">
            <w:pPr>
              <w:spacing w:before="76" w:line="228" w:lineRule="auto"/>
              <w:ind w:left="961"/>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产</w:t>
            </w:r>
            <w:r>
              <w:rPr>
                <w:rFonts w:ascii="宋体" w:hAnsi="宋体" w:eastAsia="宋体" w:cs="宋体"/>
                <w:spacing w:val="7"/>
                <w:sz w:val="20"/>
                <w:szCs w:val="20"/>
                <w14:textOutline w14:w="3797" w14:cap="sq" w14:cmpd="sng" w14:algn="ctr">
                  <w14:solidFill>
                    <w14:srgbClr w14:val="000000"/>
                  </w14:solidFill>
                  <w14:prstDash w14:val="solid"/>
                  <w14:bevel/>
                </w14:textOutline>
              </w:rPr>
              <w:t>生量</w:t>
            </w:r>
          </w:p>
        </w:tc>
        <w:tc>
          <w:tcPr>
            <w:tcW w:w="2870" w:type="dxa"/>
            <w:vMerge w:val="restart"/>
            <w:tcBorders>
              <w:bottom w:val="nil"/>
            </w:tcBorders>
          </w:tcPr>
          <w:p w14:paraId="46E4B333">
            <w:pPr>
              <w:spacing w:before="220" w:line="228" w:lineRule="auto"/>
              <w:ind w:left="711"/>
              <w:rPr>
                <w:rFonts w:ascii="宋体" w:hAnsi="宋体" w:eastAsia="宋体" w:cs="宋体"/>
                <w:sz w:val="20"/>
                <w:szCs w:val="20"/>
              </w:rPr>
            </w:pPr>
            <w:r>
              <w:rPr>
                <w:rFonts w:ascii="宋体" w:hAnsi="宋体" w:eastAsia="宋体" w:cs="宋体"/>
                <w:spacing w:val="13"/>
                <w:sz w:val="20"/>
                <w:szCs w:val="20"/>
                <w14:textOutline w14:w="3797" w14:cap="sq" w14:cmpd="sng" w14:algn="ctr">
                  <w14:solidFill>
                    <w14:srgbClr w14:val="000000"/>
                  </w14:solidFill>
                  <w14:prstDash w14:val="solid"/>
                  <w14:bevel/>
                </w14:textOutline>
              </w:rPr>
              <w:t>处</w:t>
            </w:r>
            <w:r>
              <w:rPr>
                <w:rFonts w:ascii="宋体" w:hAnsi="宋体" w:eastAsia="宋体" w:cs="宋体"/>
                <w:spacing w:val="8"/>
                <w:sz w:val="20"/>
                <w:szCs w:val="20"/>
                <w14:textOutline w14:w="3797" w14:cap="sq" w14:cmpd="sng" w14:algn="ctr">
                  <w14:solidFill>
                    <w14:srgbClr w14:val="000000"/>
                  </w14:solidFill>
                  <w14:prstDash w14:val="solid"/>
                  <w14:bevel/>
                </w14:textOutline>
              </w:rPr>
              <w:t>理方法与效率</w:t>
            </w:r>
          </w:p>
        </w:tc>
        <w:tc>
          <w:tcPr>
            <w:tcW w:w="2844" w:type="dxa"/>
            <w:gridSpan w:val="2"/>
            <w:tcBorders>
              <w:right w:val="nil"/>
            </w:tcBorders>
          </w:tcPr>
          <w:p w14:paraId="4EBB952D">
            <w:pPr>
              <w:spacing w:before="77" w:line="229" w:lineRule="auto"/>
              <w:ind w:left="1113"/>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排</w:t>
            </w:r>
            <w:r>
              <w:rPr>
                <w:rFonts w:ascii="宋体" w:hAnsi="宋体" w:eastAsia="宋体" w:cs="宋体"/>
                <w:spacing w:val="7"/>
                <w:sz w:val="20"/>
                <w:szCs w:val="20"/>
                <w14:textOutline w14:w="3797" w14:cap="sq" w14:cmpd="sng" w14:algn="ctr">
                  <w14:solidFill>
                    <w14:srgbClr w14:val="000000"/>
                  </w14:solidFill>
                  <w14:prstDash w14:val="solid"/>
                  <w14:bevel/>
                </w14:textOutline>
              </w:rPr>
              <w:t>放量</w:t>
            </w:r>
          </w:p>
        </w:tc>
      </w:tr>
      <w:tr w14:paraId="739F66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457" w:type="dxa"/>
            <w:vMerge w:val="continue"/>
            <w:tcBorders>
              <w:top w:val="nil"/>
              <w:left w:val="nil"/>
            </w:tcBorders>
          </w:tcPr>
          <w:p w14:paraId="53B1F09C"/>
        </w:tc>
        <w:tc>
          <w:tcPr>
            <w:tcW w:w="1240" w:type="dxa"/>
          </w:tcPr>
          <w:p w14:paraId="6C686138">
            <w:pPr>
              <w:spacing w:line="281" w:lineRule="exact"/>
              <w:ind w:left="427"/>
              <w:rPr>
                <w:rFonts w:ascii="Times New Roman" w:hAnsi="Times New Roman" w:eastAsia="Times New Roman" w:cs="Times New Roman"/>
                <w:sz w:val="20"/>
                <w:szCs w:val="20"/>
              </w:rPr>
            </w:pPr>
            <w:r>
              <w:rPr>
                <w:rFonts w:ascii="Times New Roman" w:hAnsi="Times New Roman" w:eastAsia="Times New Roman" w:cs="Times New Roman"/>
                <w:b/>
                <w:bCs/>
                <w:position w:val="4"/>
                <w:sz w:val="20"/>
                <w:szCs w:val="20"/>
              </w:rPr>
              <w:t>kg</w:t>
            </w:r>
            <w:r>
              <w:rPr>
                <w:rFonts w:ascii="Times New Roman" w:hAnsi="Times New Roman" w:eastAsia="Times New Roman" w:cs="Times New Roman"/>
                <w:b/>
                <w:bCs/>
                <w:spacing w:val="9"/>
                <w:position w:val="4"/>
                <w:sz w:val="20"/>
                <w:szCs w:val="20"/>
              </w:rPr>
              <w:t>/</w:t>
            </w:r>
            <w:r>
              <w:rPr>
                <w:rFonts w:ascii="Times New Roman" w:hAnsi="Times New Roman" w:eastAsia="Times New Roman" w:cs="Times New Roman"/>
                <w:b/>
                <w:bCs/>
                <w:position w:val="4"/>
                <w:sz w:val="20"/>
                <w:szCs w:val="20"/>
              </w:rPr>
              <w:t>h</w:t>
            </w:r>
          </w:p>
        </w:tc>
        <w:tc>
          <w:tcPr>
            <w:tcW w:w="1301" w:type="dxa"/>
          </w:tcPr>
          <w:p w14:paraId="7B66854B">
            <w:pPr>
              <w:spacing w:before="117" w:line="141" w:lineRule="exact"/>
              <w:ind w:left="668"/>
              <w:rPr>
                <w:rFonts w:ascii="Times New Roman" w:hAnsi="Times New Roman" w:eastAsia="Times New Roman" w:cs="Times New Roman"/>
                <w:sz w:val="20"/>
                <w:szCs w:val="20"/>
              </w:rPr>
            </w:pPr>
            <w:r>
              <w:pict>
                <v:shape id="_x0000_s2085" o:spid="_x0000_s2085" o:spt="202" type="#_x0000_t202" style="position:absolute;left:0pt;margin-left:25.95pt;margin-top:-1pt;height:16.45pt;width:8.25pt;mso-position-horizontal-relative:page;mso-position-vertical-relative:page;z-index:251713536;mso-width-relative:page;mso-height-relative:page;" filled="f" stroked="f" coordsize="21600,21600">
                  <v:path/>
                  <v:fill on="f" focussize="0,0"/>
                  <v:stroke on="f" joinstyle="miter"/>
                  <v:imagedata o:title=""/>
                  <o:lock v:ext="edit"/>
                  <v:textbox inset="0mm,0mm,0mm,0mm">
                    <w:txbxContent>
                      <w:p w14:paraId="4E5A4211">
                        <w:pPr>
                          <w:spacing w:before="20" w:line="288" w:lineRule="exact"/>
                          <w:ind w:left="20"/>
                          <w:rPr>
                            <w:rFonts w:ascii="Times New Roman" w:hAnsi="Times New Roman" w:eastAsia="Times New Roman" w:cs="Times New Roman"/>
                            <w:sz w:val="20"/>
                            <w:szCs w:val="20"/>
                          </w:rPr>
                        </w:pPr>
                        <w:r>
                          <w:rPr>
                            <w:rFonts w:ascii="Times New Roman" w:hAnsi="Times New Roman" w:eastAsia="Times New Roman" w:cs="Times New Roman"/>
                            <w:b/>
                            <w:bCs/>
                            <w:position w:val="2"/>
                            <w:sz w:val="20"/>
                            <w:szCs w:val="20"/>
                          </w:rPr>
                          <w:t>t</w:t>
                        </w:r>
                        <w:r>
                          <w:rPr>
                            <w:rFonts w:ascii="Times New Roman" w:hAnsi="Times New Roman" w:eastAsia="Times New Roman" w:cs="Times New Roman"/>
                            <w:b/>
                            <w:bCs/>
                            <w:spacing w:val="2"/>
                            <w:position w:val="2"/>
                            <w:sz w:val="20"/>
                            <w:szCs w:val="20"/>
                          </w:rPr>
                          <w:t>/</w:t>
                        </w:r>
                      </w:p>
                    </w:txbxContent>
                  </v:textbox>
                </v:shape>
              </w:pict>
            </w:r>
            <w:r>
              <w:rPr>
                <w:rFonts w:ascii="Times New Roman" w:hAnsi="Times New Roman" w:eastAsia="Times New Roman" w:cs="Times New Roman"/>
                <w:b/>
                <w:bCs/>
                <w:sz w:val="20"/>
                <w:szCs w:val="20"/>
              </w:rPr>
              <w:t>a</w:t>
            </w:r>
          </w:p>
        </w:tc>
        <w:tc>
          <w:tcPr>
            <w:tcW w:w="2870" w:type="dxa"/>
            <w:vMerge w:val="continue"/>
            <w:tcBorders>
              <w:top w:val="nil"/>
            </w:tcBorders>
          </w:tcPr>
          <w:p w14:paraId="27149A70"/>
        </w:tc>
        <w:tc>
          <w:tcPr>
            <w:tcW w:w="1189" w:type="dxa"/>
          </w:tcPr>
          <w:p w14:paraId="5C758ED5">
            <w:pPr>
              <w:spacing w:line="281" w:lineRule="exact"/>
              <w:ind w:left="401"/>
              <w:rPr>
                <w:rFonts w:ascii="Times New Roman" w:hAnsi="Times New Roman" w:eastAsia="Times New Roman" w:cs="Times New Roman"/>
                <w:sz w:val="20"/>
                <w:szCs w:val="20"/>
              </w:rPr>
            </w:pPr>
            <w:r>
              <w:rPr>
                <w:rFonts w:ascii="Times New Roman" w:hAnsi="Times New Roman" w:eastAsia="Times New Roman" w:cs="Times New Roman"/>
                <w:b/>
                <w:bCs/>
                <w:position w:val="4"/>
                <w:sz w:val="20"/>
                <w:szCs w:val="20"/>
              </w:rPr>
              <w:t>kg</w:t>
            </w:r>
            <w:r>
              <w:rPr>
                <w:rFonts w:ascii="Times New Roman" w:hAnsi="Times New Roman" w:eastAsia="Times New Roman" w:cs="Times New Roman"/>
                <w:b/>
                <w:bCs/>
                <w:spacing w:val="9"/>
                <w:position w:val="4"/>
                <w:sz w:val="20"/>
                <w:szCs w:val="20"/>
              </w:rPr>
              <w:t>/</w:t>
            </w:r>
            <w:r>
              <w:rPr>
                <w:rFonts w:ascii="Times New Roman" w:hAnsi="Times New Roman" w:eastAsia="Times New Roman" w:cs="Times New Roman"/>
                <w:b/>
                <w:bCs/>
                <w:position w:val="4"/>
                <w:sz w:val="20"/>
                <w:szCs w:val="20"/>
              </w:rPr>
              <w:t>h</w:t>
            </w:r>
          </w:p>
        </w:tc>
        <w:tc>
          <w:tcPr>
            <w:tcW w:w="1655" w:type="dxa"/>
            <w:tcBorders>
              <w:right w:val="nil"/>
            </w:tcBorders>
          </w:tcPr>
          <w:p w14:paraId="24F55A8C">
            <w:pPr>
              <w:spacing w:before="117" w:line="141" w:lineRule="exact"/>
              <w:ind w:left="845"/>
              <w:rPr>
                <w:rFonts w:ascii="Times New Roman" w:hAnsi="Times New Roman" w:eastAsia="Times New Roman" w:cs="Times New Roman"/>
                <w:sz w:val="20"/>
                <w:szCs w:val="20"/>
              </w:rPr>
            </w:pPr>
            <w:r>
              <w:pict>
                <v:shape id="_x0000_s2086" o:spid="_x0000_s2086" o:spt="202" type="#_x0000_t202" style="position:absolute;left:0pt;margin-left:34.75pt;margin-top:-1pt;height:16.45pt;width:8.25pt;mso-position-horizontal-relative:page;mso-position-vertical-relative:page;z-index:251714560;mso-width-relative:page;mso-height-relative:page;" filled="f" stroked="f" coordsize="21600,21600">
                  <v:path/>
                  <v:fill on="f" focussize="0,0"/>
                  <v:stroke on="f" joinstyle="miter"/>
                  <v:imagedata o:title=""/>
                  <o:lock v:ext="edit"/>
                  <v:textbox inset="0mm,0mm,0mm,0mm">
                    <w:txbxContent>
                      <w:p w14:paraId="1E390CF0">
                        <w:pPr>
                          <w:spacing w:before="20" w:line="288" w:lineRule="exact"/>
                          <w:ind w:left="20"/>
                          <w:rPr>
                            <w:rFonts w:ascii="Times New Roman" w:hAnsi="Times New Roman" w:eastAsia="Times New Roman" w:cs="Times New Roman"/>
                            <w:sz w:val="20"/>
                            <w:szCs w:val="20"/>
                          </w:rPr>
                        </w:pPr>
                        <w:r>
                          <w:rPr>
                            <w:rFonts w:ascii="Times New Roman" w:hAnsi="Times New Roman" w:eastAsia="Times New Roman" w:cs="Times New Roman"/>
                            <w:b/>
                            <w:bCs/>
                            <w:position w:val="2"/>
                            <w:sz w:val="20"/>
                            <w:szCs w:val="20"/>
                          </w:rPr>
                          <w:t>t</w:t>
                        </w:r>
                        <w:r>
                          <w:rPr>
                            <w:rFonts w:ascii="Times New Roman" w:hAnsi="Times New Roman" w:eastAsia="Times New Roman" w:cs="Times New Roman"/>
                            <w:b/>
                            <w:bCs/>
                            <w:spacing w:val="2"/>
                            <w:position w:val="2"/>
                            <w:sz w:val="20"/>
                            <w:szCs w:val="20"/>
                          </w:rPr>
                          <w:t>/</w:t>
                        </w:r>
                      </w:p>
                    </w:txbxContent>
                  </v:textbox>
                </v:shape>
              </w:pict>
            </w:r>
            <w:r>
              <w:rPr>
                <w:rFonts w:ascii="Times New Roman" w:hAnsi="Times New Roman" w:eastAsia="Times New Roman" w:cs="Times New Roman"/>
                <w:b/>
                <w:bCs/>
                <w:sz w:val="20"/>
                <w:szCs w:val="20"/>
              </w:rPr>
              <w:t>a</w:t>
            </w:r>
          </w:p>
        </w:tc>
      </w:tr>
      <w:tr w14:paraId="5B22AE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457" w:type="dxa"/>
            <w:tcBorders>
              <w:left w:val="nil"/>
            </w:tcBorders>
          </w:tcPr>
          <w:p w14:paraId="451FCAD4">
            <w:pPr>
              <w:spacing w:before="111" w:line="201" w:lineRule="auto"/>
              <w:ind w:left="540"/>
              <w:rPr>
                <w:rFonts w:ascii="Times New Roman" w:hAnsi="Times New Roman" w:eastAsia="Times New Roman" w:cs="Times New Roman"/>
                <w:sz w:val="13"/>
                <w:szCs w:val="13"/>
              </w:rPr>
            </w:pPr>
            <w:r>
              <w:rPr>
                <w:rFonts w:ascii="Times New Roman" w:hAnsi="Times New Roman" w:eastAsia="Times New Roman" w:cs="Times New Roman"/>
                <w:sz w:val="20"/>
                <w:szCs w:val="20"/>
              </w:rPr>
              <w:t>NH</w:t>
            </w:r>
            <w:r>
              <w:rPr>
                <w:rFonts w:ascii="Times New Roman" w:hAnsi="Times New Roman" w:eastAsia="Times New Roman" w:cs="Times New Roman"/>
                <w:spacing w:val="19"/>
                <w:position w:val="-1"/>
                <w:sz w:val="13"/>
                <w:szCs w:val="13"/>
              </w:rPr>
              <w:t>3</w:t>
            </w:r>
          </w:p>
        </w:tc>
        <w:tc>
          <w:tcPr>
            <w:tcW w:w="1240" w:type="dxa"/>
          </w:tcPr>
          <w:p w14:paraId="6FB4F1DE"/>
        </w:tc>
        <w:tc>
          <w:tcPr>
            <w:tcW w:w="1301" w:type="dxa"/>
          </w:tcPr>
          <w:p w14:paraId="0BAFBD19"/>
        </w:tc>
        <w:tc>
          <w:tcPr>
            <w:tcW w:w="2870" w:type="dxa"/>
            <w:vMerge w:val="restart"/>
            <w:tcBorders>
              <w:bottom w:val="nil"/>
            </w:tcBorders>
          </w:tcPr>
          <w:p w14:paraId="6FF62DD6"/>
        </w:tc>
        <w:tc>
          <w:tcPr>
            <w:tcW w:w="1189" w:type="dxa"/>
          </w:tcPr>
          <w:p w14:paraId="52496F11"/>
        </w:tc>
        <w:tc>
          <w:tcPr>
            <w:tcW w:w="1655" w:type="dxa"/>
            <w:tcBorders>
              <w:right w:val="nil"/>
            </w:tcBorders>
          </w:tcPr>
          <w:p w14:paraId="6636B09F"/>
        </w:tc>
      </w:tr>
      <w:tr w14:paraId="084FF6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 w:hRule="atLeast"/>
        </w:trPr>
        <w:tc>
          <w:tcPr>
            <w:tcW w:w="1457" w:type="dxa"/>
            <w:tcBorders>
              <w:left w:val="nil"/>
            </w:tcBorders>
          </w:tcPr>
          <w:p w14:paraId="5C917142">
            <w:pPr>
              <w:spacing w:before="56" w:line="202" w:lineRule="auto"/>
              <w:ind w:left="56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H</w:t>
            </w:r>
            <w:r>
              <w:rPr>
                <w:rFonts w:ascii="Times New Roman" w:hAnsi="Times New Roman" w:eastAsia="Times New Roman" w:cs="Times New Roman"/>
                <w:spacing w:val="-3"/>
                <w:position w:val="-1"/>
                <w:sz w:val="13"/>
                <w:szCs w:val="13"/>
              </w:rPr>
              <w:t xml:space="preserve">2 </w:t>
            </w:r>
            <w:r>
              <w:rPr>
                <w:rFonts w:ascii="Times New Roman" w:hAnsi="Times New Roman" w:eastAsia="Times New Roman" w:cs="Times New Roman"/>
                <w:spacing w:val="-3"/>
                <w:sz w:val="20"/>
                <w:szCs w:val="20"/>
              </w:rPr>
              <w:t>S</w:t>
            </w:r>
          </w:p>
        </w:tc>
        <w:tc>
          <w:tcPr>
            <w:tcW w:w="1240" w:type="dxa"/>
          </w:tcPr>
          <w:p w14:paraId="52B2E1F8"/>
        </w:tc>
        <w:tc>
          <w:tcPr>
            <w:tcW w:w="1301" w:type="dxa"/>
          </w:tcPr>
          <w:p w14:paraId="3393BDA3"/>
        </w:tc>
        <w:tc>
          <w:tcPr>
            <w:tcW w:w="2870" w:type="dxa"/>
            <w:vMerge w:val="continue"/>
            <w:tcBorders>
              <w:top w:val="nil"/>
            </w:tcBorders>
          </w:tcPr>
          <w:p w14:paraId="45DEE830"/>
        </w:tc>
        <w:tc>
          <w:tcPr>
            <w:tcW w:w="1189" w:type="dxa"/>
          </w:tcPr>
          <w:p w14:paraId="137E4857"/>
        </w:tc>
        <w:tc>
          <w:tcPr>
            <w:tcW w:w="1655" w:type="dxa"/>
            <w:tcBorders>
              <w:right w:val="nil"/>
            </w:tcBorders>
          </w:tcPr>
          <w:p w14:paraId="6EA9EF58"/>
        </w:tc>
      </w:tr>
    </w:tbl>
    <w:p w14:paraId="7EB39674">
      <w:pPr>
        <w:spacing w:before="36" w:line="227" w:lineRule="auto"/>
        <w:ind w:left="609"/>
        <w:rPr>
          <w:rFonts w:ascii="宋体" w:hAnsi="宋体" w:eastAsia="宋体" w:cs="宋体"/>
          <w:sz w:val="23"/>
          <w:szCs w:val="23"/>
        </w:rPr>
      </w:pP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6"/>
          <w:sz w:val="23"/>
          <w:szCs w:val="23"/>
        </w:rPr>
        <w:t>2</w:t>
      </w:r>
      <w:r>
        <w:rPr>
          <w:rFonts w:ascii="宋体" w:hAnsi="宋体" w:eastAsia="宋体" w:cs="宋体"/>
          <w:spacing w:val="16"/>
          <w:sz w:val="23"/>
          <w:szCs w:val="23"/>
          <w14:textOutline w14:w="4356" w14:cap="sq" w14:cmpd="sng" w14:algn="ctr">
            <w14:solidFill>
              <w14:srgbClr w14:val="000000"/>
            </w14:solidFill>
            <w14:prstDash w14:val="solid"/>
            <w14:bevel/>
          </w14:textOutline>
        </w:rPr>
        <w:t>)</w:t>
      </w:r>
      <w:r>
        <w:rPr>
          <w:rFonts w:ascii="宋体" w:hAnsi="宋体" w:eastAsia="宋体" w:cs="宋体"/>
          <w:spacing w:val="16"/>
          <w:sz w:val="23"/>
          <w:szCs w:val="23"/>
        </w:rPr>
        <w:t xml:space="preserve"> </w:t>
      </w:r>
      <w:r>
        <w:rPr>
          <w:rFonts w:ascii="宋体" w:hAnsi="宋体" w:eastAsia="宋体" w:cs="宋体"/>
          <w:spacing w:val="16"/>
          <w:sz w:val="23"/>
          <w:szCs w:val="23"/>
          <w14:textOutline w14:w="4356" w14:cap="sq" w14:cmpd="sng" w14:algn="ctr">
            <w14:solidFill>
              <w14:srgbClr w14:val="000000"/>
            </w14:solidFill>
            <w14:prstDash w14:val="solid"/>
            <w14:bevel/>
          </w14:textOutline>
        </w:rPr>
        <w:t>异位微生物发酵床恶臭</w:t>
      </w:r>
    </w:p>
    <w:p w14:paraId="4A9FE8A9">
      <w:pPr>
        <w:sectPr>
          <w:headerReference r:id="rId127" w:type="default"/>
          <w:footerReference r:id="rId128" w:type="default"/>
          <w:pgSz w:w="11907" w:h="16840"/>
          <w:pgMar w:top="829" w:right="1025" w:bottom="1139" w:left="1168" w:header="595" w:footer="953" w:gutter="0"/>
          <w:cols w:space="720" w:num="1"/>
        </w:sectPr>
      </w:pPr>
    </w:p>
    <w:p w14:paraId="73AD736F">
      <w:pPr>
        <w:spacing w:before="107" w:line="378" w:lineRule="auto"/>
        <w:ind w:left="10" w:right="60" w:firstLine="482"/>
        <w:rPr>
          <w:rFonts w:ascii="宋体" w:hAnsi="宋体" w:eastAsia="宋体" w:cs="宋体"/>
          <w:sz w:val="23"/>
          <w:szCs w:val="23"/>
        </w:rPr>
      </w:pPr>
      <w:r>
        <w:rPr>
          <w:rFonts w:ascii="宋体" w:hAnsi="宋体" w:eastAsia="宋体" w:cs="宋体"/>
          <w:spacing w:val="6"/>
          <w:sz w:val="23"/>
          <w:szCs w:val="23"/>
        </w:rPr>
        <w:t>本项目粪</w:t>
      </w:r>
      <w:r>
        <w:rPr>
          <w:rFonts w:ascii="宋体" w:hAnsi="宋体" w:eastAsia="宋体" w:cs="宋体"/>
          <w:spacing w:val="3"/>
          <w:sz w:val="23"/>
          <w:szCs w:val="23"/>
        </w:rPr>
        <w:t xml:space="preserve">污产生量为 </w:t>
      </w:r>
      <w:r>
        <w:rPr>
          <w:rFonts w:ascii="Times New Roman" w:hAnsi="Times New Roman" w:eastAsia="Times New Roman" w:cs="Times New Roman"/>
          <w:spacing w:val="3"/>
          <w:sz w:val="23"/>
          <w:szCs w:val="23"/>
        </w:rPr>
        <w:t>51. 168</w:t>
      </w:r>
      <w:r>
        <w:rPr>
          <w:rFonts w:ascii="Times New Roman" w:hAnsi="Times New Roman" w:eastAsia="Times New Roman" w:cs="Times New Roman"/>
          <w:sz w:val="23"/>
          <w:szCs w:val="23"/>
        </w:rPr>
        <w:t>t</w:t>
      </w:r>
      <w:r>
        <w:rPr>
          <w:rFonts w:ascii="Times New Roman" w:hAnsi="Times New Roman" w:eastAsia="Times New Roman" w:cs="Times New Roman"/>
          <w:spacing w:val="3"/>
          <w:sz w:val="23"/>
          <w:szCs w:val="23"/>
        </w:rPr>
        <w:t>/</w:t>
      </w:r>
      <w:r>
        <w:rPr>
          <w:rFonts w:ascii="Times New Roman" w:hAnsi="Times New Roman" w:eastAsia="Times New Roman" w:cs="Times New Roman"/>
          <w:sz w:val="23"/>
          <w:szCs w:val="23"/>
        </w:rPr>
        <w:t>d</w:t>
      </w:r>
      <w:r>
        <w:rPr>
          <w:rFonts w:ascii="宋体" w:hAnsi="宋体" w:eastAsia="宋体" w:cs="宋体"/>
          <w:spacing w:val="3"/>
          <w:sz w:val="23"/>
          <w:szCs w:val="23"/>
        </w:rPr>
        <w:t>，拟采用异位微生物发酵系统消纳处理。异位微生物发酵</w:t>
      </w:r>
      <w:r>
        <w:rPr>
          <w:rFonts w:ascii="宋体" w:hAnsi="宋体" w:eastAsia="宋体" w:cs="宋体"/>
          <w:sz w:val="23"/>
          <w:szCs w:val="23"/>
        </w:rPr>
        <w:t xml:space="preserve"> </w:t>
      </w:r>
      <w:r>
        <w:rPr>
          <w:rFonts w:ascii="宋体" w:hAnsi="宋体" w:eastAsia="宋体" w:cs="宋体"/>
          <w:spacing w:val="13"/>
          <w:sz w:val="23"/>
          <w:szCs w:val="23"/>
        </w:rPr>
        <w:t>床</w:t>
      </w:r>
      <w:r>
        <w:rPr>
          <w:rFonts w:ascii="宋体" w:hAnsi="宋体" w:eastAsia="宋体" w:cs="宋体"/>
          <w:spacing w:val="11"/>
          <w:sz w:val="23"/>
          <w:szCs w:val="23"/>
        </w:rPr>
        <w:t>技术成熟、可靠性好，本项目粪污处理工艺</w:t>
      </w:r>
      <w:r>
        <w:rPr>
          <w:rFonts w:ascii="Times New Roman" w:hAnsi="Times New Roman" w:eastAsia="Times New Roman" w:cs="Times New Roman"/>
          <w:spacing w:val="11"/>
          <w:sz w:val="23"/>
          <w:szCs w:val="23"/>
        </w:rPr>
        <w:t>-</w:t>
      </w:r>
      <w:r>
        <w:rPr>
          <w:rFonts w:ascii="宋体" w:hAnsi="宋体" w:eastAsia="宋体" w:cs="宋体"/>
          <w:spacing w:val="11"/>
          <w:sz w:val="23"/>
          <w:szCs w:val="23"/>
        </w:rPr>
        <w:t>异位微生物发酵床技术委托托四川卫美农生</w:t>
      </w:r>
      <w:r>
        <w:rPr>
          <w:rFonts w:ascii="宋体" w:hAnsi="宋体" w:eastAsia="宋体" w:cs="宋体"/>
          <w:sz w:val="23"/>
          <w:szCs w:val="23"/>
        </w:rPr>
        <w:t xml:space="preserve"> </w:t>
      </w:r>
      <w:r>
        <w:rPr>
          <w:rFonts w:ascii="宋体" w:hAnsi="宋体" w:eastAsia="宋体" w:cs="宋体"/>
          <w:spacing w:val="14"/>
          <w:sz w:val="23"/>
          <w:szCs w:val="23"/>
        </w:rPr>
        <w:t>态</w:t>
      </w:r>
      <w:r>
        <w:rPr>
          <w:rFonts w:ascii="宋体" w:hAnsi="宋体" w:eastAsia="宋体" w:cs="宋体"/>
          <w:spacing w:val="9"/>
          <w:sz w:val="23"/>
          <w:szCs w:val="23"/>
        </w:rPr>
        <w:t>农</w:t>
      </w:r>
      <w:r>
        <w:rPr>
          <w:rFonts w:ascii="宋体" w:hAnsi="宋体" w:eastAsia="宋体" w:cs="宋体"/>
          <w:spacing w:val="7"/>
          <w:sz w:val="23"/>
          <w:szCs w:val="23"/>
        </w:rPr>
        <w:t>业有限公司进行设计，根据建设单位提供的项目异位微生物发酵床处理设计报告，异位</w:t>
      </w:r>
      <w:r>
        <w:rPr>
          <w:rFonts w:ascii="宋体" w:hAnsi="宋体" w:eastAsia="宋体" w:cs="宋体"/>
          <w:sz w:val="23"/>
          <w:szCs w:val="23"/>
        </w:rPr>
        <w:t xml:space="preserve"> </w:t>
      </w:r>
      <w:r>
        <w:rPr>
          <w:rFonts w:ascii="宋体" w:hAnsi="宋体" w:eastAsia="宋体" w:cs="宋体"/>
          <w:spacing w:val="4"/>
          <w:sz w:val="23"/>
          <w:szCs w:val="23"/>
        </w:rPr>
        <w:t>微生物发酵床占地面积为</w:t>
      </w:r>
      <w:r>
        <w:rPr>
          <w:rFonts w:ascii="宋体" w:hAnsi="宋体" w:eastAsia="宋体" w:cs="宋体"/>
          <w:spacing w:val="2"/>
          <w:sz w:val="23"/>
          <w:szCs w:val="23"/>
        </w:rPr>
        <w:t xml:space="preserve"> </w:t>
      </w:r>
      <w:r>
        <w:rPr>
          <w:rFonts w:ascii="Times New Roman" w:hAnsi="Times New Roman" w:eastAsia="Times New Roman" w:cs="Times New Roman"/>
          <w:spacing w:val="2"/>
          <w:sz w:val="23"/>
          <w:szCs w:val="23"/>
        </w:rPr>
        <w:t>1600</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7"/>
          <w:sz w:val="15"/>
          <w:szCs w:val="15"/>
        </w:rPr>
        <w:t>2</w:t>
      </w:r>
      <w:r>
        <w:rPr>
          <w:rFonts w:ascii="宋体" w:hAnsi="宋体" w:eastAsia="宋体" w:cs="宋体"/>
          <w:spacing w:val="2"/>
          <w:sz w:val="23"/>
          <w:szCs w:val="23"/>
        </w:rPr>
        <w:t xml:space="preserve">，垫料总体积为 </w:t>
      </w:r>
      <w:r>
        <w:rPr>
          <w:rFonts w:ascii="Times New Roman" w:hAnsi="Times New Roman" w:eastAsia="Times New Roman" w:cs="Times New Roman"/>
          <w:spacing w:val="2"/>
          <w:sz w:val="23"/>
          <w:szCs w:val="23"/>
        </w:rPr>
        <w:t>2000</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7"/>
          <w:sz w:val="15"/>
          <w:szCs w:val="15"/>
        </w:rPr>
        <w:t>3</w:t>
      </w:r>
      <w:r>
        <w:rPr>
          <w:rFonts w:ascii="宋体" w:hAnsi="宋体" w:eastAsia="宋体" w:cs="宋体"/>
          <w:spacing w:val="2"/>
          <w:sz w:val="23"/>
          <w:szCs w:val="23"/>
        </w:rPr>
        <w:t xml:space="preserve">，处理规模为 </w:t>
      </w:r>
      <w:r>
        <w:rPr>
          <w:rFonts w:ascii="Times New Roman" w:hAnsi="Times New Roman" w:eastAsia="Times New Roman" w:cs="Times New Roman"/>
          <w:spacing w:val="2"/>
          <w:sz w:val="23"/>
          <w:szCs w:val="23"/>
        </w:rPr>
        <w:t>50</w:t>
      </w:r>
      <w:r>
        <w:rPr>
          <w:rFonts w:ascii="Times New Roman" w:hAnsi="Times New Roman" w:eastAsia="Times New Roman" w:cs="Times New Roman"/>
          <w:sz w:val="23"/>
          <w:szCs w:val="23"/>
        </w:rPr>
        <w:t>t</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d</w:t>
      </w:r>
      <w:r>
        <w:rPr>
          <w:rFonts w:ascii="宋体" w:hAnsi="宋体" w:eastAsia="宋体" w:cs="宋体"/>
          <w:spacing w:val="2"/>
          <w:sz w:val="23"/>
          <w:szCs w:val="23"/>
        </w:rPr>
        <w:t>，主要废气污染</w:t>
      </w:r>
      <w:r>
        <w:rPr>
          <w:rFonts w:ascii="宋体" w:hAnsi="宋体" w:eastAsia="宋体" w:cs="宋体"/>
          <w:sz w:val="23"/>
          <w:szCs w:val="23"/>
        </w:rPr>
        <w:t xml:space="preserve"> </w:t>
      </w:r>
      <w:r>
        <w:rPr>
          <w:rFonts w:ascii="宋体" w:hAnsi="宋体" w:eastAsia="宋体" w:cs="宋体"/>
          <w:spacing w:val="8"/>
          <w:sz w:val="23"/>
          <w:szCs w:val="23"/>
        </w:rPr>
        <w:t>物</w:t>
      </w:r>
      <w:r>
        <w:rPr>
          <w:rFonts w:ascii="宋体" w:hAnsi="宋体" w:eastAsia="宋体" w:cs="宋体"/>
          <w:spacing w:val="4"/>
          <w:sz w:val="23"/>
          <w:szCs w:val="23"/>
        </w:rPr>
        <w:t xml:space="preserve">为 </w:t>
      </w:r>
      <w:r>
        <w:rPr>
          <w:rFonts w:ascii="Times New Roman" w:hAnsi="Times New Roman" w:eastAsia="Times New Roman" w:cs="Times New Roman"/>
          <w:sz w:val="23"/>
          <w:szCs w:val="23"/>
        </w:rPr>
        <w:t>NH</w:t>
      </w:r>
      <w:r>
        <w:rPr>
          <w:rFonts w:ascii="Times New Roman" w:hAnsi="Times New Roman" w:eastAsia="Times New Roman" w:cs="Times New Roman"/>
          <w:spacing w:val="4"/>
          <w:position w:val="-1"/>
          <w:sz w:val="15"/>
          <w:szCs w:val="15"/>
        </w:rPr>
        <w:t xml:space="preserve">3 </w:t>
      </w:r>
      <w:r>
        <w:rPr>
          <w:rFonts w:ascii="宋体" w:hAnsi="宋体" w:eastAsia="宋体" w:cs="宋体"/>
          <w:spacing w:val="4"/>
          <w:sz w:val="23"/>
          <w:szCs w:val="23"/>
        </w:rPr>
        <w:t xml:space="preserve">和 </w:t>
      </w:r>
      <w:r>
        <w:rPr>
          <w:rFonts w:ascii="Times New Roman" w:hAnsi="Times New Roman" w:eastAsia="Times New Roman" w:cs="Times New Roman"/>
          <w:sz w:val="23"/>
          <w:szCs w:val="23"/>
        </w:rPr>
        <w:t>H</w:t>
      </w:r>
      <w:r>
        <w:rPr>
          <w:rFonts w:ascii="Times New Roman" w:hAnsi="Times New Roman" w:eastAsia="Times New Roman" w:cs="Times New Roman"/>
          <w:spacing w:val="4"/>
          <w:position w:val="-1"/>
          <w:sz w:val="15"/>
          <w:szCs w:val="15"/>
        </w:rPr>
        <w:t>2</w:t>
      </w:r>
      <w:r>
        <w:rPr>
          <w:rFonts w:ascii="Times New Roman" w:hAnsi="Times New Roman" w:eastAsia="Times New Roman" w:cs="Times New Roman"/>
          <w:sz w:val="23"/>
          <w:szCs w:val="23"/>
        </w:rPr>
        <w:t>S</w:t>
      </w:r>
      <w:r>
        <w:rPr>
          <w:rFonts w:ascii="宋体" w:hAnsi="宋体" w:eastAsia="宋体" w:cs="宋体"/>
          <w:spacing w:val="4"/>
          <w:sz w:val="23"/>
          <w:szCs w:val="23"/>
        </w:rPr>
        <w:t>，垫料中添加发酵专用菌，粪污通过发酵专用菌的分解发酵，使粪污中的有</w:t>
      </w:r>
      <w:r>
        <w:rPr>
          <w:rFonts w:ascii="宋体" w:hAnsi="宋体" w:eastAsia="宋体" w:cs="宋体"/>
          <w:sz w:val="23"/>
          <w:szCs w:val="23"/>
        </w:rPr>
        <w:t xml:space="preserve"> </w:t>
      </w:r>
      <w:r>
        <w:rPr>
          <w:rFonts w:ascii="宋体" w:hAnsi="宋体" w:eastAsia="宋体" w:cs="宋体"/>
          <w:spacing w:val="10"/>
          <w:sz w:val="23"/>
          <w:szCs w:val="23"/>
        </w:rPr>
        <w:t>机物质得到</w:t>
      </w:r>
      <w:r>
        <w:rPr>
          <w:rFonts w:ascii="宋体" w:hAnsi="宋体" w:eastAsia="宋体" w:cs="宋体"/>
          <w:spacing w:val="8"/>
          <w:sz w:val="23"/>
          <w:szCs w:val="23"/>
        </w:rPr>
        <w:t>充</w:t>
      </w:r>
      <w:r>
        <w:rPr>
          <w:rFonts w:ascii="宋体" w:hAnsi="宋体" w:eastAsia="宋体" w:cs="宋体"/>
          <w:spacing w:val="5"/>
          <w:sz w:val="23"/>
          <w:szCs w:val="23"/>
        </w:rPr>
        <w:t xml:space="preserve">分的分解和转化，微生物以尚未消化的有机物为食饵，繁殖滋生，可减少 </w:t>
      </w:r>
      <w:r>
        <w:rPr>
          <w:rFonts w:ascii="Times New Roman" w:hAnsi="Times New Roman" w:eastAsia="Times New Roman" w:cs="Times New Roman"/>
          <w:sz w:val="23"/>
          <w:szCs w:val="23"/>
        </w:rPr>
        <w:t>NH</w:t>
      </w:r>
      <w:r>
        <w:rPr>
          <w:rFonts w:ascii="Times New Roman" w:hAnsi="Times New Roman" w:eastAsia="Times New Roman" w:cs="Times New Roman"/>
          <w:spacing w:val="5"/>
          <w:position w:val="-1"/>
          <w:sz w:val="15"/>
          <w:szCs w:val="15"/>
        </w:rPr>
        <w:t>3</w:t>
      </w:r>
      <w:r>
        <w:rPr>
          <w:rFonts w:ascii="Times New Roman" w:hAnsi="Times New Roman" w:eastAsia="Times New Roman" w:cs="Times New Roman"/>
          <w:position w:val="-1"/>
          <w:sz w:val="15"/>
          <w:szCs w:val="15"/>
        </w:rPr>
        <w:t xml:space="preserve"> </w:t>
      </w:r>
      <w:r>
        <w:rPr>
          <w:rFonts w:ascii="宋体" w:hAnsi="宋体" w:eastAsia="宋体" w:cs="宋体"/>
          <w:spacing w:val="11"/>
          <w:sz w:val="23"/>
          <w:szCs w:val="23"/>
        </w:rPr>
        <w:t xml:space="preserve">和 </w:t>
      </w:r>
      <w:r>
        <w:rPr>
          <w:rFonts w:ascii="Times New Roman" w:hAnsi="Times New Roman" w:eastAsia="Times New Roman" w:cs="Times New Roman"/>
          <w:sz w:val="23"/>
          <w:szCs w:val="23"/>
        </w:rPr>
        <w:t>H</w:t>
      </w:r>
      <w:r>
        <w:rPr>
          <w:rFonts w:ascii="Times New Roman" w:hAnsi="Times New Roman" w:eastAsia="Times New Roman" w:cs="Times New Roman"/>
          <w:spacing w:val="11"/>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11"/>
          <w:sz w:val="23"/>
          <w:szCs w:val="23"/>
        </w:rPr>
        <w:t xml:space="preserve"> </w:t>
      </w:r>
      <w:r>
        <w:rPr>
          <w:rFonts w:ascii="宋体" w:hAnsi="宋体" w:eastAsia="宋体" w:cs="宋体"/>
          <w:spacing w:val="11"/>
          <w:sz w:val="23"/>
          <w:szCs w:val="23"/>
        </w:rPr>
        <w:t>的产生。发酵专用菌在垫料中生长繁殖，通过微生物的分解发酵，使猪粪尿中的</w:t>
      </w:r>
      <w:r>
        <w:rPr>
          <w:rFonts w:ascii="宋体" w:hAnsi="宋体" w:eastAsia="宋体" w:cs="宋体"/>
          <w:spacing w:val="8"/>
          <w:sz w:val="23"/>
          <w:szCs w:val="23"/>
        </w:rPr>
        <w:t>有</w:t>
      </w:r>
      <w:r>
        <w:rPr>
          <w:rFonts w:ascii="宋体" w:hAnsi="宋体" w:eastAsia="宋体" w:cs="宋体"/>
          <w:sz w:val="23"/>
          <w:szCs w:val="23"/>
        </w:rPr>
        <w:t xml:space="preserve"> </w:t>
      </w:r>
      <w:r>
        <w:rPr>
          <w:rFonts w:ascii="宋体" w:hAnsi="宋体" w:eastAsia="宋体" w:cs="宋体"/>
          <w:spacing w:val="14"/>
          <w:sz w:val="23"/>
          <w:szCs w:val="23"/>
        </w:rPr>
        <w:t>机</w:t>
      </w:r>
      <w:r>
        <w:rPr>
          <w:rFonts w:ascii="宋体" w:hAnsi="宋体" w:eastAsia="宋体" w:cs="宋体"/>
          <w:spacing w:val="9"/>
          <w:sz w:val="23"/>
          <w:szCs w:val="23"/>
        </w:rPr>
        <w:t>物</w:t>
      </w:r>
      <w:r>
        <w:rPr>
          <w:rFonts w:ascii="宋体" w:hAnsi="宋体" w:eastAsia="宋体" w:cs="宋体"/>
          <w:spacing w:val="7"/>
          <w:sz w:val="23"/>
          <w:szCs w:val="23"/>
        </w:rPr>
        <w:t>质得到充分的分解和转化，最终达到降解、消化猪粪尿，除去异味和无害化的目的。粪</w:t>
      </w:r>
      <w:r>
        <w:rPr>
          <w:rFonts w:ascii="宋体" w:hAnsi="宋体" w:eastAsia="宋体" w:cs="宋体"/>
          <w:sz w:val="23"/>
          <w:szCs w:val="23"/>
        </w:rPr>
        <w:t xml:space="preserve"> </w:t>
      </w:r>
      <w:r>
        <w:rPr>
          <w:rFonts w:ascii="宋体" w:hAnsi="宋体" w:eastAsia="宋体" w:cs="宋体"/>
          <w:spacing w:val="18"/>
          <w:sz w:val="23"/>
          <w:szCs w:val="23"/>
        </w:rPr>
        <w:t>污</w:t>
      </w:r>
      <w:r>
        <w:rPr>
          <w:rFonts w:ascii="宋体" w:hAnsi="宋体" w:eastAsia="宋体" w:cs="宋体"/>
          <w:spacing w:val="11"/>
          <w:sz w:val="23"/>
          <w:szCs w:val="23"/>
        </w:rPr>
        <w:t>的</w:t>
      </w:r>
      <w:r>
        <w:rPr>
          <w:rFonts w:ascii="宋体" w:hAnsi="宋体" w:eastAsia="宋体" w:cs="宋体"/>
          <w:spacing w:val="9"/>
          <w:sz w:val="23"/>
          <w:szCs w:val="23"/>
        </w:rPr>
        <w:t>降解过程以好氧发酵为主导并且有厌氧发酵和兼性厌氧发酵。</w:t>
      </w:r>
    </w:p>
    <w:p w14:paraId="60325392">
      <w:pPr>
        <w:spacing w:before="5" w:line="374" w:lineRule="auto"/>
        <w:ind w:left="11" w:right="63" w:firstLine="483"/>
        <w:rPr>
          <w:rFonts w:ascii="宋体" w:hAnsi="宋体" w:eastAsia="宋体" w:cs="宋体"/>
          <w:sz w:val="23"/>
          <w:szCs w:val="23"/>
        </w:rPr>
      </w:pPr>
      <w:r>
        <w:rPr>
          <w:rFonts w:ascii="宋体" w:hAnsi="宋体" w:eastAsia="宋体" w:cs="宋体"/>
          <w:spacing w:val="11"/>
          <w:sz w:val="23"/>
          <w:szCs w:val="23"/>
        </w:rPr>
        <w:t>异位微生物发酵床技术成熟、可靠性好，本项目粪污处理工艺</w:t>
      </w:r>
      <w:r>
        <w:rPr>
          <w:rFonts w:ascii="Times New Roman" w:hAnsi="Times New Roman" w:eastAsia="Times New Roman" w:cs="Times New Roman"/>
          <w:spacing w:val="11"/>
          <w:sz w:val="23"/>
          <w:szCs w:val="23"/>
        </w:rPr>
        <w:t>-</w:t>
      </w:r>
      <w:r>
        <w:rPr>
          <w:rFonts w:ascii="宋体" w:hAnsi="宋体" w:eastAsia="宋体" w:cs="宋体"/>
          <w:spacing w:val="11"/>
          <w:sz w:val="23"/>
          <w:szCs w:val="23"/>
        </w:rPr>
        <w:t>异位微生物发酵床技</w:t>
      </w:r>
      <w:r>
        <w:rPr>
          <w:rFonts w:ascii="宋体" w:hAnsi="宋体" w:eastAsia="宋体" w:cs="宋体"/>
          <w:spacing w:val="10"/>
          <w:sz w:val="23"/>
          <w:szCs w:val="23"/>
        </w:rPr>
        <w:t>术</w:t>
      </w:r>
      <w:r>
        <w:rPr>
          <w:rFonts w:ascii="宋体" w:hAnsi="宋体" w:eastAsia="宋体" w:cs="宋体"/>
          <w:sz w:val="23"/>
          <w:szCs w:val="23"/>
        </w:rPr>
        <w:t xml:space="preserve"> </w:t>
      </w:r>
      <w:r>
        <w:rPr>
          <w:rFonts w:ascii="宋体" w:hAnsi="宋体" w:eastAsia="宋体" w:cs="宋体"/>
          <w:spacing w:val="14"/>
          <w:sz w:val="23"/>
          <w:szCs w:val="23"/>
        </w:rPr>
        <w:t>委</w:t>
      </w:r>
      <w:r>
        <w:rPr>
          <w:rFonts w:ascii="宋体" w:hAnsi="宋体" w:eastAsia="宋体" w:cs="宋体"/>
          <w:spacing w:val="8"/>
          <w:sz w:val="23"/>
          <w:szCs w:val="23"/>
        </w:rPr>
        <w:t>托</w:t>
      </w:r>
      <w:r>
        <w:rPr>
          <w:rFonts w:ascii="宋体" w:hAnsi="宋体" w:eastAsia="宋体" w:cs="宋体"/>
          <w:spacing w:val="7"/>
          <w:sz w:val="23"/>
          <w:szCs w:val="23"/>
        </w:rPr>
        <w:t>托四川卫美农生态农业有限公司进行设计。异位微生物发酵床技术已在四川巨星集团集</w:t>
      </w:r>
      <w:r>
        <w:rPr>
          <w:rFonts w:ascii="宋体" w:hAnsi="宋体" w:eastAsia="宋体" w:cs="宋体"/>
          <w:sz w:val="23"/>
          <w:szCs w:val="23"/>
        </w:rPr>
        <w:t xml:space="preserve"> </w:t>
      </w:r>
      <w:r>
        <w:rPr>
          <w:rFonts w:ascii="宋体" w:hAnsi="宋体" w:eastAsia="宋体" w:cs="宋体"/>
          <w:spacing w:val="16"/>
          <w:sz w:val="23"/>
          <w:szCs w:val="23"/>
        </w:rPr>
        <w:t>贤</w:t>
      </w:r>
      <w:r>
        <w:rPr>
          <w:rFonts w:ascii="宋体" w:hAnsi="宋体" w:eastAsia="宋体" w:cs="宋体"/>
          <w:spacing w:val="8"/>
          <w:sz w:val="23"/>
          <w:szCs w:val="23"/>
        </w:rPr>
        <w:t xml:space="preserve">猪场 (存栏 </w:t>
      </w:r>
      <w:r>
        <w:rPr>
          <w:rFonts w:ascii="Times New Roman" w:hAnsi="Times New Roman" w:eastAsia="Times New Roman" w:cs="Times New Roman"/>
          <w:spacing w:val="8"/>
          <w:sz w:val="23"/>
          <w:szCs w:val="23"/>
        </w:rPr>
        <w:t xml:space="preserve">5000 </w:t>
      </w:r>
      <w:r>
        <w:rPr>
          <w:rFonts w:ascii="宋体" w:hAnsi="宋体" w:eastAsia="宋体" w:cs="宋体"/>
          <w:spacing w:val="8"/>
          <w:sz w:val="23"/>
          <w:szCs w:val="23"/>
        </w:rPr>
        <w:t>头) 、泸州万物生态农业有限公司 (</w:t>
      </w:r>
      <w:r>
        <w:rPr>
          <w:rFonts w:ascii="Times New Roman" w:hAnsi="Times New Roman" w:eastAsia="Times New Roman" w:cs="Times New Roman"/>
          <w:spacing w:val="8"/>
          <w:sz w:val="23"/>
          <w:szCs w:val="23"/>
        </w:rPr>
        <w:t xml:space="preserve">500 </w:t>
      </w:r>
      <w:r>
        <w:rPr>
          <w:rFonts w:ascii="宋体" w:hAnsi="宋体" w:eastAsia="宋体" w:cs="宋体"/>
          <w:spacing w:val="8"/>
          <w:sz w:val="23"/>
          <w:szCs w:val="23"/>
        </w:rPr>
        <w:t>头母猪场) 、武胜天兆畜牧有</w:t>
      </w:r>
      <w:r>
        <w:rPr>
          <w:rFonts w:ascii="宋体" w:hAnsi="宋体" w:eastAsia="宋体" w:cs="宋体"/>
          <w:sz w:val="23"/>
          <w:szCs w:val="23"/>
        </w:rPr>
        <w:t xml:space="preserve"> </w:t>
      </w:r>
      <w:r>
        <w:rPr>
          <w:rFonts w:ascii="宋体" w:hAnsi="宋体" w:eastAsia="宋体" w:cs="宋体"/>
          <w:spacing w:val="16"/>
          <w:sz w:val="23"/>
          <w:szCs w:val="23"/>
        </w:rPr>
        <w:t>限</w:t>
      </w:r>
      <w:r>
        <w:rPr>
          <w:rFonts w:ascii="宋体" w:hAnsi="宋体" w:eastAsia="宋体" w:cs="宋体"/>
          <w:spacing w:val="8"/>
          <w:sz w:val="23"/>
          <w:szCs w:val="23"/>
        </w:rPr>
        <w:t>公司 (</w:t>
      </w:r>
      <w:r>
        <w:rPr>
          <w:rFonts w:ascii="Times New Roman" w:hAnsi="Times New Roman" w:eastAsia="Times New Roman" w:cs="Times New Roman"/>
          <w:spacing w:val="8"/>
          <w:sz w:val="23"/>
          <w:szCs w:val="23"/>
        </w:rPr>
        <w:t xml:space="preserve">4400 </w:t>
      </w:r>
      <w:r>
        <w:rPr>
          <w:rFonts w:ascii="宋体" w:hAnsi="宋体" w:eastAsia="宋体" w:cs="宋体"/>
          <w:spacing w:val="8"/>
          <w:sz w:val="23"/>
          <w:szCs w:val="23"/>
        </w:rPr>
        <w:t>头母猪) ，绵阳新希望畜牧养殖有限公司 (</w:t>
      </w:r>
      <w:r>
        <w:rPr>
          <w:rFonts w:ascii="Times New Roman" w:hAnsi="Times New Roman" w:eastAsia="Times New Roman" w:cs="Times New Roman"/>
          <w:spacing w:val="8"/>
          <w:sz w:val="23"/>
          <w:szCs w:val="23"/>
        </w:rPr>
        <w:t xml:space="preserve">3000 </w:t>
      </w:r>
      <w:r>
        <w:rPr>
          <w:rFonts w:ascii="宋体" w:hAnsi="宋体" w:eastAsia="宋体" w:cs="宋体"/>
          <w:spacing w:val="8"/>
          <w:sz w:val="23"/>
          <w:szCs w:val="23"/>
        </w:rPr>
        <w:t>头种猪) 铁骑力士集团古井</w:t>
      </w:r>
      <w:r>
        <w:rPr>
          <w:rFonts w:ascii="宋体" w:hAnsi="宋体" w:eastAsia="宋体" w:cs="宋体"/>
          <w:sz w:val="23"/>
          <w:szCs w:val="23"/>
        </w:rPr>
        <w:t xml:space="preserve"> </w:t>
      </w:r>
      <w:r>
        <w:rPr>
          <w:rFonts w:ascii="宋体" w:hAnsi="宋体" w:eastAsia="宋体" w:cs="宋体"/>
          <w:spacing w:val="20"/>
          <w:sz w:val="23"/>
          <w:szCs w:val="23"/>
        </w:rPr>
        <w:t>猪场</w:t>
      </w:r>
      <w:r>
        <w:rPr>
          <w:rFonts w:ascii="宋体" w:hAnsi="宋体" w:eastAsia="宋体" w:cs="宋体"/>
          <w:spacing w:val="10"/>
          <w:sz w:val="23"/>
          <w:szCs w:val="23"/>
        </w:rPr>
        <w:t xml:space="preserve"> (</w:t>
      </w:r>
      <w:r>
        <w:rPr>
          <w:rFonts w:ascii="Times New Roman" w:hAnsi="Times New Roman" w:eastAsia="Times New Roman" w:cs="Times New Roman"/>
          <w:spacing w:val="10"/>
          <w:sz w:val="23"/>
          <w:szCs w:val="23"/>
        </w:rPr>
        <w:t xml:space="preserve">3000 </w:t>
      </w:r>
      <w:r>
        <w:rPr>
          <w:rFonts w:ascii="宋体" w:hAnsi="宋体" w:eastAsia="宋体" w:cs="宋体"/>
          <w:spacing w:val="10"/>
          <w:sz w:val="23"/>
          <w:szCs w:val="23"/>
        </w:rPr>
        <w:t>头育肥猪) 、大竹玖种猪场等多个养殖场。因此，本项目采用异位微生物发酵</w:t>
      </w:r>
    </w:p>
    <w:p w14:paraId="05BCF7C3">
      <w:pPr>
        <w:spacing w:line="226" w:lineRule="auto"/>
        <w:ind w:left="10"/>
        <w:rPr>
          <w:rFonts w:ascii="宋体" w:hAnsi="宋体" w:eastAsia="宋体" w:cs="宋体"/>
          <w:sz w:val="23"/>
          <w:szCs w:val="23"/>
        </w:rPr>
      </w:pPr>
      <w:r>
        <w:rPr>
          <w:rFonts w:ascii="宋体" w:hAnsi="宋体" w:eastAsia="宋体" w:cs="宋体"/>
          <w:spacing w:val="9"/>
          <w:sz w:val="23"/>
          <w:szCs w:val="23"/>
        </w:rPr>
        <w:t>床技术处理本项目是合理可行的</w:t>
      </w:r>
      <w:r>
        <w:rPr>
          <w:rFonts w:ascii="宋体" w:hAnsi="宋体" w:eastAsia="宋体" w:cs="宋体"/>
          <w:spacing w:val="6"/>
          <w:sz w:val="23"/>
          <w:szCs w:val="23"/>
        </w:rPr>
        <w:t>。</w:t>
      </w:r>
    </w:p>
    <w:p w14:paraId="3D79A0A6">
      <w:pPr>
        <w:spacing w:before="142" w:line="386" w:lineRule="auto"/>
        <w:ind w:left="12" w:firstLine="480"/>
        <w:rPr>
          <w:rFonts w:ascii="宋体" w:hAnsi="宋体" w:eastAsia="宋体" w:cs="宋体"/>
          <w:sz w:val="23"/>
          <w:szCs w:val="23"/>
        </w:rPr>
      </w:pPr>
      <w:r>
        <w:rPr>
          <w:rFonts w:ascii="宋体" w:hAnsi="宋体" w:eastAsia="宋体" w:cs="宋体"/>
          <w:spacing w:val="16"/>
          <w:sz w:val="23"/>
          <w:szCs w:val="23"/>
        </w:rPr>
        <w:t>本</w:t>
      </w:r>
      <w:r>
        <w:rPr>
          <w:rFonts w:ascii="宋体" w:hAnsi="宋体" w:eastAsia="宋体" w:cs="宋体"/>
          <w:spacing w:val="15"/>
          <w:sz w:val="23"/>
          <w:szCs w:val="23"/>
        </w:rPr>
        <w:t>项</w:t>
      </w:r>
      <w:r>
        <w:rPr>
          <w:rFonts w:ascii="宋体" w:hAnsi="宋体" w:eastAsia="宋体" w:cs="宋体"/>
          <w:spacing w:val="8"/>
          <w:sz w:val="23"/>
          <w:szCs w:val="23"/>
        </w:rPr>
        <w:t>目采用的</w:t>
      </w:r>
      <w:r>
        <w:rPr>
          <w:rFonts w:ascii="Times New Roman" w:hAnsi="Times New Roman" w:eastAsia="Times New Roman" w:cs="Times New Roman"/>
          <w:spacing w:val="8"/>
          <w:sz w:val="23"/>
          <w:szCs w:val="23"/>
        </w:rPr>
        <w:t>“</w:t>
      </w:r>
      <w:r>
        <w:rPr>
          <w:rFonts w:ascii="宋体" w:hAnsi="宋体" w:eastAsia="宋体" w:cs="宋体"/>
          <w:spacing w:val="8"/>
          <w:sz w:val="23"/>
          <w:szCs w:val="23"/>
        </w:rPr>
        <w:t>高架网床</w:t>
      </w:r>
      <w:r>
        <w:rPr>
          <w:rFonts w:ascii="Times New Roman" w:hAnsi="Times New Roman" w:eastAsia="Times New Roman" w:cs="Times New Roman"/>
          <w:spacing w:val="8"/>
          <w:sz w:val="23"/>
          <w:szCs w:val="23"/>
        </w:rPr>
        <w:t>+</w:t>
      </w:r>
      <w:r>
        <w:rPr>
          <w:rFonts w:ascii="宋体" w:hAnsi="宋体" w:eastAsia="宋体" w:cs="宋体"/>
          <w:spacing w:val="8"/>
          <w:sz w:val="23"/>
          <w:szCs w:val="23"/>
        </w:rPr>
        <w:t>益生菌</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、尿泡粪、异位微生物发酵床工艺等技术在《泉州绿</w:t>
      </w:r>
      <w:r>
        <w:rPr>
          <w:rFonts w:ascii="宋体" w:hAnsi="宋体" w:eastAsia="宋体" w:cs="宋体"/>
          <w:sz w:val="23"/>
          <w:szCs w:val="23"/>
        </w:rPr>
        <w:t xml:space="preserve"> </w:t>
      </w:r>
      <w:r>
        <w:rPr>
          <w:rFonts w:ascii="宋体" w:hAnsi="宋体" w:eastAsia="宋体" w:cs="宋体"/>
          <w:spacing w:val="14"/>
          <w:sz w:val="23"/>
          <w:szCs w:val="23"/>
        </w:rPr>
        <w:t>之</w:t>
      </w:r>
      <w:r>
        <w:rPr>
          <w:rFonts w:ascii="宋体" w:hAnsi="宋体" w:eastAsia="宋体" w:cs="宋体"/>
          <w:spacing w:val="7"/>
          <w:sz w:val="23"/>
          <w:szCs w:val="23"/>
        </w:rPr>
        <w:t>园农林业开发有限公司农业综合开发项目》等项目均得到了成功的运用，本项目异位微生</w:t>
      </w:r>
      <w:r>
        <w:rPr>
          <w:rFonts w:ascii="宋体" w:hAnsi="宋体" w:eastAsia="宋体" w:cs="宋体"/>
          <w:sz w:val="23"/>
          <w:szCs w:val="23"/>
        </w:rPr>
        <w:t xml:space="preserve"> </w:t>
      </w:r>
      <w:r>
        <w:rPr>
          <w:rFonts w:ascii="宋体" w:hAnsi="宋体" w:eastAsia="宋体" w:cs="宋体"/>
          <w:spacing w:val="16"/>
          <w:sz w:val="23"/>
          <w:szCs w:val="23"/>
        </w:rPr>
        <w:t>物发酵</w:t>
      </w:r>
      <w:r>
        <w:rPr>
          <w:rFonts w:ascii="宋体" w:hAnsi="宋体" w:eastAsia="宋体" w:cs="宋体"/>
          <w:spacing w:val="14"/>
          <w:sz w:val="23"/>
          <w:szCs w:val="23"/>
        </w:rPr>
        <w:t>床</w:t>
      </w:r>
      <w:r>
        <w:rPr>
          <w:rFonts w:ascii="宋体" w:hAnsi="宋体" w:eastAsia="宋体" w:cs="宋体"/>
          <w:spacing w:val="8"/>
          <w:sz w:val="23"/>
          <w:szCs w:val="23"/>
        </w:rPr>
        <w:t>恶臭污染源强类比《泉州绿之园农林业开发有限公司农业综合开发项目》的源强。</w:t>
      </w:r>
    </w:p>
    <w:p w14:paraId="7E14CB9B">
      <w:pPr>
        <w:spacing w:line="375" w:lineRule="auto"/>
        <w:ind w:right="51" w:firstLine="492"/>
        <w:rPr>
          <w:rFonts w:ascii="宋体" w:hAnsi="宋体" w:eastAsia="宋体" w:cs="宋体"/>
          <w:sz w:val="23"/>
          <w:szCs w:val="23"/>
        </w:rPr>
      </w:pPr>
      <w:r>
        <w:rPr>
          <w:rFonts w:ascii="宋体" w:hAnsi="宋体" w:eastAsia="宋体" w:cs="宋体"/>
          <w:spacing w:val="12"/>
          <w:sz w:val="23"/>
          <w:szCs w:val="23"/>
        </w:rPr>
        <w:t>类</w:t>
      </w:r>
      <w:r>
        <w:rPr>
          <w:rFonts w:ascii="宋体" w:hAnsi="宋体" w:eastAsia="宋体" w:cs="宋体"/>
          <w:spacing w:val="10"/>
          <w:sz w:val="23"/>
          <w:szCs w:val="23"/>
        </w:rPr>
        <w:t>比《泉州绿之园农林业开发有限公司农业综合开发项目》 ，项目异位微生物发酵床</w:t>
      </w:r>
      <w:r>
        <w:rPr>
          <w:rFonts w:ascii="宋体" w:hAnsi="宋体" w:eastAsia="宋体" w:cs="宋体"/>
          <w:sz w:val="23"/>
          <w:szCs w:val="23"/>
        </w:rPr>
        <w:t xml:space="preserve"> </w:t>
      </w:r>
      <w:r>
        <w:rPr>
          <w:rFonts w:ascii="Times New Roman" w:hAnsi="Times New Roman" w:eastAsia="Times New Roman" w:cs="Times New Roman"/>
          <w:sz w:val="23"/>
          <w:szCs w:val="23"/>
        </w:rPr>
        <w:t>NH</w:t>
      </w:r>
      <w:r>
        <w:rPr>
          <w:rFonts w:ascii="Times New Roman" w:hAnsi="Times New Roman" w:eastAsia="Times New Roman" w:cs="Times New Roman"/>
          <w:spacing w:val="2"/>
          <w:position w:val="-1"/>
          <w:sz w:val="15"/>
          <w:szCs w:val="15"/>
        </w:rPr>
        <w:t xml:space="preserve">3 </w:t>
      </w:r>
      <w:r>
        <w:rPr>
          <w:rFonts w:ascii="宋体" w:hAnsi="宋体" w:eastAsia="宋体" w:cs="宋体"/>
          <w:spacing w:val="2"/>
          <w:sz w:val="23"/>
          <w:szCs w:val="23"/>
        </w:rPr>
        <w:t xml:space="preserve">的平均产生源强约为 </w:t>
      </w:r>
      <w:r>
        <w:rPr>
          <w:rFonts w:ascii="Times New Roman" w:hAnsi="Times New Roman" w:eastAsia="Times New Roman" w:cs="Times New Roman"/>
          <w:spacing w:val="2"/>
          <w:sz w:val="23"/>
          <w:szCs w:val="23"/>
        </w:rPr>
        <w:t>1</w:t>
      </w:r>
      <w:r>
        <w:rPr>
          <w:rFonts w:ascii="Times New Roman" w:hAnsi="Times New Roman" w:eastAsia="Times New Roman" w:cs="Times New Roman"/>
          <w:sz w:val="23"/>
          <w:szCs w:val="23"/>
        </w:rPr>
        <w:t>mg</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8"/>
          <w:sz w:val="15"/>
          <w:szCs w:val="15"/>
        </w:rPr>
        <w:t xml:space="preserve">2 </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h</w:t>
      </w:r>
      <w:r>
        <w:rPr>
          <w:rFonts w:ascii="宋体" w:hAnsi="宋体" w:eastAsia="宋体" w:cs="宋体"/>
          <w:spacing w:val="2"/>
          <w:sz w:val="23"/>
          <w:szCs w:val="23"/>
        </w:rPr>
        <w:t>) ，</w:t>
      </w:r>
      <w:r>
        <w:rPr>
          <w:rFonts w:ascii="Times New Roman" w:hAnsi="Times New Roman" w:eastAsia="Times New Roman" w:cs="Times New Roman"/>
          <w:sz w:val="23"/>
          <w:szCs w:val="23"/>
        </w:rPr>
        <w:t>H</w:t>
      </w:r>
      <w:r>
        <w:rPr>
          <w:rFonts w:ascii="Times New Roman" w:hAnsi="Times New Roman" w:eastAsia="Times New Roman" w:cs="Times New Roman"/>
          <w:spacing w:val="2"/>
          <w:position w:val="-1"/>
          <w:sz w:val="15"/>
          <w:szCs w:val="15"/>
        </w:rPr>
        <w:t>2</w:t>
      </w:r>
      <w:r>
        <w:rPr>
          <w:rFonts w:ascii="Times New Roman" w:hAnsi="Times New Roman" w:eastAsia="Times New Roman" w:cs="Times New Roman"/>
          <w:spacing w:val="1"/>
          <w:position w:val="-1"/>
          <w:sz w:val="15"/>
          <w:szCs w:val="15"/>
        </w:rPr>
        <w:t xml:space="preserve"> </w:t>
      </w:r>
      <w:r>
        <w:rPr>
          <w:rFonts w:ascii="Times New Roman" w:hAnsi="Times New Roman" w:eastAsia="Times New Roman" w:cs="Times New Roman"/>
          <w:sz w:val="23"/>
          <w:szCs w:val="23"/>
        </w:rPr>
        <w:t>S</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 xml:space="preserve">的平均产生源强一般在 </w:t>
      </w:r>
      <w:r>
        <w:rPr>
          <w:rFonts w:ascii="Times New Roman" w:hAnsi="Times New Roman" w:eastAsia="Times New Roman" w:cs="Times New Roman"/>
          <w:spacing w:val="1"/>
          <w:sz w:val="23"/>
          <w:szCs w:val="23"/>
        </w:rPr>
        <w:t>0. 15</w:t>
      </w:r>
      <w:r>
        <w:rPr>
          <w:rFonts w:ascii="Times New Roman" w:hAnsi="Times New Roman" w:eastAsia="Times New Roman" w:cs="Times New Roman"/>
          <w:sz w:val="23"/>
          <w:szCs w:val="23"/>
        </w:rPr>
        <w:t>mg</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1"/>
          <w:position w:val="8"/>
          <w:sz w:val="15"/>
          <w:szCs w:val="15"/>
        </w:rPr>
        <w:t xml:space="preserve">2 </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h</w:t>
      </w:r>
      <w:r>
        <w:rPr>
          <w:rFonts w:ascii="宋体" w:hAnsi="宋体" w:eastAsia="宋体" w:cs="宋体"/>
          <w:spacing w:val="1"/>
          <w:sz w:val="23"/>
          <w:szCs w:val="23"/>
        </w:rPr>
        <w:t>) ，则</w:t>
      </w:r>
      <w:r>
        <w:rPr>
          <w:rFonts w:ascii="宋体" w:hAnsi="宋体" w:eastAsia="宋体" w:cs="宋体"/>
          <w:sz w:val="23"/>
          <w:szCs w:val="23"/>
        </w:rPr>
        <w:t xml:space="preserve"> </w:t>
      </w:r>
      <w:r>
        <w:rPr>
          <w:rFonts w:ascii="宋体" w:hAnsi="宋体" w:eastAsia="宋体" w:cs="宋体"/>
          <w:spacing w:val="-2"/>
          <w:sz w:val="23"/>
          <w:szCs w:val="23"/>
        </w:rPr>
        <w:t xml:space="preserve">废气产生量为 </w:t>
      </w:r>
      <w:r>
        <w:rPr>
          <w:rFonts w:ascii="Times New Roman" w:hAnsi="Times New Roman" w:eastAsia="Times New Roman" w:cs="Times New Roman"/>
          <w:spacing w:val="-1"/>
          <w:sz w:val="23"/>
          <w:szCs w:val="23"/>
        </w:rPr>
        <w:t>NH</w:t>
      </w:r>
      <w:r>
        <w:rPr>
          <w:rFonts w:ascii="Times New Roman" w:hAnsi="Times New Roman" w:eastAsia="Times New Roman" w:cs="Times New Roman"/>
          <w:spacing w:val="-2"/>
          <w:position w:val="-1"/>
          <w:sz w:val="15"/>
          <w:szCs w:val="15"/>
        </w:rPr>
        <w:t xml:space="preserve">3 </w:t>
      </w:r>
      <w:r>
        <w:rPr>
          <w:rFonts w:ascii="宋体" w:hAnsi="宋体" w:eastAsia="宋体" w:cs="宋体"/>
          <w:spacing w:val="-2"/>
          <w:sz w:val="23"/>
          <w:szCs w:val="23"/>
        </w:rPr>
        <w:t>：</w:t>
      </w:r>
      <w:r>
        <w:rPr>
          <w:rFonts w:ascii="Times New Roman" w:hAnsi="Times New Roman" w:eastAsia="Times New Roman" w:cs="Times New Roman"/>
          <w:spacing w:val="-2"/>
          <w:sz w:val="23"/>
          <w:szCs w:val="23"/>
        </w:rPr>
        <w:t>0.0016</w:t>
      </w:r>
      <w:r>
        <w:rPr>
          <w:rFonts w:ascii="Times New Roman" w:hAnsi="Times New Roman" w:eastAsia="Times New Roman" w:cs="Times New Roman"/>
          <w:spacing w:val="-1"/>
          <w:sz w:val="23"/>
          <w:szCs w:val="23"/>
        </w:rPr>
        <w:t>kg</w:t>
      </w:r>
      <w:r>
        <w:rPr>
          <w:rFonts w:ascii="Times New Roman" w:hAnsi="Times New Roman" w:eastAsia="Times New Roman" w:cs="Times New Roman"/>
          <w:spacing w:val="-2"/>
          <w:sz w:val="23"/>
          <w:szCs w:val="23"/>
        </w:rPr>
        <w:t>/</w:t>
      </w:r>
      <w:r>
        <w:rPr>
          <w:rFonts w:ascii="Times New Roman" w:hAnsi="Times New Roman" w:eastAsia="Times New Roman" w:cs="Times New Roman"/>
          <w:spacing w:val="-1"/>
          <w:sz w:val="23"/>
          <w:szCs w:val="23"/>
        </w:rPr>
        <w:t>h</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 xml:space="preserve">，即 </w:t>
      </w:r>
      <w:r>
        <w:rPr>
          <w:rFonts w:ascii="Times New Roman" w:hAnsi="Times New Roman" w:eastAsia="Times New Roman" w:cs="Times New Roman"/>
          <w:spacing w:val="-2"/>
          <w:sz w:val="23"/>
          <w:szCs w:val="23"/>
        </w:rPr>
        <w:t>0.014</w:t>
      </w:r>
      <w:r>
        <w:rPr>
          <w:rFonts w:ascii="Times New Roman" w:hAnsi="Times New Roman" w:eastAsia="Times New Roman" w:cs="Times New Roman"/>
          <w:spacing w:val="-1"/>
          <w:sz w:val="23"/>
          <w:szCs w:val="23"/>
        </w:rPr>
        <w:t>t</w:t>
      </w:r>
      <w:r>
        <w:rPr>
          <w:rFonts w:ascii="Times New Roman" w:hAnsi="Times New Roman" w:eastAsia="Times New Roman" w:cs="Times New Roman"/>
          <w:spacing w:val="-2"/>
          <w:sz w:val="23"/>
          <w:szCs w:val="23"/>
        </w:rPr>
        <w:t>/</w:t>
      </w:r>
      <w:r>
        <w:rPr>
          <w:rFonts w:ascii="Times New Roman" w:hAnsi="Times New Roman" w:eastAsia="Times New Roman" w:cs="Times New Roman"/>
          <w:spacing w:val="-1"/>
          <w:sz w:val="23"/>
          <w:szCs w:val="23"/>
        </w:rPr>
        <w:t>a</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w:t>
      </w:r>
      <w:r>
        <w:rPr>
          <w:rFonts w:ascii="Times New Roman" w:hAnsi="Times New Roman" w:eastAsia="Times New Roman" w:cs="Times New Roman"/>
          <w:spacing w:val="-1"/>
          <w:sz w:val="23"/>
          <w:szCs w:val="23"/>
        </w:rPr>
        <w:t>H</w:t>
      </w:r>
      <w:r>
        <w:rPr>
          <w:rFonts w:ascii="Times New Roman" w:hAnsi="Times New Roman" w:eastAsia="Times New Roman" w:cs="Times New Roman"/>
          <w:spacing w:val="-2"/>
          <w:position w:val="-1"/>
          <w:sz w:val="15"/>
          <w:szCs w:val="15"/>
        </w:rPr>
        <w:t>2</w:t>
      </w:r>
      <w:r>
        <w:rPr>
          <w:rFonts w:ascii="Times New Roman" w:hAnsi="Times New Roman" w:eastAsia="Times New Roman" w:cs="Times New Roman"/>
          <w:spacing w:val="-1"/>
          <w:sz w:val="23"/>
          <w:szCs w:val="23"/>
        </w:rPr>
        <w:t>S</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w:t>
      </w:r>
      <w:r>
        <w:rPr>
          <w:rFonts w:ascii="Times New Roman" w:hAnsi="Times New Roman" w:eastAsia="Times New Roman" w:cs="Times New Roman"/>
          <w:spacing w:val="-2"/>
          <w:sz w:val="23"/>
          <w:szCs w:val="23"/>
        </w:rPr>
        <w:t>0.00</w:t>
      </w:r>
      <w:r>
        <w:rPr>
          <w:rFonts w:ascii="Times New Roman" w:hAnsi="Times New Roman" w:eastAsia="Times New Roman" w:cs="Times New Roman"/>
          <w:spacing w:val="-1"/>
          <w:sz w:val="23"/>
          <w:szCs w:val="23"/>
        </w:rPr>
        <w:t xml:space="preserve">024kg/h </w:t>
      </w:r>
      <w:r>
        <w:rPr>
          <w:rFonts w:ascii="宋体" w:hAnsi="宋体" w:eastAsia="宋体" w:cs="宋体"/>
          <w:spacing w:val="-1"/>
          <w:sz w:val="23"/>
          <w:szCs w:val="23"/>
        </w:rPr>
        <w:t xml:space="preserve">，即 </w:t>
      </w:r>
      <w:r>
        <w:rPr>
          <w:rFonts w:ascii="Times New Roman" w:hAnsi="Times New Roman" w:eastAsia="Times New Roman" w:cs="Times New Roman"/>
          <w:spacing w:val="-1"/>
          <w:sz w:val="23"/>
          <w:szCs w:val="23"/>
        </w:rPr>
        <w:t>0.0021t/a</w:t>
      </w:r>
      <w:r>
        <w:rPr>
          <w:rFonts w:ascii="宋体" w:hAnsi="宋体" w:eastAsia="宋体" w:cs="宋体"/>
          <w:spacing w:val="-1"/>
          <w:sz w:val="23"/>
          <w:szCs w:val="23"/>
        </w:rPr>
        <w:t>。</w:t>
      </w:r>
    </w:p>
    <w:p w14:paraId="7ED3E833">
      <w:pPr>
        <w:spacing w:line="375" w:lineRule="auto"/>
        <w:ind w:left="12" w:right="62" w:firstLine="480"/>
        <w:rPr>
          <w:rFonts w:ascii="宋体" w:hAnsi="宋体" w:eastAsia="宋体" w:cs="宋体"/>
          <w:sz w:val="23"/>
          <w:szCs w:val="23"/>
        </w:rPr>
      </w:pPr>
      <w:r>
        <w:rPr>
          <w:rFonts w:ascii="宋体" w:hAnsi="宋体" w:eastAsia="宋体" w:cs="宋体"/>
          <w:spacing w:val="8"/>
          <w:sz w:val="23"/>
          <w:szCs w:val="23"/>
        </w:rPr>
        <w:t>根</w:t>
      </w:r>
      <w:r>
        <w:rPr>
          <w:rFonts w:ascii="宋体" w:hAnsi="宋体" w:eastAsia="宋体" w:cs="宋体"/>
          <w:spacing w:val="7"/>
          <w:sz w:val="23"/>
          <w:szCs w:val="23"/>
        </w:rPr>
        <w:t>据四川卫美农生态农业有限公司提供的经验，异位微生物发酵床通常采用喷洒微生物</w:t>
      </w:r>
      <w:r>
        <w:rPr>
          <w:rFonts w:ascii="宋体" w:hAnsi="宋体" w:eastAsia="宋体" w:cs="宋体"/>
          <w:sz w:val="23"/>
          <w:szCs w:val="23"/>
        </w:rPr>
        <w:t xml:space="preserve"> </w:t>
      </w:r>
      <w:r>
        <w:rPr>
          <w:rFonts w:ascii="宋体" w:hAnsi="宋体" w:eastAsia="宋体" w:cs="宋体"/>
          <w:spacing w:val="18"/>
          <w:sz w:val="23"/>
          <w:szCs w:val="23"/>
        </w:rPr>
        <w:t>除</w:t>
      </w:r>
      <w:r>
        <w:rPr>
          <w:rFonts w:ascii="宋体" w:hAnsi="宋体" w:eastAsia="宋体" w:cs="宋体"/>
          <w:spacing w:val="10"/>
          <w:sz w:val="23"/>
          <w:szCs w:val="23"/>
        </w:rPr>
        <w:t>臭</w:t>
      </w:r>
      <w:r>
        <w:rPr>
          <w:rFonts w:ascii="宋体" w:hAnsi="宋体" w:eastAsia="宋体" w:cs="宋体"/>
          <w:spacing w:val="9"/>
          <w:sz w:val="23"/>
          <w:szCs w:val="23"/>
        </w:rPr>
        <w:t xml:space="preserve">剂来去除异位微生物发酵床恶臭气体，去除率 </w:t>
      </w:r>
      <w:r>
        <w:rPr>
          <w:rFonts w:ascii="Times New Roman" w:hAnsi="Times New Roman" w:eastAsia="Times New Roman" w:cs="Times New Roman"/>
          <w:spacing w:val="9"/>
          <w:sz w:val="23"/>
          <w:szCs w:val="23"/>
        </w:rPr>
        <w:t>70%</w:t>
      </w:r>
      <w:r>
        <w:rPr>
          <w:rFonts w:ascii="宋体" w:hAnsi="宋体" w:eastAsia="宋体" w:cs="宋体"/>
          <w:spacing w:val="9"/>
          <w:sz w:val="23"/>
          <w:szCs w:val="23"/>
        </w:rPr>
        <w:t xml:space="preserve">以上，则异位微生物发酵床的 </w:t>
      </w:r>
      <w:r>
        <w:rPr>
          <w:rFonts w:ascii="Times New Roman" w:hAnsi="Times New Roman" w:eastAsia="Times New Roman" w:cs="Times New Roman"/>
          <w:sz w:val="23"/>
          <w:szCs w:val="23"/>
        </w:rPr>
        <w:t>NH</w:t>
      </w:r>
      <w:r>
        <w:rPr>
          <w:rFonts w:ascii="Times New Roman" w:hAnsi="Times New Roman" w:eastAsia="Times New Roman" w:cs="Times New Roman"/>
          <w:spacing w:val="9"/>
          <w:position w:val="-1"/>
          <w:sz w:val="15"/>
          <w:szCs w:val="15"/>
        </w:rPr>
        <w:t>3</w:t>
      </w:r>
      <w:r>
        <w:rPr>
          <w:rFonts w:ascii="Times New Roman" w:hAnsi="Times New Roman" w:eastAsia="Times New Roman" w:cs="Times New Roman"/>
          <w:position w:val="-1"/>
          <w:sz w:val="15"/>
          <w:szCs w:val="15"/>
        </w:rPr>
        <w:t xml:space="preserve"> </w:t>
      </w:r>
      <w:r>
        <w:rPr>
          <w:rFonts w:ascii="宋体" w:hAnsi="宋体" w:eastAsia="宋体" w:cs="宋体"/>
          <w:spacing w:val="-2"/>
          <w:sz w:val="23"/>
          <w:szCs w:val="23"/>
        </w:rPr>
        <w:t xml:space="preserve">排放量为 </w:t>
      </w:r>
      <w:r>
        <w:rPr>
          <w:rFonts w:ascii="Times New Roman" w:hAnsi="Times New Roman" w:eastAsia="Times New Roman" w:cs="Times New Roman"/>
          <w:spacing w:val="-2"/>
          <w:sz w:val="23"/>
          <w:szCs w:val="23"/>
        </w:rPr>
        <w:t>0.00048</w:t>
      </w:r>
      <w:r>
        <w:rPr>
          <w:rFonts w:ascii="Times New Roman" w:hAnsi="Times New Roman" w:eastAsia="Times New Roman" w:cs="Times New Roman"/>
          <w:spacing w:val="-1"/>
          <w:sz w:val="23"/>
          <w:szCs w:val="23"/>
        </w:rPr>
        <w:t>kg</w:t>
      </w:r>
      <w:r>
        <w:rPr>
          <w:rFonts w:ascii="Times New Roman" w:hAnsi="Times New Roman" w:eastAsia="Times New Roman" w:cs="Times New Roman"/>
          <w:spacing w:val="-2"/>
          <w:sz w:val="23"/>
          <w:szCs w:val="23"/>
        </w:rPr>
        <w:t>/</w:t>
      </w:r>
      <w:r>
        <w:rPr>
          <w:rFonts w:ascii="Times New Roman" w:hAnsi="Times New Roman" w:eastAsia="Times New Roman" w:cs="Times New Roman"/>
          <w:spacing w:val="-1"/>
          <w:sz w:val="23"/>
          <w:szCs w:val="23"/>
        </w:rPr>
        <w:t>h</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 xml:space="preserve">，即 </w:t>
      </w:r>
      <w:r>
        <w:rPr>
          <w:rFonts w:ascii="Times New Roman" w:hAnsi="Times New Roman" w:eastAsia="Times New Roman" w:cs="Times New Roman"/>
          <w:spacing w:val="-2"/>
          <w:sz w:val="23"/>
          <w:szCs w:val="23"/>
        </w:rPr>
        <w:t>0.0042</w:t>
      </w:r>
      <w:r>
        <w:rPr>
          <w:rFonts w:ascii="Times New Roman" w:hAnsi="Times New Roman" w:eastAsia="Times New Roman" w:cs="Times New Roman"/>
          <w:spacing w:val="-1"/>
          <w:sz w:val="23"/>
          <w:szCs w:val="23"/>
        </w:rPr>
        <w:t>t</w:t>
      </w:r>
      <w:r>
        <w:rPr>
          <w:rFonts w:ascii="Times New Roman" w:hAnsi="Times New Roman" w:eastAsia="Times New Roman" w:cs="Times New Roman"/>
          <w:spacing w:val="-2"/>
          <w:sz w:val="23"/>
          <w:szCs w:val="23"/>
        </w:rPr>
        <w:t>/</w:t>
      </w:r>
      <w:r>
        <w:rPr>
          <w:rFonts w:ascii="Times New Roman" w:hAnsi="Times New Roman" w:eastAsia="Times New Roman" w:cs="Times New Roman"/>
          <w:spacing w:val="-1"/>
          <w:sz w:val="23"/>
          <w:szCs w:val="23"/>
        </w:rPr>
        <w:t>a</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w:t>
      </w:r>
      <w:r>
        <w:rPr>
          <w:rFonts w:ascii="Times New Roman" w:hAnsi="Times New Roman" w:eastAsia="Times New Roman" w:cs="Times New Roman"/>
          <w:spacing w:val="-1"/>
          <w:sz w:val="23"/>
          <w:szCs w:val="23"/>
        </w:rPr>
        <w:t>H</w:t>
      </w:r>
      <w:r>
        <w:rPr>
          <w:rFonts w:ascii="Times New Roman" w:hAnsi="Times New Roman" w:eastAsia="Times New Roman" w:cs="Times New Roman"/>
          <w:spacing w:val="-2"/>
          <w:position w:val="-1"/>
          <w:sz w:val="15"/>
          <w:szCs w:val="15"/>
        </w:rPr>
        <w:t xml:space="preserve">2 </w:t>
      </w:r>
      <w:r>
        <w:rPr>
          <w:rFonts w:ascii="Times New Roman" w:hAnsi="Times New Roman" w:eastAsia="Times New Roman" w:cs="Times New Roman"/>
          <w:spacing w:val="-1"/>
          <w:sz w:val="23"/>
          <w:szCs w:val="23"/>
        </w:rPr>
        <w:t>S</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 xml:space="preserve">排放量为 </w:t>
      </w:r>
      <w:r>
        <w:rPr>
          <w:rFonts w:ascii="Times New Roman" w:hAnsi="Times New Roman" w:eastAsia="Times New Roman" w:cs="Times New Roman"/>
          <w:spacing w:val="-2"/>
          <w:sz w:val="23"/>
          <w:szCs w:val="23"/>
        </w:rPr>
        <w:t>0.00007</w:t>
      </w:r>
      <w:r>
        <w:rPr>
          <w:rFonts w:ascii="Times New Roman" w:hAnsi="Times New Roman" w:eastAsia="Times New Roman" w:cs="Times New Roman"/>
          <w:spacing w:val="-1"/>
          <w:sz w:val="23"/>
          <w:szCs w:val="23"/>
        </w:rPr>
        <w:t xml:space="preserve">2kg/h </w:t>
      </w:r>
      <w:r>
        <w:rPr>
          <w:rFonts w:ascii="宋体" w:hAnsi="宋体" w:eastAsia="宋体" w:cs="宋体"/>
          <w:spacing w:val="-1"/>
          <w:sz w:val="23"/>
          <w:szCs w:val="23"/>
        </w:rPr>
        <w:t xml:space="preserve">，即 </w:t>
      </w:r>
      <w:r>
        <w:rPr>
          <w:rFonts w:ascii="Times New Roman" w:hAnsi="Times New Roman" w:eastAsia="Times New Roman" w:cs="Times New Roman"/>
          <w:spacing w:val="-1"/>
          <w:sz w:val="23"/>
          <w:szCs w:val="23"/>
        </w:rPr>
        <w:t>0.0006t/a</w:t>
      </w:r>
      <w:r>
        <w:rPr>
          <w:rFonts w:ascii="宋体" w:hAnsi="宋体" w:eastAsia="宋体" w:cs="宋体"/>
          <w:spacing w:val="-1"/>
          <w:sz w:val="23"/>
          <w:szCs w:val="23"/>
        </w:rPr>
        <w:t>。</w:t>
      </w:r>
    </w:p>
    <w:p w14:paraId="227FE623">
      <w:pPr>
        <w:spacing w:line="227" w:lineRule="auto"/>
        <w:ind w:left="503"/>
        <w:rPr>
          <w:rFonts w:ascii="宋体" w:hAnsi="宋体" w:eastAsia="宋体" w:cs="宋体"/>
          <w:sz w:val="23"/>
          <w:szCs w:val="23"/>
        </w:rPr>
      </w:pP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9"/>
          <w:sz w:val="23"/>
          <w:szCs w:val="23"/>
        </w:rPr>
        <w:t>3</w:t>
      </w: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宋体" w:hAnsi="宋体" w:eastAsia="宋体" w:cs="宋体"/>
          <w:spacing w:val="19"/>
          <w:sz w:val="23"/>
          <w:szCs w:val="23"/>
        </w:rPr>
        <w:t xml:space="preserve"> </w:t>
      </w:r>
      <w:r>
        <w:rPr>
          <w:rFonts w:ascii="宋体" w:hAnsi="宋体" w:eastAsia="宋体" w:cs="宋体"/>
          <w:spacing w:val="19"/>
          <w:sz w:val="23"/>
          <w:szCs w:val="23"/>
          <w14:textOutline w14:w="4356" w14:cap="sq" w14:cmpd="sng" w14:algn="ctr">
            <w14:solidFill>
              <w14:srgbClr w14:val="000000"/>
            </w14:solidFill>
            <w14:prstDash w14:val="solid"/>
            <w14:bevel/>
          </w14:textOutline>
        </w:rPr>
        <w:t>化粪池恶臭</w:t>
      </w:r>
    </w:p>
    <w:p w14:paraId="1FAC9F10">
      <w:pPr>
        <w:spacing w:before="183" w:line="374" w:lineRule="auto"/>
        <w:ind w:left="12" w:right="18" w:firstLine="483"/>
        <w:rPr>
          <w:rFonts w:ascii="宋体" w:hAnsi="宋体" w:eastAsia="宋体" w:cs="宋体"/>
          <w:sz w:val="23"/>
          <w:szCs w:val="23"/>
        </w:rPr>
      </w:pPr>
      <w:r>
        <w:rPr>
          <w:rFonts w:ascii="宋体" w:hAnsi="宋体" w:eastAsia="宋体" w:cs="宋体"/>
          <w:spacing w:val="4"/>
          <w:sz w:val="23"/>
          <w:szCs w:val="23"/>
        </w:rPr>
        <w:t xml:space="preserve">项目拟建设的猪粪化粪池面积为 </w:t>
      </w:r>
      <w:r>
        <w:rPr>
          <w:rFonts w:ascii="Times New Roman" w:hAnsi="Times New Roman" w:eastAsia="Times New Roman" w:cs="Times New Roman"/>
          <w:spacing w:val="3"/>
          <w:sz w:val="23"/>
          <w:szCs w:val="23"/>
        </w:rPr>
        <w:t>1</w:t>
      </w:r>
      <w:r>
        <w:rPr>
          <w:rFonts w:ascii="Times New Roman" w:hAnsi="Times New Roman" w:eastAsia="Times New Roman" w:cs="Times New Roman"/>
          <w:spacing w:val="2"/>
          <w:sz w:val="23"/>
          <w:szCs w:val="23"/>
        </w:rPr>
        <w:t>000</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8"/>
          <w:sz w:val="15"/>
          <w:szCs w:val="15"/>
        </w:rPr>
        <w:t xml:space="preserve">2 </w:t>
      </w:r>
      <w:r>
        <w:rPr>
          <w:rFonts w:ascii="宋体" w:hAnsi="宋体" w:eastAsia="宋体" w:cs="宋体"/>
          <w:spacing w:val="2"/>
          <w:sz w:val="23"/>
          <w:szCs w:val="23"/>
        </w:rPr>
        <w:t xml:space="preserve">，猪粪化粪池主要废气污染物为 </w:t>
      </w:r>
      <w:r>
        <w:rPr>
          <w:rFonts w:ascii="Times New Roman" w:hAnsi="Times New Roman" w:eastAsia="Times New Roman" w:cs="Times New Roman"/>
          <w:sz w:val="23"/>
          <w:szCs w:val="23"/>
        </w:rPr>
        <w:t>NH</w:t>
      </w:r>
      <w:r>
        <w:rPr>
          <w:rFonts w:ascii="Times New Roman" w:hAnsi="Times New Roman" w:eastAsia="Times New Roman" w:cs="Times New Roman"/>
          <w:spacing w:val="2"/>
          <w:position w:val="-1"/>
          <w:sz w:val="15"/>
          <w:szCs w:val="15"/>
        </w:rPr>
        <w:t xml:space="preserve">3 </w:t>
      </w:r>
      <w:r>
        <w:rPr>
          <w:rFonts w:ascii="宋体" w:hAnsi="宋体" w:eastAsia="宋体" w:cs="宋体"/>
          <w:spacing w:val="2"/>
          <w:sz w:val="23"/>
          <w:szCs w:val="23"/>
        </w:rPr>
        <w:t xml:space="preserve">和 </w:t>
      </w:r>
      <w:r>
        <w:rPr>
          <w:rFonts w:ascii="Times New Roman" w:hAnsi="Times New Roman" w:eastAsia="Times New Roman" w:cs="Times New Roman"/>
          <w:sz w:val="23"/>
          <w:szCs w:val="23"/>
        </w:rPr>
        <w:t>H</w:t>
      </w:r>
      <w:r>
        <w:rPr>
          <w:rFonts w:ascii="Times New Roman" w:hAnsi="Times New Roman" w:eastAsia="Times New Roman" w:cs="Times New Roman"/>
          <w:spacing w:val="2"/>
          <w:position w:val="-1"/>
          <w:sz w:val="15"/>
          <w:szCs w:val="15"/>
        </w:rPr>
        <w:t xml:space="preserve">2 </w:t>
      </w:r>
      <w:r>
        <w:rPr>
          <w:rFonts w:ascii="Times New Roman" w:hAnsi="Times New Roman" w:eastAsia="Times New Roman" w:cs="Times New Roman"/>
          <w:sz w:val="23"/>
          <w:szCs w:val="23"/>
        </w:rPr>
        <w:t>S</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14"/>
          <w:sz w:val="23"/>
          <w:szCs w:val="23"/>
        </w:rPr>
        <w:t>根</w:t>
      </w:r>
      <w:r>
        <w:rPr>
          <w:rFonts w:ascii="宋体" w:hAnsi="宋体" w:eastAsia="宋体" w:cs="宋体"/>
          <w:spacing w:val="7"/>
          <w:sz w:val="23"/>
          <w:szCs w:val="23"/>
        </w:rPr>
        <w:t>据《猪场恶臭影响量化分析及控制对策研究》，在没有任何遮盖以及猪粪没有结皮的情况</w:t>
      </w:r>
      <w:r>
        <w:rPr>
          <w:rFonts w:ascii="宋体" w:hAnsi="宋体" w:eastAsia="宋体" w:cs="宋体"/>
          <w:sz w:val="23"/>
          <w:szCs w:val="23"/>
        </w:rPr>
        <w:t xml:space="preserve"> </w:t>
      </w:r>
      <w:r>
        <w:rPr>
          <w:rFonts w:ascii="宋体" w:hAnsi="宋体" w:eastAsia="宋体" w:cs="宋体"/>
          <w:spacing w:val="2"/>
          <w:sz w:val="23"/>
          <w:szCs w:val="23"/>
        </w:rPr>
        <w:t>下，</w:t>
      </w:r>
      <w:r>
        <w:rPr>
          <w:rFonts w:ascii="Times New Roman" w:hAnsi="Times New Roman" w:eastAsia="Times New Roman" w:cs="Times New Roman"/>
          <w:sz w:val="23"/>
          <w:szCs w:val="23"/>
        </w:rPr>
        <w:t>NH</w:t>
      </w:r>
      <w:r>
        <w:rPr>
          <w:rFonts w:ascii="Times New Roman" w:hAnsi="Times New Roman" w:eastAsia="Times New Roman" w:cs="Times New Roman"/>
          <w:spacing w:val="2"/>
          <w:position w:val="-1"/>
          <w:sz w:val="15"/>
          <w:szCs w:val="15"/>
        </w:rPr>
        <w:t xml:space="preserve">3 </w:t>
      </w:r>
      <w:r>
        <w:rPr>
          <w:rFonts w:ascii="宋体" w:hAnsi="宋体" w:eastAsia="宋体" w:cs="宋体"/>
          <w:spacing w:val="2"/>
          <w:sz w:val="23"/>
          <w:szCs w:val="23"/>
        </w:rPr>
        <w:t>产</w:t>
      </w:r>
      <w:r>
        <w:rPr>
          <w:rFonts w:ascii="宋体" w:hAnsi="宋体" w:eastAsia="宋体" w:cs="宋体"/>
          <w:spacing w:val="1"/>
          <w:sz w:val="23"/>
          <w:szCs w:val="23"/>
        </w:rPr>
        <w:t xml:space="preserve">生源强为 </w:t>
      </w:r>
      <w:r>
        <w:rPr>
          <w:rFonts w:ascii="Times New Roman" w:hAnsi="Times New Roman" w:eastAsia="Times New Roman" w:cs="Times New Roman"/>
          <w:spacing w:val="1"/>
          <w:sz w:val="23"/>
          <w:szCs w:val="23"/>
        </w:rPr>
        <w:t>5.2</w:t>
      </w:r>
      <w:r>
        <w:rPr>
          <w:rFonts w:ascii="Times New Roman" w:hAnsi="Times New Roman" w:eastAsia="Times New Roman" w:cs="Times New Roman"/>
          <w:sz w:val="23"/>
          <w:szCs w:val="23"/>
        </w:rPr>
        <w:t>g</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1"/>
          <w:position w:val="8"/>
          <w:sz w:val="15"/>
          <w:szCs w:val="15"/>
        </w:rPr>
        <w:t xml:space="preserve">2 </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1"/>
          <w:position w:val="-1"/>
          <w:sz w:val="15"/>
          <w:szCs w:val="15"/>
        </w:rPr>
        <w:t xml:space="preserve">2 </w:t>
      </w:r>
      <w:r>
        <w:rPr>
          <w:rFonts w:ascii="Times New Roman" w:hAnsi="Times New Roman" w:eastAsia="Times New Roman" w:cs="Times New Roman"/>
          <w:sz w:val="23"/>
          <w:szCs w:val="23"/>
        </w:rPr>
        <w:t>S</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 xml:space="preserve">产生源强为 </w:t>
      </w:r>
      <w:r>
        <w:rPr>
          <w:rFonts w:ascii="Times New Roman" w:hAnsi="Times New Roman" w:eastAsia="Times New Roman" w:cs="Times New Roman"/>
          <w:spacing w:val="1"/>
          <w:sz w:val="23"/>
          <w:szCs w:val="23"/>
        </w:rPr>
        <w:t>0.4</w:t>
      </w:r>
      <w:r>
        <w:rPr>
          <w:rFonts w:ascii="Times New Roman" w:hAnsi="Times New Roman" w:eastAsia="Times New Roman" w:cs="Times New Roman"/>
          <w:sz w:val="23"/>
          <w:szCs w:val="23"/>
        </w:rPr>
        <w:t>g</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1"/>
          <w:position w:val="8"/>
          <w:sz w:val="15"/>
          <w:szCs w:val="15"/>
        </w:rPr>
        <w:t xml:space="preserve">2 </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。项目在生猪养殖的饲料里添</w:t>
      </w:r>
      <w:r>
        <w:rPr>
          <w:rFonts w:ascii="宋体" w:hAnsi="宋体" w:eastAsia="宋体" w:cs="宋体"/>
          <w:sz w:val="23"/>
          <w:szCs w:val="23"/>
        </w:rPr>
        <w:t xml:space="preserve"> </w:t>
      </w:r>
      <w:r>
        <w:rPr>
          <w:rFonts w:ascii="宋体" w:hAnsi="宋体" w:eastAsia="宋体" w:cs="宋体"/>
          <w:spacing w:val="16"/>
          <w:sz w:val="23"/>
          <w:szCs w:val="23"/>
        </w:rPr>
        <w:t>加</w:t>
      </w:r>
      <w:r>
        <w:rPr>
          <w:rFonts w:ascii="宋体" w:hAnsi="宋体" w:eastAsia="宋体" w:cs="宋体"/>
          <w:spacing w:val="12"/>
          <w:sz w:val="23"/>
          <w:szCs w:val="23"/>
        </w:rPr>
        <w:t>了</w:t>
      </w:r>
      <w:r>
        <w:rPr>
          <w:rFonts w:ascii="宋体" w:hAnsi="宋体" w:eastAsia="宋体" w:cs="宋体"/>
          <w:spacing w:val="8"/>
          <w:sz w:val="23"/>
          <w:szCs w:val="23"/>
        </w:rPr>
        <w:t>益生菌，粪污臭气产生量相较传统的养殖方式明显降低，对猪粪化粪池采取密闭措施，</w:t>
      </w:r>
      <w:r>
        <w:rPr>
          <w:rFonts w:ascii="宋体" w:hAnsi="宋体" w:eastAsia="宋体" w:cs="宋体"/>
          <w:sz w:val="23"/>
          <w:szCs w:val="23"/>
        </w:rPr>
        <w:t xml:space="preserve"> </w:t>
      </w:r>
      <w:r>
        <w:rPr>
          <w:rFonts w:ascii="宋体" w:hAnsi="宋体" w:eastAsia="宋体" w:cs="宋体"/>
          <w:spacing w:val="13"/>
          <w:sz w:val="23"/>
          <w:szCs w:val="23"/>
        </w:rPr>
        <w:t>并</w:t>
      </w:r>
      <w:r>
        <w:rPr>
          <w:rFonts w:ascii="宋体" w:hAnsi="宋体" w:eastAsia="宋体" w:cs="宋体"/>
          <w:spacing w:val="8"/>
          <w:sz w:val="23"/>
          <w:szCs w:val="23"/>
        </w:rPr>
        <w:t xml:space="preserve">定时喷洒除臭剂以抑制恶臭的产生，可从源头削减源强 </w:t>
      </w:r>
      <w:r>
        <w:rPr>
          <w:rFonts w:ascii="Times New Roman" w:hAnsi="Times New Roman" w:eastAsia="Times New Roman" w:cs="Times New Roman"/>
          <w:spacing w:val="8"/>
          <w:sz w:val="23"/>
          <w:szCs w:val="23"/>
        </w:rPr>
        <w:t>95%</w:t>
      </w:r>
      <w:r>
        <w:rPr>
          <w:rFonts w:ascii="宋体" w:hAnsi="宋体" w:eastAsia="宋体" w:cs="宋体"/>
          <w:spacing w:val="8"/>
          <w:sz w:val="23"/>
          <w:szCs w:val="23"/>
        </w:rPr>
        <w:t xml:space="preserve">以上，则集污池的 </w:t>
      </w:r>
      <w:r>
        <w:rPr>
          <w:rFonts w:ascii="Times New Roman" w:hAnsi="Times New Roman" w:eastAsia="Times New Roman" w:cs="Times New Roman"/>
          <w:sz w:val="23"/>
          <w:szCs w:val="23"/>
        </w:rPr>
        <w:t>NH</w:t>
      </w:r>
      <w:r>
        <w:rPr>
          <w:rFonts w:ascii="Times New Roman" w:hAnsi="Times New Roman" w:eastAsia="Times New Roman" w:cs="Times New Roman"/>
          <w:spacing w:val="8"/>
          <w:position w:val="-1"/>
          <w:sz w:val="15"/>
          <w:szCs w:val="15"/>
        </w:rPr>
        <w:t xml:space="preserve">3 </w:t>
      </w:r>
      <w:r>
        <w:rPr>
          <w:rFonts w:ascii="宋体" w:hAnsi="宋体" w:eastAsia="宋体" w:cs="宋体"/>
          <w:spacing w:val="8"/>
          <w:sz w:val="23"/>
          <w:szCs w:val="23"/>
        </w:rPr>
        <w:t>排放</w:t>
      </w:r>
      <w:r>
        <w:rPr>
          <w:rFonts w:ascii="宋体" w:hAnsi="宋体" w:eastAsia="宋体" w:cs="宋体"/>
          <w:sz w:val="23"/>
          <w:szCs w:val="23"/>
        </w:rPr>
        <w:t xml:space="preserve"> </w:t>
      </w:r>
      <w:r>
        <w:rPr>
          <w:rFonts w:ascii="宋体" w:hAnsi="宋体" w:eastAsia="宋体" w:cs="宋体"/>
          <w:spacing w:val="1"/>
          <w:sz w:val="23"/>
          <w:szCs w:val="23"/>
        </w:rPr>
        <w:t xml:space="preserve">强度为 </w:t>
      </w:r>
      <w:r>
        <w:rPr>
          <w:rFonts w:ascii="Times New Roman" w:hAnsi="Times New Roman" w:eastAsia="Times New Roman" w:cs="Times New Roman"/>
          <w:spacing w:val="1"/>
          <w:sz w:val="23"/>
          <w:szCs w:val="23"/>
        </w:rPr>
        <w:t>0.26</w:t>
      </w:r>
      <w:r>
        <w:rPr>
          <w:rFonts w:ascii="Times New Roman" w:hAnsi="Times New Roman" w:eastAsia="Times New Roman" w:cs="Times New Roman"/>
          <w:sz w:val="23"/>
          <w:szCs w:val="23"/>
        </w:rPr>
        <w:t>g</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1"/>
          <w:position w:val="7"/>
          <w:sz w:val="15"/>
          <w:szCs w:val="15"/>
        </w:rPr>
        <w:t xml:space="preserve">2 </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，排放量为</w:t>
      </w:r>
      <w:r>
        <w:rPr>
          <w:rFonts w:ascii="宋体" w:hAnsi="宋体" w:eastAsia="宋体" w:cs="宋体"/>
          <w:sz w:val="23"/>
          <w:szCs w:val="23"/>
        </w:rPr>
        <w:t xml:space="preserve"> </w:t>
      </w:r>
      <w:r>
        <w:rPr>
          <w:rFonts w:ascii="Times New Roman" w:hAnsi="Times New Roman" w:eastAsia="Times New Roman" w:cs="Times New Roman"/>
          <w:sz w:val="23"/>
          <w:szCs w:val="23"/>
        </w:rPr>
        <w:t xml:space="preserve">0.26kg/d  </w:t>
      </w:r>
      <w:r>
        <w:rPr>
          <w:rFonts w:ascii="宋体" w:hAnsi="宋体" w:eastAsia="宋体" w:cs="宋体"/>
          <w:sz w:val="23"/>
          <w:szCs w:val="23"/>
        </w:rPr>
        <w:t>(</w:t>
      </w:r>
      <w:r>
        <w:rPr>
          <w:rFonts w:ascii="Times New Roman" w:hAnsi="Times New Roman" w:eastAsia="Times New Roman" w:cs="Times New Roman"/>
          <w:sz w:val="23"/>
          <w:szCs w:val="23"/>
        </w:rPr>
        <w:t>0.011kg/h</w:t>
      </w:r>
      <w:r>
        <w:rPr>
          <w:rFonts w:ascii="宋体" w:hAnsi="宋体" w:eastAsia="宋体" w:cs="宋体"/>
          <w:sz w:val="23"/>
          <w:szCs w:val="23"/>
        </w:rPr>
        <w:t>) ，</w:t>
      </w:r>
      <w:r>
        <w:rPr>
          <w:rFonts w:ascii="Times New Roman" w:hAnsi="Times New Roman" w:eastAsia="Times New Roman" w:cs="Times New Roman"/>
          <w:sz w:val="23"/>
          <w:szCs w:val="23"/>
        </w:rPr>
        <w:t xml:space="preserve">0.095t/a </w:t>
      </w:r>
      <w:r>
        <w:rPr>
          <w:rFonts w:ascii="宋体" w:hAnsi="宋体" w:eastAsia="宋体" w:cs="宋体"/>
          <w:sz w:val="23"/>
          <w:szCs w:val="23"/>
        </w:rPr>
        <w:t xml:space="preserve">，猪粪化粪池的 </w:t>
      </w:r>
      <w:r>
        <w:rPr>
          <w:rFonts w:ascii="Times New Roman" w:hAnsi="Times New Roman" w:eastAsia="Times New Roman" w:cs="Times New Roman"/>
          <w:sz w:val="23"/>
          <w:szCs w:val="23"/>
        </w:rPr>
        <w:t>H</w:t>
      </w:r>
      <w:r>
        <w:rPr>
          <w:rFonts w:ascii="Times New Roman" w:hAnsi="Times New Roman" w:eastAsia="Times New Roman" w:cs="Times New Roman"/>
          <w:position w:val="-1"/>
          <w:sz w:val="15"/>
          <w:szCs w:val="15"/>
        </w:rPr>
        <w:t>2</w:t>
      </w:r>
      <w:r>
        <w:rPr>
          <w:rFonts w:ascii="Times New Roman" w:hAnsi="Times New Roman" w:eastAsia="Times New Roman" w:cs="Times New Roman"/>
          <w:sz w:val="23"/>
          <w:szCs w:val="23"/>
        </w:rPr>
        <w:t xml:space="preserve">S  </w:t>
      </w:r>
      <w:r>
        <w:rPr>
          <w:rFonts w:ascii="宋体" w:hAnsi="宋体" w:eastAsia="宋体" w:cs="宋体"/>
          <w:sz w:val="23"/>
          <w:szCs w:val="23"/>
        </w:rPr>
        <w:t>排放强</w:t>
      </w:r>
    </w:p>
    <w:p w14:paraId="3C5EF431">
      <w:pPr>
        <w:sectPr>
          <w:headerReference r:id="rId129" w:type="default"/>
          <w:footerReference r:id="rId130" w:type="default"/>
          <w:pgSz w:w="11907" w:h="16840"/>
          <w:pgMar w:top="829" w:right="1070" w:bottom="1139" w:left="1273" w:header="595" w:footer="953" w:gutter="0"/>
          <w:cols w:space="720" w:num="1"/>
        </w:sectPr>
      </w:pPr>
    </w:p>
    <w:p w14:paraId="21CACB4D">
      <w:pPr>
        <w:spacing w:before="102" w:line="509" w:lineRule="exact"/>
        <w:ind w:left="117"/>
        <w:rPr>
          <w:rFonts w:ascii="宋体" w:hAnsi="宋体" w:eastAsia="宋体" w:cs="宋体"/>
          <w:sz w:val="23"/>
          <w:szCs w:val="23"/>
        </w:rPr>
      </w:pPr>
      <w:r>
        <w:rPr>
          <w:rFonts w:ascii="宋体" w:hAnsi="宋体" w:eastAsia="宋体" w:cs="宋体"/>
          <w:spacing w:val="2"/>
          <w:position w:val="18"/>
          <w:sz w:val="23"/>
          <w:szCs w:val="23"/>
        </w:rPr>
        <w:t xml:space="preserve">度为 </w:t>
      </w:r>
      <w:r>
        <w:rPr>
          <w:rFonts w:ascii="Times New Roman" w:hAnsi="Times New Roman" w:eastAsia="Times New Roman" w:cs="Times New Roman"/>
          <w:spacing w:val="2"/>
          <w:position w:val="18"/>
          <w:sz w:val="23"/>
          <w:szCs w:val="23"/>
        </w:rPr>
        <w:t>0.</w:t>
      </w:r>
      <w:r>
        <w:rPr>
          <w:rFonts w:ascii="Times New Roman" w:hAnsi="Times New Roman" w:eastAsia="Times New Roman" w:cs="Times New Roman"/>
          <w:spacing w:val="1"/>
          <w:position w:val="18"/>
          <w:sz w:val="23"/>
          <w:szCs w:val="23"/>
        </w:rPr>
        <w:t>02</w:t>
      </w:r>
      <w:r>
        <w:rPr>
          <w:rFonts w:ascii="Times New Roman" w:hAnsi="Times New Roman" w:eastAsia="Times New Roman" w:cs="Times New Roman"/>
          <w:position w:val="18"/>
          <w:sz w:val="23"/>
          <w:szCs w:val="23"/>
        </w:rPr>
        <w:t>g</w:t>
      </w:r>
      <w:r>
        <w:rPr>
          <w:rFonts w:ascii="Times New Roman" w:hAnsi="Times New Roman" w:eastAsia="Times New Roman" w:cs="Times New Roman"/>
          <w:spacing w:val="1"/>
          <w:position w:val="18"/>
          <w:sz w:val="23"/>
          <w:szCs w:val="23"/>
        </w:rPr>
        <w:t>/(</w:t>
      </w:r>
      <w:r>
        <w:rPr>
          <w:rFonts w:ascii="Times New Roman" w:hAnsi="Times New Roman" w:eastAsia="Times New Roman" w:cs="Times New Roman"/>
          <w:position w:val="18"/>
          <w:sz w:val="23"/>
          <w:szCs w:val="23"/>
        </w:rPr>
        <w:t>m</w:t>
      </w:r>
      <w:r>
        <w:rPr>
          <w:rFonts w:ascii="Times New Roman" w:hAnsi="Times New Roman" w:eastAsia="Times New Roman" w:cs="Times New Roman"/>
          <w:spacing w:val="1"/>
          <w:position w:val="26"/>
          <w:sz w:val="15"/>
          <w:szCs w:val="15"/>
        </w:rPr>
        <w:t xml:space="preserve">2 </w:t>
      </w:r>
      <w:r>
        <w:rPr>
          <w:rFonts w:ascii="Times New Roman" w:hAnsi="Times New Roman" w:eastAsia="Times New Roman" w:cs="Times New Roman"/>
          <w:spacing w:val="1"/>
          <w:position w:val="18"/>
          <w:sz w:val="23"/>
          <w:szCs w:val="23"/>
        </w:rPr>
        <w:t>·</w:t>
      </w:r>
      <w:r>
        <w:rPr>
          <w:rFonts w:ascii="Times New Roman" w:hAnsi="Times New Roman" w:eastAsia="Times New Roman" w:cs="Times New Roman"/>
          <w:position w:val="18"/>
          <w:sz w:val="23"/>
          <w:szCs w:val="23"/>
        </w:rPr>
        <w:t>d</w:t>
      </w:r>
      <w:r>
        <w:rPr>
          <w:rFonts w:ascii="Times New Roman" w:hAnsi="Times New Roman" w:eastAsia="Times New Roman" w:cs="Times New Roman"/>
          <w:spacing w:val="1"/>
          <w:position w:val="18"/>
          <w:sz w:val="23"/>
          <w:szCs w:val="23"/>
        </w:rPr>
        <w:t xml:space="preserve">) </w:t>
      </w:r>
      <w:r>
        <w:rPr>
          <w:rFonts w:ascii="宋体" w:hAnsi="宋体" w:eastAsia="宋体" w:cs="宋体"/>
          <w:spacing w:val="1"/>
          <w:position w:val="18"/>
          <w:sz w:val="23"/>
          <w:szCs w:val="23"/>
        </w:rPr>
        <w:t xml:space="preserve">，排放量为 </w:t>
      </w:r>
      <w:r>
        <w:rPr>
          <w:rFonts w:ascii="Times New Roman" w:hAnsi="Times New Roman" w:eastAsia="Times New Roman" w:cs="Times New Roman"/>
          <w:spacing w:val="1"/>
          <w:position w:val="18"/>
          <w:sz w:val="23"/>
          <w:szCs w:val="23"/>
        </w:rPr>
        <w:t>0.02</w:t>
      </w:r>
      <w:r>
        <w:rPr>
          <w:rFonts w:ascii="Times New Roman" w:hAnsi="Times New Roman" w:eastAsia="Times New Roman" w:cs="Times New Roman"/>
          <w:position w:val="18"/>
          <w:sz w:val="23"/>
          <w:szCs w:val="23"/>
        </w:rPr>
        <w:t>kg</w:t>
      </w:r>
      <w:r>
        <w:rPr>
          <w:rFonts w:ascii="Times New Roman" w:hAnsi="Times New Roman" w:eastAsia="Times New Roman" w:cs="Times New Roman"/>
          <w:spacing w:val="1"/>
          <w:position w:val="18"/>
          <w:sz w:val="23"/>
          <w:szCs w:val="23"/>
        </w:rPr>
        <w:t>/</w:t>
      </w:r>
      <w:r>
        <w:rPr>
          <w:rFonts w:ascii="Times New Roman" w:hAnsi="Times New Roman" w:eastAsia="Times New Roman" w:cs="Times New Roman"/>
          <w:position w:val="18"/>
          <w:sz w:val="23"/>
          <w:szCs w:val="23"/>
        </w:rPr>
        <w:t>d</w:t>
      </w:r>
      <w:r>
        <w:rPr>
          <w:rFonts w:ascii="Times New Roman" w:hAnsi="Times New Roman" w:eastAsia="Times New Roman" w:cs="Times New Roman"/>
          <w:spacing w:val="1"/>
          <w:position w:val="18"/>
          <w:sz w:val="23"/>
          <w:szCs w:val="23"/>
        </w:rPr>
        <w:t xml:space="preserve">  </w:t>
      </w:r>
      <w:r>
        <w:rPr>
          <w:rFonts w:ascii="宋体" w:hAnsi="宋体" w:eastAsia="宋体" w:cs="宋体"/>
          <w:spacing w:val="1"/>
          <w:position w:val="18"/>
          <w:sz w:val="23"/>
          <w:szCs w:val="23"/>
        </w:rPr>
        <w:t>(</w:t>
      </w:r>
      <w:r>
        <w:rPr>
          <w:rFonts w:ascii="Times New Roman" w:hAnsi="Times New Roman" w:eastAsia="Times New Roman" w:cs="Times New Roman"/>
          <w:spacing w:val="1"/>
          <w:position w:val="18"/>
          <w:sz w:val="23"/>
          <w:szCs w:val="23"/>
        </w:rPr>
        <w:t>0.0008</w:t>
      </w:r>
      <w:r>
        <w:rPr>
          <w:rFonts w:ascii="Times New Roman" w:hAnsi="Times New Roman" w:eastAsia="Times New Roman" w:cs="Times New Roman"/>
          <w:position w:val="18"/>
          <w:sz w:val="23"/>
          <w:szCs w:val="23"/>
        </w:rPr>
        <w:t>kg</w:t>
      </w:r>
      <w:r>
        <w:rPr>
          <w:rFonts w:ascii="Times New Roman" w:hAnsi="Times New Roman" w:eastAsia="Times New Roman" w:cs="Times New Roman"/>
          <w:spacing w:val="1"/>
          <w:position w:val="18"/>
          <w:sz w:val="23"/>
          <w:szCs w:val="23"/>
        </w:rPr>
        <w:t>/</w:t>
      </w:r>
      <w:r>
        <w:rPr>
          <w:rFonts w:ascii="Times New Roman" w:hAnsi="Times New Roman" w:eastAsia="Times New Roman" w:cs="Times New Roman"/>
          <w:position w:val="18"/>
          <w:sz w:val="23"/>
          <w:szCs w:val="23"/>
        </w:rPr>
        <w:t>h</w:t>
      </w:r>
      <w:r>
        <w:rPr>
          <w:rFonts w:ascii="宋体" w:hAnsi="宋体" w:eastAsia="宋体" w:cs="宋体"/>
          <w:spacing w:val="1"/>
          <w:position w:val="18"/>
          <w:sz w:val="23"/>
          <w:szCs w:val="23"/>
        </w:rPr>
        <w:t>) ，</w:t>
      </w:r>
      <w:r>
        <w:rPr>
          <w:rFonts w:ascii="Times New Roman" w:hAnsi="Times New Roman" w:eastAsia="Times New Roman" w:cs="Times New Roman"/>
          <w:spacing w:val="1"/>
          <w:position w:val="18"/>
          <w:sz w:val="23"/>
          <w:szCs w:val="23"/>
        </w:rPr>
        <w:t>0.0073/</w:t>
      </w:r>
      <w:r>
        <w:rPr>
          <w:rFonts w:ascii="Times New Roman" w:hAnsi="Times New Roman" w:eastAsia="Times New Roman" w:cs="Times New Roman"/>
          <w:position w:val="18"/>
          <w:sz w:val="23"/>
          <w:szCs w:val="23"/>
        </w:rPr>
        <w:t>a</w:t>
      </w:r>
      <w:r>
        <w:rPr>
          <w:rFonts w:ascii="宋体" w:hAnsi="宋体" w:eastAsia="宋体" w:cs="宋体"/>
          <w:spacing w:val="1"/>
          <w:position w:val="18"/>
          <w:sz w:val="23"/>
          <w:szCs w:val="23"/>
        </w:rPr>
        <w:t>。</w:t>
      </w:r>
    </w:p>
    <w:p w14:paraId="7BE61818">
      <w:pPr>
        <w:spacing w:line="228" w:lineRule="auto"/>
        <w:ind w:left="601"/>
        <w:rPr>
          <w:rFonts w:ascii="宋体" w:hAnsi="宋体" w:eastAsia="宋体" w:cs="宋体"/>
          <w:sz w:val="23"/>
          <w:szCs w:val="23"/>
        </w:rPr>
      </w:pPr>
      <w:r>
        <w:rPr>
          <w:rFonts w:ascii="宋体" w:hAnsi="宋体" w:eastAsia="宋体" w:cs="宋体"/>
          <w:spacing w:val="4"/>
          <w:sz w:val="23"/>
          <w:szCs w:val="23"/>
        </w:rPr>
        <w:t>综上，项目</w:t>
      </w:r>
      <w:r>
        <w:rPr>
          <w:rFonts w:ascii="宋体" w:hAnsi="宋体" w:eastAsia="宋体" w:cs="宋体"/>
          <w:spacing w:val="2"/>
          <w:sz w:val="23"/>
          <w:szCs w:val="23"/>
        </w:rPr>
        <w:t xml:space="preserve">恶臭污染物产排情况见表 </w:t>
      </w:r>
      <w:r>
        <w:rPr>
          <w:rFonts w:ascii="Times New Roman" w:hAnsi="Times New Roman" w:eastAsia="Times New Roman" w:cs="Times New Roman"/>
          <w:spacing w:val="2"/>
          <w:sz w:val="23"/>
          <w:szCs w:val="23"/>
        </w:rPr>
        <w:t>3.3- 15</w:t>
      </w:r>
      <w:r>
        <w:rPr>
          <w:rFonts w:ascii="宋体" w:hAnsi="宋体" w:eastAsia="宋体" w:cs="宋体"/>
          <w:spacing w:val="2"/>
          <w:sz w:val="23"/>
          <w:szCs w:val="23"/>
        </w:rPr>
        <w:t>。</w:t>
      </w:r>
    </w:p>
    <w:p w14:paraId="453749BA">
      <w:pPr>
        <w:spacing w:before="138" w:line="322" w:lineRule="exact"/>
        <w:ind w:left="1917"/>
        <w:rPr>
          <w:rFonts w:ascii="Times New Roman" w:hAnsi="Times New Roman" w:eastAsia="Times New Roman" w:cs="Times New Roman"/>
          <w:sz w:val="23"/>
          <w:szCs w:val="23"/>
        </w:rPr>
      </w:pPr>
      <w:r>
        <w:rPr>
          <w:rFonts w:ascii="黑体" w:hAnsi="黑体" w:eastAsia="黑体" w:cs="黑体"/>
          <w:spacing w:val="6"/>
          <w:position w:val="3"/>
          <w:sz w:val="23"/>
          <w:szCs w:val="23"/>
        </w:rPr>
        <w:t xml:space="preserve">表 </w:t>
      </w:r>
      <w:r>
        <w:rPr>
          <w:rFonts w:ascii="Times New Roman" w:hAnsi="Times New Roman" w:eastAsia="Times New Roman" w:cs="Times New Roman"/>
          <w:spacing w:val="6"/>
          <w:position w:val="3"/>
          <w:sz w:val="23"/>
          <w:szCs w:val="23"/>
        </w:rPr>
        <w:t>3.3-</w:t>
      </w:r>
      <w:r>
        <w:rPr>
          <w:rFonts w:ascii="Times New Roman" w:hAnsi="Times New Roman" w:eastAsia="Times New Roman" w:cs="Times New Roman"/>
          <w:spacing w:val="4"/>
          <w:position w:val="3"/>
          <w:sz w:val="23"/>
          <w:szCs w:val="23"/>
        </w:rPr>
        <w:t xml:space="preserve"> </w:t>
      </w:r>
      <w:r>
        <w:rPr>
          <w:rFonts w:ascii="Times New Roman" w:hAnsi="Times New Roman" w:eastAsia="Times New Roman" w:cs="Times New Roman"/>
          <w:spacing w:val="3"/>
          <w:position w:val="3"/>
          <w:sz w:val="23"/>
          <w:szCs w:val="23"/>
        </w:rPr>
        <w:t xml:space="preserve">15  </w:t>
      </w:r>
      <w:r>
        <w:rPr>
          <w:rFonts w:ascii="黑体" w:hAnsi="黑体" w:eastAsia="黑体" w:cs="黑体"/>
          <w:spacing w:val="3"/>
          <w:position w:val="3"/>
          <w:sz w:val="23"/>
          <w:szCs w:val="23"/>
        </w:rPr>
        <w:t>项目恶臭污染物产排情况一览表   单位：</w:t>
      </w:r>
      <w:r>
        <w:rPr>
          <w:rFonts w:ascii="Times New Roman" w:hAnsi="Times New Roman" w:eastAsia="Times New Roman" w:cs="Times New Roman"/>
          <w:position w:val="3"/>
          <w:sz w:val="23"/>
          <w:szCs w:val="23"/>
        </w:rPr>
        <w:t>kg</w:t>
      </w:r>
      <w:r>
        <w:rPr>
          <w:rFonts w:ascii="Times New Roman" w:hAnsi="Times New Roman" w:eastAsia="Times New Roman" w:cs="Times New Roman"/>
          <w:spacing w:val="3"/>
          <w:position w:val="3"/>
          <w:sz w:val="23"/>
          <w:szCs w:val="23"/>
        </w:rPr>
        <w:t>/</w:t>
      </w:r>
      <w:r>
        <w:rPr>
          <w:rFonts w:ascii="Times New Roman" w:hAnsi="Times New Roman" w:eastAsia="Times New Roman" w:cs="Times New Roman"/>
          <w:position w:val="3"/>
          <w:sz w:val="23"/>
          <w:szCs w:val="23"/>
        </w:rPr>
        <w:t>h</w:t>
      </w:r>
    </w:p>
    <w:tbl>
      <w:tblPr>
        <w:tblStyle w:val="4"/>
        <w:tblW w:w="9289" w:type="dxa"/>
        <w:tblInd w:w="2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1"/>
        <w:gridCol w:w="1083"/>
        <w:gridCol w:w="1020"/>
        <w:gridCol w:w="900"/>
        <w:gridCol w:w="1005"/>
        <w:gridCol w:w="870"/>
        <w:gridCol w:w="1117"/>
        <w:gridCol w:w="917"/>
        <w:gridCol w:w="1088"/>
        <w:gridCol w:w="888"/>
      </w:tblGrid>
      <w:tr w14:paraId="3A3BC3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401" w:type="dxa"/>
            <w:vMerge w:val="restart"/>
            <w:tcBorders>
              <w:left w:val="nil"/>
              <w:bottom w:val="nil"/>
            </w:tcBorders>
            <w:textDirection w:val="tbRlV"/>
          </w:tcPr>
          <w:p w14:paraId="75144BE5">
            <w:pPr>
              <w:spacing w:before="81" w:line="218" w:lineRule="auto"/>
              <w:ind w:left="220"/>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序</w:t>
            </w:r>
            <w:r>
              <w:rPr>
                <w:rFonts w:ascii="宋体" w:hAnsi="宋体" w:eastAsia="宋体" w:cs="宋体"/>
                <w:spacing w:val="-6"/>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号</w:t>
            </w:r>
          </w:p>
        </w:tc>
        <w:tc>
          <w:tcPr>
            <w:tcW w:w="1083" w:type="dxa"/>
            <w:vMerge w:val="restart"/>
            <w:tcBorders>
              <w:bottom w:val="nil"/>
            </w:tcBorders>
          </w:tcPr>
          <w:p w14:paraId="26B07C8A">
            <w:pPr>
              <w:spacing w:before="219" w:line="268" w:lineRule="auto"/>
              <w:ind w:left="440" w:right="118" w:hanging="313"/>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污染源位</w:t>
            </w:r>
            <w:r>
              <w:rPr>
                <w:rFonts w:ascii="宋体" w:hAnsi="宋体" w:eastAsia="宋体" w:cs="宋体"/>
                <w:sz w:val="20"/>
                <w:szCs w:val="20"/>
              </w:rPr>
              <w:t xml:space="preserve"> </w:t>
            </w:r>
            <w:r>
              <w:rPr>
                <w:rFonts w:ascii="宋体" w:hAnsi="宋体" w:eastAsia="宋体" w:cs="宋体"/>
                <w:spacing w:val="2"/>
                <w:sz w:val="20"/>
                <w:szCs w:val="20"/>
                <w14:textOutline w14:w="3797" w14:cap="sq" w14:cmpd="sng" w14:algn="ctr">
                  <w14:solidFill>
                    <w14:srgbClr w14:val="000000"/>
                  </w14:solidFill>
                  <w14:prstDash w14:val="solid"/>
                  <w14:bevel/>
                </w14:textOutline>
              </w:rPr>
              <w:t>置</w:t>
            </w:r>
          </w:p>
        </w:tc>
        <w:tc>
          <w:tcPr>
            <w:tcW w:w="3795" w:type="dxa"/>
            <w:gridSpan w:val="4"/>
          </w:tcPr>
          <w:p w14:paraId="5BA686C8">
            <w:pPr>
              <w:spacing w:before="98" w:line="199" w:lineRule="auto"/>
              <w:ind w:left="1917"/>
              <w:rPr>
                <w:rFonts w:ascii="Times New Roman" w:hAnsi="Times New Roman" w:eastAsia="Times New Roman" w:cs="Times New Roman"/>
                <w:sz w:val="13"/>
                <w:szCs w:val="13"/>
              </w:rPr>
            </w:pPr>
            <w:r>
              <w:rPr>
                <w:rFonts w:ascii="Times New Roman" w:hAnsi="Times New Roman" w:eastAsia="Times New Roman" w:cs="Times New Roman"/>
                <w:b/>
                <w:bCs/>
                <w:sz w:val="20"/>
                <w:szCs w:val="20"/>
              </w:rPr>
              <w:t>NH</w:t>
            </w:r>
            <w:r>
              <w:rPr>
                <w:rFonts w:ascii="Times New Roman" w:hAnsi="Times New Roman" w:eastAsia="Times New Roman" w:cs="Times New Roman"/>
                <w:b/>
                <w:bCs/>
                <w:spacing w:val="14"/>
                <w:position w:val="-1"/>
                <w:sz w:val="13"/>
                <w:szCs w:val="13"/>
              </w:rPr>
              <w:t>3</w:t>
            </w:r>
          </w:p>
        </w:tc>
        <w:tc>
          <w:tcPr>
            <w:tcW w:w="4010" w:type="dxa"/>
            <w:gridSpan w:val="4"/>
            <w:tcBorders>
              <w:right w:val="nil"/>
            </w:tcBorders>
          </w:tcPr>
          <w:p w14:paraId="1E8D9FE5">
            <w:pPr>
              <w:spacing w:before="95" w:line="202" w:lineRule="auto"/>
              <w:ind w:left="2042"/>
              <w:rPr>
                <w:rFonts w:ascii="Times New Roman" w:hAnsi="Times New Roman" w:eastAsia="Times New Roman" w:cs="Times New Roman"/>
                <w:sz w:val="20"/>
                <w:szCs w:val="20"/>
              </w:rPr>
            </w:pPr>
            <w:r>
              <w:rPr>
                <w:rFonts w:ascii="Times New Roman" w:hAnsi="Times New Roman" w:eastAsia="Times New Roman" w:cs="Times New Roman"/>
                <w:b/>
                <w:bCs/>
                <w:sz w:val="20"/>
                <w:szCs w:val="20"/>
              </w:rPr>
              <w:t>H</w:t>
            </w:r>
            <w:r>
              <w:rPr>
                <w:rFonts w:ascii="Times New Roman" w:hAnsi="Times New Roman" w:eastAsia="Times New Roman" w:cs="Times New Roman"/>
                <w:b/>
                <w:bCs/>
                <w:spacing w:val="10"/>
                <w:position w:val="-1"/>
                <w:sz w:val="13"/>
                <w:szCs w:val="13"/>
              </w:rPr>
              <w:t>2</w:t>
            </w:r>
            <w:r>
              <w:rPr>
                <w:rFonts w:ascii="Times New Roman" w:hAnsi="Times New Roman" w:eastAsia="Times New Roman" w:cs="Times New Roman"/>
                <w:b/>
                <w:bCs/>
                <w:sz w:val="20"/>
                <w:szCs w:val="20"/>
              </w:rPr>
              <w:t>S</w:t>
            </w:r>
          </w:p>
        </w:tc>
      </w:tr>
      <w:tr w14:paraId="5940B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401" w:type="dxa"/>
            <w:vMerge w:val="continue"/>
            <w:tcBorders>
              <w:top w:val="nil"/>
              <w:left w:val="nil"/>
            </w:tcBorders>
            <w:textDirection w:val="tbRlV"/>
          </w:tcPr>
          <w:p w14:paraId="21CC83C7"/>
        </w:tc>
        <w:tc>
          <w:tcPr>
            <w:tcW w:w="1083" w:type="dxa"/>
            <w:vMerge w:val="continue"/>
            <w:tcBorders>
              <w:top w:val="nil"/>
            </w:tcBorders>
          </w:tcPr>
          <w:p w14:paraId="3DE83B0A"/>
        </w:tc>
        <w:tc>
          <w:tcPr>
            <w:tcW w:w="1020" w:type="dxa"/>
          </w:tcPr>
          <w:p w14:paraId="112DCEFE">
            <w:pPr>
              <w:spacing w:before="50" w:line="244" w:lineRule="auto"/>
              <w:ind w:left="198" w:right="190" w:firstLine="3"/>
              <w:rPr>
                <w:rFonts w:ascii="Times New Roman" w:hAnsi="Times New Roman" w:eastAsia="Times New Roman" w:cs="Times New Roman"/>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产</w:t>
            </w:r>
            <w:r>
              <w:rPr>
                <w:rFonts w:ascii="宋体" w:hAnsi="宋体" w:eastAsia="宋体" w:cs="宋体"/>
                <w:spacing w:val="7"/>
                <w:sz w:val="20"/>
                <w:szCs w:val="20"/>
                <w14:textOutline w14:w="3797" w14:cap="sq" w14:cmpd="sng" w14:algn="ctr">
                  <w14:solidFill>
                    <w14:srgbClr w14:val="000000"/>
                  </w14:solidFill>
                  <w14:prstDash w14:val="solid"/>
                  <w14:bevel/>
                </w14:textOutline>
              </w:rPr>
              <w:t>生速</w:t>
            </w:r>
            <w:r>
              <w:rPr>
                <w:rFonts w:ascii="宋体" w:hAnsi="宋体" w:eastAsia="宋体" w:cs="宋体"/>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率</w:t>
            </w:r>
            <w:r>
              <w:rPr>
                <w:rFonts w:ascii="宋体" w:hAnsi="宋体" w:eastAsia="宋体" w:cs="宋体"/>
                <w:spacing w:val="-5"/>
                <w:sz w:val="20"/>
                <w:szCs w:val="20"/>
              </w:rPr>
              <w:t xml:space="preserve"> </w:t>
            </w:r>
            <w:r>
              <w:rPr>
                <w:rFonts w:ascii="Times New Roman" w:hAnsi="Times New Roman" w:eastAsia="Times New Roman" w:cs="Times New Roman"/>
                <w:spacing w:val="-5"/>
                <w:sz w:val="20"/>
                <w:szCs w:val="20"/>
              </w:rPr>
              <w:t>kg/h</w:t>
            </w:r>
          </w:p>
        </w:tc>
        <w:tc>
          <w:tcPr>
            <w:tcW w:w="900" w:type="dxa"/>
          </w:tcPr>
          <w:p w14:paraId="256AB061">
            <w:pPr>
              <w:spacing w:before="66" w:line="202" w:lineRule="auto"/>
              <w:ind w:left="115"/>
              <w:rPr>
                <w:rFonts w:ascii="宋体" w:hAnsi="宋体" w:eastAsia="宋体" w:cs="宋体"/>
                <w:sz w:val="20"/>
                <w:szCs w:val="20"/>
              </w:rPr>
            </w:pPr>
            <w:r>
              <w:pict>
                <v:shape id="_x0000_s2087" o:spid="_x0000_s2087" o:spt="202" type="#_x0000_t202" style="position:absolute;left:0pt;margin-left:16.4pt;margin-top:13.5pt;height:16.1pt;width:7.75pt;mso-position-horizontal-relative:page;mso-position-vertical-relative:page;z-index:251715584;mso-width-relative:page;mso-height-relative:page;" filled="f" stroked="f" coordsize="21600,21600">
                  <v:path/>
                  <v:fill on="f" focussize="0,0"/>
                  <v:stroke on="f" joinstyle="miter"/>
                  <v:imagedata o:title=""/>
                  <o:lock v:ext="edit"/>
                  <v:textbox inset="0mm,0mm,0mm,0mm">
                    <w:txbxContent>
                      <w:p w14:paraId="048AD8D8">
                        <w:pPr>
                          <w:spacing w:before="20" w:line="281" w:lineRule="exact"/>
                          <w:ind w:left="2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t</w:t>
                        </w:r>
                        <w:r>
                          <w:rPr>
                            <w:rFonts w:ascii="Times New Roman" w:hAnsi="Times New Roman" w:eastAsia="Times New Roman" w:cs="Times New Roman"/>
                            <w:spacing w:val="2"/>
                            <w:position w:val="2"/>
                            <w:sz w:val="20"/>
                            <w:szCs w:val="20"/>
                          </w:rPr>
                          <w:t>/</w:t>
                        </w:r>
                      </w:p>
                    </w:txbxContent>
                  </v:textbox>
                </v:shape>
              </w:pict>
            </w:r>
            <w:r>
              <w:rPr>
                <w:rFonts w:ascii="宋体" w:hAnsi="宋体" w:eastAsia="宋体" w:cs="宋体"/>
                <w:spacing w:val="7"/>
                <w:sz w:val="20"/>
                <w:szCs w:val="20"/>
                <w14:textOutline w14:w="3797" w14:cap="sq" w14:cmpd="sng" w14:algn="ctr">
                  <w14:solidFill>
                    <w14:srgbClr w14:val="000000"/>
                  </w14:solidFill>
                  <w14:prstDash w14:val="solid"/>
                  <w14:bevel/>
                </w14:textOutline>
              </w:rPr>
              <w:t>产生</w:t>
            </w:r>
            <w:r>
              <w:rPr>
                <w:rFonts w:ascii="宋体" w:hAnsi="宋体" w:eastAsia="宋体" w:cs="宋体"/>
                <w:spacing w:val="6"/>
                <w:sz w:val="20"/>
                <w:szCs w:val="20"/>
                <w14:textOutline w14:w="3797" w14:cap="sq" w14:cmpd="sng" w14:algn="ctr">
                  <w14:solidFill>
                    <w14:srgbClr w14:val="000000"/>
                  </w14:solidFill>
                  <w14:prstDash w14:val="solid"/>
                  <w14:bevel/>
                </w14:textOutline>
              </w:rPr>
              <w:t>量</w:t>
            </w:r>
          </w:p>
          <w:p w14:paraId="08FD455E">
            <w:pPr>
              <w:spacing w:before="119" w:line="141" w:lineRule="exact"/>
              <w:ind w:left="465"/>
              <w:rPr>
                <w:rFonts w:ascii="Times New Roman" w:hAnsi="Times New Roman" w:eastAsia="Times New Roman" w:cs="Times New Roman"/>
                <w:sz w:val="20"/>
                <w:szCs w:val="20"/>
              </w:rPr>
            </w:pPr>
            <w:r>
              <w:rPr>
                <w:rFonts w:ascii="Times New Roman" w:hAnsi="Times New Roman" w:eastAsia="Times New Roman" w:cs="Times New Roman"/>
                <w:sz w:val="20"/>
                <w:szCs w:val="20"/>
              </w:rPr>
              <w:t>a</w:t>
            </w:r>
          </w:p>
        </w:tc>
        <w:tc>
          <w:tcPr>
            <w:tcW w:w="1005" w:type="dxa"/>
          </w:tcPr>
          <w:p w14:paraId="775AEF9A">
            <w:pPr>
              <w:spacing w:before="50" w:line="244" w:lineRule="auto"/>
              <w:ind w:left="191" w:right="183"/>
              <w:rPr>
                <w:rFonts w:ascii="Times New Roman" w:hAnsi="Times New Roman" w:eastAsia="Times New Roman" w:cs="Times New Roman"/>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排</w:t>
            </w:r>
            <w:r>
              <w:rPr>
                <w:rFonts w:ascii="宋体" w:hAnsi="宋体" w:eastAsia="宋体" w:cs="宋体"/>
                <w:spacing w:val="7"/>
                <w:sz w:val="20"/>
                <w:szCs w:val="20"/>
                <w14:textOutline w14:w="3797" w14:cap="sq" w14:cmpd="sng" w14:algn="ctr">
                  <w14:solidFill>
                    <w14:srgbClr w14:val="000000"/>
                  </w14:solidFill>
                  <w14:prstDash w14:val="solid"/>
                  <w14:bevel/>
                </w14:textOutline>
              </w:rPr>
              <w:t>放速</w:t>
            </w:r>
            <w:r>
              <w:rPr>
                <w:rFonts w:ascii="宋体" w:hAnsi="宋体" w:eastAsia="宋体" w:cs="宋体"/>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率</w:t>
            </w:r>
            <w:r>
              <w:rPr>
                <w:rFonts w:ascii="宋体" w:hAnsi="宋体" w:eastAsia="宋体" w:cs="宋体"/>
                <w:spacing w:val="-5"/>
                <w:sz w:val="20"/>
                <w:szCs w:val="20"/>
              </w:rPr>
              <w:t xml:space="preserve"> </w:t>
            </w:r>
            <w:r>
              <w:rPr>
                <w:rFonts w:ascii="Times New Roman" w:hAnsi="Times New Roman" w:eastAsia="Times New Roman" w:cs="Times New Roman"/>
                <w:spacing w:val="-5"/>
                <w:sz w:val="20"/>
                <w:szCs w:val="20"/>
              </w:rPr>
              <w:t>kg/h</w:t>
            </w:r>
          </w:p>
        </w:tc>
        <w:tc>
          <w:tcPr>
            <w:tcW w:w="870" w:type="dxa"/>
          </w:tcPr>
          <w:p w14:paraId="76A6D995">
            <w:pPr>
              <w:spacing w:before="66" w:line="202" w:lineRule="auto"/>
              <w:ind w:left="125"/>
              <w:rPr>
                <w:rFonts w:ascii="宋体" w:hAnsi="宋体" w:eastAsia="宋体" w:cs="宋体"/>
                <w:sz w:val="20"/>
                <w:szCs w:val="20"/>
              </w:rPr>
            </w:pPr>
            <w:r>
              <w:pict>
                <v:shape id="_x0000_s2088" o:spid="_x0000_s2088" o:spt="202" type="#_x0000_t202" style="position:absolute;left:0pt;margin-left:15.7pt;margin-top:13.5pt;height:16.1pt;width:7.75pt;mso-position-horizontal-relative:page;mso-position-vertical-relative:page;z-index:251716608;mso-width-relative:page;mso-height-relative:page;" filled="f" stroked="f" coordsize="21600,21600">
                  <v:path/>
                  <v:fill on="f" focussize="0,0"/>
                  <v:stroke on="f" joinstyle="miter"/>
                  <v:imagedata o:title=""/>
                  <o:lock v:ext="edit"/>
                  <v:textbox inset="0mm,0mm,0mm,0mm">
                    <w:txbxContent>
                      <w:p w14:paraId="65192004">
                        <w:pPr>
                          <w:spacing w:before="20" w:line="281" w:lineRule="exact"/>
                          <w:ind w:left="2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t</w:t>
                        </w:r>
                        <w:r>
                          <w:rPr>
                            <w:rFonts w:ascii="Times New Roman" w:hAnsi="Times New Roman" w:eastAsia="Times New Roman" w:cs="Times New Roman"/>
                            <w:spacing w:val="2"/>
                            <w:position w:val="2"/>
                            <w:sz w:val="20"/>
                            <w:szCs w:val="20"/>
                          </w:rPr>
                          <w:t>/</w:t>
                        </w:r>
                      </w:p>
                    </w:txbxContent>
                  </v:textbox>
                </v:shape>
              </w:pict>
            </w:r>
            <w:r>
              <w:rPr>
                <w:rFonts w:ascii="宋体" w:hAnsi="宋体" w:eastAsia="宋体" w:cs="宋体"/>
                <w:spacing w:val="9"/>
                <w:sz w:val="20"/>
                <w:szCs w:val="20"/>
                <w14:textOutline w14:w="3797" w14:cap="sq" w14:cmpd="sng" w14:algn="ctr">
                  <w14:solidFill>
                    <w14:srgbClr w14:val="000000"/>
                  </w14:solidFill>
                  <w14:prstDash w14:val="solid"/>
                  <w14:bevel/>
                </w14:textOutline>
              </w:rPr>
              <w:t>排</w:t>
            </w:r>
            <w:r>
              <w:rPr>
                <w:rFonts w:ascii="宋体" w:hAnsi="宋体" w:eastAsia="宋体" w:cs="宋体"/>
                <w:spacing w:val="7"/>
                <w:sz w:val="20"/>
                <w:szCs w:val="20"/>
                <w14:textOutline w14:w="3797" w14:cap="sq" w14:cmpd="sng" w14:algn="ctr">
                  <w14:solidFill>
                    <w14:srgbClr w14:val="000000"/>
                  </w14:solidFill>
                  <w14:prstDash w14:val="solid"/>
                  <w14:bevel/>
                </w14:textOutline>
              </w:rPr>
              <w:t>放量</w:t>
            </w:r>
          </w:p>
          <w:p w14:paraId="79F62608">
            <w:pPr>
              <w:spacing w:before="119" w:line="141" w:lineRule="exact"/>
              <w:ind w:left="451"/>
              <w:rPr>
                <w:rFonts w:ascii="Times New Roman" w:hAnsi="Times New Roman" w:eastAsia="Times New Roman" w:cs="Times New Roman"/>
                <w:sz w:val="20"/>
                <w:szCs w:val="20"/>
              </w:rPr>
            </w:pPr>
            <w:r>
              <w:rPr>
                <w:rFonts w:ascii="Times New Roman" w:hAnsi="Times New Roman" w:eastAsia="Times New Roman" w:cs="Times New Roman"/>
                <w:sz w:val="20"/>
                <w:szCs w:val="20"/>
              </w:rPr>
              <w:t>a</w:t>
            </w:r>
          </w:p>
        </w:tc>
        <w:tc>
          <w:tcPr>
            <w:tcW w:w="1117" w:type="dxa"/>
          </w:tcPr>
          <w:p w14:paraId="731DF950">
            <w:pPr>
              <w:spacing w:before="66" w:line="202" w:lineRule="auto"/>
              <w:ind w:left="143"/>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产生速率</w:t>
            </w:r>
          </w:p>
          <w:p w14:paraId="5FF26E5E">
            <w:pPr>
              <w:spacing w:line="281" w:lineRule="exact"/>
              <w:ind w:left="372"/>
              <w:rPr>
                <w:rFonts w:ascii="Times New Roman" w:hAnsi="Times New Roman" w:eastAsia="Times New Roman" w:cs="Times New Roman"/>
                <w:sz w:val="20"/>
                <w:szCs w:val="20"/>
              </w:rPr>
            </w:pPr>
            <w:r>
              <w:rPr>
                <w:rFonts w:ascii="Times New Roman" w:hAnsi="Times New Roman" w:eastAsia="Times New Roman" w:cs="Times New Roman"/>
                <w:position w:val="4"/>
                <w:sz w:val="20"/>
                <w:szCs w:val="20"/>
              </w:rPr>
              <w:t>kg</w:t>
            </w:r>
            <w:r>
              <w:rPr>
                <w:rFonts w:ascii="Times New Roman" w:hAnsi="Times New Roman" w:eastAsia="Times New Roman" w:cs="Times New Roman"/>
                <w:spacing w:val="13"/>
                <w:position w:val="4"/>
                <w:sz w:val="20"/>
                <w:szCs w:val="20"/>
              </w:rPr>
              <w:t>/</w:t>
            </w:r>
            <w:r>
              <w:rPr>
                <w:rFonts w:ascii="Times New Roman" w:hAnsi="Times New Roman" w:eastAsia="Times New Roman" w:cs="Times New Roman"/>
                <w:position w:val="4"/>
                <w:sz w:val="20"/>
                <w:szCs w:val="20"/>
              </w:rPr>
              <w:t>h</w:t>
            </w:r>
          </w:p>
        </w:tc>
        <w:tc>
          <w:tcPr>
            <w:tcW w:w="917" w:type="dxa"/>
          </w:tcPr>
          <w:p w14:paraId="7280F32C">
            <w:pPr>
              <w:spacing w:before="66" w:line="202" w:lineRule="auto"/>
              <w:ind w:left="149"/>
              <w:rPr>
                <w:rFonts w:ascii="宋体" w:hAnsi="宋体" w:eastAsia="宋体" w:cs="宋体"/>
                <w:sz w:val="20"/>
                <w:szCs w:val="20"/>
              </w:rPr>
            </w:pPr>
            <w:r>
              <w:pict>
                <v:shape id="_x0000_s2089" o:spid="_x0000_s2089" o:spt="202" type="#_x0000_t202" style="position:absolute;left:0pt;margin-left:27.35pt;margin-top:13.5pt;height:16.1pt;width:7.75pt;mso-position-horizontal-relative:page;mso-position-vertical-relative:page;z-index:251717632;mso-width-relative:page;mso-height-relative:page;" filled="f" stroked="f" coordsize="21600,21600">
                  <v:path/>
                  <v:fill on="f" focussize="0,0"/>
                  <v:stroke on="f" joinstyle="miter"/>
                  <v:imagedata o:title=""/>
                  <o:lock v:ext="edit"/>
                  <v:textbox inset="0mm,0mm,0mm,0mm">
                    <w:txbxContent>
                      <w:p w14:paraId="3E46D4D0">
                        <w:pPr>
                          <w:spacing w:before="20" w:line="281" w:lineRule="exact"/>
                          <w:ind w:left="2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t</w:t>
                        </w:r>
                        <w:r>
                          <w:rPr>
                            <w:rFonts w:ascii="Times New Roman" w:hAnsi="Times New Roman" w:eastAsia="Times New Roman" w:cs="Times New Roman"/>
                            <w:spacing w:val="2"/>
                            <w:position w:val="2"/>
                            <w:sz w:val="20"/>
                            <w:szCs w:val="20"/>
                          </w:rPr>
                          <w:t>/</w:t>
                        </w:r>
                      </w:p>
                    </w:txbxContent>
                  </v:textbox>
                </v:shape>
              </w:pict>
            </w:r>
            <w:r>
              <w:rPr>
                <w:rFonts w:ascii="宋体" w:hAnsi="宋体" w:eastAsia="宋体" w:cs="宋体"/>
                <w:spacing w:val="9"/>
                <w:sz w:val="20"/>
                <w:szCs w:val="20"/>
                <w14:textOutline w14:w="3797" w14:cap="sq" w14:cmpd="sng" w14:algn="ctr">
                  <w14:solidFill>
                    <w14:srgbClr w14:val="000000"/>
                  </w14:solidFill>
                  <w14:prstDash w14:val="solid"/>
                  <w14:bevel/>
                </w14:textOutline>
              </w:rPr>
              <w:t>产</w:t>
            </w:r>
            <w:r>
              <w:rPr>
                <w:rFonts w:ascii="宋体" w:hAnsi="宋体" w:eastAsia="宋体" w:cs="宋体"/>
                <w:spacing w:val="7"/>
                <w:sz w:val="20"/>
                <w:szCs w:val="20"/>
                <w14:textOutline w14:w="3797" w14:cap="sq" w14:cmpd="sng" w14:algn="ctr">
                  <w14:solidFill>
                    <w14:srgbClr w14:val="000000"/>
                  </w14:solidFill>
                  <w14:prstDash w14:val="solid"/>
                  <w14:bevel/>
                </w14:textOutline>
              </w:rPr>
              <w:t>生量</w:t>
            </w:r>
          </w:p>
          <w:p w14:paraId="57FDD5D2">
            <w:pPr>
              <w:spacing w:before="119" w:line="141" w:lineRule="exact"/>
              <w:ind w:left="684"/>
              <w:rPr>
                <w:rFonts w:ascii="Times New Roman" w:hAnsi="Times New Roman" w:eastAsia="Times New Roman" w:cs="Times New Roman"/>
                <w:sz w:val="20"/>
                <w:szCs w:val="20"/>
              </w:rPr>
            </w:pPr>
            <w:r>
              <w:rPr>
                <w:rFonts w:ascii="Times New Roman" w:hAnsi="Times New Roman" w:eastAsia="Times New Roman" w:cs="Times New Roman"/>
                <w:sz w:val="20"/>
                <w:szCs w:val="20"/>
              </w:rPr>
              <w:t>a</w:t>
            </w:r>
          </w:p>
        </w:tc>
        <w:tc>
          <w:tcPr>
            <w:tcW w:w="1088" w:type="dxa"/>
          </w:tcPr>
          <w:p w14:paraId="4000B66D">
            <w:pPr>
              <w:spacing w:before="66" w:line="202" w:lineRule="auto"/>
              <w:ind w:left="113"/>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排</w:t>
            </w:r>
            <w:r>
              <w:rPr>
                <w:rFonts w:ascii="宋体" w:hAnsi="宋体" w:eastAsia="宋体" w:cs="宋体"/>
                <w:spacing w:val="8"/>
                <w:sz w:val="20"/>
                <w:szCs w:val="20"/>
                <w14:textOutline w14:w="3797" w14:cap="sq" w14:cmpd="sng" w14:algn="ctr">
                  <w14:solidFill>
                    <w14:srgbClr w14:val="000000"/>
                  </w14:solidFill>
                  <w14:prstDash w14:val="solid"/>
                  <w14:bevel/>
                </w14:textOutline>
              </w:rPr>
              <w:t>放速率</w:t>
            </w:r>
          </w:p>
          <w:p w14:paraId="766344F7">
            <w:pPr>
              <w:spacing w:line="281" w:lineRule="exact"/>
              <w:ind w:left="356"/>
              <w:rPr>
                <w:rFonts w:ascii="Times New Roman" w:hAnsi="Times New Roman" w:eastAsia="Times New Roman" w:cs="Times New Roman"/>
                <w:sz w:val="20"/>
                <w:szCs w:val="20"/>
              </w:rPr>
            </w:pPr>
            <w:r>
              <w:rPr>
                <w:rFonts w:ascii="Times New Roman" w:hAnsi="Times New Roman" w:eastAsia="Times New Roman" w:cs="Times New Roman"/>
                <w:position w:val="4"/>
                <w:sz w:val="20"/>
                <w:szCs w:val="20"/>
              </w:rPr>
              <w:t>kg</w:t>
            </w:r>
            <w:r>
              <w:rPr>
                <w:rFonts w:ascii="Times New Roman" w:hAnsi="Times New Roman" w:eastAsia="Times New Roman" w:cs="Times New Roman"/>
                <w:spacing w:val="13"/>
                <w:position w:val="4"/>
                <w:sz w:val="20"/>
                <w:szCs w:val="20"/>
              </w:rPr>
              <w:t>/</w:t>
            </w:r>
            <w:r>
              <w:rPr>
                <w:rFonts w:ascii="Times New Roman" w:hAnsi="Times New Roman" w:eastAsia="Times New Roman" w:cs="Times New Roman"/>
                <w:position w:val="4"/>
                <w:sz w:val="20"/>
                <w:szCs w:val="20"/>
              </w:rPr>
              <w:t>h</w:t>
            </w:r>
          </w:p>
        </w:tc>
        <w:tc>
          <w:tcPr>
            <w:tcW w:w="888" w:type="dxa"/>
            <w:tcBorders>
              <w:right w:val="nil"/>
            </w:tcBorders>
          </w:tcPr>
          <w:p w14:paraId="5959C1F9">
            <w:pPr>
              <w:spacing w:before="66" w:line="202" w:lineRule="auto"/>
              <w:ind w:left="115"/>
              <w:rPr>
                <w:rFonts w:ascii="宋体" w:hAnsi="宋体" w:eastAsia="宋体" w:cs="宋体"/>
                <w:sz w:val="20"/>
                <w:szCs w:val="20"/>
              </w:rPr>
            </w:pPr>
            <w:r>
              <w:pict>
                <v:shape id="_x0000_s2090" o:spid="_x0000_s2090" o:spt="202" type="#_x0000_t202" style="position:absolute;left:0pt;margin-left:16.1pt;margin-top:13.5pt;height:16.1pt;width:7.75pt;mso-position-horizontal-relative:page;mso-position-vertical-relative:page;z-index:251718656;mso-width-relative:page;mso-height-relative:page;" filled="f" stroked="f" coordsize="21600,21600">
                  <v:path/>
                  <v:fill on="f" focussize="0,0"/>
                  <v:stroke on="f" joinstyle="miter"/>
                  <v:imagedata o:title=""/>
                  <o:lock v:ext="edit"/>
                  <v:textbox inset="0mm,0mm,0mm,0mm">
                    <w:txbxContent>
                      <w:p w14:paraId="5C0767F9">
                        <w:pPr>
                          <w:spacing w:before="20" w:line="281" w:lineRule="exact"/>
                          <w:ind w:left="2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t</w:t>
                        </w:r>
                        <w:r>
                          <w:rPr>
                            <w:rFonts w:ascii="Times New Roman" w:hAnsi="Times New Roman" w:eastAsia="Times New Roman" w:cs="Times New Roman"/>
                            <w:spacing w:val="2"/>
                            <w:position w:val="2"/>
                            <w:sz w:val="20"/>
                            <w:szCs w:val="20"/>
                          </w:rPr>
                          <w:t>/</w:t>
                        </w:r>
                      </w:p>
                    </w:txbxContent>
                  </v:textbox>
                </v:shape>
              </w:pict>
            </w:r>
            <w:r>
              <w:rPr>
                <w:rFonts w:ascii="宋体" w:hAnsi="宋体" w:eastAsia="宋体" w:cs="宋体"/>
                <w:spacing w:val="7"/>
                <w:sz w:val="20"/>
                <w:szCs w:val="20"/>
                <w14:textOutline w14:w="3797" w14:cap="sq" w14:cmpd="sng" w14:algn="ctr">
                  <w14:solidFill>
                    <w14:srgbClr w14:val="000000"/>
                  </w14:solidFill>
                  <w14:prstDash w14:val="solid"/>
                  <w14:bevel/>
                </w14:textOutline>
              </w:rPr>
              <w:t>排放</w:t>
            </w:r>
            <w:r>
              <w:rPr>
                <w:rFonts w:ascii="宋体" w:hAnsi="宋体" w:eastAsia="宋体" w:cs="宋体"/>
                <w:spacing w:val="6"/>
                <w:sz w:val="20"/>
                <w:szCs w:val="20"/>
                <w14:textOutline w14:w="3797" w14:cap="sq" w14:cmpd="sng" w14:algn="ctr">
                  <w14:solidFill>
                    <w14:srgbClr w14:val="000000"/>
                  </w14:solidFill>
                  <w14:prstDash w14:val="solid"/>
                  <w14:bevel/>
                </w14:textOutline>
              </w:rPr>
              <w:t>量</w:t>
            </w:r>
          </w:p>
          <w:p w14:paraId="63734C3D">
            <w:pPr>
              <w:spacing w:before="119" w:line="141" w:lineRule="exact"/>
              <w:ind w:left="460"/>
              <w:rPr>
                <w:rFonts w:ascii="Times New Roman" w:hAnsi="Times New Roman" w:eastAsia="Times New Roman" w:cs="Times New Roman"/>
                <w:sz w:val="20"/>
                <w:szCs w:val="20"/>
              </w:rPr>
            </w:pPr>
            <w:r>
              <w:rPr>
                <w:rFonts w:ascii="Times New Roman" w:hAnsi="Times New Roman" w:eastAsia="Times New Roman" w:cs="Times New Roman"/>
                <w:sz w:val="20"/>
                <w:szCs w:val="20"/>
              </w:rPr>
              <w:t>a</w:t>
            </w:r>
          </w:p>
        </w:tc>
      </w:tr>
      <w:tr w14:paraId="42ABE8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401" w:type="dxa"/>
            <w:tcBorders>
              <w:left w:val="nil"/>
            </w:tcBorders>
          </w:tcPr>
          <w:p w14:paraId="22D5F055">
            <w:pPr>
              <w:spacing w:before="67" w:line="195" w:lineRule="auto"/>
              <w:ind w:left="132"/>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083" w:type="dxa"/>
          </w:tcPr>
          <w:p w14:paraId="0471AD79">
            <w:pPr>
              <w:spacing w:before="32" w:line="225" w:lineRule="auto"/>
              <w:ind w:left="231"/>
              <w:rPr>
                <w:rFonts w:ascii="宋体" w:hAnsi="宋体" w:eastAsia="宋体" w:cs="宋体"/>
                <w:sz w:val="20"/>
                <w:szCs w:val="20"/>
              </w:rPr>
            </w:pPr>
            <w:r>
              <w:rPr>
                <w:rFonts w:ascii="宋体" w:hAnsi="宋体" w:eastAsia="宋体" w:cs="宋体"/>
                <w:spacing w:val="7"/>
                <w:sz w:val="20"/>
                <w:szCs w:val="20"/>
              </w:rPr>
              <w:t>猪舍</w:t>
            </w:r>
            <w:r>
              <w:rPr>
                <w:rFonts w:ascii="宋体" w:hAnsi="宋体" w:eastAsia="宋体" w:cs="宋体"/>
                <w:spacing w:val="6"/>
                <w:sz w:val="20"/>
                <w:szCs w:val="20"/>
              </w:rPr>
              <w:t>区</w:t>
            </w:r>
          </w:p>
        </w:tc>
        <w:tc>
          <w:tcPr>
            <w:tcW w:w="1020" w:type="dxa"/>
          </w:tcPr>
          <w:p w14:paraId="18189E1A"/>
        </w:tc>
        <w:tc>
          <w:tcPr>
            <w:tcW w:w="900" w:type="dxa"/>
          </w:tcPr>
          <w:p w14:paraId="03760631"/>
        </w:tc>
        <w:tc>
          <w:tcPr>
            <w:tcW w:w="1005" w:type="dxa"/>
          </w:tcPr>
          <w:p w14:paraId="61D848DC"/>
        </w:tc>
        <w:tc>
          <w:tcPr>
            <w:tcW w:w="870" w:type="dxa"/>
          </w:tcPr>
          <w:p w14:paraId="41700F91"/>
        </w:tc>
        <w:tc>
          <w:tcPr>
            <w:tcW w:w="1117" w:type="dxa"/>
          </w:tcPr>
          <w:p w14:paraId="0311F9E2"/>
        </w:tc>
        <w:tc>
          <w:tcPr>
            <w:tcW w:w="917" w:type="dxa"/>
          </w:tcPr>
          <w:p w14:paraId="63ABFC29"/>
        </w:tc>
        <w:tc>
          <w:tcPr>
            <w:tcW w:w="1088" w:type="dxa"/>
          </w:tcPr>
          <w:p w14:paraId="57F59F6A"/>
        </w:tc>
        <w:tc>
          <w:tcPr>
            <w:tcW w:w="888" w:type="dxa"/>
            <w:tcBorders>
              <w:right w:val="nil"/>
            </w:tcBorders>
          </w:tcPr>
          <w:p w14:paraId="04F19348"/>
        </w:tc>
      </w:tr>
      <w:tr w14:paraId="6483DA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01" w:type="dxa"/>
            <w:tcBorders>
              <w:left w:val="nil"/>
            </w:tcBorders>
          </w:tcPr>
          <w:p w14:paraId="580745AB">
            <w:pPr>
              <w:spacing w:before="204" w:line="195" w:lineRule="auto"/>
              <w:ind w:left="1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083" w:type="dxa"/>
          </w:tcPr>
          <w:p w14:paraId="2A089647">
            <w:pPr>
              <w:spacing w:before="33" w:line="238" w:lineRule="auto"/>
              <w:ind w:left="125" w:right="122" w:firstLine="2"/>
              <w:rPr>
                <w:rFonts w:ascii="宋体" w:hAnsi="宋体" w:eastAsia="宋体" w:cs="宋体"/>
                <w:sz w:val="20"/>
                <w:szCs w:val="20"/>
              </w:rPr>
            </w:pPr>
            <w:r>
              <w:rPr>
                <w:rFonts w:ascii="宋体" w:hAnsi="宋体" w:eastAsia="宋体" w:cs="宋体"/>
                <w:spacing w:val="9"/>
                <w:sz w:val="20"/>
                <w:szCs w:val="20"/>
              </w:rPr>
              <w:t>异</w:t>
            </w:r>
            <w:r>
              <w:rPr>
                <w:rFonts w:ascii="宋体" w:hAnsi="宋体" w:eastAsia="宋体" w:cs="宋体"/>
                <w:spacing w:val="6"/>
                <w:sz w:val="20"/>
                <w:szCs w:val="20"/>
              </w:rPr>
              <w:t>位微生</w:t>
            </w:r>
            <w:r>
              <w:rPr>
                <w:rFonts w:ascii="宋体" w:hAnsi="宋体" w:eastAsia="宋体" w:cs="宋体"/>
                <w:sz w:val="20"/>
                <w:szCs w:val="20"/>
              </w:rPr>
              <w:t xml:space="preserve"> </w:t>
            </w:r>
            <w:r>
              <w:rPr>
                <w:rFonts w:ascii="宋体" w:hAnsi="宋体" w:eastAsia="宋体" w:cs="宋体"/>
                <w:spacing w:val="8"/>
                <w:sz w:val="20"/>
                <w:szCs w:val="20"/>
              </w:rPr>
              <w:t>物</w:t>
            </w:r>
            <w:r>
              <w:rPr>
                <w:rFonts w:ascii="宋体" w:hAnsi="宋体" w:eastAsia="宋体" w:cs="宋体"/>
                <w:spacing w:val="7"/>
                <w:sz w:val="20"/>
                <w:szCs w:val="20"/>
              </w:rPr>
              <w:t>发酵床</w:t>
            </w:r>
          </w:p>
        </w:tc>
        <w:tc>
          <w:tcPr>
            <w:tcW w:w="1020" w:type="dxa"/>
          </w:tcPr>
          <w:p w14:paraId="2679DD83"/>
        </w:tc>
        <w:tc>
          <w:tcPr>
            <w:tcW w:w="900" w:type="dxa"/>
          </w:tcPr>
          <w:p w14:paraId="2C33BB84"/>
        </w:tc>
        <w:tc>
          <w:tcPr>
            <w:tcW w:w="1005" w:type="dxa"/>
          </w:tcPr>
          <w:p w14:paraId="57AD7105"/>
        </w:tc>
        <w:tc>
          <w:tcPr>
            <w:tcW w:w="870" w:type="dxa"/>
          </w:tcPr>
          <w:p w14:paraId="33D5C441"/>
        </w:tc>
        <w:tc>
          <w:tcPr>
            <w:tcW w:w="1117" w:type="dxa"/>
          </w:tcPr>
          <w:p w14:paraId="2AD6B99F"/>
        </w:tc>
        <w:tc>
          <w:tcPr>
            <w:tcW w:w="917" w:type="dxa"/>
          </w:tcPr>
          <w:p w14:paraId="0A9BD198"/>
        </w:tc>
        <w:tc>
          <w:tcPr>
            <w:tcW w:w="1088" w:type="dxa"/>
          </w:tcPr>
          <w:p w14:paraId="16C47CFA"/>
        </w:tc>
        <w:tc>
          <w:tcPr>
            <w:tcW w:w="888" w:type="dxa"/>
            <w:tcBorders>
              <w:right w:val="nil"/>
            </w:tcBorders>
          </w:tcPr>
          <w:p w14:paraId="0AFB449C"/>
        </w:tc>
      </w:tr>
      <w:tr w14:paraId="23D88E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01" w:type="dxa"/>
            <w:tcBorders>
              <w:left w:val="nil"/>
            </w:tcBorders>
          </w:tcPr>
          <w:p w14:paraId="31654BAA">
            <w:pPr>
              <w:spacing w:before="207" w:line="195" w:lineRule="auto"/>
              <w:ind w:left="116"/>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083" w:type="dxa"/>
          </w:tcPr>
          <w:p w14:paraId="161481D1">
            <w:pPr>
              <w:spacing w:before="35" w:line="237" w:lineRule="auto"/>
              <w:ind w:left="441" w:right="122" w:hanging="316"/>
              <w:rPr>
                <w:rFonts w:ascii="宋体" w:hAnsi="宋体" w:eastAsia="宋体" w:cs="宋体"/>
                <w:sz w:val="20"/>
                <w:szCs w:val="20"/>
              </w:rPr>
            </w:pPr>
            <w:r>
              <w:rPr>
                <w:rFonts w:ascii="宋体" w:hAnsi="宋体" w:eastAsia="宋体" w:cs="宋体"/>
                <w:spacing w:val="8"/>
                <w:sz w:val="20"/>
                <w:szCs w:val="20"/>
              </w:rPr>
              <w:t>猪</w:t>
            </w:r>
            <w:r>
              <w:rPr>
                <w:rFonts w:ascii="宋体" w:hAnsi="宋体" w:eastAsia="宋体" w:cs="宋体"/>
                <w:spacing w:val="7"/>
                <w:sz w:val="20"/>
                <w:szCs w:val="20"/>
              </w:rPr>
              <w:t>粪化粪</w:t>
            </w:r>
            <w:r>
              <w:rPr>
                <w:rFonts w:ascii="宋体" w:hAnsi="宋体" w:eastAsia="宋体" w:cs="宋体"/>
                <w:sz w:val="20"/>
                <w:szCs w:val="20"/>
              </w:rPr>
              <w:t xml:space="preserve"> 池</w:t>
            </w:r>
          </w:p>
        </w:tc>
        <w:tc>
          <w:tcPr>
            <w:tcW w:w="1020" w:type="dxa"/>
          </w:tcPr>
          <w:p w14:paraId="2BC4E639"/>
        </w:tc>
        <w:tc>
          <w:tcPr>
            <w:tcW w:w="900" w:type="dxa"/>
          </w:tcPr>
          <w:p w14:paraId="3BC0F47F"/>
        </w:tc>
        <w:tc>
          <w:tcPr>
            <w:tcW w:w="1005" w:type="dxa"/>
          </w:tcPr>
          <w:p w14:paraId="7470732A"/>
        </w:tc>
        <w:tc>
          <w:tcPr>
            <w:tcW w:w="870" w:type="dxa"/>
          </w:tcPr>
          <w:p w14:paraId="18FF19F5"/>
        </w:tc>
        <w:tc>
          <w:tcPr>
            <w:tcW w:w="1117" w:type="dxa"/>
          </w:tcPr>
          <w:p w14:paraId="0D937DAF"/>
        </w:tc>
        <w:tc>
          <w:tcPr>
            <w:tcW w:w="917" w:type="dxa"/>
          </w:tcPr>
          <w:p w14:paraId="6E496675"/>
        </w:tc>
        <w:tc>
          <w:tcPr>
            <w:tcW w:w="1088" w:type="dxa"/>
          </w:tcPr>
          <w:p w14:paraId="10EC8613"/>
        </w:tc>
        <w:tc>
          <w:tcPr>
            <w:tcW w:w="888" w:type="dxa"/>
            <w:tcBorders>
              <w:right w:val="nil"/>
            </w:tcBorders>
          </w:tcPr>
          <w:p w14:paraId="5CE04C36"/>
        </w:tc>
      </w:tr>
      <w:tr w14:paraId="648D4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1484" w:type="dxa"/>
            <w:gridSpan w:val="2"/>
            <w:tcBorders>
              <w:left w:val="nil"/>
            </w:tcBorders>
          </w:tcPr>
          <w:p w14:paraId="45D17203">
            <w:pPr>
              <w:spacing w:before="35" w:line="229" w:lineRule="auto"/>
              <w:ind w:left="750"/>
              <w:rPr>
                <w:rFonts w:ascii="宋体" w:hAnsi="宋体" w:eastAsia="宋体" w:cs="宋体"/>
                <w:sz w:val="20"/>
                <w:szCs w:val="20"/>
              </w:rPr>
            </w:pPr>
            <w:r>
              <w:rPr>
                <w:rFonts w:ascii="宋体" w:hAnsi="宋体" w:eastAsia="宋体" w:cs="宋体"/>
                <w:spacing w:val="4"/>
                <w:sz w:val="20"/>
                <w:szCs w:val="20"/>
              </w:rPr>
              <w:t>合计</w:t>
            </w:r>
          </w:p>
        </w:tc>
        <w:tc>
          <w:tcPr>
            <w:tcW w:w="1920" w:type="dxa"/>
            <w:gridSpan w:val="2"/>
          </w:tcPr>
          <w:p w14:paraId="0F0FB7C2"/>
        </w:tc>
        <w:tc>
          <w:tcPr>
            <w:tcW w:w="1005" w:type="dxa"/>
          </w:tcPr>
          <w:p w14:paraId="690938B5"/>
        </w:tc>
        <w:tc>
          <w:tcPr>
            <w:tcW w:w="870" w:type="dxa"/>
          </w:tcPr>
          <w:p w14:paraId="21D1708A"/>
        </w:tc>
        <w:tc>
          <w:tcPr>
            <w:tcW w:w="2034" w:type="dxa"/>
            <w:gridSpan w:val="2"/>
          </w:tcPr>
          <w:p w14:paraId="7AD7307A"/>
        </w:tc>
        <w:tc>
          <w:tcPr>
            <w:tcW w:w="1088" w:type="dxa"/>
          </w:tcPr>
          <w:p w14:paraId="2C6BAA10"/>
        </w:tc>
        <w:tc>
          <w:tcPr>
            <w:tcW w:w="888" w:type="dxa"/>
            <w:tcBorders>
              <w:right w:val="nil"/>
            </w:tcBorders>
          </w:tcPr>
          <w:p w14:paraId="3967F776"/>
        </w:tc>
      </w:tr>
    </w:tbl>
    <w:p w14:paraId="1AE6E2DE">
      <w:pPr>
        <w:spacing w:before="36" w:line="303" w:lineRule="exact"/>
        <w:ind w:left="594"/>
        <w:rPr>
          <w:rFonts w:ascii="宋体" w:hAnsi="宋体" w:eastAsia="宋体" w:cs="宋体"/>
          <w:sz w:val="23"/>
          <w:szCs w:val="23"/>
        </w:rPr>
      </w:pPr>
      <w:r>
        <w:rPr>
          <w:rFonts w:ascii="Times New Roman" w:hAnsi="Times New Roman" w:eastAsia="Times New Roman" w:cs="Times New Roman"/>
          <w:b/>
          <w:bCs/>
          <w:spacing w:val="-1"/>
          <w:position w:val="1"/>
          <w:sz w:val="23"/>
          <w:szCs w:val="23"/>
        </w:rPr>
        <w:t>2</w:t>
      </w:r>
      <w:r>
        <w:rPr>
          <w:rFonts w:ascii="Times New Roman" w:hAnsi="Times New Roman" w:eastAsia="Times New Roman" w:cs="Times New Roman"/>
          <w:spacing w:val="-1"/>
          <w:position w:val="1"/>
          <w:sz w:val="23"/>
          <w:szCs w:val="23"/>
        </w:rPr>
        <w:t xml:space="preserve"> </w:t>
      </w:r>
      <w:r>
        <w:rPr>
          <w:rFonts w:ascii="宋体" w:hAnsi="宋体" w:eastAsia="宋体" w:cs="宋体"/>
          <w:spacing w:val="-1"/>
          <w:position w:val="1"/>
          <w:sz w:val="23"/>
          <w:szCs w:val="23"/>
          <w14:textOutline w14:w="4356" w14:cap="sq" w14:cmpd="sng" w14:algn="ctr">
            <w14:solidFill>
              <w14:srgbClr w14:val="000000"/>
            </w14:solidFill>
            <w14:prstDash w14:val="solid"/>
            <w14:bevel/>
          </w14:textOutline>
        </w:rPr>
        <w:t>、食堂油</w:t>
      </w:r>
      <w:r>
        <w:rPr>
          <w:rFonts w:ascii="宋体" w:hAnsi="宋体" w:eastAsia="宋体" w:cs="宋体"/>
          <w:position w:val="1"/>
          <w:sz w:val="23"/>
          <w:szCs w:val="23"/>
          <w14:textOutline w14:w="4356" w14:cap="sq" w14:cmpd="sng" w14:algn="ctr">
            <w14:solidFill>
              <w14:srgbClr w14:val="000000"/>
            </w14:solidFill>
            <w14:prstDash w14:val="solid"/>
            <w14:bevel/>
          </w14:textOutline>
        </w:rPr>
        <w:t>烟</w:t>
      </w:r>
    </w:p>
    <w:p w14:paraId="269A204A">
      <w:pPr>
        <w:spacing w:before="118" w:line="375" w:lineRule="auto"/>
        <w:ind w:left="118" w:right="63" w:firstLine="483"/>
        <w:rPr>
          <w:rFonts w:ascii="宋体" w:hAnsi="宋体" w:eastAsia="宋体" w:cs="宋体"/>
          <w:sz w:val="23"/>
          <w:szCs w:val="23"/>
        </w:rPr>
      </w:pPr>
      <w:r>
        <w:rPr>
          <w:rFonts w:ascii="宋体" w:hAnsi="宋体" w:eastAsia="宋体" w:cs="宋体"/>
          <w:spacing w:val="8"/>
          <w:sz w:val="23"/>
          <w:szCs w:val="23"/>
        </w:rPr>
        <w:t>项目设置员工食</w:t>
      </w:r>
      <w:r>
        <w:rPr>
          <w:rFonts w:ascii="宋体" w:hAnsi="宋体" w:eastAsia="宋体" w:cs="宋体"/>
          <w:spacing w:val="7"/>
          <w:sz w:val="23"/>
          <w:szCs w:val="23"/>
        </w:rPr>
        <w:t>堂</w:t>
      </w:r>
      <w:r>
        <w:rPr>
          <w:rFonts w:ascii="宋体" w:hAnsi="宋体" w:eastAsia="宋体" w:cs="宋体"/>
          <w:spacing w:val="4"/>
          <w:sz w:val="23"/>
          <w:szCs w:val="23"/>
        </w:rPr>
        <w:t xml:space="preserve">，提供一 日三餐，食堂用餐按 </w:t>
      </w:r>
      <w:r>
        <w:rPr>
          <w:rFonts w:ascii="Times New Roman" w:hAnsi="Times New Roman" w:eastAsia="Times New Roman" w:cs="Times New Roman"/>
          <w:spacing w:val="4"/>
          <w:sz w:val="23"/>
          <w:szCs w:val="23"/>
        </w:rPr>
        <w:t xml:space="preserve">12 </w:t>
      </w:r>
      <w:r>
        <w:rPr>
          <w:rFonts w:ascii="宋体" w:hAnsi="宋体" w:eastAsia="宋体" w:cs="宋体"/>
          <w:spacing w:val="4"/>
          <w:sz w:val="23"/>
          <w:szCs w:val="23"/>
        </w:rPr>
        <w:t>人</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计。根据类比调查计算，项目</w:t>
      </w:r>
      <w:r>
        <w:rPr>
          <w:rFonts w:ascii="宋体" w:hAnsi="宋体" w:eastAsia="宋体" w:cs="宋体"/>
          <w:sz w:val="23"/>
          <w:szCs w:val="23"/>
        </w:rPr>
        <w:t xml:space="preserve"> </w:t>
      </w:r>
      <w:r>
        <w:rPr>
          <w:rFonts w:ascii="宋体" w:hAnsi="宋体" w:eastAsia="宋体" w:cs="宋体"/>
          <w:spacing w:val="4"/>
          <w:sz w:val="23"/>
          <w:szCs w:val="23"/>
        </w:rPr>
        <w:t>食堂</w:t>
      </w:r>
      <w:r>
        <w:rPr>
          <w:rFonts w:ascii="宋体" w:hAnsi="宋体" w:eastAsia="宋体" w:cs="宋体"/>
          <w:spacing w:val="2"/>
          <w:sz w:val="23"/>
          <w:szCs w:val="23"/>
        </w:rPr>
        <w:t xml:space="preserve">动植物油消耗量按 </w:t>
      </w:r>
      <w:r>
        <w:rPr>
          <w:rFonts w:ascii="Times New Roman" w:hAnsi="Times New Roman" w:eastAsia="Times New Roman" w:cs="Times New Roman"/>
          <w:spacing w:val="2"/>
          <w:sz w:val="23"/>
          <w:szCs w:val="23"/>
        </w:rPr>
        <w:t>0.035</w:t>
      </w:r>
      <w:r>
        <w:rPr>
          <w:rFonts w:ascii="Times New Roman" w:hAnsi="Times New Roman" w:eastAsia="Times New Roman" w:cs="Times New Roman"/>
          <w:sz w:val="23"/>
          <w:szCs w:val="23"/>
        </w:rPr>
        <w:t>kg</w:t>
      </w:r>
      <w:r>
        <w:rPr>
          <w:rFonts w:ascii="Times New Roman" w:hAnsi="Times New Roman" w:eastAsia="Times New Roman" w:cs="Times New Roman"/>
          <w:spacing w:val="2"/>
          <w:sz w:val="23"/>
          <w:szCs w:val="23"/>
        </w:rPr>
        <w:t>/(</w:t>
      </w:r>
      <w:r>
        <w:rPr>
          <w:rFonts w:ascii="宋体" w:hAnsi="宋体" w:eastAsia="宋体" w:cs="宋体"/>
          <w:spacing w:val="2"/>
          <w:sz w:val="23"/>
          <w:szCs w:val="23"/>
        </w:rPr>
        <w:t>人</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天</w:t>
      </w:r>
      <w:r>
        <w:rPr>
          <w:rFonts w:ascii="Times New Roman" w:hAnsi="Times New Roman" w:eastAsia="Times New Roman" w:cs="Times New Roman"/>
          <w:spacing w:val="2"/>
          <w:sz w:val="23"/>
          <w:szCs w:val="23"/>
        </w:rPr>
        <w:t>)</w:t>
      </w:r>
      <w:r>
        <w:rPr>
          <w:rFonts w:ascii="宋体" w:hAnsi="宋体" w:eastAsia="宋体" w:cs="宋体"/>
          <w:spacing w:val="2"/>
          <w:sz w:val="23"/>
          <w:szCs w:val="23"/>
        </w:rPr>
        <w:t xml:space="preserve">计，则食堂动植物油使用量为 </w:t>
      </w:r>
      <w:r>
        <w:rPr>
          <w:rFonts w:ascii="Times New Roman" w:hAnsi="Times New Roman" w:eastAsia="Times New Roman" w:cs="Times New Roman"/>
          <w:spacing w:val="2"/>
          <w:sz w:val="23"/>
          <w:szCs w:val="23"/>
        </w:rPr>
        <w:t>0.42</w:t>
      </w:r>
      <w:r>
        <w:rPr>
          <w:rFonts w:ascii="Times New Roman" w:hAnsi="Times New Roman" w:eastAsia="Times New Roman" w:cs="Times New Roman"/>
          <w:sz w:val="23"/>
          <w:szCs w:val="23"/>
        </w:rPr>
        <w:t>kg</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w:t>
      </w:r>
      <w:r>
        <w:rPr>
          <w:rFonts w:ascii="Times New Roman" w:hAnsi="Times New Roman" w:eastAsia="Times New Roman" w:cs="Times New Roman"/>
          <w:spacing w:val="2"/>
          <w:sz w:val="23"/>
          <w:szCs w:val="23"/>
        </w:rPr>
        <w:t>153.3</w:t>
      </w:r>
      <w:r>
        <w:rPr>
          <w:rFonts w:ascii="Times New Roman" w:hAnsi="Times New Roman" w:eastAsia="Times New Roman" w:cs="Times New Roman"/>
          <w:sz w:val="23"/>
          <w:szCs w:val="23"/>
        </w:rPr>
        <w:t>kg</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4"/>
          <w:sz w:val="23"/>
          <w:szCs w:val="23"/>
        </w:rPr>
        <w:t>厨房油烟</w:t>
      </w:r>
      <w:r>
        <w:rPr>
          <w:rFonts w:ascii="宋体" w:hAnsi="宋体" w:eastAsia="宋体" w:cs="宋体"/>
          <w:spacing w:val="2"/>
          <w:sz w:val="23"/>
          <w:szCs w:val="23"/>
        </w:rPr>
        <w:t xml:space="preserve">产生量以用油量的 </w:t>
      </w:r>
      <w:r>
        <w:rPr>
          <w:rFonts w:ascii="Times New Roman" w:hAnsi="Times New Roman" w:eastAsia="Times New Roman" w:cs="Times New Roman"/>
          <w:spacing w:val="2"/>
          <w:sz w:val="23"/>
          <w:szCs w:val="23"/>
        </w:rPr>
        <w:t>3%</w:t>
      </w:r>
      <w:r>
        <w:rPr>
          <w:rFonts w:ascii="宋体" w:hAnsi="宋体" w:eastAsia="宋体" w:cs="宋体"/>
          <w:spacing w:val="2"/>
          <w:sz w:val="23"/>
          <w:szCs w:val="23"/>
        </w:rPr>
        <w:t xml:space="preserve">计，则食堂油烟产生量为 </w:t>
      </w:r>
      <w:r>
        <w:rPr>
          <w:rFonts w:ascii="Times New Roman" w:hAnsi="Times New Roman" w:eastAsia="Times New Roman" w:cs="Times New Roman"/>
          <w:spacing w:val="2"/>
          <w:sz w:val="23"/>
          <w:szCs w:val="23"/>
        </w:rPr>
        <w:t>4.599</w:t>
      </w:r>
      <w:r>
        <w:rPr>
          <w:rFonts w:ascii="Times New Roman" w:hAnsi="Times New Roman" w:eastAsia="Times New Roman" w:cs="Times New Roman"/>
          <w:sz w:val="23"/>
          <w:szCs w:val="23"/>
        </w:rPr>
        <w:t>kg</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 xml:space="preserve">。项目食堂拟设 </w:t>
      </w:r>
      <w:r>
        <w:rPr>
          <w:rFonts w:ascii="Times New Roman" w:hAnsi="Times New Roman" w:eastAsia="Times New Roman" w:cs="Times New Roman"/>
          <w:spacing w:val="2"/>
          <w:sz w:val="23"/>
          <w:szCs w:val="23"/>
        </w:rPr>
        <w:t xml:space="preserve">1 </w:t>
      </w:r>
      <w:r>
        <w:rPr>
          <w:rFonts w:ascii="宋体" w:hAnsi="宋体" w:eastAsia="宋体" w:cs="宋体"/>
          <w:spacing w:val="2"/>
          <w:sz w:val="23"/>
          <w:szCs w:val="23"/>
        </w:rPr>
        <w:t>个炉，</w:t>
      </w:r>
      <w:r>
        <w:rPr>
          <w:rFonts w:ascii="宋体" w:hAnsi="宋体" w:eastAsia="宋体" w:cs="宋体"/>
          <w:sz w:val="23"/>
          <w:szCs w:val="23"/>
        </w:rPr>
        <w:t xml:space="preserve"> </w:t>
      </w:r>
      <w:r>
        <w:rPr>
          <w:rFonts w:ascii="宋体" w:hAnsi="宋体" w:eastAsia="宋体" w:cs="宋体"/>
          <w:spacing w:val="10"/>
          <w:sz w:val="23"/>
          <w:szCs w:val="23"/>
        </w:rPr>
        <w:t>每天使用</w:t>
      </w:r>
      <w:r>
        <w:rPr>
          <w:rFonts w:ascii="宋体" w:hAnsi="宋体" w:eastAsia="宋体" w:cs="宋体"/>
          <w:spacing w:val="8"/>
          <w:sz w:val="23"/>
          <w:szCs w:val="23"/>
        </w:rPr>
        <w:t xml:space="preserve"> </w:t>
      </w:r>
      <w:r>
        <w:rPr>
          <w:rFonts w:ascii="Times New Roman" w:hAnsi="Times New Roman" w:eastAsia="Times New Roman" w:cs="Times New Roman"/>
          <w:spacing w:val="5"/>
          <w:sz w:val="23"/>
          <w:szCs w:val="23"/>
        </w:rPr>
        <w:t>6</w:t>
      </w:r>
      <w:r>
        <w:rPr>
          <w:rFonts w:ascii="Times New Roman" w:hAnsi="Times New Roman" w:eastAsia="Times New Roman" w:cs="Times New Roman"/>
          <w:sz w:val="23"/>
          <w:szCs w:val="23"/>
        </w:rPr>
        <w:t>h</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 xml:space="preserve">，烟气排放量按 </w:t>
      </w:r>
      <w:r>
        <w:rPr>
          <w:rFonts w:ascii="Times New Roman" w:hAnsi="Times New Roman" w:eastAsia="Times New Roman" w:cs="Times New Roman"/>
          <w:spacing w:val="5"/>
          <w:sz w:val="23"/>
          <w:szCs w:val="23"/>
        </w:rPr>
        <w:t>2000</w:t>
      </w:r>
      <w:r>
        <w:rPr>
          <w:rFonts w:ascii="Times New Roman" w:hAnsi="Times New Roman" w:eastAsia="Times New Roman" w:cs="Times New Roman"/>
          <w:sz w:val="23"/>
          <w:szCs w:val="23"/>
        </w:rPr>
        <w:t>m</w:t>
      </w:r>
      <w:r>
        <w:rPr>
          <w:rFonts w:ascii="Times New Roman" w:hAnsi="Times New Roman" w:eastAsia="Times New Roman" w:cs="Times New Roman"/>
          <w:spacing w:val="5"/>
          <w:position w:val="8"/>
          <w:sz w:val="15"/>
          <w:szCs w:val="15"/>
        </w:rPr>
        <w:t>3</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 xml:space="preserve">设计，则食堂油烟产生量和浓度分别为 </w:t>
      </w:r>
      <w:r>
        <w:rPr>
          <w:rFonts w:ascii="Times New Roman" w:hAnsi="Times New Roman" w:eastAsia="Times New Roman" w:cs="Times New Roman"/>
          <w:spacing w:val="5"/>
          <w:sz w:val="23"/>
          <w:szCs w:val="23"/>
        </w:rPr>
        <w:t>4.599</w:t>
      </w:r>
      <w:r>
        <w:rPr>
          <w:rFonts w:ascii="Times New Roman" w:hAnsi="Times New Roman" w:eastAsia="Times New Roman" w:cs="Times New Roman"/>
          <w:sz w:val="23"/>
          <w:szCs w:val="23"/>
        </w:rPr>
        <w:t>kg</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w:t>
      </w:r>
      <w:r>
        <w:rPr>
          <w:rFonts w:ascii="宋体" w:hAnsi="宋体" w:eastAsia="宋体" w:cs="宋体"/>
          <w:sz w:val="23"/>
          <w:szCs w:val="23"/>
        </w:rPr>
        <w:t xml:space="preserve"> </w:t>
      </w:r>
      <w:r>
        <w:rPr>
          <w:rFonts w:ascii="Times New Roman" w:hAnsi="Times New Roman" w:eastAsia="Times New Roman" w:cs="Times New Roman"/>
          <w:spacing w:val="5"/>
          <w:sz w:val="23"/>
          <w:szCs w:val="23"/>
        </w:rPr>
        <w:t>1.05</w:t>
      </w:r>
      <w:r>
        <w:rPr>
          <w:rFonts w:ascii="Times New Roman" w:hAnsi="Times New Roman" w:eastAsia="Times New Roman" w:cs="Times New Roman"/>
          <w:sz w:val="23"/>
          <w:szCs w:val="23"/>
        </w:rPr>
        <w:t>mg</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5"/>
          <w:position w:val="7"/>
          <w:sz w:val="15"/>
          <w:szCs w:val="15"/>
        </w:rPr>
        <w:t>3</w:t>
      </w:r>
      <w:r>
        <w:rPr>
          <w:rFonts w:ascii="宋体" w:hAnsi="宋体" w:eastAsia="宋体" w:cs="宋体"/>
          <w:spacing w:val="3"/>
          <w:sz w:val="23"/>
          <w:szCs w:val="23"/>
        </w:rPr>
        <w:t>。</w:t>
      </w:r>
    </w:p>
    <w:p w14:paraId="01D56EDC">
      <w:pPr>
        <w:spacing w:before="2" w:line="375" w:lineRule="auto"/>
        <w:ind w:left="118" w:right="61" w:firstLine="480"/>
        <w:rPr>
          <w:rFonts w:ascii="宋体" w:hAnsi="宋体" w:eastAsia="宋体" w:cs="宋体"/>
          <w:sz w:val="23"/>
          <w:szCs w:val="23"/>
        </w:rPr>
      </w:pPr>
      <w:r>
        <w:rPr>
          <w:rFonts w:ascii="宋体" w:hAnsi="宋体" w:eastAsia="宋体" w:cs="宋体"/>
          <w:spacing w:val="14"/>
          <w:sz w:val="23"/>
          <w:szCs w:val="23"/>
        </w:rPr>
        <w:t>食堂</w:t>
      </w:r>
      <w:r>
        <w:rPr>
          <w:rFonts w:ascii="宋体" w:hAnsi="宋体" w:eastAsia="宋体" w:cs="宋体"/>
          <w:spacing w:val="11"/>
          <w:sz w:val="23"/>
          <w:szCs w:val="23"/>
        </w:rPr>
        <w:t>烹</w:t>
      </w:r>
      <w:r>
        <w:rPr>
          <w:rFonts w:ascii="宋体" w:hAnsi="宋体" w:eastAsia="宋体" w:cs="宋体"/>
          <w:spacing w:val="7"/>
          <w:sz w:val="23"/>
          <w:szCs w:val="23"/>
        </w:rPr>
        <w:t>饪过程产生的油烟废气采用油烟净化设施 (</w:t>
      </w:r>
      <w:r>
        <w:rPr>
          <w:rFonts w:ascii="Times New Roman" w:hAnsi="Times New Roman" w:eastAsia="Times New Roman" w:cs="Times New Roman"/>
          <w:spacing w:val="7"/>
          <w:sz w:val="23"/>
          <w:szCs w:val="23"/>
        </w:rPr>
        <w:t>85%</w:t>
      </w:r>
      <w:r>
        <w:rPr>
          <w:rFonts w:ascii="宋体" w:hAnsi="宋体" w:eastAsia="宋体" w:cs="宋体"/>
          <w:spacing w:val="7"/>
          <w:sz w:val="23"/>
          <w:szCs w:val="23"/>
        </w:rPr>
        <w:t>处理效率) 处理达《饮食业油烟</w:t>
      </w:r>
      <w:r>
        <w:rPr>
          <w:rFonts w:ascii="宋体" w:hAnsi="宋体" w:eastAsia="宋体" w:cs="宋体"/>
          <w:sz w:val="23"/>
          <w:szCs w:val="23"/>
        </w:rPr>
        <w:t xml:space="preserve"> </w:t>
      </w:r>
      <w:r>
        <w:rPr>
          <w:rFonts w:ascii="宋体" w:hAnsi="宋体" w:eastAsia="宋体" w:cs="宋体"/>
          <w:spacing w:val="8"/>
          <w:sz w:val="23"/>
          <w:szCs w:val="23"/>
        </w:rPr>
        <w:t>排放</w:t>
      </w:r>
      <w:r>
        <w:rPr>
          <w:rFonts w:ascii="宋体" w:hAnsi="宋体" w:eastAsia="宋体" w:cs="宋体"/>
          <w:spacing w:val="5"/>
          <w:sz w:val="23"/>
          <w:szCs w:val="23"/>
        </w:rPr>
        <w:t>标</w:t>
      </w:r>
      <w:r>
        <w:rPr>
          <w:rFonts w:ascii="宋体" w:hAnsi="宋体" w:eastAsia="宋体" w:cs="宋体"/>
          <w:spacing w:val="4"/>
          <w:sz w:val="23"/>
          <w:szCs w:val="23"/>
        </w:rPr>
        <w:t>准》  (试行)  (</w:t>
      </w:r>
      <w:r>
        <w:rPr>
          <w:rFonts w:ascii="Times New Roman" w:hAnsi="Times New Roman" w:eastAsia="Times New Roman" w:cs="Times New Roman"/>
          <w:sz w:val="23"/>
          <w:szCs w:val="23"/>
        </w:rPr>
        <w:t>GB</w:t>
      </w:r>
      <w:r>
        <w:rPr>
          <w:rFonts w:ascii="Times New Roman" w:hAnsi="Times New Roman" w:eastAsia="Times New Roman" w:cs="Times New Roman"/>
          <w:spacing w:val="4"/>
          <w:sz w:val="23"/>
          <w:szCs w:val="23"/>
        </w:rPr>
        <w:t>18483-2001</w:t>
      </w:r>
      <w:r>
        <w:rPr>
          <w:rFonts w:ascii="宋体" w:hAnsi="宋体" w:eastAsia="宋体" w:cs="宋体"/>
          <w:spacing w:val="4"/>
          <w:sz w:val="23"/>
          <w:szCs w:val="23"/>
        </w:rPr>
        <w:t xml:space="preserve">)  (最高浓度限值 </w:t>
      </w:r>
      <w:r>
        <w:rPr>
          <w:rFonts w:ascii="Times New Roman" w:hAnsi="Times New Roman" w:eastAsia="Times New Roman" w:cs="Times New Roman"/>
          <w:spacing w:val="4"/>
          <w:sz w:val="23"/>
          <w:szCs w:val="23"/>
        </w:rPr>
        <w:t>2.0</w:t>
      </w:r>
      <w:r>
        <w:rPr>
          <w:rFonts w:ascii="Times New Roman" w:hAnsi="Times New Roman" w:eastAsia="Times New Roman" w:cs="Times New Roman"/>
          <w:sz w:val="23"/>
          <w:szCs w:val="23"/>
        </w:rPr>
        <w:t>mg</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4"/>
          <w:position w:val="8"/>
          <w:sz w:val="15"/>
          <w:szCs w:val="15"/>
        </w:rPr>
        <w:t xml:space="preserve">3 </w:t>
      </w:r>
      <w:r>
        <w:rPr>
          <w:rFonts w:ascii="宋体" w:hAnsi="宋体" w:eastAsia="宋体" w:cs="宋体"/>
          <w:spacing w:val="4"/>
          <w:sz w:val="23"/>
          <w:szCs w:val="23"/>
        </w:rPr>
        <w:t>) 后，由专用烟道引致食</w:t>
      </w:r>
      <w:r>
        <w:rPr>
          <w:rFonts w:ascii="宋体" w:hAnsi="宋体" w:eastAsia="宋体" w:cs="宋体"/>
          <w:sz w:val="23"/>
          <w:szCs w:val="23"/>
        </w:rPr>
        <w:t xml:space="preserve"> </w:t>
      </w:r>
      <w:r>
        <w:rPr>
          <w:rFonts w:ascii="宋体" w:hAnsi="宋体" w:eastAsia="宋体" w:cs="宋体"/>
          <w:spacing w:val="5"/>
          <w:sz w:val="23"/>
          <w:szCs w:val="23"/>
        </w:rPr>
        <w:t>堂</w:t>
      </w:r>
      <w:r>
        <w:rPr>
          <w:rFonts w:ascii="宋体" w:hAnsi="宋体" w:eastAsia="宋体" w:cs="宋体"/>
          <w:spacing w:val="3"/>
          <w:sz w:val="23"/>
          <w:szCs w:val="23"/>
        </w:rPr>
        <w:t xml:space="preserve">所在建筑物的屋顶排放，油烟排放量为 </w:t>
      </w:r>
      <w:r>
        <w:rPr>
          <w:rFonts w:ascii="Times New Roman" w:hAnsi="Times New Roman" w:eastAsia="Times New Roman" w:cs="Times New Roman"/>
          <w:spacing w:val="3"/>
          <w:sz w:val="23"/>
          <w:szCs w:val="23"/>
        </w:rPr>
        <w:t>0.69</w:t>
      </w:r>
      <w:r>
        <w:rPr>
          <w:rFonts w:ascii="Times New Roman" w:hAnsi="Times New Roman" w:eastAsia="Times New Roman" w:cs="Times New Roman"/>
          <w:sz w:val="23"/>
          <w:szCs w:val="23"/>
        </w:rPr>
        <w:t>kg</w:t>
      </w:r>
      <w:r>
        <w:rPr>
          <w:rFonts w:ascii="Times New Roman" w:hAnsi="Times New Roman" w:eastAsia="Times New Roman" w:cs="Times New Roman"/>
          <w:spacing w:val="3"/>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w:t>
      </w:r>
      <w:r>
        <w:rPr>
          <w:rFonts w:ascii="Times New Roman" w:hAnsi="Times New Roman" w:eastAsia="Times New Roman" w:cs="Times New Roman"/>
          <w:spacing w:val="3"/>
          <w:sz w:val="23"/>
          <w:szCs w:val="23"/>
        </w:rPr>
        <w:t>0. 159</w:t>
      </w:r>
      <w:r>
        <w:rPr>
          <w:rFonts w:ascii="Times New Roman" w:hAnsi="Times New Roman" w:eastAsia="Times New Roman" w:cs="Times New Roman"/>
          <w:sz w:val="23"/>
          <w:szCs w:val="23"/>
        </w:rPr>
        <w:t>mg</w:t>
      </w:r>
      <w:r>
        <w:rPr>
          <w:rFonts w:ascii="Times New Roman" w:hAnsi="Times New Roman" w:eastAsia="Times New Roman" w:cs="Times New Roman"/>
          <w:spacing w:val="3"/>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3"/>
          <w:position w:val="7"/>
          <w:sz w:val="15"/>
          <w:szCs w:val="15"/>
        </w:rPr>
        <w:t xml:space="preserve">3 </w:t>
      </w:r>
      <w:r>
        <w:rPr>
          <w:rFonts w:ascii="宋体" w:hAnsi="宋体" w:eastAsia="宋体" w:cs="宋体"/>
          <w:spacing w:val="3"/>
          <w:sz w:val="23"/>
          <w:szCs w:val="23"/>
        </w:rPr>
        <w:t>，对环境影响较小。</w:t>
      </w:r>
    </w:p>
    <w:p w14:paraId="740A9555">
      <w:pPr>
        <w:spacing w:before="39" w:line="303" w:lineRule="exact"/>
        <w:ind w:left="592"/>
        <w:rPr>
          <w:rFonts w:ascii="宋体" w:hAnsi="宋体" w:eastAsia="宋体" w:cs="宋体"/>
          <w:sz w:val="23"/>
          <w:szCs w:val="23"/>
        </w:rPr>
      </w:pPr>
      <w:r>
        <w:rPr>
          <w:rFonts w:ascii="Times New Roman" w:hAnsi="Times New Roman" w:eastAsia="Times New Roman" w:cs="Times New Roman"/>
          <w:b/>
          <w:bCs/>
          <w:spacing w:val="3"/>
          <w:position w:val="1"/>
          <w:sz w:val="23"/>
          <w:szCs w:val="23"/>
        </w:rPr>
        <w:t>3</w:t>
      </w:r>
      <w:r>
        <w:rPr>
          <w:rFonts w:ascii="Times New Roman" w:hAnsi="Times New Roman" w:eastAsia="Times New Roman" w:cs="Times New Roman"/>
          <w:spacing w:val="3"/>
          <w:position w:val="1"/>
          <w:sz w:val="23"/>
          <w:szCs w:val="23"/>
        </w:rPr>
        <w:t xml:space="preserve"> </w:t>
      </w:r>
      <w:r>
        <w:rPr>
          <w:rFonts w:ascii="宋体" w:hAnsi="宋体" w:eastAsia="宋体" w:cs="宋体"/>
          <w:spacing w:val="3"/>
          <w:position w:val="1"/>
          <w:sz w:val="23"/>
          <w:szCs w:val="23"/>
          <w14:textOutline w14:w="4356" w14:cap="sq" w14:cmpd="sng" w14:algn="ctr">
            <w14:solidFill>
              <w14:srgbClr w14:val="000000"/>
            </w14:solidFill>
            <w14:prstDash w14:val="solid"/>
            <w14:bevel/>
          </w14:textOutline>
        </w:rPr>
        <w:t>、备用发电机烟气</w:t>
      </w:r>
    </w:p>
    <w:p w14:paraId="550FCC8D">
      <w:pPr>
        <w:spacing w:before="164" w:line="375" w:lineRule="auto"/>
        <w:ind w:left="122" w:firstLine="476"/>
        <w:rPr>
          <w:rFonts w:ascii="宋体" w:hAnsi="宋体" w:eastAsia="宋体" w:cs="宋体"/>
          <w:sz w:val="23"/>
          <w:szCs w:val="23"/>
        </w:rPr>
      </w:pPr>
      <w:r>
        <w:rPr>
          <w:rFonts w:ascii="宋体" w:hAnsi="宋体" w:eastAsia="宋体" w:cs="宋体"/>
          <w:spacing w:val="4"/>
          <w:sz w:val="23"/>
          <w:szCs w:val="23"/>
        </w:rPr>
        <w:t>根据区域电力供应情况分</w:t>
      </w:r>
      <w:r>
        <w:rPr>
          <w:rFonts w:ascii="宋体" w:hAnsi="宋体" w:eastAsia="宋体" w:cs="宋体"/>
          <w:spacing w:val="3"/>
          <w:sz w:val="23"/>
          <w:szCs w:val="23"/>
        </w:rPr>
        <w:t>析</w:t>
      </w:r>
      <w:r>
        <w:rPr>
          <w:rFonts w:ascii="宋体" w:hAnsi="宋体" w:eastAsia="宋体" w:cs="宋体"/>
          <w:spacing w:val="2"/>
          <w:sz w:val="23"/>
          <w:szCs w:val="23"/>
        </w:rPr>
        <w:t>，项目备用发电机的使用时间、几率较少，产生烟气量较小，</w:t>
      </w:r>
      <w:r>
        <w:rPr>
          <w:rFonts w:ascii="宋体" w:hAnsi="宋体" w:eastAsia="宋体" w:cs="宋体"/>
          <w:sz w:val="23"/>
          <w:szCs w:val="23"/>
        </w:rPr>
        <w:t xml:space="preserve"> </w:t>
      </w:r>
      <w:r>
        <w:rPr>
          <w:rFonts w:ascii="宋体" w:hAnsi="宋体" w:eastAsia="宋体" w:cs="宋体"/>
          <w:spacing w:val="17"/>
          <w:sz w:val="23"/>
          <w:szCs w:val="23"/>
        </w:rPr>
        <w:t>一</w:t>
      </w:r>
      <w:r>
        <w:rPr>
          <w:rFonts w:ascii="宋体" w:hAnsi="宋体" w:eastAsia="宋体" w:cs="宋体"/>
          <w:spacing w:val="9"/>
          <w:sz w:val="23"/>
          <w:szCs w:val="23"/>
        </w:rPr>
        <w:t>般柴油发电机都自带烟气净化装置，烟气经处理后能够实现达标排放。</w:t>
      </w:r>
    </w:p>
    <w:p w14:paraId="5A271291">
      <w:pPr>
        <w:spacing w:line="228" w:lineRule="auto"/>
        <w:ind w:left="112"/>
        <w:outlineLvl w:val="3"/>
        <w:rPr>
          <w:rFonts w:ascii="宋体" w:hAnsi="宋体" w:eastAsia="宋体" w:cs="宋体"/>
          <w:sz w:val="23"/>
          <w:szCs w:val="23"/>
        </w:rPr>
      </w:pPr>
      <w:r>
        <w:rPr>
          <w:rFonts w:ascii="Times New Roman" w:hAnsi="Times New Roman" w:eastAsia="Times New Roman" w:cs="Times New Roman"/>
          <w:b/>
          <w:bCs/>
          <w:spacing w:val="8"/>
          <w:sz w:val="23"/>
          <w:szCs w:val="23"/>
        </w:rPr>
        <w:t>3</w:t>
      </w:r>
      <w:r>
        <w:rPr>
          <w:rFonts w:ascii="Times New Roman" w:hAnsi="Times New Roman" w:eastAsia="Times New Roman" w:cs="Times New Roman"/>
          <w:b/>
          <w:bCs/>
          <w:spacing w:val="4"/>
          <w:sz w:val="23"/>
          <w:szCs w:val="23"/>
        </w:rPr>
        <w:t>.3.7.4</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14:textOutline w14:w="4356" w14:cap="sq" w14:cmpd="sng" w14:algn="ctr">
            <w14:solidFill>
              <w14:srgbClr w14:val="000000"/>
            </w14:solidFill>
            <w14:prstDash w14:val="solid"/>
            <w14:bevel/>
          </w14:textOutline>
        </w:rPr>
        <w:t>噪声</w:t>
      </w:r>
    </w:p>
    <w:p w14:paraId="28001A3F">
      <w:pPr>
        <w:spacing w:before="183" w:line="375" w:lineRule="auto"/>
        <w:ind w:left="129" w:right="2" w:firstLine="480"/>
        <w:rPr>
          <w:rFonts w:ascii="宋体" w:hAnsi="宋体" w:eastAsia="宋体" w:cs="宋体"/>
          <w:sz w:val="23"/>
          <w:szCs w:val="23"/>
        </w:rPr>
      </w:pPr>
      <w:r>
        <w:rPr>
          <w:rFonts w:ascii="宋体" w:hAnsi="宋体" w:eastAsia="宋体" w:cs="宋体"/>
          <w:spacing w:val="4"/>
          <w:sz w:val="23"/>
          <w:szCs w:val="23"/>
        </w:rPr>
        <w:t>噪声主要</w:t>
      </w:r>
      <w:r>
        <w:rPr>
          <w:rFonts w:ascii="宋体" w:hAnsi="宋体" w:eastAsia="宋体" w:cs="宋体"/>
          <w:spacing w:val="3"/>
          <w:sz w:val="23"/>
          <w:szCs w:val="23"/>
        </w:rPr>
        <w:t>为</w:t>
      </w:r>
      <w:r>
        <w:rPr>
          <w:rFonts w:ascii="宋体" w:hAnsi="宋体" w:eastAsia="宋体" w:cs="宋体"/>
          <w:spacing w:val="2"/>
          <w:sz w:val="23"/>
          <w:szCs w:val="23"/>
        </w:rPr>
        <w:t>猪叫声、猪舍降温配套降温风机、异位发酵床设备等设备运行时产生的噪声，</w:t>
      </w:r>
      <w:r>
        <w:rPr>
          <w:rFonts w:ascii="宋体" w:hAnsi="宋体" w:eastAsia="宋体" w:cs="宋体"/>
          <w:sz w:val="23"/>
          <w:szCs w:val="23"/>
        </w:rPr>
        <w:t xml:space="preserve"> </w:t>
      </w:r>
      <w:r>
        <w:rPr>
          <w:rFonts w:ascii="宋体" w:hAnsi="宋体" w:eastAsia="宋体" w:cs="宋体"/>
          <w:spacing w:val="4"/>
          <w:sz w:val="23"/>
          <w:szCs w:val="23"/>
        </w:rPr>
        <w:t>噪</w:t>
      </w:r>
      <w:r>
        <w:rPr>
          <w:rFonts w:ascii="宋体" w:hAnsi="宋体" w:eastAsia="宋体" w:cs="宋体"/>
          <w:spacing w:val="2"/>
          <w:sz w:val="23"/>
          <w:szCs w:val="23"/>
        </w:rPr>
        <w:t xml:space="preserve">声声级范围 </w:t>
      </w:r>
      <w:r>
        <w:rPr>
          <w:rFonts w:ascii="Times New Roman" w:hAnsi="Times New Roman" w:eastAsia="Times New Roman" w:cs="Times New Roman"/>
          <w:spacing w:val="2"/>
          <w:sz w:val="23"/>
          <w:szCs w:val="23"/>
        </w:rPr>
        <w:t>65-85</w:t>
      </w:r>
      <w:r>
        <w:rPr>
          <w:rFonts w:ascii="Times New Roman" w:hAnsi="Times New Roman" w:eastAsia="Times New Roman" w:cs="Times New Roman"/>
          <w:sz w:val="23"/>
          <w:szCs w:val="23"/>
        </w:rPr>
        <w:t>dB</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w:t>
      </w:r>
      <w:r>
        <w:rPr>
          <w:rFonts w:ascii="Times New Roman" w:hAnsi="Times New Roman" w:eastAsia="Times New Roman" w:cs="Times New Roman"/>
          <w:sz w:val="23"/>
          <w:szCs w:val="23"/>
        </w:rPr>
        <w:t>A</w:t>
      </w:r>
      <w:r>
        <w:rPr>
          <w:rFonts w:ascii="宋体" w:hAnsi="宋体" w:eastAsia="宋体" w:cs="宋体"/>
          <w:spacing w:val="2"/>
          <w:sz w:val="23"/>
          <w:szCs w:val="23"/>
        </w:rPr>
        <w:t xml:space="preserve">) ，该项目噪声治理措施见表 </w:t>
      </w:r>
      <w:r>
        <w:rPr>
          <w:rFonts w:ascii="Times New Roman" w:hAnsi="Times New Roman" w:eastAsia="Times New Roman" w:cs="Times New Roman"/>
          <w:spacing w:val="2"/>
          <w:sz w:val="23"/>
          <w:szCs w:val="23"/>
        </w:rPr>
        <w:t>3.3- 16</w:t>
      </w:r>
      <w:r>
        <w:rPr>
          <w:rFonts w:ascii="宋体" w:hAnsi="宋体" w:eastAsia="宋体" w:cs="宋体"/>
          <w:spacing w:val="2"/>
          <w:sz w:val="23"/>
          <w:szCs w:val="23"/>
        </w:rPr>
        <w:t>。</w:t>
      </w:r>
    </w:p>
    <w:p w14:paraId="26FBA700">
      <w:pPr>
        <w:spacing w:before="1" w:line="220" w:lineRule="auto"/>
        <w:ind w:left="2850"/>
        <w:rPr>
          <w:rFonts w:ascii="黑体" w:hAnsi="黑体" w:eastAsia="黑体" w:cs="黑体"/>
          <w:sz w:val="23"/>
          <w:szCs w:val="23"/>
        </w:rPr>
      </w:pPr>
      <w:r>
        <w:rPr>
          <w:rFonts w:ascii="黑体" w:hAnsi="黑体" w:eastAsia="黑体" w:cs="黑体"/>
          <w:spacing w:val="2"/>
          <w:sz w:val="23"/>
          <w:szCs w:val="23"/>
        </w:rPr>
        <w:t xml:space="preserve">表 </w:t>
      </w:r>
      <w:r>
        <w:rPr>
          <w:rFonts w:ascii="Times New Roman" w:hAnsi="Times New Roman" w:eastAsia="Times New Roman" w:cs="Times New Roman"/>
          <w:spacing w:val="2"/>
          <w:sz w:val="23"/>
          <w:szCs w:val="23"/>
        </w:rPr>
        <w:t xml:space="preserve">3.3- 16    </w:t>
      </w:r>
      <w:r>
        <w:rPr>
          <w:rFonts w:ascii="黑体" w:hAnsi="黑体" w:eastAsia="黑体" w:cs="黑体"/>
          <w:spacing w:val="2"/>
          <w:sz w:val="23"/>
          <w:szCs w:val="23"/>
        </w:rPr>
        <w:t>噪</w:t>
      </w:r>
      <w:r>
        <w:rPr>
          <w:rFonts w:ascii="黑体" w:hAnsi="黑体" w:eastAsia="黑体" w:cs="黑体"/>
          <w:spacing w:val="1"/>
          <w:sz w:val="23"/>
          <w:szCs w:val="23"/>
        </w:rPr>
        <w:t>声产生及治理情况一览表</w:t>
      </w:r>
    </w:p>
    <w:tbl>
      <w:tblPr>
        <w:tblStyle w:val="4"/>
        <w:tblW w:w="924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0"/>
        <w:gridCol w:w="1744"/>
        <w:gridCol w:w="1655"/>
        <w:gridCol w:w="1748"/>
        <w:gridCol w:w="3163"/>
      </w:tblGrid>
      <w:tr w14:paraId="5ADFE9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930" w:type="dxa"/>
            <w:tcBorders>
              <w:left w:val="nil"/>
            </w:tcBorders>
          </w:tcPr>
          <w:p w14:paraId="1F4262C0">
            <w:pPr>
              <w:spacing w:before="92" w:line="229" w:lineRule="auto"/>
              <w:ind w:left="262"/>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1744" w:type="dxa"/>
          </w:tcPr>
          <w:p w14:paraId="50D3189F">
            <w:pPr>
              <w:spacing w:before="92" w:line="228" w:lineRule="auto"/>
              <w:ind w:left="783"/>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噪</w:t>
            </w:r>
            <w:r>
              <w:rPr>
                <w:rFonts w:ascii="宋体" w:hAnsi="宋体" w:eastAsia="宋体" w:cs="宋体"/>
                <w:spacing w:val="4"/>
                <w:sz w:val="20"/>
                <w:szCs w:val="20"/>
                <w14:textOutline w14:w="3797" w14:cap="sq" w14:cmpd="sng" w14:algn="ctr">
                  <w14:solidFill>
                    <w14:srgbClr w14:val="000000"/>
                  </w14:solidFill>
                  <w14:prstDash w14:val="solid"/>
                  <w14:bevel/>
                </w14:textOutline>
              </w:rPr>
              <w:t>声源</w:t>
            </w:r>
          </w:p>
        </w:tc>
        <w:tc>
          <w:tcPr>
            <w:tcW w:w="1655" w:type="dxa"/>
          </w:tcPr>
          <w:p w14:paraId="4D64606E">
            <w:pPr>
              <w:spacing w:before="51" w:line="288" w:lineRule="exact"/>
              <w:ind w:left="120"/>
              <w:rPr>
                <w:rFonts w:ascii="宋体" w:hAnsi="宋体" w:eastAsia="宋体" w:cs="宋体"/>
                <w:sz w:val="20"/>
                <w:szCs w:val="20"/>
              </w:rPr>
            </w:pPr>
            <w:r>
              <w:rPr>
                <w:rFonts w:ascii="宋体" w:hAnsi="宋体" w:eastAsia="宋体" w:cs="宋体"/>
                <w:spacing w:val="-1"/>
                <w:position w:val="2"/>
                <w:sz w:val="20"/>
                <w:szCs w:val="20"/>
                <w14:textOutline w14:w="3797" w14:cap="sq" w14:cmpd="sng" w14:algn="ctr">
                  <w14:solidFill>
                    <w14:srgbClr w14:val="000000"/>
                  </w14:solidFill>
                  <w14:prstDash w14:val="solid"/>
                  <w14:bevel/>
                </w14:textOutline>
              </w:rPr>
              <w:t>声级值</w:t>
            </w:r>
            <w:r>
              <w:rPr>
                <w:rFonts w:ascii="宋体" w:hAnsi="宋体" w:eastAsia="宋体" w:cs="宋体"/>
                <w:position w:val="2"/>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position w:val="2"/>
                <w:sz w:val="20"/>
                <w:szCs w:val="20"/>
              </w:rPr>
              <w:t>dB(A)</w:t>
            </w:r>
            <w:r>
              <w:rPr>
                <w:rFonts w:ascii="宋体" w:hAnsi="宋体" w:eastAsia="宋体" w:cs="宋体"/>
                <w:position w:val="2"/>
                <w:sz w:val="20"/>
                <w:szCs w:val="20"/>
                <w14:textOutline w14:w="3797" w14:cap="sq" w14:cmpd="sng" w14:algn="ctr">
                  <w14:solidFill>
                    <w14:srgbClr w14:val="000000"/>
                  </w14:solidFill>
                  <w14:prstDash w14:val="solid"/>
                  <w14:bevel/>
                </w14:textOutline>
              </w:rPr>
              <w:t>〕</w:t>
            </w:r>
          </w:p>
        </w:tc>
        <w:tc>
          <w:tcPr>
            <w:tcW w:w="1748" w:type="dxa"/>
          </w:tcPr>
          <w:p w14:paraId="1ED43F8B">
            <w:pPr>
              <w:spacing w:before="92" w:line="228" w:lineRule="auto"/>
              <w:ind w:left="679"/>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噪声位置</w:t>
            </w:r>
          </w:p>
        </w:tc>
        <w:tc>
          <w:tcPr>
            <w:tcW w:w="3163" w:type="dxa"/>
            <w:tcBorders>
              <w:right w:val="nil"/>
            </w:tcBorders>
          </w:tcPr>
          <w:p w14:paraId="4F967A55">
            <w:pPr>
              <w:spacing w:before="92" w:line="228" w:lineRule="auto"/>
              <w:ind w:left="1381"/>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治</w:t>
            </w:r>
            <w:r>
              <w:rPr>
                <w:rFonts w:ascii="宋体" w:hAnsi="宋体" w:eastAsia="宋体" w:cs="宋体"/>
                <w:spacing w:val="7"/>
                <w:sz w:val="20"/>
                <w:szCs w:val="20"/>
                <w14:textOutline w14:w="3797" w14:cap="sq" w14:cmpd="sng" w14:algn="ctr">
                  <w14:solidFill>
                    <w14:srgbClr w14:val="000000"/>
                  </w14:solidFill>
                  <w14:prstDash w14:val="solid"/>
                  <w14:bevel/>
                </w14:textOutline>
              </w:rPr>
              <w:t>理措施</w:t>
            </w:r>
          </w:p>
        </w:tc>
      </w:tr>
      <w:tr w14:paraId="455744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930" w:type="dxa"/>
            <w:tcBorders>
              <w:left w:val="nil"/>
            </w:tcBorders>
          </w:tcPr>
          <w:p w14:paraId="5B122AF6">
            <w:pPr>
              <w:spacing w:before="92" w:line="195" w:lineRule="auto"/>
              <w:ind w:left="54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744" w:type="dxa"/>
          </w:tcPr>
          <w:p w14:paraId="63071407">
            <w:pPr>
              <w:spacing w:before="54" w:line="228" w:lineRule="auto"/>
              <w:ind w:left="667"/>
              <w:rPr>
                <w:rFonts w:ascii="宋体" w:hAnsi="宋体" w:eastAsia="宋体" w:cs="宋体"/>
                <w:sz w:val="20"/>
                <w:szCs w:val="20"/>
              </w:rPr>
            </w:pPr>
            <w:r>
              <w:rPr>
                <w:rFonts w:ascii="宋体" w:hAnsi="宋体" w:eastAsia="宋体" w:cs="宋体"/>
                <w:spacing w:val="8"/>
                <w:sz w:val="20"/>
                <w:szCs w:val="20"/>
              </w:rPr>
              <w:t>猪</w:t>
            </w:r>
            <w:r>
              <w:rPr>
                <w:rFonts w:ascii="宋体" w:hAnsi="宋体" w:eastAsia="宋体" w:cs="宋体"/>
                <w:spacing w:val="7"/>
                <w:sz w:val="20"/>
                <w:szCs w:val="20"/>
              </w:rPr>
              <w:t>只叫声</w:t>
            </w:r>
          </w:p>
        </w:tc>
        <w:tc>
          <w:tcPr>
            <w:tcW w:w="1655" w:type="dxa"/>
          </w:tcPr>
          <w:p w14:paraId="219849A1">
            <w:pPr>
              <w:spacing w:before="92" w:line="195" w:lineRule="auto"/>
              <w:ind w:left="79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2"/>
                <w:sz w:val="20"/>
                <w:szCs w:val="20"/>
              </w:rPr>
              <w:t>5-75</w:t>
            </w:r>
          </w:p>
        </w:tc>
        <w:tc>
          <w:tcPr>
            <w:tcW w:w="1748" w:type="dxa"/>
          </w:tcPr>
          <w:p w14:paraId="6A4D6D58">
            <w:pPr>
              <w:spacing w:before="54" w:line="228" w:lineRule="auto"/>
              <w:ind w:left="880"/>
              <w:rPr>
                <w:rFonts w:ascii="宋体" w:hAnsi="宋体" w:eastAsia="宋体" w:cs="宋体"/>
                <w:sz w:val="20"/>
                <w:szCs w:val="20"/>
              </w:rPr>
            </w:pPr>
            <w:r>
              <w:rPr>
                <w:rFonts w:ascii="宋体" w:hAnsi="宋体" w:eastAsia="宋体" w:cs="宋体"/>
                <w:spacing w:val="5"/>
                <w:sz w:val="20"/>
                <w:szCs w:val="20"/>
              </w:rPr>
              <w:t>猪</w:t>
            </w:r>
            <w:r>
              <w:rPr>
                <w:rFonts w:ascii="宋体" w:hAnsi="宋体" w:eastAsia="宋体" w:cs="宋体"/>
                <w:spacing w:val="4"/>
                <w:sz w:val="20"/>
                <w:szCs w:val="20"/>
              </w:rPr>
              <w:t>舍</w:t>
            </w:r>
          </w:p>
        </w:tc>
        <w:tc>
          <w:tcPr>
            <w:tcW w:w="3163" w:type="dxa"/>
            <w:tcBorders>
              <w:right w:val="nil"/>
            </w:tcBorders>
          </w:tcPr>
          <w:p w14:paraId="3768AA3A">
            <w:pPr>
              <w:spacing w:before="53" w:line="227" w:lineRule="auto"/>
              <w:ind w:left="116"/>
              <w:rPr>
                <w:rFonts w:ascii="宋体" w:hAnsi="宋体" w:eastAsia="宋体" w:cs="宋体"/>
                <w:sz w:val="20"/>
                <w:szCs w:val="20"/>
              </w:rPr>
            </w:pPr>
            <w:r>
              <w:rPr>
                <w:rFonts w:ascii="宋体" w:hAnsi="宋体" w:eastAsia="宋体" w:cs="宋体"/>
                <w:spacing w:val="12"/>
                <w:sz w:val="20"/>
                <w:szCs w:val="20"/>
              </w:rPr>
              <w:t>科</w:t>
            </w:r>
            <w:r>
              <w:rPr>
                <w:rFonts w:ascii="宋体" w:hAnsi="宋体" w:eastAsia="宋体" w:cs="宋体"/>
                <w:spacing w:val="9"/>
                <w:sz w:val="20"/>
                <w:szCs w:val="20"/>
              </w:rPr>
              <w:t>学饲养、加强管理、避免惊扰</w:t>
            </w:r>
          </w:p>
        </w:tc>
      </w:tr>
      <w:tr w14:paraId="45534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930" w:type="dxa"/>
            <w:tcBorders>
              <w:left w:val="nil"/>
            </w:tcBorders>
          </w:tcPr>
          <w:p w14:paraId="3FDB2794">
            <w:pPr>
              <w:spacing w:before="91" w:line="195" w:lineRule="auto"/>
              <w:ind w:left="521"/>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744" w:type="dxa"/>
          </w:tcPr>
          <w:p w14:paraId="558A25B7">
            <w:pPr>
              <w:spacing w:before="55" w:line="228" w:lineRule="auto"/>
              <w:ind w:left="878"/>
              <w:rPr>
                <w:rFonts w:ascii="宋体" w:hAnsi="宋体" w:eastAsia="宋体" w:cs="宋体"/>
                <w:sz w:val="20"/>
                <w:szCs w:val="20"/>
              </w:rPr>
            </w:pPr>
            <w:r>
              <w:rPr>
                <w:rFonts w:ascii="宋体" w:hAnsi="宋体" w:eastAsia="宋体" w:cs="宋体"/>
                <w:spacing w:val="4"/>
                <w:sz w:val="20"/>
                <w:szCs w:val="20"/>
              </w:rPr>
              <w:t>水</w:t>
            </w:r>
            <w:r>
              <w:rPr>
                <w:rFonts w:ascii="宋体" w:hAnsi="宋体" w:eastAsia="宋体" w:cs="宋体"/>
                <w:spacing w:val="3"/>
                <w:sz w:val="20"/>
                <w:szCs w:val="20"/>
              </w:rPr>
              <w:t>泵</w:t>
            </w:r>
          </w:p>
        </w:tc>
        <w:tc>
          <w:tcPr>
            <w:tcW w:w="1655" w:type="dxa"/>
          </w:tcPr>
          <w:p w14:paraId="2FD5CC3A">
            <w:pPr>
              <w:spacing w:before="91" w:line="195" w:lineRule="auto"/>
              <w:ind w:left="80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80-8</w:t>
            </w:r>
            <w:r>
              <w:rPr>
                <w:rFonts w:ascii="Times New Roman" w:hAnsi="Times New Roman" w:eastAsia="Times New Roman" w:cs="Times New Roman"/>
                <w:spacing w:val="1"/>
                <w:sz w:val="20"/>
                <w:szCs w:val="20"/>
              </w:rPr>
              <w:t>5</w:t>
            </w:r>
          </w:p>
        </w:tc>
        <w:tc>
          <w:tcPr>
            <w:tcW w:w="1748" w:type="dxa"/>
          </w:tcPr>
          <w:p w14:paraId="38089261">
            <w:pPr>
              <w:spacing w:before="56" w:line="228" w:lineRule="auto"/>
              <w:ind w:left="669"/>
              <w:rPr>
                <w:rFonts w:ascii="宋体" w:hAnsi="宋体" w:eastAsia="宋体" w:cs="宋体"/>
                <w:sz w:val="20"/>
                <w:szCs w:val="20"/>
              </w:rPr>
            </w:pPr>
            <w:r>
              <w:rPr>
                <w:rFonts w:ascii="宋体" w:hAnsi="宋体" w:eastAsia="宋体" w:cs="宋体"/>
                <w:spacing w:val="5"/>
                <w:sz w:val="20"/>
                <w:szCs w:val="20"/>
              </w:rPr>
              <w:t>猪</w:t>
            </w:r>
            <w:r>
              <w:rPr>
                <w:rFonts w:ascii="宋体" w:hAnsi="宋体" w:eastAsia="宋体" w:cs="宋体"/>
                <w:spacing w:val="4"/>
                <w:sz w:val="20"/>
                <w:szCs w:val="20"/>
              </w:rPr>
              <w:t>舍</w:t>
            </w:r>
          </w:p>
        </w:tc>
        <w:tc>
          <w:tcPr>
            <w:tcW w:w="3163" w:type="dxa"/>
            <w:tcBorders>
              <w:right w:val="nil"/>
            </w:tcBorders>
          </w:tcPr>
          <w:p w14:paraId="3BE46DC1">
            <w:pPr>
              <w:spacing w:before="56" w:line="228" w:lineRule="auto"/>
              <w:ind w:left="850"/>
              <w:rPr>
                <w:rFonts w:ascii="宋体" w:hAnsi="宋体" w:eastAsia="宋体" w:cs="宋体"/>
                <w:sz w:val="20"/>
                <w:szCs w:val="20"/>
              </w:rPr>
            </w:pPr>
            <w:r>
              <w:rPr>
                <w:rFonts w:ascii="宋体" w:hAnsi="宋体" w:eastAsia="宋体" w:cs="宋体"/>
                <w:spacing w:val="9"/>
                <w:sz w:val="20"/>
                <w:szCs w:val="20"/>
              </w:rPr>
              <w:t>选择低噪声设</w:t>
            </w:r>
            <w:r>
              <w:rPr>
                <w:rFonts w:ascii="宋体" w:hAnsi="宋体" w:eastAsia="宋体" w:cs="宋体"/>
                <w:spacing w:val="7"/>
                <w:sz w:val="20"/>
                <w:szCs w:val="20"/>
              </w:rPr>
              <w:t>备</w:t>
            </w:r>
          </w:p>
        </w:tc>
      </w:tr>
      <w:tr w14:paraId="22E360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930" w:type="dxa"/>
            <w:tcBorders>
              <w:left w:val="nil"/>
            </w:tcBorders>
          </w:tcPr>
          <w:p w14:paraId="271BAE98">
            <w:pPr>
              <w:spacing w:before="92" w:line="195" w:lineRule="auto"/>
              <w:ind w:left="525"/>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744" w:type="dxa"/>
          </w:tcPr>
          <w:p w14:paraId="6C05CED0">
            <w:pPr>
              <w:spacing w:before="56" w:line="227" w:lineRule="auto"/>
              <w:ind w:left="877"/>
              <w:rPr>
                <w:rFonts w:ascii="宋体" w:hAnsi="宋体" w:eastAsia="宋体" w:cs="宋体"/>
                <w:sz w:val="20"/>
                <w:szCs w:val="20"/>
              </w:rPr>
            </w:pPr>
            <w:r>
              <w:rPr>
                <w:rFonts w:ascii="宋体" w:hAnsi="宋体" w:eastAsia="宋体" w:cs="宋体"/>
                <w:spacing w:val="4"/>
                <w:sz w:val="20"/>
                <w:szCs w:val="20"/>
              </w:rPr>
              <w:t>风机</w:t>
            </w:r>
          </w:p>
        </w:tc>
        <w:tc>
          <w:tcPr>
            <w:tcW w:w="1655" w:type="dxa"/>
          </w:tcPr>
          <w:p w14:paraId="35DBFA59">
            <w:pPr>
              <w:spacing w:before="92" w:line="195" w:lineRule="auto"/>
              <w:ind w:left="80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80-8</w:t>
            </w:r>
            <w:r>
              <w:rPr>
                <w:rFonts w:ascii="Times New Roman" w:hAnsi="Times New Roman" w:eastAsia="Times New Roman" w:cs="Times New Roman"/>
                <w:spacing w:val="1"/>
                <w:sz w:val="20"/>
                <w:szCs w:val="20"/>
              </w:rPr>
              <w:t>5</w:t>
            </w:r>
          </w:p>
        </w:tc>
        <w:tc>
          <w:tcPr>
            <w:tcW w:w="1748" w:type="dxa"/>
          </w:tcPr>
          <w:p w14:paraId="531FFAAD">
            <w:pPr>
              <w:spacing w:before="56" w:line="228" w:lineRule="auto"/>
              <w:ind w:left="880"/>
              <w:rPr>
                <w:rFonts w:ascii="宋体" w:hAnsi="宋体" w:eastAsia="宋体" w:cs="宋体"/>
                <w:sz w:val="20"/>
                <w:szCs w:val="20"/>
              </w:rPr>
            </w:pPr>
            <w:r>
              <w:rPr>
                <w:rFonts w:ascii="宋体" w:hAnsi="宋体" w:eastAsia="宋体" w:cs="宋体"/>
                <w:spacing w:val="5"/>
                <w:sz w:val="20"/>
                <w:szCs w:val="20"/>
              </w:rPr>
              <w:t>猪</w:t>
            </w:r>
            <w:r>
              <w:rPr>
                <w:rFonts w:ascii="宋体" w:hAnsi="宋体" w:eastAsia="宋体" w:cs="宋体"/>
                <w:spacing w:val="4"/>
                <w:sz w:val="20"/>
                <w:szCs w:val="20"/>
              </w:rPr>
              <w:t>舍</w:t>
            </w:r>
          </w:p>
        </w:tc>
        <w:tc>
          <w:tcPr>
            <w:tcW w:w="3163" w:type="dxa"/>
            <w:tcBorders>
              <w:right w:val="nil"/>
            </w:tcBorders>
          </w:tcPr>
          <w:p w14:paraId="0CE0B098">
            <w:pPr>
              <w:spacing w:before="56" w:line="228" w:lineRule="auto"/>
              <w:ind w:left="324"/>
              <w:rPr>
                <w:rFonts w:ascii="宋体" w:hAnsi="宋体" w:eastAsia="宋体" w:cs="宋体"/>
                <w:sz w:val="20"/>
                <w:szCs w:val="20"/>
              </w:rPr>
            </w:pPr>
            <w:r>
              <w:rPr>
                <w:rFonts w:ascii="宋体" w:hAnsi="宋体" w:eastAsia="宋体" w:cs="宋体"/>
                <w:spacing w:val="11"/>
                <w:sz w:val="20"/>
                <w:szCs w:val="20"/>
              </w:rPr>
              <w:t>选</w:t>
            </w:r>
            <w:r>
              <w:rPr>
                <w:rFonts w:ascii="宋体" w:hAnsi="宋体" w:eastAsia="宋体" w:cs="宋体"/>
                <w:spacing w:val="9"/>
                <w:sz w:val="20"/>
                <w:szCs w:val="20"/>
              </w:rPr>
              <w:t>择低噪声设备、墙体隔声</w:t>
            </w:r>
          </w:p>
        </w:tc>
      </w:tr>
      <w:tr w14:paraId="48037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930" w:type="dxa"/>
            <w:tcBorders>
              <w:left w:val="nil"/>
            </w:tcBorders>
          </w:tcPr>
          <w:p w14:paraId="07F45230">
            <w:pPr>
              <w:spacing w:before="94" w:line="195" w:lineRule="auto"/>
              <w:ind w:left="52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744" w:type="dxa"/>
          </w:tcPr>
          <w:p w14:paraId="4301A7B8">
            <w:pPr>
              <w:spacing w:before="55" w:line="227" w:lineRule="auto"/>
              <w:ind w:left="772"/>
              <w:rPr>
                <w:rFonts w:ascii="宋体" w:hAnsi="宋体" w:eastAsia="宋体" w:cs="宋体"/>
                <w:sz w:val="20"/>
                <w:szCs w:val="20"/>
              </w:rPr>
            </w:pPr>
            <w:r>
              <w:rPr>
                <w:rFonts w:ascii="宋体" w:hAnsi="宋体" w:eastAsia="宋体" w:cs="宋体"/>
                <w:spacing w:val="7"/>
                <w:sz w:val="20"/>
                <w:szCs w:val="20"/>
              </w:rPr>
              <w:t>搅拌机</w:t>
            </w:r>
          </w:p>
        </w:tc>
        <w:tc>
          <w:tcPr>
            <w:tcW w:w="1655" w:type="dxa"/>
          </w:tcPr>
          <w:p w14:paraId="318C2519">
            <w:pPr>
              <w:spacing w:before="94" w:line="195" w:lineRule="auto"/>
              <w:ind w:left="79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75-8</w:t>
            </w:r>
            <w:r>
              <w:rPr>
                <w:rFonts w:ascii="Times New Roman" w:hAnsi="Times New Roman" w:eastAsia="Times New Roman" w:cs="Times New Roman"/>
                <w:spacing w:val="2"/>
                <w:sz w:val="20"/>
                <w:szCs w:val="20"/>
              </w:rPr>
              <w:t>5</w:t>
            </w:r>
          </w:p>
        </w:tc>
        <w:tc>
          <w:tcPr>
            <w:tcW w:w="1748" w:type="dxa"/>
            <w:vMerge w:val="restart"/>
            <w:tcBorders>
              <w:bottom w:val="nil"/>
            </w:tcBorders>
          </w:tcPr>
          <w:p w14:paraId="6877EF18">
            <w:pPr>
              <w:spacing w:before="247" w:line="268" w:lineRule="auto"/>
              <w:ind w:left="673" w:right="138" w:hanging="527"/>
              <w:rPr>
                <w:rFonts w:ascii="宋体" w:hAnsi="宋体" w:eastAsia="宋体" w:cs="宋体"/>
                <w:sz w:val="20"/>
                <w:szCs w:val="20"/>
              </w:rPr>
            </w:pPr>
            <w:r>
              <w:rPr>
                <w:rFonts w:ascii="宋体" w:hAnsi="宋体" w:eastAsia="宋体" w:cs="宋体"/>
                <w:spacing w:val="10"/>
                <w:sz w:val="20"/>
                <w:szCs w:val="20"/>
              </w:rPr>
              <w:t>异</w:t>
            </w:r>
            <w:r>
              <w:rPr>
                <w:rFonts w:ascii="宋体" w:hAnsi="宋体" w:eastAsia="宋体" w:cs="宋体"/>
                <w:spacing w:val="8"/>
                <w:sz w:val="20"/>
                <w:szCs w:val="20"/>
              </w:rPr>
              <w:t>位微生物发酵</w:t>
            </w:r>
            <w:r>
              <w:rPr>
                <w:rFonts w:ascii="宋体" w:hAnsi="宋体" w:eastAsia="宋体" w:cs="宋体"/>
                <w:sz w:val="20"/>
                <w:szCs w:val="20"/>
              </w:rPr>
              <w:t xml:space="preserve"> </w:t>
            </w:r>
            <w:r>
              <w:rPr>
                <w:rFonts w:ascii="宋体" w:hAnsi="宋体" w:eastAsia="宋体" w:cs="宋体"/>
                <w:spacing w:val="3"/>
                <w:sz w:val="20"/>
                <w:szCs w:val="20"/>
              </w:rPr>
              <w:t>系</w:t>
            </w:r>
            <w:r>
              <w:rPr>
                <w:rFonts w:ascii="宋体" w:hAnsi="宋体" w:eastAsia="宋体" w:cs="宋体"/>
                <w:spacing w:val="2"/>
                <w:sz w:val="20"/>
                <w:szCs w:val="20"/>
              </w:rPr>
              <w:t>统</w:t>
            </w:r>
          </w:p>
        </w:tc>
        <w:tc>
          <w:tcPr>
            <w:tcW w:w="3163" w:type="dxa"/>
            <w:tcBorders>
              <w:right w:val="nil"/>
            </w:tcBorders>
          </w:tcPr>
          <w:p w14:paraId="5C1C62B4">
            <w:pPr>
              <w:spacing w:before="56" w:line="228" w:lineRule="auto"/>
              <w:ind w:left="324"/>
              <w:rPr>
                <w:rFonts w:ascii="宋体" w:hAnsi="宋体" w:eastAsia="宋体" w:cs="宋体"/>
                <w:sz w:val="20"/>
                <w:szCs w:val="20"/>
              </w:rPr>
            </w:pPr>
            <w:r>
              <w:rPr>
                <w:rFonts w:ascii="宋体" w:hAnsi="宋体" w:eastAsia="宋体" w:cs="宋体"/>
                <w:spacing w:val="11"/>
                <w:sz w:val="20"/>
                <w:szCs w:val="20"/>
              </w:rPr>
              <w:t>选</w:t>
            </w:r>
            <w:r>
              <w:rPr>
                <w:rFonts w:ascii="宋体" w:hAnsi="宋体" w:eastAsia="宋体" w:cs="宋体"/>
                <w:spacing w:val="9"/>
                <w:sz w:val="20"/>
                <w:szCs w:val="20"/>
              </w:rPr>
              <w:t>择低噪声设备、墙体隔声</w:t>
            </w:r>
          </w:p>
        </w:tc>
      </w:tr>
      <w:tr w14:paraId="5F0AC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930" w:type="dxa"/>
            <w:tcBorders>
              <w:left w:val="nil"/>
            </w:tcBorders>
          </w:tcPr>
          <w:p w14:paraId="4911A49E">
            <w:pPr>
              <w:spacing w:before="96" w:line="192" w:lineRule="auto"/>
              <w:ind w:left="526"/>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744" w:type="dxa"/>
          </w:tcPr>
          <w:p w14:paraId="44E52E45">
            <w:pPr>
              <w:spacing w:before="57" w:line="227" w:lineRule="auto"/>
              <w:ind w:left="771"/>
              <w:rPr>
                <w:rFonts w:ascii="宋体" w:hAnsi="宋体" w:eastAsia="宋体" w:cs="宋体"/>
                <w:sz w:val="20"/>
                <w:szCs w:val="20"/>
              </w:rPr>
            </w:pPr>
            <w:r>
              <w:rPr>
                <w:rFonts w:ascii="宋体" w:hAnsi="宋体" w:eastAsia="宋体" w:cs="宋体"/>
                <w:spacing w:val="8"/>
                <w:sz w:val="20"/>
                <w:szCs w:val="20"/>
              </w:rPr>
              <w:t>翻</w:t>
            </w:r>
            <w:r>
              <w:rPr>
                <w:rFonts w:ascii="宋体" w:hAnsi="宋体" w:eastAsia="宋体" w:cs="宋体"/>
                <w:spacing w:val="7"/>
                <w:sz w:val="20"/>
                <w:szCs w:val="20"/>
              </w:rPr>
              <w:t>抛机</w:t>
            </w:r>
          </w:p>
        </w:tc>
        <w:tc>
          <w:tcPr>
            <w:tcW w:w="1655" w:type="dxa"/>
          </w:tcPr>
          <w:p w14:paraId="272CE3FC">
            <w:pPr>
              <w:spacing w:before="93" w:line="195" w:lineRule="auto"/>
              <w:ind w:left="77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7</w:t>
            </w:r>
            <w:r>
              <w:rPr>
                <w:rFonts w:ascii="Times New Roman" w:hAnsi="Times New Roman" w:eastAsia="Times New Roman" w:cs="Times New Roman"/>
                <w:spacing w:val="3"/>
                <w:sz w:val="20"/>
                <w:szCs w:val="20"/>
              </w:rPr>
              <w:t>0~80</w:t>
            </w:r>
          </w:p>
        </w:tc>
        <w:tc>
          <w:tcPr>
            <w:tcW w:w="1748" w:type="dxa"/>
            <w:vMerge w:val="continue"/>
            <w:tcBorders>
              <w:top w:val="nil"/>
              <w:bottom w:val="nil"/>
            </w:tcBorders>
          </w:tcPr>
          <w:p w14:paraId="00330900"/>
        </w:tc>
        <w:tc>
          <w:tcPr>
            <w:tcW w:w="3163" w:type="dxa"/>
            <w:tcBorders>
              <w:right w:val="nil"/>
            </w:tcBorders>
          </w:tcPr>
          <w:p w14:paraId="40ECFF4B">
            <w:pPr>
              <w:spacing w:before="58" w:line="228" w:lineRule="auto"/>
              <w:ind w:left="324"/>
              <w:rPr>
                <w:rFonts w:ascii="宋体" w:hAnsi="宋体" w:eastAsia="宋体" w:cs="宋体"/>
                <w:sz w:val="20"/>
                <w:szCs w:val="20"/>
              </w:rPr>
            </w:pPr>
            <w:r>
              <w:rPr>
                <w:rFonts w:ascii="宋体" w:hAnsi="宋体" w:eastAsia="宋体" w:cs="宋体"/>
                <w:spacing w:val="11"/>
                <w:sz w:val="20"/>
                <w:szCs w:val="20"/>
              </w:rPr>
              <w:t>选</w:t>
            </w:r>
            <w:r>
              <w:rPr>
                <w:rFonts w:ascii="宋体" w:hAnsi="宋体" w:eastAsia="宋体" w:cs="宋体"/>
                <w:spacing w:val="9"/>
                <w:sz w:val="20"/>
                <w:szCs w:val="20"/>
              </w:rPr>
              <w:t>择低噪声设备、墙体隔声</w:t>
            </w:r>
          </w:p>
        </w:tc>
      </w:tr>
      <w:tr w14:paraId="6CDFAF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930" w:type="dxa"/>
            <w:tcBorders>
              <w:left w:val="nil"/>
            </w:tcBorders>
          </w:tcPr>
          <w:p w14:paraId="3B63691A">
            <w:pPr>
              <w:spacing w:before="94" w:line="195" w:lineRule="auto"/>
              <w:ind w:left="525"/>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744" w:type="dxa"/>
          </w:tcPr>
          <w:p w14:paraId="6FC3CF9A">
            <w:pPr>
              <w:spacing w:before="58" w:line="227" w:lineRule="auto"/>
              <w:ind w:left="774"/>
              <w:rPr>
                <w:rFonts w:ascii="宋体" w:hAnsi="宋体" w:eastAsia="宋体" w:cs="宋体"/>
                <w:sz w:val="20"/>
                <w:szCs w:val="20"/>
              </w:rPr>
            </w:pPr>
            <w:r>
              <w:rPr>
                <w:rFonts w:ascii="宋体" w:hAnsi="宋体" w:eastAsia="宋体" w:cs="宋体"/>
                <w:spacing w:val="7"/>
                <w:sz w:val="20"/>
                <w:szCs w:val="20"/>
              </w:rPr>
              <w:t>鼓</w:t>
            </w:r>
            <w:r>
              <w:rPr>
                <w:rFonts w:ascii="宋体" w:hAnsi="宋体" w:eastAsia="宋体" w:cs="宋体"/>
                <w:spacing w:val="6"/>
                <w:sz w:val="20"/>
                <w:szCs w:val="20"/>
              </w:rPr>
              <w:t>风机</w:t>
            </w:r>
          </w:p>
        </w:tc>
        <w:tc>
          <w:tcPr>
            <w:tcW w:w="1655" w:type="dxa"/>
          </w:tcPr>
          <w:p w14:paraId="460039E3">
            <w:pPr>
              <w:spacing w:before="94" w:line="195" w:lineRule="auto"/>
              <w:ind w:left="78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8</w:t>
            </w:r>
            <w:r>
              <w:rPr>
                <w:rFonts w:ascii="Times New Roman" w:hAnsi="Times New Roman" w:eastAsia="Times New Roman" w:cs="Times New Roman"/>
                <w:spacing w:val="3"/>
                <w:sz w:val="20"/>
                <w:szCs w:val="20"/>
              </w:rPr>
              <w:t>0</w:t>
            </w:r>
            <w:r>
              <w:rPr>
                <w:rFonts w:ascii="Times New Roman" w:hAnsi="Times New Roman" w:eastAsia="Times New Roman" w:cs="Times New Roman"/>
                <w:spacing w:val="2"/>
                <w:sz w:val="20"/>
                <w:szCs w:val="20"/>
              </w:rPr>
              <w:t>~85</w:t>
            </w:r>
          </w:p>
        </w:tc>
        <w:tc>
          <w:tcPr>
            <w:tcW w:w="1748" w:type="dxa"/>
            <w:vMerge w:val="continue"/>
            <w:tcBorders>
              <w:top w:val="nil"/>
            </w:tcBorders>
          </w:tcPr>
          <w:p w14:paraId="11B98585"/>
        </w:tc>
        <w:tc>
          <w:tcPr>
            <w:tcW w:w="3163" w:type="dxa"/>
            <w:tcBorders>
              <w:right w:val="nil"/>
            </w:tcBorders>
          </w:tcPr>
          <w:p w14:paraId="154400CF">
            <w:pPr>
              <w:spacing w:before="58" w:line="228" w:lineRule="auto"/>
              <w:ind w:left="324"/>
              <w:rPr>
                <w:rFonts w:ascii="宋体" w:hAnsi="宋体" w:eastAsia="宋体" w:cs="宋体"/>
                <w:sz w:val="20"/>
                <w:szCs w:val="20"/>
              </w:rPr>
            </w:pPr>
            <w:r>
              <w:rPr>
                <w:rFonts w:ascii="宋体" w:hAnsi="宋体" w:eastAsia="宋体" w:cs="宋体"/>
                <w:spacing w:val="11"/>
                <w:sz w:val="20"/>
                <w:szCs w:val="20"/>
              </w:rPr>
              <w:t>选</w:t>
            </w:r>
            <w:r>
              <w:rPr>
                <w:rFonts w:ascii="宋体" w:hAnsi="宋体" w:eastAsia="宋体" w:cs="宋体"/>
                <w:spacing w:val="9"/>
                <w:sz w:val="20"/>
                <w:szCs w:val="20"/>
              </w:rPr>
              <w:t>择低噪声设备、墙体隔声</w:t>
            </w:r>
          </w:p>
        </w:tc>
      </w:tr>
      <w:tr w14:paraId="4D65E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930" w:type="dxa"/>
            <w:tcBorders>
              <w:left w:val="nil"/>
            </w:tcBorders>
          </w:tcPr>
          <w:p w14:paraId="5C5266D0">
            <w:pPr>
              <w:spacing w:before="125" w:line="192" w:lineRule="auto"/>
              <w:ind w:left="524"/>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744" w:type="dxa"/>
          </w:tcPr>
          <w:p w14:paraId="603F277B">
            <w:pPr>
              <w:spacing w:before="86" w:line="228" w:lineRule="auto"/>
              <w:ind w:left="667"/>
              <w:rPr>
                <w:rFonts w:ascii="宋体" w:hAnsi="宋体" w:eastAsia="宋体" w:cs="宋体"/>
                <w:sz w:val="20"/>
                <w:szCs w:val="20"/>
              </w:rPr>
            </w:pPr>
            <w:r>
              <w:rPr>
                <w:rFonts w:ascii="宋体" w:hAnsi="宋体" w:eastAsia="宋体" w:cs="宋体"/>
                <w:spacing w:val="8"/>
                <w:sz w:val="20"/>
                <w:szCs w:val="20"/>
              </w:rPr>
              <w:t>运</w:t>
            </w:r>
            <w:r>
              <w:rPr>
                <w:rFonts w:ascii="宋体" w:hAnsi="宋体" w:eastAsia="宋体" w:cs="宋体"/>
                <w:spacing w:val="7"/>
                <w:sz w:val="20"/>
                <w:szCs w:val="20"/>
              </w:rPr>
              <w:t>输车辆</w:t>
            </w:r>
          </w:p>
        </w:tc>
        <w:tc>
          <w:tcPr>
            <w:tcW w:w="1655" w:type="dxa"/>
          </w:tcPr>
          <w:p w14:paraId="71DA856E">
            <w:pPr>
              <w:spacing w:before="122" w:line="195" w:lineRule="auto"/>
              <w:ind w:left="79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2"/>
                <w:sz w:val="20"/>
                <w:szCs w:val="20"/>
              </w:rPr>
              <w:t>5-75</w:t>
            </w:r>
          </w:p>
        </w:tc>
        <w:tc>
          <w:tcPr>
            <w:tcW w:w="1748" w:type="dxa"/>
          </w:tcPr>
          <w:p w14:paraId="673DAE71">
            <w:pPr>
              <w:spacing w:before="49" w:line="281" w:lineRule="exact"/>
              <w:ind w:left="105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3163" w:type="dxa"/>
            <w:tcBorders>
              <w:right w:val="nil"/>
            </w:tcBorders>
          </w:tcPr>
          <w:p w14:paraId="445A0B07">
            <w:pPr>
              <w:spacing w:before="86" w:line="228" w:lineRule="auto"/>
              <w:ind w:left="961"/>
              <w:rPr>
                <w:rFonts w:ascii="宋体" w:hAnsi="宋体" w:eastAsia="宋体" w:cs="宋体"/>
                <w:sz w:val="20"/>
                <w:szCs w:val="20"/>
              </w:rPr>
            </w:pPr>
            <w:r>
              <w:rPr>
                <w:rFonts w:ascii="宋体" w:hAnsi="宋体" w:eastAsia="宋体" w:cs="宋体"/>
                <w:spacing w:val="9"/>
                <w:sz w:val="20"/>
                <w:szCs w:val="20"/>
              </w:rPr>
              <w:t>定</w:t>
            </w:r>
            <w:r>
              <w:rPr>
                <w:rFonts w:ascii="宋体" w:hAnsi="宋体" w:eastAsia="宋体" w:cs="宋体"/>
                <w:spacing w:val="7"/>
                <w:sz w:val="20"/>
                <w:szCs w:val="20"/>
              </w:rPr>
              <w:t>期维护保养</w:t>
            </w:r>
          </w:p>
        </w:tc>
      </w:tr>
    </w:tbl>
    <w:p w14:paraId="5A57042D">
      <w:pPr>
        <w:spacing w:before="38" w:line="465" w:lineRule="exact"/>
        <w:ind w:left="602"/>
        <w:rPr>
          <w:rFonts w:ascii="宋体" w:hAnsi="宋体" w:eastAsia="宋体" w:cs="宋体"/>
          <w:sz w:val="23"/>
          <w:szCs w:val="23"/>
        </w:rPr>
      </w:pPr>
      <w:r>
        <w:rPr>
          <w:rFonts w:ascii="宋体" w:hAnsi="宋体" w:eastAsia="宋体" w:cs="宋体"/>
          <w:spacing w:val="7"/>
          <w:position w:val="17"/>
          <w:sz w:val="23"/>
          <w:szCs w:val="23"/>
        </w:rPr>
        <w:t>项目养殖场内的猪舍为砖混结构，采用彩钢顶棚，除门和排风口以外，为密闭养殖，</w:t>
      </w:r>
      <w:r>
        <w:rPr>
          <w:rFonts w:ascii="宋体" w:hAnsi="宋体" w:eastAsia="宋体" w:cs="宋体"/>
          <w:spacing w:val="4"/>
          <w:position w:val="17"/>
          <w:sz w:val="23"/>
          <w:szCs w:val="23"/>
        </w:rPr>
        <w:t>墙</w:t>
      </w:r>
    </w:p>
    <w:p w14:paraId="574816E6">
      <w:pPr>
        <w:spacing w:before="1" w:line="226" w:lineRule="auto"/>
        <w:ind w:left="118"/>
        <w:rPr>
          <w:rFonts w:ascii="宋体" w:hAnsi="宋体" w:eastAsia="宋体" w:cs="宋体"/>
          <w:sz w:val="23"/>
          <w:szCs w:val="23"/>
        </w:rPr>
      </w:pPr>
      <w:r>
        <w:rPr>
          <w:rFonts w:ascii="宋体" w:hAnsi="宋体" w:eastAsia="宋体" w:cs="宋体"/>
          <w:spacing w:val="3"/>
          <w:sz w:val="23"/>
          <w:szCs w:val="23"/>
        </w:rPr>
        <w:t>体可隔音，并且养殖区周围为大面积的山林且有山丘阻挡，易于降噪，</w:t>
      </w:r>
      <w:r>
        <w:rPr>
          <w:rFonts w:ascii="宋体" w:hAnsi="宋体" w:eastAsia="宋体" w:cs="宋体"/>
          <w:spacing w:val="3"/>
          <w:sz w:val="23"/>
          <w:szCs w:val="23"/>
          <w14:textOutline w14:w="4356" w14:cap="sq" w14:cmpd="sng" w14:algn="ctr">
            <w14:solidFill>
              <w14:srgbClr w14:val="000000"/>
            </w14:solidFill>
            <w14:prstDash w14:val="solid"/>
            <w14:bevel/>
          </w14:textOutline>
        </w:rPr>
        <w:t>项目拟采取的措</w:t>
      </w:r>
      <w:r>
        <w:rPr>
          <w:rFonts w:ascii="宋体" w:hAnsi="宋体" w:eastAsia="宋体" w:cs="宋体"/>
          <w:sz w:val="23"/>
          <w:szCs w:val="23"/>
          <w14:textOutline w14:w="4356" w14:cap="sq" w14:cmpd="sng" w14:algn="ctr">
            <w14:solidFill>
              <w14:srgbClr w14:val="000000"/>
            </w14:solidFill>
            <w14:prstDash w14:val="solid"/>
            <w14:bevel/>
          </w14:textOutline>
        </w:rPr>
        <w:t>施有：</w:t>
      </w:r>
    </w:p>
    <w:p w14:paraId="03A36C9F">
      <w:pPr>
        <w:sectPr>
          <w:headerReference r:id="rId131" w:type="default"/>
          <w:footerReference r:id="rId132" w:type="default"/>
          <w:pgSz w:w="11907" w:h="16840"/>
          <w:pgMar w:top="829" w:right="1069" w:bottom="1139" w:left="1167" w:header="595" w:footer="953" w:gutter="0"/>
          <w:cols w:space="720" w:num="1"/>
        </w:sectPr>
      </w:pPr>
    </w:p>
    <w:p w14:paraId="2F8AB4ED">
      <w:pPr>
        <w:spacing w:before="145" w:line="375" w:lineRule="auto"/>
        <w:ind w:left="118" w:right="107" w:firstLine="479"/>
        <w:rPr>
          <w:rFonts w:ascii="宋体" w:hAnsi="宋体" w:eastAsia="宋体" w:cs="宋体"/>
          <w:sz w:val="23"/>
          <w:szCs w:val="23"/>
        </w:rPr>
      </w:pPr>
      <w:r>
        <w:rPr>
          <w:rFonts w:ascii="宋体" w:hAnsi="宋体" w:eastAsia="宋体" w:cs="宋体"/>
          <w:spacing w:val="9"/>
          <w:sz w:val="23"/>
          <w:szCs w:val="23"/>
        </w:rPr>
        <w:t>①</w:t>
      </w:r>
      <w:r>
        <w:rPr>
          <w:rFonts w:ascii="宋体" w:hAnsi="宋体" w:eastAsia="宋体" w:cs="宋体"/>
          <w:spacing w:val="7"/>
          <w:sz w:val="23"/>
          <w:szCs w:val="23"/>
        </w:rPr>
        <w:t>备用发电机采用低噪声设备、发电机房采取建筑隔声等降噪措施，且发电机使用时间</w:t>
      </w:r>
      <w:r>
        <w:rPr>
          <w:rFonts w:ascii="宋体" w:hAnsi="宋体" w:eastAsia="宋体" w:cs="宋体"/>
          <w:sz w:val="23"/>
          <w:szCs w:val="23"/>
        </w:rPr>
        <w:t xml:space="preserve"> </w:t>
      </w:r>
      <w:r>
        <w:rPr>
          <w:rFonts w:ascii="宋体" w:hAnsi="宋体" w:eastAsia="宋体" w:cs="宋体"/>
          <w:spacing w:val="4"/>
          <w:sz w:val="23"/>
          <w:szCs w:val="23"/>
        </w:rPr>
        <w:t>较</w:t>
      </w:r>
      <w:r>
        <w:rPr>
          <w:rFonts w:ascii="宋体" w:hAnsi="宋体" w:eastAsia="宋体" w:cs="宋体"/>
          <w:spacing w:val="3"/>
          <w:sz w:val="23"/>
          <w:szCs w:val="23"/>
        </w:rPr>
        <w:t>少。</w:t>
      </w:r>
    </w:p>
    <w:p w14:paraId="774BC588">
      <w:pPr>
        <w:spacing w:before="1" w:line="374" w:lineRule="auto"/>
        <w:ind w:left="120" w:right="27" w:firstLine="476"/>
        <w:rPr>
          <w:rFonts w:ascii="宋体" w:hAnsi="宋体" w:eastAsia="宋体" w:cs="宋体"/>
          <w:sz w:val="23"/>
          <w:szCs w:val="23"/>
        </w:rPr>
      </w:pPr>
      <w:r>
        <w:rPr>
          <w:rFonts w:ascii="宋体" w:hAnsi="宋体" w:eastAsia="宋体" w:cs="宋体"/>
          <w:spacing w:val="10"/>
          <w:sz w:val="23"/>
          <w:szCs w:val="23"/>
        </w:rPr>
        <w:t>②</w:t>
      </w:r>
      <w:r>
        <w:rPr>
          <w:rFonts w:ascii="宋体" w:hAnsi="宋体" w:eastAsia="宋体" w:cs="宋体"/>
          <w:spacing w:val="7"/>
          <w:sz w:val="23"/>
          <w:szCs w:val="23"/>
        </w:rPr>
        <w:t>水泵加装减振器，进水管道设可曲挠管道橡胶伸缩接头以减小水锤冲击和水泵震动产</w:t>
      </w:r>
      <w:r>
        <w:rPr>
          <w:rFonts w:ascii="宋体" w:hAnsi="宋体" w:eastAsia="宋体" w:cs="宋体"/>
          <w:sz w:val="23"/>
          <w:szCs w:val="23"/>
        </w:rPr>
        <w:t xml:space="preserve"> </w:t>
      </w:r>
      <w:r>
        <w:rPr>
          <w:rFonts w:ascii="宋体" w:hAnsi="宋体" w:eastAsia="宋体" w:cs="宋体"/>
          <w:spacing w:val="6"/>
          <w:sz w:val="23"/>
          <w:szCs w:val="23"/>
        </w:rPr>
        <w:t>生的噪声</w:t>
      </w:r>
      <w:r>
        <w:rPr>
          <w:rFonts w:ascii="宋体" w:hAnsi="宋体" w:eastAsia="宋体" w:cs="宋体"/>
          <w:spacing w:val="3"/>
          <w:sz w:val="23"/>
          <w:szCs w:val="23"/>
        </w:rPr>
        <w:t>，连接水泵进出口的水管、进出机房隔墙处与运转设备连接的管道均采用减震吊架。</w:t>
      </w:r>
    </w:p>
    <w:p w14:paraId="30E5DFA7">
      <w:pPr>
        <w:spacing w:before="1" w:line="374" w:lineRule="auto"/>
        <w:ind w:left="119" w:right="107" w:firstLine="477"/>
        <w:rPr>
          <w:rFonts w:ascii="宋体" w:hAnsi="宋体" w:eastAsia="宋体" w:cs="宋体"/>
          <w:sz w:val="23"/>
          <w:szCs w:val="23"/>
        </w:rPr>
      </w:pPr>
      <w:r>
        <w:rPr>
          <w:rFonts w:ascii="宋体" w:hAnsi="宋体" w:eastAsia="宋体" w:cs="宋体"/>
          <w:spacing w:val="10"/>
          <w:sz w:val="23"/>
          <w:szCs w:val="23"/>
        </w:rPr>
        <w:t>③</w:t>
      </w:r>
      <w:r>
        <w:rPr>
          <w:rFonts w:ascii="宋体" w:hAnsi="宋体" w:eastAsia="宋体" w:cs="宋体"/>
          <w:spacing w:val="7"/>
          <w:sz w:val="23"/>
          <w:szCs w:val="23"/>
        </w:rPr>
        <w:t>风机采用低噪声设备，进出口设软接头，风机进出口风管处安装消声设备，合理布置</w:t>
      </w:r>
      <w:r>
        <w:rPr>
          <w:rFonts w:ascii="宋体" w:hAnsi="宋体" w:eastAsia="宋体" w:cs="宋体"/>
          <w:sz w:val="23"/>
          <w:szCs w:val="23"/>
        </w:rPr>
        <w:t xml:space="preserve"> </w:t>
      </w:r>
      <w:r>
        <w:rPr>
          <w:rFonts w:ascii="宋体" w:hAnsi="宋体" w:eastAsia="宋体" w:cs="宋体"/>
          <w:spacing w:val="16"/>
          <w:sz w:val="23"/>
          <w:szCs w:val="23"/>
        </w:rPr>
        <w:t>风</w:t>
      </w:r>
      <w:r>
        <w:rPr>
          <w:rFonts w:ascii="宋体" w:hAnsi="宋体" w:eastAsia="宋体" w:cs="宋体"/>
          <w:spacing w:val="9"/>
          <w:sz w:val="23"/>
          <w:szCs w:val="23"/>
        </w:rPr>
        <w:t>机</w:t>
      </w:r>
      <w:r>
        <w:rPr>
          <w:rFonts w:ascii="宋体" w:hAnsi="宋体" w:eastAsia="宋体" w:cs="宋体"/>
          <w:spacing w:val="8"/>
          <w:sz w:val="23"/>
          <w:szCs w:val="23"/>
        </w:rPr>
        <w:t>在外墙的分布，远离敏感点。</w:t>
      </w:r>
    </w:p>
    <w:p w14:paraId="7DC1DD36">
      <w:pPr>
        <w:spacing w:line="225" w:lineRule="auto"/>
        <w:ind w:left="596"/>
        <w:rPr>
          <w:rFonts w:ascii="宋体" w:hAnsi="宋体" w:eastAsia="宋体" w:cs="宋体"/>
          <w:sz w:val="23"/>
          <w:szCs w:val="23"/>
        </w:rPr>
      </w:pPr>
      <w:r>
        <w:rPr>
          <w:rFonts w:ascii="宋体" w:hAnsi="宋体" w:eastAsia="宋体" w:cs="宋体"/>
          <w:spacing w:val="18"/>
          <w:sz w:val="23"/>
          <w:szCs w:val="23"/>
        </w:rPr>
        <w:t>④</w:t>
      </w:r>
      <w:r>
        <w:rPr>
          <w:rFonts w:ascii="宋体" w:hAnsi="宋体" w:eastAsia="宋体" w:cs="宋体"/>
          <w:spacing w:val="15"/>
          <w:sz w:val="23"/>
          <w:szCs w:val="23"/>
        </w:rPr>
        <w:t>场</w:t>
      </w:r>
      <w:r>
        <w:rPr>
          <w:rFonts w:ascii="宋体" w:hAnsi="宋体" w:eastAsia="宋体" w:cs="宋体"/>
          <w:spacing w:val="9"/>
          <w:sz w:val="23"/>
          <w:szCs w:val="23"/>
        </w:rPr>
        <w:t>内对车辆采取限速、禁鸣的要求，可以有效降低车辆运输带来的噪声。</w:t>
      </w:r>
    </w:p>
    <w:p w14:paraId="11504EC4">
      <w:pPr>
        <w:tabs>
          <w:tab w:val="left" w:pos="243"/>
        </w:tabs>
        <w:spacing w:before="188" w:line="374" w:lineRule="auto"/>
        <w:ind w:left="119" w:right="107" w:firstLine="477"/>
        <w:rPr>
          <w:rFonts w:ascii="宋体" w:hAnsi="宋体" w:eastAsia="宋体" w:cs="宋体"/>
          <w:sz w:val="23"/>
          <w:szCs w:val="23"/>
        </w:rPr>
      </w:pPr>
      <w:r>
        <w:rPr>
          <w:rFonts w:ascii="宋体" w:hAnsi="宋体" w:eastAsia="宋体" w:cs="宋体"/>
          <w:spacing w:val="10"/>
          <w:sz w:val="23"/>
          <w:szCs w:val="23"/>
        </w:rPr>
        <w:t>⑤</w:t>
      </w:r>
      <w:r>
        <w:rPr>
          <w:rFonts w:ascii="宋体" w:hAnsi="宋体" w:eastAsia="宋体" w:cs="宋体"/>
          <w:spacing w:val="7"/>
          <w:sz w:val="23"/>
          <w:szCs w:val="23"/>
        </w:rPr>
        <w:t>加强场区内绿化，建立立体隔离绿化带，充分利用建筑物、绿化带阻隔声音传播。经</w:t>
      </w:r>
      <w:r>
        <w:rPr>
          <w:rFonts w:ascii="宋体" w:hAnsi="宋体" w:eastAsia="宋体" w:cs="宋体"/>
          <w:sz w:val="23"/>
          <w:szCs w:val="23"/>
        </w:rPr>
        <w:t xml:space="preserve"> </w:t>
      </w:r>
      <w:r>
        <w:rPr>
          <w:rFonts w:ascii="宋体" w:hAnsi="宋体" w:eastAsia="宋体" w:cs="宋体"/>
          <w:spacing w:val="37"/>
          <w:sz w:val="23"/>
          <w:szCs w:val="23"/>
        </w:rPr>
        <w:t>过</w:t>
      </w:r>
      <w:r>
        <w:rPr>
          <w:rFonts w:ascii="宋体" w:hAnsi="宋体" w:eastAsia="宋体" w:cs="宋体"/>
          <w:spacing w:val="25"/>
          <w:sz w:val="23"/>
          <w:szCs w:val="23"/>
        </w:rPr>
        <w:t>上述治理措施后 ，本项 目厂界噪声均能达到《工业企业厂界环境噪声排放标准》</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6"/>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6"/>
          <w:sz w:val="23"/>
          <w:szCs w:val="23"/>
        </w:rPr>
        <w:t>12348-2008</w:t>
      </w:r>
      <w:r>
        <w:rPr>
          <w:rFonts w:ascii="宋体" w:hAnsi="宋体" w:eastAsia="宋体" w:cs="宋体"/>
          <w:spacing w:val="6"/>
          <w:sz w:val="23"/>
          <w:szCs w:val="23"/>
        </w:rPr>
        <w:t xml:space="preserve">) </w:t>
      </w:r>
      <w:r>
        <w:rPr>
          <w:rFonts w:ascii="Times New Roman" w:hAnsi="Times New Roman" w:eastAsia="Times New Roman" w:cs="Times New Roman"/>
          <w:spacing w:val="6"/>
          <w:sz w:val="23"/>
          <w:szCs w:val="23"/>
        </w:rPr>
        <w:t xml:space="preserve">2 </w:t>
      </w:r>
      <w:r>
        <w:rPr>
          <w:rFonts w:ascii="宋体" w:hAnsi="宋体" w:eastAsia="宋体" w:cs="宋体"/>
          <w:spacing w:val="6"/>
          <w:sz w:val="23"/>
          <w:szCs w:val="23"/>
        </w:rPr>
        <w:t>类标准的要求</w:t>
      </w:r>
      <w:r>
        <w:rPr>
          <w:rFonts w:ascii="宋体" w:hAnsi="宋体" w:eastAsia="宋体" w:cs="宋体"/>
          <w:spacing w:val="3"/>
          <w:sz w:val="23"/>
          <w:szCs w:val="23"/>
        </w:rPr>
        <w:t>。</w:t>
      </w:r>
    </w:p>
    <w:p w14:paraId="50EA6947">
      <w:pPr>
        <w:spacing w:before="1" w:line="227" w:lineRule="auto"/>
        <w:ind w:left="112"/>
        <w:outlineLvl w:val="3"/>
        <w:rPr>
          <w:rFonts w:ascii="宋体" w:hAnsi="宋体" w:eastAsia="宋体" w:cs="宋体"/>
          <w:sz w:val="23"/>
          <w:szCs w:val="23"/>
        </w:rPr>
      </w:pPr>
      <w:r>
        <w:rPr>
          <w:rFonts w:ascii="Times New Roman" w:hAnsi="Times New Roman" w:eastAsia="Times New Roman" w:cs="Times New Roman"/>
          <w:b/>
          <w:bCs/>
          <w:spacing w:val="6"/>
          <w:sz w:val="23"/>
          <w:szCs w:val="23"/>
        </w:rPr>
        <w:t>3.3.7.5</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固体废弃</w:t>
      </w:r>
      <w:r>
        <w:rPr>
          <w:rFonts w:ascii="宋体" w:hAnsi="宋体" w:eastAsia="宋体" w:cs="宋体"/>
          <w:spacing w:val="5"/>
          <w:sz w:val="23"/>
          <w:szCs w:val="23"/>
          <w14:textOutline w14:w="4356" w14:cap="sq" w14:cmpd="sng" w14:algn="ctr">
            <w14:solidFill>
              <w14:srgbClr w14:val="000000"/>
            </w14:solidFill>
            <w14:prstDash w14:val="solid"/>
            <w14:bevel/>
          </w14:textOutline>
        </w:rPr>
        <w:t>物</w:t>
      </w:r>
    </w:p>
    <w:p w14:paraId="4BD5ABD9">
      <w:pPr>
        <w:spacing w:before="184" w:line="375" w:lineRule="auto"/>
        <w:ind w:left="120" w:right="107" w:firstLine="479"/>
        <w:rPr>
          <w:rFonts w:ascii="宋体" w:hAnsi="宋体" w:eastAsia="宋体" w:cs="宋体"/>
          <w:sz w:val="23"/>
          <w:szCs w:val="23"/>
        </w:rPr>
      </w:pPr>
      <w:r>
        <w:rPr>
          <w:rFonts w:ascii="宋体" w:hAnsi="宋体" w:eastAsia="宋体" w:cs="宋体"/>
          <w:spacing w:val="7"/>
          <w:sz w:val="23"/>
          <w:szCs w:val="23"/>
        </w:rPr>
        <w:t>本项目产生的一般固体废物主要包括生猪产生的粪便、病死猪、废垫料及员工办公生活</w:t>
      </w:r>
      <w:r>
        <w:rPr>
          <w:rFonts w:ascii="宋体" w:hAnsi="宋体" w:eastAsia="宋体" w:cs="宋体"/>
          <w:sz w:val="23"/>
          <w:szCs w:val="23"/>
        </w:rPr>
        <w:t xml:space="preserve"> </w:t>
      </w:r>
      <w:r>
        <w:rPr>
          <w:rFonts w:ascii="宋体" w:hAnsi="宋体" w:eastAsia="宋体" w:cs="宋体"/>
          <w:spacing w:val="14"/>
          <w:sz w:val="23"/>
          <w:szCs w:val="23"/>
        </w:rPr>
        <w:t>垃</w:t>
      </w:r>
      <w:r>
        <w:rPr>
          <w:rFonts w:ascii="宋体" w:hAnsi="宋体" w:eastAsia="宋体" w:cs="宋体"/>
          <w:spacing w:val="8"/>
          <w:sz w:val="23"/>
          <w:szCs w:val="23"/>
        </w:rPr>
        <w:t>圾，危险废物为医疗废物等。</w:t>
      </w:r>
    </w:p>
    <w:p w14:paraId="5F2E829D">
      <w:pPr>
        <w:spacing w:line="227" w:lineRule="auto"/>
        <w:ind w:left="609"/>
        <w:rPr>
          <w:rFonts w:ascii="宋体" w:hAnsi="宋体" w:eastAsia="宋体" w:cs="宋体"/>
          <w:sz w:val="23"/>
          <w:szCs w:val="23"/>
        </w:rPr>
      </w:pP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1</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猪只粪便</w:t>
      </w:r>
    </w:p>
    <w:p w14:paraId="1655B8A0">
      <w:pPr>
        <w:spacing w:before="183" w:line="225" w:lineRule="auto"/>
        <w:ind w:left="597"/>
        <w:rPr>
          <w:rFonts w:ascii="宋体" w:hAnsi="宋体" w:eastAsia="宋体" w:cs="宋体"/>
          <w:sz w:val="23"/>
          <w:szCs w:val="23"/>
        </w:rPr>
      </w:pPr>
      <w:r>
        <w:rPr>
          <w:rFonts w:ascii="宋体" w:hAnsi="宋体" w:eastAsia="宋体" w:cs="宋体"/>
          <w:spacing w:val="13"/>
          <w:sz w:val="23"/>
          <w:szCs w:val="23"/>
        </w:rPr>
        <w:t>①</w:t>
      </w:r>
      <w:r>
        <w:rPr>
          <w:rFonts w:ascii="宋体" w:hAnsi="宋体" w:eastAsia="宋体" w:cs="宋体"/>
          <w:spacing w:val="8"/>
          <w:sz w:val="23"/>
          <w:szCs w:val="23"/>
        </w:rPr>
        <w:t>猪粪产生情况</w:t>
      </w:r>
    </w:p>
    <w:p w14:paraId="719881B4">
      <w:pPr>
        <w:spacing w:before="188" w:line="227" w:lineRule="auto"/>
        <w:ind w:left="598"/>
        <w:rPr>
          <w:rFonts w:ascii="宋体" w:hAnsi="宋体" w:eastAsia="宋体" w:cs="宋体"/>
          <w:sz w:val="23"/>
          <w:szCs w:val="23"/>
        </w:rPr>
      </w:pPr>
      <w:r>
        <w:rPr>
          <w:rFonts w:ascii="宋体" w:hAnsi="宋体" w:eastAsia="宋体" w:cs="宋体"/>
          <w:spacing w:val="7"/>
          <w:sz w:val="23"/>
          <w:szCs w:val="23"/>
        </w:rPr>
        <w:t>根据《全国规模化畜禽养殖业污染情况调查及防治对策》 (国家环保总局自然生态保</w:t>
      </w:r>
      <w:r>
        <w:rPr>
          <w:rFonts w:ascii="宋体" w:hAnsi="宋体" w:eastAsia="宋体" w:cs="宋体"/>
          <w:spacing w:val="1"/>
          <w:sz w:val="23"/>
          <w:szCs w:val="23"/>
        </w:rPr>
        <w:t>护</w:t>
      </w:r>
    </w:p>
    <w:p w14:paraId="02B4BD59">
      <w:pPr>
        <w:spacing w:before="184" w:line="230" w:lineRule="auto"/>
        <w:ind w:left="127"/>
        <w:rPr>
          <w:rFonts w:ascii="宋体" w:hAnsi="宋体" w:eastAsia="宋体" w:cs="宋体"/>
          <w:sz w:val="23"/>
          <w:szCs w:val="23"/>
        </w:rPr>
      </w:pPr>
      <w:r>
        <w:rPr>
          <w:rFonts w:ascii="宋体" w:hAnsi="宋体" w:eastAsia="宋体" w:cs="宋体"/>
          <w:spacing w:val="1"/>
          <w:sz w:val="23"/>
          <w:szCs w:val="23"/>
        </w:rPr>
        <w:t xml:space="preserve">司) ，猪粪的产生量计算见表 </w:t>
      </w:r>
      <w:r>
        <w:rPr>
          <w:rFonts w:ascii="Times New Roman" w:hAnsi="Times New Roman" w:eastAsia="Times New Roman" w:cs="Times New Roman"/>
          <w:spacing w:val="1"/>
          <w:sz w:val="23"/>
          <w:szCs w:val="23"/>
        </w:rPr>
        <w:t>3.3- 17</w:t>
      </w:r>
      <w:r>
        <w:rPr>
          <w:rFonts w:ascii="宋体" w:hAnsi="宋体" w:eastAsia="宋体" w:cs="宋体"/>
          <w:spacing w:val="1"/>
          <w:sz w:val="23"/>
          <w:szCs w:val="23"/>
        </w:rPr>
        <w:t>。</w:t>
      </w:r>
    </w:p>
    <w:p w14:paraId="6AD0A29F">
      <w:pPr>
        <w:spacing w:before="180" w:line="221" w:lineRule="auto"/>
        <w:ind w:left="3210"/>
        <w:rPr>
          <w:rFonts w:ascii="黑体" w:hAnsi="黑体" w:eastAsia="黑体" w:cs="黑体"/>
          <w:sz w:val="23"/>
          <w:szCs w:val="23"/>
        </w:rPr>
      </w:pPr>
      <w:r>
        <w:rPr>
          <w:rFonts w:ascii="黑体" w:hAnsi="黑体" w:eastAsia="黑体" w:cs="黑体"/>
          <w:spacing w:val="1"/>
          <w:sz w:val="23"/>
          <w:szCs w:val="23"/>
        </w:rPr>
        <w:t xml:space="preserve">表 </w:t>
      </w:r>
      <w:r>
        <w:rPr>
          <w:rFonts w:ascii="Times New Roman" w:hAnsi="Times New Roman" w:eastAsia="Times New Roman" w:cs="Times New Roman"/>
          <w:spacing w:val="1"/>
          <w:sz w:val="23"/>
          <w:szCs w:val="23"/>
        </w:rPr>
        <w:t>3.3- 17</w:t>
      </w:r>
      <w:r>
        <w:rPr>
          <w:rFonts w:ascii="Times New Roman" w:hAnsi="Times New Roman" w:eastAsia="Times New Roman" w:cs="Times New Roman"/>
          <w:sz w:val="23"/>
          <w:szCs w:val="23"/>
        </w:rPr>
        <w:t xml:space="preserve">    </w:t>
      </w:r>
      <w:r>
        <w:rPr>
          <w:rFonts w:ascii="黑体" w:hAnsi="黑体" w:eastAsia="黑体" w:cs="黑体"/>
          <w:sz w:val="23"/>
          <w:szCs w:val="23"/>
        </w:rPr>
        <w:t>猪粪的产生量计算表</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7"/>
        <w:gridCol w:w="1393"/>
        <w:gridCol w:w="1408"/>
        <w:gridCol w:w="1788"/>
        <w:gridCol w:w="1788"/>
        <w:gridCol w:w="1778"/>
      </w:tblGrid>
      <w:tr w14:paraId="73B90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557" w:type="dxa"/>
            <w:tcBorders>
              <w:left w:val="nil"/>
            </w:tcBorders>
          </w:tcPr>
          <w:p w14:paraId="60FB9CCE">
            <w:pPr>
              <w:spacing w:before="192" w:line="228" w:lineRule="auto"/>
              <w:ind w:left="578"/>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项目</w:t>
            </w:r>
          </w:p>
        </w:tc>
        <w:tc>
          <w:tcPr>
            <w:tcW w:w="1393" w:type="dxa"/>
          </w:tcPr>
          <w:p w14:paraId="2FBB8319">
            <w:pPr>
              <w:spacing w:before="192" w:line="228" w:lineRule="auto"/>
              <w:ind w:left="386"/>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猪</w:t>
            </w:r>
            <w:r>
              <w:rPr>
                <w:rFonts w:ascii="宋体" w:hAnsi="宋体" w:eastAsia="宋体" w:cs="宋体"/>
                <w:spacing w:val="7"/>
                <w:sz w:val="20"/>
                <w:szCs w:val="20"/>
                <w14:textOutline w14:w="3797" w14:cap="sq" w14:cmpd="sng" w14:algn="ctr">
                  <w14:solidFill>
                    <w14:srgbClr w14:val="000000"/>
                  </w14:solidFill>
                  <w14:prstDash w14:val="solid"/>
                  <w14:bevel/>
                </w14:textOutline>
              </w:rPr>
              <w:t>类型</w:t>
            </w:r>
          </w:p>
        </w:tc>
        <w:tc>
          <w:tcPr>
            <w:tcW w:w="1408" w:type="dxa"/>
          </w:tcPr>
          <w:p w14:paraId="47A11E03">
            <w:pPr>
              <w:spacing w:before="192" w:line="228" w:lineRule="auto"/>
              <w:ind w:left="502"/>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数量</w:t>
            </w:r>
          </w:p>
        </w:tc>
        <w:tc>
          <w:tcPr>
            <w:tcW w:w="1788" w:type="dxa"/>
          </w:tcPr>
          <w:p w14:paraId="0B094152">
            <w:pPr>
              <w:spacing w:before="56" w:line="211" w:lineRule="auto"/>
              <w:ind w:left="374"/>
              <w:rPr>
                <w:rFonts w:ascii="宋体" w:hAnsi="宋体" w:eastAsia="宋体" w:cs="宋体"/>
                <w:sz w:val="20"/>
                <w:szCs w:val="20"/>
              </w:rPr>
            </w:pPr>
            <w:r>
              <w:rPr>
                <w:rFonts w:ascii="宋体" w:hAnsi="宋体" w:eastAsia="宋体" w:cs="宋体"/>
                <w:spacing w:val="11"/>
                <w:sz w:val="20"/>
                <w:szCs w:val="20"/>
                <w14:textOutline w14:w="3733" w14:cap="sq" w14:cmpd="sng" w14:algn="ctr">
                  <w14:solidFill>
                    <w14:srgbClr w14:val="000000"/>
                  </w14:solidFill>
                  <w14:prstDash w14:val="solid"/>
                  <w14:bevel/>
                </w14:textOutline>
              </w:rPr>
              <w:t>排</w:t>
            </w:r>
            <w:r>
              <w:rPr>
                <w:rFonts w:ascii="宋体" w:hAnsi="宋体" w:eastAsia="宋体" w:cs="宋体"/>
                <w:spacing w:val="8"/>
                <w:sz w:val="20"/>
                <w:szCs w:val="20"/>
                <w14:textOutline w14:w="3733" w14:cap="sq" w14:cmpd="sng" w14:algn="ctr">
                  <w14:solidFill>
                    <w14:srgbClr w14:val="000000"/>
                  </w14:solidFill>
                  <w14:prstDash w14:val="solid"/>
                  <w14:bevel/>
                </w14:textOutline>
              </w:rPr>
              <w:t>泄量系数</w:t>
            </w:r>
          </w:p>
          <w:p w14:paraId="7D1B8D4C">
            <w:pPr>
              <w:spacing w:line="284" w:lineRule="exact"/>
              <w:ind w:left="362"/>
              <w:rPr>
                <w:rFonts w:ascii="宋体" w:hAnsi="宋体" w:eastAsia="宋体" w:cs="宋体"/>
                <w:sz w:val="20"/>
                <w:szCs w:val="20"/>
              </w:rPr>
            </w:pPr>
            <w:r>
              <w:rPr>
                <w:rFonts w:ascii="宋体" w:hAnsi="宋体" w:eastAsia="宋体" w:cs="宋体"/>
                <w:spacing w:val="26"/>
                <w:position w:val="3"/>
                <w:sz w:val="20"/>
                <w:szCs w:val="20"/>
                <w14:textOutline w14:w="3733" w14:cap="sq" w14:cmpd="sng" w14:algn="ctr">
                  <w14:solidFill>
                    <w14:srgbClr w14:val="000000"/>
                  </w14:solidFill>
                  <w14:prstDash w14:val="solid"/>
                  <w14:bevel/>
                </w14:textOutline>
              </w:rPr>
              <w:t>(</w:t>
            </w:r>
            <w:r>
              <w:rPr>
                <w:rFonts w:ascii="Times New Roman" w:hAnsi="Times New Roman" w:eastAsia="Times New Roman" w:cs="Times New Roman"/>
                <w:b/>
                <w:bCs/>
                <w:position w:val="3"/>
                <w:sz w:val="20"/>
                <w:szCs w:val="20"/>
              </w:rPr>
              <w:t>kg</w:t>
            </w:r>
            <w:r>
              <w:rPr>
                <w:rFonts w:ascii="Times New Roman" w:hAnsi="Times New Roman" w:eastAsia="Times New Roman" w:cs="Times New Roman"/>
                <w:b/>
                <w:bCs/>
                <w:spacing w:val="24"/>
                <w:position w:val="3"/>
                <w:sz w:val="20"/>
                <w:szCs w:val="20"/>
              </w:rPr>
              <w:t>/</w:t>
            </w:r>
            <w:r>
              <w:rPr>
                <w:rFonts w:ascii="Times New Roman" w:hAnsi="Times New Roman" w:eastAsia="Times New Roman" w:cs="Times New Roman"/>
                <w:b/>
                <w:bCs/>
                <w:position w:val="3"/>
                <w:sz w:val="20"/>
                <w:szCs w:val="20"/>
              </w:rPr>
              <w:t>d</w:t>
            </w:r>
            <w:r>
              <w:rPr>
                <w:rFonts w:ascii="Times New Roman" w:hAnsi="Times New Roman" w:eastAsia="Times New Roman" w:cs="Times New Roman"/>
                <w:b/>
                <w:bCs/>
                <w:spacing w:val="24"/>
                <w:position w:val="3"/>
                <w:sz w:val="20"/>
                <w:szCs w:val="20"/>
              </w:rPr>
              <w:t>·</w:t>
            </w:r>
            <w:r>
              <w:rPr>
                <w:rFonts w:ascii="宋体" w:hAnsi="宋体" w:eastAsia="宋体" w:cs="宋体"/>
                <w:spacing w:val="24"/>
                <w:position w:val="3"/>
                <w:sz w:val="20"/>
                <w:szCs w:val="20"/>
                <w14:textOutline w14:w="3733" w14:cap="sq" w14:cmpd="sng" w14:algn="ctr">
                  <w14:solidFill>
                    <w14:srgbClr w14:val="000000"/>
                  </w14:solidFill>
                  <w14:prstDash w14:val="solid"/>
                  <w14:bevel/>
                </w14:textOutline>
              </w:rPr>
              <w:t>头)</w:t>
            </w:r>
          </w:p>
        </w:tc>
        <w:tc>
          <w:tcPr>
            <w:tcW w:w="1788" w:type="dxa"/>
          </w:tcPr>
          <w:p w14:paraId="2508AAC0">
            <w:pPr>
              <w:spacing w:before="151" w:line="289" w:lineRule="exact"/>
              <w:ind w:left="365"/>
              <w:rPr>
                <w:rFonts w:ascii="宋体" w:hAnsi="宋体" w:eastAsia="宋体" w:cs="宋体"/>
                <w:sz w:val="20"/>
                <w:szCs w:val="20"/>
              </w:rPr>
            </w:pPr>
            <w:r>
              <w:rPr>
                <w:rFonts w:ascii="宋体" w:hAnsi="宋体" w:eastAsia="宋体" w:cs="宋体"/>
                <w:spacing w:val="7"/>
                <w:position w:val="2"/>
                <w:sz w:val="20"/>
                <w:szCs w:val="20"/>
                <w14:textOutline w14:w="3797" w14:cap="sq" w14:cmpd="sng" w14:algn="ctr">
                  <w14:solidFill>
                    <w14:srgbClr w14:val="000000"/>
                  </w14:solidFill>
                  <w14:prstDash w14:val="solid"/>
                  <w14:bevel/>
                </w14:textOutline>
              </w:rPr>
              <w:t>小</w:t>
            </w:r>
            <w:r>
              <w:rPr>
                <w:rFonts w:ascii="宋体" w:hAnsi="宋体" w:eastAsia="宋体" w:cs="宋体"/>
                <w:spacing w:val="4"/>
                <w:position w:val="2"/>
                <w:sz w:val="20"/>
                <w:szCs w:val="20"/>
                <w14:textOutline w14:w="3797" w14:cap="sq" w14:cmpd="sng" w14:algn="ctr">
                  <w14:solidFill>
                    <w14:srgbClr w14:val="000000"/>
                  </w14:solidFill>
                  <w14:prstDash w14:val="solid"/>
                  <w14:bevel/>
                </w14:textOutline>
              </w:rPr>
              <w:t>计</w:t>
            </w:r>
            <w:r>
              <w:rPr>
                <w:rFonts w:ascii="宋体" w:hAnsi="宋体" w:eastAsia="宋体" w:cs="宋体"/>
                <w:spacing w:val="4"/>
                <w:position w:val="2"/>
                <w:sz w:val="20"/>
                <w:szCs w:val="20"/>
              </w:rPr>
              <w:t xml:space="preserve"> </w:t>
            </w:r>
            <w:r>
              <w:rPr>
                <w:rFonts w:ascii="宋体" w:hAnsi="宋体" w:eastAsia="宋体" w:cs="宋体"/>
                <w:spacing w:val="4"/>
                <w:position w:val="2"/>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position w:val="2"/>
                <w:sz w:val="20"/>
                <w:szCs w:val="20"/>
              </w:rPr>
              <w:t>t</w:t>
            </w:r>
            <w:r>
              <w:rPr>
                <w:rFonts w:ascii="Times New Roman" w:hAnsi="Times New Roman" w:eastAsia="Times New Roman" w:cs="Times New Roman"/>
                <w:b/>
                <w:bCs/>
                <w:spacing w:val="4"/>
                <w:position w:val="2"/>
                <w:sz w:val="20"/>
                <w:szCs w:val="20"/>
              </w:rPr>
              <w:t>/</w:t>
            </w:r>
            <w:r>
              <w:rPr>
                <w:rFonts w:ascii="Times New Roman" w:hAnsi="Times New Roman" w:eastAsia="Times New Roman" w:cs="Times New Roman"/>
                <w:b/>
                <w:bCs/>
                <w:position w:val="2"/>
                <w:sz w:val="20"/>
                <w:szCs w:val="20"/>
              </w:rPr>
              <w:t>d</w:t>
            </w:r>
            <w:r>
              <w:rPr>
                <w:rFonts w:ascii="宋体" w:hAnsi="宋体" w:eastAsia="宋体" w:cs="宋体"/>
                <w:spacing w:val="4"/>
                <w:position w:val="2"/>
                <w:sz w:val="20"/>
                <w:szCs w:val="20"/>
                <w14:textOutline w14:w="3797" w14:cap="sq" w14:cmpd="sng" w14:algn="ctr">
                  <w14:solidFill>
                    <w14:srgbClr w14:val="000000"/>
                  </w14:solidFill>
                  <w14:prstDash w14:val="solid"/>
                  <w14:bevel/>
                </w14:textOutline>
              </w:rPr>
              <w:t>)</w:t>
            </w:r>
          </w:p>
        </w:tc>
        <w:tc>
          <w:tcPr>
            <w:tcW w:w="1778" w:type="dxa"/>
            <w:tcBorders>
              <w:right w:val="nil"/>
            </w:tcBorders>
          </w:tcPr>
          <w:p w14:paraId="588B5141">
            <w:pPr>
              <w:spacing w:before="151" w:line="289" w:lineRule="exact"/>
              <w:ind w:left="149"/>
              <w:rPr>
                <w:rFonts w:ascii="宋体" w:hAnsi="宋体" w:eastAsia="宋体" w:cs="宋体"/>
                <w:sz w:val="20"/>
                <w:szCs w:val="20"/>
              </w:rPr>
            </w:pPr>
            <w:r>
              <w:rPr>
                <w:rFonts w:ascii="宋体" w:hAnsi="宋体" w:eastAsia="宋体" w:cs="宋体"/>
                <w:spacing w:val="5"/>
                <w:position w:val="1"/>
                <w:sz w:val="20"/>
                <w:szCs w:val="20"/>
                <w14:textOutline w14:w="3797" w14:cap="sq" w14:cmpd="sng" w14:algn="ctr">
                  <w14:solidFill>
                    <w14:srgbClr w14:val="000000"/>
                  </w14:solidFill>
                  <w14:prstDash w14:val="solid"/>
                  <w14:bevel/>
                </w14:textOutline>
              </w:rPr>
              <w:t>年</w:t>
            </w:r>
            <w:r>
              <w:rPr>
                <w:rFonts w:ascii="宋体" w:hAnsi="宋体" w:eastAsia="宋体" w:cs="宋体"/>
                <w:spacing w:val="4"/>
                <w:position w:val="1"/>
                <w:sz w:val="20"/>
                <w:szCs w:val="20"/>
                <w14:textOutline w14:w="3797" w14:cap="sq" w14:cmpd="sng" w14:algn="ctr">
                  <w14:solidFill>
                    <w14:srgbClr w14:val="000000"/>
                  </w14:solidFill>
                  <w14:prstDash w14:val="solid"/>
                  <w14:bevel/>
                </w14:textOutline>
              </w:rPr>
              <w:t>产生量</w:t>
            </w:r>
            <w:r>
              <w:rPr>
                <w:rFonts w:ascii="宋体" w:hAnsi="宋体" w:eastAsia="宋体" w:cs="宋体"/>
                <w:spacing w:val="4"/>
                <w:position w:val="1"/>
                <w:sz w:val="20"/>
                <w:szCs w:val="20"/>
              </w:rPr>
              <w:t xml:space="preserve"> </w:t>
            </w:r>
            <w:r>
              <w:rPr>
                <w:rFonts w:ascii="宋体" w:hAnsi="宋体" w:eastAsia="宋体" w:cs="宋体"/>
                <w:spacing w:val="4"/>
                <w:position w:val="1"/>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position w:val="1"/>
                <w:sz w:val="20"/>
                <w:szCs w:val="20"/>
              </w:rPr>
              <w:t>t</w:t>
            </w:r>
            <w:r>
              <w:rPr>
                <w:rFonts w:ascii="Times New Roman" w:hAnsi="Times New Roman" w:eastAsia="Times New Roman" w:cs="Times New Roman"/>
                <w:b/>
                <w:bCs/>
                <w:spacing w:val="4"/>
                <w:position w:val="1"/>
                <w:sz w:val="20"/>
                <w:szCs w:val="20"/>
              </w:rPr>
              <w:t>/</w:t>
            </w:r>
            <w:r>
              <w:rPr>
                <w:rFonts w:ascii="Times New Roman" w:hAnsi="Times New Roman" w:eastAsia="Times New Roman" w:cs="Times New Roman"/>
                <w:b/>
                <w:bCs/>
                <w:position w:val="1"/>
                <w:sz w:val="20"/>
                <w:szCs w:val="20"/>
              </w:rPr>
              <w:t>a</w:t>
            </w:r>
            <w:r>
              <w:rPr>
                <w:rFonts w:ascii="Times New Roman" w:hAnsi="Times New Roman" w:eastAsia="Times New Roman" w:cs="Times New Roman"/>
                <w:spacing w:val="4"/>
                <w:position w:val="1"/>
                <w:sz w:val="20"/>
                <w:szCs w:val="20"/>
              </w:rPr>
              <w:t xml:space="preserve"> </w:t>
            </w:r>
            <w:r>
              <w:rPr>
                <w:rFonts w:ascii="宋体" w:hAnsi="宋体" w:eastAsia="宋体" w:cs="宋体"/>
                <w:spacing w:val="4"/>
                <w:position w:val="1"/>
                <w:sz w:val="20"/>
                <w:szCs w:val="20"/>
                <w14:textOutline w14:w="3797" w14:cap="sq" w14:cmpd="sng" w14:algn="ctr">
                  <w14:solidFill>
                    <w14:srgbClr w14:val="000000"/>
                  </w14:solidFill>
                  <w14:prstDash w14:val="solid"/>
                  <w14:bevel/>
                </w14:textOutline>
              </w:rPr>
              <w:t>)</w:t>
            </w:r>
          </w:p>
        </w:tc>
      </w:tr>
      <w:tr w14:paraId="661A89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1557" w:type="dxa"/>
            <w:tcBorders>
              <w:left w:val="nil"/>
            </w:tcBorders>
          </w:tcPr>
          <w:p w14:paraId="1D037B45">
            <w:pPr>
              <w:spacing w:before="35" w:line="228" w:lineRule="auto"/>
              <w:ind w:left="260"/>
              <w:rPr>
                <w:rFonts w:ascii="宋体" w:hAnsi="宋体" w:eastAsia="宋体" w:cs="宋体"/>
                <w:sz w:val="20"/>
                <w:szCs w:val="20"/>
              </w:rPr>
            </w:pPr>
            <w:r>
              <w:rPr>
                <w:rFonts w:ascii="宋体" w:hAnsi="宋体" w:eastAsia="宋体" w:cs="宋体"/>
                <w:spacing w:val="8"/>
                <w:sz w:val="20"/>
                <w:szCs w:val="20"/>
              </w:rPr>
              <w:t>猪粪产生量</w:t>
            </w:r>
          </w:p>
        </w:tc>
        <w:tc>
          <w:tcPr>
            <w:tcW w:w="1393" w:type="dxa"/>
          </w:tcPr>
          <w:p w14:paraId="299CCF6C">
            <w:pPr>
              <w:spacing w:before="35" w:line="227" w:lineRule="auto"/>
              <w:ind w:left="394"/>
              <w:rPr>
                <w:rFonts w:ascii="宋体" w:hAnsi="宋体" w:eastAsia="宋体" w:cs="宋体"/>
                <w:sz w:val="20"/>
                <w:szCs w:val="20"/>
              </w:rPr>
            </w:pPr>
            <w:r>
              <w:rPr>
                <w:rFonts w:ascii="宋体" w:hAnsi="宋体" w:eastAsia="宋体" w:cs="宋体"/>
                <w:spacing w:val="4"/>
                <w:sz w:val="20"/>
                <w:szCs w:val="20"/>
              </w:rPr>
              <w:t>育肥猪</w:t>
            </w:r>
          </w:p>
        </w:tc>
        <w:tc>
          <w:tcPr>
            <w:tcW w:w="1408" w:type="dxa"/>
          </w:tcPr>
          <w:p w14:paraId="7FCE3567">
            <w:pPr>
              <w:spacing w:before="35" w:line="228" w:lineRule="auto"/>
              <w:ind w:left="331"/>
              <w:rPr>
                <w:rFonts w:ascii="宋体" w:hAnsi="宋体" w:eastAsia="宋体" w:cs="宋体"/>
                <w:sz w:val="20"/>
                <w:szCs w:val="20"/>
              </w:rPr>
            </w:pPr>
            <w:r>
              <w:rPr>
                <w:rFonts w:ascii="Times New Roman" w:hAnsi="Times New Roman" w:eastAsia="Times New Roman" w:cs="Times New Roman"/>
                <w:spacing w:val="2"/>
                <w:sz w:val="20"/>
                <w:szCs w:val="20"/>
              </w:rPr>
              <w:t xml:space="preserve">10400 </w:t>
            </w:r>
            <w:r>
              <w:rPr>
                <w:rFonts w:ascii="宋体" w:hAnsi="宋体" w:eastAsia="宋体" w:cs="宋体"/>
                <w:spacing w:val="1"/>
                <w:sz w:val="20"/>
                <w:szCs w:val="20"/>
              </w:rPr>
              <w:t>头</w:t>
            </w:r>
          </w:p>
        </w:tc>
        <w:tc>
          <w:tcPr>
            <w:tcW w:w="1788" w:type="dxa"/>
          </w:tcPr>
          <w:p w14:paraId="24E3A216">
            <w:pPr>
              <w:spacing w:before="71" w:line="198" w:lineRule="auto"/>
              <w:ind w:left="73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1"/>
                <w:sz w:val="20"/>
                <w:szCs w:val="20"/>
              </w:rPr>
              <w:t>66</w:t>
            </w:r>
          </w:p>
        </w:tc>
        <w:tc>
          <w:tcPr>
            <w:tcW w:w="1788" w:type="dxa"/>
          </w:tcPr>
          <w:p w14:paraId="4BCDEE99">
            <w:pPr>
              <w:spacing w:before="71" w:line="195" w:lineRule="auto"/>
              <w:ind w:left="62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17</w:t>
            </w:r>
            <w:r>
              <w:rPr>
                <w:rFonts w:ascii="Times New Roman" w:hAnsi="Times New Roman" w:eastAsia="Times New Roman" w:cs="Times New Roman"/>
                <w:sz w:val="20"/>
                <w:szCs w:val="20"/>
              </w:rPr>
              <w:t>.264</w:t>
            </w:r>
          </w:p>
        </w:tc>
        <w:tc>
          <w:tcPr>
            <w:tcW w:w="1778" w:type="dxa"/>
            <w:tcBorders>
              <w:right w:val="nil"/>
            </w:tcBorders>
          </w:tcPr>
          <w:p w14:paraId="36473DCC">
            <w:pPr>
              <w:spacing w:before="72" w:line="195" w:lineRule="auto"/>
              <w:ind w:left="55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6</w:t>
            </w:r>
            <w:r>
              <w:rPr>
                <w:rFonts w:ascii="Times New Roman" w:hAnsi="Times New Roman" w:eastAsia="Times New Roman" w:cs="Times New Roman"/>
                <w:spacing w:val="3"/>
                <w:sz w:val="20"/>
                <w:szCs w:val="20"/>
              </w:rPr>
              <w:t>301.36</w:t>
            </w:r>
          </w:p>
        </w:tc>
      </w:tr>
    </w:tbl>
    <w:p w14:paraId="23109420">
      <w:pPr>
        <w:spacing w:line="319" w:lineRule="exact"/>
        <w:ind w:left="602"/>
        <w:rPr>
          <w:rFonts w:ascii="宋体" w:hAnsi="宋体" w:eastAsia="宋体" w:cs="宋体"/>
          <w:sz w:val="23"/>
          <w:szCs w:val="23"/>
        </w:rPr>
      </w:pPr>
      <w:r>
        <w:rPr>
          <w:rFonts w:ascii="宋体" w:hAnsi="宋体" w:eastAsia="宋体" w:cs="宋体"/>
          <w:spacing w:val="1"/>
          <w:position w:val="1"/>
          <w:sz w:val="23"/>
          <w:szCs w:val="23"/>
        </w:rPr>
        <w:t xml:space="preserve">项目猪粪产生量为 </w:t>
      </w:r>
      <w:r>
        <w:rPr>
          <w:rFonts w:ascii="Times New Roman" w:hAnsi="Times New Roman" w:eastAsia="Times New Roman" w:cs="Times New Roman"/>
          <w:spacing w:val="1"/>
          <w:position w:val="1"/>
          <w:sz w:val="23"/>
          <w:szCs w:val="23"/>
        </w:rPr>
        <w:t>17</w:t>
      </w:r>
      <w:r>
        <w:rPr>
          <w:rFonts w:ascii="Times New Roman" w:hAnsi="Times New Roman" w:eastAsia="Times New Roman" w:cs="Times New Roman"/>
          <w:position w:val="1"/>
          <w:sz w:val="23"/>
          <w:szCs w:val="23"/>
        </w:rPr>
        <w:t xml:space="preserve">.264t/d </w:t>
      </w:r>
      <w:r>
        <w:rPr>
          <w:rFonts w:ascii="宋体" w:hAnsi="宋体" w:eastAsia="宋体" w:cs="宋体"/>
          <w:position w:val="1"/>
          <w:sz w:val="23"/>
          <w:szCs w:val="23"/>
        </w:rPr>
        <w:t>，</w:t>
      </w:r>
      <w:r>
        <w:rPr>
          <w:rFonts w:ascii="Times New Roman" w:hAnsi="Times New Roman" w:eastAsia="Times New Roman" w:cs="Times New Roman"/>
          <w:position w:val="1"/>
          <w:sz w:val="23"/>
          <w:szCs w:val="23"/>
        </w:rPr>
        <w:t xml:space="preserve">6301.36t/a </w:t>
      </w:r>
      <w:r>
        <w:rPr>
          <w:rFonts w:ascii="宋体" w:hAnsi="宋体" w:eastAsia="宋体" w:cs="宋体"/>
          <w:position w:val="1"/>
          <w:sz w:val="23"/>
          <w:szCs w:val="23"/>
        </w:rPr>
        <w:t xml:space="preserve">。猪粪的组成详见表 </w:t>
      </w:r>
      <w:r>
        <w:rPr>
          <w:rFonts w:ascii="Times New Roman" w:hAnsi="Times New Roman" w:eastAsia="Times New Roman" w:cs="Times New Roman"/>
          <w:position w:val="1"/>
          <w:sz w:val="23"/>
          <w:szCs w:val="23"/>
        </w:rPr>
        <w:t xml:space="preserve">3.3- 18 </w:t>
      </w:r>
      <w:r>
        <w:rPr>
          <w:rFonts w:ascii="宋体" w:hAnsi="宋体" w:eastAsia="宋体" w:cs="宋体"/>
          <w:position w:val="1"/>
          <w:sz w:val="23"/>
          <w:szCs w:val="23"/>
        </w:rPr>
        <w:t>所示。</w:t>
      </w:r>
    </w:p>
    <w:p w14:paraId="4E0F5FB9">
      <w:pPr>
        <w:spacing w:before="188" w:line="221" w:lineRule="auto"/>
        <w:ind w:left="3690"/>
        <w:rPr>
          <w:rFonts w:ascii="黑体" w:hAnsi="黑体" w:eastAsia="黑体" w:cs="黑体"/>
          <w:sz w:val="23"/>
          <w:szCs w:val="23"/>
        </w:rPr>
      </w:pPr>
      <w:r>
        <w:rPr>
          <w:rFonts w:ascii="黑体" w:hAnsi="黑体" w:eastAsia="黑体" w:cs="黑体"/>
          <w:spacing w:val="-2"/>
          <w:sz w:val="23"/>
          <w:szCs w:val="23"/>
        </w:rPr>
        <w:t xml:space="preserve">表 </w:t>
      </w:r>
      <w:r>
        <w:rPr>
          <w:rFonts w:ascii="Times New Roman" w:hAnsi="Times New Roman" w:eastAsia="Times New Roman" w:cs="Times New Roman"/>
          <w:spacing w:val="-2"/>
          <w:sz w:val="23"/>
          <w:szCs w:val="23"/>
        </w:rPr>
        <w:t xml:space="preserve">3.3- 18    </w:t>
      </w:r>
      <w:r>
        <w:rPr>
          <w:rFonts w:ascii="黑体" w:hAnsi="黑体" w:eastAsia="黑体" w:cs="黑体"/>
          <w:spacing w:val="-1"/>
          <w:sz w:val="23"/>
          <w:szCs w:val="23"/>
        </w:rPr>
        <w:t>猪粪的组成</w:t>
      </w:r>
    </w:p>
    <w:tbl>
      <w:tblPr>
        <w:tblStyle w:val="4"/>
        <w:tblW w:w="971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80"/>
        <w:gridCol w:w="2169"/>
        <w:gridCol w:w="1420"/>
        <w:gridCol w:w="1420"/>
        <w:gridCol w:w="2724"/>
      </w:tblGrid>
      <w:tr w14:paraId="6F4E70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1980" w:type="dxa"/>
            <w:tcBorders>
              <w:left w:val="nil"/>
            </w:tcBorders>
          </w:tcPr>
          <w:p w14:paraId="3ED81CB7">
            <w:pPr>
              <w:spacing w:before="63" w:line="228" w:lineRule="auto"/>
              <w:ind w:left="577"/>
              <w:rPr>
                <w:rFonts w:ascii="宋体" w:hAnsi="宋体" w:eastAsia="宋体" w:cs="宋体"/>
                <w:sz w:val="20"/>
                <w:szCs w:val="20"/>
              </w:rPr>
            </w:pPr>
            <w:r>
              <w:rPr>
                <w:rFonts w:ascii="宋体" w:hAnsi="宋体" w:eastAsia="宋体" w:cs="宋体"/>
                <w:spacing w:val="8"/>
                <w:sz w:val="20"/>
                <w:szCs w:val="20"/>
              </w:rPr>
              <w:t>猪</w:t>
            </w:r>
            <w:r>
              <w:rPr>
                <w:rFonts w:ascii="宋体" w:hAnsi="宋体" w:eastAsia="宋体" w:cs="宋体"/>
                <w:spacing w:val="7"/>
                <w:sz w:val="20"/>
                <w:szCs w:val="20"/>
              </w:rPr>
              <w:t>粪组成</w:t>
            </w:r>
          </w:p>
        </w:tc>
        <w:tc>
          <w:tcPr>
            <w:tcW w:w="2169" w:type="dxa"/>
          </w:tcPr>
          <w:p w14:paraId="03D27086">
            <w:pPr>
              <w:spacing w:before="63" w:line="228" w:lineRule="auto"/>
              <w:ind w:left="564"/>
              <w:rPr>
                <w:rFonts w:ascii="宋体" w:hAnsi="宋体" w:eastAsia="宋体" w:cs="宋体"/>
                <w:sz w:val="20"/>
                <w:szCs w:val="20"/>
              </w:rPr>
            </w:pPr>
            <w:r>
              <w:rPr>
                <w:rFonts w:ascii="宋体" w:hAnsi="宋体" w:eastAsia="宋体" w:cs="宋体"/>
                <w:spacing w:val="9"/>
                <w:sz w:val="20"/>
                <w:szCs w:val="20"/>
              </w:rPr>
              <w:t>挥</w:t>
            </w:r>
            <w:r>
              <w:rPr>
                <w:rFonts w:ascii="宋体" w:hAnsi="宋体" w:eastAsia="宋体" w:cs="宋体"/>
                <w:spacing w:val="8"/>
                <w:sz w:val="20"/>
                <w:szCs w:val="20"/>
              </w:rPr>
              <w:t>发性固体</w:t>
            </w:r>
          </w:p>
        </w:tc>
        <w:tc>
          <w:tcPr>
            <w:tcW w:w="1420" w:type="dxa"/>
          </w:tcPr>
          <w:p w14:paraId="3B338891">
            <w:pPr>
              <w:spacing w:before="63" w:line="228" w:lineRule="auto"/>
              <w:ind w:left="400"/>
              <w:rPr>
                <w:rFonts w:ascii="宋体" w:hAnsi="宋体" w:eastAsia="宋体" w:cs="宋体"/>
                <w:sz w:val="20"/>
                <w:szCs w:val="20"/>
              </w:rPr>
            </w:pPr>
            <w:r>
              <w:rPr>
                <w:rFonts w:ascii="宋体" w:hAnsi="宋体" w:eastAsia="宋体" w:cs="宋体"/>
                <w:spacing w:val="7"/>
                <w:sz w:val="20"/>
                <w:szCs w:val="20"/>
              </w:rPr>
              <w:t>粗脂</w:t>
            </w:r>
            <w:r>
              <w:rPr>
                <w:rFonts w:ascii="宋体" w:hAnsi="宋体" w:eastAsia="宋体" w:cs="宋体"/>
                <w:spacing w:val="6"/>
                <w:sz w:val="20"/>
                <w:szCs w:val="20"/>
              </w:rPr>
              <w:t>肪</w:t>
            </w:r>
          </w:p>
        </w:tc>
        <w:tc>
          <w:tcPr>
            <w:tcW w:w="1420" w:type="dxa"/>
          </w:tcPr>
          <w:p w14:paraId="430AEBE2">
            <w:pPr>
              <w:spacing w:before="63" w:line="228" w:lineRule="auto"/>
              <w:ind w:left="402"/>
              <w:rPr>
                <w:rFonts w:ascii="宋体" w:hAnsi="宋体" w:eastAsia="宋体" w:cs="宋体"/>
                <w:sz w:val="20"/>
                <w:szCs w:val="20"/>
              </w:rPr>
            </w:pPr>
            <w:r>
              <w:rPr>
                <w:rFonts w:ascii="宋体" w:hAnsi="宋体" w:eastAsia="宋体" w:cs="宋体"/>
                <w:spacing w:val="7"/>
                <w:sz w:val="20"/>
                <w:szCs w:val="20"/>
              </w:rPr>
              <w:t>木</w:t>
            </w:r>
            <w:r>
              <w:rPr>
                <w:rFonts w:ascii="宋体" w:hAnsi="宋体" w:eastAsia="宋体" w:cs="宋体"/>
                <w:spacing w:val="6"/>
                <w:sz w:val="20"/>
                <w:szCs w:val="20"/>
              </w:rPr>
              <w:t>质素</w:t>
            </w:r>
          </w:p>
        </w:tc>
        <w:tc>
          <w:tcPr>
            <w:tcW w:w="2724" w:type="dxa"/>
            <w:tcBorders>
              <w:right w:val="nil"/>
            </w:tcBorders>
          </w:tcPr>
          <w:p w14:paraId="15080257">
            <w:pPr>
              <w:spacing w:before="63" w:line="228" w:lineRule="auto"/>
              <w:ind w:left="1057"/>
              <w:rPr>
                <w:rFonts w:ascii="宋体" w:hAnsi="宋体" w:eastAsia="宋体" w:cs="宋体"/>
                <w:sz w:val="20"/>
                <w:szCs w:val="20"/>
              </w:rPr>
            </w:pPr>
            <w:r>
              <w:rPr>
                <w:rFonts w:ascii="宋体" w:hAnsi="宋体" w:eastAsia="宋体" w:cs="宋体"/>
                <w:spacing w:val="5"/>
                <w:sz w:val="20"/>
                <w:szCs w:val="20"/>
              </w:rPr>
              <w:t>纤维素</w:t>
            </w:r>
          </w:p>
        </w:tc>
      </w:tr>
      <w:tr w14:paraId="0F995B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80" w:type="dxa"/>
            <w:tcBorders>
              <w:left w:val="nil"/>
            </w:tcBorders>
          </w:tcPr>
          <w:p w14:paraId="2F49BD2A">
            <w:pPr>
              <w:spacing w:before="1" w:line="281" w:lineRule="exact"/>
              <w:ind w:left="491"/>
              <w:rPr>
                <w:rFonts w:ascii="宋体" w:hAnsi="宋体" w:eastAsia="宋体" w:cs="宋体"/>
                <w:sz w:val="20"/>
                <w:szCs w:val="20"/>
              </w:rPr>
            </w:pPr>
            <w:r>
              <w:rPr>
                <w:rFonts w:ascii="宋体" w:hAnsi="宋体" w:eastAsia="宋体" w:cs="宋体"/>
                <w:spacing w:val="8"/>
                <w:position w:val="1"/>
                <w:sz w:val="20"/>
                <w:szCs w:val="20"/>
              </w:rPr>
              <w:t>含</w:t>
            </w:r>
            <w:r>
              <w:rPr>
                <w:rFonts w:ascii="宋体" w:hAnsi="宋体" w:eastAsia="宋体" w:cs="宋体"/>
                <w:spacing w:val="4"/>
                <w:position w:val="1"/>
                <w:sz w:val="20"/>
                <w:szCs w:val="20"/>
              </w:rPr>
              <w:t>量 (</w:t>
            </w:r>
            <w:r>
              <w:rPr>
                <w:rFonts w:ascii="Times New Roman" w:hAnsi="Times New Roman" w:eastAsia="Times New Roman" w:cs="Times New Roman"/>
                <w:spacing w:val="4"/>
                <w:position w:val="1"/>
                <w:sz w:val="20"/>
                <w:szCs w:val="20"/>
              </w:rPr>
              <w:t>%</w:t>
            </w:r>
            <w:r>
              <w:rPr>
                <w:rFonts w:ascii="宋体" w:hAnsi="宋体" w:eastAsia="宋体" w:cs="宋体"/>
                <w:spacing w:val="4"/>
                <w:position w:val="1"/>
                <w:sz w:val="20"/>
                <w:szCs w:val="20"/>
              </w:rPr>
              <w:t>)</w:t>
            </w:r>
          </w:p>
        </w:tc>
        <w:tc>
          <w:tcPr>
            <w:tcW w:w="2169" w:type="dxa"/>
          </w:tcPr>
          <w:p w14:paraId="3AEACEB2">
            <w:pPr>
              <w:spacing w:before="75" w:line="195" w:lineRule="auto"/>
              <w:ind w:left="85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7</w:t>
            </w:r>
            <w:r>
              <w:rPr>
                <w:rFonts w:ascii="Times New Roman" w:hAnsi="Times New Roman" w:eastAsia="Times New Roman" w:cs="Times New Roman"/>
                <w:spacing w:val="3"/>
                <w:sz w:val="20"/>
                <w:szCs w:val="20"/>
              </w:rPr>
              <w:t>6.54</w:t>
            </w:r>
          </w:p>
        </w:tc>
        <w:tc>
          <w:tcPr>
            <w:tcW w:w="1420" w:type="dxa"/>
          </w:tcPr>
          <w:p w14:paraId="5D0865B8">
            <w:pPr>
              <w:spacing w:before="75" w:line="198" w:lineRule="auto"/>
              <w:ind w:left="60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2"/>
                <w:sz w:val="20"/>
                <w:szCs w:val="20"/>
              </w:rPr>
              <w:t>.5</w:t>
            </w:r>
          </w:p>
        </w:tc>
        <w:tc>
          <w:tcPr>
            <w:tcW w:w="1420" w:type="dxa"/>
          </w:tcPr>
          <w:p w14:paraId="263322A1">
            <w:pPr>
              <w:spacing w:before="75" w:line="198" w:lineRule="auto"/>
              <w:ind w:left="47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1.49</w:t>
            </w:r>
          </w:p>
        </w:tc>
        <w:tc>
          <w:tcPr>
            <w:tcW w:w="2724" w:type="dxa"/>
            <w:tcBorders>
              <w:right w:val="nil"/>
            </w:tcBorders>
          </w:tcPr>
          <w:p w14:paraId="12C44BB7">
            <w:pPr>
              <w:spacing w:before="75" w:line="195" w:lineRule="auto"/>
              <w:ind w:left="113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59.9</w:t>
            </w:r>
            <w:r>
              <w:rPr>
                <w:rFonts w:ascii="Times New Roman" w:hAnsi="Times New Roman" w:eastAsia="Times New Roman" w:cs="Times New Roman"/>
                <w:spacing w:val="2"/>
                <w:sz w:val="20"/>
                <w:szCs w:val="20"/>
              </w:rPr>
              <w:t>5</w:t>
            </w:r>
          </w:p>
        </w:tc>
      </w:tr>
      <w:tr w14:paraId="600656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980" w:type="dxa"/>
            <w:tcBorders>
              <w:left w:val="nil"/>
            </w:tcBorders>
          </w:tcPr>
          <w:p w14:paraId="09473568">
            <w:pPr>
              <w:spacing w:before="40" w:line="228" w:lineRule="auto"/>
              <w:ind w:left="577"/>
              <w:rPr>
                <w:rFonts w:ascii="宋体" w:hAnsi="宋体" w:eastAsia="宋体" w:cs="宋体"/>
                <w:sz w:val="20"/>
                <w:szCs w:val="20"/>
              </w:rPr>
            </w:pPr>
            <w:r>
              <w:rPr>
                <w:rFonts w:ascii="宋体" w:hAnsi="宋体" w:eastAsia="宋体" w:cs="宋体"/>
                <w:spacing w:val="8"/>
                <w:sz w:val="20"/>
                <w:szCs w:val="20"/>
              </w:rPr>
              <w:t>猪</w:t>
            </w:r>
            <w:r>
              <w:rPr>
                <w:rFonts w:ascii="宋体" w:hAnsi="宋体" w:eastAsia="宋体" w:cs="宋体"/>
                <w:spacing w:val="7"/>
                <w:sz w:val="20"/>
                <w:szCs w:val="20"/>
              </w:rPr>
              <w:t>粪组成</w:t>
            </w:r>
          </w:p>
        </w:tc>
        <w:tc>
          <w:tcPr>
            <w:tcW w:w="2169" w:type="dxa"/>
          </w:tcPr>
          <w:p w14:paraId="0BD879ED">
            <w:pPr>
              <w:spacing w:before="40" w:line="228" w:lineRule="auto"/>
              <w:ind w:left="780"/>
              <w:rPr>
                <w:rFonts w:ascii="宋体" w:hAnsi="宋体" w:eastAsia="宋体" w:cs="宋体"/>
                <w:sz w:val="20"/>
                <w:szCs w:val="20"/>
              </w:rPr>
            </w:pPr>
            <w:r>
              <w:rPr>
                <w:rFonts w:ascii="宋体" w:hAnsi="宋体" w:eastAsia="宋体" w:cs="宋体"/>
                <w:spacing w:val="6"/>
                <w:sz w:val="20"/>
                <w:szCs w:val="20"/>
              </w:rPr>
              <w:t>蛋</w:t>
            </w:r>
            <w:r>
              <w:rPr>
                <w:rFonts w:ascii="宋体" w:hAnsi="宋体" w:eastAsia="宋体" w:cs="宋体"/>
                <w:spacing w:val="4"/>
                <w:sz w:val="20"/>
                <w:szCs w:val="20"/>
              </w:rPr>
              <w:t>白质</w:t>
            </w:r>
          </w:p>
        </w:tc>
        <w:tc>
          <w:tcPr>
            <w:tcW w:w="1420" w:type="dxa"/>
          </w:tcPr>
          <w:p w14:paraId="0ACA33D8">
            <w:pPr>
              <w:spacing w:before="41" w:line="227" w:lineRule="auto"/>
              <w:ind w:left="400"/>
              <w:rPr>
                <w:rFonts w:ascii="宋体" w:hAnsi="宋体" w:eastAsia="宋体" w:cs="宋体"/>
                <w:sz w:val="20"/>
                <w:szCs w:val="20"/>
              </w:rPr>
            </w:pPr>
            <w:r>
              <w:rPr>
                <w:rFonts w:ascii="宋体" w:hAnsi="宋体" w:eastAsia="宋体" w:cs="宋体"/>
                <w:spacing w:val="7"/>
                <w:sz w:val="20"/>
                <w:szCs w:val="20"/>
              </w:rPr>
              <w:t>含氮</w:t>
            </w:r>
            <w:r>
              <w:rPr>
                <w:rFonts w:ascii="宋体" w:hAnsi="宋体" w:eastAsia="宋体" w:cs="宋体"/>
                <w:spacing w:val="6"/>
                <w:sz w:val="20"/>
                <w:szCs w:val="20"/>
              </w:rPr>
              <w:t>量</w:t>
            </w:r>
          </w:p>
        </w:tc>
        <w:tc>
          <w:tcPr>
            <w:tcW w:w="1420" w:type="dxa"/>
          </w:tcPr>
          <w:p w14:paraId="0A33A888">
            <w:pPr>
              <w:spacing w:before="40" w:line="228" w:lineRule="auto"/>
              <w:ind w:left="401"/>
              <w:rPr>
                <w:rFonts w:ascii="宋体" w:hAnsi="宋体" w:eastAsia="宋体" w:cs="宋体"/>
                <w:sz w:val="20"/>
                <w:szCs w:val="20"/>
              </w:rPr>
            </w:pPr>
            <w:r>
              <w:rPr>
                <w:rFonts w:ascii="宋体" w:hAnsi="宋体" w:eastAsia="宋体" w:cs="宋体"/>
                <w:spacing w:val="7"/>
                <w:sz w:val="20"/>
                <w:szCs w:val="20"/>
              </w:rPr>
              <w:t>含碳</w:t>
            </w:r>
            <w:r>
              <w:rPr>
                <w:rFonts w:ascii="宋体" w:hAnsi="宋体" w:eastAsia="宋体" w:cs="宋体"/>
                <w:spacing w:val="6"/>
                <w:sz w:val="20"/>
                <w:szCs w:val="20"/>
              </w:rPr>
              <w:t>量</w:t>
            </w:r>
          </w:p>
        </w:tc>
        <w:tc>
          <w:tcPr>
            <w:tcW w:w="2724" w:type="dxa"/>
            <w:tcBorders>
              <w:right w:val="nil"/>
            </w:tcBorders>
          </w:tcPr>
          <w:p w14:paraId="7AD532AF">
            <w:pPr>
              <w:spacing w:before="3" w:line="281" w:lineRule="exact"/>
              <w:ind w:left="668"/>
              <w:rPr>
                <w:rFonts w:ascii="宋体" w:hAnsi="宋体" w:eastAsia="宋体" w:cs="宋体"/>
                <w:sz w:val="20"/>
                <w:szCs w:val="20"/>
              </w:rPr>
            </w:pPr>
            <w:r>
              <w:rPr>
                <w:rFonts w:ascii="宋体" w:hAnsi="宋体" w:eastAsia="宋体" w:cs="宋体"/>
                <w:spacing w:val="10"/>
                <w:position w:val="1"/>
                <w:sz w:val="20"/>
                <w:szCs w:val="20"/>
              </w:rPr>
              <w:t>碳</w:t>
            </w:r>
            <w:r>
              <w:rPr>
                <w:rFonts w:ascii="宋体" w:hAnsi="宋体" w:eastAsia="宋体" w:cs="宋体"/>
                <w:spacing w:val="6"/>
                <w:position w:val="1"/>
                <w:sz w:val="20"/>
                <w:szCs w:val="20"/>
              </w:rPr>
              <w:t>氮比 (</w:t>
            </w:r>
            <w:r>
              <w:rPr>
                <w:rFonts w:ascii="Times New Roman" w:hAnsi="Times New Roman" w:eastAsia="Times New Roman" w:cs="Times New Roman"/>
                <w:position w:val="1"/>
                <w:sz w:val="20"/>
                <w:szCs w:val="20"/>
              </w:rPr>
              <w:t>C</w:t>
            </w:r>
            <w:r>
              <w:rPr>
                <w:rFonts w:ascii="Times New Roman" w:hAnsi="Times New Roman" w:eastAsia="Times New Roman" w:cs="Times New Roman"/>
                <w:spacing w:val="6"/>
                <w:position w:val="1"/>
                <w:sz w:val="20"/>
                <w:szCs w:val="20"/>
              </w:rPr>
              <w:t>/</w:t>
            </w:r>
            <w:r>
              <w:rPr>
                <w:rFonts w:ascii="Times New Roman" w:hAnsi="Times New Roman" w:eastAsia="Times New Roman" w:cs="Times New Roman"/>
                <w:position w:val="1"/>
                <w:sz w:val="20"/>
                <w:szCs w:val="20"/>
              </w:rPr>
              <w:t>N</w:t>
            </w:r>
            <w:r>
              <w:rPr>
                <w:rFonts w:ascii="宋体" w:hAnsi="宋体" w:eastAsia="宋体" w:cs="宋体"/>
                <w:spacing w:val="6"/>
                <w:position w:val="1"/>
                <w:sz w:val="20"/>
                <w:szCs w:val="20"/>
              </w:rPr>
              <w:t>)</w:t>
            </w:r>
          </w:p>
        </w:tc>
      </w:tr>
      <w:tr w14:paraId="6F8D1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1980" w:type="dxa"/>
            <w:tcBorders>
              <w:left w:val="nil"/>
            </w:tcBorders>
          </w:tcPr>
          <w:p w14:paraId="6E237293">
            <w:pPr>
              <w:spacing w:before="6" w:line="281" w:lineRule="exact"/>
              <w:ind w:left="491"/>
              <w:rPr>
                <w:rFonts w:ascii="宋体" w:hAnsi="宋体" w:eastAsia="宋体" w:cs="宋体"/>
                <w:sz w:val="20"/>
                <w:szCs w:val="20"/>
              </w:rPr>
            </w:pPr>
            <w:r>
              <w:rPr>
                <w:rFonts w:ascii="宋体" w:hAnsi="宋体" w:eastAsia="宋体" w:cs="宋体"/>
                <w:spacing w:val="8"/>
                <w:position w:val="1"/>
                <w:sz w:val="20"/>
                <w:szCs w:val="20"/>
              </w:rPr>
              <w:t>含</w:t>
            </w:r>
            <w:r>
              <w:rPr>
                <w:rFonts w:ascii="宋体" w:hAnsi="宋体" w:eastAsia="宋体" w:cs="宋体"/>
                <w:spacing w:val="4"/>
                <w:position w:val="1"/>
                <w:sz w:val="20"/>
                <w:szCs w:val="20"/>
              </w:rPr>
              <w:t>量 (</w:t>
            </w:r>
            <w:r>
              <w:rPr>
                <w:rFonts w:ascii="Times New Roman" w:hAnsi="Times New Roman" w:eastAsia="Times New Roman" w:cs="Times New Roman"/>
                <w:spacing w:val="4"/>
                <w:position w:val="1"/>
                <w:sz w:val="20"/>
                <w:szCs w:val="20"/>
              </w:rPr>
              <w:t>%</w:t>
            </w:r>
            <w:r>
              <w:rPr>
                <w:rFonts w:ascii="宋体" w:hAnsi="宋体" w:eastAsia="宋体" w:cs="宋体"/>
                <w:spacing w:val="4"/>
                <w:position w:val="1"/>
                <w:sz w:val="20"/>
                <w:szCs w:val="20"/>
              </w:rPr>
              <w:t>)</w:t>
            </w:r>
          </w:p>
        </w:tc>
        <w:tc>
          <w:tcPr>
            <w:tcW w:w="2169" w:type="dxa"/>
          </w:tcPr>
          <w:p w14:paraId="60EF66E3">
            <w:pPr>
              <w:spacing w:before="79" w:line="195" w:lineRule="auto"/>
              <w:ind w:left="86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w:t>
            </w:r>
            <w:r>
              <w:rPr>
                <w:rFonts w:ascii="Times New Roman" w:hAnsi="Times New Roman" w:eastAsia="Times New Roman" w:cs="Times New Roman"/>
                <w:sz w:val="20"/>
                <w:szCs w:val="20"/>
              </w:rPr>
              <w:t>0.95</w:t>
            </w:r>
          </w:p>
        </w:tc>
        <w:tc>
          <w:tcPr>
            <w:tcW w:w="1420" w:type="dxa"/>
          </w:tcPr>
          <w:p w14:paraId="5B4B0B79">
            <w:pPr>
              <w:spacing w:before="79" w:line="195" w:lineRule="auto"/>
              <w:ind w:left="58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0.6</w:t>
            </w:r>
          </w:p>
        </w:tc>
        <w:tc>
          <w:tcPr>
            <w:tcW w:w="1420" w:type="dxa"/>
          </w:tcPr>
          <w:p w14:paraId="69040835">
            <w:pPr>
              <w:spacing w:before="79" w:line="195" w:lineRule="auto"/>
              <w:ind w:left="583"/>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7</w:t>
            </w:r>
            <w:r>
              <w:rPr>
                <w:rFonts w:ascii="Times New Roman" w:hAnsi="Times New Roman" w:eastAsia="Times New Roman" w:cs="Times New Roman"/>
                <w:spacing w:val="4"/>
                <w:sz w:val="20"/>
                <w:szCs w:val="20"/>
              </w:rPr>
              <w:t>.8</w:t>
            </w:r>
          </w:p>
        </w:tc>
        <w:tc>
          <w:tcPr>
            <w:tcW w:w="2724" w:type="dxa"/>
            <w:tcBorders>
              <w:right w:val="nil"/>
            </w:tcBorders>
          </w:tcPr>
          <w:p w14:paraId="5ABBBEA1">
            <w:pPr>
              <w:spacing w:before="79" w:line="195" w:lineRule="auto"/>
              <w:ind w:left="114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w:t>
            </w:r>
            <w:r>
              <w:rPr>
                <w:rFonts w:ascii="Times New Roman" w:hAnsi="Times New Roman" w:eastAsia="Times New Roman" w:cs="Times New Roman"/>
                <w:sz w:val="20"/>
                <w:szCs w:val="20"/>
              </w:rPr>
              <w:t>:01</w:t>
            </w:r>
          </w:p>
        </w:tc>
      </w:tr>
    </w:tbl>
    <w:p w14:paraId="13B095E2">
      <w:pPr>
        <w:spacing w:before="2" w:line="383" w:lineRule="auto"/>
        <w:ind w:left="121" w:right="41" w:firstLine="480"/>
        <w:rPr>
          <w:rFonts w:ascii="宋体" w:hAnsi="宋体" w:eastAsia="宋体" w:cs="宋体"/>
          <w:sz w:val="23"/>
          <w:szCs w:val="23"/>
        </w:rPr>
      </w:pPr>
      <w:r>
        <w:rPr>
          <w:rFonts w:ascii="宋体" w:hAnsi="宋体" w:eastAsia="宋体" w:cs="宋体"/>
          <w:spacing w:val="4"/>
          <w:sz w:val="23"/>
          <w:szCs w:val="23"/>
        </w:rPr>
        <w:t xml:space="preserve">项目产生的新鲜猪粪约为 </w:t>
      </w:r>
      <w:r>
        <w:rPr>
          <w:rFonts w:ascii="Times New Roman" w:hAnsi="Times New Roman" w:eastAsia="Times New Roman" w:cs="Times New Roman"/>
          <w:spacing w:val="4"/>
          <w:sz w:val="23"/>
          <w:szCs w:val="23"/>
        </w:rPr>
        <w:t>17</w:t>
      </w:r>
      <w:r>
        <w:rPr>
          <w:rFonts w:ascii="Times New Roman" w:hAnsi="Times New Roman" w:eastAsia="Times New Roman" w:cs="Times New Roman"/>
          <w:spacing w:val="3"/>
          <w:sz w:val="23"/>
          <w:szCs w:val="23"/>
        </w:rPr>
        <w:t>.</w:t>
      </w:r>
      <w:r>
        <w:rPr>
          <w:rFonts w:ascii="Times New Roman" w:hAnsi="Times New Roman" w:eastAsia="Times New Roman" w:cs="Times New Roman"/>
          <w:spacing w:val="2"/>
          <w:sz w:val="23"/>
          <w:szCs w:val="23"/>
        </w:rPr>
        <w:t>264</w:t>
      </w:r>
      <w:r>
        <w:rPr>
          <w:rFonts w:ascii="Times New Roman" w:hAnsi="Times New Roman" w:eastAsia="Times New Roman" w:cs="Times New Roman"/>
          <w:sz w:val="23"/>
          <w:szCs w:val="23"/>
        </w:rPr>
        <w:t>t</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d</w:t>
      </w:r>
      <w:r>
        <w:rPr>
          <w:rFonts w:ascii="宋体" w:hAnsi="宋体" w:eastAsia="宋体" w:cs="宋体"/>
          <w:spacing w:val="2"/>
          <w:sz w:val="23"/>
          <w:szCs w:val="23"/>
        </w:rPr>
        <w:t>，</w:t>
      </w:r>
      <w:r>
        <w:rPr>
          <w:rFonts w:ascii="Times New Roman" w:hAnsi="Times New Roman" w:eastAsia="Times New Roman" w:cs="Times New Roman"/>
          <w:spacing w:val="2"/>
          <w:sz w:val="23"/>
          <w:szCs w:val="23"/>
        </w:rPr>
        <w:t>6301.36</w:t>
      </w:r>
      <w:r>
        <w:rPr>
          <w:rFonts w:ascii="Times New Roman" w:hAnsi="Times New Roman" w:eastAsia="Times New Roman" w:cs="Times New Roman"/>
          <w:sz w:val="23"/>
          <w:szCs w:val="23"/>
        </w:rPr>
        <w:t>t</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a</w:t>
      </w:r>
      <w:r>
        <w:rPr>
          <w:rFonts w:ascii="宋体" w:hAnsi="宋体" w:eastAsia="宋体" w:cs="宋体"/>
          <w:spacing w:val="2"/>
          <w:sz w:val="23"/>
          <w:szCs w:val="23"/>
        </w:rPr>
        <w:t xml:space="preserve">，粪污经菌种发酵后含水率在 </w:t>
      </w:r>
      <w:r>
        <w:rPr>
          <w:rFonts w:ascii="Times New Roman" w:hAnsi="Times New Roman" w:eastAsia="Times New Roman" w:cs="Times New Roman"/>
          <w:spacing w:val="2"/>
          <w:sz w:val="23"/>
          <w:szCs w:val="23"/>
        </w:rPr>
        <w:t>30%</w:t>
      </w:r>
      <w:r>
        <w:rPr>
          <w:rFonts w:ascii="宋体" w:hAnsi="宋体" w:eastAsia="宋体" w:cs="宋体"/>
          <w:spacing w:val="2"/>
          <w:sz w:val="23"/>
          <w:szCs w:val="23"/>
        </w:rPr>
        <w:t>左右，</w:t>
      </w:r>
      <w:r>
        <w:rPr>
          <w:rFonts w:ascii="宋体" w:hAnsi="宋体" w:eastAsia="宋体" w:cs="宋体"/>
          <w:sz w:val="23"/>
          <w:szCs w:val="23"/>
        </w:rPr>
        <w:t xml:space="preserve"> </w:t>
      </w:r>
      <w:r>
        <w:rPr>
          <w:rFonts w:ascii="宋体" w:hAnsi="宋体" w:eastAsia="宋体" w:cs="宋体"/>
          <w:spacing w:val="8"/>
          <w:sz w:val="23"/>
          <w:szCs w:val="23"/>
        </w:rPr>
        <w:t>项</w:t>
      </w:r>
      <w:r>
        <w:rPr>
          <w:rFonts w:ascii="宋体" w:hAnsi="宋体" w:eastAsia="宋体" w:cs="宋体"/>
          <w:spacing w:val="7"/>
          <w:sz w:val="23"/>
          <w:szCs w:val="23"/>
        </w:rPr>
        <w:t>目</w:t>
      </w:r>
      <w:r>
        <w:rPr>
          <w:rFonts w:ascii="宋体" w:hAnsi="宋体" w:eastAsia="宋体" w:cs="宋体"/>
          <w:spacing w:val="4"/>
          <w:sz w:val="23"/>
          <w:szCs w:val="23"/>
        </w:rPr>
        <w:t xml:space="preserve">发酵产生的有机肥量为 </w:t>
      </w:r>
      <w:r>
        <w:rPr>
          <w:rFonts w:ascii="Times New Roman" w:hAnsi="Times New Roman" w:eastAsia="Times New Roman" w:cs="Times New Roman"/>
          <w:spacing w:val="4"/>
          <w:sz w:val="23"/>
          <w:szCs w:val="23"/>
        </w:rPr>
        <w:t>2410.97</w:t>
      </w:r>
      <w:r>
        <w:rPr>
          <w:rFonts w:ascii="Times New Roman" w:hAnsi="Times New Roman" w:eastAsia="Times New Roman" w:cs="Times New Roman"/>
          <w:sz w:val="23"/>
          <w:szCs w:val="23"/>
        </w:rPr>
        <w:t>t</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a</w:t>
      </w:r>
      <w:r>
        <w:rPr>
          <w:rFonts w:ascii="宋体" w:hAnsi="宋体" w:eastAsia="宋体" w:cs="宋体"/>
          <w:spacing w:val="4"/>
          <w:sz w:val="23"/>
          <w:szCs w:val="23"/>
        </w:rPr>
        <w:t>。</w:t>
      </w:r>
    </w:p>
    <w:p w14:paraId="7872BA5E">
      <w:pPr>
        <w:spacing w:before="18" w:line="225" w:lineRule="auto"/>
        <w:ind w:left="596"/>
        <w:rPr>
          <w:rFonts w:ascii="宋体" w:hAnsi="宋体" w:eastAsia="宋体" w:cs="宋体"/>
          <w:sz w:val="23"/>
          <w:szCs w:val="23"/>
        </w:rPr>
      </w:pPr>
      <w:r>
        <w:rPr>
          <w:rFonts w:ascii="宋体" w:hAnsi="宋体" w:eastAsia="宋体" w:cs="宋体"/>
          <w:spacing w:val="9"/>
          <w:sz w:val="23"/>
          <w:szCs w:val="23"/>
        </w:rPr>
        <w:t>②拟采取的措</w:t>
      </w:r>
      <w:r>
        <w:rPr>
          <w:rFonts w:ascii="宋体" w:hAnsi="宋体" w:eastAsia="宋体" w:cs="宋体"/>
          <w:spacing w:val="8"/>
          <w:sz w:val="23"/>
          <w:szCs w:val="23"/>
        </w:rPr>
        <w:t>施</w:t>
      </w:r>
    </w:p>
    <w:p w14:paraId="64649BFC">
      <w:pPr>
        <w:spacing w:before="184" w:line="227" w:lineRule="auto"/>
        <w:ind w:left="602"/>
        <w:rPr>
          <w:rFonts w:ascii="宋体" w:hAnsi="宋体" w:eastAsia="宋体" w:cs="宋体"/>
          <w:sz w:val="23"/>
          <w:szCs w:val="23"/>
        </w:rPr>
      </w:pPr>
      <w:r>
        <w:rPr>
          <w:rFonts w:ascii="宋体" w:hAnsi="宋体" w:eastAsia="宋体" w:cs="宋体"/>
          <w:spacing w:val="25"/>
          <w:sz w:val="23"/>
          <w:szCs w:val="23"/>
        </w:rPr>
        <w:t>项</w:t>
      </w:r>
      <w:r>
        <w:rPr>
          <w:rFonts w:ascii="宋体" w:hAnsi="宋体" w:eastAsia="宋体" w:cs="宋体"/>
          <w:spacing w:val="13"/>
          <w:sz w:val="23"/>
          <w:szCs w:val="23"/>
        </w:rPr>
        <w:t>目采用高架养殖床饲养生猪，猪只生长过程中排泄的猪粪与废水经化粪池搅拌混匀</w:t>
      </w:r>
    </w:p>
    <w:p w14:paraId="02C10BDC">
      <w:pPr>
        <w:spacing w:before="187" w:line="380" w:lineRule="auto"/>
        <w:ind w:left="119" w:right="105"/>
        <w:rPr>
          <w:rFonts w:ascii="宋体" w:hAnsi="宋体" w:eastAsia="宋体" w:cs="宋体"/>
          <w:sz w:val="23"/>
          <w:szCs w:val="23"/>
        </w:rPr>
      </w:pPr>
      <w:r>
        <w:rPr>
          <w:rFonts w:ascii="宋体" w:hAnsi="宋体" w:eastAsia="宋体" w:cs="宋体"/>
          <w:spacing w:val="14"/>
          <w:sz w:val="23"/>
          <w:szCs w:val="23"/>
        </w:rPr>
        <w:t>后</w:t>
      </w:r>
      <w:r>
        <w:rPr>
          <w:rFonts w:ascii="宋体" w:hAnsi="宋体" w:eastAsia="宋体" w:cs="宋体"/>
          <w:spacing w:val="7"/>
          <w:sz w:val="23"/>
          <w:szCs w:val="23"/>
        </w:rPr>
        <w:t>，目前拟每日运输至乐山乐高勤力生物质能源综合利用有限公司集中处置，日产日清，同</w:t>
      </w:r>
      <w:r>
        <w:rPr>
          <w:rFonts w:ascii="宋体" w:hAnsi="宋体" w:eastAsia="宋体" w:cs="宋体"/>
          <w:sz w:val="23"/>
          <w:szCs w:val="23"/>
        </w:rPr>
        <w:t xml:space="preserve"> </w:t>
      </w:r>
      <w:r>
        <w:rPr>
          <w:rFonts w:ascii="宋体" w:hAnsi="宋体" w:eastAsia="宋体" w:cs="宋体"/>
          <w:spacing w:val="8"/>
          <w:sz w:val="23"/>
          <w:szCs w:val="23"/>
        </w:rPr>
        <w:t xml:space="preserve">时，厂区还配套建设有一 </w:t>
      </w:r>
      <w:r>
        <w:rPr>
          <w:rFonts w:ascii="Times New Roman" w:hAnsi="Times New Roman" w:eastAsia="Times New Roman" w:cs="Times New Roman"/>
          <w:spacing w:val="8"/>
          <w:sz w:val="23"/>
          <w:szCs w:val="23"/>
        </w:rPr>
        <w:t>1600</w:t>
      </w:r>
      <w:r>
        <w:rPr>
          <w:rFonts w:ascii="Times New Roman" w:hAnsi="Times New Roman" w:eastAsia="Times New Roman" w:cs="Times New Roman"/>
          <w:sz w:val="23"/>
          <w:szCs w:val="23"/>
        </w:rPr>
        <w:t>m</w:t>
      </w:r>
      <w:r>
        <w:rPr>
          <w:rFonts w:ascii="Times New Roman" w:hAnsi="Times New Roman" w:eastAsia="Times New Roman" w:cs="Times New Roman"/>
          <w:spacing w:val="8"/>
          <w:position w:val="7"/>
          <w:sz w:val="15"/>
          <w:szCs w:val="15"/>
        </w:rPr>
        <w:t xml:space="preserve">2 </w:t>
      </w:r>
      <w:r>
        <w:rPr>
          <w:rFonts w:ascii="宋体" w:hAnsi="宋体" w:eastAsia="宋体" w:cs="宋体"/>
          <w:spacing w:val="8"/>
          <w:sz w:val="23"/>
          <w:szCs w:val="23"/>
        </w:rPr>
        <w:t>的发酵床备用，若后期乐山乐高勤力生物质能源综合利</w:t>
      </w:r>
      <w:r>
        <w:rPr>
          <w:rFonts w:ascii="宋体" w:hAnsi="宋体" w:eastAsia="宋体" w:cs="宋体"/>
          <w:spacing w:val="4"/>
          <w:sz w:val="23"/>
          <w:szCs w:val="23"/>
        </w:rPr>
        <w:t>用</w:t>
      </w:r>
      <w:r>
        <w:rPr>
          <w:rFonts w:ascii="宋体" w:hAnsi="宋体" w:eastAsia="宋体" w:cs="宋体"/>
          <w:sz w:val="23"/>
          <w:szCs w:val="23"/>
        </w:rPr>
        <w:t xml:space="preserve"> </w:t>
      </w:r>
      <w:r>
        <w:rPr>
          <w:rFonts w:ascii="宋体" w:hAnsi="宋体" w:eastAsia="宋体" w:cs="宋体"/>
          <w:spacing w:val="13"/>
          <w:sz w:val="23"/>
          <w:szCs w:val="23"/>
        </w:rPr>
        <w:t>有</w:t>
      </w:r>
      <w:r>
        <w:rPr>
          <w:rFonts w:ascii="宋体" w:hAnsi="宋体" w:eastAsia="宋体" w:cs="宋体"/>
          <w:spacing w:val="7"/>
          <w:sz w:val="23"/>
          <w:szCs w:val="23"/>
        </w:rPr>
        <w:t>限公司不再回收厂区内的养殖废水，将通过异位发酵床自行处置，产生有机肥用作周边林</w:t>
      </w:r>
    </w:p>
    <w:p w14:paraId="42F0AD52">
      <w:pPr>
        <w:sectPr>
          <w:headerReference r:id="rId133" w:type="default"/>
          <w:footerReference r:id="rId134" w:type="default"/>
          <w:pgSz w:w="11907" w:h="16840"/>
          <w:pgMar w:top="829" w:right="1025" w:bottom="1139" w:left="1168" w:header="595" w:footer="953" w:gutter="0"/>
          <w:cols w:space="720" w:num="1"/>
        </w:sectPr>
      </w:pPr>
    </w:p>
    <w:p w14:paraId="2635F7B0">
      <w:pPr>
        <w:spacing w:before="145" w:line="227" w:lineRule="auto"/>
        <w:ind w:left="10"/>
        <w:rPr>
          <w:rFonts w:ascii="宋体" w:hAnsi="宋体" w:eastAsia="宋体" w:cs="宋体"/>
          <w:sz w:val="23"/>
          <w:szCs w:val="23"/>
        </w:rPr>
      </w:pPr>
      <w:r>
        <w:rPr>
          <w:rFonts w:ascii="宋体" w:hAnsi="宋体" w:eastAsia="宋体" w:cs="宋体"/>
          <w:spacing w:val="9"/>
          <w:sz w:val="23"/>
          <w:szCs w:val="23"/>
        </w:rPr>
        <w:t>地和旱地施肥，不作为固体废物收集处置</w:t>
      </w:r>
      <w:r>
        <w:rPr>
          <w:rFonts w:ascii="宋体" w:hAnsi="宋体" w:eastAsia="宋体" w:cs="宋体"/>
          <w:spacing w:val="8"/>
          <w:sz w:val="23"/>
          <w:szCs w:val="23"/>
        </w:rPr>
        <w:t>。</w:t>
      </w:r>
    </w:p>
    <w:p w14:paraId="7F6BDDB2">
      <w:pPr>
        <w:spacing w:before="183" w:line="375" w:lineRule="auto"/>
        <w:ind w:left="9" w:right="87" w:firstLine="494"/>
        <w:rPr>
          <w:rFonts w:ascii="宋体" w:hAnsi="宋体" w:eastAsia="宋体" w:cs="宋体"/>
          <w:sz w:val="23"/>
          <w:szCs w:val="23"/>
        </w:rPr>
      </w:pPr>
      <w:r>
        <w:rPr>
          <w:rFonts w:ascii="宋体" w:hAnsi="宋体" w:eastAsia="宋体" w:cs="宋体"/>
          <w:spacing w:val="10"/>
          <w:sz w:val="23"/>
          <w:szCs w:val="23"/>
          <w14:textOutline w14:w="4356" w14:cap="sq" w14:cmpd="sng" w14:algn="ctr">
            <w14:solidFill>
              <w14:srgbClr w14:val="000000"/>
            </w14:solidFill>
            <w14:prstDash w14:val="solid"/>
            <w14:bevel/>
          </w14:textOutline>
        </w:rPr>
        <w:t>委外</w:t>
      </w:r>
      <w:r>
        <w:rPr>
          <w:rFonts w:ascii="宋体" w:hAnsi="宋体" w:eastAsia="宋体" w:cs="宋体"/>
          <w:spacing w:val="9"/>
          <w:sz w:val="23"/>
          <w:szCs w:val="23"/>
          <w14:textOutline w14:w="4356" w14:cap="sq" w14:cmpd="sng" w14:algn="ctr">
            <w14:solidFill>
              <w14:srgbClr w14:val="000000"/>
            </w14:solidFill>
            <w14:prstDash w14:val="solid"/>
            <w14:bevel/>
          </w14:textOutline>
        </w:rPr>
        <w:t>处</w:t>
      </w:r>
      <w:r>
        <w:rPr>
          <w:rFonts w:ascii="宋体" w:hAnsi="宋体" w:eastAsia="宋体" w:cs="宋体"/>
          <w:spacing w:val="5"/>
          <w:sz w:val="23"/>
          <w:szCs w:val="23"/>
          <w14:textOutline w14:w="4356" w14:cap="sq" w14:cmpd="sng" w14:algn="ctr">
            <w14:solidFill>
              <w14:srgbClr w14:val="000000"/>
            </w14:solidFill>
            <w14:prstDash w14:val="solid"/>
            <w14:bevel/>
          </w14:textOutline>
        </w:rPr>
        <w:t>理：</w:t>
      </w:r>
      <w:r>
        <w:rPr>
          <w:rFonts w:ascii="宋体" w:hAnsi="宋体" w:eastAsia="宋体" w:cs="宋体"/>
          <w:spacing w:val="5"/>
          <w:sz w:val="23"/>
          <w:szCs w:val="23"/>
        </w:rPr>
        <w:t xml:space="preserve"> 乐山乐高勤力生物质能源综合利用有限公司成立于 </w:t>
      </w:r>
      <w:r>
        <w:rPr>
          <w:rFonts w:ascii="Times New Roman" w:hAnsi="Times New Roman" w:eastAsia="Times New Roman" w:cs="Times New Roman"/>
          <w:spacing w:val="5"/>
          <w:sz w:val="23"/>
          <w:szCs w:val="23"/>
        </w:rPr>
        <w:t xml:space="preserve">2018 </w:t>
      </w:r>
      <w:r>
        <w:rPr>
          <w:rFonts w:ascii="宋体" w:hAnsi="宋体" w:eastAsia="宋体" w:cs="宋体"/>
          <w:spacing w:val="5"/>
          <w:sz w:val="23"/>
          <w:szCs w:val="23"/>
        </w:rPr>
        <w:t xml:space="preserve">年 </w:t>
      </w:r>
      <w:r>
        <w:rPr>
          <w:rFonts w:ascii="Times New Roman" w:hAnsi="Times New Roman" w:eastAsia="Times New Roman" w:cs="Times New Roman"/>
          <w:spacing w:val="5"/>
          <w:sz w:val="23"/>
          <w:szCs w:val="23"/>
        </w:rPr>
        <w:t xml:space="preserve">04 </w:t>
      </w:r>
      <w:r>
        <w:rPr>
          <w:rFonts w:ascii="宋体" w:hAnsi="宋体" w:eastAsia="宋体" w:cs="宋体"/>
          <w:spacing w:val="5"/>
          <w:sz w:val="23"/>
          <w:szCs w:val="23"/>
        </w:rPr>
        <w:t xml:space="preserve">月 </w:t>
      </w:r>
      <w:r>
        <w:rPr>
          <w:rFonts w:ascii="Times New Roman" w:hAnsi="Times New Roman" w:eastAsia="Times New Roman" w:cs="Times New Roman"/>
          <w:spacing w:val="5"/>
          <w:sz w:val="23"/>
          <w:szCs w:val="23"/>
        </w:rPr>
        <w:t xml:space="preserve">16  </w:t>
      </w:r>
      <w:r>
        <w:rPr>
          <w:rFonts w:ascii="宋体" w:hAnsi="宋体" w:eastAsia="宋体" w:cs="宋体"/>
          <w:spacing w:val="5"/>
          <w:sz w:val="23"/>
          <w:szCs w:val="23"/>
        </w:rPr>
        <w:t>日，</w:t>
      </w:r>
      <w:r>
        <w:rPr>
          <w:rFonts w:ascii="宋体" w:hAnsi="宋体" w:eastAsia="宋体" w:cs="宋体"/>
          <w:sz w:val="23"/>
          <w:szCs w:val="23"/>
        </w:rPr>
        <w:t xml:space="preserve"> </w:t>
      </w:r>
      <w:r>
        <w:rPr>
          <w:rFonts w:ascii="宋体" w:hAnsi="宋体" w:eastAsia="宋体" w:cs="宋体"/>
          <w:spacing w:val="38"/>
          <w:sz w:val="23"/>
          <w:szCs w:val="23"/>
        </w:rPr>
        <w:t>主</w:t>
      </w:r>
      <w:r>
        <w:rPr>
          <w:rFonts w:ascii="宋体" w:hAnsi="宋体" w:eastAsia="宋体" w:cs="宋体"/>
          <w:spacing w:val="19"/>
          <w:sz w:val="23"/>
          <w:szCs w:val="23"/>
        </w:rPr>
        <w:t>要从事环保及污水处理技术服务、水污染和固体废物治理、畜禽无害化收集处理及运</w:t>
      </w:r>
      <w:r>
        <w:rPr>
          <w:rFonts w:ascii="宋体" w:hAnsi="宋体" w:eastAsia="宋体" w:cs="宋体"/>
          <w:sz w:val="23"/>
          <w:szCs w:val="23"/>
        </w:rPr>
        <w:t xml:space="preserve"> </w:t>
      </w:r>
      <w:r>
        <w:rPr>
          <w:rFonts w:ascii="宋体" w:hAnsi="宋体" w:eastAsia="宋体" w:cs="宋体"/>
          <w:spacing w:val="38"/>
          <w:sz w:val="23"/>
          <w:szCs w:val="23"/>
        </w:rPr>
        <w:t>输</w:t>
      </w:r>
      <w:r>
        <w:rPr>
          <w:rFonts w:ascii="宋体" w:hAnsi="宋体" w:eastAsia="宋体" w:cs="宋体"/>
          <w:spacing w:val="19"/>
          <w:sz w:val="23"/>
          <w:szCs w:val="23"/>
        </w:rPr>
        <w:t>、粪污收集处理及运输、农作物秸秆收集处理及运输、有机肥生产及加工、沼气发电</w:t>
      </w:r>
      <w:r>
        <w:rPr>
          <w:rFonts w:ascii="宋体" w:hAnsi="宋体" w:eastAsia="宋体" w:cs="宋体"/>
          <w:sz w:val="23"/>
          <w:szCs w:val="23"/>
        </w:rPr>
        <w:t xml:space="preserve"> </w:t>
      </w:r>
      <w:r>
        <w:rPr>
          <w:rFonts w:ascii="宋体" w:hAnsi="宋体" w:eastAsia="宋体" w:cs="宋体"/>
          <w:spacing w:val="24"/>
          <w:sz w:val="23"/>
          <w:szCs w:val="23"/>
        </w:rPr>
        <w:t>及供</w:t>
      </w:r>
      <w:r>
        <w:rPr>
          <w:rFonts w:ascii="宋体" w:hAnsi="宋体" w:eastAsia="宋体" w:cs="宋体"/>
          <w:spacing w:val="15"/>
          <w:sz w:val="23"/>
          <w:szCs w:val="23"/>
        </w:rPr>
        <w:t>热</w:t>
      </w:r>
      <w:r>
        <w:rPr>
          <w:rFonts w:ascii="宋体" w:hAnsi="宋体" w:eastAsia="宋体" w:cs="宋体"/>
          <w:spacing w:val="12"/>
          <w:sz w:val="23"/>
          <w:szCs w:val="23"/>
        </w:rPr>
        <w:t xml:space="preserve">等行业，距离本项目 </w:t>
      </w:r>
      <w:r>
        <w:rPr>
          <w:rFonts w:ascii="Times New Roman" w:hAnsi="Times New Roman" w:eastAsia="Times New Roman" w:cs="Times New Roman"/>
          <w:spacing w:val="12"/>
          <w:sz w:val="23"/>
          <w:szCs w:val="23"/>
        </w:rPr>
        <w:t>13</w:t>
      </w:r>
      <w:r>
        <w:rPr>
          <w:rFonts w:ascii="Times New Roman" w:hAnsi="Times New Roman" w:eastAsia="Times New Roman" w:cs="Times New Roman"/>
          <w:sz w:val="23"/>
          <w:szCs w:val="23"/>
        </w:rPr>
        <w:t>km</w:t>
      </w:r>
      <w:r>
        <w:rPr>
          <w:rFonts w:ascii="Times New Roman" w:hAnsi="Times New Roman" w:eastAsia="Times New Roman" w:cs="Times New Roman"/>
          <w:spacing w:val="12"/>
          <w:sz w:val="23"/>
          <w:szCs w:val="23"/>
        </w:rPr>
        <w:t xml:space="preserve"> </w:t>
      </w:r>
      <w:r>
        <w:rPr>
          <w:rFonts w:ascii="宋体" w:hAnsi="宋体" w:eastAsia="宋体" w:cs="宋体"/>
          <w:spacing w:val="12"/>
          <w:sz w:val="23"/>
          <w:szCs w:val="23"/>
        </w:rPr>
        <w:t>左右，交通方便，运输便捷，且有足够的处理能力处理</w:t>
      </w:r>
      <w:r>
        <w:rPr>
          <w:rFonts w:ascii="宋体" w:hAnsi="宋体" w:eastAsia="宋体" w:cs="宋体"/>
          <w:sz w:val="23"/>
          <w:szCs w:val="23"/>
        </w:rPr>
        <w:t xml:space="preserve"> </w:t>
      </w:r>
      <w:r>
        <w:rPr>
          <w:rFonts w:ascii="宋体" w:hAnsi="宋体" w:eastAsia="宋体" w:cs="宋体"/>
          <w:spacing w:val="35"/>
          <w:sz w:val="23"/>
          <w:szCs w:val="23"/>
        </w:rPr>
        <w:t>本</w:t>
      </w:r>
      <w:r>
        <w:rPr>
          <w:rFonts w:ascii="宋体" w:hAnsi="宋体" w:eastAsia="宋体" w:cs="宋体"/>
          <w:spacing w:val="19"/>
          <w:sz w:val="23"/>
          <w:szCs w:val="23"/>
        </w:rPr>
        <w:t>项目污水，建设单位将粪水运至该公司既节省了建设成本，又能实现畜禽粪污基本实</w:t>
      </w:r>
      <w:r>
        <w:rPr>
          <w:rFonts w:ascii="宋体" w:hAnsi="宋体" w:eastAsia="宋体" w:cs="宋体"/>
          <w:sz w:val="23"/>
          <w:szCs w:val="23"/>
        </w:rPr>
        <w:t xml:space="preserve"> </w:t>
      </w:r>
      <w:r>
        <w:rPr>
          <w:rFonts w:ascii="宋体" w:hAnsi="宋体" w:eastAsia="宋体" w:cs="宋体"/>
          <w:spacing w:val="14"/>
          <w:sz w:val="23"/>
          <w:szCs w:val="23"/>
        </w:rPr>
        <w:t>现</w:t>
      </w:r>
      <w:r>
        <w:rPr>
          <w:rFonts w:ascii="宋体" w:hAnsi="宋体" w:eastAsia="宋体" w:cs="宋体"/>
          <w:spacing w:val="13"/>
          <w:sz w:val="23"/>
          <w:szCs w:val="23"/>
        </w:rPr>
        <w:t>资源化利用。</w:t>
      </w:r>
    </w:p>
    <w:p w14:paraId="6824EFCC">
      <w:pPr>
        <w:spacing w:before="5" w:line="374" w:lineRule="auto"/>
        <w:ind w:left="10" w:right="21" w:firstLine="482"/>
        <w:rPr>
          <w:rFonts w:ascii="宋体" w:hAnsi="宋体" w:eastAsia="宋体" w:cs="宋体"/>
          <w:sz w:val="23"/>
          <w:szCs w:val="23"/>
        </w:rPr>
      </w:pPr>
      <w:r>
        <w:rPr>
          <w:rFonts w:ascii="宋体" w:hAnsi="宋体" w:eastAsia="宋体" w:cs="宋体"/>
          <w:spacing w:val="12"/>
          <w:sz w:val="23"/>
          <w:szCs w:val="23"/>
          <w14:textOutline w14:w="4356" w14:cap="sq" w14:cmpd="sng" w14:algn="ctr">
            <w14:solidFill>
              <w14:srgbClr w14:val="000000"/>
            </w14:solidFill>
            <w14:prstDash w14:val="solid"/>
            <w14:bevel/>
          </w14:textOutline>
        </w:rPr>
        <w:t>异</w:t>
      </w:r>
      <w:r>
        <w:rPr>
          <w:rFonts w:ascii="宋体" w:hAnsi="宋体" w:eastAsia="宋体" w:cs="宋体"/>
          <w:spacing w:val="7"/>
          <w:sz w:val="23"/>
          <w:szCs w:val="23"/>
          <w14:textOutline w14:w="4356" w14:cap="sq" w14:cmpd="sng" w14:algn="ctr">
            <w14:solidFill>
              <w14:srgbClr w14:val="000000"/>
            </w14:solidFill>
            <w14:prstDash w14:val="solid"/>
            <w14:bevel/>
          </w14:textOutline>
        </w:rPr>
        <w:t>位发酵床：</w:t>
      </w:r>
      <w:r>
        <w:rPr>
          <w:rFonts w:ascii="宋体" w:hAnsi="宋体" w:eastAsia="宋体" w:cs="宋体"/>
          <w:spacing w:val="7"/>
          <w:sz w:val="23"/>
          <w:szCs w:val="23"/>
        </w:rPr>
        <w:t>本项目猪粪采用干式清粪工艺，每日清扫，猪粪由机械收集清除后，排入</w:t>
      </w:r>
      <w:r>
        <w:rPr>
          <w:rFonts w:ascii="宋体" w:hAnsi="宋体" w:eastAsia="宋体" w:cs="宋体"/>
          <w:sz w:val="23"/>
          <w:szCs w:val="23"/>
        </w:rPr>
        <w:t xml:space="preserve"> </w:t>
      </w:r>
      <w:r>
        <w:rPr>
          <w:rFonts w:ascii="宋体" w:hAnsi="宋体" w:eastAsia="宋体" w:cs="宋体"/>
          <w:spacing w:val="3"/>
          <w:sz w:val="23"/>
          <w:szCs w:val="23"/>
        </w:rPr>
        <w:t>粪水化粪池中，与养殖废水搅拌混匀后均匀喷洒至垫料上，利用在垫料中生长繁殖的发酵</w:t>
      </w:r>
      <w:r>
        <w:rPr>
          <w:rFonts w:ascii="宋体" w:hAnsi="宋体" w:eastAsia="宋体" w:cs="宋体"/>
          <w:spacing w:val="1"/>
          <w:sz w:val="23"/>
          <w:szCs w:val="23"/>
        </w:rPr>
        <w:t>菌</w:t>
      </w:r>
      <w:r>
        <w:rPr>
          <w:rFonts w:ascii="宋体" w:hAnsi="宋体" w:eastAsia="宋体" w:cs="宋体"/>
          <w:sz w:val="23"/>
          <w:szCs w:val="23"/>
        </w:rPr>
        <w:t xml:space="preserve">， </w:t>
      </w:r>
      <w:r>
        <w:rPr>
          <w:rFonts w:ascii="宋体" w:hAnsi="宋体" w:eastAsia="宋体" w:cs="宋体"/>
          <w:spacing w:val="14"/>
          <w:sz w:val="23"/>
          <w:szCs w:val="23"/>
        </w:rPr>
        <w:t>使</w:t>
      </w:r>
      <w:r>
        <w:rPr>
          <w:rFonts w:ascii="宋体" w:hAnsi="宋体" w:eastAsia="宋体" w:cs="宋体"/>
          <w:spacing w:val="7"/>
          <w:sz w:val="23"/>
          <w:szCs w:val="23"/>
        </w:rPr>
        <w:t>粪污中的有机物质得到充分的分解和转化，从而降解、消化粪污。在此过程中，粪污中水</w:t>
      </w:r>
      <w:r>
        <w:rPr>
          <w:rFonts w:ascii="宋体" w:hAnsi="宋体" w:eastAsia="宋体" w:cs="宋体"/>
          <w:sz w:val="23"/>
          <w:szCs w:val="23"/>
        </w:rPr>
        <w:t xml:space="preserve"> </w:t>
      </w:r>
      <w:r>
        <w:rPr>
          <w:rFonts w:ascii="宋体" w:hAnsi="宋体" w:eastAsia="宋体" w:cs="宋体"/>
          <w:spacing w:val="14"/>
          <w:sz w:val="23"/>
          <w:szCs w:val="23"/>
        </w:rPr>
        <w:t>分</w:t>
      </w:r>
      <w:r>
        <w:rPr>
          <w:rFonts w:ascii="宋体" w:hAnsi="宋体" w:eastAsia="宋体" w:cs="宋体"/>
          <w:spacing w:val="7"/>
          <w:sz w:val="23"/>
          <w:szCs w:val="23"/>
        </w:rPr>
        <w:t>大部分蒸发，未能降解的残留有机物部分转化为腐殖质，粪污中病原体也在长时间的高温</w:t>
      </w:r>
      <w:r>
        <w:rPr>
          <w:rFonts w:ascii="宋体" w:hAnsi="宋体" w:eastAsia="宋体" w:cs="宋体"/>
          <w:sz w:val="23"/>
          <w:szCs w:val="23"/>
        </w:rPr>
        <w:t xml:space="preserve"> </w:t>
      </w:r>
      <w:r>
        <w:rPr>
          <w:rFonts w:ascii="宋体" w:hAnsi="宋体" w:eastAsia="宋体" w:cs="宋体"/>
          <w:spacing w:val="14"/>
          <w:sz w:val="23"/>
          <w:szCs w:val="23"/>
        </w:rPr>
        <w:t>环</w:t>
      </w:r>
      <w:r>
        <w:rPr>
          <w:rFonts w:ascii="宋体" w:hAnsi="宋体" w:eastAsia="宋体" w:cs="宋体"/>
          <w:spacing w:val="7"/>
          <w:sz w:val="23"/>
          <w:szCs w:val="23"/>
        </w:rPr>
        <w:t>境中失活，达到养殖场无污水排放及粪污无害化、资源化的目的，定期更换的废垫料作为</w:t>
      </w:r>
      <w:r>
        <w:rPr>
          <w:rFonts w:ascii="宋体" w:hAnsi="宋体" w:eastAsia="宋体" w:cs="宋体"/>
          <w:sz w:val="23"/>
          <w:szCs w:val="23"/>
        </w:rPr>
        <w:t xml:space="preserve"> </w:t>
      </w:r>
      <w:r>
        <w:rPr>
          <w:rFonts w:ascii="宋体" w:hAnsi="宋体" w:eastAsia="宋体" w:cs="宋体"/>
          <w:spacing w:val="10"/>
          <w:sz w:val="23"/>
          <w:szCs w:val="23"/>
        </w:rPr>
        <w:t>有</w:t>
      </w:r>
      <w:r>
        <w:rPr>
          <w:rFonts w:ascii="宋体" w:hAnsi="宋体" w:eastAsia="宋体" w:cs="宋体"/>
          <w:spacing w:val="6"/>
          <w:sz w:val="23"/>
          <w:szCs w:val="23"/>
        </w:rPr>
        <w:t>机肥外售。</w:t>
      </w:r>
    </w:p>
    <w:p w14:paraId="6C1041F1">
      <w:pPr>
        <w:spacing w:before="3" w:line="374" w:lineRule="auto"/>
        <w:ind w:left="11" w:right="2" w:firstLine="481"/>
        <w:rPr>
          <w:rFonts w:ascii="宋体" w:hAnsi="宋体" w:eastAsia="宋体" w:cs="宋体"/>
          <w:sz w:val="23"/>
          <w:szCs w:val="23"/>
        </w:rPr>
      </w:pPr>
      <w:r>
        <w:rPr>
          <w:rFonts w:ascii="宋体" w:hAnsi="宋体" w:eastAsia="宋体" w:cs="宋体"/>
          <w:spacing w:val="3"/>
          <w:sz w:val="23"/>
          <w:szCs w:val="23"/>
        </w:rPr>
        <w:t>异位微生物发酵系统为封闭车间，配置防雨淋设施和雨水排水系统，场内做好防渗措施</w:t>
      </w:r>
      <w:r>
        <w:rPr>
          <w:rFonts w:ascii="宋体" w:hAnsi="宋体" w:eastAsia="宋体" w:cs="宋体"/>
          <w:sz w:val="23"/>
          <w:szCs w:val="23"/>
        </w:rPr>
        <w:t xml:space="preserve">。 </w:t>
      </w:r>
      <w:r>
        <w:rPr>
          <w:rFonts w:ascii="宋体" w:hAnsi="宋体" w:eastAsia="宋体" w:cs="宋体"/>
          <w:spacing w:val="7"/>
          <w:sz w:val="23"/>
          <w:szCs w:val="23"/>
        </w:rPr>
        <w:t>发酵处理必须建立明确的粪便入库单、有机肥出库记录及肥料输送档案 (或台账) 。粪</w:t>
      </w:r>
      <w:r>
        <w:rPr>
          <w:rFonts w:ascii="宋体" w:hAnsi="宋体" w:eastAsia="宋体" w:cs="宋体"/>
          <w:spacing w:val="6"/>
          <w:sz w:val="23"/>
          <w:szCs w:val="23"/>
        </w:rPr>
        <w:t>便</w:t>
      </w:r>
      <w:r>
        <w:rPr>
          <w:rFonts w:ascii="宋体" w:hAnsi="宋体" w:eastAsia="宋体" w:cs="宋体"/>
          <w:sz w:val="23"/>
          <w:szCs w:val="23"/>
        </w:rPr>
        <w:t xml:space="preserve">发 </w:t>
      </w:r>
      <w:r>
        <w:rPr>
          <w:rFonts w:ascii="宋体" w:hAnsi="宋体" w:eastAsia="宋体" w:cs="宋体"/>
          <w:spacing w:val="13"/>
          <w:sz w:val="23"/>
          <w:szCs w:val="23"/>
        </w:rPr>
        <w:t>酵</w:t>
      </w:r>
      <w:r>
        <w:rPr>
          <w:rFonts w:ascii="宋体" w:hAnsi="宋体" w:eastAsia="宋体" w:cs="宋体"/>
          <w:spacing w:val="7"/>
          <w:sz w:val="23"/>
          <w:szCs w:val="23"/>
        </w:rPr>
        <w:t>后运出必须采用袋装密闭存于成品堆肥存放场，清运时严禁沿途洒落，避免洒落的干粪被</w:t>
      </w:r>
      <w:r>
        <w:rPr>
          <w:rFonts w:ascii="宋体" w:hAnsi="宋体" w:eastAsia="宋体" w:cs="宋体"/>
          <w:sz w:val="23"/>
          <w:szCs w:val="23"/>
        </w:rPr>
        <w:t xml:space="preserve"> </w:t>
      </w:r>
      <w:r>
        <w:rPr>
          <w:rFonts w:ascii="宋体" w:hAnsi="宋体" w:eastAsia="宋体" w:cs="宋体"/>
          <w:spacing w:val="13"/>
          <w:sz w:val="23"/>
          <w:szCs w:val="23"/>
        </w:rPr>
        <w:t>雨</w:t>
      </w:r>
      <w:r>
        <w:rPr>
          <w:rFonts w:ascii="宋体" w:hAnsi="宋体" w:eastAsia="宋体" w:cs="宋体"/>
          <w:spacing w:val="8"/>
          <w:sz w:val="23"/>
          <w:szCs w:val="23"/>
        </w:rPr>
        <w:t>水冲刷污染土壤和地下水。</w:t>
      </w:r>
    </w:p>
    <w:p w14:paraId="46BEBCC7">
      <w:pPr>
        <w:spacing w:before="1" w:line="374" w:lineRule="auto"/>
        <w:ind w:left="10" w:right="82" w:firstLine="480"/>
        <w:rPr>
          <w:rFonts w:ascii="宋体" w:hAnsi="宋体" w:eastAsia="宋体" w:cs="宋体"/>
          <w:sz w:val="23"/>
          <w:szCs w:val="23"/>
        </w:rPr>
      </w:pPr>
      <w:r>
        <w:rPr>
          <w:rFonts w:ascii="宋体" w:hAnsi="宋体" w:eastAsia="宋体" w:cs="宋体"/>
          <w:spacing w:val="8"/>
          <w:sz w:val="23"/>
          <w:szCs w:val="23"/>
        </w:rPr>
        <w:t>加</w:t>
      </w:r>
      <w:r>
        <w:rPr>
          <w:rFonts w:ascii="宋体" w:hAnsi="宋体" w:eastAsia="宋体" w:cs="宋体"/>
          <w:spacing w:val="7"/>
          <w:sz w:val="23"/>
          <w:szCs w:val="23"/>
        </w:rPr>
        <w:t>强厂区管理，在运输有机肥的途中发现有洒落的情况时，及时清扫，避免洒落的有机</w:t>
      </w:r>
      <w:r>
        <w:rPr>
          <w:rFonts w:ascii="宋体" w:hAnsi="宋体" w:eastAsia="宋体" w:cs="宋体"/>
          <w:sz w:val="23"/>
          <w:szCs w:val="23"/>
        </w:rPr>
        <w:t xml:space="preserve"> </w:t>
      </w:r>
      <w:r>
        <w:rPr>
          <w:rFonts w:ascii="宋体" w:hAnsi="宋体" w:eastAsia="宋体" w:cs="宋体"/>
          <w:spacing w:val="16"/>
          <w:sz w:val="23"/>
          <w:szCs w:val="23"/>
        </w:rPr>
        <w:t>肥</w:t>
      </w:r>
      <w:r>
        <w:rPr>
          <w:rFonts w:ascii="宋体" w:hAnsi="宋体" w:eastAsia="宋体" w:cs="宋体"/>
          <w:spacing w:val="10"/>
          <w:sz w:val="23"/>
          <w:szCs w:val="23"/>
        </w:rPr>
        <w:t>被</w:t>
      </w:r>
      <w:r>
        <w:rPr>
          <w:rFonts w:ascii="宋体" w:hAnsi="宋体" w:eastAsia="宋体" w:cs="宋体"/>
          <w:spacing w:val="8"/>
          <w:sz w:val="23"/>
          <w:szCs w:val="23"/>
        </w:rPr>
        <w:t>雨水冲刷污染土壤和地下水。</w:t>
      </w:r>
    </w:p>
    <w:p w14:paraId="1E5CEC72">
      <w:pPr>
        <w:spacing w:line="375" w:lineRule="auto"/>
        <w:ind w:left="15" w:right="77" w:firstLine="480"/>
        <w:rPr>
          <w:rFonts w:ascii="宋体" w:hAnsi="宋体" w:eastAsia="宋体" w:cs="宋体"/>
          <w:sz w:val="23"/>
          <w:szCs w:val="23"/>
        </w:rPr>
      </w:pPr>
      <w:r>
        <w:rPr>
          <w:rFonts w:ascii="宋体" w:hAnsi="宋体" w:eastAsia="宋体" w:cs="宋体"/>
          <w:spacing w:val="8"/>
          <w:sz w:val="23"/>
          <w:szCs w:val="23"/>
        </w:rPr>
        <w:t>《四川省畜</w:t>
      </w:r>
      <w:r>
        <w:rPr>
          <w:rFonts w:ascii="宋体" w:hAnsi="宋体" w:eastAsia="宋体" w:cs="宋体"/>
          <w:spacing w:val="4"/>
          <w:sz w:val="23"/>
          <w:szCs w:val="23"/>
        </w:rPr>
        <w:t>禽养殖污染防治技术指南 (试行) 》  (川农业函〔</w:t>
      </w:r>
      <w:r>
        <w:rPr>
          <w:rFonts w:ascii="Times New Roman" w:hAnsi="Times New Roman" w:eastAsia="Times New Roman" w:cs="Times New Roman"/>
          <w:spacing w:val="4"/>
          <w:sz w:val="23"/>
          <w:szCs w:val="23"/>
        </w:rPr>
        <w:t>2017</w:t>
      </w:r>
      <w:r>
        <w:rPr>
          <w:rFonts w:ascii="宋体" w:hAnsi="宋体" w:eastAsia="宋体" w:cs="宋体"/>
          <w:spacing w:val="4"/>
          <w:sz w:val="23"/>
          <w:szCs w:val="23"/>
        </w:rPr>
        <w:t>〕</w:t>
      </w:r>
      <w:r>
        <w:rPr>
          <w:rFonts w:ascii="Times New Roman" w:hAnsi="Times New Roman" w:eastAsia="Times New Roman" w:cs="Times New Roman"/>
          <w:spacing w:val="4"/>
          <w:sz w:val="23"/>
          <w:szCs w:val="23"/>
        </w:rPr>
        <w:t xml:space="preserve">647 </w:t>
      </w:r>
      <w:r>
        <w:rPr>
          <w:rFonts w:ascii="宋体" w:hAnsi="宋体" w:eastAsia="宋体" w:cs="宋体"/>
          <w:spacing w:val="4"/>
          <w:sz w:val="23"/>
          <w:szCs w:val="23"/>
        </w:rPr>
        <w:t>号) 推荐了异</w:t>
      </w:r>
      <w:r>
        <w:rPr>
          <w:rFonts w:ascii="宋体" w:hAnsi="宋体" w:eastAsia="宋体" w:cs="宋体"/>
          <w:sz w:val="23"/>
          <w:szCs w:val="23"/>
        </w:rPr>
        <w:t xml:space="preserve"> </w:t>
      </w:r>
      <w:r>
        <w:rPr>
          <w:rFonts w:ascii="宋体" w:hAnsi="宋体" w:eastAsia="宋体" w:cs="宋体"/>
          <w:spacing w:val="8"/>
          <w:sz w:val="23"/>
          <w:szCs w:val="23"/>
        </w:rPr>
        <w:t>味</w:t>
      </w:r>
      <w:r>
        <w:rPr>
          <w:rFonts w:ascii="宋体" w:hAnsi="宋体" w:eastAsia="宋体" w:cs="宋体"/>
          <w:spacing w:val="7"/>
          <w:sz w:val="23"/>
          <w:szCs w:val="23"/>
        </w:rPr>
        <w:t>微生物发酵床的粪污处理模式，因此项目采取的粪污处理工艺与《四川省畜禽养殖污染防</w:t>
      </w:r>
      <w:r>
        <w:rPr>
          <w:rFonts w:ascii="宋体" w:hAnsi="宋体" w:eastAsia="宋体" w:cs="宋体"/>
          <w:sz w:val="23"/>
          <w:szCs w:val="23"/>
        </w:rPr>
        <w:t xml:space="preserve"> </w:t>
      </w:r>
      <w:r>
        <w:rPr>
          <w:rFonts w:ascii="宋体" w:hAnsi="宋体" w:eastAsia="宋体" w:cs="宋体"/>
          <w:spacing w:val="7"/>
          <w:sz w:val="23"/>
          <w:szCs w:val="23"/>
        </w:rPr>
        <w:t>治技术指南 (试行) 》相符</w:t>
      </w:r>
      <w:r>
        <w:rPr>
          <w:rFonts w:ascii="宋体" w:hAnsi="宋体" w:eastAsia="宋体" w:cs="宋体"/>
          <w:spacing w:val="6"/>
          <w:sz w:val="23"/>
          <w:szCs w:val="23"/>
        </w:rPr>
        <w:t>。</w:t>
      </w:r>
    </w:p>
    <w:p w14:paraId="6DE79632">
      <w:pPr>
        <w:spacing w:line="228" w:lineRule="auto"/>
        <w:ind w:left="50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2</w:t>
      </w:r>
      <w:r>
        <w:rPr>
          <w:rFonts w:ascii="宋体" w:hAnsi="宋体" w:eastAsia="宋体" w:cs="宋体"/>
          <w:spacing w:val="20"/>
          <w:sz w:val="23"/>
          <w:szCs w:val="23"/>
        </w:rPr>
        <w:t>) 病死猪</w:t>
      </w:r>
      <w:r>
        <w:rPr>
          <w:rFonts w:ascii="宋体" w:hAnsi="宋体" w:eastAsia="宋体" w:cs="宋体"/>
          <w:spacing w:val="19"/>
          <w:sz w:val="23"/>
          <w:szCs w:val="23"/>
        </w:rPr>
        <w:t>只</w:t>
      </w:r>
    </w:p>
    <w:p w14:paraId="6879F2A0">
      <w:pPr>
        <w:spacing w:before="181" w:line="363" w:lineRule="auto"/>
        <w:ind w:left="14" w:right="80" w:firstLine="478"/>
        <w:rPr>
          <w:rFonts w:ascii="宋体" w:hAnsi="宋体" w:eastAsia="宋体" w:cs="宋体"/>
          <w:sz w:val="23"/>
          <w:szCs w:val="23"/>
        </w:rPr>
      </w:pPr>
      <w:r>
        <w:rPr>
          <w:rFonts w:ascii="宋体" w:hAnsi="宋体" w:eastAsia="宋体" w:cs="宋体"/>
          <w:spacing w:val="7"/>
          <w:sz w:val="23"/>
          <w:szCs w:val="23"/>
        </w:rPr>
        <w:t>生猪的疫病发生率跟猪场的饲养管理水平、气候、季节等息息相关，本项目采取严格</w:t>
      </w:r>
      <w:r>
        <w:rPr>
          <w:rFonts w:ascii="宋体" w:hAnsi="宋体" w:eastAsia="宋体" w:cs="宋体"/>
          <w:spacing w:val="6"/>
          <w:sz w:val="23"/>
          <w:szCs w:val="23"/>
        </w:rPr>
        <w:t>的</w:t>
      </w:r>
      <w:r>
        <w:rPr>
          <w:rFonts w:ascii="宋体" w:hAnsi="宋体" w:eastAsia="宋体" w:cs="宋体"/>
          <w:sz w:val="23"/>
          <w:szCs w:val="23"/>
        </w:rPr>
        <w:t xml:space="preserve"> </w:t>
      </w:r>
      <w:r>
        <w:rPr>
          <w:rFonts w:ascii="宋体" w:hAnsi="宋体" w:eastAsia="宋体" w:cs="宋体"/>
          <w:spacing w:val="10"/>
          <w:sz w:val="23"/>
          <w:szCs w:val="23"/>
        </w:rPr>
        <w:t>消</w:t>
      </w:r>
      <w:r>
        <w:rPr>
          <w:rFonts w:ascii="宋体" w:hAnsi="宋体" w:eastAsia="宋体" w:cs="宋体"/>
          <w:spacing w:val="7"/>
          <w:sz w:val="23"/>
          <w:szCs w:val="23"/>
        </w:rPr>
        <w:t>毒防疫措施，定期对猪舍进行清洗消毒，为猪只接种疫苗，对进出猪舍的人员、车辆等进</w:t>
      </w:r>
      <w:r>
        <w:rPr>
          <w:rFonts w:ascii="宋体" w:hAnsi="宋体" w:eastAsia="宋体" w:cs="宋体"/>
          <w:sz w:val="23"/>
          <w:szCs w:val="23"/>
        </w:rPr>
        <w:t xml:space="preserve"> </w:t>
      </w:r>
      <w:r>
        <w:rPr>
          <w:rFonts w:ascii="宋体" w:hAnsi="宋体" w:eastAsia="宋体" w:cs="宋体"/>
          <w:spacing w:val="12"/>
          <w:sz w:val="23"/>
          <w:szCs w:val="23"/>
        </w:rPr>
        <w:t>行</w:t>
      </w:r>
      <w:r>
        <w:rPr>
          <w:rFonts w:ascii="宋体" w:hAnsi="宋体" w:eastAsia="宋体" w:cs="宋体"/>
          <w:spacing w:val="7"/>
          <w:sz w:val="23"/>
          <w:szCs w:val="23"/>
        </w:rPr>
        <w:t>严格消毒，从源头控制猪场疫病的发生。根据企业提供资料及类比同类型生猪养殖场，保</w:t>
      </w:r>
    </w:p>
    <w:p w14:paraId="295DC4B6">
      <w:pPr>
        <w:spacing w:line="322" w:lineRule="exact"/>
        <w:ind w:left="19"/>
        <w:rPr>
          <w:rFonts w:ascii="宋体" w:hAnsi="宋体" w:eastAsia="宋体" w:cs="宋体"/>
          <w:sz w:val="23"/>
          <w:szCs w:val="23"/>
        </w:rPr>
      </w:pPr>
      <w:r>
        <w:rPr>
          <w:rFonts w:ascii="宋体" w:hAnsi="宋体" w:eastAsia="宋体" w:cs="宋体"/>
          <w:spacing w:val="6"/>
          <w:position w:val="3"/>
          <w:sz w:val="23"/>
          <w:szCs w:val="23"/>
        </w:rPr>
        <w:t>育肥猪的死亡率</w:t>
      </w:r>
      <w:r>
        <w:rPr>
          <w:rFonts w:ascii="宋体" w:hAnsi="宋体" w:eastAsia="宋体" w:cs="宋体"/>
          <w:spacing w:val="3"/>
          <w:position w:val="3"/>
          <w:sz w:val="23"/>
          <w:szCs w:val="23"/>
        </w:rPr>
        <w:t xml:space="preserve">按 </w:t>
      </w:r>
      <w:r>
        <w:rPr>
          <w:rFonts w:ascii="Times New Roman" w:hAnsi="Times New Roman" w:eastAsia="Times New Roman" w:cs="Times New Roman"/>
          <w:spacing w:val="3"/>
          <w:position w:val="3"/>
          <w:sz w:val="23"/>
          <w:szCs w:val="23"/>
        </w:rPr>
        <w:t>2%</w:t>
      </w:r>
      <w:r>
        <w:rPr>
          <w:rFonts w:ascii="宋体" w:hAnsi="宋体" w:eastAsia="宋体" w:cs="宋体"/>
          <w:spacing w:val="3"/>
          <w:position w:val="3"/>
          <w:sz w:val="23"/>
          <w:szCs w:val="23"/>
        </w:rPr>
        <w:t xml:space="preserve">来计算，死亡的育肥猪按 </w:t>
      </w:r>
      <w:r>
        <w:rPr>
          <w:rFonts w:ascii="Times New Roman" w:hAnsi="Times New Roman" w:eastAsia="Times New Roman" w:cs="Times New Roman"/>
          <w:spacing w:val="3"/>
          <w:position w:val="3"/>
          <w:sz w:val="23"/>
          <w:szCs w:val="23"/>
        </w:rPr>
        <w:t>70</w:t>
      </w:r>
      <w:r>
        <w:rPr>
          <w:rFonts w:ascii="Times New Roman" w:hAnsi="Times New Roman" w:eastAsia="Times New Roman" w:cs="Times New Roman"/>
          <w:position w:val="3"/>
          <w:sz w:val="23"/>
          <w:szCs w:val="23"/>
        </w:rPr>
        <w:t>kg</w:t>
      </w:r>
      <w:r>
        <w:rPr>
          <w:rFonts w:ascii="Times New Roman" w:hAnsi="Times New Roman" w:eastAsia="Times New Roman" w:cs="Times New Roman"/>
          <w:spacing w:val="3"/>
          <w:position w:val="3"/>
          <w:sz w:val="23"/>
          <w:szCs w:val="23"/>
        </w:rPr>
        <w:t>/</w:t>
      </w:r>
      <w:r>
        <w:rPr>
          <w:rFonts w:ascii="宋体" w:hAnsi="宋体" w:eastAsia="宋体" w:cs="宋体"/>
          <w:spacing w:val="3"/>
          <w:position w:val="3"/>
          <w:sz w:val="23"/>
          <w:szCs w:val="23"/>
        </w:rPr>
        <w:t xml:space="preserve">头计，项目存栏量为育肥猪 </w:t>
      </w:r>
      <w:r>
        <w:rPr>
          <w:rFonts w:ascii="Times New Roman" w:hAnsi="Times New Roman" w:eastAsia="Times New Roman" w:cs="Times New Roman"/>
          <w:spacing w:val="3"/>
          <w:position w:val="3"/>
          <w:sz w:val="23"/>
          <w:szCs w:val="23"/>
        </w:rPr>
        <w:t xml:space="preserve">10400 </w:t>
      </w:r>
      <w:r>
        <w:rPr>
          <w:rFonts w:ascii="宋体" w:hAnsi="宋体" w:eastAsia="宋体" w:cs="宋体"/>
          <w:spacing w:val="3"/>
          <w:position w:val="3"/>
          <w:sz w:val="23"/>
          <w:szCs w:val="23"/>
        </w:rPr>
        <w:t>头。</w:t>
      </w:r>
    </w:p>
    <w:p w14:paraId="0D5032C4">
      <w:pPr>
        <w:spacing w:before="144" w:line="381" w:lineRule="auto"/>
        <w:ind w:left="11" w:right="80" w:firstLine="3"/>
        <w:rPr>
          <w:rFonts w:ascii="宋体" w:hAnsi="宋体" w:eastAsia="宋体" w:cs="宋体"/>
          <w:sz w:val="23"/>
          <w:szCs w:val="23"/>
        </w:rPr>
      </w:pPr>
      <w:r>
        <w:rPr>
          <w:rFonts w:ascii="宋体" w:hAnsi="宋体" w:eastAsia="宋体" w:cs="宋体"/>
          <w:spacing w:val="4"/>
          <w:sz w:val="23"/>
          <w:szCs w:val="23"/>
        </w:rPr>
        <w:t xml:space="preserve">则项目病死猪重约为 </w:t>
      </w:r>
      <w:r>
        <w:rPr>
          <w:rFonts w:ascii="Times New Roman" w:hAnsi="Times New Roman" w:eastAsia="Times New Roman" w:cs="Times New Roman"/>
          <w:spacing w:val="4"/>
          <w:sz w:val="23"/>
          <w:szCs w:val="23"/>
        </w:rPr>
        <w:t>14</w:t>
      </w:r>
      <w:r>
        <w:rPr>
          <w:rFonts w:ascii="Times New Roman" w:hAnsi="Times New Roman" w:eastAsia="Times New Roman" w:cs="Times New Roman"/>
          <w:spacing w:val="2"/>
          <w:sz w:val="23"/>
          <w:szCs w:val="23"/>
        </w:rPr>
        <w:t>.56</w:t>
      </w:r>
      <w:r>
        <w:rPr>
          <w:rFonts w:ascii="Times New Roman" w:hAnsi="Times New Roman" w:eastAsia="Times New Roman" w:cs="Times New Roman"/>
          <w:sz w:val="23"/>
          <w:szCs w:val="23"/>
        </w:rPr>
        <w:t>t</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a</w:t>
      </w:r>
      <w:r>
        <w:rPr>
          <w:rFonts w:ascii="宋体" w:hAnsi="宋体" w:eastAsia="宋体" w:cs="宋体"/>
          <w:spacing w:val="2"/>
          <w:sz w:val="23"/>
          <w:szCs w:val="23"/>
        </w:rPr>
        <w:t>。项目产生的病死猪严格按照乐山市沙湾区人民政府办公室《关</w:t>
      </w:r>
      <w:r>
        <w:rPr>
          <w:rFonts w:ascii="宋体" w:hAnsi="宋体" w:eastAsia="宋体" w:cs="宋体"/>
          <w:sz w:val="23"/>
          <w:szCs w:val="23"/>
        </w:rPr>
        <w:t xml:space="preserve"> </w:t>
      </w:r>
      <w:r>
        <w:rPr>
          <w:rFonts w:ascii="宋体" w:hAnsi="宋体" w:eastAsia="宋体" w:cs="宋体"/>
          <w:spacing w:val="10"/>
          <w:sz w:val="23"/>
          <w:szCs w:val="23"/>
        </w:rPr>
        <w:t>于</w:t>
      </w:r>
      <w:r>
        <w:rPr>
          <w:rFonts w:ascii="宋体" w:hAnsi="宋体" w:eastAsia="宋体" w:cs="宋体"/>
          <w:spacing w:val="8"/>
          <w:sz w:val="23"/>
          <w:szCs w:val="23"/>
        </w:rPr>
        <w:t>建</w:t>
      </w:r>
      <w:r>
        <w:rPr>
          <w:rFonts w:ascii="宋体" w:hAnsi="宋体" w:eastAsia="宋体" w:cs="宋体"/>
          <w:spacing w:val="5"/>
          <w:sz w:val="23"/>
          <w:szCs w:val="23"/>
        </w:rPr>
        <w:t>立病死畜禽无害化处理机制的通知》  (乐沙府办函</w:t>
      </w:r>
      <w:r>
        <w:rPr>
          <w:rFonts w:ascii="Times New Roman" w:hAnsi="Times New Roman" w:eastAsia="Times New Roman" w:cs="Times New Roman"/>
          <w:spacing w:val="5"/>
          <w:sz w:val="23"/>
          <w:szCs w:val="23"/>
        </w:rPr>
        <w:t xml:space="preserve">[2018] 1 </w:t>
      </w:r>
      <w:r>
        <w:rPr>
          <w:rFonts w:ascii="宋体" w:hAnsi="宋体" w:eastAsia="宋体" w:cs="宋体"/>
          <w:spacing w:val="5"/>
          <w:sz w:val="23"/>
          <w:szCs w:val="23"/>
        </w:rPr>
        <w:t>号) 要求处置，在乐山市病</w:t>
      </w:r>
      <w:r>
        <w:rPr>
          <w:rFonts w:ascii="宋体" w:hAnsi="宋体" w:eastAsia="宋体" w:cs="宋体"/>
          <w:sz w:val="23"/>
          <w:szCs w:val="23"/>
        </w:rPr>
        <w:t xml:space="preserve"> </w:t>
      </w:r>
      <w:r>
        <w:rPr>
          <w:rFonts w:ascii="宋体" w:hAnsi="宋体" w:eastAsia="宋体" w:cs="宋体"/>
          <w:spacing w:val="13"/>
          <w:sz w:val="23"/>
          <w:szCs w:val="23"/>
        </w:rPr>
        <w:t>死</w:t>
      </w:r>
      <w:r>
        <w:rPr>
          <w:rFonts w:ascii="宋体" w:hAnsi="宋体" w:eastAsia="宋体" w:cs="宋体"/>
          <w:spacing w:val="7"/>
          <w:sz w:val="23"/>
          <w:szCs w:val="23"/>
        </w:rPr>
        <w:t>畜禽无害化处理中心建成之前，委托专业化的公司进行无害化处置，乐山市病死畜禽无害</w:t>
      </w:r>
      <w:r>
        <w:rPr>
          <w:rFonts w:ascii="宋体" w:hAnsi="宋体" w:eastAsia="宋体" w:cs="宋体"/>
          <w:sz w:val="23"/>
          <w:szCs w:val="23"/>
        </w:rPr>
        <w:t xml:space="preserve"> </w:t>
      </w:r>
      <w:r>
        <w:rPr>
          <w:rFonts w:ascii="宋体" w:hAnsi="宋体" w:eastAsia="宋体" w:cs="宋体"/>
          <w:spacing w:val="9"/>
          <w:sz w:val="23"/>
          <w:szCs w:val="23"/>
        </w:rPr>
        <w:t>化处理中心建成后交无害化处理中心处置</w:t>
      </w:r>
      <w:r>
        <w:rPr>
          <w:rFonts w:ascii="宋体" w:hAnsi="宋体" w:eastAsia="宋体" w:cs="宋体"/>
          <w:spacing w:val="7"/>
          <w:sz w:val="23"/>
          <w:szCs w:val="23"/>
        </w:rPr>
        <w:t>。</w:t>
      </w:r>
    </w:p>
    <w:p w14:paraId="58B848F7">
      <w:pPr>
        <w:sectPr>
          <w:headerReference r:id="rId135" w:type="default"/>
          <w:footerReference r:id="rId136" w:type="default"/>
          <w:pgSz w:w="11907" w:h="16840"/>
          <w:pgMar w:top="829" w:right="1050" w:bottom="1139" w:left="1275" w:header="595" w:footer="953" w:gutter="0"/>
          <w:cols w:space="720" w:num="1"/>
        </w:sectPr>
      </w:pPr>
    </w:p>
    <w:p w14:paraId="30D41BAD">
      <w:pPr>
        <w:spacing w:before="100" w:line="380" w:lineRule="auto"/>
        <w:ind w:left="9" w:right="33" w:firstLine="484"/>
        <w:rPr>
          <w:rFonts w:ascii="宋体" w:hAnsi="宋体" w:eastAsia="宋体" w:cs="宋体"/>
          <w:sz w:val="23"/>
          <w:szCs w:val="23"/>
        </w:rPr>
      </w:pPr>
      <w:r>
        <w:rPr>
          <w:rFonts w:ascii="宋体" w:hAnsi="宋体" w:eastAsia="宋体" w:cs="宋体"/>
          <w:spacing w:val="16"/>
          <w:sz w:val="23"/>
          <w:szCs w:val="23"/>
        </w:rPr>
        <w:t>发现病</w:t>
      </w:r>
      <w:r>
        <w:rPr>
          <w:rFonts w:ascii="宋体" w:hAnsi="宋体" w:eastAsia="宋体" w:cs="宋体"/>
          <w:spacing w:val="12"/>
          <w:sz w:val="23"/>
          <w:szCs w:val="23"/>
        </w:rPr>
        <w:t>死</w:t>
      </w:r>
      <w:r>
        <w:rPr>
          <w:rFonts w:ascii="宋体" w:hAnsi="宋体" w:eastAsia="宋体" w:cs="宋体"/>
          <w:spacing w:val="8"/>
          <w:sz w:val="23"/>
          <w:szCs w:val="23"/>
        </w:rPr>
        <w:t>猪时，建设单位向当地的畜牧兽医站</w:t>
      </w:r>
      <w:r>
        <w:rPr>
          <w:rFonts w:ascii="Times New Roman" w:hAnsi="Times New Roman" w:eastAsia="Times New Roman" w:cs="Times New Roman"/>
          <w:spacing w:val="8"/>
          <w:sz w:val="23"/>
          <w:szCs w:val="23"/>
        </w:rPr>
        <w:t>(</w:t>
      </w:r>
      <w:r>
        <w:rPr>
          <w:rFonts w:ascii="宋体" w:hAnsi="宋体" w:eastAsia="宋体" w:cs="宋体"/>
          <w:spacing w:val="8"/>
          <w:sz w:val="23"/>
          <w:szCs w:val="23"/>
        </w:rPr>
        <w:t>以下简称兽医站</w:t>
      </w:r>
      <w:r>
        <w:rPr>
          <w:rFonts w:ascii="Times New Roman" w:hAnsi="Times New Roman" w:eastAsia="Times New Roman" w:cs="Times New Roman"/>
          <w:spacing w:val="8"/>
          <w:sz w:val="23"/>
          <w:szCs w:val="23"/>
        </w:rPr>
        <w:t>)</w:t>
      </w:r>
      <w:r>
        <w:rPr>
          <w:rFonts w:ascii="宋体" w:hAnsi="宋体" w:eastAsia="宋体" w:cs="宋体"/>
          <w:spacing w:val="8"/>
          <w:sz w:val="23"/>
          <w:szCs w:val="23"/>
        </w:rPr>
        <w:t>无害化监管人员报案，</w:t>
      </w:r>
      <w:r>
        <w:rPr>
          <w:rFonts w:ascii="宋体" w:hAnsi="宋体" w:eastAsia="宋体" w:cs="宋体"/>
          <w:sz w:val="23"/>
          <w:szCs w:val="23"/>
        </w:rPr>
        <w:t xml:space="preserve"> </w:t>
      </w:r>
      <w:r>
        <w:rPr>
          <w:rFonts w:ascii="宋体" w:hAnsi="宋体" w:eastAsia="宋体" w:cs="宋体"/>
          <w:spacing w:val="15"/>
          <w:sz w:val="23"/>
          <w:szCs w:val="23"/>
        </w:rPr>
        <w:t>并</w:t>
      </w:r>
      <w:r>
        <w:rPr>
          <w:rFonts w:ascii="宋体" w:hAnsi="宋体" w:eastAsia="宋体" w:cs="宋体"/>
          <w:spacing w:val="8"/>
          <w:sz w:val="23"/>
          <w:szCs w:val="23"/>
        </w:rPr>
        <w:t xml:space="preserve">妥善临时看管畜禽尸体，兽医站无害化监管人员、无害化处理公司在接到报案 </w:t>
      </w:r>
      <w:r>
        <w:rPr>
          <w:rFonts w:ascii="Times New Roman" w:hAnsi="Times New Roman" w:eastAsia="Times New Roman" w:cs="Times New Roman"/>
          <w:spacing w:val="8"/>
          <w:sz w:val="23"/>
          <w:szCs w:val="23"/>
        </w:rPr>
        <w:t xml:space="preserve">24 </w:t>
      </w:r>
      <w:r>
        <w:rPr>
          <w:rFonts w:ascii="宋体" w:hAnsi="宋体" w:eastAsia="宋体" w:cs="宋体"/>
          <w:spacing w:val="8"/>
          <w:sz w:val="23"/>
          <w:szCs w:val="23"/>
        </w:rPr>
        <w:t>小时内</w:t>
      </w:r>
      <w:r>
        <w:rPr>
          <w:rFonts w:ascii="宋体" w:hAnsi="宋体" w:eastAsia="宋体" w:cs="宋体"/>
          <w:sz w:val="23"/>
          <w:szCs w:val="23"/>
        </w:rPr>
        <w:t xml:space="preserve"> </w:t>
      </w:r>
      <w:r>
        <w:rPr>
          <w:rFonts w:ascii="宋体" w:hAnsi="宋体" w:eastAsia="宋体" w:cs="宋体"/>
          <w:spacing w:val="5"/>
          <w:sz w:val="23"/>
          <w:szCs w:val="23"/>
        </w:rPr>
        <w:t>共</w:t>
      </w:r>
      <w:r>
        <w:rPr>
          <w:rFonts w:ascii="宋体" w:hAnsi="宋体" w:eastAsia="宋体" w:cs="宋体"/>
          <w:spacing w:val="4"/>
          <w:sz w:val="23"/>
          <w:szCs w:val="23"/>
        </w:rPr>
        <w:t>同到场对病死畜禽进行收集。  无害化处理公司在进行病死畜禽收集时</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由兽医站无害化处</w:t>
      </w:r>
      <w:r>
        <w:rPr>
          <w:rFonts w:ascii="宋体" w:hAnsi="宋体" w:eastAsia="宋体" w:cs="宋体"/>
          <w:sz w:val="23"/>
          <w:szCs w:val="23"/>
        </w:rPr>
        <w:t xml:space="preserve"> </w:t>
      </w:r>
      <w:r>
        <w:rPr>
          <w:rFonts w:ascii="宋体" w:hAnsi="宋体" w:eastAsia="宋体" w:cs="宋体"/>
          <w:spacing w:val="22"/>
          <w:sz w:val="23"/>
          <w:szCs w:val="23"/>
        </w:rPr>
        <w:t>理</w:t>
      </w:r>
      <w:r>
        <w:rPr>
          <w:rFonts w:ascii="宋体" w:hAnsi="宋体" w:eastAsia="宋体" w:cs="宋体"/>
          <w:spacing w:val="20"/>
          <w:sz w:val="23"/>
          <w:szCs w:val="23"/>
        </w:rPr>
        <w:t>监</w:t>
      </w:r>
      <w:r>
        <w:rPr>
          <w:rFonts w:ascii="宋体" w:hAnsi="宋体" w:eastAsia="宋体" w:cs="宋体"/>
          <w:spacing w:val="11"/>
          <w:sz w:val="23"/>
          <w:szCs w:val="23"/>
        </w:rPr>
        <w:t>督员现场监督</w:t>
      </w:r>
      <w:r>
        <w:rPr>
          <w:rFonts w:ascii="Times New Roman" w:hAnsi="Times New Roman" w:eastAsia="Times New Roman" w:cs="Times New Roman"/>
          <w:spacing w:val="11"/>
          <w:sz w:val="23"/>
          <w:szCs w:val="23"/>
        </w:rPr>
        <w:t>,</w:t>
      </w:r>
      <w:r>
        <w:rPr>
          <w:rFonts w:ascii="宋体" w:hAnsi="宋体" w:eastAsia="宋体" w:cs="宋体"/>
          <w:spacing w:val="11"/>
          <w:sz w:val="23"/>
          <w:szCs w:val="23"/>
        </w:rPr>
        <w:t>收集完成后由无害化处理公司收集人员做好现场场地和工具的消毒灭源</w:t>
      </w:r>
      <w:r>
        <w:rPr>
          <w:rFonts w:ascii="宋体" w:hAnsi="宋体" w:eastAsia="宋体" w:cs="宋体"/>
          <w:sz w:val="23"/>
          <w:szCs w:val="23"/>
        </w:rPr>
        <w:t xml:space="preserve"> </w:t>
      </w:r>
      <w:r>
        <w:rPr>
          <w:rFonts w:ascii="宋体" w:hAnsi="宋体" w:eastAsia="宋体" w:cs="宋体"/>
          <w:spacing w:val="14"/>
          <w:sz w:val="23"/>
          <w:szCs w:val="23"/>
        </w:rPr>
        <w:t>工</w:t>
      </w:r>
      <w:r>
        <w:rPr>
          <w:rFonts w:ascii="宋体" w:hAnsi="宋体" w:eastAsia="宋体" w:cs="宋体"/>
          <w:spacing w:val="8"/>
          <w:sz w:val="23"/>
          <w:szCs w:val="23"/>
        </w:rPr>
        <w:t>作</w:t>
      </w:r>
      <w:r>
        <w:rPr>
          <w:rFonts w:ascii="宋体" w:hAnsi="宋体" w:eastAsia="宋体" w:cs="宋体"/>
          <w:spacing w:val="7"/>
          <w:sz w:val="23"/>
          <w:szCs w:val="23"/>
        </w:rPr>
        <w:t>。病死畜禽采用专用车辆运送至无害化处理公司处置基地后，严格按照《病死及病害动</w:t>
      </w:r>
      <w:r>
        <w:rPr>
          <w:rFonts w:ascii="宋体" w:hAnsi="宋体" w:eastAsia="宋体" w:cs="宋体"/>
          <w:sz w:val="23"/>
          <w:szCs w:val="23"/>
        </w:rPr>
        <w:t xml:space="preserve"> </w:t>
      </w:r>
      <w:r>
        <w:rPr>
          <w:rFonts w:ascii="宋体" w:hAnsi="宋体" w:eastAsia="宋体" w:cs="宋体"/>
          <w:spacing w:val="7"/>
          <w:sz w:val="23"/>
          <w:szCs w:val="23"/>
        </w:rPr>
        <w:t>物无害化处理技术规范》</w:t>
      </w:r>
      <w:r>
        <w:rPr>
          <w:rFonts w:ascii="Times New Roman" w:hAnsi="Times New Roman" w:eastAsia="Times New Roman" w:cs="Times New Roman"/>
          <w:spacing w:val="7"/>
          <w:sz w:val="23"/>
          <w:szCs w:val="23"/>
        </w:rPr>
        <w:t>(</w:t>
      </w:r>
      <w:r>
        <w:rPr>
          <w:rFonts w:ascii="宋体" w:hAnsi="宋体" w:eastAsia="宋体" w:cs="宋体"/>
          <w:spacing w:val="7"/>
          <w:sz w:val="23"/>
          <w:szCs w:val="23"/>
        </w:rPr>
        <w:t>农医发〔</w:t>
      </w:r>
      <w:r>
        <w:rPr>
          <w:rFonts w:ascii="Times New Roman" w:hAnsi="Times New Roman" w:eastAsia="Times New Roman" w:cs="Times New Roman"/>
          <w:spacing w:val="7"/>
          <w:sz w:val="23"/>
          <w:szCs w:val="23"/>
        </w:rPr>
        <w:t>2017</w:t>
      </w:r>
      <w:r>
        <w:rPr>
          <w:rFonts w:ascii="宋体" w:hAnsi="宋体" w:eastAsia="宋体" w:cs="宋体"/>
          <w:spacing w:val="7"/>
          <w:sz w:val="23"/>
          <w:szCs w:val="23"/>
        </w:rPr>
        <w:t>〕</w:t>
      </w:r>
      <w:r>
        <w:rPr>
          <w:rFonts w:ascii="Times New Roman" w:hAnsi="Times New Roman" w:eastAsia="Times New Roman" w:cs="Times New Roman"/>
          <w:spacing w:val="7"/>
          <w:sz w:val="23"/>
          <w:szCs w:val="23"/>
        </w:rPr>
        <w:t xml:space="preserve">25 </w:t>
      </w:r>
      <w:r>
        <w:rPr>
          <w:rFonts w:ascii="宋体" w:hAnsi="宋体" w:eastAsia="宋体" w:cs="宋体"/>
          <w:spacing w:val="7"/>
          <w:sz w:val="23"/>
          <w:szCs w:val="23"/>
        </w:rPr>
        <w:t>号</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、《病死及死因不明动物处置办法</w:t>
      </w:r>
      <w:r>
        <w:rPr>
          <w:rFonts w:ascii="Times New Roman" w:hAnsi="Times New Roman" w:eastAsia="Times New Roman" w:cs="Times New Roman"/>
          <w:spacing w:val="7"/>
          <w:sz w:val="23"/>
          <w:szCs w:val="23"/>
        </w:rPr>
        <w:t>(</w:t>
      </w:r>
      <w:r>
        <w:rPr>
          <w:rFonts w:ascii="宋体" w:hAnsi="宋体" w:eastAsia="宋体" w:cs="宋体"/>
          <w:spacing w:val="7"/>
          <w:sz w:val="23"/>
          <w:szCs w:val="23"/>
        </w:rPr>
        <w:t>试行</w:t>
      </w:r>
      <w:r>
        <w:rPr>
          <w:rFonts w:ascii="Times New Roman" w:hAnsi="Times New Roman" w:eastAsia="Times New Roman" w:cs="Times New Roman"/>
          <w:spacing w:val="7"/>
          <w:sz w:val="23"/>
          <w:szCs w:val="23"/>
        </w:rPr>
        <w:t>)</w:t>
      </w:r>
      <w:r>
        <w:rPr>
          <w:rFonts w:ascii="宋体" w:hAnsi="宋体" w:eastAsia="宋体" w:cs="宋体"/>
          <w:sz w:val="23"/>
          <w:szCs w:val="23"/>
        </w:rPr>
        <w:t xml:space="preserve">》 </w:t>
      </w:r>
      <w:r>
        <w:rPr>
          <w:rFonts w:ascii="宋体" w:hAnsi="宋体" w:eastAsia="宋体" w:cs="宋体"/>
          <w:spacing w:val="16"/>
          <w:sz w:val="23"/>
          <w:szCs w:val="23"/>
        </w:rPr>
        <w:t>等</w:t>
      </w:r>
      <w:r>
        <w:rPr>
          <w:rFonts w:ascii="宋体" w:hAnsi="宋体" w:eastAsia="宋体" w:cs="宋体"/>
          <w:spacing w:val="9"/>
          <w:sz w:val="23"/>
          <w:szCs w:val="23"/>
        </w:rPr>
        <w:t>法</w:t>
      </w:r>
      <w:r>
        <w:rPr>
          <w:rFonts w:ascii="宋体" w:hAnsi="宋体" w:eastAsia="宋体" w:cs="宋体"/>
          <w:spacing w:val="8"/>
          <w:sz w:val="23"/>
          <w:szCs w:val="23"/>
        </w:rPr>
        <w:t>律法规，进行无害化处理。</w:t>
      </w:r>
    </w:p>
    <w:p w14:paraId="54367D8F">
      <w:pPr>
        <w:spacing w:line="228" w:lineRule="auto"/>
        <w:ind w:left="441"/>
        <w:rPr>
          <w:rFonts w:ascii="宋体" w:hAnsi="宋体" w:eastAsia="宋体" w:cs="宋体"/>
          <w:sz w:val="23"/>
          <w:szCs w:val="23"/>
        </w:rPr>
      </w:pPr>
      <w:r>
        <w:rPr>
          <w:rFonts w:ascii="宋体" w:hAnsi="宋体" w:eastAsia="宋体" w:cs="宋体"/>
          <w:spacing w:val="23"/>
          <w:sz w:val="23"/>
          <w:szCs w:val="23"/>
        </w:rPr>
        <w:t>(</w:t>
      </w:r>
      <w:r>
        <w:rPr>
          <w:rFonts w:ascii="Times New Roman" w:hAnsi="Times New Roman" w:eastAsia="Times New Roman" w:cs="Times New Roman"/>
          <w:spacing w:val="21"/>
          <w:sz w:val="23"/>
          <w:szCs w:val="23"/>
        </w:rPr>
        <w:t>3</w:t>
      </w:r>
      <w:r>
        <w:rPr>
          <w:rFonts w:ascii="宋体" w:hAnsi="宋体" w:eastAsia="宋体" w:cs="宋体"/>
          <w:spacing w:val="21"/>
          <w:sz w:val="23"/>
          <w:szCs w:val="23"/>
        </w:rPr>
        <w:t>) 废垫料</w:t>
      </w:r>
    </w:p>
    <w:p w14:paraId="497BBC41">
      <w:pPr>
        <w:spacing w:before="177" w:line="375" w:lineRule="auto"/>
        <w:ind w:left="9" w:firstLine="510"/>
        <w:rPr>
          <w:rFonts w:ascii="宋体" w:hAnsi="宋体" w:eastAsia="宋体" w:cs="宋体"/>
          <w:sz w:val="23"/>
          <w:szCs w:val="23"/>
        </w:rPr>
      </w:pPr>
      <w:r>
        <w:rPr>
          <w:rFonts w:ascii="宋体" w:hAnsi="宋体" w:eastAsia="宋体" w:cs="宋体"/>
          <w:spacing w:val="26"/>
          <w:sz w:val="23"/>
          <w:szCs w:val="23"/>
          <w14:textOutline w14:w="4356" w14:cap="sq" w14:cmpd="sng" w14:algn="ctr">
            <w14:solidFill>
              <w14:srgbClr w14:val="000000"/>
            </w14:solidFill>
            <w14:prstDash w14:val="solid"/>
            <w14:bevel/>
          </w14:textOutline>
        </w:rPr>
        <w:t>由</w:t>
      </w:r>
      <w:r>
        <w:rPr>
          <w:rFonts w:ascii="宋体" w:hAnsi="宋体" w:eastAsia="宋体" w:cs="宋体"/>
          <w:spacing w:val="20"/>
          <w:sz w:val="23"/>
          <w:szCs w:val="23"/>
          <w14:textOutline w14:w="4356" w14:cap="sq" w14:cmpd="sng" w14:algn="ctr">
            <w14:solidFill>
              <w14:srgbClr w14:val="000000"/>
            </w14:solidFill>
            <w14:prstDash w14:val="solid"/>
            <w14:bevel/>
          </w14:textOutline>
        </w:rPr>
        <w:t>于</w:t>
      </w:r>
      <w:r>
        <w:rPr>
          <w:rFonts w:ascii="宋体" w:hAnsi="宋体" w:eastAsia="宋体" w:cs="宋体"/>
          <w:spacing w:val="13"/>
          <w:sz w:val="23"/>
          <w:szCs w:val="23"/>
          <w14:textOutline w14:w="4356" w14:cap="sq" w14:cmpd="sng" w14:algn="ctr">
            <w14:solidFill>
              <w14:srgbClr w14:val="000000"/>
            </w14:solidFill>
            <w14:prstDash w14:val="solid"/>
            <w14:bevel/>
          </w14:textOutline>
        </w:rPr>
        <w:t>目前项目废水由后期乐山乐高勤力生物质能源综合利用有限公司，因此废垫料仅</w:t>
      </w:r>
      <w:r>
        <w:rPr>
          <w:rFonts w:ascii="宋体" w:hAnsi="宋体" w:eastAsia="宋体" w:cs="宋体"/>
          <w:sz w:val="23"/>
          <w:szCs w:val="23"/>
        </w:rPr>
        <w:t xml:space="preserve"> </w:t>
      </w:r>
      <w:r>
        <w:rPr>
          <w:rFonts w:ascii="宋体" w:hAnsi="宋体" w:eastAsia="宋体" w:cs="宋体"/>
          <w:spacing w:val="19"/>
          <w:sz w:val="23"/>
          <w:szCs w:val="23"/>
          <w14:textOutline w14:w="4356" w14:cap="sq" w14:cmpd="sng" w14:algn="ctr">
            <w14:solidFill>
              <w14:srgbClr w14:val="000000"/>
            </w14:solidFill>
            <w14:prstDash w14:val="solid"/>
            <w14:bevel/>
          </w14:textOutline>
        </w:rPr>
        <w:t>在</w:t>
      </w:r>
      <w:r>
        <w:rPr>
          <w:rFonts w:ascii="宋体" w:hAnsi="宋体" w:eastAsia="宋体" w:cs="宋体"/>
          <w:spacing w:val="14"/>
          <w:sz w:val="23"/>
          <w:szCs w:val="23"/>
          <w14:textOutline w14:w="4356" w14:cap="sq" w14:cmpd="sng" w14:algn="ctr">
            <w14:solidFill>
              <w14:srgbClr w14:val="000000"/>
            </w14:solidFill>
            <w14:prstDash w14:val="solid"/>
            <w14:bevel/>
          </w14:textOutline>
        </w:rPr>
        <w:t>后期乐山乐高勤力生物质能源综合利用有限公司不再收纳本项目污水的情况下产生。</w:t>
      </w:r>
      <w:r>
        <w:rPr>
          <w:rFonts w:ascii="宋体" w:hAnsi="宋体" w:eastAsia="宋体" w:cs="宋体"/>
          <w:spacing w:val="14"/>
          <w:sz w:val="23"/>
          <w:szCs w:val="23"/>
        </w:rPr>
        <w:t>异</w:t>
      </w:r>
      <w:r>
        <w:rPr>
          <w:rFonts w:ascii="宋体" w:hAnsi="宋体" w:eastAsia="宋体" w:cs="宋体"/>
          <w:sz w:val="23"/>
          <w:szCs w:val="23"/>
        </w:rPr>
        <w:t xml:space="preserve"> </w:t>
      </w:r>
      <w:r>
        <w:rPr>
          <w:rFonts w:ascii="宋体" w:hAnsi="宋体" w:eastAsia="宋体" w:cs="宋体"/>
          <w:spacing w:val="14"/>
          <w:sz w:val="23"/>
          <w:szCs w:val="23"/>
        </w:rPr>
        <w:t>位</w:t>
      </w:r>
      <w:r>
        <w:rPr>
          <w:rFonts w:ascii="宋体" w:hAnsi="宋体" w:eastAsia="宋体" w:cs="宋体"/>
          <w:spacing w:val="8"/>
          <w:sz w:val="23"/>
          <w:szCs w:val="23"/>
        </w:rPr>
        <w:t>微</w:t>
      </w:r>
      <w:r>
        <w:rPr>
          <w:rFonts w:ascii="宋体" w:hAnsi="宋体" w:eastAsia="宋体" w:cs="宋体"/>
          <w:spacing w:val="7"/>
          <w:sz w:val="23"/>
          <w:szCs w:val="23"/>
        </w:rPr>
        <w:t>生物发酵床中的新鲜垫料在粪污发酵过程中，作为微生物生存的碳源被消耗，腐熟的粪</w:t>
      </w:r>
      <w:r>
        <w:rPr>
          <w:rFonts w:ascii="宋体" w:hAnsi="宋体" w:eastAsia="宋体" w:cs="宋体"/>
          <w:sz w:val="23"/>
          <w:szCs w:val="23"/>
        </w:rPr>
        <w:t xml:space="preserve"> </w:t>
      </w:r>
      <w:r>
        <w:rPr>
          <w:rFonts w:ascii="宋体" w:hAnsi="宋体" w:eastAsia="宋体" w:cs="宋体"/>
          <w:spacing w:val="14"/>
          <w:sz w:val="23"/>
          <w:szCs w:val="23"/>
        </w:rPr>
        <w:t>污</w:t>
      </w:r>
      <w:r>
        <w:rPr>
          <w:rFonts w:ascii="宋体" w:hAnsi="宋体" w:eastAsia="宋体" w:cs="宋体"/>
          <w:spacing w:val="8"/>
          <w:sz w:val="23"/>
          <w:szCs w:val="23"/>
        </w:rPr>
        <w:t>留</w:t>
      </w:r>
      <w:r>
        <w:rPr>
          <w:rFonts w:ascii="宋体" w:hAnsi="宋体" w:eastAsia="宋体" w:cs="宋体"/>
          <w:spacing w:val="7"/>
          <w:sz w:val="23"/>
          <w:szCs w:val="23"/>
        </w:rPr>
        <w:t>在垫料上。根据四川卫美农生态农业有限公司设计的《井研县丰逸养殖专业合作社丰逸</w:t>
      </w:r>
      <w:r>
        <w:rPr>
          <w:rFonts w:ascii="宋体" w:hAnsi="宋体" w:eastAsia="宋体" w:cs="宋体"/>
          <w:sz w:val="23"/>
          <w:szCs w:val="23"/>
        </w:rPr>
        <w:t xml:space="preserve"> </w:t>
      </w:r>
      <w:r>
        <w:rPr>
          <w:rFonts w:ascii="宋体" w:hAnsi="宋体" w:eastAsia="宋体" w:cs="宋体"/>
          <w:spacing w:val="16"/>
          <w:sz w:val="23"/>
          <w:szCs w:val="23"/>
        </w:rPr>
        <w:t>标准</w:t>
      </w:r>
      <w:r>
        <w:rPr>
          <w:rFonts w:ascii="宋体" w:hAnsi="宋体" w:eastAsia="宋体" w:cs="宋体"/>
          <w:spacing w:val="10"/>
          <w:sz w:val="23"/>
          <w:szCs w:val="23"/>
        </w:rPr>
        <w:t>化</w:t>
      </w:r>
      <w:r>
        <w:rPr>
          <w:rFonts w:ascii="宋体" w:hAnsi="宋体" w:eastAsia="宋体" w:cs="宋体"/>
          <w:spacing w:val="8"/>
          <w:sz w:val="23"/>
          <w:szCs w:val="23"/>
        </w:rPr>
        <w:t>代养场建设项目 (</w:t>
      </w:r>
      <w:r>
        <w:rPr>
          <w:rFonts w:ascii="Times New Roman" w:hAnsi="Times New Roman" w:eastAsia="Times New Roman" w:cs="Times New Roman"/>
          <w:spacing w:val="8"/>
          <w:sz w:val="23"/>
          <w:szCs w:val="23"/>
        </w:rPr>
        <w:t xml:space="preserve">50 </w:t>
      </w:r>
      <w:r>
        <w:rPr>
          <w:rFonts w:ascii="宋体" w:hAnsi="宋体" w:eastAsia="宋体" w:cs="宋体"/>
          <w:spacing w:val="8"/>
          <w:sz w:val="23"/>
          <w:szCs w:val="23"/>
        </w:rPr>
        <w:t>吨</w:t>
      </w:r>
      <w:r>
        <w:rPr>
          <w:rFonts w:ascii="Times New Roman" w:hAnsi="Times New Roman" w:eastAsia="Times New Roman" w:cs="Times New Roman"/>
          <w:spacing w:val="8"/>
          <w:sz w:val="23"/>
          <w:szCs w:val="23"/>
        </w:rPr>
        <w:t>/</w:t>
      </w:r>
      <w:r>
        <w:rPr>
          <w:rFonts w:ascii="宋体" w:hAnsi="宋体" w:eastAsia="宋体" w:cs="宋体"/>
          <w:spacing w:val="8"/>
          <w:sz w:val="23"/>
          <w:szCs w:val="23"/>
        </w:rPr>
        <w:t xml:space="preserve">日) 》，垫料每 </w:t>
      </w:r>
      <w:r>
        <w:rPr>
          <w:rFonts w:ascii="Times New Roman" w:hAnsi="Times New Roman" w:eastAsia="Times New Roman" w:cs="Times New Roman"/>
          <w:spacing w:val="8"/>
          <w:sz w:val="23"/>
          <w:szCs w:val="23"/>
        </w:rPr>
        <w:t xml:space="preserve">1.5 </w:t>
      </w:r>
      <w:r>
        <w:rPr>
          <w:rFonts w:ascii="宋体" w:hAnsi="宋体" w:eastAsia="宋体" w:cs="宋体"/>
          <w:spacing w:val="8"/>
          <w:sz w:val="23"/>
          <w:szCs w:val="23"/>
        </w:rPr>
        <w:t>年清理一次，腐熟粪污及垫料全部一起</w:t>
      </w:r>
      <w:r>
        <w:rPr>
          <w:rFonts w:ascii="宋体" w:hAnsi="宋体" w:eastAsia="宋体" w:cs="宋体"/>
          <w:sz w:val="23"/>
          <w:szCs w:val="23"/>
        </w:rPr>
        <w:t xml:space="preserve"> </w:t>
      </w:r>
      <w:r>
        <w:rPr>
          <w:rFonts w:ascii="宋体" w:hAnsi="宋体" w:eastAsia="宋体" w:cs="宋体"/>
          <w:spacing w:val="14"/>
          <w:sz w:val="23"/>
          <w:szCs w:val="23"/>
        </w:rPr>
        <w:t>清</w:t>
      </w:r>
      <w:r>
        <w:rPr>
          <w:rFonts w:ascii="宋体" w:hAnsi="宋体" w:eastAsia="宋体" w:cs="宋体"/>
          <w:spacing w:val="8"/>
          <w:sz w:val="23"/>
          <w:szCs w:val="23"/>
        </w:rPr>
        <w:t>理</w:t>
      </w:r>
      <w:r>
        <w:rPr>
          <w:rFonts w:ascii="宋体" w:hAnsi="宋体" w:eastAsia="宋体" w:cs="宋体"/>
          <w:spacing w:val="7"/>
          <w:sz w:val="23"/>
          <w:szCs w:val="23"/>
        </w:rPr>
        <w:t>。根据四川铁骑力士牧业科技有限公司古井猪场委托四川众检四方检验监测技术有限公</w:t>
      </w:r>
      <w:r>
        <w:rPr>
          <w:rFonts w:ascii="宋体" w:hAnsi="宋体" w:eastAsia="宋体" w:cs="宋体"/>
          <w:sz w:val="23"/>
          <w:szCs w:val="23"/>
        </w:rPr>
        <w:t xml:space="preserve"> </w:t>
      </w:r>
      <w:r>
        <w:rPr>
          <w:rFonts w:ascii="宋体" w:hAnsi="宋体" w:eastAsia="宋体" w:cs="宋体"/>
          <w:spacing w:val="12"/>
          <w:sz w:val="23"/>
          <w:szCs w:val="23"/>
        </w:rPr>
        <w:t xml:space="preserve">司对运行 </w:t>
      </w:r>
      <w:r>
        <w:rPr>
          <w:rFonts w:ascii="Times New Roman" w:hAnsi="Times New Roman" w:eastAsia="Times New Roman" w:cs="Times New Roman"/>
          <w:spacing w:val="6"/>
          <w:sz w:val="23"/>
          <w:szCs w:val="23"/>
        </w:rPr>
        <w:t xml:space="preserve">1.5 </w:t>
      </w:r>
      <w:r>
        <w:rPr>
          <w:rFonts w:ascii="宋体" w:hAnsi="宋体" w:eastAsia="宋体" w:cs="宋体"/>
          <w:spacing w:val="6"/>
          <w:sz w:val="23"/>
          <w:szCs w:val="23"/>
        </w:rPr>
        <w:t>年垫料进行检测的结果，清理的废垫料中各项检测指标符合我国农业行业标准</w:t>
      </w:r>
      <w:r>
        <w:rPr>
          <w:rFonts w:ascii="宋体" w:hAnsi="宋体" w:eastAsia="宋体" w:cs="宋体"/>
          <w:sz w:val="23"/>
          <w:szCs w:val="23"/>
        </w:rPr>
        <w:t xml:space="preserve"> </w:t>
      </w:r>
      <w:r>
        <w:rPr>
          <w:rFonts w:ascii="宋体" w:hAnsi="宋体" w:eastAsia="宋体" w:cs="宋体"/>
          <w:spacing w:val="14"/>
          <w:sz w:val="23"/>
          <w:szCs w:val="23"/>
        </w:rPr>
        <w:t>《有机</w:t>
      </w:r>
      <w:r>
        <w:rPr>
          <w:rFonts w:ascii="宋体" w:hAnsi="宋体" w:eastAsia="宋体" w:cs="宋体"/>
          <w:spacing w:val="10"/>
          <w:sz w:val="23"/>
          <w:szCs w:val="23"/>
        </w:rPr>
        <w:t>肥</w:t>
      </w:r>
      <w:r>
        <w:rPr>
          <w:rFonts w:ascii="宋体" w:hAnsi="宋体" w:eastAsia="宋体" w:cs="宋体"/>
          <w:spacing w:val="7"/>
          <w:sz w:val="23"/>
          <w:szCs w:val="23"/>
        </w:rPr>
        <w:t>料》  (</w:t>
      </w:r>
      <w:r>
        <w:rPr>
          <w:rFonts w:ascii="Times New Roman" w:hAnsi="Times New Roman" w:eastAsia="Times New Roman" w:cs="Times New Roman"/>
          <w:sz w:val="23"/>
          <w:szCs w:val="23"/>
        </w:rPr>
        <w:t>NY</w:t>
      </w:r>
      <w:r>
        <w:rPr>
          <w:rFonts w:ascii="Times New Roman" w:hAnsi="Times New Roman" w:eastAsia="Times New Roman" w:cs="Times New Roman"/>
          <w:spacing w:val="7"/>
          <w:sz w:val="23"/>
          <w:szCs w:val="23"/>
        </w:rPr>
        <w:t>525-2012</w:t>
      </w:r>
      <w:r>
        <w:rPr>
          <w:rFonts w:ascii="宋体" w:hAnsi="宋体" w:eastAsia="宋体" w:cs="宋体"/>
          <w:spacing w:val="7"/>
          <w:sz w:val="23"/>
          <w:szCs w:val="23"/>
        </w:rPr>
        <w:t>) 的要求，重金属元素与抗生素的含量也均在相关标准限量范</w:t>
      </w:r>
      <w:r>
        <w:rPr>
          <w:rFonts w:ascii="宋体" w:hAnsi="宋体" w:eastAsia="宋体" w:cs="宋体"/>
          <w:sz w:val="23"/>
          <w:szCs w:val="23"/>
        </w:rPr>
        <w:t xml:space="preserve"> </w:t>
      </w:r>
      <w:r>
        <w:rPr>
          <w:rFonts w:ascii="宋体" w:hAnsi="宋体" w:eastAsia="宋体" w:cs="宋体"/>
          <w:spacing w:val="14"/>
          <w:sz w:val="23"/>
          <w:szCs w:val="23"/>
        </w:rPr>
        <w:t>围</w:t>
      </w:r>
      <w:r>
        <w:rPr>
          <w:rFonts w:ascii="宋体" w:hAnsi="宋体" w:eastAsia="宋体" w:cs="宋体"/>
          <w:spacing w:val="8"/>
          <w:sz w:val="23"/>
          <w:szCs w:val="23"/>
        </w:rPr>
        <w:t>内</w:t>
      </w:r>
      <w:r>
        <w:rPr>
          <w:rFonts w:ascii="宋体" w:hAnsi="宋体" w:eastAsia="宋体" w:cs="宋体"/>
          <w:spacing w:val="7"/>
          <w:sz w:val="23"/>
          <w:szCs w:val="23"/>
        </w:rPr>
        <w:t>，是优良的有机肥生产原料。因此，将腐熟垫料加工为有机肥是垫料资源化再利用的重</w:t>
      </w:r>
      <w:r>
        <w:rPr>
          <w:rFonts w:ascii="宋体" w:hAnsi="宋体" w:eastAsia="宋体" w:cs="宋体"/>
          <w:sz w:val="23"/>
          <w:szCs w:val="23"/>
        </w:rPr>
        <w:t xml:space="preserve"> </w:t>
      </w:r>
      <w:r>
        <w:rPr>
          <w:rFonts w:ascii="宋体" w:hAnsi="宋体" w:eastAsia="宋体" w:cs="宋体"/>
          <w:spacing w:val="16"/>
          <w:sz w:val="23"/>
          <w:szCs w:val="23"/>
        </w:rPr>
        <w:t>要</w:t>
      </w:r>
      <w:r>
        <w:rPr>
          <w:rFonts w:ascii="宋体" w:hAnsi="宋体" w:eastAsia="宋体" w:cs="宋体"/>
          <w:spacing w:val="11"/>
          <w:sz w:val="23"/>
          <w:szCs w:val="23"/>
        </w:rPr>
        <w:t>途</w:t>
      </w:r>
      <w:r>
        <w:rPr>
          <w:rFonts w:ascii="宋体" w:hAnsi="宋体" w:eastAsia="宋体" w:cs="宋体"/>
          <w:spacing w:val="8"/>
          <w:sz w:val="23"/>
          <w:szCs w:val="23"/>
        </w:rPr>
        <w:t>径，可产生良好的经济效益。</w:t>
      </w:r>
    </w:p>
    <w:p w14:paraId="2AF1D345">
      <w:pPr>
        <w:spacing w:line="467" w:lineRule="exact"/>
        <w:ind w:left="494"/>
        <w:rPr>
          <w:rFonts w:ascii="宋体" w:hAnsi="宋体" w:eastAsia="宋体" w:cs="宋体"/>
          <w:sz w:val="23"/>
          <w:szCs w:val="23"/>
        </w:rPr>
      </w:pPr>
      <w:r>
        <w:rPr>
          <w:rFonts w:ascii="宋体" w:hAnsi="宋体" w:eastAsia="宋体" w:cs="宋体"/>
          <w:spacing w:val="6"/>
          <w:position w:val="17"/>
          <w:sz w:val="23"/>
          <w:szCs w:val="23"/>
        </w:rPr>
        <w:t>项目</w:t>
      </w:r>
      <w:r>
        <w:rPr>
          <w:rFonts w:ascii="宋体" w:hAnsi="宋体" w:eastAsia="宋体" w:cs="宋体"/>
          <w:spacing w:val="5"/>
          <w:position w:val="17"/>
          <w:sz w:val="23"/>
          <w:szCs w:val="23"/>
        </w:rPr>
        <w:t>发</w:t>
      </w:r>
      <w:r>
        <w:rPr>
          <w:rFonts w:ascii="宋体" w:hAnsi="宋体" w:eastAsia="宋体" w:cs="宋体"/>
          <w:spacing w:val="3"/>
          <w:position w:val="17"/>
          <w:sz w:val="23"/>
          <w:szCs w:val="23"/>
        </w:rPr>
        <w:t xml:space="preserve">酵槽最大可放置垫料 </w:t>
      </w:r>
      <w:r>
        <w:rPr>
          <w:rFonts w:ascii="Times New Roman" w:hAnsi="Times New Roman" w:eastAsia="Times New Roman" w:cs="Times New Roman"/>
          <w:spacing w:val="3"/>
          <w:position w:val="17"/>
          <w:sz w:val="23"/>
          <w:szCs w:val="23"/>
        </w:rPr>
        <w:t>2000</w:t>
      </w:r>
      <w:r>
        <w:rPr>
          <w:rFonts w:ascii="Times New Roman" w:hAnsi="Times New Roman" w:eastAsia="Times New Roman" w:cs="Times New Roman"/>
          <w:position w:val="17"/>
          <w:sz w:val="23"/>
          <w:szCs w:val="23"/>
        </w:rPr>
        <w:t>m</w:t>
      </w:r>
      <w:r>
        <w:rPr>
          <w:rFonts w:ascii="Times New Roman" w:hAnsi="Times New Roman" w:eastAsia="Times New Roman" w:cs="Times New Roman"/>
          <w:spacing w:val="3"/>
          <w:position w:val="24"/>
          <w:sz w:val="15"/>
          <w:szCs w:val="15"/>
        </w:rPr>
        <w:t xml:space="preserve">3 </w:t>
      </w:r>
      <w:r>
        <w:rPr>
          <w:rFonts w:ascii="宋体" w:hAnsi="宋体" w:eastAsia="宋体" w:cs="宋体"/>
          <w:spacing w:val="3"/>
          <w:position w:val="17"/>
          <w:sz w:val="23"/>
          <w:szCs w:val="23"/>
        </w:rPr>
        <w:t xml:space="preserve">，因此，每次清理的废垫料为 </w:t>
      </w:r>
      <w:r>
        <w:rPr>
          <w:rFonts w:ascii="Times New Roman" w:hAnsi="Times New Roman" w:eastAsia="Times New Roman" w:cs="Times New Roman"/>
          <w:spacing w:val="3"/>
          <w:position w:val="17"/>
          <w:sz w:val="23"/>
          <w:szCs w:val="23"/>
        </w:rPr>
        <w:t>2000</w:t>
      </w:r>
      <w:r>
        <w:rPr>
          <w:rFonts w:ascii="Times New Roman" w:hAnsi="Times New Roman" w:eastAsia="Times New Roman" w:cs="Times New Roman"/>
          <w:position w:val="17"/>
          <w:sz w:val="23"/>
          <w:szCs w:val="23"/>
        </w:rPr>
        <w:t>m</w:t>
      </w:r>
      <w:r>
        <w:rPr>
          <w:rFonts w:ascii="Times New Roman" w:hAnsi="Times New Roman" w:eastAsia="Times New Roman" w:cs="Times New Roman"/>
          <w:spacing w:val="3"/>
          <w:position w:val="24"/>
          <w:sz w:val="15"/>
          <w:szCs w:val="15"/>
        </w:rPr>
        <w:t xml:space="preserve">3 </w:t>
      </w:r>
      <w:r>
        <w:rPr>
          <w:rFonts w:ascii="宋体" w:hAnsi="宋体" w:eastAsia="宋体" w:cs="宋体"/>
          <w:spacing w:val="3"/>
          <w:position w:val="17"/>
          <w:sz w:val="23"/>
          <w:szCs w:val="23"/>
        </w:rPr>
        <w:t>。项目产生的</w:t>
      </w:r>
    </w:p>
    <w:p w14:paraId="1A42C6C0">
      <w:pPr>
        <w:spacing w:before="1" w:line="226" w:lineRule="auto"/>
        <w:ind w:left="10"/>
        <w:rPr>
          <w:rFonts w:ascii="宋体" w:hAnsi="宋体" w:eastAsia="宋体" w:cs="宋体"/>
          <w:sz w:val="23"/>
          <w:szCs w:val="23"/>
        </w:rPr>
      </w:pPr>
      <w:r>
        <w:rPr>
          <w:rFonts w:ascii="宋体" w:hAnsi="宋体" w:eastAsia="宋体" w:cs="宋体"/>
          <w:spacing w:val="18"/>
          <w:sz w:val="23"/>
          <w:szCs w:val="23"/>
        </w:rPr>
        <w:t>腐</w:t>
      </w:r>
      <w:r>
        <w:rPr>
          <w:rFonts w:ascii="宋体" w:hAnsi="宋体" w:eastAsia="宋体" w:cs="宋体"/>
          <w:spacing w:val="17"/>
          <w:sz w:val="23"/>
          <w:szCs w:val="23"/>
        </w:rPr>
        <w:t>熟</w:t>
      </w:r>
      <w:r>
        <w:rPr>
          <w:rFonts w:ascii="宋体" w:hAnsi="宋体" w:eastAsia="宋体" w:cs="宋体"/>
          <w:spacing w:val="9"/>
          <w:sz w:val="23"/>
          <w:szCs w:val="23"/>
        </w:rPr>
        <w:t>垫料混合物优先出售给有机肥厂加工成有机肥，由有机肥厂安排运输车辆清运。</w:t>
      </w:r>
    </w:p>
    <w:p w14:paraId="0ECF6E92">
      <w:pPr>
        <w:spacing w:before="140" w:line="383" w:lineRule="auto"/>
        <w:ind w:left="12" w:right="33" w:firstLine="480"/>
        <w:rPr>
          <w:rFonts w:ascii="宋体" w:hAnsi="宋体" w:eastAsia="宋体" w:cs="宋体"/>
          <w:sz w:val="23"/>
          <w:szCs w:val="23"/>
        </w:rPr>
      </w:pPr>
      <w:r>
        <w:rPr>
          <w:rFonts w:ascii="宋体" w:hAnsi="宋体" w:eastAsia="宋体" w:cs="宋体"/>
          <w:spacing w:val="12"/>
          <w:sz w:val="23"/>
          <w:szCs w:val="23"/>
        </w:rPr>
        <w:t>垫</w:t>
      </w:r>
      <w:r>
        <w:rPr>
          <w:rFonts w:ascii="宋体" w:hAnsi="宋体" w:eastAsia="宋体" w:cs="宋体"/>
          <w:spacing w:val="6"/>
          <w:sz w:val="23"/>
          <w:szCs w:val="23"/>
        </w:rPr>
        <w:t>料的重量约为</w:t>
      </w:r>
      <w:r>
        <w:rPr>
          <w:rFonts w:ascii="Times New Roman" w:hAnsi="Times New Roman" w:eastAsia="Times New Roman" w:cs="Times New Roman"/>
          <w:spacing w:val="6"/>
          <w:sz w:val="23"/>
          <w:szCs w:val="23"/>
        </w:rPr>
        <w:t>200</w:t>
      </w:r>
      <w:r>
        <w:rPr>
          <w:rFonts w:ascii="Times New Roman" w:hAnsi="Times New Roman" w:eastAsia="Times New Roman" w:cs="Times New Roman"/>
          <w:sz w:val="23"/>
          <w:szCs w:val="23"/>
        </w:rPr>
        <w:t>kg</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6"/>
          <w:position w:val="7"/>
          <w:sz w:val="15"/>
          <w:szCs w:val="15"/>
        </w:rPr>
        <w:t xml:space="preserve">2   </w:t>
      </w:r>
      <w:r>
        <w:rPr>
          <w:rFonts w:ascii="宋体" w:hAnsi="宋体" w:eastAsia="宋体" w:cs="宋体"/>
          <w:spacing w:val="6"/>
          <w:sz w:val="23"/>
          <w:szCs w:val="23"/>
        </w:rPr>
        <w:t>(标准高度</w:t>
      </w:r>
      <w:r>
        <w:rPr>
          <w:rFonts w:ascii="Times New Roman" w:hAnsi="Times New Roman" w:eastAsia="Times New Roman" w:cs="Times New Roman"/>
          <w:spacing w:val="6"/>
          <w:sz w:val="23"/>
          <w:szCs w:val="23"/>
        </w:rPr>
        <w:t>1.5</w:t>
      </w:r>
      <w:r>
        <w:rPr>
          <w:rFonts w:ascii="Times New Roman" w:hAnsi="Times New Roman" w:eastAsia="Times New Roman" w:cs="Times New Roman"/>
          <w:sz w:val="23"/>
          <w:szCs w:val="23"/>
        </w:rPr>
        <w:t>m</w:t>
      </w:r>
      <w:r>
        <w:rPr>
          <w:rFonts w:ascii="宋体" w:hAnsi="宋体" w:eastAsia="宋体" w:cs="宋体"/>
          <w:spacing w:val="6"/>
          <w:sz w:val="23"/>
          <w:szCs w:val="23"/>
        </w:rPr>
        <w:t>) ，则项目每次更换的废垫料为</w:t>
      </w:r>
      <w:r>
        <w:rPr>
          <w:rFonts w:ascii="Times New Roman" w:hAnsi="Times New Roman" w:eastAsia="Times New Roman" w:cs="Times New Roman"/>
          <w:spacing w:val="6"/>
          <w:sz w:val="23"/>
          <w:szCs w:val="23"/>
        </w:rPr>
        <w:t>400</w:t>
      </w:r>
      <w:r>
        <w:rPr>
          <w:rFonts w:ascii="Times New Roman" w:hAnsi="Times New Roman" w:eastAsia="Times New Roman" w:cs="Times New Roman"/>
          <w:sz w:val="23"/>
          <w:szCs w:val="23"/>
        </w:rPr>
        <w:t>t</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，项目粪</w:t>
      </w:r>
      <w:r>
        <w:rPr>
          <w:rFonts w:ascii="宋体" w:hAnsi="宋体" w:eastAsia="宋体" w:cs="宋体"/>
          <w:sz w:val="23"/>
          <w:szCs w:val="23"/>
        </w:rPr>
        <w:t xml:space="preserve"> </w:t>
      </w:r>
      <w:r>
        <w:rPr>
          <w:rFonts w:ascii="宋体" w:hAnsi="宋体" w:eastAsia="宋体" w:cs="宋体"/>
          <w:spacing w:val="14"/>
          <w:sz w:val="23"/>
          <w:szCs w:val="23"/>
        </w:rPr>
        <w:t>污</w:t>
      </w:r>
      <w:r>
        <w:rPr>
          <w:rFonts w:ascii="宋体" w:hAnsi="宋体" w:eastAsia="宋体" w:cs="宋体"/>
          <w:spacing w:val="13"/>
          <w:sz w:val="23"/>
          <w:szCs w:val="23"/>
        </w:rPr>
        <w:t>经</w:t>
      </w:r>
      <w:r>
        <w:rPr>
          <w:rFonts w:ascii="宋体" w:hAnsi="宋体" w:eastAsia="宋体" w:cs="宋体"/>
          <w:spacing w:val="7"/>
          <w:sz w:val="23"/>
          <w:szCs w:val="23"/>
        </w:rPr>
        <w:t>异位微生物发酵系统处理后产生的腐熟粪污为</w:t>
      </w:r>
      <w:r>
        <w:rPr>
          <w:rFonts w:ascii="Times New Roman" w:hAnsi="Times New Roman" w:eastAsia="Times New Roman" w:cs="Times New Roman"/>
          <w:spacing w:val="7"/>
          <w:sz w:val="23"/>
          <w:szCs w:val="23"/>
        </w:rPr>
        <w:t>1146.63</w:t>
      </w:r>
      <w:r>
        <w:rPr>
          <w:rFonts w:ascii="Times New Roman" w:hAnsi="Times New Roman" w:eastAsia="Times New Roman" w:cs="Times New Roman"/>
          <w:sz w:val="23"/>
          <w:szCs w:val="23"/>
        </w:rPr>
        <w:t>t</w:t>
      </w:r>
      <w:r>
        <w:rPr>
          <w:rFonts w:ascii="Times New Roman" w:hAnsi="Times New Roman" w:eastAsia="Times New Roman" w:cs="Times New Roman"/>
          <w:spacing w:val="7"/>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，则项目腐熟粪污及废垫料产</w:t>
      </w:r>
      <w:r>
        <w:rPr>
          <w:rFonts w:ascii="宋体" w:hAnsi="宋体" w:eastAsia="宋体" w:cs="宋体"/>
          <w:sz w:val="23"/>
          <w:szCs w:val="23"/>
        </w:rPr>
        <w:t xml:space="preserve"> </w:t>
      </w:r>
      <w:r>
        <w:rPr>
          <w:rFonts w:ascii="宋体" w:hAnsi="宋体" w:eastAsia="宋体" w:cs="宋体"/>
          <w:spacing w:val="10"/>
          <w:sz w:val="23"/>
          <w:szCs w:val="23"/>
        </w:rPr>
        <w:t>生</w:t>
      </w:r>
      <w:r>
        <w:rPr>
          <w:rFonts w:ascii="宋体" w:hAnsi="宋体" w:eastAsia="宋体" w:cs="宋体"/>
          <w:spacing w:val="7"/>
          <w:sz w:val="23"/>
          <w:szCs w:val="23"/>
        </w:rPr>
        <w:t>总</w:t>
      </w:r>
      <w:r>
        <w:rPr>
          <w:rFonts w:ascii="宋体" w:hAnsi="宋体" w:eastAsia="宋体" w:cs="宋体"/>
          <w:spacing w:val="5"/>
          <w:sz w:val="23"/>
          <w:szCs w:val="23"/>
        </w:rPr>
        <w:t>量为</w:t>
      </w:r>
      <w:r>
        <w:rPr>
          <w:rFonts w:ascii="Times New Roman" w:hAnsi="Times New Roman" w:eastAsia="Times New Roman" w:cs="Times New Roman"/>
          <w:spacing w:val="5"/>
          <w:sz w:val="23"/>
          <w:szCs w:val="23"/>
        </w:rPr>
        <w:t>1546.63</w:t>
      </w:r>
      <w:r>
        <w:rPr>
          <w:rFonts w:ascii="Times New Roman" w:hAnsi="Times New Roman" w:eastAsia="Times New Roman" w:cs="Times New Roman"/>
          <w:sz w:val="23"/>
          <w:szCs w:val="23"/>
        </w:rPr>
        <w:t>t</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a</w:t>
      </w:r>
      <w:r>
        <w:rPr>
          <w:rFonts w:ascii="宋体" w:hAnsi="宋体" w:eastAsia="宋体" w:cs="宋体"/>
          <w:spacing w:val="5"/>
          <w:sz w:val="23"/>
          <w:szCs w:val="23"/>
        </w:rPr>
        <w:t>。</w:t>
      </w:r>
    </w:p>
    <w:p w14:paraId="46D1A111">
      <w:pPr>
        <w:spacing w:before="13" w:line="228" w:lineRule="auto"/>
        <w:ind w:left="50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4</w:t>
      </w:r>
      <w:r>
        <w:rPr>
          <w:rFonts w:ascii="宋体" w:hAnsi="宋体" w:eastAsia="宋体" w:cs="宋体"/>
          <w:spacing w:val="20"/>
          <w:sz w:val="23"/>
          <w:szCs w:val="23"/>
        </w:rPr>
        <w:t>) 医疗废</w:t>
      </w:r>
      <w:r>
        <w:rPr>
          <w:rFonts w:ascii="宋体" w:hAnsi="宋体" w:eastAsia="宋体" w:cs="宋体"/>
          <w:spacing w:val="19"/>
          <w:sz w:val="23"/>
          <w:szCs w:val="23"/>
        </w:rPr>
        <w:t>物</w:t>
      </w:r>
    </w:p>
    <w:p w14:paraId="731CF4B2">
      <w:pPr>
        <w:spacing w:before="183" w:line="375" w:lineRule="auto"/>
        <w:ind w:left="29" w:right="33" w:firstLine="464"/>
        <w:rPr>
          <w:rFonts w:ascii="宋体" w:hAnsi="宋体" w:eastAsia="宋体" w:cs="宋体"/>
          <w:sz w:val="23"/>
          <w:szCs w:val="23"/>
        </w:rPr>
      </w:pPr>
      <w:r>
        <w:rPr>
          <w:rFonts w:ascii="宋体" w:hAnsi="宋体" w:eastAsia="宋体" w:cs="宋体"/>
          <w:spacing w:val="7"/>
          <w:sz w:val="23"/>
          <w:szCs w:val="23"/>
        </w:rPr>
        <w:t>项目在进行猪疫病防治等过程中使用一定量的兽药、疫苗、消毒剂等，这些防疫卫生</w:t>
      </w:r>
      <w:r>
        <w:rPr>
          <w:rFonts w:ascii="宋体" w:hAnsi="宋体" w:eastAsia="宋体" w:cs="宋体"/>
          <w:spacing w:val="4"/>
          <w:sz w:val="23"/>
          <w:szCs w:val="23"/>
        </w:rPr>
        <w:t>药</w:t>
      </w:r>
      <w:r>
        <w:rPr>
          <w:rFonts w:ascii="宋体" w:hAnsi="宋体" w:eastAsia="宋体" w:cs="宋体"/>
          <w:sz w:val="23"/>
          <w:szCs w:val="23"/>
        </w:rPr>
        <w:t xml:space="preserve"> </w:t>
      </w:r>
      <w:r>
        <w:rPr>
          <w:rFonts w:ascii="宋体" w:hAnsi="宋体" w:eastAsia="宋体" w:cs="宋体"/>
          <w:spacing w:val="8"/>
          <w:sz w:val="23"/>
          <w:szCs w:val="23"/>
        </w:rPr>
        <w:t>品使用过程中将产生包装材料和容器等废物。</w:t>
      </w:r>
    </w:p>
    <w:p w14:paraId="38E4439B">
      <w:pPr>
        <w:tabs>
          <w:tab w:val="left" w:pos="136"/>
        </w:tabs>
        <w:spacing w:before="4" w:line="374" w:lineRule="auto"/>
        <w:ind w:left="9" w:right="4" w:firstLine="480"/>
        <w:rPr>
          <w:rFonts w:ascii="宋体" w:hAnsi="宋体" w:eastAsia="宋体" w:cs="宋体"/>
          <w:sz w:val="23"/>
          <w:szCs w:val="23"/>
        </w:rPr>
      </w:pPr>
      <w:r>
        <w:rPr>
          <w:rFonts w:ascii="宋体" w:hAnsi="宋体" w:eastAsia="宋体" w:cs="宋体"/>
          <w:spacing w:val="7"/>
          <w:sz w:val="23"/>
          <w:szCs w:val="23"/>
        </w:rPr>
        <w:t>根据中国动物检疫，</w:t>
      </w:r>
      <w:r>
        <w:rPr>
          <w:rFonts w:ascii="Times New Roman" w:hAnsi="Times New Roman" w:eastAsia="Times New Roman" w:cs="Times New Roman"/>
          <w:spacing w:val="7"/>
          <w:sz w:val="23"/>
          <w:szCs w:val="23"/>
        </w:rPr>
        <w:t xml:space="preserve">2014 </w:t>
      </w:r>
      <w:r>
        <w:rPr>
          <w:rFonts w:ascii="宋体" w:hAnsi="宋体" w:eastAsia="宋体" w:cs="宋体"/>
          <w:spacing w:val="7"/>
          <w:sz w:val="23"/>
          <w:szCs w:val="23"/>
        </w:rPr>
        <w:t xml:space="preserve">年 </w:t>
      </w:r>
      <w:r>
        <w:rPr>
          <w:rFonts w:ascii="Times New Roman" w:hAnsi="Times New Roman" w:eastAsia="Times New Roman" w:cs="Times New Roman"/>
          <w:spacing w:val="7"/>
          <w:sz w:val="23"/>
          <w:szCs w:val="23"/>
        </w:rPr>
        <w:t xml:space="preserve">06 </w:t>
      </w:r>
      <w:r>
        <w:rPr>
          <w:rFonts w:ascii="宋体" w:hAnsi="宋体" w:eastAsia="宋体" w:cs="宋体"/>
          <w:spacing w:val="7"/>
          <w:sz w:val="23"/>
          <w:szCs w:val="23"/>
        </w:rPr>
        <w:t>期中《规模养殖场动物医疗废弃物产生量的统计试验</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12"/>
          <w:sz w:val="23"/>
          <w:szCs w:val="23"/>
        </w:rPr>
        <w:t>(安定区畜</w:t>
      </w:r>
      <w:r>
        <w:rPr>
          <w:rFonts w:ascii="宋体" w:hAnsi="宋体" w:eastAsia="宋体" w:cs="宋体"/>
          <w:spacing w:val="6"/>
          <w:sz w:val="23"/>
          <w:szCs w:val="23"/>
        </w:rPr>
        <w:t>牧兽医局唐春华；定西市安定区动物疫病预防控制中心田华) 资料，养猪场医疗</w:t>
      </w:r>
      <w:r>
        <w:rPr>
          <w:rFonts w:ascii="宋体" w:hAnsi="宋体" w:eastAsia="宋体" w:cs="宋体"/>
          <w:sz w:val="23"/>
          <w:szCs w:val="23"/>
        </w:rPr>
        <w:t xml:space="preserve"> </w:t>
      </w:r>
      <w:r>
        <w:rPr>
          <w:rFonts w:ascii="宋体" w:hAnsi="宋体" w:eastAsia="宋体" w:cs="宋体"/>
          <w:spacing w:val="10"/>
          <w:sz w:val="23"/>
          <w:szCs w:val="23"/>
        </w:rPr>
        <w:t>废弃物</w:t>
      </w:r>
      <w:r>
        <w:rPr>
          <w:rFonts w:ascii="宋体" w:hAnsi="宋体" w:eastAsia="宋体" w:cs="宋体"/>
          <w:spacing w:val="7"/>
          <w:sz w:val="23"/>
          <w:szCs w:val="23"/>
        </w:rPr>
        <w:t>产</w:t>
      </w:r>
      <w:r>
        <w:rPr>
          <w:rFonts w:ascii="宋体" w:hAnsi="宋体" w:eastAsia="宋体" w:cs="宋体"/>
          <w:spacing w:val="5"/>
          <w:sz w:val="23"/>
          <w:szCs w:val="23"/>
        </w:rPr>
        <w:t xml:space="preserve">生量为 </w:t>
      </w:r>
      <w:r>
        <w:rPr>
          <w:rFonts w:ascii="Times New Roman" w:hAnsi="Times New Roman" w:eastAsia="Times New Roman" w:cs="Times New Roman"/>
          <w:spacing w:val="5"/>
          <w:sz w:val="23"/>
          <w:szCs w:val="23"/>
        </w:rPr>
        <w:t>1854</w:t>
      </w:r>
      <w:r>
        <w:rPr>
          <w:rFonts w:ascii="Times New Roman" w:hAnsi="Times New Roman" w:eastAsia="Times New Roman" w:cs="Times New Roman"/>
          <w:sz w:val="23"/>
          <w:szCs w:val="23"/>
        </w:rPr>
        <w:t>g</w:t>
      </w:r>
      <w:r>
        <w:rPr>
          <w:rFonts w:ascii="Times New Roman" w:hAnsi="Times New Roman" w:eastAsia="Times New Roman" w:cs="Times New Roman"/>
          <w:spacing w:val="5"/>
          <w:sz w:val="23"/>
          <w:szCs w:val="23"/>
        </w:rPr>
        <w:t xml:space="preserve">/500 </w:t>
      </w:r>
      <w:r>
        <w:rPr>
          <w:rFonts w:ascii="宋体" w:hAnsi="宋体" w:eastAsia="宋体" w:cs="宋体"/>
          <w:spacing w:val="5"/>
          <w:sz w:val="23"/>
          <w:szCs w:val="23"/>
        </w:rPr>
        <w:t>头</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d</w:t>
      </w:r>
      <w:r>
        <w:rPr>
          <w:rFonts w:ascii="宋体" w:hAnsi="宋体" w:eastAsia="宋体" w:cs="宋体"/>
          <w:spacing w:val="5"/>
          <w:sz w:val="23"/>
          <w:szCs w:val="23"/>
        </w:rPr>
        <w:t xml:space="preserve">。本项目猪只日存栏量为 </w:t>
      </w:r>
      <w:r>
        <w:rPr>
          <w:rFonts w:ascii="Times New Roman" w:hAnsi="Times New Roman" w:eastAsia="Times New Roman" w:cs="Times New Roman"/>
          <w:spacing w:val="5"/>
          <w:sz w:val="23"/>
          <w:szCs w:val="23"/>
        </w:rPr>
        <w:t xml:space="preserve">10400 </w:t>
      </w:r>
      <w:r>
        <w:rPr>
          <w:rFonts w:ascii="宋体" w:hAnsi="宋体" w:eastAsia="宋体" w:cs="宋体"/>
          <w:spacing w:val="5"/>
          <w:sz w:val="23"/>
          <w:szCs w:val="23"/>
        </w:rPr>
        <w:t>头，则本项目医疗废弃物产</w:t>
      </w:r>
      <w:r>
        <w:rPr>
          <w:rFonts w:ascii="宋体" w:hAnsi="宋体" w:eastAsia="宋体" w:cs="宋体"/>
          <w:sz w:val="23"/>
          <w:szCs w:val="23"/>
        </w:rPr>
        <w:t xml:space="preserve"> </w:t>
      </w:r>
      <w:r>
        <w:rPr>
          <w:rFonts w:ascii="宋体" w:hAnsi="宋体" w:eastAsia="宋体" w:cs="宋体"/>
          <w:spacing w:val="-2"/>
          <w:sz w:val="23"/>
          <w:szCs w:val="23"/>
        </w:rPr>
        <w:t xml:space="preserve">生量为 </w:t>
      </w:r>
      <w:r>
        <w:rPr>
          <w:rFonts w:ascii="Times New Roman" w:hAnsi="Times New Roman" w:eastAsia="Times New Roman" w:cs="Times New Roman"/>
          <w:spacing w:val="-2"/>
          <w:sz w:val="23"/>
          <w:szCs w:val="23"/>
        </w:rPr>
        <w:t>38.563</w:t>
      </w:r>
      <w:r>
        <w:rPr>
          <w:rFonts w:ascii="Times New Roman" w:hAnsi="Times New Roman" w:eastAsia="Times New Roman" w:cs="Times New Roman"/>
          <w:spacing w:val="-1"/>
          <w:sz w:val="23"/>
          <w:szCs w:val="23"/>
        </w:rPr>
        <w:t>kg</w:t>
      </w:r>
      <w:r>
        <w:rPr>
          <w:rFonts w:ascii="Times New Roman" w:hAnsi="Times New Roman" w:eastAsia="Times New Roman" w:cs="Times New Roman"/>
          <w:spacing w:val="-2"/>
          <w:sz w:val="23"/>
          <w:szCs w:val="23"/>
        </w:rPr>
        <w:t>/</w:t>
      </w:r>
      <w:r>
        <w:rPr>
          <w:rFonts w:ascii="Times New Roman" w:hAnsi="Times New Roman" w:eastAsia="Times New Roman" w:cs="Times New Roman"/>
          <w:spacing w:val="-1"/>
          <w:sz w:val="23"/>
          <w:szCs w:val="23"/>
        </w:rPr>
        <w:t>d</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 xml:space="preserve">，计 </w:t>
      </w:r>
      <w:r>
        <w:rPr>
          <w:rFonts w:ascii="Times New Roman" w:hAnsi="Times New Roman" w:eastAsia="Times New Roman" w:cs="Times New Roman"/>
          <w:spacing w:val="-2"/>
          <w:sz w:val="23"/>
          <w:szCs w:val="23"/>
        </w:rPr>
        <w:t>14</w:t>
      </w:r>
      <w:r>
        <w:rPr>
          <w:rFonts w:ascii="Times New Roman" w:hAnsi="Times New Roman" w:eastAsia="Times New Roman" w:cs="Times New Roman"/>
          <w:spacing w:val="-1"/>
          <w:sz w:val="23"/>
          <w:szCs w:val="23"/>
        </w:rPr>
        <w:t>.075t/a</w:t>
      </w:r>
      <w:r>
        <w:rPr>
          <w:rFonts w:ascii="宋体" w:hAnsi="宋体" w:eastAsia="宋体" w:cs="宋体"/>
          <w:spacing w:val="-1"/>
          <w:sz w:val="23"/>
          <w:szCs w:val="23"/>
        </w:rPr>
        <w:t>。</w:t>
      </w:r>
    </w:p>
    <w:p w14:paraId="28025D5D">
      <w:pPr>
        <w:spacing w:line="227" w:lineRule="auto"/>
        <w:ind w:left="490"/>
        <w:rPr>
          <w:rFonts w:ascii="宋体" w:hAnsi="宋体" w:eastAsia="宋体" w:cs="宋体"/>
          <w:sz w:val="23"/>
          <w:szCs w:val="23"/>
        </w:rPr>
      </w:pPr>
      <w:r>
        <w:rPr>
          <w:rFonts w:ascii="宋体" w:hAnsi="宋体" w:eastAsia="宋体" w:cs="宋体"/>
          <w:spacing w:val="14"/>
          <w:sz w:val="23"/>
          <w:szCs w:val="23"/>
        </w:rPr>
        <w:t>根据《</w:t>
      </w:r>
      <w:r>
        <w:rPr>
          <w:rFonts w:ascii="宋体" w:hAnsi="宋体" w:eastAsia="宋体" w:cs="宋体"/>
          <w:spacing w:val="10"/>
          <w:sz w:val="23"/>
          <w:szCs w:val="23"/>
        </w:rPr>
        <w:t>国</w:t>
      </w:r>
      <w:r>
        <w:rPr>
          <w:rFonts w:ascii="宋体" w:hAnsi="宋体" w:eastAsia="宋体" w:cs="宋体"/>
          <w:spacing w:val="7"/>
          <w:sz w:val="23"/>
          <w:szCs w:val="23"/>
        </w:rPr>
        <w:t>家危险废物名录 (</w:t>
      </w:r>
      <w:r>
        <w:rPr>
          <w:rFonts w:ascii="Times New Roman" w:hAnsi="Times New Roman" w:eastAsia="Times New Roman" w:cs="Times New Roman"/>
          <w:spacing w:val="7"/>
          <w:sz w:val="23"/>
          <w:szCs w:val="23"/>
        </w:rPr>
        <w:t>2016</w:t>
      </w:r>
      <w:r>
        <w:rPr>
          <w:rFonts w:ascii="宋体" w:hAnsi="宋体" w:eastAsia="宋体" w:cs="宋体"/>
          <w:spacing w:val="7"/>
          <w:sz w:val="23"/>
          <w:szCs w:val="23"/>
        </w:rPr>
        <w:t xml:space="preserve">) 》，该类废物属于废物类别为 </w:t>
      </w:r>
      <w:r>
        <w:rPr>
          <w:rFonts w:ascii="Times New Roman" w:hAnsi="Times New Roman" w:eastAsia="Times New Roman" w:cs="Times New Roman"/>
          <w:sz w:val="23"/>
          <w:szCs w:val="23"/>
        </w:rPr>
        <w:t>HW</w:t>
      </w:r>
      <w:r>
        <w:rPr>
          <w:rFonts w:ascii="Times New Roman" w:hAnsi="Times New Roman" w:eastAsia="Times New Roman" w:cs="Times New Roman"/>
          <w:spacing w:val="7"/>
          <w:sz w:val="23"/>
          <w:szCs w:val="23"/>
        </w:rPr>
        <w:t xml:space="preserve">01 </w:t>
      </w:r>
      <w:r>
        <w:rPr>
          <w:rFonts w:ascii="宋体" w:hAnsi="宋体" w:eastAsia="宋体" w:cs="宋体"/>
          <w:spacing w:val="7"/>
          <w:sz w:val="23"/>
          <w:szCs w:val="23"/>
        </w:rPr>
        <w:t>医疗废物</w:t>
      </w:r>
      <w:r>
        <w:rPr>
          <w:rFonts w:ascii="Times New Roman" w:hAnsi="Times New Roman" w:eastAsia="Times New Roman" w:cs="Times New Roman"/>
          <w:spacing w:val="7"/>
          <w:sz w:val="23"/>
          <w:szCs w:val="23"/>
        </w:rPr>
        <w:t>-</w:t>
      </w:r>
      <w:r>
        <w:rPr>
          <w:rFonts w:ascii="宋体" w:hAnsi="宋体" w:eastAsia="宋体" w:cs="宋体"/>
          <w:spacing w:val="7"/>
          <w:sz w:val="23"/>
          <w:szCs w:val="23"/>
        </w:rPr>
        <w:t>非特</w:t>
      </w:r>
    </w:p>
    <w:p w14:paraId="7DC47A45">
      <w:pPr>
        <w:sectPr>
          <w:headerReference r:id="rId137" w:type="default"/>
          <w:footerReference r:id="rId138" w:type="default"/>
          <w:pgSz w:w="11907" w:h="16840"/>
          <w:pgMar w:top="829" w:right="1099" w:bottom="1137" w:left="1275" w:header="595" w:footer="953" w:gutter="0"/>
          <w:cols w:space="720" w:num="1"/>
        </w:sectPr>
      </w:pPr>
    </w:p>
    <w:p w14:paraId="75939FD3">
      <w:pPr>
        <w:spacing w:before="145" w:line="375" w:lineRule="auto"/>
        <w:ind w:left="120" w:right="105" w:firstLine="3"/>
        <w:rPr>
          <w:rFonts w:ascii="宋体" w:hAnsi="宋体" w:eastAsia="宋体" w:cs="宋体"/>
          <w:sz w:val="23"/>
          <w:szCs w:val="23"/>
        </w:rPr>
      </w:pPr>
      <w:r>
        <w:rPr>
          <w:rFonts w:ascii="宋体" w:hAnsi="宋体" w:eastAsia="宋体" w:cs="宋体"/>
          <w:spacing w:val="14"/>
          <w:sz w:val="23"/>
          <w:szCs w:val="23"/>
        </w:rPr>
        <w:t xml:space="preserve">定行业 </w:t>
      </w:r>
      <w:r>
        <w:rPr>
          <w:rFonts w:ascii="宋体" w:hAnsi="宋体" w:eastAsia="宋体" w:cs="宋体"/>
          <w:spacing w:val="10"/>
          <w:sz w:val="23"/>
          <w:szCs w:val="23"/>
        </w:rPr>
        <w:t>(</w:t>
      </w:r>
      <w:r>
        <w:rPr>
          <w:rFonts w:ascii="Times New Roman" w:hAnsi="Times New Roman" w:eastAsia="Times New Roman" w:cs="Times New Roman"/>
          <w:spacing w:val="7"/>
          <w:sz w:val="23"/>
          <w:szCs w:val="23"/>
        </w:rPr>
        <w:t>900-001-01</w:t>
      </w:r>
      <w:r>
        <w:rPr>
          <w:rFonts w:ascii="宋体" w:hAnsi="宋体" w:eastAsia="宋体" w:cs="宋体"/>
          <w:spacing w:val="7"/>
          <w:sz w:val="23"/>
          <w:szCs w:val="23"/>
        </w:rPr>
        <w:t>) 的危险废物，此类危险废物的处置需按照《危险废物贮存污染控制标</w:t>
      </w:r>
      <w:r>
        <w:rPr>
          <w:rFonts w:ascii="宋体" w:hAnsi="宋体" w:eastAsia="宋体" w:cs="宋体"/>
          <w:sz w:val="23"/>
          <w:szCs w:val="23"/>
        </w:rPr>
        <w:t xml:space="preserve"> </w:t>
      </w:r>
      <w:r>
        <w:rPr>
          <w:rFonts w:ascii="宋体" w:hAnsi="宋体" w:eastAsia="宋体" w:cs="宋体"/>
          <w:spacing w:val="10"/>
          <w:sz w:val="23"/>
          <w:szCs w:val="23"/>
        </w:rPr>
        <w:t>准》  (</w:t>
      </w:r>
      <w:r>
        <w:rPr>
          <w:rFonts w:ascii="Times New Roman" w:hAnsi="Times New Roman" w:eastAsia="Times New Roman" w:cs="Times New Roman"/>
          <w:sz w:val="23"/>
          <w:szCs w:val="23"/>
        </w:rPr>
        <w:t>GB</w:t>
      </w:r>
      <w:r>
        <w:rPr>
          <w:rFonts w:ascii="Times New Roman" w:hAnsi="Times New Roman" w:eastAsia="Times New Roman" w:cs="Times New Roman"/>
          <w:spacing w:val="5"/>
          <w:sz w:val="23"/>
          <w:szCs w:val="23"/>
        </w:rPr>
        <w:t>18597-2001</w:t>
      </w:r>
      <w:r>
        <w:rPr>
          <w:rFonts w:ascii="宋体" w:hAnsi="宋体" w:eastAsia="宋体" w:cs="宋体"/>
          <w:spacing w:val="5"/>
          <w:sz w:val="23"/>
          <w:szCs w:val="23"/>
        </w:rPr>
        <w:t>) 和《危险废物转移联单管理办法》进行收集处置，禁止随意丢弃。</w:t>
      </w:r>
    </w:p>
    <w:p w14:paraId="3B675E1C">
      <w:pPr>
        <w:spacing w:line="375" w:lineRule="auto"/>
        <w:ind w:left="118" w:right="107" w:firstLine="480"/>
        <w:rPr>
          <w:rFonts w:ascii="宋体" w:hAnsi="宋体" w:eastAsia="宋体" w:cs="宋体"/>
          <w:sz w:val="23"/>
          <w:szCs w:val="23"/>
        </w:rPr>
      </w:pPr>
      <w:r>
        <w:rPr>
          <w:rFonts w:ascii="宋体" w:hAnsi="宋体" w:eastAsia="宋体" w:cs="宋体"/>
          <w:spacing w:val="7"/>
          <w:sz w:val="23"/>
          <w:szCs w:val="23"/>
        </w:rPr>
        <w:t>本项目消毒防疫废物产生来源主要为药品室，拟在兽医兽药室内分类设置医疗废物塑料</w:t>
      </w:r>
      <w:r>
        <w:rPr>
          <w:rFonts w:ascii="宋体" w:hAnsi="宋体" w:eastAsia="宋体" w:cs="宋体"/>
          <w:sz w:val="23"/>
          <w:szCs w:val="23"/>
        </w:rPr>
        <w:t xml:space="preserve"> </w:t>
      </w:r>
      <w:r>
        <w:rPr>
          <w:rFonts w:ascii="宋体" w:hAnsi="宋体" w:eastAsia="宋体" w:cs="宋体"/>
          <w:spacing w:val="14"/>
          <w:sz w:val="23"/>
          <w:szCs w:val="23"/>
        </w:rPr>
        <w:t>收</w:t>
      </w:r>
      <w:r>
        <w:rPr>
          <w:rFonts w:ascii="宋体" w:hAnsi="宋体" w:eastAsia="宋体" w:cs="宋体"/>
          <w:spacing w:val="7"/>
          <w:sz w:val="23"/>
          <w:szCs w:val="23"/>
        </w:rPr>
        <w:t>集箱，针管与废药瓶、包装容器分开收集，统一收集后送危废间暂存，定期交由有医疗废</w:t>
      </w:r>
      <w:r>
        <w:rPr>
          <w:rFonts w:ascii="宋体" w:hAnsi="宋体" w:eastAsia="宋体" w:cs="宋体"/>
          <w:sz w:val="23"/>
          <w:szCs w:val="23"/>
        </w:rPr>
        <w:t xml:space="preserve"> </w:t>
      </w:r>
      <w:r>
        <w:rPr>
          <w:rFonts w:ascii="宋体" w:hAnsi="宋体" w:eastAsia="宋体" w:cs="宋体"/>
          <w:spacing w:val="14"/>
          <w:sz w:val="23"/>
          <w:szCs w:val="23"/>
        </w:rPr>
        <w:t>物</w:t>
      </w:r>
      <w:r>
        <w:rPr>
          <w:rFonts w:ascii="宋体" w:hAnsi="宋体" w:eastAsia="宋体" w:cs="宋体"/>
          <w:spacing w:val="8"/>
          <w:sz w:val="23"/>
          <w:szCs w:val="23"/>
        </w:rPr>
        <w:t>处置资质的单位集中处置。</w:t>
      </w:r>
    </w:p>
    <w:p w14:paraId="079226C7">
      <w:pPr>
        <w:spacing w:before="1" w:line="220" w:lineRule="auto"/>
        <w:ind w:left="3450"/>
        <w:rPr>
          <w:rFonts w:ascii="黑体" w:hAnsi="黑体" w:eastAsia="黑体" w:cs="黑体"/>
          <w:sz w:val="23"/>
          <w:szCs w:val="23"/>
        </w:rPr>
      </w:pPr>
      <w:r>
        <w:rPr>
          <w:rFonts w:ascii="黑体" w:hAnsi="黑体" w:eastAsia="黑体" w:cs="黑体"/>
          <w:spacing w:val="-1"/>
          <w:sz w:val="23"/>
          <w:szCs w:val="23"/>
        </w:rPr>
        <w:t xml:space="preserve">表 </w:t>
      </w:r>
      <w:r>
        <w:rPr>
          <w:rFonts w:ascii="Times New Roman" w:hAnsi="Times New Roman" w:eastAsia="Times New Roman" w:cs="Times New Roman"/>
          <w:spacing w:val="-1"/>
          <w:sz w:val="23"/>
          <w:szCs w:val="23"/>
        </w:rPr>
        <w:t xml:space="preserve">3.3- 19  </w:t>
      </w:r>
      <w:r>
        <w:rPr>
          <w:rFonts w:ascii="Times New Roman" w:hAnsi="Times New Roman" w:eastAsia="Times New Roman" w:cs="Times New Roman"/>
          <w:sz w:val="23"/>
          <w:szCs w:val="23"/>
        </w:rPr>
        <w:t xml:space="preserve">  </w:t>
      </w:r>
      <w:r>
        <w:rPr>
          <w:rFonts w:ascii="黑体" w:hAnsi="黑体" w:eastAsia="黑体" w:cs="黑体"/>
          <w:sz w:val="23"/>
          <w:szCs w:val="23"/>
        </w:rPr>
        <w:t>危险废物汇总表</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8"/>
        <w:gridCol w:w="754"/>
        <w:gridCol w:w="756"/>
        <w:gridCol w:w="658"/>
        <w:gridCol w:w="912"/>
        <w:gridCol w:w="716"/>
        <w:gridCol w:w="863"/>
        <w:gridCol w:w="863"/>
        <w:gridCol w:w="700"/>
        <w:gridCol w:w="618"/>
        <w:gridCol w:w="2084"/>
      </w:tblGrid>
      <w:tr w14:paraId="5295FC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6" w:hRule="atLeast"/>
        </w:trPr>
        <w:tc>
          <w:tcPr>
            <w:tcW w:w="788" w:type="dxa"/>
            <w:tcBorders>
              <w:left w:val="nil"/>
            </w:tcBorders>
          </w:tcPr>
          <w:p w14:paraId="0CE6422A">
            <w:pPr>
              <w:spacing w:before="190" w:line="271" w:lineRule="exact"/>
              <w:ind w:left="193"/>
              <w:rPr>
                <w:rFonts w:ascii="宋体" w:hAnsi="宋体" w:eastAsia="宋体" w:cs="宋体"/>
                <w:sz w:val="20"/>
                <w:szCs w:val="20"/>
              </w:rPr>
            </w:pPr>
            <w:r>
              <w:rPr>
                <w:rFonts w:ascii="宋体" w:hAnsi="宋体" w:eastAsia="宋体" w:cs="宋体"/>
                <w:spacing w:val="5"/>
                <w:position w:val="4"/>
                <w:sz w:val="20"/>
                <w:szCs w:val="20"/>
                <w14:textOutline w14:w="3797" w14:cap="sq" w14:cmpd="sng" w14:algn="ctr">
                  <w14:solidFill>
                    <w14:srgbClr w14:val="000000"/>
                  </w14:solidFill>
                  <w14:prstDash w14:val="solid"/>
                  <w14:bevel/>
                </w14:textOutline>
              </w:rPr>
              <w:t>危</w:t>
            </w:r>
            <w:r>
              <w:rPr>
                <w:rFonts w:ascii="宋体" w:hAnsi="宋体" w:eastAsia="宋体" w:cs="宋体"/>
                <w:spacing w:val="4"/>
                <w:position w:val="4"/>
                <w:sz w:val="20"/>
                <w:szCs w:val="20"/>
                <w14:textOutline w14:w="3797" w14:cap="sq" w14:cmpd="sng" w14:algn="ctr">
                  <w14:solidFill>
                    <w14:srgbClr w14:val="000000"/>
                  </w14:solidFill>
                  <w14:prstDash w14:val="solid"/>
                  <w14:bevel/>
                </w14:textOutline>
              </w:rPr>
              <w:t>险</w:t>
            </w:r>
          </w:p>
          <w:p w14:paraId="7884FCA0">
            <w:pPr>
              <w:spacing w:line="228" w:lineRule="auto"/>
              <w:ind w:left="190"/>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废物</w:t>
            </w:r>
          </w:p>
          <w:p w14:paraId="20DC8F3F">
            <w:pPr>
              <w:spacing w:before="26" w:line="230" w:lineRule="auto"/>
              <w:ind w:left="193"/>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名</w:t>
            </w:r>
            <w:r>
              <w:rPr>
                <w:rFonts w:ascii="宋体" w:hAnsi="宋体" w:eastAsia="宋体" w:cs="宋体"/>
                <w:spacing w:val="4"/>
                <w:sz w:val="20"/>
                <w:szCs w:val="20"/>
                <w14:textOutline w14:w="3797" w14:cap="sq" w14:cmpd="sng" w14:algn="ctr">
                  <w14:solidFill>
                    <w14:srgbClr w14:val="000000"/>
                  </w14:solidFill>
                  <w14:prstDash w14:val="solid"/>
                  <w14:bevel/>
                </w14:textOutline>
              </w:rPr>
              <w:t>称</w:t>
            </w:r>
          </w:p>
        </w:tc>
        <w:tc>
          <w:tcPr>
            <w:tcW w:w="754" w:type="dxa"/>
          </w:tcPr>
          <w:p w14:paraId="487026F3">
            <w:pPr>
              <w:spacing w:before="190" w:line="271" w:lineRule="exact"/>
              <w:ind w:left="176"/>
              <w:rPr>
                <w:rFonts w:ascii="宋体" w:hAnsi="宋体" w:eastAsia="宋体" w:cs="宋体"/>
                <w:sz w:val="20"/>
                <w:szCs w:val="20"/>
              </w:rPr>
            </w:pPr>
            <w:r>
              <w:rPr>
                <w:rFonts w:ascii="宋体" w:hAnsi="宋体" w:eastAsia="宋体" w:cs="宋体"/>
                <w:spacing w:val="5"/>
                <w:position w:val="4"/>
                <w:sz w:val="20"/>
                <w:szCs w:val="20"/>
                <w14:textOutline w14:w="3797" w14:cap="sq" w14:cmpd="sng" w14:algn="ctr">
                  <w14:solidFill>
                    <w14:srgbClr w14:val="000000"/>
                  </w14:solidFill>
                  <w14:prstDash w14:val="solid"/>
                  <w14:bevel/>
                </w14:textOutline>
              </w:rPr>
              <w:t>危</w:t>
            </w:r>
            <w:r>
              <w:rPr>
                <w:rFonts w:ascii="宋体" w:hAnsi="宋体" w:eastAsia="宋体" w:cs="宋体"/>
                <w:spacing w:val="4"/>
                <w:position w:val="4"/>
                <w:sz w:val="20"/>
                <w:szCs w:val="20"/>
                <w14:textOutline w14:w="3797" w14:cap="sq" w14:cmpd="sng" w14:algn="ctr">
                  <w14:solidFill>
                    <w14:srgbClr w14:val="000000"/>
                  </w14:solidFill>
                  <w14:prstDash w14:val="solid"/>
                  <w14:bevel/>
                </w14:textOutline>
              </w:rPr>
              <w:t>险</w:t>
            </w:r>
          </w:p>
          <w:p w14:paraId="1193018F">
            <w:pPr>
              <w:spacing w:line="228" w:lineRule="auto"/>
              <w:ind w:left="172"/>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废物</w:t>
            </w:r>
          </w:p>
          <w:p w14:paraId="4FAF9727">
            <w:pPr>
              <w:spacing w:before="25" w:line="228" w:lineRule="auto"/>
              <w:ind w:left="173"/>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类别</w:t>
            </w:r>
          </w:p>
        </w:tc>
        <w:tc>
          <w:tcPr>
            <w:tcW w:w="756" w:type="dxa"/>
          </w:tcPr>
          <w:p w14:paraId="1E468298">
            <w:pPr>
              <w:spacing w:before="190" w:line="271" w:lineRule="exact"/>
              <w:ind w:left="175"/>
              <w:rPr>
                <w:rFonts w:ascii="宋体" w:hAnsi="宋体" w:eastAsia="宋体" w:cs="宋体"/>
                <w:sz w:val="20"/>
                <w:szCs w:val="20"/>
              </w:rPr>
            </w:pPr>
            <w:r>
              <w:rPr>
                <w:rFonts w:ascii="宋体" w:hAnsi="宋体" w:eastAsia="宋体" w:cs="宋体"/>
                <w:spacing w:val="5"/>
                <w:position w:val="4"/>
                <w:sz w:val="20"/>
                <w:szCs w:val="20"/>
                <w14:textOutline w14:w="3797" w14:cap="sq" w14:cmpd="sng" w14:algn="ctr">
                  <w14:solidFill>
                    <w14:srgbClr w14:val="000000"/>
                  </w14:solidFill>
                  <w14:prstDash w14:val="solid"/>
                  <w14:bevel/>
                </w14:textOutline>
              </w:rPr>
              <w:t>危</w:t>
            </w:r>
            <w:r>
              <w:rPr>
                <w:rFonts w:ascii="宋体" w:hAnsi="宋体" w:eastAsia="宋体" w:cs="宋体"/>
                <w:spacing w:val="4"/>
                <w:position w:val="4"/>
                <w:sz w:val="20"/>
                <w:szCs w:val="20"/>
                <w14:textOutline w14:w="3797" w14:cap="sq" w14:cmpd="sng" w14:algn="ctr">
                  <w14:solidFill>
                    <w14:srgbClr w14:val="000000"/>
                  </w14:solidFill>
                  <w14:prstDash w14:val="solid"/>
                  <w14:bevel/>
                </w14:textOutline>
              </w:rPr>
              <w:t>险</w:t>
            </w:r>
          </w:p>
          <w:p w14:paraId="120CC961">
            <w:pPr>
              <w:spacing w:line="228" w:lineRule="auto"/>
              <w:ind w:left="172"/>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废物</w:t>
            </w:r>
          </w:p>
          <w:p w14:paraId="0F963EA5">
            <w:pPr>
              <w:spacing w:before="25" w:line="228" w:lineRule="auto"/>
              <w:ind w:left="172"/>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代码</w:t>
            </w:r>
          </w:p>
        </w:tc>
        <w:tc>
          <w:tcPr>
            <w:tcW w:w="658" w:type="dxa"/>
          </w:tcPr>
          <w:p w14:paraId="11EE0075">
            <w:pPr>
              <w:spacing w:line="260" w:lineRule="auto"/>
            </w:pPr>
          </w:p>
          <w:p w14:paraId="72944B0A">
            <w:pPr>
              <w:spacing w:before="65" w:line="268" w:lineRule="auto"/>
              <w:ind w:left="228" w:right="115" w:hanging="103"/>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产生</w:t>
            </w:r>
            <w:r>
              <w:rPr>
                <w:rFonts w:ascii="宋体" w:hAnsi="宋体" w:eastAsia="宋体" w:cs="宋体"/>
                <w:sz w:val="20"/>
                <w:szCs w:val="20"/>
              </w:rPr>
              <w:t xml:space="preserve"> </w:t>
            </w:r>
            <w:r>
              <w:rPr>
                <w:rFonts w:ascii="宋体" w:hAnsi="宋体" w:eastAsia="宋体" w:cs="宋体"/>
                <w:sz w:val="20"/>
                <w:szCs w:val="20"/>
                <w14:textOutline w14:w="3797" w14:cap="sq" w14:cmpd="sng" w14:algn="ctr">
                  <w14:solidFill>
                    <w14:srgbClr w14:val="000000"/>
                  </w14:solidFill>
                  <w14:prstDash w14:val="solid"/>
                  <w14:bevel/>
                </w14:textOutline>
              </w:rPr>
              <w:t>量</w:t>
            </w:r>
          </w:p>
        </w:tc>
        <w:tc>
          <w:tcPr>
            <w:tcW w:w="912" w:type="dxa"/>
          </w:tcPr>
          <w:p w14:paraId="3E0FA3DD">
            <w:pPr>
              <w:spacing w:before="190" w:line="228" w:lineRule="auto"/>
              <w:ind w:left="146"/>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产</w:t>
            </w:r>
            <w:r>
              <w:rPr>
                <w:rFonts w:ascii="宋体" w:hAnsi="宋体" w:eastAsia="宋体" w:cs="宋体"/>
                <w:spacing w:val="7"/>
                <w:sz w:val="20"/>
                <w:szCs w:val="20"/>
                <w14:textOutline w14:w="3797" w14:cap="sq" w14:cmpd="sng" w14:algn="ctr">
                  <w14:solidFill>
                    <w14:srgbClr w14:val="000000"/>
                  </w14:solidFill>
                  <w14:prstDash w14:val="solid"/>
                  <w14:bevel/>
                </w14:textOutline>
              </w:rPr>
              <w:t>生工</w:t>
            </w:r>
          </w:p>
          <w:p w14:paraId="790E180B">
            <w:pPr>
              <w:spacing w:before="24" w:line="228" w:lineRule="auto"/>
              <w:ind w:left="145"/>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序及装</w:t>
            </w:r>
          </w:p>
          <w:p w14:paraId="2CBD5821">
            <w:pPr>
              <w:spacing w:before="26" w:line="233" w:lineRule="auto"/>
              <w:ind w:left="355"/>
              <w:rPr>
                <w:rFonts w:ascii="宋体" w:hAnsi="宋体" w:eastAsia="宋体" w:cs="宋体"/>
                <w:sz w:val="20"/>
                <w:szCs w:val="20"/>
              </w:rPr>
            </w:pPr>
            <w:r>
              <w:rPr>
                <w:rFonts w:ascii="宋体" w:hAnsi="宋体" w:eastAsia="宋体" w:cs="宋体"/>
                <w:spacing w:val="2"/>
                <w:sz w:val="20"/>
                <w:szCs w:val="20"/>
                <w14:textOutline w14:w="3797" w14:cap="sq" w14:cmpd="sng" w14:algn="ctr">
                  <w14:solidFill>
                    <w14:srgbClr w14:val="000000"/>
                  </w14:solidFill>
                  <w14:prstDash w14:val="solid"/>
                  <w14:bevel/>
                </w14:textOutline>
              </w:rPr>
              <w:t>置</w:t>
            </w:r>
          </w:p>
        </w:tc>
        <w:tc>
          <w:tcPr>
            <w:tcW w:w="716" w:type="dxa"/>
          </w:tcPr>
          <w:p w14:paraId="76EAC6D2">
            <w:pPr>
              <w:spacing w:line="396" w:lineRule="auto"/>
            </w:pPr>
          </w:p>
          <w:p w14:paraId="27DA6884">
            <w:pPr>
              <w:spacing w:before="65" w:line="230" w:lineRule="auto"/>
              <w:ind w:left="156"/>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形</w:t>
            </w:r>
            <w:r>
              <w:rPr>
                <w:rFonts w:ascii="宋体" w:hAnsi="宋体" w:eastAsia="宋体" w:cs="宋体"/>
                <w:spacing w:val="4"/>
                <w:sz w:val="20"/>
                <w:szCs w:val="20"/>
                <w14:textOutline w14:w="3797" w14:cap="sq" w14:cmpd="sng" w14:algn="ctr">
                  <w14:solidFill>
                    <w14:srgbClr w14:val="000000"/>
                  </w14:solidFill>
                  <w14:prstDash w14:val="solid"/>
                  <w14:bevel/>
                </w14:textOutline>
              </w:rPr>
              <w:t>态</w:t>
            </w:r>
          </w:p>
        </w:tc>
        <w:tc>
          <w:tcPr>
            <w:tcW w:w="863" w:type="dxa"/>
          </w:tcPr>
          <w:p w14:paraId="00E85E1C">
            <w:pPr>
              <w:spacing w:line="261" w:lineRule="auto"/>
            </w:pPr>
          </w:p>
          <w:p w14:paraId="6D6EF697">
            <w:pPr>
              <w:spacing w:before="65" w:line="265" w:lineRule="auto"/>
              <w:ind w:left="332" w:right="113" w:hanging="209"/>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主要成</w:t>
            </w:r>
            <w:r>
              <w:rPr>
                <w:rFonts w:ascii="宋体" w:hAnsi="宋体" w:eastAsia="宋体" w:cs="宋体"/>
                <w:sz w:val="20"/>
                <w:szCs w:val="20"/>
              </w:rPr>
              <w:t xml:space="preserve"> </w:t>
            </w:r>
            <w:r>
              <w:rPr>
                <w:rFonts w:ascii="宋体" w:hAnsi="宋体" w:eastAsia="宋体" w:cs="宋体"/>
                <w:sz w:val="20"/>
                <w:szCs w:val="20"/>
                <w14:textOutline w14:w="3797" w14:cap="sq" w14:cmpd="sng" w14:algn="ctr">
                  <w14:solidFill>
                    <w14:srgbClr w14:val="000000"/>
                  </w14:solidFill>
                  <w14:prstDash w14:val="solid"/>
                  <w14:bevel/>
                </w14:textOutline>
              </w:rPr>
              <w:t>分</w:t>
            </w:r>
          </w:p>
        </w:tc>
        <w:tc>
          <w:tcPr>
            <w:tcW w:w="863" w:type="dxa"/>
          </w:tcPr>
          <w:p w14:paraId="54F6F551">
            <w:pPr>
              <w:spacing w:line="261" w:lineRule="auto"/>
            </w:pPr>
          </w:p>
          <w:p w14:paraId="212E108D">
            <w:pPr>
              <w:spacing w:before="65" w:line="265" w:lineRule="auto"/>
              <w:ind w:left="333" w:right="112" w:hanging="210"/>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有</w:t>
            </w:r>
            <w:r>
              <w:rPr>
                <w:rFonts w:ascii="宋体" w:hAnsi="宋体" w:eastAsia="宋体" w:cs="宋体"/>
                <w:spacing w:val="7"/>
                <w:sz w:val="20"/>
                <w:szCs w:val="20"/>
                <w14:textOutline w14:w="3797" w14:cap="sq" w14:cmpd="sng" w14:algn="ctr">
                  <w14:solidFill>
                    <w14:srgbClr w14:val="000000"/>
                  </w14:solidFill>
                  <w14:prstDash w14:val="solid"/>
                  <w14:bevel/>
                </w14:textOutline>
              </w:rPr>
              <w:t>害成</w:t>
            </w:r>
            <w:r>
              <w:rPr>
                <w:rFonts w:ascii="宋体" w:hAnsi="宋体" w:eastAsia="宋体" w:cs="宋体"/>
                <w:sz w:val="20"/>
                <w:szCs w:val="20"/>
              </w:rPr>
              <w:t xml:space="preserve"> </w:t>
            </w:r>
            <w:r>
              <w:rPr>
                <w:rFonts w:ascii="宋体" w:hAnsi="宋体" w:eastAsia="宋体" w:cs="宋体"/>
                <w:sz w:val="20"/>
                <w:szCs w:val="20"/>
                <w14:textOutline w14:w="3797" w14:cap="sq" w14:cmpd="sng" w14:algn="ctr">
                  <w14:solidFill>
                    <w14:srgbClr w14:val="000000"/>
                  </w14:solidFill>
                  <w14:prstDash w14:val="solid"/>
                  <w14:bevel/>
                </w14:textOutline>
              </w:rPr>
              <w:t>分</w:t>
            </w:r>
          </w:p>
        </w:tc>
        <w:tc>
          <w:tcPr>
            <w:tcW w:w="700" w:type="dxa"/>
          </w:tcPr>
          <w:p w14:paraId="7F3DA8D1">
            <w:pPr>
              <w:spacing w:line="261" w:lineRule="auto"/>
            </w:pPr>
          </w:p>
          <w:p w14:paraId="7B825195">
            <w:pPr>
              <w:spacing w:before="65" w:line="265" w:lineRule="auto"/>
              <w:ind w:left="145" w:right="13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产废</w:t>
            </w:r>
            <w:r>
              <w:rPr>
                <w:rFonts w:ascii="宋体" w:hAnsi="宋体" w:eastAsia="宋体" w:cs="宋体"/>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周</w:t>
            </w:r>
            <w:r>
              <w:rPr>
                <w:rFonts w:ascii="宋体" w:hAnsi="宋体" w:eastAsia="宋体" w:cs="宋体"/>
                <w:spacing w:val="5"/>
                <w:sz w:val="20"/>
                <w:szCs w:val="20"/>
                <w14:textOutline w14:w="3797" w14:cap="sq" w14:cmpd="sng" w14:algn="ctr">
                  <w14:solidFill>
                    <w14:srgbClr w14:val="000000"/>
                  </w14:solidFill>
                  <w14:prstDash w14:val="solid"/>
                  <w14:bevel/>
                </w14:textOutline>
              </w:rPr>
              <w:t>期</w:t>
            </w:r>
          </w:p>
        </w:tc>
        <w:tc>
          <w:tcPr>
            <w:tcW w:w="618" w:type="dxa"/>
            <w:textDirection w:val="tbRlV"/>
          </w:tcPr>
          <w:p w14:paraId="5180C47A">
            <w:pPr>
              <w:spacing w:before="203" w:line="216" w:lineRule="auto"/>
              <w:ind w:left="56"/>
              <w:rPr>
                <w:rFonts w:ascii="宋体" w:hAnsi="宋体" w:eastAsia="宋体" w:cs="宋体"/>
                <w:sz w:val="20"/>
                <w:szCs w:val="20"/>
              </w:rPr>
            </w:pPr>
            <w:r>
              <w:rPr>
                <w:rFonts w:ascii="宋体" w:hAnsi="宋体" w:eastAsia="宋体" w:cs="宋体"/>
                <w:spacing w:val="-16"/>
                <w:sz w:val="20"/>
                <w:szCs w:val="20"/>
                <w14:textOutline w14:w="3797" w14:cap="sq" w14:cmpd="sng" w14:algn="ctr">
                  <w14:solidFill>
                    <w14:srgbClr w14:val="000000"/>
                  </w14:solidFill>
                  <w14:prstDash w14:val="solid"/>
                  <w14:bevel/>
                </w14:textOutline>
              </w:rPr>
              <w:t>危</w:t>
            </w:r>
            <w:r>
              <w:rPr>
                <w:rFonts w:ascii="宋体" w:hAnsi="宋体" w:eastAsia="宋体" w:cs="宋体"/>
                <w:spacing w:val="-10"/>
                <w:sz w:val="20"/>
                <w:szCs w:val="20"/>
              </w:rPr>
              <w:t xml:space="preserve"> </w:t>
            </w:r>
            <w:r>
              <w:rPr>
                <w:rFonts w:ascii="宋体" w:hAnsi="宋体" w:eastAsia="宋体" w:cs="宋体"/>
                <w:spacing w:val="-10"/>
                <w:sz w:val="20"/>
                <w:szCs w:val="20"/>
                <w14:textOutline w14:w="3797" w14:cap="sq" w14:cmpd="sng" w14:algn="ctr">
                  <w14:solidFill>
                    <w14:srgbClr w14:val="000000"/>
                  </w14:solidFill>
                  <w14:prstDash w14:val="solid"/>
                  <w14:bevel/>
                </w14:textOutline>
              </w:rPr>
              <w:t>险</w:t>
            </w:r>
            <w:r>
              <w:rPr>
                <w:rFonts w:ascii="宋体" w:hAnsi="宋体" w:eastAsia="宋体" w:cs="宋体"/>
                <w:spacing w:val="-10"/>
                <w:sz w:val="20"/>
                <w:szCs w:val="20"/>
              </w:rPr>
              <w:t xml:space="preserve"> </w:t>
            </w:r>
            <w:r>
              <w:rPr>
                <w:rFonts w:ascii="宋体" w:hAnsi="宋体" w:eastAsia="宋体" w:cs="宋体"/>
                <w:spacing w:val="-10"/>
                <w:sz w:val="20"/>
                <w:szCs w:val="20"/>
                <w14:textOutline w14:w="3797" w14:cap="sq" w14:cmpd="sng" w14:algn="ctr">
                  <w14:solidFill>
                    <w14:srgbClr w14:val="000000"/>
                  </w14:solidFill>
                  <w14:prstDash w14:val="solid"/>
                  <w14:bevel/>
                </w14:textOutline>
              </w:rPr>
              <w:t>特</w:t>
            </w:r>
            <w:r>
              <w:rPr>
                <w:rFonts w:ascii="宋体" w:hAnsi="宋体" w:eastAsia="宋体" w:cs="宋体"/>
                <w:spacing w:val="-10"/>
                <w:sz w:val="20"/>
                <w:szCs w:val="20"/>
              </w:rPr>
              <w:t xml:space="preserve"> </w:t>
            </w:r>
            <w:r>
              <w:rPr>
                <w:rFonts w:ascii="宋体" w:hAnsi="宋体" w:eastAsia="宋体" w:cs="宋体"/>
                <w:spacing w:val="-10"/>
                <w:sz w:val="20"/>
                <w:szCs w:val="20"/>
                <w14:textOutline w14:w="3797" w14:cap="sq" w14:cmpd="sng" w14:algn="ctr">
                  <w14:solidFill>
                    <w14:srgbClr w14:val="000000"/>
                  </w14:solidFill>
                  <w14:prstDash w14:val="solid"/>
                  <w14:bevel/>
                </w14:textOutline>
              </w:rPr>
              <w:t>性</w:t>
            </w:r>
          </w:p>
        </w:tc>
        <w:tc>
          <w:tcPr>
            <w:tcW w:w="2084" w:type="dxa"/>
            <w:tcBorders>
              <w:right w:val="nil"/>
            </w:tcBorders>
          </w:tcPr>
          <w:p w14:paraId="53FE6631">
            <w:pPr>
              <w:spacing w:line="397" w:lineRule="auto"/>
            </w:pPr>
          </w:p>
          <w:p w14:paraId="61A358E4">
            <w:pPr>
              <w:spacing w:before="65" w:line="228" w:lineRule="auto"/>
              <w:ind w:left="420"/>
              <w:rPr>
                <w:rFonts w:ascii="宋体" w:hAnsi="宋体" w:eastAsia="宋体" w:cs="宋体"/>
                <w:sz w:val="20"/>
                <w:szCs w:val="20"/>
              </w:rPr>
            </w:pPr>
            <w:r>
              <w:rPr>
                <w:rFonts w:ascii="宋体" w:hAnsi="宋体" w:eastAsia="宋体" w:cs="宋体"/>
                <w:spacing w:val="12"/>
                <w:sz w:val="20"/>
                <w:szCs w:val="20"/>
                <w14:textOutline w14:w="3797" w14:cap="sq" w14:cmpd="sng" w14:algn="ctr">
                  <w14:solidFill>
                    <w14:srgbClr w14:val="000000"/>
                  </w14:solidFill>
                  <w14:prstDash w14:val="solid"/>
                  <w14:bevel/>
                </w14:textOutline>
              </w:rPr>
              <w:t>污</w:t>
            </w:r>
            <w:r>
              <w:rPr>
                <w:rFonts w:ascii="宋体" w:hAnsi="宋体" w:eastAsia="宋体" w:cs="宋体"/>
                <w:spacing w:val="8"/>
                <w:sz w:val="20"/>
                <w:szCs w:val="20"/>
                <w14:textOutline w14:w="3797" w14:cap="sq" w14:cmpd="sng" w14:algn="ctr">
                  <w14:solidFill>
                    <w14:srgbClr w14:val="000000"/>
                  </w14:solidFill>
                  <w14:prstDash w14:val="solid"/>
                  <w14:bevel/>
                </w14:textOutline>
              </w:rPr>
              <w:t>染防治措施</w:t>
            </w:r>
          </w:p>
        </w:tc>
      </w:tr>
      <w:tr w14:paraId="437836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8" w:hRule="atLeast"/>
        </w:trPr>
        <w:tc>
          <w:tcPr>
            <w:tcW w:w="788" w:type="dxa"/>
            <w:tcBorders>
              <w:left w:val="nil"/>
            </w:tcBorders>
          </w:tcPr>
          <w:p w14:paraId="5F0AFDCB">
            <w:pPr>
              <w:spacing w:line="374" w:lineRule="auto"/>
            </w:pPr>
          </w:p>
          <w:p w14:paraId="43B72E23">
            <w:pPr>
              <w:spacing w:before="65" w:line="272" w:lineRule="exact"/>
              <w:ind w:left="201"/>
              <w:rPr>
                <w:rFonts w:ascii="宋体" w:hAnsi="宋体" w:eastAsia="宋体" w:cs="宋体"/>
                <w:sz w:val="20"/>
                <w:szCs w:val="20"/>
              </w:rPr>
            </w:pPr>
            <w:r>
              <w:rPr>
                <w:rFonts w:ascii="宋体" w:hAnsi="宋体" w:eastAsia="宋体" w:cs="宋体"/>
                <w:spacing w:val="-1"/>
                <w:position w:val="4"/>
                <w:sz w:val="20"/>
                <w:szCs w:val="20"/>
              </w:rPr>
              <w:t>医</w:t>
            </w:r>
            <w:r>
              <w:rPr>
                <w:rFonts w:ascii="宋体" w:hAnsi="宋体" w:eastAsia="宋体" w:cs="宋体"/>
                <w:position w:val="4"/>
                <w:sz w:val="20"/>
                <w:szCs w:val="20"/>
              </w:rPr>
              <w:t>疗</w:t>
            </w:r>
          </w:p>
          <w:p w14:paraId="6571C2F0">
            <w:pPr>
              <w:spacing w:line="228" w:lineRule="auto"/>
              <w:ind w:left="190"/>
              <w:rPr>
                <w:rFonts w:ascii="宋体" w:hAnsi="宋体" w:eastAsia="宋体" w:cs="宋体"/>
                <w:sz w:val="20"/>
                <w:szCs w:val="20"/>
              </w:rPr>
            </w:pPr>
            <w:r>
              <w:rPr>
                <w:rFonts w:ascii="宋体" w:hAnsi="宋体" w:eastAsia="宋体" w:cs="宋体"/>
                <w:spacing w:val="5"/>
                <w:sz w:val="20"/>
                <w:szCs w:val="20"/>
              </w:rPr>
              <w:t>废物</w:t>
            </w:r>
          </w:p>
        </w:tc>
        <w:tc>
          <w:tcPr>
            <w:tcW w:w="754" w:type="dxa"/>
          </w:tcPr>
          <w:p w14:paraId="5850634D">
            <w:pPr>
              <w:spacing w:before="206" w:line="195" w:lineRule="auto"/>
              <w:ind w:left="149"/>
              <w:rPr>
                <w:rFonts w:ascii="Times New Roman" w:hAnsi="Times New Roman" w:eastAsia="Times New Roman" w:cs="Times New Roman"/>
                <w:sz w:val="20"/>
                <w:szCs w:val="20"/>
              </w:rPr>
            </w:pPr>
            <w:r>
              <w:rPr>
                <w:rFonts w:ascii="Times New Roman" w:hAnsi="Times New Roman" w:eastAsia="Times New Roman" w:cs="Times New Roman"/>
                <w:sz w:val="20"/>
                <w:szCs w:val="20"/>
              </w:rPr>
              <w:t>HW</w:t>
            </w:r>
            <w:r>
              <w:rPr>
                <w:rFonts w:ascii="Times New Roman" w:hAnsi="Times New Roman" w:eastAsia="Times New Roman" w:cs="Times New Roman"/>
                <w:spacing w:val="15"/>
                <w:sz w:val="20"/>
                <w:szCs w:val="20"/>
              </w:rPr>
              <w:t>0</w:t>
            </w:r>
          </w:p>
          <w:p w14:paraId="1EFE7351">
            <w:pPr>
              <w:spacing w:before="31" w:line="232" w:lineRule="auto"/>
              <w:ind w:left="213"/>
              <w:rPr>
                <w:rFonts w:ascii="宋体" w:hAnsi="宋体" w:eastAsia="宋体" w:cs="宋体"/>
                <w:sz w:val="20"/>
                <w:szCs w:val="20"/>
              </w:rPr>
            </w:pPr>
            <w:r>
              <w:rPr>
                <w:rFonts w:ascii="Times New Roman" w:hAnsi="Times New Roman" w:eastAsia="Times New Roman" w:cs="Times New Roman"/>
                <w:spacing w:val="1"/>
                <w:sz w:val="20"/>
                <w:szCs w:val="20"/>
              </w:rPr>
              <w:t>1</w:t>
            </w:r>
            <w:r>
              <w:rPr>
                <w:rFonts w:ascii="Times New Roman" w:hAnsi="Times New Roman" w:eastAsia="Times New Roman" w:cs="Times New Roman"/>
                <w:sz w:val="20"/>
                <w:szCs w:val="20"/>
              </w:rPr>
              <w:t xml:space="preserve"> </w:t>
            </w:r>
            <w:r>
              <w:rPr>
                <w:rFonts w:ascii="宋体" w:hAnsi="宋体" w:eastAsia="宋体" w:cs="宋体"/>
                <w:sz w:val="20"/>
                <w:szCs w:val="20"/>
              </w:rPr>
              <w:t>医</w:t>
            </w:r>
          </w:p>
          <w:p w14:paraId="229AA4F2">
            <w:pPr>
              <w:spacing w:before="22" w:line="228" w:lineRule="auto"/>
              <w:ind w:left="172"/>
              <w:rPr>
                <w:rFonts w:ascii="宋体" w:hAnsi="宋体" w:eastAsia="宋体" w:cs="宋体"/>
                <w:sz w:val="20"/>
                <w:szCs w:val="20"/>
              </w:rPr>
            </w:pPr>
            <w:r>
              <w:rPr>
                <w:rFonts w:ascii="宋体" w:hAnsi="宋体" w:eastAsia="宋体" w:cs="宋体"/>
                <w:spacing w:val="5"/>
                <w:sz w:val="20"/>
                <w:szCs w:val="20"/>
              </w:rPr>
              <w:t>疗废</w:t>
            </w:r>
          </w:p>
          <w:p w14:paraId="21B6AC6F">
            <w:pPr>
              <w:spacing w:before="24" w:line="229" w:lineRule="auto"/>
              <w:ind w:left="276"/>
              <w:rPr>
                <w:rFonts w:ascii="宋体" w:hAnsi="宋体" w:eastAsia="宋体" w:cs="宋体"/>
                <w:sz w:val="20"/>
                <w:szCs w:val="20"/>
              </w:rPr>
            </w:pPr>
            <w:r>
              <w:rPr>
                <w:rFonts w:ascii="宋体" w:hAnsi="宋体" w:eastAsia="宋体" w:cs="宋体"/>
                <w:sz w:val="20"/>
                <w:szCs w:val="20"/>
              </w:rPr>
              <w:t>物</w:t>
            </w:r>
          </w:p>
        </w:tc>
        <w:tc>
          <w:tcPr>
            <w:tcW w:w="756" w:type="dxa"/>
          </w:tcPr>
          <w:p w14:paraId="7801F3F7">
            <w:pPr>
              <w:spacing w:line="434" w:lineRule="auto"/>
            </w:pPr>
          </w:p>
          <w:p w14:paraId="7DF93C2B">
            <w:pPr>
              <w:spacing w:before="58" w:line="195" w:lineRule="auto"/>
              <w:ind w:left="13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9</w:t>
            </w:r>
            <w:r>
              <w:rPr>
                <w:rFonts w:ascii="Times New Roman" w:hAnsi="Times New Roman" w:eastAsia="Times New Roman" w:cs="Times New Roman"/>
                <w:spacing w:val="2"/>
                <w:sz w:val="20"/>
                <w:szCs w:val="20"/>
              </w:rPr>
              <w:t>00-0</w:t>
            </w:r>
          </w:p>
          <w:p w14:paraId="5D863E1F">
            <w:pPr>
              <w:spacing w:before="53" w:line="195" w:lineRule="auto"/>
              <w:ind w:left="13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01-0</w:t>
            </w:r>
            <w:r>
              <w:rPr>
                <w:rFonts w:ascii="Times New Roman" w:hAnsi="Times New Roman" w:eastAsia="Times New Roman" w:cs="Times New Roman"/>
                <w:spacing w:val="2"/>
                <w:sz w:val="20"/>
                <w:szCs w:val="20"/>
              </w:rPr>
              <w:t>1</w:t>
            </w:r>
          </w:p>
        </w:tc>
        <w:tc>
          <w:tcPr>
            <w:tcW w:w="658" w:type="dxa"/>
          </w:tcPr>
          <w:p w14:paraId="020A18E3">
            <w:pPr>
              <w:spacing w:line="435" w:lineRule="auto"/>
            </w:pPr>
          </w:p>
          <w:p w14:paraId="586965F9">
            <w:pPr>
              <w:spacing w:before="57" w:line="173" w:lineRule="auto"/>
              <w:ind w:left="16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2"/>
                <w:sz w:val="20"/>
                <w:szCs w:val="20"/>
              </w:rPr>
              <w:t>4.0</w:t>
            </w:r>
          </w:p>
          <w:p w14:paraId="5E79F36C">
            <w:pPr>
              <w:spacing w:line="281" w:lineRule="exact"/>
              <w:ind w:left="124"/>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75</w:t>
            </w:r>
            <w:r>
              <w:rPr>
                <w:rFonts w:ascii="Times New Roman" w:hAnsi="Times New Roman" w:eastAsia="Times New Roman" w:cs="Times New Roman"/>
                <w:position w:val="2"/>
                <w:sz w:val="20"/>
                <w:szCs w:val="20"/>
              </w:rPr>
              <w:t>t</w:t>
            </w:r>
            <w:r>
              <w:rPr>
                <w:rFonts w:ascii="Times New Roman" w:hAnsi="Times New Roman" w:eastAsia="Times New Roman" w:cs="Times New Roman"/>
                <w:spacing w:val="2"/>
                <w:position w:val="2"/>
                <w:sz w:val="20"/>
                <w:szCs w:val="20"/>
              </w:rPr>
              <w:t>/</w:t>
            </w:r>
            <w:r>
              <w:rPr>
                <w:rFonts w:ascii="Times New Roman" w:hAnsi="Times New Roman" w:eastAsia="Times New Roman" w:cs="Times New Roman"/>
                <w:position w:val="2"/>
                <w:sz w:val="20"/>
                <w:szCs w:val="20"/>
              </w:rPr>
              <w:t>a</w:t>
            </w:r>
          </w:p>
        </w:tc>
        <w:tc>
          <w:tcPr>
            <w:tcW w:w="912" w:type="dxa"/>
          </w:tcPr>
          <w:p w14:paraId="077C71A5">
            <w:pPr>
              <w:spacing w:line="375" w:lineRule="auto"/>
            </w:pPr>
          </w:p>
          <w:p w14:paraId="4C2080A3">
            <w:pPr>
              <w:spacing w:before="65" w:line="265" w:lineRule="auto"/>
              <w:ind w:left="145" w:right="139"/>
              <w:rPr>
                <w:rFonts w:ascii="宋体" w:hAnsi="宋体" w:eastAsia="宋体" w:cs="宋体"/>
                <w:sz w:val="20"/>
                <w:szCs w:val="20"/>
              </w:rPr>
            </w:pPr>
            <w:r>
              <w:rPr>
                <w:rFonts w:ascii="宋体" w:hAnsi="宋体" w:eastAsia="宋体" w:cs="宋体"/>
                <w:spacing w:val="7"/>
                <w:sz w:val="20"/>
                <w:szCs w:val="20"/>
              </w:rPr>
              <w:t>猪只</w:t>
            </w:r>
            <w:r>
              <w:rPr>
                <w:rFonts w:ascii="宋体" w:hAnsi="宋体" w:eastAsia="宋体" w:cs="宋体"/>
                <w:spacing w:val="6"/>
                <w:sz w:val="20"/>
                <w:szCs w:val="20"/>
              </w:rPr>
              <w:t>疫</w:t>
            </w:r>
            <w:r>
              <w:rPr>
                <w:rFonts w:ascii="宋体" w:hAnsi="宋体" w:eastAsia="宋体" w:cs="宋体"/>
                <w:sz w:val="20"/>
                <w:szCs w:val="20"/>
              </w:rPr>
              <w:t xml:space="preserve"> </w:t>
            </w:r>
            <w:r>
              <w:rPr>
                <w:rFonts w:ascii="宋体" w:hAnsi="宋体" w:eastAsia="宋体" w:cs="宋体"/>
                <w:spacing w:val="7"/>
                <w:sz w:val="20"/>
                <w:szCs w:val="20"/>
              </w:rPr>
              <w:t>病防治</w:t>
            </w:r>
          </w:p>
        </w:tc>
        <w:tc>
          <w:tcPr>
            <w:tcW w:w="716" w:type="dxa"/>
          </w:tcPr>
          <w:p w14:paraId="15F3C1D0">
            <w:pPr>
              <w:spacing w:line="255" w:lineRule="auto"/>
            </w:pPr>
          </w:p>
          <w:p w14:paraId="435EFED0">
            <w:pPr>
              <w:spacing w:line="256" w:lineRule="auto"/>
            </w:pPr>
          </w:p>
          <w:p w14:paraId="2E623885">
            <w:pPr>
              <w:spacing w:before="65" w:line="228" w:lineRule="auto"/>
              <w:ind w:left="171"/>
              <w:rPr>
                <w:rFonts w:ascii="宋体" w:hAnsi="宋体" w:eastAsia="宋体" w:cs="宋体"/>
                <w:sz w:val="20"/>
                <w:szCs w:val="20"/>
              </w:rPr>
            </w:pPr>
            <w:r>
              <w:rPr>
                <w:rFonts w:ascii="宋体" w:hAnsi="宋体" w:eastAsia="宋体" w:cs="宋体"/>
                <w:spacing w:val="-5"/>
                <w:sz w:val="20"/>
                <w:szCs w:val="20"/>
              </w:rPr>
              <w:t>固</w:t>
            </w:r>
            <w:r>
              <w:rPr>
                <w:rFonts w:ascii="宋体" w:hAnsi="宋体" w:eastAsia="宋体" w:cs="宋体"/>
                <w:spacing w:val="-4"/>
                <w:sz w:val="20"/>
                <w:szCs w:val="20"/>
              </w:rPr>
              <w:t>态</w:t>
            </w:r>
          </w:p>
        </w:tc>
        <w:tc>
          <w:tcPr>
            <w:tcW w:w="863" w:type="dxa"/>
          </w:tcPr>
          <w:p w14:paraId="091F20AF">
            <w:pPr>
              <w:spacing w:before="34" w:line="228" w:lineRule="auto"/>
              <w:ind w:left="120"/>
              <w:rPr>
                <w:rFonts w:ascii="宋体" w:hAnsi="宋体" w:eastAsia="宋体" w:cs="宋体"/>
                <w:sz w:val="20"/>
                <w:szCs w:val="20"/>
              </w:rPr>
            </w:pPr>
            <w:r>
              <w:rPr>
                <w:rFonts w:ascii="宋体" w:hAnsi="宋体" w:eastAsia="宋体" w:cs="宋体"/>
                <w:spacing w:val="7"/>
                <w:sz w:val="20"/>
                <w:szCs w:val="20"/>
              </w:rPr>
              <w:t>废疫苗</w:t>
            </w:r>
          </w:p>
          <w:p w14:paraId="0A358F4D">
            <w:pPr>
              <w:spacing w:before="23" w:line="229" w:lineRule="auto"/>
              <w:ind w:left="121"/>
              <w:rPr>
                <w:rFonts w:ascii="宋体" w:hAnsi="宋体" w:eastAsia="宋体" w:cs="宋体"/>
                <w:sz w:val="20"/>
                <w:szCs w:val="20"/>
              </w:rPr>
            </w:pPr>
            <w:r>
              <w:rPr>
                <w:rFonts w:ascii="宋体" w:hAnsi="宋体" w:eastAsia="宋体" w:cs="宋体"/>
                <w:spacing w:val="7"/>
                <w:sz w:val="20"/>
                <w:szCs w:val="20"/>
              </w:rPr>
              <w:t>瓶、</w:t>
            </w:r>
            <w:r>
              <w:rPr>
                <w:rFonts w:ascii="宋体" w:hAnsi="宋体" w:eastAsia="宋体" w:cs="宋体"/>
                <w:spacing w:val="6"/>
                <w:sz w:val="20"/>
                <w:szCs w:val="20"/>
              </w:rPr>
              <w:t>废</w:t>
            </w:r>
          </w:p>
          <w:p w14:paraId="43C73984">
            <w:pPr>
              <w:spacing w:before="25" w:line="227" w:lineRule="auto"/>
              <w:ind w:left="229"/>
              <w:rPr>
                <w:rFonts w:ascii="宋体" w:hAnsi="宋体" w:eastAsia="宋体" w:cs="宋体"/>
                <w:sz w:val="20"/>
                <w:szCs w:val="20"/>
              </w:rPr>
            </w:pPr>
            <w:r>
              <w:rPr>
                <w:rFonts w:ascii="宋体" w:hAnsi="宋体" w:eastAsia="宋体" w:cs="宋体"/>
                <w:spacing w:val="4"/>
                <w:sz w:val="20"/>
                <w:szCs w:val="20"/>
              </w:rPr>
              <w:t>药</w:t>
            </w:r>
            <w:r>
              <w:rPr>
                <w:rFonts w:ascii="宋体" w:hAnsi="宋体" w:eastAsia="宋体" w:cs="宋体"/>
                <w:spacing w:val="3"/>
                <w:sz w:val="20"/>
                <w:szCs w:val="20"/>
              </w:rPr>
              <w:t>剂</w:t>
            </w:r>
          </w:p>
          <w:p w14:paraId="4CF64DCD">
            <w:pPr>
              <w:spacing w:before="25" w:line="229" w:lineRule="auto"/>
              <w:ind w:left="121"/>
              <w:rPr>
                <w:rFonts w:ascii="宋体" w:hAnsi="宋体" w:eastAsia="宋体" w:cs="宋体"/>
                <w:sz w:val="20"/>
                <w:szCs w:val="20"/>
              </w:rPr>
            </w:pPr>
            <w:r>
              <w:rPr>
                <w:rFonts w:ascii="宋体" w:hAnsi="宋体" w:eastAsia="宋体" w:cs="宋体"/>
                <w:spacing w:val="7"/>
                <w:sz w:val="20"/>
                <w:szCs w:val="20"/>
              </w:rPr>
              <w:t>瓶、</w:t>
            </w:r>
            <w:r>
              <w:rPr>
                <w:rFonts w:ascii="宋体" w:hAnsi="宋体" w:eastAsia="宋体" w:cs="宋体"/>
                <w:spacing w:val="6"/>
                <w:sz w:val="20"/>
                <w:szCs w:val="20"/>
              </w:rPr>
              <w:t>废</w:t>
            </w:r>
          </w:p>
          <w:p w14:paraId="20138AF0">
            <w:pPr>
              <w:spacing w:before="25" w:line="228" w:lineRule="auto"/>
              <w:ind w:left="227"/>
              <w:rPr>
                <w:rFonts w:ascii="宋体" w:hAnsi="宋体" w:eastAsia="宋体" w:cs="宋体"/>
                <w:sz w:val="20"/>
                <w:szCs w:val="20"/>
              </w:rPr>
            </w:pPr>
            <w:r>
              <w:rPr>
                <w:rFonts w:ascii="宋体" w:hAnsi="宋体" w:eastAsia="宋体" w:cs="宋体"/>
                <w:spacing w:val="5"/>
                <w:sz w:val="20"/>
                <w:szCs w:val="20"/>
              </w:rPr>
              <w:t>针</w:t>
            </w:r>
            <w:r>
              <w:rPr>
                <w:rFonts w:ascii="宋体" w:hAnsi="宋体" w:eastAsia="宋体" w:cs="宋体"/>
                <w:spacing w:val="4"/>
                <w:sz w:val="20"/>
                <w:szCs w:val="20"/>
              </w:rPr>
              <w:t>头</w:t>
            </w:r>
          </w:p>
        </w:tc>
        <w:tc>
          <w:tcPr>
            <w:tcW w:w="863" w:type="dxa"/>
          </w:tcPr>
          <w:p w14:paraId="28C5EE62">
            <w:pPr>
              <w:spacing w:before="169" w:line="228" w:lineRule="auto"/>
              <w:ind w:left="122"/>
              <w:rPr>
                <w:rFonts w:ascii="宋体" w:hAnsi="宋体" w:eastAsia="宋体" w:cs="宋体"/>
                <w:sz w:val="20"/>
                <w:szCs w:val="20"/>
              </w:rPr>
            </w:pPr>
            <w:r>
              <w:rPr>
                <w:rFonts w:ascii="宋体" w:hAnsi="宋体" w:eastAsia="宋体" w:cs="宋体"/>
                <w:spacing w:val="7"/>
                <w:sz w:val="20"/>
                <w:szCs w:val="20"/>
              </w:rPr>
              <w:t>残余</w:t>
            </w:r>
            <w:r>
              <w:rPr>
                <w:rFonts w:ascii="宋体" w:hAnsi="宋体" w:eastAsia="宋体" w:cs="宋体"/>
                <w:spacing w:val="6"/>
                <w:sz w:val="20"/>
                <w:szCs w:val="20"/>
              </w:rPr>
              <w:t>的</w:t>
            </w:r>
          </w:p>
          <w:p w14:paraId="4C56ED3C">
            <w:pPr>
              <w:spacing w:before="26" w:line="228" w:lineRule="auto"/>
              <w:ind w:left="132"/>
              <w:rPr>
                <w:rFonts w:ascii="宋体" w:hAnsi="宋体" w:eastAsia="宋体" w:cs="宋体"/>
                <w:sz w:val="20"/>
                <w:szCs w:val="20"/>
              </w:rPr>
            </w:pPr>
            <w:r>
              <w:rPr>
                <w:rFonts w:ascii="宋体" w:hAnsi="宋体" w:eastAsia="宋体" w:cs="宋体"/>
                <w:spacing w:val="5"/>
                <w:sz w:val="20"/>
                <w:szCs w:val="20"/>
              </w:rPr>
              <w:t>医</w:t>
            </w:r>
            <w:r>
              <w:rPr>
                <w:rFonts w:ascii="宋体" w:hAnsi="宋体" w:eastAsia="宋体" w:cs="宋体"/>
                <w:spacing w:val="3"/>
                <w:sz w:val="20"/>
                <w:szCs w:val="20"/>
              </w:rPr>
              <w:t>药成</w:t>
            </w:r>
          </w:p>
          <w:p w14:paraId="3DD7E326">
            <w:pPr>
              <w:spacing w:before="24" w:line="228" w:lineRule="auto"/>
              <w:ind w:left="125"/>
              <w:rPr>
                <w:rFonts w:ascii="宋体" w:hAnsi="宋体" w:eastAsia="宋体" w:cs="宋体"/>
                <w:sz w:val="20"/>
                <w:szCs w:val="20"/>
              </w:rPr>
            </w:pPr>
            <w:r>
              <w:rPr>
                <w:rFonts w:ascii="宋体" w:hAnsi="宋体" w:eastAsia="宋体" w:cs="宋体"/>
                <w:spacing w:val="6"/>
                <w:sz w:val="20"/>
                <w:szCs w:val="20"/>
              </w:rPr>
              <w:t>分、病</w:t>
            </w:r>
          </w:p>
          <w:p w14:paraId="1E32062B">
            <w:pPr>
              <w:spacing w:before="25" w:line="228" w:lineRule="auto"/>
              <w:ind w:left="335"/>
              <w:rPr>
                <w:rFonts w:ascii="宋体" w:hAnsi="宋体" w:eastAsia="宋体" w:cs="宋体"/>
                <w:sz w:val="20"/>
                <w:szCs w:val="20"/>
              </w:rPr>
            </w:pPr>
            <w:r>
              <w:rPr>
                <w:rFonts w:ascii="宋体" w:hAnsi="宋体" w:eastAsia="宋体" w:cs="宋体"/>
                <w:sz w:val="20"/>
                <w:szCs w:val="20"/>
              </w:rPr>
              <w:t>菌</w:t>
            </w:r>
          </w:p>
        </w:tc>
        <w:tc>
          <w:tcPr>
            <w:tcW w:w="700" w:type="dxa"/>
          </w:tcPr>
          <w:p w14:paraId="00235F8A">
            <w:pPr>
              <w:spacing w:before="305" w:line="228" w:lineRule="auto"/>
              <w:ind w:left="148"/>
              <w:rPr>
                <w:rFonts w:ascii="宋体" w:hAnsi="宋体" w:eastAsia="宋体" w:cs="宋体"/>
                <w:sz w:val="20"/>
                <w:szCs w:val="20"/>
              </w:rPr>
            </w:pPr>
            <w:r>
              <w:rPr>
                <w:rFonts w:ascii="宋体" w:hAnsi="宋体" w:eastAsia="宋体" w:cs="宋体"/>
                <w:spacing w:val="3"/>
                <w:sz w:val="20"/>
                <w:szCs w:val="20"/>
              </w:rPr>
              <w:t>不定</w:t>
            </w:r>
          </w:p>
          <w:p w14:paraId="6814E249">
            <w:pPr>
              <w:spacing w:before="23" w:line="228" w:lineRule="auto"/>
              <w:ind w:left="147"/>
              <w:rPr>
                <w:rFonts w:ascii="宋体" w:hAnsi="宋体" w:eastAsia="宋体" w:cs="宋体"/>
                <w:sz w:val="20"/>
                <w:szCs w:val="20"/>
              </w:rPr>
            </w:pPr>
            <w:r>
              <w:rPr>
                <w:rFonts w:ascii="宋体" w:hAnsi="宋体" w:eastAsia="宋体" w:cs="宋体"/>
                <w:spacing w:val="4"/>
                <w:sz w:val="20"/>
                <w:szCs w:val="20"/>
              </w:rPr>
              <w:t>期</w:t>
            </w:r>
            <w:r>
              <w:rPr>
                <w:rFonts w:ascii="宋体" w:hAnsi="宋体" w:eastAsia="宋体" w:cs="宋体"/>
                <w:spacing w:val="3"/>
                <w:sz w:val="20"/>
                <w:szCs w:val="20"/>
              </w:rPr>
              <w:t>产</w:t>
            </w:r>
          </w:p>
          <w:p w14:paraId="0439EA5C">
            <w:pPr>
              <w:spacing w:before="26" w:line="238" w:lineRule="auto"/>
              <w:ind w:left="252"/>
              <w:rPr>
                <w:rFonts w:ascii="宋体" w:hAnsi="宋体" w:eastAsia="宋体" w:cs="宋体"/>
                <w:sz w:val="20"/>
                <w:szCs w:val="20"/>
              </w:rPr>
            </w:pPr>
            <w:r>
              <w:rPr>
                <w:rFonts w:ascii="宋体" w:hAnsi="宋体" w:eastAsia="宋体" w:cs="宋体"/>
                <w:sz w:val="20"/>
                <w:szCs w:val="20"/>
              </w:rPr>
              <w:t>生</w:t>
            </w:r>
          </w:p>
        </w:tc>
        <w:tc>
          <w:tcPr>
            <w:tcW w:w="618" w:type="dxa"/>
            <w:textDirection w:val="tbRlV"/>
          </w:tcPr>
          <w:p w14:paraId="3CE07322">
            <w:pPr>
              <w:spacing w:before="203" w:line="216" w:lineRule="auto"/>
              <w:ind w:left="305"/>
              <w:rPr>
                <w:rFonts w:ascii="宋体" w:hAnsi="宋体" w:eastAsia="宋体" w:cs="宋体"/>
                <w:sz w:val="20"/>
                <w:szCs w:val="20"/>
              </w:rPr>
            </w:pPr>
            <w:r>
              <w:rPr>
                <w:rFonts w:ascii="宋体" w:hAnsi="宋体" w:eastAsia="宋体" w:cs="宋体"/>
                <w:spacing w:val="-11"/>
                <w:sz w:val="20"/>
                <w:szCs w:val="20"/>
              </w:rPr>
              <w:t>感</w:t>
            </w:r>
            <w:r>
              <w:rPr>
                <w:rFonts w:ascii="宋体" w:hAnsi="宋体" w:eastAsia="宋体" w:cs="宋体"/>
                <w:spacing w:val="-9"/>
                <w:sz w:val="20"/>
                <w:szCs w:val="20"/>
              </w:rPr>
              <w:t xml:space="preserve"> 染 性</w:t>
            </w:r>
          </w:p>
        </w:tc>
        <w:tc>
          <w:tcPr>
            <w:tcW w:w="2084" w:type="dxa"/>
            <w:tcBorders>
              <w:right w:val="nil"/>
            </w:tcBorders>
          </w:tcPr>
          <w:p w14:paraId="09ADC389">
            <w:pPr>
              <w:spacing w:before="35" w:line="251" w:lineRule="auto"/>
              <w:ind w:left="211" w:right="138" w:hanging="91"/>
              <w:rPr>
                <w:rFonts w:ascii="宋体" w:hAnsi="宋体" w:eastAsia="宋体" w:cs="宋体"/>
                <w:sz w:val="20"/>
                <w:szCs w:val="20"/>
              </w:rPr>
            </w:pPr>
            <w:r>
              <w:rPr>
                <w:rFonts w:ascii="宋体" w:hAnsi="宋体" w:eastAsia="宋体" w:cs="宋体"/>
                <w:spacing w:val="4"/>
                <w:sz w:val="20"/>
                <w:szCs w:val="20"/>
              </w:rPr>
              <w:t>暂存</w:t>
            </w:r>
            <w:r>
              <w:rPr>
                <w:rFonts w:ascii="宋体" w:hAnsi="宋体" w:eastAsia="宋体" w:cs="宋体"/>
                <w:spacing w:val="3"/>
                <w:sz w:val="20"/>
                <w:szCs w:val="20"/>
              </w:rPr>
              <w:t>于</w:t>
            </w:r>
            <w:r>
              <w:rPr>
                <w:rFonts w:ascii="宋体" w:hAnsi="宋体" w:eastAsia="宋体" w:cs="宋体"/>
                <w:spacing w:val="2"/>
                <w:sz w:val="20"/>
                <w:szCs w:val="20"/>
              </w:rPr>
              <w:t>兽医兽药室，</w:t>
            </w:r>
            <w:r>
              <w:rPr>
                <w:rFonts w:ascii="宋体" w:hAnsi="宋体" w:eastAsia="宋体" w:cs="宋体"/>
                <w:sz w:val="20"/>
                <w:szCs w:val="20"/>
              </w:rPr>
              <w:t xml:space="preserve"> </w:t>
            </w:r>
            <w:r>
              <w:rPr>
                <w:rFonts w:ascii="宋体" w:hAnsi="宋体" w:eastAsia="宋体" w:cs="宋体"/>
                <w:spacing w:val="11"/>
                <w:sz w:val="20"/>
                <w:szCs w:val="20"/>
              </w:rPr>
              <w:t>用</w:t>
            </w:r>
            <w:r>
              <w:rPr>
                <w:rFonts w:ascii="宋体" w:hAnsi="宋体" w:eastAsia="宋体" w:cs="宋体"/>
                <w:spacing w:val="8"/>
                <w:sz w:val="20"/>
                <w:szCs w:val="20"/>
              </w:rPr>
              <w:t>专用的医疗废物</w:t>
            </w:r>
          </w:p>
          <w:p w14:paraId="6A330CA0">
            <w:pPr>
              <w:spacing w:before="2" w:line="243" w:lineRule="auto"/>
              <w:ind w:left="214" w:right="138" w:hanging="80"/>
              <w:rPr>
                <w:rFonts w:ascii="宋体" w:hAnsi="宋体" w:eastAsia="宋体" w:cs="宋体"/>
                <w:sz w:val="20"/>
                <w:szCs w:val="20"/>
              </w:rPr>
            </w:pPr>
            <w:r>
              <w:rPr>
                <w:rFonts w:ascii="宋体" w:hAnsi="宋体" w:eastAsia="宋体" w:cs="宋体"/>
                <w:spacing w:val="1"/>
                <w:sz w:val="20"/>
                <w:szCs w:val="20"/>
              </w:rPr>
              <w:t>回收容器进行存放，</w:t>
            </w:r>
            <w:r>
              <w:rPr>
                <w:rFonts w:ascii="宋体" w:hAnsi="宋体" w:eastAsia="宋体" w:cs="宋体"/>
                <w:sz w:val="20"/>
                <w:szCs w:val="20"/>
              </w:rPr>
              <w:t xml:space="preserve"> </w:t>
            </w:r>
            <w:r>
              <w:rPr>
                <w:rFonts w:ascii="宋体" w:hAnsi="宋体" w:eastAsia="宋体" w:cs="宋体"/>
                <w:spacing w:val="8"/>
                <w:sz w:val="20"/>
                <w:szCs w:val="20"/>
              </w:rPr>
              <w:t>定期由有危废处理</w:t>
            </w:r>
            <w:r>
              <w:rPr>
                <w:rFonts w:ascii="宋体" w:hAnsi="宋体" w:eastAsia="宋体" w:cs="宋体"/>
                <w:sz w:val="20"/>
                <w:szCs w:val="20"/>
              </w:rPr>
              <w:t xml:space="preserve"> </w:t>
            </w:r>
            <w:r>
              <w:rPr>
                <w:rFonts w:ascii="宋体" w:hAnsi="宋体" w:eastAsia="宋体" w:cs="宋体"/>
                <w:spacing w:val="7"/>
                <w:sz w:val="20"/>
                <w:szCs w:val="20"/>
              </w:rPr>
              <w:t>资质的单位处置</w:t>
            </w:r>
            <w:r>
              <w:rPr>
                <w:rFonts w:ascii="宋体" w:hAnsi="宋体" w:eastAsia="宋体" w:cs="宋体"/>
                <w:spacing w:val="6"/>
                <w:sz w:val="20"/>
                <w:szCs w:val="20"/>
              </w:rPr>
              <w:t>。</w:t>
            </w:r>
          </w:p>
        </w:tc>
      </w:tr>
    </w:tbl>
    <w:p w14:paraId="75C65D89">
      <w:pPr>
        <w:spacing w:before="37" w:line="228" w:lineRule="auto"/>
        <w:ind w:left="609"/>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5</w:t>
      </w:r>
      <w:r>
        <w:rPr>
          <w:rFonts w:ascii="宋体" w:hAnsi="宋体" w:eastAsia="宋体" w:cs="宋体"/>
          <w:spacing w:val="20"/>
          <w:sz w:val="23"/>
          <w:szCs w:val="23"/>
        </w:rPr>
        <w:t>) 生活垃</w:t>
      </w:r>
      <w:r>
        <w:rPr>
          <w:rFonts w:ascii="宋体" w:hAnsi="宋体" w:eastAsia="宋体" w:cs="宋体"/>
          <w:spacing w:val="19"/>
          <w:sz w:val="23"/>
          <w:szCs w:val="23"/>
        </w:rPr>
        <w:t>圾</w:t>
      </w:r>
    </w:p>
    <w:p w14:paraId="55FF4F9F">
      <w:pPr>
        <w:spacing w:before="138" w:line="392" w:lineRule="auto"/>
        <w:ind w:left="113" w:right="109" w:firstLine="488"/>
        <w:rPr>
          <w:rFonts w:ascii="宋体" w:hAnsi="宋体" w:eastAsia="宋体" w:cs="宋体"/>
          <w:sz w:val="23"/>
          <w:szCs w:val="23"/>
        </w:rPr>
      </w:pPr>
      <w:r>
        <w:rPr>
          <w:rFonts w:ascii="宋体" w:hAnsi="宋体" w:eastAsia="宋体" w:cs="宋体"/>
          <w:spacing w:val="14"/>
          <w:sz w:val="23"/>
          <w:szCs w:val="23"/>
        </w:rPr>
        <w:t>项目员</w:t>
      </w:r>
      <w:r>
        <w:rPr>
          <w:rFonts w:ascii="宋体" w:hAnsi="宋体" w:eastAsia="宋体" w:cs="宋体"/>
          <w:spacing w:val="10"/>
          <w:sz w:val="23"/>
          <w:szCs w:val="23"/>
        </w:rPr>
        <w:t>工</w:t>
      </w:r>
      <w:r>
        <w:rPr>
          <w:rFonts w:ascii="宋体" w:hAnsi="宋体" w:eastAsia="宋体" w:cs="宋体"/>
          <w:spacing w:val="7"/>
          <w:sz w:val="23"/>
          <w:szCs w:val="23"/>
        </w:rPr>
        <w:t xml:space="preserve">总数为 </w:t>
      </w:r>
      <w:r>
        <w:rPr>
          <w:rFonts w:ascii="Times New Roman" w:hAnsi="Times New Roman" w:eastAsia="Times New Roman" w:cs="Times New Roman"/>
          <w:spacing w:val="7"/>
          <w:sz w:val="23"/>
          <w:szCs w:val="23"/>
        </w:rPr>
        <w:t xml:space="preserve">12 </w:t>
      </w:r>
      <w:r>
        <w:rPr>
          <w:rFonts w:ascii="宋体" w:hAnsi="宋体" w:eastAsia="宋体" w:cs="宋体"/>
          <w:spacing w:val="7"/>
          <w:sz w:val="23"/>
          <w:szCs w:val="23"/>
        </w:rPr>
        <w:t xml:space="preserve">人，按每人每天产生 </w:t>
      </w:r>
      <w:r>
        <w:rPr>
          <w:rFonts w:ascii="Times New Roman" w:hAnsi="Times New Roman" w:eastAsia="Times New Roman" w:cs="Times New Roman"/>
          <w:spacing w:val="7"/>
          <w:sz w:val="23"/>
          <w:szCs w:val="23"/>
        </w:rPr>
        <w:t>0.5</w:t>
      </w:r>
      <w:r>
        <w:rPr>
          <w:rFonts w:ascii="Times New Roman" w:hAnsi="Times New Roman" w:eastAsia="Times New Roman" w:cs="Times New Roman"/>
          <w:sz w:val="23"/>
          <w:szCs w:val="23"/>
        </w:rPr>
        <w:t>kg</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垃圾计算，本项目产生的生活垃圾量为</w:t>
      </w:r>
      <w:r>
        <w:rPr>
          <w:rFonts w:ascii="宋体" w:hAnsi="宋体" w:eastAsia="宋体" w:cs="宋体"/>
          <w:sz w:val="23"/>
          <w:szCs w:val="23"/>
        </w:rPr>
        <w:t xml:space="preserve"> </w:t>
      </w:r>
      <w:r>
        <w:rPr>
          <w:rFonts w:ascii="Times New Roman" w:hAnsi="Times New Roman" w:eastAsia="Times New Roman" w:cs="Times New Roman"/>
          <w:spacing w:val="10"/>
          <w:sz w:val="23"/>
          <w:szCs w:val="23"/>
        </w:rPr>
        <w:t>2</w:t>
      </w:r>
      <w:r>
        <w:rPr>
          <w:rFonts w:ascii="Times New Roman" w:hAnsi="Times New Roman" w:eastAsia="Times New Roman" w:cs="Times New Roman"/>
          <w:spacing w:val="5"/>
          <w:sz w:val="23"/>
          <w:szCs w:val="23"/>
        </w:rPr>
        <w:t>. 19</w:t>
      </w:r>
      <w:r>
        <w:rPr>
          <w:rFonts w:ascii="Times New Roman" w:hAnsi="Times New Roman" w:eastAsia="Times New Roman" w:cs="Times New Roman"/>
          <w:sz w:val="23"/>
          <w:szCs w:val="23"/>
        </w:rPr>
        <w:t>t</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。生活垃圾及时收集后转运至垃圾中转站，由环卫部门统一处理。</w:t>
      </w:r>
    </w:p>
    <w:p w14:paraId="3E9E7488">
      <w:pPr>
        <w:spacing w:line="228" w:lineRule="auto"/>
        <w:ind w:left="489"/>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6</w:t>
      </w:r>
      <w:r>
        <w:rPr>
          <w:rFonts w:ascii="宋体" w:hAnsi="宋体" w:eastAsia="宋体" w:cs="宋体"/>
          <w:spacing w:val="20"/>
          <w:sz w:val="23"/>
          <w:szCs w:val="23"/>
        </w:rPr>
        <w:t>) 废饲料</w:t>
      </w:r>
      <w:r>
        <w:rPr>
          <w:rFonts w:ascii="宋体" w:hAnsi="宋体" w:eastAsia="宋体" w:cs="宋体"/>
          <w:spacing w:val="19"/>
          <w:sz w:val="23"/>
          <w:szCs w:val="23"/>
        </w:rPr>
        <w:t>袋</w:t>
      </w:r>
    </w:p>
    <w:p w14:paraId="5FE96337">
      <w:pPr>
        <w:spacing w:before="183" w:line="375" w:lineRule="auto"/>
        <w:ind w:left="118" w:right="107" w:firstLine="483"/>
        <w:rPr>
          <w:rFonts w:ascii="宋体" w:hAnsi="宋体" w:eastAsia="宋体" w:cs="宋体"/>
          <w:sz w:val="23"/>
          <w:szCs w:val="23"/>
        </w:rPr>
      </w:pPr>
      <w:r>
        <w:rPr>
          <w:rFonts w:ascii="宋体" w:hAnsi="宋体" w:eastAsia="宋体" w:cs="宋体"/>
          <w:spacing w:val="7"/>
          <w:sz w:val="23"/>
          <w:szCs w:val="23"/>
        </w:rPr>
        <w:t>项目主要外购正邦集团生产的饲料，袋装后运输至厂区，将产生一定的废包装袋，根</w:t>
      </w:r>
      <w:r>
        <w:rPr>
          <w:rFonts w:ascii="宋体" w:hAnsi="宋体" w:eastAsia="宋体" w:cs="宋体"/>
          <w:spacing w:val="4"/>
          <w:sz w:val="23"/>
          <w:szCs w:val="23"/>
        </w:rPr>
        <w:t>据</w:t>
      </w:r>
      <w:r>
        <w:rPr>
          <w:rFonts w:ascii="宋体" w:hAnsi="宋体" w:eastAsia="宋体" w:cs="宋体"/>
          <w:sz w:val="23"/>
          <w:szCs w:val="23"/>
        </w:rPr>
        <w:t xml:space="preserve"> </w:t>
      </w:r>
      <w:r>
        <w:rPr>
          <w:rFonts w:ascii="宋体" w:hAnsi="宋体" w:eastAsia="宋体" w:cs="宋体"/>
          <w:spacing w:val="10"/>
          <w:sz w:val="23"/>
          <w:szCs w:val="23"/>
        </w:rPr>
        <w:t>估</w:t>
      </w:r>
      <w:r>
        <w:rPr>
          <w:rFonts w:ascii="宋体" w:hAnsi="宋体" w:eastAsia="宋体" w:cs="宋体"/>
          <w:spacing w:val="6"/>
          <w:sz w:val="23"/>
          <w:szCs w:val="23"/>
        </w:rPr>
        <w:t xml:space="preserve">算产生量约为 </w:t>
      </w:r>
      <w:r>
        <w:rPr>
          <w:rFonts w:ascii="Times New Roman" w:hAnsi="Times New Roman" w:eastAsia="Times New Roman" w:cs="Times New Roman"/>
          <w:spacing w:val="6"/>
          <w:sz w:val="23"/>
          <w:szCs w:val="23"/>
        </w:rPr>
        <w:t>2</w:t>
      </w:r>
      <w:r>
        <w:rPr>
          <w:rFonts w:ascii="Times New Roman" w:hAnsi="Times New Roman" w:eastAsia="Times New Roman" w:cs="Times New Roman"/>
          <w:sz w:val="23"/>
          <w:szCs w:val="23"/>
        </w:rPr>
        <w:t>t</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。废饲料袋收集后暂存于一般固废暂存间，由饲料提供商回收利用。</w:t>
      </w:r>
    </w:p>
    <w:p w14:paraId="17901EB5">
      <w:pPr>
        <w:spacing w:line="227" w:lineRule="auto"/>
        <w:ind w:left="602"/>
        <w:rPr>
          <w:rFonts w:ascii="宋体" w:hAnsi="宋体" w:eastAsia="宋体" w:cs="宋体"/>
          <w:sz w:val="23"/>
          <w:szCs w:val="23"/>
        </w:rPr>
      </w:pPr>
      <w:r>
        <w:rPr>
          <w:rFonts w:ascii="宋体" w:hAnsi="宋体" w:eastAsia="宋体" w:cs="宋体"/>
          <w:spacing w:val="8"/>
          <w:sz w:val="23"/>
          <w:szCs w:val="23"/>
        </w:rPr>
        <w:t>项目</w:t>
      </w:r>
      <w:r>
        <w:rPr>
          <w:rFonts w:ascii="宋体" w:hAnsi="宋体" w:eastAsia="宋体" w:cs="宋体"/>
          <w:spacing w:val="4"/>
          <w:sz w:val="23"/>
          <w:szCs w:val="23"/>
        </w:rPr>
        <w:t xml:space="preserve">固体废物产生量核算表见表 </w:t>
      </w:r>
      <w:r>
        <w:rPr>
          <w:rFonts w:ascii="Times New Roman" w:hAnsi="Times New Roman" w:eastAsia="Times New Roman" w:cs="Times New Roman"/>
          <w:spacing w:val="4"/>
          <w:sz w:val="23"/>
          <w:szCs w:val="23"/>
        </w:rPr>
        <w:t>3.3-20</w:t>
      </w:r>
      <w:r>
        <w:rPr>
          <w:rFonts w:ascii="宋体" w:hAnsi="宋体" w:eastAsia="宋体" w:cs="宋体"/>
          <w:spacing w:val="4"/>
          <w:sz w:val="23"/>
          <w:szCs w:val="23"/>
        </w:rPr>
        <w:t>。</w:t>
      </w:r>
    </w:p>
    <w:p w14:paraId="0EF6C48C">
      <w:pPr>
        <w:spacing w:before="182" w:line="222" w:lineRule="auto"/>
        <w:ind w:left="2910"/>
        <w:rPr>
          <w:rFonts w:ascii="黑体" w:hAnsi="黑体" w:eastAsia="黑体" w:cs="黑体"/>
          <w:sz w:val="23"/>
          <w:szCs w:val="23"/>
        </w:rPr>
      </w:pPr>
      <w:r>
        <w:rPr>
          <w:rFonts w:ascii="黑体" w:hAnsi="黑体" w:eastAsia="黑体" w:cs="黑体"/>
          <w:spacing w:val="7"/>
          <w:sz w:val="23"/>
          <w:szCs w:val="23"/>
        </w:rPr>
        <w:t>表</w:t>
      </w:r>
      <w:r>
        <w:rPr>
          <w:rFonts w:ascii="黑体" w:hAnsi="黑体" w:eastAsia="黑体" w:cs="黑体"/>
          <w:spacing w:val="4"/>
          <w:sz w:val="23"/>
          <w:szCs w:val="23"/>
        </w:rPr>
        <w:t xml:space="preserve"> </w:t>
      </w:r>
      <w:r>
        <w:rPr>
          <w:rFonts w:ascii="Times New Roman" w:hAnsi="Times New Roman" w:eastAsia="Times New Roman" w:cs="Times New Roman"/>
          <w:spacing w:val="4"/>
          <w:sz w:val="23"/>
          <w:szCs w:val="23"/>
        </w:rPr>
        <w:t xml:space="preserve">3.3-20  </w:t>
      </w:r>
      <w:r>
        <w:rPr>
          <w:rFonts w:ascii="黑体" w:hAnsi="黑体" w:eastAsia="黑体" w:cs="黑体"/>
          <w:spacing w:val="4"/>
          <w:sz w:val="23"/>
          <w:szCs w:val="23"/>
        </w:rPr>
        <w:t>项目固体废物产生量核算表</w:t>
      </w:r>
    </w:p>
    <w:tbl>
      <w:tblPr>
        <w:tblStyle w:val="4"/>
        <w:tblW w:w="9289" w:type="dxa"/>
        <w:tblInd w:w="2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8"/>
        <w:gridCol w:w="1223"/>
        <w:gridCol w:w="1266"/>
        <w:gridCol w:w="1532"/>
        <w:gridCol w:w="4310"/>
      </w:tblGrid>
      <w:tr w14:paraId="714F66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958" w:type="dxa"/>
            <w:tcBorders>
              <w:left w:val="nil"/>
            </w:tcBorders>
          </w:tcPr>
          <w:p w14:paraId="2BDEEA94">
            <w:pPr>
              <w:spacing w:before="57" w:line="225" w:lineRule="auto"/>
              <w:ind w:left="115"/>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1223" w:type="dxa"/>
          </w:tcPr>
          <w:p w14:paraId="21DA00B1">
            <w:pPr>
              <w:spacing w:before="57" w:line="225" w:lineRule="auto"/>
              <w:ind w:left="535"/>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名</w:t>
            </w:r>
            <w:r>
              <w:rPr>
                <w:rFonts w:ascii="宋体" w:hAnsi="宋体" w:eastAsia="宋体" w:cs="宋体"/>
                <w:spacing w:val="4"/>
                <w:sz w:val="20"/>
                <w:szCs w:val="20"/>
                <w14:textOutline w14:w="3797" w14:cap="sq" w14:cmpd="sng" w14:algn="ctr">
                  <w14:solidFill>
                    <w14:srgbClr w14:val="000000"/>
                  </w14:solidFill>
                  <w14:prstDash w14:val="solid"/>
                  <w14:bevel/>
                </w14:textOutline>
              </w:rPr>
              <w:t>称</w:t>
            </w:r>
          </w:p>
        </w:tc>
        <w:tc>
          <w:tcPr>
            <w:tcW w:w="1266" w:type="dxa"/>
          </w:tcPr>
          <w:p w14:paraId="4359405F">
            <w:pPr>
              <w:spacing w:before="57" w:line="225" w:lineRule="auto"/>
              <w:ind w:left="132"/>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固废种类</w:t>
            </w:r>
          </w:p>
        </w:tc>
        <w:tc>
          <w:tcPr>
            <w:tcW w:w="1532" w:type="dxa"/>
          </w:tcPr>
          <w:p w14:paraId="52074D95">
            <w:pPr>
              <w:spacing w:before="15" w:line="285" w:lineRule="exact"/>
              <w:ind w:left="114"/>
              <w:rPr>
                <w:rFonts w:ascii="宋体" w:hAnsi="宋体" w:eastAsia="宋体" w:cs="宋体"/>
                <w:sz w:val="20"/>
                <w:szCs w:val="20"/>
              </w:rPr>
            </w:pPr>
            <w:r>
              <w:rPr>
                <w:rFonts w:ascii="宋体" w:hAnsi="宋体" w:eastAsia="宋体" w:cs="宋体"/>
                <w:spacing w:val="2"/>
                <w:position w:val="1"/>
                <w:sz w:val="20"/>
                <w:szCs w:val="20"/>
                <w14:textOutline w14:w="3746" w14:cap="sq" w14:cmpd="sng" w14:algn="ctr">
                  <w14:solidFill>
                    <w14:srgbClr w14:val="000000"/>
                  </w14:solidFill>
                  <w14:prstDash w14:val="solid"/>
                  <w14:bevel/>
                </w14:textOutline>
              </w:rPr>
              <w:t>数量</w:t>
            </w:r>
            <w:r>
              <w:rPr>
                <w:rFonts w:ascii="宋体" w:hAnsi="宋体" w:eastAsia="宋体" w:cs="宋体"/>
                <w:spacing w:val="2"/>
                <w:position w:val="1"/>
                <w:sz w:val="20"/>
                <w:szCs w:val="20"/>
              </w:rPr>
              <w:t xml:space="preserve"> </w:t>
            </w:r>
            <w:r>
              <w:rPr>
                <w:rFonts w:ascii="宋体" w:hAnsi="宋体" w:eastAsia="宋体" w:cs="宋体"/>
                <w:spacing w:val="2"/>
                <w:position w:val="1"/>
                <w:sz w:val="20"/>
                <w:szCs w:val="20"/>
                <w14:textOutline w14:w="3746" w14:cap="sq" w14:cmpd="sng" w14:algn="ctr">
                  <w14:solidFill>
                    <w14:srgbClr w14:val="000000"/>
                  </w14:solidFill>
                  <w14:prstDash w14:val="solid"/>
                  <w14:bevel/>
                </w14:textOutline>
              </w:rPr>
              <w:t>(</w:t>
            </w:r>
            <w:r>
              <w:rPr>
                <w:rFonts w:ascii="Times New Roman" w:hAnsi="Times New Roman" w:eastAsia="Times New Roman" w:cs="Times New Roman"/>
                <w:b/>
                <w:bCs/>
                <w:position w:val="1"/>
                <w:sz w:val="20"/>
                <w:szCs w:val="20"/>
              </w:rPr>
              <w:t>t</w:t>
            </w:r>
            <w:r>
              <w:rPr>
                <w:rFonts w:ascii="Times New Roman" w:hAnsi="Times New Roman" w:eastAsia="Times New Roman" w:cs="Times New Roman"/>
                <w:b/>
                <w:bCs/>
                <w:spacing w:val="2"/>
                <w:position w:val="1"/>
                <w:sz w:val="20"/>
                <w:szCs w:val="20"/>
              </w:rPr>
              <w:t>/</w:t>
            </w:r>
            <w:r>
              <w:rPr>
                <w:rFonts w:ascii="Times New Roman" w:hAnsi="Times New Roman" w:eastAsia="Times New Roman" w:cs="Times New Roman"/>
                <w:b/>
                <w:bCs/>
                <w:position w:val="1"/>
                <w:sz w:val="20"/>
                <w:szCs w:val="20"/>
              </w:rPr>
              <w:t>a</w:t>
            </w:r>
            <w:r>
              <w:rPr>
                <w:rFonts w:ascii="Times New Roman" w:hAnsi="Times New Roman" w:eastAsia="Times New Roman" w:cs="Times New Roman"/>
                <w:spacing w:val="2"/>
                <w:position w:val="1"/>
                <w:sz w:val="20"/>
                <w:szCs w:val="20"/>
              </w:rPr>
              <w:t xml:space="preserve"> </w:t>
            </w:r>
            <w:r>
              <w:rPr>
                <w:rFonts w:ascii="宋体" w:hAnsi="宋体" w:eastAsia="宋体" w:cs="宋体"/>
                <w:spacing w:val="2"/>
                <w:position w:val="1"/>
                <w:sz w:val="20"/>
                <w:szCs w:val="20"/>
                <w14:textOutline w14:w="3746" w14:cap="sq" w14:cmpd="sng" w14:algn="ctr">
                  <w14:solidFill>
                    <w14:srgbClr w14:val="000000"/>
                  </w14:solidFill>
                  <w14:prstDash w14:val="solid"/>
                  <w14:bevel/>
                </w14:textOutline>
              </w:rPr>
              <w:t>)</w:t>
            </w:r>
          </w:p>
        </w:tc>
        <w:tc>
          <w:tcPr>
            <w:tcW w:w="4310" w:type="dxa"/>
            <w:tcBorders>
              <w:right w:val="nil"/>
            </w:tcBorders>
          </w:tcPr>
          <w:p w14:paraId="7D383B7F">
            <w:pPr>
              <w:spacing w:before="57" w:line="225" w:lineRule="auto"/>
              <w:ind w:left="538"/>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处</w:t>
            </w:r>
            <w:r>
              <w:rPr>
                <w:rFonts w:ascii="宋体" w:hAnsi="宋体" w:eastAsia="宋体" w:cs="宋体"/>
                <w:spacing w:val="7"/>
                <w:sz w:val="20"/>
                <w:szCs w:val="20"/>
                <w14:textOutline w14:w="3797" w14:cap="sq" w14:cmpd="sng" w14:algn="ctr">
                  <w14:solidFill>
                    <w14:srgbClr w14:val="000000"/>
                  </w14:solidFill>
                  <w14:prstDash w14:val="solid"/>
                  <w14:bevel/>
                </w14:textOutline>
              </w:rPr>
              <w:t>理措施</w:t>
            </w:r>
          </w:p>
        </w:tc>
      </w:tr>
      <w:tr w14:paraId="4137B0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958" w:type="dxa"/>
            <w:tcBorders>
              <w:left w:val="nil"/>
            </w:tcBorders>
          </w:tcPr>
          <w:p w14:paraId="0E1593A3">
            <w:pPr>
              <w:spacing w:line="274" w:lineRule="auto"/>
            </w:pPr>
          </w:p>
          <w:p w14:paraId="6CCD9613">
            <w:pPr>
              <w:spacing w:line="274" w:lineRule="auto"/>
            </w:pPr>
          </w:p>
          <w:p w14:paraId="26034A25">
            <w:pPr>
              <w:spacing w:line="275" w:lineRule="auto"/>
            </w:pPr>
          </w:p>
          <w:p w14:paraId="67402F00">
            <w:pPr>
              <w:spacing w:before="57" w:line="195" w:lineRule="auto"/>
              <w:ind w:left="660"/>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223" w:type="dxa"/>
          </w:tcPr>
          <w:p w14:paraId="245810BB">
            <w:pPr>
              <w:spacing w:line="259" w:lineRule="auto"/>
            </w:pPr>
          </w:p>
          <w:p w14:paraId="6186A7D4">
            <w:pPr>
              <w:spacing w:line="259" w:lineRule="auto"/>
            </w:pPr>
          </w:p>
          <w:p w14:paraId="05E15E50">
            <w:pPr>
              <w:spacing w:line="260" w:lineRule="auto"/>
            </w:pPr>
          </w:p>
          <w:p w14:paraId="31EBE4ED">
            <w:pPr>
              <w:spacing w:before="65" w:line="228" w:lineRule="auto"/>
              <w:ind w:left="299"/>
              <w:rPr>
                <w:rFonts w:ascii="宋体" w:hAnsi="宋体" w:eastAsia="宋体" w:cs="宋体"/>
                <w:sz w:val="20"/>
                <w:szCs w:val="20"/>
              </w:rPr>
            </w:pPr>
            <w:r>
              <w:rPr>
                <w:rFonts w:ascii="宋体" w:hAnsi="宋体" w:eastAsia="宋体" w:cs="宋体"/>
                <w:spacing w:val="7"/>
                <w:sz w:val="20"/>
                <w:szCs w:val="20"/>
              </w:rPr>
              <w:t>病死猪</w:t>
            </w:r>
          </w:p>
        </w:tc>
        <w:tc>
          <w:tcPr>
            <w:tcW w:w="1266" w:type="dxa"/>
            <w:vMerge w:val="restart"/>
            <w:tcBorders>
              <w:bottom w:val="nil"/>
            </w:tcBorders>
          </w:tcPr>
          <w:p w14:paraId="41BA24F9">
            <w:pPr>
              <w:spacing w:line="262" w:lineRule="auto"/>
            </w:pPr>
          </w:p>
          <w:p w14:paraId="1D294C3C">
            <w:pPr>
              <w:spacing w:line="262" w:lineRule="auto"/>
            </w:pPr>
          </w:p>
          <w:p w14:paraId="545E633A">
            <w:pPr>
              <w:spacing w:line="262" w:lineRule="auto"/>
            </w:pPr>
          </w:p>
          <w:p w14:paraId="44118236">
            <w:pPr>
              <w:spacing w:line="262" w:lineRule="auto"/>
            </w:pPr>
          </w:p>
          <w:p w14:paraId="6EBD18CC">
            <w:pPr>
              <w:spacing w:line="263" w:lineRule="auto"/>
            </w:pPr>
          </w:p>
          <w:p w14:paraId="676D3960">
            <w:pPr>
              <w:spacing w:line="263" w:lineRule="auto"/>
            </w:pPr>
          </w:p>
          <w:p w14:paraId="643F0E09">
            <w:pPr>
              <w:spacing w:line="263" w:lineRule="auto"/>
            </w:pPr>
          </w:p>
          <w:p w14:paraId="620A5A44">
            <w:pPr>
              <w:spacing w:line="263" w:lineRule="auto"/>
            </w:pPr>
          </w:p>
          <w:p w14:paraId="4235CB3A">
            <w:pPr>
              <w:spacing w:line="263" w:lineRule="auto"/>
            </w:pPr>
          </w:p>
          <w:p w14:paraId="24C258D2">
            <w:pPr>
              <w:spacing w:before="65" w:line="268" w:lineRule="auto"/>
              <w:ind w:left="533" w:right="105" w:hanging="416"/>
              <w:rPr>
                <w:rFonts w:ascii="宋体" w:hAnsi="宋体" w:eastAsia="宋体" w:cs="宋体"/>
                <w:sz w:val="20"/>
                <w:szCs w:val="20"/>
              </w:rPr>
            </w:pPr>
            <w:r>
              <w:rPr>
                <w:rFonts w:ascii="宋体" w:hAnsi="宋体" w:eastAsia="宋体" w:cs="宋体"/>
                <w:spacing w:val="9"/>
                <w:sz w:val="20"/>
                <w:szCs w:val="20"/>
              </w:rPr>
              <w:t>一</w:t>
            </w:r>
            <w:r>
              <w:rPr>
                <w:rFonts w:ascii="宋体" w:hAnsi="宋体" w:eastAsia="宋体" w:cs="宋体"/>
                <w:spacing w:val="7"/>
                <w:sz w:val="20"/>
                <w:szCs w:val="20"/>
              </w:rPr>
              <w:t>般固体废</w:t>
            </w:r>
            <w:r>
              <w:rPr>
                <w:rFonts w:ascii="宋体" w:hAnsi="宋体" w:eastAsia="宋体" w:cs="宋体"/>
                <w:sz w:val="20"/>
                <w:szCs w:val="20"/>
              </w:rPr>
              <w:t xml:space="preserve"> 物</w:t>
            </w:r>
          </w:p>
        </w:tc>
        <w:tc>
          <w:tcPr>
            <w:tcW w:w="1532" w:type="dxa"/>
          </w:tcPr>
          <w:p w14:paraId="4ED64794">
            <w:pPr>
              <w:spacing w:line="274" w:lineRule="auto"/>
            </w:pPr>
          </w:p>
          <w:p w14:paraId="0D84EA10">
            <w:pPr>
              <w:spacing w:line="274" w:lineRule="auto"/>
            </w:pPr>
          </w:p>
          <w:p w14:paraId="3F140D80">
            <w:pPr>
              <w:spacing w:line="275" w:lineRule="auto"/>
            </w:pPr>
          </w:p>
          <w:p w14:paraId="7F56CF59">
            <w:pPr>
              <w:spacing w:before="57" w:line="198" w:lineRule="auto"/>
              <w:ind w:left="54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w:t>
            </w:r>
            <w:r>
              <w:rPr>
                <w:rFonts w:ascii="Times New Roman" w:hAnsi="Times New Roman" w:eastAsia="Times New Roman" w:cs="Times New Roman"/>
                <w:sz w:val="20"/>
                <w:szCs w:val="20"/>
              </w:rPr>
              <w:t>4.56</w:t>
            </w:r>
          </w:p>
        </w:tc>
        <w:tc>
          <w:tcPr>
            <w:tcW w:w="4310" w:type="dxa"/>
            <w:tcBorders>
              <w:right w:val="nil"/>
            </w:tcBorders>
          </w:tcPr>
          <w:p w14:paraId="405D8018">
            <w:pPr>
              <w:spacing w:before="31" w:line="227" w:lineRule="auto"/>
              <w:ind w:left="165"/>
              <w:rPr>
                <w:rFonts w:ascii="宋体" w:hAnsi="宋体" w:eastAsia="宋体" w:cs="宋体"/>
                <w:sz w:val="20"/>
                <w:szCs w:val="20"/>
              </w:rPr>
            </w:pPr>
            <w:r>
              <w:pict>
                <v:shape id="_x0000_s2091" o:spid="_x0000_s2091" o:spt="202" type="#_x0000_t202" style="position:absolute;left:0pt;margin-left:96.6pt;margin-top:82.55pt;height:14.65pt;width:12.15pt;mso-position-horizontal-relative:page;mso-position-vertical-relative:page;z-index:251719680;mso-width-relative:page;mso-height-relative:page;" filled="f" stroked="f" coordsize="21600,21600">
                  <v:path/>
                  <v:fill on="f" focussize="0,0"/>
                  <v:stroke on="f" joinstyle="miter"/>
                  <v:imagedata o:title=""/>
                  <o:lock v:ext="edit"/>
                  <v:textbox inset="0mm,0mm,0mm,0mm">
                    <w:txbxContent>
                      <w:p w14:paraId="012BCD7E">
                        <w:pPr>
                          <w:spacing w:before="20" w:line="233" w:lineRule="auto"/>
                          <w:ind w:left="20"/>
                          <w:rPr>
                            <w:rFonts w:ascii="宋体" w:hAnsi="宋体" w:eastAsia="宋体" w:cs="宋体"/>
                            <w:sz w:val="20"/>
                            <w:szCs w:val="20"/>
                          </w:rPr>
                        </w:pPr>
                        <w:r>
                          <w:rPr>
                            <w:rFonts w:ascii="宋体" w:hAnsi="宋体" w:eastAsia="宋体" w:cs="宋体"/>
                            <w:spacing w:val="2"/>
                            <w:sz w:val="20"/>
                            <w:szCs w:val="20"/>
                          </w:rPr>
                          <w:t>置</w:t>
                        </w:r>
                      </w:p>
                    </w:txbxContent>
                  </v:textbox>
                </v:shape>
              </w:pict>
            </w:r>
            <w:r>
              <w:rPr>
                <w:rFonts w:ascii="宋体" w:hAnsi="宋体" w:eastAsia="宋体" w:cs="宋体"/>
                <w:spacing w:val="17"/>
                <w:sz w:val="20"/>
                <w:szCs w:val="20"/>
              </w:rPr>
              <w:t>严</w:t>
            </w:r>
            <w:r>
              <w:rPr>
                <w:rFonts w:ascii="宋体" w:hAnsi="宋体" w:eastAsia="宋体" w:cs="宋体"/>
                <w:spacing w:val="9"/>
                <w:sz w:val="20"/>
                <w:szCs w:val="20"/>
              </w:rPr>
              <w:t>格按照乐山市沙湾区人民政府办公室《关</w:t>
            </w:r>
          </w:p>
          <w:p w14:paraId="5E07EECF">
            <w:pPr>
              <w:spacing w:before="27" w:line="216" w:lineRule="auto"/>
              <w:ind w:left="117"/>
              <w:rPr>
                <w:rFonts w:ascii="宋体" w:hAnsi="宋体" w:eastAsia="宋体" w:cs="宋体"/>
                <w:sz w:val="20"/>
                <w:szCs w:val="20"/>
              </w:rPr>
            </w:pPr>
            <w:r>
              <w:rPr>
                <w:rFonts w:ascii="宋体" w:hAnsi="宋体" w:eastAsia="宋体" w:cs="宋体"/>
                <w:spacing w:val="9"/>
                <w:sz w:val="20"/>
                <w:szCs w:val="20"/>
              </w:rPr>
              <w:t>于建立病死畜禽无害化处理机制的通知》(乐</w:t>
            </w:r>
          </w:p>
          <w:p w14:paraId="71617016">
            <w:pPr>
              <w:spacing w:line="281" w:lineRule="exact"/>
              <w:ind w:left="123"/>
              <w:rPr>
                <w:rFonts w:ascii="宋体" w:hAnsi="宋体" w:eastAsia="宋体" w:cs="宋体"/>
                <w:sz w:val="20"/>
                <w:szCs w:val="20"/>
              </w:rPr>
            </w:pPr>
            <w:r>
              <w:rPr>
                <w:rFonts w:ascii="宋体" w:hAnsi="宋体" w:eastAsia="宋体" w:cs="宋体"/>
                <w:spacing w:val="7"/>
                <w:position w:val="2"/>
                <w:sz w:val="20"/>
                <w:szCs w:val="20"/>
              </w:rPr>
              <w:t>沙</w:t>
            </w:r>
            <w:r>
              <w:rPr>
                <w:rFonts w:ascii="宋体" w:hAnsi="宋体" w:eastAsia="宋体" w:cs="宋体"/>
                <w:spacing w:val="5"/>
                <w:position w:val="2"/>
                <w:sz w:val="20"/>
                <w:szCs w:val="20"/>
              </w:rPr>
              <w:t>府办函</w:t>
            </w:r>
            <w:r>
              <w:rPr>
                <w:rFonts w:ascii="Times New Roman" w:hAnsi="Times New Roman" w:eastAsia="Times New Roman" w:cs="Times New Roman"/>
                <w:spacing w:val="5"/>
                <w:position w:val="2"/>
                <w:sz w:val="20"/>
                <w:szCs w:val="20"/>
              </w:rPr>
              <w:t xml:space="preserve">[2018] 1 </w:t>
            </w:r>
            <w:r>
              <w:rPr>
                <w:rFonts w:ascii="宋体" w:hAnsi="宋体" w:eastAsia="宋体" w:cs="宋体"/>
                <w:spacing w:val="5"/>
                <w:position w:val="2"/>
                <w:sz w:val="20"/>
                <w:szCs w:val="20"/>
              </w:rPr>
              <w:t>号) 要求处置，在乐山市病</w:t>
            </w:r>
          </w:p>
          <w:p w14:paraId="4215E39E">
            <w:pPr>
              <w:spacing w:before="29" w:line="228" w:lineRule="auto"/>
              <w:ind w:left="165"/>
              <w:rPr>
                <w:rFonts w:ascii="宋体" w:hAnsi="宋体" w:eastAsia="宋体" w:cs="宋体"/>
                <w:sz w:val="20"/>
                <w:szCs w:val="20"/>
              </w:rPr>
            </w:pPr>
            <w:r>
              <w:rPr>
                <w:rFonts w:ascii="宋体" w:hAnsi="宋体" w:eastAsia="宋体" w:cs="宋体"/>
                <w:spacing w:val="17"/>
                <w:sz w:val="20"/>
                <w:szCs w:val="20"/>
              </w:rPr>
              <w:t>死</w:t>
            </w:r>
            <w:r>
              <w:rPr>
                <w:rFonts w:ascii="宋体" w:hAnsi="宋体" w:eastAsia="宋体" w:cs="宋体"/>
                <w:spacing w:val="9"/>
                <w:sz w:val="20"/>
                <w:szCs w:val="20"/>
              </w:rPr>
              <w:t>畜禽无害化处理中心建成之前，委托专业</w:t>
            </w:r>
          </w:p>
          <w:p w14:paraId="5CCA0654">
            <w:pPr>
              <w:spacing w:before="24" w:line="228" w:lineRule="auto"/>
              <w:ind w:left="165"/>
              <w:rPr>
                <w:rFonts w:ascii="宋体" w:hAnsi="宋体" w:eastAsia="宋体" w:cs="宋体"/>
                <w:sz w:val="20"/>
                <w:szCs w:val="20"/>
              </w:rPr>
            </w:pPr>
            <w:r>
              <w:rPr>
                <w:rFonts w:ascii="宋体" w:hAnsi="宋体" w:eastAsia="宋体" w:cs="宋体"/>
                <w:spacing w:val="17"/>
                <w:sz w:val="20"/>
                <w:szCs w:val="20"/>
              </w:rPr>
              <w:t>化</w:t>
            </w:r>
            <w:r>
              <w:rPr>
                <w:rFonts w:ascii="宋体" w:hAnsi="宋体" w:eastAsia="宋体" w:cs="宋体"/>
                <w:spacing w:val="9"/>
                <w:sz w:val="20"/>
                <w:szCs w:val="20"/>
              </w:rPr>
              <w:t>的公司进行无害化处置，乐山市病死畜禽</w:t>
            </w:r>
          </w:p>
          <w:p w14:paraId="4D61ADDD">
            <w:pPr>
              <w:spacing w:before="24" w:line="228" w:lineRule="auto"/>
              <w:ind w:left="166"/>
              <w:rPr>
                <w:rFonts w:ascii="宋体" w:hAnsi="宋体" w:eastAsia="宋体" w:cs="宋体"/>
                <w:sz w:val="20"/>
                <w:szCs w:val="20"/>
              </w:rPr>
            </w:pPr>
            <w:r>
              <w:rPr>
                <w:rFonts w:ascii="宋体" w:hAnsi="宋体" w:eastAsia="宋体" w:cs="宋体"/>
                <w:spacing w:val="17"/>
                <w:sz w:val="20"/>
                <w:szCs w:val="20"/>
              </w:rPr>
              <w:t>无</w:t>
            </w:r>
            <w:r>
              <w:rPr>
                <w:rFonts w:ascii="宋体" w:hAnsi="宋体" w:eastAsia="宋体" w:cs="宋体"/>
                <w:spacing w:val="9"/>
                <w:sz w:val="20"/>
                <w:szCs w:val="20"/>
              </w:rPr>
              <w:t>害化处理中心建成后交无害化处理中心处</w:t>
            </w:r>
          </w:p>
          <w:p w14:paraId="3757DFF6">
            <w:pPr>
              <w:spacing w:before="161" w:line="103" w:lineRule="exact"/>
              <w:ind w:left="2179"/>
              <w:rPr>
                <w:rFonts w:ascii="宋体" w:hAnsi="宋体" w:eastAsia="宋体" w:cs="宋体"/>
                <w:sz w:val="20"/>
                <w:szCs w:val="20"/>
              </w:rPr>
            </w:pPr>
            <w:r>
              <w:rPr>
                <w:rFonts w:ascii="宋体" w:hAnsi="宋体" w:eastAsia="宋体" w:cs="宋体"/>
                <w:position w:val="1"/>
                <w:sz w:val="20"/>
                <w:szCs w:val="20"/>
              </w:rPr>
              <w:t>。</w:t>
            </w:r>
          </w:p>
        </w:tc>
      </w:tr>
      <w:tr w14:paraId="0A5DC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958" w:type="dxa"/>
            <w:tcBorders>
              <w:left w:val="nil"/>
            </w:tcBorders>
          </w:tcPr>
          <w:p w14:paraId="1082455A">
            <w:pPr>
              <w:spacing w:line="343" w:lineRule="auto"/>
            </w:pPr>
          </w:p>
          <w:p w14:paraId="70AB595F">
            <w:pPr>
              <w:spacing w:line="344" w:lineRule="auto"/>
            </w:pPr>
          </w:p>
          <w:p w14:paraId="78907CE1">
            <w:pPr>
              <w:spacing w:before="58" w:line="195" w:lineRule="auto"/>
              <w:ind w:left="640"/>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223" w:type="dxa"/>
          </w:tcPr>
          <w:p w14:paraId="5A13CF2E">
            <w:pPr>
              <w:spacing w:line="322" w:lineRule="auto"/>
            </w:pPr>
          </w:p>
          <w:p w14:paraId="44FFF2E6">
            <w:pPr>
              <w:spacing w:line="322" w:lineRule="auto"/>
            </w:pPr>
          </w:p>
          <w:p w14:paraId="2A163D91">
            <w:pPr>
              <w:spacing w:before="65" w:line="228" w:lineRule="auto"/>
              <w:ind w:left="406"/>
              <w:rPr>
                <w:rFonts w:ascii="宋体" w:hAnsi="宋体" w:eastAsia="宋体" w:cs="宋体"/>
                <w:sz w:val="20"/>
                <w:szCs w:val="20"/>
              </w:rPr>
            </w:pPr>
            <w:r>
              <w:rPr>
                <w:rFonts w:ascii="宋体" w:hAnsi="宋体" w:eastAsia="宋体" w:cs="宋体"/>
                <w:spacing w:val="5"/>
                <w:sz w:val="20"/>
                <w:szCs w:val="20"/>
              </w:rPr>
              <w:t>猪</w:t>
            </w:r>
            <w:r>
              <w:rPr>
                <w:rFonts w:ascii="宋体" w:hAnsi="宋体" w:eastAsia="宋体" w:cs="宋体"/>
                <w:spacing w:val="4"/>
                <w:sz w:val="20"/>
                <w:szCs w:val="20"/>
              </w:rPr>
              <w:t>粪</w:t>
            </w:r>
          </w:p>
        </w:tc>
        <w:tc>
          <w:tcPr>
            <w:tcW w:w="1266" w:type="dxa"/>
            <w:vMerge w:val="continue"/>
            <w:tcBorders>
              <w:top w:val="nil"/>
              <w:bottom w:val="nil"/>
            </w:tcBorders>
          </w:tcPr>
          <w:p w14:paraId="3244BF9D"/>
        </w:tc>
        <w:tc>
          <w:tcPr>
            <w:tcW w:w="1532" w:type="dxa"/>
          </w:tcPr>
          <w:p w14:paraId="1277BF02">
            <w:pPr>
              <w:spacing w:line="344" w:lineRule="auto"/>
            </w:pPr>
          </w:p>
          <w:p w14:paraId="16E76275">
            <w:pPr>
              <w:spacing w:line="344" w:lineRule="auto"/>
            </w:pPr>
          </w:p>
          <w:p w14:paraId="45B8D4DB">
            <w:pPr>
              <w:spacing w:before="57" w:line="195" w:lineRule="auto"/>
              <w:ind w:left="43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6</w:t>
            </w:r>
            <w:r>
              <w:rPr>
                <w:rFonts w:ascii="Times New Roman" w:hAnsi="Times New Roman" w:eastAsia="Times New Roman" w:cs="Times New Roman"/>
                <w:spacing w:val="3"/>
                <w:sz w:val="20"/>
                <w:szCs w:val="20"/>
              </w:rPr>
              <w:t>301.36</w:t>
            </w:r>
          </w:p>
        </w:tc>
        <w:tc>
          <w:tcPr>
            <w:tcW w:w="4310" w:type="dxa"/>
            <w:tcBorders>
              <w:right w:val="nil"/>
            </w:tcBorders>
          </w:tcPr>
          <w:p w14:paraId="5ECAB1CB">
            <w:pPr>
              <w:spacing w:before="35" w:line="244" w:lineRule="auto"/>
              <w:ind w:left="165" w:right="161" w:firstLine="39"/>
              <w:rPr>
                <w:rFonts w:ascii="宋体" w:hAnsi="宋体" w:eastAsia="宋体" w:cs="宋体"/>
                <w:sz w:val="20"/>
                <w:szCs w:val="20"/>
              </w:rPr>
            </w:pPr>
            <w:r>
              <w:rPr>
                <w:rFonts w:ascii="宋体" w:hAnsi="宋体" w:eastAsia="宋体" w:cs="宋体"/>
                <w:spacing w:val="14"/>
                <w:sz w:val="20"/>
                <w:szCs w:val="20"/>
              </w:rPr>
              <w:t>目</w:t>
            </w:r>
            <w:r>
              <w:rPr>
                <w:rFonts w:ascii="宋体" w:hAnsi="宋体" w:eastAsia="宋体" w:cs="宋体"/>
                <w:spacing w:val="7"/>
                <w:sz w:val="20"/>
                <w:szCs w:val="20"/>
              </w:rPr>
              <w:t>前与养猪废水一起交由乐山乐高勤力生物</w:t>
            </w:r>
            <w:r>
              <w:rPr>
                <w:rFonts w:ascii="宋体" w:hAnsi="宋体" w:eastAsia="宋体" w:cs="宋体"/>
                <w:sz w:val="20"/>
                <w:szCs w:val="20"/>
              </w:rPr>
              <w:t xml:space="preserve"> </w:t>
            </w:r>
            <w:r>
              <w:rPr>
                <w:rFonts w:ascii="宋体" w:hAnsi="宋体" w:eastAsia="宋体" w:cs="宋体"/>
                <w:spacing w:val="17"/>
                <w:sz w:val="20"/>
                <w:szCs w:val="20"/>
              </w:rPr>
              <w:t>质</w:t>
            </w:r>
            <w:r>
              <w:rPr>
                <w:rFonts w:ascii="宋体" w:hAnsi="宋体" w:eastAsia="宋体" w:cs="宋体"/>
                <w:spacing w:val="9"/>
                <w:sz w:val="20"/>
                <w:szCs w:val="20"/>
              </w:rPr>
              <w:t>能源综合利用有限公司集中处置，待后期</w:t>
            </w:r>
            <w:r>
              <w:rPr>
                <w:rFonts w:ascii="宋体" w:hAnsi="宋体" w:eastAsia="宋体" w:cs="宋体"/>
                <w:sz w:val="20"/>
                <w:szCs w:val="20"/>
              </w:rPr>
              <w:t xml:space="preserve"> </w:t>
            </w:r>
            <w:r>
              <w:rPr>
                <w:rFonts w:ascii="宋体" w:hAnsi="宋体" w:eastAsia="宋体" w:cs="宋体"/>
                <w:spacing w:val="17"/>
                <w:sz w:val="20"/>
                <w:szCs w:val="20"/>
              </w:rPr>
              <w:t>乐</w:t>
            </w:r>
            <w:r>
              <w:rPr>
                <w:rFonts w:ascii="宋体" w:hAnsi="宋体" w:eastAsia="宋体" w:cs="宋体"/>
                <w:spacing w:val="9"/>
                <w:sz w:val="20"/>
                <w:szCs w:val="20"/>
              </w:rPr>
              <w:t>山乐高勤力生物质能源综合利用有限公司</w:t>
            </w:r>
            <w:r>
              <w:rPr>
                <w:rFonts w:ascii="宋体" w:hAnsi="宋体" w:eastAsia="宋体" w:cs="宋体"/>
                <w:sz w:val="20"/>
                <w:szCs w:val="20"/>
              </w:rPr>
              <w:t xml:space="preserve"> </w:t>
            </w:r>
            <w:r>
              <w:rPr>
                <w:rFonts w:ascii="宋体" w:hAnsi="宋体" w:eastAsia="宋体" w:cs="宋体"/>
                <w:spacing w:val="17"/>
                <w:sz w:val="20"/>
                <w:szCs w:val="20"/>
              </w:rPr>
              <w:t>不</w:t>
            </w:r>
            <w:r>
              <w:rPr>
                <w:rFonts w:ascii="宋体" w:hAnsi="宋体" w:eastAsia="宋体" w:cs="宋体"/>
                <w:spacing w:val="9"/>
                <w:sz w:val="20"/>
                <w:szCs w:val="20"/>
              </w:rPr>
              <w:t>再收纳本项目污水的情况与养殖废水一并</w:t>
            </w:r>
            <w:r>
              <w:rPr>
                <w:rFonts w:ascii="宋体" w:hAnsi="宋体" w:eastAsia="宋体" w:cs="宋体"/>
                <w:sz w:val="20"/>
                <w:szCs w:val="20"/>
              </w:rPr>
              <w:t xml:space="preserve"> </w:t>
            </w:r>
            <w:r>
              <w:rPr>
                <w:rFonts w:ascii="宋体" w:hAnsi="宋体" w:eastAsia="宋体" w:cs="宋体"/>
                <w:spacing w:val="17"/>
                <w:sz w:val="20"/>
                <w:szCs w:val="20"/>
              </w:rPr>
              <w:t>经</w:t>
            </w:r>
            <w:r>
              <w:rPr>
                <w:rFonts w:ascii="宋体" w:hAnsi="宋体" w:eastAsia="宋体" w:cs="宋体"/>
                <w:spacing w:val="9"/>
                <w:sz w:val="20"/>
                <w:szCs w:val="20"/>
              </w:rPr>
              <w:t>异位微生物发酵床处理系统处置，生成腐</w:t>
            </w:r>
          </w:p>
          <w:p w14:paraId="2113A997">
            <w:pPr>
              <w:spacing w:line="280" w:lineRule="exact"/>
              <w:ind w:left="1273"/>
              <w:rPr>
                <w:rFonts w:ascii="宋体" w:hAnsi="宋体" w:eastAsia="宋体" w:cs="宋体"/>
                <w:sz w:val="20"/>
                <w:szCs w:val="20"/>
              </w:rPr>
            </w:pPr>
            <w:r>
              <w:rPr>
                <w:rFonts w:ascii="宋体" w:hAnsi="宋体" w:eastAsia="宋体" w:cs="宋体"/>
                <w:spacing w:val="1"/>
                <w:position w:val="1"/>
                <w:sz w:val="20"/>
                <w:szCs w:val="20"/>
              </w:rPr>
              <w:t xml:space="preserve">熟粪污 </w:t>
            </w:r>
            <w:r>
              <w:rPr>
                <w:rFonts w:ascii="Times New Roman" w:hAnsi="Times New Roman" w:eastAsia="Times New Roman" w:cs="Times New Roman"/>
                <w:spacing w:val="1"/>
                <w:position w:val="1"/>
                <w:sz w:val="20"/>
                <w:szCs w:val="20"/>
              </w:rPr>
              <w:t>2410 97</w:t>
            </w:r>
            <w:r>
              <w:rPr>
                <w:rFonts w:ascii="Times New Roman" w:hAnsi="Times New Roman" w:eastAsia="Times New Roman" w:cs="Times New Roman"/>
                <w:position w:val="1"/>
                <w:sz w:val="20"/>
                <w:szCs w:val="20"/>
              </w:rPr>
              <w:t>t/a</w:t>
            </w:r>
            <w:r>
              <w:rPr>
                <w:rFonts w:ascii="宋体" w:hAnsi="宋体" w:eastAsia="宋体" w:cs="宋体"/>
                <w:position w:val="1"/>
                <w:sz w:val="20"/>
                <w:szCs w:val="20"/>
              </w:rPr>
              <w:t>。</w:t>
            </w:r>
          </w:p>
        </w:tc>
      </w:tr>
      <w:tr w14:paraId="47784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58" w:type="dxa"/>
            <w:tcBorders>
              <w:left w:val="nil"/>
            </w:tcBorders>
          </w:tcPr>
          <w:p w14:paraId="4BC65F15">
            <w:pPr>
              <w:spacing w:before="205" w:line="195" w:lineRule="auto"/>
              <w:ind w:left="644"/>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223" w:type="dxa"/>
          </w:tcPr>
          <w:p w14:paraId="143A76C8">
            <w:pPr>
              <w:spacing w:before="170" w:line="228" w:lineRule="auto"/>
              <w:ind w:left="299"/>
              <w:rPr>
                <w:rFonts w:ascii="宋体" w:hAnsi="宋体" w:eastAsia="宋体" w:cs="宋体"/>
                <w:sz w:val="20"/>
                <w:szCs w:val="20"/>
              </w:rPr>
            </w:pPr>
            <w:r>
              <w:rPr>
                <w:rFonts w:ascii="宋体" w:hAnsi="宋体" w:eastAsia="宋体" w:cs="宋体"/>
                <w:spacing w:val="7"/>
                <w:sz w:val="20"/>
                <w:szCs w:val="20"/>
              </w:rPr>
              <w:t>废垫料</w:t>
            </w:r>
          </w:p>
        </w:tc>
        <w:tc>
          <w:tcPr>
            <w:tcW w:w="1266" w:type="dxa"/>
            <w:vMerge w:val="continue"/>
            <w:tcBorders>
              <w:top w:val="nil"/>
              <w:bottom w:val="nil"/>
            </w:tcBorders>
          </w:tcPr>
          <w:p w14:paraId="21EB9B71"/>
        </w:tc>
        <w:tc>
          <w:tcPr>
            <w:tcW w:w="1532" w:type="dxa"/>
          </w:tcPr>
          <w:p w14:paraId="66B70E26">
            <w:pPr>
              <w:spacing w:before="35" w:line="237" w:lineRule="auto"/>
              <w:ind w:left="562" w:right="204" w:hanging="357"/>
              <w:rPr>
                <w:rFonts w:ascii="宋体" w:hAnsi="宋体" w:eastAsia="宋体" w:cs="宋体"/>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4"/>
                <w:sz w:val="20"/>
                <w:szCs w:val="20"/>
              </w:rPr>
              <w:t>000</w:t>
            </w:r>
            <w:r>
              <w:rPr>
                <w:rFonts w:ascii="Times New Roman" w:hAnsi="Times New Roman" w:eastAsia="Times New Roman" w:cs="Times New Roman"/>
                <w:sz w:val="20"/>
                <w:szCs w:val="20"/>
              </w:rPr>
              <w:t>m</w:t>
            </w:r>
            <w:r>
              <w:rPr>
                <w:rFonts w:ascii="Times New Roman" w:hAnsi="Times New Roman" w:eastAsia="Times New Roman" w:cs="Times New Roman"/>
                <w:spacing w:val="4"/>
                <w:position w:val="6"/>
                <w:sz w:val="13"/>
                <w:szCs w:val="13"/>
              </w:rPr>
              <w:t xml:space="preserve">3   </w:t>
            </w:r>
            <w:r>
              <w:rPr>
                <w:rFonts w:ascii="宋体" w:hAnsi="宋体" w:eastAsia="宋体" w:cs="宋体"/>
                <w:spacing w:val="4"/>
                <w:sz w:val="20"/>
                <w:szCs w:val="20"/>
              </w:rPr>
              <w:t>(</w:t>
            </w:r>
            <w:r>
              <w:rPr>
                <w:rFonts w:ascii="Times New Roman" w:hAnsi="Times New Roman" w:eastAsia="Times New Roman" w:cs="Times New Roman"/>
                <w:spacing w:val="4"/>
                <w:sz w:val="20"/>
                <w:szCs w:val="20"/>
              </w:rPr>
              <w:t>1.5</w:t>
            </w:r>
            <w:r>
              <w:rPr>
                <w:rFonts w:ascii="Times New Roman" w:hAnsi="Times New Roman" w:eastAsia="Times New Roman" w:cs="Times New Roman"/>
                <w:sz w:val="20"/>
                <w:szCs w:val="20"/>
              </w:rPr>
              <w:t xml:space="preserve"> </w:t>
            </w:r>
            <w:r>
              <w:rPr>
                <w:rFonts w:ascii="宋体" w:hAnsi="宋体" w:eastAsia="宋体" w:cs="宋体"/>
                <w:sz w:val="20"/>
                <w:szCs w:val="20"/>
              </w:rPr>
              <w:t>年)</w:t>
            </w:r>
          </w:p>
        </w:tc>
        <w:tc>
          <w:tcPr>
            <w:tcW w:w="4310" w:type="dxa"/>
            <w:vMerge w:val="restart"/>
            <w:tcBorders>
              <w:bottom w:val="nil"/>
              <w:right w:val="nil"/>
            </w:tcBorders>
          </w:tcPr>
          <w:p w14:paraId="17A6A851">
            <w:pPr>
              <w:spacing w:line="278" w:lineRule="exact"/>
              <w:ind w:left="116"/>
              <w:rPr>
                <w:rFonts w:ascii="宋体" w:hAnsi="宋体" w:eastAsia="宋体" w:cs="宋体"/>
                <w:sz w:val="20"/>
                <w:szCs w:val="20"/>
              </w:rPr>
            </w:pPr>
            <w:r>
              <w:rPr>
                <w:rFonts w:ascii="宋体" w:hAnsi="宋体" w:eastAsia="宋体" w:cs="宋体"/>
                <w:spacing w:val="4"/>
                <w:position w:val="1"/>
                <w:sz w:val="20"/>
                <w:szCs w:val="20"/>
              </w:rPr>
              <w:t>垫</w:t>
            </w:r>
            <w:r>
              <w:rPr>
                <w:rFonts w:ascii="宋体" w:hAnsi="宋体" w:eastAsia="宋体" w:cs="宋体"/>
                <w:spacing w:val="3"/>
                <w:position w:val="1"/>
                <w:sz w:val="20"/>
                <w:szCs w:val="20"/>
              </w:rPr>
              <w:t xml:space="preserve">料重量为 </w:t>
            </w:r>
            <w:r>
              <w:rPr>
                <w:rFonts w:ascii="Times New Roman" w:hAnsi="Times New Roman" w:eastAsia="Times New Roman" w:cs="Times New Roman"/>
                <w:spacing w:val="3"/>
                <w:position w:val="1"/>
                <w:sz w:val="20"/>
                <w:szCs w:val="20"/>
              </w:rPr>
              <w:t>400</w:t>
            </w:r>
            <w:r>
              <w:rPr>
                <w:rFonts w:ascii="Times New Roman" w:hAnsi="Times New Roman" w:eastAsia="Times New Roman" w:cs="Times New Roman"/>
                <w:position w:val="1"/>
                <w:sz w:val="20"/>
                <w:szCs w:val="20"/>
              </w:rPr>
              <w:t>t</w:t>
            </w:r>
            <w:r>
              <w:rPr>
                <w:rFonts w:ascii="Times New Roman" w:hAnsi="Times New Roman" w:eastAsia="Times New Roman" w:cs="Times New Roman"/>
                <w:spacing w:val="3"/>
                <w:position w:val="1"/>
                <w:sz w:val="20"/>
                <w:szCs w:val="20"/>
              </w:rPr>
              <w:t xml:space="preserve"> </w:t>
            </w:r>
            <w:r>
              <w:rPr>
                <w:rFonts w:ascii="宋体" w:hAnsi="宋体" w:eastAsia="宋体" w:cs="宋体"/>
                <w:spacing w:val="3"/>
                <w:position w:val="1"/>
                <w:sz w:val="20"/>
                <w:szCs w:val="20"/>
              </w:rPr>
              <w:t>，</w:t>
            </w:r>
            <w:r>
              <w:rPr>
                <w:rFonts w:ascii="Times New Roman" w:hAnsi="Times New Roman" w:eastAsia="Times New Roman" w:cs="Times New Roman"/>
                <w:spacing w:val="3"/>
                <w:position w:val="1"/>
                <w:sz w:val="20"/>
                <w:szCs w:val="20"/>
              </w:rPr>
              <w:t xml:space="preserve">1.5 </w:t>
            </w:r>
            <w:r>
              <w:rPr>
                <w:rFonts w:ascii="宋体" w:hAnsi="宋体" w:eastAsia="宋体" w:cs="宋体"/>
                <w:spacing w:val="3"/>
                <w:position w:val="1"/>
                <w:sz w:val="20"/>
                <w:szCs w:val="20"/>
              </w:rPr>
              <w:t>年清理一次，作为有机</w:t>
            </w:r>
          </w:p>
          <w:p w14:paraId="6F93DD1A">
            <w:pPr>
              <w:spacing w:before="27" w:line="227" w:lineRule="auto"/>
              <w:ind w:left="165"/>
              <w:rPr>
                <w:rFonts w:ascii="宋体" w:hAnsi="宋体" w:eastAsia="宋体" w:cs="宋体"/>
                <w:sz w:val="20"/>
                <w:szCs w:val="20"/>
              </w:rPr>
            </w:pPr>
            <w:r>
              <w:rPr>
                <w:rFonts w:ascii="宋体" w:hAnsi="宋体" w:eastAsia="宋体" w:cs="宋体"/>
                <w:spacing w:val="8"/>
                <w:sz w:val="20"/>
                <w:szCs w:val="20"/>
              </w:rPr>
              <w:t>肥外</w:t>
            </w:r>
            <w:r>
              <w:rPr>
                <w:rFonts w:ascii="宋体" w:hAnsi="宋体" w:eastAsia="宋体" w:cs="宋体"/>
                <w:spacing w:val="4"/>
                <w:sz w:val="20"/>
                <w:szCs w:val="20"/>
              </w:rPr>
              <w:t>售。  (</w:t>
            </w:r>
            <w:r>
              <w:rPr>
                <w:rFonts w:ascii="宋体" w:hAnsi="宋体" w:eastAsia="宋体" w:cs="宋体"/>
                <w:spacing w:val="4"/>
                <w:sz w:val="20"/>
                <w:szCs w:val="20"/>
                <w14:textOutline w14:w="3797" w14:cap="sq" w14:cmpd="sng" w14:algn="ctr">
                  <w14:solidFill>
                    <w14:srgbClr w14:val="000000"/>
                  </w14:solidFill>
                  <w14:prstDash w14:val="solid"/>
                  <w14:bevel/>
                </w14:textOutline>
              </w:rPr>
              <w:t>仅在后期乐山乐高勤力生物质能</w:t>
            </w:r>
          </w:p>
          <w:p w14:paraId="169618B2">
            <w:pPr>
              <w:spacing w:before="25" w:line="227" w:lineRule="auto"/>
              <w:ind w:left="164"/>
              <w:rPr>
                <w:rFonts w:ascii="宋体" w:hAnsi="宋体" w:eastAsia="宋体" w:cs="宋体"/>
                <w:sz w:val="20"/>
                <w:szCs w:val="20"/>
              </w:rPr>
            </w:pPr>
            <w:r>
              <w:rPr>
                <w:rFonts w:ascii="宋体" w:hAnsi="宋体" w:eastAsia="宋体" w:cs="宋体"/>
                <w:spacing w:val="15"/>
                <w:sz w:val="20"/>
                <w:szCs w:val="20"/>
                <w14:textOutline w14:w="3797" w14:cap="sq" w14:cmpd="sng" w14:algn="ctr">
                  <w14:solidFill>
                    <w14:srgbClr w14:val="000000"/>
                  </w14:solidFill>
                  <w14:prstDash w14:val="solid"/>
                  <w14:bevel/>
                </w14:textOutline>
              </w:rPr>
              <w:t>源</w:t>
            </w:r>
            <w:r>
              <w:rPr>
                <w:rFonts w:ascii="宋体" w:hAnsi="宋体" w:eastAsia="宋体" w:cs="宋体"/>
                <w:spacing w:val="10"/>
                <w:sz w:val="20"/>
                <w:szCs w:val="20"/>
                <w14:textOutline w14:w="3797" w14:cap="sq" w14:cmpd="sng" w14:algn="ctr">
                  <w14:solidFill>
                    <w14:srgbClr w14:val="000000"/>
                  </w14:solidFill>
                  <w14:prstDash w14:val="solid"/>
                  <w14:bevel/>
                </w14:textOutline>
              </w:rPr>
              <w:t>综合利用有限公司不再收纳本项目污水的</w:t>
            </w:r>
          </w:p>
          <w:p w14:paraId="173E2E06">
            <w:pPr>
              <w:spacing w:before="28" w:line="222" w:lineRule="auto"/>
              <w:ind w:left="1531"/>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情况下产生</w:t>
            </w:r>
            <w:r>
              <w:rPr>
                <w:rFonts w:ascii="宋体" w:hAnsi="宋体" w:eastAsia="宋体" w:cs="宋体"/>
                <w:spacing w:val="7"/>
                <w:sz w:val="20"/>
                <w:szCs w:val="20"/>
              </w:rPr>
              <w:t>)</w:t>
            </w:r>
          </w:p>
        </w:tc>
      </w:tr>
      <w:tr w14:paraId="5F5C81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958" w:type="dxa"/>
            <w:tcBorders>
              <w:left w:val="nil"/>
            </w:tcBorders>
          </w:tcPr>
          <w:p w14:paraId="6C94DD36">
            <w:pPr>
              <w:spacing w:before="201" w:line="195" w:lineRule="auto"/>
              <w:ind w:left="63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223" w:type="dxa"/>
          </w:tcPr>
          <w:p w14:paraId="25F74F83">
            <w:pPr>
              <w:spacing w:before="165" w:line="227" w:lineRule="auto"/>
              <w:ind w:left="301"/>
              <w:rPr>
                <w:rFonts w:ascii="宋体" w:hAnsi="宋体" w:eastAsia="宋体" w:cs="宋体"/>
                <w:sz w:val="20"/>
                <w:szCs w:val="20"/>
              </w:rPr>
            </w:pPr>
            <w:r>
              <w:rPr>
                <w:rFonts w:ascii="宋体" w:hAnsi="宋体" w:eastAsia="宋体" w:cs="宋体"/>
                <w:spacing w:val="7"/>
                <w:sz w:val="20"/>
                <w:szCs w:val="20"/>
              </w:rPr>
              <w:t>有</w:t>
            </w:r>
            <w:r>
              <w:rPr>
                <w:rFonts w:ascii="宋体" w:hAnsi="宋体" w:eastAsia="宋体" w:cs="宋体"/>
                <w:spacing w:val="6"/>
                <w:sz w:val="20"/>
                <w:szCs w:val="20"/>
              </w:rPr>
              <w:t>机肥</w:t>
            </w:r>
          </w:p>
        </w:tc>
        <w:tc>
          <w:tcPr>
            <w:tcW w:w="1266" w:type="dxa"/>
            <w:vMerge w:val="continue"/>
            <w:tcBorders>
              <w:top w:val="nil"/>
              <w:bottom w:val="nil"/>
            </w:tcBorders>
          </w:tcPr>
          <w:p w14:paraId="1BB227D6"/>
        </w:tc>
        <w:tc>
          <w:tcPr>
            <w:tcW w:w="1532" w:type="dxa"/>
          </w:tcPr>
          <w:p w14:paraId="1CAF0F04">
            <w:pPr>
              <w:spacing w:before="201" w:line="195" w:lineRule="auto"/>
              <w:ind w:left="42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2410.97</w:t>
            </w:r>
          </w:p>
        </w:tc>
        <w:tc>
          <w:tcPr>
            <w:tcW w:w="4310" w:type="dxa"/>
            <w:vMerge w:val="continue"/>
            <w:tcBorders>
              <w:top w:val="nil"/>
              <w:right w:val="nil"/>
            </w:tcBorders>
          </w:tcPr>
          <w:p w14:paraId="02DFD0DE"/>
        </w:tc>
      </w:tr>
      <w:tr w14:paraId="5FD10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958" w:type="dxa"/>
            <w:tcBorders>
              <w:left w:val="nil"/>
            </w:tcBorders>
          </w:tcPr>
          <w:p w14:paraId="7AF07008">
            <w:pPr>
              <w:spacing w:before="114" w:line="192" w:lineRule="auto"/>
              <w:ind w:left="646"/>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223" w:type="dxa"/>
          </w:tcPr>
          <w:p w14:paraId="7506D013">
            <w:pPr>
              <w:spacing w:before="76" w:line="228" w:lineRule="auto"/>
              <w:ind w:left="198"/>
              <w:rPr>
                <w:rFonts w:ascii="宋体" w:hAnsi="宋体" w:eastAsia="宋体" w:cs="宋体"/>
                <w:sz w:val="20"/>
                <w:szCs w:val="20"/>
              </w:rPr>
            </w:pPr>
            <w:r>
              <w:rPr>
                <w:rFonts w:ascii="宋体" w:hAnsi="宋体" w:eastAsia="宋体" w:cs="宋体"/>
                <w:spacing w:val="7"/>
                <w:sz w:val="20"/>
                <w:szCs w:val="20"/>
              </w:rPr>
              <w:t>生活垃</w:t>
            </w:r>
            <w:r>
              <w:rPr>
                <w:rFonts w:ascii="宋体" w:hAnsi="宋体" w:eastAsia="宋体" w:cs="宋体"/>
                <w:spacing w:val="6"/>
                <w:sz w:val="20"/>
                <w:szCs w:val="20"/>
              </w:rPr>
              <w:t>圾</w:t>
            </w:r>
          </w:p>
        </w:tc>
        <w:tc>
          <w:tcPr>
            <w:tcW w:w="1266" w:type="dxa"/>
            <w:vMerge w:val="continue"/>
            <w:tcBorders>
              <w:top w:val="nil"/>
              <w:bottom w:val="nil"/>
            </w:tcBorders>
          </w:tcPr>
          <w:p w14:paraId="21695BC5"/>
        </w:tc>
        <w:tc>
          <w:tcPr>
            <w:tcW w:w="1532" w:type="dxa"/>
          </w:tcPr>
          <w:p w14:paraId="61F25993">
            <w:pPr>
              <w:spacing w:before="111" w:line="195" w:lineRule="auto"/>
              <w:ind w:left="584"/>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7"/>
                <w:sz w:val="20"/>
                <w:szCs w:val="20"/>
              </w:rPr>
              <w:t>. 19</w:t>
            </w:r>
          </w:p>
        </w:tc>
        <w:tc>
          <w:tcPr>
            <w:tcW w:w="4310" w:type="dxa"/>
            <w:tcBorders>
              <w:right w:val="nil"/>
            </w:tcBorders>
          </w:tcPr>
          <w:p w14:paraId="29634168">
            <w:pPr>
              <w:spacing w:before="75" w:line="228" w:lineRule="auto"/>
              <w:ind w:left="1220"/>
              <w:rPr>
                <w:rFonts w:ascii="宋体" w:hAnsi="宋体" w:eastAsia="宋体" w:cs="宋体"/>
                <w:sz w:val="20"/>
                <w:szCs w:val="20"/>
              </w:rPr>
            </w:pPr>
            <w:r>
              <w:rPr>
                <w:rFonts w:ascii="宋体" w:hAnsi="宋体" w:eastAsia="宋体" w:cs="宋体"/>
                <w:spacing w:val="16"/>
                <w:sz w:val="20"/>
                <w:szCs w:val="20"/>
              </w:rPr>
              <w:t>交</w:t>
            </w:r>
            <w:r>
              <w:rPr>
                <w:rFonts w:ascii="宋体" w:hAnsi="宋体" w:eastAsia="宋体" w:cs="宋体"/>
                <w:spacing w:val="8"/>
                <w:sz w:val="20"/>
                <w:szCs w:val="20"/>
              </w:rPr>
              <w:t>当地环卫部门统一处置</w:t>
            </w:r>
          </w:p>
        </w:tc>
      </w:tr>
      <w:tr w14:paraId="1D3CB8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958" w:type="dxa"/>
            <w:tcBorders>
              <w:left w:val="nil"/>
            </w:tcBorders>
          </w:tcPr>
          <w:p w14:paraId="71038B42">
            <w:pPr>
              <w:spacing w:before="111" w:line="195" w:lineRule="auto"/>
              <w:ind w:left="644"/>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223" w:type="dxa"/>
          </w:tcPr>
          <w:p w14:paraId="30026906">
            <w:pPr>
              <w:spacing w:before="76" w:line="228" w:lineRule="auto"/>
              <w:ind w:left="196"/>
              <w:rPr>
                <w:rFonts w:ascii="宋体" w:hAnsi="宋体" w:eastAsia="宋体" w:cs="宋体"/>
                <w:sz w:val="20"/>
                <w:szCs w:val="20"/>
              </w:rPr>
            </w:pPr>
            <w:r>
              <w:rPr>
                <w:rFonts w:ascii="宋体" w:hAnsi="宋体" w:eastAsia="宋体" w:cs="宋体"/>
                <w:spacing w:val="9"/>
                <w:sz w:val="20"/>
                <w:szCs w:val="20"/>
              </w:rPr>
              <w:t>废</w:t>
            </w:r>
            <w:r>
              <w:rPr>
                <w:rFonts w:ascii="宋体" w:hAnsi="宋体" w:eastAsia="宋体" w:cs="宋体"/>
                <w:spacing w:val="7"/>
                <w:sz w:val="20"/>
                <w:szCs w:val="20"/>
              </w:rPr>
              <w:t>饲料袋</w:t>
            </w:r>
          </w:p>
        </w:tc>
        <w:tc>
          <w:tcPr>
            <w:tcW w:w="1266" w:type="dxa"/>
            <w:vMerge w:val="continue"/>
            <w:tcBorders>
              <w:top w:val="nil"/>
            </w:tcBorders>
          </w:tcPr>
          <w:p w14:paraId="6783E35E"/>
        </w:tc>
        <w:tc>
          <w:tcPr>
            <w:tcW w:w="1532" w:type="dxa"/>
          </w:tcPr>
          <w:p w14:paraId="49B68555">
            <w:pPr>
              <w:spacing w:before="111" w:line="195" w:lineRule="auto"/>
              <w:ind w:left="714"/>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4310" w:type="dxa"/>
            <w:tcBorders>
              <w:right w:val="nil"/>
            </w:tcBorders>
          </w:tcPr>
          <w:p w14:paraId="7A25F534">
            <w:pPr>
              <w:spacing w:before="75" w:line="228" w:lineRule="auto"/>
              <w:ind w:left="1661"/>
              <w:rPr>
                <w:rFonts w:ascii="宋体" w:hAnsi="宋体" w:eastAsia="宋体" w:cs="宋体"/>
                <w:sz w:val="20"/>
                <w:szCs w:val="20"/>
              </w:rPr>
            </w:pPr>
            <w:r>
              <w:rPr>
                <w:rFonts w:ascii="宋体" w:hAnsi="宋体" w:eastAsia="宋体" w:cs="宋体"/>
                <w:spacing w:val="5"/>
                <w:sz w:val="20"/>
                <w:szCs w:val="20"/>
              </w:rPr>
              <w:t>由饲料厂家回收</w:t>
            </w:r>
          </w:p>
        </w:tc>
      </w:tr>
    </w:tbl>
    <w:p w14:paraId="3D74C8D0"/>
    <w:p w14:paraId="4448A66F">
      <w:pPr>
        <w:sectPr>
          <w:headerReference r:id="rId139" w:type="default"/>
          <w:footerReference r:id="rId140" w:type="default"/>
          <w:pgSz w:w="11907" w:h="16840"/>
          <w:pgMar w:top="829" w:right="1025" w:bottom="1139" w:left="1168" w:header="595" w:footer="953" w:gutter="0"/>
          <w:cols w:space="720" w:num="1"/>
        </w:sectPr>
      </w:pPr>
    </w:p>
    <w:p w14:paraId="3225C61E">
      <w:pPr>
        <w:spacing w:before="194" w:line="229" w:lineRule="auto"/>
        <w:ind w:left="9"/>
        <w:rPr>
          <w:rFonts w:ascii="宋体" w:hAnsi="宋体" w:eastAsia="宋体" w:cs="宋体"/>
          <w:sz w:val="17"/>
          <w:szCs w:val="17"/>
        </w:rPr>
      </w:pPr>
      <w:r>
        <w:pict>
          <v:shape id="_x0000_s2092" o:spid="_x0000_s2092" style="position:absolute;left:0pt;margin-left:63.8pt;margin-top:41pt;height:0.5pt;width:474.85pt;mso-position-horizontal-relative:page;mso-position-vertical-relative:page;z-index:251720704;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6E2E45E9">
      <w:pPr>
        <w:spacing w:line="134" w:lineRule="exact"/>
      </w:pPr>
    </w:p>
    <w:tbl>
      <w:tblPr>
        <w:tblStyle w:val="4"/>
        <w:tblW w:w="9288" w:type="dxa"/>
        <w:tblInd w:w="1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8"/>
        <w:gridCol w:w="1223"/>
        <w:gridCol w:w="1266"/>
        <w:gridCol w:w="1531"/>
        <w:gridCol w:w="4310"/>
      </w:tblGrid>
      <w:tr w14:paraId="558E81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958" w:type="dxa"/>
            <w:tcBorders>
              <w:left w:val="nil"/>
            </w:tcBorders>
          </w:tcPr>
          <w:p w14:paraId="003CF3C2">
            <w:pPr>
              <w:spacing w:before="230" w:line="192" w:lineRule="auto"/>
              <w:ind w:left="643"/>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223" w:type="dxa"/>
          </w:tcPr>
          <w:p w14:paraId="3D60138C">
            <w:pPr>
              <w:spacing w:before="58" w:line="239" w:lineRule="auto"/>
              <w:ind w:left="404" w:right="191" w:hanging="203"/>
              <w:rPr>
                <w:rFonts w:ascii="宋体" w:hAnsi="宋体" w:eastAsia="宋体" w:cs="宋体"/>
                <w:sz w:val="20"/>
                <w:szCs w:val="20"/>
              </w:rPr>
            </w:pPr>
            <w:r>
              <w:rPr>
                <w:rFonts w:ascii="宋体" w:hAnsi="宋体" w:eastAsia="宋体" w:cs="宋体"/>
                <w:spacing w:val="7"/>
                <w:sz w:val="20"/>
                <w:szCs w:val="20"/>
              </w:rPr>
              <w:t>消</w:t>
            </w:r>
            <w:r>
              <w:rPr>
                <w:rFonts w:ascii="宋体" w:hAnsi="宋体" w:eastAsia="宋体" w:cs="宋体"/>
                <w:spacing w:val="6"/>
                <w:sz w:val="20"/>
                <w:szCs w:val="20"/>
              </w:rPr>
              <w:t>毒防疫</w:t>
            </w:r>
            <w:r>
              <w:rPr>
                <w:rFonts w:ascii="宋体" w:hAnsi="宋体" w:eastAsia="宋体" w:cs="宋体"/>
                <w:sz w:val="20"/>
                <w:szCs w:val="20"/>
              </w:rPr>
              <w:t xml:space="preserve"> </w:t>
            </w:r>
            <w:r>
              <w:rPr>
                <w:rFonts w:ascii="宋体" w:hAnsi="宋体" w:eastAsia="宋体" w:cs="宋体"/>
                <w:spacing w:val="5"/>
                <w:sz w:val="20"/>
                <w:szCs w:val="20"/>
              </w:rPr>
              <w:t>废物</w:t>
            </w:r>
          </w:p>
        </w:tc>
        <w:tc>
          <w:tcPr>
            <w:tcW w:w="1266" w:type="dxa"/>
          </w:tcPr>
          <w:p w14:paraId="29DAB2EF">
            <w:pPr>
              <w:spacing w:before="192" w:line="228" w:lineRule="auto"/>
              <w:ind w:left="227"/>
              <w:rPr>
                <w:rFonts w:ascii="宋体" w:hAnsi="宋体" w:eastAsia="宋体" w:cs="宋体"/>
                <w:sz w:val="20"/>
                <w:szCs w:val="20"/>
              </w:rPr>
            </w:pPr>
            <w:r>
              <w:rPr>
                <w:rFonts w:ascii="宋体" w:hAnsi="宋体" w:eastAsia="宋体" w:cs="宋体"/>
                <w:spacing w:val="5"/>
                <w:sz w:val="20"/>
                <w:szCs w:val="20"/>
              </w:rPr>
              <w:t>医疗废</w:t>
            </w:r>
            <w:r>
              <w:rPr>
                <w:rFonts w:ascii="宋体" w:hAnsi="宋体" w:eastAsia="宋体" w:cs="宋体"/>
                <w:spacing w:val="4"/>
                <w:sz w:val="20"/>
                <w:szCs w:val="20"/>
              </w:rPr>
              <w:t>物</w:t>
            </w:r>
          </w:p>
        </w:tc>
        <w:tc>
          <w:tcPr>
            <w:tcW w:w="1531" w:type="dxa"/>
          </w:tcPr>
          <w:p w14:paraId="460F5137">
            <w:pPr>
              <w:spacing w:before="227" w:line="198" w:lineRule="auto"/>
              <w:ind w:left="49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w:t>
            </w:r>
            <w:r>
              <w:rPr>
                <w:rFonts w:ascii="Times New Roman" w:hAnsi="Times New Roman" w:eastAsia="Times New Roman" w:cs="Times New Roman"/>
                <w:sz w:val="20"/>
                <w:szCs w:val="20"/>
              </w:rPr>
              <w:t>.075</w:t>
            </w:r>
          </w:p>
        </w:tc>
        <w:tc>
          <w:tcPr>
            <w:tcW w:w="4310" w:type="dxa"/>
            <w:tcBorders>
              <w:right w:val="nil"/>
            </w:tcBorders>
          </w:tcPr>
          <w:p w14:paraId="54AB9561">
            <w:pPr>
              <w:spacing w:before="192" w:line="228" w:lineRule="auto"/>
              <w:ind w:left="695"/>
              <w:rPr>
                <w:rFonts w:ascii="宋体" w:hAnsi="宋体" w:eastAsia="宋体" w:cs="宋体"/>
                <w:sz w:val="20"/>
                <w:szCs w:val="20"/>
              </w:rPr>
            </w:pPr>
            <w:r>
              <w:rPr>
                <w:rFonts w:ascii="宋体" w:hAnsi="宋体" w:eastAsia="宋体" w:cs="宋体"/>
                <w:spacing w:val="10"/>
                <w:sz w:val="20"/>
                <w:szCs w:val="20"/>
              </w:rPr>
              <w:t>交</w:t>
            </w:r>
            <w:r>
              <w:rPr>
                <w:rFonts w:ascii="宋体" w:hAnsi="宋体" w:eastAsia="宋体" w:cs="宋体"/>
                <w:spacing w:val="9"/>
                <w:sz w:val="20"/>
                <w:szCs w:val="20"/>
              </w:rPr>
              <w:t>由有医疗废物处理资质的单位处置</w:t>
            </w:r>
          </w:p>
        </w:tc>
      </w:tr>
    </w:tbl>
    <w:p w14:paraId="57064998">
      <w:pPr>
        <w:spacing w:before="41" w:line="221" w:lineRule="auto"/>
        <w:ind w:left="7"/>
        <w:outlineLvl w:val="1"/>
        <w:rPr>
          <w:rFonts w:ascii="宋体" w:hAnsi="宋体" w:eastAsia="宋体" w:cs="宋体"/>
          <w:sz w:val="28"/>
          <w:szCs w:val="28"/>
        </w:rPr>
      </w:pPr>
      <w:bookmarkStart w:id="36" w:name="_bookmark37"/>
      <w:bookmarkEnd w:id="36"/>
      <w:r>
        <w:rPr>
          <w:rFonts w:ascii="Times New Roman" w:hAnsi="Times New Roman" w:eastAsia="Times New Roman" w:cs="Times New Roman"/>
          <w:b/>
          <w:bCs/>
          <w:spacing w:val="-1"/>
          <w:sz w:val="28"/>
          <w:szCs w:val="28"/>
        </w:rPr>
        <w:t>3.</w:t>
      </w:r>
      <w:r>
        <w:rPr>
          <w:rFonts w:ascii="Times New Roman" w:hAnsi="Times New Roman" w:eastAsia="Times New Roman" w:cs="Times New Roman"/>
          <w:b/>
          <w:bCs/>
          <w:sz w:val="28"/>
          <w:szCs w:val="28"/>
        </w:rPr>
        <w:t>4</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总量控制</w:t>
      </w:r>
    </w:p>
    <w:p w14:paraId="27422084">
      <w:pPr>
        <w:spacing w:before="204" w:line="228" w:lineRule="auto"/>
        <w:ind w:left="6"/>
        <w:outlineLvl w:val="2"/>
        <w:rPr>
          <w:rFonts w:ascii="宋体" w:hAnsi="宋体" w:eastAsia="宋体" w:cs="宋体"/>
          <w:sz w:val="23"/>
          <w:szCs w:val="23"/>
        </w:rPr>
      </w:pPr>
      <w:bookmarkStart w:id="37" w:name="_bookmark38"/>
      <w:bookmarkEnd w:id="37"/>
      <w:r>
        <w:rPr>
          <w:rFonts w:ascii="Times New Roman" w:hAnsi="Times New Roman" w:eastAsia="Times New Roman" w:cs="Times New Roman"/>
          <w:b/>
          <w:bCs/>
          <w:spacing w:val="14"/>
          <w:sz w:val="23"/>
          <w:szCs w:val="23"/>
        </w:rPr>
        <w:t>3</w:t>
      </w:r>
      <w:r>
        <w:rPr>
          <w:rFonts w:ascii="Times New Roman" w:hAnsi="Times New Roman" w:eastAsia="Times New Roman" w:cs="Times New Roman"/>
          <w:b/>
          <w:bCs/>
          <w:spacing w:val="11"/>
          <w:sz w:val="23"/>
          <w:szCs w:val="23"/>
        </w:rPr>
        <w:t>.</w:t>
      </w:r>
      <w:r>
        <w:rPr>
          <w:rFonts w:ascii="Times New Roman" w:hAnsi="Times New Roman" w:eastAsia="Times New Roman" w:cs="Times New Roman"/>
          <w:b/>
          <w:bCs/>
          <w:spacing w:val="7"/>
          <w:sz w:val="23"/>
          <w:szCs w:val="23"/>
        </w:rPr>
        <w:t>4.1</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总量控制的目的与原则</w:t>
      </w:r>
    </w:p>
    <w:p w14:paraId="2EE628B1">
      <w:pPr>
        <w:spacing w:before="181" w:line="375" w:lineRule="auto"/>
        <w:ind w:left="12" w:right="44" w:firstLine="485"/>
        <w:rPr>
          <w:rFonts w:ascii="宋体" w:hAnsi="宋体" w:eastAsia="宋体" w:cs="宋体"/>
          <w:sz w:val="23"/>
          <w:szCs w:val="23"/>
        </w:rPr>
      </w:pPr>
      <w:r>
        <w:rPr>
          <w:rFonts w:ascii="宋体" w:hAnsi="宋体" w:eastAsia="宋体" w:cs="宋体"/>
          <w:spacing w:val="7"/>
          <w:sz w:val="23"/>
          <w:szCs w:val="23"/>
        </w:rPr>
        <w:t>实施污染源总量控制，有利于科学地揭示环境容量资源有限的事实，促进区域的环境</w:t>
      </w:r>
      <w:r>
        <w:rPr>
          <w:rFonts w:ascii="宋体" w:hAnsi="宋体" w:eastAsia="宋体" w:cs="宋体"/>
          <w:spacing w:val="2"/>
          <w:sz w:val="23"/>
          <w:szCs w:val="23"/>
        </w:rPr>
        <w:t>容</w:t>
      </w:r>
      <w:r>
        <w:rPr>
          <w:rFonts w:ascii="宋体" w:hAnsi="宋体" w:eastAsia="宋体" w:cs="宋体"/>
          <w:sz w:val="23"/>
          <w:szCs w:val="23"/>
        </w:rPr>
        <w:t xml:space="preserve"> </w:t>
      </w:r>
      <w:r>
        <w:rPr>
          <w:rFonts w:ascii="宋体" w:hAnsi="宋体" w:eastAsia="宋体" w:cs="宋体"/>
          <w:spacing w:val="23"/>
          <w:sz w:val="23"/>
          <w:szCs w:val="23"/>
        </w:rPr>
        <w:t>量</w:t>
      </w:r>
      <w:r>
        <w:rPr>
          <w:rFonts w:ascii="宋体" w:hAnsi="宋体" w:eastAsia="宋体" w:cs="宋体"/>
          <w:spacing w:val="13"/>
          <w:sz w:val="23"/>
          <w:szCs w:val="23"/>
        </w:rPr>
        <w:t>资源的优化配置和生态工业体系的整体设计和形成，保证环境质量达标和区域可持续发</w:t>
      </w:r>
      <w:r>
        <w:rPr>
          <w:rFonts w:ascii="宋体" w:hAnsi="宋体" w:eastAsia="宋体" w:cs="宋体"/>
          <w:sz w:val="23"/>
          <w:szCs w:val="23"/>
        </w:rPr>
        <w:t xml:space="preserve"> 展。</w:t>
      </w:r>
    </w:p>
    <w:p w14:paraId="4EB3E5BE">
      <w:pPr>
        <w:spacing w:before="2" w:line="374" w:lineRule="auto"/>
        <w:ind w:left="18" w:right="44" w:firstLine="480"/>
        <w:rPr>
          <w:rFonts w:ascii="宋体" w:hAnsi="宋体" w:eastAsia="宋体" w:cs="宋体"/>
          <w:sz w:val="23"/>
          <w:szCs w:val="23"/>
        </w:rPr>
      </w:pPr>
      <w:r>
        <w:rPr>
          <w:rFonts w:ascii="宋体" w:hAnsi="宋体" w:eastAsia="宋体" w:cs="宋体"/>
          <w:spacing w:val="7"/>
          <w:sz w:val="23"/>
          <w:szCs w:val="23"/>
        </w:rPr>
        <w:t>总量控制工作过程可分为总量确定原则、污染负荷分配原则、分期实施修订和减量置</w:t>
      </w:r>
      <w:r>
        <w:rPr>
          <w:rFonts w:ascii="宋体" w:hAnsi="宋体" w:eastAsia="宋体" w:cs="宋体"/>
          <w:spacing w:val="1"/>
          <w:sz w:val="23"/>
          <w:szCs w:val="23"/>
        </w:rPr>
        <w:t>换</w:t>
      </w:r>
      <w:r>
        <w:rPr>
          <w:rFonts w:ascii="宋体" w:hAnsi="宋体" w:eastAsia="宋体" w:cs="宋体"/>
          <w:sz w:val="23"/>
          <w:szCs w:val="23"/>
        </w:rPr>
        <w:t xml:space="preserve"> </w:t>
      </w:r>
      <w:r>
        <w:rPr>
          <w:rFonts w:ascii="宋体" w:hAnsi="宋体" w:eastAsia="宋体" w:cs="宋体"/>
          <w:spacing w:val="12"/>
          <w:sz w:val="23"/>
          <w:szCs w:val="23"/>
        </w:rPr>
        <w:t>原</w:t>
      </w:r>
      <w:r>
        <w:rPr>
          <w:rFonts w:ascii="宋体" w:hAnsi="宋体" w:eastAsia="宋体" w:cs="宋体"/>
          <w:spacing w:val="8"/>
          <w:sz w:val="23"/>
          <w:szCs w:val="23"/>
        </w:rPr>
        <w:t>则。概括起来主要有三条原则：</w:t>
      </w:r>
    </w:p>
    <w:p w14:paraId="668182E3">
      <w:pPr>
        <w:spacing w:before="2" w:line="374" w:lineRule="auto"/>
        <w:ind w:left="38" w:right="44" w:firstLine="461"/>
        <w:rPr>
          <w:rFonts w:ascii="宋体" w:hAnsi="宋体" w:eastAsia="宋体" w:cs="宋体"/>
          <w:sz w:val="23"/>
          <w:szCs w:val="23"/>
        </w:rPr>
      </w:pPr>
      <w:r>
        <w:rPr>
          <w:rFonts w:ascii="宋体" w:hAnsi="宋体" w:eastAsia="宋体" w:cs="宋体"/>
          <w:spacing w:val="7"/>
          <w:sz w:val="23"/>
          <w:szCs w:val="23"/>
        </w:rPr>
        <w:t>公平合理原则。在总量确定阶段有污染源之间的平权原则：在污染负荷分配阶段有平</w:t>
      </w:r>
      <w:r>
        <w:rPr>
          <w:rFonts w:ascii="宋体" w:hAnsi="宋体" w:eastAsia="宋体" w:cs="宋体"/>
          <w:sz w:val="23"/>
          <w:szCs w:val="23"/>
        </w:rPr>
        <w:t xml:space="preserve">方 </w:t>
      </w:r>
      <w:r>
        <w:rPr>
          <w:rFonts w:ascii="宋体" w:hAnsi="宋体" w:eastAsia="宋体" w:cs="宋体"/>
          <w:spacing w:val="8"/>
          <w:sz w:val="23"/>
          <w:szCs w:val="23"/>
        </w:rPr>
        <w:t>比例削减法、按贡献率削减污染源负荷的原则</w:t>
      </w:r>
      <w:r>
        <w:rPr>
          <w:rFonts w:ascii="宋体" w:hAnsi="宋体" w:eastAsia="宋体" w:cs="宋体"/>
          <w:spacing w:val="4"/>
          <w:sz w:val="23"/>
          <w:szCs w:val="23"/>
        </w:rPr>
        <w:t>。</w:t>
      </w:r>
    </w:p>
    <w:p w14:paraId="118728A4">
      <w:pPr>
        <w:spacing w:before="2" w:line="374" w:lineRule="auto"/>
        <w:ind w:left="16" w:right="44" w:firstLine="478"/>
        <w:rPr>
          <w:rFonts w:ascii="宋体" w:hAnsi="宋体" w:eastAsia="宋体" w:cs="宋体"/>
          <w:sz w:val="23"/>
          <w:szCs w:val="23"/>
        </w:rPr>
      </w:pPr>
      <w:r>
        <w:rPr>
          <w:rFonts w:ascii="宋体" w:hAnsi="宋体" w:eastAsia="宋体" w:cs="宋体"/>
          <w:spacing w:val="7"/>
          <w:sz w:val="23"/>
          <w:szCs w:val="23"/>
        </w:rPr>
        <w:t>经济优化原则。该原则以治理费用为目标函数，以环境目标值为约束条件，使系统的</w:t>
      </w:r>
      <w:r>
        <w:rPr>
          <w:rFonts w:ascii="宋体" w:hAnsi="宋体" w:eastAsia="宋体" w:cs="宋体"/>
          <w:spacing w:val="6"/>
          <w:sz w:val="23"/>
          <w:szCs w:val="23"/>
        </w:rPr>
        <w:t>污</w:t>
      </w:r>
      <w:r>
        <w:rPr>
          <w:rFonts w:ascii="宋体" w:hAnsi="宋体" w:eastAsia="宋体" w:cs="宋体"/>
          <w:sz w:val="23"/>
          <w:szCs w:val="23"/>
        </w:rPr>
        <w:t xml:space="preserve"> </w:t>
      </w:r>
      <w:r>
        <w:rPr>
          <w:rFonts w:ascii="宋体" w:hAnsi="宋体" w:eastAsia="宋体" w:cs="宋体"/>
          <w:spacing w:val="11"/>
          <w:sz w:val="23"/>
          <w:szCs w:val="23"/>
        </w:rPr>
        <w:t>染</w:t>
      </w:r>
      <w:r>
        <w:rPr>
          <w:rFonts w:ascii="宋体" w:hAnsi="宋体" w:eastAsia="宋体" w:cs="宋体"/>
          <w:spacing w:val="9"/>
          <w:sz w:val="23"/>
          <w:szCs w:val="23"/>
        </w:rPr>
        <w:t>治理投资费用总和最小，求得各污染源的允许排放负荷。</w:t>
      </w:r>
    </w:p>
    <w:p w14:paraId="092EDDD2">
      <w:pPr>
        <w:spacing w:line="375" w:lineRule="auto"/>
        <w:ind w:left="11" w:firstLine="481"/>
        <w:rPr>
          <w:rFonts w:ascii="宋体" w:hAnsi="宋体" w:eastAsia="宋体" w:cs="宋体"/>
          <w:sz w:val="23"/>
          <w:szCs w:val="23"/>
        </w:rPr>
      </w:pPr>
      <w:r>
        <w:rPr>
          <w:rFonts w:ascii="宋体" w:hAnsi="宋体" w:eastAsia="宋体" w:cs="宋体"/>
          <w:spacing w:val="15"/>
          <w:sz w:val="23"/>
          <w:szCs w:val="23"/>
        </w:rPr>
        <w:t>有</w:t>
      </w:r>
      <w:r>
        <w:rPr>
          <w:rFonts w:ascii="宋体" w:hAnsi="宋体" w:eastAsia="宋体" w:cs="宋体"/>
          <w:spacing w:val="8"/>
          <w:sz w:val="23"/>
          <w:szCs w:val="23"/>
        </w:rPr>
        <w:t>效性原则。在总量控制规划方案的实施中，一方面由于经济发展，环境目标的限制，</w:t>
      </w:r>
      <w:r>
        <w:rPr>
          <w:rFonts w:ascii="宋体" w:hAnsi="宋体" w:eastAsia="宋体" w:cs="宋体"/>
          <w:sz w:val="23"/>
          <w:szCs w:val="23"/>
        </w:rPr>
        <w:t xml:space="preserve"> </w:t>
      </w:r>
      <w:r>
        <w:rPr>
          <w:rFonts w:ascii="宋体" w:hAnsi="宋体" w:eastAsia="宋体" w:cs="宋体"/>
          <w:spacing w:val="14"/>
          <w:sz w:val="23"/>
          <w:szCs w:val="23"/>
        </w:rPr>
        <w:t>不</w:t>
      </w:r>
      <w:r>
        <w:rPr>
          <w:rFonts w:ascii="宋体" w:hAnsi="宋体" w:eastAsia="宋体" w:cs="宋体"/>
          <w:spacing w:val="8"/>
          <w:sz w:val="23"/>
          <w:szCs w:val="23"/>
        </w:rPr>
        <w:t>能</w:t>
      </w:r>
      <w:r>
        <w:rPr>
          <w:rFonts w:ascii="宋体" w:hAnsi="宋体" w:eastAsia="宋体" w:cs="宋体"/>
          <w:spacing w:val="7"/>
          <w:sz w:val="23"/>
          <w:szCs w:val="23"/>
        </w:rPr>
        <w:t>一步到位，需分期实施。在实施过程中，还需依据社会经济的发展而不断修订。只有这</w:t>
      </w:r>
      <w:r>
        <w:rPr>
          <w:rFonts w:ascii="宋体" w:hAnsi="宋体" w:eastAsia="宋体" w:cs="宋体"/>
          <w:sz w:val="23"/>
          <w:szCs w:val="23"/>
        </w:rPr>
        <w:t xml:space="preserve"> </w:t>
      </w:r>
      <w:r>
        <w:rPr>
          <w:rFonts w:ascii="宋体" w:hAnsi="宋体" w:eastAsia="宋体" w:cs="宋体"/>
          <w:spacing w:val="9"/>
          <w:sz w:val="23"/>
          <w:szCs w:val="23"/>
        </w:rPr>
        <w:t>样，总量控制方案才能得以在实践中实施。</w:t>
      </w:r>
    </w:p>
    <w:p w14:paraId="66006447">
      <w:pPr>
        <w:spacing w:line="228" w:lineRule="auto"/>
        <w:ind w:left="6"/>
        <w:outlineLvl w:val="2"/>
        <w:rPr>
          <w:rFonts w:ascii="宋体" w:hAnsi="宋体" w:eastAsia="宋体" w:cs="宋体"/>
          <w:sz w:val="23"/>
          <w:szCs w:val="23"/>
        </w:rPr>
      </w:pPr>
      <w:bookmarkStart w:id="38" w:name="_bookmark39"/>
      <w:bookmarkEnd w:id="38"/>
      <w:r>
        <w:rPr>
          <w:rFonts w:ascii="Times New Roman" w:hAnsi="Times New Roman" w:eastAsia="Times New Roman" w:cs="Times New Roman"/>
          <w:b/>
          <w:bCs/>
          <w:spacing w:val="13"/>
          <w:sz w:val="23"/>
          <w:szCs w:val="23"/>
        </w:rPr>
        <w:t>3</w:t>
      </w:r>
      <w:r>
        <w:rPr>
          <w:rFonts w:ascii="Times New Roman" w:hAnsi="Times New Roman" w:eastAsia="Times New Roman" w:cs="Times New Roman"/>
          <w:b/>
          <w:bCs/>
          <w:spacing w:val="7"/>
          <w:sz w:val="23"/>
          <w:szCs w:val="23"/>
        </w:rPr>
        <w:t>.4.2</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污染物总量控制建议</w:t>
      </w:r>
    </w:p>
    <w:p w14:paraId="3813F154">
      <w:pPr>
        <w:spacing w:before="184" w:line="375" w:lineRule="auto"/>
        <w:ind w:right="42" w:firstLine="493"/>
        <w:rPr>
          <w:rFonts w:ascii="宋体" w:hAnsi="宋体" w:eastAsia="宋体" w:cs="宋体"/>
          <w:sz w:val="23"/>
          <w:szCs w:val="23"/>
        </w:rPr>
      </w:pPr>
      <w:r>
        <w:rPr>
          <w:rFonts w:ascii="宋体" w:hAnsi="宋体" w:eastAsia="宋体" w:cs="宋体"/>
          <w:spacing w:val="7"/>
          <w:sz w:val="23"/>
          <w:szCs w:val="23"/>
        </w:rPr>
        <w:t>本项目为养殖类项目，营运期间场内不涉及饲料加工，不涉及国控大气污染总量控制指</w:t>
      </w:r>
      <w:r>
        <w:rPr>
          <w:rFonts w:ascii="宋体" w:hAnsi="宋体" w:eastAsia="宋体" w:cs="宋体"/>
          <w:sz w:val="23"/>
          <w:szCs w:val="23"/>
        </w:rPr>
        <w:t xml:space="preserve"> </w:t>
      </w:r>
      <w:r>
        <w:rPr>
          <w:rFonts w:ascii="宋体" w:hAnsi="宋体" w:eastAsia="宋体" w:cs="宋体"/>
          <w:spacing w:val="9"/>
          <w:sz w:val="23"/>
          <w:szCs w:val="23"/>
        </w:rPr>
        <w:t>标</w:t>
      </w:r>
      <w:r>
        <w:rPr>
          <w:rFonts w:ascii="宋体" w:hAnsi="宋体" w:eastAsia="宋体" w:cs="宋体"/>
          <w:spacing w:val="6"/>
          <w:sz w:val="23"/>
          <w:szCs w:val="23"/>
        </w:rPr>
        <w:t xml:space="preserve"> </w:t>
      </w:r>
      <w:r>
        <w:rPr>
          <w:rFonts w:ascii="Times New Roman" w:hAnsi="Times New Roman" w:eastAsia="Times New Roman" w:cs="Times New Roman"/>
          <w:sz w:val="23"/>
          <w:szCs w:val="23"/>
        </w:rPr>
        <w:t>SO</w:t>
      </w:r>
      <w:r>
        <w:rPr>
          <w:rFonts w:ascii="Times New Roman" w:hAnsi="Times New Roman" w:eastAsia="Times New Roman" w:cs="Times New Roman"/>
          <w:spacing w:val="6"/>
          <w:position w:val="-1"/>
          <w:sz w:val="15"/>
          <w:szCs w:val="15"/>
        </w:rPr>
        <w:t xml:space="preserve">2 </w:t>
      </w:r>
      <w:r>
        <w:rPr>
          <w:rFonts w:ascii="宋体" w:hAnsi="宋体" w:eastAsia="宋体" w:cs="宋体"/>
          <w:spacing w:val="6"/>
          <w:sz w:val="23"/>
          <w:szCs w:val="23"/>
        </w:rPr>
        <w:t>、</w:t>
      </w:r>
      <w:r>
        <w:rPr>
          <w:rFonts w:ascii="Times New Roman" w:hAnsi="Times New Roman" w:eastAsia="Times New Roman" w:cs="Times New Roman"/>
          <w:sz w:val="23"/>
          <w:szCs w:val="23"/>
        </w:rPr>
        <w:t>NO</w:t>
      </w:r>
      <w:r>
        <w:rPr>
          <w:rFonts w:ascii="Times New Roman" w:hAnsi="Times New Roman" w:eastAsia="Times New Roman" w:cs="Times New Roman"/>
          <w:position w:val="-1"/>
          <w:sz w:val="15"/>
          <w:szCs w:val="15"/>
        </w:rPr>
        <w:t>x</w:t>
      </w:r>
      <w:r>
        <w:rPr>
          <w:rFonts w:ascii="Times New Roman" w:hAnsi="Times New Roman" w:eastAsia="Times New Roman" w:cs="Times New Roman"/>
          <w:spacing w:val="6"/>
          <w:position w:val="-1"/>
          <w:sz w:val="15"/>
          <w:szCs w:val="15"/>
        </w:rPr>
        <w:t xml:space="preserve"> </w:t>
      </w:r>
      <w:r>
        <w:rPr>
          <w:rFonts w:ascii="宋体" w:hAnsi="宋体" w:eastAsia="宋体" w:cs="宋体"/>
          <w:spacing w:val="6"/>
          <w:sz w:val="23"/>
          <w:szCs w:val="23"/>
        </w:rPr>
        <w:t>的排放；营运期废水主要为养殖废水 (主猪只尿液和猪舍冲洗废水等) 和生活</w:t>
      </w:r>
      <w:r>
        <w:rPr>
          <w:rFonts w:ascii="宋体" w:hAnsi="宋体" w:eastAsia="宋体" w:cs="宋体"/>
          <w:sz w:val="23"/>
          <w:szCs w:val="23"/>
        </w:rPr>
        <w:t xml:space="preserve"> </w:t>
      </w:r>
      <w:r>
        <w:rPr>
          <w:rFonts w:ascii="宋体" w:hAnsi="宋体" w:eastAsia="宋体" w:cs="宋体"/>
          <w:spacing w:val="14"/>
          <w:sz w:val="23"/>
          <w:szCs w:val="23"/>
        </w:rPr>
        <w:t>污水</w:t>
      </w:r>
      <w:r>
        <w:rPr>
          <w:rFonts w:ascii="宋体" w:hAnsi="宋体" w:eastAsia="宋体" w:cs="宋体"/>
          <w:spacing w:val="12"/>
          <w:sz w:val="23"/>
          <w:szCs w:val="23"/>
        </w:rPr>
        <w:t>，</w:t>
      </w:r>
      <w:r>
        <w:rPr>
          <w:rFonts w:ascii="宋体" w:hAnsi="宋体" w:eastAsia="宋体" w:cs="宋体"/>
          <w:spacing w:val="7"/>
          <w:sz w:val="23"/>
          <w:szCs w:val="23"/>
        </w:rPr>
        <w:t>生活污水经化粪池收集后用于灌溉自家林地，养殖废水每日运输至乐山乐高勤力生物</w:t>
      </w:r>
      <w:r>
        <w:rPr>
          <w:rFonts w:ascii="宋体" w:hAnsi="宋体" w:eastAsia="宋体" w:cs="宋体"/>
          <w:sz w:val="23"/>
          <w:szCs w:val="23"/>
        </w:rPr>
        <w:t xml:space="preserve"> </w:t>
      </w:r>
      <w:r>
        <w:rPr>
          <w:rFonts w:ascii="宋体" w:hAnsi="宋体" w:eastAsia="宋体" w:cs="宋体"/>
          <w:spacing w:val="10"/>
          <w:sz w:val="23"/>
          <w:szCs w:val="23"/>
        </w:rPr>
        <w:t>质能源</w:t>
      </w:r>
      <w:r>
        <w:rPr>
          <w:rFonts w:ascii="宋体" w:hAnsi="宋体" w:eastAsia="宋体" w:cs="宋体"/>
          <w:spacing w:val="8"/>
          <w:sz w:val="23"/>
          <w:szCs w:val="23"/>
        </w:rPr>
        <w:t>综</w:t>
      </w:r>
      <w:r>
        <w:rPr>
          <w:rFonts w:ascii="宋体" w:hAnsi="宋体" w:eastAsia="宋体" w:cs="宋体"/>
          <w:spacing w:val="5"/>
          <w:sz w:val="23"/>
          <w:szCs w:val="23"/>
        </w:rPr>
        <w:t xml:space="preserve">合利用有限公司集中处置， 日产日清，此外，厂区还配套建设有一 </w:t>
      </w:r>
      <w:r>
        <w:rPr>
          <w:rFonts w:ascii="Times New Roman" w:hAnsi="Times New Roman" w:eastAsia="Times New Roman" w:cs="Times New Roman"/>
          <w:spacing w:val="5"/>
          <w:sz w:val="23"/>
          <w:szCs w:val="23"/>
        </w:rPr>
        <w:t>1600</w:t>
      </w:r>
      <w:r>
        <w:rPr>
          <w:rFonts w:ascii="Times New Roman" w:hAnsi="Times New Roman" w:eastAsia="Times New Roman" w:cs="Times New Roman"/>
          <w:sz w:val="23"/>
          <w:szCs w:val="23"/>
        </w:rPr>
        <w:t>m</w:t>
      </w:r>
      <w:r>
        <w:rPr>
          <w:rFonts w:ascii="Times New Roman" w:hAnsi="Times New Roman" w:eastAsia="Times New Roman" w:cs="Times New Roman"/>
          <w:spacing w:val="5"/>
          <w:position w:val="8"/>
          <w:sz w:val="15"/>
          <w:szCs w:val="15"/>
        </w:rPr>
        <w:t xml:space="preserve">2 </w:t>
      </w:r>
      <w:r>
        <w:rPr>
          <w:rFonts w:ascii="宋体" w:hAnsi="宋体" w:eastAsia="宋体" w:cs="宋体"/>
          <w:spacing w:val="5"/>
          <w:sz w:val="23"/>
          <w:szCs w:val="23"/>
        </w:rPr>
        <w:t>的发酵</w:t>
      </w:r>
      <w:r>
        <w:rPr>
          <w:rFonts w:ascii="宋体" w:hAnsi="宋体" w:eastAsia="宋体" w:cs="宋体"/>
          <w:sz w:val="23"/>
          <w:szCs w:val="23"/>
        </w:rPr>
        <w:t xml:space="preserve"> </w:t>
      </w:r>
      <w:r>
        <w:rPr>
          <w:rFonts w:ascii="宋体" w:hAnsi="宋体" w:eastAsia="宋体" w:cs="宋体"/>
          <w:spacing w:val="14"/>
          <w:sz w:val="23"/>
          <w:szCs w:val="23"/>
        </w:rPr>
        <w:t>床备</w:t>
      </w:r>
      <w:r>
        <w:rPr>
          <w:rFonts w:ascii="宋体" w:hAnsi="宋体" w:eastAsia="宋体" w:cs="宋体"/>
          <w:spacing w:val="12"/>
          <w:sz w:val="23"/>
          <w:szCs w:val="23"/>
        </w:rPr>
        <w:t>用</w:t>
      </w:r>
      <w:r>
        <w:rPr>
          <w:rFonts w:ascii="宋体" w:hAnsi="宋体" w:eastAsia="宋体" w:cs="宋体"/>
          <w:spacing w:val="7"/>
          <w:sz w:val="23"/>
          <w:szCs w:val="23"/>
        </w:rPr>
        <w:t>，若后期乐山乐高勤力生物质能源综合利用有限公司不再回收厂区内的养殖废水，可</w:t>
      </w:r>
      <w:r>
        <w:rPr>
          <w:rFonts w:ascii="宋体" w:hAnsi="宋体" w:eastAsia="宋体" w:cs="宋体"/>
          <w:sz w:val="23"/>
          <w:szCs w:val="23"/>
        </w:rPr>
        <w:t xml:space="preserve"> </w:t>
      </w:r>
      <w:r>
        <w:rPr>
          <w:rFonts w:ascii="宋体" w:hAnsi="宋体" w:eastAsia="宋体" w:cs="宋体"/>
          <w:spacing w:val="14"/>
          <w:sz w:val="23"/>
          <w:szCs w:val="23"/>
        </w:rPr>
        <w:t>将通</w:t>
      </w:r>
      <w:r>
        <w:rPr>
          <w:rFonts w:ascii="宋体" w:hAnsi="宋体" w:eastAsia="宋体" w:cs="宋体"/>
          <w:spacing w:val="12"/>
          <w:sz w:val="23"/>
          <w:szCs w:val="23"/>
        </w:rPr>
        <w:t>过</w:t>
      </w:r>
      <w:r>
        <w:rPr>
          <w:rFonts w:ascii="宋体" w:hAnsi="宋体" w:eastAsia="宋体" w:cs="宋体"/>
          <w:spacing w:val="7"/>
          <w:sz w:val="23"/>
          <w:szCs w:val="23"/>
        </w:rPr>
        <w:t>异位发酵床自行处置，处理产生的有机肥外售处理，全部消纳，无外排。两种养殖废</w:t>
      </w:r>
      <w:r>
        <w:rPr>
          <w:rFonts w:ascii="宋体" w:hAnsi="宋体" w:eastAsia="宋体" w:cs="宋体"/>
          <w:sz w:val="23"/>
          <w:szCs w:val="23"/>
        </w:rPr>
        <w:t xml:space="preserve"> </w:t>
      </w:r>
      <w:r>
        <w:rPr>
          <w:rFonts w:ascii="宋体" w:hAnsi="宋体" w:eastAsia="宋体" w:cs="宋体"/>
          <w:spacing w:val="16"/>
          <w:sz w:val="23"/>
          <w:szCs w:val="23"/>
        </w:rPr>
        <w:t>水处</w:t>
      </w:r>
      <w:r>
        <w:rPr>
          <w:rFonts w:ascii="宋体" w:hAnsi="宋体" w:eastAsia="宋体" w:cs="宋体"/>
          <w:spacing w:val="13"/>
          <w:sz w:val="23"/>
          <w:szCs w:val="23"/>
        </w:rPr>
        <w:t>置</w:t>
      </w:r>
      <w:r>
        <w:rPr>
          <w:rFonts w:ascii="宋体" w:hAnsi="宋体" w:eastAsia="宋体" w:cs="宋体"/>
          <w:spacing w:val="8"/>
          <w:sz w:val="23"/>
          <w:szCs w:val="23"/>
        </w:rPr>
        <w:t xml:space="preserve">方案均不外排，均能做到全部零排放。因此不涉及国控水污染总量控制指标 </w:t>
      </w:r>
      <w:r>
        <w:rPr>
          <w:rFonts w:ascii="Times New Roman" w:hAnsi="Times New Roman" w:eastAsia="Times New Roman" w:cs="Times New Roman"/>
          <w:sz w:val="23"/>
          <w:szCs w:val="23"/>
        </w:rPr>
        <w:t>COD</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w:t>
      </w:r>
      <w:r>
        <w:rPr>
          <w:rFonts w:ascii="宋体" w:hAnsi="宋体" w:eastAsia="宋体" w:cs="宋体"/>
          <w:sz w:val="23"/>
          <w:szCs w:val="23"/>
        </w:rPr>
        <w:t xml:space="preserve"> </w:t>
      </w:r>
      <w:r>
        <w:rPr>
          <w:rFonts w:ascii="Times New Roman" w:hAnsi="Times New Roman" w:eastAsia="Times New Roman" w:cs="Times New Roman"/>
          <w:sz w:val="23"/>
          <w:szCs w:val="23"/>
        </w:rPr>
        <w:t>NH</w:t>
      </w:r>
      <w:r>
        <w:rPr>
          <w:rFonts w:ascii="Times New Roman" w:hAnsi="Times New Roman" w:eastAsia="Times New Roman" w:cs="Times New Roman"/>
          <w:spacing w:val="9"/>
          <w:position w:val="-1"/>
          <w:sz w:val="15"/>
          <w:szCs w:val="15"/>
        </w:rPr>
        <w:t>3</w:t>
      </w:r>
      <w:r>
        <w:rPr>
          <w:rFonts w:ascii="Times New Roman" w:hAnsi="Times New Roman" w:eastAsia="Times New Roman" w:cs="Times New Roman"/>
          <w:spacing w:val="9"/>
          <w:sz w:val="23"/>
          <w:szCs w:val="23"/>
        </w:rPr>
        <w:t>-</w:t>
      </w:r>
      <w:r>
        <w:rPr>
          <w:rFonts w:ascii="Times New Roman" w:hAnsi="Times New Roman" w:eastAsia="Times New Roman" w:cs="Times New Roman"/>
          <w:sz w:val="23"/>
          <w:szCs w:val="23"/>
        </w:rPr>
        <w:t>N</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的排放</w:t>
      </w:r>
      <w:r>
        <w:rPr>
          <w:rFonts w:ascii="宋体" w:hAnsi="宋体" w:eastAsia="宋体" w:cs="宋体"/>
          <w:spacing w:val="8"/>
          <w:sz w:val="23"/>
          <w:szCs w:val="23"/>
        </w:rPr>
        <w:t>。</w:t>
      </w:r>
    </w:p>
    <w:p w14:paraId="701DEED1">
      <w:pPr>
        <w:spacing w:line="219" w:lineRule="auto"/>
        <w:ind w:left="7"/>
        <w:outlineLvl w:val="1"/>
        <w:rPr>
          <w:rFonts w:ascii="宋体" w:hAnsi="宋体" w:eastAsia="宋体" w:cs="宋体"/>
          <w:sz w:val="28"/>
          <w:szCs w:val="28"/>
        </w:rPr>
      </w:pPr>
      <w:bookmarkStart w:id="39" w:name="_bookmark40"/>
      <w:bookmarkEnd w:id="39"/>
      <w:r>
        <w:rPr>
          <w:rFonts w:ascii="Times New Roman" w:hAnsi="Times New Roman" w:eastAsia="Times New Roman" w:cs="Times New Roman"/>
          <w:b/>
          <w:bCs/>
          <w:spacing w:val="1"/>
          <w:sz w:val="28"/>
          <w:szCs w:val="28"/>
        </w:rPr>
        <w:t>3.5</w:t>
      </w:r>
      <w:r>
        <w:rPr>
          <w:rFonts w:ascii="Times New Roman" w:hAnsi="Times New Roman" w:eastAsia="Times New Roman" w:cs="Times New Roman"/>
          <w:spacing w:val="1"/>
          <w:sz w:val="28"/>
          <w:szCs w:val="28"/>
        </w:rPr>
        <w:t xml:space="preserve">  </w:t>
      </w:r>
      <w:r>
        <w:rPr>
          <w:rFonts w:ascii="宋体" w:hAnsi="宋体" w:eastAsia="宋体" w:cs="宋体"/>
          <w:spacing w:val="1"/>
          <w:sz w:val="28"/>
          <w:szCs w:val="28"/>
          <w14:textOutline w14:w="5105" w14:cap="sq" w14:cmpd="sng" w14:algn="ctr">
            <w14:solidFill>
              <w14:srgbClr w14:val="000000"/>
            </w14:solidFill>
            <w14:prstDash w14:val="solid"/>
            <w14:bevel/>
          </w14:textOutline>
        </w:rPr>
        <w:t>本</w:t>
      </w:r>
      <w:r>
        <w:rPr>
          <w:rFonts w:ascii="宋体" w:hAnsi="宋体" w:eastAsia="宋体" w:cs="宋体"/>
          <w:sz w:val="28"/>
          <w:szCs w:val="28"/>
          <w14:textOutline w14:w="5105" w14:cap="sq" w14:cmpd="sng" w14:algn="ctr">
            <w14:solidFill>
              <w14:srgbClr w14:val="000000"/>
            </w14:solidFill>
            <w14:prstDash w14:val="solid"/>
            <w14:bevel/>
          </w14:textOutline>
        </w:rPr>
        <w:t>项目污染物排放量汇总</w:t>
      </w:r>
    </w:p>
    <w:p w14:paraId="475FB6D2">
      <w:pPr>
        <w:spacing w:before="206" w:line="227" w:lineRule="auto"/>
        <w:ind w:left="493"/>
        <w:rPr>
          <w:rFonts w:ascii="宋体" w:hAnsi="宋体" w:eastAsia="宋体" w:cs="宋体"/>
          <w:sz w:val="23"/>
          <w:szCs w:val="23"/>
        </w:rPr>
      </w:pPr>
      <w:r>
        <w:rPr>
          <w:rFonts w:ascii="宋体" w:hAnsi="宋体" w:eastAsia="宋体" w:cs="宋体"/>
          <w:spacing w:val="1"/>
          <w:sz w:val="23"/>
          <w:szCs w:val="23"/>
        </w:rPr>
        <w:t xml:space="preserve">本项目污染物排放清单见表 </w:t>
      </w:r>
      <w:r>
        <w:rPr>
          <w:rFonts w:ascii="Times New Roman" w:hAnsi="Times New Roman" w:eastAsia="Times New Roman" w:cs="Times New Roman"/>
          <w:spacing w:val="1"/>
          <w:sz w:val="23"/>
          <w:szCs w:val="23"/>
        </w:rPr>
        <w:t>3.5-</w:t>
      </w:r>
      <w:r>
        <w:rPr>
          <w:rFonts w:ascii="Times New Roman" w:hAnsi="Times New Roman" w:eastAsia="Times New Roman" w:cs="Times New Roman"/>
          <w:sz w:val="23"/>
          <w:szCs w:val="23"/>
        </w:rPr>
        <w:t xml:space="preserve"> 1</w:t>
      </w:r>
      <w:r>
        <w:rPr>
          <w:rFonts w:ascii="宋体" w:hAnsi="宋体" w:eastAsia="宋体" w:cs="宋体"/>
          <w:sz w:val="23"/>
          <w:szCs w:val="23"/>
        </w:rPr>
        <w:t>。</w:t>
      </w:r>
    </w:p>
    <w:p w14:paraId="3DF56989">
      <w:pPr>
        <w:sectPr>
          <w:headerReference r:id="rId141" w:type="default"/>
          <w:footerReference r:id="rId142" w:type="default"/>
          <w:pgSz w:w="11907" w:h="16840"/>
          <w:pgMar w:top="400" w:right="1088" w:bottom="1137" w:left="1273" w:header="0" w:footer="953" w:gutter="0"/>
          <w:cols w:space="720" w:num="1"/>
        </w:sectPr>
      </w:pPr>
    </w:p>
    <w:p w14:paraId="0ADE7F0B">
      <w:pPr>
        <w:spacing w:line="404" w:lineRule="auto"/>
      </w:pPr>
    </w:p>
    <w:p w14:paraId="14BC8D69">
      <w:pPr>
        <w:spacing w:before="75" w:line="221" w:lineRule="auto"/>
        <w:ind w:left="5120"/>
        <w:rPr>
          <w:rFonts w:ascii="黑体" w:hAnsi="黑体" w:eastAsia="黑体" w:cs="黑体"/>
          <w:sz w:val="23"/>
          <w:szCs w:val="23"/>
        </w:rPr>
      </w:pPr>
      <w:r>
        <w:rPr>
          <w:rFonts w:ascii="黑体" w:hAnsi="黑体" w:eastAsia="黑体" w:cs="黑体"/>
          <w:spacing w:val="3"/>
          <w:sz w:val="23"/>
          <w:szCs w:val="23"/>
        </w:rPr>
        <w:t xml:space="preserve">表 </w:t>
      </w:r>
      <w:r>
        <w:rPr>
          <w:rFonts w:ascii="Times New Roman" w:hAnsi="Times New Roman" w:eastAsia="Times New Roman" w:cs="Times New Roman"/>
          <w:spacing w:val="3"/>
          <w:sz w:val="23"/>
          <w:szCs w:val="23"/>
        </w:rPr>
        <w:t xml:space="preserve">3.5- 1  </w:t>
      </w:r>
      <w:r>
        <w:rPr>
          <w:rFonts w:ascii="黑体" w:hAnsi="黑体" w:eastAsia="黑体" w:cs="黑体"/>
          <w:spacing w:val="3"/>
          <w:sz w:val="23"/>
          <w:szCs w:val="23"/>
        </w:rPr>
        <w:t>项目主要污染治理设施基本信息一览</w:t>
      </w:r>
      <w:r>
        <w:rPr>
          <w:rFonts w:ascii="黑体" w:hAnsi="黑体" w:eastAsia="黑体" w:cs="黑体"/>
          <w:spacing w:val="1"/>
          <w:sz w:val="23"/>
          <w:szCs w:val="23"/>
        </w:rPr>
        <w:t>表</w:t>
      </w:r>
    </w:p>
    <w:tbl>
      <w:tblPr>
        <w:tblStyle w:val="4"/>
        <w:tblW w:w="1521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1"/>
        <w:gridCol w:w="1203"/>
        <w:gridCol w:w="913"/>
        <w:gridCol w:w="1368"/>
        <w:gridCol w:w="1316"/>
        <w:gridCol w:w="2579"/>
        <w:gridCol w:w="1499"/>
        <w:gridCol w:w="1199"/>
        <w:gridCol w:w="3771"/>
        <w:gridCol w:w="967"/>
      </w:tblGrid>
      <w:tr w14:paraId="4A45C6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401" w:type="dxa"/>
            <w:vMerge w:val="restart"/>
            <w:tcBorders>
              <w:left w:val="nil"/>
              <w:bottom w:val="nil"/>
            </w:tcBorders>
            <w:textDirection w:val="tbRlV"/>
          </w:tcPr>
          <w:p w14:paraId="2089A267">
            <w:pPr>
              <w:spacing w:before="81" w:line="216" w:lineRule="auto"/>
              <w:ind w:left="60"/>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类</w:t>
            </w:r>
            <w:r>
              <w:rPr>
                <w:rFonts w:ascii="宋体" w:hAnsi="宋体" w:eastAsia="宋体" w:cs="宋体"/>
                <w:spacing w:val="-6"/>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别</w:t>
            </w:r>
          </w:p>
        </w:tc>
        <w:tc>
          <w:tcPr>
            <w:tcW w:w="1203" w:type="dxa"/>
            <w:vMerge w:val="restart"/>
            <w:tcBorders>
              <w:bottom w:val="nil"/>
            </w:tcBorders>
          </w:tcPr>
          <w:p w14:paraId="5B28182B">
            <w:pPr>
              <w:spacing w:before="197" w:line="228" w:lineRule="auto"/>
              <w:ind w:left="292"/>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污染源</w:t>
            </w:r>
          </w:p>
        </w:tc>
        <w:tc>
          <w:tcPr>
            <w:tcW w:w="913" w:type="dxa"/>
            <w:vMerge w:val="restart"/>
            <w:tcBorders>
              <w:bottom w:val="nil"/>
            </w:tcBorders>
          </w:tcPr>
          <w:p w14:paraId="2C33FFCA">
            <w:pPr>
              <w:spacing w:before="197" w:line="228" w:lineRule="auto"/>
              <w:ind w:left="148"/>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污染物</w:t>
            </w:r>
          </w:p>
        </w:tc>
        <w:tc>
          <w:tcPr>
            <w:tcW w:w="2684" w:type="dxa"/>
            <w:gridSpan w:val="2"/>
          </w:tcPr>
          <w:p w14:paraId="61E8BDE0">
            <w:pPr>
              <w:spacing w:before="56" w:line="227" w:lineRule="auto"/>
              <w:ind w:left="1136"/>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产</w:t>
            </w:r>
            <w:r>
              <w:rPr>
                <w:rFonts w:ascii="宋体" w:hAnsi="宋体" w:eastAsia="宋体" w:cs="宋体"/>
                <w:spacing w:val="8"/>
                <w:sz w:val="20"/>
                <w:szCs w:val="20"/>
                <w14:textOutline w14:w="3797" w14:cap="sq" w14:cmpd="sng" w14:algn="ctr">
                  <w14:solidFill>
                    <w14:srgbClr w14:val="000000"/>
                  </w14:solidFill>
                  <w14:prstDash w14:val="solid"/>
                  <w14:bevel/>
                </w14:textOutline>
              </w:rPr>
              <w:t>生情况</w:t>
            </w:r>
          </w:p>
        </w:tc>
        <w:tc>
          <w:tcPr>
            <w:tcW w:w="2579" w:type="dxa"/>
            <w:vMerge w:val="restart"/>
            <w:tcBorders>
              <w:bottom w:val="nil"/>
            </w:tcBorders>
          </w:tcPr>
          <w:p w14:paraId="38C91DE1">
            <w:pPr>
              <w:spacing w:before="197" w:line="228" w:lineRule="auto"/>
              <w:ind w:left="1090"/>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治</w:t>
            </w:r>
            <w:r>
              <w:rPr>
                <w:rFonts w:ascii="宋体" w:hAnsi="宋体" w:eastAsia="宋体" w:cs="宋体"/>
                <w:spacing w:val="7"/>
                <w:sz w:val="20"/>
                <w:szCs w:val="20"/>
                <w14:textOutline w14:w="3797" w14:cap="sq" w14:cmpd="sng" w14:algn="ctr">
                  <w14:solidFill>
                    <w14:srgbClr w14:val="000000"/>
                  </w14:solidFill>
                  <w14:prstDash w14:val="solid"/>
                  <w14:bevel/>
                </w14:textOutline>
              </w:rPr>
              <w:t>理措施</w:t>
            </w:r>
          </w:p>
        </w:tc>
        <w:tc>
          <w:tcPr>
            <w:tcW w:w="2698" w:type="dxa"/>
            <w:gridSpan w:val="2"/>
          </w:tcPr>
          <w:p w14:paraId="168C22F9">
            <w:pPr>
              <w:spacing w:before="56" w:line="227" w:lineRule="auto"/>
              <w:ind w:left="1144"/>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排</w:t>
            </w:r>
            <w:r>
              <w:rPr>
                <w:rFonts w:ascii="宋体" w:hAnsi="宋体" w:eastAsia="宋体" w:cs="宋体"/>
                <w:spacing w:val="8"/>
                <w:sz w:val="20"/>
                <w:szCs w:val="20"/>
                <w14:textOutline w14:w="3797" w14:cap="sq" w14:cmpd="sng" w14:algn="ctr">
                  <w14:solidFill>
                    <w14:srgbClr w14:val="000000"/>
                  </w14:solidFill>
                  <w14:prstDash w14:val="solid"/>
                  <w14:bevel/>
                </w14:textOutline>
              </w:rPr>
              <w:t>放情况</w:t>
            </w:r>
          </w:p>
        </w:tc>
        <w:tc>
          <w:tcPr>
            <w:tcW w:w="3771" w:type="dxa"/>
            <w:vMerge w:val="restart"/>
            <w:tcBorders>
              <w:bottom w:val="nil"/>
            </w:tcBorders>
          </w:tcPr>
          <w:p w14:paraId="192662F5">
            <w:pPr>
              <w:spacing w:before="197" w:line="228" w:lineRule="auto"/>
              <w:ind w:left="1995"/>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执</w:t>
            </w:r>
            <w:r>
              <w:rPr>
                <w:rFonts w:ascii="宋体" w:hAnsi="宋体" w:eastAsia="宋体" w:cs="宋体"/>
                <w:spacing w:val="8"/>
                <w:sz w:val="20"/>
                <w:szCs w:val="20"/>
                <w14:textOutline w14:w="3797" w14:cap="sq" w14:cmpd="sng" w14:algn="ctr">
                  <w14:solidFill>
                    <w14:srgbClr w14:val="000000"/>
                  </w14:solidFill>
                  <w14:prstDash w14:val="solid"/>
                  <w14:bevel/>
                </w14:textOutline>
              </w:rPr>
              <w:t>行标准</w:t>
            </w:r>
          </w:p>
        </w:tc>
        <w:tc>
          <w:tcPr>
            <w:tcW w:w="967" w:type="dxa"/>
            <w:vMerge w:val="restart"/>
            <w:tcBorders>
              <w:bottom w:val="nil"/>
              <w:right w:val="nil"/>
            </w:tcBorders>
          </w:tcPr>
          <w:p w14:paraId="70AF02D4">
            <w:pPr>
              <w:spacing w:before="60" w:line="271" w:lineRule="exact"/>
              <w:ind w:left="279"/>
              <w:rPr>
                <w:rFonts w:ascii="宋体" w:hAnsi="宋体" w:eastAsia="宋体" w:cs="宋体"/>
                <w:sz w:val="20"/>
                <w:szCs w:val="20"/>
              </w:rPr>
            </w:pPr>
            <w:r>
              <w:rPr>
                <w:rFonts w:ascii="宋体" w:hAnsi="宋体" w:eastAsia="宋体" w:cs="宋体"/>
                <w:spacing w:val="6"/>
                <w:position w:val="4"/>
                <w:sz w:val="20"/>
                <w:szCs w:val="20"/>
                <w14:textOutline w14:w="3797" w14:cap="sq" w14:cmpd="sng" w14:algn="ctr">
                  <w14:solidFill>
                    <w14:srgbClr w14:val="000000"/>
                  </w14:solidFill>
                  <w14:prstDash w14:val="solid"/>
                  <w14:bevel/>
                </w14:textOutline>
              </w:rPr>
              <w:t>排放</w:t>
            </w:r>
          </w:p>
          <w:p w14:paraId="050C7734">
            <w:pPr>
              <w:spacing w:line="229" w:lineRule="auto"/>
              <w:ind w:left="279"/>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方</w:t>
            </w:r>
            <w:r>
              <w:rPr>
                <w:rFonts w:ascii="宋体" w:hAnsi="宋体" w:eastAsia="宋体" w:cs="宋体"/>
                <w:spacing w:val="5"/>
                <w:sz w:val="20"/>
                <w:szCs w:val="20"/>
                <w14:textOutline w14:w="3797" w14:cap="sq" w14:cmpd="sng" w14:algn="ctr">
                  <w14:solidFill>
                    <w14:srgbClr w14:val="000000"/>
                  </w14:solidFill>
                  <w14:prstDash w14:val="solid"/>
                  <w14:bevel/>
                </w14:textOutline>
              </w:rPr>
              <w:t>式</w:t>
            </w:r>
          </w:p>
        </w:tc>
      </w:tr>
      <w:tr w14:paraId="49F59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01" w:type="dxa"/>
            <w:vMerge w:val="continue"/>
            <w:tcBorders>
              <w:top w:val="nil"/>
              <w:left w:val="nil"/>
            </w:tcBorders>
            <w:textDirection w:val="tbRlV"/>
          </w:tcPr>
          <w:p w14:paraId="71EA858A"/>
        </w:tc>
        <w:tc>
          <w:tcPr>
            <w:tcW w:w="1203" w:type="dxa"/>
            <w:vMerge w:val="continue"/>
            <w:tcBorders>
              <w:top w:val="nil"/>
            </w:tcBorders>
          </w:tcPr>
          <w:p w14:paraId="4D11F1FF"/>
        </w:tc>
        <w:tc>
          <w:tcPr>
            <w:tcW w:w="913" w:type="dxa"/>
            <w:vMerge w:val="continue"/>
            <w:tcBorders>
              <w:top w:val="nil"/>
            </w:tcBorders>
          </w:tcPr>
          <w:p w14:paraId="447DAF02"/>
        </w:tc>
        <w:tc>
          <w:tcPr>
            <w:tcW w:w="1368" w:type="dxa"/>
          </w:tcPr>
          <w:p w14:paraId="24AFC4BB">
            <w:pPr>
              <w:spacing w:line="277" w:lineRule="exact"/>
              <w:ind w:left="114"/>
              <w:rPr>
                <w:rFonts w:ascii="宋体" w:hAnsi="宋体" w:eastAsia="宋体" w:cs="宋体"/>
                <w:sz w:val="20"/>
                <w:szCs w:val="20"/>
              </w:rPr>
            </w:pPr>
            <w:r>
              <w:rPr>
                <w:rFonts w:ascii="宋体" w:hAnsi="宋体" w:eastAsia="宋体" w:cs="宋体"/>
                <w:spacing w:val="7"/>
                <w:position w:val="1"/>
                <w:sz w:val="20"/>
                <w:szCs w:val="20"/>
                <w14:textOutline w14:w="3644" w14:cap="sq" w14:cmpd="sng" w14:algn="ctr">
                  <w14:solidFill>
                    <w14:srgbClr w14:val="000000"/>
                  </w14:solidFill>
                  <w14:prstDash w14:val="solid"/>
                  <w14:bevel/>
                </w14:textOutline>
              </w:rPr>
              <w:t>浓度</w:t>
            </w:r>
            <w:r>
              <w:rPr>
                <w:rFonts w:ascii="Times New Roman" w:hAnsi="Times New Roman" w:eastAsia="Times New Roman" w:cs="Times New Roman"/>
                <w:b/>
                <w:bCs/>
                <w:spacing w:val="7"/>
                <w:position w:val="1"/>
                <w:sz w:val="20"/>
                <w:szCs w:val="20"/>
              </w:rPr>
              <w:t>/</w:t>
            </w:r>
            <w:r>
              <w:rPr>
                <w:rFonts w:ascii="宋体" w:hAnsi="宋体" w:eastAsia="宋体" w:cs="宋体"/>
                <w:spacing w:val="7"/>
                <w:position w:val="1"/>
                <w:sz w:val="20"/>
                <w:szCs w:val="20"/>
                <w14:textOutline w14:w="3644" w14:cap="sq" w14:cmpd="sng" w14:algn="ctr">
                  <w14:solidFill>
                    <w14:srgbClr w14:val="000000"/>
                  </w14:solidFill>
                  <w14:prstDash w14:val="solid"/>
                  <w14:bevel/>
                </w14:textOutline>
              </w:rPr>
              <w:t>速</w:t>
            </w:r>
            <w:r>
              <w:rPr>
                <w:rFonts w:ascii="宋体" w:hAnsi="宋体" w:eastAsia="宋体" w:cs="宋体"/>
                <w:spacing w:val="6"/>
                <w:position w:val="1"/>
                <w:sz w:val="20"/>
                <w:szCs w:val="20"/>
                <w14:textOutline w14:w="3644" w14:cap="sq" w14:cmpd="sng" w14:algn="ctr">
                  <w14:solidFill>
                    <w14:srgbClr w14:val="000000"/>
                  </w14:solidFill>
                  <w14:prstDash w14:val="solid"/>
                  <w14:bevel/>
                </w14:textOutline>
              </w:rPr>
              <w:t>率</w:t>
            </w:r>
          </w:p>
        </w:tc>
        <w:tc>
          <w:tcPr>
            <w:tcW w:w="1316" w:type="dxa"/>
          </w:tcPr>
          <w:p w14:paraId="061B0E15">
            <w:pPr>
              <w:spacing w:before="32" w:line="226" w:lineRule="auto"/>
              <w:ind w:left="114"/>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产</w:t>
            </w:r>
            <w:r>
              <w:rPr>
                <w:rFonts w:ascii="宋体" w:hAnsi="宋体" w:eastAsia="宋体" w:cs="宋体"/>
                <w:spacing w:val="7"/>
                <w:sz w:val="20"/>
                <w:szCs w:val="20"/>
                <w14:textOutline w14:w="3797" w14:cap="sq" w14:cmpd="sng" w14:algn="ctr">
                  <w14:solidFill>
                    <w14:srgbClr w14:val="000000"/>
                  </w14:solidFill>
                  <w14:prstDash w14:val="solid"/>
                  <w14:bevel/>
                </w14:textOutline>
              </w:rPr>
              <w:t>生量</w:t>
            </w:r>
          </w:p>
        </w:tc>
        <w:tc>
          <w:tcPr>
            <w:tcW w:w="2579" w:type="dxa"/>
            <w:vMerge w:val="continue"/>
            <w:tcBorders>
              <w:top w:val="nil"/>
            </w:tcBorders>
          </w:tcPr>
          <w:p w14:paraId="56F7EE6E"/>
        </w:tc>
        <w:tc>
          <w:tcPr>
            <w:tcW w:w="1499" w:type="dxa"/>
          </w:tcPr>
          <w:p w14:paraId="0082D1A6">
            <w:pPr>
              <w:spacing w:line="277" w:lineRule="exact"/>
              <w:ind w:left="306"/>
              <w:rPr>
                <w:rFonts w:ascii="宋体" w:hAnsi="宋体" w:eastAsia="宋体" w:cs="宋体"/>
                <w:sz w:val="20"/>
                <w:szCs w:val="20"/>
              </w:rPr>
            </w:pPr>
            <w:r>
              <w:rPr>
                <w:rFonts w:ascii="宋体" w:hAnsi="宋体" w:eastAsia="宋体" w:cs="宋体"/>
                <w:spacing w:val="7"/>
                <w:position w:val="1"/>
                <w:sz w:val="20"/>
                <w:szCs w:val="20"/>
                <w14:textOutline w14:w="3644" w14:cap="sq" w14:cmpd="sng" w14:algn="ctr">
                  <w14:solidFill>
                    <w14:srgbClr w14:val="000000"/>
                  </w14:solidFill>
                  <w14:prstDash w14:val="solid"/>
                  <w14:bevel/>
                </w14:textOutline>
              </w:rPr>
              <w:t>浓度</w:t>
            </w:r>
            <w:r>
              <w:rPr>
                <w:rFonts w:ascii="Times New Roman" w:hAnsi="Times New Roman" w:eastAsia="Times New Roman" w:cs="Times New Roman"/>
                <w:b/>
                <w:bCs/>
                <w:spacing w:val="7"/>
                <w:position w:val="1"/>
                <w:sz w:val="20"/>
                <w:szCs w:val="20"/>
              </w:rPr>
              <w:t>/</w:t>
            </w:r>
            <w:r>
              <w:rPr>
                <w:rFonts w:ascii="宋体" w:hAnsi="宋体" w:eastAsia="宋体" w:cs="宋体"/>
                <w:spacing w:val="7"/>
                <w:position w:val="1"/>
                <w:sz w:val="20"/>
                <w:szCs w:val="20"/>
                <w14:textOutline w14:w="3644" w14:cap="sq" w14:cmpd="sng" w14:algn="ctr">
                  <w14:solidFill>
                    <w14:srgbClr w14:val="000000"/>
                  </w14:solidFill>
                  <w14:prstDash w14:val="solid"/>
                  <w14:bevel/>
                </w14:textOutline>
              </w:rPr>
              <w:t>速</w:t>
            </w:r>
            <w:r>
              <w:rPr>
                <w:rFonts w:ascii="宋体" w:hAnsi="宋体" w:eastAsia="宋体" w:cs="宋体"/>
                <w:spacing w:val="6"/>
                <w:position w:val="1"/>
                <w:sz w:val="20"/>
                <w:szCs w:val="20"/>
                <w14:textOutline w14:w="3644" w14:cap="sq" w14:cmpd="sng" w14:algn="ctr">
                  <w14:solidFill>
                    <w14:srgbClr w14:val="000000"/>
                  </w14:solidFill>
                  <w14:prstDash w14:val="solid"/>
                  <w14:bevel/>
                </w14:textOutline>
              </w:rPr>
              <w:t>率</w:t>
            </w:r>
          </w:p>
        </w:tc>
        <w:tc>
          <w:tcPr>
            <w:tcW w:w="1199" w:type="dxa"/>
          </w:tcPr>
          <w:p w14:paraId="35B17F0F">
            <w:pPr>
              <w:spacing w:before="32" w:line="226" w:lineRule="auto"/>
              <w:ind w:left="290"/>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排</w:t>
            </w:r>
            <w:r>
              <w:rPr>
                <w:rFonts w:ascii="宋体" w:hAnsi="宋体" w:eastAsia="宋体" w:cs="宋体"/>
                <w:spacing w:val="7"/>
                <w:sz w:val="20"/>
                <w:szCs w:val="20"/>
                <w14:textOutline w14:w="3797" w14:cap="sq" w14:cmpd="sng" w14:algn="ctr">
                  <w14:solidFill>
                    <w14:srgbClr w14:val="000000"/>
                  </w14:solidFill>
                  <w14:prstDash w14:val="solid"/>
                  <w14:bevel/>
                </w14:textOutline>
              </w:rPr>
              <w:t>放量</w:t>
            </w:r>
          </w:p>
        </w:tc>
        <w:tc>
          <w:tcPr>
            <w:tcW w:w="3771" w:type="dxa"/>
            <w:vMerge w:val="continue"/>
            <w:tcBorders>
              <w:top w:val="nil"/>
            </w:tcBorders>
          </w:tcPr>
          <w:p w14:paraId="75642D4D"/>
        </w:tc>
        <w:tc>
          <w:tcPr>
            <w:tcW w:w="967" w:type="dxa"/>
            <w:vMerge w:val="continue"/>
            <w:tcBorders>
              <w:top w:val="nil"/>
              <w:right w:val="nil"/>
            </w:tcBorders>
          </w:tcPr>
          <w:p w14:paraId="1F2AD9E3"/>
        </w:tc>
      </w:tr>
      <w:tr w14:paraId="03D0C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401" w:type="dxa"/>
            <w:vMerge w:val="restart"/>
            <w:tcBorders>
              <w:left w:val="nil"/>
              <w:bottom w:val="nil"/>
            </w:tcBorders>
          </w:tcPr>
          <w:p w14:paraId="6DB3B9A2">
            <w:pPr>
              <w:spacing w:line="279" w:lineRule="auto"/>
            </w:pPr>
          </w:p>
          <w:p w14:paraId="22E5643B">
            <w:pPr>
              <w:spacing w:line="279" w:lineRule="auto"/>
            </w:pPr>
          </w:p>
          <w:p w14:paraId="5542DFF5">
            <w:pPr>
              <w:spacing w:line="279" w:lineRule="auto"/>
            </w:pPr>
          </w:p>
          <w:p w14:paraId="0196A083">
            <w:pPr>
              <w:spacing w:line="279" w:lineRule="auto"/>
            </w:pPr>
          </w:p>
          <w:p w14:paraId="0A98614A">
            <w:pPr>
              <w:spacing w:line="279" w:lineRule="auto"/>
            </w:pPr>
          </w:p>
          <w:p w14:paraId="12D900FE">
            <w:pPr>
              <w:spacing w:line="279" w:lineRule="auto"/>
            </w:pPr>
          </w:p>
          <w:p w14:paraId="2A07DC97">
            <w:pPr>
              <w:spacing w:before="65" w:line="229" w:lineRule="auto"/>
              <w:ind w:left="116"/>
              <w:rPr>
                <w:rFonts w:ascii="宋体" w:hAnsi="宋体" w:eastAsia="宋体" w:cs="宋体"/>
                <w:sz w:val="20"/>
                <w:szCs w:val="20"/>
              </w:rPr>
            </w:pPr>
            <w:r>
              <w:rPr>
                <w:rFonts w:ascii="宋体" w:hAnsi="宋体" w:eastAsia="宋体" w:cs="宋体"/>
                <w:sz w:val="20"/>
                <w:szCs w:val="20"/>
              </w:rPr>
              <w:t>气</w:t>
            </w:r>
          </w:p>
        </w:tc>
        <w:tc>
          <w:tcPr>
            <w:tcW w:w="1203" w:type="dxa"/>
            <w:vMerge w:val="restart"/>
            <w:tcBorders>
              <w:bottom w:val="nil"/>
            </w:tcBorders>
          </w:tcPr>
          <w:p w14:paraId="0AA6538E">
            <w:pPr>
              <w:spacing w:line="371" w:lineRule="auto"/>
            </w:pPr>
          </w:p>
          <w:p w14:paraId="29E01D61">
            <w:pPr>
              <w:spacing w:before="65" w:line="228" w:lineRule="auto"/>
              <w:ind w:left="291"/>
              <w:rPr>
                <w:rFonts w:ascii="宋体" w:hAnsi="宋体" w:eastAsia="宋体" w:cs="宋体"/>
                <w:sz w:val="20"/>
                <w:szCs w:val="20"/>
              </w:rPr>
            </w:pPr>
            <w:r>
              <w:rPr>
                <w:rFonts w:ascii="宋体" w:hAnsi="宋体" w:eastAsia="宋体" w:cs="宋体"/>
                <w:spacing w:val="7"/>
                <w:sz w:val="20"/>
                <w:szCs w:val="20"/>
              </w:rPr>
              <w:t>猪舍</w:t>
            </w:r>
            <w:r>
              <w:rPr>
                <w:rFonts w:ascii="宋体" w:hAnsi="宋体" w:eastAsia="宋体" w:cs="宋体"/>
                <w:spacing w:val="6"/>
                <w:sz w:val="20"/>
                <w:szCs w:val="20"/>
              </w:rPr>
              <w:t>区</w:t>
            </w:r>
          </w:p>
        </w:tc>
        <w:tc>
          <w:tcPr>
            <w:tcW w:w="913" w:type="dxa"/>
          </w:tcPr>
          <w:p w14:paraId="15D3E992">
            <w:pPr>
              <w:spacing w:before="100" w:line="228" w:lineRule="auto"/>
              <w:ind w:left="357"/>
              <w:rPr>
                <w:rFonts w:ascii="宋体" w:hAnsi="宋体" w:eastAsia="宋体" w:cs="宋体"/>
                <w:sz w:val="20"/>
                <w:szCs w:val="20"/>
              </w:rPr>
            </w:pPr>
            <w:r>
              <w:rPr>
                <w:rFonts w:ascii="宋体" w:hAnsi="宋体" w:eastAsia="宋体" w:cs="宋体"/>
                <w:sz w:val="20"/>
                <w:szCs w:val="20"/>
              </w:rPr>
              <w:t>氨</w:t>
            </w:r>
          </w:p>
        </w:tc>
        <w:tc>
          <w:tcPr>
            <w:tcW w:w="1368" w:type="dxa"/>
          </w:tcPr>
          <w:p w14:paraId="7DB44144"/>
        </w:tc>
        <w:tc>
          <w:tcPr>
            <w:tcW w:w="1316" w:type="dxa"/>
          </w:tcPr>
          <w:p w14:paraId="0738D13E"/>
        </w:tc>
        <w:tc>
          <w:tcPr>
            <w:tcW w:w="2579" w:type="dxa"/>
            <w:vMerge w:val="restart"/>
            <w:tcBorders>
              <w:bottom w:val="nil"/>
            </w:tcBorders>
          </w:tcPr>
          <w:p w14:paraId="29BFF93D">
            <w:pPr>
              <w:spacing w:before="30" w:line="227" w:lineRule="auto"/>
              <w:ind w:left="138"/>
              <w:rPr>
                <w:rFonts w:ascii="宋体" w:hAnsi="宋体" w:eastAsia="宋体" w:cs="宋体"/>
                <w:sz w:val="20"/>
                <w:szCs w:val="20"/>
              </w:rPr>
            </w:pPr>
            <w:r>
              <w:rPr>
                <w:rFonts w:ascii="宋体" w:hAnsi="宋体" w:eastAsia="宋体" w:cs="宋体"/>
                <w:spacing w:val="11"/>
                <w:sz w:val="20"/>
                <w:szCs w:val="20"/>
              </w:rPr>
              <w:t>饲</w:t>
            </w:r>
            <w:r>
              <w:rPr>
                <w:rFonts w:ascii="宋体" w:hAnsi="宋体" w:eastAsia="宋体" w:cs="宋体"/>
                <w:spacing w:val="9"/>
                <w:sz w:val="20"/>
                <w:szCs w:val="20"/>
              </w:rPr>
              <w:t>料添加活菌剂、及时清</w:t>
            </w:r>
          </w:p>
          <w:p w14:paraId="44C9581A">
            <w:pPr>
              <w:spacing w:before="27" w:line="228" w:lineRule="auto"/>
              <w:ind w:left="141"/>
              <w:rPr>
                <w:rFonts w:ascii="宋体" w:hAnsi="宋体" w:eastAsia="宋体" w:cs="宋体"/>
                <w:sz w:val="20"/>
                <w:szCs w:val="20"/>
              </w:rPr>
            </w:pPr>
            <w:r>
              <w:rPr>
                <w:rFonts w:ascii="宋体" w:hAnsi="宋体" w:eastAsia="宋体" w:cs="宋体"/>
                <w:spacing w:val="9"/>
                <w:sz w:val="20"/>
                <w:szCs w:val="20"/>
              </w:rPr>
              <w:t>粪、加强通风、喷洒生物</w:t>
            </w:r>
          </w:p>
          <w:p w14:paraId="7B45A719">
            <w:pPr>
              <w:spacing w:before="24" w:line="227" w:lineRule="auto"/>
              <w:ind w:left="152"/>
              <w:rPr>
                <w:rFonts w:ascii="宋体" w:hAnsi="宋体" w:eastAsia="宋体" w:cs="宋体"/>
                <w:sz w:val="20"/>
                <w:szCs w:val="20"/>
              </w:rPr>
            </w:pPr>
            <w:r>
              <w:rPr>
                <w:rFonts w:ascii="宋体" w:hAnsi="宋体" w:eastAsia="宋体" w:cs="宋体"/>
                <w:spacing w:val="8"/>
                <w:sz w:val="20"/>
                <w:szCs w:val="20"/>
              </w:rPr>
              <w:t>除臭剂、种植绿化隔离带</w:t>
            </w:r>
          </w:p>
          <w:p w14:paraId="3A285920">
            <w:pPr>
              <w:spacing w:before="27" w:line="225" w:lineRule="auto"/>
              <w:ind w:left="1190"/>
              <w:rPr>
                <w:rFonts w:ascii="宋体" w:hAnsi="宋体" w:eastAsia="宋体" w:cs="宋体"/>
                <w:sz w:val="20"/>
                <w:szCs w:val="20"/>
              </w:rPr>
            </w:pPr>
            <w:r>
              <w:rPr>
                <w:rFonts w:ascii="宋体" w:hAnsi="宋体" w:eastAsia="宋体" w:cs="宋体"/>
                <w:sz w:val="20"/>
                <w:szCs w:val="20"/>
              </w:rPr>
              <w:t>等</w:t>
            </w:r>
          </w:p>
        </w:tc>
        <w:tc>
          <w:tcPr>
            <w:tcW w:w="1499" w:type="dxa"/>
          </w:tcPr>
          <w:p w14:paraId="38F001F5"/>
        </w:tc>
        <w:tc>
          <w:tcPr>
            <w:tcW w:w="1199" w:type="dxa"/>
          </w:tcPr>
          <w:p w14:paraId="6A87EBF8"/>
        </w:tc>
        <w:tc>
          <w:tcPr>
            <w:tcW w:w="3771" w:type="dxa"/>
            <w:vMerge w:val="restart"/>
            <w:tcBorders>
              <w:bottom w:val="nil"/>
            </w:tcBorders>
          </w:tcPr>
          <w:p w14:paraId="7B746C5F">
            <w:pPr>
              <w:spacing w:line="453" w:lineRule="auto"/>
            </w:pPr>
          </w:p>
          <w:p w14:paraId="3C6E6C34">
            <w:pPr>
              <w:spacing w:before="65" w:line="228" w:lineRule="auto"/>
              <w:ind w:left="116"/>
              <w:rPr>
                <w:rFonts w:ascii="宋体" w:hAnsi="宋体" w:eastAsia="宋体" w:cs="宋体"/>
                <w:sz w:val="20"/>
                <w:szCs w:val="20"/>
              </w:rPr>
            </w:pPr>
            <w:r>
              <w:rPr>
                <w:rFonts w:ascii="宋体" w:hAnsi="宋体" w:eastAsia="宋体" w:cs="宋体"/>
                <w:spacing w:val="13"/>
                <w:sz w:val="20"/>
                <w:szCs w:val="20"/>
              </w:rPr>
              <w:t>厂</w:t>
            </w:r>
            <w:r>
              <w:rPr>
                <w:rFonts w:ascii="宋体" w:hAnsi="宋体" w:eastAsia="宋体" w:cs="宋体"/>
                <w:spacing w:val="8"/>
                <w:sz w:val="20"/>
                <w:szCs w:val="20"/>
              </w:rPr>
              <w:t>界氨气和硫化氢排放浓度达到《恶臭</w:t>
            </w:r>
          </w:p>
          <w:p w14:paraId="7339CBBF">
            <w:pPr>
              <w:spacing w:before="24" w:line="228" w:lineRule="auto"/>
              <w:ind w:left="118"/>
              <w:rPr>
                <w:rFonts w:ascii="Times New Roman" w:hAnsi="Times New Roman" w:eastAsia="Times New Roman" w:cs="Times New Roman"/>
                <w:sz w:val="20"/>
                <w:szCs w:val="20"/>
              </w:rPr>
            </w:pPr>
            <w:r>
              <w:rPr>
                <w:rFonts w:ascii="宋体" w:hAnsi="宋体" w:eastAsia="宋体" w:cs="宋体"/>
                <w:spacing w:val="1"/>
                <w:sz w:val="20"/>
                <w:szCs w:val="20"/>
              </w:rPr>
              <w:t>污染物排放标准》  (</w:t>
            </w:r>
            <w:r>
              <w:rPr>
                <w:rFonts w:ascii="Times New Roman" w:hAnsi="Times New Roman" w:eastAsia="Times New Roman" w:cs="Times New Roman"/>
                <w:sz w:val="20"/>
                <w:szCs w:val="20"/>
              </w:rPr>
              <w:t>GB</w:t>
            </w:r>
            <w:r>
              <w:rPr>
                <w:rFonts w:ascii="Times New Roman" w:hAnsi="Times New Roman" w:eastAsia="Times New Roman" w:cs="Times New Roman"/>
                <w:spacing w:val="1"/>
                <w:sz w:val="20"/>
                <w:szCs w:val="20"/>
              </w:rPr>
              <w:t>14554-9</w:t>
            </w:r>
            <w:r>
              <w:rPr>
                <w:rFonts w:ascii="Times New Roman" w:hAnsi="Times New Roman" w:eastAsia="Times New Roman" w:cs="Times New Roman"/>
                <w:sz w:val="20"/>
                <w:szCs w:val="20"/>
              </w:rPr>
              <w:t>3</w:t>
            </w:r>
            <w:r>
              <w:rPr>
                <w:rFonts w:ascii="宋体" w:hAnsi="宋体" w:eastAsia="宋体" w:cs="宋体"/>
                <w:sz w:val="20"/>
                <w:szCs w:val="20"/>
              </w:rPr>
              <w:t xml:space="preserve">) 表 </w:t>
            </w:r>
            <w:r>
              <w:rPr>
                <w:rFonts w:ascii="Times New Roman" w:hAnsi="Times New Roman" w:eastAsia="Times New Roman" w:cs="Times New Roman"/>
                <w:sz w:val="20"/>
                <w:szCs w:val="20"/>
              </w:rPr>
              <w:t>1</w:t>
            </w:r>
          </w:p>
          <w:p w14:paraId="0B4A5BD2">
            <w:pPr>
              <w:spacing w:before="23" w:line="228" w:lineRule="auto"/>
              <w:ind w:left="133"/>
              <w:rPr>
                <w:rFonts w:ascii="宋体" w:hAnsi="宋体" w:eastAsia="宋体" w:cs="宋体"/>
                <w:sz w:val="20"/>
                <w:szCs w:val="20"/>
              </w:rPr>
            </w:pPr>
            <w:r>
              <w:rPr>
                <w:rFonts w:ascii="宋体" w:hAnsi="宋体" w:eastAsia="宋体" w:cs="宋体"/>
                <w:spacing w:val="14"/>
                <w:sz w:val="20"/>
                <w:szCs w:val="20"/>
              </w:rPr>
              <w:t>中</w:t>
            </w:r>
            <w:r>
              <w:rPr>
                <w:rFonts w:ascii="宋体" w:hAnsi="宋体" w:eastAsia="宋体" w:cs="宋体"/>
                <w:spacing w:val="7"/>
                <w:sz w:val="20"/>
                <w:szCs w:val="20"/>
              </w:rPr>
              <w:t>的标准限值；臭气浓度满足《畜禽养</w:t>
            </w:r>
          </w:p>
          <w:p w14:paraId="3EB13D76">
            <w:pPr>
              <w:spacing w:before="27" w:line="228" w:lineRule="auto"/>
              <w:ind w:left="294"/>
              <w:rPr>
                <w:rFonts w:ascii="Times New Roman" w:hAnsi="Times New Roman" w:eastAsia="Times New Roman" w:cs="Times New Roman"/>
                <w:sz w:val="20"/>
                <w:szCs w:val="20"/>
              </w:rPr>
            </w:pPr>
            <w:r>
              <w:rPr>
                <w:rFonts w:ascii="宋体" w:hAnsi="宋体" w:eastAsia="宋体" w:cs="宋体"/>
                <w:spacing w:val="4"/>
                <w:sz w:val="20"/>
                <w:szCs w:val="20"/>
              </w:rPr>
              <w:t>殖业</w:t>
            </w:r>
            <w:r>
              <w:rPr>
                <w:rFonts w:ascii="宋体" w:hAnsi="宋体" w:eastAsia="宋体" w:cs="宋体"/>
                <w:spacing w:val="3"/>
                <w:sz w:val="20"/>
                <w:szCs w:val="20"/>
              </w:rPr>
              <w:t>污</w:t>
            </w:r>
            <w:r>
              <w:rPr>
                <w:rFonts w:ascii="宋体" w:hAnsi="宋体" w:eastAsia="宋体" w:cs="宋体"/>
                <w:spacing w:val="2"/>
                <w:sz w:val="20"/>
                <w:szCs w:val="20"/>
              </w:rPr>
              <w:t>染物排放标准》  (</w:t>
            </w:r>
            <w:r>
              <w:rPr>
                <w:rFonts w:ascii="Times New Roman" w:hAnsi="Times New Roman" w:eastAsia="Times New Roman" w:cs="Times New Roman"/>
                <w:sz w:val="20"/>
                <w:szCs w:val="20"/>
              </w:rPr>
              <w:t>GB</w:t>
            </w:r>
            <w:r>
              <w:rPr>
                <w:rFonts w:ascii="Times New Roman" w:hAnsi="Times New Roman" w:eastAsia="Times New Roman" w:cs="Times New Roman"/>
                <w:spacing w:val="2"/>
                <w:sz w:val="20"/>
                <w:szCs w:val="20"/>
              </w:rPr>
              <w:t>18596-</w:t>
            </w:r>
          </w:p>
          <w:p w14:paraId="308FBE38">
            <w:pPr>
              <w:spacing w:before="23" w:line="228" w:lineRule="auto"/>
              <w:ind w:left="110"/>
              <w:rPr>
                <w:rFonts w:ascii="宋体" w:hAnsi="宋体" w:eastAsia="宋体" w:cs="宋体"/>
                <w:sz w:val="20"/>
                <w:szCs w:val="20"/>
              </w:rPr>
            </w:pPr>
            <w:r>
              <w:rPr>
                <w:rFonts w:ascii="Times New Roman" w:hAnsi="Times New Roman" w:eastAsia="Times New Roman" w:cs="Times New Roman"/>
                <w:spacing w:val="14"/>
                <w:sz w:val="20"/>
                <w:szCs w:val="20"/>
              </w:rPr>
              <w:t>2</w:t>
            </w:r>
            <w:r>
              <w:rPr>
                <w:rFonts w:ascii="Times New Roman" w:hAnsi="Times New Roman" w:eastAsia="Times New Roman" w:cs="Times New Roman"/>
                <w:spacing w:val="7"/>
                <w:sz w:val="20"/>
                <w:szCs w:val="20"/>
              </w:rPr>
              <w:t>001</w:t>
            </w:r>
            <w:r>
              <w:rPr>
                <w:rFonts w:ascii="宋体" w:hAnsi="宋体" w:eastAsia="宋体" w:cs="宋体"/>
                <w:spacing w:val="7"/>
                <w:sz w:val="20"/>
                <w:szCs w:val="20"/>
              </w:rPr>
              <w:t>) 中集约化畜禽养殖业恶臭污染物</w:t>
            </w:r>
          </w:p>
          <w:p w14:paraId="158148D5">
            <w:pPr>
              <w:spacing w:before="27" w:line="228" w:lineRule="auto"/>
              <w:ind w:left="1470"/>
              <w:rPr>
                <w:rFonts w:ascii="宋体" w:hAnsi="宋体" w:eastAsia="宋体" w:cs="宋体"/>
                <w:sz w:val="20"/>
                <w:szCs w:val="20"/>
              </w:rPr>
            </w:pPr>
            <w:r>
              <w:rPr>
                <w:rFonts w:ascii="宋体" w:hAnsi="宋体" w:eastAsia="宋体" w:cs="宋体"/>
                <w:spacing w:val="8"/>
                <w:sz w:val="20"/>
                <w:szCs w:val="20"/>
              </w:rPr>
              <w:t>排</w:t>
            </w:r>
            <w:r>
              <w:rPr>
                <w:rFonts w:ascii="宋体" w:hAnsi="宋体" w:eastAsia="宋体" w:cs="宋体"/>
                <w:spacing w:val="7"/>
                <w:sz w:val="20"/>
                <w:szCs w:val="20"/>
              </w:rPr>
              <w:t>放标准</w:t>
            </w:r>
          </w:p>
        </w:tc>
        <w:tc>
          <w:tcPr>
            <w:tcW w:w="967" w:type="dxa"/>
            <w:vMerge w:val="restart"/>
            <w:tcBorders>
              <w:bottom w:val="nil"/>
              <w:right w:val="nil"/>
            </w:tcBorders>
          </w:tcPr>
          <w:p w14:paraId="1BD3C8BB">
            <w:pPr>
              <w:spacing w:line="286" w:lineRule="auto"/>
            </w:pPr>
          </w:p>
          <w:p w14:paraId="26C86E00">
            <w:pPr>
              <w:spacing w:line="286" w:lineRule="auto"/>
            </w:pPr>
          </w:p>
          <w:p w14:paraId="7230B516">
            <w:pPr>
              <w:spacing w:line="287" w:lineRule="auto"/>
            </w:pPr>
          </w:p>
          <w:p w14:paraId="51A00AF2">
            <w:pPr>
              <w:spacing w:before="65" w:line="261" w:lineRule="auto"/>
              <w:ind w:left="113" w:right="110" w:firstLine="1"/>
              <w:rPr>
                <w:rFonts w:ascii="宋体" w:hAnsi="宋体" w:eastAsia="宋体" w:cs="宋体"/>
                <w:sz w:val="20"/>
                <w:szCs w:val="20"/>
              </w:rPr>
            </w:pPr>
            <w:r>
              <w:rPr>
                <w:rFonts w:ascii="宋体" w:hAnsi="宋体" w:eastAsia="宋体" w:cs="宋体"/>
                <w:spacing w:val="-13"/>
                <w:sz w:val="20"/>
                <w:szCs w:val="20"/>
              </w:rPr>
              <w:t>无</w:t>
            </w:r>
            <w:r>
              <w:rPr>
                <w:rFonts w:ascii="宋体" w:hAnsi="宋体" w:eastAsia="宋体" w:cs="宋体"/>
                <w:spacing w:val="-12"/>
                <w:sz w:val="20"/>
                <w:szCs w:val="20"/>
              </w:rPr>
              <w:t xml:space="preserve"> 组 织</w:t>
            </w:r>
            <w:r>
              <w:rPr>
                <w:rFonts w:ascii="宋体" w:hAnsi="宋体" w:eastAsia="宋体" w:cs="宋体"/>
                <w:sz w:val="20"/>
                <w:szCs w:val="20"/>
              </w:rPr>
              <w:t xml:space="preserve"> </w:t>
            </w:r>
            <w:r>
              <w:rPr>
                <w:rFonts w:ascii="宋体" w:hAnsi="宋体" w:eastAsia="宋体" w:cs="宋体"/>
                <w:spacing w:val="-18"/>
                <w:sz w:val="20"/>
                <w:szCs w:val="20"/>
              </w:rPr>
              <w:t>排</w:t>
            </w:r>
            <w:r>
              <w:rPr>
                <w:rFonts w:ascii="宋体" w:hAnsi="宋体" w:eastAsia="宋体" w:cs="宋体"/>
                <w:spacing w:val="-14"/>
                <w:sz w:val="20"/>
                <w:szCs w:val="20"/>
              </w:rPr>
              <w:t>放、连</w:t>
            </w:r>
            <w:r>
              <w:rPr>
                <w:rFonts w:ascii="宋体" w:hAnsi="宋体" w:eastAsia="宋体" w:cs="宋体"/>
                <w:sz w:val="20"/>
                <w:szCs w:val="20"/>
              </w:rPr>
              <w:t xml:space="preserve"> </w:t>
            </w:r>
            <w:r>
              <w:rPr>
                <w:rFonts w:ascii="宋体" w:hAnsi="宋体" w:eastAsia="宋体" w:cs="宋体"/>
                <w:spacing w:val="7"/>
                <w:sz w:val="20"/>
                <w:szCs w:val="20"/>
              </w:rPr>
              <w:t>续排</w:t>
            </w:r>
            <w:r>
              <w:rPr>
                <w:rFonts w:ascii="宋体" w:hAnsi="宋体" w:eastAsia="宋体" w:cs="宋体"/>
                <w:spacing w:val="6"/>
                <w:sz w:val="20"/>
                <w:szCs w:val="20"/>
              </w:rPr>
              <w:t>放</w:t>
            </w:r>
          </w:p>
        </w:tc>
      </w:tr>
      <w:tr w14:paraId="700D78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401" w:type="dxa"/>
            <w:vMerge w:val="continue"/>
            <w:tcBorders>
              <w:top w:val="nil"/>
              <w:left w:val="nil"/>
              <w:bottom w:val="nil"/>
            </w:tcBorders>
          </w:tcPr>
          <w:p w14:paraId="7C4D4A47"/>
        </w:tc>
        <w:tc>
          <w:tcPr>
            <w:tcW w:w="1203" w:type="dxa"/>
            <w:vMerge w:val="continue"/>
            <w:tcBorders>
              <w:top w:val="nil"/>
            </w:tcBorders>
          </w:tcPr>
          <w:p w14:paraId="3C279163"/>
        </w:tc>
        <w:tc>
          <w:tcPr>
            <w:tcW w:w="913" w:type="dxa"/>
          </w:tcPr>
          <w:p w14:paraId="550145BA">
            <w:pPr>
              <w:spacing w:before="228" w:line="229" w:lineRule="auto"/>
              <w:ind w:left="145"/>
              <w:rPr>
                <w:rFonts w:ascii="宋体" w:hAnsi="宋体" w:eastAsia="宋体" w:cs="宋体"/>
                <w:sz w:val="20"/>
                <w:szCs w:val="20"/>
              </w:rPr>
            </w:pPr>
            <w:r>
              <w:rPr>
                <w:rFonts w:ascii="宋体" w:hAnsi="宋体" w:eastAsia="宋体" w:cs="宋体"/>
                <w:spacing w:val="7"/>
                <w:sz w:val="20"/>
                <w:szCs w:val="20"/>
              </w:rPr>
              <w:t>硫化氢</w:t>
            </w:r>
          </w:p>
        </w:tc>
        <w:tc>
          <w:tcPr>
            <w:tcW w:w="1368" w:type="dxa"/>
          </w:tcPr>
          <w:p w14:paraId="2CDCC457"/>
        </w:tc>
        <w:tc>
          <w:tcPr>
            <w:tcW w:w="1316" w:type="dxa"/>
          </w:tcPr>
          <w:p w14:paraId="2C651A4B"/>
        </w:tc>
        <w:tc>
          <w:tcPr>
            <w:tcW w:w="2579" w:type="dxa"/>
            <w:vMerge w:val="continue"/>
            <w:tcBorders>
              <w:top w:val="nil"/>
            </w:tcBorders>
          </w:tcPr>
          <w:p w14:paraId="3DAE7D2C"/>
        </w:tc>
        <w:tc>
          <w:tcPr>
            <w:tcW w:w="1499" w:type="dxa"/>
          </w:tcPr>
          <w:p w14:paraId="6A04D739"/>
        </w:tc>
        <w:tc>
          <w:tcPr>
            <w:tcW w:w="1199" w:type="dxa"/>
          </w:tcPr>
          <w:p w14:paraId="56C1A888"/>
        </w:tc>
        <w:tc>
          <w:tcPr>
            <w:tcW w:w="3771" w:type="dxa"/>
            <w:vMerge w:val="continue"/>
            <w:tcBorders>
              <w:top w:val="nil"/>
              <w:bottom w:val="nil"/>
            </w:tcBorders>
          </w:tcPr>
          <w:p w14:paraId="5E6B48CA"/>
        </w:tc>
        <w:tc>
          <w:tcPr>
            <w:tcW w:w="967" w:type="dxa"/>
            <w:vMerge w:val="continue"/>
            <w:tcBorders>
              <w:top w:val="nil"/>
              <w:bottom w:val="nil"/>
              <w:right w:val="nil"/>
            </w:tcBorders>
          </w:tcPr>
          <w:p w14:paraId="54D44FFD"/>
        </w:tc>
      </w:tr>
      <w:tr w14:paraId="76458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401" w:type="dxa"/>
            <w:vMerge w:val="continue"/>
            <w:tcBorders>
              <w:top w:val="nil"/>
              <w:left w:val="nil"/>
              <w:bottom w:val="nil"/>
            </w:tcBorders>
          </w:tcPr>
          <w:p w14:paraId="4FCAF2D6"/>
        </w:tc>
        <w:tc>
          <w:tcPr>
            <w:tcW w:w="1203" w:type="dxa"/>
            <w:vMerge w:val="restart"/>
            <w:tcBorders>
              <w:bottom w:val="nil"/>
            </w:tcBorders>
          </w:tcPr>
          <w:p w14:paraId="37D2CF96">
            <w:pPr>
              <w:spacing w:before="202" w:line="267" w:lineRule="auto"/>
              <w:ind w:left="185" w:right="182" w:firstLine="2"/>
              <w:rPr>
                <w:rFonts w:ascii="宋体" w:hAnsi="宋体" w:eastAsia="宋体" w:cs="宋体"/>
                <w:sz w:val="20"/>
                <w:szCs w:val="20"/>
              </w:rPr>
            </w:pPr>
            <w:r>
              <w:rPr>
                <w:rFonts w:ascii="宋体" w:hAnsi="宋体" w:eastAsia="宋体" w:cs="宋体"/>
                <w:spacing w:val="9"/>
                <w:sz w:val="20"/>
                <w:szCs w:val="20"/>
              </w:rPr>
              <w:t>异</w:t>
            </w:r>
            <w:r>
              <w:rPr>
                <w:rFonts w:ascii="宋体" w:hAnsi="宋体" w:eastAsia="宋体" w:cs="宋体"/>
                <w:spacing w:val="6"/>
                <w:sz w:val="20"/>
                <w:szCs w:val="20"/>
              </w:rPr>
              <w:t>位微生</w:t>
            </w:r>
            <w:r>
              <w:rPr>
                <w:rFonts w:ascii="宋体" w:hAnsi="宋体" w:eastAsia="宋体" w:cs="宋体"/>
                <w:sz w:val="20"/>
                <w:szCs w:val="20"/>
              </w:rPr>
              <w:t xml:space="preserve"> </w:t>
            </w:r>
            <w:r>
              <w:rPr>
                <w:rFonts w:ascii="宋体" w:hAnsi="宋体" w:eastAsia="宋体" w:cs="宋体"/>
                <w:spacing w:val="8"/>
                <w:sz w:val="20"/>
                <w:szCs w:val="20"/>
              </w:rPr>
              <w:t>物</w:t>
            </w:r>
            <w:r>
              <w:rPr>
                <w:rFonts w:ascii="宋体" w:hAnsi="宋体" w:eastAsia="宋体" w:cs="宋体"/>
                <w:spacing w:val="7"/>
                <w:sz w:val="20"/>
                <w:szCs w:val="20"/>
              </w:rPr>
              <w:t>发酵床</w:t>
            </w:r>
          </w:p>
        </w:tc>
        <w:tc>
          <w:tcPr>
            <w:tcW w:w="913" w:type="dxa"/>
          </w:tcPr>
          <w:p w14:paraId="2D729126">
            <w:pPr>
              <w:spacing w:before="162" w:line="228" w:lineRule="auto"/>
              <w:ind w:left="357"/>
              <w:rPr>
                <w:rFonts w:ascii="宋体" w:hAnsi="宋体" w:eastAsia="宋体" w:cs="宋体"/>
                <w:sz w:val="20"/>
                <w:szCs w:val="20"/>
              </w:rPr>
            </w:pPr>
            <w:r>
              <w:rPr>
                <w:rFonts w:ascii="宋体" w:hAnsi="宋体" w:eastAsia="宋体" w:cs="宋体"/>
                <w:sz w:val="20"/>
                <w:szCs w:val="20"/>
              </w:rPr>
              <w:t>氨</w:t>
            </w:r>
          </w:p>
        </w:tc>
        <w:tc>
          <w:tcPr>
            <w:tcW w:w="1368" w:type="dxa"/>
          </w:tcPr>
          <w:p w14:paraId="1F37289D"/>
        </w:tc>
        <w:tc>
          <w:tcPr>
            <w:tcW w:w="1316" w:type="dxa"/>
          </w:tcPr>
          <w:p w14:paraId="221DBF4B"/>
        </w:tc>
        <w:tc>
          <w:tcPr>
            <w:tcW w:w="2579" w:type="dxa"/>
            <w:vMerge w:val="restart"/>
            <w:tcBorders>
              <w:bottom w:val="nil"/>
            </w:tcBorders>
          </w:tcPr>
          <w:p w14:paraId="6A4052D2">
            <w:pPr>
              <w:spacing w:line="272" w:lineRule="auto"/>
            </w:pPr>
          </w:p>
          <w:p w14:paraId="40B6336E">
            <w:pPr>
              <w:spacing w:before="65" w:line="227" w:lineRule="auto"/>
              <w:ind w:left="673"/>
              <w:rPr>
                <w:rFonts w:ascii="宋体" w:hAnsi="宋体" w:eastAsia="宋体" w:cs="宋体"/>
                <w:sz w:val="20"/>
                <w:szCs w:val="20"/>
              </w:rPr>
            </w:pPr>
            <w:r>
              <w:rPr>
                <w:rFonts w:ascii="宋体" w:hAnsi="宋体" w:eastAsia="宋体" w:cs="宋体"/>
                <w:spacing w:val="12"/>
                <w:sz w:val="20"/>
                <w:szCs w:val="20"/>
              </w:rPr>
              <w:t>喷</w:t>
            </w:r>
            <w:r>
              <w:rPr>
                <w:rFonts w:ascii="宋体" w:hAnsi="宋体" w:eastAsia="宋体" w:cs="宋体"/>
                <w:spacing w:val="7"/>
                <w:sz w:val="20"/>
                <w:szCs w:val="20"/>
              </w:rPr>
              <w:t>洒微生物除臭剂</w:t>
            </w:r>
          </w:p>
        </w:tc>
        <w:tc>
          <w:tcPr>
            <w:tcW w:w="1499" w:type="dxa"/>
          </w:tcPr>
          <w:p w14:paraId="28DFE771"/>
        </w:tc>
        <w:tc>
          <w:tcPr>
            <w:tcW w:w="1199" w:type="dxa"/>
          </w:tcPr>
          <w:p w14:paraId="30BEA3C8"/>
        </w:tc>
        <w:tc>
          <w:tcPr>
            <w:tcW w:w="3771" w:type="dxa"/>
            <w:vMerge w:val="continue"/>
            <w:tcBorders>
              <w:top w:val="nil"/>
              <w:bottom w:val="nil"/>
            </w:tcBorders>
          </w:tcPr>
          <w:p w14:paraId="1C9DFF4F"/>
        </w:tc>
        <w:tc>
          <w:tcPr>
            <w:tcW w:w="967" w:type="dxa"/>
            <w:vMerge w:val="continue"/>
            <w:tcBorders>
              <w:top w:val="nil"/>
              <w:bottom w:val="nil"/>
              <w:right w:val="nil"/>
            </w:tcBorders>
          </w:tcPr>
          <w:p w14:paraId="74583065"/>
        </w:tc>
      </w:tr>
      <w:tr w14:paraId="5DB54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401" w:type="dxa"/>
            <w:vMerge w:val="continue"/>
            <w:tcBorders>
              <w:top w:val="nil"/>
              <w:left w:val="nil"/>
              <w:bottom w:val="nil"/>
            </w:tcBorders>
          </w:tcPr>
          <w:p w14:paraId="63D10794"/>
        </w:tc>
        <w:tc>
          <w:tcPr>
            <w:tcW w:w="1203" w:type="dxa"/>
            <w:vMerge w:val="continue"/>
            <w:tcBorders>
              <w:top w:val="nil"/>
            </w:tcBorders>
          </w:tcPr>
          <w:p w14:paraId="651C9E24"/>
        </w:tc>
        <w:tc>
          <w:tcPr>
            <w:tcW w:w="913" w:type="dxa"/>
          </w:tcPr>
          <w:p w14:paraId="15EBC211">
            <w:pPr>
              <w:spacing w:before="72" w:line="229" w:lineRule="auto"/>
              <w:ind w:left="145"/>
              <w:rPr>
                <w:rFonts w:ascii="宋体" w:hAnsi="宋体" w:eastAsia="宋体" w:cs="宋体"/>
                <w:sz w:val="20"/>
                <w:szCs w:val="20"/>
              </w:rPr>
            </w:pPr>
            <w:r>
              <w:rPr>
                <w:rFonts w:ascii="宋体" w:hAnsi="宋体" w:eastAsia="宋体" w:cs="宋体"/>
                <w:spacing w:val="7"/>
                <w:sz w:val="20"/>
                <w:szCs w:val="20"/>
              </w:rPr>
              <w:t>硫化氢</w:t>
            </w:r>
          </w:p>
        </w:tc>
        <w:tc>
          <w:tcPr>
            <w:tcW w:w="1368" w:type="dxa"/>
          </w:tcPr>
          <w:p w14:paraId="1080CABD"/>
        </w:tc>
        <w:tc>
          <w:tcPr>
            <w:tcW w:w="1316" w:type="dxa"/>
          </w:tcPr>
          <w:p w14:paraId="37EE6FDB"/>
        </w:tc>
        <w:tc>
          <w:tcPr>
            <w:tcW w:w="2579" w:type="dxa"/>
            <w:vMerge w:val="continue"/>
            <w:tcBorders>
              <w:top w:val="nil"/>
            </w:tcBorders>
          </w:tcPr>
          <w:p w14:paraId="5145EB11"/>
        </w:tc>
        <w:tc>
          <w:tcPr>
            <w:tcW w:w="1499" w:type="dxa"/>
          </w:tcPr>
          <w:p w14:paraId="0257C219"/>
        </w:tc>
        <w:tc>
          <w:tcPr>
            <w:tcW w:w="1199" w:type="dxa"/>
          </w:tcPr>
          <w:p w14:paraId="7BBDE12A"/>
        </w:tc>
        <w:tc>
          <w:tcPr>
            <w:tcW w:w="3771" w:type="dxa"/>
            <w:vMerge w:val="continue"/>
            <w:tcBorders>
              <w:top w:val="nil"/>
              <w:bottom w:val="nil"/>
            </w:tcBorders>
          </w:tcPr>
          <w:p w14:paraId="3E740F48"/>
        </w:tc>
        <w:tc>
          <w:tcPr>
            <w:tcW w:w="967" w:type="dxa"/>
            <w:vMerge w:val="continue"/>
            <w:tcBorders>
              <w:top w:val="nil"/>
              <w:bottom w:val="nil"/>
              <w:right w:val="nil"/>
            </w:tcBorders>
          </w:tcPr>
          <w:p w14:paraId="057B13DA"/>
        </w:tc>
      </w:tr>
      <w:tr w14:paraId="51419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01" w:type="dxa"/>
            <w:vMerge w:val="continue"/>
            <w:tcBorders>
              <w:top w:val="nil"/>
              <w:left w:val="nil"/>
              <w:bottom w:val="nil"/>
            </w:tcBorders>
          </w:tcPr>
          <w:p w14:paraId="0F277EAF"/>
        </w:tc>
        <w:tc>
          <w:tcPr>
            <w:tcW w:w="1203" w:type="dxa"/>
            <w:vMerge w:val="restart"/>
            <w:tcBorders>
              <w:bottom w:val="nil"/>
            </w:tcBorders>
          </w:tcPr>
          <w:p w14:paraId="7933BE10">
            <w:pPr>
              <w:spacing w:before="70" w:line="255" w:lineRule="auto"/>
              <w:ind w:left="501" w:right="182" w:hanging="316"/>
              <w:rPr>
                <w:rFonts w:ascii="宋体" w:hAnsi="宋体" w:eastAsia="宋体" w:cs="宋体"/>
                <w:sz w:val="20"/>
                <w:szCs w:val="20"/>
              </w:rPr>
            </w:pPr>
            <w:r>
              <w:rPr>
                <w:rFonts w:ascii="宋体" w:hAnsi="宋体" w:eastAsia="宋体" w:cs="宋体"/>
                <w:spacing w:val="8"/>
                <w:sz w:val="20"/>
                <w:szCs w:val="20"/>
              </w:rPr>
              <w:t>猪</w:t>
            </w:r>
            <w:r>
              <w:rPr>
                <w:rFonts w:ascii="宋体" w:hAnsi="宋体" w:eastAsia="宋体" w:cs="宋体"/>
                <w:spacing w:val="7"/>
                <w:sz w:val="20"/>
                <w:szCs w:val="20"/>
              </w:rPr>
              <w:t>粪化粪</w:t>
            </w:r>
            <w:r>
              <w:rPr>
                <w:rFonts w:ascii="宋体" w:hAnsi="宋体" w:eastAsia="宋体" w:cs="宋体"/>
                <w:sz w:val="20"/>
                <w:szCs w:val="20"/>
              </w:rPr>
              <w:t xml:space="preserve"> 池</w:t>
            </w:r>
          </w:p>
        </w:tc>
        <w:tc>
          <w:tcPr>
            <w:tcW w:w="913" w:type="dxa"/>
          </w:tcPr>
          <w:p w14:paraId="510F5862">
            <w:pPr>
              <w:spacing w:before="66" w:line="228" w:lineRule="auto"/>
              <w:ind w:left="460"/>
              <w:rPr>
                <w:rFonts w:ascii="宋体" w:hAnsi="宋体" w:eastAsia="宋体" w:cs="宋体"/>
                <w:sz w:val="20"/>
                <w:szCs w:val="20"/>
              </w:rPr>
            </w:pPr>
            <w:r>
              <w:rPr>
                <w:rFonts w:ascii="宋体" w:hAnsi="宋体" w:eastAsia="宋体" w:cs="宋体"/>
                <w:sz w:val="20"/>
                <w:szCs w:val="20"/>
              </w:rPr>
              <w:t>氨</w:t>
            </w:r>
          </w:p>
        </w:tc>
        <w:tc>
          <w:tcPr>
            <w:tcW w:w="1368" w:type="dxa"/>
          </w:tcPr>
          <w:p w14:paraId="54BE8915"/>
        </w:tc>
        <w:tc>
          <w:tcPr>
            <w:tcW w:w="1316" w:type="dxa"/>
          </w:tcPr>
          <w:p w14:paraId="2C9DD088"/>
        </w:tc>
        <w:tc>
          <w:tcPr>
            <w:tcW w:w="2579" w:type="dxa"/>
            <w:vMerge w:val="restart"/>
            <w:tcBorders>
              <w:bottom w:val="nil"/>
            </w:tcBorders>
          </w:tcPr>
          <w:p w14:paraId="3D55CC72">
            <w:pPr>
              <w:spacing w:before="207" w:line="231" w:lineRule="auto"/>
              <w:ind w:left="666"/>
              <w:rPr>
                <w:rFonts w:ascii="宋体" w:hAnsi="宋体" w:eastAsia="宋体" w:cs="宋体"/>
                <w:sz w:val="20"/>
                <w:szCs w:val="20"/>
              </w:rPr>
            </w:pPr>
            <w:r>
              <w:rPr>
                <w:rFonts w:ascii="宋体" w:hAnsi="宋体" w:eastAsia="宋体" w:cs="宋体"/>
                <w:spacing w:val="12"/>
                <w:sz w:val="20"/>
                <w:szCs w:val="20"/>
              </w:rPr>
              <w:t>密</w:t>
            </w:r>
            <w:r>
              <w:rPr>
                <w:rFonts w:ascii="宋体" w:hAnsi="宋体" w:eastAsia="宋体" w:cs="宋体"/>
                <w:spacing w:val="8"/>
                <w:sz w:val="20"/>
                <w:szCs w:val="20"/>
              </w:rPr>
              <w:t>闭，喷洒除臭剂</w:t>
            </w:r>
          </w:p>
        </w:tc>
        <w:tc>
          <w:tcPr>
            <w:tcW w:w="1499" w:type="dxa"/>
          </w:tcPr>
          <w:p w14:paraId="1F90FF7E"/>
        </w:tc>
        <w:tc>
          <w:tcPr>
            <w:tcW w:w="1199" w:type="dxa"/>
          </w:tcPr>
          <w:p w14:paraId="18A64298"/>
        </w:tc>
        <w:tc>
          <w:tcPr>
            <w:tcW w:w="3771" w:type="dxa"/>
            <w:vMerge w:val="continue"/>
            <w:tcBorders>
              <w:top w:val="nil"/>
              <w:bottom w:val="nil"/>
            </w:tcBorders>
          </w:tcPr>
          <w:p w14:paraId="3D556F13"/>
        </w:tc>
        <w:tc>
          <w:tcPr>
            <w:tcW w:w="967" w:type="dxa"/>
            <w:vMerge w:val="continue"/>
            <w:tcBorders>
              <w:top w:val="nil"/>
              <w:bottom w:val="nil"/>
              <w:right w:val="nil"/>
            </w:tcBorders>
          </w:tcPr>
          <w:p w14:paraId="11930C0A"/>
        </w:tc>
      </w:tr>
      <w:tr w14:paraId="7D7307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401" w:type="dxa"/>
            <w:vMerge w:val="continue"/>
            <w:tcBorders>
              <w:top w:val="nil"/>
              <w:left w:val="nil"/>
              <w:bottom w:val="nil"/>
            </w:tcBorders>
          </w:tcPr>
          <w:p w14:paraId="5B5E13DE"/>
        </w:tc>
        <w:tc>
          <w:tcPr>
            <w:tcW w:w="1203" w:type="dxa"/>
            <w:vMerge w:val="continue"/>
            <w:tcBorders>
              <w:top w:val="nil"/>
            </w:tcBorders>
          </w:tcPr>
          <w:p w14:paraId="432D1958"/>
        </w:tc>
        <w:tc>
          <w:tcPr>
            <w:tcW w:w="913" w:type="dxa"/>
          </w:tcPr>
          <w:p w14:paraId="34321BD0">
            <w:pPr>
              <w:spacing w:before="35" w:line="224" w:lineRule="auto"/>
              <w:ind w:left="145"/>
              <w:rPr>
                <w:rFonts w:ascii="宋体" w:hAnsi="宋体" w:eastAsia="宋体" w:cs="宋体"/>
                <w:sz w:val="20"/>
                <w:szCs w:val="20"/>
              </w:rPr>
            </w:pPr>
            <w:r>
              <w:rPr>
                <w:rFonts w:ascii="宋体" w:hAnsi="宋体" w:eastAsia="宋体" w:cs="宋体"/>
                <w:spacing w:val="7"/>
                <w:sz w:val="20"/>
                <w:szCs w:val="20"/>
              </w:rPr>
              <w:t>硫化氢</w:t>
            </w:r>
          </w:p>
        </w:tc>
        <w:tc>
          <w:tcPr>
            <w:tcW w:w="1368" w:type="dxa"/>
          </w:tcPr>
          <w:p w14:paraId="0161C20C"/>
        </w:tc>
        <w:tc>
          <w:tcPr>
            <w:tcW w:w="1316" w:type="dxa"/>
          </w:tcPr>
          <w:p w14:paraId="1E5E04C7"/>
        </w:tc>
        <w:tc>
          <w:tcPr>
            <w:tcW w:w="2579" w:type="dxa"/>
            <w:vMerge w:val="continue"/>
            <w:tcBorders>
              <w:top w:val="nil"/>
            </w:tcBorders>
          </w:tcPr>
          <w:p w14:paraId="17EA0589"/>
        </w:tc>
        <w:tc>
          <w:tcPr>
            <w:tcW w:w="1499" w:type="dxa"/>
          </w:tcPr>
          <w:p w14:paraId="07E32370"/>
        </w:tc>
        <w:tc>
          <w:tcPr>
            <w:tcW w:w="1199" w:type="dxa"/>
          </w:tcPr>
          <w:p w14:paraId="2FD34689"/>
        </w:tc>
        <w:tc>
          <w:tcPr>
            <w:tcW w:w="3771" w:type="dxa"/>
            <w:vMerge w:val="continue"/>
            <w:tcBorders>
              <w:top w:val="nil"/>
            </w:tcBorders>
          </w:tcPr>
          <w:p w14:paraId="5745B27F"/>
        </w:tc>
        <w:tc>
          <w:tcPr>
            <w:tcW w:w="967" w:type="dxa"/>
            <w:vMerge w:val="continue"/>
            <w:tcBorders>
              <w:top w:val="nil"/>
              <w:right w:val="nil"/>
            </w:tcBorders>
          </w:tcPr>
          <w:p w14:paraId="27DDA797"/>
        </w:tc>
      </w:tr>
      <w:tr w14:paraId="62E6DC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401" w:type="dxa"/>
            <w:vMerge w:val="continue"/>
            <w:tcBorders>
              <w:top w:val="nil"/>
              <w:left w:val="nil"/>
            </w:tcBorders>
          </w:tcPr>
          <w:p w14:paraId="40FF02F0"/>
        </w:tc>
        <w:tc>
          <w:tcPr>
            <w:tcW w:w="1203" w:type="dxa"/>
          </w:tcPr>
          <w:p w14:paraId="12208556">
            <w:pPr>
              <w:spacing w:before="304" w:line="228" w:lineRule="auto"/>
              <w:ind w:left="396"/>
              <w:rPr>
                <w:rFonts w:ascii="宋体" w:hAnsi="宋体" w:eastAsia="宋体" w:cs="宋体"/>
                <w:sz w:val="20"/>
                <w:szCs w:val="20"/>
              </w:rPr>
            </w:pPr>
            <w:r>
              <w:rPr>
                <w:rFonts w:ascii="宋体" w:hAnsi="宋体" w:eastAsia="宋体" w:cs="宋体"/>
                <w:spacing w:val="5"/>
                <w:sz w:val="20"/>
                <w:szCs w:val="20"/>
              </w:rPr>
              <w:t>食</w:t>
            </w:r>
            <w:r>
              <w:rPr>
                <w:rFonts w:ascii="宋体" w:hAnsi="宋体" w:eastAsia="宋体" w:cs="宋体"/>
                <w:spacing w:val="4"/>
                <w:sz w:val="20"/>
                <w:szCs w:val="20"/>
              </w:rPr>
              <w:t>堂</w:t>
            </w:r>
          </w:p>
        </w:tc>
        <w:tc>
          <w:tcPr>
            <w:tcW w:w="913" w:type="dxa"/>
          </w:tcPr>
          <w:p w14:paraId="04A7E70C">
            <w:pPr>
              <w:spacing w:before="304" w:line="229" w:lineRule="auto"/>
              <w:ind w:left="255"/>
              <w:rPr>
                <w:rFonts w:ascii="宋体" w:hAnsi="宋体" w:eastAsia="宋体" w:cs="宋体"/>
                <w:sz w:val="20"/>
                <w:szCs w:val="20"/>
              </w:rPr>
            </w:pPr>
            <w:r>
              <w:rPr>
                <w:rFonts w:ascii="宋体" w:hAnsi="宋体" w:eastAsia="宋体" w:cs="宋体"/>
                <w:spacing w:val="3"/>
                <w:sz w:val="20"/>
                <w:szCs w:val="20"/>
              </w:rPr>
              <w:t>油烟</w:t>
            </w:r>
          </w:p>
        </w:tc>
        <w:tc>
          <w:tcPr>
            <w:tcW w:w="1368" w:type="dxa"/>
          </w:tcPr>
          <w:p w14:paraId="385770AE"/>
        </w:tc>
        <w:tc>
          <w:tcPr>
            <w:tcW w:w="1316" w:type="dxa"/>
          </w:tcPr>
          <w:p w14:paraId="0D8A9B54"/>
        </w:tc>
        <w:tc>
          <w:tcPr>
            <w:tcW w:w="2579" w:type="dxa"/>
          </w:tcPr>
          <w:p w14:paraId="1975B05F">
            <w:pPr>
              <w:spacing w:before="304" w:line="228" w:lineRule="auto"/>
              <w:ind w:left="771"/>
              <w:rPr>
                <w:rFonts w:ascii="宋体" w:hAnsi="宋体" w:eastAsia="宋体" w:cs="宋体"/>
                <w:sz w:val="20"/>
                <w:szCs w:val="20"/>
              </w:rPr>
            </w:pPr>
            <w:r>
              <w:rPr>
                <w:rFonts w:ascii="宋体" w:hAnsi="宋体" w:eastAsia="宋体" w:cs="宋体"/>
                <w:spacing w:val="9"/>
                <w:sz w:val="20"/>
                <w:szCs w:val="20"/>
              </w:rPr>
              <w:t>油</w:t>
            </w:r>
            <w:r>
              <w:rPr>
                <w:rFonts w:ascii="宋体" w:hAnsi="宋体" w:eastAsia="宋体" w:cs="宋体"/>
                <w:spacing w:val="8"/>
                <w:sz w:val="20"/>
                <w:szCs w:val="20"/>
              </w:rPr>
              <w:t>烟净化器处理</w:t>
            </w:r>
          </w:p>
        </w:tc>
        <w:tc>
          <w:tcPr>
            <w:tcW w:w="1499" w:type="dxa"/>
          </w:tcPr>
          <w:p w14:paraId="52FBF198"/>
        </w:tc>
        <w:tc>
          <w:tcPr>
            <w:tcW w:w="1199" w:type="dxa"/>
          </w:tcPr>
          <w:p w14:paraId="26704031"/>
        </w:tc>
        <w:tc>
          <w:tcPr>
            <w:tcW w:w="3771" w:type="dxa"/>
          </w:tcPr>
          <w:p w14:paraId="3B5B67D3">
            <w:pPr>
              <w:spacing w:before="32" w:line="228" w:lineRule="auto"/>
              <w:ind w:left="114"/>
              <w:rPr>
                <w:rFonts w:ascii="宋体" w:hAnsi="宋体" w:eastAsia="宋体" w:cs="宋体"/>
                <w:sz w:val="20"/>
                <w:szCs w:val="20"/>
              </w:rPr>
            </w:pPr>
            <w:r>
              <w:rPr>
                <w:rFonts w:ascii="宋体" w:hAnsi="宋体" w:eastAsia="宋体" w:cs="宋体"/>
                <w:spacing w:val="9"/>
                <w:sz w:val="20"/>
                <w:szCs w:val="20"/>
              </w:rPr>
              <w:t>满足《饮食业油烟排放标准 (试行) 》</w:t>
            </w:r>
          </w:p>
          <w:p w14:paraId="3CAAE331">
            <w:pPr>
              <w:spacing w:before="25" w:line="238" w:lineRule="auto"/>
              <w:ind w:left="1123" w:right="105" w:hanging="999"/>
              <w:rPr>
                <w:rFonts w:ascii="宋体" w:hAnsi="宋体" w:eastAsia="宋体" w:cs="宋体"/>
                <w:sz w:val="20"/>
                <w:szCs w:val="20"/>
              </w:rPr>
            </w:pPr>
            <w:r>
              <w:rPr>
                <w:rFonts w:ascii="宋体" w:hAnsi="宋体" w:eastAsia="宋体" w:cs="宋体"/>
                <w:spacing w:val="16"/>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15"/>
                <w:sz w:val="20"/>
                <w:szCs w:val="20"/>
              </w:rPr>
              <w:t>1</w:t>
            </w:r>
            <w:r>
              <w:rPr>
                <w:rFonts w:ascii="Times New Roman" w:hAnsi="Times New Roman" w:eastAsia="Times New Roman" w:cs="Times New Roman"/>
                <w:spacing w:val="8"/>
                <w:sz w:val="20"/>
                <w:szCs w:val="20"/>
              </w:rPr>
              <w:t>8483-2001</w:t>
            </w:r>
            <w:r>
              <w:rPr>
                <w:rFonts w:ascii="宋体" w:hAnsi="宋体" w:eastAsia="宋体" w:cs="宋体"/>
                <w:spacing w:val="8"/>
                <w:sz w:val="20"/>
                <w:szCs w:val="20"/>
              </w:rPr>
              <w:t>) 最高允许排放浓度浓</w:t>
            </w:r>
            <w:r>
              <w:rPr>
                <w:rFonts w:ascii="宋体" w:hAnsi="宋体" w:eastAsia="宋体" w:cs="宋体"/>
                <w:sz w:val="20"/>
                <w:szCs w:val="20"/>
              </w:rPr>
              <w:t xml:space="preserve"> </w:t>
            </w:r>
            <w:r>
              <w:rPr>
                <w:rFonts w:ascii="宋体" w:hAnsi="宋体" w:eastAsia="宋体" w:cs="宋体"/>
                <w:spacing w:val="2"/>
                <w:sz w:val="20"/>
                <w:szCs w:val="20"/>
              </w:rPr>
              <w:t xml:space="preserve">度 </w:t>
            </w:r>
            <w:r>
              <w:rPr>
                <w:rFonts w:ascii="Times New Roman" w:hAnsi="Times New Roman" w:eastAsia="Times New Roman" w:cs="Times New Roman"/>
                <w:spacing w:val="1"/>
                <w:sz w:val="20"/>
                <w:szCs w:val="20"/>
              </w:rPr>
              <w:t>2.0</w:t>
            </w:r>
            <w:r>
              <w:rPr>
                <w:rFonts w:ascii="Times New Roman" w:hAnsi="Times New Roman" w:eastAsia="Times New Roman" w:cs="Times New Roman"/>
                <w:sz w:val="20"/>
                <w:szCs w:val="20"/>
              </w:rPr>
              <w:t>mg</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m</w:t>
            </w:r>
            <w:r>
              <w:rPr>
                <w:rFonts w:ascii="Times New Roman" w:hAnsi="Times New Roman" w:eastAsia="Times New Roman" w:cs="Times New Roman"/>
                <w:spacing w:val="1"/>
                <w:position w:val="6"/>
                <w:sz w:val="13"/>
                <w:szCs w:val="13"/>
              </w:rPr>
              <w:t xml:space="preserve">3 </w:t>
            </w:r>
            <w:r>
              <w:rPr>
                <w:rFonts w:ascii="宋体" w:hAnsi="宋体" w:eastAsia="宋体" w:cs="宋体"/>
                <w:spacing w:val="1"/>
                <w:sz w:val="20"/>
                <w:szCs w:val="20"/>
              </w:rPr>
              <w:t>要求</w:t>
            </w:r>
          </w:p>
        </w:tc>
        <w:tc>
          <w:tcPr>
            <w:tcW w:w="967" w:type="dxa"/>
            <w:tcBorders>
              <w:right w:val="nil"/>
            </w:tcBorders>
          </w:tcPr>
          <w:p w14:paraId="02DAAAF7">
            <w:pPr>
              <w:spacing w:before="169" w:line="272" w:lineRule="exact"/>
              <w:ind w:left="129"/>
              <w:rPr>
                <w:rFonts w:ascii="宋体" w:hAnsi="宋体" w:eastAsia="宋体" w:cs="宋体"/>
                <w:sz w:val="20"/>
                <w:szCs w:val="20"/>
              </w:rPr>
            </w:pPr>
            <w:r>
              <w:rPr>
                <w:rFonts w:ascii="宋体" w:hAnsi="宋体" w:eastAsia="宋体" w:cs="宋体"/>
                <w:spacing w:val="-4"/>
                <w:position w:val="4"/>
                <w:sz w:val="20"/>
                <w:szCs w:val="20"/>
              </w:rPr>
              <w:t>间</w:t>
            </w:r>
            <w:r>
              <w:rPr>
                <w:rFonts w:ascii="宋体" w:hAnsi="宋体" w:eastAsia="宋体" w:cs="宋体"/>
                <w:spacing w:val="-3"/>
                <w:position w:val="4"/>
                <w:sz w:val="20"/>
                <w:szCs w:val="20"/>
              </w:rPr>
              <w:t>歇</w:t>
            </w:r>
          </w:p>
          <w:p w14:paraId="19DD893E">
            <w:pPr>
              <w:spacing w:line="229" w:lineRule="auto"/>
              <w:ind w:left="113"/>
              <w:rPr>
                <w:rFonts w:ascii="宋体" w:hAnsi="宋体" w:eastAsia="宋体" w:cs="宋体"/>
                <w:sz w:val="20"/>
                <w:szCs w:val="20"/>
              </w:rPr>
            </w:pPr>
            <w:r>
              <w:rPr>
                <w:rFonts w:ascii="宋体" w:hAnsi="宋体" w:eastAsia="宋体" w:cs="宋体"/>
                <w:spacing w:val="5"/>
                <w:sz w:val="20"/>
                <w:szCs w:val="20"/>
              </w:rPr>
              <w:t>排</w:t>
            </w:r>
            <w:r>
              <w:rPr>
                <w:rFonts w:ascii="宋体" w:hAnsi="宋体" w:eastAsia="宋体" w:cs="宋体"/>
                <w:spacing w:val="4"/>
                <w:sz w:val="20"/>
                <w:szCs w:val="20"/>
              </w:rPr>
              <w:t>放</w:t>
            </w:r>
          </w:p>
        </w:tc>
      </w:tr>
      <w:tr w14:paraId="0E62B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401" w:type="dxa"/>
            <w:vMerge w:val="restart"/>
            <w:tcBorders>
              <w:left w:val="nil"/>
              <w:bottom w:val="nil"/>
            </w:tcBorders>
          </w:tcPr>
          <w:p w14:paraId="4D9C7417">
            <w:pPr>
              <w:spacing w:line="251" w:lineRule="auto"/>
            </w:pPr>
          </w:p>
          <w:p w14:paraId="061E8554">
            <w:pPr>
              <w:spacing w:line="251" w:lineRule="auto"/>
            </w:pPr>
          </w:p>
          <w:p w14:paraId="5BED9B5D">
            <w:pPr>
              <w:spacing w:line="251" w:lineRule="auto"/>
            </w:pPr>
          </w:p>
          <w:p w14:paraId="456E334C">
            <w:pPr>
              <w:spacing w:line="251" w:lineRule="auto"/>
            </w:pPr>
          </w:p>
          <w:p w14:paraId="2FB2D5C2">
            <w:pPr>
              <w:spacing w:line="252" w:lineRule="auto"/>
            </w:pPr>
          </w:p>
          <w:p w14:paraId="7ABF4392">
            <w:pPr>
              <w:spacing w:line="252" w:lineRule="auto"/>
            </w:pPr>
          </w:p>
          <w:p w14:paraId="16903EEA">
            <w:pPr>
              <w:spacing w:before="65" w:line="228" w:lineRule="auto"/>
              <w:ind w:left="118"/>
              <w:rPr>
                <w:rFonts w:ascii="宋体" w:hAnsi="宋体" w:eastAsia="宋体" w:cs="宋体"/>
                <w:sz w:val="20"/>
                <w:szCs w:val="20"/>
              </w:rPr>
            </w:pPr>
            <w:r>
              <w:rPr>
                <w:rFonts w:ascii="宋体" w:hAnsi="宋体" w:eastAsia="宋体" w:cs="宋体"/>
                <w:sz w:val="20"/>
                <w:szCs w:val="20"/>
              </w:rPr>
              <w:t>水</w:t>
            </w:r>
          </w:p>
        </w:tc>
        <w:tc>
          <w:tcPr>
            <w:tcW w:w="1203" w:type="dxa"/>
            <w:vMerge w:val="restart"/>
            <w:tcBorders>
              <w:bottom w:val="nil"/>
            </w:tcBorders>
          </w:tcPr>
          <w:p w14:paraId="36CA48B0">
            <w:pPr>
              <w:spacing w:line="304" w:lineRule="auto"/>
            </w:pPr>
          </w:p>
          <w:p w14:paraId="09534BD4">
            <w:pPr>
              <w:spacing w:line="305" w:lineRule="auto"/>
            </w:pPr>
          </w:p>
          <w:p w14:paraId="5B90A6DB">
            <w:pPr>
              <w:spacing w:before="65" w:line="228" w:lineRule="auto"/>
              <w:ind w:left="186"/>
              <w:rPr>
                <w:rFonts w:ascii="宋体" w:hAnsi="宋体" w:eastAsia="宋体" w:cs="宋体"/>
                <w:sz w:val="20"/>
                <w:szCs w:val="20"/>
              </w:rPr>
            </w:pPr>
            <w:r>
              <w:rPr>
                <w:rFonts w:ascii="宋体" w:hAnsi="宋体" w:eastAsia="宋体" w:cs="宋体"/>
                <w:spacing w:val="7"/>
                <w:sz w:val="20"/>
                <w:szCs w:val="20"/>
              </w:rPr>
              <w:t>养殖废水</w:t>
            </w:r>
          </w:p>
        </w:tc>
        <w:tc>
          <w:tcPr>
            <w:tcW w:w="913" w:type="dxa"/>
          </w:tcPr>
          <w:p w14:paraId="575E0B28">
            <w:pPr>
              <w:spacing w:before="49" w:line="228" w:lineRule="auto"/>
              <w:ind w:left="111"/>
              <w:rPr>
                <w:rFonts w:ascii="宋体" w:hAnsi="宋体" w:eastAsia="宋体" w:cs="宋体"/>
                <w:sz w:val="20"/>
                <w:szCs w:val="20"/>
              </w:rPr>
            </w:pPr>
            <w:r>
              <w:rPr>
                <w:rFonts w:ascii="宋体" w:hAnsi="宋体" w:eastAsia="宋体" w:cs="宋体"/>
                <w:spacing w:val="7"/>
                <w:sz w:val="20"/>
                <w:szCs w:val="20"/>
              </w:rPr>
              <w:t>废水量</w:t>
            </w:r>
          </w:p>
        </w:tc>
        <w:tc>
          <w:tcPr>
            <w:tcW w:w="2684" w:type="dxa"/>
            <w:gridSpan w:val="2"/>
          </w:tcPr>
          <w:p w14:paraId="4DDED113"/>
        </w:tc>
        <w:tc>
          <w:tcPr>
            <w:tcW w:w="2579" w:type="dxa"/>
            <w:vMerge w:val="restart"/>
            <w:tcBorders>
              <w:bottom w:val="nil"/>
            </w:tcBorders>
          </w:tcPr>
          <w:p w14:paraId="7807B40B">
            <w:pPr>
              <w:spacing w:before="267" w:line="227" w:lineRule="auto"/>
              <w:ind w:left="144"/>
              <w:rPr>
                <w:rFonts w:ascii="宋体" w:hAnsi="宋体" w:eastAsia="宋体" w:cs="宋体"/>
                <w:sz w:val="20"/>
                <w:szCs w:val="20"/>
              </w:rPr>
            </w:pPr>
            <w:r>
              <w:rPr>
                <w:rFonts w:ascii="宋体" w:hAnsi="宋体" w:eastAsia="宋体" w:cs="宋体"/>
                <w:spacing w:val="14"/>
                <w:sz w:val="20"/>
                <w:szCs w:val="20"/>
              </w:rPr>
              <w:t>外</w:t>
            </w:r>
            <w:r>
              <w:rPr>
                <w:rFonts w:ascii="宋体" w:hAnsi="宋体" w:eastAsia="宋体" w:cs="宋体"/>
                <w:spacing w:val="8"/>
                <w:sz w:val="20"/>
                <w:szCs w:val="20"/>
              </w:rPr>
              <w:t>委给乐山乐高勤力生物</w:t>
            </w:r>
          </w:p>
          <w:p w14:paraId="5A930AA6">
            <w:pPr>
              <w:spacing w:before="28" w:line="228" w:lineRule="auto"/>
              <w:ind w:left="140"/>
              <w:rPr>
                <w:rFonts w:ascii="宋体" w:hAnsi="宋体" w:eastAsia="宋体" w:cs="宋体"/>
                <w:sz w:val="20"/>
                <w:szCs w:val="20"/>
              </w:rPr>
            </w:pPr>
            <w:r>
              <w:rPr>
                <w:rFonts w:ascii="宋体" w:hAnsi="宋体" w:eastAsia="宋体" w:cs="宋体"/>
                <w:spacing w:val="9"/>
                <w:sz w:val="20"/>
                <w:szCs w:val="20"/>
              </w:rPr>
              <w:t>质能源综合利用有限公司</w:t>
            </w:r>
          </w:p>
          <w:p w14:paraId="560C577F">
            <w:pPr>
              <w:spacing w:before="23" w:line="228" w:lineRule="auto"/>
              <w:ind w:left="139"/>
              <w:rPr>
                <w:rFonts w:ascii="宋体" w:hAnsi="宋体" w:eastAsia="宋体" w:cs="宋体"/>
                <w:sz w:val="20"/>
                <w:szCs w:val="20"/>
              </w:rPr>
            </w:pPr>
            <w:r>
              <w:rPr>
                <w:rFonts w:ascii="宋体" w:hAnsi="宋体" w:eastAsia="宋体" w:cs="宋体"/>
                <w:spacing w:val="10"/>
                <w:sz w:val="20"/>
                <w:szCs w:val="20"/>
              </w:rPr>
              <w:t>集</w:t>
            </w:r>
            <w:r>
              <w:rPr>
                <w:rFonts w:ascii="宋体" w:hAnsi="宋体" w:eastAsia="宋体" w:cs="宋体"/>
                <w:spacing w:val="9"/>
                <w:sz w:val="20"/>
                <w:szCs w:val="20"/>
              </w:rPr>
              <w:t>中处置或经厂区异位微</w:t>
            </w:r>
          </w:p>
          <w:p w14:paraId="32859122">
            <w:pPr>
              <w:spacing w:before="26" w:line="228" w:lineRule="auto"/>
              <w:ind w:left="561"/>
              <w:rPr>
                <w:rFonts w:ascii="宋体" w:hAnsi="宋体" w:eastAsia="宋体" w:cs="宋体"/>
                <w:sz w:val="20"/>
                <w:szCs w:val="20"/>
              </w:rPr>
            </w:pPr>
            <w:r>
              <w:rPr>
                <w:rFonts w:ascii="宋体" w:hAnsi="宋体" w:eastAsia="宋体" w:cs="宋体"/>
                <w:spacing w:val="11"/>
                <w:sz w:val="20"/>
                <w:szCs w:val="20"/>
              </w:rPr>
              <w:t>生</w:t>
            </w:r>
            <w:r>
              <w:rPr>
                <w:rFonts w:ascii="宋体" w:hAnsi="宋体" w:eastAsia="宋体" w:cs="宋体"/>
                <w:spacing w:val="8"/>
                <w:sz w:val="20"/>
                <w:szCs w:val="20"/>
              </w:rPr>
              <w:t>物发酵床处理</w:t>
            </w:r>
          </w:p>
        </w:tc>
        <w:tc>
          <w:tcPr>
            <w:tcW w:w="2698" w:type="dxa"/>
            <w:gridSpan w:val="2"/>
          </w:tcPr>
          <w:p w14:paraId="491D91B4"/>
        </w:tc>
        <w:tc>
          <w:tcPr>
            <w:tcW w:w="3771" w:type="dxa"/>
            <w:vMerge w:val="restart"/>
            <w:tcBorders>
              <w:bottom w:val="nil"/>
            </w:tcBorders>
          </w:tcPr>
          <w:p w14:paraId="0E6B83C1">
            <w:pPr>
              <w:spacing w:line="274" w:lineRule="auto"/>
            </w:pPr>
          </w:p>
          <w:p w14:paraId="4DAA4307">
            <w:pPr>
              <w:spacing w:line="274" w:lineRule="auto"/>
            </w:pPr>
          </w:p>
          <w:p w14:paraId="17DA3B10">
            <w:pPr>
              <w:spacing w:line="274" w:lineRule="auto"/>
            </w:pPr>
          </w:p>
          <w:p w14:paraId="2A188E49">
            <w:pPr>
              <w:spacing w:line="275" w:lineRule="auto"/>
            </w:pPr>
          </w:p>
          <w:p w14:paraId="0B174636">
            <w:pPr>
              <w:spacing w:line="275" w:lineRule="auto"/>
            </w:pPr>
          </w:p>
          <w:p w14:paraId="16ED483B">
            <w:pPr>
              <w:spacing w:before="65" w:line="228" w:lineRule="auto"/>
              <w:ind w:left="1367"/>
              <w:rPr>
                <w:rFonts w:ascii="宋体" w:hAnsi="宋体" w:eastAsia="宋体" w:cs="宋体"/>
                <w:sz w:val="20"/>
                <w:szCs w:val="20"/>
              </w:rPr>
            </w:pPr>
            <w:r>
              <w:rPr>
                <w:rFonts w:ascii="宋体" w:hAnsi="宋体" w:eastAsia="宋体" w:cs="宋体"/>
                <w:spacing w:val="9"/>
                <w:sz w:val="20"/>
                <w:szCs w:val="20"/>
              </w:rPr>
              <w:t>项</w:t>
            </w:r>
            <w:r>
              <w:rPr>
                <w:rFonts w:ascii="宋体" w:hAnsi="宋体" w:eastAsia="宋体" w:cs="宋体"/>
                <w:spacing w:val="8"/>
                <w:sz w:val="20"/>
                <w:szCs w:val="20"/>
              </w:rPr>
              <w:t>目废水不排放</w:t>
            </w:r>
          </w:p>
        </w:tc>
        <w:tc>
          <w:tcPr>
            <w:tcW w:w="967" w:type="dxa"/>
            <w:vMerge w:val="restart"/>
            <w:tcBorders>
              <w:bottom w:val="nil"/>
              <w:right w:val="nil"/>
            </w:tcBorders>
          </w:tcPr>
          <w:p w14:paraId="27F8C545">
            <w:pPr>
              <w:spacing w:line="274" w:lineRule="auto"/>
            </w:pPr>
          </w:p>
          <w:p w14:paraId="0DB4A6A3">
            <w:pPr>
              <w:spacing w:line="274" w:lineRule="auto"/>
            </w:pPr>
          </w:p>
          <w:p w14:paraId="66696207">
            <w:pPr>
              <w:spacing w:line="274" w:lineRule="auto"/>
            </w:pPr>
          </w:p>
          <w:p w14:paraId="73E283D3">
            <w:pPr>
              <w:spacing w:line="275" w:lineRule="auto"/>
            </w:pPr>
          </w:p>
          <w:p w14:paraId="53E83B53">
            <w:pPr>
              <w:spacing w:line="275" w:lineRule="auto"/>
            </w:pPr>
          </w:p>
          <w:p w14:paraId="0F38BACB">
            <w:pPr>
              <w:spacing w:before="65" w:line="229" w:lineRule="auto"/>
              <w:ind w:left="116"/>
              <w:rPr>
                <w:rFonts w:ascii="宋体" w:hAnsi="宋体" w:eastAsia="宋体" w:cs="宋体"/>
                <w:sz w:val="20"/>
                <w:szCs w:val="20"/>
              </w:rPr>
            </w:pPr>
            <w:r>
              <w:rPr>
                <w:rFonts w:ascii="宋体" w:hAnsi="宋体" w:eastAsia="宋体" w:cs="宋体"/>
                <w:spacing w:val="6"/>
                <w:sz w:val="20"/>
                <w:szCs w:val="20"/>
              </w:rPr>
              <w:t>不排</w:t>
            </w:r>
            <w:r>
              <w:rPr>
                <w:rFonts w:ascii="宋体" w:hAnsi="宋体" w:eastAsia="宋体" w:cs="宋体"/>
                <w:spacing w:val="5"/>
                <w:sz w:val="20"/>
                <w:szCs w:val="20"/>
              </w:rPr>
              <w:t>放</w:t>
            </w:r>
          </w:p>
        </w:tc>
      </w:tr>
      <w:tr w14:paraId="568A0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401" w:type="dxa"/>
            <w:vMerge w:val="continue"/>
            <w:tcBorders>
              <w:top w:val="nil"/>
              <w:left w:val="nil"/>
              <w:bottom w:val="nil"/>
            </w:tcBorders>
          </w:tcPr>
          <w:p w14:paraId="7C0D3FAD"/>
        </w:tc>
        <w:tc>
          <w:tcPr>
            <w:tcW w:w="1203" w:type="dxa"/>
            <w:vMerge w:val="continue"/>
            <w:tcBorders>
              <w:top w:val="nil"/>
              <w:bottom w:val="nil"/>
            </w:tcBorders>
          </w:tcPr>
          <w:p w14:paraId="2350CD6E"/>
        </w:tc>
        <w:tc>
          <w:tcPr>
            <w:tcW w:w="913" w:type="dxa"/>
          </w:tcPr>
          <w:p w14:paraId="6DE5B8EB">
            <w:pPr>
              <w:spacing w:before="54" w:line="200" w:lineRule="auto"/>
              <w:ind w:left="112"/>
              <w:rPr>
                <w:rFonts w:ascii="Times New Roman" w:hAnsi="Times New Roman" w:eastAsia="Times New Roman" w:cs="Times New Roman"/>
                <w:sz w:val="13"/>
                <w:szCs w:val="13"/>
              </w:rPr>
            </w:pPr>
            <w:r>
              <w:rPr>
                <w:rFonts w:ascii="Times New Roman" w:hAnsi="Times New Roman" w:eastAsia="Times New Roman" w:cs="Times New Roman"/>
                <w:spacing w:val="5"/>
                <w:sz w:val="20"/>
                <w:szCs w:val="20"/>
              </w:rPr>
              <w:t>C</w:t>
            </w:r>
            <w:r>
              <w:rPr>
                <w:rFonts w:ascii="Times New Roman" w:hAnsi="Times New Roman" w:eastAsia="Times New Roman" w:cs="Times New Roman"/>
                <w:spacing w:val="4"/>
                <w:sz w:val="20"/>
                <w:szCs w:val="20"/>
              </w:rPr>
              <w:t>OD</w:t>
            </w:r>
            <w:r>
              <w:rPr>
                <w:rFonts w:ascii="Times New Roman" w:hAnsi="Times New Roman" w:eastAsia="Times New Roman" w:cs="Times New Roman"/>
                <w:spacing w:val="4"/>
                <w:position w:val="-1"/>
                <w:sz w:val="13"/>
                <w:szCs w:val="13"/>
              </w:rPr>
              <w:t>Cr</w:t>
            </w:r>
          </w:p>
        </w:tc>
        <w:tc>
          <w:tcPr>
            <w:tcW w:w="1368" w:type="dxa"/>
          </w:tcPr>
          <w:p w14:paraId="20F405E9"/>
        </w:tc>
        <w:tc>
          <w:tcPr>
            <w:tcW w:w="1316" w:type="dxa"/>
          </w:tcPr>
          <w:p w14:paraId="4C937CE8"/>
        </w:tc>
        <w:tc>
          <w:tcPr>
            <w:tcW w:w="2579" w:type="dxa"/>
            <w:vMerge w:val="continue"/>
            <w:tcBorders>
              <w:top w:val="nil"/>
              <w:bottom w:val="nil"/>
            </w:tcBorders>
          </w:tcPr>
          <w:p w14:paraId="512BB223"/>
        </w:tc>
        <w:tc>
          <w:tcPr>
            <w:tcW w:w="1499" w:type="dxa"/>
          </w:tcPr>
          <w:p w14:paraId="145DCB19"/>
        </w:tc>
        <w:tc>
          <w:tcPr>
            <w:tcW w:w="1199" w:type="dxa"/>
          </w:tcPr>
          <w:p w14:paraId="6D454483"/>
        </w:tc>
        <w:tc>
          <w:tcPr>
            <w:tcW w:w="3771" w:type="dxa"/>
            <w:vMerge w:val="continue"/>
            <w:tcBorders>
              <w:top w:val="nil"/>
              <w:bottom w:val="nil"/>
            </w:tcBorders>
          </w:tcPr>
          <w:p w14:paraId="15624BE8"/>
        </w:tc>
        <w:tc>
          <w:tcPr>
            <w:tcW w:w="967" w:type="dxa"/>
            <w:vMerge w:val="continue"/>
            <w:tcBorders>
              <w:top w:val="nil"/>
              <w:bottom w:val="nil"/>
              <w:right w:val="nil"/>
            </w:tcBorders>
          </w:tcPr>
          <w:p w14:paraId="7706AF90"/>
        </w:tc>
      </w:tr>
      <w:tr w14:paraId="33E1C0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401" w:type="dxa"/>
            <w:vMerge w:val="continue"/>
            <w:tcBorders>
              <w:top w:val="nil"/>
              <w:left w:val="nil"/>
              <w:bottom w:val="nil"/>
            </w:tcBorders>
          </w:tcPr>
          <w:p w14:paraId="095D8FD8"/>
        </w:tc>
        <w:tc>
          <w:tcPr>
            <w:tcW w:w="1203" w:type="dxa"/>
            <w:vMerge w:val="continue"/>
            <w:tcBorders>
              <w:top w:val="nil"/>
              <w:bottom w:val="nil"/>
            </w:tcBorders>
          </w:tcPr>
          <w:p w14:paraId="656409AA"/>
        </w:tc>
        <w:tc>
          <w:tcPr>
            <w:tcW w:w="913" w:type="dxa"/>
          </w:tcPr>
          <w:p w14:paraId="49D3A170">
            <w:pPr>
              <w:spacing w:before="55" w:line="200" w:lineRule="auto"/>
              <w:ind w:left="108"/>
              <w:rPr>
                <w:rFonts w:ascii="Times New Roman" w:hAnsi="Times New Roman" w:eastAsia="Times New Roman" w:cs="Times New Roman"/>
                <w:sz w:val="13"/>
                <w:szCs w:val="13"/>
              </w:rPr>
            </w:pPr>
            <w:r>
              <w:rPr>
                <w:rFonts w:ascii="Times New Roman" w:hAnsi="Times New Roman" w:eastAsia="Times New Roman" w:cs="Times New Roman"/>
                <w:sz w:val="20"/>
                <w:szCs w:val="20"/>
              </w:rPr>
              <w:t>BOD</w:t>
            </w:r>
            <w:r>
              <w:rPr>
                <w:rFonts w:ascii="Times New Roman" w:hAnsi="Times New Roman" w:eastAsia="Times New Roman" w:cs="Times New Roman"/>
                <w:spacing w:val="21"/>
                <w:position w:val="-1"/>
                <w:sz w:val="13"/>
                <w:szCs w:val="13"/>
              </w:rPr>
              <w:t>5</w:t>
            </w:r>
          </w:p>
        </w:tc>
        <w:tc>
          <w:tcPr>
            <w:tcW w:w="1368" w:type="dxa"/>
          </w:tcPr>
          <w:p w14:paraId="56E527FE"/>
        </w:tc>
        <w:tc>
          <w:tcPr>
            <w:tcW w:w="1316" w:type="dxa"/>
          </w:tcPr>
          <w:p w14:paraId="303C211A"/>
        </w:tc>
        <w:tc>
          <w:tcPr>
            <w:tcW w:w="2579" w:type="dxa"/>
            <w:vMerge w:val="continue"/>
            <w:tcBorders>
              <w:top w:val="nil"/>
              <w:bottom w:val="nil"/>
            </w:tcBorders>
          </w:tcPr>
          <w:p w14:paraId="0DCEB685"/>
        </w:tc>
        <w:tc>
          <w:tcPr>
            <w:tcW w:w="1499" w:type="dxa"/>
          </w:tcPr>
          <w:p w14:paraId="4E3CB826"/>
        </w:tc>
        <w:tc>
          <w:tcPr>
            <w:tcW w:w="1199" w:type="dxa"/>
          </w:tcPr>
          <w:p w14:paraId="0A716D9D"/>
        </w:tc>
        <w:tc>
          <w:tcPr>
            <w:tcW w:w="3771" w:type="dxa"/>
            <w:vMerge w:val="continue"/>
            <w:tcBorders>
              <w:top w:val="nil"/>
              <w:bottom w:val="nil"/>
            </w:tcBorders>
          </w:tcPr>
          <w:p w14:paraId="3C86D16A"/>
        </w:tc>
        <w:tc>
          <w:tcPr>
            <w:tcW w:w="967" w:type="dxa"/>
            <w:vMerge w:val="continue"/>
            <w:tcBorders>
              <w:top w:val="nil"/>
              <w:bottom w:val="nil"/>
              <w:right w:val="nil"/>
            </w:tcBorders>
          </w:tcPr>
          <w:p w14:paraId="1B1C9DE3"/>
        </w:tc>
      </w:tr>
      <w:tr w14:paraId="78F88F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401" w:type="dxa"/>
            <w:vMerge w:val="continue"/>
            <w:tcBorders>
              <w:top w:val="nil"/>
              <w:left w:val="nil"/>
              <w:bottom w:val="nil"/>
            </w:tcBorders>
          </w:tcPr>
          <w:p w14:paraId="76ADEF7A"/>
        </w:tc>
        <w:tc>
          <w:tcPr>
            <w:tcW w:w="1203" w:type="dxa"/>
            <w:vMerge w:val="continue"/>
            <w:tcBorders>
              <w:top w:val="nil"/>
              <w:bottom w:val="nil"/>
            </w:tcBorders>
          </w:tcPr>
          <w:p w14:paraId="09C92352"/>
        </w:tc>
        <w:tc>
          <w:tcPr>
            <w:tcW w:w="913" w:type="dxa"/>
          </w:tcPr>
          <w:p w14:paraId="045CA7FB">
            <w:pPr>
              <w:spacing w:before="58" w:line="196" w:lineRule="auto"/>
              <w:ind w:left="102"/>
              <w:rPr>
                <w:rFonts w:ascii="Times New Roman" w:hAnsi="Times New Roman" w:eastAsia="Times New Roman" w:cs="Times New Roman"/>
                <w:sz w:val="20"/>
                <w:szCs w:val="20"/>
              </w:rPr>
            </w:pPr>
            <w:r>
              <w:rPr>
                <w:rFonts w:ascii="Times New Roman" w:hAnsi="Times New Roman" w:eastAsia="Times New Roman" w:cs="Times New Roman"/>
                <w:sz w:val="20"/>
                <w:szCs w:val="20"/>
              </w:rPr>
              <w:t>NH</w:t>
            </w:r>
            <w:r>
              <w:rPr>
                <w:rFonts w:ascii="Times New Roman" w:hAnsi="Times New Roman" w:eastAsia="Times New Roman" w:cs="Times New Roman"/>
                <w:spacing w:val="15"/>
                <w:position w:val="-1"/>
                <w:sz w:val="13"/>
                <w:szCs w:val="13"/>
              </w:rPr>
              <w:t>3</w:t>
            </w:r>
            <w:r>
              <w:rPr>
                <w:rFonts w:ascii="Times New Roman" w:hAnsi="Times New Roman" w:eastAsia="Times New Roman" w:cs="Times New Roman"/>
                <w:spacing w:val="15"/>
                <w:sz w:val="20"/>
                <w:szCs w:val="20"/>
              </w:rPr>
              <w:t>-</w:t>
            </w:r>
            <w:r>
              <w:rPr>
                <w:rFonts w:ascii="Times New Roman" w:hAnsi="Times New Roman" w:eastAsia="Times New Roman" w:cs="Times New Roman"/>
                <w:sz w:val="20"/>
                <w:szCs w:val="20"/>
              </w:rPr>
              <w:t>N</w:t>
            </w:r>
          </w:p>
        </w:tc>
        <w:tc>
          <w:tcPr>
            <w:tcW w:w="1368" w:type="dxa"/>
          </w:tcPr>
          <w:p w14:paraId="71A4FB95"/>
        </w:tc>
        <w:tc>
          <w:tcPr>
            <w:tcW w:w="1316" w:type="dxa"/>
          </w:tcPr>
          <w:p w14:paraId="61547432"/>
        </w:tc>
        <w:tc>
          <w:tcPr>
            <w:tcW w:w="2579" w:type="dxa"/>
            <w:vMerge w:val="continue"/>
            <w:tcBorders>
              <w:top w:val="nil"/>
              <w:bottom w:val="nil"/>
            </w:tcBorders>
          </w:tcPr>
          <w:p w14:paraId="7FFA7FBF"/>
        </w:tc>
        <w:tc>
          <w:tcPr>
            <w:tcW w:w="1499" w:type="dxa"/>
          </w:tcPr>
          <w:p w14:paraId="4803BD92"/>
        </w:tc>
        <w:tc>
          <w:tcPr>
            <w:tcW w:w="1199" w:type="dxa"/>
          </w:tcPr>
          <w:p w14:paraId="528C5531"/>
        </w:tc>
        <w:tc>
          <w:tcPr>
            <w:tcW w:w="3771" w:type="dxa"/>
            <w:vMerge w:val="continue"/>
            <w:tcBorders>
              <w:top w:val="nil"/>
              <w:bottom w:val="nil"/>
            </w:tcBorders>
          </w:tcPr>
          <w:p w14:paraId="6CAD19C1"/>
        </w:tc>
        <w:tc>
          <w:tcPr>
            <w:tcW w:w="967" w:type="dxa"/>
            <w:vMerge w:val="continue"/>
            <w:tcBorders>
              <w:top w:val="nil"/>
              <w:bottom w:val="nil"/>
              <w:right w:val="nil"/>
            </w:tcBorders>
          </w:tcPr>
          <w:p w14:paraId="47C202F7"/>
        </w:tc>
      </w:tr>
      <w:tr w14:paraId="5C889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401" w:type="dxa"/>
            <w:vMerge w:val="continue"/>
            <w:tcBorders>
              <w:top w:val="nil"/>
              <w:left w:val="nil"/>
              <w:bottom w:val="nil"/>
            </w:tcBorders>
          </w:tcPr>
          <w:p w14:paraId="729F5BEF"/>
        </w:tc>
        <w:tc>
          <w:tcPr>
            <w:tcW w:w="1203" w:type="dxa"/>
            <w:vMerge w:val="continue"/>
            <w:tcBorders>
              <w:top w:val="nil"/>
              <w:bottom w:val="nil"/>
            </w:tcBorders>
          </w:tcPr>
          <w:p w14:paraId="6696D888"/>
        </w:tc>
        <w:tc>
          <w:tcPr>
            <w:tcW w:w="913" w:type="dxa"/>
          </w:tcPr>
          <w:p w14:paraId="43FDCB39">
            <w:pPr>
              <w:spacing w:before="56" w:line="195" w:lineRule="auto"/>
              <w:ind w:left="11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S</w:t>
            </w:r>
            <w:r>
              <w:rPr>
                <w:rFonts w:ascii="Times New Roman" w:hAnsi="Times New Roman" w:eastAsia="Times New Roman" w:cs="Times New Roman"/>
                <w:spacing w:val="-2"/>
                <w:sz w:val="20"/>
                <w:szCs w:val="20"/>
              </w:rPr>
              <w:t>S</w:t>
            </w:r>
          </w:p>
        </w:tc>
        <w:tc>
          <w:tcPr>
            <w:tcW w:w="1368" w:type="dxa"/>
          </w:tcPr>
          <w:p w14:paraId="7A6A202C"/>
        </w:tc>
        <w:tc>
          <w:tcPr>
            <w:tcW w:w="1316" w:type="dxa"/>
          </w:tcPr>
          <w:p w14:paraId="5461295A"/>
        </w:tc>
        <w:tc>
          <w:tcPr>
            <w:tcW w:w="2579" w:type="dxa"/>
            <w:vMerge w:val="continue"/>
            <w:tcBorders>
              <w:top w:val="nil"/>
              <w:bottom w:val="nil"/>
            </w:tcBorders>
          </w:tcPr>
          <w:p w14:paraId="2E7C34CB"/>
        </w:tc>
        <w:tc>
          <w:tcPr>
            <w:tcW w:w="1499" w:type="dxa"/>
          </w:tcPr>
          <w:p w14:paraId="6E021414"/>
        </w:tc>
        <w:tc>
          <w:tcPr>
            <w:tcW w:w="1199" w:type="dxa"/>
          </w:tcPr>
          <w:p w14:paraId="60C93647"/>
        </w:tc>
        <w:tc>
          <w:tcPr>
            <w:tcW w:w="3771" w:type="dxa"/>
            <w:vMerge w:val="continue"/>
            <w:tcBorders>
              <w:top w:val="nil"/>
              <w:bottom w:val="nil"/>
            </w:tcBorders>
          </w:tcPr>
          <w:p w14:paraId="22343B1B"/>
        </w:tc>
        <w:tc>
          <w:tcPr>
            <w:tcW w:w="967" w:type="dxa"/>
            <w:vMerge w:val="continue"/>
            <w:tcBorders>
              <w:top w:val="nil"/>
              <w:bottom w:val="nil"/>
              <w:right w:val="nil"/>
            </w:tcBorders>
          </w:tcPr>
          <w:p w14:paraId="48CC3135"/>
        </w:tc>
      </w:tr>
      <w:tr w14:paraId="67180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401" w:type="dxa"/>
            <w:vMerge w:val="continue"/>
            <w:tcBorders>
              <w:top w:val="nil"/>
              <w:left w:val="nil"/>
              <w:bottom w:val="nil"/>
            </w:tcBorders>
          </w:tcPr>
          <w:p w14:paraId="7E81EAEC"/>
        </w:tc>
        <w:tc>
          <w:tcPr>
            <w:tcW w:w="1203" w:type="dxa"/>
            <w:vMerge w:val="continue"/>
            <w:tcBorders>
              <w:top w:val="nil"/>
            </w:tcBorders>
          </w:tcPr>
          <w:p w14:paraId="591E62EF"/>
        </w:tc>
        <w:tc>
          <w:tcPr>
            <w:tcW w:w="913" w:type="dxa"/>
          </w:tcPr>
          <w:p w14:paraId="7DC646C2">
            <w:pPr>
              <w:spacing w:before="59" w:line="192" w:lineRule="auto"/>
              <w:ind w:left="11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T</w:t>
            </w:r>
            <w:r>
              <w:rPr>
                <w:rFonts w:ascii="Times New Roman" w:hAnsi="Times New Roman" w:eastAsia="Times New Roman" w:cs="Times New Roman"/>
                <w:spacing w:val="1"/>
                <w:sz w:val="20"/>
                <w:szCs w:val="20"/>
              </w:rPr>
              <w:t>P</w:t>
            </w:r>
          </w:p>
        </w:tc>
        <w:tc>
          <w:tcPr>
            <w:tcW w:w="1368" w:type="dxa"/>
          </w:tcPr>
          <w:p w14:paraId="3A957BCF"/>
        </w:tc>
        <w:tc>
          <w:tcPr>
            <w:tcW w:w="1316" w:type="dxa"/>
          </w:tcPr>
          <w:p w14:paraId="13BB8D71"/>
        </w:tc>
        <w:tc>
          <w:tcPr>
            <w:tcW w:w="2579" w:type="dxa"/>
            <w:vMerge w:val="continue"/>
            <w:tcBorders>
              <w:top w:val="nil"/>
            </w:tcBorders>
          </w:tcPr>
          <w:p w14:paraId="1D2DE857"/>
        </w:tc>
        <w:tc>
          <w:tcPr>
            <w:tcW w:w="1499" w:type="dxa"/>
          </w:tcPr>
          <w:p w14:paraId="0537259B"/>
        </w:tc>
        <w:tc>
          <w:tcPr>
            <w:tcW w:w="1199" w:type="dxa"/>
          </w:tcPr>
          <w:p w14:paraId="2FAA502D"/>
        </w:tc>
        <w:tc>
          <w:tcPr>
            <w:tcW w:w="3771" w:type="dxa"/>
            <w:vMerge w:val="continue"/>
            <w:tcBorders>
              <w:top w:val="nil"/>
              <w:bottom w:val="nil"/>
            </w:tcBorders>
          </w:tcPr>
          <w:p w14:paraId="33D28FE9"/>
        </w:tc>
        <w:tc>
          <w:tcPr>
            <w:tcW w:w="967" w:type="dxa"/>
            <w:vMerge w:val="continue"/>
            <w:tcBorders>
              <w:top w:val="nil"/>
              <w:bottom w:val="nil"/>
              <w:right w:val="nil"/>
            </w:tcBorders>
          </w:tcPr>
          <w:p w14:paraId="2FE7B503"/>
        </w:tc>
      </w:tr>
      <w:tr w14:paraId="7E3FB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01" w:type="dxa"/>
            <w:vMerge w:val="continue"/>
            <w:tcBorders>
              <w:top w:val="nil"/>
              <w:left w:val="nil"/>
              <w:bottom w:val="nil"/>
            </w:tcBorders>
          </w:tcPr>
          <w:p w14:paraId="1FAA82D8"/>
        </w:tc>
        <w:tc>
          <w:tcPr>
            <w:tcW w:w="1203" w:type="dxa"/>
            <w:vMerge w:val="restart"/>
            <w:tcBorders>
              <w:bottom w:val="nil"/>
            </w:tcBorders>
          </w:tcPr>
          <w:p w14:paraId="6B6A5A54">
            <w:pPr>
              <w:spacing w:line="297" w:lineRule="auto"/>
            </w:pPr>
          </w:p>
          <w:p w14:paraId="6A183BC1">
            <w:pPr>
              <w:spacing w:line="298" w:lineRule="auto"/>
            </w:pPr>
          </w:p>
          <w:p w14:paraId="3EB9430A">
            <w:pPr>
              <w:spacing w:before="65" w:line="228" w:lineRule="auto"/>
              <w:ind w:left="115"/>
              <w:rPr>
                <w:rFonts w:ascii="宋体" w:hAnsi="宋体" w:eastAsia="宋体" w:cs="宋体"/>
                <w:sz w:val="20"/>
                <w:szCs w:val="20"/>
              </w:rPr>
            </w:pPr>
            <w:r>
              <w:rPr>
                <w:rFonts w:ascii="宋体" w:hAnsi="宋体" w:eastAsia="宋体" w:cs="宋体"/>
                <w:spacing w:val="7"/>
                <w:sz w:val="20"/>
                <w:szCs w:val="20"/>
              </w:rPr>
              <w:t>生活污</w:t>
            </w:r>
            <w:r>
              <w:rPr>
                <w:rFonts w:ascii="宋体" w:hAnsi="宋体" w:eastAsia="宋体" w:cs="宋体"/>
                <w:spacing w:val="6"/>
                <w:sz w:val="20"/>
                <w:szCs w:val="20"/>
              </w:rPr>
              <w:t>水</w:t>
            </w:r>
          </w:p>
        </w:tc>
        <w:tc>
          <w:tcPr>
            <w:tcW w:w="913" w:type="dxa"/>
          </w:tcPr>
          <w:p w14:paraId="644DADFF">
            <w:pPr>
              <w:spacing w:before="35" w:line="223" w:lineRule="auto"/>
              <w:ind w:left="111"/>
              <w:rPr>
                <w:rFonts w:ascii="宋体" w:hAnsi="宋体" w:eastAsia="宋体" w:cs="宋体"/>
                <w:sz w:val="20"/>
                <w:szCs w:val="20"/>
              </w:rPr>
            </w:pPr>
            <w:r>
              <w:rPr>
                <w:rFonts w:ascii="宋体" w:hAnsi="宋体" w:eastAsia="宋体" w:cs="宋体"/>
                <w:spacing w:val="7"/>
                <w:sz w:val="20"/>
                <w:szCs w:val="20"/>
              </w:rPr>
              <w:t>废水量</w:t>
            </w:r>
          </w:p>
        </w:tc>
        <w:tc>
          <w:tcPr>
            <w:tcW w:w="2684" w:type="dxa"/>
            <w:gridSpan w:val="2"/>
          </w:tcPr>
          <w:p w14:paraId="131907E6"/>
        </w:tc>
        <w:tc>
          <w:tcPr>
            <w:tcW w:w="2579" w:type="dxa"/>
            <w:vMerge w:val="restart"/>
            <w:tcBorders>
              <w:bottom w:val="nil"/>
            </w:tcBorders>
          </w:tcPr>
          <w:p w14:paraId="4250CA7C">
            <w:pPr>
              <w:spacing w:line="459" w:lineRule="auto"/>
            </w:pPr>
          </w:p>
          <w:p w14:paraId="3074DF46">
            <w:pPr>
              <w:spacing w:before="65" w:line="265" w:lineRule="auto"/>
              <w:ind w:left="114" w:right="106"/>
              <w:rPr>
                <w:rFonts w:ascii="宋体" w:hAnsi="宋体" w:eastAsia="宋体" w:cs="宋体"/>
                <w:sz w:val="20"/>
                <w:szCs w:val="20"/>
              </w:rPr>
            </w:pPr>
            <w:r>
              <w:rPr>
                <w:rFonts w:ascii="宋体" w:hAnsi="宋体" w:eastAsia="宋体" w:cs="宋体"/>
                <w:spacing w:val="14"/>
                <w:sz w:val="20"/>
                <w:szCs w:val="20"/>
              </w:rPr>
              <w:t>生活污水化粪池收集后</w:t>
            </w:r>
            <w:r>
              <w:rPr>
                <w:rFonts w:ascii="宋体" w:hAnsi="宋体" w:eastAsia="宋体" w:cs="宋体"/>
                <w:spacing w:val="11"/>
                <w:sz w:val="20"/>
                <w:szCs w:val="20"/>
              </w:rPr>
              <w:t>用</w:t>
            </w:r>
            <w:r>
              <w:rPr>
                <w:rFonts w:ascii="宋体" w:hAnsi="宋体" w:eastAsia="宋体" w:cs="宋体"/>
                <w:sz w:val="20"/>
                <w:szCs w:val="20"/>
              </w:rPr>
              <w:t xml:space="preserve"> </w:t>
            </w:r>
            <w:r>
              <w:rPr>
                <w:rFonts w:ascii="宋体" w:hAnsi="宋体" w:eastAsia="宋体" w:cs="宋体"/>
                <w:spacing w:val="9"/>
                <w:sz w:val="20"/>
                <w:szCs w:val="20"/>
              </w:rPr>
              <w:t>作建设单位自家林地灌溉</w:t>
            </w:r>
          </w:p>
        </w:tc>
        <w:tc>
          <w:tcPr>
            <w:tcW w:w="2698" w:type="dxa"/>
            <w:gridSpan w:val="2"/>
          </w:tcPr>
          <w:p w14:paraId="0EA64D4F"/>
        </w:tc>
        <w:tc>
          <w:tcPr>
            <w:tcW w:w="3771" w:type="dxa"/>
            <w:vMerge w:val="continue"/>
            <w:tcBorders>
              <w:top w:val="nil"/>
              <w:bottom w:val="nil"/>
            </w:tcBorders>
          </w:tcPr>
          <w:p w14:paraId="1CF0911D"/>
        </w:tc>
        <w:tc>
          <w:tcPr>
            <w:tcW w:w="967" w:type="dxa"/>
            <w:vMerge w:val="continue"/>
            <w:tcBorders>
              <w:top w:val="nil"/>
              <w:bottom w:val="nil"/>
              <w:right w:val="nil"/>
            </w:tcBorders>
          </w:tcPr>
          <w:p w14:paraId="53FBCEF7"/>
        </w:tc>
      </w:tr>
      <w:tr w14:paraId="4F02C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401" w:type="dxa"/>
            <w:vMerge w:val="continue"/>
            <w:tcBorders>
              <w:top w:val="nil"/>
              <w:left w:val="nil"/>
              <w:bottom w:val="nil"/>
            </w:tcBorders>
          </w:tcPr>
          <w:p w14:paraId="6CE43931"/>
        </w:tc>
        <w:tc>
          <w:tcPr>
            <w:tcW w:w="1203" w:type="dxa"/>
            <w:vMerge w:val="continue"/>
            <w:tcBorders>
              <w:top w:val="nil"/>
              <w:bottom w:val="nil"/>
            </w:tcBorders>
          </w:tcPr>
          <w:p w14:paraId="0A72FC39"/>
        </w:tc>
        <w:tc>
          <w:tcPr>
            <w:tcW w:w="913" w:type="dxa"/>
          </w:tcPr>
          <w:p w14:paraId="7842CE13">
            <w:pPr>
              <w:spacing w:before="56" w:line="199" w:lineRule="auto"/>
              <w:ind w:left="112"/>
              <w:rPr>
                <w:rFonts w:ascii="Times New Roman" w:hAnsi="Times New Roman" w:eastAsia="Times New Roman" w:cs="Times New Roman"/>
                <w:sz w:val="13"/>
                <w:szCs w:val="13"/>
              </w:rPr>
            </w:pPr>
            <w:r>
              <w:rPr>
                <w:rFonts w:ascii="Times New Roman" w:hAnsi="Times New Roman" w:eastAsia="Times New Roman" w:cs="Times New Roman"/>
                <w:spacing w:val="5"/>
                <w:sz w:val="20"/>
                <w:szCs w:val="20"/>
              </w:rPr>
              <w:t>C</w:t>
            </w:r>
            <w:r>
              <w:rPr>
                <w:rFonts w:ascii="Times New Roman" w:hAnsi="Times New Roman" w:eastAsia="Times New Roman" w:cs="Times New Roman"/>
                <w:spacing w:val="4"/>
                <w:sz w:val="20"/>
                <w:szCs w:val="20"/>
              </w:rPr>
              <w:t>OD</w:t>
            </w:r>
            <w:r>
              <w:rPr>
                <w:rFonts w:ascii="Times New Roman" w:hAnsi="Times New Roman" w:eastAsia="Times New Roman" w:cs="Times New Roman"/>
                <w:spacing w:val="4"/>
                <w:position w:val="-1"/>
                <w:sz w:val="13"/>
                <w:szCs w:val="13"/>
              </w:rPr>
              <w:t>Cr</w:t>
            </w:r>
          </w:p>
        </w:tc>
        <w:tc>
          <w:tcPr>
            <w:tcW w:w="1368" w:type="dxa"/>
          </w:tcPr>
          <w:p w14:paraId="35E8B806"/>
        </w:tc>
        <w:tc>
          <w:tcPr>
            <w:tcW w:w="1316" w:type="dxa"/>
          </w:tcPr>
          <w:p w14:paraId="3BE8813E"/>
        </w:tc>
        <w:tc>
          <w:tcPr>
            <w:tcW w:w="2579" w:type="dxa"/>
            <w:vMerge w:val="continue"/>
            <w:tcBorders>
              <w:top w:val="nil"/>
              <w:bottom w:val="nil"/>
            </w:tcBorders>
          </w:tcPr>
          <w:p w14:paraId="61B2F0CD"/>
        </w:tc>
        <w:tc>
          <w:tcPr>
            <w:tcW w:w="1499" w:type="dxa"/>
          </w:tcPr>
          <w:p w14:paraId="28CCDB0A"/>
        </w:tc>
        <w:tc>
          <w:tcPr>
            <w:tcW w:w="1199" w:type="dxa"/>
          </w:tcPr>
          <w:p w14:paraId="55FBDE0E"/>
        </w:tc>
        <w:tc>
          <w:tcPr>
            <w:tcW w:w="3771" w:type="dxa"/>
            <w:vMerge w:val="continue"/>
            <w:tcBorders>
              <w:top w:val="nil"/>
              <w:bottom w:val="nil"/>
            </w:tcBorders>
          </w:tcPr>
          <w:p w14:paraId="3A82AD9B"/>
        </w:tc>
        <w:tc>
          <w:tcPr>
            <w:tcW w:w="967" w:type="dxa"/>
            <w:vMerge w:val="continue"/>
            <w:tcBorders>
              <w:top w:val="nil"/>
              <w:bottom w:val="nil"/>
              <w:right w:val="nil"/>
            </w:tcBorders>
          </w:tcPr>
          <w:p w14:paraId="424AEA13"/>
        </w:tc>
      </w:tr>
      <w:tr w14:paraId="5899E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401" w:type="dxa"/>
            <w:vMerge w:val="continue"/>
            <w:tcBorders>
              <w:top w:val="nil"/>
              <w:left w:val="nil"/>
              <w:bottom w:val="nil"/>
            </w:tcBorders>
          </w:tcPr>
          <w:p w14:paraId="37D0D832"/>
        </w:tc>
        <w:tc>
          <w:tcPr>
            <w:tcW w:w="1203" w:type="dxa"/>
            <w:vMerge w:val="continue"/>
            <w:tcBorders>
              <w:top w:val="nil"/>
              <w:bottom w:val="nil"/>
            </w:tcBorders>
          </w:tcPr>
          <w:p w14:paraId="6202B507"/>
        </w:tc>
        <w:tc>
          <w:tcPr>
            <w:tcW w:w="913" w:type="dxa"/>
          </w:tcPr>
          <w:p w14:paraId="1CE7B698">
            <w:pPr>
              <w:spacing w:before="56" w:line="198" w:lineRule="auto"/>
              <w:ind w:left="108"/>
              <w:rPr>
                <w:rFonts w:ascii="Times New Roman" w:hAnsi="Times New Roman" w:eastAsia="Times New Roman" w:cs="Times New Roman"/>
                <w:sz w:val="13"/>
                <w:szCs w:val="13"/>
              </w:rPr>
            </w:pPr>
            <w:r>
              <w:rPr>
                <w:rFonts w:ascii="Times New Roman" w:hAnsi="Times New Roman" w:eastAsia="Times New Roman" w:cs="Times New Roman"/>
                <w:sz w:val="20"/>
                <w:szCs w:val="20"/>
              </w:rPr>
              <w:t>BOD</w:t>
            </w:r>
            <w:r>
              <w:rPr>
                <w:rFonts w:ascii="Times New Roman" w:hAnsi="Times New Roman" w:eastAsia="Times New Roman" w:cs="Times New Roman"/>
                <w:spacing w:val="21"/>
                <w:position w:val="-1"/>
                <w:sz w:val="13"/>
                <w:szCs w:val="13"/>
              </w:rPr>
              <w:t>5</w:t>
            </w:r>
          </w:p>
        </w:tc>
        <w:tc>
          <w:tcPr>
            <w:tcW w:w="1368" w:type="dxa"/>
          </w:tcPr>
          <w:p w14:paraId="0054B206"/>
        </w:tc>
        <w:tc>
          <w:tcPr>
            <w:tcW w:w="1316" w:type="dxa"/>
          </w:tcPr>
          <w:p w14:paraId="4C3E4AA0"/>
        </w:tc>
        <w:tc>
          <w:tcPr>
            <w:tcW w:w="2579" w:type="dxa"/>
            <w:vMerge w:val="continue"/>
            <w:tcBorders>
              <w:top w:val="nil"/>
              <w:bottom w:val="nil"/>
            </w:tcBorders>
          </w:tcPr>
          <w:p w14:paraId="0CC1A9AE"/>
        </w:tc>
        <w:tc>
          <w:tcPr>
            <w:tcW w:w="1499" w:type="dxa"/>
          </w:tcPr>
          <w:p w14:paraId="7C9739FF"/>
        </w:tc>
        <w:tc>
          <w:tcPr>
            <w:tcW w:w="1199" w:type="dxa"/>
          </w:tcPr>
          <w:p w14:paraId="5098D7E8"/>
        </w:tc>
        <w:tc>
          <w:tcPr>
            <w:tcW w:w="3771" w:type="dxa"/>
            <w:vMerge w:val="continue"/>
            <w:tcBorders>
              <w:top w:val="nil"/>
              <w:bottom w:val="nil"/>
            </w:tcBorders>
          </w:tcPr>
          <w:p w14:paraId="129FCB42"/>
        </w:tc>
        <w:tc>
          <w:tcPr>
            <w:tcW w:w="967" w:type="dxa"/>
            <w:vMerge w:val="continue"/>
            <w:tcBorders>
              <w:top w:val="nil"/>
              <w:bottom w:val="nil"/>
              <w:right w:val="nil"/>
            </w:tcBorders>
          </w:tcPr>
          <w:p w14:paraId="17454CA4"/>
        </w:tc>
      </w:tr>
      <w:tr w14:paraId="2C740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401" w:type="dxa"/>
            <w:vMerge w:val="continue"/>
            <w:tcBorders>
              <w:top w:val="nil"/>
              <w:left w:val="nil"/>
              <w:bottom w:val="nil"/>
            </w:tcBorders>
          </w:tcPr>
          <w:p w14:paraId="229CE247"/>
        </w:tc>
        <w:tc>
          <w:tcPr>
            <w:tcW w:w="1203" w:type="dxa"/>
            <w:vMerge w:val="continue"/>
            <w:tcBorders>
              <w:top w:val="nil"/>
              <w:bottom w:val="nil"/>
            </w:tcBorders>
          </w:tcPr>
          <w:p w14:paraId="77A1814D"/>
        </w:tc>
        <w:tc>
          <w:tcPr>
            <w:tcW w:w="913" w:type="dxa"/>
          </w:tcPr>
          <w:p w14:paraId="09EA5A11">
            <w:pPr>
              <w:spacing w:before="60" w:line="195" w:lineRule="auto"/>
              <w:ind w:left="102"/>
              <w:rPr>
                <w:rFonts w:ascii="Times New Roman" w:hAnsi="Times New Roman" w:eastAsia="Times New Roman" w:cs="Times New Roman"/>
                <w:sz w:val="20"/>
                <w:szCs w:val="20"/>
              </w:rPr>
            </w:pPr>
            <w:r>
              <w:rPr>
                <w:rFonts w:ascii="Times New Roman" w:hAnsi="Times New Roman" w:eastAsia="Times New Roman" w:cs="Times New Roman"/>
                <w:sz w:val="20"/>
                <w:szCs w:val="20"/>
              </w:rPr>
              <w:t>NH</w:t>
            </w:r>
            <w:r>
              <w:rPr>
                <w:rFonts w:ascii="Times New Roman" w:hAnsi="Times New Roman" w:eastAsia="Times New Roman" w:cs="Times New Roman"/>
                <w:spacing w:val="15"/>
                <w:position w:val="-1"/>
                <w:sz w:val="13"/>
                <w:szCs w:val="13"/>
              </w:rPr>
              <w:t>3</w:t>
            </w:r>
            <w:r>
              <w:rPr>
                <w:rFonts w:ascii="Times New Roman" w:hAnsi="Times New Roman" w:eastAsia="Times New Roman" w:cs="Times New Roman"/>
                <w:spacing w:val="15"/>
                <w:sz w:val="20"/>
                <w:szCs w:val="20"/>
              </w:rPr>
              <w:t>-</w:t>
            </w:r>
            <w:r>
              <w:rPr>
                <w:rFonts w:ascii="Times New Roman" w:hAnsi="Times New Roman" w:eastAsia="Times New Roman" w:cs="Times New Roman"/>
                <w:sz w:val="20"/>
                <w:szCs w:val="20"/>
              </w:rPr>
              <w:t>N</w:t>
            </w:r>
          </w:p>
        </w:tc>
        <w:tc>
          <w:tcPr>
            <w:tcW w:w="1368" w:type="dxa"/>
          </w:tcPr>
          <w:p w14:paraId="7E8DF1A6"/>
        </w:tc>
        <w:tc>
          <w:tcPr>
            <w:tcW w:w="1316" w:type="dxa"/>
          </w:tcPr>
          <w:p w14:paraId="267C6557"/>
        </w:tc>
        <w:tc>
          <w:tcPr>
            <w:tcW w:w="2579" w:type="dxa"/>
            <w:vMerge w:val="continue"/>
            <w:tcBorders>
              <w:top w:val="nil"/>
              <w:bottom w:val="nil"/>
            </w:tcBorders>
          </w:tcPr>
          <w:p w14:paraId="0D489426"/>
        </w:tc>
        <w:tc>
          <w:tcPr>
            <w:tcW w:w="1499" w:type="dxa"/>
          </w:tcPr>
          <w:p w14:paraId="34682B9B"/>
        </w:tc>
        <w:tc>
          <w:tcPr>
            <w:tcW w:w="1199" w:type="dxa"/>
          </w:tcPr>
          <w:p w14:paraId="1B5D9CD2"/>
        </w:tc>
        <w:tc>
          <w:tcPr>
            <w:tcW w:w="3771" w:type="dxa"/>
            <w:vMerge w:val="continue"/>
            <w:tcBorders>
              <w:top w:val="nil"/>
              <w:bottom w:val="nil"/>
            </w:tcBorders>
          </w:tcPr>
          <w:p w14:paraId="7155F103"/>
        </w:tc>
        <w:tc>
          <w:tcPr>
            <w:tcW w:w="967" w:type="dxa"/>
            <w:vMerge w:val="continue"/>
            <w:tcBorders>
              <w:top w:val="nil"/>
              <w:bottom w:val="nil"/>
              <w:right w:val="nil"/>
            </w:tcBorders>
          </w:tcPr>
          <w:p w14:paraId="090C004C"/>
        </w:tc>
      </w:tr>
      <w:tr w14:paraId="15450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401" w:type="dxa"/>
            <w:vMerge w:val="continue"/>
            <w:tcBorders>
              <w:top w:val="nil"/>
              <w:left w:val="nil"/>
              <w:bottom w:val="nil"/>
            </w:tcBorders>
          </w:tcPr>
          <w:p w14:paraId="7B7006A1"/>
        </w:tc>
        <w:tc>
          <w:tcPr>
            <w:tcW w:w="1203" w:type="dxa"/>
            <w:vMerge w:val="continue"/>
            <w:tcBorders>
              <w:top w:val="nil"/>
              <w:bottom w:val="nil"/>
            </w:tcBorders>
          </w:tcPr>
          <w:p w14:paraId="13BB3EF5"/>
        </w:tc>
        <w:tc>
          <w:tcPr>
            <w:tcW w:w="913" w:type="dxa"/>
          </w:tcPr>
          <w:p w14:paraId="116B0936">
            <w:pPr>
              <w:spacing w:before="54" w:line="195" w:lineRule="auto"/>
              <w:ind w:left="11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S</w:t>
            </w:r>
            <w:r>
              <w:rPr>
                <w:rFonts w:ascii="Times New Roman" w:hAnsi="Times New Roman" w:eastAsia="Times New Roman" w:cs="Times New Roman"/>
                <w:spacing w:val="-2"/>
                <w:sz w:val="20"/>
                <w:szCs w:val="20"/>
              </w:rPr>
              <w:t>S</w:t>
            </w:r>
          </w:p>
        </w:tc>
        <w:tc>
          <w:tcPr>
            <w:tcW w:w="1368" w:type="dxa"/>
          </w:tcPr>
          <w:p w14:paraId="524D05AD"/>
        </w:tc>
        <w:tc>
          <w:tcPr>
            <w:tcW w:w="1316" w:type="dxa"/>
          </w:tcPr>
          <w:p w14:paraId="6FDFAC5D"/>
        </w:tc>
        <w:tc>
          <w:tcPr>
            <w:tcW w:w="2579" w:type="dxa"/>
            <w:vMerge w:val="continue"/>
            <w:tcBorders>
              <w:top w:val="nil"/>
              <w:bottom w:val="nil"/>
            </w:tcBorders>
          </w:tcPr>
          <w:p w14:paraId="72E468EA"/>
        </w:tc>
        <w:tc>
          <w:tcPr>
            <w:tcW w:w="1499" w:type="dxa"/>
          </w:tcPr>
          <w:p w14:paraId="3F99C009"/>
        </w:tc>
        <w:tc>
          <w:tcPr>
            <w:tcW w:w="1199" w:type="dxa"/>
          </w:tcPr>
          <w:p w14:paraId="0868E9D2"/>
        </w:tc>
        <w:tc>
          <w:tcPr>
            <w:tcW w:w="3771" w:type="dxa"/>
            <w:vMerge w:val="continue"/>
            <w:tcBorders>
              <w:top w:val="nil"/>
              <w:bottom w:val="nil"/>
            </w:tcBorders>
          </w:tcPr>
          <w:p w14:paraId="3BDEDAE1"/>
        </w:tc>
        <w:tc>
          <w:tcPr>
            <w:tcW w:w="967" w:type="dxa"/>
            <w:vMerge w:val="continue"/>
            <w:tcBorders>
              <w:top w:val="nil"/>
              <w:bottom w:val="nil"/>
              <w:right w:val="nil"/>
            </w:tcBorders>
          </w:tcPr>
          <w:p w14:paraId="6F7FCF6A"/>
        </w:tc>
      </w:tr>
      <w:tr w14:paraId="260AA5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401" w:type="dxa"/>
            <w:vMerge w:val="continue"/>
            <w:tcBorders>
              <w:top w:val="nil"/>
              <w:left w:val="nil"/>
            </w:tcBorders>
          </w:tcPr>
          <w:p w14:paraId="136ABACE"/>
        </w:tc>
        <w:tc>
          <w:tcPr>
            <w:tcW w:w="1203" w:type="dxa"/>
            <w:vMerge w:val="continue"/>
            <w:tcBorders>
              <w:top w:val="nil"/>
            </w:tcBorders>
          </w:tcPr>
          <w:p w14:paraId="008D2D88"/>
        </w:tc>
        <w:tc>
          <w:tcPr>
            <w:tcW w:w="913" w:type="dxa"/>
          </w:tcPr>
          <w:p w14:paraId="431872D4">
            <w:pPr>
              <w:spacing w:before="58" w:line="192" w:lineRule="auto"/>
              <w:ind w:left="11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T</w:t>
            </w:r>
            <w:r>
              <w:rPr>
                <w:rFonts w:ascii="Times New Roman" w:hAnsi="Times New Roman" w:eastAsia="Times New Roman" w:cs="Times New Roman"/>
                <w:spacing w:val="1"/>
                <w:sz w:val="20"/>
                <w:szCs w:val="20"/>
              </w:rPr>
              <w:t>P</w:t>
            </w:r>
          </w:p>
        </w:tc>
        <w:tc>
          <w:tcPr>
            <w:tcW w:w="1368" w:type="dxa"/>
          </w:tcPr>
          <w:p w14:paraId="1BFA003E"/>
        </w:tc>
        <w:tc>
          <w:tcPr>
            <w:tcW w:w="1316" w:type="dxa"/>
          </w:tcPr>
          <w:p w14:paraId="60E80591"/>
        </w:tc>
        <w:tc>
          <w:tcPr>
            <w:tcW w:w="2579" w:type="dxa"/>
            <w:vMerge w:val="continue"/>
            <w:tcBorders>
              <w:top w:val="nil"/>
            </w:tcBorders>
          </w:tcPr>
          <w:p w14:paraId="402A6A9C"/>
        </w:tc>
        <w:tc>
          <w:tcPr>
            <w:tcW w:w="1499" w:type="dxa"/>
          </w:tcPr>
          <w:p w14:paraId="3648C1D5"/>
        </w:tc>
        <w:tc>
          <w:tcPr>
            <w:tcW w:w="1199" w:type="dxa"/>
          </w:tcPr>
          <w:p w14:paraId="2040D615"/>
        </w:tc>
        <w:tc>
          <w:tcPr>
            <w:tcW w:w="3771" w:type="dxa"/>
            <w:vMerge w:val="continue"/>
            <w:tcBorders>
              <w:top w:val="nil"/>
            </w:tcBorders>
          </w:tcPr>
          <w:p w14:paraId="7261A4F7"/>
        </w:tc>
        <w:tc>
          <w:tcPr>
            <w:tcW w:w="967" w:type="dxa"/>
            <w:vMerge w:val="continue"/>
            <w:tcBorders>
              <w:top w:val="nil"/>
              <w:right w:val="nil"/>
            </w:tcBorders>
          </w:tcPr>
          <w:p w14:paraId="2702808F"/>
        </w:tc>
      </w:tr>
      <w:tr w14:paraId="768441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01" w:type="dxa"/>
            <w:tcBorders>
              <w:left w:val="nil"/>
            </w:tcBorders>
          </w:tcPr>
          <w:p w14:paraId="018C1C84">
            <w:pPr>
              <w:spacing w:before="305" w:line="225" w:lineRule="auto"/>
              <w:ind w:left="120"/>
              <w:rPr>
                <w:rFonts w:ascii="宋体" w:hAnsi="宋体" w:eastAsia="宋体" w:cs="宋体"/>
                <w:sz w:val="20"/>
                <w:szCs w:val="20"/>
              </w:rPr>
            </w:pPr>
            <w:r>
              <w:rPr>
                <w:rFonts w:ascii="宋体" w:hAnsi="宋体" w:eastAsia="宋体" w:cs="宋体"/>
                <w:sz w:val="20"/>
                <w:szCs w:val="20"/>
              </w:rPr>
              <w:t>声</w:t>
            </w:r>
          </w:p>
        </w:tc>
        <w:tc>
          <w:tcPr>
            <w:tcW w:w="1203" w:type="dxa"/>
          </w:tcPr>
          <w:p w14:paraId="772E95E5">
            <w:pPr>
              <w:spacing w:before="33" w:line="238" w:lineRule="auto"/>
              <w:ind w:left="116" w:right="78" w:hanging="3"/>
              <w:rPr>
                <w:rFonts w:ascii="宋体" w:hAnsi="宋体" w:eastAsia="宋体" w:cs="宋体"/>
                <w:sz w:val="20"/>
                <w:szCs w:val="20"/>
              </w:rPr>
            </w:pPr>
            <w:r>
              <w:rPr>
                <w:rFonts w:ascii="宋体" w:hAnsi="宋体" w:eastAsia="宋体" w:cs="宋体"/>
                <w:spacing w:val="2"/>
                <w:sz w:val="20"/>
                <w:szCs w:val="20"/>
              </w:rPr>
              <w:t>猪</w:t>
            </w:r>
            <w:r>
              <w:rPr>
                <w:rFonts w:ascii="宋体" w:hAnsi="宋体" w:eastAsia="宋体" w:cs="宋体"/>
                <w:spacing w:val="1"/>
                <w:sz w:val="20"/>
                <w:szCs w:val="20"/>
              </w:rPr>
              <w:t>只叫声、</w:t>
            </w:r>
            <w:r>
              <w:rPr>
                <w:rFonts w:ascii="宋体" w:hAnsi="宋体" w:eastAsia="宋体" w:cs="宋体"/>
                <w:sz w:val="20"/>
                <w:szCs w:val="20"/>
              </w:rPr>
              <w:t xml:space="preserve"> </w:t>
            </w:r>
            <w:r>
              <w:rPr>
                <w:rFonts w:ascii="宋体" w:hAnsi="宋体" w:eastAsia="宋体" w:cs="宋体"/>
                <w:spacing w:val="-8"/>
                <w:sz w:val="20"/>
                <w:szCs w:val="20"/>
              </w:rPr>
              <w:t>设</w:t>
            </w:r>
            <w:r>
              <w:rPr>
                <w:rFonts w:ascii="宋体" w:hAnsi="宋体" w:eastAsia="宋体" w:cs="宋体"/>
                <w:spacing w:val="-5"/>
                <w:sz w:val="20"/>
                <w:szCs w:val="20"/>
              </w:rPr>
              <w:t>备、车辆</w:t>
            </w:r>
          </w:p>
        </w:tc>
        <w:tc>
          <w:tcPr>
            <w:tcW w:w="913" w:type="dxa"/>
          </w:tcPr>
          <w:p w14:paraId="513956E5">
            <w:pPr>
              <w:spacing w:before="168" w:line="228" w:lineRule="auto"/>
              <w:ind w:left="122"/>
              <w:rPr>
                <w:rFonts w:ascii="宋体" w:hAnsi="宋体" w:eastAsia="宋体" w:cs="宋体"/>
                <w:sz w:val="20"/>
                <w:szCs w:val="20"/>
              </w:rPr>
            </w:pPr>
            <w:r>
              <w:rPr>
                <w:rFonts w:ascii="宋体" w:hAnsi="宋体" w:eastAsia="宋体" w:cs="宋体"/>
                <w:spacing w:val="-1"/>
                <w:sz w:val="20"/>
                <w:szCs w:val="20"/>
              </w:rPr>
              <w:t>噪</w:t>
            </w:r>
            <w:r>
              <w:rPr>
                <w:rFonts w:ascii="宋体" w:hAnsi="宋体" w:eastAsia="宋体" w:cs="宋体"/>
                <w:sz w:val="20"/>
                <w:szCs w:val="20"/>
              </w:rPr>
              <w:t>声</w:t>
            </w:r>
          </w:p>
        </w:tc>
        <w:tc>
          <w:tcPr>
            <w:tcW w:w="1368" w:type="dxa"/>
          </w:tcPr>
          <w:p w14:paraId="1FC7795E">
            <w:pPr>
              <w:spacing w:before="133" w:line="281" w:lineRule="exact"/>
              <w:ind w:left="86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1316" w:type="dxa"/>
          </w:tcPr>
          <w:p w14:paraId="4287CD63">
            <w:pPr>
              <w:spacing w:before="84" w:line="176" w:lineRule="auto"/>
              <w:ind w:left="6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3"/>
                <w:sz w:val="20"/>
                <w:szCs w:val="20"/>
              </w:rPr>
              <w:t>5~85</w:t>
            </w:r>
          </w:p>
          <w:p w14:paraId="6EDF1851">
            <w:pPr>
              <w:spacing w:line="281" w:lineRule="exact"/>
              <w:ind w:left="604"/>
              <w:rPr>
                <w:rFonts w:ascii="Times New Roman" w:hAnsi="Times New Roman" w:eastAsia="Times New Roman" w:cs="Times New Roman"/>
                <w:sz w:val="20"/>
                <w:szCs w:val="20"/>
              </w:rPr>
            </w:pPr>
            <w:r>
              <w:rPr>
                <w:rFonts w:ascii="Times New Roman" w:hAnsi="Times New Roman" w:eastAsia="Times New Roman" w:cs="Times New Roman"/>
                <w:position w:val="4"/>
                <w:sz w:val="20"/>
                <w:szCs w:val="20"/>
              </w:rPr>
              <w:t>dB</w:t>
            </w:r>
            <w:r>
              <w:rPr>
                <w:rFonts w:ascii="Times New Roman" w:hAnsi="Times New Roman" w:eastAsia="Times New Roman" w:cs="Times New Roman"/>
                <w:spacing w:val="9"/>
                <w:position w:val="4"/>
                <w:sz w:val="20"/>
                <w:szCs w:val="20"/>
              </w:rPr>
              <w:t>(</w:t>
            </w:r>
            <w:r>
              <w:rPr>
                <w:rFonts w:ascii="Times New Roman" w:hAnsi="Times New Roman" w:eastAsia="Times New Roman" w:cs="Times New Roman"/>
                <w:position w:val="4"/>
                <w:sz w:val="20"/>
                <w:szCs w:val="20"/>
              </w:rPr>
              <w:t>A</w:t>
            </w:r>
            <w:r>
              <w:rPr>
                <w:rFonts w:ascii="Times New Roman" w:hAnsi="Times New Roman" w:eastAsia="Times New Roman" w:cs="Times New Roman"/>
                <w:spacing w:val="8"/>
                <w:position w:val="4"/>
                <w:sz w:val="20"/>
                <w:szCs w:val="20"/>
              </w:rPr>
              <w:t>)</w:t>
            </w:r>
          </w:p>
        </w:tc>
        <w:tc>
          <w:tcPr>
            <w:tcW w:w="2579" w:type="dxa"/>
          </w:tcPr>
          <w:p w14:paraId="7FB4D4F5">
            <w:pPr>
              <w:spacing w:before="33" w:line="238" w:lineRule="auto"/>
              <w:ind w:left="455" w:right="133" w:hanging="316"/>
              <w:rPr>
                <w:rFonts w:ascii="宋体" w:hAnsi="宋体" w:eastAsia="宋体" w:cs="宋体"/>
                <w:sz w:val="20"/>
                <w:szCs w:val="20"/>
              </w:rPr>
            </w:pPr>
            <w:r>
              <w:rPr>
                <w:rFonts w:ascii="宋体" w:hAnsi="宋体" w:eastAsia="宋体" w:cs="宋体"/>
                <w:spacing w:val="10"/>
                <w:sz w:val="20"/>
                <w:szCs w:val="20"/>
              </w:rPr>
              <w:t>墙</w:t>
            </w:r>
            <w:r>
              <w:rPr>
                <w:rFonts w:ascii="宋体" w:hAnsi="宋体" w:eastAsia="宋体" w:cs="宋体"/>
                <w:spacing w:val="9"/>
                <w:sz w:val="20"/>
                <w:szCs w:val="20"/>
              </w:rPr>
              <w:t>体阻隔、距离衰减、设</w:t>
            </w:r>
            <w:r>
              <w:rPr>
                <w:rFonts w:ascii="宋体" w:hAnsi="宋体" w:eastAsia="宋体" w:cs="宋体"/>
                <w:sz w:val="20"/>
                <w:szCs w:val="20"/>
              </w:rPr>
              <w:t xml:space="preserve"> </w:t>
            </w:r>
            <w:r>
              <w:rPr>
                <w:rFonts w:ascii="宋体" w:hAnsi="宋体" w:eastAsia="宋体" w:cs="宋体"/>
                <w:spacing w:val="11"/>
                <w:sz w:val="20"/>
                <w:szCs w:val="20"/>
              </w:rPr>
              <w:t>备</w:t>
            </w:r>
            <w:r>
              <w:rPr>
                <w:rFonts w:ascii="宋体" w:hAnsi="宋体" w:eastAsia="宋体" w:cs="宋体"/>
                <w:spacing w:val="8"/>
                <w:sz w:val="20"/>
                <w:szCs w:val="20"/>
              </w:rPr>
              <w:t>采取减震措施等</w:t>
            </w:r>
          </w:p>
        </w:tc>
        <w:tc>
          <w:tcPr>
            <w:tcW w:w="2698" w:type="dxa"/>
            <w:gridSpan w:val="2"/>
          </w:tcPr>
          <w:p w14:paraId="575AACD2">
            <w:pPr>
              <w:spacing w:line="253" w:lineRule="auto"/>
              <w:ind w:left="902" w:right="469" w:hanging="4"/>
              <w:rPr>
                <w:rFonts w:ascii="Times New Roman" w:hAnsi="Times New Roman" w:eastAsia="Times New Roman" w:cs="Times New Roman"/>
                <w:sz w:val="20"/>
                <w:szCs w:val="20"/>
              </w:rPr>
            </w:pPr>
            <w:r>
              <w:rPr>
                <w:rFonts w:ascii="宋体" w:hAnsi="宋体" w:eastAsia="宋体" w:cs="宋体"/>
                <w:spacing w:val="11"/>
                <w:sz w:val="20"/>
                <w:szCs w:val="20"/>
              </w:rPr>
              <w:t>昼</w:t>
            </w:r>
            <w:r>
              <w:rPr>
                <w:rFonts w:ascii="宋体" w:hAnsi="宋体" w:eastAsia="宋体" w:cs="宋体"/>
                <w:spacing w:val="6"/>
                <w:sz w:val="20"/>
                <w:szCs w:val="20"/>
              </w:rPr>
              <w:t>间</w:t>
            </w:r>
            <w:r>
              <w:rPr>
                <w:rFonts w:ascii="Times New Roman" w:hAnsi="Times New Roman" w:eastAsia="Times New Roman" w:cs="Times New Roman"/>
                <w:spacing w:val="6"/>
                <w:sz w:val="20"/>
                <w:szCs w:val="20"/>
              </w:rPr>
              <w:t xml:space="preserve">≤60 </w:t>
            </w:r>
            <w:r>
              <w:rPr>
                <w:rFonts w:ascii="Times New Roman" w:hAnsi="Times New Roman" w:eastAsia="Times New Roman" w:cs="Times New Roman"/>
                <w:sz w:val="20"/>
                <w:szCs w:val="20"/>
              </w:rPr>
              <w:t>dB</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A</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 xml:space="preserve"> </w:t>
            </w:r>
            <w:r>
              <w:rPr>
                <w:rFonts w:ascii="宋体" w:hAnsi="宋体" w:eastAsia="宋体" w:cs="宋体"/>
                <w:spacing w:val="7"/>
                <w:sz w:val="20"/>
                <w:szCs w:val="20"/>
              </w:rPr>
              <w:t>夜</w:t>
            </w:r>
            <w:r>
              <w:rPr>
                <w:rFonts w:ascii="宋体" w:hAnsi="宋体" w:eastAsia="宋体" w:cs="宋体"/>
                <w:spacing w:val="6"/>
                <w:sz w:val="20"/>
                <w:szCs w:val="20"/>
              </w:rPr>
              <w:t>间</w:t>
            </w:r>
            <w:r>
              <w:rPr>
                <w:rFonts w:ascii="Times New Roman" w:hAnsi="Times New Roman" w:eastAsia="Times New Roman" w:cs="Times New Roman"/>
                <w:spacing w:val="6"/>
                <w:sz w:val="20"/>
                <w:szCs w:val="20"/>
              </w:rPr>
              <w:t xml:space="preserve">≤50 </w:t>
            </w:r>
            <w:r>
              <w:rPr>
                <w:rFonts w:ascii="Times New Roman" w:hAnsi="Times New Roman" w:eastAsia="Times New Roman" w:cs="Times New Roman"/>
                <w:sz w:val="20"/>
                <w:szCs w:val="20"/>
              </w:rPr>
              <w:t>dB</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A</w:t>
            </w:r>
            <w:r>
              <w:rPr>
                <w:rFonts w:ascii="Times New Roman" w:hAnsi="Times New Roman" w:eastAsia="Times New Roman" w:cs="Times New Roman"/>
                <w:spacing w:val="6"/>
                <w:sz w:val="20"/>
                <w:szCs w:val="20"/>
              </w:rPr>
              <w:t>)</w:t>
            </w:r>
          </w:p>
        </w:tc>
        <w:tc>
          <w:tcPr>
            <w:tcW w:w="3771" w:type="dxa"/>
          </w:tcPr>
          <w:p w14:paraId="4CA4CAD5">
            <w:pPr>
              <w:spacing w:before="33" w:line="238" w:lineRule="auto"/>
              <w:ind w:left="322" w:right="206" w:hanging="112"/>
              <w:rPr>
                <w:rFonts w:ascii="宋体" w:hAnsi="宋体" w:eastAsia="宋体" w:cs="宋体"/>
                <w:sz w:val="20"/>
                <w:szCs w:val="20"/>
              </w:rPr>
            </w:pPr>
            <w:r>
              <w:rPr>
                <w:rFonts w:ascii="宋体" w:hAnsi="宋体" w:eastAsia="宋体" w:cs="宋体"/>
                <w:spacing w:val="14"/>
                <w:sz w:val="20"/>
                <w:szCs w:val="20"/>
              </w:rPr>
              <w:t>满</w:t>
            </w:r>
            <w:r>
              <w:rPr>
                <w:rFonts w:ascii="宋体" w:hAnsi="宋体" w:eastAsia="宋体" w:cs="宋体"/>
                <w:spacing w:val="9"/>
                <w:sz w:val="20"/>
                <w:szCs w:val="20"/>
              </w:rPr>
              <w:t>足《工业企业厂界环境噪声排放标</w:t>
            </w:r>
            <w:r>
              <w:rPr>
                <w:rFonts w:ascii="宋体" w:hAnsi="宋体" w:eastAsia="宋体" w:cs="宋体"/>
                <w:sz w:val="20"/>
                <w:szCs w:val="20"/>
              </w:rPr>
              <w:t xml:space="preserve"> </w:t>
            </w:r>
            <w:r>
              <w:rPr>
                <w:rFonts w:ascii="宋体" w:hAnsi="宋体" w:eastAsia="宋体" w:cs="宋体"/>
                <w:spacing w:val="2"/>
                <w:sz w:val="20"/>
                <w:szCs w:val="20"/>
              </w:rPr>
              <w:t>准》  (</w:t>
            </w:r>
            <w:r>
              <w:rPr>
                <w:rFonts w:ascii="Times New Roman" w:hAnsi="Times New Roman" w:eastAsia="Times New Roman" w:cs="Times New Roman"/>
                <w:sz w:val="20"/>
                <w:szCs w:val="20"/>
              </w:rPr>
              <w:t>GB</w:t>
            </w:r>
            <w:r>
              <w:rPr>
                <w:rFonts w:ascii="Times New Roman" w:hAnsi="Times New Roman" w:eastAsia="Times New Roman" w:cs="Times New Roman"/>
                <w:spacing w:val="2"/>
                <w:sz w:val="20"/>
                <w:szCs w:val="20"/>
              </w:rPr>
              <w:t>12348-200</w:t>
            </w:r>
            <w:r>
              <w:rPr>
                <w:rFonts w:ascii="Times New Roman" w:hAnsi="Times New Roman" w:eastAsia="Times New Roman" w:cs="Times New Roman"/>
                <w:spacing w:val="1"/>
                <w:sz w:val="20"/>
                <w:szCs w:val="20"/>
              </w:rPr>
              <w:t>8</w:t>
            </w:r>
            <w:r>
              <w:rPr>
                <w:rFonts w:ascii="宋体" w:hAnsi="宋体" w:eastAsia="宋体" w:cs="宋体"/>
                <w:spacing w:val="1"/>
                <w:sz w:val="20"/>
                <w:szCs w:val="20"/>
              </w:rPr>
              <w:t xml:space="preserve">) </w:t>
            </w:r>
            <w:r>
              <w:rPr>
                <w:rFonts w:ascii="Times New Roman" w:hAnsi="Times New Roman" w:eastAsia="Times New Roman" w:cs="Times New Roman"/>
                <w:spacing w:val="1"/>
                <w:sz w:val="20"/>
                <w:szCs w:val="20"/>
              </w:rPr>
              <w:t xml:space="preserve">2 </w:t>
            </w:r>
            <w:r>
              <w:rPr>
                <w:rFonts w:ascii="宋体" w:hAnsi="宋体" w:eastAsia="宋体" w:cs="宋体"/>
                <w:spacing w:val="1"/>
                <w:sz w:val="20"/>
                <w:szCs w:val="20"/>
              </w:rPr>
              <w:t>类区标准</w:t>
            </w:r>
          </w:p>
        </w:tc>
        <w:tc>
          <w:tcPr>
            <w:tcW w:w="967" w:type="dxa"/>
            <w:tcBorders>
              <w:right w:val="nil"/>
            </w:tcBorders>
          </w:tcPr>
          <w:p w14:paraId="69061F59">
            <w:pPr>
              <w:spacing w:before="34" w:line="271" w:lineRule="exact"/>
              <w:ind w:left="129"/>
              <w:rPr>
                <w:rFonts w:ascii="宋体" w:hAnsi="宋体" w:eastAsia="宋体" w:cs="宋体"/>
                <w:sz w:val="20"/>
                <w:szCs w:val="20"/>
              </w:rPr>
            </w:pPr>
            <w:r>
              <w:rPr>
                <w:rFonts w:ascii="宋体" w:hAnsi="宋体" w:eastAsia="宋体" w:cs="宋体"/>
                <w:spacing w:val="-4"/>
                <w:position w:val="4"/>
                <w:sz w:val="20"/>
                <w:szCs w:val="20"/>
              </w:rPr>
              <w:t>间</w:t>
            </w:r>
            <w:r>
              <w:rPr>
                <w:rFonts w:ascii="宋体" w:hAnsi="宋体" w:eastAsia="宋体" w:cs="宋体"/>
                <w:spacing w:val="-3"/>
                <w:position w:val="4"/>
                <w:sz w:val="20"/>
                <w:szCs w:val="20"/>
              </w:rPr>
              <w:t>歇</w:t>
            </w:r>
          </w:p>
          <w:p w14:paraId="2AED8E99">
            <w:pPr>
              <w:spacing w:before="1" w:line="224" w:lineRule="auto"/>
              <w:ind w:left="113"/>
              <w:rPr>
                <w:rFonts w:ascii="宋体" w:hAnsi="宋体" w:eastAsia="宋体" w:cs="宋体"/>
                <w:sz w:val="20"/>
                <w:szCs w:val="20"/>
              </w:rPr>
            </w:pPr>
            <w:r>
              <w:rPr>
                <w:rFonts w:ascii="宋体" w:hAnsi="宋体" w:eastAsia="宋体" w:cs="宋体"/>
                <w:spacing w:val="5"/>
                <w:sz w:val="20"/>
                <w:szCs w:val="20"/>
              </w:rPr>
              <w:t>排</w:t>
            </w:r>
            <w:r>
              <w:rPr>
                <w:rFonts w:ascii="宋体" w:hAnsi="宋体" w:eastAsia="宋体" w:cs="宋体"/>
                <w:spacing w:val="4"/>
                <w:sz w:val="20"/>
                <w:szCs w:val="20"/>
              </w:rPr>
              <w:t>放</w:t>
            </w:r>
          </w:p>
        </w:tc>
      </w:tr>
      <w:tr w14:paraId="076FB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7" w:hRule="atLeast"/>
        </w:trPr>
        <w:tc>
          <w:tcPr>
            <w:tcW w:w="401" w:type="dxa"/>
            <w:tcBorders>
              <w:left w:val="nil"/>
            </w:tcBorders>
            <w:textDirection w:val="tbRlV"/>
          </w:tcPr>
          <w:p w14:paraId="4ACADA67">
            <w:pPr>
              <w:spacing w:before="81" w:line="217" w:lineRule="auto"/>
              <w:ind w:left="442"/>
              <w:rPr>
                <w:rFonts w:ascii="宋体" w:hAnsi="宋体" w:eastAsia="宋体" w:cs="宋体"/>
                <w:sz w:val="20"/>
                <w:szCs w:val="20"/>
              </w:rPr>
            </w:pPr>
            <w:r>
              <w:rPr>
                <w:rFonts w:ascii="宋体" w:hAnsi="宋体" w:eastAsia="宋体" w:cs="宋体"/>
                <w:spacing w:val="-11"/>
                <w:sz w:val="20"/>
                <w:szCs w:val="20"/>
              </w:rPr>
              <w:t>体</w:t>
            </w:r>
            <w:r>
              <w:rPr>
                <w:rFonts w:ascii="宋体" w:hAnsi="宋体" w:eastAsia="宋体" w:cs="宋体"/>
                <w:spacing w:val="-9"/>
                <w:sz w:val="20"/>
                <w:szCs w:val="20"/>
              </w:rPr>
              <w:t xml:space="preserve"> 废 物</w:t>
            </w:r>
          </w:p>
        </w:tc>
        <w:tc>
          <w:tcPr>
            <w:tcW w:w="2116" w:type="dxa"/>
            <w:gridSpan w:val="2"/>
          </w:tcPr>
          <w:p w14:paraId="632985BF">
            <w:pPr>
              <w:spacing w:line="255" w:lineRule="auto"/>
            </w:pPr>
          </w:p>
          <w:p w14:paraId="4AFCD28B">
            <w:pPr>
              <w:spacing w:line="256" w:lineRule="auto"/>
            </w:pPr>
          </w:p>
          <w:p w14:paraId="6025F663">
            <w:pPr>
              <w:spacing w:before="65" w:line="228" w:lineRule="auto"/>
              <w:ind w:left="851"/>
              <w:rPr>
                <w:rFonts w:ascii="宋体" w:hAnsi="宋体" w:eastAsia="宋体" w:cs="宋体"/>
                <w:sz w:val="20"/>
                <w:szCs w:val="20"/>
              </w:rPr>
            </w:pPr>
            <w:r>
              <w:rPr>
                <w:rFonts w:ascii="宋体" w:hAnsi="宋体" w:eastAsia="宋体" w:cs="宋体"/>
                <w:spacing w:val="9"/>
                <w:sz w:val="20"/>
                <w:szCs w:val="20"/>
              </w:rPr>
              <w:t>病</w:t>
            </w:r>
            <w:r>
              <w:rPr>
                <w:rFonts w:ascii="宋体" w:hAnsi="宋体" w:eastAsia="宋体" w:cs="宋体"/>
                <w:spacing w:val="7"/>
                <w:sz w:val="20"/>
                <w:szCs w:val="20"/>
              </w:rPr>
              <w:t>死猪只</w:t>
            </w:r>
          </w:p>
        </w:tc>
        <w:tc>
          <w:tcPr>
            <w:tcW w:w="1368" w:type="dxa"/>
          </w:tcPr>
          <w:p w14:paraId="2B6A1047"/>
          <w:p w14:paraId="1EFF453E">
            <w:pPr>
              <w:spacing w:line="241" w:lineRule="auto"/>
            </w:pPr>
          </w:p>
          <w:p w14:paraId="42102002">
            <w:pPr>
              <w:spacing w:before="57" w:line="281" w:lineRule="exact"/>
              <w:ind w:left="86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1316" w:type="dxa"/>
          </w:tcPr>
          <w:p w14:paraId="7FA8C750"/>
          <w:p w14:paraId="08F3390F">
            <w:pPr>
              <w:spacing w:line="241" w:lineRule="auto"/>
            </w:pPr>
          </w:p>
          <w:p w14:paraId="75E0A4A0">
            <w:pPr>
              <w:spacing w:before="57" w:line="281" w:lineRule="exact"/>
              <w:ind w:left="339"/>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14.56</w:t>
            </w:r>
            <w:r>
              <w:rPr>
                <w:rFonts w:ascii="Times New Roman" w:hAnsi="Times New Roman" w:eastAsia="Times New Roman" w:cs="Times New Roman"/>
                <w:position w:val="2"/>
                <w:sz w:val="20"/>
                <w:szCs w:val="20"/>
              </w:rPr>
              <w:t>t</w:t>
            </w:r>
            <w:r>
              <w:rPr>
                <w:rFonts w:ascii="Times New Roman" w:hAnsi="Times New Roman" w:eastAsia="Times New Roman" w:cs="Times New Roman"/>
                <w:spacing w:val="1"/>
                <w:position w:val="2"/>
                <w:sz w:val="20"/>
                <w:szCs w:val="20"/>
              </w:rPr>
              <w:t>/</w:t>
            </w:r>
            <w:r>
              <w:rPr>
                <w:rFonts w:ascii="Times New Roman" w:hAnsi="Times New Roman" w:eastAsia="Times New Roman" w:cs="Times New Roman"/>
                <w:position w:val="2"/>
                <w:sz w:val="20"/>
                <w:szCs w:val="20"/>
              </w:rPr>
              <w:t>a</w:t>
            </w:r>
          </w:p>
        </w:tc>
        <w:tc>
          <w:tcPr>
            <w:tcW w:w="2579" w:type="dxa"/>
          </w:tcPr>
          <w:p w14:paraId="46188676">
            <w:pPr>
              <w:spacing w:before="34" w:line="228" w:lineRule="auto"/>
              <w:ind w:left="140"/>
              <w:rPr>
                <w:rFonts w:ascii="宋体" w:hAnsi="宋体" w:eastAsia="宋体" w:cs="宋体"/>
                <w:sz w:val="20"/>
                <w:szCs w:val="20"/>
              </w:rPr>
            </w:pPr>
            <w:r>
              <w:rPr>
                <w:rFonts w:ascii="宋体" w:hAnsi="宋体" w:eastAsia="宋体" w:cs="宋体"/>
                <w:spacing w:val="9"/>
                <w:sz w:val="20"/>
                <w:szCs w:val="20"/>
              </w:rPr>
              <w:t>严格按照乐山市沙湾区人</w:t>
            </w:r>
          </w:p>
          <w:p w14:paraId="35EB2BEB">
            <w:pPr>
              <w:spacing w:before="26" w:line="227" w:lineRule="auto"/>
              <w:ind w:left="160"/>
              <w:rPr>
                <w:rFonts w:ascii="宋体" w:hAnsi="宋体" w:eastAsia="宋体" w:cs="宋体"/>
                <w:sz w:val="20"/>
                <w:szCs w:val="20"/>
              </w:rPr>
            </w:pPr>
            <w:r>
              <w:rPr>
                <w:rFonts w:ascii="宋体" w:hAnsi="宋体" w:eastAsia="宋体" w:cs="宋体"/>
                <w:spacing w:val="10"/>
                <w:sz w:val="20"/>
                <w:szCs w:val="20"/>
              </w:rPr>
              <w:t>民</w:t>
            </w:r>
            <w:r>
              <w:rPr>
                <w:rFonts w:ascii="宋体" w:hAnsi="宋体" w:eastAsia="宋体" w:cs="宋体"/>
                <w:spacing w:val="7"/>
                <w:sz w:val="20"/>
                <w:szCs w:val="20"/>
              </w:rPr>
              <w:t>政府办公室《关于建立</w:t>
            </w:r>
          </w:p>
          <w:p w14:paraId="1A00A20D">
            <w:pPr>
              <w:spacing w:before="25" w:line="227" w:lineRule="auto"/>
              <w:ind w:left="138"/>
              <w:rPr>
                <w:rFonts w:ascii="宋体" w:hAnsi="宋体" w:eastAsia="宋体" w:cs="宋体"/>
                <w:sz w:val="20"/>
                <w:szCs w:val="20"/>
              </w:rPr>
            </w:pPr>
            <w:r>
              <w:rPr>
                <w:rFonts w:ascii="宋体" w:hAnsi="宋体" w:eastAsia="宋体" w:cs="宋体"/>
                <w:spacing w:val="11"/>
                <w:sz w:val="20"/>
                <w:szCs w:val="20"/>
              </w:rPr>
              <w:t>病</w:t>
            </w:r>
            <w:r>
              <w:rPr>
                <w:rFonts w:ascii="宋体" w:hAnsi="宋体" w:eastAsia="宋体" w:cs="宋体"/>
                <w:spacing w:val="9"/>
                <w:sz w:val="20"/>
                <w:szCs w:val="20"/>
              </w:rPr>
              <w:t>死畜禽无害化处理机制</w:t>
            </w:r>
          </w:p>
          <w:p w14:paraId="255591BC">
            <w:pPr>
              <w:spacing w:before="27" w:line="216" w:lineRule="auto"/>
              <w:ind w:left="262"/>
              <w:rPr>
                <w:rFonts w:ascii="宋体" w:hAnsi="宋体" w:eastAsia="宋体" w:cs="宋体"/>
                <w:sz w:val="20"/>
                <w:szCs w:val="20"/>
              </w:rPr>
            </w:pPr>
            <w:r>
              <w:rPr>
                <w:rFonts w:ascii="宋体" w:hAnsi="宋体" w:eastAsia="宋体" w:cs="宋体"/>
                <w:spacing w:val="-4"/>
                <w:sz w:val="20"/>
                <w:szCs w:val="20"/>
              </w:rPr>
              <w:t>的通</w:t>
            </w:r>
            <w:r>
              <w:rPr>
                <w:rFonts w:ascii="宋体" w:hAnsi="宋体" w:eastAsia="宋体" w:cs="宋体"/>
                <w:spacing w:val="-2"/>
                <w:sz w:val="20"/>
                <w:szCs w:val="20"/>
              </w:rPr>
              <w:t>知》  (乐沙府办函</w:t>
            </w:r>
          </w:p>
          <w:p w14:paraId="5EC497EF">
            <w:pPr>
              <w:spacing w:line="281" w:lineRule="exact"/>
              <w:ind w:left="124"/>
              <w:rPr>
                <w:rFonts w:ascii="宋体" w:hAnsi="宋体" w:eastAsia="宋体" w:cs="宋体"/>
                <w:sz w:val="20"/>
                <w:szCs w:val="20"/>
              </w:rPr>
            </w:pPr>
            <w:r>
              <w:rPr>
                <w:rFonts w:ascii="Times New Roman" w:hAnsi="Times New Roman" w:eastAsia="Times New Roman" w:cs="Times New Roman"/>
                <w:spacing w:val="1"/>
                <w:position w:val="2"/>
                <w:sz w:val="20"/>
                <w:szCs w:val="20"/>
              </w:rPr>
              <w:t xml:space="preserve">[2018] 1 </w:t>
            </w:r>
            <w:r>
              <w:rPr>
                <w:rFonts w:ascii="宋体" w:hAnsi="宋体" w:eastAsia="宋体" w:cs="宋体"/>
                <w:spacing w:val="1"/>
                <w:position w:val="2"/>
                <w:sz w:val="20"/>
                <w:szCs w:val="20"/>
              </w:rPr>
              <w:t>号)</w:t>
            </w:r>
            <w:r>
              <w:rPr>
                <w:rFonts w:ascii="宋体" w:hAnsi="宋体" w:eastAsia="宋体" w:cs="宋体"/>
                <w:position w:val="2"/>
                <w:sz w:val="20"/>
                <w:szCs w:val="20"/>
              </w:rPr>
              <w:t xml:space="preserve"> 要求，在乐山</w:t>
            </w:r>
          </w:p>
        </w:tc>
        <w:tc>
          <w:tcPr>
            <w:tcW w:w="2698" w:type="dxa"/>
            <w:gridSpan w:val="2"/>
          </w:tcPr>
          <w:p w14:paraId="3705A655">
            <w:pPr>
              <w:spacing w:line="277" w:lineRule="auto"/>
            </w:pPr>
          </w:p>
          <w:p w14:paraId="6ECAE40B">
            <w:pPr>
              <w:spacing w:line="277" w:lineRule="auto"/>
            </w:pPr>
          </w:p>
          <w:p w14:paraId="789B59AD">
            <w:pPr>
              <w:spacing w:before="57" w:line="195" w:lineRule="auto"/>
              <w:ind w:left="1510"/>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3771" w:type="dxa"/>
          </w:tcPr>
          <w:p w14:paraId="7ACC4066">
            <w:pPr>
              <w:spacing w:line="255" w:lineRule="auto"/>
            </w:pPr>
          </w:p>
          <w:p w14:paraId="08CF8151">
            <w:pPr>
              <w:spacing w:line="255" w:lineRule="auto"/>
            </w:pPr>
          </w:p>
          <w:p w14:paraId="1BA0C86F">
            <w:pPr>
              <w:spacing w:before="65" w:line="228" w:lineRule="auto"/>
              <w:ind w:left="114"/>
              <w:rPr>
                <w:rFonts w:ascii="宋体" w:hAnsi="宋体" w:eastAsia="宋体" w:cs="宋体"/>
                <w:sz w:val="20"/>
                <w:szCs w:val="20"/>
              </w:rPr>
            </w:pPr>
            <w:r>
              <w:rPr>
                <w:rFonts w:ascii="宋体" w:hAnsi="宋体" w:eastAsia="宋体" w:cs="宋体"/>
                <w:spacing w:val="16"/>
                <w:sz w:val="20"/>
                <w:szCs w:val="20"/>
              </w:rPr>
              <w:t>满</w:t>
            </w:r>
            <w:r>
              <w:rPr>
                <w:rFonts w:ascii="宋体" w:hAnsi="宋体" w:eastAsia="宋体" w:cs="宋体"/>
                <w:spacing w:val="13"/>
                <w:sz w:val="20"/>
                <w:szCs w:val="20"/>
              </w:rPr>
              <w:t>足</w:t>
            </w:r>
            <w:r>
              <w:rPr>
                <w:rFonts w:ascii="宋体" w:hAnsi="宋体" w:eastAsia="宋体" w:cs="宋体"/>
                <w:spacing w:val="8"/>
                <w:sz w:val="20"/>
                <w:szCs w:val="20"/>
              </w:rPr>
              <w:t>《病死动物无害化处理技术规范》</w:t>
            </w:r>
          </w:p>
        </w:tc>
        <w:tc>
          <w:tcPr>
            <w:tcW w:w="967" w:type="dxa"/>
            <w:tcBorders>
              <w:right w:val="nil"/>
            </w:tcBorders>
          </w:tcPr>
          <w:p w14:paraId="02361329"/>
          <w:p w14:paraId="6F89AE49">
            <w:pPr>
              <w:spacing w:line="241" w:lineRule="auto"/>
            </w:pPr>
          </w:p>
          <w:p w14:paraId="0FF00EAD">
            <w:pPr>
              <w:spacing w:before="57" w:line="281" w:lineRule="exact"/>
              <w:ind w:left="66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bl>
    <w:p w14:paraId="642B1A64">
      <w:pPr>
        <w:spacing w:line="84" w:lineRule="exact"/>
        <w:rPr>
          <w:sz w:val="7"/>
        </w:rPr>
      </w:pPr>
    </w:p>
    <w:p w14:paraId="64A05A73">
      <w:pPr>
        <w:sectPr>
          <w:headerReference r:id="rId143" w:type="default"/>
          <w:footerReference r:id="rId144" w:type="default"/>
          <w:pgSz w:w="16840" w:h="11907"/>
          <w:pgMar w:top="829" w:right="831" w:bottom="1138" w:left="791" w:header="595" w:footer="952" w:gutter="0"/>
          <w:cols w:space="720" w:num="1"/>
        </w:sectPr>
      </w:pPr>
    </w:p>
    <w:p w14:paraId="76BACBBC"/>
    <w:p w14:paraId="7726E2F4">
      <w:pPr>
        <w:spacing w:line="204" w:lineRule="exact"/>
      </w:pPr>
    </w:p>
    <w:tbl>
      <w:tblPr>
        <w:tblStyle w:val="4"/>
        <w:tblW w:w="1521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1"/>
        <w:gridCol w:w="1203"/>
        <w:gridCol w:w="913"/>
        <w:gridCol w:w="1368"/>
        <w:gridCol w:w="1316"/>
        <w:gridCol w:w="2579"/>
        <w:gridCol w:w="1499"/>
        <w:gridCol w:w="1199"/>
        <w:gridCol w:w="3771"/>
        <w:gridCol w:w="967"/>
      </w:tblGrid>
      <w:tr w14:paraId="487F71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401" w:type="dxa"/>
            <w:vMerge w:val="restart"/>
            <w:tcBorders>
              <w:left w:val="nil"/>
              <w:bottom w:val="nil"/>
            </w:tcBorders>
            <w:textDirection w:val="tbRlV"/>
          </w:tcPr>
          <w:p w14:paraId="29DDADFE">
            <w:pPr>
              <w:spacing w:before="81" w:line="216" w:lineRule="auto"/>
              <w:ind w:left="59"/>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类</w:t>
            </w:r>
            <w:r>
              <w:rPr>
                <w:rFonts w:ascii="宋体" w:hAnsi="宋体" w:eastAsia="宋体" w:cs="宋体"/>
                <w:spacing w:val="-6"/>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别</w:t>
            </w:r>
          </w:p>
        </w:tc>
        <w:tc>
          <w:tcPr>
            <w:tcW w:w="1203" w:type="dxa"/>
            <w:vMerge w:val="restart"/>
            <w:tcBorders>
              <w:bottom w:val="nil"/>
            </w:tcBorders>
          </w:tcPr>
          <w:p w14:paraId="3868ACC9">
            <w:pPr>
              <w:spacing w:before="196" w:line="228" w:lineRule="auto"/>
              <w:ind w:left="292"/>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污染源</w:t>
            </w:r>
          </w:p>
        </w:tc>
        <w:tc>
          <w:tcPr>
            <w:tcW w:w="913" w:type="dxa"/>
            <w:vMerge w:val="restart"/>
            <w:tcBorders>
              <w:bottom w:val="nil"/>
            </w:tcBorders>
          </w:tcPr>
          <w:p w14:paraId="22B967C0">
            <w:pPr>
              <w:spacing w:before="196" w:line="228" w:lineRule="auto"/>
              <w:ind w:left="148"/>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污染物</w:t>
            </w:r>
          </w:p>
        </w:tc>
        <w:tc>
          <w:tcPr>
            <w:tcW w:w="2684" w:type="dxa"/>
            <w:gridSpan w:val="2"/>
          </w:tcPr>
          <w:p w14:paraId="3DCDE43A">
            <w:pPr>
              <w:spacing w:before="57" w:line="225" w:lineRule="auto"/>
              <w:ind w:left="1136"/>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产</w:t>
            </w:r>
            <w:r>
              <w:rPr>
                <w:rFonts w:ascii="宋体" w:hAnsi="宋体" w:eastAsia="宋体" w:cs="宋体"/>
                <w:spacing w:val="8"/>
                <w:sz w:val="20"/>
                <w:szCs w:val="20"/>
                <w14:textOutline w14:w="3797" w14:cap="sq" w14:cmpd="sng" w14:algn="ctr">
                  <w14:solidFill>
                    <w14:srgbClr w14:val="000000"/>
                  </w14:solidFill>
                  <w14:prstDash w14:val="solid"/>
                  <w14:bevel/>
                </w14:textOutline>
              </w:rPr>
              <w:t>生情况</w:t>
            </w:r>
          </w:p>
        </w:tc>
        <w:tc>
          <w:tcPr>
            <w:tcW w:w="2579" w:type="dxa"/>
            <w:vMerge w:val="restart"/>
            <w:tcBorders>
              <w:bottom w:val="nil"/>
            </w:tcBorders>
          </w:tcPr>
          <w:p w14:paraId="1EB956BF">
            <w:pPr>
              <w:spacing w:before="196" w:line="228" w:lineRule="auto"/>
              <w:ind w:left="1090"/>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治</w:t>
            </w:r>
            <w:r>
              <w:rPr>
                <w:rFonts w:ascii="宋体" w:hAnsi="宋体" w:eastAsia="宋体" w:cs="宋体"/>
                <w:spacing w:val="7"/>
                <w:sz w:val="20"/>
                <w:szCs w:val="20"/>
                <w14:textOutline w14:w="3797" w14:cap="sq" w14:cmpd="sng" w14:algn="ctr">
                  <w14:solidFill>
                    <w14:srgbClr w14:val="000000"/>
                  </w14:solidFill>
                  <w14:prstDash w14:val="solid"/>
                  <w14:bevel/>
                </w14:textOutline>
              </w:rPr>
              <w:t>理措施</w:t>
            </w:r>
          </w:p>
        </w:tc>
        <w:tc>
          <w:tcPr>
            <w:tcW w:w="2698" w:type="dxa"/>
            <w:gridSpan w:val="2"/>
          </w:tcPr>
          <w:p w14:paraId="4741906A">
            <w:pPr>
              <w:spacing w:before="57" w:line="225" w:lineRule="auto"/>
              <w:ind w:left="1144"/>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排</w:t>
            </w:r>
            <w:r>
              <w:rPr>
                <w:rFonts w:ascii="宋体" w:hAnsi="宋体" w:eastAsia="宋体" w:cs="宋体"/>
                <w:spacing w:val="8"/>
                <w:sz w:val="20"/>
                <w:szCs w:val="20"/>
                <w14:textOutline w14:w="3797" w14:cap="sq" w14:cmpd="sng" w14:algn="ctr">
                  <w14:solidFill>
                    <w14:srgbClr w14:val="000000"/>
                  </w14:solidFill>
                  <w14:prstDash w14:val="solid"/>
                  <w14:bevel/>
                </w14:textOutline>
              </w:rPr>
              <w:t>放情况</w:t>
            </w:r>
          </w:p>
        </w:tc>
        <w:tc>
          <w:tcPr>
            <w:tcW w:w="3771" w:type="dxa"/>
            <w:vMerge w:val="restart"/>
            <w:tcBorders>
              <w:bottom w:val="nil"/>
            </w:tcBorders>
          </w:tcPr>
          <w:p w14:paraId="394E00BC">
            <w:pPr>
              <w:spacing w:before="196" w:line="228" w:lineRule="auto"/>
              <w:ind w:left="1995"/>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执</w:t>
            </w:r>
            <w:r>
              <w:rPr>
                <w:rFonts w:ascii="宋体" w:hAnsi="宋体" w:eastAsia="宋体" w:cs="宋体"/>
                <w:spacing w:val="8"/>
                <w:sz w:val="20"/>
                <w:szCs w:val="20"/>
                <w14:textOutline w14:w="3797" w14:cap="sq" w14:cmpd="sng" w14:algn="ctr">
                  <w14:solidFill>
                    <w14:srgbClr w14:val="000000"/>
                  </w14:solidFill>
                  <w14:prstDash w14:val="solid"/>
                  <w14:bevel/>
                </w14:textOutline>
              </w:rPr>
              <w:t>行标准</w:t>
            </w:r>
          </w:p>
        </w:tc>
        <w:tc>
          <w:tcPr>
            <w:tcW w:w="967" w:type="dxa"/>
            <w:vMerge w:val="restart"/>
            <w:tcBorders>
              <w:bottom w:val="nil"/>
              <w:right w:val="nil"/>
            </w:tcBorders>
          </w:tcPr>
          <w:p w14:paraId="007EF80E">
            <w:pPr>
              <w:spacing w:before="59" w:line="274" w:lineRule="exact"/>
              <w:ind w:left="279"/>
              <w:rPr>
                <w:rFonts w:ascii="宋体" w:hAnsi="宋体" w:eastAsia="宋体" w:cs="宋体"/>
                <w:sz w:val="20"/>
                <w:szCs w:val="20"/>
              </w:rPr>
            </w:pPr>
            <w:r>
              <w:rPr>
                <w:rFonts w:ascii="宋体" w:hAnsi="宋体" w:eastAsia="宋体" w:cs="宋体"/>
                <w:spacing w:val="6"/>
                <w:position w:val="4"/>
                <w:sz w:val="20"/>
                <w:szCs w:val="20"/>
                <w14:textOutline w14:w="3797" w14:cap="sq" w14:cmpd="sng" w14:algn="ctr">
                  <w14:solidFill>
                    <w14:srgbClr w14:val="000000"/>
                  </w14:solidFill>
                  <w14:prstDash w14:val="solid"/>
                  <w14:bevel/>
                </w14:textOutline>
              </w:rPr>
              <w:t>排放</w:t>
            </w:r>
          </w:p>
          <w:p w14:paraId="21FED6B4">
            <w:pPr>
              <w:spacing w:line="229" w:lineRule="auto"/>
              <w:ind w:left="279"/>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方</w:t>
            </w:r>
            <w:r>
              <w:rPr>
                <w:rFonts w:ascii="宋体" w:hAnsi="宋体" w:eastAsia="宋体" w:cs="宋体"/>
                <w:spacing w:val="5"/>
                <w:sz w:val="20"/>
                <w:szCs w:val="20"/>
                <w14:textOutline w14:w="3797" w14:cap="sq" w14:cmpd="sng" w14:algn="ctr">
                  <w14:solidFill>
                    <w14:srgbClr w14:val="000000"/>
                  </w14:solidFill>
                  <w14:prstDash w14:val="solid"/>
                  <w14:bevel/>
                </w14:textOutline>
              </w:rPr>
              <w:t>式</w:t>
            </w:r>
          </w:p>
        </w:tc>
      </w:tr>
      <w:tr w14:paraId="03393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401" w:type="dxa"/>
            <w:vMerge w:val="continue"/>
            <w:tcBorders>
              <w:top w:val="nil"/>
              <w:left w:val="nil"/>
            </w:tcBorders>
            <w:textDirection w:val="tbRlV"/>
          </w:tcPr>
          <w:p w14:paraId="5C41D7AA"/>
        </w:tc>
        <w:tc>
          <w:tcPr>
            <w:tcW w:w="1203" w:type="dxa"/>
            <w:vMerge w:val="continue"/>
            <w:tcBorders>
              <w:top w:val="nil"/>
            </w:tcBorders>
          </w:tcPr>
          <w:p w14:paraId="64FB7903"/>
        </w:tc>
        <w:tc>
          <w:tcPr>
            <w:tcW w:w="913" w:type="dxa"/>
            <w:vMerge w:val="continue"/>
            <w:tcBorders>
              <w:top w:val="nil"/>
            </w:tcBorders>
          </w:tcPr>
          <w:p w14:paraId="1E5E4348"/>
        </w:tc>
        <w:tc>
          <w:tcPr>
            <w:tcW w:w="1368" w:type="dxa"/>
          </w:tcPr>
          <w:p w14:paraId="2147D6CF">
            <w:pPr>
              <w:spacing w:line="277" w:lineRule="exact"/>
              <w:ind w:left="114"/>
              <w:rPr>
                <w:rFonts w:ascii="宋体" w:hAnsi="宋体" w:eastAsia="宋体" w:cs="宋体"/>
                <w:sz w:val="20"/>
                <w:szCs w:val="20"/>
              </w:rPr>
            </w:pPr>
            <w:r>
              <w:rPr>
                <w:rFonts w:ascii="宋体" w:hAnsi="宋体" w:eastAsia="宋体" w:cs="宋体"/>
                <w:spacing w:val="7"/>
                <w:position w:val="1"/>
                <w:sz w:val="20"/>
                <w:szCs w:val="20"/>
                <w14:textOutline w14:w="3657" w14:cap="sq" w14:cmpd="sng" w14:algn="ctr">
                  <w14:solidFill>
                    <w14:srgbClr w14:val="000000"/>
                  </w14:solidFill>
                  <w14:prstDash w14:val="solid"/>
                  <w14:bevel/>
                </w14:textOutline>
              </w:rPr>
              <w:t>浓度</w:t>
            </w:r>
            <w:r>
              <w:rPr>
                <w:rFonts w:ascii="Times New Roman" w:hAnsi="Times New Roman" w:eastAsia="Times New Roman" w:cs="Times New Roman"/>
                <w:b/>
                <w:bCs/>
                <w:spacing w:val="7"/>
                <w:position w:val="1"/>
                <w:sz w:val="20"/>
                <w:szCs w:val="20"/>
              </w:rPr>
              <w:t>/</w:t>
            </w:r>
            <w:r>
              <w:rPr>
                <w:rFonts w:ascii="宋体" w:hAnsi="宋体" w:eastAsia="宋体" w:cs="宋体"/>
                <w:spacing w:val="7"/>
                <w:position w:val="1"/>
                <w:sz w:val="20"/>
                <w:szCs w:val="20"/>
                <w14:textOutline w14:w="3657" w14:cap="sq" w14:cmpd="sng" w14:algn="ctr">
                  <w14:solidFill>
                    <w14:srgbClr w14:val="000000"/>
                  </w14:solidFill>
                  <w14:prstDash w14:val="solid"/>
                  <w14:bevel/>
                </w14:textOutline>
              </w:rPr>
              <w:t>速</w:t>
            </w:r>
            <w:r>
              <w:rPr>
                <w:rFonts w:ascii="宋体" w:hAnsi="宋体" w:eastAsia="宋体" w:cs="宋体"/>
                <w:spacing w:val="6"/>
                <w:position w:val="1"/>
                <w:sz w:val="20"/>
                <w:szCs w:val="20"/>
                <w14:textOutline w14:w="3657" w14:cap="sq" w14:cmpd="sng" w14:algn="ctr">
                  <w14:solidFill>
                    <w14:srgbClr w14:val="000000"/>
                  </w14:solidFill>
                  <w14:prstDash w14:val="solid"/>
                  <w14:bevel/>
                </w14:textOutline>
              </w:rPr>
              <w:t>率</w:t>
            </w:r>
          </w:p>
        </w:tc>
        <w:tc>
          <w:tcPr>
            <w:tcW w:w="1316" w:type="dxa"/>
          </w:tcPr>
          <w:p w14:paraId="5C0878C6">
            <w:pPr>
              <w:spacing w:before="32" w:line="227" w:lineRule="auto"/>
              <w:ind w:left="114"/>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产</w:t>
            </w:r>
            <w:r>
              <w:rPr>
                <w:rFonts w:ascii="宋体" w:hAnsi="宋体" w:eastAsia="宋体" w:cs="宋体"/>
                <w:spacing w:val="7"/>
                <w:sz w:val="20"/>
                <w:szCs w:val="20"/>
                <w14:textOutline w14:w="3797" w14:cap="sq" w14:cmpd="sng" w14:algn="ctr">
                  <w14:solidFill>
                    <w14:srgbClr w14:val="000000"/>
                  </w14:solidFill>
                  <w14:prstDash w14:val="solid"/>
                  <w14:bevel/>
                </w14:textOutline>
              </w:rPr>
              <w:t>生量</w:t>
            </w:r>
          </w:p>
        </w:tc>
        <w:tc>
          <w:tcPr>
            <w:tcW w:w="2579" w:type="dxa"/>
            <w:vMerge w:val="continue"/>
            <w:tcBorders>
              <w:top w:val="nil"/>
            </w:tcBorders>
          </w:tcPr>
          <w:p w14:paraId="4C0E18E6"/>
        </w:tc>
        <w:tc>
          <w:tcPr>
            <w:tcW w:w="1499" w:type="dxa"/>
          </w:tcPr>
          <w:p w14:paraId="53DE08A5">
            <w:pPr>
              <w:spacing w:line="277" w:lineRule="exact"/>
              <w:ind w:left="306"/>
              <w:rPr>
                <w:rFonts w:ascii="宋体" w:hAnsi="宋体" w:eastAsia="宋体" w:cs="宋体"/>
                <w:sz w:val="20"/>
                <w:szCs w:val="20"/>
              </w:rPr>
            </w:pPr>
            <w:r>
              <w:rPr>
                <w:rFonts w:ascii="宋体" w:hAnsi="宋体" w:eastAsia="宋体" w:cs="宋体"/>
                <w:spacing w:val="7"/>
                <w:position w:val="1"/>
                <w:sz w:val="20"/>
                <w:szCs w:val="20"/>
                <w14:textOutline w14:w="3657" w14:cap="sq" w14:cmpd="sng" w14:algn="ctr">
                  <w14:solidFill>
                    <w14:srgbClr w14:val="000000"/>
                  </w14:solidFill>
                  <w14:prstDash w14:val="solid"/>
                  <w14:bevel/>
                </w14:textOutline>
              </w:rPr>
              <w:t>浓度</w:t>
            </w:r>
            <w:r>
              <w:rPr>
                <w:rFonts w:ascii="Times New Roman" w:hAnsi="Times New Roman" w:eastAsia="Times New Roman" w:cs="Times New Roman"/>
                <w:b/>
                <w:bCs/>
                <w:spacing w:val="7"/>
                <w:position w:val="1"/>
                <w:sz w:val="20"/>
                <w:szCs w:val="20"/>
              </w:rPr>
              <w:t>/</w:t>
            </w:r>
            <w:r>
              <w:rPr>
                <w:rFonts w:ascii="宋体" w:hAnsi="宋体" w:eastAsia="宋体" w:cs="宋体"/>
                <w:spacing w:val="7"/>
                <w:position w:val="1"/>
                <w:sz w:val="20"/>
                <w:szCs w:val="20"/>
                <w14:textOutline w14:w="3657" w14:cap="sq" w14:cmpd="sng" w14:algn="ctr">
                  <w14:solidFill>
                    <w14:srgbClr w14:val="000000"/>
                  </w14:solidFill>
                  <w14:prstDash w14:val="solid"/>
                  <w14:bevel/>
                </w14:textOutline>
              </w:rPr>
              <w:t>速</w:t>
            </w:r>
            <w:r>
              <w:rPr>
                <w:rFonts w:ascii="宋体" w:hAnsi="宋体" w:eastAsia="宋体" w:cs="宋体"/>
                <w:spacing w:val="6"/>
                <w:position w:val="1"/>
                <w:sz w:val="20"/>
                <w:szCs w:val="20"/>
                <w14:textOutline w14:w="3657" w14:cap="sq" w14:cmpd="sng" w14:algn="ctr">
                  <w14:solidFill>
                    <w14:srgbClr w14:val="000000"/>
                  </w14:solidFill>
                  <w14:prstDash w14:val="solid"/>
                  <w14:bevel/>
                </w14:textOutline>
              </w:rPr>
              <w:t>率</w:t>
            </w:r>
          </w:p>
        </w:tc>
        <w:tc>
          <w:tcPr>
            <w:tcW w:w="1199" w:type="dxa"/>
          </w:tcPr>
          <w:p w14:paraId="07FE7AA9">
            <w:pPr>
              <w:spacing w:before="32" w:line="227" w:lineRule="auto"/>
              <w:ind w:left="290"/>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排</w:t>
            </w:r>
            <w:r>
              <w:rPr>
                <w:rFonts w:ascii="宋体" w:hAnsi="宋体" w:eastAsia="宋体" w:cs="宋体"/>
                <w:spacing w:val="7"/>
                <w:sz w:val="20"/>
                <w:szCs w:val="20"/>
                <w14:textOutline w14:w="3797" w14:cap="sq" w14:cmpd="sng" w14:algn="ctr">
                  <w14:solidFill>
                    <w14:srgbClr w14:val="000000"/>
                  </w14:solidFill>
                  <w14:prstDash w14:val="solid"/>
                  <w14:bevel/>
                </w14:textOutline>
              </w:rPr>
              <w:t>放量</w:t>
            </w:r>
          </w:p>
        </w:tc>
        <w:tc>
          <w:tcPr>
            <w:tcW w:w="3771" w:type="dxa"/>
            <w:vMerge w:val="continue"/>
            <w:tcBorders>
              <w:top w:val="nil"/>
            </w:tcBorders>
          </w:tcPr>
          <w:p w14:paraId="48B45B45"/>
        </w:tc>
        <w:tc>
          <w:tcPr>
            <w:tcW w:w="967" w:type="dxa"/>
            <w:vMerge w:val="continue"/>
            <w:tcBorders>
              <w:top w:val="nil"/>
              <w:right w:val="nil"/>
            </w:tcBorders>
          </w:tcPr>
          <w:p w14:paraId="4A1E308B"/>
        </w:tc>
      </w:tr>
      <w:tr w14:paraId="1648C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7" w:hRule="atLeast"/>
        </w:trPr>
        <w:tc>
          <w:tcPr>
            <w:tcW w:w="401" w:type="dxa"/>
            <w:vMerge w:val="restart"/>
            <w:tcBorders>
              <w:left w:val="nil"/>
              <w:bottom w:val="nil"/>
            </w:tcBorders>
          </w:tcPr>
          <w:p w14:paraId="44783672"/>
        </w:tc>
        <w:tc>
          <w:tcPr>
            <w:tcW w:w="2116" w:type="dxa"/>
            <w:gridSpan w:val="2"/>
          </w:tcPr>
          <w:p w14:paraId="52CD8191"/>
        </w:tc>
        <w:tc>
          <w:tcPr>
            <w:tcW w:w="1368" w:type="dxa"/>
          </w:tcPr>
          <w:p w14:paraId="30F07377"/>
        </w:tc>
        <w:tc>
          <w:tcPr>
            <w:tcW w:w="1316" w:type="dxa"/>
          </w:tcPr>
          <w:p w14:paraId="138A6344"/>
        </w:tc>
        <w:tc>
          <w:tcPr>
            <w:tcW w:w="2579" w:type="dxa"/>
          </w:tcPr>
          <w:p w14:paraId="3F0EE2AC">
            <w:pPr>
              <w:spacing w:before="33" w:line="251" w:lineRule="auto"/>
              <w:ind w:left="142" w:right="133" w:firstLine="3"/>
              <w:rPr>
                <w:rFonts w:ascii="宋体" w:hAnsi="宋体" w:eastAsia="宋体" w:cs="宋体"/>
                <w:sz w:val="20"/>
                <w:szCs w:val="20"/>
              </w:rPr>
            </w:pPr>
            <w:r>
              <w:rPr>
                <w:rFonts w:ascii="宋体" w:hAnsi="宋体" w:eastAsia="宋体" w:cs="宋体"/>
                <w:spacing w:val="15"/>
                <w:sz w:val="20"/>
                <w:szCs w:val="20"/>
              </w:rPr>
              <w:t>市</w:t>
            </w:r>
            <w:r>
              <w:rPr>
                <w:rFonts w:ascii="宋体" w:hAnsi="宋体" w:eastAsia="宋体" w:cs="宋体"/>
                <w:spacing w:val="8"/>
                <w:sz w:val="20"/>
                <w:szCs w:val="20"/>
              </w:rPr>
              <w:t>病死畜禽无害化处理中</w:t>
            </w:r>
            <w:r>
              <w:rPr>
                <w:rFonts w:ascii="宋体" w:hAnsi="宋体" w:eastAsia="宋体" w:cs="宋体"/>
                <w:sz w:val="20"/>
                <w:szCs w:val="20"/>
              </w:rPr>
              <w:t xml:space="preserve"> </w:t>
            </w:r>
            <w:r>
              <w:rPr>
                <w:rFonts w:ascii="宋体" w:hAnsi="宋体" w:eastAsia="宋体" w:cs="宋体"/>
                <w:spacing w:val="9"/>
                <w:sz w:val="20"/>
                <w:szCs w:val="20"/>
              </w:rPr>
              <w:t>心建成之前，委托专业</w:t>
            </w:r>
            <w:r>
              <w:rPr>
                <w:rFonts w:ascii="宋体" w:hAnsi="宋体" w:eastAsia="宋体" w:cs="宋体"/>
                <w:spacing w:val="8"/>
                <w:sz w:val="20"/>
                <w:szCs w:val="20"/>
              </w:rPr>
              <w:t>化</w:t>
            </w:r>
            <w:r>
              <w:rPr>
                <w:rFonts w:ascii="宋体" w:hAnsi="宋体" w:eastAsia="宋体" w:cs="宋体"/>
                <w:sz w:val="20"/>
                <w:szCs w:val="20"/>
              </w:rPr>
              <w:t xml:space="preserve"> </w:t>
            </w:r>
            <w:r>
              <w:rPr>
                <w:rFonts w:ascii="宋体" w:hAnsi="宋体" w:eastAsia="宋体" w:cs="宋体"/>
                <w:spacing w:val="9"/>
                <w:sz w:val="20"/>
                <w:szCs w:val="20"/>
              </w:rPr>
              <w:t>的公司进行无害化处置</w:t>
            </w:r>
            <w:r>
              <w:rPr>
                <w:rFonts w:ascii="宋体" w:hAnsi="宋体" w:eastAsia="宋体" w:cs="宋体"/>
                <w:spacing w:val="8"/>
                <w:sz w:val="20"/>
                <w:szCs w:val="20"/>
              </w:rPr>
              <w:t>，</w:t>
            </w:r>
            <w:r>
              <w:rPr>
                <w:rFonts w:ascii="宋体" w:hAnsi="宋体" w:eastAsia="宋体" w:cs="宋体"/>
                <w:sz w:val="20"/>
                <w:szCs w:val="20"/>
              </w:rPr>
              <w:t xml:space="preserve"> </w:t>
            </w:r>
            <w:r>
              <w:rPr>
                <w:rFonts w:ascii="宋体" w:hAnsi="宋体" w:eastAsia="宋体" w:cs="宋体"/>
                <w:spacing w:val="9"/>
                <w:sz w:val="20"/>
                <w:szCs w:val="20"/>
              </w:rPr>
              <w:t>乐山市病死畜禽无害化</w:t>
            </w:r>
            <w:r>
              <w:rPr>
                <w:rFonts w:ascii="宋体" w:hAnsi="宋体" w:eastAsia="宋体" w:cs="宋体"/>
                <w:spacing w:val="8"/>
                <w:sz w:val="20"/>
                <w:szCs w:val="20"/>
              </w:rPr>
              <w:t>处</w:t>
            </w:r>
            <w:r>
              <w:rPr>
                <w:rFonts w:ascii="宋体" w:hAnsi="宋体" w:eastAsia="宋体" w:cs="宋体"/>
                <w:sz w:val="20"/>
                <w:szCs w:val="20"/>
              </w:rPr>
              <w:t xml:space="preserve"> </w:t>
            </w:r>
            <w:r>
              <w:rPr>
                <w:rFonts w:ascii="宋体" w:hAnsi="宋体" w:eastAsia="宋体" w:cs="宋体"/>
                <w:spacing w:val="9"/>
                <w:sz w:val="20"/>
                <w:szCs w:val="20"/>
              </w:rPr>
              <w:t>理中心建成后交无害化</w:t>
            </w:r>
            <w:r>
              <w:rPr>
                <w:rFonts w:ascii="宋体" w:hAnsi="宋体" w:eastAsia="宋体" w:cs="宋体"/>
                <w:spacing w:val="8"/>
                <w:sz w:val="20"/>
                <w:szCs w:val="20"/>
              </w:rPr>
              <w:t>处</w:t>
            </w:r>
          </w:p>
          <w:p w14:paraId="391AB873">
            <w:pPr>
              <w:spacing w:line="225" w:lineRule="auto"/>
              <w:ind w:left="667"/>
              <w:rPr>
                <w:rFonts w:ascii="宋体" w:hAnsi="宋体" w:eastAsia="宋体" w:cs="宋体"/>
                <w:sz w:val="20"/>
                <w:szCs w:val="20"/>
              </w:rPr>
            </w:pPr>
            <w:r>
              <w:rPr>
                <w:rFonts w:ascii="宋体" w:hAnsi="宋体" w:eastAsia="宋体" w:cs="宋体"/>
                <w:spacing w:val="8"/>
                <w:sz w:val="20"/>
                <w:szCs w:val="20"/>
              </w:rPr>
              <w:t>理</w:t>
            </w:r>
            <w:r>
              <w:rPr>
                <w:rFonts w:ascii="宋体" w:hAnsi="宋体" w:eastAsia="宋体" w:cs="宋体"/>
                <w:spacing w:val="6"/>
                <w:sz w:val="20"/>
                <w:szCs w:val="20"/>
              </w:rPr>
              <w:t>中心处置。</w:t>
            </w:r>
          </w:p>
        </w:tc>
        <w:tc>
          <w:tcPr>
            <w:tcW w:w="2698" w:type="dxa"/>
            <w:gridSpan w:val="2"/>
            <w:vMerge w:val="restart"/>
            <w:tcBorders>
              <w:bottom w:val="nil"/>
            </w:tcBorders>
          </w:tcPr>
          <w:p w14:paraId="5122F70E"/>
        </w:tc>
        <w:tc>
          <w:tcPr>
            <w:tcW w:w="3771" w:type="dxa"/>
          </w:tcPr>
          <w:p w14:paraId="456CC7C6"/>
        </w:tc>
        <w:tc>
          <w:tcPr>
            <w:tcW w:w="967" w:type="dxa"/>
            <w:tcBorders>
              <w:right w:val="nil"/>
            </w:tcBorders>
          </w:tcPr>
          <w:p w14:paraId="7938E226"/>
        </w:tc>
      </w:tr>
      <w:tr w14:paraId="47745C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401" w:type="dxa"/>
            <w:vMerge w:val="continue"/>
            <w:tcBorders>
              <w:top w:val="nil"/>
              <w:left w:val="nil"/>
              <w:bottom w:val="nil"/>
            </w:tcBorders>
          </w:tcPr>
          <w:p w14:paraId="015CDF56"/>
        </w:tc>
        <w:tc>
          <w:tcPr>
            <w:tcW w:w="2116" w:type="dxa"/>
            <w:gridSpan w:val="2"/>
          </w:tcPr>
          <w:p w14:paraId="62F0A63B">
            <w:pPr>
              <w:spacing w:before="168" w:line="228" w:lineRule="auto"/>
              <w:ind w:left="1063"/>
              <w:rPr>
                <w:rFonts w:ascii="宋体" w:hAnsi="宋体" w:eastAsia="宋体" w:cs="宋体"/>
                <w:sz w:val="20"/>
                <w:szCs w:val="20"/>
              </w:rPr>
            </w:pPr>
            <w:r>
              <w:rPr>
                <w:rFonts w:ascii="宋体" w:hAnsi="宋体" w:eastAsia="宋体" w:cs="宋体"/>
                <w:spacing w:val="5"/>
                <w:sz w:val="20"/>
                <w:szCs w:val="20"/>
              </w:rPr>
              <w:t>猪</w:t>
            </w:r>
            <w:r>
              <w:rPr>
                <w:rFonts w:ascii="宋体" w:hAnsi="宋体" w:eastAsia="宋体" w:cs="宋体"/>
                <w:spacing w:val="4"/>
                <w:sz w:val="20"/>
                <w:szCs w:val="20"/>
              </w:rPr>
              <w:t>粪</w:t>
            </w:r>
          </w:p>
        </w:tc>
        <w:tc>
          <w:tcPr>
            <w:tcW w:w="1368" w:type="dxa"/>
          </w:tcPr>
          <w:p w14:paraId="452603EB">
            <w:pPr>
              <w:spacing w:before="131" w:line="281" w:lineRule="exact"/>
              <w:ind w:left="86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1316" w:type="dxa"/>
          </w:tcPr>
          <w:p w14:paraId="5E71358C"/>
        </w:tc>
        <w:tc>
          <w:tcPr>
            <w:tcW w:w="2579" w:type="dxa"/>
          </w:tcPr>
          <w:p w14:paraId="38201A45">
            <w:pPr>
              <w:spacing w:before="34" w:line="237" w:lineRule="auto"/>
              <w:ind w:left="141" w:right="133" w:firstLine="2"/>
              <w:rPr>
                <w:rFonts w:ascii="宋体" w:hAnsi="宋体" w:eastAsia="宋体" w:cs="宋体"/>
                <w:sz w:val="20"/>
                <w:szCs w:val="20"/>
              </w:rPr>
            </w:pPr>
            <w:r>
              <w:rPr>
                <w:rFonts w:ascii="宋体" w:hAnsi="宋体" w:eastAsia="宋体" w:cs="宋体"/>
                <w:spacing w:val="16"/>
                <w:sz w:val="20"/>
                <w:szCs w:val="20"/>
              </w:rPr>
              <w:t>与</w:t>
            </w:r>
            <w:r>
              <w:rPr>
                <w:rFonts w:ascii="宋体" w:hAnsi="宋体" w:eastAsia="宋体" w:cs="宋体"/>
                <w:spacing w:val="8"/>
                <w:sz w:val="20"/>
                <w:szCs w:val="20"/>
              </w:rPr>
              <w:t>养殖废水一并经异位微</w:t>
            </w:r>
            <w:r>
              <w:rPr>
                <w:rFonts w:ascii="宋体" w:hAnsi="宋体" w:eastAsia="宋体" w:cs="宋体"/>
                <w:sz w:val="20"/>
                <w:szCs w:val="20"/>
              </w:rPr>
              <w:t xml:space="preserve"> </w:t>
            </w:r>
            <w:r>
              <w:rPr>
                <w:rFonts w:ascii="宋体" w:hAnsi="宋体" w:eastAsia="宋体" w:cs="宋体"/>
                <w:spacing w:val="16"/>
                <w:sz w:val="20"/>
                <w:szCs w:val="20"/>
              </w:rPr>
              <w:t>生</w:t>
            </w:r>
            <w:r>
              <w:rPr>
                <w:rFonts w:ascii="宋体" w:hAnsi="宋体" w:eastAsia="宋体" w:cs="宋体"/>
                <w:spacing w:val="8"/>
                <w:sz w:val="20"/>
                <w:szCs w:val="20"/>
              </w:rPr>
              <w:t>物发酵床处理系统处置</w:t>
            </w:r>
          </w:p>
        </w:tc>
        <w:tc>
          <w:tcPr>
            <w:tcW w:w="2698" w:type="dxa"/>
            <w:gridSpan w:val="2"/>
            <w:vMerge w:val="continue"/>
            <w:tcBorders>
              <w:top w:val="nil"/>
            </w:tcBorders>
          </w:tcPr>
          <w:p w14:paraId="429C9DCF"/>
        </w:tc>
        <w:tc>
          <w:tcPr>
            <w:tcW w:w="3771" w:type="dxa"/>
          </w:tcPr>
          <w:p w14:paraId="0D5EF8C0">
            <w:pPr>
              <w:spacing w:before="34" w:line="237" w:lineRule="auto"/>
              <w:ind w:left="172" w:right="155" w:firstLine="37"/>
              <w:rPr>
                <w:rFonts w:ascii="宋体" w:hAnsi="宋体" w:eastAsia="宋体" w:cs="宋体"/>
                <w:sz w:val="20"/>
                <w:szCs w:val="20"/>
              </w:rPr>
            </w:pPr>
            <w:r>
              <w:rPr>
                <w:rFonts w:ascii="宋体" w:hAnsi="宋体" w:eastAsia="宋体" w:cs="宋体"/>
                <w:spacing w:val="16"/>
                <w:sz w:val="20"/>
                <w:szCs w:val="20"/>
              </w:rPr>
              <w:t>满</w:t>
            </w:r>
            <w:r>
              <w:rPr>
                <w:rFonts w:ascii="宋体" w:hAnsi="宋体" w:eastAsia="宋体" w:cs="宋体"/>
                <w:spacing w:val="8"/>
                <w:sz w:val="20"/>
                <w:szCs w:val="20"/>
              </w:rPr>
              <w:t>足《畜禽养殖业污染物排放标准》</w:t>
            </w:r>
            <w:r>
              <w:rPr>
                <w:rFonts w:ascii="宋体" w:hAnsi="宋体" w:eastAsia="宋体" w:cs="宋体"/>
                <w:sz w:val="20"/>
                <w:szCs w:val="20"/>
              </w:rPr>
              <w:t xml:space="preserve"> </w:t>
            </w:r>
            <w:r>
              <w:rPr>
                <w:rFonts w:ascii="宋体" w:hAnsi="宋体" w:eastAsia="宋体" w:cs="宋体"/>
                <w:spacing w:val="9"/>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8"/>
                <w:sz w:val="20"/>
                <w:szCs w:val="20"/>
              </w:rPr>
              <w:t>18596- 2001</w:t>
            </w:r>
            <w:r>
              <w:rPr>
                <w:rFonts w:ascii="宋体" w:hAnsi="宋体" w:eastAsia="宋体" w:cs="宋体"/>
                <w:spacing w:val="8"/>
                <w:sz w:val="20"/>
                <w:szCs w:val="20"/>
              </w:rPr>
              <w:t xml:space="preserve">) 表 </w:t>
            </w:r>
            <w:r>
              <w:rPr>
                <w:rFonts w:ascii="Times New Roman" w:hAnsi="Times New Roman" w:eastAsia="Times New Roman" w:cs="Times New Roman"/>
                <w:spacing w:val="8"/>
                <w:sz w:val="20"/>
                <w:szCs w:val="20"/>
              </w:rPr>
              <w:t xml:space="preserve">6 </w:t>
            </w:r>
            <w:r>
              <w:rPr>
                <w:rFonts w:ascii="宋体" w:hAnsi="宋体" w:eastAsia="宋体" w:cs="宋体"/>
                <w:spacing w:val="8"/>
                <w:sz w:val="20"/>
                <w:szCs w:val="20"/>
              </w:rPr>
              <w:t>中的标准限值</w:t>
            </w:r>
          </w:p>
        </w:tc>
        <w:tc>
          <w:tcPr>
            <w:tcW w:w="967" w:type="dxa"/>
            <w:tcBorders>
              <w:right w:val="nil"/>
            </w:tcBorders>
          </w:tcPr>
          <w:p w14:paraId="0F799C78">
            <w:pPr>
              <w:spacing w:before="131" w:line="281" w:lineRule="exact"/>
              <w:ind w:left="66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6E87AA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401" w:type="dxa"/>
            <w:vMerge w:val="continue"/>
            <w:tcBorders>
              <w:top w:val="nil"/>
              <w:left w:val="nil"/>
              <w:bottom w:val="nil"/>
            </w:tcBorders>
          </w:tcPr>
          <w:p w14:paraId="56077103"/>
        </w:tc>
        <w:tc>
          <w:tcPr>
            <w:tcW w:w="2116" w:type="dxa"/>
            <w:gridSpan w:val="2"/>
          </w:tcPr>
          <w:p w14:paraId="76876025">
            <w:pPr>
              <w:spacing w:before="35" w:line="224" w:lineRule="auto"/>
              <w:ind w:left="854"/>
              <w:rPr>
                <w:rFonts w:ascii="宋体" w:hAnsi="宋体" w:eastAsia="宋体" w:cs="宋体"/>
                <w:sz w:val="20"/>
                <w:szCs w:val="20"/>
              </w:rPr>
            </w:pPr>
            <w:r>
              <w:rPr>
                <w:rFonts w:ascii="宋体" w:hAnsi="宋体" w:eastAsia="宋体" w:cs="宋体"/>
                <w:spacing w:val="7"/>
                <w:sz w:val="20"/>
                <w:szCs w:val="20"/>
              </w:rPr>
              <w:t>生活垃</w:t>
            </w:r>
            <w:r>
              <w:rPr>
                <w:rFonts w:ascii="宋体" w:hAnsi="宋体" w:eastAsia="宋体" w:cs="宋体"/>
                <w:spacing w:val="6"/>
                <w:sz w:val="20"/>
                <w:szCs w:val="20"/>
              </w:rPr>
              <w:t>圾</w:t>
            </w:r>
          </w:p>
        </w:tc>
        <w:tc>
          <w:tcPr>
            <w:tcW w:w="1368" w:type="dxa"/>
          </w:tcPr>
          <w:p w14:paraId="42806666">
            <w:pPr>
              <w:spacing w:line="277" w:lineRule="exact"/>
              <w:ind w:left="86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1316" w:type="dxa"/>
          </w:tcPr>
          <w:p w14:paraId="52E533BD"/>
        </w:tc>
        <w:tc>
          <w:tcPr>
            <w:tcW w:w="2579" w:type="dxa"/>
          </w:tcPr>
          <w:p w14:paraId="3DFECDF3">
            <w:pPr>
              <w:spacing w:before="35" w:line="224" w:lineRule="auto"/>
              <w:ind w:left="564"/>
              <w:rPr>
                <w:rFonts w:ascii="宋体" w:hAnsi="宋体" w:eastAsia="宋体" w:cs="宋体"/>
                <w:sz w:val="20"/>
                <w:szCs w:val="20"/>
              </w:rPr>
            </w:pPr>
            <w:r>
              <w:rPr>
                <w:rFonts w:ascii="宋体" w:hAnsi="宋体" w:eastAsia="宋体" w:cs="宋体"/>
                <w:spacing w:val="12"/>
                <w:sz w:val="20"/>
                <w:szCs w:val="20"/>
              </w:rPr>
              <w:t>交</w:t>
            </w:r>
            <w:r>
              <w:rPr>
                <w:rFonts w:ascii="宋体" w:hAnsi="宋体" w:eastAsia="宋体" w:cs="宋体"/>
                <w:spacing w:val="8"/>
                <w:sz w:val="20"/>
                <w:szCs w:val="20"/>
              </w:rPr>
              <w:t>当地环卫部门处理</w:t>
            </w:r>
          </w:p>
        </w:tc>
        <w:tc>
          <w:tcPr>
            <w:tcW w:w="2698" w:type="dxa"/>
            <w:gridSpan w:val="2"/>
          </w:tcPr>
          <w:p w14:paraId="732FB984"/>
        </w:tc>
        <w:tc>
          <w:tcPr>
            <w:tcW w:w="3771" w:type="dxa"/>
          </w:tcPr>
          <w:p w14:paraId="08ECFFC8">
            <w:pPr>
              <w:spacing w:line="277" w:lineRule="exact"/>
              <w:ind w:left="2064"/>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967" w:type="dxa"/>
            <w:vMerge w:val="restart"/>
            <w:tcBorders>
              <w:bottom w:val="nil"/>
              <w:right w:val="nil"/>
            </w:tcBorders>
          </w:tcPr>
          <w:p w14:paraId="071D54D5">
            <w:pPr>
              <w:spacing w:line="261" w:lineRule="auto"/>
            </w:pPr>
          </w:p>
          <w:p w14:paraId="0B4C1333">
            <w:pPr>
              <w:spacing w:line="261" w:lineRule="auto"/>
            </w:pPr>
          </w:p>
          <w:p w14:paraId="00893844">
            <w:pPr>
              <w:spacing w:line="261" w:lineRule="auto"/>
            </w:pPr>
          </w:p>
          <w:p w14:paraId="2B4026AD">
            <w:pPr>
              <w:spacing w:line="262" w:lineRule="auto"/>
            </w:pPr>
          </w:p>
          <w:p w14:paraId="57188780">
            <w:pPr>
              <w:spacing w:line="262" w:lineRule="auto"/>
            </w:pPr>
          </w:p>
          <w:p w14:paraId="631317DF">
            <w:pPr>
              <w:spacing w:before="58" w:line="281" w:lineRule="exact"/>
              <w:ind w:left="66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772064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401" w:type="dxa"/>
            <w:vMerge w:val="continue"/>
            <w:tcBorders>
              <w:top w:val="nil"/>
              <w:left w:val="nil"/>
              <w:bottom w:val="nil"/>
            </w:tcBorders>
          </w:tcPr>
          <w:p w14:paraId="65A18DA1"/>
        </w:tc>
        <w:tc>
          <w:tcPr>
            <w:tcW w:w="2116" w:type="dxa"/>
            <w:gridSpan w:val="2"/>
          </w:tcPr>
          <w:p w14:paraId="01C353B3">
            <w:pPr>
              <w:spacing w:before="33" w:line="225" w:lineRule="auto"/>
              <w:ind w:left="851"/>
              <w:rPr>
                <w:rFonts w:ascii="宋体" w:hAnsi="宋体" w:eastAsia="宋体" w:cs="宋体"/>
                <w:sz w:val="20"/>
                <w:szCs w:val="20"/>
              </w:rPr>
            </w:pPr>
            <w:r>
              <w:rPr>
                <w:rFonts w:ascii="宋体" w:hAnsi="宋体" w:eastAsia="宋体" w:cs="宋体"/>
                <w:spacing w:val="9"/>
                <w:sz w:val="20"/>
                <w:szCs w:val="20"/>
              </w:rPr>
              <w:t>废</w:t>
            </w:r>
            <w:r>
              <w:rPr>
                <w:rFonts w:ascii="宋体" w:hAnsi="宋体" w:eastAsia="宋体" w:cs="宋体"/>
                <w:spacing w:val="7"/>
                <w:sz w:val="20"/>
                <w:szCs w:val="20"/>
              </w:rPr>
              <w:t>饲料袋</w:t>
            </w:r>
          </w:p>
        </w:tc>
        <w:tc>
          <w:tcPr>
            <w:tcW w:w="1368" w:type="dxa"/>
          </w:tcPr>
          <w:p w14:paraId="3D6EB752">
            <w:pPr>
              <w:spacing w:line="276" w:lineRule="exact"/>
              <w:ind w:left="86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1316" w:type="dxa"/>
          </w:tcPr>
          <w:p w14:paraId="5B7B8E98"/>
        </w:tc>
        <w:tc>
          <w:tcPr>
            <w:tcW w:w="2579" w:type="dxa"/>
          </w:tcPr>
          <w:p w14:paraId="2E1A4AD7">
            <w:pPr>
              <w:spacing w:before="33" w:line="225" w:lineRule="auto"/>
              <w:ind w:left="793"/>
              <w:rPr>
                <w:rFonts w:ascii="宋体" w:hAnsi="宋体" w:eastAsia="宋体" w:cs="宋体"/>
                <w:sz w:val="20"/>
                <w:szCs w:val="20"/>
              </w:rPr>
            </w:pPr>
            <w:r>
              <w:rPr>
                <w:rFonts w:ascii="宋体" w:hAnsi="宋体" w:eastAsia="宋体" w:cs="宋体"/>
                <w:spacing w:val="5"/>
                <w:sz w:val="20"/>
                <w:szCs w:val="20"/>
              </w:rPr>
              <w:t>由饲料厂家回收</w:t>
            </w:r>
          </w:p>
        </w:tc>
        <w:tc>
          <w:tcPr>
            <w:tcW w:w="2698" w:type="dxa"/>
            <w:gridSpan w:val="2"/>
          </w:tcPr>
          <w:p w14:paraId="41B5E9FB"/>
        </w:tc>
        <w:tc>
          <w:tcPr>
            <w:tcW w:w="3771" w:type="dxa"/>
          </w:tcPr>
          <w:p w14:paraId="7ADE0DC8">
            <w:pPr>
              <w:spacing w:line="276" w:lineRule="exact"/>
              <w:ind w:left="2064"/>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967" w:type="dxa"/>
            <w:vMerge w:val="continue"/>
            <w:tcBorders>
              <w:top w:val="nil"/>
              <w:bottom w:val="nil"/>
              <w:right w:val="nil"/>
            </w:tcBorders>
          </w:tcPr>
          <w:p w14:paraId="33C3BC6D"/>
        </w:tc>
      </w:tr>
      <w:tr w14:paraId="609A3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401" w:type="dxa"/>
            <w:vMerge w:val="continue"/>
            <w:tcBorders>
              <w:top w:val="nil"/>
              <w:left w:val="nil"/>
              <w:bottom w:val="nil"/>
            </w:tcBorders>
          </w:tcPr>
          <w:p w14:paraId="30B6F131"/>
        </w:tc>
        <w:tc>
          <w:tcPr>
            <w:tcW w:w="2116" w:type="dxa"/>
            <w:gridSpan w:val="2"/>
          </w:tcPr>
          <w:p w14:paraId="754FC1A2">
            <w:pPr>
              <w:spacing w:before="111" w:line="228" w:lineRule="auto"/>
              <w:ind w:left="957"/>
              <w:rPr>
                <w:rFonts w:ascii="宋体" w:hAnsi="宋体" w:eastAsia="宋体" w:cs="宋体"/>
                <w:sz w:val="20"/>
                <w:szCs w:val="20"/>
              </w:rPr>
            </w:pPr>
            <w:r>
              <w:rPr>
                <w:rFonts w:ascii="宋体" w:hAnsi="宋体" w:eastAsia="宋体" w:cs="宋体"/>
                <w:spacing w:val="7"/>
                <w:sz w:val="20"/>
                <w:szCs w:val="20"/>
              </w:rPr>
              <w:t>废垫料</w:t>
            </w:r>
          </w:p>
        </w:tc>
        <w:tc>
          <w:tcPr>
            <w:tcW w:w="1368" w:type="dxa"/>
          </w:tcPr>
          <w:p w14:paraId="0FC46615">
            <w:pPr>
              <w:spacing w:before="73" w:line="281" w:lineRule="exact"/>
              <w:ind w:left="86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1316" w:type="dxa"/>
          </w:tcPr>
          <w:p w14:paraId="7C8CDB6A"/>
        </w:tc>
        <w:tc>
          <w:tcPr>
            <w:tcW w:w="2579" w:type="dxa"/>
            <w:vMerge w:val="restart"/>
            <w:tcBorders>
              <w:bottom w:val="nil"/>
            </w:tcBorders>
          </w:tcPr>
          <w:p w14:paraId="42CA5CA8">
            <w:pPr>
              <w:tabs>
                <w:tab w:val="left" w:pos="248"/>
              </w:tabs>
              <w:spacing w:before="3" w:line="257" w:lineRule="auto"/>
              <w:ind w:left="115" w:right="36"/>
              <w:rPr>
                <w:rFonts w:ascii="宋体" w:hAnsi="宋体" w:eastAsia="宋体" w:cs="宋体"/>
                <w:sz w:val="20"/>
                <w:szCs w:val="20"/>
              </w:rPr>
            </w:pPr>
            <w:r>
              <w:rPr>
                <w:rFonts w:ascii="宋体" w:hAnsi="宋体" w:eastAsia="宋体" w:cs="宋体"/>
                <w:spacing w:val="-1"/>
                <w:sz w:val="20"/>
                <w:szCs w:val="20"/>
              </w:rPr>
              <w:t>垫料重量</w:t>
            </w:r>
            <w:r>
              <w:rPr>
                <w:rFonts w:ascii="宋体" w:hAnsi="宋体" w:eastAsia="宋体" w:cs="宋体"/>
                <w:sz w:val="20"/>
                <w:szCs w:val="20"/>
              </w:rPr>
              <w:t xml:space="preserve">为 </w:t>
            </w:r>
            <w:r>
              <w:rPr>
                <w:rFonts w:ascii="Times New Roman" w:hAnsi="Times New Roman" w:eastAsia="Times New Roman" w:cs="Times New Roman"/>
                <w:sz w:val="20"/>
                <w:szCs w:val="20"/>
              </w:rPr>
              <w:t>400t</w:t>
            </w:r>
            <w:r>
              <w:rPr>
                <w:rFonts w:ascii="宋体" w:hAnsi="宋体" w:eastAsia="宋体" w:cs="宋体"/>
                <w:sz w:val="20"/>
                <w:szCs w:val="20"/>
              </w:rPr>
              <w:t>，</w:t>
            </w:r>
            <w:r>
              <w:rPr>
                <w:rFonts w:ascii="Times New Roman" w:hAnsi="Times New Roman" w:eastAsia="Times New Roman" w:cs="Times New Roman"/>
                <w:sz w:val="20"/>
                <w:szCs w:val="20"/>
              </w:rPr>
              <w:t xml:space="preserve">1.5 </w:t>
            </w:r>
            <w:r>
              <w:rPr>
                <w:rFonts w:ascii="宋体" w:hAnsi="宋体" w:eastAsia="宋体" w:cs="宋体"/>
                <w:sz w:val="20"/>
                <w:szCs w:val="20"/>
              </w:rPr>
              <w:t xml:space="preserve">年清 </w:t>
            </w:r>
            <w:r>
              <w:rPr>
                <w:rFonts w:ascii="宋体" w:hAnsi="宋体" w:eastAsia="宋体" w:cs="宋体"/>
                <w:spacing w:val="2"/>
                <w:sz w:val="20"/>
                <w:szCs w:val="20"/>
              </w:rPr>
              <w:t>理一次，作为有机肥外</w:t>
            </w:r>
            <w:r>
              <w:rPr>
                <w:rFonts w:ascii="宋体" w:hAnsi="宋体" w:eastAsia="宋体" w:cs="宋体"/>
                <w:spacing w:val="1"/>
                <w:sz w:val="20"/>
                <w:szCs w:val="20"/>
              </w:rPr>
              <w:t>售</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9"/>
                <w:sz w:val="20"/>
                <w:szCs w:val="20"/>
              </w:rPr>
              <w:t>(</w:t>
            </w:r>
            <w:r>
              <w:rPr>
                <w:rFonts w:ascii="宋体" w:hAnsi="宋体" w:eastAsia="宋体" w:cs="宋体"/>
                <w:spacing w:val="9"/>
                <w:sz w:val="20"/>
                <w:szCs w:val="20"/>
                <w14:textOutline w14:w="3784" w14:cap="sq" w14:cmpd="sng" w14:algn="ctr">
                  <w14:solidFill>
                    <w14:srgbClr w14:val="000000"/>
                  </w14:solidFill>
                  <w14:prstDash w14:val="solid"/>
                  <w14:bevel/>
                </w14:textOutline>
              </w:rPr>
              <w:t>仅在后期乐山乐高勤</w:t>
            </w:r>
            <w:r>
              <w:rPr>
                <w:rFonts w:ascii="宋体" w:hAnsi="宋体" w:eastAsia="宋体" w:cs="宋体"/>
                <w:spacing w:val="8"/>
                <w:sz w:val="20"/>
                <w:szCs w:val="20"/>
                <w14:textOutline w14:w="3784" w14:cap="sq" w14:cmpd="sng" w14:algn="ctr">
                  <w14:solidFill>
                    <w14:srgbClr w14:val="000000"/>
                  </w14:solidFill>
                  <w14:prstDash w14:val="solid"/>
                  <w14:bevel/>
                </w14:textOutline>
              </w:rPr>
              <w:t>力</w:t>
            </w:r>
            <w:r>
              <w:rPr>
                <w:rFonts w:ascii="宋体" w:hAnsi="宋体" w:eastAsia="宋体" w:cs="宋体"/>
                <w:sz w:val="20"/>
                <w:szCs w:val="20"/>
              </w:rPr>
              <w:t xml:space="preserve"> </w:t>
            </w:r>
            <w:r>
              <w:rPr>
                <w:rFonts w:ascii="宋体" w:hAnsi="宋体" w:eastAsia="宋体" w:cs="宋体"/>
                <w:spacing w:val="12"/>
                <w:sz w:val="20"/>
                <w:szCs w:val="20"/>
                <w14:textOutline w14:w="3784" w14:cap="sq" w14:cmpd="sng" w14:algn="ctr">
                  <w14:solidFill>
                    <w14:srgbClr w14:val="000000"/>
                  </w14:solidFill>
                  <w14:prstDash w14:val="solid"/>
                  <w14:bevel/>
                </w14:textOutline>
              </w:rPr>
              <w:t>生物质能源综合利用有</w:t>
            </w:r>
            <w:r>
              <w:rPr>
                <w:rFonts w:ascii="宋体" w:hAnsi="宋体" w:eastAsia="宋体" w:cs="宋体"/>
                <w:spacing w:val="11"/>
                <w:sz w:val="20"/>
                <w:szCs w:val="20"/>
                <w14:textOutline w14:w="3784" w14:cap="sq" w14:cmpd="sng" w14:algn="ctr">
                  <w14:solidFill>
                    <w14:srgbClr w14:val="000000"/>
                  </w14:solidFill>
                  <w14:prstDash w14:val="solid"/>
                  <w14:bevel/>
                </w14:textOutline>
              </w:rPr>
              <w:t>限</w:t>
            </w:r>
            <w:r>
              <w:rPr>
                <w:rFonts w:ascii="宋体" w:hAnsi="宋体" w:eastAsia="宋体" w:cs="宋体"/>
                <w:sz w:val="20"/>
                <w:szCs w:val="20"/>
              </w:rPr>
              <w:t xml:space="preserve"> </w:t>
            </w:r>
            <w:r>
              <w:rPr>
                <w:rFonts w:ascii="宋体" w:hAnsi="宋体" w:eastAsia="宋体" w:cs="宋体"/>
                <w:spacing w:val="12"/>
                <w:sz w:val="20"/>
                <w:szCs w:val="20"/>
                <w14:textOutline w14:w="3784" w14:cap="sq" w14:cmpd="sng" w14:algn="ctr">
                  <w14:solidFill>
                    <w14:srgbClr w14:val="000000"/>
                  </w14:solidFill>
                  <w14:prstDash w14:val="solid"/>
                  <w14:bevel/>
                </w14:textOutline>
              </w:rPr>
              <w:t>公司不再收纳本项目污</w:t>
            </w:r>
            <w:r>
              <w:rPr>
                <w:rFonts w:ascii="宋体" w:hAnsi="宋体" w:eastAsia="宋体" w:cs="宋体"/>
                <w:spacing w:val="11"/>
                <w:sz w:val="20"/>
                <w:szCs w:val="20"/>
                <w14:textOutline w14:w="3784" w14:cap="sq" w14:cmpd="sng" w14:algn="ctr">
                  <w14:solidFill>
                    <w14:srgbClr w14:val="000000"/>
                  </w14:solidFill>
                  <w14:prstDash w14:val="solid"/>
                  <w14:bevel/>
                </w14:textOutline>
              </w:rPr>
              <w:t>水</w:t>
            </w:r>
          </w:p>
          <w:p w14:paraId="68516947">
            <w:pPr>
              <w:spacing w:line="223" w:lineRule="auto"/>
              <w:ind w:left="576"/>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的</w:t>
            </w:r>
            <w:r>
              <w:rPr>
                <w:rFonts w:ascii="宋体" w:hAnsi="宋体" w:eastAsia="宋体" w:cs="宋体"/>
                <w:spacing w:val="5"/>
                <w:sz w:val="20"/>
                <w:szCs w:val="20"/>
                <w14:textOutline w14:w="3797" w14:cap="sq" w14:cmpd="sng" w14:algn="ctr">
                  <w14:solidFill>
                    <w14:srgbClr w14:val="000000"/>
                  </w14:solidFill>
                  <w14:prstDash w14:val="solid"/>
                  <w14:bevel/>
                </w14:textOutline>
              </w:rPr>
              <w:t>情况下产生</w:t>
            </w:r>
            <w:r>
              <w:rPr>
                <w:rFonts w:ascii="宋体" w:hAnsi="宋体" w:eastAsia="宋体" w:cs="宋体"/>
                <w:spacing w:val="5"/>
                <w:sz w:val="20"/>
                <w:szCs w:val="20"/>
              </w:rPr>
              <w:t>)</w:t>
            </w:r>
          </w:p>
        </w:tc>
        <w:tc>
          <w:tcPr>
            <w:tcW w:w="2698" w:type="dxa"/>
            <w:gridSpan w:val="2"/>
            <w:vMerge w:val="restart"/>
            <w:tcBorders>
              <w:bottom w:val="nil"/>
            </w:tcBorders>
          </w:tcPr>
          <w:p w14:paraId="1640B73D"/>
        </w:tc>
        <w:tc>
          <w:tcPr>
            <w:tcW w:w="3771" w:type="dxa"/>
            <w:vMerge w:val="restart"/>
            <w:tcBorders>
              <w:bottom w:val="nil"/>
            </w:tcBorders>
          </w:tcPr>
          <w:p w14:paraId="4BC26EF5">
            <w:pPr>
              <w:spacing w:line="308" w:lineRule="auto"/>
            </w:pPr>
          </w:p>
          <w:p w14:paraId="7D279800">
            <w:pPr>
              <w:spacing w:line="309" w:lineRule="auto"/>
            </w:pPr>
          </w:p>
          <w:p w14:paraId="72FF2086">
            <w:pPr>
              <w:spacing w:before="57" w:line="281" w:lineRule="exact"/>
              <w:ind w:left="2064"/>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967" w:type="dxa"/>
            <w:vMerge w:val="continue"/>
            <w:tcBorders>
              <w:top w:val="nil"/>
              <w:bottom w:val="nil"/>
              <w:right w:val="nil"/>
            </w:tcBorders>
          </w:tcPr>
          <w:p w14:paraId="408F9D81"/>
        </w:tc>
      </w:tr>
      <w:tr w14:paraId="7B820B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1" w:hRule="atLeast"/>
        </w:trPr>
        <w:tc>
          <w:tcPr>
            <w:tcW w:w="401" w:type="dxa"/>
            <w:vMerge w:val="continue"/>
            <w:tcBorders>
              <w:top w:val="nil"/>
              <w:left w:val="nil"/>
              <w:bottom w:val="nil"/>
            </w:tcBorders>
          </w:tcPr>
          <w:p w14:paraId="18043E4E"/>
        </w:tc>
        <w:tc>
          <w:tcPr>
            <w:tcW w:w="2116" w:type="dxa"/>
            <w:gridSpan w:val="2"/>
          </w:tcPr>
          <w:p w14:paraId="75D6FEA4">
            <w:pPr>
              <w:spacing w:line="429" w:lineRule="auto"/>
            </w:pPr>
          </w:p>
          <w:p w14:paraId="53F3BE48">
            <w:pPr>
              <w:spacing w:before="65" w:line="227" w:lineRule="auto"/>
              <w:ind w:left="959"/>
              <w:rPr>
                <w:rFonts w:ascii="宋体" w:hAnsi="宋体" w:eastAsia="宋体" w:cs="宋体"/>
                <w:sz w:val="20"/>
                <w:szCs w:val="20"/>
              </w:rPr>
            </w:pPr>
            <w:r>
              <w:rPr>
                <w:rFonts w:ascii="宋体" w:hAnsi="宋体" w:eastAsia="宋体" w:cs="宋体"/>
                <w:spacing w:val="7"/>
                <w:sz w:val="20"/>
                <w:szCs w:val="20"/>
              </w:rPr>
              <w:t>有</w:t>
            </w:r>
            <w:r>
              <w:rPr>
                <w:rFonts w:ascii="宋体" w:hAnsi="宋体" w:eastAsia="宋体" w:cs="宋体"/>
                <w:spacing w:val="6"/>
                <w:sz w:val="20"/>
                <w:szCs w:val="20"/>
              </w:rPr>
              <w:t>机肥</w:t>
            </w:r>
          </w:p>
        </w:tc>
        <w:tc>
          <w:tcPr>
            <w:tcW w:w="1368" w:type="dxa"/>
          </w:tcPr>
          <w:p w14:paraId="48D7AECA">
            <w:pPr>
              <w:spacing w:line="400" w:lineRule="auto"/>
            </w:pPr>
          </w:p>
          <w:p w14:paraId="15596509">
            <w:pPr>
              <w:spacing w:before="57" w:line="281" w:lineRule="exact"/>
              <w:ind w:left="86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1316" w:type="dxa"/>
          </w:tcPr>
          <w:p w14:paraId="2185C218"/>
        </w:tc>
        <w:tc>
          <w:tcPr>
            <w:tcW w:w="2579" w:type="dxa"/>
            <w:vMerge w:val="continue"/>
            <w:tcBorders>
              <w:top w:val="nil"/>
            </w:tcBorders>
          </w:tcPr>
          <w:p w14:paraId="2373D28F"/>
        </w:tc>
        <w:tc>
          <w:tcPr>
            <w:tcW w:w="2698" w:type="dxa"/>
            <w:gridSpan w:val="2"/>
            <w:vMerge w:val="continue"/>
            <w:tcBorders>
              <w:top w:val="nil"/>
            </w:tcBorders>
          </w:tcPr>
          <w:p w14:paraId="2D618880"/>
        </w:tc>
        <w:tc>
          <w:tcPr>
            <w:tcW w:w="3771" w:type="dxa"/>
            <w:vMerge w:val="continue"/>
            <w:tcBorders>
              <w:top w:val="nil"/>
            </w:tcBorders>
          </w:tcPr>
          <w:p w14:paraId="11BE5418"/>
        </w:tc>
        <w:tc>
          <w:tcPr>
            <w:tcW w:w="967" w:type="dxa"/>
            <w:vMerge w:val="continue"/>
            <w:tcBorders>
              <w:top w:val="nil"/>
              <w:bottom w:val="nil"/>
              <w:right w:val="nil"/>
            </w:tcBorders>
          </w:tcPr>
          <w:p w14:paraId="4DACDC08"/>
        </w:tc>
      </w:tr>
      <w:tr w14:paraId="612DD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401" w:type="dxa"/>
            <w:vMerge w:val="continue"/>
            <w:tcBorders>
              <w:top w:val="nil"/>
              <w:left w:val="nil"/>
            </w:tcBorders>
          </w:tcPr>
          <w:p w14:paraId="46FC48DB"/>
        </w:tc>
        <w:tc>
          <w:tcPr>
            <w:tcW w:w="2116" w:type="dxa"/>
            <w:gridSpan w:val="2"/>
          </w:tcPr>
          <w:p w14:paraId="5783DCB0">
            <w:pPr>
              <w:spacing w:line="242" w:lineRule="auto"/>
            </w:pPr>
          </w:p>
          <w:p w14:paraId="78B631B0">
            <w:pPr>
              <w:spacing w:before="65" w:line="228" w:lineRule="auto"/>
              <w:ind w:left="648"/>
              <w:rPr>
                <w:rFonts w:ascii="宋体" w:hAnsi="宋体" w:eastAsia="宋体" w:cs="宋体"/>
                <w:sz w:val="20"/>
                <w:szCs w:val="20"/>
              </w:rPr>
            </w:pPr>
            <w:r>
              <w:rPr>
                <w:rFonts w:ascii="宋体" w:hAnsi="宋体" w:eastAsia="宋体" w:cs="宋体"/>
                <w:spacing w:val="10"/>
                <w:sz w:val="20"/>
                <w:szCs w:val="20"/>
              </w:rPr>
              <w:t>消</w:t>
            </w:r>
            <w:r>
              <w:rPr>
                <w:rFonts w:ascii="宋体" w:hAnsi="宋体" w:eastAsia="宋体" w:cs="宋体"/>
                <w:spacing w:val="7"/>
                <w:sz w:val="20"/>
                <w:szCs w:val="20"/>
              </w:rPr>
              <w:t>毒防疫废物</w:t>
            </w:r>
          </w:p>
        </w:tc>
        <w:tc>
          <w:tcPr>
            <w:tcW w:w="1368" w:type="dxa"/>
          </w:tcPr>
          <w:p w14:paraId="009D2068">
            <w:pPr>
              <w:spacing w:before="271" w:line="281" w:lineRule="exact"/>
              <w:ind w:left="86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1316" w:type="dxa"/>
          </w:tcPr>
          <w:p w14:paraId="26F0E5D0"/>
        </w:tc>
        <w:tc>
          <w:tcPr>
            <w:tcW w:w="2579" w:type="dxa"/>
          </w:tcPr>
          <w:p w14:paraId="02AD209A">
            <w:pPr>
              <w:spacing w:before="173" w:line="265" w:lineRule="auto"/>
              <w:ind w:left="785" w:right="133" w:hanging="641"/>
              <w:rPr>
                <w:rFonts w:ascii="宋体" w:hAnsi="宋体" w:eastAsia="宋体" w:cs="宋体"/>
                <w:sz w:val="20"/>
                <w:szCs w:val="20"/>
              </w:rPr>
            </w:pPr>
            <w:r>
              <w:rPr>
                <w:rFonts w:ascii="宋体" w:hAnsi="宋体" w:eastAsia="宋体" w:cs="宋体"/>
                <w:spacing w:val="16"/>
                <w:sz w:val="20"/>
                <w:szCs w:val="20"/>
              </w:rPr>
              <w:t>交</w:t>
            </w:r>
            <w:r>
              <w:rPr>
                <w:rFonts w:ascii="宋体" w:hAnsi="宋体" w:eastAsia="宋体" w:cs="宋体"/>
                <w:spacing w:val="8"/>
                <w:sz w:val="20"/>
                <w:szCs w:val="20"/>
              </w:rPr>
              <w:t>由有医疗废物处理资质</w:t>
            </w:r>
            <w:r>
              <w:rPr>
                <w:rFonts w:ascii="宋体" w:hAnsi="宋体" w:eastAsia="宋体" w:cs="宋体"/>
                <w:sz w:val="20"/>
                <w:szCs w:val="20"/>
              </w:rPr>
              <w:t xml:space="preserve"> </w:t>
            </w:r>
            <w:r>
              <w:rPr>
                <w:rFonts w:ascii="宋体" w:hAnsi="宋体" w:eastAsia="宋体" w:cs="宋体"/>
                <w:spacing w:val="7"/>
                <w:sz w:val="20"/>
                <w:szCs w:val="20"/>
              </w:rPr>
              <w:t>的</w:t>
            </w:r>
            <w:r>
              <w:rPr>
                <w:rFonts w:ascii="宋体" w:hAnsi="宋体" w:eastAsia="宋体" w:cs="宋体"/>
                <w:spacing w:val="4"/>
                <w:sz w:val="20"/>
                <w:szCs w:val="20"/>
              </w:rPr>
              <w:t>单位处理</w:t>
            </w:r>
          </w:p>
        </w:tc>
        <w:tc>
          <w:tcPr>
            <w:tcW w:w="2698" w:type="dxa"/>
            <w:gridSpan w:val="2"/>
          </w:tcPr>
          <w:p w14:paraId="46C8703A"/>
        </w:tc>
        <w:tc>
          <w:tcPr>
            <w:tcW w:w="3771" w:type="dxa"/>
          </w:tcPr>
          <w:p w14:paraId="12862CB7">
            <w:pPr>
              <w:spacing w:before="35" w:line="228" w:lineRule="auto"/>
              <w:ind w:left="210"/>
              <w:rPr>
                <w:rFonts w:ascii="宋体" w:hAnsi="宋体" w:eastAsia="宋体" w:cs="宋体"/>
                <w:sz w:val="20"/>
                <w:szCs w:val="20"/>
              </w:rPr>
            </w:pPr>
            <w:r>
              <w:rPr>
                <w:rFonts w:ascii="宋体" w:hAnsi="宋体" w:eastAsia="宋体" w:cs="宋体"/>
                <w:spacing w:val="16"/>
                <w:sz w:val="20"/>
                <w:szCs w:val="20"/>
              </w:rPr>
              <w:t>满</w:t>
            </w:r>
            <w:r>
              <w:rPr>
                <w:rFonts w:ascii="宋体" w:hAnsi="宋体" w:eastAsia="宋体" w:cs="宋体"/>
                <w:spacing w:val="12"/>
                <w:sz w:val="20"/>
                <w:szCs w:val="20"/>
              </w:rPr>
              <w:t>足</w:t>
            </w:r>
            <w:r>
              <w:rPr>
                <w:rFonts w:ascii="宋体" w:hAnsi="宋体" w:eastAsia="宋体" w:cs="宋体"/>
                <w:spacing w:val="8"/>
                <w:sz w:val="20"/>
                <w:szCs w:val="20"/>
              </w:rPr>
              <w:t>《危险废物贮存污染控制标准》</w:t>
            </w:r>
          </w:p>
          <w:p w14:paraId="406E2DCA">
            <w:pPr>
              <w:spacing w:before="26"/>
              <w:ind w:left="1681" w:right="105" w:hanging="1557"/>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5"/>
                <w:sz w:val="20"/>
                <w:szCs w:val="20"/>
              </w:rPr>
              <w:t>8597- 2001</w:t>
            </w:r>
            <w:r>
              <w:rPr>
                <w:rFonts w:ascii="宋体" w:hAnsi="宋体" w:eastAsia="宋体" w:cs="宋体"/>
                <w:spacing w:val="5"/>
                <w:sz w:val="20"/>
                <w:szCs w:val="20"/>
              </w:rPr>
              <w:t xml:space="preserve">) 及 </w:t>
            </w:r>
            <w:r>
              <w:rPr>
                <w:rFonts w:ascii="Times New Roman" w:hAnsi="Times New Roman" w:eastAsia="Times New Roman" w:cs="Times New Roman"/>
                <w:spacing w:val="5"/>
                <w:sz w:val="20"/>
                <w:szCs w:val="20"/>
              </w:rPr>
              <w:t xml:space="preserve">2013  </w:t>
            </w:r>
            <w:r>
              <w:rPr>
                <w:rFonts w:ascii="宋体" w:hAnsi="宋体" w:eastAsia="宋体" w:cs="宋体"/>
                <w:spacing w:val="5"/>
                <w:sz w:val="20"/>
                <w:szCs w:val="20"/>
              </w:rPr>
              <w:t>年修改单的</w:t>
            </w:r>
            <w:r>
              <w:rPr>
                <w:rFonts w:ascii="宋体" w:hAnsi="宋体" w:eastAsia="宋体" w:cs="宋体"/>
                <w:sz w:val="20"/>
                <w:szCs w:val="20"/>
              </w:rPr>
              <w:t xml:space="preserve"> </w:t>
            </w:r>
            <w:r>
              <w:rPr>
                <w:rFonts w:ascii="宋体" w:hAnsi="宋体" w:eastAsia="宋体" w:cs="宋体"/>
                <w:spacing w:val="4"/>
                <w:sz w:val="20"/>
                <w:szCs w:val="20"/>
              </w:rPr>
              <w:t>要求</w:t>
            </w:r>
          </w:p>
        </w:tc>
        <w:tc>
          <w:tcPr>
            <w:tcW w:w="967" w:type="dxa"/>
            <w:vMerge w:val="continue"/>
            <w:tcBorders>
              <w:top w:val="nil"/>
              <w:right w:val="nil"/>
            </w:tcBorders>
          </w:tcPr>
          <w:p w14:paraId="5DDF78E5"/>
        </w:tc>
      </w:tr>
    </w:tbl>
    <w:p w14:paraId="360CBFA5"/>
    <w:p w14:paraId="2220EE8A">
      <w:pPr>
        <w:sectPr>
          <w:footerReference r:id="rId145" w:type="default"/>
          <w:pgSz w:w="16840" w:h="11907"/>
          <w:pgMar w:top="829" w:right="831" w:bottom="1138" w:left="791" w:header="595" w:footer="952" w:gutter="0"/>
          <w:cols w:space="720" w:num="1"/>
        </w:sectPr>
      </w:pPr>
    </w:p>
    <w:p w14:paraId="646BF68D">
      <w:pPr>
        <w:spacing w:before="53" w:line="241" w:lineRule="auto"/>
        <w:ind w:left="8"/>
        <w:outlineLvl w:val="0"/>
        <w:rPr>
          <w:rFonts w:ascii="宋体" w:hAnsi="宋体" w:eastAsia="宋体" w:cs="宋体"/>
          <w:sz w:val="31"/>
          <w:szCs w:val="31"/>
        </w:rPr>
      </w:pPr>
      <w:bookmarkStart w:id="40" w:name="_bookmark41"/>
      <w:bookmarkEnd w:id="40"/>
      <w:r>
        <w:rPr>
          <w:rFonts w:ascii="Times New Roman" w:hAnsi="Times New Roman" w:eastAsia="Times New Roman" w:cs="Times New Roman"/>
          <w:b/>
          <w:bCs/>
          <w:spacing w:val="-1"/>
          <w:sz w:val="31"/>
          <w:szCs w:val="31"/>
        </w:rPr>
        <w:t>4</w:t>
      </w:r>
      <w:r>
        <w:rPr>
          <w:rFonts w:ascii="Times New Roman" w:hAnsi="Times New Roman" w:eastAsia="Times New Roman" w:cs="Times New Roman"/>
          <w:spacing w:val="-1"/>
          <w:sz w:val="31"/>
          <w:szCs w:val="31"/>
        </w:rPr>
        <w:t xml:space="preserve"> </w:t>
      </w:r>
      <w:r>
        <w:rPr>
          <w:rFonts w:ascii="宋体" w:hAnsi="宋体" w:eastAsia="宋体" w:cs="宋体"/>
          <w:spacing w:val="-1"/>
          <w:sz w:val="31"/>
          <w:szCs w:val="31"/>
          <w14:textOutline w14:w="5791" w14:cap="sq" w14:cmpd="sng" w14:algn="ctr">
            <w14:solidFill>
              <w14:srgbClr w14:val="000000"/>
            </w14:solidFill>
            <w14:prstDash w14:val="solid"/>
            <w14:bevel/>
          </w14:textOutline>
        </w:rPr>
        <w:t>、区域环</w:t>
      </w:r>
      <w:r>
        <w:rPr>
          <w:rFonts w:ascii="宋体" w:hAnsi="宋体" w:eastAsia="宋体" w:cs="宋体"/>
          <w:sz w:val="31"/>
          <w:szCs w:val="31"/>
          <w14:textOutline w14:w="5791" w14:cap="sq" w14:cmpd="sng" w14:algn="ctr">
            <w14:solidFill>
              <w14:srgbClr w14:val="000000"/>
            </w14:solidFill>
            <w14:prstDash w14:val="solid"/>
            <w14:bevel/>
          </w14:textOutline>
        </w:rPr>
        <w:t>境概况</w:t>
      </w:r>
    </w:p>
    <w:p w14:paraId="1CDE77EF">
      <w:pPr>
        <w:spacing w:before="211" w:line="220" w:lineRule="auto"/>
        <w:ind w:left="7"/>
        <w:outlineLvl w:val="1"/>
        <w:rPr>
          <w:rFonts w:ascii="宋体" w:hAnsi="宋体" w:eastAsia="宋体" w:cs="宋体"/>
          <w:sz w:val="28"/>
          <w:szCs w:val="28"/>
        </w:rPr>
      </w:pPr>
      <w:bookmarkStart w:id="41" w:name="_bookmark42"/>
      <w:bookmarkEnd w:id="41"/>
      <w:r>
        <w:rPr>
          <w:rFonts w:ascii="Times New Roman" w:hAnsi="Times New Roman" w:eastAsia="Times New Roman" w:cs="Times New Roman"/>
          <w:b/>
          <w:bCs/>
          <w:spacing w:val="-1"/>
          <w:sz w:val="28"/>
          <w:szCs w:val="28"/>
        </w:rPr>
        <w:t>4</w:t>
      </w:r>
      <w:r>
        <w:rPr>
          <w:rFonts w:ascii="Times New Roman" w:hAnsi="Times New Roman" w:eastAsia="Times New Roman" w:cs="Times New Roman"/>
          <w:b/>
          <w:bCs/>
          <w:sz w:val="28"/>
          <w:szCs w:val="28"/>
        </w:rPr>
        <w:t>.1</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自然环境概况</w:t>
      </w:r>
    </w:p>
    <w:p w14:paraId="1DABD734">
      <w:pPr>
        <w:spacing w:before="205" w:line="229" w:lineRule="auto"/>
        <w:ind w:left="6"/>
        <w:outlineLvl w:val="2"/>
        <w:rPr>
          <w:rFonts w:ascii="宋体" w:hAnsi="宋体" w:eastAsia="宋体" w:cs="宋体"/>
          <w:sz w:val="23"/>
          <w:szCs w:val="23"/>
        </w:rPr>
      </w:pPr>
      <w:r>
        <w:rPr>
          <w:rFonts w:ascii="Times New Roman" w:hAnsi="Times New Roman" w:eastAsia="Times New Roman" w:cs="Times New Roman"/>
          <w:b/>
          <w:bCs/>
          <w:spacing w:val="10"/>
          <w:sz w:val="23"/>
          <w:szCs w:val="23"/>
        </w:rPr>
        <w:t>4</w:t>
      </w:r>
      <w:r>
        <w:rPr>
          <w:rFonts w:ascii="Times New Roman" w:hAnsi="Times New Roman" w:eastAsia="Times New Roman" w:cs="Times New Roman"/>
          <w:b/>
          <w:bCs/>
          <w:spacing w:val="6"/>
          <w:sz w:val="23"/>
          <w:szCs w:val="23"/>
        </w:rPr>
        <w:t>.</w:t>
      </w:r>
      <w:r>
        <w:rPr>
          <w:rFonts w:ascii="Times New Roman" w:hAnsi="Times New Roman" w:eastAsia="Times New Roman" w:cs="Times New Roman"/>
          <w:b/>
          <w:bCs/>
          <w:spacing w:val="5"/>
          <w:sz w:val="23"/>
          <w:szCs w:val="23"/>
        </w:rPr>
        <w:t>1.1</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地理位置</w:t>
      </w:r>
    </w:p>
    <w:p w14:paraId="646BB563">
      <w:pPr>
        <w:spacing w:before="183" w:line="374" w:lineRule="auto"/>
        <w:ind w:left="9" w:firstLine="488"/>
        <w:rPr>
          <w:rFonts w:ascii="宋体" w:hAnsi="宋体" w:eastAsia="宋体" w:cs="宋体"/>
          <w:sz w:val="23"/>
          <w:szCs w:val="23"/>
        </w:rPr>
      </w:pPr>
      <w:r>
        <w:rPr>
          <w:rFonts w:ascii="宋体" w:hAnsi="宋体" w:eastAsia="宋体" w:cs="宋体"/>
          <w:spacing w:val="6"/>
          <w:sz w:val="23"/>
          <w:szCs w:val="23"/>
        </w:rPr>
        <w:t>乐山市位</w:t>
      </w:r>
      <w:r>
        <w:rPr>
          <w:rFonts w:ascii="宋体" w:hAnsi="宋体" w:eastAsia="宋体" w:cs="宋体"/>
          <w:spacing w:val="4"/>
          <w:sz w:val="23"/>
          <w:szCs w:val="23"/>
        </w:rPr>
        <w:t>于</w:t>
      </w:r>
      <w:r>
        <w:rPr>
          <w:rFonts w:ascii="宋体" w:hAnsi="宋体" w:eastAsia="宋体" w:cs="宋体"/>
          <w:spacing w:val="3"/>
          <w:sz w:val="23"/>
          <w:szCs w:val="23"/>
        </w:rPr>
        <w:t xml:space="preserve">四川西南部。全市面积 </w:t>
      </w:r>
      <w:r>
        <w:rPr>
          <w:rFonts w:ascii="Times New Roman" w:hAnsi="Times New Roman" w:eastAsia="Times New Roman" w:cs="Times New Roman"/>
          <w:spacing w:val="3"/>
          <w:sz w:val="23"/>
          <w:szCs w:val="23"/>
        </w:rPr>
        <w:t xml:space="preserve">12810 </w:t>
      </w:r>
      <w:r>
        <w:rPr>
          <w:rFonts w:ascii="宋体" w:hAnsi="宋体" w:eastAsia="宋体" w:cs="宋体"/>
          <w:spacing w:val="3"/>
          <w:sz w:val="23"/>
          <w:szCs w:val="23"/>
        </w:rPr>
        <w:t xml:space="preserve">平方公里，人口 </w:t>
      </w:r>
      <w:r>
        <w:rPr>
          <w:rFonts w:ascii="Times New Roman" w:hAnsi="Times New Roman" w:eastAsia="Times New Roman" w:cs="Times New Roman"/>
          <w:spacing w:val="3"/>
          <w:sz w:val="23"/>
          <w:szCs w:val="23"/>
        </w:rPr>
        <w:t xml:space="preserve">344.8 </w:t>
      </w:r>
      <w:r>
        <w:rPr>
          <w:rFonts w:ascii="宋体" w:hAnsi="宋体" w:eastAsia="宋体" w:cs="宋体"/>
          <w:spacing w:val="3"/>
          <w:sz w:val="23"/>
          <w:szCs w:val="23"/>
        </w:rPr>
        <w:t>万，辖市中区、</w:t>
      </w:r>
      <w:r>
        <w:rPr>
          <w:rFonts w:ascii="宋体" w:hAnsi="宋体" w:eastAsia="宋体" w:cs="宋体"/>
          <w:sz w:val="23"/>
          <w:szCs w:val="23"/>
        </w:rPr>
        <w:t xml:space="preserve"> </w:t>
      </w:r>
      <w:r>
        <w:rPr>
          <w:rFonts w:ascii="宋体" w:hAnsi="宋体" w:eastAsia="宋体" w:cs="宋体"/>
          <w:spacing w:val="20"/>
          <w:sz w:val="23"/>
          <w:szCs w:val="23"/>
        </w:rPr>
        <w:t>五</w:t>
      </w:r>
      <w:r>
        <w:rPr>
          <w:rFonts w:ascii="宋体" w:hAnsi="宋体" w:eastAsia="宋体" w:cs="宋体"/>
          <w:spacing w:val="15"/>
          <w:sz w:val="23"/>
          <w:szCs w:val="23"/>
        </w:rPr>
        <w:t>通</w:t>
      </w:r>
      <w:r>
        <w:rPr>
          <w:rFonts w:ascii="宋体" w:hAnsi="宋体" w:eastAsia="宋体" w:cs="宋体"/>
          <w:spacing w:val="10"/>
          <w:sz w:val="23"/>
          <w:szCs w:val="23"/>
        </w:rPr>
        <w:t>桥区、沙湾区、金口河区、峨乐山市、犍为县、井研县、夹江县，沐川县，峨</w:t>
      </w:r>
      <w:r>
        <w:rPr>
          <w:rFonts w:ascii="宋体" w:hAnsi="宋体" w:eastAsia="宋体" w:cs="宋体"/>
          <w:sz w:val="23"/>
          <w:szCs w:val="23"/>
        </w:rPr>
        <w:t xml:space="preserve"> </w:t>
      </w:r>
      <w:r>
        <w:rPr>
          <w:rFonts w:ascii="宋体" w:hAnsi="宋体" w:eastAsia="宋体" w:cs="宋体"/>
          <w:spacing w:val="2"/>
          <w:sz w:val="23"/>
          <w:szCs w:val="23"/>
        </w:rPr>
        <w:t xml:space="preserve">边彝族自治县和马边彝族自治县 </w:t>
      </w:r>
      <w:r>
        <w:rPr>
          <w:rFonts w:ascii="Times New Roman" w:hAnsi="Times New Roman" w:eastAsia="Times New Roman" w:cs="Times New Roman"/>
          <w:spacing w:val="1"/>
          <w:sz w:val="23"/>
          <w:szCs w:val="23"/>
        </w:rPr>
        <w:t xml:space="preserve">11 </w:t>
      </w:r>
      <w:r>
        <w:rPr>
          <w:rFonts w:ascii="宋体" w:hAnsi="宋体" w:eastAsia="宋体" w:cs="宋体"/>
          <w:spacing w:val="1"/>
          <w:sz w:val="23"/>
          <w:szCs w:val="23"/>
        </w:rPr>
        <w:t>个区、市、县、自治县。境内地貌由西向东倾斜，</w:t>
      </w:r>
      <w:r>
        <w:rPr>
          <w:rFonts w:ascii="宋体" w:hAnsi="宋体" w:eastAsia="宋体" w:cs="宋体"/>
          <w:sz w:val="23"/>
          <w:szCs w:val="23"/>
        </w:rPr>
        <w:t xml:space="preserve"> </w:t>
      </w:r>
      <w:r>
        <w:rPr>
          <w:rFonts w:ascii="宋体" w:hAnsi="宋体" w:eastAsia="宋体" w:cs="宋体"/>
          <w:spacing w:val="4"/>
          <w:sz w:val="23"/>
          <w:szCs w:val="23"/>
        </w:rPr>
        <w:t xml:space="preserve">最高处为海拔 </w:t>
      </w:r>
      <w:r>
        <w:rPr>
          <w:rFonts w:ascii="Times New Roman" w:hAnsi="Times New Roman" w:eastAsia="Times New Roman" w:cs="Times New Roman"/>
          <w:spacing w:val="4"/>
          <w:sz w:val="23"/>
          <w:szCs w:val="23"/>
        </w:rPr>
        <w:t>4</w:t>
      </w:r>
      <w:r>
        <w:rPr>
          <w:rFonts w:ascii="Times New Roman" w:hAnsi="Times New Roman" w:eastAsia="Times New Roman" w:cs="Times New Roman"/>
          <w:spacing w:val="3"/>
          <w:sz w:val="23"/>
          <w:szCs w:val="23"/>
        </w:rPr>
        <w:t>2</w:t>
      </w:r>
      <w:r>
        <w:rPr>
          <w:rFonts w:ascii="Times New Roman" w:hAnsi="Times New Roman" w:eastAsia="Times New Roman" w:cs="Times New Roman"/>
          <w:spacing w:val="2"/>
          <w:sz w:val="23"/>
          <w:szCs w:val="23"/>
        </w:rPr>
        <w:t xml:space="preserve">88 </w:t>
      </w:r>
      <w:r>
        <w:rPr>
          <w:rFonts w:ascii="宋体" w:hAnsi="宋体" w:eastAsia="宋体" w:cs="宋体"/>
          <w:spacing w:val="2"/>
          <w:sz w:val="23"/>
          <w:szCs w:val="23"/>
        </w:rPr>
        <w:t xml:space="preserve">米，最低处为海拔 </w:t>
      </w:r>
      <w:r>
        <w:rPr>
          <w:rFonts w:ascii="Times New Roman" w:hAnsi="Times New Roman" w:eastAsia="Times New Roman" w:cs="Times New Roman"/>
          <w:spacing w:val="2"/>
          <w:sz w:val="23"/>
          <w:szCs w:val="23"/>
        </w:rPr>
        <w:t xml:space="preserve">320 </w:t>
      </w:r>
      <w:r>
        <w:rPr>
          <w:rFonts w:ascii="宋体" w:hAnsi="宋体" w:eastAsia="宋体" w:cs="宋体"/>
          <w:spacing w:val="2"/>
          <w:sz w:val="23"/>
          <w:szCs w:val="23"/>
        </w:rPr>
        <w:t>米。</w:t>
      </w:r>
    </w:p>
    <w:p w14:paraId="131A8C75">
      <w:pPr>
        <w:spacing w:before="1" w:line="375" w:lineRule="auto"/>
        <w:ind w:left="11" w:right="13" w:firstLine="479"/>
        <w:rPr>
          <w:rFonts w:ascii="宋体" w:hAnsi="宋体" w:eastAsia="宋体" w:cs="宋体"/>
          <w:sz w:val="23"/>
          <w:szCs w:val="23"/>
        </w:rPr>
      </w:pPr>
      <w:r>
        <w:rPr>
          <w:rFonts w:ascii="宋体" w:hAnsi="宋体" w:eastAsia="宋体" w:cs="宋体"/>
          <w:spacing w:val="6"/>
          <w:sz w:val="23"/>
          <w:szCs w:val="23"/>
        </w:rPr>
        <w:t>井研县</w:t>
      </w:r>
      <w:r>
        <w:rPr>
          <w:rFonts w:ascii="宋体" w:hAnsi="宋体" w:eastAsia="宋体" w:cs="宋体"/>
          <w:spacing w:val="5"/>
          <w:sz w:val="23"/>
          <w:szCs w:val="23"/>
        </w:rPr>
        <w:t>位</w:t>
      </w:r>
      <w:r>
        <w:rPr>
          <w:rFonts w:ascii="宋体" w:hAnsi="宋体" w:eastAsia="宋体" w:cs="宋体"/>
          <w:spacing w:val="3"/>
          <w:sz w:val="23"/>
          <w:szCs w:val="23"/>
        </w:rPr>
        <w:t xml:space="preserve">于四川省中南部，乐山市境内。地理位置界于东经 </w:t>
      </w:r>
      <w:r>
        <w:rPr>
          <w:rFonts w:ascii="Times New Roman" w:hAnsi="Times New Roman" w:eastAsia="Times New Roman" w:cs="Times New Roman"/>
          <w:spacing w:val="3"/>
          <w:sz w:val="23"/>
          <w:szCs w:val="23"/>
        </w:rPr>
        <w:t>103°52’— 104°15’</w:t>
      </w:r>
      <w:r>
        <w:rPr>
          <w:rFonts w:ascii="宋体" w:hAnsi="宋体" w:eastAsia="宋体" w:cs="宋体"/>
          <w:spacing w:val="3"/>
          <w:sz w:val="23"/>
          <w:szCs w:val="23"/>
        </w:rPr>
        <w:t>，</w:t>
      </w:r>
      <w:r>
        <w:rPr>
          <w:rFonts w:ascii="宋体" w:hAnsi="宋体" w:eastAsia="宋体" w:cs="宋体"/>
          <w:sz w:val="23"/>
          <w:szCs w:val="23"/>
        </w:rPr>
        <w:t xml:space="preserve"> </w:t>
      </w:r>
      <w:r>
        <w:rPr>
          <w:rFonts w:ascii="宋体" w:hAnsi="宋体" w:eastAsia="宋体" w:cs="宋体"/>
          <w:spacing w:val="9"/>
          <w:sz w:val="23"/>
          <w:szCs w:val="23"/>
        </w:rPr>
        <w:t xml:space="preserve">北纬 </w:t>
      </w:r>
      <w:r>
        <w:rPr>
          <w:rFonts w:ascii="Times New Roman" w:hAnsi="Times New Roman" w:eastAsia="Times New Roman" w:cs="Times New Roman"/>
          <w:spacing w:val="9"/>
          <w:sz w:val="23"/>
          <w:szCs w:val="23"/>
        </w:rPr>
        <w:t>29°27’—29°53’</w:t>
      </w:r>
      <w:r>
        <w:rPr>
          <w:rFonts w:ascii="宋体" w:hAnsi="宋体" w:eastAsia="宋体" w:cs="宋体"/>
          <w:spacing w:val="9"/>
          <w:sz w:val="23"/>
          <w:szCs w:val="23"/>
        </w:rPr>
        <w:t>之间。北连眉山地区的青神、仁寿，东邻自贡市的荣县，南</w:t>
      </w:r>
      <w:r>
        <w:rPr>
          <w:rFonts w:ascii="宋体" w:hAnsi="宋体" w:eastAsia="宋体" w:cs="宋体"/>
          <w:spacing w:val="8"/>
          <w:sz w:val="23"/>
          <w:szCs w:val="23"/>
        </w:rPr>
        <w:t>接</w:t>
      </w:r>
      <w:r>
        <w:rPr>
          <w:rFonts w:ascii="宋体" w:hAnsi="宋体" w:eastAsia="宋体" w:cs="宋体"/>
          <w:sz w:val="23"/>
          <w:szCs w:val="23"/>
        </w:rPr>
        <w:t xml:space="preserve"> </w:t>
      </w:r>
      <w:r>
        <w:rPr>
          <w:rFonts w:ascii="宋体" w:hAnsi="宋体" w:eastAsia="宋体" w:cs="宋体"/>
          <w:spacing w:val="12"/>
          <w:sz w:val="23"/>
          <w:szCs w:val="23"/>
        </w:rPr>
        <w:t>乐山</w:t>
      </w:r>
      <w:r>
        <w:rPr>
          <w:rFonts w:ascii="宋体" w:hAnsi="宋体" w:eastAsia="宋体" w:cs="宋体"/>
          <w:spacing w:val="6"/>
          <w:sz w:val="23"/>
          <w:szCs w:val="23"/>
        </w:rPr>
        <w:t xml:space="preserve">市的五通桥区，西靠乐山市的市中区，东西宽 </w:t>
      </w:r>
      <w:r>
        <w:rPr>
          <w:rFonts w:ascii="Times New Roman" w:hAnsi="Times New Roman" w:eastAsia="Times New Roman" w:cs="Times New Roman"/>
          <w:spacing w:val="6"/>
          <w:sz w:val="23"/>
          <w:szCs w:val="23"/>
        </w:rPr>
        <w:t xml:space="preserve">27 </w:t>
      </w:r>
      <w:r>
        <w:rPr>
          <w:rFonts w:ascii="宋体" w:hAnsi="宋体" w:eastAsia="宋体" w:cs="宋体"/>
          <w:spacing w:val="6"/>
          <w:sz w:val="23"/>
          <w:szCs w:val="23"/>
        </w:rPr>
        <w:t xml:space="preserve">公里，南北长 </w:t>
      </w:r>
      <w:r>
        <w:rPr>
          <w:rFonts w:ascii="Times New Roman" w:hAnsi="Times New Roman" w:eastAsia="Times New Roman" w:cs="Times New Roman"/>
          <w:spacing w:val="6"/>
          <w:sz w:val="23"/>
          <w:szCs w:val="23"/>
        </w:rPr>
        <w:t xml:space="preserve">49 </w:t>
      </w:r>
      <w:r>
        <w:rPr>
          <w:rFonts w:ascii="宋体" w:hAnsi="宋体" w:eastAsia="宋体" w:cs="宋体"/>
          <w:spacing w:val="6"/>
          <w:sz w:val="23"/>
          <w:szCs w:val="23"/>
        </w:rPr>
        <w:t>公里，幅员</w:t>
      </w:r>
      <w:r>
        <w:rPr>
          <w:rFonts w:ascii="宋体" w:hAnsi="宋体" w:eastAsia="宋体" w:cs="宋体"/>
          <w:sz w:val="23"/>
          <w:szCs w:val="23"/>
        </w:rPr>
        <w:t xml:space="preserve"> </w:t>
      </w:r>
      <w:r>
        <w:rPr>
          <w:rFonts w:ascii="宋体" w:hAnsi="宋体" w:eastAsia="宋体" w:cs="宋体"/>
          <w:spacing w:val="-1"/>
          <w:sz w:val="23"/>
          <w:szCs w:val="23"/>
        </w:rPr>
        <w:t xml:space="preserve">面积 </w:t>
      </w:r>
      <w:r>
        <w:rPr>
          <w:rFonts w:ascii="Times New Roman" w:hAnsi="Times New Roman" w:eastAsia="Times New Roman" w:cs="Times New Roman"/>
          <w:spacing w:val="-1"/>
          <w:sz w:val="23"/>
          <w:szCs w:val="23"/>
        </w:rPr>
        <w:t xml:space="preserve">840.64 </w:t>
      </w:r>
      <w:r>
        <w:rPr>
          <w:rFonts w:ascii="宋体" w:hAnsi="宋体" w:eastAsia="宋体" w:cs="宋体"/>
          <w:spacing w:val="-1"/>
          <w:sz w:val="23"/>
          <w:szCs w:val="23"/>
        </w:rPr>
        <w:t xml:space="preserve">平方公里。辖 </w:t>
      </w:r>
      <w:r>
        <w:rPr>
          <w:rFonts w:ascii="Times New Roman" w:hAnsi="Times New Roman" w:eastAsia="Times New Roman" w:cs="Times New Roman"/>
          <w:spacing w:val="-1"/>
          <w:sz w:val="23"/>
          <w:szCs w:val="23"/>
        </w:rPr>
        <w:t xml:space="preserve">10 </w:t>
      </w:r>
      <w:r>
        <w:rPr>
          <w:rFonts w:ascii="宋体" w:hAnsi="宋体" w:eastAsia="宋体" w:cs="宋体"/>
          <w:spacing w:val="-1"/>
          <w:sz w:val="23"/>
          <w:szCs w:val="23"/>
        </w:rPr>
        <w:t>镇</w:t>
      </w:r>
      <w:r>
        <w:rPr>
          <w:rFonts w:ascii="宋体" w:hAnsi="宋体" w:eastAsia="宋体" w:cs="宋体"/>
          <w:sz w:val="23"/>
          <w:szCs w:val="23"/>
        </w:rPr>
        <w:t xml:space="preserve"> </w:t>
      </w:r>
      <w:r>
        <w:rPr>
          <w:rFonts w:ascii="Times New Roman" w:hAnsi="Times New Roman" w:eastAsia="Times New Roman" w:cs="Times New Roman"/>
          <w:sz w:val="23"/>
          <w:szCs w:val="23"/>
        </w:rPr>
        <w:t xml:space="preserve">17 </w:t>
      </w:r>
      <w:r>
        <w:rPr>
          <w:rFonts w:ascii="宋体" w:hAnsi="宋体" w:eastAsia="宋体" w:cs="宋体"/>
          <w:sz w:val="23"/>
          <w:szCs w:val="23"/>
        </w:rPr>
        <w:t>乡。</w:t>
      </w:r>
    </w:p>
    <w:p w14:paraId="7C8B10C8">
      <w:pPr>
        <w:spacing w:before="1" w:line="226" w:lineRule="auto"/>
        <w:ind w:left="491"/>
        <w:rPr>
          <w:rFonts w:ascii="宋体" w:hAnsi="宋体" w:eastAsia="宋体" w:cs="宋体"/>
          <w:sz w:val="23"/>
          <w:szCs w:val="23"/>
        </w:rPr>
      </w:pPr>
      <w:r>
        <w:rPr>
          <w:rFonts w:ascii="宋体" w:hAnsi="宋体" w:eastAsia="宋体" w:cs="宋体"/>
          <w:spacing w:val="6"/>
          <w:sz w:val="23"/>
          <w:szCs w:val="23"/>
        </w:rPr>
        <w:t>本项目位</w:t>
      </w:r>
      <w:r>
        <w:rPr>
          <w:rFonts w:ascii="宋体" w:hAnsi="宋体" w:eastAsia="宋体" w:cs="宋体"/>
          <w:spacing w:val="4"/>
          <w:sz w:val="23"/>
          <w:szCs w:val="23"/>
        </w:rPr>
        <w:t>于</w:t>
      </w:r>
      <w:r>
        <w:rPr>
          <w:rFonts w:ascii="宋体" w:hAnsi="宋体" w:eastAsia="宋体" w:cs="宋体"/>
          <w:spacing w:val="3"/>
          <w:sz w:val="23"/>
          <w:szCs w:val="23"/>
        </w:rPr>
        <w:t xml:space="preserve">井研县周坡镇周坡村 </w:t>
      </w:r>
      <w:r>
        <w:rPr>
          <w:rFonts w:ascii="Times New Roman" w:hAnsi="Times New Roman" w:eastAsia="Times New Roman" w:cs="Times New Roman"/>
          <w:spacing w:val="3"/>
          <w:sz w:val="23"/>
          <w:szCs w:val="23"/>
        </w:rPr>
        <w:t xml:space="preserve">7 </w:t>
      </w:r>
      <w:r>
        <w:rPr>
          <w:rFonts w:ascii="宋体" w:hAnsi="宋体" w:eastAsia="宋体" w:cs="宋体"/>
          <w:spacing w:val="3"/>
          <w:sz w:val="23"/>
          <w:szCs w:val="23"/>
        </w:rPr>
        <w:t xml:space="preserve">组、龙桥村 </w:t>
      </w:r>
      <w:r>
        <w:rPr>
          <w:rFonts w:ascii="Times New Roman" w:hAnsi="Times New Roman" w:eastAsia="Times New Roman" w:cs="Times New Roman"/>
          <w:spacing w:val="3"/>
          <w:sz w:val="23"/>
          <w:szCs w:val="23"/>
        </w:rPr>
        <w:t xml:space="preserve">2 </w:t>
      </w:r>
      <w:r>
        <w:rPr>
          <w:rFonts w:ascii="宋体" w:hAnsi="宋体" w:eastAsia="宋体" w:cs="宋体"/>
          <w:spacing w:val="3"/>
          <w:sz w:val="23"/>
          <w:szCs w:val="23"/>
        </w:rPr>
        <w:t xml:space="preserve">组，地理位置见附图 </w:t>
      </w:r>
      <w:r>
        <w:rPr>
          <w:rFonts w:ascii="Times New Roman" w:hAnsi="Times New Roman" w:eastAsia="Times New Roman" w:cs="Times New Roman"/>
          <w:spacing w:val="3"/>
          <w:sz w:val="23"/>
          <w:szCs w:val="23"/>
        </w:rPr>
        <w:t>1</w:t>
      </w:r>
      <w:r>
        <w:rPr>
          <w:rFonts w:ascii="宋体" w:hAnsi="宋体" w:eastAsia="宋体" w:cs="宋体"/>
          <w:spacing w:val="3"/>
          <w:sz w:val="23"/>
          <w:szCs w:val="23"/>
        </w:rPr>
        <w:t>。</w:t>
      </w:r>
    </w:p>
    <w:p w14:paraId="7E0FD644">
      <w:pPr>
        <w:spacing w:before="183" w:line="227" w:lineRule="auto"/>
        <w:ind w:left="6"/>
        <w:outlineLvl w:val="2"/>
        <w:rPr>
          <w:rFonts w:ascii="宋体" w:hAnsi="宋体" w:eastAsia="宋体" w:cs="宋体"/>
          <w:sz w:val="23"/>
          <w:szCs w:val="23"/>
        </w:rPr>
      </w:pPr>
      <w:r>
        <w:rPr>
          <w:rFonts w:ascii="Times New Roman" w:hAnsi="Times New Roman" w:eastAsia="Times New Roman" w:cs="Times New Roman"/>
          <w:b/>
          <w:bCs/>
          <w:spacing w:val="7"/>
          <w:sz w:val="23"/>
          <w:szCs w:val="23"/>
        </w:rPr>
        <w:t>4.1.2</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地形地貌、地</w:t>
      </w:r>
      <w:r>
        <w:rPr>
          <w:rFonts w:ascii="宋体" w:hAnsi="宋体" w:eastAsia="宋体" w:cs="宋体"/>
          <w:spacing w:val="4"/>
          <w:sz w:val="23"/>
          <w:szCs w:val="23"/>
          <w14:textOutline w14:w="4356" w14:cap="sq" w14:cmpd="sng" w14:algn="ctr">
            <w14:solidFill>
              <w14:srgbClr w14:val="000000"/>
            </w14:solidFill>
            <w14:prstDash w14:val="solid"/>
            <w14:bevel/>
          </w14:textOutline>
        </w:rPr>
        <w:t>质</w:t>
      </w:r>
    </w:p>
    <w:p w14:paraId="409BFA98">
      <w:pPr>
        <w:spacing w:before="187" w:line="374" w:lineRule="auto"/>
        <w:ind w:left="10" w:right="80" w:firstLine="487"/>
        <w:rPr>
          <w:rFonts w:ascii="宋体" w:hAnsi="宋体" w:eastAsia="宋体" w:cs="宋体"/>
          <w:sz w:val="23"/>
          <w:szCs w:val="23"/>
        </w:rPr>
      </w:pPr>
      <w:r>
        <w:rPr>
          <w:rFonts w:ascii="宋体" w:hAnsi="宋体" w:eastAsia="宋体" w:cs="宋体"/>
          <w:spacing w:val="19"/>
          <w:sz w:val="23"/>
          <w:szCs w:val="23"/>
        </w:rPr>
        <w:t>乐</w:t>
      </w:r>
      <w:r>
        <w:rPr>
          <w:rFonts w:ascii="宋体" w:hAnsi="宋体" w:eastAsia="宋体" w:cs="宋体"/>
          <w:spacing w:val="10"/>
          <w:sz w:val="23"/>
          <w:szCs w:val="23"/>
        </w:rPr>
        <w:t>山市地势由西南向东北倾斜，山地分布在市境西南，丘陵分布在沫溪河以北</w:t>
      </w:r>
      <w:r>
        <w:rPr>
          <w:rFonts w:ascii="宋体" w:hAnsi="宋体" w:eastAsia="宋体" w:cs="宋体"/>
          <w:sz w:val="23"/>
          <w:szCs w:val="23"/>
        </w:rPr>
        <w:t xml:space="preserve"> </w:t>
      </w:r>
      <w:r>
        <w:rPr>
          <w:rFonts w:ascii="宋体" w:hAnsi="宋体" w:eastAsia="宋体" w:cs="宋体"/>
          <w:spacing w:val="20"/>
          <w:sz w:val="23"/>
          <w:szCs w:val="23"/>
        </w:rPr>
        <w:t>的</w:t>
      </w:r>
      <w:r>
        <w:rPr>
          <w:rFonts w:ascii="宋体" w:hAnsi="宋体" w:eastAsia="宋体" w:cs="宋体"/>
          <w:spacing w:val="16"/>
          <w:sz w:val="23"/>
          <w:szCs w:val="23"/>
        </w:rPr>
        <w:t>中</w:t>
      </w:r>
      <w:r>
        <w:rPr>
          <w:rFonts w:ascii="宋体" w:hAnsi="宋体" w:eastAsia="宋体" w:cs="宋体"/>
          <w:spacing w:val="10"/>
          <w:sz w:val="23"/>
          <w:szCs w:val="23"/>
        </w:rPr>
        <w:t>部地区，青衣江与岷江之间的北部三角地带及岷江的东岸，平坝分布在岷江、</w:t>
      </w:r>
      <w:r>
        <w:rPr>
          <w:rFonts w:ascii="宋体" w:hAnsi="宋体" w:eastAsia="宋体" w:cs="宋体"/>
          <w:sz w:val="23"/>
          <w:szCs w:val="23"/>
        </w:rPr>
        <w:t xml:space="preserve"> </w:t>
      </w:r>
      <w:r>
        <w:rPr>
          <w:rFonts w:ascii="宋体" w:hAnsi="宋体" w:eastAsia="宋体" w:cs="宋体"/>
          <w:spacing w:val="16"/>
          <w:sz w:val="23"/>
          <w:szCs w:val="23"/>
        </w:rPr>
        <w:t>青</w:t>
      </w:r>
      <w:r>
        <w:rPr>
          <w:rFonts w:ascii="宋体" w:hAnsi="宋体" w:eastAsia="宋体" w:cs="宋体"/>
          <w:spacing w:val="8"/>
          <w:sz w:val="23"/>
          <w:szCs w:val="23"/>
        </w:rPr>
        <w:t>衣江及沙湾以下大渡河沿岸。</w:t>
      </w:r>
    </w:p>
    <w:p w14:paraId="3AE977DB">
      <w:pPr>
        <w:spacing w:before="1" w:line="363" w:lineRule="auto"/>
        <w:ind w:left="11" w:right="82" w:firstLine="479"/>
        <w:rPr>
          <w:rFonts w:ascii="宋体" w:hAnsi="宋体" w:eastAsia="宋体" w:cs="宋体"/>
          <w:sz w:val="23"/>
          <w:szCs w:val="23"/>
        </w:rPr>
      </w:pPr>
      <w:r>
        <w:rPr>
          <w:rFonts w:ascii="宋体" w:hAnsi="宋体" w:eastAsia="宋体" w:cs="宋体"/>
          <w:spacing w:val="18"/>
          <w:sz w:val="23"/>
          <w:szCs w:val="23"/>
        </w:rPr>
        <w:t>井</w:t>
      </w:r>
      <w:r>
        <w:rPr>
          <w:rFonts w:ascii="宋体" w:hAnsi="宋体" w:eastAsia="宋体" w:cs="宋体"/>
          <w:spacing w:val="15"/>
          <w:sz w:val="23"/>
          <w:szCs w:val="23"/>
        </w:rPr>
        <w:t>研</w:t>
      </w:r>
      <w:r>
        <w:rPr>
          <w:rFonts w:ascii="宋体" w:hAnsi="宋体" w:eastAsia="宋体" w:cs="宋体"/>
          <w:spacing w:val="9"/>
          <w:sz w:val="23"/>
          <w:szCs w:val="23"/>
        </w:rPr>
        <w:t>县地势由北向南倾斜，北高南低。北部天云乡境内的</w:t>
      </w:r>
      <w:r>
        <w:rPr>
          <w:rFonts w:ascii="Times New Roman" w:hAnsi="Times New Roman" w:eastAsia="Times New Roman" w:cs="Times New Roman"/>
          <w:spacing w:val="9"/>
          <w:sz w:val="23"/>
          <w:szCs w:val="23"/>
        </w:rPr>
        <w:t>“</w:t>
      </w:r>
      <w:r>
        <w:rPr>
          <w:rFonts w:ascii="宋体" w:hAnsi="宋体" w:eastAsia="宋体" w:cs="宋体"/>
          <w:spacing w:val="9"/>
          <w:sz w:val="23"/>
          <w:szCs w:val="23"/>
        </w:rPr>
        <w:t>人头顶</w:t>
      </w:r>
      <w:r>
        <w:rPr>
          <w:rFonts w:ascii="Times New Roman" w:hAnsi="Times New Roman" w:eastAsia="Times New Roman" w:cs="Times New Roman"/>
          <w:spacing w:val="9"/>
          <w:sz w:val="23"/>
          <w:szCs w:val="23"/>
        </w:rPr>
        <w:t>”</w:t>
      </w:r>
      <w:r>
        <w:rPr>
          <w:rFonts w:ascii="宋体" w:hAnsi="宋体" w:eastAsia="宋体" w:cs="宋体"/>
          <w:spacing w:val="9"/>
          <w:sz w:val="23"/>
          <w:szCs w:val="23"/>
        </w:rPr>
        <w:t>最高，海拔</w:t>
      </w:r>
      <w:r>
        <w:rPr>
          <w:rFonts w:ascii="宋体" w:hAnsi="宋体" w:eastAsia="宋体" w:cs="宋体"/>
          <w:sz w:val="23"/>
          <w:szCs w:val="23"/>
        </w:rPr>
        <w:t xml:space="preserve"> </w:t>
      </w:r>
      <w:r>
        <w:rPr>
          <w:rFonts w:ascii="Times New Roman" w:hAnsi="Times New Roman" w:eastAsia="Times New Roman" w:cs="Times New Roman"/>
          <w:spacing w:val="13"/>
          <w:sz w:val="23"/>
          <w:szCs w:val="23"/>
        </w:rPr>
        <w:t>6</w:t>
      </w:r>
      <w:r>
        <w:rPr>
          <w:rFonts w:ascii="Times New Roman" w:hAnsi="Times New Roman" w:eastAsia="Times New Roman" w:cs="Times New Roman"/>
          <w:spacing w:val="9"/>
          <w:sz w:val="23"/>
          <w:szCs w:val="23"/>
        </w:rPr>
        <w:t xml:space="preserve">97 </w:t>
      </w:r>
      <w:r>
        <w:rPr>
          <w:rFonts w:ascii="宋体" w:hAnsi="宋体" w:eastAsia="宋体" w:cs="宋体"/>
          <w:spacing w:val="9"/>
          <w:sz w:val="23"/>
          <w:szCs w:val="23"/>
        </w:rPr>
        <w:t xml:space="preserve">米，南部王村镇境内的舒金滩最低，海拔 </w:t>
      </w:r>
      <w:r>
        <w:rPr>
          <w:rFonts w:ascii="Times New Roman" w:hAnsi="Times New Roman" w:eastAsia="Times New Roman" w:cs="Times New Roman"/>
          <w:spacing w:val="9"/>
          <w:sz w:val="23"/>
          <w:szCs w:val="23"/>
        </w:rPr>
        <w:t xml:space="preserve">344 </w:t>
      </w:r>
      <w:r>
        <w:rPr>
          <w:rFonts w:ascii="宋体" w:hAnsi="宋体" w:eastAsia="宋体" w:cs="宋体"/>
          <w:spacing w:val="9"/>
          <w:sz w:val="23"/>
          <w:szCs w:val="23"/>
        </w:rPr>
        <w:t>米。全境属于川中丘陵，可以细</w:t>
      </w:r>
      <w:r>
        <w:rPr>
          <w:rFonts w:ascii="宋体" w:hAnsi="宋体" w:eastAsia="宋体" w:cs="宋体"/>
          <w:sz w:val="23"/>
          <w:szCs w:val="23"/>
        </w:rPr>
        <w:t xml:space="preserve"> </w:t>
      </w:r>
      <w:r>
        <w:rPr>
          <w:rFonts w:ascii="宋体" w:hAnsi="宋体" w:eastAsia="宋体" w:cs="宋体"/>
          <w:spacing w:val="12"/>
          <w:sz w:val="23"/>
          <w:szCs w:val="23"/>
        </w:rPr>
        <w:t>分</w:t>
      </w:r>
      <w:r>
        <w:rPr>
          <w:rFonts w:ascii="宋体" w:hAnsi="宋体" w:eastAsia="宋体" w:cs="宋体"/>
          <w:spacing w:val="8"/>
          <w:sz w:val="23"/>
          <w:szCs w:val="23"/>
        </w:rPr>
        <w:t xml:space="preserve">为深丘、中丘和浅丘，沿茫溪河中下游两岸有少量平坝分布。深丘面积 </w:t>
      </w:r>
      <w:r>
        <w:rPr>
          <w:rFonts w:ascii="Times New Roman" w:hAnsi="Times New Roman" w:eastAsia="Times New Roman" w:cs="Times New Roman"/>
          <w:spacing w:val="8"/>
          <w:sz w:val="23"/>
          <w:szCs w:val="23"/>
        </w:rPr>
        <w:t xml:space="preserve">135 </w:t>
      </w:r>
      <w:r>
        <w:rPr>
          <w:rFonts w:ascii="宋体" w:hAnsi="宋体" w:eastAsia="宋体" w:cs="宋体"/>
          <w:spacing w:val="8"/>
          <w:sz w:val="23"/>
          <w:szCs w:val="23"/>
        </w:rPr>
        <w:t>平方</w:t>
      </w:r>
    </w:p>
    <w:p w14:paraId="29A7CFD9">
      <w:pPr>
        <w:spacing w:line="323" w:lineRule="exact"/>
        <w:ind w:left="17"/>
        <w:rPr>
          <w:rFonts w:ascii="宋体" w:hAnsi="宋体" w:eastAsia="宋体" w:cs="宋体"/>
          <w:sz w:val="23"/>
          <w:szCs w:val="23"/>
        </w:rPr>
      </w:pPr>
      <w:r>
        <w:rPr>
          <w:rFonts w:ascii="宋体" w:hAnsi="宋体" w:eastAsia="宋体" w:cs="宋体"/>
          <w:spacing w:val="-2"/>
          <w:position w:val="2"/>
          <w:sz w:val="23"/>
          <w:szCs w:val="23"/>
        </w:rPr>
        <w:t>公里</w:t>
      </w:r>
      <w:r>
        <w:rPr>
          <w:rFonts w:ascii="宋体" w:hAnsi="宋体" w:eastAsia="宋体" w:cs="宋体"/>
          <w:spacing w:val="-1"/>
          <w:position w:val="2"/>
          <w:sz w:val="23"/>
          <w:szCs w:val="23"/>
        </w:rPr>
        <w:t xml:space="preserve">， 占全县幅员面积的 </w:t>
      </w:r>
      <w:r>
        <w:rPr>
          <w:rFonts w:ascii="Times New Roman" w:hAnsi="Times New Roman" w:eastAsia="Times New Roman" w:cs="Times New Roman"/>
          <w:spacing w:val="-1"/>
          <w:position w:val="2"/>
          <w:sz w:val="23"/>
          <w:szCs w:val="23"/>
        </w:rPr>
        <w:t xml:space="preserve">15.7% </w:t>
      </w:r>
      <w:r>
        <w:rPr>
          <w:rFonts w:ascii="宋体" w:hAnsi="宋体" w:eastAsia="宋体" w:cs="宋体"/>
          <w:spacing w:val="-1"/>
          <w:position w:val="2"/>
          <w:sz w:val="23"/>
          <w:szCs w:val="23"/>
        </w:rPr>
        <w:t>，余皆为中浅丘陵。</w:t>
      </w:r>
    </w:p>
    <w:p w14:paraId="25DD6FA8">
      <w:pPr>
        <w:spacing w:before="185" w:line="375" w:lineRule="auto"/>
        <w:ind w:left="9" w:firstLine="481"/>
        <w:rPr>
          <w:rFonts w:ascii="宋体" w:hAnsi="宋体" w:eastAsia="宋体" w:cs="宋体"/>
          <w:sz w:val="23"/>
          <w:szCs w:val="23"/>
        </w:rPr>
      </w:pPr>
      <w:r>
        <w:rPr>
          <w:rFonts w:ascii="宋体" w:hAnsi="宋体" w:eastAsia="宋体" w:cs="宋体"/>
          <w:spacing w:val="20"/>
          <w:sz w:val="23"/>
          <w:szCs w:val="23"/>
        </w:rPr>
        <w:t>县</w:t>
      </w:r>
      <w:r>
        <w:rPr>
          <w:rFonts w:ascii="宋体" w:hAnsi="宋体" w:eastAsia="宋体" w:cs="宋体"/>
          <w:spacing w:val="15"/>
          <w:sz w:val="23"/>
          <w:szCs w:val="23"/>
        </w:rPr>
        <w:t>境</w:t>
      </w:r>
      <w:r>
        <w:rPr>
          <w:rFonts w:ascii="宋体" w:hAnsi="宋体" w:eastAsia="宋体" w:cs="宋体"/>
          <w:spacing w:val="10"/>
          <w:sz w:val="23"/>
          <w:szCs w:val="23"/>
        </w:rPr>
        <w:t>区域地质构造属于杨子准地台西部之四川台坳，次一级构造为威远穹隆构</w:t>
      </w:r>
      <w:r>
        <w:rPr>
          <w:rFonts w:ascii="宋体" w:hAnsi="宋体" w:eastAsia="宋体" w:cs="宋体"/>
          <w:sz w:val="23"/>
          <w:szCs w:val="23"/>
        </w:rPr>
        <w:t xml:space="preserve"> </w:t>
      </w:r>
      <w:r>
        <w:rPr>
          <w:rFonts w:ascii="宋体" w:hAnsi="宋体" w:eastAsia="宋体" w:cs="宋体"/>
          <w:spacing w:val="12"/>
          <w:sz w:val="23"/>
          <w:szCs w:val="23"/>
        </w:rPr>
        <w:t>造</w:t>
      </w:r>
      <w:r>
        <w:rPr>
          <w:rFonts w:ascii="宋体" w:hAnsi="宋体" w:eastAsia="宋体" w:cs="宋体"/>
          <w:spacing w:val="6"/>
          <w:sz w:val="23"/>
          <w:szCs w:val="23"/>
        </w:rPr>
        <w:t>和龙泉山褶皱断裂。出露的主要地层为中生界侏罗系、白垩系和新生界的第四系。</w:t>
      </w:r>
      <w:r>
        <w:rPr>
          <w:rFonts w:ascii="宋体" w:hAnsi="宋体" w:eastAsia="宋体" w:cs="宋体"/>
          <w:sz w:val="23"/>
          <w:szCs w:val="23"/>
        </w:rPr>
        <w:t xml:space="preserve"> </w:t>
      </w:r>
      <w:r>
        <w:rPr>
          <w:rFonts w:ascii="宋体" w:hAnsi="宋体" w:eastAsia="宋体" w:cs="宋体"/>
          <w:spacing w:val="10"/>
          <w:sz w:val="23"/>
          <w:szCs w:val="23"/>
        </w:rPr>
        <w:t>侏</w:t>
      </w:r>
      <w:r>
        <w:rPr>
          <w:rFonts w:ascii="宋体" w:hAnsi="宋体" w:eastAsia="宋体" w:cs="宋体"/>
          <w:spacing w:val="7"/>
          <w:sz w:val="23"/>
          <w:szCs w:val="23"/>
        </w:rPr>
        <w:t>罗系以砂岩、长石石英砂岩与粘土岩互层出现， 白垩系以砖红色砂岩为主，第四</w:t>
      </w:r>
      <w:r>
        <w:rPr>
          <w:rFonts w:ascii="宋体" w:hAnsi="宋体" w:eastAsia="宋体" w:cs="宋体"/>
          <w:sz w:val="23"/>
          <w:szCs w:val="23"/>
        </w:rPr>
        <w:t xml:space="preserve"> </w:t>
      </w:r>
      <w:r>
        <w:rPr>
          <w:rFonts w:ascii="宋体" w:hAnsi="宋体" w:eastAsia="宋体" w:cs="宋体"/>
          <w:spacing w:val="20"/>
          <w:sz w:val="23"/>
          <w:szCs w:val="23"/>
        </w:rPr>
        <w:t>系</w:t>
      </w:r>
      <w:r>
        <w:rPr>
          <w:rFonts w:ascii="宋体" w:hAnsi="宋体" w:eastAsia="宋体" w:cs="宋体"/>
          <w:spacing w:val="17"/>
          <w:sz w:val="23"/>
          <w:szCs w:val="23"/>
        </w:rPr>
        <w:t>以</w:t>
      </w:r>
      <w:r>
        <w:rPr>
          <w:rFonts w:ascii="宋体" w:hAnsi="宋体" w:eastAsia="宋体" w:cs="宋体"/>
          <w:spacing w:val="10"/>
          <w:sz w:val="23"/>
          <w:szCs w:val="23"/>
        </w:rPr>
        <w:t>粘土和砂质粘土为主。全区除少量含水岩层灰岩分布于东部外，余皆属于隔水</w:t>
      </w:r>
      <w:r>
        <w:rPr>
          <w:rFonts w:ascii="宋体" w:hAnsi="宋体" w:eastAsia="宋体" w:cs="宋体"/>
          <w:sz w:val="23"/>
          <w:szCs w:val="23"/>
        </w:rPr>
        <w:t xml:space="preserve"> </w:t>
      </w:r>
      <w:r>
        <w:rPr>
          <w:rFonts w:ascii="宋体" w:hAnsi="宋体" w:eastAsia="宋体" w:cs="宋体"/>
          <w:spacing w:val="15"/>
          <w:sz w:val="23"/>
          <w:szCs w:val="23"/>
        </w:rPr>
        <w:t>岩</w:t>
      </w:r>
      <w:r>
        <w:rPr>
          <w:rFonts w:ascii="宋体" w:hAnsi="宋体" w:eastAsia="宋体" w:cs="宋体"/>
          <w:spacing w:val="9"/>
          <w:sz w:val="23"/>
          <w:szCs w:val="23"/>
        </w:rPr>
        <w:t>层，地下水主要分布于断裂带、破碎带岩石裂隙之中。</w:t>
      </w:r>
    </w:p>
    <w:p w14:paraId="3B113FDF">
      <w:pPr>
        <w:spacing w:before="5" w:line="366" w:lineRule="auto"/>
        <w:ind w:left="9" w:firstLine="480"/>
        <w:rPr>
          <w:rFonts w:ascii="宋体" w:hAnsi="宋体" w:eastAsia="宋体" w:cs="宋体"/>
          <w:sz w:val="23"/>
          <w:szCs w:val="23"/>
        </w:rPr>
      </w:pPr>
      <w:r>
        <w:rPr>
          <w:rFonts w:ascii="宋体" w:hAnsi="宋体" w:eastAsia="宋体" w:cs="宋体"/>
          <w:spacing w:val="6"/>
          <w:sz w:val="23"/>
          <w:szCs w:val="23"/>
        </w:rPr>
        <w:t>据四川省地震局资料，本区域中强度地震发生频率高，相邻地区曾有强震发生</w:t>
      </w:r>
      <w:r>
        <w:rPr>
          <w:rFonts w:ascii="宋体" w:hAnsi="宋体" w:eastAsia="宋体" w:cs="宋体"/>
          <w:spacing w:val="4"/>
          <w:sz w:val="23"/>
          <w:szCs w:val="23"/>
        </w:rPr>
        <w:t>。</w:t>
      </w:r>
      <w:r>
        <w:rPr>
          <w:rFonts w:ascii="宋体" w:hAnsi="宋体" w:eastAsia="宋体" w:cs="宋体"/>
          <w:sz w:val="23"/>
          <w:szCs w:val="23"/>
        </w:rPr>
        <w:t xml:space="preserve"> </w:t>
      </w:r>
      <w:r>
        <w:rPr>
          <w:rFonts w:ascii="宋体" w:hAnsi="宋体" w:eastAsia="宋体" w:cs="宋体"/>
          <w:spacing w:val="-14"/>
          <w:sz w:val="23"/>
          <w:szCs w:val="23"/>
        </w:rPr>
        <w:t>据</w:t>
      </w:r>
      <w:r>
        <w:rPr>
          <w:rFonts w:ascii="宋体" w:hAnsi="宋体" w:eastAsia="宋体" w:cs="宋体"/>
          <w:spacing w:val="-12"/>
          <w:sz w:val="23"/>
          <w:szCs w:val="23"/>
        </w:rPr>
        <w:t xml:space="preserve"> </w:t>
      </w:r>
      <w:r>
        <w:rPr>
          <w:rFonts w:ascii="宋体" w:hAnsi="宋体" w:eastAsia="宋体" w:cs="宋体"/>
          <w:spacing w:val="-7"/>
          <w:sz w:val="23"/>
          <w:szCs w:val="23"/>
        </w:rPr>
        <w:t xml:space="preserve">国 家地 震 局 </w:t>
      </w:r>
      <w:r>
        <w:rPr>
          <w:rFonts w:ascii="Times New Roman" w:hAnsi="Times New Roman" w:eastAsia="Times New Roman" w:cs="Times New Roman"/>
          <w:spacing w:val="-7"/>
          <w:sz w:val="23"/>
          <w:szCs w:val="23"/>
        </w:rPr>
        <w:t xml:space="preserve">1/400 </w:t>
      </w:r>
      <w:r>
        <w:rPr>
          <w:rFonts w:ascii="宋体" w:hAnsi="宋体" w:eastAsia="宋体" w:cs="宋体"/>
          <w:spacing w:val="-7"/>
          <w:sz w:val="23"/>
          <w:szCs w:val="23"/>
        </w:rPr>
        <w:t xml:space="preserve">万 中国地 震裂度 区划图 ， 工程 区地 震裂度 为 </w:t>
      </w:r>
      <w:r>
        <w:rPr>
          <w:rFonts w:ascii="Times New Roman" w:hAnsi="Times New Roman" w:eastAsia="Times New Roman" w:cs="Times New Roman"/>
          <w:spacing w:val="-7"/>
          <w:sz w:val="23"/>
          <w:szCs w:val="23"/>
        </w:rPr>
        <w:t xml:space="preserve">7 </w:t>
      </w:r>
      <w:r>
        <w:rPr>
          <w:rFonts w:ascii="宋体" w:hAnsi="宋体" w:eastAsia="宋体" w:cs="宋体"/>
          <w:spacing w:val="-7"/>
          <w:sz w:val="23"/>
          <w:szCs w:val="23"/>
        </w:rPr>
        <w:t>度 。 据</w:t>
      </w:r>
      <w:r>
        <w:rPr>
          <w:rFonts w:ascii="宋体" w:hAnsi="宋体" w:eastAsia="宋体" w:cs="宋体"/>
          <w:sz w:val="23"/>
          <w:szCs w:val="23"/>
        </w:rPr>
        <w:t xml:space="preserve"> </w:t>
      </w:r>
      <w:r>
        <w:rPr>
          <w:rFonts w:ascii="Times New Roman" w:hAnsi="Times New Roman" w:eastAsia="Times New Roman" w:cs="Times New Roman"/>
          <w:sz w:val="23"/>
          <w:szCs w:val="23"/>
        </w:rPr>
        <w:t>GB</w:t>
      </w:r>
      <w:r>
        <w:rPr>
          <w:rFonts w:ascii="Times New Roman" w:hAnsi="Times New Roman" w:eastAsia="Times New Roman" w:cs="Times New Roman"/>
          <w:spacing w:val="12"/>
          <w:sz w:val="23"/>
          <w:szCs w:val="23"/>
        </w:rPr>
        <w:t>1</w:t>
      </w:r>
      <w:r>
        <w:rPr>
          <w:rFonts w:ascii="Times New Roman" w:hAnsi="Times New Roman" w:eastAsia="Times New Roman" w:cs="Times New Roman"/>
          <w:spacing w:val="7"/>
          <w:sz w:val="23"/>
          <w:szCs w:val="23"/>
        </w:rPr>
        <w:t>8</w:t>
      </w:r>
      <w:r>
        <w:rPr>
          <w:rFonts w:ascii="Times New Roman" w:hAnsi="Times New Roman" w:eastAsia="Times New Roman" w:cs="Times New Roman"/>
          <w:spacing w:val="6"/>
          <w:sz w:val="23"/>
          <w:szCs w:val="23"/>
        </w:rPr>
        <w:t>1306—2001</w:t>
      </w:r>
      <w:r>
        <w:rPr>
          <w:rFonts w:ascii="宋体" w:hAnsi="宋体" w:eastAsia="宋体" w:cs="宋体"/>
          <w:spacing w:val="6"/>
          <w:sz w:val="23"/>
          <w:szCs w:val="23"/>
        </w:rPr>
        <w:t xml:space="preserve">《中国地震动参数区划图》，工程区 </w:t>
      </w:r>
      <w:r>
        <w:rPr>
          <w:rFonts w:ascii="Times New Roman" w:hAnsi="Times New Roman" w:eastAsia="Times New Roman" w:cs="Times New Roman"/>
          <w:spacing w:val="6"/>
          <w:sz w:val="23"/>
          <w:szCs w:val="23"/>
        </w:rPr>
        <w:t xml:space="preserve">50 </w:t>
      </w:r>
      <w:r>
        <w:rPr>
          <w:rFonts w:ascii="宋体" w:hAnsi="宋体" w:eastAsia="宋体" w:cs="宋体"/>
          <w:spacing w:val="6"/>
          <w:sz w:val="23"/>
          <w:szCs w:val="23"/>
        </w:rPr>
        <w:t xml:space="preserve">年超越概率 </w:t>
      </w:r>
      <w:r>
        <w:rPr>
          <w:rFonts w:ascii="Times New Roman" w:hAnsi="Times New Roman" w:eastAsia="Times New Roman" w:cs="Times New Roman"/>
          <w:spacing w:val="6"/>
          <w:sz w:val="23"/>
          <w:szCs w:val="23"/>
        </w:rPr>
        <w:t>10%</w:t>
      </w:r>
      <w:r>
        <w:rPr>
          <w:rFonts w:ascii="宋体" w:hAnsi="宋体" w:eastAsia="宋体" w:cs="宋体"/>
          <w:spacing w:val="6"/>
          <w:sz w:val="23"/>
          <w:szCs w:val="23"/>
        </w:rPr>
        <w:t>的地震动</w:t>
      </w:r>
      <w:r>
        <w:rPr>
          <w:rFonts w:ascii="宋体" w:hAnsi="宋体" w:eastAsia="宋体" w:cs="宋体"/>
          <w:sz w:val="23"/>
          <w:szCs w:val="23"/>
        </w:rPr>
        <w:t xml:space="preserve"> </w:t>
      </w:r>
      <w:r>
        <w:rPr>
          <w:rFonts w:ascii="宋体" w:hAnsi="宋体" w:eastAsia="宋体" w:cs="宋体"/>
          <w:spacing w:val="2"/>
          <w:sz w:val="23"/>
          <w:szCs w:val="23"/>
        </w:rPr>
        <w:t xml:space="preserve">净值加速度为 </w:t>
      </w:r>
      <w:r>
        <w:rPr>
          <w:rFonts w:ascii="Times New Roman" w:hAnsi="Times New Roman" w:eastAsia="Times New Roman" w:cs="Times New Roman"/>
          <w:spacing w:val="2"/>
          <w:sz w:val="23"/>
          <w:szCs w:val="23"/>
        </w:rPr>
        <w:t>0. 1</w:t>
      </w:r>
      <w:r>
        <w:rPr>
          <w:rFonts w:ascii="Times New Roman" w:hAnsi="Times New Roman" w:eastAsia="Times New Roman" w:cs="Times New Roman"/>
          <w:sz w:val="23"/>
          <w:szCs w:val="23"/>
        </w:rPr>
        <w:t>g</w:t>
      </w:r>
      <w:r>
        <w:rPr>
          <w:rFonts w:ascii="宋体" w:hAnsi="宋体" w:eastAsia="宋体" w:cs="宋体"/>
          <w:spacing w:val="2"/>
          <w:sz w:val="23"/>
          <w:szCs w:val="23"/>
        </w:rPr>
        <w:t xml:space="preserve">，相应地震反应谱特征周期为 </w:t>
      </w:r>
      <w:r>
        <w:rPr>
          <w:rFonts w:ascii="Times New Roman" w:hAnsi="Times New Roman" w:eastAsia="Times New Roman" w:cs="Times New Roman"/>
          <w:spacing w:val="2"/>
          <w:sz w:val="23"/>
          <w:szCs w:val="23"/>
        </w:rPr>
        <w:t>0.4</w:t>
      </w:r>
      <w:r>
        <w:rPr>
          <w:rFonts w:ascii="Times New Roman" w:hAnsi="Times New Roman" w:eastAsia="Times New Roman" w:cs="Times New Roman"/>
          <w:sz w:val="23"/>
          <w:szCs w:val="23"/>
        </w:rPr>
        <w:t>s</w:t>
      </w:r>
      <w:r>
        <w:rPr>
          <w:rFonts w:ascii="宋体" w:hAnsi="宋体" w:eastAsia="宋体" w:cs="宋体"/>
          <w:spacing w:val="2"/>
          <w:sz w:val="23"/>
          <w:szCs w:val="23"/>
        </w:rPr>
        <w:t>，对应的地震基本裂度为Ⅶ</w:t>
      </w:r>
      <w:r>
        <w:rPr>
          <w:rFonts w:ascii="宋体" w:hAnsi="宋体" w:eastAsia="宋体" w:cs="宋体"/>
          <w:spacing w:val="1"/>
          <w:sz w:val="23"/>
          <w:szCs w:val="23"/>
        </w:rPr>
        <w:t>度</w:t>
      </w:r>
      <w:r>
        <w:rPr>
          <w:rFonts w:ascii="宋体" w:hAnsi="宋体" w:eastAsia="宋体" w:cs="宋体"/>
          <w:sz w:val="23"/>
          <w:szCs w:val="23"/>
        </w:rPr>
        <w:t>。</w:t>
      </w:r>
    </w:p>
    <w:p w14:paraId="1FCC1E90">
      <w:pPr>
        <w:spacing w:before="39" w:line="227" w:lineRule="auto"/>
        <w:ind w:left="6"/>
        <w:outlineLvl w:val="2"/>
        <w:rPr>
          <w:rFonts w:ascii="宋体" w:hAnsi="宋体" w:eastAsia="宋体" w:cs="宋体"/>
          <w:sz w:val="23"/>
          <w:szCs w:val="23"/>
        </w:rPr>
      </w:pPr>
      <w:r>
        <w:rPr>
          <w:rFonts w:ascii="Times New Roman" w:hAnsi="Times New Roman" w:eastAsia="Times New Roman" w:cs="Times New Roman"/>
          <w:b/>
          <w:bCs/>
          <w:spacing w:val="10"/>
          <w:sz w:val="23"/>
          <w:szCs w:val="23"/>
        </w:rPr>
        <w:t>4</w:t>
      </w:r>
      <w:r>
        <w:rPr>
          <w:rFonts w:ascii="Times New Roman" w:hAnsi="Times New Roman" w:eastAsia="Times New Roman" w:cs="Times New Roman"/>
          <w:b/>
          <w:bCs/>
          <w:spacing w:val="6"/>
          <w:sz w:val="23"/>
          <w:szCs w:val="23"/>
        </w:rPr>
        <w:t>.</w:t>
      </w:r>
      <w:r>
        <w:rPr>
          <w:rFonts w:ascii="Times New Roman" w:hAnsi="Times New Roman" w:eastAsia="Times New Roman" w:cs="Times New Roman"/>
          <w:b/>
          <w:bCs/>
          <w:spacing w:val="5"/>
          <w:sz w:val="23"/>
          <w:szCs w:val="23"/>
        </w:rPr>
        <w:t>1.3</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气候气象</w:t>
      </w:r>
    </w:p>
    <w:p w14:paraId="74BD37E7">
      <w:pPr>
        <w:sectPr>
          <w:headerReference r:id="rId146" w:type="default"/>
          <w:footerReference r:id="rId147" w:type="default"/>
          <w:pgSz w:w="11907" w:h="16840"/>
          <w:pgMar w:top="1153" w:right="1499" w:bottom="1485" w:left="1660" w:header="919" w:footer="1298" w:gutter="0"/>
          <w:cols w:space="720" w:num="1"/>
        </w:sectPr>
      </w:pPr>
    </w:p>
    <w:p w14:paraId="1A167E99">
      <w:pPr>
        <w:spacing w:before="43" w:line="227" w:lineRule="auto"/>
        <w:ind w:left="501"/>
        <w:rPr>
          <w:rFonts w:ascii="宋体" w:hAnsi="宋体" w:eastAsia="宋体" w:cs="宋体"/>
          <w:sz w:val="23"/>
          <w:szCs w:val="23"/>
        </w:rPr>
      </w:pPr>
      <w:r>
        <w:rPr>
          <w:rFonts w:ascii="宋体" w:hAnsi="宋体" w:eastAsia="宋体" w:cs="宋体"/>
          <w:spacing w:val="26"/>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3"/>
          <w:sz w:val="23"/>
          <w:szCs w:val="23"/>
        </w:rPr>
        <w:t>1</w:t>
      </w: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宋体" w:hAnsi="宋体" w:eastAsia="宋体" w:cs="宋体"/>
          <w:spacing w:val="23"/>
          <w:sz w:val="23"/>
          <w:szCs w:val="23"/>
        </w:rPr>
        <w:t xml:space="preserve"> </w:t>
      </w:r>
      <w:r>
        <w:rPr>
          <w:rFonts w:ascii="宋体" w:hAnsi="宋体" w:eastAsia="宋体" w:cs="宋体"/>
          <w:spacing w:val="23"/>
          <w:sz w:val="23"/>
          <w:szCs w:val="23"/>
          <w14:textOutline w14:w="4356" w14:cap="sq" w14:cmpd="sng" w14:algn="ctr">
            <w14:solidFill>
              <w14:srgbClr w14:val="000000"/>
            </w14:solidFill>
            <w14:prstDash w14:val="solid"/>
            <w14:bevel/>
          </w14:textOutline>
        </w:rPr>
        <w:t>气候</w:t>
      </w:r>
    </w:p>
    <w:p w14:paraId="6C0379CA">
      <w:pPr>
        <w:spacing w:before="181" w:line="375" w:lineRule="auto"/>
        <w:ind w:left="10" w:right="99" w:firstLine="480"/>
        <w:rPr>
          <w:rFonts w:ascii="宋体" w:hAnsi="宋体" w:eastAsia="宋体" w:cs="宋体"/>
          <w:sz w:val="23"/>
          <w:szCs w:val="23"/>
        </w:rPr>
      </w:pPr>
      <w:r>
        <w:rPr>
          <w:rFonts w:ascii="宋体" w:hAnsi="宋体" w:eastAsia="宋体" w:cs="宋体"/>
          <w:spacing w:val="20"/>
          <w:sz w:val="23"/>
          <w:szCs w:val="23"/>
        </w:rPr>
        <w:t>井</w:t>
      </w:r>
      <w:r>
        <w:rPr>
          <w:rFonts w:ascii="宋体" w:hAnsi="宋体" w:eastAsia="宋体" w:cs="宋体"/>
          <w:spacing w:val="16"/>
          <w:sz w:val="23"/>
          <w:szCs w:val="23"/>
        </w:rPr>
        <w:t>研</w:t>
      </w:r>
      <w:r>
        <w:rPr>
          <w:rFonts w:ascii="宋体" w:hAnsi="宋体" w:eastAsia="宋体" w:cs="宋体"/>
          <w:spacing w:val="10"/>
          <w:sz w:val="23"/>
          <w:szCs w:val="23"/>
        </w:rPr>
        <w:t>属中亚热带湿润气候区，受海洋气候和内陆干燥气候影响，其特点是温暖</w:t>
      </w:r>
      <w:r>
        <w:rPr>
          <w:rFonts w:ascii="宋体" w:hAnsi="宋体" w:eastAsia="宋体" w:cs="宋体"/>
          <w:sz w:val="23"/>
          <w:szCs w:val="23"/>
        </w:rPr>
        <w:t xml:space="preserve"> </w:t>
      </w:r>
      <w:r>
        <w:rPr>
          <w:rFonts w:ascii="宋体" w:hAnsi="宋体" w:eastAsia="宋体" w:cs="宋体"/>
          <w:spacing w:val="9"/>
          <w:sz w:val="23"/>
          <w:szCs w:val="23"/>
        </w:rPr>
        <w:t>湿</w:t>
      </w:r>
      <w:r>
        <w:rPr>
          <w:rFonts w:ascii="宋体" w:hAnsi="宋体" w:eastAsia="宋体" w:cs="宋体"/>
          <w:spacing w:val="5"/>
          <w:sz w:val="23"/>
          <w:szCs w:val="23"/>
        </w:rPr>
        <w:t xml:space="preserve">润，雨热同季，冷热四季分明，干湿两季明显。多年平均气温 </w:t>
      </w:r>
      <w:r>
        <w:rPr>
          <w:rFonts w:ascii="Times New Roman" w:hAnsi="Times New Roman" w:eastAsia="Times New Roman" w:cs="Times New Roman"/>
          <w:spacing w:val="5"/>
          <w:sz w:val="23"/>
          <w:szCs w:val="23"/>
        </w:rPr>
        <w:t>17</w:t>
      </w:r>
      <w:r>
        <w:rPr>
          <w:rFonts w:ascii="宋体" w:hAnsi="宋体" w:eastAsia="宋体" w:cs="宋体"/>
          <w:spacing w:val="5"/>
          <w:sz w:val="23"/>
          <w:szCs w:val="23"/>
        </w:rPr>
        <w:t>℃ ，</w:t>
      </w:r>
      <w:r>
        <w:rPr>
          <w:rFonts w:ascii="Times New Roman" w:hAnsi="Times New Roman" w:eastAsia="Times New Roman" w:cs="Times New Roman"/>
          <w:spacing w:val="5"/>
          <w:sz w:val="23"/>
          <w:szCs w:val="23"/>
        </w:rPr>
        <w:t xml:space="preserve">1 </w:t>
      </w:r>
      <w:r>
        <w:rPr>
          <w:rFonts w:ascii="宋体" w:hAnsi="宋体" w:eastAsia="宋体" w:cs="宋体"/>
          <w:spacing w:val="5"/>
          <w:sz w:val="23"/>
          <w:szCs w:val="23"/>
        </w:rPr>
        <w:t>月平均气</w:t>
      </w:r>
      <w:r>
        <w:rPr>
          <w:rFonts w:ascii="宋体" w:hAnsi="宋体" w:eastAsia="宋体" w:cs="宋体"/>
          <w:sz w:val="23"/>
          <w:szCs w:val="23"/>
        </w:rPr>
        <w:t xml:space="preserve"> </w:t>
      </w:r>
      <w:r>
        <w:rPr>
          <w:rFonts w:ascii="宋体" w:hAnsi="宋体" w:eastAsia="宋体" w:cs="宋体"/>
          <w:spacing w:val="-2"/>
          <w:sz w:val="23"/>
          <w:szCs w:val="23"/>
        </w:rPr>
        <w:t xml:space="preserve">温 </w:t>
      </w:r>
      <w:r>
        <w:rPr>
          <w:rFonts w:ascii="Times New Roman" w:hAnsi="Times New Roman" w:eastAsia="Times New Roman" w:cs="Times New Roman"/>
          <w:spacing w:val="-2"/>
          <w:sz w:val="23"/>
          <w:szCs w:val="23"/>
        </w:rPr>
        <w:t>6.5</w:t>
      </w:r>
      <w:r>
        <w:rPr>
          <w:rFonts w:ascii="宋体" w:hAnsi="宋体" w:eastAsia="宋体" w:cs="宋体"/>
          <w:spacing w:val="-2"/>
          <w:sz w:val="23"/>
          <w:szCs w:val="23"/>
        </w:rPr>
        <w:t>℃ ，</w:t>
      </w:r>
      <w:r>
        <w:rPr>
          <w:rFonts w:ascii="Times New Roman" w:hAnsi="Times New Roman" w:eastAsia="Times New Roman" w:cs="Times New Roman"/>
          <w:spacing w:val="-2"/>
          <w:sz w:val="23"/>
          <w:szCs w:val="23"/>
        </w:rPr>
        <w:t xml:space="preserve">7 </w:t>
      </w:r>
      <w:r>
        <w:rPr>
          <w:rFonts w:ascii="宋体" w:hAnsi="宋体" w:eastAsia="宋体" w:cs="宋体"/>
          <w:spacing w:val="-2"/>
          <w:sz w:val="23"/>
          <w:szCs w:val="23"/>
        </w:rPr>
        <w:t xml:space="preserve">月平均气温 </w:t>
      </w:r>
      <w:r>
        <w:rPr>
          <w:rFonts w:ascii="Times New Roman" w:hAnsi="Times New Roman" w:eastAsia="Times New Roman" w:cs="Times New Roman"/>
          <w:spacing w:val="-2"/>
          <w:sz w:val="23"/>
          <w:szCs w:val="23"/>
        </w:rPr>
        <w:t>25.4</w:t>
      </w:r>
      <w:r>
        <w:rPr>
          <w:rFonts w:ascii="宋体" w:hAnsi="宋体" w:eastAsia="宋体" w:cs="宋体"/>
          <w:spacing w:val="-2"/>
          <w:sz w:val="23"/>
          <w:szCs w:val="23"/>
        </w:rPr>
        <w:t xml:space="preserve">℃ ，极端最高 </w:t>
      </w:r>
      <w:r>
        <w:rPr>
          <w:rFonts w:ascii="Times New Roman" w:hAnsi="Times New Roman" w:eastAsia="Times New Roman" w:cs="Times New Roman"/>
          <w:spacing w:val="-2"/>
          <w:sz w:val="23"/>
          <w:szCs w:val="23"/>
        </w:rPr>
        <w:t>38.4</w:t>
      </w:r>
      <w:r>
        <w:rPr>
          <w:rFonts w:ascii="宋体" w:hAnsi="宋体" w:eastAsia="宋体" w:cs="宋体"/>
          <w:spacing w:val="-2"/>
          <w:sz w:val="23"/>
          <w:szCs w:val="23"/>
        </w:rPr>
        <w:t>℃ (</w:t>
      </w:r>
      <w:r>
        <w:rPr>
          <w:rFonts w:ascii="Times New Roman" w:hAnsi="Times New Roman" w:eastAsia="Times New Roman" w:cs="Times New Roman"/>
          <w:spacing w:val="-2"/>
          <w:sz w:val="23"/>
          <w:szCs w:val="23"/>
        </w:rPr>
        <w:t xml:space="preserve">1972 </w:t>
      </w:r>
      <w:r>
        <w:rPr>
          <w:rFonts w:ascii="宋体" w:hAnsi="宋体" w:eastAsia="宋体" w:cs="宋体"/>
          <w:spacing w:val="-2"/>
          <w:sz w:val="23"/>
          <w:szCs w:val="23"/>
        </w:rPr>
        <w:t xml:space="preserve">年) </w:t>
      </w:r>
      <w:r>
        <w:rPr>
          <w:rFonts w:ascii="宋体" w:hAnsi="宋体" w:eastAsia="宋体" w:cs="宋体"/>
          <w:spacing w:val="-1"/>
          <w:sz w:val="23"/>
          <w:szCs w:val="23"/>
        </w:rPr>
        <w:t>，最低气温</w:t>
      </w:r>
      <w:r>
        <w:rPr>
          <w:rFonts w:ascii="Times New Roman" w:hAnsi="Times New Roman" w:eastAsia="Times New Roman" w:cs="Times New Roman"/>
          <w:spacing w:val="-1"/>
          <w:sz w:val="23"/>
          <w:szCs w:val="23"/>
        </w:rPr>
        <w:t>-4</w:t>
      </w:r>
      <w:r>
        <w:rPr>
          <w:rFonts w:ascii="宋体" w:hAnsi="宋体" w:eastAsia="宋体" w:cs="宋体"/>
          <w:spacing w:val="-1"/>
          <w:sz w:val="23"/>
          <w:szCs w:val="23"/>
        </w:rPr>
        <w:t>℃ (</w:t>
      </w:r>
      <w:r>
        <w:rPr>
          <w:rFonts w:ascii="Times New Roman" w:hAnsi="Times New Roman" w:eastAsia="Times New Roman" w:cs="Times New Roman"/>
          <w:spacing w:val="-1"/>
          <w:sz w:val="23"/>
          <w:szCs w:val="23"/>
        </w:rPr>
        <w:t>1961</w:t>
      </w:r>
      <w:r>
        <w:rPr>
          <w:rFonts w:ascii="Times New Roman" w:hAnsi="Times New Roman" w:eastAsia="Times New Roman" w:cs="Times New Roman"/>
          <w:sz w:val="23"/>
          <w:szCs w:val="23"/>
        </w:rPr>
        <w:t xml:space="preserve"> </w:t>
      </w:r>
      <w:r>
        <w:rPr>
          <w:rFonts w:ascii="宋体" w:hAnsi="宋体" w:eastAsia="宋体" w:cs="宋体"/>
          <w:spacing w:val="1"/>
          <w:sz w:val="23"/>
          <w:szCs w:val="23"/>
        </w:rPr>
        <w:t xml:space="preserve">年) 年平均积温 </w:t>
      </w:r>
      <w:r>
        <w:rPr>
          <w:rFonts w:ascii="Times New Roman" w:hAnsi="Times New Roman" w:eastAsia="Times New Roman" w:cs="Times New Roman"/>
          <w:spacing w:val="1"/>
          <w:sz w:val="23"/>
          <w:szCs w:val="23"/>
        </w:rPr>
        <w:t>5471</w:t>
      </w:r>
      <w:r>
        <w:rPr>
          <w:rFonts w:ascii="宋体" w:hAnsi="宋体" w:eastAsia="宋体" w:cs="宋体"/>
          <w:spacing w:val="1"/>
          <w:sz w:val="23"/>
          <w:szCs w:val="23"/>
        </w:rPr>
        <w:t xml:space="preserve">℃，大于 </w:t>
      </w:r>
      <w:r>
        <w:rPr>
          <w:rFonts w:ascii="Times New Roman" w:hAnsi="Times New Roman" w:eastAsia="Times New Roman" w:cs="Times New Roman"/>
          <w:spacing w:val="1"/>
          <w:sz w:val="23"/>
          <w:szCs w:val="23"/>
        </w:rPr>
        <w:t>10</w:t>
      </w:r>
      <w:r>
        <w:rPr>
          <w:rFonts w:ascii="宋体" w:hAnsi="宋体" w:eastAsia="宋体" w:cs="宋体"/>
          <w:spacing w:val="1"/>
          <w:sz w:val="23"/>
          <w:szCs w:val="23"/>
        </w:rPr>
        <w:t xml:space="preserve">℃的活动积温 </w:t>
      </w:r>
      <w:r>
        <w:rPr>
          <w:rFonts w:ascii="Times New Roman" w:hAnsi="Times New Roman" w:eastAsia="Times New Roman" w:cs="Times New Roman"/>
          <w:spacing w:val="1"/>
          <w:sz w:val="23"/>
          <w:szCs w:val="23"/>
        </w:rPr>
        <w:t xml:space="preserve">264.5 </w:t>
      </w:r>
      <w:r>
        <w:rPr>
          <w:rFonts w:ascii="宋体" w:hAnsi="宋体" w:eastAsia="宋体" w:cs="宋体"/>
          <w:spacing w:val="1"/>
          <w:sz w:val="23"/>
          <w:szCs w:val="23"/>
        </w:rPr>
        <w:t>天</w:t>
      </w:r>
      <w:r>
        <w:rPr>
          <w:rFonts w:ascii="宋体" w:hAnsi="宋体" w:eastAsia="宋体" w:cs="宋体"/>
          <w:sz w:val="23"/>
          <w:szCs w:val="23"/>
        </w:rPr>
        <w:t xml:space="preserve">，常年日照总时数 </w:t>
      </w:r>
      <w:r>
        <w:rPr>
          <w:rFonts w:ascii="Times New Roman" w:hAnsi="Times New Roman" w:eastAsia="Times New Roman" w:cs="Times New Roman"/>
          <w:sz w:val="23"/>
          <w:szCs w:val="23"/>
        </w:rPr>
        <w:t xml:space="preserve">1106.3 </w:t>
      </w:r>
      <w:r>
        <w:rPr>
          <w:rFonts w:ascii="宋体" w:hAnsi="宋体" w:eastAsia="宋体" w:cs="宋体"/>
          <w:sz w:val="23"/>
          <w:szCs w:val="23"/>
        </w:rPr>
        <w:t xml:space="preserve">小 </w:t>
      </w:r>
      <w:r>
        <w:rPr>
          <w:rFonts w:ascii="宋体" w:hAnsi="宋体" w:eastAsia="宋体" w:cs="宋体"/>
          <w:spacing w:val="5"/>
          <w:sz w:val="23"/>
          <w:szCs w:val="23"/>
        </w:rPr>
        <w:t xml:space="preserve">时，多年平均无霜期 </w:t>
      </w:r>
      <w:r>
        <w:rPr>
          <w:rFonts w:ascii="Times New Roman" w:hAnsi="Times New Roman" w:eastAsia="Times New Roman" w:cs="Times New Roman"/>
          <w:spacing w:val="5"/>
          <w:sz w:val="23"/>
          <w:szCs w:val="23"/>
        </w:rPr>
        <w:t xml:space="preserve">331 </w:t>
      </w:r>
      <w:r>
        <w:rPr>
          <w:rFonts w:ascii="宋体" w:hAnsi="宋体" w:eastAsia="宋体" w:cs="宋体"/>
          <w:spacing w:val="5"/>
          <w:sz w:val="23"/>
          <w:szCs w:val="23"/>
        </w:rPr>
        <w:t xml:space="preserve">天，深丘和浅丘地貌之间平均气温相差 </w:t>
      </w:r>
      <w:r>
        <w:rPr>
          <w:rFonts w:ascii="Times New Roman" w:hAnsi="Times New Roman" w:eastAsia="Times New Roman" w:cs="Times New Roman"/>
          <w:spacing w:val="5"/>
          <w:sz w:val="23"/>
          <w:szCs w:val="23"/>
        </w:rPr>
        <w:t>0.5</w:t>
      </w:r>
      <w:r>
        <w:rPr>
          <w:rFonts w:ascii="宋体" w:hAnsi="宋体" w:eastAsia="宋体" w:cs="宋体"/>
          <w:spacing w:val="5"/>
          <w:sz w:val="23"/>
          <w:szCs w:val="23"/>
        </w:rPr>
        <w:t>℃</w:t>
      </w:r>
      <w:r>
        <w:rPr>
          <w:rFonts w:ascii="宋体" w:hAnsi="宋体" w:eastAsia="宋体" w:cs="宋体"/>
          <w:sz w:val="23"/>
          <w:szCs w:val="23"/>
        </w:rPr>
        <w:t>。</w:t>
      </w:r>
    </w:p>
    <w:p w14:paraId="5C641BCA">
      <w:pPr>
        <w:spacing w:before="1" w:line="374" w:lineRule="auto"/>
        <w:ind w:left="9" w:right="101" w:firstLine="480"/>
        <w:rPr>
          <w:rFonts w:ascii="宋体" w:hAnsi="宋体" w:eastAsia="宋体" w:cs="宋体"/>
          <w:sz w:val="23"/>
          <w:szCs w:val="23"/>
        </w:rPr>
      </w:pPr>
      <w:r>
        <w:rPr>
          <w:rFonts w:ascii="宋体" w:hAnsi="宋体" w:eastAsia="宋体" w:cs="宋体"/>
          <w:spacing w:val="20"/>
          <w:sz w:val="23"/>
          <w:szCs w:val="23"/>
        </w:rPr>
        <w:t>井</w:t>
      </w:r>
      <w:r>
        <w:rPr>
          <w:rFonts w:ascii="宋体" w:hAnsi="宋体" w:eastAsia="宋体" w:cs="宋体"/>
          <w:spacing w:val="16"/>
          <w:sz w:val="23"/>
          <w:szCs w:val="23"/>
        </w:rPr>
        <w:t>研</w:t>
      </w:r>
      <w:r>
        <w:rPr>
          <w:rFonts w:ascii="宋体" w:hAnsi="宋体" w:eastAsia="宋体" w:cs="宋体"/>
          <w:spacing w:val="10"/>
          <w:sz w:val="23"/>
          <w:szCs w:val="23"/>
        </w:rPr>
        <w:t>县的自然灾害是干旱，十年九旱，常有冬干、春旱、夏旱、伏旱发生。冬</w:t>
      </w:r>
      <w:r>
        <w:rPr>
          <w:rFonts w:ascii="宋体" w:hAnsi="宋体" w:eastAsia="宋体" w:cs="宋体"/>
          <w:sz w:val="23"/>
          <w:szCs w:val="23"/>
        </w:rPr>
        <w:t xml:space="preserve"> </w:t>
      </w:r>
      <w:r>
        <w:rPr>
          <w:rFonts w:ascii="宋体" w:hAnsi="宋体" w:eastAsia="宋体" w:cs="宋体"/>
          <w:spacing w:val="-4"/>
          <w:sz w:val="23"/>
          <w:szCs w:val="23"/>
        </w:rPr>
        <w:t xml:space="preserve">干频率 </w:t>
      </w:r>
      <w:r>
        <w:rPr>
          <w:rFonts w:ascii="Times New Roman" w:hAnsi="Times New Roman" w:eastAsia="Times New Roman" w:cs="Times New Roman"/>
          <w:spacing w:val="-4"/>
          <w:sz w:val="23"/>
          <w:szCs w:val="23"/>
        </w:rPr>
        <w:t>10</w:t>
      </w:r>
      <w:r>
        <w:rPr>
          <w:rFonts w:ascii="Times New Roman" w:hAnsi="Times New Roman" w:eastAsia="Times New Roman" w:cs="Times New Roman"/>
          <w:spacing w:val="-3"/>
          <w:sz w:val="23"/>
          <w:szCs w:val="23"/>
        </w:rPr>
        <w:t>0</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 xml:space="preserve">，春旱频率 </w:t>
      </w:r>
      <w:r>
        <w:rPr>
          <w:rFonts w:ascii="Times New Roman" w:hAnsi="Times New Roman" w:eastAsia="Times New Roman" w:cs="Times New Roman"/>
          <w:spacing w:val="-2"/>
          <w:sz w:val="23"/>
          <w:szCs w:val="23"/>
        </w:rPr>
        <w:t xml:space="preserve">56.7% </w:t>
      </w:r>
      <w:r>
        <w:rPr>
          <w:rFonts w:ascii="宋体" w:hAnsi="宋体" w:eastAsia="宋体" w:cs="宋体"/>
          <w:spacing w:val="-2"/>
          <w:sz w:val="23"/>
          <w:szCs w:val="23"/>
        </w:rPr>
        <w:t xml:space="preserve">，夏旱频率 </w:t>
      </w:r>
      <w:r>
        <w:rPr>
          <w:rFonts w:ascii="Times New Roman" w:hAnsi="Times New Roman" w:eastAsia="Times New Roman" w:cs="Times New Roman"/>
          <w:spacing w:val="-2"/>
          <w:sz w:val="23"/>
          <w:szCs w:val="23"/>
        </w:rPr>
        <w:t xml:space="preserve">80% </w:t>
      </w:r>
      <w:r>
        <w:rPr>
          <w:rFonts w:ascii="宋体" w:hAnsi="宋体" w:eastAsia="宋体" w:cs="宋体"/>
          <w:spacing w:val="-2"/>
          <w:sz w:val="23"/>
          <w:szCs w:val="23"/>
        </w:rPr>
        <w:t xml:space="preserve">，伏旱出现频率 </w:t>
      </w:r>
      <w:r>
        <w:rPr>
          <w:rFonts w:ascii="Times New Roman" w:hAnsi="Times New Roman" w:eastAsia="Times New Roman" w:cs="Times New Roman"/>
          <w:spacing w:val="-2"/>
          <w:sz w:val="23"/>
          <w:szCs w:val="23"/>
        </w:rPr>
        <w:t>46.67%</w:t>
      </w:r>
      <w:r>
        <w:rPr>
          <w:rFonts w:ascii="宋体" w:hAnsi="宋体" w:eastAsia="宋体" w:cs="宋体"/>
          <w:spacing w:val="-2"/>
          <w:sz w:val="23"/>
          <w:szCs w:val="23"/>
        </w:rPr>
        <w:t>。</w:t>
      </w:r>
    </w:p>
    <w:p w14:paraId="078AF352">
      <w:pPr>
        <w:spacing w:line="227" w:lineRule="auto"/>
        <w:ind w:left="501"/>
        <w:rPr>
          <w:rFonts w:ascii="宋体" w:hAnsi="宋体" w:eastAsia="宋体" w:cs="宋体"/>
          <w:sz w:val="23"/>
          <w:szCs w:val="23"/>
        </w:rPr>
      </w:pPr>
      <w:r>
        <w:rPr>
          <w:rFonts w:ascii="宋体" w:hAnsi="宋体" w:eastAsia="宋体" w:cs="宋体"/>
          <w:spacing w:val="26"/>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3"/>
          <w:sz w:val="23"/>
          <w:szCs w:val="23"/>
        </w:rPr>
        <w:t>2</w:t>
      </w: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宋体" w:hAnsi="宋体" w:eastAsia="宋体" w:cs="宋体"/>
          <w:spacing w:val="23"/>
          <w:sz w:val="23"/>
          <w:szCs w:val="23"/>
        </w:rPr>
        <w:t xml:space="preserve"> </w:t>
      </w:r>
      <w:r>
        <w:rPr>
          <w:rFonts w:ascii="宋体" w:hAnsi="宋体" w:eastAsia="宋体" w:cs="宋体"/>
          <w:spacing w:val="23"/>
          <w:sz w:val="23"/>
          <w:szCs w:val="23"/>
          <w14:textOutline w14:w="4356" w14:cap="sq" w14:cmpd="sng" w14:algn="ctr">
            <w14:solidFill>
              <w14:srgbClr w14:val="000000"/>
            </w14:solidFill>
            <w14:prstDash w14:val="solid"/>
            <w14:bevel/>
          </w14:textOutline>
        </w:rPr>
        <w:t>降水</w:t>
      </w:r>
    </w:p>
    <w:p w14:paraId="78A54995">
      <w:pPr>
        <w:spacing w:before="140" w:line="382" w:lineRule="auto"/>
        <w:ind w:left="11" w:right="96" w:firstLine="508"/>
        <w:rPr>
          <w:rFonts w:ascii="宋体" w:hAnsi="宋体" w:eastAsia="宋体" w:cs="宋体"/>
          <w:sz w:val="23"/>
          <w:szCs w:val="23"/>
        </w:rPr>
      </w:pPr>
      <w:r>
        <w:rPr>
          <w:rFonts w:ascii="宋体" w:hAnsi="宋体" w:eastAsia="宋体" w:cs="宋体"/>
          <w:spacing w:val="6"/>
          <w:sz w:val="23"/>
          <w:szCs w:val="23"/>
        </w:rPr>
        <w:t>由于受季风的</w:t>
      </w:r>
      <w:r>
        <w:rPr>
          <w:rFonts w:ascii="宋体" w:hAnsi="宋体" w:eastAsia="宋体" w:cs="宋体"/>
          <w:spacing w:val="4"/>
          <w:sz w:val="23"/>
          <w:szCs w:val="23"/>
        </w:rPr>
        <w:t>影</w:t>
      </w:r>
      <w:r>
        <w:rPr>
          <w:rFonts w:ascii="宋体" w:hAnsi="宋体" w:eastAsia="宋体" w:cs="宋体"/>
          <w:spacing w:val="3"/>
          <w:sz w:val="23"/>
          <w:szCs w:val="23"/>
        </w:rPr>
        <w:t xml:space="preserve">响，降水量年内分配极不均匀，春季雨量占全年的 </w:t>
      </w:r>
      <w:r>
        <w:rPr>
          <w:rFonts w:ascii="Times New Roman" w:hAnsi="Times New Roman" w:eastAsia="Times New Roman" w:cs="Times New Roman"/>
          <w:spacing w:val="3"/>
          <w:sz w:val="23"/>
          <w:szCs w:val="23"/>
        </w:rPr>
        <w:t xml:space="preserve">17.45% </w:t>
      </w:r>
      <w:r>
        <w:rPr>
          <w:rFonts w:ascii="宋体" w:hAnsi="宋体" w:eastAsia="宋体" w:cs="宋体"/>
          <w:spacing w:val="3"/>
          <w:sz w:val="23"/>
          <w:szCs w:val="23"/>
        </w:rPr>
        <w:t>，夏</w:t>
      </w:r>
      <w:r>
        <w:rPr>
          <w:rFonts w:ascii="宋体" w:hAnsi="宋体" w:eastAsia="宋体" w:cs="宋体"/>
          <w:sz w:val="23"/>
          <w:szCs w:val="23"/>
        </w:rPr>
        <w:t xml:space="preserve"> </w:t>
      </w:r>
      <w:r>
        <w:rPr>
          <w:rFonts w:ascii="宋体" w:hAnsi="宋体" w:eastAsia="宋体" w:cs="宋体"/>
          <w:spacing w:val="1"/>
          <w:sz w:val="23"/>
          <w:szCs w:val="23"/>
        </w:rPr>
        <w:t xml:space="preserve">季占 </w:t>
      </w:r>
      <w:r>
        <w:rPr>
          <w:rFonts w:ascii="Times New Roman" w:hAnsi="Times New Roman" w:eastAsia="Times New Roman" w:cs="Times New Roman"/>
          <w:spacing w:val="1"/>
          <w:sz w:val="23"/>
          <w:szCs w:val="23"/>
        </w:rPr>
        <w:t>57.7</w:t>
      </w:r>
      <w:r>
        <w:rPr>
          <w:rFonts w:ascii="Times New Roman" w:hAnsi="Times New Roman" w:eastAsia="Times New Roman" w:cs="Times New Roman"/>
          <w:sz w:val="23"/>
          <w:szCs w:val="23"/>
        </w:rPr>
        <w:t xml:space="preserve">4% </w:t>
      </w:r>
      <w:r>
        <w:rPr>
          <w:rFonts w:ascii="宋体" w:hAnsi="宋体" w:eastAsia="宋体" w:cs="宋体"/>
          <w:sz w:val="23"/>
          <w:szCs w:val="23"/>
        </w:rPr>
        <w:t xml:space="preserve">，秋季占 </w:t>
      </w:r>
      <w:r>
        <w:rPr>
          <w:rFonts w:ascii="Times New Roman" w:hAnsi="Times New Roman" w:eastAsia="Times New Roman" w:cs="Times New Roman"/>
          <w:sz w:val="23"/>
          <w:szCs w:val="23"/>
        </w:rPr>
        <w:t xml:space="preserve">21.24% </w:t>
      </w:r>
      <w:r>
        <w:rPr>
          <w:rFonts w:ascii="宋体" w:hAnsi="宋体" w:eastAsia="宋体" w:cs="宋体"/>
          <w:sz w:val="23"/>
          <w:szCs w:val="23"/>
        </w:rPr>
        <w:t xml:space="preserve">，冬季仅占 </w:t>
      </w:r>
      <w:r>
        <w:rPr>
          <w:rFonts w:ascii="Times New Roman" w:hAnsi="Times New Roman" w:eastAsia="Times New Roman" w:cs="Times New Roman"/>
          <w:sz w:val="23"/>
          <w:szCs w:val="23"/>
        </w:rPr>
        <w:t xml:space="preserve">3.57% </w:t>
      </w:r>
      <w:r>
        <w:rPr>
          <w:rFonts w:ascii="宋体" w:hAnsi="宋体" w:eastAsia="宋体" w:cs="宋体"/>
          <w:sz w:val="23"/>
          <w:szCs w:val="23"/>
        </w:rPr>
        <w:t>，</w:t>
      </w:r>
      <w:r>
        <w:rPr>
          <w:rFonts w:ascii="Times New Roman" w:hAnsi="Times New Roman" w:eastAsia="Times New Roman" w:cs="Times New Roman"/>
          <w:sz w:val="23"/>
          <w:szCs w:val="23"/>
        </w:rPr>
        <w:t xml:space="preserve">6~9 </w:t>
      </w:r>
      <w:r>
        <w:rPr>
          <w:rFonts w:ascii="宋体" w:hAnsi="宋体" w:eastAsia="宋体" w:cs="宋体"/>
          <w:sz w:val="23"/>
          <w:szCs w:val="23"/>
        </w:rPr>
        <w:t xml:space="preserve">月雨量占全年的 </w:t>
      </w:r>
      <w:r>
        <w:rPr>
          <w:rFonts w:ascii="Times New Roman" w:hAnsi="Times New Roman" w:eastAsia="Times New Roman" w:cs="Times New Roman"/>
          <w:sz w:val="23"/>
          <w:szCs w:val="23"/>
        </w:rPr>
        <w:t xml:space="preserve">70.68% </w:t>
      </w:r>
      <w:r>
        <w:rPr>
          <w:rFonts w:ascii="宋体" w:hAnsi="宋体" w:eastAsia="宋体" w:cs="宋体"/>
          <w:sz w:val="23"/>
          <w:szCs w:val="23"/>
        </w:rPr>
        <w:t>，</w:t>
      </w:r>
      <w:r>
        <w:rPr>
          <w:rFonts w:ascii="Times New Roman" w:hAnsi="Times New Roman" w:eastAsia="Times New Roman" w:cs="Times New Roman"/>
          <w:sz w:val="23"/>
          <w:szCs w:val="23"/>
        </w:rPr>
        <w:t xml:space="preserve">12 </w:t>
      </w:r>
      <w:r>
        <w:rPr>
          <w:rFonts w:ascii="宋体" w:hAnsi="宋体" w:eastAsia="宋体" w:cs="宋体"/>
          <w:spacing w:val="1"/>
          <w:sz w:val="23"/>
          <w:szCs w:val="23"/>
        </w:rPr>
        <w:t>月</w:t>
      </w:r>
      <w:r>
        <w:rPr>
          <w:rFonts w:ascii="Times New Roman" w:hAnsi="Times New Roman" w:eastAsia="Times New Roman" w:cs="Times New Roman"/>
          <w:spacing w:val="1"/>
          <w:sz w:val="23"/>
          <w:szCs w:val="23"/>
        </w:rPr>
        <w:t xml:space="preserve">~2 </w:t>
      </w:r>
      <w:r>
        <w:rPr>
          <w:rFonts w:ascii="宋体" w:hAnsi="宋体" w:eastAsia="宋体" w:cs="宋体"/>
          <w:spacing w:val="1"/>
          <w:sz w:val="23"/>
          <w:szCs w:val="23"/>
        </w:rPr>
        <w:t xml:space="preserve">月雨量仅占全年的 </w:t>
      </w:r>
      <w:r>
        <w:rPr>
          <w:rFonts w:ascii="Times New Roman" w:hAnsi="Times New Roman" w:eastAsia="Times New Roman" w:cs="Times New Roman"/>
          <w:spacing w:val="1"/>
          <w:sz w:val="23"/>
          <w:szCs w:val="23"/>
        </w:rPr>
        <w:t xml:space="preserve">3.57% </w:t>
      </w:r>
      <w:r>
        <w:rPr>
          <w:rFonts w:ascii="宋体" w:hAnsi="宋体" w:eastAsia="宋体" w:cs="宋体"/>
          <w:spacing w:val="1"/>
          <w:sz w:val="23"/>
          <w:szCs w:val="23"/>
        </w:rPr>
        <w:t>，</w:t>
      </w:r>
      <w:r>
        <w:rPr>
          <w:rFonts w:ascii="Times New Roman" w:hAnsi="Times New Roman" w:eastAsia="Times New Roman" w:cs="Times New Roman"/>
          <w:spacing w:val="1"/>
          <w:sz w:val="23"/>
          <w:szCs w:val="23"/>
        </w:rPr>
        <w:t xml:space="preserve">8 </w:t>
      </w:r>
      <w:r>
        <w:rPr>
          <w:rFonts w:ascii="宋体" w:hAnsi="宋体" w:eastAsia="宋体" w:cs="宋体"/>
          <w:spacing w:val="1"/>
          <w:sz w:val="23"/>
          <w:szCs w:val="23"/>
        </w:rPr>
        <w:t xml:space="preserve">月雨量最多占 </w:t>
      </w:r>
      <w:r>
        <w:rPr>
          <w:rFonts w:ascii="Times New Roman" w:hAnsi="Times New Roman" w:eastAsia="Times New Roman" w:cs="Times New Roman"/>
          <w:spacing w:val="1"/>
          <w:sz w:val="23"/>
          <w:szCs w:val="23"/>
        </w:rPr>
        <w:t xml:space="preserve">23.95% </w:t>
      </w:r>
      <w:r>
        <w:rPr>
          <w:rFonts w:ascii="宋体" w:hAnsi="宋体" w:eastAsia="宋体" w:cs="宋体"/>
          <w:spacing w:val="1"/>
          <w:sz w:val="23"/>
          <w:szCs w:val="23"/>
        </w:rPr>
        <w:t>，</w:t>
      </w:r>
      <w:r>
        <w:rPr>
          <w:rFonts w:ascii="Times New Roman" w:hAnsi="Times New Roman" w:eastAsia="Times New Roman" w:cs="Times New Roman"/>
          <w:spacing w:val="1"/>
          <w:sz w:val="23"/>
          <w:szCs w:val="23"/>
        </w:rPr>
        <w:t xml:space="preserve">12 </w:t>
      </w:r>
      <w:r>
        <w:rPr>
          <w:rFonts w:ascii="宋体" w:hAnsi="宋体" w:eastAsia="宋体" w:cs="宋体"/>
          <w:spacing w:val="1"/>
          <w:sz w:val="23"/>
          <w:szCs w:val="23"/>
        </w:rPr>
        <w:t xml:space="preserve">月最少占全年的 </w:t>
      </w:r>
      <w:r>
        <w:rPr>
          <w:rFonts w:ascii="Times New Roman" w:hAnsi="Times New Roman" w:eastAsia="Times New Roman" w:cs="Times New Roman"/>
          <w:spacing w:val="1"/>
          <w:sz w:val="23"/>
          <w:szCs w:val="23"/>
        </w:rPr>
        <w:t>1%</w:t>
      </w:r>
      <w:r>
        <w:rPr>
          <w:rFonts w:ascii="宋体" w:hAnsi="宋体" w:eastAsia="宋体" w:cs="宋体"/>
          <w:sz w:val="23"/>
          <w:szCs w:val="23"/>
        </w:rPr>
        <w:t>。</w:t>
      </w:r>
    </w:p>
    <w:p w14:paraId="7804CD31">
      <w:pPr>
        <w:spacing w:before="16" w:line="227" w:lineRule="auto"/>
        <w:ind w:left="490"/>
        <w:rPr>
          <w:rFonts w:ascii="宋体" w:hAnsi="宋体" w:eastAsia="宋体" w:cs="宋体"/>
          <w:sz w:val="23"/>
          <w:szCs w:val="23"/>
        </w:rPr>
      </w:pPr>
      <w:r>
        <w:rPr>
          <w:rFonts w:ascii="宋体" w:hAnsi="宋体" w:eastAsia="宋体" w:cs="宋体"/>
          <w:spacing w:val="4"/>
          <w:sz w:val="23"/>
          <w:szCs w:val="23"/>
        </w:rPr>
        <w:t xml:space="preserve">井研县气象站多年平均降雨量为 </w:t>
      </w:r>
      <w:r>
        <w:rPr>
          <w:rFonts w:ascii="Times New Roman" w:hAnsi="Times New Roman" w:eastAsia="Times New Roman" w:cs="Times New Roman"/>
          <w:spacing w:val="4"/>
          <w:sz w:val="23"/>
          <w:szCs w:val="23"/>
        </w:rPr>
        <w:t xml:space="preserve">1007.0 </w:t>
      </w:r>
      <w:r>
        <w:rPr>
          <w:rFonts w:ascii="宋体" w:hAnsi="宋体" w:eastAsia="宋体" w:cs="宋体"/>
          <w:spacing w:val="4"/>
          <w:sz w:val="23"/>
          <w:szCs w:val="23"/>
        </w:rPr>
        <w:t xml:space="preserve">毫米，年最大降雨量 </w:t>
      </w:r>
      <w:r>
        <w:rPr>
          <w:rFonts w:ascii="Times New Roman" w:hAnsi="Times New Roman" w:eastAsia="Times New Roman" w:cs="Times New Roman"/>
          <w:spacing w:val="4"/>
          <w:sz w:val="23"/>
          <w:szCs w:val="23"/>
        </w:rPr>
        <w:t xml:space="preserve">1961 </w:t>
      </w:r>
      <w:r>
        <w:rPr>
          <w:rFonts w:ascii="宋体" w:hAnsi="宋体" w:eastAsia="宋体" w:cs="宋体"/>
          <w:spacing w:val="4"/>
          <w:sz w:val="23"/>
          <w:szCs w:val="23"/>
        </w:rPr>
        <w:t xml:space="preserve">年 </w:t>
      </w:r>
      <w:r>
        <w:rPr>
          <w:rFonts w:ascii="Times New Roman" w:hAnsi="Times New Roman" w:eastAsia="Times New Roman" w:cs="Times New Roman"/>
          <w:spacing w:val="4"/>
          <w:sz w:val="23"/>
          <w:szCs w:val="23"/>
        </w:rPr>
        <w:t xml:space="preserve">1383.6 </w:t>
      </w:r>
      <w:r>
        <w:rPr>
          <w:rFonts w:ascii="宋体" w:hAnsi="宋体" w:eastAsia="宋体" w:cs="宋体"/>
          <w:spacing w:val="2"/>
          <w:sz w:val="23"/>
          <w:szCs w:val="23"/>
        </w:rPr>
        <w:t>毫</w:t>
      </w:r>
    </w:p>
    <w:p w14:paraId="6B40B893">
      <w:pPr>
        <w:spacing w:before="182" w:line="376" w:lineRule="auto"/>
        <w:ind w:left="13" w:right="21" w:hanging="3"/>
        <w:rPr>
          <w:rFonts w:ascii="宋体" w:hAnsi="宋体" w:eastAsia="宋体" w:cs="宋体"/>
          <w:sz w:val="23"/>
          <w:szCs w:val="23"/>
        </w:rPr>
      </w:pPr>
      <w:r>
        <w:rPr>
          <w:rFonts w:ascii="宋体" w:hAnsi="宋体" w:eastAsia="宋体" w:cs="宋体"/>
          <w:spacing w:val="12"/>
          <w:sz w:val="23"/>
          <w:szCs w:val="23"/>
        </w:rPr>
        <w:t>米，年最小</w:t>
      </w:r>
      <w:r>
        <w:rPr>
          <w:rFonts w:ascii="宋体" w:hAnsi="宋体" w:eastAsia="宋体" w:cs="宋体"/>
          <w:spacing w:val="11"/>
          <w:sz w:val="23"/>
          <w:szCs w:val="23"/>
        </w:rPr>
        <w:t>值</w:t>
      </w:r>
      <w:r>
        <w:rPr>
          <w:rFonts w:ascii="宋体" w:hAnsi="宋体" w:eastAsia="宋体" w:cs="宋体"/>
          <w:spacing w:val="6"/>
          <w:sz w:val="23"/>
          <w:szCs w:val="23"/>
        </w:rPr>
        <w:t>。</w:t>
      </w:r>
      <w:r>
        <w:rPr>
          <w:rFonts w:ascii="Times New Roman" w:hAnsi="Times New Roman" w:eastAsia="Times New Roman" w:cs="Times New Roman"/>
          <w:spacing w:val="6"/>
          <w:sz w:val="23"/>
          <w:szCs w:val="23"/>
        </w:rPr>
        <w:t xml:space="preserve">1993 </w:t>
      </w:r>
      <w:r>
        <w:rPr>
          <w:rFonts w:ascii="宋体" w:hAnsi="宋体" w:eastAsia="宋体" w:cs="宋体"/>
          <w:spacing w:val="6"/>
          <w:sz w:val="23"/>
          <w:szCs w:val="23"/>
        </w:rPr>
        <w:t xml:space="preserve">年 </w:t>
      </w:r>
      <w:r>
        <w:rPr>
          <w:rFonts w:ascii="Times New Roman" w:hAnsi="Times New Roman" w:eastAsia="Times New Roman" w:cs="Times New Roman"/>
          <w:spacing w:val="6"/>
          <w:sz w:val="23"/>
          <w:szCs w:val="23"/>
        </w:rPr>
        <w:t xml:space="preserve">730.9 </w:t>
      </w:r>
      <w:r>
        <w:rPr>
          <w:rFonts w:ascii="宋体" w:hAnsi="宋体" w:eastAsia="宋体" w:cs="宋体"/>
          <w:spacing w:val="6"/>
          <w:sz w:val="23"/>
          <w:szCs w:val="23"/>
        </w:rPr>
        <w:t xml:space="preserve">毫米，年最大值与最小值相差 </w:t>
      </w:r>
      <w:r>
        <w:rPr>
          <w:rFonts w:ascii="Times New Roman" w:hAnsi="Times New Roman" w:eastAsia="Times New Roman" w:cs="Times New Roman"/>
          <w:spacing w:val="6"/>
          <w:sz w:val="23"/>
          <w:szCs w:val="23"/>
        </w:rPr>
        <w:t xml:space="preserve">652.7 </w:t>
      </w:r>
      <w:r>
        <w:rPr>
          <w:rFonts w:ascii="宋体" w:hAnsi="宋体" w:eastAsia="宋体" w:cs="宋体"/>
          <w:spacing w:val="6"/>
          <w:sz w:val="23"/>
          <w:szCs w:val="23"/>
        </w:rPr>
        <w:t>毫米，年最大值</w:t>
      </w:r>
      <w:r>
        <w:rPr>
          <w:rFonts w:ascii="宋体" w:hAnsi="宋体" w:eastAsia="宋体" w:cs="宋体"/>
          <w:sz w:val="23"/>
          <w:szCs w:val="23"/>
        </w:rPr>
        <w:t xml:space="preserve"> </w:t>
      </w:r>
      <w:r>
        <w:rPr>
          <w:rFonts w:ascii="宋体" w:hAnsi="宋体" w:eastAsia="宋体" w:cs="宋体"/>
          <w:spacing w:val="4"/>
          <w:sz w:val="23"/>
          <w:szCs w:val="23"/>
        </w:rPr>
        <w:t xml:space="preserve">是年最小值的 </w:t>
      </w:r>
      <w:r>
        <w:rPr>
          <w:rFonts w:ascii="Times New Roman" w:hAnsi="Times New Roman" w:eastAsia="Times New Roman" w:cs="Times New Roman"/>
          <w:spacing w:val="4"/>
          <w:sz w:val="23"/>
          <w:szCs w:val="23"/>
        </w:rPr>
        <w:t>1.</w:t>
      </w:r>
      <w:r>
        <w:rPr>
          <w:rFonts w:ascii="Times New Roman" w:hAnsi="Times New Roman" w:eastAsia="Times New Roman" w:cs="Times New Roman"/>
          <w:spacing w:val="2"/>
          <w:sz w:val="23"/>
          <w:szCs w:val="23"/>
        </w:rPr>
        <w:t xml:space="preserve">9 </w:t>
      </w:r>
      <w:r>
        <w:rPr>
          <w:rFonts w:ascii="宋体" w:hAnsi="宋体" w:eastAsia="宋体" w:cs="宋体"/>
          <w:spacing w:val="2"/>
          <w:sz w:val="23"/>
          <w:szCs w:val="23"/>
        </w:rPr>
        <w:t xml:space="preserve">倍，大于年平均值的年数为 </w:t>
      </w:r>
      <w:r>
        <w:rPr>
          <w:rFonts w:ascii="Times New Roman" w:hAnsi="Times New Roman" w:eastAsia="Times New Roman" w:cs="Times New Roman"/>
          <w:spacing w:val="2"/>
          <w:sz w:val="23"/>
          <w:szCs w:val="23"/>
        </w:rPr>
        <w:t xml:space="preserve">17 </w:t>
      </w:r>
      <w:r>
        <w:rPr>
          <w:rFonts w:ascii="宋体" w:hAnsi="宋体" w:eastAsia="宋体" w:cs="宋体"/>
          <w:spacing w:val="2"/>
          <w:sz w:val="23"/>
          <w:szCs w:val="23"/>
        </w:rPr>
        <w:t xml:space="preserve">年，小于年平均值的年数为 </w:t>
      </w:r>
      <w:r>
        <w:rPr>
          <w:rFonts w:ascii="Times New Roman" w:hAnsi="Times New Roman" w:eastAsia="Times New Roman" w:cs="Times New Roman"/>
          <w:spacing w:val="2"/>
          <w:sz w:val="23"/>
          <w:szCs w:val="23"/>
        </w:rPr>
        <w:t xml:space="preserve">18 </w:t>
      </w:r>
      <w:r>
        <w:rPr>
          <w:rFonts w:ascii="宋体" w:hAnsi="宋体" w:eastAsia="宋体" w:cs="宋体"/>
          <w:spacing w:val="2"/>
          <w:sz w:val="23"/>
          <w:szCs w:val="23"/>
        </w:rPr>
        <w:t>年。</w:t>
      </w:r>
    </w:p>
    <w:p w14:paraId="2CF5CF46">
      <w:pPr>
        <w:spacing w:line="227" w:lineRule="auto"/>
        <w:ind w:left="28"/>
        <w:rPr>
          <w:rFonts w:ascii="宋体" w:hAnsi="宋体" w:eastAsia="宋体" w:cs="宋体"/>
          <w:sz w:val="23"/>
          <w:szCs w:val="23"/>
        </w:rPr>
      </w:pPr>
      <w:r>
        <w:rPr>
          <w:rFonts w:ascii="Times New Roman" w:hAnsi="Times New Roman" w:eastAsia="Times New Roman" w:cs="Times New Roman"/>
          <w:spacing w:val="4"/>
          <w:sz w:val="23"/>
          <w:szCs w:val="23"/>
        </w:rPr>
        <w:t xml:space="preserve">1961 </w:t>
      </w:r>
      <w:r>
        <w:rPr>
          <w:rFonts w:ascii="宋体" w:hAnsi="宋体" w:eastAsia="宋体" w:cs="宋体"/>
          <w:spacing w:val="4"/>
          <w:sz w:val="23"/>
          <w:szCs w:val="23"/>
        </w:rPr>
        <w:t>年至</w:t>
      </w:r>
      <w:r>
        <w:rPr>
          <w:rFonts w:ascii="宋体" w:hAnsi="宋体" w:eastAsia="宋体" w:cs="宋体"/>
          <w:spacing w:val="3"/>
          <w:sz w:val="23"/>
          <w:szCs w:val="23"/>
        </w:rPr>
        <w:t xml:space="preserve"> </w:t>
      </w:r>
      <w:r>
        <w:rPr>
          <w:rFonts w:ascii="Times New Roman" w:hAnsi="Times New Roman" w:eastAsia="Times New Roman" w:cs="Times New Roman"/>
          <w:spacing w:val="2"/>
          <w:sz w:val="23"/>
          <w:szCs w:val="23"/>
        </w:rPr>
        <w:t xml:space="preserve">1985 </w:t>
      </w:r>
      <w:r>
        <w:rPr>
          <w:rFonts w:ascii="宋体" w:hAnsi="宋体" w:eastAsia="宋体" w:cs="宋体"/>
          <w:spacing w:val="2"/>
          <w:sz w:val="23"/>
          <w:szCs w:val="23"/>
        </w:rPr>
        <w:t xml:space="preserve">年年平均值为 </w:t>
      </w:r>
      <w:r>
        <w:rPr>
          <w:rFonts w:ascii="Times New Roman" w:hAnsi="Times New Roman" w:eastAsia="Times New Roman" w:cs="Times New Roman"/>
          <w:spacing w:val="2"/>
          <w:sz w:val="23"/>
          <w:szCs w:val="23"/>
        </w:rPr>
        <w:t xml:space="preserve">1025.8 </w:t>
      </w:r>
      <w:r>
        <w:rPr>
          <w:rFonts w:ascii="宋体" w:hAnsi="宋体" w:eastAsia="宋体" w:cs="宋体"/>
          <w:spacing w:val="2"/>
          <w:sz w:val="23"/>
          <w:szCs w:val="23"/>
        </w:rPr>
        <w:t>毫米，</w:t>
      </w:r>
      <w:r>
        <w:rPr>
          <w:rFonts w:ascii="Times New Roman" w:hAnsi="Times New Roman" w:eastAsia="Times New Roman" w:cs="Times New Roman"/>
          <w:spacing w:val="2"/>
          <w:sz w:val="23"/>
          <w:szCs w:val="23"/>
        </w:rPr>
        <w:t xml:space="preserve">1986 </w:t>
      </w:r>
      <w:r>
        <w:rPr>
          <w:rFonts w:ascii="宋体" w:hAnsi="宋体" w:eastAsia="宋体" w:cs="宋体"/>
          <w:spacing w:val="2"/>
          <w:sz w:val="23"/>
          <w:szCs w:val="23"/>
        </w:rPr>
        <w:t>年</w:t>
      </w:r>
      <w:r>
        <w:rPr>
          <w:rFonts w:ascii="Times New Roman" w:hAnsi="Times New Roman" w:eastAsia="Times New Roman" w:cs="Times New Roman"/>
          <w:spacing w:val="2"/>
          <w:sz w:val="23"/>
          <w:szCs w:val="23"/>
        </w:rPr>
        <w:t xml:space="preserve">~ 1995 </w:t>
      </w:r>
      <w:r>
        <w:rPr>
          <w:rFonts w:ascii="宋体" w:hAnsi="宋体" w:eastAsia="宋体" w:cs="宋体"/>
          <w:spacing w:val="2"/>
          <w:sz w:val="23"/>
          <w:szCs w:val="23"/>
        </w:rPr>
        <w:t>年正处于少雨期。</w:t>
      </w:r>
    </w:p>
    <w:p w14:paraId="6D1D6B3F">
      <w:pPr>
        <w:spacing w:before="183" w:line="227" w:lineRule="auto"/>
        <w:ind w:left="501"/>
        <w:rPr>
          <w:rFonts w:ascii="宋体" w:hAnsi="宋体" w:eastAsia="宋体" w:cs="宋体"/>
          <w:sz w:val="23"/>
          <w:szCs w:val="23"/>
        </w:rPr>
      </w:pPr>
      <w:r>
        <w:rPr>
          <w:rFonts w:ascii="宋体" w:hAnsi="宋体" w:eastAsia="宋体" w:cs="宋体"/>
          <w:spacing w:val="26"/>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3"/>
          <w:sz w:val="23"/>
          <w:szCs w:val="23"/>
        </w:rPr>
        <w:t>3</w:t>
      </w: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宋体" w:hAnsi="宋体" w:eastAsia="宋体" w:cs="宋体"/>
          <w:spacing w:val="23"/>
          <w:sz w:val="23"/>
          <w:szCs w:val="23"/>
        </w:rPr>
        <w:t xml:space="preserve"> </w:t>
      </w:r>
      <w:r>
        <w:rPr>
          <w:rFonts w:ascii="宋体" w:hAnsi="宋体" w:eastAsia="宋体" w:cs="宋体"/>
          <w:spacing w:val="23"/>
          <w:sz w:val="23"/>
          <w:szCs w:val="23"/>
          <w14:textOutline w14:w="4356" w14:cap="sq" w14:cmpd="sng" w14:algn="ctr">
            <w14:solidFill>
              <w14:srgbClr w14:val="000000"/>
            </w14:solidFill>
            <w14:prstDash w14:val="solid"/>
            <w14:bevel/>
          </w14:textOutline>
        </w:rPr>
        <w:t>径流</w:t>
      </w:r>
    </w:p>
    <w:p w14:paraId="1CA84048">
      <w:pPr>
        <w:spacing w:before="180" w:line="373" w:lineRule="auto"/>
        <w:ind w:left="9" w:right="101" w:firstLine="481"/>
        <w:rPr>
          <w:rFonts w:ascii="宋体" w:hAnsi="宋体" w:eastAsia="宋体" w:cs="宋体"/>
          <w:sz w:val="23"/>
          <w:szCs w:val="23"/>
        </w:rPr>
      </w:pPr>
      <w:r>
        <w:rPr>
          <w:rFonts w:ascii="宋体" w:hAnsi="宋体" w:eastAsia="宋体" w:cs="宋体"/>
          <w:spacing w:val="20"/>
          <w:sz w:val="23"/>
          <w:szCs w:val="23"/>
        </w:rPr>
        <w:t>县</w:t>
      </w:r>
      <w:r>
        <w:rPr>
          <w:rFonts w:ascii="宋体" w:hAnsi="宋体" w:eastAsia="宋体" w:cs="宋体"/>
          <w:spacing w:val="15"/>
          <w:sz w:val="23"/>
          <w:szCs w:val="23"/>
        </w:rPr>
        <w:t>境</w:t>
      </w:r>
      <w:r>
        <w:rPr>
          <w:rFonts w:ascii="宋体" w:hAnsi="宋体" w:eastAsia="宋体" w:cs="宋体"/>
          <w:spacing w:val="10"/>
          <w:sz w:val="23"/>
          <w:szCs w:val="23"/>
        </w:rPr>
        <w:t>内径流主要由降水补给，径流与降水关系密切，径流年内分配与降水年内</w:t>
      </w:r>
      <w:r>
        <w:rPr>
          <w:rFonts w:ascii="宋体" w:hAnsi="宋体" w:eastAsia="宋体" w:cs="宋体"/>
          <w:sz w:val="23"/>
          <w:szCs w:val="23"/>
        </w:rPr>
        <w:t xml:space="preserve"> </w:t>
      </w:r>
      <w:r>
        <w:rPr>
          <w:rFonts w:ascii="宋体" w:hAnsi="宋体" w:eastAsia="宋体" w:cs="宋体"/>
          <w:spacing w:val="7"/>
          <w:sz w:val="23"/>
          <w:szCs w:val="23"/>
        </w:rPr>
        <w:t>分</w:t>
      </w:r>
      <w:r>
        <w:rPr>
          <w:rFonts w:ascii="宋体" w:hAnsi="宋体" w:eastAsia="宋体" w:cs="宋体"/>
          <w:spacing w:val="4"/>
          <w:sz w:val="23"/>
          <w:szCs w:val="23"/>
        </w:rPr>
        <w:t>配有一定的相似性，</w:t>
      </w:r>
      <w:r>
        <w:rPr>
          <w:rFonts w:ascii="Times New Roman" w:hAnsi="Times New Roman" w:eastAsia="Times New Roman" w:cs="Times New Roman"/>
          <w:spacing w:val="4"/>
          <w:sz w:val="23"/>
          <w:szCs w:val="23"/>
        </w:rPr>
        <w:t xml:space="preserve">5~ 10 </w:t>
      </w:r>
      <w:r>
        <w:rPr>
          <w:rFonts w:ascii="宋体" w:hAnsi="宋体" w:eastAsia="宋体" w:cs="宋体"/>
          <w:spacing w:val="4"/>
          <w:sz w:val="23"/>
          <w:szCs w:val="23"/>
        </w:rPr>
        <w:t xml:space="preserve">月为丰水期，平均径流量占平均年径流量的 </w:t>
      </w:r>
      <w:r>
        <w:rPr>
          <w:rFonts w:ascii="Times New Roman" w:hAnsi="Times New Roman" w:eastAsia="Times New Roman" w:cs="Times New Roman"/>
          <w:spacing w:val="4"/>
          <w:sz w:val="23"/>
          <w:szCs w:val="23"/>
        </w:rPr>
        <w:t xml:space="preserve">28% </w:t>
      </w:r>
      <w:r>
        <w:rPr>
          <w:rFonts w:ascii="宋体" w:hAnsi="宋体" w:eastAsia="宋体" w:cs="宋体"/>
          <w:spacing w:val="4"/>
          <w:sz w:val="23"/>
          <w:szCs w:val="23"/>
        </w:rPr>
        <w:t>，</w:t>
      </w:r>
      <w:r>
        <w:rPr>
          <w:rFonts w:ascii="Times New Roman" w:hAnsi="Times New Roman" w:eastAsia="Times New Roman" w:cs="Times New Roman"/>
          <w:spacing w:val="4"/>
          <w:sz w:val="23"/>
          <w:szCs w:val="23"/>
        </w:rPr>
        <w:t>1~2</w:t>
      </w:r>
      <w:r>
        <w:rPr>
          <w:rFonts w:ascii="Times New Roman" w:hAnsi="Times New Roman" w:eastAsia="Times New Roman" w:cs="Times New Roman"/>
          <w:sz w:val="23"/>
          <w:szCs w:val="23"/>
        </w:rPr>
        <w:t xml:space="preserve"> </w:t>
      </w:r>
      <w:r>
        <w:rPr>
          <w:rFonts w:ascii="宋体" w:hAnsi="宋体" w:eastAsia="宋体" w:cs="宋体"/>
          <w:spacing w:val="2"/>
          <w:sz w:val="23"/>
          <w:szCs w:val="23"/>
        </w:rPr>
        <w:t xml:space="preserve">月为最枯季节，平均径流量占平均年径流量的 </w:t>
      </w:r>
      <w:r>
        <w:rPr>
          <w:rFonts w:ascii="Times New Roman" w:hAnsi="Times New Roman" w:eastAsia="Times New Roman" w:cs="Times New Roman"/>
          <w:spacing w:val="2"/>
          <w:sz w:val="23"/>
          <w:szCs w:val="23"/>
        </w:rPr>
        <w:t xml:space="preserve">1.6% </w:t>
      </w:r>
      <w:r>
        <w:rPr>
          <w:rFonts w:ascii="宋体" w:hAnsi="宋体" w:eastAsia="宋体" w:cs="宋体"/>
          <w:spacing w:val="2"/>
          <w:sz w:val="23"/>
          <w:szCs w:val="23"/>
        </w:rPr>
        <w:t>。</w:t>
      </w:r>
      <w:r>
        <w:rPr>
          <w:rFonts w:ascii="宋体" w:hAnsi="宋体" w:eastAsia="宋体" w:cs="宋体"/>
          <w:spacing w:val="1"/>
          <w:sz w:val="23"/>
          <w:szCs w:val="23"/>
        </w:rPr>
        <w:t xml:space="preserve">全年径流系数为 </w:t>
      </w:r>
      <w:r>
        <w:rPr>
          <w:rFonts w:ascii="Times New Roman" w:hAnsi="Times New Roman" w:eastAsia="Times New Roman" w:cs="Times New Roman"/>
          <w:spacing w:val="1"/>
          <w:sz w:val="23"/>
          <w:szCs w:val="23"/>
        </w:rPr>
        <w:t xml:space="preserve">0.40 </w:t>
      </w:r>
      <w:r>
        <w:rPr>
          <w:rFonts w:ascii="宋体" w:hAnsi="宋体" w:eastAsia="宋体" w:cs="宋体"/>
          <w:spacing w:val="1"/>
          <w:sz w:val="23"/>
          <w:szCs w:val="23"/>
        </w:rPr>
        <w:t>。径流的</w:t>
      </w:r>
      <w:r>
        <w:rPr>
          <w:rFonts w:ascii="宋体" w:hAnsi="宋体" w:eastAsia="宋体" w:cs="宋体"/>
          <w:sz w:val="23"/>
          <w:szCs w:val="23"/>
        </w:rPr>
        <w:t xml:space="preserve"> </w:t>
      </w:r>
      <w:r>
        <w:rPr>
          <w:rFonts w:ascii="宋体" w:hAnsi="宋体" w:eastAsia="宋体" w:cs="宋体"/>
          <w:spacing w:val="20"/>
          <w:sz w:val="23"/>
          <w:szCs w:val="23"/>
        </w:rPr>
        <w:t>时</w:t>
      </w:r>
      <w:r>
        <w:rPr>
          <w:rFonts w:ascii="宋体" w:hAnsi="宋体" w:eastAsia="宋体" w:cs="宋体"/>
          <w:spacing w:val="17"/>
          <w:sz w:val="23"/>
          <w:szCs w:val="23"/>
        </w:rPr>
        <w:t>空</w:t>
      </w:r>
      <w:r>
        <w:rPr>
          <w:rFonts w:ascii="宋体" w:hAnsi="宋体" w:eastAsia="宋体" w:cs="宋体"/>
          <w:spacing w:val="10"/>
          <w:sz w:val="23"/>
          <w:szCs w:val="23"/>
        </w:rPr>
        <w:t>天然分配过程，使水资源在时空分布上不均衡，给水资源的开发利用增加了难</w:t>
      </w:r>
      <w:r>
        <w:rPr>
          <w:rFonts w:ascii="宋体" w:hAnsi="宋体" w:eastAsia="宋体" w:cs="宋体"/>
          <w:sz w:val="23"/>
          <w:szCs w:val="23"/>
        </w:rPr>
        <w:t xml:space="preserve"> </w:t>
      </w:r>
      <w:r>
        <w:rPr>
          <w:rFonts w:ascii="宋体" w:hAnsi="宋体" w:eastAsia="宋体" w:cs="宋体"/>
          <w:spacing w:val="1"/>
          <w:sz w:val="23"/>
          <w:szCs w:val="23"/>
        </w:rPr>
        <w:t>度</w:t>
      </w:r>
      <w:r>
        <w:rPr>
          <w:rFonts w:ascii="宋体" w:hAnsi="宋体" w:eastAsia="宋体" w:cs="宋体"/>
          <w:sz w:val="23"/>
          <w:szCs w:val="23"/>
        </w:rPr>
        <w:t>。</w:t>
      </w:r>
    </w:p>
    <w:p w14:paraId="7DB6CF50">
      <w:pPr>
        <w:spacing w:before="12" w:line="352" w:lineRule="auto"/>
        <w:ind w:left="9" w:right="40" w:firstLine="480"/>
        <w:rPr>
          <w:rFonts w:ascii="宋体" w:hAnsi="宋体" w:eastAsia="宋体" w:cs="宋体"/>
          <w:sz w:val="23"/>
          <w:szCs w:val="23"/>
        </w:rPr>
      </w:pPr>
      <w:r>
        <w:rPr>
          <w:rFonts w:ascii="宋体" w:hAnsi="宋体" w:eastAsia="宋体" w:cs="宋体"/>
          <w:spacing w:val="4"/>
          <w:sz w:val="23"/>
          <w:szCs w:val="23"/>
        </w:rPr>
        <w:t xml:space="preserve">全县多年平均径流深 </w:t>
      </w:r>
      <w:r>
        <w:rPr>
          <w:rFonts w:ascii="Times New Roman" w:hAnsi="Times New Roman" w:eastAsia="Times New Roman" w:cs="Times New Roman"/>
          <w:spacing w:val="4"/>
          <w:sz w:val="23"/>
          <w:szCs w:val="23"/>
        </w:rPr>
        <w:t>40</w:t>
      </w:r>
      <w:r>
        <w:rPr>
          <w:rFonts w:ascii="Times New Roman" w:hAnsi="Times New Roman" w:eastAsia="Times New Roman" w:cs="Times New Roman"/>
          <w:spacing w:val="2"/>
          <w:sz w:val="23"/>
          <w:szCs w:val="23"/>
        </w:rPr>
        <w:t xml:space="preserve">4.7 </w:t>
      </w:r>
      <w:r>
        <w:rPr>
          <w:rFonts w:ascii="宋体" w:hAnsi="宋体" w:eastAsia="宋体" w:cs="宋体"/>
          <w:spacing w:val="2"/>
          <w:sz w:val="23"/>
          <w:szCs w:val="23"/>
        </w:rPr>
        <w:t xml:space="preserve">毫米，多年平均径流量 </w:t>
      </w:r>
      <w:r>
        <w:rPr>
          <w:rFonts w:ascii="Times New Roman" w:hAnsi="Times New Roman" w:eastAsia="Times New Roman" w:cs="Times New Roman"/>
          <w:spacing w:val="2"/>
          <w:sz w:val="23"/>
          <w:szCs w:val="23"/>
        </w:rPr>
        <w:t>34016×10</w:t>
      </w:r>
      <w:r>
        <w:rPr>
          <w:rFonts w:ascii="Times New Roman" w:hAnsi="Times New Roman" w:eastAsia="Times New Roman" w:cs="Times New Roman"/>
          <w:spacing w:val="2"/>
          <w:position w:val="7"/>
          <w:sz w:val="15"/>
          <w:szCs w:val="15"/>
        </w:rPr>
        <w:t xml:space="preserve">4 </w:t>
      </w:r>
      <w:r>
        <w:rPr>
          <w:rFonts w:ascii="宋体" w:hAnsi="宋体" w:eastAsia="宋体" w:cs="宋体"/>
          <w:spacing w:val="2"/>
          <w:sz w:val="23"/>
          <w:szCs w:val="23"/>
        </w:rPr>
        <w:t>立方米，县境内径</w:t>
      </w:r>
      <w:r>
        <w:rPr>
          <w:rFonts w:ascii="宋体" w:hAnsi="宋体" w:eastAsia="宋体" w:cs="宋体"/>
          <w:sz w:val="23"/>
          <w:szCs w:val="23"/>
        </w:rPr>
        <w:t xml:space="preserve"> </w:t>
      </w:r>
      <w:r>
        <w:rPr>
          <w:rFonts w:ascii="宋体" w:hAnsi="宋体" w:eastAsia="宋体" w:cs="宋体"/>
          <w:spacing w:val="10"/>
          <w:sz w:val="23"/>
          <w:szCs w:val="23"/>
        </w:rPr>
        <w:t>流深的区</w:t>
      </w:r>
      <w:r>
        <w:rPr>
          <w:rFonts w:ascii="宋体" w:hAnsi="宋体" w:eastAsia="宋体" w:cs="宋体"/>
          <w:spacing w:val="9"/>
          <w:sz w:val="23"/>
          <w:szCs w:val="23"/>
        </w:rPr>
        <w:t>域</w:t>
      </w:r>
      <w:r>
        <w:rPr>
          <w:rFonts w:ascii="宋体" w:hAnsi="宋体" w:eastAsia="宋体" w:cs="宋体"/>
          <w:spacing w:val="5"/>
          <w:sz w:val="23"/>
          <w:szCs w:val="23"/>
        </w:rPr>
        <w:t>分布与多年平均降水的分布有同一的趋势，即多年平均径流深从南向北，</w:t>
      </w:r>
      <w:r>
        <w:rPr>
          <w:rFonts w:ascii="宋体" w:hAnsi="宋体" w:eastAsia="宋体" w:cs="宋体"/>
          <w:sz w:val="23"/>
          <w:szCs w:val="23"/>
        </w:rPr>
        <w:t xml:space="preserve"> </w:t>
      </w:r>
      <w:r>
        <w:rPr>
          <w:rFonts w:ascii="宋体" w:hAnsi="宋体" w:eastAsia="宋体" w:cs="宋体"/>
          <w:spacing w:val="15"/>
          <w:sz w:val="23"/>
          <w:szCs w:val="23"/>
        </w:rPr>
        <w:t>自</w:t>
      </w:r>
      <w:r>
        <w:rPr>
          <w:rFonts w:ascii="宋体" w:hAnsi="宋体" w:eastAsia="宋体" w:cs="宋体"/>
          <w:spacing w:val="10"/>
          <w:sz w:val="23"/>
          <w:szCs w:val="23"/>
        </w:rPr>
        <w:t xml:space="preserve">西向东递减，茫溪河干流多年平均径流深最高 </w:t>
      </w:r>
      <w:r>
        <w:rPr>
          <w:rFonts w:ascii="Times New Roman" w:hAnsi="Times New Roman" w:eastAsia="Times New Roman" w:cs="Times New Roman"/>
          <w:spacing w:val="10"/>
          <w:sz w:val="23"/>
          <w:szCs w:val="23"/>
        </w:rPr>
        <w:t xml:space="preserve">422.0 </w:t>
      </w:r>
      <w:r>
        <w:rPr>
          <w:rFonts w:ascii="宋体" w:hAnsi="宋体" w:eastAsia="宋体" w:cs="宋体"/>
          <w:spacing w:val="10"/>
          <w:sz w:val="23"/>
          <w:szCs w:val="23"/>
        </w:rPr>
        <w:t xml:space="preserve">毫米，卫家河区最低 </w:t>
      </w:r>
      <w:r>
        <w:rPr>
          <w:rFonts w:ascii="Times New Roman" w:hAnsi="Times New Roman" w:eastAsia="Times New Roman" w:cs="Times New Roman"/>
          <w:spacing w:val="10"/>
          <w:sz w:val="23"/>
          <w:szCs w:val="23"/>
        </w:rPr>
        <w:t>328.5</w:t>
      </w:r>
      <w:r>
        <w:rPr>
          <w:rFonts w:ascii="Times New Roman" w:hAnsi="Times New Roman" w:eastAsia="Times New Roman" w:cs="Times New Roman"/>
          <w:sz w:val="23"/>
          <w:szCs w:val="23"/>
        </w:rPr>
        <w:t xml:space="preserve"> </w:t>
      </w:r>
      <w:r>
        <w:rPr>
          <w:rFonts w:ascii="宋体" w:hAnsi="宋体" w:eastAsia="宋体" w:cs="宋体"/>
          <w:spacing w:val="2"/>
          <w:sz w:val="23"/>
          <w:szCs w:val="23"/>
        </w:rPr>
        <w:t xml:space="preserve">毫米，多年平均径流量茫溪河区最多 </w:t>
      </w:r>
      <w:r>
        <w:rPr>
          <w:rFonts w:ascii="Times New Roman" w:hAnsi="Times New Roman" w:eastAsia="Times New Roman" w:cs="Times New Roman"/>
          <w:spacing w:val="2"/>
          <w:sz w:val="23"/>
          <w:szCs w:val="23"/>
        </w:rPr>
        <w:t xml:space="preserve">27292 </w:t>
      </w:r>
      <w:r>
        <w:rPr>
          <w:rFonts w:ascii="宋体" w:hAnsi="宋体" w:eastAsia="宋体" w:cs="宋体"/>
          <w:spacing w:val="2"/>
          <w:sz w:val="23"/>
          <w:szCs w:val="23"/>
        </w:rPr>
        <w:t>万立方米</w:t>
      </w:r>
      <w:r>
        <w:rPr>
          <w:rFonts w:ascii="宋体" w:hAnsi="宋体" w:eastAsia="宋体" w:cs="宋体"/>
          <w:spacing w:val="1"/>
          <w:sz w:val="23"/>
          <w:szCs w:val="23"/>
        </w:rPr>
        <w:t xml:space="preserve">， 占全县总径流的 </w:t>
      </w:r>
      <w:r>
        <w:rPr>
          <w:rFonts w:ascii="Times New Roman" w:hAnsi="Times New Roman" w:eastAsia="Times New Roman" w:cs="Times New Roman"/>
          <w:spacing w:val="1"/>
          <w:sz w:val="23"/>
          <w:szCs w:val="23"/>
        </w:rPr>
        <w:t xml:space="preserve">80% </w:t>
      </w:r>
      <w:r>
        <w:rPr>
          <w:rFonts w:ascii="宋体" w:hAnsi="宋体" w:eastAsia="宋体" w:cs="宋体"/>
          <w:spacing w:val="1"/>
          <w:sz w:val="23"/>
          <w:szCs w:val="23"/>
        </w:rPr>
        <w:t>，沙溪</w:t>
      </w:r>
      <w:r>
        <w:rPr>
          <w:rFonts w:ascii="宋体" w:hAnsi="宋体" w:eastAsia="宋体" w:cs="宋体"/>
          <w:sz w:val="23"/>
          <w:szCs w:val="23"/>
        </w:rPr>
        <w:t xml:space="preserve"> </w:t>
      </w:r>
      <w:r>
        <w:rPr>
          <w:rFonts w:ascii="宋体" w:hAnsi="宋体" w:eastAsia="宋体" w:cs="宋体"/>
          <w:spacing w:val="6"/>
          <w:sz w:val="23"/>
          <w:szCs w:val="23"/>
        </w:rPr>
        <w:t>河区</w:t>
      </w:r>
      <w:r>
        <w:rPr>
          <w:rFonts w:ascii="宋体" w:hAnsi="宋体" w:eastAsia="宋体" w:cs="宋体"/>
          <w:spacing w:val="4"/>
          <w:sz w:val="23"/>
          <w:szCs w:val="23"/>
        </w:rPr>
        <w:t>径</w:t>
      </w:r>
      <w:r>
        <w:rPr>
          <w:rFonts w:ascii="宋体" w:hAnsi="宋体" w:eastAsia="宋体" w:cs="宋体"/>
          <w:spacing w:val="3"/>
          <w:sz w:val="23"/>
          <w:szCs w:val="23"/>
        </w:rPr>
        <w:t xml:space="preserve">流量最少为 </w:t>
      </w:r>
      <w:r>
        <w:rPr>
          <w:rFonts w:ascii="Times New Roman" w:hAnsi="Times New Roman" w:eastAsia="Times New Roman" w:cs="Times New Roman"/>
          <w:spacing w:val="3"/>
          <w:sz w:val="23"/>
          <w:szCs w:val="23"/>
        </w:rPr>
        <w:t xml:space="preserve">1938 </w:t>
      </w:r>
      <w:r>
        <w:rPr>
          <w:rFonts w:ascii="宋体" w:hAnsi="宋体" w:eastAsia="宋体" w:cs="宋体"/>
          <w:spacing w:val="3"/>
          <w:sz w:val="23"/>
          <w:szCs w:val="23"/>
        </w:rPr>
        <w:t xml:space="preserve">万立方米占总径流的 </w:t>
      </w:r>
      <w:r>
        <w:rPr>
          <w:rFonts w:ascii="Times New Roman" w:hAnsi="Times New Roman" w:eastAsia="Times New Roman" w:cs="Times New Roman"/>
          <w:spacing w:val="3"/>
          <w:sz w:val="23"/>
          <w:szCs w:val="23"/>
        </w:rPr>
        <w:t>5.7%</w:t>
      </w:r>
      <w:r>
        <w:rPr>
          <w:rFonts w:ascii="宋体" w:hAnsi="宋体" w:eastAsia="宋体" w:cs="宋体"/>
          <w:spacing w:val="3"/>
          <w:sz w:val="23"/>
          <w:szCs w:val="23"/>
        </w:rPr>
        <w:t>。</w:t>
      </w:r>
    </w:p>
    <w:p w14:paraId="693C2300">
      <w:pPr>
        <w:spacing w:before="99" w:line="378" w:lineRule="auto"/>
        <w:ind w:left="10" w:firstLine="480"/>
        <w:rPr>
          <w:rFonts w:ascii="宋体" w:hAnsi="宋体" w:eastAsia="宋体" w:cs="宋体"/>
          <w:sz w:val="23"/>
          <w:szCs w:val="23"/>
        </w:rPr>
      </w:pPr>
      <w:r>
        <w:rPr>
          <w:rFonts w:ascii="宋体" w:hAnsi="宋体" w:eastAsia="宋体" w:cs="宋体"/>
          <w:spacing w:val="1"/>
          <w:sz w:val="23"/>
          <w:szCs w:val="23"/>
        </w:rPr>
        <w:t>全县平水年(</w:t>
      </w:r>
      <w:r>
        <w:rPr>
          <w:rFonts w:ascii="Times New Roman" w:hAnsi="Times New Roman" w:eastAsia="Times New Roman" w:cs="Times New Roman"/>
          <w:sz w:val="23"/>
          <w:szCs w:val="23"/>
        </w:rPr>
        <w:t>p</w:t>
      </w:r>
      <w:r>
        <w:rPr>
          <w:rFonts w:ascii="Times New Roman" w:hAnsi="Times New Roman" w:eastAsia="Times New Roman" w:cs="Times New Roman"/>
          <w:spacing w:val="1"/>
          <w:sz w:val="23"/>
          <w:szCs w:val="23"/>
        </w:rPr>
        <w:t>=50%</w:t>
      </w:r>
      <w:r>
        <w:rPr>
          <w:rFonts w:ascii="宋体" w:hAnsi="宋体" w:eastAsia="宋体" w:cs="宋体"/>
          <w:spacing w:val="1"/>
          <w:sz w:val="23"/>
          <w:szCs w:val="23"/>
        </w:rPr>
        <w:t>)径流深</w:t>
      </w:r>
      <w:r>
        <w:rPr>
          <w:rFonts w:ascii="Times New Roman" w:hAnsi="Times New Roman" w:eastAsia="Times New Roman" w:cs="Times New Roman"/>
          <w:spacing w:val="1"/>
          <w:sz w:val="23"/>
          <w:szCs w:val="23"/>
        </w:rPr>
        <w:t xml:space="preserve">395. 1 </w:t>
      </w:r>
      <w:r>
        <w:rPr>
          <w:rFonts w:ascii="宋体" w:hAnsi="宋体" w:eastAsia="宋体" w:cs="宋体"/>
          <w:spacing w:val="1"/>
          <w:sz w:val="23"/>
          <w:szCs w:val="23"/>
        </w:rPr>
        <w:t>毫米，径流量</w:t>
      </w:r>
      <w:r>
        <w:rPr>
          <w:rFonts w:ascii="Times New Roman" w:hAnsi="Times New Roman" w:eastAsia="Times New Roman" w:cs="Times New Roman"/>
          <w:spacing w:val="1"/>
          <w:sz w:val="23"/>
          <w:szCs w:val="23"/>
        </w:rPr>
        <w:t xml:space="preserve">33209 </w:t>
      </w:r>
      <w:r>
        <w:rPr>
          <w:rFonts w:ascii="宋体" w:hAnsi="宋体" w:eastAsia="宋体" w:cs="宋体"/>
          <w:spacing w:val="1"/>
          <w:sz w:val="23"/>
          <w:szCs w:val="23"/>
        </w:rPr>
        <w:t>万立方米，偏估年(</w:t>
      </w:r>
      <w:r>
        <w:rPr>
          <w:rFonts w:ascii="Times New Roman" w:hAnsi="Times New Roman" w:eastAsia="Times New Roman" w:cs="Times New Roman"/>
          <w:sz w:val="23"/>
          <w:szCs w:val="23"/>
        </w:rPr>
        <w:t>p</w:t>
      </w:r>
      <w:r>
        <w:rPr>
          <w:rFonts w:ascii="Times New Roman" w:hAnsi="Times New Roman" w:eastAsia="Times New Roman" w:cs="Times New Roman"/>
          <w:spacing w:val="1"/>
          <w:sz w:val="23"/>
          <w:szCs w:val="23"/>
        </w:rPr>
        <w:t>=75</w:t>
      </w:r>
      <w:r>
        <w:rPr>
          <w:rFonts w:ascii="Times New Roman" w:hAnsi="Times New Roman" w:eastAsia="Times New Roman" w:cs="Times New Roman"/>
          <w:sz w:val="23"/>
          <w:szCs w:val="23"/>
        </w:rPr>
        <w:t>%</w:t>
      </w:r>
      <w:r>
        <w:rPr>
          <w:rFonts w:ascii="宋体" w:hAnsi="宋体" w:eastAsia="宋体" w:cs="宋体"/>
          <w:sz w:val="23"/>
          <w:szCs w:val="23"/>
        </w:rPr>
        <w:t xml:space="preserve">) </w:t>
      </w:r>
      <w:r>
        <w:rPr>
          <w:rFonts w:ascii="宋体" w:hAnsi="宋体" w:eastAsia="宋体" w:cs="宋体"/>
          <w:spacing w:val="-1"/>
          <w:sz w:val="23"/>
          <w:szCs w:val="23"/>
        </w:rPr>
        <w:t xml:space="preserve">径流深 </w:t>
      </w:r>
      <w:r>
        <w:rPr>
          <w:rFonts w:ascii="Times New Roman" w:hAnsi="Times New Roman" w:eastAsia="Times New Roman" w:cs="Times New Roman"/>
          <w:spacing w:val="-1"/>
          <w:sz w:val="23"/>
          <w:szCs w:val="23"/>
        </w:rPr>
        <w:t xml:space="preserve">327.6 </w:t>
      </w:r>
      <w:r>
        <w:rPr>
          <w:rFonts w:ascii="宋体" w:hAnsi="宋体" w:eastAsia="宋体" w:cs="宋体"/>
          <w:spacing w:val="-1"/>
          <w:sz w:val="23"/>
          <w:szCs w:val="23"/>
        </w:rPr>
        <w:t>毫米，径流量</w:t>
      </w:r>
      <w:r>
        <w:rPr>
          <w:rFonts w:ascii="宋体" w:hAnsi="宋体" w:eastAsia="宋体" w:cs="宋体"/>
          <w:sz w:val="23"/>
          <w:szCs w:val="23"/>
        </w:rPr>
        <w:t xml:space="preserve"> </w:t>
      </w:r>
      <w:r>
        <w:rPr>
          <w:rFonts w:ascii="Times New Roman" w:hAnsi="Times New Roman" w:eastAsia="Times New Roman" w:cs="Times New Roman"/>
          <w:sz w:val="23"/>
          <w:szCs w:val="23"/>
        </w:rPr>
        <w:t xml:space="preserve">27536 </w:t>
      </w:r>
      <w:r>
        <w:rPr>
          <w:rFonts w:ascii="宋体" w:hAnsi="宋体" w:eastAsia="宋体" w:cs="宋体"/>
          <w:sz w:val="23"/>
          <w:szCs w:val="23"/>
        </w:rPr>
        <w:t>万立方米，枯水年 (</w:t>
      </w:r>
      <w:r>
        <w:rPr>
          <w:rFonts w:ascii="Times New Roman" w:hAnsi="Times New Roman" w:eastAsia="Times New Roman" w:cs="Times New Roman"/>
          <w:sz w:val="23"/>
          <w:szCs w:val="23"/>
        </w:rPr>
        <w:t>p=95%</w:t>
      </w:r>
      <w:r>
        <w:rPr>
          <w:rFonts w:ascii="宋体" w:hAnsi="宋体" w:eastAsia="宋体" w:cs="宋体"/>
          <w:sz w:val="23"/>
          <w:szCs w:val="23"/>
        </w:rPr>
        <w:t xml:space="preserve">) ，径流深 </w:t>
      </w:r>
      <w:r>
        <w:rPr>
          <w:rFonts w:ascii="Times New Roman" w:hAnsi="Times New Roman" w:eastAsia="Times New Roman" w:cs="Times New Roman"/>
          <w:sz w:val="23"/>
          <w:szCs w:val="23"/>
        </w:rPr>
        <w:t xml:space="preserve">248.2 </w:t>
      </w:r>
      <w:r>
        <w:rPr>
          <w:rFonts w:ascii="宋体" w:hAnsi="宋体" w:eastAsia="宋体" w:cs="宋体"/>
          <w:sz w:val="23"/>
          <w:szCs w:val="23"/>
        </w:rPr>
        <w:t xml:space="preserve">毫米， </w:t>
      </w:r>
      <w:r>
        <w:rPr>
          <w:rFonts w:ascii="宋体" w:hAnsi="宋体" w:eastAsia="宋体" w:cs="宋体"/>
          <w:spacing w:val="4"/>
          <w:sz w:val="23"/>
          <w:szCs w:val="23"/>
        </w:rPr>
        <w:t>径</w:t>
      </w:r>
      <w:r>
        <w:rPr>
          <w:rFonts w:ascii="宋体" w:hAnsi="宋体" w:eastAsia="宋体" w:cs="宋体"/>
          <w:spacing w:val="3"/>
          <w:sz w:val="23"/>
          <w:szCs w:val="23"/>
        </w:rPr>
        <w:t>流</w:t>
      </w:r>
      <w:r>
        <w:rPr>
          <w:rFonts w:ascii="宋体" w:hAnsi="宋体" w:eastAsia="宋体" w:cs="宋体"/>
          <w:spacing w:val="2"/>
          <w:sz w:val="23"/>
          <w:szCs w:val="23"/>
        </w:rPr>
        <w:t xml:space="preserve">量 </w:t>
      </w:r>
      <w:r>
        <w:rPr>
          <w:rFonts w:ascii="Times New Roman" w:hAnsi="Times New Roman" w:eastAsia="Times New Roman" w:cs="Times New Roman"/>
          <w:spacing w:val="2"/>
          <w:sz w:val="23"/>
          <w:szCs w:val="23"/>
        </w:rPr>
        <w:t xml:space="preserve">20862 </w:t>
      </w:r>
      <w:r>
        <w:rPr>
          <w:rFonts w:ascii="宋体" w:hAnsi="宋体" w:eastAsia="宋体" w:cs="宋体"/>
          <w:spacing w:val="2"/>
          <w:sz w:val="23"/>
          <w:szCs w:val="23"/>
        </w:rPr>
        <w:t>万立方米。</w:t>
      </w:r>
    </w:p>
    <w:p w14:paraId="4317A96A">
      <w:pPr>
        <w:sectPr>
          <w:headerReference r:id="rId148" w:type="default"/>
          <w:footerReference r:id="rId149" w:type="default"/>
          <w:pgSz w:w="11907" w:h="16840"/>
          <w:pgMar w:top="1153" w:right="1478" w:bottom="1485" w:left="1660" w:header="919" w:footer="1298" w:gutter="0"/>
          <w:cols w:space="720" w:num="1"/>
        </w:sectPr>
      </w:pPr>
    </w:p>
    <w:p w14:paraId="7DCB2F5B">
      <w:pPr>
        <w:spacing w:before="42" w:line="374" w:lineRule="auto"/>
        <w:ind w:left="12" w:right="87" w:firstLine="481"/>
        <w:rPr>
          <w:rFonts w:ascii="宋体" w:hAnsi="宋体" w:eastAsia="宋体" w:cs="宋体"/>
          <w:sz w:val="23"/>
          <w:szCs w:val="23"/>
        </w:rPr>
      </w:pPr>
      <w:r>
        <w:rPr>
          <w:rFonts w:ascii="宋体" w:hAnsi="宋体" w:eastAsia="宋体" w:cs="宋体"/>
          <w:spacing w:val="20"/>
          <w:sz w:val="23"/>
          <w:szCs w:val="23"/>
        </w:rPr>
        <w:t>项</w:t>
      </w:r>
      <w:r>
        <w:rPr>
          <w:rFonts w:ascii="宋体" w:hAnsi="宋体" w:eastAsia="宋体" w:cs="宋体"/>
          <w:spacing w:val="10"/>
          <w:sz w:val="23"/>
          <w:szCs w:val="23"/>
        </w:rPr>
        <w:t>目所在地就近的地表水水体为羊叉水库和保胜水库，本项目不涉及集中式饮</w:t>
      </w:r>
      <w:r>
        <w:rPr>
          <w:rFonts w:ascii="宋体" w:hAnsi="宋体" w:eastAsia="宋体" w:cs="宋体"/>
          <w:sz w:val="23"/>
          <w:szCs w:val="23"/>
        </w:rPr>
        <w:t xml:space="preserve"> </w:t>
      </w:r>
      <w:r>
        <w:rPr>
          <w:rFonts w:ascii="宋体" w:hAnsi="宋体" w:eastAsia="宋体" w:cs="宋体"/>
          <w:spacing w:val="7"/>
          <w:sz w:val="23"/>
          <w:szCs w:val="23"/>
        </w:rPr>
        <w:t>用水源保护区</w:t>
      </w:r>
      <w:r>
        <w:rPr>
          <w:rFonts w:ascii="宋体" w:hAnsi="宋体" w:eastAsia="宋体" w:cs="宋体"/>
          <w:spacing w:val="6"/>
          <w:sz w:val="23"/>
          <w:szCs w:val="23"/>
        </w:rPr>
        <w:t>。</w:t>
      </w:r>
    </w:p>
    <w:p w14:paraId="76E4ACD1">
      <w:pPr>
        <w:spacing w:line="228" w:lineRule="auto"/>
        <w:ind w:left="6"/>
        <w:outlineLvl w:val="2"/>
        <w:rPr>
          <w:rFonts w:ascii="宋体" w:hAnsi="宋体" w:eastAsia="宋体" w:cs="宋体"/>
          <w:sz w:val="23"/>
          <w:szCs w:val="23"/>
        </w:rPr>
      </w:pPr>
      <w:r>
        <w:rPr>
          <w:rFonts w:ascii="Times New Roman" w:hAnsi="Times New Roman" w:eastAsia="Times New Roman" w:cs="Times New Roman"/>
          <w:b/>
          <w:bCs/>
          <w:spacing w:val="12"/>
          <w:sz w:val="23"/>
          <w:szCs w:val="23"/>
        </w:rPr>
        <w:t>4</w:t>
      </w:r>
      <w:r>
        <w:rPr>
          <w:rFonts w:ascii="Times New Roman" w:hAnsi="Times New Roman" w:eastAsia="Times New Roman" w:cs="Times New Roman"/>
          <w:b/>
          <w:bCs/>
          <w:spacing w:val="9"/>
          <w:sz w:val="23"/>
          <w:szCs w:val="23"/>
        </w:rPr>
        <w:t>.</w:t>
      </w:r>
      <w:r>
        <w:rPr>
          <w:rFonts w:ascii="Times New Roman" w:hAnsi="Times New Roman" w:eastAsia="Times New Roman" w:cs="Times New Roman"/>
          <w:b/>
          <w:bCs/>
          <w:spacing w:val="6"/>
          <w:sz w:val="23"/>
          <w:szCs w:val="23"/>
        </w:rPr>
        <w:t>1.4</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土壤与自然资源</w:t>
      </w:r>
    </w:p>
    <w:p w14:paraId="3DC6CA62">
      <w:pPr>
        <w:spacing w:before="183" w:line="375" w:lineRule="auto"/>
        <w:ind w:left="9" w:right="85" w:firstLine="480"/>
        <w:rPr>
          <w:rFonts w:ascii="宋体" w:hAnsi="宋体" w:eastAsia="宋体" w:cs="宋体"/>
          <w:sz w:val="23"/>
          <w:szCs w:val="23"/>
        </w:rPr>
      </w:pPr>
      <w:r>
        <w:rPr>
          <w:rFonts w:ascii="宋体" w:hAnsi="宋体" w:eastAsia="宋体" w:cs="宋体"/>
          <w:spacing w:val="20"/>
          <w:sz w:val="23"/>
          <w:szCs w:val="23"/>
        </w:rPr>
        <w:t>井</w:t>
      </w:r>
      <w:r>
        <w:rPr>
          <w:rFonts w:ascii="宋体" w:hAnsi="宋体" w:eastAsia="宋体" w:cs="宋体"/>
          <w:spacing w:val="16"/>
          <w:sz w:val="23"/>
          <w:szCs w:val="23"/>
        </w:rPr>
        <w:t>研</w:t>
      </w:r>
      <w:r>
        <w:rPr>
          <w:rFonts w:ascii="宋体" w:hAnsi="宋体" w:eastAsia="宋体" w:cs="宋体"/>
          <w:spacing w:val="10"/>
          <w:sz w:val="23"/>
          <w:szCs w:val="23"/>
        </w:rPr>
        <w:t>县土壤分布大体是：东部以紫色土、浅紫色土为主，中西部以棕色土和棕</w:t>
      </w:r>
      <w:r>
        <w:rPr>
          <w:rFonts w:ascii="宋体" w:hAnsi="宋体" w:eastAsia="宋体" w:cs="宋体"/>
          <w:sz w:val="23"/>
          <w:szCs w:val="23"/>
        </w:rPr>
        <w:t xml:space="preserve"> </w:t>
      </w:r>
      <w:r>
        <w:rPr>
          <w:rFonts w:ascii="宋体" w:hAnsi="宋体" w:eastAsia="宋体" w:cs="宋体"/>
          <w:spacing w:val="4"/>
          <w:sz w:val="23"/>
          <w:szCs w:val="23"/>
        </w:rPr>
        <w:t>黄</w:t>
      </w:r>
      <w:r>
        <w:rPr>
          <w:rFonts w:ascii="宋体" w:hAnsi="宋体" w:eastAsia="宋体" w:cs="宋体"/>
          <w:spacing w:val="2"/>
          <w:sz w:val="23"/>
          <w:szCs w:val="23"/>
        </w:rPr>
        <w:t xml:space="preserve">色土为主。水稻土分布较广， 占耕地总面积的 </w:t>
      </w:r>
      <w:r>
        <w:rPr>
          <w:rFonts w:ascii="Times New Roman" w:hAnsi="Times New Roman" w:eastAsia="Times New Roman" w:cs="Times New Roman"/>
          <w:spacing w:val="2"/>
          <w:sz w:val="23"/>
          <w:szCs w:val="23"/>
        </w:rPr>
        <w:t>51.67%</w:t>
      </w:r>
      <w:r>
        <w:rPr>
          <w:rFonts w:ascii="宋体" w:hAnsi="宋体" w:eastAsia="宋体" w:cs="宋体"/>
          <w:spacing w:val="2"/>
          <w:sz w:val="23"/>
          <w:szCs w:val="23"/>
        </w:rPr>
        <w:t>。</w:t>
      </w:r>
    </w:p>
    <w:p w14:paraId="0E4EE034">
      <w:pPr>
        <w:spacing w:before="8" w:line="374" w:lineRule="auto"/>
        <w:ind w:left="10" w:firstLine="480"/>
        <w:rPr>
          <w:rFonts w:ascii="宋体" w:hAnsi="宋体" w:eastAsia="宋体" w:cs="宋体"/>
          <w:sz w:val="23"/>
          <w:szCs w:val="23"/>
        </w:rPr>
      </w:pPr>
      <w:r>
        <w:rPr>
          <w:rFonts w:ascii="宋体" w:hAnsi="宋体" w:eastAsia="宋体" w:cs="宋体"/>
          <w:spacing w:val="4"/>
          <w:sz w:val="23"/>
          <w:szCs w:val="23"/>
        </w:rPr>
        <w:t>井研县自然资</w:t>
      </w:r>
      <w:r>
        <w:rPr>
          <w:rFonts w:ascii="宋体" w:hAnsi="宋体" w:eastAsia="宋体" w:cs="宋体"/>
          <w:spacing w:val="3"/>
          <w:sz w:val="23"/>
          <w:szCs w:val="23"/>
        </w:rPr>
        <w:t>源</w:t>
      </w:r>
      <w:r>
        <w:rPr>
          <w:rFonts w:ascii="宋体" w:hAnsi="宋体" w:eastAsia="宋体" w:cs="宋体"/>
          <w:spacing w:val="2"/>
          <w:sz w:val="23"/>
          <w:szCs w:val="23"/>
        </w:rPr>
        <w:t xml:space="preserve">丰富，林地面积 </w:t>
      </w:r>
      <w:r>
        <w:rPr>
          <w:rFonts w:ascii="Times New Roman" w:hAnsi="Times New Roman" w:eastAsia="Times New Roman" w:cs="Times New Roman"/>
          <w:spacing w:val="2"/>
          <w:sz w:val="23"/>
          <w:szCs w:val="23"/>
        </w:rPr>
        <w:t xml:space="preserve">13.6 </w:t>
      </w:r>
      <w:r>
        <w:rPr>
          <w:rFonts w:ascii="宋体" w:hAnsi="宋体" w:eastAsia="宋体" w:cs="宋体"/>
          <w:spacing w:val="2"/>
          <w:sz w:val="23"/>
          <w:szCs w:val="23"/>
        </w:rPr>
        <w:t xml:space="preserve">万亩，水域面积 </w:t>
      </w:r>
      <w:r>
        <w:rPr>
          <w:rFonts w:ascii="Times New Roman" w:hAnsi="Times New Roman" w:eastAsia="Times New Roman" w:cs="Times New Roman"/>
          <w:spacing w:val="2"/>
          <w:sz w:val="23"/>
          <w:szCs w:val="23"/>
        </w:rPr>
        <w:t xml:space="preserve">6.2 </w:t>
      </w:r>
      <w:r>
        <w:rPr>
          <w:rFonts w:ascii="宋体" w:hAnsi="宋体" w:eastAsia="宋体" w:cs="宋体"/>
          <w:spacing w:val="2"/>
          <w:sz w:val="23"/>
          <w:szCs w:val="23"/>
        </w:rPr>
        <w:t>万亩。饲养动物有牛、</w:t>
      </w:r>
      <w:r>
        <w:rPr>
          <w:rFonts w:ascii="宋体" w:hAnsi="宋体" w:eastAsia="宋体" w:cs="宋体"/>
          <w:sz w:val="23"/>
          <w:szCs w:val="23"/>
        </w:rPr>
        <w:t xml:space="preserve"> </w:t>
      </w:r>
      <w:r>
        <w:rPr>
          <w:rFonts w:ascii="宋体" w:hAnsi="宋体" w:eastAsia="宋体" w:cs="宋体"/>
          <w:spacing w:val="15"/>
          <w:sz w:val="23"/>
          <w:szCs w:val="23"/>
        </w:rPr>
        <w:t>猪</w:t>
      </w:r>
      <w:r>
        <w:rPr>
          <w:rFonts w:ascii="宋体" w:hAnsi="宋体" w:eastAsia="宋体" w:cs="宋体"/>
          <w:spacing w:val="8"/>
          <w:sz w:val="23"/>
          <w:szCs w:val="23"/>
        </w:rPr>
        <w:t xml:space="preserve">、羊、兔、鸡、鸭、鹅、猫、犬等。野生动物有 </w:t>
      </w:r>
      <w:r>
        <w:rPr>
          <w:rFonts w:ascii="Times New Roman" w:hAnsi="Times New Roman" w:eastAsia="Times New Roman" w:cs="Times New Roman"/>
          <w:spacing w:val="8"/>
          <w:sz w:val="23"/>
          <w:szCs w:val="23"/>
        </w:rPr>
        <w:t xml:space="preserve">100 </w:t>
      </w:r>
      <w:r>
        <w:rPr>
          <w:rFonts w:ascii="宋体" w:hAnsi="宋体" w:eastAsia="宋体" w:cs="宋体"/>
          <w:spacing w:val="8"/>
          <w:sz w:val="23"/>
          <w:szCs w:val="23"/>
        </w:rPr>
        <w:t>多种。粮食作物有水稻、玉</w:t>
      </w:r>
      <w:r>
        <w:rPr>
          <w:rFonts w:ascii="宋体" w:hAnsi="宋体" w:eastAsia="宋体" w:cs="宋体"/>
          <w:sz w:val="23"/>
          <w:szCs w:val="23"/>
        </w:rPr>
        <w:t xml:space="preserve"> </w:t>
      </w:r>
      <w:r>
        <w:rPr>
          <w:rFonts w:ascii="宋体" w:hAnsi="宋体" w:eastAsia="宋体" w:cs="宋体"/>
          <w:spacing w:val="20"/>
          <w:sz w:val="23"/>
          <w:szCs w:val="23"/>
        </w:rPr>
        <w:t>米</w:t>
      </w:r>
      <w:r>
        <w:rPr>
          <w:rFonts w:ascii="宋体" w:hAnsi="宋体" w:eastAsia="宋体" w:cs="宋体"/>
          <w:spacing w:val="16"/>
          <w:sz w:val="23"/>
          <w:szCs w:val="23"/>
        </w:rPr>
        <w:t>、</w:t>
      </w:r>
      <w:r>
        <w:rPr>
          <w:rFonts w:ascii="宋体" w:hAnsi="宋体" w:eastAsia="宋体" w:cs="宋体"/>
          <w:spacing w:val="10"/>
          <w:sz w:val="23"/>
          <w:szCs w:val="23"/>
        </w:rPr>
        <w:t>红薯、蕉藕、高梁、小麦、豌豆、胡豆、绿豆等。经济作物有棉花、油菜、甘</w:t>
      </w:r>
      <w:r>
        <w:rPr>
          <w:rFonts w:ascii="宋体" w:hAnsi="宋体" w:eastAsia="宋体" w:cs="宋体"/>
          <w:sz w:val="23"/>
          <w:szCs w:val="23"/>
        </w:rPr>
        <w:t xml:space="preserve"> </w:t>
      </w:r>
      <w:r>
        <w:rPr>
          <w:rFonts w:ascii="宋体" w:hAnsi="宋体" w:eastAsia="宋体" w:cs="宋体"/>
          <w:spacing w:val="12"/>
          <w:sz w:val="23"/>
          <w:szCs w:val="23"/>
        </w:rPr>
        <w:t>蔗</w:t>
      </w:r>
      <w:r>
        <w:rPr>
          <w:rFonts w:ascii="宋体" w:hAnsi="宋体" w:eastAsia="宋体" w:cs="宋体"/>
          <w:spacing w:val="10"/>
          <w:sz w:val="23"/>
          <w:szCs w:val="23"/>
        </w:rPr>
        <w:t>、</w:t>
      </w:r>
      <w:r>
        <w:rPr>
          <w:rFonts w:ascii="宋体" w:hAnsi="宋体" w:eastAsia="宋体" w:cs="宋体"/>
          <w:spacing w:val="6"/>
          <w:sz w:val="23"/>
          <w:szCs w:val="23"/>
        </w:rPr>
        <w:t>花生、土烟、席草、药材、蔬菜、蚕桑、麻类等。森林用材林有柏树、马尾松、</w:t>
      </w:r>
      <w:r>
        <w:rPr>
          <w:rFonts w:ascii="宋体" w:hAnsi="宋体" w:eastAsia="宋体" w:cs="宋体"/>
          <w:sz w:val="23"/>
          <w:szCs w:val="23"/>
        </w:rPr>
        <w:t xml:space="preserve"> </w:t>
      </w:r>
      <w:r>
        <w:rPr>
          <w:rFonts w:ascii="宋体" w:hAnsi="宋体" w:eastAsia="宋体" w:cs="宋体"/>
          <w:spacing w:val="20"/>
          <w:sz w:val="23"/>
          <w:szCs w:val="23"/>
        </w:rPr>
        <w:t>桤</w:t>
      </w:r>
      <w:r>
        <w:rPr>
          <w:rFonts w:ascii="宋体" w:hAnsi="宋体" w:eastAsia="宋体" w:cs="宋体"/>
          <w:spacing w:val="17"/>
          <w:sz w:val="23"/>
          <w:szCs w:val="23"/>
        </w:rPr>
        <w:t>木</w:t>
      </w:r>
      <w:r>
        <w:rPr>
          <w:rFonts w:ascii="宋体" w:hAnsi="宋体" w:eastAsia="宋体" w:cs="宋体"/>
          <w:spacing w:val="10"/>
          <w:sz w:val="23"/>
          <w:szCs w:val="23"/>
        </w:rPr>
        <w:t>树等。速生树有川楝、千丈、桉树、香梓、栾树 (摇钱树) 、刺槐、香椿等。</w:t>
      </w:r>
      <w:r>
        <w:rPr>
          <w:rFonts w:ascii="宋体" w:hAnsi="宋体" w:eastAsia="宋体" w:cs="宋体"/>
          <w:sz w:val="23"/>
          <w:szCs w:val="23"/>
        </w:rPr>
        <w:t xml:space="preserve"> </w:t>
      </w:r>
      <w:r>
        <w:rPr>
          <w:rFonts w:ascii="宋体" w:hAnsi="宋体" w:eastAsia="宋体" w:cs="宋体"/>
          <w:spacing w:val="12"/>
          <w:sz w:val="23"/>
          <w:szCs w:val="23"/>
        </w:rPr>
        <w:t>经</w:t>
      </w:r>
      <w:r>
        <w:rPr>
          <w:rFonts w:ascii="宋体" w:hAnsi="宋体" w:eastAsia="宋体" w:cs="宋体"/>
          <w:spacing w:val="10"/>
          <w:sz w:val="23"/>
          <w:szCs w:val="23"/>
        </w:rPr>
        <w:t>济</w:t>
      </w:r>
      <w:r>
        <w:rPr>
          <w:rFonts w:ascii="宋体" w:hAnsi="宋体" w:eastAsia="宋体" w:cs="宋体"/>
          <w:spacing w:val="6"/>
          <w:sz w:val="23"/>
          <w:szCs w:val="23"/>
        </w:rPr>
        <w:t>林有桔柑、桑树及紫胶寄生树、夜合、山槐、黄檀、麻柳等。矿藏主要有岩盐、</w:t>
      </w:r>
      <w:r>
        <w:rPr>
          <w:rFonts w:ascii="宋体" w:hAnsi="宋体" w:eastAsia="宋体" w:cs="宋体"/>
          <w:sz w:val="23"/>
          <w:szCs w:val="23"/>
        </w:rPr>
        <w:t xml:space="preserve"> </w:t>
      </w:r>
      <w:r>
        <w:rPr>
          <w:rFonts w:ascii="宋体" w:hAnsi="宋体" w:eastAsia="宋体" w:cs="宋体"/>
          <w:spacing w:val="6"/>
          <w:sz w:val="23"/>
          <w:szCs w:val="23"/>
        </w:rPr>
        <w:t>天然气、石灰岩</w:t>
      </w:r>
      <w:r>
        <w:rPr>
          <w:rFonts w:ascii="宋体" w:hAnsi="宋体" w:eastAsia="宋体" w:cs="宋体"/>
          <w:spacing w:val="3"/>
          <w:sz w:val="23"/>
          <w:szCs w:val="23"/>
        </w:rPr>
        <w:t xml:space="preserve">、砂岩、粘土岩等。其中岩盐蕴藏量 </w:t>
      </w:r>
      <w:r>
        <w:rPr>
          <w:rFonts w:ascii="Times New Roman" w:hAnsi="Times New Roman" w:eastAsia="Times New Roman" w:cs="Times New Roman"/>
          <w:spacing w:val="3"/>
          <w:sz w:val="23"/>
          <w:szCs w:val="23"/>
        </w:rPr>
        <w:t xml:space="preserve">99 </w:t>
      </w:r>
      <w:r>
        <w:rPr>
          <w:rFonts w:ascii="宋体" w:hAnsi="宋体" w:eastAsia="宋体" w:cs="宋体"/>
          <w:spacing w:val="3"/>
          <w:sz w:val="23"/>
          <w:szCs w:val="23"/>
        </w:rPr>
        <w:t xml:space="preserve">亿吨，分布面积 </w:t>
      </w:r>
      <w:r>
        <w:rPr>
          <w:rFonts w:ascii="Times New Roman" w:hAnsi="Times New Roman" w:eastAsia="Times New Roman" w:cs="Times New Roman"/>
          <w:spacing w:val="3"/>
          <w:sz w:val="23"/>
          <w:szCs w:val="23"/>
        </w:rPr>
        <w:t xml:space="preserve">439 </w:t>
      </w:r>
      <w:r>
        <w:rPr>
          <w:rFonts w:ascii="宋体" w:hAnsi="宋体" w:eastAsia="宋体" w:cs="宋体"/>
          <w:spacing w:val="3"/>
          <w:sz w:val="23"/>
          <w:szCs w:val="23"/>
        </w:rPr>
        <w:t>平方千</w:t>
      </w:r>
      <w:r>
        <w:rPr>
          <w:rFonts w:ascii="宋体" w:hAnsi="宋体" w:eastAsia="宋体" w:cs="宋体"/>
          <w:sz w:val="23"/>
          <w:szCs w:val="23"/>
        </w:rPr>
        <w:t xml:space="preserve"> </w:t>
      </w:r>
      <w:r>
        <w:rPr>
          <w:rFonts w:ascii="宋体" w:hAnsi="宋体" w:eastAsia="宋体" w:cs="宋体"/>
          <w:spacing w:val="8"/>
          <w:sz w:val="23"/>
          <w:szCs w:val="23"/>
        </w:rPr>
        <w:t>米，</w:t>
      </w:r>
      <w:r>
        <w:rPr>
          <w:rFonts w:ascii="宋体" w:hAnsi="宋体" w:eastAsia="宋体" w:cs="宋体"/>
          <w:spacing w:val="6"/>
          <w:sz w:val="23"/>
          <w:szCs w:val="23"/>
        </w:rPr>
        <w:t>一</w:t>
      </w:r>
      <w:r>
        <w:rPr>
          <w:rFonts w:ascii="宋体" w:hAnsi="宋体" w:eastAsia="宋体" w:cs="宋体"/>
          <w:spacing w:val="4"/>
          <w:sz w:val="23"/>
          <w:szCs w:val="23"/>
        </w:rPr>
        <w:t xml:space="preserve">般厚度为 </w:t>
      </w:r>
      <w:r>
        <w:rPr>
          <w:rFonts w:ascii="Times New Roman" w:hAnsi="Times New Roman" w:eastAsia="Times New Roman" w:cs="Times New Roman"/>
          <w:spacing w:val="4"/>
          <w:sz w:val="23"/>
          <w:szCs w:val="23"/>
        </w:rPr>
        <w:t>11</w:t>
      </w:r>
      <w:r>
        <w:rPr>
          <w:rFonts w:ascii="宋体" w:hAnsi="宋体" w:eastAsia="宋体" w:cs="宋体"/>
          <w:spacing w:val="4"/>
          <w:sz w:val="23"/>
          <w:szCs w:val="23"/>
        </w:rPr>
        <w:t>~</w:t>
      </w:r>
      <w:r>
        <w:rPr>
          <w:rFonts w:ascii="Times New Roman" w:hAnsi="Times New Roman" w:eastAsia="Times New Roman" w:cs="Times New Roman"/>
          <w:spacing w:val="4"/>
          <w:sz w:val="23"/>
          <w:szCs w:val="23"/>
        </w:rPr>
        <w:t xml:space="preserve">17 </w:t>
      </w:r>
      <w:r>
        <w:rPr>
          <w:rFonts w:ascii="宋体" w:hAnsi="宋体" w:eastAsia="宋体" w:cs="宋体"/>
          <w:spacing w:val="4"/>
          <w:sz w:val="23"/>
          <w:szCs w:val="23"/>
        </w:rPr>
        <w:t>米，经专家认证为优质巨型矿床。页岩储量巨大、品质上佳，</w:t>
      </w:r>
      <w:r>
        <w:rPr>
          <w:rFonts w:ascii="宋体" w:hAnsi="宋体" w:eastAsia="宋体" w:cs="宋体"/>
          <w:sz w:val="23"/>
          <w:szCs w:val="23"/>
        </w:rPr>
        <w:t xml:space="preserve"> </w:t>
      </w:r>
      <w:r>
        <w:rPr>
          <w:rFonts w:ascii="宋体" w:hAnsi="宋体" w:eastAsia="宋体" w:cs="宋体"/>
          <w:spacing w:val="16"/>
          <w:sz w:val="23"/>
          <w:szCs w:val="23"/>
        </w:rPr>
        <w:t>可</w:t>
      </w:r>
      <w:r>
        <w:rPr>
          <w:rFonts w:ascii="宋体" w:hAnsi="宋体" w:eastAsia="宋体" w:cs="宋体"/>
          <w:spacing w:val="9"/>
          <w:sz w:val="23"/>
          <w:szCs w:val="23"/>
        </w:rPr>
        <w:t>作为中高档墙地砖生产原料。井研，土地肥沃，物产丰富。</w:t>
      </w:r>
    </w:p>
    <w:p w14:paraId="02FBF320">
      <w:pPr>
        <w:spacing w:line="380" w:lineRule="auto"/>
        <w:ind w:left="11" w:right="56" w:firstLine="480"/>
        <w:rPr>
          <w:rFonts w:ascii="宋体" w:hAnsi="宋体" w:eastAsia="宋体" w:cs="宋体"/>
          <w:sz w:val="23"/>
          <w:szCs w:val="23"/>
        </w:rPr>
      </w:pPr>
      <w:r>
        <w:rPr>
          <w:rFonts w:ascii="宋体" w:hAnsi="宋体" w:eastAsia="宋体" w:cs="宋体"/>
          <w:spacing w:val="20"/>
          <w:sz w:val="23"/>
          <w:szCs w:val="23"/>
          <w14:textOutline w14:w="4356" w14:cap="sq" w14:cmpd="sng" w14:algn="ctr">
            <w14:solidFill>
              <w14:srgbClr w14:val="000000"/>
            </w14:solidFill>
            <w14:prstDash w14:val="solid"/>
            <w14:bevel/>
          </w14:textOutline>
        </w:rPr>
        <w:t>经</w:t>
      </w:r>
      <w:r>
        <w:rPr>
          <w:rFonts w:ascii="宋体" w:hAnsi="宋体" w:eastAsia="宋体" w:cs="宋体"/>
          <w:spacing w:val="11"/>
          <w:sz w:val="23"/>
          <w:szCs w:val="23"/>
          <w14:textOutline w14:w="4356" w14:cap="sq" w14:cmpd="sng" w14:algn="ctr">
            <w14:solidFill>
              <w14:srgbClr w14:val="000000"/>
            </w14:solidFill>
            <w14:prstDash w14:val="solid"/>
            <w14:bevel/>
          </w14:textOutline>
        </w:rPr>
        <w:t>调查，评价区域内无自然保护区、无列入国家及地方保护名录的珍惜濒危动</w:t>
      </w:r>
      <w:r>
        <w:rPr>
          <w:rFonts w:ascii="宋体" w:hAnsi="宋体" w:eastAsia="宋体" w:cs="宋体"/>
          <w:sz w:val="23"/>
          <w:szCs w:val="23"/>
        </w:rPr>
        <w:t xml:space="preserve"> </w:t>
      </w:r>
      <w:bookmarkStart w:id="42" w:name="_bookmark43"/>
      <w:bookmarkEnd w:id="42"/>
      <w:r>
        <w:rPr>
          <w:rFonts w:ascii="宋体" w:hAnsi="宋体" w:eastAsia="宋体" w:cs="宋体"/>
          <w:spacing w:val="8"/>
          <w:sz w:val="23"/>
          <w:szCs w:val="23"/>
          <w14:textOutline w14:w="4356" w14:cap="sq" w14:cmpd="sng" w14:algn="ctr">
            <w14:solidFill>
              <w14:srgbClr w14:val="000000"/>
            </w14:solidFill>
            <w14:prstDash w14:val="solid"/>
            <w14:bevel/>
          </w14:textOutline>
        </w:rPr>
        <w:t>植</w:t>
      </w:r>
      <w:r>
        <w:rPr>
          <w:rFonts w:ascii="宋体" w:hAnsi="宋体" w:eastAsia="宋体" w:cs="宋体"/>
          <w:spacing w:val="6"/>
          <w:sz w:val="23"/>
          <w:szCs w:val="23"/>
          <w14:textOutline w14:w="4356" w14:cap="sq" w14:cmpd="sng" w14:algn="ctr">
            <w14:solidFill>
              <w14:srgbClr w14:val="000000"/>
            </w14:solidFill>
            <w14:prstDash w14:val="solid"/>
            <w14:bevel/>
          </w14:textOutline>
        </w:rPr>
        <w:t>物分布。</w:t>
      </w:r>
    </w:p>
    <w:p w14:paraId="16AACA00">
      <w:pPr>
        <w:spacing w:line="223" w:lineRule="auto"/>
        <w:ind w:left="8"/>
        <w:outlineLvl w:val="0"/>
        <w:rPr>
          <w:rFonts w:ascii="宋体" w:hAnsi="宋体" w:eastAsia="宋体" w:cs="宋体"/>
          <w:sz w:val="31"/>
          <w:szCs w:val="31"/>
        </w:rPr>
      </w:pPr>
      <w:r>
        <w:rPr>
          <w:rFonts w:ascii="Times New Roman" w:hAnsi="Times New Roman" w:eastAsia="Times New Roman" w:cs="Times New Roman"/>
          <w:b/>
          <w:bCs/>
          <w:spacing w:val="11"/>
          <w:sz w:val="31"/>
          <w:szCs w:val="31"/>
        </w:rPr>
        <w:t>4</w:t>
      </w:r>
      <w:r>
        <w:rPr>
          <w:rFonts w:ascii="Times New Roman" w:hAnsi="Times New Roman" w:eastAsia="Times New Roman" w:cs="Times New Roman"/>
          <w:b/>
          <w:bCs/>
          <w:spacing w:val="8"/>
          <w:sz w:val="31"/>
          <w:szCs w:val="31"/>
        </w:rPr>
        <w:t>.2</w:t>
      </w:r>
      <w:r>
        <w:rPr>
          <w:rFonts w:ascii="Times New Roman" w:hAnsi="Times New Roman" w:eastAsia="Times New Roman" w:cs="Times New Roman"/>
          <w:spacing w:val="8"/>
          <w:sz w:val="31"/>
          <w:szCs w:val="31"/>
        </w:rPr>
        <w:t xml:space="preserve">  </w:t>
      </w:r>
      <w:r>
        <w:rPr>
          <w:rFonts w:ascii="宋体" w:hAnsi="宋体" w:eastAsia="宋体" w:cs="宋体"/>
          <w:spacing w:val="8"/>
          <w:sz w:val="31"/>
          <w:szCs w:val="31"/>
          <w14:textOutline w14:w="5791" w14:cap="sq" w14:cmpd="sng" w14:algn="ctr">
            <w14:solidFill>
              <w14:srgbClr w14:val="000000"/>
            </w14:solidFill>
            <w14:prstDash w14:val="solid"/>
            <w14:bevel/>
          </w14:textOutline>
        </w:rPr>
        <w:t>环境质量现状调查与评价</w:t>
      </w:r>
    </w:p>
    <w:p w14:paraId="31141E65">
      <w:pPr>
        <w:spacing w:before="238" w:line="219" w:lineRule="auto"/>
        <w:ind w:left="7"/>
        <w:outlineLvl w:val="1"/>
        <w:rPr>
          <w:rFonts w:ascii="宋体" w:hAnsi="宋体" w:eastAsia="宋体" w:cs="宋体"/>
          <w:sz w:val="28"/>
          <w:szCs w:val="28"/>
        </w:rPr>
      </w:pPr>
      <w:r>
        <w:rPr>
          <w:rFonts w:ascii="Times New Roman" w:hAnsi="Times New Roman" w:eastAsia="Times New Roman" w:cs="Times New Roman"/>
          <w:b/>
          <w:bCs/>
          <w:spacing w:val="1"/>
          <w:sz w:val="28"/>
          <w:szCs w:val="28"/>
        </w:rPr>
        <w:t>4.2.</w:t>
      </w:r>
      <w:r>
        <w:rPr>
          <w:rFonts w:ascii="Times New Roman" w:hAnsi="Times New Roman" w:eastAsia="Times New Roman" w:cs="Times New Roman"/>
          <w:b/>
          <w:bCs/>
          <w:sz w:val="28"/>
          <w:szCs w:val="28"/>
        </w:rPr>
        <w:t>1</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环境空气质量现状调查与评价</w:t>
      </w:r>
    </w:p>
    <w:p w14:paraId="6BDEE29A">
      <w:pPr>
        <w:spacing w:before="207" w:line="227" w:lineRule="auto"/>
        <w:ind w:left="6"/>
        <w:outlineLvl w:val="2"/>
        <w:rPr>
          <w:rFonts w:ascii="宋体" w:hAnsi="宋体" w:eastAsia="宋体" w:cs="宋体"/>
          <w:sz w:val="23"/>
          <w:szCs w:val="23"/>
        </w:rPr>
      </w:pPr>
      <w:r>
        <w:rPr>
          <w:rFonts w:ascii="Times New Roman" w:hAnsi="Times New Roman" w:eastAsia="Times New Roman" w:cs="Times New Roman"/>
          <w:b/>
          <w:bCs/>
          <w:spacing w:val="13"/>
          <w:sz w:val="23"/>
          <w:szCs w:val="23"/>
        </w:rPr>
        <w:t>4</w:t>
      </w:r>
      <w:r>
        <w:rPr>
          <w:rFonts w:ascii="Times New Roman" w:hAnsi="Times New Roman" w:eastAsia="Times New Roman" w:cs="Times New Roman"/>
          <w:b/>
          <w:bCs/>
          <w:spacing w:val="7"/>
          <w:sz w:val="23"/>
          <w:szCs w:val="23"/>
        </w:rPr>
        <w:t>.2.1.1</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基本污染物环境质量现状</w:t>
      </w:r>
    </w:p>
    <w:p w14:paraId="60A82CF2">
      <w:pPr>
        <w:spacing w:before="186" w:line="228" w:lineRule="auto"/>
        <w:ind w:left="50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1</w:t>
      </w:r>
      <w:r>
        <w:rPr>
          <w:rFonts w:ascii="宋体" w:hAnsi="宋体" w:eastAsia="宋体" w:cs="宋体"/>
          <w:spacing w:val="20"/>
          <w:sz w:val="23"/>
          <w:szCs w:val="23"/>
        </w:rPr>
        <w:t>) 监测结</w:t>
      </w:r>
      <w:r>
        <w:rPr>
          <w:rFonts w:ascii="宋体" w:hAnsi="宋体" w:eastAsia="宋体" w:cs="宋体"/>
          <w:spacing w:val="19"/>
          <w:sz w:val="23"/>
          <w:szCs w:val="23"/>
        </w:rPr>
        <w:t>果</w:t>
      </w:r>
    </w:p>
    <w:p w14:paraId="2ED13B9F">
      <w:pPr>
        <w:spacing w:before="180" w:line="370" w:lineRule="auto"/>
        <w:ind w:left="9" w:right="82" w:firstLine="480"/>
        <w:rPr>
          <w:rFonts w:ascii="宋体" w:hAnsi="宋体" w:eastAsia="宋体" w:cs="宋体"/>
          <w:sz w:val="23"/>
          <w:szCs w:val="23"/>
        </w:rPr>
      </w:pPr>
      <w:r>
        <w:rPr>
          <w:rFonts w:ascii="宋体" w:hAnsi="宋体" w:eastAsia="宋体" w:cs="宋体"/>
          <w:spacing w:val="6"/>
          <w:sz w:val="23"/>
          <w:szCs w:val="23"/>
        </w:rPr>
        <w:t>根据《环境</w:t>
      </w:r>
      <w:r>
        <w:rPr>
          <w:rFonts w:ascii="宋体" w:hAnsi="宋体" w:eastAsia="宋体" w:cs="宋体"/>
          <w:spacing w:val="3"/>
          <w:sz w:val="23"/>
          <w:szCs w:val="23"/>
        </w:rPr>
        <w:t>影响评价技术导则 大气环境》  (</w:t>
      </w:r>
      <w:r>
        <w:rPr>
          <w:rFonts w:ascii="Times New Roman" w:hAnsi="Times New Roman" w:eastAsia="Times New Roman" w:cs="Times New Roman"/>
          <w:sz w:val="23"/>
          <w:szCs w:val="23"/>
        </w:rPr>
        <w:t>HJ</w:t>
      </w:r>
      <w:r>
        <w:rPr>
          <w:rFonts w:ascii="Times New Roman" w:hAnsi="Times New Roman" w:eastAsia="Times New Roman" w:cs="Times New Roman"/>
          <w:spacing w:val="3"/>
          <w:sz w:val="23"/>
          <w:szCs w:val="23"/>
        </w:rPr>
        <w:t>2.2-2018</w:t>
      </w:r>
      <w:r>
        <w:rPr>
          <w:rFonts w:ascii="宋体" w:hAnsi="宋体" w:eastAsia="宋体" w:cs="宋体"/>
          <w:spacing w:val="3"/>
          <w:sz w:val="23"/>
          <w:szCs w:val="23"/>
        </w:rPr>
        <w:t xml:space="preserve">) ，采用 </w:t>
      </w:r>
      <w:r>
        <w:rPr>
          <w:rFonts w:ascii="Times New Roman" w:hAnsi="Times New Roman" w:eastAsia="Times New Roman" w:cs="Times New Roman"/>
          <w:sz w:val="23"/>
          <w:szCs w:val="23"/>
        </w:rPr>
        <w:t xml:space="preserve">AERSCREEN </w:t>
      </w:r>
      <w:r>
        <w:rPr>
          <w:rFonts w:ascii="宋体" w:hAnsi="宋体" w:eastAsia="宋体" w:cs="宋体"/>
          <w:spacing w:val="20"/>
          <w:sz w:val="23"/>
          <w:szCs w:val="23"/>
        </w:rPr>
        <w:t>模</w:t>
      </w:r>
      <w:r>
        <w:rPr>
          <w:rFonts w:ascii="宋体" w:hAnsi="宋体" w:eastAsia="宋体" w:cs="宋体"/>
          <w:spacing w:val="17"/>
          <w:sz w:val="23"/>
          <w:szCs w:val="23"/>
        </w:rPr>
        <w:t>型</w:t>
      </w:r>
      <w:r>
        <w:rPr>
          <w:rFonts w:ascii="宋体" w:hAnsi="宋体" w:eastAsia="宋体" w:cs="宋体"/>
          <w:spacing w:val="10"/>
          <w:sz w:val="23"/>
          <w:szCs w:val="23"/>
        </w:rPr>
        <w:t>对项目评价等级及评价范围进行判定，估算结果为项目大气环境评价等级为二</w:t>
      </w:r>
      <w:r>
        <w:rPr>
          <w:rFonts w:ascii="宋体" w:hAnsi="宋体" w:eastAsia="宋体" w:cs="宋体"/>
          <w:sz w:val="23"/>
          <w:szCs w:val="23"/>
        </w:rPr>
        <w:t xml:space="preserve"> </w:t>
      </w:r>
      <w:r>
        <w:rPr>
          <w:rFonts w:ascii="宋体" w:hAnsi="宋体" w:eastAsia="宋体" w:cs="宋体"/>
          <w:spacing w:val="16"/>
          <w:sz w:val="23"/>
          <w:szCs w:val="23"/>
        </w:rPr>
        <w:t>级</w:t>
      </w:r>
      <w:r>
        <w:rPr>
          <w:rFonts w:ascii="宋体" w:hAnsi="宋体" w:eastAsia="宋体" w:cs="宋体"/>
          <w:spacing w:val="10"/>
          <w:sz w:val="23"/>
          <w:szCs w:val="23"/>
        </w:rPr>
        <w:t>评</w:t>
      </w:r>
      <w:r>
        <w:rPr>
          <w:rFonts w:ascii="宋体" w:hAnsi="宋体" w:eastAsia="宋体" w:cs="宋体"/>
          <w:spacing w:val="8"/>
          <w:sz w:val="23"/>
          <w:szCs w:val="23"/>
        </w:rPr>
        <w:t xml:space="preserve">价，评价范围为自项目厂界外延边长为 </w:t>
      </w:r>
      <w:r>
        <w:rPr>
          <w:rFonts w:ascii="Times New Roman" w:hAnsi="Times New Roman" w:eastAsia="Times New Roman" w:cs="Times New Roman"/>
          <w:spacing w:val="8"/>
          <w:sz w:val="23"/>
          <w:szCs w:val="23"/>
        </w:rPr>
        <w:t>5.0</w:t>
      </w:r>
      <w:r>
        <w:rPr>
          <w:rFonts w:ascii="Times New Roman" w:hAnsi="Times New Roman" w:eastAsia="Times New Roman" w:cs="Times New Roman"/>
          <w:sz w:val="23"/>
          <w:szCs w:val="23"/>
        </w:rPr>
        <w:t>km</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的矩形区域。项目位于四川省乐</w:t>
      </w:r>
      <w:r>
        <w:rPr>
          <w:rFonts w:ascii="宋体" w:hAnsi="宋体" w:eastAsia="宋体" w:cs="宋体"/>
          <w:sz w:val="23"/>
          <w:szCs w:val="23"/>
        </w:rPr>
        <w:t xml:space="preserve"> </w:t>
      </w:r>
      <w:r>
        <w:rPr>
          <w:rFonts w:ascii="宋体" w:hAnsi="宋体" w:eastAsia="宋体" w:cs="宋体"/>
          <w:spacing w:val="20"/>
          <w:sz w:val="23"/>
          <w:szCs w:val="23"/>
        </w:rPr>
        <w:t>山</w:t>
      </w:r>
      <w:r>
        <w:rPr>
          <w:rFonts w:ascii="宋体" w:hAnsi="宋体" w:eastAsia="宋体" w:cs="宋体"/>
          <w:spacing w:val="17"/>
          <w:sz w:val="23"/>
          <w:szCs w:val="23"/>
        </w:rPr>
        <w:t>市</w:t>
      </w:r>
      <w:r>
        <w:rPr>
          <w:rFonts w:ascii="宋体" w:hAnsi="宋体" w:eastAsia="宋体" w:cs="宋体"/>
          <w:spacing w:val="10"/>
          <w:sz w:val="23"/>
          <w:szCs w:val="23"/>
        </w:rPr>
        <w:t>沙湾区嘉农镇双槐村一组，评价范围内无环境空气质量监测网数据或公开发布</w:t>
      </w:r>
      <w:r>
        <w:rPr>
          <w:rFonts w:ascii="宋体" w:hAnsi="宋体" w:eastAsia="宋体" w:cs="宋体"/>
          <w:sz w:val="23"/>
          <w:szCs w:val="23"/>
        </w:rPr>
        <w:t xml:space="preserve"> </w:t>
      </w:r>
      <w:r>
        <w:rPr>
          <w:rFonts w:ascii="宋体" w:hAnsi="宋体" w:eastAsia="宋体" w:cs="宋体"/>
          <w:spacing w:val="9"/>
          <w:sz w:val="23"/>
          <w:szCs w:val="23"/>
        </w:rPr>
        <w:t>的</w:t>
      </w:r>
      <w:r>
        <w:rPr>
          <w:rFonts w:ascii="宋体" w:hAnsi="宋体" w:eastAsia="宋体" w:cs="宋体"/>
          <w:spacing w:val="5"/>
          <w:sz w:val="23"/>
          <w:szCs w:val="23"/>
        </w:rPr>
        <w:t xml:space="preserve">环境空气质量现状数据，项目厂址与乐山市城区相距约 </w:t>
      </w:r>
      <w:r>
        <w:rPr>
          <w:rFonts w:ascii="Times New Roman" w:hAnsi="Times New Roman" w:eastAsia="Times New Roman" w:cs="Times New Roman"/>
          <w:spacing w:val="5"/>
          <w:sz w:val="23"/>
          <w:szCs w:val="23"/>
        </w:rPr>
        <w:t>18.0</w:t>
      </w:r>
      <w:r>
        <w:rPr>
          <w:rFonts w:ascii="Times New Roman" w:hAnsi="Times New Roman" w:eastAsia="Times New Roman" w:cs="Times New Roman"/>
          <w:sz w:val="23"/>
          <w:szCs w:val="23"/>
        </w:rPr>
        <w:t>km</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，则项目所在区域</w:t>
      </w:r>
      <w:r>
        <w:rPr>
          <w:rFonts w:ascii="宋体" w:hAnsi="宋体" w:eastAsia="宋体" w:cs="宋体"/>
          <w:sz w:val="23"/>
          <w:szCs w:val="23"/>
        </w:rPr>
        <w:t xml:space="preserve"> </w:t>
      </w:r>
      <w:r>
        <w:rPr>
          <w:rFonts w:ascii="宋体" w:hAnsi="宋体" w:eastAsia="宋体" w:cs="宋体"/>
          <w:spacing w:val="10"/>
          <w:sz w:val="23"/>
          <w:szCs w:val="23"/>
        </w:rPr>
        <w:t>基</w:t>
      </w:r>
      <w:r>
        <w:rPr>
          <w:rFonts w:ascii="宋体" w:hAnsi="宋体" w:eastAsia="宋体" w:cs="宋体"/>
          <w:spacing w:val="5"/>
          <w:sz w:val="23"/>
          <w:szCs w:val="23"/>
        </w:rPr>
        <w:t xml:space="preserve">本污染物环境质量现状数据选择乐山市环境保护局公布的《乐山市 </w:t>
      </w:r>
      <w:r>
        <w:rPr>
          <w:rFonts w:ascii="Times New Roman" w:hAnsi="Times New Roman" w:eastAsia="Times New Roman" w:cs="Times New Roman"/>
          <w:spacing w:val="5"/>
          <w:sz w:val="23"/>
          <w:szCs w:val="23"/>
        </w:rPr>
        <w:t xml:space="preserve">2017 </w:t>
      </w:r>
      <w:r>
        <w:rPr>
          <w:rFonts w:ascii="宋体" w:hAnsi="宋体" w:eastAsia="宋体" w:cs="宋体"/>
          <w:spacing w:val="5"/>
          <w:sz w:val="23"/>
          <w:szCs w:val="23"/>
        </w:rPr>
        <w:t>年环境质</w:t>
      </w:r>
      <w:r>
        <w:rPr>
          <w:rFonts w:ascii="宋体" w:hAnsi="宋体" w:eastAsia="宋体" w:cs="宋体"/>
          <w:sz w:val="23"/>
          <w:szCs w:val="23"/>
        </w:rPr>
        <w:t xml:space="preserve"> </w:t>
      </w:r>
      <w:r>
        <w:rPr>
          <w:rFonts w:ascii="宋体" w:hAnsi="宋体" w:eastAsia="宋体" w:cs="宋体"/>
          <w:spacing w:val="16"/>
          <w:sz w:val="23"/>
          <w:szCs w:val="23"/>
        </w:rPr>
        <w:t>量</w:t>
      </w:r>
      <w:r>
        <w:rPr>
          <w:rFonts w:ascii="宋体" w:hAnsi="宋体" w:eastAsia="宋体" w:cs="宋体"/>
          <w:spacing w:val="11"/>
          <w:sz w:val="23"/>
          <w:szCs w:val="23"/>
        </w:rPr>
        <w:t>公</w:t>
      </w:r>
      <w:r>
        <w:rPr>
          <w:rFonts w:ascii="宋体" w:hAnsi="宋体" w:eastAsia="宋体" w:cs="宋体"/>
          <w:spacing w:val="8"/>
          <w:sz w:val="23"/>
          <w:szCs w:val="23"/>
        </w:rPr>
        <w:t>报》中的统计数据进行评价。</w:t>
      </w:r>
    </w:p>
    <w:p w14:paraId="2BE91855">
      <w:pPr>
        <w:spacing w:line="392" w:lineRule="auto"/>
        <w:ind w:left="10" w:right="81" w:firstLine="475"/>
        <w:rPr>
          <w:rFonts w:ascii="宋体" w:hAnsi="宋体" w:eastAsia="宋体" w:cs="宋体"/>
          <w:sz w:val="23"/>
          <w:szCs w:val="23"/>
        </w:rPr>
      </w:pPr>
      <w:r>
        <w:rPr>
          <w:rFonts w:ascii="Times New Roman" w:hAnsi="Times New Roman" w:eastAsia="Times New Roman" w:cs="Times New Roman"/>
          <w:spacing w:val="8"/>
          <w:sz w:val="23"/>
          <w:szCs w:val="23"/>
        </w:rPr>
        <w:t>2017</w:t>
      </w:r>
      <w:r>
        <w:rPr>
          <w:rFonts w:ascii="Times New Roman" w:hAnsi="Times New Roman" w:eastAsia="Times New Roman" w:cs="Times New Roman"/>
          <w:spacing w:val="7"/>
          <w:sz w:val="23"/>
          <w:szCs w:val="23"/>
        </w:rPr>
        <w:t xml:space="preserve"> </w:t>
      </w:r>
      <w:r>
        <w:rPr>
          <w:rFonts w:ascii="宋体" w:hAnsi="宋体" w:eastAsia="宋体" w:cs="宋体"/>
          <w:spacing w:val="4"/>
          <w:sz w:val="23"/>
          <w:szCs w:val="23"/>
        </w:rPr>
        <w:t xml:space="preserve">年乐山市二氧化硫平均浓度为 </w:t>
      </w:r>
      <w:r>
        <w:rPr>
          <w:rFonts w:ascii="Times New Roman" w:hAnsi="Times New Roman" w:eastAsia="Times New Roman" w:cs="Times New Roman"/>
          <w:spacing w:val="4"/>
          <w:sz w:val="23"/>
          <w:szCs w:val="23"/>
        </w:rPr>
        <w:t>16.2μ</w:t>
      </w:r>
      <w:r>
        <w:rPr>
          <w:rFonts w:ascii="Times New Roman" w:hAnsi="Times New Roman" w:eastAsia="Times New Roman" w:cs="Times New Roman"/>
          <w:sz w:val="23"/>
          <w:szCs w:val="23"/>
        </w:rPr>
        <w:t>g</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4"/>
          <w:position w:val="7"/>
          <w:sz w:val="15"/>
          <w:szCs w:val="15"/>
        </w:rPr>
        <w:t>3</w:t>
      </w:r>
      <w:r>
        <w:rPr>
          <w:rFonts w:ascii="宋体" w:hAnsi="宋体" w:eastAsia="宋体" w:cs="宋体"/>
          <w:spacing w:val="4"/>
          <w:sz w:val="23"/>
          <w:szCs w:val="23"/>
        </w:rPr>
        <w:t>，符合《环境空气质量标准》(</w:t>
      </w:r>
      <w:r>
        <w:rPr>
          <w:rFonts w:ascii="Times New Roman" w:hAnsi="Times New Roman" w:eastAsia="Times New Roman" w:cs="Times New Roman"/>
          <w:sz w:val="23"/>
          <w:szCs w:val="23"/>
        </w:rPr>
        <w:t xml:space="preserve">GB </w:t>
      </w:r>
      <w:r>
        <w:rPr>
          <w:rFonts w:ascii="Times New Roman" w:hAnsi="Times New Roman" w:eastAsia="Times New Roman" w:cs="Times New Roman"/>
          <w:spacing w:val="14"/>
          <w:sz w:val="23"/>
          <w:szCs w:val="23"/>
        </w:rPr>
        <w:t>30</w:t>
      </w:r>
      <w:r>
        <w:rPr>
          <w:rFonts w:ascii="Times New Roman" w:hAnsi="Times New Roman" w:eastAsia="Times New Roman" w:cs="Times New Roman"/>
          <w:spacing w:val="13"/>
          <w:sz w:val="23"/>
          <w:szCs w:val="23"/>
        </w:rPr>
        <w:t>9</w:t>
      </w:r>
      <w:r>
        <w:rPr>
          <w:rFonts w:ascii="Times New Roman" w:hAnsi="Times New Roman" w:eastAsia="Times New Roman" w:cs="Times New Roman"/>
          <w:spacing w:val="7"/>
          <w:sz w:val="23"/>
          <w:szCs w:val="23"/>
        </w:rPr>
        <w:t>5-2012</w:t>
      </w:r>
      <w:r>
        <w:rPr>
          <w:rFonts w:ascii="宋体" w:hAnsi="宋体" w:eastAsia="宋体" w:cs="宋体"/>
          <w:spacing w:val="7"/>
          <w:sz w:val="23"/>
          <w:szCs w:val="23"/>
        </w:rPr>
        <w:t xml:space="preserve">) 中的二级标准年平均浓度标准值；二氧化氮平均浓度为 </w:t>
      </w:r>
      <w:r>
        <w:rPr>
          <w:rFonts w:ascii="Times New Roman" w:hAnsi="Times New Roman" w:eastAsia="Times New Roman" w:cs="Times New Roman"/>
          <w:spacing w:val="7"/>
          <w:sz w:val="23"/>
          <w:szCs w:val="23"/>
        </w:rPr>
        <w:t>24.6μ</w:t>
      </w:r>
      <w:r>
        <w:rPr>
          <w:rFonts w:ascii="Times New Roman" w:hAnsi="Times New Roman" w:eastAsia="Times New Roman" w:cs="Times New Roman"/>
          <w:sz w:val="23"/>
          <w:szCs w:val="23"/>
        </w:rPr>
        <w:t>g</w:t>
      </w:r>
      <w:r>
        <w:rPr>
          <w:rFonts w:ascii="Times New Roman" w:hAnsi="Times New Roman" w:eastAsia="Times New Roman" w:cs="Times New Roman"/>
          <w:spacing w:val="7"/>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7"/>
          <w:position w:val="7"/>
          <w:sz w:val="15"/>
          <w:szCs w:val="15"/>
        </w:rPr>
        <w:t xml:space="preserve">3 </w:t>
      </w:r>
      <w:r>
        <w:rPr>
          <w:rFonts w:ascii="宋体" w:hAnsi="宋体" w:eastAsia="宋体" w:cs="宋体"/>
          <w:spacing w:val="7"/>
          <w:sz w:val="23"/>
          <w:szCs w:val="23"/>
        </w:rPr>
        <w:t>，符</w:t>
      </w:r>
    </w:p>
    <w:p w14:paraId="285738FE">
      <w:pPr>
        <w:spacing w:line="227" w:lineRule="auto"/>
        <w:ind w:left="11"/>
        <w:rPr>
          <w:rFonts w:ascii="宋体" w:hAnsi="宋体" w:eastAsia="宋体" w:cs="宋体"/>
          <w:sz w:val="23"/>
          <w:szCs w:val="23"/>
        </w:rPr>
      </w:pPr>
      <w:r>
        <w:rPr>
          <w:rFonts w:ascii="宋体" w:hAnsi="宋体" w:eastAsia="宋体" w:cs="宋体"/>
          <w:spacing w:val="12"/>
          <w:sz w:val="23"/>
          <w:szCs w:val="23"/>
        </w:rPr>
        <w:t>合</w:t>
      </w:r>
      <w:r>
        <w:rPr>
          <w:rFonts w:ascii="宋体" w:hAnsi="宋体" w:eastAsia="宋体" w:cs="宋体"/>
          <w:spacing w:val="9"/>
          <w:sz w:val="23"/>
          <w:szCs w:val="23"/>
        </w:rPr>
        <w:t>《</w:t>
      </w:r>
      <w:r>
        <w:rPr>
          <w:rFonts w:ascii="宋体" w:hAnsi="宋体" w:eastAsia="宋体" w:cs="宋体"/>
          <w:spacing w:val="6"/>
          <w:sz w:val="23"/>
          <w:szCs w:val="23"/>
        </w:rPr>
        <w:t>环境空气质量标准》  (</w:t>
      </w:r>
      <w:r>
        <w:rPr>
          <w:rFonts w:ascii="Times New Roman" w:hAnsi="Times New Roman" w:eastAsia="Times New Roman" w:cs="Times New Roman"/>
          <w:sz w:val="23"/>
          <w:szCs w:val="23"/>
        </w:rPr>
        <w:t>GB</w:t>
      </w:r>
      <w:r>
        <w:rPr>
          <w:rFonts w:ascii="Times New Roman" w:hAnsi="Times New Roman" w:eastAsia="Times New Roman" w:cs="Times New Roman"/>
          <w:spacing w:val="6"/>
          <w:sz w:val="23"/>
          <w:szCs w:val="23"/>
        </w:rPr>
        <w:t xml:space="preserve"> 3095-2012</w:t>
      </w:r>
      <w:r>
        <w:rPr>
          <w:rFonts w:ascii="宋体" w:hAnsi="宋体" w:eastAsia="宋体" w:cs="宋体"/>
          <w:spacing w:val="6"/>
          <w:sz w:val="23"/>
          <w:szCs w:val="23"/>
        </w:rPr>
        <w:t>) 中的二级标准年平均浓度标准值；臭氧</w:t>
      </w:r>
    </w:p>
    <w:p w14:paraId="35322005">
      <w:pPr>
        <w:sectPr>
          <w:headerReference r:id="rId150" w:type="default"/>
          <w:footerReference r:id="rId151" w:type="default"/>
          <w:pgSz w:w="11907" w:h="16840"/>
          <w:pgMar w:top="1153" w:right="1494" w:bottom="1485" w:left="1660" w:header="919" w:footer="1298" w:gutter="0"/>
          <w:cols w:space="720" w:num="1"/>
        </w:sectPr>
      </w:pPr>
    </w:p>
    <w:p w14:paraId="5F033F0C">
      <w:pPr>
        <w:spacing w:line="460" w:lineRule="auto"/>
      </w:pPr>
    </w:p>
    <w:p w14:paraId="1A96AA65">
      <w:pPr>
        <w:spacing w:before="56" w:line="229" w:lineRule="auto"/>
        <w:ind w:left="323"/>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2113A1E9">
      <w:pPr>
        <w:spacing w:before="18" w:line="375" w:lineRule="auto"/>
        <w:ind w:left="326" w:right="206"/>
        <w:rPr>
          <w:rFonts w:ascii="宋体" w:hAnsi="宋体" w:eastAsia="宋体" w:cs="宋体"/>
          <w:sz w:val="23"/>
          <w:szCs w:val="23"/>
        </w:rPr>
      </w:pPr>
      <w:r>
        <w:pict>
          <v:shape id="_x0000_s2093" o:spid="_x0000_s2093" style="position:absolute;left:0pt;margin-left:15.8pt;margin-top:0.55pt;height:0.5pt;width:433.35pt;z-index:-251594752;mso-width-relative:page;mso-height-relative:page;" fillcolor="#000000" filled="t" stroked="f" coordsize="8667,10" path="m0,0l8666,0,8666,9,0,9,0,0xe">
            <v:fill on="t" focussize="0,0"/>
            <v:stroke on="f"/>
            <v:imagedata o:title=""/>
            <o:lock v:ext="edit"/>
          </v:shape>
        </w:pict>
      </w:r>
      <w:r>
        <w:rPr>
          <w:rFonts w:ascii="宋体" w:hAnsi="宋体" w:eastAsia="宋体" w:cs="宋体"/>
          <w:spacing w:val="1"/>
          <w:sz w:val="23"/>
          <w:szCs w:val="23"/>
        </w:rPr>
        <w:t xml:space="preserve">第 </w:t>
      </w:r>
      <w:r>
        <w:rPr>
          <w:rFonts w:ascii="Times New Roman" w:hAnsi="Times New Roman" w:eastAsia="Times New Roman" w:cs="Times New Roman"/>
          <w:spacing w:val="1"/>
          <w:sz w:val="23"/>
          <w:szCs w:val="23"/>
        </w:rPr>
        <w:t xml:space="preserve">90 </w:t>
      </w:r>
      <w:r>
        <w:rPr>
          <w:rFonts w:ascii="宋体" w:hAnsi="宋体" w:eastAsia="宋体" w:cs="宋体"/>
          <w:spacing w:val="1"/>
          <w:sz w:val="23"/>
          <w:szCs w:val="23"/>
        </w:rPr>
        <w:t xml:space="preserve">百分位数平均浓度为 </w:t>
      </w:r>
      <w:r>
        <w:rPr>
          <w:rFonts w:ascii="Times New Roman" w:hAnsi="Times New Roman" w:eastAsia="Times New Roman" w:cs="Times New Roman"/>
          <w:spacing w:val="1"/>
          <w:sz w:val="23"/>
          <w:szCs w:val="23"/>
        </w:rPr>
        <w:t>129.4μ</w:t>
      </w:r>
      <w:r>
        <w:rPr>
          <w:rFonts w:ascii="Times New Roman" w:hAnsi="Times New Roman" w:eastAsia="Times New Roman" w:cs="Times New Roman"/>
          <w:sz w:val="23"/>
          <w:szCs w:val="23"/>
        </w:rPr>
        <w:t>g</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1"/>
          <w:position w:val="8"/>
          <w:sz w:val="15"/>
          <w:szCs w:val="15"/>
        </w:rPr>
        <w:t>3</w:t>
      </w:r>
      <w:r>
        <w:rPr>
          <w:rFonts w:ascii="宋体" w:hAnsi="宋体" w:eastAsia="宋体" w:cs="宋体"/>
          <w:spacing w:val="1"/>
          <w:sz w:val="23"/>
          <w:szCs w:val="23"/>
        </w:rPr>
        <w:t>，符合《环境空气质量标准》 (</w:t>
      </w:r>
      <w:r>
        <w:rPr>
          <w:rFonts w:ascii="Times New Roman" w:hAnsi="Times New Roman" w:eastAsia="Times New Roman" w:cs="Times New Roman"/>
          <w:sz w:val="23"/>
          <w:szCs w:val="23"/>
        </w:rPr>
        <w:t>GB</w:t>
      </w:r>
      <w:r>
        <w:rPr>
          <w:rFonts w:ascii="Times New Roman" w:hAnsi="Times New Roman" w:eastAsia="Times New Roman" w:cs="Times New Roman"/>
          <w:spacing w:val="1"/>
          <w:sz w:val="23"/>
          <w:szCs w:val="23"/>
        </w:rPr>
        <w:t xml:space="preserve"> 3095-20</w:t>
      </w:r>
      <w:r>
        <w:rPr>
          <w:rFonts w:ascii="Times New Roman" w:hAnsi="Times New Roman" w:eastAsia="Times New Roman" w:cs="Times New Roman"/>
          <w:sz w:val="23"/>
          <w:szCs w:val="23"/>
        </w:rPr>
        <w:t>12</w:t>
      </w:r>
      <w:r>
        <w:rPr>
          <w:rFonts w:ascii="宋体" w:hAnsi="宋体" w:eastAsia="宋体" w:cs="宋体"/>
          <w:sz w:val="23"/>
          <w:szCs w:val="23"/>
        </w:rPr>
        <w:t xml:space="preserve">) </w:t>
      </w:r>
      <w:r>
        <w:rPr>
          <w:rFonts w:ascii="宋体" w:hAnsi="宋体" w:eastAsia="宋体" w:cs="宋体"/>
          <w:spacing w:val="2"/>
          <w:sz w:val="23"/>
          <w:szCs w:val="23"/>
        </w:rPr>
        <w:t>中臭</w:t>
      </w:r>
      <w:r>
        <w:rPr>
          <w:rFonts w:ascii="宋体" w:hAnsi="宋体" w:eastAsia="宋体" w:cs="宋体"/>
          <w:spacing w:val="1"/>
          <w:sz w:val="23"/>
          <w:szCs w:val="23"/>
        </w:rPr>
        <w:t xml:space="preserve">氧日最大 </w:t>
      </w:r>
      <w:r>
        <w:rPr>
          <w:rFonts w:ascii="Times New Roman" w:hAnsi="Times New Roman" w:eastAsia="Times New Roman" w:cs="Times New Roman"/>
          <w:spacing w:val="1"/>
          <w:sz w:val="23"/>
          <w:szCs w:val="23"/>
        </w:rPr>
        <w:t xml:space="preserve">8 </w:t>
      </w:r>
      <w:r>
        <w:rPr>
          <w:rFonts w:ascii="宋体" w:hAnsi="宋体" w:eastAsia="宋体" w:cs="宋体"/>
          <w:spacing w:val="1"/>
          <w:sz w:val="23"/>
          <w:szCs w:val="23"/>
        </w:rPr>
        <w:t>小时平均的二级标准；一氧化碳第</w:t>
      </w:r>
      <w:r>
        <w:rPr>
          <w:rFonts w:ascii="Times New Roman" w:hAnsi="Times New Roman" w:eastAsia="Times New Roman" w:cs="Times New Roman"/>
          <w:spacing w:val="1"/>
          <w:sz w:val="23"/>
          <w:szCs w:val="23"/>
        </w:rPr>
        <w:t xml:space="preserve">95 </w:t>
      </w:r>
      <w:r>
        <w:rPr>
          <w:rFonts w:ascii="宋体" w:hAnsi="宋体" w:eastAsia="宋体" w:cs="宋体"/>
          <w:spacing w:val="1"/>
          <w:sz w:val="23"/>
          <w:szCs w:val="23"/>
        </w:rPr>
        <w:t xml:space="preserve">百分位数平均浓度为 </w:t>
      </w:r>
      <w:r>
        <w:rPr>
          <w:rFonts w:ascii="Times New Roman" w:hAnsi="Times New Roman" w:eastAsia="Times New Roman" w:cs="Times New Roman"/>
          <w:spacing w:val="1"/>
          <w:sz w:val="23"/>
          <w:szCs w:val="23"/>
        </w:rPr>
        <w:t>1.4</w:t>
      </w:r>
      <w:r>
        <w:rPr>
          <w:rFonts w:ascii="Times New Roman" w:hAnsi="Times New Roman" w:eastAsia="Times New Roman" w:cs="Times New Roman"/>
          <w:sz w:val="23"/>
          <w:szCs w:val="23"/>
        </w:rPr>
        <w:t>mg</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1"/>
          <w:position w:val="8"/>
          <w:sz w:val="15"/>
          <w:szCs w:val="15"/>
        </w:rPr>
        <w:t>3</w:t>
      </w:r>
      <w:r>
        <w:rPr>
          <w:rFonts w:ascii="宋体" w:hAnsi="宋体" w:eastAsia="宋体" w:cs="宋体"/>
          <w:spacing w:val="1"/>
          <w:sz w:val="23"/>
          <w:szCs w:val="23"/>
        </w:rPr>
        <w:t>，</w:t>
      </w:r>
      <w:r>
        <w:rPr>
          <w:rFonts w:ascii="宋体" w:hAnsi="宋体" w:eastAsia="宋体" w:cs="宋体"/>
          <w:sz w:val="23"/>
          <w:szCs w:val="23"/>
        </w:rPr>
        <w:t xml:space="preserve"> </w:t>
      </w:r>
      <w:r>
        <w:rPr>
          <w:rFonts w:ascii="宋体" w:hAnsi="宋体" w:eastAsia="宋体" w:cs="宋体"/>
          <w:spacing w:val="6"/>
          <w:sz w:val="23"/>
          <w:szCs w:val="23"/>
        </w:rPr>
        <w:t>符合《环境空气质量标准</w:t>
      </w:r>
      <w:r>
        <w:rPr>
          <w:rFonts w:ascii="宋体" w:hAnsi="宋体" w:eastAsia="宋体" w:cs="宋体"/>
          <w:spacing w:val="3"/>
          <w:sz w:val="23"/>
          <w:szCs w:val="23"/>
        </w:rPr>
        <w:t>》  (</w:t>
      </w:r>
      <w:r>
        <w:rPr>
          <w:rFonts w:ascii="Times New Roman" w:hAnsi="Times New Roman" w:eastAsia="Times New Roman" w:cs="Times New Roman"/>
          <w:sz w:val="23"/>
          <w:szCs w:val="23"/>
        </w:rPr>
        <w:t>GB</w:t>
      </w:r>
      <w:r>
        <w:rPr>
          <w:rFonts w:ascii="Times New Roman" w:hAnsi="Times New Roman" w:eastAsia="Times New Roman" w:cs="Times New Roman"/>
          <w:spacing w:val="3"/>
          <w:sz w:val="23"/>
          <w:szCs w:val="23"/>
        </w:rPr>
        <w:t xml:space="preserve"> 3095-2012</w:t>
      </w:r>
      <w:r>
        <w:rPr>
          <w:rFonts w:ascii="宋体" w:hAnsi="宋体" w:eastAsia="宋体" w:cs="宋体"/>
          <w:spacing w:val="3"/>
          <w:sz w:val="23"/>
          <w:szCs w:val="23"/>
        </w:rPr>
        <w:t xml:space="preserve">) 中一氧化碳 </w:t>
      </w:r>
      <w:r>
        <w:rPr>
          <w:rFonts w:ascii="Times New Roman" w:hAnsi="Times New Roman" w:eastAsia="Times New Roman" w:cs="Times New Roman"/>
          <w:spacing w:val="3"/>
          <w:sz w:val="23"/>
          <w:szCs w:val="23"/>
        </w:rPr>
        <w:t xml:space="preserve">24 </w:t>
      </w:r>
      <w:r>
        <w:rPr>
          <w:rFonts w:ascii="宋体" w:hAnsi="宋体" w:eastAsia="宋体" w:cs="宋体"/>
          <w:spacing w:val="3"/>
          <w:sz w:val="23"/>
          <w:szCs w:val="23"/>
        </w:rPr>
        <w:t>小时平均的二级标准；</w:t>
      </w:r>
      <w:r>
        <w:rPr>
          <w:rFonts w:ascii="宋体" w:hAnsi="宋体" w:eastAsia="宋体" w:cs="宋体"/>
          <w:sz w:val="23"/>
          <w:szCs w:val="23"/>
        </w:rPr>
        <w:t xml:space="preserve"> </w:t>
      </w:r>
      <w:r>
        <w:rPr>
          <w:rFonts w:ascii="宋体" w:hAnsi="宋体" w:eastAsia="宋体" w:cs="宋体"/>
          <w:spacing w:val="4"/>
          <w:sz w:val="23"/>
          <w:szCs w:val="23"/>
        </w:rPr>
        <w:t>细颗粒物(</w:t>
      </w:r>
      <w:r>
        <w:rPr>
          <w:rFonts w:ascii="Times New Roman" w:hAnsi="Times New Roman" w:eastAsia="Times New Roman" w:cs="Times New Roman"/>
          <w:sz w:val="23"/>
          <w:szCs w:val="23"/>
        </w:rPr>
        <w:t>PM</w:t>
      </w:r>
      <w:r>
        <w:rPr>
          <w:rFonts w:ascii="Times New Roman" w:hAnsi="Times New Roman" w:eastAsia="Times New Roman" w:cs="Times New Roman"/>
          <w:spacing w:val="4"/>
          <w:position w:val="-1"/>
          <w:sz w:val="15"/>
          <w:szCs w:val="15"/>
        </w:rPr>
        <w:t xml:space="preserve">2.5 </w:t>
      </w:r>
      <w:r>
        <w:rPr>
          <w:rFonts w:ascii="宋体" w:hAnsi="宋体" w:eastAsia="宋体" w:cs="宋体"/>
          <w:spacing w:val="4"/>
          <w:sz w:val="23"/>
          <w:szCs w:val="23"/>
        </w:rPr>
        <w:t>)平均浓度</w:t>
      </w:r>
      <w:r>
        <w:rPr>
          <w:rFonts w:ascii="宋体" w:hAnsi="宋体" w:eastAsia="宋体" w:cs="宋体"/>
          <w:spacing w:val="3"/>
          <w:sz w:val="23"/>
          <w:szCs w:val="23"/>
        </w:rPr>
        <w:t>为</w:t>
      </w:r>
      <w:r>
        <w:rPr>
          <w:rFonts w:ascii="宋体" w:hAnsi="宋体" w:eastAsia="宋体" w:cs="宋体"/>
          <w:spacing w:val="2"/>
          <w:sz w:val="23"/>
          <w:szCs w:val="23"/>
        </w:rPr>
        <w:t xml:space="preserve"> </w:t>
      </w:r>
      <w:r>
        <w:rPr>
          <w:rFonts w:ascii="Times New Roman" w:hAnsi="Times New Roman" w:eastAsia="Times New Roman" w:cs="Times New Roman"/>
          <w:spacing w:val="2"/>
          <w:sz w:val="23"/>
          <w:szCs w:val="23"/>
        </w:rPr>
        <w:t>55.3μ</w:t>
      </w:r>
      <w:r>
        <w:rPr>
          <w:rFonts w:ascii="Times New Roman" w:hAnsi="Times New Roman" w:eastAsia="Times New Roman" w:cs="Times New Roman"/>
          <w:sz w:val="23"/>
          <w:szCs w:val="23"/>
        </w:rPr>
        <w:t>g</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8"/>
          <w:sz w:val="15"/>
          <w:szCs w:val="15"/>
        </w:rPr>
        <w:t>3</w:t>
      </w:r>
      <w:r>
        <w:rPr>
          <w:rFonts w:ascii="宋体" w:hAnsi="宋体" w:eastAsia="宋体" w:cs="宋体"/>
          <w:spacing w:val="2"/>
          <w:sz w:val="23"/>
          <w:szCs w:val="23"/>
        </w:rPr>
        <w:t>，超过《环境空气质量标准》(</w:t>
      </w:r>
      <w:r>
        <w:rPr>
          <w:rFonts w:ascii="Times New Roman" w:hAnsi="Times New Roman" w:eastAsia="Times New Roman" w:cs="Times New Roman"/>
          <w:sz w:val="23"/>
          <w:szCs w:val="23"/>
        </w:rPr>
        <w:t>GB</w:t>
      </w:r>
      <w:r>
        <w:rPr>
          <w:rFonts w:ascii="Times New Roman" w:hAnsi="Times New Roman" w:eastAsia="Times New Roman" w:cs="Times New Roman"/>
          <w:spacing w:val="2"/>
          <w:sz w:val="23"/>
          <w:szCs w:val="23"/>
        </w:rPr>
        <w:t xml:space="preserve"> 3095-2012</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4"/>
          <w:sz w:val="23"/>
          <w:szCs w:val="23"/>
        </w:rPr>
        <w:t>中的二级标准年平均浓度标准值；可吸入颗粒物 (</w:t>
      </w:r>
      <w:r>
        <w:rPr>
          <w:rFonts w:ascii="Times New Roman" w:hAnsi="Times New Roman" w:eastAsia="Times New Roman" w:cs="Times New Roman"/>
          <w:sz w:val="23"/>
          <w:szCs w:val="23"/>
        </w:rPr>
        <w:t>PM</w:t>
      </w:r>
      <w:r>
        <w:rPr>
          <w:rFonts w:ascii="Times New Roman" w:hAnsi="Times New Roman" w:eastAsia="Times New Roman" w:cs="Times New Roman"/>
          <w:spacing w:val="4"/>
          <w:position w:val="-1"/>
          <w:sz w:val="15"/>
          <w:szCs w:val="15"/>
        </w:rPr>
        <w:t xml:space="preserve">10 </w:t>
      </w:r>
      <w:r>
        <w:rPr>
          <w:rFonts w:ascii="宋体" w:hAnsi="宋体" w:eastAsia="宋体" w:cs="宋体"/>
          <w:spacing w:val="4"/>
          <w:sz w:val="23"/>
          <w:szCs w:val="23"/>
        </w:rPr>
        <w:t xml:space="preserve">) 平均浓度为 </w:t>
      </w:r>
      <w:r>
        <w:rPr>
          <w:rFonts w:ascii="Times New Roman" w:hAnsi="Times New Roman" w:eastAsia="Times New Roman" w:cs="Times New Roman"/>
          <w:spacing w:val="4"/>
          <w:sz w:val="23"/>
          <w:szCs w:val="23"/>
        </w:rPr>
        <w:t>83.7μ</w:t>
      </w:r>
      <w:r>
        <w:rPr>
          <w:rFonts w:ascii="Times New Roman" w:hAnsi="Times New Roman" w:eastAsia="Times New Roman" w:cs="Times New Roman"/>
          <w:sz w:val="23"/>
          <w:szCs w:val="23"/>
        </w:rPr>
        <w:t>g</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4"/>
          <w:position w:val="8"/>
          <w:sz w:val="15"/>
          <w:szCs w:val="15"/>
        </w:rPr>
        <w:t>3</w:t>
      </w:r>
      <w:r>
        <w:rPr>
          <w:rFonts w:ascii="宋体" w:hAnsi="宋体" w:eastAsia="宋体" w:cs="宋体"/>
          <w:spacing w:val="3"/>
          <w:sz w:val="23"/>
          <w:szCs w:val="23"/>
        </w:rPr>
        <w:t>，</w:t>
      </w:r>
      <w:r>
        <w:rPr>
          <w:rFonts w:ascii="宋体" w:hAnsi="宋体" w:eastAsia="宋体" w:cs="宋体"/>
          <w:sz w:val="23"/>
          <w:szCs w:val="23"/>
        </w:rPr>
        <w:t xml:space="preserve">超 </w:t>
      </w:r>
      <w:r>
        <w:rPr>
          <w:rFonts w:ascii="宋体" w:hAnsi="宋体" w:eastAsia="宋体" w:cs="宋体"/>
          <w:spacing w:val="5"/>
          <w:sz w:val="23"/>
          <w:szCs w:val="23"/>
        </w:rPr>
        <w:t>过《环境空气质量标准》  (</w:t>
      </w:r>
      <w:r>
        <w:rPr>
          <w:rFonts w:ascii="Times New Roman" w:hAnsi="Times New Roman" w:eastAsia="Times New Roman" w:cs="Times New Roman"/>
          <w:sz w:val="23"/>
          <w:szCs w:val="23"/>
        </w:rPr>
        <w:t>GB</w:t>
      </w:r>
      <w:r>
        <w:rPr>
          <w:rFonts w:ascii="Times New Roman" w:hAnsi="Times New Roman" w:eastAsia="Times New Roman" w:cs="Times New Roman"/>
          <w:spacing w:val="5"/>
          <w:sz w:val="23"/>
          <w:szCs w:val="23"/>
        </w:rPr>
        <w:t xml:space="preserve"> 3095-2012</w:t>
      </w:r>
      <w:r>
        <w:rPr>
          <w:rFonts w:ascii="宋体" w:hAnsi="宋体" w:eastAsia="宋体" w:cs="宋体"/>
          <w:spacing w:val="5"/>
          <w:sz w:val="23"/>
          <w:szCs w:val="23"/>
        </w:rPr>
        <w:t>) 中的二级标准年平均浓度标准值</w:t>
      </w:r>
      <w:r>
        <w:rPr>
          <w:rFonts w:ascii="宋体" w:hAnsi="宋体" w:eastAsia="宋体" w:cs="宋体"/>
          <w:spacing w:val="3"/>
          <w:sz w:val="23"/>
          <w:szCs w:val="23"/>
        </w:rPr>
        <w:t>。</w:t>
      </w:r>
    </w:p>
    <w:p w14:paraId="09372A7C">
      <w:pPr>
        <w:spacing w:line="322" w:lineRule="exact"/>
        <w:ind w:left="541"/>
        <w:rPr>
          <w:rFonts w:ascii="Times New Roman" w:hAnsi="Times New Roman" w:eastAsia="Times New Roman" w:cs="Times New Roman"/>
          <w:sz w:val="23"/>
          <w:szCs w:val="23"/>
        </w:rPr>
      </w:pPr>
      <w:r>
        <w:rPr>
          <w:rFonts w:ascii="黑体" w:hAnsi="黑体" w:eastAsia="黑体" w:cs="黑体"/>
          <w:spacing w:val="3"/>
          <w:position w:val="3"/>
          <w:sz w:val="23"/>
          <w:szCs w:val="23"/>
        </w:rPr>
        <w:t>表</w:t>
      </w:r>
      <w:r>
        <w:rPr>
          <w:rFonts w:ascii="黑体" w:hAnsi="黑体" w:eastAsia="黑体" w:cs="黑体"/>
          <w:spacing w:val="2"/>
          <w:position w:val="3"/>
          <w:sz w:val="23"/>
          <w:szCs w:val="23"/>
        </w:rPr>
        <w:t xml:space="preserve"> </w:t>
      </w:r>
      <w:r>
        <w:rPr>
          <w:rFonts w:ascii="Times New Roman" w:hAnsi="Times New Roman" w:eastAsia="Times New Roman" w:cs="Times New Roman"/>
          <w:spacing w:val="2"/>
          <w:position w:val="3"/>
          <w:sz w:val="23"/>
          <w:szCs w:val="23"/>
        </w:rPr>
        <w:t xml:space="preserve">4.2- 1    2017 </w:t>
      </w:r>
      <w:r>
        <w:rPr>
          <w:rFonts w:ascii="黑体" w:hAnsi="黑体" w:eastAsia="黑体" w:cs="黑体"/>
          <w:spacing w:val="2"/>
          <w:position w:val="3"/>
          <w:sz w:val="23"/>
          <w:szCs w:val="23"/>
        </w:rPr>
        <w:t xml:space="preserve">年乐山市空气污染物监测数据    </w:t>
      </w:r>
      <w:r>
        <w:rPr>
          <w:rFonts w:ascii="Times New Roman" w:hAnsi="Times New Roman" w:eastAsia="Times New Roman" w:cs="Times New Roman"/>
          <w:spacing w:val="2"/>
          <w:position w:val="3"/>
          <w:sz w:val="23"/>
          <w:szCs w:val="23"/>
        </w:rPr>
        <w:t>(</w:t>
      </w:r>
      <w:r>
        <w:rPr>
          <w:rFonts w:ascii="黑体" w:hAnsi="黑体" w:eastAsia="黑体" w:cs="黑体"/>
          <w:spacing w:val="2"/>
          <w:position w:val="3"/>
          <w:sz w:val="23"/>
          <w:szCs w:val="23"/>
        </w:rPr>
        <w:t>单位：</w:t>
      </w:r>
      <w:r>
        <w:rPr>
          <w:rFonts w:ascii="Times New Roman" w:hAnsi="Times New Roman" w:eastAsia="Times New Roman" w:cs="Times New Roman"/>
          <w:spacing w:val="2"/>
          <w:position w:val="3"/>
          <w:sz w:val="23"/>
          <w:szCs w:val="23"/>
        </w:rPr>
        <w:t>μ</w:t>
      </w:r>
      <w:r>
        <w:rPr>
          <w:rFonts w:ascii="Times New Roman" w:hAnsi="Times New Roman" w:eastAsia="Times New Roman" w:cs="Times New Roman"/>
          <w:position w:val="3"/>
          <w:sz w:val="23"/>
          <w:szCs w:val="23"/>
        </w:rPr>
        <w:t>g</w:t>
      </w:r>
      <w:r>
        <w:rPr>
          <w:rFonts w:ascii="Times New Roman" w:hAnsi="Times New Roman" w:eastAsia="Times New Roman" w:cs="Times New Roman"/>
          <w:spacing w:val="2"/>
          <w:position w:val="3"/>
          <w:sz w:val="23"/>
          <w:szCs w:val="23"/>
        </w:rPr>
        <w:t>/</w:t>
      </w:r>
      <w:r>
        <w:rPr>
          <w:rFonts w:ascii="Times New Roman" w:hAnsi="Times New Roman" w:eastAsia="Times New Roman" w:cs="Times New Roman"/>
          <w:position w:val="3"/>
          <w:sz w:val="23"/>
          <w:szCs w:val="23"/>
        </w:rPr>
        <w:t>m</w:t>
      </w:r>
      <w:r>
        <w:rPr>
          <w:rFonts w:ascii="Times New Roman" w:hAnsi="Times New Roman" w:eastAsia="Times New Roman" w:cs="Times New Roman"/>
          <w:spacing w:val="2"/>
          <w:position w:val="3"/>
          <w:sz w:val="23"/>
          <w:szCs w:val="23"/>
        </w:rPr>
        <w:t xml:space="preserve">3 </w:t>
      </w:r>
      <w:r>
        <w:rPr>
          <w:rFonts w:ascii="黑体" w:hAnsi="黑体" w:eastAsia="黑体" w:cs="黑体"/>
          <w:spacing w:val="2"/>
          <w:position w:val="3"/>
          <w:sz w:val="23"/>
          <w:szCs w:val="23"/>
        </w:rPr>
        <w:t>，</w:t>
      </w:r>
      <w:r>
        <w:rPr>
          <w:rFonts w:ascii="Times New Roman" w:hAnsi="Times New Roman" w:eastAsia="Times New Roman" w:cs="Times New Roman"/>
          <w:position w:val="3"/>
          <w:sz w:val="23"/>
          <w:szCs w:val="23"/>
        </w:rPr>
        <w:t>CO</w:t>
      </w:r>
      <w:r>
        <w:rPr>
          <w:rFonts w:ascii="Times New Roman" w:hAnsi="Times New Roman" w:eastAsia="Times New Roman" w:cs="Times New Roman"/>
          <w:spacing w:val="2"/>
          <w:position w:val="3"/>
          <w:sz w:val="23"/>
          <w:szCs w:val="23"/>
        </w:rPr>
        <w:t xml:space="preserve"> </w:t>
      </w:r>
      <w:r>
        <w:rPr>
          <w:rFonts w:ascii="黑体" w:hAnsi="黑体" w:eastAsia="黑体" w:cs="黑体"/>
          <w:spacing w:val="2"/>
          <w:position w:val="3"/>
          <w:sz w:val="23"/>
          <w:szCs w:val="23"/>
        </w:rPr>
        <w:t xml:space="preserve">为 </w:t>
      </w:r>
      <w:r>
        <w:rPr>
          <w:rFonts w:ascii="Times New Roman" w:hAnsi="Times New Roman" w:eastAsia="Times New Roman" w:cs="Times New Roman"/>
          <w:position w:val="3"/>
          <w:sz w:val="23"/>
          <w:szCs w:val="23"/>
        </w:rPr>
        <w:t>mg</w:t>
      </w:r>
      <w:r>
        <w:rPr>
          <w:rFonts w:ascii="Times New Roman" w:hAnsi="Times New Roman" w:eastAsia="Times New Roman" w:cs="Times New Roman"/>
          <w:spacing w:val="2"/>
          <w:position w:val="3"/>
          <w:sz w:val="23"/>
          <w:szCs w:val="23"/>
        </w:rPr>
        <w:t>/</w:t>
      </w:r>
      <w:r>
        <w:rPr>
          <w:rFonts w:ascii="Times New Roman" w:hAnsi="Times New Roman" w:eastAsia="Times New Roman" w:cs="Times New Roman"/>
          <w:position w:val="3"/>
          <w:sz w:val="23"/>
          <w:szCs w:val="23"/>
        </w:rPr>
        <w:t>m</w:t>
      </w:r>
      <w:r>
        <w:rPr>
          <w:rFonts w:ascii="Times New Roman" w:hAnsi="Times New Roman" w:eastAsia="Times New Roman" w:cs="Times New Roman"/>
          <w:spacing w:val="2"/>
          <w:position w:val="10"/>
          <w:sz w:val="15"/>
          <w:szCs w:val="15"/>
        </w:rPr>
        <w:t>3</w:t>
      </w:r>
      <w:r>
        <w:rPr>
          <w:rFonts w:ascii="Times New Roman" w:hAnsi="Times New Roman" w:eastAsia="Times New Roman" w:cs="Times New Roman"/>
          <w:spacing w:val="2"/>
          <w:position w:val="3"/>
          <w:sz w:val="23"/>
          <w:szCs w:val="23"/>
        </w:rPr>
        <w:t>)</w:t>
      </w:r>
    </w:p>
    <w:tbl>
      <w:tblPr>
        <w:tblStyle w:val="4"/>
        <w:tblW w:w="929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3"/>
        <w:gridCol w:w="1226"/>
        <w:gridCol w:w="1279"/>
        <w:gridCol w:w="1491"/>
        <w:gridCol w:w="1367"/>
        <w:gridCol w:w="978"/>
        <w:gridCol w:w="1283"/>
      </w:tblGrid>
      <w:tr w14:paraId="580669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1673" w:type="dxa"/>
            <w:tcBorders>
              <w:left w:val="nil"/>
            </w:tcBorders>
          </w:tcPr>
          <w:p w14:paraId="24658B6C">
            <w:pPr>
              <w:spacing w:before="55" w:line="227" w:lineRule="auto"/>
              <w:ind w:left="421"/>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监</w:t>
            </w:r>
            <w:r>
              <w:rPr>
                <w:rFonts w:ascii="宋体" w:hAnsi="宋体" w:eastAsia="宋体" w:cs="宋体"/>
                <w:spacing w:val="8"/>
                <w:sz w:val="20"/>
                <w:szCs w:val="20"/>
                <w14:textOutline w14:w="3797" w14:cap="sq" w14:cmpd="sng" w14:algn="ctr">
                  <w14:solidFill>
                    <w14:srgbClr w14:val="000000"/>
                  </w14:solidFill>
                  <w14:prstDash w14:val="solid"/>
                  <w14:bevel/>
                </w14:textOutline>
              </w:rPr>
              <w:t>测项目</w:t>
            </w:r>
          </w:p>
        </w:tc>
        <w:tc>
          <w:tcPr>
            <w:tcW w:w="1226" w:type="dxa"/>
          </w:tcPr>
          <w:p w14:paraId="66A286CC">
            <w:pPr>
              <w:spacing w:before="54" w:line="227" w:lineRule="auto"/>
              <w:ind w:left="200"/>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二</w:t>
            </w:r>
            <w:r>
              <w:rPr>
                <w:rFonts w:ascii="宋体" w:hAnsi="宋体" w:eastAsia="宋体" w:cs="宋体"/>
                <w:spacing w:val="7"/>
                <w:sz w:val="20"/>
                <w:szCs w:val="20"/>
                <w14:textOutline w14:w="3797" w14:cap="sq" w14:cmpd="sng" w14:algn="ctr">
                  <w14:solidFill>
                    <w14:srgbClr w14:val="000000"/>
                  </w14:solidFill>
                  <w14:prstDash w14:val="solid"/>
                  <w14:bevel/>
                </w14:textOutline>
              </w:rPr>
              <w:t>氧化硫</w:t>
            </w:r>
          </w:p>
        </w:tc>
        <w:tc>
          <w:tcPr>
            <w:tcW w:w="1279" w:type="dxa"/>
          </w:tcPr>
          <w:p w14:paraId="041A34C7">
            <w:pPr>
              <w:spacing w:before="54" w:line="227" w:lineRule="auto"/>
              <w:ind w:left="227"/>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二</w:t>
            </w:r>
            <w:r>
              <w:rPr>
                <w:rFonts w:ascii="宋体" w:hAnsi="宋体" w:eastAsia="宋体" w:cs="宋体"/>
                <w:spacing w:val="7"/>
                <w:sz w:val="20"/>
                <w:szCs w:val="20"/>
                <w14:textOutline w14:w="3797" w14:cap="sq" w14:cmpd="sng" w14:algn="ctr">
                  <w14:solidFill>
                    <w14:srgbClr w14:val="000000"/>
                  </w14:solidFill>
                  <w14:prstDash w14:val="solid"/>
                  <w14:bevel/>
                </w14:textOutline>
              </w:rPr>
              <w:t>氧化氮</w:t>
            </w:r>
          </w:p>
        </w:tc>
        <w:tc>
          <w:tcPr>
            <w:tcW w:w="1491" w:type="dxa"/>
          </w:tcPr>
          <w:p w14:paraId="7C6762A6">
            <w:pPr>
              <w:spacing w:before="55" w:line="227" w:lineRule="auto"/>
              <w:ind w:left="122"/>
              <w:rPr>
                <w:rFonts w:ascii="宋体" w:hAnsi="宋体" w:eastAsia="宋体" w:cs="宋体"/>
                <w:sz w:val="20"/>
                <w:szCs w:val="20"/>
              </w:rPr>
            </w:pPr>
            <w:r>
              <w:rPr>
                <w:rFonts w:ascii="宋体" w:hAnsi="宋体" w:eastAsia="宋体" w:cs="宋体"/>
                <w:spacing w:val="12"/>
                <w:sz w:val="20"/>
                <w:szCs w:val="20"/>
                <w14:textOutline w14:w="3797" w14:cap="sq" w14:cmpd="sng" w14:algn="ctr">
                  <w14:solidFill>
                    <w14:srgbClr w14:val="000000"/>
                  </w14:solidFill>
                  <w14:prstDash w14:val="solid"/>
                  <w14:bevel/>
                </w14:textOutline>
              </w:rPr>
              <w:t>可</w:t>
            </w:r>
            <w:r>
              <w:rPr>
                <w:rFonts w:ascii="宋体" w:hAnsi="宋体" w:eastAsia="宋体" w:cs="宋体"/>
                <w:spacing w:val="8"/>
                <w:sz w:val="20"/>
                <w:szCs w:val="20"/>
                <w14:textOutline w14:w="3797" w14:cap="sq" w14:cmpd="sng" w14:algn="ctr">
                  <w14:solidFill>
                    <w14:srgbClr w14:val="000000"/>
                  </w14:solidFill>
                  <w14:prstDash w14:val="solid"/>
                  <w14:bevel/>
                </w14:textOutline>
              </w:rPr>
              <w:t>吸入颗粒物</w:t>
            </w:r>
          </w:p>
        </w:tc>
        <w:tc>
          <w:tcPr>
            <w:tcW w:w="1367" w:type="dxa"/>
          </w:tcPr>
          <w:p w14:paraId="25406887">
            <w:pPr>
              <w:spacing w:before="55" w:line="227" w:lineRule="auto"/>
              <w:ind w:left="270"/>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细</w:t>
            </w:r>
            <w:r>
              <w:rPr>
                <w:rFonts w:ascii="宋体" w:hAnsi="宋体" w:eastAsia="宋体" w:cs="宋体"/>
                <w:spacing w:val="8"/>
                <w:sz w:val="20"/>
                <w:szCs w:val="20"/>
                <w14:textOutline w14:w="3797" w14:cap="sq" w14:cmpd="sng" w14:algn="ctr">
                  <w14:solidFill>
                    <w14:srgbClr w14:val="000000"/>
                  </w14:solidFill>
                  <w14:prstDash w14:val="solid"/>
                  <w14:bevel/>
                </w14:textOutline>
              </w:rPr>
              <w:t>颗粒物</w:t>
            </w:r>
          </w:p>
        </w:tc>
        <w:tc>
          <w:tcPr>
            <w:tcW w:w="978" w:type="dxa"/>
          </w:tcPr>
          <w:p w14:paraId="32F6BE03">
            <w:pPr>
              <w:spacing w:before="54" w:line="227" w:lineRule="auto"/>
              <w:ind w:left="284"/>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臭氧</w:t>
            </w:r>
          </w:p>
        </w:tc>
        <w:tc>
          <w:tcPr>
            <w:tcW w:w="1283" w:type="dxa"/>
            <w:tcBorders>
              <w:right w:val="nil"/>
            </w:tcBorders>
          </w:tcPr>
          <w:p w14:paraId="3EE4510E">
            <w:pPr>
              <w:spacing w:before="55" w:line="227" w:lineRule="auto"/>
              <w:ind w:left="234"/>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一</w:t>
            </w:r>
            <w:r>
              <w:rPr>
                <w:rFonts w:ascii="宋体" w:hAnsi="宋体" w:eastAsia="宋体" w:cs="宋体"/>
                <w:spacing w:val="7"/>
                <w:sz w:val="20"/>
                <w:szCs w:val="20"/>
                <w14:textOutline w14:w="3797" w14:cap="sq" w14:cmpd="sng" w14:algn="ctr">
                  <w14:solidFill>
                    <w14:srgbClr w14:val="000000"/>
                  </w14:solidFill>
                  <w14:prstDash w14:val="solid"/>
                  <w14:bevel/>
                </w14:textOutline>
              </w:rPr>
              <w:t>氧化碳</w:t>
            </w:r>
          </w:p>
        </w:tc>
      </w:tr>
      <w:tr w14:paraId="351B2B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673" w:type="dxa"/>
            <w:tcBorders>
              <w:left w:val="nil"/>
            </w:tcBorders>
          </w:tcPr>
          <w:p w14:paraId="0905087A">
            <w:pPr>
              <w:spacing w:before="30" w:line="227" w:lineRule="auto"/>
              <w:ind w:left="527"/>
              <w:rPr>
                <w:rFonts w:ascii="宋体" w:hAnsi="宋体" w:eastAsia="宋体" w:cs="宋体"/>
                <w:sz w:val="20"/>
                <w:szCs w:val="20"/>
              </w:rPr>
            </w:pPr>
            <w:r>
              <w:rPr>
                <w:rFonts w:ascii="宋体" w:hAnsi="宋体" w:eastAsia="宋体" w:cs="宋体"/>
                <w:spacing w:val="7"/>
                <w:sz w:val="20"/>
                <w:szCs w:val="20"/>
              </w:rPr>
              <w:t>年</w:t>
            </w:r>
            <w:r>
              <w:rPr>
                <w:rFonts w:ascii="宋体" w:hAnsi="宋体" w:eastAsia="宋体" w:cs="宋体"/>
                <w:spacing w:val="6"/>
                <w:sz w:val="20"/>
                <w:szCs w:val="20"/>
              </w:rPr>
              <w:t>均值</w:t>
            </w:r>
          </w:p>
        </w:tc>
        <w:tc>
          <w:tcPr>
            <w:tcW w:w="1226" w:type="dxa"/>
          </w:tcPr>
          <w:p w14:paraId="2122F52E">
            <w:pPr>
              <w:spacing w:before="65" w:line="195" w:lineRule="auto"/>
              <w:ind w:left="45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16</w:t>
            </w:r>
            <w:r>
              <w:rPr>
                <w:rFonts w:ascii="Times New Roman" w:hAnsi="Times New Roman" w:eastAsia="Times New Roman" w:cs="Times New Roman"/>
                <w:spacing w:val="-1"/>
                <w:sz w:val="20"/>
                <w:szCs w:val="20"/>
              </w:rPr>
              <w:t>.2</w:t>
            </w:r>
          </w:p>
        </w:tc>
        <w:tc>
          <w:tcPr>
            <w:tcW w:w="1279" w:type="dxa"/>
          </w:tcPr>
          <w:p w14:paraId="5524BCC7">
            <w:pPr>
              <w:spacing w:before="65" w:line="198" w:lineRule="auto"/>
              <w:ind w:left="45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2</w:t>
            </w:r>
            <w:r>
              <w:rPr>
                <w:rFonts w:ascii="Times New Roman" w:hAnsi="Times New Roman" w:eastAsia="Times New Roman" w:cs="Times New Roman"/>
                <w:spacing w:val="4"/>
                <w:sz w:val="20"/>
                <w:szCs w:val="20"/>
              </w:rPr>
              <w:t>4.6</w:t>
            </w:r>
          </w:p>
        </w:tc>
        <w:tc>
          <w:tcPr>
            <w:tcW w:w="1491" w:type="dxa"/>
          </w:tcPr>
          <w:p w14:paraId="7D6AFAAD">
            <w:pPr>
              <w:spacing w:before="65" w:line="195" w:lineRule="auto"/>
              <w:ind w:left="566"/>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8</w:t>
            </w:r>
            <w:r>
              <w:rPr>
                <w:rFonts w:ascii="Times New Roman" w:hAnsi="Times New Roman" w:eastAsia="Times New Roman" w:cs="Times New Roman"/>
                <w:b/>
                <w:bCs/>
                <w:spacing w:val="3"/>
                <w:sz w:val="20"/>
                <w:szCs w:val="20"/>
              </w:rPr>
              <w:t>3</w:t>
            </w:r>
            <w:r>
              <w:rPr>
                <w:rFonts w:ascii="Times New Roman" w:hAnsi="Times New Roman" w:eastAsia="Times New Roman" w:cs="Times New Roman"/>
                <w:b/>
                <w:bCs/>
                <w:spacing w:val="2"/>
                <w:sz w:val="20"/>
                <w:szCs w:val="20"/>
              </w:rPr>
              <w:t>.7</w:t>
            </w:r>
          </w:p>
        </w:tc>
        <w:tc>
          <w:tcPr>
            <w:tcW w:w="1367" w:type="dxa"/>
          </w:tcPr>
          <w:p w14:paraId="0C1FBDA1">
            <w:pPr>
              <w:spacing w:before="65" w:line="195" w:lineRule="auto"/>
              <w:ind w:left="506"/>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55.</w:t>
            </w:r>
            <w:r>
              <w:rPr>
                <w:rFonts w:ascii="Times New Roman" w:hAnsi="Times New Roman" w:eastAsia="Times New Roman" w:cs="Times New Roman"/>
                <w:b/>
                <w:bCs/>
                <w:spacing w:val="2"/>
                <w:sz w:val="20"/>
                <w:szCs w:val="20"/>
              </w:rPr>
              <w:t>3</w:t>
            </w:r>
          </w:p>
        </w:tc>
        <w:tc>
          <w:tcPr>
            <w:tcW w:w="978" w:type="dxa"/>
          </w:tcPr>
          <w:p w14:paraId="38BA89DA">
            <w:pPr>
              <w:spacing w:line="273" w:lineRule="exact"/>
              <w:ind w:left="45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283" w:type="dxa"/>
            <w:tcBorders>
              <w:right w:val="nil"/>
            </w:tcBorders>
          </w:tcPr>
          <w:p w14:paraId="67474B28">
            <w:pPr>
              <w:spacing w:line="273" w:lineRule="exact"/>
              <w:ind w:left="614"/>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084D1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73" w:type="dxa"/>
            <w:tcBorders>
              <w:left w:val="nil"/>
            </w:tcBorders>
          </w:tcPr>
          <w:p w14:paraId="6E4D874C">
            <w:pPr>
              <w:spacing w:before="32" w:line="226" w:lineRule="auto"/>
              <w:ind w:left="159"/>
              <w:rPr>
                <w:rFonts w:ascii="宋体" w:hAnsi="宋体" w:eastAsia="宋体" w:cs="宋体"/>
                <w:sz w:val="20"/>
                <w:szCs w:val="20"/>
              </w:rPr>
            </w:pPr>
            <w:r>
              <w:rPr>
                <w:rFonts w:ascii="宋体" w:hAnsi="宋体" w:eastAsia="宋体" w:cs="宋体"/>
                <w:spacing w:val="1"/>
                <w:sz w:val="20"/>
                <w:szCs w:val="20"/>
              </w:rPr>
              <w:t xml:space="preserve">第 </w:t>
            </w:r>
            <w:r>
              <w:rPr>
                <w:rFonts w:ascii="Times New Roman" w:hAnsi="Times New Roman" w:eastAsia="Times New Roman" w:cs="Times New Roman"/>
                <w:spacing w:val="1"/>
                <w:sz w:val="20"/>
                <w:szCs w:val="20"/>
              </w:rPr>
              <w:t xml:space="preserve">90 </w:t>
            </w:r>
            <w:r>
              <w:rPr>
                <w:rFonts w:ascii="宋体" w:hAnsi="宋体" w:eastAsia="宋体" w:cs="宋体"/>
                <w:sz w:val="20"/>
                <w:szCs w:val="20"/>
              </w:rPr>
              <w:t>百分位数</w:t>
            </w:r>
          </w:p>
        </w:tc>
        <w:tc>
          <w:tcPr>
            <w:tcW w:w="1226" w:type="dxa"/>
          </w:tcPr>
          <w:p w14:paraId="2F4C68D2">
            <w:pPr>
              <w:spacing w:line="275" w:lineRule="exact"/>
              <w:ind w:left="58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279" w:type="dxa"/>
          </w:tcPr>
          <w:p w14:paraId="215DFDA8">
            <w:pPr>
              <w:spacing w:line="275" w:lineRule="exact"/>
              <w:ind w:left="60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491" w:type="dxa"/>
          </w:tcPr>
          <w:p w14:paraId="2DD8E6CE">
            <w:pPr>
              <w:spacing w:line="275" w:lineRule="exact"/>
              <w:ind w:left="71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367" w:type="dxa"/>
          </w:tcPr>
          <w:p w14:paraId="751B3F54">
            <w:pPr>
              <w:spacing w:line="275" w:lineRule="exact"/>
              <w:ind w:left="652"/>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978" w:type="dxa"/>
          </w:tcPr>
          <w:p w14:paraId="31597932">
            <w:pPr>
              <w:spacing w:before="67" w:line="195" w:lineRule="auto"/>
              <w:ind w:left="27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w:t>
            </w:r>
            <w:r>
              <w:rPr>
                <w:rFonts w:ascii="Times New Roman" w:hAnsi="Times New Roman" w:eastAsia="Times New Roman" w:cs="Times New Roman"/>
                <w:sz w:val="20"/>
                <w:szCs w:val="20"/>
              </w:rPr>
              <w:t>29.4</w:t>
            </w:r>
          </w:p>
        </w:tc>
        <w:tc>
          <w:tcPr>
            <w:tcW w:w="1283" w:type="dxa"/>
            <w:tcBorders>
              <w:right w:val="nil"/>
            </w:tcBorders>
          </w:tcPr>
          <w:p w14:paraId="508B3A6C">
            <w:pPr>
              <w:spacing w:line="275" w:lineRule="exact"/>
              <w:ind w:left="614"/>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43B870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673" w:type="dxa"/>
            <w:tcBorders>
              <w:left w:val="nil"/>
            </w:tcBorders>
          </w:tcPr>
          <w:p w14:paraId="0F962AC7">
            <w:pPr>
              <w:spacing w:before="33" w:line="224" w:lineRule="auto"/>
              <w:ind w:left="159"/>
              <w:rPr>
                <w:rFonts w:ascii="宋体" w:hAnsi="宋体" w:eastAsia="宋体" w:cs="宋体"/>
                <w:sz w:val="20"/>
                <w:szCs w:val="20"/>
              </w:rPr>
            </w:pPr>
            <w:r>
              <w:rPr>
                <w:rFonts w:ascii="宋体" w:hAnsi="宋体" w:eastAsia="宋体" w:cs="宋体"/>
                <w:spacing w:val="1"/>
                <w:sz w:val="20"/>
                <w:szCs w:val="20"/>
              </w:rPr>
              <w:t xml:space="preserve">第 </w:t>
            </w:r>
            <w:r>
              <w:rPr>
                <w:rFonts w:ascii="Times New Roman" w:hAnsi="Times New Roman" w:eastAsia="Times New Roman" w:cs="Times New Roman"/>
                <w:spacing w:val="1"/>
                <w:sz w:val="20"/>
                <w:szCs w:val="20"/>
              </w:rPr>
              <w:t xml:space="preserve">95 </w:t>
            </w:r>
            <w:r>
              <w:rPr>
                <w:rFonts w:ascii="宋体" w:hAnsi="宋体" w:eastAsia="宋体" w:cs="宋体"/>
                <w:sz w:val="20"/>
                <w:szCs w:val="20"/>
              </w:rPr>
              <w:t>百分位数</w:t>
            </w:r>
          </w:p>
        </w:tc>
        <w:tc>
          <w:tcPr>
            <w:tcW w:w="1226" w:type="dxa"/>
          </w:tcPr>
          <w:p w14:paraId="0EF3D256">
            <w:pPr>
              <w:spacing w:line="275" w:lineRule="exact"/>
              <w:ind w:left="580"/>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279" w:type="dxa"/>
          </w:tcPr>
          <w:p w14:paraId="3AD8F001">
            <w:pPr>
              <w:spacing w:line="275" w:lineRule="exact"/>
              <w:ind w:left="607"/>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491" w:type="dxa"/>
          </w:tcPr>
          <w:p w14:paraId="2F7C2A22">
            <w:pPr>
              <w:spacing w:line="275" w:lineRule="exact"/>
              <w:ind w:left="715"/>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367" w:type="dxa"/>
          </w:tcPr>
          <w:p w14:paraId="4969370A">
            <w:pPr>
              <w:spacing w:line="275" w:lineRule="exact"/>
              <w:ind w:left="652"/>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978" w:type="dxa"/>
          </w:tcPr>
          <w:p w14:paraId="6471488E">
            <w:pPr>
              <w:spacing w:line="275" w:lineRule="exact"/>
              <w:ind w:left="459"/>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c>
          <w:tcPr>
            <w:tcW w:w="1283" w:type="dxa"/>
            <w:tcBorders>
              <w:right w:val="nil"/>
            </w:tcBorders>
          </w:tcPr>
          <w:p w14:paraId="68F96C31">
            <w:pPr>
              <w:spacing w:before="68" w:line="195" w:lineRule="auto"/>
              <w:ind w:left="53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1 4</w:t>
            </w:r>
          </w:p>
        </w:tc>
      </w:tr>
      <w:tr w14:paraId="5E87E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673" w:type="dxa"/>
            <w:tcBorders>
              <w:left w:val="nil"/>
            </w:tcBorders>
          </w:tcPr>
          <w:p w14:paraId="15B799BA">
            <w:pPr>
              <w:spacing w:before="32"/>
              <w:ind w:left="646" w:right="103" w:hanging="539"/>
              <w:rPr>
                <w:rFonts w:ascii="宋体" w:hAnsi="宋体" w:eastAsia="宋体" w:cs="宋体"/>
                <w:sz w:val="20"/>
                <w:szCs w:val="20"/>
              </w:rPr>
            </w:pPr>
            <w:r>
              <w:rPr>
                <w:rFonts w:ascii="宋体" w:hAnsi="宋体" w:eastAsia="宋体" w:cs="宋体"/>
                <w:spacing w:val="11"/>
                <w:sz w:val="20"/>
                <w:szCs w:val="20"/>
              </w:rPr>
              <w:t>年</w:t>
            </w:r>
            <w:r>
              <w:rPr>
                <w:rFonts w:ascii="宋体" w:hAnsi="宋体" w:eastAsia="宋体" w:cs="宋体"/>
                <w:spacing w:val="8"/>
                <w:sz w:val="20"/>
                <w:szCs w:val="20"/>
              </w:rPr>
              <w:t>平均二级浓度</w:t>
            </w:r>
            <w:r>
              <w:rPr>
                <w:rFonts w:ascii="宋体" w:hAnsi="宋体" w:eastAsia="宋体" w:cs="宋体"/>
                <w:sz w:val="20"/>
                <w:szCs w:val="20"/>
              </w:rPr>
              <w:t xml:space="preserve"> </w:t>
            </w:r>
            <w:r>
              <w:rPr>
                <w:rFonts w:ascii="宋体" w:hAnsi="宋体" w:eastAsia="宋体" w:cs="宋体"/>
                <w:spacing w:val="-3"/>
                <w:sz w:val="20"/>
                <w:szCs w:val="20"/>
              </w:rPr>
              <w:t>限</w:t>
            </w:r>
            <w:r>
              <w:rPr>
                <w:rFonts w:ascii="宋体" w:hAnsi="宋体" w:eastAsia="宋体" w:cs="宋体"/>
                <w:spacing w:val="-2"/>
                <w:sz w:val="20"/>
                <w:szCs w:val="20"/>
              </w:rPr>
              <w:t>值</w:t>
            </w:r>
          </w:p>
        </w:tc>
        <w:tc>
          <w:tcPr>
            <w:tcW w:w="1226" w:type="dxa"/>
          </w:tcPr>
          <w:p w14:paraId="3F9130D0">
            <w:pPr>
              <w:spacing w:before="205" w:line="195" w:lineRule="auto"/>
              <w:ind w:left="51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0</w:t>
            </w:r>
          </w:p>
        </w:tc>
        <w:tc>
          <w:tcPr>
            <w:tcW w:w="1279" w:type="dxa"/>
          </w:tcPr>
          <w:p w14:paraId="400A76E7">
            <w:pPr>
              <w:spacing w:before="205" w:line="195" w:lineRule="auto"/>
              <w:ind w:left="53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c>
          <w:tcPr>
            <w:tcW w:w="1491" w:type="dxa"/>
          </w:tcPr>
          <w:p w14:paraId="6C803F80">
            <w:pPr>
              <w:spacing w:before="205" w:line="195" w:lineRule="auto"/>
              <w:ind w:left="64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70</w:t>
            </w:r>
          </w:p>
        </w:tc>
        <w:tc>
          <w:tcPr>
            <w:tcW w:w="1367" w:type="dxa"/>
          </w:tcPr>
          <w:p w14:paraId="0F110B90">
            <w:pPr>
              <w:spacing w:before="205" w:line="195" w:lineRule="auto"/>
              <w:ind w:left="58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z w:val="20"/>
                <w:szCs w:val="20"/>
              </w:rPr>
              <w:t>5</w:t>
            </w:r>
          </w:p>
        </w:tc>
        <w:tc>
          <w:tcPr>
            <w:tcW w:w="978" w:type="dxa"/>
          </w:tcPr>
          <w:p w14:paraId="1BF542BF">
            <w:pPr>
              <w:spacing w:before="205" w:line="195" w:lineRule="auto"/>
              <w:ind w:left="3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160</w:t>
            </w:r>
          </w:p>
        </w:tc>
        <w:tc>
          <w:tcPr>
            <w:tcW w:w="1283" w:type="dxa"/>
            <w:tcBorders>
              <w:right w:val="nil"/>
            </w:tcBorders>
          </w:tcPr>
          <w:p w14:paraId="2B0E4C0A">
            <w:pPr>
              <w:spacing w:before="205" w:line="195" w:lineRule="auto"/>
              <w:ind w:left="59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r>
    </w:tbl>
    <w:p w14:paraId="1FAA8299">
      <w:pPr>
        <w:spacing w:before="32" w:line="228" w:lineRule="auto"/>
        <w:ind w:left="804"/>
        <w:rPr>
          <w:rFonts w:ascii="宋体" w:hAnsi="宋体" w:eastAsia="宋体" w:cs="宋体"/>
          <w:sz w:val="20"/>
          <w:szCs w:val="20"/>
        </w:rPr>
      </w:pPr>
      <w:r>
        <w:rPr>
          <w:rFonts w:ascii="宋体" w:hAnsi="宋体" w:eastAsia="宋体" w:cs="宋体"/>
          <w:spacing w:val="6"/>
          <w:sz w:val="20"/>
          <w:szCs w:val="20"/>
        </w:rPr>
        <w:t>注：年平均二级浓度限值为 (</w:t>
      </w:r>
      <w:r>
        <w:rPr>
          <w:rFonts w:ascii="Times New Roman" w:hAnsi="Times New Roman" w:eastAsia="Times New Roman" w:cs="Times New Roman"/>
          <w:sz w:val="20"/>
          <w:szCs w:val="20"/>
        </w:rPr>
        <w:t>GB</w:t>
      </w:r>
      <w:r>
        <w:rPr>
          <w:rFonts w:ascii="Times New Roman" w:hAnsi="Times New Roman" w:eastAsia="Times New Roman" w:cs="Times New Roman"/>
          <w:spacing w:val="6"/>
          <w:sz w:val="20"/>
          <w:szCs w:val="20"/>
        </w:rPr>
        <w:t xml:space="preserve"> 3095-2012</w:t>
      </w:r>
      <w:r>
        <w:rPr>
          <w:rFonts w:ascii="宋体" w:hAnsi="宋体" w:eastAsia="宋体" w:cs="宋体"/>
          <w:spacing w:val="6"/>
          <w:sz w:val="20"/>
          <w:szCs w:val="20"/>
        </w:rPr>
        <w:t>)  《环境空气质量标准》中的二级浓度限值</w:t>
      </w:r>
      <w:r>
        <w:rPr>
          <w:rFonts w:ascii="宋体" w:hAnsi="宋体" w:eastAsia="宋体" w:cs="宋体"/>
          <w:sz w:val="20"/>
          <w:szCs w:val="20"/>
        </w:rPr>
        <w:t>。</w:t>
      </w:r>
    </w:p>
    <w:p w14:paraId="6B60F1AF">
      <w:pPr>
        <w:spacing w:before="28" w:line="228" w:lineRule="auto"/>
        <w:ind w:left="817"/>
        <w:rPr>
          <w:rFonts w:ascii="宋体" w:hAnsi="宋体" w:eastAsia="宋体" w:cs="宋体"/>
          <w:sz w:val="23"/>
          <w:szCs w:val="23"/>
        </w:rPr>
      </w:pP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7"/>
          <w:sz w:val="23"/>
          <w:szCs w:val="23"/>
        </w:rPr>
        <w:t>2</w:t>
      </w:r>
      <w:r>
        <w:rPr>
          <w:rFonts w:ascii="宋体" w:hAnsi="宋体" w:eastAsia="宋体" w:cs="宋体"/>
          <w:spacing w:val="17"/>
          <w:sz w:val="23"/>
          <w:szCs w:val="23"/>
          <w14:textOutline w14:w="4356" w14:cap="sq" w14:cmpd="sng" w14:algn="ctr">
            <w14:solidFill>
              <w14:srgbClr w14:val="000000"/>
            </w14:solidFill>
            <w14:prstDash w14:val="solid"/>
            <w14:bevel/>
          </w14:textOutline>
        </w:rPr>
        <w:t>)</w:t>
      </w:r>
      <w:r>
        <w:rPr>
          <w:rFonts w:ascii="宋体" w:hAnsi="宋体" w:eastAsia="宋体" w:cs="宋体"/>
          <w:spacing w:val="17"/>
          <w:sz w:val="23"/>
          <w:szCs w:val="23"/>
        </w:rPr>
        <w:t xml:space="preserve"> </w:t>
      </w:r>
      <w:r>
        <w:rPr>
          <w:rFonts w:ascii="宋体" w:hAnsi="宋体" w:eastAsia="宋体" w:cs="宋体"/>
          <w:spacing w:val="17"/>
          <w:sz w:val="23"/>
          <w:szCs w:val="23"/>
          <w14:textOutline w14:w="4356" w14:cap="sq" w14:cmpd="sng" w14:algn="ctr">
            <w14:solidFill>
              <w14:srgbClr w14:val="000000"/>
            </w14:solidFill>
            <w14:prstDash w14:val="solid"/>
            <w14:bevel/>
          </w14:textOutline>
        </w:rPr>
        <w:t>环境空气质量级别</w:t>
      </w:r>
    </w:p>
    <w:p w14:paraId="0124B912">
      <w:pPr>
        <w:spacing w:before="138" w:line="323" w:lineRule="exact"/>
        <w:ind w:left="808"/>
        <w:rPr>
          <w:rFonts w:ascii="宋体" w:hAnsi="宋体" w:eastAsia="宋体" w:cs="宋体"/>
          <w:sz w:val="23"/>
          <w:szCs w:val="23"/>
        </w:rPr>
      </w:pPr>
      <w:r>
        <w:rPr>
          <w:rFonts w:ascii="宋体" w:hAnsi="宋体" w:eastAsia="宋体" w:cs="宋体"/>
          <w:spacing w:val="4"/>
          <w:position w:val="3"/>
          <w:sz w:val="23"/>
          <w:szCs w:val="23"/>
        </w:rPr>
        <w:t>依据《环境空气质量标准》  (</w:t>
      </w:r>
      <w:r>
        <w:rPr>
          <w:rFonts w:ascii="Times New Roman" w:hAnsi="Times New Roman" w:eastAsia="Times New Roman" w:cs="Times New Roman"/>
          <w:position w:val="3"/>
          <w:sz w:val="23"/>
          <w:szCs w:val="23"/>
        </w:rPr>
        <w:t>GB</w:t>
      </w:r>
      <w:r>
        <w:rPr>
          <w:rFonts w:ascii="Times New Roman" w:hAnsi="Times New Roman" w:eastAsia="Times New Roman" w:cs="Times New Roman"/>
          <w:spacing w:val="2"/>
          <w:position w:val="3"/>
          <w:sz w:val="23"/>
          <w:szCs w:val="23"/>
        </w:rPr>
        <w:t xml:space="preserve"> 3095-2012</w:t>
      </w:r>
      <w:r>
        <w:rPr>
          <w:rFonts w:ascii="宋体" w:hAnsi="宋体" w:eastAsia="宋体" w:cs="宋体"/>
          <w:spacing w:val="2"/>
          <w:position w:val="3"/>
          <w:sz w:val="23"/>
          <w:szCs w:val="23"/>
        </w:rPr>
        <w:t xml:space="preserve">) 对乐山市 </w:t>
      </w:r>
      <w:r>
        <w:rPr>
          <w:rFonts w:ascii="Times New Roman" w:hAnsi="Times New Roman" w:eastAsia="Times New Roman" w:cs="Times New Roman"/>
          <w:spacing w:val="2"/>
          <w:position w:val="3"/>
          <w:sz w:val="23"/>
          <w:szCs w:val="23"/>
        </w:rPr>
        <w:t xml:space="preserve">2017 </w:t>
      </w:r>
      <w:r>
        <w:rPr>
          <w:rFonts w:ascii="宋体" w:hAnsi="宋体" w:eastAsia="宋体" w:cs="宋体"/>
          <w:spacing w:val="2"/>
          <w:position w:val="3"/>
          <w:sz w:val="23"/>
          <w:szCs w:val="23"/>
        </w:rPr>
        <w:t>年二氧化硫</w:t>
      </w:r>
      <w:r>
        <w:rPr>
          <w:rFonts w:ascii="Times New Roman" w:hAnsi="Times New Roman" w:eastAsia="Times New Roman" w:cs="Times New Roman"/>
          <w:spacing w:val="2"/>
          <w:position w:val="3"/>
          <w:sz w:val="23"/>
          <w:szCs w:val="23"/>
        </w:rPr>
        <w:t>(</w:t>
      </w:r>
      <w:r>
        <w:rPr>
          <w:rFonts w:ascii="Times New Roman" w:hAnsi="Times New Roman" w:eastAsia="Times New Roman" w:cs="Times New Roman"/>
          <w:position w:val="3"/>
          <w:sz w:val="23"/>
          <w:szCs w:val="23"/>
        </w:rPr>
        <w:t>SO</w:t>
      </w:r>
      <w:r>
        <w:rPr>
          <w:rFonts w:ascii="Times New Roman" w:hAnsi="Times New Roman" w:eastAsia="Times New Roman" w:cs="Times New Roman"/>
          <w:spacing w:val="2"/>
          <w:position w:val="2"/>
          <w:sz w:val="15"/>
          <w:szCs w:val="15"/>
        </w:rPr>
        <w:t>2</w:t>
      </w:r>
      <w:r>
        <w:rPr>
          <w:rFonts w:ascii="Times New Roman" w:hAnsi="Times New Roman" w:eastAsia="Times New Roman" w:cs="Times New Roman"/>
          <w:spacing w:val="2"/>
          <w:position w:val="3"/>
          <w:sz w:val="23"/>
          <w:szCs w:val="23"/>
        </w:rPr>
        <w:t>)</w:t>
      </w:r>
      <w:r>
        <w:rPr>
          <w:rFonts w:ascii="宋体" w:hAnsi="宋体" w:eastAsia="宋体" w:cs="宋体"/>
          <w:spacing w:val="2"/>
          <w:position w:val="3"/>
          <w:sz w:val="23"/>
          <w:szCs w:val="23"/>
        </w:rPr>
        <w:t>、</w:t>
      </w:r>
    </w:p>
    <w:p w14:paraId="78DC89A1">
      <w:pPr>
        <w:spacing w:before="148" w:line="380" w:lineRule="auto"/>
        <w:ind w:left="320" w:right="236" w:firstLine="9"/>
        <w:rPr>
          <w:rFonts w:ascii="宋体" w:hAnsi="宋体" w:eastAsia="宋体" w:cs="宋体"/>
          <w:sz w:val="23"/>
          <w:szCs w:val="23"/>
        </w:rPr>
      </w:pPr>
      <w:r>
        <w:rPr>
          <w:rFonts w:ascii="宋体" w:hAnsi="宋体" w:eastAsia="宋体" w:cs="宋体"/>
          <w:spacing w:val="3"/>
          <w:sz w:val="23"/>
          <w:szCs w:val="23"/>
        </w:rPr>
        <w:t>二氧化氮</w:t>
      </w:r>
      <w:r>
        <w:rPr>
          <w:rFonts w:ascii="Times New Roman" w:hAnsi="Times New Roman" w:eastAsia="Times New Roman" w:cs="Times New Roman"/>
          <w:spacing w:val="3"/>
          <w:sz w:val="23"/>
          <w:szCs w:val="23"/>
        </w:rPr>
        <w:t>(</w:t>
      </w:r>
      <w:r>
        <w:rPr>
          <w:rFonts w:ascii="Times New Roman" w:hAnsi="Times New Roman" w:eastAsia="Times New Roman" w:cs="Times New Roman"/>
          <w:sz w:val="23"/>
          <w:szCs w:val="23"/>
        </w:rPr>
        <w:t>NO</w:t>
      </w:r>
      <w:r>
        <w:rPr>
          <w:rFonts w:ascii="Times New Roman" w:hAnsi="Times New Roman" w:eastAsia="Times New Roman" w:cs="Times New Roman"/>
          <w:spacing w:val="3"/>
          <w:position w:val="-1"/>
          <w:sz w:val="15"/>
          <w:szCs w:val="15"/>
        </w:rPr>
        <w:t>2</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、可吸入颗粒物</w:t>
      </w:r>
      <w:r>
        <w:rPr>
          <w:rFonts w:ascii="Times New Roman" w:hAnsi="Times New Roman" w:eastAsia="Times New Roman" w:cs="Times New Roman"/>
          <w:spacing w:val="3"/>
          <w:sz w:val="23"/>
          <w:szCs w:val="23"/>
        </w:rPr>
        <w:t>(</w:t>
      </w:r>
      <w:r>
        <w:rPr>
          <w:rFonts w:ascii="Times New Roman" w:hAnsi="Times New Roman" w:eastAsia="Times New Roman" w:cs="Times New Roman"/>
          <w:sz w:val="23"/>
          <w:szCs w:val="23"/>
        </w:rPr>
        <w:t>PM</w:t>
      </w:r>
      <w:r>
        <w:rPr>
          <w:rFonts w:ascii="Times New Roman" w:hAnsi="Times New Roman" w:eastAsia="Times New Roman" w:cs="Times New Roman"/>
          <w:spacing w:val="3"/>
          <w:position w:val="-1"/>
          <w:sz w:val="15"/>
          <w:szCs w:val="15"/>
        </w:rPr>
        <w:t xml:space="preserve">10) </w:t>
      </w:r>
      <w:r>
        <w:rPr>
          <w:rFonts w:ascii="宋体" w:hAnsi="宋体" w:eastAsia="宋体" w:cs="宋体"/>
          <w:spacing w:val="3"/>
          <w:sz w:val="23"/>
          <w:szCs w:val="23"/>
        </w:rPr>
        <w:t>、细颗粒物</w:t>
      </w:r>
      <w:r>
        <w:rPr>
          <w:rFonts w:ascii="Times New Roman" w:hAnsi="Times New Roman" w:eastAsia="Times New Roman" w:cs="Times New Roman"/>
          <w:spacing w:val="3"/>
          <w:sz w:val="23"/>
          <w:szCs w:val="23"/>
        </w:rPr>
        <w:t>(</w:t>
      </w:r>
      <w:r>
        <w:rPr>
          <w:rFonts w:ascii="Times New Roman" w:hAnsi="Times New Roman" w:eastAsia="Times New Roman" w:cs="Times New Roman"/>
          <w:sz w:val="23"/>
          <w:szCs w:val="23"/>
        </w:rPr>
        <w:t>PM</w:t>
      </w:r>
      <w:r>
        <w:rPr>
          <w:rFonts w:ascii="Times New Roman" w:hAnsi="Times New Roman" w:eastAsia="Times New Roman" w:cs="Times New Roman"/>
          <w:spacing w:val="3"/>
          <w:position w:val="-1"/>
          <w:sz w:val="15"/>
          <w:szCs w:val="15"/>
        </w:rPr>
        <w:t>2.5</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、一氧化碳</w:t>
      </w:r>
      <w:r>
        <w:rPr>
          <w:rFonts w:ascii="Times New Roman" w:hAnsi="Times New Roman" w:eastAsia="Times New Roman" w:cs="Times New Roman"/>
          <w:spacing w:val="3"/>
          <w:sz w:val="23"/>
          <w:szCs w:val="23"/>
        </w:rPr>
        <w:t>(</w:t>
      </w:r>
      <w:r>
        <w:rPr>
          <w:rFonts w:ascii="Times New Roman" w:hAnsi="Times New Roman" w:eastAsia="Times New Roman" w:cs="Times New Roman"/>
          <w:sz w:val="23"/>
          <w:szCs w:val="23"/>
        </w:rPr>
        <w:t>CO</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、臭氧</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O</w:t>
      </w:r>
      <w:r>
        <w:rPr>
          <w:rFonts w:ascii="Times New Roman" w:hAnsi="Times New Roman" w:eastAsia="Times New Roman" w:cs="Times New Roman"/>
          <w:position w:val="-1"/>
          <w:sz w:val="15"/>
          <w:szCs w:val="15"/>
        </w:rPr>
        <w:t>3</w:t>
      </w:r>
      <w:r>
        <w:rPr>
          <w:rFonts w:ascii="Times New Roman" w:hAnsi="Times New Roman" w:eastAsia="Times New Roman" w:cs="Times New Roman"/>
          <w:sz w:val="23"/>
          <w:szCs w:val="23"/>
        </w:rPr>
        <w:t xml:space="preserve">)   </w:t>
      </w:r>
      <w:r>
        <w:rPr>
          <w:rFonts w:ascii="宋体" w:hAnsi="宋体" w:eastAsia="宋体" w:cs="宋体"/>
          <w:spacing w:val="4"/>
          <w:sz w:val="23"/>
          <w:szCs w:val="23"/>
        </w:rPr>
        <w:t>六项污染物进行评价，六项污染物全部达标即为城市环境空气质量达标。</w:t>
      </w:r>
      <w:r>
        <w:rPr>
          <w:rFonts w:ascii="Times New Roman" w:hAnsi="Times New Roman" w:eastAsia="Times New Roman" w:cs="Times New Roman"/>
          <w:sz w:val="23"/>
          <w:szCs w:val="23"/>
        </w:rPr>
        <w:t>SO</w:t>
      </w:r>
      <w:r>
        <w:rPr>
          <w:rFonts w:ascii="Times New Roman" w:hAnsi="Times New Roman" w:eastAsia="Times New Roman" w:cs="Times New Roman"/>
          <w:spacing w:val="4"/>
          <w:position w:val="-1"/>
          <w:sz w:val="15"/>
          <w:szCs w:val="15"/>
        </w:rPr>
        <w:t>2</w:t>
      </w:r>
      <w:r>
        <w:rPr>
          <w:rFonts w:ascii="宋体" w:hAnsi="宋体" w:eastAsia="宋体" w:cs="宋体"/>
          <w:spacing w:val="4"/>
          <w:sz w:val="23"/>
          <w:szCs w:val="23"/>
        </w:rPr>
        <w:t>、</w:t>
      </w:r>
      <w:r>
        <w:rPr>
          <w:rFonts w:ascii="Times New Roman" w:hAnsi="Times New Roman" w:eastAsia="Times New Roman" w:cs="Times New Roman"/>
          <w:sz w:val="23"/>
          <w:szCs w:val="23"/>
        </w:rPr>
        <w:t>NO</w:t>
      </w:r>
      <w:r>
        <w:rPr>
          <w:rFonts w:ascii="Times New Roman" w:hAnsi="Times New Roman" w:eastAsia="Times New Roman" w:cs="Times New Roman"/>
          <w:spacing w:val="4"/>
          <w:position w:val="-1"/>
          <w:sz w:val="15"/>
          <w:szCs w:val="15"/>
        </w:rPr>
        <w:t>2</w:t>
      </w:r>
      <w:r>
        <w:rPr>
          <w:rFonts w:ascii="宋体" w:hAnsi="宋体" w:eastAsia="宋体" w:cs="宋体"/>
          <w:spacing w:val="3"/>
          <w:sz w:val="23"/>
          <w:szCs w:val="23"/>
        </w:rPr>
        <w:t>、</w:t>
      </w:r>
      <w:r>
        <w:rPr>
          <w:rFonts w:ascii="宋体" w:hAnsi="宋体" w:eastAsia="宋体" w:cs="宋体"/>
          <w:sz w:val="23"/>
          <w:szCs w:val="23"/>
        </w:rPr>
        <w:t xml:space="preserve"> </w:t>
      </w:r>
      <w:r>
        <w:rPr>
          <w:rFonts w:ascii="Times New Roman" w:hAnsi="Times New Roman" w:eastAsia="Times New Roman" w:cs="Times New Roman"/>
          <w:sz w:val="23"/>
          <w:szCs w:val="23"/>
        </w:rPr>
        <w:t>PM</w:t>
      </w:r>
      <w:r>
        <w:rPr>
          <w:rFonts w:ascii="Times New Roman" w:hAnsi="Times New Roman" w:eastAsia="Times New Roman" w:cs="Times New Roman"/>
          <w:spacing w:val="5"/>
          <w:position w:val="-1"/>
          <w:sz w:val="15"/>
          <w:szCs w:val="15"/>
        </w:rPr>
        <w:t xml:space="preserve">10 </w:t>
      </w:r>
      <w:r>
        <w:rPr>
          <w:rFonts w:ascii="宋体" w:hAnsi="宋体" w:eastAsia="宋体" w:cs="宋体"/>
          <w:spacing w:val="5"/>
          <w:sz w:val="23"/>
          <w:szCs w:val="23"/>
        </w:rPr>
        <w:t xml:space="preserve">和 </w:t>
      </w:r>
      <w:r>
        <w:rPr>
          <w:rFonts w:ascii="Times New Roman" w:hAnsi="Times New Roman" w:eastAsia="Times New Roman" w:cs="Times New Roman"/>
          <w:sz w:val="23"/>
          <w:szCs w:val="23"/>
        </w:rPr>
        <w:t>PM</w:t>
      </w:r>
      <w:r>
        <w:rPr>
          <w:rFonts w:ascii="Times New Roman" w:hAnsi="Times New Roman" w:eastAsia="Times New Roman" w:cs="Times New Roman"/>
          <w:spacing w:val="5"/>
          <w:position w:val="-1"/>
          <w:sz w:val="15"/>
          <w:szCs w:val="15"/>
        </w:rPr>
        <w:t xml:space="preserve">2.5 </w:t>
      </w:r>
      <w:r>
        <w:rPr>
          <w:rFonts w:ascii="宋体" w:hAnsi="宋体" w:eastAsia="宋体" w:cs="宋体"/>
          <w:spacing w:val="5"/>
          <w:sz w:val="23"/>
          <w:szCs w:val="23"/>
        </w:rPr>
        <w:t>年度达标情况由该项污染物年平均浓度对照年平均标准确定，</w:t>
      </w:r>
      <w:r>
        <w:rPr>
          <w:rFonts w:ascii="Times New Roman" w:hAnsi="Times New Roman" w:eastAsia="Times New Roman" w:cs="Times New Roman"/>
          <w:sz w:val="23"/>
          <w:szCs w:val="23"/>
        </w:rPr>
        <w:t>CO</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年</w:t>
      </w:r>
      <w:r>
        <w:rPr>
          <w:rFonts w:ascii="宋体" w:hAnsi="宋体" w:eastAsia="宋体" w:cs="宋体"/>
          <w:spacing w:val="2"/>
          <w:sz w:val="23"/>
          <w:szCs w:val="23"/>
        </w:rPr>
        <w:t>度</w:t>
      </w:r>
      <w:r>
        <w:rPr>
          <w:rFonts w:ascii="宋体" w:hAnsi="宋体" w:eastAsia="宋体" w:cs="宋体"/>
          <w:sz w:val="23"/>
          <w:szCs w:val="23"/>
        </w:rPr>
        <w:t xml:space="preserve"> </w:t>
      </w:r>
      <w:r>
        <w:rPr>
          <w:rFonts w:ascii="宋体" w:hAnsi="宋体" w:eastAsia="宋体" w:cs="宋体"/>
          <w:spacing w:val="8"/>
          <w:sz w:val="23"/>
          <w:szCs w:val="23"/>
        </w:rPr>
        <w:t>达标情</w:t>
      </w:r>
      <w:r>
        <w:rPr>
          <w:rFonts w:ascii="宋体" w:hAnsi="宋体" w:eastAsia="宋体" w:cs="宋体"/>
          <w:spacing w:val="5"/>
          <w:sz w:val="23"/>
          <w:szCs w:val="23"/>
        </w:rPr>
        <w:t>况</w:t>
      </w:r>
      <w:r>
        <w:rPr>
          <w:rFonts w:ascii="宋体" w:hAnsi="宋体" w:eastAsia="宋体" w:cs="宋体"/>
          <w:spacing w:val="4"/>
          <w:sz w:val="23"/>
          <w:szCs w:val="23"/>
        </w:rPr>
        <w:t xml:space="preserve">由 </w:t>
      </w:r>
      <w:r>
        <w:rPr>
          <w:rFonts w:ascii="Times New Roman" w:hAnsi="Times New Roman" w:eastAsia="Times New Roman" w:cs="Times New Roman"/>
          <w:sz w:val="23"/>
          <w:szCs w:val="23"/>
        </w:rPr>
        <w:t>CO</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 xml:space="preserve">日均值第 </w:t>
      </w:r>
      <w:r>
        <w:rPr>
          <w:rFonts w:ascii="Times New Roman" w:hAnsi="Times New Roman" w:eastAsia="Times New Roman" w:cs="Times New Roman"/>
          <w:spacing w:val="4"/>
          <w:sz w:val="23"/>
          <w:szCs w:val="23"/>
        </w:rPr>
        <w:t xml:space="preserve">95 </w:t>
      </w:r>
      <w:r>
        <w:rPr>
          <w:rFonts w:ascii="宋体" w:hAnsi="宋体" w:eastAsia="宋体" w:cs="宋体"/>
          <w:spacing w:val="4"/>
          <w:sz w:val="23"/>
          <w:szCs w:val="23"/>
        </w:rPr>
        <w:t xml:space="preserve">百分位数浓度对照 </w:t>
      </w:r>
      <w:r>
        <w:rPr>
          <w:rFonts w:ascii="Times New Roman" w:hAnsi="Times New Roman" w:eastAsia="Times New Roman" w:cs="Times New Roman"/>
          <w:spacing w:val="4"/>
          <w:sz w:val="23"/>
          <w:szCs w:val="23"/>
        </w:rPr>
        <w:t xml:space="preserve">24 </w:t>
      </w:r>
      <w:r>
        <w:rPr>
          <w:rFonts w:ascii="宋体" w:hAnsi="宋体" w:eastAsia="宋体" w:cs="宋体"/>
          <w:spacing w:val="4"/>
          <w:sz w:val="23"/>
          <w:szCs w:val="23"/>
        </w:rPr>
        <w:t>小时平均标准确定，</w:t>
      </w:r>
      <w:r>
        <w:rPr>
          <w:rFonts w:ascii="Times New Roman" w:hAnsi="Times New Roman" w:eastAsia="Times New Roman" w:cs="Times New Roman"/>
          <w:sz w:val="23"/>
          <w:szCs w:val="23"/>
        </w:rPr>
        <w:t>O</w:t>
      </w:r>
      <w:r>
        <w:rPr>
          <w:rFonts w:ascii="Times New Roman" w:hAnsi="Times New Roman" w:eastAsia="Times New Roman" w:cs="Times New Roman"/>
          <w:spacing w:val="4"/>
          <w:position w:val="-1"/>
          <w:sz w:val="15"/>
          <w:szCs w:val="15"/>
        </w:rPr>
        <w:t xml:space="preserve">3 </w:t>
      </w:r>
      <w:r>
        <w:rPr>
          <w:rFonts w:ascii="宋体" w:hAnsi="宋体" w:eastAsia="宋体" w:cs="宋体"/>
          <w:spacing w:val="4"/>
          <w:sz w:val="23"/>
          <w:szCs w:val="23"/>
        </w:rPr>
        <w:t>年度达标</w:t>
      </w:r>
      <w:r>
        <w:rPr>
          <w:rFonts w:ascii="宋体" w:hAnsi="宋体" w:eastAsia="宋体" w:cs="宋体"/>
          <w:sz w:val="23"/>
          <w:szCs w:val="23"/>
        </w:rPr>
        <w:t xml:space="preserve"> </w:t>
      </w:r>
      <w:r>
        <w:rPr>
          <w:rFonts w:ascii="宋体" w:hAnsi="宋体" w:eastAsia="宋体" w:cs="宋体"/>
          <w:spacing w:val="2"/>
          <w:sz w:val="23"/>
          <w:szCs w:val="23"/>
        </w:rPr>
        <w:t xml:space="preserve">情况由 </w:t>
      </w:r>
      <w:r>
        <w:rPr>
          <w:rFonts w:ascii="Times New Roman" w:hAnsi="Times New Roman" w:eastAsia="Times New Roman" w:cs="Times New Roman"/>
          <w:sz w:val="23"/>
          <w:szCs w:val="23"/>
        </w:rPr>
        <w:t>O</w:t>
      </w:r>
      <w:r>
        <w:rPr>
          <w:rFonts w:ascii="Times New Roman" w:hAnsi="Times New Roman" w:eastAsia="Times New Roman" w:cs="Times New Roman"/>
          <w:spacing w:val="2"/>
          <w:position w:val="-1"/>
          <w:sz w:val="15"/>
          <w:szCs w:val="15"/>
        </w:rPr>
        <w:t xml:space="preserve">3  </w:t>
      </w:r>
      <w:r>
        <w:rPr>
          <w:rFonts w:ascii="宋体" w:hAnsi="宋体" w:eastAsia="宋体" w:cs="宋体"/>
          <w:spacing w:val="2"/>
          <w:sz w:val="23"/>
          <w:szCs w:val="23"/>
        </w:rPr>
        <w:t xml:space="preserve">日最大 </w:t>
      </w:r>
      <w:r>
        <w:rPr>
          <w:rFonts w:ascii="Times New Roman" w:hAnsi="Times New Roman" w:eastAsia="Times New Roman" w:cs="Times New Roman"/>
          <w:spacing w:val="2"/>
          <w:sz w:val="23"/>
          <w:szCs w:val="23"/>
        </w:rPr>
        <w:t xml:space="preserve">8 </w:t>
      </w:r>
      <w:r>
        <w:rPr>
          <w:rFonts w:ascii="宋体" w:hAnsi="宋体" w:eastAsia="宋体" w:cs="宋体"/>
          <w:spacing w:val="2"/>
          <w:sz w:val="23"/>
          <w:szCs w:val="23"/>
        </w:rPr>
        <w:t xml:space="preserve">小时平均第 </w:t>
      </w:r>
      <w:r>
        <w:rPr>
          <w:rFonts w:ascii="Times New Roman" w:hAnsi="Times New Roman" w:eastAsia="Times New Roman" w:cs="Times New Roman"/>
          <w:spacing w:val="2"/>
          <w:sz w:val="23"/>
          <w:szCs w:val="23"/>
        </w:rPr>
        <w:t xml:space="preserve">90 </w:t>
      </w:r>
      <w:r>
        <w:rPr>
          <w:rFonts w:ascii="宋体" w:hAnsi="宋体" w:eastAsia="宋体" w:cs="宋体"/>
          <w:spacing w:val="2"/>
          <w:sz w:val="23"/>
          <w:szCs w:val="23"/>
        </w:rPr>
        <w:t xml:space="preserve">百分位数浓度对照 </w:t>
      </w:r>
      <w:r>
        <w:rPr>
          <w:rFonts w:ascii="Times New Roman" w:hAnsi="Times New Roman" w:eastAsia="Times New Roman" w:cs="Times New Roman"/>
          <w:spacing w:val="2"/>
          <w:sz w:val="23"/>
          <w:szCs w:val="23"/>
        </w:rPr>
        <w:t xml:space="preserve">8 </w:t>
      </w:r>
      <w:r>
        <w:rPr>
          <w:rFonts w:ascii="宋体" w:hAnsi="宋体" w:eastAsia="宋体" w:cs="宋体"/>
          <w:spacing w:val="2"/>
          <w:sz w:val="23"/>
          <w:szCs w:val="23"/>
        </w:rPr>
        <w:t>小时平均标准确定。</w:t>
      </w:r>
      <w:r>
        <w:rPr>
          <w:rFonts w:ascii="宋体" w:hAnsi="宋体" w:eastAsia="宋体" w:cs="宋体"/>
          <w:spacing w:val="1"/>
          <w:sz w:val="23"/>
          <w:szCs w:val="23"/>
        </w:rPr>
        <w:t>达</w:t>
      </w:r>
      <w:r>
        <w:rPr>
          <w:rFonts w:ascii="宋体" w:hAnsi="宋体" w:eastAsia="宋体" w:cs="宋体"/>
          <w:sz w:val="23"/>
          <w:szCs w:val="23"/>
        </w:rPr>
        <w:t xml:space="preserve">到或 </w:t>
      </w:r>
      <w:r>
        <w:rPr>
          <w:rFonts w:ascii="宋体" w:hAnsi="宋体" w:eastAsia="宋体" w:cs="宋体"/>
          <w:spacing w:val="18"/>
          <w:sz w:val="23"/>
          <w:szCs w:val="23"/>
        </w:rPr>
        <w:t>好</w:t>
      </w:r>
      <w:r>
        <w:rPr>
          <w:rFonts w:ascii="宋体" w:hAnsi="宋体" w:eastAsia="宋体" w:cs="宋体"/>
          <w:spacing w:val="13"/>
          <w:sz w:val="23"/>
          <w:szCs w:val="23"/>
        </w:rPr>
        <w:t>于</w:t>
      </w:r>
      <w:r>
        <w:rPr>
          <w:rFonts w:ascii="宋体" w:hAnsi="宋体" w:eastAsia="宋体" w:cs="宋体"/>
          <w:spacing w:val="9"/>
          <w:sz w:val="23"/>
          <w:szCs w:val="23"/>
        </w:rPr>
        <w:t>国家环境空气质量二级标准为达标，超过二级标准为超标。</w:t>
      </w:r>
    </w:p>
    <w:p w14:paraId="3F98D821">
      <w:pPr>
        <w:spacing w:line="375" w:lineRule="auto"/>
        <w:ind w:left="321" w:right="255" w:firstLine="480"/>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 xml:space="preserve">2017 </w:t>
      </w:r>
      <w:r>
        <w:rPr>
          <w:rFonts w:ascii="宋体" w:hAnsi="宋体" w:eastAsia="宋体" w:cs="宋体"/>
          <w:spacing w:val="-2"/>
          <w:sz w:val="23"/>
          <w:szCs w:val="23"/>
        </w:rPr>
        <w:t xml:space="preserve">年度乐山市的城市环境空气质量评价结果见表 </w:t>
      </w:r>
      <w:r>
        <w:rPr>
          <w:rFonts w:ascii="Times New Roman" w:hAnsi="Times New Roman" w:eastAsia="Times New Roman" w:cs="Times New Roman"/>
          <w:spacing w:val="-2"/>
          <w:sz w:val="23"/>
          <w:szCs w:val="23"/>
        </w:rPr>
        <w:t>4.2-</w:t>
      </w:r>
      <w:r>
        <w:rPr>
          <w:rFonts w:ascii="Times New Roman" w:hAnsi="Times New Roman" w:eastAsia="Times New Roman" w:cs="Times New Roman"/>
          <w:spacing w:val="-1"/>
          <w:sz w:val="23"/>
          <w:szCs w:val="23"/>
        </w:rPr>
        <w:t xml:space="preserve"> 1</w:t>
      </w:r>
      <w:r>
        <w:rPr>
          <w:rFonts w:ascii="宋体" w:hAnsi="宋体" w:eastAsia="宋体" w:cs="宋体"/>
          <w:spacing w:val="-1"/>
          <w:sz w:val="23"/>
          <w:szCs w:val="23"/>
        </w:rPr>
        <w:t xml:space="preserve">。从表 </w:t>
      </w:r>
      <w:r>
        <w:rPr>
          <w:rFonts w:ascii="Times New Roman" w:hAnsi="Times New Roman" w:eastAsia="Times New Roman" w:cs="Times New Roman"/>
          <w:spacing w:val="-1"/>
          <w:sz w:val="23"/>
          <w:szCs w:val="23"/>
        </w:rPr>
        <w:t xml:space="preserve">4.2- 1 </w:t>
      </w:r>
      <w:r>
        <w:rPr>
          <w:rFonts w:ascii="宋体" w:hAnsi="宋体" w:eastAsia="宋体" w:cs="宋体"/>
          <w:spacing w:val="-1"/>
          <w:sz w:val="23"/>
          <w:szCs w:val="23"/>
        </w:rPr>
        <w:t>中可看出：</w:t>
      </w:r>
      <w:r>
        <w:rPr>
          <w:rFonts w:ascii="宋体" w:hAnsi="宋体" w:eastAsia="宋体" w:cs="宋体"/>
          <w:sz w:val="23"/>
          <w:szCs w:val="23"/>
        </w:rPr>
        <w:t xml:space="preserve"> </w:t>
      </w:r>
      <w:r>
        <w:rPr>
          <w:rFonts w:ascii="Times New Roman" w:hAnsi="Times New Roman" w:eastAsia="Times New Roman" w:cs="Times New Roman"/>
          <w:spacing w:val="8"/>
          <w:sz w:val="23"/>
          <w:szCs w:val="23"/>
        </w:rPr>
        <w:t xml:space="preserve">2017 </w:t>
      </w:r>
      <w:r>
        <w:rPr>
          <w:rFonts w:ascii="宋体" w:hAnsi="宋体" w:eastAsia="宋体" w:cs="宋体"/>
          <w:spacing w:val="8"/>
          <w:sz w:val="23"/>
          <w:szCs w:val="23"/>
        </w:rPr>
        <w:t>年度</w:t>
      </w:r>
      <w:r>
        <w:rPr>
          <w:rFonts w:ascii="宋体" w:hAnsi="宋体" w:eastAsia="宋体" w:cs="宋体"/>
          <w:spacing w:val="7"/>
          <w:sz w:val="23"/>
          <w:szCs w:val="23"/>
        </w:rPr>
        <w:t>乐</w:t>
      </w:r>
      <w:r>
        <w:rPr>
          <w:rFonts w:ascii="宋体" w:hAnsi="宋体" w:eastAsia="宋体" w:cs="宋体"/>
          <w:spacing w:val="4"/>
          <w:sz w:val="23"/>
          <w:szCs w:val="23"/>
        </w:rPr>
        <w:t>山市的空气质量未达到国家《环境空气质量标准》  (</w:t>
      </w:r>
      <w:r>
        <w:rPr>
          <w:rFonts w:ascii="Times New Roman" w:hAnsi="Times New Roman" w:eastAsia="Times New Roman" w:cs="Times New Roman"/>
          <w:sz w:val="23"/>
          <w:szCs w:val="23"/>
        </w:rPr>
        <w:t>GB</w:t>
      </w:r>
      <w:r>
        <w:rPr>
          <w:rFonts w:ascii="Times New Roman" w:hAnsi="Times New Roman" w:eastAsia="Times New Roman" w:cs="Times New Roman"/>
          <w:spacing w:val="4"/>
          <w:sz w:val="23"/>
          <w:szCs w:val="23"/>
        </w:rPr>
        <w:t xml:space="preserve"> 3095-2012</w:t>
      </w:r>
      <w:r>
        <w:rPr>
          <w:rFonts w:ascii="宋体" w:hAnsi="宋体" w:eastAsia="宋体" w:cs="宋体"/>
          <w:spacing w:val="4"/>
          <w:sz w:val="23"/>
          <w:szCs w:val="23"/>
        </w:rPr>
        <w:t>) 中</w:t>
      </w:r>
      <w:r>
        <w:rPr>
          <w:rFonts w:ascii="宋体" w:hAnsi="宋体" w:eastAsia="宋体" w:cs="宋体"/>
          <w:sz w:val="23"/>
          <w:szCs w:val="23"/>
        </w:rPr>
        <w:t xml:space="preserve"> </w:t>
      </w:r>
      <w:r>
        <w:rPr>
          <w:rFonts w:ascii="宋体" w:hAnsi="宋体" w:eastAsia="宋体" w:cs="宋体"/>
          <w:spacing w:val="10"/>
          <w:sz w:val="23"/>
          <w:szCs w:val="23"/>
        </w:rPr>
        <w:t>的</w:t>
      </w:r>
      <w:r>
        <w:rPr>
          <w:rFonts w:ascii="宋体" w:hAnsi="宋体" w:eastAsia="宋体" w:cs="宋体"/>
          <w:spacing w:val="7"/>
          <w:sz w:val="23"/>
          <w:szCs w:val="23"/>
        </w:rPr>
        <w:t xml:space="preserve">二级标准，超标项目为可吸入颗粒物和细颗粒物，超标倍数分别为 </w:t>
      </w:r>
      <w:r>
        <w:rPr>
          <w:rFonts w:ascii="Times New Roman" w:hAnsi="Times New Roman" w:eastAsia="Times New Roman" w:cs="Times New Roman"/>
          <w:spacing w:val="7"/>
          <w:sz w:val="23"/>
          <w:szCs w:val="23"/>
        </w:rPr>
        <w:t xml:space="preserve">0.20 </w:t>
      </w:r>
      <w:r>
        <w:rPr>
          <w:rFonts w:ascii="宋体" w:hAnsi="宋体" w:eastAsia="宋体" w:cs="宋体"/>
          <w:spacing w:val="7"/>
          <w:sz w:val="23"/>
          <w:szCs w:val="23"/>
        </w:rPr>
        <w:t>倍、</w:t>
      </w:r>
      <w:r>
        <w:rPr>
          <w:rFonts w:ascii="Times New Roman" w:hAnsi="Times New Roman" w:eastAsia="Times New Roman" w:cs="Times New Roman"/>
          <w:spacing w:val="7"/>
          <w:sz w:val="23"/>
          <w:szCs w:val="23"/>
        </w:rPr>
        <w:t>0.58</w:t>
      </w:r>
    </w:p>
    <w:p w14:paraId="65A84BEB">
      <w:pPr>
        <w:spacing w:line="228" w:lineRule="auto"/>
        <w:ind w:left="326"/>
        <w:rPr>
          <w:rFonts w:ascii="宋体" w:hAnsi="宋体" w:eastAsia="宋体" w:cs="宋体"/>
          <w:sz w:val="23"/>
          <w:szCs w:val="23"/>
        </w:rPr>
      </w:pPr>
      <w:r>
        <w:rPr>
          <w:rFonts w:ascii="宋体" w:hAnsi="宋体" w:eastAsia="宋体" w:cs="宋体"/>
          <w:sz w:val="23"/>
          <w:szCs w:val="23"/>
        </w:rPr>
        <w:t>倍。</w:t>
      </w:r>
    </w:p>
    <w:p w14:paraId="04755FB9">
      <w:pPr>
        <w:spacing w:before="136" w:line="375" w:lineRule="auto"/>
        <w:ind w:left="326" w:right="302" w:firstLine="483"/>
        <w:rPr>
          <w:rFonts w:ascii="宋体" w:hAnsi="宋体" w:eastAsia="宋体" w:cs="宋体"/>
          <w:sz w:val="23"/>
          <w:szCs w:val="23"/>
        </w:rPr>
      </w:pPr>
      <w:r>
        <w:rPr>
          <w:rFonts w:ascii="宋体" w:hAnsi="宋体" w:eastAsia="宋体" w:cs="宋体"/>
          <w:spacing w:val="4"/>
          <w:sz w:val="23"/>
          <w:szCs w:val="23"/>
        </w:rPr>
        <w:t>项</w:t>
      </w:r>
      <w:r>
        <w:rPr>
          <w:rFonts w:ascii="宋体" w:hAnsi="宋体" w:eastAsia="宋体" w:cs="宋体"/>
          <w:spacing w:val="3"/>
          <w:sz w:val="23"/>
          <w:szCs w:val="23"/>
        </w:rPr>
        <w:t>目</w:t>
      </w:r>
      <w:r>
        <w:rPr>
          <w:rFonts w:ascii="宋体" w:hAnsi="宋体" w:eastAsia="宋体" w:cs="宋体"/>
          <w:spacing w:val="2"/>
          <w:sz w:val="23"/>
          <w:szCs w:val="23"/>
        </w:rPr>
        <w:t>所在区域二氧化硫</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SO</w:t>
      </w:r>
      <w:r>
        <w:rPr>
          <w:rFonts w:ascii="Times New Roman" w:hAnsi="Times New Roman" w:eastAsia="Times New Roman" w:cs="Times New Roman"/>
          <w:spacing w:val="2"/>
          <w:position w:val="-1"/>
          <w:sz w:val="15"/>
          <w:szCs w:val="15"/>
        </w:rPr>
        <w:t>2</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、二氧化氮</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NO</w:t>
      </w:r>
      <w:r>
        <w:rPr>
          <w:rFonts w:ascii="Times New Roman" w:hAnsi="Times New Roman" w:eastAsia="Times New Roman" w:cs="Times New Roman"/>
          <w:spacing w:val="2"/>
          <w:position w:val="-1"/>
          <w:sz w:val="15"/>
          <w:szCs w:val="15"/>
        </w:rPr>
        <w:t>2</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、一氧化碳</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CO</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、臭氧</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O</w:t>
      </w:r>
      <w:r>
        <w:rPr>
          <w:rFonts w:ascii="Times New Roman" w:hAnsi="Times New Roman" w:eastAsia="Times New Roman" w:cs="Times New Roman"/>
          <w:spacing w:val="2"/>
          <w:position w:val="-1"/>
          <w:sz w:val="15"/>
          <w:szCs w:val="15"/>
        </w:rPr>
        <w:t>3</w:t>
      </w:r>
      <w:r>
        <w:rPr>
          <w:rFonts w:ascii="Times New Roman" w:hAnsi="Times New Roman" w:eastAsia="Times New Roman" w:cs="Times New Roman"/>
          <w:spacing w:val="2"/>
          <w:sz w:val="23"/>
          <w:szCs w:val="23"/>
        </w:rPr>
        <w:t>)</w:t>
      </w:r>
      <w:r>
        <w:rPr>
          <w:rFonts w:ascii="宋体" w:hAnsi="宋体" w:eastAsia="宋体" w:cs="宋体"/>
          <w:spacing w:val="2"/>
          <w:sz w:val="23"/>
          <w:szCs w:val="23"/>
        </w:rPr>
        <w:t>环境空</w:t>
      </w:r>
      <w:r>
        <w:rPr>
          <w:rFonts w:ascii="宋体" w:hAnsi="宋体" w:eastAsia="宋体" w:cs="宋体"/>
          <w:sz w:val="23"/>
          <w:szCs w:val="23"/>
        </w:rPr>
        <w:t xml:space="preserve"> </w:t>
      </w:r>
      <w:r>
        <w:rPr>
          <w:rFonts w:ascii="宋体" w:hAnsi="宋体" w:eastAsia="宋体" w:cs="宋体"/>
          <w:spacing w:val="12"/>
          <w:sz w:val="23"/>
          <w:szCs w:val="23"/>
        </w:rPr>
        <w:t>气</w:t>
      </w:r>
      <w:r>
        <w:rPr>
          <w:rFonts w:ascii="宋体" w:hAnsi="宋体" w:eastAsia="宋体" w:cs="宋体"/>
          <w:spacing w:val="9"/>
          <w:sz w:val="23"/>
          <w:szCs w:val="23"/>
        </w:rPr>
        <w:t>质</w:t>
      </w:r>
      <w:r>
        <w:rPr>
          <w:rFonts w:ascii="宋体" w:hAnsi="宋体" w:eastAsia="宋体" w:cs="宋体"/>
          <w:spacing w:val="6"/>
          <w:sz w:val="23"/>
          <w:szCs w:val="23"/>
        </w:rPr>
        <w:t>量达到《环境空气质量标准》  (</w:t>
      </w:r>
      <w:r>
        <w:rPr>
          <w:rFonts w:ascii="Times New Roman" w:hAnsi="Times New Roman" w:eastAsia="Times New Roman" w:cs="Times New Roman"/>
          <w:sz w:val="23"/>
          <w:szCs w:val="23"/>
        </w:rPr>
        <w:t>GB</w:t>
      </w:r>
      <w:r>
        <w:rPr>
          <w:rFonts w:ascii="Times New Roman" w:hAnsi="Times New Roman" w:eastAsia="Times New Roman" w:cs="Times New Roman"/>
          <w:spacing w:val="6"/>
          <w:sz w:val="23"/>
          <w:szCs w:val="23"/>
        </w:rPr>
        <w:t xml:space="preserve"> 3095-2012</w:t>
      </w:r>
      <w:r>
        <w:rPr>
          <w:rFonts w:ascii="宋体" w:hAnsi="宋体" w:eastAsia="宋体" w:cs="宋体"/>
          <w:spacing w:val="6"/>
          <w:sz w:val="23"/>
          <w:szCs w:val="23"/>
        </w:rPr>
        <w:t>) 中的二级标准，可吸入颗粒物</w:t>
      </w:r>
      <w:r>
        <w:rPr>
          <w:rFonts w:ascii="宋体" w:hAnsi="宋体" w:eastAsia="宋体" w:cs="宋体"/>
          <w:sz w:val="23"/>
          <w:szCs w:val="23"/>
        </w:rPr>
        <w:t xml:space="preserve"> </w:t>
      </w:r>
      <w:r>
        <w:rPr>
          <w:rFonts w:ascii="Times New Roman" w:hAnsi="Times New Roman" w:eastAsia="Times New Roman" w:cs="Times New Roman"/>
          <w:spacing w:val="18"/>
          <w:sz w:val="23"/>
          <w:szCs w:val="23"/>
        </w:rPr>
        <w:t>(</w:t>
      </w:r>
      <w:r>
        <w:rPr>
          <w:rFonts w:ascii="Times New Roman" w:hAnsi="Times New Roman" w:eastAsia="Times New Roman" w:cs="Times New Roman"/>
          <w:sz w:val="23"/>
          <w:szCs w:val="23"/>
        </w:rPr>
        <w:t>PM</w:t>
      </w:r>
      <w:r>
        <w:rPr>
          <w:rFonts w:ascii="Times New Roman" w:hAnsi="Times New Roman" w:eastAsia="Times New Roman" w:cs="Times New Roman"/>
          <w:spacing w:val="18"/>
          <w:position w:val="-1"/>
          <w:sz w:val="15"/>
          <w:szCs w:val="15"/>
        </w:rPr>
        <w:t xml:space="preserve">10) </w:t>
      </w:r>
      <w:r>
        <w:rPr>
          <w:rFonts w:ascii="宋体" w:hAnsi="宋体" w:eastAsia="宋体" w:cs="宋体"/>
          <w:spacing w:val="18"/>
          <w:sz w:val="23"/>
          <w:szCs w:val="23"/>
        </w:rPr>
        <w:t>、细颗粒物</w:t>
      </w:r>
      <w:r>
        <w:rPr>
          <w:rFonts w:ascii="Times New Roman" w:hAnsi="Times New Roman" w:eastAsia="Times New Roman" w:cs="Times New Roman"/>
          <w:spacing w:val="18"/>
          <w:sz w:val="23"/>
          <w:szCs w:val="23"/>
        </w:rPr>
        <w:t>(</w:t>
      </w:r>
      <w:r>
        <w:rPr>
          <w:rFonts w:ascii="Times New Roman" w:hAnsi="Times New Roman" w:eastAsia="Times New Roman" w:cs="Times New Roman"/>
          <w:sz w:val="23"/>
          <w:szCs w:val="23"/>
        </w:rPr>
        <w:t>PM</w:t>
      </w:r>
      <w:r>
        <w:rPr>
          <w:rFonts w:ascii="Times New Roman" w:hAnsi="Times New Roman" w:eastAsia="Times New Roman" w:cs="Times New Roman"/>
          <w:spacing w:val="18"/>
          <w:position w:val="-1"/>
          <w:sz w:val="15"/>
          <w:szCs w:val="15"/>
        </w:rPr>
        <w:t>2.5</w:t>
      </w:r>
      <w:r>
        <w:rPr>
          <w:rFonts w:ascii="Times New Roman" w:hAnsi="Times New Roman" w:eastAsia="Times New Roman" w:cs="Times New Roman"/>
          <w:spacing w:val="18"/>
          <w:sz w:val="23"/>
          <w:szCs w:val="23"/>
        </w:rPr>
        <w:t>)</w:t>
      </w:r>
      <w:r>
        <w:rPr>
          <w:rFonts w:ascii="宋体" w:hAnsi="宋体" w:eastAsia="宋体" w:cs="宋体"/>
          <w:spacing w:val="18"/>
          <w:sz w:val="23"/>
          <w:szCs w:val="23"/>
        </w:rPr>
        <w:t xml:space="preserve">环境空气质量现状未达到《环境空气质量标准》  </w:t>
      </w:r>
      <w:r>
        <w:rPr>
          <w:rFonts w:ascii="宋体" w:hAnsi="宋体" w:eastAsia="宋体" w:cs="宋体"/>
          <w:spacing w:val="14"/>
          <w:sz w:val="23"/>
          <w:szCs w:val="23"/>
        </w:rPr>
        <w:t>(</w:t>
      </w:r>
      <w:r>
        <w:rPr>
          <w:rFonts w:ascii="Times New Roman" w:hAnsi="Times New Roman" w:eastAsia="Times New Roman" w:cs="Times New Roman"/>
          <w:sz w:val="23"/>
          <w:szCs w:val="23"/>
        </w:rPr>
        <w:t xml:space="preserve">GB </w:t>
      </w:r>
      <w:r>
        <w:rPr>
          <w:rFonts w:ascii="Times New Roman" w:hAnsi="Times New Roman" w:eastAsia="Times New Roman" w:cs="Times New Roman"/>
          <w:spacing w:val="5"/>
          <w:sz w:val="23"/>
          <w:szCs w:val="23"/>
        </w:rPr>
        <w:t>3095-2012</w:t>
      </w:r>
      <w:r>
        <w:rPr>
          <w:rFonts w:ascii="宋体" w:hAnsi="宋体" w:eastAsia="宋体" w:cs="宋体"/>
          <w:spacing w:val="5"/>
          <w:sz w:val="23"/>
          <w:szCs w:val="23"/>
        </w:rPr>
        <w:t xml:space="preserve">) 中的二级标准，超标倍数分别为 </w:t>
      </w:r>
      <w:r>
        <w:rPr>
          <w:rFonts w:ascii="Times New Roman" w:hAnsi="Times New Roman" w:eastAsia="Times New Roman" w:cs="Times New Roman"/>
          <w:spacing w:val="5"/>
          <w:sz w:val="23"/>
          <w:szCs w:val="23"/>
        </w:rPr>
        <w:t xml:space="preserve">0.20 </w:t>
      </w:r>
      <w:r>
        <w:rPr>
          <w:rFonts w:ascii="宋体" w:hAnsi="宋体" w:eastAsia="宋体" w:cs="宋体"/>
          <w:spacing w:val="5"/>
          <w:sz w:val="23"/>
          <w:szCs w:val="23"/>
        </w:rPr>
        <w:t>倍、</w:t>
      </w:r>
      <w:r>
        <w:rPr>
          <w:rFonts w:ascii="Times New Roman" w:hAnsi="Times New Roman" w:eastAsia="Times New Roman" w:cs="Times New Roman"/>
          <w:spacing w:val="5"/>
          <w:sz w:val="23"/>
          <w:szCs w:val="23"/>
        </w:rPr>
        <w:t xml:space="preserve">0.58 </w:t>
      </w:r>
      <w:r>
        <w:rPr>
          <w:rFonts w:ascii="宋体" w:hAnsi="宋体" w:eastAsia="宋体" w:cs="宋体"/>
          <w:spacing w:val="5"/>
          <w:sz w:val="23"/>
          <w:szCs w:val="23"/>
        </w:rPr>
        <w:t>倍</w:t>
      </w:r>
      <w:r>
        <w:rPr>
          <w:rFonts w:ascii="宋体" w:hAnsi="宋体" w:eastAsia="宋体" w:cs="宋体"/>
          <w:spacing w:val="2"/>
          <w:sz w:val="23"/>
          <w:szCs w:val="23"/>
        </w:rPr>
        <w:t>。</w:t>
      </w:r>
    </w:p>
    <w:p w14:paraId="25E5FE85">
      <w:pPr>
        <w:spacing w:before="3" w:line="376" w:lineRule="auto"/>
        <w:ind w:left="326" w:right="310" w:firstLine="498"/>
        <w:rPr>
          <w:rFonts w:ascii="宋体" w:hAnsi="宋体" w:eastAsia="宋体" w:cs="宋体"/>
          <w:sz w:val="23"/>
          <w:szCs w:val="23"/>
        </w:rPr>
      </w:pPr>
      <w:r>
        <w:rPr>
          <w:rFonts w:ascii="宋体" w:hAnsi="宋体" w:eastAsia="宋体" w:cs="宋体"/>
          <w:spacing w:val="20"/>
          <w:sz w:val="23"/>
          <w:szCs w:val="23"/>
        </w:rPr>
        <w:t>因此</w:t>
      </w:r>
      <w:r>
        <w:rPr>
          <w:rFonts w:ascii="宋体" w:hAnsi="宋体" w:eastAsia="宋体" w:cs="宋体"/>
          <w:spacing w:val="16"/>
          <w:sz w:val="23"/>
          <w:szCs w:val="23"/>
        </w:rPr>
        <w:t>，</w:t>
      </w:r>
      <w:r>
        <w:rPr>
          <w:rFonts w:ascii="宋体" w:hAnsi="宋体" w:eastAsia="宋体" w:cs="宋体"/>
          <w:spacing w:val="10"/>
          <w:sz w:val="23"/>
          <w:szCs w:val="23"/>
        </w:rPr>
        <w:t>项目所在区域为不达标区，不达标因子为可吸入颗粒物</w:t>
      </w:r>
      <w:r>
        <w:rPr>
          <w:rFonts w:ascii="Times New Roman" w:hAnsi="Times New Roman" w:eastAsia="Times New Roman" w:cs="Times New Roman"/>
          <w:spacing w:val="10"/>
          <w:sz w:val="23"/>
          <w:szCs w:val="23"/>
        </w:rPr>
        <w:t>(</w:t>
      </w:r>
      <w:r>
        <w:rPr>
          <w:rFonts w:ascii="Times New Roman" w:hAnsi="Times New Roman" w:eastAsia="Times New Roman" w:cs="Times New Roman"/>
          <w:sz w:val="23"/>
          <w:szCs w:val="23"/>
        </w:rPr>
        <w:t>PM</w:t>
      </w:r>
      <w:r>
        <w:rPr>
          <w:rFonts w:ascii="Times New Roman" w:hAnsi="Times New Roman" w:eastAsia="Times New Roman" w:cs="Times New Roman"/>
          <w:spacing w:val="10"/>
          <w:position w:val="-1"/>
          <w:sz w:val="15"/>
          <w:szCs w:val="15"/>
        </w:rPr>
        <w:t xml:space="preserve">10) </w:t>
      </w:r>
      <w:r>
        <w:rPr>
          <w:rFonts w:ascii="宋体" w:hAnsi="宋体" w:eastAsia="宋体" w:cs="宋体"/>
          <w:spacing w:val="10"/>
          <w:sz w:val="23"/>
          <w:szCs w:val="23"/>
        </w:rPr>
        <w:t>、细颗粒</w:t>
      </w:r>
      <w:r>
        <w:rPr>
          <w:rFonts w:ascii="宋体" w:hAnsi="宋体" w:eastAsia="宋体" w:cs="宋体"/>
          <w:sz w:val="23"/>
          <w:szCs w:val="23"/>
        </w:rPr>
        <w:t xml:space="preserve"> </w:t>
      </w:r>
      <w:r>
        <w:rPr>
          <w:rFonts w:ascii="宋体" w:hAnsi="宋体" w:eastAsia="宋体" w:cs="宋体"/>
          <w:spacing w:val="-1"/>
          <w:sz w:val="23"/>
          <w:szCs w:val="23"/>
        </w:rPr>
        <w:t>物</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PM</w:t>
      </w:r>
      <w:r>
        <w:rPr>
          <w:rFonts w:ascii="Times New Roman" w:hAnsi="Times New Roman" w:eastAsia="Times New Roman" w:cs="Times New Roman"/>
          <w:spacing w:val="-1"/>
          <w:position w:val="-1"/>
          <w:sz w:val="15"/>
          <w:szCs w:val="15"/>
        </w:rPr>
        <w:t>2.5</w:t>
      </w:r>
      <w:r>
        <w:rPr>
          <w:rFonts w:ascii="Times New Roman" w:hAnsi="Times New Roman" w:eastAsia="Times New Roman" w:cs="Times New Roman"/>
          <w:spacing w:val="-1"/>
          <w:sz w:val="23"/>
          <w:szCs w:val="23"/>
        </w:rPr>
        <w:t xml:space="preserve">) </w:t>
      </w:r>
      <w:r>
        <w:rPr>
          <w:rFonts w:ascii="宋体" w:hAnsi="宋体" w:eastAsia="宋体" w:cs="宋体"/>
          <w:sz w:val="23"/>
          <w:szCs w:val="23"/>
        </w:rPr>
        <w:t xml:space="preserve">。项目主要污染物为 </w:t>
      </w:r>
      <w:r>
        <w:rPr>
          <w:rFonts w:ascii="Times New Roman" w:hAnsi="Times New Roman" w:eastAsia="Times New Roman" w:cs="Times New Roman"/>
          <w:sz w:val="23"/>
          <w:szCs w:val="23"/>
        </w:rPr>
        <w:t>NH</w:t>
      </w:r>
      <w:r>
        <w:rPr>
          <w:rFonts w:ascii="Times New Roman" w:hAnsi="Times New Roman" w:eastAsia="Times New Roman" w:cs="Times New Roman"/>
          <w:position w:val="-1"/>
          <w:sz w:val="15"/>
          <w:szCs w:val="15"/>
        </w:rPr>
        <w:t xml:space="preserve">3 </w:t>
      </w:r>
      <w:r>
        <w:rPr>
          <w:rFonts w:ascii="宋体" w:hAnsi="宋体" w:eastAsia="宋体" w:cs="宋体"/>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position w:val="-1"/>
          <w:sz w:val="15"/>
          <w:szCs w:val="15"/>
        </w:rPr>
        <w:t xml:space="preserve">2 </w:t>
      </w:r>
      <w:r>
        <w:rPr>
          <w:rFonts w:ascii="Times New Roman" w:hAnsi="Times New Roman" w:eastAsia="Times New Roman" w:cs="Times New Roman"/>
          <w:sz w:val="23"/>
          <w:szCs w:val="23"/>
        </w:rPr>
        <w:t xml:space="preserve">S </w:t>
      </w:r>
      <w:r>
        <w:rPr>
          <w:rFonts w:ascii="宋体" w:hAnsi="宋体" w:eastAsia="宋体" w:cs="宋体"/>
          <w:sz w:val="23"/>
          <w:szCs w:val="23"/>
        </w:rPr>
        <w:t>，不属于超标因子。</w:t>
      </w:r>
    </w:p>
    <w:p w14:paraId="036204A5">
      <w:pPr>
        <w:sectPr>
          <w:headerReference r:id="rId152" w:type="default"/>
          <w:footerReference r:id="rId153" w:type="default"/>
          <w:pgSz w:w="11907" w:h="16840"/>
          <w:pgMar w:top="400" w:right="1265" w:bottom="1485" w:left="1343" w:header="0" w:footer="1298" w:gutter="0"/>
          <w:cols w:space="720" w:num="1"/>
        </w:sectPr>
      </w:pPr>
    </w:p>
    <w:p w14:paraId="6258D6A0">
      <w:pPr>
        <w:spacing w:line="460" w:lineRule="auto"/>
      </w:pPr>
      <w:r>
        <w:pict>
          <v:shape id="_x0000_s2094" o:spid="_x0000_s2094" style="position:absolute;left:0pt;margin-left:83pt;margin-top:57.2pt;height:0.5pt;width:433.35pt;mso-position-horizontal-relative:page;mso-position-vertical-relative:page;z-index:251722752;mso-width-relative:page;mso-height-relative:page;" fillcolor="#000000" filled="t" stroked="f" coordsize="8667,10" o:allowincell="f" path="m0,0l8666,0,8666,9,0,9,0,0xe">
            <v:fill on="t" focussize="0,0"/>
            <v:stroke on="f"/>
            <v:imagedata o:title=""/>
            <o:lock v:ext="edit"/>
          </v:shape>
        </w:pict>
      </w:r>
    </w:p>
    <w:p w14:paraId="052EAA2B">
      <w:pPr>
        <w:spacing w:before="56" w:line="229" w:lineRule="auto"/>
        <w:ind w:left="318"/>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6A42F8A1">
      <w:pPr>
        <w:spacing w:before="66" w:line="226" w:lineRule="auto"/>
        <w:ind w:left="317"/>
        <w:outlineLvl w:val="2"/>
        <w:rPr>
          <w:rFonts w:ascii="宋体" w:hAnsi="宋体" w:eastAsia="宋体" w:cs="宋体"/>
          <w:sz w:val="23"/>
          <w:szCs w:val="23"/>
        </w:rPr>
      </w:pPr>
      <w:r>
        <w:rPr>
          <w:rFonts w:ascii="Times New Roman" w:hAnsi="Times New Roman" w:eastAsia="Times New Roman" w:cs="Times New Roman"/>
          <w:b/>
          <w:bCs/>
          <w:spacing w:val="8"/>
          <w:sz w:val="23"/>
          <w:szCs w:val="23"/>
        </w:rPr>
        <w:t>4.2.1.2</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其他污染物环境质量现状调查与评价</w:t>
      </w:r>
    </w:p>
    <w:p w14:paraId="26491D7E">
      <w:pPr>
        <w:spacing w:before="182" w:line="375" w:lineRule="auto"/>
        <w:ind w:left="322" w:right="506" w:firstLine="482"/>
        <w:rPr>
          <w:rFonts w:ascii="宋体" w:hAnsi="宋体" w:eastAsia="宋体" w:cs="宋体"/>
          <w:sz w:val="23"/>
          <w:szCs w:val="23"/>
        </w:rPr>
      </w:pPr>
      <w:r>
        <w:rPr>
          <w:rFonts w:ascii="宋体" w:hAnsi="宋体" w:eastAsia="宋体" w:cs="宋体"/>
          <w:spacing w:val="7"/>
          <w:sz w:val="23"/>
          <w:szCs w:val="23"/>
        </w:rPr>
        <w:t xml:space="preserve">项目为生猪养殖项目，根据项目特点，项目大气特征污染物为 </w:t>
      </w:r>
      <w:r>
        <w:rPr>
          <w:rFonts w:ascii="Times New Roman" w:hAnsi="Times New Roman" w:eastAsia="Times New Roman" w:cs="Times New Roman"/>
          <w:sz w:val="23"/>
          <w:szCs w:val="23"/>
        </w:rPr>
        <w:t>NH</w:t>
      </w:r>
      <w:r>
        <w:rPr>
          <w:rFonts w:ascii="Times New Roman" w:hAnsi="Times New Roman" w:eastAsia="Times New Roman" w:cs="Times New Roman"/>
          <w:spacing w:val="7"/>
          <w:position w:val="-1"/>
          <w:sz w:val="15"/>
          <w:szCs w:val="15"/>
        </w:rPr>
        <w:t xml:space="preserve">3 </w:t>
      </w:r>
      <w:r>
        <w:rPr>
          <w:rFonts w:ascii="宋体" w:hAnsi="宋体" w:eastAsia="宋体" w:cs="宋体"/>
          <w:spacing w:val="7"/>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7"/>
          <w:position w:val="-1"/>
          <w:sz w:val="15"/>
          <w:szCs w:val="15"/>
        </w:rPr>
        <w:t xml:space="preserve">2 </w:t>
      </w:r>
      <w:r>
        <w:rPr>
          <w:rFonts w:ascii="Times New Roman" w:hAnsi="Times New Roman" w:eastAsia="Times New Roman" w:cs="Times New Roman"/>
          <w:sz w:val="23"/>
          <w:szCs w:val="23"/>
        </w:rPr>
        <w:t>S</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w:t>
      </w:r>
      <w:r>
        <w:rPr>
          <w:rFonts w:ascii="宋体" w:hAnsi="宋体" w:eastAsia="宋体" w:cs="宋体"/>
          <w:spacing w:val="6"/>
          <w:sz w:val="23"/>
          <w:szCs w:val="23"/>
        </w:rPr>
        <w:t>臭</w:t>
      </w:r>
      <w:r>
        <w:rPr>
          <w:rFonts w:ascii="宋体" w:hAnsi="宋体" w:eastAsia="宋体" w:cs="宋体"/>
          <w:sz w:val="23"/>
          <w:szCs w:val="23"/>
        </w:rPr>
        <w:t xml:space="preserve"> </w:t>
      </w:r>
      <w:r>
        <w:rPr>
          <w:rFonts w:ascii="宋体" w:hAnsi="宋体" w:eastAsia="宋体" w:cs="宋体"/>
          <w:spacing w:val="6"/>
          <w:sz w:val="23"/>
          <w:szCs w:val="23"/>
        </w:rPr>
        <w:t>气</w:t>
      </w:r>
      <w:r>
        <w:rPr>
          <w:rFonts w:ascii="宋体" w:hAnsi="宋体" w:eastAsia="宋体" w:cs="宋体"/>
          <w:spacing w:val="5"/>
          <w:sz w:val="23"/>
          <w:szCs w:val="23"/>
        </w:rPr>
        <w:t>浓度。根据《环境影响评价技术导则 大气环境》  (</w:t>
      </w:r>
      <w:r>
        <w:rPr>
          <w:rFonts w:ascii="Times New Roman" w:hAnsi="Times New Roman" w:eastAsia="Times New Roman" w:cs="Times New Roman"/>
          <w:sz w:val="23"/>
          <w:szCs w:val="23"/>
        </w:rPr>
        <w:t>HJ</w:t>
      </w:r>
      <w:r>
        <w:rPr>
          <w:rFonts w:ascii="Times New Roman" w:hAnsi="Times New Roman" w:eastAsia="Times New Roman" w:cs="Times New Roman"/>
          <w:spacing w:val="5"/>
          <w:sz w:val="23"/>
          <w:szCs w:val="23"/>
        </w:rPr>
        <w:t>2.2-2018</w:t>
      </w:r>
      <w:r>
        <w:rPr>
          <w:rFonts w:ascii="宋体" w:hAnsi="宋体" w:eastAsia="宋体" w:cs="宋体"/>
          <w:spacing w:val="5"/>
          <w:sz w:val="23"/>
          <w:szCs w:val="23"/>
        </w:rPr>
        <w:t>) 中规定的现状评</w:t>
      </w:r>
      <w:r>
        <w:rPr>
          <w:rFonts w:ascii="宋体" w:hAnsi="宋体" w:eastAsia="宋体" w:cs="宋体"/>
          <w:sz w:val="23"/>
          <w:szCs w:val="23"/>
        </w:rPr>
        <w:t xml:space="preserve"> </w:t>
      </w:r>
      <w:r>
        <w:rPr>
          <w:rFonts w:ascii="宋体" w:hAnsi="宋体" w:eastAsia="宋体" w:cs="宋体"/>
          <w:spacing w:val="4"/>
          <w:sz w:val="23"/>
          <w:szCs w:val="23"/>
        </w:rPr>
        <w:t>价要求，本次评价</w:t>
      </w:r>
      <w:r>
        <w:rPr>
          <w:rFonts w:ascii="宋体" w:hAnsi="宋体" w:eastAsia="宋体" w:cs="宋体"/>
          <w:spacing w:val="2"/>
          <w:sz w:val="23"/>
          <w:szCs w:val="23"/>
        </w:rPr>
        <w:t xml:space="preserve">拟选取项目大气特征污染物 </w:t>
      </w:r>
      <w:r>
        <w:rPr>
          <w:rFonts w:ascii="Times New Roman" w:hAnsi="Times New Roman" w:eastAsia="Times New Roman" w:cs="Times New Roman"/>
          <w:sz w:val="23"/>
          <w:szCs w:val="23"/>
        </w:rPr>
        <w:t>NH</w:t>
      </w:r>
      <w:r>
        <w:rPr>
          <w:rFonts w:ascii="Times New Roman" w:hAnsi="Times New Roman" w:eastAsia="Times New Roman" w:cs="Times New Roman"/>
          <w:spacing w:val="2"/>
          <w:position w:val="-1"/>
          <w:sz w:val="15"/>
          <w:szCs w:val="15"/>
        </w:rPr>
        <w:t xml:space="preserve">3 </w:t>
      </w:r>
      <w:r>
        <w:rPr>
          <w:rFonts w:ascii="宋体" w:hAnsi="宋体" w:eastAsia="宋体" w:cs="宋体"/>
          <w:spacing w:val="2"/>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2"/>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w:t>
      </w:r>
      <w:r>
        <w:rPr>
          <w:rFonts w:ascii="Times New Roman" w:hAnsi="Times New Roman" w:eastAsia="Times New Roman" w:cs="Times New Roman"/>
          <w:sz w:val="23"/>
          <w:szCs w:val="23"/>
        </w:rPr>
        <w:t>TSP</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、臭气浓度进行补充</w:t>
      </w:r>
      <w:r>
        <w:rPr>
          <w:rFonts w:ascii="宋体" w:hAnsi="宋体" w:eastAsia="宋体" w:cs="宋体"/>
          <w:sz w:val="23"/>
          <w:szCs w:val="23"/>
        </w:rPr>
        <w:t xml:space="preserve"> </w:t>
      </w:r>
      <w:r>
        <w:rPr>
          <w:rFonts w:ascii="宋体" w:hAnsi="宋体" w:eastAsia="宋体" w:cs="宋体"/>
          <w:spacing w:val="15"/>
          <w:sz w:val="23"/>
          <w:szCs w:val="23"/>
        </w:rPr>
        <w:t>监</w:t>
      </w:r>
      <w:r>
        <w:rPr>
          <w:rFonts w:ascii="宋体" w:hAnsi="宋体" w:eastAsia="宋体" w:cs="宋体"/>
          <w:spacing w:val="9"/>
          <w:sz w:val="23"/>
          <w:szCs w:val="23"/>
        </w:rPr>
        <w:t>测，用于评价项目所在区域污染物环境空气质量现状评价。</w:t>
      </w:r>
    </w:p>
    <w:p w14:paraId="5DFD3EEB">
      <w:pPr>
        <w:spacing w:line="226" w:lineRule="auto"/>
        <w:ind w:left="812"/>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1</w:t>
      </w:r>
      <w:r>
        <w:rPr>
          <w:rFonts w:ascii="宋体" w:hAnsi="宋体" w:eastAsia="宋体" w:cs="宋体"/>
          <w:spacing w:val="20"/>
          <w:sz w:val="23"/>
          <w:szCs w:val="23"/>
        </w:rPr>
        <w:t>) 监测布</w:t>
      </w:r>
      <w:r>
        <w:rPr>
          <w:rFonts w:ascii="宋体" w:hAnsi="宋体" w:eastAsia="宋体" w:cs="宋体"/>
          <w:spacing w:val="19"/>
          <w:sz w:val="23"/>
          <w:szCs w:val="23"/>
        </w:rPr>
        <w:t>点</w:t>
      </w:r>
    </w:p>
    <w:p w14:paraId="57639689">
      <w:pPr>
        <w:spacing w:before="184" w:line="375" w:lineRule="auto"/>
        <w:ind w:left="322" w:right="513" w:firstLine="479"/>
        <w:rPr>
          <w:rFonts w:ascii="宋体" w:hAnsi="宋体" w:eastAsia="宋体" w:cs="宋体"/>
          <w:sz w:val="23"/>
          <w:szCs w:val="23"/>
        </w:rPr>
      </w:pPr>
      <w:r>
        <w:rPr>
          <w:rFonts w:ascii="宋体" w:hAnsi="宋体" w:eastAsia="宋体" w:cs="宋体"/>
          <w:spacing w:val="16"/>
          <w:sz w:val="23"/>
          <w:szCs w:val="23"/>
        </w:rPr>
        <w:t>根</w:t>
      </w:r>
      <w:r>
        <w:rPr>
          <w:rFonts w:ascii="宋体" w:hAnsi="宋体" w:eastAsia="宋体" w:cs="宋体"/>
          <w:spacing w:val="9"/>
          <w:sz w:val="23"/>
          <w:szCs w:val="23"/>
        </w:rPr>
        <w:t>据</w:t>
      </w:r>
      <w:r>
        <w:rPr>
          <w:rFonts w:ascii="宋体" w:hAnsi="宋体" w:eastAsia="宋体" w:cs="宋体"/>
          <w:spacing w:val="8"/>
          <w:sz w:val="23"/>
          <w:szCs w:val="23"/>
        </w:rPr>
        <w:t xml:space="preserve">场址所在地、风向特征敏感目标等情况，本项目共设 </w:t>
      </w:r>
      <w:r>
        <w:rPr>
          <w:rFonts w:ascii="Times New Roman" w:hAnsi="Times New Roman" w:eastAsia="Times New Roman" w:cs="Times New Roman"/>
          <w:spacing w:val="8"/>
          <w:sz w:val="23"/>
          <w:szCs w:val="23"/>
        </w:rPr>
        <w:t xml:space="preserve">2 </w:t>
      </w:r>
      <w:r>
        <w:rPr>
          <w:rFonts w:ascii="宋体" w:hAnsi="宋体" w:eastAsia="宋体" w:cs="宋体"/>
          <w:spacing w:val="8"/>
          <w:sz w:val="23"/>
          <w:szCs w:val="23"/>
        </w:rPr>
        <w:t>个监测采样点，监</w:t>
      </w:r>
      <w:r>
        <w:rPr>
          <w:rFonts w:ascii="宋体" w:hAnsi="宋体" w:eastAsia="宋体" w:cs="宋体"/>
          <w:sz w:val="23"/>
          <w:szCs w:val="23"/>
        </w:rPr>
        <w:t xml:space="preserve"> </w:t>
      </w:r>
      <w:r>
        <w:rPr>
          <w:rFonts w:ascii="宋体" w:hAnsi="宋体" w:eastAsia="宋体" w:cs="宋体"/>
          <w:spacing w:val="1"/>
          <w:sz w:val="23"/>
          <w:szCs w:val="23"/>
        </w:rPr>
        <w:t>测布点见</w:t>
      </w:r>
      <w:r>
        <w:rPr>
          <w:rFonts w:ascii="宋体" w:hAnsi="宋体" w:eastAsia="宋体" w:cs="宋体"/>
          <w:sz w:val="23"/>
          <w:szCs w:val="23"/>
        </w:rPr>
        <w:t xml:space="preserve">表 </w:t>
      </w:r>
      <w:r>
        <w:rPr>
          <w:rFonts w:ascii="Times New Roman" w:hAnsi="Times New Roman" w:eastAsia="Times New Roman" w:cs="Times New Roman"/>
          <w:sz w:val="23"/>
          <w:szCs w:val="23"/>
        </w:rPr>
        <w:t>4.2-2</w:t>
      </w:r>
      <w:r>
        <w:rPr>
          <w:rFonts w:ascii="宋体" w:hAnsi="宋体" w:eastAsia="宋体" w:cs="宋体"/>
          <w:sz w:val="23"/>
          <w:szCs w:val="23"/>
        </w:rPr>
        <w:t>。</w:t>
      </w:r>
    </w:p>
    <w:p w14:paraId="2292E575">
      <w:pPr>
        <w:spacing w:before="1" w:line="220" w:lineRule="auto"/>
        <w:ind w:left="2638"/>
        <w:rPr>
          <w:rFonts w:ascii="黑体" w:hAnsi="黑体" w:eastAsia="黑体" w:cs="黑体"/>
          <w:sz w:val="23"/>
          <w:szCs w:val="23"/>
        </w:rPr>
      </w:pPr>
      <w:r>
        <w:rPr>
          <w:rFonts w:ascii="黑体" w:hAnsi="黑体" w:eastAsia="黑体" w:cs="黑体"/>
          <w:spacing w:val="8"/>
          <w:sz w:val="23"/>
          <w:szCs w:val="23"/>
        </w:rPr>
        <w:t xml:space="preserve">表 </w:t>
      </w:r>
      <w:r>
        <w:rPr>
          <w:rFonts w:ascii="Times New Roman" w:hAnsi="Times New Roman" w:eastAsia="Times New Roman" w:cs="Times New Roman"/>
          <w:spacing w:val="4"/>
          <w:sz w:val="23"/>
          <w:szCs w:val="23"/>
        </w:rPr>
        <w:t xml:space="preserve">4.2-2  </w:t>
      </w:r>
      <w:r>
        <w:rPr>
          <w:rFonts w:ascii="黑体" w:hAnsi="黑体" w:eastAsia="黑体" w:cs="黑体"/>
          <w:spacing w:val="4"/>
          <w:sz w:val="23"/>
          <w:szCs w:val="23"/>
        </w:rPr>
        <w:t>环境空气质量监测点位一览表</w:t>
      </w:r>
    </w:p>
    <w:tbl>
      <w:tblPr>
        <w:tblStyle w:val="4"/>
        <w:tblW w:w="928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1"/>
        <w:gridCol w:w="2063"/>
        <w:gridCol w:w="2149"/>
        <w:gridCol w:w="2096"/>
        <w:gridCol w:w="2208"/>
      </w:tblGrid>
      <w:tr w14:paraId="61847A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71" w:type="dxa"/>
            <w:tcBorders>
              <w:left w:val="nil"/>
            </w:tcBorders>
          </w:tcPr>
          <w:p w14:paraId="78796B41">
            <w:pPr>
              <w:spacing w:before="63" w:line="229" w:lineRule="auto"/>
              <w:ind w:left="182"/>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2063" w:type="dxa"/>
          </w:tcPr>
          <w:p w14:paraId="65148DD4">
            <w:pPr>
              <w:spacing w:before="63" w:line="229" w:lineRule="auto"/>
              <w:ind w:left="512"/>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监</w:t>
            </w:r>
            <w:r>
              <w:rPr>
                <w:rFonts w:ascii="宋体" w:hAnsi="宋体" w:eastAsia="宋体" w:cs="宋体"/>
                <w:spacing w:val="8"/>
                <w:sz w:val="20"/>
                <w:szCs w:val="20"/>
                <w14:textOutline w14:w="3797" w14:cap="sq" w14:cmpd="sng" w14:algn="ctr">
                  <w14:solidFill>
                    <w14:srgbClr w14:val="000000"/>
                  </w14:solidFill>
                  <w14:prstDash w14:val="solid"/>
                  <w14:bevel/>
                </w14:textOutline>
              </w:rPr>
              <w:t>测点名称</w:t>
            </w:r>
          </w:p>
        </w:tc>
        <w:tc>
          <w:tcPr>
            <w:tcW w:w="2149" w:type="dxa"/>
          </w:tcPr>
          <w:p w14:paraId="6091E989">
            <w:pPr>
              <w:spacing w:before="63" w:line="227" w:lineRule="auto"/>
              <w:ind w:left="454"/>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与</w:t>
            </w:r>
            <w:r>
              <w:rPr>
                <w:rFonts w:ascii="宋体" w:hAnsi="宋体" w:eastAsia="宋体" w:cs="宋体"/>
                <w:spacing w:val="8"/>
                <w:sz w:val="20"/>
                <w:szCs w:val="20"/>
                <w14:textOutline w14:w="3797" w14:cap="sq" w14:cmpd="sng" w14:algn="ctr">
                  <w14:solidFill>
                    <w14:srgbClr w14:val="000000"/>
                  </w14:solidFill>
                  <w14:prstDash w14:val="solid"/>
                  <w14:bevel/>
                </w14:textOutline>
              </w:rPr>
              <w:t>本项目方位</w:t>
            </w:r>
          </w:p>
        </w:tc>
        <w:tc>
          <w:tcPr>
            <w:tcW w:w="2096" w:type="dxa"/>
          </w:tcPr>
          <w:p w14:paraId="58B91FB5">
            <w:pPr>
              <w:spacing w:before="63" w:line="227" w:lineRule="auto"/>
              <w:ind w:left="217"/>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与本项目最近距离</w:t>
            </w:r>
          </w:p>
        </w:tc>
        <w:tc>
          <w:tcPr>
            <w:tcW w:w="2208" w:type="dxa"/>
            <w:tcBorders>
              <w:right w:val="nil"/>
            </w:tcBorders>
          </w:tcPr>
          <w:p w14:paraId="51025505">
            <w:pPr>
              <w:spacing w:before="63" w:line="228" w:lineRule="auto"/>
              <w:ind w:left="691"/>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监</w:t>
            </w:r>
            <w:r>
              <w:rPr>
                <w:rFonts w:ascii="宋体" w:hAnsi="宋体" w:eastAsia="宋体" w:cs="宋体"/>
                <w:spacing w:val="8"/>
                <w:sz w:val="20"/>
                <w:szCs w:val="20"/>
                <w14:textOutline w14:w="3797" w14:cap="sq" w14:cmpd="sng" w14:algn="ctr">
                  <w14:solidFill>
                    <w14:srgbClr w14:val="000000"/>
                  </w14:solidFill>
                  <w14:prstDash w14:val="solid"/>
                  <w14:bevel/>
                </w14:textOutline>
              </w:rPr>
              <w:t>测因子</w:t>
            </w:r>
          </w:p>
        </w:tc>
      </w:tr>
      <w:tr w14:paraId="580EAC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771" w:type="dxa"/>
            <w:tcBorders>
              <w:left w:val="nil"/>
            </w:tcBorders>
          </w:tcPr>
          <w:p w14:paraId="32653093">
            <w:pPr>
              <w:spacing w:before="93" w:line="195" w:lineRule="auto"/>
              <w:ind w:left="152"/>
              <w:rPr>
                <w:rFonts w:ascii="Times New Roman" w:hAnsi="Times New Roman" w:eastAsia="Times New Roman" w:cs="Times New Roman"/>
                <w:sz w:val="20"/>
                <w:szCs w:val="20"/>
              </w:rPr>
            </w:pPr>
            <w:r>
              <w:rPr>
                <w:rFonts w:ascii="Times New Roman" w:hAnsi="Times New Roman" w:eastAsia="Times New Roman" w:cs="Times New Roman"/>
                <w:sz w:val="20"/>
                <w:szCs w:val="20"/>
              </w:rPr>
              <w:t>AE</w:t>
            </w:r>
            <w:r>
              <w:rPr>
                <w:rFonts w:ascii="Times New Roman" w:hAnsi="Times New Roman" w:eastAsia="Times New Roman" w:cs="Times New Roman"/>
                <w:spacing w:val="14"/>
                <w:sz w:val="20"/>
                <w:szCs w:val="20"/>
              </w:rPr>
              <w:t>1</w:t>
            </w:r>
          </w:p>
        </w:tc>
        <w:tc>
          <w:tcPr>
            <w:tcW w:w="2063" w:type="dxa"/>
          </w:tcPr>
          <w:p w14:paraId="6F054CAB">
            <w:pPr>
              <w:spacing w:before="58" w:line="228" w:lineRule="auto"/>
              <w:ind w:left="620"/>
              <w:rPr>
                <w:rFonts w:ascii="宋体" w:hAnsi="宋体" w:eastAsia="宋体" w:cs="宋体"/>
                <w:sz w:val="20"/>
                <w:szCs w:val="20"/>
              </w:rPr>
            </w:pPr>
            <w:r>
              <w:rPr>
                <w:rFonts w:ascii="宋体" w:hAnsi="宋体" w:eastAsia="宋体" w:cs="宋体"/>
                <w:spacing w:val="8"/>
                <w:sz w:val="20"/>
                <w:szCs w:val="20"/>
              </w:rPr>
              <w:t>项</w:t>
            </w:r>
            <w:r>
              <w:rPr>
                <w:rFonts w:ascii="宋体" w:hAnsi="宋体" w:eastAsia="宋体" w:cs="宋体"/>
                <w:spacing w:val="6"/>
                <w:sz w:val="20"/>
                <w:szCs w:val="20"/>
              </w:rPr>
              <w:t>目场地</w:t>
            </w:r>
          </w:p>
        </w:tc>
        <w:tc>
          <w:tcPr>
            <w:tcW w:w="2149" w:type="dxa"/>
          </w:tcPr>
          <w:p w14:paraId="395B3116">
            <w:pPr>
              <w:spacing w:before="20" w:line="281" w:lineRule="exact"/>
              <w:ind w:left="1041"/>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2096" w:type="dxa"/>
          </w:tcPr>
          <w:p w14:paraId="7A76E14B">
            <w:pPr>
              <w:spacing w:before="20" w:line="281" w:lineRule="exact"/>
              <w:ind w:left="1016"/>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2208" w:type="dxa"/>
            <w:vMerge w:val="restart"/>
            <w:tcBorders>
              <w:bottom w:val="nil"/>
              <w:right w:val="nil"/>
            </w:tcBorders>
          </w:tcPr>
          <w:p w14:paraId="3DAE0550">
            <w:pPr>
              <w:spacing w:before="110" w:line="272" w:lineRule="auto"/>
              <w:ind w:left="927" w:right="36" w:hanging="82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N</w:t>
            </w:r>
            <w:r>
              <w:rPr>
                <w:rFonts w:ascii="Times New Roman" w:hAnsi="Times New Roman" w:eastAsia="Times New Roman" w:cs="Times New Roman"/>
                <w:sz w:val="20"/>
                <w:szCs w:val="20"/>
              </w:rPr>
              <w:t>H</w:t>
            </w:r>
            <w:r>
              <w:rPr>
                <w:rFonts w:ascii="Times New Roman" w:hAnsi="Times New Roman" w:eastAsia="Times New Roman" w:cs="Times New Roman"/>
                <w:spacing w:val="-1"/>
                <w:position w:val="-1"/>
                <w:sz w:val="13"/>
                <w:szCs w:val="13"/>
              </w:rPr>
              <w:t>3</w:t>
            </w:r>
            <w:r>
              <w:rPr>
                <w:rFonts w:ascii="宋体" w:hAnsi="宋体" w:eastAsia="宋体" w:cs="宋体"/>
                <w:spacing w:val="-1"/>
                <w:sz w:val="20"/>
                <w:szCs w:val="20"/>
              </w:rPr>
              <w:t>、</w:t>
            </w:r>
            <w:r>
              <w:rPr>
                <w:rFonts w:ascii="Times New Roman" w:hAnsi="Times New Roman" w:eastAsia="Times New Roman" w:cs="Times New Roman"/>
                <w:sz w:val="20"/>
                <w:szCs w:val="20"/>
              </w:rPr>
              <w:t>H</w:t>
            </w:r>
            <w:r>
              <w:rPr>
                <w:rFonts w:ascii="Times New Roman" w:hAnsi="Times New Roman" w:eastAsia="Times New Roman" w:cs="Times New Roman"/>
                <w:spacing w:val="-1"/>
                <w:position w:val="-1"/>
                <w:sz w:val="13"/>
                <w:szCs w:val="13"/>
              </w:rPr>
              <w:t>2</w:t>
            </w:r>
            <w:r>
              <w:rPr>
                <w:rFonts w:ascii="Times New Roman" w:hAnsi="Times New Roman" w:eastAsia="Times New Roman" w:cs="Times New Roman"/>
                <w:sz w:val="20"/>
                <w:szCs w:val="20"/>
              </w:rPr>
              <w:t>S</w:t>
            </w:r>
            <w:r>
              <w:rPr>
                <w:rFonts w:ascii="宋体" w:hAnsi="宋体" w:eastAsia="宋体" w:cs="宋体"/>
                <w:spacing w:val="-1"/>
                <w:sz w:val="20"/>
                <w:szCs w:val="20"/>
              </w:rPr>
              <w:t>、臭气浓度、</w:t>
            </w:r>
            <w:r>
              <w:rPr>
                <w:rFonts w:ascii="宋体" w:hAnsi="宋体" w:eastAsia="宋体" w:cs="宋体"/>
                <w:sz w:val="20"/>
                <w:szCs w:val="20"/>
              </w:rPr>
              <w:t xml:space="preserve"> </w:t>
            </w:r>
            <w:r>
              <w:rPr>
                <w:rFonts w:ascii="Times New Roman" w:hAnsi="Times New Roman" w:eastAsia="Times New Roman" w:cs="Times New Roman"/>
                <w:spacing w:val="3"/>
                <w:sz w:val="20"/>
                <w:szCs w:val="20"/>
              </w:rPr>
              <w:t>T</w:t>
            </w:r>
            <w:r>
              <w:rPr>
                <w:rFonts w:ascii="Times New Roman" w:hAnsi="Times New Roman" w:eastAsia="Times New Roman" w:cs="Times New Roman"/>
                <w:spacing w:val="2"/>
                <w:sz w:val="20"/>
                <w:szCs w:val="20"/>
              </w:rPr>
              <w:t>SP</w:t>
            </w:r>
          </w:p>
        </w:tc>
      </w:tr>
      <w:tr w14:paraId="41E027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71" w:type="dxa"/>
            <w:tcBorders>
              <w:left w:val="nil"/>
            </w:tcBorders>
          </w:tcPr>
          <w:p w14:paraId="46041250">
            <w:pPr>
              <w:spacing w:before="104" w:line="195" w:lineRule="auto"/>
              <w:ind w:left="152"/>
              <w:rPr>
                <w:rFonts w:ascii="Times New Roman" w:hAnsi="Times New Roman" w:eastAsia="Times New Roman" w:cs="Times New Roman"/>
                <w:sz w:val="20"/>
                <w:szCs w:val="20"/>
              </w:rPr>
            </w:pPr>
            <w:r>
              <w:rPr>
                <w:rFonts w:ascii="Times New Roman" w:hAnsi="Times New Roman" w:eastAsia="Times New Roman" w:cs="Times New Roman"/>
                <w:sz w:val="20"/>
                <w:szCs w:val="20"/>
              </w:rPr>
              <w:t>AE</w:t>
            </w:r>
            <w:r>
              <w:rPr>
                <w:rFonts w:ascii="Times New Roman" w:hAnsi="Times New Roman" w:eastAsia="Times New Roman" w:cs="Times New Roman"/>
                <w:spacing w:val="14"/>
                <w:sz w:val="20"/>
                <w:szCs w:val="20"/>
              </w:rPr>
              <w:t>2</w:t>
            </w:r>
          </w:p>
        </w:tc>
        <w:tc>
          <w:tcPr>
            <w:tcW w:w="2063" w:type="dxa"/>
          </w:tcPr>
          <w:p w14:paraId="253F6540">
            <w:pPr>
              <w:spacing w:before="68" w:line="228" w:lineRule="auto"/>
              <w:ind w:left="200"/>
              <w:rPr>
                <w:rFonts w:ascii="宋体" w:hAnsi="宋体" w:eastAsia="宋体" w:cs="宋体"/>
                <w:sz w:val="20"/>
                <w:szCs w:val="20"/>
              </w:rPr>
            </w:pPr>
            <w:r>
              <w:rPr>
                <w:rFonts w:ascii="宋体" w:hAnsi="宋体" w:eastAsia="宋体" w:cs="宋体"/>
                <w:spacing w:val="10"/>
                <w:sz w:val="20"/>
                <w:szCs w:val="20"/>
              </w:rPr>
              <w:t>项</w:t>
            </w:r>
            <w:r>
              <w:rPr>
                <w:rFonts w:ascii="宋体" w:hAnsi="宋体" w:eastAsia="宋体" w:cs="宋体"/>
                <w:spacing w:val="8"/>
                <w:sz w:val="20"/>
                <w:szCs w:val="20"/>
              </w:rPr>
              <w:t>目所在地下风向</w:t>
            </w:r>
          </w:p>
        </w:tc>
        <w:tc>
          <w:tcPr>
            <w:tcW w:w="2149" w:type="dxa"/>
          </w:tcPr>
          <w:p w14:paraId="0C1C0818">
            <w:pPr>
              <w:spacing w:before="68" w:line="228" w:lineRule="auto"/>
              <w:ind w:left="770"/>
              <w:rPr>
                <w:rFonts w:ascii="宋体" w:hAnsi="宋体" w:eastAsia="宋体" w:cs="宋体"/>
                <w:sz w:val="20"/>
                <w:szCs w:val="20"/>
              </w:rPr>
            </w:pPr>
            <w:r>
              <w:rPr>
                <w:rFonts w:ascii="宋体" w:hAnsi="宋体" w:eastAsia="宋体" w:cs="宋体"/>
                <w:spacing w:val="6"/>
                <w:sz w:val="20"/>
                <w:szCs w:val="20"/>
              </w:rPr>
              <w:t>下</w:t>
            </w:r>
            <w:r>
              <w:rPr>
                <w:rFonts w:ascii="宋体" w:hAnsi="宋体" w:eastAsia="宋体" w:cs="宋体"/>
                <w:spacing w:val="4"/>
                <w:sz w:val="20"/>
                <w:szCs w:val="20"/>
              </w:rPr>
              <w:t>风向</w:t>
            </w:r>
          </w:p>
        </w:tc>
        <w:tc>
          <w:tcPr>
            <w:tcW w:w="2096" w:type="dxa"/>
          </w:tcPr>
          <w:p w14:paraId="2A6F2AE8">
            <w:pPr>
              <w:spacing w:before="104" w:line="195" w:lineRule="auto"/>
              <w:ind w:left="81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8</w:t>
            </w:r>
            <w:r>
              <w:rPr>
                <w:rFonts w:ascii="Times New Roman" w:hAnsi="Times New Roman" w:eastAsia="Times New Roman" w:cs="Times New Roman"/>
                <w:spacing w:val="3"/>
                <w:sz w:val="20"/>
                <w:szCs w:val="20"/>
              </w:rPr>
              <w:t>00</w:t>
            </w:r>
            <w:r>
              <w:rPr>
                <w:rFonts w:ascii="Times New Roman" w:hAnsi="Times New Roman" w:eastAsia="Times New Roman" w:cs="Times New Roman"/>
                <w:sz w:val="20"/>
                <w:szCs w:val="20"/>
              </w:rPr>
              <w:t>m</w:t>
            </w:r>
          </w:p>
        </w:tc>
        <w:tc>
          <w:tcPr>
            <w:tcW w:w="2208" w:type="dxa"/>
            <w:vMerge w:val="continue"/>
            <w:tcBorders>
              <w:top w:val="nil"/>
              <w:right w:val="nil"/>
            </w:tcBorders>
          </w:tcPr>
          <w:p w14:paraId="05CDC3E0"/>
        </w:tc>
      </w:tr>
    </w:tbl>
    <w:p w14:paraId="4F5F776F">
      <w:pPr>
        <w:spacing w:before="37" w:line="228" w:lineRule="auto"/>
        <w:ind w:left="812"/>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1</w:t>
      </w:r>
      <w:r>
        <w:rPr>
          <w:rFonts w:ascii="宋体" w:hAnsi="宋体" w:eastAsia="宋体" w:cs="宋体"/>
          <w:spacing w:val="20"/>
          <w:sz w:val="23"/>
          <w:szCs w:val="23"/>
        </w:rPr>
        <w:t>) 监测单</w:t>
      </w:r>
      <w:r>
        <w:rPr>
          <w:rFonts w:ascii="宋体" w:hAnsi="宋体" w:eastAsia="宋体" w:cs="宋体"/>
          <w:spacing w:val="19"/>
          <w:sz w:val="23"/>
          <w:szCs w:val="23"/>
        </w:rPr>
        <w:t>位</w:t>
      </w:r>
    </w:p>
    <w:p w14:paraId="1C75B7C4">
      <w:pPr>
        <w:spacing w:before="185" w:line="227" w:lineRule="auto"/>
        <w:ind w:left="823"/>
        <w:rPr>
          <w:rFonts w:ascii="宋体" w:hAnsi="宋体" w:eastAsia="宋体" w:cs="宋体"/>
          <w:sz w:val="23"/>
          <w:szCs w:val="23"/>
        </w:rPr>
      </w:pPr>
      <w:r>
        <w:rPr>
          <w:rFonts w:ascii="宋体" w:hAnsi="宋体" w:eastAsia="宋体" w:cs="宋体"/>
          <w:spacing w:val="14"/>
          <w:sz w:val="23"/>
          <w:szCs w:val="23"/>
        </w:rPr>
        <w:t>四</w:t>
      </w:r>
      <w:r>
        <w:rPr>
          <w:rFonts w:ascii="宋体" w:hAnsi="宋体" w:eastAsia="宋体" w:cs="宋体"/>
          <w:spacing w:val="10"/>
          <w:sz w:val="23"/>
          <w:szCs w:val="23"/>
        </w:rPr>
        <w:t>川</w:t>
      </w:r>
      <w:r>
        <w:rPr>
          <w:rFonts w:ascii="宋体" w:hAnsi="宋体" w:eastAsia="宋体" w:cs="宋体"/>
          <w:spacing w:val="7"/>
          <w:sz w:val="23"/>
          <w:szCs w:val="23"/>
        </w:rPr>
        <w:t>中望正检环境检测有限公司</w:t>
      </w:r>
    </w:p>
    <w:p w14:paraId="6B1796E5">
      <w:pPr>
        <w:spacing w:before="182" w:line="228" w:lineRule="auto"/>
        <w:ind w:left="812"/>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3</w:t>
      </w:r>
      <w:r>
        <w:rPr>
          <w:rFonts w:ascii="宋体" w:hAnsi="宋体" w:eastAsia="宋体" w:cs="宋体"/>
          <w:spacing w:val="20"/>
          <w:sz w:val="23"/>
          <w:szCs w:val="23"/>
        </w:rPr>
        <w:t>) 监测项</w:t>
      </w:r>
      <w:r>
        <w:rPr>
          <w:rFonts w:ascii="宋体" w:hAnsi="宋体" w:eastAsia="宋体" w:cs="宋体"/>
          <w:spacing w:val="19"/>
          <w:sz w:val="23"/>
          <w:szCs w:val="23"/>
        </w:rPr>
        <w:t>目</w:t>
      </w:r>
    </w:p>
    <w:p w14:paraId="0304ADFB">
      <w:pPr>
        <w:spacing w:before="182" w:line="227" w:lineRule="auto"/>
        <w:ind w:left="801"/>
        <w:rPr>
          <w:rFonts w:ascii="宋体" w:hAnsi="宋体" w:eastAsia="宋体" w:cs="宋体"/>
          <w:sz w:val="23"/>
          <w:szCs w:val="23"/>
        </w:rPr>
      </w:pPr>
      <w:r>
        <w:rPr>
          <w:rFonts w:ascii="宋体" w:hAnsi="宋体" w:eastAsia="宋体" w:cs="宋体"/>
          <w:spacing w:val="2"/>
          <w:sz w:val="23"/>
          <w:szCs w:val="23"/>
        </w:rPr>
        <w:t>特征污染物因子：</w:t>
      </w:r>
      <w:r>
        <w:rPr>
          <w:rFonts w:ascii="Times New Roman" w:hAnsi="Times New Roman" w:eastAsia="Times New Roman" w:cs="Times New Roman"/>
          <w:sz w:val="23"/>
          <w:szCs w:val="23"/>
        </w:rPr>
        <w:t>NH</w:t>
      </w:r>
      <w:r>
        <w:rPr>
          <w:rFonts w:ascii="Times New Roman" w:hAnsi="Times New Roman" w:eastAsia="Times New Roman" w:cs="Times New Roman"/>
          <w:spacing w:val="2"/>
          <w:position w:val="-1"/>
          <w:sz w:val="15"/>
          <w:szCs w:val="15"/>
        </w:rPr>
        <w:t xml:space="preserve">3 </w:t>
      </w:r>
      <w:r>
        <w:rPr>
          <w:rFonts w:ascii="宋体" w:hAnsi="宋体" w:eastAsia="宋体" w:cs="宋体"/>
          <w:spacing w:val="2"/>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2"/>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2"/>
          <w:sz w:val="23"/>
          <w:szCs w:val="23"/>
        </w:rPr>
        <w:t xml:space="preserve"> </w:t>
      </w:r>
      <w:r>
        <w:rPr>
          <w:rFonts w:ascii="宋体" w:hAnsi="宋体" w:eastAsia="宋体" w:cs="宋体"/>
          <w:spacing w:val="1"/>
          <w:sz w:val="23"/>
          <w:szCs w:val="23"/>
        </w:rPr>
        <w:t>、</w:t>
      </w:r>
      <w:r>
        <w:rPr>
          <w:rFonts w:ascii="Times New Roman" w:hAnsi="Times New Roman" w:eastAsia="Times New Roman" w:cs="Times New Roman"/>
          <w:sz w:val="23"/>
          <w:szCs w:val="23"/>
        </w:rPr>
        <w:t>TSP</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、臭气浓度。</w:t>
      </w:r>
    </w:p>
    <w:p w14:paraId="6593211E">
      <w:pPr>
        <w:spacing w:before="185" w:line="227" w:lineRule="auto"/>
        <w:ind w:left="812"/>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7"/>
          <w:sz w:val="23"/>
          <w:szCs w:val="23"/>
        </w:rPr>
        <w:t>4</w:t>
      </w:r>
      <w:r>
        <w:rPr>
          <w:rFonts w:ascii="宋体" w:hAnsi="宋体" w:eastAsia="宋体" w:cs="宋体"/>
          <w:spacing w:val="17"/>
          <w:sz w:val="23"/>
          <w:szCs w:val="23"/>
        </w:rPr>
        <w:t>) 监测时间和频率</w:t>
      </w:r>
    </w:p>
    <w:p w14:paraId="586A58D0">
      <w:pPr>
        <w:spacing w:before="185" w:line="227" w:lineRule="auto"/>
        <w:ind w:left="802"/>
        <w:rPr>
          <w:rFonts w:ascii="宋体" w:hAnsi="宋体" w:eastAsia="宋体" w:cs="宋体"/>
          <w:sz w:val="23"/>
          <w:szCs w:val="23"/>
        </w:rPr>
      </w:pPr>
      <w:r>
        <w:rPr>
          <w:rFonts w:ascii="宋体" w:hAnsi="宋体" w:eastAsia="宋体" w:cs="宋体"/>
          <w:spacing w:val="-2"/>
          <w:sz w:val="23"/>
          <w:szCs w:val="23"/>
        </w:rPr>
        <w:t xml:space="preserve">监测时间为 </w:t>
      </w:r>
      <w:r>
        <w:rPr>
          <w:rFonts w:ascii="Times New Roman" w:hAnsi="Times New Roman" w:eastAsia="Times New Roman" w:cs="Times New Roman"/>
          <w:spacing w:val="-2"/>
          <w:sz w:val="23"/>
          <w:szCs w:val="23"/>
        </w:rPr>
        <w:t xml:space="preserve">2019 </w:t>
      </w:r>
      <w:r>
        <w:rPr>
          <w:rFonts w:ascii="宋体" w:hAnsi="宋体" w:eastAsia="宋体" w:cs="宋体"/>
          <w:spacing w:val="-2"/>
          <w:sz w:val="23"/>
          <w:szCs w:val="23"/>
        </w:rPr>
        <w:t xml:space="preserve">年 </w:t>
      </w:r>
      <w:r>
        <w:rPr>
          <w:rFonts w:ascii="Times New Roman" w:hAnsi="Times New Roman" w:eastAsia="Times New Roman" w:cs="Times New Roman"/>
          <w:spacing w:val="-2"/>
          <w:sz w:val="23"/>
          <w:szCs w:val="23"/>
        </w:rPr>
        <w:t xml:space="preserve">8 </w:t>
      </w:r>
      <w:r>
        <w:rPr>
          <w:rFonts w:ascii="宋体" w:hAnsi="宋体" w:eastAsia="宋体" w:cs="宋体"/>
          <w:spacing w:val="-2"/>
          <w:sz w:val="23"/>
          <w:szCs w:val="23"/>
        </w:rPr>
        <w:t xml:space="preserve">月 </w:t>
      </w:r>
      <w:r>
        <w:rPr>
          <w:rFonts w:ascii="Times New Roman" w:hAnsi="Times New Roman" w:eastAsia="Times New Roman" w:cs="Times New Roman"/>
          <w:spacing w:val="-2"/>
          <w:sz w:val="23"/>
          <w:szCs w:val="23"/>
        </w:rPr>
        <w:t>27</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日</w:t>
      </w:r>
      <w:r>
        <w:rPr>
          <w:rFonts w:ascii="Times New Roman" w:hAnsi="Times New Roman" w:eastAsia="Times New Roman" w:cs="Times New Roman"/>
          <w:spacing w:val="-1"/>
          <w:sz w:val="23"/>
          <w:szCs w:val="23"/>
        </w:rPr>
        <w:t xml:space="preserve">~9 </w:t>
      </w:r>
      <w:r>
        <w:rPr>
          <w:rFonts w:ascii="宋体" w:hAnsi="宋体" w:eastAsia="宋体" w:cs="宋体"/>
          <w:spacing w:val="-1"/>
          <w:sz w:val="23"/>
          <w:szCs w:val="23"/>
        </w:rPr>
        <w:t xml:space="preserve">月 </w:t>
      </w:r>
      <w:r>
        <w:rPr>
          <w:rFonts w:ascii="Times New Roman" w:hAnsi="Times New Roman" w:eastAsia="Times New Roman" w:cs="Times New Roman"/>
          <w:spacing w:val="-1"/>
          <w:sz w:val="23"/>
          <w:szCs w:val="23"/>
        </w:rPr>
        <w:t xml:space="preserve">2 </w:t>
      </w:r>
      <w:r>
        <w:rPr>
          <w:rFonts w:ascii="宋体" w:hAnsi="宋体" w:eastAsia="宋体" w:cs="宋体"/>
          <w:spacing w:val="-1"/>
          <w:sz w:val="23"/>
          <w:szCs w:val="23"/>
        </w:rPr>
        <w:t xml:space="preserve">日，连续监测 </w:t>
      </w:r>
      <w:r>
        <w:rPr>
          <w:rFonts w:ascii="Times New Roman" w:hAnsi="Times New Roman" w:eastAsia="Times New Roman" w:cs="Times New Roman"/>
          <w:spacing w:val="-1"/>
          <w:sz w:val="23"/>
          <w:szCs w:val="23"/>
        </w:rPr>
        <w:t xml:space="preserve">7 </w:t>
      </w:r>
      <w:r>
        <w:rPr>
          <w:rFonts w:ascii="宋体" w:hAnsi="宋体" w:eastAsia="宋体" w:cs="宋体"/>
          <w:spacing w:val="-1"/>
          <w:sz w:val="23"/>
          <w:szCs w:val="23"/>
        </w:rPr>
        <w:t>天。</w:t>
      </w:r>
    </w:p>
    <w:p w14:paraId="02DDF709">
      <w:pPr>
        <w:spacing w:before="183" w:line="375" w:lineRule="auto"/>
        <w:ind w:left="321" w:right="444" w:firstLine="477"/>
        <w:rPr>
          <w:rFonts w:ascii="宋体" w:hAnsi="宋体" w:eastAsia="宋体" w:cs="宋体"/>
          <w:sz w:val="23"/>
          <w:szCs w:val="23"/>
        </w:rPr>
      </w:pPr>
      <w:r>
        <w:rPr>
          <w:rFonts w:ascii="Times New Roman" w:hAnsi="Times New Roman" w:eastAsia="Times New Roman" w:cs="Times New Roman"/>
          <w:sz w:val="23"/>
          <w:szCs w:val="23"/>
        </w:rPr>
        <w:t>TSP</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 xml:space="preserve">每天获取 </w:t>
      </w:r>
      <w:r>
        <w:rPr>
          <w:rFonts w:ascii="Times New Roman" w:hAnsi="Times New Roman" w:eastAsia="Times New Roman" w:cs="Times New Roman"/>
          <w:spacing w:val="-1"/>
          <w:sz w:val="23"/>
          <w:szCs w:val="23"/>
        </w:rPr>
        <w:t xml:space="preserve">1 </w:t>
      </w:r>
      <w:r>
        <w:rPr>
          <w:rFonts w:ascii="宋体" w:hAnsi="宋体" w:eastAsia="宋体" w:cs="宋体"/>
          <w:spacing w:val="-1"/>
          <w:sz w:val="23"/>
          <w:szCs w:val="23"/>
        </w:rPr>
        <w:t xml:space="preserve">个 </w:t>
      </w:r>
      <w:r>
        <w:rPr>
          <w:rFonts w:ascii="Times New Roman" w:hAnsi="Times New Roman" w:eastAsia="Times New Roman" w:cs="Times New Roman"/>
          <w:spacing w:val="-1"/>
          <w:sz w:val="23"/>
          <w:szCs w:val="23"/>
        </w:rPr>
        <w:t xml:space="preserve">24 </w:t>
      </w:r>
      <w:r>
        <w:rPr>
          <w:rFonts w:ascii="宋体" w:hAnsi="宋体" w:eastAsia="宋体" w:cs="宋体"/>
          <w:spacing w:val="-1"/>
          <w:sz w:val="23"/>
          <w:szCs w:val="23"/>
        </w:rPr>
        <w:t>小时平均值；</w:t>
      </w:r>
      <w:r>
        <w:rPr>
          <w:rFonts w:ascii="Times New Roman" w:hAnsi="Times New Roman" w:eastAsia="Times New Roman" w:cs="Times New Roman"/>
          <w:sz w:val="23"/>
          <w:szCs w:val="23"/>
        </w:rPr>
        <w:t>NH</w:t>
      </w:r>
      <w:r>
        <w:rPr>
          <w:rFonts w:ascii="Times New Roman" w:hAnsi="Times New Roman" w:eastAsia="Times New Roman" w:cs="Times New Roman"/>
          <w:spacing w:val="-1"/>
          <w:position w:val="-1"/>
          <w:sz w:val="15"/>
          <w:szCs w:val="15"/>
        </w:rPr>
        <w:t xml:space="preserve">3 </w:t>
      </w:r>
      <w:r>
        <w:rPr>
          <w:rFonts w:ascii="宋体" w:hAnsi="宋体" w:eastAsia="宋体" w:cs="宋体"/>
          <w:spacing w:val="-1"/>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1"/>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 xml:space="preserve">、臭气浓度监测 </w:t>
      </w:r>
      <w:r>
        <w:rPr>
          <w:rFonts w:ascii="Times New Roman" w:hAnsi="Times New Roman" w:eastAsia="Times New Roman" w:cs="Times New Roman"/>
          <w:spacing w:val="-1"/>
          <w:sz w:val="23"/>
          <w:szCs w:val="23"/>
        </w:rPr>
        <w:t xml:space="preserve">1 </w:t>
      </w:r>
      <w:r>
        <w:rPr>
          <w:rFonts w:ascii="宋体" w:hAnsi="宋体" w:eastAsia="宋体" w:cs="宋体"/>
          <w:spacing w:val="-1"/>
          <w:sz w:val="23"/>
          <w:szCs w:val="23"/>
        </w:rPr>
        <w:t>小时平均</w:t>
      </w:r>
      <w:r>
        <w:rPr>
          <w:rFonts w:ascii="宋体" w:hAnsi="宋体" w:eastAsia="宋体" w:cs="宋体"/>
          <w:sz w:val="23"/>
          <w:szCs w:val="23"/>
        </w:rPr>
        <w:t xml:space="preserve">浓度， </w:t>
      </w:r>
      <w:r>
        <w:rPr>
          <w:rFonts w:ascii="Times New Roman" w:hAnsi="Times New Roman" w:eastAsia="Times New Roman" w:cs="Times New Roman"/>
          <w:spacing w:val="1"/>
          <w:sz w:val="23"/>
          <w:szCs w:val="23"/>
        </w:rPr>
        <w:t xml:space="preserve">1 </w:t>
      </w:r>
      <w:r>
        <w:rPr>
          <w:rFonts w:ascii="宋体" w:hAnsi="宋体" w:eastAsia="宋体" w:cs="宋体"/>
          <w:spacing w:val="1"/>
          <w:sz w:val="23"/>
          <w:szCs w:val="23"/>
        </w:rPr>
        <w:t xml:space="preserve">小时平均浓度每天采样 </w:t>
      </w:r>
      <w:r>
        <w:rPr>
          <w:rFonts w:ascii="Times New Roman" w:hAnsi="Times New Roman" w:eastAsia="Times New Roman" w:cs="Times New Roman"/>
          <w:spacing w:val="1"/>
          <w:sz w:val="23"/>
          <w:szCs w:val="23"/>
        </w:rPr>
        <w:t xml:space="preserve">4 </w:t>
      </w:r>
      <w:r>
        <w:rPr>
          <w:rFonts w:ascii="宋体" w:hAnsi="宋体" w:eastAsia="宋体" w:cs="宋体"/>
          <w:spacing w:val="1"/>
          <w:sz w:val="23"/>
          <w:szCs w:val="23"/>
        </w:rPr>
        <w:t xml:space="preserve">次，开始时间为 </w:t>
      </w:r>
      <w:r>
        <w:rPr>
          <w:rFonts w:ascii="Times New Roman" w:hAnsi="Times New Roman" w:eastAsia="Times New Roman" w:cs="Times New Roman"/>
          <w:spacing w:val="1"/>
          <w:sz w:val="23"/>
          <w:szCs w:val="23"/>
        </w:rPr>
        <w:t>02</w:t>
      </w:r>
      <w:r>
        <w:rPr>
          <w:rFonts w:ascii="宋体" w:hAnsi="宋体" w:eastAsia="宋体" w:cs="宋体"/>
          <w:spacing w:val="1"/>
          <w:sz w:val="23"/>
          <w:szCs w:val="23"/>
        </w:rPr>
        <w:t>：</w:t>
      </w:r>
      <w:r>
        <w:rPr>
          <w:rFonts w:ascii="Times New Roman" w:hAnsi="Times New Roman" w:eastAsia="Times New Roman" w:cs="Times New Roman"/>
          <w:spacing w:val="1"/>
          <w:sz w:val="23"/>
          <w:szCs w:val="23"/>
        </w:rPr>
        <w:t xml:space="preserve">00 </w:t>
      </w:r>
      <w:r>
        <w:rPr>
          <w:rFonts w:ascii="宋体" w:hAnsi="宋体" w:eastAsia="宋体" w:cs="宋体"/>
          <w:sz w:val="23"/>
          <w:szCs w:val="23"/>
        </w:rPr>
        <w:t>、</w:t>
      </w:r>
      <w:r>
        <w:rPr>
          <w:rFonts w:ascii="Times New Roman" w:hAnsi="Times New Roman" w:eastAsia="Times New Roman" w:cs="Times New Roman"/>
          <w:sz w:val="23"/>
          <w:szCs w:val="23"/>
        </w:rPr>
        <w:t>08</w:t>
      </w:r>
      <w:r>
        <w:rPr>
          <w:rFonts w:ascii="宋体" w:hAnsi="宋体" w:eastAsia="宋体" w:cs="宋体"/>
          <w:sz w:val="23"/>
          <w:szCs w:val="23"/>
        </w:rPr>
        <w:t>：</w:t>
      </w:r>
      <w:r>
        <w:rPr>
          <w:rFonts w:ascii="Times New Roman" w:hAnsi="Times New Roman" w:eastAsia="Times New Roman" w:cs="Times New Roman"/>
          <w:sz w:val="23"/>
          <w:szCs w:val="23"/>
        </w:rPr>
        <w:t xml:space="preserve">00 </w:t>
      </w:r>
      <w:r>
        <w:rPr>
          <w:rFonts w:ascii="宋体" w:hAnsi="宋体" w:eastAsia="宋体" w:cs="宋体"/>
          <w:sz w:val="23"/>
          <w:szCs w:val="23"/>
        </w:rPr>
        <w:t>、</w:t>
      </w:r>
      <w:r>
        <w:rPr>
          <w:rFonts w:ascii="Times New Roman" w:hAnsi="Times New Roman" w:eastAsia="Times New Roman" w:cs="Times New Roman"/>
          <w:sz w:val="23"/>
          <w:szCs w:val="23"/>
        </w:rPr>
        <w:t>14</w:t>
      </w:r>
      <w:r>
        <w:rPr>
          <w:rFonts w:ascii="宋体" w:hAnsi="宋体" w:eastAsia="宋体" w:cs="宋体"/>
          <w:sz w:val="23"/>
          <w:szCs w:val="23"/>
        </w:rPr>
        <w:t>：</w:t>
      </w:r>
      <w:r>
        <w:rPr>
          <w:rFonts w:ascii="Times New Roman" w:hAnsi="Times New Roman" w:eastAsia="Times New Roman" w:cs="Times New Roman"/>
          <w:sz w:val="23"/>
          <w:szCs w:val="23"/>
        </w:rPr>
        <w:t xml:space="preserve">00 </w:t>
      </w:r>
      <w:r>
        <w:rPr>
          <w:rFonts w:ascii="宋体" w:hAnsi="宋体" w:eastAsia="宋体" w:cs="宋体"/>
          <w:sz w:val="23"/>
          <w:szCs w:val="23"/>
        </w:rPr>
        <w:t>、</w:t>
      </w:r>
      <w:r>
        <w:rPr>
          <w:rFonts w:ascii="Times New Roman" w:hAnsi="Times New Roman" w:eastAsia="Times New Roman" w:cs="Times New Roman"/>
          <w:sz w:val="23"/>
          <w:szCs w:val="23"/>
        </w:rPr>
        <w:t>20</w:t>
      </w:r>
      <w:r>
        <w:rPr>
          <w:rFonts w:ascii="宋体" w:hAnsi="宋体" w:eastAsia="宋体" w:cs="宋体"/>
          <w:sz w:val="23"/>
          <w:szCs w:val="23"/>
        </w:rPr>
        <w:t>：</w:t>
      </w:r>
      <w:r>
        <w:rPr>
          <w:rFonts w:ascii="Times New Roman" w:hAnsi="Times New Roman" w:eastAsia="Times New Roman" w:cs="Times New Roman"/>
          <w:sz w:val="23"/>
          <w:szCs w:val="23"/>
        </w:rPr>
        <w:t xml:space="preserve">00 </w:t>
      </w:r>
      <w:r>
        <w:rPr>
          <w:rFonts w:ascii="宋体" w:hAnsi="宋体" w:eastAsia="宋体" w:cs="宋体"/>
          <w:sz w:val="23"/>
          <w:szCs w:val="23"/>
        </w:rPr>
        <w:t xml:space="preserve">，每 </w:t>
      </w:r>
      <w:r>
        <w:rPr>
          <w:rFonts w:ascii="宋体" w:hAnsi="宋体" w:eastAsia="宋体" w:cs="宋体"/>
          <w:spacing w:val="2"/>
          <w:sz w:val="23"/>
          <w:szCs w:val="23"/>
        </w:rPr>
        <w:t xml:space="preserve">个时段采样 </w:t>
      </w:r>
      <w:r>
        <w:rPr>
          <w:rFonts w:ascii="Times New Roman" w:hAnsi="Times New Roman" w:eastAsia="Times New Roman" w:cs="Times New Roman"/>
          <w:spacing w:val="1"/>
          <w:sz w:val="23"/>
          <w:szCs w:val="23"/>
        </w:rPr>
        <w:t xml:space="preserve">60 </w:t>
      </w:r>
      <w:r>
        <w:rPr>
          <w:rFonts w:ascii="宋体" w:hAnsi="宋体" w:eastAsia="宋体" w:cs="宋体"/>
          <w:spacing w:val="1"/>
          <w:sz w:val="23"/>
          <w:szCs w:val="23"/>
        </w:rPr>
        <w:t>分钟；</w:t>
      </w:r>
    </w:p>
    <w:p w14:paraId="185AD516">
      <w:pPr>
        <w:spacing w:line="228" w:lineRule="auto"/>
        <w:ind w:left="812"/>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8"/>
          <w:sz w:val="23"/>
          <w:szCs w:val="23"/>
        </w:rPr>
        <w:t>5</w:t>
      </w:r>
      <w:r>
        <w:rPr>
          <w:rFonts w:ascii="宋体" w:hAnsi="宋体" w:eastAsia="宋体" w:cs="宋体"/>
          <w:spacing w:val="18"/>
          <w:sz w:val="23"/>
          <w:szCs w:val="23"/>
        </w:rPr>
        <w:t>) 监测分析方</w:t>
      </w:r>
      <w:r>
        <w:rPr>
          <w:rFonts w:ascii="宋体" w:hAnsi="宋体" w:eastAsia="宋体" w:cs="宋体"/>
          <w:spacing w:val="17"/>
          <w:sz w:val="23"/>
          <w:szCs w:val="23"/>
        </w:rPr>
        <w:t>法</w:t>
      </w:r>
    </w:p>
    <w:p w14:paraId="6FAD650A">
      <w:pPr>
        <w:spacing w:before="181" w:line="375" w:lineRule="auto"/>
        <w:ind w:left="332" w:right="534" w:firstLine="483"/>
        <w:rPr>
          <w:rFonts w:ascii="宋体" w:hAnsi="宋体" w:eastAsia="宋体" w:cs="宋体"/>
          <w:sz w:val="23"/>
          <w:szCs w:val="23"/>
        </w:rPr>
      </w:pPr>
      <w:r>
        <w:rPr>
          <w:rFonts w:ascii="宋体" w:hAnsi="宋体" w:eastAsia="宋体" w:cs="宋体"/>
          <w:spacing w:val="33"/>
          <w:sz w:val="23"/>
          <w:szCs w:val="23"/>
        </w:rPr>
        <w:t>本</w:t>
      </w:r>
      <w:r>
        <w:rPr>
          <w:rFonts w:ascii="宋体" w:hAnsi="宋体" w:eastAsia="宋体" w:cs="宋体"/>
          <w:spacing w:val="24"/>
          <w:sz w:val="23"/>
          <w:szCs w:val="23"/>
        </w:rPr>
        <w:t>项目大气环境质量现状监测分析按《环境空气质量手工监测技术规范》</w:t>
      </w:r>
      <w:r>
        <w:rPr>
          <w:rFonts w:ascii="宋体" w:hAnsi="宋体" w:eastAsia="宋体" w:cs="宋体"/>
          <w:sz w:val="23"/>
          <w:szCs w:val="23"/>
        </w:rPr>
        <w:t xml:space="preserve"> </w:t>
      </w:r>
      <w:r>
        <w:rPr>
          <w:rFonts w:ascii="宋体" w:hAnsi="宋体" w:eastAsia="宋体" w:cs="宋体"/>
          <w:spacing w:val="26"/>
          <w:sz w:val="23"/>
          <w:szCs w:val="23"/>
        </w:rPr>
        <w:t>(</w:t>
      </w:r>
      <w:r>
        <w:rPr>
          <w:rFonts w:ascii="Times New Roman" w:hAnsi="Times New Roman" w:eastAsia="Times New Roman" w:cs="Times New Roman"/>
          <w:sz w:val="23"/>
          <w:szCs w:val="23"/>
        </w:rPr>
        <w:t>HJ</w:t>
      </w:r>
      <w:r>
        <w:rPr>
          <w:rFonts w:ascii="Times New Roman" w:hAnsi="Times New Roman" w:eastAsia="Times New Roman" w:cs="Times New Roman"/>
          <w:spacing w:val="23"/>
          <w:sz w:val="23"/>
          <w:szCs w:val="23"/>
        </w:rPr>
        <w:t>1</w:t>
      </w:r>
      <w:r>
        <w:rPr>
          <w:rFonts w:ascii="Times New Roman" w:hAnsi="Times New Roman" w:eastAsia="Times New Roman" w:cs="Times New Roman"/>
          <w:spacing w:val="13"/>
          <w:sz w:val="23"/>
          <w:szCs w:val="23"/>
        </w:rPr>
        <w:t>94-2017</w:t>
      </w:r>
      <w:r>
        <w:rPr>
          <w:rFonts w:ascii="宋体" w:hAnsi="宋体" w:eastAsia="宋体" w:cs="宋体"/>
          <w:spacing w:val="13"/>
          <w:sz w:val="23"/>
          <w:szCs w:val="23"/>
        </w:rPr>
        <w:t xml:space="preserve">) 进行，具体分析方法详见表 </w:t>
      </w:r>
      <w:r>
        <w:rPr>
          <w:rFonts w:ascii="Times New Roman" w:hAnsi="Times New Roman" w:eastAsia="Times New Roman" w:cs="Times New Roman"/>
          <w:spacing w:val="13"/>
          <w:sz w:val="23"/>
          <w:szCs w:val="23"/>
        </w:rPr>
        <w:t>4.2-3</w:t>
      </w:r>
      <w:r>
        <w:rPr>
          <w:rFonts w:ascii="宋体" w:hAnsi="宋体" w:eastAsia="宋体" w:cs="宋体"/>
          <w:spacing w:val="13"/>
          <w:sz w:val="23"/>
          <w:szCs w:val="23"/>
        </w:rPr>
        <w:t>。</w:t>
      </w:r>
    </w:p>
    <w:p w14:paraId="6A0A1C61">
      <w:pPr>
        <w:spacing w:line="222" w:lineRule="auto"/>
        <w:ind w:left="2998"/>
        <w:rPr>
          <w:rFonts w:ascii="黑体" w:hAnsi="黑体" w:eastAsia="黑体" w:cs="黑体"/>
          <w:sz w:val="23"/>
          <w:szCs w:val="23"/>
        </w:rPr>
      </w:pPr>
      <w:r>
        <w:rPr>
          <w:rFonts w:ascii="黑体" w:hAnsi="黑体" w:eastAsia="黑体" w:cs="黑体"/>
          <w:spacing w:val="6"/>
          <w:sz w:val="23"/>
          <w:szCs w:val="23"/>
        </w:rPr>
        <w:t xml:space="preserve">表 </w:t>
      </w:r>
      <w:r>
        <w:rPr>
          <w:rFonts w:ascii="Times New Roman" w:hAnsi="Times New Roman" w:eastAsia="Times New Roman" w:cs="Times New Roman"/>
          <w:spacing w:val="6"/>
          <w:sz w:val="23"/>
          <w:szCs w:val="23"/>
        </w:rPr>
        <w:t>4</w:t>
      </w:r>
      <w:r>
        <w:rPr>
          <w:rFonts w:ascii="Times New Roman" w:hAnsi="Times New Roman" w:eastAsia="Times New Roman" w:cs="Times New Roman"/>
          <w:spacing w:val="3"/>
          <w:sz w:val="23"/>
          <w:szCs w:val="23"/>
        </w:rPr>
        <w:t xml:space="preserve">.2-3  </w:t>
      </w:r>
      <w:r>
        <w:rPr>
          <w:rFonts w:ascii="黑体" w:hAnsi="黑体" w:eastAsia="黑体" w:cs="黑体"/>
          <w:spacing w:val="3"/>
          <w:sz w:val="23"/>
          <w:szCs w:val="23"/>
        </w:rPr>
        <w:t>监测分析方法及检出限</w:t>
      </w:r>
    </w:p>
    <w:tbl>
      <w:tblPr>
        <w:tblStyle w:val="4"/>
        <w:tblW w:w="9286" w:type="dxa"/>
        <w:tblInd w:w="2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1679"/>
        <w:gridCol w:w="4680"/>
        <w:gridCol w:w="2217"/>
      </w:tblGrid>
      <w:tr w14:paraId="6450A8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10" w:type="dxa"/>
            <w:tcBorders>
              <w:left w:val="nil"/>
            </w:tcBorders>
          </w:tcPr>
          <w:p w14:paraId="20EF96DF">
            <w:pPr>
              <w:spacing w:before="57" w:line="225" w:lineRule="auto"/>
              <w:ind w:left="152"/>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1679" w:type="dxa"/>
          </w:tcPr>
          <w:p w14:paraId="227BB67D">
            <w:pPr>
              <w:spacing w:before="57" w:line="225" w:lineRule="auto"/>
              <w:ind w:left="425"/>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监</w:t>
            </w:r>
            <w:r>
              <w:rPr>
                <w:rFonts w:ascii="宋体" w:hAnsi="宋体" w:eastAsia="宋体" w:cs="宋体"/>
                <w:spacing w:val="8"/>
                <w:sz w:val="20"/>
                <w:szCs w:val="20"/>
                <w14:textOutline w14:w="3797" w14:cap="sq" w14:cmpd="sng" w14:algn="ctr">
                  <w14:solidFill>
                    <w14:srgbClr w14:val="000000"/>
                  </w14:solidFill>
                  <w14:prstDash w14:val="solid"/>
                  <w14:bevel/>
                </w14:textOutline>
              </w:rPr>
              <w:t>测项目</w:t>
            </w:r>
          </w:p>
        </w:tc>
        <w:tc>
          <w:tcPr>
            <w:tcW w:w="4680" w:type="dxa"/>
          </w:tcPr>
          <w:p w14:paraId="7F14AC34">
            <w:pPr>
              <w:spacing w:before="57" w:line="225" w:lineRule="auto"/>
              <w:ind w:left="1927"/>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分析方</w:t>
            </w:r>
            <w:r>
              <w:rPr>
                <w:rFonts w:ascii="宋体" w:hAnsi="宋体" w:eastAsia="宋体" w:cs="宋体"/>
                <w:spacing w:val="7"/>
                <w:sz w:val="20"/>
                <w:szCs w:val="20"/>
                <w14:textOutline w14:w="3797" w14:cap="sq" w14:cmpd="sng" w14:algn="ctr">
                  <w14:solidFill>
                    <w14:srgbClr w14:val="000000"/>
                  </w14:solidFill>
                  <w14:prstDash w14:val="solid"/>
                  <w14:bevel/>
                </w14:textOutline>
              </w:rPr>
              <w:t>法</w:t>
            </w:r>
          </w:p>
        </w:tc>
        <w:tc>
          <w:tcPr>
            <w:tcW w:w="2217" w:type="dxa"/>
            <w:tcBorders>
              <w:right w:val="nil"/>
            </w:tcBorders>
          </w:tcPr>
          <w:p w14:paraId="571F3C14">
            <w:pPr>
              <w:spacing w:before="57" w:line="225" w:lineRule="auto"/>
              <w:ind w:left="274"/>
              <w:rPr>
                <w:rFonts w:ascii="宋体" w:hAnsi="宋体" w:eastAsia="宋体" w:cs="宋体"/>
                <w:sz w:val="20"/>
                <w:szCs w:val="20"/>
              </w:rPr>
            </w:pPr>
            <w:r>
              <w:rPr>
                <w:rFonts w:ascii="宋体" w:hAnsi="宋体" w:eastAsia="宋体" w:cs="宋体"/>
                <w:spacing w:val="13"/>
                <w:sz w:val="20"/>
                <w:szCs w:val="20"/>
                <w14:textOutline w14:w="3797" w14:cap="sq" w14:cmpd="sng" w14:algn="ctr">
                  <w14:solidFill>
                    <w14:srgbClr w14:val="000000"/>
                  </w14:solidFill>
                  <w14:prstDash w14:val="solid"/>
                  <w14:bevel/>
                </w14:textOutline>
              </w:rPr>
              <w:t>检</w:t>
            </w:r>
            <w:r>
              <w:rPr>
                <w:rFonts w:ascii="宋体" w:hAnsi="宋体" w:eastAsia="宋体" w:cs="宋体"/>
                <w:spacing w:val="9"/>
                <w:sz w:val="20"/>
                <w:szCs w:val="20"/>
                <w14:textOutline w14:w="3797" w14:cap="sq" w14:cmpd="sng" w14:algn="ctr">
                  <w14:solidFill>
                    <w14:srgbClr w14:val="000000"/>
                  </w14:solidFill>
                  <w14:prstDash w14:val="solid"/>
                  <w14:bevel/>
                </w14:textOutline>
              </w:rPr>
              <w:t>出限或测定下限</w:t>
            </w:r>
          </w:p>
        </w:tc>
      </w:tr>
      <w:tr w14:paraId="7A3222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10" w:type="dxa"/>
            <w:tcBorders>
              <w:left w:val="nil"/>
            </w:tcBorders>
          </w:tcPr>
          <w:p w14:paraId="055948CB">
            <w:pPr>
              <w:spacing w:before="204" w:line="195" w:lineRule="auto"/>
              <w:ind w:left="325"/>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679" w:type="dxa"/>
          </w:tcPr>
          <w:p w14:paraId="4D4A5143">
            <w:pPr>
              <w:spacing w:before="168" w:line="228" w:lineRule="auto"/>
              <w:ind w:left="239"/>
              <w:rPr>
                <w:rFonts w:ascii="宋体" w:hAnsi="宋体" w:eastAsia="宋体" w:cs="宋体"/>
                <w:sz w:val="20"/>
                <w:szCs w:val="20"/>
              </w:rPr>
            </w:pPr>
            <w:r>
              <w:rPr>
                <w:rFonts w:ascii="宋体" w:hAnsi="宋体" w:eastAsia="宋体" w:cs="宋体"/>
                <w:spacing w:val="6"/>
                <w:sz w:val="20"/>
                <w:szCs w:val="20"/>
              </w:rPr>
              <w:t>氨</w:t>
            </w:r>
            <w:r>
              <w:rPr>
                <w:rFonts w:ascii="宋体" w:hAnsi="宋体" w:eastAsia="宋体" w:cs="宋体"/>
                <w:spacing w:val="5"/>
                <w:sz w:val="20"/>
                <w:szCs w:val="20"/>
              </w:rPr>
              <w:t>气 (</w:t>
            </w:r>
            <w:r>
              <w:rPr>
                <w:rFonts w:ascii="Times New Roman" w:hAnsi="Times New Roman" w:eastAsia="Times New Roman" w:cs="Times New Roman"/>
                <w:sz w:val="20"/>
                <w:szCs w:val="20"/>
              </w:rPr>
              <w:t>NH</w:t>
            </w:r>
            <w:r>
              <w:rPr>
                <w:rFonts w:ascii="Times New Roman" w:hAnsi="Times New Roman" w:eastAsia="Times New Roman" w:cs="Times New Roman"/>
                <w:spacing w:val="5"/>
                <w:position w:val="-1"/>
                <w:sz w:val="13"/>
                <w:szCs w:val="13"/>
              </w:rPr>
              <w:t xml:space="preserve">3 </w:t>
            </w:r>
            <w:r>
              <w:rPr>
                <w:rFonts w:ascii="宋体" w:hAnsi="宋体" w:eastAsia="宋体" w:cs="宋体"/>
                <w:spacing w:val="5"/>
                <w:sz w:val="20"/>
                <w:szCs w:val="20"/>
              </w:rPr>
              <w:t>)</w:t>
            </w:r>
          </w:p>
        </w:tc>
        <w:tc>
          <w:tcPr>
            <w:tcW w:w="4680" w:type="dxa"/>
          </w:tcPr>
          <w:p w14:paraId="371C560D">
            <w:pPr>
              <w:spacing w:before="31" w:line="239" w:lineRule="auto"/>
              <w:ind w:left="1381" w:right="134" w:hanging="1236"/>
              <w:rPr>
                <w:rFonts w:ascii="宋体" w:hAnsi="宋体" w:eastAsia="宋体" w:cs="宋体"/>
                <w:sz w:val="20"/>
                <w:szCs w:val="20"/>
              </w:rPr>
            </w:pPr>
            <w:r>
              <w:rPr>
                <w:rFonts w:ascii="宋体" w:hAnsi="宋体" w:eastAsia="宋体" w:cs="宋体"/>
                <w:spacing w:val="9"/>
                <w:sz w:val="20"/>
                <w:szCs w:val="20"/>
              </w:rPr>
              <w:t>《环境空气和废气 氨的测定 纳氏试剂分光光</w:t>
            </w:r>
            <w:r>
              <w:rPr>
                <w:rFonts w:ascii="宋体" w:hAnsi="宋体" w:eastAsia="宋体" w:cs="宋体"/>
                <w:spacing w:val="6"/>
                <w:sz w:val="20"/>
                <w:szCs w:val="20"/>
              </w:rPr>
              <w:t>度</w:t>
            </w:r>
            <w:r>
              <w:rPr>
                <w:rFonts w:ascii="宋体" w:hAnsi="宋体" w:eastAsia="宋体" w:cs="宋体"/>
                <w:sz w:val="20"/>
                <w:szCs w:val="20"/>
              </w:rPr>
              <w:t xml:space="preserve"> </w:t>
            </w:r>
            <w:r>
              <w:rPr>
                <w:rFonts w:ascii="宋体" w:hAnsi="宋体" w:eastAsia="宋体" w:cs="宋体"/>
                <w:spacing w:val="-2"/>
                <w:sz w:val="20"/>
                <w:szCs w:val="20"/>
              </w:rPr>
              <w:t>法》  (</w:t>
            </w:r>
            <w:r>
              <w:rPr>
                <w:rFonts w:ascii="Times New Roman" w:hAnsi="Times New Roman" w:eastAsia="Times New Roman" w:cs="Times New Roman"/>
                <w:spacing w:val="-1"/>
                <w:sz w:val="20"/>
                <w:szCs w:val="20"/>
              </w:rPr>
              <w:t>HJ</w:t>
            </w:r>
            <w:r>
              <w:rPr>
                <w:rFonts w:ascii="Times New Roman" w:hAnsi="Times New Roman" w:eastAsia="Times New Roman" w:cs="Times New Roman"/>
                <w:spacing w:val="-2"/>
                <w:sz w:val="20"/>
                <w:szCs w:val="20"/>
              </w:rPr>
              <w:t xml:space="preserve"> 533</w:t>
            </w:r>
            <w:r>
              <w:rPr>
                <w:rFonts w:ascii="Times New Roman" w:hAnsi="Times New Roman" w:eastAsia="Times New Roman" w:cs="Times New Roman"/>
                <w:spacing w:val="-1"/>
                <w:sz w:val="20"/>
                <w:szCs w:val="20"/>
              </w:rPr>
              <w:t>-2009</w:t>
            </w:r>
            <w:r>
              <w:rPr>
                <w:rFonts w:ascii="宋体" w:hAnsi="宋体" w:eastAsia="宋体" w:cs="宋体"/>
                <w:spacing w:val="-1"/>
                <w:sz w:val="20"/>
                <w:szCs w:val="20"/>
              </w:rPr>
              <w:t>)</w:t>
            </w:r>
          </w:p>
        </w:tc>
        <w:tc>
          <w:tcPr>
            <w:tcW w:w="2217" w:type="dxa"/>
            <w:tcBorders>
              <w:right w:val="nil"/>
            </w:tcBorders>
          </w:tcPr>
          <w:p w14:paraId="551DFAFA">
            <w:pPr>
              <w:spacing w:before="130" w:line="281" w:lineRule="exact"/>
              <w:ind w:left="768"/>
              <w:rPr>
                <w:rFonts w:ascii="Times New Roman" w:hAnsi="Times New Roman" w:eastAsia="Times New Roman" w:cs="Times New Roman"/>
                <w:sz w:val="13"/>
                <w:szCs w:val="13"/>
              </w:rPr>
            </w:pPr>
            <w:r>
              <w:rPr>
                <w:rFonts w:ascii="Times New Roman" w:hAnsi="Times New Roman" w:eastAsia="Times New Roman" w:cs="Times New Roman"/>
                <w:spacing w:val="2"/>
                <w:position w:val="3"/>
                <w:sz w:val="20"/>
                <w:szCs w:val="20"/>
              </w:rPr>
              <w:t>10µ</w:t>
            </w:r>
            <w:r>
              <w:rPr>
                <w:rFonts w:ascii="Times New Roman" w:hAnsi="Times New Roman" w:eastAsia="Times New Roman" w:cs="Times New Roman"/>
                <w:position w:val="3"/>
                <w:sz w:val="20"/>
                <w:szCs w:val="20"/>
              </w:rPr>
              <w:t>g</w:t>
            </w:r>
            <w:r>
              <w:rPr>
                <w:rFonts w:ascii="Times New Roman" w:hAnsi="Times New Roman" w:eastAsia="Times New Roman" w:cs="Times New Roman"/>
                <w:spacing w:val="2"/>
                <w:position w:val="3"/>
                <w:sz w:val="20"/>
                <w:szCs w:val="20"/>
              </w:rPr>
              <w:t>/</w:t>
            </w:r>
            <w:r>
              <w:rPr>
                <w:rFonts w:ascii="Times New Roman" w:hAnsi="Times New Roman" w:eastAsia="Times New Roman" w:cs="Times New Roman"/>
                <w:position w:val="3"/>
                <w:sz w:val="20"/>
                <w:szCs w:val="20"/>
              </w:rPr>
              <w:t>m</w:t>
            </w:r>
            <w:r>
              <w:rPr>
                <w:rFonts w:ascii="Times New Roman" w:hAnsi="Times New Roman" w:eastAsia="Times New Roman" w:cs="Times New Roman"/>
                <w:spacing w:val="2"/>
                <w:position w:val="9"/>
                <w:sz w:val="13"/>
                <w:szCs w:val="13"/>
              </w:rPr>
              <w:t>3</w:t>
            </w:r>
          </w:p>
        </w:tc>
      </w:tr>
      <w:tr w14:paraId="11DDAA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10" w:type="dxa"/>
            <w:tcBorders>
              <w:left w:val="nil"/>
            </w:tcBorders>
          </w:tcPr>
          <w:p w14:paraId="70711EAD">
            <w:pPr>
              <w:spacing w:before="204" w:line="195" w:lineRule="auto"/>
              <w:ind w:left="305"/>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79" w:type="dxa"/>
          </w:tcPr>
          <w:p w14:paraId="3EB2C650">
            <w:pPr>
              <w:spacing w:before="168" w:line="229" w:lineRule="auto"/>
              <w:ind w:left="152"/>
              <w:rPr>
                <w:rFonts w:ascii="宋体" w:hAnsi="宋体" w:eastAsia="宋体" w:cs="宋体"/>
                <w:sz w:val="20"/>
                <w:szCs w:val="20"/>
              </w:rPr>
            </w:pPr>
            <w:r>
              <w:rPr>
                <w:rFonts w:ascii="宋体" w:hAnsi="宋体" w:eastAsia="宋体" w:cs="宋体"/>
                <w:spacing w:val="10"/>
                <w:sz w:val="20"/>
                <w:szCs w:val="20"/>
              </w:rPr>
              <w:t>硫</w:t>
            </w:r>
            <w:r>
              <w:rPr>
                <w:rFonts w:ascii="宋体" w:hAnsi="宋体" w:eastAsia="宋体" w:cs="宋体"/>
                <w:spacing w:val="6"/>
                <w:sz w:val="20"/>
                <w:szCs w:val="20"/>
              </w:rPr>
              <w:t>化氢 (</w:t>
            </w:r>
            <w:r>
              <w:rPr>
                <w:rFonts w:ascii="Times New Roman" w:hAnsi="Times New Roman" w:eastAsia="Times New Roman" w:cs="Times New Roman"/>
                <w:sz w:val="20"/>
                <w:szCs w:val="20"/>
              </w:rPr>
              <w:t>H</w:t>
            </w:r>
            <w:r>
              <w:rPr>
                <w:rFonts w:ascii="Times New Roman" w:hAnsi="Times New Roman" w:eastAsia="Times New Roman" w:cs="Times New Roman"/>
                <w:spacing w:val="6"/>
                <w:position w:val="-1"/>
                <w:sz w:val="13"/>
                <w:szCs w:val="13"/>
              </w:rPr>
              <w:t>2</w:t>
            </w:r>
            <w:r>
              <w:rPr>
                <w:rFonts w:ascii="Times New Roman" w:hAnsi="Times New Roman" w:eastAsia="Times New Roman" w:cs="Times New Roman"/>
                <w:sz w:val="20"/>
                <w:szCs w:val="20"/>
              </w:rPr>
              <w:t>S</w:t>
            </w:r>
            <w:r>
              <w:rPr>
                <w:rFonts w:ascii="宋体" w:hAnsi="宋体" w:eastAsia="宋体" w:cs="宋体"/>
                <w:spacing w:val="6"/>
                <w:sz w:val="20"/>
                <w:szCs w:val="20"/>
              </w:rPr>
              <w:t>)</w:t>
            </w:r>
          </w:p>
        </w:tc>
        <w:tc>
          <w:tcPr>
            <w:tcW w:w="4680" w:type="dxa"/>
          </w:tcPr>
          <w:p w14:paraId="6B6EC174">
            <w:pPr>
              <w:spacing w:before="34" w:line="237" w:lineRule="auto"/>
              <w:ind w:left="560" w:right="134" w:hanging="415"/>
              <w:rPr>
                <w:rFonts w:ascii="宋体" w:hAnsi="宋体" w:eastAsia="宋体" w:cs="宋体"/>
                <w:sz w:val="20"/>
                <w:szCs w:val="20"/>
              </w:rPr>
            </w:pPr>
            <w:r>
              <w:rPr>
                <w:rFonts w:ascii="宋体" w:hAnsi="宋体" w:eastAsia="宋体" w:cs="宋体"/>
                <w:spacing w:val="4"/>
                <w:sz w:val="20"/>
                <w:szCs w:val="20"/>
              </w:rPr>
              <w:t>《空气和废气监测分析方法》  (第四版) 国家</w:t>
            </w:r>
            <w:r>
              <w:rPr>
                <w:rFonts w:ascii="宋体" w:hAnsi="宋体" w:eastAsia="宋体" w:cs="宋体"/>
                <w:spacing w:val="3"/>
                <w:sz w:val="20"/>
                <w:szCs w:val="20"/>
              </w:rPr>
              <w:t>环</w:t>
            </w:r>
            <w:r>
              <w:rPr>
                <w:rFonts w:ascii="宋体" w:hAnsi="宋体" w:eastAsia="宋体" w:cs="宋体"/>
                <w:sz w:val="20"/>
                <w:szCs w:val="20"/>
              </w:rPr>
              <w:t xml:space="preserve"> </w:t>
            </w:r>
            <w:r>
              <w:rPr>
                <w:rFonts w:ascii="宋体" w:hAnsi="宋体" w:eastAsia="宋体" w:cs="宋体"/>
                <w:spacing w:val="14"/>
                <w:sz w:val="20"/>
                <w:szCs w:val="20"/>
              </w:rPr>
              <w:t>境</w:t>
            </w:r>
            <w:r>
              <w:rPr>
                <w:rFonts w:ascii="宋体" w:hAnsi="宋体" w:eastAsia="宋体" w:cs="宋体"/>
                <w:spacing w:val="12"/>
                <w:sz w:val="20"/>
                <w:szCs w:val="20"/>
              </w:rPr>
              <w:t>保</w:t>
            </w:r>
            <w:r>
              <w:rPr>
                <w:rFonts w:ascii="宋体" w:hAnsi="宋体" w:eastAsia="宋体" w:cs="宋体"/>
                <w:spacing w:val="7"/>
                <w:sz w:val="20"/>
                <w:szCs w:val="20"/>
              </w:rPr>
              <w:t>护总局 (</w:t>
            </w:r>
            <w:r>
              <w:rPr>
                <w:rFonts w:ascii="Times New Roman" w:hAnsi="Times New Roman" w:eastAsia="Times New Roman" w:cs="Times New Roman"/>
                <w:spacing w:val="7"/>
                <w:sz w:val="20"/>
                <w:szCs w:val="20"/>
              </w:rPr>
              <w:t>2003</w:t>
            </w:r>
            <w:r>
              <w:rPr>
                <w:rFonts w:ascii="宋体" w:hAnsi="宋体" w:eastAsia="宋体" w:cs="宋体"/>
                <w:spacing w:val="7"/>
                <w:sz w:val="20"/>
                <w:szCs w:val="20"/>
              </w:rPr>
              <w:t>) 亚甲蓝分光光度法</w:t>
            </w:r>
          </w:p>
        </w:tc>
        <w:tc>
          <w:tcPr>
            <w:tcW w:w="2217" w:type="dxa"/>
            <w:tcBorders>
              <w:right w:val="nil"/>
            </w:tcBorders>
          </w:tcPr>
          <w:p w14:paraId="1300698B">
            <w:pPr>
              <w:spacing w:before="131" w:line="281" w:lineRule="exact"/>
              <w:ind w:left="820"/>
              <w:rPr>
                <w:rFonts w:ascii="Times New Roman" w:hAnsi="Times New Roman" w:eastAsia="Times New Roman" w:cs="Times New Roman"/>
                <w:sz w:val="13"/>
                <w:szCs w:val="13"/>
              </w:rPr>
            </w:pPr>
            <w:r>
              <w:rPr>
                <w:rFonts w:ascii="Times New Roman" w:hAnsi="Times New Roman" w:eastAsia="Times New Roman" w:cs="Times New Roman"/>
                <w:spacing w:val="1"/>
                <w:position w:val="3"/>
                <w:sz w:val="20"/>
                <w:szCs w:val="20"/>
              </w:rPr>
              <w:t>1µ</w:t>
            </w:r>
            <w:r>
              <w:rPr>
                <w:rFonts w:ascii="Times New Roman" w:hAnsi="Times New Roman" w:eastAsia="Times New Roman" w:cs="Times New Roman"/>
                <w:position w:val="3"/>
                <w:sz w:val="20"/>
                <w:szCs w:val="20"/>
              </w:rPr>
              <w:t>g</w:t>
            </w:r>
            <w:r>
              <w:rPr>
                <w:rFonts w:ascii="Times New Roman" w:hAnsi="Times New Roman" w:eastAsia="Times New Roman" w:cs="Times New Roman"/>
                <w:spacing w:val="1"/>
                <w:position w:val="3"/>
                <w:sz w:val="20"/>
                <w:szCs w:val="20"/>
              </w:rPr>
              <w:t>/</w:t>
            </w:r>
            <w:r>
              <w:rPr>
                <w:rFonts w:ascii="Times New Roman" w:hAnsi="Times New Roman" w:eastAsia="Times New Roman" w:cs="Times New Roman"/>
                <w:position w:val="3"/>
                <w:sz w:val="20"/>
                <w:szCs w:val="20"/>
              </w:rPr>
              <w:t>m</w:t>
            </w:r>
            <w:r>
              <w:rPr>
                <w:rFonts w:ascii="Times New Roman" w:hAnsi="Times New Roman" w:eastAsia="Times New Roman" w:cs="Times New Roman"/>
                <w:spacing w:val="1"/>
                <w:position w:val="9"/>
                <w:sz w:val="13"/>
                <w:szCs w:val="13"/>
              </w:rPr>
              <w:t>3</w:t>
            </w:r>
          </w:p>
        </w:tc>
      </w:tr>
      <w:tr w14:paraId="7307F1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10" w:type="dxa"/>
            <w:tcBorders>
              <w:left w:val="nil"/>
            </w:tcBorders>
          </w:tcPr>
          <w:p w14:paraId="7FDA22C8">
            <w:pPr>
              <w:spacing w:before="206" w:line="195" w:lineRule="auto"/>
              <w:ind w:left="309"/>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679" w:type="dxa"/>
          </w:tcPr>
          <w:p w14:paraId="6E754D50">
            <w:pPr>
              <w:spacing w:before="206" w:line="195" w:lineRule="auto"/>
              <w:ind w:left="66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T</w:t>
            </w:r>
            <w:r>
              <w:rPr>
                <w:rFonts w:ascii="Times New Roman" w:hAnsi="Times New Roman" w:eastAsia="Times New Roman" w:cs="Times New Roman"/>
                <w:spacing w:val="3"/>
                <w:sz w:val="20"/>
                <w:szCs w:val="20"/>
              </w:rPr>
              <w:t>SP</w:t>
            </w:r>
          </w:p>
        </w:tc>
        <w:tc>
          <w:tcPr>
            <w:tcW w:w="4680" w:type="dxa"/>
          </w:tcPr>
          <w:p w14:paraId="2523DD3E">
            <w:pPr>
              <w:spacing w:before="33" w:line="218" w:lineRule="auto"/>
              <w:ind w:left="303"/>
              <w:rPr>
                <w:rFonts w:ascii="宋体" w:hAnsi="宋体" w:eastAsia="宋体" w:cs="宋体"/>
                <w:sz w:val="20"/>
                <w:szCs w:val="20"/>
              </w:rPr>
            </w:pPr>
            <w:r>
              <w:rPr>
                <w:rFonts w:ascii="宋体" w:hAnsi="宋体" w:eastAsia="宋体" w:cs="宋体"/>
                <w:spacing w:val="9"/>
                <w:sz w:val="20"/>
                <w:szCs w:val="20"/>
              </w:rPr>
              <w:t>《</w:t>
            </w:r>
            <w:r>
              <w:rPr>
                <w:rFonts w:ascii="宋体" w:hAnsi="宋体" w:eastAsia="宋体" w:cs="宋体"/>
                <w:spacing w:val="8"/>
                <w:sz w:val="20"/>
                <w:szCs w:val="20"/>
              </w:rPr>
              <w:t>环境空气 总悬浮颗粒物的测定  重量法》</w:t>
            </w:r>
          </w:p>
          <w:p w14:paraId="6BEB4BA4">
            <w:pPr>
              <w:spacing w:line="278" w:lineRule="exact"/>
              <w:ind w:left="1373"/>
              <w:rPr>
                <w:rFonts w:ascii="宋体" w:hAnsi="宋体" w:eastAsia="宋体" w:cs="宋体"/>
                <w:sz w:val="20"/>
                <w:szCs w:val="20"/>
              </w:rPr>
            </w:pPr>
            <w:r>
              <w:rPr>
                <w:rFonts w:ascii="宋体" w:hAnsi="宋体" w:eastAsia="宋体" w:cs="宋体"/>
                <w:spacing w:val="14"/>
                <w:position w:val="1"/>
                <w:sz w:val="20"/>
                <w:szCs w:val="20"/>
              </w:rPr>
              <w:t>(</w:t>
            </w:r>
            <w:r>
              <w:rPr>
                <w:rFonts w:ascii="Times New Roman" w:hAnsi="Times New Roman" w:eastAsia="Times New Roman" w:cs="Times New Roman"/>
                <w:position w:val="1"/>
                <w:sz w:val="20"/>
                <w:szCs w:val="20"/>
              </w:rPr>
              <w:t>GB</w:t>
            </w:r>
            <w:r>
              <w:rPr>
                <w:rFonts w:ascii="Times New Roman" w:hAnsi="Times New Roman" w:eastAsia="Times New Roman" w:cs="Times New Roman"/>
                <w:spacing w:val="7"/>
                <w:position w:val="1"/>
                <w:sz w:val="20"/>
                <w:szCs w:val="20"/>
              </w:rPr>
              <w:t>/</w:t>
            </w:r>
            <w:r>
              <w:rPr>
                <w:rFonts w:ascii="Times New Roman" w:hAnsi="Times New Roman" w:eastAsia="Times New Roman" w:cs="Times New Roman"/>
                <w:position w:val="1"/>
                <w:sz w:val="20"/>
                <w:szCs w:val="20"/>
              </w:rPr>
              <w:t>T</w:t>
            </w:r>
            <w:r>
              <w:rPr>
                <w:rFonts w:ascii="Times New Roman" w:hAnsi="Times New Roman" w:eastAsia="Times New Roman" w:cs="Times New Roman"/>
                <w:spacing w:val="7"/>
                <w:position w:val="1"/>
                <w:sz w:val="20"/>
                <w:szCs w:val="20"/>
              </w:rPr>
              <w:t xml:space="preserve"> 15432- 1995</w:t>
            </w:r>
            <w:r>
              <w:rPr>
                <w:rFonts w:ascii="宋体" w:hAnsi="宋体" w:eastAsia="宋体" w:cs="宋体"/>
                <w:spacing w:val="7"/>
                <w:position w:val="1"/>
                <w:sz w:val="20"/>
                <w:szCs w:val="20"/>
              </w:rPr>
              <w:t>)</w:t>
            </w:r>
          </w:p>
        </w:tc>
        <w:tc>
          <w:tcPr>
            <w:tcW w:w="2217" w:type="dxa"/>
            <w:tcBorders>
              <w:right w:val="nil"/>
            </w:tcBorders>
          </w:tcPr>
          <w:p w14:paraId="3CC1D4A7">
            <w:pPr>
              <w:spacing w:before="132" w:line="281" w:lineRule="exact"/>
              <w:ind w:left="820"/>
              <w:rPr>
                <w:rFonts w:ascii="Times New Roman" w:hAnsi="Times New Roman" w:eastAsia="Times New Roman" w:cs="Times New Roman"/>
                <w:sz w:val="13"/>
                <w:szCs w:val="13"/>
              </w:rPr>
            </w:pPr>
            <w:r>
              <w:rPr>
                <w:rFonts w:ascii="Times New Roman" w:hAnsi="Times New Roman" w:eastAsia="Times New Roman" w:cs="Times New Roman"/>
                <w:spacing w:val="1"/>
                <w:position w:val="3"/>
                <w:sz w:val="20"/>
                <w:szCs w:val="20"/>
              </w:rPr>
              <w:t>1µ</w:t>
            </w:r>
            <w:r>
              <w:rPr>
                <w:rFonts w:ascii="Times New Roman" w:hAnsi="Times New Roman" w:eastAsia="Times New Roman" w:cs="Times New Roman"/>
                <w:position w:val="3"/>
                <w:sz w:val="20"/>
                <w:szCs w:val="20"/>
              </w:rPr>
              <w:t>g</w:t>
            </w:r>
            <w:r>
              <w:rPr>
                <w:rFonts w:ascii="Times New Roman" w:hAnsi="Times New Roman" w:eastAsia="Times New Roman" w:cs="Times New Roman"/>
                <w:spacing w:val="1"/>
                <w:position w:val="3"/>
                <w:sz w:val="20"/>
                <w:szCs w:val="20"/>
              </w:rPr>
              <w:t>/</w:t>
            </w:r>
            <w:r>
              <w:rPr>
                <w:rFonts w:ascii="Times New Roman" w:hAnsi="Times New Roman" w:eastAsia="Times New Roman" w:cs="Times New Roman"/>
                <w:position w:val="3"/>
                <w:sz w:val="20"/>
                <w:szCs w:val="20"/>
              </w:rPr>
              <w:t>m</w:t>
            </w:r>
            <w:r>
              <w:rPr>
                <w:rFonts w:ascii="Times New Roman" w:hAnsi="Times New Roman" w:eastAsia="Times New Roman" w:cs="Times New Roman"/>
                <w:spacing w:val="1"/>
                <w:position w:val="9"/>
                <w:sz w:val="13"/>
                <w:szCs w:val="13"/>
              </w:rPr>
              <w:t>3</w:t>
            </w:r>
          </w:p>
        </w:tc>
      </w:tr>
      <w:tr w14:paraId="038A82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10" w:type="dxa"/>
            <w:tcBorders>
              <w:left w:val="nil"/>
            </w:tcBorders>
          </w:tcPr>
          <w:p w14:paraId="12B90B2D">
            <w:pPr>
              <w:spacing w:before="73" w:line="195" w:lineRule="auto"/>
              <w:ind w:left="30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679" w:type="dxa"/>
          </w:tcPr>
          <w:p w14:paraId="5FEE6EB9">
            <w:pPr>
              <w:spacing w:before="36" w:line="228" w:lineRule="auto"/>
              <w:ind w:left="424"/>
              <w:rPr>
                <w:rFonts w:ascii="宋体" w:hAnsi="宋体" w:eastAsia="宋体" w:cs="宋体"/>
                <w:sz w:val="20"/>
                <w:szCs w:val="20"/>
              </w:rPr>
            </w:pPr>
            <w:r>
              <w:rPr>
                <w:rFonts w:ascii="宋体" w:hAnsi="宋体" w:eastAsia="宋体" w:cs="宋体"/>
                <w:spacing w:val="8"/>
                <w:sz w:val="20"/>
                <w:szCs w:val="20"/>
              </w:rPr>
              <w:t>臭</w:t>
            </w:r>
            <w:r>
              <w:rPr>
                <w:rFonts w:ascii="宋体" w:hAnsi="宋体" w:eastAsia="宋体" w:cs="宋体"/>
                <w:spacing w:val="7"/>
                <w:sz w:val="20"/>
                <w:szCs w:val="20"/>
              </w:rPr>
              <w:t>气浓度</w:t>
            </w:r>
          </w:p>
        </w:tc>
        <w:tc>
          <w:tcPr>
            <w:tcW w:w="4680" w:type="dxa"/>
          </w:tcPr>
          <w:p w14:paraId="591AA3F2">
            <w:pPr>
              <w:spacing w:line="280" w:lineRule="exact"/>
              <w:ind w:left="523"/>
              <w:rPr>
                <w:rFonts w:ascii="宋体" w:hAnsi="宋体" w:eastAsia="宋体" w:cs="宋体"/>
                <w:sz w:val="20"/>
                <w:szCs w:val="20"/>
              </w:rPr>
            </w:pPr>
            <w:r>
              <w:rPr>
                <w:rFonts w:ascii="宋体" w:hAnsi="宋体" w:eastAsia="宋体" w:cs="宋体"/>
                <w:spacing w:val="8"/>
                <w:position w:val="1"/>
                <w:sz w:val="20"/>
                <w:szCs w:val="20"/>
              </w:rPr>
              <w:t>三</w:t>
            </w:r>
            <w:r>
              <w:rPr>
                <w:rFonts w:ascii="宋体" w:hAnsi="宋体" w:eastAsia="宋体" w:cs="宋体"/>
                <w:spacing w:val="6"/>
                <w:position w:val="1"/>
                <w:sz w:val="20"/>
                <w:szCs w:val="20"/>
              </w:rPr>
              <w:t>点</w:t>
            </w:r>
            <w:r>
              <w:rPr>
                <w:rFonts w:ascii="宋体" w:hAnsi="宋体" w:eastAsia="宋体" w:cs="宋体"/>
                <w:spacing w:val="4"/>
                <w:position w:val="1"/>
                <w:sz w:val="20"/>
                <w:szCs w:val="20"/>
              </w:rPr>
              <w:t>比较式臭袋法 (</w:t>
            </w:r>
            <w:r>
              <w:rPr>
                <w:rFonts w:ascii="Times New Roman" w:hAnsi="Times New Roman" w:eastAsia="Times New Roman" w:cs="Times New Roman"/>
                <w:position w:val="1"/>
                <w:sz w:val="20"/>
                <w:szCs w:val="20"/>
              </w:rPr>
              <w:t>GB</w:t>
            </w:r>
            <w:r>
              <w:rPr>
                <w:rFonts w:ascii="Times New Roman" w:hAnsi="Times New Roman" w:eastAsia="Times New Roman" w:cs="Times New Roman"/>
                <w:spacing w:val="4"/>
                <w:position w:val="1"/>
                <w:sz w:val="20"/>
                <w:szCs w:val="20"/>
              </w:rPr>
              <w:t>/</w:t>
            </w:r>
            <w:r>
              <w:rPr>
                <w:rFonts w:ascii="Times New Roman" w:hAnsi="Times New Roman" w:eastAsia="Times New Roman" w:cs="Times New Roman"/>
                <w:position w:val="1"/>
                <w:sz w:val="20"/>
                <w:szCs w:val="20"/>
              </w:rPr>
              <w:t>T</w:t>
            </w:r>
            <w:r>
              <w:rPr>
                <w:rFonts w:ascii="Times New Roman" w:hAnsi="Times New Roman" w:eastAsia="Times New Roman" w:cs="Times New Roman"/>
                <w:spacing w:val="4"/>
                <w:position w:val="1"/>
                <w:sz w:val="20"/>
                <w:szCs w:val="20"/>
              </w:rPr>
              <w:t xml:space="preserve"> 14675- 1993</w:t>
            </w:r>
            <w:r>
              <w:rPr>
                <w:rFonts w:ascii="宋体" w:hAnsi="宋体" w:eastAsia="宋体" w:cs="宋体"/>
                <w:spacing w:val="4"/>
                <w:position w:val="1"/>
                <w:sz w:val="20"/>
                <w:szCs w:val="20"/>
              </w:rPr>
              <w:t>)</w:t>
            </w:r>
          </w:p>
        </w:tc>
        <w:tc>
          <w:tcPr>
            <w:tcW w:w="2217" w:type="dxa"/>
            <w:tcBorders>
              <w:right w:val="nil"/>
            </w:tcBorders>
          </w:tcPr>
          <w:p w14:paraId="6E10549A">
            <w:pPr>
              <w:spacing w:before="37" w:line="228" w:lineRule="auto"/>
              <w:ind w:left="499"/>
              <w:rPr>
                <w:rFonts w:ascii="宋体" w:hAnsi="宋体" w:eastAsia="宋体" w:cs="宋体"/>
                <w:sz w:val="20"/>
                <w:szCs w:val="20"/>
              </w:rPr>
            </w:pPr>
            <w:r>
              <w:rPr>
                <w:rFonts w:ascii="Times New Roman" w:hAnsi="Times New Roman" w:eastAsia="Times New Roman" w:cs="Times New Roman"/>
                <w:spacing w:val="4"/>
                <w:sz w:val="20"/>
                <w:szCs w:val="20"/>
              </w:rPr>
              <w:t xml:space="preserve">10 </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(无量纲)</w:t>
            </w:r>
          </w:p>
        </w:tc>
      </w:tr>
    </w:tbl>
    <w:p w14:paraId="73ABC1A0">
      <w:pPr>
        <w:spacing w:before="35" w:line="226" w:lineRule="auto"/>
        <w:ind w:left="812"/>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6</w:t>
      </w:r>
      <w:r>
        <w:rPr>
          <w:rFonts w:ascii="宋体" w:hAnsi="宋体" w:eastAsia="宋体" w:cs="宋体"/>
          <w:spacing w:val="20"/>
          <w:sz w:val="23"/>
          <w:szCs w:val="23"/>
        </w:rPr>
        <w:t>) 评价方</w:t>
      </w:r>
      <w:r>
        <w:rPr>
          <w:rFonts w:ascii="宋体" w:hAnsi="宋体" w:eastAsia="宋体" w:cs="宋体"/>
          <w:spacing w:val="19"/>
          <w:sz w:val="23"/>
          <w:szCs w:val="23"/>
        </w:rPr>
        <w:t>法</w:t>
      </w:r>
    </w:p>
    <w:p w14:paraId="1F300AF7">
      <w:pPr>
        <w:spacing w:before="186" w:line="226" w:lineRule="auto"/>
        <w:ind w:left="800"/>
        <w:rPr>
          <w:rFonts w:ascii="宋体" w:hAnsi="宋体" w:eastAsia="宋体" w:cs="宋体"/>
          <w:sz w:val="23"/>
          <w:szCs w:val="23"/>
        </w:rPr>
      </w:pPr>
      <w:r>
        <w:rPr>
          <w:rFonts w:ascii="宋体" w:hAnsi="宋体" w:eastAsia="宋体" w:cs="宋体"/>
          <w:spacing w:val="16"/>
          <w:sz w:val="23"/>
          <w:szCs w:val="23"/>
        </w:rPr>
        <w:t>采</w:t>
      </w:r>
      <w:r>
        <w:rPr>
          <w:rFonts w:ascii="宋体" w:hAnsi="宋体" w:eastAsia="宋体" w:cs="宋体"/>
          <w:spacing w:val="9"/>
          <w:sz w:val="23"/>
          <w:szCs w:val="23"/>
        </w:rPr>
        <w:t>用单因子指数法进行空气环境质量现状评价，公式如下：</w:t>
      </w:r>
    </w:p>
    <w:p w14:paraId="112178AE">
      <w:pPr>
        <w:sectPr>
          <w:footerReference r:id="rId154" w:type="default"/>
          <w:pgSz w:w="11907" w:h="16840"/>
          <w:pgMar w:top="400" w:right="1068" w:bottom="1485" w:left="1349" w:header="0" w:footer="1298" w:gutter="0"/>
          <w:cols w:space="720" w:num="1"/>
        </w:sectPr>
      </w:pPr>
    </w:p>
    <w:p w14:paraId="4C1F619C">
      <w:pPr>
        <w:spacing w:before="270"/>
        <w:ind w:left="3561"/>
        <w:rPr>
          <w:sz w:val="23"/>
          <w:szCs w:val="23"/>
        </w:rPr>
      </w:pPr>
      <w:r>
        <w:rPr>
          <w:rFonts w:ascii="Times New Roman" w:hAnsi="Times New Roman" w:eastAsia="Times New Roman" w:cs="Times New Roman"/>
          <w:i/>
          <w:iCs/>
          <w:spacing w:val="-10"/>
          <w:position w:val="3"/>
          <w:sz w:val="23"/>
          <w:szCs w:val="23"/>
        </w:rPr>
        <w:t>P</w:t>
      </w:r>
      <w:r>
        <w:rPr>
          <w:rFonts w:ascii="Times New Roman" w:hAnsi="Times New Roman" w:eastAsia="Times New Roman" w:cs="Times New Roman"/>
          <w:i/>
          <w:iCs/>
          <w:spacing w:val="-10"/>
          <w:position w:val="-3"/>
          <w:sz w:val="13"/>
          <w:szCs w:val="13"/>
        </w:rPr>
        <w:t>i</w:t>
      </w:r>
      <w:r>
        <w:rPr>
          <w:rFonts w:ascii="Times New Roman" w:hAnsi="Times New Roman" w:eastAsia="Times New Roman" w:cs="Times New Roman"/>
          <w:spacing w:val="-10"/>
          <w:position w:val="-3"/>
          <w:sz w:val="13"/>
          <w:szCs w:val="13"/>
        </w:rPr>
        <w:t xml:space="preserve"> </w:t>
      </w:r>
      <w:r>
        <w:rPr>
          <w:rFonts w:ascii="Times New Roman" w:hAnsi="Times New Roman" w:eastAsia="Times New Roman" w:cs="Times New Roman"/>
          <w:spacing w:val="-10"/>
          <w:position w:val="3"/>
          <w:sz w:val="23"/>
          <w:szCs w:val="23"/>
        </w:rPr>
        <w:t xml:space="preserve">= </w:t>
      </w:r>
      <w:r>
        <w:rPr>
          <w:position w:val="-26"/>
          <w:sz w:val="23"/>
          <w:szCs w:val="23"/>
        </w:rPr>
        <w:drawing>
          <wp:inline distT="0" distB="0" distL="0" distR="0">
            <wp:extent cx="157480" cy="38163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375"/>
                    <a:stretch>
                      <a:fillRect/>
                    </a:stretch>
                  </pic:blipFill>
                  <pic:spPr>
                    <a:xfrm>
                      <a:off x="0" y="0"/>
                      <a:ext cx="158038" cy="381697"/>
                    </a:xfrm>
                    <a:prstGeom prst="rect">
                      <a:avLst/>
                    </a:prstGeom>
                  </pic:spPr>
                </pic:pic>
              </a:graphicData>
            </a:graphic>
          </wp:inline>
        </w:drawing>
      </w:r>
    </w:p>
    <w:p w14:paraId="6AF07290">
      <w:pPr>
        <w:spacing w:before="309" w:line="314" w:lineRule="exact"/>
        <w:ind w:left="1147"/>
        <w:rPr>
          <w:rFonts w:ascii="宋体" w:hAnsi="宋体" w:eastAsia="宋体" w:cs="宋体"/>
          <w:sz w:val="23"/>
          <w:szCs w:val="23"/>
        </w:rPr>
      </w:pPr>
      <w:r>
        <w:rPr>
          <w:rFonts w:ascii="宋体" w:hAnsi="宋体" w:eastAsia="宋体" w:cs="宋体"/>
          <w:spacing w:val="16"/>
          <w:position w:val="1"/>
          <w:sz w:val="23"/>
          <w:szCs w:val="23"/>
        </w:rPr>
        <w:t>式中</w:t>
      </w:r>
      <w:r>
        <w:rPr>
          <w:rFonts w:ascii="宋体" w:hAnsi="宋体" w:eastAsia="宋体" w:cs="宋体"/>
          <w:spacing w:val="15"/>
          <w:position w:val="1"/>
          <w:sz w:val="23"/>
          <w:szCs w:val="23"/>
        </w:rPr>
        <w:t>：</w:t>
      </w:r>
      <w:r>
        <w:rPr>
          <w:rFonts w:ascii="Times New Roman" w:hAnsi="Times New Roman" w:eastAsia="Times New Roman" w:cs="Times New Roman"/>
          <w:i/>
          <w:iCs/>
          <w:position w:val="1"/>
          <w:sz w:val="23"/>
          <w:szCs w:val="23"/>
        </w:rPr>
        <w:t>P</w:t>
      </w:r>
      <w:r>
        <w:rPr>
          <w:rFonts w:ascii="Times New Roman" w:hAnsi="Times New Roman" w:eastAsia="Times New Roman" w:cs="Times New Roman"/>
          <w:i/>
          <w:iCs/>
          <w:sz w:val="15"/>
          <w:szCs w:val="15"/>
        </w:rPr>
        <w:t>i</w:t>
      </w:r>
      <w:r>
        <w:rPr>
          <w:rFonts w:ascii="Times New Roman" w:hAnsi="Times New Roman" w:eastAsia="Times New Roman" w:cs="Times New Roman"/>
          <w:spacing w:val="8"/>
          <w:sz w:val="15"/>
          <w:szCs w:val="15"/>
        </w:rPr>
        <w:t xml:space="preserve"> </w:t>
      </w:r>
      <w:r>
        <w:rPr>
          <w:rFonts w:ascii="Times New Roman" w:hAnsi="Times New Roman" w:eastAsia="Times New Roman" w:cs="Times New Roman"/>
          <w:spacing w:val="8"/>
          <w:position w:val="1"/>
          <w:sz w:val="23"/>
          <w:szCs w:val="23"/>
        </w:rPr>
        <w:t xml:space="preserve">——  </w:t>
      </w:r>
      <w:r>
        <w:rPr>
          <w:rFonts w:ascii="宋体" w:hAnsi="宋体" w:eastAsia="宋体" w:cs="宋体"/>
          <w:spacing w:val="8"/>
          <w:position w:val="1"/>
          <w:sz w:val="23"/>
          <w:szCs w:val="23"/>
        </w:rPr>
        <w:t>某污染物的质量浓度值占相应质量浓度限值的百分比；</w:t>
      </w:r>
    </w:p>
    <w:p w14:paraId="2567F6CD">
      <w:pPr>
        <w:spacing w:before="108" w:line="468" w:lineRule="exact"/>
        <w:ind w:left="1804"/>
        <w:rPr>
          <w:rFonts w:ascii="宋体" w:hAnsi="宋体" w:eastAsia="宋体" w:cs="宋体"/>
          <w:sz w:val="23"/>
          <w:szCs w:val="23"/>
        </w:rPr>
      </w:pPr>
      <w:r>
        <w:rPr>
          <w:rFonts w:ascii="Times New Roman" w:hAnsi="Times New Roman" w:eastAsia="Times New Roman" w:cs="Times New Roman"/>
          <w:i/>
          <w:iCs/>
          <w:position w:val="14"/>
          <w:sz w:val="23"/>
          <w:szCs w:val="23"/>
        </w:rPr>
        <w:t>C</w:t>
      </w:r>
      <w:r>
        <w:rPr>
          <w:rFonts w:ascii="Times New Roman" w:hAnsi="Times New Roman" w:eastAsia="Times New Roman" w:cs="Times New Roman"/>
          <w:i/>
          <w:iCs/>
          <w:position w:val="13"/>
          <w:sz w:val="15"/>
          <w:szCs w:val="15"/>
        </w:rPr>
        <w:t>i</w:t>
      </w:r>
      <w:r>
        <w:rPr>
          <w:rFonts w:ascii="Times New Roman" w:hAnsi="Times New Roman" w:eastAsia="Times New Roman" w:cs="Times New Roman"/>
          <w:spacing w:val="12"/>
          <w:position w:val="13"/>
          <w:sz w:val="15"/>
          <w:szCs w:val="15"/>
        </w:rPr>
        <w:t xml:space="preserve"> </w:t>
      </w:r>
      <w:r>
        <w:rPr>
          <w:rFonts w:ascii="Times New Roman" w:hAnsi="Times New Roman" w:eastAsia="Times New Roman" w:cs="Times New Roman"/>
          <w:spacing w:val="9"/>
          <w:position w:val="14"/>
          <w:sz w:val="23"/>
          <w:szCs w:val="23"/>
        </w:rPr>
        <w:t xml:space="preserve">——  </w:t>
      </w:r>
      <w:r>
        <w:rPr>
          <w:rFonts w:ascii="宋体" w:hAnsi="宋体" w:eastAsia="宋体" w:cs="宋体"/>
          <w:spacing w:val="9"/>
          <w:position w:val="14"/>
          <w:sz w:val="23"/>
          <w:szCs w:val="23"/>
        </w:rPr>
        <w:t>某污染物的实测浓度，</w:t>
      </w:r>
      <w:r>
        <w:rPr>
          <w:rFonts w:ascii="Times New Roman" w:hAnsi="Times New Roman" w:eastAsia="Times New Roman" w:cs="Times New Roman"/>
          <w:position w:val="14"/>
          <w:sz w:val="23"/>
          <w:szCs w:val="23"/>
        </w:rPr>
        <w:t>mg</w:t>
      </w:r>
      <w:r>
        <w:rPr>
          <w:rFonts w:ascii="Times New Roman" w:hAnsi="Times New Roman" w:eastAsia="Times New Roman" w:cs="Times New Roman"/>
          <w:spacing w:val="9"/>
          <w:position w:val="14"/>
          <w:sz w:val="23"/>
          <w:szCs w:val="23"/>
        </w:rPr>
        <w:t>/</w:t>
      </w:r>
      <w:r>
        <w:rPr>
          <w:rFonts w:ascii="Times New Roman" w:hAnsi="Times New Roman" w:eastAsia="Times New Roman" w:cs="Times New Roman"/>
          <w:position w:val="14"/>
          <w:sz w:val="23"/>
          <w:szCs w:val="23"/>
        </w:rPr>
        <w:t>m</w:t>
      </w:r>
      <w:r>
        <w:rPr>
          <w:rFonts w:ascii="Times New Roman" w:hAnsi="Times New Roman" w:eastAsia="Times New Roman" w:cs="Times New Roman"/>
          <w:spacing w:val="9"/>
          <w:position w:val="22"/>
          <w:sz w:val="15"/>
          <w:szCs w:val="15"/>
        </w:rPr>
        <w:t>3</w:t>
      </w:r>
      <w:r>
        <w:rPr>
          <w:rFonts w:ascii="宋体" w:hAnsi="宋体" w:eastAsia="宋体" w:cs="宋体"/>
          <w:spacing w:val="9"/>
          <w:position w:val="14"/>
          <w:sz w:val="23"/>
          <w:szCs w:val="23"/>
        </w:rPr>
        <w:t>；</w:t>
      </w:r>
    </w:p>
    <w:p w14:paraId="2073CCF3">
      <w:pPr>
        <w:spacing w:line="322" w:lineRule="exact"/>
        <w:ind w:left="1790"/>
        <w:rPr>
          <w:rFonts w:ascii="宋体" w:hAnsi="宋体" w:eastAsia="宋体" w:cs="宋体"/>
          <w:sz w:val="23"/>
          <w:szCs w:val="23"/>
        </w:rPr>
      </w:pPr>
      <w:r>
        <w:rPr>
          <w:rFonts w:ascii="Times New Roman" w:hAnsi="Times New Roman" w:eastAsia="Times New Roman" w:cs="Times New Roman"/>
          <w:i/>
          <w:iCs/>
          <w:position w:val="3"/>
          <w:sz w:val="23"/>
          <w:szCs w:val="23"/>
        </w:rPr>
        <w:t>S</w:t>
      </w:r>
      <w:r>
        <w:rPr>
          <w:rFonts w:ascii="Times New Roman" w:hAnsi="Times New Roman" w:eastAsia="Times New Roman" w:cs="Times New Roman"/>
          <w:i/>
          <w:iCs/>
          <w:position w:val="2"/>
          <w:sz w:val="15"/>
          <w:szCs w:val="15"/>
        </w:rPr>
        <w:t>i</w:t>
      </w:r>
      <w:r>
        <w:rPr>
          <w:rFonts w:ascii="Times New Roman" w:hAnsi="Times New Roman" w:eastAsia="Times New Roman" w:cs="Times New Roman"/>
          <w:spacing w:val="10"/>
          <w:position w:val="2"/>
          <w:sz w:val="15"/>
          <w:szCs w:val="15"/>
        </w:rPr>
        <w:t xml:space="preserve"> </w:t>
      </w:r>
      <w:r>
        <w:rPr>
          <w:rFonts w:ascii="Times New Roman" w:hAnsi="Times New Roman" w:eastAsia="Times New Roman" w:cs="Times New Roman"/>
          <w:spacing w:val="10"/>
          <w:position w:val="3"/>
          <w:sz w:val="23"/>
          <w:szCs w:val="23"/>
        </w:rPr>
        <w:t xml:space="preserve">——  </w:t>
      </w:r>
      <w:r>
        <w:rPr>
          <w:rFonts w:ascii="宋体" w:hAnsi="宋体" w:eastAsia="宋体" w:cs="宋体"/>
          <w:spacing w:val="10"/>
          <w:position w:val="3"/>
          <w:sz w:val="23"/>
          <w:szCs w:val="23"/>
        </w:rPr>
        <w:t>某污染物的评价标准，</w:t>
      </w:r>
      <w:r>
        <w:rPr>
          <w:rFonts w:ascii="Times New Roman" w:hAnsi="Times New Roman" w:eastAsia="Times New Roman" w:cs="Times New Roman"/>
          <w:position w:val="3"/>
          <w:sz w:val="23"/>
          <w:szCs w:val="23"/>
        </w:rPr>
        <w:t>mg</w:t>
      </w:r>
      <w:r>
        <w:rPr>
          <w:rFonts w:ascii="Times New Roman" w:hAnsi="Times New Roman" w:eastAsia="Times New Roman" w:cs="Times New Roman"/>
          <w:spacing w:val="10"/>
          <w:position w:val="3"/>
          <w:sz w:val="23"/>
          <w:szCs w:val="23"/>
        </w:rPr>
        <w:t>/</w:t>
      </w:r>
      <w:r>
        <w:rPr>
          <w:rFonts w:ascii="Times New Roman" w:hAnsi="Times New Roman" w:eastAsia="Times New Roman" w:cs="Times New Roman"/>
          <w:position w:val="3"/>
          <w:sz w:val="23"/>
          <w:szCs w:val="23"/>
        </w:rPr>
        <w:t>m</w:t>
      </w:r>
      <w:r>
        <w:rPr>
          <w:rFonts w:ascii="Times New Roman" w:hAnsi="Times New Roman" w:eastAsia="Times New Roman" w:cs="Times New Roman"/>
          <w:spacing w:val="10"/>
          <w:position w:val="11"/>
          <w:sz w:val="15"/>
          <w:szCs w:val="15"/>
        </w:rPr>
        <w:t>3</w:t>
      </w:r>
      <w:r>
        <w:rPr>
          <w:rFonts w:ascii="宋体" w:hAnsi="宋体" w:eastAsia="宋体" w:cs="宋体"/>
          <w:spacing w:val="7"/>
          <w:position w:val="3"/>
          <w:sz w:val="23"/>
          <w:szCs w:val="23"/>
        </w:rPr>
        <w:t>。</w:t>
      </w:r>
    </w:p>
    <w:p w14:paraId="158A3BC7">
      <w:pPr>
        <w:spacing w:before="142" w:line="323" w:lineRule="exact"/>
        <w:ind w:left="1078"/>
        <w:rPr>
          <w:rFonts w:ascii="宋体" w:hAnsi="宋体" w:eastAsia="宋体" w:cs="宋体"/>
          <w:sz w:val="23"/>
          <w:szCs w:val="23"/>
        </w:rPr>
      </w:pPr>
      <w:r>
        <w:rPr>
          <w:rFonts w:ascii="宋体" w:hAnsi="宋体" w:eastAsia="宋体" w:cs="宋体"/>
          <w:spacing w:val="12"/>
          <w:position w:val="1"/>
          <w:sz w:val="23"/>
          <w:szCs w:val="23"/>
        </w:rPr>
        <w:t>注</w:t>
      </w:r>
      <w:r>
        <w:rPr>
          <w:rFonts w:ascii="宋体" w:hAnsi="宋体" w:eastAsia="宋体" w:cs="宋体"/>
          <w:spacing w:val="7"/>
          <w:position w:val="1"/>
          <w:sz w:val="23"/>
          <w:szCs w:val="23"/>
        </w:rPr>
        <w:t>：</w:t>
      </w:r>
      <w:r>
        <w:rPr>
          <w:rFonts w:ascii="宋体" w:hAnsi="宋体" w:eastAsia="宋体" w:cs="宋体"/>
          <w:spacing w:val="6"/>
          <w:position w:val="1"/>
          <w:sz w:val="23"/>
          <w:szCs w:val="23"/>
        </w:rPr>
        <w:t xml:space="preserve">未检出项目取检出限的 </w:t>
      </w:r>
      <w:r>
        <w:rPr>
          <w:rFonts w:ascii="Times New Roman" w:hAnsi="Times New Roman" w:eastAsia="Times New Roman" w:cs="Times New Roman"/>
          <w:spacing w:val="6"/>
          <w:position w:val="1"/>
          <w:sz w:val="23"/>
          <w:szCs w:val="23"/>
        </w:rPr>
        <w:t>50%</w:t>
      </w:r>
      <w:r>
        <w:rPr>
          <w:rFonts w:ascii="宋体" w:hAnsi="宋体" w:eastAsia="宋体" w:cs="宋体"/>
          <w:spacing w:val="6"/>
          <w:position w:val="1"/>
          <w:sz w:val="23"/>
          <w:szCs w:val="23"/>
        </w:rPr>
        <w:t>计算标准指数，下同。</w:t>
      </w:r>
    </w:p>
    <w:p w14:paraId="73240F4A">
      <w:pPr>
        <w:spacing w:before="188" w:line="226" w:lineRule="auto"/>
        <w:ind w:left="609"/>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7</w:t>
      </w:r>
      <w:r>
        <w:rPr>
          <w:rFonts w:ascii="宋体" w:hAnsi="宋体" w:eastAsia="宋体" w:cs="宋体"/>
          <w:spacing w:val="20"/>
          <w:sz w:val="23"/>
          <w:szCs w:val="23"/>
        </w:rPr>
        <w:t>) 评价标</w:t>
      </w:r>
      <w:r>
        <w:rPr>
          <w:rFonts w:ascii="宋体" w:hAnsi="宋体" w:eastAsia="宋体" w:cs="宋体"/>
          <w:spacing w:val="19"/>
          <w:sz w:val="23"/>
          <w:szCs w:val="23"/>
        </w:rPr>
        <w:t>准</w:t>
      </w:r>
    </w:p>
    <w:p w14:paraId="496B8D75">
      <w:pPr>
        <w:tabs>
          <w:tab w:val="left" w:pos="243"/>
        </w:tabs>
        <w:spacing w:before="187" w:line="375" w:lineRule="auto"/>
        <w:ind w:left="119" w:right="454" w:firstLine="496"/>
        <w:rPr>
          <w:rFonts w:ascii="宋体" w:hAnsi="宋体" w:eastAsia="宋体" w:cs="宋体"/>
          <w:sz w:val="23"/>
          <w:szCs w:val="23"/>
        </w:rPr>
      </w:pPr>
      <w:r>
        <w:rPr>
          <w:rFonts w:ascii="宋体" w:hAnsi="宋体" w:eastAsia="宋体" w:cs="宋体"/>
          <w:spacing w:val="14"/>
          <w:sz w:val="23"/>
          <w:szCs w:val="23"/>
        </w:rPr>
        <w:t>区</w:t>
      </w:r>
      <w:r>
        <w:rPr>
          <w:rFonts w:ascii="宋体" w:hAnsi="宋体" w:eastAsia="宋体" w:cs="宋体"/>
          <w:spacing w:val="8"/>
          <w:sz w:val="23"/>
          <w:szCs w:val="23"/>
        </w:rPr>
        <w:t>域</w:t>
      </w:r>
      <w:r>
        <w:rPr>
          <w:rFonts w:ascii="宋体" w:hAnsi="宋体" w:eastAsia="宋体" w:cs="宋体"/>
          <w:spacing w:val="7"/>
          <w:sz w:val="23"/>
          <w:szCs w:val="23"/>
        </w:rPr>
        <w:t>环境空气质量执行《环境空气质量标准》  (</w:t>
      </w:r>
      <w:r>
        <w:rPr>
          <w:rFonts w:ascii="Times New Roman" w:hAnsi="Times New Roman" w:eastAsia="Times New Roman" w:cs="Times New Roman"/>
          <w:sz w:val="23"/>
          <w:szCs w:val="23"/>
        </w:rPr>
        <w:t>GB</w:t>
      </w:r>
      <w:r>
        <w:rPr>
          <w:rFonts w:ascii="Times New Roman" w:hAnsi="Times New Roman" w:eastAsia="Times New Roman" w:cs="Times New Roman"/>
          <w:spacing w:val="7"/>
          <w:sz w:val="23"/>
          <w:szCs w:val="23"/>
        </w:rPr>
        <w:t>3095-2012</w:t>
      </w:r>
      <w:r>
        <w:rPr>
          <w:rFonts w:ascii="宋体" w:hAnsi="宋体" w:eastAsia="宋体" w:cs="宋体"/>
          <w:spacing w:val="7"/>
          <w:sz w:val="23"/>
          <w:szCs w:val="23"/>
        </w:rPr>
        <w:t>) 中的二级标准</w:t>
      </w:r>
      <w:r>
        <w:rPr>
          <w:rFonts w:ascii="宋体" w:hAnsi="宋体" w:eastAsia="宋体" w:cs="宋体"/>
          <w:sz w:val="23"/>
          <w:szCs w:val="23"/>
        </w:rPr>
        <w:t xml:space="preserve"> </w:t>
      </w:r>
      <w:r>
        <w:rPr>
          <w:rFonts w:ascii="宋体" w:hAnsi="宋体" w:eastAsia="宋体" w:cs="宋体"/>
          <w:spacing w:val="12"/>
          <w:sz w:val="23"/>
          <w:szCs w:val="23"/>
        </w:rPr>
        <w:t>要求</w:t>
      </w:r>
      <w:r>
        <w:rPr>
          <w:rFonts w:ascii="宋体" w:hAnsi="宋体" w:eastAsia="宋体" w:cs="宋体"/>
          <w:spacing w:val="8"/>
          <w:sz w:val="23"/>
          <w:szCs w:val="23"/>
        </w:rPr>
        <w:t>，</w:t>
      </w:r>
      <w:r>
        <w:rPr>
          <w:rFonts w:ascii="宋体" w:hAnsi="宋体" w:eastAsia="宋体" w:cs="宋体"/>
          <w:spacing w:val="6"/>
          <w:sz w:val="23"/>
          <w:szCs w:val="23"/>
        </w:rPr>
        <w:t xml:space="preserve">特殊大气污染因子 </w:t>
      </w:r>
      <w:r>
        <w:rPr>
          <w:rFonts w:ascii="Times New Roman" w:hAnsi="Times New Roman" w:eastAsia="Times New Roman" w:cs="Times New Roman"/>
          <w:sz w:val="23"/>
          <w:szCs w:val="23"/>
        </w:rPr>
        <w:t>NH</w:t>
      </w:r>
      <w:r>
        <w:rPr>
          <w:rFonts w:ascii="Times New Roman" w:hAnsi="Times New Roman" w:eastAsia="Times New Roman" w:cs="Times New Roman"/>
          <w:spacing w:val="6"/>
          <w:position w:val="-1"/>
          <w:sz w:val="15"/>
          <w:szCs w:val="15"/>
        </w:rPr>
        <w:t xml:space="preserve">3 </w:t>
      </w:r>
      <w:r>
        <w:rPr>
          <w:rFonts w:ascii="宋体" w:hAnsi="宋体" w:eastAsia="宋体" w:cs="宋体"/>
          <w:spacing w:val="6"/>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6"/>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参照执行《环境影响评价技术导则</w:t>
      </w:r>
      <w:r>
        <w:rPr>
          <w:rFonts w:ascii="Times New Roman" w:hAnsi="Times New Roman" w:eastAsia="Times New Roman" w:cs="Times New Roman"/>
          <w:spacing w:val="6"/>
          <w:sz w:val="23"/>
          <w:szCs w:val="23"/>
        </w:rPr>
        <w:t>-</w:t>
      </w:r>
      <w:r>
        <w:rPr>
          <w:rFonts w:ascii="宋体" w:hAnsi="宋体" w:eastAsia="宋体" w:cs="宋体"/>
          <w:spacing w:val="6"/>
          <w:sz w:val="23"/>
          <w:szCs w:val="23"/>
        </w:rPr>
        <w:t>大气环境》</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9"/>
          <w:sz w:val="23"/>
          <w:szCs w:val="23"/>
        </w:rPr>
        <w:t>(</w:t>
      </w:r>
      <w:r>
        <w:rPr>
          <w:rFonts w:ascii="Times New Roman" w:hAnsi="Times New Roman" w:eastAsia="Times New Roman" w:cs="Times New Roman"/>
          <w:sz w:val="23"/>
          <w:szCs w:val="23"/>
        </w:rPr>
        <w:t>HJ</w:t>
      </w:r>
      <w:r>
        <w:rPr>
          <w:rFonts w:ascii="Times New Roman" w:hAnsi="Times New Roman" w:eastAsia="Times New Roman" w:cs="Times New Roman"/>
          <w:spacing w:val="5"/>
          <w:sz w:val="23"/>
          <w:szCs w:val="23"/>
        </w:rPr>
        <w:t>2.2-2018</w:t>
      </w:r>
      <w:r>
        <w:rPr>
          <w:rFonts w:ascii="宋体" w:hAnsi="宋体" w:eastAsia="宋体" w:cs="宋体"/>
          <w:spacing w:val="5"/>
          <w:sz w:val="23"/>
          <w:szCs w:val="23"/>
        </w:rPr>
        <w:t xml:space="preserve">) 附录 </w:t>
      </w:r>
      <w:r>
        <w:rPr>
          <w:rFonts w:ascii="Times New Roman" w:hAnsi="Times New Roman" w:eastAsia="Times New Roman" w:cs="Times New Roman"/>
          <w:sz w:val="23"/>
          <w:szCs w:val="23"/>
        </w:rPr>
        <w:t>D</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中环境空气质量浓度参考限值。</w:t>
      </w:r>
    </w:p>
    <w:p w14:paraId="3E1E99D8">
      <w:pPr>
        <w:spacing w:before="1" w:line="225" w:lineRule="auto"/>
        <w:ind w:left="609"/>
        <w:rPr>
          <w:rFonts w:ascii="宋体" w:hAnsi="宋体" w:eastAsia="宋体" w:cs="宋体"/>
          <w:sz w:val="23"/>
          <w:szCs w:val="23"/>
        </w:rPr>
      </w:pPr>
      <w:r>
        <w:rPr>
          <w:rFonts w:ascii="宋体" w:hAnsi="宋体" w:eastAsia="宋体" w:cs="宋体"/>
          <w:spacing w:val="17"/>
          <w:sz w:val="23"/>
          <w:szCs w:val="23"/>
        </w:rPr>
        <w:t>(</w:t>
      </w:r>
      <w:r>
        <w:rPr>
          <w:rFonts w:ascii="Times New Roman" w:hAnsi="Times New Roman" w:eastAsia="Times New Roman" w:cs="Times New Roman"/>
          <w:spacing w:val="16"/>
          <w:sz w:val="23"/>
          <w:szCs w:val="23"/>
        </w:rPr>
        <w:t>8</w:t>
      </w:r>
      <w:r>
        <w:rPr>
          <w:rFonts w:ascii="宋体" w:hAnsi="宋体" w:eastAsia="宋体" w:cs="宋体"/>
          <w:spacing w:val="16"/>
          <w:sz w:val="23"/>
          <w:szCs w:val="23"/>
        </w:rPr>
        <w:t>) 现状监测结果及评价</w:t>
      </w:r>
    </w:p>
    <w:p w14:paraId="3700D33A">
      <w:pPr>
        <w:spacing w:before="184" w:line="227" w:lineRule="auto"/>
        <w:ind w:left="601"/>
        <w:rPr>
          <w:rFonts w:ascii="宋体" w:hAnsi="宋体" w:eastAsia="宋体" w:cs="宋体"/>
          <w:sz w:val="23"/>
          <w:szCs w:val="23"/>
        </w:rPr>
      </w:pPr>
      <w:r>
        <w:rPr>
          <w:rFonts w:ascii="宋体" w:hAnsi="宋体" w:eastAsia="宋体" w:cs="宋体"/>
          <w:spacing w:val="7"/>
          <w:sz w:val="23"/>
          <w:szCs w:val="23"/>
        </w:rPr>
        <w:t>各</w:t>
      </w:r>
      <w:r>
        <w:rPr>
          <w:rFonts w:ascii="宋体" w:hAnsi="宋体" w:eastAsia="宋体" w:cs="宋体"/>
          <w:spacing w:val="5"/>
          <w:sz w:val="23"/>
          <w:szCs w:val="23"/>
        </w:rPr>
        <w:t xml:space="preserve">测点环境空气现状监测统计结果见表 </w:t>
      </w:r>
      <w:r>
        <w:rPr>
          <w:rFonts w:ascii="Times New Roman" w:hAnsi="Times New Roman" w:eastAsia="Times New Roman" w:cs="Times New Roman"/>
          <w:spacing w:val="5"/>
          <w:sz w:val="23"/>
          <w:szCs w:val="23"/>
        </w:rPr>
        <w:t>4.2-4</w:t>
      </w:r>
      <w:r>
        <w:rPr>
          <w:rFonts w:ascii="宋体" w:hAnsi="宋体" w:eastAsia="宋体" w:cs="宋体"/>
          <w:spacing w:val="5"/>
          <w:sz w:val="23"/>
          <w:szCs w:val="23"/>
        </w:rPr>
        <w:t>。</w:t>
      </w:r>
    </w:p>
    <w:p w14:paraId="35B43728">
      <w:pPr>
        <w:spacing w:before="139" w:line="322" w:lineRule="exact"/>
        <w:ind w:left="1636"/>
        <w:rPr>
          <w:rFonts w:ascii="Times New Roman" w:hAnsi="Times New Roman" w:eastAsia="Times New Roman" w:cs="Times New Roman"/>
          <w:sz w:val="15"/>
          <w:szCs w:val="15"/>
        </w:rPr>
      </w:pPr>
      <w:r>
        <w:rPr>
          <w:rFonts w:ascii="黑体" w:hAnsi="黑体" w:eastAsia="黑体" w:cs="黑体"/>
          <w:spacing w:val="10"/>
          <w:position w:val="3"/>
          <w:sz w:val="23"/>
          <w:szCs w:val="23"/>
        </w:rPr>
        <w:t xml:space="preserve">表 </w:t>
      </w:r>
      <w:r>
        <w:rPr>
          <w:rFonts w:ascii="Times New Roman" w:hAnsi="Times New Roman" w:eastAsia="Times New Roman" w:cs="Times New Roman"/>
          <w:spacing w:val="10"/>
          <w:position w:val="3"/>
          <w:sz w:val="23"/>
          <w:szCs w:val="23"/>
        </w:rPr>
        <w:t>4</w:t>
      </w:r>
      <w:r>
        <w:rPr>
          <w:rFonts w:ascii="Times New Roman" w:hAnsi="Times New Roman" w:eastAsia="Times New Roman" w:cs="Times New Roman"/>
          <w:spacing w:val="9"/>
          <w:position w:val="3"/>
          <w:sz w:val="23"/>
          <w:szCs w:val="23"/>
        </w:rPr>
        <w:t>.</w:t>
      </w:r>
      <w:r>
        <w:rPr>
          <w:rFonts w:ascii="Times New Roman" w:hAnsi="Times New Roman" w:eastAsia="Times New Roman" w:cs="Times New Roman"/>
          <w:spacing w:val="5"/>
          <w:position w:val="3"/>
          <w:sz w:val="23"/>
          <w:szCs w:val="23"/>
        </w:rPr>
        <w:t xml:space="preserve">2-4  </w:t>
      </w:r>
      <w:r>
        <w:rPr>
          <w:rFonts w:ascii="黑体" w:hAnsi="黑体" w:eastAsia="黑体" w:cs="黑体"/>
          <w:spacing w:val="5"/>
          <w:position w:val="3"/>
          <w:sz w:val="23"/>
          <w:szCs w:val="23"/>
        </w:rPr>
        <w:t>大气环境质量监测及统计结果  单位：</w:t>
      </w:r>
      <w:r>
        <w:rPr>
          <w:rFonts w:ascii="Times New Roman" w:hAnsi="Times New Roman" w:eastAsia="Times New Roman" w:cs="Times New Roman"/>
          <w:position w:val="3"/>
          <w:sz w:val="23"/>
          <w:szCs w:val="23"/>
        </w:rPr>
        <w:t>mg</w:t>
      </w:r>
      <w:r>
        <w:rPr>
          <w:rFonts w:ascii="Times New Roman" w:hAnsi="Times New Roman" w:eastAsia="Times New Roman" w:cs="Times New Roman"/>
          <w:spacing w:val="5"/>
          <w:position w:val="3"/>
          <w:sz w:val="23"/>
          <w:szCs w:val="23"/>
        </w:rPr>
        <w:t>/</w:t>
      </w:r>
      <w:r>
        <w:rPr>
          <w:rFonts w:ascii="Times New Roman" w:hAnsi="Times New Roman" w:eastAsia="Times New Roman" w:cs="Times New Roman"/>
          <w:position w:val="3"/>
          <w:sz w:val="23"/>
          <w:szCs w:val="23"/>
        </w:rPr>
        <w:t>m</w:t>
      </w:r>
      <w:r>
        <w:rPr>
          <w:rFonts w:ascii="Times New Roman" w:hAnsi="Times New Roman" w:eastAsia="Times New Roman" w:cs="Times New Roman"/>
          <w:spacing w:val="5"/>
          <w:position w:val="10"/>
          <w:sz w:val="15"/>
          <w:szCs w:val="15"/>
        </w:rPr>
        <w:t>3</w:t>
      </w:r>
    </w:p>
    <w:tbl>
      <w:tblPr>
        <w:tblStyle w:val="4"/>
        <w:tblW w:w="923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3"/>
        <w:gridCol w:w="1111"/>
        <w:gridCol w:w="1521"/>
        <w:gridCol w:w="1239"/>
        <w:gridCol w:w="1271"/>
        <w:gridCol w:w="979"/>
        <w:gridCol w:w="1396"/>
        <w:gridCol w:w="989"/>
      </w:tblGrid>
      <w:tr w14:paraId="38667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733" w:type="dxa"/>
            <w:tcBorders>
              <w:left w:val="nil"/>
            </w:tcBorders>
          </w:tcPr>
          <w:p w14:paraId="5DB4C043">
            <w:pPr>
              <w:spacing w:before="55" w:line="271" w:lineRule="exact"/>
              <w:ind w:left="165"/>
              <w:rPr>
                <w:rFonts w:ascii="宋体" w:hAnsi="宋体" w:eastAsia="宋体" w:cs="宋体"/>
                <w:sz w:val="20"/>
                <w:szCs w:val="20"/>
              </w:rPr>
            </w:pPr>
            <w:r>
              <w:rPr>
                <w:rFonts w:ascii="宋体" w:hAnsi="宋体" w:eastAsia="宋体" w:cs="宋体"/>
                <w:spacing w:val="6"/>
                <w:position w:val="4"/>
                <w:sz w:val="20"/>
                <w:szCs w:val="20"/>
                <w14:textOutline w14:w="3797" w14:cap="sq" w14:cmpd="sng" w14:algn="ctr">
                  <w14:solidFill>
                    <w14:srgbClr w14:val="000000"/>
                  </w14:solidFill>
                  <w14:prstDash w14:val="solid"/>
                  <w14:bevel/>
                </w14:textOutline>
              </w:rPr>
              <w:t>监</w:t>
            </w:r>
            <w:r>
              <w:rPr>
                <w:rFonts w:ascii="宋体" w:hAnsi="宋体" w:eastAsia="宋体" w:cs="宋体"/>
                <w:spacing w:val="5"/>
                <w:position w:val="4"/>
                <w:sz w:val="20"/>
                <w:szCs w:val="20"/>
                <w14:textOutline w14:w="3797" w14:cap="sq" w14:cmpd="sng" w14:algn="ctr">
                  <w14:solidFill>
                    <w14:srgbClr w14:val="000000"/>
                  </w14:solidFill>
                  <w14:prstDash w14:val="solid"/>
                  <w14:bevel/>
                </w14:textOutline>
              </w:rPr>
              <w:t>测</w:t>
            </w:r>
          </w:p>
          <w:p w14:paraId="7A40B629">
            <w:pPr>
              <w:spacing w:line="228" w:lineRule="auto"/>
              <w:ind w:left="175"/>
              <w:rPr>
                <w:rFonts w:ascii="宋体" w:hAnsi="宋体" w:eastAsia="宋体" w:cs="宋体"/>
                <w:sz w:val="20"/>
                <w:szCs w:val="20"/>
              </w:rPr>
            </w:pPr>
            <w:r>
              <w:rPr>
                <w:rFonts w:ascii="宋体" w:hAnsi="宋体" w:eastAsia="宋体" w:cs="宋体"/>
                <w:spacing w:val="1"/>
                <w:sz w:val="20"/>
                <w:szCs w:val="20"/>
                <w14:textOutline w14:w="3797" w14:cap="sq" w14:cmpd="sng" w14:algn="ctr">
                  <w14:solidFill>
                    <w14:srgbClr w14:val="000000"/>
                  </w14:solidFill>
                  <w14:prstDash w14:val="solid"/>
                  <w14:bevel/>
                </w14:textOutline>
              </w:rPr>
              <w:t>点</w:t>
            </w:r>
            <w:r>
              <w:rPr>
                <w:rFonts w:ascii="宋体" w:hAnsi="宋体" w:eastAsia="宋体" w:cs="宋体"/>
                <w:sz w:val="20"/>
                <w:szCs w:val="20"/>
                <w14:textOutline w14:w="3797" w14:cap="sq" w14:cmpd="sng" w14:algn="ctr">
                  <w14:solidFill>
                    <w14:srgbClr w14:val="000000"/>
                  </w14:solidFill>
                  <w14:prstDash w14:val="solid"/>
                  <w14:bevel/>
                </w14:textOutline>
              </w:rPr>
              <w:t>位</w:t>
            </w:r>
          </w:p>
        </w:tc>
        <w:tc>
          <w:tcPr>
            <w:tcW w:w="2632" w:type="dxa"/>
            <w:gridSpan w:val="2"/>
          </w:tcPr>
          <w:p w14:paraId="1F992B59">
            <w:pPr>
              <w:spacing w:before="190" w:line="228" w:lineRule="auto"/>
              <w:ind w:left="901"/>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监</w:t>
            </w:r>
            <w:r>
              <w:rPr>
                <w:rFonts w:ascii="宋体" w:hAnsi="宋体" w:eastAsia="宋体" w:cs="宋体"/>
                <w:spacing w:val="8"/>
                <w:sz w:val="20"/>
                <w:szCs w:val="20"/>
                <w14:textOutline w14:w="3797" w14:cap="sq" w14:cmpd="sng" w14:algn="ctr">
                  <w14:solidFill>
                    <w14:srgbClr w14:val="000000"/>
                  </w14:solidFill>
                  <w14:prstDash w14:val="solid"/>
                  <w14:bevel/>
                </w14:textOutline>
              </w:rPr>
              <w:t>测项目</w:t>
            </w:r>
          </w:p>
        </w:tc>
        <w:tc>
          <w:tcPr>
            <w:tcW w:w="1239" w:type="dxa"/>
          </w:tcPr>
          <w:p w14:paraId="5220B0E6">
            <w:pPr>
              <w:spacing w:before="190" w:line="228" w:lineRule="auto"/>
              <w:ind w:left="205"/>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浓</w:t>
            </w:r>
            <w:r>
              <w:rPr>
                <w:rFonts w:ascii="宋体" w:hAnsi="宋体" w:eastAsia="宋体" w:cs="宋体"/>
                <w:spacing w:val="8"/>
                <w:sz w:val="20"/>
                <w:szCs w:val="20"/>
                <w14:textOutline w14:w="3797" w14:cap="sq" w14:cmpd="sng" w14:algn="ctr">
                  <w14:solidFill>
                    <w14:srgbClr w14:val="000000"/>
                  </w14:solidFill>
                  <w14:prstDash w14:val="solid"/>
                  <w14:bevel/>
                </w14:textOutline>
              </w:rPr>
              <w:t>度范围</w:t>
            </w:r>
          </w:p>
        </w:tc>
        <w:tc>
          <w:tcPr>
            <w:tcW w:w="1271" w:type="dxa"/>
          </w:tcPr>
          <w:p w14:paraId="4B2F50E7">
            <w:pPr>
              <w:spacing w:before="148" w:line="289" w:lineRule="exact"/>
              <w:ind w:left="204"/>
              <w:rPr>
                <w:rFonts w:ascii="宋体" w:hAnsi="宋体" w:eastAsia="宋体" w:cs="宋体"/>
                <w:sz w:val="20"/>
                <w:szCs w:val="20"/>
              </w:rPr>
            </w:pPr>
            <w:r>
              <w:rPr>
                <w:rFonts w:ascii="Times New Roman" w:hAnsi="Times New Roman" w:eastAsia="Times New Roman" w:cs="Times New Roman"/>
                <w:b/>
                <w:bCs/>
                <w:position w:val="2"/>
                <w:sz w:val="20"/>
                <w:szCs w:val="20"/>
              </w:rPr>
              <w:t>Pi</w:t>
            </w:r>
            <w:r>
              <w:rPr>
                <w:rFonts w:ascii="Times New Roman" w:hAnsi="Times New Roman" w:eastAsia="Times New Roman" w:cs="Times New Roman"/>
                <w:spacing w:val="9"/>
                <w:position w:val="2"/>
                <w:sz w:val="20"/>
                <w:szCs w:val="20"/>
              </w:rPr>
              <w:t xml:space="preserve"> </w:t>
            </w:r>
            <w:r>
              <w:rPr>
                <w:rFonts w:ascii="宋体" w:hAnsi="宋体" w:eastAsia="宋体" w:cs="宋体"/>
                <w:spacing w:val="9"/>
                <w:position w:val="2"/>
                <w:sz w:val="20"/>
                <w:szCs w:val="20"/>
                <w14:textOutline w14:w="3797" w14:cap="sq" w14:cmpd="sng" w14:algn="ctr">
                  <w14:solidFill>
                    <w14:srgbClr w14:val="000000"/>
                  </w14:solidFill>
                  <w14:prstDash w14:val="solid"/>
                  <w14:bevel/>
                </w14:textOutline>
              </w:rPr>
              <w:t>值范</w:t>
            </w:r>
            <w:r>
              <w:rPr>
                <w:rFonts w:ascii="宋体" w:hAnsi="宋体" w:eastAsia="宋体" w:cs="宋体"/>
                <w:spacing w:val="8"/>
                <w:position w:val="2"/>
                <w:sz w:val="20"/>
                <w:szCs w:val="20"/>
                <w14:textOutline w14:w="3797" w14:cap="sq" w14:cmpd="sng" w14:algn="ctr">
                  <w14:solidFill>
                    <w14:srgbClr w14:val="000000"/>
                  </w14:solidFill>
                  <w14:prstDash w14:val="solid"/>
                  <w14:bevel/>
                </w14:textOutline>
              </w:rPr>
              <w:t>围</w:t>
            </w:r>
          </w:p>
        </w:tc>
        <w:tc>
          <w:tcPr>
            <w:tcW w:w="979" w:type="dxa"/>
          </w:tcPr>
          <w:p w14:paraId="713F9697">
            <w:pPr>
              <w:spacing w:before="189" w:line="228" w:lineRule="auto"/>
              <w:ind w:left="178"/>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超标率</w:t>
            </w:r>
          </w:p>
        </w:tc>
        <w:tc>
          <w:tcPr>
            <w:tcW w:w="1396" w:type="dxa"/>
          </w:tcPr>
          <w:p w14:paraId="2F81158B">
            <w:pPr>
              <w:spacing w:before="189" w:line="228" w:lineRule="auto"/>
              <w:ind w:left="389"/>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标</w:t>
            </w:r>
            <w:r>
              <w:rPr>
                <w:rFonts w:ascii="宋体" w:hAnsi="宋体" w:eastAsia="宋体" w:cs="宋体"/>
                <w:spacing w:val="7"/>
                <w:sz w:val="20"/>
                <w:szCs w:val="20"/>
                <w14:textOutline w14:w="3797" w14:cap="sq" w14:cmpd="sng" w14:algn="ctr">
                  <w14:solidFill>
                    <w14:srgbClr w14:val="000000"/>
                  </w14:solidFill>
                  <w14:prstDash w14:val="solid"/>
                  <w14:bevel/>
                </w14:textOutline>
              </w:rPr>
              <w:t>准值</w:t>
            </w:r>
          </w:p>
        </w:tc>
        <w:tc>
          <w:tcPr>
            <w:tcW w:w="989" w:type="dxa"/>
            <w:tcBorders>
              <w:right w:val="nil"/>
            </w:tcBorders>
          </w:tcPr>
          <w:p w14:paraId="0624448D">
            <w:pPr>
              <w:spacing w:before="56" w:line="239" w:lineRule="auto"/>
              <w:ind w:left="395" w:right="178" w:hanging="211"/>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达标情</w:t>
            </w:r>
            <w:r>
              <w:rPr>
                <w:rFonts w:ascii="宋体" w:hAnsi="宋体" w:eastAsia="宋体" w:cs="宋体"/>
                <w:sz w:val="20"/>
                <w:szCs w:val="20"/>
              </w:rPr>
              <w:t xml:space="preserve"> </w:t>
            </w:r>
            <w:r>
              <w:rPr>
                <w:rFonts w:ascii="宋体" w:hAnsi="宋体" w:eastAsia="宋体" w:cs="宋体"/>
                <w:sz w:val="20"/>
                <w:szCs w:val="20"/>
                <w14:textOutline w14:w="3797" w14:cap="sq" w14:cmpd="sng" w14:algn="ctr">
                  <w14:solidFill>
                    <w14:srgbClr w14:val="000000"/>
                  </w14:solidFill>
                  <w14:prstDash w14:val="solid"/>
                  <w14:bevel/>
                </w14:textOutline>
              </w:rPr>
              <w:t>况</w:t>
            </w:r>
          </w:p>
        </w:tc>
      </w:tr>
      <w:tr w14:paraId="28C865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33" w:type="dxa"/>
            <w:vMerge w:val="restart"/>
            <w:tcBorders>
              <w:left w:val="nil"/>
              <w:bottom w:val="nil"/>
            </w:tcBorders>
          </w:tcPr>
          <w:p w14:paraId="4E77C524">
            <w:pPr>
              <w:spacing w:line="303" w:lineRule="auto"/>
            </w:pPr>
          </w:p>
          <w:p w14:paraId="63D2DB14">
            <w:pPr>
              <w:spacing w:line="304" w:lineRule="auto"/>
            </w:pPr>
          </w:p>
          <w:p w14:paraId="2B2B88C6">
            <w:pPr>
              <w:spacing w:before="58" w:line="195" w:lineRule="auto"/>
              <w:ind w:left="175"/>
              <w:rPr>
                <w:rFonts w:ascii="Times New Roman" w:hAnsi="Times New Roman" w:eastAsia="Times New Roman" w:cs="Times New Roman"/>
                <w:sz w:val="20"/>
                <w:szCs w:val="20"/>
              </w:rPr>
            </w:pPr>
            <w:r>
              <w:rPr>
                <w:rFonts w:ascii="Times New Roman" w:hAnsi="Times New Roman" w:eastAsia="Times New Roman" w:cs="Times New Roman"/>
                <w:sz w:val="20"/>
                <w:szCs w:val="20"/>
              </w:rPr>
              <w:t>AE</w:t>
            </w:r>
            <w:r>
              <w:rPr>
                <w:rFonts w:ascii="Times New Roman" w:hAnsi="Times New Roman" w:eastAsia="Times New Roman" w:cs="Times New Roman"/>
                <w:spacing w:val="14"/>
                <w:sz w:val="20"/>
                <w:szCs w:val="20"/>
              </w:rPr>
              <w:t>1</w:t>
            </w:r>
          </w:p>
        </w:tc>
        <w:tc>
          <w:tcPr>
            <w:tcW w:w="1111" w:type="dxa"/>
          </w:tcPr>
          <w:p w14:paraId="402AED18">
            <w:pPr>
              <w:spacing w:before="113" w:line="201" w:lineRule="auto"/>
              <w:ind w:left="364"/>
              <w:rPr>
                <w:rFonts w:ascii="Times New Roman" w:hAnsi="Times New Roman" w:eastAsia="Times New Roman" w:cs="Times New Roman"/>
                <w:sz w:val="13"/>
                <w:szCs w:val="13"/>
              </w:rPr>
            </w:pPr>
            <w:r>
              <w:rPr>
                <w:rFonts w:ascii="Times New Roman" w:hAnsi="Times New Roman" w:eastAsia="Times New Roman" w:cs="Times New Roman"/>
                <w:sz w:val="20"/>
                <w:szCs w:val="20"/>
              </w:rPr>
              <w:t>NH</w:t>
            </w:r>
            <w:r>
              <w:rPr>
                <w:rFonts w:ascii="Times New Roman" w:hAnsi="Times New Roman" w:eastAsia="Times New Roman" w:cs="Times New Roman"/>
                <w:spacing w:val="19"/>
                <w:position w:val="-1"/>
                <w:sz w:val="13"/>
                <w:szCs w:val="13"/>
              </w:rPr>
              <w:t>3</w:t>
            </w:r>
          </w:p>
        </w:tc>
        <w:tc>
          <w:tcPr>
            <w:tcW w:w="1521" w:type="dxa"/>
          </w:tcPr>
          <w:p w14:paraId="49D69167">
            <w:pPr>
              <w:spacing w:before="73" w:line="228" w:lineRule="auto"/>
              <w:ind w:left="177"/>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小时平均值</w:t>
            </w:r>
          </w:p>
        </w:tc>
        <w:tc>
          <w:tcPr>
            <w:tcW w:w="1239" w:type="dxa"/>
          </w:tcPr>
          <w:p w14:paraId="4794F489"/>
        </w:tc>
        <w:tc>
          <w:tcPr>
            <w:tcW w:w="1271" w:type="dxa"/>
          </w:tcPr>
          <w:p w14:paraId="3875F6A0"/>
        </w:tc>
        <w:tc>
          <w:tcPr>
            <w:tcW w:w="979" w:type="dxa"/>
          </w:tcPr>
          <w:p w14:paraId="20831D36"/>
        </w:tc>
        <w:tc>
          <w:tcPr>
            <w:tcW w:w="1396" w:type="dxa"/>
          </w:tcPr>
          <w:p w14:paraId="61046639"/>
        </w:tc>
        <w:tc>
          <w:tcPr>
            <w:tcW w:w="989" w:type="dxa"/>
            <w:tcBorders>
              <w:right w:val="nil"/>
            </w:tcBorders>
          </w:tcPr>
          <w:p w14:paraId="00D28F19">
            <w:pPr>
              <w:spacing w:before="74" w:line="228" w:lineRule="auto"/>
              <w:ind w:left="287"/>
              <w:rPr>
                <w:rFonts w:ascii="宋体" w:hAnsi="宋体" w:eastAsia="宋体" w:cs="宋体"/>
                <w:sz w:val="20"/>
                <w:szCs w:val="20"/>
              </w:rPr>
            </w:pPr>
            <w:r>
              <w:rPr>
                <w:rFonts w:ascii="宋体" w:hAnsi="宋体" w:eastAsia="宋体" w:cs="宋体"/>
                <w:spacing w:val="5"/>
                <w:sz w:val="20"/>
                <w:szCs w:val="20"/>
              </w:rPr>
              <w:t>达标</w:t>
            </w:r>
          </w:p>
        </w:tc>
      </w:tr>
      <w:tr w14:paraId="67C6F9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33" w:type="dxa"/>
            <w:vMerge w:val="continue"/>
            <w:tcBorders>
              <w:top w:val="nil"/>
              <w:left w:val="nil"/>
              <w:bottom w:val="nil"/>
            </w:tcBorders>
          </w:tcPr>
          <w:p w14:paraId="2AE17124"/>
        </w:tc>
        <w:tc>
          <w:tcPr>
            <w:tcW w:w="1111" w:type="dxa"/>
          </w:tcPr>
          <w:p w14:paraId="25BE4118">
            <w:pPr>
              <w:spacing w:before="112" w:line="202" w:lineRule="auto"/>
              <w:ind w:left="389"/>
              <w:rPr>
                <w:rFonts w:ascii="Times New Roman" w:hAnsi="Times New Roman" w:eastAsia="Times New Roman" w:cs="Times New Roman"/>
                <w:sz w:val="20"/>
                <w:szCs w:val="20"/>
              </w:rPr>
            </w:pPr>
            <w:r>
              <w:rPr>
                <w:rFonts w:ascii="Times New Roman" w:hAnsi="Times New Roman" w:eastAsia="Times New Roman" w:cs="Times New Roman"/>
                <w:sz w:val="20"/>
                <w:szCs w:val="20"/>
              </w:rPr>
              <w:t>H</w:t>
            </w:r>
            <w:r>
              <w:rPr>
                <w:rFonts w:ascii="Times New Roman" w:hAnsi="Times New Roman" w:eastAsia="Times New Roman" w:cs="Times New Roman"/>
                <w:spacing w:val="18"/>
                <w:position w:val="-1"/>
                <w:sz w:val="13"/>
                <w:szCs w:val="13"/>
              </w:rPr>
              <w:t>2</w:t>
            </w:r>
            <w:r>
              <w:rPr>
                <w:rFonts w:ascii="Times New Roman" w:hAnsi="Times New Roman" w:eastAsia="Times New Roman" w:cs="Times New Roman"/>
                <w:sz w:val="20"/>
                <w:szCs w:val="20"/>
              </w:rPr>
              <w:t>S</w:t>
            </w:r>
          </w:p>
        </w:tc>
        <w:tc>
          <w:tcPr>
            <w:tcW w:w="1521" w:type="dxa"/>
          </w:tcPr>
          <w:p w14:paraId="0ED3EABC">
            <w:pPr>
              <w:spacing w:before="73" w:line="228" w:lineRule="auto"/>
              <w:ind w:left="177"/>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小时平均值</w:t>
            </w:r>
          </w:p>
        </w:tc>
        <w:tc>
          <w:tcPr>
            <w:tcW w:w="1239" w:type="dxa"/>
          </w:tcPr>
          <w:p w14:paraId="72E0E22F"/>
        </w:tc>
        <w:tc>
          <w:tcPr>
            <w:tcW w:w="1271" w:type="dxa"/>
          </w:tcPr>
          <w:p w14:paraId="385209E4"/>
        </w:tc>
        <w:tc>
          <w:tcPr>
            <w:tcW w:w="979" w:type="dxa"/>
          </w:tcPr>
          <w:p w14:paraId="3E5245C5"/>
        </w:tc>
        <w:tc>
          <w:tcPr>
            <w:tcW w:w="1396" w:type="dxa"/>
          </w:tcPr>
          <w:p w14:paraId="754B7D84"/>
        </w:tc>
        <w:tc>
          <w:tcPr>
            <w:tcW w:w="989" w:type="dxa"/>
            <w:tcBorders>
              <w:right w:val="nil"/>
            </w:tcBorders>
          </w:tcPr>
          <w:p w14:paraId="6C1B20D2">
            <w:pPr>
              <w:spacing w:before="74" w:line="228" w:lineRule="auto"/>
              <w:ind w:left="287"/>
              <w:rPr>
                <w:rFonts w:ascii="宋体" w:hAnsi="宋体" w:eastAsia="宋体" w:cs="宋体"/>
                <w:sz w:val="20"/>
                <w:szCs w:val="20"/>
              </w:rPr>
            </w:pPr>
            <w:r>
              <w:rPr>
                <w:rFonts w:ascii="宋体" w:hAnsi="宋体" w:eastAsia="宋体" w:cs="宋体"/>
                <w:spacing w:val="5"/>
                <w:sz w:val="20"/>
                <w:szCs w:val="20"/>
              </w:rPr>
              <w:t>达标</w:t>
            </w:r>
          </w:p>
        </w:tc>
      </w:tr>
      <w:tr w14:paraId="25B533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33" w:type="dxa"/>
            <w:vMerge w:val="continue"/>
            <w:tcBorders>
              <w:top w:val="nil"/>
              <w:left w:val="nil"/>
              <w:bottom w:val="nil"/>
            </w:tcBorders>
          </w:tcPr>
          <w:p w14:paraId="575D610F"/>
        </w:tc>
        <w:tc>
          <w:tcPr>
            <w:tcW w:w="1111" w:type="dxa"/>
          </w:tcPr>
          <w:p w14:paraId="34616EF1">
            <w:pPr>
              <w:spacing w:before="112" w:line="195" w:lineRule="auto"/>
              <w:ind w:left="37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T</w:t>
            </w:r>
            <w:r>
              <w:rPr>
                <w:rFonts w:ascii="Times New Roman" w:hAnsi="Times New Roman" w:eastAsia="Times New Roman" w:cs="Times New Roman"/>
                <w:spacing w:val="3"/>
                <w:sz w:val="20"/>
                <w:szCs w:val="20"/>
              </w:rPr>
              <w:t>SP</w:t>
            </w:r>
          </w:p>
        </w:tc>
        <w:tc>
          <w:tcPr>
            <w:tcW w:w="1521" w:type="dxa"/>
          </w:tcPr>
          <w:p w14:paraId="18E9DC02">
            <w:pPr>
              <w:spacing w:before="73" w:line="228" w:lineRule="auto"/>
              <w:ind w:left="485"/>
              <w:rPr>
                <w:rFonts w:ascii="宋体" w:hAnsi="宋体" w:eastAsia="宋体" w:cs="宋体"/>
                <w:sz w:val="20"/>
                <w:szCs w:val="20"/>
              </w:rPr>
            </w:pPr>
            <w:r>
              <w:rPr>
                <w:rFonts w:ascii="宋体" w:hAnsi="宋体" w:eastAsia="宋体" w:cs="宋体"/>
                <w:spacing w:val="-6"/>
                <w:sz w:val="20"/>
                <w:szCs w:val="20"/>
              </w:rPr>
              <w:t>日</w:t>
            </w:r>
            <w:r>
              <w:rPr>
                <w:rFonts w:ascii="宋体" w:hAnsi="宋体" w:eastAsia="宋体" w:cs="宋体"/>
                <w:spacing w:val="-5"/>
                <w:sz w:val="20"/>
                <w:szCs w:val="20"/>
              </w:rPr>
              <w:t>均值</w:t>
            </w:r>
          </w:p>
        </w:tc>
        <w:tc>
          <w:tcPr>
            <w:tcW w:w="1239" w:type="dxa"/>
          </w:tcPr>
          <w:p w14:paraId="5EAA0501"/>
        </w:tc>
        <w:tc>
          <w:tcPr>
            <w:tcW w:w="1271" w:type="dxa"/>
          </w:tcPr>
          <w:p w14:paraId="3B8ECDC2"/>
        </w:tc>
        <w:tc>
          <w:tcPr>
            <w:tcW w:w="979" w:type="dxa"/>
          </w:tcPr>
          <w:p w14:paraId="70784F82"/>
        </w:tc>
        <w:tc>
          <w:tcPr>
            <w:tcW w:w="1396" w:type="dxa"/>
          </w:tcPr>
          <w:p w14:paraId="528F2BBB"/>
        </w:tc>
        <w:tc>
          <w:tcPr>
            <w:tcW w:w="989" w:type="dxa"/>
            <w:tcBorders>
              <w:right w:val="nil"/>
            </w:tcBorders>
          </w:tcPr>
          <w:p w14:paraId="598D885D">
            <w:pPr>
              <w:spacing w:before="74" w:line="228" w:lineRule="auto"/>
              <w:ind w:left="287"/>
              <w:rPr>
                <w:rFonts w:ascii="宋体" w:hAnsi="宋体" w:eastAsia="宋体" w:cs="宋体"/>
                <w:sz w:val="20"/>
                <w:szCs w:val="20"/>
              </w:rPr>
            </w:pPr>
            <w:r>
              <w:rPr>
                <w:rFonts w:ascii="宋体" w:hAnsi="宋体" w:eastAsia="宋体" w:cs="宋体"/>
                <w:spacing w:val="5"/>
                <w:sz w:val="20"/>
                <w:szCs w:val="20"/>
              </w:rPr>
              <w:t>达标</w:t>
            </w:r>
          </w:p>
        </w:tc>
      </w:tr>
      <w:tr w14:paraId="50419C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733" w:type="dxa"/>
            <w:vMerge w:val="continue"/>
            <w:tcBorders>
              <w:top w:val="nil"/>
              <w:left w:val="nil"/>
            </w:tcBorders>
          </w:tcPr>
          <w:p w14:paraId="33743657"/>
        </w:tc>
        <w:tc>
          <w:tcPr>
            <w:tcW w:w="1111" w:type="dxa"/>
          </w:tcPr>
          <w:p w14:paraId="0C557F6D">
            <w:pPr>
              <w:spacing w:before="73" w:line="228" w:lineRule="auto"/>
              <w:ind w:left="139"/>
              <w:rPr>
                <w:rFonts w:ascii="宋体" w:hAnsi="宋体" w:eastAsia="宋体" w:cs="宋体"/>
                <w:sz w:val="20"/>
                <w:szCs w:val="20"/>
              </w:rPr>
            </w:pPr>
            <w:r>
              <w:rPr>
                <w:rFonts w:ascii="宋体" w:hAnsi="宋体" w:eastAsia="宋体" w:cs="宋体"/>
                <w:spacing w:val="8"/>
                <w:sz w:val="20"/>
                <w:szCs w:val="20"/>
              </w:rPr>
              <w:t>臭</w:t>
            </w:r>
            <w:r>
              <w:rPr>
                <w:rFonts w:ascii="宋体" w:hAnsi="宋体" w:eastAsia="宋体" w:cs="宋体"/>
                <w:spacing w:val="7"/>
                <w:sz w:val="20"/>
                <w:szCs w:val="20"/>
              </w:rPr>
              <w:t>气浓度</w:t>
            </w:r>
          </w:p>
        </w:tc>
        <w:tc>
          <w:tcPr>
            <w:tcW w:w="1521" w:type="dxa"/>
          </w:tcPr>
          <w:p w14:paraId="47062794">
            <w:pPr>
              <w:spacing w:before="73" w:line="228" w:lineRule="auto"/>
              <w:ind w:left="177"/>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小时平均值</w:t>
            </w:r>
          </w:p>
        </w:tc>
        <w:tc>
          <w:tcPr>
            <w:tcW w:w="1239" w:type="dxa"/>
          </w:tcPr>
          <w:p w14:paraId="52292E55"/>
        </w:tc>
        <w:tc>
          <w:tcPr>
            <w:tcW w:w="1271" w:type="dxa"/>
          </w:tcPr>
          <w:p w14:paraId="10E35D5B"/>
        </w:tc>
        <w:tc>
          <w:tcPr>
            <w:tcW w:w="979" w:type="dxa"/>
          </w:tcPr>
          <w:p w14:paraId="7D8123CD"/>
        </w:tc>
        <w:tc>
          <w:tcPr>
            <w:tcW w:w="1396" w:type="dxa"/>
          </w:tcPr>
          <w:p w14:paraId="5E477511"/>
        </w:tc>
        <w:tc>
          <w:tcPr>
            <w:tcW w:w="989" w:type="dxa"/>
            <w:tcBorders>
              <w:right w:val="nil"/>
            </w:tcBorders>
          </w:tcPr>
          <w:p w14:paraId="76630848">
            <w:pPr>
              <w:spacing w:before="74" w:line="228" w:lineRule="auto"/>
              <w:ind w:left="287"/>
              <w:rPr>
                <w:rFonts w:ascii="宋体" w:hAnsi="宋体" w:eastAsia="宋体" w:cs="宋体"/>
                <w:sz w:val="20"/>
                <w:szCs w:val="20"/>
              </w:rPr>
            </w:pPr>
            <w:r>
              <w:rPr>
                <w:rFonts w:ascii="宋体" w:hAnsi="宋体" w:eastAsia="宋体" w:cs="宋体"/>
                <w:spacing w:val="5"/>
                <w:sz w:val="20"/>
                <w:szCs w:val="20"/>
              </w:rPr>
              <w:t>达标</w:t>
            </w:r>
          </w:p>
        </w:tc>
      </w:tr>
      <w:tr w14:paraId="4E100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733" w:type="dxa"/>
            <w:vMerge w:val="restart"/>
            <w:tcBorders>
              <w:left w:val="nil"/>
              <w:bottom w:val="nil"/>
            </w:tcBorders>
          </w:tcPr>
          <w:p w14:paraId="00258A9F">
            <w:pPr>
              <w:spacing w:line="304" w:lineRule="auto"/>
            </w:pPr>
          </w:p>
          <w:p w14:paraId="3B43B873">
            <w:pPr>
              <w:spacing w:line="304" w:lineRule="auto"/>
            </w:pPr>
          </w:p>
          <w:p w14:paraId="3007E095">
            <w:pPr>
              <w:spacing w:before="58" w:line="195" w:lineRule="auto"/>
              <w:ind w:left="175"/>
              <w:rPr>
                <w:rFonts w:ascii="Times New Roman" w:hAnsi="Times New Roman" w:eastAsia="Times New Roman" w:cs="Times New Roman"/>
                <w:sz w:val="20"/>
                <w:szCs w:val="20"/>
              </w:rPr>
            </w:pPr>
            <w:r>
              <w:rPr>
                <w:rFonts w:ascii="Times New Roman" w:hAnsi="Times New Roman" w:eastAsia="Times New Roman" w:cs="Times New Roman"/>
                <w:sz w:val="20"/>
                <w:szCs w:val="20"/>
              </w:rPr>
              <w:t>AE</w:t>
            </w:r>
            <w:r>
              <w:rPr>
                <w:rFonts w:ascii="Times New Roman" w:hAnsi="Times New Roman" w:eastAsia="Times New Roman" w:cs="Times New Roman"/>
                <w:spacing w:val="14"/>
                <w:sz w:val="20"/>
                <w:szCs w:val="20"/>
              </w:rPr>
              <w:t>2</w:t>
            </w:r>
          </w:p>
        </w:tc>
        <w:tc>
          <w:tcPr>
            <w:tcW w:w="1111" w:type="dxa"/>
          </w:tcPr>
          <w:p w14:paraId="393F7CF6">
            <w:pPr>
              <w:spacing w:before="116" w:line="199" w:lineRule="auto"/>
              <w:ind w:left="364"/>
              <w:rPr>
                <w:rFonts w:ascii="Times New Roman" w:hAnsi="Times New Roman" w:eastAsia="Times New Roman" w:cs="Times New Roman"/>
                <w:sz w:val="13"/>
                <w:szCs w:val="13"/>
              </w:rPr>
            </w:pPr>
            <w:r>
              <w:rPr>
                <w:rFonts w:ascii="Times New Roman" w:hAnsi="Times New Roman" w:eastAsia="Times New Roman" w:cs="Times New Roman"/>
                <w:sz w:val="20"/>
                <w:szCs w:val="20"/>
              </w:rPr>
              <w:t>NH</w:t>
            </w:r>
            <w:r>
              <w:rPr>
                <w:rFonts w:ascii="Times New Roman" w:hAnsi="Times New Roman" w:eastAsia="Times New Roman" w:cs="Times New Roman"/>
                <w:spacing w:val="19"/>
                <w:position w:val="-1"/>
                <w:sz w:val="13"/>
                <w:szCs w:val="13"/>
              </w:rPr>
              <w:t>3</w:t>
            </w:r>
          </w:p>
        </w:tc>
        <w:tc>
          <w:tcPr>
            <w:tcW w:w="1521" w:type="dxa"/>
          </w:tcPr>
          <w:p w14:paraId="53A9B21F">
            <w:pPr>
              <w:spacing w:before="74" w:line="228" w:lineRule="auto"/>
              <w:ind w:left="177"/>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小时平均值</w:t>
            </w:r>
          </w:p>
        </w:tc>
        <w:tc>
          <w:tcPr>
            <w:tcW w:w="1239" w:type="dxa"/>
          </w:tcPr>
          <w:p w14:paraId="3023376A"/>
        </w:tc>
        <w:tc>
          <w:tcPr>
            <w:tcW w:w="1271" w:type="dxa"/>
          </w:tcPr>
          <w:p w14:paraId="5211A36A"/>
        </w:tc>
        <w:tc>
          <w:tcPr>
            <w:tcW w:w="979" w:type="dxa"/>
          </w:tcPr>
          <w:p w14:paraId="09B70568"/>
        </w:tc>
        <w:tc>
          <w:tcPr>
            <w:tcW w:w="1396" w:type="dxa"/>
          </w:tcPr>
          <w:p w14:paraId="4D572FD6"/>
        </w:tc>
        <w:tc>
          <w:tcPr>
            <w:tcW w:w="989" w:type="dxa"/>
            <w:tcBorders>
              <w:right w:val="nil"/>
            </w:tcBorders>
          </w:tcPr>
          <w:p w14:paraId="24D30268">
            <w:pPr>
              <w:spacing w:before="75" w:line="228" w:lineRule="auto"/>
              <w:ind w:left="287"/>
              <w:rPr>
                <w:rFonts w:ascii="宋体" w:hAnsi="宋体" w:eastAsia="宋体" w:cs="宋体"/>
                <w:sz w:val="20"/>
                <w:szCs w:val="20"/>
              </w:rPr>
            </w:pPr>
            <w:r>
              <w:rPr>
                <w:rFonts w:ascii="宋体" w:hAnsi="宋体" w:eastAsia="宋体" w:cs="宋体"/>
                <w:spacing w:val="5"/>
                <w:sz w:val="20"/>
                <w:szCs w:val="20"/>
              </w:rPr>
              <w:t>达标</w:t>
            </w:r>
          </w:p>
        </w:tc>
      </w:tr>
      <w:tr w14:paraId="4028B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733" w:type="dxa"/>
            <w:vMerge w:val="continue"/>
            <w:tcBorders>
              <w:top w:val="nil"/>
              <w:left w:val="nil"/>
              <w:bottom w:val="nil"/>
            </w:tcBorders>
          </w:tcPr>
          <w:p w14:paraId="57A48949"/>
        </w:tc>
        <w:tc>
          <w:tcPr>
            <w:tcW w:w="1111" w:type="dxa"/>
          </w:tcPr>
          <w:p w14:paraId="5E3396DA">
            <w:pPr>
              <w:spacing w:before="114" w:line="202" w:lineRule="auto"/>
              <w:ind w:left="389"/>
              <w:rPr>
                <w:rFonts w:ascii="Times New Roman" w:hAnsi="Times New Roman" w:eastAsia="Times New Roman" w:cs="Times New Roman"/>
                <w:sz w:val="20"/>
                <w:szCs w:val="20"/>
              </w:rPr>
            </w:pPr>
            <w:r>
              <w:rPr>
                <w:rFonts w:ascii="Times New Roman" w:hAnsi="Times New Roman" w:eastAsia="Times New Roman" w:cs="Times New Roman"/>
                <w:sz w:val="20"/>
                <w:szCs w:val="20"/>
              </w:rPr>
              <w:t>H</w:t>
            </w:r>
            <w:r>
              <w:rPr>
                <w:rFonts w:ascii="Times New Roman" w:hAnsi="Times New Roman" w:eastAsia="Times New Roman" w:cs="Times New Roman"/>
                <w:spacing w:val="18"/>
                <w:position w:val="-1"/>
                <w:sz w:val="13"/>
                <w:szCs w:val="13"/>
              </w:rPr>
              <w:t>2</w:t>
            </w:r>
            <w:r>
              <w:rPr>
                <w:rFonts w:ascii="Times New Roman" w:hAnsi="Times New Roman" w:eastAsia="Times New Roman" w:cs="Times New Roman"/>
                <w:sz w:val="20"/>
                <w:szCs w:val="20"/>
              </w:rPr>
              <w:t>S</w:t>
            </w:r>
          </w:p>
        </w:tc>
        <w:tc>
          <w:tcPr>
            <w:tcW w:w="1521" w:type="dxa"/>
          </w:tcPr>
          <w:p w14:paraId="7C2F0128">
            <w:pPr>
              <w:spacing w:before="75" w:line="228" w:lineRule="auto"/>
              <w:ind w:left="177"/>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小时平均值</w:t>
            </w:r>
          </w:p>
        </w:tc>
        <w:tc>
          <w:tcPr>
            <w:tcW w:w="1239" w:type="dxa"/>
          </w:tcPr>
          <w:p w14:paraId="324C652D"/>
        </w:tc>
        <w:tc>
          <w:tcPr>
            <w:tcW w:w="1271" w:type="dxa"/>
          </w:tcPr>
          <w:p w14:paraId="37D23CC0"/>
        </w:tc>
        <w:tc>
          <w:tcPr>
            <w:tcW w:w="979" w:type="dxa"/>
          </w:tcPr>
          <w:p w14:paraId="17715D95"/>
        </w:tc>
        <w:tc>
          <w:tcPr>
            <w:tcW w:w="1396" w:type="dxa"/>
          </w:tcPr>
          <w:p w14:paraId="731FC9B5"/>
        </w:tc>
        <w:tc>
          <w:tcPr>
            <w:tcW w:w="989" w:type="dxa"/>
            <w:tcBorders>
              <w:right w:val="nil"/>
            </w:tcBorders>
          </w:tcPr>
          <w:p w14:paraId="258A27E1">
            <w:pPr>
              <w:spacing w:before="76" w:line="228" w:lineRule="auto"/>
              <w:ind w:left="287"/>
              <w:rPr>
                <w:rFonts w:ascii="宋体" w:hAnsi="宋体" w:eastAsia="宋体" w:cs="宋体"/>
                <w:sz w:val="20"/>
                <w:szCs w:val="20"/>
              </w:rPr>
            </w:pPr>
            <w:r>
              <w:rPr>
                <w:rFonts w:ascii="宋体" w:hAnsi="宋体" w:eastAsia="宋体" w:cs="宋体"/>
                <w:spacing w:val="5"/>
                <w:sz w:val="20"/>
                <w:szCs w:val="20"/>
              </w:rPr>
              <w:t>达标</w:t>
            </w:r>
          </w:p>
        </w:tc>
      </w:tr>
      <w:tr w14:paraId="36C43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733" w:type="dxa"/>
            <w:vMerge w:val="continue"/>
            <w:tcBorders>
              <w:top w:val="nil"/>
              <w:left w:val="nil"/>
              <w:bottom w:val="nil"/>
            </w:tcBorders>
          </w:tcPr>
          <w:p w14:paraId="751F53B6"/>
        </w:tc>
        <w:tc>
          <w:tcPr>
            <w:tcW w:w="1111" w:type="dxa"/>
          </w:tcPr>
          <w:p w14:paraId="4DDB6813">
            <w:pPr>
              <w:spacing w:before="115" w:line="195" w:lineRule="auto"/>
              <w:ind w:left="37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T</w:t>
            </w:r>
            <w:r>
              <w:rPr>
                <w:rFonts w:ascii="Times New Roman" w:hAnsi="Times New Roman" w:eastAsia="Times New Roman" w:cs="Times New Roman"/>
                <w:spacing w:val="3"/>
                <w:sz w:val="20"/>
                <w:szCs w:val="20"/>
              </w:rPr>
              <w:t>SP</w:t>
            </w:r>
          </w:p>
        </w:tc>
        <w:tc>
          <w:tcPr>
            <w:tcW w:w="1521" w:type="dxa"/>
          </w:tcPr>
          <w:p w14:paraId="75347D96">
            <w:pPr>
              <w:spacing w:before="78" w:line="228" w:lineRule="auto"/>
              <w:ind w:left="485"/>
              <w:rPr>
                <w:rFonts w:ascii="宋体" w:hAnsi="宋体" w:eastAsia="宋体" w:cs="宋体"/>
                <w:sz w:val="20"/>
                <w:szCs w:val="20"/>
              </w:rPr>
            </w:pPr>
            <w:r>
              <w:rPr>
                <w:rFonts w:ascii="宋体" w:hAnsi="宋体" w:eastAsia="宋体" w:cs="宋体"/>
                <w:spacing w:val="-6"/>
                <w:sz w:val="20"/>
                <w:szCs w:val="20"/>
              </w:rPr>
              <w:t>日</w:t>
            </w:r>
            <w:r>
              <w:rPr>
                <w:rFonts w:ascii="宋体" w:hAnsi="宋体" w:eastAsia="宋体" w:cs="宋体"/>
                <w:spacing w:val="-5"/>
                <w:sz w:val="20"/>
                <w:szCs w:val="20"/>
              </w:rPr>
              <w:t>均值</w:t>
            </w:r>
          </w:p>
        </w:tc>
        <w:tc>
          <w:tcPr>
            <w:tcW w:w="1239" w:type="dxa"/>
          </w:tcPr>
          <w:p w14:paraId="79C2D7C7"/>
        </w:tc>
        <w:tc>
          <w:tcPr>
            <w:tcW w:w="1271" w:type="dxa"/>
          </w:tcPr>
          <w:p w14:paraId="42DCE9E6"/>
        </w:tc>
        <w:tc>
          <w:tcPr>
            <w:tcW w:w="979" w:type="dxa"/>
          </w:tcPr>
          <w:p w14:paraId="3005F918"/>
        </w:tc>
        <w:tc>
          <w:tcPr>
            <w:tcW w:w="1396" w:type="dxa"/>
          </w:tcPr>
          <w:p w14:paraId="7031CDB4"/>
        </w:tc>
        <w:tc>
          <w:tcPr>
            <w:tcW w:w="989" w:type="dxa"/>
            <w:tcBorders>
              <w:right w:val="nil"/>
            </w:tcBorders>
          </w:tcPr>
          <w:p w14:paraId="41AD773D">
            <w:pPr>
              <w:spacing w:before="79" w:line="228" w:lineRule="auto"/>
              <w:ind w:left="287"/>
              <w:rPr>
                <w:rFonts w:ascii="宋体" w:hAnsi="宋体" w:eastAsia="宋体" w:cs="宋体"/>
                <w:sz w:val="20"/>
                <w:szCs w:val="20"/>
              </w:rPr>
            </w:pPr>
            <w:r>
              <w:rPr>
                <w:rFonts w:ascii="宋体" w:hAnsi="宋体" w:eastAsia="宋体" w:cs="宋体"/>
                <w:spacing w:val="5"/>
                <w:sz w:val="20"/>
                <w:szCs w:val="20"/>
              </w:rPr>
              <w:t>达标</w:t>
            </w:r>
          </w:p>
        </w:tc>
      </w:tr>
      <w:tr w14:paraId="55E57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733" w:type="dxa"/>
            <w:vMerge w:val="continue"/>
            <w:tcBorders>
              <w:top w:val="nil"/>
              <w:left w:val="nil"/>
            </w:tcBorders>
          </w:tcPr>
          <w:p w14:paraId="21164350"/>
        </w:tc>
        <w:tc>
          <w:tcPr>
            <w:tcW w:w="1111" w:type="dxa"/>
          </w:tcPr>
          <w:p w14:paraId="6E210F07">
            <w:pPr>
              <w:spacing w:before="79" w:line="228" w:lineRule="auto"/>
              <w:ind w:left="139"/>
              <w:rPr>
                <w:rFonts w:ascii="宋体" w:hAnsi="宋体" w:eastAsia="宋体" w:cs="宋体"/>
                <w:sz w:val="20"/>
                <w:szCs w:val="20"/>
              </w:rPr>
            </w:pPr>
            <w:r>
              <w:rPr>
                <w:rFonts w:ascii="宋体" w:hAnsi="宋体" w:eastAsia="宋体" w:cs="宋体"/>
                <w:spacing w:val="8"/>
                <w:sz w:val="20"/>
                <w:szCs w:val="20"/>
              </w:rPr>
              <w:t>臭</w:t>
            </w:r>
            <w:r>
              <w:rPr>
                <w:rFonts w:ascii="宋体" w:hAnsi="宋体" w:eastAsia="宋体" w:cs="宋体"/>
                <w:spacing w:val="7"/>
                <w:sz w:val="20"/>
                <w:szCs w:val="20"/>
              </w:rPr>
              <w:t>气浓度</w:t>
            </w:r>
          </w:p>
        </w:tc>
        <w:tc>
          <w:tcPr>
            <w:tcW w:w="1521" w:type="dxa"/>
          </w:tcPr>
          <w:p w14:paraId="054A7DE0">
            <w:pPr>
              <w:spacing w:before="79" w:line="228" w:lineRule="auto"/>
              <w:ind w:left="177"/>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小时平均值</w:t>
            </w:r>
          </w:p>
        </w:tc>
        <w:tc>
          <w:tcPr>
            <w:tcW w:w="1239" w:type="dxa"/>
          </w:tcPr>
          <w:p w14:paraId="15CBB772"/>
        </w:tc>
        <w:tc>
          <w:tcPr>
            <w:tcW w:w="1271" w:type="dxa"/>
          </w:tcPr>
          <w:p w14:paraId="43494550"/>
        </w:tc>
        <w:tc>
          <w:tcPr>
            <w:tcW w:w="979" w:type="dxa"/>
          </w:tcPr>
          <w:p w14:paraId="6CF4F10A"/>
        </w:tc>
        <w:tc>
          <w:tcPr>
            <w:tcW w:w="1396" w:type="dxa"/>
          </w:tcPr>
          <w:p w14:paraId="0BD00AD1"/>
        </w:tc>
        <w:tc>
          <w:tcPr>
            <w:tcW w:w="989" w:type="dxa"/>
            <w:tcBorders>
              <w:right w:val="nil"/>
            </w:tcBorders>
          </w:tcPr>
          <w:p w14:paraId="473BA2E8">
            <w:pPr>
              <w:spacing w:before="80" w:line="228" w:lineRule="auto"/>
              <w:ind w:left="287"/>
              <w:rPr>
                <w:rFonts w:ascii="宋体" w:hAnsi="宋体" w:eastAsia="宋体" w:cs="宋体"/>
                <w:sz w:val="20"/>
                <w:szCs w:val="20"/>
              </w:rPr>
            </w:pPr>
            <w:r>
              <w:rPr>
                <w:rFonts w:ascii="宋体" w:hAnsi="宋体" w:eastAsia="宋体" w:cs="宋体"/>
                <w:spacing w:val="5"/>
                <w:sz w:val="20"/>
                <w:szCs w:val="20"/>
              </w:rPr>
              <w:t>达标</w:t>
            </w:r>
          </w:p>
        </w:tc>
      </w:tr>
    </w:tbl>
    <w:p w14:paraId="5E9A364E">
      <w:pPr>
        <w:spacing w:before="31" w:line="254" w:lineRule="auto"/>
        <w:ind w:left="131" w:right="437" w:firstLine="407"/>
        <w:rPr>
          <w:rFonts w:ascii="宋体" w:hAnsi="宋体" w:eastAsia="宋体" w:cs="宋体"/>
          <w:sz w:val="20"/>
          <w:szCs w:val="20"/>
        </w:rPr>
      </w:pPr>
      <w:r>
        <w:rPr>
          <w:rFonts w:ascii="宋体" w:hAnsi="宋体" w:eastAsia="宋体" w:cs="宋体"/>
          <w:spacing w:val="20"/>
          <w:sz w:val="20"/>
          <w:szCs w:val="20"/>
          <w14:textOutline w14:w="3797" w14:cap="sq" w14:cmpd="sng" w14:algn="ctr">
            <w14:solidFill>
              <w14:srgbClr w14:val="000000"/>
            </w14:solidFill>
            <w14:prstDash w14:val="solid"/>
            <w14:bevel/>
          </w14:textOutline>
        </w:rPr>
        <w:t>备注</w:t>
      </w:r>
      <w:r>
        <w:rPr>
          <w:rFonts w:ascii="宋体" w:hAnsi="宋体" w:eastAsia="宋体" w:cs="宋体"/>
          <w:spacing w:val="18"/>
          <w:sz w:val="20"/>
          <w:szCs w:val="20"/>
          <w14:textOutline w14:w="3797" w14:cap="sq" w14:cmpd="sng" w14:algn="ctr">
            <w14:solidFill>
              <w14:srgbClr w14:val="000000"/>
            </w14:solidFill>
            <w14:prstDash w14:val="solid"/>
            <w14:bevel/>
          </w14:textOutline>
        </w:rPr>
        <w:t>：</w:t>
      </w:r>
      <w:r>
        <w:rPr>
          <w:rFonts w:ascii="宋体" w:hAnsi="宋体" w:eastAsia="宋体" w:cs="宋体"/>
          <w:spacing w:val="10"/>
          <w:sz w:val="20"/>
          <w:szCs w:val="20"/>
          <w14:textOutline w14:w="3797" w14:cap="sq" w14:cmpd="sng" w14:algn="ctr">
            <w14:solidFill>
              <w14:srgbClr w14:val="000000"/>
            </w14:solidFill>
            <w14:prstDash w14:val="solid"/>
            <w14:bevel/>
          </w14:textOutline>
        </w:rPr>
        <w:t>检出结果低于检出限时，监测结果以</w:t>
      </w:r>
      <w:r>
        <w:rPr>
          <w:rFonts w:ascii="Times New Roman" w:hAnsi="Times New Roman" w:eastAsia="Times New Roman" w:cs="Times New Roman"/>
          <w:b/>
          <w:bCs/>
          <w:spacing w:val="10"/>
          <w:sz w:val="20"/>
          <w:szCs w:val="20"/>
        </w:rPr>
        <w:t>“</w:t>
      </w:r>
      <w:r>
        <w:rPr>
          <w:rFonts w:ascii="宋体" w:hAnsi="宋体" w:eastAsia="宋体" w:cs="宋体"/>
          <w:spacing w:val="10"/>
          <w:sz w:val="20"/>
          <w:szCs w:val="20"/>
          <w14:textOutline w14:w="3797" w14:cap="sq" w14:cmpd="sng" w14:algn="ctr">
            <w14:solidFill>
              <w14:srgbClr w14:val="000000"/>
            </w14:solidFill>
            <w14:prstDash w14:val="solid"/>
            <w14:bevel/>
          </w14:textOutline>
        </w:rPr>
        <w:t>检出限</w:t>
      </w:r>
      <w:r>
        <w:rPr>
          <w:rFonts w:ascii="宋体" w:hAnsi="宋体" w:eastAsia="宋体" w:cs="宋体"/>
          <w:spacing w:val="10"/>
          <w:sz w:val="20"/>
          <w:szCs w:val="20"/>
        </w:rPr>
        <w:t xml:space="preserve"> </w:t>
      </w:r>
      <w:r>
        <w:rPr>
          <w:rFonts w:ascii="Times New Roman" w:hAnsi="Times New Roman" w:eastAsia="Times New Roman" w:cs="Times New Roman"/>
          <w:b/>
          <w:bCs/>
          <w:sz w:val="20"/>
          <w:szCs w:val="20"/>
        </w:rPr>
        <w:t>L</w:t>
      </w:r>
      <w:r>
        <w:rPr>
          <w:rFonts w:ascii="Times New Roman" w:hAnsi="Times New Roman" w:eastAsia="Times New Roman" w:cs="Times New Roman"/>
          <w:b/>
          <w:bCs/>
          <w:spacing w:val="10"/>
          <w:sz w:val="20"/>
          <w:szCs w:val="20"/>
        </w:rPr>
        <w:t>”</w:t>
      </w:r>
      <w:r>
        <w:rPr>
          <w:rFonts w:ascii="宋体" w:hAnsi="宋体" w:eastAsia="宋体" w:cs="宋体"/>
          <w:spacing w:val="10"/>
          <w:sz w:val="20"/>
          <w:szCs w:val="20"/>
          <w14:textOutline w14:w="3797" w14:cap="sq" w14:cmpd="sng" w14:algn="ctr">
            <w14:solidFill>
              <w14:srgbClr w14:val="000000"/>
            </w14:solidFill>
            <w14:prstDash w14:val="solid"/>
            <w14:bevel/>
          </w14:textOutline>
        </w:rPr>
        <w:t>表示，当评价因子监测值低于检出</w:t>
      </w:r>
      <w:r>
        <w:rPr>
          <w:rFonts w:ascii="宋体" w:hAnsi="宋体" w:eastAsia="宋体" w:cs="宋体"/>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限时</w:t>
      </w:r>
      <w:r>
        <w:rPr>
          <w:rFonts w:ascii="宋体" w:hAnsi="宋体" w:eastAsia="宋体" w:cs="宋体"/>
          <w:spacing w:val="5"/>
          <w:sz w:val="20"/>
          <w:szCs w:val="20"/>
          <w14:textOutline w14:w="3797" w14:cap="sq" w14:cmpd="sng" w14:algn="ctr">
            <w14:solidFill>
              <w14:srgbClr w14:val="000000"/>
            </w14:solidFill>
            <w14:prstDash w14:val="solid"/>
            <w14:bevel/>
          </w14:textOutline>
        </w:rPr>
        <w:t>，</w:t>
      </w:r>
      <w:r>
        <w:rPr>
          <w:rFonts w:ascii="宋体" w:hAnsi="宋体" w:eastAsia="宋体" w:cs="宋体"/>
          <w:spacing w:val="3"/>
          <w:sz w:val="20"/>
          <w:szCs w:val="20"/>
          <w14:textOutline w14:w="3797" w14:cap="sq" w14:cmpd="sng" w14:algn="ctr">
            <w14:solidFill>
              <w14:srgbClr w14:val="000000"/>
            </w14:solidFill>
            <w14:prstDash w14:val="solid"/>
            <w14:bevel/>
          </w14:textOutline>
        </w:rPr>
        <w:t>评价以检出限的</w:t>
      </w:r>
      <w:r>
        <w:rPr>
          <w:rFonts w:ascii="宋体" w:hAnsi="宋体" w:eastAsia="宋体" w:cs="宋体"/>
          <w:spacing w:val="3"/>
          <w:sz w:val="20"/>
          <w:szCs w:val="20"/>
        </w:rPr>
        <w:t xml:space="preserve"> </w:t>
      </w:r>
      <w:r>
        <w:rPr>
          <w:rFonts w:ascii="Times New Roman" w:hAnsi="Times New Roman" w:eastAsia="Times New Roman" w:cs="Times New Roman"/>
          <w:b/>
          <w:bCs/>
          <w:spacing w:val="3"/>
          <w:sz w:val="20"/>
          <w:szCs w:val="20"/>
        </w:rPr>
        <w:t>1/2</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14:textOutline w14:w="3797" w14:cap="sq" w14:cmpd="sng" w14:algn="ctr">
            <w14:solidFill>
              <w14:srgbClr w14:val="000000"/>
            </w14:solidFill>
            <w14:prstDash w14:val="solid"/>
            <w14:bevel/>
          </w14:textOutline>
        </w:rPr>
        <w:t>计。</w:t>
      </w:r>
    </w:p>
    <w:p w14:paraId="5D222C72">
      <w:pPr>
        <w:spacing w:before="4" w:line="375" w:lineRule="auto"/>
        <w:ind w:left="105" w:right="454" w:firstLine="521"/>
        <w:rPr>
          <w:rFonts w:ascii="宋体" w:hAnsi="宋体" w:eastAsia="宋体" w:cs="宋体"/>
          <w:sz w:val="23"/>
          <w:szCs w:val="23"/>
        </w:rPr>
      </w:pPr>
      <w:r>
        <w:rPr>
          <w:rFonts w:ascii="宋体" w:hAnsi="宋体" w:eastAsia="宋体" w:cs="宋体"/>
          <w:spacing w:val="7"/>
          <w:sz w:val="23"/>
          <w:szCs w:val="23"/>
        </w:rPr>
        <w:t xml:space="preserve">由表 </w:t>
      </w:r>
      <w:r>
        <w:rPr>
          <w:rFonts w:ascii="Times New Roman" w:hAnsi="Times New Roman" w:eastAsia="Times New Roman" w:cs="Times New Roman"/>
          <w:spacing w:val="7"/>
          <w:sz w:val="23"/>
          <w:szCs w:val="23"/>
        </w:rPr>
        <w:t xml:space="preserve">4.2-4 </w:t>
      </w:r>
      <w:r>
        <w:rPr>
          <w:rFonts w:ascii="宋体" w:hAnsi="宋体" w:eastAsia="宋体" w:cs="宋体"/>
          <w:spacing w:val="7"/>
          <w:sz w:val="23"/>
          <w:szCs w:val="23"/>
        </w:rPr>
        <w:t>可知，本项目设置的两个监测点 (</w:t>
      </w:r>
      <w:r>
        <w:rPr>
          <w:rFonts w:ascii="Times New Roman" w:hAnsi="Times New Roman" w:eastAsia="Times New Roman" w:cs="Times New Roman"/>
          <w:sz w:val="23"/>
          <w:szCs w:val="23"/>
        </w:rPr>
        <w:t>AE</w:t>
      </w:r>
      <w:r>
        <w:rPr>
          <w:rFonts w:ascii="Times New Roman" w:hAnsi="Times New Roman" w:eastAsia="Times New Roman" w:cs="Times New Roman"/>
          <w:spacing w:val="7"/>
          <w:sz w:val="23"/>
          <w:szCs w:val="23"/>
        </w:rPr>
        <w:t xml:space="preserve">1 </w:t>
      </w:r>
      <w:r>
        <w:rPr>
          <w:rFonts w:ascii="宋体" w:hAnsi="宋体" w:eastAsia="宋体" w:cs="宋体"/>
          <w:spacing w:val="7"/>
          <w:sz w:val="23"/>
          <w:szCs w:val="23"/>
        </w:rPr>
        <w:t xml:space="preserve">和 </w:t>
      </w:r>
      <w:r>
        <w:rPr>
          <w:rFonts w:ascii="Times New Roman" w:hAnsi="Times New Roman" w:eastAsia="Times New Roman" w:cs="Times New Roman"/>
          <w:sz w:val="23"/>
          <w:szCs w:val="23"/>
        </w:rPr>
        <w:t>AE</w:t>
      </w:r>
      <w:r>
        <w:rPr>
          <w:rFonts w:ascii="Times New Roman" w:hAnsi="Times New Roman" w:eastAsia="Times New Roman" w:cs="Times New Roman"/>
          <w:spacing w:val="7"/>
          <w:sz w:val="23"/>
          <w:szCs w:val="23"/>
        </w:rPr>
        <w:t>2</w:t>
      </w:r>
      <w:r>
        <w:rPr>
          <w:rFonts w:ascii="宋体" w:hAnsi="宋体" w:eastAsia="宋体" w:cs="宋体"/>
          <w:spacing w:val="7"/>
          <w:sz w:val="23"/>
          <w:szCs w:val="23"/>
        </w:rPr>
        <w:t>) 监测点位氨、硫</w:t>
      </w:r>
      <w:r>
        <w:rPr>
          <w:rFonts w:ascii="宋体" w:hAnsi="宋体" w:eastAsia="宋体" w:cs="宋体"/>
          <w:sz w:val="23"/>
          <w:szCs w:val="23"/>
        </w:rPr>
        <w:t xml:space="preserve">化 </w:t>
      </w:r>
      <w:r>
        <w:rPr>
          <w:rFonts w:ascii="宋体" w:hAnsi="宋体" w:eastAsia="宋体" w:cs="宋体"/>
          <w:spacing w:val="6"/>
          <w:sz w:val="23"/>
          <w:szCs w:val="23"/>
        </w:rPr>
        <w:t>氢小时值浓度可满足《</w:t>
      </w:r>
      <w:r>
        <w:rPr>
          <w:rFonts w:ascii="宋体" w:hAnsi="宋体" w:eastAsia="宋体" w:cs="宋体"/>
          <w:spacing w:val="5"/>
          <w:sz w:val="23"/>
          <w:szCs w:val="23"/>
        </w:rPr>
        <w:t>环</w:t>
      </w:r>
      <w:r>
        <w:rPr>
          <w:rFonts w:ascii="宋体" w:hAnsi="宋体" w:eastAsia="宋体" w:cs="宋体"/>
          <w:spacing w:val="3"/>
          <w:sz w:val="23"/>
          <w:szCs w:val="23"/>
        </w:rPr>
        <w:t>境影响评价技术导则</w:t>
      </w:r>
      <w:r>
        <w:rPr>
          <w:rFonts w:ascii="Times New Roman" w:hAnsi="Times New Roman" w:eastAsia="Times New Roman" w:cs="Times New Roman"/>
          <w:spacing w:val="3"/>
          <w:sz w:val="23"/>
          <w:szCs w:val="23"/>
        </w:rPr>
        <w:t>-</w:t>
      </w:r>
      <w:r>
        <w:rPr>
          <w:rFonts w:ascii="宋体" w:hAnsi="宋体" w:eastAsia="宋体" w:cs="宋体"/>
          <w:spacing w:val="3"/>
          <w:sz w:val="23"/>
          <w:szCs w:val="23"/>
        </w:rPr>
        <w:t>大气环境》  (</w:t>
      </w:r>
      <w:r>
        <w:rPr>
          <w:rFonts w:ascii="Times New Roman" w:hAnsi="Times New Roman" w:eastAsia="Times New Roman" w:cs="Times New Roman"/>
          <w:sz w:val="23"/>
          <w:szCs w:val="23"/>
        </w:rPr>
        <w:t>HJ</w:t>
      </w:r>
      <w:r>
        <w:rPr>
          <w:rFonts w:ascii="Times New Roman" w:hAnsi="Times New Roman" w:eastAsia="Times New Roman" w:cs="Times New Roman"/>
          <w:spacing w:val="3"/>
          <w:sz w:val="23"/>
          <w:szCs w:val="23"/>
        </w:rPr>
        <w:t>2.2-2018</w:t>
      </w:r>
      <w:r>
        <w:rPr>
          <w:rFonts w:ascii="宋体" w:hAnsi="宋体" w:eastAsia="宋体" w:cs="宋体"/>
          <w:spacing w:val="3"/>
          <w:sz w:val="23"/>
          <w:szCs w:val="23"/>
        </w:rPr>
        <w:t xml:space="preserve">) 附录 </w:t>
      </w:r>
      <w:r>
        <w:rPr>
          <w:rFonts w:ascii="Times New Roman" w:hAnsi="Times New Roman" w:eastAsia="Times New Roman" w:cs="Times New Roman"/>
          <w:sz w:val="23"/>
          <w:szCs w:val="23"/>
        </w:rPr>
        <w:t>D</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中</w:t>
      </w:r>
      <w:r>
        <w:rPr>
          <w:rFonts w:ascii="宋体" w:hAnsi="宋体" w:eastAsia="宋体" w:cs="宋体"/>
          <w:sz w:val="23"/>
          <w:szCs w:val="23"/>
        </w:rPr>
        <w:t xml:space="preserve"> </w:t>
      </w:r>
      <w:r>
        <w:rPr>
          <w:rFonts w:ascii="Times New Roman" w:hAnsi="Times New Roman" w:eastAsia="Times New Roman" w:cs="Times New Roman"/>
          <w:sz w:val="23"/>
          <w:szCs w:val="23"/>
        </w:rPr>
        <w:t>NH</w:t>
      </w:r>
      <w:r>
        <w:rPr>
          <w:rFonts w:ascii="Times New Roman" w:hAnsi="Times New Roman" w:eastAsia="Times New Roman" w:cs="Times New Roman"/>
          <w:spacing w:val="6"/>
          <w:position w:val="-1"/>
          <w:sz w:val="15"/>
          <w:szCs w:val="15"/>
        </w:rPr>
        <w:t xml:space="preserve">3 </w:t>
      </w:r>
      <w:r>
        <w:rPr>
          <w:rFonts w:ascii="宋体" w:hAnsi="宋体" w:eastAsia="宋体" w:cs="宋体"/>
          <w:spacing w:val="3"/>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3"/>
          <w:position w:val="-1"/>
          <w:sz w:val="15"/>
          <w:szCs w:val="15"/>
        </w:rPr>
        <w:t xml:space="preserve">2 </w:t>
      </w:r>
      <w:r>
        <w:rPr>
          <w:rFonts w:ascii="Times New Roman" w:hAnsi="Times New Roman" w:eastAsia="Times New Roman" w:cs="Times New Roman"/>
          <w:sz w:val="23"/>
          <w:szCs w:val="23"/>
        </w:rPr>
        <w:t>S</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标准限值要求；</w:t>
      </w:r>
      <w:r>
        <w:rPr>
          <w:rFonts w:ascii="Times New Roman" w:hAnsi="Times New Roman" w:eastAsia="Times New Roman" w:cs="Times New Roman"/>
          <w:sz w:val="23"/>
          <w:szCs w:val="23"/>
        </w:rPr>
        <w:t>TSP</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浓度满足《环境空气质量标准》  (</w:t>
      </w:r>
      <w:r>
        <w:rPr>
          <w:rFonts w:ascii="Times New Roman" w:hAnsi="Times New Roman" w:eastAsia="Times New Roman" w:cs="Times New Roman"/>
          <w:sz w:val="23"/>
          <w:szCs w:val="23"/>
        </w:rPr>
        <w:t>GB</w:t>
      </w:r>
      <w:r>
        <w:rPr>
          <w:rFonts w:ascii="Times New Roman" w:hAnsi="Times New Roman" w:eastAsia="Times New Roman" w:cs="Times New Roman"/>
          <w:spacing w:val="3"/>
          <w:sz w:val="23"/>
          <w:szCs w:val="23"/>
        </w:rPr>
        <w:t>3095-2012</w:t>
      </w:r>
      <w:r>
        <w:rPr>
          <w:rFonts w:ascii="宋体" w:hAnsi="宋体" w:eastAsia="宋体" w:cs="宋体"/>
          <w:spacing w:val="3"/>
          <w:sz w:val="23"/>
          <w:szCs w:val="23"/>
        </w:rPr>
        <w:t>) 二</w:t>
      </w:r>
      <w:r>
        <w:rPr>
          <w:rFonts w:ascii="宋体" w:hAnsi="宋体" w:eastAsia="宋体" w:cs="宋体"/>
          <w:sz w:val="23"/>
          <w:szCs w:val="23"/>
        </w:rPr>
        <w:t xml:space="preserve"> </w:t>
      </w:r>
      <w:r>
        <w:rPr>
          <w:rFonts w:ascii="宋体" w:hAnsi="宋体" w:eastAsia="宋体" w:cs="宋体"/>
          <w:spacing w:val="8"/>
          <w:sz w:val="23"/>
          <w:szCs w:val="23"/>
        </w:rPr>
        <w:t>级标准。</w:t>
      </w:r>
    </w:p>
    <w:p w14:paraId="030FF0A7">
      <w:pPr>
        <w:spacing w:before="1" w:line="218" w:lineRule="auto"/>
        <w:ind w:left="115"/>
        <w:outlineLvl w:val="1"/>
        <w:rPr>
          <w:rFonts w:ascii="宋体" w:hAnsi="宋体" w:eastAsia="宋体" w:cs="宋体"/>
          <w:sz w:val="28"/>
          <w:szCs w:val="28"/>
        </w:rPr>
      </w:pPr>
      <w:r>
        <w:rPr>
          <w:rFonts w:ascii="Times New Roman" w:hAnsi="Times New Roman" w:eastAsia="Times New Roman" w:cs="Times New Roman"/>
          <w:b/>
          <w:bCs/>
          <w:spacing w:val="1"/>
          <w:sz w:val="28"/>
          <w:szCs w:val="28"/>
        </w:rPr>
        <w:t>4.2.2</w:t>
      </w:r>
      <w:r>
        <w:rPr>
          <w:rFonts w:ascii="Times New Roman" w:hAnsi="Times New Roman" w:eastAsia="Times New Roman" w:cs="Times New Roman"/>
          <w:spacing w:val="1"/>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地表水环境质量现状调查与评价</w:t>
      </w:r>
    </w:p>
    <w:p w14:paraId="158FE4FA">
      <w:pPr>
        <w:spacing w:before="207" w:line="227" w:lineRule="auto"/>
        <w:ind w:left="609"/>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8"/>
          <w:sz w:val="23"/>
          <w:szCs w:val="23"/>
        </w:rPr>
        <w:t>1</w:t>
      </w:r>
      <w:r>
        <w:rPr>
          <w:rFonts w:ascii="宋体" w:hAnsi="宋体" w:eastAsia="宋体" w:cs="宋体"/>
          <w:spacing w:val="18"/>
          <w:sz w:val="23"/>
          <w:szCs w:val="23"/>
        </w:rPr>
        <w:t>) 监测断面布</w:t>
      </w:r>
      <w:r>
        <w:rPr>
          <w:rFonts w:ascii="宋体" w:hAnsi="宋体" w:eastAsia="宋体" w:cs="宋体"/>
          <w:spacing w:val="17"/>
          <w:sz w:val="23"/>
          <w:szCs w:val="23"/>
        </w:rPr>
        <w:t>设</w:t>
      </w:r>
    </w:p>
    <w:p w14:paraId="4C50080A">
      <w:pPr>
        <w:spacing w:before="183" w:line="384" w:lineRule="auto"/>
        <w:ind w:left="119" w:right="490" w:firstLine="479"/>
        <w:rPr>
          <w:rFonts w:ascii="宋体" w:hAnsi="宋体" w:eastAsia="宋体" w:cs="宋体"/>
          <w:sz w:val="23"/>
          <w:szCs w:val="23"/>
        </w:rPr>
      </w:pPr>
      <w:r>
        <w:rPr>
          <w:rFonts w:ascii="宋体" w:hAnsi="宋体" w:eastAsia="宋体" w:cs="宋体"/>
          <w:spacing w:val="18"/>
          <w:sz w:val="23"/>
          <w:szCs w:val="23"/>
        </w:rPr>
        <w:t>根据</w:t>
      </w:r>
      <w:r>
        <w:rPr>
          <w:rFonts w:ascii="宋体" w:hAnsi="宋体" w:eastAsia="宋体" w:cs="宋体"/>
          <w:spacing w:val="15"/>
          <w:sz w:val="23"/>
          <w:szCs w:val="23"/>
        </w:rPr>
        <w:t>现</w:t>
      </w:r>
      <w:r>
        <w:rPr>
          <w:rFonts w:ascii="宋体" w:hAnsi="宋体" w:eastAsia="宋体" w:cs="宋体"/>
          <w:spacing w:val="9"/>
          <w:sz w:val="23"/>
          <w:szCs w:val="23"/>
        </w:rPr>
        <w:t>场勘查，项目所在地周边无河流分布，为了了解项目所在区域地表水环</w:t>
      </w:r>
      <w:r>
        <w:rPr>
          <w:rFonts w:ascii="宋体" w:hAnsi="宋体" w:eastAsia="宋体" w:cs="宋体"/>
          <w:sz w:val="23"/>
          <w:szCs w:val="23"/>
        </w:rPr>
        <w:t xml:space="preserve"> </w:t>
      </w:r>
      <w:r>
        <w:rPr>
          <w:rFonts w:ascii="宋体" w:hAnsi="宋体" w:eastAsia="宋体" w:cs="宋体"/>
          <w:spacing w:val="18"/>
          <w:sz w:val="23"/>
          <w:szCs w:val="23"/>
        </w:rPr>
        <w:t>境</w:t>
      </w:r>
      <w:r>
        <w:rPr>
          <w:rFonts w:ascii="宋体" w:hAnsi="宋体" w:eastAsia="宋体" w:cs="宋体"/>
          <w:spacing w:val="9"/>
          <w:sz w:val="23"/>
          <w:szCs w:val="23"/>
        </w:rPr>
        <w:t>质量现状，项目对项目附近水库进行了现状监测，监测断面如表。</w:t>
      </w:r>
    </w:p>
    <w:p w14:paraId="35514179">
      <w:pPr>
        <w:sectPr>
          <w:headerReference r:id="rId155" w:type="default"/>
          <w:footerReference r:id="rId156" w:type="default"/>
          <w:pgSz w:w="11907" w:h="16840"/>
          <w:pgMar w:top="1153" w:right="1115" w:bottom="1485" w:left="1551" w:header="919" w:footer="1298" w:gutter="0"/>
          <w:cols w:space="720" w:num="1"/>
        </w:sectPr>
      </w:pPr>
    </w:p>
    <w:p w14:paraId="094990A2">
      <w:pPr>
        <w:spacing w:line="460" w:lineRule="auto"/>
      </w:pPr>
      <w:r>
        <w:pict>
          <v:shape id="_x0000_s2095" o:spid="_x0000_s2095" style="position:absolute;left:0pt;margin-left:83pt;margin-top:57.2pt;height:0.5pt;width:433.35pt;mso-position-horizontal-relative:page;mso-position-vertical-relative:page;z-index:251723776;mso-width-relative:page;mso-height-relative:page;" fillcolor="#000000" filled="t" stroked="f" coordsize="8667,10" o:allowincell="f" path="m0,0l8666,0,8666,9,0,9,0,0xe">
            <v:fill on="t" focussize="0,0"/>
            <v:stroke on="f"/>
            <v:imagedata o:title=""/>
            <o:lock v:ext="edit"/>
          </v:shape>
        </w:pict>
      </w:r>
    </w:p>
    <w:p w14:paraId="663E49E0">
      <w:pPr>
        <w:spacing w:before="56" w:line="229" w:lineRule="auto"/>
        <w:ind w:left="317"/>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7EA50AF6">
      <w:pPr>
        <w:spacing w:before="67" w:line="220" w:lineRule="auto"/>
        <w:ind w:left="2997"/>
        <w:rPr>
          <w:rFonts w:ascii="黑体" w:hAnsi="黑体" w:eastAsia="黑体" w:cs="黑体"/>
          <w:sz w:val="23"/>
          <w:szCs w:val="23"/>
        </w:rPr>
      </w:pPr>
      <w:r>
        <w:rPr>
          <w:rFonts w:ascii="黑体" w:hAnsi="黑体" w:eastAsia="黑体" w:cs="黑体"/>
          <w:spacing w:val="6"/>
          <w:sz w:val="23"/>
          <w:szCs w:val="23"/>
        </w:rPr>
        <w:t xml:space="preserve">表 </w:t>
      </w:r>
      <w:r>
        <w:rPr>
          <w:rFonts w:ascii="Times New Roman" w:hAnsi="Times New Roman" w:eastAsia="Times New Roman" w:cs="Times New Roman"/>
          <w:spacing w:val="6"/>
          <w:sz w:val="23"/>
          <w:szCs w:val="23"/>
        </w:rPr>
        <w:t>4</w:t>
      </w:r>
      <w:r>
        <w:rPr>
          <w:rFonts w:ascii="Times New Roman" w:hAnsi="Times New Roman" w:eastAsia="Times New Roman" w:cs="Times New Roman"/>
          <w:spacing w:val="3"/>
          <w:sz w:val="23"/>
          <w:szCs w:val="23"/>
        </w:rPr>
        <w:t xml:space="preserve">.2-5  </w:t>
      </w:r>
      <w:r>
        <w:rPr>
          <w:rFonts w:ascii="黑体" w:hAnsi="黑体" w:eastAsia="黑体" w:cs="黑体"/>
          <w:spacing w:val="3"/>
          <w:sz w:val="23"/>
          <w:szCs w:val="23"/>
        </w:rPr>
        <w:t>地表水监测断面一览表</w:t>
      </w:r>
    </w:p>
    <w:tbl>
      <w:tblPr>
        <w:tblStyle w:val="4"/>
        <w:tblW w:w="928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3"/>
        <w:gridCol w:w="5817"/>
        <w:gridCol w:w="2625"/>
      </w:tblGrid>
      <w:tr w14:paraId="58954D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843" w:type="dxa"/>
            <w:tcBorders>
              <w:left w:val="nil"/>
            </w:tcBorders>
          </w:tcPr>
          <w:p w14:paraId="1CA2717C">
            <w:pPr>
              <w:spacing w:before="56" w:line="226" w:lineRule="auto"/>
              <w:ind w:left="21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5817" w:type="dxa"/>
          </w:tcPr>
          <w:p w14:paraId="1EE86E1A">
            <w:pPr>
              <w:spacing w:before="56" w:line="226" w:lineRule="auto"/>
              <w:ind w:left="2390"/>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监</w:t>
            </w:r>
            <w:r>
              <w:rPr>
                <w:rFonts w:ascii="宋体" w:hAnsi="宋体" w:eastAsia="宋体" w:cs="宋体"/>
                <w:spacing w:val="8"/>
                <w:sz w:val="20"/>
                <w:szCs w:val="20"/>
                <w14:textOutline w14:w="3797" w14:cap="sq" w14:cmpd="sng" w14:algn="ctr">
                  <w14:solidFill>
                    <w14:srgbClr w14:val="000000"/>
                  </w14:solidFill>
                  <w14:prstDash w14:val="solid"/>
                  <w14:bevel/>
                </w14:textOutline>
              </w:rPr>
              <w:t>测点名称</w:t>
            </w:r>
          </w:p>
        </w:tc>
        <w:tc>
          <w:tcPr>
            <w:tcW w:w="2625" w:type="dxa"/>
            <w:tcBorders>
              <w:right w:val="nil"/>
            </w:tcBorders>
          </w:tcPr>
          <w:p w14:paraId="55D49CEE">
            <w:pPr>
              <w:spacing w:before="56" w:line="226" w:lineRule="auto"/>
              <w:ind w:left="900"/>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监</w:t>
            </w:r>
            <w:r>
              <w:rPr>
                <w:rFonts w:ascii="宋体" w:hAnsi="宋体" w:eastAsia="宋体" w:cs="宋体"/>
                <w:spacing w:val="8"/>
                <w:sz w:val="20"/>
                <w:szCs w:val="20"/>
                <w14:textOutline w14:w="3797" w14:cap="sq" w14:cmpd="sng" w14:algn="ctr">
                  <w14:solidFill>
                    <w14:srgbClr w14:val="000000"/>
                  </w14:solidFill>
                  <w14:prstDash w14:val="solid"/>
                  <w14:bevel/>
                </w14:textOutline>
              </w:rPr>
              <w:t>测因子</w:t>
            </w:r>
          </w:p>
        </w:tc>
      </w:tr>
      <w:tr w14:paraId="5F375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843" w:type="dxa"/>
            <w:tcBorders>
              <w:left w:val="nil"/>
            </w:tcBorders>
          </w:tcPr>
          <w:p w14:paraId="72C059B9">
            <w:pPr>
              <w:spacing w:before="67" w:line="195" w:lineRule="auto"/>
              <w:ind w:left="225"/>
              <w:rPr>
                <w:rFonts w:ascii="Times New Roman" w:hAnsi="Times New Roman" w:eastAsia="Times New Roman" w:cs="Times New Roman"/>
                <w:sz w:val="20"/>
                <w:szCs w:val="20"/>
              </w:rPr>
            </w:pPr>
            <w:r>
              <w:rPr>
                <w:rFonts w:ascii="Times New Roman" w:hAnsi="Times New Roman" w:eastAsia="Times New Roman" w:cs="Times New Roman"/>
                <w:sz w:val="20"/>
                <w:szCs w:val="20"/>
              </w:rPr>
              <w:t>SW</w:t>
            </w:r>
            <w:r>
              <w:rPr>
                <w:rFonts w:ascii="Times New Roman" w:hAnsi="Times New Roman" w:eastAsia="Times New Roman" w:cs="Times New Roman"/>
                <w:spacing w:val="3"/>
                <w:sz w:val="20"/>
                <w:szCs w:val="20"/>
              </w:rPr>
              <w:t>1</w:t>
            </w:r>
          </w:p>
        </w:tc>
        <w:tc>
          <w:tcPr>
            <w:tcW w:w="5817" w:type="dxa"/>
          </w:tcPr>
          <w:p w14:paraId="583EFC20">
            <w:pPr>
              <w:spacing w:before="31" w:line="225" w:lineRule="auto"/>
              <w:ind w:left="1183"/>
              <w:rPr>
                <w:rFonts w:ascii="宋体" w:hAnsi="宋体" w:eastAsia="宋体" w:cs="宋体"/>
                <w:sz w:val="20"/>
                <w:szCs w:val="20"/>
              </w:rPr>
            </w:pPr>
            <w:r>
              <w:rPr>
                <w:rFonts w:ascii="宋体" w:hAnsi="宋体" w:eastAsia="宋体" w:cs="宋体"/>
                <w:spacing w:val="8"/>
                <w:sz w:val="20"/>
                <w:szCs w:val="20"/>
              </w:rPr>
              <w:t>项目所</w:t>
            </w:r>
            <w:r>
              <w:rPr>
                <w:rFonts w:ascii="宋体" w:hAnsi="宋体" w:eastAsia="宋体" w:cs="宋体"/>
                <w:spacing w:val="4"/>
                <w:sz w:val="20"/>
                <w:szCs w:val="20"/>
              </w:rPr>
              <w:t xml:space="preserve">在地东北侧 </w:t>
            </w:r>
            <w:r>
              <w:rPr>
                <w:rFonts w:ascii="Times New Roman" w:hAnsi="Times New Roman" w:eastAsia="Times New Roman" w:cs="Times New Roman"/>
                <w:spacing w:val="4"/>
                <w:sz w:val="20"/>
                <w:szCs w:val="20"/>
              </w:rPr>
              <w:t>256</w:t>
            </w:r>
            <w:r>
              <w:rPr>
                <w:rFonts w:ascii="Times New Roman" w:hAnsi="Times New Roman" w:eastAsia="Times New Roman" w:cs="Times New Roman"/>
                <w:sz w:val="20"/>
                <w:szCs w:val="20"/>
              </w:rPr>
              <w:t>m</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(羊叉水库)</w:t>
            </w:r>
          </w:p>
        </w:tc>
        <w:tc>
          <w:tcPr>
            <w:tcW w:w="2625" w:type="dxa"/>
            <w:vMerge w:val="restart"/>
            <w:tcBorders>
              <w:bottom w:val="nil"/>
              <w:right w:val="nil"/>
            </w:tcBorders>
          </w:tcPr>
          <w:p w14:paraId="035B4373">
            <w:pPr>
              <w:spacing w:before="72" w:line="234" w:lineRule="auto"/>
              <w:ind w:left="261" w:right="32" w:hanging="150"/>
              <w:rPr>
                <w:rFonts w:ascii="宋体" w:hAnsi="宋体" w:eastAsia="宋体" w:cs="宋体"/>
                <w:sz w:val="20"/>
                <w:szCs w:val="20"/>
              </w:rPr>
            </w:pPr>
            <w:r>
              <w:rPr>
                <w:rFonts w:ascii="Times New Roman" w:hAnsi="Times New Roman" w:eastAsia="Times New Roman" w:cs="Times New Roman"/>
                <w:spacing w:val="-7"/>
                <w:sz w:val="20"/>
                <w:szCs w:val="20"/>
              </w:rPr>
              <w:t>pH</w:t>
            </w:r>
            <w:r>
              <w:rPr>
                <w:rFonts w:ascii="宋体" w:hAnsi="宋体" w:eastAsia="宋体" w:cs="宋体"/>
                <w:spacing w:val="-9"/>
                <w:sz w:val="20"/>
                <w:szCs w:val="20"/>
              </w:rPr>
              <w:t>、</w:t>
            </w:r>
            <w:r>
              <w:rPr>
                <w:rFonts w:ascii="Times New Roman" w:hAnsi="Times New Roman" w:eastAsia="Times New Roman" w:cs="Times New Roman"/>
                <w:spacing w:val="-7"/>
                <w:sz w:val="20"/>
                <w:szCs w:val="20"/>
              </w:rPr>
              <w:t>COD</w:t>
            </w:r>
            <w:r>
              <w:rPr>
                <w:rFonts w:ascii="Times New Roman" w:hAnsi="Times New Roman" w:eastAsia="Times New Roman" w:cs="Times New Roman"/>
                <w:spacing w:val="-7"/>
                <w:position w:val="-1"/>
                <w:sz w:val="13"/>
                <w:szCs w:val="13"/>
              </w:rPr>
              <w:t>cr</w:t>
            </w:r>
            <w:r>
              <w:rPr>
                <w:rFonts w:ascii="宋体" w:hAnsi="宋体" w:eastAsia="宋体" w:cs="宋体"/>
                <w:spacing w:val="-7"/>
                <w:sz w:val="20"/>
                <w:szCs w:val="20"/>
              </w:rPr>
              <w:t>、</w:t>
            </w:r>
            <w:r>
              <w:rPr>
                <w:rFonts w:ascii="Times New Roman" w:hAnsi="Times New Roman" w:eastAsia="Times New Roman" w:cs="Times New Roman"/>
                <w:spacing w:val="-7"/>
                <w:sz w:val="20"/>
                <w:szCs w:val="20"/>
              </w:rPr>
              <w:t>BOD</w:t>
            </w:r>
            <w:r>
              <w:rPr>
                <w:rFonts w:ascii="Times New Roman" w:hAnsi="Times New Roman" w:eastAsia="Times New Roman" w:cs="Times New Roman"/>
                <w:spacing w:val="-7"/>
                <w:position w:val="-1"/>
                <w:sz w:val="13"/>
                <w:szCs w:val="13"/>
              </w:rPr>
              <w:t>5</w:t>
            </w:r>
            <w:r>
              <w:rPr>
                <w:rFonts w:ascii="宋体" w:hAnsi="宋体" w:eastAsia="宋体" w:cs="宋体"/>
                <w:spacing w:val="-7"/>
                <w:sz w:val="20"/>
                <w:szCs w:val="20"/>
              </w:rPr>
              <w:t>、</w:t>
            </w:r>
            <w:r>
              <w:rPr>
                <w:rFonts w:ascii="Times New Roman" w:hAnsi="Times New Roman" w:eastAsia="Times New Roman" w:cs="Times New Roman"/>
                <w:spacing w:val="-7"/>
                <w:sz w:val="20"/>
                <w:szCs w:val="20"/>
              </w:rPr>
              <w:t>NH</w:t>
            </w:r>
            <w:r>
              <w:rPr>
                <w:rFonts w:ascii="Times New Roman" w:hAnsi="Times New Roman" w:eastAsia="Times New Roman" w:cs="Times New Roman"/>
                <w:spacing w:val="-7"/>
                <w:position w:val="-1"/>
                <w:sz w:val="13"/>
                <w:szCs w:val="13"/>
              </w:rPr>
              <w:t>3</w:t>
            </w:r>
            <w:r>
              <w:rPr>
                <w:rFonts w:ascii="Times New Roman" w:hAnsi="Times New Roman" w:eastAsia="Times New Roman" w:cs="Times New Roman"/>
                <w:spacing w:val="-7"/>
                <w:sz w:val="20"/>
                <w:szCs w:val="20"/>
              </w:rPr>
              <w:t>-N</w:t>
            </w:r>
            <w:r>
              <w:rPr>
                <w:rFonts w:ascii="宋体" w:hAnsi="宋体" w:eastAsia="宋体" w:cs="宋体"/>
                <w:spacing w:val="-7"/>
                <w:sz w:val="20"/>
                <w:szCs w:val="20"/>
              </w:rPr>
              <w:t>、</w:t>
            </w:r>
            <w:r>
              <w:rPr>
                <w:rFonts w:ascii="宋体" w:hAnsi="宋体" w:eastAsia="宋体" w:cs="宋体"/>
                <w:sz w:val="20"/>
                <w:szCs w:val="20"/>
              </w:rPr>
              <w:t xml:space="preserve"> </w:t>
            </w:r>
            <w:r>
              <w:rPr>
                <w:rFonts w:ascii="Times New Roman" w:hAnsi="Times New Roman" w:eastAsia="Times New Roman" w:cs="Times New Roman"/>
                <w:sz w:val="20"/>
                <w:szCs w:val="20"/>
              </w:rPr>
              <w:t>SS</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rPr>
              <w:t>、</w:t>
            </w:r>
            <w:r>
              <w:rPr>
                <w:rFonts w:ascii="宋体" w:hAnsi="宋体" w:eastAsia="宋体" w:cs="宋体"/>
                <w:spacing w:val="3"/>
                <w:sz w:val="20"/>
                <w:szCs w:val="20"/>
              </w:rPr>
              <w:t>总磷、粪大肠菌群</w:t>
            </w:r>
          </w:p>
        </w:tc>
      </w:tr>
      <w:tr w14:paraId="26DCDD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843" w:type="dxa"/>
            <w:tcBorders>
              <w:left w:val="nil"/>
            </w:tcBorders>
          </w:tcPr>
          <w:p w14:paraId="68BF8410">
            <w:pPr>
              <w:spacing w:before="70" w:line="195" w:lineRule="auto"/>
              <w:ind w:left="225"/>
              <w:rPr>
                <w:rFonts w:ascii="Times New Roman" w:hAnsi="Times New Roman" w:eastAsia="Times New Roman" w:cs="Times New Roman"/>
                <w:sz w:val="20"/>
                <w:szCs w:val="20"/>
              </w:rPr>
            </w:pPr>
            <w:r>
              <w:rPr>
                <w:rFonts w:ascii="Times New Roman" w:hAnsi="Times New Roman" w:eastAsia="Times New Roman" w:cs="Times New Roman"/>
                <w:sz w:val="20"/>
                <w:szCs w:val="20"/>
              </w:rPr>
              <w:t>SW</w:t>
            </w:r>
            <w:r>
              <w:rPr>
                <w:rFonts w:ascii="Times New Roman" w:hAnsi="Times New Roman" w:eastAsia="Times New Roman" w:cs="Times New Roman"/>
                <w:spacing w:val="3"/>
                <w:sz w:val="20"/>
                <w:szCs w:val="20"/>
              </w:rPr>
              <w:t>2</w:t>
            </w:r>
          </w:p>
        </w:tc>
        <w:tc>
          <w:tcPr>
            <w:tcW w:w="5817" w:type="dxa"/>
          </w:tcPr>
          <w:p w14:paraId="163A5B97">
            <w:pPr>
              <w:spacing w:before="34" w:line="228" w:lineRule="auto"/>
              <w:ind w:left="1183"/>
              <w:rPr>
                <w:rFonts w:ascii="宋体" w:hAnsi="宋体" w:eastAsia="宋体" w:cs="宋体"/>
                <w:sz w:val="20"/>
                <w:szCs w:val="20"/>
              </w:rPr>
            </w:pPr>
            <w:r>
              <w:rPr>
                <w:rFonts w:ascii="宋体" w:hAnsi="宋体" w:eastAsia="宋体" w:cs="宋体"/>
                <w:spacing w:val="8"/>
                <w:sz w:val="20"/>
                <w:szCs w:val="20"/>
              </w:rPr>
              <w:t>项目所</w:t>
            </w:r>
            <w:r>
              <w:rPr>
                <w:rFonts w:ascii="宋体" w:hAnsi="宋体" w:eastAsia="宋体" w:cs="宋体"/>
                <w:spacing w:val="4"/>
                <w:sz w:val="20"/>
                <w:szCs w:val="20"/>
              </w:rPr>
              <w:t xml:space="preserve">在地东北侧 </w:t>
            </w:r>
            <w:r>
              <w:rPr>
                <w:rFonts w:ascii="Times New Roman" w:hAnsi="Times New Roman" w:eastAsia="Times New Roman" w:cs="Times New Roman"/>
                <w:spacing w:val="4"/>
                <w:sz w:val="20"/>
                <w:szCs w:val="20"/>
              </w:rPr>
              <w:t>612</w:t>
            </w:r>
            <w:r>
              <w:rPr>
                <w:rFonts w:ascii="Times New Roman" w:hAnsi="Times New Roman" w:eastAsia="Times New Roman" w:cs="Times New Roman"/>
                <w:sz w:val="20"/>
                <w:szCs w:val="20"/>
              </w:rPr>
              <w:t>m</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(全胜水库)</w:t>
            </w:r>
          </w:p>
        </w:tc>
        <w:tc>
          <w:tcPr>
            <w:tcW w:w="2625" w:type="dxa"/>
            <w:vMerge w:val="continue"/>
            <w:tcBorders>
              <w:top w:val="nil"/>
              <w:right w:val="nil"/>
            </w:tcBorders>
          </w:tcPr>
          <w:p w14:paraId="57D87A68"/>
        </w:tc>
      </w:tr>
    </w:tbl>
    <w:p w14:paraId="0232B1F1">
      <w:pPr>
        <w:spacing w:before="36" w:line="228" w:lineRule="auto"/>
        <w:ind w:left="75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2</w:t>
      </w:r>
      <w:r>
        <w:rPr>
          <w:rFonts w:ascii="宋体" w:hAnsi="宋体" w:eastAsia="宋体" w:cs="宋体"/>
          <w:spacing w:val="20"/>
          <w:sz w:val="23"/>
          <w:szCs w:val="23"/>
        </w:rPr>
        <w:t>) 监测单</w:t>
      </w:r>
      <w:r>
        <w:rPr>
          <w:rFonts w:ascii="宋体" w:hAnsi="宋体" w:eastAsia="宋体" w:cs="宋体"/>
          <w:spacing w:val="19"/>
          <w:sz w:val="23"/>
          <w:szCs w:val="23"/>
        </w:rPr>
        <w:t>位</w:t>
      </w:r>
    </w:p>
    <w:p w14:paraId="6DE112B6">
      <w:pPr>
        <w:spacing w:before="184" w:line="227" w:lineRule="auto"/>
        <w:ind w:left="822"/>
        <w:rPr>
          <w:rFonts w:ascii="宋体" w:hAnsi="宋体" w:eastAsia="宋体" w:cs="宋体"/>
          <w:sz w:val="23"/>
          <w:szCs w:val="23"/>
        </w:rPr>
      </w:pPr>
      <w:r>
        <w:rPr>
          <w:rFonts w:ascii="宋体" w:hAnsi="宋体" w:eastAsia="宋体" w:cs="宋体"/>
          <w:spacing w:val="14"/>
          <w:sz w:val="23"/>
          <w:szCs w:val="23"/>
        </w:rPr>
        <w:t>四</w:t>
      </w:r>
      <w:r>
        <w:rPr>
          <w:rFonts w:ascii="宋体" w:hAnsi="宋体" w:eastAsia="宋体" w:cs="宋体"/>
          <w:spacing w:val="10"/>
          <w:sz w:val="23"/>
          <w:szCs w:val="23"/>
        </w:rPr>
        <w:t>川</w:t>
      </w:r>
      <w:r>
        <w:rPr>
          <w:rFonts w:ascii="宋体" w:hAnsi="宋体" w:eastAsia="宋体" w:cs="宋体"/>
          <w:spacing w:val="7"/>
          <w:sz w:val="23"/>
          <w:szCs w:val="23"/>
        </w:rPr>
        <w:t>中望正检环境检测有限公司</w:t>
      </w:r>
    </w:p>
    <w:p w14:paraId="6E97B7BE">
      <w:pPr>
        <w:spacing w:before="182" w:line="228" w:lineRule="auto"/>
        <w:ind w:left="81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3</w:t>
      </w:r>
      <w:r>
        <w:rPr>
          <w:rFonts w:ascii="宋体" w:hAnsi="宋体" w:eastAsia="宋体" w:cs="宋体"/>
          <w:spacing w:val="20"/>
          <w:sz w:val="23"/>
          <w:szCs w:val="23"/>
        </w:rPr>
        <w:t>) 监测因</w:t>
      </w:r>
      <w:r>
        <w:rPr>
          <w:rFonts w:ascii="宋体" w:hAnsi="宋体" w:eastAsia="宋体" w:cs="宋体"/>
          <w:spacing w:val="19"/>
          <w:sz w:val="23"/>
          <w:szCs w:val="23"/>
        </w:rPr>
        <w:t>子</w:t>
      </w:r>
    </w:p>
    <w:p w14:paraId="4D70ECE2">
      <w:pPr>
        <w:spacing w:before="181" w:line="221" w:lineRule="auto"/>
        <w:ind w:left="801"/>
        <w:rPr>
          <w:rFonts w:ascii="宋体" w:hAnsi="宋体" w:eastAsia="宋体" w:cs="宋体"/>
          <w:sz w:val="23"/>
          <w:szCs w:val="23"/>
        </w:rPr>
      </w:pPr>
      <w:r>
        <w:rPr>
          <w:rFonts w:ascii="宋体" w:hAnsi="宋体" w:eastAsia="宋体" w:cs="宋体"/>
          <w:spacing w:val="-2"/>
          <w:sz w:val="23"/>
          <w:szCs w:val="23"/>
        </w:rPr>
        <w:t xml:space="preserve">监测因子为 </w:t>
      </w:r>
      <w:r>
        <w:rPr>
          <w:rFonts w:ascii="Times New Roman" w:hAnsi="Times New Roman" w:eastAsia="Times New Roman" w:cs="Times New Roman"/>
          <w:spacing w:val="-1"/>
          <w:sz w:val="23"/>
          <w:szCs w:val="23"/>
        </w:rPr>
        <w:t>pH</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w:t>
      </w:r>
      <w:r>
        <w:rPr>
          <w:rFonts w:ascii="Times New Roman" w:hAnsi="Times New Roman" w:eastAsia="Times New Roman" w:cs="Times New Roman"/>
          <w:spacing w:val="-1"/>
          <w:sz w:val="23"/>
          <w:szCs w:val="23"/>
        </w:rPr>
        <w:t>COD</w:t>
      </w:r>
      <w:r>
        <w:rPr>
          <w:rFonts w:ascii="Times New Roman" w:hAnsi="Times New Roman" w:eastAsia="Times New Roman" w:cs="Times New Roman"/>
          <w:spacing w:val="-1"/>
          <w:position w:val="-1"/>
          <w:sz w:val="15"/>
          <w:szCs w:val="15"/>
        </w:rPr>
        <w:t>cr</w:t>
      </w:r>
      <w:r>
        <w:rPr>
          <w:rFonts w:ascii="Times New Roman" w:hAnsi="Times New Roman" w:eastAsia="Times New Roman" w:cs="Times New Roman"/>
          <w:spacing w:val="-2"/>
          <w:position w:val="-1"/>
          <w:sz w:val="15"/>
          <w:szCs w:val="15"/>
        </w:rPr>
        <w:t xml:space="preserve"> </w:t>
      </w:r>
      <w:r>
        <w:rPr>
          <w:rFonts w:ascii="宋体" w:hAnsi="宋体" w:eastAsia="宋体" w:cs="宋体"/>
          <w:spacing w:val="-2"/>
          <w:sz w:val="23"/>
          <w:szCs w:val="23"/>
        </w:rPr>
        <w:t>、</w:t>
      </w:r>
      <w:r>
        <w:rPr>
          <w:rFonts w:ascii="Times New Roman" w:hAnsi="Times New Roman" w:eastAsia="Times New Roman" w:cs="Times New Roman"/>
          <w:spacing w:val="-1"/>
          <w:sz w:val="23"/>
          <w:szCs w:val="23"/>
        </w:rPr>
        <w:t>BOD</w:t>
      </w:r>
      <w:r>
        <w:rPr>
          <w:rFonts w:ascii="Times New Roman" w:hAnsi="Times New Roman" w:eastAsia="Times New Roman" w:cs="Times New Roman"/>
          <w:spacing w:val="-2"/>
          <w:position w:val="-1"/>
          <w:sz w:val="15"/>
          <w:szCs w:val="15"/>
        </w:rPr>
        <w:t xml:space="preserve">5 </w:t>
      </w:r>
      <w:r>
        <w:rPr>
          <w:rFonts w:ascii="宋体" w:hAnsi="宋体" w:eastAsia="宋体" w:cs="宋体"/>
          <w:spacing w:val="-2"/>
          <w:sz w:val="23"/>
          <w:szCs w:val="23"/>
        </w:rPr>
        <w:t>、</w:t>
      </w:r>
      <w:r>
        <w:rPr>
          <w:rFonts w:ascii="Times New Roman" w:hAnsi="Times New Roman" w:eastAsia="Times New Roman" w:cs="Times New Roman"/>
          <w:spacing w:val="-1"/>
          <w:sz w:val="23"/>
          <w:szCs w:val="23"/>
        </w:rPr>
        <w:t>NH</w:t>
      </w:r>
      <w:r>
        <w:rPr>
          <w:rFonts w:ascii="Times New Roman" w:hAnsi="Times New Roman" w:eastAsia="Times New Roman" w:cs="Times New Roman"/>
          <w:spacing w:val="-2"/>
          <w:position w:val="-1"/>
          <w:sz w:val="15"/>
          <w:szCs w:val="15"/>
        </w:rPr>
        <w:t>3</w:t>
      </w:r>
      <w:r>
        <w:rPr>
          <w:rFonts w:ascii="Times New Roman" w:hAnsi="Times New Roman" w:eastAsia="Times New Roman" w:cs="Times New Roman"/>
          <w:spacing w:val="-1"/>
          <w:sz w:val="23"/>
          <w:szCs w:val="23"/>
        </w:rPr>
        <w:t xml:space="preserve">-N </w:t>
      </w:r>
      <w:r>
        <w:rPr>
          <w:rFonts w:ascii="宋体" w:hAnsi="宋体" w:eastAsia="宋体" w:cs="宋体"/>
          <w:spacing w:val="-1"/>
          <w:sz w:val="23"/>
          <w:szCs w:val="23"/>
        </w:rPr>
        <w:t>、</w:t>
      </w:r>
      <w:r>
        <w:rPr>
          <w:rFonts w:ascii="Times New Roman" w:hAnsi="Times New Roman" w:eastAsia="Times New Roman" w:cs="Times New Roman"/>
          <w:spacing w:val="-1"/>
          <w:sz w:val="23"/>
          <w:szCs w:val="23"/>
        </w:rPr>
        <w:t xml:space="preserve">SS </w:t>
      </w:r>
      <w:r>
        <w:rPr>
          <w:rFonts w:ascii="宋体" w:hAnsi="宋体" w:eastAsia="宋体" w:cs="宋体"/>
          <w:spacing w:val="-1"/>
          <w:sz w:val="23"/>
          <w:szCs w:val="23"/>
        </w:rPr>
        <w:t xml:space="preserve">、总磷、粪大肠菌群共 </w:t>
      </w:r>
      <w:r>
        <w:rPr>
          <w:rFonts w:ascii="Times New Roman" w:hAnsi="Times New Roman" w:eastAsia="Times New Roman" w:cs="Times New Roman"/>
          <w:spacing w:val="-1"/>
          <w:sz w:val="23"/>
          <w:szCs w:val="23"/>
        </w:rPr>
        <w:t xml:space="preserve">7 </w:t>
      </w:r>
      <w:r>
        <w:rPr>
          <w:rFonts w:ascii="宋体" w:hAnsi="宋体" w:eastAsia="宋体" w:cs="宋体"/>
          <w:spacing w:val="-1"/>
          <w:sz w:val="23"/>
          <w:szCs w:val="23"/>
        </w:rPr>
        <w:t>项。</w:t>
      </w:r>
    </w:p>
    <w:p w14:paraId="003C737F">
      <w:pPr>
        <w:spacing w:before="193" w:line="227" w:lineRule="auto"/>
        <w:ind w:left="811"/>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7"/>
          <w:sz w:val="23"/>
          <w:szCs w:val="23"/>
        </w:rPr>
        <w:t>4</w:t>
      </w:r>
      <w:r>
        <w:rPr>
          <w:rFonts w:ascii="宋体" w:hAnsi="宋体" w:eastAsia="宋体" w:cs="宋体"/>
          <w:spacing w:val="17"/>
          <w:sz w:val="23"/>
          <w:szCs w:val="23"/>
        </w:rPr>
        <w:t>) 监测时间和频率</w:t>
      </w:r>
    </w:p>
    <w:p w14:paraId="2A277700">
      <w:pPr>
        <w:spacing w:before="185" w:line="227" w:lineRule="auto"/>
        <w:ind w:left="801"/>
        <w:rPr>
          <w:rFonts w:ascii="宋体" w:hAnsi="宋体" w:eastAsia="宋体" w:cs="宋体"/>
          <w:sz w:val="23"/>
          <w:szCs w:val="23"/>
        </w:rPr>
      </w:pPr>
      <w:r>
        <w:rPr>
          <w:rFonts w:ascii="宋体" w:hAnsi="宋体" w:eastAsia="宋体" w:cs="宋体"/>
          <w:spacing w:val="-2"/>
          <w:sz w:val="23"/>
          <w:szCs w:val="23"/>
        </w:rPr>
        <w:t>监测时间</w:t>
      </w:r>
      <w:r>
        <w:rPr>
          <w:rFonts w:ascii="宋体" w:hAnsi="宋体" w:eastAsia="宋体" w:cs="宋体"/>
          <w:spacing w:val="-1"/>
          <w:sz w:val="23"/>
          <w:szCs w:val="23"/>
        </w:rPr>
        <w:t xml:space="preserve">为 </w:t>
      </w:r>
      <w:r>
        <w:rPr>
          <w:rFonts w:ascii="Times New Roman" w:hAnsi="Times New Roman" w:eastAsia="Times New Roman" w:cs="Times New Roman"/>
          <w:spacing w:val="-1"/>
          <w:sz w:val="23"/>
          <w:szCs w:val="23"/>
        </w:rPr>
        <w:t xml:space="preserve">2019 </w:t>
      </w:r>
      <w:r>
        <w:rPr>
          <w:rFonts w:ascii="宋体" w:hAnsi="宋体" w:eastAsia="宋体" w:cs="宋体"/>
          <w:spacing w:val="-1"/>
          <w:sz w:val="23"/>
          <w:szCs w:val="23"/>
        </w:rPr>
        <w:t xml:space="preserve">年 </w:t>
      </w:r>
      <w:r>
        <w:rPr>
          <w:rFonts w:ascii="Times New Roman" w:hAnsi="Times New Roman" w:eastAsia="Times New Roman" w:cs="Times New Roman"/>
          <w:spacing w:val="-1"/>
          <w:sz w:val="23"/>
          <w:szCs w:val="23"/>
        </w:rPr>
        <w:t xml:space="preserve">8 </w:t>
      </w:r>
      <w:r>
        <w:rPr>
          <w:rFonts w:ascii="宋体" w:hAnsi="宋体" w:eastAsia="宋体" w:cs="宋体"/>
          <w:spacing w:val="-1"/>
          <w:sz w:val="23"/>
          <w:szCs w:val="23"/>
        </w:rPr>
        <w:t xml:space="preserve">月 </w:t>
      </w:r>
      <w:r>
        <w:rPr>
          <w:rFonts w:ascii="Times New Roman" w:hAnsi="Times New Roman" w:eastAsia="Times New Roman" w:cs="Times New Roman"/>
          <w:spacing w:val="-1"/>
          <w:sz w:val="23"/>
          <w:szCs w:val="23"/>
        </w:rPr>
        <w:t xml:space="preserve">27 </w:t>
      </w:r>
      <w:r>
        <w:rPr>
          <w:rFonts w:ascii="宋体" w:hAnsi="宋体" w:eastAsia="宋体" w:cs="宋体"/>
          <w:spacing w:val="-1"/>
          <w:sz w:val="23"/>
          <w:szCs w:val="23"/>
        </w:rPr>
        <w:t>日</w:t>
      </w:r>
      <w:r>
        <w:rPr>
          <w:rFonts w:ascii="Times New Roman" w:hAnsi="Times New Roman" w:eastAsia="Times New Roman" w:cs="Times New Roman"/>
          <w:spacing w:val="-1"/>
          <w:sz w:val="23"/>
          <w:szCs w:val="23"/>
        </w:rPr>
        <w:t xml:space="preserve">~2019 </w:t>
      </w:r>
      <w:r>
        <w:rPr>
          <w:rFonts w:ascii="宋体" w:hAnsi="宋体" w:eastAsia="宋体" w:cs="宋体"/>
          <w:spacing w:val="-1"/>
          <w:sz w:val="23"/>
          <w:szCs w:val="23"/>
        </w:rPr>
        <w:t xml:space="preserve">年 </w:t>
      </w:r>
      <w:r>
        <w:rPr>
          <w:rFonts w:ascii="Times New Roman" w:hAnsi="Times New Roman" w:eastAsia="Times New Roman" w:cs="Times New Roman"/>
          <w:spacing w:val="-1"/>
          <w:sz w:val="23"/>
          <w:szCs w:val="23"/>
        </w:rPr>
        <w:t xml:space="preserve">8 </w:t>
      </w:r>
      <w:r>
        <w:rPr>
          <w:rFonts w:ascii="宋体" w:hAnsi="宋体" w:eastAsia="宋体" w:cs="宋体"/>
          <w:spacing w:val="-1"/>
          <w:sz w:val="23"/>
          <w:szCs w:val="23"/>
        </w:rPr>
        <w:t xml:space="preserve">月 </w:t>
      </w:r>
      <w:r>
        <w:rPr>
          <w:rFonts w:ascii="Times New Roman" w:hAnsi="Times New Roman" w:eastAsia="Times New Roman" w:cs="Times New Roman"/>
          <w:spacing w:val="-1"/>
          <w:sz w:val="23"/>
          <w:szCs w:val="23"/>
        </w:rPr>
        <w:t xml:space="preserve">29 </w:t>
      </w:r>
      <w:r>
        <w:rPr>
          <w:rFonts w:ascii="宋体" w:hAnsi="宋体" w:eastAsia="宋体" w:cs="宋体"/>
          <w:spacing w:val="-1"/>
          <w:sz w:val="23"/>
          <w:szCs w:val="23"/>
        </w:rPr>
        <w:t xml:space="preserve">日，连续监测 </w:t>
      </w:r>
      <w:r>
        <w:rPr>
          <w:rFonts w:ascii="Times New Roman" w:hAnsi="Times New Roman" w:eastAsia="Times New Roman" w:cs="Times New Roman"/>
          <w:spacing w:val="-1"/>
          <w:sz w:val="23"/>
          <w:szCs w:val="23"/>
        </w:rPr>
        <w:t xml:space="preserve">3 </w:t>
      </w:r>
      <w:r>
        <w:rPr>
          <w:rFonts w:ascii="宋体" w:hAnsi="宋体" w:eastAsia="宋体" w:cs="宋体"/>
          <w:spacing w:val="-1"/>
          <w:sz w:val="23"/>
          <w:szCs w:val="23"/>
        </w:rPr>
        <w:t>天，每天每个监</w:t>
      </w:r>
    </w:p>
    <w:p w14:paraId="470D06C1">
      <w:pPr>
        <w:spacing w:before="182" w:line="227" w:lineRule="auto"/>
        <w:ind w:left="321"/>
        <w:rPr>
          <w:rFonts w:ascii="宋体" w:hAnsi="宋体" w:eastAsia="宋体" w:cs="宋体"/>
          <w:sz w:val="23"/>
          <w:szCs w:val="23"/>
        </w:rPr>
      </w:pPr>
      <w:r>
        <w:rPr>
          <w:rFonts w:ascii="宋体" w:hAnsi="宋体" w:eastAsia="宋体" w:cs="宋体"/>
          <w:spacing w:val="2"/>
          <w:sz w:val="23"/>
          <w:szCs w:val="23"/>
        </w:rPr>
        <w:t xml:space="preserve">测断面分别采样 </w:t>
      </w:r>
      <w:r>
        <w:rPr>
          <w:rFonts w:ascii="Times New Roman" w:hAnsi="Times New Roman" w:eastAsia="Times New Roman" w:cs="Times New Roman"/>
          <w:spacing w:val="2"/>
          <w:sz w:val="23"/>
          <w:szCs w:val="23"/>
        </w:rPr>
        <w:t xml:space="preserve">1 </w:t>
      </w:r>
      <w:r>
        <w:rPr>
          <w:rFonts w:ascii="宋体" w:hAnsi="宋体" w:eastAsia="宋体" w:cs="宋体"/>
          <w:spacing w:val="2"/>
          <w:sz w:val="23"/>
          <w:szCs w:val="23"/>
        </w:rPr>
        <w:t>次</w:t>
      </w:r>
      <w:r>
        <w:rPr>
          <w:rFonts w:ascii="宋体" w:hAnsi="宋体" w:eastAsia="宋体" w:cs="宋体"/>
          <w:sz w:val="23"/>
          <w:szCs w:val="23"/>
        </w:rPr>
        <w:t>。</w:t>
      </w:r>
    </w:p>
    <w:p w14:paraId="59C8F47A">
      <w:pPr>
        <w:spacing w:before="186" w:line="228" w:lineRule="auto"/>
        <w:ind w:left="811"/>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8"/>
          <w:sz w:val="23"/>
          <w:szCs w:val="23"/>
        </w:rPr>
        <w:t>5</w:t>
      </w:r>
      <w:r>
        <w:rPr>
          <w:rFonts w:ascii="宋体" w:hAnsi="宋体" w:eastAsia="宋体" w:cs="宋体"/>
          <w:spacing w:val="18"/>
          <w:sz w:val="23"/>
          <w:szCs w:val="23"/>
        </w:rPr>
        <w:t>) 监测分析方</w:t>
      </w:r>
      <w:r>
        <w:rPr>
          <w:rFonts w:ascii="宋体" w:hAnsi="宋体" w:eastAsia="宋体" w:cs="宋体"/>
          <w:spacing w:val="17"/>
          <w:sz w:val="23"/>
          <w:szCs w:val="23"/>
        </w:rPr>
        <w:t>法</w:t>
      </w:r>
    </w:p>
    <w:p w14:paraId="0D57C869">
      <w:pPr>
        <w:spacing w:before="182" w:line="370" w:lineRule="auto"/>
        <w:ind w:left="321" w:right="324" w:firstLine="478"/>
        <w:rPr>
          <w:rFonts w:ascii="宋体" w:hAnsi="宋体" w:eastAsia="宋体" w:cs="宋体"/>
          <w:sz w:val="23"/>
          <w:szCs w:val="23"/>
        </w:rPr>
      </w:pPr>
      <w:r>
        <w:rPr>
          <w:rFonts w:ascii="宋体" w:hAnsi="宋体" w:eastAsia="宋体" w:cs="宋体"/>
          <w:spacing w:val="20"/>
          <w:sz w:val="23"/>
          <w:szCs w:val="23"/>
        </w:rPr>
        <w:t>采</w:t>
      </w:r>
      <w:r>
        <w:rPr>
          <w:rFonts w:ascii="宋体" w:hAnsi="宋体" w:eastAsia="宋体" w:cs="宋体"/>
          <w:spacing w:val="17"/>
          <w:sz w:val="23"/>
          <w:szCs w:val="23"/>
        </w:rPr>
        <w:t>用</w:t>
      </w:r>
      <w:r>
        <w:rPr>
          <w:rFonts w:ascii="宋体" w:hAnsi="宋体" w:eastAsia="宋体" w:cs="宋体"/>
          <w:spacing w:val="10"/>
          <w:sz w:val="23"/>
          <w:szCs w:val="23"/>
        </w:rPr>
        <w:t>国家环保总局《水和废水监测分析方法》规定的方法进行，监测方法均按</w:t>
      </w:r>
      <w:r>
        <w:rPr>
          <w:rFonts w:ascii="宋体" w:hAnsi="宋体" w:eastAsia="宋体" w:cs="宋体"/>
          <w:sz w:val="23"/>
          <w:szCs w:val="23"/>
        </w:rPr>
        <w:t xml:space="preserve"> </w:t>
      </w:r>
      <w:r>
        <w:rPr>
          <w:rFonts w:ascii="宋体" w:hAnsi="宋体" w:eastAsia="宋体" w:cs="宋体"/>
          <w:spacing w:val="8"/>
          <w:sz w:val="23"/>
          <w:szCs w:val="23"/>
        </w:rPr>
        <w:t>《地表水和</w:t>
      </w:r>
      <w:r>
        <w:rPr>
          <w:rFonts w:ascii="宋体" w:hAnsi="宋体" w:eastAsia="宋体" w:cs="宋体"/>
          <w:spacing w:val="5"/>
          <w:sz w:val="23"/>
          <w:szCs w:val="23"/>
        </w:rPr>
        <w:t>污</w:t>
      </w:r>
      <w:r>
        <w:rPr>
          <w:rFonts w:ascii="宋体" w:hAnsi="宋体" w:eastAsia="宋体" w:cs="宋体"/>
          <w:spacing w:val="4"/>
          <w:sz w:val="23"/>
          <w:szCs w:val="23"/>
        </w:rPr>
        <w:t>水监测技术规范》  (</w:t>
      </w:r>
      <w:r>
        <w:rPr>
          <w:rFonts w:ascii="Times New Roman" w:hAnsi="Times New Roman" w:eastAsia="Times New Roman" w:cs="Times New Roman"/>
          <w:sz w:val="23"/>
          <w:szCs w:val="23"/>
        </w:rPr>
        <w:t>HJ</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4"/>
          <w:sz w:val="23"/>
          <w:szCs w:val="23"/>
        </w:rPr>
        <w:t>91-2002</w:t>
      </w:r>
      <w:r>
        <w:rPr>
          <w:rFonts w:ascii="宋体" w:hAnsi="宋体" w:eastAsia="宋体" w:cs="宋体"/>
          <w:spacing w:val="4"/>
          <w:sz w:val="23"/>
          <w:szCs w:val="23"/>
        </w:rPr>
        <w:t>) 中所规定的方法执行。水质分析方</w:t>
      </w:r>
      <w:r>
        <w:rPr>
          <w:rFonts w:ascii="宋体" w:hAnsi="宋体" w:eastAsia="宋体" w:cs="宋体"/>
          <w:sz w:val="23"/>
          <w:szCs w:val="23"/>
        </w:rPr>
        <w:t xml:space="preserve"> </w:t>
      </w:r>
      <w:r>
        <w:rPr>
          <w:rFonts w:ascii="宋体" w:hAnsi="宋体" w:eastAsia="宋体" w:cs="宋体"/>
          <w:spacing w:val="-1"/>
          <w:sz w:val="23"/>
          <w:szCs w:val="23"/>
        </w:rPr>
        <w:t xml:space="preserve">法详见表 </w:t>
      </w:r>
      <w:r>
        <w:rPr>
          <w:rFonts w:ascii="Times New Roman" w:hAnsi="Times New Roman" w:eastAsia="Times New Roman" w:cs="Times New Roman"/>
          <w:spacing w:val="-1"/>
          <w:sz w:val="23"/>
          <w:szCs w:val="23"/>
        </w:rPr>
        <w:t>4</w:t>
      </w:r>
      <w:r>
        <w:rPr>
          <w:rFonts w:ascii="Times New Roman" w:hAnsi="Times New Roman" w:eastAsia="Times New Roman" w:cs="Times New Roman"/>
          <w:sz w:val="23"/>
          <w:szCs w:val="23"/>
        </w:rPr>
        <w:t>.2-6</w:t>
      </w:r>
      <w:r>
        <w:rPr>
          <w:rFonts w:ascii="宋体" w:hAnsi="宋体" w:eastAsia="宋体" w:cs="宋体"/>
          <w:sz w:val="23"/>
          <w:szCs w:val="23"/>
        </w:rPr>
        <w:t>。</w:t>
      </w:r>
    </w:p>
    <w:p w14:paraId="7BB020AF">
      <w:pPr>
        <w:spacing w:before="18" w:line="221" w:lineRule="auto"/>
        <w:ind w:left="3117"/>
        <w:rPr>
          <w:rFonts w:ascii="黑体" w:hAnsi="黑体" w:eastAsia="黑体" w:cs="黑体"/>
          <w:sz w:val="23"/>
          <w:szCs w:val="23"/>
        </w:rPr>
      </w:pPr>
      <w:r>
        <w:rPr>
          <w:rFonts w:ascii="黑体" w:hAnsi="黑体" w:eastAsia="黑体" w:cs="黑体"/>
          <w:spacing w:val="5"/>
          <w:sz w:val="23"/>
          <w:szCs w:val="23"/>
        </w:rPr>
        <w:t>表</w:t>
      </w:r>
      <w:r>
        <w:rPr>
          <w:rFonts w:ascii="黑体" w:hAnsi="黑体" w:eastAsia="黑体" w:cs="黑体"/>
          <w:spacing w:val="3"/>
          <w:sz w:val="23"/>
          <w:szCs w:val="23"/>
        </w:rPr>
        <w:t xml:space="preserve"> </w:t>
      </w:r>
      <w:r>
        <w:rPr>
          <w:rFonts w:ascii="Times New Roman" w:hAnsi="Times New Roman" w:eastAsia="Times New Roman" w:cs="Times New Roman"/>
          <w:spacing w:val="3"/>
          <w:sz w:val="23"/>
          <w:szCs w:val="23"/>
        </w:rPr>
        <w:t xml:space="preserve">4.2-6  </w:t>
      </w:r>
      <w:r>
        <w:rPr>
          <w:rFonts w:ascii="黑体" w:hAnsi="黑体" w:eastAsia="黑体" w:cs="黑体"/>
          <w:spacing w:val="3"/>
          <w:sz w:val="23"/>
          <w:szCs w:val="23"/>
        </w:rPr>
        <w:t>监测项目及分析方法</w:t>
      </w:r>
    </w:p>
    <w:tbl>
      <w:tblPr>
        <w:tblStyle w:val="4"/>
        <w:tblW w:w="9285" w:type="dxa"/>
        <w:tblInd w:w="2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5"/>
        <w:gridCol w:w="1770"/>
        <w:gridCol w:w="3183"/>
        <w:gridCol w:w="1909"/>
        <w:gridCol w:w="1388"/>
      </w:tblGrid>
      <w:tr w14:paraId="004130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1035" w:type="dxa"/>
            <w:tcBorders>
              <w:left w:val="nil"/>
            </w:tcBorders>
          </w:tcPr>
          <w:p w14:paraId="2EE2D0C9">
            <w:pPr>
              <w:spacing w:before="118" w:line="228" w:lineRule="auto"/>
              <w:ind w:left="370"/>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项目</w:t>
            </w:r>
          </w:p>
        </w:tc>
        <w:tc>
          <w:tcPr>
            <w:tcW w:w="1770" w:type="dxa"/>
          </w:tcPr>
          <w:p w14:paraId="4E70888F">
            <w:pPr>
              <w:spacing w:before="117" w:line="228" w:lineRule="auto"/>
              <w:ind w:left="484"/>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检</w:t>
            </w:r>
            <w:r>
              <w:rPr>
                <w:rFonts w:ascii="宋体" w:hAnsi="宋体" w:eastAsia="宋体" w:cs="宋体"/>
                <w:spacing w:val="8"/>
                <w:sz w:val="20"/>
                <w:szCs w:val="20"/>
                <w14:textOutline w14:w="3797" w14:cap="sq" w14:cmpd="sng" w14:algn="ctr">
                  <w14:solidFill>
                    <w14:srgbClr w14:val="000000"/>
                  </w14:solidFill>
                  <w14:prstDash w14:val="solid"/>
                  <w14:bevel/>
                </w14:textOutline>
              </w:rPr>
              <w:t>测方法</w:t>
            </w:r>
          </w:p>
        </w:tc>
        <w:tc>
          <w:tcPr>
            <w:tcW w:w="3183" w:type="dxa"/>
          </w:tcPr>
          <w:p w14:paraId="4E33B21C">
            <w:pPr>
              <w:spacing w:before="117" w:line="228" w:lineRule="auto"/>
              <w:ind w:left="1194"/>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方</w:t>
            </w:r>
            <w:r>
              <w:rPr>
                <w:rFonts w:ascii="宋体" w:hAnsi="宋体" w:eastAsia="宋体" w:cs="宋体"/>
                <w:spacing w:val="8"/>
                <w:sz w:val="20"/>
                <w:szCs w:val="20"/>
                <w14:textOutline w14:w="3797" w14:cap="sq" w14:cmpd="sng" w14:algn="ctr">
                  <w14:solidFill>
                    <w14:srgbClr w14:val="000000"/>
                  </w14:solidFill>
                  <w14:prstDash w14:val="solid"/>
                  <w14:bevel/>
                </w14:textOutline>
              </w:rPr>
              <w:t>法来源</w:t>
            </w:r>
          </w:p>
        </w:tc>
        <w:tc>
          <w:tcPr>
            <w:tcW w:w="1909" w:type="dxa"/>
          </w:tcPr>
          <w:p w14:paraId="3044C60C">
            <w:pPr>
              <w:spacing w:before="117" w:line="228" w:lineRule="auto"/>
              <w:ind w:left="10"/>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使</w:t>
            </w:r>
            <w:r>
              <w:rPr>
                <w:rFonts w:ascii="宋体" w:hAnsi="宋体" w:eastAsia="宋体" w:cs="宋体"/>
                <w:spacing w:val="9"/>
                <w:sz w:val="20"/>
                <w:szCs w:val="20"/>
                <w14:textOutline w14:w="3797" w14:cap="sq" w14:cmpd="sng" w14:algn="ctr">
                  <w14:solidFill>
                    <w14:srgbClr w14:val="000000"/>
                  </w14:solidFill>
                  <w14:prstDash w14:val="solid"/>
                  <w14:bevel/>
                </w14:textOutline>
              </w:rPr>
              <w:t>用仪器及编号</w:t>
            </w:r>
          </w:p>
        </w:tc>
        <w:tc>
          <w:tcPr>
            <w:tcW w:w="1388" w:type="dxa"/>
            <w:tcBorders>
              <w:right w:val="nil"/>
            </w:tcBorders>
          </w:tcPr>
          <w:p w14:paraId="596E8716">
            <w:pPr>
              <w:spacing w:before="117" w:line="228" w:lineRule="auto"/>
              <w:ind w:left="529"/>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检</w:t>
            </w:r>
            <w:r>
              <w:rPr>
                <w:rFonts w:ascii="宋体" w:hAnsi="宋体" w:eastAsia="宋体" w:cs="宋体"/>
                <w:spacing w:val="7"/>
                <w:sz w:val="20"/>
                <w:szCs w:val="20"/>
                <w14:textOutline w14:w="3797" w14:cap="sq" w14:cmpd="sng" w14:algn="ctr">
                  <w14:solidFill>
                    <w14:srgbClr w14:val="000000"/>
                  </w14:solidFill>
                  <w14:prstDash w14:val="solid"/>
                  <w14:bevel/>
                </w14:textOutline>
              </w:rPr>
              <w:t>出限</w:t>
            </w:r>
          </w:p>
        </w:tc>
      </w:tr>
      <w:tr w14:paraId="493A2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035" w:type="dxa"/>
            <w:tcBorders>
              <w:left w:val="nil"/>
            </w:tcBorders>
          </w:tcPr>
          <w:p w14:paraId="5FFB2D0D">
            <w:pPr>
              <w:spacing w:line="354" w:lineRule="auto"/>
            </w:pPr>
          </w:p>
          <w:p w14:paraId="41FC251D">
            <w:pPr>
              <w:spacing w:before="57" w:line="194" w:lineRule="auto"/>
              <w:ind w:left="44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pH</w:t>
            </w:r>
          </w:p>
        </w:tc>
        <w:tc>
          <w:tcPr>
            <w:tcW w:w="1770" w:type="dxa"/>
          </w:tcPr>
          <w:p w14:paraId="0128A627">
            <w:pPr>
              <w:spacing w:line="301" w:lineRule="auto"/>
            </w:pPr>
          </w:p>
          <w:p w14:paraId="0F7AC6C4">
            <w:pPr>
              <w:spacing w:before="65" w:line="221" w:lineRule="auto"/>
              <w:ind w:left="146"/>
              <w:rPr>
                <w:rFonts w:ascii="宋体" w:hAnsi="宋体" w:eastAsia="宋体" w:cs="宋体"/>
                <w:sz w:val="20"/>
                <w:szCs w:val="20"/>
              </w:rPr>
            </w:pPr>
            <w:r>
              <w:rPr>
                <w:rFonts w:ascii="宋体" w:hAnsi="宋体" w:eastAsia="宋体" w:cs="宋体"/>
                <w:spacing w:val="12"/>
                <w:sz w:val="20"/>
                <w:szCs w:val="20"/>
              </w:rPr>
              <w:t>便</w:t>
            </w:r>
            <w:r>
              <w:rPr>
                <w:rFonts w:ascii="宋体" w:hAnsi="宋体" w:eastAsia="宋体" w:cs="宋体"/>
                <w:spacing w:val="7"/>
                <w:sz w:val="20"/>
                <w:szCs w:val="20"/>
              </w:rPr>
              <w:t xml:space="preserve">携式 </w:t>
            </w:r>
            <w:r>
              <w:rPr>
                <w:rFonts w:ascii="Times New Roman" w:hAnsi="Times New Roman" w:eastAsia="Times New Roman" w:cs="Times New Roman"/>
                <w:sz w:val="20"/>
                <w:szCs w:val="20"/>
              </w:rPr>
              <w:t>pH</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计法</w:t>
            </w:r>
          </w:p>
        </w:tc>
        <w:tc>
          <w:tcPr>
            <w:tcW w:w="3183" w:type="dxa"/>
          </w:tcPr>
          <w:p w14:paraId="74280134">
            <w:pPr>
              <w:spacing w:before="120" w:line="265" w:lineRule="auto"/>
              <w:ind w:left="447" w:hanging="377"/>
              <w:rPr>
                <w:rFonts w:ascii="宋体" w:hAnsi="宋体" w:eastAsia="宋体" w:cs="宋体"/>
                <w:sz w:val="20"/>
                <w:szCs w:val="20"/>
              </w:rPr>
            </w:pPr>
            <w:r>
              <w:rPr>
                <w:rFonts w:ascii="宋体" w:hAnsi="宋体" w:eastAsia="宋体" w:cs="宋体"/>
                <w:spacing w:val="-15"/>
                <w:sz w:val="20"/>
                <w:szCs w:val="20"/>
              </w:rPr>
              <w:t>《</w:t>
            </w:r>
            <w:r>
              <w:rPr>
                <w:rFonts w:ascii="宋体" w:hAnsi="宋体" w:eastAsia="宋体" w:cs="宋体"/>
                <w:spacing w:val="-11"/>
                <w:sz w:val="20"/>
                <w:szCs w:val="20"/>
              </w:rPr>
              <w:t>水和废水监测分析方法》(第四版)</w:t>
            </w:r>
            <w:r>
              <w:rPr>
                <w:rFonts w:ascii="宋体" w:hAnsi="宋体" w:eastAsia="宋体" w:cs="宋体"/>
                <w:sz w:val="20"/>
                <w:szCs w:val="20"/>
              </w:rPr>
              <w:t xml:space="preserve"> </w:t>
            </w:r>
            <w:r>
              <w:rPr>
                <w:rFonts w:ascii="宋体" w:hAnsi="宋体" w:eastAsia="宋体" w:cs="宋体"/>
                <w:spacing w:val="2"/>
                <w:sz w:val="20"/>
                <w:szCs w:val="20"/>
              </w:rPr>
              <w:t>国家环保总局 (</w:t>
            </w:r>
            <w:r>
              <w:rPr>
                <w:rFonts w:ascii="Times New Roman" w:hAnsi="Times New Roman" w:eastAsia="Times New Roman" w:cs="Times New Roman"/>
                <w:spacing w:val="1"/>
                <w:sz w:val="20"/>
                <w:szCs w:val="20"/>
              </w:rPr>
              <w:t xml:space="preserve">2002  </w:t>
            </w:r>
            <w:r>
              <w:rPr>
                <w:rFonts w:ascii="宋体" w:hAnsi="宋体" w:eastAsia="宋体" w:cs="宋体"/>
                <w:spacing w:val="1"/>
                <w:sz w:val="20"/>
                <w:szCs w:val="20"/>
              </w:rPr>
              <w:t>年)</w:t>
            </w:r>
          </w:p>
        </w:tc>
        <w:tc>
          <w:tcPr>
            <w:tcW w:w="1909" w:type="dxa"/>
          </w:tcPr>
          <w:p w14:paraId="3DC30F7B">
            <w:pPr>
              <w:spacing w:before="31" w:line="268" w:lineRule="auto"/>
              <w:ind w:left="9" w:right="1"/>
              <w:rPr>
                <w:rFonts w:ascii="Times New Roman" w:hAnsi="Times New Roman" w:eastAsia="Times New Roman" w:cs="Times New Roman"/>
                <w:sz w:val="20"/>
                <w:szCs w:val="20"/>
              </w:rPr>
            </w:pPr>
            <w:r>
              <w:rPr>
                <w:rFonts w:ascii="Times New Roman" w:hAnsi="Times New Roman" w:eastAsia="Times New Roman" w:cs="Times New Roman"/>
                <w:sz w:val="20"/>
                <w:szCs w:val="20"/>
              </w:rPr>
              <w:t>CT</w:t>
            </w:r>
            <w:r>
              <w:rPr>
                <w:rFonts w:ascii="Times New Roman" w:hAnsi="Times New Roman" w:eastAsia="Times New Roman" w:cs="Times New Roman"/>
                <w:spacing w:val="16"/>
                <w:sz w:val="20"/>
                <w:szCs w:val="20"/>
              </w:rPr>
              <w:t>-</w:t>
            </w:r>
            <w:r>
              <w:rPr>
                <w:rFonts w:ascii="Times New Roman" w:hAnsi="Times New Roman" w:eastAsia="Times New Roman" w:cs="Times New Roman"/>
                <w:spacing w:val="11"/>
                <w:sz w:val="20"/>
                <w:szCs w:val="20"/>
              </w:rPr>
              <w:t>6021</w:t>
            </w:r>
            <w:r>
              <w:rPr>
                <w:rFonts w:ascii="Times New Roman" w:hAnsi="Times New Roman" w:eastAsia="Times New Roman" w:cs="Times New Roman"/>
                <w:sz w:val="20"/>
                <w:szCs w:val="20"/>
              </w:rPr>
              <w:t>A</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rPr>
              <w:t>袖珍酸度</w:t>
            </w:r>
            <w:r>
              <w:rPr>
                <w:rFonts w:ascii="宋体" w:hAnsi="宋体" w:eastAsia="宋体" w:cs="宋体"/>
                <w:sz w:val="20"/>
                <w:szCs w:val="20"/>
              </w:rPr>
              <w:t xml:space="preserve"> </w:t>
            </w:r>
            <w:r>
              <w:rPr>
                <w:rFonts w:ascii="宋体" w:hAnsi="宋体" w:eastAsia="宋体" w:cs="宋体"/>
                <w:spacing w:val="7"/>
                <w:sz w:val="20"/>
                <w:szCs w:val="20"/>
              </w:rPr>
              <w:t>计</w:t>
            </w:r>
            <w:r>
              <w:rPr>
                <w:rFonts w:ascii="宋体" w:hAnsi="宋体" w:eastAsia="宋体" w:cs="宋体"/>
                <w:spacing w:val="6"/>
                <w:sz w:val="20"/>
                <w:szCs w:val="20"/>
              </w:rPr>
              <w:t xml:space="preserve"> (</w:t>
            </w:r>
            <w:r>
              <w:rPr>
                <w:rFonts w:ascii="Times New Roman" w:hAnsi="Times New Roman" w:eastAsia="Times New Roman" w:cs="Times New Roman"/>
                <w:sz w:val="20"/>
                <w:szCs w:val="20"/>
              </w:rPr>
              <w:t>CY</w:t>
            </w:r>
            <w:r>
              <w:rPr>
                <w:rFonts w:ascii="Times New Roman" w:hAnsi="Times New Roman" w:eastAsia="Times New Roman" w:cs="Times New Roman"/>
                <w:spacing w:val="6"/>
                <w:sz w:val="20"/>
                <w:szCs w:val="20"/>
              </w:rPr>
              <w:t>-26</w:t>
            </w:r>
          </w:p>
        </w:tc>
        <w:tc>
          <w:tcPr>
            <w:tcW w:w="1388" w:type="dxa"/>
            <w:tcBorders>
              <w:right w:val="nil"/>
            </w:tcBorders>
          </w:tcPr>
          <w:p w14:paraId="7F35ACFC">
            <w:pPr>
              <w:spacing w:before="258" w:line="228" w:lineRule="auto"/>
              <w:ind w:left="145"/>
              <w:rPr>
                <w:rFonts w:ascii="宋体" w:hAnsi="宋体" w:eastAsia="宋体" w:cs="宋体"/>
                <w:sz w:val="20"/>
                <w:szCs w:val="20"/>
              </w:rPr>
            </w:pPr>
            <w:r>
              <w:rPr>
                <w:rFonts w:ascii="Times New Roman" w:hAnsi="Times New Roman" w:eastAsia="Times New Roman" w:cs="Times New Roman"/>
                <w:spacing w:val="-3"/>
                <w:sz w:val="20"/>
                <w:szCs w:val="20"/>
              </w:rPr>
              <w:t>0</w:t>
            </w:r>
            <w:r>
              <w:rPr>
                <w:rFonts w:ascii="Times New Roman" w:hAnsi="Times New Roman" w:eastAsia="Times New Roman" w:cs="Times New Roman"/>
                <w:spacing w:val="-2"/>
                <w:sz w:val="20"/>
                <w:szCs w:val="20"/>
              </w:rPr>
              <w:t xml:space="preserve">. 1  </w:t>
            </w:r>
            <w:r>
              <w:rPr>
                <w:rFonts w:ascii="宋体" w:hAnsi="宋体" w:eastAsia="宋体" w:cs="宋体"/>
                <w:spacing w:val="-2"/>
                <w:sz w:val="20"/>
                <w:szCs w:val="20"/>
              </w:rPr>
              <w:t>无量纲</w:t>
            </w:r>
          </w:p>
        </w:tc>
      </w:tr>
      <w:tr w14:paraId="3555DE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035" w:type="dxa"/>
            <w:tcBorders>
              <w:left w:val="nil"/>
            </w:tcBorders>
          </w:tcPr>
          <w:p w14:paraId="5814784C">
            <w:pPr>
              <w:spacing w:before="219" w:line="229" w:lineRule="auto"/>
              <w:ind w:left="264"/>
              <w:rPr>
                <w:rFonts w:ascii="宋体" w:hAnsi="宋体" w:eastAsia="宋体" w:cs="宋体"/>
                <w:sz w:val="20"/>
                <w:szCs w:val="20"/>
              </w:rPr>
            </w:pPr>
            <w:r>
              <w:rPr>
                <w:rFonts w:ascii="宋体" w:hAnsi="宋体" w:eastAsia="宋体" w:cs="宋体"/>
                <w:spacing w:val="6"/>
                <w:sz w:val="20"/>
                <w:szCs w:val="20"/>
              </w:rPr>
              <w:t>悬浮物</w:t>
            </w:r>
          </w:p>
        </w:tc>
        <w:tc>
          <w:tcPr>
            <w:tcW w:w="1770" w:type="dxa"/>
          </w:tcPr>
          <w:p w14:paraId="2457CDE2">
            <w:pPr>
              <w:spacing w:before="219" w:line="233" w:lineRule="auto"/>
              <w:ind w:left="593"/>
              <w:rPr>
                <w:rFonts w:ascii="宋体" w:hAnsi="宋体" w:eastAsia="宋体" w:cs="宋体"/>
                <w:sz w:val="20"/>
                <w:szCs w:val="20"/>
              </w:rPr>
            </w:pPr>
            <w:r>
              <w:rPr>
                <w:rFonts w:ascii="宋体" w:hAnsi="宋体" w:eastAsia="宋体" w:cs="宋体"/>
                <w:spacing w:val="7"/>
                <w:sz w:val="20"/>
                <w:szCs w:val="20"/>
              </w:rPr>
              <w:t>重</w:t>
            </w:r>
            <w:r>
              <w:rPr>
                <w:rFonts w:ascii="宋体" w:hAnsi="宋体" w:eastAsia="宋体" w:cs="宋体"/>
                <w:spacing w:val="6"/>
                <w:sz w:val="20"/>
                <w:szCs w:val="20"/>
              </w:rPr>
              <w:t>量法</w:t>
            </w:r>
          </w:p>
        </w:tc>
        <w:tc>
          <w:tcPr>
            <w:tcW w:w="3183" w:type="dxa"/>
          </w:tcPr>
          <w:p w14:paraId="57821B83">
            <w:pPr>
              <w:spacing w:before="188" w:line="281" w:lineRule="exact"/>
              <w:ind w:left="969"/>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GB</w:t>
            </w:r>
            <w:r>
              <w:rPr>
                <w:rFonts w:ascii="Times New Roman" w:hAnsi="Times New Roman" w:eastAsia="Times New Roman" w:cs="Times New Roman"/>
                <w:spacing w:val="6"/>
                <w:position w:val="2"/>
                <w:sz w:val="20"/>
                <w:szCs w:val="20"/>
              </w:rPr>
              <w:t>/</w:t>
            </w:r>
            <w:r>
              <w:rPr>
                <w:rFonts w:ascii="Times New Roman" w:hAnsi="Times New Roman" w:eastAsia="Times New Roman" w:cs="Times New Roman"/>
                <w:position w:val="2"/>
                <w:sz w:val="20"/>
                <w:szCs w:val="20"/>
              </w:rPr>
              <w:t>T</w:t>
            </w:r>
            <w:r>
              <w:rPr>
                <w:rFonts w:ascii="Times New Roman" w:hAnsi="Times New Roman" w:eastAsia="Times New Roman" w:cs="Times New Roman"/>
                <w:spacing w:val="6"/>
                <w:position w:val="2"/>
                <w:sz w:val="20"/>
                <w:szCs w:val="20"/>
              </w:rPr>
              <w:t>11901-8</w:t>
            </w:r>
            <w:r>
              <w:rPr>
                <w:rFonts w:ascii="Times New Roman" w:hAnsi="Times New Roman" w:eastAsia="Times New Roman" w:cs="Times New Roman"/>
                <w:spacing w:val="5"/>
                <w:position w:val="2"/>
                <w:sz w:val="20"/>
                <w:szCs w:val="20"/>
              </w:rPr>
              <w:t>9</w:t>
            </w:r>
          </w:p>
        </w:tc>
        <w:tc>
          <w:tcPr>
            <w:tcW w:w="1909" w:type="dxa"/>
          </w:tcPr>
          <w:p w14:paraId="35664436">
            <w:pPr>
              <w:spacing w:before="34" w:line="238" w:lineRule="auto"/>
              <w:ind w:left="230" w:right="80" w:hanging="115"/>
              <w:rPr>
                <w:rFonts w:ascii="宋体" w:hAnsi="宋体" w:eastAsia="宋体" w:cs="宋体"/>
                <w:sz w:val="20"/>
                <w:szCs w:val="20"/>
              </w:rPr>
            </w:pPr>
            <w:r>
              <w:rPr>
                <w:rFonts w:ascii="Times New Roman" w:hAnsi="Times New Roman" w:eastAsia="Times New Roman" w:cs="Times New Roman"/>
                <w:sz w:val="20"/>
                <w:szCs w:val="20"/>
              </w:rPr>
              <w:t>HZK</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FA</w:t>
            </w:r>
            <w:r>
              <w:rPr>
                <w:rFonts w:ascii="Times New Roman" w:hAnsi="Times New Roman" w:eastAsia="Times New Roman" w:cs="Times New Roman"/>
                <w:spacing w:val="8"/>
                <w:sz w:val="20"/>
                <w:szCs w:val="20"/>
              </w:rPr>
              <w:t xml:space="preserve">2105  </w:t>
            </w:r>
            <w:r>
              <w:rPr>
                <w:rFonts w:ascii="宋体" w:hAnsi="宋体" w:eastAsia="宋体" w:cs="宋体"/>
                <w:spacing w:val="8"/>
                <w:sz w:val="20"/>
                <w:szCs w:val="20"/>
              </w:rPr>
              <w:t>型电</w:t>
            </w:r>
            <w:r>
              <w:rPr>
                <w:rFonts w:ascii="宋体" w:hAnsi="宋体" w:eastAsia="宋体" w:cs="宋体"/>
                <w:sz w:val="20"/>
                <w:szCs w:val="20"/>
              </w:rPr>
              <w:t xml:space="preserve"> </w:t>
            </w:r>
            <w:r>
              <w:rPr>
                <w:rFonts w:ascii="宋体" w:hAnsi="宋体" w:eastAsia="宋体" w:cs="宋体"/>
                <w:spacing w:val="7"/>
                <w:sz w:val="20"/>
                <w:szCs w:val="20"/>
              </w:rPr>
              <w:t>子</w:t>
            </w:r>
            <w:r>
              <w:rPr>
                <w:rFonts w:ascii="宋体" w:hAnsi="宋体" w:eastAsia="宋体" w:cs="宋体"/>
                <w:spacing w:val="6"/>
                <w:sz w:val="20"/>
                <w:szCs w:val="20"/>
              </w:rPr>
              <w:t>天平 (</w:t>
            </w:r>
            <w:r>
              <w:rPr>
                <w:rFonts w:ascii="Times New Roman" w:hAnsi="Times New Roman" w:eastAsia="Times New Roman" w:cs="Times New Roman"/>
                <w:sz w:val="20"/>
                <w:szCs w:val="20"/>
              </w:rPr>
              <w:t>SY</w:t>
            </w:r>
            <w:r>
              <w:rPr>
                <w:rFonts w:ascii="Times New Roman" w:hAnsi="Times New Roman" w:eastAsia="Times New Roman" w:cs="Times New Roman"/>
                <w:spacing w:val="6"/>
                <w:sz w:val="20"/>
                <w:szCs w:val="20"/>
              </w:rPr>
              <w:t>-4</w:t>
            </w:r>
            <w:r>
              <w:rPr>
                <w:rFonts w:ascii="宋体" w:hAnsi="宋体" w:eastAsia="宋体" w:cs="宋体"/>
                <w:spacing w:val="6"/>
                <w:sz w:val="20"/>
                <w:szCs w:val="20"/>
              </w:rPr>
              <w:t>)</w:t>
            </w:r>
          </w:p>
        </w:tc>
        <w:tc>
          <w:tcPr>
            <w:tcW w:w="1388" w:type="dxa"/>
            <w:tcBorders>
              <w:right w:val="nil"/>
            </w:tcBorders>
          </w:tcPr>
          <w:p w14:paraId="2F539A5E">
            <w:pPr>
              <w:spacing w:before="95" w:line="281" w:lineRule="exact"/>
              <w:ind w:left="536"/>
              <w:rPr>
                <w:rFonts w:ascii="Times New Roman" w:hAnsi="Times New Roman" w:eastAsia="Times New Roman" w:cs="Times New Roman"/>
                <w:sz w:val="20"/>
                <w:szCs w:val="20"/>
              </w:rPr>
            </w:pPr>
            <w:r>
              <w:rPr>
                <w:rFonts w:ascii="Times New Roman" w:hAnsi="Times New Roman" w:eastAsia="Times New Roman" w:cs="Times New Roman"/>
                <w:spacing w:val="9"/>
                <w:position w:val="4"/>
                <w:sz w:val="20"/>
                <w:szCs w:val="20"/>
              </w:rPr>
              <w:t>4</w:t>
            </w:r>
            <w:r>
              <w:rPr>
                <w:rFonts w:ascii="Times New Roman" w:hAnsi="Times New Roman" w:eastAsia="Times New Roman" w:cs="Times New Roman"/>
                <w:spacing w:val="7"/>
                <w:position w:val="4"/>
                <w:sz w:val="20"/>
                <w:szCs w:val="20"/>
              </w:rPr>
              <w:t xml:space="preserve"> </w:t>
            </w:r>
            <w:r>
              <w:rPr>
                <w:rFonts w:ascii="Times New Roman" w:hAnsi="Times New Roman" w:eastAsia="Times New Roman" w:cs="Times New Roman"/>
                <w:position w:val="4"/>
                <w:sz w:val="20"/>
                <w:szCs w:val="20"/>
              </w:rPr>
              <w:t>mg</w:t>
            </w:r>
            <w:r>
              <w:rPr>
                <w:rFonts w:ascii="Times New Roman" w:hAnsi="Times New Roman" w:eastAsia="Times New Roman" w:cs="Times New Roman"/>
                <w:spacing w:val="7"/>
                <w:position w:val="4"/>
                <w:sz w:val="20"/>
                <w:szCs w:val="20"/>
              </w:rPr>
              <w:t>/</w:t>
            </w:r>
            <w:r>
              <w:rPr>
                <w:rFonts w:ascii="Times New Roman" w:hAnsi="Times New Roman" w:eastAsia="Times New Roman" w:cs="Times New Roman"/>
                <w:position w:val="4"/>
                <w:sz w:val="20"/>
                <w:szCs w:val="20"/>
              </w:rPr>
              <w:t>L</w:t>
            </w:r>
          </w:p>
        </w:tc>
      </w:tr>
      <w:tr w14:paraId="1E51A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1035" w:type="dxa"/>
            <w:tcBorders>
              <w:left w:val="nil"/>
            </w:tcBorders>
          </w:tcPr>
          <w:p w14:paraId="3A3E9EEB">
            <w:pPr>
              <w:spacing w:before="227" w:line="228" w:lineRule="auto"/>
              <w:ind w:left="373"/>
              <w:rPr>
                <w:rFonts w:ascii="宋体" w:hAnsi="宋体" w:eastAsia="宋体" w:cs="宋体"/>
                <w:sz w:val="20"/>
                <w:szCs w:val="20"/>
              </w:rPr>
            </w:pPr>
            <w:r>
              <w:rPr>
                <w:rFonts w:ascii="宋体" w:hAnsi="宋体" w:eastAsia="宋体" w:cs="宋体"/>
                <w:spacing w:val="2"/>
                <w:sz w:val="20"/>
                <w:szCs w:val="20"/>
              </w:rPr>
              <w:t>总磷</w:t>
            </w:r>
          </w:p>
        </w:tc>
        <w:tc>
          <w:tcPr>
            <w:tcW w:w="1770" w:type="dxa"/>
          </w:tcPr>
          <w:p w14:paraId="0F6380E1">
            <w:pPr>
              <w:spacing w:before="93" w:line="239" w:lineRule="auto"/>
              <w:ind w:left="801" w:right="134" w:hanging="632"/>
              <w:rPr>
                <w:rFonts w:ascii="宋体" w:hAnsi="宋体" w:eastAsia="宋体" w:cs="宋体"/>
                <w:sz w:val="20"/>
                <w:szCs w:val="20"/>
              </w:rPr>
            </w:pPr>
            <w:r>
              <w:rPr>
                <w:rFonts w:ascii="宋体" w:hAnsi="宋体" w:eastAsia="宋体" w:cs="宋体"/>
                <w:spacing w:val="9"/>
                <w:sz w:val="20"/>
                <w:szCs w:val="20"/>
              </w:rPr>
              <w:t>钼酸铵分光光</w:t>
            </w:r>
            <w:r>
              <w:rPr>
                <w:rFonts w:ascii="宋体" w:hAnsi="宋体" w:eastAsia="宋体" w:cs="宋体"/>
                <w:spacing w:val="7"/>
                <w:sz w:val="20"/>
                <w:szCs w:val="20"/>
              </w:rPr>
              <w:t>度</w:t>
            </w:r>
            <w:r>
              <w:rPr>
                <w:rFonts w:ascii="宋体" w:hAnsi="宋体" w:eastAsia="宋体" w:cs="宋体"/>
                <w:sz w:val="20"/>
                <w:szCs w:val="20"/>
              </w:rPr>
              <w:t xml:space="preserve"> 法</w:t>
            </w:r>
          </w:p>
        </w:tc>
        <w:tc>
          <w:tcPr>
            <w:tcW w:w="3183" w:type="dxa"/>
          </w:tcPr>
          <w:p w14:paraId="7753F39A">
            <w:pPr>
              <w:spacing w:before="197" w:line="281" w:lineRule="exact"/>
              <w:ind w:left="945"/>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GB</w:t>
            </w:r>
            <w:r>
              <w:rPr>
                <w:rFonts w:ascii="Times New Roman" w:hAnsi="Times New Roman" w:eastAsia="Times New Roman" w:cs="Times New Roman"/>
                <w:spacing w:val="8"/>
                <w:position w:val="2"/>
                <w:sz w:val="20"/>
                <w:szCs w:val="20"/>
              </w:rPr>
              <w:t>/</w:t>
            </w:r>
            <w:r>
              <w:rPr>
                <w:rFonts w:ascii="Times New Roman" w:hAnsi="Times New Roman" w:eastAsia="Times New Roman" w:cs="Times New Roman"/>
                <w:position w:val="2"/>
                <w:sz w:val="20"/>
                <w:szCs w:val="20"/>
              </w:rPr>
              <w:t>T</w:t>
            </w:r>
            <w:r>
              <w:rPr>
                <w:rFonts w:ascii="Times New Roman" w:hAnsi="Times New Roman" w:eastAsia="Times New Roman" w:cs="Times New Roman"/>
                <w:spacing w:val="5"/>
                <w:position w:val="2"/>
                <w:sz w:val="20"/>
                <w:szCs w:val="20"/>
              </w:rPr>
              <w:t xml:space="preserve"> 11893-89</w:t>
            </w:r>
          </w:p>
        </w:tc>
        <w:tc>
          <w:tcPr>
            <w:tcW w:w="1909" w:type="dxa"/>
          </w:tcPr>
          <w:p w14:paraId="6AB5602A">
            <w:pPr>
              <w:spacing w:before="93" w:line="239" w:lineRule="auto"/>
              <w:ind w:left="534" w:right="20" w:hanging="42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VIS</w:t>
            </w:r>
            <w:r>
              <w:rPr>
                <w:rFonts w:ascii="Times New Roman" w:hAnsi="Times New Roman" w:eastAsia="Times New Roman" w:cs="Times New Roman"/>
                <w:spacing w:val="-6"/>
                <w:sz w:val="20"/>
                <w:szCs w:val="20"/>
              </w:rPr>
              <w:t>-722</w:t>
            </w:r>
            <w:r>
              <w:rPr>
                <w:rFonts w:ascii="Times New Roman" w:hAnsi="Times New Roman" w:eastAsia="Times New Roman" w:cs="Times New Roman"/>
                <w:spacing w:val="-3"/>
                <w:sz w:val="20"/>
                <w:szCs w:val="20"/>
              </w:rPr>
              <w:t xml:space="preserve">0N  </w:t>
            </w:r>
            <w:r>
              <w:rPr>
                <w:rFonts w:ascii="宋体" w:hAnsi="宋体" w:eastAsia="宋体" w:cs="宋体"/>
                <w:spacing w:val="-3"/>
                <w:sz w:val="20"/>
                <w:szCs w:val="20"/>
              </w:rPr>
              <w:t>分光光度</w:t>
            </w:r>
            <w:r>
              <w:rPr>
                <w:rFonts w:ascii="宋体" w:hAnsi="宋体" w:eastAsia="宋体" w:cs="宋体"/>
                <w:sz w:val="20"/>
                <w:szCs w:val="20"/>
              </w:rPr>
              <w:t xml:space="preserve"> </w:t>
            </w:r>
            <w:r>
              <w:rPr>
                <w:rFonts w:ascii="宋体" w:hAnsi="宋体" w:eastAsia="宋体" w:cs="宋体"/>
                <w:spacing w:val="-8"/>
                <w:sz w:val="20"/>
                <w:szCs w:val="20"/>
              </w:rPr>
              <w:t>计</w:t>
            </w:r>
            <w:r>
              <w:rPr>
                <w:rFonts w:ascii="宋体" w:hAnsi="宋体" w:eastAsia="宋体" w:cs="宋体"/>
                <w:spacing w:val="-5"/>
                <w:sz w:val="20"/>
                <w:szCs w:val="20"/>
              </w:rPr>
              <w:t xml:space="preserve"> </w:t>
            </w:r>
            <w:r>
              <w:rPr>
                <w:rFonts w:ascii="宋体" w:hAnsi="宋体" w:eastAsia="宋体" w:cs="宋体"/>
                <w:spacing w:val="-4"/>
                <w:sz w:val="20"/>
                <w:szCs w:val="20"/>
              </w:rPr>
              <w:t>(</w:t>
            </w:r>
            <w:r>
              <w:rPr>
                <w:rFonts w:ascii="Times New Roman" w:hAnsi="Times New Roman" w:eastAsia="Times New Roman" w:cs="Times New Roman"/>
                <w:spacing w:val="-4"/>
                <w:sz w:val="20"/>
                <w:szCs w:val="20"/>
              </w:rPr>
              <w:t>SY-46</w:t>
            </w:r>
          </w:p>
        </w:tc>
        <w:tc>
          <w:tcPr>
            <w:tcW w:w="1388" w:type="dxa"/>
            <w:tcBorders>
              <w:right w:val="nil"/>
            </w:tcBorders>
          </w:tcPr>
          <w:p w14:paraId="4B3729F6">
            <w:pPr>
              <w:spacing w:before="56" w:line="281" w:lineRule="exact"/>
              <w:ind w:left="66"/>
              <w:rPr>
                <w:rFonts w:ascii="Times New Roman" w:hAnsi="Times New Roman" w:eastAsia="Times New Roman" w:cs="Times New Roman"/>
                <w:sz w:val="20"/>
                <w:szCs w:val="20"/>
              </w:rPr>
            </w:pPr>
            <w:r>
              <w:rPr>
                <w:rFonts w:ascii="宋体" w:hAnsi="宋体" w:eastAsia="宋体" w:cs="宋体"/>
                <w:spacing w:val="4"/>
                <w:position w:val="3"/>
                <w:sz w:val="20"/>
                <w:szCs w:val="20"/>
              </w:rPr>
              <w:t xml:space="preserve">)  </w:t>
            </w:r>
            <w:r>
              <w:rPr>
                <w:rFonts w:ascii="Times New Roman" w:hAnsi="Times New Roman" w:eastAsia="Times New Roman" w:cs="Times New Roman"/>
                <w:spacing w:val="2"/>
                <w:position w:val="3"/>
                <w:sz w:val="20"/>
                <w:szCs w:val="20"/>
              </w:rPr>
              <w:t xml:space="preserve">0.01 </w:t>
            </w:r>
            <w:r>
              <w:rPr>
                <w:rFonts w:ascii="Times New Roman" w:hAnsi="Times New Roman" w:eastAsia="Times New Roman" w:cs="Times New Roman"/>
                <w:position w:val="3"/>
                <w:sz w:val="20"/>
                <w:szCs w:val="20"/>
              </w:rPr>
              <w:t>mg</w:t>
            </w:r>
            <w:r>
              <w:rPr>
                <w:rFonts w:ascii="Times New Roman" w:hAnsi="Times New Roman" w:eastAsia="Times New Roman" w:cs="Times New Roman"/>
                <w:spacing w:val="2"/>
                <w:position w:val="3"/>
                <w:sz w:val="20"/>
                <w:szCs w:val="20"/>
              </w:rPr>
              <w:t>/</w:t>
            </w:r>
            <w:r>
              <w:rPr>
                <w:rFonts w:ascii="Times New Roman" w:hAnsi="Times New Roman" w:eastAsia="Times New Roman" w:cs="Times New Roman"/>
                <w:position w:val="3"/>
                <w:sz w:val="20"/>
                <w:szCs w:val="20"/>
              </w:rPr>
              <w:t>L</w:t>
            </w:r>
          </w:p>
        </w:tc>
      </w:tr>
      <w:tr w14:paraId="2953B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035" w:type="dxa"/>
            <w:tcBorders>
              <w:left w:val="nil"/>
            </w:tcBorders>
          </w:tcPr>
          <w:p w14:paraId="3CC584B6">
            <w:pPr>
              <w:spacing w:before="279" w:line="250" w:lineRule="auto"/>
              <w:ind w:left="472" w:right="44" w:hanging="313"/>
              <w:rPr>
                <w:rFonts w:ascii="宋体" w:hAnsi="宋体" w:eastAsia="宋体" w:cs="宋体"/>
                <w:sz w:val="20"/>
                <w:szCs w:val="20"/>
              </w:rPr>
            </w:pPr>
            <w:r>
              <w:rPr>
                <w:rFonts w:ascii="宋体" w:hAnsi="宋体" w:eastAsia="宋体" w:cs="宋体"/>
                <w:spacing w:val="7"/>
                <w:sz w:val="20"/>
                <w:szCs w:val="20"/>
              </w:rPr>
              <w:t>化学需氧</w:t>
            </w:r>
            <w:r>
              <w:rPr>
                <w:rFonts w:ascii="宋体" w:hAnsi="宋体" w:eastAsia="宋体" w:cs="宋体"/>
                <w:sz w:val="20"/>
                <w:szCs w:val="20"/>
              </w:rPr>
              <w:t xml:space="preserve"> 量</w:t>
            </w:r>
          </w:p>
        </w:tc>
        <w:tc>
          <w:tcPr>
            <w:tcW w:w="1770" w:type="dxa"/>
          </w:tcPr>
          <w:p w14:paraId="008100DB">
            <w:pPr>
              <w:spacing w:line="349" w:lineRule="auto"/>
            </w:pPr>
          </w:p>
          <w:p w14:paraId="700A70A7">
            <w:pPr>
              <w:spacing w:before="65" w:line="229" w:lineRule="auto"/>
              <w:ind w:left="382"/>
              <w:rPr>
                <w:rFonts w:ascii="宋体" w:hAnsi="宋体" w:eastAsia="宋体" w:cs="宋体"/>
                <w:sz w:val="20"/>
                <w:szCs w:val="20"/>
              </w:rPr>
            </w:pPr>
            <w:r>
              <w:rPr>
                <w:rFonts w:ascii="宋体" w:hAnsi="宋体" w:eastAsia="宋体" w:cs="宋体"/>
                <w:spacing w:val="8"/>
                <w:sz w:val="20"/>
                <w:szCs w:val="20"/>
              </w:rPr>
              <w:t>重铬酸盐</w:t>
            </w:r>
            <w:r>
              <w:rPr>
                <w:rFonts w:ascii="宋体" w:hAnsi="宋体" w:eastAsia="宋体" w:cs="宋体"/>
                <w:spacing w:val="7"/>
                <w:sz w:val="20"/>
                <w:szCs w:val="20"/>
              </w:rPr>
              <w:t>法</w:t>
            </w:r>
          </w:p>
        </w:tc>
        <w:tc>
          <w:tcPr>
            <w:tcW w:w="3183" w:type="dxa"/>
          </w:tcPr>
          <w:p w14:paraId="5B909F1E">
            <w:pPr>
              <w:spacing w:line="399" w:lineRule="auto"/>
            </w:pPr>
          </w:p>
          <w:p w14:paraId="56352F38">
            <w:pPr>
              <w:spacing w:before="57" w:line="195" w:lineRule="auto"/>
              <w:ind w:left="1064"/>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5"/>
                <w:sz w:val="20"/>
                <w:szCs w:val="20"/>
              </w:rPr>
              <w:t>828-2017</w:t>
            </w:r>
          </w:p>
        </w:tc>
        <w:tc>
          <w:tcPr>
            <w:tcW w:w="1909" w:type="dxa"/>
          </w:tcPr>
          <w:p w14:paraId="516151B5">
            <w:pPr>
              <w:spacing w:before="32" w:line="234" w:lineRule="auto"/>
              <w:ind w:left="73" w:right="39"/>
              <w:rPr>
                <w:rFonts w:ascii="宋体" w:hAnsi="宋体" w:eastAsia="宋体" w:cs="宋体"/>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8"/>
                <w:sz w:val="20"/>
                <w:szCs w:val="20"/>
              </w:rPr>
              <w:t>-</w:t>
            </w:r>
            <w:r>
              <w:rPr>
                <w:rFonts w:ascii="Times New Roman" w:hAnsi="Times New Roman" w:eastAsia="Times New Roman" w:cs="Times New Roman"/>
                <w:spacing w:val="7"/>
                <w:sz w:val="20"/>
                <w:szCs w:val="20"/>
              </w:rPr>
              <w:t xml:space="preserve">7012  </w:t>
            </w:r>
            <w:r>
              <w:rPr>
                <w:rFonts w:ascii="宋体" w:hAnsi="宋体" w:eastAsia="宋体" w:cs="宋体"/>
                <w:spacing w:val="7"/>
                <w:sz w:val="20"/>
                <w:szCs w:val="20"/>
              </w:rPr>
              <w:t>型</w:t>
            </w:r>
            <w:r>
              <w:rPr>
                <w:rFonts w:ascii="Times New Roman" w:hAnsi="Times New Roman" w:eastAsia="Times New Roman" w:cs="Times New Roman"/>
                <w:sz w:val="20"/>
                <w:szCs w:val="20"/>
              </w:rPr>
              <w:t>COD</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恒</w:t>
            </w:r>
            <w:r>
              <w:rPr>
                <w:rFonts w:ascii="宋体" w:hAnsi="宋体" w:eastAsia="宋体" w:cs="宋体"/>
                <w:sz w:val="20"/>
                <w:szCs w:val="20"/>
              </w:rPr>
              <w:t xml:space="preserve"> </w:t>
            </w:r>
            <w:r>
              <w:rPr>
                <w:rFonts w:ascii="宋体" w:hAnsi="宋体" w:eastAsia="宋体" w:cs="宋体"/>
                <w:spacing w:val="8"/>
                <w:sz w:val="20"/>
                <w:szCs w:val="20"/>
              </w:rPr>
              <w:t>温</w:t>
            </w:r>
            <w:r>
              <w:rPr>
                <w:rFonts w:ascii="宋体" w:hAnsi="宋体" w:eastAsia="宋体" w:cs="宋体"/>
                <w:spacing w:val="6"/>
                <w:sz w:val="20"/>
                <w:szCs w:val="20"/>
              </w:rPr>
              <w:t>加热器 (</w:t>
            </w:r>
            <w:r>
              <w:rPr>
                <w:rFonts w:ascii="Times New Roman" w:hAnsi="Times New Roman" w:eastAsia="Times New Roman" w:cs="Times New Roman"/>
                <w:sz w:val="20"/>
                <w:szCs w:val="20"/>
              </w:rPr>
              <w:t>SY</w:t>
            </w:r>
            <w:r>
              <w:rPr>
                <w:rFonts w:ascii="Times New Roman" w:hAnsi="Times New Roman" w:eastAsia="Times New Roman" w:cs="Times New Roman"/>
                <w:spacing w:val="6"/>
                <w:sz w:val="20"/>
                <w:szCs w:val="20"/>
              </w:rPr>
              <w:t>-44</w:t>
            </w:r>
            <w:r>
              <w:rPr>
                <w:rFonts w:ascii="宋体" w:hAnsi="宋体" w:eastAsia="宋体" w:cs="宋体"/>
                <w:spacing w:val="6"/>
                <w:sz w:val="20"/>
                <w:szCs w:val="20"/>
              </w:rPr>
              <w:t>)</w:t>
            </w:r>
          </w:p>
          <w:p w14:paraId="1D8868D8">
            <w:pPr>
              <w:spacing w:line="281" w:lineRule="exact"/>
              <w:ind w:left="184"/>
              <w:rPr>
                <w:rFonts w:ascii="宋体" w:hAnsi="宋体" w:eastAsia="宋体" w:cs="宋体"/>
                <w:sz w:val="20"/>
                <w:szCs w:val="20"/>
              </w:rPr>
            </w:pPr>
            <w:r>
              <w:rPr>
                <w:rFonts w:ascii="Times New Roman" w:hAnsi="Times New Roman" w:eastAsia="Times New Roman" w:cs="Times New Roman"/>
                <w:spacing w:val="7"/>
                <w:position w:val="1"/>
                <w:sz w:val="20"/>
                <w:szCs w:val="20"/>
              </w:rPr>
              <w:t>50</w:t>
            </w:r>
            <w:r>
              <w:rPr>
                <w:rFonts w:ascii="Times New Roman" w:hAnsi="Times New Roman" w:eastAsia="Times New Roman" w:cs="Times New Roman"/>
                <w:position w:val="1"/>
                <w:sz w:val="20"/>
                <w:szCs w:val="20"/>
              </w:rPr>
              <w:t>ml</w:t>
            </w:r>
            <w:r>
              <w:rPr>
                <w:rFonts w:ascii="Times New Roman" w:hAnsi="Times New Roman" w:eastAsia="Times New Roman" w:cs="Times New Roman"/>
                <w:spacing w:val="7"/>
                <w:position w:val="1"/>
                <w:sz w:val="20"/>
                <w:szCs w:val="20"/>
              </w:rPr>
              <w:t xml:space="preserve">  </w:t>
            </w:r>
            <w:r>
              <w:rPr>
                <w:rFonts w:ascii="宋体" w:hAnsi="宋体" w:eastAsia="宋体" w:cs="宋体"/>
                <w:spacing w:val="7"/>
                <w:position w:val="1"/>
                <w:sz w:val="20"/>
                <w:szCs w:val="20"/>
              </w:rPr>
              <w:t>酸式滴定</w:t>
            </w:r>
            <w:r>
              <w:rPr>
                <w:rFonts w:ascii="宋体" w:hAnsi="宋体" w:eastAsia="宋体" w:cs="宋体"/>
                <w:spacing w:val="6"/>
                <w:position w:val="1"/>
                <w:sz w:val="20"/>
                <w:szCs w:val="20"/>
              </w:rPr>
              <w:t>管</w:t>
            </w:r>
          </w:p>
        </w:tc>
        <w:tc>
          <w:tcPr>
            <w:tcW w:w="1388" w:type="dxa"/>
            <w:tcBorders>
              <w:right w:val="nil"/>
            </w:tcBorders>
          </w:tcPr>
          <w:p w14:paraId="152AE304">
            <w:pPr>
              <w:spacing w:before="217" w:line="281" w:lineRule="exact"/>
              <w:ind w:left="299"/>
              <w:rPr>
                <w:rFonts w:ascii="Times New Roman" w:hAnsi="Times New Roman" w:eastAsia="Times New Roman" w:cs="Times New Roman"/>
                <w:sz w:val="20"/>
                <w:szCs w:val="20"/>
              </w:rPr>
            </w:pPr>
            <w:r>
              <w:rPr>
                <w:rFonts w:ascii="Times New Roman" w:hAnsi="Times New Roman" w:eastAsia="Times New Roman" w:cs="Times New Roman"/>
                <w:spacing w:val="9"/>
                <w:position w:val="4"/>
                <w:sz w:val="20"/>
                <w:szCs w:val="20"/>
              </w:rPr>
              <w:t>4</w:t>
            </w:r>
            <w:r>
              <w:rPr>
                <w:rFonts w:ascii="Times New Roman" w:hAnsi="Times New Roman" w:eastAsia="Times New Roman" w:cs="Times New Roman"/>
                <w:spacing w:val="7"/>
                <w:position w:val="4"/>
                <w:sz w:val="20"/>
                <w:szCs w:val="20"/>
              </w:rPr>
              <w:t xml:space="preserve"> </w:t>
            </w:r>
            <w:r>
              <w:rPr>
                <w:rFonts w:ascii="Times New Roman" w:hAnsi="Times New Roman" w:eastAsia="Times New Roman" w:cs="Times New Roman"/>
                <w:position w:val="4"/>
                <w:sz w:val="20"/>
                <w:szCs w:val="20"/>
              </w:rPr>
              <w:t>mg</w:t>
            </w:r>
            <w:r>
              <w:rPr>
                <w:rFonts w:ascii="Times New Roman" w:hAnsi="Times New Roman" w:eastAsia="Times New Roman" w:cs="Times New Roman"/>
                <w:spacing w:val="7"/>
                <w:position w:val="4"/>
                <w:sz w:val="20"/>
                <w:szCs w:val="20"/>
              </w:rPr>
              <w:t>/</w:t>
            </w:r>
            <w:r>
              <w:rPr>
                <w:rFonts w:ascii="Times New Roman" w:hAnsi="Times New Roman" w:eastAsia="Times New Roman" w:cs="Times New Roman"/>
                <w:position w:val="4"/>
                <w:sz w:val="20"/>
                <w:szCs w:val="20"/>
              </w:rPr>
              <w:t>L</w:t>
            </w:r>
          </w:p>
        </w:tc>
      </w:tr>
      <w:tr w14:paraId="250C76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035" w:type="dxa"/>
            <w:tcBorders>
              <w:left w:val="nil"/>
            </w:tcBorders>
          </w:tcPr>
          <w:p w14:paraId="0C3762A8">
            <w:pPr>
              <w:spacing w:before="167" w:line="267" w:lineRule="auto"/>
              <w:ind w:left="272" w:right="46" w:hanging="113"/>
              <w:rPr>
                <w:rFonts w:ascii="宋体" w:hAnsi="宋体" w:eastAsia="宋体" w:cs="宋体"/>
                <w:sz w:val="20"/>
                <w:szCs w:val="20"/>
              </w:rPr>
            </w:pPr>
            <w:r>
              <w:rPr>
                <w:rFonts w:ascii="宋体" w:hAnsi="宋体" w:eastAsia="宋体" w:cs="宋体"/>
                <w:spacing w:val="8"/>
                <w:sz w:val="20"/>
                <w:szCs w:val="20"/>
              </w:rPr>
              <w:t>五</w:t>
            </w:r>
            <w:r>
              <w:rPr>
                <w:rFonts w:ascii="宋体" w:hAnsi="宋体" w:eastAsia="宋体" w:cs="宋体"/>
                <w:spacing w:val="6"/>
                <w:sz w:val="20"/>
                <w:szCs w:val="20"/>
              </w:rPr>
              <w:t>日生化</w:t>
            </w:r>
            <w:r>
              <w:rPr>
                <w:rFonts w:ascii="宋体" w:hAnsi="宋体" w:eastAsia="宋体" w:cs="宋体"/>
                <w:sz w:val="20"/>
                <w:szCs w:val="20"/>
              </w:rPr>
              <w:t xml:space="preserve"> </w:t>
            </w:r>
            <w:r>
              <w:rPr>
                <w:rFonts w:ascii="宋体" w:hAnsi="宋体" w:eastAsia="宋体" w:cs="宋体"/>
                <w:spacing w:val="3"/>
                <w:sz w:val="20"/>
                <w:szCs w:val="20"/>
              </w:rPr>
              <w:t>需氧量</w:t>
            </w:r>
          </w:p>
        </w:tc>
        <w:tc>
          <w:tcPr>
            <w:tcW w:w="1770" w:type="dxa"/>
          </w:tcPr>
          <w:p w14:paraId="43D075DD">
            <w:pPr>
              <w:spacing w:line="288" w:lineRule="auto"/>
            </w:pPr>
          </w:p>
          <w:p w14:paraId="2F4666EB">
            <w:pPr>
              <w:spacing w:before="65" w:line="228" w:lineRule="auto"/>
              <w:ind w:left="274"/>
              <w:rPr>
                <w:rFonts w:ascii="宋体" w:hAnsi="宋体" w:eastAsia="宋体" w:cs="宋体"/>
                <w:sz w:val="20"/>
                <w:szCs w:val="20"/>
              </w:rPr>
            </w:pPr>
            <w:r>
              <w:rPr>
                <w:rFonts w:ascii="宋体" w:hAnsi="宋体" w:eastAsia="宋体" w:cs="宋体"/>
                <w:spacing w:val="10"/>
                <w:sz w:val="20"/>
                <w:szCs w:val="20"/>
              </w:rPr>
              <w:t>稀</w:t>
            </w:r>
            <w:r>
              <w:rPr>
                <w:rFonts w:ascii="宋体" w:hAnsi="宋体" w:eastAsia="宋体" w:cs="宋体"/>
                <w:spacing w:val="8"/>
                <w:sz w:val="20"/>
                <w:szCs w:val="20"/>
              </w:rPr>
              <w:t>释与接种法</w:t>
            </w:r>
          </w:p>
        </w:tc>
        <w:tc>
          <w:tcPr>
            <w:tcW w:w="3183" w:type="dxa"/>
          </w:tcPr>
          <w:p w14:paraId="3AE711B9">
            <w:pPr>
              <w:spacing w:line="339" w:lineRule="auto"/>
            </w:pPr>
          </w:p>
          <w:p w14:paraId="4D9FC391">
            <w:pPr>
              <w:spacing w:before="57" w:line="195" w:lineRule="auto"/>
              <w:ind w:left="1064"/>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5"/>
                <w:sz w:val="20"/>
                <w:szCs w:val="20"/>
              </w:rPr>
              <w:t>505-2009</w:t>
            </w:r>
          </w:p>
        </w:tc>
        <w:tc>
          <w:tcPr>
            <w:tcW w:w="1909" w:type="dxa"/>
          </w:tcPr>
          <w:p w14:paraId="051E77F5">
            <w:pPr>
              <w:spacing w:before="34" w:line="233" w:lineRule="auto"/>
              <w:ind w:left="433" w:right="34" w:hanging="310"/>
              <w:rPr>
                <w:rFonts w:ascii="宋体" w:hAnsi="宋体" w:eastAsia="宋体" w:cs="宋体"/>
                <w:sz w:val="20"/>
                <w:szCs w:val="20"/>
              </w:rPr>
            </w:pPr>
            <w:r>
              <w:rPr>
                <w:rFonts w:ascii="Times New Roman" w:hAnsi="Times New Roman" w:eastAsia="Times New Roman" w:cs="Times New Roman"/>
                <w:sz w:val="20"/>
                <w:szCs w:val="20"/>
              </w:rPr>
              <w:t>LRH</w:t>
            </w:r>
            <w:r>
              <w:rPr>
                <w:rFonts w:ascii="Times New Roman" w:hAnsi="Times New Roman" w:eastAsia="Times New Roman" w:cs="Times New Roman"/>
                <w:spacing w:val="8"/>
                <w:sz w:val="20"/>
                <w:szCs w:val="20"/>
              </w:rPr>
              <w:t xml:space="preserve">-250  </w:t>
            </w:r>
            <w:r>
              <w:rPr>
                <w:rFonts w:ascii="宋体" w:hAnsi="宋体" w:eastAsia="宋体" w:cs="宋体"/>
                <w:spacing w:val="8"/>
                <w:sz w:val="20"/>
                <w:szCs w:val="20"/>
              </w:rPr>
              <w:t>生化培</w:t>
            </w:r>
            <w:r>
              <w:rPr>
                <w:rFonts w:ascii="宋体" w:hAnsi="宋体" w:eastAsia="宋体" w:cs="宋体"/>
                <w:spacing w:val="7"/>
                <w:sz w:val="20"/>
                <w:szCs w:val="20"/>
              </w:rPr>
              <w:t>养</w:t>
            </w:r>
            <w:r>
              <w:rPr>
                <w:rFonts w:ascii="宋体" w:hAnsi="宋体" w:eastAsia="宋体" w:cs="宋体"/>
                <w:sz w:val="20"/>
                <w:szCs w:val="20"/>
              </w:rPr>
              <w:t xml:space="preserve"> </w:t>
            </w:r>
            <w:r>
              <w:rPr>
                <w:rFonts w:ascii="宋体" w:hAnsi="宋体" w:eastAsia="宋体" w:cs="宋体"/>
                <w:spacing w:val="1"/>
                <w:sz w:val="20"/>
                <w:szCs w:val="20"/>
              </w:rPr>
              <w:t>箱 (</w:t>
            </w:r>
            <w:r>
              <w:rPr>
                <w:rFonts w:ascii="Times New Roman" w:hAnsi="Times New Roman" w:eastAsia="Times New Roman" w:cs="Times New Roman"/>
                <w:sz w:val="20"/>
                <w:szCs w:val="20"/>
              </w:rPr>
              <w:t>SY</w:t>
            </w:r>
            <w:r>
              <w:rPr>
                <w:rFonts w:ascii="Times New Roman" w:hAnsi="Times New Roman" w:eastAsia="Times New Roman" w:cs="Times New Roman"/>
                <w:spacing w:val="1"/>
                <w:sz w:val="20"/>
                <w:szCs w:val="20"/>
              </w:rPr>
              <w:t>-25</w:t>
            </w:r>
            <w:r>
              <w:rPr>
                <w:rFonts w:ascii="宋体" w:hAnsi="宋体" w:eastAsia="宋体" w:cs="宋体"/>
                <w:spacing w:val="1"/>
                <w:sz w:val="20"/>
                <w:szCs w:val="20"/>
              </w:rPr>
              <w:t>)</w:t>
            </w:r>
          </w:p>
          <w:p w14:paraId="7CECA327">
            <w:pPr>
              <w:spacing w:line="281" w:lineRule="exact"/>
              <w:ind w:left="184"/>
              <w:rPr>
                <w:rFonts w:ascii="宋体" w:hAnsi="宋体" w:eastAsia="宋体" w:cs="宋体"/>
                <w:sz w:val="20"/>
                <w:szCs w:val="20"/>
              </w:rPr>
            </w:pPr>
            <w:r>
              <w:rPr>
                <w:rFonts w:ascii="Times New Roman" w:hAnsi="Times New Roman" w:eastAsia="Times New Roman" w:cs="Times New Roman"/>
                <w:spacing w:val="7"/>
                <w:position w:val="1"/>
                <w:sz w:val="20"/>
                <w:szCs w:val="20"/>
              </w:rPr>
              <w:t>50</w:t>
            </w:r>
            <w:r>
              <w:rPr>
                <w:rFonts w:ascii="Times New Roman" w:hAnsi="Times New Roman" w:eastAsia="Times New Roman" w:cs="Times New Roman"/>
                <w:position w:val="1"/>
                <w:sz w:val="20"/>
                <w:szCs w:val="20"/>
              </w:rPr>
              <w:t>ml</w:t>
            </w:r>
            <w:r>
              <w:rPr>
                <w:rFonts w:ascii="Times New Roman" w:hAnsi="Times New Roman" w:eastAsia="Times New Roman" w:cs="Times New Roman"/>
                <w:spacing w:val="7"/>
                <w:position w:val="1"/>
                <w:sz w:val="20"/>
                <w:szCs w:val="20"/>
              </w:rPr>
              <w:t xml:space="preserve">  </w:t>
            </w:r>
            <w:r>
              <w:rPr>
                <w:rFonts w:ascii="宋体" w:hAnsi="宋体" w:eastAsia="宋体" w:cs="宋体"/>
                <w:spacing w:val="7"/>
                <w:position w:val="1"/>
                <w:sz w:val="20"/>
                <w:szCs w:val="20"/>
              </w:rPr>
              <w:t>酸式滴定</w:t>
            </w:r>
            <w:r>
              <w:rPr>
                <w:rFonts w:ascii="宋体" w:hAnsi="宋体" w:eastAsia="宋体" w:cs="宋体"/>
                <w:spacing w:val="6"/>
                <w:position w:val="1"/>
                <w:sz w:val="20"/>
                <w:szCs w:val="20"/>
              </w:rPr>
              <w:t>管</w:t>
            </w:r>
          </w:p>
        </w:tc>
        <w:tc>
          <w:tcPr>
            <w:tcW w:w="1388" w:type="dxa"/>
            <w:tcBorders>
              <w:right w:val="nil"/>
            </w:tcBorders>
          </w:tcPr>
          <w:p w14:paraId="1D3C155E">
            <w:pPr>
              <w:spacing w:before="94" w:line="281" w:lineRule="exact"/>
              <w:ind w:left="224"/>
              <w:rPr>
                <w:rFonts w:ascii="Times New Roman" w:hAnsi="Times New Roman" w:eastAsia="Times New Roman" w:cs="Times New Roman"/>
                <w:sz w:val="20"/>
                <w:szCs w:val="20"/>
              </w:rPr>
            </w:pPr>
            <w:r>
              <w:rPr>
                <w:rFonts w:ascii="Times New Roman" w:hAnsi="Times New Roman" w:eastAsia="Times New Roman" w:cs="Times New Roman"/>
                <w:spacing w:val="7"/>
                <w:position w:val="4"/>
                <w:sz w:val="20"/>
                <w:szCs w:val="20"/>
              </w:rPr>
              <w:t>0</w:t>
            </w:r>
            <w:r>
              <w:rPr>
                <w:rFonts w:ascii="Times New Roman" w:hAnsi="Times New Roman" w:eastAsia="Times New Roman" w:cs="Times New Roman"/>
                <w:spacing w:val="5"/>
                <w:position w:val="4"/>
                <w:sz w:val="20"/>
                <w:szCs w:val="20"/>
              </w:rPr>
              <w:t xml:space="preserve">.5 </w:t>
            </w:r>
            <w:r>
              <w:rPr>
                <w:rFonts w:ascii="Times New Roman" w:hAnsi="Times New Roman" w:eastAsia="Times New Roman" w:cs="Times New Roman"/>
                <w:position w:val="4"/>
                <w:sz w:val="20"/>
                <w:szCs w:val="20"/>
              </w:rPr>
              <w:t>mg</w:t>
            </w:r>
            <w:r>
              <w:rPr>
                <w:rFonts w:ascii="Times New Roman" w:hAnsi="Times New Roman" w:eastAsia="Times New Roman" w:cs="Times New Roman"/>
                <w:spacing w:val="5"/>
                <w:position w:val="4"/>
                <w:sz w:val="20"/>
                <w:szCs w:val="20"/>
              </w:rPr>
              <w:t>/</w:t>
            </w:r>
            <w:r>
              <w:rPr>
                <w:rFonts w:ascii="Times New Roman" w:hAnsi="Times New Roman" w:eastAsia="Times New Roman" w:cs="Times New Roman"/>
                <w:position w:val="4"/>
                <w:sz w:val="20"/>
                <w:szCs w:val="20"/>
              </w:rPr>
              <w:t>L</w:t>
            </w:r>
          </w:p>
        </w:tc>
      </w:tr>
      <w:tr w14:paraId="1F168B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1035" w:type="dxa"/>
            <w:tcBorders>
              <w:left w:val="nil"/>
            </w:tcBorders>
          </w:tcPr>
          <w:p w14:paraId="6A3AB896">
            <w:pPr>
              <w:spacing w:before="232" w:line="227" w:lineRule="auto"/>
              <w:ind w:left="367"/>
              <w:rPr>
                <w:rFonts w:ascii="宋体" w:hAnsi="宋体" w:eastAsia="宋体" w:cs="宋体"/>
                <w:sz w:val="20"/>
                <w:szCs w:val="20"/>
              </w:rPr>
            </w:pPr>
            <w:r>
              <w:rPr>
                <w:rFonts w:ascii="宋体" w:hAnsi="宋体" w:eastAsia="宋体" w:cs="宋体"/>
                <w:spacing w:val="5"/>
                <w:sz w:val="20"/>
                <w:szCs w:val="20"/>
              </w:rPr>
              <w:t>氨</w:t>
            </w:r>
            <w:r>
              <w:rPr>
                <w:rFonts w:ascii="宋体" w:hAnsi="宋体" w:eastAsia="宋体" w:cs="宋体"/>
                <w:spacing w:val="4"/>
                <w:sz w:val="20"/>
                <w:szCs w:val="20"/>
              </w:rPr>
              <w:t>氮</w:t>
            </w:r>
          </w:p>
        </w:tc>
        <w:tc>
          <w:tcPr>
            <w:tcW w:w="1770" w:type="dxa"/>
          </w:tcPr>
          <w:p w14:paraId="69C83A91">
            <w:pPr>
              <w:spacing w:before="232" w:line="227" w:lineRule="auto"/>
              <w:ind w:left="174"/>
              <w:rPr>
                <w:rFonts w:ascii="宋体" w:hAnsi="宋体" w:eastAsia="宋体" w:cs="宋体"/>
                <w:sz w:val="20"/>
                <w:szCs w:val="20"/>
              </w:rPr>
            </w:pPr>
            <w:r>
              <w:rPr>
                <w:rFonts w:ascii="宋体" w:hAnsi="宋体" w:eastAsia="宋体" w:cs="宋体"/>
                <w:spacing w:val="11"/>
                <w:sz w:val="20"/>
                <w:szCs w:val="20"/>
              </w:rPr>
              <w:t>纳</w:t>
            </w:r>
            <w:r>
              <w:rPr>
                <w:rFonts w:ascii="宋体" w:hAnsi="宋体" w:eastAsia="宋体" w:cs="宋体"/>
                <w:spacing w:val="8"/>
                <w:sz w:val="20"/>
                <w:szCs w:val="20"/>
              </w:rPr>
              <w:t>氏试剂光度法</w:t>
            </w:r>
          </w:p>
        </w:tc>
        <w:tc>
          <w:tcPr>
            <w:tcW w:w="3183" w:type="dxa"/>
          </w:tcPr>
          <w:p w14:paraId="417BB1FB">
            <w:pPr>
              <w:spacing w:before="275" w:line="195" w:lineRule="auto"/>
              <w:ind w:left="1064"/>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5"/>
                <w:sz w:val="20"/>
                <w:szCs w:val="20"/>
              </w:rPr>
              <w:t>535-2009</w:t>
            </w:r>
          </w:p>
        </w:tc>
        <w:tc>
          <w:tcPr>
            <w:tcW w:w="1909" w:type="dxa"/>
          </w:tcPr>
          <w:p w14:paraId="4167B3D7">
            <w:pPr>
              <w:spacing w:before="97" w:line="237" w:lineRule="auto"/>
              <w:ind w:left="534" w:right="20" w:hanging="42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VIS</w:t>
            </w:r>
            <w:r>
              <w:rPr>
                <w:rFonts w:ascii="Times New Roman" w:hAnsi="Times New Roman" w:eastAsia="Times New Roman" w:cs="Times New Roman"/>
                <w:spacing w:val="-6"/>
                <w:sz w:val="20"/>
                <w:szCs w:val="20"/>
              </w:rPr>
              <w:t>-722</w:t>
            </w:r>
            <w:r>
              <w:rPr>
                <w:rFonts w:ascii="Times New Roman" w:hAnsi="Times New Roman" w:eastAsia="Times New Roman" w:cs="Times New Roman"/>
                <w:spacing w:val="-3"/>
                <w:sz w:val="20"/>
                <w:szCs w:val="20"/>
              </w:rPr>
              <w:t xml:space="preserve">0N  </w:t>
            </w:r>
            <w:r>
              <w:rPr>
                <w:rFonts w:ascii="宋体" w:hAnsi="宋体" w:eastAsia="宋体" w:cs="宋体"/>
                <w:spacing w:val="-3"/>
                <w:sz w:val="20"/>
                <w:szCs w:val="20"/>
              </w:rPr>
              <w:t>分光光度</w:t>
            </w:r>
            <w:r>
              <w:rPr>
                <w:rFonts w:ascii="宋体" w:hAnsi="宋体" w:eastAsia="宋体" w:cs="宋体"/>
                <w:sz w:val="20"/>
                <w:szCs w:val="20"/>
              </w:rPr>
              <w:t xml:space="preserve"> </w:t>
            </w:r>
            <w:r>
              <w:rPr>
                <w:rFonts w:ascii="宋体" w:hAnsi="宋体" w:eastAsia="宋体" w:cs="宋体"/>
                <w:spacing w:val="-8"/>
                <w:sz w:val="20"/>
                <w:szCs w:val="20"/>
              </w:rPr>
              <w:t>计</w:t>
            </w:r>
            <w:r>
              <w:rPr>
                <w:rFonts w:ascii="宋体" w:hAnsi="宋体" w:eastAsia="宋体" w:cs="宋体"/>
                <w:spacing w:val="-5"/>
                <w:sz w:val="20"/>
                <w:szCs w:val="20"/>
              </w:rPr>
              <w:t xml:space="preserve"> </w:t>
            </w:r>
            <w:r>
              <w:rPr>
                <w:rFonts w:ascii="宋体" w:hAnsi="宋体" w:eastAsia="宋体" w:cs="宋体"/>
                <w:spacing w:val="-4"/>
                <w:sz w:val="20"/>
                <w:szCs w:val="20"/>
              </w:rPr>
              <w:t>(</w:t>
            </w:r>
            <w:r>
              <w:rPr>
                <w:rFonts w:ascii="Times New Roman" w:hAnsi="Times New Roman" w:eastAsia="Times New Roman" w:cs="Times New Roman"/>
                <w:spacing w:val="-4"/>
                <w:sz w:val="20"/>
                <w:szCs w:val="20"/>
              </w:rPr>
              <w:t>SY-46</w:t>
            </w:r>
          </w:p>
        </w:tc>
        <w:tc>
          <w:tcPr>
            <w:tcW w:w="1388" w:type="dxa"/>
            <w:tcBorders>
              <w:right w:val="nil"/>
            </w:tcBorders>
          </w:tcPr>
          <w:p w14:paraId="426B07C9">
            <w:pPr>
              <w:spacing w:before="60" w:line="281" w:lineRule="exact"/>
              <w:ind w:left="66"/>
              <w:rPr>
                <w:rFonts w:ascii="Times New Roman" w:hAnsi="Times New Roman" w:eastAsia="Times New Roman" w:cs="Times New Roman"/>
                <w:sz w:val="20"/>
                <w:szCs w:val="20"/>
              </w:rPr>
            </w:pPr>
            <w:r>
              <w:rPr>
                <w:rFonts w:ascii="宋体" w:hAnsi="宋体" w:eastAsia="宋体" w:cs="宋体"/>
                <w:spacing w:val="4"/>
                <w:position w:val="3"/>
                <w:sz w:val="20"/>
                <w:szCs w:val="20"/>
              </w:rPr>
              <w:t xml:space="preserve">) </w:t>
            </w:r>
            <w:r>
              <w:rPr>
                <w:rFonts w:ascii="Times New Roman" w:hAnsi="Times New Roman" w:eastAsia="Times New Roman" w:cs="Times New Roman"/>
                <w:spacing w:val="4"/>
                <w:position w:val="3"/>
                <w:sz w:val="20"/>
                <w:szCs w:val="20"/>
              </w:rPr>
              <w:t>0</w:t>
            </w:r>
            <w:r>
              <w:rPr>
                <w:rFonts w:ascii="Times New Roman" w:hAnsi="Times New Roman" w:eastAsia="Times New Roman" w:cs="Times New Roman"/>
                <w:spacing w:val="2"/>
                <w:position w:val="3"/>
                <w:sz w:val="20"/>
                <w:szCs w:val="20"/>
              </w:rPr>
              <w:t xml:space="preserve">.025 </w:t>
            </w:r>
            <w:r>
              <w:rPr>
                <w:rFonts w:ascii="Times New Roman" w:hAnsi="Times New Roman" w:eastAsia="Times New Roman" w:cs="Times New Roman"/>
                <w:position w:val="3"/>
                <w:sz w:val="20"/>
                <w:szCs w:val="20"/>
              </w:rPr>
              <w:t>mg</w:t>
            </w:r>
            <w:r>
              <w:rPr>
                <w:rFonts w:ascii="Times New Roman" w:hAnsi="Times New Roman" w:eastAsia="Times New Roman" w:cs="Times New Roman"/>
                <w:spacing w:val="2"/>
                <w:position w:val="3"/>
                <w:sz w:val="20"/>
                <w:szCs w:val="20"/>
              </w:rPr>
              <w:t>/</w:t>
            </w:r>
            <w:r>
              <w:rPr>
                <w:rFonts w:ascii="Times New Roman" w:hAnsi="Times New Roman" w:eastAsia="Times New Roman" w:cs="Times New Roman"/>
                <w:position w:val="3"/>
                <w:sz w:val="20"/>
                <w:szCs w:val="20"/>
              </w:rPr>
              <w:t>L</w:t>
            </w:r>
          </w:p>
        </w:tc>
      </w:tr>
      <w:tr w14:paraId="00055D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1035" w:type="dxa"/>
            <w:tcBorders>
              <w:left w:val="nil"/>
            </w:tcBorders>
          </w:tcPr>
          <w:p w14:paraId="3EE713EC">
            <w:pPr>
              <w:spacing w:before="221" w:line="267" w:lineRule="auto"/>
              <w:ind w:left="472" w:right="44" w:hanging="312"/>
              <w:rPr>
                <w:rFonts w:ascii="宋体" w:hAnsi="宋体" w:eastAsia="宋体" w:cs="宋体"/>
                <w:sz w:val="20"/>
                <w:szCs w:val="20"/>
              </w:rPr>
            </w:pPr>
            <w:r>
              <w:rPr>
                <w:rFonts w:ascii="宋体" w:hAnsi="宋体" w:eastAsia="宋体" w:cs="宋体"/>
                <w:spacing w:val="7"/>
                <w:sz w:val="20"/>
                <w:szCs w:val="20"/>
              </w:rPr>
              <w:t>粪大肠</w:t>
            </w:r>
            <w:r>
              <w:rPr>
                <w:rFonts w:ascii="宋体" w:hAnsi="宋体" w:eastAsia="宋体" w:cs="宋体"/>
                <w:spacing w:val="6"/>
                <w:sz w:val="20"/>
                <w:szCs w:val="20"/>
              </w:rPr>
              <w:t>菌</w:t>
            </w:r>
            <w:r>
              <w:rPr>
                <w:rFonts w:ascii="宋体" w:hAnsi="宋体" w:eastAsia="宋体" w:cs="宋体"/>
                <w:sz w:val="20"/>
                <w:szCs w:val="20"/>
              </w:rPr>
              <w:t xml:space="preserve"> 群</w:t>
            </w:r>
          </w:p>
        </w:tc>
        <w:tc>
          <w:tcPr>
            <w:tcW w:w="1770" w:type="dxa"/>
          </w:tcPr>
          <w:p w14:paraId="41F409E5">
            <w:pPr>
              <w:spacing w:line="291" w:lineRule="auto"/>
            </w:pPr>
          </w:p>
          <w:p w14:paraId="4A2C62C5">
            <w:pPr>
              <w:spacing w:before="65" w:line="228" w:lineRule="auto"/>
              <w:ind w:left="391"/>
              <w:rPr>
                <w:rFonts w:ascii="宋体" w:hAnsi="宋体" w:eastAsia="宋体" w:cs="宋体"/>
                <w:sz w:val="20"/>
                <w:szCs w:val="20"/>
              </w:rPr>
            </w:pPr>
            <w:r>
              <w:rPr>
                <w:rFonts w:ascii="宋体" w:hAnsi="宋体" w:eastAsia="宋体" w:cs="宋体"/>
                <w:spacing w:val="6"/>
                <w:sz w:val="20"/>
                <w:szCs w:val="20"/>
              </w:rPr>
              <w:t>多管发酵法</w:t>
            </w:r>
          </w:p>
        </w:tc>
        <w:tc>
          <w:tcPr>
            <w:tcW w:w="3183" w:type="dxa"/>
          </w:tcPr>
          <w:p w14:paraId="23D5EB79">
            <w:pPr>
              <w:spacing w:line="268" w:lineRule="auto"/>
            </w:pPr>
          </w:p>
          <w:p w14:paraId="60B73482">
            <w:pPr>
              <w:spacing w:before="58" w:line="281" w:lineRule="exact"/>
              <w:ind w:left="893"/>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HJ</w:t>
            </w:r>
            <w:r>
              <w:rPr>
                <w:rFonts w:ascii="Times New Roman" w:hAnsi="Times New Roman" w:eastAsia="Times New Roman" w:cs="Times New Roman"/>
                <w:spacing w:val="8"/>
                <w:position w:val="2"/>
                <w:sz w:val="20"/>
                <w:szCs w:val="20"/>
              </w:rPr>
              <w:t>/</w:t>
            </w:r>
            <w:r>
              <w:rPr>
                <w:rFonts w:ascii="Times New Roman" w:hAnsi="Times New Roman" w:eastAsia="Times New Roman" w:cs="Times New Roman"/>
                <w:position w:val="2"/>
                <w:sz w:val="20"/>
                <w:szCs w:val="20"/>
              </w:rPr>
              <w:t>T</w:t>
            </w:r>
            <w:r>
              <w:rPr>
                <w:rFonts w:ascii="Times New Roman" w:hAnsi="Times New Roman" w:eastAsia="Times New Roman" w:cs="Times New Roman"/>
                <w:spacing w:val="5"/>
                <w:position w:val="2"/>
                <w:sz w:val="20"/>
                <w:szCs w:val="20"/>
              </w:rPr>
              <w:t xml:space="preserve"> 347.2-2018</w:t>
            </w:r>
          </w:p>
        </w:tc>
        <w:tc>
          <w:tcPr>
            <w:tcW w:w="1909" w:type="dxa"/>
          </w:tcPr>
          <w:p w14:paraId="6F6637DD">
            <w:pPr>
              <w:spacing w:before="36" w:line="228" w:lineRule="auto"/>
              <w:ind w:left="194"/>
              <w:rPr>
                <w:rFonts w:ascii="宋体" w:hAnsi="宋体" w:eastAsia="宋体" w:cs="宋体"/>
                <w:sz w:val="20"/>
                <w:szCs w:val="20"/>
              </w:rPr>
            </w:pPr>
            <w:r>
              <w:rPr>
                <w:rFonts w:ascii="Times New Roman" w:hAnsi="Times New Roman" w:eastAsia="Times New Roman" w:cs="Times New Roman"/>
                <w:sz w:val="20"/>
                <w:szCs w:val="20"/>
              </w:rPr>
              <w:t>MJX</w:t>
            </w:r>
            <w:r>
              <w:rPr>
                <w:rFonts w:ascii="Times New Roman" w:hAnsi="Times New Roman" w:eastAsia="Times New Roman" w:cs="Times New Roman"/>
                <w:spacing w:val="12"/>
                <w:sz w:val="20"/>
                <w:szCs w:val="20"/>
              </w:rPr>
              <w:t>-</w:t>
            </w:r>
            <w:r>
              <w:rPr>
                <w:rFonts w:ascii="Times New Roman" w:hAnsi="Times New Roman" w:eastAsia="Times New Roman" w:cs="Times New Roman"/>
                <w:spacing w:val="8"/>
                <w:sz w:val="20"/>
                <w:szCs w:val="20"/>
              </w:rPr>
              <w:t>250</w:t>
            </w:r>
            <w:r>
              <w:rPr>
                <w:rFonts w:ascii="Times New Roman" w:hAnsi="Times New Roman" w:eastAsia="Times New Roman" w:cs="Times New Roman"/>
                <w:sz w:val="20"/>
                <w:szCs w:val="20"/>
              </w:rPr>
              <w:t>B</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rPr>
              <w:t>培养箱</w:t>
            </w:r>
          </w:p>
          <w:p w14:paraId="3F7A14EB">
            <w:pPr>
              <w:spacing w:before="24" w:line="248" w:lineRule="auto"/>
              <w:ind w:left="240" w:right="2" w:hanging="57"/>
              <w:rPr>
                <w:rFonts w:ascii="宋体" w:hAnsi="宋体" w:eastAsia="宋体" w:cs="宋体"/>
                <w:sz w:val="20"/>
                <w:szCs w:val="20"/>
              </w:rPr>
            </w:pPr>
            <w:r>
              <w:rPr>
                <w:rFonts w:ascii="宋体" w:hAnsi="宋体" w:eastAsia="宋体" w:cs="宋体"/>
                <w:spacing w:val="18"/>
                <w:sz w:val="20"/>
                <w:szCs w:val="20"/>
              </w:rPr>
              <w:t>(</w:t>
            </w:r>
            <w:r>
              <w:rPr>
                <w:rFonts w:ascii="Times New Roman" w:hAnsi="Times New Roman" w:eastAsia="Times New Roman" w:cs="Times New Roman"/>
                <w:sz w:val="20"/>
                <w:szCs w:val="20"/>
              </w:rPr>
              <w:t>SY</w:t>
            </w:r>
            <w:r>
              <w:rPr>
                <w:rFonts w:ascii="Times New Roman" w:hAnsi="Times New Roman" w:eastAsia="Times New Roman" w:cs="Times New Roman"/>
                <w:spacing w:val="16"/>
                <w:sz w:val="20"/>
                <w:szCs w:val="20"/>
              </w:rPr>
              <w:t>-63</w:t>
            </w:r>
            <w:r>
              <w:rPr>
                <w:rFonts w:ascii="宋体" w:hAnsi="宋体" w:eastAsia="宋体" w:cs="宋体"/>
                <w:spacing w:val="16"/>
                <w:sz w:val="20"/>
                <w:szCs w:val="20"/>
              </w:rPr>
              <w:t xml:space="preserve">) </w:t>
            </w:r>
            <w:r>
              <w:rPr>
                <w:rFonts w:ascii="Times New Roman" w:hAnsi="Times New Roman" w:eastAsia="Times New Roman" w:cs="Times New Roman"/>
                <w:sz w:val="20"/>
                <w:szCs w:val="20"/>
              </w:rPr>
              <w:t>MJP</w:t>
            </w:r>
            <w:r>
              <w:rPr>
                <w:rFonts w:ascii="Times New Roman" w:hAnsi="Times New Roman" w:eastAsia="Times New Roman" w:cs="Times New Roman"/>
                <w:spacing w:val="16"/>
                <w:sz w:val="20"/>
                <w:szCs w:val="20"/>
              </w:rPr>
              <w:t>-250</w:t>
            </w:r>
            <w:r>
              <w:rPr>
                <w:rFonts w:ascii="Times New Roman" w:hAnsi="Times New Roman" w:eastAsia="Times New Roman" w:cs="Times New Roman"/>
                <w:sz w:val="20"/>
                <w:szCs w:val="20"/>
              </w:rPr>
              <w:t xml:space="preserve"> </w:t>
            </w:r>
            <w:r>
              <w:rPr>
                <w:rFonts w:ascii="宋体" w:hAnsi="宋体" w:eastAsia="宋体" w:cs="宋体"/>
                <w:spacing w:val="6"/>
                <w:sz w:val="20"/>
                <w:szCs w:val="20"/>
              </w:rPr>
              <w:t>培养箱 (</w:t>
            </w:r>
            <w:r>
              <w:rPr>
                <w:rFonts w:ascii="Times New Roman" w:hAnsi="Times New Roman" w:eastAsia="Times New Roman" w:cs="Times New Roman"/>
                <w:sz w:val="20"/>
                <w:szCs w:val="20"/>
              </w:rPr>
              <w:t>SY</w:t>
            </w:r>
            <w:r>
              <w:rPr>
                <w:rFonts w:ascii="Times New Roman" w:hAnsi="Times New Roman" w:eastAsia="Times New Roman" w:cs="Times New Roman"/>
                <w:spacing w:val="6"/>
                <w:sz w:val="20"/>
                <w:szCs w:val="20"/>
              </w:rPr>
              <w:t>-26</w:t>
            </w:r>
            <w:r>
              <w:rPr>
                <w:rFonts w:ascii="宋体" w:hAnsi="宋体" w:eastAsia="宋体" w:cs="宋体"/>
                <w:spacing w:val="6"/>
                <w:sz w:val="20"/>
                <w:szCs w:val="20"/>
              </w:rPr>
              <w:t>)</w:t>
            </w:r>
          </w:p>
        </w:tc>
        <w:tc>
          <w:tcPr>
            <w:tcW w:w="1388" w:type="dxa"/>
            <w:tcBorders>
              <w:right w:val="nil"/>
            </w:tcBorders>
          </w:tcPr>
          <w:p w14:paraId="49814A1F">
            <w:pPr>
              <w:spacing w:before="97" w:line="281" w:lineRule="exact"/>
              <w:ind w:left="180"/>
              <w:rPr>
                <w:rFonts w:ascii="Times New Roman" w:hAnsi="Times New Roman" w:eastAsia="Times New Roman" w:cs="Times New Roman"/>
                <w:sz w:val="20"/>
                <w:szCs w:val="20"/>
              </w:rPr>
            </w:pPr>
            <w:r>
              <w:rPr>
                <w:rFonts w:ascii="Times New Roman" w:hAnsi="Times New Roman" w:eastAsia="Times New Roman" w:cs="Times New Roman"/>
                <w:spacing w:val="12"/>
                <w:position w:val="2"/>
                <w:sz w:val="20"/>
                <w:szCs w:val="20"/>
              </w:rPr>
              <w:t>2</w:t>
            </w:r>
            <w:r>
              <w:rPr>
                <w:rFonts w:ascii="Times New Roman" w:hAnsi="Times New Roman" w:eastAsia="Times New Roman" w:cs="Times New Roman"/>
                <w:spacing w:val="11"/>
                <w:position w:val="2"/>
                <w:sz w:val="20"/>
                <w:szCs w:val="20"/>
              </w:rPr>
              <w:t>0</w:t>
            </w:r>
            <w:r>
              <w:rPr>
                <w:rFonts w:ascii="Times New Roman" w:hAnsi="Times New Roman" w:eastAsia="Times New Roman" w:cs="Times New Roman"/>
                <w:position w:val="2"/>
                <w:sz w:val="20"/>
                <w:szCs w:val="20"/>
              </w:rPr>
              <w:t>MPN</w:t>
            </w:r>
            <w:r>
              <w:rPr>
                <w:rFonts w:ascii="Times New Roman" w:hAnsi="Times New Roman" w:eastAsia="Times New Roman" w:cs="Times New Roman"/>
                <w:spacing w:val="11"/>
                <w:position w:val="2"/>
                <w:sz w:val="20"/>
                <w:szCs w:val="20"/>
              </w:rPr>
              <w:t>/</w:t>
            </w:r>
            <w:r>
              <w:rPr>
                <w:rFonts w:ascii="Times New Roman" w:hAnsi="Times New Roman" w:eastAsia="Times New Roman" w:cs="Times New Roman"/>
                <w:position w:val="2"/>
                <w:sz w:val="20"/>
                <w:szCs w:val="20"/>
              </w:rPr>
              <w:t>L</w:t>
            </w:r>
          </w:p>
        </w:tc>
      </w:tr>
    </w:tbl>
    <w:p w14:paraId="68DE1A74">
      <w:pPr>
        <w:spacing w:before="38" w:line="226" w:lineRule="auto"/>
        <w:ind w:left="81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6</w:t>
      </w:r>
      <w:r>
        <w:rPr>
          <w:rFonts w:ascii="宋体" w:hAnsi="宋体" w:eastAsia="宋体" w:cs="宋体"/>
          <w:spacing w:val="20"/>
          <w:sz w:val="23"/>
          <w:szCs w:val="23"/>
        </w:rPr>
        <w:t>) 评价方</w:t>
      </w:r>
      <w:r>
        <w:rPr>
          <w:rFonts w:ascii="宋体" w:hAnsi="宋体" w:eastAsia="宋体" w:cs="宋体"/>
          <w:spacing w:val="19"/>
          <w:sz w:val="23"/>
          <w:szCs w:val="23"/>
        </w:rPr>
        <w:t>法</w:t>
      </w:r>
    </w:p>
    <w:p w14:paraId="2BA9B7A6">
      <w:pPr>
        <w:spacing w:before="141" w:line="386" w:lineRule="auto"/>
        <w:ind w:left="321" w:right="324" w:firstLine="478"/>
        <w:rPr>
          <w:rFonts w:ascii="宋体" w:hAnsi="宋体" w:eastAsia="宋体" w:cs="宋体"/>
          <w:sz w:val="23"/>
          <w:szCs w:val="23"/>
        </w:rPr>
      </w:pPr>
      <w:r>
        <w:rPr>
          <w:rFonts w:ascii="宋体" w:hAnsi="宋体" w:eastAsia="宋体" w:cs="宋体"/>
          <w:spacing w:val="10"/>
          <w:sz w:val="23"/>
          <w:szCs w:val="23"/>
        </w:rPr>
        <w:t>采用《环</w:t>
      </w:r>
      <w:r>
        <w:rPr>
          <w:rFonts w:ascii="宋体" w:hAnsi="宋体" w:eastAsia="宋体" w:cs="宋体"/>
          <w:spacing w:val="8"/>
          <w:sz w:val="23"/>
          <w:szCs w:val="23"/>
        </w:rPr>
        <w:t>境</w:t>
      </w:r>
      <w:r>
        <w:rPr>
          <w:rFonts w:ascii="宋体" w:hAnsi="宋体" w:eastAsia="宋体" w:cs="宋体"/>
          <w:spacing w:val="5"/>
          <w:sz w:val="23"/>
          <w:szCs w:val="23"/>
        </w:rPr>
        <w:t>影响评价技术导则  地面水环境》 (</w:t>
      </w:r>
      <w:r>
        <w:rPr>
          <w:rFonts w:ascii="Times New Roman" w:hAnsi="Times New Roman" w:eastAsia="Times New Roman" w:cs="Times New Roman"/>
          <w:sz w:val="23"/>
          <w:szCs w:val="23"/>
        </w:rPr>
        <w:t>HJ</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5"/>
          <w:sz w:val="23"/>
          <w:szCs w:val="23"/>
        </w:rPr>
        <w:t>2.3-2018</w:t>
      </w:r>
      <w:r>
        <w:rPr>
          <w:rFonts w:ascii="宋体" w:hAnsi="宋体" w:eastAsia="宋体" w:cs="宋体"/>
          <w:spacing w:val="5"/>
          <w:sz w:val="23"/>
          <w:szCs w:val="23"/>
        </w:rPr>
        <w:t>) 所推荐的单项水</w:t>
      </w:r>
      <w:r>
        <w:rPr>
          <w:rFonts w:ascii="宋体" w:hAnsi="宋体" w:eastAsia="宋体" w:cs="宋体"/>
          <w:sz w:val="23"/>
          <w:szCs w:val="23"/>
        </w:rPr>
        <w:t xml:space="preserve"> </w:t>
      </w:r>
      <w:r>
        <w:rPr>
          <w:rFonts w:ascii="宋体" w:hAnsi="宋体" w:eastAsia="宋体" w:cs="宋体"/>
          <w:spacing w:val="9"/>
          <w:sz w:val="23"/>
          <w:szCs w:val="23"/>
        </w:rPr>
        <w:t>质参数评价法进行评价。计算公式如下</w:t>
      </w:r>
      <w:r>
        <w:rPr>
          <w:rFonts w:ascii="宋体" w:hAnsi="宋体" w:eastAsia="宋体" w:cs="宋体"/>
          <w:spacing w:val="6"/>
          <w:sz w:val="23"/>
          <w:szCs w:val="23"/>
        </w:rPr>
        <w:t>：</w:t>
      </w:r>
    </w:p>
    <w:p w14:paraId="28F72509">
      <w:pPr>
        <w:spacing w:before="15" w:line="225" w:lineRule="auto"/>
        <w:ind w:left="799"/>
        <w:rPr>
          <w:rFonts w:ascii="宋体" w:hAnsi="宋体" w:eastAsia="宋体" w:cs="宋体"/>
          <w:sz w:val="23"/>
          <w:szCs w:val="23"/>
        </w:rPr>
      </w:pPr>
      <w:r>
        <w:rPr>
          <w:rFonts w:ascii="宋体" w:hAnsi="宋体" w:eastAsia="宋体" w:cs="宋体"/>
          <w:spacing w:val="9"/>
          <w:sz w:val="23"/>
          <w:szCs w:val="23"/>
        </w:rPr>
        <w:t>① 一般水质因子的标准指</w:t>
      </w:r>
      <w:r>
        <w:rPr>
          <w:rFonts w:ascii="宋体" w:hAnsi="宋体" w:eastAsia="宋体" w:cs="宋体"/>
          <w:spacing w:val="8"/>
          <w:sz w:val="23"/>
          <w:szCs w:val="23"/>
        </w:rPr>
        <w:t>数</w:t>
      </w:r>
    </w:p>
    <w:p w14:paraId="2C5499EB">
      <w:pPr>
        <w:sectPr>
          <w:headerReference r:id="rId157" w:type="default"/>
          <w:footerReference r:id="rId158" w:type="default"/>
          <w:pgSz w:w="11907" w:h="16840"/>
          <w:pgMar w:top="400" w:right="1250" w:bottom="1485" w:left="1350" w:header="0" w:footer="1298" w:gutter="0"/>
          <w:cols w:space="720" w:num="1"/>
        </w:sectPr>
      </w:pPr>
    </w:p>
    <w:p w14:paraId="44A1A96F">
      <w:pPr>
        <w:spacing w:line="417" w:lineRule="exact"/>
        <w:ind w:left="2430"/>
        <w:rPr>
          <w:rFonts w:ascii="Times New Roman" w:hAnsi="Times New Roman" w:eastAsia="Times New Roman" w:cs="Times New Roman"/>
          <w:sz w:val="23"/>
          <w:szCs w:val="23"/>
        </w:rPr>
      </w:pPr>
      <w:r>
        <w:pict>
          <v:shape id="_x0000_s2096" o:spid="_x0000_s2096" o:spt="202" type="#_x0000_t202" style="position:absolute;left:0pt;margin-left:127.45pt;margin-top:6.95pt;height:11.25pt;width:62.25pt;z-index:251724800;mso-width-relative:page;mso-height-relative:page;" filled="f" stroked="f" coordsize="21600,21600">
            <v:path/>
            <v:fill on="f" focussize="0,0"/>
            <v:stroke on="f" joinstyle="miter"/>
            <v:imagedata o:title=""/>
            <o:lock v:ext="edit"/>
            <v:textbox inset="0mm,0mm,0mm,0mm">
              <w:txbxContent>
                <w:p w14:paraId="5898D3DF">
                  <w:pPr>
                    <w:spacing w:before="20" w:line="184" w:lineRule="exact"/>
                    <w:ind w:left="20"/>
                    <w:rPr>
                      <w:rFonts w:ascii="Times New Roman" w:hAnsi="Times New Roman" w:eastAsia="Times New Roman" w:cs="Times New Roman"/>
                      <w:sz w:val="13"/>
                      <w:szCs w:val="13"/>
                    </w:rPr>
                  </w:pPr>
                  <w:r>
                    <w:rPr>
                      <w:rFonts w:ascii="Times New Roman" w:hAnsi="Times New Roman" w:eastAsia="Times New Roman" w:cs="Times New Roman"/>
                      <w:i/>
                      <w:iCs/>
                      <w:position w:val="3"/>
                      <w:sz w:val="13"/>
                      <w:szCs w:val="13"/>
                    </w:rPr>
                    <w:t>i</w:t>
                  </w:r>
                  <w:r>
                    <w:rPr>
                      <w:rFonts w:ascii="Times New Roman" w:hAnsi="Times New Roman" w:eastAsia="Times New Roman" w:cs="Times New Roman"/>
                      <w:spacing w:val="4"/>
                      <w:position w:val="3"/>
                      <w:sz w:val="13"/>
                      <w:szCs w:val="13"/>
                    </w:rPr>
                    <w:t xml:space="preserve"> ,</w:t>
                  </w:r>
                  <w:r>
                    <w:rPr>
                      <w:rFonts w:ascii="Times New Roman" w:hAnsi="Times New Roman" w:eastAsia="Times New Roman" w:cs="Times New Roman"/>
                      <w:i/>
                      <w:iCs/>
                      <w:position w:val="3"/>
                      <w:sz w:val="13"/>
                      <w:szCs w:val="13"/>
                    </w:rPr>
                    <w:t>j</w:t>
                  </w:r>
                  <w:r>
                    <w:rPr>
                      <w:rFonts w:ascii="Times New Roman" w:hAnsi="Times New Roman" w:eastAsia="Times New Roman" w:cs="Times New Roman"/>
                      <w:spacing w:val="4"/>
                      <w:position w:val="3"/>
                      <w:sz w:val="13"/>
                      <w:szCs w:val="13"/>
                    </w:rPr>
                    <w:t xml:space="preserve"> </w:t>
                  </w:r>
                  <w:r>
                    <w:rPr>
                      <w:rFonts w:ascii="Times New Roman" w:hAnsi="Times New Roman" w:eastAsia="Times New Roman" w:cs="Times New Roman"/>
                      <w:spacing w:val="3"/>
                      <w:position w:val="3"/>
                      <w:sz w:val="13"/>
                      <w:szCs w:val="13"/>
                    </w:rPr>
                    <w:t xml:space="preserve"> </w:t>
                  </w:r>
                  <w:r>
                    <w:rPr>
                      <w:rFonts w:ascii="Times New Roman" w:hAnsi="Times New Roman" w:eastAsia="Times New Roman" w:cs="Times New Roman"/>
                      <w:spacing w:val="2"/>
                      <w:position w:val="3"/>
                      <w:sz w:val="13"/>
                      <w:szCs w:val="13"/>
                    </w:rPr>
                    <w:t xml:space="preserve">            </w:t>
                  </w:r>
                  <w:r>
                    <w:rPr>
                      <w:rFonts w:ascii="Times New Roman" w:hAnsi="Times New Roman" w:eastAsia="Times New Roman" w:cs="Times New Roman"/>
                      <w:i/>
                      <w:iCs/>
                      <w:position w:val="3"/>
                      <w:sz w:val="13"/>
                      <w:szCs w:val="13"/>
                    </w:rPr>
                    <w:t>i</w:t>
                  </w:r>
                  <w:r>
                    <w:rPr>
                      <w:rFonts w:ascii="Times New Roman" w:hAnsi="Times New Roman" w:eastAsia="Times New Roman" w:cs="Times New Roman"/>
                      <w:spacing w:val="2"/>
                      <w:position w:val="3"/>
                      <w:sz w:val="13"/>
                      <w:szCs w:val="13"/>
                    </w:rPr>
                    <w:t xml:space="preserve"> ,</w:t>
                  </w:r>
                  <w:r>
                    <w:rPr>
                      <w:rFonts w:ascii="Times New Roman" w:hAnsi="Times New Roman" w:eastAsia="Times New Roman" w:cs="Times New Roman"/>
                      <w:i/>
                      <w:iCs/>
                      <w:position w:val="3"/>
                      <w:sz w:val="13"/>
                      <w:szCs w:val="13"/>
                    </w:rPr>
                    <w:t>j</w:t>
                  </w:r>
                  <w:r>
                    <w:rPr>
                      <w:rFonts w:ascii="Times New Roman" w:hAnsi="Times New Roman" w:eastAsia="Times New Roman" w:cs="Times New Roman"/>
                      <w:spacing w:val="2"/>
                      <w:position w:val="3"/>
                      <w:sz w:val="13"/>
                      <w:szCs w:val="13"/>
                    </w:rPr>
                    <w:t xml:space="preserve">          </w:t>
                  </w:r>
                  <w:r>
                    <w:rPr>
                      <w:rFonts w:ascii="Times New Roman" w:hAnsi="Times New Roman" w:eastAsia="Times New Roman" w:cs="Times New Roman"/>
                      <w:i/>
                      <w:iCs/>
                      <w:position w:val="3"/>
                      <w:sz w:val="13"/>
                      <w:szCs w:val="13"/>
                    </w:rPr>
                    <w:t>si</w:t>
                  </w:r>
                </w:p>
              </w:txbxContent>
            </v:textbox>
          </v:shape>
        </w:pict>
      </w:r>
      <w:r>
        <w:rPr>
          <w:rFonts w:ascii="Times New Roman" w:hAnsi="Times New Roman" w:eastAsia="Times New Roman" w:cs="Times New Roman"/>
          <w:i/>
          <w:iCs/>
          <w:position w:val="5"/>
          <w:sz w:val="23"/>
          <w:szCs w:val="23"/>
        </w:rPr>
        <w:t>S</w:t>
      </w:r>
      <w:r>
        <w:rPr>
          <w:rFonts w:ascii="Times New Roman" w:hAnsi="Times New Roman" w:eastAsia="Times New Roman" w:cs="Times New Roman"/>
          <w:spacing w:val="1"/>
          <w:position w:val="5"/>
          <w:sz w:val="23"/>
          <w:szCs w:val="23"/>
        </w:rPr>
        <w:t xml:space="preserve">    </w:t>
      </w:r>
      <w:r>
        <w:rPr>
          <w:rFonts w:ascii="微软雅黑" w:hAnsi="微软雅黑" w:eastAsia="微软雅黑" w:cs="微软雅黑"/>
          <w:position w:val="5"/>
          <w:sz w:val="23"/>
          <w:szCs w:val="23"/>
        </w:rPr>
        <w:t xml:space="preserve">= </w:t>
      </w:r>
      <w:r>
        <w:rPr>
          <w:rFonts w:ascii="Times New Roman" w:hAnsi="Times New Roman" w:eastAsia="Times New Roman" w:cs="Times New Roman"/>
          <w:i/>
          <w:iCs/>
          <w:position w:val="5"/>
          <w:sz w:val="23"/>
          <w:szCs w:val="23"/>
        </w:rPr>
        <w:t>C</w:t>
      </w:r>
      <w:r>
        <w:rPr>
          <w:rFonts w:ascii="Times New Roman" w:hAnsi="Times New Roman" w:eastAsia="Times New Roman" w:cs="Times New Roman"/>
          <w:position w:val="5"/>
          <w:sz w:val="23"/>
          <w:szCs w:val="23"/>
        </w:rPr>
        <w:t xml:space="preserve">    / </w:t>
      </w:r>
      <w:r>
        <w:rPr>
          <w:rFonts w:ascii="Times New Roman" w:hAnsi="Times New Roman" w:eastAsia="Times New Roman" w:cs="Times New Roman"/>
          <w:i/>
          <w:iCs/>
          <w:position w:val="5"/>
          <w:sz w:val="23"/>
          <w:szCs w:val="23"/>
        </w:rPr>
        <w:t>C</w:t>
      </w:r>
    </w:p>
    <w:p w14:paraId="08EDD1BB">
      <w:pPr>
        <w:spacing w:before="136" w:line="237" w:lineRule="auto"/>
        <w:ind w:left="600"/>
        <w:rPr>
          <w:rFonts w:ascii="宋体" w:hAnsi="宋体" w:eastAsia="宋体" w:cs="宋体"/>
          <w:sz w:val="23"/>
          <w:szCs w:val="23"/>
        </w:rPr>
      </w:pPr>
      <w:r>
        <w:rPr>
          <w:rFonts w:ascii="宋体" w:hAnsi="宋体" w:eastAsia="宋体" w:cs="宋体"/>
          <w:spacing w:val="9"/>
          <w:sz w:val="23"/>
          <w:szCs w:val="23"/>
        </w:rPr>
        <w:t>上式中：</w:t>
      </w:r>
      <w:r>
        <w:rPr>
          <w:rFonts w:ascii="Times New Roman" w:hAnsi="Times New Roman" w:eastAsia="Times New Roman" w:cs="Times New Roman"/>
          <w:sz w:val="23"/>
          <w:szCs w:val="23"/>
        </w:rPr>
        <w:t>S</w:t>
      </w:r>
      <w:r>
        <w:rPr>
          <w:rFonts w:ascii="Times New Roman" w:hAnsi="Times New Roman" w:eastAsia="Times New Roman" w:cs="Times New Roman"/>
          <w:position w:val="-1"/>
          <w:sz w:val="15"/>
          <w:szCs w:val="15"/>
        </w:rPr>
        <w:t>i</w:t>
      </w:r>
      <w:r>
        <w:rPr>
          <w:rFonts w:ascii="宋体" w:hAnsi="宋体" w:eastAsia="宋体" w:cs="宋体"/>
          <w:spacing w:val="9"/>
          <w:position w:val="-3"/>
          <w:sz w:val="11"/>
          <w:szCs w:val="11"/>
        </w:rPr>
        <w:t>，</w:t>
      </w:r>
      <w:r>
        <w:rPr>
          <w:rFonts w:ascii="Times New Roman" w:hAnsi="Times New Roman" w:eastAsia="Times New Roman" w:cs="Times New Roman"/>
          <w:position w:val="-1"/>
          <w:sz w:val="15"/>
          <w:szCs w:val="15"/>
        </w:rPr>
        <w:t>j</w:t>
      </w:r>
      <w:r>
        <w:rPr>
          <w:rFonts w:ascii="Times New Roman" w:hAnsi="Times New Roman" w:eastAsia="Times New Roman" w:cs="Times New Roman"/>
          <w:spacing w:val="9"/>
          <w:sz w:val="23"/>
          <w:szCs w:val="23"/>
        </w:rPr>
        <w:t>——</w:t>
      </w:r>
      <w:r>
        <w:rPr>
          <w:rFonts w:ascii="宋体" w:hAnsi="宋体" w:eastAsia="宋体" w:cs="宋体"/>
          <w:spacing w:val="9"/>
          <w:sz w:val="23"/>
          <w:szCs w:val="23"/>
        </w:rPr>
        <w:t>浓度指数</w:t>
      </w:r>
      <w:r>
        <w:rPr>
          <w:rFonts w:ascii="宋体" w:hAnsi="宋体" w:eastAsia="宋体" w:cs="宋体"/>
          <w:spacing w:val="6"/>
          <w:sz w:val="23"/>
          <w:szCs w:val="23"/>
        </w:rPr>
        <w:t>；</w:t>
      </w:r>
    </w:p>
    <w:p w14:paraId="2693B493">
      <w:pPr>
        <w:spacing w:before="127" w:line="468" w:lineRule="exact"/>
        <w:ind w:left="1557"/>
        <w:rPr>
          <w:rFonts w:ascii="宋体" w:hAnsi="宋体" w:eastAsia="宋体" w:cs="宋体"/>
          <w:sz w:val="23"/>
          <w:szCs w:val="23"/>
        </w:rPr>
      </w:pPr>
      <w:r>
        <w:rPr>
          <w:rFonts w:ascii="Times New Roman" w:hAnsi="Times New Roman" w:eastAsia="Times New Roman" w:cs="Times New Roman"/>
          <w:position w:val="14"/>
          <w:sz w:val="23"/>
          <w:szCs w:val="23"/>
        </w:rPr>
        <w:t>C</w:t>
      </w:r>
      <w:r>
        <w:rPr>
          <w:rFonts w:ascii="Times New Roman" w:hAnsi="Times New Roman" w:eastAsia="Times New Roman" w:cs="Times New Roman"/>
          <w:position w:val="13"/>
          <w:sz w:val="15"/>
          <w:szCs w:val="15"/>
        </w:rPr>
        <w:t>i</w:t>
      </w:r>
      <w:r>
        <w:rPr>
          <w:rFonts w:ascii="宋体" w:hAnsi="宋体" w:eastAsia="宋体" w:cs="宋体"/>
          <w:spacing w:val="10"/>
          <w:position w:val="11"/>
          <w:sz w:val="11"/>
          <w:szCs w:val="11"/>
        </w:rPr>
        <w:t>，</w:t>
      </w:r>
      <w:r>
        <w:rPr>
          <w:rFonts w:ascii="Times New Roman" w:hAnsi="Times New Roman" w:eastAsia="Times New Roman" w:cs="Times New Roman"/>
          <w:position w:val="13"/>
          <w:sz w:val="15"/>
          <w:szCs w:val="15"/>
        </w:rPr>
        <w:t>j</w:t>
      </w:r>
      <w:r>
        <w:rPr>
          <w:rFonts w:ascii="Times New Roman" w:hAnsi="Times New Roman" w:eastAsia="Times New Roman" w:cs="Times New Roman"/>
          <w:spacing w:val="10"/>
          <w:position w:val="14"/>
          <w:sz w:val="23"/>
          <w:szCs w:val="23"/>
        </w:rPr>
        <w:t>——</w:t>
      </w:r>
      <w:r>
        <w:rPr>
          <w:rFonts w:ascii="宋体" w:hAnsi="宋体" w:eastAsia="宋体" w:cs="宋体"/>
          <w:spacing w:val="10"/>
          <w:position w:val="14"/>
          <w:sz w:val="23"/>
          <w:szCs w:val="23"/>
        </w:rPr>
        <w:t>实测值，</w:t>
      </w:r>
      <w:r>
        <w:rPr>
          <w:rFonts w:ascii="Times New Roman" w:hAnsi="Times New Roman" w:eastAsia="Times New Roman" w:cs="Times New Roman"/>
          <w:position w:val="14"/>
          <w:sz w:val="23"/>
          <w:szCs w:val="23"/>
        </w:rPr>
        <w:t>mg</w:t>
      </w:r>
      <w:r>
        <w:rPr>
          <w:rFonts w:ascii="Times New Roman" w:hAnsi="Times New Roman" w:eastAsia="Times New Roman" w:cs="Times New Roman"/>
          <w:spacing w:val="10"/>
          <w:position w:val="14"/>
          <w:sz w:val="23"/>
          <w:szCs w:val="23"/>
        </w:rPr>
        <w:t>/</w:t>
      </w:r>
      <w:r>
        <w:rPr>
          <w:rFonts w:ascii="Times New Roman" w:hAnsi="Times New Roman" w:eastAsia="Times New Roman" w:cs="Times New Roman"/>
          <w:position w:val="14"/>
          <w:sz w:val="23"/>
          <w:szCs w:val="23"/>
        </w:rPr>
        <w:t>L</w:t>
      </w:r>
      <w:r>
        <w:rPr>
          <w:rFonts w:ascii="宋体" w:hAnsi="宋体" w:eastAsia="宋体" w:cs="宋体"/>
          <w:spacing w:val="9"/>
          <w:position w:val="14"/>
          <w:sz w:val="23"/>
          <w:szCs w:val="23"/>
        </w:rPr>
        <w:t>；</w:t>
      </w:r>
    </w:p>
    <w:p w14:paraId="0B832361">
      <w:pPr>
        <w:spacing w:line="322" w:lineRule="exact"/>
        <w:ind w:left="1557"/>
        <w:rPr>
          <w:rFonts w:ascii="宋体" w:hAnsi="宋体" w:eastAsia="宋体" w:cs="宋体"/>
          <w:sz w:val="23"/>
          <w:szCs w:val="23"/>
        </w:rPr>
      </w:pPr>
      <w:r>
        <w:rPr>
          <w:rFonts w:ascii="Times New Roman" w:hAnsi="Times New Roman" w:eastAsia="Times New Roman" w:cs="Times New Roman"/>
          <w:position w:val="3"/>
          <w:sz w:val="23"/>
          <w:szCs w:val="23"/>
        </w:rPr>
        <w:t>C</w:t>
      </w:r>
      <w:r>
        <w:rPr>
          <w:rFonts w:ascii="Times New Roman" w:hAnsi="Times New Roman" w:eastAsia="Times New Roman" w:cs="Times New Roman"/>
          <w:position w:val="2"/>
          <w:sz w:val="15"/>
          <w:szCs w:val="15"/>
        </w:rPr>
        <w:t>si</w:t>
      </w:r>
      <w:r>
        <w:rPr>
          <w:rFonts w:ascii="Times New Roman" w:hAnsi="Times New Roman" w:eastAsia="Times New Roman" w:cs="Times New Roman"/>
          <w:spacing w:val="10"/>
          <w:position w:val="3"/>
          <w:sz w:val="23"/>
          <w:szCs w:val="23"/>
        </w:rPr>
        <w:t>——</w:t>
      </w:r>
      <w:r>
        <w:rPr>
          <w:rFonts w:ascii="宋体" w:hAnsi="宋体" w:eastAsia="宋体" w:cs="宋体"/>
          <w:spacing w:val="10"/>
          <w:position w:val="3"/>
          <w:sz w:val="23"/>
          <w:szCs w:val="23"/>
        </w:rPr>
        <w:t>标准值，</w:t>
      </w:r>
      <w:r>
        <w:rPr>
          <w:rFonts w:ascii="Times New Roman" w:hAnsi="Times New Roman" w:eastAsia="Times New Roman" w:cs="Times New Roman"/>
          <w:position w:val="3"/>
          <w:sz w:val="23"/>
          <w:szCs w:val="23"/>
        </w:rPr>
        <w:t>mg</w:t>
      </w:r>
      <w:r>
        <w:rPr>
          <w:rFonts w:ascii="Times New Roman" w:hAnsi="Times New Roman" w:eastAsia="Times New Roman" w:cs="Times New Roman"/>
          <w:spacing w:val="10"/>
          <w:position w:val="3"/>
          <w:sz w:val="23"/>
          <w:szCs w:val="23"/>
        </w:rPr>
        <w:t>/</w:t>
      </w:r>
      <w:r>
        <w:rPr>
          <w:rFonts w:ascii="Times New Roman" w:hAnsi="Times New Roman" w:eastAsia="Times New Roman" w:cs="Times New Roman"/>
          <w:position w:val="3"/>
          <w:sz w:val="23"/>
          <w:szCs w:val="23"/>
        </w:rPr>
        <w:t>L</w:t>
      </w:r>
      <w:r>
        <w:rPr>
          <w:rFonts w:ascii="宋体" w:hAnsi="宋体" w:eastAsia="宋体" w:cs="宋体"/>
          <w:spacing w:val="9"/>
          <w:position w:val="3"/>
          <w:sz w:val="23"/>
          <w:szCs w:val="23"/>
        </w:rPr>
        <w:t>；</w:t>
      </w:r>
    </w:p>
    <w:p w14:paraId="40F0E7A7">
      <w:pPr>
        <w:spacing w:before="188" w:line="219" w:lineRule="auto"/>
        <w:ind w:left="596"/>
        <w:rPr>
          <w:rFonts w:ascii="宋体" w:hAnsi="宋体" w:eastAsia="宋体" w:cs="宋体"/>
          <w:sz w:val="23"/>
          <w:szCs w:val="23"/>
        </w:rPr>
      </w:pPr>
      <w:r>
        <w:rPr>
          <w:rFonts w:ascii="宋体" w:hAnsi="宋体" w:eastAsia="宋体" w:cs="宋体"/>
          <w:spacing w:val="2"/>
          <w:sz w:val="23"/>
          <w:szCs w:val="23"/>
        </w:rPr>
        <w:t xml:space="preserve">② </w:t>
      </w:r>
      <w:r>
        <w:rPr>
          <w:rFonts w:ascii="Times New Roman" w:hAnsi="Times New Roman" w:eastAsia="Times New Roman" w:cs="Times New Roman"/>
          <w:sz w:val="23"/>
          <w:szCs w:val="23"/>
        </w:rPr>
        <w:t>pH</w:t>
      </w:r>
      <w:r>
        <w:rPr>
          <w:rFonts w:ascii="Times New Roman" w:hAnsi="Times New Roman" w:eastAsia="Times New Roman" w:cs="Times New Roman"/>
          <w:spacing w:val="2"/>
          <w:sz w:val="23"/>
          <w:szCs w:val="23"/>
        </w:rPr>
        <w:t xml:space="preserve"> </w:t>
      </w:r>
      <w:r>
        <w:rPr>
          <w:rFonts w:ascii="宋体" w:hAnsi="宋体" w:eastAsia="宋体" w:cs="宋体"/>
          <w:spacing w:val="1"/>
          <w:sz w:val="23"/>
          <w:szCs w:val="23"/>
        </w:rPr>
        <w:t>的标准指数</w:t>
      </w:r>
    </w:p>
    <w:p w14:paraId="74F3B9F9">
      <w:pPr>
        <w:spacing w:line="77" w:lineRule="exact"/>
      </w:pPr>
    </w:p>
    <w:p w14:paraId="45326A29">
      <w:pPr>
        <w:sectPr>
          <w:headerReference r:id="rId159" w:type="default"/>
          <w:footerReference r:id="rId160" w:type="default"/>
          <w:pgSz w:w="11907" w:h="16840"/>
          <w:pgMar w:top="1153" w:right="1066" w:bottom="1485" w:left="1551" w:header="919" w:footer="1298" w:gutter="0"/>
          <w:cols w:equalWidth="0" w:num="1">
            <w:col w:w="9288"/>
          </w:cols>
        </w:sectPr>
      </w:pPr>
    </w:p>
    <w:p w14:paraId="3A1F8588">
      <w:pPr>
        <w:spacing w:before="70" w:line="323" w:lineRule="auto"/>
        <w:ind w:left="2154" w:right="627" w:firstLine="275"/>
        <w:rPr>
          <w:rFonts w:ascii="Times New Roman" w:hAnsi="Times New Roman" w:eastAsia="Times New Roman" w:cs="Times New Roman"/>
          <w:sz w:val="23"/>
          <w:szCs w:val="23"/>
        </w:rPr>
      </w:pPr>
      <w:r>
        <w:rPr>
          <w:rFonts w:ascii="Times New Roman" w:hAnsi="Times New Roman" w:eastAsia="Times New Roman" w:cs="Times New Roman"/>
          <w:i/>
          <w:iCs/>
          <w:sz w:val="23"/>
          <w:szCs w:val="23"/>
        </w:rPr>
        <w:t>S</w:t>
      </w:r>
      <w:r>
        <w:rPr>
          <w:rFonts w:ascii="Times New Roman" w:hAnsi="Times New Roman" w:eastAsia="Times New Roman" w:cs="Times New Roman"/>
          <w:i/>
          <w:iCs/>
          <w:position w:val="-5"/>
          <w:sz w:val="13"/>
          <w:szCs w:val="13"/>
        </w:rPr>
        <w:t>pH</w:t>
      </w:r>
      <w:r>
        <w:rPr>
          <w:rFonts w:ascii="Times New Roman" w:hAnsi="Times New Roman" w:eastAsia="Times New Roman" w:cs="Times New Roman"/>
          <w:spacing w:val="1"/>
          <w:position w:val="-5"/>
          <w:sz w:val="13"/>
          <w:szCs w:val="13"/>
        </w:rPr>
        <w:t xml:space="preserve"> ,</w:t>
      </w:r>
      <w:r>
        <w:rPr>
          <w:rFonts w:ascii="Times New Roman" w:hAnsi="Times New Roman" w:eastAsia="Times New Roman" w:cs="Times New Roman"/>
          <w:i/>
          <w:iCs/>
          <w:position w:val="-5"/>
          <w:sz w:val="13"/>
          <w:szCs w:val="13"/>
        </w:rPr>
        <w:t>j</w:t>
      </w:r>
      <w:r>
        <w:rPr>
          <w:rFonts w:ascii="Times New Roman" w:hAnsi="Times New Roman" w:eastAsia="Times New Roman" w:cs="Times New Roman"/>
          <w:spacing w:val="1"/>
          <w:position w:val="-5"/>
          <w:sz w:val="13"/>
          <w:szCs w:val="13"/>
        </w:rPr>
        <w:t xml:space="preserve">   </w:t>
      </w:r>
      <w:r>
        <w:rPr>
          <w:rFonts w:ascii="微软雅黑" w:hAnsi="微软雅黑" w:eastAsia="微软雅黑" w:cs="微软雅黑"/>
          <w:spacing w:val="1"/>
          <w:sz w:val="23"/>
          <w:szCs w:val="23"/>
        </w:rPr>
        <w:t xml:space="preserve">= </w:t>
      </w: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 xml:space="preserve">0 </w:t>
      </w:r>
      <w:r>
        <w:rPr>
          <w:rFonts w:ascii="微软雅黑" w:hAnsi="微软雅黑" w:eastAsia="微软雅黑" w:cs="微软雅黑"/>
          <w:sz w:val="23"/>
          <w:szCs w:val="23"/>
        </w:rPr>
        <w:t xml:space="preserve">一 </w:t>
      </w:r>
      <w:r>
        <w:rPr>
          <w:rFonts w:ascii="Times New Roman" w:hAnsi="Times New Roman" w:eastAsia="Times New Roman" w:cs="Times New Roman"/>
          <w:i/>
          <w:iCs/>
          <w:sz w:val="23"/>
          <w:szCs w:val="23"/>
        </w:rPr>
        <w:t>pH</w:t>
      </w:r>
      <w:r>
        <w:rPr>
          <w:rFonts w:ascii="Times New Roman" w:hAnsi="Times New Roman" w:eastAsia="Times New Roman" w:cs="Times New Roman"/>
          <w:i/>
          <w:iCs/>
          <w:position w:val="-5"/>
          <w:sz w:val="13"/>
          <w:szCs w:val="13"/>
        </w:rPr>
        <w:t>j</w:t>
      </w:r>
      <w:r>
        <w:rPr>
          <w:rFonts w:ascii="Times New Roman" w:hAnsi="Times New Roman" w:eastAsia="Times New Roman" w:cs="Times New Roman"/>
          <w:position w:val="-5"/>
          <w:sz w:val="13"/>
          <w:szCs w:val="13"/>
        </w:rPr>
        <w:t xml:space="preserve"> </w:t>
      </w:r>
      <w:r>
        <w:rPr>
          <w:rFonts w:ascii="Times New Roman" w:hAnsi="Times New Roman" w:eastAsia="Times New Roman" w:cs="Times New Roman"/>
          <w:sz w:val="23"/>
          <w:szCs w:val="23"/>
        </w:rPr>
        <w:t xml:space="preserve">) /(7.0 </w:t>
      </w:r>
      <w:r>
        <w:rPr>
          <w:rFonts w:ascii="微软雅黑" w:hAnsi="微软雅黑" w:eastAsia="微软雅黑" w:cs="微软雅黑"/>
          <w:sz w:val="23"/>
          <w:szCs w:val="23"/>
        </w:rPr>
        <w:t xml:space="preserve">一 </w:t>
      </w:r>
      <w:r>
        <w:rPr>
          <w:rFonts w:ascii="Times New Roman" w:hAnsi="Times New Roman" w:eastAsia="Times New Roman" w:cs="Times New Roman"/>
          <w:i/>
          <w:iCs/>
          <w:sz w:val="23"/>
          <w:szCs w:val="23"/>
        </w:rPr>
        <w:t>pH</w:t>
      </w:r>
      <w:r>
        <w:rPr>
          <w:rFonts w:ascii="Times New Roman" w:hAnsi="Times New Roman" w:eastAsia="Times New Roman" w:cs="Times New Roman"/>
          <w:i/>
          <w:iCs/>
          <w:position w:val="-5"/>
          <w:sz w:val="13"/>
          <w:szCs w:val="13"/>
        </w:rPr>
        <w:t>sd</w:t>
      </w:r>
      <w:r>
        <w:rPr>
          <w:rFonts w:ascii="Times New Roman" w:hAnsi="Times New Roman" w:eastAsia="Times New Roman" w:cs="Times New Roman"/>
          <w:position w:val="-5"/>
          <w:sz w:val="13"/>
          <w:szCs w:val="13"/>
        </w:rPr>
        <w:t xml:space="preserve"> </w:t>
      </w:r>
      <w:r>
        <w:rPr>
          <w:rFonts w:ascii="Times New Roman" w:hAnsi="Times New Roman" w:eastAsia="Times New Roman" w:cs="Times New Roman"/>
          <w:sz w:val="23"/>
          <w:szCs w:val="23"/>
        </w:rPr>
        <w:t xml:space="preserve">) </w:t>
      </w:r>
      <w:r>
        <w:rPr>
          <w:rFonts w:ascii="Times New Roman" w:hAnsi="Times New Roman" w:eastAsia="Times New Roman" w:cs="Times New Roman"/>
          <w:i/>
          <w:iCs/>
          <w:sz w:val="23"/>
          <w:szCs w:val="23"/>
        </w:rPr>
        <w:t>S</w:t>
      </w:r>
      <w:r>
        <w:rPr>
          <w:rFonts w:ascii="Times New Roman" w:hAnsi="Times New Roman" w:eastAsia="Times New Roman" w:cs="Times New Roman"/>
          <w:i/>
          <w:iCs/>
          <w:position w:val="-5"/>
          <w:sz w:val="13"/>
          <w:szCs w:val="13"/>
        </w:rPr>
        <w:t>pH</w:t>
      </w:r>
      <w:r>
        <w:rPr>
          <w:rFonts w:ascii="Times New Roman" w:hAnsi="Times New Roman" w:eastAsia="Times New Roman" w:cs="Times New Roman"/>
          <w:spacing w:val="4"/>
          <w:position w:val="-5"/>
          <w:sz w:val="13"/>
          <w:szCs w:val="13"/>
        </w:rPr>
        <w:t xml:space="preserve"> ,</w:t>
      </w:r>
      <w:r>
        <w:rPr>
          <w:rFonts w:ascii="Times New Roman" w:hAnsi="Times New Roman" w:eastAsia="Times New Roman" w:cs="Times New Roman"/>
          <w:i/>
          <w:iCs/>
          <w:position w:val="-5"/>
          <w:sz w:val="13"/>
          <w:szCs w:val="13"/>
        </w:rPr>
        <w:t>j</w:t>
      </w:r>
      <w:r>
        <w:rPr>
          <w:rFonts w:ascii="Times New Roman" w:hAnsi="Times New Roman" w:eastAsia="Times New Roman" w:cs="Times New Roman"/>
          <w:spacing w:val="3"/>
          <w:position w:val="-5"/>
          <w:sz w:val="13"/>
          <w:szCs w:val="13"/>
        </w:rPr>
        <w:t xml:space="preserve"> </w:t>
      </w:r>
      <w:r>
        <w:rPr>
          <w:rFonts w:ascii="Times New Roman" w:hAnsi="Times New Roman" w:eastAsia="Times New Roman" w:cs="Times New Roman"/>
          <w:spacing w:val="2"/>
          <w:position w:val="-5"/>
          <w:sz w:val="13"/>
          <w:szCs w:val="13"/>
        </w:rPr>
        <w:t xml:space="preserve">  </w:t>
      </w:r>
      <w:r>
        <w:rPr>
          <w:rFonts w:ascii="微软雅黑" w:hAnsi="微软雅黑" w:eastAsia="微软雅黑" w:cs="微软雅黑"/>
          <w:spacing w:val="2"/>
          <w:sz w:val="23"/>
          <w:szCs w:val="23"/>
        </w:rPr>
        <w:t xml:space="preserve">= </w:t>
      </w:r>
      <w:r>
        <w:rPr>
          <w:rFonts w:ascii="Times New Roman" w:hAnsi="Times New Roman" w:eastAsia="Times New Roman" w:cs="Times New Roman"/>
          <w:spacing w:val="2"/>
          <w:sz w:val="23"/>
          <w:szCs w:val="23"/>
        </w:rPr>
        <w:t>(</w:t>
      </w:r>
      <w:r>
        <w:rPr>
          <w:rFonts w:ascii="Times New Roman" w:hAnsi="Times New Roman" w:eastAsia="Times New Roman" w:cs="Times New Roman"/>
          <w:i/>
          <w:iCs/>
          <w:sz w:val="23"/>
          <w:szCs w:val="23"/>
        </w:rPr>
        <w:t>pH</w:t>
      </w:r>
      <w:r>
        <w:rPr>
          <w:rFonts w:ascii="Times New Roman" w:hAnsi="Times New Roman" w:eastAsia="Times New Roman" w:cs="Times New Roman"/>
          <w:i/>
          <w:iCs/>
          <w:position w:val="-5"/>
          <w:sz w:val="13"/>
          <w:szCs w:val="13"/>
        </w:rPr>
        <w:t>j</w:t>
      </w:r>
      <w:r>
        <w:rPr>
          <w:rFonts w:ascii="Times New Roman" w:hAnsi="Times New Roman" w:eastAsia="Times New Roman" w:cs="Times New Roman"/>
          <w:spacing w:val="2"/>
          <w:position w:val="-5"/>
          <w:sz w:val="13"/>
          <w:szCs w:val="13"/>
        </w:rPr>
        <w:t xml:space="preserve">  </w:t>
      </w:r>
      <w:r>
        <w:rPr>
          <w:rFonts w:ascii="微软雅黑" w:hAnsi="微软雅黑" w:eastAsia="微软雅黑" w:cs="微软雅黑"/>
          <w:spacing w:val="2"/>
          <w:sz w:val="23"/>
          <w:szCs w:val="23"/>
        </w:rPr>
        <w:t xml:space="preserve">一 </w:t>
      </w:r>
      <w:r>
        <w:rPr>
          <w:rFonts w:ascii="Times New Roman" w:hAnsi="Times New Roman" w:eastAsia="Times New Roman" w:cs="Times New Roman"/>
          <w:spacing w:val="2"/>
          <w:sz w:val="23"/>
          <w:szCs w:val="23"/>
        </w:rPr>
        <w:t>7.0) /(</w:t>
      </w:r>
      <w:r>
        <w:rPr>
          <w:rFonts w:ascii="Times New Roman" w:hAnsi="Times New Roman" w:eastAsia="Times New Roman" w:cs="Times New Roman"/>
          <w:i/>
          <w:iCs/>
          <w:sz w:val="23"/>
          <w:szCs w:val="23"/>
        </w:rPr>
        <w:t>pH</w:t>
      </w:r>
      <w:r>
        <w:rPr>
          <w:rFonts w:ascii="Times New Roman" w:hAnsi="Times New Roman" w:eastAsia="Times New Roman" w:cs="Times New Roman"/>
          <w:i/>
          <w:iCs/>
          <w:position w:val="-5"/>
          <w:sz w:val="13"/>
          <w:szCs w:val="13"/>
        </w:rPr>
        <w:t>su</w:t>
      </w:r>
      <w:r>
        <w:rPr>
          <w:rFonts w:ascii="Times New Roman" w:hAnsi="Times New Roman" w:eastAsia="Times New Roman" w:cs="Times New Roman"/>
          <w:spacing w:val="2"/>
          <w:position w:val="-5"/>
          <w:sz w:val="13"/>
          <w:szCs w:val="13"/>
        </w:rPr>
        <w:t xml:space="preserve">  </w:t>
      </w:r>
      <w:r>
        <w:rPr>
          <w:rFonts w:ascii="微软雅黑" w:hAnsi="微软雅黑" w:eastAsia="微软雅黑" w:cs="微软雅黑"/>
          <w:spacing w:val="2"/>
          <w:sz w:val="23"/>
          <w:szCs w:val="23"/>
        </w:rPr>
        <w:t xml:space="preserve">一 </w:t>
      </w:r>
      <w:r>
        <w:rPr>
          <w:rFonts w:ascii="Times New Roman" w:hAnsi="Times New Roman" w:eastAsia="Times New Roman" w:cs="Times New Roman"/>
          <w:spacing w:val="2"/>
          <w:sz w:val="23"/>
          <w:szCs w:val="23"/>
        </w:rPr>
        <w:t>7.0)</w:t>
      </w:r>
    </w:p>
    <w:p w14:paraId="665275B1">
      <w:pPr>
        <w:spacing w:before="54" w:line="231" w:lineRule="auto"/>
        <w:ind w:left="602"/>
        <w:rPr>
          <w:rFonts w:ascii="宋体" w:hAnsi="宋体" w:eastAsia="宋体" w:cs="宋体"/>
          <w:sz w:val="23"/>
          <w:szCs w:val="23"/>
        </w:rPr>
      </w:pPr>
      <w:r>
        <w:rPr>
          <w:rFonts w:ascii="宋体" w:hAnsi="宋体" w:eastAsia="宋体" w:cs="宋体"/>
          <w:spacing w:val="16"/>
          <w:sz w:val="23"/>
          <w:szCs w:val="23"/>
        </w:rPr>
        <w:t>式</w:t>
      </w:r>
      <w:r>
        <w:rPr>
          <w:rFonts w:ascii="宋体" w:hAnsi="宋体" w:eastAsia="宋体" w:cs="宋体"/>
          <w:spacing w:val="8"/>
          <w:sz w:val="23"/>
          <w:szCs w:val="23"/>
        </w:rPr>
        <w:t>中：</w:t>
      </w:r>
      <w:r>
        <w:rPr>
          <w:rFonts w:ascii="Times New Roman" w:hAnsi="Times New Roman" w:eastAsia="Times New Roman" w:cs="Times New Roman"/>
          <w:sz w:val="23"/>
          <w:szCs w:val="23"/>
        </w:rPr>
        <w:t>S</w:t>
      </w:r>
      <w:r>
        <w:rPr>
          <w:rFonts w:ascii="Times New Roman" w:hAnsi="Times New Roman" w:eastAsia="Times New Roman" w:cs="Times New Roman"/>
          <w:position w:val="-1"/>
          <w:sz w:val="15"/>
          <w:szCs w:val="15"/>
        </w:rPr>
        <w:t>pH</w:t>
      </w:r>
      <w:r>
        <w:rPr>
          <w:rFonts w:ascii="Times New Roman" w:hAnsi="Times New Roman" w:eastAsia="Times New Roman" w:cs="Times New Roman"/>
          <w:spacing w:val="8"/>
          <w:position w:val="-1"/>
          <w:sz w:val="15"/>
          <w:szCs w:val="15"/>
        </w:rPr>
        <w:t>,</w:t>
      </w:r>
      <w:r>
        <w:rPr>
          <w:rFonts w:ascii="Times New Roman" w:hAnsi="Times New Roman" w:eastAsia="Times New Roman" w:cs="Times New Roman"/>
          <w:position w:val="-1"/>
          <w:sz w:val="15"/>
          <w:szCs w:val="15"/>
        </w:rPr>
        <w:t>j</w:t>
      </w:r>
      <w:r>
        <w:rPr>
          <w:rFonts w:ascii="Times New Roman" w:hAnsi="Times New Roman" w:eastAsia="Times New Roman" w:cs="Times New Roman"/>
          <w:spacing w:val="8"/>
          <w:sz w:val="23"/>
          <w:szCs w:val="23"/>
        </w:rPr>
        <w:t>——</w:t>
      </w:r>
      <w:r>
        <w:rPr>
          <w:rFonts w:ascii="Times New Roman" w:hAnsi="Times New Roman" w:eastAsia="Times New Roman" w:cs="Times New Roman"/>
          <w:sz w:val="23"/>
          <w:szCs w:val="23"/>
        </w:rPr>
        <w:t>pH</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的标准指数；</w:t>
      </w:r>
    </w:p>
    <w:p w14:paraId="0479E57D">
      <w:pPr>
        <w:spacing w:before="178" w:line="468" w:lineRule="exact"/>
        <w:ind w:left="1308"/>
        <w:rPr>
          <w:rFonts w:ascii="宋体" w:hAnsi="宋体" w:eastAsia="宋体" w:cs="宋体"/>
          <w:sz w:val="23"/>
          <w:szCs w:val="23"/>
        </w:rPr>
      </w:pPr>
      <w:r>
        <w:rPr>
          <w:rFonts w:ascii="Times New Roman" w:hAnsi="Times New Roman" w:eastAsia="Times New Roman" w:cs="Times New Roman"/>
          <w:position w:val="17"/>
          <w:sz w:val="23"/>
          <w:szCs w:val="23"/>
        </w:rPr>
        <w:t>pH</w:t>
      </w:r>
      <w:r>
        <w:rPr>
          <w:rFonts w:ascii="Times New Roman" w:hAnsi="Times New Roman" w:eastAsia="Times New Roman" w:cs="Times New Roman"/>
          <w:position w:val="16"/>
          <w:sz w:val="15"/>
          <w:szCs w:val="15"/>
        </w:rPr>
        <w:t>j</w:t>
      </w:r>
      <w:r>
        <w:rPr>
          <w:rFonts w:ascii="Times New Roman" w:hAnsi="Times New Roman" w:eastAsia="Times New Roman" w:cs="Times New Roman"/>
          <w:spacing w:val="11"/>
          <w:position w:val="17"/>
          <w:sz w:val="23"/>
          <w:szCs w:val="23"/>
        </w:rPr>
        <w:t>——</w:t>
      </w:r>
      <w:r>
        <w:rPr>
          <w:rFonts w:ascii="Times New Roman" w:hAnsi="Times New Roman" w:eastAsia="Times New Roman" w:cs="Times New Roman"/>
          <w:position w:val="17"/>
          <w:sz w:val="23"/>
          <w:szCs w:val="23"/>
        </w:rPr>
        <w:t>pH</w:t>
      </w:r>
      <w:r>
        <w:rPr>
          <w:rFonts w:ascii="Times New Roman" w:hAnsi="Times New Roman" w:eastAsia="Times New Roman" w:cs="Times New Roman"/>
          <w:spacing w:val="11"/>
          <w:position w:val="17"/>
          <w:sz w:val="23"/>
          <w:szCs w:val="23"/>
        </w:rPr>
        <w:t xml:space="preserve"> </w:t>
      </w:r>
      <w:r>
        <w:rPr>
          <w:rFonts w:ascii="宋体" w:hAnsi="宋体" w:eastAsia="宋体" w:cs="宋体"/>
          <w:spacing w:val="11"/>
          <w:position w:val="17"/>
          <w:sz w:val="23"/>
          <w:szCs w:val="23"/>
        </w:rPr>
        <w:t>实测值；</w:t>
      </w:r>
    </w:p>
    <w:p w14:paraId="5365AC40">
      <w:pPr>
        <w:spacing w:line="217" w:lineRule="auto"/>
        <w:ind w:left="1308"/>
        <w:rPr>
          <w:rFonts w:ascii="宋体" w:hAnsi="宋体" w:eastAsia="宋体" w:cs="宋体"/>
          <w:sz w:val="23"/>
          <w:szCs w:val="23"/>
        </w:rPr>
      </w:pPr>
      <w:r>
        <w:rPr>
          <w:rFonts w:ascii="Times New Roman" w:hAnsi="Times New Roman" w:eastAsia="Times New Roman" w:cs="Times New Roman"/>
          <w:sz w:val="23"/>
          <w:szCs w:val="23"/>
        </w:rPr>
        <w:t>pH</w:t>
      </w:r>
      <w:r>
        <w:rPr>
          <w:rFonts w:ascii="Times New Roman" w:hAnsi="Times New Roman" w:eastAsia="Times New Roman" w:cs="Times New Roman"/>
          <w:position w:val="-1"/>
          <w:sz w:val="15"/>
          <w:szCs w:val="15"/>
        </w:rPr>
        <w:t>sd</w:t>
      </w:r>
      <w:r>
        <w:rPr>
          <w:rFonts w:ascii="Times New Roman" w:hAnsi="Times New Roman" w:eastAsia="Times New Roman" w:cs="Times New Roman"/>
          <w:spacing w:val="11"/>
          <w:sz w:val="23"/>
          <w:szCs w:val="23"/>
        </w:rPr>
        <w:t>——</w:t>
      </w:r>
      <w:r>
        <w:rPr>
          <w:rFonts w:ascii="Times New Roman" w:hAnsi="Times New Roman" w:eastAsia="Times New Roman" w:cs="Times New Roman"/>
          <w:sz w:val="23"/>
          <w:szCs w:val="23"/>
        </w:rPr>
        <w:t>pH</w:t>
      </w:r>
      <w:r>
        <w:rPr>
          <w:rFonts w:ascii="Times New Roman" w:hAnsi="Times New Roman" w:eastAsia="Times New Roman" w:cs="Times New Roman"/>
          <w:spacing w:val="11"/>
          <w:sz w:val="23"/>
          <w:szCs w:val="23"/>
        </w:rPr>
        <w:t xml:space="preserve"> </w:t>
      </w:r>
      <w:r>
        <w:rPr>
          <w:rFonts w:ascii="宋体" w:hAnsi="宋体" w:eastAsia="宋体" w:cs="宋体"/>
          <w:spacing w:val="11"/>
          <w:sz w:val="23"/>
          <w:szCs w:val="23"/>
        </w:rPr>
        <w:t>值标准下限；</w:t>
      </w:r>
    </w:p>
    <w:p w14:paraId="7E8DE3CB">
      <w:pPr>
        <w:spacing w:line="14" w:lineRule="auto"/>
        <w:rPr>
          <w:sz w:val="2"/>
        </w:rPr>
      </w:pPr>
      <w:r>
        <w:rPr>
          <w:sz w:val="2"/>
          <w:szCs w:val="2"/>
        </w:rPr>
        <w:br w:type="column"/>
      </w:r>
    </w:p>
    <w:p w14:paraId="2468ED11">
      <w:pPr>
        <w:spacing w:before="78" w:line="569" w:lineRule="exact"/>
        <w:ind w:left="155"/>
        <w:rPr>
          <w:rFonts w:ascii="Times New Roman" w:hAnsi="Times New Roman" w:eastAsia="Times New Roman" w:cs="Times New Roman"/>
          <w:sz w:val="23"/>
          <w:szCs w:val="23"/>
        </w:rPr>
      </w:pPr>
      <w:r>
        <w:rPr>
          <w:rFonts w:ascii="Times New Roman" w:hAnsi="Times New Roman" w:eastAsia="Times New Roman" w:cs="Times New Roman"/>
          <w:position w:val="24"/>
          <w:sz w:val="23"/>
          <w:szCs w:val="23"/>
        </w:rPr>
        <w:t>pH</w:t>
      </w:r>
      <w:r>
        <w:rPr>
          <w:rFonts w:ascii="Times New Roman" w:hAnsi="Times New Roman" w:eastAsia="Times New Roman" w:cs="Times New Roman"/>
          <w:position w:val="23"/>
          <w:sz w:val="15"/>
          <w:szCs w:val="15"/>
        </w:rPr>
        <w:t>j</w:t>
      </w:r>
      <w:r>
        <w:rPr>
          <w:rFonts w:ascii="Times New Roman" w:hAnsi="Times New Roman" w:eastAsia="Times New Roman" w:cs="Times New Roman"/>
          <w:spacing w:val="9"/>
          <w:position w:val="24"/>
          <w:sz w:val="23"/>
          <w:szCs w:val="23"/>
        </w:rPr>
        <w:t>≤7.</w:t>
      </w:r>
      <w:r>
        <w:rPr>
          <w:rFonts w:ascii="Times New Roman" w:hAnsi="Times New Roman" w:eastAsia="Times New Roman" w:cs="Times New Roman"/>
          <w:spacing w:val="8"/>
          <w:position w:val="24"/>
          <w:sz w:val="23"/>
          <w:szCs w:val="23"/>
        </w:rPr>
        <w:t>0</w:t>
      </w:r>
    </w:p>
    <w:p w14:paraId="685B64A3">
      <w:pPr>
        <w:spacing w:before="1" w:line="233" w:lineRule="auto"/>
        <w:rPr>
          <w:rFonts w:ascii="Times New Roman" w:hAnsi="Times New Roman" w:eastAsia="Times New Roman" w:cs="Times New Roman"/>
          <w:sz w:val="23"/>
          <w:szCs w:val="23"/>
        </w:rPr>
      </w:pPr>
      <w:r>
        <w:rPr>
          <w:rFonts w:ascii="Times New Roman" w:hAnsi="Times New Roman" w:eastAsia="Times New Roman" w:cs="Times New Roman"/>
          <w:sz w:val="23"/>
          <w:szCs w:val="23"/>
        </w:rPr>
        <w:t>pH</w:t>
      </w:r>
      <w:r>
        <w:rPr>
          <w:rFonts w:ascii="Times New Roman" w:hAnsi="Times New Roman" w:eastAsia="Times New Roman" w:cs="Times New Roman"/>
          <w:position w:val="-1"/>
          <w:sz w:val="15"/>
          <w:szCs w:val="15"/>
        </w:rPr>
        <w:t>j</w:t>
      </w:r>
      <w:r>
        <w:rPr>
          <w:rFonts w:ascii="宋体" w:hAnsi="宋体" w:eastAsia="宋体" w:cs="宋体"/>
          <w:spacing w:val="10"/>
          <w:sz w:val="23"/>
          <w:szCs w:val="23"/>
        </w:rPr>
        <w:t>＞</w:t>
      </w:r>
      <w:r>
        <w:rPr>
          <w:rFonts w:ascii="Times New Roman" w:hAnsi="Times New Roman" w:eastAsia="Times New Roman" w:cs="Times New Roman"/>
          <w:spacing w:val="10"/>
          <w:sz w:val="23"/>
          <w:szCs w:val="23"/>
        </w:rPr>
        <w:t>7.</w:t>
      </w:r>
      <w:r>
        <w:rPr>
          <w:rFonts w:ascii="Times New Roman" w:hAnsi="Times New Roman" w:eastAsia="Times New Roman" w:cs="Times New Roman"/>
          <w:spacing w:val="9"/>
          <w:sz w:val="23"/>
          <w:szCs w:val="23"/>
        </w:rPr>
        <w:t>0</w:t>
      </w:r>
    </w:p>
    <w:p w14:paraId="1530BBA7">
      <w:pPr>
        <w:sectPr>
          <w:type w:val="continuous"/>
          <w:pgSz w:w="11907" w:h="16840"/>
          <w:pgMar w:top="1153" w:right="1066" w:bottom="1485" w:left="1551" w:header="919" w:footer="1298" w:gutter="0"/>
          <w:cols w:equalWidth="0" w:num="2">
            <w:col w:w="6273" w:space="100"/>
            <w:col w:w="2916"/>
          </w:cols>
        </w:sectPr>
      </w:pPr>
    </w:p>
    <w:p w14:paraId="099BA181">
      <w:pPr>
        <w:spacing w:before="197" w:line="219" w:lineRule="auto"/>
        <w:ind w:left="1308"/>
        <w:rPr>
          <w:rFonts w:ascii="宋体" w:hAnsi="宋体" w:eastAsia="宋体" w:cs="宋体"/>
          <w:sz w:val="23"/>
          <w:szCs w:val="23"/>
        </w:rPr>
      </w:pPr>
      <w:r>
        <w:rPr>
          <w:rFonts w:ascii="Times New Roman" w:hAnsi="Times New Roman" w:eastAsia="Times New Roman" w:cs="Times New Roman"/>
          <w:sz w:val="23"/>
          <w:szCs w:val="23"/>
        </w:rPr>
        <w:t>pH</w:t>
      </w:r>
      <w:r>
        <w:rPr>
          <w:rFonts w:ascii="Times New Roman" w:hAnsi="Times New Roman" w:eastAsia="Times New Roman" w:cs="Times New Roman"/>
          <w:position w:val="-1"/>
          <w:sz w:val="15"/>
          <w:szCs w:val="15"/>
        </w:rPr>
        <w:t>su</w:t>
      </w:r>
      <w:r>
        <w:rPr>
          <w:rFonts w:ascii="Times New Roman" w:hAnsi="Times New Roman" w:eastAsia="Times New Roman" w:cs="Times New Roman"/>
          <w:spacing w:val="11"/>
          <w:sz w:val="23"/>
          <w:szCs w:val="23"/>
        </w:rPr>
        <w:t>——</w:t>
      </w:r>
      <w:r>
        <w:rPr>
          <w:rFonts w:ascii="Times New Roman" w:hAnsi="Times New Roman" w:eastAsia="Times New Roman" w:cs="Times New Roman"/>
          <w:sz w:val="23"/>
          <w:szCs w:val="23"/>
        </w:rPr>
        <w:t>pH</w:t>
      </w:r>
      <w:r>
        <w:rPr>
          <w:rFonts w:ascii="Times New Roman" w:hAnsi="Times New Roman" w:eastAsia="Times New Roman" w:cs="Times New Roman"/>
          <w:spacing w:val="11"/>
          <w:sz w:val="23"/>
          <w:szCs w:val="23"/>
        </w:rPr>
        <w:t xml:space="preserve"> </w:t>
      </w:r>
      <w:r>
        <w:rPr>
          <w:rFonts w:ascii="宋体" w:hAnsi="宋体" w:eastAsia="宋体" w:cs="宋体"/>
          <w:spacing w:val="11"/>
          <w:sz w:val="23"/>
          <w:szCs w:val="23"/>
        </w:rPr>
        <w:t>值标准上限。</w:t>
      </w:r>
    </w:p>
    <w:p w14:paraId="328F8F4E">
      <w:pPr>
        <w:spacing w:before="150" w:line="387" w:lineRule="auto"/>
        <w:ind w:left="144" w:right="571" w:firstLine="456"/>
        <w:rPr>
          <w:rFonts w:ascii="宋体" w:hAnsi="宋体" w:eastAsia="宋体" w:cs="宋体"/>
          <w:sz w:val="23"/>
          <w:szCs w:val="23"/>
        </w:rPr>
      </w:pPr>
      <w:r>
        <w:rPr>
          <w:rFonts w:ascii="宋体" w:hAnsi="宋体" w:eastAsia="宋体" w:cs="宋体"/>
          <w:spacing w:val="12"/>
          <w:sz w:val="23"/>
          <w:szCs w:val="23"/>
        </w:rPr>
        <w:t>水</w:t>
      </w:r>
      <w:r>
        <w:rPr>
          <w:rFonts w:ascii="宋体" w:hAnsi="宋体" w:eastAsia="宋体" w:cs="宋体"/>
          <w:spacing w:val="7"/>
          <w:sz w:val="23"/>
          <w:szCs w:val="23"/>
        </w:rPr>
        <w:t>质</w:t>
      </w:r>
      <w:r>
        <w:rPr>
          <w:rFonts w:ascii="宋体" w:hAnsi="宋体" w:eastAsia="宋体" w:cs="宋体"/>
          <w:spacing w:val="6"/>
          <w:sz w:val="23"/>
          <w:szCs w:val="23"/>
        </w:rPr>
        <w:t>评价因子的标准指数</w:t>
      </w:r>
      <w:r>
        <w:rPr>
          <w:rFonts w:ascii="Times New Roman" w:hAnsi="Times New Roman" w:eastAsia="Times New Roman" w:cs="Times New Roman"/>
          <w:spacing w:val="6"/>
          <w:sz w:val="23"/>
          <w:szCs w:val="23"/>
        </w:rPr>
        <w:t xml:space="preserve">&gt;1 </w:t>
      </w:r>
      <w:r>
        <w:rPr>
          <w:rFonts w:ascii="宋体" w:hAnsi="宋体" w:eastAsia="宋体" w:cs="宋体"/>
          <w:spacing w:val="6"/>
          <w:sz w:val="23"/>
          <w:szCs w:val="23"/>
        </w:rPr>
        <w:t>，表明该评价因子的水质超过了规定的水质标准，</w:t>
      </w:r>
      <w:r>
        <w:rPr>
          <w:rFonts w:ascii="宋体" w:hAnsi="宋体" w:eastAsia="宋体" w:cs="宋体"/>
          <w:sz w:val="23"/>
          <w:szCs w:val="23"/>
        </w:rPr>
        <w:t xml:space="preserve"> </w:t>
      </w:r>
      <w:r>
        <w:rPr>
          <w:rFonts w:ascii="宋体" w:hAnsi="宋体" w:eastAsia="宋体" w:cs="宋体"/>
          <w:spacing w:val="12"/>
          <w:sz w:val="23"/>
          <w:szCs w:val="23"/>
        </w:rPr>
        <w:t>已</w:t>
      </w:r>
      <w:r>
        <w:rPr>
          <w:rFonts w:ascii="宋体" w:hAnsi="宋体" w:eastAsia="宋体" w:cs="宋体"/>
          <w:spacing w:val="6"/>
          <w:sz w:val="23"/>
          <w:szCs w:val="23"/>
        </w:rPr>
        <w:t>经不能满足相应功能要求。</w:t>
      </w:r>
    </w:p>
    <w:p w14:paraId="48797B14">
      <w:pPr>
        <w:spacing w:before="12" w:line="226" w:lineRule="auto"/>
        <w:ind w:left="609"/>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7</w:t>
      </w:r>
      <w:r>
        <w:rPr>
          <w:rFonts w:ascii="宋体" w:hAnsi="宋体" w:eastAsia="宋体" w:cs="宋体"/>
          <w:spacing w:val="20"/>
          <w:sz w:val="23"/>
          <w:szCs w:val="23"/>
        </w:rPr>
        <w:t>) 评价标</w:t>
      </w:r>
      <w:r>
        <w:rPr>
          <w:rFonts w:ascii="宋体" w:hAnsi="宋体" w:eastAsia="宋体" w:cs="宋体"/>
          <w:spacing w:val="19"/>
          <w:sz w:val="23"/>
          <w:szCs w:val="23"/>
        </w:rPr>
        <w:t>准</w:t>
      </w:r>
    </w:p>
    <w:p w14:paraId="77737CA3">
      <w:pPr>
        <w:spacing w:before="186" w:line="375" w:lineRule="auto"/>
        <w:ind w:left="121" w:right="510" w:firstLine="476"/>
        <w:rPr>
          <w:rFonts w:ascii="宋体" w:hAnsi="宋体" w:eastAsia="宋体" w:cs="宋体"/>
          <w:sz w:val="23"/>
          <w:szCs w:val="23"/>
        </w:rPr>
      </w:pPr>
      <w:r>
        <w:rPr>
          <w:rFonts w:ascii="宋体" w:hAnsi="宋体" w:eastAsia="宋体" w:cs="宋体"/>
          <w:spacing w:val="14"/>
          <w:sz w:val="23"/>
          <w:szCs w:val="23"/>
        </w:rPr>
        <w:t>采样《地</w:t>
      </w:r>
      <w:r>
        <w:rPr>
          <w:rFonts w:ascii="宋体" w:hAnsi="宋体" w:eastAsia="宋体" w:cs="宋体"/>
          <w:spacing w:val="8"/>
          <w:sz w:val="23"/>
          <w:szCs w:val="23"/>
        </w:rPr>
        <w:t>表</w:t>
      </w:r>
      <w:r>
        <w:rPr>
          <w:rFonts w:ascii="宋体" w:hAnsi="宋体" w:eastAsia="宋体" w:cs="宋体"/>
          <w:spacing w:val="7"/>
          <w:sz w:val="23"/>
          <w:szCs w:val="23"/>
        </w:rPr>
        <w:t>水环境质量标准》  (</w:t>
      </w:r>
      <w:r>
        <w:rPr>
          <w:rFonts w:ascii="Times New Roman" w:hAnsi="Times New Roman" w:eastAsia="Times New Roman" w:cs="Times New Roman"/>
          <w:sz w:val="23"/>
          <w:szCs w:val="23"/>
        </w:rPr>
        <w:t>GB</w:t>
      </w:r>
      <w:r>
        <w:rPr>
          <w:rFonts w:ascii="Times New Roman" w:hAnsi="Times New Roman" w:eastAsia="Times New Roman" w:cs="Times New Roman"/>
          <w:spacing w:val="7"/>
          <w:sz w:val="23"/>
          <w:szCs w:val="23"/>
        </w:rPr>
        <w:t>3838-2002</w:t>
      </w:r>
      <w:r>
        <w:rPr>
          <w:rFonts w:ascii="宋体" w:hAnsi="宋体" w:eastAsia="宋体" w:cs="宋体"/>
          <w:spacing w:val="7"/>
          <w:sz w:val="23"/>
          <w:szCs w:val="23"/>
        </w:rPr>
        <w:t>) Ⅲ类标准，悬浮物参照《地表</w:t>
      </w:r>
      <w:r>
        <w:rPr>
          <w:rFonts w:ascii="宋体" w:hAnsi="宋体" w:eastAsia="宋体" w:cs="宋体"/>
          <w:sz w:val="23"/>
          <w:szCs w:val="23"/>
        </w:rPr>
        <w:t xml:space="preserve"> </w:t>
      </w:r>
      <w:r>
        <w:rPr>
          <w:rFonts w:ascii="宋体" w:hAnsi="宋体" w:eastAsia="宋体" w:cs="宋体"/>
          <w:spacing w:val="3"/>
          <w:sz w:val="23"/>
          <w:szCs w:val="23"/>
        </w:rPr>
        <w:t>水</w:t>
      </w:r>
      <w:r>
        <w:rPr>
          <w:rFonts w:ascii="宋体" w:hAnsi="宋体" w:eastAsia="宋体" w:cs="宋体"/>
          <w:spacing w:val="2"/>
          <w:sz w:val="23"/>
          <w:szCs w:val="23"/>
        </w:rPr>
        <w:t>资源质量标准》  (</w:t>
      </w:r>
      <w:r>
        <w:rPr>
          <w:rFonts w:ascii="Times New Roman" w:hAnsi="Times New Roman" w:eastAsia="Times New Roman" w:cs="Times New Roman"/>
          <w:sz w:val="23"/>
          <w:szCs w:val="23"/>
        </w:rPr>
        <w:t>SL</w:t>
      </w:r>
      <w:r>
        <w:rPr>
          <w:rFonts w:ascii="Times New Roman" w:hAnsi="Times New Roman" w:eastAsia="Times New Roman" w:cs="Times New Roman"/>
          <w:spacing w:val="2"/>
          <w:sz w:val="23"/>
          <w:szCs w:val="23"/>
        </w:rPr>
        <w:t>63-94</w:t>
      </w:r>
      <w:r>
        <w:rPr>
          <w:rFonts w:ascii="宋体" w:hAnsi="宋体" w:eastAsia="宋体" w:cs="宋体"/>
          <w:spacing w:val="2"/>
          <w:sz w:val="23"/>
          <w:szCs w:val="23"/>
        </w:rPr>
        <w:t>) 三级标准。</w:t>
      </w:r>
    </w:p>
    <w:p w14:paraId="24817945">
      <w:pPr>
        <w:spacing w:before="1" w:line="225" w:lineRule="auto"/>
        <w:ind w:left="609"/>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7"/>
          <w:sz w:val="23"/>
          <w:szCs w:val="23"/>
        </w:rPr>
        <w:t>8</w:t>
      </w:r>
      <w:r>
        <w:rPr>
          <w:rFonts w:ascii="宋体" w:hAnsi="宋体" w:eastAsia="宋体" w:cs="宋体"/>
          <w:spacing w:val="17"/>
          <w:sz w:val="23"/>
          <w:szCs w:val="23"/>
        </w:rPr>
        <w:t>) 监测及评价结果</w:t>
      </w:r>
    </w:p>
    <w:p w14:paraId="16160FE1">
      <w:pPr>
        <w:spacing w:before="184" w:line="226" w:lineRule="auto"/>
        <w:ind w:left="598"/>
        <w:rPr>
          <w:rFonts w:ascii="宋体" w:hAnsi="宋体" w:eastAsia="宋体" w:cs="宋体"/>
          <w:sz w:val="23"/>
          <w:szCs w:val="23"/>
        </w:rPr>
      </w:pPr>
      <w:r>
        <w:rPr>
          <w:rFonts w:ascii="宋体" w:hAnsi="宋体" w:eastAsia="宋体" w:cs="宋体"/>
          <w:spacing w:val="10"/>
          <w:sz w:val="23"/>
          <w:szCs w:val="23"/>
        </w:rPr>
        <w:t>地表</w:t>
      </w:r>
      <w:r>
        <w:rPr>
          <w:rFonts w:ascii="宋体" w:hAnsi="宋体" w:eastAsia="宋体" w:cs="宋体"/>
          <w:spacing w:val="5"/>
          <w:sz w:val="23"/>
          <w:szCs w:val="23"/>
        </w:rPr>
        <w:t xml:space="preserve">水环境现状监测结果与评价结果见表 </w:t>
      </w:r>
      <w:r>
        <w:rPr>
          <w:rFonts w:ascii="Times New Roman" w:hAnsi="Times New Roman" w:eastAsia="Times New Roman" w:cs="Times New Roman"/>
          <w:spacing w:val="5"/>
          <w:sz w:val="23"/>
          <w:szCs w:val="23"/>
        </w:rPr>
        <w:t>4.2-7</w:t>
      </w:r>
      <w:r>
        <w:rPr>
          <w:rFonts w:ascii="宋体" w:hAnsi="宋体" w:eastAsia="宋体" w:cs="宋体"/>
          <w:spacing w:val="5"/>
          <w:sz w:val="23"/>
          <w:szCs w:val="23"/>
        </w:rPr>
        <w:t>。</w:t>
      </w:r>
    </w:p>
    <w:p w14:paraId="676BECF9">
      <w:pPr>
        <w:spacing w:before="141" w:line="322" w:lineRule="exact"/>
        <w:ind w:left="1516"/>
        <w:rPr>
          <w:rFonts w:ascii="Times New Roman" w:hAnsi="Times New Roman" w:eastAsia="Times New Roman" w:cs="Times New Roman"/>
          <w:sz w:val="23"/>
          <w:szCs w:val="23"/>
        </w:rPr>
      </w:pPr>
      <w:r>
        <w:rPr>
          <w:rFonts w:ascii="黑体" w:hAnsi="黑体" w:eastAsia="黑体" w:cs="黑体"/>
          <w:spacing w:val="10"/>
          <w:position w:val="3"/>
          <w:sz w:val="23"/>
          <w:szCs w:val="23"/>
        </w:rPr>
        <w:t xml:space="preserve">表 </w:t>
      </w:r>
      <w:r>
        <w:rPr>
          <w:rFonts w:ascii="Times New Roman" w:hAnsi="Times New Roman" w:eastAsia="Times New Roman" w:cs="Times New Roman"/>
          <w:spacing w:val="10"/>
          <w:position w:val="3"/>
          <w:sz w:val="23"/>
          <w:szCs w:val="23"/>
        </w:rPr>
        <w:t>4.</w:t>
      </w:r>
      <w:r>
        <w:rPr>
          <w:rFonts w:ascii="Times New Roman" w:hAnsi="Times New Roman" w:eastAsia="Times New Roman" w:cs="Times New Roman"/>
          <w:spacing w:val="7"/>
          <w:position w:val="3"/>
          <w:sz w:val="23"/>
          <w:szCs w:val="23"/>
        </w:rPr>
        <w:t>2</w:t>
      </w:r>
      <w:r>
        <w:rPr>
          <w:rFonts w:ascii="Times New Roman" w:hAnsi="Times New Roman" w:eastAsia="Times New Roman" w:cs="Times New Roman"/>
          <w:spacing w:val="5"/>
          <w:position w:val="3"/>
          <w:sz w:val="23"/>
          <w:szCs w:val="23"/>
        </w:rPr>
        <w:t xml:space="preserve">-7  </w:t>
      </w:r>
      <w:r>
        <w:rPr>
          <w:rFonts w:ascii="黑体" w:hAnsi="黑体" w:eastAsia="黑体" w:cs="黑体"/>
          <w:spacing w:val="5"/>
          <w:position w:val="3"/>
          <w:sz w:val="23"/>
          <w:szCs w:val="23"/>
        </w:rPr>
        <w:t>地表水环境现状监测及统计结果   单位：</w:t>
      </w:r>
      <w:r>
        <w:rPr>
          <w:rFonts w:ascii="Times New Roman" w:hAnsi="Times New Roman" w:eastAsia="Times New Roman" w:cs="Times New Roman"/>
          <w:position w:val="3"/>
          <w:sz w:val="23"/>
          <w:szCs w:val="23"/>
        </w:rPr>
        <w:t>mg</w:t>
      </w:r>
      <w:r>
        <w:rPr>
          <w:rFonts w:ascii="Times New Roman" w:hAnsi="Times New Roman" w:eastAsia="Times New Roman" w:cs="Times New Roman"/>
          <w:spacing w:val="5"/>
          <w:position w:val="3"/>
          <w:sz w:val="23"/>
          <w:szCs w:val="23"/>
        </w:rPr>
        <w:t>/</w:t>
      </w:r>
      <w:r>
        <w:rPr>
          <w:rFonts w:ascii="Times New Roman" w:hAnsi="Times New Roman" w:eastAsia="Times New Roman" w:cs="Times New Roman"/>
          <w:position w:val="3"/>
          <w:sz w:val="23"/>
          <w:szCs w:val="23"/>
        </w:rPr>
        <w:t>L</w:t>
      </w:r>
    </w:p>
    <w:tbl>
      <w:tblPr>
        <w:tblStyle w:val="4"/>
        <w:tblW w:w="928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2"/>
        <w:gridCol w:w="1421"/>
        <w:gridCol w:w="795"/>
        <w:gridCol w:w="1126"/>
        <w:gridCol w:w="786"/>
        <w:gridCol w:w="1033"/>
        <w:gridCol w:w="1031"/>
        <w:gridCol w:w="1032"/>
        <w:gridCol w:w="1032"/>
      </w:tblGrid>
      <w:tr w14:paraId="6BC6C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 w:hRule="atLeast"/>
        </w:trPr>
        <w:tc>
          <w:tcPr>
            <w:tcW w:w="1032" w:type="dxa"/>
            <w:vMerge w:val="restart"/>
            <w:tcBorders>
              <w:left w:val="nil"/>
              <w:bottom w:val="nil"/>
            </w:tcBorders>
          </w:tcPr>
          <w:p w14:paraId="326EFC2D">
            <w:pPr>
              <w:spacing w:before="54" w:line="271" w:lineRule="exact"/>
              <w:ind w:left="314"/>
              <w:rPr>
                <w:rFonts w:ascii="宋体" w:hAnsi="宋体" w:eastAsia="宋体" w:cs="宋体"/>
                <w:sz w:val="20"/>
                <w:szCs w:val="20"/>
              </w:rPr>
            </w:pPr>
            <w:r>
              <w:rPr>
                <w:rFonts w:ascii="宋体" w:hAnsi="宋体" w:eastAsia="宋体" w:cs="宋体"/>
                <w:spacing w:val="6"/>
                <w:position w:val="4"/>
                <w:sz w:val="20"/>
                <w:szCs w:val="20"/>
                <w14:textOutline w14:w="3797" w14:cap="sq" w14:cmpd="sng" w14:algn="ctr">
                  <w14:solidFill>
                    <w14:srgbClr w14:val="000000"/>
                  </w14:solidFill>
                  <w14:prstDash w14:val="solid"/>
                  <w14:bevel/>
                </w14:textOutline>
              </w:rPr>
              <w:t>监</w:t>
            </w:r>
            <w:r>
              <w:rPr>
                <w:rFonts w:ascii="宋体" w:hAnsi="宋体" w:eastAsia="宋体" w:cs="宋体"/>
                <w:spacing w:val="5"/>
                <w:position w:val="4"/>
                <w:sz w:val="20"/>
                <w:szCs w:val="20"/>
                <w14:textOutline w14:w="3797" w14:cap="sq" w14:cmpd="sng" w14:algn="ctr">
                  <w14:solidFill>
                    <w14:srgbClr w14:val="000000"/>
                  </w14:solidFill>
                  <w14:prstDash w14:val="solid"/>
                  <w14:bevel/>
                </w14:textOutline>
              </w:rPr>
              <w:t>测</w:t>
            </w:r>
          </w:p>
          <w:p w14:paraId="66CD1D84">
            <w:pPr>
              <w:spacing w:before="1" w:line="228" w:lineRule="auto"/>
              <w:ind w:left="324"/>
              <w:rPr>
                <w:rFonts w:ascii="宋体" w:hAnsi="宋体" w:eastAsia="宋体" w:cs="宋体"/>
                <w:sz w:val="20"/>
                <w:szCs w:val="20"/>
              </w:rPr>
            </w:pPr>
            <w:r>
              <w:rPr>
                <w:rFonts w:ascii="宋体" w:hAnsi="宋体" w:eastAsia="宋体" w:cs="宋体"/>
                <w:spacing w:val="1"/>
                <w:sz w:val="20"/>
                <w:szCs w:val="20"/>
                <w14:textOutline w14:w="3797" w14:cap="sq" w14:cmpd="sng" w14:algn="ctr">
                  <w14:solidFill>
                    <w14:srgbClr w14:val="000000"/>
                  </w14:solidFill>
                  <w14:prstDash w14:val="solid"/>
                  <w14:bevel/>
                </w14:textOutline>
              </w:rPr>
              <w:t>点</w:t>
            </w:r>
            <w:r>
              <w:rPr>
                <w:rFonts w:ascii="宋体" w:hAnsi="宋体" w:eastAsia="宋体" w:cs="宋体"/>
                <w:sz w:val="20"/>
                <w:szCs w:val="20"/>
                <w14:textOutline w14:w="3797" w14:cap="sq" w14:cmpd="sng" w14:algn="ctr">
                  <w14:solidFill>
                    <w14:srgbClr w14:val="000000"/>
                  </w14:solidFill>
                  <w14:prstDash w14:val="solid"/>
                  <w14:bevel/>
                </w14:textOutline>
              </w:rPr>
              <w:t>位</w:t>
            </w:r>
          </w:p>
        </w:tc>
        <w:tc>
          <w:tcPr>
            <w:tcW w:w="1421" w:type="dxa"/>
            <w:vMerge w:val="restart"/>
            <w:tcBorders>
              <w:bottom w:val="nil"/>
            </w:tcBorders>
          </w:tcPr>
          <w:p w14:paraId="65F2429E">
            <w:pPr>
              <w:spacing w:before="54" w:line="271" w:lineRule="exact"/>
              <w:ind w:left="506"/>
              <w:rPr>
                <w:rFonts w:ascii="宋体" w:hAnsi="宋体" w:eastAsia="宋体" w:cs="宋体"/>
                <w:sz w:val="20"/>
                <w:szCs w:val="20"/>
              </w:rPr>
            </w:pPr>
            <w:r>
              <w:rPr>
                <w:rFonts w:ascii="宋体" w:hAnsi="宋体" w:eastAsia="宋体" w:cs="宋体"/>
                <w:spacing w:val="6"/>
                <w:position w:val="4"/>
                <w:sz w:val="20"/>
                <w:szCs w:val="20"/>
                <w14:textOutline w14:w="3797" w14:cap="sq" w14:cmpd="sng" w14:algn="ctr">
                  <w14:solidFill>
                    <w14:srgbClr w14:val="000000"/>
                  </w14:solidFill>
                  <w14:prstDash w14:val="solid"/>
                  <w14:bevel/>
                </w14:textOutline>
              </w:rPr>
              <w:t>监</w:t>
            </w:r>
            <w:r>
              <w:rPr>
                <w:rFonts w:ascii="宋体" w:hAnsi="宋体" w:eastAsia="宋体" w:cs="宋体"/>
                <w:spacing w:val="5"/>
                <w:position w:val="4"/>
                <w:sz w:val="20"/>
                <w:szCs w:val="20"/>
                <w14:textOutline w14:w="3797" w14:cap="sq" w14:cmpd="sng" w14:algn="ctr">
                  <w14:solidFill>
                    <w14:srgbClr w14:val="000000"/>
                  </w14:solidFill>
                  <w14:prstDash w14:val="solid"/>
                  <w14:bevel/>
                </w14:textOutline>
              </w:rPr>
              <w:t>测</w:t>
            </w:r>
          </w:p>
          <w:p w14:paraId="19F2964C">
            <w:pPr>
              <w:spacing w:line="228" w:lineRule="auto"/>
              <w:ind w:left="508"/>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项目</w:t>
            </w:r>
          </w:p>
        </w:tc>
        <w:tc>
          <w:tcPr>
            <w:tcW w:w="795" w:type="dxa"/>
            <w:vMerge w:val="restart"/>
            <w:tcBorders>
              <w:bottom w:val="nil"/>
            </w:tcBorders>
          </w:tcPr>
          <w:p w14:paraId="0A7C8E7F">
            <w:pPr>
              <w:spacing w:before="54" w:line="271" w:lineRule="exact"/>
              <w:ind w:left="194"/>
              <w:rPr>
                <w:rFonts w:ascii="宋体" w:hAnsi="宋体" w:eastAsia="宋体" w:cs="宋体"/>
                <w:sz w:val="20"/>
                <w:szCs w:val="20"/>
              </w:rPr>
            </w:pPr>
            <w:r>
              <w:rPr>
                <w:rFonts w:ascii="宋体" w:hAnsi="宋体" w:eastAsia="宋体" w:cs="宋体"/>
                <w:spacing w:val="6"/>
                <w:position w:val="4"/>
                <w:sz w:val="20"/>
                <w:szCs w:val="20"/>
                <w14:textOutline w14:w="3797" w14:cap="sq" w14:cmpd="sng" w14:algn="ctr">
                  <w14:solidFill>
                    <w14:srgbClr w14:val="000000"/>
                  </w14:solidFill>
                  <w14:prstDash w14:val="solid"/>
                  <w14:bevel/>
                </w14:textOutline>
              </w:rPr>
              <w:t>标</w:t>
            </w:r>
            <w:r>
              <w:rPr>
                <w:rFonts w:ascii="宋体" w:hAnsi="宋体" w:eastAsia="宋体" w:cs="宋体"/>
                <w:spacing w:val="5"/>
                <w:position w:val="4"/>
                <w:sz w:val="20"/>
                <w:szCs w:val="20"/>
                <w14:textOutline w14:w="3797" w14:cap="sq" w14:cmpd="sng" w14:algn="ctr">
                  <w14:solidFill>
                    <w14:srgbClr w14:val="000000"/>
                  </w14:solidFill>
                  <w14:prstDash w14:val="solid"/>
                  <w14:bevel/>
                </w14:textOutline>
              </w:rPr>
              <w:t>准</w:t>
            </w:r>
          </w:p>
          <w:p w14:paraId="67734A0B">
            <w:pPr>
              <w:spacing w:line="227" w:lineRule="auto"/>
              <w:ind w:left="296"/>
              <w:rPr>
                <w:rFonts w:ascii="宋体" w:hAnsi="宋体" w:eastAsia="宋体" w:cs="宋体"/>
                <w:sz w:val="20"/>
                <w:szCs w:val="20"/>
              </w:rPr>
            </w:pPr>
            <w:r>
              <w:rPr>
                <w:rFonts w:ascii="宋体" w:hAnsi="宋体" w:eastAsia="宋体" w:cs="宋体"/>
                <w:sz w:val="20"/>
                <w:szCs w:val="20"/>
                <w14:textOutline w14:w="3797" w14:cap="sq" w14:cmpd="sng" w14:algn="ctr">
                  <w14:solidFill>
                    <w14:srgbClr w14:val="000000"/>
                  </w14:solidFill>
                  <w14:prstDash w14:val="solid"/>
                  <w14:bevel/>
                </w14:textOutline>
              </w:rPr>
              <w:t>值</w:t>
            </w:r>
          </w:p>
        </w:tc>
        <w:tc>
          <w:tcPr>
            <w:tcW w:w="1126" w:type="dxa"/>
            <w:tcBorders>
              <w:right w:val="nil"/>
            </w:tcBorders>
          </w:tcPr>
          <w:p w14:paraId="4CEC72C5">
            <w:pPr>
              <w:spacing w:before="76" w:line="190" w:lineRule="auto"/>
              <w:ind w:left="537"/>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2</w:t>
            </w:r>
            <w:r>
              <w:rPr>
                <w:rFonts w:ascii="Times New Roman" w:hAnsi="Times New Roman" w:eastAsia="Times New Roman" w:cs="Times New Roman"/>
                <w:b/>
                <w:bCs/>
                <w:spacing w:val="4"/>
                <w:sz w:val="20"/>
                <w:szCs w:val="20"/>
              </w:rPr>
              <w:t>0</w:t>
            </w:r>
            <w:r>
              <w:rPr>
                <w:rFonts w:ascii="Times New Roman" w:hAnsi="Times New Roman" w:eastAsia="Times New Roman" w:cs="Times New Roman"/>
                <w:b/>
                <w:bCs/>
                <w:spacing w:val="3"/>
                <w:sz w:val="20"/>
                <w:szCs w:val="20"/>
              </w:rPr>
              <w:t>19.8</w:t>
            </w:r>
          </w:p>
        </w:tc>
        <w:tc>
          <w:tcPr>
            <w:tcW w:w="786" w:type="dxa"/>
            <w:tcBorders>
              <w:left w:val="nil"/>
            </w:tcBorders>
          </w:tcPr>
          <w:p w14:paraId="25FBC330">
            <w:pPr>
              <w:spacing w:before="76" w:line="190" w:lineRule="auto"/>
              <w:ind w:left="45"/>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7</w:t>
            </w:r>
          </w:p>
        </w:tc>
        <w:tc>
          <w:tcPr>
            <w:tcW w:w="1033" w:type="dxa"/>
            <w:tcBorders>
              <w:right w:val="nil"/>
            </w:tcBorders>
          </w:tcPr>
          <w:p w14:paraId="467BD730">
            <w:pPr>
              <w:spacing w:before="76" w:line="190" w:lineRule="auto"/>
              <w:ind w:left="615"/>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w:t>
            </w:r>
            <w:r>
              <w:rPr>
                <w:rFonts w:ascii="Times New Roman" w:hAnsi="Times New Roman" w:eastAsia="Times New Roman" w:cs="Times New Roman"/>
                <w:b/>
                <w:bCs/>
                <w:spacing w:val="3"/>
                <w:sz w:val="20"/>
                <w:szCs w:val="20"/>
              </w:rPr>
              <w:t>019</w:t>
            </w:r>
          </w:p>
        </w:tc>
        <w:tc>
          <w:tcPr>
            <w:tcW w:w="1031" w:type="dxa"/>
            <w:tcBorders>
              <w:left w:val="nil"/>
            </w:tcBorders>
          </w:tcPr>
          <w:p w14:paraId="17FB229C">
            <w:pPr>
              <w:spacing w:before="76" w:line="190" w:lineRule="auto"/>
              <w:ind w:left="57"/>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8</w:t>
            </w:r>
            <w:r>
              <w:rPr>
                <w:rFonts w:ascii="Times New Roman" w:hAnsi="Times New Roman" w:eastAsia="Times New Roman" w:cs="Times New Roman"/>
                <w:b/>
                <w:bCs/>
                <w:spacing w:val="3"/>
                <w:sz w:val="20"/>
                <w:szCs w:val="20"/>
              </w:rPr>
              <w:t>.</w:t>
            </w:r>
            <w:r>
              <w:rPr>
                <w:rFonts w:ascii="Times New Roman" w:hAnsi="Times New Roman" w:eastAsia="Times New Roman" w:cs="Times New Roman"/>
                <w:b/>
                <w:bCs/>
                <w:spacing w:val="2"/>
                <w:sz w:val="20"/>
                <w:szCs w:val="20"/>
              </w:rPr>
              <w:t>28</w:t>
            </w:r>
          </w:p>
        </w:tc>
        <w:tc>
          <w:tcPr>
            <w:tcW w:w="2064" w:type="dxa"/>
            <w:gridSpan w:val="2"/>
            <w:tcBorders>
              <w:right w:val="nil"/>
            </w:tcBorders>
          </w:tcPr>
          <w:p w14:paraId="186B69CE">
            <w:pPr>
              <w:spacing w:before="76" w:line="190" w:lineRule="auto"/>
              <w:ind w:left="615"/>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20</w:t>
            </w:r>
            <w:r>
              <w:rPr>
                <w:rFonts w:ascii="Times New Roman" w:hAnsi="Times New Roman" w:eastAsia="Times New Roman" w:cs="Times New Roman"/>
                <w:b/>
                <w:bCs/>
                <w:spacing w:val="3"/>
                <w:sz w:val="20"/>
                <w:szCs w:val="20"/>
              </w:rPr>
              <w:t>19.8.29</w:t>
            </w:r>
          </w:p>
        </w:tc>
      </w:tr>
      <w:tr w14:paraId="152E7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1032" w:type="dxa"/>
            <w:vMerge w:val="continue"/>
            <w:tcBorders>
              <w:top w:val="nil"/>
              <w:left w:val="nil"/>
            </w:tcBorders>
          </w:tcPr>
          <w:p w14:paraId="42E6190D"/>
        </w:tc>
        <w:tc>
          <w:tcPr>
            <w:tcW w:w="1421" w:type="dxa"/>
            <w:vMerge w:val="continue"/>
            <w:tcBorders>
              <w:top w:val="nil"/>
            </w:tcBorders>
          </w:tcPr>
          <w:p w14:paraId="105BE6A9"/>
        </w:tc>
        <w:tc>
          <w:tcPr>
            <w:tcW w:w="795" w:type="dxa"/>
            <w:vMerge w:val="continue"/>
            <w:tcBorders>
              <w:top w:val="nil"/>
            </w:tcBorders>
          </w:tcPr>
          <w:p w14:paraId="30AC9A31"/>
        </w:tc>
        <w:tc>
          <w:tcPr>
            <w:tcW w:w="1126" w:type="dxa"/>
          </w:tcPr>
          <w:p w14:paraId="68A41780">
            <w:pPr>
              <w:spacing w:before="51" w:line="228" w:lineRule="auto"/>
              <w:ind w:left="253"/>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监</w:t>
            </w:r>
            <w:r>
              <w:rPr>
                <w:rFonts w:ascii="宋体" w:hAnsi="宋体" w:eastAsia="宋体" w:cs="宋体"/>
                <w:spacing w:val="7"/>
                <w:sz w:val="20"/>
                <w:szCs w:val="20"/>
                <w14:textOutline w14:w="3797" w14:cap="sq" w14:cmpd="sng" w14:algn="ctr">
                  <w14:solidFill>
                    <w14:srgbClr w14:val="000000"/>
                  </w14:solidFill>
                  <w14:prstDash w14:val="solid"/>
                  <w14:bevel/>
                </w14:textOutline>
              </w:rPr>
              <w:t>测值</w:t>
            </w:r>
          </w:p>
        </w:tc>
        <w:tc>
          <w:tcPr>
            <w:tcW w:w="786" w:type="dxa"/>
          </w:tcPr>
          <w:p w14:paraId="7A267133">
            <w:pPr>
              <w:spacing w:before="11" w:line="289" w:lineRule="exact"/>
              <w:ind w:left="252"/>
              <w:rPr>
                <w:rFonts w:ascii="Times New Roman" w:hAnsi="Times New Roman" w:eastAsia="Times New Roman" w:cs="Times New Roman"/>
                <w:sz w:val="20"/>
                <w:szCs w:val="20"/>
              </w:rPr>
            </w:pPr>
            <w:r>
              <w:rPr>
                <w:rFonts w:ascii="Times New Roman" w:hAnsi="Times New Roman" w:eastAsia="Times New Roman" w:cs="Times New Roman"/>
                <w:b/>
                <w:bCs/>
                <w:position w:val="4"/>
                <w:sz w:val="20"/>
                <w:szCs w:val="20"/>
              </w:rPr>
              <w:t>Si,j</w:t>
            </w:r>
          </w:p>
        </w:tc>
        <w:tc>
          <w:tcPr>
            <w:tcW w:w="1033" w:type="dxa"/>
          </w:tcPr>
          <w:p w14:paraId="2FD19A5A">
            <w:pPr>
              <w:spacing w:before="51" w:line="228" w:lineRule="auto"/>
              <w:ind w:left="206"/>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监</w:t>
            </w:r>
            <w:r>
              <w:rPr>
                <w:rFonts w:ascii="宋体" w:hAnsi="宋体" w:eastAsia="宋体" w:cs="宋体"/>
                <w:spacing w:val="7"/>
                <w:sz w:val="20"/>
                <w:szCs w:val="20"/>
                <w14:textOutline w14:w="3797" w14:cap="sq" w14:cmpd="sng" w14:algn="ctr">
                  <w14:solidFill>
                    <w14:srgbClr w14:val="000000"/>
                  </w14:solidFill>
                  <w14:prstDash w14:val="solid"/>
                  <w14:bevel/>
                </w14:textOutline>
              </w:rPr>
              <w:t>测值</w:t>
            </w:r>
          </w:p>
        </w:tc>
        <w:tc>
          <w:tcPr>
            <w:tcW w:w="1031" w:type="dxa"/>
          </w:tcPr>
          <w:p w14:paraId="171B4D08">
            <w:pPr>
              <w:spacing w:before="11" w:line="289" w:lineRule="exact"/>
              <w:ind w:left="375"/>
              <w:rPr>
                <w:rFonts w:ascii="Times New Roman" w:hAnsi="Times New Roman" w:eastAsia="Times New Roman" w:cs="Times New Roman"/>
                <w:sz w:val="20"/>
                <w:szCs w:val="20"/>
              </w:rPr>
            </w:pPr>
            <w:r>
              <w:rPr>
                <w:rFonts w:ascii="Times New Roman" w:hAnsi="Times New Roman" w:eastAsia="Times New Roman" w:cs="Times New Roman"/>
                <w:b/>
                <w:bCs/>
                <w:position w:val="4"/>
                <w:sz w:val="20"/>
                <w:szCs w:val="20"/>
              </w:rPr>
              <w:t>Si,j</w:t>
            </w:r>
          </w:p>
        </w:tc>
        <w:tc>
          <w:tcPr>
            <w:tcW w:w="1032" w:type="dxa"/>
          </w:tcPr>
          <w:p w14:paraId="0D66F9AF">
            <w:pPr>
              <w:spacing w:before="51" w:line="228" w:lineRule="auto"/>
              <w:ind w:left="206"/>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监</w:t>
            </w:r>
            <w:r>
              <w:rPr>
                <w:rFonts w:ascii="宋体" w:hAnsi="宋体" w:eastAsia="宋体" w:cs="宋体"/>
                <w:spacing w:val="7"/>
                <w:sz w:val="20"/>
                <w:szCs w:val="20"/>
                <w14:textOutline w14:w="3797" w14:cap="sq" w14:cmpd="sng" w14:algn="ctr">
                  <w14:solidFill>
                    <w14:srgbClr w14:val="000000"/>
                  </w14:solidFill>
                  <w14:prstDash w14:val="solid"/>
                  <w14:bevel/>
                </w14:textOutline>
              </w:rPr>
              <w:t>测值</w:t>
            </w:r>
          </w:p>
        </w:tc>
        <w:tc>
          <w:tcPr>
            <w:tcW w:w="1032" w:type="dxa"/>
            <w:tcBorders>
              <w:right w:val="nil"/>
            </w:tcBorders>
          </w:tcPr>
          <w:p w14:paraId="428576E1">
            <w:pPr>
              <w:spacing w:before="11" w:line="289" w:lineRule="exact"/>
              <w:ind w:left="376"/>
              <w:rPr>
                <w:rFonts w:ascii="Times New Roman" w:hAnsi="Times New Roman" w:eastAsia="Times New Roman" w:cs="Times New Roman"/>
                <w:sz w:val="20"/>
                <w:szCs w:val="20"/>
              </w:rPr>
            </w:pPr>
            <w:r>
              <w:rPr>
                <w:rFonts w:ascii="Times New Roman" w:hAnsi="Times New Roman" w:eastAsia="Times New Roman" w:cs="Times New Roman"/>
                <w:b/>
                <w:bCs/>
                <w:position w:val="4"/>
                <w:sz w:val="20"/>
                <w:szCs w:val="20"/>
              </w:rPr>
              <w:t>Si,j</w:t>
            </w:r>
          </w:p>
        </w:tc>
      </w:tr>
      <w:tr w14:paraId="5BB50A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032" w:type="dxa"/>
            <w:vMerge w:val="restart"/>
            <w:tcBorders>
              <w:left w:val="nil"/>
              <w:bottom w:val="nil"/>
            </w:tcBorders>
          </w:tcPr>
          <w:p w14:paraId="331C1FB0">
            <w:pPr>
              <w:spacing w:line="272" w:lineRule="auto"/>
            </w:pPr>
          </w:p>
          <w:p w14:paraId="58F86639">
            <w:pPr>
              <w:spacing w:line="273" w:lineRule="auto"/>
            </w:pPr>
          </w:p>
          <w:p w14:paraId="4C7676E4">
            <w:pPr>
              <w:spacing w:line="273" w:lineRule="auto"/>
            </w:pPr>
          </w:p>
          <w:p w14:paraId="77BBEF07">
            <w:pPr>
              <w:spacing w:line="273" w:lineRule="auto"/>
            </w:pPr>
          </w:p>
          <w:p w14:paraId="7FCDD673">
            <w:pPr>
              <w:spacing w:before="65" w:line="267" w:lineRule="auto"/>
              <w:ind w:left="209" w:right="174" w:hanging="20"/>
              <w:rPr>
                <w:rFonts w:ascii="宋体" w:hAnsi="宋体" w:eastAsia="宋体" w:cs="宋体"/>
                <w:sz w:val="20"/>
                <w:szCs w:val="20"/>
              </w:rPr>
            </w:pPr>
            <w:r>
              <w:rPr>
                <w:rFonts w:ascii="Times New Roman" w:hAnsi="Times New Roman" w:eastAsia="Times New Roman" w:cs="Times New Roman"/>
                <w:sz w:val="20"/>
                <w:szCs w:val="20"/>
              </w:rPr>
              <w:t>SW</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羊</w:t>
            </w:r>
            <w:r>
              <w:rPr>
                <w:rFonts w:ascii="宋体" w:hAnsi="宋体" w:eastAsia="宋体" w:cs="宋体"/>
                <w:sz w:val="20"/>
                <w:szCs w:val="20"/>
              </w:rPr>
              <w:t xml:space="preserve"> </w:t>
            </w:r>
            <w:r>
              <w:rPr>
                <w:rFonts w:ascii="宋体" w:hAnsi="宋体" w:eastAsia="宋体" w:cs="宋体"/>
                <w:spacing w:val="7"/>
                <w:sz w:val="20"/>
                <w:szCs w:val="20"/>
              </w:rPr>
              <w:t>叉</w:t>
            </w:r>
            <w:r>
              <w:rPr>
                <w:rFonts w:ascii="宋体" w:hAnsi="宋体" w:eastAsia="宋体" w:cs="宋体"/>
                <w:spacing w:val="6"/>
                <w:sz w:val="20"/>
                <w:szCs w:val="20"/>
              </w:rPr>
              <w:t>水库</w:t>
            </w:r>
          </w:p>
        </w:tc>
        <w:tc>
          <w:tcPr>
            <w:tcW w:w="1421" w:type="dxa"/>
          </w:tcPr>
          <w:p w14:paraId="16A9042C">
            <w:pPr>
              <w:spacing w:before="30" w:line="221" w:lineRule="auto"/>
              <w:ind w:left="105"/>
              <w:rPr>
                <w:rFonts w:ascii="宋体" w:hAnsi="宋体" w:eastAsia="宋体" w:cs="宋体"/>
                <w:sz w:val="20"/>
                <w:szCs w:val="20"/>
              </w:rPr>
            </w:pPr>
            <w:r>
              <w:rPr>
                <w:rFonts w:ascii="Times New Roman" w:hAnsi="Times New Roman" w:eastAsia="Times New Roman" w:cs="Times New Roman"/>
                <w:sz w:val="20"/>
                <w:szCs w:val="20"/>
              </w:rPr>
              <w:t>pH</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(无量纲</w:t>
            </w:r>
            <w:r>
              <w:rPr>
                <w:rFonts w:ascii="宋体" w:hAnsi="宋体" w:eastAsia="宋体" w:cs="宋体"/>
                <w:spacing w:val="6"/>
                <w:sz w:val="20"/>
                <w:szCs w:val="20"/>
              </w:rPr>
              <w:t>)</w:t>
            </w:r>
          </w:p>
        </w:tc>
        <w:tc>
          <w:tcPr>
            <w:tcW w:w="795" w:type="dxa"/>
          </w:tcPr>
          <w:p w14:paraId="6D11D257">
            <w:pPr>
              <w:spacing w:before="66" w:line="195" w:lineRule="auto"/>
              <w:ind w:left="24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w:t>
            </w:r>
            <w:r>
              <w:rPr>
                <w:rFonts w:ascii="Times New Roman" w:hAnsi="Times New Roman" w:eastAsia="Times New Roman" w:cs="Times New Roman"/>
                <w:spacing w:val="1"/>
                <w:sz w:val="20"/>
                <w:szCs w:val="20"/>
              </w:rPr>
              <w:t>9</w:t>
            </w:r>
          </w:p>
        </w:tc>
        <w:tc>
          <w:tcPr>
            <w:tcW w:w="1126" w:type="dxa"/>
          </w:tcPr>
          <w:p w14:paraId="5FBF42F3"/>
        </w:tc>
        <w:tc>
          <w:tcPr>
            <w:tcW w:w="786" w:type="dxa"/>
          </w:tcPr>
          <w:p w14:paraId="47783B1E"/>
        </w:tc>
        <w:tc>
          <w:tcPr>
            <w:tcW w:w="1033" w:type="dxa"/>
          </w:tcPr>
          <w:p w14:paraId="6A80DBBE"/>
        </w:tc>
        <w:tc>
          <w:tcPr>
            <w:tcW w:w="1031" w:type="dxa"/>
          </w:tcPr>
          <w:p w14:paraId="6C7AECCD"/>
        </w:tc>
        <w:tc>
          <w:tcPr>
            <w:tcW w:w="1032" w:type="dxa"/>
          </w:tcPr>
          <w:p w14:paraId="42DB5A13"/>
        </w:tc>
        <w:tc>
          <w:tcPr>
            <w:tcW w:w="1032" w:type="dxa"/>
            <w:tcBorders>
              <w:right w:val="nil"/>
            </w:tcBorders>
          </w:tcPr>
          <w:p w14:paraId="741B706D"/>
        </w:tc>
      </w:tr>
      <w:tr w14:paraId="338B83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032" w:type="dxa"/>
            <w:vMerge w:val="continue"/>
            <w:tcBorders>
              <w:top w:val="nil"/>
              <w:left w:val="nil"/>
              <w:bottom w:val="nil"/>
            </w:tcBorders>
          </w:tcPr>
          <w:p w14:paraId="4B617325"/>
        </w:tc>
        <w:tc>
          <w:tcPr>
            <w:tcW w:w="1421" w:type="dxa"/>
          </w:tcPr>
          <w:p w14:paraId="748B42AE">
            <w:pPr>
              <w:spacing w:before="31" w:line="227" w:lineRule="auto"/>
              <w:ind w:left="402"/>
              <w:rPr>
                <w:rFonts w:ascii="宋体" w:hAnsi="宋体" w:eastAsia="宋体" w:cs="宋体"/>
                <w:sz w:val="20"/>
                <w:szCs w:val="20"/>
              </w:rPr>
            </w:pPr>
            <w:r>
              <w:rPr>
                <w:rFonts w:ascii="宋体" w:hAnsi="宋体" w:eastAsia="宋体" w:cs="宋体"/>
                <w:spacing w:val="6"/>
                <w:sz w:val="20"/>
                <w:szCs w:val="20"/>
              </w:rPr>
              <w:t>悬浮物</w:t>
            </w:r>
          </w:p>
        </w:tc>
        <w:tc>
          <w:tcPr>
            <w:tcW w:w="795" w:type="dxa"/>
          </w:tcPr>
          <w:p w14:paraId="1D8A1129">
            <w:pPr>
              <w:spacing w:before="67" w:line="195" w:lineRule="auto"/>
              <w:ind w:left="29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z w:val="20"/>
                <w:szCs w:val="20"/>
              </w:rPr>
              <w:t>0</w:t>
            </w:r>
          </w:p>
        </w:tc>
        <w:tc>
          <w:tcPr>
            <w:tcW w:w="1126" w:type="dxa"/>
          </w:tcPr>
          <w:p w14:paraId="54C126CA"/>
        </w:tc>
        <w:tc>
          <w:tcPr>
            <w:tcW w:w="786" w:type="dxa"/>
          </w:tcPr>
          <w:p w14:paraId="10F9E582"/>
        </w:tc>
        <w:tc>
          <w:tcPr>
            <w:tcW w:w="1033" w:type="dxa"/>
          </w:tcPr>
          <w:p w14:paraId="5DE662B3"/>
        </w:tc>
        <w:tc>
          <w:tcPr>
            <w:tcW w:w="1031" w:type="dxa"/>
          </w:tcPr>
          <w:p w14:paraId="6A6548E3"/>
        </w:tc>
        <w:tc>
          <w:tcPr>
            <w:tcW w:w="1032" w:type="dxa"/>
          </w:tcPr>
          <w:p w14:paraId="4AAA20D4"/>
        </w:tc>
        <w:tc>
          <w:tcPr>
            <w:tcW w:w="1032" w:type="dxa"/>
            <w:tcBorders>
              <w:right w:val="nil"/>
            </w:tcBorders>
          </w:tcPr>
          <w:p w14:paraId="7BBA4239"/>
        </w:tc>
      </w:tr>
      <w:tr w14:paraId="6B7D3B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032" w:type="dxa"/>
            <w:vMerge w:val="continue"/>
            <w:tcBorders>
              <w:top w:val="nil"/>
              <w:left w:val="nil"/>
              <w:bottom w:val="nil"/>
            </w:tcBorders>
          </w:tcPr>
          <w:p w14:paraId="0A3D32FB"/>
        </w:tc>
        <w:tc>
          <w:tcPr>
            <w:tcW w:w="1421" w:type="dxa"/>
          </w:tcPr>
          <w:p w14:paraId="68D986DF">
            <w:pPr>
              <w:spacing w:before="32" w:line="226" w:lineRule="auto"/>
              <w:ind w:left="511"/>
              <w:rPr>
                <w:rFonts w:ascii="宋体" w:hAnsi="宋体" w:eastAsia="宋体" w:cs="宋体"/>
                <w:sz w:val="20"/>
                <w:szCs w:val="20"/>
              </w:rPr>
            </w:pPr>
            <w:r>
              <w:rPr>
                <w:rFonts w:ascii="宋体" w:hAnsi="宋体" w:eastAsia="宋体" w:cs="宋体"/>
                <w:spacing w:val="2"/>
                <w:sz w:val="20"/>
                <w:szCs w:val="20"/>
              </w:rPr>
              <w:t>总磷</w:t>
            </w:r>
          </w:p>
        </w:tc>
        <w:tc>
          <w:tcPr>
            <w:tcW w:w="795" w:type="dxa"/>
          </w:tcPr>
          <w:p w14:paraId="7C1801FC">
            <w:pPr>
              <w:spacing w:before="68" w:line="195" w:lineRule="auto"/>
              <w:ind w:left="27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w:t>
            </w:r>
            <w:r>
              <w:rPr>
                <w:rFonts w:ascii="Times New Roman" w:hAnsi="Times New Roman" w:eastAsia="Times New Roman" w:cs="Times New Roman"/>
                <w:spacing w:val="1"/>
                <w:sz w:val="20"/>
                <w:szCs w:val="20"/>
              </w:rPr>
              <w:t>2</w:t>
            </w:r>
          </w:p>
        </w:tc>
        <w:tc>
          <w:tcPr>
            <w:tcW w:w="1126" w:type="dxa"/>
          </w:tcPr>
          <w:p w14:paraId="40110CBE"/>
        </w:tc>
        <w:tc>
          <w:tcPr>
            <w:tcW w:w="786" w:type="dxa"/>
          </w:tcPr>
          <w:p w14:paraId="6922B9F3"/>
        </w:tc>
        <w:tc>
          <w:tcPr>
            <w:tcW w:w="1033" w:type="dxa"/>
          </w:tcPr>
          <w:p w14:paraId="744492D0"/>
        </w:tc>
        <w:tc>
          <w:tcPr>
            <w:tcW w:w="1031" w:type="dxa"/>
          </w:tcPr>
          <w:p w14:paraId="05C13937"/>
        </w:tc>
        <w:tc>
          <w:tcPr>
            <w:tcW w:w="1032" w:type="dxa"/>
          </w:tcPr>
          <w:p w14:paraId="60BCAC00"/>
        </w:tc>
        <w:tc>
          <w:tcPr>
            <w:tcW w:w="1032" w:type="dxa"/>
            <w:tcBorders>
              <w:right w:val="nil"/>
            </w:tcBorders>
          </w:tcPr>
          <w:p w14:paraId="411F5E9B"/>
        </w:tc>
      </w:tr>
      <w:tr w14:paraId="38AB56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032" w:type="dxa"/>
            <w:vMerge w:val="continue"/>
            <w:tcBorders>
              <w:top w:val="nil"/>
              <w:left w:val="nil"/>
              <w:bottom w:val="nil"/>
            </w:tcBorders>
          </w:tcPr>
          <w:p w14:paraId="3E6612E4"/>
        </w:tc>
        <w:tc>
          <w:tcPr>
            <w:tcW w:w="1421" w:type="dxa"/>
          </w:tcPr>
          <w:p w14:paraId="6CEF88AC">
            <w:pPr>
              <w:spacing w:before="31" w:line="227" w:lineRule="auto"/>
              <w:ind w:left="192"/>
              <w:rPr>
                <w:rFonts w:ascii="宋体" w:hAnsi="宋体" w:eastAsia="宋体" w:cs="宋体"/>
                <w:sz w:val="20"/>
                <w:szCs w:val="20"/>
              </w:rPr>
            </w:pPr>
            <w:r>
              <w:rPr>
                <w:rFonts w:ascii="宋体" w:hAnsi="宋体" w:eastAsia="宋体" w:cs="宋体"/>
                <w:spacing w:val="8"/>
                <w:sz w:val="20"/>
                <w:szCs w:val="20"/>
              </w:rPr>
              <w:t>化学需氧</w:t>
            </w:r>
            <w:r>
              <w:rPr>
                <w:rFonts w:ascii="宋体" w:hAnsi="宋体" w:eastAsia="宋体" w:cs="宋体"/>
                <w:spacing w:val="7"/>
                <w:sz w:val="20"/>
                <w:szCs w:val="20"/>
              </w:rPr>
              <w:t>量</w:t>
            </w:r>
          </w:p>
        </w:tc>
        <w:tc>
          <w:tcPr>
            <w:tcW w:w="795" w:type="dxa"/>
          </w:tcPr>
          <w:p w14:paraId="3C5B1224">
            <w:pPr>
              <w:spacing w:before="67" w:line="195" w:lineRule="auto"/>
              <w:ind w:left="29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
                <w:sz w:val="20"/>
                <w:szCs w:val="20"/>
              </w:rPr>
              <w:t>0</w:t>
            </w:r>
          </w:p>
        </w:tc>
        <w:tc>
          <w:tcPr>
            <w:tcW w:w="1126" w:type="dxa"/>
          </w:tcPr>
          <w:p w14:paraId="0CD3B909"/>
        </w:tc>
        <w:tc>
          <w:tcPr>
            <w:tcW w:w="786" w:type="dxa"/>
          </w:tcPr>
          <w:p w14:paraId="316E4C76"/>
        </w:tc>
        <w:tc>
          <w:tcPr>
            <w:tcW w:w="1033" w:type="dxa"/>
          </w:tcPr>
          <w:p w14:paraId="6F781B90"/>
        </w:tc>
        <w:tc>
          <w:tcPr>
            <w:tcW w:w="1031" w:type="dxa"/>
          </w:tcPr>
          <w:p w14:paraId="6DC65533"/>
        </w:tc>
        <w:tc>
          <w:tcPr>
            <w:tcW w:w="1032" w:type="dxa"/>
          </w:tcPr>
          <w:p w14:paraId="6CBF8953"/>
        </w:tc>
        <w:tc>
          <w:tcPr>
            <w:tcW w:w="1032" w:type="dxa"/>
            <w:tcBorders>
              <w:right w:val="nil"/>
            </w:tcBorders>
          </w:tcPr>
          <w:p w14:paraId="0B04227A"/>
        </w:tc>
      </w:tr>
      <w:tr w14:paraId="3C14E7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032" w:type="dxa"/>
            <w:vMerge w:val="continue"/>
            <w:tcBorders>
              <w:top w:val="nil"/>
              <w:left w:val="nil"/>
              <w:bottom w:val="nil"/>
            </w:tcBorders>
          </w:tcPr>
          <w:p w14:paraId="201E43C0"/>
        </w:tc>
        <w:tc>
          <w:tcPr>
            <w:tcW w:w="1421" w:type="dxa"/>
          </w:tcPr>
          <w:p w14:paraId="4419D52C">
            <w:pPr>
              <w:spacing w:before="33" w:line="238" w:lineRule="auto"/>
              <w:ind w:left="505" w:right="181" w:hanging="311"/>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五日生化</w:t>
            </w:r>
            <w:r>
              <w:rPr>
                <w:rFonts w:ascii="宋体" w:hAnsi="宋体" w:eastAsia="宋体" w:cs="宋体"/>
                <w:spacing w:val="7"/>
                <w:sz w:val="20"/>
                <w:szCs w:val="20"/>
                <w14:textOutline w14:w="3797" w14:cap="sq" w14:cmpd="sng" w14:algn="ctr">
                  <w14:solidFill>
                    <w14:srgbClr w14:val="000000"/>
                  </w14:solidFill>
                  <w14:prstDash w14:val="solid"/>
                  <w14:bevel/>
                </w14:textOutline>
              </w:rPr>
              <w:t>需</w:t>
            </w:r>
            <w:r>
              <w:rPr>
                <w:rFonts w:ascii="宋体" w:hAnsi="宋体" w:eastAsia="宋体" w:cs="宋体"/>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氧</w:t>
            </w:r>
            <w:r>
              <w:rPr>
                <w:rFonts w:ascii="宋体" w:hAnsi="宋体" w:eastAsia="宋体" w:cs="宋体"/>
                <w:spacing w:val="5"/>
                <w:sz w:val="20"/>
                <w:szCs w:val="20"/>
                <w14:textOutline w14:w="3797" w14:cap="sq" w14:cmpd="sng" w14:algn="ctr">
                  <w14:solidFill>
                    <w14:srgbClr w14:val="000000"/>
                  </w14:solidFill>
                  <w14:prstDash w14:val="solid"/>
                  <w14:bevel/>
                </w14:textOutline>
              </w:rPr>
              <w:t>量</w:t>
            </w:r>
          </w:p>
        </w:tc>
        <w:tc>
          <w:tcPr>
            <w:tcW w:w="795" w:type="dxa"/>
          </w:tcPr>
          <w:p w14:paraId="2E13CA35">
            <w:pPr>
              <w:spacing w:before="205" w:line="198" w:lineRule="auto"/>
              <w:ind w:left="269"/>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4</w:t>
            </w:r>
            <w:r>
              <w:rPr>
                <w:rFonts w:ascii="Times New Roman" w:hAnsi="Times New Roman" w:eastAsia="Times New Roman" w:cs="Times New Roman"/>
                <w:b/>
                <w:bCs/>
                <w:spacing w:val="2"/>
                <w:sz w:val="20"/>
                <w:szCs w:val="20"/>
              </w:rPr>
              <w:t>.0</w:t>
            </w:r>
          </w:p>
        </w:tc>
        <w:tc>
          <w:tcPr>
            <w:tcW w:w="1126" w:type="dxa"/>
          </w:tcPr>
          <w:p w14:paraId="48412932"/>
        </w:tc>
        <w:tc>
          <w:tcPr>
            <w:tcW w:w="786" w:type="dxa"/>
          </w:tcPr>
          <w:p w14:paraId="06D64A1F"/>
        </w:tc>
        <w:tc>
          <w:tcPr>
            <w:tcW w:w="1033" w:type="dxa"/>
          </w:tcPr>
          <w:p w14:paraId="65E62A67"/>
        </w:tc>
        <w:tc>
          <w:tcPr>
            <w:tcW w:w="1031" w:type="dxa"/>
          </w:tcPr>
          <w:p w14:paraId="49F59286"/>
        </w:tc>
        <w:tc>
          <w:tcPr>
            <w:tcW w:w="1032" w:type="dxa"/>
          </w:tcPr>
          <w:p w14:paraId="6D03081A"/>
        </w:tc>
        <w:tc>
          <w:tcPr>
            <w:tcW w:w="1032" w:type="dxa"/>
            <w:tcBorders>
              <w:right w:val="nil"/>
            </w:tcBorders>
          </w:tcPr>
          <w:p w14:paraId="285ABD17"/>
        </w:tc>
      </w:tr>
      <w:tr w14:paraId="1FB074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32" w:type="dxa"/>
            <w:vMerge w:val="continue"/>
            <w:tcBorders>
              <w:top w:val="nil"/>
              <w:left w:val="nil"/>
              <w:bottom w:val="nil"/>
            </w:tcBorders>
          </w:tcPr>
          <w:p w14:paraId="0909E81E"/>
        </w:tc>
        <w:tc>
          <w:tcPr>
            <w:tcW w:w="1421" w:type="dxa"/>
          </w:tcPr>
          <w:p w14:paraId="5C1A86D0">
            <w:pPr>
              <w:spacing w:before="33" w:line="224" w:lineRule="auto"/>
              <w:ind w:left="505"/>
              <w:rPr>
                <w:rFonts w:ascii="宋体" w:hAnsi="宋体" w:eastAsia="宋体" w:cs="宋体"/>
                <w:sz w:val="20"/>
                <w:szCs w:val="20"/>
              </w:rPr>
            </w:pPr>
            <w:r>
              <w:rPr>
                <w:rFonts w:ascii="宋体" w:hAnsi="宋体" w:eastAsia="宋体" w:cs="宋体"/>
                <w:spacing w:val="5"/>
                <w:sz w:val="20"/>
                <w:szCs w:val="20"/>
              </w:rPr>
              <w:t>氨</w:t>
            </w:r>
            <w:r>
              <w:rPr>
                <w:rFonts w:ascii="宋体" w:hAnsi="宋体" w:eastAsia="宋体" w:cs="宋体"/>
                <w:spacing w:val="4"/>
                <w:sz w:val="20"/>
                <w:szCs w:val="20"/>
              </w:rPr>
              <w:t>氮</w:t>
            </w:r>
          </w:p>
        </w:tc>
        <w:tc>
          <w:tcPr>
            <w:tcW w:w="795" w:type="dxa"/>
          </w:tcPr>
          <w:p w14:paraId="00B2B115">
            <w:pPr>
              <w:spacing w:before="68" w:line="198" w:lineRule="auto"/>
              <w:ind w:left="28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w:t>
            </w:r>
          </w:p>
        </w:tc>
        <w:tc>
          <w:tcPr>
            <w:tcW w:w="1126" w:type="dxa"/>
          </w:tcPr>
          <w:p w14:paraId="62402C19"/>
        </w:tc>
        <w:tc>
          <w:tcPr>
            <w:tcW w:w="786" w:type="dxa"/>
          </w:tcPr>
          <w:p w14:paraId="52E8A122"/>
        </w:tc>
        <w:tc>
          <w:tcPr>
            <w:tcW w:w="1033" w:type="dxa"/>
          </w:tcPr>
          <w:p w14:paraId="417A89CA"/>
        </w:tc>
        <w:tc>
          <w:tcPr>
            <w:tcW w:w="1031" w:type="dxa"/>
          </w:tcPr>
          <w:p w14:paraId="1504EE91"/>
        </w:tc>
        <w:tc>
          <w:tcPr>
            <w:tcW w:w="1032" w:type="dxa"/>
          </w:tcPr>
          <w:p w14:paraId="7940DE87"/>
        </w:tc>
        <w:tc>
          <w:tcPr>
            <w:tcW w:w="1032" w:type="dxa"/>
            <w:tcBorders>
              <w:right w:val="nil"/>
            </w:tcBorders>
          </w:tcPr>
          <w:p w14:paraId="48A5E78A"/>
        </w:tc>
      </w:tr>
      <w:tr w14:paraId="4C1976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1032" w:type="dxa"/>
            <w:vMerge w:val="continue"/>
            <w:tcBorders>
              <w:top w:val="nil"/>
              <w:left w:val="nil"/>
            </w:tcBorders>
          </w:tcPr>
          <w:p w14:paraId="4F7C8906"/>
        </w:tc>
        <w:tc>
          <w:tcPr>
            <w:tcW w:w="1421" w:type="dxa"/>
          </w:tcPr>
          <w:p w14:paraId="77A194C0">
            <w:pPr>
              <w:spacing w:before="80" w:line="228" w:lineRule="auto"/>
              <w:ind w:left="192"/>
              <w:rPr>
                <w:rFonts w:ascii="宋体" w:hAnsi="宋体" w:eastAsia="宋体" w:cs="宋体"/>
                <w:sz w:val="20"/>
                <w:szCs w:val="20"/>
              </w:rPr>
            </w:pPr>
            <w:r>
              <w:rPr>
                <w:rFonts w:ascii="宋体" w:hAnsi="宋体" w:eastAsia="宋体" w:cs="宋体"/>
                <w:spacing w:val="8"/>
                <w:sz w:val="20"/>
                <w:szCs w:val="20"/>
              </w:rPr>
              <w:t>粪大肠菌</w:t>
            </w:r>
            <w:r>
              <w:rPr>
                <w:rFonts w:ascii="宋体" w:hAnsi="宋体" w:eastAsia="宋体" w:cs="宋体"/>
                <w:spacing w:val="7"/>
                <w:sz w:val="20"/>
                <w:szCs w:val="20"/>
              </w:rPr>
              <w:t>群</w:t>
            </w:r>
          </w:p>
        </w:tc>
        <w:tc>
          <w:tcPr>
            <w:tcW w:w="795" w:type="dxa"/>
          </w:tcPr>
          <w:p w14:paraId="0CD48755">
            <w:pPr>
              <w:spacing w:before="116" w:line="195" w:lineRule="auto"/>
              <w:ind w:left="156"/>
              <w:rPr>
                <w:rFonts w:ascii="Times New Roman" w:hAnsi="Times New Roman" w:eastAsia="Times New Roman" w:cs="Times New Roman"/>
                <w:sz w:val="20"/>
                <w:szCs w:val="20"/>
              </w:rPr>
            </w:pPr>
            <w:r>
              <w:rPr>
                <w:rFonts w:ascii="Times New Roman" w:hAnsi="Times New Roman" w:eastAsia="Times New Roman" w:cs="Times New Roman"/>
                <w:sz w:val="20"/>
                <w:szCs w:val="20"/>
              </w:rPr>
              <w:t>10000</w:t>
            </w:r>
          </w:p>
        </w:tc>
        <w:tc>
          <w:tcPr>
            <w:tcW w:w="1126" w:type="dxa"/>
          </w:tcPr>
          <w:p w14:paraId="50588BD7"/>
        </w:tc>
        <w:tc>
          <w:tcPr>
            <w:tcW w:w="786" w:type="dxa"/>
          </w:tcPr>
          <w:p w14:paraId="6FF98747"/>
        </w:tc>
        <w:tc>
          <w:tcPr>
            <w:tcW w:w="1033" w:type="dxa"/>
          </w:tcPr>
          <w:p w14:paraId="52C79645"/>
        </w:tc>
        <w:tc>
          <w:tcPr>
            <w:tcW w:w="1031" w:type="dxa"/>
          </w:tcPr>
          <w:p w14:paraId="4DDCA90F"/>
        </w:tc>
        <w:tc>
          <w:tcPr>
            <w:tcW w:w="1032" w:type="dxa"/>
          </w:tcPr>
          <w:p w14:paraId="254E960B"/>
        </w:tc>
        <w:tc>
          <w:tcPr>
            <w:tcW w:w="1032" w:type="dxa"/>
            <w:tcBorders>
              <w:right w:val="nil"/>
            </w:tcBorders>
          </w:tcPr>
          <w:p w14:paraId="52DEE58F"/>
        </w:tc>
      </w:tr>
      <w:tr w14:paraId="65C0F7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032" w:type="dxa"/>
            <w:vMerge w:val="restart"/>
            <w:tcBorders>
              <w:left w:val="nil"/>
              <w:bottom w:val="nil"/>
            </w:tcBorders>
          </w:tcPr>
          <w:p w14:paraId="07DCD353">
            <w:pPr>
              <w:spacing w:line="270" w:lineRule="auto"/>
            </w:pPr>
          </w:p>
          <w:p w14:paraId="3DA3DF15">
            <w:pPr>
              <w:spacing w:line="271" w:lineRule="auto"/>
            </w:pPr>
          </w:p>
          <w:p w14:paraId="52B210DA">
            <w:pPr>
              <w:spacing w:line="271" w:lineRule="auto"/>
            </w:pPr>
          </w:p>
          <w:p w14:paraId="143D6E70">
            <w:pPr>
              <w:spacing w:before="65" w:line="265" w:lineRule="auto"/>
              <w:ind w:left="207" w:right="174" w:hanging="18"/>
              <w:rPr>
                <w:rFonts w:ascii="宋体" w:hAnsi="宋体" w:eastAsia="宋体" w:cs="宋体"/>
                <w:sz w:val="20"/>
                <w:szCs w:val="20"/>
              </w:rPr>
            </w:pPr>
            <w:r>
              <w:rPr>
                <w:rFonts w:ascii="Times New Roman" w:hAnsi="Times New Roman" w:eastAsia="Times New Roman" w:cs="Times New Roman"/>
                <w:sz w:val="20"/>
                <w:szCs w:val="20"/>
              </w:rPr>
              <w:t>SW</w:t>
            </w:r>
            <w:r>
              <w:rPr>
                <w:rFonts w:ascii="Times New Roman" w:hAnsi="Times New Roman" w:eastAsia="Times New Roman" w:cs="Times New Roman"/>
                <w:spacing w:val="6"/>
                <w:sz w:val="20"/>
                <w:szCs w:val="20"/>
              </w:rPr>
              <w:t>2</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全</w:t>
            </w:r>
            <w:r>
              <w:rPr>
                <w:rFonts w:ascii="宋体" w:hAnsi="宋体" w:eastAsia="宋体" w:cs="宋体"/>
                <w:sz w:val="20"/>
                <w:szCs w:val="20"/>
              </w:rPr>
              <w:t xml:space="preserve"> </w:t>
            </w:r>
            <w:r>
              <w:rPr>
                <w:rFonts w:ascii="宋体" w:hAnsi="宋体" w:eastAsia="宋体" w:cs="宋体"/>
                <w:spacing w:val="7"/>
                <w:sz w:val="20"/>
                <w:szCs w:val="20"/>
              </w:rPr>
              <w:t>胜水</w:t>
            </w:r>
            <w:r>
              <w:rPr>
                <w:rFonts w:ascii="宋体" w:hAnsi="宋体" w:eastAsia="宋体" w:cs="宋体"/>
                <w:spacing w:val="6"/>
                <w:sz w:val="20"/>
                <w:szCs w:val="20"/>
              </w:rPr>
              <w:t>库</w:t>
            </w:r>
          </w:p>
        </w:tc>
        <w:tc>
          <w:tcPr>
            <w:tcW w:w="1421" w:type="dxa"/>
          </w:tcPr>
          <w:p w14:paraId="13C2801A">
            <w:pPr>
              <w:spacing w:before="35" w:line="221" w:lineRule="auto"/>
              <w:ind w:left="105"/>
              <w:rPr>
                <w:rFonts w:ascii="宋体" w:hAnsi="宋体" w:eastAsia="宋体" w:cs="宋体"/>
                <w:sz w:val="20"/>
                <w:szCs w:val="20"/>
              </w:rPr>
            </w:pPr>
            <w:r>
              <w:rPr>
                <w:rFonts w:ascii="Times New Roman" w:hAnsi="Times New Roman" w:eastAsia="Times New Roman" w:cs="Times New Roman"/>
                <w:sz w:val="20"/>
                <w:szCs w:val="20"/>
              </w:rPr>
              <w:t>pH</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(无量纲</w:t>
            </w:r>
            <w:r>
              <w:rPr>
                <w:rFonts w:ascii="宋体" w:hAnsi="宋体" w:eastAsia="宋体" w:cs="宋体"/>
                <w:spacing w:val="6"/>
                <w:sz w:val="20"/>
                <w:szCs w:val="20"/>
              </w:rPr>
              <w:t>)</w:t>
            </w:r>
          </w:p>
        </w:tc>
        <w:tc>
          <w:tcPr>
            <w:tcW w:w="795" w:type="dxa"/>
          </w:tcPr>
          <w:p w14:paraId="27B92EE0">
            <w:pPr>
              <w:spacing w:before="71" w:line="195" w:lineRule="auto"/>
              <w:ind w:left="24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w:t>
            </w:r>
            <w:r>
              <w:rPr>
                <w:rFonts w:ascii="Times New Roman" w:hAnsi="Times New Roman" w:eastAsia="Times New Roman" w:cs="Times New Roman"/>
                <w:spacing w:val="1"/>
                <w:sz w:val="20"/>
                <w:szCs w:val="20"/>
              </w:rPr>
              <w:t>9</w:t>
            </w:r>
          </w:p>
        </w:tc>
        <w:tc>
          <w:tcPr>
            <w:tcW w:w="1126" w:type="dxa"/>
          </w:tcPr>
          <w:p w14:paraId="06482185"/>
        </w:tc>
        <w:tc>
          <w:tcPr>
            <w:tcW w:w="786" w:type="dxa"/>
          </w:tcPr>
          <w:p w14:paraId="183A8C23"/>
        </w:tc>
        <w:tc>
          <w:tcPr>
            <w:tcW w:w="1033" w:type="dxa"/>
          </w:tcPr>
          <w:p w14:paraId="191EE39F"/>
        </w:tc>
        <w:tc>
          <w:tcPr>
            <w:tcW w:w="1031" w:type="dxa"/>
          </w:tcPr>
          <w:p w14:paraId="510F1A7C"/>
        </w:tc>
        <w:tc>
          <w:tcPr>
            <w:tcW w:w="1032" w:type="dxa"/>
          </w:tcPr>
          <w:p w14:paraId="4B77EB13"/>
        </w:tc>
        <w:tc>
          <w:tcPr>
            <w:tcW w:w="1032" w:type="dxa"/>
            <w:tcBorders>
              <w:right w:val="nil"/>
            </w:tcBorders>
          </w:tcPr>
          <w:p w14:paraId="5282248C"/>
        </w:tc>
      </w:tr>
      <w:tr w14:paraId="09D618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032" w:type="dxa"/>
            <w:vMerge w:val="continue"/>
            <w:tcBorders>
              <w:top w:val="nil"/>
              <w:left w:val="nil"/>
              <w:bottom w:val="nil"/>
            </w:tcBorders>
          </w:tcPr>
          <w:p w14:paraId="36D9939C"/>
        </w:tc>
        <w:tc>
          <w:tcPr>
            <w:tcW w:w="1421" w:type="dxa"/>
          </w:tcPr>
          <w:p w14:paraId="5400A734">
            <w:pPr>
              <w:spacing w:before="36" w:line="223" w:lineRule="auto"/>
              <w:ind w:left="402"/>
              <w:rPr>
                <w:rFonts w:ascii="宋体" w:hAnsi="宋体" w:eastAsia="宋体" w:cs="宋体"/>
                <w:sz w:val="20"/>
                <w:szCs w:val="20"/>
              </w:rPr>
            </w:pPr>
            <w:r>
              <w:rPr>
                <w:rFonts w:ascii="宋体" w:hAnsi="宋体" w:eastAsia="宋体" w:cs="宋体"/>
                <w:spacing w:val="6"/>
                <w:sz w:val="20"/>
                <w:szCs w:val="20"/>
              </w:rPr>
              <w:t>悬浮物</w:t>
            </w:r>
          </w:p>
        </w:tc>
        <w:tc>
          <w:tcPr>
            <w:tcW w:w="795" w:type="dxa"/>
          </w:tcPr>
          <w:p w14:paraId="381B666F">
            <w:pPr>
              <w:spacing w:before="72" w:line="195" w:lineRule="auto"/>
              <w:ind w:left="29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z w:val="20"/>
                <w:szCs w:val="20"/>
              </w:rPr>
              <w:t>0</w:t>
            </w:r>
          </w:p>
        </w:tc>
        <w:tc>
          <w:tcPr>
            <w:tcW w:w="1126" w:type="dxa"/>
          </w:tcPr>
          <w:p w14:paraId="0E35836C"/>
        </w:tc>
        <w:tc>
          <w:tcPr>
            <w:tcW w:w="786" w:type="dxa"/>
          </w:tcPr>
          <w:p w14:paraId="35FF8A92"/>
        </w:tc>
        <w:tc>
          <w:tcPr>
            <w:tcW w:w="1033" w:type="dxa"/>
          </w:tcPr>
          <w:p w14:paraId="2773CFB1"/>
        </w:tc>
        <w:tc>
          <w:tcPr>
            <w:tcW w:w="1031" w:type="dxa"/>
          </w:tcPr>
          <w:p w14:paraId="20F38C2C"/>
        </w:tc>
        <w:tc>
          <w:tcPr>
            <w:tcW w:w="1032" w:type="dxa"/>
          </w:tcPr>
          <w:p w14:paraId="3A5549C7"/>
        </w:tc>
        <w:tc>
          <w:tcPr>
            <w:tcW w:w="1032" w:type="dxa"/>
            <w:tcBorders>
              <w:right w:val="nil"/>
            </w:tcBorders>
          </w:tcPr>
          <w:p w14:paraId="74FC304E"/>
        </w:tc>
      </w:tr>
      <w:tr w14:paraId="4EA0F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1032" w:type="dxa"/>
            <w:vMerge w:val="continue"/>
            <w:tcBorders>
              <w:top w:val="nil"/>
              <w:left w:val="nil"/>
              <w:bottom w:val="nil"/>
            </w:tcBorders>
          </w:tcPr>
          <w:p w14:paraId="7574ADD8"/>
        </w:tc>
        <w:tc>
          <w:tcPr>
            <w:tcW w:w="1421" w:type="dxa"/>
          </w:tcPr>
          <w:p w14:paraId="183E2EE8">
            <w:pPr>
              <w:spacing w:before="33" w:line="220" w:lineRule="auto"/>
              <w:ind w:left="511"/>
              <w:rPr>
                <w:rFonts w:ascii="宋体" w:hAnsi="宋体" w:eastAsia="宋体" w:cs="宋体"/>
                <w:sz w:val="20"/>
                <w:szCs w:val="20"/>
              </w:rPr>
            </w:pPr>
            <w:r>
              <w:rPr>
                <w:rFonts w:ascii="宋体" w:hAnsi="宋体" w:eastAsia="宋体" w:cs="宋体"/>
                <w:spacing w:val="2"/>
                <w:sz w:val="20"/>
                <w:szCs w:val="20"/>
              </w:rPr>
              <w:t>总磷</w:t>
            </w:r>
          </w:p>
        </w:tc>
        <w:tc>
          <w:tcPr>
            <w:tcW w:w="795" w:type="dxa"/>
          </w:tcPr>
          <w:p w14:paraId="249A4270">
            <w:pPr>
              <w:spacing w:before="70" w:line="195" w:lineRule="auto"/>
              <w:ind w:left="27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 xml:space="preserve">0 </w:t>
            </w:r>
            <w:r>
              <w:rPr>
                <w:rFonts w:ascii="Times New Roman" w:hAnsi="Times New Roman" w:eastAsia="Times New Roman" w:cs="Times New Roman"/>
                <w:spacing w:val="1"/>
                <w:sz w:val="20"/>
                <w:szCs w:val="20"/>
              </w:rPr>
              <w:t>2</w:t>
            </w:r>
          </w:p>
        </w:tc>
        <w:tc>
          <w:tcPr>
            <w:tcW w:w="1126" w:type="dxa"/>
          </w:tcPr>
          <w:p w14:paraId="4CF39974"/>
        </w:tc>
        <w:tc>
          <w:tcPr>
            <w:tcW w:w="786" w:type="dxa"/>
          </w:tcPr>
          <w:p w14:paraId="3852DE05"/>
        </w:tc>
        <w:tc>
          <w:tcPr>
            <w:tcW w:w="1033" w:type="dxa"/>
          </w:tcPr>
          <w:p w14:paraId="5E1C285A"/>
        </w:tc>
        <w:tc>
          <w:tcPr>
            <w:tcW w:w="1031" w:type="dxa"/>
          </w:tcPr>
          <w:p w14:paraId="7944E9EC"/>
        </w:tc>
        <w:tc>
          <w:tcPr>
            <w:tcW w:w="1032" w:type="dxa"/>
          </w:tcPr>
          <w:p w14:paraId="63CEEBC8"/>
        </w:tc>
        <w:tc>
          <w:tcPr>
            <w:tcW w:w="1032" w:type="dxa"/>
            <w:tcBorders>
              <w:right w:val="nil"/>
            </w:tcBorders>
          </w:tcPr>
          <w:p w14:paraId="14384AF9"/>
        </w:tc>
      </w:tr>
      <w:tr w14:paraId="6EC18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032" w:type="dxa"/>
            <w:vMerge w:val="continue"/>
            <w:tcBorders>
              <w:top w:val="nil"/>
              <w:left w:val="nil"/>
              <w:bottom w:val="nil"/>
            </w:tcBorders>
          </w:tcPr>
          <w:p w14:paraId="10C3CF6B"/>
        </w:tc>
        <w:tc>
          <w:tcPr>
            <w:tcW w:w="1421" w:type="dxa"/>
          </w:tcPr>
          <w:p w14:paraId="42F8F005">
            <w:pPr>
              <w:spacing w:before="40" w:line="222" w:lineRule="auto"/>
              <w:ind w:left="192"/>
              <w:rPr>
                <w:rFonts w:ascii="宋体" w:hAnsi="宋体" w:eastAsia="宋体" w:cs="宋体"/>
                <w:sz w:val="20"/>
                <w:szCs w:val="20"/>
              </w:rPr>
            </w:pPr>
            <w:r>
              <w:rPr>
                <w:rFonts w:ascii="宋体" w:hAnsi="宋体" w:eastAsia="宋体" w:cs="宋体"/>
                <w:spacing w:val="8"/>
                <w:sz w:val="20"/>
                <w:szCs w:val="20"/>
              </w:rPr>
              <w:t>化学需氧</w:t>
            </w:r>
            <w:r>
              <w:rPr>
                <w:rFonts w:ascii="宋体" w:hAnsi="宋体" w:eastAsia="宋体" w:cs="宋体"/>
                <w:spacing w:val="7"/>
                <w:sz w:val="20"/>
                <w:szCs w:val="20"/>
              </w:rPr>
              <w:t>量</w:t>
            </w:r>
          </w:p>
        </w:tc>
        <w:tc>
          <w:tcPr>
            <w:tcW w:w="795" w:type="dxa"/>
          </w:tcPr>
          <w:p w14:paraId="631CD9D7">
            <w:pPr>
              <w:spacing w:before="76" w:line="195" w:lineRule="auto"/>
              <w:ind w:left="29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
                <w:sz w:val="20"/>
                <w:szCs w:val="20"/>
              </w:rPr>
              <w:t>0</w:t>
            </w:r>
          </w:p>
        </w:tc>
        <w:tc>
          <w:tcPr>
            <w:tcW w:w="1126" w:type="dxa"/>
          </w:tcPr>
          <w:p w14:paraId="64DDE7C4"/>
        </w:tc>
        <w:tc>
          <w:tcPr>
            <w:tcW w:w="786" w:type="dxa"/>
          </w:tcPr>
          <w:p w14:paraId="3011422A"/>
        </w:tc>
        <w:tc>
          <w:tcPr>
            <w:tcW w:w="1033" w:type="dxa"/>
          </w:tcPr>
          <w:p w14:paraId="212417AE"/>
        </w:tc>
        <w:tc>
          <w:tcPr>
            <w:tcW w:w="1031" w:type="dxa"/>
          </w:tcPr>
          <w:p w14:paraId="00AD4090"/>
        </w:tc>
        <w:tc>
          <w:tcPr>
            <w:tcW w:w="1032" w:type="dxa"/>
          </w:tcPr>
          <w:p w14:paraId="11927955"/>
        </w:tc>
        <w:tc>
          <w:tcPr>
            <w:tcW w:w="1032" w:type="dxa"/>
            <w:tcBorders>
              <w:right w:val="nil"/>
            </w:tcBorders>
          </w:tcPr>
          <w:p w14:paraId="3B455B04"/>
        </w:tc>
      </w:tr>
      <w:tr w14:paraId="6CA0D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032" w:type="dxa"/>
            <w:vMerge w:val="continue"/>
            <w:tcBorders>
              <w:top w:val="nil"/>
              <w:left w:val="nil"/>
              <w:bottom w:val="nil"/>
            </w:tcBorders>
          </w:tcPr>
          <w:p w14:paraId="10CE7787"/>
        </w:tc>
        <w:tc>
          <w:tcPr>
            <w:tcW w:w="1421" w:type="dxa"/>
          </w:tcPr>
          <w:p w14:paraId="5BCC20D3">
            <w:pPr>
              <w:spacing w:before="37" w:line="236" w:lineRule="auto"/>
              <w:ind w:left="505" w:right="183" w:hanging="311"/>
              <w:rPr>
                <w:rFonts w:ascii="宋体" w:hAnsi="宋体" w:eastAsia="宋体" w:cs="宋体"/>
                <w:sz w:val="20"/>
                <w:szCs w:val="20"/>
              </w:rPr>
            </w:pPr>
            <w:r>
              <w:rPr>
                <w:rFonts w:ascii="宋体" w:hAnsi="宋体" w:eastAsia="宋体" w:cs="宋体"/>
                <w:spacing w:val="9"/>
                <w:sz w:val="20"/>
                <w:szCs w:val="20"/>
              </w:rPr>
              <w:t>五</w:t>
            </w:r>
            <w:r>
              <w:rPr>
                <w:rFonts w:ascii="宋体" w:hAnsi="宋体" w:eastAsia="宋体" w:cs="宋体"/>
                <w:spacing w:val="7"/>
                <w:sz w:val="20"/>
                <w:szCs w:val="20"/>
              </w:rPr>
              <w:t>日生化需</w:t>
            </w:r>
            <w:r>
              <w:rPr>
                <w:rFonts w:ascii="宋体" w:hAnsi="宋体" w:eastAsia="宋体" w:cs="宋体"/>
                <w:sz w:val="20"/>
                <w:szCs w:val="20"/>
              </w:rPr>
              <w:t xml:space="preserve"> </w:t>
            </w:r>
            <w:r>
              <w:rPr>
                <w:rFonts w:ascii="宋体" w:hAnsi="宋体" w:eastAsia="宋体" w:cs="宋体"/>
                <w:spacing w:val="4"/>
                <w:sz w:val="20"/>
                <w:szCs w:val="20"/>
              </w:rPr>
              <w:t>氧量</w:t>
            </w:r>
          </w:p>
        </w:tc>
        <w:tc>
          <w:tcPr>
            <w:tcW w:w="795" w:type="dxa"/>
          </w:tcPr>
          <w:p w14:paraId="411433FE">
            <w:pPr>
              <w:spacing w:before="207" w:line="198" w:lineRule="auto"/>
              <w:ind w:left="26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w:t>
            </w:r>
          </w:p>
        </w:tc>
        <w:tc>
          <w:tcPr>
            <w:tcW w:w="1126" w:type="dxa"/>
          </w:tcPr>
          <w:p w14:paraId="3F1B5BFC"/>
        </w:tc>
        <w:tc>
          <w:tcPr>
            <w:tcW w:w="786" w:type="dxa"/>
          </w:tcPr>
          <w:p w14:paraId="17A49BAE"/>
        </w:tc>
        <w:tc>
          <w:tcPr>
            <w:tcW w:w="1033" w:type="dxa"/>
          </w:tcPr>
          <w:p w14:paraId="20F5207B"/>
        </w:tc>
        <w:tc>
          <w:tcPr>
            <w:tcW w:w="1031" w:type="dxa"/>
          </w:tcPr>
          <w:p w14:paraId="76EBBFFC"/>
        </w:tc>
        <w:tc>
          <w:tcPr>
            <w:tcW w:w="1032" w:type="dxa"/>
          </w:tcPr>
          <w:p w14:paraId="4D311451"/>
        </w:tc>
        <w:tc>
          <w:tcPr>
            <w:tcW w:w="1032" w:type="dxa"/>
            <w:tcBorders>
              <w:right w:val="nil"/>
            </w:tcBorders>
          </w:tcPr>
          <w:p w14:paraId="6EE5454F"/>
        </w:tc>
      </w:tr>
      <w:tr w14:paraId="3A9EC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032" w:type="dxa"/>
            <w:vMerge w:val="continue"/>
            <w:tcBorders>
              <w:top w:val="nil"/>
              <w:left w:val="nil"/>
              <w:bottom w:val="nil"/>
            </w:tcBorders>
          </w:tcPr>
          <w:p w14:paraId="719A555C"/>
        </w:tc>
        <w:tc>
          <w:tcPr>
            <w:tcW w:w="1421" w:type="dxa"/>
          </w:tcPr>
          <w:p w14:paraId="48C98CF4">
            <w:pPr>
              <w:spacing w:before="37" w:line="221" w:lineRule="auto"/>
              <w:ind w:left="505"/>
              <w:rPr>
                <w:rFonts w:ascii="宋体" w:hAnsi="宋体" w:eastAsia="宋体" w:cs="宋体"/>
                <w:sz w:val="20"/>
                <w:szCs w:val="20"/>
              </w:rPr>
            </w:pPr>
            <w:r>
              <w:rPr>
                <w:rFonts w:ascii="宋体" w:hAnsi="宋体" w:eastAsia="宋体" w:cs="宋体"/>
                <w:spacing w:val="5"/>
                <w:sz w:val="20"/>
                <w:szCs w:val="20"/>
              </w:rPr>
              <w:t>氨</w:t>
            </w:r>
            <w:r>
              <w:rPr>
                <w:rFonts w:ascii="宋体" w:hAnsi="宋体" w:eastAsia="宋体" w:cs="宋体"/>
                <w:spacing w:val="4"/>
                <w:sz w:val="20"/>
                <w:szCs w:val="20"/>
              </w:rPr>
              <w:t>氮</w:t>
            </w:r>
          </w:p>
        </w:tc>
        <w:tc>
          <w:tcPr>
            <w:tcW w:w="795" w:type="dxa"/>
          </w:tcPr>
          <w:p w14:paraId="77314115">
            <w:pPr>
              <w:spacing w:before="73" w:line="198" w:lineRule="auto"/>
              <w:ind w:left="28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w:t>
            </w:r>
          </w:p>
        </w:tc>
        <w:tc>
          <w:tcPr>
            <w:tcW w:w="1126" w:type="dxa"/>
          </w:tcPr>
          <w:p w14:paraId="379AB7AB"/>
        </w:tc>
        <w:tc>
          <w:tcPr>
            <w:tcW w:w="786" w:type="dxa"/>
          </w:tcPr>
          <w:p w14:paraId="4584EA78"/>
        </w:tc>
        <w:tc>
          <w:tcPr>
            <w:tcW w:w="1033" w:type="dxa"/>
          </w:tcPr>
          <w:p w14:paraId="1723E526"/>
        </w:tc>
        <w:tc>
          <w:tcPr>
            <w:tcW w:w="1031" w:type="dxa"/>
          </w:tcPr>
          <w:p w14:paraId="571A9754"/>
        </w:tc>
        <w:tc>
          <w:tcPr>
            <w:tcW w:w="1032" w:type="dxa"/>
          </w:tcPr>
          <w:p w14:paraId="322C5805"/>
        </w:tc>
        <w:tc>
          <w:tcPr>
            <w:tcW w:w="1032" w:type="dxa"/>
            <w:tcBorders>
              <w:right w:val="nil"/>
            </w:tcBorders>
          </w:tcPr>
          <w:p w14:paraId="6A397DDF"/>
        </w:tc>
      </w:tr>
      <w:tr w14:paraId="138DAA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1032" w:type="dxa"/>
            <w:vMerge w:val="continue"/>
            <w:tcBorders>
              <w:top w:val="nil"/>
              <w:left w:val="nil"/>
            </w:tcBorders>
          </w:tcPr>
          <w:p w14:paraId="794BBEA4"/>
        </w:tc>
        <w:tc>
          <w:tcPr>
            <w:tcW w:w="1421" w:type="dxa"/>
          </w:tcPr>
          <w:p w14:paraId="69DD9E59">
            <w:pPr>
              <w:spacing w:before="36" w:line="228" w:lineRule="auto"/>
              <w:ind w:left="192"/>
              <w:rPr>
                <w:rFonts w:ascii="宋体" w:hAnsi="宋体" w:eastAsia="宋体" w:cs="宋体"/>
                <w:sz w:val="20"/>
                <w:szCs w:val="20"/>
              </w:rPr>
            </w:pPr>
            <w:r>
              <w:rPr>
                <w:rFonts w:ascii="宋体" w:hAnsi="宋体" w:eastAsia="宋体" w:cs="宋体"/>
                <w:spacing w:val="8"/>
                <w:sz w:val="20"/>
                <w:szCs w:val="20"/>
              </w:rPr>
              <w:t>粪大肠菌</w:t>
            </w:r>
            <w:r>
              <w:rPr>
                <w:rFonts w:ascii="宋体" w:hAnsi="宋体" w:eastAsia="宋体" w:cs="宋体"/>
                <w:spacing w:val="7"/>
                <w:sz w:val="20"/>
                <w:szCs w:val="20"/>
              </w:rPr>
              <w:t>群</w:t>
            </w:r>
          </w:p>
        </w:tc>
        <w:tc>
          <w:tcPr>
            <w:tcW w:w="795" w:type="dxa"/>
          </w:tcPr>
          <w:p w14:paraId="7610B770">
            <w:pPr>
              <w:spacing w:before="72" w:line="195" w:lineRule="auto"/>
              <w:ind w:left="156"/>
              <w:rPr>
                <w:rFonts w:ascii="Times New Roman" w:hAnsi="Times New Roman" w:eastAsia="Times New Roman" w:cs="Times New Roman"/>
                <w:sz w:val="20"/>
                <w:szCs w:val="20"/>
              </w:rPr>
            </w:pPr>
            <w:r>
              <w:rPr>
                <w:rFonts w:ascii="Times New Roman" w:hAnsi="Times New Roman" w:eastAsia="Times New Roman" w:cs="Times New Roman"/>
                <w:sz w:val="20"/>
                <w:szCs w:val="20"/>
              </w:rPr>
              <w:t>10000</w:t>
            </w:r>
          </w:p>
        </w:tc>
        <w:tc>
          <w:tcPr>
            <w:tcW w:w="1126" w:type="dxa"/>
          </w:tcPr>
          <w:p w14:paraId="7A5A2E3B"/>
        </w:tc>
        <w:tc>
          <w:tcPr>
            <w:tcW w:w="786" w:type="dxa"/>
          </w:tcPr>
          <w:p w14:paraId="70AC9906"/>
        </w:tc>
        <w:tc>
          <w:tcPr>
            <w:tcW w:w="1033" w:type="dxa"/>
          </w:tcPr>
          <w:p w14:paraId="2877644E"/>
        </w:tc>
        <w:tc>
          <w:tcPr>
            <w:tcW w:w="1031" w:type="dxa"/>
          </w:tcPr>
          <w:p w14:paraId="074FD82F"/>
        </w:tc>
        <w:tc>
          <w:tcPr>
            <w:tcW w:w="1032" w:type="dxa"/>
          </w:tcPr>
          <w:p w14:paraId="1D25405E"/>
        </w:tc>
        <w:tc>
          <w:tcPr>
            <w:tcW w:w="1032" w:type="dxa"/>
            <w:tcBorders>
              <w:right w:val="nil"/>
            </w:tcBorders>
          </w:tcPr>
          <w:p w14:paraId="39231FF4"/>
        </w:tc>
      </w:tr>
    </w:tbl>
    <w:p w14:paraId="3CC97EEB">
      <w:pPr>
        <w:spacing w:line="14" w:lineRule="auto"/>
        <w:rPr>
          <w:sz w:val="2"/>
        </w:rPr>
      </w:pPr>
    </w:p>
    <w:p w14:paraId="1916C827">
      <w:pPr>
        <w:sectPr>
          <w:type w:val="continuous"/>
          <w:pgSz w:w="11907" w:h="16840"/>
          <w:pgMar w:top="1153" w:right="1066" w:bottom="1485" w:left="1551" w:header="919" w:footer="1298" w:gutter="0"/>
          <w:cols w:equalWidth="0" w:num="1">
            <w:col w:w="9288"/>
          </w:cols>
        </w:sectPr>
      </w:pPr>
    </w:p>
    <w:p w14:paraId="1A093E49">
      <w:pPr>
        <w:spacing w:line="460" w:lineRule="auto"/>
      </w:pPr>
      <w:r>
        <w:pict>
          <v:shape id="_x0000_s2097" o:spid="_x0000_s2097" style="position:absolute;left:0pt;margin-left:83pt;margin-top:57.2pt;height:0.5pt;width:433.35pt;mso-position-horizontal-relative:page;mso-position-vertical-relative:page;z-index:251725824;mso-width-relative:page;mso-height-relative:page;" fillcolor="#000000" filled="t" stroked="f" coordsize="8667,10" o:allowincell="f" path="m0,0l8666,0,8666,9,0,9,0,0xe">
            <v:fill on="t" focussize="0,0"/>
            <v:stroke on="f"/>
            <v:imagedata o:title=""/>
            <o:lock v:ext="edit"/>
          </v:shape>
        </w:pict>
      </w:r>
    </w:p>
    <w:p w14:paraId="6FA7403F">
      <w:pPr>
        <w:spacing w:before="56" w:line="229" w:lineRule="auto"/>
        <w:ind w:left="530"/>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7E58A6E5">
      <w:pPr>
        <w:spacing w:before="66" w:line="375" w:lineRule="auto"/>
        <w:ind w:left="533" w:right="518" w:firstLine="509"/>
        <w:rPr>
          <w:rFonts w:ascii="宋体" w:hAnsi="宋体" w:eastAsia="宋体" w:cs="宋体"/>
          <w:sz w:val="23"/>
          <w:szCs w:val="23"/>
        </w:rPr>
      </w:pPr>
      <w:r>
        <w:rPr>
          <w:rFonts w:ascii="宋体" w:hAnsi="宋体" w:eastAsia="宋体" w:cs="宋体"/>
          <w:spacing w:val="6"/>
          <w:sz w:val="23"/>
          <w:szCs w:val="23"/>
        </w:rPr>
        <w:t>由</w:t>
      </w:r>
      <w:r>
        <w:rPr>
          <w:rFonts w:ascii="宋体" w:hAnsi="宋体" w:eastAsia="宋体" w:cs="宋体"/>
          <w:spacing w:val="5"/>
          <w:sz w:val="23"/>
          <w:szCs w:val="23"/>
        </w:rPr>
        <w:t xml:space="preserve">表 </w:t>
      </w:r>
      <w:r>
        <w:rPr>
          <w:rFonts w:ascii="Times New Roman" w:hAnsi="Times New Roman" w:eastAsia="Times New Roman" w:cs="Times New Roman"/>
          <w:spacing w:val="5"/>
          <w:sz w:val="23"/>
          <w:szCs w:val="23"/>
        </w:rPr>
        <w:t xml:space="preserve">4.2-7 </w:t>
      </w:r>
      <w:r>
        <w:rPr>
          <w:rFonts w:ascii="宋体" w:hAnsi="宋体" w:eastAsia="宋体" w:cs="宋体"/>
          <w:spacing w:val="5"/>
          <w:sz w:val="23"/>
          <w:szCs w:val="23"/>
        </w:rPr>
        <w:t xml:space="preserve">可知，除 </w:t>
      </w:r>
      <w:r>
        <w:rPr>
          <w:rFonts w:ascii="Times New Roman" w:hAnsi="Times New Roman" w:eastAsia="Times New Roman" w:cs="Times New Roman"/>
          <w:sz w:val="23"/>
          <w:szCs w:val="23"/>
        </w:rPr>
        <w:t>SW</w:t>
      </w:r>
      <w:r>
        <w:rPr>
          <w:rFonts w:ascii="Times New Roman" w:hAnsi="Times New Roman" w:eastAsia="Times New Roman" w:cs="Times New Roman"/>
          <w:spacing w:val="5"/>
          <w:sz w:val="23"/>
          <w:szCs w:val="23"/>
        </w:rPr>
        <w:t xml:space="preserve">1 </w:t>
      </w:r>
      <w:r>
        <w:rPr>
          <w:rFonts w:ascii="宋体" w:hAnsi="宋体" w:eastAsia="宋体" w:cs="宋体"/>
          <w:spacing w:val="5"/>
          <w:sz w:val="23"/>
          <w:szCs w:val="23"/>
        </w:rPr>
        <w:t>断面五日生化需氧量超标外，其他各监测断面各项监</w:t>
      </w:r>
      <w:r>
        <w:rPr>
          <w:rFonts w:ascii="宋体" w:hAnsi="宋体" w:eastAsia="宋体" w:cs="宋体"/>
          <w:sz w:val="23"/>
          <w:szCs w:val="23"/>
        </w:rPr>
        <w:t xml:space="preserve"> </w:t>
      </w:r>
      <w:r>
        <w:rPr>
          <w:rFonts w:ascii="宋体" w:hAnsi="宋体" w:eastAsia="宋体" w:cs="宋体"/>
          <w:spacing w:val="12"/>
          <w:sz w:val="23"/>
          <w:szCs w:val="23"/>
        </w:rPr>
        <w:t>测</w:t>
      </w:r>
      <w:r>
        <w:rPr>
          <w:rFonts w:ascii="宋体" w:hAnsi="宋体" w:eastAsia="宋体" w:cs="宋体"/>
          <w:spacing w:val="7"/>
          <w:sz w:val="23"/>
          <w:szCs w:val="23"/>
        </w:rPr>
        <w:t>指标现状监测结果均能达到《地表水环境质量标准》</w:t>
      </w:r>
      <w:r>
        <w:rPr>
          <w:rFonts w:ascii="Times New Roman" w:hAnsi="Times New Roman" w:eastAsia="Times New Roman" w:cs="Times New Roman"/>
          <w:spacing w:val="7"/>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7"/>
          <w:sz w:val="23"/>
          <w:szCs w:val="23"/>
        </w:rPr>
        <w:t>3838-2002)</w:t>
      </w:r>
      <w:r>
        <w:rPr>
          <w:rFonts w:ascii="宋体" w:hAnsi="宋体" w:eastAsia="宋体" w:cs="宋体"/>
          <w:spacing w:val="7"/>
          <w:sz w:val="23"/>
          <w:szCs w:val="23"/>
        </w:rPr>
        <w:t>Ⅲ类水质标准</w:t>
      </w:r>
      <w:r>
        <w:rPr>
          <w:rFonts w:ascii="宋体" w:hAnsi="宋体" w:eastAsia="宋体" w:cs="宋体"/>
          <w:sz w:val="23"/>
          <w:szCs w:val="23"/>
        </w:rPr>
        <w:t xml:space="preserve"> </w:t>
      </w:r>
      <w:r>
        <w:rPr>
          <w:rFonts w:ascii="宋体" w:hAnsi="宋体" w:eastAsia="宋体" w:cs="宋体"/>
          <w:spacing w:val="14"/>
          <w:sz w:val="23"/>
          <w:szCs w:val="23"/>
        </w:rPr>
        <w:t>的要</w:t>
      </w:r>
      <w:r>
        <w:rPr>
          <w:rFonts w:ascii="宋体" w:hAnsi="宋体" w:eastAsia="宋体" w:cs="宋体"/>
          <w:spacing w:val="9"/>
          <w:sz w:val="23"/>
          <w:szCs w:val="23"/>
        </w:rPr>
        <w:t>求</w:t>
      </w:r>
      <w:r>
        <w:rPr>
          <w:rFonts w:ascii="宋体" w:hAnsi="宋体" w:eastAsia="宋体" w:cs="宋体"/>
          <w:spacing w:val="7"/>
          <w:sz w:val="23"/>
          <w:szCs w:val="23"/>
        </w:rPr>
        <w:t>，</w:t>
      </w:r>
      <w:r>
        <w:rPr>
          <w:rFonts w:ascii="Times New Roman" w:hAnsi="Times New Roman" w:eastAsia="Times New Roman" w:cs="Times New Roman"/>
          <w:sz w:val="23"/>
          <w:szCs w:val="23"/>
        </w:rPr>
        <w:t>SS</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能达到《地表水资源质量标准》  (</w:t>
      </w:r>
      <w:r>
        <w:rPr>
          <w:rFonts w:ascii="Times New Roman" w:hAnsi="Times New Roman" w:eastAsia="Times New Roman" w:cs="Times New Roman"/>
          <w:sz w:val="23"/>
          <w:szCs w:val="23"/>
        </w:rPr>
        <w:t>SL</w:t>
      </w:r>
      <w:r>
        <w:rPr>
          <w:rFonts w:ascii="Times New Roman" w:hAnsi="Times New Roman" w:eastAsia="Times New Roman" w:cs="Times New Roman"/>
          <w:spacing w:val="7"/>
          <w:sz w:val="23"/>
          <w:szCs w:val="23"/>
        </w:rPr>
        <w:t>63-94</w:t>
      </w:r>
      <w:r>
        <w:rPr>
          <w:rFonts w:ascii="宋体" w:hAnsi="宋体" w:eastAsia="宋体" w:cs="宋体"/>
          <w:spacing w:val="7"/>
          <w:sz w:val="23"/>
          <w:szCs w:val="23"/>
        </w:rPr>
        <w:t>) 三级标准限值要求。项目</w:t>
      </w:r>
      <w:r>
        <w:rPr>
          <w:rFonts w:ascii="宋体" w:hAnsi="宋体" w:eastAsia="宋体" w:cs="宋体"/>
          <w:sz w:val="23"/>
          <w:szCs w:val="23"/>
        </w:rPr>
        <w:t xml:space="preserve"> </w:t>
      </w:r>
      <w:r>
        <w:rPr>
          <w:rFonts w:ascii="宋体" w:hAnsi="宋体" w:eastAsia="宋体" w:cs="宋体"/>
          <w:spacing w:val="9"/>
          <w:sz w:val="23"/>
          <w:szCs w:val="23"/>
        </w:rPr>
        <w:t>监测的地表水体为水库，</w:t>
      </w:r>
      <w:r>
        <w:rPr>
          <w:rFonts w:ascii="Times New Roman" w:hAnsi="Times New Roman" w:eastAsia="Times New Roman" w:cs="Times New Roman"/>
          <w:sz w:val="23"/>
          <w:szCs w:val="23"/>
        </w:rPr>
        <w:t>SW</w:t>
      </w:r>
      <w:r>
        <w:rPr>
          <w:rFonts w:ascii="Times New Roman" w:hAnsi="Times New Roman" w:eastAsia="Times New Roman" w:cs="Times New Roman"/>
          <w:spacing w:val="9"/>
          <w:sz w:val="23"/>
          <w:szCs w:val="23"/>
        </w:rPr>
        <w:t xml:space="preserve">1 </w:t>
      </w:r>
      <w:r>
        <w:rPr>
          <w:rFonts w:ascii="宋体" w:hAnsi="宋体" w:eastAsia="宋体" w:cs="宋体"/>
          <w:spacing w:val="9"/>
          <w:sz w:val="23"/>
          <w:szCs w:val="23"/>
        </w:rPr>
        <w:t>五日生化需氧量超标原因主要是周边农业废水随地</w:t>
      </w:r>
      <w:r>
        <w:rPr>
          <w:rFonts w:ascii="宋体" w:hAnsi="宋体" w:eastAsia="宋体" w:cs="宋体"/>
          <w:spacing w:val="4"/>
          <w:sz w:val="23"/>
          <w:szCs w:val="23"/>
        </w:rPr>
        <w:t>表</w:t>
      </w:r>
      <w:r>
        <w:rPr>
          <w:rFonts w:ascii="宋体" w:hAnsi="宋体" w:eastAsia="宋体" w:cs="宋体"/>
          <w:sz w:val="23"/>
          <w:szCs w:val="23"/>
        </w:rPr>
        <w:t xml:space="preserve"> </w:t>
      </w:r>
      <w:r>
        <w:rPr>
          <w:rFonts w:ascii="宋体" w:hAnsi="宋体" w:eastAsia="宋体" w:cs="宋体"/>
          <w:spacing w:val="10"/>
          <w:sz w:val="23"/>
          <w:szCs w:val="23"/>
        </w:rPr>
        <w:t>径</w:t>
      </w:r>
      <w:r>
        <w:rPr>
          <w:rFonts w:ascii="宋体" w:hAnsi="宋体" w:eastAsia="宋体" w:cs="宋体"/>
          <w:spacing w:val="8"/>
          <w:sz w:val="23"/>
          <w:szCs w:val="23"/>
        </w:rPr>
        <w:t>流汇入水库中导致的。</w:t>
      </w:r>
    </w:p>
    <w:p w14:paraId="2A07A2B1">
      <w:pPr>
        <w:spacing w:before="1" w:line="219" w:lineRule="auto"/>
        <w:ind w:left="530"/>
        <w:outlineLvl w:val="1"/>
        <w:rPr>
          <w:rFonts w:ascii="宋体" w:hAnsi="宋体" w:eastAsia="宋体" w:cs="宋体"/>
          <w:sz w:val="28"/>
          <w:szCs w:val="28"/>
        </w:rPr>
      </w:pPr>
      <w:r>
        <w:rPr>
          <w:rFonts w:ascii="Times New Roman" w:hAnsi="Times New Roman" w:eastAsia="Times New Roman" w:cs="Times New Roman"/>
          <w:b/>
          <w:bCs/>
          <w:spacing w:val="1"/>
          <w:sz w:val="28"/>
          <w:szCs w:val="28"/>
        </w:rPr>
        <w:t>4.2</w:t>
      </w:r>
      <w:r>
        <w:rPr>
          <w:rFonts w:ascii="Times New Roman" w:hAnsi="Times New Roman" w:eastAsia="Times New Roman" w:cs="Times New Roman"/>
          <w:b/>
          <w:bCs/>
          <w:sz w:val="28"/>
          <w:szCs w:val="28"/>
        </w:rPr>
        <w:t>.3</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地下水环境质量现状与评价</w:t>
      </w:r>
    </w:p>
    <w:p w14:paraId="01F931C0">
      <w:pPr>
        <w:spacing w:before="207" w:line="227" w:lineRule="auto"/>
        <w:ind w:left="1024"/>
        <w:rPr>
          <w:rFonts w:ascii="宋体" w:hAnsi="宋体" w:eastAsia="宋体" w:cs="宋体"/>
          <w:sz w:val="23"/>
          <w:szCs w:val="23"/>
        </w:rPr>
      </w:pPr>
      <w:r>
        <w:rPr>
          <w:rFonts w:ascii="宋体" w:hAnsi="宋体" w:eastAsia="宋体" w:cs="宋体"/>
          <w:spacing w:val="25"/>
          <w:sz w:val="23"/>
          <w:szCs w:val="23"/>
        </w:rPr>
        <w:t>(</w:t>
      </w:r>
      <w:r>
        <w:rPr>
          <w:rFonts w:ascii="Times New Roman" w:hAnsi="Times New Roman" w:eastAsia="Times New Roman" w:cs="Times New Roman"/>
          <w:spacing w:val="18"/>
          <w:sz w:val="23"/>
          <w:szCs w:val="23"/>
        </w:rPr>
        <w:t>1</w:t>
      </w:r>
      <w:r>
        <w:rPr>
          <w:rFonts w:ascii="宋体" w:hAnsi="宋体" w:eastAsia="宋体" w:cs="宋体"/>
          <w:spacing w:val="18"/>
          <w:sz w:val="23"/>
          <w:szCs w:val="23"/>
        </w:rPr>
        <w:t>) 监测点布设</w:t>
      </w:r>
    </w:p>
    <w:p w14:paraId="4FF6573C">
      <w:pPr>
        <w:spacing w:before="303" w:line="226" w:lineRule="auto"/>
        <w:ind w:left="1012"/>
        <w:rPr>
          <w:rFonts w:ascii="宋体" w:hAnsi="宋体" w:eastAsia="宋体" w:cs="宋体"/>
          <w:sz w:val="23"/>
          <w:szCs w:val="23"/>
        </w:rPr>
      </w:pPr>
      <w:r>
        <w:rPr>
          <w:rFonts w:ascii="宋体" w:hAnsi="宋体" w:eastAsia="宋体" w:cs="宋体"/>
          <w:spacing w:val="4"/>
          <w:sz w:val="23"/>
          <w:szCs w:val="23"/>
        </w:rPr>
        <w:t xml:space="preserve">在评价范围内共布设 </w:t>
      </w:r>
      <w:r>
        <w:rPr>
          <w:rFonts w:ascii="Times New Roman" w:hAnsi="Times New Roman" w:eastAsia="Times New Roman" w:cs="Times New Roman"/>
          <w:spacing w:val="4"/>
          <w:sz w:val="23"/>
          <w:szCs w:val="23"/>
        </w:rPr>
        <w:t xml:space="preserve">3 </w:t>
      </w:r>
      <w:r>
        <w:rPr>
          <w:rFonts w:ascii="宋体" w:hAnsi="宋体" w:eastAsia="宋体" w:cs="宋体"/>
          <w:spacing w:val="4"/>
          <w:sz w:val="23"/>
          <w:szCs w:val="23"/>
        </w:rPr>
        <w:t xml:space="preserve">个监测点，具体位置参见表 </w:t>
      </w:r>
      <w:r>
        <w:rPr>
          <w:rFonts w:ascii="Times New Roman" w:hAnsi="Times New Roman" w:eastAsia="Times New Roman" w:cs="Times New Roman"/>
          <w:spacing w:val="4"/>
          <w:sz w:val="23"/>
          <w:szCs w:val="23"/>
        </w:rPr>
        <w:t>4.2-</w:t>
      </w:r>
      <w:r>
        <w:rPr>
          <w:rFonts w:ascii="Times New Roman" w:hAnsi="Times New Roman" w:eastAsia="Times New Roman" w:cs="Times New Roman"/>
          <w:spacing w:val="3"/>
          <w:sz w:val="23"/>
          <w:szCs w:val="23"/>
        </w:rPr>
        <w:t>8</w:t>
      </w:r>
      <w:r>
        <w:rPr>
          <w:rFonts w:ascii="宋体" w:hAnsi="宋体" w:eastAsia="宋体" w:cs="宋体"/>
          <w:sz w:val="23"/>
          <w:szCs w:val="23"/>
        </w:rPr>
        <w:t>。</w:t>
      </w:r>
    </w:p>
    <w:p w14:paraId="387D7363">
      <w:pPr>
        <w:spacing w:before="306" w:line="222" w:lineRule="auto"/>
        <w:ind w:left="3090"/>
        <w:rPr>
          <w:rFonts w:ascii="黑体" w:hAnsi="黑体" w:eastAsia="黑体" w:cs="黑体"/>
          <w:sz w:val="23"/>
          <w:szCs w:val="23"/>
        </w:rPr>
      </w:pPr>
      <w:r>
        <w:rPr>
          <w:rFonts w:ascii="黑体" w:hAnsi="黑体" w:eastAsia="黑体" w:cs="黑体"/>
          <w:spacing w:val="8"/>
          <w:sz w:val="23"/>
          <w:szCs w:val="23"/>
        </w:rPr>
        <w:t xml:space="preserve">表 </w:t>
      </w:r>
      <w:r>
        <w:rPr>
          <w:rFonts w:ascii="Times New Roman" w:hAnsi="Times New Roman" w:eastAsia="Times New Roman" w:cs="Times New Roman"/>
          <w:spacing w:val="4"/>
          <w:sz w:val="23"/>
          <w:szCs w:val="23"/>
        </w:rPr>
        <w:t xml:space="preserve">4.2-8  </w:t>
      </w:r>
      <w:r>
        <w:rPr>
          <w:rFonts w:ascii="黑体" w:hAnsi="黑体" w:eastAsia="黑体" w:cs="黑体"/>
          <w:spacing w:val="4"/>
          <w:sz w:val="23"/>
          <w:szCs w:val="23"/>
        </w:rPr>
        <w:t>地下水监测点基本情况一览表</w:t>
      </w:r>
    </w:p>
    <w:tbl>
      <w:tblPr>
        <w:tblStyle w:val="4"/>
        <w:tblW w:w="971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49"/>
        <w:gridCol w:w="5964"/>
      </w:tblGrid>
      <w:tr w14:paraId="71F4EF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trPr>
        <w:tc>
          <w:tcPr>
            <w:tcW w:w="3749" w:type="dxa"/>
            <w:tcBorders>
              <w:left w:val="nil"/>
            </w:tcBorders>
          </w:tcPr>
          <w:p w14:paraId="3FC07E99">
            <w:pPr>
              <w:spacing w:before="121" w:line="228" w:lineRule="auto"/>
              <w:ind w:left="1358"/>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监</w:t>
            </w:r>
            <w:r>
              <w:rPr>
                <w:rFonts w:ascii="宋体" w:hAnsi="宋体" w:eastAsia="宋体" w:cs="宋体"/>
                <w:spacing w:val="8"/>
                <w:sz w:val="20"/>
                <w:szCs w:val="20"/>
                <w14:textOutline w14:w="3797" w14:cap="sq" w14:cmpd="sng" w14:algn="ctr">
                  <w14:solidFill>
                    <w14:srgbClr w14:val="000000"/>
                  </w14:solidFill>
                  <w14:prstDash w14:val="solid"/>
                  <w14:bevel/>
                </w14:textOutline>
              </w:rPr>
              <w:t>测点编号</w:t>
            </w:r>
          </w:p>
        </w:tc>
        <w:tc>
          <w:tcPr>
            <w:tcW w:w="5964" w:type="dxa"/>
            <w:tcBorders>
              <w:right w:val="nil"/>
            </w:tcBorders>
          </w:tcPr>
          <w:p w14:paraId="56C5810F">
            <w:pPr>
              <w:spacing w:before="122" w:line="229" w:lineRule="auto"/>
              <w:ind w:left="257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点位名</w:t>
            </w:r>
            <w:r>
              <w:rPr>
                <w:rFonts w:ascii="宋体" w:hAnsi="宋体" w:eastAsia="宋体" w:cs="宋体"/>
                <w:spacing w:val="5"/>
                <w:sz w:val="20"/>
                <w:szCs w:val="20"/>
                <w14:textOutline w14:w="3797" w14:cap="sq" w14:cmpd="sng" w14:algn="ctr">
                  <w14:solidFill>
                    <w14:srgbClr w14:val="000000"/>
                  </w14:solidFill>
                  <w14:prstDash w14:val="solid"/>
                  <w14:bevel/>
                </w14:textOutline>
              </w:rPr>
              <w:t>称</w:t>
            </w:r>
          </w:p>
        </w:tc>
      </w:tr>
      <w:tr w14:paraId="315867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3749" w:type="dxa"/>
            <w:tcBorders>
              <w:left w:val="nil"/>
            </w:tcBorders>
          </w:tcPr>
          <w:p w14:paraId="5C8B12B6">
            <w:pPr>
              <w:spacing w:before="70" w:line="195" w:lineRule="auto"/>
              <w:ind w:left="1891"/>
              <w:rPr>
                <w:rFonts w:ascii="Times New Roman" w:hAnsi="Times New Roman" w:eastAsia="Times New Roman" w:cs="Times New Roman"/>
                <w:sz w:val="20"/>
                <w:szCs w:val="20"/>
              </w:rPr>
            </w:pPr>
            <w:r>
              <w:rPr>
                <w:rFonts w:ascii="Times New Roman" w:hAnsi="Times New Roman" w:eastAsia="Times New Roman" w:cs="Times New Roman"/>
                <w:sz w:val="20"/>
                <w:szCs w:val="20"/>
              </w:rPr>
              <w:t>J</w:t>
            </w:r>
            <w:r>
              <w:rPr>
                <w:rFonts w:ascii="Times New Roman" w:hAnsi="Times New Roman" w:eastAsia="Times New Roman" w:cs="Times New Roman"/>
                <w:spacing w:val="3"/>
                <w:sz w:val="20"/>
                <w:szCs w:val="20"/>
              </w:rPr>
              <w:t>1</w:t>
            </w:r>
          </w:p>
        </w:tc>
        <w:tc>
          <w:tcPr>
            <w:tcW w:w="5964" w:type="dxa"/>
            <w:tcBorders>
              <w:right w:val="nil"/>
            </w:tcBorders>
          </w:tcPr>
          <w:p w14:paraId="5E59AD40">
            <w:pPr>
              <w:spacing w:before="34" w:line="223" w:lineRule="auto"/>
              <w:ind w:left="786"/>
              <w:rPr>
                <w:rFonts w:ascii="宋体" w:hAnsi="宋体" w:eastAsia="宋体" w:cs="宋体"/>
                <w:sz w:val="20"/>
                <w:szCs w:val="20"/>
              </w:rPr>
            </w:pPr>
            <w:r>
              <w:rPr>
                <w:rFonts w:ascii="宋体" w:hAnsi="宋体" w:eastAsia="宋体" w:cs="宋体"/>
                <w:spacing w:val="10"/>
                <w:sz w:val="20"/>
                <w:szCs w:val="20"/>
              </w:rPr>
              <w:t>项目所</w:t>
            </w:r>
            <w:r>
              <w:rPr>
                <w:rFonts w:ascii="宋体" w:hAnsi="宋体" w:eastAsia="宋体" w:cs="宋体"/>
                <w:spacing w:val="6"/>
                <w:sz w:val="20"/>
                <w:szCs w:val="20"/>
              </w:rPr>
              <w:t>在</w:t>
            </w:r>
            <w:r>
              <w:rPr>
                <w:rFonts w:ascii="宋体" w:hAnsi="宋体" w:eastAsia="宋体" w:cs="宋体"/>
                <w:spacing w:val="5"/>
                <w:sz w:val="20"/>
                <w:szCs w:val="20"/>
              </w:rPr>
              <w:t xml:space="preserve">地地下水流向上游农户 (周坡村 </w:t>
            </w:r>
            <w:r>
              <w:rPr>
                <w:rFonts w:ascii="Times New Roman" w:hAnsi="Times New Roman" w:eastAsia="Times New Roman" w:cs="Times New Roman"/>
                <w:spacing w:val="5"/>
                <w:sz w:val="20"/>
                <w:szCs w:val="20"/>
              </w:rPr>
              <w:t xml:space="preserve">7 </w:t>
            </w:r>
            <w:r>
              <w:rPr>
                <w:rFonts w:ascii="宋体" w:hAnsi="宋体" w:eastAsia="宋体" w:cs="宋体"/>
                <w:spacing w:val="5"/>
                <w:sz w:val="20"/>
                <w:szCs w:val="20"/>
              </w:rPr>
              <w:t>组)</w:t>
            </w:r>
          </w:p>
        </w:tc>
      </w:tr>
      <w:tr w14:paraId="0FAEA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3749" w:type="dxa"/>
            <w:tcBorders>
              <w:left w:val="nil"/>
            </w:tcBorders>
          </w:tcPr>
          <w:p w14:paraId="279A126E">
            <w:pPr>
              <w:spacing w:before="70" w:line="195" w:lineRule="auto"/>
              <w:ind w:left="1891"/>
              <w:rPr>
                <w:rFonts w:ascii="Times New Roman" w:hAnsi="Times New Roman" w:eastAsia="Times New Roman" w:cs="Times New Roman"/>
                <w:sz w:val="20"/>
                <w:szCs w:val="20"/>
              </w:rPr>
            </w:pPr>
            <w:r>
              <w:rPr>
                <w:rFonts w:ascii="Times New Roman" w:hAnsi="Times New Roman" w:eastAsia="Times New Roman" w:cs="Times New Roman"/>
                <w:sz w:val="20"/>
                <w:szCs w:val="20"/>
              </w:rPr>
              <w:t>J</w:t>
            </w:r>
            <w:r>
              <w:rPr>
                <w:rFonts w:ascii="Times New Roman" w:hAnsi="Times New Roman" w:eastAsia="Times New Roman" w:cs="Times New Roman"/>
                <w:spacing w:val="3"/>
                <w:sz w:val="20"/>
                <w:szCs w:val="20"/>
              </w:rPr>
              <w:t>2</w:t>
            </w:r>
          </w:p>
        </w:tc>
        <w:tc>
          <w:tcPr>
            <w:tcW w:w="5964" w:type="dxa"/>
            <w:tcBorders>
              <w:right w:val="nil"/>
            </w:tcBorders>
          </w:tcPr>
          <w:p w14:paraId="5CC1BE4E">
            <w:pPr>
              <w:spacing w:before="34" w:line="224" w:lineRule="auto"/>
              <w:ind w:left="681"/>
              <w:rPr>
                <w:rFonts w:ascii="宋体" w:hAnsi="宋体" w:eastAsia="宋体" w:cs="宋体"/>
                <w:sz w:val="20"/>
                <w:szCs w:val="20"/>
              </w:rPr>
            </w:pPr>
            <w:r>
              <w:rPr>
                <w:rFonts w:ascii="宋体" w:hAnsi="宋体" w:eastAsia="宋体" w:cs="宋体"/>
                <w:spacing w:val="6"/>
                <w:sz w:val="20"/>
                <w:szCs w:val="20"/>
              </w:rPr>
              <w:t xml:space="preserve">项目所在地地下水流向侧方向农户 (周坡村 </w:t>
            </w:r>
            <w:r>
              <w:rPr>
                <w:rFonts w:ascii="Times New Roman" w:hAnsi="Times New Roman" w:eastAsia="Times New Roman" w:cs="Times New Roman"/>
                <w:spacing w:val="6"/>
                <w:sz w:val="20"/>
                <w:szCs w:val="20"/>
              </w:rPr>
              <w:t xml:space="preserve">7 </w:t>
            </w:r>
            <w:r>
              <w:rPr>
                <w:rFonts w:ascii="宋体" w:hAnsi="宋体" w:eastAsia="宋体" w:cs="宋体"/>
                <w:spacing w:val="6"/>
                <w:sz w:val="20"/>
                <w:szCs w:val="20"/>
              </w:rPr>
              <w:t>组</w:t>
            </w:r>
            <w:r>
              <w:rPr>
                <w:rFonts w:ascii="宋体" w:hAnsi="宋体" w:eastAsia="宋体" w:cs="宋体"/>
                <w:spacing w:val="3"/>
                <w:sz w:val="20"/>
                <w:szCs w:val="20"/>
              </w:rPr>
              <w:t>)</w:t>
            </w:r>
          </w:p>
        </w:tc>
      </w:tr>
      <w:tr w14:paraId="60EF7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3749" w:type="dxa"/>
            <w:tcBorders>
              <w:left w:val="nil"/>
            </w:tcBorders>
          </w:tcPr>
          <w:p w14:paraId="3A47B8B5">
            <w:pPr>
              <w:spacing w:before="71" w:line="195" w:lineRule="auto"/>
              <w:ind w:left="1891"/>
              <w:rPr>
                <w:rFonts w:ascii="Times New Roman" w:hAnsi="Times New Roman" w:eastAsia="Times New Roman" w:cs="Times New Roman"/>
                <w:sz w:val="20"/>
                <w:szCs w:val="20"/>
              </w:rPr>
            </w:pPr>
            <w:r>
              <w:rPr>
                <w:rFonts w:ascii="Times New Roman" w:hAnsi="Times New Roman" w:eastAsia="Times New Roman" w:cs="Times New Roman"/>
                <w:sz w:val="20"/>
                <w:szCs w:val="20"/>
              </w:rPr>
              <w:t>J</w:t>
            </w:r>
            <w:r>
              <w:rPr>
                <w:rFonts w:ascii="Times New Roman" w:hAnsi="Times New Roman" w:eastAsia="Times New Roman" w:cs="Times New Roman"/>
                <w:spacing w:val="3"/>
                <w:sz w:val="20"/>
                <w:szCs w:val="20"/>
              </w:rPr>
              <w:t>3</w:t>
            </w:r>
          </w:p>
        </w:tc>
        <w:tc>
          <w:tcPr>
            <w:tcW w:w="5964" w:type="dxa"/>
            <w:tcBorders>
              <w:right w:val="nil"/>
            </w:tcBorders>
          </w:tcPr>
          <w:p w14:paraId="6C85B7F7">
            <w:pPr>
              <w:spacing w:before="35" w:line="228" w:lineRule="auto"/>
              <w:ind w:left="995"/>
              <w:rPr>
                <w:rFonts w:ascii="宋体" w:hAnsi="宋体" w:eastAsia="宋体" w:cs="宋体"/>
                <w:sz w:val="20"/>
                <w:szCs w:val="20"/>
              </w:rPr>
            </w:pPr>
            <w:r>
              <w:rPr>
                <w:rFonts w:ascii="宋体" w:hAnsi="宋体" w:eastAsia="宋体" w:cs="宋体"/>
                <w:spacing w:val="16"/>
                <w:sz w:val="20"/>
                <w:szCs w:val="20"/>
              </w:rPr>
              <w:t>项</w:t>
            </w:r>
            <w:r>
              <w:rPr>
                <w:rFonts w:ascii="宋体" w:hAnsi="宋体" w:eastAsia="宋体" w:cs="宋体"/>
                <w:spacing w:val="8"/>
                <w:sz w:val="20"/>
                <w:szCs w:val="20"/>
              </w:rPr>
              <w:t>目所在地地下水流向下游农户 (吴家沟)</w:t>
            </w:r>
          </w:p>
        </w:tc>
      </w:tr>
    </w:tbl>
    <w:p w14:paraId="5CF9DE9C">
      <w:pPr>
        <w:spacing w:before="38" w:line="228" w:lineRule="auto"/>
        <w:ind w:left="964"/>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2</w:t>
      </w:r>
      <w:r>
        <w:rPr>
          <w:rFonts w:ascii="宋体" w:hAnsi="宋体" w:eastAsia="宋体" w:cs="宋体"/>
          <w:spacing w:val="20"/>
          <w:sz w:val="23"/>
          <w:szCs w:val="23"/>
        </w:rPr>
        <w:t>) 监测单</w:t>
      </w:r>
      <w:r>
        <w:rPr>
          <w:rFonts w:ascii="宋体" w:hAnsi="宋体" w:eastAsia="宋体" w:cs="宋体"/>
          <w:spacing w:val="19"/>
          <w:sz w:val="23"/>
          <w:szCs w:val="23"/>
        </w:rPr>
        <w:t>位</w:t>
      </w:r>
    </w:p>
    <w:p w14:paraId="78DDEE38">
      <w:pPr>
        <w:spacing w:before="181" w:line="466" w:lineRule="exact"/>
        <w:ind w:left="1035"/>
        <w:rPr>
          <w:rFonts w:ascii="宋体" w:hAnsi="宋体" w:eastAsia="宋体" w:cs="宋体"/>
          <w:sz w:val="23"/>
          <w:szCs w:val="23"/>
        </w:rPr>
      </w:pPr>
      <w:r>
        <w:rPr>
          <w:rFonts w:ascii="宋体" w:hAnsi="宋体" w:eastAsia="宋体" w:cs="宋体"/>
          <w:spacing w:val="14"/>
          <w:position w:val="17"/>
          <w:sz w:val="23"/>
          <w:szCs w:val="23"/>
        </w:rPr>
        <w:t>四</w:t>
      </w:r>
      <w:r>
        <w:rPr>
          <w:rFonts w:ascii="宋体" w:hAnsi="宋体" w:eastAsia="宋体" w:cs="宋体"/>
          <w:spacing w:val="10"/>
          <w:position w:val="17"/>
          <w:sz w:val="23"/>
          <w:szCs w:val="23"/>
        </w:rPr>
        <w:t>川</w:t>
      </w:r>
      <w:r>
        <w:rPr>
          <w:rFonts w:ascii="宋体" w:hAnsi="宋体" w:eastAsia="宋体" w:cs="宋体"/>
          <w:spacing w:val="7"/>
          <w:position w:val="17"/>
          <w:sz w:val="23"/>
          <w:szCs w:val="23"/>
        </w:rPr>
        <w:t>中望正检环境检测有限公司</w:t>
      </w:r>
    </w:p>
    <w:p w14:paraId="7508DB98">
      <w:pPr>
        <w:spacing w:line="228" w:lineRule="auto"/>
        <w:ind w:left="1024"/>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3</w:t>
      </w:r>
      <w:r>
        <w:rPr>
          <w:rFonts w:ascii="宋体" w:hAnsi="宋体" w:eastAsia="宋体" w:cs="宋体"/>
          <w:spacing w:val="20"/>
          <w:sz w:val="23"/>
          <w:szCs w:val="23"/>
        </w:rPr>
        <w:t>) 监测因</w:t>
      </w:r>
      <w:r>
        <w:rPr>
          <w:rFonts w:ascii="宋体" w:hAnsi="宋体" w:eastAsia="宋体" w:cs="宋体"/>
          <w:spacing w:val="19"/>
          <w:sz w:val="23"/>
          <w:szCs w:val="23"/>
        </w:rPr>
        <w:t>子</w:t>
      </w:r>
    </w:p>
    <w:p w14:paraId="6FDD3CCB">
      <w:pPr>
        <w:spacing w:before="139" w:line="388" w:lineRule="auto"/>
        <w:ind w:left="534" w:right="503" w:firstLine="473"/>
        <w:rPr>
          <w:rFonts w:ascii="宋体" w:hAnsi="宋体" w:eastAsia="宋体" w:cs="宋体"/>
          <w:sz w:val="23"/>
          <w:szCs w:val="23"/>
        </w:rPr>
      </w:pPr>
      <w:r>
        <w:rPr>
          <w:rFonts w:ascii="Times New Roman" w:hAnsi="Times New Roman" w:eastAsia="Times New Roman" w:cs="Times New Roman"/>
          <w:spacing w:val="-1"/>
          <w:sz w:val="23"/>
          <w:szCs w:val="23"/>
        </w:rPr>
        <w:t>K</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w:t>
      </w:r>
      <w:r>
        <w:rPr>
          <w:rFonts w:ascii="Times New Roman" w:hAnsi="Times New Roman" w:eastAsia="Times New Roman" w:cs="Times New Roman"/>
          <w:spacing w:val="-1"/>
          <w:sz w:val="23"/>
          <w:szCs w:val="23"/>
        </w:rPr>
        <w:t>Na</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w:t>
      </w:r>
      <w:r>
        <w:rPr>
          <w:rFonts w:ascii="Times New Roman" w:hAnsi="Times New Roman" w:eastAsia="Times New Roman" w:cs="Times New Roman"/>
          <w:spacing w:val="-1"/>
          <w:sz w:val="23"/>
          <w:szCs w:val="23"/>
        </w:rPr>
        <w:t>Ca</w:t>
      </w:r>
      <w:r>
        <w:rPr>
          <w:rFonts w:ascii="Times New Roman" w:hAnsi="Times New Roman" w:eastAsia="Times New Roman" w:cs="Times New Roman"/>
          <w:spacing w:val="-2"/>
          <w:position w:val="7"/>
          <w:sz w:val="15"/>
          <w:szCs w:val="15"/>
        </w:rPr>
        <w:t xml:space="preserve">2+ </w:t>
      </w:r>
      <w:r>
        <w:rPr>
          <w:rFonts w:ascii="宋体" w:hAnsi="宋体" w:eastAsia="宋体" w:cs="宋体"/>
          <w:spacing w:val="-2"/>
          <w:sz w:val="23"/>
          <w:szCs w:val="23"/>
        </w:rPr>
        <w:t>、</w:t>
      </w:r>
      <w:r>
        <w:rPr>
          <w:rFonts w:ascii="Times New Roman" w:hAnsi="Times New Roman" w:eastAsia="Times New Roman" w:cs="Times New Roman"/>
          <w:spacing w:val="-1"/>
          <w:sz w:val="23"/>
          <w:szCs w:val="23"/>
        </w:rPr>
        <w:t>Mg</w:t>
      </w:r>
      <w:r>
        <w:rPr>
          <w:rFonts w:ascii="Times New Roman" w:hAnsi="Times New Roman" w:eastAsia="Times New Roman" w:cs="Times New Roman"/>
          <w:spacing w:val="-2"/>
          <w:position w:val="7"/>
          <w:sz w:val="15"/>
          <w:szCs w:val="15"/>
        </w:rPr>
        <w:t xml:space="preserve">2+ </w:t>
      </w:r>
      <w:r>
        <w:rPr>
          <w:rFonts w:ascii="宋体" w:hAnsi="宋体" w:eastAsia="宋体" w:cs="宋体"/>
          <w:spacing w:val="-2"/>
          <w:sz w:val="23"/>
          <w:szCs w:val="23"/>
        </w:rPr>
        <w:t>、</w:t>
      </w:r>
      <w:r>
        <w:rPr>
          <w:rFonts w:ascii="Times New Roman" w:hAnsi="Times New Roman" w:eastAsia="Times New Roman" w:cs="Times New Roman"/>
          <w:spacing w:val="-1"/>
          <w:sz w:val="23"/>
          <w:szCs w:val="23"/>
        </w:rPr>
        <w:t>CO</w:t>
      </w:r>
      <w:r>
        <w:rPr>
          <w:rFonts w:ascii="Times New Roman" w:hAnsi="Times New Roman" w:eastAsia="Times New Roman" w:cs="Times New Roman"/>
          <w:spacing w:val="-2"/>
          <w:position w:val="-2"/>
          <w:sz w:val="15"/>
          <w:szCs w:val="15"/>
        </w:rPr>
        <w:t>3</w:t>
      </w:r>
      <w:r>
        <w:rPr>
          <w:rFonts w:ascii="Times New Roman" w:hAnsi="Times New Roman" w:eastAsia="Times New Roman" w:cs="Times New Roman"/>
          <w:spacing w:val="-2"/>
          <w:position w:val="7"/>
          <w:sz w:val="15"/>
          <w:szCs w:val="15"/>
        </w:rPr>
        <w:t xml:space="preserve">2- </w:t>
      </w:r>
      <w:r>
        <w:rPr>
          <w:rFonts w:ascii="宋体" w:hAnsi="宋体" w:eastAsia="宋体" w:cs="宋体"/>
          <w:spacing w:val="-2"/>
          <w:sz w:val="23"/>
          <w:szCs w:val="23"/>
        </w:rPr>
        <w:t>、</w:t>
      </w:r>
      <w:r>
        <w:rPr>
          <w:rFonts w:ascii="Times New Roman" w:hAnsi="Times New Roman" w:eastAsia="Times New Roman" w:cs="Times New Roman"/>
          <w:spacing w:val="-1"/>
          <w:sz w:val="23"/>
          <w:szCs w:val="23"/>
        </w:rPr>
        <w:t>HCO</w:t>
      </w:r>
      <w:r>
        <w:rPr>
          <w:rFonts w:ascii="Times New Roman" w:hAnsi="Times New Roman" w:eastAsia="Times New Roman" w:cs="Times New Roman"/>
          <w:spacing w:val="-2"/>
          <w:position w:val="-2"/>
          <w:sz w:val="15"/>
          <w:szCs w:val="15"/>
        </w:rPr>
        <w:t>3</w:t>
      </w:r>
      <w:r>
        <w:rPr>
          <w:rFonts w:ascii="Times New Roman" w:hAnsi="Times New Roman" w:eastAsia="Times New Roman" w:cs="Times New Roman"/>
          <w:spacing w:val="-2"/>
          <w:position w:val="7"/>
          <w:sz w:val="15"/>
          <w:szCs w:val="15"/>
        </w:rPr>
        <w:t xml:space="preserve">- </w:t>
      </w:r>
      <w:r>
        <w:rPr>
          <w:rFonts w:ascii="宋体" w:hAnsi="宋体" w:eastAsia="宋体" w:cs="宋体"/>
          <w:spacing w:val="-2"/>
          <w:sz w:val="23"/>
          <w:szCs w:val="23"/>
        </w:rPr>
        <w:t>、</w:t>
      </w:r>
      <w:r>
        <w:rPr>
          <w:rFonts w:ascii="Times New Roman" w:hAnsi="Times New Roman" w:eastAsia="Times New Roman" w:cs="Times New Roman"/>
          <w:spacing w:val="-1"/>
          <w:sz w:val="23"/>
          <w:szCs w:val="23"/>
        </w:rPr>
        <w:t>Cl</w:t>
      </w:r>
      <w:r>
        <w:rPr>
          <w:rFonts w:ascii="Times New Roman" w:hAnsi="Times New Roman" w:eastAsia="Times New Roman" w:cs="Times New Roman"/>
          <w:spacing w:val="-2"/>
          <w:position w:val="7"/>
          <w:sz w:val="15"/>
          <w:szCs w:val="15"/>
        </w:rPr>
        <w:t xml:space="preserve">- </w:t>
      </w:r>
      <w:r>
        <w:rPr>
          <w:rFonts w:ascii="宋体" w:hAnsi="宋体" w:eastAsia="宋体" w:cs="宋体"/>
          <w:spacing w:val="-2"/>
          <w:sz w:val="23"/>
          <w:szCs w:val="23"/>
        </w:rPr>
        <w:t>、</w:t>
      </w:r>
      <w:r>
        <w:rPr>
          <w:rFonts w:ascii="Times New Roman" w:hAnsi="Times New Roman" w:eastAsia="Times New Roman" w:cs="Times New Roman"/>
          <w:spacing w:val="-1"/>
          <w:sz w:val="23"/>
          <w:szCs w:val="23"/>
        </w:rPr>
        <w:t>SO</w:t>
      </w:r>
      <w:r>
        <w:rPr>
          <w:rFonts w:ascii="Times New Roman" w:hAnsi="Times New Roman" w:eastAsia="Times New Roman" w:cs="Times New Roman"/>
          <w:spacing w:val="-2"/>
          <w:position w:val="-2"/>
          <w:sz w:val="15"/>
          <w:szCs w:val="15"/>
        </w:rPr>
        <w:t>4</w:t>
      </w:r>
      <w:r>
        <w:rPr>
          <w:rFonts w:ascii="Times New Roman" w:hAnsi="Times New Roman" w:eastAsia="Times New Roman" w:cs="Times New Roman"/>
          <w:spacing w:val="-2"/>
          <w:position w:val="7"/>
          <w:sz w:val="15"/>
          <w:szCs w:val="15"/>
        </w:rPr>
        <w:t xml:space="preserve">2- </w:t>
      </w:r>
      <w:r>
        <w:rPr>
          <w:rFonts w:ascii="宋体" w:hAnsi="宋体" w:eastAsia="宋体" w:cs="宋体"/>
          <w:spacing w:val="-2"/>
          <w:sz w:val="23"/>
          <w:szCs w:val="23"/>
        </w:rPr>
        <w:t>、</w:t>
      </w:r>
      <w:r>
        <w:rPr>
          <w:rFonts w:ascii="Times New Roman" w:hAnsi="Times New Roman" w:eastAsia="Times New Roman" w:cs="Times New Roman"/>
          <w:spacing w:val="-1"/>
          <w:sz w:val="23"/>
          <w:szCs w:val="23"/>
        </w:rPr>
        <w:t>pH</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、氨氮、硝</w:t>
      </w:r>
      <w:r>
        <w:rPr>
          <w:rFonts w:ascii="宋体" w:hAnsi="宋体" w:eastAsia="宋体" w:cs="宋体"/>
          <w:spacing w:val="-1"/>
          <w:sz w:val="23"/>
          <w:szCs w:val="23"/>
        </w:rPr>
        <w:t>酸盐、亚硝</w:t>
      </w:r>
      <w:r>
        <w:rPr>
          <w:rFonts w:ascii="宋体" w:hAnsi="宋体" w:eastAsia="宋体" w:cs="宋体"/>
          <w:sz w:val="23"/>
          <w:szCs w:val="23"/>
        </w:rPr>
        <w:t xml:space="preserve"> </w:t>
      </w:r>
      <w:r>
        <w:rPr>
          <w:rFonts w:ascii="宋体" w:hAnsi="宋体" w:eastAsia="宋体" w:cs="宋体"/>
          <w:spacing w:val="15"/>
          <w:sz w:val="23"/>
          <w:szCs w:val="23"/>
        </w:rPr>
        <w:t>酸</w:t>
      </w:r>
      <w:r>
        <w:rPr>
          <w:rFonts w:ascii="宋体" w:hAnsi="宋体" w:eastAsia="宋体" w:cs="宋体"/>
          <w:spacing w:val="9"/>
          <w:sz w:val="23"/>
          <w:szCs w:val="23"/>
        </w:rPr>
        <w:t>盐、溶解性总固体、高锰酸盐指数、总硬度、总大肠菌群。</w:t>
      </w:r>
    </w:p>
    <w:p w14:paraId="15722B37">
      <w:pPr>
        <w:spacing w:before="12" w:line="227" w:lineRule="auto"/>
        <w:ind w:left="1024"/>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7"/>
          <w:sz w:val="23"/>
          <w:szCs w:val="23"/>
        </w:rPr>
        <w:t>4</w:t>
      </w:r>
      <w:r>
        <w:rPr>
          <w:rFonts w:ascii="宋体" w:hAnsi="宋体" w:eastAsia="宋体" w:cs="宋体"/>
          <w:spacing w:val="17"/>
          <w:sz w:val="23"/>
          <w:szCs w:val="23"/>
        </w:rPr>
        <w:t>) 监测时间及频率</w:t>
      </w:r>
    </w:p>
    <w:p w14:paraId="57F08D02">
      <w:pPr>
        <w:spacing w:before="185" w:line="227" w:lineRule="auto"/>
        <w:ind w:left="1014"/>
        <w:rPr>
          <w:rFonts w:ascii="宋体" w:hAnsi="宋体" w:eastAsia="宋体" w:cs="宋体"/>
          <w:sz w:val="23"/>
          <w:szCs w:val="23"/>
        </w:rPr>
      </w:pPr>
      <w:r>
        <w:rPr>
          <w:rFonts w:ascii="宋体" w:hAnsi="宋体" w:eastAsia="宋体" w:cs="宋体"/>
          <w:spacing w:val="-6"/>
          <w:sz w:val="23"/>
          <w:szCs w:val="23"/>
        </w:rPr>
        <w:t>监测时间</w:t>
      </w:r>
      <w:r>
        <w:rPr>
          <w:rFonts w:ascii="宋体" w:hAnsi="宋体" w:eastAsia="宋体" w:cs="宋体"/>
          <w:spacing w:val="-3"/>
          <w:sz w:val="23"/>
          <w:szCs w:val="23"/>
        </w:rPr>
        <w:t>：</w:t>
      </w:r>
      <w:r>
        <w:rPr>
          <w:rFonts w:ascii="Times New Roman" w:hAnsi="Times New Roman" w:eastAsia="Times New Roman" w:cs="Times New Roman"/>
          <w:spacing w:val="-3"/>
          <w:sz w:val="23"/>
          <w:szCs w:val="23"/>
        </w:rPr>
        <w:t xml:space="preserve">2019 </w:t>
      </w:r>
      <w:r>
        <w:rPr>
          <w:rFonts w:ascii="宋体" w:hAnsi="宋体" w:eastAsia="宋体" w:cs="宋体"/>
          <w:spacing w:val="-3"/>
          <w:sz w:val="23"/>
          <w:szCs w:val="23"/>
        </w:rPr>
        <w:t xml:space="preserve">年 </w:t>
      </w:r>
      <w:r>
        <w:rPr>
          <w:rFonts w:ascii="Times New Roman" w:hAnsi="Times New Roman" w:eastAsia="Times New Roman" w:cs="Times New Roman"/>
          <w:spacing w:val="-3"/>
          <w:sz w:val="23"/>
          <w:szCs w:val="23"/>
        </w:rPr>
        <w:t xml:space="preserve">8 </w:t>
      </w:r>
      <w:r>
        <w:rPr>
          <w:rFonts w:ascii="宋体" w:hAnsi="宋体" w:eastAsia="宋体" w:cs="宋体"/>
          <w:spacing w:val="-3"/>
          <w:sz w:val="23"/>
          <w:szCs w:val="23"/>
        </w:rPr>
        <w:t xml:space="preserve">月 </w:t>
      </w:r>
      <w:r>
        <w:rPr>
          <w:rFonts w:ascii="Times New Roman" w:hAnsi="Times New Roman" w:eastAsia="Times New Roman" w:cs="Times New Roman"/>
          <w:spacing w:val="-3"/>
          <w:sz w:val="23"/>
          <w:szCs w:val="23"/>
        </w:rPr>
        <w:t xml:space="preserve">27 </w:t>
      </w:r>
      <w:r>
        <w:rPr>
          <w:rFonts w:ascii="宋体" w:hAnsi="宋体" w:eastAsia="宋体" w:cs="宋体"/>
          <w:spacing w:val="-3"/>
          <w:sz w:val="23"/>
          <w:szCs w:val="23"/>
        </w:rPr>
        <w:t xml:space="preserve">日，  监测 </w:t>
      </w:r>
      <w:r>
        <w:rPr>
          <w:rFonts w:ascii="Times New Roman" w:hAnsi="Times New Roman" w:eastAsia="Times New Roman" w:cs="Times New Roman"/>
          <w:spacing w:val="-3"/>
          <w:sz w:val="23"/>
          <w:szCs w:val="23"/>
        </w:rPr>
        <w:t xml:space="preserve">1 </w:t>
      </w:r>
      <w:r>
        <w:rPr>
          <w:rFonts w:ascii="宋体" w:hAnsi="宋体" w:eastAsia="宋体" w:cs="宋体"/>
          <w:spacing w:val="-3"/>
          <w:sz w:val="23"/>
          <w:szCs w:val="23"/>
        </w:rPr>
        <w:t xml:space="preserve">天，每天 </w:t>
      </w:r>
      <w:r>
        <w:rPr>
          <w:rFonts w:ascii="Times New Roman" w:hAnsi="Times New Roman" w:eastAsia="Times New Roman" w:cs="Times New Roman"/>
          <w:spacing w:val="-3"/>
          <w:sz w:val="23"/>
          <w:szCs w:val="23"/>
        </w:rPr>
        <w:t xml:space="preserve">1 </w:t>
      </w:r>
      <w:r>
        <w:rPr>
          <w:rFonts w:ascii="宋体" w:hAnsi="宋体" w:eastAsia="宋体" w:cs="宋体"/>
          <w:spacing w:val="-3"/>
          <w:sz w:val="23"/>
          <w:szCs w:val="23"/>
        </w:rPr>
        <w:t>次。</w:t>
      </w:r>
    </w:p>
    <w:p w14:paraId="425E7020">
      <w:pPr>
        <w:spacing w:before="182" w:line="228" w:lineRule="auto"/>
        <w:ind w:left="1024"/>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8"/>
          <w:sz w:val="23"/>
          <w:szCs w:val="23"/>
        </w:rPr>
        <w:t>5</w:t>
      </w:r>
      <w:r>
        <w:rPr>
          <w:rFonts w:ascii="宋体" w:hAnsi="宋体" w:eastAsia="宋体" w:cs="宋体"/>
          <w:spacing w:val="18"/>
          <w:sz w:val="23"/>
          <w:szCs w:val="23"/>
        </w:rPr>
        <w:t>) 监测分析方</w:t>
      </w:r>
      <w:r>
        <w:rPr>
          <w:rFonts w:ascii="宋体" w:hAnsi="宋体" w:eastAsia="宋体" w:cs="宋体"/>
          <w:spacing w:val="17"/>
          <w:sz w:val="23"/>
          <w:szCs w:val="23"/>
        </w:rPr>
        <w:t>法</w:t>
      </w:r>
    </w:p>
    <w:p w14:paraId="3C0052C4">
      <w:pPr>
        <w:spacing w:before="185" w:line="382" w:lineRule="auto"/>
        <w:ind w:left="536" w:right="522" w:firstLine="480"/>
        <w:rPr>
          <w:rFonts w:ascii="宋体" w:hAnsi="宋体" w:eastAsia="宋体" w:cs="宋体"/>
          <w:sz w:val="23"/>
          <w:szCs w:val="23"/>
        </w:rPr>
      </w:pPr>
      <w:r>
        <w:rPr>
          <w:rFonts w:ascii="宋体" w:hAnsi="宋体" w:eastAsia="宋体" w:cs="宋体"/>
          <w:spacing w:val="20"/>
          <w:sz w:val="23"/>
          <w:szCs w:val="23"/>
        </w:rPr>
        <w:t>水</w:t>
      </w:r>
      <w:r>
        <w:rPr>
          <w:rFonts w:ascii="宋体" w:hAnsi="宋体" w:eastAsia="宋体" w:cs="宋体"/>
          <w:spacing w:val="14"/>
          <w:sz w:val="23"/>
          <w:szCs w:val="23"/>
        </w:rPr>
        <w:t>样</w:t>
      </w:r>
      <w:r>
        <w:rPr>
          <w:rFonts w:ascii="宋体" w:hAnsi="宋体" w:eastAsia="宋体" w:cs="宋体"/>
          <w:spacing w:val="10"/>
          <w:sz w:val="23"/>
          <w:szCs w:val="23"/>
        </w:rPr>
        <w:t>的采集、保存方法按《环境监测技术规范》执行，监测分析方法按《地下</w:t>
      </w:r>
      <w:r>
        <w:rPr>
          <w:rFonts w:ascii="宋体" w:hAnsi="宋体" w:eastAsia="宋体" w:cs="宋体"/>
          <w:sz w:val="23"/>
          <w:szCs w:val="23"/>
        </w:rPr>
        <w:t xml:space="preserve"> </w:t>
      </w:r>
      <w:r>
        <w:rPr>
          <w:rFonts w:ascii="宋体" w:hAnsi="宋体" w:eastAsia="宋体" w:cs="宋体"/>
          <w:spacing w:val="4"/>
          <w:sz w:val="23"/>
          <w:szCs w:val="23"/>
        </w:rPr>
        <w:t xml:space="preserve">水环境质量标准》  </w:t>
      </w:r>
      <w:r>
        <w:rPr>
          <w:rFonts w:ascii="宋体" w:hAnsi="宋体" w:eastAsia="宋体" w:cs="宋体"/>
          <w:spacing w:val="3"/>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2"/>
          <w:sz w:val="23"/>
          <w:szCs w:val="23"/>
        </w:rPr>
        <w:t>14848-93</w:t>
      </w:r>
      <w:r>
        <w:rPr>
          <w:rFonts w:ascii="宋体" w:hAnsi="宋体" w:eastAsia="宋体" w:cs="宋体"/>
          <w:spacing w:val="2"/>
          <w:sz w:val="23"/>
          <w:szCs w:val="23"/>
        </w:rPr>
        <w:t xml:space="preserve">) 中规定的方法进行，见表 </w:t>
      </w:r>
      <w:r>
        <w:rPr>
          <w:rFonts w:ascii="Times New Roman" w:hAnsi="Times New Roman" w:eastAsia="Times New Roman" w:cs="Times New Roman"/>
          <w:spacing w:val="2"/>
          <w:sz w:val="23"/>
          <w:szCs w:val="23"/>
        </w:rPr>
        <w:t>4.2-9</w:t>
      </w:r>
      <w:r>
        <w:rPr>
          <w:rFonts w:ascii="宋体" w:hAnsi="宋体" w:eastAsia="宋体" w:cs="宋体"/>
          <w:spacing w:val="2"/>
          <w:sz w:val="23"/>
          <w:szCs w:val="23"/>
        </w:rPr>
        <w:t>。</w:t>
      </w:r>
    </w:p>
    <w:p w14:paraId="73740C8E">
      <w:pPr>
        <w:spacing w:before="101" w:line="221" w:lineRule="auto"/>
        <w:ind w:left="3930"/>
        <w:rPr>
          <w:rFonts w:ascii="黑体" w:hAnsi="黑体" w:eastAsia="黑体" w:cs="黑体"/>
          <w:sz w:val="23"/>
          <w:szCs w:val="23"/>
        </w:rPr>
      </w:pPr>
      <w:r>
        <w:rPr>
          <w:rFonts w:ascii="黑体" w:hAnsi="黑体" w:eastAsia="黑体" w:cs="黑体"/>
          <w:spacing w:val="2"/>
          <w:sz w:val="23"/>
          <w:szCs w:val="23"/>
        </w:rPr>
        <w:t xml:space="preserve">表 </w:t>
      </w:r>
      <w:r>
        <w:rPr>
          <w:rFonts w:ascii="Times New Roman" w:hAnsi="Times New Roman" w:eastAsia="Times New Roman" w:cs="Times New Roman"/>
          <w:spacing w:val="2"/>
          <w:sz w:val="23"/>
          <w:szCs w:val="23"/>
        </w:rPr>
        <w:t xml:space="preserve">4.2-9 </w:t>
      </w:r>
      <w:r>
        <w:rPr>
          <w:rFonts w:ascii="Times New Roman" w:hAnsi="Times New Roman" w:eastAsia="Times New Roman" w:cs="Times New Roman"/>
          <w:spacing w:val="1"/>
          <w:sz w:val="23"/>
          <w:szCs w:val="23"/>
        </w:rPr>
        <w:t xml:space="preserve">     </w:t>
      </w:r>
      <w:r>
        <w:rPr>
          <w:rFonts w:ascii="黑体" w:hAnsi="黑体" w:eastAsia="黑体" w:cs="黑体"/>
          <w:spacing w:val="1"/>
          <w:sz w:val="23"/>
          <w:szCs w:val="23"/>
        </w:rPr>
        <w:t>监测依据表</w:t>
      </w:r>
    </w:p>
    <w:tbl>
      <w:tblPr>
        <w:tblStyle w:val="4"/>
        <w:tblW w:w="9125" w:type="dxa"/>
        <w:tblInd w:w="29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91"/>
        <w:gridCol w:w="4751"/>
        <w:gridCol w:w="2483"/>
      </w:tblGrid>
      <w:tr w14:paraId="363579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1891" w:type="dxa"/>
            <w:tcBorders>
              <w:left w:val="nil"/>
            </w:tcBorders>
          </w:tcPr>
          <w:p w14:paraId="46129E3E">
            <w:pPr>
              <w:spacing w:before="56" w:line="226" w:lineRule="auto"/>
              <w:ind w:left="534"/>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监</w:t>
            </w:r>
            <w:r>
              <w:rPr>
                <w:rFonts w:ascii="宋体" w:hAnsi="宋体" w:eastAsia="宋体" w:cs="宋体"/>
                <w:spacing w:val="8"/>
                <w:sz w:val="20"/>
                <w:szCs w:val="20"/>
                <w14:textOutline w14:w="3797" w14:cap="sq" w14:cmpd="sng" w14:algn="ctr">
                  <w14:solidFill>
                    <w14:srgbClr w14:val="000000"/>
                  </w14:solidFill>
                  <w14:prstDash w14:val="solid"/>
                  <w14:bevel/>
                </w14:textOutline>
              </w:rPr>
              <w:t>测项目</w:t>
            </w:r>
          </w:p>
        </w:tc>
        <w:tc>
          <w:tcPr>
            <w:tcW w:w="4751" w:type="dxa"/>
          </w:tcPr>
          <w:p w14:paraId="534D97B3">
            <w:pPr>
              <w:spacing w:before="56" w:line="226" w:lineRule="auto"/>
              <w:ind w:left="2171"/>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检</w:t>
            </w:r>
            <w:r>
              <w:rPr>
                <w:rFonts w:ascii="宋体" w:hAnsi="宋体" w:eastAsia="宋体" w:cs="宋体"/>
                <w:spacing w:val="8"/>
                <w:sz w:val="20"/>
                <w:szCs w:val="20"/>
                <w14:textOutline w14:w="3797" w14:cap="sq" w14:cmpd="sng" w14:algn="ctr">
                  <w14:solidFill>
                    <w14:srgbClr w14:val="000000"/>
                  </w14:solidFill>
                  <w14:prstDash w14:val="solid"/>
                  <w14:bevel/>
                </w14:textOutline>
              </w:rPr>
              <w:t>测方法</w:t>
            </w:r>
          </w:p>
        </w:tc>
        <w:tc>
          <w:tcPr>
            <w:tcW w:w="2483" w:type="dxa"/>
            <w:tcBorders>
              <w:right w:val="nil"/>
            </w:tcBorders>
          </w:tcPr>
          <w:p w14:paraId="62C18C6F">
            <w:pPr>
              <w:spacing w:before="14" w:line="287" w:lineRule="exact"/>
              <w:ind w:left="693"/>
              <w:rPr>
                <w:rFonts w:ascii="宋体" w:hAnsi="宋体" w:eastAsia="宋体" w:cs="宋体"/>
                <w:sz w:val="20"/>
                <w:szCs w:val="20"/>
              </w:rPr>
            </w:pPr>
            <w:r>
              <w:rPr>
                <w:rFonts w:ascii="宋体" w:hAnsi="宋体" w:eastAsia="宋体" w:cs="宋体"/>
                <w:spacing w:val="11"/>
                <w:position w:val="3"/>
                <w:sz w:val="20"/>
                <w:szCs w:val="20"/>
                <w14:textOutline w14:w="3759" w14:cap="sq" w14:cmpd="sng" w14:algn="ctr">
                  <w14:solidFill>
                    <w14:srgbClr w14:val="000000"/>
                  </w14:solidFill>
                  <w14:prstDash w14:val="solid"/>
                  <w14:bevel/>
                </w14:textOutline>
              </w:rPr>
              <w:t>检</w:t>
            </w:r>
            <w:r>
              <w:rPr>
                <w:rFonts w:ascii="宋体" w:hAnsi="宋体" w:eastAsia="宋体" w:cs="宋体"/>
                <w:spacing w:val="7"/>
                <w:position w:val="3"/>
                <w:sz w:val="20"/>
                <w:szCs w:val="20"/>
                <w14:textOutline w14:w="3759" w14:cap="sq" w14:cmpd="sng" w14:algn="ctr">
                  <w14:solidFill>
                    <w14:srgbClr w14:val="000000"/>
                  </w14:solidFill>
                  <w14:prstDash w14:val="solid"/>
                  <w14:bevel/>
                </w14:textOutline>
              </w:rPr>
              <w:t>出限</w:t>
            </w:r>
            <w:r>
              <w:rPr>
                <w:rFonts w:ascii="宋体" w:hAnsi="宋体" w:eastAsia="宋体" w:cs="宋体"/>
                <w:spacing w:val="7"/>
                <w:position w:val="3"/>
                <w:sz w:val="20"/>
                <w:szCs w:val="20"/>
              </w:rPr>
              <w:t xml:space="preserve"> </w:t>
            </w:r>
            <w:r>
              <w:rPr>
                <w:rFonts w:ascii="宋体" w:hAnsi="宋体" w:eastAsia="宋体" w:cs="宋体"/>
                <w:spacing w:val="7"/>
                <w:position w:val="3"/>
                <w:sz w:val="20"/>
                <w:szCs w:val="20"/>
                <w14:textOutline w14:w="3759" w14:cap="sq" w14:cmpd="sng" w14:algn="ctr">
                  <w14:solidFill>
                    <w14:srgbClr w14:val="000000"/>
                  </w14:solidFill>
                  <w14:prstDash w14:val="solid"/>
                  <w14:bevel/>
                </w14:textOutline>
              </w:rPr>
              <w:t>(</w:t>
            </w:r>
            <w:r>
              <w:rPr>
                <w:rFonts w:ascii="Times New Roman" w:hAnsi="Times New Roman" w:eastAsia="Times New Roman" w:cs="Times New Roman"/>
                <w:b/>
                <w:bCs/>
                <w:position w:val="3"/>
                <w:sz w:val="20"/>
                <w:szCs w:val="20"/>
              </w:rPr>
              <w:t>mg</w:t>
            </w:r>
            <w:r>
              <w:rPr>
                <w:rFonts w:ascii="Times New Roman" w:hAnsi="Times New Roman" w:eastAsia="Times New Roman" w:cs="Times New Roman"/>
                <w:b/>
                <w:bCs/>
                <w:spacing w:val="7"/>
                <w:position w:val="3"/>
                <w:sz w:val="20"/>
                <w:szCs w:val="20"/>
              </w:rPr>
              <w:t>/</w:t>
            </w:r>
            <w:r>
              <w:rPr>
                <w:rFonts w:ascii="Times New Roman" w:hAnsi="Times New Roman" w:eastAsia="Times New Roman" w:cs="Times New Roman"/>
                <w:b/>
                <w:bCs/>
                <w:position w:val="3"/>
                <w:sz w:val="20"/>
                <w:szCs w:val="20"/>
              </w:rPr>
              <w:t>L</w:t>
            </w:r>
            <w:r>
              <w:rPr>
                <w:rFonts w:ascii="宋体" w:hAnsi="宋体" w:eastAsia="宋体" w:cs="宋体"/>
                <w:spacing w:val="7"/>
                <w:position w:val="3"/>
                <w:sz w:val="20"/>
                <w:szCs w:val="20"/>
                <w14:textOutline w14:w="3759" w14:cap="sq" w14:cmpd="sng" w14:algn="ctr">
                  <w14:solidFill>
                    <w14:srgbClr w14:val="000000"/>
                  </w14:solidFill>
                  <w14:prstDash w14:val="solid"/>
                  <w14:bevel/>
                </w14:textOutline>
              </w:rPr>
              <w:t>)</w:t>
            </w:r>
          </w:p>
        </w:tc>
      </w:tr>
      <w:tr w14:paraId="618FB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1891" w:type="dxa"/>
            <w:tcBorders>
              <w:left w:val="nil"/>
            </w:tcBorders>
          </w:tcPr>
          <w:p w14:paraId="3C805B82">
            <w:pPr>
              <w:spacing w:before="136" w:line="226" w:lineRule="auto"/>
              <w:ind w:left="903"/>
              <w:rPr>
                <w:rFonts w:ascii="宋体" w:hAnsi="宋体" w:eastAsia="宋体" w:cs="宋体"/>
                <w:sz w:val="20"/>
                <w:szCs w:val="20"/>
              </w:rPr>
            </w:pPr>
            <w:r>
              <w:rPr>
                <w:rFonts w:ascii="宋体" w:hAnsi="宋体" w:eastAsia="宋体" w:cs="宋体"/>
                <w:sz w:val="20"/>
                <w:szCs w:val="20"/>
              </w:rPr>
              <w:t>钾</w:t>
            </w:r>
          </w:p>
        </w:tc>
        <w:tc>
          <w:tcPr>
            <w:tcW w:w="4751" w:type="dxa"/>
          </w:tcPr>
          <w:p w14:paraId="23436F4F">
            <w:pPr>
              <w:spacing w:before="82" w:line="228" w:lineRule="auto"/>
              <w:ind w:left="459"/>
              <w:rPr>
                <w:rFonts w:ascii="宋体" w:hAnsi="宋体" w:eastAsia="宋体" w:cs="宋体"/>
                <w:sz w:val="20"/>
                <w:szCs w:val="20"/>
              </w:rPr>
            </w:pPr>
            <w:r>
              <w:rPr>
                <w:rFonts w:ascii="宋体" w:hAnsi="宋体" w:eastAsia="宋体" w:cs="宋体"/>
                <w:spacing w:val="10"/>
                <w:sz w:val="20"/>
                <w:szCs w:val="20"/>
              </w:rPr>
              <w:t>火</w:t>
            </w:r>
            <w:r>
              <w:rPr>
                <w:rFonts w:ascii="宋体" w:hAnsi="宋体" w:eastAsia="宋体" w:cs="宋体"/>
                <w:spacing w:val="7"/>
                <w:sz w:val="20"/>
                <w:szCs w:val="20"/>
              </w:rPr>
              <w:t>焰原子吸收分光光度法 (</w:t>
            </w:r>
            <w:r>
              <w:rPr>
                <w:rFonts w:ascii="Times New Roman" w:hAnsi="Times New Roman" w:eastAsia="Times New Roman" w:cs="Times New Roman"/>
                <w:sz w:val="20"/>
                <w:szCs w:val="20"/>
              </w:rPr>
              <w:t>GB</w:t>
            </w:r>
            <w:r>
              <w:rPr>
                <w:rFonts w:ascii="Times New Roman" w:hAnsi="Times New Roman" w:eastAsia="Times New Roman" w:cs="Times New Roman"/>
                <w:spacing w:val="7"/>
                <w:sz w:val="20"/>
                <w:szCs w:val="20"/>
              </w:rPr>
              <w:t xml:space="preserve"> 11904-89</w:t>
            </w:r>
            <w:r>
              <w:rPr>
                <w:rFonts w:ascii="宋体" w:hAnsi="宋体" w:eastAsia="宋体" w:cs="宋体"/>
                <w:spacing w:val="7"/>
                <w:sz w:val="20"/>
                <w:szCs w:val="20"/>
              </w:rPr>
              <w:t>)</w:t>
            </w:r>
          </w:p>
        </w:tc>
        <w:tc>
          <w:tcPr>
            <w:tcW w:w="2483" w:type="dxa"/>
            <w:tcBorders>
              <w:right w:val="nil"/>
            </w:tcBorders>
          </w:tcPr>
          <w:p w14:paraId="6D11DE72">
            <w:pPr>
              <w:spacing w:before="98" w:line="281" w:lineRule="exact"/>
              <w:ind w:left="930"/>
              <w:rPr>
                <w:rFonts w:ascii="Times New Roman" w:hAnsi="Times New Roman" w:eastAsia="Times New Roman" w:cs="Times New Roman"/>
                <w:sz w:val="20"/>
                <w:szCs w:val="20"/>
              </w:rPr>
            </w:pPr>
            <w:r>
              <w:rPr>
                <w:rFonts w:ascii="Times New Roman" w:hAnsi="Times New Roman" w:eastAsia="Times New Roman" w:cs="Times New Roman"/>
                <w:spacing w:val="7"/>
                <w:position w:val="2"/>
                <w:sz w:val="20"/>
                <w:szCs w:val="20"/>
              </w:rPr>
              <w:t>0</w:t>
            </w:r>
            <w:r>
              <w:rPr>
                <w:rFonts w:ascii="Times New Roman" w:hAnsi="Times New Roman" w:eastAsia="Times New Roman" w:cs="Times New Roman"/>
                <w:spacing w:val="5"/>
                <w:position w:val="2"/>
                <w:sz w:val="20"/>
                <w:szCs w:val="20"/>
              </w:rPr>
              <w:t>.05</w:t>
            </w:r>
            <w:r>
              <w:rPr>
                <w:rFonts w:ascii="Times New Roman" w:hAnsi="Times New Roman" w:eastAsia="Times New Roman" w:cs="Times New Roman"/>
                <w:position w:val="2"/>
                <w:sz w:val="20"/>
                <w:szCs w:val="20"/>
              </w:rPr>
              <w:t>mg</w:t>
            </w:r>
            <w:r>
              <w:rPr>
                <w:rFonts w:ascii="Times New Roman" w:hAnsi="Times New Roman" w:eastAsia="Times New Roman" w:cs="Times New Roman"/>
                <w:spacing w:val="5"/>
                <w:position w:val="2"/>
                <w:sz w:val="20"/>
                <w:szCs w:val="20"/>
              </w:rPr>
              <w:t>/</w:t>
            </w:r>
            <w:r>
              <w:rPr>
                <w:rFonts w:ascii="Times New Roman" w:hAnsi="Times New Roman" w:eastAsia="Times New Roman" w:cs="Times New Roman"/>
                <w:position w:val="2"/>
                <w:sz w:val="20"/>
                <w:szCs w:val="20"/>
              </w:rPr>
              <w:t>L</w:t>
            </w:r>
          </w:p>
        </w:tc>
      </w:tr>
      <w:tr w14:paraId="08FF85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1891" w:type="dxa"/>
            <w:tcBorders>
              <w:left w:val="nil"/>
            </w:tcBorders>
          </w:tcPr>
          <w:p w14:paraId="6165766C">
            <w:pPr>
              <w:spacing w:before="134" w:line="224" w:lineRule="auto"/>
              <w:ind w:left="902"/>
              <w:rPr>
                <w:rFonts w:ascii="宋体" w:hAnsi="宋体" w:eastAsia="宋体" w:cs="宋体"/>
                <w:sz w:val="20"/>
                <w:szCs w:val="20"/>
              </w:rPr>
            </w:pPr>
            <w:r>
              <w:rPr>
                <w:rFonts w:ascii="宋体" w:hAnsi="宋体" w:eastAsia="宋体" w:cs="宋体"/>
                <w:spacing w:val="1"/>
                <w:sz w:val="20"/>
                <w:szCs w:val="20"/>
              </w:rPr>
              <w:t>钠</w:t>
            </w:r>
          </w:p>
        </w:tc>
        <w:tc>
          <w:tcPr>
            <w:tcW w:w="4751" w:type="dxa"/>
          </w:tcPr>
          <w:p w14:paraId="0C7CE8CD">
            <w:pPr>
              <w:spacing w:before="80" w:line="228" w:lineRule="auto"/>
              <w:ind w:left="459"/>
              <w:rPr>
                <w:rFonts w:ascii="宋体" w:hAnsi="宋体" w:eastAsia="宋体" w:cs="宋体"/>
                <w:sz w:val="20"/>
                <w:szCs w:val="20"/>
              </w:rPr>
            </w:pPr>
            <w:r>
              <w:rPr>
                <w:rFonts w:ascii="宋体" w:hAnsi="宋体" w:eastAsia="宋体" w:cs="宋体"/>
                <w:spacing w:val="7"/>
                <w:sz w:val="20"/>
                <w:szCs w:val="20"/>
              </w:rPr>
              <w:t>火焰原子吸收分光光度法 (</w:t>
            </w:r>
            <w:r>
              <w:rPr>
                <w:rFonts w:ascii="Times New Roman" w:hAnsi="Times New Roman" w:eastAsia="Times New Roman" w:cs="Times New Roman"/>
                <w:sz w:val="20"/>
                <w:szCs w:val="20"/>
              </w:rPr>
              <w:t>GB</w:t>
            </w:r>
            <w:r>
              <w:rPr>
                <w:rFonts w:ascii="Times New Roman" w:hAnsi="Times New Roman" w:eastAsia="Times New Roman" w:cs="Times New Roman"/>
                <w:spacing w:val="7"/>
                <w:sz w:val="20"/>
                <w:szCs w:val="20"/>
              </w:rPr>
              <w:t xml:space="preserve"> 11904-89</w:t>
            </w:r>
            <w:r>
              <w:rPr>
                <w:rFonts w:ascii="宋体" w:hAnsi="宋体" w:eastAsia="宋体" w:cs="宋体"/>
                <w:spacing w:val="7"/>
                <w:sz w:val="20"/>
                <w:szCs w:val="20"/>
              </w:rPr>
              <w:t>)</w:t>
            </w:r>
          </w:p>
        </w:tc>
        <w:tc>
          <w:tcPr>
            <w:tcW w:w="2483" w:type="dxa"/>
            <w:tcBorders>
              <w:right w:val="nil"/>
            </w:tcBorders>
          </w:tcPr>
          <w:p w14:paraId="2EFBB29A">
            <w:pPr>
              <w:spacing w:before="94" w:line="281" w:lineRule="exact"/>
              <w:ind w:left="889"/>
              <w:rPr>
                <w:rFonts w:ascii="Times New Roman" w:hAnsi="Times New Roman" w:eastAsia="Times New Roman" w:cs="Times New Roman"/>
                <w:sz w:val="20"/>
                <w:szCs w:val="20"/>
              </w:rPr>
            </w:pPr>
            <w:r>
              <w:rPr>
                <w:rFonts w:ascii="Times New Roman" w:hAnsi="Times New Roman" w:eastAsia="Times New Roman" w:cs="Times New Roman"/>
                <w:spacing w:val="8"/>
                <w:position w:val="4"/>
                <w:sz w:val="20"/>
                <w:szCs w:val="20"/>
              </w:rPr>
              <w:t>0</w:t>
            </w:r>
            <w:r>
              <w:rPr>
                <w:rFonts w:ascii="Times New Roman" w:hAnsi="Times New Roman" w:eastAsia="Times New Roman" w:cs="Times New Roman"/>
                <w:spacing w:val="5"/>
                <w:position w:val="4"/>
                <w:sz w:val="20"/>
                <w:szCs w:val="20"/>
              </w:rPr>
              <w:t xml:space="preserve">.01 </w:t>
            </w:r>
            <w:r>
              <w:rPr>
                <w:rFonts w:ascii="Times New Roman" w:hAnsi="Times New Roman" w:eastAsia="Times New Roman" w:cs="Times New Roman"/>
                <w:position w:val="4"/>
                <w:sz w:val="20"/>
                <w:szCs w:val="20"/>
              </w:rPr>
              <w:t>mg</w:t>
            </w:r>
            <w:r>
              <w:rPr>
                <w:rFonts w:ascii="Times New Roman" w:hAnsi="Times New Roman" w:eastAsia="Times New Roman" w:cs="Times New Roman"/>
                <w:spacing w:val="5"/>
                <w:position w:val="4"/>
                <w:sz w:val="20"/>
                <w:szCs w:val="20"/>
              </w:rPr>
              <w:t>/</w:t>
            </w:r>
            <w:r>
              <w:rPr>
                <w:rFonts w:ascii="Times New Roman" w:hAnsi="Times New Roman" w:eastAsia="Times New Roman" w:cs="Times New Roman"/>
                <w:position w:val="4"/>
                <w:sz w:val="20"/>
                <w:szCs w:val="20"/>
              </w:rPr>
              <w:t>L</w:t>
            </w:r>
          </w:p>
        </w:tc>
      </w:tr>
      <w:tr w14:paraId="1F814C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1891" w:type="dxa"/>
            <w:tcBorders>
              <w:left w:val="nil"/>
            </w:tcBorders>
          </w:tcPr>
          <w:p w14:paraId="4DA8CBA2">
            <w:pPr>
              <w:spacing w:before="95" w:line="224" w:lineRule="auto"/>
              <w:ind w:left="902"/>
              <w:rPr>
                <w:rFonts w:ascii="宋体" w:hAnsi="宋体" w:eastAsia="宋体" w:cs="宋体"/>
                <w:sz w:val="20"/>
                <w:szCs w:val="20"/>
              </w:rPr>
            </w:pPr>
            <w:r>
              <w:rPr>
                <w:rFonts w:ascii="宋体" w:hAnsi="宋体" w:eastAsia="宋体" w:cs="宋体"/>
                <w:spacing w:val="1"/>
                <w:sz w:val="20"/>
                <w:szCs w:val="20"/>
              </w:rPr>
              <w:t>钙</w:t>
            </w:r>
          </w:p>
        </w:tc>
        <w:tc>
          <w:tcPr>
            <w:tcW w:w="4751" w:type="dxa"/>
          </w:tcPr>
          <w:p w14:paraId="5F98F3B2">
            <w:pPr>
              <w:spacing w:before="95" w:line="224" w:lineRule="auto"/>
              <w:ind w:left="673"/>
              <w:rPr>
                <w:rFonts w:ascii="宋体" w:hAnsi="宋体" w:eastAsia="宋体" w:cs="宋体"/>
                <w:sz w:val="20"/>
                <w:szCs w:val="20"/>
              </w:rPr>
            </w:pPr>
            <w:r>
              <w:rPr>
                <w:rFonts w:ascii="宋体" w:hAnsi="宋体" w:eastAsia="宋体" w:cs="宋体"/>
                <w:spacing w:val="12"/>
                <w:sz w:val="20"/>
                <w:szCs w:val="20"/>
              </w:rPr>
              <w:t>原子</w:t>
            </w:r>
            <w:r>
              <w:rPr>
                <w:rFonts w:ascii="宋体" w:hAnsi="宋体" w:eastAsia="宋体" w:cs="宋体"/>
                <w:spacing w:val="6"/>
                <w:sz w:val="20"/>
                <w:szCs w:val="20"/>
              </w:rPr>
              <w:t>吸收分光光度法 (</w:t>
            </w:r>
            <w:r>
              <w:rPr>
                <w:rFonts w:ascii="Times New Roman" w:hAnsi="Times New Roman" w:eastAsia="Times New Roman" w:cs="Times New Roman"/>
                <w:sz w:val="20"/>
                <w:szCs w:val="20"/>
              </w:rPr>
              <w:t>GB</w:t>
            </w:r>
            <w:r>
              <w:rPr>
                <w:rFonts w:ascii="Times New Roman" w:hAnsi="Times New Roman" w:eastAsia="Times New Roman" w:cs="Times New Roman"/>
                <w:spacing w:val="6"/>
                <w:sz w:val="20"/>
                <w:szCs w:val="20"/>
              </w:rPr>
              <w:t xml:space="preserve"> 11905-89</w:t>
            </w:r>
            <w:r>
              <w:rPr>
                <w:rFonts w:ascii="宋体" w:hAnsi="宋体" w:eastAsia="宋体" w:cs="宋体"/>
                <w:spacing w:val="6"/>
                <w:sz w:val="20"/>
                <w:szCs w:val="20"/>
              </w:rPr>
              <w:t>)</w:t>
            </w:r>
          </w:p>
        </w:tc>
        <w:tc>
          <w:tcPr>
            <w:tcW w:w="2483" w:type="dxa"/>
            <w:tcBorders>
              <w:right w:val="nil"/>
            </w:tcBorders>
          </w:tcPr>
          <w:p w14:paraId="09C9D872">
            <w:pPr>
              <w:spacing w:before="57" w:line="280" w:lineRule="exact"/>
              <w:ind w:left="889"/>
              <w:rPr>
                <w:rFonts w:ascii="Times New Roman" w:hAnsi="Times New Roman" w:eastAsia="Times New Roman" w:cs="Times New Roman"/>
                <w:sz w:val="20"/>
                <w:szCs w:val="20"/>
              </w:rPr>
            </w:pPr>
            <w:r>
              <w:rPr>
                <w:rFonts w:ascii="Times New Roman" w:hAnsi="Times New Roman" w:eastAsia="Times New Roman" w:cs="Times New Roman"/>
                <w:spacing w:val="8"/>
                <w:position w:val="4"/>
                <w:sz w:val="20"/>
                <w:szCs w:val="20"/>
              </w:rPr>
              <w:t>0</w:t>
            </w:r>
            <w:r>
              <w:rPr>
                <w:rFonts w:ascii="Times New Roman" w:hAnsi="Times New Roman" w:eastAsia="Times New Roman" w:cs="Times New Roman"/>
                <w:spacing w:val="5"/>
                <w:position w:val="4"/>
                <w:sz w:val="20"/>
                <w:szCs w:val="20"/>
              </w:rPr>
              <w:t xml:space="preserve">.02 </w:t>
            </w:r>
            <w:r>
              <w:rPr>
                <w:rFonts w:ascii="Times New Roman" w:hAnsi="Times New Roman" w:eastAsia="Times New Roman" w:cs="Times New Roman"/>
                <w:position w:val="4"/>
                <w:sz w:val="20"/>
                <w:szCs w:val="20"/>
              </w:rPr>
              <w:t>mg</w:t>
            </w:r>
            <w:r>
              <w:rPr>
                <w:rFonts w:ascii="Times New Roman" w:hAnsi="Times New Roman" w:eastAsia="Times New Roman" w:cs="Times New Roman"/>
                <w:spacing w:val="5"/>
                <w:position w:val="4"/>
                <w:sz w:val="20"/>
                <w:szCs w:val="20"/>
              </w:rPr>
              <w:t>/</w:t>
            </w:r>
            <w:r>
              <w:rPr>
                <w:rFonts w:ascii="Times New Roman" w:hAnsi="Times New Roman" w:eastAsia="Times New Roman" w:cs="Times New Roman"/>
                <w:position w:val="4"/>
                <w:sz w:val="20"/>
                <w:szCs w:val="20"/>
              </w:rPr>
              <w:t>L</w:t>
            </w:r>
          </w:p>
        </w:tc>
      </w:tr>
      <w:tr w14:paraId="591A1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891" w:type="dxa"/>
            <w:tcBorders>
              <w:left w:val="nil"/>
            </w:tcBorders>
          </w:tcPr>
          <w:p w14:paraId="3E668832">
            <w:pPr>
              <w:spacing w:before="95" w:line="225" w:lineRule="auto"/>
              <w:ind w:left="902"/>
              <w:rPr>
                <w:rFonts w:ascii="宋体" w:hAnsi="宋体" w:eastAsia="宋体" w:cs="宋体"/>
                <w:sz w:val="20"/>
                <w:szCs w:val="20"/>
              </w:rPr>
            </w:pPr>
            <w:r>
              <w:rPr>
                <w:rFonts w:ascii="宋体" w:hAnsi="宋体" w:eastAsia="宋体" w:cs="宋体"/>
                <w:spacing w:val="1"/>
                <w:sz w:val="20"/>
                <w:szCs w:val="20"/>
              </w:rPr>
              <w:t>镁</w:t>
            </w:r>
          </w:p>
        </w:tc>
        <w:tc>
          <w:tcPr>
            <w:tcW w:w="4751" w:type="dxa"/>
          </w:tcPr>
          <w:p w14:paraId="7E83C4B8">
            <w:pPr>
              <w:spacing w:before="95" w:line="225" w:lineRule="auto"/>
              <w:ind w:left="673"/>
              <w:rPr>
                <w:rFonts w:ascii="宋体" w:hAnsi="宋体" w:eastAsia="宋体" w:cs="宋体"/>
                <w:sz w:val="20"/>
                <w:szCs w:val="20"/>
              </w:rPr>
            </w:pPr>
            <w:r>
              <w:rPr>
                <w:rFonts w:ascii="宋体" w:hAnsi="宋体" w:eastAsia="宋体" w:cs="宋体"/>
                <w:spacing w:val="12"/>
                <w:sz w:val="20"/>
                <w:szCs w:val="20"/>
              </w:rPr>
              <w:t>原子</w:t>
            </w:r>
            <w:r>
              <w:rPr>
                <w:rFonts w:ascii="宋体" w:hAnsi="宋体" w:eastAsia="宋体" w:cs="宋体"/>
                <w:spacing w:val="6"/>
                <w:sz w:val="20"/>
                <w:szCs w:val="20"/>
              </w:rPr>
              <w:t>吸收分光光度法 (</w:t>
            </w:r>
            <w:r>
              <w:rPr>
                <w:rFonts w:ascii="Times New Roman" w:hAnsi="Times New Roman" w:eastAsia="Times New Roman" w:cs="Times New Roman"/>
                <w:sz w:val="20"/>
                <w:szCs w:val="20"/>
              </w:rPr>
              <w:t>GB</w:t>
            </w:r>
            <w:r>
              <w:rPr>
                <w:rFonts w:ascii="Times New Roman" w:hAnsi="Times New Roman" w:eastAsia="Times New Roman" w:cs="Times New Roman"/>
                <w:spacing w:val="6"/>
                <w:sz w:val="20"/>
                <w:szCs w:val="20"/>
              </w:rPr>
              <w:t xml:space="preserve"> 11905-89</w:t>
            </w:r>
            <w:r>
              <w:rPr>
                <w:rFonts w:ascii="宋体" w:hAnsi="宋体" w:eastAsia="宋体" w:cs="宋体"/>
                <w:spacing w:val="6"/>
                <w:sz w:val="20"/>
                <w:szCs w:val="20"/>
              </w:rPr>
              <w:t>)</w:t>
            </w:r>
          </w:p>
        </w:tc>
        <w:tc>
          <w:tcPr>
            <w:tcW w:w="2483" w:type="dxa"/>
            <w:tcBorders>
              <w:right w:val="nil"/>
            </w:tcBorders>
          </w:tcPr>
          <w:p w14:paraId="201ECFE4">
            <w:pPr>
              <w:spacing w:before="57" w:line="281" w:lineRule="exact"/>
              <w:ind w:left="813"/>
              <w:rPr>
                <w:rFonts w:ascii="Times New Roman" w:hAnsi="Times New Roman" w:eastAsia="Times New Roman" w:cs="Times New Roman"/>
                <w:sz w:val="20"/>
                <w:szCs w:val="20"/>
              </w:rPr>
            </w:pPr>
            <w:r>
              <w:rPr>
                <w:rFonts w:ascii="Times New Roman" w:hAnsi="Times New Roman" w:eastAsia="Times New Roman" w:cs="Times New Roman"/>
                <w:spacing w:val="6"/>
                <w:position w:val="4"/>
                <w:sz w:val="20"/>
                <w:szCs w:val="20"/>
              </w:rPr>
              <w:t>0</w:t>
            </w:r>
            <w:r>
              <w:rPr>
                <w:rFonts w:ascii="Times New Roman" w:hAnsi="Times New Roman" w:eastAsia="Times New Roman" w:cs="Times New Roman"/>
                <w:spacing w:val="5"/>
                <w:position w:val="4"/>
                <w:sz w:val="20"/>
                <w:szCs w:val="20"/>
              </w:rPr>
              <w:t xml:space="preserve"> 002 </w:t>
            </w:r>
            <w:r>
              <w:rPr>
                <w:rFonts w:ascii="Times New Roman" w:hAnsi="Times New Roman" w:eastAsia="Times New Roman" w:cs="Times New Roman"/>
                <w:position w:val="4"/>
                <w:sz w:val="20"/>
                <w:szCs w:val="20"/>
              </w:rPr>
              <w:t>mg</w:t>
            </w:r>
            <w:r>
              <w:rPr>
                <w:rFonts w:ascii="Times New Roman" w:hAnsi="Times New Roman" w:eastAsia="Times New Roman" w:cs="Times New Roman"/>
                <w:spacing w:val="5"/>
                <w:position w:val="4"/>
                <w:sz w:val="20"/>
                <w:szCs w:val="20"/>
              </w:rPr>
              <w:t>/</w:t>
            </w:r>
            <w:r>
              <w:rPr>
                <w:rFonts w:ascii="Times New Roman" w:hAnsi="Times New Roman" w:eastAsia="Times New Roman" w:cs="Times New Roman"/>
                <w:position w:val="4"/>
                <w:sz w:val="20"/>
                <w:szCs w:val="20"/>
              </w:rPr>
              <w:t>L</w:t>
            </w:r>
          </w:p>
        </w:tc>
      </w:tr>
      <w:tr w14:paraId="6FF2B9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1891" w:type="dxa"/>
            <w:tcBorders>
              <w:left w:val="nil"/>
            </w:tcBorders>
          </w:tcPr>
          <w:p w14:paraId="595E6043">
            <w:pPr>
              <w:spacing w:before="94" w:line="224" w:lineRule="auto"/>
              <w:ind w:left="692"/>
              <w:rPr>
                <w:rFonts w:ascii="宋体" w:hAnsi="宋体" w:eastAsia="宋体" w:cs="宋体"/>
                <w:sz w:val="20"/>
                <w:szCs w:val="20"/>
              </w:rPr>
            </w:pPr>
            <w:r>
              <w:rPr>
                <w:rFonts w:ascii="宋体" w:hAnsi="宋体" w:eastAsia="宋体" w:cs="宋体"/>
                <w:spacing w:val="7"/>
                <w:sz w:val="20"/>
                <w:szCs w:val="20"/>
              </w:rPr>
              <w:t>碳酸</w:t>
            </w:r>
            <w:r>
              <w:rPr>
                <w:rFonts w:ascii="宋体" w:hAnsi="宋体" w:eastAsia="宋体" w:cs="宋体"/>
                <w:spacing w:val="6"/>
                <w:sz w:val="20"/>
                <w:szCs w:val="20"/>
              </w:rPr>
              <w:t>根</w:t>
            </w:r>
          </w:p>
        </w:tc>
        <w:tc>
          <w:tcPr>
            <w:tcW w:w="4751" w:type="dxa"/>
          </w:tcPr>
          <w:p w14:paraId="149FE0A8">
            <w:pPr>
              <w:spacing w:before="57" w:line="280" w:lineRule="exact"/>
              <w:ind w:left="1030"/>
              <w:rPr>
                <w:rFonts w:ascii="宋体" w:hAnsi="宋体" w:eastAsia="宋体" w:cs="宋体"/>
                <w:sz w:val="20"/>
                <w:szCs w:val="20"/>
              </w:rPr>
            </w:pPr>
            <w:r>
              <w:rPr>
                <w:rFonts w:ascii="宋体" w:hAnsi="宋体" w:eastAsia="宋体" w:cs="宋体"/>
                <w:spacing w:val="3"/>
                <w:position w:val="1"/>
                <w:sz w:val="20"/>
                <w:szCs w:val="20"/>
              </w:rPr>
              <w:t>滴定法 (</w:t>
            </w:r>
            <w:r>
              <w:rPr>
                <w:rFonts w:ascii="Times New Roman" w:hAnsi="Times New Roman" w:eastAsia="Times New Roman" w:cs="Times New Roman"/>
                <w:position w:val="1"/>
                <w:sz w:val="20"/>
                <w:szCs w:val="20"/>
              </w:rPr>
              <w:t>DZ</w:t>
            </w:r>
            <w:r>
              <w:rPr>
                <w:rFonts w:ascii="Times New Roman" w:hAnsi="Times New Roman" w:eastAsia="Times New Roman" w:cs="Times New Roman"/>
                <w:spacing w:val="3"/>
                <w:position w:val="1"/>
                <w:sz w:val="20"/>
                <w:szCs w:val="20"/>
              </w:rPr>
              <w:t>/</w:t>
            </w:r>
            <w:r>
              <w:rPr>
                <w:rFonts w:ascii="Times New Roman" w:hAnsi="Times New Roman" w:eastAsia="Times New Roman" w:cs="Times New Roman"/>
                <w:position w:val="1"/>
                <w:sz w:val="20"/>
                <w:szCs w:val="20"/>
              </w:rPr>
              <w:t>T</w:t>
            </w:r>
            <w:r>
              <w:rPr>
                <w:rFonts w:ascii="Times New Roman" w:hAnsi="Times New Roman" w:eastAsia="Times New Roman" w:cs="Times New Roman"/>
                <w:spacing w:val="3"/>
                <w:position w:val="1"/>
                <w:sz w:val="20"/>
                <w:szCs w:val="20"/>
              </w:rPr>
              <w:t xml:space="preserve"> 0064.49- 1993</w:t>
            </w:r>
            <w:r>
              <w:rPr>
                <w:rFonts w:ascii="宋体" w:hAnsi="宋体" w:eastAsia="宋体" w:cs="宋体"/>
                <w:position w:val="1"/>
                <w:sz w:val="20"/>
                <w:szCs w:val="20"/>
              </w:rPr>
              <w:t>)</w:t>
            </w:r>
          </w:p>
        </w:tc>
        <w:tc>
          <w:tcPr>
            <w:tcW w:w="2483" w:type="dxa"/>
            <w:tcBorders>
              <w:right w:val="nil"/>
            </w:tcBorders>
          </w:tcPr>
          <w:p w14:paraId="547A393D">
            <w:pPr>
              <w:spacing w:before="54" w:line="281" w:lineRule="exact"/>
              <w:ind w:left="1129"/>
              <w:rPr>
                <w:rFonts w:ascii="Times New Roman" w:hAnsi="Times New Roman" w:eastAsia="Times New Roman" w:cs="Times New Roman"/>
                <w:sz w:val="20"/>
                <w:szCs w:val="20"/>
              </w:rPr>
            </w:pPr>
            <w:r>
              <w:rPr>
                <w:rFonts w:ascii="Times New Roman" w:hAnsi="Times New Roman" w:eastAsia="Times New Roman" w:cs="Times New Roman"/>
                <w:spacing w:val="7"/>
                <w:position w:val="4"/>
                <w:sz w:val="20"/>
                <w:szCs w:val="20"/>
              </w:rPr>
              <w:t>5</w:t>
            </w:r>
            <w:r>
              <w:rPr>
                <w:rFonts w:ascii="Times New Roman" w:hAnsi="Times New Roman" w:eastAsia="Times New Roman" w:cs="Times New Roman"/>
                <w:position w:val="4"/>
                <w:sz w:val="20"/>
                <w:szCs w:val="20"/>
              </w:rPr>
              <w:t>mg</w:t>
            </w:r>
            <w:r>
              <w:rPr>
                <w:rFonts w:ascii="Times New Roman" w:hAnsi="Times New Roman" w:eastAsia="Times New Roman" w:cs="Times New Roman"/>
                <w:spacing w:val="6"/>
                <w:position w:val="4"/>
                <w:sz w:val="20"/>
                <w:szCs w:val="20"/>
              </w:rPr>
              <w:t>/</w:t>
            </w:r>
            <w:r>
              <w:rPr>
                <w:rFonts w:ascii="Times New Roman" w:hAnsi="Times New Roman" w:eastAsia="Times New Roman" w:cs="Times New Roman"/>
                <w:position w:val="4"/>
                <w:sz w:val="20"/>
                <w:szCs w:val="20"/>
              </w:rPr>
              <w:t>L</w:t>
            </w:r>
          </w:p>
        </w:tc>
      </w:tr>
      <w:tr w14:paraId="4585CB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91" w:type="dxa"/>
            <w:tcBorders>
              <w:left w:val="nil"/>
            </w:tcBorders>
          </w:tcPr>
          <w:p w14:paraId="4DC10D8D">
            <w:pPr>
              <w:spacing w:before="35" w:line="237" w:lineRule="auto"/>
              <w:ind w:left="589" w:right="260" w:hanging="211"/>
              <w:rPr>
                <w:rFonts w:ascii="宋体" w:hAnsi="宋体" w:eastAsia="宋体" w:cs="宋体"/>
                <w:sz w:val="20"/>
                <w:szCs w:val="20"/>
              </w:rPr>
            </w:pPr>
            <w:r>
              <w:rPr>
                <w:rFonts w:ascii="宋体" w:hAnsi="宋体" w:eastAsia="宋体" w:cs="宋体"/>
                <w:spacing w:val="7"/>
                <w:sz w:val="20"/>
                <w:szCs w:val="20"/>
              </w:rPr>
              <w:t>重碳酸根 (</w:t>
            </w:r>
            <w:r>
              <w:rPr>
                <w:rFonts w:ascii="宋体" w:hAnsi="宋体" w:eastAsia="宋体" w:cs="宋体"/>
                <w:spacing w:val="6"/>
                <w:sz w:val="20"/>
                <w:szCs w:val="20"/>
              </w:rPr>
              <w:t>碳</w:t>
            </w:r>
            <w:r>
              <w:rPr>
                <w:rFonts w:ascii="宋体" w:hAnsi="宋体" w:eastAsia="宋体" w:cs="宋体"/>
                <w:sz w:val="20"/>
                <w:szCs w:val="20"/>
              </w:rPr>
              <w:t xml:space="preserve"> </w:t>
            </w:r>
            <w:r>
              <w:rPr>
                <w:rFonts w:ascii="宋体" w:hAnsi="宋体" w:eastAsia="宋体" w:cs="宋体"/>
                <w:spacing w:val="5"/>
                <w:sz w:val="20"/>
                <w:szCs w:val="20"/>
              </w:rPr>
              <w:t>酸氢根</w:t>
            </w:r>
            <w:r>
              <w:rPr>
                <w:rFonts w:ascii="宋体" w:hAnsi="宋体" w:eastAsia="宋体" w:cs="宋体"/>
                <w:spacing w:val="4"/>
                <w:sz w:val="20"/>
                <w:szCs w:val="20"/>
              </w:rPr>
              <w:t>)</w:t>
            </w:r>
          </w:p>
        </w:tc>
        <w:tc>
          <w:tcPr>
            <w:tcW w:w="4751" w:type="dxa"/>
          </w:tcPr>
          <w:p w14:paraId="0231AA7A">
            <w:pPr>
              <w:spacing w:before="183" w:line="281" w:lineRule="exact"/>
              <w:ind w:left="1030"/>
              <w:rPr>
                <w:rFonts w:ascii="宋体" w:hAnsi="宋体" w:eastAsia="宋体" w:cs="宋体"/>
                <w:sz w:val="20"/>
                <w:szCs w:val="20"/>
              </w:rPr>
            </w:pPr>
            <w:r>
              <w:rPr>
                <w:rFonts w:ascii="宋体" w:hAnsi="宋体" w:eastAsia="宋体" w:cs="宋体"/>
                <w:spacing w:val="3"/>
                <w:position w:val="1"/>
                <w:sz w:val="20"/>
                <w:szCs w:val="20"/>
              </w:rPr>
              <w:t>滴定法 (</w:t>
            </w:r>
            <w:r>
              <w:rPr>
                <w:rFonts w:ascii="Times New Roman" w:hAnsi="Times New Roman" w:eastAsia="Times New Roman" w:cs="Times New Roman"/>
                <w:position w:val="1"/>
                <w:sz w:val="20"/>
                <w:szCs w:val="20"/>
              </w:rPr>
              <w:t>DZ</w:t>
            </w:r>
            <w:r>
              <w:rPr>
                <w:rFonts w:ascii="Times New Roman" w:hAnsi="Times New Roman" w:eastAsia="Times New Roman" w:cs="Times New Roman"/>
                <w:spacing w:val="3"/>
                <w:position w:val="1"/>
                <w:sz w:val="20"/>
                <w:szCs w:val="20"/>
              </w:rPr>
              <w:t>/</w:t>
            </w:r>
            <w:r>
              <w:rPr>
                <w:rFonts w:ascii="Times New Roman" w:hAnsi="Times New Roman" w:eastAsia="Times New Roman" w:cs="Times New Roman"/>
                <w:position w:val="1"/>
                <w:sz w:val="20"/>
                <w:szCs w:val="20"/>
              </w:rPr>
              <w:t>T</w:t>
            </w:r>
            <w:r>
              <w:rPr>
                <w:rFonts w:ascii="Times New Roman" w:hAnsi="Times New Roman" w:eastAsia="Times New Roman" w:cs="Times New Roman"/>
                <w:spacing w:val="3"/>
                <w:position w:val="1"/>
                <w:sz w:val="20"/>
                <w:szCs w:val="20"/>
              </w:rPr>
              <w:t xml:space="preserve"> 0064.49- 1993</w:t>
            </w:r>
            <w:r>
              <w:rPr>
                <w:rFonts w:ascii="宋体" w:hAnsi="宋体" w:eastAsia="宋体" w:cs="宋体"/>
                <w:position w:val="1"/>
                <w:sz w:val="20"/>
                <w:szCs w:val="20"/>
              </w:rPr>
              <w:t>)</w:t>
            </w:r>
          </w:p>
        </w:tc>
        <w:tc>
          <w:tcPr>
            <w:tcW w:w="2483" w:type="dxa"/>
            <w:tcBorders>
              <w:right w:val="nil"/>
            </w:tcBorders>
          </w:tcPr>
          <w:p w14:paraId="4665AC0A">
            <w:pPr>
              <w:spacing w:before="96" w:line="281" w:lineRule="exact"/>
              <w:ind w:left="1129"/>
              <w:rPr>
                <w:rFonts w:ascii="Times New Roman" w:hAnsi="Times New Roman" w:eastAsia="Times New Roman" w:cs="Times New Roman"/>
                <w:sz w:val="20"/>
                <w:szCs w:val="20"/>
              </w:rPr>
            </w:pPr>
            <w:r>
              <w:rPr>
                <w:rFonts w:ascii="Times New Roman" w:hAnsi="Times New Roman" w:eastAsia="Times New Roman" w:cs="Times New Roman"/>
                <w:spacing w:val="7"/>
                <w:position w:val="4"/>
                <w:sz w:val="20"/>
                <w:szCs w:val="20"/>
              </w:rPr>
              <w:t>5</w:t>
            </w:r>
            <w:r>
              <w:rPr>
                <w:rFonts w:ascii="Times New Roman" w:hAnsi="Times New Roman" w:eastAsia="Times New Roman" w:cs="Times New Roman"/>
                <w:position w:val="4"/>
                <w:sz w:val="20"/>
                <w:szCs w:val="20"/>
              </w:rPr>
              <w:t>mg</w:t>
            </w:r>
            <w:r>
              <w:rPr>
                <w:rFonts w:ascii="Times New Roman" w:hAnsi="Times New Roman" w:eastAsia="Times New Roman" w:cs="Times New Roman"/>
                <w:spacing w:val="6"/>
                <w:position w:val="4"/>
                <w:sz w:val="20"/>
                <w:szCs w:val="20"/>
              </w:rPr>
              <w:t>/</w:t>
            </w:r>
            <w:r>
              <w:rPr>
                <w:rFonts w:ascii="Times New Roman" w:hAnsi="Times New Roman" w:eastAsia="Times New Roman" w:cs="Times New Roman"/>
                <w:position w:val="4"/>
                <w:sz w:val="20"/>
                <w:szCs w:val="20"/>
              </w:rPr>
              <w:t>L</w:t>
            </w:r>
          </w:p>
        </w:tc>
      </w:tr>
      <w:tr w14:paraId="7B6EB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891" w:type="dxa"/>
            <w:tcBorders>
              <w:left w:val="nil"/>
            </w:tcBorders>
          </w:tcPr>
          <w:p w14:paraId="38DA3CF6">
            <w:pPr>
              <w:spacing w:before="135" w:line="228" w:lineRule="auto"/>
              <w:ind w:left="683"/>
              <w:rPr>
                <w:rFonts w:ascii="宋体" w:hAnsi="宋体" w:eastAsia="宋体" w:cs="宋体"/>
                <w:sz w:val="20"/>
                <w:szCs w:val="20"/>
              </w:rPr>
            </w:pPr>
            <w:r>
              <w:rPr>
                <w:rFonts w:ascii="宋体" w:hAnsi="宋体" w:eastAsia="宋体" w:cs="宋体"/>
                <w:spacing w:val="5"/>
                <w:sz w:val="20"/>
                <w:szCs w:val="20"/>
              </w:rPr>
              <w:t>总硬度</w:t>
            </w:r>
          </w:p>
        </w:tc>
        <w:tc>
          <w:tcPr>
            <w:tcW w:w="4751" w:type="dxa"/>
          </w:tcPr>
          <w:p w14:paraId="276188D4">
            <w:pPr>
              <w:spacing w:before="135" w:line="228" w:lineRule="auto"/>
              <w:ind w:left="1012"/>
              <w:rPr>
                <w:rFonts w:ascii="宋体" w:hAnsi="宋体" w:eastAsia="宋体" w:cs="宋体"/>
                <w:sz w:val="20"/>
                <w:szCs w:val="20"/>
              </w:rPr>
            </w:pPr>
            <w:r>
              <w:rPr>
                <w:rFonts w:ascii="Times New Roman" w:hAnsi="Times New Roman" w:eastAsia="Times New Roman" w:cs="Times New Roman"/>
                <w:sz w:val="20"/>
                <w:szCs w:val="20"/>
              </w:rPr>
              <w:t>EDTA</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滴定法 (</w:t>
            </w:r>
            <w:r>
              <w:rPr>
                <w:rFonts w:ascii="Times New Roman" w:hAnsi="Times New Roman" w:eastAsia="Times New Roman" w:cs="Times New Roman"/>
                <w:sz w:val="20"/>
                <w:szCs w:val="20"/>
              </w:rPr>
              <w:t>GB</w:t>
            </w:r>
            <w:r>
              <w:rPr>
                <w:rFonts w:ascii="Times New Roman" w:hAnsi="Times New Roman" w:eastAsia="Times New Roman" w:cs="Times New Roman"/>
                <w:spacing w:val="7"/>
                <w:sz w:val="20"/>
                <w:szCs w:val="20"/>
              </w:rPr>
              <w:t xml:space="preserve"> 7477-87</w:t>
            </w:r>
            <w:r>
              <w:rPr>
                <w:rFonts w:ascii="宋体" w:hAnsi="宋体" w:eastAsia="宋体" w:cs="宋体"/>
                <w:spacing w:val="7"/>
                <w:sz w:val="20"/>
                <w:szCs w:val="20"/>
              </w:rPr>
              <w:t>)</w:t>
            </w:r>
          </w:p>
        </w:tc>
        <w:tc>
          <w:tcPr>
            <w:tcW w:w="2483" w:type="dxa"/>
            <w:tcBorders>
              <w:right w:val="nil"/>
            </w:tcBorders>
          </w:tcPr>
          <w:p w14:paraId="63CAF039">
            <w:pPr>
              <w:spacing w:before="94" w:line="281" w:lineRule="exact"/>
              <w:ind w:left="748"/>
              <w:rPr>
                <w:rFonts w:ascii="Times New Roman" w:hAnsi="Times New Roman" w:eastAsia="Times New Roman" w:cs="Times New Roman"/>
                <w:sz w:val="20"/>
                <w:szCs w:val="20"/>
              </w:rPr>
            </w:pPr>
            <w:r>
              <w:rPr>
                <w:rFonts w:ascii="Times New Roman" w:hAnsi="Times New Roman" w:eastAsia="Times New Roman" w:cs="Times New Roman"/>
                <w:spacing w:val="7"/>
                <w:position w:val="2"/>
                <w:sz w:val="20"/>
                <w:szCs w:val="20"/>
              </w:rPr>
              <w:t xml:space="preserve">0.05 </w:t>
            </w:r>
            <w:r>
              <w:rPr>
                <w:rFonts w:ascii="Times New Roman" w:hAnsi="Times New Roman" w:eastAsia="Times New Roman" w:cs="Times New Roman"/>
                <w:position w:val="2"/>
                <w:sz w:val="20"/>
                <w:szCs w:val="20"/>
              </w:rPr>
              <w:t>mmol</w:t>
            </w:r>
            <w:r>
              <w:rPr>
                <w:rFonts w:ascii="Times New Roman" w:hAnsi="Times New Roman" w:eastAsia="Times New Roman" w:cs="Times New Roman"/>
                <w:spacing w:val="7"/>
                <w:position w:val="2"/>
                <w:sz w:val="20"/>
                <w:szCs w:val="20"/>
              </w:rPr>
              <w:t>/</w:t>
            </w:r>
            <w:r>
              <w:rPr>
                <w:rFonts w:ascii="Times New Roman" w:hAnsi="Times New Roman" w:eastAsia="Times New Roman" w:cs="Times New Roman"/>
                <w:position w:val="2"/>
                <w:sz w:val="20"/>
                <w:szCs w:val="20"/>
              </w:rPr>
              <w:t>L</w:t>
            </w:r>
          </w:p>
        </w:tc>
      </w:tr>
    </w:tbl>
    <w:p w14:paraId="61A0B2D7"/>
    <w:p w14:paraId="6CF9D8B7">
      <w:pPr>
        <w:sectPr>
          <w:headerReference r:id="rId161" w:type="default"/>
          <w:footerReference r:id="rId162" w:type="default"/>
          <w:pgSz w:w="11907" w:h="16840"/>
          <w:pgMar w:top="400" w:right="1056" w:bottom="1485" w:left="1136" w:header="0" w:footer="1298" w:gutter="0"/>
          <w:cols w:space="720" w:num="1"/>
        </w:sectPr>
      </w:pPr>
    </w:p>
    <w:p w14:paraId="47FBD2ED">
      <w:pPr>
        <w:spacing w:line="460" w:lineRule="auto"/>
      </w:pPr>
    </w:p>
    <w:p w14:paraId="22D79E0C">
      <w:pPr>
        <w:spacing w:before="56" w:line="229" w:lineRule="auto"/>
        <w:ind w:left="237"/>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44D704EE">
      <w:pPr>
        <w:spacing w:line="14" w:lineRule="exact"/>
      </w:pPr>
    </w:p>
    <w:tbl>
      <w:tblPr>
        <w:tblStyle w:val="4"/>
        <w:tblW w:w="912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91"/>
        <w:gridCol w:w="4751"/>
        <w:gridCol w:w="2483"/>
      </w:tblGrid>
      <w:tr w14:paraId="3EBC2E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1891" w:type="dxa"/>
            <w:tcBorders>
              <w:left w:val="nil"/>
            </w:tcBorders>
          </w:tcPr>
          <w:p w14:paraId="07E4FEBF">
            <w:pPr>
              <w:spacing w:before="172" w:line="227" w:lineRule="auto"/>
              <w:ind w:left="677"/>
              <w:rPr>
                <w:rFonts w:ascii="宋体" w:hAnsi="宋体" w:eastAsia="宋体" w:cs="宋体"/>
                <w:sz w:val="20"/>
                <w:szCs w:val="20"/>
              </w:rPr>
            </w:pPr>
            <w:r>
              <w:rPr>
                <w:rFonts w:ascii="宋体" w:hAnsi="宋体" w:eastAsia="宋体" w:cs="宋体"/>
                <w:spacing w:val="7"/>
                <w:sz w:val="20"/>
                <w:szCs w:val="20"/>
              </w:rPr>
              <w:t>硫酸根</w:t>
            </w:r>
          </w:p>
        </w:tc>
        <w:tc>
          <w:tcPr>
            <w:tcW w:w="4751" w:type="dxa"/>
          </w:tcPr>
          <w:p w14:paraId="770DA885">
            <w:pPr>
              <w:spacing w:before="172" w:line="227" w:lineRule="auto"/>
              <w:ind w:left="1171"/>
              <w:rPr>
                <w:rFonts w:ascii="宋体" w:hAnsi="宋体" w:eastAsia="宋体" w:cs="宋体"/>
                <w:sz w:val="20"/>
                <w:szCs w:val="20"/>
              </w:rPr>
            </w:pPr>
            <w:r>
              <w:rPr>
                <w:rFonts w:ascii="宋体" w:hAnsi="宋体" w:eastAsia="宋体" w:cs="宋体"/>
                <w:spacing w:val="6"/>
                <w:sz w:val="20"/>
                <w:szCs w:val="20"/>
              </w:rPr>
              <w:t>离子色谱法 (</w:t>
            </w:r>
            <w:r>
              <w:rPr>
                <w:rFonts w:ascii="Times New Roman" w:hAnsi="Times New Roman" w:eastAsia="Times New Roman" w:cs="Times New Roman"/>
                <w:sz w:val="20"/>
                <w:szCs w:val="20"/>
              </w:rPr>
              <w:t>HJ</w:t>
            </w:r>
            <w:r>
              <w:rPr>
                <w:rFonts w:ascii="Times New Roman" w:hAnsi="Times New Roman" w:eastAsia="Times New Roman" w:cs="Times New Roman"/>
                <w:spacing w:val="6"/>
                <w:sz w:val="20"/>
                <w:szCs w:val="20"/>
              </w:rPr>
              <w:t xml:space="preserve"> 84-2016</w:t>
            </w:r>
            <w:r>
              <w:rPr>
                <w:rFonts w:ascii="宋体" w:hAnsi="宋体" w:eastAsia="宋体" w:cs="宋体"/>
                <w:spacing w:val="4"/>
                <w:sz w:val="20"/>
                <w:szCs w:val="20"/>
              </w:rPr>
              <w:t>)</w:t>
            </w:r>
          </w:p>
        </w:tc>
        <w:tc>
          <w:tcPr>
            <w:tcW w:w="2483" w:type="dxa"/>
            <w:tcBorders>
              <w:right w:val="nil"/>
            </w:tcBorders>
          </w:tcPr>
          <w:p w14:paraId="6206ECED">
            <w:pPr>
              <w:spacing w:before="134" w:line="281" w:lineRule="exact"/>
              <w:ind w:left="837"/>
              <w:rPr>
                <w:rFonts w:ascii="Times New Roman" w:hAnsi="Times New Roman" w:eastAsia="Times New Roman" w:cs="Times New Roman"/>
                <w:sz w:val="20"/>
                <w:szCs w:val="20"/>
              </w:rPr>
            </w:pPr>
            <w:r>
              <w:rPr>
                <w:rFonts w:ascii="Times New Roman" w:hAnsi="Times New Roman" w:eastAsia="Times New Roman" w:cs="Times New Roman"/>
                <w:spacing w:val="6"/>
                <w:position w:val="4"/>
                <w:sz w:val="20"/>
                <w:szCs w:val="20"/>
              </w:rPr>
              <w:t>0</w:t>
            </w:r>
            <w:r>
              <w:rPr>
                <w:rFonts w:ascii="Times New Roman" w:hAnsi="Times New Roman" w:eastAsia="Times New Roman" w:cs="Times New Roman"/>
                <w:spacing w:val="5"/>
                <w:position w:val="4"/>
                <w:sz w:val="20"/>
                <w:szCs w:val="20"/>
              </w:rPr>
              <w:t xml:space="preserve">.018 </w:t>
            </w:r>
            <w:r>
              <w:rPr>
                <w:rFonts w:ascii="Times New Roman" w:hAnsi="Times New Roman" w:eastAsia="Times New Roman" w:cs="Times New Roman"/>
                <w:position w:val="4"/>
                <w:sz w:val="20"/>
                <w:szCs w:val="20"/>
              </w:rPr>
              <w:t>mg</w:t>
            </w:r>
            <w:r>
              <w:rPr>
                <w:rFonts w:ascii="Times New Roman" w:hAnsi="Times New Roman" w:eastAsia="Times New Roman" w:cs="Times New Roman"/>
                <w:spacing w:val="5"/>
                <w:position w:val="4"/>
                <w:sz w:val="20"/>
                <w:szCs w:val="20"/>
              </w:rPr>
              <w:t>/</w:t>
            </w:r>
            <w:r>
              <w:rPr>
                <w:rFonts w:ascii="Times New Roman" w:hAnsi="Times New Roman" w:eastAsia="Times New Roman" w:cs="Times New Roman"/>
                <w:position w:val="4"/>
                <w:sz w:val="20"/>
                <w:szCs w:val="20"/>
              </w:rPr>
              <w:t>L</w:t>
            </w:r>
          </w:p>
        </w:tc>
      </w:tr>
      <w:tr w14:paraId="61BD3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891" w:type="dxa"/>
            <w:tcBorders>
              <w:left w:val="nil"/>
            </w:tcBorders>
          </w:tcPr>
          <w:p w14:paraId="54553A2A">
            <w:pPr>
              <w:spacing w:before="131" w:line="226" w:lineRule="auto"/>
              <w:ind w:left="369"/>
              <w:rPr>
                <w:rFonts w:ascii="宋体" w:hAnsi="宋体" w:eastAsia="宋体" w:cs="宋体"/>
                <w:sz w:val="20"/>
                <w:szCs w:val="20"/>
              </w:rPr>
            </w:pPr>
            <w:r>
              <w:rPr>
                <w:rFonts w:ascii="宋体" w:hAnsi="宋体" w:eastAsia="宋体" w:cs="宋体"/>
                <w:spacing w:val="8"/>
                <w:sz w:val="20"/>
                <w:szCs w:val="20"/>
              </w:rPr>
              <w:t>高</w:t>
            </w:r>
            <w:r>
              <w:rPr>
                <w:rFonts w:ascii="宋体" w:hAnsi="宋体" w:eastAsia="宋体" w:cs="宋体"/>
                <w:spacing w:val="7"/>
                <w:sz w:val="20"/>
                <w:szCs w:val="20"/>
              </w:rPr>
              <w:t>锰酸盐指数</w:t>
            </w:r>
          </w:p>
        </w:tc>
        <w:tc>
          <w:tcPr>
            <w:tcW w:w="4751" w:type="dxa"/>
          </w:tcPr>
          <w:p w14:paraId="64A54422">
            <w:pPr>
              <w:spacing w:before="131" w:line="226" w:lineRule="auto"/>
              <w:ind w:left="671"/>
              <w:rPr>
                <w:rFonts w:ascii="宋体" w:hAnsi="宋体" w:eastAsia="宋体" w:cs="宋体"/>
                <w:sz w:val="20"/>
                <w:szCs w:val="20"/>
              </w:rPr>
            </w:pPr>
            <w:r>
              <w:rPr>
                <w:rFonts w:ascii="宋体" w:hAnsi="宋体" w:eastAsia="宋体" w:cs="宋体"/>
                <w:spacing w:val="12"/>
                <w:sz w:val="20"/>
                <w:szCs w:val="20"/>
              </w:rPr>
              <w:t>高</w:t>
            </w:r>
            <w:r>
              <w:rPr>
                <w:rFonts w:ascii="宋体" w:hAnsi="宋体" w:eastAsia="宋体" w:cs="宋体"/>
                <w:spacing w:val="11"/>
                <w:sz w:val="20"/>
                <w:szCs w:val="20"/>
              </w:rPr>
              <w:t>锰</w:t>
            </w:r>
            <w:r>
              <w:rPr>
                <w:rFonts w:ascii="宋体" w:hAnsi="宋体" w:eastAsia="宋体" w:cs="宋体"/>
                <w:spacing w:val="6"/>
                <w:sz w:val="20"/>
                <w:szCs w:val="20"/>
              </w:rPr>
              <w:t>酸盐指数的测定 (</w:t>
            </w:r>
            <w:r>
              <w:rPr>
                <w:rFonts w:ascii="Times New Roman" w:hAnsi="Times New Roman" w:eastAsia="Times New Roman" w:cs="Times New Roman"/>
                <w:sz w:val="20"/>
                <w:szCs w:val="20"/>
              </w:rPr>
              <w:t>GB</w:t>
            </w:r>
            <w:r>
              <w:rPr>
                <w:rFonts w:ascii="Times New Roman" w:hAnsi="Times New Roman" w:eastAsia="Times New Roman" w:cs="Times New Roman"/>
                <w:spacing w:val="6"/>
                <w:sz w:val="20"/>
                <w:szCs w:val="20"/>
              </w:rPr>
              <w:t xml:space="preserve"> 11892-89</w:t>
            </w:r>
            <w:r>
              <w:rPr>
                <w:rFonts w:ascii="宋体" w:hAnsi="宋体" w:eastAsia="宋体" w:cs="宋体"/>
                <w:spacing w:val="6"/>
                <w:sz w:val="20"/>
                <w:szCs w:val="20"/>
              </w:rPr>
              <w:t>)</w:t>
            </w:r>
          </w:p>
        </w:tc>
        <w:tc>
          <w:tcPr>
            <w:tcW w:w="2483" w:type="dxa"/>
            <w:tcBorders>
              <w:right w:val="nil"/>
            </w:tcBorders>
          </w:tcPr>
          <w:p w14:paraId="3333B541">
            <w:pPr>
              <w:spacing w:before="93" w:line="281" w:lineRule="exact"/>
              <w:ind w:left="993"/>
              <w:rPr>
                <w:rFonts w:ascii="Times New Roman" w:hAnsi="Times New Roman" w:eastAsia="Times New Roman" w:cs="Times New Roman"/>
                <w:sz w:val="20"/>
                <w:szCs w:val="20"/>
              </w:rPr>
            </w:pPr>
            <w:r>
              <w:rPr>
                <w:rFonts w:ascii="Times New Roman" w:hAnsi="Times New Roman" w:eastAsia="Times New Roman" w:cs="Times New Roman"/>
                <w:spacing w:val="5"/>
                <w:position w:val="4"/>
                <w:sz w:val="20"/>
                <w:szCs w:val="20"/>
              </w:rPr>
              <w:t xml:space="preserve">0.5 </w:t>
            </w:r>
            <w:r>
              <w:rPr>
                <w:rFonts w:ascii="Times New Roman" w:hAnsi="Times New Roman" w:eastAsia="Times New Roman" w:cs="Times New Roman"/>
                <w:position w:val="4"/>
                <w:sz w:val="20"/>
                <w:szCs w:val="20"/>
              </w:rPr>
              <w:t>mg</w:t>
            </w:r>
            <w:r>
              <w:rPr>
                <w:rFonts w:ascii="Times New Roman" w:hAnsi="Times New Roman" w:eastAsia="Times New Roman" w:cs="Times New Roman"/>
                <w:spacing w:val="5"/>
                <w:position w:val="4"/>
                <w:sz w:val="20"/>
                <w:szCs w:val="20"/>
              </w:rPr>
              <w:t>/</w:t>
            </w:r>
            <w:r>
              <w:rPr>
                <w:rFonts w:ascii="Times New Roman" w:hAnsi="Times New Roman" w:eastAsia="Times New Roman" w:cs="Times New Roman"/>
                <w:position w:val="4"/>
                <w:sz w:val="20"/>
                <w:szCs w:val="20"/>
              </w:rPr>
              <w:t>L</w:t>
            </w:r>
          </w:p>
        </w:tc>
      </w:tr>
      <w:tr w14:paraId="70D15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1891" w:type="dxa"/>
            <w:tcBorders>
              <w:left w:val="nil"/>
            </w:tcBorders>
          </w:tcPr>
          <w:p w14:paraId="33EC5A5F">
            <w:pPr>
              <w:spacing w:before="132" w:line="228" w:lineRule="auto"/>
              <w:ind w:left="681"/>
              <w:rPr>
                <w:rFonts w:ascii="宋体" w:hAnsi="宋体" w:eastAsia="宋体" w:cs="宋体"/>
                <w:sz w:val="20"/>
                <w:szCs w:val="20"/>
              </w:rPr>
            </w:pPr>
            <w:r>
              <w:rPr>
                <w:rFonts w:ascii="宋体" w:hAnsi="宋体" w:eastAsia="宋体" w:cs="宋体"/>
                <w:spacing w:val="6"/>
                <w:sz w:val="20"/>
                <w:szCs w:val="20"/>
              </w:rPr>
              <w:t>氯离</w:t>
            </w:r>
            <w:r>
              <w:rPr>
                <w:rFonts w:ascii="宋体" w:hAnsi="宋体" w:eastAsia="宋体" w:cs="宋体"/>
                <w:spacing w:val="5"/>
                <w:sz w:val="20"/>
                <w:szCs w:val="20"/>
              </w:rPr>
              <w:t>子</w:t>
            </w:r>
          </w:p>
        </w:tc>
        <w:tc>
          <w:tcPr>
            <w:tcW w:w="4751" w:type="dxa"/>
          </w:tcPr>
          <w:p w14:paraId="0D53BB51">
            <w:pPr>
              <w:spacing w:before="136" w:line="225" w:lineRule="auto"/>
              <w:ind w:left="1171"/>
              <w:rPr>
                <w:rFonts w:ascii="宋体" w:hAnsi="宋体" w:eastAsia="宋体" w:cs="宋体"/>
                <w:sz w:val="20"/>
                <w:szCs w:val="20"/>
              </w:rPr>
            </w:pPr>
            <w:r>
              <w:rPr>
                <w:rFonts w:ascii="宋体" w:hAnsi="宋体" w:eastAsia="宋体" w:cs="宋体"/>
                <w:spacing w:val="6"/>
                <w:sz w:val="20"/>
                <w:szCs w:val="20"/>
              </w:rPr>
              <w:t>离子色谱法 (</w:t>
            </w:r>
            <w:r>
              <w:rPr>
                <w:rFonts w:ascii="Times New Roman" w:hAnsi="Times New Roman" w:eastAsia="Times New Roman" w:cs="Times New Roman"/>
                <w:sz w:val="20"/>
                <w:szCs w:val="20"/>
              </w:rPr>
              <w:t>HJ</w:t>
            </w:r>
            <w:r>
              <w:rPr>
                <w:rFonts w:ascii="Times New Roman" w:hAnsi="Times New Roman" w:eastAsia="Times New Roman" w:cs="Times New Roman"/>
                <w:spacing w:val="6"/>
                <w:sz w:val="20"/>
                <w:szCs w:val="20"/>
              </w:rPr>
              <w:t xml:space="preserve"> 84-2016</w:t>
            </w:r>
            <w:r>
              <w:rPr>
                <w:rFonts w:ascii="宋体" w:hAnsi="宋体" w:eastAsia="宋体" w:cs="宋体"/>
                <w:spacing w:val="4"/>
                <w:sz w:val="20"/>
                <w:szCs w:val="20"/>
              </w:rPr>
              <w:t>)</w:t>
            </w:r>
          </w:p>
        </w:tc>
        <w:tc>
          <w:tcPr>
            <w:tcW w:w="2483" w:type="dxa"/>
            <w:tcBorders>
              <w:right w:val="nil"/>
            </w:tcBorders>
          </w:tcPr>
          <w:p w14:paraId="6045CCDE">
            <w:pPr>
              <w:spacing w:before="91" w:line="281" w:lineRule="exact"/>
              <w:ind w:left="837"/>
              <w:rPr>
                <w:rFonts w:ascii="Times New Roman" w:hAnsi="Times New Roman" w:eastAsia="Times New Roman" w:cs="Times New Roman"/>
                <w:sz w:val="20"/>
                <w:szCs w:val="20"/>
              </w:rPr>
            </w:pPr>
            <w:r>
              <w:rPr>
                <w:rFonts w:ascii="Times New Roman" w:hAnsi="Times New Roman" w:eastAsia="Times New Roman" w:cs="Times New Roman"/>
                <w:spacing w:val="6"/>
                <w:position w:val="4"/>
                <w:sz w:val="20"/>
                <w:szCs w:val="20"/>
              </w:rPr>
              <w:t>0</w:t>
            </w:r>
            <w:r>
              <w:rPr>
                <w:rFonts w:ascii="Times New Roman" w:hAnsi="Times New Roman" w:eastAsia="Times New Roman" w:cs="Times New Roman"/>
                <w:spacing w:val="5"/>
                <w:position w:val="4"/>
                <w:sz w:val="20"/>
                <w:szCs w:val="20"/>
              </w:rPr>
              <w:t xml:space="preserve">.007 </w:t>
            </w:r>
            <w:r>
              <w:rPr>
                <w:rFonts w:ascii="Times New Roman" w:hAnsi="Times New Roman" w:eastAsia="Times New Roman" w:cs="Times New Roman"/>
                <w:position w:val="4"/>
                <w:sz w:val="20"/>
                <w:szCs w:val="20"/>
              </w:rPr>
              <w:t>mg</w:t>
            </w:r>
            <w:r>
              <w:rPr>
                <w:rFonts w:ascii="Times New Roman" w:hAnsi="Times New Roman" w:eastAsia="Times New Roman" w:cs="Times New Roman"/>
                <w:spacing w:val="5"/>
                <w:position w:val="4"/>
                <w:sz w:val="20"/>
                <w:szCs w:val="20"/>
              </w:rPr>
              <w:t>/</w:t>
            </w:r>
            <w:r>
              <w:rPr>
                <w:rFonts w:ascii="Times New Roman" w:hAnsi="Times New Roman" w:eastAsia="Times New Roman" w:cs="Times New Roman"/>
                <w:position w:val="4"/>
                <w:sz w:val="20"/>
                <w:szCs w:val="20"/>
              </w:rPr>
              <w:t>L</w:t>
            </w:r>
          </w:p>
        </w:tc>
      </w:tr>
      <w:tr w14:paraId="0EFEF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2" w:hRule="atLeast"/>
        </w:trPr>
        <w:tc>
          <w:tcPr>
            <w:tcW w:w="1891" w:type="dxa"/>
            <w:tcBorders>
              <w:left w:val="nil"/>
            </w:tcBorders>
          </w:tcPr>
          <w:p w14:paraId="29A5F214">
            <w:pPr>
              <w:spacing w:before="134" w:line="228" w:lineRule="auto"/>
              <w:ind w:left="679"/>
              <w:rPr>
                <w:rFonts w:ascii="宋体" w:hAnsi="宋体" w:eastAsia="宋体" w:cs="宋体"/>
                <w:sz w:val="20"/>
                <w:szCs w:val="20"/>
              </w:rPr>
            </w:pPr>
            <w:r>
              <w:rPr>
                <w:rFonts w:ascii="宋体" w:hAnsi="宋体" w:eastAsia="宋体" w:cs="宋体"/>
                <w:spacing w:val="7"/>
                <w:sz w:val="20"/>
                <w:szCs w:val="20"/>
              </w:rPr>
              <w:t>硝</w:t>
            </w:r>
            <w:r>
              <w:rPr>
                <w:rFonts w:ascii="宋体" w:hAnsi="宋体" w:eastAsia="宋体" w:cs="宋体"/>
                <w:spacing w:val="6"/>
                <w:sz w:val="20"/>
                <w:szCs w:val="20"/>
              </w:rPr>
              <w:t>酸盐</w:t>
            </w:r>
          </w:p>
        </w:tc>
        <w:tc>
          <w:tcPr>
            <w:tcW w:w="4751" w:type="dxa"/>
          </w:tcPr>
          <w:p w14:paraId="5E44B41E">
            <w:pPr>
              <w:spacing w:before="140" w:line="223" w:lineRule="auto"/>
              <w:ind w:left="1171"/>
              <w:rPr>
                <w:rFonts w:ascii="宋体" w:hAnsi="宋体" w:eastAsia="宋体" w:cs="宋体"/>
                <w:sz w:val="20"/>
                <w:szCs w:val="20"/>
              </w:rPr>
            </w:pPr>
            <w:r>
              <w:rPr>
                <w:rFonts w:ascii="宋体" w:hAnsi="宋体" w:eastAsia="宋体" w:cs="宋体"/>
                <w:spacing w:val="6"/>
                <w:sz w:val="20"/>
                <w:szCs w:val="20"/>
              </w:rPr>
              <w:t>离子色谱法 (</w:t>
            </w:r>
            <w:r>
              <w:rPr>
                <w:rFonts w:ascii="Times New Roman" w:hAnsi="Times New Roman" w:eastAsia="Times New Roman" w:cs="Times New Roman"/>
                <w:sz w:val="20"/>
                <w:szCs w:val="20"/>
              </w:rPr>
              <w:t>HJ</w:t>
            </w:r>
            <w:r>
              <w:rPr>
                <w:rFonts w:ascii="Times New Roman" w:hAnsi="Times New Roman" w:eastAsia="Times New Roman" w:cs="Times New Roman"/>
                <w:spacing w:val="6"/>
                <w:sz w:val="20"/>
                <w:szCs w:val="20"/>
              </w:rPr>
              <w:t xml:space="preserve"> 84-2016</w:t>
            </w:r>
            <w:r>
              <w:rPr>
                <w:rFonts w:ascii="宋体" w:hAnsi="宋体" w:eastAsia="宋体" w:cs="宋体"/>
                <w:spacing w:val="4"/>
                <w:sz w:val="20"/>
                <w:szCs w:val="20"/>
              </w:rPr>
              <w:t>)</w:t>
            </w:r>
          </w:p>
        </w:tc>
        <w:tc>
          <w:tcPr>
            <w:tcW w:w="2483" w:type="dxa"/>
            <w:tcBorders>
              <w:right w:val="nil"/>
            </w:tcBorders>
          </w:tcPr>
          <w:p w14:paraId="0CBECE59">
            <w:pPr>
              <w:spacing w:before="97" w:line="281" w:lineRule="exact"/>
              <w:ind w:left="837"/>
              <w:rPr>
                <w:rFonts w:ascii="Times New Roman" w:hAnsi="Times New Roman" w:eastAsia="Times New Roman" w:cs="Times New Roman"/>
                <w:sz w:val="20"/>
                <w:szCs w:val="20"/>
              </w:rPr>
            </w:pPr>
            <w:r>
              <w:rPr>
                <w:rFonts w:ascii="Times New Roman" w:hAnsi="Times New Roman" w:eastAsia="Times New Roman" w:cs="Times New Roman"/>
                <w:spacing w:val="6"/>
                <w:position w:val="4"/>
                <w:sz w:val="20"/>
                <w:szCs w:val="20"/>
              </w:rPr>
              <w:t>0</w:t>
            </w:r>
            <w:r>
              <w:rPr>
                <w:rFonts w:ascii="Times New Roman" w:hAnsi="Times New Roman" w:eastAsia="Times New Roman" w:cs="Times New Roman"/>
                <w:spacing w:val="5"/>
                <w:position w:val="4"/>
                <w:sz w:val="20"/>
                <w:szCs w:val="20"/>
              </w:rPr>
              <w:t xml:space="preserve">.016 </w:t>
            </w:r>
            <w:r>
              <w:rPr>
                <w:rFonts w:ascii="Times New Roman" w:hAnsi="Times New Roman" w:eastAsia="Times New Roman" w:cs="Times New Roman"/>
                <w:position w:val="4"/>
                <w:sz w:val="20"/>
                <w:szCs w:val="20"/>
              </w:rPr>
              <w:t>mg</w:t>
            </w:r>
            <w:r>
              <w:rPr>
                <w:rFonts w:ascii="Times New Roman" w:hAnsi="Times New Roman" w:eastAsia="Times New Roman" w:cs="Times New Roman"/>
                <w:spacing w:val="5"/>
                <w:position w:val="4"/>
                <w:sz w:val="20"/>
                <w:szCs w:val="20"/>
              </w:rPr>
              <w:t>/</w:t>
            </w:r>
            <w:r>
              <w:rPr>
                <w:rFonts w:ascii="Times New Roman" w:hAnsi="Times New Roman" w:eastAsia="Times New Roman" w:cs="Times New Roman"/>
                <w:position w:val="4"/>
                <w:sz w:val="20"/>
                <w:szCs w:val="20"/>
              </w:rPr>
              <w:t>L</w:t>
            </w:r>
          </w:p>
        </w:tc>
      </w:tr>
      <w:tr w14:paraId="77E0E6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1891" w:type="dxa"/>
            <w:tcBorders>
              <w:left w:val="nil"/>
            </w:tcBorders>
          </w:tcPr>
          <w:p w14:paraId="65947A92">
            <w:pPr>
              <w:spacing w:before="135" w:line="227" w:lineRule="auto"/>
              <w:ind w:left="574"/>
              <w:rPr>
                <w:rFonts w:ascii="宋体" w:hAnsi="宋体" w:eastAsia="宋体" w:cs="宋体"/>
                <w:sz w:val="20"/>
                <w:szCs w:val="20"/>
              </w:rPr>
            </w:pPr>
            <w:r>
              <w:rPr>
                <w:rFonts w:ascii="宋体" w:hAnsi="宋体" w:eastAsia="宋体" w:cs="宋体"/>
                <w:spacing w:val="7"/>
                <w:sz w:val="20"/>
                <w:szCs w:val="20"/>
              </w:rPr>
              <w:t>亚硝酸</w:t>
            </w:r>
            <w:r>
              <w:rPr>
                <w:rFonts w:ascii="宋体" w:hAnsi="宋体" w:eastAsia="宋体" w:cs="宋体"/>
                <w:spacing w:val="6"/>
                <w:sz w:val="20"/>
                <w:szCs w:val="20"/>
              </w:rPr>
              <w:t>盐</w:t>
            </w:r>
          </w:p>
        </w:tc>
        <w:tc>
          <w:tcPr>
            <w:tcW w:w="4751" w:type="dxa"/>
          </w:tcPr>
          <w:p w14:paraId="0C2F32F2">
            <w:pPr>
              <w:spacing w:before="139" w:line="223" w:lineRule="auto"/>
              <w:ind w:left="1171"/>
              <w:rPr>
                <w:rFonts w:ascii="宋体" w:hAnsi="宋体" w:eastAsia="宋体" w:cs="宋体"/>
                <w:sz w:val="20"/>
                <w:szCs w:val="20"/>
              </w:rPr>
            </w:pPr>
            <w:r>
              <w:rPr>
                <w:rFonts w:ascii="宋体" w:hAnsi="宋体" w:eastAsia="宋体" w:cs="宋体"/>
                <w:spacing w:val="6"/>
                <w:sz w:val="20"/>
                <w:szCs w:val="20"/>
              </w:rPr>
              <w:t>离子色谱法 (</w:t>
            </w:r>
            <w:r>
              <w:rPr>
                <w:rFonts w:ascii="Times New Roman" w:hAnsi="Times New Roman" w:eastAsia="Times New Roman" w:cs="Times New Roman"/>
                <w:sz w:val="20"/>
                <w:szCs w:val="20"/>
              </w:rPr>
              <w:t>HJ</w:t>
            </w:r>
            <w:r>
              <w:rPr>
                <w:rFonts w:ascii="Times New Roman" w:hAnsi="Times New Roman" w:eastAsia="Times New Roman" w:cs="Times New Roman"/>
                <w:spacing w:val="6"/>
                <w:sz w:val="20"/>
                <w:szCs w:val="20"/>
              </w:rPr>
              <w:t xml:space="preserve"> 84-2016</w:t>
            </w:r>
            <w:r>
              <w:rPr>
                <w:rFonts w:ascii="宋体" w:hAnsi="宋体" w:eastAsia="宋体" w:cs="宋体"/>
                <w:spacing w:val="4"/>
                <w:sz w:val="20"/>
                <w:szCs w:val="20"/>
              </w:rPr>
              <w:t>)</w:t>
            </w:r>
          </w:p>
        </w:tc>
        <w:tc>
          <w:tcPr>
            <w:tcW w:w="2483" w:type="dxa"/>
            <w:tcBorders>
              <w:right w:val="nil"/>
            </w:tcBorders>
          </w:tcPr>
          <w:p w14:paraId="09C223B7">
            <w:pPr>
              <w:spacing w:before="94" w:line="281" w:lineRule="exact"/>
              <w:ind w:left="837"/>
              <w:rPr>
                <w:rFonts w:ascii="Times New Roman" w:hAnsi="Times New Roman" w:eastAsia="Times New Roman" w:cs="Times New Roman"/>
                <w:sz w:val="20"/>
                <w:szCs w:val="20"/>
              </w:rPr>
            </w:pPr>
            <w:r>
              <w:rPr>
                <w:rFonts w:ascii="Times New Roman" w:hAnsi="Times New Roman" w:eastAsia="Times New Roman" w:cs="Times New Roman"/>
                <w:spacing w:val="6"/>
                <w:position w:val="4"/>
                <w:sz w:val="20"/>
                <w:szCs w:val="20"/>
              </w:rPr>
              <w:t>0</w:t>
            </w:r>
            <w:r>
              <w:rPr>
                <w:rFonts w:ascii="Times New Roman" w:hAnsi="Times New Roman" w:eastAsia="Times New Roman" w:cs="Times New Roman"/>
                <w:spacing w:val="5"/>
                <w:position w:val="4"/>
                <w:sz w:val="20"/>
                <w:szCs w:val="20"/>
              </w:rPr>
              <w:t xml:space="preserve">.016 </w:t>
            </w:r>
            <w:r>
              <w:rPr>
                <w:rFonts w:ascii="Times New Roman" w:hAnsi="Times New Roman" w:eastAsia="Times New Roman" w:cs="Times New Roman"/>
                <w:position w:val="4"/>
                <w:sz w:val="20"/>
                <w:szCs w:val="20"/>
              </w:rPr>
              <w:t>mg</w:t>
            </w:r>
            <w:r>
              <w:rPr>
                <w:rFonts w:ascii="Times New Roman" w:hAnsi="Times New Roman" w:eastAsia="Times New Roman" w:cs="Times New Roman"/>
                <w:spacing w:val="5"/>
                <w:position w:val="4"/>
                <w:sz w:val="20"/>
                <w:szCs w:val="20"/>
              </w:rPr>
              <w:t>/</w:t>
            </w:r>
            <w:r>
              <w:rPr>
                <w:rFonts w:ascii="Times New Roman" w:hAnsi="Times New Roman" w:eastAsia="Times New Roman" w:cs="Times New Roman"/>
                <w:position w:val="4"/>
                <w:sz w:val="20"/>
                <w:szCs w:val="20"/>
              </w:rPr>
              <w:t>L</w:t>
            </w:r>
          </w:p>
        </w:tc>
      </w:tr>
      <w:tr w14:paraId="50F468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1891" w:type="dxa"/>
            <w:tcBorders>
              <w:left w:val="nil"/>
            </w:tcBorders>
          </w:tcPr>
          <w:p w14:paraId="0A0A6B01">
            <w:pPr>
              <w:spacing w:before="140" w:line="221" w:lineRule="auto"/>
              <w:ind w:left="366"/>
              <w:rPr>
                <w:rFonts w:ascii="宋体" w:hAnsi="宋体" w:eastAsia="宋体" w:cs="宋体"/>
                <w:sz w:val="20"/>
                <w:szCs w:val="20"/>
              </w:rPr>
            </w:pPr>
            <w:r>
              <w:rPr>
                <w:rFonts w:ascii="宋体" w:hAnsi="宋体" w:eastAsia="宋体" w:cs="宋体"/>
                <w:spacing w:val="8"/>
                <w:sz w:val="20"/>
                <w:szCs w:val="20"/>
              </w:rPr>
              <w:t>溶解性总固</w:t>
            </w:r>
            <w:r>
              <w:rPr>
                <w:rFonts w:ascii="宋体" w:hAnsi="宋体" w:eastAsia="宋体" w:cs="宋体"/>
                <w:spacing w:val="7"/>
                <w:sz w:val="20"/>
                <w:szCs w:val="20"/>
              </w:rPr>
              <w:t>体</w:t>
            </w:r>
          </w:p>
        </w:tc>
        <w:tc>
          <w:tcPr>
            <w:tcW w:w="4751" w:type="dxa"/>
          </w:tcPr>
          <w:p w14:paraId="4CB7B8D7">
            <w:pPr>
              <w:spacing w:before="102" w:line="277" w:lineRule="exact"/>
              <w:ind w:left="756"/>
              <w:rPr>
                <w:rFonts w:ascii="宋体" w:hAnsi="宋体" w:eastAsia="宋体" w:cs="宋体"/>
                <w:sz w:val="20"/>
                <w:szCs w:val="20"/>
              </w:rPr>
            </w:pPr>
            <w:r>
              <w:rPr>
                <w:rFonts w:ascii="宋体" w:hAnsi="宋体" w:eastAsia="宋体" w:cs="宋体"/>
                <w:spacing w:val="8"/>
                <w:position w:val="1"/>
                <w:sz w:val="20"/>
                <w:szCs w:val="20"/>
              </w:rPr>
              <w:t>称量</w:t>
            </w:r>
            <w:r>
              <w:rPr>
                <w:rFonts w:ascii="宋体" w:hAnsi="宋体" w:eastAsia="宋体" w:cs="宋体"/>
                <w:spacing w:val="6"/>
                <w:position w:val="1"/>
                <w:sz w:val="20"/>
                <w:szCs w:val="20"/>
              </w:rPr>
              <w:t>法</w:t>
            </w:r>
            <w:r>
              <w:rPr>
                <w:rFonts w:ascii="宋体" w:hAnsi="宋体" w:eastAsia="宋体" w:cs="宋体"/>
                <w:spacing w:val="4"/>
                <w:position w:val="1"/>
                <w:sz w:val="20"/>
                <w:szCs w:val="20"/>
              </w:rPr>
              <w:t xml:space="preserve"> (</w:t>
            </w:r>
            <w:r>
              <w:rPr>
                <w:rFonts w:ascii="Times New Roman" w:hAnsi="Times New Roman" w:eastAsia="Times New Roman" w:cs="Times New Roman"/>
                <w:position w:val="1"/>
                <w:sz w:val="20"/>
                <w:szCs w:val="20"/>
              </w:rPr>
              <w:t>GB</w:t>
            </w:r>
            <w:r>
              <w:rPr>
                <w:rFonts w:ascii="Times New Roman" w:hAnsi="Times New Roman" w:eastAsia="Times New Roman" w:cs="Times New Roman"/>
                <w:spacing w:val="4"/>
                <w:position w:val="1"/>
                <w:sz w:val="20"/>
                <w:szCs w:val="20"/>
              </w:rPr>
              <w:t>/</w:t>
            </w:r>
            <w:r>
              <w:rPr>
                <w:rFonts w:ascii="Times New Roman" w:hAnsi="Times New Roman" w:eastAsia="Times New Roman" w:cs="Times New Roman"/>
                <w:position w:val="1"/>
                <w:sz w:val="20"/>
                <w:szCs w:val="20"/>
              </w:rPr>
              <w:t>T</w:t>
            </w:r>
            <w:r>
              <w:rPr>
                <w:rFonts w:ascii="Times New Roman" w:hAnsi="Times New Roman" w:eastAsia="Times New Roman" w:cs="Times New Roman"/>
                <w:spacing w:val="4"/>
                <w:position w:val="1"/>
                <w:sz w:val="20"/>
                <w:szCs w:val="20"/>
              </w:rPr>
              <w:t xml:space="preserve">5750.4-2006  </w:t>
            </w:r>
            <w:r>
              <w:rPr>
                <w:rFonts w:ascii="宋体" w:hAnsi="宋体" w:eastAsia="宋体" w:cs="宋体"/>
                <w:spacing w:val="4"/>
                <w:position w:val="1"/>
                <w:sz w:val="20"/>
                <w:szCs w:val="20"/>
              </w:rPr>
              <w:t>(</w:t>
            </w:r>
            <w:r>
              <w:rPr>
                <w:rFonts w:ascii="Times New Roman" w:hAnsi="Times New Roman" w:eastAsia="Times New Roman" w:cs="Times New Roman"/>
                <w:spacing w:val="4"/>
                <w:position w:val="1"/>
                <w:sz w:val="20"/>
                <w:szCs w:val="20"/>
              </w:rPr>
              <w:t>8. 1</w:t>
            </w:r>
            <w:r>
              <w:rPr>
                <w:rFonts w:ascii="宋体" w:hAnsi="宋体" w:eastAsia="宋体" w:cs="宋体"/>
                <w:spacing w:val="4"/>
                <w:position w:val="1"/>
                <w:sz w:val="20"/>
                <w:szCs w:val="20"/>
              </w:rPr>
              <w:t>) )</w:t>
            </w:r>
          </w:p>
        </w:tc>
        <w:tc>
          <w:tcPr>
            <w:tcW w:w="2483" w:type="dxa"/>
            <w:tcBorders>
              <w:right w:val="nil"/>
            </w:tcBorders>
          </w:tcPr>
          <w:p w14:paraId="3F3AE1C7">
            <w:pPr>
              <w:spacing w:before="100" w:line="280" w:lineRule="exact"/>
              <w:ind w:left="1208"/>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4BA5C5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1891" w:type="dxa"/>
            <w:tcBorders>
              <w:left w:val="nil"/>
            </w:tcBorders>
          </w:tcPr>
          <w:p w14:paraId="4B60CFCD">
            <w:pPr>
              <w:spacing w:before="37" w:line="228" w:lineRule="auto"/>
              <w:ind w:left="429"/>
              <w:rPr>
                <w:rFonts w:ascii="宋体" w:hAnsi="宋体" w:eastAsia="宋体" w:cs="宋体"/>
                <w:sz w:val="20"/>
                <w:szCs w:val="20"/>
              </w:rPr>
            </w:pPr>
            <w:r>
              <w:rPr>
                <w:rFonts w:ascii="宋体" w:hAnsi="宋体" w:eastAsia="宋体" w:cs="宋体"/>
                <w:spacing w:val="7"/>
                <w:sz w:val="20"/>
                <w:szCs w:val="20"/>
              </w:rPr>
              <w:t>总大肠菌群</w:t>
            </w:r>
          </w:p>
        </w:tc>
        <w:tc>
          <w:tcPr>
            <w:tcW w:w="4751" w:type="dxa"/>
          </w:tcPr>
          <w:p w14:paraId="5C10B739">
            <w:pPr>
              <w:spacing w:before="37" w:line="228" w:lineRule="auto"/>
              <w:ind w:left="1864"/>
              <w:rPr>
                <w:rFonts w:ascii="宋体" w:hAnsi="宋体" w:eastAsia="宋体" w:cs="宋体"/>
                <w:sz w:val="20"/>
                <w:szCs w:val="20"/>
              </w:rPr>
            </w:pPr>
            <w:r>
              <w:rPr>
                <w:rFonts w:ascii="宋体" w:hAnsi="宋体" w:eastAsia="宋体" w:cs="宋体"/>
                <w:spacing w:val="6"/>
                <w:sz w:val="20"/>
                <w:szCs w:val="20"/>
              </w:rPr>
              <w:t>多管发酵法</w:t>
            </w:r>
          </w:p>
        </w:tc>
        <w:tc>
          <w:tcPr>
            <w:tcW w:w="2483" w:type="dxa"/>
            <w:tcBorders>
              <w:right w:val="nil"/>
            </w:tcBorders>
          </w:tcPr>
          <w:p w14:paraId="0851F80D">
            <w:pPr>
              <w:spacing w:line="264" w:lineRule="exact"/>
              <w:ind w:left="1417"/>
              <w:rPr>
                <w:rFonts w:ascii="Times New Roman" w:hAnsi="Times New Roman" w:eastAsia="Times New Roman" w:cs="Times New Roman"/>
                <w:sz w:val="19"/>
                <w:szCs w:val="19"/>
              </w:rPr>
            </w:pPr>
            <w:r>
              <w:rPr>
                <w:rFonts w:ascii="Times New Roman" w:hAnsi="Times New Roman" w:eastAsia="Times New Roman" w:cs="Times New Roman"/>
                <w:spacing w:val="5"/>
                <w:position w:val="1"/>
                <w:sz w:val="19"/>
                <w:szCs w:val="19"/>
              </w:rPr>
              <w:t>/</w:t>
            </w:r>
          </w:p>
        </w:tc>
      </w:tr>
    </w:tbl>
    <w:p w14:paraId="318CB00B">
      <w:pPr>
        <w:spacing w:before="35" w:line="226" w:lineRule="auto"/>
        <w:ind w:left="73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6</w:t>
      </w:r>
      <w:r>
        <w:rPr>
          <w:rFonts w:ascii="宋体" w:hAnsi="宋体" w:eastAsia="宋体" w:cs="宋体"/>
          <w:spacing w:val="20"/>
          <w:sz w:val="23"/>
          <w:szCs w:val="23"/>
        </w:rPr>
        <w:t>) 评价标</w:t>
      </w:r>
      <w:r>
        <w:rPr>
          <w:rFonts w:ascii="宋体" w:hAnsi="宋体" w:eastAsia="宋体" w:cs="宋体"/>
          <w:spacing w:val="19"/>
          <w:sz w:val="23"/>
          <w:szCs w:val="23"/>
        </w:rPr>
        <w:t>准</w:t>
      </w:r>
    </w:p>
    <w:p w14:paraId="7D4A6BA3">
      <w:pPr>
        <w:spacing w:before="143" w:line="323" w:lineRule="exact"/>
        <w:ind w:left="719"/>
        <w:rPr>
          <w:rFonts w:ascii="宋体" w:hAnsi="宋体" w:eastAsia="宋体" w:cs="宋体"/>
          <w:sz w:val="23"/>
          <w:szCs w:val="23"/>
        </w:rPr>
      </w:pPr>
      <w:r>
        <w:rPr>
          <w:rFonts w:ascii="宋体" w:hAnsi="宋体" w:eastAsia="宋体" w:cs="宋体"/>
          <w:spacing w:val="8"/>
          <w:position w:val="1"/>
          <w:sz w:val="23"/>
          <w:szCs w:val="23"/>
        </w:rPr>
        <w:t>评价标准采</w:t>
      </w:r>
      <w:r>
        <w:rPr>
          <w:rFonts w:ascii="宋体" w:hAnsi="宋体" w:eastAsia="宋体" w:cs="宋体"/>
          <w:spacing w:val="7"/>
          <w:position w:val="1"/>
          <w:sz w:val="23"/>
          <w:szCs w:val="23"/>
        </w:rPr>
        <w:t>用</w:t>
      </w:r>
      <w:r>
        <w:rPr>
          <w:rFonts w:ascii="宋体" w:hAnsi="宋体" w:eastAsia="宋体" w:cs="宋体"/>
          <w:spacing w:val="4"/>
          <w:position w:val="1"/>
          <w:sz w:val="23"/>
          <w:szCs w:val="23"/>
        </w:rPr>
        <w:t>《地下水质量标准》  (</w:t>
      </w:r>
      <w:r>
        <w:rPr>
          <w:rFonts w:ascii="Times New Roman" w:hAnsi="Times New Roman" w:eastAsia="Times New Roman" w:cs="Times New Roman"/>
          <w:position w:val="1"/>
          <w:sz w:val="23"/>
          <w:szCs w:val="23"/>
        </w:rPr>
        <w:t>GB</w:t>
      </w:r>
      <w:r>
        <w:rPr>
          <w:rFonts w:ascii="Times New Roman" w:hAnsi="Times New Roman" w:eastAsia="Times New Roman" w:cs="Times New Roman"/>
          <w:spacing w:val="4"/>
          <w:position w:val="1"/>
          <w:sz w:val="23"/>
          <w:szCs w:val="23"/>
        </w:rPr>
        <w:t>/</w:t>
      </w:r>
      <w:r>
        <w:rPr>
          <w:rFonts w:ascii="Times New Roman" w:hAnsi="Times New Roman" w:eastAsia="Times New Roman" w:cs="Times New Roman"/>
          <w:position w:val="1"/>
          <w:sz w:val="23"/>
          <w:szCs w:val="23"/>
        </w:rPr>
        <w:t>T</w:t>
      </w:r>
      <w:r>
        <w:rPr>
          <w:rFonts w:ascii="Times New Roman" w:hAnsi="Times New Roman" w:eastAsia="Times New Roman" w:cs="Times New Roman"/>
          <w:spacing w:val="4"/>
          <w:position w:val="1"/>
          <w:sz w:val="23"/>
          <w:szCs w:val="23"/>
        </w:rPr>
        <w:t>14848-2017</w:t>
      </w:r>
      <w:r>
        <w:rPr>
          <w:rFonts w:ascii="宋体" w:hAnsi="宋体" w:eastAsia="宋体" w:cs="宋体"/>
          <w:spacing w:val="4"/>
          <w:position w:val="1"/>
          <w:sz w:val="23"/>
          <w:szCs w:val="23"/>
        </w:rPr>
        <w:t>) Ⅲ类标准要求。</w:t>
      </w:r>
    </w:p>
    <w:p w14:paraId="2B103DA8">
      <w:pPr>
        <w:spacing w:before="188" w:line="226" w:lineRule="auto"/>
        <w:ind w:left="73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7</w:t>
      </w:r>
      <w:r>
        <w:rPr>
          <w:rFonts w:ascii="宋体" w:hAnsi="宋体" w:eastAsia="宋体" w:cs="宋体"/>
          <w:spacing w:val="20"/>
          <w:sz w:val="23"/>
          <w:szCs w:val="23"/>
        </w:rPr>
        <w:t>) 评价方</w:t>
      </w:r>
      <w:r>
        <w:rPr>
          <w:rFonts w:ascii="宋体" w:hAnsi="宋体" w:eastAsia="宋体" w:cs="宋体"/>
          <w:spacing w:val="19"/>
          <w:sz w:val="23"/>
          <w:szCs w:val="23"/>
        </w:rPr>
        <w:t>法</w:t>
      </w:r>
    </w:p>
    <w:p w14:paraId="291A302C">
      <w:pPr>
        <w:spacing w:before="183" w:line="375" w:lineRule="auto"/>
        <w:ind w:left="241" w:right="228" w:firstLine="478"/>
        <w:rPr>
          <w:rFonts w:ascii="宋体" w:hAnsi="宋体" w:eastAsia="宋体" w:cs="宋体"/>
          <w:sz w:val="23"/>
          <w:szCs w:val="23"/>
        </w:rPr>
      </w:pPr>
      <w:r>
        <w:rPr>
          <w:rFonts w:ascii="宋体" w:hAnsi="宋体" w:eastAsia="宋体" w:cs="宋体"/>
          <w:spacing w:val="12"/>
          <w:sz w:val="23"/>
          <w:szCs w:val="23"/>
        </w:rPr>
        <w:t>采</w:t>
      </w:r>
      <w:r>
        <w:rPr>
          <w:rFonts w:ascii="宋体" w:hAnsi="宋体" w:eastAsia="宋体" w:cs="宋体"/>
          <w:spacing w:val="9"/>
          <w:sz w:val="23"/>
          <w:szCs w:val="23"/>
        </w:rPr>
        <w:t>用</w:t>
      </w:r>
      <w:r>
        <w:rPr>
          <w:rFonts w:ascii="宋体" w:hAnsi="宋体" w:eastAsia="宋体" w:cs="宋体"/>
          <w:spacing w:val="6"/>
          <w:sz w:val="23"/>
          <w:szCs w:val="23"/>
        </w:rPr>
        <w:t>《环境影响评价技术导则  地下水环境》  (</w:t>
      </w:r>
      <w:r>
        <w:rPr>
          <w:rFonts w:ascii="Times New Roman" w:hAnsi="Times New Roman" w:eastAsia="Times New Roman" w:cs="Times New Roman"/>
          <w:sz w:val="23"/>
          <w:szCs w:val="23"/>
        </w:rPr>
        <w:t>HJ</w:t>
      </w:r>
      <w:r>
        <w:rPr>
          <w:rFonts w:ascii="Times New Roman" w:hAnsi="Times New Roman" w:eastAsia="Times New Roman" w:cs="Times New Roman"/>
          <w:spacing w:val="6"/>
          <w:sz w:val="23"/>
          <w:szCs w:val="23"/>
        </w:rPr>
        <w:t>610-2016</w:t>
      </w:r>
      <w:r>
        <w:rPr>
          <w:rFonts w:ascii="宋体" w:hAnsi="宋体" w:eastAsia="宋体" w:cs="宋体"/>
          <w:spacing w:val="6"/>
          <w:sz w:val="23"/>
          <w:szCs w:val="23"/>
        </w:rPr>
        <w:t>) 所推荐的单项水</w:t>
      </w:r>
      <w:r>
        <w:rPr>
          <w:rFonts w:ascii="宋体" w:hAnsi="宋体" w:eastAsia="宋体" w:cs="宋体"/>
          <w:sz w:val="23"/>
          <w:szCs w:val="23"/>
        </w:rPr>
        <w:t xml:space="preserve"> </w:t>
      </w:r>
      <w:r>
        <w:rPr>
          <w:rFonts w:ascii="宋体" w:hAnsi="宋体" w:eastAsia="宋体" w:cs="宋体"/>
          <w:spacing w:val="9"/>
          <w:sz w:val="23"/>
          <w:szCs w:val="23"/>
        </w:rPr>
        <w:t>质参数评价法进行评价。计算公式如下</w:t>
      </w:r>
      <w:r>
        <w:rPr>
          <w:rFonts w:ascii="宋体" w:hAnsi="宋体" w:eastAsia="宋体" w:cs="宋体"/>
          <w:spacing w:val="6"/>
          <w:sz w:val="23"/>
          <w:szCs w:val="23"/>
        </w:rPr>
        <w:t>：</w:t>
      </w:r>
    </w:p>
    <w:p w14:paraId="6CB6CF2A">
      <w:pPr>
        <w:spacing w:line="225" w:lineRule="auto"/>
        <w:ind w:left="719"/>
        <w:rPr>
          <w:rFonts w:ascii="宋体" w:hAnsi="宋体" w:eastAsia="宋体" w:cs="宋体"/>
          <w:sz w:val="23"/>
          <w:szCs w:val="23"/>
        </w:rPr>
      </w:pPr>
      <w:r>
        <w:rPr>
          <w:rFonts w:ascii="宋体" w:hAnsi="宋体" w:eastAsia="宋体" w:cs="宋体"/>
          <w:spacing w:val="9"/>
          <w:sz w:val="23"/>
          <w:szCs w:val="23"/>
        </w:rPr>
        <w:t>① 一般水质因子的标准指</w:t>
      </w:r>
      <w:r>
        <w:rPr>
          <w:rFonts w:ascii="宋体" w:hAnsi="宋体" w:eastAsia="宋体" w:cs="宋体"/>
          <w:spacing w:val="8"/>
          <w:sz w:val="23"/>
          <w:szCs w:val="23"/>
        </w:rPr>
        <w:t>数</w:t>
      </w:r>
    </w:p>
    <w:p w14:paraId="3C366D87">
      <w:pPr>
        <w:spacing w:before="159" w:line="321" w:lineRule="exact"/>
        <w:ind w:left="4241"/>
        <w:rPr>
          <w:rFonts w:ascii="Times New Roman" w:hAnsi="Times New Roman" w:eastAsia="Times New Roman" w:cs="Times New Roman"/>
          <w:sz w:val="23"/>
          <w:szCs w:val="23"/>
        </w:rPr>
      </w:pPr>
      <w:r>
        <w:pict>
          <v:shape id="_x0000_s2098" o:spid="_x0000_s2098" o:spt="202" type="#_x0000_t202" style="position:absolute;left:0pt;margin-left:217.45pt;margin-top:15.15pt;height:11.25pt;width:50.6pt;z-index:-251589632;mso-width-relative:page;mso-height-relative:page;" filled="f" stroked="f" coordsize="21600,21600">
            <v:path/>
            <v:fill on="f" focussize="0,0"/>
            <v:stroke on="f" joinstyle="miter"/>
            <v:imagedata o:title=""/>
            <o:lock v:ext="edit"/>
            <v:textbox inset="0mm,0mm,0mm,0mm">
              <w:txbxContent>
                <w:p w14:paraId="2DD0FE30">
                  <w:pPr>
                    <w:spacing w:before="20" w:line="184" w:lineRule="exact"/>
                    <w:ind w:left="20"/>
                    <w:rPr>
                      <w:rFonts w:ascii="Times New Roman" w:hAnsi="Times New Roman" w:eastAsia="Times New Roman" w:cs="Times New Roman"/>
                      <w:sz w:val="13"/>
                      <w:szCs w:val="13"/>
                    </w:rPr>
                  </w:pPr>
                  <w:r>
                    <w:rPr>
                      <w:rFonts w:ascii="Times New Roman" w:hAnsi="Times New Roman" w:eastAsia="Times New Roman" w:cs="Times New Roman"/>
                      <w:i/>
                      <w:iCs/>
                      <w:position w:val="1"/>
                      <w:sz w:val="13"/>
                      <w:szCs w:val="13"/>
                    </w:rPr>
                    <w:t>i</w:t>
                  </w:r>
                  <w:r>
                    <w:rPr>
                      <w:rFonts w:ascii="Times New Roman" w:hAnsi="Times New Roman" w:eastAsia="Times New Roman" w:cs="Times New Roman"/>
                      <w:spacing w:val="2"/>
                      <w:position w:val="1"/>
                      <w:sz w:val="13"/>
                      <w:szCs w:val="13"/>
                    </w:rPr>
                    <w:t xml:space="preserve">        </w:t>
                  </w:r>
                  <w:r>
                    <w:rPr>
                      <w:rFonts w:ascii="Times New Roman" w:hAnsi="Times New Roman" w:eastAsia="Times New Roman" w:cs="Times New Roman"/>
                      <w:spacing w:val="1"/>
                      <w:position w:val="1"/>
                      <w:sz w:val="13"/>
                      <w:szCs w:val="13"/>
                    </w:rPr>
                    <w:t xml:space="preserve">      </w:t>
                  </w:r>
                  <w:r>
                    <w:rPr>
                      <w:rFonts w:ascii="Times New Roman" w:hAnsi="Times New Roman" w:eastAsia="Times New Roman" w:cs="Times New Roman"/>
                      <w:i/>
                      <w:iCs/>
                      <w:position w:val="1"/>
                      <w:sz w:val="13"/>
                      <w:szCs w:val="13"/>
                    </w:rPr>
                    <w:t>i</w:t>
                  </w:r>
                  <w:r>
                    <w:rPr>
                      <w:rFonts w:ascii="Times New Roman" w:hAnsi="Times New Roman" w:eastAsia="Times New Roman" w:cs="Times New Roman"/>
                      <w:spacing w:val="1"/>
                      <w:position w:val="1"/>
                      <w:sz w:val="13"/>
                      <w:szCs w:val="13"/>
                    </w:rPr>
                    <w:t xml:space="preserve">          </w:t>
                  </w:r>
                  <w:r>
                    <w:rPr>
                      <w:rFonts w:ascii="Times New Roman" w:hAnsi="Times New Roman" w:eastAsia="Times New Roman" w:cs="Times New Roman"/>
                      <w:i/>
                      <w:iCs/>
                      <w:position w:val="1"/>
                      <w:sz w:val="13"/>
                      <w:szCs w:val="13"/>
                    </w:rPr>
                    <w:t>si</w:t>
                  </w:r>
                </w:p>
              </w:txbxContent>
            </v:textbox>
          </v:shape>
        </w:pict>
      </w:r>
      <w:r>
        <w:rPr>
          <w:rFonts w:ascii="Times New Roman" w:hAnsi="Times New Roman" w:eastAsia="Times New Roman" w:cs="Times New Roman"/>
          <w:i/>
          <w:iCs/>
          <w:position w:val="2"/>
          <w:sz w:val="23"/>
          <w:szCs w:val="23"/>
        </w:rPr>
        <w:t>P</w:t>
      </w:r>
      <w:r>
        <w:rPr>
          <w:rFonts w:ascii="Times New Roman" w:hAnsi="Times New Roman" w:eastAsia="Times New Roman" w:cs="Times New Roman"/>
          <w:spacing w:val="24"/>
          <w:position w:val="2"/>
          <w:sz w:val="23"/>
          <w:szCs w:val="23"/>
        </w:rPr>
        <w:t xml:space="preserve"> </w:t>
      </w:r>
      <w:r>
        <w:rPr>
          <w:rFonts w:ascii="Symbol" w:hAnsi="Symbol" w:eastAsia="Symbol" w:cs="Symbol"/>
          <w:spacing w:val="22"/>
          <w:position w:val="2"/>
          <w:sz w:val="23"/>
          <w:szCs w:val="23"/>
        </w:rPr>
        <w:t xml:space="preserve">= </w:t>
      </w:r>
      <w:r>
        <w:rPr>
          <w:rFonts w:ascii="Times New Roman" w:hAnsi="Times New Roman" w:eastAsia="Times New Roman" w:cs="Times New Roman"/>
          <w:i/>
          <w:iCs/>
          <w:position w:val="2"/>
          <w:sz w:val="23"/>
          <w:szCs w:val="23"/>
        </w:rPr>
        <w:t>C</w:t>
      </w:r>
      <w:r>
        <w:rPr>
          <w:rFonts w:ascii="Times New Roman" w:hAnsi="Times New Roman" w:eastAsia="Times New Roman" w:cs="Times New Roman"/>
          <w:spacing w:val="22"/>
          <w:position w:val="2"/>
          <w:sz w:val="23"/>
          <w:szCs w:val="23"/>
        </w:rPr>
        <w:t xml:space="preserve"> / </w:t>
      </w:r>
      <w:r>
        <w:rPr>
          <w:rFonts w:ascii="Times New Roman" w:hAnsi="Times New Roman" w:eastAsia="Times New Roman" w:cs="Times New Roman"/>
          <w:i/>
          <w:iCs/>
          <w:position w:val="2"/>
          <w:sz w:val="23"/>
          <w:szCs w:val="23"/>
        </w:rPr>
        <w:t>C</w:t>
      </w:r>
    </w:p>
    <w:p w14:paraId="0F14A3D8">
      <w:pPr>
        <w:spacing w:before="187" w:line="323" w:lineRule="exact"/>
        <w:ind w:left="722"/>
        <w:rPr>
          <w:rFonts w:ascii="宋体" w:hAnsi="宋体" w:eastAsia="宋体" w:cs="宋体"/>
          <w:sz w:val="23"/>
          <w:szCs w:val="23"/>
        </w:rPr>
      </w:pPr>
      <w:r>
        <w:rPr>
          <w:rFonts w:ascii="宋体" w:hAnsi="宋体" w:eastAsia="宋体" w:cs="宋体"/>
          <w:spacing w:val="12"/>
          <w:position w:val="1"/>
          <w:sz w:val="23"/>
          <w:szCs w:val="23"/>
        </w:rPr>
        <w:t>上</w:t>
      </w:r>
      <w:r>
        <w:rPr>
          <w:rFonts w:ascii="宋体" w:hAnsi="宋体" w:eastAsia="宋体" w:cs="宋体"/>
          <w:spacing w:val="10"/>
          <w:position w:val="1"/>
          <w:sz w:val="23"/>
          <w:szCs w:val="23"/>
        </w:rPr>
        <w:t>式</w:t>
      </w:r>
      <w:r>
        <w:rPr>
          <w:rFonts w:ascii="宋体" w:hAnsi="宋体" w:eastAsia="宋体" w:cs="宋体"/>
          <w:spacing w:val="6"/>
          <w:position w:val="1"/>
          <w:sz w:val="23"/>
          <w:szCs w:val="23"/>
        </w:rPr>
        <w:t>中：</w:t>
      </w:r>
      <w:r>
        <w:rPr>
          <w:rFonts w:ascii="Times New Roman" w:hAnsi="Times New Roman" w:eastAsia="Times New Roman" w:cs="Times New Roman"/>
          <w:i/>
          <w:iCs/>
          <w:position w:val="1"/>
          <w:sz w:val="23"/>
          <w:szCs w:val="23"/>
        </w:rPr>
        <w:t>P</w:t>
      </w:r>
      <w:r>
        <w:rPr>
          <w:rFonts w:ascii="Times New Roman" w:hAnsi="Times New Roman" w:eastAsia="Times New Roman" w:cs="Times New Roman"/>
          <w:i/>
          <w:iCs/>
          <w:sz w:val="15"/>
          <w:szCs w:val="15"/>
        </w:rPr>
        <w:t>i</w:t>
      </w:r>
      <w:r>
        <w:rPr>
          <w:rFonts w:ascii="Times New Roman" w:hAnsi="Times New Roman" w:eastAsia="Times New Roman" w:cs="Times New Roman"/>
          <w:spacing w:val="6"/>
          <w:position w:val="1"/>
          <w:sz w:val="23"/>
          <w:szCs w:val="23"/>
        </w:rPr>
        <w:t>——</w:t>
      </w:r>
      <w:r>
        <w:rPr>
          <w:rFonts w:ascii="宋体" w:hAnsi="宋体" w:eastAsia="宋体" w:cs="宋体"/>
          <w:spacing w:val="6"/>
          <w:position w:val="1"/>
          <w:sz w:val="23"/>
          <w:szCs w:val="23"/>
        </w:rPr>
        <w:t xml:space="preserve">第 </w:t>
      </w:r>
      <w:r>
        <w:rPr>
          <w:rFonts w:ascii="Times New Roman" w:hAnsi="Times New Roman" w:eastAsia="Times New Roman" w:cs="Times New Roman"/>
          <w:position w:val="1"/>
          <w:sz w:val="23"/>
          <w:szCs w:val="23"/>
        </w:rPr>
        <w:t>i</w:t>
      </w:r>
      <w:r>
        <w:rPr>
          <w:rFonts w:ascii="Times New Roman" w:hAnsi="Times New Roman" w:eastAsia="Times New Roman" w:cs="Times New Roman"/>
          <w:spacing w:val="6"/>
          <w:position w:val="1"/>
          <w:sz w:val="23"/>
          <w:szCs w:val="23"/>
        </w:rPr>
        <w:t xml:space="preserve"> </w:t>
      </w:r>
      <w:r>
        <w:rPr>
          <w:rFonts w:ascii="宋体" w:hAnsi="宋体" w:eastAsia="宋体" w:cs="宋体"/>
          <w:spacing w:val="6"/>
          <w:position w:val="1"/>
          <w:sz w:val="23"/>
          <w:szCs w:val="23"/>
        </w:rPr>
        <w:t>个水质因子的标准指数，无量纲；</w:t>
      </w:r>
    </w:p>
    <w:p w14:paraId="25DE5A1B">
      <w:pPr>
        <w:spacing w:before="143" w:line="468" w:lineRule="exact"/>
        <w:ind w:left="1686"/>
        <w:rPr>
          <w:rFonts w:ascii="宋体" w:hAnsi="宋体" w:eastAsia="宋体" w:cs="宋体"/>
          <w:sz w:val="23"/>
          <w:szCs w:val="23"/>
        </w:rPr>
      </w:pPr>
      <w:r>
        <w:rPr>
          <w:rFonts w:ascii="Times New Roman" w:hAnsi="Times New Roman" w:eastAsia="Times New Roman" w:cs="Times New Roman"/>
          <w:i/>
          <w:iCs/>
          <w:position w:val="14"/>
          <w:sz w:val="23"/>
          <w:szCs w:val="23"/>
        </w:rPr>
        <w:t>C</w:t>
      </w:r>
      <w:r>
        <w:rPr>
          <w:rFonts w:ascii="Times New Roman" w:hAnsi="Times New Roman" w:eastAsia="Times New Roman" w:cs="Times New Roman"/>
          <w:i/>
          <w:iCs/>
          <w:position w:val="13"/>
          <w:sz w:val="15"/>
          <w:szCs w:val="15"/>
        </w:rPr>
        <w:t>i</w:t>
      </w:r>
      <w:r>
        <w:rPr>
          <w:rFonts w:ascii="Times New Roman" w:hAnsi="Times New Roman" w:eastAsia="Times New Roman" w:cs="Times New Roman"/>
          <w:spacing w:val="6"/>
          <w:position w:val="14"/>
          <w:sz w:val="23"/>
          <w:szCs w:val="23"/>
        </w:rPr>
        <w:t>——</w:t>
      </w:r>
      <w:r>
        <w:rPr>
          <w:rFonts w:ascii="宋体" w:hAnsi="宋体" w:eastAsia="宋体" w:cs="宋体"/>
          <w:spacing w:val="6"/>
          <w:position w:val="14"/>
          <w:sz w:val="23"/>
          <w:szCs w:val="23"/>
        </w:rPr>
        <w:t xml:space="preserve">第 </w:t>
      </w:r>
      <w:r>
        <w:rPr>
          <w:rFonts w:ascii="Times New Roman" w:hAnsi="Times New Roman" w:eastAsia="Times New Roman" w:cs="Times New Roman"/>
          <w:position w:val="14"/>
          <w:sz w:val="23"/>
          <w:szCs w:val="23"/>
        </w:rPr>
        <w:t>i</w:t>
      </w:r>
      <w:r>
        <w:rPr>
          <w:rFonts w:ascii="Times New Roman" w:hAnsi="Times New Roman" w:eastAsia="Times New Roman" w:cs="Times New Roman"/>
          <w:spacing w:val="6"/>
          <w:position w:val="14"/>
          <w:sz w:val="23"/>
          <w:szCs w:val="23"/>
        </w:rPr>
        <w:t xml:space="preserve"> </w:t>
      </w:r>
      <w:r>
        <w:rPr>
          <w:rFonts w:ascii="宋体" w:hAnsi="宋体" w:eastAsia="宋体" w:cs="宋体"/>
          <w:spacing w:val="6"/>
          <w:position w:val="14"/>
          <w:sz w:val="23"/>
          <w:szCs w:val="23"/>
        </w:rPr>
        <w:t>个水质因子的监测浓度值，</w:t>
      </w:r>
      <w:r>
        <w:rPr>
          <w:rFonts w:ascii="Times New Roman" w:hAnsi="Times New Roman" w:eastAsia="Times New Roman" w:cs="Times New Roman"/>
          <w:position w:val="14"/>
          <w:sz w:val="23"/>
          <w:szCs w:val="23"/>
        </w:rPr>
        <w:t>mg</w:t>
      </w:r>
      <w:r>
        <w:rPr>
          <w:rFonts w:ascii="Times New Roman" w:hAnsi="Times New Roman" w:eastAsia="Times New Roman" w:cs="Times New Roman"/>
          <w:spacing w:val="6"/>
          <w:position w:val="14"/>
          <w:sz w:val="23"/>
          <w:szCs w:val="23"/>
        </w:rPr>
        <w:t>/</w:t>
      </w:r>
      <w:r>
        <w:rPr>
          <w:rFonts w:ascii="Times New Roman" w:hAnsi="Times New Roman" w:eastAsia="Times New Roman" w:cs="Times New Roman"/>
          <w:position w:val="14"/>
          <w:sz w:val="23"/>
          <w:szCs w:val="23"/>
        </w:rPr>
        <w:t>L</w:t>
      </w:r>
      <w:r>
        <w:rPr>
          <w:rFonts w:ascii="宋体" w:hAnsi="宋体" w:eastAsia="宋体" w:cs="宋体"/>
          <w:spacing w:val="3"/>
          <w:position w:val="14"/>
          <w:sz w:val="23"/>
          <w:szCs w:val="23"/>
        </w:rPr>
        <w:t>；</w:t>
      </w:r>
    </w:p>
    <w:p w14:paraId="5E337FF8">
      <w:pPr>
        <w:spacing w:line="323" w:lineRule="exact"/>
        <w:ind w:left="1686"/>
        <w:rPr>
          <w:rFonts w:ascii="宋体" w:hAnsi="宋体" w:eastAsia="宋体" w:cs="宋体"/>
          <w:sz w:val="23"/>
          <w:szCs w:val="23"/>
        </w:rPr>
      </w:pPr>
      <w:r>
        <w:rPr>
          <w:rFonts w:ascii="Times New Roman" w:hAnsi="Times New Roman" w:eastAsia="Times New Roman" w:cs="Times New Roman"/>
          <w:i/>
          <w:iCs/>
          <w:position w:val="3"/>
          <w:sz w:val="23"/>
          <w:szCs w:val="23"/>
        </w:rPr>
        <w:t>C</w:t>
      </w:r>
      <w:r>
        <w:rPr>
          <w:rFonts w:ascii="Times New Roman" w:hAnsi="Times New Roman" w:eastAsia="Times New Roman" w:cs="Times New Roman"/>
          <w:i/>
          <w:iCs/>
          <w:position w:val="2"/>
          <w:sz w:val="15"/>
          <w:szCs w:val="15"/>
        </w:rPr>
        <w:t>si</w:t>
      </w:r>
      <w:r>
        <w:rPr>
          <w:rFonts w:ascii="Times New Roman" w:hAnsi="Times New Roman" w:eastAsia="Times New Roman" w:cs="Times New Roman"/>
          <w:spacing w:val="6"/>
          <w:position w:val="3"/>
          <w:sz w:val="23"/>
          <w:szCs w:val="23"/>
        </w:rPr>
        <w:t>——</w:t>
      </w:r>
      <w:r>
        <w:rPr>
          <w:rFonts w:ascii="宋体" w:hAnsi="宋体" w:eastAsia="宋体" w:cs="宋体"/>
          <w:spacing w:val="6"/>
          <w:position w:val="3"/>
          <w:sz w:val="23"/>
          <w:szCs w:val="23"/>
        </w:rPr>
        <w:t xml:space="preserve">第 </w:t>
      </w:r>
      <w:r>
        <w:rPr>
          <w:rFonts w:ascii="Times New Roman" w:hAnsi="Times New Roman" w:eastAsia="Times New Roman" w:cs="Times New Roman"/>
          <w:position w:val="3"/>
          <w:sz w:val="23"/>
          <w:szCs w:val="23"/>
        </w:rPr>
        <w:t>i</w:t>
      </w:r>
      <w:r>
        <w:rPr>
          <w:rFonts w:ascii="Times New Roman" w:hAnsi="Times New Roman" w:eastAsia="Times New Roman" w:cs="Times New Roman"/>
          <w:spacing w:val="6"/>
          <w:position w:val="3"/>
          <w:sz w:val="23"/>
          <w:szCs w:val="23"/>
        </w:rPr>
        <w:t xml:space="preserve"> </w:t>
      </w:r>
      <w:r>
        <w:rPr>
          <w:rFonts w:ascii="宋体" w:hAnsi="宋体" w:eastAsia="宋体" w:cs="宋体"/>
          <w:spacing w:val="6"/>
          <w:position w:val="3"/>
          <w:sz w:val="23"/>
          <w:szCs w:val="23"/>
        </w:rPr>
        <w:t>个水质因子的标准浓度值，</w:t>
      </w:r>
      <w:r>
        <w:rPr>
          <w:rFonts w:ascii="Times New Roman" w:hAnsi="Times New Roman" w:eastAsia="Times New Roman" w:cs="Times New Roman"/>
          <w:position w:val="3"/>
          <w:sz w:val="23"/>
          <w:szCs w:val="23"/>
        </w:rPr>
        <w:t>mg</w:t>
      </w:r>
      <w:r>
        <w:rPr>
          <w:rFonts w:ascii="Times New Roman" w:hAnsi="Times New Roman" w:eastAsia="Times New Roman" w:cs="Times New Roman"/>
          <w:spacing w:val="6"/>
          <w:position w:val="3"/>
          <w:sz w:val="23"/>
          <w:szCs w:val="23"/>
        </w:rPr>
        <w:t>/</w:t>
      </w:r>
      <w:r>
        <w:rPr>
          <w:rFonts w:ascii="Times New Roman" w:hAnsi="Times New Roman" w:eastAsia="Times New Roman" w:cs="Times New Roman"/>
          <w:position w:val="3"/>
          <w:sz w:val="23"/>
          <w:szCs w:val="23"/>
        </w:rPr>
        <w:t>L</w:t>
      </w:r>
      <w:r>
        <w:rPr>
          <w:rFonts w:ascii="宋体" w:hAnsi="宋体" w:eastAsia="宋体" w:cs="宋体"/>
          <w:spacing w:val="4"/>
          <w:position w:val="3"/>
          <w:sz w:val="23"/>
          <w:szCs w:val="23"/>
        </w:rPr>
        <w:t>。</w:t>
      </w:r>
    </w:p>
    <w:p w14:paraId="78C135D7">
      <w:pPr>
        <w:spacing w:before="188" w:line="221" w:lineRule="auto"/>
        <w:ind w:left="718"/>
        <w:rPr>
          <w:rFonts w:ascii="宋体" w:hAnsi="宋体" w:eastAsia="宋体" w:cs="宋体"/>
          <w:sz w:val="23"/>
          <w:szCs w:val="23"/>
        </w:rPr>
      </w:pPr>
      <w:r>
        <w:rPr>
          <w:rFonts w:ascii="宋体" w:hAnsi="宋体" w:eastAsia="宋体" w:cs="宋体"/>
          <w:spacing w:val="2"/>
          <w:sz w:val="23"/>
          <w:szCs w:val="23"/>
        </w:rPr>
        <w:t xml:space="preserve">② </w:t>
      </w:r>
      <w:r>
        <w:rPr>
          <w:rFonts w:ascii="Times New Roman" w:hAnsi="Times New Roman" w:eastAsia="Times New Roman" w:cs="Times New Roman"/>
          <w:sz w:val="23"/>
          <w:szCs w:val="23"/>
        </w:rPr>
        <w:t>pH</w:t>
      </w:r>
      <w:r>
        <w:rPr>
          <w:rFonts w:ascii="Times New Roman" w:hAnsi="Times New Roman" w:eastAsia="Times New Roman" w:cs="Times New Roman"/>
          <w:spacing w:val="2"/>
          <w:sz w:val="23"/>
          <w:szCs w:val="23"/>
        </w:rPr>
        <w:t xml:space="preserve"> </w:t>
      </w:r>
      <w:r>
        <w:rPr>
          <w:rFonts w:ascii="宋体" w:hAnsi="宋体" w:eastAsia="宋体" w:cs="宋体"/>
          <w:spacing w:val="1"/>
          <w:sz w:val="23"/>
          <w:szCs w:val="23"/>
        </w:rPr>
        <w:t>的标准指数</w:t>
      </w:r>
    </w:p>
    <w:p w14:paraId="273B76C3">
      <w:pPr>
        <w:spacing w:before="147" w:line="323" w:lineRule="exact"/>
        <w:ind w:left="2802"/>
        <w:rPr>
          <w:rFonts w:ascii="Times New Roman" w:hAnsi="Times New Roman" w:eastAsia="Times New Roman" w:cs="Times New Roman"/>
          <w:sz w:val="23"/>
          <w:szCs w:val="23"/>
        </w:rPr>
      </w:pPr>
      <w:r>
        <w:rPr>
          <w:rFonts w:ascii="Times New Roman" w:hAnsi="Times New Roman" w:eastAsia="Times New Roman" w:cs="Times New Roman"/>
          <w:position w:val="4"/>
          <w:sz w:val="23"/>
          <w:szCs w:val="23"/>
        </w:rPr>
        <w:t>P</w:t>
      </w:r>
      <w:r>
        <w:rPr>
          <w:rFonts w:ascii="Times New Roman" w:hAnsi="Times New Roman" w:eastAsia="Times New Roman" w:cs="Times New Roman"/>
          <w:position w:val="3"/>
          <w:sz w:val="15"/>
          <w:szCs w:val="15"/>
        </w:rPr>
        <w:t>i</w:t>
      </w:r>
      <w:r>
        <w:rPr>
          <w:rFonts w:ascii="Times New Roman" w:hAnsi="Times New Roman" w:eastAsia="Times New Roman" w:cs="Times New Roman"/>
          <w:spacing w:val="16"/>
          <w:position w:val="3"/>
          <w:sz w:val="15"/>
          <w:szCs w:val="15"/>
        </w:rPr>
        <w:t xml:space="preserve"> </w:t>
      </w:r>
      <w:r>
        <w:rPr>
          <w:rFonts w:ascii="Times New Roman" w:hAnsi="Times New Roman" w:eastAsia="Times New Roman" w:cs="Times New Roman"/>
          <w:spacing w:val="16"/>
          <w:position w:val="4"/>
          <w:sz w:val="23"/>
          <w:szCs w:val="23"/>
        </w:rPr>
        <w:t>=</w:t>
      </w:r>
      <w:r>
        <w:rPr>
          <w:rFonts w:ascii="Times New Roman" w:hAnsi="Times New Roman" w:eastAsia="Times New Roman" w:cs="Times New Roman"/>
          <w:spacing w:val="15"/>
          <w:position w:val="4"/>
          <w:sz w:val="23"/>
          <w:szCs w:val="23"/>
        </w:rPr>
        <w:t>(</w:t>
      </w:r>
      <w:r>
        <w:rPr>
          <w:rFonts w:ascii="Times New Roman" w:hAnsi="Times New Roman" w:eastAsia="Times New Roman" w:cs="Times New Roman"/>
          <w:spacing w:val="8"/>
          <w:position w:val="4"/>
          <w:sz w:val="23"/>
          <w:szCs w:val="23"/>
        </w:rPr>
        <w:t xml:space="preserve"> </w:t>
      </w:r>
      <w:r>
        <w:rPr>
          <w:rFonts w:ascii="Times New Roman" w:hAnsi="Times New Roman" w:eastAsia="Times New Roman" w:cs="Times New Roman"/>
          <w:position w:val="4"/>
          <w:sz w:val="23"/>
          <w:szCs w:val="23"/>
        </w:rPr>
        <w:t>pH</w:t>
      </w:r>
      <w:r>
        <w:rPr>
          <w:rFonts w:ascii="Times New Roman" w:hAnsi="Times New Roman" w:eastAsia="Times New Roman" w:cs="Times New Roman"/>
          <w:position w:val="3"/>
          <w:sz w:val="15"/>
          <w:szCs w:val="15"/>
        </w:rPr>
        <w:t>j</w:t>
      </w:r>
      <w:r>
        <w:rPr>
          <w:rFonts w:ascii="Times New Roman" w:hAnsi="Times New Roman" w:eastAsia="Times New Roman" w:cs="Times New Roman"/>
          <w:spacing w:val="8"/>
          <w:position w:val="3"/>
          <w:sz w:val="15"/>
          <w:szCs w:val="15"/>
        </w:rPr>
        <w:t xml:space="preserve"> </w:t>
      </w:r>
      <w:r>
        <w:rPr>
          <w:rFonts w:ascii="Times New Roman" w:hAnsi="Times New Roman" w:eastAsia="Times New Roman" w:cs="Times New Roman"/>
          <w:spacing w:val="8"/>
          <w:position w:val="4"/>
          <w:sz w:val="23"/>
          <w:szCs w:val="23"/>
        </w:rPr>
        <w:t>-7.0)/ (</w:t>
      </w:r>
      <w:r>
        <w:rPr>
          <w:rFonts w:ascii="Times New Roman" w:hAnsi="Times New Roman" w:eastAsia="Times New Roman" w:cs="Times New Roman"/>
          <w:position w:val="4"/>
          <w:sz w:val="23"/>
          <w:szCs w:val="23"/>
        </w:rPr>
        <w:t>pH</w:t>
      </w:r>
      <w:r>
        <w:rPr>
          <w:rFonts w:ascii="Times New Roman" w:hAnsi="Times New Roman" w:eastAsia="Times New Roman" w:cs="Times New Roman"/>
          <w:position w:val="3"/>
          <w:sz w:val="15"/>
          <w:szCs w:val="15"/>
        </w:rPr>
        <w:t>su</w:t>
      </w:r>
      <w:r>
        <w:rPr>
          <w:rFonts w:ascii="Times New Roman" w:hAnsi="Times New Roman" w:eastAsia="Times New Roman" w:cs="Times New Roman"/>
          <w:spacing w:val="8"/>
          <w:position w:val="4"/>
          <w:sz w:val="23"/>
          <w:szCs w:val="23"/>
        </w:rPr>
        <w:t xml:space="preserve">-7.0)          </w:t>
      </w:r>
      <w:r>
        <w:rPr>
          <w:rFonts w:ascii="Times New Roman" w:hAnsi="Times New Roman" w:eastAsia="Times New Roman" w:cs="Times New Roman"/>
          <w:position w:val="4"/>
          <w:sz w:val="23"/>
          <w:szCs w:val="23"/>
        </w:rPr>
        <w:t>pH</w:t>
      </w:r>
      <w:r>
        <w:rPr>
          <w:rFonts w:ascii="Times New Roman" w:hAnsi="Times New Roman" w:eastAsia="Times New Roman" w:cs="Times New Roman"/>
          <w:position w:val="3"/>
          <w:sz w:val="15"/>
          <w:szCs w:val="15"/>
        </w:rPr>
        <w:t>j</w:t>
      </w:r>
      <w:r>
        <w:rPr>
          <w:rFonts w:ascii="宋体" w:hAnsi="宋体" w:eastAsia="宋体" w:cs="宋体"/>
          <w:spacing w:val="8"/>
          <w:position w:val="4"/>
          <w:sz w:val="23"/>
          <w:szCs w:val="23"/>
        </w:rPr>
        <w:t>＞</w:t>
      </w:r>
      <w:r>
        <w:rPr>
          <w:rFonts w:ascii="Times New Roman" w:hAnsi="Times New Roman" w:eastAsia="Times New Roman" w:cs="Times New Roman"/>
          <w:spacing w:val="8"/>
          <w:position w:val="4"/>
          <w:sz w:val="23"/>
          <w:szCs w:val="23"/>
        </w:rPr>
        <w:t>7.0</w:t>
      </w:r>
    </w:p>
    <w:p w14:paraId="2F47E1D8">
      <w:pPr>
        <w:spacing w:before="128" w:line="323" w:lineRule="exact"/>
        <w:ind w:left="2896"/>
        <w:rPr>
          <w:rFonts w:ascii="Times New Roman" w:hAnsi="Times New Roman" w:eastAsia="Times New Roman" w:cs="Times New Roman"/>
          <w:sz w:val="23"/>
          <w:szCs w:val="23"/>
        </w:rPr>
      </w:pPr>
      <w:r>
        <w:rPr>
          <w:rFonts w:ascii="Times New Roman" w:hAnsi="Times New Roman" w:eastAsia="Times New Roman" w:cs="Times New Roman"/>
          <w:position w:val="4"/>
          <w:sz w:val="23"/>
          <w:szCs w:val="23"/>
        </w:rPr>
        <w:t>P</w:t>
      </w:r>
      <w:r>
        <w:rPr>
          <w:rFonts w:ascii="Times New Roman" w:hAnsi="Times New Roman" w:eastAsia="Times New Roman" w:cs="Times New Roman"/>
          <w:position w:val="3"/>
          <w:sz w:val="15"/>
          <w:szCs w:val="15"/>
        </w:rPr>
        <w:t>i</w:t>
      </w:r>
      <w:r>
        <w:rPr>
          <w:rFonts w:ascii="Times New Roman" w:hAnsi="Times New Roman" w:eastAsia="Times New Roman" w:cs="Times New Roman"/>
          <w:spacing w:val="16"/>
          <w:position w:val="3"/>
          <w:sz w:val="15"/>
          <w:szCs w:val="15"/>
        </w:rPr>
        <w:t xml:space="preserve"> </w:t>
      </w:r>
      <w:r>
        <w:rPr>
          <w:rFonts w:ascii="Times New Roman" w:hAnsi="Times New Roman" w:eastAsia="Times New Roman" w:cs="Times New Roman"/>
          <w:spacing w:val="10"/>
          <w:position w:val="4"/>
          <w:sz w:val="23"/>
          <w:szCs w:val="23"/>
        </w:rPr>
        <w:t>=</w:t>
      </w:r>
      <w:r>
        <w:rPr>
          <w:rFonts w:ascii="Times New Roman" w:hAnsi="Times New Roman" w:eastAsia="Times New Roman" w:cs="Times New Roman"/>
          <w:spacing w:val="8"/>
          <w:position w:val="4"/>
          <w:sz w:val="23"/>
          <w:szCs w:val="23"/>
        </w:rPr>
        <w:t xml:space="preserve">( 7.0- </w:t>
      </w:r>
      <w:r>
        <w:rPr>
          <w:rFonts w:ascii="Times New Roman" w:hAnsi="Times New Roman" w:eastAsia="Times New Roman" w:cs="Times New Roman"/>
          <w:position w:val="4"/>
          <w:sz w:val="23"/>
          <w:szCs w:val="23"/>
        </w:rPr>
        <w:t>pH</w:t>
      </w:r>
      <w:r>
        <w:rPr>
          <w:rFonts w:ascii="Times New Roman" w:hAnsi="Times New Roman" w:eastAsia="Times New Roman" w:cs="Times New Roman"/>
          <w:position w:val="3"/>
          <w:sz w:val="15"/>
          <w:szCs w:val="15"/>
        </w:rPr>
        <w:t>j</w:t>
      </w:r>
      <w:r>
        <w:rPr>
          <w:rFonts w:ascii="Times New Roman" w:hAnsi="Times New Roman" w:eastAsia="Times New Roman" w:cs="Times New Roman"/>
          <w:spacing w:val="8"/>
          <w:position w:val="4"/>
          <w:sz w:val="23"/>
          <w:szCs w:val="23"/>
        </w:rPr>
        <w:t xml:space="preserve">)/ (7.0 – </w:t>
      </w:r>
      <w:r>
        <w:rPr>
          <w:rFonts w:ascii="Times New Roman" w:hAnsi="Times New Roman" w:eastAsia="Times New Roman" w:cs="Times New Roman"/>
          <w:position w:val="4"/>
          <w:sz w:val="23"/>
          <w:szCs w:val="23"/>
        </w:rPr>
        <w:t>pH</w:t>
      </w:r>
      <w:r>
        <w:rPr>
          <w:rFonts w:ascii="Times New Roman" w:hAnsi="Times New Roman" w:eastAsia="Times New Roman" w:cs="Times New Roman"/>
          <w:position w:val="3"/>
          <w:sz w:val="15"/>
          <w:szCs w:val="15"/>
        </w:rPr>
        <w:t>sd</w:t>
      </w:r>
      <w:r>
        <w:rPr>
          <w:rFonts w:ascii="Times New Roman" w:hAnsi="Times New Roman" w:eastAsia="Times New Roman" w:cs="Times New Roman"/>
          <w:spacing w:val="8"/>
          <w:position w:val="4"/>
          <w:sz w:val="23"/>
          <w:szCs w:val="23"/>
        </w:rPr>
        <w:t xml:space="preserve">)      </w:t>
      </w:r>
      <w:r>
        <w:rPr>
          <w:rFonts w:ascii="Times New Roman" w:hAnsi="Times New Roman" w:eastAsia="Times New Roman" w:cs="Times New Roman"/>
          <w:position w:val="4"/>
          <w:sz w:val="23"/>
          <w:szCs w:val="23"/>
        </w:rPr>
        <w:t>pH</w:t>
      </w:r>
      <w:r>
        <w:rPr>
          <w:rFonts w:ascii="Times New Roman" w:hAnsi="Times New Roman" w:eastAsia="Times New Roman" w:cs="Times New Roman"/>
          <w:position w:val="3"/>
          <w:sz w:val="15"/>
          <w:szCs w:val="15"/>
        </w:rPr>
        <w:t>j</w:t>
      </w:r>
      <w:r>
        <w:rPr>
          <w:rFonts w:ascii="Times New Roman" w:hAnsi="Times New Roman" w:eastAsia="Times New Roman" w:cs="Times New Roman"/>
          <w:spacing w:val="8"/>
          <w:position w:val="4"/>
          <w:sz w:val="23"/>
          <w:szCs w:val="23"/>
        </w:rPr>
        <w:t>≤7.0</w:t>
      </w:r>
    </w:p>
    <w:p w14:paraId="73AFEE7D">
      <w:pPr>
        <w:spacing w:before="151" w:line="231" w:lineRule="auto"/>
        <w:ind w:left="724"/>
        <w:rPr>
          <w:rFonts w:ascii="宋体" w:hAnsi="宋体" w:eastAsia="宋体" w:cs="宋体"/>
          <w:sz w:val="23"/>
          <w:szCs w:val="23"/>
        </w:rPr>
      </w:pPr>
      <w:r>
        <w:rPr>
          <w:rFonts w:ascii="宋体" w:hAnsi="宋体" w:eastAsia="宋体" w:cs="宋体"/>
          <w:spacing w:val="9"/>
          <w:sz w:val="23"/>
          <w:szCs w:val="23"/>
        </w:rPr>
        <w:t>式中：</w:t>
      </w:r>
      <w:r>
        <w:rPr>
          <w:rFonts w:ascii="Times New Roman" w:hAnsi="Times New Roman" w:eastAsia="Times New Roman" w:cs="Times New Roman"/>
          <w:sz w:val="23"/>
          <w:szCs w:val="23"/>
        </w:rPr>
        <w:t>P</w:t>
      </w:r>
      <w:r>
        <w:rPr>
          <w:rFonts w:ascii="Times New Roman" w:hAnsi="Times New Roman" w:eastAsia="Times New Roman" w:cs="Times New Roman"/>
          <w:position w:val="-1"/>
          <w:sz w:val="15"/>
          <w:szCs w:val="15"/>
        </w:rPr>
        <w:t>i</w:t>
      </w:r>
      <w:r>
        <w:rPr>
          <w:rFonts w:ascii="Times New Roman" w:hAnsi="Times New Roman" w:eastAsia="Times New Roman" w:cs="Times New Roman"/>
          <w:spacing w:val="9"/>
          <w:sz w:val="23"/>
          <w:szCs w:val="23"/>
        </w:rPr>
        <w:t>——</w:t>
      </w:r>
      <w:r>
        <w:rPr>
          <w:rFonts w:ascii="Times New Roman" w:hAnsi="Times New Roman" w:eastAsia="Times New Roman" w:cs="Times New Roman"/>
          <w:sz w:val="23"/>
          <w:szCs w:val="23"/>
        </w:rPr>
        <w:t>pH</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的标准指数</w:t>
      </w:r>
      <w:r>
        <w:rPr>
          <w:rFonts w:ascii="宋体" w:hAnsi="宋体" w:eastAsia="宋体" w:cs="宋体"/>
          <w:spacing w:val="6"/>
          <w:sz w:val="23"/>
          <w:szCs w:val="23"/>
        </w:rPr>
        <w:t>；</w:t>
      </w:r>
    </w:p>
    <w:p w14:paraId="3F5D1524">
      <w:pPr>
        <w:spacing w:before="179" w:line="466" w:lineRule="exact"/>
        <w:ind w:left="1430"/>
        <w:rPr>
          <w:rFonts w:ascii="宋体" w:hAnsi="宋体" w:eastAsia="宋体" w:cs="宋体"/>
          <w:sz w:val="23"/>
          <w:szCs w:val="23"/>
        </w:rPr>
      </w:pPr>
      <w:r>
        <w:rPr>
          <w:rFonts w:ascii="Times New Roman" w:hAnsi="Times New Roman" w:eastAsia="Times New Roman" w:cs="Times New Roman"/>
          <w:position w:val="17"/>
          <w:sz w:val="23"/>
          <w:szCs w:val="23"/>
        </w:rPr>
        <w:t>pH</w:t>
      </w:r>
      <w:r>
        <w:rPr>
          <w:rFonts w:ascii="Times New Roman" w:hAnsi="Times New Roman" w:eastAsia="Times New Roman" w:cs="Times New Roman"/>
          <w:position w:val="16"/>
          <w:sz w:val="15"/>
          <w:szCs w:val="15"/>
        </w:rPr>
        <w:t>j</w:t>
      </w:r>
      <w:r>
        <w:rPr>
          <w:rFonts w:ascii="Times New Roman" w:hAnsi="Times New Roman" w:eastAsia="Times New Roman" w:cs="Times New Roman"/>
          <w:spacing w:val="20"/>
          <w:position w:val="17"/>
          <w:sz w:val="23"/>
          <w:szCs w:val="23"/>
        </w:rPr>
        <w:t>—</w:t>
      </w:r>
      <w:r>
        <w:rPr>
          <w:rFonts w:ascii="Times New Roman" w:hAnsi="Times New Roman" w:eastAsia="Times New Roman" w:cs="Times New Roman"/>
          <w:spacing w:val="16"/>
          <w:position w:val="17"/>
          <w:sz w:val="23"/>
          <w:szCs w:val="23"/>
        </w:rPr>
        <w:t>—</w:t>
      </w:r>
      <w:r>
        <w:rPr>
          <w:rFonts w:ascii="Times New Roman" w:hAnsi="Times New Roman" w:eastAsia="Times New Roman" w:cs="Times New Roman"/>
          <w:position w:val="17"/>
          <w:sz w:val="23"/>
          <w:szCs w:val="23"/>
        </w:rPr>
        <w:t>pH</w:t>
      </w:r>
      <w:r>
        <w:rPr>
          <w:rFonts w:ascii="Times New Roman" w:hAnsi="Times New Roman" w:eastAsia="Times New Roman" w:cs="Times New Roman"/>
          <w:spacing w:val="16"/>
          <w:position w:val="17"/>
          <w:sz w:val="23"/>
          <w:szCs w:val="23"/>
        </w:rPr>
        <w:t xml:space="preserve"> </w:t>
      </w:r>
      <w:r>
        <w:rPr>
          <w:rFonts w:ascii="宋体" w:hAnsi="宋体" w:eastAsia="宋体" w:cs="宋体"/>
          <w:spacing w:val="16"/>
          <w:position w:val="17"/>
          <w:sz w:val="23"/>
          <w:szCs w:val="23"/>
        </w:rPr>
        <w:t>实测值；</w:t>
      </w:r>
    </w:p>
    <w:p w14:paraId="7100D6EC">
      <w:pPr>
        <w:spacing w:line="231" w:lineRule="auto"/>
        <w:ind w:left="1430"/>
        <w:rPr>
          <w:rFonts w:ascii="宋体" w:hAnsi="宋体" w:eastAsia="宋体" w:cs="宋体"/>
          <w:sz w:val="23"/>
          <w:szCs w:val="23"/>
        </w:rPr>
      </w:pPr>
      <w:r>
        <w:rPr>
          <w:rFonts w:ascii="Times New Roman" w:hAnsi="Times New Roman" w:eastAsia="Times New Roman" w:cs="Times New Roman"/>
          <w:sz w:val="23"/>
          <w:szCs w:val="23"/>
        </w:rPr>
        <w:t>pH</w:t>
      </w:r>
      <w:r>
        <w:rPr>
          <w:rFonts w:ascii="Times New Roman" w:hAnsi="Times New Roman" w:eastAsia="Times New Roman" w:cs="Times New Roman"/>
          <w:position w:val="-1"/>
          <w:sz w:val="15"/>
          <w:szCs w:val="15"/>
        </w:rPr>
        <w:t>sd</w:t>
      </w:r>
      <w:r>
        <w:rPr>
          <w:rFonts w:ascii="Times New Roman" w:hAnsi="Times New Roman" w:eastAsia="Times New Roman" w:cs="Times New Roman"/>
          <w:spacing w:val="11"/>
          <w:sz w:val="23"/>
          <w:szCs w:val="23"/>
        </w:rPr>
        <w:t>——</w:t>
      </w:r>
      <w:r>
        <w:rPr>
          <w:rFonts w:ascii="Times New Roman" w:hAnsi="Times New Roman" w:eastAsia="Times New Roman" w:cs="Times New Roman"/>
          <w:sz w:val="23"/>
          <w:szCs w:val="23"/>
        </w:rPr>
        <w:t>pH</w:t>
      </w:r>
      <w:r>
        <w:rPr>
          <w:rFonts w:ascii="Times New Roman" w:hAnsi="Times New Roman" w:eastAsia="Times New Roman" w:cs="Times New Roman"/>
          <w:spacing w:val="11"/>
          <w:sz w:val="23"/>
          <w:szCs w:val="23"/>
        </w:rPr>
        <w:t xml:space="preserve"> </w:t>
      </w:r>
      <w:r>
        <w:rPr>
          <w:rFonts w:ascii="宋体" w:hAnsi="宋体" w:eastAsia="宋体" w:cs="宋体"/>
          <w:spacing w:val="11"/>
          <w:sz w:val="23"/>
          <w:szCs w:val="23"/>
        </w:rPr>
        <w:t>值标准下限；</w:t>
      </w:r>
    </w:p>
    <w:p w14:paraId="48421B90">
      <w:pPr>
        <w:spacing w:before="180" w:line="221" w:lineRule="auto"/>
        <w:ind w:left="1430"/>
        <w:rPr>
          <w:rFonts w:ascii="宋体" w:hAnsi="宋体" w:eastAsia="宋体" w:cs="宋体"/>
          <w:sz w:val="23"/>
          <w:szCs w:val="23"/>
        </w:rPr>
      </w:pPr>
      <w:r>
        <w:rPr>
          <w:rFonts w:ascii="Times New Roman" w:hAnsi="Times New Roman" w:eastAsia="Times New Roman" w:cs="Times New Roman"/>
          <w:sz w:val="23"/>
          <w:szCs w:val="23"/>
        </w:rPr>
        <w:t>pH</w:t>
      </w:r>
      <w:r>
        <w:rPr>
          <w:rFonts w:ascii="Times New Roman" w:hAnsi="Times New Roman" w:eastAsia="Times New Roman" w:cs="Times New Roman"/>
          <w:position w:val="-1"/>
          <w:sz w:val="15"/>
          <w:szCs w:val="15"/>
        </w:rPr>
        <w:t>su</w:t>
      </w:r>
      <w:r>
        <w:rPr>
          <w:rFonts w:ascii="Times New Roman" w:hAnsi="Times New Roman" w:eastAsia="Times New Roman" w:cs="Times New Roman"/>
          <w:spacing w:val="11"/>
          <w:sz w:val="23"/>
          <w:szCs w:val="23"/>
        </w:rPr>
        <w:t>——</w:t>
      </w:r>
      <w:r>
        <w:rPr>
          <w:rFonts w:ascii="Times New Roman" w:hAnsi="Times New Roman" w:eastAsia="Times New Roman" w:cs="Times New Roman"/>
          <w:sz w:val="23"/>
          <w:szCs w:val="23"/>
        </w:rPr>
        <w:t>pH</w:t>
      </w:r>
      <w:r>
        <w:rPr>
          <w:rFonts w:ascii="Times New Roman" w:hAnsi="Times New Roman" w:eastAsia="Times New Roman" w:cs="Times New Roman"/>
          <w:spacing w:val="11"/>
          <w:sz w:val="23"/>
          <w:szCs w:val="23"/>
        </w:rPr>
        <w:t xml:space="preserve"> </w:t>
      </w:r>
      <w:r>
        <w:rPr>
          <w:rFonts w:ascii="宋体" w:hAnsi="宋体" w:eastAsia="宋体" w:cs="宋体"/>
          <w:spacing w:val="11"/>
          <w:sz w:val="23"/>
          <w:szCs w:val="23"/>
        </w:rPr>
        <w:t>值标准上限。</w:t>
      </w:r>
    </w:p>
    <w:p w14:paraId="2B2838A8">
      <w:pPr>
        <w:spacing w:before="147" w:line="323" w:lineRule="exact"/>
        <w:ind w:left="723"/>
        <w:rPr>
          <w:rFonts w:ascii="宋体" w:hAnsi="宋体" w:eastAsia="宋体" w:cs="宋体"/>
          <w:sz w:val="23"/>
          <w:szCs w:val="23"/>
        </w:rPr>
      </w:pPr>
      <w:r>
        <w:rPr>
          <w:rFonts w:ascii="宋体" w:hAnsi="宋体" w:eastAsia="宋体" w:cs="宋体"/>
          <w:spacing w:val="8"/>
          <w:position w:val="1"/>
          <w:sz w:val="23"/>
          <w:szCs w:val="23"/>
        </w:rPr>
        <w:t>水质评价因子的标准指数</w:t>
      </w:r>
      <w:r>
        <w:rPr>
          <w:rFonts w:ascii="Times New Roman" w:hAnsi="Times New Roman" w:eastAsia="Times New Roman" w:cs="Times New Roman"/>
          <w:spacing w:val="8"/>
          <w:position w:val="1"/>
          <w:sz w:val="23"/>
          <w:szCs w:val="23"/>
        </w:rPr>
        <w:t xml:space="preserve">&gt;1 </w:t>
      </w:r>
      <w:r>
        <w:rPr>
          <w:rFonts w:ascii="宋体" w:hAnsi="宋体" w:eastAsia="宋体" w:cs="宋体"/>
          <w:spacing w:val="8"/>
          <w:position w:val="1"/>
          <w:sz w:val="23"/>
          <w:szCs w:val="23"/>
        </w:rPr>
        <w:t>，表明该评价因子的水质超过了规定的水质标准</w:t>
      </w:r>
      <w:r>
        <w:rPr>
          <w:rFonts w:ascii="宋体" w:hAnsi="宋体" w:eastAsia="宋体" w:cs="宋体"/>
          <w:spacing w:val="1"/>
          <w:position w:val="1"/>
          <w:sz w:val="23"/>
          <w:szCs w:val="23"/>
        </w:rPr>
        <w:t>限</w:t>
      </w:r>
    </w:p>
    <w:p w14:paraId="41125A9A">
      <w:pPr>
        <w:spacing w:before="189" w:line="227" w:lineRule="auto"/>
        <w:ind w:left="240"/>
        <w:rPr>
          <w:rFonts w:ascii="宋体" w:hAnsi="宋体" w:eastAsia="宋体" w:cs="宋体"/>
          <w:sz w:val="23"/>
          <w:szCs w:val="23"/>
        </w:rPr>
      </w:pPr>
      <w:r>
        <w:rPr>
          <w:rFonts w:ascii="宋体" w:hAnsi="宋体" w:eastAsia="宋体" w:cs="宋体"/>
          <w:spacing w:val="16"/>
          <w:sz w:val="23"/>
          <w:szCs w:val="23"/>
        </w:rPr>
        <w:t>值</w:t>
      </w:r>
      <w:r>
        <w:rPr>
          <w:rFonts w:ascii="宋体" w:hAnsi="宋体" w:eastAsia="宋体" w:cs="宋体"/>
          <w:spacing w:val="9"/>
          <w:sz w:val="23"/>
          <w:szCs w:val="23"/>
        </w:rPr>
        <w:t>，水质参数的标准指数越大，说明该水质参数超标越严重。</w:t>
      </w:r>
    </w:p>
    <w:p w14:paraId="782A8A0D">
      <w:pPr>
        <w:spacing w:before="184" w:line="226" w:lineRule="auto"/>
        <w:ind w:left="731"/>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5"/>
          <w:sz w:val="23"/>
          <w:szCs w:val="23"/>
        </w:rPr>
        <w:t>8</w:t>
      </w:r>
      <w:r>
        <w:rPr>
          <w:rFonts w:ascii="宋体" w:hAnsi="宋体" w:eastAsia="宋体" w:cs="宋体"/>
          <w:spacing w:val="15"/>
          <w:sz w:val="23"/>
          <w:szCs w:val="23"/>
        </w:rPr>
        <w:t>) 现状监测结果及评价分析</w:t>
      </w:r>
    </w:p>
    <w:p w14:paraId="12FF1933">
      <w:pPr>
        <w:spacing w:before="185" w:line="226" w:lineRule="auto"/>
        <w:ind w:left="720"/>
        <w:rPr>
          <w:rFonts w:ascii="宋体" w:hAnsi="宋体" w:eastAsia="宋体" w:cs="宋体"/>
          <w:sz w:val="23"/>
          <w:szCs w:val="23"/>
        </w:rPr>
      </w:pPr>
      <w:r>
        <w:rPr>
          <w:rFonts w:ascii="宋体" w:hAnsi="宋体" w:eastAsia="宋体" w:cs="宋体"/>
          <w:spacing w:val="4"/>
          <w:sz w:val="23"/>
          <w:szCs w:val="23"/>
        </w:rPr>
        <w:t xml:space="preserve">地下水水质现状监测统计结果与评价分析结果见表 </w:t>
      </w:r>
      <w:r>
        <w:rPr>
          <w:rFonts w:ascii="Times New Roman" w:hAnsi="Times New Roman" w:eastAsia="Times New Roman" w:cs="Times New Roman"/>
          <w:spacing w:val="4"/>
          <w:sz w:val="23"/>
          <w:szCs w:val="23"/>
        </w:rPr>
        <w:t>4.2- 10</w:t>
      </w:r>
      <w:r>
        <w:rPr>
          <w:rFonts w:ascii="宋体" w:hAnsi="宋体" w:eastAsia="宋体" w:cs="宋体"/>
          <w:spacing w:val="3"/>
          <w:sz w:val="23"/>
          <w:szCs w:val="23"/>
        </w:rPr>
        <w:t>。</w:t>
      </w:r>
    </w:p>
    <w:p w14:paraId="5F767265">
      <w:pPr>
        <w:spacing w:before="140" w:line="322" w:lineRule="exact"/>
        <w:ind w:left="920"/>
        <w:rPr>
          <w:rFonts w:ascii="黑体" w:hAnsi="黑体" w:eastAsia="黑体" w:cs="黑体"/>
          <w:sz w:val="23"/>
          <w:szCs w:val="23"/>
        </w:rPr>
      </w:pPr>
      <w:r>
        <w:rPr>
          <w:rFonts w:ascii="黑体" w:hAnsi="黑体" w:eastAsia="黑体" w:cs="黑体"/>
          <w:spacing w:val="4"/>
          <w:position w:val="3"/>
          <w:sz w:val="23"/>
          <w:szCs w:val="23"/>
        </w:rPr>
        <w:t>表</w:t>
      </w:r>
      <w:r>
        <w:rPr>
          <w:rFonts w:ascii="黑体" w:hAnsi="黑体" w:eastAsia="黑体" w:cs="黑体"/>
          <w:spacing w:val="3"/>
          <w:position w:val="3"/>
          <w:sz w:val="23"/>
          <w:szCs w:val="23"/>
        </w:rPr>
        <w:t xml:space="preserve"> </w:t>
      </w:r>
      <w:r>
        <w:rPr>
          <w:rFonts w:ascii="Times New Roman" w:hAnsi="Times New Roman" w:eastAsia="Times New Roman" w:cs="Times New Roman"/>
          <w:spacing w:val="3"/>
          <w:position w:val="3"/>
          <w:sz w:val="23"/>
          <w:szCs w:val="23"/>
        </w:rPr>
        <w:t xml:space="preserve">4.2- 10    </w:t>
      </w:r>
      <w:r>
        <w:rPr>
          <w:rFonts w:ascii="黑体" w:hAnsi="黑体" w:eastAsia="黑体" w:cs="黑体"/>
          <w:spacing w:val="3"/>
          <w:position w:val="3"/>
          <w:sz w:val="23"/>
          <w:szCs w:val="23"/>
        </w:rPr>
        <w:t>地下水监测点水质评价结果一览表  单位：</w:t>
      </w:r>
      <w:r>
        <w:rPr>
          <w:rFonts w:ascii="Times New Roman" w:hAnsi="Times New Roman" w:eastAsia="Times New Roman" w:cs="Times New Roman"/>
          <w:position w:val="3"/>
          <w:sz w:val="23"/>
          <w:szCs w:val="23"/>
        </w:rPr>
        <w:t>mg</w:t>
      </w:r>
      <w:r>
        <w:rPr>
          <w:rFonts w:ascii="Times New Roman" w:hAnsi="Times New Roman" w:eastAsia="Times New Roman" w:cs="Times New Roman"/>
          <w:spacing w:val="3"/>
          <w:position w:val="3"/>
          <w:sz w:val="23"/>
          <w:szCs w:val="23"/>
        </w:rPr>
        <w:t>/</w:t>
      </w:r>
      <w:r>
        <w:rPr>
          <w:rFonts w:ascii="Times New Roman" w:hAnsi="Times New Roman" w:eastAsia="Times New Roman" w:cs="Times New Roman"/>
          <w:position w:val="3"/>
          <w:sz w:val="23"/>
          <w:szCs w:val="23"/>
        </w:rPr>
        <w:t>L</w:t>
      </w:r>
      <w:r>
        <w:rPr>
          <w:rFonts w:ascii="Times New Roman" w:hAnsi="Times New Roman" w:eastAsia="Times New Roman" w:cs="Times New Roman"/>
          <w:spacing w:val="3"/>
          <w:position w:val="3"/>
          <w:sz w:val="23"/>
          <w:szCs w:val="23"/>
        </w:rPr>
        <w:t xml:space="preserve"> </w:t>
      </w:r>
      <w:r>
        <w:rPr>
          <w:rFonts w:ascii="黑体" w:hAnsi="黑体" w:eastAsia="黑体" w:cs="黑体"/>
          <w:spacing w:val="3"/>
          <w:position w:val="3"/>
          <w:sz w:val="23"/>
          <w:szCs w:val="23"/>
        </w:rPr>
        <w:t>，</w:t>
      </w:r>
      <w:r>
        <w:rPr>
          <w:rFonts w:ascii="Times New Roman" w:hAnsi="Times New Roman" w:eastAsia="Times New Roman" w:cs="Times New Roman"/>
          <w:position w:val="3"/>
          <w:sz w:val="23"/>
          <w:szCs w:val="23"/>
        </w:rPr>
        <w:t>pH</w:t>
      </w:r>
      <w:r>
        <w:rPr>
          <w:rFonts w:ascii="Times New Roman" w:hAnsi="Times New Roman" w:eastAsia="Times New Roman" w:cs="Times New Roman"/>
          <w:spacing w:val="3"/>
          <w:position w:val="3"/>
          <w:sz w:val="23"/>
          <w:szCs w:val="23"/>
        </w:rPr>
        <w:t xml:space="preserve"> </w:t>
      </w:r>
      <w:r>
        <w:rPr>
          <w:rFonts w:ascii="黑体" w:hAnsi="黑体" w:eastAsia="黑体" w:cs="黑体"/>
          <w:spacing w:val="3"/>
          <w:position w:val="3"/>
          <w:sz w:val="23"/>
          <w:szCs w:val="23"/>
        </w:rPr>
        <w:t>除外</w:t>
      </w:r>
    </w:p>
    <w:tbl>
      <w:tblPr>
        <w:tblStyle w:val="4"/>
        <w:tblW w:w="8882" w:type="dxa"/>
        <w:tblInd w:w="1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2844"/>
        <w:gridCol w:w="1574"/>
        <w:gridCol w:w="1768"/>
        <w:gridCol w:w="1412"/>
      </w:tblGrid>
      <w:tr w14:paraId="41F7C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 w:hRule="atLeast"/>
        </w:trPr>
        <w:tc>
          <w:tcPr>
            <w:tcW w:w="1284" w:type="dxa"/>
            <w:vMerge w:val="restart"/>
            <w:tcBorders>
              <w:left w:val="nil"/>
              <w:bottom w:val="nil"/>
            </w:tcBorders>
          </w:tcPr>
          <w:p w14:paraId="5E0F87B9">
            <w:pPr>
              <w:spacing w:before="55" w:line="271" w:lineRule="exact"/>
              <w:ind w:left="441"/>
              <w:rPr>
                <w:rFonts w:ascii="宋体" w:hAnsi="宋体" w:eastAsia="宋体" w:cs="宋体"/>
                <w:sz w:val="20"/>
                <w:szCs w:val="20"/>
              </w:rPr>
            </w:pPr>
            <w:r>
              <w:rPr>
                <w:rFonts w:ascii="宋体" w:hAnsi="宋体" w:eastAsia="宋体" w:cs="宋体"/>
                <w:spacing w:val="6"/>
                <w:position w:val="4"/>
                <w:sz w:val="20"/>
                <w:szCs w:val="20"/>
                <w14:textOutline w14:w="3797" w14:cap="sq" w14:cmpd="sng" w14:algn="ctr">
                  <w14:solidFill>
                    <w14:srgbClr w14:val="000000"/>
                  </w14:solidFill>
                  <w14:prstDash w14:val="solid"/>
                  <w14:bevel/>
                </w14:textOutline>
              </w:rPr>
              <w:t>监</w:t>
            </w:r>
            <w:r>
              <w:rPr>
                <w:rFonts w:ascii="宋体" w:hAnsi="宋体" w:eastAsia="宋体" w:cs="宋体"/>
                <w:spacing w:val="5"/>
                <w:position w:val="4"/>
                <w:sz w:val="20"/>
                <w:szCs w:val="20"/>
                <w14:textOutline w14:w="3797" w14:cap="sq" w14:cmpd="sng" w14:algn="ctr">
                  <w14:solidFill>
                    <w14:srgbClr w14:val="000000"/>
                  </w14:solidFill>
                  <w14:prstDash w14:val="solid"/>
                  <w14:bevel/>
                </w14:textOutline>
              </w:rPr>
              <w:t>测</w:t>
            </w:r>
          </w:p>
          <w:p w14:paraId="14D6A7CA">
            <w:pPr>
              <w:spacing w:line="226" w:lineRule="auto"/>
              <w:ind w:left="451"/>
              <w:rPr>
                <w:rFonts w:ascii="宋体" w:hAnsi="宋体" w:eastAsia="宋体" w:cs="宋体"/>
                <w:sz w:val="20"/>
                <w:szCs w:val="20"/>
              </w:rPr>
            </w:pPr>
            <w:r>
              <w:rPr>
                <w:rFonts w:ascii="宋体" w:hAnsi="宋体" w:eastAsia="宋体" w:cs="宋体"/>
                <w:spacing w:val="1"/>
                <w:sz w:val="20"/>
                <w:szCs w:val="20"/>
                <w14:textOutline w14:w="3797" w14:cap="sq" w14:cmpd="sng" w14:algn="ctr">
                  <w14:solidFill>
                    <w14:srgbClr w14:val="000000"/>
                  </w14:solidFill>
                  <w14:prstDash w14:val="solid"/>
                  <w14:bevel/>
                </w14:textOutline>
              </w:rPr>
              <w:t>点</w:t>
            </w:r>
            <w:r>
              <w:rPr>
                <w:rFonts w:ascii="宋体" w:hAnsi="宋体" w:eastAsia="宋体" w:cs="宋体"/>
                <w:sz w:val="20"/>
                <w:szCs w:val="20"/>
                <w14:textOutline w14:w="3797" w14:cap="sq" w14:cmpd="sng" w14:algn="ctr">
                  <w14:solidFill>
                    <w14:srgbClr w14:val="000000"/>
                  </w14:solidFill>
                  <w14:prstDash w14:val="solid"/>
                  <w14:bevel/>
                </w14:textOutline>
              </w:rPr>
              <w:t>位</w:t>
            </w:r>
          </w:p>
        </w:tc>
        <w:tc>
          <w:tcPr>
            <w:tcW w:w="2844" w:type="dxa"/>
            <w:vMerge w:val="restart"/>
            <w:tcBorders>
              <w:bottom w:val="nil"/>
            </w:tcBorders>
          </w:tcPr>
          <w:p w14:paraId="09EFB339">
            <w:pPr>
              <w:spacing w:before="55" w:line="271" w:lineRule="exact"/>
              <w:ind w:left="1219"/>
              <w:rPr>
                <w:rFonts w:ascii="宋体" w:hAnsi="宋体" w:eastAsia="宋体" w:cs="宋体"/>
                <w:sz w:val="20"/>
                <w:szCs w:val="20"/>
              </w:rPr>
            </w:pPr>
            <w:r>
              <w:rPr>
                <w:rFonts w:ascii="宋体" w:hAnsi="宋体" w:eastAsia="宋体" w:cs="宋体"/>
                <w:spacing w:val="6"/>
                <w:position w:val="4"/>
                <w:sz w:val="20"/>
                <w:szCs w:val="20"/>
                <w14:textOutline w14:w="3797" w14:cap="sq" w14:cmpd="sng" w14:algn="ctr">
                  <w14:solidFill>
                    <w14:srgbClr w14:val="000000"/>
                  </w14:solidFill>
                  <w14:prstDash w14:val="solid"/>
                  <w14:bevel/>
                </w14:textOutline>
              </w:rPr>
              <w:t>监</w:t>
            </w:r>
            <w:r>
              <w:rPr>
                <w:rFonts w:ascii="宋体" w:hAnsi="宋体" w:eastAsia="宋体" w:cs="宋体"/>
                <w:spacing w:val="5"/>
                <w:position w:val="4"/>
                <w:sz w:val="20"/>
                <w:szCs w:val="20"/>
                <w14:textOutline w14:w="3797" w14:cap="sq" w14:cmpd="sng" w14:algn="ctr">
                  <w14:solidFill>
                    <w14:srgbClr w14:val="000000"/>
                  </w14:solidFill>
                  <w14:prstDash w14:val="solid"/>
                  <w14:bevel/>
                </w14:textOutline>
              </w:rPr>
              <w:t>测</w:t>
            </w:r>
          </w:p>
          <w:p w14:paraId="4BBB4615">
            <w:pPr>
              <w:spacing w:line="226" w:lineRule="auto"/>
              <w:ind w:left="1221"/>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项目</w:t>
            </w:r>
          </w:p>
        </w:tc>
        <w:tc>
          <w:tcPr>
            <w:tcW w:w="1574" w:type="dxa"/>
            <w:vMerge w:val="restart"/>
            <w:tcBorders>
              <w:bottom w:val="nil"/>
            </w:tcBorders>
          </w:tcPr>
          <w:p w14:paraId="6A7C6C31">
            <w:pPr>
              <w:spacing w:before="189" w:line="228" w:lineRule="auto"/>
              <w:ind w:left="477"/>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标</w:t>
            </w:r>
            <w:r>
              <w:rPr>
                <w:rFonts w:ascii="宋体" w:hAnsi="宋体" w:eastAsia="宋体" w:cs="宋体"/>
                <w:spacing w:val="7"/>
                <w:sz w:val="20"/>
                <w:szCs w:val="20"/>
                <w14:textOutline w14:w="3797" w14:cap="sq" w14:cmpd="sng" w14:algn="ctr">
                  <w14:solidFill>
                    <w14:srgbClr w14:val="000000"/>
                  </w14:solidFill>
                  <w14:prstDash w14:val="solid"/>
                  <w14:bevel/>
                </w14:textOutline>
              </w:rPr>
              <w:t>准值</w:t>
            </w:r>
          </w:p>
        </w:tc>
        <w:tc>
          <w:tcPr>
            <w:tcW w:w="1768" w:type="dxa"/>
            <w:tcBorders>
              <w:right w:val="nil"/>
            </w:tcBorders>
          </w:tcPr>
          <w:p w14:paraId="424F8877">
            <w:pPr>
              <w:spacing w:before="79" w:line="186" w:lineRule="auto"/>
              <w:ind w:right="20"/>
              <w:jc w:val="right"/>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2</w:t>
            </w:r>
            <w:r>
              <w:rPr>
                <w:rFonts w:ascii="Times New Roman" w:hAnsi="Times New Roman" w:eastAsia="Times New Roman" w:cs="Times New Roman"/>
                <w:b/>
                <w:bCs/>
                <w:spacing w:val="4"/>
                <w:sz w:val="20"/>
                <w:szCs w:val="20"/>
              </w:rPr>
              <w:t>0</w:t>
            </w:r>
            <w:r>
              <w:rPr>
                <w:rFonts w:ascii="Times New Roman" w:hAnsi="Times New Roman" w:eastAsia="Times New Roman" w:cs="Times New Roman"/>
                <w:b/>
                <w:bCs/>
                <w:spacing w:val="3"/>
                <w:sz w:val="20"/>
                <w:szCs w:val="20"/>
              </w:rPr>
              <w:t>18.8</w:t>
            </w:r>
          </w:p>
        </w:tc>
        <w:tc>
          <w:tcPr>
            <w:tcW w:w="1412" w:type="dxa"/>
            <w:tcBorders>
              <w:left w:val="nil"/>
              <w:right w:val="nil"/>
            </w:tcBorders>
          </w:tcPr>
          <w:p w14:paraId="00330FF5">
            <w:pPr>
              <w:spacing w:before="79" w:line="186" w:lineRule="auto"/>
              <w:ind w:left="38"/>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7</w:t>
            </w:r>
          </w:p>
        </w:tc>
      </w:tr>
      <w:tr w14:paraId="2B100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1284" w:type="dxa"/>
            <w:vMerge w:val="continue"/>
            <w:tcBorders>
              <w:top w:val="nil"/>
              <w:left w:val="nil"/>
            </w:tcBorders>
          </w:tcPr>
          <w:p w14:paraId="5A46A865"/>
        </w:tc>
        <w:tc>
          <w:tcPr>
            <w:tcW w:w="2844" w:type="dxa"/>
            <w:vMerge w:val="continue"/>
            <w:tcBorders>
              <w:top w:val="nil"/>
            </w:tcBorders>
          </w:tcPr>
          <w:p w14:paraId="63B70A13"/>
        </w:tc>
        <w:tc>
          <w:tcPr>
            <w:tcW w:w="1574" w:type="dxa"/>
            <w:vMerge w:val="continue"/>
            <w:tcBorders>
              <w:top w:val="nil"/>
            </w:tcBorders>
          </w:tcPr>
          <w:p w14:paraId="000A5D83"/>
        </w:tc>
        <w:tc>
          <w:tcPr>
            <w:tcW w:w="1768" w:type="dxa"/>
          </w:tcPr>
          <w:p w14:paraId="28B21F91">
            <w:pPr>
              <w:spacing w:before="55" w:line="228" w:lineRule="auto"/>
              <w:ind w:left="574"/>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监</w:t>
            </w:r>
            <w:r>
              <w:rPr>
                <w:rFonts w:ascii="宋体" w:hAnsi="宋体" w:eastAsia="宋体" w:cs="宋体"/>
                <w:spacing w:val="7"/>
                <w:sz w:val="20"/>
                <w:szCs w:val="20"/>
                <w14:textOutline w14:w="3797" w14:cap="sq" w14:cmpd="sng" w14:algn="ctr">
                  <w14:solidFill>
                    <w14:srgbClr w14:val="000000"/>
                  </w14:solidFill>
                  <w14:prstDash w14:val="solid"/>
                  <w14:bevel/>
                </w14:textOutline>
              </w:rPr>
              <w:t>测值</w:t>
            </w:r>
          </w:p>
        </w:tc>
        <w:tc>
          <w:tcPr>
            <w:tcW w:w="1412" w:type="dxa"/>
            <w:tcBorders>
              <w:right w:val="nil"/>
            </w:tcBorders>
          </w:tcPr>
          <w:p w14:paraId="5471C143">
            <w:pPr>
              <w:spacing w:before="15" w:line="289" w:lineRule="exact"/>
              <w:ind w:left="567"/>
              <w:rPr>
                <w:rFonts w:ascii="Times New Roman" w:hAnsi="Times New Roman" w:eastAsia="Times New Roman" w:cs="Times New Roman"/>
                <w:sz w:val="20"/>
                <w:szCs w:val="20"/>
              </w:rPr>
            </w:pPr>
            <w:r>
              <w:rPr>
                <w:rFonts w:ascii="Times New Roman" w:hAnsi="Times New Roman" w:eastAsia="Times New Roman" w:cs="Times New Roman"/>
                <w:b/>
                <w:bCs/>
                <w:position w:val="4"/>
                <w:sz w:val="20"/>
                <w:szCs w:val="20"/>
              </w:rPr>
              <w:t>Si,j</w:t>
            </w:r>
          </w:p>
        </w:tc>
      </w:tr>
      <w:tr w14:paraId="3A599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5" w:hRule="atLeast"/>
        </w:trPr>
        <w:tc>
          <w:tcPr>
            <w:tcW w:w="1284" w:type="dxa"/>
            <w:vMerge w:val="restart"/>
            <w:tcBorders>
              <w:left w:val="nil"/>
              <w:bottom w:val="nil"/>
            </w:tcBorders>
          </w:tcPr>
          <w:p w14:paraId="21298674">
            <w:pPr>
              <w:spacing w:before="116" w:line="195" w:lineRule="auto"/>
              <w:ind w:left="552"/>
              <w:rPr>
                <w:rFonts w:ascii="Times New Roman" w:hAnsi="Times New Roman" w:eastAsia="Times New Roman" w:cs="Times New Roman"/>
                <w:sz w:val="20"/>
                <w:szCs w:val="20"/>
              </w:rPr>
            </w:pPr>
            <w:r>
              <w:rPr>
                <w:rFonts w:ascii="Times New Roman" w:hAnsi="Times New Roman" w:eastAsia="Times New Roman" w:cs="Times New Roman"/>
                <w:sz w:val="20"/>
                <w:szCs w:val="20"/>
              </w:rPr>
              <w:t>J</w:t>
            </w:r>
            <w:r>
              <w:rPr>
                <w:rFonts w:ascii="Times New Roman" w:hAnsi="Times New Roman" w:eastAsia="Times New Roman" w:cs="Times New Roman"/>
                <w:spacing w:val="3"/>
                <w:sz w:val="20"/>
                <w:szCs w:val="20"/>
              </w:rPr>
              <w:t>1</w:t>
            </w:r>
          </w:p>
        </w:tc>
        <w:tc>
          <w:tcPr>
            <w:tcW w:w="2844" w:type="dxa"/>
          </w:tcPr>
          <w:p w14:paraId="5117CD0E">
            <w:pPr>
              <w:spacing w:before="32" w:line="221" w:lineRule="auto"/>
              <w:ind w:left="765"/>
              <w:rPr>
                <w:rFonts w:ascii="宋体" w:hAnsi="宋体" w:eastAsia="宋体" w:cs="宋体"/>
                <w:sz w:val="20"/>
                <w:szCs w:val="20"/>
              </w:rPr>
            </w:pPr>
            <w:r>
              <w:rPr>
                <w:rFonts w:ascii="Times New Roman" w:hAnsi="Times New Roman" w:eastAsia="Times New Roman" w:cs="Times New Roman"/>
                <w:sz w:val="20"/>
                <w:szCs w:val="20"/>
              </w:rPr>
              <w:t>pH</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(无量纲)</w:t>
            </w:r>
          </w:p>
        </w:tc>
        <w:tc>
          <w:tcPr>
            <w:tcW w:w="1574" w:type="dxa"/>
          </w:tcPr>
          <w:p w14:paraId="192285C7"/>
        </w:tc>
        <w:tc>
          <w:tcPr>
            <w:tcW w:w="1768" w:type="dxa"/>
          </w:tcPr>
          <w:p w14:paraId="5C72E827"/>
        </w:tc>
        <w:tc>
          <w:tcPr>
            <w:tcW w:w="1412" w:type="dxa"/>
            <w:tcBorders>
              <w:right w:val="nil"/>
            </w:tcBorders>
          </w:tcPr>
          <w:p w14:paraId="3F40F73C"/>
        </w:tc>
      </w:tr>
      <w:tr w14:paraId="11274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284" w:type="dxa"/>
            <w:vMerge w:val="continue"/>
            <w:tcBorders>
              <w:top w:val="nil"/>
              <w:left w:val="nil"/>
            </w:tcBorders>
          </w:tcPr>
          <w:p w14:paraId="19BD047E"/>
        </w:tc>
        <w:tc>
          <w:tcPr>
            <w:tcW w:w="2844" w:type="dxa"/>
          </w:tcPr>
          <w:p w14:paraId="03621624">
            <w:pPr>
              <w:spacing w:before="91" w:line="228" w:lineRule="auto"/>
              <w:ind w:left="1336"/>
              <w:rPr>
                <w:rFonts w:ascii="宋体" w:hAnsi="宋体" w:eastAsia="宋体" w:cs="宋体"/>
                <w:sz w:val="20"/>
                <w:szCs w:val="20"/>
              </w:rPr>
            </w:pPr>
            <w:r>
              <w:rPr>
                <w:rFonts w:ascii="宋体" w:hAnsi="宋体" w:eastAsia="宋体" w:cs="宋体"/>
                <w:sz w:val="20"/>
                <w:szCs w:val="20"/>
              </w:rPr>
              <w:t>钾</w:t>
            </w:r>
          </w:p>
        </w:tc>
        <w:tc>
          <w:tcPr>
            <w:tcW w:w="1574" w:type="dxa"/>
          </w:tcPr>
          <w:p w14:paraId="64F817AD"/>
        </w:tc>
        <w:tc>
          <w:tcPr>
            <w:tcW w:w="1768" w:type="dxa"/>
          </w:tcPr>
          <w:p w14:paraId="1CB13552"/>
        </w:tc>
        <w:tc>
          <w:tcPr>
            <w:tcW w:w="1412" w:type="dxa"/>
            <w:tcBorders>
              <w:right w:val="nil"/>
            </w:tcBorders>
          </w:tcPr>
          <w:p w14:paraId="55574CBA"/>
        </w:tc>
      </w:tr>
    </w:tbl>
    <w:p w14:paraId="2C1E792A">
      <w:pPr>
        <w:spacing w:line="207" w:lineRule="exact"/>
        <w:rPr>
          <w:sz w:val="17"/>
        </w:rPr>
      </w:pPr>
    </w:p>
    <w:p w14:paraId="281B0A10">
      <w:pPr>
        <w:sectPr>
          <w:footerReference r:id="rId163" w:type="default"/>
          <w:pgSz w:w="11907" w:h="16840"/>
          <w:pgMar w:top="400" w:right="1350" w:bottom="1485" w:left="1430" w:header="0" w:footer="1298" w:gutter="0"/>
          <w:cols w:space="720" w:num="1"/>
        </w:sectPr>
      </w:pPr>
    </w:p>
    <w:p w14:paraId="305DDE6E">
      <w:pPr>
        <w:spacing w:line="460" w:lineRule="auto"/>
      </w:pPr>
    </w:p>
    <w:p w14:paraId="1C2AFAE7">
      <w:pPr>
        <w:spacing w:before="56" w:line="229" w:lineRule="auto"/>
        <w:ind w:left="115"/>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37E83AB2">
      <w:pPr>
        <w:spacing w:line="14" w:lineRule="exact"/>
      </w:pPr>
    </w:p>
    <w:tbl>
      <w:tblPr>
        <w:tblStyle w:val="4"/>
        <w:tblW w:w="888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2844"/>
        <w:gridCol w:w="1574"/>
        <w:gridCol w:w="1767"/>
        <w:gridCol w:w="1413"/>
      </w:tblGrid>
      <w:tr w14:paraId="123567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1284" w:type="dxa"/>
            <w:vMerge w:val="restart"/>
            <w:tcBorders>
              <w:left w:val="nil"/>
              <w:bottom w:val="nil"/>
            </w:tcBorders>
          </w:tcPr>
          <w:p w14:paraId="6320A324"/>
        </w:tc>
        <w:tc>
          <w:tcPr>
            <w:tcW w:w="2844" w:type="dxa"/>
          </w:tcPr>
          <w:p w14:paraId="761F8C2B">
            <w:pPr>
              <w:spacing w:before="110" w:line="226" w:lineRule="auto"/>
              <w:ind w:left="1335"/>
              <w:rPr>
                <w:rFonts w:ascii="宋体" w:hAnsi="宋体" w:eastAsia="宋体" w:cs="宋体"/>
                <w:sz w:val="20"/>
                <w:szCs w:val="20"/>
              </w:rPr>
            </w:pPr>
            <w:r>
              <w:rPr>
                <w:rFonts w:ascii="宋体" w:hAnsi="宋体" w:eastAsia="宋体" w:cs="宋体"/>
                <w:spacing w:val="1"/>
                <w:sz w:val="20"/>
                <w:szCs w:val="20"/>
              </w:rPr>
              <w:t>钠</w:t>
            </w:r>
          </w:p>
        </w:tc>
        <w:tc>
          <w:tcPr>
            <w:tcW w:w="1574" w:type="dxa"/>
          </w:tcPr>
          <w:p w14:paraId="335143A2"/>
        </w:tc>
        <w:tc>
          <w:tcPr>
            <w:tcW w:w="1767" w:type="dxa"/>
          </w:tcPr>
          <w:p w14:paraId="4F9C7AFD"/>
        </w:tc>
        <w:tc>
          <w:tcPr>
            <w:tcW w:w="1413" w:type="dxa"/>
            <w:tcBorders>
              <w:right w:val="nil"/>
            </w:tcBorders>
          </w:tcPr>
          <w:p w14:paraId="41270D48"/>
        </w:tc>
      </w:tr>
      <w:tr w14:paraId="3FEFE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284" w:type="dxa"/>
            <w:vMerge w:val="continue"/>
            <w:tcBorders>
              <w:top w:val="nil"/>
              <w:left w:val="nil"/>
              <w:bottom w:val="nil"/>
            </w:tcBorders>
          </w:tcPr>
          <w:p w14:paraId="25BEA2FB"/>
        </w:tc>
        <w:tc>
          <w:tcPr>
            <w:tcW w:w="2844" w:type="dxa"/>
          </w:tcPr>
          <w:p w14:paraId="1D7F4171">
            <w:pPr>
              <w:spacing w:before="88" w:line="227" w:lineRule="auto"/>
              <w:ind w:left="1335"/>
              <w:rPr>
                <w:rFonts w:ascii="宋体" w:hAnsi="宋体" w:eastAsia="宋体" w:cs="宋体"/>
                <w:sz w:val="20"/>
                <w:szCs w:val="20"/>
              </w:rPr>
            </w:pPr>
            <w:r>
              <w:rPr>
                <w:rFonts w:ascii="宋体" w:hAnsi="宋体" w:eastAsia="宋体" w:cs="宋体"/>
                <w:spacing w:val="1"/>
                <w:sz w:val="20"/>
                <w:szCs w:val="20"/>
              </w:rPr>
              <w:t>钙</w:t>
            </w:r>
          </w:p>
        </w:tc>
        <w:tc>
          <w:tcPr>
            <w:tcW w:w="1574" w:type="dxa"/>
          </w:tcPr>
          <w:p w14:paraId="35FE3FC1"/>
        </w:tc>
        <w:tc>
          <w:tcPr>
            <w:tcW w:w="1767" w:type="dxa"/>
          </w:tcPr>
          <w:p w14:paraId="75E08F53"/>
        </w:tc>
        <w:tc>
          <w:tcPr>
            <w:tcW w:w="1413" w:type="dxa"/>
            <w:tcBorders>
              <w:right w:val="nil"/>
            </w:tcBorders>
          </w:tcPr>
          <w:p w14:paraId="42E7568B"/>
        </w:tc>
      </w:tr>
      <w:tr w14:paraId="5EE83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1284" w:type="dxa"/>
            <w:vMerge w:val="continue"/>
            <w:tcBorders>
              <w:top w:val="nil"/>
              <w:left w:val="nil"/>
              <w:bottom w:val="nil"/>
            </w:tcBorders>
          </w:tcPr>
          <w:p w14:paraId="70B80304"/>
        </w:tc>
        <w:tc>
          <w:tcPr>
            <w:tcW w:w="2844" w:type="dxa"/>
          </w:tcPr>
          <w:p w14:paraId="5E58B1B4">
            <w:pPr>
              <w:spacing w:before="88" w:line="225" w:lineRule="auto"/>
              <w:ind w:left="1335"/>
              <w:rPr>
                <w:rFonts w:ascii="宋体" w:hAnsi="宋体" w:eastAsia="宋体" w:cs="宋体"/>
                <w:sz w:val="20"/>
                <w:szCs w:val="20"/>
              </w:rPr>
            </w:pPr>
            <w:r>
              <w:rPr>
                <w:rFonts w:ascii="宋体" w:hAnsi="宋体" w:eastAsia="宋体" w:cs="宋体"/>
                <w:spacing w:val="1"/>
                <w:sz w:val="20"/>
                <w:szCs w:val="20"/>
              </w:rPr>
              <w:t>镁</w:t>
            </w:r>
          </w:p>
        </w:tc>
        <w:tc>
          <w:tcPr>
            <w:tcW w:w="1574" w:type="dxa"/>
          </w:tcPr>
          <w:p w14:paraId="0BA62CF9"/>
        </w:tc>
        <w:tc>
          <w:tcPr>
            <w:tcW w:w="1767" w:type="dxa"/>
          </w:tcPr>
          <w:p w14:paraId="0117F320"/>
        </w:tc>
        <w:tc>
          <w:tcPr>
            <w:tcW w:w="1413" w:type="dxa"/>
            <w:tcBorders>
              <w:right w:val="nil"/>
            </w:tcBorders>
          </w:tcPr>
          <w:p w14:paraId="0ED6BB9D"/>
        </w:tc>
      </w:tr>
      <w:tr w14:paraId="6FBF6C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84" w:type="dxa"/>
            <w:vMerge w:val="continue"/>
            <w:tcBorders>
              <w:top w:val="nil"/>
              <w:left w:val="nil"/>
              <w:bottom w:val="nil"/>
            </w:tcBorders>
          </w:tcPr>
          <w:p w14:paraId="0D9B6C1A"/>
        </w:tc>
        <w:tc>
          <w:tcPr>
            <w:tcW w:w="2844" w:type="dxa"/>
          </w:tcPr>
          <w:p w14:paraId="1E8EC9E9">
            <w:pPr>
              <w:spacing w:before="91" w:line="225" w:lineRule="auto"/>
              <w:ind w:left="954"/>
              <w:rPr>
                <w:rFonts w:ascii="宋体" w:hAnsi="宋体" w:eastAsia="宋体" w:cs="宋体"/>
                <w:sz w:val="20"/>
                <w:szCs w:val="20"/>
              </w:rPr>
            </w:pPr>
            <w:r>
              <w:rPr>
                <w:rFonts w:ascii="宋体" w:hAnsi="宋体" w:eastAsia="宋体" w:cs="宋体"/>
                <w:spacing w:val="7"/>
                <w:sz w:val="20"/>
                <w:szCs w:val="20"/>
              </w:rPr>
              <w:t>碳酸</w:t>
            </w:r>
            <w:r>
              <w:rPr>
                <w:rFonts w:ascii="宋体" w:hAnsi="宋体" w:eastAsia="宋体" w:cs="宋体"/>
                <w:spacing w:val="6"/>
                <w:sz w:val="20"/>
                <w:szCs w:val="20"/>
              </w:rPr>
              <w:t>根</w:t>
            </w:r>
          </w:p>
        </w:tc>
        <w:tc>
          <w:tcPr>
            <w:tcW w:w="1574" w:type="dxa"/>
          </w:tcPr>
          <w:p w14:paraId="66E4A66A"/>
        </w:tc>
        <w:tc>
          <w:tcPr>
            <w:tcW w:w="1767" w:type="dxa"/>
          </w:tcPr>
          <w:p w14:paraId="6CD1283E"/>
        </w:tc>
        <w:tc>
          <w:tcPr>
            <w:tcW w:w="1413" w:type="dxa"/>
            <w:tcBorders>
              <w:right w:val="nil"/>
            </w:tcBorders>
          </w:tcPr>
          <w:p w14:paraId="2F01B667"/>
        </w:tc>
      </w:tr>
      <w:tr w14:paraId="120D47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284" w:type="dxa"/>
            <w:vMerge w:val="continue"/>
            <w:tcBorders>
              <w:top w:val="nil"/>
              <w:left w:val="nil"/>
              <w:bottom w:val="nil"/>
            </w:tcBorders>
          </w:tcPr>
          <w:p w14:paraId="1DA6D81E"/>
        </w:tc>
        <w:tc>
          <w:tcPr>
            <w:tcW w:w="2844" w:type="dxa"/>
          </w:tcPr>
          <w:p w14:paraId="24BDA67B">
            <w:pPr>
              <w:spacing w:before="90" w:line="225" w:lineRule="auto"/>
              <w:ind w:left="525"/>
              <w:rPr>
                <w:rFonts w:ascii="宋体" w:hAnsi="宋体" w:eastAsia="宋体" w:cs="宋体"/>
                <w:sz w:val="20"/>
                <w:szCs w:val="20"/>
              </w:rPr>
            </w:pPr>
            <w:r>
              <w:rPr>
                <w:rFonts w:ascii="宋体" w:hAnsi="宋体" w:eastAsia="宋体" w:cs="宋体"/>
                <w:spacing w:val="-10"/>
                <w:sz w:val="20"/>
                <w:szCs w:val="20"/>
              </w:rPr>
              <w:t>重</w:t>
            </w:r>
            <w:r>
              <w:rPr>
                <w:rFonts w:ascii="宋体" w:hAnsi="宋体" w:eastAsia="宋体" w:cs="宋体"/>
                <w:spacing w:val="-5"/>
                <w:sz w:val="20"/>
                <w:szCs w:val="20"/>
              </w:rPr>
              <w:t>碳酸根 (碳酸氢根)</w:t>
            </w:r>
          </w:p>
        </w:tc>
        <w:tc>
          <w:tcPr>
            <w:tcW w:w="1574" w:type="dxa"/>
          </w:tcPr>
          <w:p w14:paraId="1AA87D46"/>
        </w:tc>
        <w:tc>
          <w:tcPr>
            <w:tcW w:w="1767" w:type="dxa"/>
          </w:tcPr>
          <w:p w14:paraId="4CDAAFEF"/>
        </w:tc>
        <w:tc>
          <w:tcPr>
            <w:tcW w:w="1413" w:type="dxa"/>
            <w:tcBorders>
              <w:right w:val="nil"/>
            </w:tcBorders>
          </w:tcPr>
          <w:p w14:paraId="7C9C44EE"/>
        </w:tc>
      </w:tr>
      <w:tr w14:paraId="121F7A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1284" w:type="dxa"/>
            <w:vMerge w:val="continue"/>
            <w:tcBorders>
              <w:top w:val="nil"/>
              <w:left w:val="nil"/>
              <w:bottom w:val="nil"/>
            </w:tcBorders>
          </w:tcPr>
          <w:p w14:paraId="228B98D2"/>
        </w:tc>
        <w:tc>
          <w:tcPr>
            <w:tcW w:w="2844" w:type="dxa"/>
          </w:tcPr>
          <w:p w14:paraId="60728375">
            <w:pPr>
              <w:spacing w:before="89" w:line="224" w:lineRule="auto"/>
              <w:ind w:left="1118"/>
              <w:rPr>
                <w:rFonts w:ascii="宋体" w:hAnsi="宋体" w:eastAsia="宋体" w:cs="宋体"/>
                <w:sz w:val="20"/>
                <w:szCs w:val="20"/>
              </w:rPr>
            </w:pPr>
            <w:r>
              <w:rPr>
                <w:rFonts w:ascii="宋体" w:hAnsi="宋体" w:eastAsia="宋体" w:cs="宋体"/>
                <w:spacing w:val="5"/>
                <w:sz w:val="20"/>
                <w:szCs w:val="20"/>
              </w:rPr>
              <w:t>总硬度</w:t>
            </w:r>
          </w:p>
        </w:tc>
        <w:tc>
          <w:tcPr>
            <w:tcW w:w="1574" w:type="dxa"/>
          </w:tcPr>
          <w:p w14:paraId="242A112C"/>
        </w:tc>
        <w:tc>
          <w:tcPr>
            <w:tcW w:w="1767" w:type="dxa"/>
          </w:tcPr>
          <w:p w14:paraId="7CE18D83"/>
        </w:tc>
        <w:tc>
          <w:tcPr>
            <w:tcW w:w="1413" w:type="dxa"/>
            <w:tcBorders>
              <w:right w:val="nil"/>
            </w:tcBorders>
          </w:tcPr>
          <w:p w14:paraId="73FED432"/>
        </w:tc>
      </w:tr>
      <w:tr w14:paraId="61F45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84" w:type="dxa"/>
            <w:vMerge w:val="continue"/>
            <w:tcBorders>
              <w:top w:val="nil"/>
              <w:left w:val="nil"/>
              <w:bottom w:val="nil"/>
            </w:tcBorders>
          </w:tcPr>
          <w:p w14:paraId="5CB9AED4"/>
        </w:tc>
        <w:tc>
          <w:tcPr>
            <w:tcW w:w="2844" w:type="dxa"/>
          </w:tcPr>
          <w:p w14:paraId="5A74D17B">
            <w:pPr>
              <w:spacing w:before="93" w:line="223" w:lineRule="auto"/>
              <w:ind w:left="1111"/>
              <w:rPr>
                <w:rFonts w:ascii="宋体" w:hAnsi="宋体" w:eastAsia="宋体" w:cs="宋体"/>
                <w:sz w:val="20"/>
                <w:szCs w:val="20"/>
              </w:rPr>
            </w:pPr>
            <w:r>
              <w:rPr>
                <w:rFonts w:ascii="宋体" w:hAnsi="宋体" w:eastAsia="宋体" w:cs="宋体"/>
                <w:spacing w:val="7"/>
                <w:sz w:val="20"/>
                <w:szCs w:val="20"/>
              </w:rPr>
              <w:t>硫酸根</w:t>
            </w:r>
          </w:p>
        </w:tc>
        <w:tc>
          <w:tcPr>
            <w:tcW w:w="1574" w:type="dxa"/>
          </w:tcPr>
          <w:p w14:paraId="4E954D0D"/>
        </w:tc>
        <w:tc>
          <w:tcPr>
            <w:tcW w:w="1767" w:type="dxa"/>
          </w:tcPr>
          <w:p w14:paraId="50B9BEBE"/>
        </w:tc>
        <w:tc>
          <w:tcPr>
            <w:tcW w:w="1413" w:type="dxa"/>
            <w:tcBorders>
              <w:right w:val="nil"/>
            </w:tcBorders>
          </w:tcPr>
          <w:p w14:paraId="00D762C2"/>
        </w:tc>
      </w:tr>
      <w:tr w14:paraId="6108DC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284" w:type="dxa"/>
            <w:vMerge w:val="continue"/>
            <w:tcBorders>
              <w:top w:val="nil"/>
              <w:left w:val="nil"/>
              <w:bottom w:val="nil"/>
            </w:tcBorders>
          </w:tcPr>
          <w:p w14:paraId="75B614F6"/>
        </w:tc>
        <w:tc>
          <w:tcPr>
            <w:tcW w:w="2844" w:type="dxa"/>
          </w:tcPr>
          <w:p w14:paraId="654F0625">
            <w:pPr>
              <w:spacing w:before="89" w:line="226" w:lineRule="auto"/>
              <w:ind w:left="804"/>
              <w:rPr>
                <w:rFonts w:ascii="宋体" w:hAnsi="宋体" w:eastAsia="宋体" w:cs="宋体"/>
                <w:sz w:val="20"/>
                <w:szCs w:val="20"/>
              </w:rPr>
            </w:pPr>
            <w:r>
              <w:rPr>
                <w:rFonts w:ascii="宋体" w:hAnsi="宋体" w:eastAsia="宋体" w:cs="宋体"/>
                <w:spacing w:val="8"/>
                <w:sz w:val="20"/>
                <w:szCs w:val="20"/>
              </w:rPr>
              <w:t>高</w:t>
            </w:r>
            <w:r>
              <w:rPr>
                <w:rFonts w:ascii="宋体" w:hAnsi="宋体" w:eastAsia="宋体" w:cs="宋体"/>
                <w:spacing w:val="7"/>
                <w:sz w:val="20"/>
                <w:szCs w:val="20"/>
              </w:rPr>
              <w:t>锰酸盐指数</w:t>
            </w:r>
          </w:p>
        </w:tc>
        <w:tc>
          <w:tcPr>
            <w:tcW w:w="1574" w:type="dxa"/>
          </w:tcPr>
          <w:p w14:paraId="23AB9F1F"/>
        </w:tc>
        <w:tc>
          <w:tcPr>
            <w:tcW w:w="1767" w:type="dxa"/>
          </w:tcPr>
          <w:p w14:paraId="0A042E66"/>
        </w:tc>
        <w:tc>
          <w:tcPr>
            <w:tcW w:w="1413" w:type="dxa"/>
            <w:tcBorders>
              <w:right w:val="nil"/>
            </w:tcBorders>
          </w:tcPr>
          <w:p w14:paraId="5D74B321"/>
        </w:tc>
      </w:tr>
      <w:tr w14:paraId="5A5E9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284" w:type="dxa"/>
            <w:vMerge w:val="continue"/>
            <w:tcBorders>
              <w:top w:val="nil"/>
              <w:left w:val="nil"/>
              <w:bottom w:val="nil"/>
            </w:tcBorders>
          </w:tcPr>
          <w:p w14:paraId="2BEE70C8"/>
        </w:tc>
        <w:tc>
          <w:tcPr>
            <w:tcW w:w="2844" w:type="dxa"/>
          </w:tcPr>
          <w:p w14:paraId="756979E0">
            <w:pPr>
              <w:spacing w:before="88" w:line="226" w:lineRule="auto"/>
              <w:ind w:left="1116"/>
              <w:rPr>
                <w:rFonts w:ascii="宋体" w:hAnsi="宋体" w:eastAsia="宋体" w:cs="宋体"/>
                <w:sz w:val="20"/>
                <w:szCs w:val="20"/>
              </w:rPr>
            </w:pPr>
            <w:r>
              <w:rPr>
                <w:rFonts w:ascii="宋体" w:hAnsi="宋体" w:eastAsia="宋体" w:cs="宋体"/>
                <w:spacing w:val="6"/>
                <w:sz w:val="20"/>
                <w:szCs w:val="20"/>
              </w:rPr>
              <w:t>氯离</w:t>
            </w:r>
            <w:r>
              <w:rPr>
                <w:rFonts w:ascii="宋体" w:hAnsi="宋体" w:eastAsia="宋体" w:cs="宋体"/>
                <w:spacing w:val="5"/>
                <w:sz w:val="20"/>
                <w:szCs w:val="20"/>
              </w:rPr>
              <w:t>子</w:t>
            </w:r>
          </w:p>
        </w:tc>
        <w:tc>
          <w:tcPr>
            <w:tcW w:w="1574" w:type="dxa"/>
          </w:tcPr>
          <w:p w14:paraId="6A7582AE"/>
        </w:tc>
        <w:tc>
          <w:tcPr>
            <w:tcW w:w="1767" w:type="dxa"/>
          </w:tcPr>
          <w:p w14:paraId="3923343D"/>
        </w:tc>
        <w:tc>
          <w:tcPr>
            <w:tcW w:w="1413" w:type="dxa"/>
            <w:tcBorders>
              <w:right w:val="nil"/>
            </w:tcBorders>
          </w:tcPr>
          <w:p w14:paraId="1697D8A3"/>
        </w:tc>
      </w:tr>
      <w:tr w14:paraId="6FC898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284" w:type="dxa"/>
            <w:vMerge w:val="continue"/>
            <w:tcBorders>
              <w:top w:val="nil"/>
              <w:left w:val="nil"/>
              <w:bottom w:val="nil"/>
            </w:tcBorders>
          </w:tcPr>
          <w:p w14:paraId="7A8D4A8A"/>
        </w:tc>
        <w:tc>
          <w:tcPr>
            <w:tcW w:w="2844" w:type="dxa"/>
          </w:tcPr>
          <w:p w14:paraId="19717C42">
            <w:pPr>
              <w:spacing w:before="91" w:line="223" w:lineRule="auto"/>
              <w:ind w:left="1218"/>
              <w:rPr>
                <w:rFonts w:ascii="宋体" w:hAnsi="宋体" w:eastAsia="宋体" w:cs="宋体"/>
                <w:sz w:val="20"/>
                <w:szCs w:val="20"/>
              </w:rPr>
            </w:pPr>
            <w:r>
              <w:rPr>
                <w:rFonts w:ascii="宋体" w:hAnsi="宋体" w:eastAsia="宋体" w:cs="宋体"/>
                <w:spacing w:val="5"/>
                <w:sz w:val="20"/>
                <w:szCs w:val="20"/>
              </w:rPr>
              <w:t>氨</w:t>
            </w:r>
            <w:r>
              <w:rPr>
                <w:rFonts w:ascii="宋体" w:hAnsi="宋体" w:eastAsia="宋体" w:cs="宋体"/>
                <w:spacing w:val="4"/>
                <w:sz w:val="20"/>
                <w:szCs w:val="20"/>
              </w:rPr>
              <w:t>氮</w:t>
            </w:r>
          </w:p>
        </w:tc>
        <w:tc>
          <w:tcPr>
            <w:tcW w:w="1574" w:type="dxa"/>
          </w:tcPr>
          <w:p w14:paraId="31B8A7A6"/>
        </w:tc>
        <w:tc>
          <w:tcPr>
            <w:tcW w:w="1767" w:type="dxa"/>
          </w:tcPr>
          <w:p w14:paraId="14046393"/>
        </w:tc>
        <w:tc>
          <w:tcPr>
            <w:tcW w:w="1413" w:type="dxa"/>
            <w:tcBorders>
              <w:right w:val="nil"/>
            </w:tcBorders>
          </w:tcPr>
          <w:p w14:paraId="076CB0D5"/>
        </w:tc>
      </w:tr>
      <w:tr w14:paraId="6950E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284" w:type="dxa"/>
            <w:vMerge w:val="continue"/>
            <w:tcBorders>
              <w:top w:val="nil"/>
              <w:left w:val="nil"/>
              <w:bottom w:val="nil"/>
            </w:tcBorders>
          </w:tcPr>
          <w:p w14:paraId="7D848910"/>
        </w:tc>
        <w:tc>
          <w:tcPr>
            <w:tcW w:w="2844" w:type="dxa"/>
          </w:tcPr>
          <w:p w14:paraId="608B1A3B">
            <w:pPr>
              <w:spacing w:before="89" w:line="226" w:lineRule="auto"/>
              <w:ind w:left="1114"/>
              <w:rPr>
                <w:rFonts w:ascii="宋体" w:hAnsi="宋体" w:eastAsia="宋体" w:cs="宋体"/>
                <w:sz w:val="20"/>
                <w:szCs w:val="20"/>
              </w:rPr>
            </w:pPr>
            <w:r>
              <w:rPr>
                <w:rFonts w:ascii="宋体" w:hAnsi="宋体" w:eastAsia="宋体" w:cs="宋体"/>
                <w:spacing w:val="7"/>
                <w:sz w:val="20"/>
                <w:szCs w:val="20"/>
              </w:rPr>
              <w:t>硝</w:t>
            </w:r>
            <w:r>
              <w:rPr>
                <w:rFonts w:ascii="宋体" w:hAnsi="宋体" w:eastAsia="宋体" w:cs="宋体"/>
                <w:spacing w:val="6"/>
                <w:sz w:val="20"/>
                <w:szCs w:val="20"/>
              </w:rPr>
              <w:t>酸盐</w:t>
            </w:r>
          </w:p>
        </w:tc>
        <w:tc>
          <w:tcPr>
            <w:tcW w:w="1574" w:type="dxa"/>
          </w:tcPr>
          <w:p w14:paraId="537A272B"/>
        </w:tc>
        <w:tc>
          <w:tcPr>
            <w:tcW w:w="1767" w:type="dxa"/>
          </w:tcPr>
          <w:p w14:paraId="103D7F61"/>
        </w:tc>
        <w:tc>
          <w:tcPr>
            <w:tcW w:w="1413" w:type="dxa"/>
            <w:tcBorders>
              <w:right w:val="nil"/>
            </w:tcBorders>
          </w:tcPr>
          <w:p w14:paraId="224C6F27"/>
        </w:tc>
      </w:tr>
      <w:tr w14:paraId="4CDAA6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284" w:type="dxa"/>
            <w:vMerge w:val="continue"/>
            <w:tcBorders>
              <w:top w:val="nil"/>
              <w:left w:val="nil"/>
              <w:bottom w:val="nil"/>
            </w:tcBorders>
          </w:tcPr>
          <w:p w14:paraId="5FA80408"/>
        </w:tc>
        <w:tc>
          <w:tcPr>
            <w:tcW w:w="2844" w:type="dxa"/>
          </w:tcPr>
          <w:p w14:paraId="4BAF9BF2">
            <w:pPr>
              <w:spacing w:before="89" w:line="225" w:lineRule="auto"/>
              <w:ind w:left="1008"/>
              <w:rPr>
                <w:rFonts w:ascii="宋体" w:hAnsi="宋体" w:eastAsia="宋体" w:cs="宋体"/>
                <w:sz w:val="20"/>
                <w:szCs w:val="20"/>
              </w:rPr>
            </w:pPr>
            <w:r>
              <w:rPr>
                <w:rFonts w:ascii="宋体" w:hAnsi="宋体" w:eastAsia="宋体" w:cs="宋体"/>
                <w:spacing w:val="7"/>
                <w:sz w:val="20"/>
                <w:szCs w:val="20"/>
              </w:rPr>
              <w:t>亚硝酸</w:t>
            </w:r>
            <w:r>
              <w:rPr>
                <w:rFonts w:ascii="宋体" w:hAnsi="宋体" w:eastAsia="宋体" w:cs="宋体"/>
                <w:spacing w:val="6"/>
                <w:sz w:val="20"/>
                <w:szCs w:val="20"/>
              </w:rPr>
              <w:t>盐</w:t>
            </w:r>
          </w:p>
        </w:tc>
        <w:tc>
          <w:tcPr>
            <w:tcW w:w="1574" w:type="dxa"/>
          </w:tcPr>
          <w:p w14:paraId="2AFE621D"/>
        </w:tc>
        <w:tc>
          <w:tcPr>
            <w:tcW w:w="1767" w:type="dxa"/>
          </w:tcPr>
          <w:p w14:paraId="7C06CC25"/>
        </w:tc>
        <w:tc>
          <w:tcPr>
            <w:tcW w:w="1413" w:type="dxa"/>
            <w:tcBorders>
              <w:right w:val="nil"/>
            </w:tcBorders>
          </w:tcPr>
          <w:p w14:paraId="2BD2B0F0"/>
        </w:tc>
      </w:tr>
      <w:tr w14:paraId="0D6CA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84" w:type="dxa"/>
            <w:vMerge w:val="continue"/>
            <w:tcBorders>
              <w:top w:val="nil"/>
              <w:left w:val="nil"/>
              <w:bottom w:val="nil"/>
            </w:tcBorders>
          </w:tcPr>
          <w:p w14:paraId="7B3828BC"/>
        </w:tc>
        <w:tc>
          <w:tcPr>
            <w:tcW w:w="2844" w:type="dxa"/>
          </w:tcPr>
          <w:p w14:paraId="347FACDC">
            <w:pPr>
              <w:spacing w:before="91" w:line="225" w:lineRule="auto"/>
              <w:ind w:left="800"/>
              <w:rPr>
                <w:rFonts w:ascii="宋体" w:hAnsi="宋体" w:eastAsia="宋体" w:cs="宋体"/>
                <w:sz w:val="20"/>
                <w:szCs w:val="20"/>
              </w:rPr>
            </w:pPr>
            <w:r>
              <w:rPr>
                <w:rFonts w:ascii="宋体" w:hAnsi="宋体" w:eastAsia="宋体" w:cs="宋体"/>
                <w:spacing w:val="8"/>
                <w:sz w:val="20"/>
                <w:szCs w:val="20"/>
              </w:rPr>
              <w:t>溶解性总固</w:t>
            </w:r>
            <w:r>
              <w:rPr>
                <w:rFonts w:ascii="宋体" w:hAnsi="宋体" w:eastAsia="宋体" w:cs="宋体"/>
                <w:spacing w:val="7"/>
                <w:sz w:val="20"/>
                <w:szCs w:val="20"/>
              </w:rPr>
              <w:t>体</w:t>
            </w:r>
          </w:p>
        </w:tc>
        <w:tc>
          <w:tcPr>
            <w:tcW w:w="1574" w:type="dxa"/>
          </w:tcPr>
          <w:p w14:paraId="21173171"/>
        </w:tc>
        <w:tc>
          <w:tcPr>
            <w:tcW w:w="1767" w:type="dxa"/>
          </w:tcPr>
          <w:p w14:paraId="11D07466"/>
        </w:tc>
        <w:tc>
          <w:tcPr>
            <w:tcW w:w="1413" w:type="dxa"/>
            <w:tcBorders>
              <w:right w:val="nil"/>
            </w:tcBorders>
          </w:tcPr>
          <w:p w14:paraId="050E3750"/>
        </w:tc>
      </w:tr>
      <w:tr w14:paraId="4EC02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284" w:type="dxa"/>
            <w:vMerge w:val="continue"/>
            <w:tcBorders>
              <w:top w:val="nil"/>
              <w:left w:val="nil"/>
            </w:tcBorders>
          </w:tcPr>
          <w:p w14:paraId="1D063E6B"/>
        </w:tc>
        <w:tc>
          <w:tcPr>
            <w:tcW w:w="2844" w:type="dxa"/>
          </w:tcPr>
          <w:p w14:paraId="13955BE7">
            <w:pPr>
              <w:spacing w:before="52" w:line="281" w:lineRule="exact"/>
              <w:ind w:left="396"/>
              <w:rPr>
                <w:rFonts w:ascii="宋体" w:hAnsi="宋体" w:eastAsia="宋体" w:cs="宋体"/>
                <w:sz w:val="20"/>
                <w:szCs w:val="20"/>
              </w:rPr>
            </w:pPr>
            <w:r>
              <w:rPr>
                <w:rFonts w:ascii="宋体" w:hAnsi="宋体" w:eastAsia="宋体" w:cs="宋体"/>
                <w:spacing w:val="9"/>
                <w:position w:val="1"/>
                <w:sz w:val="20"/>
                <w:szCs w:val="20"/>
              </w:rPr>
              <w:t>总</w:t>
            </w:r>
            <w:r>
              <w:rPr>
                <w:rFonts w:ascii="宋体" w:hAnsi="宋体" w:eastAsia="宋体" w:cs="宋体"/>
                <w:spacing w:val="8"/>
                <w:position w:val="1"/>
                <w:sz w:val="20"/>
                <w:szCs w:val="20"/>
              </w:rPr>
              <w:t>大肠菌群 (</w:t>
            </w:r>
            <w:r>
              <w:rPr>
                <w:rFonts w:ascii="Times New Roman" w:hAnsi="Times New Roman" w:eastAsia="Times New Roman" w:cs="Times New Roman"/>
                <w:position w:val="1"/>
                <w:sz w:val="20"/>
                <w:szCs w:val="20"/>
              </w:rPr>
              <w:t>MPN</w:t>
            </w:r>
            <w:r>
              <w:rPr>
                <w:rFonts w:ascii="Times New Roman" w:hAnsi="Times New Roman" w:eastAsia="Times New Roman" w:cs="Times New Roman"/>
                <w:spacing w:val="8"/>
                <w:position w:val="1"/>
                <w:sz w:val="20"/>
                <w:szCs w:val="20"/>
              </w:rPr>
              <w:t>/</w:t>
            </w:r>
            <w:r>
              <w:rPr>
                <w:rFonts w:ascii="Times New Roman" w:hAnsi="Times New Roman" w:eastAsia="Times New Roman" w:cs="Times New Roman"/>
                <w:position w:val="1"/>
                <w:sz w:val="20"/>
                <w:szCs w:val="20"/>
              </w:rPr>
              <w:t>L</w:t>
            </w:r>
            <w:r>
              <w:rPr>
                <w:rFonts w:ascii="宋体" w:hAnsi="宋体" w:eastAsia="宋体" w:cs="宋体"/>
                <w:spacing w:val="8"/>
                <w:position w:val="1"/>
                <w:sz w:val="20"/>
                <w:szCs w:val="20"/>
              </w:rPr>
              <w:t>)</w:t>
            </w:r>
          </w:p>
        </w:tc>
        <w:tc>
          <w:tcPr>
            <w:tcW w:w="1574" w:type="dxa"/>
          </w:tcPr>
          <w:p w14:paraId="63F355E7"/>
        </w:tc>
        <w:tc>
          <w:tcPr>
            <w:tcW w:w="1767" w:type="dxa"/>
          </w:tcPr>
          <w:p w14:paraId="09336679"/>
        </w:tc>
        <w:tc>
          <w:tcPr>
            <w:tcW w:w="1413" w:type="dxa"/>
            <w:tcBorders>
              <w:right w:val="nil"/>
            </w:tcBorders>
          </w:tcPr>
          <w:p w14:paraId="13EEE47C"/>
        </w:tc>
      </w:tr>
      <w:tr w14:paraId="04C96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284" w:type="dxa"/>
            <w:vMerge w:val="restart"/>
            <w:tcBorders>
              <w:left w:val="nil"/>
              <w:bottom w:val="nil"/>
            </w:tcBorders>
          </w:tcPr>
          <w:p w14:paraId="3CF8DC7F">
            <w:pPr>
              <w:spacing w:line="253" w:lineRule="auto"/>
            </w:pPr>
          </w:p>
          <w:p w14:paraId="322FC79C">
            <w:pPr>
              <w:spacing w:line="253" w:lineRule="auto"/>
            </w:pPr>
          </w:p>
          <w:p w14:paraId="6E096C7B">
            <w:pPr>
              <w:spacing w:line="253" w:lineRule="auto"/>
            </w:pPr>
          </w:p>
          <w:p w14:paraId="7A93AF74">
            <w:pPr>
              <w:spacing w:line="253" w:lineRule="auto"/>
            </w:pPr>
          </w:p>
          <w:p w14:paraId="0EBEF040">
            <w:pPr>
              <w:spacing w:line="254" w:lineRule="auto"/>
            </w:pPr>
          </w:p>
          <w:p w14:paraId="4E138B82">
            <w:pPr>
              <w:spacing w:line="254" w:lineRule="auto"/>
            </w:pPr>
          </w:p>
          <w:p w14:paraId="5EDBE646">
            <w:pPr>
              <w:spacing w:line="254" w:lineRule="auto"/>
            </w:pPr>
          </w:p>
          <w:p w14:paraId="351DE26C">
            <w:pPr>
              <w:spacing w:line="254" w:lineRule="auto"/>
            </w:pPr>
          </w:p>
          <w:p w14:paraId="56841EA7">
            <w:pPr>
              <w:spacing w:line="254" w:lineRule="auto"/>
            </w:pPr>
          </w:p>
          <w:p w14:paraId="2598C935">
            <w:pPr>
              <w:spacing w:line="254" w:lineRule="auto"/>
            </w:pPr>
          </w:p>
          <w:p w14:paraId="716BB63D">
            <w:pPr>
              <w:spacing w:before="57" w:line="195" w:lineRule="auto"/>
              <w:ind w:left="552"/>
              <w:rPr>
                <w:rFonts w:ascii="Times New Roman" w:hAnsi="Times New Roman" w:eastAsia="Times New Roman" w:cs="Times New Roman"/>
                <w:sz w:val="20"/>
                <w:szCs w:val="20"/>
              </w:rPr>
            </w:pPr>
            <w:r>
              <w:rPr>
                <w:rFonts w:ascii="Times New Roman" w:hAnsi="Times New Roman" w:eastAsia="Times New Roman" w:cs="Times New Roman"/>
                <w:sz w:val="20"/>
                <w:szCs w:val="20"/>
              </w:rPr>
              <w:t>J</w:t>
            </w:r>
            <w:r>
              <w:rPr>
                <w:rFonts w:ascii="Times New Roman" w:hAnsi="Times New Roman" w:eastAsia="Times New Roman" w:cs="Times New Roman"/>
                <w:spacing w:val="3"/>
                <w:sz w:val="20"/>
                <w:szCs w:val="20"/>
              </w:rPr>
              <w:t>2</w:t>
            </w:r>
          </w:p>
        </w:tc>
        <w:tc>
          <w:tcPr>
            <w:tcW w:w="2844" w:type="dxa"/>
          </w:tcPr>
          <w:p w14:paraId="4C3B4702">
            <w:pPr>
              <w:spacing w:before="34" w:line="221" w:lineRule="auto"/>
              <w:ind w:left="765"/>
              <w:rPr>
                <w:rFonts w:ascii="宋体" w:hAnsi="宋体" w:eastAsia="宋体" w:cs="宋体"/>
                <w:sz w:val="20"/>
                <w:szCs w:val="20"/>
              </w:rPr>
            </w:pPr>
            <w:r>
              <w:rPr>
                <w:rFonts w:ascii="Times New Roman" w:hAnsi="Times New Roman" w:eastAsia="Times New Roman" w:cs="Times New Roman"/>
                <w:sz w:val="20"/>
                <w:szCs w:val="20"/>
              </w:rPr>
              <w:t>pH</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(无量纲)</w:t>
            </w:r>
          </w:p>
        </w:tc>
        <w:tc>
          <w:tcPr>
            <w:tcW w:w="1574" w:type="dxa"/>
          </w:tcPr>
          <w:p w14:paraId="191FF384"/>
        </w:tc>
        <w:tc>
          <w:tcPr>
            <w:tcW w:w="1767" w:type="dxa"/>
          </w:tcPr>
          <w:p w14:paraId="79CDD5FB"/>
        </w:tc>
        <w:tc>
          <w:tcPr>
            <w:tcW w:w="1413" w:type="dxa"/>
            <w:tcBorders>
              <w:right w:val="nil"/>
            </w:tcBorders>
          </w:tcPr>
          <w:p w14:paraId="689705E0"/>
        </w:tc>
      </w:tr>
      <w:tr w14:paraId="6087E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284" w:type="dxa"/>
            <w:vMerge w:val="continue"/>
            <w:tcBorders>
              <w:top w:val="nil"/>
              <w:left w:val="nil"/>
              <w:bottom w:val="nil"/>
            </w:tcBorders>
          </w:tcPr>
          <w:p w14:paraId="3C929C8B"/>
        </w:tc>
        <w:tc>
          <w:tcPr>
            <w:tcW w:w="2844" w:type="dxa"/>
          </w:tcPr>
          <w:p w14:paraId="5F8C49B3">
            <w:pPr>
              <w:spacing w:before="90" w:line="225" w:lineRule="auto"/>
              <w:ind w:left="1336"/>
              <w:rPr>
                <w:rFonts w:ascii="宋体" w:hAnsi="宋体" w:eastAsia="宋体" w:cs="宋体"/>
                <w:sz w:val="20"/>
                <w:szCs w:val="20"/>
              </w:rPr>
            </w:pPr>
            <w:r>
              <w:rPr>
                <w:rFonts w:ascii="宋体" w:hAnsi="宋体" w:eastAsia="宋体" w:cs="宋体"/>
                <w:sz w:val="20"/>
                <w:szCs w:val="20"/>
              </w:rPr>
              <w:t>钾</w:t>
            </w:r>
          </w:p>
        </w:tc>
        <w:tc>
          <w:tcPr>
            <w:tcW w:w="1574" w:type="dxa"/>
          </w:tcPr>
          <w:p w14:paraId="23F443A0"/>
        </w:tc>
        <w:tc>
          <w:tcPr>
            <w:tcW w:w="1767" w:type="dxa"/>
          </w:tcPr>
          <w:p w14:paraId="6CD324AB"/>
        </w:tc>
        <w:tc>
          <w:tcPr>
            <w:tcW w:w="1413" w:type="dxa"/>
            <w:tcBorders>
              <w:right w:val="nil"/>
            </w:tcBorders>
          </w:tcPr>
          <w:p w14:paraId="7B32A243"/>
        </w:tc>
      </w:tr>
      <w:tr w14:paraId="240C8D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284" w:type="dxa"/>
            <w:vMerge w:val="continue"/>
            <w:tcBorders>
              <w:top w:val="nil"/>
              <w:left w:val="nil"/>
              <w:bottom w:val="nil"/>
            </w:tcBorders>
          </w:tcPr>
          <w:p w14:paraId="586E7935"/>
        </w:tc>
        <w:tc>
          <w:tcPr>
            <w:tcW w:w="2844" w:type="dxa"/>
          </w:tcPr>
          <w:p w14:paraId="212CCC02">
            <w:pPr>
              <w:spacing w:before="92" w:line="223" w:lineRule="auto"/>
              <w:ind w:left="1335"/>
              <w:rPr>
                <w:rFonts w:ascii="宋体" w:hAnsi="宋体" w:eastAsia="宋体" w:cs="宋体"/>
                <w:sz w:val="20"/>
                <w:szCs w:val="20"/>
              </w:rPr>
            </w:pPr>
            <w:r>
              <w:rPr>
                <w:rFonts w:ascii="宋体" w:hAnsi="宋体" w:eastAsia="宋体" w:cs="宋体"/>
                <w:spacing w:val="1"/>
                <w:sz w:val="20"/>
                <w:szCs w:val="20"/>
              </w:rPr>
              <w:t>钠</w:t>
            </w:r>
          </w:p>
        </w:tc>
        <w:tc>
          <w:tcPr>
            <w:tcW w:w="1574" w:type="dxa"/>
          </w:tcPr>
          <w:p w14:paraId="4E9B35D4"/>
        </w:tc>
        <w:tc>
          <w:tcPr>
            <w:tcW w:w="1767" w:type="dxa"/>
          </w:tcPr>
          <w:p w14:paraId="336CDC56"/>
        </w:tc>
        <w:tc>
          <w:tcPr>
            <w:tcW w:w="1413" w:type="dxa"/>
            <w:tcBorders>
              <w:right w:val="nil"/>
            </w:tcBorders>
          </w:tcPr>
          <w:p w14:paraId="724D8C4E"/>
        </w:tc>
      </w:tr>
      <w:tr w14:paraId="1245AA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284" w:type="dxa"/>
            <w:vMerge w:val="continue"/>
            <w:tcBorders>
              <w:top w:val="nil"/>
              <w:left w:val="nil"/>
              <w:bottom w:val="nil"/>
            </w:tcBorders>
          </w:tcPr>
          <w:p w14:paraId="10AEF980"/>
        </w:tc>
        <w:tc>
          <w:tcPr>
            <w:tcW w:w="2844" w:type="dxa"/>
          </w:tcPr>
          <w:p w14:paraId="23A662E4">
            <w:pPr>
              <w:spacing w:before="89" w:line="225" w:lineRule="auto"/>
              <w:ind w:left="1335"/>
              <w:rPr>
                <w:rFonts w:ascii="宋体" w:hAnsi="宋体" w:eastAsia="宋体" w:cs="宋体"/>
                <w:sz w:val="20"/>
                <w:szCs w:val="20"/>
              </w:rPr>
            </w:pPr>
            <w:r>
              <w:rPr>
                <w:rFonts w:ascii="宋体" w:hAnsi="宋体" w:eastAsia="宋体" w:cs="宋体"/>
                <w:spacing w:val="1"/>
                <w:sz w:val="20"/>
                <w:szCs w:val="20"/>
              </w:rPr>
              <w:t>钙</w:t>
            </w:r>
          </w:p>
        </w:tc>
        <w:tc>
          <w:tcPr>
            <w:tcW w:w="1574" w:type="dxa"/>
          </w:tcPr>
          <w:p w14:paraId="412C91EE"/>
        </w:tc>
        <w:tc>
          <w:tcPr>
            <w:tcW w:w="1767" w:type="dxa"/>
          </w:tcPr>
          <w:p w14:paraId="65E72DC7"/>
        </w:tc>
        <w:tc>
          <w:tcPr>
            <w:tcW w:w="1413" w:type="dxa"/>
            <w:tcBorders>
              <w:right w:val="nil"/>
            </w:tcBorders>
          </w:tcPr>
          <w:p w14:paraId="70D40EB8"/>
        </w:tc>
      </w:tr>
      <w:tr w14:paraId="248D13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284" w:type="dxa"/>
            <w:vMerge w:val="continue"/>
            <w:tcBorders>
              <w:top w:val="nil"/>
              <w:left w:val="nil"/>
              <w:bottom w:val="nil"/>
            </w:tcBorders>
          </w:tcPr>
          <w:p w14:paraId="15A9A0BA"/>
        </w:tc>
        <w:tc>
          <w:tcPr>
            <w:tcW w:w="2844" w:type="dxa"/>
          </w:tcPr>
          <w:p w14:paraId="2787BEF6">
            <w:pPr>
              <w:spacing w:before="92" w:line="223" w:lineRule="auto"/>
              <w:ind w:left="1335"/>
              <w:rPr>
                <w:rFonts w:ascii="宋体" w:hAnsi="宋体" w:eastAsia="宋体" w:cs="宋体"/>
                <w:sz w:val="20"/>
                <w:szCs w:val="20"/>
              </w:rPr>
            </w:pPr>
            <w:r>
              <w:rPr>
                <w:rFonts w:ascii="宋体" w:hAnsi="宋体" w:eastAsia="宋体" w:cs="宋体"/>
                <w:spacing w:val="1"/>
                <w:sz w:val="20"/>
                <w:szCs w:val="20"/>
              </w:rPr>
              <w:t>镁</w:t>
            </w:r>
          </w:p>
        </w:tc>
        <w:tc>
          <w:tcPr>
            <w:tcW w:w="1574" w:type="dxa"/>
          </w:tcPr>
          <w:p w14:paraId="1DB5B079"/>
        </w:tc>
        <w:tc>
          <w:tcPr>
            <w:tcW w:w="1767" w:type="dxa"/>
          </w:tcPr>
          <w:p w14:paraId="5E3FC1E9"/>
        </w:tc>
        <w:tc>
          <w:tcPr>
            <w:tcW w:w="1413" w:type="dxa"/>
            <w:tcBorders>
              <w:right w:val="nil"/>
            </w:tcBorders>
          </w:tcPr>
          <w:p w14:paraId="4EFEEB13"/>
        </w:tc>
      </w:tr>
      <w:tr w14:paraId="1E4466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84" w:type="dxa"/>
            <w:vMerge w:val="continue"/>
            <w:tcBorders>
              <w:top w:val="nil"/>
              <w:left w:val="nil"/>
              <w:bottom w:val="nil"/>
            </w:tcBorders>
          </w:tcPr>
          <w:p w14:paraId="5325153D"/>
        </w:tc>
        <w:tc>
          <w:tcPr>
            <w:tcW w:w="2844" w:type="dxa"/>
          </w:tcPr>
          <w:p w14:paraId="50AC9CFA">
            <w:pPr>
              <w:spacing w:before="91" w:line="225" w:lineRule="auto"/>
              <w:ind w:left="954"/>
              <w:rPr>
                <w:rFonts w:ascii="宋体" w:hAnsi="宋体" w:eastAsia="宋体" w:cs="宋体"/>
                <w:sz w:val="20"/>
                <w:szCs w:val="20"/>
              </w:rPr>
            </w:pPr>
            <w:r>
              <w:rPr>
                <w:rFonts w:ascii="宋体" w:hAnsi="宋体" w:eastAsia="宋体" w:cs="宋体"/>
                <w:spacing w:val="7"/>
                <w:sz w:val="20"/>
                <w:szCs w:val="20"/>
              </w:rPr>
              <w:t>碳酸</w:t>
            </w:r>
            <w:r>
              <w:rPr>
                <w:rFonts w:ascii="宋体" w:hAnsi="宋体" w:eastAsia="宋体" w:cs="宋体"/>
                <w:spacing w:val="6"/>
                <w:sz w:val="20"/>
                <w:szCs w:val="20"/>
              </w:rPr>
              <w:t>根</w:t>
            </w:r>
          </w:p>
        </w:tc>
        <w:tc>
          <w:tcPr>
            <w:tcW w:w="1574" w:type="dxa"/>
          </w:tcPr>
          <w:p w14:paraId="090EF82B"/>
        </w:tc>
        <w:tc>
          <w:tcPr>
            <w:tcW w:w="1767" w:type="dxa"/>
          </w:tcPr>
          <w:p w14:paraId="1E5338D4"/>
        </w:tc>
        <w:tc>
          <w:tcPr>
            <w:tcW w:w="1413" w:type="dxa"/>
            <w:tcBorders>
              <w:right w:val="nil"/>
            </w:tcBorders>
          </w:tcPr>
          <w:p w14:paraId="79B7E11F"/>
        </w:tc>
      </w:tr>
      <w:tr w14:paraId="023988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284" w:type="dxa"/>
            <w:vMerge w:val="continue"/>
            <w:tcBorders>
              <w:top w:val="nil"/>
              <w:left w:val="nil"/>
              <w:bottom w:val="nil"/>
            </w:tcBorders>
          </w:tcPr>
          <w:p w14:paraId="41261988"/>
        </w:tc>
        <w:tc>
          <w:tcPr>
            <w:tcW w:w="2844" w:type="dxa"/>
          </w:tcPr>
          <w:p w14:paraId="6DAE4B13">
            <w:pPr>
              <w:spacing w:before="90" w:line="224" w:lineRule="auto"/>
              <w:ind w:left="525"/>
              <w:rPr>
                <w:rFonts w:ascii="宋体" w:hAnsi="宋体" w:eastAsia="宋体" w:cs="宋体"/>
                <w:sz w:val="20"/>
                <w:szCs w:val="20"/>
              </w:rPr>
            </w:pPr>
            <w:r>
              <w:rPr>
                <w:rFonts w:ascii="宋体" w:hAnsi="宋体" w:eastAsia="宋体" w:cs="宋体"/>
                <w:spacing w:val="-10"/>
                <w:sz w:val="20"/>
                <w:szCs w:val="20"/>
              </w:rPr>
              <w:t>重</w:t>
            </w:r>
            <w:r>
              <w:rPr>
                <w:rFonts w:ascii="宋体" w:hAnsi="宋体" w:eastAsia="宋体" w:cs="宋体"/>
                <w:spacing w:val="-5"/>
                <w:sz w:val="20"/>
                <w:szCs w:val="20"/>
              </w:rPr>
              <w:t>碳酸根 (碳酸氢根)</w:t>
            </w:r>
          </w:p>
        </w:tc>
        <w:tc>
          <w:tcPr>
            <w:tcW w:w="1574" w:type="dxa"/>
          </w:tcPr>
          <w:p w14:paraId="5282FB7B"/>
        </w:tc>
        <w:tc>
          <w:tcPr>
            <w:tcW w:w="1767" w:type="dxa"/>
          </w:tcPr>
          <w:p w14:paraId="05F686F6"/>
        </w:tc>
        <w:tc>
          <w:tcPr>
            <w:tcW w:w="1413" w:type="dxa"/>
            <w:tcBorders>
              <w:right w:val="nil"/>
            </w:tcBorders>
          </w:tcPr>
          <w:p w14:paraId="5DA446B5"/>
        </w:tc>
      </w:tr>
      <w:tr w14:paraId="79C018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284" w:type="dxa"/>
            <w:vMerge w:val="continue"/>
            <w:tcBorders>
              <w:top w:val="nil"/>
              <w:left w:val="nil"/>
              <w:bottom w:val="nil"/>
            </w:tcBorders>
          </w:tcPr>
          <w:p w14:paraId="7438CAFC"/>
        </w:tc>
        <w:tc>
          <w:tcPr>
            <w:tcW w:w="2844" w:type="dxa"/>
          </w:tcPr>
          <w:p w14:paraId="41D01B1D">
            <w:pPr>
              <w:spacing w:before="90" w:line="225" w:lineRule="auto"/>
              <w:ind w:left="1118"/>
              <w:rPr>
                <w:rFonts w:ascii="宋体" w:hAnsi="宋体" w:eastAsia="宋体" w:cs="宋体"/>
                <w:sz w:val="20"/>
                <w:szCs w:val="20"/>
              </w:rPr>
            </w:pPr>
            <w:r>
              <w:rPr>
                <w:rFonts w:ascii="宋体" w:hAnsi="宋体" w:eastAsia="宋体" w:cs="宋体"/>
                <w:spacing w:val="5"/>
                <w:sz w:val="20"/>
                <w:szCs w:val="20"/>
              </w:rPr>
              <w:t>总硬度</w:t>
            </w:r>
          </w:p>
        </w:tc>
        <w:tc>
          <w:tcPr>
            <w:tcW w:w="1574" w:type="dxa"/>
          </w:tcPr>
          <w:p w14:paraId="67ACF1C9"/>
        </w:tc>
        <w:tc>
          <w:tcPr>
            <w:tcW w:w="1767" w:type="dxa"/>
          </w:tcPr>
          <w:p w14:paraId="70C4AC72"/>
        </w:tc>
        <w:tc>
          <w:tcPr>
            <w:tcW w:w="1413" w:type="dxa"/>
            <w:tcBorders>
              <w:right w:val="nil"/>
            </w:tcBorders>
          </w:tcPr>
          <w:p w14:paraId="441877FE"/>
        </w:tc>
      </w:tr>
      <w:tr w14:paraId="56079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84" w:type="dxa"/>
            <w:vMerge w:val="continue"/>
            <w:tcBorders>
              <w:top w:val="nil"/>
              <w:left w:val="nil"/>
              <w:bottom w:val="nil"/>
            </w:tcBorders>
          </w:tcPr>
          <w:p w14:paraId="5973F131"/>
        </w:tc>
        <w:tc>
          <w:tcPr>
            <w:tcW w:w="2844" w:type="dxa"/>
          </w:tcPr>
          <w:p w14:paraId="4FF8C83B">
            <w:pPr>
              <w:spacing w:before="92" w:line="224" w:lineRule="auto"/>
              <w:ind w:left="1111"/>
              <w:rPr>
                <w:rFonts w:ascii="宋体" w:hAnsi="宋体" w:eastAsia="宋体" w:cs="宋体"/>
                <w:sz w:val="20"/>
                <w:szCs w:val="20"/>
              </w:rPr>
            </w:pPr>
            <w:r>
              <w:rPr>
                <w:rFonts w:ascii="宋体" w:hAnsi="宋体" w:eastAsia="宋体" w:cs="宋体"/>
                <w:spacing w:val="7"/>
                <w:sz w:val="20"/>
                <w:szCs w:val="20"/>
              </w:rPr>
              <w:t>硫酸根</w:t>
            </w:r>
          </w:p>
        </w:tc>
        <w:tc>
          <w:tcPr>
            <w:tcW w:w="1574" w:type="dxa"/>
          </w:tcPr>
          <w:p w14:paraId="16265AB3"/>
        </w:tc>
        <w:tc>
          <w:tcPr>
            <w:tcW w:w="1767" w:type="dxa"/>
          </w:tcPr>
          <w:p w14:paraId="587241A5"/>
        </w:tc>
        <w:tc>
          <w:tcPr>
            <w:tcW w:w="1413" w:type="dxa"/>
            <w:tcBorders>
              <w:right w:val="nil"/>
            </w:tcBorders>
          </w:tcPr>
          <w:p w14:paraId="324D2EC2"/>
        </w:tc>
      </w:tr>
      <w:tr w14:paraId="50F7F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284" w:type="dxa"/>
            <w:vMerge w:val="continue"/>
            <w:tcBorders>
              <w:top w:val="nil"/>
              <w:left w:val="nil"/>
              <w:bottom w:val="nil"/>
            </w:tcBorders>
          </w:tcPr>
          <w:p w14:paraId="7D3E56DB"/>
        </w:tc>
        <w:tc>
          <w:tcPr>
            <w:tcW w:w="2844" w:type="dxa"/>
          </w:tcPr>
          <w:p w14:paraId="5B96FA08">
            <w:pPr>
              <w:spacing w:before="90" w:line="224" w:lineRule="auto"/>
              <w:ind w:left="804"/>
              <w:rPr>
                <w:rFonts w:ascii="宋体" w:hAnsi="宋体" w:eastAsia="宋体" w:cs="宋体"/>
                <w:sz w:val="20"/>
                <w:szCs w:val="20"/>
              </w:rPr>
            </w:pPr>
            <w:r>
              <w:rPr>
                <w:rFonts w:ascii="宋体" w:hAnsi="宋体" w:eastAsia="宋体" w:cs="宋体"/>
                <w:spacing w:val="8"/>
                <w:sz w:val="20"/>
                <w:szCs w:val="20"/>
              </w:rPr>
              <w:t>高</w:t>
            </w:r>
            <w:r>
              <w:rPr>
                <w:rFonts w:ascii="宋体" w:hAnsi="宋体" w:eastAsia="宋体" w:cs="宋体"/>
                <w:spacing w:val="7"/>
                <w:sz w:val="20"/>
                <w:szCs w:val="20"/>
              </w:rPr>
              <w:t>锰酸盐指数</w:t>
            </w:r>
          </w:p>
        </w:tc>
        <w:tc>
          <w:tcPr>
            <w:tcW w:w="1574" w:type="dxa"/>
          </w:tcPr>
          <w:p w14:paraId="4A02E317"/>
        </w:tc>
        <w:tc>
          <w:tcPr>
            <w:tcW w:w="1767" w:type="dxa"/>
          </w:tcPr>
          <w:p w14:paraId="6BCECF8E"/>
        </w:tc>
        <w:tc>
          <w:tcPr>
            <w:tcW w:w="1413" w:type="dxa"/>
            <w:tcBorders>
              <w:right w:val="nil"/>
            </w:tcBorders>
          </w:tcPr>
          <w:p w14:paraId="77FD717E"/>
        </w:tc>
      </w:tr>
      <w:tr w14:paraId="1182D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284" w:type="dxa"/>
            <w:vMerge w:val="continue"/>
            <w:tcBorders>
              <w:top w:val="nil"/>
              <w:left w:val="nil"/>
              <w:bottom w:val="nil"/>
            </w:tcBorders>
          </w:tcPr>
          <w:p w14:paraId="541EACFA"/>
        </w:tc>
        <w:tc>
          <w:tcPr>
            <w:tcW w:w="2844" w:type="dxa"/>
          </w:tcPr>
          <w:p w14:paraId="37DEE22A">
            <w:pPr>
              <w:spacing w:before="91" w:line="224" w:lineRule="auto"/>
              <w:ind w:left="1116"/>
              <w:rPr>
                <w:rFonts w:ascii="宋体" w:hAnsi="宋体" w:eastAsia="宋体" w:cs="宋体"/>
                <w:sz w:val="20"/>
                <w:szCs w:val="20"/>
              </w:rPr>
            </w:pPr>
            <w:r>
              <w:rPr>
                <w:rFonts w:ascii="宋体" w:hAnsi="宋体" w:eastAsia="宋体" w:cs="宋体"/>
                <w:spacing w:val="6"/>
                <w:sz w:val="20"/>
                <w:szCs w:val="20"/>
              </w:rPr>
              <w:t>氯离</w:t>
            </w:r>
            <w:r>
              <w:rPr>
                <w:rFonts w:ascii="宋体" w:hAnsi="宋体" w:eastAsia="宋体" w:cs="宋体"/>
                <w:spacing w:val="5"/>
                <w:sz w:val="20"/>
                <w:szCs w:val="20"/>
              </w:rPr>
              <w:t>子</w:t>
            </w:r>
          </w:p>
        </w:tc>
        <w:tc>
          <w:tcPr>
            <w:tcW w:w="1574" w:type="dxa"/>
          </w:tcPr>
          <w:p w14:paraId="7C973BF2"/>
        </w:tc>
        <w:tc>
          <w:tcPr>
            <w:tcW w:w="1767" w:type="dxa"/>
          </w:tcPr>
          <w:p w14:paraId="50E3B92F"/>
        </w:tc>
        <w:tc>
          <w:tcPr>
            <w:tcW w:w="1413" w:type="dxa"/>
            <w:tcBorders>
              <w:right w:val="nil"/>
            </w:tcBorders>
          </w:tcPr>
          <w:p w14:paraId="4B442D18"/>
        </w:tc>
      </w:tr>
      <w:tr w14:paraId="09326F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284" w:type="dxa"/>
            <w:vMerge w:val="continue"/>
            <w:tcBorders>
              <w:top w:val="nil"/>
              <w:left w:val="nil"/>
              <w:bottom w:val="nil"/>
            </w:tcBorders>
          </w:tcPr>
          <w:p w14:paraId="636E8B9C"/>
        </w:tc>
        <w:tc>
          <w:tcPr>
            <w:tcW w:w="2844" w:type="dxa"/>
          </w:tcPr>
          <w:p w14:paraId="22EEC115">
            <w:pPr>
              <w:spacing w:before="90" w:line="224" w:lineRule="auto"/>
              <w:ind w:left="1218"/>
              <w:rPr>
                <w:rFonts w:ascii="宋体" w:hAnsi="宋体" w:eastAsia="宋体" w:cs="宋体"/>
                <w:sz w:val="20"/>
                <w:szCs w:val="20"/>
              </w:rPr>
            </w:pPr>
            <w:r>
              <w:rPr>
                <w:rFonts w:ascii="宋体" w:hAnsi="宋体" w:eastAsia="宋体" w:cs="宋体"/>
                <w:spacing w:val="5"/>
                <w:sz w:val="20"/>
                <w:szCs w:val="20"/>
              </w:rPr>
              <w:t>氨</w:t>
            </w:r>
            <w:r>
              <w:rPr>
                <w:rFonts w:ascii="宋体" w:hAnsi="宋体" w:eastAsia="宋体" w:cs="宋体"/>
                <w:spacing w:val="4"/>
                <w:sz w:val="20"/>
                <w:szCs w:val="20"/>
              </w:rPr>
              <w:t>氮</w:t>
            </w:r>
          </w:p>
        </w:tc>
        <w:tc>
          <w:tcPr>
            <w:tcW w:w="1574" w:type="dxa"/>
          </w:tcPr>
          <w:p w14:paraId="3C71FB33"/>
        </w:tc>
        <w:tc>
          <w:tcPr>
            <w:tcW w:w="1767" w:type="dxa"/>
          </w:tcPr>
          <w:p w14:paraId="7BBEB2AF"/>
        </w:tc>
        <w:tc>
          <w:tcPr>
            <w:tcW w:w="1413" w:type="dxa"/>
            <w:tcBorders>
              <w:right w:val="nil"/>
            </w:tcBorders>
          </w:tcPr>
          <w:p w14:paraId="5DD9D7A3"/>
        </w:tc>
      </w:tr>
      <w:tr w14:paraId="0B0FE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284" w:type="dxa"/>
            <w:vMerge w:val="continue"/>
            <w:tcBorders>
              <w:top w:val="nil"/>
              <w:left w:val="nil"/>
              <w:bottom w:val="nil"/>
            </w:tcBorders>
          </w:tcPr>
          <w:p w14:paraId="6EFF2CB3"/>
        </w:tc>
        <w:tc>
          <w:tcPr>
            <w:tcW w:w="2844" w:type="dxa"/>
          </w:tcPr>
          <w:p w14:paraId="4E62CF87">
            <w:pPr>
              <w:spacing w:before="90" w:line="224" w:lineRule="auto"/>
              <w:ind w:left="1114"/>
              <w:rPr>
                <w:rFonts w:ascii="宋体" w:hAnsi="宋体" w:eastAsia="宋体" w:cs="宋体"/>
                <w:sz w:val="20"/>
                <w:szCs w:val="20"/>
              </w:rPr>
            </w:pPr>
            <w:r>
              <w:rPr>
                <w:rFonts w:ascii="宋体" w:hAnsi="宋体" w:eastAsia="宋体" w:cs="宋体"/>
                <w:spacing w:val="7"/>
                <w:sz w:val="20"/>
                <w:szCs w:val="20"/>
              </w:rPr>
              <w:t>硝</w:t>
            </w:r>
            <w:r>
              <w:rPr>
                <w:rFonts w:ascii="宋体" w:hAnsi="宋体" w:eastAsia="宋体" w:cs="宋体"/>
                <w:spacing w:val="6"/>
                <w:sz w:val="20"/>
                <w:szCs w:val="20"/>
              </w:rPr>
              <w:t>酸盐</w:t>
            </w:r>
          </w:p>
        </w:tc>
        <w:tc>
          <w:tcPr>
            <w:tcW w:w="1574" w:type="dxa"/>
          </w:tcPr>
          <w:p w14:paraId="3FC05BAA"/>
        </w:tc>
        <w:tc>
          <w:tcPr>
            <w:tcW w:w="1767" w:type="dxa"/>
          </w:tcPr>
          <w:p w14:paraId="518958A1"/>
        </w:tc>
        <w:tc>
          <w:tcPr>
            <w:tcW w:w="1413" w:type="dxa"/>
            <w:tcBorders>
              <w:right w:val="nil"/>
            </w:tcBorders>
          </w:tcPr>
          <w:p w14:paraId="1D1A0A75"/>
        </w:tc>
      </w:tr>
      <w:tr w14:paraId="3B726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284" w:type="dxa"/>
            <w:vMerge w:val="continue"/>
            <w:tcBorders>
              <w:top w:val="nil"/>
              <w:left w:val="nil"/>
              <w:bottom w:val="nil"/>
            </w:tcBorders>
          </w:tcPr>
          <w:p w14:paraId="7C59059E"/>
        </w:tc>
        <w:tc>
          <w:tcPr>
            <w:tcW w:w="2844" w:type="dxa"/>
          </w:tcPr>
          <w:p w14:paraId="7E397887">
            <w:pPr>
              <w:spacing w:before="91" w:line="223" w:lineRule="auto"/>
              <w:ind w:left="1008"/>
              <w:rPr>
                <w:rFonts w:ascii="宋体" w:hAnsi="宋体" w:eastAsia="宋体" w:cs="宋体"/>
                <w:sz w:val="20"/>
                <w:szCs w:val="20"/>
              </w:rPr>
            </w:pPr>
            <w:r>
              <w:rPr>
                <w:rFonts w:ascii="宋体" w:hAnsi="宋体" w:eastAsia="宋体" w:cs="宋体"/>
                <w:spacing w:val="7"/>
                <w:sz w:val="20"/>
                <w:szCs w:val="20"/>
              </w:rPr>
              <w:t>亚硝酸</w:t>
            </w:r>
            <w:r>
              <w:rPr>
                <w:rFonts w:ascii="宋体" w:hAnsi="宋体" w:eastAsia="宋体" w:cs="宋体"/>
                <w:spacing w:val="6"/>
                <w:sz w:val="20"/>
                <w:szCs w:val="20"/>
              </w:rPr>
              <w:t>盐</w:t>
            </w:r>
          </w:p>
        </w:tc>
        <w:tc>
          <w:tcPr>
            <w:tcW w:w="1574" w:type="dxa"/>
          </w:tcPr>
          <w:p w14:paraId="7DD1D63D"/>
        </w:tc>
        <w:tc>
          <w:tcPr>
            <w:tcW w:w="1767" w:type="dxa"/>
          </w:tcPr>
          <w:p w14:paraId="7614E475"/>
        </w:tc>
        <w:tc>
          <w:tcPr>
            <w:tcW w:w="1413" w:type="dxa"/>
            <w:tcBorders>
              <w:right w:val="nil"/>
            </w:tcBorders>
          </w:tcPr>
          <w:p w14:paraId="1A8D57EA"/>
        </w:tc>
      </w:tr>
      <w:tr w14:paraId="35D108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84" w:type="dxa"/>
            <w:vMerge w:val="continue"/>
            <w:tcBorders>
              <w:top w:val="nil"/>
              <w:left w:val="nil"/>
              <w:bottom w:val="nil"/>
            </w:tcBorders>
          </w:tcPr>
          <w:p w14:paraId="2EB75EDB"/>
        </w:tc>
        <w:tc>
          <w:tcPr>
            <w:tcW w:w="2844" w:type="dxa"/>
          </w:tcPr>
          <w:p w14:paraId="4BBED00C">
            <w:pPr>
              <w:spacing w:before="94" w:line="222" w:lineRule="auto"/>
              <w:ind w:left="800"/>
              <w:rPr>
                <w:rFonts w:ascii="宋体" w:hAnsi="宋体" w:eastAsia="宋体" w:cs="宋体"/>
                <w:sz w:val="20"/>
                <w:szCs w:val="20"/>
              </w:rPr>
            </w:pPr>
            <w:r>
              <w:rPr>
                <w:rFonts w:ascii="宋体" w:hAnsi="宋体" w:eastAsia="宋体" w:cs="宋体"/>
                <w:spacing w:val="8"/>
                <w:sz w:val="20"/>
                <w:szCs w:val="20"/>
              </w:rPr>
              <w:t>溶解性总固</w:t>
            </w:r>
            <w:r>
              <w:rPr>
                <w:rFonts w:ascii="宋体" w:hAnsi="宋体" w:eastAsia="宋体" w:cs="宋体"/>
                <w:spacing w:val="7"/>
                <w:sz w:val="20"/>
                <w:szCs w:val="20"/>
              </w:rPr>
              <w:t>体</w:t>
            </w:r>
          </w:p>
        </w:tc>
        <w:tc>
          <w:tcPr>
            <w:tcW w:w="1574" w:type="dxa"/>
          </w:tcPr>
          <w:p w14:paraId="72404A0D"/>
        </w:tc>
        <w:tc>
          <w:tcPr>
            <w:tcW w:w="1767" w:type="dxa"/>
          </w:tcPr>
          <w:p w14:paraId="2765D1EE"/>
        </w:tc>
        <w:tc>
          <w:tcPr>
            <w:tcW w:w="1413" w:type="dxa"/>
            <w:tcBorders>
              <w:right w:val="nil"/>
            </w:tcBorders>
          </w:tcPr>
          <w:p w14:paraId="08335F05"/>
        </w:tc>
      </w:tr>
      <w:tr w14:paraId="56AE6A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284" w:type="dxa"/>
            <w:vMerge w:val="continue"/>
            <w:tcBorders>
              <w:top w:val="nil"/>
              <w:left w:val="nil"/>
            </w:tcBorders>
          </w:tcPr>
          <w:p w14:paraId="2F346E03"/>
        </w:tc>
        <w:tc>
          <w:tcPr>
            <w:tcW w:w="2844" w:type="dxa"/>
          </w:tcPr>
          <w:p w14:paraId="096D28A2">
            <w:pPr>
              <w:spacing w:before="54" w:line="278" w:lineRule="exact"/>
              <w:ind w:left="396"/>
              <w:rPr>
                <w:rFonts w:ascii="宋体" w:hAnsi="宋体" w:eastAsia="宋体" w:cs="宋体"/>
                <w:sz w:val="20"/>
                <w:szCs w:val="20"/>
              </w:rPr>
            </w:pPr>
            <w:r>
              <w:rPr>
                <w:rFonts w:ascii="宋体" w:hAnsi="宋体" w:eastAsia="宋体" w:cs="宋体"/>
                <w:spacing w:val="9"/>
                <w:position w:val="1"/>
                <w:sz w:val="20"/>
                <w:szCs w:val="20"/>
              </w:rPr>
              <w:t>总</w:t>
            </w:r>
            <w:r>
              <w:rPr>
                <w:rFonts w:ascii="宋体" w:hAnsi="宋体" w:eastAsia="宋体" w:cs="宋体"/>
                <w:spacing w:val="8"/>
                <w:position w:val="1"/>
                <w:sz w:val="20"/>
                <w:szCs w:val="20"/>
              </w:rPr>
              <w:t>大肠菌群 (</w:t>
            </w:r>
            <w:r>
              <w:rPr>
                <w:rFonts w:ascii="Times New Roman" w:hAnsi="Times New Roman" w:eastAsia="Times New Roman" w:cs="Times New Roman"/>
                <w:position w:val="1"/>
                <w:sz w:val="20"/>
                <w:szCs w:val="20"/>
              </w:rPr>
              <w:t>MPN</w:t>
            </w:r>
            <w:r>
              <w:rPr>
                <w:rFonts w:ascii="Times New Roman" w:hAnsi="Times New Roman" w:eastAsia="Times New Roman" w:cs="Times New Roman"/>
                <w:spacing w:val="8"/>
                <w:position w:val="1"/>
                <w:sz w:val="20"/>
                <w:szCs w:val="20"/>
              </w:rPr>
              <w:t>/</w:t>
            </w:r>
            <w:r>
              <w:rPr>
                <w:rFonts w:ascii="Times New Roman" w:hAnsi="Times New Roman" w:eastAsia="Times New Roman" w:cs="Times New Roman"/>
                <w:position w:val="1"/>
                <w:sz w:val="20"/>
                <w:szCs w:val="20"/>
              </w:rPr>
              <w:t>L</w:t>
            </w:r>
            <w:r>
              <w:rPr>
                <w:rFonts w:ascii="宋体" w:hAnsi="宋体" w:eastAsia="宋体" w:cs="宋体"/>
                <w:spacing w:val="8"/>
                <w:position w:val="1"/>
                <w:sz w:val="20"/>
                <w:szCs w:val="20"/>
              </w:rPr>
              <w:t>)</w:t>
            </w:r>
          </w:p>
        </w:tc>
        <w:tc>
          <w:tcPr>
            <w:tcW w:w="1574" w:type="dxa"/>
          </w:tcPr>
          <w:p w14:paraId="3BBC8387"/>
        </w:tc>
        <w:tc>
          <w:tcPr>
            <w:tcW w:w="1767" w:type="dxa"/>
          </w:tcPr>
          <w:p w14:paraId="4A0EA01E"/>
        </w:tc>
        <w:tc>
          <w:tcPr>
            <w:tcW w:w="1413" w:type="dxa"/>
            <w:tcBorders>
              <w:right w:val="nil"/>
            </w:tcBorders>
          </w:tcPr>
          <w:p w14:paraId="2E218314"/>
        </w:tc>
      </w:tr>
      <w:tr w14:paraId="2DED47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284" w:type="dxa"/>
            <w:vMerge w:val="restart"/>
            <w:tcBorders>
              <w:left w:val="nil"/>
              <w:bottom w:val="nil"/>
            </w:tcBorders>
          </w:tcPr>
          <w:p w14:paraId="7C37F72D">
            <w:pPr>
              <w:spacing w:line="243" w:lineRule="auto"/>
            </w:pPr>
          </w:p>
          <w:p w14:paraId="0A127B47">
            <w:pPr>
              <w:spacing w:line="243" w:lineRule="auto"/>
            </w:pPr>
          </w:p>
          <w:p w14:paraId="02100513">
            <w:pPr>
              <w:spacing w:line="243" w:lineRule="auto"/>
            </w:pPr>
          </w:p>
          <w:p w14:paraId="3B9F58CF">
            <w:pPr>
              <w:spacing w:line="243" w:lineRule="auto"/>
            </w:pPr>
          </w:p>
          <w:p w14:paraId="6B1ECBCD">
            <w:pPr>
              <w:spacing w:line="243" w:lineRule="auto"/>
            </w:pPr>
          </w:p>
          <w:p w14:paraId="177D56B6">
            <w:pPr>
              <w:spacing w:line="243" w:lineRule="auto"/>
            </w:pPr>
          </w:p>
          <w:p w14:paraId="3E743280">
            <w:pPr>
              <w:spacing w:before="58" w:line="195" w:lineRule="auto"/>
              <w:ind w:left="552"/>
              <w:rPr>
                <w:rFonts w:ascii="Times New Roman" w:hAnsi="Times New Roman" w:eastAsia="Times New Roman" w:cs="Times New Roman"/>
                <w:sz w:val="20"/>
                <w:szCs w:val="20"/>
              </w:rPr>
            </w:pPr>
            <w:r>
              <w:rPr>
                <w:rFonts w:ascii="Times New Roman" w:hAnsi="Times New Roman" w:eastAsia="Times New Roman" w:cs="Times New Roman"/>
                <w:sz w:val="20"/>
                <w:szCs w:val="20"/>
              </w:rPr>
              <w:t>J</w:t>
            </w:r>
            <w:r>
              <w:rPr>
                <w:rFonts w:ascii="Times New Roman" w:hAnsi="Times New Roman" w:eastAsia="Times New Roman" w:cs="Times New Roman"/>
                <w:spacing w:val="3"/>
                <w:sz w:val="20"/>
                <w:szCs w:val="20"/>
              </w:rPr>
              <w:t>3</w:t>
            </w:r>
          </w:p>
        </w:tc>
        <w:tc>
          <w:tcPr>
            <w:tcW w:w="2844" w:type="dxa"/>
          </w:tcPr>
          <w:p w14:paraId="0AC21CB0">
            <w:pPr>
              <w:spacing w:before="35" w:line="221" w:lineRule="auto"/>
              <w:ind w:left="765"/>
              <w:rPr>
                <w:rFonts w:ascii="宋体" w:hAnsi="宋体" w:eastAsia="宋体" w:cs="宋体"/>
                <w:sz w:val="20"/>
                <w:szCs w:val="20"/>
              </w:rPr>
            </w:pPr>
            <w:r>
              <w:rPr>
                <w:rFonts w:ascii="Times New Roman" w:hAnsi="Times New Roman" w:eastAsia="Times New Roman" w:cs="Times New Roman"/>
                <w:sz w:val="20"/>
                <w:szCs w:val="20"/>
              </w:rPr>
              <w:t>pH</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(无量纲)</w:t>
            </w:r>
          </w:p>
        </w:tc>
        <w:tc>
          <w:tcPr>
            <w:tcW w:w="1574" w:type="dxa"/>
          </w:tcPr>
          <w:p w14:paraId="53D34AA7"/>
        </w:tc>
        <w:tc>
          <w:tcPr>
            <w:tcW w:w="1767" w:type="dxa"/>
          </w:tcPr>
          <w:p w14:paraId="6BE3C3C7"/>
        </w:tc>
        <w:tc>
          <w:tcPr>
            <w:tcW w:w="1413" w:type="dxa"/>
            <w:tcBorders>
              <w:right w:val="nil"/>
            </w:tcBorders>
          </w:tcPr>
          <w:p w14:paraId="1BDAA4B4"/>
        </w:tc>
      </w:tr>
      <w:tr w14:paraId="178F31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284" w:type="dxa"/>
            <w:vMerge w:val="continue"/>
            <w:tcBorders>
              <w:top w:val="nil"/>
              <w:left w:val="nil"/>
              <w:bottom w:val="nil"/>
            </w:tcBorders>
          </w:tcPr>
          <w:p w14:paraId="02CFCB76"/>
        </w:tc>
        <w:tc>
          <w:tcPr>
            <w:tcW w:w="2844" w:type="dxa"/>
          </w:tcPr>
          <w:p w14:paraId="78BD1FFE">
            <w:pPr>
              <w:spacing w:before="90" w:line="224" w:lineRule="auto"/>
              <w:ind w:left="1336"/>
              <w:rPr>
                <w:rFonts w:ascii="宋体" w:hAnsi="宋体" w:eastAsia="宋体" w:cs="宋体"/>
                <w:sz w:val="20"/>
                <w:szCs w:val="20"/>
              </w:rPr>
            </w:pPr>
            <w:r>
              <w:rPr>
                <w:rFonts w:ascii="宋体" w:hAnsi="宋体" w:eastAsia="宋体" w:cs="宋体"/>
                <w:sz w:val="20"/>
                <w:szCs w:val="20"/>
              </w:rPr>
              <w:t>钾</w:t>
            </w:r>
          </w:p>
        </w:tc>
        <w:tc>
          <w:tcPr>
            <w:tcW w:w="1574" w:type="dxa"/>
          </w:tcPr>
          <w:p w14:paraId="0A8140F9"/>
        </w:tc>
        <w:tc>
          <w:tcPr>
            <w:tcW w:w="1767" w:type="dxa"/>
          </w:tcPr>
          <w:p w14:paraId="1BA65804"/>
        </w:tc>
        <w:tc>
          <w:tcPr>
            <w:tcW w:w="1413" w:type="dxa"/>
            <w:tcBorders>
              <w:right w:val="nil"/>
            </w:tcBorders>
          </w:tcPr>
          <w:p w14:paraId="578B56D6"/>
        </w:tc>
      </w:tr>
      <w:tr w14:paraId="2E9107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84" w:type="dxa"/>
            <w:vMerge w:val="continue"/>
            <w:tcBorders>
              <w:top w:val="nil"/>
              <w:left w:val="nil"/>
              <w:bottom w:val="nil"/>
            </w:tcBorders>
          </w:tcPr>
          <w:p w14:paraId="6B603D9B"/>
        </w:tc>
        <w:tc>
          <w:tcPr>
            <w:tcW w:w="2844" w:type="dxa"/>
          </w:tcPr>
          <w:p w14:paraId="662864B5">
            <w:pPr>
              <w:spacing w:before="93" w:line="223" w:lineRule="auto"/>
              <w:ind w:left="1335"/>
              <w:rPr>
                <w:rFonts w:ascii="宋体" w:hAnsi="宋体" w:eastAsia="宋体" w:cs="宋体"/>
                <w:sz w:val="20"/>
                <w:szCs w:val="20"/>
              </w:rPr>
            </w:pPr>
            <w:r>
              <w:rPr>
                <w:rFonts w:ascii="宋体" w:hAnsi="宋体" w:eastAsia="宋体" w:cs="宋体"/>
                <w:spacing w:val="1"/>
                <w:sz w:val="20"/>
                <w:szCs w:val="20"/>
              </w:rPr>
              <w:t>钠</w:t>
            </w:r>
          </w:p>
        </w:tc>
        <w:tc>
          <w:tcPr>
            <w:tcW w:w="1574" w:type="dxa"/>
          </w:tcPr>
          <w:p w14:paraId="36AC6845"/>
        </w:tc>
        <w:tc>
          <w:tcPr>
            <w:tcW w:w="1767" w:type="dxa"/>
          </w:tcPr>
          <w:p w14:paraId="0F28E3DB"/>
        </w:tc>
        <w:tc>
          <w:tcPr>
            <w:tcW w:w="1413" w:type="dxa"/>
            <w:tcBorders>
              <w:right w:val="nil"/>
            </w:tcBorders>
          </w:tcPr>
          <w:p w14:paraId="2EB9F24C"/>
        </w:tc>
      </w:tr>
      <w:tr w14:paraId="6B82D1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284" w:type="dxa"/>
            <w:vMerge w:val="continue"/>
            <w:tcBorders>
              <w:top w:val="nil"/>
              <w:left w:val="nil"/>
              <w:bottom w:val="nil"/>
            </w:tcBorders>
          </w:tcPr>
          <w:p w14:paraId="0CE34F28"/>
        </w:tc>
        <w:tc>
          <w:tcPr>
            <w:tcW w:w="2844" w:type="dxa"/>
          </w:tcPr>
          <w:p w14:paraId="0760756C">
            <w:pPr>
              <w:spacing w:before="91" w:line="224" w:lineRule="auto"/>
              <w:ind w:left="1335"/>
              <w:rPr>
                <w:rFonts w:ascii="宋体" w:hAnsi="宋体" w:eastAsia="宋体" w:cs="宋体"/>
                <w:sz w:val="20"/>
                <w:szCs w:val="20"/>
              </w:rPr>
            </w:pPr>
            <w:r>
              <w:rPr>
                <w:rFonts w:ascii="宋体" w:hAnsi="宋体" w:eastAsia="宋体" w:cs="宋体"/>
                <w:spacing w:val="1"/>
                <w:sz w:val="20"/>
                <w:szCs w:val="20"/>
              </w:rPr>
              <w:t>钙</w:t>
            </w:r>
          </w:p>
        </w:tc>
        <w:tc>
          <w:tcPr>
            <w:tcW w:w="1574" w:type="dxa"/>
          </w:tcPr>
          <w:p w14:paraId="1A855314"/>
        </w:tc>
        <w:tc>
          <w:tcPr>
            <w:tcW w:w="1767" w:type="dxa"/>
          </w:tcPr>
          <w:p w14:paraId="07D0EB81"/>
        </w:tc>
        <w:tc>
          <w:tcPr>
            <w:tcW w:w="1413" w:type="dxa"/>
            <w:tcBorders>
              <w:right w:val="nil"/>
            </w:tcBorders>
          </w:tcPr>
          <w:p w14:paraId="74E7610B"/>
        </w:tc>
      </w:tr>
      <w:tr w14:paraId="6A9820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284" w:type="dxa"/>
            <w:vMerge w:val="continue"/>
            <w:tcBorders>
              <w:top w:val="nil"/>
              <w:left w:val="nil"/>
              <w:bottom w:val="nil"/>
            </w:tcBorders>
          </w:tcPr>
          <w:p w14:paraId="149E2C85"/>
        </w:tc>
        <w:tc>
          <w:tcPr>
            <w:tcW w:w="2844" w:type="dxa"/>
          </w:tcPr>
          <w:p w14:paraId="131EA716">
            <w:pPr>
              <w:spacing w:before="91" w:line="223" w:lineRule="auto"/>
              <w:ind w:left="1335"/>
              <w:rPr>
                <w:rFonts w:ascii="宋体" w:hAnsi="宋体" w:eastAsia="宋体" w:cs="宋体"/>
                <w:sz w:val="20"/>
                <w:szCs w:val="20"/>
              </w:rPr>
            </w:pPr>
            <w:r>
              <w:rPr>
                <w:rFonts w:ascii="宋体" w:hAnsi="宋体" w:eastAsia="宋体" w:cs="宋体"/>
                <w:spacing w:val="1"/>
                <w:sz w:val="20"/>
                <w:szCs w:val="20"/>
              </w:rPr>
              <w:t>镁</w:t>
            </w:r>
          </w:p>
        </w:tc>
        <w:tc>
          <w:tcPr>
            <w:tcW w:w="1574" w:type="dxa"/>
          </w:tcPr>
          <w:p w14:paraId="19FCB662"/>
        </w:tc>
        <w:tc>
          <w:tcPr>
            <w:tcW w:w="1767" w:type="dxa"/>
          </w:tcPr>
          <w:p w14:paraId="0EED9AB5"/>
        </w:tc>
        <w:tc>
          <w:tcPr>
            <w:tcW w:w="1413" w:type="dxa"/>
            <w:tcBorders>
              <w:right w:val="nil"/>
            </w:tcBorders>
          </w:tcPr>
          <w:p w14:paraId="4C54C1B5"/>
        </w:tc>
      </w:tr>
      <w:tr w14:paraId="0E60D0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84" w:type="dxa"/>
            <w:vMerge w:val="continue"/>
            <w:tcBorders>
              <w:top w:val="nil"/>
              <w:left w:val="nil"/>
              <w:bottom w:val="nil"/>
            </w:tcBorders>
          </w:tcPr>
          <w:p w14:paraId="69178656"/>
        </w:tc>
        <w:tc>
          <w:tcPr>
            <w:tcW w:w="2844" w:type="dxa"/>
          </w:tcPr>
          <w:p w14:paraId="46897439">
            <w:pPr>
              <w:spacing w:before="94" w:line="222" w:lineRule="auto"/>
              <w:ind w:left="954"/>
              <w:rPr>
                <w:rFonts w:ascii="宋体" w:hAnsi="宋体" w:eastAsia="宋体" w:cs="宋体"/>
                <w:sz w:val="20"/>
                <w:szCs w:val="20"/>
              </w:rPr>
            </w:pPr>
            <w:r>
              <w:rPr>
                <w:rFonts w:ascii="宋体" w:hAnsi="宋体" w:eastAsia="宋体" w:cs="宋体"/>
                <w:spacing w:val="7"/>
                <w:sz w:val="20"/>
                <w:szCs w:val="20"/>
              </w:rPr>
              <w:t>碳酸</w:t>
            </w:r>
            <w:r>
              <w:rPr>
                <w:rFonts w:ascii="宋体" w:hAnsi="宋体" w:eastAsia="宋体" w:cs="宋体"/>
                <w:spacing w:val="6"/>
                <w:sz w:val="20"/>
                <w:szCs w:val="20"/>
              </w:rPr>
              <w:t>根</w:t>
            </w:r>
          </w:p>
        </w:tc>
        <w:tc>
          <w:tcPr>
            <w:tcW w:w="1574" w:type="dxa"/>
          </w:tcPr>
          <w:p w14:paraId="223C8686"/>
        </w:tc>
        <w:tc>
          <w:tcPr>
            <w:tcW w:w="1767" w:type="dxa"/>
          </w:tcPr>
          <w:p w14:paraId="07019807"/>
        </w:tc>
        <w:tc>
          <w:tcPr>
            <w:tcW w:w="1413" w:type="dxa"/>
            <w:tcBorders>
              <w:right w:val="nil"/>
            </w:tcBorders>
          </w:tcPr>
          <w:p w14:paraId="6331F3BF"/>
        </w:tc>
      </w:tr>
      <w:tr w14:paraId="01959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284" w:type="dxa"/>
            <w:vMerge w:val="continue"/>
            <w:tcBorders>
              <w:top w:val="nil"/>
              <w:left w:val="nil"/>
              <w:bottom w:val="nil"/>
            </w:tcBorders>
          </w:tcPr>
          <w:p w14:paraId="33396608"/>
        </w:tc>
        <w:tc>
          <w:tcPr>
            <w:tcW w:w="2844" w:type="dxa"/>
          </w:tcPr>
          <w:p w14:paraId="3C0C2024">
            <w:pPr>
              <w:spacing w:before="92" w:line="223" w:lineRule="auto"/>
              <w:ind w:left="525"/>
              <w:rPr>
                <w:rFonts w:ascii="宋体" w:hAnsi="宋体" w:eastAsia="宋体" w:cs="宋体"/>
                <w:sz w:val="20"/>
                <w:szCs w:val="20"/>
              </w:rPr>
            </w:pPr>
            <w:r>
              <w:rPr>
                <w:rFonts w:ascii="宋体" w:hAnsi="宋体" w:eastAsia="宋体" w:cs="宋体"/>
                <w:spacing w:val="-10"/>
                <w:sz w:val="20"/>
                <w:szCs w:val="20"/>
              </w:rPr>
              <w:t>重</w:t>
            </w:r>
            <w:r>
              <w:rPr>
                <w:rFonts w:ascii="宋体" w:hAnsi="宋体" w:eastAsia="宋体" w:cs="宋体"/>
                <w:spacing w:val="-5"/>
                <w:sz w:val="20"/>
                <w:szCs w:val="20"/>
              </w:rPr>
              <w:t>碳酸根 (碳酸氢根)</w:t>
            </w:r>
          </w:p>
        </w:tc>
        <w:tc>
          <w:tcPr>
            <w:tcW w:w="1574" w:type="dxa"/>
          </w:tcPr>
          <w:p w14:paraId="3839D9BF"/>
        </w:tc>
        <w:tc>
          <w:tcPr>
            <w:tcW w:w="1767" w:type="dxa"/>
          </w:tcPr>
          <w:p w14:paraId="1E6357F8"/>
        </w:tc>
        <w:tc>
          <w:tcPr>
            <w:tcW w:w="1413" w:type="dxa"/>
            <w:tcBorders>
              <w:right w:val="nil"/>
            </w:tcBorders>
          </w:tcPr>
          <w:p w14:paraId="643287EE"/>
        </w:tc>
      </w:tr>
      <w:tr w14:paraId="64728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284" w:type="dxa"/>
            <w:vMerge w:val="continue"/>
            <w:tcBorders>
              <w:top w:val="nil"/>
              <w:left w:val="nil"/>
              <w:bottom w:val="nil"/>
            </w:tcBorders>
          </w:tcPr>
          <w:p w14:paraId="61C9CD17"/>
        </w:tc>
        <w:tc>
          <w:tcPr>
            <w:tcW w:w="2844" w:type="dxa"/>
          </w:tcPr>
          <w:p w14:paraId="15CDE006">
            <w:pPr>
              <w:spacing w:before="91" w:line="223" w:lineRule="auto"/>
              <w:ind w:left="1118"/>
              <w:rPr>
                <w:rFonts w:ascii="宋体" w:hAnsi="宋体" w:eastAsia="宋体" w:cs="宋体"/>
                <w:sz w:val="20"/>
                <w:szCs w:val="20"/>
              </w:rPr>
            </w:pPr>
            <w:r>
              <w:rPr>
                <w:rFonts w:ascii="宋体" w:hAnsi="宋体" w:eastAsia="宋体" w:cs="宋体"/>
                <w:spacing w:val="5"/>
                <w:sz w:val="20"/>
                <w:szCs w:val="20"/>
              </w:rPr>
              <w:t>总硬度</w:t>
            </w:r>
          </w:p>
        </w:tc>
        <w:tc>
          <w:tcPr>
            <w:tcW w:w="1574" w:type="dxa"/>
          </w:tcPr>
          <w:p w14:paraId="1617FE01"/>
        </w:tc>
        <w:tc>
          <w:tcPr>
            <w:tcW w:w="1767" w:type="dxa"/>
          </w:tcPr>
          <w:p w14:paraId="31782C34"/>
        </w:tc>
        <w:tc>
          <w:tcPr>
            <w:tcW w:w="1413" w:type="dxa"/>
            <w:tcBorders>
              <w:right w:val="nil"/>
            </w:tcBorders>
          </w:tcPr>
          <w:p w14:paraId="6A449770"/>
        </w:tc>
      </w:tr>
      <w:tr w14:paraId="34134F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284" w:type="dxa"/>
            <w:vMerge w:val="continue"/>
            <w:tcBorders>
              <w:top w:val="nil"/>
              <w:left w:val="nil"/>
              <w:bottom w:val="nil"/>
            </w:tcBorders>
          </w:tcPr>
          <w:p w14:paraId="18CA8442"/>
        </w:tc>
        <w:tc>
          <w:tcPr>
            <w:tcW w:w="2844" w:type="dxa"/>
          </w:tcPr>
          <w:p w14:paraId="2C409E1C">
            <w:pPr>
              <w:spacing w:before="94" w:line="222" w:lineRule="auto"/>
              <w:ind w:left="1111"/>
              <w:rPr>
                <w:rFonts w:ascii="宋体" w:hAnsi="宋体" w:eastAsia="宋体" w:cs="宋体"/>
                <w:sz w:val="20"/>
                <w:szCs w:val="20"/>
              </w:rPr>
            </w:pPr>
            <w:r>
              <w:rPr>
                <w:rFonts w:ascii="宋体" w:hAnsi="宋体" w:eastAsia="宋体" w:cs="宋体"/>
                <w:spacing w:val="7"/>
                <w:sz w:val="20"/>
                <w:szCs w:val="20"/>
              </w:rPr>
              <w:t>硫酸根</w:t>
            </w:r>
          </w:p>
        </w:tc>
        <w:tc>
          <w:tcPr>
            <w:tcW w:w="1574" w:type="dxa"/>
          </w:tcPr>
          <w:p w14:paraId="45FE729C"/>
        </w:tc>
        <w:tc>
          <w:tcPr>
            <w:tcW w:w="1767" w:type="dxa"/>
          </w:tcPr>
          <w:p w14:paraId="4D7FADBA"/>
        </w:tc>
        <w:tc>
          <w:tcPr>
            <w:tcW w:w="1413" w:type="dxa"/>
            <w:tcBorders>
              <w:right w:val="nil"/>
            </w:tcBorders>
          </w:tcPr>
          <w:p w14:paraId="3638975B"/>
        </w:tc>
      </w:tr>
      <w:tr w14:paraId="214D2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284" w:type="dxa"/>
            <w:vMerge w:val="continue"/>
            <w:tcBorders>
              <w:top w:val="nil"/>
              <w:left w:val="nil"/>
              <w:bottom w:val="nil"/>
            </w:tcBorders>
          </w:tcPr>
          <w:p w14:paraId="63D55319"/>
        </w:tc>
        <w:tc>
          <w:tcPr>
            <w:tcW w:w="2844" w:type="dxa"/>
          </w:tcPr>
          <w:p w14:paraId="09E1CD0A">
            <w:pPr>
              <w:spacing w:before="93" w:line="222" w:lineRule="auto"/>
              <w:ind w:left="804"/>
              <w:rPr>
                <w:rFonts w:ascii="宋体" w:hAnsi="宋体" w:eastAsia="宋体" w:cs="宋体"/>
                <w:sz w:val="20"/>
                <w:szCs w:val="20"/>
              </w:rPr>
            </w:pPr>
            <w:r>
              <w:rPr>
                <w:rFonts w:ascii="宋体" w:hAnsi="宋体" w:eastAsia="宋体" w:cs="宋体"/>
                <w:spacing w:val="8"/>
                <w:sz w:val="20"/>
                <w:szCs w:val="20"/>
              </w:rPr>
              <w:t>高</w:t>
            </w:r>
            <w:r>
              <w:rPr>
                <w:rFonts w:ascii="宋体" w:hAnsi="宋体" w:eastAsia="宋体" w:cs="宋体"/>
                <w:spacing w:val="7"/>
                <w:sz w:val="20"/>
                <w:szCs w:val="20"/>
              </w:rPr>
              <w:t>锰酸盐指数</w:t>
            </w:r>
          </w:p>
        </w:tc>
        <w:tc>
          <w:tcPr>
            <w:tcW w:w="1574" w:type="dxa"/>
          </w:tcPr>
          <w:p w14:paraId="36839BC6"/>
        </w:tc>
        <w:tc>
          <w:tcPr>
            <w:tcW w:w="1767" w:type="dxa"/>
          </w:tcPr>
          <w:p w14:paraId="71FBDC09"/>
        </w:tc>
        <w:tc>
          <w:tcPr>
            <w:tcW w:w="1413" w:type="dxa"/>
            <w:tcBorders>
              <w:right w:val="nil"/>
            </w:tcBorders>
          </w:tcPr>
          <w:p w14:paraId="66352EB1"/>
        </w:tc>
      </w:tr>
      <w:tr w14:paraId="22B69E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284" w:type="dxa"/>
            <w:vMerge w:val="continue"/>
            <w:tcBorders>
              <w:top w:val="nil"/>
              <w:left w:val="nil"/>
            </w:tcBorders>
          </w:tcPr>
          <w:p w14:paraId="289E8EFD"/>
        </w:tc>
        <w:tc>
          <w:tcPr>
            <w:tcW w:w="2844" w:type="dxa"/>
          </w:tcPr>
          <w:p w14:paraId="65E04B36">
            <w:pPr>
              <w:spacing w:before="92" w:line="228" w:lineRule="auto"/>
              <w:ind w:left="1116"/>
              <w:rPr>
                <w:rFonts w:ascii="宋体" w:hAnsi="宋体" w:eastAsia="宋体" w:cs="宋体"/>
                <w:sz w:val="20"/>
                <w:szCs w:val="20"/>
              </w:rPr>
            </w:pPr>
            <w:r>
              <w:rPr>
                <w:rFonts w:ascii="宋体" w:hAnsi="宋体" w:eastAsia="宋体" w:cs="宋体"/>
                <w:spacing w:val="6"/>
                <w:sz w:val="20"/>
                <w:szCs w:val="20"/>
              </w:rPr>
              <w:t>氯离</w:t>
            </w:r>
            <w:r>
              <w:rPr>
                <w:rFonts w:ascii="宋体" w:hAnsi="宋体" w:eastAsia="宋体" w:cs="宋体"/>
                <w:spacing w:val="5"/>
                <w:sz w:val="20"/>
                <w:szCs w:val="20"/>
              </w:rPr>
              <w:t>子</w:t>
            </w:r>
          </w:p>
        </w:tc>
        <w:tc>
          <w:tcPr>
            <w:tcW w:w="1574" w:type="dxa"/>
          </w:tcPr>
          <w:p w14:paraId="68B24582"/>
        </w:tc>
        <w:tc>
          <w:tcPr>
            <w:tcW w:w="1767" w:type="dxa"/>
          </w:tcPr>
          <w:p w14:paraId="1A2185D6"/>
        </w:tc>
        <w:tc>
          <w:tcPr>
            <w:tcW w:w="1413" w:type="dxa"/>
            <w:tcBorders>
              <w:right w:val="nil"/>
            </w:tcBorders>
          </w:tcPr>
          <w:p w14:paraId="13183504"/>
        </w:tc>
      </w:tr>
    </w:tbl>
    <w:p w14:paraId="52F957E8"/>
    <w:p w14:paraId="42AE2E08">
      <w:pPr>
        <w:sectPr>
          <w:footerReference r:id="rId164" w:type="default"/>
          <w:pgSz w:w="11907" w:h="16840"/>
          <w:pgMar w:top="400" w:right="1471" w:bottom="1485" w:left="1551" w:header="0" w:footer="1298" w:gutter="0"/>
          <w:cols w:space="720" w:num="1"/>
        </w:sectPr>
      </w:pPr>
    </w:p>
    <w:p w14:paraId="2F28BF13">
      <w:pPr>
        <w:spacing w:line="460" w:lineRule="auto"/>
      </w:pPr>
    </w:p>
    <w:p w14:paraId="49371165">
      <w:pPr>
        <w:spacing w:before="56" w:line="229" w:lineRule="auto"/>
        <w:ind w:left="115"/>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60A33332">
      <w:pPr>
        <w:spacing w:line="14" w:lineRule="exact"/>
      </w:pPr>
    </w:p>
    <w:tbl>
      <w:tblPr>
        <w:tblStyle w:val="4"/>
        <w:tblW w:w="888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2844"/>
        <w:gridCol w:w="1574"/>
        <w:gridCol w:w="1767"/>
        <w:gridCol w:w="1414"/>
      </w:tblGrid>
      <w:tr w14:paraId="2D3BCA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1284" w:type="dxa"/>
            <w:vMerge w:val="restart"/>
            <w:tcBorders>
              <w:left w:val="nil"/>
              <w:bottom w:val="nil"/>
            </w:tcBorders>
          </w:tcPr>
          <w:p w14:paraId="6FEFE764"/>
        </w:tc>
        <w:tc>
          <w:tcPr>
            <w:tcW w:w="2844" w:type="dxa"/>
          </w:tcPr>
          <w:p w14:paraId="618CEC8D">
            <w:pPr>
              <w:spacing w:before="129" w:line="224" w:lineRule="auto"/>
              <w:ind w:left="1218"/>
              <w:rPr>
                <w:rFonts w:ascii="宋体" w:hAnsi="宋体" w:eastAsia="宋体" w:cs="宋体"/>
                <w:sz w:val="20"/>
                <w:szCs w:val="20"/>
              </w:rPr>
            </w:pPr>
            <w:r>
              <w:rPr>
                <w:rFonts w:ascii="宋体" w:hAnsi="宋体" w:eastAsia="宋体" w:cs="宋体"/>
                <w:spacing w:val="5"/>
                <w:sz w:val="20"/>
                <w:szCs w:val="20"/>
              </w:rPr>
              <w:t>氨</w:t>
            </w:r>
            <w:r>
              <w:rPr>
                <w:rFonts w:ascii="宋体" w:hAnsi="宋体" w:eastAsia="宋体" w:cs="宋体"/>
                <w:spacing w:val="4"/>
                <w:sz w:val="20"/>
                <w:szCs w:val="20"/>
              </w:rPr>
              <w:t>氮</w:t>
            </w:r>
          </w:p>
        </w:tc>
        <w:tc>
          <w:tcPr>
            <w:tcW w:w="1574" w:type="dxa"/>
          </w:tcPr>
          <w:p w14:paraId="765BB58F"/>
        </w:tc>
        <w:tc>
          <w:tcPr>
            <w:tcW w:w="1767" w:type="dxa"/>
          </w:tcPr>
          <w:p w14:paraId="37513512"/>
        </w:tc>
        <w:tc>
          <w:tcPr>
            <w:tcW w:w="1414" w:type="dxa"/>
            <w:tcBorders>
              <w:right w:val="nil"/>
            </w:tcBorders>
          </w:tcPr>
          <w:p w14:paraId="416DD2C6"/>
        </w:tc>
      </w:tr>
      <w:tr w14:paraId="703B97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284" w:type="dxa"/>
            <w:vMerge w:val="continue"/>
            <w:tcBorders>
              <w:top w:val="nil"/>
              <w:left w:val="nil"/>
              <w:bottom w:val="nil"/>
            </w:tcBorders>
          </w:tcPr>
          <w:p w14:paraId="69D83329"/>
        </w:tc>
        <w:tc>
          <w:tcPr>
            <w:tcW w:w="2844" w:type="dxa"/>
          </w:tcPr>
          <w:p w14:paraId="262F9519">
            <w:pPr>
              <w:spacing w:before="88" w:line="226" w:lineRule="auto"/>
              <w:ind w:left="1114"/>
              <w:rPr>
                <w:rFonts w:ascii="宋体" w:hAnsi="宋体" w:eastAsia="宋体" w:cs="宋体"/>
                <w:sz w:val="20"/>
                <w:szCs w:val="20"/>
              </w:rPr>
            </w:pPr>
            <w:r>
              <w:rPr>
                <w:rFonts w:ascii="宋体" w:hAnsi="宋体" w:eastAsia="宋体" w:cs="宋体"/>
                <w:spacing w:val="7"/>
                <w:sz w:val="20"/>
                <w:szCs w:val="20"/>
              </w:rPr>
              <w:t>硝</w:t>
            </w:r>
            <w:r>
              <w:rPr>
                <w:rFonts w:ascii="宋体" w:hAnsi="宋体" w:eastAsia="宋体" w:cs="宋体"/>
                <w:spacing w:val="6"/>
                <w:sz w:val="20"/>
                <w:szCs w:val="20"/>
              </w:rPr>
              <w:t>酸盐</w:t>
            </w:r>
          </w:p>
        </w:tc>
        <w:tc>
          <w:tcPr>
            <w:tcW w:w="1574" w:type="dxa"/>
          </w:tcPr>
          <w:p w14:paraId="0A779476"/>
        </w:tc>
        <w:tc>
          <w:tcPr>
            <w:tcW w:w="1767" w:type="dxa"/>
          </w:tcPr>
          <w:p w14:paraId="28872512"/>
        </w:tc>
        <w:tc>
          <w:tcPr>
            <w:tcW w:w="1414" w:type="dxa"/>
            <w:tcBorders>
              <w:right w:val="nil"/>
            </w:tcBorders>
          </w:tcPr>
          <w:p w14:paraId="63A5F1D6"/>
        </w:tc>
      </w:tr>
      <w:tr w14:paraId="5871B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1284" w:type="dxa"/>
            <w:vMerge w:val="continue"/>
            <w:tcBorders>
              <w:top w:val="nil"/>
              <w:left w:val="nil"/>
              <w:bottom w:val="nil"/>
            </w:tcBorders>
          </w:tcPr>
          <w:p w14:paraId="393C67DF"/>
        </w:tc>
        <w:tc>
          <w:tcPr>
            <w:tcW w:w="2844" w:type="dxa"/>
          </w:tcPr>
          <w:p w14:paraId="5D69B758">
            <w:pPr>
              <w:spacing w:before="88" w:line="225" w:lineRule="auto"/>
              <w:ind w:left="1008"/>
              <w:rPr>
                <w:rFonts w:ascii="宋体" w:hAnsi="宋体" w:eastAsia="宋体" w:cs="宋体"/>
                <w:sz w:val="20"/>
                <w:szCs w:val="20"/>
              </w:rPr>
            </w:pPr>
            <w:r>
              <w:rPr>
                <w:rFonts w:ascii="宋体" w:hAnsi="宋体" w:eastAsia="宋体" w:cs="宋体"/>
                <w:spacing w:val="7"/>
                <w:sz w:val="20"/>
                <w:szCs w:val="20"/>
              </w:rPr>
              <w:t>亚硝酸</w:t>
            </w:r>
            <w:r>
              <w:rPr>
                <w:rFonts w:ascii="宋体" w:hAnsi="宋体" w:eastAsia="宋体" w:cs="宋体"/>
                <w:spacing w:val="6"/>
                <w:sz w:val="20"/>
                <w:szCs w:val="20"/>
              </w:rPr>
              <w:t>盐</w:t>
            </w:r>
          </w:p>
        </w:tc>
        <w:tc>
          <w:tcPr>
            <w:tcW w:w="1574" w:type="dxa"/>
          </w:tcPr>
          <w:p w14:paraId="3BAB82EF"/>
        </w:tc>
        <w:tc>
          <w:tcPr>
            <w:tcW w:w="1767" w:type="dxa"/>
          </w:tcPr>
          <w:p w14:paraId="3DCAEE1B"/>
        </w:tc>
        <w:tc>
          <w:tcPr>
            <w:tcW w:w="1414" w:type="dxa"/>
            <w:tcBorders>
              <w:right w:val="nil"/>
            </w:tcBorders>
          </w:tcPr>
          <w:p w14:paraId="2D1D4F23"/>
        </w:tc>
      </w:tr>
      <w:tr w14:paraId="0E671D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284" w:type="dxa"/>
            <w:vMerge w:val="continue"/>
            <w:tcBorders>
              <w:top w:val="nil"/>
              <w:left w:val="nil"/>
              <w:bottom w:val="nil"/>
            </w:tcBorders>
          </w:tcPr>
          <w:p w14:paraId="1D75FC79"/>
        </w:tc>
        <w:tc>
          <w:tcPr>
            <w:tcW w:w="2844" w:type="dxa"/>
          </w:tcPr>
          <w:p w14:paraId="526363FB">
            <w:pPr>
              <w:spacing w:before="92" w:line="223" w:lineRule="auto"/>
              <w:ind w:left="800"/>
              <w:rPr>
                <w:rFonts w:ascii="宋体" w:hAnsi="宋体" w:eastAsia="宋体" w:cs="宋体"/>
                <w:sz w:val="20"/>
                <w:szCs w:val="20"/>
              </w:rPr>
            </w:pPr>
            <w:r>
              <w:rPr>
                <w:rFonts w:ascii="宋体" w:hAnsi="宋体" w:eastAsia="宋体" w:cs="宋体"/>
                <w:spacing w:val="8"/>
                <w:sz w:val="20"/>
                <w:szCs w:val="20"/>
              </w:rPr>
              <w:t>溶解性总固</w:t>
            </w:r>
            <w:r>
              <w:rPr>
                <w:rFonts w:ascii="宋体" w:hAnsi="宋体" w:eastAsia="宋体" w:cs="宋体"/>
                <w:spacing w:val="7"/>
                <w:sz w:val="20"/>
                <w:szCs w:val="20"/>
              </w:rPr>
              <w:t>体</w:t>
            </w:r>
          </w:p>
        </w:tc>
        <w:tc>
          <w:tcPr>
            <w:tcW w:w="1574" w:type="dxa"/>
          </w:tcPr>
          <w:p w14:paraId="49FF6C99"/>
        </w:tc>
        <w:tc>
          <w:tcPr>
            <w:tcW w:w="1767" w:type="dxa"/>
          </w:tcPr>
          <w:p w14:paraId="66F6104F"/>
        </w:tc>
        <w:tc>
          <w:tcPr>
            <w:tcW w:w="1414" w:type="dxa"/>
            <w:tcBorders>
              <w:right w:val="nil"/>
            </w:tcBorders>
          </w:tcPr>
          <w:p w14:paraId="08DC81AA"/>
        </w:tc>
      </w:tr>
      <w:tr w14:paraId="649C70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284" w:type="dxa"/>
            <w:vMerge w:val="continue"/>
            <w:tcBorders>
              <w:top w:val="nil"/>
              <w:left w:val="nil"/>
            </w:tcBorders>
          </w:tcPr>
          <w:p w14:paraId="24F18F96"/>
        </w:tc>
        <w:tc>
          <w:tcPr>
            <w:tcW w:w="2844" w:type="dxa"/>
          </w:tcPr>
          <w:p w14:paraId="621E4156">
            <w:pPr>
              <w:spacing w:before="56" w:line="281" w:lineRule="exact"/>
              <w:ind w:left="379"/>
              <w:rPr>
                <w:rFonts w:ascii="宋体" w:hAnsi="宋体" w:eastAsia="宋体" w:cs="宋体"/>
                <w:sz w:val="20"/>
                <w:szCs w:val="20"/>
              </w:rPr>
            </w:pPr>
            <w:r>
              <w:rPr>
                <w:rFonts w:ascii="宋体" w:hAnsi="宋体" w:eastAsia="宋体" w:cs="宋体"/>
                <w:spacing w:val="9"/>
                <w:position w:val="1"/>
                <w:sz w:val="20"/>
                <w:szCs w:val="20"/>
              </w:rPr>
              <w:t>总</w:t>
            </w:r>
            <w:r>
              <w:rPr>
                <w:rFonts w:ascii="宋体" w:hAnsi="宋体" w:eastAsia="宋体" w:cs="宋体"/>
                <w:spacing w:val="8"/>
                <w:position w:val="1"/>
                <w:sz w:val="20"/>
                <w:szCs w:val="20"/>
              </w:rPr>
              <w:t>大肠菌群 (</w:t>
            </w:r>
            <w:r>
              <w:rPr>
                <w:rFonts w:ascii="Times New Roman" w:hAnsi="Times New Roman" w:eastAsia="Times New Roman" w:cs="Times New Roman"/>
                <w:position w:val="1"/>
                <w:sz w:val="20"/>
                <w:szCs w:val="20"/>
              </w:rPr>
              <w:t>MPN</w:t>
            </w:r>
            <w:r>
              <w:rPr>
                <w:rFonts w:ascii="Times New Roman" w:hAnsi="Times New Roman" w:eastAsia="Times New Roman" w:cs="Times New Roman"/>
                <w:spacing w:val="8"/>
                <w:position w:val="1"/>
                <w:sz w:val="20"/>
                <w:szCs w:val="20"/>
              </w:rPr>
              <w:t>/</w:t>
            </w:r>
            <w:r>
              <w:rPr>
                <w:rFonts w:ascii="Times New Roman" w:hAnsi="Times New Roman" w:eastAsia="Times New Roman" w:cs="Times New Roman"/>
                <w:position w:val="1"/>
                <w:sz w:val="20"/>
                <w:szCs w:val="20"/>
              </w:rPr>
              <w:t>L</w:t>
            </w:r>
            <w:r>
              <w:rPr>
                <w:rFonts w:ascii="宋体" w:hAnsi="宋体" w:eastAsia="宋体" w:cs="宋体"/>
                <w:spacing w:val="8"/>
                <w:position w:val="1"/>
                <w:sz w:val="20"/>
                <w:szCs w:val="20"/>
              </w:rPr>
              <w:t>)</w:t>
            </w:r>
          </w:p>
        </w:tc>
        <w:tc>
          <w:tcPr>
            <w:tcW w:w="1574" w:type="dxa"/>
          </w:tcPr>
          <w:p w14:paraId="3DBD63E6"/>
        </w:tc>
        <w:tc>
          <w:tcPr>
            <w:tcW w:w="1767" w:type="dxa"/>
          </w:tcPr>
          <w:p w14:paraId="25AE385C"/>
        </w:tc>
        <w:tc>
          <w:tcPr>
            <w:tcW w:w="1414" w:type="dxa"/>
            <w:tcBorders>
              <w:right w:val="nil"/>
            </w:tcBorders>
          </w:tcPr>
          <w:p w14:paraId="27B4F80A"/>
        </w:tc>
      </w:tr>
    </w:tbl>
    <w:p w14:paraId="6097822E">
      <w:pPr>
        <w:spacing w:before="36" w:line="228" w:lineRule="auto"/>
        <w:ind w:left="601"/>
        <w:rPr>
          <w:rFonts w:ascii="宋体" w:hAnsi="宋体" w:eastAsia="宋体" w:cs="宋体"/>
          <w:sz w:val="23"/>
          <w:szCs w:val="23"/>
        </w:rPr>
      </w:pPr>
      <w:r>
        <w:rPr>
          <w:rFonts w:ascii="宋体" w:hAnsi="宋体" w:eastAsia="宋体" w:cs="宋体"/>
          <w:spacing w:val="20"/>
          <w:sz w:val="23"/>
          <w:szCs w:val="23"/>
        </w:rPr>
        <w:t>从</w:t>
      </w:r>
      <w:r>
        <w:rPr>
          <w:rFonts w:ascii="宋体" w:hAnsi="宋体" w:eastAsia="宋体" w:cs="宋体"/>
          <w:spacing w:val="14"/>
          <w:sz w:val="23"/>
          <w:szCs w:val="23"/>
        </w:rPr>
        <w:t>上</w:t>
      </w:r>
      <w:r>
        <w:rPr>
          <w:rFonts w:ascii="宋体" w:hAnsi="宋体" w:eastAsia="宋体" w:cs="宋体"/>
          <w:spacing w:val="10"/>
          <w:sz w:val="23"/>
          <w:szCs w:val="23"/>
        </w:rPr>
        <w:t>表可以可知：现状监测中各监测点位各监测因子监测浓度均符合《地下水</w:t>
      </w:r>
    </w:p>
    <w:p w14:paraId="2F6A0331">
      <w:pPr>
        <w:spacing w:before="181" w:line="227" w:lineRule="auto"/>
        <w:ind w:left="119"/>
        <w:rPr>
          <w:rFonts w:ascii="宋体" w:hAnsi="宋体" w:eastAsia="宋体" w:cs="宋体"/>
          <w:sz w:val="23"/>
          <w:szCs w:val="23"/>
        </w:rPr>
      </w:pPr>
      <w:r>
        <w:rPr>
          <w:rFonts w:ascii="宋体" w:hAnsi="宋体" w:eastAsia="宋体" w:cs="宋体"/>
          <w:spacing w:val="2"/>
          <w:sz w:val="23"/>
          <w:szCs w:val="23"/>
        </w:rPr>
        <w:t>质量标准</w:t>
      </w:r>
      <w:r>
        <w:rPr>
          <w:rFonts w:ascii="宋体" w:hAnsi="宋体" w:eastAsia="宋体" w:cs="宋体"/>
          <w:spacing w:val="1"/>
          <w:sz w:val="23"/>
          <w:szCs w:val="23"/>
        </w:rPr>
        <w:t>》  (</w:t>
      </w:r>
      <w:r>
        <w:rPr>
          <w:rFonts w:ascii="Times New Roman" w:hAnsi="Times New Roman" w:eastAsia="Times New Roman" w:cs="Times New Roman"/>
          <w:sz w:val="23"/>
          <w:szCs w:val="23"/>
        </w:rPr>
        <w:t>GB</w:t>
      </w:r>
      <w:r>
        <w:rPr>
          <w:rFonts w:ascii="Times New Roman" w:hAnsi="Times New Roman" w:eastAsia="Times New Roman" w:cs="Times New Roman"/>
          <w:spacing w:val="1"/>
          <w:sz w:val="23"/>
          <w:szCs w:val="23"/>
        </w:rPr>
        <w:t>14848-2017</w:t>
      </w:r>
      <w:r>
        <w:rPr>
          <w:rFonts w:ascii="宋体" w:hAnsi="宋体" w:eastAsia="宋体" w:cs="宋体"/>
          <w:spacing w:val="1"/>
          <w:sz w:val="23"/>
          <w:szCs w:val="23"/>
        </w:rPr>
        <w:t xml:space="preserve">) 中的 </w:t>
      </w:r>
      <w:r>
        <w:rPr>
          <w:rFonts w:ascii="Times New Roman" w:hAnsi="Times New Roman" w:eastAsia="Times New Roman" w:cs="Times New Roman"/>
          <w:sz w:val="23"/>
          <w:szCs w:val="23"/>
        </w:rPr>
        <w:t>III</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类标准要求。</w:t>
      </w:r>
    </w:p>
    <w:p w14:paraId="11093889">
      <w:pPr>
        <w:spacing w:before="189" w:line="219" w:lineRule="auto"/>
        <w:ind w:left="115"/>
        <w:outlineLvl w:val="1"/>
        <w:rPr>
          <w:rFonts w:ascii="宋体" w:hAnsi="宋体" w:eastAsia="宋体" w:cs="宋体"/>
          <w:sz w:val="28"/>
          <w:szCs w:val="28"/>
        </w:rPr>
      </w:pPr>
      <w:r>
        <w:rPr>
          <w:rFonts w:ascii="Times New Roman" w:hAnsi="Times New Roman" w:eastAsia="Times New Roman" w:cs="Times New Roman"/>
          <w:b/>
          <w:bCs/>
          <w:spacing w:val="1"/>
          <w:sz w:val="28"/>
          <w:szCs w:val="28"/>
        </w:rPr>
        <w:t>4</w:t>
      </w:r>
      <w:r>
        <w:rPr>
          <w:rFonts w:ascii="Times New Roman" w:hAnsi="Times New Roman" w:eastAsia="Times New Roman" w:cs="Times New Roman"/>
          <w:b/>
          <w:bCs/>
          <w:sz w:val="28"/>
          <w:szCs w:val="28"/>
        </w:rPr>
        <w:t>.2.4</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声环境现状调查及评价</w:t>
      </w:r>
    </w:p>
    <w:p w14:paraId="29CA890F">
      <w:pPr>
        <w:spacing w:before="207" w:line="227" w:lineRule="auto"/>
        <w:ind w:left="369"/>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8"/>
          <w:sz w:val="23"/>
          <w:szCs w:val="23"/>
        </w:rPr>
        <w:t>1</w:t>
      </w:r>
      <w:r>
        <w:rPr>
          <w:rFonts w:ascii="宋体" w:hAnsi="宋体" w:eastAsia="宋体" w:cs="宋体"/>
          <w:spacing w:val="18"/>
          <w:sz w:val="23"/>
          <w:szCs w:val="23"/>
        </w:rPr>
        <w:t>) 监测点位布</w:t>
      </w:r>
      <w:r>
        <w:rPr>
          <w:rFonts w:ascii="宋体" w:hAnsi="宋体" w:eastAsia="宋体" w:cs="宋体"/>
          <w:spacing w:val="17"/>
          <w:sz w:val="23"/>
          <w:szCs w:val="23"/>
        </w:rPr>
        <w:t>设</w:t>
      </w:r>
    </w:p>
    <w:p w14:paraId="59F8BB25">
      <w:pPr>
        <w:spacing w:before="185" w:line="374" w:lineRule="auto"/>
        <w:ind w:left="122" w:right="515" w:firstLine="475"/>
        <w:rPr>
          <w:rFonts w:ascii="宋体" w:hAnsi="宋体" w:eastAsia="宋体" w:cs="宋体"/>
          <w:sz w:val="23"/>
          <w:szCs w:val="23"/>
        </w:rPr>
      </w:pPr>
      <w:r>
        <w:rPr>
          <w:rFonts w:ascii="宋体" w:hAnsi="宋体" w:eastAsia="宋体" w:cs="宋体"/>
          <w:spacing w:val="16"/>
          <w:sz w:val="23"/>
          <w:szCs w:val="23"/>
        </w:rPr>
        <w:t>根</w:t>
      </w:r>
      <w:r>
        <w:rPr>
          <w:rFonts w:ascii="宋体" w:hAnsi="宋体" w:eastAsia="宋体" w:cs="宋体"/>
          <w:spacing w:val="9"/>
          <w:sz w:val="23"/>
          <w:szCs w:val="23"/>
        </w:rPr>
        <w:t>据</w:t>
      </w:r>
      <w:r>
        <w:rPr>
          <w:rFonts w:ascii="宋体" w:hAnsi="宋体" w:eastAsia="宋体" w:cs="宋体"/>
          <w:spacing w:val="8"/>
          <w:sz w:val="23"/>
          <w:szCs w:val="23"/>
        </w:rPr>
        <w:t xml:space="preserve">项目区实际情况，分别在厂界周围设置 </w:t>
      </w:r>
      <w:r>
        <w:rPr>
          <w:rFonts w:ascii="Times New Roman" w:hAnsi="Times New Roman" w:eastAsia="Times New Roman" w:cs="Times New Roman"/>
          <w:spacing w:val="8"/>
          <w:sz w:val="23"/>
          <w:szCs w:val="23"/>
        </w:rPr>
        <w:t xml:space="preserve">4 </w:t>
      </w:r>
      <w:r>
        <w:rPr>
          <w:rFonts w:ascii="宋体" w:hAnsi="宋体" w:eastAsia="宋体" w:cs="宋体"/>
          <w:spacing w:val="8"/>
          <w:sz w:val="23"/>
          <w:szCs w:val="23"/>
        </w:rPr>
        <w:t>个噪声监测点，噪声监测情况及</w:t>
      </w:r>
      <w:r>
        <w:rPr>
          <w:rFonts w:ascii="宋体" w:hAnsi="宋体" w:eastAsia="宋体" w:cs="宋体"/>
          <w:sz w:val="23"/>
          <w:szCs w:val="23"/>
        </w:rPr>
        <w:t xml:space="preserve"> </w:t>
      </w:r>
      <w:r>
        <w:rPr>
          <w:rFonts w:ascii="宋体" w:hAnsi="宋体" w:eastAsia="宋体" w:cs="宋体"/>
          <w:spacing w:val="-5"/>
          <w:sz w:val="23"/>
          <w:szCs w:val="23"/>
        </w:rPr>
        <w:t>具</w:t>
      </w:r>
      <w:r>
        <w:rPr>
          <w:rFonts w:ascii="宋体" w:hAnsi="宋体" w:eastAsia="宋体" w:cs="宋体"/>
          <w:spacing w:val="-3"/>
          <w:sz w:val="23"/>
          <w:szCs w:val="23"/>
        </w:rPr>
        <w:t xml:space="preserve">体位置见表 </w:t>
      </w:r>
      <w:r>
        <w:rPr>
          <w:rFonts w:ascii="Times New Roman" w:hAnsi="Times New Roman" w:eastAsia="Times New Roman" w:cs="Times New Roman"/>
          <w:spacing w:val="-3"/>
          <w:sz w:val="23"/>
          <w:szCs w:val="23"/>
        </w:rPr>
        <w:t>4.2- 11</w:t>
      </w:r>
      <w:r>
        <w:rPr>
          <w:rFonts w:ascii="宋体" w:hAnsi="宋体" w:eastAsia="宋体" w:cs="宋体"/>
          <w:spacing w:val="-3"/>
          <w:sz w:val="23"/>
          <w:szCs w:val="23"/>
        </w:rPr>
        <w:t>。</w:t>
      </w:r>
    </w:p>
    <w:p w14:paraId="36306B36">
      <w:pPr>
        <w:spacing w:before="1" w:line="222" w:lineRule="auto"/>
        <w:ind w:left="2797"/>
        <w:rPr>
          <w:rFonts w:ascii="黑体" w:hAnsi="黑体" w:eastAsia="黑体" w:cs="黑体"/>
          <w:sz w:val="23"/>
          <w:szCs w:val="23"/>
        </w:rPr>
      </w:pPr>
      <w:r>
        <w:rPr>
          <w:rFonts w:ascii="黑体" w:hAnsi="黑体" w:eastAsia="黑体" w:cs="黑体"/>
          <w:spacing w:val="1"/>
          <w:sz w:val="23"/>
          <w:szCs w:val="23"/>
        </w:rPr>
        <w:t xml:space="preserve">表 </w:t>
      </w:r>
      <w:r>
        <w:rPr>
          <w:rFonts w:ascii="Times New Roman" w:hAnsi="Times New Roman" w:eastAsia="Times New Roman" w:cs="Times New Roman"/>
          <w:sz w:val="23"/>
          <w:szCs w:val="23"/>
        </w:rPr>
        <w:t xml:space="preserve">4.2- 11    </w:t>
      </w:r>
      <w:r>
        <w:rPr>
          <w:rFonts w:ascii="黑体" w:hAnsi="黑体" w:eastAsia="黑体" w:cs="黑体"/>
          <w:sz w:val="23"/>
          <w:szCs w:val="23"/>
        </w:rPr>
        <w:t>噪声监测点位一览表</w:t>
      </w:r>
    </w:p>
    <w:tbl>
      <w:tblPr>
        <w:tblStyle w:val="4"/>
        <w:tblW w:w="928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62"/>
        <w:gridCol w:w="2629"/>
        <w:gridCol w:w="2933"/>
        <w:gridCol w:w="2064"/>
      </w:tblGrid>
      <w:tr w14:paraId="0F713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1662" w:type="dxa"/>
            <w:tcBorders>
              <w:left w:val="nil"/>
            </w:tcBorders>
          </w:tcPr>
          <w:p w14:paraId="7A8DB840">
            <w:pPr>
              <w:spacing w:before="56" w:line="226" w:lineRule="auto"/>
              <w:ind w:left="62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2629" w:type="dxa"/>
          </w:tcPr>
          <w:p w14:paraId="29E273F3">
            <w:pPr>
              <w:spacing w:before="56" w:line="226" w:lineRule="auto"/>
              <w:ind w:left="795"/>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监</w:t>
            </w:r>
            <w:r>
              <w:rPr>
                <w:rFonts w:ascii="宋体" w:hAnsi="宋体" w:eastAsia="宋体" w:cs="宋体"/>
                <w:spacing w:val="8"/>
                <w:sz w:val="20"/>
                <w:szCs w:val="20"/>
                <w14:textOutline w14:w="3797" w14:cap="sq" w14:cmpd="sng" w14:algn="ctr">
                  <w14:solidFill>
                    <w14:srgbClr w14:val="000000"/>
                  </w14:solidFill>
                  <w14:prstDash w14:val="solid"/>
                  <w14:bevel/>
                </w14:textOutline>
              </w:rPr>
              <w:t>测点名称</w:t>
            </w:r>
          </w:p>
        </w:tc>
        <w:tc>
          <w:tcPr>
            <w:tcW w:w="2933" w:type="dxa"/>
          </w:tcPr>
          <w:p w14:paraId="6F86FF20">
            <w:pPr>
              <w:spacing w:before="56" w:line="226" w:lineRule="auto"/>
              <w:ind w:left="1051"/>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方</w:t>
            </w:r>
            <w:r>
              <w:rPr>
                <w:rFonts w:ascii="宋体" w:hAnsi="宋体" w:eastAsia="宋体" w:cs="宋体"/>
                <w:spacing w:val="8"/>
                <w:sz w:val="20"/>
                <w:szCs w:val="20"/>
                <w14:textOutline w14:w="3797" w14:cap="sq" w14:cmpd="sng" w14:algn="ctr">
                  <w14:solidFill>
                    <w14:srgbClr w14:val="000000"/>
                  </w14:solidFill>
                  <w14:prstDash w14:val="solid"/>
                  <w14:bevel/>
                </w14:textOutline>
              </w:rPr>
              <w:t>位距离</w:t>
            </w:r>
          </w:p>
        </w:tc>
        <w:tc>
          <w:tcPr>
            <w:tcW w:w="2064" w:type="dxa"/>
            <w:tcBorders>
              <w:right w:val="nil"/>
            </w:tcBorders>
          </w:tcPr>
          <w:p w14:paraId="28F66444">
            <w:pPr>
              <w:spacing w:before="56" w:line="226" w:lineRule="auto"/>
              <w:ind w:left="829"/>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备</w:t>
            </w:r>
            <w:r>
              <w:rPr>
                <w:rFonts w:ascii="宋体" w:hAnsi="宋体" w:eastAsia="宋体" w:cs="宋体"/>
                <w:spacing w:val="4"/>
                <w:sz w:val="20"/>
                <w:szCs w:val="20"/>
                <w14:textOutline w14:w="3797" w14:cap="sq" w14:cmpd="sng" w14:algn="ctr">
                  <w14:solidFill>
                    <w14:srgbClr w14:val="000000"/>
                  </w14:solidFill>
                  <w14:prstDash w14:val="solid"/>
                  <w14:bevel/>
                </w14:textOutline>
              </w:rPr>
              <w:t>注</w:t>
            </w:r>
          </w:p>
        </w:tc>
      </w:tr>
      <w:tr w14:paraId="7D3220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662" w:type="dxa"/>
            <w:tcBorders>
              <w:left w:val="nil"/>
            </w:tcBorders>
          </w:tcPr>
          <w:p w14:paraId="068D827D">
            <w:pPr>
              <w:spacing w:before="52" w:line="195" w:lineRule="auto"/>
              <w:ind w:left="631"/>
              <w:rPr>
                <w:rFonts w:ascii="Times New Roman" w:hAnsi="Times New Roman" w:eastAsia="Times New Roman" w:cs="Times New Roman"/>
                <w:sz w:val="20"/>
                <w:szCs w:val="20"/>
              </w:rPr>
            </w:pPr>
            <w:r>
              <w:rPr>
                <w:rFonts w:ascii="Times New Roman" w:hAnsi="Times New Roman" w:eastAsia="Times New Roman" w:cs="Times New Roman"/>
                <w:sz w:val="20"/>
                <w:szCs w:val="20"/>
              </w:rPr>
              <w:t>AN</w:t>
            </w:r>
            <w:r>
              <w:rPr>
                <w:rFonts w:ascii="Times New Roman" w:hAnsi="Times New Roman" w:eastAsia="Times New Roman" w:cs="Times New Roman"/>
                <w:spacing w:val="16"/>
                <w:sz w:val="20"/>
                <w:szCs w:val="20"/>
              </w:rPr>
              <w:t>1</w:t>
            </w:r>
          </w:p>
        </w:tc>
        <w:tc>
          <w:tcPr>
            <w:tcW w:w="2629" w:type="dxa"/>
          </w:tcPr>
          <w:p w14:paraId="7DD3ACEE">
            <w:pPr>
              <w:spacing w:before="31" w:line="227" w:lineRule="auto"/>
              <w:ind w:left="902"/>
              <w:rPr>
                <w:rFonts w:ascii="宋体" w:hAnsi="宋体" w:eastAsia="宋体" w:cs="宋体"/>
                <w:sz w:val="20"/>
                <w:szCs w:val="20"/>
              </w:rPr>
            </w:pPr>
            <w:r>
              <w:rPr>
                <w:rFonts w:ascii="宋体" w:hAnsi="宋体" w:eastAsia="宋体" w:cs="宋体"/>
                <w:spacing w:val="9"/>
                <w:sz w:val="20"/>
                <w:szCs w:val="20"/>
              </w:rPr>
              <w:t>厂</w:t>
            </w:r>
            <w:r>
              <w:rPr>
                <w:rFonts w:ascii="宋体" w:hAnsi="宋体" w:eastAsia="宋体" w:cs="宋体"/>
                <w:spacing w:val="6"/>
                <w:sz w:val="20"/>
                <w:szCs w:val="20"/>
              </w:rPr>
              <w:t>界东面</w:t>
            </w:r>
          </w:p>
        </w:tc>
        <w:tc>
          <w:tcPr>
            <w:tcW w:w="2933" w:type="dxa"/>
          </w:tcPr>
          <w:p w14:paraId="3C9E1727">
            <w:pPr>
              <w:spacing w:before="31" w:line="227" w:lineRule="auto"/>
              <w:ind w:left="820"/>
              <w:rPr>
                <w:rFonts w:ascii="宋体" w:hAnsi="宋体" w:eastAsia="宋体" w:cs="宋体"/>
                <w:sz w:val="20"/>
                <w:szCs w:val="20"/>
              </w:rPr>
            </w:pPr>
            <w:r>
              <w:rPr>
                <w:rFonts w:ascii="宋体" w:hAnsi="宋体" w:eastAsia="宋体" w:cs="宋体"/>
                <w:spacing w:val="9"/>
                <w:sz w:val="20"/>
                <w:szCs w:val="20"/>
              </w:rPr>
              <w:t>东</w:t>
            </w:r>
            <w:r>
              <w:rPr>
                <w:rFonts w:ascii="宋体" w:hAnsi="宋体" w:eastAsia="宋体" w:cs="宋体"/>
                <w:spacing w:val="7"/>
                <w:sz w:val="20"/>
                <w:szCs w:val="20"/>
              </w:rPr>
              <w:t>厂界外</w:t>
            </w:r>
            <w:r>
              <w:rPr>
                <w:rFonts w:ascii="Times New Roman" w:hAnsi="Times New Roman" w:eastAsia="Times New Roman" w:cs="Times New Roman"/>
                <w:spacing w:val="7"/>
                <w:sz w:val="20"/>
                <w:szCs w:val="20"/>
              </w:rPr>
              <w:t>1</w:t>
            </w:r>
            <w:r>
              <w:rPr>
                <w:rFonts w:ascii="Times New Roman" w:hAnsi="Times New Roman" w:eastAsia="Times New Roman" w:cs="Times New Roman"/>
                <w:sz w:val="20"/>
                <w:szCs w:val="20"/>
              </w:rPr>
              <w:t>m</w:t>
            </w:r>
            <w:r>
              <w:rPr>
                <w:rFonts w:ascii="宋体" w:hAnsi="宋体" w:eastAsia="宋体" w:cs="宋体"/>
                <w:spacing w:val="7"/>
                <w:sz w:val="20"/>
                <w:szCs w:val="20"/>
              </w:rPr>
              <w:t>处</w:t>
            </w:r>
          </w:p>
        </w:tc>
        <w:tc>
          <w:tcPr>
            <w:tcW w:w="2064" w:type="dxa"/>
            <w:vMerge w:val="restart"/>
            <w:tcBorders>
              <w:bottom w:val="nil"/>
              <w:right w:val="nil"/>
            </w:tcBorders>
          </w:tcPr>
          <w:p w14:paraId="17EB1434">
            <w:pPr>
              <w:spacing w:line="264" w:lineRule="auto"/>
            </w:pPr>
          </w:p>
          <w:p w14:paraId="3072CAFC">
            <w:pPr>
              <w:spacing w:line="265" w:lineRule="auto"/>
            </w:pPr>
          </w:p>
          <w:p w14:paraId="3EE1F2F3">
            <w:pPr>
              <w:spacing w:before="65" w:line="228" w:lineRule="auto"/>
              <w:ind w:left="620"/>
              <w:rPr>
                <w:rFonts w:ascii="宋体" w:hAnsi="宋体" w:eastAsia="宋体" w:cs="宋体"/>
                <w:sz w:val="20"/>
                <w:szCs w:val="20"/>
              </w:rPr>
            </w:pPr>
            <w:r>
              <w:rPr>
                <w:rFonts w:ascii="宋体" w:hAnsi="宋体" w:eastAsia="宋体" w:cs="宋体"/>
                <w:spacing w:val="9"/>
                <w:sz w:val="20"/>
                <w:szCs w:val="20"/>
              </w:rPr>
              <w:t>厂</w:t>
            </w:r>
            <w:r>
              <w:rPr>
                <w:rFonts w:ascii="宋体" w:hAnsi="宋体" w:eastAsia="宋体" w:cs="宋体"/>
                <w:spacing w:val="6"/>
                <w:sz w:val="20"/>
                <w:szCs w:val="20"/>
              </w:rPr>
              <w:t>界噪声</w:t>
            </w:r>
          </w:p>
        </w:tc>
      </w:tr>
      <w:tr w14:paraId="35AC1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1662" w:type="dxa"/>
            <w:tcBorders>
              <w:left w:val="nil"/>
            </w:tcBorders>
          </w:tcPr>
          <w:p w14:paraId="07067EC2">
            <w:pPr>
              <w:spacing w:before="53" w:line="195" w:lineRule="auto"/>
              <w:ind w:left="631"/>
              <w:rPr>
                <w:rFonts w:ascii="Times New Roman" w:hAnsi="Times New Roman" w:eastAsia="Times New Roman" w:cs="Times New Roman"/>
                <w:sz w:val="20"/>
                <w:szCs w:val="20"/>
              </w:rPr>
            </w:pPr>
            <w:r>
              <w:rPr>
                <w:rFonts w:ascii="Times New Roman" w:hAnsi="Times New Roman" w:eastAsia="Times New Roman" w:cs="Times New Roman"/>
                <w:sz w:val="20"/>
                <w:szCs w:val="20"/>
              </w:rPr>
              <w:t>AN</w:t>
            </w:r>
            <w:r>
              <w:rPr>
                <w:rFonts w:ascii="Times New Roman" w:hAnsi="Times New Roman" w:eastAsia="Times New Roman" w:cs="Times New Roman"/>
                <w:spacing w:val="16"/>
                <w:sz w:val="20"/>
                <w:szCs w:val="20"/>
              </w:rPr>
              <w:t>2</w:t>
            </w:r>
          </w:p>
        </w:tc>
        <w:tc>
          <w:tcPr>
            <w:tcW w:w="2629" w:type="dxa"/>
          </w:tcPr>
          <w:p w14:paraId="1F398EF4">
            <w:pPr>
              <w:spacing w:before="32" w:line="228" w:lineRule="auto"/>
              <w:ind w:left="902"/>
              <w:rPr>
                <w:rFonts w:ascii="宋体" w:hAnsi="宋体" w:eastAsia="宋体" w:cs="宋体"/>
                <w:sz w:val="20"/>
                <w:szCs w:val="20"/>
              </w:rPr>
            </w:pPr>
            <w:r>
              <w:rPr>
                <w:rFonts w:ascii="宋体" w:hAnsi="宋体" w:eastAsia="宋体" w:cs="宋体"/>
                <w:spacing w:val="9"/>
                <w:sz w:val="20"/>
                <w:szCs w:val="20"/>
              </w:rPr>
              <w:t>厂</w:t>
            </w:r>
            <w:r>
              <w:rPr>
                <w:rFonts w:ascii="宋体" w:hAnsi="宋体" w:eastAsia="宋体" w:cs="宋体"/>
                <w:spacing w:val="6"/>
                <w:sz w:val="20"/>
                <w:szCs w:val="20"/>
              </w:rPr>
              <w:t>界南面</w:t>
            </w:r>
          </w:p>
        </w:tc>
        <w:tc>
          <w:tcPr>
            <w:tcW w:w="2933" w:type="dxa"/>
          </w:tcPr>
          <w:p w14:paraId="7E2DDC23">
            <w:pPr>
              <w:spacing w:before="32" w:line="228" w:lineRule="auto"/>
              <w:ind w:left="815"/>
              <w:rPr>
                <w:rFonts w:ascii="宋体" w:hAnsi="宋体" w:eastAsia="宋体" w:cs="宋体"/>
                <w:sz w:val="20"/>
                <w:szCs w:val="20"/>
              </w:rPr>
            </w:pPr>
            <w:r>
              <w:rPr>
                <w:rFonts w:ascii="宋体" w:hAnsi="宋体" w:eastAsia="宋体" w:cs="宋体"/>
                <w:spacing w:val="9"/>
                <w:sz w:val="20"/>
                <w:szCs w:val="20"/>
              </w:rPr>
              <w:t>南</w:t>
            </w:r>
            <w:r>
              <w:rPr>
                <w:rFonts w:ascii="宋体" w:hAnsi="宋体" w:eastAsia="宋体" w:cs="宋体"/>
                <w:spacing w:val="8"/>
                <w:sz w:val="20"/>
                <w:szCs w:val="20"/>
              </w:rPr>
              <w:t>厂界外</w:t>
            </w:r>
            <w:r>
              <w:rPr>
                <w:rFonts w:ascii="Times New Roman" w:hAnsi="Times New Roman" w:eastAsia="Times New Roman" w:cs="Times New Roman"/>
                <w:spacing w:val="8"/>
                <w:sz w:val="20"/>
                <w:szCs w:val="20"/>
              </w:rPr>
              <w:t>1</w:t>
            </w:r>
            <w:r>
              <w:rPr>
                <w:rFonts w:ascii="Times New Roman" w:hAnsi="Times New Roman" w:eastAsia="Times New Roman" w:cs="Times New Roman"/>
                <w:sz w:val="20"/>
                <w:szCs w:val="20"/>
              </w:rPr>
              <w:t>m</w:t>
            </w:r>
            <w:r>
              <w:rPr>
                <w:rFonts w:ascii="宋体" w:hAnsi="宋体" w:eastAsia="宋体" w:cs="宋体"/>
                <w:spacing w:val="8"/>
                <w:sz w:val="20"/>
                <w:szCs w:val="20"/>
              </w:rPr>
              <w:t>处</w:t>
            </w:r>
          </w:p>
        </w:tc>
        <w:tc>
          <w:tcPr>
            <w:tcW w:w="2064" w:type="dxa"/>
            <w:vMerge w:val="continue"/>
            <w:tcBorders>
              <w:top w:val="nil"/>
              <w:bottom w:val="nil"/>
              <w:right w:val="nil"/>
            </w:tcBorders>
          </w:tcPr>
          <w:p w14:paraId="40631F14"/>
        </w:tc>
      </w:tr>
      <w:tr w14:paraId="6A0FD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662" w:type="dxa"/>
            <w:tcBorders>
              <w:left w:val="nil"/>
            </w:tcBorders>
          </w:tcPr>
          <w:p w14:paraId="27434389">
            <w:pPr>
              <w:spacing w:before="54" w:line="195" w:lineRule="auto"/>
              <w:ind w:left="631"/>
              <w:rPr>
                <w:rFonts w:ascii="Times New Roman" w:hAnsi="Times New Roman" w:eastAsia="Times New Roman" w:cs="Times New Roman"/>
                <w:sz w:val="20"/>
                <w:szCs w:val="20"/>
              </w:rPr>
            </w:pPr>
            <w:r>
              <w:rPr>
                <w:rFonts w:ascii="Times New Roman" w:hAnsi="Times New Roman" w:eastAsia="Times New Roman" w:cs="Times New Roman"/>
                <w:sz w:val="20"/>
                <w:szCs w:val="20"/>
              </w:rPr>
              <w:t>AN</w:t>
            </w:r>
            <w:r>
              <w:rPr>
                <w:rFonts w:ascii="Times New Roman" w:hAnsi="Times New Roman" w:eastAsia="Times New Roman" w:cs="Times New Roman"/>
                <w:spacing w:val="16"/>
                <w:sz w:val="20"/>
                <w:szCs w:val="20"/>
              </w:rPr>
              <w:t>3</w:t>
            </w:r>
          </w:p>
        </w:tc>
        <w:tc>
          <w:tcPr>
            <w:tcW w:w="2629" w:type="dxa"/>
          </w:tcPr>
          <w:p w14:paraId="5A82940B">
            <w:pPr>
              <w:spacing w:before="33" w:line="224" w:lineRule="auto"/>
              <w:ind w:left="902"/>
              <w:rPr>
                <w:rFonts w:ascii="宋体" w:hAnsi="宋体" w:eastAsia="宋体" w:cs="宋体"/>
                <w:sz w:val="20"/>
                <w:szCs w:val="20"/>
              </w:rPr>
            </w:pPr>
            <w:r>
              <w:rPr>
                <w:rFonts w:ascii="宋体" w:hAnsi="宋体" w:eastAsia="宋体" w:cs="宋体"/>
                <w:spacing w:val="9"/>
                <w:sz w:val="20"/>
                <w:szCs w:val="20"/>
              </w:rPr>
              <w:t>厂</w:t>
            </w:r>
            <w:r>
              <w:rPr>
                <w:rFonts w:ascii="宋体" w:hAnsi="宋体" w:eastAsia="宋体" w:cs="宋体"/>
                <w:spacing w:val="6"/>
                <w:sz w:val="20"/>
                <w:szCs w:val="20"/>
              </w:rPr>
              <w:t>界西面</w:t>
            </w:r>
          </w:p>
        </w:tc>
        <w:tc>
          <w:tcPr>
            <w:tcW w:w="2933" w:type="dxa"/>
          </w:tcPr>
          <w:p w14:paraId="5E764974">
            <w:pPr>
              <w:spacing w:before="33" w:line="224" w:lineRule="auto"/>
              <w:ind w:left="818"/>
              <w:rPr>
                <w:rFonts w:ascii="宋体" w:hAnsi="宋体" w:eastAsia="宋体" w:cs="宋体"/>
                <w:sz w:val="20"/>
                <w:szCs w:val="20"/>
              </w:rPr>
            </w:pPr>
            <w:r>
              <w:rPr>
                <w:rFonts w:ascii="宋体" w:hAnsi="宋体" w:eastAsia="宋体" w:cs="宋体"/>
                <w:spacing w:val="11"/>
                <w:sz w:val="20"/>
                <w:szCs w:val="20"/>
              </w:rPr>
              <w:t>西</w:t>
            </w:r>
            <w:r>
              <w:rPr>
                <w:rFonts w:ascii="宋体" w:hAnsi="宋体" w:eastAsia="宋体" w:cs="宋体"/>
                <w:spacing w:val="7"/>
                <w:sz w:val="20"/>
                <w:szCs w:val="20"/>
              </w:rPr>
              <w:t>厂界外</w:t>
            </w:r>
            <w:r>
              <w:rPr>
                <w:rFonts w:ascii="Times New Roman" w:hAnsi="Times New Roman" w:eastAsia="Times New Roman" w:cs="Times New Roman"/>
                <w:spacing w:val="7"/>
                <w:sz w:val="20"/>
                <w:szCs w:val="20"/>
              </w:rPr>
              <w:t>1</w:t>
            </w:r>
            <w:r>
              <w:rPr>
                <w:rFonts w:ascii="Times New Roman" w:hAnsi="Times New Roman" w:eastAsia="Times New Roman" w:cs="Times New Roman"/>
                <w:sz w:val="20"/>
                <w:szCs w:val="20"/>
              </w:rPr>
              <w:t>m</w:t>
            </w:r>
            <w:r>
              <w:rPr>
                <w:rFonts w:ascii="宋体" w:hAnsi="宋体" w:eastAsia="宋体" w:cs="宋体"/>
                <w:spacing w:val="7"/>
                <w:sz w:val="20"/>
                <w:szCs w:val="20"/>
              </w:rPr>
              <w:t>处</w:t>
            </w:r>
          </w:p>
        </w:tc>
        <w:tc>
          <w:tcPr>
            <w:tcW w:w="2064" w:type="dxa"/>
            <w:vMerge w:val="continue"/>
            <w:tcBorders>
              <w:top w:val="nil"/>
              <w:bottom w:val="nil"/>
              <w:right w:val="nil"/>
            </w:tcBorders>
          </w:tcPr>
          <w:p w14:paraId="7AECD0B6"/>
        </w:tc>
      </w:tr>
      <w:tr w14:paraId="23B74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662" w:type="dxa"/>
            <w:tcBorders>
              <w:left w:val="nil"/>
            </w:tcBorders>
          </w:tcPr>
          <w:p w14:paraId="7C393DFC">
            <w:pPr>
              <w:spacing w:before="56" w:line="195" w:lineRule="auto"/>
              <w:ind w:left="631"/>
              <w:rPr>
                <w:rFonts w:ascii="Times New Roman" w:hAnsi="Times New Roman" w:eastAsia="Times New Roman" w:cs="Times New Roman"/>
                <w:sz w:val="20"/>
                <w:szCs w:val="20"/>
              </w:rPr>
            </w:pPr>
            <w:r>
              <w:rPr>
                <w:rFonts w:ascii="Times New Roman" w:hAnsi="Times New Roman" w:eastAsia="Times New Roman" w:cs="Times New Roman"/>
                <w:sz w:val="20"/>
                <w:szCs w:val="20"/>
              </w:rPr>
              <w:t>AN</w:t>
            </w:r>
            <w:r>
              <w:rPr>
                <w:rFonts w:ascii="Times New Roman" w:hAnsi="Times New Roman" w:eastAsia="Times New Roman" w:cs="Times New Roman"/>
                <w:spacing w:val="16"/>
                <w:sz w:val="20"/>
                <w:szCs w:val="20"/>
              </w:rPr>
              <w:t>4</w:t>
            </w:r>
          </w:p>
        </w:tc>
        <w:tc>
          <w:tcPr>
            <w:tcW w:w="2629" w:type="dxa"/>
          </w:tcPr>
          <w:p w14:paraId="3B0BE316">
            <w:pPr>
              <w:spacing w:before="35" w:line="222" w:lineRule="auto"/>
              <w:ind w:left="902"/>
              <w:rPr>
                <w:rFonts w:ascii="宋体" w:hAnsi="宋体" w:eastAsia="宋体" w:cs="宋体"/>
                <w:sz w:val="20"/>
                <w:szCs w:val="20"/>
              </w:rPr>
            </w:pPr>
            <w:r>
              <w:rPr>
                <w:rFonts w:ascii="宋体" w:hAnsi="宋体" w:eastAsia="宋体" w:cs="宋体"/>
                <w:spacing w:val="9"/>
                <w:sz w:val="20"/>
                <w:szCs w:val="20"/>
              </w:rPr>
              <w:t>厂</w:t>
            </w:r>
            <w:r>
              <w:rPr>
                <w:rFonts w:ascii="宋体" w:hAnsi="宋体" w:eastAsia="宋体" w:cs="宋体"/>
                <w:spacing w:val="6"/>
                <w:sz w:val="20"/>
                <w:szCs w:val="20"/>
              </w:rPr>
              <w:t>界北面</w:t>
            </w:r>
          </w:p>
        </w:tc>
        <w:tc>
          <w:tcPr>
            <w:tcW w:w="2933" w:type="dxa"/>
          </w:tcPr>
          <w:p w14:paraId="52138441">
            <w:pPr>
              <w:spacing w:before="35" w:line="222" w:lineRule="auto"/>
              <w:ind w:left="816"/>
              <w:rPr>
                <w:rFonts w:ascii="宋体" w:hAnsi="宋体" w:eastAsia="宋体" w:cs="宋体"/>
                <w:sz w:val="20"/>
                <w:szCs w:val="20"/>
              </w:rPr>
            </w:pPr>
            <w:r>
              <w:rPr>
                <w:rFonts w:ascii="宋体" w:hAnsi="宋体" w:eastAsia="宋体" w:cs="宋体"/>
                <w:spacing w:val="8"/>
                <w:sz w:val="20"/>
                <w:szCs w:val="20"/>
              </w:rPr>
              <w:t>北厂界外</w:t>
            </w:r>
            <w:r>
              <w:rPr>
                <w:rFonts w:ascii="Times New Roman" w:hAnsi="Times New Roman" w:eastAsia="Times New Roman" w:cs="Times New Roman"/>
                <w:spacing w:val="8"/>
                <w:sz w:val="20"/>
                <w:szCs w:val="20"/>
              </w:rPr>
              <w:t>1</w:t>
            </w:r>
            <w:r>
              <w:rPr>
                <w:rFonts w:ascii="Times New Roman" w:hAnsi="Times New Roman" w:eastAsia="Times New Roman" w:cs="Times New Roman"/>
                <w:sz w:val="20"/>
                <w:szCs w:val="20"/>
              </w:rPr>
              <w:t>m</w:t>
            </w:r>
            <w:r>
              <w:rPr>
                <w:rFonts w:ascii="宋体" w:hAnsi="宋体" w:eastAsia="宋体" w:cs="宋体"/>
                <w:spacing w:val="8"/>
                <w:sz w:val="20"/>
                <w:szCs w:val="20"/>
              </w:rPr>
              <w:t>处</w:t>
            </w:r>
          </w:p>
        </w:tc>
        <w:tc>
          <w:tcPr>
            <w:tcW w:w="2064" w:type="dxa"/>
            <w:vMerge w:val="continue"/>
            <w:tcBorders>
              <w:top w:val="nil"/>
              <w:bottom w:val="nil"/>
              <w:right w:val="nil"/>
            </w:tcBorders>
          </w:tcPr>
          <w:p w14:paraId="51C59378"/>
        </w:tc>
      </w:tr>
      <w:tr w14:paraId="7E5C3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1662" w:type="dxa"/>
            <w:tcBorders>
              <w:left w:val="nil"/>
            </w:tcBorders>
          </w:tcPr>
          <w:p w14:paraId="48DDF141">
            <w:pPr>
              <w:spacing w:before="56" w:line="195" w:lineRule="auto"/>
              <w:ind w:left="631"/>
              <w:rPr>
                <w:rFonts w:ascii="Times New Roman" w:hAnsi="Times New Roman" w:eastAsia="Times New Roman" w:cs="Times New Roman"/>
                <w:sz w:val="20"/>
                <w:szCs w:val="20"/>
              </w:rPr>
            </w:pPr>
            <w:r>
              <w:rPr>
                <w:rFonts w:ascii="Times New Roman" w:hAnsi="Times New Roman" w:eastAsia="Times New Roman" w:cs="Times New Roman"/>
                <w:sz w:val="20"/>
                <w:szCs w:val="20"/>
              </w:rPr>
              <w:t>AN</w:t>
            </w:r>
            <w:r>
              <w:rPr>
                <w:rFonts w:ascii="Times New Roman" w:hAnsi="Times New Roman" w:eastAsia="Times New Roman" w:cs="Times New Roman"/>
                <w:spacing w:val="16"/>
                <w:sz w:val="20"/>
                <w:szCs w:val="20"/>
              </w:rPr>
              <w:t>5</w:t>
            </w:r>
          </w:p>
        </w:tc>
        <w:tc>
          <w:tcPr>
            <w:tcW w:w="2629" w:type="dxa"/>
          </w:tcPr>
          <w:p w14:paraId="057D1A91">
            <w:pPr>
              <w:spacing w:before="37" w:line="228" w:lineRule="auto"/>
              <w:ind w:left="166"/>
              <w:rPr>
                <w:rFonts w:ascii="宋体" w:hAnsi="宋体" w:eastAsia="宋体" w:cs="宋体"/>
                <w:sz w:val="20"/>
                <w:szCs w:val="20"/>
              </w:rPr>
            </w:pPr>
            <w:r>
              <w:rPr>
                <w:rFonts w:ascii="宋体" w:hAnsi="宋体" w:eastAsia="宋体" w:cs="宋体"/>
                <w:spacing w:val="9"/>
                <w:sz w:val="20"/>
                <w:szCs w:val="20"/>
              </w:rPr>
              <w:t>项目地东南侧最近居民</w:t>
            </w:r>
            <w:r>
              <w:rPr>
                <w:rFonts w:ascii="宋体" w:hAnsi="宋体" w:eastAsia="宋体" w:cs="宋体"/>
                <w:spacing w:val="7"/>
                <w:sz w:val="20"/>
                <w:szCs w:val="20"/>
              </w:rPr>
              <w:t>点</w:t>
            </w:r>
          </w:p>
        </w:tc>
        <w:tc>
          <w:tcPr>
            <w:tcW w:w="2933" w:type="dxa"/>
          </w:tcPr>
          <w:p w14:paraId="2B70D8E3">
            <w:pPr>
              <w:spacing w:before="37" w:line="228" w:lineRule="auto"/>
              <w:ind w:left="820"/>
              <w:rPr>
                <w:rFonts w:ascii="宋体" w:hAnsi="宋体" w:eastAsia="宋体" w:cs="宋体"/>
                <w:sz w:val="20"/>
                <w:szCs w:val="20"/>
              </w:rPr>
            </w:pPr>
            <w:r>
              <w:rPr>
                <w:rFonts w:ascii="宋体" w:hAnsi="宋体" w:eastAsia="宋体" w:cs="宋体"/>
                <w:spacing w:val="8"/>
                <w:sz w:val="20"/>
                <w:szCs w:val="20"/>
              </w:rPr>
              <w:t>东</w:t>
            </w:r>
            <w:r>
              <w:rPr>
                <w:rFonts w:ascii="宋体" w:hAnsi="宋体" w:eastAsia="宋体" w:cs="宋体"/>
                <w:spacing w:val="6"/>
                <w:sz w:val="20"/>
                <w:szCs w:val="20"/>
              </w:rPr>
              <w:t>南侧</w:t>
            </w:r>
            <w:r>
              <w:rPr>
                <w:rFonts w:ascii="Times New Roman" w:hAnsi="Times New Roman" w:eastAsia="Times New Roman" w:cs="Times New Roman"/>
                <w:spacing w:val="6"/>
                <w:sz w:val="20"/>
                <w:szCs w:val="20"/>
              </w:rPr>
              <w:t>157</w:t>
            </w:r>
            <w:r>
              <w:rPr>
                <w:rFonts w:ascii="Times New Roman" w:hAnsi="Times New Roman" w:eastAsia="Times New Roman" w:cs="Times New Roman"/>
                <w:sz w:val="20"/>
                <w:szCs w:val="20"/>
              </w:rPr>
              <w:t>m</w:t>
            </w:r>
            <w:r>
              <w:rPr>
                <w:rFonts w:ascii="宋体" w:hAnsi="宋体" w:eastAsia="宋体" w:cs="宋体"/>
                <w:spacing w:val="6"/>
                <w:sz w:val="20"/>
                <w:szCs w:val="20"/>
              </w:rPr>
              <w:t>处</w:t>
            </w:r>
          </w:p>
        </w:tc>
        <w:tc>
          <w:tcPr>
            <w:tcW w:w="2064" w:type="dxa"/>
            <w:vMerge w:val="continue"/>
            <w:tcBorders>
              <w:top w:val="nil"/>
              <w:right w:val="nil"/>
            </w:tcBorders>
          </w:tcPr>
          <w:p w14:paraId="233D3663"/>
        </w:tc>
      </w:tr>
    </w:tbl>
    <w:p w14:paraId="32BAB0B2">
      <w:pPr>
        <w:spacing w:before="35" w:line="468" w:lineRule="exact"/>
        <w:ind w:left="609"/>
        <w:rPr>
          <w:rFonts w:ascii="宋体" w:hAnsi="宋体" w:eastAsia="宋体" w:cs="宋体"/>
          <w:sz w:val="23"/>
          <w:szCs w:val="23"/>
        </w:rPr>
      </w:pPr>
      <w:r>
        <w:rPr>
          <w:rFonts w:ascii="宋体" w:hAnsi="宋体" w:eastAsia="宋体" w:cs="宋体"/>
          <w:spacing w:val="10"/>
          <w:position w:val="17"/>
          <w:sz w:val="23"/>
          <w:szCs w:val="23"/>
        </w:rPr>
        <w:t>(</w:t>
      </w:r>
      <w:r>
        <w:rPr>
          <w:rFonts w:ascii="Times New Roman" w:hAnsi="Times New Roman" w:eastAsia="Times New Roman" w:cs="Times New Roman"/>
          <w:spacing w:val="10"/>
          <w:position w:val="17"/>
          <w:sz w:val="23"/>
          <w:szCs w:val="23"/>
        </w:rPr>
        <w:t>2</w:t>
      </w:r>
      <w:r>
        <w:rPr>
          <w:rFonts w:ascii="宋体" w:hAnsi="宋体" w:eastAsia="宋体" w:cs="宋体"/>
          <w:spacing w:val="10"/>
          <w:position w:val="17"/>
          <w:sz w:val="23"/>
          <w:szCs w:val="23"/>
        </w:rPr>
        <w:t>) 监测因子：根据《环境影响评价技术导则 声环境》  (</w:t>
      </w:r>
      <w:r>
        <w:rPr>
          <w:rFonts w:ascii="Times New Roman" w:hAnsi="Times New Roman" w:eastAsia="Times New Roman" w:cs="Times New Roman"/>
          <w:position w:val="17"/>
          <w:sz w:val="23"/>
          <w:szCs w:val="23"/>
        </w:rPr>
        <w:t>HJ</w:t>
      </w:r>
      <w:r>
        <w:rPr>
          <w:rFonts w:ascii="Times New Roman" w:hAnsi="Times New Roman" w:eastAsia="Times New Roman" w:cs="Times New Roman"/>
          <w:spacing w:val="10"/>
          <w:position w:val="17"/>
          <w:sz w:val="23"/>
          <w:szCs w:val="23"/>
        </w:rPr>
        <w:t>2.4-2009</w:t>
      </w:r>
      <w:r>
        <w:rPr>
          <w:rFonts w:ascii="宋体" w:hAnsi="宋体" w:eastAsia="宋体" w:cs="宋体"/>
          <w:spacing w:val="10"/>
          <w:position w:val="17"/>
          <w:sz w:val="23"/>
          <w:szCs w:val="23"/>
        </w:rPr>
        <w:t>) 的</w:t>
      </w:r>
      <w:r>
        <w:rPr>
          <w:rFonts w:ascii="宋体" w:hAnsi="宋体" w:eastAsia="宋体" w:cs="宋体"/>
          <w:spacing w:val="5"/>
          <w:position w:val="17"/>
          <w:sz w:val="23"/>
          <w:szCs w:val="23"/>
        </w:rPr>
        <w:t>要</w:t>
      </w:r>
    </w:p>
    <w:p w14:paraId="3F1964D2">
      <w:pPr>
        <w:spacing w:before="1" w:line="218" w:lineRule="auto"/>
        <w:ind w:left="120"/>
        <w:rPr>
          <w:rFonts w:ascii="宋体" w:hAnsi="宋体" w:eastAsia="宋体" w:cs="宋体"/>
          <w:sz w:val="23"/>
          <w:szCs w:val="23"/>
        </w:rPr>
      </w:pPr>
      <w:r>
        <w:rPr>
          <w:rFonts w:ascii="宋体" w:hAnsi="宋体" w:eastAsia="宋体" w:cs="宋体"/>
          <w:spacing w:val="6"/>
          <w:sz w:val="23"/>
          <w:szCs w:val="23"/>
        </w:rPr>
        <w:t>求，选取</w:t>
      </w:r>
      <w:r>
        <w:rPr>
          <w:rFonts w:ascii="宋体" w:hAnsi="宋体" w:eastAsia="宋体" w:cs="宋体"/>
          <w:spacing w:val="5"/>
          <w:sz w:val="23"/>
          <w:szCs w:val="23"/>
        </w:rPr>
        <w:t>等</w:t>
      </w:r>
      <w:r>
        <w:rPr>
          <w:rFonts w:ascii="宋体" w:hAnsi="宋体" w:eastAsia="宋体" w:cs="宋体"/>
          <w:spacing w:val="3"/>
          <w:sz w:val="23"/>
          <w:szCs w:val="23"/>
        </w:rPr>
        <w:t xml:space="preserve">效连续 </w:t>
      </w:r>
      <w:r>
        <w:rPr>
          <w:rFonts w:ascii="Times New Roman" w:hAnsi="Times New Roman" w:eastAsia="Times New Roman" w:cs="Times New Roman"/>
          <w:sz w:val="23"/>
          <w:szCs w:val="23"/>
        </w:rPr>
        <w:t>A</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 xml:space="preserve">声级 </w:t>
      </w:r>
      <w:r>
        <w:rPr>
          <w:rFonts w:ascii="Times New Roman" w:hAnsi="Times New Roman" w:eastAsia="Times New Roman" w:cs="Times New Roman"/>
          <w:sz w:val="23"/>
          <w:szCs w:val="23"/>
        </w:rPr>
        <w:t>Leq</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w:t>
      </w:r>
      <w:r>
        <w:rPr>
          <w:rFonts w:ascii="Times New Roman" w:hAnsi="Times New Roman" w:eastAsia="Times New Roman" w:cs="Times New Roman"/>
          <w:sz w:val="23"/>
          <w:szCs w:val="23"/>
        </w:rPr>
        <w:t>A</w:t>
      </w:r>
      <w:r>
        <w:rPr>
          <w:rFonts w:ascii="宋体" w:hAnsi="宋体" w:eastAsia="宋体" w:cs="宋体"/>
          <w:spacing w:val="3"/>
          <w:sz w:val="23"/>
          <w:szCs w:val="23"/>
        </w:rPr>
        <w:t>) 作为监测因子。</w:t>
      </w:r>
    </w:p>
    <w:p w14:paraId="4C3DA30E">
      <w:pPr>
        <w:spacing w:before="150" w:line="377" w:lineRule="auto"/>
        <w:ind w:left="124" w:right="502" w:firstLine="485"/>
        <w:rPr>
          <w:rFonts w:ascii="宋体" w:hAnsi="宋体" w:eastAsia="宋体" w:cs="宋体"/>
          <w:sz w:val="23"/>
          <w:szCs w:val="23"/>
        </w:rPr>
      </w:pPr>
      <w:r>
        <w:rPr>
          <w:rFonts w:ascii="宋体" w:hAnsi="宋体" w:eastAsia="宋体" w:cs="宋体"/>
          <w:spacing w:val="8"/>
          <w:sz w:val="23"/>
          <w:szCs w:val="23"/>
        </w:rPr>
        <w:t>(</w:t>
      </w:r>
      <w:r>
        <w:rPr>
          <w:rFonts w:ascii="Times New Roman" w:hAnsi="Times New Roman" w:eastAsia="Times New Roman" w:cs="Times New Roman"/>
          <w:spacing w:val="6"/>
          <w:sz w:val="23"/>
          <w:szCs w:val="23"/>
        </w:rPr>
        <w:t>3</w:t>
      </w:r>
      <w:r>
        <w:rPr>
          <w:rFonts w:ascii="宋体" w:hAnsi="宋体" w:eastAsia="宋体" w:cs="宋体"/>
          <w:spacing w:val="4"/>
          <w:sz w:val="23"/>
          <w:szCs w:val="23"/>
        </w:rPr>
        <w:t xml:space="preserve">) 监测频率：厂界噪声连续监测 </w:t>
      </w:r>
      <w:r>
        <w:rPr>
          <w:rFonts w:ascii="Times New Roman" w:hAnsi="Times New Roman" w:eastAsia="Times New Roman" w:cs="Times New Roman"/>
          <w:spacing w:val="4"/>
          <w:sz w:val="23"/>
          <w:szCs w:val="23"/>
        </w:rPr>
        <w:t xml:space="preserve">2 </w:t>
      </w:r>
      <w:r>
        <w:rPr>
          <w:rFonts w:ascii="宋体" w:hAnsi="宋体" w:eastAsia="宋体" w:cs="宋体"/>
          <w:spacing w:val="4"/>
          <w:sz w:val="23"/>
          <w:szCs w:val="23"/>
        </w:rPr>
        <w:t>天，每天的昼间</w:t>
      </w:r>
      <w:r>
        <w:rPr>
          <w:rFonts w:ascii="Times New Roman" w:hAnsi="Times New Roman" w:eastAsia="Times New Roman" w:cs="Times New Roman"/>
          <w:spacing w:val="4"/>
          <w:sz w:val="23"/>
          <w:szCs w:val="23"/>
        </w:rPr>
        <w:t>(6:00~22:00)</w:t>
      </w:r>
      <w:r>
        <w:rPr>
          <w:rFonts w:ascii="宋体" w:hAnsi="宋体" w:eastAsia="宋体" w:cs="宋体"/>
          <w:spacing w:val="4"/>
          <w:sz w:val="23"/>
          <w:szCs w:val="23"/>
        </w:rPr>
        <w:t>、夜间</w:t>
      </w:r>
      <w:r>
        <w:rPr>
          <w:rFonts w:ascii="Times New Roman" w:hAnsi="Times New Roman" w:eastAsia="Times New Roman" w:cs="Times New Roman"/>
          <w:spacing w:val="4"/>
          <w:sz w:val="23"/>
          <w:szCs w:val="23"/>
        </w:rPr>
        <w:t>(22:00~</w:t>
      </w:r>
      <w:r>
        <w:rPr>
          <w:rFonts w:ascii="Times New Roman" w:hAnsi="Times New Roman" w:eastAsia="Times New Roman" w:cs="Times New Roman"/>
          <w:sz w:val="23"/>
          <w:szCs w:val="23"/>
        </w:rPr>
        <w:t xml:space="preserve"> </w:t>
      </w:r>
      <w:r>
        <w:rPr>
          <w:rFonts w:ascii="宋体" w:hAnsi="宋体" w:eastAsia="宋体" w:cs="宋体"/>
          <w:spacing w:val="10"/>
          <w:sz w:val="23"/>
          <w:szCs w:val="23"/>
        </w:rPr>
        <w:t>次</w:t>
      </w:r>
      <w:r>
        <w:rPr>
          <w:rFonts w:ascii="宋体" w:hAnsi="宋体" w:eastAsia="宋体" w:cs="宋体"/>
          <w:spacing w:val="5"/>
          <w:sz w:val="23"/>
          <w:szCs w:val="23"/>
        </w:rPr>
        <w:t xml:space="preserve">日 </w:t>
      </w:r>
      <w:r>
        <w:rPr>
          <w:rFonts w:ascii="Times New Roman" w:hAnsi="Times New Roman" w:eastAsia="Times New Roman" w:cs="Times New Roman"/>
          <w:spacing w:val="5"/>
          <w:sz w:val="23"/>
          <w:szCs w:val="23"/>
        </w:rPr>
        <w:t>6:00)</w:t>
      </w:r>
      <w:r>
        <w:rPr>
          <w:rFonts w:ascii="宋体" w:hAnsi="宋体" w:eastAsia="宋体" w:cs="宋体"/>
          <w:spacing w:val="5"/>
          <w:sz w:val="23"/>
          <w:szCs w:val="23"/>
        </w:rPr>
        <w:t xml:space="preserve">各测量一次。监测应在无雨雪、无雷电天气、风速 </w:t>
      </w:r>
      <w:r>
        <w:rPr>
          <w:rFonts w:ascii="Times New Roman" w:hAnsi="Times New Roman" w:eastAsia="Times New Roman" w:cs="Times New Roman"/>
          <w:spacing w:val="5"/>
          <w:sz w:val="23"/>
          <w:szCs w:val="23"/>
        </w:rPr>
        <w:t>5</w:t>
      </w:r>
      <w:r>
        <w:rPr>
          <w:rFonts w:ascii="Times New Roman" w:hAnsi="Times New Roman" w:eastAsia="Times New Roman" w:cs="Times New Roman"/>
          <w:sz w:val="23"/>
          <w:szCs w:val="23"/>
        </w:rPr>
        <w:t>m</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s</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以下时进行。</w:t>
      </w:r>
    </w:p>
    <w:p w14:paraId="73A536F6">
      <w:pPr>
        <w:spacing w:before="40" w:line="227" w:lineRule="auto"/>
        <w:ind w:left="609"/>
        <w:rPr>
          <w:rFonts w:ascii="宋体" w:hAnsi="宋体" w:eastAsia="宋体" w:cs="宋体"/>
          <w:sz w:val="23"/>
          <w:szCs w:val="23"/>
        </w:rPr>
      </w:pPr>
      <w:r>
        <w:rPr>
          <w:rFonts w:ascii="宋体" w:hAnsi="宋体" w:eastAsia="宋体" w:cs="宋体"/>
          <w:spacing w:val="6"/>
          <w:sz w:val="23"/>
          <w:szCs w:val="23"/>
        </w:rPr>
        <w:t>(</w:t>
      </w:r>
      <w:r>
        <w:rPr>
          <w:rFonts w:ascii="Times New Roman" w:hAnsi="Times New Roman" w:eastAsia="Times New Roman" w:cs="Times New Roman"/>
          <w:spacing w:val="6"/>
          <w:sz w:val="23"/>
          <w:szCs w:val="23"/>
        </w:rPr>
        <w:t>4</w:t>
      </w:r>
      <w:r>
        <w:rPr>
          <w:rFonts w:ascii="宋体" w:hAnsi="宋体" w:eastAsia="宋体" w:cs="宋体"/>
          <w:spacing w:val="6"/>
          <w:sz w:val="23"/>
          <w:szCs w:val="23"/>
        </w:rPr>
        <w:t>) 监测时间：</w:t>
      </w:r>
      <w:r>
        <w:rPr>
          <w:rFonts w:ascii="Times New Roman" w:hAnsi="Times New Roman" w:eastAsia="Times New Roman" w:cs="Times New Roman"/>
          <w:spacing w:val="6"/>
          <w:sz w:val="23"/>
          <w:szCs w:val="23"/>
        </w:rPr>
        <w:t xml:space="preserve">2019 </w:t>
      </w:r>
      <w:r>
        <w:rPr>
          <w:rFonts w:ascii="宋体" w:hAnsi="宋体" w:eastAsia="宋体" w:cs="宋体"/>
          <w:spacing w:val="6"/>
          <w:sz w:val="23"/>
          <w:szCs w:val="23"/>
        </w:rPr>
        <w:t xml:space="preserve">年 </w:t>
      </w:r>
      <w:r>
        <w:rPr>
          <w:rFonts w:ascii="Times New Roman" w:hAnsi="Times New Roman" w:eastAsia="Times New Roman" w:cs="Times New Roman"/>
          <w:spacing w:val="6"/>
          <w:sz w:val="23"/>
          <w:szCs w:val="23"/>
        </w:rPr>
        <w:t xml:space="preserve">8 </w:t>
      </w:r>
      <w:r>
        <w:rPr>
          <w:rFonts w:ascii="宋体" w:hAnsi="宋体" w:eastAsia="宋体" w:cs="宋体"/>
          <w:spacing w:val="6"/>
          <w:sz w:val="23"/>
          <w:szCs w:val="23"/>
        </w:rPr>
        <w:t xml:space="preserve">月 </w:t>
      </w:r>
      <w:r>
        <w:rPr>
          <w:rFonts w:ascii="Times New Roman" w:hAnsi="Times New Roman" w:eastAsia="Times New Roman" w:cs="Times New Roman"/>
          <w:spacing w:val="6"/>
          <w:sz w:val="23"/>
          <w:szCs w:val="23"/>
        </w:rPr>
        <w:t xml:space="preserve">27 </w:t>
      </w:r>
      <w:r>
        <w:rPr>
          <w:rFonts w:ascii="宋体" w:hAnsi="宋体" w:eastAsia="宋体" w:cs="宋体"/>
          <w:spacing w:val="6"/>
          <w:sz w:val="23"/>
          <w:szCs w:val="23"/>
        </w:rPr>
        <w:t>日~</w:t>
      </w:r>
      <w:r>
        <w:rPr>
          <w:rFonts w:ascii="Times New Roman" w:hAnsi="Times New Roman" w:eastAsia="Times New Roman" w:cs="Times New Roman"/>
          <w:spacing w:val="6"/>
          <w:sz w:val="23"/>
          <w:szCs w:val="23"/>
        </w:rPr>
        <w:t xml:space="preserve">8 </w:t>
      </w:r>
      <w:r>
        <w:rPr>
          <w:rFonts w:ascii="宋体" w:hAnsi="宋体" w:eastAsia="宋体" w:cs="宋体"/>
          <w:spacing w:val="6"/>
          <w:sz w:val="23"/>
          <w:szCs w:val="23"/>
        </w:rPr>
        <w:t xml:space="preserve">月 </w:t>
      </w:r>
      <w:r>
        <w:rPr>
          <w:rFonts w:ascii="Times New Roman" w:hAnsi="Times New Roman" w:eastAsia="Times New Roman" w:cs="Times New Roman"/>
          <w:spacing w:val="6"/>
          <w:sz w:val="23"/>
          <w:szCs w:val="23"/>
        </w:rPr>
        <w:t xml:space="preserve">28 </w:t>
      </w:r>
      <w:r>
        <w:rPr>
          <w:rFonts w:ascii="宋体" w:hAnsi="宋体" w:eastAsia="宋体" w:cs="宋体"/>
          <w:spacing w:val="6"/>
          <w:sz w:val="23"/>
          <w:szCs w:val="23"/>
        </w:rPr>
        <w:t xml:space="preserve">日，监测时间共 </w:t>
      </w:r>
      <w:r>
        <w:rPr>
          <w:rFonts w:ascii="Times New Roman" w:hAnsi="Times New Roman" w:eastAsia="Times New Roman" w:cs="Times New Roman"/>
          <w:spacing w:val="6"/>
          <w:sz w:val="23"/>
          <w:szCs w:val="23"/>
        </w:rPr>
        <w:t xml:space="preserve">2 </w:t>
      </w:r>
      <w:r>
        <w:rPr>
          <w:rFonts w:ascii="宋体" w:hAnsi="宋体" w:eastAsia="宋体" w:cs="宋体"/>
          <w:spacing w:val="6"/>
          <w:sz w:val="23"/>
          <w:szCs w:val="23"/>
        </w:rPr>
        <w:t>天。</w:t>
      </w:r>
    </w:p>
    <w:p w14:paraId="243A6445">
      <w:pPr>
        <w:spacing w:before="182" w:line="228" w:lineRule="auto"/>
        <w:ind w:left="609"/>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8"/>
          <w:sz w:val="23"/>
          <w:szCs w:val="23"/>
        </w:rPr>
        <w:t>5</w:t>
      </w:r>
      <w:r>
        <w:rPr>
          <w:rFonts w:ascii="宋体" w:hAnsi="宋体" w:eastAsia="宋体" w:cs="宋体"/>
          <w:spacing w:val="18"/>
          <w:sz w:val="23"/>
          <w:szCs w:val="23"/>
        </w:rPr>
        <w:t>) 监测分析方</w:t>
      </w:r>
      <w:r>
        <w:rPr>
          <w:rFonts w:ascii="宋体" w:hAnsi="宋体" w:eastAsia="宋体" w:cs="宋体"/>
          <w:spacing w:val="17"/>
          <w:sz w:val="23"/>
          <w:szCs w:val="23"/>
        </w:rPr>
        <w:t>法</w:t>
      </w:r>
    </w:p>
    <w:p w14:paraId="6F2569EE">
      <w:pPr>
        <w:spacing w:before="185" w:line="372" w:lineRule="auto"/>
        <w:ind w:left="119" w:right="444" w:firstLine="480"/>
        <w:rPr>
          <w:rFonts w:ascii="宋体" w:hAnsi="宋体" w:eastAsia="宋体" w:cs="宋体"/>
          <w:sz w:val="23"/>
          <w:szCs w:val="23"/>
        </w:rPr>
      </w:pPr>
      <w:r>
        <w:rPr>
          <w:rFonts w:ascii="宋体" w:hAnsi="宋体" w:eastAsia="宋体" w:cs="宋体"/>
          <w:spacing w:val="2"/>
          <w:sz w:val="23"/>
          <w:szCs w:val="23"/>
        </w:rPr>
        <w:t>监测方法按照《声环境质量标准》  (</w:t>
      </w:r>
      <w:r>
        <w:rPr>
          <w:rFonts w:ascii="Times New Roman" w:hAnsi="Times New Roman" w:eastAsia="Times New Roman" w:cs="Times New Roman"/>
          <w:sz w:val="23"/>
          <w:szCs w:val="23"/>
        </w:rPr>
        <w:t>GB</w:t>
      </w:r>
      <w:r>
        <w:rPr>
          <w:rFonts w:ascii="Times New Roman" w:hAnsi="Times New Roman" w:eastAsia="Times New Roman" w:cs="Times New Roman"/>
          <w:spacing w:val="2"/>
          <w:sz w:val="23"/>
          <w:szCs w:val="23"/>
        </w:rPr>
        <w:t>3096-2</w:t>
      </w:r>
      <w:r>
        <w:rPr>
          <w:rFonts w:ascii="Times New Roman" w:hAnsi="Times New Roman" w:eastAsia="Times New Roman" w:cs="Times New Roman"/>
          <w:spacing w:val="1"/>
          <w:sz w:val="23"/>
          <w:szCs w:val="23"/>
        </w:rPr>
        <w:t>008</w:t>
      </w:r>
      <w:r>
        <w:rPr>
          <w:rFonts w:ascii="宋体" w:hAnsi="宋体" w:eastAsia="宋体" w:cs="宋体"/>
          <w:spacing w:val="1"/>
          <w:sz w:val="23"/>
          <w:szCs w:val="23"/>
        </w:rPr>
        <w:t xml:space="preserve">) 附录 </w:t>
      </w:r>
      <w:r>
        <w:rPr>
          <w:rFonts w:ascii="Times New Roman" w:hAnsi="Times New Roman" w:eastAsia="Times New Roman" w:cs="Times New Roman"/>
          <w:sz w:val="23"/>
          <w:szCs w:val="23"/>
        </w:rPr>
        <w:t>B</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w:t>
      </w:r>
      <w:r>
        <w:rPr>
          <w:rFonts w:ascii="Times New Roman" w:hAnsi="Times New Roman" w:eastAsia="Times New Roman" w:cs="Times New Roman"/>
          <w:sz w:val="23"/>
          <w:szCs w:val="23"/>
        </w:rPr>
        <w:t>C</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检测规范进行。</w:t>
      </w:r>
      <w:r>
        <w:rPr>
          <w:rFonts w:ascii="宋体" w:hAnsi="宋体" w:eastAsia="宋体" w:cs="宋体"/>
          <w:sz w:val="23"/>
          <w:szCs w:val="23"/>
        </w:rPr>
        <w:t xml:space="preserve"> </w:t>
      </w:r>
      <w:r>
        <w:rPr>
          <w:rFonts w:ascii="宋体" w:hAnsi="宋体" w:eastAsia="宋体" w:cs="宋体"/>
          <w:spacing w:val="-2"/>
          <w:sz w:val="23"/>
          <w:szCs w:val="23"/>
        </w:rPr>
        <w:t xml:space="preserve">测定范围 </w:t>
      </w:r>
      <w:r>
        <w:rPr>
          <w:rFonts w:ascii="Times New Roman" w:hAnsi="Times New Roman" w:eastAsia="Times New Roman" w:cs="Times New Roman"/>
          <w:spacing w:val="-2"/>
          <w:sz w:val="23"/>
          <w:szCs w:val="23"/>
        </w:rPr>
        <w:t>30~ 130</w:t>
      </w:r>
      <w:r>
        <w:rPr>
          <w:rFonts w:ascii="Times New Roman" w:hAnsi="Times New Roman" w:eastAsia="Times New Roman" w:cs="Times New Roman"/>
          <w:spacing w:val="-1"/>
          <w:sz w:val="23"/>
          <w:szCs w:val="23"/>
        </w:rPr>
        <w:t>dB</w:t>
      </w:r>
      <w:r>
        <w:rPr>
          <w:rFonts w:ascii="Times New Roman" w:hAnsi="Times New Roman" w:eastAsia="Times New Roman" w:cs="Times New Roman"/>
          <w:spacing w:val="-2"/>
          <w:sz w:val="23"/>
          <w:szCs w:val="23"/>
        </w:rPr>
        <w:t>(</w:t>
      </w:r>
      <w:r>
        <w:rPr>
          <w:rFonts w:ascii="Times New Roman" w:hAnsi="Times New Roman" w:eastAsia="Times New Roman" w:cs="Times New Roman"/>
          <w:spacing w:val="-1"/>
          <w:sz w:val="23"/>
          <w:szCs w:val="23"/>
        </w:rPr>
        <w:t>A)</w:t>
      </w:r>
      <w:r>
        <w:rPr>
          <w:rFonts w:ascii="宋体" w:hAnsi="宋体" w:eastAsia="宋体" w:cs="宋体"/>
          <w:spacing w:val="-1"/>
          <w:sz w:val="23"/>
          <w:szCs w:val="23"/>
        </w:rPr>
        <w:t>。</w:t>
      </w:r>
    </w:p>
    <w:p w14:paraId="095DB884">
      <w:pPr>
        <w:spacing w:before="6" w:line="226" w:lineRule="auto"/>
        <w:ind w:left="609"/>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7"/>
          <w:sz w:val="23"/>
          <w:szCs w:val="23"/>
        </w:rPr>
        <w:t>6</w:t>
      </w:r>
      <w:r>
        <w:rPr>
          <w:rFonts w:ascii="宋体" w:hAnsi="宋体" w:eastAsia="宋体" w:cs="宋体"/>
          <w:spacing w:val="17"/>
          <w:sz w:val="23"/>
          <w:szCs w:val="23"/>
        </w:rPr>
        <w:t>) 评价方法和标准</w:t>
      </w:r>
    </w:p>
    <w:p w14:paraId="6B7C468A">
      <w:pPr>
        <w:spacing w:before="184" w:line="226" w:lineRule="auto"/>
        <w:ind w:left="597"/>
        <w:rPr>
          <w:rFonts w:ascii="宋体" w:hAnsi="宋体" w:eastAsia="宋体" w:cs="宋体"/>
          <w:sz w:val="23"/>
          <w:szCs w:val="23"/>
        </w:rPr>
      </w:pPr>
      <w:r>
        <w:rPr>
          <w:rFonts w:ascii="宋体" w:hAnsi="宋体" w:eastAsia="宋体" w:cs="宋体"/>
          <w:spacing w:val="4"/>
          <w:sz w:val="23"/>
          <w:szCs w:val="23"/>
        </w:rPr>
        <w:t xml:space="preserve">评价方法： 以等效连续 </w:t>
      </w:r>
      <w:r>
        <w:rPr>
          <w:rFonts w:ascii="Times New Roman" w:hAnsi="Times New Roman" w:eastAsia="Times New Roman" w:cs="Times New Roman"/>
          <w:sz w:val="23"/>
          <w:szCs w:val="23"/>
        </w:rPr>
        <w:t>A</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声级为评价指标，采用与标准值对比法进行评价。</w:t>
      </w:r>
    </w:p>
    <w:p w14:paraId="19AB0AE1">
      <w:pPr>
        <w:spacing w:before="186" w:line="375" w:lineRule="auto"/>
        <w:ind w:left="122" w:right="512" w:firstLine="474"/>
        <w:rPr>
          <w:rFonts w:ascii="宋体" w:hAnsi="宋体" w:eastAsia="宋体" w:cs="宋体"/>
          <w:sz w:val="23"/>
          <w:szCs w:val="23"/>
        </w:rPr>
      </w:pPr>
      <w:r>
        <w:rPr>
          <w:rFonts w:ascii="宋体" w:hAnsi="宋体" w:eastAsia="宋体" w:cs="宋体"/>
          <w:spacing w:val="18"/>
          <w:sz w:val="23"/>
          <w:szCs w:val="23"/>
        </w:rPr>
        <w:t>评</w:t>
      </w:r>
      <w:r>
        <w:rPr>
          <w:rFonts w:ascii="宋体" w:hAnsi="宋体" w:eastAsia="宋体" w:cs="宋体"/>
          <w:spacing w:val="13"/>
          <w:sz w:val="23"/>
          <w:szCs w:val="23"/>
        </w:rPr>
        <w:t>价</w:t>
      </w:r>
      <w:r>
        <w:rPr>
          <w:rFonts w:ascii="宋体" w:hAnsi="宋体" w:eastAsia="宋体" w:cs="宋体"/>
          <w:spacing w:val="9"/>
          <w:sz w:val="23"/>
          <w:szCs w:val="23"/>
        </w:rPr>
        <w:t xml:space="preserve">标准：项目所在区域执行 </w:t>
      </w:r>
      <w:r>
        <w:rPr>
          <w:rFonts w:ascii="Times New Roman" w:hAnsi="Times New Roman" w:eastAsia="Times New Roman" w:cs="Times New Roman"/>
          <w:sz w:val="23"/>
          <w:szCs w:val="23"/>
        </w:rPr>
        <w:t>GB</w:t>
      </w:r>
      <w:r>
        <w:rPr>
          <w:rFonts w:ascii="Times New Roman" w:hAnsi="Times New Roman" w:eastAsia="Times New Roman" w:cs="Times New Roman"/>
          <w:spacing w:val="9"/>
          <w:sz w:val="23"/>
          <w:szCs w:val="23"/>
        </w:rPr>
        <w:t>3096-2008</w:t>
      </w:r>
      <w:r>
        <w:rPr>
          <w:rFonts w:ascii="宋体" w:hAnsi="宋体" w:eastAsia="宋体" w:cs="宋体"/>
          <w:spacing w:val="9"/>
          <w:sz w:val="23"/>
          <w:szCs w:val="23"/>
        </w:rPr>
        <w:t>《声环境质量标准》</w:t>
      </w:r>
      <w:r>
        <w:rPr>
          <w:rFonts w:ascii="Times New Roman" w:hAnsi="Times New Roman" w:eastAsia="Times New Roman" w:cs="Times New Roman"/>
          <w:spacing w:val="9"/>
          <w:sz w:val="23"/>
          <w:szCs w:val="23"/>
        </w:rPr>
        <w:t xml:space="preserve">2 </w:t>
      </w:r>
      <w:r>
        <w:rPr>
          <w:rFonts w:ascii="宋体" w:hAnsi="宋体" w:eastAsia="宋体" w:cs="宋体"/>
          <w:spacing w:val="9"/>
          <w:sz w:val="23"/>
          <w:szCs w:val="23"/>
        </w:rPr>
        <w:t>类区环境噪</w:t>
      </w:r>
      <w:r>
        <w:rPr>
          <w:rFonts w:ascii="宋体" w:hAnsi="宋体" w:eastAsia="宋体" w:cs="宋体"/>
          <w:sz w:val="23"/>
          <w:szCs w:val="23"/>
        </w:rPr>
        <w:t xml:space="preserve"> </w:t>
      </w:r>
      <w:r>
        <w:rPr>
          <w:rFonts w:ascii="宋体" w:hAnsi="宋体" w:eastAsia="宋体" w:cs="宋体"/>
          <w:spacing w:val="4"/>
          <w:sz w:val="23"/>
          <w:szCs w:val="23"/>
        </w:rPr>
        <w:t>声限值</w:t>
      </w:r>
      <w:r>
        <w:rPr>
          <w:rFonts w:ascii="宋体" w:hAnsi="宋体" w:eastAsia="宋体" w:cs="宋体"/>
          <w:spacing w:val="3"/>
          <w:sz w:val="23"/>
          <w:szCs w:val="23"/>
        </w:rPr>
        <w:t>。</w:t>
      </w:r>
    </w:p>
    <w:p w14:paraId="51CD1F32">
      <w:pPr>
        <w:spacing w:line="465" w:lineRule="exact"/>
        <w:ind w:left="609"/>
        <w:rPr>
          <w:rFonts w:ascii="宋体" w:hAnsi="宋体" w:eastAsia="宋体" w:cs="宋体"/>
          <w:sz w:val="23"/>
          <w:szCs w:val="23"/>
        </w:rPr>
      </w:pPr>
      <w:r>
        <w:rPr>
          <w:rFonts w:ascii="宋体" w:hAnsi="宋体" w:eastAsia="宋体" w:cs="宋体"/>
          <w:spacing w:val="25"/>
          <w:position w:val="17"/>
          <w:sz w:val="23"/>
          <w:szCs w:val="23"/>
        </w:rPr>
        <w:t>(</w:t>
      </w:r>
      <w:r>
        <w:rPr>
          <w:rFonts w:ascii="Times New Roman" w:hAnsi="Times New Roman" w:eastAsia="Times New Roman" w:cs="Times New Roman"/>
          <w:spacing w:val="14"/>
          <w:position w:val="17"/>
          <w:sz w:val="23"/>
          <w:szCs w:val="23"/>
        </w:rPr>
        <w:t>7</w:t>
      </w:r>
      <w:r>
        <w:rPr>
          <w:rFonts w:ascii="宋体" w:hAnsi="宋体" w:eastAsia="宋体" w:cs="宋体"/>
          <w:spacing w:val="14"/>
          <w:position w:val="17"/>
          <w:sz w:val="23"/>
          <w:szCs w:val="23"/>
        </w:rPr>
        <w:t>) 区域环境噪声监测结果及评价</w:t>
      </w:r>
    </w:p>
    <w:p w14:paraId="4532A99D">
      <w:pPr>
        <w:spacing w:before="1" w:line="227" w:lineRule="auto"/>
        <w:ind w:left="602"/>
        <w:rPr>
          <w:rFonts w:ascii="宋体" w:hAnsi="宋体" w:eastAsia="宋体" w:cs="宋体"/>
          <w:sz w:val="23"/>
          <w:szCs w:val="23"/>
        </w:rPr>
      </w:pPr>
      <w:r>
        <w:rPr>
          <w:rFonts w:ascii="宋体" w:hAnsi="宋体" w:eastAsia="宋体" w:cs="宋体"/>
          <w:spacing w:val="6"/>
          <w:sz w:val="23"/>
          <w:szCs w:val="23"/>
        </w:rPr>
        <w:t>项目场界噪</w:t>
      </w:r>
      <w:r>
        <w:rPr>
          <w:rFonts w:ascii="宋体" w:hAnsi="宋体" w:eastAsia="宋体" w:cs="宋体"/>
          <w:spacing w:val="4"/>
          <w:sz w:val="23"/>
          <w:szCs w:val="23"/>
        </w:rPr>
        <w:t>声</w:t>
      </w:r>
      <w:r>
        <w:rPr>
          <w:rFonts w:ascii="宋体" w:hAnsi="宋体" w:eastAsia="宋体" w:cs="宋体"/>
          <w:spacing w:val="3"/>
          <w:sz w:val="23"/>
          <w:szCs w:val="23"/>
        </w:rPr>
        <w:t xml:space="preserve">监测结果见表 </w:t>
      </w:r>
      <w:r>
        <w:rPr>
          <w:rFonts w:ascii="Times New Roman" w:hAnsi="Times New Roman" w:eastAsia="Times New Roman" w:cs="Times New Roman"/>
          <w:spacing w:val="3"/>
          <w:sz w:val="23"/>
          <w:szCs w:val="23"/>
        </w:rPr>
        <w:t>4.2- 12</w:t>
      </w:r>
      <w:r>
        <w:rPr>
          <w:rFonts w:ascii="宋体" w:hAnsi="宋体" w:eastAsia="宋体" w:cs="宋体"/>
          <w:spacing w:val="3"/>
          <w:sz w:val="23"/>
          <w:szCs w:val="23"/>
        </w:rPr>
        <w:t>。</w:t>
      </w:r>
    </w:p>
    <w:p w14:paraId="43A1CDD1">
      <w:pPr>
        <w:sectPr>
          <w:footerReference r:id="rId165" w:type="default"/>
          <w:pgSz w:w="11907" w:h="16840"/>
          <w:pgMar w:top="400" w:right="1066" w:bottom="1485" w:left="1551" w:header="0" w:footer="1298" w:gutter="0"/>
          <w:cols w:space="720" w:num="1"/>
        </w:sectPr>
      </w:pPr>
    </w:p>
    <w:p w14:paraId="3161A657">
      <w:pPr>
        <w:spacing w:line="318" w:lineRule="exact"/>
        <w:ind w:left="1491"/>
        <w:rPr>
          <w:rFonts w:ascii="Times New Roman" w:hAnsi="Times New Roman" w:eastAsia="Times New Roman" w:cs="Times New Roman"/>
          <w:sz w:val="23"/>
          <w:szCs w:val="23"/>
        </w:rPr>
      </w:pPr>
      <w:r>
        <w:rPr>
          <w:rFonts w:ascii="黑体" w:hAnsi="黑体" w:eastAsia="黑体" w:cs="黑体"/>
          <w:spacing w:val="4"/>
          <w:position w:val="2"/>
          <w:sz w:val="23"/>
          <w:szCs w:val="23"/>
        </w:rPr>
        <w:t xml:space="preserve">表 </w:t>
      </w:r>
      <w:r>
        <w:rPr>
          <w:rFonts w:ascii="Times New Roman" w:hAnsi="Times New Roman" w:eastAsia="Times New Roman" w:cs="Times New Roman"/>
          <w:spacing w:val="4"/>
          <w:position w:val="2"/>
          <w:sz w:val="23"/>
          <w:szCs w:val="23"/>
        </w:rPr>
        <w:t xml:space="preserve">4.2- 12  </w:t>
      </w:r>
      <w:r>
        <w:rPr>
          <w:rFonts w:ascii="黑体" w:hAnsi="黑体" w:eastAsia="黑体" w:cs="黑体"/>
          <w:spacing w:val="4"/>
          <w:position w:val="2"/>
          <w:sz w:val="23"/>
          <w:szCs w:val="23"/>
        </w:rPr>
        <w:t>项目场界环境噪声监测结果一览表   单位：</w:t>
      </w:r>
      <w:r>
        <w:rPr>
          <w:rFonts w:ascii="Times New Roman" w:hAnsi="Times New Roman" w:eastAsia="Times New Roman" w:cs="Times New Roman"/>
          <w:position w:val="2"/>
          <w:sz w:val="23"/>
          <w:szCs w:val="23"/>
        </w:rPr>
        <w:t>dB</w:t>
      </w:r>
      <w:r>
        <w:rPr>
          <w:rFonts w:ascii="Times New Roman" w:hAnsi="Times New Roman" w:eastAsia="Times New Roman" w:cs="Times New Roman"/>
          <w:spacing w:val="4"/>
          <w:position w:val="2"/>
          <w:sz w:val="23"/>
          <w:szCs w:val="23"/>
        </w:rPr>
        <w:t>(</w:t>
      </w:r>
      <w:r>
        <w:rPr>
          <w:rFonts w:ascii="Times New Roman" w:hAnsi="Times New Roman" w:eastAsia="Times New Roman" w:cs="Times New Roman"/>
          <w:position w:val="2"/>
          <w:sz w:val="23"/>
          <w:szCs w:val="23"/>
        </w:rPr>
        <w:t>A</w:t>
      </w:r>
      <w:r>
        <w:rPr>
          <w:rFonts w:ascii="Times New Roman" w:hAnsi="Times New Roman" w:eastAsia="Times New Roman" w:cs="Times New Roman"/>
          <w:spacing w:val="2"/>
          <w:position w:val="2"/>
          <w:sz w:val="23"/>
          <w:szCs w:val="23"/>
        </w:rPr>
        <w:t>)</w:t>
      </w:r>
    </w:p>
    <w:tbl>
      <w:tblPr>
        <w:tblStyle w:val="4"/>
        <w:tblW w:w="928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68"/>
        <w:gridCol w:w="1905"/>
        <w:gridCol w:w="1905"/>
        <w:gridCol w:w="1905"/>
        <w:gridCol w:w="1905"/>
      </w:tblGrid>
      <w:tr w14:paraId="20085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1668" w:type="dxa"/>
            <w:vMerge w:val="restart"/>
            <w:tcBorders>
              <w:left w:val="nil"/>
              <w:bottom w:val="nil"/>
            </w:tcBorders>
          </w:tcPr>
          <w:p w14:paraId="0A37222A">
            <w:pPr>
              <w:spacing w:line="319" w:lineRule="auto"/>
            </w:pPr>
          </w:p>
          <w:p w14:paraId="00264E79">
            <w:pPr>
              <w:spacing w:before="65" w:line="229" w:lineRule="auto"/>
              <w:ind w:left="527"/>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监</w:t>
            </w:r>
            <w:r>
              <w:rPr>
                <w:rFonts w:ascii="宋体" w:hAnsi="宋体" w:eastAsia="宋体" w:cs="宋体"/>
                <w:spacing w:val="7"/>
                <w:sz w:val="20"/>
                <w:szCs w:val="20"/>
                <w14:textOutline w14:w="3797" w14:cap="sq" w14:cmpd="sng" w14:algn="ctr">
                  <w14:solidFill>
                    <w14:srgbClr w14:val="000000"/>
                  </w14:solidFill>
                  <w14:prstDash w14:val="solid"/>
                  <w14:bevel/>
                </w14:textOutline>
              </w:rPr>
              <w:t>测点</w:t>
            </w:r>
          </w:p>
        </w:tc>
        <w:tc>
          <w:tcPr>
            <w:tcW w:w="7620" w:type="dxa"/>
            <w:gridSpan w:val="4"/>
            <w:tcBorders>
              <w:right w:val="nil"/>
            </w:tcBorders>
          </w:tcPr>
          <w:p w14:paraId="589D27AF">
            <w:pPr>
              <w:spacing w:before="66" w:line="228" w:lineRule="auto"/>
              <w:ind w:left="3500"/>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监</w:t>
            </w:r>
            <w:r>
              <w:rPr>
                <w:rFonts w:ascii="宋体" w:hAnsi="宋体" w:eastAsia="宋体" w:cs="宋体"/>
                <w:spacing w:val="7"/>
                <w:sz w:val="20"/>
                <w:szCs w:val="20"/>
                <w14:textOutline w14:w="3797" w14:cap="sq" w14:cmpd="sng" w14:algn="ctr">
                  <w14:solidFill>
                    <w14:srgbClr w14:val="000000"/>
                  </w14:solidFill>
                  <w14:prstDash w14:val="solid"/>
                  <w14:bevel/>
                </w14:textOutline>
              </w:rPr>
              <w:t>测值</w:t>
            </w:r>
          </w:p>
        </w:tc>
      </w:tr>
      <w:tr w14:paraId="5C7D84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668" w:type="dxa"/>
            <w:vMerge w:val="continue"/>
            <w:tcBorders>
              <w:top w:val="nil"/>
              <w:left w:val="nil"/>
              <w:bottom w:val="nil"/>
            </w:tcBorders>
          </w:tcPr>
          <w:p w14:paraId="7B5CF9E0"/>
        </w:tc>
        <w:tc>
          <w:tcPr>
            <w:tcW w:w="3810" w:type="dxa"/>
            <w:gridSpan w:val="2"/>
          </w:tcPr>
          <w:p w14:paraId="38EB09CD">
            <w:pPr>
              <w:spacing w:before="81" w:line="195" w:lineRule="auto"/>
              <w:ind w:left="1487"/>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20</w:t>
            </w:r>
            <w:r>
              <w:rPr>
                <w:rFonts w:ascii="Times New Roman" w:hAnsi="Times New Roman" w:eastAsia="Times New Roman" w:cs="Times New Roman"/>
                <w:b/>
                <w:bCs/>
                <w:spacing w:val="3"/>
                <w:sz w:val="20"/>
                <w:szCs w:val="20"/>
              </w:rPr>
              <w:t>19</w:t>
            </w:r>
            <w:r>
              <w:rPr>
                <w:rFonts w:ascii="Times New Roman" w:hAnsi="Times New Roman" w:eastAsia="Times New Roman" w:cs="Times New Roman"/>
                <w:spacing w:val="3"/>
                <w:sz w:val="20"/>
                <w:szCs w:val="20"/>
              </w:rPr>
              <w:t xml:space="preserve"> </w:t>
            </w:r>
            <w:r>
              <w:rPr>
                <w:rFonts w:ascii="Times New Roman" w:hAnsi="Times New Roman" w:eastAsia="Times New Roman" w:cs="Times New Roman"/>
                <w:b/>
                <w:bCs/>
                <w:spacing w:val="3"/>
                <w:sz w:val="20"/>
                <w:szCs w:val="20"/>
              </w:rPr>
              <w:t>8.27</w:t>
            </w:r>
          </w:p>
        </w:tc>
        <w:tc>
          <w:tcPr>
            <w:tcW w:w="3810" w:type="dxa"/>
            <w:gridSpan w:val="2"/>
            <w:tcBorders>
              <w:right w:val="nil"/>
            </w:tcBorders>
          </w:tcPr>
          <w:p w14:paraId="2BE3C807">
            <w:pPr>
              <w:spacing w:before="81" w:line="195" w:lineRule="auto"/>
              <w:ind w:left="1486"/>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2019</w:t>
            </w:r>
            <w:r>
              <w:rPr>
                <w:rFonts w:ascii="Times New Roman" w:hAnsi="Times New Roman" w:eastAsia="Times New Roman" w:cs="Times New Roman"/>
                <w:spacing w:val="4"/>
                <w:sz w:val="20"/>
                <w:szCs w:val="20"/>
              </w:rPr>
              <w:t xml:space="preserve"> </w:t>
            </w:r>
            <w:r>
              <w:rPr>
                <w:rFonts w:ascii="Times New Roman" w:hAnsi="Times New Roman" w:eastAsia="Times New Roman" w:cs="Times New Roman"/>
                <w:b/>
                <w:bCs/>
                <w:spacing w:val="4"/>
                <w:sz w:val="20"/>
                <w:szCs w:val="20"/>
              </w:rPr>
              <w:t>8.28</w:t>
            </w:r>
          </w:p>
        </w:tc>
      </w:tr>
      <w:tr w14:paraId="6A9A7A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668" w:type="dxa"/>
            <w:vMerge w:val="continue"/>
            <w:tcBorders>
              <w:top w:val="nil"/>
              <w:left w:val="nil"/>
            </w:tcBorders>
          </w:tcPr>
          <w:p w14:paraId="564248FD"/>
        </w:tc>
        <w:tc>
          <w:tcPr>
            <w:tcW w:w="1905" w:type="dxa"/>
          </w:tcPr>
          <w:p w14:paraId="47F706CC">
            <w:pPr>
              <w:spacing w:before="51" w:line="231" w:lineRule="auto"/>
              <w:ind w:left="746"/>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昼间</w:t>
            </w:r>
          </w:p>
        </w:tc>
        <w:tc>
          <w:tcPr>
            <w:tcW w:w="1905" w:type="dxa"/>
          </w:tcPr>
          <w:p w14:paraId="6ACCA7BC">
            <w:pPr>
              <w:spacing w:before="51" w:line="228" w:lineRule="auto"/>
              <w:ind w:left="750"/>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夜间</w:t>
            </w:r>
          </w:p>
        </w:tc>
        <w:tc>
          <w:tcPr>
            <w:tcW w:w="1905" w:type="dxa"/>
          </w:tcPr>
          <w:p w14:paraId="484BB927">
            <w:pPr>
              <w:spacing w:before="51" w:line="231" w:lineRule="auto"/>
              <w:ind w:left="74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昼间</w:t>
            </w:r>
          </w:p>
        </w:tc>
        <w:tc>
          <w:tcPr>
            <w:tcW w:w="1905" w:type="dxa"/>
            <w:tcBorders>
              <w:right w:val="nil"/>
            </w:tcBorders>
          </w:tcPr>
          <w:p w14:paraId="1C0AEFB4">
            <w:pPr>
              <w:spacing w:before="51" w:line="228" w:lineRule="auto"/>
              <w:ind w:left="749"/>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夜间</w:t>
            </w:r>
          </w:p>
        </w:tc>
      </w:tr>
      <w:tr w14:paraId="5A3ED9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668" w:type="dxa"/>
            <w:tcBorders>
              <w:left w:val="nil"/>
            </w:tcBorders>
          </w:tcPr>
          <w:p w14:paraId="435662C3">
            <w:pPr>
              <w:spacing w:before="51" w:line="195" w:lineRule="auto"/>
              <w:ind w:left="635"/>
              <w:rPr>
                <w:rFonts w:ascii="Times New Roman" w:hAnsi="Times New Roman" w:eastAsia="Times New Roman" w:cs="Times New Roman"/>
                <w:sz w:val="20"/>
                <w:szCs w:val="20"/>
              </w:rPr>
            </w:pPr>
            <w:r>
              <w:rPr>
                <w:rFonts w:ascii="Times New Roman" w:hAnsi="Times New Roman" w:eastAsia="Times New Roman" w:cs="Times New Roman"/>
                <w:sz w:val="20"/>
                <w:szCs w:val="20"/>
              </w:rPr>
              <w:t>AN</w:t>
            </w:r>
            <w:r>
              <w:rPr>
                <w:rFonts w:ascii="Times New Roman" w:hAnsi="Times New Roman" w:eastAsia="Times New Roman" w:cs="Times New Roman"/>
                <w:spacing w:val="16"/>
                <w:sz w:val="20"/>
                <w:szCs w:val="20"/>
              </w:rPr>
              <w:t>1</w:t>
            </w:r>
          </w:p>
        </w:tc>
        <w:tc>
          <w:tcPr>
            <w:tcW w:w="1905" w:type="dxa"/>
          </w:tcPr>
          <w:p w14:paraId="6417A629">
            <w:pPr>
              <w:spacing w:before="96" w:line="195" w:lineRule="auto"/>
              <w:ind w:left="854"/>
              <w:rPr>
                <w:rFonts w:ascii="Times New Roman" w:hAnsi="Times New Roman" w:eastAsia="Times New Roman" w:cs="Times New Roman"/>
                <w:sz w:val="20"/>
                <w:szCs w:val="20"/>
              </w:rPr>
            </w:pPr>
            <w:r>
              <w:rPr>
                <w:rFonts w:ascii="Times New Roman" w:hAnsi="Times New Roman" w:eastAsia="Times New Roman" w:cs="Times New Roman"/>
                <w:sz w:val="20"/>
                <w:szCs w:val="20"/>
              </w:rPr>
              <w:t>54</w:t>
            </w:r>
          </w:p>
        </w:tc>
        <w:tc>
          <w:tcPr>
            <w:tcW w:w="1905" w:type="dxa"/>
          </w:tcPr>
          <w:p w14:paraId="7A4E4C22">
            <w:pPr>
              <w:spacing w:before="96" w:line="195" w:lineRule="auto"/>
              <w:ind w:left="84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43</w:t>
            </w:r>
          </w:p>
        </w:tc>
        <w:tc>
          <w:tcPr>
            <w:tcW w:w="1905" w:type="dxa"/>
          </w:tcPr>
          <w:p w14:paraId="28CB9B01">
            <w:pPr>
              <w:spacing w:before="96" w:line="195" w:lineRule="auto"/>
              <w:ind w:left="853"/>
              <w:rPr>
                <w:rFonts w:ascii="Times New Roman" w:hAnsi="Times New Roman" w:eastAsia="Times New Roman" w:cs="Times New Roman"/>
                <w:sz w:val="20"/>
                <w:szCs w:val="20"/>
              </w:rPr>
            </w:pPr>
            <w:r>
              <w:rPr>
                <w:rFonts w:ascii="Times New Roman" w:hAnsi="Times New Roman" w:eastAsia="Times New Roman" w:cs="Times New Roman"/>
                <w:sz w:val="20"/>
                <w:szCs w:val="20"/>
              </w:rPr>
              <w:t>54</w:t>
            </w:r>
          </w:p>
        </w:tc>
        <w:tc>
          <w:tcPr>
            <w:tcW w:w="1905" w:type="dxa"/>
            <w:tcBorders>
              <w:right w:val="nil"/>
            </w:tcBorders>
          </w:tcPr>
          <w:p w14:paraId="26064982">
            <w:pPr>
              <w:spacing w:before="96" w:line="195" w:lineRule="auto"/>
              <w:ind w:left="84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43</w:t>
            </w:r>
          </w:p>
        </w:tc>
      </w:tr>
      <w:tr w14:paraId="103E6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668" w:type="dxa"/>
            <w:tcBorders>
              <w:left w:val="nil"/>
            </w:tcBorders>
          </w:tcPr>
          <w:p w14:paraId="3826B103">
            <w:pPr>
              <w:spacing w:before="52" w:line="195" w:lineRule="auto"/>
              <w:ind w:left="635"/>
              <w:rPr>
                <w:rFonts w:ascii="Times New Roman" w:hAnsi="Times New Roman" w:eastAsia="Times New Roman" w:cs="Times New Roman"/>
                <w:sz w:val="20"/>
                <w:szCs w:val="20"/>
              </w:rPr>
            </w:pPr>
            <w:r>
              <w:rPr>
                <w:rFonts w:ascii="Times New Roman" w:hAnsi="Times New Roman" w:eastAsia="Times New Roman" w:cs="Times New Roman"/>
                <w:sz w:val="20"/>
                <w:szCs w:val="20"/>
              </w:rPr>
              <w:t>AN</w:t>
            </w:r>
            <w:r>
              <w:rPr>
                <w:rFonts w:ascii="Times New Roman" w:hAnsi="Times New Roman" w:eastAsia="Times New Roman" w:cs="Times New Roman"/>
                <w:spacing w:val="16"/>
                <w:sz w:val="20"/>
                <w:szCs w:val="20"/>
              </w:rPr>
              <w:t>2</w:t>
            </w:r>
          </w:p>
        </w:tc>
        <w:tc>
          <w:tcPr>
            <w:tcW w:w="1905" w:type="dxa"/>
          </w:tcPr>
          <w:p w14:paraId="3F619835">
            <w:pPr>
              <w:spacing w:before="96" w:line="195" w:lineRule="auto"/>
              <w:ind w:left="854"/>
              <w:rPr>
                <w:rFonts w:ascii="Times New Roman" w:hAnsi="Times New Roman" w:eastAsia="Times New Roman" w:cs="Times New Roman"/>
                <w:sz w:val="20"/>
                <w:szCs w:val="20"/>
              </w:rPr>
            </w:pPr>
            <w:r>
              <w:rPr>
                <w:rFonts w:ascii="Times New Roman" w:hAnsi="Times New Roman" w:eastAsia="Times New Roman" w:cs="Times New Roman"/>
                <w:sz w:val="20"/>
                <w:szCs w:val="20"/>
              </w:rPr>
              <w:t>51</w:t>
            </w:r>
          </w:p>
        </w:tc>
        <w:tc>
          <w:tcPr>
            <w:tcW w:w="1905" w:type="dxa"/>
          </w:tcPr>
          <w:p w14:paraId="1E18F41C">
            <w:pPr>
              <w:spacing w:before="96" w:line="195" w:lineRule="auto"/>
              <w:ind w:left="85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z w:val="20"/>
                <w:szCs w:val="20"/>
              </w:rPr>
              <w:t>8</w:t>
            </w:r>
          </w:p>
        </w:tc>
        <w:tc>
          <w:tcPr>
            <w:tcW w:w="1905" w:type="dxa"/>
          </w:tcPr>
          <w:p w14:paraId="3E599B42">
            <w:pPr>
              <w:spacing w:before="96" w:line="195" w:lineRule="auto"/>
              <w:ind w:left="853"/>
              <w:rPr>
                <w:rFonts w:ascii="Times New Roman" w:hAnsi="Times New Roman" w:eastAsia="Times New Roman" w:cs="Times New Roman"/>
                <w:sz w:val="20"/>
                <w:szCs w:val="20"/>
              </w:rPr>
            </w:pPr>
            <w:r>
              <w:rPr>
                <w:rFonts w:ascii="Times New Roman" w:hAnsi="Times New Roman" w:eastAsia="Times New Roman" w:cs="Times New Roman"/>
                <w:sz w:val="20"/>
                <w:szCs w:val="20"/>
              </w:rPr>
              <w:t>52</w:t>
            </w:r>
          </w:p>
        </w:tc>
        <w:tc>
          <w:tcPr>
            <w:tcW w:w="1905" w:type="dxa"/>
            <w:tcBorders>
              <w:right w:val="nil"/>
            </w:tcBorders>
          </w:tcPr>
          <w:p w14:paraId="0EA5F897">
            <w:pPr>
              <w:spacing w:before="96" w:line="195" w:lineRule="auto"/>
              <w:ind w:left="84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r>
      <w:tr w14:paraId="027B6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668" w:type="dxa"/>
            <w:tcBorders>
              <w:left w:val="nil"/>
            </w:tcBorders>
          </w:tcPr>
          <w:p w14:paraId="44563B7E">
            <w:pPr>
              <w:spacing w:before="54" w:line="195" w:lineRule="auto"/>
              <w:ind w:left="635"/>
              <w:rPr>
                <w:rFonts w:ascii="Times New Roman" w:hAnsi="Times New Roman" w:eastAsia="Times New Roman" w:cs="Times New Roman"/>
                <w:sz w:val="20"/>
                <w:szCs w:val="20"/>
              </w:rPr>
            </w:pPr>
            <w:r>
              <w:rPr>
                <w:rFonts w:ascii="Times New Roman" w:hAnsi="Times New Roman" w:eastAsia="Times New Roman" w:cs="Times New Roman"/>
                <w:sz w:val="20"/>
                <w:szCs w:val="20"/>
              </w:rPr>
              <w:t>AN</w:t>
            </w:r>
            <w:r>
              <w:rPr>
                <w:rFonts w:ascii="Times New Roman" w:hAnsi="Times New Roman" w:eastAsia="Times New Roman" w:cs="Times New Roman"/>
                <w:spacing w:val="16"/>
                <w:sz w:val="20"/>
                <w:szCs w:val="20"/>
              </w:rPr>
              <w:t>3</w:t>
            </w:r>
          </w:p>
        </w:tc>
        <w:tc>
          <w:tcPr>
            <w:tcW w:w="1905" w:type="dxa"/>
          </w:tcPr>
          <w:p w14:paraId="3B352CF0">
            <w:pPr>
              <w:spacing w:before="97" w:line="195" w:lineRule="auto"/>
              <w:ind w:left="854"/>
              <w:rPr>
                <w:rFonts w:ascii="Times New Roman" w:hAnsi="Times New Roman" w:eastAsia="Times New Roman" w:cs="Times New Roman"/>
                <w:sz w:val="20"/>
                <w:szCs w:val="20"/>
              </w:rPr>
            </w:pPr>
            <w:r>
              <w:rPr>
                <w:rFonts w:ascii="Times New Roman" w:hAnsi="Times New Roman" w:eastAsia="Times New Roman" w:cs="Times New Roman"/>
                <w:sz w:val="20"/>
                <w:szCs w:val="20"/>
              </w:rPr>
              <w:t>52</w:t>
            </w:r>
          </w:p>
        </w:tc>
        <w:tc>
          <w:tcPr>
            <w:tcW w:w="1905" w:type="dxa"/>
          </w:tcPr>
          <w:p w14:paraId="0209B6B4">
            <w:pPr>
              <w:spacing w:before="97" w:line="195" w:lineRule="auto"/>
              <w:ind w:left="84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43</w:t>
            </w:r>
          </w:p>
        </w:tc>
        <w:tc>
          <w:tcPr>
            <w:tcW w:w="1905" w:type="dxa"/>
          </w:tcPr>
          <w:p w14:paraId="49B2BDC1">
            <w:pPr>
              <w:spacing w:before="97" w:line="195" w:lineRule="auto"/>
              <w:ind w:left="853"/>
              <w:rPr>
                <w:rFonts w:ascii="Times New Roman" w:hAnsi="Times New Roman" w:eastAsia="Times New Roman" w:cs="Times New Roman"/>
                <w:sz w:val="20"/>
                <w:szCs w:val="20"/>
              </w:rPr>
            </w:pPr>
            <w:r>
              <w:rPr>
                <w:rFonts w:ascii="Times New Roman" w:hAnsi="Times New Roman" w:eastAsia="Times New Roman" w:cs="Times New Roman"/>
                <w:sz w:val="20"/>
                <w:szCs w:val="20"/>
              </w:rPr>
              <w:t>53</w:t>
            </w:r>
          </w:p>
        </w:tc>
        <w:tc>
          <w:tcPr>
            <w:tcW w:w="1905" w:type="dxa"/>
            <w:tcBorders>
              <w:right w:val="nil"/>
            </w:tcBorders>
          </w:tcPr>
          <w:p w14:paraId="69266EF4">
            <w:pPr>
              <w:spacing w:before="97" w:line="195" w:lineRule="auto"/>
              <w:ind w:left="84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42</w:t>
            </w:r>
          </w:p>
        </w:tc>
      </w:tr>
      <w:tr w14:paraId="72BB3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668" w:type="dxa"/>
            <w:tcBorders>
              <w:left w:val="nil"/>
            </w:tcBorders>
          </w:tcPr>
          <w:p w14:paraId="546A46BF">
            <w:pPr>
              <w:spacing w:before="54" w:line="195" w:lineRule="auto"/>
              <w:ind w:left="635"/>
              <w:rPr>
                <w:rFonts w:ascii="Times New Roman" w:hAnsi="Times New Roman" w:eastAsia="Times New Roman" w:cs="Times New Roman"/>
                <w:sz w:val="20"/>
                <w:szCs w:val="20"/>
              </w:rPr>
            </w:pPr>
            <w:r>
              <w:rPr>
                <w:rFonts w:ascii="Times New Roman" w:hAnsi="Times New Roman" w:eastAsia="Times New Roman" w:cs="Times New Roman"/>
                <w:sz w:val="20"/>
                <w:szCs w:val="20"/>
              </w:rPr>
              <w:t>AN</w:t>
            </w:r>
            <w:r>
              <w:rPr>
                <w:rFonts w:ascii="Times New Roman" w:hAnsi="Times New Roman" w:eastAsia="Times New Roman" w:cs="Times New Roman"/>
                <w:spacing w:val="16"/>
                <w:sz w:val="20"/>
                <w:szCs w:val="20"/>
              </w:rPr>
              <w:t>4</w:t>
            </w:r>
          </w:p>
        </w:tc>
        <w:tc>
          <w:tcPr>
            <w:tcW w:w="1905" w:type="dxa"/>
          </w:tcPr>
          <w:p w14:paraId="0C2902CE">
            <w:pPr>
              <w:spacing w:before="99" w:line="195" w:lineRule="auto"/>
              <w:ind w:left="854"/>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c>
          <w:tcPr>
            <w:tcW w:w="1905" w:type="dxa"/>
          </w:tcPr>
          <w:p w14:paraId="1C5D5528">
            <w:pPr>
              <w:spacing w:before="99" w:line="195" w:lineRule="auto"/>
              <w:ind w:left="85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z w:val="20"/>
                <w:szCs w:val="20"/>
              </w:rPr>
              <w:t>8</w:t>
            </w:r>
          </w:p>
        </w:tc>
        <w:tc>
          <w:tcPr>
            <w:tcW w:w="1905" w:type="dxa"/>
          </w:tcPr>
          <w:p w14:paraId="43989B79">
            <w:pPr>
              <w:spacing w:before="99" w:line="195" w:lineRule="auto"/>
              <w:ind w:left="853"/>
              <w:rPr>
                <w:rFonts w:ascii="Times New Roman" w:hAnsi="Times New Roman" w:eastAsia="Times New Roman" w:cs="Times New Roman"/>
                <w:sz w:val="20"/>
                <w:szCs w:val="20"/>
              </w:rPr>
            </w:pPr>
            <w:r>
              <w:rPr>
                <w:rFonts w:ascii="Times New Roman" w:hAnsi="Times New Roman" w:eastAsia="Times New Roman" w:cs="Times New Roman"/>
                <w:sz w:val="20"/>
                <w:szCs w:val="20"/>
              </w:rPr>
              <w:t>51</w:t>
            </w:r>
          </w:p>
        </w:tc>
        <w:tc>
          <w:tcPr>
            <w:tcW w:w="1905" w:type="dxa"/>
            <w:tcBorders>
              <w:right w:val="nil"/>
            </w:tcBorders>
          </w:tcPr>
          <w:p w14:paraId="509156C9">
            <w:pPr>
              <w:spacing w:before="99" w:line="195" w:lineRule="auto"/>
              <w:ind w:left="84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r>
      <w:tr w14:paraId="4E5D2F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668" w:type="dxa"/>
            <w:tcBorders>
              <w:left w:val="nil"/>
            </w:tcBorders>
          </w:tcPr>
          <w:p w14:paraId="1257118E">
            <w:pPr>
              <w:spacing w:before="55" w:line="195" w:lineRule="auto"/>
              <w:ind w:left="635"/>
              <w:rPr>
                <w:rFonts w:ascii="Times New Roman" w:hAnsi="Times New Roman" w:eastAsia="Times New Roman" w:cs="Times New Roman"/>
                <w:sz w:val="20"/>
                <w:szCs w:val="20"/>
              </w:rPr>
            </w:pPr>
            <w:r>
              <w:rPr>
                <w:rFonts w:ascii="Times New Roman" w:hAnsi="Times New Roman" w:eastAsia="Times New Roman" w:cs="Times New Roman"/>
                <w:sz w:val="20"/>
                <w:szCs w:val="20"/>
              </w:rPr>
              <w:t>AN</w:t>
            </w:r>
            <w:r>
              <w:rPr>
                <w:rFonts w:ascii="Times New Roman" w:hAnsi="Times New Roman" w:eastAsia="Times New Roman" w:cs="Times New Roman"/>
                <w:spacing w:val="16"/>
                <w:sz w:val="20"/>
                <w:szCs w:val="20"/>
              </w:rPr>
              <w:t>5</w:t>
            </w:r>
          </w:p>
        </w:tc>
        <w:tc>
          <w:tcPr>
            <w:tcW w:w="1905" w:type="dxa"/>
          </w:tcPr>
          <w:p w14:paraId="3149321A">
            <w:pPr>
              <w:spacing w:before="99" w:line="195" w:lineRule="auto"/>
              <w:ind w:left="854"/>
              <w:rPr>
                <w:rFonts w:ascii="Times New Roman" w:hAnsi="Times New Roman" w:eastAsia="Times New Roman" w:cs="Times New Roman"/>
                <w:sz w:val="20"/>
                <w:szCs w:val="20"/>
              </w:rPr>
            </w:pPr>
            <w:r>
              <w:rPr>
                <w:rFonts w:ascii="Times New Roman" w:hAnsi="Times New Roman" w:eastAsia="Times New Roman" w:cs="Times New Roman"/>
                <w:sz w:val="20"/>
                <w:szCs w:val="20"/>
              </w:rPr>
              <w:t>53</w:t>
            </w:r>
          </w:p>
        </w:tc>
        <w:tc>
          <w:tcPr>
            <w:tcW w:w="1905" w:type="dxa"/>
          </w:tcPr>
          <w:p w14:paraId="6013EE27">
            <w:pPr>
              <w:spacing w:before="99" w:line="195" w:lineRule="auto"/>
              <w:ind w:left="84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41</w:t>
            </w:r>
          </w:p>
        </w:tc>
        <w:tc>
          <w:tcPr>
            <w:tcW w:w="1905" w:type="dxa"/>
          </w:tcPr>
          <w:p w14:paraId="77A43EC8">
            <w:pPr>
              <w:spacing w:before="101" w:line="192" w:lineRule="auto"/>
              <w:ind w:left="853"/>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c>
          <w:tcPr>
            <w:tcW w:w="1905" w:type="dxa"/>
            <w:tcBorders>
              <w:right w:val="nil"/>
            </w:tcBorders>
          </w:tcPr>
          <w:p w14:paraId="73097F15">
            <w:pPr>
              <w:spacing w:before="99" w:line="195" w:lineRule="auto"/>
              <w:ind w:left="84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42</w:t>
            </w:r>
          </w:p>
        </w:tc>
      </w:tr>
      <w:tr w14:paraId="019C4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668" w:type="dxa"/>
            <w:tcBorders>
              <w:left w:val="nil"/>
            </w:tcBorders>
          </w:tcPr>
          <w:p w14:paraId="67EE9118">
            <w:pPr>
              <w:spacing w:before="64" w:line="228" w:lineRule="auto"/>
              <w:ind w:left="527"/>
              <w:rPr>
                <w:rFonts w:ascii="宋体" w:hAnsi="宋体" w:eastAsia="宋体" w:cs="宋体"/>
                <w:sz w:val="20"/>
                <w:szCs w:val="20"/>
              </w:rPr>
            </w:pPr>
            <w:r>
              <w:rPr>
                <w:rFonts w:ascii="宋体" w:hAnsi="宋体" w:eastAsia="宋体" w:cs="宋体"/>
                <w:spacing w:val="7"/>
                <w:sz w:val="20"/>
                <w:szCs w:val="20"/>
              </w:rPr>
              <w:t>标</w:t>
            </w:r>
            <w:r>
              <w:rPr>
                <w:rFonts w:ascii="宋体" w:hAnsi="宋体" w:eastAsia="宋体" w:cs="宋体"/>
                <w:spacing w:val="6"/>
                <w:sz w:val="20"/>
                <w:szCs w:val="20"/>
              </w:rPr>
              <w:t>准值</w:t>
            </w:r>
          </w:p>
        </w:tc>
        <w:tc>
          <w:tcPr>
            <w:tcW w:w="1905" w:type="dxa"/>
          </w:tcPr>
          <w:p w14:paraId="46413A28">
            <w:pPr>
              <w:spacing w:before="100" w:line="195" w:lineRule="auto"/>
              <w:ind w:left="85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0</w:t>
            </w:r>
          </w:p>
        </w:tc>
        <w:tc>
          <w:tcPr>
            <w:tcW w:w="1905" w:type="dxa"/>
          </w:tcPr>
          <w:p w14:paraId="4F60F4B6">
            <w:pPr>
              <w:spacing w:before="100" w:line="195" w:lineRule="auto"/>
              <w:ind w:left="855"/>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c>
          <w:tcPr>
            <w:tcW w:w="1905" w:type="dxa"/>
          </w:tcPr>
          <w:p w14:paraId="5598BE56">
            <w:pPr>
              <w:spacing w:before="100" w:line="195" w:lineRule="auto"/>
              <w:ind w:left="85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0</w:t>
            </w:r>
          </w:p>
        </w:tc>
        <w:tc>
          <w:tcPr>
            <w:tcW w:w="1905" w:type="dxa"/>
            <w:tcBorders>
              <w:right w:val="nil"/>
            </w:tcBorders>
          </w:tcPr>
          <w:p w14:paraId="5FCAC960">
            <w:pPr>
              <w:spacing w:before="100" w:line="195" w:lineRule="auto"/>
              <w:ind w:left="853"/>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r>
      <w:tr w14:paraId="490935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1668" w:type="dxa"/>
            <w:tcBorders>
              <w:left w:val="nil"/>
            </w:tcBorders>
          </w:tcPr>
          <w:p w14:paraId="62D3F82D">
            <w:pPr>
              <w:spacing w:before="63" w:line="228" w:lineRule="auto"/>
              <w:ind w:left="426"/>
              <w:rPr>
                <w:rFonts w:ascii="宋体" w:hAnsi="宋体" w:eastAsia="宋体" w:cs="宋体"/>
                <w:sz w:val="20"/>
                <w:szCs w:val="20"/>
              </w:rPr>
            </w:pPr>
            <w:r>
              <w:rPr>
                <w:rFonts w:ascii="宋体" w:hAnsi="宋体" w:eastAsia="宋体" w:cs="宋体"/>
                <w:spacing w:val="8"/>
                <w:sz w:val="20"/>
                <w:szCs w:val="20"/>
              </w:rPr>
              <w:t>是</w:t>
            </w:r>
            <w:r>
              <w:rPr>
                <w:rFonts w:ascii="宋体" w:hAnsi="宋体" w:eastAsia="宋体" w:cs="宋体"/>
                <w:spacing w:val="6"/>
                <w:sz w:val="20"/>
                <w:szCs w:val="20"/>
              </w:rPr>
              <w:t>否达标</w:t>
            </w:r>
          </w:p>
        </w:tc>
        <w:tc>
          <w:tcPr>
            <w:tcW w:w="1905" w:type="dxa"/>
          </w:tcPr>
          <w:p w14:paraId="78E4C40A">
            <w:pPr>
              <w:spacing w:before="63" w:line="228" w:lineRule="auto"/>
              <w:ind w:left="746"/>
              <w:rPr>
                <w:rFonts w:ascii="宋体" w:hAnsi="宋体" w:eastAsia="宋体" w:cs="宋体"/>
                <w:sz w:val="20"/>
                <w:szCs w:val="20"/>
              </w:rPr>
            </w:pPr>
            <w:r>
              <w:rPr>
                <w:rFonts w:ascii="宋体" w:hAnsi="宋体" w:eastAsia="宋体" w:cs="宋体"/>
                <w:spacing w:val="5"/>
                <w:sz w:val="20"/>
                <w:szCs w:val="20"/>
              </w:rPr>
              <w:t>达标</w:t>
            </w:r>
          </w:p>
        </w:tc>
        <w:tc>
          <w:tcPr>
            <w:tcW w:w="1905" w:type="dxa"/>
          </w:tcPr>
          <w:p w14:paraId="7B41BC4C">
            <w:pPr>
              <w:spacing w:before="63" w:line="228" w:lineRule="auto"/>
              <w:ind w:left="746"/>
              <w:rPr>
                <w:rFonts w:ascii="宋体" w:hAnsi="宋体" w:eastAsia="宋体" w:cs="宋体"/>
                <w:sz w:val="20"/>
                <w:szCs w:val="20"/>
              </w:rPr>
            </w:pPr>
            <w:r>
              <w:rPr>
                <w:rFonts w:ascii="宋体" w:hAnsi="宋体" w:eastAsia="宋体" w:cs="宋体"/>
                <w:spacing w:val="5"/>
                <w:sz w:val="20"/>
                <w:szCs w:val="20"/>
              </w:rPr>
              <w:t>达标</w:t>
            </w:r>
          </w:p>
        </w:tc>
        <w:tc>
          <w:tcPr>
            <w:tcW w:w="1905" w:type="dxa"/>
          </w:tcPr>
          <w:p w14:paraId="23E1BBCD">
            <w:pPr>
              <w:spacing w:before="63" w:line="228" w:lineRule="auto"/>
              <w:ind w:left="747"/>
              <w:rPr>
                <w:rFonts w:ascii="宋体" w:hAnsi="宋体" w:eastAsia="宋体" w:cs="宋体"/>
                <w:sz w:val="20"/>
                <w:szCs w:val="20"/>
              </w:rPr>
            </w:pPr>
            <w:r>
              <w:rPr>
                <w:rFonts w:ascii="宋体" w:hAnsi="宋体" w:eastAsia="宋体" w:cs="宋体"/>
                <w:spacing w:val="5"/>
                <w:sz w:val="20"/>
                <w:szCs w:val="20"/>
              </w:rPr>
              <w:t>达标</w:t>
            </w:r>
          </w:p>
        </w:tc>
        <w:tc>
          <w:tcPr>
            <w:tcW w:w="1905" w:type="dxa"/>
            <w:tcBorders>
              <w:right w:val="nil"/>
            </w:tcBorders>
          </w:tcPr>
          <w:p w14:paraId="25EE7B9E">
            <w:pPr>
              <w:spacing w:before="63" w:line="228" w:lineRule="auto"/>
              <w:ind w:left="745"/>
              <w:rPr>
                <w:rFonts w:ascii="宋体" w:hAnsi="宋体" w:eastAsia="宋体" w:cs="宋体"/>
                <w:sz w:val="20"/>
                <w:szCs w:val="20"/>
              </w:rPr>
            </w:pPr>
            <w:r>
              <w:rPr>
                <w:rFonts w:ascii="宋体" w:hAnsi="宋体" w:eastAsia="宋体" w:cs="宋体"/>
                <w:spacing w:val="5"/>
                <w:sz w:val="20"/>
                <w:szCs w:val="20"/>
              </w:rPr>
              <w:t>达标</w:t>
            </w:r>
          </w:p>
        </w:tc>
      </w:tr>
    </w:tbl>
    <w:p w14:paraId="0158B500">
      <w:pPr>
        <w:spacing w:before="37" w:line="229" w:lineRule="auto"/>
        <w:ind w:left="830"/>
        <w:rPr>
          <w:rFonts w:ascii="宋体" w:hAnsi="宋体" w:eastAsia="宋体" w:cs="宋体"/>
          <w:sz w:val="23"/>
          <w:szCs w:val="23"/>
        </w:rPr>
      </w:pPr>
      <w:r>
        <w:rPr>
          <w:rFonts w:ascii="宋体" w:hAnsi="宋体" w:eastAsia="宋体" w:cs="宋体"/>
          <w:spacing w:val="5"/>
          <w:sz w:val="23"/>
          <w:szCs w:val="23"/>
        </w:rPr>
        <w:t xml:space="preserve">由表 </w:t>
      </w:r>
      <w:r>
        <w:rPr>
          <w:rFonts w:ascii="Times New Roman" w:hAnsi="Times New Roman" w:eastAsia="Times New Roman" w:cs="Times New Roman"/>
          <w:spacing w:val="5"/>
          <w:sz w:val="23"/>
          <w:szCs w:val="23"/>
        </w:rPr>
        <w:t xml:space="preserve">4.2- 12 </w:t>
      </w:r>
      <w:r>
        <w:rPr>
          <w:rFonts w:ascii="宋体" w:hAnsi="宋体" w:eastAsia="宋体" w:cs="宋体"/>
          <w:spacing w:val="5"/>
          <w:sz w:val="23"/>
          <w:szCs w:val="23"/>
        </w:rPr>
        <w:t>可知，项目东、南、西、北四面场界及周边敏感点昼间、夜间</w:t>
      </w:r>
      <w:r>
        <w:rPr>
          <w:rFonts w:ascii="宋体" w:hAnsi="宋体" w:eastAsia="宋体" w:cs="宋体"/>
          <w:spacing w:val="3"/>
          <w:sz w:val="23"/>
          <w:szCs w:val="23"/>
        </w:rPr>
        <w:t>监</w:t>
      </w:r>
      <w:r>
        <w:rPr>
          <w:rFonts w:ascii="宋体" w:hAnsi="宋体" w:eastAsia="宋体" w:cs="宋体"/>
          <w:sz w:val="23"/>
          <w:szCs w:val="23"/>
        </w:rPr>
        <w:t>测</w:t>
      </w:r>
    </w:p>
    <w:p w14:paraId="432472C1">
      <w:pPr>
        <w:spacing w:before="180" w:line="227" w:lineRule="auto"/>
        <w:ind w:left="321"/>
        <w:rPr>
          <w:rFonts w:ascii="宋体" w:hAnsi="宋体" w:eastAsia="宋体" w:cs="宋体"/>
          <w:sz w:val="23"/>
          <w:szCs w:val="23"/>
        </w:rPr>
      </w:pPr>
      <w:r>
        <w:rPr>
          <w:rFonts w:ascii="宋体" w:hAnsi="宋体" w:eastAsia="宋体" w:cs="宋体"/>
          <w:spacing w:val="12"/>
          <w:sz w:val="23"/>
          <w:szCs w:val="23"/>
        </w:rPr>
        <w:t>值</w:t>
      </w:r>
      <w:r>
        <w:rPr>
          <w:rFonts w:ascii="宋体" w:hAnsi="宋体" w:eastAsia="宋体" w:cs="宋体"/>
          <w:spacing w:val="6"/>
          <w:sz w:val="23"/>
          <w:szCs w:val="23"/>
        </w:rPr>
        <w:t>均符合《声环境质量标准》  (</w:t>
      </w:r>
      <w:r>
        <w:rPr>
          <w:rFonts w:ascii="Times New Roman" w:hAnsi="Times New Roman" w:eastAsia="Times New Roman" w:cs="Times New Roman"/>
          <w:sz w:val="23"/>
          <w:szCs w:val="23"/>
        </w:rPr>
        <w:t>GB</w:t>
      </w:r>
      <w:r>
        <w:rPr>
          <w:rFonts w:ascii="Times New Roman" w:hAnsi="Times New Roman" w:eastAsia="Times New Roman" w:cs="Times New Roman"/>
          <w:spacing w:val="6"/>
          <w:sz w:val="23"/>
          <w:szCs w:val="23"/>
        </w:rPr>
        <w:t>3096-2008</w:t>
      </w:r>
      <w:r>
        <w:rPr>
          <w:rFonts w:ascii="宋体" w:hAnsi="宋体" w:eastAsia="宋体" w:cs="宋体"/>
          <w:spacing w:val="6"/>
          <w:sz w:val="23"/>
          <w:szCs w:val="23"/>
        </w:rPr>
        <w:t xml:space="preserve">) 中的 </w:t>
      </w:r>
      <w:r>
        <w:rPr>
          <w:rFonts w:ascii="Times New Roman" w:hAnsi="Times New Roman" w:eastAsia="Times New Roman" w:cs="Times New Roman"/>
          <w:spacing w:val="6"/>
          <w:sz w:val="23"/>
          <w:szCs w:val="23"/>
        </w:rPr>
        <w:t xml:space="preserve">2 </w:t>
      </w:r>
      <w:r>
        <w:rPr>
          <w:rFonts w:ascii="宋体" w:hAnsi="宋体" w:eastAsia="宋体" w:cs="宋体"/>
          <w:spacing w:val="6"/>
          <w:sz w:val="23"/>
          <w:szCs w:val="23"/>
        </w:rPr>
        <w:t>类标准限值要求，项目周边</w:t>
      </w:r>
    </w:p>
    <w:p w14:paraId="685320F7">
      <w:pPr>
        <w:spacing w:before="185" w:line="227" w:lineRule="auto"/>
        <w:ind w:left="338"/>
        <w:rPr>
          <w:rFonts w:ascii="宋体" w:hAnsi="宋体" w:eastAsia="宋体" w:cs="宋体"/>
          <w:sz w:val="23"/>
          <w:szCs w:val="23"/>
        </w:rPr>
      </w:pPr>
      <w:r>
        <w:rPr>
          <w:rFonts w:ascii="宋体" w:hAnsi="宋体" w:eastAsia="宋体" w:cs="宋体"/>
          <w:spacing w:val="8"/>
          <w:sz w:val="23"/>
          <w:szCs w:val="23"/>
        </w:rPr>
        <w:t>区</w:t>
      </w:r>
      <w:r>
        <w:rPr>
          <w:rFonts w:ascii="宋体" w:hAnsi="宋体" w:eastAsia="宋体" w:cs="宋体"/>
          <w:spacing w:val="6"/>
          <w:sz w:val="23"/>
          <w:szCs w:val="23"/>
        </w:rPr>
        <w:t>域声环境质量较好。</w:t>
      </w:r>
    </w:p>
    <w:p w14:paraId="58249AA4">
      <w:pPr>
        <w:spacing w:before="187" w:line="219" w:lineRule="auto"/>
        <w:ind w:left="318"/>
        <w:outlineLvl w:val="1"/>
        <w:rPr>
          <w:rFonts w:ascii="宋体" w:hAnsi="宋体" w:eastAsia="宋体" w:cs="宋体"/>
          <w:sz w:val="28"/>
          <w:szCs w:val="28"/>
        </w:rPr>
      </w:pPr>
      <w:r>
        <w:rPr>
          <w:rFonts w:ascii="Times New Roman" w:hAnsi="Times New Roman" w:eastAsia="Times New Roman" w:cs="Times New Roman"/>
          <w:b/>
          <w:bCs/>
          <w:spacing w:val="1"/>
          <w:sz w:val="28"/>
          <w:szCs w:val="28"/>
        </w:rPr>
        <w:t>4.2.</w:t>
      </w:r>
      <w:r>
        <w:rPr>
          <w:rFonts w:ascii="Times New Roman" w:hAnsi="Times New Roman" w:eastAsia="Times New Roman" w:cs="Times New Roman"/>
          <w:b/>
          <w:bCs/>
          <w:sz w:val="28"/>
          <w:szCs w:val="28"/>
        </w:rPr>
        <w:t>5</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土壤环境质量现状调查与评价</w:t>
      </w:r>
    </w:p>
    <w:p w14:paraId="0F4D6989">
      <w:pPr>
        <w:spacing w:before="208" w:line="227" w:lineRule="auto"/>
        <w:ind w:left="812"/>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8"/>
          <w:sz w:val="23"/>
          <w:szCs w:val="23"/>
        </w:rPr>
        <w:t>1</w:t>
      </w:r>
      <w:r>
        <w:rPr>
          <w:rFonts w:ascii="宋体" w:hAnsi="宋体" w:eastAsia="宋体" w:cs="宋体"/>
          <w:spacing w:val="18"/>
          <w:sz w:val="23"/>
          <w:szCs w:val="23"/>
        </w:rPr>
        <w:t>) 监测点位布</w:t>
      </w:r>
      <w:r>
        <w:rPr>
          <w:rFonts w:ascii="宋体" w:hAnsi="宋体" w:eastAsia="宋体" w:cs="宋体"/>
          <w:spacing w:val="17"/>
          <w:sz w:val="23"/>
          <w:szCs w:val="23"/>
        </w:rPr>
        <w:t>设</w:t>
      </w:r>
    </w:p>
    <w:p w14:paraId="27D66C16">
      <w:pPr>
        <w:spacing w:before="185" w:line="466" w:lineRule="exact"/>
        <w:ind w:left="801"/>
        <w:rPr>
          <w:rFonts w:ascii="宋体" w:hAnsi="宋体" w:eastAsia="宋体" w:cs="宋体"/>
          <w:sz w:val="23"/>
          <w:szCs w:val="23"/>
        </w:rPr>
      </w:pPr>
      <w:r>
        <w:rPr>
          <w:rFonts w:ascii="宋体" w:hAnsi="宋体" w:eastAsia="宋体" w:cs="宋体"/>
          <w:spacing w:val="12"/>
          <w:position w:val="17"/>
          <w:sz w:val="23"/>
          <w:szCs w:val="23"/>
        </w:rPr>
        <w:t>根据项</w:t>
      </w:r>
      <w:r>
        <w:rPr>
          <w:rFonts w:ascii="宋体" w:hAnsi="宋体" w:eastAsia="宋体" w:cs="宋体"/>
          <w:spacing w:val="11"/>
          <w:position w:val="17"/>
          <w:sz w:val="23"/>
          <w:szCs w:val="23"/>
        </w:rPr>
        <w:t>目</w:t>
      </w:r>
      <w:r>
        <w:rPr>
          <w:rFonts w:ascii="宋体" w:hAnsi="宋体" w:eastAsia="宋体" w:cs="宋体"/>
          <w:spacing w:val="6"/>
          <w:position w:val="17"/>
          <w:sz w:val="23"/>
          <w:szCs w:val="23"/>
        </w:rPr>
        <w:t xml:space="preserve">区实际情况，于拟建地块中部设置有 </w:t>
      </w:r>
      <w:r>
        <w:rPr>
          <w:rFonts w:ascii="Times New Roman" w:hAnsi="Times New Roman" w:eastAsia="Times New Roman" w:cs="Times New Roman"/>
          <w:spacing w:val="6"/>
          <w:position w:val="17"/>
          <w:sz w:val="23"/>
          <w:szCs w:val="23"/>
        </w:rPr>
        <w:t xml:space="preserve">1 </w:t>
      </w:r>
      <w:r>
        <w:rPr>
          <w:rFonts w:ascii="宋体" w:hAnsi="宋体" w:eastAsia="宋体" w:cs="宋体"/>
          <w:spacing w:val="6"/>
          <w:position w:val="17"/>
          <w:sz w:val="23"/>
          <w:szCs w:val="23"/>
        </w:rPr>
        <w:t>个土壤监测点。</w:t>
      </w:r>
    </w:p>
    <w:p w14:paraId="67FD4E1F">
      <w:pPr>
        <w:spacing w:line="228" w:lineRule="auto"/>
        <w:ind w:left="812"/>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2</w:t>
      </w:r>
      <w:r>
        <w:rPr>
          <w:rFonts w:ascii="宋体" w:hAnsi="宋体" w:eastAsia="宋体" w:cs="宋体"/>
          <w:spacing w:val="20"/>
          <w:sz w:val="23"/>
          <w:szCs w:val="23"/>
        </w:rPr>
        <w:t>) 监测因</w:t>
      </w:r>
      <w:r>
        <w:rPr>
          <w:rFonts w:ascii="宋体" w:hAnsi="宋体" w:eastAsia="宋体" w:cs="宋体"/>
          <w:spacing w:val="19"/>
          <w:sz w:val="23"/>
          <w:szCs w:val="23"/>
        </w:rPr>
        <w:t>子</w:t>
      </w:r>
    </w:p>
    <w:p w14:paraId="7BAAFC0F">
      <w:pPr>
        <w:spacing w:before="184" w:line="219" w:lineRule="auto"/>
        <w:ind w:left="791"/>
        <w:rPr>
          <w:rFonts w:ascii="宋体" w:hAnsi="宋体" w:eastAsia="宋体" w:cs="宋体"/>
          <w:sz w:val="23"/>
          <w:szCs w:val="23"/>
        </w:rPr>
      </w:pPr>
      <w:r>
        <w:rPr>
          <w:rFonts w:ascii="Times New Roman" w:hAnsi="Times New Roman" w:eastAsia="Times New Roman" w:cs="Times New Roman"/>
          <w:sz w:val="23"/>
          <w:szCs w:val="23"/>
        </w:rPr>
        <w:t>pH</w:t>
      </w:r>
      <w:r>
        <w:rPr>
          <w:rFonts w:ascii="Times New Roman" w:hAnsi="Times New Roman" w:eastAsia="Times New Roman" w:cs="Times New Roman"/>
          <w:spacing w:val="11"/>
          <w:sz w:val="23"/>
          <w:szCs w:val="23"/>
        </w:rPr>
        <w:t xml:space="preserve"> </w:t>
      </w:r>
      <w:r>
        <w:rPr>
          <w:rFonts w:ascii="宋体" w:hAnsi="宋体" w:eastAsia="宋体" w:cs="宋体"/>
          <w:spacing w:val="7"/>
          <w:sz w:val="23"/>
          <w:szCs w:val="23"/>
        </w:rPr>
        <w:t>、砷、镉、铬 (六价) 、铜、铅、汞、镍、锌、六六六总量。</w:t>
      </w:r>
    </w:p>
    <w:p w14:paraId="6994D4DE">
      <w:pPr>
        <w:spacing w:before="193" w:line="227" w:lineRule="auto"/>
        <w:ind w:left="812"/>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7"/>
          <w:sz w:val="23"/>
          <w:szCs w:val="23"/>
        </w:rPr>
        <w:t>3</w:t>
      </w:r>
      <w:r>
        <w:rPr>
          <w:rFonts w:ascii="宋体" w:hAnsi="宋体" w:eastAsia="宋体" w:cs="宋体"/>
          <w:spacing w:val="17"/>
          <w:sz w:val="23"/>
          <w:szCs w:val="23"/>
        </w:rPr>
        <w:t>) 监测时间及频率</w:t>
      </w:r>
    </w:p>
    <w:p w14:paraId="0DB72796">
      <w:pPr>
        <w:spacing w:before="183" w:line="227" w:lineRule="auto"/>
        <w:ind w:left="802"/>
        <w:rPr>
          <w:rFonts w:ascii="宋体" w:hAnsi="宋体" w:eastAsia="宋体" w:cs="宋体"/>
          <w:sz w:val="23"/>
          <w:szCs w:val="23"/>
        </w:rPr>
      </w:pPr>
      <w:r>
        <w:rPr>
          <w:rFonts w:ascii="宋体" w:hAnsi="宋体" w:eastAsia="宋体" w:cs="宋体"/>
          <w:spacing w:val="1"/>
          <w:sz w:val="23"/>
          <w:szCs w:val="23"/>
        </w:rPr>
        <w:t>监测时间：</w:t>
      </w:r>
      <w:r>
        <w:rPr>
          <w:rFonts w:ascii="Times New Roman" w:hAnsi="Times New Roman" w:eastAsia="Times New Roman" w:cs="Times New Roman"/>
          <w:spacing w:val="1"/>
          <w:sz w:val="23"/>
          <w:szCs w:val="23"/>
        </w:rPr>
        <w:t xml:space="preserve">2019 </w:t>
      </w:r>
      <w:r>
        <w:rPr>
          <w:rFonts w:ascii="宋体" w:hAnsi="宋体" w:eastAsia="宋体" w:cs="宋体"/>
          <w:spacing w:val="1"/>
          <w:sz w:val="23"/>
          <w:szCs w:val="23"/>
        </w:rPr>
        <w:t xml:space="preserve">年 </w:t>
      </w:r>
      <w:r>
        <w:rPr>
          <w:rFonts w:ascii="Times New Roman" w:hAnsi="Times New Roman" w:eastAsia="Times New Roman" w:cs="Times New Roman"/>
          <w:spacing w:val="1"/>
          <w:sz w:val="23"/>
          <w:szCs w:val="23"/>
        </w:rPr>
        <w:t xml:space="preserve">8 </w:t>
      </w:r>
      <w:r>
        <w:rPr>
          <w:rFonts w:ascii="宋体" w:hAnsi="宋体" w:eastAsia="宋体" w:cs="宋体"/>
          <w:spacing w:val="1"/>
          <w:sz w:val="23"/>
          <w:szCs w:val="23"/>
        </w:rPr>
        <w:t xml:space="preserve">月 </w:t>
      </w:r>
      <w:r>
        <w:rPr>
          <w:rFonts w:ascii="Times New Roman" w:hAnsi="Times New Roman" w:eastAsia="Times New Roman" w:cs="Times New Roman"/>
          <w:spacing w:val="1"/>
          <w:sz w:val="23"/>
          <w:szCs w:val="23"/>
        </w:rPr>
        <w:t xml:space="preserve">27 </w:t>
      </w:r>
      <w:r>
        <w:rPr>
          <w:rFonts w:ascii="宋体" w:hAnsi="宋体" w:eastAsia="宋体" w:cs="宋体"/>
          <w:sz w:val="23"/>
          <w:szCs w:val="23"/>
        </w:rPr>
        <w:t xml:space="preserve">日和 </w:t>
      </w:r>
      <w:r>
        <w:rPr>
          <w:rFonts w:ascii="Times New Roman" w:hAnsi="Times New Roman" w:eastAsia="Times New Roman" w:cs="Times New Roman"/>
          <w:sz w:val="23"/>
          <w:szCs w:val="23"/>
        </w:rPr>
        <w:t xml:space="preserve">2019 </w:t>
      </w:r>
      <w:r>
        <w:rPr>
          <w:rFonts w:ascii="宋体" w:hAnsi="宋体" w:eastAsia="宋体" w:cs="宋体"/>
          <w:sz w:val="23"/>
          <w:szCs w:val="23"/>
        </w:rPr>
        <w:t xml:space="preserve">年 </w:t>
      </w:r>
      <w:r>
        <w:rPr>
          <w:rFonts w:ascii="Times New Roman" w:hAnsi="Times New Roman" w:eastAsia="Times New Roman" w:cs="Times New Roman"/>
          <w:sz w:val="23"/>
          <w:szCs w:val="23"/>
        </w:rPr>
        <w:t xml:space="preserve">8 </w:t>
      </w:r>
      <w:r>
        <w:rPr>
          <w:rFonts w:ascii="宋体" w:hAnsi="宋体" w:eastAsia="宋体" w:cs="宋体"/>
          <w:sz w:val="23"/>
          <w:szCs w:val="23"/>
        </w:rPr>
        <w:t xml:space="preserve">月 </w:t>
      </w:r>
      <w:r>
        <w:rPr>
          <w:rFonts w:ascii="Times New Roman" w:hAnsi="Times New Roman" w:eastAsia="Times New Roman" w:cs="Times New Roman"/>
          <w:sz w:val="23"/>
          <w:szCs w:val="23"/>
        </w:rPr>
        <w:t xml:space="preserve">30 </w:t>
      </w:r>
      <w:r>
        <w:rPr>
          <w:rFonts w:ascii="宋体" w:hAnsi="宋体" w:eastAsia="宋体" w:cs="宋体"/>
          <w:sz w:val="23"/>
          <w:szCs w:val="23"/>
        </w:rPr>
        <w:t>日，监测一天，一天一次。</w:t>
      </w:r>
    </w:p>
    <w:p w14:paraId="46765E4A">
      <w:pPr>
        <w:spacing w:before="185" w:line="228" w:lineRule="auto"/>
        <w:ind w:left="812"/>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8"/>
          <w:sz w:val="23"/>
          <w:szCs w:val="23"/>
        </w:rPr>
        <w:t>4</w:t>
      </w:r>
      <w:r>
        <w:rPr>
          <w:rFonts w:ascii="宋体" w:hAnsi="宋体" w:eastAsia="宋体" w:cs="宋体"/>
          <w:spacing w:val="18"/>
          <w:sz w:val="23"/>
          <w:szCs w:val="23"/>
        </w:rPr>
        <w:t>) 监测分析方</w:t>
      </w:r>
      <w:r>
        <w:rPr>
          <w:rFonts w:ascii="宋体" w:hAnsi="宋体" w:eastAsia="宋体" w:cs="宋体"/>
          <w:spacing w:val="17"/>
          <w:sz w:val="23"/>
          <w:szCs w:val="23"/>
        </w:rPr>
        <w:t>法</w:t>
      </w:r>
    </w:p>
    <w:p w14:paraId="460C0A95">
      <w:pPr>
        <w:spacing w:before="139" w:line="387" w:lineRule="auto"/>
        <w:ind w:left="325" w:right="510" w:firstLine="477"/>
        <w:rPr>
          <w:rFonts w:ascii="宋体" w:hAnsi="宋体" w:eastAsia="宋体" w:cs="宋体"/>
          <w:sz w:val="23"/>
          <w:szCs w:val="23"/>
        </w:rPr>
      </w:pPr>
      <w:r>
        <w:rPr>
          <w:rFonts w:ascii="宋体" w:hAnsi="宋体" w:eastAsia="宋体" w:cs="宋体"/>
          <w:spacing w:val="8"/>
          <w:sz w:val="23"/>
          <w:szCs w:val="23"/>
        </w:rPr>
        <w:t>监</w:t>
      </w:r>
      <w:r>
        <w:rPr>
          <w:rFonts w:ascii="宋体" w:hAnsi="宋体" w:eastAsia="宋体" w:cs="宋体"/>
          <w:spacing w:val="7"/>
          <w:sz w:val="23"/>
          <w:szCs w:val="23"/>
        </w:rPr>
        <w:t>测分析方法按《土壤环境监测技术规范》  (</w:t>
      </w:r>
      <w:r>
        <w:rPr>
          <w:rFonts w:ascii="Times New Roman" w:hAnsi="Times New Roman" w:eastAsia="Times New Roman" w:cs="Times New Roman"/>
          <w:sz w:val="23"/>
          <w:szCs w:val="23"/>
        </w:rPr>
        <w:t>HJ</w:t>
      </w:r>
      <w:r>
        <w:rPr>
          <w:rFonts w:ascii="Times New Roman" w:hAnsi="Times New Roman" w:eastAsia="Times New Roman" w:cs="Times New Roman"/>
          <w:spacing w:val="7"/>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7"/>
          <w:sz w:val="23"/>
          <w:szCs w:val="23"/>
        </w:rPr>
        <w:t>166-2004</w:t>
      </w:r>
      <w:r>
        <w:rPr>
          <w:rFonts w:ascii="宋体" w:hAnsi="宋体" w:eastAsia="宋体" w:cs="宋体"/>
          <w:spacing w:val="7"/>
          <w:sz w:val="23"/>
          <w:szCs w:val="23"/>
        </w:rPr>
        <w:t>) 中规定的方法进</w:t>
      </w:r>
      <w:r>
        <w:rPr>
          <w:rFonts w:ascii="宋体" w:hAnsi="宋体" w:eastAsia="宋体" w:cs="宋体"/>
          <w:sz w:val="23"/>
          <w:szCs w:val="23"/>
        </w:rPr>
        <w:t xml:space="preserve"> </w:t>
      </w:r>
      <w:r>
        <w:rPr>
          <w:rFonts w:ascii="宋体" w:hAnsi="宋体" w:eastAsia="宋体" w:cs="宋体"/>
          <w:spacing w:val="-8"/>
          <w:sz w:val="23"/>
          <w:szCs w:val="23"/>
        </w:rPr>
        <w:t>行。</w:t>
      </w:r>
      <w:r>
        <w:rPr>
          <w:rFonts w:ascii="宋体" w:hAnsi="宋体" w:eastAsia="宋体" w:cs="宋体"/>
          <w:spacing w:val="-5"/>
          <w:sz w:val="23"/>
          <w:szCs w:val="23"/>
        </w:rPr>
        <w:t>见</w:t>
      </w:r>
      <w:r>
        <w:rPr>
          <w:rFonts w:ascii="宋体" w:hAnsi="宋体" w:eastAsia="宋体" w:cs="宋体"/>
          <w:spacing w:val="-4"/>
          <w:sz w:val="23"/>
          <w:szCs w:val="23"/>
        </w:rPr>
        <w:t xml:space="preserve">表 </w:t>
      </w:r>
      <w:r>
        <w:rPr>
          <w:rFonts w:ascii="Times New Roman" w:hAnsi="Times New Roman" w:eastAsia="Times New Roman" w:cs="Times New Roman"/>
          <w:spacing w:val="-4"/>
          <w:sz w:val="23"/>
          <w:szCs w:val="23"/>
        </w:rPr>
        <w:t>4.2- 13</w:t>
      </w:r>
      <w:r>
        <w:rPr>
          <w:rFonts w:ascii="宋体" w:hAnsi="宋体" w:eastAsia="宋体" w:cs="宋体"/>
          <w:spacing w:val="-4"/>
          <w:sz w:val="23"/>
          <w:szCs w:val="23"/>
        </w:rPr>
        <w:t>。</w:t>
      </w:r>
    </w:p>
    <w:p w14:paraId="56FEDDD4">
      <w:pPr>
        <w:spacing w:before="134" w:line="221" w:lineRule="auto"/>
        <w:ind w:left="1978"/>
        <w:rPr>
          <w:rFonts w:ascii="黑体" w:hAnsi="黑体" w:eastAsia="黑体" w:cs="黑体"/>
          <w:sz w:val="23"/>
          <w:szCs w:val="23"/>
        </w:rPr>
      </w:pPr>
      <w:r>
        <w:rPr>
          <w:rFonts w:ascii="黑体" w:hAnsi="黑体" w:eastAsia="黑体" w:cs="黑体"/>
          <w:spacing w:val="6"/>
          <w:sz w:val="23"/>
          <w:szCs w:val="23"/>
        </w:rPr>
        <w:t xml:space="preserve">表 </w:t>
      </w:r>
      <w:r>
        <w:rPr>
          <w:rFonts w:ascii="Times New Roman" w:hAnsi="Times New Roman" w:eastAsia="Times New Roman" w:cs="Times New Roman"/>
          <w:spacing w:val="6"/>
          <w:sz w:val="23"/>
          <w:szCs w:val="23"/>
        </w:rPr>
        <w:t xml:space="preserve">4.2- </w:t>
      </w:r>
      <w:r>
        <w:rPr>
          <w:rFonts w:ascii="Times New Roman" w:hAnsi="Times New Roman" w:eastAsia="Times New Roman" w:cs="Times New Roman"/>
          <w:spacing w:val="3"/>
          <w:sz w:val="23"/>
          <w:szCs w:val="23"/>
        </w:rPr>
        <w:t xml:space="preserve">13  </w:t>
      </w:r>
      <w:r>
        <w:rPr>
          <w:rFonts w:ascii="黑体" w:hAnsi="黑体" w:eastAsia="黑体" w:cs="黑体"/>
          <w:spacing w:val="3"/>
          <w:sz w:val="23"/>
          <w:szCs w:val="23"/>
        </w:rPr>
        <w:t>土壤监测方法、方法来源、使用仪器及检出限</w:t>
      </w:r>
    </w:p>
    <w:tbl>
      <w:tblPr>
        <w:tblStyle w:val="4"/>
        <w:tblW w:w="9287" w:type="dxa"/>
        <w:tblInd w:w="2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5"/>
        <w:gridCol w:w="2542"/>
        <w:gridCol w:w="1880"/>
        <w:gridCol w:w="1901"/>
        <w:gridCol w:w="1429"/>
      </w:tblGrid>
      <w:tr w14:paraId="3FCC1D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1535" w:type="dxa"/>
            <w:tcBorders>
              <w:left w:val="nil"/>
            </w:tcBorders>
          </w:tcPr>
          <w:p w14:paraId="0A90F6D8">
            <w:pPr>
              <w:spacing w:before="55" w:line="227" w:lineRule="auto"/>
              <w:ind w:left="569"/>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项目</w:t>
            </w:r>
          </w:p>
        </w:tc>
        <w:tc>
          <w:tcPr>
            <w:tcW w:w="2542" w:type="dxa"/>
          </w:tcPr>
          <w:p w14:paraId="765A745D">
            <w:pPr>
              <w:spacing w:before="55" w:line="227" w:lineRule="auto"/>
              <w:ind w:left="857"/>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监</w:t>
            </w:r>
            <w:r>
              <w:rPr>
                <w:rFonts w:ascii="宋体" w:hAnsi="宋体" w:eastAsia="宋体" w:cs="宋体"/>
                <w:spacing w:val="8"/>
                <w:sz w:val="20"/>
                <w:szCs w:val="20"/>
                <w14:textOutline w14:w="3797" w14:cap="sq" w14:cmpd="sng" w14:algn="ctr">
                  <w14:solidFill>
                    <w14:srgbClr w14:val="000000"/>
                  </w14:solidFill>
                  <w14:prstDash w14:val="solid"/>
                  <w14:bevel/>
                </w14:textOutline>
              </w:rPr>
              <w:t>测方法</w:t>
            </w:r>
          </w:p>
        </w:tc>
        <w:tc>
          <w:tcPr>
            <w:tcW w:w="1880" w:type="dxa"/>
          </w:tcPr>
          <w:p w14:paraId="072F00F6">
            <w:pPr>
              <w:spacing w:before="55" w:line="227" w:lineRule="auto"/>
              <w:ind w:left="526"/>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方</w:t>
            </w:r>
            <w:r>
              <w:rPr>
                <w:rFonts w:ascii="宋体" w:hAnsi="宋体" w:eastAsia="宋体" w:cs="宋体"/>
                <w:spacing w:val="8"/>
                <w:sz w:val="20"/>
                <w:szCs w:val="20"/>
                <w14:textOutline w14:w="3797" w14:cap="sq" w14:cmpd="sng" w14:algn="ctr">
                  <w14:solidFill>
                    <w14:srgbClr w14:val="000000"/>
                  </w14:solidFill>
                  <w14:prstDash w14:val="solid"/>
                  <w14:bevel/>
                </w14:textOutline>
              </w:rPr>
              <w:t>法来源</w:t>
            </w:r>
          </w:p>
        </w:tc>
        <w:tc>
          <w:tcPr>
            <w:tcW w:w="1901" w:type="dxa"/>
          </w:tcPr>
          <w:p w14:paraId="31448382">
            <w:pPr>
              <w:spacing w:before="55" w:line="227" w:lineRule="auto"/>
              <w:ind w:left="537"/>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使</w:t>
            </w:r>
            <w:r>
              <w:rPr>
                <w:rFonts w:ascii="宋体" w:hAnsi="宋体" w:eastAsia="宋体" w:cs="宋体"/>
                <w:spacing w:val="8"/>
                <w:sz w:val="20"/>
                <w:szCs w:val="20"/>
                <w14:textOutline w14:w="3797" w14:cap="sq" w14:cmpd="sng" w14:algn="ctr">
                  <w14:solidFill>
                    <w14:srgbClr w14:val="000000"/>
                  </w14:solidFill>
                  <w14:prstDash w14:val="solid"/>
                  <w14:bevel/>
                </w14:textOutline>
              </w:rPr>
              <w:t>用仪器</w:t>
            </w:r>
          </w:p>
        </w:tc>
        <w:tc>
          <w:tcPr>
            <w:tcW w:w="1429" w:type="dxa"/>
            <w:tcBorders>
              <w:right w:val="nil"/>
            </w:tcBorders>
          </w:tcPr>
          <w:p w14:paraId="2C75D72A">
            <w:pPr>
              <w:spacing w:before="55" w:line="227" w:lineRule="auto"/>
              <w:ind w:left="404"/>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检</w:t>
            </w:r>
            <w:r>
              <w:rPr>
                <w:rFonts w:ascii="宋体" w:hAnsi="宋体" w:eastAsia="宋体" w:cs="宋体"/>
                <w:spacing w:val="7"/>
                <w:sz w:val="20"/>
                <w:szCs w:val="20"/>
                <w14:textOutline w14:w="3797" w14:cap="sq" w14:cmpd="sng" w14:algn="ctr">
                  <w14:solidFill>
                    <w14:srgbClr w14:val="000000"/>
                  </w14:solidFill>
                  <w14:prstDash w14:val="solid"/>
                  <w14:bevel/>
                </w14:textOutline>
              </w:rPr>
              <w:t>出限</w:t>
            </w:r>
          </w:p>
        </w:tc>
      </w:tr>
      <w:tr w14:paraId="56E05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535" w:type="dxa"/>
            <w:tcBorders>
              <w:left w:val="nil"/>
            </w:tcBorders>
          </w:tcPr>
          <w:p w14:paraId="14A50BBB">
            <w:pPr>
              <w:spacing w:before="71" w:line="194" w:lineRule="auto"/>
              <w:ind w:left="63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pH</w:t>
            </w:r>
          </w:p>
        </w:tc>
        <w:tc>
          <w:tcPr>
            <w:tcW w:w="2542" w:type="dxa"/>
          </w:tcPr>
          <w:p w14:paraId="1ABFB75D">
            <w:pPr>
              <w:spacing w:before="32" w:line="221" w:lineRule="auto"/>
              <w:ind w:left="361"/>
              <w:rPr>
                <w:rFonts w:ascii="宋体" w:hAnsi="宋体" w:eastAsia="宋体" w:cs="宋体"/>
                <w:sz w:val="20"/>
                <w:szCs w:val="20"/>
              </w:rPr>
            </w:pPr>
            <w:r>
              <w:rPr>
                <w:rFonts w:ascii="宋体" w:hAnsi="宋体" w:eastAsia="宋体" w:cs="宋体"/>
                <w:spacing w:val="3"/>
                <w:sz w:val="20"/>
                <w:szCs w:val="20"/>
              </w:rPr>
              <w:t xml:space="preserve">土壤中 </w:t>
            </w:r>
            <w:r>
              <w:rPr>
                <w:rFonts w:ascii="Times New Roman" w:hAnsi="Times New Roman" w:eastAsia="Times New Roman" w:cs="Times New Roman"/>
                <w:sz w:val="20"/>
                <w:szCs w:val="20"/>
              </w:rPr>
              <w:t>pH</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值的测</w:t>
            </w:r>
            <w:r>
              <w:rPr>
                <w:rFonts w:ascii="宋体" w:hAnsi="宋体" w:eastAsia="宋体" w:cs="宋体"/>
                <w:spacing w:val="1"/>
                <w:sz w:val="20"/>
                <w:szCs w:val="20"/>
              </w:rPr>
              <w:t>定</w:t>
            </w:r>
          </w:p>
        </w:tc>
        <w:tc>
          <w:tcPr>
            <w:tcW w:w="1880" w:type="dxa"/>
          </w:tcPr>
          <w:p w14:paraId="47EA27A0">
            <w:pPr>
              <w:spacing w:before="68" w:line="195" w:lineRule="auto"/>
              <w:ind w:left="396"/>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5"/>
                <w:sz w:val="20"/>
                <w:szCs w:val="20"/>
              </w:rPr>
              <w:t>962-2018</w:t>
            </w:r>
          </w:p>
        </w:tc>
        <w:tc>
          <w:tcPr>
            <w:tcW w:w="1901" w:type="dxa"/>
          </w:tcPr>
          <w:p w14:paraId="7CFF11D8">
            <w:pPr>
              <w:spacing w:before="32" w:line="225" w:lineRule="auto"/>
              <w:ind w:left="157"/>
              <w:rPr>
                <w:rFonts w:ascii="宋体" w:hAnsi="宋体" w:eastAsia="宋体" w:cs="宋体"/>
                <w:sz w:val="20"/>
                <w:szCs w:val="20"/>
              </w:rPr>
            </w:pPr>
            <w:r>
              <w:rPr>
                <w:rFonts w:ascii="Times New Roman" w:hAnsi="Times New Roman" w:eastAsia="Times New Roman" w:cs="Times New Roman"/>
                <w:sz w:val="20"/>
                <w:szCs w:val="20"/>
              </w:rPr>
              <w:t>PHS</w:t>
            </w:r>
            <w:r>
              <w:rPr>
                <w:rFonts w:ascii="Times New Roman" w:hAnsi="Times New Roman" w:eastAsia="Times New Roman" w:cs="Times New Roman"/>
                <w:spacing w:val="14"/>
                <w:sz w:val="20"/>
                <w:szCs w:val="20"/>
              </w:rPr>
              <w:t>-</w:t>
            </w:r>
            <w:r>
              <w:rPr>
                <w:rFonts w:ascii="Times New Roman" w:hAnsi="Times New Roman" w:eastAsia="Times New Roman" w:cs="Times New Roman"/>
                <w:spacing w:val="9"/>
                <w:sz w:val="20"/>
                <w:szCs w:val="20"/>
              </w:rPr>
              <w:t>3</w:t>
            </w:r>
            <w:r>
              <w:rPr>
                <w:rFonts w:ascii="Times New Roman" w:hAnsi="Times New Roman" w:eastAsia="Times New Roman" w:cs="Times New Roman"/>
                <w:sz w:val="20"/>
                <w:szCs w:val="20"/>
              </w:rPr>
              <w:t>C</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rPr>
              <w:t>型酸度计</w:t>
            </w:r>
          </w:p>
        </w:tc>
        <w:tc>
          <w:tcPr>
            <w:tcW w:w="1429" w:type="dxa"/>
            <w:tcBorders>
              <w:right w:val="nil"/>
            </w:tcBorders>
          </w:tcPr>
          <w:p w14:paraId="605C7AD0">
            <w:pPr>
              <w:spacing w:line="276" w:lineRule="exact"/>
              <w:ind w:left="684"/>
              <w:rPr>
                <w:rFonts w:ascii="Times New Roman" w:hAnsi="Times New Roman" w:eastAsia="Times New Roman" w:cs="Times New Roman"/>
                <w:sz w:val="20"/>
                <w:szCs w:val="20"/>
              </w:rPr>
            </w:pPr>
            <w:r>
              <w:rPr>
                <w:rFonts w:ascii="Times New Roman" w:hAnsi="Times New Roman" w:eastAsia="Times New Roman" w:cs="Times New Roman"/>
                <w:spacing w:val="2"/>
                <w:position w:val="1"/>
                <w:sz w:val="20"/>
                <w:szCs w:val="20"/>
              </w:rPr>
              <w:t>/</w:t>
            </w:r>
          </w:p>
        </w:tc>
      </w:tr>
      <w:tr w14:paraId="22CFA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535" w:type="dxa"/>
            <w:tcBorders>
              <w:left w:val="nil"/>
            </w:tcBorders>
          </w:tcPr>
          <w:p w14:paraId="7712E143">
            <w:pPr>
              <w:spacing w:before="306" w:line="228" w:lineRule="auto"/>
              <w:ind w:left="668"/>
              <w:rPr>
                <w:rFonts w:ascii="宋体" w:hAnsi="宋体" w:eastAsia="宋体" w:cs="宋体"/>
                <w:sz w:val="20"/>
                <w:szCs w:val="20"/>
              </w:rPr>
            </w:pPr>
            <w:r>
              <w:rPr>
                <w:rFonts w:ascii="宋体" w:hAnsi="宋体" w:eastAsia="宋体" w:cs="宋体"/>
                <w:spacing w:val="1"/>
                <w:sz w:val="20"/>
                <w:szCs w:val="20"/>
              </w:rPr>
              <w:t>砷</w:t>
            </w:r>
          </w:p>
        </w:tc>
        <w:tc>
          <w:tcPr>
            <w:tcW w:w="2542" w:type="dxa"/>
          </w:tcPr>
          <w:p w14:paraId="2A58AC1F">
            <w:pPr>
              <w:spacing w:before="32" w:line="220" w:lineRule="auto"/>
              <w:ind w:left="113"/>
              <w:rPr>
                <w:rFonts w:ascii="宋体" w:hAnsi="宋体" w:eastAsia="宋体" w:cs="宋体"/>
                <w:sz w:val="20"/>
                <w:szCs w:val="20"/>
              </w:rPr>
            </w:pPr>
            <w:r>
              <w:rPr>
                <w:rFonts w:ascii="宋体" w:hAnsi="宋体" w:eastAsia="宋体" w:cs="宋体"/>
                <w:spacing w:val="-8"/>
                <w:sz w:val="20"/>
                <w:szCs w:val="20"/>
              </w:rPr>
              <w:t>土</w:t>
            </w:r>
            <w:r>
              <w:rPr>
                <w:rFonts w:ascii="宋体" w:hAnsi="宋体" w:eastAsia="宋体" w:cs="宋体"/>
                <w:spacing w:val="-6"/>
                <w:sz w:val="20"/>
                <w:szCs w:val="20"/>
              </w:rPr>
              <w:t>壤和沉积物 汞、砷、硒、</w:t>
            </w:r>
          </w:p>
          <w:p w14:paraId="26CFE094">
            <w:pPr>
              <w:spacing w:line="278" w:lineRule="exact"/>
              <w:ind w:left="160"/>
              <w:rPr>
                <w:rFonts w:ascii="Calibri" w:hAnsi="Calibri" w:eastAsia="Calibri" w:cs="Calibri"/>
                <w:sz w:val="20"/>
                <w:szCs w:val="20"/>
              </w:rPr>
            </w:pPr>
            <w:r>
              <w:rPr>
                <w:rFonts w:ascii="宋体" w:hAnsi="宋体" w:eastAsia="宋体" w:cs="宋体"/>
                <w:spacing w:val="4"/>
                <w:position w:val="2"/>
                <w:sz w:val="20"/>
                <w:szCs w:val="20"/>
              </w:rPr>
              <w:t>铋、锑的测定 微波消解</w:t>
            </w:r>
            <w:r>
              <w:rPr>
                <w:rFonts w:ascii="Calibri" w:hAnsi="Calibri" w:eastAsia="Calibri" w:cs="Calibri"/>
                <w:spacing w:val="4"/>
                <w:position w:val="2"/>
                <w:sz w:val="20"/>
                <w:szCs w:val="20"/>
              </w:rPr>
              <w:t>/</w:t>
            </w:r>
          </w:p>
          <w:p w14:paraId="0FE753E7">
            <w:pPr>
              <w:spacing w:before="27" w:line="225" w:lineRule="auto"/>
              <w:ind w:left="770"/>
              <w:rPr>
                <w:rFonts w:ascii="宋体" w:hAnsi="宋体" w:eastAsia="宋体" w:cs="宋体"/>
                <w:sz w:val="20"/>
                <w:szCs w:val="20"/>
              </w:rPr>
            </w:pPr>
            <w:r>
              <w:rPr>
                <w:rFonts w:ascii="宋体" w:hAnsi="宋体" w:eastAsia="宋体" w:cs="宋体"/>
                <w:spacing w:val="3"/>
                <w:sz w:val="20"/>
                <w:szCs w:val="20"/>
              </w:rPr>
              <w:t>原</w:t>
            </w:r>
            <w:r>
              <w:rPr>
                <w:rFonts w:ascii="宋体" w:hAnsi="宋体" w:eastAsia="宋体" w:cs="宋体"/>
                <w:spacing w:val="2"/>
                <w:sz w:val="20"/>
                <w:szCs w:val="20"/>
              </w:rPr>
              <w:t>子荧光法</w:t>
            </w:r>
          </w:p>
        </w:tc>
        <w:tc>
          <w:tcPr>
            <w:tcW w:w="1880" w:type="dxa"/>
          </w:tcPr>
          <w:p w14:paraId="388A78FE">
            <w:pPr>
              <w:spacing w:line="282" w:lineRule="auto"/>
            </w:pPr>
          </w:p>
          <w:p w14:paraId="33508B54">
            <w:pPr>
              <w:spacing w:before="58" w:line="195" w:lineRule="auto"/>
              <w:ind w:left="396"/>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5"/>
                <w:sz w:val="20"/>
                <w:szCs w:val="20"/>
              </w:rPr>
              <w:t>680-2013</w:t>
            </w:r>
          </w:p>
        </w:tc>
        <w:tc>
          <w:tcPr>
            <w:tcW w:w="1901" w:type="dxa"/>
          </w:tcPr>
          <w:p w14:paraId="33FDF44D">
            <w:pPr>
              <w:spacing w:before="168" w:line="228" w:lineRule="auto"/>
              <w:ind w:left="227"/>
              <w:rPr>
                <w:rFonts w:ascii="宋体" w:hAnsi="宋体" w:eastAsia="宋体" w:cs="宋体"/>
                <w:sz w:val="20"/>
                <w:szCs w:val="20"/>
              </w:rPr>
            </w:pPr>
            <w:r>
              <w:rPr>
                <w:rFonts w:ascii="宋体" w:hAnsi="宋体" w:eastAsia="宋体" w:cs="宋体"/>
                <w:spacing w:val="8"/>
                <w:sz w:val="20"/>
                <w:szCs w:val="20"/>
              </w:rPr>
              <w:t>原子荧光光度</w:t>
            </w:r>
            <w:r>
              <w:rPr>
                <w:rFonts w:ascii="宋体" w:hAnsi="宋体" w:eastAsia="宋体" w:cs="宋体"/>
                <w:spacing w:val="7"/>
                <w:sz w:val="20"/>
                <w:szCs w:val="20"/>
              </w:rPr>
              <w:t>计</w:t>
            </w:r>
          </w:p>
          <w:p w14:paraId="3091FF32">
            <w:pPr>
              <w:spacing w:before="24" w:line="231" w:lineRule="auto"/>
              <w:ind w:left="493"/>
              <w:rPr>
                <w:rFonts w:ascii="宋体" w:hAnsi="宋体" w:eastAsia="宋体" w:cs="宋体"/>
                <w:sz w:val="20"/>
                <w:szCs w:val="20"/>
              </w:rPr>
            </w:pPr>
            <w:r>
              <w:rPr>
                <w:rFonts w:ascii="宋体" w:hAnsi="宋体" w:eastAsia="宋体" w:cs="宋体"/>
                <w:spacing w:val="19"/>
                <w:sz w:val="20"/>
                <w:szCs w:val="20"/>
              </w:rPr>
              <w:t>(</w:t>
            </w:r>
            <w:r>
              <w:rPr>
                <w:rFonts w:ascii="Times New Roman" w:hAnsi="Times New Roman" w:eastAsia="Times New Roman" w:cs="Times New Roman"/>
                <w:sz w:val="20"/>
                <w:szCs w:val="20"/>
              </w:rPr>
              <w:t>SY</w:t>
            </w:r>
            <w:r>
              <w:rPr>
                <w:rFonts w:ascii="Times New Roman" w:hAnsi="Times New Roman" w:eastAsia="Times New Roman" w:cs="Times New Roman"/>
                <w:spacing w:val="19"/>
                <w:sz w:val="20"/>
                <w:szCs w:val="20"/>
              </w:rPr>
              <w:t>-22</w:t>
            </w:r>
            <w:r>
              <w:rPr>
                <w:rFonts w:ascii="宋体" w:hAnsi="宋体" w:eastAsia="宋体" w:cs="宋体"/>
                <w:spacing w:val="19"/>
                <w:sz w:val="20"/>
                <w:szCs w:val="20"/>
              </w:rPr>
              <w:t>)</w:t>
            </w:r>
          </w:p>
        </w:tc>
        <w:tc>
          <w:tcPr>
            <w:tcW w:w="1429" w:type="dxa"/>
            <w:tcBorders>
              <w:right w:val="nil"/>
            </w:tcBorders>
          </w:tcPr>
          <w:p w14:paraId="6BF7F71B">
            <w:pPr>
              <w:spacing w:before="268" w:line="281" w:lineRule="exact"/>
              <w:ind w:left="269"/>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0</w:t>
            </w:r>
            <w:r>
              <w:rPr>
                <w:rFonts w:ascii="Times New Roman" w:hAnsi="Times New Roman" w:eastAsia="Times New Roman" w:cs="Times New Roman"/>
                <w:spacing w:val="6"/>
                <w:position w:val="2"/>
                <w:sz w:val="20"/>
                <w:szCs w:val="20"/>
              </w:rPr>
              <w:t>.01</w:t>
            </w:r>
            <w:r>
              <w:rPr>
                <w:rFonts w:ascii="Times New Roman" w:hAnsi="Times New Roman" w:eastAsia="Times New Roman" w:cs="Times New Roman"/>
                <w:position w:val="2"/>
                <w:sz w:val="20"/>
                <w:szCs w:val="20"/>
              </w:rPr>
              <w:t>mg</w:t>
            </w:r>
            <w:r>
              <w:rPr>
                <w:rFonts w:ascii="Times New Roman" w:hAnsi="Times New Roman" w:eastAsia="Times New Roman" w:cs="Times New Roman"/>
                <w:spacing w:val="6"/>
                <w:position w:val="2"/>
                <w:sz w:val="20"/>
                <w:szCs w:val="20"/>
              </w:rPr>
              <w:t>/</w:t>
            </w:r>
            <w:r>
              <w:rPr>
                <w:rFonts w:ascii="Times New Roman" w:hAnsi="Times New Roman" w:eastAsia="Times New Roman" w:cs="Times New Roman"/>
                <w:position w:val="2"/>
                <w:sz w:val="20"/>
                <w:szCs w:val="20"/>
              </w:rPr>
              <w:t>kg</w:t>
            </w:r>
          </w:p>
        </w:tc>
      </w:tr>
      <w:tr w14:paraId="3A250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535" w:type="dxa"/>
            <w:tcBorders>
              <w:left w:val="nil"/>
            </w:tcBorders>
          </w:tcPr>
          <w:p w14:paraId="1449DB7F">
            <w:pPr>
              <w:spacing w:before="305" w:line="231" w:lineRule="auto"/>
              <w:ind w:left="667"/>
              <w:rPr>
                <w:rFonts w:ascii="宋体" w:hAnsi="宋体" w:eastAsia="宋体" w:cs="宋体"/>
                <w:sz w:val="20"/>
                <w:szCs w:val="20"/>
              </w:rPr>
            </w:pPr>
            <w:r>
              <w:rPr>
                <w:rFonts w:ascii="宋体" w:hAnsi="宋体" w:eastAsia="宋体" w:cs="宋体"/>
                <w:spacing w:val="2"/>
                <w:sz w:val="20"/>
                <w:szCs w:val="20"/>
              </w:rPr>
              <w:t>镉</w:t>
            </w:r>
          </w:p>
        </w:tc>
        <w:tc>
          <w:tcPr>
            <w:tcW w:w="2542" w:type="dxa"/>
          </w:tcPr>
          <w:p w14:paraId="70765FD1">
            <w:pPr>
              <w:spacing w:before="34" w:line="228" w:lineRule="auto"/>
              <w:ind w:left="207"/>
              <w:rPr>
                <w:rFonts w:ascii="宋体" w:hAnsi="宋体" w:eastAsia="宋体" w:cs="宋体"/>
                <w:sz w:val="20"/>
                <w:szCs w:val="20"/>
              </w:rPr>
            </w:pPr>
            <w:r>
              <w:rPr>
                <w:rFonts w:ascii="宋体" w:hAnsi="宋体" w:eastAsia="宋体" w:cs="宋体"/>
                <w:spacing w:val="4"/>
                <w:sz w:val="20"/>
                <w:szCs w:val="20"/>
              </w:rPr>
              <w:t>土壤质</w:t>
            </w:r>
            <w:r>
              <w:rPr>
                <w:rFonts w:ascii="宋体" w:hAnsi="宋体" w:eastAsia="宋体" w:cs="宋体"/>
                <w:spacing w:val="3"/>
                <w:sz w:val="20"/>
                <w:szCs w:val="20"/>
              </w:rPr>
              <w:t>量</w:t>
            </w:r>
            <w:r>
              <w:rPr>
                <w:rFonts w:ascii="宋体" w:hAnsi="宋体" w:eastAsia="宋体" w:cs="宋体"/>
                <w:spacing w:val="2"/>
                <w:sz w:val="20"/>
                <w:szCs w:val="20"/>
              </w:rPr>
              <w:t xml:space="preserve"> 铅、镉的测定</w:t>
            </w:r>
          </w:p>
          <w:p w14:paraId="0846B61D">
            <w:pPr>
              <w:spacing w:before="23" w:line="228" w:lineRule="auto"/>
              <w:ind w:left="147"/>
              <w:rPr>
                <w:rFonts w:ascii="宋体" w:hAnsi="宋体" w:eastAsia="宋体" w:cs="宋体"/>
                <w:sz w:val="20"/>
                <w:szCs w:val="20"/>
              </w:rPr>
            </w:pPr>
            <w:r>
              <w:rPr>
                <w:rFonts w:ascii="宋体" w:hAnsi="宋体" w:eastAsia="宋体" w:cs="宋体"/>
                <w:spacing w:val="8"/>
                <w:sz w:val="20"/>
                <w:szCs w:val="20"/>
              </w:rPr>
              <w:t>石</w:t>
            </w:r>
            <w:r>
              <w:rPr>
                <w:rFonts w:ascii="宋体" w:hAnsi="宋体" w:eastAsia="宋体" w:cs="宋体"/>
                <w:spacing w:val="5"/>
                <w:sz w:val="20"/>
                <w:szCs w:val="20"/>
              </w:rPr>
              <w:t>墨</w:t>
            </w:r>
            <w:r>
              <w:rPr>
                <w:rFonts w:ascii="宋体" w:hAnsi="宋体" w:eastAsia="宋体" w:cs="宋体"/>
                <w:spacing w:val="4"/>
                <w:sz w:val="20"/>
                <w:szCs w:val="20"/>
              </w:rPr>
              <w:t>炉原子吸收分光光度</w:t>
            </w:r>
          </w:p>
          <w:p w14:paraId="1BC51A47">
            <w:pPr>
              <w:spacing w:before="27" w:line="223" w:lineRule="auto"/>
              <w:ind w:left="1172"/>
              <w:rPr>
                <w:rFonts w:ascii="宋体" w:hAnsi="宋体" w:eastAsia="宋体" w:cs="宋体"/>
                <w:sz w:val="20"/>
                <w:szCs w:val="20"/>
              </w:rPr>
            </w:pPr>
            <w:r>
              <w:rPr>
                <w:rFonts w:ascii="宋体" w:hAnsi="宋体" w:eastAsia="宋体" w:cs="宋体"/>
                <w:sz w:val="20"/>
                <w:szCs w:val="20"/>
              </w:rPr>
              <w:t>法</w:t>
            </w:r>
          </w:p>
        </w:tc>
        <w:tc>
          <w:tcPr>
            <w:tcW w:w="1880" w:type="dxa"/>
          </w:tcPr>
          <w:p w14:paraId="738DE1EB">
            <w:pPr>
              <w:spacing w:before="268" w:line="281" w:lineRule="exact"/>
              <w:ind w:left="224"/>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GB</w:t>
            </w:r>
            <w:r>
              <w:rPr>
                <w:rFonts w:ascii="Times New Roman" w:hAnsi="Times New Roman" w:eastAsia="Times New Roman" w:cs="Times New Roman"/>
                <w:spacing w:val="1"/>
                <w:position w:val="2"/>
                <w:sz w:val="20"/>
                <w:szCs w:val="20"/>
              </w:rPr>
              <w:t>/</w:t>
            </w:r>
            <w:r>
              <w:rPr>
                <w:rFonts w:ascii="Times New Roman" w:hAnsi="Times New Roman" w:eastAsia="Times New Roman" w:cs="Times New Roman"/>
                <w:position w:val="2"/>
                <w:sz w:val="20"/>
                <w:szCs w:val="20"/>
              </w:rPr>
              <w:t>T</w:t>
            </w:r>
            <w:r>
              <w:rPr>
                <w:rFonts w:ascii="Times New Roman" w:hAnsi="Times New Roman" w:eastAsia="Times New Roman" w:cs="Times New Roman"/>
                <w:spacing w:val="1"/>
                <w:position w:val="2"/>
                <w:sz w:val="20"/>
                <w:szCs w:val="20"/>
              </w:rPr>
              <w:t xml:space="preserve"> 17141- 199</w:t>
            </w:r>
            <w:r>
              <w:rPr>
                <w:rFonts w:ascii="Times New Roman" w:hAnsi="Times New Roman" w:eastAsia="Times New Roman" w:cs="Times New Roman"/>
                <w:position w:val="2"/>
                <w:sz w:val="20"/>
                <w:szCs w:val="20"/>
              </w:rPr>
              <w:t>7</w:t>
            </w:r>
          </w:p>
        </w:tc>
        <w:tc>
          <w:tcPr>
            <w:tcW w:w="1901" w:type="dxa"/>
          </w:tcPr>
          <w:p w14:paraId="2520E331">
            <w:pPr>
              <w:spacing w:before="170" w:line="266" w:lineRule="auto"/>
              <w:ind w:left="384" w:right="145" w:hanging="215"/>
              <w:rPr>
                <w:rFonts w:ascii="宋体" w:hAnsi="宋体" w:eastAsia="宋体" w:cs="宋体"/>
                <w:sz w:val="20"/>
                <w:szCs w:val="20"/>
              </w:rPr>
            </w:pPr>
            <w:r>
              <w:rPr>
                <w:rFonts w:ascii="宋体" w:hAnsi="宋体" w:eastAsia="宋体" w:cs="宋体"/>
                <w:spacing w:val="-4"/>
                <w:sz w:val="20"/>
                <w:szCs w:val="20"/>
              </w:rPr>
              <w:t>原子</w:t>
            </w:r>
            <w:r>
              <w:rPr>
                <w:rFonts w:ascii="宋体" w:hAnsi="宋体" w:eastAsia="宋体" w:cs="宋体"/>
                <w:spacing w:val="-2"/>
                <w:sz w:val="20"/>
                <w:szCs w:val="20"/>
              </w:rPr>
              <w:t>吸收分光光度</w:t>
            </w:r>
            <w:r>
              <w:rPr>
                <w:rFonts w:ascii="宋体" w:hAnsi="宋体" w:eastAsia="宋体" w:cs="宋体"/>
                <w:sz w:val="20"/>
                <w:szCs w:val="20"/>
              </w:rPr>
              <w:t xml:space="preserve"> </w:t>
            </w:r>
            <w:r>
              <w:rPr>
                <w:rFonts w:ascii="宋体" w:hAnsi="宋体" w:eastAsia="宋体" w:cs="宋体"/>
                <w:spacing w:val="1"/>
                <w:sz w:val="20"/>
                <w:szCs w:val="20"/>
              </w:rPr>
              <w:t>计 (</w:t>
            </w:r>
            <w:r>
              <w:rPr>
                <w:rFonts w:ascii="Times New Roman" w:hAnsi="Times New Roman" w:eastAsia="Times New Roman" w:cs="Times New Roman"/>
                <w:sz w:val="20"/>
                <w:szCs w:val="20"/>
              </w:rPr>
              <w:t>SY</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28</w:t>
            </w:r>
            <w:r>
              <w:rPr>
                <w:rFonts w:ascii="宋体" w:hAnsi="宋体" w:eastAsia="宋体" w:cs="宋体"/>
                <w:sz w:val="20"/>
                <w:szCs w:val="20"/>
              </w:rPr>
              <w:t>)</w:t>
            </w:r>
          </w:p>
        </w:tc>
        <w:tc>
          <w:tcPr>
            <w:tcW w:w="1429" w:type="dxa"/>
            <w:tcBorders>
              <w:right w:val="nil"/>
            </w:tcBorders>
          </w:tcPr>
          <w:p w14:paraId="79B89B26">
            <w:pPr>
              <w:spacing w:before="268" w:line="281" w:lineRule="exact"/>
              <w:ind w:left="269"/>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0</w:t>
            </w:r>
            <w:r>
              <w:rPr>
                <w:rFonts w:ascii="Times New Roman" w:hAnsi="Times New Roman" w:eastAsia="Times New Roman" w:cs="Times New Roman"/>
                <w:spacing w:val="6"/>
                <w:position w:val="2"/>
                <w:sz w:val="20"/>
                <w:szCs w:val="20"/>
              </w:rPr>
              <w:t>.01</w:t>
            </w:r>
            <w:r>
              <w:rPr>
                <w:rFonts w:ascii="Times New Roman" w:hAnsi="Times New Roman" w:eastAsia="Times New Roman" w:cs="Times New Roman"/>
                <w:position w:val="2"/>
                <w:sz w:val="20"/>
                <w:szCs w:val="20"/>
              </w:rPr>
              <w:t>mg</w:t>
            </w:r>
            <w:r>
              <w:rPr>
                <w:rFonts w:ascii="Times New Roman" w:hAnsi="Times New Roman" w:eastAsia="Times New Roman" w:cs="Times New Roman"/>
                <w:spacing w:val="6"/>
                <w:position w:val="2"/>
                <w:sz w:val="20"/>
                <w:szCs w:val="20"/>
              </w:rPr>
              <w:t>/</w:t>
            </w:r>
            <w:r>
              <w:rPr>
                <w:rFonts w:ascii="Times New Roman" w:hAnsi="Times New Roman" w:eastAsia="Times New Roman" w:cs="Times New Roman"/>
                <w:position w:val="2"/>
                <w:sz w:val="20"/>
                <w:szCs w:val="20"/>
              </w:rPr>
              <w:t>kg</w:t>
            </w:r>
          </w:p>
        </w:tc>
      </w:tr>
      <w:tr w14:paraId="0F7358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1535" w:type="dxa"/>
            <w:tcBorders>
              <w:left w:val="nil"/>
            </w:tcBorders>
          </w:tcPr>
          <w:p w14:paraId="392B9578">
            <w:pPr>
              <w:spacing w:line="255" w:lineRule="auto"/>
            </w:pPr>
          </w:p>
          <w:p w14:paraId="5812020C">
            <w:pPr>
              <w:spacing w:before="65" w:line="226" w:lineRule="auto"/>
              <w:ind w:left="461"/>
              <w:rPr>
                <w:rFonts w:ascii="宋体" w:hAnsi="宋体" w:eastAsia="宋体" w:cs="宋体"/>
                <w:sz w:val="20"/>
                <w:szCs w:val="20"/>
              </w:rPr>
            </w:pPr>
            <w:r>
              <w:rPr>
                <w:rFonts w:ascii="宋体" w:hAnsi="宋体" w:eastAsia="宋体" w:cs="宋体"/>
                <w:spacing w:val="7"/>
                <w:sz w:val="20"/>
                <w:szCs w:val="20"/>
              </w:rPr>
              <w:t>六</w:t>
            </w:r>
            <w:r>
              <w:rPr>
                <w:rFonts w:ascii="宋体" w:hAnsi="宋体" w:eastAsia="宋体" w:cs="宋体"/>
                <w:spacing w:val="6"/>
                <w:sz w:val="20"/>
                <w:szCs w:val="20"/>
              </w:rPr>
              <w:t>价铬</w:t>
            </w:r>
          </w:p>
        </w:tc>
        <w:tc>
          <w:tcPr>
            <w:tcW w:w="2542" w:type="dxa"/>
          </w:tcPr>
          <w:p w14:paraId="45E55DF3">
            <w:pPr>
              <w:spacing w:before="63" w:line="251" w:lineRule="auto"/>
              <w:ind w:left="145" w:right="137" w:firstLine="29"/>
              <w:rPr>
                <w:rFonts w:ascii="宋体" w:hAnsi="宋体" w:eastAsia="宋体" w:cs="宋体"/>
                <w:sz w:val="20"/>
                <w:szCs w:val="20"/>
              </w:rPr>
            </w:pPr>
            <w:r>
              <w:rPr>
                <w:rFonts w:ascii="宋体" w:hAnsi="宋体" w:eastAsia="宋体" w:cs="宋体"/>
                <w:spacing w:val="13"/>
                <w:sz w:val="20"/>
                <w:szCs w:val="20"/>
              </w:rPr>
              <w:t>参</w:t>
            </w:r>
            <w:r>
              <w:rPr>
                <w:rFonts w:ascii="宋体" w:hAnsi="宋体" w:eastAsia="宋体" w:cs="宋体"/>
                <w:spacing w:val="8"/>
                <w:sz w:val="20"/>
                <w:szCs w:val="20"/>
              </w:rPr>
              <w:t>照固体废物 六价铬的</w:t>
            </w:r>
            <w:r>
              <w:rPr>
                <w:rFonts w:ascii="宋体" w:hAnsi="宋体" w:eastAsia="宋体" w:cs="宋体"/>
                <w:sz w:val="20"/>
                <w:szCs w:val="20"/>
              </w:rPr>
              <w:t xml:space="preserve"> </w:t>
            </w:r>
            <w:r>
              <w:rPr>
                <w:rFonts w:ascii="宋体" w:hAnsi="宋体" w:eastAsia="宋体" w:cs="宋体"/>
                <w:spacing w:val="10"/>
                <w:sz w:val="20"/>
                <w:szCs w:val="20"/>
              </w:rPr>
              <w:t>测</w:t>
            </w:r>
            <w:r>
              <w:rPr>
                <w:rFonts w:ascii="宋体" w:hAnsi="宋体" w:eastAsia="宋体" w:cs="宋体"/>
                <w:spacing w:val="8"/>
                <w:sz w:val="20"/>
                <w:szCs w:val="20"/>
              </w:rPr>
              <w:t>定 碱消解</w:t>
            </w:r>
            <w:r>
              <w:rPr>
                <w:rFonts w:ascii="Times New Roman" w:hAnsi="Times New Roman" w:eastAsia="Times New Roman" w:cs="Times New Roman"/>
                <w:spacing w:val="8"/>
                <w:sz w:val="20"/>
                <w:szCs w:val="20"/>
              </w:rPr>
              <w:t>/</w:t>
            </w:r>
            <w:r>
              <w:rPr>
                <w:rFonts w:ascii="宋体" w:hAnsi="宋体" w:eastAsia="宋体" w:cs="宋体"/>
                <w:spacing w:val="8"/>
                <w:sz w:val="20"/>
                <w:szCs w:val="20"/>
              </w:rPr>
              <w:t>火焰原子吸</w:t>
            </w:r>
          </w:p>
          <w:p w14:paraId="0B521A15">
            <w:pPr>
              <w:spacing w:line="222" w:lineRule="auto"/>
              <w:ind w:left="653"/>
              <w:rPr>
                <w:rFonts w:ascii="宋体" w:hAnsi="宋体" w:eastAsia="宋体" w:cs="宋体"/>
                <w:sz w:val="20"/>
                <w:szCs w:val="20"/>
              </w:rPr>
            </w:pPr>
            <w:r>
              <w:rPr>
                <w:rFonts w:ascii="宋体" w:hAnsi="宋体" w:eastAsia="宋体" w:cs="宋体"/>
                <w:spacing w:val="7"/>
                <w:sz w:val="20"/>
                <w:szCs w:val="20"/>
              </w:rPr>
              <w:t>收分光光度法</w:t>
            </w:r>
          </w:p>
        </w:tc>
        <w:tc>
          <w:tcPr>
            <w:tcW w:w="1880" w:type="dxa"/>
          </w:tcPr>
          <w:p w14:paraId="67BF5332">
            <w:pPr>
              <w:spacing w:line="298" w:lineRule="auto"/>
            </w:pPr>
          </w:p>
          <w:p w14:paraId="31E78E84">
            <w:pPr>
              <w:spacing w:before="58" w:line="195" w:lineRule="auto"/>
              <w:ind w:left="396"/>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5"/>
                <w:sz w:val="20"/>
                <w:szCs w:val="20"/>
              </w:rPr>
              <w:t>687-2014</w:t>
            </w:r>
          </w:p>
        </w:tc>
        <w:tc>
          <w:tcPr>
            <w:tcW w:w="1901" w:type="dxa"/>
          </w:tcPr>
          <w:p w14:paraId="1B532044">
            <w:pPr>
              <w:spacing w:before="184" w:line="266" w:lineRule="auto"/>
              <w:ind w:left="384" w:right="145" w:hanging="215"/>
              <w:rPr>
                <w:rFonts w:ascii="宋体" w:hAnsi="宋体" w:eastAsia="宋体" w:cs="宋体"/>
                <w:sz w:val="20"/>
                <w:szCs w:val="20"/>
              </w:rPr>
            </w:pPr>
            <w:r>
              <w:rPr>
                <w:rFonts w:ascii="宋体" w:hAnsi="宋体" w:eastAsia="宋体" w:cs="宋体"/>
                <w:spacing w:val="-4"/>
                <w:sz w:val="20"/>
                <w:szCs w:val="20"/>
              </w:rPr>
              <w:t>原子</w:t>
            </w:r>
            <w:r>
              <w:rPr>
                <w:rFonts w:ascii="宋体" w:hAnsi="宋体" w:eastAsia="宋体" w:cs="宋体"/>
                <w:spacing w:val="-2"/>
                <w:sz w:val="20"/>
                <w:szCs w:val="20"/>
              </w:rPr>
              <w:t>吸收分光光度</w:t>
            </w:r>
            <w:r>
              <w:rPr>
                <w:rFonts w:ascii="宋体" w:hAnsi="宋体" w:eastAsia="宋体" w:cs="宋体"/>
                <w:sz w:val="20"/>
                <w:szCs w:val="20"/>
              </w:rPr>
              <w:t xml:space="preserve"> </w:t>
            </w:r>
            <w:r>
              <w:rPr>
                <w:rFonts w:ascii="宋体" w:hAnsi="宋体" w:eastAsia="宋体" w:cs="宋体"/>
                <w:spacing w:val="1"/>
                <w:sz w:val="20"/>
                <w:szCs w:val="20"/>
              </w:rPr>
              <w:t>计 (</w:t>
            </w:r>
            <w:r>
              <w:rPr>
                <w:rFonts w:ascii="Times New Roman" w:hAnsi="Times New Roman" w:eastAsia="Times New Roman" w:cs="Times New Roman"/>
                <w:sz w:val="20"/>
                <w:szCs w:val="20"/>
              </w:rPr>
              <w:t>SY</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28</w:t>
            </w:r>
            <w:r>
              <w:rPr>
                <w:rFonts w:ascii="宋体" w:hAnsi="宋体" w:eastAsia="宋体" w:cs="宋体"/>
                <w:sz w:val="20"/>
                <w:szCs w:val="20"/>
              </w:rPr>
              <w:t>)</w:t>
            </w:r>
          </w:p>
        </w:tc>
        <w:tc>
          <w:tcPr>
            <w:tcW w:w="1429" w:type="dxa"/>
            <w:tcBorders>
              <w:right w:val="nil"/>
            </w:tcBorders>
          </w:tcPr>
          <w:p w14:paraId="5F09A106">
            <w:pPr>
              <w:spacing w:before="284" w:line="281" w:lineRule="exact"/>
              <w:ind w:left="395"/>
              <w:rPr>
                <w:rFonts w:ascii="Times New Roman" w:hAnsi="Times New Roman" w:eastAsia="Times New Roman" w:cs="Times New Roman"/>
                <w:sz w:val="20"/>
                <w:szCs w:val="20"/>
              </w:rPr>
            </w:pPr>
            <w:r>
              <w:rPr>
                <w:rFonts w:ascii="Times New Roman" w:hAnsi="Times New Roman" w:eastAsia="Times New Roman" w:cs="Times New Roman"/>
                <w:spacing w:val="12"/>
                <w:position w:val="4"/>
                <w:sz w:val="20"/>
                <w:szCs w:val="20"/>
              </w:rPr>
              <w:t>2</w:t>
            </w:r>
            <w:r>
              <w:rPr>
                <w:rFonts w:ascii="Times New Roman" w:hAnsi="Times New Roman" w:eastAsia="Times New Roman" w:cs="Times New Roman"/>
                <w:position w:val="4"/>
                <w:sz w:val="20"/>
                <w:szCs w:val="20"/>
              </w:rPr>
              <w:t>mg</w:t>
            </w:r>
            <w:r>
              <w:rPr>
                <w:rFonts w:ascii="Times New Roman" w:hAnsi="Times New Roman" w:eastAsia="Times New Roman" w:cs="Times New Roman"/>
                <w:spacing w:val="12"/>
                <w:position w:val="4"/>
                <w:sz w:val="20"/>
                <w:szCs w:val="20"/>
              </w:rPr>
              <w:t>/</w:t>
            </w:r>
            <w:r>
              <w:rPr>
                <w:rFonts w:ascii="Times New Roman" w:hAnsi="Times New Roman" w:eastAsia="Times New Roman" w:cs="Times New Roman"/>
                <w:position w:val="4"/>
                <w:sz w:val="20"/>
                <w:szCs w:val="20"/>
              </w:rPr>
              <w:t>kg</w:t>
            </w:r>
          </w:p>
        </w:tc>
      </w:tr>
      <w:tr w14:paraId="6D1826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535" w:type="dxa"/>
            <w:tcBorders>
              <w:left w:val="nil"/>
            </w:tcBorders>
          </w:tcPr>
          <w:p w14:paraId="571A8AE5">
            <w:pPr>
              <w:spacing w:before="224" w:line="229" w:lineRule="auto"/>
              <w:ind w:left="668"/>
              <w:rPr>
                <w:rFonts w:ascii="宋体" w:hAnsi="宋体" w:eastAsia="宋体" w:cs="宋体"/>
                <w:sz w:val="20"/>
                <w:szCs w:val="20"/>
              </w:rPr>
            </w:pPr>
            <w:r>
              <w:rPr>
                <w:rFonts w:ascii="宋体" w:hAnsi="宋体" w:eastAsia="宋体" w:cs="宋体"/>
                <w:sz w:val="20"/>
                <w:szCs w:val="20"/>
              </w:rPr>
              <w:t>铜</w:t>
            </w:r>
          </w:p>
        </w:tc>
        <w:tc>
          <w:tcPr>
            <w:tcW w:w="2542" w:type="dxa"/>
          </w:tcPr>
          <w:p w14:paraId="304F5E91">
            <w:pPr>
              <w:spacing w:before="105" w:line="238" w:lineRule="auto"/>
              <w:ind w:left="369" w:right="185" w:hanging="4"/>
              <w:rPr>
                <w:rFonts w:ascii="宋体" w:hAnsi="宋体" w:eastAsia="宋体" w:cs="宋体"/>
                <w:sz w:val="20"/>
                <w:szCs w:val="20"/>
              </w:rPr>
            </w:pPr>
            <w:r>
              <w:rPr>
                <w:rFonts w:ascii="宋体" w:hAnsi="宋体" w:eastAsia="宋体" w:cs="宋体"/>
                <w:spacing w:val="13"/>
                <w:sz w:val="20"/>
                <w:szCs w:val="20"/>
              </w:rPr>
              <w:t>土</w:t>
            </w:r>
            <w:r>
              <w:rPr>
                <w:rFonts w:ascii="宋体" w:hAnsi="宋体" w:eastAsia="宋体" w:cs="宋体"/>
                <w:spacing w:val="8"/>
                <w:sz w:val="20"/>
                <w:szCs w:val="20"/>
              </w:rPr>
              <w:t>壤质量 铜、锌的测</w:t>
            </w:r>
            <w:r>
              <w:rPr>
                <w:rFonts w:ascii="宋体" w:hAnsi="宋体" w:eastAsia="宋体" w:cs="宋体"/>
                <w:sz w:val="20"/>
                <w:szCs w:val="20"/>
              </w:rPr>
              <w:t xml:space="preserve"> </w:t>
            </w:r>
            <w:r>
              <w:rPr>
                <w:rFonts w:ascii="宋体" w:hAnsi="宋体" w:eastAsia="宋体" w:cs="宋体"/>
                <w:spacing w:val="8"/>
                <w:sz w:val="20"/>
                <w:szCs w:val="20"/>
              </w:rPr>
              <w:t>定 火焰原子吸收分</w:t>
            </w:r>
            <w:r>
              <w:rPr>
                <w:rFonts w:ascii="宋体" w:hAnsi="宋体" w:eastAsia="宋体" w:cs="宋体"/>
                <w:spacing w:val="6"/>
                <w:sz w:val="20"/>
                <w:szCs w:val="20"/>
              </w:rPr>
              <w:t>光</w:t>
            </w:r>
          </w:p>
        </w:tc>
        <w:tc>
          <w:tcPr>
            <w:tcW w:w="1880" w:type="dxa"/>
          </w:tcPr>
          <w:p w14:paraId="6FEB9F50">
            <w:pPr>
              <w:spacing w:before="152" w:line="281" w:lineRule="exact"/>
              <w:ind w:left="23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GB</w:t>
            </w:r>
            <w:r>
              <w:rPr>
                <w:rFonts w:ascii="Times New Roman" w:hAnsi="Times New Roman" w:eastAsia="Times New Roman" w:cs="Times New Roman"/>
                <w:spacing w:val="4"/>
                <w:position w:val="2"/>
                <w:sz w:val="20"/>
                <w:szCs w:val="20"/>
              </w:rPr>
              <w:t>/</w:t>
            </w:r>
            <w:r>
              <w:rPr>
                <w:rFonts w:ascii="Times New Roman" w:hAnsi="Times New Roman" w:eastAsia="Times New Roman" w:cs="Times New Roman"/>
                <w:position w:val="2"/>
                <w:sz w:val="20"/>
                <w:szCs w:val="20"/>
              </w:rPr>
              <w:t>T</w:t>
            </w:r>
            <w:r>
              <w:rPr>
                <w:rFonts w:ascii="Times New Roman" w:hAnsi="Times New Roman" w:eastAsia="Times New Roman" w:cs="Times New Roman"/>
                <w:spacing w:val="4"/>
                <w:position w:val="2"/>
                <w:sz w:val="20"/>
                <w:szCs w:val="20"/>
              </w:rPr>
              <w:t xml:space="preserve"> 17138-199</w:t>
            </w:r>
            <w:r>
              <w:rPr>
                <w:rFonts w:ascii="Times New Roman" w:hAnsi="Times New Roman" w:eastAsia="Times New Roman" w:cs="Times New Roman"/>
                <w:spacing w:val="1"/>
                <w:position w:val="2"/>
                <w:sz w:val="20"/>
                <w:szCs w:val="20"/>
              </w:rPr>
              <w:t>7</w:t>
            </w:r>
          </w:p>
        </w:tc>
        <w:tc>
          <w:tcPr>
            <w:tcW w:w="1901" w:type="dxa"/>
          </w:tcPr>
          <w:p w14:paraId="3D4BBA92">
            <w:pPr>
              <w:spacing w:before="86" w:line="268" w:lineRule="auto"/>
              <w:ind w:left="384" w:right="145" w:hanging="215"/>
              <w:rPr>
                <w:rFonts w:ascii="宋体" w:hAnsi="宋体" w:eastAsia="宋体" w:cs="宋体"/>
                <w:sz w:val="20"/>
                <w:szCs w:val="20"/>
              </w:rPr>
            </w:pPr>
            <w:r>
              <w:rPr>
                <w:rFonts w:ascii="宋体" w:hAnsi="宋体" w:eastAsia="宋体" w:cs="宋体"/>
                <w:spacing w:val="-4"/>
                <w:sz w:val="20"/>
                <w:szCs w:val="20"/>
              </w:rPr>
              <w:t>原子</w:t>
            </w:r>
            <w:r>
              <w:rPr>
                <w:rFonts w:ascii="宋体" w:hAnsi="宋体" w:eastAsia="宋体" w:cs="宋体"/>
                <w:spacing w:val="-2"/>
                <w:sz w:val="20"/>
                <w:szCs w:val="20"/>
              </w:rPr>
              <w:t>吸收分光光度</w:t>
            </w:r>
            <w:r>
              <w:rPr>
                <w:rFonts w:ascii="宋体" w:hAnsi="宋体" w:eastAsia="宋体" w:cs="宋体"/>
                <w:sz w:val="20"/>
                <w:szCs w:val="20"/>
              </w:rPr>
              <w:t xml:space="preserve"> </w:t>
            </w:r>
            <w:r>
              <w:rPr>
                <w:rFonts w:ascii="宋体" w:hAnsi="宋体" w:eastAsia="宋体" w:cs="宋体"/>
                <w:spacing w:val="1"/>
                <w:sz w:val="20"/>
                <w:szCs w:val="20"/>
              </w:rPr>
              <w:t>计 (</w:t>
            </w:r>
            <w:r>
              <w:rPr>
                <w:rFonts w:ascii="Times New Roman" w:hAnsi="Times New Roman" w:eastAsia="Times New Roman" w:cs="Times New Roman"/>
                <w:sz w:val="20"/>
                <w:szCs w:val="20"/>
              </w:rPr>
              <w:t>SY</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28</w:t>
            </w:r>
            <w:r>
              <w:rPr>
                <w:rFonts w:ascii="宋体" w:hAnsi="宋体" w:eastAsia="宋体" w:cs="宋体"/>
                <w:sz w:val="20"/>
                <w:szCs w:val="20"/>
              </w:rPr>
              <w:t>)</w:t>
            </w:r>
          </w:p>
        </w:tc>
        <w:tc>
          <w:tcPr>
            <w:tcW w:w="1429" w:type="dxa"/>
            <w:tcBorders>
              <w:right w:val="nil"/>
            </w:tcBorders>
          </w:tcPr>
          <w:p w14:paraId="1D414C48">
            <w:pPr>
              <w:spacing w:before="188" w:line="281" w:lineRule="exact"/>
              <w:ind w:left="415"/>
              <w:rPr>
                <w:rFonts w:ascii="Times New Roman" w:hAnsi="Times New Roman" w:eastAsia="Times New Roman" w:cs="Times New Roman"/>
                <w:sz w:val="20"/>
                <w:szCs w:val="20"/>
              </w:rPr>
            </w:pPr>
            <w:r>
              <w:rPr>
                <w:rFonts w:ascii="Times New Roman" w:hAnsi="Times New Roman" w:eastAsia="Times New Roman" w:cs="Times New Roman"/>
                <w:spacing w:val="2"/>
                <w:position w:val="4"/>
                <w:sz w:val="20"/>
                <w:szCs w:val="20"/>
              </w:rPr>
              <w:t>1</w:t>
            </w:r>
            <w:r>
              <w:rPr>
                <w:rFonts w:ascii="Times New Roman" w:hAnsi="Times New Roman" w:eastAsia="Times New Roman" w:cs="Times New Roman"/>
                <w:position w:val="4"/>
                <w:sz w:val="20"/>
                <w:szCs w:val="20"/>
              </w:rPr>
              <w:t>mg</w:t>
            </w:r>
            <w:r>
              <w:rPr>
                <w:rFonts w:ascii="Times New Roman" w:hAnsi="Times New Roman" w:eastAsia="Times New Roman" w:cs="Times New Roman"/>
                <w:spacing w:val="2"/>
                <w:position w:val="4"/>
                <w:sz w:val="20"/>
                <w:szCs w:val="20"/>
              </w:rPr>
              <w:t>/</w:t>
            </w:r>
            <w:r>
              <w:rPr>
                <w:rFonts w:ascii="Times New Roman" w:hAnsi="Times New Roman" w:eastAsia="Times New Roman" w:cs="Times New Roman"/>
                <w:position w:val="4"/>
                <w:sz w:val="20"/>
                <w:szCs w:val="20"/>
              </w:rPr>
              <w:t>kg</w:t>
            </w:r>
          </w:p>
        </w:tc>
      </w:tr>
    </w:tbl>
    <w:p w14:paraId="5287B768">
      <w:pPr>
        <w:spacing w:line="149" w:lineRule="exact"/>
        <w:rPr>
          <w:sz w:val="12"/>
        </w:rPr>
      </w:pPr>
    </w:p>
    <w:p w14:paraId="3B940273">
      <w:pPr>
        <w:sectPr>
          <w:headerReference r:id="rId166" w:type="default"/>
          <w:footerReference r:id="rId167" w:type="default"/>
          <w:pgSz w:w="11907" w:h="16840"/>
          <w:pgMar w:top="1153" w:right="1066" w:bottom="1485" w:left="1349" w:header="919" w:footer="1298" w:gutter="0"/>
          <w:cols w:space="720" w:num="1"/>
        </w:sectPr>
      </w:pPr>
    </w:p>
    <w:p w14:paraId="382EBE4F">
      <w:pPr>
        <w:spacing w:line="460" w:lineRule="auto"/>
      </w:pPr>
    </w:p>
    <w:p w14:paraId="7447AFF1">
      <w:pPr>
        <w:spacing w:before="56" w:line="229" w:lineRule="auto"/>
        <w:ind w:left="115"/>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7D35A92F">
      <w:pPr>
        <w:spacing w:line="14" w:lineRule="exact"/>
      </w:pPr>
    </w:p>
    <w:tbl>
      <w:tblPr>
        <w:tblStyle w:val="4"/>
        <w:tblW w:w="928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5"/>
        <w:gridCol w:w="2542"/>
        <w:gridCol w:w="1880"/>
        <w:gridCol w:w="1902"/>
        <w:gridCol w:w="1429"/>
      </w:tblGrid>
      <w:tr w14:paraId="0ABD7C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1535" w:type="dxa"/>
            <w:tcBorders>
              <w:left w:val="nil"/>
            </w:tcBorders>
          </w:tcPr>
          <w:p w14:paraId="0EA85B00"/>
        </w:tc>
        <w:tc>
          <w:tcPr>
            <w:tcW w:w="2542" w:type="dxa"/>
          </w:tcPr>
          <w:p w14:paraId="6BB7CA44">
            <w:pPr>
              <w:spacing w:before="28" w:line="221" w:lineRule="auto"/>
              <w:ind w:left="1048"/>
              <w:rPr>
                <w:rFonts w:ascii="宋体" w:hAnsi="宋体" w:eastAsia="宋体" w:cs="宋体"/>
                <w:sz w:val="20"/>
                <w:szCs w:val="20"/>
              </w:rPr>
            </w:pPr>
            <w:r>
              <w:rPr>
                <w:rFonts w:ascii="宋体" w:hAnsi="宋体" w:eastAsia="宋体" w:cs="宋体"/>
                <w:spacing w:val="7"/>
                <w:sz w:val="20"/>
                <w:szCs w:val="20"/>
              </w:rPr>
              <w:t>光</w:t>
            </w:r>
            <w:r>
              <w:rPr>
                <w:rFonts w:ascii="宋体" w:hAnsi="宋体" w:eastAsia="宋体" w:cs="宋体"/>
                <w:spacing w:val="6"/>
                <w:sz w:val="20"/>
                <w:szCs w:val="20"/>
              </w:rPr>
              <w:t>度法</w:t>
            </w:r>
          </w:p>
        </w:tc>
        <w:tc>
          <w:tcPr>
            <w:tcW w:w="1880" w:type="dxa"/>
          </w:tcPr>
          <w:p w14:paraId="04D7868C"/>
        </w:tc>
        <w:tc>
          <w:tcPr>
            <w:tcW w:w="1902" w:type="dxa"/>
          </w:tcPr>
          <w:p w14:paraId="5B515571"/>
        </w:tc>
        <w:tc>
          <w:tcPr>
            <w:tcW w:w="1429" w:type="dxa"/>
            <w:tcBorders>
              <w:right w:val="nil"/>
            </w:tcBorders>
          </w:tcPr>
          <w:p w14:paraId="5A47ACD0"/>
        </w:tc>
      </w:tr>
      <w:tr w14:paraId="0EDFF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535" w:type="dxa"/>
            <w:tcBorders>
              <w:left w:val="nil"/>
            </w:tcBorders>
          </w:tcPr>
          <w:p w14:paraId="225C66A1">
            <w:pPr>
              <w:spacing w:before="165" w:line="232" w:lineRule="auto"/>
              <w:ind w:left="668"/>
              <w:rPr>
                <w:rFonts w:ascii="宋体" w:hAnsi="宋体" w:eastAsia="宋体" w:cs="宋体"/>
                <w:sz w:val="20"/>
                <w:szCs w:val="20"/>
              </w:rPr>
            </w:pPr>
            <w:r>
              <w:rPr>
                <w:rFonts w:ascii="宋体" w:hAnsi="宋体" w:eastAsia="宋体" w:cs="宋体"/>
                <w:sz w:val="20"/>
                <w:szCs w:val="20"/>
              </w:rPr>
              <w:t>铅</w:t>
            </w:r>
          </w:p>
        </w:tc>
        <w:tc>
          <w:tcPr>
            <w:tcW w:w="2542" w:type="dxa"/>
          </w:tcPr>
          <w:p w14:paraId="4DD9E4F6">
            <w:pPr>
              <w:spacing w:before="31" w:line="228" w:lineRule="auto"/>
              <w:ind w:left="113"/>
              <w:rPr>
                <w:rFonts w:ascii="宋体" w:hAnsi="宋体" w:eastAsia="宋体" w:cs="宋体"/>
                <w:sz w:val="20"/>
                <w:szCs w:val="20"/>
              </w:rPr>
            </w:pPr>
            <w:r>
              <w:rPr>
                <w:rFonts w:ascii="宋体" w:hAnsi="宋体" w:eastAsia="宋体" w:cs="宋体"/>
                <w:spacing w:val="-10"/>
                <w:sz w:val="20"/>
                <w:szCs w:val="20"/>
              </w:rPr>
              <w:t>土</w:t>
            </w:r>
            <w:r>
              <w:rPr>
                <w:rFonts w:ascii="宋体" w:hAnsi="宋体" w:eastAsia="宋体" w:cs="宋体"/>
                <w:spacing w:val="-7"/>
                <w:sz w:val="20"/>
                <w:szCs w:val="20"/>
              </w:rPr>
              <w:t>壤</w:t>
            </w:r>
            <w:r>
              <w:rPr>
                <w:rFonts w:ascii="宋体" w:hAnsi="宋体" w:eastAsia="宋体" w:cs="宋体"/>
                <w:spacing w:val="-5"/>
                <w:sz w:val="20"/>
                <w:szCs w:val="20"/>
              </w:rPr>
              <w:t>质量 铅、镉的测定 石</w:t>
            </w:r>
          </w:p>
          <w:p w14:paraId="3B318D3B">
            <w:pPr>
              <w:spacing w:before="24" w:line="227" w:lineRule="auto"/>
              <w:ind w:left="171"/>
              <w:rPr>
                <w:rFonts w:ascii="宋体" w:hAnsi="宋体" w:eastAsia="宋体" w:cs="宋体"/>
                <w:sz w:val="20"/>
                <w:szCs w:val="20"/>
              </w:rPr>
            </w:pPr>
            <w:r>
              <w:rPr>
                <w:rFonts w:ascii="宋体" w:hAnsi="宋体" w:eastAsia="宋体" w:cs="宋体"/>
                <w:spacing w:val="2"/>
                <w:sz w:val="20"/>
                <w:szCs w:val="20"/>
              </w:rPr>
              <w:t>墨炉原子</w:t>
            </w:r>
            <w:r>
              <w:rPr>
                <w:rFonts w:ascii="宋体" w:hAnsi="宋体" w:eastAsia="宋体" w:cs="宋体"/>
                <w:spacing w:val="1"/>
                <w:sz w:val="20"/>
                <w:szCs w:val="20"/>
              </w:rPr>
              <w:t>吸收分光光度法</w:t>
            </w:r>
          </w:p>
        </w:tc>
        <w:tc>
          <w:tcPr>
            <w:tcW w:w="1880" w:type="dxa"/>
          </w:tcPr>
          <w:p w14:paraId="7703DE6E">
            <w:pPr>
              <w:spacing w:before="8" w:line="281" w:lineRule="exact"/>
              <w:ind w:left="236"/>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GB</w:t>
            </w:r>
            <w:r>
              <w:rPr>
                <w:rFonts w:ascii="Times New Roman" w:hAnsi="Times New Roman" w:eastAsia="Times New Roman" w:cs="Times New Roman"/>
                <w:spacing w:val="4"/>
                <w:position w:val="2"/>
                <w:sz w:val="20"/>
                <w:szCs w:val="20"/>
              </w:rPr>
              <w:t>/</w:t>
            </w:r>
            <w:r>
              <w:rPr>
                <w:rFonts w:ascii="Times New Roman" w:hAnsi="Times New Roman" w:eastAsia="Times New Roman" w:cs="Times New Roman"/>
                <w:position w:val="2"/>
                <w:sz w:val="20"/>
                <w:szCs w:val="20"/>
              </w:rPr>
              <w:t>T</w:t>
            </w:r>
            <w:r>
              <w:rPr>
                <w:rFonts w:ascii="Times New Roman" w:hAnsi="Times New Roman" w:eastAsia="Times New Roman" w:cs="Times New Roman"/>
                <w:spacing w:val="4"/>
                <w:position w:val="2"/>
                <w:sz w:val="20"/>
                <w:szCs w:val="20"/>
              </w:rPr>
              <w:t xml:space="preserve"> 17141-199</w:t>
            </w:r>
            <w:r>
              <w:rPr>
                <w:rFonts w:ascii="Times New Roman" w:hAnsi="Times New Roman" w:eastAsia="Times New Roman" w:cs="Times New Roman"/>
                <w:spacing w:val="1"/>
                <w:position w:val="2"/>
                <w:sz w:val="20"/>
                <w:szCs w:val="20"/>
              </w:rPr>
              <w:t>7</w:t>
            </w:r>
          </w:p>
        </w:tc>
        <w:tc>
          <w:tcPr>
            <w:tcW w:w="1902" w:type="dxa"/>
          </w:tcPr>
          <w:p w14:paraId="6A792588">
            <w:pPr>
              <w:spacing w:before="31" w:line="239" w:lineRule="auto"/>
              <w:ind w:left="384" w:right="146" w:hanging="215"/>
              <w:rPr>
                <w:rFonts w:ascii="宋体" w:hAnsi="宋体" w:eastAsia="宋体" w:cs="宋体"/>
                <w:sz w:val="20"/>
                <w:szCs w:val="20"/>
              </w:rPr>
            </w:pPr>
            <w:r>
              <w:rPr>
                <w:rFonts w:ascii="宋体" w:hAnsi="宋体" w:eastAsia="宋体" w:cs="宋体"/>
                <w:spacing w:val="-4"/>
                <w:sz w:val="20"/>
                <w:szCs w:val="20"/>
              </w:rPr>
              <w:t>原子</w:t>
            </w:r>
            <w:r>
              <w:rPr>
                <w:rFonts w:ascii="宋体" w:hAnsi="宋体" w:eastAsia="宋体" w:cs="宋体"/>
                <w:spacing w:val="-2"/>
                <w:sz w:val="20"/>
                <w:szCs w:val="20"/>
              </w:rPr>
              <w:t>吸收分光光度</w:t>
            </w:r>
            <w:r>
              <w:rPr>
                <w:rFonts w:ascii="宋体" w:hAnsi="宋体" w:eastAsia="宋体" w:cs="宋体"/>
                <w:sz w:val="20"/>
                <w:szCs w:val="20"/>
              </w:rPr>
              <w:t xml:space="preserve"> </w:t>
            </w:r>
            <w:r>
              <w:rPr>
                <w:rFonts w:ascii="宋体" w:hAnsi="宋体" w:eastAsia="宋体" w:cs="宋体"/>
                <w:spacing w:val="1"/>
                <w:sz w:val="20"/>
                <w:szCs w:val="20"/>
              </w:rPr>
              <w:t>计 (</w:t>
            </w:r>
            <w:r>
              <w:rPr>
                <w:rFonts w:ascii="Times New Roman" w:hAnsi="Times New Roman" w:eastAsia="Times New Roman" w:cs="Times New Roman"/>
                <w:sz w:val="20"/>
                <w:szCs w:val="20"/>
              </w:rPr>
              <w:t>SY</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28</w:t>
            </w:r>
            <w:r>
              <w:rPr>
                <w:rFonts w:ascii="宋体" w:hAnsi="宋体" w:eastAsia="宋体" w:cs="宋体"/>
                <w:sz w:val="20"/>
                <w:szCs w:val="20"/>
              </w:rPr>
              <w:t>)</w:t>
            </w:r>
          </w:p>
        </w:tc>
        <w:tc>
          <w:tcPr>
            <w:tcW w:w="1429" w:type="dxa"/>
            <w:tcBorders>
              <w:right w:val="nil"/>
            </w:tcBorders>
          </w:tcPr>
          <w:p w14:paraId="44A1D11C">
            <w:pPr>
              <w:spacing w:before="128" w:line="281" w:lineRule="exact"/>
              <w:ind w:left="318"/>
              <w:rPr>
                <w:rFonts w:ascii="Times New Roman" w:hAnsi="Times New Roman" w:eastAsia="Times New Roman" w:cs="Times New Roman"/>
                <w:sz w:val="20"/>
                <w:szCs w:val="20"/>
              </w:rPr>
            </w:pPr>
            <w:r>
              <w:rPr>
                <w:rFonts w:ascii="Times New Roman" w:hAnsi="Times New Roman" w:eastAsia="Times New Roman" w:cs="Times New Roman"/>
                <w:spacing w:val="-4"/>
                <w:position w:val="4"/>
                <w:sz w:val="20"/>
                <w:szCs w:val="20"/>
              </w:rPr>
              <w:t>0</w:t>
            </w:r>
            <w:r>
              <w:rPr>
                <w:rFonts w:ascii="Times New Roman" w:hAnsi="Times New Roman" w:eastAsia="Times New Roman" w:cs="Times New Roman"/>
                <w:spacing w:val="-3"/>
                <w:position w:val="4"/>
                <w:sz w:val="20"/>
                <w:szCs w:val="20"/>
              </w:rPr>
              <w:t>.</w:t>
            </w:r>
            <w:r>
              <w:rPr>
                <w:rFonts w:ascii="Times New Roman" w:hAnsi="Times New Roman" w:eastAsia="Times New Roman" w:cs="Times New Roman"/>
                <w:spacing w:val="-2"/>
                <w:position w:val="4"/>
                <w:sz w:val="20"/>
                <w:szCs w:val="20"/>
              </w:rPr>
              <w:t xml:space="preserve"> 1mg/kg</w:t>
            </w:r>
          </w:p>
        </w:tc>
      </w:tr>
      <w:tr w14:paraId="20EBC5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535" w:type="dxa"/>
            <w:tcBorders>
              <w:left w:val="nil"/>
            </w:tcBorders>
          </w:tcPr>
          <w:p w14:paraId="4243CF8C">
            <w:pPr>
              <w:spacing w:before="303" w:line="228" w:lineRule="auto"/>
              <w:ind w:left="669"/>
              <w:rPr>
                <w:rFonts w:ascii="宋体" w:hAnsi="宋体" w:eastAsia="宋体" w:cs="宋体"/>
                <w:sz w:val="20"/>
                <w:szCs w:val="20"/>
              </w:rPr>
            </w:pPr>
            <w:r>
              <w:rPr>
                <w:rFonts w:ascii="宋体" w:hAnsi="宋体" w:eastAsia="宋体" w:cs="宋体"/>
                <w:sz w:val="20"/>
                <w:szCs w:val="20"/>
              </w:rPr>
              <w:t>汞</w:t>
            </w:r>
          </w:p>
        </w:tc>
        <w:tc>
          <w:tcPr>
            <w:tcW w:w="2542" w:type="dxa"/>
          </w:tcPr>
          <w:p w14:paraId="3E7DF498">
            <w:pPr>
              <w:spacing w:before="32" w:line="220" w:lineRule="auto"/>
              <w:ind w:left="113"/>
              <w:rPr>
                <w:rFonts w:ascii="宋体" w:hAnsi="宋体" w:eastAsia="宋体" w:cs="宋体"/>
                <w:sz w:val="20"/>
                <w:szCs w:val="20"/>
              </w:rPr>
            </w:pPr>
            <w:r>
              <w:rPr>
                <w:rFonts w:ascii="宋体" w:hAnsi="宋体" w:eastAsia="宋体" w:cs="宋体"/>
                <w:spacing w:val="-8"/>
                <w:sz w:val="20"/>
                <w:szCs w:val="20"/>
              </w:rPr>
              <w:t>土</w:t>
            </w:r>
            <w:r>
              <w:rPr>
                <w:rFonts w:ascii="宋体" w:hAnsi="宋体" w:eastAsia="宋体" w:cs="宋体"/>
                <w:spacing w:val="-6"/>
                <w:sz w:val="20"/>
                <w:szCs w:val="20"/>
              </w:rPr>
              <w:t>壤和沉积物 汞、砷、硒、</w:t>
            </w:r>
          </w:p>
          <w:p w14:paraId="011D30AE">
            <w:pPr>
              <w:spacing w:line="278" w:lineRule="exact"/>
              <w:ind w:left="160"/>
              <w:rPr>
                <w:rFonts w:ascii="Calibri" w:hAnsi="Calibri" w:eastAsia="Calibri" w:cs="Calibri"/>
                <w:sz w:val="20"/>
                <w:szCs w:val="20"/>
              </w:rPr>
            </w:pPr>
            <w:r>
              <w:rPr>
                <w:rFonts w:ascii="宋体" w:hAnsi="宋体" w:eastAsia="宋体" w:cs="宋体"/>
                <w:spacing w:val="4"/>
                <w:position w:val="2"/>
                <w:sz w:val="20"/>
                <w:szCs w:val="20"/>
              </w:rPr>
              <w:t>铋、锑的测定 微波消解</w:t>
            </w:r>
            <w:r>
              <w:rPr>
                <w:rFonts w:ascii="Calibri" w:hAnsi="Calibri" w:eastAsia="Calibri" w:cs="Calibri"/>
                <w:spacing w:val="4"/>
                <w:position w:val="2"/>
                <w:sz w:val="20"/>
                <w:szCs w:val="20"/>
              </w:rPr>
              <w:t>/</w:t>
            </w:r>
          </w:p>
          <w:p w14:paraId="57E1454C">
            <w:pPr>
              <w:spacing w:before="24" w:line="228" w:lineRule="auto"/>
              <w:ind w:left="770"/>
              <w:rPr>
                <w:rFonts w:ascii="宋体" w:hAnsi="宋体" w:eastAsia="宋体" w:cs="宋体"/>
                <w:sz w:val="20"/>
                <w:szCs w:val="20"/>
              </w:rPr>
            </w:pPr>
            <w:r>
              <w:rPr>
                <w:rFonts w:ascii="宋体" w:hAnsi="宋体" w:eastAsia="宋体" w:cs="宋体"/>
                <w:spacing w:val="3"/>
                <w:sz w:val="20"/>
                <w:szCs w:val="20"/>
              </w:rPr>
              <w:t>原</w:t>
            </w:r>
            <w:r>
              <w:rPr>
                <w:rFonts w:ascii="宋体" w:hAnsi="宋体" w:eastAsia="宋体" w:cs="宋体"/>
                <w:spacing w:val="2"/>
                <w:sz w:val="20"/>
                <w:szCs w:val="20"/>
              </w:rPr>
              <w:t>子荧光法</w:t>
            </w:r>
          </w:p>
        </w:tc>
        <w:tc>
          <w:tcPr>
            <w:tcW w:w="1880" w:type="dxa"/>
          </w:tcPr>
          <w:p w14:paraId="782C5664">
            <w:pPr>
              <w:spacing w:line="279" w:lineRule="auto"/>
            </w:pPr>
          </w:p>
          <w:p w14:paraId="57FB2134">
            <w:pPr>
              <w:spacing w:before="58" w:line="195" w:lineRule="auto"/>
              <w:ind w:left="396"/>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5"/>
                <w:sz w:val="20"/>
                <w:szCs w:val="20"/>
              </w:rPr>
              <w:t>680-2013</w:t>
            </w:r>
          </w:p>
        </w:tc>
        <w:tc>
          <w:tcPr>
            <w:tcW w:w="1902" w:type="dxa"/>
          </w:tcPr>
          <w:p w14:paraId="5835B0DD">
            <w:pPr>
              <w:spacing w:before="165" w:line="228" w:lineRule="auto"/>
              <w:ind w:left="227"/>
              <w:rPr>
                <w:rFonts w:ascii="宋体" w:hAnsi="宋体" w:eastAsia="宋体" w:cs="宋体"/>
                <w:sz w:val="20"/>
                <w:szCs w:val="20"/>
              </w:rPr>
            </w:pPr>
            <w:r>
              <w:rPr>
                <w:rFonts w:ascii="宋体" w:hAnsi="宋体" w:eastAsia="宋体" w:cs="宋体"/>
                <w:spacing w:val="8"/>
                <w:sz w:val="20"/>
                <w:szCs w:val="20"/>
              </w:rPr>
              <w:t>原子荧光光度</w:t>
            </w:r>
            <w:r>
              <w:rPr>
                <w:rFonts w:ascii="宋体" w:hAnsi="宋体" w:eastAsia="宋体" w:cs="宋体"/>
                <w:spacing w:val="7"/>
                <w:sz w:val="20"/>
                <w:szCs w:val="20"/>
              </w:rPr>
              <w:t>计</w:t>
            </w:r>
          </w:p>
          <w:p w14:paraId="1ECEFA7C">
            <w:pPr>
              <w:spacing w:before="26" w:line="231" w:lineRule="auto"/>
              <w:ind w:left="493"/>
              <w:rPr>
                <w:rFonts w:ascii="宋体" w:hAnsi="宋体" w:eastAsia="宋体" w:cs="宋体"/>
                <w:sz w:val="20"/>
                <w:szCs w:val="20"/>
              </w:rPr>
            </w:pPr>
            <w:r>
              <w:rPr>
                <w:rFonts w:ascii="宋体" w:hAnsi="宋体" w:eastAsia="宋体" w:cs="宋体"/>
                <w:spacing w:val="19"/>
                <w:sz w:val="20"/>
                <w:szCs w:val="20"/>
              </w:rPr>
              <w:t>(</w:t>
            </w:r>
            <w:r>
              <w:rPr>
                <w:rFonts w:ascii="Times New Roman" w:hAnsi="Times New Roman" w:eastAsia="Times New Roman" w:cs="Times New Roman"/>
                <w:sz w:val="20"/>
                <w:szCs w:val="20"/>
              </w:rPr>
              <w:t>SY</w:t>
            </w:r>
            <w:r>
              <w:rPr>
                <w:rFonts w:ascii="Times New Roman" w:hAnsi="Times New Roman" w:eastAsia="Times New Roman" w:cs="Times New Roman"/>
                <w:spacing w:val="19"/>
                <w:sz w:val="20"/>
                <w:szCs w:val="20"/>
              </w:rPr>
              <w:t>-22</w:t>
            </w:r>
            <w:r>
              <w:rPr>
                <w:rFonts w:ascii="宋体" w:hAnsi="宋体" w:eastAsia="宋体" w:cs="宋体"/>
                <w:spacing w:val="19"/>
                <w:sz w:val="20"/>
                <w:szCs w:val="20"/>
              </w:rPr>
              <w:t>)</w:t>
            </w:r>
          </w:p>
        </w:tc>
        <w:tc>
          <w:tcPr>
            <w:tcW w:w="1429" w:type="dxa"/>
            <w:tcBorders>
              <w:right w:val="nil"/>
            </w:tcBorders>
          </w:tcPr>
          <w:p w14:paraId="056C259E">
            <w:pPr>
              <w:spacing w:before="265" w:line="281" w:lineRule="exact"/>
              <w:ind w:left="215"/>
              <w:rPr>
                <w:rFonts w:ascii="Times New Roman" w:hAnsi="Times New Roman" w:eastAsia="Times New Roman" w:cs="Times New Roman"/>
                <w:sz w:val="20"/>
                <w:szCs w:val="20"/>
              </w:rPr>
            </w:pPr>
            <w:r>
              <w:rPr>
                <w:rFonts w:ascii="Times New Roman" w:hAnsi="Times New Roman" w:eastAsia="Times New Roman" w:cs="Times New Roman"/>
                <w:spacing w:val="6"/>
                <w:position w:val="2"/>
                <w:sz w:val="20"/>
                <w:szCs w:val="20"/>
              </w:rPr>
              <w:t>0.002</w:t>
            </w:r>
            <w:r>
              <w:rPr>
                <w:rFonts w:ascii="Times New Roman" w:hAnsi="Times New Roman" w:eastAsia="Times New Roman" w:cs="Times New Roman"/>
                <w:position w:val="2"/>
                <w:sz w:val="20"/>
                <w:szCs w:val="20"/>
              </w:rPr>
              <w:t>mg</w:t>
            </w:r>
            <w:r>
              <w:rPr>
                <w:rFonts w:ascii="Times New Roman" w:hAnsi="Times New Roman" w:eastAsia="Times New Roman" w:cs="Times New Roman"/>
                <w:spacing w:val="5"/>
                <w:position w:val="2"/>
                <w:sz w:val="20"/>
                <w:szCs w:val="20"/>
              </w:rPr>
              <w:t>/</w:t>
            </w:r>
            <w:r>
              <w:rPr>
                <w:rFonts w:ascii="Times New Roman" w:hAnsi="Times New Roman" w:eastAsia="Times New Roman" w:cs="Times New Roman"/>
                <w:position w:val="2"/>
                <w:sz w:val="20"/>
                <w:szCs w:val="20"/>
              </w:rPr>
              <w:t>kg</w:t>
            </w:r>
          </w:p>
        </w:tc>
      </w:tr>
      <w:tr w14:paraId="345416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535" w:type="dxa"/>
            <w:tcBorders>
              <w:left w:val="nil"/>
            </w:tcBorders>
          </w:tcPr>
          <w:p w14:paraId="0FF985E8">
            <w:pPr>
              <w:spacing w:before="168" w:line="228" w:lineRule="auto"/>
              <w:ind w:left="668"/>
              <w:rPr>
                <w:rFonts w:ascii="宋体" w:hAnsi="宋体" w:eastAsia="宋体" w:cs="宋体"/>
                <w:sz w:val="20"/>
                <w:szCs w:val="20"/>
              </w:rPr>
            </w:pPr>
            <w:r>
              <w:rPr>
                <w:rFonts w:ascii="宋体" w:hAnsi="宋体" w:eastAsia="宋体" w:cs="宋体"/>
                <w:spacing w:val="1"/>
                <w:sz w:val="20"/>
                <w:szCs w:val="20"/>
              </w:rPr>
              <w:t>镍</w:t>
            </w:r>
          </w:p>
        </w:tc>
        <w:tc>
          <w:tcPr>
            <w:tcW w:w="2542" w:type="dxa"/>
          </w:tcPr>
          <w:p w14:paraId="7292CE39">
            <w:pPr>
              <w:spacing w:before="31" w:line="239" w:lineRule="auto"/>
              <w:ind w:left="357" w:right="106" w:hanging="236"/>
              <w:rPr>
                <w:rFonts w:ascii="宋体" w:hAnsi="宋体" w:eastAsia="宋体" w:cs="宋体"/>
                <w:sz w:val="20"/>
                <w:szCs w:val="20"/>
              </w:rPr>
            </w:pPr>
            <w:r>
              <w:rPr>
                <w:rFonts w:ascii="宋体" w:hAnsi="宋体" w:eastAsia="宋体" w:cs="宋体"/>
                <w:spacing w:val="10"/>
                <w:sz w:val="20"/>
                <w:szCs w:val="20"/>
              </w:rPr>
              <w:t>土</w:t>
            </w:r>
            <w:r>
              <w:rPr>
                <w:rFonts w:ascii="宋体" w:hAnsi="宋体" w:eastAsia="宋体" w:cs="宋体"/>
                <w:spacing w:val="9"/>
                <w:sz w:val="20"/>
                <w:szCs w:val="20"/>
              </w:rPr>
              <w:t>壤质量 镍的测定 火焰</w:t>
            </w:r>
            <w:r>
              <w:rPr>
                <w:rFonts w:ascii="宋体" w:hAnsi="宋体" w:eastAsia="宋体" w:cs="宋体"/>
                <w:sz w:val="20"/>
                <w:szCs w:val="20"/>
              </w:rPr>
              <w:t xml:space="preserve"> </w:t>
            </w:r>
            <w:r>
              <w:rPr>
                <w:rFonts w:ascii="宋体" w:hAnsi="宋体" w:eastAsia="宋体" w:cs="宋体"/>
                <w:spacing w:val="6"/>
                <w:sz w:val="20"/>
                <w:szCs w:val="20"/>
              </w:rPr>
              <w:t>原</w:t>
            </w:r>
            <w:r>
              <w:rPr>
                <w:rFonts w:ascii="宋体" w:hAnsi="宋体" w:eastAsia="宋体" w:cs="宋体"/>
                <w:spacing w:val="5"/>
                <w:sz w:val="20"/>
                <w:szCs w:val="20"/>
              </w:rPr>
              <w:t>子</w:t>
            </w:r>
            <w:r>
              <w:rPr>
                <w:rFonts w:ascii="宋体" w:hAnsi="宋体" w:eastAsia="宋体" w:cs="宋体"/>
                <w:spacing w:val="3"/>
                <w:sz w:val="20"/>
                <w:szCs w:val="20"/>
              </w:rPr>
              <w:t>吸收分光光度法</w:t>
            </w:r>
          </w:p>
        </w:tc>
        <w:tc>
          <w:tcPr>
            <w:tcW w:w="1880" w:type="dxa"/>
          </w:tcPr>
          <w:p w14:paraId="04FE62B6">
            <w:pPr>
              <w:spacing w:before="130" w:line="281" w:lineRule="exact"/>
              <w:ind w:left="183"/>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GB</w:t>
            </w:r>
            <w:r>
              <w:rPr>
                <w:rFonts w:ascii="Times New Roman" w:hAnsi="Times New Roman" w:eastAsia="Times New Roman" w:cs="Times New Roman"/>
                <w:spacing w:val="4"/>
                <w:position w:val="2"/>
                <w:sz w:val="20"/>
                <w:szCs w:val="20"/>
              </w:rPr>
              <w:t>/</w:t>
            </w:r>
            <w:r>
              <w:rPr>
                <w:rFonts w:ascii="Times New Roman" w:hAnsi="Times New Roman" w:eastAsia="Times New Roman" w:cs="Times New Roman"/>
                <w:position w:val="2"/>
                <w:sz w:val="20"/>
                <w:szCs w:val="20"/>
              </w:rPr>
              <w:t>T</w:t>
            </w:r>
            <w:r>
              <w:rPr>
                <w:rFonts w:ascii="Times New Roman" w:hAnsi="Times New Roman" w:eastAsia="Times New Roman" w:cs="Times New Roman"/>
                <w:spacing w:val="4"/>
                <w:position w:val="2"/>
                <w:sz w:val="20"/>
                <w:szCs w:val="20"/>
              </w:rPr>
              <w:t xml:space="preserve"> 17139-1997</w:t>
            </w:r>
          </w:p>
        </w:tc>
        <w:tc>
          <w:tcPr>
            <w:tcW w:w="1902" w:type="dxa"/>
          </w:tcPr>
          <w:p w14:paraId="2E1D994A">
            <w:pPr>
              <w:spacing w:before="31" w:line="239" w:lineRule="auto"/>
              <w:ind w:left="403" w:right="146" w:hanging="234"/>
              <w:rPr>
                <w:rFonts w:ascii="宋体" w:hAnsi="宋体" w:eastAsia="宋体" w:cs="宋体"/>
                <w:sz w:val="20"/>
                <w:szCs w:val="20"/>
              </w:rPr>
            </w:pPr>
            <w:r>
              <w:rPr>
                <w:rFonts w:ascii="宋体" w:hAnsi="宋体" w:eastAsia="宋体" w:cs="宋体"/>
                <w:spacing w:val="-4"/>
                <w:sz w:val="20"/>
                <w:szCs w:val="20"/>
              </w:rPr>
              <w:t>原子</w:t>
            </w:r>
            <w:r>
              <w:rPr>
                <w:rFonts w:ascii="宋体" w:hAnsi="宋体" w:eastAsia="宋体" w:cs="宋体"/>
                <w:spacing w:val="-2"/>
                <w:sz w:val="20"/>
                <w:szCs w:val="20"/>
              </w:rPr>
              <w:t>吸收分光光度</w:t>
            </w:r>
            <w:r>
              <w:rPr>
                <w:rFonts w:ascii="宋体" w:hAnsi="宋体" w:eastAsia="宋体" w:cs="宋体"/>
                <w:sz w:val="20"/>
                <w:szCs w:val="20"/>
              </w:rPr>
              <w:t xml:space="preserve"> </w:t>
            </w:r>
            <w:r>
              <w:rPr>
                <w:rFonts w:ascii="宋体" w:hAnsi="宋体" w:eastAsia="宋体" w:cs="宋体"/>
                <w:spacing w:val="-4"/>
                <w:sz w:val="20"/>
                <w:szCs w:val="20"/>
              </w:rPr>
              <w:t>计</w:t>
            </w:r>
            <w:r>
              <w:rPr>
                <w:rFonts w:ascii="宋体" w:hAnsi="宋体" w:eastAsia="宋体" w:cs="宋体"/>
                <w:spacing w:val="-2"/>
                <w:sz w:val="20"/>
                <w:szCs w:val="20"/>
              </w:rPr>
              <w:t xml:space="preserve"> (</w:t>
            </w:r>
            <w:r>
              <w:rPr>
                <w:rFonts w:ascii="Times New Roman" w:hAnsi="Times New Roman" w:eastAsia="Times New Roman" w:cs="Times New Roman"/>
                <w:spacing w:val="-2"/>
                <w:sz w:val="20"/>
                <w:szCs w:val="20"/>
              </w:rPr>
              <w:t>SY-28</w:t>
            </w:r>
            <w:r>
              <w:rPr>
                <w:rFonts w:ascii="宋体" w:hAnsi="宋体" w:eastAsia="宋体" w:cs="宋体"/>
                <w:spacing w:val="-2"/>
                <w:sz w:val="20"/>
                <w:szCs w:val="20"/>
              </w:rPr>
              <w:t>)</w:t>
            </w:r>
          </w:p>
        </w:tc>
        <w:tc>
          <w:tcPr>
            <w:tcW w:w="1429" w:type="dxa"/>
            <w:tcBorders>
              <w:right w:val="nil"/>
            </w:tcBorders>
          </w:tcPr>
          <w:p w14:paraId="408E7610">
            <w:pPr>
              <w:spacing w:before="130" w:line="281" w:lineRule="exact"/>
              <w:ind w:left="400"/>
              <w:rPr>
                <w:rFonts w:ascii="Times New Roman" w:hAnsi="Times New Roman" w:eastAsia="Times New Roman" w:cs="Times New Roman"/>
                <w:sz w:val="20"/>
                <w:szCs w:val="20"/>
              </w:rPr>
            </w:pPr>
            <w:r>
              <w:rPr>
                <w:rFonts w:ascii="Times New Roman" w:hAnsi="Times New Roman" w:eastAsia="Times New Roman" w:cs="Times New Roman"/>
                <w:spacing w:val="9"/>
                <w:position w:val="4"/>
                <w:sz w:val="20"/>
                <w:szCs w:val="20"/>
              </w:rPr>
              <w:t>5</w:t>
            </w:r>
            <w:r>
              <w:rPr>
                <w:rFonts w:ascii="Times New Roman" w:hAnsi="Times New Roman" w:eastAsia="Times New Roman" w:cs="Times New Roman"/>
                <w:position w:val="4"/>
                <w:sz w:val="20"/>
                <w:szCs w:val="20"/>
              </w:rPr>
              <w:t>mg</w:t>
            </w:r>
            <w:r>
              <w:rPr>
                <w:rFonts w:ascii="Times New Roman" w:hAnsi="Times New Roman" w:eastAsia="Times New Roman" w:cs="Times New Roman"/>
                <w:spacing w:val="9"/>
                <w:position w:val="4"/>
                <w:sz w:val="20"/>
                <w:szCs w:val="20"/>
              </w:rPr>
              <w:t>/</w:t>
            </w:r>
            <w:r>
              <w:rPr>
                <w:rFonts w:ascii="Times New Roman" w:hAnsi="Times New Roman" w:eastAsia="Times New Roman" w:cs="Times New Roman"/>
                <w:position w:val="4"/>
                <w:sz w:val="20"/>
                <w:szCs w:val="20"/>
              </w:rPr>
              <w:t>kg</w:t>
            </w:r>
          </w:p>
        </w:tc>
      </w:tr>
      <w:tr w14:paraId="56990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535" w:type="dxa"/>
            <w:tcBorders>
              <w:left w:val="nil"/>
            </w:tcBorders>
          </w:tcPr>
          <w:p w14:paraId="18FFACFB">
            <w:pPr>
              <w:spacing w:before="169" w:line="228" w:lineRule="auto"/>
              <w:ind w:left="668"/>
              <w:rPr>
                <w:rFonts w:ascii="宋体" w:hAnsi="宋体" w:eastAsia="宋体" w:cs="宋体"/>
                <w:sz w:val="20"/>
                <w:szCs w:val="20"/>
              </w:rPr>
            </w:pPr>
            <w:r>
              <w:rPr>
                <w:rFonts w:ascii="宋体" w:hAnsi="宋体" w:eastAsia="宋体" w:cs="宋体"/>
                <w:spacing w:val="1"/>
                <w:sz w:val="20"/>
                <w:szCs w:val="20"/>
              </w:rPr>
              <w:t>锌</w:t>
            </w:r>
          </w:p>
        </w:tc>
        <w:tc>
          <w:tcPr>
            <w:tcW w:w="2542" w:type="dxa"/>
          </w:tcPr>
          <w:p w14:paraId="239BE5D6">
            <w:pPr>
              <w:spacing w:before="34" w:line="238" w:lineRule="auto"/>
              <w:ind w:left="150" w:right="142" w:firstLine="56"/>
              <w:rPr>
                <w:rFonts w:ascii="宋体" w:hAnsi="宋体" w:eastAsia="宋体" w:cs="宋体"/>
                <w:sz w:val="20"/>
                <w:szCs w:val="20"/>
              </w:rPr>
            </w:pPr>
            <w:r>
              <w:rPr>
                <w:rFonts w:ascii="宋体" w:hAnsi="宋体" w:eastAsia="宋体" w:cs="宋体"/>
                <w:spacing w:val="4"/>
                <w:sz w:val="20"/>
                <w:szCs w:val="20"/>
              </w:rPr>
              <w:t>土壤质</w:t>
            </w:r>
            <w:r>
              <w:rPr>
                <w:rFonts w:ascii="宋体" w:hAnsi="宋体" w:eastAsia="宋体" w:cs="宋体"/>
                <w:spacing w:val="3"/>
                <w:sz w:val="20"/>
                <w:szCs w:val="20"/>
              </w:rPr>
              <w:t>量</w:t>
            </w:r>
            <w:r>
              <w:rPr>
                <w:rFonts w:ascii="宋体" w:hAnsi="宋体" w:eastAsia="宋体" w:cs="宋体"/>
                <w:spacing w:val="2"/>
                <w:sz w:val="20"/>
                <w:szCs w:val="20"/>
              </w:rPr>
              <w:t xml:space="preserve"> 铜、锌的测定</w:t>
            </w:r>
            <w:r>
              <w:rPr>
                <w:rFonts w:ascii="宋体" w:hAnsi="宋体" w:eastAsia="宋体" w:cs="宋体"/>
                <w:sz w:val="20"/>
                <w:szCs w:val="20"/>
              </w:rPr>
              <w:t xml:space="preserve"> </w:t>
            </w:r>
            <w:r>
              <w:rPr>
                <w:rFonts w:ascii="宋体" w:hAnsi="宋体" w:eastAsia="宋体" w:cs="宋体"/>
                <w:spacing w:val="4"/>
                <w:sz w:val="20"/>
                <w:szCs w:val="20"/>
              </w:rPr>
              <w:t>火焰原子吸收分光光度</w:t>
            </w:r>
            <w:r>
              <w:rPr>
                <w:rFonts w:ascii="宋体" w:hAnsi="宋体" w:eastAsia="宋体" w:cs="宋体"/>
                <w:spacing w:val="3"/>
                <w:sz w:val="20"/>
                <w:szCs w:val="20"/>
              </w:rPr>
              <w:t>法</w:t>
            </w:r>
          </w:p>
        </w:tc>
        <w:tc>
          <w:tcPr>
            <w:tcW w:w="1880" w:type="dxa"/>
          </w:tcPr>
          <w:p w14:paraId="2ECD159D">
            <w:pPr>
              <w:spacing w:before="11" w:line="281" w:lineRule="exact"/>
              <w:ind w:left="21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GB</w:t>
            </w:r>
            <w:r>
              <w:rPr>
                <w:rFonts w:ascii="Times New Roman" w:hAnsi="Times New Roman" w:eastAsia="Times New Roman" w:cs="Times New Roman"/>
                <w:spacing w:val="6"/>
                <w:position w:val="2"/>
                <w:sz w:val="20"/>
                <w:szCs w:val="20"/>
              </w:rPr>
              <w:t>/</w:t>
            </w:r>
            <w:r>
              <w:rPr>
                <w:rFonts w:ascii="Times New Roman" w:hAnsi="Times New Roman" w:eastAsia="Times New Roman" w:cs="Times New Roman"/>
                <w:position w:val="2"/>
                <w:sz w:val="20"/>
                <w:szCs w:val="20"/>
              </w:rPr>
              <w:t>T</w:t>
            </w:r>
            <w:r>
              <w:rPr>
                <w:rFonts w:ascii="Times New Roman" w:hAnsi="Times New Roman" w:eastAsia="Times New Roman" w:cs="Times New Roman"/>
                <w:spacing w:val="6"/>
                <w:position w:val="2"/>
                <w:sz w:val="20"/>
                <w:szCs w:val="20"/>
              </w:rPr>
              <w:t>1</w:t>
            </w:r>
            <w:r>
              <w:rPr>
                <w:rFonts w:ascii="Times New Roman" w:hAnsi="Times New Roman" w:eastAsia="Times New Roman" w:cs="Times New Roman"/>
                <w:spacing w:val="4"/>
                <w:position w:val="2"/>
                <w:sz w:val="20"/>
                <w:szCs w:val="20"/>
              </w:rPr>
              <w:t>7</w:t>
            </w:r>
            <w:r>
              <w:rPr>
                <w:rFonts w:ascii="Times New Roman" w:hAnsi="Times New Roman" w:eastAsia="Times New Roman" w:cs="Times New Roman"/>
                <w:spacing w:val="3"/>
                <w:position w:val="2"/>
                <w:sz w:val="20"/>
                <w:szCs w:val="20"/>
              </w:rPr>
              <w:t>138-1997</w:t>
            </w:r>
          </w:p>
        </w:tc>
        <w:tc>
          <w:tcPr>
            <w:tcW w:w="1902" w:type="dxa"/>
          </w:tcPr>
          <w:p w14:paraId="0CC2FDD5">
            <w:pPr>
              <w:spacing w:before="34" w:line="238" w:lineRule="auto"/>
              <w:ind w:left="403" w:right="146" w:hanging="234"/>
              <w:rPr>
                <w:rFonts w:ascii="宋体" w:hAnsi="宋体" w:eastAsia="宋体" w:cs="宋体"/>
                <w:sz w:val="20"/>
                <w:szCs w:val="20"/>
              </w:rPr>
            </w:pPr>
            <w:r>
              <w:rPr>
                <w:rFonts w:ascii="宋体" w:hAnsi="宋体" w:eastAsia="宋体" w:cs="宋体"/>
                <w:spacing w:val="-4"/>
                <w:sz w:val="20"/>
                <w:szCs w:val="20"/>
              </w:rPr>
              <w:t>原子</w:t>
            </w:r>
            <w:r>
              <w:rPr>
                <w:rFonts w:ascii="宋体" w:hAnsi="宋体" w:eastAsia="宋体" w:cs="宋体"/>
                <w:spacing w:val="-2"/>
                <w:sz w:val="20"/>
                <w:szCs w:val="20"/>
              </w:rPr>
              <w:t>吸收分光光度</w:t>
            </w:r>
            <w:r>
              <w:rPr>
                <w:rFonts w:ascii="宋体" w:hAnsi="宋体" w:eastAsia="宋体" w:cs="宋体"/>
                <w:sz w:val="20"/>
                <w:szCs w:val="20"/>
              </w:rPr>
              <w:t xml:space="preserve"> </w:t>
            </w:r>
            <w:r>
              <w:rPr>
                <w:rFonts w:ascii="宋体" w:hAnsi="宋体" w:eastAsia="宋体" w:cs="宋体"/>
                <w:spacing w:val="-4"/>
                <w:sz w:val="20"/>
                <w:szCs w:val="20"/>
              </w:rPr>
              <w:t>计</w:t>
            </w:r>
            <w:r>
              <w:rPr>
                <w:rFonts w:ascii="宋体" w:hAnsi="宋体" w:eastAsia="宋体" w:cs="宋体"/>
                <w:spacing w:val="-2"/>
                <w:sz w:val="20"/>
                <w:szCs w:val="20"/>
              </w:rPr>
              <w:t xml:space="preserve"> (</w:t>
            </w:r>
            <w:r>
              <w:rPr>
                <w:rFonts w:ascii="Times New Roman" w:hAnsi="Times New Roman" w:eastAsia="Times New Roman" w:cs="Times New Roman"/>
                <w:spacing w:val="-2"/>
                <w:sz w:val="20"/>
                <w:szCs w:val="20"/>
              </w:rPr>
              <w:t>SY-28</w:t>
            </w:r>
            <w:r>
              <w:rPr>
                <w:rFonts w:ascii="宋体" w:hAnsi="宋体" w:eastAsia="宋体" w:cs="宋体"/>
                <w:spacing w:val="-2"/>
                <w:sz w:val="20"/>
                <w:szCs w:val="20"/>
              </w:rPr>
              <w:t>)</w:t>
            </w:r>
          </w:p>
        </w:tc>
        <w:tc>
          <w:tcPr>
            <w:tcW w:w="1429" w:type="dxa"/>
            <w:tcBorders>
              <w:right w:val="nil"/>
            </w:tcBorders>
          </w:tcPr>
          <w:p w14:paraId="2F908708">
            <w:pPr>
              <w:spacing w:before="131" w:line="281" w:lineRule="exact"/>
              <w:ind w:left="318"/>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0</w:t>
            </w:r>
            <w:r>
              <w:rPr>
                <w:rFonts w:ascii="Times New Roman" w:hAnsi="Times New Roman" w:eastAsia="Times New Roman" w:cs="Times New Roman"/>
                <w:spacing w:val="7"/>
                <w:position w:val="2"/>
                <w:sz w:val="20"/>
                <w:szCs w:val="20"/>
              </w:rPr>
              <w:t>.5</w:t>
            </w:r>
            <w:r>
              <w:rPr>
                <w:rFonts w:ascii="Times New Roman" w:hAnsi="Times New Roman" w:eastAsia="Times New Roman" w:cs="Times New Roman"/>
                <w:position w:val="2"/>
                <w:sz w:val="20"/>
                <w:szCs w:val="20"/>
              </w:rPr>
              <w:t>mg</w:t>
            </w:r>
            <w:r>
              <w:rPr>
                <w:rFonts w:ascii="Times New Roman" w:hAnsi="Times New Roman" w:eastAsia="Times New Roman" w:cs="Times New Roman"/>
                <w:spacing w:val="7"/>
                <w:position w:val="2"/>
                <w:sz w:val="20"/>
                <w:szCs w:val="20"/>
              </w:rPr>
              <w:t>/</w:t>
            </w:r>
            <w:r>
              <w:rPr>
                <w:rFonts w:ascii="Times New Roman" w:hAnsi="Times New Roman" w:eastAsia="Times New Roman" w:cs="Times New Roman"/>
                <w:position w:val="2"/>
                <w:sz w:val="20"/>
                <w:szCs w:val="20"/>
              </w:rPr>
              <w:t>kg</w:t>
            </w:r>
          </w:p>
        </w:tc>
      </w:tr>
      <w:tr w14:paraId="2B91E9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1535" w:type="dxa"/>
            <w:tcBorders>
              <w:left w:val="nil"/>
            </w:tcBorders>
          </w:tcPr>
          <w:p w14:paraId="48FA5A07">
            <w:pPr>
              <w:spacing w:line="245" w:lineRule="auto"/>
            </w:pPr>
          </w:p>
          <w:p w14:paraId="475C88A6">
            <w:pPr>
              <w:spacing w:before="65" w:line="228" w:lineRule="auto"/>
              <w:ind w:left="161"/>
              <w:rPr>
                <w:rFonts w:ascii="宋体" w:hAnsi="宋体" w:eastAsia="宋体" w:cs="宋体"/>
                <w:sz w:val="20"/>
                <w:szCs w:val="20"/>
              </w:rPr>
            </w:pPr>
            <w:r>
              <w:rPr>
                <w:rFonts w:ascii="宋体" w:hAnsi="宋体" w:eastAsia="宋体" w:cs="宋体"/>
                <w:spacing w:val="9"/>
                <w:sz w:val="20"/>
                <w:szCs w:val="20"/>
              </w:rPr>
              <w:t>阳</w:t>
            </w:r>
            <w:r>
              <w:rPr>
                <w:rFonts w:ascii="宋体" w:hAnsi="宋体" w:eastAsia="宋体" w:cs="宋体"/>
                <w:spacing w:val="5"/>
                <w:sz w:val="20"/>
                <w:szCs w:val="20"/>
              </w:rPr>
              <w:t>离子交换量</w:t>
            </w:r>
          </w:p>
        </w:tc>
        <w:tc>
          <w:tcPr>
            <w:tcW w:w="2542" w:type="dxa"/>
          </w:tcPr>
          <w:p w14:paraId="43F3146F">
            <w:pPr>
              <w:spacing w:before="175" w:line="265" w:lineRule="auto"/>
              <w:ind w:left="963" w:right="108" w:hanging="829"/>
              <w:rPr>
                <w:rFonts w:ascii="宋体" w:hAnsi="宋体" w:eastAsia="宋体" w:cs="宋体"/>
                <w:sz w:val="20"/>
                <w:szCs w:val="20"/>
              </w:rPr>
            </w:pPr>
            <w:r>
              <w:rPr>
                <w:rFonts w:ascii="宋体" w:hAnsi="宋体" w:eastAsia="宋体" w:cs="宋体"/>
                <w:spacing w:val="4"/>
                <w:sz w:val="20"/>
                <w:szCs w:val="20"/>
              </w:rPr>
              <w:t>三</w:t>
            </w:r>
            <w:r>
              <w:rPr>
                <w:rFonts w:ascii="宋体" w:hAnsi="宋体" w:eastAsia="宋体" w:cs="宋体"/>
                <w:spacing w:val="3"/>
                <w:sz w:val="20"/>
                <w:szCs w:val="20"/>
              </w:rPr>
              <w:t>氯</w:t>
            </w:r>
            <w:r>
              <w:rPr>
                <w:rFonts w:ascii="宋体" w:hAnsi="宋体" w:eastAsia="宋体" w:cs="宋体"/>
                <w:spacing w:val="2"/>
                <w:sz w:val="20"/>
                <w:szCs w:val="20"/>
              </w:rPr>
              <w:t>化六氨合钴浸提</w:t>
            </w:r>
            <w:r>
              <w:rPr>
                <w:rFonts w:ascii="Times New Roman" w:hAnsi="Times New Roman" w:eastAsia="Times New Roman" w:cs="Times New Roman"/>
                <w:spacing w:val="2"/>
                <w:sz w:val="20"/>
                <w:szCs w:val="20"/>
              </w:rPr>
              <w:t>-</w:t>
            </w:r>
            <w:r>
              <w:rPr>
                <w:rFonts w:ascii="宋体" w:hAnsi="宋体" w:eastAsia="宋体" w:cs="宋体"/>
                <w:spacing w:val="2"/>
                <w:sz w:val="20"/>
                <w:szCs w:val="20"/>
              </w:rPr>
              <w:t>分光</w:t>
            </w:r>
            <w:r>
              <w:rPr>
                <w:rFonts w:ascii="宋体" w:hAnsi="宋体" w:eastAsia="宋体" w:cs="宋体"/>
                <w:sz w:val="20"/>
                <w:szCs w:val="20"/>
              </w:rPr>
              <w:t xml:space="preserve"> </w:t>
            </w:r>
            <w:r>
              <w:rPr>
                <w:rFonts w:ascii="宋体" w:hAnsi="宋体" w:eastAsia="宋体" w:cs="宋体"/>
                <w:spacing w:val="7"/>
                <w:sz w:val="20"/>
                <w:szCs w:val="20"/>
              </w:rPr>
              <w:t>光</w:t>
            </w:r>
            <w:r>
              <w:rPr>
                <w:rFonts w:ascii="宋体" w:hAnsi="宋体" w:eastAsia="宋体" w:cs="宋体"/>
                <w:spacing w:val="6"/>
                <w:sz w:val="20"/>
                <w:szCs w:val="20"/>
              </w:rPr>
              <w:t>度法</w:t>
            </w:r>
          </w:p>
        </w:tc>
        <w:tc>
          <w:tcPr>
            <w:tcW w:w="1880" w:type="dxa"/>
          </w:tcPr>
          <w:p w14:paraId="5F63AEC7">
            <w:pPr>
              <w:spacing w:line="288" w:lineRule="auto"/>
            </w:pPr>
          </w:p>
          <w:p w14:paraId="0E34FAF0">
            <w:pPr>
              <w:spacing w:before="58" w:line="195" w:lineRule="auto"/>
              <w:ind w:left="42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10"/>
                <w:sz w:val="20"/>
                <w:szCs w:val="20"/>
              </w:rPr>
              <w:t>8</w:t>
            </w:r>
            <w:r>
              <w:rPr>
                <w:rFonts w:ascii="Times New Roman" w:hAnsi="Times New Roman" w:eastAsia="Times New Roman" w:cs="Times New Roman"/>
                <w:spacing w:val="5"/>
                <w:sz w:val="20"/>
                <w:szCs w:val="20"/>
              </w:rPr>
              <w:t>89-2017</w:t>
            </w:r>
          </w:p>
        </w:tc>
        <w:tc>
          <w:tcPr>
            <w:tcW w:w="1902" w:type="dxa"/>
          </w:tcPr>
          <w:p w14:paraId="218B7938">
            <w:pPr>
              <w:spacing w:before="106" w:line="252" w:lineRule="auto"/>
              <w:ind w:left="171" w:right="181" w:firstLine="28"/>
              <w:rPr>
                <w:rFonts w:ascii="宋体" w:hAnsi="宋体" w:eastAsia="宋体" w:cs="宋体"/>
                <w:sz w:val="20"/>
                <w:szCs w:val="20"/>
              </w:rPr>
            </w:pPr>
            <w:r>
              <w:rPr>
                <w:rFonts w:ascii="Times New Roman" w:hAnsi="Times New Roman" w:eastAsia="Times New Roman" w:cs="Times New Roman"/>
                <w:sz w:val="20"/>
                <w:szCs w:val="20"/>
              </w:rPr>
              <w:t>VIS</w:t>
            </w:r>
            <w:r>
              <w:rPr>
                <w:rFonts w:ascii="Times New Roman" w:hAnsi="Times New Roman" w:eastAsia="Times New Roman" w:cs="Times New Roman"/>
                <w:spacing w:val="8"/>
                <w:sz w:val="20"/>
                <w:szCs w:val="20"/>
              </w:rPr>
              <w:t>-</w:t>
            </w:r>
            <w:r>
              <w:rPr>
                <w:rFonts w:ascii="Times New Roman" w:hAnsi="Times New Roman" w:eastAsia="Times New Roman" w:cs="Times New Roman"/>
                <w:spacing w:val="7"/>
                <w:sz w:val="20"/>
                <w:szCs w:val="20"/>
              </w:rPr>
              <w:t>7220</w:t>
            </w:r>
            <w:r>
              <w:rPr>
                <w:rFonts w:ascii="Times New Roman" w:hAnsi="Times New Roman" w:eastAsia="Times New Roman" w:cs="Times New Roman"/>
                <w:sz w:val="20"/>
                <w:szCs w:val="20"/>
              </w:rPr>
              <w:t>N</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分光</w:t>
            </w:r>
            <w:r>
              <w:rPr>
                <w:rFonts w:ascii="宋体" w:hAnsi="宋体" w:eastAsia="宋体" w:cs="宋体"/>
                <w:sz w:val="20"/>
                <w:szCs w:val="20"/>
              </w:rPr>
              <w:t xml:space="preserve"> </w:t>
            </w:r>
            <w:r>
              <w:rPr>
                <w:rFonts w:ascii="宋体" w:hAnsi="宋体" w:eastAsia="宋体" w:cs="宋体"/>
                <w:spacing w:val="4"/>
                <w:sz w:val="20"/>
                <w:szCs w:val="20"/>
              </w:rPr>
              <w:t>光</w:t>
            </w:r>
            <w:r>
              <w:rPr>
                <w:rFonts w:ascii="宋体" w:hAnsi="宋体" w:eastAsia="宋体" w:cs="宋体"/>
                <w:spacing w:val="3"/>
                <w:sz w:val="20"/>
                <w:szCs w:val="20"/>
              </w:rPr>
              <w:t>度</w:t>
            </w:r>
            <w:r>
              <w:rPr>
                <w:rFonts w:ascii="宋体" w:hAnsi="宋体" w:eastAsia="宋体" w:cs="宋体"/>
                <w:spacing w:val="2"/>
                <w:sz w:val="20"/>
                <w:szCs w:val="20"/>
              </w:rPr>
              <w:t>计 (</w:t>
            </w:r>
            <w:r>
              <w:rPr>
                <w:rFonts w:ascii="Times New Roman" w:hAnsi="Times New Roman" w:eastAsia="Times New Roman" w:cs="Times New Roman"/>
                <w:sz w:val="20"/>
                <w:szCs w:val="20"/>
              </w:rPr>
              <w:t>SY</w:t>
            </w:r>
            <w:r>
              <w:rPr>
                <w:rFonts w:ascii="Times New Roman" w:hAnsi="Times New Roman" w:eastAsia="Times New Roman" w:cs="Times New Roman"/>
                <w:spacing w:val="2"/>
                <w:sz w:val="20"/>
                <w:szCs w:val="20"/>
              </w:rPr>
              <w:t>-46</w:t>
            </w:r>
            <w:r>
              <w:rPr>
                <w:rFonts w:ascii="宋体" w:hAnsi="宋体" w:eastAsia="宋体" w:cs="宋体"/>
                <w:spacing w:val="2"/>
                <w:sz w:val="20"/>
                <w:szCs w:val="20"/>
              </w:rPr>
              <w:t>)</w:t>
            </w:r>
          </w:p>
        </w:tc>
        <w:tc>
          <w:tcPr>
            <w:tcW w:w="1429" w:type="dxa"/>
            <w:tcBorders>
              <w:right w:val="nil"/>
            </w:tcBorders>
          </w:tcPr>
          <w:p w14:paraId="7EB61D60">
            <w:pPr>
              <w:spacing w:before="276" w:line="279" w:lineRule="exact"/>
              <w:ind w:left="210"/>
              <w:rPr>
                <w:rFonts w:ascii="Calibri" w:hAnsi="Calibri" w:eastAsia="Calibri" w:cs="Calibri"/>
                <w:sz w:val="20"/>
                <w:szCs w:val="20"/>
              </w:rPr>
            </w:pPr>
            <w:r>
              <w:rPr>
                <w:rFonts w:ascii="Times New Roman" w:hAnsi="Times New Roman" w:eastAsia="Times New Roman" w:cs="Times New Roman"/>
                <w:spacing w:val="9"/>
                <w:position w:val="3"/>
                <w:sz w:val="20"/>
                <w:szCs w:val="20"/>
              </w:rPr>
              <w:t>0</w:t>
            </w:r>
            <w:r>
              <w:rPr>
                <w:rFonts w:ascii="Times New Roman" w:hAnsi="Times New Roman" w:eastAsia="Times New Roman" w:cs="Times New Roman"/>
                <w:spacing w:val="8"/>
                <w:position w:val="3"/>
                <w:sz w:val="20"/>
                <w:szCs w:val="20"/>
              </w:rPr>
              <w:t>.8</w:t>
            </w:r>
            <w:r>
              <w:rPr>
                <w:rFonts w:ascii="Calibri" w:hAnsi="Calibri" w:eastAsia="Calibri" w:cs="Calibri"/>
                <w:position w:val="3"/>
                <w:sz w:val="20"/>
                <w:szCs w:val="20"/>
              </w:rPr>
              <w:t>cmol</w:t>
            </w:r>
            <w:r>
              <w:rPr>
                <w:rFonts w:ascii="Calibri" w:hAnsi="Calibri" w:eastAsia="Calibri" w:cs="Calibri"/>
                <w:spacing w:val="8"/>
                <w:position w:val="9"/>
                <w:sz w:val="13"/>
                <w:szCs w:val="13"/>
              </w:rPr>
              <w:t>+</w:t>
            </w:r>
            <w:r>
              <w:rPr>
                <w:rFonts w:ascii="Calibri" w:hAnsi="Calibri" w:eastAsia="Calibri" w:cs="Calibri"/>
                <w:spacing w:val="8"/>
                <w:position w:val="3"/>
                <w:sz w:val="20"/>
                <w:szCs w:val="20"/>
              </w:rPr>
              <w:t>/</w:t>
            </w:r>
            <w:r>
              <w:rPr>
                <w:rFonts w:ascii="Calibri" w:hAnsi="Calibri" w:eastAsia="Calibri" w:cs="Calibri"/>
                <w:position w:val="3"/>
                <w:sz w:val="20"/>
                <w:szCs w:val="20"/>
              </w:rPr>
              <w:t>kg</w:t>
            </w:r>
          </w:p>
        </w:tc>
      </w:tr>
      <w:tr w14:paraId="0CC293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535" w:type="dxa"/>
            <w:tcBorders>
              <w:left w:val="nil"/>
            </w:tcBorders>
          </w:tcPr>
          <w:p w14:paraId="17B311AC">
            <w:pPr>
              <w:spacing w:before="244" w:line="228" w:lineRule="auto"/>
              <w:ind w:left="568"/>
              <w:rPr>
                <w:rFonts w:ascii="宋体" w:hAnsi="宋体" w:eastAsia="宋体" w:cs="宋体"/>
                <w:sz w:val="20"/>
                <w:szCs w:val="20"/>
              </w:rPr>
            </w:pPr>
            <w:r>
              <w:rPr>
                <w:rFonts w:ascii="宋体" w:hAnsi="宋体" w:eastAsia="宋体" w:cs="宋体"/>
                <w:spacing w:val="4"/>
                <w:sz w:val="20"/>
                <w:szCs w:val="20"/>
              </w:rPr>
              <w:t>容</w:t>
            </w:r>
            <w:r>
              <w:rPr>
                <w:rFonts w:ascii="宋体" w:hAnsi="宋体" w:eastAsia="宋体" w:cs="宋体"/>
                <w:spacing w:val="3"/>
                <w:sz w:val="20"/>
                <w:szCs w:val="20"/>
              </w:rPr>
              <w:t>重</w:t>
            </w:r>
          </w:p>
        </w:tc>
        <w:tc>
          <w:tcPr>
            <w:tcW w:w="2542" w:type="dxa"/>
          </w:tcPr>
          <w:p w14:paraId="4BB9A862">
            <w:pPr>
              <w:spacing w:before="244" w:line="233" w:lineRule="auto"/>
              <w:ind w:left="970"/>
              <w:rPr>
                <w:rFonts w:ascii="宋体" w:hAnsi="宋体" w:eastAsia="宋体" w:cs="宋体"/>
                <w:sz w:val="20"/>
                <w:szCs w:val="20"/>
              </w:rPr>
            </w:pPr>
            <w:r>
              <w:rPr>
                <w:rFonts w:ascii="宋体" w:hAnsi="宋体" w:eastAsia="宋体" w:cs="宋体"/>
                <w:spacing w:val="4"/>
                <w:sz w:val="20"/>
                <w:szCs w:val="20"/>
              </w:rPr>
              <w:t>重</w:t>
            </w:r>
            <w:r>
              <w:rPr>
                <w:rFonts w:ascii="宋体" w:hAnsi="宋体" w:eastAsia="宋体" w:cs="宋体"/>
                <w:spacing w:val="2"/>
                <w:sz w:val="20"/>
                <w:szCs w:val="20"/>
              </w:rPr>
              <w:t>量法</w:t>
            </w:r>
          </w:p>
        </w:tc>
        <w:tc>
          <w:tcPr>
            <w:tcW w:w="1880" w:type="dxa"/>
          </w:tcPr>
          <w:p w14:paraId="2C7D9A95">
            <w:pPr>
              <w:spacing w:before="206" w:line="281" w:lineRule="exact"/>
              <w:ind w:left="161"/>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NY</w:t>
            </w:r>
            <w:r>
              <w:rPr>
                <w:rFonts w:ascii="Times New Roman" w:hAnsi="Times New Roman" w:eastAsia="Times New Roman" w:cs="Times New Roman"/>
                <w:spacing w:val="10"/>
                <w:position w:val="2"/>
                <w:sz w:val="20"/>
                <w:szCs w:val="20"/>
              </w:rPr>
              <w:t>/</w:t>
            </w:r>
            <w:r>
              <w:rPr>
                <w:rFonts w:ascii="Times New Roman" w:hAnsi="Times New Roman" w:eastAsia="Times New Roman" w:cs="Times New Roman"/>
                <w:position w:val="2"/>
                <w:sz w:val="20"/>
                <w:szCs w:val="20"/>
              </w:rPr>
              <w:t>T</w:t>
            </w:r>
            <w:r>
              <w:rPr>
                <w:rFonts w:ascii="Times New Roman" w:hAnsi="Times New Roman" w:eastAsia="Times New Roman" w:cs="Times New Roman"/>
                <w:spacing w:val="8"/>
                <w:position w:val="2"/>
                <w:sz w:val="20"/>
                <w:szCs w:val="20"/>
              </w:rPr>
              <w:t>1</w:t>
            </w:r>
            <w:r>
              <w:rPr>
                <w:rFonts w:ascii="Times New Roman" w:hAnsi="Times New Roman" w:eastAsia="Times New Roman" w:cs="Times New Roman"/>
                <w:spacing w:val="5"/>
                <w:position w:val="2"/>
                <w:sz w:val="20"/>
                <w:szCs w:val="20"/>
              </w:rPr>
              <w:t>121.4-2006</w:t>
            </w:r>
          </w:p>
        </w:tc>
        <w:tc>
          <w:tcPr>
            <w:tcW w:w="1902" w:type="dxa"/>
          </w:tcPr>
          <w:p w14:paraId="69A01DF1">
            <w:pPr>
              <w:spacing w:before="210" w:line="224" w:lineRule="auto"/>
              <w:ind w:left="236" w:right="120" w:hanging="108"/>
              <w:rPr>
                <w:rFonts w:ascii="宋体" w:hAnsi="宋体" w:eastAsia="宋体" w:cs="宋体"/>
                <w:sz w:val="20"/>
                <w:szCs w:val="20"/>
              </w:rPr>
            </w:pPr>
            <w:r>
              <w:rPr>
                <w:rFonts w:ascii="Times New Roman" w:hAnsi="Times New Roman" w:eastAsia="Times New Roman" w:cs="Times New Roman"/>
                <w:sz w:val="20"/>
                <w:szCs w:val="20"/>
              </w:rPr>
              <w:t>HZK</w:t>
            </w:r>
            <w:r>
              <w:rPr>
                <w:rFonts w:ascii="Times New Roman" w:hAnsi="Times New Roman" w:eastAsia="Times New Roman" w:cs="Times New Roman"/>
                <w:spacing w:val="2"/>
                <w:sz w:val="20"/>
                <w:szCs w:val="20"/>
              </w:rPr>
              <w:t>-</w:t>
            </w:r>
            <w:r>
              <w:rPr>
                <w:rFonts w:ascii="Times New Roman" w:hAnsi="Times New Roman" w:eastAsia="Times New Roman" w:cs="Times New Roman"/>
                <w:sz w:val="20"/>
                <w:szCs w:val="20"/>
              </w:rPr>
              <w:t>FA</w:t>
            </w:r>
            <w:r>
              <w:rPr>
                <w:rFonts w:ascii="Times New Roman" w:hAnsi="Times New Roman" w:eastAsia="Times New Roman" w:cs="Times New Roman"/>
                <w:spacing w:val="2"/>
                <w:sz w:val="20"/>
                <w:szCs w:val="20"/>
              </w:rPr>
              <w:t>2105</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rPr>
              <w:t>型电</w:t>
            </w:r>
            <w:r>
              <w:rPr>
                <w:rFonts w:ascii="宋体" w:hAnsi="宋体" w:eastAsia="宋体" w:cs="宋体"/>
                <w:sz w:val="20"/>
                <w:szCs w:val="20"/>
              </w:rPr>
              <w:t xml:space="preserve"> </w:t>
            </w:r>
            <w:r>
              <w:rPr>
                <w:rFonts w:ascii="宋体" w:hAnsi="宋体" w:eastAsia="宋体" w:cs="宋体"/>
                <w:spacing w:val="-1"/>
                <w:sz w:val="20"/>
                <w:szCs w:val="20"/>
              </w:rPr>
              <w:t>子天</w:t>
            </w:r>
            <w:r>
              <w:rPr>
                <w:rFonts w:ascii="宋体" w:hAnsi="宋体" w:eastAsia="宋体" w:cs="宋体"/>
                <w:sz w:val="20"/>
                <w:szCs w:val="20"/>
              </w:rPr>
              <w:t>平 (</w:t>
            </w:r>
            <w:r>
              <w:rPr>
                <w:rFonts w:ascii="Times New Roman" w:hAnsi="Times New Roman" w:eastAsia="Times New Roman" w:cs="Times New Roman"/>
                <w:sz w:val="20"/>
                <w:szCs w:val="20"/>
              </w:rPr>
              <w:t>SY-4</w:t>
            </w:r>
            <w:r>
              <w:rPr>
                <w:rFonts w:ascii="宋体" w:hAnsi="宋体" w:eastAsia="宋体" w:cs="宋体"/>
                <w:sz w:val="20"/>
                <w:szCs w:val="20"/>
              </w:rPr>
              <w:t>)</w:t>
            </w:r>
          </w:p>
        </w:tc>
        <w:tc>
          <w:tcPr>
            <w:tcW w:w="1429" w:type="dxa"/>
            <w:tcBorders>
              <w:right w:val="nil"/>
            </w:tcBorders>
          </w:tcPr>
          <w:p w14:paraId="3EA9A242">
            <w:pPr>
              <w:spacing w:before="206" w:line="281" w:lineRule="exact"/>
              <w:ind w:left="68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4E7E6C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1535" w:type="dxa"/>
            <w:tcBorders>
              <w:left w:val="nil"/>
            </w:tcBorders>
          </w:tcPr>
          <w:p w14:paraId="1FA325F9">
            <w:pPr>
              <w:spacing w:before="234" w:line="232" w:lineRule="auto"/>
              <w:ind w:left="250"/>
              <w:rPr>
                <w:rFonts w:ascii="宋体" w:hAnsi="宋体" w:eastAsia="宋体" w:cs="宋体"/>
                <w:sz w:val="20"/>
                <w:szCs w:val="20"/>
              </w:rPr>
            </w:pPr>
            <w:r>
              <w:rPr>
                <w:rFonts w:ascii="宋体" w:hAnsi="宋体" w:eastAsia="宋体" w:cs="宋体"/>
                <w:spacing w:val="8"/>
                <w:sz w:val="20"/>
                <w:szCs w:val="20"/>
              </w:rPr>
              <w:t>六六六总</w:t>
            </w:r>
            <w:r>
              <w:rPr>
                <w:rFonts w:ascii="宋体" w:hAnsi="宋体" w:eastAsia="宋体" w:cs="宋体"/>
                <w:spacing w:val="7"/>
                <w:sz w:val="20"/>
                <w:szCs w:val="20"/>
              </w:rPr>
              <w:t>量</w:t>
            </w:r>
          </w:p>
        </w:tc>
        <w:tc>
          <w:tcPr>
            <w:tcW w:w="2542" w:type="dxa"/>
          </w:tcPr>
          <w:p w14:paraId="50F47934">
            <w:pPr>
              <w:spacing w:before="97" w:line="267" w:lineRule="auto"/>
              <w:ind w:left="487" w:right="113" w:hanging="364"/>
              <w:rPr>
                <w:rFonts w:ascii="宋体" w:hAnsi="宋体" w:eastAsia="宋体" w:cs="宋体"/>
                <w:sz w:val="20"/>
                <w:szCs w:val="20"/>
              </w:rPr>
            </w:pPr>
            <w:r>
              <w:rPr>
                <w:rFonts w:ascii="宋体" w:hAnsi="宋体" w:eastAsia="宋体" w:cs="宋体"/>
                <w:spacing w:val="9"/>
                <w:sz w:val="20"/>
                <w:szCs w:val="20"/>
              </w:rPr>
              <w:t>土壤中六六六和滴滴涕的</w:t>
            </w:r>
            <w:r>
              <w:rPr>
                <w:rFonts w:ascii="宋体" w:hAnsi="宋体" w:eastAsia="宋体" w:cs="宋体"/>
                <w:sz w:val="20"/>
                <w:szCs w:val="20"/>
              </w:rPr>
              <w:t xml:space="preserve"> </w:t>
            </w:r>
            <w:r>
              <w:rPr>
                <w:rFonts w:ascii="宋体" w:hAnsi="宋体" w:eastAsia="宋体" w:cs="宋体"/>
                <w:spacing w:val="9"/>
                <w:sz w:val="20"/>
                <w:szCs w:val="20"/>
              </w:rPr>
              <w:t>测</w:t>
            </w:r>
            <w:r>
              <w:rPr>
                <w:rFonts w:ascii="宋体" w:hAnsi="宋体" w:eastAsia="宋体" w:cs="宋体"/>
                <w:spacing w:val="8"/>
                <w:sz w:val="20"/>
                <w:szCs w:val="20"/>
              </w:rPr>
              <w:t>定 气相色谱法</w:t>
            </w:r>
          </w:p>
        </w:tc>
        <w:tc>
          <w:tcPr>
            <w:tcW w:w="1880" w:type="dxa"/>
          </w:tcPr>
          <w:p w14:paraId="4DDA9F20">
            <w:pPr>
              <w:spacing w:before="198" w:line="281" w:lineRule="exact"/>
              <w:ind w:left="174"/>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GB</w:t>
            </w:r>
            <w:r>
              <w:rPr>
                <w:rFonts w:ascii="Times New Roman" w:hAnsi="Times New Roman" w:eastAsia="Times New Roman" w:cs="Times New Roman"/>
                <w:spacing w:val="7"/>
                <w:position w:val="2"/>
                <w:sz w:val="20"/>
                <w:szCs w:val="20"/>
              </w:rPr>
              <w:t>/</w:t>
            </w:r>
            <w:r>
              <w:rPr>
                <w:rFonts w:ascii="Times New Roman" w:hAnsi="Times New Roman" w:eastAsia="Times New Roman" w:cs="Times New Roman"/>
                <w:position w:val="2"/>
                <w:sz w:val="20"/>
                <w:szCs w:val="20"/>
              </w:rPr>
              <w:t>T</w:t>
            </w:r>
            <w:r>
              <w:rPr>
                <w:rFonts w:ascii="Times New Roman" w:hAnsi="Times New Roman" w:eastAsia="Times New Roman" w:cs="Times New Roman"/>
                <w:spacing w:val="5"/>
                <w:position w:val="2"/>
                <w:sz w:val="20"/>
                <w:szCs w:val="20"/>
              </w:rPr>
              <w:t xml:space="preserve"> 14550-2003</w:t>
            </w:r>
          </w:p>
        </w:tc>
        <w:tc>
          <w:tcPr>
            <w:tcW w:w="1902" w:type="dxa"/>
          </w:tcPr>
          <w:p w14:paraId="5717634B">
            <w:pPr>
              <w:spacing w:line="260" w:lineRule="auto"/>
            </w:pPr>
          </w:p>
          <w:p w14:paraId="374917D4">
            <w:pPr>
              <w:spacing w:before="65" w:line="228" w:lineRule="auto"/>
              <w:ind w:left="446"/>
              <w:rPr>
                <w:rFonts w:ascii="宋体" w:hAnsi="宋体" w:eastAsia="宋体" w:cs="宋体"/>
                <w:sz w:val="20"/>
                <w:szCs w:val="20"/>
              </w:rPr>
            </w:pPr>
            <w:r>
              <w:rPr>
                <w:rFonts w:ascii="宋体" w:hAnsi="宋体" w:eastAsia="宋体" w:cs="宋体"/>
                <w:spacing w:val="4"/>
                <w:sz w:val="20"/>
                <w:szCs w:val="20"/>
              </w:rPr>
              <w:t>气</w:t>
            </w:r>
            <w:r>
              <w:rPr>
                <w:rFonts w:ascii="宋体" w:hAnsi="宋体" w:eastAsia="宋体" w:cs="宋体"/>
                <w:spacing w:val="3"/>
                <w:sz w:val="20"/>
                <w:szCs w:val="20"/>
              </w:rPr>
              <w:t>相色谱仪</w:t>
            </w:r>
          </w:p>
        </w:tc>
        <w:tc>
          <w:tcPr>
            <w:tcW w:w="1429" w:type="dxa"/>
            <w:tcBorders>
              <w:right w:val="nil"/>
            </w:tcBorders>
          </w:tcPr>
          <w:p w14:paraId="0A23E2DB">
            <w:pPr>
              <w:spacing w:before="76" w:line="281" w:lineRule="exact"/>
              <w:ind w:left="117"/>
              <w:rPr>
                <w:rFonts w:ascii="Times New Roman" w:hAnsi="Times New Roman" w:eastAsia="Times New Roman" w:cs="Times New Roman"/>
                <w:sz w:val="20"/>
                <w:szCs w:val="20"/>
              </w:rPr>
            </w:pPr>
            <w:r>
              <w:rPr>
                <w:rFonts w:ascii="Times New Roman" w:hAnsi="Times New Roman" w:eastAsia="Times New Roman" w:cs="Times New Roman"/>
                <w:spacing w:val="10"/>
                <w:position w:val="2"/>
                <w:sz w:val="20"/>
                <w:szCs w:val="20"/>
              </w:rPr>
              <w:t>4</w:t>
            </w:r>
            <w:r>
              <w:rPr>
                <w:rFonts w:ascii="Times New Roman" w:hAnsi="Times New Roman" w:eastAsia="Times New Roman" w:cs="Times New Roman"/>
                <w:spacing w:val="6"/>
                <w:position w:val="2"/>
                <w:sz w:val="20"/>
                <w:szCs w:val="20"/>
              </w:rPr>
              <w:t>.</w:t>
            </w:r>
            <w:r>
              <w:rPr>
                <w:rFonts w:ascii="Times New Roman" w:hAnsi="Times New Roman" w:eastAsia="Times New Roman" w:cs="Times New Roman"/>
                <w:spacing w:val="5"/>
                <w:position w:val="2"/>
                <w:sz w:val="20"/>
                <w:szCs w:val="20"/>
              </w:rPr>
              <w:t>9×10-5</w:t>
            </w:r>
            <w:r>
              <w:rPr>
                <w:rFonts w:ascii="Times New Roman" w:hAnsi="Times New Roman" w:eastAsia="Times New Roman" w:cs="Times New Roman"/>
                <w:position w:val="2"/>
                <w:sz w:val="20"/>
                <w:szCs w:val="20"/>
              </w:rPr>
              <w:t>mg</w:t>
            </w:r>
            <w:r>
              <w:rPr>
                <w:rFonts w:ascii="Times New Roman" w:hAnsi="Times New Roman" w:eastAsia="Times New Roman" w:cs="Times New Roman"/>
                <w:spacing w:val="5"/>
                <w:position w:val="2"/>
                <w:sz w:val="20"/>
                <w:szCs w:val="20"/>
              </w:rPr>
              <w:t>/</w:t>
            </w:r>
            <w:r>
              <w:rPr>
                <w:rFonts w:ascii="Times New Roman" w:hAnsi="Times New Roman" w:eastAsia="Times New Roman" w:cs="Times New Roman"/>
                <w:position w:val="2"/>
                <w:sz w:val="20"/>
                <w:szCs w:val="20"/>
              </w:rPr>
              <w:t>k</w:t>
            </w:r>
          </w:p>
          <w:p w14:paraId="1DC29FF0">
            <w:pPr>
              <w:spacing w:before="80" w:line="143" w:lineRule="exact"/>
              <w:ind w:left="665"/>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g</w:t>
            </w:r>
          </w:p>
        </w:tc>
      </w:tr>
      <w:tr w14:paraId="611C26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1535" w:type="dxa"/>
            <w:tcBorders>
              <w:left w:val="nil"/>
            </w:tcBorders>
          </w:tcPr>
          <w:p w14:paraId="631106A0">
            <w:pPr>
              <w:spacing w:before="234" w:line="227" w:lineRule="auto"/>
              <w:ind w:left="146"/>
              <w:rPr>
                <w:rFonts w:ascii="宋体" w:hAnsi="宋体" w:eastAsia="宋体" w:cs="宋体"/>
                <w:sz w:val="20"/>
                <w:szCs w:val="20"/>
              </w:rPr>
            </w:pPr>
            <w:r>
              <w:rPr>
                <w:rFonts w:ascii="宋体" w:hAnsi="宋体" w:eastAsia="宋体" w:cs="宋体"/>
                <w:spacing w:val="8"/>
                <w:sz w:val="20"/>
                <w:szCs w:val="20"/>
              </w:rPr>
              <w:t>氧化还原电位</w:t>
            </w:r>
          </w:p>
        </w:tc>
        <w:tc>
          <w:tcPr>
            <w:tcW w:w="2542" w:type="dxa"/>
          </w:tcPr>
          <w:p w14:paraId="1F382136">
            <w:pPr>
              <w:spacing w:before="100" w:line="265" w:lineRule="auto"/>
              <w:ind w:left="808" w:right="168" w:hanging="635"/>
              <w:rPr>
                <w:rFonts w:ascii="宋体" w:hAnsi="宋体" w:eastAsia="宋体" w:cs="宋体"/>
                <w:sz w:val="20"/>
                <w:szCs w:val="20"/>
              </w:rPr>
            </w:pPr>
            <w:r>
              <w:rPr>
                <w:rFonts w:ascii="宋体" w:hAnsi="宋体" w:eastAsia="宋体" w:cs="宋体"/>
                <w:spacing w:val="14"/>
                <w:sz w:val="20"/>
                <w:szCs w:val="20"/>
              </w:rPr>
              <w:t>土</w:t>
            </w:r>
            <w:r>
              <w:rPr>
                <w:rFonts w:ascii="宋体" w:hAnsi="宋体" w:eastAsia="宋体" w:cs="宋体"/>
                <w:spacing w:val="8"/>
                <w:sz w:val="20"/>
                <w:szCs w:val="20"/>
              </w:rPr>
              <w:t>壤 氧化还原电位的测</w:t>
            </w:r>
            <w:r>
              <w:rPr>
                <w:rFonts w:ascii="宋体" w:hAnsi="宋体" w:eastAsia="宋体" w:cs="宋体"/>
                <w:sz w:val="20"/>
                <w:szCs w:val="20"/>
              </w:rPr>
              <w:t xml:space="preserve"> </w:t>
            </w:r>
            <w:r>
              <w:rPr>
                <w:rFonts w:ascii="宋体" w:hAnsi="宋体" w:eastAsia="宋体" w:cs="宋体"/>
                <w:spacing w:val="6"/>
                <w:sz w:val="20"/>
                <w:szCs w:val="20"/>
              </w:rPr>
              <w:t>定 电位法</w:t>
            </w:r>
          </w:p>
        </w:tc>
        <w:tc>
          <w:tcPr>
            <w:tcW w:w="1880" w:type="dxa"/>
          </w:tcPr>
          <w:p w14:paraId="475EDC79">
            <w:pPr>
              <w:spacing w:before="272" w:line="195" w:lineRule="auto"/>
              <w:ind w:left="396"/>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5"/>
                <w:sz w:val="20"/>
                <w:szCs w:val="20"/>
              </w:rPr>
              <w:t>746-2015</w:t>
            </w:r>
          </w:p>
        </w:tc>
        <w:tc>
          <w:tcPr>
            <w:tcW w:w="1902" w:type="dxa"/>
          </w:tcPr>
          <w:p w14:paraId="1D3CEF37">
            <w:pPr>
              <w:spacing w:line="261" w:lineRule="auto"/>
            </w:pPr>
          </w:p>
          <w:p w14:paraId="45B1E1FA">
            <w:pPr>
              <w:spacing w:before="65" w:line="221" w:lineRule="auto"/>
              <w:ind w:left="693"/>
              <w:rPr>
                <w:rFonts w:ascii="宋体" w:hAnsi="宋体" w:eastAsia="宋体" w:cs="宋体"/>
                <w:sz w:val="20"/>
                <w:szCs w:val="20"/>
              </w:rPr>
            </w:pPr>
            <w:r>
              <w:rPr>
                <w:rFonts w:ascii="Times New Roman" w:hAnsi="Times New Roman" w:eastAsia="Times New Roman" w:cs="Times New Roman"/>
                <w:sz w:val="20"/>
                <w:szCs w:val="20"/>
              </w:rPr>
              <w:t>pH</w:t>
            </w:r>
            <w:r>
              <w:rPr>
                <w:rFonts w:ascii="Times New Roman" w:hAnsi="Times New Roman" w:eastAsia="Times New Roman" w:cs="Times New Roman"/>
                <w:spacing w:val="9"/>
                <w:sz w:val="20"/>
                <w:szCs w:val="20"/>
              </w:rPr>
              <w:t xml:space="preserve"> </w:t>
            </w:r>
            <w:r>
              <w:rPr>
                <w:rFonts w:ascii="宋体" w:hAnsi="宋体" w:eastAsia="宋体" w:cs="宋体"/>
                <w:spacing w:val="8"/>
                <w:sz w:val="20"/>
                <w:szCs w:val="20"/>
              </w:rPr>
              <w:t>计</w:t>
            </w:r>
          </w:p>
        </w:tc>
        <w:tc>
          <w:tcPr>
            <w:tcW w:w="1429" w:type="dxa"/>
            <w:tcBorders>
              <w:right w:val="nil"/>
            </w:tcBorders>
          </w:tcPr>
          <w:p w14:paraId="54371B38">
            <w:pPr>
              <w:spacing w:before="199" w:line="281" w:lineRule="exact"/>
              <w:ind w:left="68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bl>
    <w:p w14:paraId="1003E9C7">
      <w:pPr>
        <w:spacing w:before="37" w:line="226" w:lineRule="auto"/>
        <w:ind w:left="609"/>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7"/>
          <w:sz w:val="23"/>
          <w:szCs w:val="23"/>
        </w:rPr>
        <w:t>6</w:t>
      </w:r>
      <w:r>
        <w:rPr>
          <w:rFonts w:ascii="宋体" w:hAnsi="宋体" w:eastAsia="宋体" w:cs="宋体"/>
          <w:spacing w:val="17"/>
          <w:sz w:val="23"/>
          <w:szCs w:val="23"/>
        </w:rPr>
        <w:t>) 评价标准及方法</w:t>
      </w:r>
    </w:p>
    <w:p w14:paraId="012C3C9B">
      <w:pPr>
        <w:spacing w:before="184" w:line="375" w:lineRule="auto"/>
        <w:ind w:left="112" w:right="510" w:firstLine="484"/>
        <w:rPr>
          <w:rFonts w:ascii="宋体" w:hAnsi="宋体" w:eastAsia="宋体" w:cs="宋体"/>
          <w:sz w:val="23"/>
          <w:szCs w:val="23"/>
        </w:rPr>
      </w:pPr>
      <w:r>
        <w:rPr>
          <w:rFonts w:ascii="宋体" w:hAnsi="宋体" w:eastAsia="宋体" w:cs="宋体"/>
          <w:spacing w:val="7"/>
          <w:sz w:val="23"/>
          <w:szCs w:val="23"/>
        </w:rPr>
        <w:t>评价标准：土壤各监测因子执行《土壤环境质量标准 农用地土壤污染风险管</w:t>
      </w:r>
      <w:r>
        <w:rPr>
          <w:rFonts w:ascii="宋体" w:hAnsi="宋体" w:eastAsia="宋体" w:cs="宋体"/>
          <w:spacing w:val="4"/>
          <w:sz w:val="23"/>
          <w:szCs w:val="23"/>
        </w:rPr>
        <w:t>控</w:t>
      </w:r>
      <w:r>
        <w:rPr>
          <w:rFonts w:ascii="宋体" w:hAnsi="宋体" w:eastAsia="宋体" w:cs="宋体"/>
          <w:sz w:val="23"/>
          <w:szCs w:val="23"/>
        </w:rPr>
        <w:t xml:space="preserve"> </w:t>
      </w:r>
      <w:r>
        <w:rPr>
          <w:rFonts w:ascii="宋体" w:hAnsi="宋体" w:eastAsia="宋体" w:cs="宋体"/>
          <w:spacing w:val="4"/>
          <w:sz w:val="23"/>
          <w:szCs w:val="23"/>
        </w:rPr>
        <w:t>标准》  (试行)  (</w:t>
      </w:r>
      <w:r>
        <w:rPr>
          <w:rFonts w:ascii="Times New Roman" w:hAnsi="Times New Roman" w:eastAsia="Times New Roman" w:cs="Times New Roman"/>
          <w:sz w:val="23"/>
          <w:szCs w:val="23"/>
        </w:rPr>
        <w:t>GB</w:t>
      </w:r>
      <w:r>
        <w:rPr>
          <w:rFonts w:ascii="Times New Roman" w:hAnsi="Times New Roman" w:eastAsia="Times New Roman" w:cs="Times New Roman"/>
          <w:spacing w:val="2"/>
          <w:sz w:val="23"/>
          <w:szCs w:val="23"/>
        </w:rPr>
        <w:t>15618-2018</w:t>
      </w:r>
      <w:r>
        <w:rPr>
          <w:rFonts w:ascii="宋体" w:hAnsi="宋体" w:eastAsia="宋体" w:cs="宋体"/>
          <w:spacing w:val="2"/>
          <w:sz w:val="23"/>
          <w:szCs w:val="23"/>
        </w:rPr>
        <w:t xml:space="preserve">) 中表 </w:t>
      </w:r>
      <w:r>
        <w:rPr>
          <w:rFonts w:ascii="Times New Roman" w:hAnsi="Times New Roman" w:eastAsia="Times New Roman" w:cs="Times New Roman"/>
          <w:spacing w:val="2"/>
          <w:sz w:val="23"/>
          <w:szCs w:val="23"/>
        </w:rPr>
        <w:t xml:space="preserve">1 </w:t>
      </w:r>
      <w:r>
        <w:rPr>
          <w:rFonts w:ascii="宋体" w:hAnsi="宋体" w:eastAsia="宋体" w:cs="宋体"/>
          <w:spacing w:val="2"/>
          <w:sz w:val="23"/>
          <w:szCs w:val="23"/>
        </w:rPr>
        <w:t xml:space="preserve">和表 </w:t>
      </w:r>
      <w:r>
        <w:rPr>
          <w:rFonts w:ascii="Times New Roman" w:hAnsi="Times New Roman" w:eastAsia="Times New Roman" w:cs="Times New Roman"/>
          <w:spacing w:val="2"/>
          <w:sz w:val="23"/>
          <w:szCs w:val="23"/>
        </w:rPr>
        <w:t xml:space="preserve">2 </w:t>
      </w:r>
      <w:r>
        <w:rPr>
          <w:rFonts w:ascii="宋体" w:hAnsi="宋体" w:eastAsia="宋体" w:cs="宋体"/>
          <w:spacing w:val="2"/>
          <w:sz w:val="23"/>
          <w:szCs w:val="23"/>
        </w:rPr>
        <w:t xml:space="preserve">风险筛选值要求，见表 </w:t>
      </w:r>
      <w:r>
        <w:rPr>
          <w:rFonts w:ascii="Times New Roman" w:hAnsi="Times New Roman" w:eastAsia="Times New Roman" w:cs="Times New Roman"/>
          <w:spacing w:val="2"/>
          <w:sz w:val="23"/>
          <w:szCs w:val="23"/>
        </w:rPr>
        <w:t>4.2- 14~</w:t>
      </w:r>
      <w:r>
        <w:rPr>
          <w:rFonts w:ascii="宋体" w:hAnsi="宋体" w:eastAsia="宋体" w:cs="宋体"/>
          <w:spacing w:val="2"/>
          <w:sz w:val="23"/>
          <w:szCs w:val="23"/>
        </w:rPr>
        <w:t>表</w:t>
      </w:r>
      <w:r>
        <w:rPr>
          <w:rFonts w:ascii="宋体" w:hAnsi="宋体" w:eastAsia="宋体" w:cs="宋体"/>
          <w:sz w:val="23"/>
          <w:szCs w:val="23"/>
        </w:rPr>
        <w:t xml:space="preserve"> </w:t>
      </w:r>
      <w:r>
        <w:rPr>
          <w:rFonts w:ascii="Times New Roman" w:hAnsi="Times New Roman" w:eastAsia="Times New Roman" w:cs="Times New Roman"/>
          <w:spacing w:val="-8"/>
          <w:sz w:val="23"/>
          <w:szCs w:val="23"/>
        </w:rPr>
        <w:t>4</w:t>
      </w:r>
      <w:r>
        <w:rPr>
          <w:rFonts w:ascii="Times New Roman" w:hAnsi="Times New Roman" w:eastAsia="Times New Roman" w:cs="Times New Roman"/>
          <w:spacing w:val="-5"/>
          <w:sz w:val="23"/>
          <w:szCs w:val="23"/>
        </w:rPr>
        <w:t>.</w:t>
      </w:r>
      <w:r>
        <w:rPr>
          <w:rFonts w:ascii="Times New Roman" w:hAnsi="Times New Roman" w:eastAsia="Times New Roman" w:cs="Times New Roman"/>
          <w:spacing w:val="-4"/>
          <w:sz w:val="23"/>
          <w:szCs w:val="23"/>
        </w:rPr>
        <w:t>2- 15</w:t>
      </w:r>
      <w:r>
        <w:rPr>
          <w:rFonts w:ascii="宋体" w:hAnsi="宋体" w:eastAsia="宋体" w:cs="宋体"/>
          <w:spacing w:val="-4"/>
          <w:sz w:val="23"/>
          <w:szCs w:val="23"/>
        </w:rPr>
        <w:t>；</w:t>
      </w:r>
    </w:p>
    <w:p w14:paraId="191DBA76">
      <w:pPr>
        <w:spacing w:before="1" w:line="225" w:lineRule="auto"/>
        <w:ind w:left="597"/>
        <w:rPr>
          <w:rFonts w:ascii="宋体" w:hAnsi="宋体" w:eastAsia="宋体" w:cs="宋体"/>
          <w:sz w:val="23"/>
          <w:szCs w:val="23"/>
        </w:rPr>
      </w:pPr>
      <w:r>
        <w:rPr>
          <w:rFonts w:ascii="宋体" w:hAnsi="宋体" w:eastAsia="宋体" w:cs="宋体"/>
          <w:spacing w:val="9"/>
          <w:sz w:val="23"/>
          <w:szCs w:val="23"/>
        </w:rPr>
        <w:t>评价方法：采用与标准值对比法进行评价。</w:t>
      </w:r>
    </w:p>
    <w:p w14:paraId="24870488">
      <w:pPr>
        <w:spacing w:before="184" w:line="226" w:lineRule="auto"/>
        <w:ind w:left="609"/>
        <w:rPr>
          <w:rFonts w:ascii="宋体" w:hAnsi="宋体" w:eastAsia="宋体" w:cs="宋体"/>
          <w:sz w:val="23"/>
          <w:szCs w:val="23"/>
        </w:rPr>
      </w:pPr>
      <w:r>
        <w:rPr>
          <w:rFonts w:ascii="宋体" w:hAnsi="宋体" w:eastAsia="宋体" w:cs="宋体"/>
          <w:spacing w:val="25"/>
          <w:sz w:val="23"/>
          <w:szCs w:val="23"/>
        </w:rPr>
        <w:t>(</w:t>
      </w:r>
      <w:r>
        <w:rPr>
          <w:rFonts w:ascii="Times New Roman" w:hAnsi="Times New Roman" w:eastAsia="Times New Roman" w:cs="Times New Roman"/>
          <w:spacing w:val="14"/>
          <w:sz w:val="23"/>
          <w:szCs w:val="23"/>
        </w:rPr>
        <w:t>7</w:t>
      </w:r>
      <w:r>
        <w:rPr>
          <w:rFonts w:ascii="宋体" w:hAnsi="宋体" w:eastAsia="宋体" w:cs="宋体"/>
          <w:spacing w:val="14"/>
          <w:sz w:val="23"/>
          <w:szCs w:val="23"/>
        </w:rPr>
        <w:t>) 区域环境噪声监测结果及评价</w:t>
      </w:r>
    </w:p>
    <w:p w14:paraId="6AC59535">
      <w:pPr>
        <w:spacing w:before="186" w:line="227" w:lineRule="auto"/>
        <w:ind w:left="602"/>
        <w:rPr>
          <w:rFonts w:ascii="宋体" w:hAnsi="宋体" w:eastAsia="宋体" w:cs="宋体"/>
          <w:sz w:val="23"/>
          <w:szCs w:val="23"/>
        </w:rPr>
      </w:pPr>
      <w:r>
        <w:rPr>
          <w:rFonts w:ascii="宋体" w:hAnsi="宋体" w:eastAsia="宋体" w:cs="宋体"/>
          <w:spacing w:val="-1"/>
          <w:sz w:val="23"/>
          <w:szCs w:val="23"/>
        </w:rPr>
        <w:t xml:space="preserve">项目土壤监测结果见下表 </w:t>
      </w:r>
      <w:r>
        <w:rPr>
          <w:rFonts w:ascii="Times New Roman" w:hAnsi="Times New Roman" w:eastAsia="Times New Roman" w:cs="Times New Roman"/>
          <w:spacing w:val="-1"/>
          <w:sz w:val="23"/>
          <w:szCs w:val="23"/>
        </w:rPr>
        <w:t>4.2- 1</w:t>
      </w:r>
      <w:r>
        <w:rPr>
          <w:rFonts w:ascii="Times New Roman" w:hAnsi="Times New Roman" w:eastAsia="Times New Roman" w:cs="Times New Roman"/>
          <w:sz w:val="23"/>
          <w:szCs w:val="23"/>
        </w:rPr>
        <w:t>4~4.2- 15</w:t>
      </w:r>
      <w:r>
        <w:rPr>
          <w:rFonts w:ascii="宋体" w:hAnsi="宋体" w:eastAsia="宋体" w:cs="宋体"/>
          <w:sz w:val="23"/>
          <w:szCs w:val="23"/>
        </w:rPr>
        <w:t>。</w:t>
      </w:r>
    </w:p>
    <w:p w14:paraId="38F9F280">
      <w:pPr>
        <w:spacing w:before="259" w:line="321" w:lineRule="exact"/>
        <w:ind w:left="1353"/>
        <w:rPr>
          <w:rFonts w:ascii="黑体" w:hAnsi="黑体" w:eastAsia="黑体" w:cs="黑体"/>
          <w:sz w:val="23"/>
          <w:szCs w:val="23"/>
        </w:rPr>
      </w:pPr>
      <w:r>
        <w:rPr>
          <w:rFonts w:ascii="黑体" w:hAnsi="黑体" w:eastAsia="黑体" w:cs="黑体"/>
          <w:spacing w:val="4"/>
          <w:position w:val="3"/>
          <w:sz w:val="23"/>
          <w:szCs w:val="23"/>
        </w:rPr>
        <w:t xml:space="preserve">表 </w:t>
      </w:r>
      <w:r>
        <w:rPr>
          <w:rFonts w:ascii="Times New Roman" w:hAnsi="Times New Roman" w:eastAsia="Times New Roman" w:cs="Times New Roman"/>
          <w:spacing w:val="4"/>
          <w:position w:val="3"/>
          <w:sz w:val="23"/>
          <w:szCs w:val="23"/>
        </w:rPr>
        <w:t>4.</w:t>
      </w:r>
      <w:r>
        <w:rPr>
          <w:rFonts w:ascii="Times New Roman" w:hAnsi="Times New Roman" w:eastAsia="Times New Roman" w:cs="Times New Roman"/>
          <w:spacing w:val="2"/>
          <w:position w:val="3"/>
          <w:sz w:val="23"/>
          <w:szCs w:val="23"/>
        </w:rPr>
        <w:t xml:space="preserve">2- 14  </w:t>
      </w:r>
      <w:r>
        <w:rPr>
          <w:rFonts w:ascii="黑体" w:hAnsi="黑体" w:eastAsia="黑体" w:cs="黑体"/>
          <w:spacing w:val="2"/>
          <w:position w:val="3"/>
          <w:sz w:val="23"/>
          <w:szCs w:val="23"/>
        </w:rPr>
        <w:t>土壤监测结果及评价    (单位：</w:t>
      </w:r>
      <w:r>
        <w:rPr>
          <w:rFonts w:ascii="Times New Roman" w:hAnsi="Times New Roman" w:eastAsia="Times New Roman" w:cs="Times New Roman"/>
          <w:position w:val="3"/>
          <w:sz w:val="23"/>
          <w:szCs w:val="23"/>
        </w:rPr>
        <w:t>mg</w:t>
      </w:r>
      <w:r>
        <w:rPr>
          <w:rFonts w:ascii="Times New Roman" w:hAnsi="Times New Roman" w:eastAsia="Times New Roman" w:cs="Times New Roman"/>
          <w:spacing w:val="2"/>
          <w:position w:val="3"/>
          <w:sz w:val="23"/>
          <w:szCs w:val="23"/>
        </w:rPr>
        <w:t>/</w:t>
      </w:r>
      <w:r>
        <w:rPr>
          <w:rFonts w:ascii="Times New Roman" w:hAnsi="Times New Roman" w:eastAsia="Times New Roman" w:cs="Times New Roman"/>
          <w:position w:val="3"/>
          <w:sz w:val="23"/>
          <w:szCs w:val="23"/>
        </w:rPr>
        <w:t>kg</w:t>
      </w:r>
      <w:r>
        <w:rPr>
          <w:rFonts w:ascii="Times New Roman" w:hAnsi="Times New Roman" w:eastAsia="Times New Roman" w:cs="Times New Roman"/>
          <w:spacing w:val="2"/>
          <w:position w:val="3"/>
          <w:sz w:val="23"/>
          <w:szCs w:val="23"/>
        </w:rPr>
        <w:t xml:space="preserve"> </w:t>
      </w:r>
      <w:r>
        <w:rPr>
          <w:rFonts w:ascii="黑体" w:hAnsi="黑体" w:eastAsia="黑体" w:cs="黑体"/>
          <w:spacing w:val="2"/>
          <w:position w:val="3"/>
          <w:sz w:val="23"/>
          <w:szCs w:val="23"/>
        </w:rPr>
        <w:t>，</w:t>
      </w:r>
      <w:r>
        <w:rPr>
          <w:rFonts w:ascii="Times New Roman" w:hAnsi="Times New Roman" w:eastAsia="Times New Roman" w:cs="Times New Roman"/>
          <w:position w:val="3"/>
          <w:sz w:val="23"/>
          <w:szCs w:val="23"/>
        </w:rPr>
        <w:t>pH</w:t>
      </w:r>
      <w:r>
        <w:rPr>
          <w:rFonts w:ascii="Times New Roman" w:hAnsi="Times New Roman" w:eastAsia="Times New Roman" w:cs="Times New Roman"/>
          <w:spacing w:val="2"/>
          <w:position w:val="3"/>
          <w:sz w:val="23"/>
          <w:szCs w:val="23"/>
        </w:rPr>
        <w:t xml:space="preserve"> </w:t>
      </w:r>
      <w:r>
        <w:rPr>
          <w:rFonts w:ascii="黑体" w:hAnsi="黑体" w:eastAsia="黑体" w:cs="黑体"/>
          <w:spacing w:val="2"/>
          <w:position w:val="3"/>
          <w:sz w:val="23"/>
          <w:szCs w:val="23"/>
        </w:rPr>
        <w:t>无量纲)</w:t>
      </w:r>
    </w:p>
    <w:tbl>
      <w:tblPr>
        <w:tblStyle w:val="4"/>
        <w:tblW w:w="887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1"/>
        <w:gridCol w:w="1368"/>
        <w:gridCol w:w="1713"/>
        <w:gridCol w:w="1311"/>
        <w:gridCol w:w="1260"/>
        <w:gridCol w:w="1005"/>
        <w:gridCol w:w="1287"/>
      </w:tblGrid>
      <w:tr w14:paraId="60AC0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931" w:type="dxa"/>
            <w:tcBorders>
              <w:left w:val="nil"/>
            </w:tcBorders>
          </w:tcPr>
          <w:p w14:paraId="67D8EB72">
            <w:pPr>
              <w:spacing w:before="102" w:line="230" w:lineRule="auto"/>
              <w:ind w:left="273"/>
              <w:rPr>
                <w:rFonts w:ascii="宋体" w:hAnsi="宋体" w:eastAsia="宋体" w:cs="宋体"/>
                <w:sz w:val="20"/>
                <w:szCs w:val="20"/>
              </w:rPr>
            </w:pPr>
            <w:r>
              <w:rPr>
                <w:rFonts w:ascii="宋体" w:hAnsi="宋体" w:eastAsia="宋体" w:cs="宋体"/>
                <w:spacing w:val="1"/>
                <w:sz w:val="20"/>
                <w:szCs w:val="20"/>
                <w14:textOutline w14:w="3797" w14:cap="sq" w14:cmpd="sng" w14:algn="ctr">
                  <w14:solidFill>
                    <w14:srgbClr w14:val="000000"/>
                  </w14:solidFill>
                  <w14:prstDash w14:val="solid"/>
                  <w14:bevel/>
                </w14:textOutline>
              </w:rPr>
              <w:t>时间</w:t>
            </w:r>
          </w:p>
        </w:tc>
        <w:tc>
          <w:tcPr>
            <w:tcW w:w="1368" w:type="dxa"/>
          </w:tcPr>
          <w:p w14:paraId="07CD512E">
            <w:pPr>
              <w:spacing w:before="103" w:line="229" w:lineRule="auto"/>
              <w:ind w:left="490"/>
              <w:rPr>
                <w:rFonts w:ascii="宋体" w:hAnsi="宋体" w:eastAsia="宋体" w:cs="宋体"/>
                <w:sz w:val="20"/>
                <w:szCs w:val="20"/>
              </w:rPr>
            </w:pPr>
            <w:r>
              <w:rPr>
                <w:rFonts w:ascii="宋体" w:hAnsi="宋体" w:eastAsia="宋体" w:cs="宋体"/>
                <w:spacing w:val="1"/>
                <w:sz w:val="20"/>
                <w:szCs w:val="20"/>
                <w14:textOutline w14:w="3797" w14:cap="sq" w14:cmpd="sng" w14:algn="ctr">
                  <w14:solidFill>
                    <w14:srgbClr w14:val="000000"/>
                  </w14:solidFill>
                  <w14:prstDash w14:val="solid"/>
                  <w14:bevel/>
                </w14:textOutline>
              </w:rPr>
              <w:t>点</w:t>
            </w:r>
            <w:r>
              <w:rPr>
                <w:rFonts w:ascii="宋体" w:hAnsi="宋体" w:eastAsia="宋体" w:cs="宋体"/>
                <w:sz w:val="20"/>
                <w:szCs w:val="20"/>
                <w14:textOutline w14:w="3797" w14:cap="sq" w14:cmpd="sng" w14:algn="ctr">
                  <w14:solidFill>
                    <w14:srgbClr w14:val="000000"/>
                  </w14:solidFill>
                  <w14:prstDash w14:val="solid"/>
                  <w14:bevel/>
                </w14:textOutline>
              </w:rPr>
              <w:t>位</w:t>
            </w:r>
          </w:p>
        </w:tc>
        <w:tc>
          <w:tcPr>
            <w:tcW w:w="1713" w:type="dxa"/>
          </w:tcPr>
          <w:p w14:paraId="6AB0003D">
            <w:pPr>
              <w:spacing w:before="103" w:line="228" w:lineRule="auto"/>
              <w:ind w:left="655"/>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项目</w:t>
            </w:r>
          </w:p>
        </w:tc>
        <w:tc>
          <w:tcPr>
            <w:tcW w:w="1311" w:type="dxa"/>
          </w:tcPr>
          <w:p w14:paraId="7D061CA4">
            <w:pPr>
              <w:spacing w:before="102" w:line="228" w:lineRule="auto"/>
              <w:ind w:left="346"/>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监</w:t>
            </w:r>
            <w:r>
              <w:rPr>
                <w:rFonts w:ascii="宋体" w:hAnsi="宋体" w:eastAsia="宋体" w:cs="宋体"/>
                <w:spacing w:val="7"/>
                <w:sz w:val="20"/>
                <w:szCs w:val="20"/>
                <w14:textOutline w14:w="3797" w14:cap="sq" w14:cmpd="sng" w14:algn="ctr">
                  <w14:solidFill>
                    <w14:srgbClr w14:val="000000"/>
                  </w14:solidFill>
                  <w14:prstDash w14:val="solid"/>
                  <w14:bevel/>
                </w14:textOutline>
              </w:rPr>
              <w:t>测值</w:t>
            </w:r>
          </w:p>
        </w:tc>
        <w:tc>
          <w:tcPr>
            <w:tcW w:w="1260" w:type="dxa"/>
          </w:tcPr>
          <w:p w14:paraId="6E85C2C6">
            <w:pPr>
              <w:spacing w:before="102" w:line="228" w:lineRule="auto"/>
              <w:ind w:left="216"/>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标</w:t>
            </w:r>
            <w:r>
              <w:rPr>
                <w:rFonts w:ascii="宋体" w:hAnsi="宋体" w:eastAsia="宋体" w:cs="宋体"/>
                <w:spacing w:val="8"/>
                <w:sz w:val="20"/>
                <w:szCs w:val="20"/>
                <w14:textOutline w14:w="3797" w14:cap="sq" w14:cmpd="sng" w14:algn="ctr">
                  <w14:solidFill>
                    <w14:srgbClr w14:val="000000"/>
                  </w14:solidFill>
                  <w14:prstDash w14:val="solid"/>
                  <w14:bevel/>
                </w14:textOutline>
              </w:rPr>
              <w:t>准限值</w:t>
            </w:r>
          </w:p>
        </w:tc>
        <w:tc>
          <w:tcPr>
            <w:tcW w:w="1005" w:type="dxa"/>
          </w:tcPr>
          <w:p w14:paraId="1C8E283C">
            <w:pPr>
              <w:spacing w:before="62" w:line="289" w:lineRule="exact"/>
              <w:ind w:left="364"/>
              <w:rPr>
                <w:rFonts w:ascii="Times New Roman" w:hAnsi="Times New Roman" w:eastAsia="Times New Roman" w:cs="Times New Roman"/>
                <w:sz w:val="20"/>
                <w:szCs w:val="20"/>
              </w:rPr>
            </w:pPr>
            <w:r>
              <w:rPr>
                <w:rFonts w:ascii="Times New Roman" w:hAnsi="Times New Roman" w:eastAsia="Times New Roman" w:cs="Times New Roman"/>
                <w:b/>
                <w:bCs/>
                <w:position w:val="4"/>
                <w:sz w:val="20"/>
                <w:szCs w:val="20"/>
              </w:rPr>
              <w:t>Si,j</w:t>
            </w:r>
          </w:p>
        </w:tc>
        <w:tc>
          <w:tcPr>
            <w:tcW w:w="1287" w:type="dxa"/>
            <w:tcBorders>
              <w:right w:val="nil"/>
            </w:tcBorders>
          </w:tcPr>
          <w:p w14:paraId="14AA347B">
            <w:pPr>
              <w:spacing w:before="103" w:line="228" w:lineRule="auto"/>
              <w:ind w:left="233"/>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是</w:t>
            </w:r>
            <w:r>
              <w:rPr>
                <w:rFonts w:ascii="宋体" w:hAnsi="宋体" w:eastAsia="宋体" w:cs="宋体"/>
                <w:spacing w:val="7"/>
                <w:sz w:val="20"/>
                <w:szCs w:val="20"/>
                <w14:textOutline w14:w="3797" w14:cap="sq" w14:cmpd="sng" w14:algn="ctr">
                  <w14:solidFill>
                    <w14:srgbClr w14:val="000000"/>
                  </w14:solidFill>
                  <w14:prstDash w14:val="solid"/>
                  <w14:bevel/>
                </w14:textOutline>
              </w:rPr>
              <w:t>否达标</w:t>
            </w:r>
          </w:p>
        </w:tc>
      </w:tr>
      <w:tr w14:paraId="17F3A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931" w:type="dxa"/>
            <w:vMerge w:val="restart"/>
            <w:tcBorders>
              <w:left w:val="nil"/>
              <w:bottom w:val="nil"/>
            </w:tcBorders>
          </w:tcPr>
          <w:p w14:paraId="4363B9D5">
            <w:pPr>
              <w:spacing w:line="254" w:lineRule="auto"/>
            </w:pPr>
          </w:p>
          <w:p w14:paraId="63DCFCFD">
            <w:pPr>
              <w:spacing w:line="255" w:lineRule="auto"/>
            </w:pPr>
          </w:p>
          <w:p w14:paraId="2FE2633B">
            <w:pPr>
              <w:spacing w:line="255" w:lineRule="auto"/>
            </w:pPr>
          </w:p>
          <w:p w14:paraId="1B05A8CD">
            <w:pPr>
              <w:spacing w:line="255" w:lineRule="auto"/>
            </w:pPr>
          </w:p>
          <w:p w14:paraId="43297632">
            <w:pPr>
              <w:spacing w:line="255" w:lineRule="auto"/>
            </w:pPr>
          </w:p>
          <w:p w14:paraId="28A83F12">
            <w:pPr>
              <w:spacing w:line="255" w:lineRule="auto"/>
            </w:pPr>
          </w:p>
          <w:p w14:paraId="59886663">
            <w:pPr>
              <w:spacing w:line="255" w:lineRule="auto"/>
            </w:pPr>
          </w:p>
          <w:p w14:paraId="60CCBD6D">
            <w:pPr>
              <w:spacing w:before="58" w:line="269" w:lineRule="auto"/>
              <w:ind w:left="364" w:right="145" w:hanging="208"/>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2</w:t>
            </w:r>
            <w:r>
              <w:rPr>
                <w:rFonts w:ascii="Times New Roman" w:hAnsi="Times New Roman" w:eastAsia="Times New Roman" w:cs="Times New Roman"/>
                <w:spacing w:val="5"/>
                <w:sz w:val="20"/>
                <w:szCs w:val="20"/>
              </w:rPr>
              <w:t>0</w:t>
            </w:r>
            <w:r>
              <w:rPr>
                <w:rFonts w:ascii="Times New Roman" w:hAnsi="Times New Roman" w:eastAsia="Times New Roman" w:cs="Times New Roman"/>
                <w:spacing w:val="3"/>
                <w:sz w:val="20"/>
                <w:szCs w:val="20"/>
              </w:rPr>
              <w:t>19.8.</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3"/>
                <w:sz w:val="20"/>
                <w:szCs w:val="20"/>
              </w:rPr>
              <w:t>2</w:t>
            </w:r>
            <w:r>
              <w:rPr>
                <w:rFonts w:ascii="Times New Roman" w:hAnsi="Times New Roman" w:eastAsia="Times New Roman" w:cs="Times New Roman"/>
                <w:spacing w:val="2"/>
                <w:sz w:val="20"/>
                <w:szCs w:val="20"/>
              </w:rPr>
              <w:t>7</w:t>
            </w:r>
          </w:p>
        </w:tc>
        <w:tc>
          <w:tcPr>
            <w:tcW w:w="1368" w:type="dxa"/>
            <w:vMerge w:val="restart"/>
            <w:tcBorders>
              <w:bottom w:val="nil"/>
            </w:tcBorders>
          </w:tcPr>
          <w:p w14:paraId="298BFA28">
            <w:pPr>
              <w:spacing w:line="261" w:lineRule="auto"/>
            </w:pPr>
          </w:p>
          <w:p w14:paraId="7A089829">
            <w:pPr>
              <w:spacing w:line="261" w:lineRule="auto"/>
            </w:pPr>
          </w:p>
          <w:p w14:paraId="36C24F9C">
            <w:pPr>
              <w:spacing w:line="262" w:lineRule="auto"/>
            </w:pPr>
          </w:p>
          <w:p w14:paraId="5774F11B">
            <w:pPr>
              <w:spacing w:line="262" w:lineRule="auto"/>
            </w:pPr>
          </w:p>
          <w:p w14:paraId="3C52860E">
            <w:pPr>
              <w:spacing w:line="262" w:lineRule="auto"/>
            </w:pPr>
          </w:p>
          <w:p w14:paraId="44ED9A7B">
            <w:pPr>
              <w:spacing w:before="57" w:line="281" w:lineRule="exact"/>
              <w:ind w:left="601"/>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w:t>
            </w:r>
            <w:r>
              <w:rPr>
                <w:rFonts w:ascii="Times New Roman" w:hAnsi="Times New Roman" w:eastAsia="Times New Roman" w:cs="Times New Roman"/>
                <w:spacing w:val="-7"/>
                <w:position w:val="2"/>
                <w:sz w:val="20"/>
                <w:szCs w:val="20"/>
              </w:rPr>
              <w:t>#</w:t>
            </w:r>
          </w:p>
        </w:tc>
        <w:tc>
          <w:tcPr>
            <w:tcW w:w="1713" w:type="dxa"/>
          </w:tcPr>
          <w:p w14:paraId="6A4C40E4">
            <w:pPr>
              <w:spacing w:before="141" w:line="194" w:lineRule="auto"/>
              <w:ind w:left="737"/>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pH</w:t>
            </w:r>
          </w:p>
        </w:tc>
        <w:tc>
          <w:tcPr>
            <w:tcW w:w="1311" w:type="dxa"/>
          </w:tcPr>
          <w:p w14:paraId="0A624D5D"/>
        </w:tc>
        <w:tc>
          <w:tcPr>
            <w:tcW w:w="1260" w:type="dxa"/>
          </w:tcPr>
          <w:p w14:paraId="783E96CA"/>
        </w:tc>
        <w:tc>
          <w:tcPr>
            <w:tcW w:w="1005" w:type="dxa"/>
          </w:tcPr>
          <w:p w14:paraId="142BB175"/>
        </w:tc>
        <w:tc>
          <w:tcPr>
            <w:tcW w:w="1287" w:type="dxa"/>
            <w:tcBorders>
              <w:right w:val="nil"/>
            </w:tcBorders>
          </w:tcPr>
          <w:p w14:paraId="6B438289">
            <w:pPr>
              <w:spacing w:before="22" w:line="281" w:lineRule="exact"/>
              <w:ind w:left="61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2E6C1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931" w:type="dxa"/>
            <w:vMerge w:val="continue"/>
            <w:tcBorders>
              <w:top w:val="nil"/>
              <w:left w:val="nil"/>
              <w:bottom w:val="nil"/>
            </w:tcBorders>
          </w:tcPr>
          <w:p w14:paraId="7899D659"/>
        </w:tc>
        <w:tc>
          <w:tcPr>
            <w:tcW w:w="1368" w:type="dxa"/>
            <w:vMerge w:val="continue"/>
            <w:tcBorders>
              <w:top w:val="nil"/>
              <w:bottom w:val="nil"/>
            </w:tcBorders>
          </w:tcPr>
          <w:p w14:paraId="40C10F11"/>
        </w:tc>
        <w:tc>
          <w:tcPr>
            <w:tcW w:w="1713" w:type="dxa"/>
          </w:tcPr>
          <w:p w14:paraId="496BC708">
            <w:pPr>
              <w:spacing w:before="104" w:line="227" w:lineRule="auto"/>
              <w:ind w:left="766"/>
              <w:rPr>
                <w:rFonts w:ascii="宋体" w:hAnsi="宋体" w:eastAsia="宋体" w:cs="宋体"/>
                <w:sz w:val="20"/>
                <w:szCs w:val="20"/>
              </w:rPr>
            </w:pPr>
            <w:r>
              <w:rPr>
                <w:rFonts w:ascii="宋体" w:hAnsi="宋体" w:eastAsia="宋体" w:cs="宋体"/>
                <w:spacing w:val="1"/>
                <w:sz w:val="20"/>
                <w:szCs w:val="20"/>
              </w:rPr>
              <w:t>砷</w:t>
            </w:r>
          </w:p>
        </w:tc>
        <w:tc>
          <w:tcPr>
            <w:tcW w:w="1311" w:type="dxa"/>
          </w:tcPr>
          <w:p w14:paraId="46BF5F2A"/>
        </w:tc>
        <w:tc>
          <w:tcPr>
            <w:tcW w:w="1260" w:type="dxa"/>
          </w:tcPr>
          <w:p w14:paraId="36B29F42"/>
        </w:tc>
        <w:tc>
          <w:tcPr>
            <w:tcW w:w="1005" w:type="dxa"/>
          </w:tcPr>
          <w:p w14:paraId="7D946803"/>
        </w:tc>
        <w:tc>
          <w:tcPr>
            <w:tcW w:w="1287" w:type="dxa"/>
            <w:tcBorders>
              <w:right w:val="nil"/>
            </w:tcBorders>
          </w:tcPr>
          <w:p w14:paraId="41672E68">
            <w:pPr>
              <w:spacing w:before="68" w:line="228" w:lineRule="auto"/>
              <w:ind w:left="438"/>
              <w:rPr>
                <w:rFonts w:ascii="宋体" w:hAnsi="宋体" w:eastAsia="宋体" w:cs="宋体"/>
                <w:sz w:val="20"/>
                <w:szCs w:val="20"/>
              </w:rPr>
            </w:pPr>
            <w:r>
              <w:rPr>
                <w:rFonts w:ascii="宋体" w:hAnsi="宋体" w:eastAsia="宋体" w:cs="宋体"/>
                <w:spacing w:val="5"/>
                <w:sz w:val="20"/>
                <w:szCs w:val="20"/>
              </w:rPr>
              <w:t>达标</w:t>
            </w:r>
          </w:p>
        </w:tc>
      </w:tr>
      <w:tr w14:paraId="020C04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931" w:type="dxa"/>
            <w:vMerge w:val="continue"/>
            <w:tcBorders>
              <w:top w:val="nil"/>
              <w:left w:val="nil"/>
              <w:bottom w:val="nil"/>
            </w:tcBorders>
          </w:tcPr>
          <w:p w14:paraId="03513471"/>
        </w:tc>
        <w:tc>
          <w:tcPr>
            <w:tcW w:w="1368" w:type="dxa"/>
            <w:vMerge w:val="continue"/>
            <w:tcBorders>
              <w:top w:val="nil"/>
              <w:bottom w:val="nil"/>
            </w:tcBorders>
          </w:tcPr>
          <w:p w14:paraId="5D558314"/>
        </w:tc>
        <w:tc>
          <w:tcPr>
            <w:tcW w:w="1713" w:type="dxa"/>
          </w:tcPr>
          <w:p w14:paraId="349280AB">
            <w:pPr>
              <w:spacing w:before="107" w:line="226" w:lineRule="auto"/>
              <w:ind w:left="765"/>
              <w:rPr>
                <w:rFonts w:ascii="宋体" w:hAnsi="宋体" w:eastAsia="宋体" w:cs="宋体"/>
                <w:sz w:val="20"/>
                <w:szCs w:val="20"/>
              </w:rPr>
            </w:pPr>
            <w:r>
              <w:rPr>
                <w:rFonts w:ascii="宋体" w:hAnsi="宋体" w:eastAsia="宋体" w:cs="宋体"/>
                <w:spacing w:val="2"/>
                <w:sz w:val="20"/>
                <w:szCs w:val="20"/>
              </w:rPr>
              <w:t>镉</w:t>
            </w:r>
          </w:p>
        </w:tc>
        <w:tc>
          <w:tcPr>
            <w:tcW w:w="1311" w:type="dxa"/>
          </w:tcPr>
          <w:p w14:paraId="735EE7E6"/>
        </w:tc>
        <w:tc>
          <w:tcPr>
            <w:tcW w:w="1260" w:type="dxa"/>
          </w:tcPr>
          <w:p w14:paraId="1AF36336"/>
        </w:tc>
        <w:tc>
          <w:tcPr>
            <w:tcW w:w="1005" w:type="dxa"/>
          </w:tcPr>
          <w:p w14:paraId="0631BD74"/>
        </w:tc>
        <w:tc>
          <w:tcPr>
            <w:tcW w:w="1287" w:type="dxa"/>
            <w:tcBorders>
              <w:right w:val="nil"/>
            </w:tcBorders>
          </w:tcPr>
          <w:p w14:paraId="3D3DAC69">
            <w:pPr>
              <w:spacing w:before="68" w:line="228" w:lineRule="auto"/>
              <w:ind w:left="438"/>
              <w:rPr>
                <w:rFonts w:ascii="宋体" w:hAnsi="宋体" w:eastAsia="宋体" w:cs="宋体"/>
                <w:sz w:val="20"/>
                <w:szCs w:val="20"/>
              </w:rPr>
            </w:pPr>
            <w:r>
              <w:rPr>
                <w:rFonts w:ascii="宋体" w:hAnsi="宋体" w:eastAsia="宋体" w:cs="宋体"/>
                <w:spacing w:val="5"/>
                <w:sz w:val="20"/>
                <w:szCs w:val="20"/>
              </w:rPr>
              <w:t>达标</w:t>
            </w:r>
          </w:p>
        </w:tc>
      </w:tr>
      <w:tr w14:paraId="5CBB5C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931" w:type="dxa"/>
            <w:vMerge w:val="continue"/>
            <w:tcBorders>
              <w:top w:val="nil"/>
              <w:left w:val="nil"/>
              <w:bottom w:val="nil"/>
            </w:tcBorders>
          </w:tcPr>
          <w:p w14:paraId="22155980"/>
        </w:tc>
        <w:tc>
          <w:tcPr>
            <w:tcW w:w="1368" w:type="dxa"/>
            <w:vMerge w:val="continue"/>
            <w:tcBorders>
              <w:top w:val="nil"/>
              <w:bottom w:val="nil"/>
            </w:tcBorders>
          </w:tcPr>
          <w:p w14:paraId="2817436B"/>
        </w:tc>
        <w:tc>
          <w:tcPr>
            <w:tcW w:w="1713" w:type="dxa"/>
          </w:tcPr>
          <w:p w14:paraId="1F822808">
            <w:pPr>
              <w:spacing w:before="107" w:line="225" w:lineRule="auto"/>
              <w:ind w:left="562"/>
              <w:rPr>
                <w:rFonts w:ascii="宋体" w:hAnsi="宋体" w:eastAsia="宋体" w:cs="宋体"/>
                <w:sz w:val="20"/>
                <w:szCs w:val="20"/>
              </w:rPr>
            </w:pPr>
            <w:r>
              <w:rPr>
                <w:rFonts w:ascii="宋体" w:hAnsi="宋体" w:eastAsia="宋体" w:cs="宋体"/>
                <w:spacing w:val="7"/>
                <w:sz w:val="20"/>
                <w:szCs w:val="20"/>
              </w:rPr>
              <w:t>六</w:t>
            </w:r>
            <w:r>
              <w:rPr>
                <w:rFonts w:ascii="宋体" w:hAnsi="宋体" w:eastAsia="宋体" w:cs="宋体"/>
                <w:spacing w:val="6"/>
                <w:sz w:val="20"/>
                <w:szCs w:val="20"/>
              </w:rPr>
              <w:t>价铬</w:t>
            </w:r>
          </w:p>
        </w:tc>
        <w:tc>
          <w:tcPr>
            <w:tcW w:w="1311" w:type="dxa"/>
          </w:tcPr>
          <w:p w14:paraId="5F466B4F"/>
        </w:tc>
        <w:tc>
          <w:tcPr>
            <w:tcW w:w="1260" w:type="dxa"/>
          </w:tcPr>
          <w:p w14:paraId="2B8F9C94"/>
        </w:tc>
        <w:tc>
          <w:tcPr>
            <w:tcW w:w="1005" w:type="dxa"/>
          </w:tcPr>
          <w:p w14:paraId="3F769C4D"/>
        </w:tc>
        <w:tc>
          <w:tcPr>
            <w:tcW w:w="1287" w:type="dxa"/>
            <w:tcBorders>
              <w:right w:val="nil"/>
            </w:tcBorders>
          </w:tcPr>
          <w:p w14:paraId="44571B33">
            <w:pPr>
              <w:spacing w:before="69" w:line="228" w:lineRule="auto"/>
              <w:ind w:left="438"/>
              <w:rPr>
                <w:rFonts w:ascii="宋体" w:hAnsi="宋体" w:eastAsia="宋体" w:cs="宋体"/>
                <w:sz w:val="20"/>
                <w:szCs w:val="20"/>
              </w:rPr>
            </w:pPr>
            <w:r>
              <w:rPr>
                <w:rFonts w:ascii="宋体" w:hAnsi="宋体" w:eastAsia="宋体" w:cs="宋体"/>
                <w:spacing w:val="5"/>
                <w:sz w:val="20"/>
                <w:szCs w:val="20"/>
              </w:rPr>
              <w:t>达标</w:t>
            </w:r>
          </w:p>
        </w:tc>
      </w:tr>
      <w:tr w14:paraId="6916C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931" w:type="dxa"/>
            <w:vMerge w:val="continue"/>
            <w:tcBorders>
              <w:top w:val="nil"/>
              <w:left w:val="nil"/>
              <w:bottom w:val="nil"/>
            </w:tcBorders>
          </w:tcPr>
          <w:p w14:paraId="1ADB6692"/>
        </w:tc>
        <w:tc>
          <w:tcPr>
            <w:tcW w:w="1368" w:type="dxa"/>
            <w:vMerge w:val="continue"/>
            <w:tcBorders>
              <w:top w:val="nil"/>
              <w:bottom w:val="nil"/>
            </w:tcBorders>
          </w:tcPr>
          <w:p w14:paraId="6DFAA97B"/>
        </w:tc>
        <w:tc>
          <w:tcPr>
            <w:tcW w:w="1713" w:type="dxa"/>
          </w:tcPr>
          <w:p w14:paraId="4444C799">
            <w:pPr>
              <w:spacing w:before="106" w:line="226" w:lineRule="auto"/>
              <w:ind w:left="767"/>
              <w:rPr>
                <w:rFonts w:ascii="宋体" w:hAnsi="宋体" w:eastAsia="宋体" w:cs="宋体"/>
                <w:sz w:val="20"/>
                <w:szCs w:val="20"/>
              </w:rPr>
            </w:pPr>
            <w:r>
              <w:rPr>
                <w:rFonts w:ascii="宋体" w:hAnsi="宋体" w:eastAsia="宋体" w:cs="宋体"/>
                <w:sz w:val="20"/>
                <w:szCs w:val="20"/>
              </w:rPr>
              <w:t>铜</w:t>
            </w:r>
          </w:p>
        </w:tc>
        <w:tc>
          <w:tcPr>
            <w:tcW w:w="1311" w:type="dxa"/>
          </w:tcPr>
          <w:p w14:paraId="1DAA126C"/>
        </w:tc>
        <w:tc>
          <w:tcPr>
            <w:tcW w:w="1260" w:type="dxa"/>
          </w:tcPr>
          <w:p w14:paraId="20918AE9"/>
        </w:tc>
        <w:tc>
          <w:tcPr>
            <w:tcW w:w="1005" w:type="dxa"/>
          </w:tcPr>
          <w:p w14:paraId="0A8ABFAD"/>
        </w:tc>
        <w:tc>
          <w:tcPr>
            <w:tcW w:w="1287" w:type="dxa"/>
            <w:tcBorders>
              <w:right w:val="nil"/>
            </w:tcBorders>
          </w:tcPr>
          <w:p w14:paraId="07E7F7B7">
            <w:pPr>
              <w:spacing w:before="68" w:line="228" w:lineRule="auto"/>
              <w:ind w:left="438"/>
              <w:rPr>
                <w:rFonts w:ascii="宋体" w:hAnsi="宋体" w:eastAsia="宋体" w:cs="宋体"/>
                <w:sz w:val="20"/>
                <w:szCs w:val="20"/>
              </w:rPr>
            </w:pPr>
            <w:r>
              <w:rPr>
                <w:rFonts w:ascii="宋体" w:hAnsi="宋体" w:eastAsia="宋体" w:cs="宋体"/>
                <w:spacing w:val="5"/>
                <w:sz w:val="20"/>
                <w:szCs w:val="20"/>
              </w:rPr>
              <w:t>达标</w:t>
            </w:r>
          </w:p>
        </w:tc>
      </w:tr>
      <w:tr w14:paraId="341D6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931" w:type="dxa"/>
            <w:vMerge w:val="continue"/>
            <w:tcBorders>
              <w:top w:val="nil"/>
              <w:left w:val="nil"/>
              <w:bottom w:val="nil"/>
            </w:tcBorders>
          </w:tcPr>
          <w:p w14:paraId="2ABE52FE"/>
        </w:tc>
        <w:tc>
          <w:tcPr>
            <w:tcW w:w="1368" w:type="dxa"/>
            <w:vMerge w:val="continue"/>
            <w:tcBorders>
              <w:top w:val="nil"/>
              <w:bottom w:val="nil"/>
            </w:tcBorders>
          </w:tcPr>
          <w:p w14:paraId="628294CA"/>
        </w:tc>
        <w:tc>
          <w:tcPr>
            <w:tcW w:w="1713" w:type="dxa"/>
          </w:tcPr>
          <w:p w14:paraId="46930444">
            <w:pPr>
              <w:spacing w:before="108" w:line="224" w:lineRule="auto"/>
              <w:ind w:left="767"/>
              <w:rPr>
                <w:rFonts w:ascii="宋体" w:hAnsi="宋体" w:eastAsia="宋体" w:cs="宋体"/>
                <w:sz w:val="20"/>
                <w:szCs w:val="20"/>
              </w:rPr>
            </w:pPr>
            <w:r>
              <w:rPr>
                <w:rFonts w:ascii="宋体" w:hAnsi="宋体" w:eastAsia="宋体" w:cs="宋体"/>
                <w:sz w:val="20"/>
                <w:szCs w:val="20"/>
              </w:rPr>
              <w:t>铅</w:t>
            </w:r>
          </w:p>
        </w:tc>
        <w:tc>
          <w:tcPr>
            <w:tcW w:w="1311" w:type="dxa"/>
          </w:tcPr>
          <w:p w14:paraId="11177A59"/>
        </w:tc>
        <w:tc>
          <w:tcPr>
            <w:tcW w:w="1260" w:type="dxa"/>
          </w:tcPr>
          <w:p w14:paraId="4CBD7369"/>
        </w:tc>
        <w:tc>
          <w:tcPr>
            <w:tcW w:w="1005" w:type="dxa"/>
          </w:tcPr>
          <w:p w14:paraId="1B015D23"/>
        </w:tc>
        <w:tc>
          <w:tcPr>
            <w:tcW w:w="1287" w:type="dxa"/>
            <w:tcBorders>
              <w:right w:val="nil"/>
            </w:tcBorders>
          </w:tcPr>
          <w:p w14:paraId="1E5EC0F6">
            <w:pPr>
              <w:spacing w:before="70" w:line="228" w:lineRule="auto"/>
              <w:ind w:left="438"/>
              <w:rPr>
                <w:rFonts w:ascii="宋体" w:hAnsi="宋体" w:eastAsia="宋体" w:cs="宋体"/>
                <w:sz w:val="20"/>
                <w:szCs w:val="20"/>
              </w:rPr>
            </w:pPr>
            <w:r>
              <w:rPr>
                <w:rFonts w:ascii="宋体" w:hAnsi="宋体" w:eastAsia="宋体" w:cs="宋体"/>
                <w:spacing w:val="5"/>
                <w:sz w:val="20"/>
                <w:szCs w:val="20"/>
              </w:rPr>
              <w:t>达标</w:t>
            </w:r>
          </w:p>
        </w:tc>
      </w:tr>
      <w:tr w14:paraId="400C0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931" w:type="dxa"/>
            <w:vMerge w:val="continue"/>
            <w:tcBorders>
              <w:top w:val="nil"/>
              <w:left w:val="nil"/>
              <w:bottom w:val="nil"/>
            </w:tcBorders>
          </w:tcPr>
          <w:p w14:paraId="68258CED"/>
        </w:tc>
        <w:tc>
          <w:tcPr>
            <w:tcW w:w="1368" w:type="dxa"/>
            <w:vMerge w:val="continue"/>
            <w:tcBorders>
              <w:top w:val="nil"/>
              <w:bottom w:val="nil"/>
            </w:tcBorders>
          </w:tcPr>
          <w:p w14:paraId="039C4B2D"/>
        </w:tc>
        <w:tc>
          <w:tcPr>
            <w:tcW w:w="1713" w:type="dxa"/>
          </w:tcPr>
          <w:p w14:paraId="1DFCA01E">
            <w:pPr>
              <w:spacing w:before="107" w:line="225" w:lineRule="auto"/>
              <w:ind w:left="768"/>
              <w:rPr>
                <w:rFonts w:ascii="宋体" w:hAnsi="宋体" w:eastAsia="宋体" w:cs="宋体"/>
                <w:sz w:val="20"/>
                <w:szCs w:val="20"/>
              </w:rPr>
            </w:pPr>
            <w:r>
              <w:rPr>
                <w:rFonts w:ascii="宋体" w:hAnsi="宋体" w:eastAsia="宋体" w:cs="宋体"/>
                <w:sz w:val="20"/>
                <w:szCs w:val="20"/>
              </w:rPr>
              <w:t>汞</w:t>
            </w:r>
          </w:p>
        </w:tc>
        <w:tc>
          <w:tcPr>
            <w:tcW w:w="1311" w:type="dxa"/>
          </w:tcPr>
          <w:p w14:paraId="7F975D29"/>
        </w:tc>
        <w:tc>
          <w:tcPr>
            <w:tcW w:w="1260" w:type="dxa"/>
          </w:tcPr>
          <w:p w14:paraId="6CDDEBEC"/>
        </w:tc>
        <w:tc>
          <w:tcPr>
            <w:tcW w:w="1005" w:type="dxa"/>
          </w:tcPr>
          <w:p w14:paraId="18B0AAA8"/>
        </w:tc>
        <w:tc>
          <w:tcPr>
            <w:tcW w:w="1287" w:type="dxa"/>
            <w:tcBorders>
              <w:right w:val="nil"/>
            </w:tcBorders>
          </w:tcPr>
          <w:p w14:paraId="4C8FB47D">
            <w:pPr>
              <w:spacing w:before="71" w:line="228" w:lineRule="auto"/>
              <w:ind w:left="438"/>
              <w:rPr>
                <w:rFonts w:ascii="宋体" w:hAnsi="宋体" w:eastAsia="宋体" w:cs="宋体"/>
                <w:sz w:val="20"/>
                <w:szCs w:val="20"/>
              </w:rPr>
            </w:pPr>
            <w:r>
              <w:rPr>
                <w:rFonts w:ascii="宋体" w:hAnsi="宋体" w:eastAsia="宋体" w:cs="宋体"/>
                <w:spacing w:val="5"/>
                <w:sz w:val="20"/>
                <w:szCs w:val="20"/>
              </w:rPr>
              <w:t>达标</w:t>
            </w:r>
          </w:p>
        </w:tc>
      </w:tr>
      <w:tr w14:paraId="45E39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931" w:type="dxa"/>
            <w:vMerge w:val="continue"/>
            <w:tcBorders>
              <w:top w:val="nil"/>
              <w:left w:val="nil"/>
              <w:bottom w:val="nil"/>
            </w:tcBorders>
          </w:tcPr>
          <w:p w14:paraId="289664B4"/>
        </w:tc>
        <w:tc>
          <w:tcPr>
            <w:tcW w:w="1368" w:type="dxa"/>
            <w:vMerge w:val="continue"/>
            <w:tcBorders>
              <w:top w:val="nil"/>
              <w:bottom w:val="nil"/>
            </w:tcBorders>
          </w:tcPr>
          <w:p w14:paraId="2CA228CE"/>
        </w:tc>
        <w:tc>
          <w:tcPr>
            <w:tcW w:w="1713" w:type="dxa"/>
          </w:tcPr>
          <w:p w14:paraId="64043163">
            <w:pPr>
              <w:spacing w:before="34" w:line="225" w:lineRule="auto"/>
              <w:ind w:left="754"/>
              <w:rPr>
                <w:rFonts w:ascii="宋体" w:hAnsi="宋体" w:eastAsia="宋体" w:cs="宋体"/>
                <w:sz w:val="20"/>
                <w:szCs w:val="20"/>
              </w:rPr>
            </w:pPr>
            <w:r>
              <w:rPr>
                <w:rFonts w:ascii="宋体" w:hAnsi="宋体" w:eastAsia="宋体" w:cs="宋体"/>
                <w:spacing w:val="1"/>
                <w:sz w:val="20"/>
                <w:szCs w:val="20"/>
              </w:rPr>
              <w:t>镍</w:t>
            </w:r>
          </w:p>
        </w:tc>
        <w:tc>
          <w:tcPr>
            <w:tcW w:w="1311" w:type="dxa"/>
          </w:tcPr>
          <w:p w14:paraId="0FE798E8"/>
        </w:tc>
        <w:tc>
          <w:tcPr>
            <w:tcW w:w="1260" w:type="dxa"/>
          </w:tcPr>
          <w:p w14:paraId="42E1AC03"/>
        </w:tc>
        <w:tc>
          <w:tcPr>
            <w:tcW w:w="1005" w:type="dxa"/>
          </w:tcPr>
          <w:p w14:paraId="6690BD9D"/>
        </w:tc>
        <w:tc>
          <w:tcPr>
            <w:tcW w:w="1287" w:type="dxa"/>
            <w:tcBorders>
              <w:right w:val="nil"/>
            </w:tcBorders>
          </w:tcPr>
          <w:p w14:paraId="59C717A9">
            <w:pPr>
              <w:spacing w:before="34" w:line="225" w:lineRule="auto"/>
              <w:ind w:left="438"/>
              <w:rPr>
                <w:rFonts w:ascii="宋体" w:hAnsi="宋体" w:eastAsia="宋体" w:cs="宋体"/>
                <w:sz w:val="20"/>
                <w:szCs w:val="20"/>
              </w:rPr>
            </w:pPr>
            <w:r>
              <w:rPr>
                <w:rFonts w:ascii="宋体" w:hAnsi="宋体" w:eastAsia="宋体" w:cs="宋体"/>
                <w:spacing w:val="5"/>
                <w:sz w:val="20"/>
                <w:szCs w:val="20"/>
              </w:rPr>
              <w:t>达标</w:t>
            </w:r>
          </w:p>
        </w:tc>
      </w:tr>
      <w:tr w14:paraId="335EB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931" w:type="dxa"/>
            <w:vMerge w:val="continue"/>
            <w:tcBorders>
              <w:top w:val="nil"/>
              <w:left w:val="nil"/>
              <w:bottom w:val="nil"/>
            </w:tcBorders>
          </w:tcPr>
          <w:p w14:paraId="4621C9A1"/>
        </w:tc>
        <w:tc>
          <w:tcPr>
            <w:tcW w:w="1368" w:type="dxa"/>
            <w:vMerge w:val="continue"/>
            <w:tcBorders>
              <w:top w:val="nil"/>
            </w:tcBorders>
          </w:tcPr>
          <w:p w14:paraId="19411249"/>
        </w:tc>
        <w:tc>
          <w:tcPr>
            <w:tcW w:w="1713" w:type="dxa"/>
          </w:tcPr>
          <w:p w14:paraId="70674A77">
            <w:pPr>
              <w:spacing w:before="34" w:line="224" w:lineRule="auto"/>
              <w:ind w:left="754"/>
              <w:rPr>
                <w:rFonts w:ascii="宋体" w:hAnsi="宋体" w:eastAsia="宋体" w:cs="宋体"/>
                <w:sz w:val="20"/>
                <w:szCs w:val="20"/>
              </w:rPr>
            </w:pPr>
            <w:r>
              <w:rPr>
                <w:rFonts w:ascii="宋体" w:hAnsi="宋体" w:eastAsia="宋体" w:cs="宋体"/>
                <w:spacing w:val="1"/>
                <w:sz w:val="20"/>
                <w:szCs w:val="20"/>
              </w:rPr>
              <w:t>锌</w:t>
            </w:r>
          </w:p>
        </w:tc>
        <w:tc>
          <w:tcPr>
            <w:tcW w:w="1311" w:type="dxa"/>
          </w:tcPr>
          <w:p w14:paraId="45A0B02A"/>
        </w:tc>
        <w:tc>
          <w:tcPr>
            <w:tcW w:w="1260" w:type="dxa"/>
          </w:tcPr>
          <w:p w14:paraId="40931BB1"/>
        </w:tc>
        <w:tc>
          <w:tcPr>
            <w:tcW w:w="1005" w:type="dxa"/>
          </w:tcPr>
          <w:p w14:paraId="669A265F"/>
        </w:tc>
        <w:tc>
          <w:tcPr>
            <w:tcW w:w="1287" w:type="dxa"/>
            <w:tcBorders>
              <w:right w:val="nil"/>
            </w:tcBorders>
          </w:tcPr>
          <w:p w14:paraId="42BEF8E2">
            <w:pPr>
              <w:spacing w:before="34" w:line="224" w:lineRule="auto"/>
              <w:ind w:left="438"/>
              <w:rPr>
                <w:rFonts w:ascii="宋体" w:hAnsi="宋体" w:eastAsia="宋体" w:cs="宋体"/>
                <w:sz w:val="20"/>
                <w:szCs w:val="20"/>
              </w:rPr>
            </w:pPr>
            <w:r>
              <w:rPr>
                <w:rFonts w:ascii="宋体" w:hAnsi="宋体" w:eastAsia="宋体" w:cs="宋体"/>
                <w:spacing w:val="5"/>
                <w:sz w:val="20"/>
                <w:szCs w:val="20"/>
              </w:rPr>
              <w:t>达标</w:t>
            </w:r>
          </w:p>
        </w:tc>
      </w:tr>
      <w:tr w14:paraId="1B881E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931" w:type="dxa"/>
            <w:vMerge w:val="continue"/>
            <w:tcBorders>
              <w:top w:val="nil"/>
              <w:left w:val="nil"/>
              <w:bottom w:val="nil"/>
            </w:tcBorders>
          </w:tcPr>
          <w:p w14:paraId="54CF9F94"/>
        </w:tc>
        <w:tc>
          <w:tcPr>
            <w:tcW w:w="1368" w:type="dxa"/>
            <w:vMerge w:val="restart"/>
            <w:tcBorders>
              <w:bottom w:val="nil"/>
            </w:tcBorders>
          </w:tcPr>
          <w:p w14:paraId="3C29D8EB"/>
        </w:tc>
        <w:tc>
          <w:tcPr>
            <w:tcW w:w="1713" w:type="dxa"/>
          </w:tcPr>
          <w:p w14:paraId="2C737548">
            <w:pPr>
              <w:spacing w:before="146" w:line="194" w:lineRule="auto"/>
              <w:ind w:left="737"/>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pH</w:t>
            </w:r>
          </w:p>
        </w:tc>
        <w:tc>
          <w:tcPr>
            <w:tcW w:w="1311" w:type="dxa"/>
          </w:tcPr>
          <w:p w14:paraId="646710B0"/>
        </w:tc>
        <w:tc>
          <w:tcPr>
            <w:tcW w:w="1260" w:type="dxa"/>
          </w:tcPr>
          <w:p w14:paraId="60F81F5B"/>
        </w:tc>
        <w:tc>
          <w:tcPr>
            <w:tcW w:w="1005" w:type="dxa"/>
          </w:tcPr>
          <w:p w14:paraId="29D7C3B8"/>
        </w:tc>
        <w:tc>
          <w:tcPr>
            <w:tcW w:w="1287" w:type="dxa"/>
            <w:tcBorders>
              <w:right w:val="nil"/>
            </w:tcBorders>
          </w:tcPr>
          <w:p w14:paraId="557C45A1">
            <w:pPr>
              <w:spacing w:before="24" w:line="281" w:lineRule="exact"/>
              <w:ind w:left="61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7B130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931" w:type="dxa"/>
            <w:vMerge w:val="continue"/>
            <w:tcBorders>
              <w:top w:val="nil"/>
              <w:left w:val="nil"/>
              <w:bottom w:val="nil"/>
            </w:tcBorders>
          </w:tcPr>
          <w:p w14:paraId="5015A56F"/>
        </w:tc>
        <w:tc>
          <w:tcPr>
            <w:tcW w:w="1368" w:type="dxa"/>
            <w:vMerge w:val="continue"/>
            <w:tcBorders>
              <w:top w:val="nil"/>
              <w:bottom w:val="nil"/>
            </w:tcBorders>
          </w:tcPr>
          <w:p w14:paraId="69786B4A"/>
        </w:tc>
        <w:tc>
          <w:tcPr>
            <w:tcW w:w="1713" w:type="dxa"/>
          </w:tcPr>
          <w:p w14:paraId="4BB8D92A">
            <w:pPr>
              <w:spacing w:before="108" w:line="223" w:lineRule="auto"/>
              <w:ind w:left="766"/>
              <w:rPr>
                <w:rFonts w:ascii="宋体" w:hAnsi="宋体" w:eastAsia="宋体" w:cs="宋体"/>
                <w:sz w:val="20"/>
                <w:szCs w:val="20"/>
              </w:rPr>
            </w:pPr>
            <w:r>
              <w:rPr>
                <w:rFonts w:ascii="宋体" w:hAnsi="宋体" w:eastAsia="宋体" w:cs="宋体"/>
                <w:spacing w:val="1"/>
                <w:sz w:val="20"/>
                <w:szCs w:val="20"/>
              </w:rPr>
              <w:t>砷</w:t>
            </w:r>
          </w:p>
        </w:tc>
        <w:tc>
          <w:tcPr>
            <w:tcW w:w="1311" w:type="dxa"/>
          </w:tcPr>
          <w:p w14:paraId="0D6FED96"/>
        </w:tc>
        <w:tc>
          <w:tcPr>
            <w:tcW w:w="1260" w:type="dxa"/>
          </w:tcPr>
          <w:p w14:paraId="19FA585B"/>
        </w:tc>
        <w:tc>
          <w:tcPr>
            <w:tcW w:w="1005" w:type="dxa"/>
          </w:tcPr>
          <w:p w14:paraId="341C4BC3"/>
        </w:tc>
        <w:tc>
          <w:tcPr>
            <w:tcW w:w="1287" w:type="dxa"/>
            <w:tcBorders>
              <w:right w:val="nil"/>
            </w:tcBorders>
          </w:tcPr>
          <w:p w14:paraId="3C93543A">
            <w:pPr>
              <w:spacing w:before="70" w:line="228" w:lineRule="auto"/>
              <w:ind w:left="438"/>
              <w:rPr>
                <w:rFonts w:ascii="宋体" w:hAnsi="宋体" w:eastAsia="宋体" w:cs="宋体"/>
                <w:sz w:val="20"/>
                <w:szCs w:val="20"/>
              </w:rPr>
            </w:pPr>
            <w:r>
              <w:rPr>
                <w:rFonts w:ascii="宋体" w:hAnsi="宋体" w:eastAsia="宋体" w:cs="宋体"/>
                <w:spacing w:val="5"/>
                <w:sz w:val="20"/>
                <w:szCs w:val="20"/>
              </w:rPr>
              <w:t>达标</w:t>
            </w:r>
          </w:p>
        </w:tc>
      </w:tr>
      <w:tr w14:paraId="7BCC6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931" w:type="dxa"/>
            <w:vMerge w:val="continue"/>
            <w:tcBorders>
              <w:top w:val="nil"/>
              <w:left w:val="nil"/>
            </w:tcBorders>
          </w:tcPr>
          <w:p w14:paraId="24F934C7"/>
        </w:tc>
        <w:tc>
          <w:tcPr>
            <w:tcW w:w="1368" w:type="dxa"/>
            <w:vMerge w:val="continue"/>
            <w:tcBorders>
              <w:top w:val="nil"/>
            </w:tcBorders>
          </w:tcPr>
          <w:p w14:paraId="076A6AF9"/>
        </w:tc>
        <w:tc>
          <w:tcPr>
            <w:tcW w:w="1713" w:type="dxa"/>
          </w:tcPr>
          <w:p w14:paraId="18967A2C">
            <w:pPr>
              <w:spacing w:before="110" w:line="231" w:lineRule="auto"/>
              <w:ind w:left="765"/>
              <w:rPr>
                <w:rFonts w:ascii="宋体" w:hAnsi="宋体" w:eastAsia="宋体" w:cs="宋体"/>
                <w:sz w:val="20"/>
                <w:szCs w:val="20"/>
              </w:rPr>
            </w:pPr>
            <w:r>
              <w:rPr>
                <w:rFonts w:ascii="宋体" w:hAnsi="宋体" w:eastAsia="宋体" w:cs="宋体"/>
                <w:spacing w:val="2"/>
                <w:sz w:val="20"/>
                <w:szCs w:val="20"/>
              </w:rPr>
              <w:t>镉</w:t>
            </w:r>
          </w:p>
        </w:tc>
        <w:tc>
          <w:tcPr>
            <w:tcW w:w="1311" w:type="dxa"/>
          </w:tcPr>
          <w:p w14:paraId="5FD9A7CC"/>
        </w:tc>
        <w:tc>
          <w:tcPr>
            <w:tcW w:w="1260" w:type="dxa"/>
          </w:tcPr>
          <w:p w14:paraId="3C0737B1"/>
        </w:tc>
        <w:tc>
          <w:tcPr>
            <w:tcW w:w="1005" w:type="dxa"/>
          </w:tcPr>
          <w:p w14:paraId="7BF0616E"/>
        </w:tc>
        <w:tc>
          <w:tcPr>
            <w:tcW w:w="1287" w:type="dxa"/>
            <w:tcBorders>
              <w:right w:val="nil"/>
            </w:tcBorders>
          </w:tcPr>
          <w:p w14:paraId="4FD6BAE3">
            <w:pPr>
              <w:spacing w:before="73" w:line="228" w:lineRule="auto"/>
              <w:ind w:left="438"/>
              <w:rPr>
                <w:rFonts w:ascii="宋体" w:hAnsi="宋体" w:eastAsia="宋体" w:cs="宋体"/>
                <w:sz w:val="20"/>
                <w:szCs w:val="20"/>
              </w:rPr>
            </w:pPr>
            <w:r>
              <w:rPr>
                <w:rFonts w:ascii="宋体" w:hAnsi="宋体" w:eastAsia="宋体" w:cs="宋体"/>
                <w:spacing w:val="5"/>
                <w:sz w:val="20"/>
                <w:szCs w:val="20"/>
              </w:rPr>
              <w:t>达标</w:t>
            </w:r>
          </w:p>
        </w:tc>
      </w:tr>
    </w:tbl>
    <w:p w14:paraId="6CCF3413"/>
    <w:p w14:paraId="640DB203">
      <w:pPr>
        <w:sectPr>
          <w:headerReference r:id="rId168" w:type="default"/>
          <w:footerReference r:id="rId169" w:type="default"/>
          <w:pgSz w:w="11907" w:h="16840"/>
          <w:pgMar w:top="400" w:right="1066" w:bottom="1485" w:left="1551" w:header="0" w:footer="1298" w:gutter="0"/>
          <w:cols w:space="720" w:num="1"/>
        </w:sectPr>
      </w:pPr>
    </w:p>
    <w:p w14:paraId="7C7319B1">
      <w:pPr>
        <w:spacing w:line="460" w:lineRule="auto"/>
      </w:pPr>
    </w:p>
    <w:p w14:paraId="66AD9E20">
      <w:pPr>
        <w:spacing w:before="56" w:line="229" w:lineRule="auto"/>
        <w:ind w:left="115"/>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2D981129">
      <w:pPr>
        <w:spacing w:line="14" w:lineRule="exact"/>
      </w:pPr>
    </w:p>
    <w:tbl>
      <w:tblPr>
        <w:tblStyle w:val="4"/>
        <w:tblW w:w="887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1"/>
        <w:gridCol w:w="1368"/>
        <w:gridCol w:w="1713"/>
        <w:gridCol w:w="1311"/>
        <w:gridCol w:w="1260"/>
        <w:gridCol w:w="1005"/>
        <w:gridCol w:w="1287"/>
      </w:tblGrid>
      <w:tr w14:paraId="762641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931" w:type="dxa"/>
            <w:vMerge w:val="restart"/>
            <w:tcBorders>
              <w:left w:val="nil"/>
              <w:bottom w:val="nil"/>
            </w:tcBorders>
          </w:tcPr>
          <w:p w14:paraId="3DD71C13"/>
        </w:tc>
        <w:tc>
          <w:tcPr>
            <w:tcW w:w="1368" w:type="dxa"/>
            <w:vMerge w:val="restart"/>
            <w:tcBorders>
              <w:bottom w:val="nil"/>
            </w:tcBorders>
          </w:tcPr>
          <w:p w14:paraId="005CD801">
            <w:pPr>
              <w:spacing w:before="240" w:line="281" w:lineRule="exact"/>
              <w:ind w:left="581"/>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w:t>
            </w:r>
            <w:r>
              <w:rPr>
                <w:rFonts w:ascii="Times New Roman" w:hAnsi="Times New Roman" w:eastAsia="Times New Roman" w:cs="Times New Roman"/>
                <w:spacing w:val="2"/>
                <w:position w:val="2"/>
                <w:sz w:val="20"/>
                <w:szCs w:val="20"/>
              </w:rPr>
              <w:t>#</w:t>
            </w:r>
          </w:p>
        </w:tc>
        <w:tc>
          <w:tcPr>
            <w:tcW w:w="1713" w:type="dxa"/>
          </w:tcPr>
          <w:p w14:paraId="04D73C57">
            <w:pPr>
              <w:spacing w:before="127" w:line="226" w:lineRule="auto"/>
              <w:ind w:left="562"/>
              <w:rPr>
                <w:rFonts w:ascii="宋体" w:hAnsi="宋体" w:eastAsia="宋体" w:cs="宋体"/>
                <w:sz w:val="20"/>
                <w:szCs w:val="20"/>
              </w:rPr>
            </w:pPr>
            <w:r>
              <w:rPr>
                <w:rFonts w:ascii="宋体" w:hAnsi="宋体" w:eastAsia="宋体" w:cs="宋体"/>
                <w:spacing w:val="7"/>
                <w:sz w:val="20"/>
                <w:szCs w:val="20"/>
              </w:rPr>
              <w:t>六</w:t>
            </w:r>
            <w:r>
              <w:rPr>
                <w:rFonts w:ascii="宋体" w:hAnsi="宋体" w:eastAsia="宋体" w:cs="宋体"/>
                <w:spacing w:val="6"/>
                <w:sz w:val="20"/>
                <w:szCs w:val="20"/>
              </w:rPr>
              <w:t>价铬</w:t>
            </w:r>
          </w:p>
        </w:tc>
        <w:tc>
          <w:tcPr>
            <w:tcW w:w="1311" w:type="dxa"/>
          </w:tcPr>
          <w:p w14:paraId="50327BE5"/>
        </w:tc>
        <w:tc>
          <w:tcPr>
            <w:tcW w:w="1260" w:type="dxa"/>
          </w:tcPr>
          <w:p w14:paraId="3BC7E16F"/>
        </w:tc>
        <w:tc>
          <w:tcPr>
            <w:tcW w:w="1005" w:type="dxa"/>
          </w:tcPr>
          <w:p w14:paraId="7E203FD4"/>
        </w:tc>
        <w:tc>
          <w:tcPr>
            <w:tcW w:w="1287" w:type="dxa"/>
            <w:tcBorders>
              <w:right w:val="nil"/>
            </w:tcBorders>
          </w:tcPr>
          <w:p w14:paraId="363DA66C">
            <w:pPr>
              <w:spacing w:before="50" w:line="281" w:lineRule="exact"/>
              <w:ind w:left="61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64FBF1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931" w:type="dxa"/>
            <w:vMerge w:val="continue"/>
            <w:tcBorders>
              <w:top w:val="nil"/>
              <w:left w:val="nil"/>
              <w:bottom w:val="nil"/>
            </w:tcBorders>
          </w:tcPr>
          <w:p w14:paraId="349FEB57"/>
        </w:tc>
        <w:tc>
          <w:tcPr>
            <w:tcW w:w="1368" w:type="dxa"/>
            <w:vMerge w:val="continue"/>
            <w:tcBorders>
              <w:top w:val="nil"/>
              <w:bottom w:val="nil"/>
            </w:tcBorders>
          </w:tcPr>
          <w:p w14:paraId="761429DD"/>
        </w:tc>
        <w:tc>
          <w:tcPr>
            <w:tcW w:w="1713" w:type="dxa"/>
          </w:tcPr>
          <w:p w14:paraId="7E970B80">
            <w:pPr>
              <w:spacing w:before="105" w:line="227" w:lineRule="auto"/>
              <w:ind w:left="767"/>
              <w:rPr>
                <w:rFonts w:ascii="宋体" w:hAnsi="宋体" w:eastAsia="宋体" w:cs="宋体"/>
                <w:sz w:val="20"/>
                <w:szCs w:val="20"/>
              </w:rPr>
            </w:pPr>
            <w:r>
              <w:rPr>
                <w:rFonts w:ascii="宋体" w:hAnsi="宋体" w:eastAsia="宋体" w:cs="宋体"/>
                <w:sz w:val="20"/>
                <w:szCs w:val="20"/>
              </w:rPr>
              <w:t>铜</w:t>
            </w:r>
          </w:p>
        </w:tc>
        <w:tc>
          <w:tcPr>
            <w:tcW w:w="1311" w:type="dxa"/>
          </w:tcPr>
          <w:p w14:paraId="03A13666"/>
        </w:tc>
        <w:tc>
          <w:tcPr>
            <w:tcW w:w="1260" w:type="dxa"/>
          </w:tcPr>
          <w:p w14:paraId="5AB09522"/>
        </w:tc>
        <w:tc>
          <w:tcPr>
            <w:tcW w:w="1005" w:type="dxa"/>
          </w:tcPr>
          <w:p w14:paraId="43562E64"/>
        </w:tc>
        <w:tc>
          <w:tcPr>
            <w:tcW w:w="1287" w:type="dxa"/>
            <w:tcBorders>
              <w:right w:val="nil"/>
            </w:tcBorders>
          </w:tcPr>
          <w:p w14:paraId="5C3E8187">
            <w:pPr>
              <w:spacing w:before="69" w:line="228" w:lineRule="auto"/>
              <w:ind w:left="438"/>
              <w:rPr>
                <w:rFonts w:ascii="宋体" w:hAnsi="宋体" w:eastAsia="宋体" w:cs="宋体"/>
                <w:sz w:val="20"/>
                <w:szCs w:val="20"/>
              </w:rPr>
            </w:pPr>
            <w:r>
              <w:rPr>
                <w:rFonts w:ascii="宋体" w:hAnsi="宋体" w:eastAsia="宋体" w:cs="宋体"/>
                <w:spacing w:val="5"/>
                <w:sz w:val="20"/>
                <w:szCs w:val="20"/>
              </w:rPr>
              <w:t>达标</w:t>
            </w:r>
          </w:p>
        </w:tc>
      </w:tr>
      <w:tr w14:paraId="310FE2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931" w:type="dxa"/>
            <w:vMerge w:val="continue"/>
            <w:tcBorders>
              <w:top w:val="nil"/>
              <w:left w:val="nil"/>
              <w:bottom w:val="nil"/>
            </w:tcBorders>
          </w:tcPr>
          <w:p w14:paraId="30729D2A"/>
        </w:tc>
        <w:tc>
          <w:tcPr>
            <w:tcW w:w="1368" w:type="dxa"/>
            <w:vMerge w:val="continue"/>
            <w:tcBorders>
              <w:top w:val="nil"/>
              <w:bottom w:val="nil"/>
            </w:tcBorders>
          </w:tcPr>
          <w:p w14:paraId="380413A6"/>
        </w:tc>
        <w:tc>
          <w:tcPr>
            <w:tcW w:w="1713" w:type="dxa"/>
          </w:tcPr>
          <w:p w14:paraId="0F729469">
            <w:pPr>
              <w:spacing w:before="107" w:line="226" w:lineRule="auto"/>
              <w:ind w:left="767"/>
              <w:rPr>
                <w:rFonts w:ascii="宋体" w:hAnsi="宋体" w:eastAsia="宋体" w:cs="宋体"/>
                <w:sz w:val="20"/>
                <w:szCs w:val="20"/>
              </w:rPr>
            </w:pPr>
            <w:r>
              <w:rPr>
                <w:rFonts w:ascii="宋体" w:hAnsi="宋体" w:eastAsia="宋体" w:cs="宋体"/>
                <w:sz w:val="20"/>
                <w:szCs w:val="20"/>
              </w:rPr>
              <w:t>铅</w:t>
            </w:r>
          </w:p>
        </w:tc>
        <w:tc>
          <w:tcPr>
            <w:tcW w:w="1311" w:type="dxa"/>
          </w:tcPr>
          <w:p w14:paraId="39B43019"/>
        </w:tc>
        <w:tc>
          <w:tcPr>
            <w:tcW w:w="1260" w:type="dxa"/>
          </w:tcPr>
          <w:p w14:paraId="50A61283"/>
        </w:tc>
        <w:tc>
          <w:tcPr>
            <w:tcW w:w="1005" w:type="dxa"/>
          </w:tcPr>
          <w:p w14:paraId="0E2106DB"/>
        </w:tc>
        <w:tc>
          <w:tcPr>
            <w:tcW w:w="1287" w:type="dxa"/>
            <w:tcBorders>
              <w:right w:val="nil"/>
            </w:tcBorders>
          </w:tcPr>
          <w:p w14:paraId="2410BC2D">
            <w:pPr>
              <w:spacing w:before="68" w:line="228" w:lineRule="auto"/>
              <w:ind w:left="438"/>
              <w:rPr>
                <w:rFonts w:ascii="宋体" w:hAnsi="宋体" w:eastAsia="宋体" w:cs="宋体"/>
                <w:sz w:val="20"/>
                <w:szCs w:val="20"/>
              </w:rPr>
            </w:pPr>
            <w:r>
              <w:rPr>
                <w:rFonts w:ascii="宋体" w:hAnsi="宋体" w:eastAsia="宋体" w:cs="宋体"/>
                <w:spacing w:val="5"/>
                <w:sz w:val="20"/>
                <w:szCs w:val="20"/>
              </w:rPr>
              <w:t>达标</w:t>
            </w:r>
          </w:p>
        </w:tc>
      </w:tr>
      <w:tr w14:paraId="32BBF3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931" w:type="dxa"/>
            <w:vMerge w:val="continue"/>
            <w:tcBorders>
              <w:top w:val="nil"/>
              <w:left w:val="nil"/>
              <w:bottom w:val="nil"/>
            </w:tcBorders>
          </w:tcPr>
          <w:p w14:paraId="49643A9A"/>
        </w:tc>
        <w:tc>
          <w:tcPr>
            <w:tcW w:w="1368" w:type="dxa"/>
            <w:vMerge w:val="continue"/>
            <w:tcBorders>
              <w:top w:val="nil"/>
              <w:bottom w:val="nil"/>
            </w:tcBorders>
          </w:tcPr>
          <w:p w14:paraId="2528FB84"/>
        </w:tc>
        <w:tc>
          <w:tcPr>
            <w:tcW w:w="1713" w:type="dxa"/>
          </w:tcPr>
          <w:p w14:paraId="3045BB10">
            <w:pPr>
              <w:spacing w:before="107" w:line="225" w:lineRule="auto"/>
              <w:ind w:left="768"/>
              <w:rPr>
                <w:rFonts w:ascii="宋体" w:hAnsi="宋体" w:eastAsia="宋体" w:cs="宋体"/>
                <w:sz w:val="20"/>
                <w:szCs w:val="20"/>
              </w:rPr>
            </w:pPr>
            <w:r>
              <w:rPr>
                <w:rFonts w:ascii="宋体" w:hAnsi="宋体" w:eastAsia="宋体" w:cs="宋体"/>
                <w:sz w:val="20"/>
                <w:szCs w:val="20"/>
              </w:rPr>
              <w:t>汞</w:t>
            </w:r>
          </w:p>
        </w:tc>
        <w:tc>
          <w:tcPr>
            <w:tcW w:w="1311" w:type="dxa"/>
          </w:tcPr>
          <w:p w14:paraId="7E2632EB"/>
        </w:tc>
        <w:tc>
          <w:tcPr>
            <w:tcW w:w="1260" w:type="dxa"/>
          </w:tcPr>
          <w:p w14:paraId="1A7C66F9"/>
        </w:tc>
        <w:tc>
          <w:tcPr>
            <w:tcW w:w="1005" w:type="dxa"/>
          </w:tcPr>
          <w:p w14:paraId="31870CD7"/>
        </w:tc>
        <w:tc>
          <w:tcPr>
            <w:tcW w:w="1287" w:type="dxa"/>
            <w:tcBorders>
              <w:right w:val="nil"/>
            </w:tcBorders>
          </w:tcPr>
          <w:p w14:paraId="2504584B">
            <w:pPr>
              <w:spacing w:before="69" w:line="228" w:lineRule="auto"/>
              <w:ind w:left="438"/>
              <w:rPr>
                <w:rFonts w:ascii="宋体" w:hAnsi="宋体" w:eastAsia="宋体" w:cs="宋体"/>
                <w:sz w:val="20"/>
                <w:szCs w:val="20"/>
              </w:rPr>
            </w:pPr>
            <w:r>
              <w:rPr>
                <w:rFonts w:ascii="宋体" w:hAnsi="宋体" w:eastAsia="宋体" w:cs="宋体"/>
                <w:spacing w:val="5"/>
                <w:sz w:val="20"/>
                <w:szCs w:val="20"/>
              </w:rPr>
              <w:t>达标</w:t>
            </w:r>
          </w:p>
        </w:tc>
      </w:tr>
      <w:tr w14:paraId="40BA21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931" w:type="dxa"/>
            <w:vMerge w:val="continue"/>
            <w:tcBorders>
              <w:top w:val="nil"/>
              <w:left w:val="nil"/>
              <w:bottom w:val="nil"/>
            </w:tcBorders>
          </w:tcPr>
          <w:p w14:paraId="6F8AFF7A"/>
        </w:tc>
        <w:tc>
          <w:tcPr>
            <w:tcW w:w="1368" w:type="dxa"/>
            <w:vMerge w:val="continue"/>
            <w:tcBorders>
              <w:top w:val="nil"/>
              <w:bottom w:val="nil"/>
            </w:tcBorders>
          </w:tcPr>
          <w:p w14:paraId="4277E6BA"/>
        </w:tc>
        <w:tc>
          <w:tcPr>
            <w:tcW w:w="1713" w:type="dxa"/>
          </w:tcPr>
          <w:p w14:paraId="0CDB4DB5">
            <w:pPr>
              <w:spacing w:before="34" w:line="225" w:lineRule="auto"/>
              <w:ind w:left="754"/>
              <w:rPr>
                <w:rFonts w:ascii="宋体" w:hAnsi="宋体" w:eastAsia="宋体" w:cs="宋体"/>
                <w:sz w:val="20"/>
                <w:szCs w:val="20"/>
              </w:rPr>
            </w:pPr>
            <w:r>
              <w:rPr>
                <w:rFonts w:ascii="宋体" w:hAnsi="宋体" w:eastAsia="宋体" w:cs="宋体"/>
                <w:spacing w:val="1"/>
                <w:sz w:val="20"/>
                <w:szCs w:val="20"/>
              </w:rPr>
              <w:t>镍</w:t>
            </w:r>
          </w:p>
        </w:tc>
        <w:tc>
          <w:tcPr>
            <w:tcW w:w="1311" w:type="dxa"/>
          </w:tcPr>
          <w:p w14:paraId="5440CDF4"/>
        </w:tc>
        <w:tc>
          <w:tcPr>
            <w:tcW w:w="1260" w:type="dxa"/>
          </w:tcPr>
          <w:p w14:paraId="5529E221"/>
        </w:tc>
        <w:tc>
          <w:tcPr>
            <w:tcW w:w="1005" w:type="dxa"/>
          </w:tcPr>
          <w:p w14:paraId="42D4F9AF"/>
        </w:tc>
        <w:tc>
          <w:tcPr>
            <w:tcW w:w="1287" w:type="dxa"/>
            <w:tcBorders>
              <w:right w:val="nil"/>
            </w:tcBorders>
          </w:tcPr>
          <w:p w14:paraId="7F7B856A">
            <w:pPr>
              <w:spacing w:before="34" w:line="225" w:lineRule="auto"/>
              <w:ind w:left="438"/>
              <w:rPr>
                <w:rFonts w:ascii="宋体" w:hAnsi="宋体" w:eastAsia="宋体" w:cs="宋体"/>
                <w:sz w:val="20"/>
                <w:szCs w:val="20"/>
              </w:rPr>
            </w:pPr>
            <w:r>
              <w:rPr>
                <w:rFonts w:ascii="宋体" w:hAnsi="宋体" w:eastAsia="宋体" w:cs="宋体"/>
                <w:spacing w:val="5"/>
                <w:sz w:val="20"/>
                <w:szCs w:val="20"/>
              </w:rPr>
              <w:t>达标</w:t>
            </w:r>
          </w:p>
        </w:tc>
      </w:tr>
      <w:tr w14:paraId="768AB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931" w:type="dxa"/>
            <w:vMerge w:val="continue"/>
            <w:tcBorders>
              <w:top w:val="nil"/>
              <w:left w:val="nil"/>
              <w:bottom w:val="nil"/>
            </w:tcBorders>
          </w:tcPr>
          <w:p w14:paraId="3F9E5EA0"/>
        </w:tc>
        <w:tc>
          <w:tcPr>
            <w:tcW w:w="1368" w:type="dxa"/>
            <w:vMerge w:val="continue"/>
            <w:tcBorders>
              <w:top w:val="nil"/>
              <w:bottom w:val="nil"/>
            </w:tcBorders>
          </w:tcPr>
          <w:p w14:paraId="39A0ED4D"/>
        </w:tc>
        <w:tc>
          <w:tcPr>
            <w:tcW w:w="1713" w:type="dxa"/>
          </w:tcPr>
          <w:p w14:paraId="6DBC8042">
            <w:pPr>
              <w:spacing w:before="32" w:line="226" w:lineRule="auto"/>
              <w:ind w:left="754"/>
              <w:rPr>
                <w:rFonts w:ascii="宋体" w:hAnsi="宋体" w:eastAsia="宋体" w:cs="宋体"/>
                <w:sz w:val="20"/>
                <w:szCs w:val="20"/>
              </w:rPr>
            </w:pPr>
            <w:r>
              <w:rPr>
                <w:rFonts w:ascii="宋体" w:hAnsi="宋体" w:eastAsia="宋体" w:cs="宋体"/>
                <w:spacing w:val="1"/>
                <w:sz w:val="20"/>
                <w:szCs w:val="20"/>
              </w:rPr>
              <w:t>锌</w:t>
            </w:r>
          </w:p>
        </w:tc>
        <w:tc>
          <w:tcPr>
            <w:tcW w:w="1311" w:type="dxa"/>
          </w:tcPr>
          <w:p w14:paraId="73914348"/>
        </w:tc>
        <w:tc>
          <w:tcPr>
            <w:tcW w:w="1260" w:type="dxa"/>
          </w:tcPr>
          <w:p w14:paraId="26CF2329"/>
        </w:tc>
        <w:tc>
          <w:tcPr>
            <w:tcW w:w="1005" w:type="dxa"/>
          </w:tcPr>
          <w:p w14:paraId="73849510"/>
        </w:tc>
        <w:tc>
          <w:tcPr>
            <w:tcW w:w="1287" w:type="dxa"/>
            <w:tcBorders>
              <w:right w:val="nil"/>
            </w:tcBorders>
          </w:tcPr>
          <w:p w14:paraId="4057775B">
            <w:pPr>
              <w:spacing w:before="32" w:line="226" w:lineRule="auto"/>
              <w:ind w:left="438"/>
              <w:rPr>
                <w:rFonts w:ascii="宋体" w:hAnsi="宋体" w:eastAsia="宋体" w:cs="宋体"/>
                <w:sz w:val="20"/>
                <w:szCs w:val="20"/>
              </w:rPr>
            </w:pPr>
            <w:r>
              <w:rPr>
                <w:rFonts w:ascii="宋体" w:hAnsi="宋体" w:eastAsia="宋体" w:cs="宋体"/>
                <w:spacing w:val="5"/>
                <w:sz w:val="20"/>
                <w:szCs w:val="20"/>
              </w:rPr>
              <w:t>达标</w:t>
            </w:r>
          </w:p>
        </w:tc>
      </w:tr>
      <w:tr w14:paraId="65A31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31" w:type="dxa"/>
            <w:vMerge w:val="continue"/>
            <w:tcBorders>
              <w:top w:val="nil"/>
              <w:left w:val="nil"/>
              <w:bottom w:val="nil"/>
            </w:tcBorders>
          </w:tcPr>
          <w:p w14:paraId="41C0CF9C"/>
        </w:tc>
        <w:tc>
          <w:tcPr>
            <w:tcW w:w="1368" w:type="dxa"/>
            <w:vMerge w:val="continue"/>
            <w:tcBorders>
              <w:top w:val="nil"/>
              <w:bottom w:val="nil"/>
            </w:tcBorders>
          </w:tcPr>
          <w:p w14:paraId="1CE9583C"/>
        </w:tc>
        <w:tc>
          <w:tcPr>
            <w:tcW w:w="1713" w:type="dxa"/>
          </w:tcPr>
          <w:p w14:paraId="3EEAB0FE">
            <w:pPr>
              <w:spacing w:before="33" w:line="238" w:lineRule="auto"/>
              <w:ind w:left="280" w:right="226" w:hanging="33"/>
              <w:rPr>
                <w:rFonts w:ascii="宋体" w:hAnsi="宋体" w:eastAsia="宋体" w:cs="宋体"/>
                <w:sz w:val="20"/>
                <w:szCs w:val="20"/>
              </w:rPr>
            </w:pPr>
            <w:r>
              <w:rPr>
                <w:rFonts w:ascii="宋体" w:hAnsi="宋体" w:eastAsia="宋体" w:cs="宋体"/>
                <w:spacing w:val="9"/>
                <w:sz w:val="20"/>
                <w:szCs w:val="20"/>
              </w:rPr>
              <w:t>阳</w:t>
            </w:r>
            <w:r>
              <w:rPr>
                <w:rFonts w:ascii="宋体" w:hAnsi="宋体" w:eastAsia="宋体" w:cs="宋体"/>
                <w:spacing w:val="5"/>
                <w:sz w:val="20"/>
                <w:szCs w:val="20"/>
              </w:rPr>
              <w:t>离子交换量</w:t>
            </w:r>
            <w:r>
              <w:rPr>
                <w:rFonts w:ascii="宋体" w:hAnsi="宋体" w:eastAsia="宋体" w:cs="宋体"/>
                <w:sz w:val="20"/>
                <w:szCs w:val="20"/>
              </w:rPr>
              <w:t xml:space="preserve"> </w:t>
            </w:r>
            <w:r>
              <w:rPr>
                <w:rFonts w:ascii="宋体" w:hAnsi="宋体" w:eastAsia="宋体" w:cs="宋体"/>
                <w:spacing w:val="33"/>
                <w:sz w:val="20"/>
                <w:szCs w:val="20"/>
              </w:rPr>
              <w:t>(</w:t>
            </w:r>
            <w:r>
              <w:rPr>
                <w:rFonts w:ascii="Times New Roman" w:hAnsi="Times New Roman" w:eastAsia="Times New Roman" w:cs="Times New Roman"/>
                <w:sz w:val="20"/>
                <w:szCs w:val="20"/>
              </w:rPr>
              <w:t>cmol</w:t>
            </w:r>
            <w:r>
              <w:rPr>
                <w:rFonts w:ascii="Times New Roman" w:hAnsi="Times New Roman" w:eastAsia="Times New Roman" w:cs="Times New Roman"/>
                <w:spacing w:val="31"/>
                <w:position w:val="6"/>
                <w:sz w:val="13"/>
                <w:szCs w:val="13"/>
              </w:rPr>
              <w:t>+</w:t>
            </w:r>
            <w:r>
              <w:rPr>
                <w:rFonts w:ascii="Times New Roman" w:hAnsi="Times New Roman" w:eastAsia="Times New Roman" w:cs="Times New Roman"/>
                <w:spacing w:val="31"/>
                <w:sz w:val="20"/>
                <w:szCs w:val="20"/>
              </w:rPr>
              <w:t>/</w:t>
            </w:r>
            <w:r>
              <w:rPr>
                <w:rFonts w:ascii="Times New Roman" w:hAnsi="Times New Roman" w:eastAsia="Times New Roman" w:cs="Times New Roman"/>
                <w:sz w:val="20"/>
                <w:szCs w:val="20"/>
              </w:rPr>
              <w:t>kg</w:t>
            </w:r>
            <w:r>
              <w:rPr>
                <w:rFonts w:ascii="宋体" w:hAnsi="宋体" w:eastAsia="宋体" w:cs="宋体"/>
                <w:spacing w:val="31"/>
                <w:sz w:val="20"/>
                <w:szCs w:val="20"/>
              </w:rPr>
              <w:t>)</w:t>
            </w:r>
          </w:p>
        </w:tc>
        <w:tc>
          <w:tcPr>
            <w:tcW w:w="1311" w:type="dxa"/>
          </w:tcPr>
          <w:p w14:paraId="4C94C6C8"/>
        </w:tc>
        <w:tc>
          <w:tcPr>
            <w:tcW w:w="1260" w:type="dxa"/>
          </w:tcPr>
          <w:p w14:paraId="029ABD94"/>
        </w:tc>
        <w:tc>
          <w:tcPr>
            <w:tcW w:w="1005" w:type="dxa"/>
          </w:tcPr>
          <w:p w14:paraId="05677EDB"/>
        </w:tc>
        <w:tc>
          <w:tcPr>
            <w:tcW w:w="1287" w:type="dxa"/>
            <w:tcBorders>
              <w:right w:val="nil"/>
            </w:tcBorders>
          </w:tcPr>
          <w:p w14:paraId="6E7A51DA">
            <w:pPr>
              <w:spacing w:before="132" w:line="281" w:lineRule="exact"/>
              <w:ind w:left="61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41950F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931" w:type="dxa"/>
            <w:vMerge w:val="continue"/>
            <w:tcBorders>
              <w:top w:val="nil"/>
              <w:left w:val="nil"/>
              <w:bottom w:val="nil"/>
            </w:tcBorders>
          </w:tcPr>
          <w:p w14:paraId="3C6FDC6D"/>
        </w:tc>
        <w:tc>
          <w:tcPr>
            <w:tcW w:w="1368" w:type="dxa"/>
            <w:vMerge w:val="continue"/>
            <w:tcBorders>
              <w:top w:val="nil"/>
            </w:tcBorders>
          </w:tcPr>
          <w:p w14:paraId="2A681837"/>
        </w:tc>
        <w:tc>
          <w:tcPr>
            <w:tcW w:w="1713" w:type="dxa"/>
          </w:tcPr>
          <w:p w14:paraId="7675CEEB">
            <w:pPr>
              <w:spacing w:line="276" w:lineRule="exact"/>
              <w:ind w:left="201"/>
              <w:rPr>
                <w:rFonts w:ascii="宋体" w:hAnsi="宋体" w:eastAsia="宋体" w:cs="宋体"/>
                <w:sz w:val="20"/>
                <w:szCs w:val="20"/>
              </w:rPr>
            </w:pPr>
            <w:r>
              <w:rPr>
                <w:rFonts w:ascii="宋体" w:hAnsi="宋体" w:eastAsia="宋体" w:cs="宋体"/>
                <w:spacing w:val="8"/>
                <w:position w:val="2"/>
                <w:sz w:val="20"/>
                <w:szCs w:val="20"/>
              </w:rPr>
              <w:t>容</w:t>
            </w:r>
            <w:r>
              <w:rPr>
                <w:rFonts w:ascii="宋体" w:hAnsi="宋体" w:eastAsia="宋体" w:cs="宋体"/>
                <w:spacing w:val="6"/>
                <w:position w:val="2"/>
                <w:sz w:val="20"/>
                <w:szCs w:val="20"/>
              </w:rPr>
              <w:t>重</w:t>
            </w:r>
            <w:r>
              <w:rPr>
                <w:rFonts w:ascii="宋体" w:hAnsi="宋体" w:eastAsia="宋体" w:cs="宋体"/>
                <w:spacing w:val="4"/>
                <w:position w:val="2"/>
                <w:sz w:val="20"/>
                <w:szCs w:val="20"/>
              </w:rPr>
              <w:t xml:space="preserve"> (</w:t>
            </w:r>
            <w:r>
              <w:rPr>
                <w:rFonts w:ascii="Times New Roman" w:hAnsi="Times New Roman" w:eastAsia="Times New Roman" w:cs="Times New Roman"/>
                <w:position w:val="2"/>
                <w:sz w:val="20"/>
                <w:szCs w:val="20"/>
              </w:rPr>
              <w:t>g</w:t>
            </w:r>
            <w:r>
              <w:rPr>
                <w:rFonts w:ascii="Times New Roman" w:hAnsi="Times New Roman" w:eastAsia="Times New Roman" w:cs="Times New Roman"/>
                <w:spacing w:val="4"/>
                <w:position w:val="2"/>
                <w:sz w:val="20"/>
                <w:szCs w:val="20"/>
              </w:rPr>
              <w:t>/</w:t>
            </w:r>
            <w:r>
              <w:rPr>
                <w:rFonts w:ascii="Times New Roman" w:hAnsi="Times New Roman" w:eastAsia="Times New Roman" w:cs="Times New Roman"/>
                <w:position w:val="2"/>
                <w:sz w:val="20"/>
                <w:szCs w:val="20"/>
              </w:rPr>
              <w:t>cm</w:t>
            </w:r>
            <w:r>
              <w:rPr>
                <w:rFonts w:ascii="Times New Roman" w:hAnsi="Times New Roman" w:eastAsia="Times New Roman" w:cs="Times New Roman"/>
                <w:spacing w:val="4"/>
                <w:position w:val="8"/>
                <w:sz w:val="13"/>
                <w:szCs w:val="13"/>
              </w:rPr>
              <w:t xml:space="preserve">3 </w:t>
            </w:r>
            <w:r>
              <w:rPr>
                <w:rFonts w:ascii="宋体" w:hAnsi="宋体" w:eastAsia="宋体" w:cs="宋体"/>
                <w:spacing w:val="4"/>
                <w:position w:val="2"/>
                <w:sz w:val="20"/>
                <w:szCs w:val="20"/>
              </w:rPr>
              <w:t>)</w:t>
            </w:r>
          </w:p>
        </w:tc>
        <w:tc>
          <w:tcPr>
            <w:tcW w:w="1311" w:type="dxa"/>
          </w:tcPr>
          <w:p w14:paraId="208FFE84"/>
        </w:tc>
        <w:tc>
          <w:tcPr>
            <w:tcW w:w="1260" w:type="dxa"/>
          </w:tcPr>
          <w:p w14:paraId="4F23CC38"/>
        </w:tc>
        <w:tc>
          <w:tcPr>
            <w:tcW w:w="1005" w:type="dxa"/>
          </w:tcPr>
          <w:p w14:paraId="2B5E5803"/>
        </w:tc>
        <w:tc>
          <w:tcPr>
            <w:tcW w:w="1287" w:type="dxa"/>
            <w:tcBorders>
              <w:right w:val="nil"/>
            </w:tcBorders>
          </w:tcPr>
          <w:p w14:paraId="5D63327F">
            <w:pPr>
              <w:spacing w:line="276" w:lineRule="exact"/>
              <w:ind w:left="61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3EB74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931" w:type="dxa"/>
            <w:vMerge w:val="continue"/>
            <w:tcBorders>
              <w:top w:val="nil"/>
              <w:left w:val="nil"/>
              <w:bottom w:val="nil"/>
            </w:tcBorders>
          </w:tcPr>
          <w:p w14:paraId="0E91A0A4"/>
        </w:tc>
        <w:tc>
          <w:tcPr>
            <w:tcW w:w="1368" w:type="dxa"/>
            <w:vMerge w:val="restart"/>
            <w:tcBorders>
              <w:bottom w:val="nil"/>
            </w:tcBorders>
          </w:tcPr>
          <w:p w14:paraId="03CC725F">
            <w:pPr>
              <w:spacing w:line="262" w:lineRule="auto"/>
            </w:pPr>
          </w:p>
          <w:p w14:paraId="554C623B">
            <w:pPr>
              <w:spacing w:line="263" w:lineRule="auto"/>
            </w:pPr>
          </w:p>
          <w:p w14:paraId="6E61425B">
            <w:pPr>
              <w:spacing w:line="263" w:lineRule="auto"/>
            </w:pPr>
          </w:p>
          <w:p w14:paraId="243B7D7E">
            <w:pPr>
              <w:spacing w:line="263" w:lineRule="auto"/>
            </w:pPr>
          </w:p>
          <w:p w14:paraId="194A1BEC">
            <w:pPr>
              <w:spacing w:line="263" w:lineRule="auto"/>
            </w:pPr>
          </w:p>
          <w:p w14:paraId="4B1DFBB5">
            <w:pPr>
              <w:spacing w:before="57" w:line="281" w:lineRule="exact"/>
              <w:ind w:left="585"/>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3</w:t>
            </w:r>
            <w:r>
              <w:rPr>
                <w:rFonts w:ascii="Times New Roman" w:hAnsi="Times New Roman" w:eastAsia="Times New Roman" w:cs="Times New Roman"/>
                <w:position w:val="2"/>
                <w:sz w:val="20"/>
                <w:szCs w:val="20"/>
              </w:rPr>
              <w:t>#</w:t>
            </w:r>
          </w:p>
        </w:tc>
        <w:tc>
          <w:tcPr>
            <w:tcW w:w="1713" w:type="dxa"/>
          </w:tcPr>
          <w:p w14:paraId="584E39D3">
            <w:pPr>
              <w:spacing w:before="148" w:line="194" w:lineRule="auto"/>
              <w:ind w:left="737"/>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pH</w:t>
            </w:r>
          </w:p>
        </w:tc>
        <w:tc>
          <w:tcPr>
            <w:tcW w:w="1311" w:type="dxa"/>
          </w:tcPr>
          <w:p w14:paraId="4C0D4325"/>
        </w:tc>
        <w:tc>
          <w:tcPr>
            <w:tcW w:w="1260" w:type="dxa"/>
          </w:tcPr>
          <w:p w14:paraId="33D5C712"/>
        </w:tc>
        <w:tc>
          <w:tcPr>
            <w:tcW w:w="1005" w:type="dxa"/>
          </w:tcPr>
          <w:p w14:paraId="2B42D535"/>
        </w:tc>
        <w:tc>
          <w:tcPr>
            <w:tcW w:w="1287" w:type="dxa"/>
            <w:tcBorders>
              <w:right w:val="nil"/>
            </w:tcBorders>
          </w:tcPr>
          <w:p w14:paraId="3DFA19A9">
            <w:pPr>
              <w:spacing w:before="26" w:line="281" w:lineRule="exact"/>
              <w:ind w:left="61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438C09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931" w:type="dxa"/>
            <w:vMerge w:val="continue"/>
            <w:tcBorders>
              <w:top w:val="nil"/>
              <w:left w:val="nil"/>
              <w:bottom w:val="nil"/>
            </w:tcBorders>
          </w:tcPr>
          <w:p w14:paraId="180D229E"/>
        </w:tc>
        <w:tc>
          <w:tcPr>
            <w:tcW w:w="1368" w:type="dxa"/>
            <w:vMerge w:val="continue"/>
            <w:tcBorders>
              <w:top w:val="nil"/>
              <w:bottom w:val="nil"/>
            </w:tcBorders>
          </w:tcPr>
          <w:p w14:paraId="4AF5C630"/>
        </w:tc>
        <w:tc>
          <w:tcPr>
            <w:tcW w:w="1713" w:type="dxa"/>
          </w:tcPr>
          <w:p w14:paraId="51C10185">
            <w:pPr>
              <w:spacing w:before="107" w:line="228" w:lineRule="auto"/>
              <w:ind w:left="766"/>
              <w:rPr>
                <w:rFonts w:ascii="宋体" w:hAnsi="宋体" w:eastAsia="宋体" w:cs="宋体"/>
                <w:sz w:val="20"/>
                <w:szCs w:val="20"/>
              </w:rPr>
            </w:pPr>
            <w:r>
              <w:rPr>
                <w:rFonts w:ascii="宋体" w:hAnsi="宋体" w:eastAsia="宋体" w:cs="宋体"/>
                <w:spacing w:val="1"/>
                <w:sz w:val="20"/>
                <w:szCs w:val="20"/>
              </w:rPr>
              <w:t>砷</w:t>
            </w:r>
          </w:p>
        </w:tc>
        <w:tc>
          <w:tcPr>
            <w:tcW w:w="1311" w:type="dxa"/>
          </w:tcPr>
          <w:p w14:paraId="74641C3C"/>
        </w:tc>
        <w:tc>
          <w:tcPr>
            <w:tcW w:w="1260" w:type="dxa"/>
          </w:tcPr>
          <w:p w14:paraId="3F9C3098"/>
        </w:tc>
        <w:tc>
          <w:tcPr>
            <w:tcW w:w="1005" w:type="dxa"/>
          </w:tcPr>
          <w:p w14:paraId="6601085D"/>
        </w:tc>
        <w:tc>
          <w:tcPr>
            <w:tcW w:w="1287" w:type="dxa"/>
            <w:tcBorders>
              <w:right w:val="nil"/>
            </w:tcBorders>
          </w:tcPr>
          <w:p w14:paraId="50AACD1F">
            <w:pPr>
              <w:spacing w:before="71" w:line="228" w:lineRule="auto"/>
              <w:ind w:left="438"/>
              <w:rPr>
                <w:rFonts w:ascii="宋体" w:hAnsi="宋体" w:eastAsia="宋体" w:cs="宋体"/>
                <w:sz w:val="20"/>
                <w:szCs w:val="20"/>
              </w:rPr>
            </w:pPr>
            <w:r>
              <w:rPr>
                <w:rFonts w:ascii="宋体" w:hAnsi="宋体" w:eastAsia="宋体" w:cs="宋体"/>
                <w:spacing w:val="5"/>
                <w:sz w:val="20"/>
                <w:szCs w:val="20"/>
              </w:rPr>
              <w:t>达标</w:t>
            </w:r>
          </w:p>
        </w:tc>
      </w:tr>
      <w:tr w14:paraId="154E75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931" w:type="dxa"/>
            <w:vMerge w:val="continue"/>
            <w:tcBorders>
              <w:top w:val="nil"/>
              <w:left w:val="nil"/>
              <w:bottom w:val="nil"/>
            </w:tcBorders>
          </w:tcPr>
          <w:p w14:paraId="6E4EF15F"/>
        </w:tc>
        <w:tc>
          <w:tcPr>
            <w:tcW w:w="1368" w:type="dxa"/>
            <w:vMerge w:val="continue"/>
            <w:tcBorders>
              <w:top w:val="nil"/>
              <w:bottom w:val="nil"/>
            </w:tcBorders>
          </w:tcPr>
          <w:p w14:paraId="658EAE23"/>
        </w:tc>
        <w:tc>
          <w:tcPr>
            <w:tcW w:w="1713" w:type="dxa"/>
          </w:tcPr>
          <w:p w14:paraId="2DBB72D2">
            <w:pPr>
              <w:spacing w:before="110" w:line="222" w:lineRule="auto"/>
              <w:ind w:left="765"/>
              <w:rPr>
                <w:rFonts w:ascii="宋体" w:hAnsi="宋体" w:eastAsia="宋体" w:cs="宋体"/>
                <w:sz w:val="20"/>
                <w:szCs w:val="20"/>
              </w:rPr>
            </w:pPr>
            <w:r>
              <w:rPr>
                <w:rFonts w:ascii="宋体" w:hAnsi="宋体" w:eastAsia="宋体" w:cs="宋体"/>
                <w:spacing w:val="2"/>
                <w:sz w:val="20"/>
                <w:szCs w:val="20"/>
              </w:rPr>
              <w:t>镉</w:t>
            </w:r>
          </w:p>
        </w:tc>
        <w:tc>
          <w:tcPr>
            <w:tcW w:w="1311" w:type="dxa"/>
          </w:tcPr>
          <w:p w14:paraId="0B30B0AB"/>
        </w:tc>
        <w:tc>
          <w:tcPr>
            <w:tcW w:w="1260" w:type="dxa"/>
          </w:tcPr>
          <w:p w14:paraId="65F64372"/>
        </w:tc>
        <w:tc>
          <w:tcPr>
            <w:tcW w:w="1005" w:type="dxa"/>
          </w:tcPr>
          <w:p w14:paraId="33865683"/>
        </w:tc>
        <w:tc>
          <w:tcPr>
            <w:tcW w:w="1287" w:type="dxa"/>
            <w:tcBorders>
              <w:right w:val="nil"/>
            </w:tcBorders>
          </w:tcPr>
          <w:p w14:paraId="43B1C139">
            <w:pPr>
              <w:spacing w:before="72" w:line="228" w:lineRule="auto"/>
              <w:ind w:left="438"/>
              <w:rPr>
                <w:rFonts w:ascii="宋体" w:hAnsi="宋体" w:eastAsia="宋体" w:cs="宋体"/>
                <w:sz w:val="20"/>
                <w:szCs w:val="20"/>
              </w:rPr>
            </w:pPr>
            <w:r>
              <w:rPr>
                <w:rFonts w:ascii="宋体" w:hAnsi="宋体" w:eastAsia="宋体" w:cs="宋体"/>
                <w:spacing w:val="5"/>
                <w:sz w:val="20"/>
                <w:szCs w:val="20"/>
              </w:rPr>
              <w:t>达标</w:t>
            </w:r>
          </w:p>
        </w:tc>
      </w:tr>
      <w:tr w14:paraId="49CAAA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931" w:type="dxa"/>
            <w:vMerge w:val="continue"/>
            <w:tcBorders>
              <w:top w:val="nil"/>
              <w:left w:val="nil"/>
              <w:bottom w:val="nil"/>
            </w:tcBorders>
          </w:tcPr>
          <w:p w14:paraId="7DF25EDE"/>
        </w:tc>
        <w:tc>
          <w:tcPr>
            <w:tcW w:w="1368" w:type="dxa"/>
            <w:vMerge w:val="continue"/>
            <w:tcBorders>
              <w:top w:val="nil"/>
              <w:bottom w:val="nil"/>
            </w:tcBorders>
          </w:tcPr>
          <w:p w14:paraId="562E5FD6"/>
        </w:tc>
        <w:tc>
          <w:tcPr>
            <w:tcW w:w="1713" w:type="dxa"/>
          </w:tcPr>
          <w:p w14:paraId="4C1F71E1">
            <w:pPr>
              <w:spacing w:before="109" w:line="224" w:lineRule="auto"/>
              <w:ind w:left="562"/>
              <w:rPr>
                <w:rFonts w:ascii="宋体" w:hAnsi="宋体" w:eastAsia="宋体" w:cs="宋体"/>
                <w:sz w:val="20"/>
                <w:szCs w:val="20"/>
              </w:rPr>
            </w:pPr>
            <w:r>
              <w:rPr>
                <w:rFonts w:ascii="宋体" w:hAnsi="宋体" w:eastAsia="宋体" w:cs="宋体"/>
                <w:spacing w:val="7"/>
                <w:sz w:val="20"/>
                <w:szCs w:val="20"/>
              </w:rPr>
              <w:t>六</w:t>
            </w:r>
            <w:r>
              <w:rPr>
                <w:rFonts w:ascii="宋体" w:hAnsi="宋体" w:eastAsia="宋体" w:cs="宋体"/>
                <w:spacing w:val="6"/>
                <w:sz w:val="20"/>
                <w:szCs w:val="20"/>
              </w:rPr>
              <w:t>价铬</w:t>
            </w:r>
          </w:p>
        </w:tc>
        <w:tc>
          <w:tcPr>
            <w:tcW w:w="1311" w:type="dxa"/>
          </w:tcPr>
          <w:p w14:paraId="6D60961C"/>
        </w:tc>
        <w:tc>
          <w:tcPr>
            <w:tcW w:w="1260" w:type="dxa"/>
          </w:tcPr>
          <w:p w14:paraId="2D6B940E"/>
        </w:tc>
        <w:tc>
          <w:tcPr>
            <w:tcW w:w="1005" w:type="dxa"/>
          </w:tcPr>
          <w:p w14:paraId="131B9583"/>
        </w:tc>
        <w:tc>
          <w:tcPr>
            <w:tcW w:w="1287" w:type="dxa"/>
            <w:tcBorders>
              <w:right w:val="nil"/>
            </w:tcBorders>
          </w:tcPr>
          <w:p w14:paraId="24436D73">
            <w:pPr>
              <w:spacing w:before="35" w:line="281" w:lineRule="exact"/>
              <w:ind w:left="61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064D7B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931" w:type="dxa"/>
            <w:vMerge w:val="continue"/>
            <w:tcBorders>
              <w:top w:val="nil"/>
              <w:left w:val="nil"/>
              <w:bottom w:val="nil"/>
            </w:tcBorders>
          </w:tcPr>
          <w:p w14:paraId="7F043BCB"/>
        </w:tc>
        <w:tc>
          <w:tcPr>
            <w:tcW w:w="1368" w:type="dxa"/>
            <w:vMerge w:val="continue"/>
            <w:tcBorders>
              <w:top w:val="nil"/>
              <w:bottom w:val="nil"/>
            </w:tcBorders>
          </w:tcPr>
          <w:p w14:paraId="6076CA9D"/>
        </w:tc>
        <w:tc>
          <w:tcPr>
            <w:tcW w:w="1713" w:type="dxa"/>
          </w:tcPr>
          <w:p w14:paraId="4847CA38">
            <w:pPr>
              <w:spacing w:before="110" w:line="222" w:lineRule="auto"/>
              <w:ind w:left="767"/>
              <w:rPr>
                <w:rFonts w:ascii="宋体" w:hAnsi="宋体" w:eastAsia="宋体" w:cs="宋体"/>
                <w:sz w:val="20"/>
                <w:szCs w:val="20"/>
              </w:rPr>
            </w:pPr>
            <w:r>
              <w:rPr>
                <w:rFonts w:ascii="宋体" w:hAnsi="宋体" w:eastAsia="宋体" w:cs="宋体"/>
                <w:sz w:val="20"/>
                <w:szCs w:val="20"/>
              </w:rPr>
              <w:t>铜</w:t>
            </w:r>
          </w:p>
        </w:tc>
        <w:tc>
          <w:tcPr>
            <w:tcW w:w="1311" w:type="dxa"/>
          </w:tcPr>
          <w:p w14:paraId="05259060"/>
        </w:tc>
        <w:tc>
          <w:tcPr>
            <w:tcW w:w="1260" w:type="dxa"/>
          </w:tcPr>
          <w:p w14:paraId="0D20780A"/>
        </w:tc>
        <w:tc>
          <w:tcPr>
            <w:tcW w:w="1005" w:type="dxa"/>
          </w:tcPr>
          <w:p w14:paraId="31A9BDD9"/>
        </w:tc>
        <w:tc>
          <w:tcPr>
            <w:tcW w:w="1287" w:type="dxa"/>
            <w:tcBorders>
              <w:right w:val="nil"/>
            </w:tcBorders>
          </w:tcPr>
          <w:p w14:paraId="57E4F9BC">
            <w:pPr>
              <w:spacing w:before="72" w:line="228" w:lineRule="auto"/>
              <w:ind w:left="438"/>
              <w:rPr>
                <w:rFonts w:ascii="宋体" w:hAnsi="宋体" w:eastAsia="宋体" w:cs="宋体"/>
                <w:sz w:val="20"/>
                <w:szCs w:val="20"/>
              </w:rPr>
            </w:pPr>
            <w:r>
              <w:rPr>
                <w:rFonts w:ascii="宋体" w:hAnsi="宋体" w:eastAsia="宋体" w:cs="宋体"/>
                <w:spacing w:val="5"/>
                <w:sz w:val="20"/>
                <w:szCs w:val="20"/>
              </w:rPr>
              <w:t>达标</w:t>
            </w:r>
          </w:p>
        </w:tc>
      </w:tr>
      <w:tr w14:paraId="6FD65A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931" w:type="dxa"/>
            <w:vMerge w:val="continue"/>
            <w:tcBorders>
              <w:top w:val="nil"/>
              <w:left w:val="nil"/>
              <w:bottom w:val="nil"/>
            </w:tcBorders>
          </w:tcPr>
          <w:p w14:paraId="657C9F41"/>
        </w:tc>
        <w:tc>
          <w:tcPr>
            <w:tcW w:w="1368" w:type="dxa"/>
            <w:vMerge w:val="continue"/>
            <w:tcBorders>
              <w:top w:val="nil"/>
              <w:bottom w:val="nil"/>
            </w:tcBorders>
          </w:tcPr>
          <w:p w14:paraId="78F67C3E"/>
        </w:tc>
        <w:tc>
          <w:tcPr>
            <w:tcW w:w="1713" w:type="dxa"/>
          </w:tcPr>
          <w:p w14:paraId="23094B7D">
            <w:pPr>
              <w:spacing w:before="109" w:line="223" w:lineRule="auto"/>
              <w:ind w:left="767"/>
              <w:rPr>
                <w:rFonts w:ascii="宋体" w:hAnsi="宋体" w:eastAsia="宋体" w:cs="宋体"/>
                <w:sz w:val="20"/>
                <w:szCs w:val="20"/>
              </w:rPr>
            </w:pPr>
            <w:r>
              <w:rPr>
                <w:rFonts w:ascii="宋体" w:hAnsi="宋体" w:eastAsia="宋体" w:cs="宋体"/>
                <w:sz w:val="20"/>
                <w:szCs w:val="20"/>
              </w:rPr>
              <w:t>铅</w:t>
            </w:r>
          </w:p>
        </w:tc>
        <w:tc>
          <w:tcPr>
            <w:tcW w:w="1311" w:type="dxa"/>
          </w:tcPr>
          <w:p w14:paraId="36A1C2B8"/>
        </w:tc>
        <w:tc>
          <w:tcPr>
            <w:tcW w:w="1260" w:type="dxa"/>
          </w:tcPr>
          <w:p w14:paraId="76B7CB2E"/>
        </w:tc>
        <w:tc>
          <w:tcPr>
            <w:tcW w:w="1005" w:type="dxa"/>
          </w:tcPr>
          <w:p w14:paraId="03FAA8B6"/>
        </w:tc>
        <w:tc>
          <w:tcPr>
            <w:tcW w:w="1287" w:type="dxa"/>
            <w:tcBorders>
              <w:right w:val="nil"/>
            </w:tcBorders>
          </w:tcPr>
          <w:p w14:paraId="4227117A">
            <w:pPr>
              <w:spacing w:before="73" w:line="228" w:lineRule="auto"/>
              <w:ind w:left="438"/>
              <w:rPr>
                <w:rFonts w:ascii="宋体" w:hAnsi="宋体" w:eastAsia="宋体" w:cs="宋体"/>
                <w:sz w:val="20"/>
                <w:szCs w:val="20"/>
              </w:rPr>
            </w:pPr>
            <w:r>
              <w:rPr>
                <w:rFonts w:ascii="宋体" w:hAnsi="宋体" w:eastAsia="宋体" w:cs="宋体"/>
                <w:spacing w:val="5"/>
                <w:sz w:val="20"/>
                <w:szCs w:val="20"/>
              </w:rPr>
              <w:t>达标</w:t>
            </w:r>
          </w:p>
        </w:tc>
      </w:tr>
      <w:tr w14:paraId="6CBE7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931" w:type="dxa"/>
            <w:vMerge w:val="continue"/>
            <w:tcBorders>
              <w:top w:val="nil"/>
              <w:left w:val="nil"/>
              <w:bottom w:val="nil"/>
            </w:tcBorders>
          </w:tcPr>
          <w:p w14:paraId="0D59B60B"/>
        </w:tc>
        <w:tc>
          <w:tcPr>
            <w:tcW w:w="1368" w:type="dxa"/>
            <w:vMerge w:val="continue"/>
            <w:tcBorders>
              <w:top w:val="nil"/>
              <w:bottom w:val="nil"/>
            </w:tcBorders>
          </w:tcPr>
          <w:p w14:paraId="45A96EA1"/>
        </w:tc>
        <w:tc>
          <w:tcPr>
            <w:tcW w:w="1713" w:type="dxa"/>
          </w:tcPr>
          <w:p w14:paraId="1005FDE4">
            <w:pPr>
              <w:spacing w:before="110" w:line="223" w:lineRule="auto"/>
              <w:ind w:left="768"/>
              <w:rPr>
                <w:rFonts w:ascii="宋体" w:hAnsi="宋体" w:eastAsia="宋体" w:cs="宋体"/>
                <w:sz w:val="20"/>
                <w:szCs w:val="20"/>
              </w:rPr>
            </w:pPr>
            <w:r>
              <w:rPr>
                <w:rFonts w:ascii="宋体" w:hAnsi="宋体" w:eastAsia="宋体" w:cs="宋体"/>
                <w:sz w:val="20"/>
                <w:szCs w:val="20"/>
              </w:rPr>
              <w:t>汞</w:t>
            </w:r>
          </w:p>
        </w:tc>
        <w:tc>
          <w:tcPr>
            <w:tcW w:w="1311" w:type="dxa"/>
          </w:tcPr>
          <w:p w14:paraId="50E9E0C7"/>
        </w:tc>
        <w:tc>
          <w:tcPr>
            <w:tcW w:w="1260" w:type="dxa"/>
          </w:tcPr>
          <w:p w14:paraId="3761210A"/>
        </w:tc>
        <w:tc>
          <w:tcPr>
            <w:tcW w:w="1005" w:type="dxa"/>
          </w:tcPr>
          <w:p w14:paraId="243D41F2"/>
        </w:tc>
        <w:tc>
          <w:tcPr>
            <w:tcW w:w="1287" w:type="dxa"/>
            <w:tcBorders>
              <w:right w:val="nil"/>
            </w:tcBorders>
          </w:tcPr>
          <w:p w14:paraId="5D179510">
            <w:pPr>
              <w:spacing w:before="72" w:line="228" w:lineRule="auto"/>
              <w:ind w:left="438"/>
              <w:rPr>
                <w:rFonts w:ascii="宋体" w:hAnsi="宋体" w:eastAsia="宋体" w:cs="宋体"/>
                <w:sz w:val="20"/>
                <w:szCs w:val="20"/>
              </w:rPr>
            </w:pPr>
            <w:r>
              <w:rPr>
                <w:rFonts w:ascii="宋体" w:hAnsi="宋体" w:eastAsia="宋体" w:cs="宋体"/>
                <w:spacing w:val="5"/>
                <w:sz w:val="20"/>
                <w:szCs w:val="20"/>
              </w:rPr>
              <w:t>达标</w:t>
            </w:r>
          </w:p>
        </w:tc>
      </w:tr>
      <w:tr w14:paraId="4E392A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931" w:type="dxa"/>
            <w:vMerge w:val="continue"/>
            <w:tcBorders>
              <w:top w:val="nil"/>
              <w:left w:val="nil"/>
              <w:bottom w:val="nil"/>
            </w:tcBorders>
          </w:tcPr>
          <w:p w14:paraId="60FB9C67"/>
        </w:tc>
        <w:tc>
          <w:tcPr>
            <w:tcW w:w="1368" w:type="dxa"/>
            <w:vMerge w:val="continue"/>
            <w:tcBorders>
              <w:top w:val="nil"/>
              <w:bottom w:val="nil"/>
            </w:tcBorders>
          </w:tcPr>
          <w:p w14:paraId="2FAC1388"/>
        </w:tc>
        <w:tc>
          <w:tcPr>
            <w:tcW w:w="1713" w:type="dxa"/>
          </w:tcPr>
          <w:p w14:paraId="77760266">
            <w:pPr>
              <w:spacing w:before="37" w:line="222" w:lineRule="auto"/>
              <w:ind w:left="754"/>
              <w:rPr>
                <w:rFonts w:ascii="宋体" w:hAnsi="宋体" w:eastAsia="宋体" w:cs="宋体"/>
                <w:sz w:val="20"/>
                <w:szCs w:val="20"/>
              </w:rPr>
            </w:pPr>
            <w:r>
              <w:rPr>
                <w:rFonts w:ascii="宋体" w:hAnsi="宋体" w:eastAsia="宋体" w:cs="宋体"/>
                <w:spacing w:val="1"/>
                <w:sz w:val="20"/>
                <w:szCs w:val="20"/>
              </w:rPr>
              <w:t>镍</w:t>
            </w:r>
          </w:p>
        </w:tc>
        <w:tc>
          <w:tcPr>
            <w:tcW w:w="1311" w:type="dxa"/>
          </w:tcPr>
          <w:p w14:paraId="0546F387"/>
        </w:tc>
        <w:tc>
          <w:tcPr>
            <w:tcW w:w="1260" w:type="dxa"/>
          </w:tcPr>
          <w:p w14:paraId="0DF927E3"/>
        </w:tc>
        <w:tc>
          <w:tcPr>
            <w:tcW w:w="1005" w:type="dxa"/>
          </w:tcPr>
          <w:p w14:paraId="2A7BD887"/>
        </w:tc>
        <w:tc>
          <w:tcPr>
            <w:tcW w:w="1287" w:type="dxa"/>
            <w:tcBorders>
              <w:right w:val="nil"/>
            </w:tcBorders>
          </w:tcPr>
          <w:p w14:paraId="6C2E7B32">
            <w:pPr>
              <w:spacing w:before="37" w:line="222" w:lineRule="auto"/>
              <w:ind w:left="438"/>
              <w:rPr>
                <w:rFonts w:ascii="宋体" w:hAnsi="宋体" w:eastAsia="宋体" w:cs="宋体"/>
                <w:sz w:val="20"/>
                <w:szCs w:val="20"/>
              </w:rPr>
            </w:pPr>
            <w:r>
              <w:rPr>
                <w:rFonts w:ascii="宋体" w:hAnsi="宋体" w:eastAsia="宋体" w:cs="宋体"/>
                <w:spacing w:val="5"/>
                <w:sz w:val="20"/>
                <w:szCs w:val="20"/>
              </w:rPr>
              <w:t>达标</w:t>
            </w:r>
          </w:p>
        </w:tc>
      </w:tr>
      <w:tr w14:paraId="28194E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931" w:type="dxa"/>
            <w:vMerge w:val="continue"/>
            <w:tcBorders>
              <w:top w:val="nil"/>
              <w:left w:val="nil"/>
            </w:tcBorders>
          </w:tcPr>
          <w:p w14:paraId="02186647"/>
        </w:tc>
        <w:tc>
          <w:tcPr>
            <w:tcW w:w="1368" w:type="dxa"/>
            <w:vMerge w:val="continue"/>
            <w:tcBorders>
              <w:top w:val="nil"/>
            </w:tcBorders>
          </w:tcPr>
          <w:p w14:paraId="7D185BE6"/>
        </w:tc>
        <w:tc>
          <w:tcPr>
            <w:tcW w:w="1713" w:type="dxa"/>
          </w:tcPr>
          <w:p w14:paraId="2A8A89E8">
            <w:pPr>
              <w:spacing w:before="37" w:line="228" w:lineRule="auto"/>
              <w:ind w:left="754"/>
              <w:rPr>
                <w:rFonts w:ascii="宋体" w:hAnsi="宋体" w:eastAsia="宋体" w:cs="宋体"/>
                <w:sz w:val="20"/>
                <w:szCs w:val="20"/>
              </w:rPr>
            </w:pPr>
            <w:r>
              <w:rPr>
                <w:rFonts w:ascii="宋体" w:hAnsi="宋体" w:eastAsia="宋体" w:cs="宋体"/>
                <w:spacing w:val="1"/>
                <w:sz w:val="20"/>
                <w:szCs w:val="20"/>
              </w:rPr>
              <w:t>锌</w:t>
            </w:r>
          </w:p>
        </w:tc>
        <w:tc>
          <w:tcPr>
            <w:tcW w:w="1311" w:type="dxa"/>
          </w:tcPr>
          <w:p w14:paraId="1FD963B9"/>
        </w:tc>
        <w:tc>
          <w:tcPr>
            <w:tcW w:w="1260" w:type="dxa"/>
          </w:tcPr>
          <w:p w14:paraId="71D36CE5"/>
        </w:tc>
        <w:tc>
          <w:tcPr>
            <w:tcW w:w="1005" w:type="dxa"/>
          </w:tcPr>
          <w:p w14:paraId="57059257"/>
        </w:tc>
        <w:tc>
          <w:tcPr>
            <w:tcW w:w="1287" w:type="dxa"/>
            <w:tcBorders>
              <w:right w:val="nil"/>
            </w:tcBorders>
          </w:tcPr>
          <w:p w14:paraId="0BCBE4E8">
            <w:pPr>
              <w:spacing w:before="37" w:line="228" w:lineRule="auto"/>
              <w:ind w:left="438"/>
              <w:rPr>
                <w:rFonts w:ascii="宋体" w:hAnsi="宋体" w:eastAsia="宋体" w:cs="宋体"/>
                <w:sz w:val="20"/>
                <w:szCs w:val="20"/>
              </w:rPr>
            </w:pPr>
            <w:r>
              <w:rPr>
                <w:rFonts w:ascii="宋体" w:hAnsi="宋体" w:eastAsia="宋体" w:cs="宋体"/>
                <w:spacing w:val="5"/>
                <w:sz w:val="20"/>
                <w:szCs w:val="20"/>
              </w:rPr>
              <w:t>达标</w:t>
            </w:r>
          </w:p>
        </w:tc>
      </w:tr>
    </w:tbl>
    <w:p w14:paraId="6DF1FDD8">
      <w:pPr>
        <w:spacing w:line="327" w:lineRule="auto"/>
      </w:pPr>
    </w:p>
    <w:p w14:paraId="77A437B5">
      <w:pPr>
        <w:spacing w:before="75" w:line="323" w:lineRule="exact"/>
        <w:ind w:left="1353"/>
        <w:rPr>
          <w:rFonts w:ascii="黑体" w:hAnsi="黑体" w:eastAsia="黑体" w:cs="黑体"/>
          <w:sz w:val="23"/>
          <w:szCs w:val="23"/>
        </w:rPr>
      </w:pPr>
      <w:r>
        <w:rPr>
          <w:rFonts w:ascii="黑体" w:hAnsi="黑体" w:eastAsia="黑体" w:cs="黑体"/>
          <w:spacing w:val="4"/>
          <w:position w:val="3"/>
          <w:sz w:val="23"/>
          <w:szCs w:val="23"/>
        </w:rPr>
        <w:t xml:space="preserve">表 </w:t>
      </w:r>
      <w:r>
        <w:rPr>
          <w:rFonts w:ascii="Times New Roman" w:hAnsi="Times New Roman" w:eastAsia="Times New Roman" w:cs="Times New Roman"/>
          <w:spacing w:val="4"/>
          <w:position w:val="3"/>
          <w:sz w:val="23"/>
          <w:szCs w:val="23"/>
        </w:rPr>
        <w:t>4.</w:t>
      </w:r>
      <w:r>
        <w:rPr>
          <w:rFonts w:ascii="Times New Roman" w:hAnsi="Times New Roman" w:eastAsia="Times New Roman" w:cs="Times New Roman"/>
          <w:spacing w:val="2"/>
          <w:position w:val="3"/>
          <w:sz w:val="23"/>
          <w:szCs w:val="23"/>
        </w:rPr>
        <w:t xml:space="preserve">2- 15  </w:t>
      </w:r>
      <w:r>
        <w:rPr>
          <w:rFonts w:ascii="黑体" w:hAnsi="黑体" w:eastAsia="黑体" w:cs="黑体"/>
          <w:spacing w:val="2"/>
          <w:position w:val="3"/>
          <w:sz w:val="23"/>
          <w:szCs w:val="23"/>
        </w:rPr>
        <w:t>土壤监测结果及评价    (单位：</w:t>
      </w:r>
      <w:r>
        <w:rPr>
          <w:rFonts w:ascii="Times New Roman" w:hAnsi="Times New Roman" w:eastAsia="Times New Roman" w:cs="Times New Roman"/>
          <w:position w:val="3"/>
          <w:sz w:val="23"/>
          <w:szCs w:val="23"/>
        </w:rPr>
        <w:t>mg</w:t>
      </w:r>
      <w:r>
        <w:rPr>
          <w:rFonts w:ascii="Times New Roman" w:hAnsi="Times New Roman" w:eastAsia="Times New Roman" w:cs="Times New Roman"/>
          <w:spacing w:val="2"/>
          <w:position w:val="3"/>
          <w:sz w:val="23"/>
          <w:szCs w:val="23"/>
        </w:rPr>
        <w:t>/</w:t>
      </w:r>
      <w:r>
        <w:rPr>
          <w:rFonts w:ascii="Times New Roman" w:hAnsi="Times New Roman" w:eastAsia="Times New Roman" w:cs="Times New Roman"/>
          <w:position w:val="3"/>
          <w:sz w:val="23"/>
          <w:szCs w:val="23"/>
        </w:rPr>
        <w:t>kg</w:t>
      </w:r>
      <w:r>
        <w:rPr>
          <w:rFonts w:ascii="Times New Roman" w:hAnsi="Times New Roman" w:eastAsia="Times New Roman" w:cs="Times New Roman"/>
          <w:spacing w:val="2"/>
          <w:position w:val="3"/>
          <w:sz w:val="23"/>
          <w:szCs w:val="23"/>
        </w:rPr>
        <w:t xml:space="preserve"> </w:t>
      </w:r>
      <w:r>
        <w:rPr>
          <w:rFonts w:ascii="黑体" w:hAnsi="黑体" w:eastAsia="黑体" w:cs="黑体"/>
          <w:spacing w:val="2"/>
          <w:position w:val="3"/>
          <w:sz w:val="23"/>
          <w:szCs w:val="23"/>
        </w:rPr>
        <w:t>，</w:t>
      </w:r>
      <w:r>
        <w:rPr>
          <w:rFonts w:ascii="Times New Roman" w:hAnsi="Times New Roman" w:eastAsia="Times New Roman" w:cs="Times New Roman"/>
          <w:position w:val="3"/>
          <w:sz w:val="23"/>
          <w:szCs w:val="23"/>
        </w:rPr>
        <w:t>pH</w:t>
      </w:r>
      <w:r>
        <w:rPr>
          <w:rFonts w:ascii="Times New Roman" w:hAnsi="Times New Roman" w:eastAsia="Times New Roman" w:cs="Times New Roman"/>
          <w:spacing w:val="2"/>
          <w:position w:val="3"/>
          <w:sz w:val="23"/>
          <w:szCs w:val="23"/>
        </w:rPr>
        <w:t xml:space="preserve"> </w:t>
      </w:r>
      <w:r>
        <w:rPr>
          <w:rFonts w:ascii="黑体" w:hAnsi="黑体" w:eastAsia="黑体" w:cs="黑体"/>
          <w:spacing w:val="2"/>
          <w:position w:val="3"/>
          <w:sz w:val="23"/>
          <w:szCs w:val="23"/>
        </w:rPr>
        <w:t>无量纲)</w:t>
      </w:r>
    </w:p>
    <w:p w14:paraId="71FA1EDA">
      <w:pPr>
        <w:spacing w:line="154" w:lineRule="exact"/>
      </w:pPr>
    </w:p>
    <w:tbl>
      <w:tblPr>
        <w:tblStyle w:val="4"/>
        <w:tblW w:w="887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1"/>
        <w:gridCol w:w="1213"/>
        <w:gridCol w:w="1867"/>
        <w:gridCol w:w="1312"/>
        <w:gridCol w:w="1260"/>
        <w:gridCol w:w="1005"/>
        <w:gridCol w:w="1287"/>
      </w:tblGrid>
      <w:tr w14:paraId="66448B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931" w:type="dxa"/>
            <w:tcBorders>
              <w:left w:val="nil"/>
            </w:tcBorders>
          </w:tcPr>
          <w:p w14:paraId="237E7407">
            <w:pPr>
              <w:spacing w:before="103" w:line="230" w:lineRule="auto"/>
              <w:ind w:left="273"/>
              <w:rPr>
                <w:rFonts w:ascii="宋体" w:hAnsi="宋体" w:eastAsia="宋体" w:cs="宋体"/>
                <w:sz w:val="20"/>
                <w:szCs w:val="20"/>
              </w:rPr>
            </w:pPr>
            <w:r>
              <w:rPr>
                <w:rFonts w:ascii="宋体" w:hAnsi="宋体" w:eastAsia="宋体" w:cs="宋体"/>
                <w:spacing w:val="1"/>
                <w:sz w:val="20"/>
                <w:szCs w:val="20"/>
                <w14:textOutline w14:w="3797" w14:cap="sq" w14:cmpd="sng" w14:algn="ctr">
                  <w14:solidFill>
                    <w14:srgbClr w14:val="000000"/>
                  </w14:solidFill>
                  <w14:prstDash w14:val="solid"/>
                  <w14:bevel/>
                </w14:textOutline>
              </w:rPr>
              <w:t>时间</w:t>
            </w:r>
          </w:p>
        </w:tc>
        <w:tc>
          <w:tcPr>
            <w:tcW w:w="1213" w:type="dxa"/>
          </w:tcPr>
          <w:p w14:paraId="4535FA7F">
            <w:pPr>
              <w:spacing w:before="103" w:line="229" w:lineRule="auto"/>
              <w:ind w:left="413"/>
              <w:rPr>
                <w:rFonts w:ascii="宋体" w:hAnsi="宋体" w:eastAsia="宋体" w:cs="宋体"/>
                <w:sz w:val="20"/>
                <w:szCs w:val="20"/>
              </w:rPr>
            </w:pPr>
            <w:r>
              <w:rPr>
                <w:rFonts w:ascii="宋体" w:hAnsi="宋体" w:eastAsia="宋体" w:cs="宋体"/>
                <w:spacing w:val="1"/>
                <w:sz w:val="20"/>
                <w:szCs w:val="20"/>
                <w14:textOutline w14:w="3797" w14:cap="sq" w14:cmpd="sng" w14:algn="ctr">
                  <w14:solidFill>
                    <w14:srgbClr w14:val="000000"/>
                  </w14:solidFill>
                  <w14:prstDash w14:val="solid"/>
                  <w14:bevel/>
                </w14:textOutline>
              </w:rPr>
              <w:t>点</w:t>
            </w:r>
            <w:r>
              <w:rPr>
                <w:rFonts w:ascii="宋体" w:hAnsi="宋体" w:eastAsia="宋体" w:cs="宋体"/>
                <w:sz w:val="20"/>
                <w:szCs w:val="20"/>
                <w14:textOutline w14:w="3797" w14:cap="sq" w14:cmpd="sng" w14:algn="ctr">
                  <w14:solidFill>
                    <w14:srgbClr w14:val="000000"/>
                  </w14:solidFill>
                  <w14:prstDash w14:val="solid"/>
                  <w14:bevel/>
                </w14:textOutline>
              </w:rPr>
              <w:t>位</w:t>
            </w:r>
          </w:p>
        </w:tc>
        <w:tc>
          <w:tcPr>
            <w:tcW w:w="1867" w:type="dxa"/>
          </w:tcPr>
          <w:p w14:paraId="42D7BEB1">
            <w:pPr>
              <w:spacing w:before="103" w:line="228" w:lineRule="auto"/>
              <w:ind w:left="733"/>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项目</w:t>
            </w:r>
          </w:p>
        </w:tc>
        <w:tc>
          <w:tcPr>
            <w:tcW w:w="1312" w:type="dxa"/>
          </w:tcPr>
          <w:p w14:paraId="69BB5CFF">
            <w:pPr>
              <w:spacing w:before="102" w:line="228" w:lineRule="auto"/>
              <w:ind w:left="347"/>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监</w:t>
            </w:r>
            <w:r>
              <w:rPr>
                <w:rFonts w:ascii="宋体" w:hAnsi="宋体" w:eastAsia="宋体" w:cs="宋体"/>
                <w:spacing w:val="7"/>
                <w:sz w:val="20"/>
                <w:szCs w:val="20"/>
                <w14:textOutline w14:w="3797" w14:cap="sq" w14:cmpd="sng" w14:algn="ctr">
                  <w14:solidFill>
                    <w14:srgbClr w14:val="000000"/>
                  </w14:solidFill>
                  <w14:prstDash w14:val="solid"/>
                  <w14:bevel/>
                </w14:textOutline>
              </w:rPr>
              <w:t>测值</w:t>
            </w:r>
          </w:p>
        </w:tc>
        <w:tc>
          <w:tcPr>
            <w:tcW w:w="1260" w:type="dxa"/>
          </w:tcPr>
          <w:p w14:paraId="53EB9487">
            <w:pPr>
              <w:spacing w:before="102" w:line="228" w:lineRule="auto"/>
              <w:ind w:left="216"/>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标</w:t>
            </w:r>
            <w:r>
              <w:rPr>
                <w:rFonts w:ascii="宋体" w:hAnsi="宋体" w:eastAsia="宋体" w:cs="宋体"/>
                <w:spacing w:val="8"/>
                <w:sz w:val="20"/>
                <w:szCs w:val="20"/>
                <w14:textOutline w14:w="3797" w14:cap="sq" w14:cmpd="sng" w14:algn="ctr">
                  <w14:solidFill>
                    <w14:srgbClr w14:val="000000"/>
                  </w14:solidFill>
                  <w14:prstDash w14:val="solid"/>
                  <w14:bevel/>
                </w14:textOutline>
              </w:rPr>
              <w:t>准限值</w:t>
            </w:r>
          </w:p>
        </w:tc>
        <w:tc>
          <w:tcPr>
            <w:tcW w:w="1005" w:type="dxa"/>
          </w:tcPr>
          <w:p w14:paraId="0FADDC7B">
            <w:pPr>
              <w:spacing w:before="62" w:line="289" w:lineRule="exact"/>
              <w:ind w:left="364"/>
              <w:rPr>
                <w:rFonts w:ascii="Times New Roman" w:hAnsi="Times New Roman" w:eastAsia="Times New Roman" w:cs="Times New Roman"/>
                <w:sz w:val="20"/>
                <w:szCs w:val="20"/>
              </w:rPr>
            </w:pPr>
            <w:r>
              <w:rPr>
                <w:rFonts w:ascii="Times New Roman" w:hAnsi="Times New Roman" w:eastAsia="Times New Roman" w:cs="Times New Roman"/>
                <w:b/>
                <w:bCs/>
                <w:position w:val="4"/>
                <w:sz w:val="20"/>
                <w:szCs w:val="20"/>
              </w:rPr>
              <w:t>Si,j</w:t>
            </w:r>
          </w:p>
        </w:tc>
        <w:tc>
          <w:tcPr>
            <w:tcW w:w="1287" w:type="dxa"/>
            <w:tcBorders>
              <w:right w:val="nil"/>
            </w:tcBorders>
          </w:tcPr>
          <w:p w14:paraId="1BF02191">
            <w:pPr>
              <w:spacing w:before="103" w:line="228" w:lineRule="auto"/>
              <w:ind w:left="233"/>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是</w:t>
            </w:r>
            <w:r>
              <w:rPr>
                <w:rFonts w:ascii="宋体" w:hAnsi="宋体" w:eastAsia="宋体" w:cs="宋体"/>
                <w:spacing w:val="7"/>
                <w:sz w:val="20"/>
                <w:szCs w:val="20"/>
                <w14:textOutline w14:w="3797" w14:cap="sq" w14:cmpd="sng" w14:algn="ctr">
                  <w14:solidFill>
                    <w14:srgbClr w14:val="000000"/>
                  </w14:solidFill>
                  <w14:prstDash w14:val="solid"/>
                  <w14:bevel/>
                </w14:textOutline>
              </w:rPr>
              <w:t>否达标</w:t>
            </w:r>
          </w:p>
        </w:tc>
      </w:tr>
      <w:tr w14:paraId="20C67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31" w:type="dxa"/>
            <w:vMerge w:val="restart"/>
            <w:tcBorders>
              <w:left w:val="nil"/>
              <w:bottom w:val="nil"/>
            </w:tcBorders>
          </w:tcPr>
          <w:p w14:paraId="6E9811BF">
            <w:pPr>
              <w:spacing w:line="287" w:lineRule="auto"/>
            </w:pPr>
          </w:p>
          <w:p w14:paraId="5AEDAEEB">
            <w:pPr>
              <w:spacing w:line="287" w:lineRule="auto"/>
            </w:pPr>
          </w:p>
          <w:p w14:paraId="6B5C41D0">
            <w:pPr>
              <w:spacing w:line="287" w:lineRule="auto"/>
            </w:pPr>
          </w:p>
          <w:p w14:paraId="4D55BD9A">
            <w:pPr>
              <w:spacing w:before="57" w:line="267" w:lineRule="auto"/>
              <w:ind w:left="368" w:right="145" w:hanging="212"/>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2</w:t>
            </w:r>
            <w:r>
              <w:rPr>
                <w:rFonts w:ascii="Times New Roman" w:hAnsi="Times New Roman" w:eastAsia="Times New Roman" w:cs="Times New Roman"/>
                <w:spacing w:val="5"/>
                <w:sz w:val="20"/>
                <w:szCs w:val="20"/>
              </w:rPr>
              <w:t>0</w:t>
            </w:r>
            <w:r>
              <w:rPr>
                <w:rFonts w:ascii="Times New Roman" w:hAnsi="Times New Roman" w:eastAsia="Times New Roman" w:cs="Times New Roman"/>
                <w:spacing w:val="3"/>
                <w:sz w:val="20"/>
                <w:szCs w:val="20"/>
              </w:rPr>
              <w:t>19.8.</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1"/>
                <w:sz w:val="20"/>
                <w:szCs w:val="20"/>
              </w:rPr>
              <w:t>3</w:t>
            </w:r>
            <w:r>
              <w:rPr>
                <w:rFonts w:ascii="Times New Roman" w:hAnsi="Times New Roman" w:eastAsia="Times New Roman" w:cs="Times New Roman"/>
                <w:sz w:val="20"/>
                <w:szCs w:val="20"/>
              </w:rPr>
              <w:t>0</w:t>
            </w:r>
          </w:p>
        </w:tc>
        <w:tc>
          <w:tcPr>
            <w:tcW w:w="1213" w:type="dxa"/>
            <w:vMerge w:val="restart"/>
            <w:tcBorders>
              <w:bottom w:val="nil"/>
            </w:tcBorders>
          </w:tcPr>
          <w:p w14:paraId="6D578C4B">
            <w:pPr>
              <w:spacing w:before="214" w:line="281" w:lineRule="exact"/>
              <w:ind w:left="522"/>
              <w:rPr>
                <w:rFonts w:ascii="Times New Roman" w:hAnsi="Times New Roman" w:eastAsia="Times New Roman" w:cs="Times New Roman"/>
                <w:sz w:val="20"/>
                <w:szCs w:val="20"/>
              </w:rPr>
            </w:pPr>
            <w:r>
              <w:rPr>
                <w:rFonts w:ascii="Times New Roman" w:hAnsi="Times New Roman" w:eastAsia="Times New Roman" w:cs="Times New Roman"/>
                <w:spacing w:val="-8"/>
                <w:position w:val="2"/>
                <w:sz w:val="20"/>
                <w:szCs w:val="20"/>
              </w:rPr>
              <w:t>1</w:t>
            </w:r>
            <w:r>
              <w:rPr>
                <w:rFonts w:ascii="Times New Roman" w:hAnsi="Times New Roman" w:eastAsia="Times New Roman" w:cs="Times New Roman"/>
                <w:spacing w:val="-7"/>
                <w:position w:val="2"/>
                <w:sz w:val="20"/>
                <w:szCs w:val="20"/>
              </w:rPr>
              <w:t>#</w:t>
            </w:r>
          </w:p>
        </w:tc>
        <w:tc>
          <w:tcPr>
            <w:tcW w:w="1867" w:type="dxa"/>
          </w:tcPr>
          <w:p w14:paraId="52AE00CC">
            <w:pPr>
              <w:spacing w:before="120" w:line="226" w:lineRule="auto"/>
              <w:ind w:left="252"/>
              <w:rPr>
                <w:rFonts w:ascii="宋体" w:hAnsi="宋体" w:eastAsia="宋体" w:cs="宋体"/>
                <w:sz w:val="20"/>
                <w:szCs w:val="20"/>
              </w:rPr>
            </w:pPr>
            <w:r>
              <w:rPr>
                <w:rFonts w:ascii="宋体" w:hAnsi="宋体" w:eastAsia="宋体" w:cs="宋体"/>
                <w:spacing w:val="8"/>
                <w:sz w:val="20"/>
                <w:szCs w:val="20"/>
              </w:rPr>
              <w:t>六六六总</w:t>
            </w:r>
            <w:r>
              <w:rPr>
                <w:rFonts w:ascii="宋体" w:hAnsi="宋体" w:eastAsia="宋体" w:cs="宋体"/>
                <w:spacing w:val="7"/>
                <w:sz w:val="20"/>
                <w:szCs w:val="20"/>
              </w:rPr>
              <w:t>量</w:t>
            </w:r>
          </w:p>
        </w:tc>
        <w:tc>
          <w:tcPr>
            <w:tcW w:w="1312" w:type="dxa"/>
          </w:tcPr>
          <w:p w14:paraId="78616D25"/>
        </w:tc>
        <w:tc>
          <w:tcPr>
            <w:tcW w:w="1260" w:type="dxa"/>
          </w:tcPr>
          <w:p w14:paraId="4CA518E1"/>
        </w:tc>
        <w:tc>
          <w:tcPr>
            <w:tcW w:w="1005" w:type="dxa"/>
          </w:tcPr>
          <w:p w14:paraId="74B85410"/>
        </w:tc>
        <w:tc>
          <w:tcPr>
            <w:tcW w:w="1287" w:type="dxa"/>
            <w:tcBorders>
              <w:right w:val="nil"/>
            </w:tcBorders>
          </w:tcPr>
          <w:p w14:paraId="5E7DF255">
            <w:pPr>
              <w:spacing w:before="75" w:line="228" w:lineRule="auto"/>
              <w:ind w:left="438"/>
              <w:rPr>
                <w:rFonts w:ascii="宋体" w:hAnsi="宋体" w:eastAsia="宋体" w:cs="宋体"/>
                <w:sz w:val="20"/>
                <w:szCs w:val="20"/>
              </w:rPr>
            </w:pPr>
            <w:r>
              <w:rPr>
                <w:rFonts w:ascii="宋体" w:hAnsi="宋体" w:eastAsia="宋体" w:cs="宋体"/>
                <w:spacing w:val="5"/>
                <w:sz w:val="20"/>
                <w:szCs w:val="20"/>
              </w:rPr>
              <w:t>达标</w:t>
            </w:r>
          </w:p>
        </w:tc>
      </w:tr>
      <w:tr w14:paraId="0F25AF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931" w:type="dxa"/>
            <w:vMerge w:val="continue"/>
            <w:tcBorders>
              <w:top w:val="nil"/>
              <w:left w:val="nil"/>
              <w:bottom w:val="nil"/>
            </w:tcBorders>
          </w:tcPr>
          <w:p w14:paraId="79FFE79E"/>
        </w:tc>
        <w:tc>
          <w:tcPr>
            <w:tcW w:w="1213" w:type="dxa"/>
            <w:vMerge w:val="continue"/>
            <w:tcBorders>
              <w:top w:val="nil"/>
            </w:tcBorders>
          </w:tcPr>
          <w:p w14:paraId="696587F7"/>
        </w:tc>
        <w:tc>
          <w:tcPr>
            <w:tcW w:w="1867" w:type="dxa"/>
          </w:tcPr>
          <w:p w14:paraId="771DFA66">
            <w:pPr>
              <w:spacing w:before="105" w:line="227" w:lineRule="auto"/>
              <w:ind w:left="320"/>
              <w:rPr>
                <w:rFonts w:ascii="宋体" w:hAnsi="宋体" w:eastAsia="宋体" w:cs="宋体"/>
                <w:sz w:val="20"/>
                <w:szCs w:val="20"/>
              </w:rPr>
            </w:pPr>
            <w:r>
              <w:rPr>
                <w:rFonts w:ascii="宋体" w:hAnsi="宋体" w:eastAsia="宋体" w:cs="宋体"/>
                <w:spacing w:val="8"/>
                <w:sz w:val="20"/>
                <w:szCs w:val="20"/>
              </w:rPr>
              <w:t>氧化还原电位</w:t>
            </w:r>
          </w:p>
        </w:tc>
        <w:tc>
          <w:tcPr>
            <w:tcW w:w="1312" w:type="dxa"/>
          </w:tcPr>
          <w:p w14:paraId="541C1BEE"/>
        </w:tc>
        <w:tc>
          <w:tcPr>
            <w:tcW w:w="1260" w:type="dxa"/>
          </w:tcPr>
          <w:p w14:paraId="5568637C"/>
        </w:tc>
        <w:tc>
          <w:tcPr>
            <w:tcW w:w="1005" w:type="dxa"/>
          </w:tcPr>
          <w:p w14:paraId="20BD66B6"/>
        </w:tc>
        <w:tc>
          <w:tcPr>
            <w:tcW w:w="1287" w:type="dxa"/>
            <w:tcBorders>
              <w:right w:val="nil"/>
            </w:tcBorders>
          </w:tcPr>
          <w:p w14:paraId="1D1A25B7">
            <w:pPr>
              <w:spacing w:before="31" w:line="281" w:lineRule="exact"/>
              <w:ind w:left="61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05057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31" w:type="dxa"/>
            <w:vMerge w:val="continue"/>
            <w:tcBorders>
              <w:top w:val="nil"/>
              <w:left w:val="nil"/>
              <w:bottom w:val="nil"/>
            </w:tcBorders>
          </w:tcPr>
          <w:p w14:paraId="33DA0344"/>
        </w:tc>
        <w:tc>
          <w:tcPr>
            <w:tcW w:w="1213" w:type="dxa"/>
            <w:vMerge w:val="restart"/>
            <w:tcBorders>
              <w:bottom w:val="nil"/>
            </w:tcBorders>
          </w:tcPr>
          <w:p w14:paraId="4DBC1315">
            <w:pPr>
              <w:spacing w:before="242" w:line="281" w:lineRule="exact"/>
              <w:ind w:left="530"/>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2</w:t>
            </w:r>
            <w:r>
              <w:rPr>
                <w:rFonts w:ascii="Times New Roman" w:hAnsi="Times New Roman" w:eastAsia="Times New Roman" w:cs="Times New Roman"/>
                <w:spacing w:val="2"/>
                <w:position w:val="2"/>
                <w:sz w:val="20"/>
                <w:szCs w:val="20"/>
              </w:rPr>
              <w:t>#</w:t>
            </w:r>
          </w:p>
        </w:tc>
        <w:tc>
          <w:tcPr>
            <w:tcW w:w="1867" w:type="dxa"/>
          </w:tcPr>
          <w:p w14:paraId="4334DC21">
            <w:pPr>
              <w:spacing w:before="121" w:line="225" w:lineRule="auto"/>
              <w:ind w:left="252"/>
              <w:rPr>
                <w:rFonts w:ascii="宋体" w:hAnsi="宋体" w:eastAsia="宋体" w:cs="宋体"/>
                <w:sz w:val="20"/>
                <w:szCs w:val="20"/>
              </w:rPr>
            </w:pPr>
            <w:r>
              <w:rPr>
                <w:rFonts w:ascii="宋体" w:hAnsi="宋体" w:eastAsia="宋体" w:cs="宋体"/>
                <w:spacing w:val="8"/>
                <w:sz w:val="20"/>
                <w:szCs w:val="20"/>
              </w:rPr>
              <w:t>六六六总</w:t>
            </w:r>
            <w:r>
              <w:rPr>
                <w:rFonts w:ascii="宋体" w:hAnsi="宋体" w:eastAsia="宋体" w:cs="宋体"/>
                <w:spacing w:val="7"/>
                <w:sz w:val="20"/>
                <w:szCs w:val="20"/>
              </w:rPr>
              <w:t>量</w:t>
            </w:r>
          </w:p>
        </w:tc>
        <w:tc>
          <w:tcPr>
            <w:tcW w:w="1312" w:type="dxa"/>
          </w:tcPr>
          <w:p w14:paraId="5DEDAD1C"/>
        </w:tc>
        <w:tc>
          <w:tcPr>
            <w:tcW w:w="1260" w:type="dxa"/>
          </w:tcPr>
          <w:p w14:paraId="0217042F"/>
        </w:tc>
        <w:tc>
          <w:tcPr>
            <w:tcW w:w="1005" w:type="dxa"/>
          </w:tcPr>
          <w:p w14:paraId="48083FF6"/>
        </w:tc>
        <w:tc>
          <w:tcPr>
            <w:tcW w:w="1287" w:type="dxa"/>
            <w:tcBorders>
              <w:right w:val="nil"/>
            </w:tcBorders>
          </w:tcPr>
          <w:p w14:paraId="7F8AA5BE">
            <w:pPr>
              <w:spacing w:before="76" w:line="228" w:lineRule="auto"/>
              <w:ind w:left="438"/>
              <w:rPr>
                <w:rFonts w:ascii="宋体" w:hAnsi="宋体" w:eastAsia="宋体" w:cs="宋体"/>
                <w:sz w:val="20"/>
                <w:szCs w:val="20"/>
              </w:rPr>
            </w:pPr>
            <w:r>
              <w:rPr>
                <w:rFonts w:ascii="宋体" w:hAnsi="宋体" w:eastAsia="宋体" w:cs="宋体"/>
                <w:spacing w:val="5"/>
                <w:sz w:val="20"/>
                <w:szCs w:val="20"/>
              </w:rPr>
              <w:t>达标</w:t>
            </w:r>
          </w:p>
        </w:tc>
      </w:tr>
      <w:tr w14:paraId="7425A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931" w:type="dxa"/>
            <w:vMerge w:val="continue"/>
            <w:tcBorders>
              <w:top w:val="nil"/>
              <w:left w:val="nil"/>
              <w:bottom w:val="nil"/>
            </w:tcBorders>
          </w:tcPr>
          <w:p w14:paraId="3DD9ED06"/>
        </w:tc>
        <w:tc>
          <w:tcPr>
            <w:tcW w:w="1213" w:type="dxa"/>
            <w:vMerge w:val="continue"/>
            <w:tcBorders>
              <w:top w:val="nil"/>
            </w:tcBorders>
          </w:tcPr>
          <w:p w14:paraId="6C66C22A"/>
        </w:tc>
        <w:tc>
          <w:tcPr>
            <w:tcW w:w="1867" w:type="dxa"/>
          </w:tcPr>
          <w:p w14:paraId="3D33ADEF">
            <w:pPr>
              <w:spacing w:before="106" w:line="227" w:lineRule="auto"/>
              <w:ind w:left="320"/>
              <w:rPr>
                <w:rFonts w:ascii="宋体" w:hAnsi="宋体" w:eastAsia="宋体" w:cs="宋体"/>
                <w:sz w:val="20"/>
                <w:szCs w:val="20"/>
              </w:rPr>
            </w:pPr>
            <w:r>
              <w:rPr>
                <w:rFonts w:ascii="宋体" w:hAnsi="宋体" w:eastAsia="宋体" w:cs="宋体"/>
                <w:spacing w:val="8"/>
                <w:sz w:val="20"/>
                <w:szCs w:val="20"/>
              </w:rPr>
              <w:t>氧化还原电位</w:t>
            </w:r>
          </w:p>
        </w:tc>
        <w:tc>
          <w:tcPr>
            <w:tcW w:w="1312" w:type="dxa"/>
          </w:tcPr>
          <w:p w14:paraId="02A47A3A"/>
        </w:tc>
        <w:tc>
          <w:tcPr>
            <w:tcW w:w="1260" w:type="dxa"/>
          </w:tcPr>
          <w:p w14:paraId="7AF1B2B9"/>
        </w:tc>
        <w:tc>
          <w:tcPr>
            <w:tcW w:w="1005" w:type="dxa"/>
          </w:tcPr>
          <w:p w14:paraId="25625122"/>
        </w:tc>
        <w:tc>
          <w:tcPr>
            <w:tcW w:w="1287" w:type="dxa"/>
            <w:tcBorders>
              <w:right w:val="nil"/>
            </w:tcBorders>
          </w:tcPr>
          <w:p w14:paraId="47CF3B60">
            <w:pPr>
              <w:spacing w:before="59" w:line="281" w:lineRule="exact"/>
              <w:ind w:left="61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4A6CD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31" w:type="dxa"/>
            <w:vMerge w:val="continue"/>
            <w:tcBorders>
              <w:top w:val="nil"/>
              <w:left w:val="nil"/>
              <w:bottom w:val="nil"/>
            </w:tcBorders>
          </w:tcPr>
          <w:p w14:paraId="6402BF9C"/>
        </w:tc>
        <w:tc>
          <w:tcPr>
            <w:tcW w:w="1213" w:type="dxa"/>
            <w:vMerge w:val="restart"/>
            <w:tcBorders>
              <w:bottom w:val="nil"/>
            </w:tcBorders>
          </w:tcPr>
          <w:p w14:paraId="587D9EB5">
            <w:pPr>
              <w:spacing w:before="221" w:line="281" w:lineRule="exact"/>
              <w:ind w:left="506"/>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3</w:t>
            </w:r>
            <w:r>
              <w:rPr>
                <w:rFonts w:ascii="Times New Roman" w:hAnsi="Times New Roman" w:eastAsia="Times New Roman" w:cs="Times New Roman"/>
                <w:position w:val="2"/>
                <w:sz w:val="20"/>
                <w:szCs w:val="20"/>
              </w:rPr>
              <w:t>#</w:t>
            </w:r>
          </w:p>
        </w:tc>
        <w:tc>
          <w:tcPr>
            <w:tcW w:w="1867" w:type="dxa"/>
          </w:tcPr>
          <w:p w14:paraId="663E7A31">
            <w:pPr>
              <w:spacing w:before="124" w:line="222" w:lineRule="auto"/>
              <w:ind w:left="252"/>
              <w:rPr>
                <w:rFonts w:ascii="宋体" w:hAnsi="宋体" w:eastAsia="宋体" w:cs="宋体"/>
                <w:sz w:val="20"/>
                <w:szCs w:val="20"/>
              </w:rPr>
            </w:pPr>
            <w:r>
              <w:rPr>
                <w:rFonts w:ascii="宋体" w:hAnsi="宋体" w:eastAsia="宋体" w:cs="宋体"/>
                <w:spacing w:val="8"/>
                <w:sz w:val="20"/>
                <w:szCs w:val="20"/>
              </w:rPr>
              <w:t>六六六总</w:t>
            </w:r>
            <w:r>
              <w:rPr>
                <w:rFonts w:ascii="宋体" w:hAnsi="宋体" w:eastAsia="宋体" w:cs="宋体"/>
                <w:spacing w:val="7"/>
                <w:sz w:val="20"/>
                <w:szCs w:val="20"/>
              </w:rPr>
              <w:t>量</w:t>
            </w:r>
          </w:p>
        </w:tc>
        <w:tc>
          <w:tcPr>
            <w:tcW w:w="1312" w:type="dxa"/>
          </w:tcPr>
          <w:p w14:paraId="05E28DFC"/>
        </w:tc>
        <w:tc>
          <w:tcPr>
            <w:tcW w:w="1260" w:type="dxa"/>
          </w:tcPr>
          <w:p w14:paraId="5F6DAA67"/>
        </w:tc>
        <w:tc>
          <w:tcPr>
            <w:tcW w:w="1005" w:type="dxa"/>
          </w:tcPr>
          <w:p w14:paraId="0D2F118E"/>
        </w:tc>
        <w:tc>
          <w:tcPr>
            <w:tcW w:w="1287" w:type="dxa"/>
            <w:tcBorders>
              <w:right w:val="nil"/>
            </w:tcBorders>
          </w:tcPr>
          <w:p w14:paraId="61C129C9">
            <w:pPr>
              <w:spacing w:before="41" w:line="281" w:lineRule="exact"/>
              <w:ind w:left="61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2A1A3B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31" w:type="dxa"/>
            <w:vMerge w:val="continue"/>
            <w:tcBorders>
              <w:top w:val="nil"/>
              <w:left w:val="nil"/>
            </w:tcBorders>
          </w:tcPr>
          <w:p w14:paraId="4D5454EC"/>
        </w:tc>
        <w:tc>
          <w:tcPr>
            <w:tcW w:w="1213" w:type="dxa"/>
            <w:vMerge w:val="continue"/>
            <w:tcBorders>
              <w:top w:val="nil"/>
            </w:tcBorders>
          </w:tcPr>
          <w:p w14:paraId="374AB894"/>
        </w:tc>
        <w:tc>
          <w:tcPr>
            <w:tcW w:w="1867" w:type="dxa"/>
          </w:tcPr>
          <w:p w14:paraId="4897CD3F">
            <w:pPr>
              <w:spacing w:before="109" w:line="227" w:lineRule="auto"/>
              <w:ind w:left="320"/>
              <w:rPr>
                <w:rFonts w:ascii="宋体" w:hAnsi="宋体" w:eastAsia="宋体" w:cs="宋体"/>
                <w:sz w:val="20"/>
                <w:szCs w:val="20"/>
              </w:rPr>
            </w:pPr>
            <w:r>
              <w:rPr>
                <w:rFonts w:ascii="宋体" w:hAnsi="宋体" w:eastAsia="宋体" w:cs="宋体"/>
                <w:spacing w:val="8"/>
                <w:sz w:val="20"/>
                <w:szCs w:val="20"/>
              </w:rPr>
              <w:t>氧化还原电位</w:t>
            </w:r>
          </w:p>
        </w:tc>
        <w:tc>
          <w:tcPr>
            <w:tcW w:w="1312" w:type="dxa"/>
          </w:tcPr>
          <w:p w14:paraId="02A9CEAB"/>
        </w:tc>
        <w:tc>
          <w:tcPr>
            <w:tcW w:w="1260" w:type="dxa"/>
          </w:tcPr>
          <w:p w14:paraId="476A355C"/>
        </w:tc>
        <w:tc>
          <w:tcPr>
            <w:tcW w:w="1005" w:type="dxa"/>
          </w:tcPr>
          <w:p w14:paraId="508DEFF4"/>
        </w:tc>
        <w:tc>
          <w:tcPr>
            <w:tcW w:w="1287" w:type="dxa"/>
            <w:tcBorders>
              <w:right w:val="nil"/>
            </w:tcBorders>
          </w:tcPr>
          <w:p w14:paraId="703B32D6">
            <w:pPr>
              <w:spacing w:before="38" w:line="281" w:lineRule="exact"/>
              <w:ind w:left="613"/>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bl>
    <w:p w14:paraId="4B71E4F9">
      <w:pPr>
        <w:tabs>
          <w:tab w:val="left" w:pos="243"/>
        </w:tabs>
        <w:spacing w:before="40" w:line="375" w:lineRule="auto"/>
        <w:ind w:left="117" w:firstLine="510"/>
        <w:rPr>
          <w:rFonts w:ascii="宋体" w:hAnsi="宋体" w:eastAsia="宋体" w:cs="宋体"/>
          <w:sz w:val="23"/>
          <w:szCs w:val="23"/>
        </w:rPr>
      </w:pPr>
      <w:r>
        <w:rPr>
          <w:rFonts w:ascii="宋体" w:hAnsi="宋体" w:eastAsia="宋体" w:cs="宋体"/>
          <w:spacing w:val="18"/>
          <w:sz w:val="23"/>
          <w:szCs w:val="23"/>
        </w:rPr>
        <w:t>由上</w:t>
      </w:r>
      <w:r>
        <w:rPr>
          <w:rFonts w:ascii="宋体" w:hAnsi="宋体" w:eastAsia="宋体" w:cs="宋体"/>
          <w:spacing w:val="10"/>
          <w:sz w:val="23"/>
          <w:szCs w:val="23"/>
        </w:rPr>
        <w:t>表</w:t>
      </w:r>
      <w:r>
        <w:rPr>
          <w:rFonts w:ascii="宋体" w:hAnsi="宋体" w:eastAsia="宋体" w:cs="宋体"/>
          <w:spacing w:val="9"/>
          <w:sz w:val="23"/>
          <w:szCs w:val="23"/>
        </w:rPr>
        <w:t>可知，项目场址土壤中基本项目监测因子均能达到《土壤环境质量标准</w:t>
      </w:r>
      <w:r>
        <w:rPr>
          <w:rFonts w:ascii="宋体" w:hAnsi="宋体" w:eastAsia="宋体" w:cs="宋体"/>
          <w:sz w:val="23"/>
          <w:szCs w:val="23"/>
        </w:rPr>
        <w:t xml:space="preserve"> </w:t>
      </w:r>
      <w:r>
        <w:rPr>
          <w:rFonts w:ascii="宋体" w:hAnsi="宋体" w:eastAsia="宋体" w:cs="宋体"/>
          <w:spacing w:val="6"/>
          <w:sz w:val="23"/>
          <w:szCs w:val="23"/>
        </w:rPr>
        <w:t>农用地土壤污</w:t>
      </w:r>
      <w:r>
        <w:rPr>
          <w:rFonts w:ascii="宋体" w:hAnsi="宋体" w:eastAsia="宋体" w:cs="宋体"/>
          <w:spacing w:val="3"/>
          <w:sz w:val="23"/>
          <w:szCs w:val="23"/>
        </w:rPr>
        <w:t>染风险管控标准》  (试行)  (</w:t>
      </w:r>
      <w:r>
        <w:rPr>
          <w:rFonts w:ascii="Times New Roman" w:hAnsi="Times New Roman" w:eastAsia="Times New Roman" w:cs="Times New Roman"/>
          <w:sz w:val="23"/>
          <w:szCs w:val="23"/>
        </w:rPr>
        <w:t>GB</w:t>
      </w:r>
      <w:r>
        <w:rPr>
          <w:rFonts w:ascii="Times New Roman" w:hAnsi="Times New Roman" w:eastAsia="Times New Roman" w:cs="Times New Roman"/>
          <w:spacing w:val="3"/>
          <w:sz w:val="23"/>
          <w:szCs w:val="23"/>
        </w:rPr>
        <w:t>15618-2018</w:t>
      </w:r>
      <w:r>
        <w:rPr>
          <w:rFonts w:ascii="宋体" w:hAnsi="宋体" w:eastAsia="宋体" w:cs="宋体"/>
          <w:spacing w:val="3"/>
          <w:sz w:val="23"/>
          <w:szCs w:val="23"/>
        </w:rPr>
        <w:t xml:space="preserve">) 中表 </w:t>
      </w:r>
      <w:r>
        <w:rPr>
          <w:rFonts w:ascii="Times New Roman" w:hAnsi="Times New Roman" w:eastAsia="Times New Roman" w:cs="Times New Roman"/>
          <w:spacing w:val="3"/>
          <w:sz w:val="23"/>
          <w:szCs w:val="23"/>
        </w:rPr>
        <w:t xml:space="preserve">1 </w:t>
      </w:r>
      <w:r>
        <w:rPr>
          <w:rFonts w:ascii="宋体" w:hAnsi="宋体" w:eastAsia="宋体" w:cs="宋体"/>
          <w:spacing w:val="3"/>
          <w:sz w:val="23"/>
          <w:szCs w:val="23"/>
        </w:rPr>
        <w:t>风险筛选值限值</w:t>
      </w:r>
      <w:r>
        <w:rPr>
          <w:rFonts w:ascii="宋体" w:hAnsi="宋体" w:eastAsia="宋体" w:cs="宋体"/>
          <w:sz w:val="23"/>
          <w:szCs w:val="23"/>
        </w:rPr>
        <w:t xml:space="preserve"> </w:t>
      </w:r>
      <w:r>
        <w:rPr>
          <w:rFonts w:ascii="宋体" w:hAnsi="宋体" w:eastAsia="宋体" w:cs="宋体"/>
          <w:spacing w:val="6"/>
          <w:sz w:val="23"/>
          <w:szCs w:val="23"/>
        </w:rPr>
        <w:t>要求，其他项目监</w:t>
      </w:r>
      <w:r>
        <w:rPr>
          <w:rFonts w:ascii="宋体" w:hAnsi="宋体" w:eastAsia="宋体" w:cs="宋体"/>
          <w:spacing w:val="3"/>
          <w:sz w:val="23"/>
          <w:szCs w:val="23"/>
        </w:rPr>
        <w:t>测因子能达到《土壤环境质量标准 农用地土壤污染风险管控标准》</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10"/>
          <w:sz w:val="23"/>
          <w:szCs w:val="23"/>
        </w:rPr>
        <w:t>(试行)  (</w:t>
      </w:r>
      <w:r>
        <w:rPr>
          <w:rFonts w:ascii="Times New Roman" w:hAnsi="Times New Roman" w:eastAsia="Times New Roman" w:cs="Times New Roman"/>
          <w:sz w:val="23"/>
          <w:szCs w:val="23"/>
        </w:rPr>
        <w:t>GB</w:t>
      </w:r>
      <w:r>
        <w:rPr>
          <w:rFonts w:ascii="Times New Roman" w:hAnsi="Times New Roman" w:eastAsia="Times New Roman" w:cs="Times New Roman"/>
          <w:spacing w:val="5"/>
          <w:sz w:val="23"/>
          <w:szCs w:val="23"/>
        </w:rPr>
        <w:t>15618-2018</w:t>
      </w:r>
      <w:r>
        <w:rPr>
          <w:rFonts w:ascii="宋体" w:hAnsi="宋体" w:eastAsia="宋体" w:cs="宋体"/>
          <w:spacing w:val="5"/>
          <w:sz w:val="23"/>
          <w:szCs w:val="23"/>
        </w:rPr>
        <w:t xml:space="preserve">) 中表 </w:t>
      </w:r>
      <w:r>
        <w:rPr>
          <w:rFonts w:ascii="Times New Roman" w:hAnsi="Times New Roman" w:eastAsia="Times New Roman" w:cs="Times New Roman"/>
          <w:spacing w:val="5"/>
          <w:sz w:val="23"/>
          <w:szCs w:val="23"/>
        </w:rPr>
        <w:t xml:space="preserve">2 </w:t>
      </w:r>
      <w:r>
        <w:rPr>
          <w:rFonts w:ascii="宋体" w:hAnsi="宋体" w:eastAsia="宋体" w:cs="宋体"/>
          <w:spacing w:val="5"/>
          <w:sz w:val="23"/>
          <w:szCs w:val="23"/>
        </w:rPr>
        <w:t>风险筛选值限值要求，说明农灌区土壤污染风险</w:t>
      </w:r>
      <w:r>
        <w:rPr>
          <w:rFonts w:ascii="宋体" w:hAnsi="宋体" w:eastAsia="宋体" w:cs="宋体"/>
          <w:sz w:val="23"/>
          <w:szCs w:val="23"/>
        </w:rPr>
        <w:t xml:space="preserve"> </w:t>
      </w:r>
      <w:r>
        <w:rPr>
          <w:rFonts w:ascii="宋体" w:hAnsi="宋体" w:eastAsia="宋体" w:cs="宋体"/>
          <w:spacing w:val="15"/>
          <w:sz w:val="23"/>
          <w:szCs w:val="23"/>
        </w:rPr>
        <w:t>低</w:t>
      </w:r>
      <w:r>
        <w:rPr>
          <w:rFonts w:ascii="宋体" w:hAnsi="宋体" w:eastAsia="宋体" w:cs="宋体"/>
          <w:spacing w:val="8"/>
          <w:sz w:val="23"/>
          <w:szCs w:val="23"/>
        </w:rPr>
        <w:t>，土壤环境质量现状良好。</w:t>
      </w:r>
    </w:p>
    <w:p w14:paraId="6B6A0A35">
      <w:pPr>
        <w:spacing w:line="218" w:lineRule="auto"/>
        <w:ind w:left="115"/>
        <w:outlineLvl w:val="1"/>
        <w:rPr>
          <w:rFonts w:ascii="宋体" w:hAnsi="宋体" w:eastAsia="宋体" w:cs="宋体"/>
          <w:sz w:val="28"/>
          <w:szCs w:val="28"/>
        </w:rPr>
      </w:pPr>
      <w:r>
        <w:rPr>
          <w:rFonts w:ascii="Times New Roman" w:hAnsi="Times New Roman" w:eastAsia="Times New Roman" w:cs="Times New Roman"/>
          <w:b/>
          <w:bCs/>
          <w:spacing w:val="1"/>
          <w:sz w:val="28"/>
          <w:szCs w:val="28"/>
        </w:rPr>
        <w:t>4.2.</w:t>
      </w:r>
      <w:r>
        <w:rPr>
          <w:rFonts w:ascii="Times New Roman" w:hAnsi="Times New Roman" w:eastAsia="Times New Roman" w:cs="Times New Roman"/>
          <w:b/>
          <w:bCs/>
          <w:sz w:val="28"/>
          <w:szCs w:val="28"/>
        </w:rPr>
        <w:t>6</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生态环境质量现状调查与评价</w:t>
      </w:r>
    </w:p>
    <w:p w14:paraId="5E1686B8">
      <w:pPr>
        <w:spacing w:before="208" w:line="227" w:lineRule="auto"/>
        <w:ind w:left="609"/>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5"/>
          <w:sz w:val="23"/>
          <w:szCs w:val="23"/>
        </w:rPr>
        <w:t>1</w:t>
      </w:r>
      <w:r>
        <w:rPr>
          <w:rFonts w:ascii="宋体" w:hAnsi="宋体" w:eastAsia="宋体" w:cs="宋体"/>
          <w:spacing w:val="15"/>
          <w:sz w:val="23"/>
          <w:szCs w:val="23"/>
        </w:rPr>
        <w:t>) 陆生植被和生物多样性</w:t>
      </w:r>
    </w:p>
    <w:p w14:paraId="213B173D">
      <w:pPr>
        <w:spacing w:before="184" w:line="375" w:lineRule="auto"/>
        <w:ind w:left="117" w:right="164" w:firstLine="480"/>
        <w:rPr>
          <w:rFonts w:ascii="宋体" w:hAnsi="宋体" w:eastAsia="宋体" w:cs="宋体"/>
          <w:sz w:val="23"/>
          <w:szCs w:val="23"/>
        </w:rPr>
      </w:pPr>
      <w:r>
        <w:rPr>
          <w:rFonts w:ascii="宋体" w:hAnsi="宋体" w:eastAsia="宋体" w:cs="宋体"/>
          <w:spacing w:val="2"/>
          <w:sz w:val="23"/>
          <w:szCs w:val="23"/>
        </w:rPr>
        <w:t>根据现场调查可知， 目前场址现状为植被覆盖的荒地， 自然生长着灌草丛</w:t>
      </w:r>
      <w:r>
        <w:rPr>
          <w:rFonts w:ascii="宋体" w:hAnsi="宋体" w:eastAsia="宋体" w:cs="宋体"/>
          <w:sz w:val="23"/>
          <w:szCs w:val="23"/>
        </w:rPr>
        <w:t xml:space="preserve">等， </w:t>
      </w:r>
      <w:r>
        <w:rPr>
          <w:rFonts w:ascii="宋体" w:hAnsi="宋体" w:eastAsia="宋体" w:cs="宋体"/>
          <w:spacing w:val="15"/>
          <w:sz w:val="23"/>
          <w:szCs w:val="23"/>
        </w:rPr>
        <w:t>场</w:t>
      </w:r>
      <w:r>
        <w:rPr>
          <w:rFonts w:ascii="宋体" w:hAnsi="宋体" w:eastAsia="宋体" w:cs="宋体"/>
          <w:spacing w:val="9"/>
          <w:sz w:val="23"/>
          <w:szCs w:val="23"/>
        </w:rPr>
        <w:t>址周边以人工生态系统为主，不存在珍稀动植物存在。</w:t>
      </w:r>
    </w:p>
    <w:p w14:paraId="72F74331">
      <w:pPr>
        <w:spacing w:before="1" w:line="226" w:lineRule="auto"/>
        <w:ind w:left="599"/>
        <w:rPr>
          <w:rFonts w:ascii="宋体" w:hAnsi="宋体" w:eastAsia="宋体" w:cs="宋体"/>
          <w:sz w:val="23"/>
          <w:szCs w:val="23"/>
        </w:rPr>
      </w:pPr>
      <w:r>
        <w:rPr>
          <w:rFonts w:ascii="宋体" w:hAnsi="宋体" w:eastAsia="宋体" w:cs="宋体"/>
          <w:spacing w:val="20"/>
          <w:sz w:val="23"/>
          <w:szCs w:val="23"/>
        </w:rPr>
        <w:t>本</w:t>
      </w:r>
      <w:r>
        <w:rPr>
          <w:rFonts w:ascii="宋体" w:hAnsi="宋体" w:eastAsia="宋体" w:cs="宋体"/>
          <w:spacing w:val="13"/>
          <w:sz w:val="23"/>
          <w:szCs w:val="23"/>
        </w:rPr>
        <w:t>项</w:t>
      </w:r>
      <w:r>
        <w:rPr>
          <w:rFonts w:ascii="宋体" w:hAnsi="宋体" w:eastAsia="宋体" w:cs="宋体"/>
          <w:spacing w:val="10"/>
          <w:sz w:val="23"/>
          <w:szCs w:val="23"/>
        </w:rPr>
        <w:t>目位于井研县周坡镇周坡村，属于农业型生态环境，土壤植被以农作物和</w:t>
      </w:r>
    </w:p>
    <w:p w14:paraId="12D9AC4F">
      <w:pPr>
        <w:sectPr>
          <w:footerReference r:id="rId170" w:type="default"/>
          <w:pgSz w:w="11907" w:h="16840"/>
          <w:pgMar w:top="400" w:right="1474" w:bottom="1485" w:left="1551" w:header="0" w:footer="1298" w:gutter="0"/>
          <w:cols w:space="720" w:num="1"/>
        </w:sectPr>
      </w:pPr>
    </w:p>
    <w:p w14:paraId="43B40FC4">
      <w:pPr>
        <w:spacing w:before="42" w:line="374" w:lineRule="auto"/>
        <w:ind w:left="12" w:right="61"/>
        <w:rPr>
          <w:rFonts w:ascii="宋体" w:hAnsi="宋体" w:eastAsia="宋体" w:cs="宋体"/>
          <w:sz w:val="23"/>
          <w:szCs w:val="23"/>
        </w:rPr>
      </w:pPr>
      <w:r>
        <w:rPr>
          <w:rFonts w:ascii="宋体" w:hAnsi="宋体" w:eastAsia="宋体" w:cs="宋体"/>
          <w:spacing w:val="20"/>
          <w:sz w:val="23"/>
          <w:szCs w:val="23"/>
        </w:rPr>
        <w:t>人</w:t>
      </w:r>
      <w:r>
        <w:rPr>
          <w:rFonts w:ascii="宋体" w:hAnsi="宋体" w:eastAsia="宋体" w:cs="宋体"/>
          <w:spacing w:val="15"/>
          <w:sz w:val="23"/>
          <w:szCs w:val="23"/>
        </w:rPr>
        <w:t>工</w:t>
      </w:r>
      <w:r>
        <w:rPr>
          <w:rFonts w:ascii="宋体" w:hAnsi="宋体" w:eastAsia="宋体" w:cs="宋体"/>
          <w:spacing w:val="10"/>
          <w:sz w:val="23"/>
          <w:szCs w:val="23"/>
        </w:rPr>
        <w:t>林为主要类型，农作物以水稻、冬小麦、玉米、油菜、马铃薯、番薯与大豆为</w:t>
      </w:r>
      <w:r>
        <w:rPr>
          <w:rFonts w:ascii="宋体" w:hAnsi="宋体" w:eastAsia="宋体" w:cs="宋体"/>
          <w:sz w:val="23"/>
          <w:szCs w:val="23"/>
        </w:rPr>
        <w:t xml:space="preserve"> </w:t>
      </w:r>
      <w:r>
        <w:rPr>
          <w:rFonts w:ascii="宋体" w:hAnsi="宋体" w:eastAsia="宋体" w:cs="宋体"/>
          <w:spacing w:val="16"/>
          <w:sz w:val="23"/>
          <w:szCs w:val="23"/>
        </w:rPr>
        <w:t>主</w:t>
      </w:r>
      <w:r>
        <w:rPr>
          <w:rFonts w:ascii="宋体" w:hAnsi="宋体" w:eastAsia="宋体" w:cs="宋体"/>
          <w:spacing w:val="12"/>
          <w:sz w:val="23"/>
          <w:szCs w:val="23"/>
        </w:rPr>
        <w:t>，</w:t>
      </w:r>
      <w:r>
        <w:rPr>
          <w:rFonts w:ascii="宋体" w:hAnsi="宋体" w:eastAsia="宋体" w:cs="宋体"/>
          <w:spacing w:val="8"/>
          <w:sz w:val="23"/>
          <w:szCs w:val="23"/>
        </w:rPr>
        <w:t>树木大部为人工种植的经济林等。</w:t>
      </w:r>
    </w:p>
    <w:p w14:paraId="6DCDAD77">
      <w:pPr>
        <w:spacing w:line="227" w:lineRule="auto"/>
        <w:ind w:left="489"/>
        <w:rPr>
          <w:rFonts w:ascii="宋体" w:hAnsi="宋体" w:eastAsia="宋体" w:cs="宋体"/>
          <w:sz w:val="23"/>
          <w:szCs w:val="23"/>
        </w:rPr>
      </w:pPr>
      <w:r>
        <w:rPr>
          <w:rFonts w:ascii="宋体" w:hAnsi="宋体" w:eastAsia="宋体" w:cs="宋体"/>
          <w:spacing w:val="13"/>
          <w:sz w:val="23"/>
          <w:szCs w:val="23"/>
        </w:rPr>
        <w:t>据</w:t>
      </w:r>
      <w:r>
        <w:rPr>
          <w:rFonts w:ascii="宋体" w:hAnsi="宋体" w:eastAsia="宋体" w:cs="宋体"/>
          <w:spacing w:val="9"/>
          <w:sz w:val="23"/>
          <w:szCs w:val="23"/>
        </w:rPr>
        <w:t>现场调查，评价区内无国家保护的珍稀野生植物。</w:t>
      </w:r>
    </w:p>
    <w:p w14:paraId="06849137">
      <w:pPr>
        <w:spacing w:before="184" w:line="228" w:lineRule="auto"/>
        <w:ind w:left="501"/>
        <w:rPr>
          <w:rFonts w:ascii="宋体" w:hAnsi="宋体" w:eastAsia="宋体" w:cs="宋体"/>
          <w:sz w:val="23"/>
          <w:szCs w:val="23"/>
        </w:rPr>
      </w:pPr>
      <w:r>
        <w:rPr>
          <w:rFonts w:ascii="宋体" w:hAnsi="宋体" w:eastAsia="宋体" w:cs="宋体"/>
          <w:spacing w:val="23"/>
          <w:sz w:val="23"/>
          <w:szCs w:val="23"/>
        </w:rPr>
        <w:t>(</w:t>
      </w:r>
      <w:r>
        <w:rPr>
          <w:rFonts w:ascii="Times New Roman" w:hAnsi="Times New Roman" w:eastAsia="Times New Roman" w:cs="Times New Roman"/>
          <w:spacing w:val="16"/>
          <w:sz w:val="23"/>
          <w:szCs w:val="23"/>
        </w:rPr>
        <w:t>2</w:t>
      </w:r>
      <w:r>
        <w:rPr>
          <w:rFonts w:ascii="宋体" w:hAnsi="宋体" w:eastAsia="宋体" w:cs="宋体"/>
          <w:spacing w:val="16"/>
          <w:sz w:val="23"/>
          <w:szCs w:val="23"/>
        </w:rPr>
        <w:t>) 陆生野生动物调查</w:t>
      </w:r>
    </w:p>
    <w:p w14:paraId="26C39C83">
      <w:pPr>
        <w:spacing w:before="182" w:line="375" w:lineRule="auto"/>
        <w:ind w:left="9" w:right="61" w:firstLine="510"/>
        <w:rPr>
          <w:rFonts w:ascii="宋体" w:hAnsi="宋体" w:eastAsia="宋体" w:cs="宋体"/>
          <w:sz w:val="23"/>
          <w:szCs w:val="23"/>
        </w:rPr>
      </w:pPr>
      <w:r>
        <w:rPr>
          <w:rFonts w:ascii="宋体" w:hAnsi="宋体" w:eastAsia="宋体" w:cs="宋体"/>
          <w:spacing w:val="18"/>
          <w:sz w:val="23"/>
          <w:szCs w:val="23"/>
        </w:rPr>
        <w:t>由于</w:t>
      </w:r>
      <w:r>
        <w:rPr>
          <w:rFonts w:ascii="宋体" w:hAnsi="宋体" w:eastAsia="宋体" w:cs="宋体"/>
          <w:spacing w:val="12"/>
          <w:sz w:val="23"/>
          <w:szCs w:val="23"/>
        </w:rPr>
        <w:t>农</w:t>
      </w:r>
      <w:r>
        <w:rPr>
          <w:rFonts w:ascii="宋体" w:hAnsi="宋体" w:eastAsia="宋体" w:cs="宋体"/>
          <w:spacing w:val="9"/>
          <w:sz w:val="23"/>
          <w:szCs w:val="23"/>
        </w:rPr>
        <w:t>耕地生态系统受人类干扰较为强烈，活动于其中的动物种类相对自然生</w:t>
      </w:r>
      <w:r>
        <w:rPr>
          <w:rFonts w:ascii="宋体" w:hAnsi="宋体" w:eastAsia="宋体" w:cs="宋体"/>
          <w:sz w:val="23"/>
          <w:szCs w:val="23"/>
        </w:rPr>
        <w:t xml:space="preserve"> </w:t>
      </w:r>
      <w:r>
        <w:rPr>
          <w:rFonts w:ascii="宋体" w:hAnsi="宋体" w:eastAsia="宋体" w:cs="宋体"/>
          <w:spacing w:val="20"/>
          <w:sz w:val="23"/>
          <w:szCs w:val="23"/>
        </w:rPr>
        <w:t>态</w:t>
      </w:r>
      <w:r>
        <w:rPr>
          <w:rFonts w:ascii="宋体" w:hAnsi="宋体" w:eastAsia="宋体" w:cs="宋体"/>
          <w:spacing w:val="17"/>
          <w:sz w:val="23"/>
          <w:szCs w:val="23"/>
        </w:rPr>
        <w:t>系</w:t>
      </w:r>
      <w:r>
        <w:rPr>
          <w:rFonts w:ascii="宋体" w:hAnsi="宋体" w:eastAsia="宋体" w:cs="宋体"/>
          <w:spacing w:val="10"/>
          <w:sz w:val="23"/>
          <w:szCs w:val="23"/>
        </w:rPr>
        <w:t>统较少，以褐家鼠、社鼠等小型兽类，雀鹰等猛禽类以及家燕、金腰燕、树麻</w:t>
      </w:r>
      <w:r>
        <w:rPr>
          <w:rFonts w:ascii="宋体" w:hAnsi="宋体" w:eastAsia="宋体" w:cs="宋体"/>
          <w:sz w:val="23"/>
          <w:szCs w:val="23"/>
        </w:rPr>
        <w:t xml:space="preserve"> </w:t>
      </w:r>
      <w:r>
        <w:rPr>
          <w:rFonts w:ascii="宋体" w:hAnsi="宋体" w:eastAsia="宋体" w:cs="宋体"/>
          <w:spacing w:val="20"/>
          <w:sz w:val="23"/>
          <w:szCs w:val="23"/>
        </w:rPr>
        <w:t>雀</w:t>
      </w:r>
      <w:r>
        <w:rPr>
          <w:rFonts w:ascii="宋体" w:hAnsi="宋体" w:eastAsia="宋体" w:cs="宋体"/>
          <w:spacing w:val="17"/>
          <w:sz w:val="23"/>
          <w:szCs w:val="23"/>
        </w:rPr>
        <w:t>等</w:t>
      </w:r>
      <w:r>
        <w:rPr>
          <w:rFonts w:ascii="宋体" w:hAnsi="宋体" w:eastAsia="宋体" w:cs="宋体"/>
          <w:spacing w:val="10"/>
          <w:sz w:val="23"/>
          <w:szCs w:val="23"/>
        </w:rPr>
        <w:t>雀形目鸟类为主，此外，该生态系统也常见一些爬行动物分布。据现场调查，</w:t>
      </w:r>
      <w:r>
        <w:rPr>
          <w:rFonts w:ascii="宋体" w:hAnsi="宋体" w:eastAsia="宋体" w:cs="宋体"/>
          <w:sz w:val="23"/>
          <w:szCs w:val="23"/>
        </w:rPr>
        <w:t xml:space="preserve"> </w:t>
      </w:r>
      <w:r>
        <w:rPr>
          <w:rFonts w:ascii="宋体" w:hAnsi="宋体" w:eastAsia="宋体" w:cs="宋体"/>
          <w:spacing w:val="9"/>
          <w:sz w:val="23"/>
          <w:szCs w:val="23"/>
        </w:rPr>
        <w:t>评价区内无国家保护的珍稀野生动物</w:t>
      </w:r>
      <w:r>
        <w:rPr>
          <w:rFonts w:ascii="宋体" w:hAnsi="宋体" w:eastAsia="宋体" w:cs="宋体"/>
          <w:spacing w:val="7"/>
          <w:sz w:val="23"/>
          <w:szCs w:val="23"/>
        </w:rPr>
        <w:t>。</w:t>
      </w:r>
    </w:p>
    <w:p w14:paraId="3958038A">
      <w:pPr>
        <w:spacing w:line="228" w:lineRule="auto"/>
        <w:ind w:left="493"/>
        <w:rPr>
          <w:rFonts w:ascii="宋体" w:hAnsi="宋体" w:eastAsia="宋体" w:cs="宋体"/>
          <w:sz w:val="23"/>
          <w:szCs w:val="23"/>
        </w:rPr>
      </w:pPr>
      <w:r>
        <w:rPr>
          <w:rFonts w:ascii="宋体" w:hAnsi="宋体" w:eastAsia="宋体" w:cs="宋体"/>
          <w:spacing w:val="20"/>
          <w:sz w:val="23"/>
          <w:szCs w:val="23"/>
        </w:rPr>
        <w:t>综</w:t>
      </w:r>
      <w:r>
        <w:rPr>
          <w:rFonts w:ascii="宋体" w:hAnsi="宋体" w:eastAsia="宋体" w:cs="宋体"/>
          <w:spacing w:val="14"/>
          <w:sz w:val="23"/>
          <w:szCs w:val="23"/>
        </w:rPr>
        <w:t>上</w:t>
      </w:r>
      <w:r>
        <w:rPr>
          <w:rFonts w:ascii="宋体" w:hAnsi="宋体" w:eastAsia="宋体" w:cs="宋体"/>
          <w:spacing w:val="10"/>
          <w:sz w:val="23"/>
          <w:szCs w:val="23"/>
        </w:rPr>
        <w:t>所述，项目所在地生态环境基本为人工生态系统，区内原生植被已遭到破</w:t>
      </w:r>
    </w:p>
    <w:p w14:paraId="008C9696">
      <w:pPr>
        <w:spacing w:before="181" w:line="228" w:lineRule="auto"/>
        <w:ind w:left="10"/>
        <w:rPr>
          <w:rFonts w:ascii="宋体" w:hAnsi="宋体" w:eastAsia="宋体" w:cs="宋体"/>
          <w:sz w:val="23"/>
          <w:szCs w:val="23"/>
        </w:rPr>
      </w:pPr>
      <w:r>
        <w:rPr>
          <w:rFonts w:ascii="宋体" w:hAnsi="宋体" w:eastAsia="宋体" w:cs="宋体"/>
          <w:spacing w:val="9"/>
          <w:sz w:val="23"/>
          <w:szCs w:val="23"/>
        </w:rPr>
        <w:t>坏，动植物种类稀少，生态环境质量一般</w:t>
      </w:r>
      <w:r>
        <w:rPr>
          <w:rFonts w:ascii="宋体" w:hAnsi="宋体" w:eastAsia="宋体" w:cs="宋体"/>
          <w:spacing w:val="8"/>
          <w:sz w:val="23"/>
          <w:szCs w:val="23"/>
        </w:rPr>
        <w:t>。</w:t>
      </w:r>
    </w:p>
    <w:p w14:paraId="2C79969D">
      <w:pPr>
        <w:spacing w:before="196" w:line="225" w:lineRule="auto"/>
        <w:ind w:left="8"/>
        <w:outlineLvl w:val="0"/>
        <w:rPr>
          <w:rFonts w:ascii="宋体" w:hAnsi="宋体" w:eastAsia="宋体" w:cs="宋体"/>
          <w:sz w:val="31"/>
          <w:szCs w:val="31"/>
        </w:rPr>
      </w:pPr>
      <w:bookmarkStart w:id="43" w:name="_bookmark44"/>
      <w:bookmarkEnd w:id="43"/>
      <w:r>
        <w:rPr>
          <w:rFonts w:ascii="Times New Roman" w:hAnsi="Times New Roman" w:eastAsia="Times New Roman" w:cs="Times New Roman"/>
          <w:b/>
          <w:bCs/>
          <w:spacing w:val="7"/>
          <w:sz w:val="31"/>
          <w:szCs w:val="31"/>
        </w:rPr>
        <w:t>4.3</w:t>
      </w:r>
      <w:r>
        <w:rPr>
          <w:rFonts w:ascii="Times New Roman" w:hAnsi="Times New Roman" w:eastAsia="Times New Roman" w:cs="Times New Roman"/>
          <w:spacing w:val="7"/>
          <w:sz w:val="31"/>
          <w:szCs w:val="31"/>
        </w:rPr>
        <w:t xml:space="preserve">  </w:t>
      </w:r>
      <w:r>
        <w:rPr>
          <w:rFonts w:ascii="宋体" w:hAnsi="宋体" w:eastAsia="宋体" w:cs="宋体"/>
          <w:spacing w:val="7"/>
          <w:sz w:val="31"/>
          <w:szCs w:val="31"/>
          <w14:textOutline w14:w="5791" w14:cap="sq" w14:cmpd="sng" w14:algn="ctr">
            <w14:solidFill>
              <w14:srgbClr w14:val="000000"/>
            </w14:solidFill>
            <w14:prstDash w14:val="solid"/>
            <w14:bevel/>
          </w14:textOutline>
        </w:rPr>
        <w:t>区域污染源调查</w:t>
      </w:r>
    </w:p>
    <w:p w14:paraId="4F93DFA0">
      <w:pPr>
        <w:spacing w:before="237" w:line="221" w:lineRule="auto"/>
        <w:ind w:left="7"/>
        <w:outlineLvl w:val="1"/>
        <w:rPr>
          <w:rFonts w:ascii="宋体" w:hAnsi="宋体" w:eastAsia="宋体" w:cs="宋体"/>
          <w:sz w:val="28"/>
          <w:szCs w:val="28"/>
        </w:rPr>
      </w:pPr>
      <w:r>
        <w:rPr>
          <w:rFonts w:ascii="Times New Roman" w:hAnsi="Times New Roman" w:eastAsia="Times New Roman" w:cs="Times New Roman"/>
          <w:b/>
          <w:bCs/>
          <w:spacing w:val="1"/>
          <w:sz w:val="28"/>
          <w:szCs w:val="28"/>
        </w:rPr>
        <w:t>4</w:t>
      </w:r>
      <w:r>
        <w:rPr>
          <w:rFonts w:ascii="Times New Roman" w:hAnsi="Times New Roman" w:eastAsia="Times New Roman" w:cs="Times New Roman"/>
          <w:b/>
          <w:bCs/>
          <w:sz w:val="28"/>
          <w:szCs w:val="28"/>
        </w:rPr>
        <w:t>.3.1</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区域环境污染源调查</w:t>
      </w:r>
    </w:p>
    <w:p w14:paraId="76F6D341">
      <w:pPr>
        <w:spacing w:before="203" w:line="375" w:lineRule="auto"/>
        <w:ind w:left="9" w:firstLine="484"/>
        <w:rPr>
          <w:rFonts w:ascii="宋体" w:hAnsi="宋体" w:eastAsia="宋体" w:cs="宋体"/>
          <w:sz w:val="23"/>
          <w:szCs w:val="23"/>
        </w:rPr>
      </w:pPr>
      <w:r>
        <w:rPr>
          <w:rFonts w:ascii="宋体" w:hAnsi="宋体" w:eastAsia="宋体" w:cs="宋体"/>
          <w:spacing w:val="2"/>
          <w:sz w:val="23"/>
          <w:szCs w:val="23"/>
        </w:rPr>
        <w:t xml:space="preserve">项目选址位于周坡镇周坡村 </w:t>
      </w:r>
      <w:r>
        <w:rPr>
          <w:rFonts w:ascii="Times New Roman" w:hAnsi="Times New Roman" w:eastAsia="Times New Roman" w:cs="Times New Roman"/>
          <w:spacing w:val="2"/>
          <w:sz w:val="23"/>
          <w:szCs w:val="23"/>
        </w:rPr>
        <w:t xml:space="preserve">7 </w:t>
      </w:r>
      <w:r>
        <w:rPr>
          <w:rFonts w:ascii="宋体" w:hAnsi="宋体" w:eastAsia="宋体" w:cs="宋体"/>
          <w:spacing w:val="2"/>
          <w:sz w:val="23"/>
          <w:szCs w:val="23"/>
        </w:rPr>
        <w:t xml:space="preserve">组、龙桥村 </w:t>
      </w:r>
      <w:r>
        <w:rPr>
          <w:rFonts w:ascii="Times New Roman" w:hAnsi="Times New Roman" w:eastAsia="Times New Roman" w:cs="Times New Roman"/>
          <w:spacing w:val="2"/>
          <w:sz w:val="23"/>
          <w:szCs w:val="23"/>
        </w:rPr>
        <w:t xml:space="preserve">2 </w:t>
      </w:r>
      <w:r>
        <w:rPr>
          <w:rFonts w:ascii="宋体" w:hAnsi="宋体" w:eastAsia="宋体" w:cs="宋体"/>
          <w:spacing w:val="2"/>
          <w:sz w:val="23"/>
          <w:szCs w:val="23"/>
        </w:rPr>
        <w:t>组，属于农村地</w:t>
      </w:r>
      <w:r>
        <w:rPr>
          <w:rFonts w:ascii="宋体" w:hAnsi="宋体" w:eastAsia="宋体" w:cs="宋体"/>
          <w:spacing w:val="1"/>
          <w:sz w:val="23"/>
          <w:szCs w:val="23"/>
        </w:rPr>
        <w:t>区，根据现场勘查，</w:t>
      </w:r>
      <w:r>
        <w:rPr>
          <w:rFonts w:ascii="宋体" w:hAnsi="宋体" w:eastAsia="宋体" w:cs="宋体"/>
          <w:sz w:val="23"/>
          <w:szCs w:val="23"/>
        </w:rPr>
        <w:t xml:space="preserve"> </w:t>
      </w:r>
      <w:r>
        <w:rPr>
          <w:rFonts w:ascii="宋体" w:hAnsi="宋体" w:eastAsia="宋体" w:cs="宋体"/>
          <w:spacing w:val="20"/>
          <w:sz w:val="23"/>
          <w:szCs w:val="23"/>
        </w:rPr>
        <w:t>项</w:t>
      </w:r>
      <w:r>
        <w:rPr>
          <w:rFonts w:ascii="宋体" w:hAnsi="宋体" w:eastAsia="宋体" w:cs="宋体"/>
          <w:spacing w:val="17"/>
          <w:sz w:val="23"/>
          <w:szCs w:val="23"/>
        </w:rPr>
        <w:t>目</w:t>
      </w:r>
      <w:r>
        <w:rPr>
          <w:rFonts w:ascii="宋体" w:hAnsi="宋体" w:eastAsia="宋体" w:cs="宋体"/>
          <w:spacing w:val="10"/>
          <w:sz w:val="23"/>
          <w:szCs w:val="23"/>
        </w:rPr>
        <w:t>厂区周边主要为耕地和林地。场区远离城镇和乡村居民居住集中区，周边绿化</w:t>
      </w:r>
      <w:r>
        <w:rPr>
          <w:rFonts w:ascii="宋体" w:hAnsi="宋体" w:eastAsia="宋体" w:cs="宋体"/>
          <w:sz w:val="23"/>
          <w:szCs w:val="23"/>
        </w:rPr>
        <w:t xml:space="preserve"> </w:t>
      </w:r>
      <w:r>
        <w:rPr>
          <w:rFonts w:ascii="宋体" w:hAnsi="宋体" w:eastAsia="宋体" w:cs="宋体"/>
          <w:spacing w:val="20"/>
          <w:sz w:val="23"/>
          <w:szCs w:val="23"/>
        </w:rPr>
        <w:t>条</w:t>
      </w:r>
      <w:r>
        <w:rPr>
          <w:rFonts w:ascii="宋体" w:hAnsi="宋体" w:eastAsia="宋体" w:cs="宋体"/>
          <w:spacing w:val="17"/>
          <w:sz w:val="23"/>
          <w:szCs w:val="23"/>
        </w:rPr>
        <w:t>件</w:t>
      </w:r>
      <w:r>
        <w:rPr>
          <w:rFonts w:ascii="宋体" w:hAnsi="宋体" w:eastAsia="宋体" w:cs="宋体"/>
          <w:spacing w:val="10"/>
          <w:sz w:val="23"/>
          <w:szCs w:val="23"/>
        </w:rPr>
        <w:t>较好，无大型工业企业排污。场区周边村庄敏感点有周坡村、龙桥村等，区域</w:t>
      </w:r>
      <w:r>
        <w:rPr>
          <w:rFonts w:ascii="宋体" w:hAnsi="宋体" w:eastAsia="宋体" w:cs="宋体"/>
          <w:sz w:val="23"/>
          <w:szCs w:val="23"/>
        </w:rPr>
        <w:t xml:space="preserve"> </w:t>
      </w:r>
      <w:r>
        <w:rPr>
          <w:rFonts w:ascii="宋体" w:hAnsi="宋体" w:eastAsia="宋体" w:cs="宋体"/>
          <w:spacing w:val="20"/>
          <w:sz w:val="23"/>
          <w:szCs w:val="23"/>
        </w:rPr>
        <w:t>污</w:t>
      </w:r>
      <w:r>
        <w:rPr>
          <w:rFonts w:ascii="宋体" w:hAnsi="宋体" w:eastAsia="宋体" w:cs="宋体"/>
          <w:spacing w:val="17"/>
          <w:sz w:val="23"/>
          <w:szCs w:val="23"/>
        </w:rPr>
        <w:t>染</w:t>
      </w:r>
      <w:r>
        <w:rPr>
          <w:rFonts w:ascii="宋体" w:hAnsi="宋体" w:eastAsia="宋体" w:cs="宋体"/>
          <w:spacing w:val="10"/>
          <w:sz w:val="23"/>
          <w:szCs w:val="23"/>
        </w:rPr>
        <w:t>源主要为各村庄居民日常生产生活产生的生活污水、生活垃圾以及农业生产过</w:t>
      </w:r>
      <w:r>
        <w:rPr>
          <w:rFonts w:ascii="宋体" w:hAnsi="宋体" w:eastAsia="宋体" w:cs="宋体"/>
          <w:sz w:val="23"/>
          <w:szCs w:val="23"/>
        </w:rPr>
        <w:t xml:space="preserve"> </w:t>
      </w:r>
      <w:r>
        <w:rPr>
          <w:rFonts w:ascii="宋体" w:hAnsi="宋体" w:eastAsia="宋体" w:cs="宋体"/>
          <w:spacing w:val="15"/>
          <w:sz w:val="23"/>
          <w:szCs w:val="23"/>
        </w:rPr>
        <w:t>程</w:t>
      </w:r>
      <w:r>
        <w:rPr>
          <w:rFonts w:ascii="宋体" w:hAnsi="宋体" w:eastAsia="宋体" w:cs="宋体"/>
          <w:spacing w:val="8"/>
          <w:sz w:val="23"/>
          <w:szCs w:val="23"/>
        </w:rPr>
        <w:t>中施肥等产生的面源污染。</w:t>
      </w:r>
    </w:p>
    <w:p w14:paraId="761349C3">
      <w:pPr>
        <w:spacing w:before="1" w:line="227" w:lineRule="auto"/>
        <w:ind w:left="494"/>
        <w:rPr>
          <w:rFonts w:ascii="宋体" w:hAnsi="宋体" w:eastAsia="宋体" w:cs="宋体"/>
          <w:sz w:val="23"/>
          <w:szCs w:val="23"/>
        </w:rPr>
      </w:pPr>
      <w:r>
        <w:rPr>
          <w:rFonts w:ascii="宋体" w:hAnsi="宋体" w:eastAsia="宋体" w:cs="宋体"/>
          <w:spacing w:val="16"/>
          <w:sz w:val="23"/>
          <w:szCs w:val="23"/>
        </w:rPr>
        <w:t>项</w:t>
      </w:r>
      <w:r>
        <w:rPr>
          <w:rFonts w:ascii="宋体" w:hAnsi="宋体" w:eastAsia="宋体" w:cs="宋体"/>
          <w:spacing w:val="14"/>
          <w:sz w:val="23"/>
          <w:szCs w:val="23"/>
        </w:rPr>
        <w:t>目</w:t>
      </w:r>
      <w:r>
        <w:rPr>
          <w:rFonts w:ascii="宋体" w:hAnsi="宋体" w:eastAsia="宋体" w:cs="宋体"/>
          <w:spacing w:val="8"/>
          <w:sz w:val="23"/>
          <w:szCs w:val="23"/>
        </w:rPr>
        <w:t>周边无大型工矿企业，无重大污染源。</w:t>
      </w:r>
    </w:p>
    <w:p w14:paraId="5D01C66F">
      <w:pPr>
        <w:spacing w:before="190" w:line="220" w:lineRule="auto"/>
        <w:ind w:left="7"/>
        <w:outlineLvl w:val="1"/>
        <w:rPr>
          <w:rFonts w:ascii="宋体" w:hAnsi="宋体" w:eastAsia="宋体" w:cs="宋体"/>
          <w:sz w:val="28"/>
          <w:szCs w:val="28"/>
        </w:rPr>
      </w:pPr>
      <w:r>
        <w:rPr>
          <w:rFonts w:ascii="Times New Roman" w:hAnsi="Times New Roman" w:eastAsia="Times New Roman" w:cs="Times New Roman"/>
          <w:b/>
          <w:bCs/>
          <w:sz w:val="28"/>
          <w:szCs w:val="28"/>
        </w:rPr>
        <w:t>4.3.2</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运输路线情况调查</w:t>
      </w:r>
    </w:p>
    <w:p w14:paraId="28266F43">
      <w:pPr>
        <w:spacing w:before="203" w:line="384" w:lineRule="auto"/>
        <w:ind w:left="11" w:right="127" w:firstLine="482"/>
        <w:rPr>
          <w:rFonts w:ascii="宋体" w:hAnsi="宋体" w:eastAsia="宋体" w:cs="宋体"/>
          <w:sz w:val="23"/>
          <w:szCs w:val="23"/>
        </w:rPr>
      </w:pPr>
      <w:r>
        <w:rPr>
          <w:rFonts w:ascii="宋体" w:hAnsi="宋体" w:eastAsia="宋体" w:cs="宋体"/>
          <w:spacing w:val="12"/>
          <w:sz w:val="23"/>
          <w:szCs w:val="23"/>
        </w:rPr>
        <w:t>项目成品</w:t>
      </w:r>
      <w:r>
        <w:rPr>
          <w:rFonts w:ascii="宋体" w:hAnsi="宋体" w:eastAsia="宋体" w:cs="宋体"/>
          <w:spacing w:val="8"/>
          <w:sz w:val="23"/>
          <w:szCs w:val="23"/>
        </w:rPr>
        <w:t>猪</w:t>
      </w:r>
      <w:r>
        <w:rPr>
          <w:rFonts w:ascii="宋体" w:hAnsi="宋体" w:eastAsia="宋体" w:cs="宋体"/>
          <w:spacing w:val="6"/>
          <w:sz w:val="23"/>
          <w:szCs w:val="23"/>
        </w:rPr>
        <w:t>运输路线为通过养殖区北面的小路通往县道，运往目的地。项目北</w:t>
      </w:r>
      <w:r>
        <w:rPr>
          <w:rFonts w:ascii="宋体" w:hAnsi="宋体" w:eastAsia="宋体" w:cs="宋体"/>
          <w:sz w:val="23"/>
          <w:szCs w:val="23"/>
        </w:rPr>
        <w:t xml:space="preserve"> </w:t>
      </w:r>
      <w:r>
        <w:rPr>
          <w:rFonts w:ascii="宋体" w:hAnsi="宋体" w:eastAsia="宋体" w:cs="宋体"/>
          <w:spacing w:val="16"/>
          <w:sz w:val="23"/>
          <w:szCs w:val="23"/>
        </w:rPr>
        <w:t>面小</w:t>
      </w:r>
      <w:r>
        <w:rPr>
          <w:rFonts w:ascii="宋体" w:hAnsi="宋体" w:eastAsia="宋体" w:cs="宋体"/>
          <w:spacing w:val="13"/>
          <w:sz w:val="23"/>
          <w:szCs w:val="23"/>
        </w:rPr>
        <w:t>路</w:t>
      </w:r>
      <w:r>
        <w:rPr>
          <w:rFonts w:ascii="宋体" w:hAnsi="宋体" w:eastAsia="宋体" w:cs="宋体"/>
          <w:spacing w:val="8"/>
          <w:sz w:val="23"/>
          <w:szCs w:val="23"/>
        </w:rPr>
        <w:t>及县道两侧现状为农田，项目运输路线尽量避开镇中心等人口集中的地方。</w:t>
      </w:r>
    </w:p>
    <w:p w14:paraId="65871622">
      <w:pPr>
        <w:sectPr>
          <w:headerReference r:id="rId171" w:type="default"/>
          <w:footerReference r:id="rId172" w:type="default"/>
          <w:pgSz w:w="11907" w:h="16840"/>
          <w:pgMar w:top="1153" w:right="1518" w:bottom="1485" w:left="1660" w:header="919" w:footer="1298" w:gutter="0"/>
          <w:cols w:space="720" w:num="1"/>
        </w:sectPr>
      </w:pPr>
    </w:p>
    <w:p w14:paraId="0A690A6B">
      <w:pPr>
        <w:spacing w:before="53" w:line="241" w:lineRule="auto"/>
        <w:ind w:left="11"/>
        <w:outlineLvl w:val="0"/>
        <w:rPr>
          <w:rFonts w:ascii="宋体" w:hAnsi="宋体" w:eastAsia="宋体" w:cs="宋体"/>
          <w:sz w:val="31"/>
          <w:szCs w:val="31"/>
        </w:rPr>
      </w:pPr>
      <w:bookmarkStart w:id="44" w:name="_bookmark45"/>
      <w:bookmarkEnd w:id="44"/>
      <w:r>
        <w:rPr>
          <w:rFonts w:ascii="Times New Roman" w:hAnsi="Times New Roman" w:eastAsia="Times New Roman" w:cs="Times New Roman"/>
          <w:b/>
          <w:bCs/>
          <w:spacing w:val="1"/>
          <w:sz w:val="31"/>
          <w:szCs w:val="31"/>
        </w:rPr>
        <w:t>5</w:t>
      </w:r>
      <w:r>
        <w:rPr>
          <w:rFonts w:ascii="Times New Roman" w:hAnsi="Times New Roman" w:eastAsia="Times New Roman" w:cs="Times New Roman"/>
          <w:spacing w:val="1"/>
          <w:sz w:val="31"/>
          <w:szCs w:val="31"/>
        </w:rPr>
        <w:t xml:space="preserve"> </w:t>
      </w:r>
      <w:r>
        <w:rPr>
          <w:rFonts w:ascii="宋体" w:hAnsi="宋体" w:eastAsia="宋体" w:cs="宋体"/>
          <w:spacing w:val="1"/>
          <w:sz w:val="31"/>
          <w:szCs w:val="31"/>
          <w14:textOutline w14:w="5791" w14:cap="sq" w14:cmpd="sng" w14:algn="ctr">
            <w14:solidFill>
              <w14:srgbClr w14:val="000000"/>
            </w14:solidFill>
            <w14:prstDash w14:val="solid"/>
            <w14:bevel/>
          </w14:textOutline>
        </w:rPr>
        <w:t>、</w:t>
      </w:r>
      <w:r>
        <w:rPr>
          <w:rFonts w:ascii="宋体" w:hAnsi="宋体" w:eastAsia="宋体" w:cs="宋体"/>
          <w:sz w:val="31"/>
          <w:szCs w:val="31"/>
          <w14:textOutline w14:w="5791" w14:cap="sq" w14:cmpd="sng" w14:algn="ctr">
            <w14:solidFill>
              <w14:srgbClr w14:val="000000"/>
            </w14:solidFill>
            <w14:prstDash w14:val="solid"/>
            <w14:bevel/>
          </w14:textOutline>
        </w:rPr>
        <w:t>环境影响分析</w:t>
      </w:r>
    </w:p>
    <w:p w14:paraId="7AC16C35">
      <w:pPr>
        <w:spacing w:before="211" w:line="221" w:lineRule="auto"/>
        <w:ind w:left="10"/>
        <w:outlineLvl w:val="1"/>
        <w:rPr>
          <w:rFonts w:ascii="宋体" w:hAnsi="宋体" w:eastAsia="宋体" w:cs="宋体"/>
          <w:sz w:val="28"/>
          <w:szCs w:val="28"/>
        </w:rPr>
      </w:pPr>
      <w:bookmarkStart w:id="45" w:name="_bookmark46"/>
      <w:bookmarkEnd w:id="45"/>
      <w:r>
        <w:rPr>
          <w:rFonts w:ascii="Times New Roman" w:hAnsi="Times New Roman" w:eastAsia="Times New Roman" w:cs="Times New Roman"/>
          <w:b/>
          <w:bCs/>
          <w:spacing w:val="-1"/>
          <w:sz w:val="28"/>
          <w:szCs w:val="28"/>
        </w:rPr>
        <w:t>5</w:t>
      </w:r>
      <w:r>
        <w:rPr>
          <w:rFonts w:ascii="Times New Roman" w:hAnsi="Times New Roman" w:eastAsia="Times New Roman" w:cs="Times New Roman"/>
          <w:b/>
          <w:bCs/>
          <w:sz w:val="28"/>
          <w:szCs w:val="28"/>
        </w:rPr>
        <w:t>.1</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施工期环境影响分析</w:t>
      </w:r>
    </w:p>
    <w:p w14:paraId="69611614">
      <w:pPr>
        <w:spacing w:before="204" w:line="227" w:lineRule="auto"/>
        <w:ind w:left="8"/>
        <w:outlineLvl w:val="2"/>
        <w:rPr>
          <w:rFonts w:ascii="宋体" w:hAnsi="宋体" w:eastAsia="宋体" w:cs="宋体"/>
          <w:sz w:val="23"/>
          <w:szCs w:val="23"/>
        </w:rPr>
      </w:pPr>
      <w:r>
        <w:rPr>
          <w:rFonts w:ascii="Times New Roman" w:hAnsi="Times New Roman" w:eastAsia="Times New Roman" w:cs="Times New Roman"/>
          <w:b/>
          <w:bCs/>
          <w:spacing w:val="10"/>
          <w:sz w:val="23"/>
          <w:szCs w:val="23"/>
        </w:rPr>
        <w:t>5</w:t>
      </w:r>
      <w:r>
        <w:rPr>
          <w:rFonts w:ascii="Times New Roman" w:hAnsi="Times New Roman" w:eastAsia="Times New Roman" w:cs="Times New Roman"/>
          <w:b/>
          <w:bCs/>
          <w:spacing w:val="7"/>
          <w:sz w:val="23"/>
          <w:szCs w:val="23"/>
        </w:rPr>
        <w:t>.1.1</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施工期污染物特点</w:t>
      </w:r>
    </w:p>
    <w:p w14:paraId="4C98DB9A">
      <w:pPr>
        <w:spacing w:before="186" w:line="374" w:lineRule="auto"/>
        <w:ind w:left="12" w:right="80" w:firstLine="479"/>
        <w:rPr>
          <w:rFonts w:ascii="宋体" w:hAnsi="宋体" w:eastAsia="宋体" w:cs="宋体"/>
          <w:sz w:val="23"/>
          <w:szCs w:val="23"/>
        </w:rPr>
      </w:pPr>
      <w:r>
        <w:rPr>
          <w:rFonts w:ascii="宋体" w:hAnsi="宋体" w:eastAsia="宋体" w:cs="宋体"/>
          <w:spacing w:val="20"/>
          <w:sz w:val="23"/>
          <w:szCs w:val="23"/>
        </w:rPr>
        <w:t>本</w:t>
      </w:r>
      <w:r>
        <w:rPr>
          <w:rFonts w:ascii="宋体" w:hAnsi="宋体" w:eastAsia="宋体" w:cs="宋体"/>
          <w:spacing w:val="15"/>
          <w:sz w:val="23"/>
          <w:szCs w:val="23"/>
        </w:rPr>
        <w:t>项</w:t>
      </w:r>
      <w:r>
        <w:rPr>
          <w:rFonts w:ascii="宋体" w:hAnsi="宋体" w:eastAsia="宋体" w:cs="宋体"/>
          <w:spacing w:val="10"/>
          <w:sz w:val="23"/>
          <w:szCs w:val="23"/>
        </w:rPr>
        <w:t>目为养殖场建设工程，建设期的污染特点与房地产等建设项目相似，主要</w:t>
      </w:r>
      <w:r>
        <w:rPr>
          <w:rFonts w:ascii="宋体" w:hAnsi="宋体" w:eastAsia="宋体" w:cs="宋体"/>
          <w:sz w:val="23"/>
          <w:szCs w:val="23"/>
        </w:rPr>
        <w:t xml:space="preserve"> </w:t>
      </w:r>
      <w:r>
        <w:rPr>
          <w:rFonts w:ascii="宋体" w:hAnsi="宋体" w:eastAsia="宋体" w:cs="宋体"/>
          <w:spacing w:val="20"/>
          <w:sz w:val="23"/>
          <w:szCs w:val="23"/>
        </w:rPr>
        <w:t>污</w:t>
      </w:r>
      <w:r>
        <w:rPr>
          <w:rFonts w:ascii="宋体" w:hAnsi="宋体" w:eastAsia="宋体" w:cs="宋体"/>
          <w:spacing w:val="15"/>
          <w:sz w:val="23"/>
          <w:szCs w:val="23"/>
        </w:rPr>
        <w:t>染</w:t>
      </w:r>
      <w:r>
        <w:rPr>
          <w:rFonts w:ascii="宋体" w:hAnsi="宋体" w:eastAsia="宋体" w:cs="宋体"/>
          <w:spacing w:val="10"/>
          <w:sz w:val="23"/>
          <w:szCs w:val="23"/>
        </w:rPr>
        <w:t>是生态、施工噪声、施工扬尘、施工废水、建筑垃圾等，其对环境的不利影响</w:t>
      </w:r>
      <w:r>
        <w:rPr>
          <w:rFonts w:ascii="宋体" w:hAnsi="宋体" w:eastAsia="宋体" w:cs="宋体"/>
          <w:sz w:val="23"/>
          <w:szCs w:val="23"/>
        </w:rPr>
        <w:t xml:space="preserve"> </w:t>
      </w:r>
      <w:r>
        <w:rPr>
          <w:rFonts w:ascii="宋体" w:hAnsi="宋体" w:eastAsia="宋体" w:cs="宋体"/>
          <w:spacing w:val="9"/>
          <w:sz w:val="23"/>
          <w:szCs w:val="23"/>
        </w:rPr>
        <w:t>是短暂的，将随着施工期的结束而消失</w:t>
      </w:r>
      <w:r>
        <w:rPr>
          <w:rFonts w:ascii="宋体" w:hAnsi="宋体" w:eastAsia="宋体" w:cs="宋体"/>
          <w:spacing w:val="5"/>
          <w:sz w:val="23"/>
          <w:szCs w:val="23"/>
        </w:rPr>
        <w:t>。</w:t>
      </w:r>
    </w:p>
    <w:p w14:paraId="1F2D70B9">
      <w:pPr>
        <w:spacing w:line="303" w:lineRule="exact"/>
        <w:ind w:left="535"/>
        <w:rPr>
          <w:rFonts w:ascii="宋体" w:hAnsi="宋体" w:eastAsia="宋体" w:cs="宋体"/>
          <w:sz w:val="23"/>
          <w:szCs w:val="23"/>
        </w:rPr>
      </w:pPr>
      <w:r>
        <w:rPr>
          <w:rFonts w:ascii="Times New Roman" w:hAnsi="Times New Roman" w:eastAsia="Times New Roman" w:cs="Times New Roman"/>
          <w:b/>
          <w:bCs/>
          <w:spacing w:val="16"/>
          <w:position w:val="1"/>
          <w:sz w:val="23"/>
          <w:szCs w:val="23"/>
        </w:rPr>
        <w:t>1</w:t>
      </w:r>
      <w:r>
        <w:rPr>
          <w:rFonts w:ascii="Times New Roman" w:hAnsi="Times New Roman" w:eastAsia="Times New Roman" w:cs="Times New Roman"/>
          <w:spacing w:val="15"/>
          <w:position w:val="1"/>
          <w:sz w:val="23"/>
          <w:szCs w:val="23"/>
        </w:rPr>
        <w:t xml:space="preserve"> </w:t>
      </w:r>
      <w:r>
        <w:rPr>
          <w:rFonts w:ascii="宋体" w:hAnsi="宋体" w:eastAsia="宋体" w:cs="宋体"/>
          <w:spacing w:val="15"/>
          <w:position w:val="1"/>
          <w:sz w:val="23"/>
          <w:szCs w:val="23"/>
          <w14:textOutline w14:w="4356" w14:cap="sq" w14:cmpd="sng" w14:algn="ctr">
            <w14:solidFill>
              <w14:srgbClr w14:val="000000"/>
            </w14:solidFill>
            <w14:prstDash w14:val="solid"/>
            <w14:bevel/>
          </w14:textOutline>
        </w:rPr>
        <w:t>、冬季施工措施</w:t>
      </w:r>
    </w:p>
    <w:p w14:paraId="2D4A3184">
      <w:pPr>
        <w:spacing w:before="163" w:line="227" w:lineRule="auto"/>
        <w:ind w:left="501"/>
        <w:rPr>
          <w:rFonts w:ascii="宋体" w:hAnsi="宋体" w:eastAsia="宋体" w:cs="宋体"/>
          <w:sz w:val="23"/>
          <w:szCs w:val="23"/>
        </w:rPr>
      </w:pPr>
      <w:r>
        <w:rPr>
          <w:rFonts w:ascii="宋体" w:hAnsi="宋体" w:eastAsia="宋体" w:cs="宋体"/>
          <w:spacing w:val="15"/>
          <w:sz w:val="23"/>
          <w:szCs w:val="23"/>
        </w:rPr>
        <w:t>(</w:t>
      </w:r>
      <w:r>
        <w:rPr>
          <w:rFonts w:ascii="Times New Roman" w:hAnsi="Times New Roman" w:eastAsia="Times New Roman" w:cs="Times New Roman"/>
          <w:spacing w:val="12"/>
          <w:sz w:val="23"/>
          <w:szCs w:val="23"/>
        </w:rPr>
        <w:t>1</w:t>
      </w:r>
      <w:r>
        <w:rPr>
          <w:rFonts w:ascii="宋体" w:hAnsi="宋体" w:eastAsia="宋体" w:cs="宋体"/>
          <w:spacing w:val="12"/>
          <w:sz w:val="23"/>
          <w:szCs w:val="23"/>
        </w:rPr>
        <w:t>) 根据气候条件，进行砼配合比的确定，提高砼抗冻性、防止开裂。</w:t>
      </w:r>
    </w:p>
    <w:p w14:paraId="125A534C">
      <w:pPr>
        <w:spacing w:before="184" w:line="227" w:lineRule="auto"/>
        <w:ind w:left="501"/>
        <w:rPr>
          <w:rFonts w:ascii="宋体" w:hAnsi="宋体" w:eastAsia="宋体" w:cs="宋体"/>
          <w:sz w:val="23"/>
          <w:szCs w:val="23"/>
        </w:rPr>
      </w:pPr>
      <w:r>
        <w:rPr>
          <w:rFonts w:ascii="宋体" w:hAnsi="宋体" w:eastAsia="宋体" w:cs="宋体"/>
          <w:spacing w:val="21"/>
          <w:sz w:val="23"/>
          <w:szCs w:val="23"/>
        </w:rPr>
        <w:t>(</w:t>
      </w:r>
      <w:r>
        <w:rPr>
          <w:rFonts w:ascii="Times New Roman" w:hAnsi="Times New Roman" w:eastAsia="Times New Roman" w:cs="Times New Roman"/>
          <w:spacing w:val="12"/>
          <w:sz w:val="23"/>
          <w:szCs w:val="23"/>
        </w:rPr>
        <w:t>2</w:t>
      </w:r>
      <w:r>
        <w:rPr>
          <w:rFonts w:ascii="宋体" w:hAnsi="宋体" w:eastAsia="宋体" w:cs="宋体"/>
          <w:spacing w:val="12"/>
          <w:sz w:val="23"/>
          <w:szCs w:val="23"/>
        </w:rPr>
        <w:t>) 砼养护不宜再采用浇水养护，而应采用覆盖进行保温养护。</w:t>
      </w:r>
    </w:p>
    <w:p w14:paraId="2E3A42E2">
      <w:pPr>
        <w:spacing w:before="185" w:line="227" w:lineRule="auto"/>
        <w:ind w:left="501"/>
        <w:rPr>
          <w:rFonts w:ascii="宋体" w:hAnsi="宋体" w:eastAsia="宋体" w:cs="宋体"/>
          <w:sz w:val="23"/>
          <w:szCs w:val="23"/>
        </w:rPr>
      </w:pPr>
      <w:r>
        <w:rPr>
          <w:rFonts w:ascii="宋体" w:hAnsi="宋体" w:eastAsia="宋体" w:cs="宋体"/>
          <w:spacing w:val="15"/>
          <w:sz w:val="23"/>
          <w:szCs w:val="23"/>
        </w:rPr>
        <w:t>(</w:t>
      </w:r>
      <w:r>
        <w:rPr>
          <w:rFonts w:ascii="Times New Roman" w:hAnsi="Times New Roman" w:eastAsia="Times New Roman" w:cs="Times New Roman"/>
          <w:spacing w:val="14"/>
          <w:sz w:val="23"/>
          <w:szCs w:val="23"/>
        </w:rPr>
        <w:t>3</w:t>
      </w:r>
      <w:r>
        <w:rPr>
          <w:rFonts w:ascii="宋体" w:hAnsi="宋体" w:eastAsia="宋体" w:cs="宋体"/>
          <w:spacing w:val="14"/>
          <w:sz w:val="23"/>
          <w:szCs w:val="23"/>
        </w:rPr>
        <w:t>) 电渣压力焊应采取保温措施。</w:t>
      </w:r>
    </w:p>
    <w:p w14:paraId="0C249B64">
      <w:pPr>
        <w:spacing w:before="183" w:line="228" w:lineRule="auto"/>
        <w:ind w:left="501"/>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7"/>
          <w:sz w:val="23"/>
          <w:szCs w:val="23"/>
        </w:rPr>
        <w:t>4</w:t>
      </w:r>
      <w:r>
        <w:rPr>
          <w:rFonts w:ascii="宋体" w:hAnsi="宋体" w:eastAsia="宋体" w:cs="宋体"/>
          <w:spacing w:val="12"/>
          <w:sz w:val="23"/>
          <w:szCs w:val="23"/>
        </w:rPr>
        <w:t>) 砂必须清洁，不得含有冻结物和易冻结的矿物质。</w:t>
      </w:r>
    </w:p>
    <w:p w14:paraId="736A0326">
      <w:pPr>
        <w:spacing w:before="184" w:line="227" w:lineRule="auto"/>
        <w:ind w:left="501"/>
        <w:rPr>
          <w:rFonts w:ascii="宋体" w:hAnsi="宋体" w:eastAsia="宋体" w:cs="宋体"/>
          <w:sz w:val="23"/>
          <w:szCs w:val="23"/>
        </w:rPr>
      </w:pPr>
      <w:r>
        <w:rPr>
          <w:rFonts w:ascii="宋体" w:hAnsi="宋体" w:eastAsia="宋体" w:cs="宋体"/>
          <w:spacing w:val="15"/>
          <w:sz w:val="23"/>
          <w:szCs w:val="23"/>
        </w:rPr>
        <w:t>(</w:t>
      </w:r>
      <w:r>
        <w:rPr>
          <w:rFonts w:ascii="Times New Roman" w:hAnsi="Times New Roman" w:eastAsia="Times New Roman" w:cs="Times New Roman"/>
          <w:spacing w:val="14"/>
          <w:sz w:val="23"/>
          <w:szCs w:val="23"/>
        </w:rPr>
        <w:t>5</w:t>
      </w:r>
      <w:r>
        <w:rPr>
          <w:rFonts w:ascii="宋体" w:hAnsi="宋体" w:eastAsia="宋体" w:cs="宋体"/>
          <w:spacing w:val="14"/>
          <w:sz w:val="23"/>
          <w:szCs w:val="23"/>
        </w:rPr>
        <w:t>) 脚手架、走道应有防滑措施。</w:t>
      </w:r>
    </w:p>
    <w:p w14:paraId="4507AF02">
      <w:pPr>
        <w:spacing w:before="182" w:line="375" w:lineRule="auto"/>
        <w:ind w:left="10" w:right="80" w:firstLine="491"/>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8"/>
          <w:sz w:val="23"/>
          <w:szCs w:val="23"/>
        </w:rPr>
        <w:t>6</w:t>
      </w:r>
      <w:r>
        <w:rPr>
          <w:rFonts w:ascii="宋体" w:hAnsi="宋体" w:eastAsia="宋体" w:cs="宋体"/>
          <w:spacing w:val="12"/>
          <w:sz w:val="23"/>
          <w:szCs w:val="23"/>
        </w:rPr>
        <w:t>)</w:t>
      </w:r>
      <w:r>
        <w:rPr>
          <w:rFonts w:ascii="宋体" w:hAnsi="宋体" w:eastAsia="宋体" w:cs="宋体"/>
          <w:spacing w:val="9"/>
          <w:sz w:val="23"/>
          <w:szCs w:val="23"/>
        </w:rPr>
        <w:t xml:space="preserve"> 加强现场冬季防火工作，严禁场内点火或用电炉取暖，木工房、材料库内</w:t>
      </w:r>
      <w:r>
        <w:rPr>
          <w:rFonts w:ascii="宋体" w:hAnsi="宋体" w:eastAsia="宋体" w:cs="宋体"/>
          <w:sz w:val="23"/>
          <w:szCs w:val="23"/>
        </w:rPr>
        <w:t xml:space="preserve"> </w:t>
      </w:r>
      <w:r>
        <w:rPr>
          <w:rFonts w:ascii="宋体" w:hAnsi="宋体" w:eastAsia="宋体" w:cs="宋体"/>
          <w:spacing w:val="16"/>
          <w:sz w:val="23"/>
          <w:szCs w:val="23"/>
        </w:rPr>
        <w:t>禁</w:t>
      </w:r>
      <w:r>
        <w:rPr>
          <w:rFonts w:ascii="宋体" w:hAnsi="宋体" w:eastAsia="宋体" w:cs="宋体"/>
          <w:spacing w:val="12"/>
          <w:sz w:val="23"/>
          <w:szCs w:val="23"/>
        </w:rPr>
        <w:t>止</w:t>
      </w:r>
      <w:r>
        <w:rPr>
          <w:rFonts w:ascii="宋体" w:hAnsi="宋体" w:eastAsia="宋体" w:cs="宋体"/>
          <w:spacing w:val="8"/>
          <w:sz w:val="23"/>
          <w:szCs w:val="23"/>
        </w:rPr>
        <w:t>吸烟，并配备足够的灭火器材。</w:t>
      </w:r>
    </w:p>
    <w:p w14:paraId="52D1B046">
      <w:pPr>
        <w:spacing w:before="1" w:line="227" w:lineRule="auto"/>
        <w:ind w:left="501"/>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5"/>
          <w:sz w:val="23"/>
          <w:szCs w:val="23"/>
        </w:rPr>
        <w:t>7</w:t>
      </w:r>
      <w:r>
        <w:rPr>
          <w:rFonts w:ascii="宋体" w:hAnsi="宋体" w:eastAsia="宋体" w:cs="宋体"/>
          <w:spacing w:val="12"/>
          <w:sz w:val="23"/>
          <w:szCs w:val="23"/>
        </w:rPr>
        <w:t>) 除上条款之外，严格执行施工单位的冬季施工措施。</w:t>
      </w:r>
    </w:p>
    <w:p w14:paraId="51645162">
      <w:pPr>
        <w:spacing w:before="185" w:line="227" w:lineRule="auto"/>
        <w:ind w:left="524"/>
        <w:rPr>
          <w:rFonts w:ascii="宋体" w:hAnsi="宋体" w:eastAsia="宋体" w:cs="宋体"/>
          <w:sz w:val="23"/>
          <w:szCs w:val="23"/>
        </w:rPr>
      </w:pPr>
      <w:r>
        <w:rPr>
          <w:rFonts w:ascii="Times New Roman" w:hAnsi="Times New Roman" w:eastAsia="Times New Roman" w:cs="Times New Roman"/>
          <w:b/>
          <w:bCs/>
          <w:spacing w:val="4"/>
          <w:sz w:val="23"/>
          <w:szCs w:val="23"/>
        </w:rPr>
        <w:t>2</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14:textOutline w14:w="4356" w14:cap="sq" w14:cmpd="sng" w14:algn="ctr">
            <w14:solidFill>
              <w14:srgbClr w14:val="000000"/>
            </w14:solidFill>
            <w14:prstDash w14:val="solid"/>
            <w14:bevel/>
          </w14:textOutline>
        </w:rPr>
        <w:t>、</w:t>
      </w:r>
      <w:r>
        <w:rPr>
          <w:rFonts w:ascii="宋体" w:hAnsi="宋体" w:eastAsia="宋体" w:cs="宋体"/>
          <w:spacing w:val="3"/>
          <w:sz w:val="23"/>
          <w:szCs w:val="23"/>
        </w:rPr>
        <w:t xml:space="preserve"> </w:t>
      </w:r>
      <w:r>
        <w:rPr>
          <w:rFonts w:ascii="宋体" w:hAnsi="宋体" w:eastAsia="宋体" w:cs="宋体"/>
          <w:spacing w:val="3"/>
          <w:sz w:val="23"/>
          <w:szCs w:val="23"/>
          <w14:textOutline w14:w="4356" w14:cap="sq" w14:cmpd="sng" w14:algn="ctr">
            <w14:solidFill>
              <w14:srgbClr w14:val="000000"/>
            </w14:solidFill>
            <w14:prstDash w14:val="solid"/>
            <w14:bevel/>
          </w14:textOutline>
        </w:rPr>
        <w:t>雨季施工措施</w:t>
      </w:r>
    </w:p>
    <w:p w14:paraId="10930248">
      <w:pPr>
        <w:spacing w:before="183" w:line="227" w:lineRule="auto"/>
        <w:ind w:left="501"/>
        <w:rPr>
          <w:rFonts w:ascii="宋体" w:hAnsi="宋体" w:eastAsia="宋体" w:cs="宋体"/>
          <w:sz w:val="23"/>
          <w:szCs w:val="23"/>
        </w:rPr>
      </w:pPr>
      <w:r>
        <w:rPr>
          <w:rFonts w:ascii="宋体" w:hAnsi="宋体" w:eastAsia="宋体" w:cs="宋体"/>
          <w:spacing w:val="16"/>
          <w:sz w:val="23"/>
          <w:szCs w:val="23"/>
        </w:rPr>
        <w:t>(</w:t>
      </w:r>
      <w:r>
        <w:rPr>
          <w:rFonts w:ascii="Times New Roman" w:hAnsi="Times New Roman" w:eastAsia="Times New Roman" w:cs="Times New Roman"/>
          <w:spacing w:val="16"/>
          <w:sz w:val="23"/>
          <w:szCs w:val="23"/>
        </w:rPr>
        <w:t>1</w:t>
      </w:r>
      <w:r>
        <w:rPr>
          <w:rFonts w:ascii="宋体" w:hAnsi="宋体" w:eastAsia="宋体" w:cs="宋体"/>
          <w:spacing w:val="14"/>
          <w:sz w:val="23"/>
          <w:szCs w:val="23"/>
        </w:rPr>
        <w:t>)</w:t>
      </w:r>
      <w:r>
        <w:rPr>
          <w:rFonts w:ascii="宋体" w:hAnsi="宋体" w:eastAsia="宋体" w:cs="宋体"/>
          <w:spacing w:val="8"/>
          <w:sz w:val="23"/>
          <w:szCs w:val="23"/>
        </w:rPr>
        <w:t>沿建筑物四周设置排水沟，并在雨季来临前进行疏通检查，保证排水畅通。</w:t>
      </w:r>
    </w:p>
    <w:p w14:paraId="72CB4A49">
      <w:pPr>
        <w:spacing w:before="184" w:line="375" w:lineRule="auto"/>
        <w:ind w:left="12" w:right="80" w:firstLine="489"/>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8"/>
          <w:sz w:val="23"/>
          <w:szCs w:val="23"/>
        </w:rPr>
        <w:t>2</w:t>
      </w:r>
      <w:r>
        <w:rPr>
          <w:rFonts w:ascii="宋体" w:hAnsi="宋体" w:eastAsia="宋体" w:cs="宋体"/>
          <w:spacing w:val="12"/>
          <w:sz w:val="23"/>
          <w:szCs w:val="23"/>
        </w:rPr>
        <w:t>)</w:t>
      </w:r>
      <w:r>
        <w:rPr>
          <w:rFonts w:ascii="宋体" w:hAnsi="宋体" w:eastAsia="宋体" w:cs="宋体"/>
          <w:spacing w:val="9"/>
          <w:sz w:val="23"/>
          <w:szCs w:val="23"/>
        </w:rPr>
        <w:t xml:space="preserve"> 大雨大风后，及时对脚手架、塔吊、施工电梯等机械设备进行检查，检查</w:t>
      </w:r>
      <w:r>
        <w:rPr>
          <w:rFonts w:ascii="宋体" w:hAnsi="宋体" w:eastAsia="宋体" w:cs="宋体"/>
          <w:sz w:val="23"/>
          <w:szCs w:val="23"/>
        </w:rPr>
        <w:t xml:space="preserve"> </w:t>
      </w:r>
      <w:r>
        <w:rPr>
          <w:rFonts w:ascii="宋体" w:hAnsi="宋体" w:eastAsia="宋体" w:cs="宋体"/>
          <w:spacing w:val="8"/>
          <w:sz w:val="23"/>
          <w:szCs w:val="23"/>
        </w:rPr>
        <w:t>无误后方可继续使用</w:t>
      </w:r>
      <w:r>
        <w:rPr>
          <w:rFonts w:ascii="宋体" w:hAnsi="宋体" w:eastAsia="宋体" w:cs="宋体"/>
          <w:spacing w:val="6"/>
          <w:sz w:val="23"/>
          <w:szCs w:val="23"/>
        </w:rPr>
        <w:t>。</w:t>
      </w:r>
    </w:p>
    <w:p w14:paraId="7BEDD351">
      <w:pPr>
        <w:spacing w:line="226" w:lineRule="auto"/>
        <w:ind w:left="501"/>
        <w:rPr>
          <w:rFonts w:ascii="宋体" w:hAnsi="宋体" w:eastAsia="宋体" w:cs="宋体"/>
          <w:sz w:val="23"/>
          <w:szCs w:val="23"/>
        </w:rPr>
      </w:pPr>
      <w:r>
        <w:rPr>
          <w:rFonts w:ascii="宋体" w:hAnsi="宋体" w:eastAsia="宋体" w:cs="宋体"/>
          <w:spacing w:val="15"/>
          <w:sz w:val="23"/>
          <w:szCs w:val="23"/>
        </w:rPr>
        <w:t>(</w:t>
      </w:r>
      <w:r>
        <w:rPr>
          <w:rFonts w:ascii="Times New Roman" w:hAnsi="Times New Roman" w:eastAsia="Times New Roman" w:cs="Times New Roman"/>
          <w:spacing w:val="12"/>
          <w:sz w:val="23"/>
          <w:szCs w:val="23"/>
        </w:rPr>
        <w:t>3</w:t>
      </w:r>
      <w:r>
        <w:rPr>
          <w:rFonts w:ascii="宋体" w:hAnsi="宋体" w:eastAsia="宋体" w:cs="宋体"/>
          <w:spacing w:val="12"/>
          <w:sz w:val="23"/>
          <w:szCs w:val="23"/>
        </w:rPr>
        <w:t>) 所有机具的配电箱、电机等均应有防雨罩、接地和漏电保护装置。</w:t>
      </w:r>
    </w:p>
    <w:p w14:paraId="6DD0D3EB">
      <w:pPr>
        <w:spacing w:before="183" w:line="375" w:lineRule="auto"/>
        <w:ind w:left="9" w:right="26" w:firstLine="492"/>
        <w:rPr>
          <w:rFonts w:ascii="宋体" w:hAnsi="宋体" w:eastAsia="宋体" w:cs="宋体"/>
          <w:sz w:val="23"/>
          <w:szCs w:val="23"/>
        </w:rPr>
      </w:pPr>
      <w:r>
        <w:rPr>
          <w:rFonts w:ascii="宋体" w:hAnsi="宋体" w:eastAsia="宋体" w:cs="宋体"/>
          <w:spacing w:val="14"/>
          <w:sz w:val="23"/>
          <w:szCs w:val="23"/>
        </w:rPr>
        <w:t>(</w:t>
      </w:r>
      <w:r>
        <w:rPr>
          <w:rFonts w:ascii="Times New Roman" w:hAnsi="Times New Roman" w:eastAsia="Times New Roman" w:cs="Times New Roman"/>
          <w:spacing w:val="11"/>
          <w:sz w:val="23"/>
          <w:szCs w:val="23"/>
        </w:rPr>
        <w:t>4</w:t>
      </w:r>
      <w:r>
        <w:rPr>
          <w:rFonts w:ascii="宋体" w:hAnsi="宋体" w:eastAsia="宋体" w:cs="宋体"/>
          <w:spacing w:val="11"/>
          <w:sz w:val="23"/>
          <w:szCs w:val="23"/>
        </w:rPr>
        <w:t>) 在建筑物正式避雷系统未形成前，要采取临时避雷措施，保证施工安全。</w:t>
      </w:r>
      <w:r>
        <w:rPr>
          <w:rFonts w:ascii="宋体" w:hAnsi="宋体" w:eastAsia="宋体" w:cs="宋体"/>
          <w:sz w:val="23"/>
          <w:szCs w:val="23"/>
        </w:rPr>
        <w:t xml:space="preserve"> </w:t>
      </w:r>
      <w:r>
        <w:rPr>
          <w:rFonts w:ascii="宋体" w:hAnsi="宋体" w:eastAsia="宋体" w:cs="宋体"/>
          <w:spacing w:val="10"/>
          <w:sz w:val="23"/>
          <w:szCs w:val="23"/>
        </w:rPr>
        <w:t>施</w:t>
      </w:r>
      <w:r>
        <w:rPr>
          <w:rFonts w:ascii="宋体" w:hAnsi="宋体" w:eastAsia="宋体" w:cs="宋体"/>
          <w:spacing w:val="7"/>
          <w:sz w:val="23"/>
          <w:szCs w:val="23"/>
        </w:rPr>
        <w:t xml:space="preserve">工用塔吊、施工电梯、井架应可靠接零接地，接地电阻不大于 </w:t>
      </w:r>
      <w:r>
        <w:rPr>
          <w:rFonts w:ascii="Times New Roman" w:hAnsi="Times New Roman" w:eastAsia="Times New Roman" w:cs="Times New Roman"/>
          <w:spacing w:val="7"/>
          <w:sz w:val="23"/>
          <w:szCs w:val="23"/>
        </w:rPr>
        <w:t xml:space="preserve">4 </w:t>
      </w:r>
      <w:r>
        <w:rPr>
          <w:rFonts w:ascii="宋体" w:hAnsi="宋体" w:eastAsia="宋体" w:cs="宋体"/>
          <w:spacing w:val="7"/>
          <w:sz w:val="23"/>
          <w:szCs w:val="23"/>
        </w:rPr>
        <w:t>欧。</w:t>
      </w:r>
    </w:p>
    <w:p w14:paraId="7F5EC432">
      <w:pPr>
        <w:spacing w:line="227" w:lineRule="auto"/>
        <w:ind w:left="501"/>
        <w:rPr>
          <w:rFonts w:ascii="宋体" w:hAnsi="宋体" w:eastAsia="宋体" w:cs="宋体"/>
          <w:sz w:val="23"/>
          <w:szCs w:val="23"/>
        </w:rPr>
      </w:pPr>
      <w:r>
        <w:rPr>
          <w:rFonts w:ascii="宋体" w:hAnsi="宋体" w:eastAsia="宋体" w:cs="宋体"/>
          <w:spacing w:val="23"/>
          <w:sz w:val="23"/>
          <w:szCs w:val="23"/>
        </w:rPr>
        <w:t>(</w:t>
      </w:r>
      <w:r>
        <w:rPr>
          <w:rFonts w:ascii="Times New Roman" w:hAnsi="Times New Roman" w:eastAsia="Times New Roman" w:cs="Times New Roman"/>
          <w:spacing w:val="14"/>
          <w:sz w:val="23"/>
          <w:szCs w:val="23"/>
        </w:rPr>
        <w:t>5</w:t>
      </w:r>
      <w:r>
        <w:rPr>
          <w:rFonts w:ascii="宋体" w:hAnsi="宋体" w:eastAsia="宋体" w:cs="宋体"/>
          <w:spacing w:val="14"/>
          <w:sz w:val="23"/>
          <w:szCs w:val="23"/>
        </w:rPr>
        <w:t>) 雨天不得进行防水施工。</w:t>
      </w:r>
    </w:p>
    <w:p w14:paraId="7199ACAB">
      <w:pPr>
        <w:spacing w:before="184" w:line="375" w:lineRule="auto"/>
        <w:ind w:left="15" w:right="45" w:firstLine="485"/>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6</w:t>
      </w:r>
      <w:r>
        <w:rPr>
          <w:rFonts w:ascii="宋体" w:hAnsi="宋体" w:eastAsia="宋体" w:cs="宋体"/>
          <w:spacing w:val="10"/>
          <w:sz w:val="23"/>
          <w:szCs w:val="23"/>
        </w:rPr>
        <w:t>) 砼浇筑应尽量避免在雨中进行。若中途遇雨，则应立即进行覆盖已浇砼，</w:t>
      </w:r>
      <w:r>
        <w:rPr>
          <w:rFonts w:ascii="宋体" w:hAnsi="宋体" w:eastAsia="宋体" w:cs="宋体"/>
          <w:sz w:val="23"/>
          <w:szCs w:val="23"/>
        </w:rPr>
        <w:t xml:space="preserve"> </w:t>
      </w:r>
      <w:r>
        <w:rPr>
          <w:rFonts w:ascii="宋体" w:hAnsi="宋体" w:eastAsia="宋体" w:cs="宋体"/>
          <w:spacing w:val="8"/>
          <w:sz w:val="23"/>
          <w:szCs w:val="23"/>
        </w:rPr>
        <w:t>并继续浇至规定施工缝位置。</w:t>
      </w:r>
    </w:p>
    <w:p w14:paraId="2F821BBA">
      <w:pPr>
        <w:spacing w:before="1" w:line="227" w:lineRule="auto"/>
        <w:ind w:left="501"/>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9"/>
          <w:sz w:val="23"/>
          <w:szCs w:val="23"/>
        </w:rPr>
        <w:t>7</w:t>
      </w:r>
      <w:r>
        <w:rPr>
          <w:rFonts w:ascii="宋体" w:hAnsi="宋体" w:eastAsia="宋体" w:cs="宋体"/>
          <w:spacing w:val="12"/>
          <w:sz w:val="23"/>
          <w:szCs w:val="23"/>
        </w:rPr>
        <w:t>) 场地土石方施工避开雨季，降低施工水土流失。</w:t>
      </w:r>
    </w:p>
    <w:p w14:paraId="2D6E6EEF">
      <w:pPr>
        <w:spacing w:before="185" w:line="303" w:lineRule="exact"/>
        <w:ind w:left="523"/>
        <w:rPr>
          <w:rFonts w:ascii="宋体" w:hAnsi="宋体" w:eastAsia="宋体" w:cs="宋体"/>
          <w:sz w:val="23"/>
          <w:szCs w:val="23"/>
        </w:rPr>
      </w:pPr>
      <w:r>
        <w:rPr>
          <w:rFonts w:ascii="Times New Roman" w:hAnsi="Times New Roman" w:eastAsia="Times New Roman" w:cs="Times New Roman"/>
          <w:b/>
          <w:bCs/>
          <w:spacing w:val="21"/>
          <w:position w:val="1"/>
          <w:sz w:val="23"/>
          <w:szCs w:val="23"/>
        </w:rPr>
        <w:t>3</w:t>
      </w:r>
      <w:r>
        <w:rPr>
          <w:rFonts w:ascii="Times New Roman" w:hAnsi="Times New Roman" w:eastAsia="Times New Roman" w:cs="Times New Roman"/>
          <w:spacing w:val="19"/>
          <w:position w:val="1"/>
          <w:sz w:val="23"/>
          <w:szCs w:val="23"/>
        </w:rPr>
        <w:t xml:space="preserve"> </w:t>
      </w:r>
      <w:r>
        <w:rPr>
          <w:rFonts w:ascii="宋体" w:hAnsi="宋体" w:eastAsia="宋体" w:cs="宋体"/>
          <w:spacing w:val="19"/>
          <w:position w:val="1"/>
          <w:sz w:val="23"/>
          <w:szCs w:val="23"/>
          <w14:textOutline w14:w="4356" w14:cap="sq" w14:cmpd="sng" w14:algn="ctr">
            <w14:solidFill>
              <w14:srgbClr w14:val="000000"/>
            </w14:solidFill>
            <w14:prstDash w14:val="solid"/>
            <w14:bevel/>
          </w14:textOutline>
        </w:rPr>
        <w:t>、施工期总平面布置</w:t>
      </w:r>
    </w:p>
    <w:p w14:paraId="00A2A1CB">
      <w:pPr>
        <w:spacing w:before="162" w:line="227" w:lineRule="auto"/>
        <w:ind w:left="489"/>
        <w:rPr>
          <w:rFonts w:ascii="宋体" w:hAnsi="宋体" w:eastAsia="宋体" w:cs="宋体"/>
          <w:sz w:val="23"/>
          <w:szCs w:val="23"/>
        </w:rPr>
      </w:pPr>
      <w:r>
        <w:rPr>
          <w:rFonts w:ascii="宋体" w:hAnsi="宋体" w:eastAsia="宋体" w:cs="宋体"/>
          <w:spacing w:val="17"/>
          <w:sz w:val="23"/>
          <w:szCs w:val="23"/>
          <w14:textOutline w14:w="4356" w14:cap="sq" w14:cmpd="sng" w14:algn="ctr">
            <w14:solidFill>
              <w14:srgbClr w14:val="000000"/>
            </w14:solidFill>
            <w14:prstDash w14:val="solid"/>
            <w14:bevel/>
          </w14:textOutline>
        </w:rPr>
        <w:t>施</w:t>
      </w:r>
      <w:r>
        <w:rPr>
          <w:rFonts w:ascii="宋体" w:hAnsi="宋体" w:eastAsia="宋体" w:cs="宋体"/>
          <w:spacing w:val="9"/>
          <w:sz w:val="23"/>
          <w:szCs w:val="23"/>
          <w14:textOutline w14:w="4356" w14:cap="sq" w14:cmpd="sng" w14:algn="ctr">
            <w14:solidFill>
              <w14:srgbClr w14:val="000000"/>
            </w14:solidFill>
            <w14:prstDash w14:val="solid"/>
            <w14:bevel/>
          </w14:textOutline>
        </w:rPr>
        <w:t>工总平面布置应遵循以下原则：</w:t>
      </w:r>
    </w:p>
    <w:p w14:paraId="7A25897D">
      <w:pPr>
        <w:spacing w:before="183" w:line="468" w:lineRule="exact"/>
        <w:ind w:left="501"/>
        <w:rPr>
          <w:rFonts w:ascii="宋体" w:hAnsi="宋体" w:eastAsia="宋体" w:cs="宋体"/>
          <w:sz w:val="23"/>
          <w:szCs w:val="23"/>
        </w:rPr>
      </w:pPr>
      <w:r>
        <w:rPr>
          <w:rFonts w:ascii="宋体" w:hAnsi="宋体" w:eastAsia="宋体" w:cs="宋体"/>
          <w:spacing w:val="18"/>
          <w:position w:val="17"/>
          <w:sz w:val="23"/>
          <w:szCs w:val="23"/>
        </w:rPr>
        <w:t>(</w:t>
      </w:r>
      <w:r>
        <w:rPr>
          <w:rFonts w:ascii="Times New Roman" w:hAnsi="Times New Roman" w:eastAsia="Times New Roman" w:cs="Times New Roman"/>
          <w:spacing w:val="18"/>
          <w:position w:val="17"/>
          <w:sz w:val="23"/>
          <w:szCs w:val="23"/>
        </w:rPr>
        <w:t>1</w:t>
      </w:r>
      <w:r>
        <w:rPr>
          <w:rFonts w:ascii="宋体" w:hAnsi="宋体" w:eastAsia="宋体" w:cs="宋体"/>
          <w:spacing w:val="14"/>
          <w:position w:val="17"/>
          <w:sz w:val="23"/>
          <w:szCs w:val="23"/>
        </w:rPr>
        <w:t>)</w:t>
      </w:r>
      <w:r>
        <w:rPr>
          <w:rFonts w:ascii="宋体" w:hAnsi="宋体" w:eastAsia="宋体" w:cs="宋体"/>
          <w:spacing w:val="9"/>
          <w:position w:val="17"/>
          <w:sz w:val="23"/>
          <w:szCs w:val="23"/>
        </w:rPr>
        <w:t xml:space="preserve"> 办公区与材料堆场、土方临时堆场、施工场地等分开布置，以减轻噪声及</w:t>
      </w:r>
    </w:p>
    <w:p w14:paraId="0D1868B7">
      <w:pPr>
        <w:spacing w:line="227" w:lineRule="auto"/>
        <w:ind w:left="9"/>
        <w:rPr>
          <w:rFonts w:ascii="宋体" w:hAnsi="宋体" w:eastAsia="宋体" w:cs="宋体"/>
          <w:sz w:val="23"/>
          <w:szCs w:val="23"/>
        </w:rPr>
      </w:pPr>
      <w:r>
        <w:rPr>
          <w:rFonts w:ascii="宋体" w:hAnsi="宋体" w:eastAsia="宋体" w:cs="宋体"/>
          <w:spacing w:val="9"/>
          <w:sz w:val="23"/>
          <w:szCs w:val="23"/>
        </w:rPr>
        <w:t>扬</w:t>
      </w:r>
      <w:r>
        <w:rPr>
          <w:rFonts w:ascii="宋体" w:hAnsi="宋体" w:eastAsia="宋体" w:cs="宋体"/>
          <w:spacing w:val="8"/>
          <w:sz w:val="23"/>
          <w:szCs w:val="23"/>
        </w:rPr>
        <w:t>尘等对办公的影响；</w:t>
      </w:r>
    </w:p>
    <w:p w14:paraId="7C75ED7F">
      <w:pPr>
        <w:sectPr>
          <w:headerReference r:id="rId173" w:type="default"/>
          <w:footerReference r:id="rId174" w:type="default"/>
          <w:pgSz w:w="11907" w:h="16840"/>
          <w:pgMar w:top="1153" w:right="1499" w:bottom="1485" w:left="1660" w:header="919" w:footer="1298" w:gutter="0"/>
          <w:cols w:space="720" w:num="1"/>
        </w:sectPr>
      </w:pPr>
    </w:p>
    <w:p w14:paraId="53252A1B">
      <w:pPr>
        <w:spacing w:line="460" w:lineRule="auto"/>
      </w:pPr>
      <w:r>
        <w:pict>
          <v:shape id="_x0000_s2099" o:spid="_x0000_s2099" style="position:absolute;left:0pt;margin-left:83pt;margin-top:57.2pt;height:0.5pt;width:433.35pt;mso-position-horizontal-relative:page;mso-position-vertical-relative:page;z-index:251727872;mso-width-relative:page;mso-height-relative:page;" fillcolor="#000000" filled="t" stroked="f" coordsize="8667,10" o:allowincell="f" path="m0,0l8666,0,8666,9,0,9,0,0xe">
            <v:fill on="t" focussize="0,0"/>
            <v:stroke on="f"/>
            <v:imagedata o:title=""/>
            <o:lock v:ext="edit"/>
          </v:shape>
        </w:pict>
      </w:r>
    </w:p>
    <w:p w14:paraId="53CD2925">
      <w:pPr>
        <w:spacing w:before="56" w:line="229" w:lineRule="auto"/>
        <w:ind w:left="422"/>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00B05A65">
      <w:pPr>
        <w:spacing w:before="66" w:line="227" w:lineRule="auto"/>
        <w:ind w:left="916"/>
        <w:rPr>
          <w:rFonts w:ascii="宋体" w:hAnsi="宋体" w:eastAsia="宋体" w:cs="宋体"/>
          <w:sz w:val="23"/>
          <w:szCs w:val="23"/>
        </w:rPr>
      </w:pPr>
      <w:r>
        <w:rPr>
          <w:rFonts w:ascii="宋体" w:hAnsi="宋体" w:eastAsia="宋体" w:cs="宋体"/>
          <w:spacing w:val="13"/>
          <w:sz w:val="23"/>
          <w:szCs w:val="23"/>
        </w:rPr>
        <w:t>(</w:t>
      </w:r>
      <w:r>
        <w:rPr>
          <w:rFonts w:ascii="Times New Roman" w:hAnsi="Times New Roman" w:eastAsia="Times New Roman" w:cs="Times New Roman"/>
          <w:spacing w:val="13"/>
          <w:sz w:val="23"/>
          <w:szCs w:val="23"/>
        </w:rPr>
        <w:t>2</w:t>
      </w:r>
      <w:r>
        <w:rPr>
          <w:rFonts w:ascii="宋体" w:hAnsi="宋体" w:eastAsia="宋体" w:cs="宋体"/>
          <w:spacing w:val="13"/>
          <w:sz w:val="23"/>
          <w:szCs w:val="23"/>
        </w:rPr>
        <w:t>) 相对固定的产噪区尽量布置在远离敏感点处</w:t>
      </w:r>
      <w:r>
        <w:rPr>
          <w:rFonts w:ascii="宋体" w:hAnsi="宋体" w:eastAsia="宋体" w:cs="宋体"/>
          <w:spacing w:val="10"/>
          <w:sz w:val="23"/>
          <w:szCs w:val="23"/>
        </w:rPr>
        <w:t>；</w:t>
      </w:r>
    </w:p>
    <w:p w14:paraId="08888207">
      <w:pPr>
        <w:spacing w:before="182" w:line="375" w:lineRule="auto"/>
        <w:ind w:left="429" w:right="352" w:firstLine="486"/>
        <w:rPr>
          <w:rFonts w:ascii="宋体" w:hAnsi="宋体" w:eastAsia="宋体" w:cs="宋体"/>
          <w:sz w:val="23"/>
          <w:szCs w:val="23"/>
        </w:rPr>
      </w:pPr>
      <w:r>
        <w:rPr>
          <w:rFonts w:ascii="宋体" w:hAnsi="宋体" w:eastAsia="宋体" w:cs="宋体"/>
          <w:spacing w:val="12"/>
          <w:sz w:val="23"/>
          <w:szCs w:val="23"/>
        </w:rPr>
        <w:t>(</w:t>
      </w:r>
      <w:r>
        <w:rPr>
          <w:rFonts w:ascii="Times New Roman" w:hAnsi="Times New Roman" w:eastAsia="Times New Roman" w:cs="Times New Roman"/>
          <w:spacing w:val="8"/>
          <w:sz w:val="23"/>
          <w:szCs w:val="23"/>
        </w:rPr>
        <w:t>3</w:t>
      </w:r>
      <w:r>
        <w:rPr>
          <w:rFonts w:ascii="宋体" w:hAnsi="宋体" w:eastAsia="宋体" w:cs="宋体"/>
          <w:spacing w:val="8"/>
          <w:sz w:val="23"/>
          <w:szCs w:val="23"/>
        </w:rPr>
        <w:t>)施工场地的大型施工机械布置除考虑安拆方便外，还应满足工程施工需要，</w:t>
      </w:r>
      <w:r>
        <w:rPr>
          <w:rFonts w:ascii="宋体" w:hAnsi="宋体" w:eastAsia="宋体" w:cs="宋体"/>
          <w:sz w:val="23"/>
          <w:szCs w:val="23"/>
        </w:rPr>
        <w:t xml:space="preserve"> </w:t>
      </w:r>
      <w:r>
        <w:rPr>
          <w:rFonts w:ascii="宋体" w:hAnsi="宋体" w:eastAsia="宋体" w:cs="宋体"/>
          <w:spacing w:val="15"/>
          <w:sz w:val="23"/>
          <w:szCs w:val="23"/>
        </w:rPr>
        <w:t>交</w:t>
      </w:r>
      <w:r>
        <w:rPr>
          <w:rFonts w:ascii="宋体" w:hAnsi="宋体" w:eastAsia="宋体" w:cs="宋体"/>
          <w:spacing w:val="8"/>
          <w:sz w:val="23"/>
          <w:szCs w:val="23"/>
        </w:rPr>
        <w:t>通流畅，尽可能使场内道路环通。</w:t>
      </w:r>
    </w:p>
    <w:p w14:paraId="77F0F5E5">
      <w:pPr>
        <w:spacing w:line="226" w:lineRule="auto"/>
        <w:ind w:left="916"/>
        <w:rPr>
          <w:rFonts w:ascii="宋体" w:hAnsi="宋体" w:eastAsia="宋体" w:cs="宋体"/>
          <w:sz w:val="23"/>
          <w:szCs w:val="23"/>
        </w:rPr>
      </w:pPr>
      <w:r>
        <w:rPr>
          <w:rFonts w:ascii="宋体" w:hAnsi="宋体" w:eastAsia="宋体" w:cs="宋体"/>
          <w:spacing w:val="13"/>
          <w:sz w:val="23"/>
          <w:szCs w:val="23"/>
        </w:rPr>
        <w:t>(</w:t>
      </w:r>
      <w:r>
        <w:rPr>
          <w:rFonts w:ascii="Times New Roman" w:hAnsi="Times New Roman" w:eastAsia="Times New Roman" w:cs="Times New Roman"/>
          <w:spacing w:val="13"/>
          <w:sz w:val="23"/>
          <w:szCs w:val="23"/>
        </w:rPr>
        <w:t>4</w:t>
      </w:r>
      <w:r>
        <w:rPr>
          <w:rFonts w:ascii="宋体" w:hAnsi="宋体" w:eastAsia="宋体" w:cs="宋体"/>
          <w:spacing w:val="13"/>
          <w:sz w:val="23"/>
          <w:szCs w:val="23"/>
        </w:rPr>
        <w:t>) 要加强施工安全生产并采取必要的防范措施</w:t>
      </w:r>
      <w:r>
        <w:rPr>
          <w:rFonts w:ascii="宋体" w:hAnsi="宋体" w:eastAsia="宋体" w:cs="宋体"/>
          <w:spacing w:val="10"/>
          <w:sz w:val="23"/>
          <w:szCs w:val="23"/>
        </w:rPr>
        <w:t>。</w:t>
      </w:r>
    </w:p>
    <w:p w14:paraId="7216561A">
      <w:pPr>
        <w:spacing w:before="184" w:line="375" w:lineRule="auto"/>
        <w:ind w:left="424" w:right="413" w:firstLine="484"/>
        <w:rPr>
          <w:rFonts w:ascii="宋体" w:hAnsi="宋体" w:eastAsia="宋体" w:cs="宋体"/>
          <w:sz w:val="23"/>
          <w:szCs w:val="23"/>
        </w:rPr>
      </w:pPr>
      <w:r>
        <w:rPr>
          <w:rFonts w:ascii="宋体" w:hAnsi="宋体" w:eastAsia="宋体" w:cs="宋体"/>
          <w:spacing w:val="20"/>
          <w:sz w:val="23"/>
          <w:szCs w:val="23"/>
        </w:rPr>
        <w:t>项</w:t>
      </w:r>
      <w:r>
        <w:rPr>
          <w:rFonts w:ascii="宋体" w:hAnsi="宋体" w:eastAsia="宋体" w:cs="宋体"/>
          <w:spacing w:val="13"/>
          <w:sz w:val="23"/>
          <w:szCs w:val="23"/>
        </w:rPr>
        <w:t>目</w:t>
      </w:r>
      <w:r>
        <w:rPr>
          <w:rFonts w:ascii="宋体" w:hAnsi="宋体" w:eastAsia="宋体" w:cs="宋体"/>
          <w:spacing w:val="10"/>
          <w:sz w:val="23"/>
          <w:szCs w:val="23"/>
        </w:rPr>
        <w:t>施工期主要是砖混结构建筑的建设，以及设备安装等，包括基础工程、主</w:t>
      </w:r>
      <w:r>
        <w:rPr>
          <w:rFonts w:ascii="宋体" w:hAnsi="宋体" w:eastAsia="宋体" w:cs="宋体"/>
          <w:sz w:val="23"/>
          <w:szCs w:val="23"/>
        </w:rPr>
        <w:t xml:space="preserve"> </w:t>
      </w:r>
      <w:r>
        <w:rPr>
          <w:rFonts w:ascii="宋体" w:hAnsi="宋体" w:eastAsia="宋体" w:cs="宋体"/>
          <w:spacing w:val="20"/>
          <w:sz w:val="23"/>
          <w:szCs w:val="23"/>
        </w:rPr>
        <w:t>体</w:t>
      </w:r>
      <w:r>
        <w:rPr>
          <w:rFonts w:ascii="宋体" w:hAnsi="宋体" w:eastAsia="宋体" w:cs="宋体"/>
          <w:spacing w:val="17"/>
          <w:sz w:val="23"/>
          <w:szCs w:val="23"/>
        </w:rPr>
        <w:t>工</w:t>
      </w:r>
      <w:r>
        <w:rPr>
          <w:rFonts w:ascii="宋体" w:hAnsi="宋体" w:eastAsia="宋体" w:cs="宋体"/>
          <w:spacing w:val="10"/>
          <w:sz w:val="23"/>
          <w:szCs w:val="23"/>
        </w:rPr>
        <w:t>程、装饰工程、设备安装、工程验收等工序，施工过程中将产生噪声、扬尘及</w:t>
      </w:r>
      <w:r>
        <w:rPr>
          <w:rFonts w:ascii="宋体" w:hAnsi="宋体" w:eastAsia="宋体" w:cs="宋体"/>
          <w:sz w:val="23"/>
          <w:szCs w:val="23"/>
        </w:rPr>
        <w:t xml:space="preserve"> </w:t>
      </w:r>
      <w:r>
        <w:rPr>
          <w:rFonts w:ascii="宋体" w:hAnsi="宋体" w:eastAsia="宋体" w:cs="宋体"/>
          <w:spacing w:val="20"/>
          <w:sz w:val="23"/>
          <w:szCs w:val="23"/>
        </w:rPr>
        <w:t>废</w:t>
      </w:r>
      <w:r>
        <w:rPr>
          <w:rFonts w:ascii="宋体" w:hAnsi="宋体" w:eastAsia="宋体" w:cs="宋体"/>
          <w:spacing w:val="17"/>
          <w:sz w:val="23"/>
          <w:szCs w:val="23"/>
        </w:rPr>
        <w:t>气</w:t>
      </w:r>
      <w:r>
        <w:rPr>
          <w:rFonts w:ascii="宋体" w:hAnsi="宋体" w:eastAsia="宋体" w:cs="宋体"/>
          <w:spacing w:val="10"/>
          <w:sz w:val="23"/>
          <w:szCs w:val="23"/>
        </w:rPr>
        <w:t>、固体废物、施工污水等污染物，其排放量随工序和施工强度不同而变化。项</w:t>
      </w:r>
      <w:r>
        <w:rPr>
          <w:rFonts w:ascii="宋体" w:hAnsi="宋体" w:eastAsia="宋体" w:cs="宋体"/>
          <w:sz w:val="23"/>
          <w:szCs w:val="23"/>
        </w:rPr>
        <w:t xml:space="preserve"> </w:t>
      </w:r>
      <w:r>
        <w:rPr>
          <w:rFonts w:ascii="宋体" w:hAnsi="宋体" w:eastAsia="宋体" w:cs="宋体"/>
          <w:spacing w:val="12"/>
          <w:sz w:val="23"/>
          <w:szCs w:val="23"/>
        </w:rPr>
        <w:t>目</w:t>
      </w:r>
      <w:r>
        <w:rPr>
          <w:rFonts w:ascii="宋体" w:hAnsi="宋体" w:eastAsia="宋体" w:cs="宋体"/>
          <w:spacing w:val="9"/>
          <w:sz w:val="23"/>
          <w:szCs w:val="23"/>
        </w:rPr>
        <w:t>施工期对环境的影响主要体现在以下几个方面：</w:t>
      </w:r>
    </w:p>
    <w:p w14:paraId="5DF20813">
      <w:pPr>
        <w:spacing w:line="228" w:lineRule="auto"/>
        <w:ind w:left="423"/>
        <w:outlineLvl w:val="2"/>
        <w:rPr>
          <w:rFonts w:ascii="宋体" w:hAnsi="宋体" w:eastAsia="宋体" w:cs="宋体"/>
          <w:sz w:val="23"/>
          <w:szCs w:val="23"/>
        </w:rPr>
      </w:pPr>
      <w:r>
        <w:rPr>
          <w:rFonts w:ascii="Times New Roman" w:hAnsi="Times New Roman" w:eastAsia="Times New Roman" w:cs="Times New Roman"/>
          <w:b/>
          <w:bCs/>
          <w:spacing w:val="8"/>
          <w:sz w:val="23"/>
          <w:szCs w:val="23"/>
        </w:rPr>
        <w:t>5</w:t>
      </w:r>
      <w:r>
        <w:rPr>
          <w:rFonts w:ascii="Times New Roman" w:hAnsi="Times New Roman" w:eastAsia="Times New Roman" w:cs="Times New Roman"/>
          <w:b/>
          <w:bCs/>
          <w:spacing w:val="6"/>
          <w:sz w:val="23"/>
          <w:szCs w:val="23"/>
        </w:rPr>
        <w:t>.1.2</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施工期大气环境影响分析</w:t>
      </w:r>
    </w:p>
    <w:p w14:paraId="292C98A5">
      <w:pPr>
        <w:spacing w:before="181" w:line="227" w:lineRule="auto"/>
        <w:ind w:left="909"/>
        <w:rPr>
          <w:rFonts w:ascii="宋体" w:hAnsi="宋体" w:eastAsia="宋体" w:cs="宋体"/>
          <w:sz w:val="23"/>
          <w:szCs w:val="23"/>
        </w:rPr>
      </w:pPr>
      <w:r>
        <w:rPr>
          <w:rFonts w:ascii="宋体" w:hAnsi="宋体" w:eastAsia="宋体" w:cs="宋体"/>
          <w:spacing w:val="4"/>
          <w:sz w:val="23"/>
          <w:szCs w:val="23"/>
        </w:rPr>
        <w:t>项目施工期</w:t>
      </w:r>
      <w:r>
        <w:rPr>
          <w:rFonts w:ascii="宋体" w:hAnsi="宋体" w:eastAsia="宋体" w:cs="宋体"/>
          <w:spacing w:val="2"/>
          <w:sz w:val="23"/>
          <w:szCs w:val="23"/>
        </w:rPr>
        <w:t xml:space="preserve">间不同阶段的主要大气污染源及污染物见表 </w:t>
      </w:r>
      <w:r>
        <w:rPr>
          <w:rFonts w:ascii="Times New Roman" w:hAnsi="Times New Roman" w:eastAsia="Times New Roman" w:cs="Times New Roman"/>
          <w:spacing w:val="2"/>
          <w:sz w:val="23"/>
          <w:szCs w:val="23"/>
        </w:rPr>
        <w:t>5. 1- 1</w:t>
      </w:r>
      <w:r>
        <w:rPr>
          <w:rFonts w:ascii="宋体" w:hAnsi="宋体" w:eastAsia="宋体" w:cs="宋体"/>
          <w:spacing w:val="2"/>
          <w:sz w:val="23"/>
          <w:szCs w:val="23"/>
        </w:rPr>
        <w:t>。</w:t>
      </w:r>
    </w:p>
    <w:p w14:paraId="2EE8C051">
      <w:pPr>
        <w:spacing w:before="185" w:line="221" w:lineRule="auto"/>
        <w:ind w:left="2562"/>
        <w:rPr>
          <w:rFonts w:ascii="黑体" w:hAnsi="黑体" w:eastAsia="黑体" w:cs="黑体"/>
          <w:sz w:val="23"/>
          <w:szCs w:val="23"/>
        </w:rPr>
      </w:pPr>
      <w:r>
        <w:rPr>
          <w:rFonts w:ascii="黑体" w:hAnsi="黑体" w:eastAsia="黑体" w:cs="黑体"/>
          <w:spacing w:val="-1"/>
          <w:sz w:val="23"/>
          <w:szCs w:val="23"/>
        </w:rPr>
        <w:t xml:space="preserve">表 </w:t>
      </w:r>
      <w:r>
        <w:rPr>
          <w:rFonts w:ascii="Times New Roman" w:hAnsi="Times New Roman" w:eastAsia="Times New Roman" w:cs="Times New Roman"/>
          <w:spacing w:val="-1"/>
          <w:sz w:val="23"/>
          <w:szCs w:val="23"/>
        </w:rPr>
        <w:t>5.</w:t>
      </w:r>
      <w:r>
        <w:rPr>
          <w:rFonts w:ascii="Times New Roman" w:hAnsi="Times New Roman" w:eastAsia="Times New Roman" w:cs="Times New Roman"/>
          <w:sz w:val="23"/>
          <w:szCs w:val="23"/>
        </w:rPr>
        <w:t xml:space="preserve"> 1- 1    </w:t>
      </w:r>
      <w:r>
        <w:rPr>
          <w:rFonts w:ascii="黑体" w:hAnsi="黑体" w:eastAsia="黑体" w:cs="黑体"/>
          <w:sz w:val="23"/>
          <w:szCs w:val="23"/>
        </w:rPr>
        <w:t>施工期主要大气污染源及污染物</w:t>
      </w:r>
    </w:p>
    <w:tbl>
      <w:tblPr>
        <w:tblStyle w:val="4"/>
        <w:tblW w:w="949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26"/>
        <w:gridCol w:w="6088"/>
        <w:gridCol w:w="1581"/>
      </w:tblGrid>
      <w:tr w14:paraId="3D3F6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1826" w:type="dxa"/>
            <w:tcBorders>
              <w:left w:val="nil"/>
            </w:tcBorders>
          </w:tcPr>
          <w:p w14:paraId="3226BD1E">
            <w:pPr>
              <w:spacing w:before="55" w:line="220" w:lineRule="auto"/>
              <w:ind w:left="497"/>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施工阶</w:t>
            </w:r>
            <w:r>
              <w:rPr>
                <w:rFonts w:ascii="宋体" w:hAnsi="宋体" w:eastAsia="宋体" w:cs="宋体"/>
                <w:spacing w:val="8"/>
                <w:sz w:val="20"/>
                <w:szCs w:val="20"/>
                <w14:textOutline w14:w="3797" w14:cap="sq" w14:cmpd="sng" w14:algn="ctr">
                  <w14:solidFill>
                    <w14:srgbClr w14:val="000000"/>
                  </w14:solidFill>
                  <w14:prstDash w14:val="solid"/>
                  <w14:bevel/>
                </w14:textOutline>
              </w:rPr>
              <w:t>段</w:t>
            </w:r>
          </w:p>
        </w:tc>
        <w:tc>
          <w:tcPr>
            <w:tcW w:w="6088" w:type="dxa"/>
          </w:tcPr>
          <w:p w14:paraId="1331EBA3">
            <w:pPr>
              <w:spacing w:before="55" w:line="220" w:lineRule="auto"/>
              <w:ind w:left="2528"/>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主</w:t>
            </w:r>
            <w:r>
              <w:rPr>
                <w:rFonts w:ascii="宋体" w:hAnsi="宋体" w:eastAsia="宋体" w:cs="宋体"/>
                <w:spacing w:val="8"/>
                <w:sz w:val="20"/>
                <w:szCs w:val="20"/>
                <w14:textOutline w14:w="3797" w14:cap="sq" w14:cmpd="sng" w14:algn="ctr">
                  <w14:solidFill>
                    <w14:srgbClr w14:val="000000"/>
                  </w14:solidFill>
                  <w14:prstDash w14:val="solid"/>
                  <w14:bevel/>
                </w14:textOutline>
              </w:rPr>
              <w:t>要污染源</w:t>
            </w:r>
          </w:p>
        </w:tc>
        <w:tc>
          <w:tcPr>
            <w:tcW w:w="1581" w:type="dxa"/>
            <w:tcBorders>
              <w:right w:val="nil"/>
            </w:tcBorders>
          </w:tcPr>
          <w:p w14:paraId="7D29877B">
            <w:pPr>
              <w:spacing w:before="55" w:line="220" w:lineRule="auto"/>
              <w:ind w:left="275"/>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主</w:t>
            </w:r>
            <w:r>
              <w:rPr>
                <w:rFonts w:ascii="宋体" w:hAnsi="宋体" w:eastAsia="宋体" w:cs="宋体"/>
                <w:spacing w:val="8"/>
                <w:sz w:val="20"/>
                <w:szCs w:val="20"/>
                <w14:textOutline w14:w="3797" w14:cap="sq" w14:cmpd="sng" w14:algn="ctr">
                  <w14:solidFill>
                    <w14:srgbClr w14:val="000000"/>
                  </w14:solidFill>
                  <w14:prstDash w14:val="solid"/>
                  <w14:bevel/>
                </w14:textOutline>
              </w:rPr>
              <w:t>要污染物</w:t>
            </w:r>
          </w:p>
        </w:tc>
      </w:tr>
      <w:tr w14:paraId="61FEF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1826" w:type="dxa"/>
            <w:vMerge w:val="restart"/>
            <w:tcBorders>
              <w:left w:val="nil"/>
              <w:bottom w:val="nil"/>
            </w:tcBorders>
          </w:tcPr>
          <w:p w14:paraId="455980A0">
            <w:pPr>
              <w:spacing w:before="50"/>
              <w:ind w:left="602" w:right="178" w:hanging="418"/>
              <w:rPr>
                <w:rFonts w:ascii="宋体" w:hAnsi="宋体" w:eastAsia="宋体" w:cs="宋体"/>
                <w:sz w:val="20"/>
                <w:szCs w:val="20"/>
              </w:rPr>
            </w:pPr>
            <w:r>
              <w:rPr>
                <w:rFonts w:ascii="宋体" w:hAnsi="宋体" w:eastAsia="宋体" w:cs="宋体"/>
                <w:spacing w:val="11"/>
                <w:sz w:val="20"/>
                <w:szCs w:val="20"/>
              </w:rPr>
              <w:t>土</w:t>
            </w:r>
            <w:r>
              <w:rPr>
                <w:rFonts w:ascii="宋体" w:hAnsi="宋体" w:eastAsia="宋体" w:cs="宋体"/>
                <w:spacing w:val="8"/>
                <w:sz w:val="20"/>
                <w:szCs w:val="20"/>
              </w:rPr>
              <w:t>石方、桩基工</w:t>
            </w:r>
            <w:r>
              <w:rPr>
                <w:rFonts w:ascii="宋体" w:hAnsi="宋体" w:eastAsia="宋体" w:cs="宋体"/>
                <w:sz w:val="20"/>
                <w:szCs w:val="20"/>
              </w:rPr>
              <w:t xml:space="preserve"> </w:t>
            </w:r>
            <w:r>
              <w:rPr>
                <w:rFonts w:ascii="宋体" w:hAnsi="宋体" w:eastAsia="宋体" w:cs="宋体"/>
                <w:spacing w:val="7"/>
                <w:sz w:val="20"/>
                <w:szCs w:val="20"/>
              </w:rPr>
              <w:t>程阶段</w:t>
            </w:r>
          </w:p>
        </w:tc>
        <w:tc>
          <w:tcPr>
            <w:tcW w:w="6088" w:type="dxa"/>
          </w:tcPr>
          <w:p w14:paraId="15A856E4">
            <w:pPr>
              <w:spacing w:before="37" w:line="228" w:lineRule="auto"/>
              <w:ind w:left="1369"/>
              <w:rPr>
                <w:rFonts w:ascii="宋体" w:hAnsi="宋体" w:eastAsia="宋体" w:cs="宋体"/>
                <w:sz w:val="20"/>
                <w:szCs w:val="20"/>
              </w:rPr>
            </w:pPr>
            <w:r>
              <w:rPr>
                <w:rFonts w:ascii="宋体" w:hAnsi="宋体" w:eastAsia="宋体" w:cs="宋体"/>
                <w:spacing w:val="14"/>
                <w:sz w:val="20"/>
                <w:szCs w:val="20"/>
              </w:rPr>
              <w:t>裸</w:t>
            </w:r>
            <w:r>
              <w:rPr>
                <w:rFonts w:ascii="宋体" w:hAnsi="宋体" w:eastAsia="宋体" w:cs="宋体"/>
                <w:spacing w:val="9"/>
                <w:sz w:val="20"/>
                <w:szCs w:val="20"/>
              </w:rPr>
              <w:t>露地面、土方堆场，土方装卸过程</w:t>
            </w:r>
          </w:p>
        </w:tc>
        <w:tc>
          <w:tcPr>
            <w:tcW w:w="1581" w:type="dxa"/>
            <w:tcBorders>
              <w:right w:val="nil"/>
            </w:tcBorders>
          </w:tcPr>
          <w:p w14:paraId="761A175B">
            <w:pPr>
              <w:spacing w:before="37" w:line="230" w:lineRule="auto"/>
              <w:ind w:left="589"/>
              <w:rPr>
                <w:rFonts w:ascii="宋体" w:hAnsi="宋体" w:eastAsia="宋体" w:cs="宋体"/>
                <w:sz w:val="20"/>
                <w:szCs w:val="20"/>
              </w:rPr>
            </w:pPr>
            <w:r>
              <w:rPr>
                <w:rFonts w:ascii="宋体" w:hAnsi="宋体" w:eastAsia="宋体" w:cs="宋体"/>
                <w:spacing w:val="5"/>
                <w:sz w:val="20"/>
                <w:szCs w:val="20"/>
              </w:rPr>
              <w:t>扬尘</w:t>
            </w:r>
          </w:p>
        </w:tc>
      </w:tr>
      <w:tr w14:paraId="40F831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1826" w:type="dxa"/>
            <w:vMerge w:val="continue"/>
            <w:tcBorders>
              <w:top w:val="nil"/>
              <w:left w:val="nil"/>
            </w:tcBorders>
          </w:tcPr>
          <w:p w14:paraId="0D450F56"/>
        </w:tc>
        <w:tc>
          <w:tcPr>
            <w:tcW w:w="6088" w:type="dxa"/>
          </w:tcPr>
          <w:p w14:paraId="2D6A0BBE">
            <w:pPr>
              <w:spacing w:before="39" w:line="227" w:lineRule="auto"/>
              <w:ind w:left="1788"/>
              <w:rPr>
                <w:rFonts w:ascii="宋体" w:hAnsi="宋体" w:eastAsia="宋体" w:cs="宋体"/>
                <w:sz w:val="20"/>
                <w:szCs w:val="20"/>
              </w:rPr>
            </w:pPr>
            <w:r>
              <w:rPr>
                <w:rFonts w:ascii="宋体" w:hAnsi="宋体" w:eastAsia="宋体" w:cs="宋体"/>
                <w:spacing w:val="11"/>
                <w:sz w:val="20"/>
                <w:szCs w:val="20"/>
              </w:rPr>
              <w:t>挖</w:t>
            </w:r>
            <w:r>
              <w:rPr>
                <w:rFonts w:ascii="宋体" w:hAnsi="宋体" w:eastAsia="宋体" w:cs="宋体"/>
                <w:spacing w:val="9"/>
                <w:sz w:val="20"/>
                <w:szCs w:val="20"/>
              </w:rPr>
              <w:t>掘机、铲车、运输卡车等</w:t>
            </w:r>
          </w:p>
        </w:tc>
        <w:tc>
          <w:tcPr>
            <w:tcW w:w="1581" w:type="dxa"/>
            <w:tcBorders>
              <w:right w:val="nil"/>
            </w:tcBorders>
          </w:tcPr>
          <w:p w14:paraId="58514606">
            <w:pPr>
              <w:spacing w:before="76" w:line="186" w:lineRule="auto"/>
              <w:ind w:left="8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 xml:space="preserve">NOx </w:t>
            </w:r>
            <w:r>
              <w:rPr>
                <w:rFonts w:ascii="宋体" w:hAnsi="宋体" w:eastAsia="宋体" w:cs="宋体"/>
                <w:spacing w:val="-3"/>
                <w:sz w:val="20"/>
                <w:szCs w:val="20"/>
              </w:rPr>
              <w:t>、</w:t>
            </w:r>
            <w:r>
              <w:rPr>
                <w:rFonts w:ascii="Times New Roman" w:hAnsi="Times New Roman" w:eastAsia="Times New Roman" w:cs="Times New Roman"/>
                <w:spacing w:val="-3"/>
                <w:sz w:val="20"/>
                <w:szCs w:val="20"/>
              </w:rPr>
              <w:t xml:space="preserve">CO </w:t>
            </w:r>
            <w:r>
              <w:rPr>
                <w:rFonts w:ascii="宋体" w:hAnsi="宋体" w:eastAsia="宋体" w:cs="宋体"/>
                <w:spacing w:val="-3"/>
                <w:sz w:val="20"/>
                <w:szCs w:val="20"/>
              </w:rPr>
              <w:t>、</w:t>
            </w:r>
            <w:r>
              <w:rPr>
                <w:rFonts w:ascii="Times New Roman" w:hAnsi="Times New Roman" w:eastAsia="Times New Roman" w:cs="Times New Roman"/>
                <w:spacing w:val="-3"/>
                <w:sz w:val="20"/>
                <w:szCs w:val="20"/>
              </w:rPr>
              <w:t>H</w:t>
            </w:r>
            <w:r>
              <w:rPr>
                <w:rFonts w:ascii="Times New Roman" w:hAnsi="Times New Roman" w:eastAsia="Times New Roman" w:cs="Times New Roman"/>
                <w:spacing w:val="-1"/>
                <w:sz w:val="20"/>
                <w:szCs w:val="20"/>
              </w:rPr>
              <w:t>C</w:t>
            </w:r>
          </w:p>
        </w:tc>
      </w:tr>
      <w:tr w14:paraId="6ADBBF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1826" w:type="dxa"/>
            <w:vMerge w:val="restart"/>
            <w:tcBorders>
              <w:left w:val="nil"/>
              <w:bottom w:val="nil"/>
            </w:tcBorders>
          </w:tcPr>
          <w:p w14:paraId="0C8BA1AC">
            <w:pPr>
              <w:spacing w:before="231" w:line="228" w:lineRule="auto"/>
              <w:ind w:left="80"/>
              <w:rPr>
                <w:rFonts w:ascii="宋体" w:hAnsi="宋体" w:eastAsia="宋体" w:cs="宋体"/>
                <w:sz w:val="20"/>
                <w:szCs w:val="20"/>
              </w:rPr>
            </w:pPr>
            <w:r>
              <w:rPr>
                <w:rFonts w:ascii="宋体" w:hAnsi="宋体" w:eastAsia="宋体" w:cs="宋体"/>
                <w:spacing w:val="11"/>
                <w:sz w:val="20"/>
                <w:szCs w:val="20"/>
              </w:rPr>
              <w:t>建</w:t>
            </w:r>
            <w:r>
              <w:rPr>
                <w:rFonts w:ascii="宋体" w:hAnsi="宋体" w:eastAsia="宋体" w:cs="宋体"/>
                <w:spacing w:val="8"/>
                <w:sz w:val="20"/>
                <w:szCs w:val="20"/>
              </w:rPr>
              <w:t>筑构筑工程阶段</w:t>
            </w:r>
          </w:p>
        </w:tc>
        <w:tc>
          <w:tcPr>
            <w:tcW w:w="6088" w:type="dxa"/>
          </w:tcPr>
          <w:p w14:paraId="63C5FCE1">
            <w:pPr>
              <w:spacing w:before="84" w:line="227" w:lineRule="auto"/>
              <w:ind w:left="637"/>
              <w:rPr>
                <w:rFonts w:ascii="宋体" w:hAnsi="宋体" w:eastAsia="宋体" w:cs="宋体"/>
                <w:sz w:val="20"/>
                <w:szCs w:val="20"/>
              </w:rPr>
            </w:pPr>
            <w:r>
              <w:rPr>
                <w:rFonts w:ascii="宋体" w:hAnsi="宋体" w:eastAsia="宋体" w:cs="宋体"/>
                <w:spacing w:val="18"/>
                <w:sz w:val="20"/>
                <w:szCs w:val="20"/>
              </w:rPr>
              <w:t>建</w:t>
            </w:r>
            <w:r>
              <w:rPr>
                <w:rFonts w:ascii="宋体" w:hAnsi="宋体" w:eastAsia="宋体" w:cs="宋体"/>
                <w:spacing w:val="11"/>
                <w:sz w:val="20"/>
                <w:szCs w:val="20"/>
              </w:rPr>
              <w:t>材</w:t>
            </w:r>
            <w:r>
              <w:rPr>
                <w:rFonts w:ascii="宋体" w:hAnsi="宋体" w:eastAsia="宋体" w:cs="宋体"/>
                <w:spacing w:val="9"/>
                <w:sz w:val="20"/>
                <w:szCs w:val="20"/>
              </w:rPr>
              <w:t>堆场，建材装卸过程、加料过程，进出场地车辆</w:t>
            </w:r>
          </w:p>
        </w:tc>
        <w:tc>
          <w:tcPr>
            <w:tcW w:w="1581" w:type="dxa"/>
            <w:tcBorders>
              <w:right w:val="nil"/>
            </w:tcBorders>
          </w:tcPr>
          <w:p w14:paraId="3D8322D3">
            <w:pPr>
              <w:spacing w:before="84" w:line="230" w:lineRule="auto"/>
              <w:ind w:left="589"/>
              <w:rPr>
                <w:rFonts w:ascii="宋体" w:hAnsi="宋体" w:eastAsia="宋体" w:cs="宋体"/>
                <w:sz w:val="20"/>
                <w:szCs w:val="20"/>
              </w:rPr>
            </w:pPr>
            <w:r>
              <w:rPr>
                <w:rFonts w:ascii="宋体" w:hAnsi="宋体" w:eastAsia="宋体" w:cs="宋体"/>
                <w:spacing w:val="5"/>
                <w:sz w:val="20"/>
                <w:szCs w:val="20"/>
              </w:rPr>
              <w:t>扬尘</w:t>
            </w:r>
          </w:p>
        </w:tc>
      </w:tr>
      <w:tr w14:paraId="024BBC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1826" w:type="dxa"/>
            <w:vMerge w:val="continue"/>
            <w:tcBorders>
              <w:top w:val="nil"/>
              <w:left w:val="nil"/>
            </w:tcBorders>
          </w:tcPr>
          <w:p w14:paraId="0B49FE6D"/>
        </w:tc>
        <w:tc>
          <w:tcPr>
            <w:tcW w:w="6088" w:type="dxa"/>
          </w:tcPr>
          <w:p w14:paraId="30B25DC3">
            <w:pPr>
              <w:spacing w:before="40" w:line="228" w:lineRule="auto"/>
              <w:ind w:left="1789"/>
              <w:rPr>
                <w:rFonts w:ascii="宋体" w:hAnsi="宋体" w:eastAsia="宋体" w:cs="宋体"/>
                <w:sz w:val="20"/>
                <w:szCs w:val="20"/>
              </w:rPr>
            </w:pPr>
            <w:r>
              <w:rPr>
                <w:rFonts w:ascii="宋体" w:hAnsi="宋体" w:eastAsia="宋体" w:cs="宋体"/>
                <w:spacing w:val="10"/>
                <w:sz w:val="20"/>
                <w:szCs w:val="20"/>
              </w:rPr>
              <w:t>运</w:t>
            </w:r>
            <w:r>
              <w:rPr>
                <w:rFonts w:ascii="宋体" w:hAnsi="宋体" w:eastAsia="宋体" w:cs="宋体"/>
                <w:spacing w:val="9"/>
                <w:sz w:val="20"/>
                <w:szCs w:val="20"/>
              </w:rPr>
              <w:t>输卡车、混凝土搅拌机等</w:t>
            </w:r>
          </w:p>
        </w:tc>
        <w:tc>
          <w:tcPr>
            <w:tcW w:w="1581" w:type="dxa"/>
            <w:tcBorders>
              <w:right w:val="nil"/>
            </w:tcBorders>
          </w:tcPr>
          <w:p w14:paraId="45C3C43A">
            <w:pPr>
              <w:spacing w:before="77" w:line="186" w:lineRule="auto"/>
              <w:ind w:left="8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 xml:space="preserve">NOx </w:t>
            </w:r>
            <w:r>
              <w:rPr>
                <w:rFonts w:ascii="宋体" w:hAnsi="宋体" w:eastAsia="宋体" w:cs="宋体"/>
                <w:spacing w:val="-3"/>
                <w:sz w:val="20"/>
                <w:szCs w:val="20"/>
              </w:rPr>
              <w:t>、</w:t>
            </w:r>
            <w:r>
              <w:rPr>
                <w:rFonts w:ascii="Times New Roman" w:hAnsi="Times New Roman" w:eastAsia="Times New Roman" w:cs="Times New Roman"/>
                <w:spacing w:val="-3"/>
                <w:sz w:val="20"/>
                <w:szCs w:val="20"/>
              </w:rPr>
              <w:t xml:space="preserve">CO </w:t>
            </w:r>
            <w:r>
              <w:rPr>
                <w:rFonts w:ascii="宋体" w:hAnsi="宋体" w:eastAsia="宋体" w:cs="宋体"/>
                <w:spacing w:val="-3"/>
                <w:sz w:val="20"/>
                <w:szCs w:val="20"/>
              </w:rPr>
              <w:t>、</w:t>
            </w:r>
            <w:r>
              <w:rPr>
                <w:rFonts w:ascii="Times New Roman" w:hAnsi="Times New Roman" w:eastAsia="Times New Roman" w:cs="Times New Roman"/>
                <w:spacing w:val="-3"/>
                <w:sz w:val="20"/>
                <w:szCs w:val="20"/>
              </w:rPr>
              <w:t>H</w:t>
            </w:r>
            <w:r>
              <w:rPr>
                <w:rFonts w:ascii="Times New Roman" w:hAnsi="Times New Roman" w:eastAsia="Times New Roman" w:cs="Times New Roman"/>
                <w:spacing w:val="-1"/>
                <w:sz w:val="20"/>
                <w:szCs w:val="20"/>
              </w:rPr>
              <w:t>C</w:t>
            </w:r>
          </w:p>
        </w:tc>
      </w:tr>
      <w:tr w14:paraId="45B0C7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1826" w:type="dxa"/>
            <w:vMerge w:val="restart"/>
            <w:tcBorders>
              <w:left w:val="nil"/>
              <w:bottom w:val="nil"/>
            </w:tcBorders>
          </w:tcPr>
          <w:p w14:paraId="2E8606B7">
            <w:pPr>
              <w:spacing w:before="190" w:line="228" w:lineRule="auto"/>
              <w:ind w:left="80"/>
              <w:rPr>
                <w:rFonts w:ascii="宋体" w:hAnsi="宋体" w:eastAsia="宋体" w:cs="宋体"/>
                <w:sz w:val="20"/>
                <w:szCs w:val="20"/>
              </w:rPr>
            </w:pPr>
            <w:r>
              <w:rPr>
                <w:rFonts w:ascii="宋体" w:hAnsi="宋体" w:eastAsia="宋体" w:cs="宋体"/>
                <w:spacing w:val="11"/>
                <w:sz w:val="20"/>
                <w:szCs w:val="20"/>
              </w:rPr>
              <w:t>建</w:t>
            </w:r>
            <w:r>
              <w:rPr>
                <w:rFonts w:ascii="宋体" w:hAnsi="宋体" w:eastAsia="宋体" w:cs="宋体"/>
                <w:spacing w:val="8"/>
                <w:sz w:val="20"/>
                <w:szCs w:val="20"/>
              </w:rPr>
              <w:t>筑装修工程阶段</w:t>
            </w:r>
          </w:p>
        </w:tc>
        <w:tc>
          <w:tcPr>
            <w:tcW w:w="6088" w:type="dxa"/>
          </w:tcPr>
          <w:p w14:paraId="66BC6688">
            <w:pPr>
              <w:spacing w:before="42" w:line="228" w:lineRule="auto"/>
              <w:ind w:left="2525"/>
              <w:rPr>
                <w:rFonts w:ascii="宋体" w:hAnsi="宋体" w:eastAsia="宋体" w:cs="宋体"/>
                <w:sz w:val="20"/>
                <w:szCs w:val="20"/>
              </w:rPr>
            </w:pPr>
            <w:r>
              <w:rPr>
                <w:rFonts w:ascii="宋体" w:hAnsi="宋体" w:eastAsia="宋体" w:cs="宋体"/>
                <w:spacing w:val="9"/>
                <w:sz w:val="20"/>
                <w:szCs w:val="20"/>
              </w:rPr>
              <w:t>废</w:t>
            </w:r>
            <w:r>
              <w:rPr>
                <w:rFonts w:ascii="宋体" w:hAnsi="宋体" w:eastAsia="宋体" w:cs="宋体"/>
                <w:spacing w:val="8"/>
                <w:sz w:val="20"/>
                <w:szCs w:val="20"/>
              </w:rPr>
              <w:t>料、垃圾</w:t>
            </w:r>
          </w:p>
        </w:tc>
        <w:tc>
          <w:tcPr>
            <w:tcW w:w="1581" w:type="dxa"/>
            <w:tcBorders>
              <w:right w:val="nil"/>
            </w:tcBorders>
          </w:tcPr>
          <w:p w14:paraId="64B66E42">
            <w:pPr>
              <w:spacing w:before="41" w:line="229" w:lineRule="auto"/>
              <w:ind w:left="589"/>
              <w:rPr>
                <w:rFonts w:ascii="宋体" w:hAnsi="宋体" w:eastAsia="宋体" w:cs="宋体"/>
                <w:sz w:val="20"/>
                <w:szCs w:val="20"/>
              </w:rPr>
            </w:pPr>
            <w:r>
              <w:rPr>
                <w:rFonts w:ascii="宋体" w:hAnsi="宋体" w:eastAsia="宋体" w:cs="宋体"/>
                <w:spacing w:val="5"/>
                <w:sz w:val="20"/>
                <w:szCs w:val="20"/>
              </w:rPr>
              <w:t>扬尘</w:t>
            </w:r>
          </w:p>
        </w:tc>
      </w:tr>
      <w:tr w14:paraId="750F24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1826" w:type="dxa"/>
            <w:vMerge w:val="continue"/>
            <w:tcBorders>
              <w:top w:val="nil"/>
              <w:left w:val="nil"/>
            </w:tcBorders>
          </w:tcPr>
          <w:p w14:paraId="29E8E854"/>
        </w:tc>
        <w:tc>
          <w:tcPr>
            <w:tcW w:w="6088" w:type="dxa"/>
          </w:tcPr>
          <w:p w14:paraId="6725A5FF">
            <w:pPr>
              <w:spacing w:before="41" w:line="228" w:lineRule="auto"/>
              <w:ind w:left="2526"/>
              <w:rPr>
                <w:rFonts w:ascii="宋体" w:hAnsi="宋体" w:eastAsia="宋体" w:cs="宋体"/>
                <w:sz w:val="20"/>
                <w:szCs w:val="20"/>
              </w:rPr>
            </w:pPr>
            <w:r>
              <w:rPr>
                <w:rFonts w:ascii="宋体" w:hAnsi="宋体" w:eastAsia="宋体" w:cs="宋体"/>
                <w:spacing w:val="8"/>
                <w:sz w:val="20"/>
                <w:szCs w:val="20"/>
              </w:rPr>
              <w:t>漆类、涂料</w:t>
            </w:r>
          </w:p>
        </w:tc>
        <w:tc>
          <w:tcPr>
            <w:tcW w:w="1581" w:type="dxa"/>
            <w:tcBorders>
              <w:right w:val="nil"/>
            </w:tcBorders>
          </w:tcPr>
          <w:p w14:paraId="2A5E0C6B">
            <w:pPr>
              <w:spacing w:before="42" w:line="227" w:lineRule="auto"/>
              <w:ind w:left="380"/>
              <w:rPr>
                <w:rFonts w:ascii="宋体" w:hAnsi="宋体" w:eastAsia="宋体" w:cs="宋体"/>
                <w:sz w:val="20"/>
                <w:szCs w:val="20"/>
              </w:rPr>
            </w:pPr>
            <w:r>
              <w:rPr>
                <w:rFonts w:ascii="宋体" w:hAnsi="宋体" w:eastAsia="宋体" w:cs="宋体"/>
                <w:spacing w:val="7"/>
                <w:sz w:val="20"/>
                <w:szCs w:val="20"/>
              </w:rPr>
              <w:t>有机废气</w:t>
            </w:r>
          </w:p>
        </w:tc>
      </w:tr>
    </w:tbl>
    <w:p w14:paraId="60E92BB3">
      <w:pPr>
        <w:spacing w:before="36" w:line="375" w:lineRule="auto"/>
        <w:ind w:left="426" w:right="413" w:firstLine="508"/>
        <w:rPr>
          <w:rFonts w:ascii="宋体" w:hAnsi="宋体" w:eastAsia="宋体" w:cs="宋体"/>
          <w:sz w:val="23"/>
          <w:szCs w:val="23"/>
        </w:rPr>
      </w:pPr>
      <w:r>
        <w:rPr>
          <w:rFonts w:ascii="宋体" w:hAnsi="宋体" w:eastAsia="宋体" w:cs="宋体"/>
          <w:spacing w:val="18"/>
          <w:sz w:val="23"/>
          <w:szCs w:val="23"/>
        </w:rPr>
        <w:t>由上</w:t>
      </w:r>
      <w:r>
        <w:rPr>
          <w:rFonts w:ascii="宋体" w:hAnsi="宋体" w:eastAsia="宋体" w:cs="宋体"/>
          <w:spacing w:val="12"/>
          <w:sz w:val="23"/>
          <w:szCs w:val="23"/>
        </w:rPr>
        <w:t>表</w:t>
      </w:r>
      <w:r>
        <w:rPr>
          <w:rFonts w:ascii="宋体" w:hAnsi="宋体" w:eastAsia="宋体" w:cs="宋体"/>
          <w:spacing w:val="9"/>
          <w:sz w:val="23"/>
          <w:szCs w:val="23"/>
        </w:rPr>
        <w:t>可知，施工期的大气污染物主要为施工扬尘、施工机械燃油废气和涂料</w:t>
      </w:r>
      <w:r>
        <w:rPr>
          <w:rFonts w:ascii="宋体" w:hAnsi="宋体" w:eastAsia="宋体" w:cs="宋体"/>
          <w:sz w:val="23"/>
          <w:szCs w:val="23"/>
        </w:rPr>
        <w:t xml:space="preserve"> </w:t>
      </w:r>
      <w:r>
        <w:rPr>
          <w:rFonts w:ascii="宋体" w:hAnsi="宋体" w:eastAsia="宋体" w:cs="宋体"/>
          <w:spacing w:val="6"/>
          <w:sz w:val="23"/>
          <w:szCs w:val="23"/>
        </w:rPr>
        <w:t>有机废气</w:t>
      </w:r>
      <w:r>
        <w:rPr>
          <w:rFonts w:ascii="宋体" w:hAnsi="宋体" w:eastAsia="宋体" w:cs="宋体"/>
          <w:spacing w:val="5"/>
          <w:sz w:val="23"/>
          <w:szCs w:val="23"/>
        </w:rPr>
        <w:t>。</w:t>
      </w:r>
    </w:p>
    <w:p w14:paraId="6C3E50A9">
      <w:pPr>
        <w:spacing w:line="303" w:lineRule="exact"/>
        <w:ind w:left="911"/>
        <w:rPr>
          <w:rFonts w:ascii="宋体" w:hAnsi="宋体" w:eastAsia="宋体" w:cs="宋体"/>
          <w:sz w:val="23"/>
          <w:szCs w:val="23"/>
        </w:rPr>
      </w:pPr>
      <w:r>
        <w:rPr>
          <w:rFonts w:ascii="Times New Roman" w:hAnsi="Times New Roman" w:eastAsia="Times New Roman" w:cs="Times New Roman"/>
          <w:b/>
          <w:bCs/>
          <w:spacing w:val="-2"/>
          <w:position w:val="1"/>
          <w:sz w:val="23"/>
          <w:szCs w:val="23"/>
        </w:rPr>
        <w:t>1</w:t>
      </w:r>
      <w:r>
        <w:rPr>
          <w:rFonts w:ascii="Times New Roman" w:hAnsi="Times New Roman" w:eastAsia="Times New Roman" w:cs="Times New Roman"/>
          <w:spacing w:val="-2"/>
          <w:position w:val="1"/>
          <w:sz w:val="23"/>
          <w:szCs w:val="23"/>
        </w:rPr>
        <w:t xml:space="preserve"> </w:t>
      </w:r>
      <w:r>
        <w:rPr>
          <w:rFonts w:ascii="宋体" w:hAnsi="宋体" w:eastAsia="宋体" w:cs="宋体"/>
          <w:spacing w:val="-2"/>
          <w:position w:val="1"/>
          <w:sz w:val="23"/>
          <w:szCs w:val="23"/>
          <w14:textOutline w14:w="4356" w14:cap="sq" w14:cmpd="sng" w14:algn="ctr">
            <w14:solidFill>
              <w14:srgbClr w14:val="000000"/>
            </w14:solidFill>
            <w14:prstDash w14:val="solid"/>
            <w14:bevel/>
          </w14:textOutline>
        </w:rPr>
        <w:t>、施工扬尘</w:t>
      </w:r>
    </w:p>
    <w:p w14:paraId="2DA94D0B">
      <w:pPr>
        <w:spacing w:before="163" w:line="375" w:lineRule="auto"/>
        <w:ind w:left="424" w:right="413" w:firstLine="480"/>
        <w:rPr>
          <w:rFonts w:ascii="宋体" w:hAnsi="宋体" w:eastAsia="宋体" w:cs="宋体"/>
          <w:sz w:val="23"/>
          <w:szCs w:val="23"/>
        </w:rPr>
      </w:pPr>
      <w:r>
        <w:rPr>
          <w:rFonts w:ascii="宋体" w:hAnsi="宋体" w:eastAsia="宋体" w:cs="宋体"/>
          <w:spacing w:val="11"/>
          <w:sz w:val="23"/>
          <w:szCs w:val="23"/>
        </w:rPr>
        <w:t>施工扬尘起尘量与许多因素有关。起尘原因主要是场地</w:t>
      </w:r>
      <w:r>
        <w:rPr>
          <w:rFonts w:ascii="Times New Roman" w:hAnsi="Times New Roman" w:eastAsia="Times New Roman" w:cs="Times New Roman"/>
          <w:spacing w:val="11"/>
          <w:sz w:val="23"/>
          <w:szCs w:val="23"/>
        </w:rPr>
        <w:t>“</w:t>
      </w:r>
      <w:r>
        <w:rPr>
          <w:rFonts w:ascii="宋体" w:hAnsi="宋体" w:eastAsia="宋体" w:cs="宋体"/>
          <w:spacing w:val="11"/>
          <w:sz w:val="23"/>
          <w:szCs w:val="23"/>
        </w:rPr>
        <w:t>三通一平</w:t>
      </w:r>
      <w:r>
        <w:rPr>
          <w:rFonts w:ascii="Times New Roman" w:hAnsi="Times New Roman" w:eastAsia="Times New Roman" w:cs="Times New Roman"/>
          <w:spacing w:val="11"/>
          <w:sz w:val="23"/>
          <w:szCs w:val="23"/>
        </w:rPr>
        <w:t>”</w:t>
      </w:r>
      <w:r>
        <w:rPr>
          <w:rFonts w:ascii="宋体" w:hAnsi="宋体" w:eastAsia="宋体" w:cs="宋体"/>
          <w:spacing w:val="11"/>
          <w:sz w:val="23"/>
          <w:szCs w:val="23"/>
        </w:rPr>
        <w:t>施工、基</w:t>
      </w:r>
      <w:r>
        <w:rPr>
          <w:rFonts w:ascii="宋体" w:hAnsi="宋体" w:eastAsia="宋体" w:cs="宋体"/>
          <w:spacing w:val="9"/>
          <w:sz w:val="23"/>
          <w:szCs w:val="23"/>
        </w:rPr>
        <w:t>础</w:t>
      </w:r>
      <w:r>
        <w:rPr>
          <w:rFonts w:ascii="宋体" w:hAnsi="宋体" w:eastAsia="宋体" w:cs="宋体"/>
          <w:sz w:val="23"/>
          <w:szCs w:val="23"/>
        </w:rPr>
        <w:t xml:space="preserve"> </w:t>
      </w:r>
      <w:r>
        <w:rPr>
          <w:rFonts w:ascii="宋体" w:hAnsi="宋体" w:eastAsia="宋体" w:cs="宋体"/>
          <w:spacing w:val="17"/>
          <w:sz w:val="23"/>
          <w:szCs w:val="23"/>
        </w:rPr>
        <w:t>施</w:t>
      </w:r>
      <w:r>
        <w:rPr>
          <w:rFonts w:ascii="宋体" w:hAnsi="宋体" w:eastAsia="宋体" w:cs="宋体"/>
          <w:spacing w:val="10"/>
          <w:sz w:val="23"/>
          <w:szCs w:val="23"/>
        </w:rPr>
        <w:t>工、土石方挖掘及弃土运输时产生的扬尘、建筑材料 (钢材及少量的沙、石、水</w:t>
      </w:r>
      <w:r>
        <w:rPr>
          <w:rFonts w:ascii="宋体" w:hAnsi="宋体" w:eastAsia="宋体" w:cs="宋体"/>
          <w:sz w:val="23"/>
          <w:szCs w:val="23"/>
        </w:rPr>
        <w:t xml:space="preserve"> </w:t>
      </w:r>
      <w:r>
        <w:rPr>
          <w:rFonts w:ascii="宋体" w:hAnsi="宋体" w:eastAsia="宋体" w:cs="宋体"/>
          <w:spacing w:val="17"/>
          <w:sz w:val="23"/>
          <w:szCs w:val="23"/>
        </w:rPr>
        <w:t>泥</w:t>
      </w:r>
      <w:r>
        <w:rPr>
          <w:rFonts w:ascii="宋体" w:hAnsi="宋体" w:eastAsia="宋体" w:cs="宋体"/>
          <w:spacing w:val="10"/>
          <w:sz w:val="23"/>
          <w:szCs w:val="23"/>
        </w:rPr>
        <w:t>等) 运输进场装卸及堆放过程产生的扬尘。如遇干旱无雨季节，在大风时，施工</w:t>
      </w:r>
      <w:r>
        <w:rPr>
          <w:rFonts w:ascii="宋体" w:hAnsi="宋体" w:eastAsia="宋体" w:cs="宋体"/>
          <w:sz w:val="23"/>
          <w:szCs w:val="23"/>
        </w:rPr>
        <w:t xml:space="preserve"> </w:t>
      </w:r>
      <w:r>
        <w:rPr>
          <w:rFonts w:ascii="宋体" w:hAnsi="宋体" w:eastAsia="宋体" w:cs="宋体"/>
          <w:spacing w:val="9"/>
          <w:sz w:val="23"/>
          <w:szCs w:val="23"/>
        </w:rPr>
        <w:t>扬</w:t>
      </w:r>
      <w:r>
        <w:rPr>
          <w:rFonts w:ascii="宋体" w:hAnsi="宋体" w:eastAsia="宋体" w:cs="宋体"/>
          <w:spacing w:val="7"/>
          <w:sz w:val="23"/>
          <w:szCs w:val="23"/>
        </w:rPr>
        <w:t>尘将更严重。</w:t>
      </w:r>
    </w:p>
    <w:p w14:paraId="52FD7D54">
      <w:pPr>
        <w:spacing w:before="1" w:line="365" w:lineRule="auto"/>
        <w:ind w:left="425" w:right="413" w:firstLine="479"/>
        <w:rPr>
          <w:rFonts w:ascii="宋体" w:hAnsi="宋体" w:eastAsia="宋体" w:cs="宋体"/>
          <w:sz w:val="23"/>
          <w:szCs w:val="23"/>
        </w:rPr>
      </w:pPr>
      <w:r>
        <w:rPr>
          <w:rFonts w:ascii="宋体" w:hAnsi="宋体" w:eastAsia="宋体" w:cs="宋体"/>
          <w:spacing w:val="20"/>
          <w:sz w:val="23"/>
          <w:szCs w:val="23"/>
        </w:rPr>
        <w:t>对</w:t>
      </w:r>
      <w:r>
        <w:rPr>
          <w:rFonts w:ascii="宋体" w:hAnsi="宋体" w:eastAsia="宋体" w:cs="宋体"/>
          <w:spacing w:val="17"/>
          <w:sz w:val="23"/>
          <w:szCs w:val="23"/>
        </w:rPr>
        <w:t>施</w:t>
      </w:r>
      <w:r>
        <w:rPr>
          <w:rFonts w:ascii="宋体" w:hAnsi="宋体" w:eastAsia="宋体" w:cs="宋体"/>
          <w:spacing w:val="10"/>
          <w:sz w:val="23"/>
          <w:szCs w:val="23"/>
        </w:rPr>
        <w:t>工工地扬尘而言，据有关调查显示，施工工地的扬尘主要是由运输车辆行</w:t>
      </w:r>
      <w:r>
        <w:rPr>
          <w:rFonts w:ascii="宋体" w:hAnsi="宋体" w:eastAsia="宋体" w:cs="宋体"/>
          <w:sz w:val="23"/>
          <w:szCs w:val="23"/>
        </w:rPr>
        <w:t xml:space="preserve"> </w:t>
      </w:r>
      <w:r>
        <w:rPr>
          <w:rFonts w:ascii="宋体" w:hAnsi="宋体" w:eastAsia="宋体" w:cs="宋体"/>
          <w:spacing w:val="12"/>
          <w:sz w:val="23"/>
          <w:szCs w:val="23"/>
        </w:rPr>
        <w:t>驶</w:t>
      </w:r>
      <w:r>
        <w:rPr>
          <w:rFonts w:ascii="宋体" w:hAnsi="宋体" w:eastAsia="宋体" w:cs="宋体"/>
          <w:spacing w:val="8"/>
          <w:sz w:val="23"/>
          <w:szCs w:val="23"/>
        </w:rPr>
        <w:t>产</w:t>
      </w:r>
      <w:r>
        <w:rPr>
          <w:rFonts w:ascii="宋体" w:hAnsi="宋体" w:eastAsia="宋体" w:cs="宋体"/>
          <w:spacing w:val="6"/>
          <w:sz w:val="23"/>
          <w:szCs w:val="23"/>
        </w:rPr>
        <w:t xml:space="preserve">生，与道路路面及车辆行驶速度有关，约占扬尘总量的 </w:t>
      </w:r>
      <w:r>
        <w:rPr>
          <w:rFonts w:ascii="Times New Roman" w:hAnsi="Times New Roman" w:eastAsia="Times New Roman" w:cs="Times New Roman"/>
          <w:spacing w:val="6"/>
          <w:sz w:val="23"/>
          <w:szCs w:val="23"/>
        </w:rPr>
        <w:t xml:space="preserve">60% </w:t>
      </w:r>
      <w:r>
        <w:rPr>
          <w:rFonts w:ascii="宋体" w:hAnsi="宋体" w:eastAsia="宋体" w:cs="宋体"/>
          <w:spacing w:val="6"/>
          <w:sz w:val="23"/>
          <w:szCs w:val="23"/>
        </w:rPr>
        <w:t>。在完全干燥情况</w:t>
      </w:r>
      <w:r>
        <w:rPr>
          <w:rFonts w:ascii="宋体" w:hAnsi="宋体" w:eastAsia="宋体" w:cs="宋体"/>
          <w:sz w:val="23"/>
          <w:szCs w:val="23"/>
        </w:rPr>
        <w:t xml:space="preserve"> </w:t>
      </w:r>
      <w:r>
        <w:rPr>
          <w:rFonts w:ascii="宋体" w:hAnsi="宋体" w:eastAsia="宋体" w:cs="宋体"/>
          <w:spacing w:val="10"/>
          <w:sz w:val="23"/>
          <w:szCs w:val="23"/>
        </w:rPr>
        <w:t>下</w:t>
      </w:r>
      <w:r>
        <w:rPr>
          <w:rFonts w:ascii="宋体" w:hAnsi="宋体" w:eastAsia="宋体" w:cs="宋体"/>
          <w:spacing w:val="8"/>
          <w:sz w:val="23"/>
          <w:szCs w:val="23"/>
        </w:rPr>
        <w:t>，可按经验公式计算：</w:t>
      </w:r>
    </w:p>
    <w:p w14:paraId="61BDF3A7">
      <w:pPr>
        <w:spacing w:line="864" w:lineRule="exact"/>
        <w:ind w:firstLine="2873"/>
        <w:textAlignment w:val="center"/>
      </w:pPr>
      <w:r>
        <w:drawing>
          <wp:inline distT="0" distB="0" distL="0" distR="0">
            <wp:extent cx="2695575" cy="548005"/>
            <wp:effectExtent l="0" t="0" r="0" b="0"/>
            <wp:docPr id="25" name="IM 25"/>
            <wp:cNvGraphicFramePr/>
            <a:graphic xmlns:a="http://schemas.openxmlformats.org/drawingml/2006/main">
              <a:graphicData uri="http://schemas.openxmlformats.org/drawingml/2006/picture">
                <pic:pic xmlns:pic="http://schemas.openxmlformats.org/drawingml/2006/picture">
                  <pic:nvPicPr>
                    <pic:cNvPr id="25" name="IM 25"/>
                    <pic:cNvPicPr/>
                  </pic:nvPicPr>
                  <pic:blipFill>
                    <a:blip r:embed="rId376"/>
                    <a:stretch>
                      <a:fillRect/>
                    </a:stretch>
                  </pic:blipFill>
                  <pic:spPr>
                    <a:xfrm>
                      <a:off x="0" y="0"/>
                      <a:ext cx="2695956" cy="548639"/>
                    </a:xfrm>
                    <a:prstGeom prst="rect">
                      <a:avLst/>
                    </a:prstGeom>
                  </pic:spPr>
                </pic:pic>
              </a:graphicData>
            </a:graphic>
          </wp:inline>
        </w:drawing>
      </w:r>
    </w:p>
    <w:p w14:paraId="4F393C56">
      <w:pPr>
        <w:spacing w:before="128" w:line="323" w:lineRule="exact"/>
        <w:ind w:left="909"/>
        <w:rPr>
          <w:rFonts w:ascii="宋体" w:hAnsi="宋体" w:eastAsia="宋体" w:cs="宋体"/>
          <w:sz w:val="23"/>
          <w:szCs w:val="23"/>
        </w:rPr>
      </w:pPr>
      <w:r>
        <w:rPr>
          <w:rFonts w:ascii="宋体" w:hAnsi="宋体" w:eastAsia="宋体" w:cs="宋体"/>
          <w:spacing w:val="4"/>
          <w:position w:val="3"/>
          <w:sz w:val="23"/>
          <w:szCs w:val="23"/>
        </w:rPr>
        <w:t>式</w:t>
      </w:r>
      <w:r>
        <w:rPr>
          <w:rFonts w:ascii="宋体" w:hAnsi="宋体" w:eastAsia="宋体" w:cs="宋体"/>
          <w:spacing w:val="3"/>
          <w:position w:val="3"/>
          <w:sz w:val="23"/>
          <w:szCs w:val="23"/>
        </w:rPr>
        <w:t>中</w:t>
      </w:r>
      <w:r>
        <w:rPr>
          <w:rFonts w:ascii="宋体" w:hAnsi="宋体" w:eastAsia="宋体" w:cs="宋体"/>
          <w:spacing w:val="2"/>
          <w:position w:val="3"/>
          <w:sz w:val="23"/>
          <w:szCs w:val="23"/>
        </w:rPr>
        <w:t xml:space="preserve">：  </w:t>
      </w:r>
      <w:r>
        <w:rPr>
          <w:rFonts w:ascii="Times New Roman" w:hAnsi="Times New Roman" w:eastAsia="Times New Roman" w:cs="Times New Roman"/>
          <w:position w:val="3"/>
          <w:sz w:val="23"/>
          <w:szCs w:val="23"/>
        </w:rPr>
        <w:t>Q</w:t>
      </w:r>
      <w:r>
        <w:rPr>
          <w:rFonts w:ascii="Times New Roman" w:hAnsi="Times New Roman" w:eastAsia="Times New Roman" w:cs="Times New Roman"/>
          <w:spacing w:val="2"/>
          <w:position w:val="3"/>
          <w:sz w:val="23"/>
          <w:szCs w:val="23"/>
        </w:rPr>
        <w:t>—</w:t>
      </w:r>
      <w:r>
        <w:rPr>
          <w:rFonts w:ascii="宋体" w:hAnsi="宋体" w:eastAsia="宋体" w:cs="宋体"/>
          <w:spacing w:val="2"/>
          <w:position w:val="3"/>
          <w:sz w:val="23"/>
          <w:szCs w:val="23"/>
        </w:rPr>
        <w:t>汽车行驶的扬尘，</w:t>
      </w:r>
      <w:r>
        <w:rPr>
          <w:rFonts w:ascii="Times New Roman" w:hAnsi="Times New Roman" w:eastAsia="Times New Roman" w:cs="Times New Roman"/>
          <w:position w:val="3"/>
          <w:sz w:val="23"/>
          <w:szCs w:val="23"/>
        </w:rPr>
        <w:t>kg</w:t>
      </w:r>
      <w:r>
        <w:rPr>
          <w:rFonts w:ascii="Times New Roman" w:hAnsi="Times New Roman" w:eastAsia="Times New Roman" w:cs="Times New Roman"/>
          <w:spacing w:val="2"/>
          <w:position w:val="3"/>
          <w:sz w:val="23"/>
          <w:szCs w:val="23"/>
        </w:rPr>
        <w:t>/</w:t>
      </w:r>
      <w:r>
        <w:rPr>
          <w:rFonts w:ascii="Times New Roman" w:hAnsi="Times New Roman" w:eastAsia="Times New Roman" w:cs="Times New Roman"/>
          <w:position w:val="3"/>
          <w:sz w:val="23"/>
          <w:szCs w:val="23"/>
        </w:rPr>
        <w:t>km</w:t>
      </w:r>
      <w:r>
        <w:rPr>
          <w:rFonts w:ascii="Times New Roman" w:hAnsi="Times New Roman" w:eastAsia="Times New Roman" w:cs="Times New Roman"/>
          <w:spacing w:val="2"/>
          <w:position w:val="3"/>
          <w:sz w:val="23"/>
          <w:szCs w:val="23"/>
        </w:rPr>
        <w:t>·</w:t>
      </w:r>
      <w:r>
        <w:rPr>
          <w:rFonts w:ascii="宋体" w:hAnsi="宋体" w:eastAsia="宋体" w:cs="宋体"/>
          <w:spacing w:val="2"/>
          <w:position w:val="3"/>
          <w:sz w:val="23"/>
          <w:szCs w:val="23"/>
        </w:rPr>
        <w:t>辆；</w:t>
      </w:r>
    </w:p>
    <w:p w14:paraId="61CC93F2">
      <w:pPr>
        <w:spacing w:before="145" w:line="466" w:lineRule="exact"/>
        <w:ind w:left="1737"/>
        <w:rPr>
          <w:rFonts w:ascii="宋体" w:hAnsi="宋体" w:eastAsia="宋体" w:cs="宋体"/>
          <w:sz w:val="23"/>
          <w:szCs w:val="23"/>
        </w:rPr>
      </w:pPr>
      <w:r>
        <w:rPr>
          <w:rFonts w:ascii="Times New Roman" w:hAnsi="Times New Roman" w:eastAsia="Times New Roman" w:cs="Times New Roman"/>
          <w:position w:val="13"/>
          <w:sz w:val="23"/>
          <w:szCs w:val="23"/>
        </w:rPr>
        <w:t>v</w:t>
      </w:r>
      <w:r>
        <w:rPr>
          <w:rFonts w:ascii="Times New Roman" w:hAnsi="Times New Roman" w:eastAsia="Times New Roman" w:cs="Times New Roman"/>
          <w:spacing w:val="14"/>
          <w:position w:val="13"/>
          <w:sz w:val="23"/>
          <w:szCs w:val="23"/>
        </w:rPr>
        <w:t>—</w:t>
      </w:r>
      <w:r>
        <w:rPr>
          <w:rFonts w:ascii="宋体" w:hAnsi="宋体" w:eastAsia="宋体" w:cs="宋体"/>
          <w:spacing w:val="10"/>
          <w:position w:val="13"/>
          <w:sz w:val="23"/>
          <w:szCs w:val="23"/>
        </w:rPr>
        <w:t>汽车速度，</w:t>
      </w:r>
      <w:r>
        <w:rPr>
          <w:rFonts w:ascii="Times New Roman" w:hAnsi="Times New Roman" w:eastAsia="Times New Roman" w:cs="Times New Roman"/>
          <w:position w:val="13"/>
          <w:sz w:val="23"/>
          <w:szCs w:val="23"/>
        </w:rPr>
        <w:t>km</w:t>
      </w:r>
      <w:r>
        <w:rPr>
          <w:rFonts w:ascii="Times New Roman" w:hAnsi="Times New Roman" w:eastAsia="Times New Roman" w:cs="Times New Roman"/>
          <w:spacing w:val="10"/>
          <w:position w:val="13"/>
          <w:sz w:val="23"/>
          <w:szCs w:val="23"/>
        </w:rPr>
        <w:t>/</w:t>
      </w:r>
      <w:r>
        <w:rPr>
          <w:rFonts w:ascii="Times New Roman" w:hAnsi="Times New Roman" w:eastAsia="Times New Roman" w:cs="Times New Roman"/>
          <w:position w:val="13"/>
          <w:sz w:val="23"/>
          <w:szCs w:val="23"/>
        </w:rPr>
        <w:t>h</w:t>
      </w:r>
      <w:r>
        <w:rPr>
          <w:rFonts w:ascii="宋体" w:hAnsi="宋体" w:eastAsia="宋体" w:cs="宋体"/>
          <w:spacing w:val="10"/>
          <w:position w:val="13"/>
          <w:sz w:val="23"/>
          <w:szCs w:val="23"/>
        </w:rPr>
        <w:t>；</w:t>
      </w:r>
    </w:p>
    <w:p w14:paraId="0054898D">
      <w:pPr>
        <w:spacing w:line="322" w:lineRule="exact"/>
        <w:ind w:left="1734"/>
        <w:rPr>
          <w:rFonts w:ascii="宋体" w:hAnsi="宋体" w:eastAsia="宋体" w:cs="宋体"/>
          <w:sz w:val="23"/>
          <w:szCs w:val="23"/>
        </w:rPr>
      </w:pPr>
      <w:r>
        <w:rPr>
          <w:rFonts w:ascii="Times New Roman" w:hAnsi="Times New Roman" w:eastAsia="Times New Roman" w:cs="Times New Roman"/>
          <w:position w:val="1"/>
          <w:sz w:val="23"/>
          <w:szCs w:val="23"/>
        </w:rPr>
        <w:t>W</w:t>
      </w:r>
      <w:r>
        <w:rPr>
          <w:rFonts w:ascii="Times New Roman" w:hAnsi="Times New Roman" w:eastAsia="Times New Roman" w:cs="Times New Roman"/>
          <w:spacing w:val="10"/>
          <w:position w:val="1"/>
          <w:sz w:val="23"/>
          <w:szCs w:val="23"/>
        </w:rPr>
        <w:t>—</w:t>
      </w:r>
      <w:r>
        <w:rPr>
          <w:rFonts w:ascii="宋体" w:hAnsi="宋体" w:eastAsia="宋体" w:cs="宋体"/>
          <w:spacing w:val="10"/>
          <w:position w:val="1"/>
          <w:sz w:val="23"/>
          <w:szCs w:val="23"/>
        </w:rPr>
        <w:t>汽车载重量，</w:t>
      </w:r>
      <w:r>
        <w:rPr>
          <w:rFonts w:ascii="Times New Roman" w:hAnsi="Times New Roman" w:eastAsia="Times New Roman" w:cs="Times New Roman"/>
          <w:position w:val="1"/>
          <w:sz w:val="23"/>
          <w:szCs w:val="23"/>
        </w:rPr>
        <w:t>t</w:t>
      </w:r>
      <w:r>
        <w:rPr>
          <w:rFonts w:ascii="宋体" w:hAnsi="宋体" w:eastAsia="宋体" w:cs="宋体"/>
          <w:spacing w:val="8"/>
          <w:position w:val="1"/>
          <w:sz w:val="23"/>
          <w:szCs w:val="23"/>
        </w:rPr>
        <w:t>；</w:t>
      </w:r>
    </w:p>
    <w:p w14:paraId="462DA982">
      <w:pPr>
        <w:sectPr>
          <w:headerReference r:id="rId175" w:type="default"/>
          <w:footerReference r:id="rId176" w:type="default"/>
          <w:pgSz w:w="11907" w:h="16840"/>
          <w:pgMar w:top="400" w:right="1165" w:bottom="1485" w:left="1245" w:header="0" w:footer="1298" w:gutter="0"/>
          <w:cols w:space="720" w:num="1"/>
        </w:sectPr>
      </w:pPr>
    </w:p>
    <w:p w14:paraId="60CCBE69">
      <w:pPr>
        <w:spacing w:line="460" w:lineRule="auto"/>
      </w:pPr>
    </w:p>
    <w:p w14:paraId="29B1B6BC">
      <w:pPr>
        <w:spacing w:before="56" w:line="229" w:lineRule="auto"/>
        <w:ind w:left="530"/>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21BC160D">
      <w:pPr>
        <w:spacing w:before="21" w:line="322" w:lineRule="exact"/>
        <w:ind w:left="1847"/>
        <w:rPr>
          <w:rFonts w:ascii="宋体" w:hAnsi="宋体" w:eastAsia="宋体" w:cs="宋体"/>
          <w:sz w:val="23"/>
          <w:szCs w:val="23"/>
        </w:rPr>
      </w:pPr>
      <w:r>
        <w:pict>
          <v:shape id="_x0000_s2100" o:spid="_x0000_s2100" style="position:absolute;left:0pt;margin-left:26.15pt;margin-top:0.7pt;height:0.5pt;width:433.35pt;z-index:-251587584;mso-width-relative:page;mso-height-relative:page;" fillcolor="#000000" filled="t" stroked="f" coordsize="8667,10" path="m0,0l8666,0,8666,9,0,9,0,0xe">
            <v:fill on="t" focussize="0,0"/>
            <v:stroke on="f"/>
            <v:imagedata o:title=""/>
            <o:lock v:ext="edit"/>
          </v:shape>
        </w:pict>
      </w:r>
      <w:r>
        <w:rPr>
          <w:rFonts w:ascii="Times New Roman" w:hAnsi="Times New Roman" w:eastAsia="Times New Roman" w:cs="Times New Roman"/>
          <w:position w:val="3"/>
          <w:sz w:val="23"/>
          <w:szCs w:val="23"/>
        </w:rPr>
        <w:t>P</w:t>
      </w:r>
      <w:r>
        <w:rPr>
          <w:rFonts w:ascii="Times New Roman" w:hAnsi="Times New Roman" w:eastAsia="Times New Roman" w:cs="Times New Roman"/>
          <w:spacing w:val="13"/>
          <w:position w:val="3"/>
          <w:sz w:val="23"/>
          <w:szCs w:val="23"/>
        </w:rPr>
        <w:t>—</w:t>
      </w:r>
      <w:r>
        <w:rPr>
          <w:rFonts w:ascii="宋体" w:hAnsi="宋体" w:eastAsia="宋体" w:cs="宋体"/>
          <w:spacing w:val="9"/>
          <w:position w:val="3"/>
          <w:sz w:val="23"/>
          <w:szCs w:val="23"/>
        </w:rPr>
        <w:t>道路表面粉尘量，</w:t>
      </w:r>
      <w:r>
        <w:rPr>
          <w:rFonts w:ascii="Times New Roman" w:hAnsi="Times New Roman" w:eastAsia="Times New Roman" w:cs="Times New Roman"/>
          <w:position w:val="3"/>
          <w:sz w:val="23"/>
          <w:szCs w:val="23"/>
        </w:rPr>
        <w:t>kg</w:t>
      </w:r>
      <w:r>
        <w:rPr>
          <w:rFonts w:ascii="Times New Roman" w:hAnsi="Times New Roman" w:eastAsia="Times New Roman" w:cs="Times New Roman"/>
          <w:spacing w:val="9"/>
          <w:position w:val="3"/>
          <w:sz w:val="23"/>
          <w:szCs w:val="23"/>
        </w:rPr>
        <w:t>/</w:t>
      </w:r>
      <w:r>
        <w:rPr>
          <w:rFonts w:ascii="Times New Roman" w:hAnsi="Times New Roman" w:eastAsia="Times New Roman" w:cs="Times New Roman"/>
          <w:position w:val="3"/>
          <w:sz w:val="23"/>
          <w:szCs w:val="23"/>
        </w:rPr>
        <w:t>m</w:t>
      </w:r>
      <w:r>
        <w:rPr>
          <w:rFonts w:ascii="Times New Roman" w:hAnsi="Times New Roman" w:eastAsia="Times New Roman" w:cs="Times New Roman"/>
          <w:spacing w:val="9"/>
          <w:position w:val="10"/>
          <w:sz w:val="15"/>
          <w:szCs w:val="15"/>
        </w:rPr>
        <w:t>2</w:t>
      </w:r>
      <w:r>
        <w:rPr>
          <w:rFonts w:ascii="宋体" w:hAnsi="宋体" w:eastAsia="宋体" w:cs="宋体"/>
          <w:spacing w:val="9"/>
          <w:position w:val="3"/>
          <w:sz w:val="23"/>
          <w:szCs w:val="23"/>
        </w:rPr>
        <w:t>。</w:t>
      </w:r>
    </w:p>
    <w:p w14:paraId="47A6BCB3">
      <w:pPr>
        <w:spacing w:before="141" w:line="376" w:lineRule="auto"/>
        <w:ind w:left="534" w:right="521" w:firstLine="479"/>
        <w:rPr>
          <w:rFonts w:ascii="宋体" w:hAnsi="宋体" w:eastAsia="宋体" w:cs="宋体"/>
          <w:sz w:val="23"/>
          <w:szCs w:val="23"/>
        </w:rPr>
      </w:pPr>
      <w:r>
        <w:rPr>
          <w:rFonts w:ascii="宋体" w:hAnsi="宋体" w:eastAsia="宋体" w:cs="宋体"/>
          <w:spacing w:val="7"/>
          <w:sz w:val="23"/>
          <w:szCs w:val="23"/>
        </w:rPr>
        <w:t>根</w:t>
      </w:r>
      <w:r>
        <w:rPr>
          <w:rFonts w:ascii="宋体" w:hAnsi="宋体" w:eastAsia="宋体" w:cs="宋体"/>
          <w:spacing w:val="6"/>
          <w:sz w:val="23"/>
          <w:szCs w:val="23"/>
        </w:rPr>
        <w:t xml:space="preserve">据类比调查，一辆载重 </w:t>
      </w:r>
      <w:r>
        <w:rPr>
          <w:rFonts w:ascii="Times New Roman" w:hAnsi="Times New Roman" w:eastAsia="Times New Roman" w:cs="Times New Roman"/>
          <w:spacing w:val="6"/>
          <w:sz w:val="23"/>
          <w:szCs w:val="23"/>
        </w:rPr>
        <w:t>5</w:t>
      </w:r>
      <w:r>
        <w:rPr>
          <w:rFonts w:ascii="Times New Roman" w:hAnsi="Times New Roman" w:eastAsia="Times New Roman" w:cs="Times New Roman"/>
          <w:sz w:val="23"/>
          <w:szCs w:val="23"/>
        </w:rPr>
        <w:t>t</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 xml:space="preserve">的卡车，通过一段长度为 </w:t>
      </w:r>
      <w:r>
        <w:rPr>
          <w:rFonts w:ascii="Times New Roman" w:hAnsi="Times New Roman" w:eastAsia="Times New Roman" w:cs="Times New Roman"/>
          <w:spacing w:val="6"/>
          <w:sz w:val="23"/>
          <w:szCs w:val="23"/>
        </w:rPr>
        <w:t>500</w:t>
      </w:r>
      <w:r>
        <w:rPr>
          <w:rFonts w:ascii="Times New Roman" w:hAnsi="Times New Roman" w:eastAsia="Times New Roman" w:cs="Times New Roman"/>
          <w:sz w:val="23"/>
          <w:szCs w:val="23"/>
        </w:rPr>
        <w:t>m</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的路面时，不同表</w:t>
      </w:r>
      <w:r>
        <w:rPr>
          <w:rFonts w:ascii="宋体" w:hAnsi="宋体" w:eastAsia="宋体" w:cs="宋体"/>
          <w:sz w:val="23"/>
          <w:szCs w:val="23"/>
        </w:rPr>
        <w:t xml:space="preserve"> </w:t>
      </w:r>
      <w:r>
        <w:rPr>
          <w:rFonts w:ascii="宋体" w:hAnsi="宋体" w:eastAsia="宋体" w:cs="宋体"/>
          <w:spacing w:val="8"/>
          <w:sz w:val="23"/>
          <w:szCs w:val="23"/>
        </w:rPr>
        <w:t>面清洁</w:t>
      </w:r>
      <w:r>
        <w:rPr>
          <w:rFonts w:ascii="宋体" w:hAnsi="宋体" w:eastAsia="宋体" w:cs="宋体"/>
          <w:spacing w:val="5"/>
          <w:sz w:val="23"/>
          <w:szCs w:val="23"/>
        </w:rPr>
        <w:t>程</w:t>
      </w:r>
      <w:r>
        <w:rPr>
          <w:rFonts w:ascii="宋体" w:hAnsi="宋体" w:eastAsia="宋体" w:cs="宋体"/>
          <w:spacing w:val="4"/>
          <w:sz w:val="23"/>
          <w:szCs w:val="23"/>
        </w:rPr>
        <w:t xml:space="preserve">度，不同行驶速度情况下产生的扬尘量见表 </w:t>
      </w:r>
      <w:r>
        <w:rPr>
          <w:rFonts w:ascii="Times New Roman" w:hAnsi="Times New Roman" w:eastAsia="Times New Roman" w:cs="Times New Roman"/>
          <w:spacing w:val="4"/>
          <w:sz w:val="23"/>
          <w:szCs w:val="23"/>
        </w:rPr>
        <w:t xml:space="preserve">5. 1-2 </w:t>
      </w:r>
      <w:r>
        <w:rPr>
          <w:rFonts w:ascii="宋体" w:hAnsi="宋体" w:eastAsia="宋体" w:cs="宋体"/>
          <w:spacing w:val="4"/>
          <w:sz w:val="23"/>
          <w:szCs w:val="23"/>
        </w:rPr>
        <w:t>所示。</w:t>
      </w:r>
    </w:p>
    <w:p w14:paraId="62A1FFE8">
      <w:pPr>
        <w:spacing w:line="321" w:lineRule="exact"/>
        <w:ind w:left="1305"/>
        <w:rPr>
          <w:rFonts w:ascii="黑体" w:hAnsi="黑体" w:eastAsia="黑体" w:cs="黑体"/>
          <w:sz w:val="23"/>
          <w:szCs w:val="23"/>
        </w:rPr>
      </w:pPr>
      <w:r>
        <w:rPr>
          <w:rFonts w:ascii="黑体" w:hAnsi="黑体" w:eastAsia="黑体" w:cs="黑体"/>
          <w:spacing w:val="8"/>
          <w:position w:val="3"/>
          <w:sz w:val="23"/>
          <w:szCs w:val="23"/>
        </w:rPr>
        <w:t xml:space="preserve">表 </w:t>
      </w:r>
      <w:r>
        <w:rPr>
          <w:rFonts w:ascii="Times New Roman" w:hAnsi="Times New Roman" w:eastAsia="Times New Roman" w:cs="Times New Roman"/>
          <w:spacing w:val="8"/>
          <w:position w:val="3"/>
          <w:sz w:val="23"/>
          <w:szCs w:val="23"/>
        </w:rPr>
        <w:t>5</w:t>
      </w:r>
      <w:r>
        <w:rPr>
          <w:rFonts w:ascii="Times New Roman" w:hAnsi="Times New Roman" w:eastAsia="Times New Roman" w:cs="Times New Roman"/>
          <w:spacing w:val="6"/>
          <w:position w:val="3"/>
          <w:sz w:val="23"/>
          <w:szCs w:val="23"/>
        </w:rPr>
        <w:t>.</w:t>
      </w:r>
      <w:r>
        <w:rPr>
          <w:rFonts w:ascii="Times New Roman" w:hAnsi="Times New Roman" w:eastAsia="Times New Roman" w:cs="Times New Roman"/>
          <w:spacing w:val="4"/>
          <w:position w:val="3"/>
          <w:sz w:val="23"/>
          <w:szCs w:val="23"/>
        </w:rPr>
        <w:t xml:space="preserve"> 1-2  </w:t>
      </w:r>
      <w:r>
        <w:rPr>
          <w:rFonts w:ascii="黑体" w:hAnsi="黑体" w:eastAsia="黑体" w:cs="黑体"/>
          <w:spacing w:val="4"/>
          <w:position w:val="3"/>
          <w:sz w:val="23"/>
          <w:szCs w:val="23"/>
        </w:rPr>
        <w:t>不同车速和地面清洁程度时的汽车扬尘 (单位：</w:t>
      </w:r>
      <w:r>
        <w:rPr>
          <w:rFonts w:ascii="Times New Roman" w:hAnsi="Times New Roman" w:eastAsia="Times New Roman" w:cs="Times New Roman"/>
          <w:position w:val="3"/>
          <w:sz w:val="23"/>
          <w:szCs w:val="23"/>
        </w:rPr>
        <w:t>kg</w:t>
      </w:r>
      <w:r>
        <w:rPr>
          <w:rFonts w:ascii="Times New Roman" w:hAnsi="Times New Roman" w:eastAsia="Times New Roman" w:cs="Times New Roman"/>
          <w:spacing w:val="4"/>
          <w:position w:val="3"/>
          <w:sz w:val="23"/>
          <w:szCs w:val="23"/>
        </w:rPr>
        <w:t>/</w:t>
      </w:r>
      <w:r>
        <w:rPr>
          <w:rFonts w:ascii="Times New Roman" w:hAnsi="Times New Roman" w:eastAsia="Times New Roman" w:cs="Times New Roman"/>
          <w:position w:val="3"/>
          <w:sz w:val="23"/>
          <w:szCs w:val="23"/>
        </w:rPr>
        <w:t>km</w:t>
      </w:r>
      <w:r>
        <w:rPr>
          <w:rFonts w:ascii="Times New Roman" w:hAnsi="Times New Roman" w:eastAsia="Times New Roman" w:cs="Times New Roman"/>
          <w:spacing w:val="4"/>
          <w:position w:val="3"/>
          <w:sz w:val="23"/>
          <w:szCs w:val="23"/>
        </w:rPr>
        <w:t>·</w:t>
      </w:r>
      <w:r>
        <w:rPr>
          <w:rFonts w:ascii="黑体" w:hAnsi="黑体" w:eastAsia="黑体" w:cs="黑体"/>
          <w:spacing w:val="4"/>
          <w:position w:val="3"/>
          <w:sz w:val="23"/>
          <w:szCs w:val="23"/>
        </w:rPr>
        <w:t>辆)</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07"/>
        <w:gridCol w:w="1105"/>
        <w:gridCol w:w="1219"/>
        <w:gridCol w:w="1220"/>
        <w:gridCol w:w="1221"/>
        <w:gridCol w:w="1219"/>
        <w:gridCol w:w="1221"/>
      </w:tblGrid>
      <w:tr w14:paraId="6ECC7D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2507" w:type="dxa"/>
            <w:tcBorders>
              <w:left w:val="nil"/>
              <w:right w:val="single" w:color="000000" w:sz="4" w:space="0"/>
              <w:tl2br w:val="single" w:color="000000" w:sz="6" w:space="0"/>
            </w:tcBorders>
          </w:tcPr>
          <w:p w14:paraId="7BE36229">
            <w:pPr>
              <w:spacing w:before="14" w:line="305" w:lineRule="exact"/>
              <w:ind w:left="1162"/>
              <w:rPr>
                <w:rFonts w:ascii="Times New Roman" w:hAnsi="Times New Roman" w:eastAsia="Times New Roman" w:cs="Times New Roman"/>
                <w:sz w:val="20"/>
                <w:szCs w:val="20"/>
              </w:rPr>
            </w:pPr>
            <w:r>
              <w:rPr>
                <w:rFonts w:ascii="Times New Roman" w:hAnsi="Times New Roman" w:eastAsia="Times New Roman" w:cs="Times New Roman"/>
                <w:b/>
                <w:bCs/>
                <w:position w:val="5"/>
                <w:sz w:val="20"/>
                <w:szCs w:val="20"/>
              </w:rPr>
              <w:t>P</w:t>
            </w:r>
            <w:r>
              <w:rPr>
                <w:rFonts w:ascii="Times New Roman" w:hAnsi="Times New Roman" w:eastAsia="Times New Roman" w:cs="Times New Roman"/>
                <w:b/>
                <w:bCs/>
                <w:spacing w:val="9"/>
                <w:position w:val="5"/>
                <w:sz w:val="20"/>
                <w:szCs w:val="20"/>
              </w:rPr>
              <w:t>(</w:t>
            </w:r>
            <w:r>
              <w:rPr>
                <w:rFonts w:ascii="Times New Roman" w:hAnsi="Times New Roman" w:eastAsia="Times New Roman" w:cs="Times New Roman"/>
                <w:b/>
                <w:bCs/>
                <w:position w:val="5"/>
                <w:sz w:val="20"/>
                <w:szCs w:val="20"/>
              </w:rPr>
              <w:t>kg</w:t>
            </w:r>
            <w:r>
              <w:rPr>
                <w:rFonts w:ascii="Times New Roman" w:hAnsi="Times New Roman" w:eastAsia="Times New Roman" w:cs="Times New Roman"/>
                <w:b/>
                <w:bCs/>
                <w:spacing w:val="8"/>
                <w:position w:val="5"/>
                <w:sz w:val="20"/>
                <w:szCs w:val="20"/>
              </w:rPr>
              <w:t>/</w:t>
            </w:r>
            <w:r>
              <w:rPr>
                <w:rFonts w:ascii="Times New Roman" w:hAnsi="Times New Roman" w:eastAsia="Times New Roman" w:cs="Times New Roman"/>
                <w:b/>
                <w:bCs/>
                <w:position w:val="5"/>
                <w:sz w:val="20"/>
                <w:szCs w:val="20"/>
              </w:rPr>
              <w:t>m</w:t>
            </w:r>
            <w:r>
              <w:rPr>
                <w:rFonts w:ascii="Times New Roman" w:hAnsi="Times New Roman" w:eastAsia="Times New Roman" w:cs="Times New Roman"/>
                <w:b/>
                <w:bCs/>
                <w:spacing w:val="8"/>
                <w:position w:val="11"/>
                <w:sz w:val="13"/>
                <w:szCs w:val="13"/>
              </w:rPr>
              <w:t>2</w:t>
            </w:r>
            <w:r>
              <w:rPr>
                <w:rFonts w:ascii="Times New Roman" w:hAnsi="Times New Roman" w:eastAsia="Times New Roman" w:cs="Times New Roman"/>
                <w:b/>
                <w:bCs/>
                <w:spacing w:val="8"/>
                <w:position w:val="5"/>
                <w:sz w:val="20"/>
                <w:szCs w:val="20"/>
              </w:rPr>
              <w:t>)</w:t>
            </w:r>
          </w:p>
          <w:p w14:paraId="5D39BAE6">
            <w:pPr>
              <w:spacing w:line="238" w:lineRule="auto"/>
              <w:ind w:left="118"/>
              <w:rPr>
                <w:rFonts w:ascii="Times New Roman" w:hAnsi="Times New Roman" w:eastAsia="Times New Roman" w:cs="Times New Roman"/>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车</w:t>
            </w:r>
            <w:r>
              <w:rPr>
                <w:rFonts w:ascii="宋体" w:hAnsi="宋体" w:eastAsia="宋体" w:cs="宋体"/>
                <w:spacing w:val="7"/>
                <w:sz w:val="20"/>
                <w:szCs w:val="20"/>
                <w14:textOutline w14:w="3797" w14:cap="sq" w14:cmpd="sng" w14:algn="ctr">
                  <w14:solidFill>
                    <w14:srgbClr w14:val="000000"/>
                  </w14:solidFill>
                  <w14:prstDash w14:val="solid"/>
                  <w14:bevel/>
                </w14:textOutline>
              </w:rPr>
              <w:t>速</w:t>
            </w:r>
            <w:r>
              <w:rPr>
                <w:rFonts w:ascii="Times New Roman" w:hAnsi="Times New Roman" w:eastAsia="Times New Roman" w:cs="Times New Roman"/>
                <w:b/>
                <w:bCs/>
                <w:spacing w:val="7"/>
                <w:sz w:val="20"/>
                <w:szCs w:val="20"/>
              </w:rPr>
              <w:t>(</w:t>
            </w:r>
            <w:r>
              <w:rPr>
                <w:rFonts w:ascii="Times New Roman" w:hAnsi="Times New Roman" w:eastAsia="Times New Roman" w:cs="Times New Roman"/>
                <w:b/>
                <w:bCs/>
                <w:sz w:val="20"/>
                <w:szCs w:val="20"/>
              </w:rPr>
              <w:t>km</w:t>
            </w:r>
            <w:r>
              <w:rPr>
                <w:rFonts w:ascii="Times New Roman" w:hAnsi="Times New Roman" w:eastAsia="Times New Roman" w:cs="Times New Roman"/>
                <w:b/>
                <w:bCs/>
                <w:spacing w:val="7"/>
                <w:sz w:val="20"/>
                <w:szCs w:val="20"/>
              </w:rPr>
              <w:t>/</w:t>
            </w:r>
            <w:r>
              <w:rPr>
                <w:rFonts w:ascii="Times New Roman" w:hAnsi="Times New Roman" w:eastAsia="Times New Roman" w:cs="Times New Roman"/>
                <w:b/>
                <w:bCs/>
                <w:sz w:val="20"/>
                <w:szCs w:val="20"/>
              </w:rPr>
              <w:t>h</w:t>
            </w:r>
            <w:r>
              <w:rPr>
                <w:rFonts w:ascii="Times New Roman" w:hAnsi="Times New Roman" w:eastAsia="Times New Roman" w:cs="Times New Roman"/>
                <w:b/>
                <w:bCs/>
                <w:spacing w:val="7"/>
                <w:sz w:val="20"/>
                <w:szCs w:val="20"/>
              </w:rPr>
              <w:t>)</w:t>
            </w:r>
          </w:p>
        </w:tc>
        <w:tc>
          <w:tcPr>
            <w:tcW w:w="1105" w:type="dxa"/>
            <w:tcBorders>
              <w:left w:val="single" w:color="000000" w:sz="4" w:space="0"/>
              <w:right w:val="single" w:color="000000" w:sz="4" w:space="0"/>
            </w:tcBorders>
          </w:tcPr>
          <w:p w14:paraId="0AC3FB13">
            <w:pPr>
              <w:spacing w:before="228" w:line="195" w:lineRule="auto"/>
              <w:ind w:left="424"/>
              <w:rPr>
                <w:rFonts w:ascii="Times New Roman" w:hAnsi="Times New Roman" w:eastAsia="Times New Roman" w:cs="Times New Roman"/>
                <w:sz w:val="20"/>
                <w:szCs w:val="20"/>
              </w:rPr>
            </w:pPr>
            <w:r>
              <w:rPr>
                <w:rFonts w:ascii="Times New Roman" w:hAnsi="Times New Roman" w:eastAsia="Times New Roman" w:cs="Times New Roman"/>
                <w:b/>
                <w:bCs/>
                <w:spacing w:val="5"/>
                <w:sz w:val="20"/>
                <w:szCs w:val="20"/>
              </w:rPr>
              <w:t>0.</w:t>
            </w:r>
            <w:r>
              <w:rPr>
                <w:rFonts w:ascii="Times New Roman" w:hAnsi="Times New Roman" w:eastAsia="Times New Roman" w:cs="Times New Roman"/>
                <w:b/>
                <w:bCs/>
                <w:spacing w:val="4"/>
                <w:sz w:val="20"/>
                <w:szCs w:val="20"/>
              </w:rPr>
              <w:t>1</w:t>
            </w:r>
          </w:p>
        </w:tc>
        <w:tc>
          <w:tcPr>
            <w:tcW w:w="1219" w:type="dxa"/>
            <w:tcBorders>
              <w:left w:val="single" w:color="000000" w:sz="4" w:space="0"/>
              <w:right w:val="single" w:color="000000" w:sz="4" w:space="0"/>
            </w:tcBorders>
          </w:tcPr>
          <w:p w14:paraId="1B83C280">
            <w:pPr>
              <w:spacing w:before="228" w:line="195" w:lineRule="auto"/>
              <w:ind w:left="480"/>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0.</w:t>
            </w:r>
            <w:r>
              <w:rPr>
                <w:rFonts w:ascii="Times New Roman" w:hAnsi="Times New Roman" w:eastAsia="Times New Roman" w:cs="Times New Roman"/>
                <w:b/>
                <w:bCs/>
                <w:spacing w:val="1"/>
                <w:sz w:val="20"/>
                <w:szCs w:val="20"/>
              </w:rPr>
              <w:t>2</w:t>
            </w:r>
          </w:p>
        </w:tc>
        <w:tc>
          <w:tcPr>
            <w:tcW w:w="1220" w:type="dxa"/>
            <w:tcBorders>
              <w:left w:val="single" w:color="000000" w:sz="4" w:space="0"/>
              <w:right w:val="single" w:color="000000" w:sz="4" w:space="0"/>
            </w:tcBorders>
          </w:tcPr>
          <w:p w14:paraId="28C95DA0">
            <w:pPr>
              <w:spacing w:before="228" w:line="195" w:lineRule="auto"/>
              <w:ind w:left="480"/>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0.</w:t>
            </w:r>
            <w:r>
              <w:rPr>
                <w:rFonts w:ascii="Times New Roman" w:hAnsi="Times New Roman" w:eastAsia="Times New Roman" w:cs="Times New Roman"/>
                <w:b/>
                <w:bCs/>
                <w:spacing w:val="1"/>
                <w:sz w:val="20"/>
                <w:szCs w:val="20"/>
              </w:rPr>
              <w:t>3</w:t>
            </w:r>
          </w:p>
        </w:tc>
        <w:tc>
          <w:tcPr>
            <w:tcW w:w="1221" w:type="dxa"/>
            <w:tcBorders>
              <w:left w:val="single" w:color="000000" w:sz="4" w:space="0"/>
              <w:right w:val="single" w:color="000000" w:sz="4" w:space="0"/>
            </w:tcBorders>
          </w:tcPr>
          <w:p w14:paraId="501994A5">
            <w:pPr>
              <w:spacing w:before="228" w:line="195" w:lineRule="auto"/>
              <w:ind w:left="482"/>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0.</w:t>
            </w:r>
            <w:r>
              <w:rPr>
                <w:rFonts w:ascii="Times New Roman" w:hAnsi="Times New Roman" w:eastAsia="Times New Roman" w:cs="Times New Roman"/>
                <w:b/>
                <w:bCs/>
                <w:spacing w:val="1"/>
                <w:sz w:val="20"/>
                <w:szCs w:val="20"/>
              </w:rPr>
              <w:t>4</w:t>
            </w:r>
          </w:p>
        </w:tc>
        <w:tc>
          <w:tcPr>
            <w:tcW w:w="1219" w:type="dxa"/>
            <w:tcBorders>
              <w:left w:val="single" w:color="000000" w:sz="4" w:space="0"/>
              <w:right w:val="single" w:color="000000" w:sz="4" w:space="0"/>
            </w:tcBorders>
          </w:tcPr>
          <w:p w14:paraId="00686FC3">
            <w:pPr>
              <w:spacing w:before="228" w:line="195" w:lineRule="auto"/>
              <w:ind w:left="480"/>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0.</w:t>
            </w:r>
            <w:r>
              <w:rPr>
                <w:rFonts w:ascii="Times New Roman" w:hAnsi="Times New Roman" w:eastAsia="Times New Roman" w:cs="Times New Roman"/>
                <w:b/>
                <w:bCs/>
                <w:spacing w:val="1"/>
                <w:sz w:val="20"/>
                <w:szCs w:val="20"/>
              </w:rPr>
              <w:t>5</w:t>
            </w:r>
          </w:p>
        </w:tc>
        <w:tc>
          <w:tcPr>
            <w:tcW w:w="1221" w:type="dxa"/>
            <w:tcBorders>
              <w:left w:val="single" w:color="000000" w:sz="4" w:space="0"/>
              <w:right w:val="nil"/>
            </w:tcBorders>
          </w:tcPr>
          <w:p w14:paraId="41943BF2">
            <w:pPr>
              <w:spacing w:before="228" w:line="198" w:lineRule="auto"/>
              <w:ind w:left="487"/>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.0</w:t>
            </w:r>
          </w:p>
        </w:tc>
      </w:tr>
      <w:tr w14:paraId="75731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507" w:type="dxa"/>
            <w:tcBorders>
              <w:left w:val="nil"/>
              <w:right w:val="single" w:color="000000" w:sz="4" w:space="0"/>
            </w:tcBorders>
          </w:tcPr>
          <w:p w14:paraId="360781C7">
            <w:pPr>
              <w:spacing w:before="92" w:line="192" w:lineRule="auto"/>
              <w:ind w:left="1210"/>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105" w:type="dxa"/>
            <w:tcBorders>
              <w:left w:val="single" w:color="000000" w:sz="4" w:space="0"/>
              <w:right w:val="single" w:color="000000" w:sz="4" w:space="0"/>
            </w:tcBorders>
          </w:tcPr>
          <w:p w14:paraId="590A8E3A">
            <w:pPr>
              <w:spacing w:before="89" w:line="195" w:lineRule="auto"/>
              <w:ind w:left="26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.0283</w:t>
            </w:r>
          </w:p>
        </w:tc>
        <w:tc>
          <w:tcPr>
            <w:tcW w:w="1219" w:type="dxa"/>
            <w:tcBorders>
              <w:left w:val="single" w:color="000000" w:sz="4" w:space="0"/>
              <w:right w:val="single" w:color="000000" w:sz="4" w:space="0"/>
            </w:tcBorders>
          </w:tcPr>
          <w:p w14:paraId="04FF263C">
            <w:pPr>
              <w:spacing w:before="89" w:line="195" w:lineRule="auto"/>
              <w:ind w:left="32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.0476</w:t>
            </w:r>
          </w:p>
        </w:tc>
        <w:tc>
          <w:tcPr>
            <w:tcW w:w="1220" w:type="dxa"/>
            <w:tcBorders>
              <w:left w:val="single" w:color="000000" w:sz="4" w:space="0"/>
              <w:right w:val="single" w:color="000000" w:sz="4" w:space="0"/>
            </w:tcBorders>
          </w:tcPr>
          <w:p w14:paraId="4B6A7322">
            <w:pPr>
              <w:spacing w:before="89" w:line="195" w:lineRule="auto"/>
              <w:ind w:left="32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.0646</w:t>
            </w:r>
          </w:p>
        </w:tc>
        <w:tc>
          <w:tcPr>
            <w:tcW w:w="1221" w:type="dxa"/>
            <w:tcBorders>
              <w:left w:val="single" w:color="000000" w:sz="4" w:space="0"/>
              <w:right w:val="single" w:color="000000" w:sz="4" w:space="0"/>
            </w:tcBorders>
          </w:tcPr>
          <w:p w14:paraId="4DCFC70D">
            <w:pPr>
              <w:spacing w:before="89" w:line="195" w:lineRule="auto"/>
              <w:ind w:left="32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.0801</w:t>
            </w:r>
          </w:p>
        </w:tc>
        <w:tc>
          <w:tcPr>
            <w:tcW w:w="1219" w:type="dxa"/>
            <w:tcBorders>
              <w:left w:val="single" w:color="000000" w:sz="4" w:space="0"/>
              <w:right w:val="single" w:color="000000" w:sz="4" w:space="0"/>
            </w:tcBorders>
          </w:tcPr>
          <w:p w14:paraId="3714268C">
            <w:pPr>
              <w:spacing w:before="89" w:line="195" w:lineRule="auto"/>
              <w:ind w:left="32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.0947</w:t>
            </w:r>
          </w:p>
        </w:tc>
        <w:tc>
          <w:tcPr>
            <w:tcW w:w="1221" w:type="dxa"/>
            <w:tcBorders>
              <w:left w:val="single" w:color="000000" w:sz="4" w:space="0"/>
              <w:right w:val="nil"/>
            </w:tcBorders>
          </w:tcPr>
          <w:p w14:paraId="1B17A71F">
            <w:pPr>
              <w:spacing w:before="89" w:line="195" w:lineRule="auto"/>
              <w:ind w:left="324"/>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0</w:t>
            </w:r>
            <w:r>
              <w:rPr>
                <w:rFonts w:ascii="Times New Roman" w:hAnsi="Times New Roman" w:eastAsia="Times New Roman" w:cs="Times New Roman"/>
                <w:spacing w:val="-4"/>
                <w:sz w:val="20"/>
                <w:szCs w:val="20"/>
              </w:rPr>
              <w:t>. 1593</w:t>
            </w:r>
          </w:p>
        </w:tc>
      </w:tr>
      <w:tr w14:paraId="13DC2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2507" w:type="dxa"/>
            <w:tcBorders>
              <w:left w:val="nil"/>
              <w:right w:val="single" w:color="000000" w:sz="4" w:space="0"/>
            </w:tcBorders>
          </w:tcPr>
          <w:p w14:paraId="5B48D9F7">
            <w:pPr>
              <w:spacing w:before="96" w:line="195" w:lineRule="auto"/>
              <w:ind w:left="1172"/>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7"/>
                <w:sz w:val="20"/>
                <w:szCs w:val="20"/>
              </w:rPr>
              <w:t>0</w:t>
            </w:r>
          </w:p>
        </w:tc>
        <w:tc>
          <w:tcPr>
            <w:tcW w:w="1105" w:type="dxa"/>
            <w:tcBorders>
              <w:left w:val="single" w:color="000000" w:sz="4" w:space="0"/>
              <w:right w:val="single" w:color="000000" w:sz="4" w:space="0"/>
            </w:tcBorders>
          </w:tcPr>
          <w:p w14:paraId="14DEBD10">
            <w:pPr>
              <w:spacing w:before="97" w:line="195" w:lineRule="auto"/>
              <w:ind w:left="26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.0566</w:t>
            </w:r>
          </w:p>
        </w:tc>
        <w:tc>
          <w:tcPr>
            <w:tcW w:w="1219" w:type="dxa"/>
            <w:tcBorders>
              <w:left w:val="single" w:color="000000" w:sz="4" w:space="0"/>
              <w:right w:val="single" w:color="000000" w:sz="4" w:space="0"/>
            </w:tcBorders>
          </w:tcPr>
          <w:p w14:paraId="4007CA9B">
            <w:pPr>
              <w:spacing w:before="97" w:line="195" w:lineRule="auto"/>
              <w:ind w:left="32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.0953</w:t>
            </w:r>
          </w:p>
        </w:tc>
        <w:tc>
          <w:tcPr>
            <w:tcW w:w="1220" w:type="dxa"/>
            <w:tcBorders>
              <w:left w:val="single" w:color="000000" w:sz="4" w:space="0"/>
              <w:right w:val="single" w:color="000000" w:sz="4" w:space="0"/>
            </w:tcBorders>
          </w:tcPr>
          <w:p w14:paraId="05F47434">
            <w:pPr>
              <w:spacing w:before="96" w:line="195" w:lineRule="auto"/>
              <w:ind w:left="322"/>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0</w:t>
            </w:r>
            <w:r>
              <w:rPr>
                <w:rFonts w:ascii="Times New Roman" w:hAnsi="Times New Roman" w:eastAsia="Times New Roman" w:cs="Times New Roman"/>
                <w:spacing w:val="-4"/>
                <w:sz w:val="20"/>
                <w:szCs w:val="20"/>
              </w:rPr>
              <w:t>. 1291</w:t>
            </w:r>
          </w:p>
        </w:tc>
        <w:tc>
          <w:tcPr>
            <w:tcW w:w="1221" w:type="dxa"/>
            <w:tcBorders>
              <w:left w:val="single" w:color="000000" w:sz="4" w:space="0"/>
              <w:right w:val="single" w:color="000000" w:sz="4" w:space="0"/>
            </w:tcBorders>
          </w:tcPr>
          <w:p w14:paraId="0E1AA4D8">
            <w:pPr>
              <w:spacing w:before="97" w:line="195" w:lineRule="auto"/>
              <w:ind w:left="324"/>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0</w:t>
            </w:r>
            <w:r>
              <w:rPr>
                <w:rFonts w:ascii="Times New Roman" w:hAnsi="Times New Roman" w:eastAsia="Times New Roman" w:cs="Times New Roman"/>
                <w:spacing w:val="-4"/>
                <w:sz w:val="20"/>
                <w:szCs w:val="20"/>
              </w:rPr>
              <w:t>. 1602</w:t>
            </w:r>
          </w:p>
        </w:tc>
        <w:tc>
          <w:tcPr>
            <w:tcW w:w="1219" w:type="dxa"/>
            <w:tcBorders>
              <w:left w:val="single" w:color="000000" w:sz="4" w:space="0"/>
              <w:right w:val="single" w:color="000000" w:sz="4" w:space="0"/>
            </w:tcBorders>
          </w:tcPr>
          <w:p w14:paraId="2F329D8E">
            <w:pPr>
              <w:spacing w:before="96" w:line="195" w:lineRule="auto"/>
              <w:ind w:left="322"/>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0</w:t>
            </w:r>
            <w:r>
              <w:rPr>
                <w:rFonts w:ascii="Times New Roman" w:hAnsi="Times New Roman" w:eastAsia="Times New Roman" w:cs="Times New Roman"/>
                <w:spacing w:val="-4"/>
                <w:sz w:val="20"/>
                <w:szCs w:val="20"/>
              </w:rPr>
              <w:t>. 1894</w:t>
            </w:r>
          </w:p>
        </w:tc>
        <w:tc>
          <w:tcPr>
            <w:tcW w:w="1221" w:type="dxa"/>
            <w:tcBorders>
              <w:left w:val="single" w:color="000000" w:sz="4" w:space="0"/>
              <w:right w:val="nil"/>
            </w:tcBorders>
          </w:tcPr>
          <w:p w14:paraId="43D31512">
            <w:pPr>
              <w:spacing w:before="97" w:line="195" w:lineRule="auto"/>
              <w:ind w:left="32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.3186</w:t>
            </w:r>
          </w:p>
        </w:tc>
      </w:tr>
      <w:tr w14:paraId="663E6B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2507" w:type="dxa"/>
            <w:tcBorders>
              <w:left w:val="nil"/>
              <w:right w:val="single" w:color="000000" w:sz="4" w:space="0"/>
            </w:tcBorders>
          </w:tcPr>
          <w:p w14:paraId="00E2729F">
            <w:pPr>
              <w:spacing w:before="84" w:line="195" w:lineRule="auto"/>
              <w:ind w:left="1172"/>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7"/>
                <w:sz w:val="20"/>
                <w:szCs w:val="20"/>
              </w:rPr>
              <w:t>5</w:t>
            </w:r>
          </w:p>
        </w:tc>
        <w:tc>
          <w:tcPr>
            <w:tcW w:w="1105" w:type="dxa"/>
            <w:tcBorders>
              <w:left w:val="single" w:color="000000" w:sz="4" w:space="0"/>
              <w:right w:val="single" w:color="000000" w:sz="4" w:space="0"/>
            </w:tcBorders>
          </w:tcPr>
          <w:p w14:paraId="0A53EDF2">
            <w:pPr>
              <w:spacing w:before="84" w:line="195" w:lineRule="auto"/>
              <w:ind w:left="26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 xml:space="preserve"> 0850</w:t>
            </w:r>
          </w:p>
        </w:tc>
        <w:tc>
          <w:tcPr>
            <w:tcW w:w="1219" w:type="dxa"/>
            <w:tcBorders>
              <w:left w:val="single" w:color="000000" w:sz="4" w:space="0"/>
              <w:right w:val="single" w:color="000000" w:sz="4" w:space="0"/>
            </w:tcBorders>
          </w:tcPr>
          <w:p w14:paraId="50DC0886">
            <w:pPr>
              <w:spacing w:before="84" w:line="195" w:lineRule="auto"/>
              <w:ind w:left="32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 xml:space="preserve"> 1429</w:t>
            </w:r>
          </w:p>
        </w:tc>
        <w:tc>
          <w:tcPr>
            <w:tcW w:w="1220" w:type="dxa"/>
            <w:tcBorders>
              <w:left w:val="single" w:color="000000" w:sz="4" w:space="0"/>
              <w:right w:val="single" w:color="000000" w:sz="4" w:space="0"/>
            </w:tcBorders>
          </w:tcPr>
          <w:p w14:paraId="243FD715">
            <w:pPr>
              <w:spacing w:before="84" w:line="195" w:lineRule="auto"/>
              <w:ind w:left="32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 xml:space="preserve"> 1937</w:t>
            </w:r>
          </w:p>
        </w:tc>
        <w:tc>
          <w:tcPr>
            <w:tcW w:w="1221" w:type="dxa"/>
            <w:tcBorders>
              <w:left w:val="single" w:color="000000" w:sz="4" w:space="0"/>
              <w:right w:val="single" w:color="000000" w:sz="4" w:space="0"/>
            </w:tcBorders>
          </w:tcPr>
          <w:p w14:paraId="402B0D0E">
            <w:pPr>
              <w:spacing w:before="84" w:line="195" w:lineRule="auto"/>
              <w:ind w:left="32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 xml:space="preserve"> 2403</w:t>
            </w:r>
          </w:p>
        </w:tc>
        <w:tc>
          <w:tcPr>
            <w:tcW w:w="1219" w:type="dxa"/>
            <w:tcBorders>
              <w:left w:val="single" w:color="000000" w:sz="4" w:space="0"/>
              <w:right w:val="single" w:color="000000" w:sz="4" w:space="0"/>
            </w:tcBorders>
          </w:tcPr>
          <w:p w14:paraId="4EA0B66A">
            <w:pPr>
              <w:spacing w:before="84" w:line="195" w:lineRule="auto"/>
              <w:ind w:left="32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 xml:space="preserve"> 2841</w:t>
            </w:r>
          </w:p>
        </w:tc>
        <w:tc>
          <w:tcPr>
            <w:tcW w:w="1221" w:type="dxa"/>
            <w:tcBorders>
              <w:left w:val="single" w:color="000000" w:sz="4" w:space="0"/>
              <w:right w:val="nil"/>
            </w:tcBorders>
          </w:tcPr>
          <w:p w14:paraId="0682E2AB">
            <w:pPr>
              <w:spacing w:before="84" w:line="195" w:lineRule="auto"/>
              <w:ind w:left="32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 xml:space="preserve"> 4778</w:t>
            </w:r>
          </w:p>
        </w:tc>
      </w:tr>
      <w:tr w14:paraId="0F887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2507" w:type="dxa"/>
            <w:tcBorders>
              <w:left w:val="nil"/>
              <w:right w:val="single" w:color="000000" w:sz="4" w:space="0"/>
            </w:tcBorders>
          </w:tcPr>
          <w:p w14:paraId="03B49B9F">
            <w:pPr>
              <w:spacing w:before="115" w:line="195" w:lineRule="auto"/>
              <w:ind w:left="115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
                <w:sz w:val="20"/>
                <w:szCs w:val="20"/>
              </w:rPr>
              <w:t>0</w:t>
            </w:r>
          </w:p>
        </w:tc>
        <w:tc>
          <w:tcPr>
            <w:tcW w:w="1105" w:type="dxa"/>
            <w:tcBorders>
              <w:left w:val="single" w:color="000000" w:sz="4" w:space="0"/>
              <w:right w:val="single" w:color="000000" w:sz="4" w:space="0"/>
            </w:tcBorders>
          </w:tcPr>
          <w:p w14:paraId="42C2CDD8">
            <w:pPr>
              <w:spacing w:before="115" w:line="195" w:lineRule="auto"/>
              <w:ind w:left="270"/>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0</w:t>
            </w:r>
            <w:r>
              <w:rPr>
                <w:rFonts w:ascii="Times New Roman" w:hAnsi="Times New Roman" w:eastAsia="Times New Roman" w:cs="Times New Roman"/>
                <w:spacing w:val="-5"/>
                <w:sz w:val="20"/>
                <w:szCs w:val="20"/>
              </w:rPr>
              <w:t>. 1133</w:t>
            </w:r>
          </w:p>
        </w:tc>
        <w:tc>
          <w:tcPr>
            <w:tcW w:w="1219" w:type="dxa"/>
            <w:tcBorders>
              <w:left w:val="single" w:color="000000" w:sz="4" w:space="0"/>
              <w:right w:val="single" w:color="000000" w:sz="4" w:space="0"/>
            </w:tcBorders>
          </w:tcPr>
          <w:p w14:paraId="465FC251">
            <w:pPr>
              <w:spacing w:before="115" w:line="195" w:lineRule="auto"/>
              <w:ind w:left="322"/>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0</w:t>
            </w:r>
            <w:r>
              <w:rPr>
                <w:rFonts w:ascii="Times New Roman" w:hAnsi="Times New Roman" w:eastAsia="Times New Roman" w:cs="Times New Roman"/>
                <w:spacing w:val="-4"/>
                <w:sz w:val="20"/>
                <w:szCs w:val="20"/>
              </w:rPr>
              <w:t>. 1905</w:t>
            </w:r>
          </w:p>
        </w:tc>
        <w:tc>
          <w:tcPr>
            <w:tcW w:w="1220" w:type="dxa"/>
            <w:tcBorders>
              <w:left w:val="single" w:color="000000" w:sz="4" w:space="0"/>
              <w:right w:val="single" w:color="000000" w:sz="4" w:space="0"/>
            </w:tcBorders>
          </w:tcPr>
          <w:p w14:paraId="62AE7803">
            <w:pPr>
              <w:spacing w:before="115" w:line="195" w:lineRule="auto"/>
              <w:ind w:left="32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.2583</w:t>
            </w:r>
          </w:p>
        </w:tc>
        <w:tc>
          <w:tcPr>
            <w:tcW w:w="1221" w:type="dxa"/>
            <w:tcBorders>
              <w:left w:val="single" w:color="000000" w:sz="4" w:space="0"/>
              <w:right w:val="single" w:color="000000" w:sz="4" w:space="0"/>
            </w:tcBorders>
          </w:tcPr>
          <w:p w14:paraId="5A3EFC15">
            <w:pPr>
              <w:spacing w:before="115" w:line="195" w:lineRule="auto"/>
              <w:ind w:left="32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.3204</w:t>
            </w:r>
          </w:p>
        </w:tc>
        <w:tc>
          <w:tcPr>
            <w:tcW w:w="1219" w:type="dxa"/>
            <w:tcBorders>
              <w:left w:val="single" w:color="000000" w:sz="4" w:space="0"/>
              <w:right w:val="single" w:color="000000" w:sz="4" w:space="0"/>
            </w:tcBorders>
          </w:tcPr>
          <w:p w14:paraId="3D59882C">
            <w:pPr>
              <w:spacing w:before="115" w:line="195" w:lineRule="auto"/>
              <w:ind w:left="32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.3788</w:t>
            </w:r>
          </w:p>
        </w:tc>
        <w:tc>
          <w:tcPr>
            <w:tcW w:w="1221" w:type="dxa"/>
            <w:tcBorders>
              <w:left w:val="single" w:color="000000" w:sz="4" w:space="0"/>
              <w:right w:val="nil"/>
            </w:tcBorders>
          </w:tcPr>
          <w:p w14:paraId="2EC9D1F5">
            <w:pPr>
              <w:spacing w:before="115" w:line="195" w:lineRule="auto"/>
              <w:ind w:left="32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.6371</w:t>
            </w:r>
          </w:p>
        </w:tc>
      </w:tr>
    </w:tbl>
    <w:p w14:paraId="00ACEC07">
      <w:pPr>
        <w:spacing w:before="36" w:line="375" w:lineRule="auto"/>
        <w:ind w:left="532" w:right="519" w:firstLine="510"/>
        <w:rPr>
          <w:rFonts w:ascii="宋体" w:hAnsi="宋体" w:eastAsia="宋体" w:cs="宋体"/>
          <w:sz w:val="23"/>
          <w:szCs w:val="23"/>
        </w:rPr>
      </w:pPr>
      <w:r>
        <w:rPr>
          <w:rFonts w:ascii="宋体" w:hAnsi="宋体" w:eastAsia="宋体" w:cs="宋体"/>
          <w:spacing w:val="6"/>
          <w:sz w:val="23"/>
          <w:szCs w:val="23"/>
        </w:rPr>
        <w:t xml:space="preserve">由表 </w:t>
      </w:r>
      <w:r>
        <w:rPr>
          <w:rFonts w:ascii="Times New Roman" w:hAnsi="Times New Roman" w:eastAsia="Times New Roman" w:cs="Times New Roman"/>
          <w:spacing w:val="6"/>
          <w:sz w:val="23"/>
          <w:szCs w:val="23"/>
        </w:rPr>
        <w:t>5.2-</w:t>
      </w:r>
      <w:r>
        <w:rPr>
          <w:rFonts w:ascii="Times New Roman" w:hAnsi="Times New Roman" w:eastAsia="Times New Roman" w:cs="Times New Roman"/>
          <w:spacing w:val="3"/>
          <w:sz w:val="23"/>
          <w:szCs w:val="23"/>
        </w:rPr>
        <w:t xml:space="preserve">2 </w:t>
      </w:r>
      <w:r>
        <w:rPr>
          <w:rFonts w:ascii="宋体" w:hAnsi="宋体" w:eastAsia="宋体" w:cs="宋体"/>
          <w:spacing w:val="3"/>
          <w:sz w:val="23"/>
          <w:szCs w:val="23"/>
        </w:rPr>
        <w:t>可见，在同样路面清洁情况下，车速越快，扬尘量越大；而在同样车</w:t>
      </w:r>
      <w:r>
        <w:rPr>
          <w:rFonts w:ascii="宋体" w:hAnsi="宋体" w:eastAsia="宋体" w:cs="宋体"/>
          <w:sz w:val="23"/>
          <w:szCs w:val="23"/>
        </w:rPr>
        <w:t xml:space="preserve"> </w:t>
      </w:r>
      <w:r>
        <w:rPr>
          <w:rFonts w:ascii="宋体" w:hAnsi="宋体" w:eastAsia="宋体" w:cs="宋体"/>
          <w:spacing w:val="20"/>
          <w:sz w:val="23"/>
          <w:szCs w:val="23"/>
        </w:rPr>
        <w:t>速</w:t>
      </w:r>
      <w:r>
        <w:rPr>
          <w:rFonts w:ascii="宋体" w:hAnsi="宋体" w:eastAsia="宋体" w:cs="宋体"/>
          <w:spacing w:val="17"/>
          <w:sz w:val="23"/>
          <w:szCs w:val="23"/>
        </w:rPr>
        <w:t>情</w:t>
      </w:r>
      <w:r>
        <w:rPr>
          <w:rFonts w:ascii="宋体" w:hAnsi="宋体" w:eastAsia="宋体" w:cs="宋体"/>
          <w:spacing w:val="10"/>
          <w:sz w:val="23"/>
          <w:szCs w:val="23"/>
        </w:rPr>
        <w:t>况下，路面清洁度越差，则扬尘量越大。根据类比调查，一般情况下，施工场</w:t>
      </w:r>
      <w:r>
        <w:rPr>
          <w:rFonts w:ascii="宋体" w:hAnsi="宋体" w:eastAsia="宋体" w:cs="宋体"/>
          <w:sz w:val="23"/>
          <w:szCs w:val="23"/>
        </w:rPr>
        <w:t xml:space="preserve"> </w:t>
      </w:r>
      <w:r>
        <w:rPr>
          <w:rFonts w:ascii="宋体" w:hAnsi="宋体" w:eastAsia="宋体" w:cs="宋体"/>
          <w:spacing w:val="7"/>
          <w:sz w:val="23"/>
          <w:szCs w:val="23"/>
        </w:rPr>
        <w:t xml:space="preserve">地、施工道路在自然风作用下产生的扬尘所影响的范围在 </w:t>
      </w:r>
      <w:r>
        <w:rPr>
          <w:rFonts w:ascii="Times New Roman" w:hAnsi="Times New Roman" w:eastAsia="Times New Roman" w:cs="Times New Roman"/>
          <w:spacing w:val="7"/>
          <w:sz w:val="23"/>
          <w:szCs w:val="23"/>
        </w:rPr>
        <w:t>100</w:t>
      </w:r>
      <w:r>
        <w:rPr>
          <w:rFonts w:ascii="Times New Roman" w:hAnsi="Times New Roman" w:eastAsia="Times New Roman" w:cs="Times New Roman"/>
          <w:sz w:val="23"/>
          <w:szCs w:val="23"/>
        </w:rPr>
        <w:t>m</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以内</w:t>
      </w:r>
      <w:r>
        <w:rPr>
          <w:rFonts w:ascii="宋体" w:hAnsi="宋体" w:eastAsia="宋体" w:cs="宋体"/>
          <w:spacing w:val="5"/>
          <w:sz w:val="23"/>
          <w:szCs w:val="23"/>
        </w:rPr>
        <w:t>。</w:t>
      </w:r>
    </w:p>
    <w:p w14:paraId="04E76F6F">
      <w:pPr>
        <w:spacing w:line="366" w:lineRule="auto"/>
        <w:ind w:left="532" w:right="519" w:firstLine="480"/>
        <w:rPr>
          <w:rFonts w:ascii="宋体" w:hAnsi="宋体" w:eastAsia="宋体" w:cs="宋体"/>
          <w:sz w:val="23"/>
          <w:szCs w:val="23"/>
        </w:rPr>
      </w:pPr>
      <w:r>
        <w:rPr>
          <w:rFonts w:ascii="宋体" w:hAnsi="宋体" w:eastAsia="宋体" w:cs="宋体"/>
          <w:spacing w:val="20"/>
          <w:sz w:val="23"/>
          <w:szCs w:val="23"/>
        </w:rPr>
        <w:t>抑</w:t>
      </w:r>
      <w:r>
        <w:rPr>
          <w:rFonts w:ascii="宋体" w:hAnsi="宋体" w:eastAsia="宋体" w:cs="宋体"/>
          <w:spacing w:val="16"/>
          <w:sz w:val="23"/>
          <w:szCs w:val="23"/>
        </w:rPr>
        <w:t>制</w:t>
      </w:r>
      <w:r>
        <w:rPr>
          <w:rFonts w:ascii="宋体" w:hAnsi="宋体" w:eastAsia="宋体" w:cs="宋体"/>
          <w:spacing w:val="10"/>
          <w:sz w:val="23"/>
          <w:szCs w:val="23"/>
        </w:rPr>
        <w:t>扬尘的一个简洁有效的措施是洒水。如果在施工期内对车辆行驶的路面实</w:t>
      </w:r>
      <w:r>
        <w:rPr>
          <w:rFonts w:ascii="宋体" w:hAnsi="宋体" w:eastAsia="宋体" w:cs="宋体"/>
          <w:sz w:val="23"/>
          <w:szCs w:val="23"/>
        </w:rPr>
        <w:t xml:space="preserve"> </w:t>
      </w:r>
      <w:r>
        <w:rPr>
          <w:rFonts w:ascii="宋体" w:hAnsi="宋体" w:eastAsia="宋体" w:cs="宋体"/>
          <w:spacing w:val="8"/>
          <w:sz w:val="23"/>
          <w:szCs w:val="23"/>
        </w:rPr>
        <w:t>施洒水抑尘，每天洒水</w:t>
      </w:r>
      <w:r>
        <w:rPr>
          <w:rFonts w:ascii="Times New Roman" w:hAnsi="Times New Roman" w:eastAsia="Times New Roman" w:cs="Times New Roman"/>
          <w:spacing w:val="8"/>
          <w:sz w:val="23"/>
          <w:szCs w:val="23"/>
        </w:rPr>
        <w:t>4</w:t>
      </w:r>
      <w:r>
        <w:rPr>
          <w:rFonts w:ascii="宋体" w:hAnsi="宋体" w:eastAsia="宋体" w:cs="宋体"/>
          <w:spacing w:val="8"/>
          <w:sz w:val="23"/>
          <w:szCs w:val="23"/>
        </w:rPr>
        <w:t>~</w:t>
      </w:r>
      <w:r>
        <w:rPr>
          <w:rFonts w:ascii="Times New Roman" w:hAnsi="Times New Roman" w:eastAsia="Times New Roman" w:cs="Times New Roman"/>
          <w:spacing w:val="8"/>
          <w:sz w:val="23"/>
          <w:szCs w:val="23"/>
        </w:rPr>
        <w:t xml:space="preserve">5 </w:t>
      </w:r>
      <w:r>
        <w:rPr>
          <w:rFonts w:ascii="宋体" w:hAnsi="宋体" w:eastAsia="宋体" w:cs="宋体"/>
          <w:spacing w:val="8"/>
          <w:sz w:val="23"/>
          <w:szCs w:val="23"/>
        </w:rPr>
        <w:t xml:space="preserve">次，可使扬尘减少 </w:t>
      </w:r>
      <w:r>
        <w:rPr>
          <w:rFonts w:ascii="Times New Roman" w:hAnsi="Times New Roman" w:eastAsia="Times New Roman" w:cs="Times New Roman"/>
          <w:spacing w:val="8"/>
          <w:sz w:val="23"/>
          <w:szCs w:val="23"/>
        </w:rPr>
        <w:t>70%</w:t>
      </w:r>
      <w:r>
        <w:rPr>
          <w:rFonts w:ascii="宋体" w:hAnsi="宋体" w:eastAsia="宋体" w:cs="宋体"/>
          <w:spacing w:val="8"/>
          <w:sz w:val="23"/>
          <w:szCs w:val="23"/>
        </w:rPr>
        <w:t xml:space="preserve">左右。表 </w:t>
      </w:r>
      <w:r>
        <w:rPr>
          <w:rFonts w:ascii="Times New Roman" w:hAnsi="Times New Roman" w:eastAsia="Times New Roman" w:cs="Times New Roman"/>
          <w:spacing w:val="8"/>
          <w:sz w:val="23"/>
          <w:szCs w:val="23"/>
        </w:rPr>
        <w:t xml:space="preserve">6-2 </w:t>
      </w:r>
      <w:r>
        <w:rPr>
          <w:rFonts w:ascii="宋体" w:hAnsi="宋体" w:eastAsia="宋体" w:cs="宋体"/>
          <w:spacing w:val="8"/>
          <w:sz w:val="23"/>
          <w:szCs w:val="23"/>
        </w:rPr>
        <w:t>为施工场地洒水</w:t>
      </w:r>
      <w:r>
        <w:rPr>
          <w:rFonts w:ascii="宋体" w:hAnsi="宋体" w:eastAsia="宋体" w:cs="宋体"/>
          <w:spacing w:val="6"/>
          <w:sz w:val="23"/>
          <w:szCs w:val="23"/>
        </w:rPr>
        <w:t>抑</w:t>
      </w:r>
      <w:r>
        <w:rPr>
          <w:rFonts w:ascii="宋体" w:hAnsi="宋体" w:eastAsia="宋体" w:cs="宋体"/>
          <w:sz w:val="23"/>
          <w:szCs w:val="23"/>
        </w:rPr>
        <w:t xml:space="preserve"> </w:t>
      </w:r>
      <w:r>
        <w:rPr>
          <w:rFonts w:ascii="宋体" w:hAnsi="宋体" w:eastAsia="宋体" w:cs="宋体"/>
          <w:spacing w:val="22"/>
          <w:sz w:val="23"/>
          <w:szCs w:val="23"/>
        </w:rPr>
        <w:t>尘</w:t>
      </w:r>
      <w:r>
        <w:rPr>
          <w:rFonts w:ascii="宋体" w:hAnsi="宋体" w:eastAsia="宋体" w:cs="宋体"/>
          <w:spacing w:val="17"/>
          <w:sz w:val="23"/>
          <w:szCs w:val="23"/>
        </w:rPr>
        <w:t>的</w:t>
      </w:r>
      <w:r>
        <w:rPr>
          <w:rFonts w:ascii="宋体" w:hAnsi="宋体" w:eastAsia="宋体" w:cs="宋体"/>
          <w:spacing w:val="11"/>
          <w:sz w:val="23"/>
          <w:szCs w:val="23"/>
        </w:rPr>
        <w:t>试验结果。由该表数据可看出对施工场地实施每天洒水</w:t>
      </w:r>
      <w:r>
        <w:rPr>
          <w:rFonts w:ascii="Times New Roman" w:hAnsi="Times New Roman" w:eastAsia="Times New Roman" w:cs="Times New Roman"/>
          <w:spacing w:val="11"/>
          <w:sz w:val="23"/>
          <w:szCs w:val="23"/>
        </w:rPr>
        <w:t>4</w:t>
      </w:r>
      <w:r>
        <w:rPr>
          <w:rFonts w:ascii="宋体" w:hAnsi="宋体" w:eastAsia="宋体" w:cs="宋体"/>
          <w:spacing w:val="11"/>
          <w:sz w:val="23"/>
          <w:szCs w:val="23"/>
        </w:rPr>
        <w:t>~</w:t>
      </w:r>
      <w:r>
        <w:rPr>
          <w:rFonts w:ascii="Times New Roman" w:hAnsi="Times New Roman" w:eastAsia="Times New Roman" w:cs="Times New Roman"/>
          <w:spacing w:val="11"/>
          <w:sz w:val="23"/>
          <w:szCs w:val="23"/>
        </w:rPr>
        <w:t xml:space="preserve">5 </w:t>
      </w:r>
      <w:r>
        <w:rPr>
          <w:rFonts w:ascii="宋体" w:hAnsi="宋体" w:eastAsia="宋体" w:cs="宋体"/>
          <w:spacing w:val="11"/>
          <w:sz w:val="23"/>
          <w:szCs w:val="23"/>
        </w:rPr>
        <w:t>次进行抑尘，可有</w:t>
      </w:r>
      <w:r>
        <w:rPr>
          <w:rFonts w:ascii="宋体" w:hAnsi="宋体" w:eastAsia="宋体" w:cs="宋体"/>
          <w:sz w:val="23"/>
          <w:szCs w:val="23"/>
        </w:rPr>
        <w:t xml:space="preserve"> </w:t>
      </w:r>
      <w:r>
        <w:rPr>
          <w:rFonts w:ascii="宋体" w:hAnsi="宋体" w:eastAsia="宋体" w:cs="宋体"/>
          <w:spacing w:val="12"/>
          <w:sz w:val="23"/>
          <w:szCs w:val="23"/>
        </w:rPr>
        <w:t>效</w:t>
      </w:r>
      <w:r>
        <w:rPr>
          <w:rFonts w:ascii="宋体" w:hAnsi="宋体" w:eastAsia="宋体" w:cs="宋体"/>
          <w:spacing w:val="11"/>
          <w:sz w:val="23"/>
          <w:szCs w:val="23"/>
        </w:rPr>
        <w:t>地</w:t>
      </w:r>
      <w:r>
        <w:rPr>
          <w:rFonts w:ascii="宋体" w:hAnsi="宋体" w:eastAsia="宋体" w:cs="宋体"/>
          <w:spacing w:val="6"/>
          <w:sz w:val="23"/>
          <w:szCs w:val="23"/>
        </w:rPr>
        <w:t xml:space="preserve">控制施工扬尘，并可将扬尘污染距离缩小到 </w:t>
      </w:r>
      <w:r>
        <w:rPr>
          <w:rFonts w:ascii="Times New Roman" w:hAnsi="Times New Roman" w:eastAsia="Times New Roman" w:cs="Times New Roman"/>
          <w:spacing w:val="6"/>
          <w:sz w:val="23"/>
          <w:szCs w:val="23"/>
        </w:rPr>
        <w:t>20-50</w:t>
      </w:r>
      <w:r>
        <w:rPr>
          <w:rFonts w:ascii="Times New Roman" w:hAnsi="Times New Roman" w:eastAsia="Times New Roman" w:cs="Times New Roman"/>
          <w:sz w:val="23"/>
          <w:szCs w:val="23"/>
        </w:rPr>
        <w:t>m</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范围。</w:t>
      </w:r>
    </w:p>
    <w:p w14:paraId="3DAAB337">
      <w:pPr>
        <w:spacing w:line="321" w:lineRule="exact"/>
        <w:ind w:left="1991"/>
        <w:rPr>
          <w:rFonts w:ascii="黑体" w:hAnsi="黑体" w:eastAsia="黑体" w:cs="黑体"/>
          <w:sz w:val="23"/>
          <w:szCs w:val="23"/>
        </w:rPr>
      </w:pPr>
      <w:r>
        <w:rPr>
          <w:rFonts w:ascii="黑体" w:hAnsi="黑体" w:eastAsia="黑体" w:cs="黑体"/>
          <w:spacing w:val="4"/>
          <w:position w:val="3"/>
          <w:sz w:val="23"/>
          <w:szCs w:val="23"/>
        </w:rPr>
        <w:t xml:space="preserve">表 </w:t>
      </w:r>
      <w:r>
        <w:rPr>
          <w:rFonts w:ascii="Times New Roman" w:hAnsi="Times New Roman" w:eastAsia="Times New Roman" w:cs="Times New Roman"/>
          <w:spacing w:val="4"/>
          <w:position w:val="3"/>
          <w:sz w:val="23"/>
          <w:szCs w:val="23"/>
        </w:rPr>
        <w:t xml:space="preserve">5. 1-3    </w:t>
      </w:r>
      <w:r>
        <w:rPr>
          <w:rFonts w:ascii="黑体" w:hAnsi="黑体" w:eastAsia="黑体" w:cs="黑体"/>
          <w:spacing w:val="2"/>
          <w:position w:val="3"/>
          <w:sz w:val="23"/>
          <w:szCs w:val="23"/>
        </w:rPr>
        <w:t>施工场地洒水抑尘试验结果 (单位：</w:t>
      </w:r>
      <w:r>
        <w:rPr>
          <w:rFonts w:ascii="Times New Roman" w:hAnsi="Times New Roman" w:eastAsia="Times New Roman" w:cs="Times New Roman"/>
          <w:position w:val="3"/>
          <w:sz w:val="23"/>
          <w:szCs w:val="23"/>
        </w:rPr>
        <w:t>mg</w:t>
      </w:r>
      <w:r>
        <w:rPr>
          <w:rFonts w:ascii="Times New Roman" w:hAnsi="Times New Roman" w:eastAsia="Times New Roman" w:cs="Times New Roman"/>
          <w:spacing w:val="2"/>
          <w:position w:val="3"/>
          <w:sz w:val="23"/>
          <w:szCs w:val="23"/>
        </w:rPr>
        <w:t>/</w:t>
      </w:r>
      <w:r>
        <w:rPr>
          <w:rFonts w:ascii="Times New Roman" w:hAnsi="Times New Roman" w:eastAsia="Times New Roman" w:cs="Times New Roman"/>
          <w:position w:val="3"/>
          <w:sz w:val="23"/>
          <w:szCs w:val="23"/>
        </w:rPr>
        <w:t>m</w:t>
      </w:r>
      <w:r>
        <w:rPr>
          <w:rFonts w:ascii="Times New Roman" w:hAnsi="Times New Roman" w:eastAsia="Times New Roman" w:cs="Times New Roman"/>
          <w:spacing w:val="2"/>
          <w:position w:val="11"/>
          <w:sz w:val="15"/>
          <w:szCs w:val="15"/>
        </w:rPr>
        <w:t xml:space="preserve">3 </w:t>
      </w:r>
      <w:r>
        <w:rPr>
          <w:rFonts w:ascii="黑体" w:hAnsi="黑体" w:eastAsia="黑体" w:cs="黑体"/>
          <w:spacing w:val="2"/>
          <w:position w:val="3"/>
          <w:sz w:val="23"/>
          <w:szCs w:val="23"/>
        </w:rPr>
        <w:t>)</w:t>
      </w:r>
    </w:p>
    <w:tbl>
      <w:tblPr>
        <w:tblStyle w:val="4"/>
        <w:tblW w:w="971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85"/>
        <w:gridCol w:w="1709"/>
        <w:gridCol w:w="1221"/>
        <w:gridCol w:w="1421"/>
        <w:gridCol w:w="1220"/>
        <w:gridCol w:w="1455"/>
      </w:tblGrid>
      <w:tr w14:paraId="444666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4394" w:type="dxa"/>
            <w:gridSpan w:val="2"/>
            <w:tcBorders>
              <w:left w:val="nil"/>
              <w:right w:val="single" w:color="000000" w:sz="4" w:space="0"/>
            </w:tcBorders>
          </w:tcPr>
          <w:p w14:paraId="58AA2BAA">
            <w:pPr>
              <w:spacing w:before="87" w:line="228" w:lineRule="auto"/>
              <w:ind w:left="2235"/>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距离</w:t>
            </w:r>
          </w:p>
        </w:tc>
        <w:tc>
          <w:tcPr>
            <w:tcW w:w="1221" w:type="dxa"/>
            <w:tcBorders>
              <w:left w:val="single" w:color="000000" w:sz="4" w:space="0"/>
              <w:right w:val="single" w:color="000000" w:sz="4" w:space="0"/>
            </w:tcBorders>
          </w:tcPr>
          <w:p w14:paraId="1359FBD1">
            <w:pPr>
              <w:spacing w:before="126" w:line="192" w:lineRule="auto"/>
              <w:ind w:left="579"/>
              <w:rPr>
                <w:rFonts w:ascii="Times New Roman" w:hAnsi="Times New Roman" w:eastAsia="Times New Roman" w:cs="Times New Roman"/>
                <w:sz w:val="20"/>
                <w:szCs w:val="20"/>
              </w:rPr>
            </w:pPr>
            <w:r>
              <w:rPr>
                <w:rFonts w:ascii="Times New Roman" w:hAnsi="Times New Roman" w:eastAsia="Times New Roman" w:cs="Times New Roman"/>
                <w:b/>
                <w:bCs/>
                <w:spacing w:val="5"/>
                <w:sz w:val="20"/>
                <w:szCs w:val="20"/>
              </w:rPr>
              <w:t>5</w:t>
            </w:r>
            <w:r>
              <w:rPr>
                <w:rFonts w:ascii="Times New Roman" w:hAnsi="Times New Roman" w:eastAsia="Times New Roman" w:cs="Times New Roman"/>
                <w:b/>
                <w:bCs/>
                <w:sz w:val="20"/>
                <w:szCs w:val="20"/>
              </w:rPr>
              <w:t>m</w:t>
            </w:r>
          </w:p>
        </w:tc>
        <w:tc>
          <w:tcPr>
            <w:tcW w:w="1421" w:type="dxa"/>
            <w:tcBorders>
              <w:left w:val="single" w:color="000000" w:sz="4" w:space="0"/>
              <w:right w:val="single" w:color="000000" w:sz="4" w:space="0"/>
            </w:tcBorders>
          </w:tcPr>
          <w:p w14:paraId="7E1E3958">
            <w:pPr>
              <w:spacing w:before="123" w:line="195" w:lineRule="auto"/>
              <w:ind w:left="520"/>
              <w:rPr>
                <w:rFonts w:ascii="Times New Roman" w:hAnsi="Times New Roman" w:eastAsia="Times New Roman" w:cs="Times New Roman"/>
                <w:sz w:val="20"/>
                <w:szCs w:val="20"/>
              </w:rPr>
            </w:pPr>
            <w:r>
              <w:rPr>
                <w:rFonts w:ascii="Times New Roman" w:hAnsi="Times New Roman" w:eastAsia="Times New Roman" w:cs="Times New Roman"/>
                <w:b/>
                <w:bCs/>
                <w:spacing w:val="7"/>
                <w:sz w:val="20"/>
                <w:szCs w:val="20"/>
              </w:rPr>
              <w:t>2</w:t>
            </w:r>
            <w:r>
              <w:rPr>
                <w:rFonts w:ascii="Times New Roman" w:hAnsi="Times New Roman" w:eastAsia="Times New Roman" w:cs="Times New Roman"/>
                <w:b/>
                <w:bCs/>
                <w:spacing w:val="6"/>
                <w:sz w:val="20"/>
                <w:szCs w:val="20"/>
              </w:rPr>
              <w:t>0</w:t>
            </w:r>
            <w:r>
              <w:rPr>
                <w:rFonts w:ascii="Times New Roman" w:hAnsi="Times New Roman" w:eastAsia="Times New Roman" w:cs="Times New Roman"/>
                <w:b/>
                <w:bCs/>
                <w:sz w:val="20"/>
                <w:szCs w:val="20"/>
              </w:rPr>
              <w:t>m</w:t>
            </w:r>
          </w:p>
        </w:tc>
        <w:tc>
          <w:tcPr>
            <w:tcW w:w="1220" w:type="dxa"/>
            <w:tcBorders>
              <w:left w:val="single" w:color="000000" w:sz="4" w:space="0"/>
              <w:right w:val="single" w:color="000000" w:sz="4" w:space="0"/>
            </w:tcBorders>
          </w:tcPr>
          <w:p w14:paraId="688ADC8D">
            <w:pPr>
              <w:spacing w:before="123" w:line="195" w:lineRule="auto"/>
              <w:ind w:left="421"/>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5</w:t>
            </w:r>
            <w:r>
              <w:rPr>
                <w:rFonts w:ascii="Times New Roman" w:hAnsi="Times New Roman" w:eastAsia="Times New Roman" w:cs="Times New Roman"/>
                <w:b/>
                <w:bCs/>
                <w:spacing w:val="5"/>
                <w:sz w:val="20"/>
                <w:szCs w:val="20"/>
              </w:rPr>
              <w:t>0</w:t>
            </w:r>
            <w:r>
              <w:rPr>
                <w:rFonts w:ascii="Times New Roman" w:hAnsi="Times New Roman" w:eastAsia="Times New Roman" w:cs="Times New Roman"/>
                <w:b/>
                <w:bCs/>
                <w:sz w:val="20"/>
                <w:szCs w:val="20"/>
              </w:rPr>
              <w:t>m</w:t>
            </w:r>
          </w:p>
        </w:tc>
        <w:tc>
          <w:tcPr>
            <w:tcW w:w="1455" w:type="dxa"/>
            <w:tcBorders>
              <w:left w:val="single" w:color="000000" w:sz="4" w:space="0"/>
              <w:right w:val="nil"/>
            </w:tcBorders>
          </w:tcPr>
          <w:p w14:paraId="323C0988">
            <w:pPr>
              <w:spacing w:before="123" w:line="195" w:lineRule="auto"/>
              <w:ind w:left="491"/>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1</w:t>
            </w:r>
            <w:r>
              <w:rPr>
                <w:rFonts w:ascii="Times New Roman" w:hAnsi="Times New Roman" w:eastAsia="Times New Roman" w:cs="Times New Roman"/>
                <w:b/>
                <w:bCs/>
                <w:spacing w:val="3"/>
                <w:sz w:val="20"/>
                <w:szCs w:val="20"/>
              </w:rPr>
              <w:t>00</w:t>
            </w:r>
            <w:r>
              <w:rPr>
                <w:rFonts w:ascii="Times New Roman" w:hAnsi="Times New Roman" w:eastAsia="Times New Roman" w:cs="Times New Roman"/>
                <w:b/>
                <w:bCs/>
                <w:sz w:val="20"/>
                <w:szCs w:val="20"/>
              </w:rPr>
              <w:t>m</w:t>
            </w:r>
          </w:p>
        </w:tc>
      </w:tr>
      <w:tr w14:paraId="1C298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2685" w:type="dxa"/>
            <w:vMerge w:val="restart"/>
            <w:tcBorders>
              <w:left w:val="nil"/>
              <w:bottom w:val="nil"/>
              <w:right w:val="single" w:color="000000" w:sz="4" w:space="0"/>
            </w:tcBorders>
          </w:tcPr>
          <w:p w14:paraId="5BEA0E24">
            <w:pPr>
              <w:spacing w:before="245" w:line="228" w:lineRule="auto"/>
              <w:ind w:left="753"/>
              <w:rPr>
                <w:rFonts w:ascii="宋体" w:hAnsi="宋体" w:eastAsia="宋体" w:cs="宋体"/>
                <w:sz w:val="20"/>
                <w:szCs w:val="20"/>
              </w:rPr>
            </w:pPr>
            <w:r>
              <w:rPr>
                <w:rFonts w:ascii="Times New Roman" w:hAnsi="Times New Roman" w:eastAsia="Times New Roman" w:cs="Times New Roman"/>
                <w:sz w:val="20"/>
                <w:szCs w:val="20"/>
              </w:rPr>
              <w:t>TSP</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小时平均浓</w:t>
            </w:r>
            <w:r>
              <w:rPr>
                <w:rFonts w:ascii="宋体" w:hAnsi="宋体" w:eastAsia="宋体" w:cs="宋体"/>
                <w:spacing w:val="9"/>
                <w:sz w:val="20"/>
                <w:szCs w:val="20"/>
              </w:rPr>
              <w:t>度</w:t>
            </w:r>
          </w:p>
        </w:tc>
        <w:tc>
          <w:tcPr>
            <w:tcW w:w="1709" w:type="dxa"/>
            <w:tcBorders>
              <w:left w:val="single" w:color="000000" w:sz="4" w:space="0"/>
              <w:right w:val="single" w:color="000000" w:sz="4" w:space="0"/>
            </w:tcBorders>
          </w:tcPr>
          <w:p w14:paraId="3D2D5C30">
            <w:pPr>
              <w:spacing w:before="67" w:line="228" w:lineRule="auto"/>
              <w:ind w:left="545"/>
              <w:rPr>
                <w:rFonts w:ascii="宋体" w:hAnsi="宋体" w:eastAsia="宋体" w:cs="宋体"/>
                <w:sz w:val="20"/>
                <w:szCs w:val="20"/>
              </w:rPr>
            </w:pPr>
            <w:r>
              <w:rPr>
                <w:rFonts w:ascii="宋体" w:hAnsi="宋体" w:eastAsia="宋体" w:cs="宋体"/>
                <w:spacing w:val="6"/>
                <w:sz w:val="20"/>
                <w:szCs w:val="20"/>
              </w:rPr>
              <w:t>不洒</w:t>
            </w:r>
            <w:r>
              <w:rPr>
                <w:rFonts w:ascii="宋体" w:hAnsi="宋体" w:eastAsia="宋体" w:cs="宋体"/>
                <w:spacing w:val="5"/>
                <w:sz w:val="20"/>
                <w:szCs w:val="20"/>
              </w:rPr>
              <w:t>水</w:t>
            </w:r>
          </w:p>
        </w:tc>
        <w:tc>
          <w:tcPr>
            <w:tcW w:w="1221" w:type="dxa"/>
            <w:tcBorders>
              <w:left w:val="single" w:color="000000" w:sz="4" w:space="0"/>
              <w:right w:val="single" w:color="000000" w:sz="4" w:space="0"/>
            </w:tcBorders>
          </w:tcPr>
          <w:p w14:paraId="10366080">
            <w:pPr>
              <w:spacing w:before="103" w:line="195" w:lineRule="auto"/>
              <w:ind w:left="392"/>
              <w:rPr>
                <w:rFonts w:ascii="Times New Roman" w:hAnsi="Times New Roman" w:eastAsia="Times New Roman" w:cs="Times New Roman"/>
                <w:sz w:val="20"/>
                <w:szCs w:val="20"/>
              </w:rPr>
            </w:pPr>
            <w:r>
              <w:rPr>
                <w:rFonts w:ascii="Times New Roman" w:hAnsi="Times New Roman" w:eastAsia="Times New Roman" w:cs="Times New Roman"/>
                <w:spacing w:val="-11"/>
                <w:sz w:val="20"/>
                <w:szCs w:val="20"/>
              </w:rPr>
              <w:t>1</w:t>
            </w:r>
            <w:r>
              <w:rPr>
                <w:rFonts w:ascii="Times New Roman" w:hAnsi="Times New Roman" w:eastAsia="Times New Roman" w:cs="Times New Roman"/>
                <w:spacing w:val="-8"/>
                <w:sz w:val="20"/>
                <w:szCs w:val="20"/>
              </w:rPr>
              <w:t>0. 14</w:t>
            </w:r>
          </w:p>
        </w:tc>
        <w:tc>
          <w:tcPr>
            <w:tcW w:w="1421" w:type="dxa"/>
            <w:tcBorders>
              <w:left w:val="single" w:color="000000" w:sz="4" w:space="0"/>
              <w:right w:val="single" w:color="000000" w:sz="4" w:space="0"/>
            </w:tcBorders>
          </w:tcPr>
          <w:p w14:paraId="1120D7C8">
            <w:pPr>
              <w:spacing w:before="103" w:line="198" w:lineRule="auto"/>
              <w:ind w:left="52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.89</w:t>
            </w:r>
          </w:p>
        </w:tc>
        <w:tc>
          <w:tcPr>
            <w:tcW w:w="1220" w:type="dxa"/>
            <w:tcBorders>
              <w:left w:val="single" w:color="000000" w:sz="4" w:space="0"/>
              <w:right w:val="single" w:color="000000" w:sz="4" w:space="0"/>
            </w:tcBorders>
          </w:tcPr>
          <w:p w14:paraId="3402DFDC">
            <w:pPr>
              <w:spacing w:before="103" w:line="195" w:lineRule="auto"/>
              <w:ind w:left="445"/>
              <w:rPr>
                <w:rFonts w:ascii="Times New Roman" w:hAnsi="Times New Roman" w:eastAsia="Times New Roman" w:cs="Times New Roman"/>
                <w:sz w:val="20"/>
                <w:szCs w:val="20"/>
              </w:rPr>
            </w:pPr>
            <w:r>
              <w:rPr>
                <w:rFonts w:ascii="Times New Roman" w:hAnsi="Times New Roman" w:eastAsia="Times New Roman" w:cs="Times New Roman"/>
                <w:spacing w:val="-12"/>
                <w:sz w:val="20"/>
                <w:szCs w:val="20"/>
              </w:rPr>
              <w:t>1</w:t>
            </w:r>
            <w:r>
              <w:rPr>
                <w:rFonts w:ascii="Times New Roman" w:hAnsi="Times New Roman" w:eastAsia="Times New Roman" w:cs="Times New Roman"/>
                <w:spacing w:val="-11"/>
                <w:sz w:val="20"/>
                <w:szCs w:val="20"/>
              </w:rPr>
              <w:t>. 15</w:t>
            </w:r>
          </w:p>
        </w:tc>
        <w:tc>
          <w:tcPr>
            <w:tcW w:w="1455" w:type="dxa"/>
            <w:tcBorders>
              <w:left w:val="single" w:color="000000" w:sz="4" w:space="0"/>
              <w:right w:val="nil"/>
            </w:tcBorders>
          </w:tcPr>
          <w:p w14:paraId="6D52CA58">
            <w:pPr>
              <w:spacing w:before="103" w:line="195" w:lineRule="auto"/>
              <w:ind w:left="5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2"/>
                <w:sz w:val="20"/>
                <w:szCs w:val="20"/>
              </w:rPr>
              <w:t>.86</w:t>
            </w:r>
          </w:p>
        </w:tc>
      </w:tr>
      <w:tr w14:paraId="7557C4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2685" w:type="dxa"/>
            <w:vMerge w:val="continue"/>
            <w:tcBorders>
              <w:top w:val="nil"/>
              <w:left w:val="nil"/>
              <w:right w:val="single" w:color="000000" w:sz="4" w:space="0"/>
            </w:tcBorders>
          </w:tcPr>
          <w:p w14:paraId="7F331240"/>
        </w:tc>
        <w:tc>
          <w:tcPr>
            <w:tcW w:w="1709" w:type="dxa"/>
            <w:tcBorders>
              <w:left w:val="single" w:color="000000" w:sz="4" w:space="0"/>
              <w:right w:val="single" w:color="000000" w:sz="4" w:space="0"/>
            </w:tcBorders>
          </w:tcPr>
          <w:p w14:paraId="65500F18">
            <w:pPr>
              <w:spacing w:before="70" w:line="228" w:lineRule="auto"/>
              <w:ind w:left="650"/>
              <w:rPr>
                <w:rFonts w:ascii="宋体" w:hAnsi="宋体" w:eastAsia="宋体" w:cs="宋体"/>
                <w:sz w:val="20"/>
                <w:szCs w:val="20"/>
              </w:rPr>
            </w:pPr>
            <w:r>
              <w:rPr>
                <w:rFonts w:ascii="宋体" w:hAnsi="宋体" w:eastAsia="宋体" w:cs="宋体"/>
                <w:spacing w:val="4"/>
                <w:sz w:val="20"/>
                <w:szCs w:val="20"/>
              </w:rPr>
              <w:t>洒</w:t>
            </w:r>
            <w:r>
              <w:rPr>
                <w:rFonts w:ascii="宋体" w:hAnsi="宋体" w:eastAsia="宋体" w:cs="宋体"/>
                <w:spacing w:val="3"/>
                <w:sz w:val="20"/>
                <w:szCs w:val="20"/>
              </w:rPr>
              <w:t>水</w:t>
            </w:r>
          </w:p>
        </w:tc>
        <w:tc>
          <w:tcPr>
            <w:tcW w:w="1221" w:type="dxa"/>
            <w:tcBorders>
              <w:left w:val="single" w:color="000000" w:sz="4" w:space="0"/>
              <w:right w:val="single" w:color="000000" w:sz="4" w:space="0"/>
            </w:tcBorders>
          </w:tcPr>
          <w:p w14:paraId="4B5FF0A6">
            <w:pPr>
              <w:spacing w:before="106" w:line="198"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.01</w:t>
            </w:r>
          </w:p>
        </w:tc>
        <w:tc>
          <w:tcPr>
            <w:tcW w:w="1421" w:type="dxa"/>
            <w:tcBorders>
              <w:left w:val="single" w:color="000000" w:sz="4" w:space="0"/>
              <w:right w:val="single" w:color="000000" w:sz="4" w:space="0"/>
            </w:tcBorders>
          </w:tcPr>
          <w:p w14:paraId="3A9FDD7B">
            <w:pPr>
              <w:spacing w:before="106" w:line="198" w:lineRule="auto"/>
              <w:ind w:left="54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1"/>
                <w:sz w:val="20"/>
                <w:szCs w:val="20"/>
              </w:rPr>
              <w:t>40</w:t>
            </w:r>
          </w:p>
        </w:tc>
        <w:tc>
          <w:tcPr>
            <w:tcW w:w="1220" w:type="dxa"/>
            <w:tcBorders>
              <w:left w:val="single" w:color="000000" w:sz="4" w:space="0"/>
              <w:right w:val="single" w:color="000000" w:sz="4" w:space="0"/>
            </w:tcBorders>
          </w:tcPr>
          <w:p w14:paraId="220094F9">
            <w:pPr>
              <w:spacing w:before="107" w:line="195" w:lineRule="auto"/>
              <w:ind w:left="42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2"/>
                <w:sz w:val="20"/>
                <w:szCs w:val="20"/>
              </w:rPr>
              <w:t>.67</w:t>
            </w:r>
          </w:p>
        </w:tc>
        <w:tc>
          <w:tcPr>
            <w:tcW w:w="1455" w:type="dxa"/>
            <w:tcBorders>
              <w:left w:val="single" w:color="000000" w:sz="4" w:space="0"/>
              <w:right w:val="nil"/>
            </w:tcBorders>
          </w:tcPr>
          <w:p w14:paraId="0B5FCD68">
            <w:pPr>
              <w:spacing w:before="107" w:line="195" w:lineRule="auto"/>
              <w:ind w:left="54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2"/>
                <w:sz w:val="20"/>
                <w:szCs w:val="20"/>
              </w:rPr>
              <w:t>.60</w:t>
            </w:r>
          </w:p>
        </w:tc>
      </w:tr>
    </w:tbl>
    <w:p w14:paraId="43092C8B">
      <w:pPr>
        <w:spacing w:before="38" w:line="374" w:lineRule="auto"/>
        <w:ind w:left="532" w:right="521" w:firstLine="480"/>
        <w:rPr>
          <w:rFonts w:ascii="宋体" w:hAnsi="宋体" w:eastAsia="宋体" w:cs="宋体"/>
          <w:sz w:val="23"/>
          <w:szCs w:val="23"/>
        </w:rPr>
      </w:pPr>
      <w:r>
        <w:rPr>
          <w:rFonts w:ascii="宋体" w:hAnsi="宋体" w:eastAsia="宋体" w:cs="宋体"/>
          <w:spacing w:val="20"/>
          <w:sz w:val="23"/>
          <w:szCs w:val="23"/>
        </w:rPr>
        <w:t>施</w:t>
      </w:r>
      <w:r>
        <w:rPr>
          <w:rFonts w:ascii="宋体" w:hAnsi="宋体" w:eastAsia="宋体" w:cs="宋体"/>
          <w:spacing w:val="17"/>
          <w:sz w:val="23"/>
          <w:szCs w:val="23"/>
        </w:rPr>
        <w:t>工</w:t>
      </w:r>
      <w:r>
        <w:rPr>
          <w:rFonts w:ascii="宋体" w:hAnsi="宋体" w:eastAsia="宋体" w:cs="宋体"/>
          <w:spacing w:val="10"/>
          <w:sz w:val="23"/>
          <w:szCs w:val="23"/>
        </w:rPr>
        <w:t>扬尘的另一种重要产生方式是建筑材料的露天堆放和搅拌作业，这类扬尘</w:t>
      </w:r>
      <w:r>
        <w:rPr>
          <w:rFonts w:ascii="宋体" w:hAnsi="宋体" w:eastAsia="宋体" w:cs="宋体"/>
          <w:sz w:val="23"/>
          <w:szCs w:val="23"/>
        </w:rPr>
        <w:t xml:space="preserve"> </w:t>
      </w:r>
      <w:r>
        <w:rPr>
          <w:rFonts w:ascii="宋体" w:hAnsi="宋体" w:eastAsia="宋体" w:cs="宋体"/>
          <w:spacing w:val="20"/>
          <w:sz w:val="23"/>
          <w:szCs w:val="23"/>
        </w:rPr>
        <w:t>的</w:t>
      </w:r>
      <w:r>
        <w:rPr>
          <w:rFonts w:ascii="宋体" w:hAnsi="宋体" w:eastAsia="宋体" w:cs="宋体"/>
          <w:spacing w:val="17"/>
          <w:sz w:val="23"/>
          <w:szCs w:val="23"/>
        </w:rPr>
        <w:t>主</w:t>
      </w:r>
      <w:r>
        <w:rPr>
          <w:rFonts w:ascii="宋体" w:hAnsi="宋体" w:eastAsia="宋体" w:cs="宋体"/>
          <w:spacing w:val="10"/>
          <w:sz w:val="23"/>
          <w:szCs w:val="23"/>
        </w:rPr>
        <w:t>要特点是受作业时风速大小的影响显著。因此，禁止在大风天气时进行此类作</w:t>
      </w:r>
      <w:r>
        <w:rPr>
          <w:rFonts w:ascii="宋体" w:hAnsi="宋体" w:eastAsia="宋体" w:cs="宋体"/>
          <w:sz w:val="23"/>
          <w:szCs w:val="23"/>
        </w:rPr>
        <w:t xml:space="preserve"> </w:t>
      </w:r>
      <w:r>
        <w:rPr>
          <w:rFonts w:ascii="宋体" w:hAnsi="宋体" w:eastAsia="宋体" w:cs="宋体"/>
          <w:spacing w:val="18"/>
          <w:sz w:val="23"/>
          <w:szCs w:val="23"/>
        </w:rPr>
        <w:t>业</w:t>
      </w:r>
      <w:r>
        <w:rPr>
          <w:rFonts w:ascii="宋体" w:hAnsi="宋体" w:eastAsia="宋体" w:cs="宋体"/>
          <w:spacing w:val="12"/>
          <w:sz w:val="23"/>
          <w:szCs w:val="23"/>
        </w:rPr>
        <w:t>以</w:t>
      </w:r>
      <w:r>
        <w:rPr>
          <w:rFonts w:ascii="宋体" w:hAnsi="宋体" w:eastAsia="宋体" w:cs="宋体"/>
          <w:spacing w:val="9"/>
          <w:sz w:val="23"/>
          <w:szCs w:val="23"/>
        </w:rPr>
        <w:t>及减少建筑材料的露天堆放是抑制这类扬尘的一种很有效的手段。</w:t>
      </w:r>
    </w:p>
    <w:p w14:paraId="51FEBA38">
      <w:pPr>
        <w:spacing w:before="1" w:line="375" w:lineRule="auto"/>
        <w:ind w:left="532" w:right="441" w:firstLine="499"/>
        <w:rPr>
          <w:rFonts w:ascii="宋体" w:hAnsi="宋体" w:eastAsia="宋体" w:cs="宋体"/>
          <w:sz w:val="23"/>
          <w:szCs w:val="23"/>
        </w:rPr>
      </w:pPr>
      <w:r>
        <w:rPr>
          <w:rFonts w:ascii="宋体" w:hAnsi="宋体" w:eastAsia="宋体" w:cs="宋体"/>
          <w:spacing w:val="20"/>
          <w:sz w:val="23"/>
          <w:szCs w:val="23"/>
        </w:rPr>
        <w:t>因</w:t>
      </w:r>
      <w:r>
        <w:rPr>
          <w:rFonts w:ascii="宋体" w:hAnsi="宋体" w:eastAsia="宋体" w:cs="宋体"/>
          <w:spacing w:val="14"/>
          <w:sz w:val="23"/>
          <w:szCs w:val="23"/>
        </w:rPr>
        <w:t>此</w:t>
      </w:r>
      <w:r>
        <w:rPr>
          <w:rFonts w:ascii="宋体" w:hAnsi="宋体" w:eastAsia="宋体" w:cs="宋体"/>
          <w:spacing w:val="10"/>
          <w:sz w:val="23"/>
          <w:szCs w:val="23"/>
        </w:rPr>
        <w:t>，项目施工时采取了封闭施工现场、采用密目安全网、定期对地面洒水、</w:t>
      </w:r>
      <w:r>
        <w:rPr>
          <w:rFonts w:ascii="宋体" w:hAnsi="宋体" w:eastAsia="宋体" w:cs="宋体"/>
          <w:sz w:val="23"/>
          <w:szCs w:val="23"/>
        </w:rPr>
        <w:t xml:space="preserve"> </w:t>
      </w:r>
      <w:r>
        <w:rPr>
          <w:rFonts w:ascii="宋体" w:hAnsi="宋体" w:eastAsia="宋体" w:cs="宋体"/>
          <w:spacing w:val="12"/>
          <w:sz w:val="23"/>
          <w:szCs w:val="23"/>
        </w:rPr>
        <w:t>对</w:t>
      </w:r>
      <w:r>
        <w:rPr>
          <w:rFonts w:ascii="宋体" w:hAnsi="宋体" w:eastAsia="宋体" w:cs="宋体"/>
          <w:spacing w:val="6"/>
          <w:sz w:val="23"/>
          <w:szCs w:val="23"/>
        </w:rPr>
        <w:t>撒落在路面的渣土及时清除、施工现场主要运输道路尽量采用硬化路面、自卸车、</w:t>
      </w:r>
      <w:r>
        <w:rPr>
          <w:rFonts w:ascii="宋体" w:hAnsi="宋体" w:eastAsia="宋体" w:cs="宋体"/>
          <w:sz w:val="23"/>
          <w:szCs w:val="23"/>
        </w:rPr>
        <w:t xml:space="preserve"> </w:t>
      </w:r>
      <w:r>
        <w:rPr>
          <w:rFonts w:ascii="宋体" w:hAnsi="宋体" w:eastAsia="宋体" w:cs="宋体"/>
          <w:spacing w:val="20"/>
          <w:sz w:val="23"/>
          <w:szCs w:val="23"/>
        </w:rPr>
        <w:t>垃</w:t>
      </w:r>
      <w:r>
        <w:rPr>
          <w:rFonts w:ascii="宋体" w:hAnsi="宋体" w:eastAsia="宋体" w:cs="宋体"/>
          <w:spacing w:val="17"/>
          <w:sz w:val="23"/>
          <w:szCs w:val="23"/>
        </w:rPr>
        <w:t>圾</w:t>
      </w:r>
      <w:r>
        <w:rPr>
          <w:rFonts w:ascii="宋体" w:hAnsi="宋体" w:eastAsia="宋体" w:cs="宋体"/>
          <w:spacing w:val="10"/>
          <w:sz w:val="23"/>
          <w:szCs w:val="23"/>
        </w:rPr>
        <w:t>运输车等运输车辆不允许超载，出场前一律清洗轮胎，用毡布覆盖，并且在施</w:t>
      </w:r>
      <w:r>
        <w:rPr>
          <w:rFonts w:ascii="宋体" w:hAnsi="宋体" w:eastAsia="宋体" w:cs="宋体"/>
          <w:sz w:val="23"/>
          <w:szCs w:val="23"/>
        </w:rPr>
        <w:t xml:space="preserve"> </w:t>
      </w:r>
      <w:r>
        <w:rPr>
          <w:rFonts w:ascii="宋体" w:hAnsi="宋体" w:eastAsia="宋体" w:cs="宋体"/>
          <w:spacing w:val="18"/>
          <w:sz w:val="23"/>
          <w:szCs w:val="23"/>
        </w:rPr>
        <w:t>工</w:t>
      </w:r>
      <w:r>
        <w:rPr>
          <w:rFonts w:ascii="宋体" w:hAnsi="宋体" w:eastAsia="宋体" w:cs="宋体"/>
          <w:spacing w:val="17"/>
          <w:sz w:val="23"/>
          <w:szCs w:val="23"/>
        </w:rPr>
        <w:t>区</w:t>
      </w:r>
      <w:r>
        <w:rPr>
          <w:rFonts w:ascii="宋体" w:hAnsi="宋体" w:eastAsia="宋体" w:cs="宋体"/>
          <w:spacing w:val="9"/>
          <w:sz w:val="23"/>
          <w:szCs w:val="23"/>
        </w:rPr>
        <w:t>出口设置防尘飞扬垫等一系列措施，大大减少了施工扬尘对环境空气的影响。</w:t>
      </w:r>
    </w:p>
    <w:p w14:paraId="343ADB7F">
      <w:pPr>
        <w:spacing w:line="226" w:lineRule="auto"/>
        <w:ind w:left="1013"/>
        <w:rPr>
          <w:rFonts w:ascii="宋体" w:hAnsi="宋体" w:eastAsia="宋体" w:cs="宋体"/>
          <w:sz w:val="23"/>
          <w:szCs w:val="23"/>
        </w:rPr>
      </w:pPr>
      <w:r>
        <w:rPr>
          <w:rFonts w:ascii="宋体" w:hAnsi="宋体" w:eastAsia="宋体" w:cs="宋体"/>
          <w:spacing w:val="18"/>
          <w:sz w:val="23"/>
          <w:szCs w:val="23"/>
        </w:rPr>
        <w:t>通过</w:t>
      </w:r>
      <w:r>
        <w:rPr>
          <w:rFonts w:ascii="宋体" w:hAnsi="宋体" w:eastAsia="宋体" w:cs="宋体"/>
          <w:spacing w:val="15"/>
          <w:sz w:val="23"/>
          <w:szCs w:val="23"/>
        </w:rPr>
        <w:t>资</w:t>
      </w:r>
      <w:r>
        <w:rPr>
          <w:rFonts w:ascii="宋体" w:hAnsi="宋体" w:eastAsia="宋体" w:cs="宋体"/>
          <w:spacing w:val="9"/>
          <w:sz w:val="23"/>
          <w:szCs w:val="23"/>
        </w:rPr>
        <w:t>料查询及类比分析项目施工场地在采取防尘措施前后影响范围具体见表</w:t>
      </w:r>
    </w:p>
    <w:p w14:paraId="51037938">
      <w:pPr>
        <w:spacing w:before="225" w:line="186" w:lineRule="auto"/>
        <w:ind w:left="535"/>
        <w:rPr>
          <w:rFonts w:ascii="宋体" w:hAnsi="宋体" w:eastAsia="宋体" w:cs="宋体"/>
          <w:sz w:val="23"/>
          <w:szCs w:val="23"/>
        </w:rPr>
      </w:pPr>
      <w:r>
        <w:rPr>
          <w:rFonts w:ascii="Times New Roman" w:hAnsi="Times New Roman" w:eastAsia="Times New Roman" w:cs="Times New Roman"/>
          <w:spacing w:val="-7"/>
          <w:sz w:val="23"/>
          <w:szCs w:val="23"/>
        </w:rPr>
        <w:t>5. 1-4</w:t>
      </w:r>
      <w:r>
        <w:rPr>
          <w:rFonts w:ascii="宋体" w:hAnsi="宋体" w:eastAsia="宋体" w:cs="宋体"/>
          <w:spacing w:val="-7"/>
          <w:sz w:val="23"/>
          <w:szCs w:val="23"/>
        </w:rPr>
        <w:t>。</w:t>
      </w:r>
    </w:p>
    <w:p w14:paraId="0D4E2A45">
      <w:pPr>
        <w:spacing w:before="149" w:line="322" w:lineRule="exact"/>
        <w:ind w:left="1724"/>
        <w:rPr>
          <w:rFonts w:ascii="黑体" w:hAnsi="黑体" w:eastAsia="黑体" w:cs="黑体"/>
          <w:sz w:val="23"/>
          <w:szCs w:val="23"/>
        </w:rPr>
      </w:pPr>
      <w:r>
        <w:rPr>
          <w:rFonts w:ascii="黑体" w:hAnsi="黑体" w:eastAsia="黑体" w:cs="黑体"/>
          <w:spacing w:val="2"/>
          <w:position w:val="3"/>
          <w:sz w:val="23"/>
          <w:szCs w:val="23"/>
        </w:rPr>
        <w:t xml:space="preserve">表 </w:t>
      </w:r>
      <w:r>
        <w:rPr>
          <w:rFonts w:ascii="Times New Roman" w:hAnsi="Times New Roman" w:eastAsia="Times New Roman" w:cs="Times New Roman"/>
          <w:spacing w:val="2"/>
          <w:position w:val="3"/>
          <w:sz w:val="23"/>
          <w:szCs w:val="23"/>
        </w:rPr>
        <w:t xml:space="preserve">5. 1-4    </w:t>
      </w:r>
      <w:r>
        <w:rPr>
          <w:rFonts w:ascii="黑体" w:hAnsi="黑体" w:eastAsia="黑体" w:cs="黑体"/>
          <w:spacing w:val="2"/>
          <w:position w:val="3"/>
          <w:sz w:val="23"/>
          <w:szCs w:val="23"/>
        </w:rPr>
        <w:t>施工现场扬尘治理前后</w:t>
      </w:r>
      <w:r>
        <w:rPr>
          <w:rFonts w:ascii="黑体" w:hAnsi="黑体" w:eastAsia="黑体" w:cs="黑体"/>
          <w:spacing w:val="1"/>
          <w:position w:val="3"/>
          <w:sz w:val="23"/>
          <w:szCs w:val="23"/>
        </w:rPr>
        <w:t xml:space="preserve"> </w:t>
      </w:r>
      <w:r>
        <w:rPr>
          <w:rFonts w:ascii="Times New Roman" w:hAnsi="Times New Roman" w:eastAsia="Times New Roman" w:cs="Times New Roman"/>
          <w:position w:val="3"/>
          <w:sz w:val="23"/>
          <w:szCs w:val="23"/>
        </w:rPr>
        <w:t>TSP</w:t>
      </w:r>
      <w:r>
        <w:rPr>
          <w:rFonts w:ascii="Times New Roman" w:hAnsi="Times New Roman" w:eastAsia="Times New Roman" w:cs="Times New Roman"/>
          <w:spacing w:val="1"/>
          <w:position w:val="3"/>
          <w:sz w:val="23"/>
          <w:szCs w:val="23"/>
        </w:rPr>
        <w:t xml:space="preserve"> </w:t>
      </w:r>
      <w:r>
        <w:rPr>
          <w:rFonts w:ascii="黑体" w:hAnsi="黑体" w:eastAsia="黑体" w:cs="黑体"/>
          <w:spacing w:val="1"/>
          <w:position w:val="3"/>
          <w:sz w:val="23"/>
          <w:szCs w:val="23"/>
        </w:rPr>
        <w:t>浓度 (单位：</w:t>
      </w:r>
      <w:r>
        <w:rPr>
          <w:rFonts w:ascii="Times New Roman" w:hAnsi="Times New Roman" w:eastAsia="Times New Roman" w:cs="Times New Roman"/>
          <w:position w:val="3"/>
          <w:sz w:val="23"/>
          <w:szCs w:val="23"/>
        </w:rPr>
        <w:t>mg</w:t>
      </w:r>
      <w:r>
        <w:rPr>
          <w:rFonts w:ascii="Times New Roman" w:hAnsi="Times New Roman" w:eastAsia="Times New Roman" w:cs="Times New Roman"/>
          <w:spacing w:val="1"/>
          <w:position w:val="3"/>
          <w:sz w:val="23"/>
          <w:szCs w:val="23"/>
        </w:rPr>
        <w:t>/</w:t>
      </w:r>
      <w:r>
        <w:rPr>
          <w:rFonts w:ascii="Times New Roman" w:hAnsi="Times New Roman" w:eastAsia="Times New Roman" w:cs="Times New Roman"/>
          <w:position w:val="3"/>
          <w:sz w:val="23"/>
          <w:szCs w:val="23"/>
        </w:rPr>
        <w:t>m</w:t>
      </w:r>
      <w:r>
        <w:rPr>
          <w:rFonts w:ascii="Times New Roman" w:hAnsi="Times New Roman" w:eastAsia="Times New Roman" w:cs="Times New Roman"/>
          <w:spacing w:val="1"/>
          <w:position w:val="11"/>
          <w:sz w:val="15"/>
          <w:szCs w:val="15"/>
        </w:rPr>
        <w:t xml:space="preserve">3 </w:t>
      </w:r>
      <w:r>
        <w:rPr>
          <w:rFonts w:ascii="黑体" w:hAnsi="黑体" w:eastAsia="黑体" w:cs="黑体"/>
          <w:spacing w:val="1"/>
          <w:position w:val="3"/>
          <w:sz w:val="23"/>
          <w:szCs w:val="23"/>
        </w:rPr>
        <w:t>)</w:t>
      </w:r>
    </w:p>
    <w:tbl>
      <w:tblPr>
        <w:tblStyle w:val="4"/>
        <w:tblW w:w="971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83"/>
        <w:gridCol w:w="1825"/>
        <w:gridCol w:w="1068"/>
        <w:gridCol w:w="616"/>
        <w:gridCol w:w="678"/>
        <w:gridCol w:w="620"/>
        <w:gridCol w:w="825"/>
        <w:gridCol w:w="648"/>
        <w:gridCol w:w="745"/>
        <w:gridCol w:w="803"/>
      </w:tblGrid>
      <w:tr w14:paraId="2DC0C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1883" w:type="dxa"/>
            <w:vMerge w:val="restart"/>
            <w:tcBorders>
              <w:left w:val="nil"/>
              <w:bottom w:val="nil"/>
              <w:right w:val="single" w:color="000000" w:sz="4" w:space="0"/>
            </w:tcBorders>
          </w:tcPr>
          <w:p w14:paraId="0AB85324">
            <w:pPr>
              <w:spacing w:before="220" w:line="228" w:lineRule="auto"/>
              <w:ind w:left="529"/>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产</w:t>
            </w:r>
            <w:r>
              <w:rPr>
                <w:rFonts w:ascii="宋体" w:hAnsi="宋体" w:eastAsia="宋体" w:cs="宋体"/>
                <w:spacing w:val="8"/>
                <w:sz w:val="20"/>
                <w:szCs w:val="20"/>
                <w14:textOutline w14:w="3797" w14:cap="sq" w14:cmpd="sng" w14:algn="ctr">
                  <w14:solidFill>
                    <w14:srgbClr w14:val="000000"/>
                  </w14:solidFill>
                  <w14:prstDash w14:val="solid"/>
                  <w14:bevel/>
                </w14:textOutline>
              </w:rPr>
              <w:t>尘位置</w:t>
            </w:r>
          </w:p>
        </w:tc>
        <w:tc>
          <w:tcPr>
            <w:tcW w:w="1825" w:type="dxa"/>
            <w:vMerge w:val="restart"/>
            <w:tcBorders>
              <w:left w:val="single" w:color="000000" w:sz="4" w:space="0"/>
              <w:bottom w:val="nil"/>
              <w:right w:val="single" w:color="000000" w:sz="4" w:space="0"/>
            </w:tcBorders>
          </w:tcPr>
          <w:p w14:paraId="5C5A36C9">
            <w:pPr>
              <w:spacing w:before="220" w:line="228" w:lineRule="auto"/>
              <w:ind w:left="494"/>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产</w:t>
            </w:r>
            <w:r>
              <w:rPr>
                <w:rFonts w:ascii="宋体" w:hAnsi="宋体" w:eastAsia="宋体" w:cs="宋体"/>
                <w:spacing w:val="8"/>
                <w:sz w:val="20"/>
                <w:szCs w:val="20"/>
                <w14:textOutline w14:w="3797" w14:cap="sq" w14:cmpd="sng" w14:algn="ctr">
                  <w14:solidFill>
                    <w14:srgbClr w14:val="000000"/>
                  </w14:solidFill>
                  <w14:prstDash w14:val="solid"/>
                  <w14:bevel/>
                </w14:textOutline>
              </w:rPr>
              <w:t>尘因素</w:t>
            </w:r>
          </w:p>
        </w:tc>
        <w:tc>
          <w:tcPr>
            <w:tcW w:w="1068" w:type="dxa"/>
            <w:vMerge w:val="restart"/>
            <w:tcBorders>
              <w:left w:val="single" w:color="000000" w:sz="4" w:space="0"/>
              <w:bottom w:val="nil"/>
              <w:right w:val="single" w:color="000000" w:sz="4" w:space="0"/>
            </w:tcBorders>
          </w:tcPr>
          <w:p w14:paraId="0BF4AB64">
            <w:pPr>
              <w:spacing w:before="221" w:line="228" w:lineRule="auto"/>
              <w:ind w:left="121"/>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治</w:t>
            </w:r>
            <w:r>
              <w:rPr>
                <w:rFonts w:ascii="宋体" w:hAnsi="宋体" w:eastAsia="宋体" w:cs="宋体"/>
                <w:spacing w:val="7"/>
                <w:sz w:val="20"/>
                <w:szCs w:val="20"/>
                <w14:textOutline w14:w="3797" w14:cap="sq" w14:cmpd="sng" w14:algn="ctr">
                  <w14:solidFill>
                    <w14:srgbClr w14:val="000000"/>
                  </w14:solidFill>
                  <w14:prstDash w14:val="solid"/>
                  <w14:bevel/>
                </w14:textOutline>
              </w:rPr>
              <w:t>理前后</w:t>
            </w:r>
          </w:p>
        </w:tc>
        <w:tc>
          <w:tcPr>
            <w:tcW w:w="4935" w:type="dxa"/>
            <w:gridSpan w:val="7"/>
            <w:tcBorders>
              <w:left w:val="single" w:color="000000" w:sz="4" w:space="0"/>
              <w:right w:val="nil"/>
            </w:tcBorders>
          </w:tcPr>
          <w:p w14:paraId="445FE429">
            <w:pPr>
              <w:spacing w:before="55" w:line="228" w:lineRule="auto"/>
              <w:ind w:left="1438"/>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距施工场</w:t>
            </w:r>
            <w:r>
              <w:rPr>
                <w:rFonts w:ascii="宋体" w:hAnsi="宋体" w:eastAsia="宋体" w:cs="宋体"/>
                <w:spacing w:val="-2"/>
                <w:sz w:val="20"/>
                <w:szCs w:val="20"/>
                <w14:textOutline w14:w="3797" w14:cap="sq" w14:cmpd="sng" w14:algn="ctr">
                  <w14:solidFill>
                    <w14:srgbClr w14:val="000000"/>
                  </w14:solidFill>
                  <w14:prstDash w14:val="solid"/>
                  <w14:bevel/>
                </w14:textOutline>
              </w:rPr>
              <w:t>界距离</w:t>
            </w:r>
            <w:r>
              <w:rPr>
                <w:rFonts w:ascii="宋体" w:hAnsi="宋体" w:eastAsia="宋体" w:cs="宋体"/>
                <w:spacing w:val="-2"/>
                <w:sz w:val="20"/>
                <w:szCs w:val="20"/>
              </w:rPr>
              <w:t xml:space="preserve"> </w:t>
            </w:r>
            <w:r>
              <w:rPr>
                <w:rFonts w:ascii="宋体" w:hAnsi="宋体" w:eastAsia="宋体" w:cs="宋体"/>
                <w:spacing w:val="-2"/>
                <w:sz w:val="20"/>
                <w:szCs w:val="20"/>
                <w14:textOutline w14:w="3797" w14:cap="sq" w14:cmpd="sng" w14:algn="ctr">
                  <w14:solidFill>
                    <w14:srgbClr w14:val="000000"/>
                  </w14:solidFill>
                  <w14:prstDash w14:val="solid"/>
                  <w14:bevel/>
                </w14:textOutline>
              </w:rPr>
              <w:t>(</w:t>
            </w:r>
            <w:r>
              <w:rPr>
                <w:rFonts w:ascii="宋体" w:hAnsi="宋体" w:eastAsia="宋体" w:cs="宋体"/>
                <w:spacing w:val="-2"/>
                <w:sz w:val="20"/>
                <w:szCs w:val="20"/>
              </w:rPr>
              <w:t xml:space="preserve"> </w:t>
            </w:r>
            <w:r>
              <w:rPr>
                <w:rFonts w:ascii="Times New Roman" w:hAnsi="Times New Roman" w:eastAsia="Times New Roman" w:cs="Times New Roman"/>
                <w:b/>
                <w:bCs/>
                <w:spacing w:val="-2"/>
                <w:sz w:val="20"/>
                <w:szCs w:val="20"/>
              </w:rPr>
              <w:t>m</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14:textOutline w14:w="3797" w14:cap="sq" w14:cmpd="sng" w14:algn="ctr">
                  <w14:solidFill>
                    <w14:srgbClr w14:val="000000"/>
                  </w14:solidFill>
                  <w14:prstDash w14:val="solid"/>
                  <w14:bevel/>
                </w14:textOutline>
              </w:rPr>
              <w:t>)</w:t>
            </w:r>
          </w:p>
        </w:tc>
      </w:tr>
      <w:tr w14:paraId="6247B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1883" w:type="dxa"/>
            <w:vMerge w:val="continue"/>
            <w:tcBorders>
              <w:top w:val="nil"/>
              <w:left w:val="nil"/>
              <w:right w:val="single" w:color="000000" w:sz="4" w:space="0"/>
            </w:tcBorders>
          </w:tcPr>
          <w:p w14:paraId="56D1E574"/>
        </w:tc>
        <w:tc>
          <w:tcPr>
            <w:tcW w:w="1825" w:type="dxa"/>
            <w:vMerge w:val="continue"/>
            <w:tcBorders>
              <w:top w:val="nil"/>
              <w:left w:val="single" w:color="000000" w:sz="4" w:space="0"/>
              <w:right w:val="single" w:color="000000" w:sz="4" w:space="0"/>
            </w:tcBorders>
          </w:tcPr>
          <w:p w14:paraId="4D5C7F69"/>
        </w:tc>
        <w:tc>
          <w:tcPr>
            <w:tcW w:w="1068" w:type="dxa"/>
            <w:vMerge w:val="continue"/>
            <w:tcBorders>
              <w:top w:val="nil"/>
              <w:left w:val="single" w:color="000000" w:sz="4" w:space="0"/>
              <w:right w:val="single" w:color="000000" w:sz="4" w:space="0"/>
            </w:tcBorders>
          </w:tcPr>
          <w:p w14:paraId="7090CB0A"/>
        </w:tc>
        <w:tc>
          <w:tcPr>
            <w:tcW w:w="616" w:type="dxa"/>
            <w:tcBorders>
              <w:left w:val="single" w:color="000000" w:sz="4" w:space="0"/>
              <w:right w:val="single" w:color="000000" w:sz="4" w:space="0"/>
            </w:tcBorders>
          </w:tcPr>
          <w:p w14:paraId="7DCA2E0C">
            <w:pPr>
              <w:spacing w:before="92" w:line="195" w:lineRule="auto"/>
              <w:ind w:left="210"/>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10</w:t>
            </w:r>
          </w:p>
        </w:tc>
        <w:tc>
          <w:tcPr>
            <w:tcW w:w="678" w:type="dxa"/>
            <w:tcBorders>
              <w:left w:val="single" w:color="000000" w:sz="4" w:space="0"/>
              <w:right w:val="single" w:color="000000" w:sz="4" w:space="0"/>
            </w:tcBorders>
          </w:tcPr>
          <w:p w14:paraId="50558675">
            <w:pPr>
              <w:spacing w:before="92" w:line="195" w:lineRule="auto"/>
              <w:ind w:left="232"/>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30</w:t>
            </w:r>
          </w:p>
        </w:tc>
        <w:tc>
          <w:tcPr>
            <w:tcW w:w="620" w:type="dxa"/>
            <w:tcBorders>
              <w:left w:val="single" w:color="000000" w:sz="4" w:space="0"/>
              <w:right w:val="single" w:color="000000" w:sz="4" w:space="0"/>
            </w:tcBorders>
          </w:tcPr>
          <w:p w14:paraId="7C141955">
            <w:pPr>
              <w:spacing w:before="92" w:line="195" w:lineRule="auto"/>
              <w:ind w:left="206"/>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50</w:t>
            </w:r>
          </w:p>
        </w:tc>
        <w:tc>
          <w:tcPr>
            <w:tcW w:w="825" w:type="dxa"/>
            <w:tcBorders>
              <w:left w:val="single" w:color="000000" w:sz="4" w:space="0"/>
              <w:right w:val="single" w:color="000000" w:sz="4" w:space="0"/>
            </w:tcBorders>
          </w:tcPr>
          <w:p w14:paraId="2A1CC220">
            <w:pPr>
              <w:spacing w:before="92" w:line="195" w:lineRule="auto"/>
              <w:ind w:left="262"/>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00</w:t>
            </w:r>
          </w:p>
        </w:tc>
        <w:tc>
          <w:tcPr>
            <w:tcW w:w="648" w:type="dxa"/>
            <w:tcBorders>
              <w:left w:val="single" w:color="000000" w:sz="4" w:space="0"/>
              <w:right w:val="single" w:color="000000" w:sz="4" w:space="0"/>
            </w:tcBorders>
          </w:tcPr>
          <w:p w14:paraId="2C4FFD00">
            <w:pPr>
              <w:spacing w:before="92" w:line="195" w:lineRule="auto"/>
              <w:ind w:left="174"/>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50</w:t>
            </w:r>
          </w:p>
        </w:tc>
        <w:tc>
          <w:tcPr>
            <w:tcW w:w="745" w:type="dxa"/>
            <w:tcBorders>
              <w:left w:val="single" w:color="000000" w:sz="4" w:space="0"/>
              <w:right w:val="single" w:color="000000" w:sz="4" w:space="0"/>
            </w:tcBorders>
          </w:tcPr>
          <w:p w14:paraId="13A9A565">
            <w:pPr>
              <w:spacing w:before="92" w:line="195" w:lineRule="auto"/>
              <w:ind w:left="216"/>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w:t>
            </w:r>
            <w:r>
              <w:rPr>
                <w:rFonts w:ascii="Times New Roman" w:hAnsi="Times New Roman" w:eastAsia="Times New Roman" w:cs="Times New Roman"/>
                <w:b/>
                <w:bCs/>
                <w:spacing w:val="3"/>
                <w:sz w:val="20"/>
                <w:szCs w:val="20"/>
              </w:rPr>
              <w:t>00</w:t>
            </w:r>
          </w:p>
        </w:tc>
        <w:tc>
          <w:tcPr>
            <w:tcW w:w="803" w:type="dxa"/>
            <w:tcBorders>
              <w:left w:val="single" w:color="000000" w:sz="4" w:space="0"/>
              <w:right w:val="nil"/>
            </w:tcBorders>
          </w:tcPr>
          <w:p w14:paraId="6E3AD69A">
            <w:pPr>
              <w:spacing w:before="92" w:line="195" w:lineRule="auto"/>
              <w:ind w:left="244"/>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4</w:t>
            </w:r>
            <w:r>
              <w:rPr>
                <w:rFonts w:ascii="Times New Roman" w:hAnsi="Times New Roman" w:eastAsia="Times New Roman" w:cs="Times New Roman"/>
                <w:b/>
                <w:bCs/>
                <w:spacing w:val="3"/>
                <w:sz w:val="20"/>
                <w:szCs w:val="20"/>
              </w:rPr>
              <w:t>00</w:t>
            </w:r>
          </w:p>
        </w:tc>
      </w:tr>
      <w:tr w14:paraId="4BC92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883" w:type="dxa"/>
            <w:tcBorders>
              <w:left w:val="nil"/>
              <w:right w:val="single" w:color="000000" w:sz="4" w:space="0"/>
            </w:tcBorders>
          </w:tcPr>
          <w:p w14:paraId="73C3E21C">
            <w:pPr>
              <w:spacing w:before="99" w:line="228" w:lineRule="auto"/>
              <w:ind w:left="116"/>
              <w:rPr>
                <w:rFonts w:ascii="宋体" w:hAnsi="宋体" w:eastAsia="宋体" w:cs="宋体"/>
                <w:sz w:val="20"/>
                <w:szCs w:val="20"/>
              </w:rPr>
            </w:pPr>
            <w:r>
              <w:rPr>
                <w:rFonts w:ascii="宋体" w:hAnsi="宋体" w:eastAsia="宋体" w:cs="宋体"/>
                <w:spacing w:val="11"/>
                <w:sz w:val="20"/>
                <w:szCs w:val="20"/>
              </w:rPr>
              <w:t>运</w:t>
            </w:r>
            <w:r>
              <w:rPr>
                <w:rFonts w:ascii="宋体" w:hAnsi="宋体" w:eastAsia="宋体" w:cs="宋体"/>
                <w:spacing w:val="7"/>
                <w:sz w:val="20"/>
                <w:szCs w:val="20"/>
              </w:rPr>
              <w:t>输沿线料场、弃</w:t>
            </w:r>
          </w:p>
        </w:tc>
        <w:tc>
          <w:tcPr>
            <w:tcW w:w="1825" w:type="dxa"/>
            <w:tcBorders>
              <w:left w:val="single" w:color="000000" w:sz="4" w:space="0"/>
              <w:right w:val="single" w:color="000000" w:sz="4" w:space="0"/>
            </w:tcBorders>
          </w:tcPr>
          <w:p w14:paraId="3CC64136">
            <w:pPr>
              <w:spacing w:before="100" w:line="229" w:lineRule="auto"/>
              <w:ind w:left="111"/>
              <w:rPr>
                <w:rFonts w:ascii="宋体" w:hAnsi="宋体" w:eastAsia="宋体" w:cs="宋体"/>
                <w:sz w:val="20"/>
                <w:szCs w:val="20"/>
              </w:rPr>
            </w:pPr>
            <w:r>
              <w:rPr>
                <w:rFonts w:ascii="宋体" w:hAnsi="宋体" w:eastAsia="宋体" w:cs="宋体"/>
                <w:spacing w:val="-12"/>
                <w:sz w:val="20"/>
                <w:szCs w:val="20"/>
              </w:rPr>
              <w:t>开挖、拌和、建材</w:t>
            </w:r>
            <w:r>
              <w:rPr>
                <w:rFonts w:ascii="宋体" w:hAnsi="宋体" w:eastAsia="宋体" w:cs="宋体"/>
                <w:spacing w:val="-11"/>
                <w:sz w:val="20"/>
                <w:szCs w:val="20"/>
              </w:rPr>
              <w:t>、</w:t>
            </w:r>
          </w:p>
        </w:tc>
        <w:tc>
          <w:tcPr>
            <w:tcW w:w="1068" w:type="dxa"/>
            <w:tcBorders>
              <w:left w:val="single" w:color="000000" w:sz="4" w:space="0"/>
              <w:right w:val="single" w:color="000000" w:sz="4" w:space="0"/>
            </w:tcBorders>
          </w:tcPr>
          <w:p w14:paraId="1CC083F8">
            <w:pPr>
              <w:spacing w:before="99" w:line="230" w:lineRule="auto"/>
              <w:ind w:left="227"/>
              <w:rPr>
                <w:rFonts w:ascii="宋体" w:hAnsi="宋体" w:eastAsia="宋体" w:cs="宋体"/>
                <w:sz w:val="20"/>
                <w:szCs w:val="20"/>
              </w:rPr>
            </w:pPr>
            <w:r>
              <w:rPr>
                <w:rFonts w:ascii="宋体" w:hAnsi="宋体" w:eastAsia="宋体" w:cs="宋体"/>
                <w:spacing w:val="5"/>
                <w:sz w:val="20"/>
                <w:szCs w:val="20"/>
              </w:rPr>
              <w:t>治理前</w:t>
            </w:r>
          </w:p>
        </w:tc>
        <w:tc>
          <w:tcPr>
            <w:tcW w:w="616" w:type="dxa"/>
            <w:tcBorders>
              <w:left w:val="single" w:color="000000" w:sz="4" w:space="0"/>
              <w:right w:val="single" w:color="000000" w:sz="4" w:space="0"/>
            </w:tcBorders>
          </w:tcPr>
          <w:p w14:paraId="20938249">
            <w:pPr>
              <w:spacing w:before="226" w:line="136" w:lineRule="exact"/>
              <w:ind w:left="275"/>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678" w:type="dxa"/>
            <w:tcBorders>
              <w:left w:val="single" w:color="000000" w:sz="4" w:space="0"/>
              <w:right w:val="single" w:color="000000" w:sz="4" w:space="0"/>
            </w:tcBorders>
          </w:tcPr>
          <w:p w14:paraId="55F9DF0B">
            <w:pPr>
              <w:spacing w:before="226" w:line="136" w:lineRule="exact"/>
              <w:ind w:left="307"/>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620" w:type="dxa"/>
            <w:tcBorders>
              <w:left w:val="single" w:color="000000" w:sz="4" w:space="0"/>
              <w:right w:val="single" w:color="000000" w:sz="4" w:space="0"/>
            </w:tcBorders>
          </w:tcPr>
          <w:p w14:paraId="6DEE8F7F">
            <w:pPr>
              <w:spacing w:before="138" w:line="195" w:lineRule="auto"/>
              <w:ind w:left="18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8.0</w:t>
            </w:r>
          </w:p>
        </w:tc>
        <w:tc>
          <w:tcPr>
            <w:tcW w:w="825" w:type="dxa"/>
            <w:tcBorders>
              <w:left w:val="single" w:color="000000" w:sz="4" w:space="0"/>
              <w:right w:val="single" w:color="000000" w:sz="4" w:space="0"/>
            </w:tcBorders>
          </w:tcPr>
          <w:p w14:paraId="7403E78E">
            <w:pPr>
              <w:spacing w:before="138" w:line="198" w:lineRule="auto"/>
              <w:ind w:left="27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2.3</w:t>
            </w:r>
          </w:p>
        </w:tc>
        <w:tc>
          <w:tcPr>
            <w:tcW w:w="648" w:type="dxa"/>
            <w:tcBorders>
              <w:left w:val="single" w:color="000000" w:sz="4" w:space="0"/>
              <w:right w:val="single" w:color="000000" w:sz="4" w:space="0"/>
            </w:tcBorders>
          </w:tcPr>
          <w:p w14:paraId="54D72C7E">
            <w:pPr>
              <w:spacing w:before="138" w:line="198" w:lineRule="auto"/>
              <w:ind w:left="21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w:t>
            </w:r>
          </w:p>
        </w:tc>
        <w:tc>
          <w:tcPr>
            <w:tcW w:w="745" w:type="dxa"/>
            <w:tcBorders>
              <w:left w:val="single" w:color="000000" w:sz="4" w:space="0"/>
              <w:right w:val="single" w:color="000000" w:sz="4" w:space="0"/>
            </w:tcBorders>
          </w:tcPr>
          <w:p w14:paraId="5DD2CBFE">
            <w:pPr>
              <w:spacing w:before="138" w:line="195" w:lineRule="auto"/>
              <w:ind w:left="24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.5</w:t>
            </w:r>
          </w:p>
        </w:tc>
        <w:tc>
          <w:tcPr>
            <w:tcW w:w="803" w:type="dxa"/>
            <w:tcBorders>
              <w:left w:val="single" w:color="000000" w:sz="4" w:space="0"/>
              <w:right w:val="nil"/>
            </w:tcBorders>
          </w:tcPr>
          <w:p w14:paraId="7AE8B087">
            <w:pPr>
              <w:spacing w:before="138" w:line="195" w:lineRule="auto"/>
              <w:ind w:left="27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0.3</w:t>
            </w:r>
          </w:p>
        </w:tc>
      </w:tr>
    </w:tbl>
    <w:p w14:paraId="7E39B0E4"/>
    <w:p w14:paraId="0644151D">
      <w:pPr>
        <w:sectPr>
          <w:footerReference r:id="rId177" w:type="default"/>
          <w:pgSz w:w="11907" w:h="16840"/>
          <w:pgMar w:top="400" w:right="1057" w:bottom="1485" w:left="1136" w:header="0" w:footer="1298" w:gutter="0"/>
          <w:cols w:space="720" w:num="1"/>
        </w:sectPr>
      </w:pPr>
    </w:p>
    <w:p w14:paraId="7CEABDCB">
      <w:pPr>
        <w:spacing w:line="460" w:lineRule="auto"/>
      </w:pPr>
    </w:p>
    <w:p w14:paraId="548000CB">
      <w:pPr>
        <w:spacing w:before="56" w:line="229" w:lineRule="auto"/>
        <w:ind w:left="530"/>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4DAB42E3">
      <w:pPr>
        <w:spacing w:line="14" w:lineRule="exact"/>
      </w:pPr>
    </w:p>
    <w:tbl>
      <w:tblPr>
        <w:tblStyle w:val="4"/>
        <w:tblW w:w="971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83"/>
        <w:gridCol w:w="1825"/>
        <w:gridCol w:w="1068"/>
        <w:gridCol w:w="616"/>
        <w:gridCol w:w="678"/>
        <w:gridCol w:w="620"/>
        <w:gridCol w:w="825"/>
        <w:gridCol w:w="648"/>
        <w:gridCol w:w="745"/>
        <w:gridCol w:w="803"/>
      </w:tblGrid>
      <w:tr w14:paraId="523034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883" w:type="dxa"/>
            <w:tcBorders>
              <w:left w:val="nil"/>
              <w:right w:val="single" w:color="000000" w:sz="4" w:space="0"/>
            </w:tcBorders>
          </w:tcPr>
          <w:p w14:paraId="3E31E1D2">
            <w:pPr>
              <w:spacing w:before="57" w:line="228" w:lineRule="auto"/>
              <w:ind w:left="117"/>
              <w:rPr>
                <w:rFonts w:ascii="宋体" w:hAnsi="宋体" w:eastAsia="宋体" w:cs="宋体"/>
                <w:sz w:val="20"/>
                <w:szCs w:val="20"/>
              </w:rPr>
            </w:pPr>
            <w:r>
              <w:rPr>
                <w:rFonts w:ascii="宋体" w:hAnsi="宋体" w:eastAsia="宋体" w:cs="宋体"/>
                <w:spacing w:val="12"/>
                <w:sz w:val="20"/>
                <w:szCs w:val="20"/>
              </w:rPr>
              <w:t>土</w:t>
            </w:r>
            <w:r>
              <w:rPr>
                <w:rFonts w:ascii="宋体" w:hAnsi="宋体" w:eastAsia="宋体" w:cs="宋体"/>
                <w:spacing w:val="6"/>
                <w:sz w:val="20"/>
                <w:szCs w:val="20"/>
              </w:rPr>
              <w:t>堆场、开挖现场</w:t>
            </w:r>
          </w:p>
        </w:tc>
        <w:tc>
          <w:tcPr>
            <w:tcW w:w="1825" w:type="dxa"/>
            <w:tcBorders>
              <w:left w:val="single" w:color="000000" w:sz="4" w:space="0"/>
              <w:right w:val="single" w:color="000000" w:sz="4" w:space="0"/>
            </w:tcBorders>
          </w:tcPr>
          <w:p w14:paraId="1AB10996">
            <w:pPr>
              <w:spacing w:before="56" w:line="228" w:lineRule="auto"/>
              <w:ind w:left="288"/>
              <w:rPr>
                <w:rFonts w:ascii="宋体" w:hAnsi="宋体" w:eastAsia="宋体" w:cs="宋体"/>
                <w:sz w:val="20"/>
                <w:szCs w:val="20"/>
              </w:rPr>
            </w:pPr>
            <w:r>
              <w:rPr>
                <w:rFonts w:ascii="宋体" w:hAnsi="宋体" w:eastAsia="宋体" w:cs="宋体"/>
                <w:spacing w:val="11"/>
                <w:sz w:val="20"/>
                <w:szCs w:val="20"/>
              </w:rPr>
              <w:t>弃</w:t>
            </w:r>
            <w:r>
              <w:rPr>
                <w:rFonts w:ascii="宋体" w:hAnsi="宋体" w:eastAsia="宋体" w:cs="宋体"/>
                <w:spacing w:val="7"/>
                <w:sz w:val="20"/>
                <w:szCs w:val="20"/>
              </w:rPr>
              <w:t>土运输装卸</w:t>
            </w:r>
          </w:p>
        </w:tc>
        <w:tc>
          <w:tcPr>
            <w:tcW w:w="1068" w:type="dxa"/>
            <w:tcBorders>
              <w:left w:val="single" w:color="000000" w:sz="4" w:space="0"/>
              <w:right w:val="single" w:color="000000" w:sz="4" w:space="0"/>
            </w:tcBorders>
          </w:tcPr>
          <w:p w14:paraId="14C9803C">
            <w:pPr>
              <w:spacing w:before="57" w:line="228" w:lineRule="auto"/>
              <w:ind w:left="227"/>
              <w:rPr>
                <w:rFonts w:ascii="宋体" w:hAnsi="宋体" w:eastAsia="宋体" w:cs="宋体"/>
                <w:sz w:val="20"/>
                <w:szCs w:val="20"/>
              </w:rPr>
            </w:pPr>
            <w:r>
              <w:rPr>
                <w:rFonts w:ascii="宋体" w:hAnsi="宋体" w:eastAsia="宋体" w:cs="宋体"/>
                <w:spacing w:val="5"/>
                <w:sz w:val="20"/>
                <w:szCs w:val="20"/>
              </w:rPr>
              <w:t>治理后</w:t>
            </w:r>
          </w:p>
        </w:tc>
        <w:tc>
          <w:tcPr>
            <w:tcW w:w="616" w:type="dxa"/>
            <w:tcBorders>
              <w:left w:val="single" w:color="000000" w:sz="4" w:space="0"/>
              <w:right w:val="single" w:color="000000" w:sz="4" w:space="0"/>
            </w:tcBorders>
          </w:tcPr>
          <w:p w14:paraId="11492EE1">
            <w:pPr>
              <w:spacing w:before="181" w:line="136" w:lineRule="exact"/>
              <w:ind w:left="275"/>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678" w:type="dxa"/>
            <w:tcBorders>
              <w:left w:val="single" w:color="000000" w:sz="4" w:space="0"/>
              <w:right w:val="single" w:color="000000" w:sz="4" w:space="0"/>
            </w:tcBorders>
          </w:tcPr>
          <w:p w14:paraId="3F98203E">
            <w:pPr>
              <w:spacing w:before="93" w:line="198" w:lineRule="auto"/>
              <w:ind w:left="2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w:t>
            </w:r>
            <w:r>
              <w:rPr>
                <w:rFonts w:ascii="Times New Roman" w:hAnsi="Times New Roman" w:eastAsia="Times New Roman" w:cs="Times New Roman"/>
                <w:spacing w:val="3"/>
                <w:sz w:val="20"/>
                <w:szCs w:val="20"/>
              </w:rPr>
              <w:t>0</w:t>
            </w:r>
          </w:p>
        </w:tc>
        <w:tc>
          <w:tcPr>
            <w:tcW w:w="620" w:type="dxa"/>
            <w:tcBorders>
              <w:left w:val="single" w:color="000000" w:sz="4" w:space="0"/>
              <w:right w:val="single" w:color="000000" w:sz="4" w:space="0"/>
            </w:tcBorders>
          </w:tcPr>
          <w:p w14:paraId="4A19AE55">
            <w:pPr>
              <w:spacing w:before="93" w:line="195" w:lineRule="auto"/>
              <w:ind w:left="18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0</w:t>
            </w:r>
            <w:r>
              <w:rPr>
                <w:rFonts w:ascii="Times New Roman" w:hAnsi="Times New Roman" w:eastAsia="Times New Roman" w:cs="Times New Roman"/>
                <w:spacing w:val="4"/>
                <w:sz w:val="20"/>
                <w:szCs w:val="20"/>
              </w:rPr>
              <w:t>.8</w:t>
            </w:r>
          </w:p>
        </w:tc>
        <w:tc>
          <w:tcPr>
            <w:tcW w:w="825" w:type="dxa"/>
            <w:tcBorders>
              <w:left w:val="single" w:color="000000" w:sz="4" w:space="0"/>
              <w:right w:val="single" w:color="000000" w:sz="4" w:space="0"/>
            </w:tcBorders>
          </w:tcPr>
          <w:p w14:paraId="5641DB7A">
            <w:pPr>
              <w:spacing w:before="93" w:line="195" w:lineRule="auto"/>
              <w:ind w:left="28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.5</w:t>
            </w:r>
          </w:p>
        </w:tc>
        <w:tc>
          <w:tcPr>
            <w:tcW w:w="648" w:type="dxa"/>
            <w:tcBorders>
              <w:left w:val="single" w:color="000000" w:sz="4" w:space="0"/>
              <w:right w:val="single" w:color="000000" w:sz="4" w:space="0"/>
            </w:tcBorders>
          </w:tcPr>
          <w:p w14:paraId="378DC70A">
            <w:pPr>
              <w:spacing w:before="93" w:line="195" w:lineRule="auto"/>
              <w:ind w:left="19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0.3</w:t>
            </w:r>
          </w:p>
        </w:tc>
        <w:tc>
          <w:tcPr>
            <w:tcW w:w="745" w:type="dxa"/>
            <w:tcBorders>
              <w:left w:val="single" w:color="000000" w:sz="4" w:space="0"/>
              <w:right w:val="single" w:color="000000" w:sz="4" w:space="0"/>
            </w:tcBorders>
          </w:tcPr>
          <w:p w14:paraId="55199DCD">
            <w:pPr>
              <w:spacing w:before="93" w:line="195" w:lineRule="auto"/>
              <w:ind w:left="244"/>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0</w:t>
            </w:r>
            <w:r>
              <w:rPr>
                <w:rFonts w:ascii="Times New Roman" w:hAnsi="Times New Roman" w:eastAsia="Times New Roman" w:cs="Times New Roman"/>
                <w:spacing w:val="8"/>
                <w:sz w:val="20"/>
                <w:szCs w:val="20"/>
              </w:rPr>
              <w:t>.1</w:t>
            </w:r>
          </w:p>
        </w:tc>
        <w:tc>
          <w:tcPr>
            <w:tcW w:w="803" w:type="dxa"/>
            <w:tcBorders>
              <w:left w:val="single" w:color="000000" w:sz="4" w:space="0"/>
              <w:right w:val="nil"/>
            </w:tcBorders>
          </w:tcPr>
          <w:p w14:paraId="52C7B323">
            <w:pPr>
              <w:spacing w:before="181" w:line="136" w:lineRule="exact"/>
              <w:ind w:left="372"/>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r>
    </w:tbl>
    <w:p w14:paraId="1E5F17EB">
      <w:pPr>
        <w:spacing w:before="38" w:line="374" w:lineRule="auto"/>
        <w:ind w:left="532" w:right="448" w:firstLine="510"/>
        <w:rPr>
          <w:rFonts w:ascii="宋体" w:hAnsi="宋体" w:eastAsia="宋体" w:cs="宋体"/>
          <w:sz w:val="23"/>
          <w:szCs w:val="23"/>
        </w:rPr>
      </w:pPr>
      <w:r>
        <w:rPr>
          <w:rFonts w:ascii="宋体" w:hAnsi="宋体" w:eastAsia="宋体" w:cs="宋体"/>
          <w:spacing w:val="4"/>
          <w:sz w:val="23"/>
          <w:szCs w:val="23"/>
        </w:rPr>
        <w:t xml:space="preserve">由表 </w:t>
      </w:r>
      <w:r>
        <w:rPr>
          <w:rFonts w:ascii="Times New Roman" w:hAnsi="Times New Roman" w:eastAsia="Times New Roman" w:cs="Times New Roman"/>
          <w:spacing w:val="4"/>
          <w:sz w:val="23"/>
          <w:szCs w:val="23"/>
        </w:rPr>
        <w:t>5</w:t>
      </w:r>
      <w:r>
        <w:rPr>
          <w:rFonts w:ascii="Times New Roman" w:hAnsi="Times New Roman" w:eastAsia="Times New Roman" w:cs="Times New Roman"/>
          <w:spacing w:val="2"/>
          <w:sz w:val="23"/>
          <w:szCs w:val="23"/>
        </w:rPr>
        <w:t xml:space="preserve">. 1-4 </w:t>
      </w:r>
      <w:r>
        <w:rPr>
          <w:rFonts w:ascii="宋体" w:hAnsi="宋体" w:eastAsia="宋体" w:cs="宋体"/>
          <w:spacing w:val="2"/>
          <w:sz w:val="23"/>
          <w:szCs w:val="23"/>
        </w:rPr>
        <w:t xml:space="preserve">可知，项目在未采取防尘措施时，施工现场影响范围在 </w:t>
      </w:r>
      <w:r>
        <w:rPr>
          <w:rFonts w:ascii="Times New Roman" w:hAnsi="Times New Roman" w:eastAsia="Times New Roman" w:cs="Times New Roman"/>
          <w:spacing w:val="2"/>
          <w:sz w:val="23"/>
          <w:szCs w:val="23"/>
        </w:rPr>
        <w:t xml:space="preserve">400 </w:t>
      </w:r>
      <w:r>
        <w:rPr>
          <w:rFonts w:ascii="宋体" w:hAnsi="宋体" w:eastAsia="宋体" w:cs="宋体"/>
          <w:spacing w:val="2"/>
          <w:sz w:val="23"/>
          <w:szCs w:val="23"/>
        </w:rPr>
        <w:t>米范围。</w:t>
      </w:r>
      <w:r>
        <w:rPr>
          <w:rFonts w:ascii="宋体" w:hAnsi="宋体" w:eastAsia="宋体" w:cs="宋体"/>
          <w:sz w:val="23"/>
          <w:szCs w:val="23"/>
        </w:rPr>
        <w:t xml:space="preserve"> </w:t>
      </w:r>
      <w:r>
        <w:rPr>
          <w:rFonts w:ascii="宋体" w:hAnsi="宋体" w:eastAsia="宋体" w:cs="宋体"/>
          <w:spacing w:val="18"/>
          <w:sz w:val="23"/>
          <w:szCs w:val="23"/>
        </w:rPr>
        <w:t>采取相</w:t>
      </w:r>
      <w:r>
        <w:rPr>
          <w:rFonts w:ascii="宋体" w:hAnsi="宋体" w:eastAsia="宋体" w:cs="宋体"/>
          <w:spacing w:val="11"/>
          <w:sz w:val="23"/>
          <w:szCs w:val="23"/>
        </w:rPr>
        <w:t>应</w:t>
      </w:r>
      <w:r>
        <w:rPr>
          <w:rFonts w:ascii="宋体" w:hAnsi="宋体" w:eastAsia="宋体" w:cs="宋体"/>
          <w:spacing w:val="9"/>
          <w:sz w:val="23"/>
          <w:szCs w:val="23"/>
        </w:rPr>
        <w:t xml:space="preserve">的防尘措施后，扬尘影响范围在 </w:t>
      </w:r>
      <w:r>
        <w:rPr>
          <w:rFonts w:ascii="Times New Roman" w:hAnsi="Times New Roman" w:eastAsia="Times New Roman" w:cs="Times New Roman"/>
          <w:spacing w:val="9"/>
          <w:sz w:val="23"/>
          <w:szCs w:val="23"/>
        </w:rPr>
        <w:t>150</w:t>
      </w:r>
      <w:r>
        <w:rPr>
          <w:rFonts w:ascii="Times New Roman" w:hAnsi="Times New Roman" w:eastAsia="Times New Roman" w:cs="Times New Roman"/>
          <w:sz w:val="23"/>
          <w:szCs w:val="23"/>
        </w:rPr>
        <w:t>m</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范围内，防尘措施明显，能够有效</w:t>
      </w:r>
      <w:r>
        <w:rPr>
          <w:rFonts w:ascii="宋体" w:hAnsi="宋体" w:eastAsia="宋体" w:cs="宋体"/>
          <w:sz w:val="23"/>
          <w:szCs w:val="23"/>
        </w:rPr>
        <w:t xml:space="preserve"> </w:t>
      </w:r>
      <w:r>
        <w:rPr>
          <w:rFonts w:ascii="宋体" w:hAnsi="宋体" w:eastAsia="宋体" w:cs="宋体"/>
          <w:spacing w:val="10"/>
          <w:sz w:val="23"/>
          <w:szCs w:val="23"/>
        </w:rPr>
        <w:t>的</w:t>
      </w:r>
      <w:r>
        <w:rPr>
          <w:rFonts w:ascii="宋体" w:hAnsi="宋体" w:eastAsia="宋体" w:cs="宋体"/>
          <w:spacing w:val="9"/>
          <w:sz w:val="23"/>
          <w:szCs w:val="23"/>
        </w:rPr>
        <w:t>减轻施工扬尘对周围环境空气质量的影响。</w:t>
      </w:r>
    </w:p>
    <w:p w14:paraId="412564A5">
      <w:pPr>
        <w:spacing w:line="375" w:lineRule="auto"/>
        <w:ind w:left="534" w:right="521" w:firstLine="479"/>
        <w:rPr>
          <w:rFonts w:ascii="宋体" w:hAnsi="宋体" w:eastAsia="宋体" w:cs="宋体"/>
          <w:sz w:val="23"/>
          <w:szCs w:val="23"/>
        </w:rPr>
      </w:pPr>
      <w:r>
        <w:rPr>
          <w:rFonts w:ascii="宋体" w:hAnsi="宋体" w:eastAsia="宋体" w:cs="宋体"/>
          <w:spacing w:val="18"/>
          <w:sz w:val="23"/>
          <w:szCs w:val="23"/>
        </w:rPr>
        <w:t>根据</w:t>
      </w:r>
      <w:r>
        <w:rPr>
          <w:rFonts w:ascii="宋体" w:hAnsi="宋体" w:eastAsia="宋体" w:cs="宋体"/>
          <w:spacing w:val="17"/>
          <w:sz w:val="23"/>
          <w:szCs w:val="23"/>
        </w:rPr>
        <w:t>现</w:t>
      </w:r>
      <w:r>
        <w:rPr>
          <w:rFonts w:ascii="宋体" w:hAnsi="宋体" w:eastAsia="宋体" w:cs="宋体"/>
          <w:spacing w:val="9"/>
          <w:sz w:val="23"/>
          <w:szCs w:val="23"/>
        </w:rPr>
        <w:t xml:space="preserve">场踏勘，项目所在区域 </w:t>
      </w:r>
      <w:r>
        <w:rPr>
          <w:rFonts w:ascii="Times New Roman" w:hAnsi="Times New Roman" w:eastAsia="Times New Roman" w:cs="Times New Roman"/>
          <w:spacing w:val="9"/>
          <w:sz w:val="23"/>
          <w:szCs w:val="23"/>
        </w:rPr>
        <w:t>150</w:t>
      </w:r>
      <w:r>
        <w:rPr>
          <w:rFonts w:ascii="Times New Roman" w:hAnsi="Times New Roman" w:eastAsia="Times New Roman" w:cs="Times New Roman"/>
          <w:sz w:val="23"/>
          <w:szCs w:val="23"/>
        </w:rPr>
        <w:t>m</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范围内无居民分布。本环评要求项目施工</w:t>
      </w:r>
      <w:r>
        <w:rPr>
          <w:rFonts w:ascii="宋体" w:hAnsi="宋体" w:eastAsia="宋体" w:cs="宋体"/>
          <w:sz w:val="23"/>
          <w:szCs w:val="23"/>
        </w:rPr>
        <w:t xml:space="preserve"> </w:t>
      </w:r>
      <w:r>
        <w:rPr>
          <w:rFonts w:ascii="宋体" w:hAnsi="宋体" w:eastAsia="宋体" w:cs="宋体"/>
          <w:spacing w:val="20"/>
          <w:sz w:val="23"/>
          <w:szCs w:val="23"/>
        </w:rPr>
        <w:t>方</w:t>
      </w:r>
      <w:r>
        <w:rPr>
          <w:rFonts w:ascii="宋体" w:hAnsi="宋体" w:eastAsia="宋体" w:cs="宋体"/>
          <w:spacing w:val="15"/>
          <w:sz w:val="23"/>
          <w:szCs w:val="23"/>
        </w:rPr>
        <w:t>严</w:t>
      </w:r>
      <w:r>
        <w:rPr>
          <w:rFonts w:ascii="宋体" w:hAnsi="宋体" w:eastAsia="宋体" w:cs="宋体"/>
          <w:spacing w:val="10"/>
          <w:sz w:val="23"/>
          <w:szCs w:val="23"/>
        </w:rPr>
        <w:t>格按照本文工程分析中提出的控制措施施工，在施工建设中做到规范管理，文</w:t>
      </w:r>
      <w:r>
        <w:rPr>
          <w:rFonts w:ascii="宋体" w:hAnsi="宋体" w:eastAsia="宋体" w:cs="宋体"/>
          <w:sz w:val="23"/>
          <w:szCs w:val="23"/>
        </w:rPr>
        <w:t xml:space="preserve"> </w:t>
      </w:r>
      <w:r>
        <w:rPr>
          <w:rFonts w:ascii="宋体" w:hAnsi="宋体" w:eastAsia="宋体" w:cs="宋体"/>
          <w:spacing w:val="11"/>
          <w:sz w:val="23"/>
          <w:szCs w:val="23"/>
        </w:rPr>
        <w:t>明</w:t>
      </w:r>
      <w:r>
        <w:rPr>
          <w:rFonts w:ascii="宋体" w:hAnsi="宋体" w:eastAsia="宋体" w:cs="宋体"/>
          <w:spacing w:val="9"/>
          <w:sz w:val="23"/>
          <w:szCs w:val="23"/>
        </w:rPr>
        <w:t>施工，确保建设工地不制尘。严格遵守施工要求</w:t>
      </w:r>
      <w:r>
        <w:rPr>
          <w:rFonts w:ascii="Times New Roman" w:hAnsi="Times New Roman" w:eastAsia="Times New Roman" w:cs="Times New Roman"/>
          <w:spacing w:val="9"/>
          <w:sz w:val="23"/>
          <w:szCs w:val="23"/>
        </w:rPr>
        <w:t>“</w:t>
      </w:r>
      <w:r>
        <w:rPr>
          <w:rFonts w:ascii="宋体" w:hAnsi="宋体" w:eastAsia="宋体" w:cs="宋体"/>
          <w:spacing w:val="9"/>
          <w:sz w:val="23"/>
          <w:szCs w:val="23"/>
        </w:rPr>
        <w:t>六个百分之百</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，即：工地周边</w:t>
      </w:r>
      <w:r>
        <w:rPr>
          <w:rFonts w:ascii="宋体" w:hAnsi="宋体" w:eastAsia="宋体" w:cs="宋体"/>
          <w:sz w:val="23"/>
          <w:szCs w:val="23"/>
        </w:rPr>
        <w:t xml:space="preserve"> </w:t>
      </w:r>
      <w:r>
        <w:rPr>
          <w:rFonts w:ascii="宋体" w:hAnsi="宋体" w:eastAsia="宋体" w:cs="宋体"/>
          <w:spacing w:val="20"/>
          <w:sz w:val="23"/>
          <w:szCs w:val="23"/>
        </w:rPr>
        <w:t>围</w:t>
      </w:r>
      <w:r>
        <w:rPr>
          <w:rFonts w:ascii="宋体" w:hAnsi="宋体" w:eastAsia="宋体" w:cs="宋体"/>
          <w:spacing w:val="15"/>
          <w:sz w:val="23"/>
          <w:szCs w:val="23"/>
        </w:rPr>
        <w:t>挡</w:t>
      </w:r>
      <w:r>
        <w:rPr>
          <w:rFonts w:ascii="宋体" w:hAnsi="宋体" w:eastAsia="宋体" w:cs="宋体"/>
          <w:spacing w:val="10"/>
          <w:sz w:val="23"/>
          <w:szCs w:val="23"/>
        </w:rPr>
        <w:t>、物料堆放覆盖、土方开挖湿法作业、路面硬化、出入车辆清洗、渣土车辆密</w:t>
      </w:r>
      <w:r>
        <w:rPr>
          <w:rFonts w:ascii="宋体" w:hAnsi="宋体" w:eastAsia="宋体" w:cs="宋体"/>
          <w:sz w:val="23"/>
          <w:szCs w:val="23"/>
        </w:rPr>
        <w:t xml:space="preserve"> </w:t>
      </w:r>
      <w:r>
        <w:rPr>
          <w:rFonts w:ascii="宋体" w:hAnsi="宋体" w:eastAsia="宋体" w:cs="宋体"/>
          <w:spacing w:val="20"/>
          <w:sz w:val="23"/>
          <w:szCs w:val="23"/>
        </w:rPr>
        <w:t>闭</w:t>
      </w:r>
      <w:r>
        <w:rPr>
          <w:rFonts w:ascii="宋体" w:hAnsi="宋体" w:eastAsia="宋体" w:cs="宋体"/>
          <w:spacing w:val="15"/>
          <w:sz w:val="23"/>
          <w:szCs w:val="23"/>
        </w:rPr>
        <w:t>。</w:t>
      </w:r>
      <w:r>
        <w:rPr>
          <w:rFonts w:ascii="宋体" w:hAnsi="宋体" w:eastAsia="宋体" w:cs="宋体"/>
          <w:spacing w:val="10"/>
          <w:sz w:val="23"/>
          <w:szCs w:val="23"/>
        </w:rPr>
        <w:t>同时增加洒水抑尘的频次，大风天气禁止开挖作业。并在围挡上安装喷水雾降</w:t>
      </w:r>
      <w:r>
        <w:rPr>
          <w:rFonts w:ascii="宋体" w:hAnsi="宋体" w:eastAsia="宋体" w:cs="宋体"/>
          <w:sz w:val="23"/>
          <w:szCs w:val="23"/>
        </w:rPr>
        <w:t xml:space="preserve"> </w:t>
      </w:r>
      <w:r>
        <w:rPr>
          <w:rFonts w:ascii="宋体" w:hAnsi="宋体" w:eastAsia="宋体" w:cs="宋体"/>
          <w:spacing w:val="9"/>
          <w:sz w:val="23"/>
          <w:szCs w:val="23"/>
        </w:rPr>
        <w:t>尘装置，在施工时打开该装置进行降尘</w:t>
      </w:r>
      <w:r>
        <w:rPr>
          <w:rFonts w:ascii="宋体" w:hAnsi="宋体" w:eastAsia="宋体" w:cs="宋体"/>
          <w:spacing w:val="6"/>
          <w:sz w:val="23"/>
          <w:szCs w:val="23"/>
        </w:rPr>
        <w:t>。</w:t>
      </w:r>
    </w:p>
    <w:p w14:paraId="5292D25A">
      <w:pPr>
        <w:spacing w:before="1" w:line="374" w:lineRule="auto"/>
        <w:ind w:left="534" w:right="441" w:firstLine="481"/>
        <w:rPr>
          <w:rFonts w:ascii="宋体" w:hAnsi="宋体" w:eastAsia="宋体" w:cs="宋体"/>
          <w:sz w:val="23"/>
          <w:szCs w:val="23"/>
        </w:rPr>
      </w:pPr>
      <w:r>
        <w:rPr>
          <w:rFonts w:ascii="宋体" w:hAnsi="宋体" w:eastAsia="宋体" w:cs="宋体"/>
          <w:spacing w:val="20"/>
          <w:sz w:val="23"/>
          <w:szCs w:val="23"/>
        </w:rPr>
        <w:t>综</w:t>
      </w:r>
      <w:r>
        <w:rPr>
          <w:rFonts w:ascii="宋体" w:hAnsi="宋体" w:eastAsia="宋体" w:cs="宋体"/>
          <w:spacing w:val="14"/>
          <w:sz w:val="23"/>
          <w:szCs w:val="23"/>
        </w:rPr>
        <w:t>上</w:t>
      </w:r>
      <w:r>
        <w:rPr>
          <w:rFonts w:ascii="宋体" w:hAnsi="宋体" w:eastAsia="宋体" w:cs="宋体"/>
          <w:spacing w:val="10"/>
          <w:sz w:val="23"/>
          <w:szCs w:val="23"/>
        </w:rPr>
        <w:t>，只要严格按照上面提出的扬尘控制措施，则项目施工期产生的扬尘对环</w:t>
      </w:r>
      <w:r>
        <w:rPr>
          <w:rFonts w:ascii="宋体" w:hAnsi="宋体" w:eastAsia="宋体" w:cs="宋体"/>
          <w:sz w:val="23"/>
          <w:szCs w:val="23"/>
        </w:rPr>
        <w:t xml:space="preserve"> </w:t>
      </w:r>
      <w:r>
        <w:rPr>
          <w:rFonts w:ascii="宋体" w:hAnsi="宋体" w:eastAsia="宋体" w:cs="宋体"/>
          <w:spacing w:val="20"/>
          <w:sz w:val="23"/>
          <w:szCs w:val="23"/>
        </w:rPr>
        <w:t>境</w:t>
      </w:r>
      <w:r>
        <w:rPr>
          <w:rFonts w:ascii="宋体" w:hAnsi="宋体" w:eastAsia="宋体" w:cs="宋体"/>
          <w:spacing w:val="16"/>
          <w:sz w:val="23"/>
          <w:szCs w:val="23"/>
        </w:rPr>
        <w:t>空</w:t>
      </w:r>
      <w:r>
        <w:rPr>
          <w:rFonts w:ascii="宋体" w:hAnsi="宋体" w:eastAsia="宋体" w:cs="宋体"/>
          <w:spacing w:val="10"/>
          <w:sz w:val="23"/>
          <w:szCs w:val="23"/>
        </w:rPr>
        <w:t>气质量影响较小。同时施工期是暂时的，施工扬尘将随施工期的结束而停止产</w:t>
      </w:r>
      <w:r>
        <w:rPr>
          <w:rFonts w:ascii="宋体" w:hAnsi="宋体" w:eastAsia="宋体" w:cs="宋体"/>
          <w:sz w:val="23"/>
          <w:szCs w:val="23"/>
        </w:rPr>
        <w:t xml:space="preserve"> </w:t>
      </w:r>
      <w:r>
        <w:rPr>
          <w:rFonts w:ascii="宋体" w:hAnsi="宋体" w:eastAsia="宋体" w:cs="宋体"/>
          <w:spacing w:val="10"/>
          <w:sz w:val="23"/>
          <w:szCs w:val="23"/>
        </w:rPr>
        <w:t>生</w:t>
      </w:r>
      <w:r>
        <w:rPr>
          <w:rFonts w:ascii="宋体" w:hAnsi="宋体" w:eastAsia="宋体" w:cs="宋体"/>
          <w:spacing w:val="6"/>
          <w:sz w:val="23"/>
          <w:szCs w:val="23"/>
        </w:rPr>
        <w:t>，评价建议优化施工方案，缩短施工时间，尽量减少扬尘对周边环境影响的时间。</w:t>
      </w:r>
    </w:p>
    <w:p w14:paraId="659C9A50">
      <w:pPr>
        <w:spacing w:line="227" w:lineRule="auto"/>
        <w:ind w:left="1013"/>
        <w:rPr>
          <w:rFonts w:ascii="宋体" w:hAnsi="宋体" w:eastAsia="宋体" w:cs="宋体"/>
          <w:sz w:val="23"/>
          <w:szCs w:val="23"/>
        </w:rPr>
      </w:pPr>
      <w:r>
        <w:rPr>
          <w:rFonts w:ascii="宋体" w:hAnsi="宋体" w:eastAsia="宋体" w:cs="宋体"/>
          <w:spacing w:val="20"/>
          <w:sz w:val="23"/>
          <w:szCs w:val="23"/>
        </w:rPr>
        <w:t>根</w:t>
      </w:r>
      <w:r>
        <w:rPr>
          <w:rFonts w:ascii="宋体" w:hAnsi="宋体" w:eastAsia="宋体" w:cs="宋体"/>
          <w:spacing w:val="16"/>
          <w:sz w:val="23"/>
          <w:szCs w:val="23"/>
        </w:rPr>
        <w:t>据</w:t>
      </w:r>
      <w:r>
        <w:rPr>
          <w:rFonts w:ascii="宋体" w:hAnsi="宋体" w:eastAsia="宋体" w:cs="宋体"/>
          <w:spacing w:val="10"/>
          <w:sz w:val="23"/>
          <w:szCs w:val="23"/>
        </w:rPr>
        <w:t>项目所在区域大气环境质量调查结果可知，项目所在区域大气环境质量良</w:t>
      </w:r>
    </w:p>
    <w:p w14:paraId="43D8E42D">
      <w:pPr>
        <w:spacing w:before="183" w:line="375" w:lineRule="auto"/>
        <w:ind w:left="535" w:right="517" w:hanging="2"/>
        <w:rPr>
          <w:rFonts w:ascii="宋体" w:hAnsi="宋体" w:eastAsia="宋体" w:cs="宋体"/>
          <w:sz w:val="23"/>
          <w:szCs w:val="23"/>
        </w:rPr>
      </w:pPr>
      <w:r>
        <w:rPr>
          <w:rFonts w:ascii="宋体" w:hAnsi="宋体" w:eastAsia="宋体" w:cs="宋体"/>
          <w:spacing w:val="14"/>
          <w:sz w:val="23"/>
          <w:szCs w:val="23"/>
        </w:rPr>
        <w:t>好，因</w:t>
      </w:r>
      <w:r>
        <w:rPr>
          <w:rFonts w:ascii="宋体" w:hAnsi="宋体" w:eastAsia="宋体" w:cs="宋体"/>
          <w:spacing w:val="7"/>
          <w:sz w:val="23"/>
          <w:szCs w:val="23"/>
        </w:rPr>
        <w:t xml:space="preserve">此，只要严格按照环评提出的扬尘控制措施后对区域环境空气中 </w:t>
      </w:r>
      <w:r>
        <w:rPr>
          <w:rFonts w:ascii="Times New Roman" w:hAnsi="Times New Roman" w:eastAsia="Times New Roman" w:cs="Times New Roman"/>
          <w:sz w:val="23"/>
          <w:szCs w:val="23"/>
        </w:rPr>
        <w:t>TSP</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的污染</w:t>
      </w:r>
      <w:r>
        <w:rPr>
          <w:rFonts w:ascii="宋体" w:hAnsi="宋体" w:eastAsia="宋体" w:cs="宋体"/>
          <w:sz w:val="23"/>
          <w:szCs w:val="23"/>
        </w:rPr>
        <w:t xml:space="preserve"> </w:t>
      </w:r>
      <w:r>
        <w:rPr>
          <w:rFonts w:ascii="宋体" w:hAnsi="宋体" w:eastAsia="宋体" w:cs="宋体"/>
          <w:spacing w:val="14"/>
          <w:sz w:val="23"/>
          <w:szCs w:val="23"/>
        </w:rPr>
        <w:t>贡</w:t>
      </w:r>
      <w:r>
        <w:rPr>
          <w:rFonts w:ascii="宋体" w:hAnsi="宋体" w:eastAsia="宋体" w:cs="宋体"/>
          <w:spacing w:val="9"/>
          <w:sz w:val="23"/>
          <w:szCs w:val="23"/>
        </w:rPr>
        <w:t>献较小，项目施工不会对项目周围的环境造成明显不良影响。</w:t>
      </w:r>
    </w:p>
    <w:p w14:paraId="72B66883">
      <w:pPr>
        <w:spacing w:line="303" w:lineRule="exact"/>
        <w:ind w:left="1009"/>
        <w:rPr>
          <w:rFonts w:ascii="宋体" w:hAnsi="宋体" w:eastAsia="宋体" w:cs="宋体"/>
          <w:sz w:val="23"/>
          <w:szCs w:val="23"/>
        </w:rPr>
      </w:pPr>
      <w:r>
        <w:rPr>
          <w:rFonts w:ascii="Times New Roman" w:hAnsi="Times New Roman" w:eastAsia="Times New Roman" w:cs="Times New Roman"/>
          <w:b/>
          <w:bCs/>
          <w:spacing w:val="6"/>
          <w:position w:val="1"/>
          <w:sz w:val="23"/>
          <w:szCs w:val="23"/>
        </w:rPr>
        <w:t>2</w:t>
      </w:r>
      <w:r>
        <w:rPr>
          <w:rFonts w:ascii="Times New Roman" w:hAnsi="Times New Roman" w:eastAsia="Times New Roman" w:cs="Times New Roman"/>
          <w:spacing w:val="5"/>
          <w:position w:val="1"/>
          <w:sz w:val="23"/>
          <w:szCs w:val="23"/>
        </w:rPr>
        <w:t xml:space="preserve"> </w:t>
      </w:r>
      <w:r>
        <w:rPr>
          <w:rFonts w:ascii="宋体" w:hAnsi="宋体" w:eastAsia="宋体" w:cs="宋体"/>
          <w:spacing w:val="3"/>
          <w:position w:val="1"/>
          <w:sz w:val="23"/>
          <w:szCs w:val="23"/>
          <w14:textOutline w14:w="4356" w14:cap="sq" w14:cmpd="sng" w14:algn="ctr">
            <w14:solidFill>
              <w14:srgbClr w14:val="000000"/>
            </w14:solidFill>
            <w14:prstDash w14:val="solid"/>
            <w14:bevel/>
          </w14:textOutline>
        </w:rPr>
        <w:t>、施工机械燃油废气</w:t>
      </w:r>
    </w:p>
    <w:p w14:paraId="5AD46572">
      <w:pPr>
        <w:spacing w:before="162" w:line="375" w:lineRule="auto"/>
        <w:ind w:left="533" w:right="460" w:firstLine="479"/>
        <w:rPr>
          <w:rFonts w:ascii="宋体" w:hAnsi="宋体" w:eastAsia="宋体" w:cs="宋体"/>
          <w:sz w:val="23"/>
          <w:szCs w:val="23"/>
        </w:rPr>
      </w:pPr>
      <w:r>
        <w:rPr>
          <w:rFonts w:ascii="宋体" w:hAnsi="宋体" w:eastAsia="宋体" w:cs="宋体"/>
          <w:spacing w:val="20"/>
          <w:sz w:val="23"/>
          <w:szCs w:val="23"/>
        </w:rPr>
        <w:t>施</w:t>
      </w:r>
      <w:r>
        <w:rPr>
          <w:rFonts w:ascii="宋体" w:hAnsi="宋体" w:eastAsia="宋体" w:cs="宋体"/>
          <w:spacing w:val="17"/>
          <w:sz w:val="23"/>
          <w:szCs w:val="23"/>
        </w:rPr>
        <w:t>工</w:t>
      </w:r>
      <w:r>
        <w:rPr>
          <w:rFonts w:ascii="宋体" w:hAnsi="宋体" w:eastAsia="宋体" w:cs="宋体"/>
          <w:spacing w:val="10"/>
          <w:sz w:val="23"/>
          <w:szCs w:val="23"/>
        </w:rPr>
        <w:t>期间，使用机动车运送原材料、设备和建筑机械等设备的运转，均会排放</w:t>
      </w:r>
      <w:r>
        <w:rPr>
          <w:rFonts w:ascii="宋体" w:hAnsi="宋体" w:eastAsia="宋体" w:cs="宋体"/>
          <w:sz w:val="23"/>
          <w:szCs w:val="23"/>
        </w:rPr>
        <w:t xml:space="preserve"> </w:t>
      </w:r>
      <w:r>
        <w:rPr>
          <w:rFonts w:ascii="宋体" w:hAnsi="宋体" w:eastAsia="宋体" w:cs="宋体"/>
          <w:spacing w:val="4"/>
          <w:sz w:val="23"/>
          <w:szCs w:val="23"/>
        </w:rPr>
        <w:t xml:space="preserve">一定量的 </w:t>
      </w:r>
      <w:r>
        <w:rPr>
          <w:rFonts w:ascii="Times New Roman" w:hAnsi="Times New Roman" w:eastAsia="Times New Roman" w:cs="Times New Roman"/>
          <w:sz w:val="23"/>
          <w:szCs w:val="23"/>
        </w:rPr>
        <w:t>CO</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w:t>
      </w:r>
      <w:r>
        <w:rPr>
          <w:rFonts w:ascii="Times New Roman" w:hAnsi="Times New Roman" w:eastAsia="Times New Roman" w:cs="Times New Roman"/>
          <w:sz w:val="23"/>
          <w:szCs w:val="23"/>
        </w:rPr>
        <w:t>NO</w:t>
      </w:r>
      <w:r>
        <w:rPr>
          <w:rFonts w:ascii="Times New Roman" w:hAnsi="Times New Roman" w:eastAsia="Times New Roman" w:cs="Times New Roman"/>
          <w:position w:val="-1"/>
          <w:sz w:val="15"/>
          <w:szCs w:val="15"/>
        </w:rPr>
        <w:t>X</w:t>
      </w:r>
      <w:r>
        <w:rPr>
          <w:rFonts w:ascii="Times New Roman" w:hAnsi="Times New Roman" w:eastAsia="Times New Roman" w:cs="Times New Roman"/>
          <w:spacing w:val="2"/>
          <w:position w:val="-1"/>
          <w:sz w:val="15"/>
          <w:szCs w:val="15"/>
        </w:rPr>
        <w:t xml:space="preserve">  </w:t>
      </w:r>
      <w:r>
        <w:rPr>
          <w:rFonts w:ascii="宋体" w:hAnsi="宋体" w:eastAsia="宋体" w:cs="宋体"/>
          <w:spacing w:val="2"/>
          <w:sz w:val="23"/>
          <w:szCs w:val="23"/>
        </w:rPr>
        <w:t xml:space="preserve">以及未完全燃烧的 </w:t>
      </w:r>
      <w:r>
        <w:rPr>
          <w:rFonts w:ascii="Times New Roman" w:hAnsi="Times New Roman" w:eastAsia="Times New Roman" w:cs="Times New Roman"/>
          <w:sz w:val="23"/>
          <w:szCs w:val="23"/>
        </w:rPr>
        <w:t>HC</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等，其特点是排放量小，属间断性排放，</w:t>
      </w:r>
      <w:r>
        <w:rPr>
          <w:rFonts w:ascii="宋体" w:hAnsi="宋体" w:eastAsia="宋体" w:cs="宋体"/>
          <w:sz w:val="23"/>
          <w:szCs w:val="23"/>
        </w:rPr>
        <w:t xml:space="preserve"> </w:t>
      </w:r>
      <w:r>
        <w:rPr>
          <w:rFonts w:ascii="宋体" w:hAnsi="宋体" w:eastAsia="宋体" w:cs="宋体"/>
          <w:spacing w:val="10"/>
          <w:sz w:val="23"/>
          <w:szCs w:val="23"/>
        </w:rPr>
        <w:t>加之项目</w:t>
      </w:r>
      <w:r>
        <w:rPr>
          <w:rFonts w:ascii="宋体" w:hAnsi="宋体" w:eastAsia="宋体" w:cs="宋体"/>
          <w:spacing w:val="8"/>
          <w:sz w:val="23"/>
          <w:szCs w:val="23"/>
        </w:rPr>
        <w:t>施</w:t>
      </w:r>
      <w:r>
        <w:rPr>
          <w:rFonts w:ascii="宋体" w:hAnsi="宋体" w:eastAsia="宋体" w:cs="宋体"/>
          <w:spacing w:val="5"/>
          <w:sz w:val="23"/>
          <w:szCs w:val="23"/>
        </w:rPr>
        <w:t>工场地扩散条件良好，这些废气可得到有效的稀释扩散，能够达标排放，</w:t>
      </w:r>
      <w:r>
        <w:rPr>
          <w:rFonts w:ascii="宋体" w:hAnsi="宋体" w:eastAsia="宋体" w:cs="宋体"/>
          <w:sz w:val="23"/>
          <w:szCs w:val="23"/>
        </w:rPr>
        <w:t xml:space="preserve"> </w:t>
      </w:r>
      <w:r>
        <w:rPr>
          <w:rFonts w:ascii="宋体" w:hAnsi="宋体" w:eastAsia="宋体" w:cs="宋体"/>
          <w:spacing w:val="12"/>
          <w:sz w:val="23"/>
          <w:szCs w:val="23"/>
        </w:rPr>
        <w:t>因</w:t>
      </w:r>
      <w:r>
        <w:rPr>
          <w:rFonts w:ascii="宋体" w:hAnsi="宋体" w:eastAsia="宋体" w:cs="宋体"/>
          <w:spacing w:val="8"/>
          <w:sz w:val="23"/>
          <w:szCs w:val="23"/>
        </w:rPr>
        <w:t>此其对环境的影响甚微。</w:t>
      </w:r>
    </w:p>
    <w:p w14:paraId="2144A9FF">
      <w:pPr>
        <w:spacing w:line="303" w:lineRule="exact"/>
        <w:ind w:left="1007"/>
        <w:rPr>
          <w:rFonts w:ascii="宋体" w:hAnsi="宋体" w:eastAsia="宋体" w:cs="宋体"/>
          <w:sz w:val="23"/>
          <w:szCs w:val="23"/>
        </w:rPr>
      </w:pPr>
      <w:r>
        <w:rPr>
          <w:rFonts w:ascii="Times New Roman" w:hAnsi="Times New Roman" w:eastAsia="Times New Roman" w:cs="Times New Roman"/>
          <w:b/>
          <w:bCs/>
          <w:spacing w:val="-1"/>
          <w:position w:val="1"/>
          <w:sz w:val="23"/>
          <w:szCs w:val="23"/>
        </w:rPr>
        <w:t>3</w:t>
      </w:r>
      <w:r>
        <w:rPr>
          <w:rFonts w:ascii="Times New Roman" w:hAnsi="Times New Roman" w:eastAsia="Times New Roman" w:cs="Times New Roman"/>
          <w:spacing w:val="-1"/>
          <w:position w:val="1"/>
          <w:sz w:val="23"/>
          <w:szCs w:val="23"/>
        </w:rPr>
        <w:t xml:space="preserve"> </w:t>
      </w:r>
      <w:r>
        <w:rPr>
          <w:rFonts w:ascii="宋体" w:hAnsi="宋体" w:eastAsia="宋体" w:cs="宋体"/>
          <w:position w:val="1"/>
          <w:sz w:val="23"/>
          <w:szCs w:val="23"/>
          <w14:textOutline w14:w="4356" w14:cap="sq" w14:cmpd="sng" w14:algn="ctr">
            <w14:solidFill>
              <w14:srgbClr w14:val="000000"/>
            </w14:solidFill>
            <w14:prstDash w14:val="solid"/>
            <w14:bevel/>
          </w14:textOutline>
        </w:rPr>
        <w:t>、汽车尾气</w:t>
      </w:r>
    </w:p>
    <w:p w14:paraId="623A5E79">
      <w:pPr>
        <w:spacing w:before="164" w:line="375" w:lineRule="auto"/>
        <w:ind w:left="532" w:right="521" w:firstLine="480"/>
        <w:rPr>
          <w:rFonts w:ascii="宋体" w:hAnsi="宋体" w:eastAsia="宋体" w:cs="宋体"/>
          <w:sz w:val="23"/>
          <w:szCs w:val="23"/>
        </w:rPr>
      </w:pPr>
      <w:r>
        <w:rPr>
          <w:rFonts w:ascii="宋体" w:hAnsi="宋体" w:eastAsia="宋体" w:cs="宋体"/>
          <w:spacing w:val="20"/>
          <w:sz w:val="23"/>
          <w:szCs w:val="23"/>
        </w:rPr>
        <w:t>施</w:t>
      </w:r>
      <w:r>
        <w:rPr>
          <w:rFonts w:ascii="宋体" w:hAnsi="宋体" w:eastAsia="宋体" w:cs="宋体"/>
          <w:spacing w:val="17"/>
          <w:sz w:val="23"/>
          <w:szCs w:val="23"/>
        </w:rPr>
        <w:t>工</w:t>
      </w:r>
      <w:r>
        <w:rPr>
          <w:rFonts w:ascii="宋体" w:hAnsi="宋体" w:eastAsia="宋体" w:cs="宋体"/>
          <w:spacing w:val="10"/>
          <w:sz w:val="23"/>
          <w:szCs w:val="23"/>
        </w:rPr>
        <w:t>期间，有运输车辆尾气排放，其特点是排放量小，属于间断性排放，项目</w:t>
      </w:r>
      <w:r>
        <w:rPr>
          <w:rFonts w:ascii="宋体" w:hAnsi="宋体" w:eastAsia="宋体" w:cs="宋体"/>
          <w:sz w:val="23"/>
          <w:szCs w:val="23"/>
        </w:rPr>
        <w:t xml:space="preserve"> </w:t>
      </w:r>
      <w:r>
        <w:rPr>
          <w:rFonts w:ascii="宋体" w:hAnsi="宋体" w:eastAsia="宋体" w:cs="宋体"/>
          <w:spacing w:val="20"/>
          <w:sz w:val="23"/>
          <w:szCs w:val="23"/>
        </w:rPr>
        <w:t>施</w:t>
      </w:r>
      <w:r>
        <w:rPr>
          <w:rFonts w:ascii="宋体" w:hAnsi="宋体" w:eastAsia="宋体" w:cs="宋体"/>
          <w:spacing w:val="17"/>
          <w:sz w:val="23"/>
          <w:szCs w:val="23"/>
        </w:rPr>
        <w:t>工</w:t>
      </w:r>
      <w:r>
        <w:rPr>
          <w:rFonts w:ascii="宋体" w:hAnsi="宋体" w:eastAsia="宋体" w:cs="宋体"/>
          <w:spacing w:val="10"/>
          <w:sz w:val="23"/>
          <w:szCs w:val="23"/>
        </w:rPr>
        <w:t>场地扩散条件良好，这些废气可得到有效地稀释扩散，能够达标排放。本环评</w:t>
      </w:r>
      <w:r>
        <w:rPr>
          <w:rFonts w:ascii="宋体" w:hAnsi="宋体" w:eastAsia="宋体" w:cs="宋体"/>
          <w:sz w:val="23"/>
          <w:szCs w:val="23"/>
        </w:rPr>
        <w:t xml:space="preserve"> </w:t>
      </w:r>
      <w:r>
        <w:rPr>
          <w:rFonts w:ascii="宋体" w:hAnsi="宋体" w:eastAsia="宋体" w:cs="宋体"/>
          <w:spacing w:val="20"/>
          <w:sz w:val="23"/>
          <w:szCs w:val="23"/>
        </w:rPr>
        <w:t>要</w:t>
      </w:r>
      <w:r>
        <w:rPr>
          <w:rFonts w:ascii="宋体" w:hAnsi="宋体" w:eastAsia="宋体" w:cs="宋体"/>
          <w:spacing w:val="17"/>
          <w:sz w:val="23"/>
          <w:szCs w:val="23"/>
        </w:rPr>
        <w:t>求</w:t>
      </w:r>
      <w:r>
        <w:rPr>
          <w:rFonts w:ascii="宋体" w:hAnsi="宋体" w:eastAsia="宋体" w:cs="宋体"/>
          <w:spacing w:val="10"/>
          <w:sz w:val="23"/>
          <w:szCs w:val="23"/>
        </w:rPr>
        <w:t>建设方对运输车辆加强保养，选取优质燃料，禁止运输车辆超载行驶；并做好</w:t>
      </w:r>
      <w:r>
        <w:rPr>
          <w:rFonts w:ascii="宋体" w:hAnsi="宋体" w:eastAsia="宋体" w:cs="宋体"/>
          <w:sz w:val="23"/>
          <w:szCs w:val="23"/>
        </w:rPr>
        <w:t xml:space="preserve"> </w:t>
      </w:r>
      <w:r>
        <w:rPr>
          <w:rFonts w:ascii="宋体" w:hAnsi="宋体" w:eastAsia="宋体" w:cs="宋体"/>
          <w:spacing w:val="10"/>
          <w:sz w:val="23"/>
          <w:szCs w:val="23"/>
        </w:rPr>
        <w:t>施</w:t>
      </w:r>
      <w:r>
        <w:rPr>
          <w:rFonts w:ascii="宋体" w:hAnsi="宋体" w:eastAsia="宋体" w:cs="宋体"/>
          <w:spacing w:val="7"/>
          <w:sz w:val="23"/>
          <w:szCs w:val="23"/>
        </w:rPr>
        <w:t>工现场的交通组织，避免因施工造 成的交通阻塞，减少运输车辆怠速产生的废气</w:t>
      </w:r>
      <w:r>
        <w:rPr>
          <w:rFonts w:ascii="宋体" w:hAnsi="宋体" w:eastAsia="宋体" w:cs="宋体"/>
          <w:sz w:val="23"/>
          <w:szCs w:val="23"/>
        </w:rPr>
        <w:t xml:space="preserve"> </w:t>
      </w:r>
      <w:r>
        <w:rPr>
          <w:rFonts w:ascii="宋体" w:hAnsi="宋体" w:eastAsia="宋体" w:cs="宋体"/>
          <w:spacing w:val="9"/>
          <w:sz w:val="23"/>
          <w:szCs w:val="23"/>
        </w:rPr>
        <w:t>排放，进一步降低其对外界环境的影响</w:t>
      </w:r>
      <w:r>
        <w:rPr>
          <w:rFonts w:ascii="宋体" w:hAnsi="宋体" w:eastAsia="宋体" w:cs="宋体"/>
          <w:spacing w:val="8"/>
          <w:sz w:val="23"/>
          <w:szCs w:val="23"/>
        </w:rPr>
        <w:t>。</w:t>
      </w:r>
    </w:p>
    <w:p w14:paraId="744722B1">
      <w:pPr>
        <w:spacing w:line="303" w:lineRule="exact"/>
        <w:ind w:left="1129"/>
        <w:rPr>
          <w:rFonts w:ascii="宋体" w:hAnsi="宋体" w:eastAsia="宋体" w:cs="宋体"/>
          <w:sz w:val="23"/>
          <w:szCs w:val="23"/>
        </w:rPr>
      </w:pPr>
      <w:r>
        <w:rPr>
          <w:rFonts w:ascii="Times New Roman" w:hAnsi="Times New Roman" w:eastAsia="Times New Roman" w:cs="Times New Roman"/>
          <w:b/>
          <w:bCs/>
          <w:spacing w:val="-1"/>
          <w:position w:val="1"/>
          <w:sz w:val="23"/>
          <w:szCs w:val="23"/>
        </w:rPr>
        <w:t>4</w:t>
      </w:r>
      <w:r>
        <w:rPr>
          <w:rFonts w:ascii="Times New Roman" w:hAnsi="Times New Roman" w:eastAsia="Times New Roman" w:cs="Times New Roman"/>
          <w:spacing w:val="-1"/>
          <w:position w:val="1"/>
          <w:sz w:val="23"/>
          <w:szCs w:val="23"/>
        </w:rPr>
        <w:t xml:space="preserve"> </w:t>
      </w:r>
      <w:r>
        <w:rPr>
          <w:rFonts w:ascii="宋体" w:hAnsi="宋体" w:eastAsia="宋体" w:cs="宋体"/>
          <w:spacing w:val="-1"/>
          <w:position w:val="1"/>
          <w:sz w:val="23"/>
          <w:szCs w:val="23"/>
          <w14:textOutline w14:w="4356" w14:cap="sq" w14:cmpd="sng" w14:algn="ctr">
            <w14:solidFill>
              <w14:srgbClr w14:val="000000"/>
            </w14:solidFill>
            <w14:prstDash w14:val="solid"/>
            <w14:bevel/>
          </w14:textOutline>
        </w:rPr>
        <w:t>、装</w:t>
      </w:r>
      <w:r>
        <w:rPr>
          <w:rFonts w:ascii="宋体" w:hAnsi="宋体" w:eastAsia="宋体" w:cs="宋体"/>
          <w:position w:val="1"/>
          <w:sz w:val="23"/>
          <w:szCs w:val="23"/>
          <w14:textOutline w14:w="4356" w14:cap="sq" w14:cmpd="sng" w14:algn="ctr">
            <w14:solidFill>
              <w14:srgbClr w14:val="000000"/>
            </w14:solidFill>
            <w14:prstDash w14:val="solid"/>
            <w14:bevel/>
          </w14:textOutline>
        </w:rPr>
        <w:t>修废气</w:t>
      </w:r>
    </w:p>
    <w:p w14:paraId="680ADF3A">
      <w:pPr>
        <w:spacing w:before="162" w:line="382" w:lineRule="auto"/>
        <w:ind w:left="562" w:right="521" w:firstLine="453"/>
        <w:rPr>
          <w:rFonts w:ascii="宋体" w:hAnsi="宋体" w:eastAsia="宋体" w:cs="宋体"/>
          <w:sz w:val="23"/>
          <w:szCs w:val="23"/>
        </w:rPr>
      </w:pPr>
      <w:r>
        <w:rPr>
          <w:rFonts w:ascii="宋体" w:hAnsi="宋体" w:eastAsia="宋体" w:cs="宋体"/>
          <w:spacing w:val="20"/>
          <w:sz w:val="23"/>
          <w:szCs w:val="23"/>
        </w:rPr>
        <w:t>建</w:t>
      </w:r>
      <w:r>
        <w:rPr>
          <w:rFonts w:ascii="宋体" w:hAnsi="宋体" w:eastAsia="宋体" w:cs="宋体"/>
          <w:spacing w:val="14"/>
          <w:sz w:val="23"/>
          <w:szCs w:val="23"/>
        </w:rPr>
        <w:t>筑</w:t>
      </w:r>
      <w:r>
        <w:rPr>
          <w:rFonts w:ascii="宋体" w:hAnsi="宋体" w:eastAsia="宋体" w:cs="宋体"/>
          <w:spacing w:val="10"/>
          <w:sz w:val="23"/>
          <w:szCs w:val="23"/>
        </w:rPr>
        <w:t>装饰装修过程中，装修材料和涂料的选用应按照国家质检总局颁布的《室</w:t>
      </w:r>
      <w:r>
        <w:rPr>
          <w:rFonts w:ascii="宋体" w:hAnsi="宋体" w:eastAsia="宋体" w:cs="宋体"/>
          <w:sz w:val="23"/>
          <w:szCs w:val="23"/>
        </w:rPr>
        <w:t xml:space="preserve"> </w:t>
      </w:r>
      <w:r>
        <w:rPr>
          <w:rFonts w:ascii="宋体" w:hAnsi="宋体" w:eastAsia="宋体" w:cs="宋体"/>
          <w:spacing w:val="8"/>
          <w:sz w:val="23"/>
          <w:szCs w:val="23"/>
        </w:rPr>
        <w:t>内装修材</w:t>
      </w:r>
      <w:r>
        <w:rPr>
          <w:rFonts w:ascii="宋体" w:hAnsi="宋体" w:eastAsia="宋体" w:cs="宋体"/>
          <w:spacing w:val="7"/>
          <w:sz w:val="23"/>
          <w:szCs w:val="23"/>
        </w:rPr>
        <w:t>料</w:t>
      </w:r>
      <w:r>
        <w:rPr>
          <w:rFonts w:ascii="宋体" w:hAnsi="宋体" w:eastAsia="宋体" w:cs="宋体"/>
          <w:spacing w:val="4"/>
          <w:sz w:val="23"/>
          <w:szCs w:val="23"/>
        </w:rPr>
        <w:t xml:space="preserve"> </w:t>
      </w:r>
      <w:r>
        <w:rPr>
          <w:rFonts w:ascii="Times New Roman" w:hAnsi="Times New Roman" w:eastAsia="Times New Roman" w:cs="Times New Roman"/>
          <w:spacing w:val="4"/>
          <w:sz w:val="23"/>
          <w:szCs w:val="23"/>
        </w:rPr>
        <w:t xml:space="preserve">10 </w:t>
      </w:r>
      <w:r>
        <w:rPr>
          <w:rFonts w:ascii="宋体" w:hAnsi="宋体" w:eastAsia="宋体" w:cs="宋体"/>
          <w:spacing w:val="4"/>
          <w:sz w:val="23"/>
          <w:szCs w:val="23"/>
        </w:rPr>
        <w:t>项有害物质限量》规定进行，使用污染相对较小的环保型涂料和装修</w:t>
      </w:r>
    </w:p>
    <w:p w14:paraId="0422A8E3">
      <w:pPr>
        <w:sectPr>
          <w:footerReference r:id="rId178" w:type="default"/>
          <w:pgSz w:w="11907" w:h="16840"/>
          <w:pgMar w:top="400" w:right="1057" w:bottom="1485" w:left="1136" w:header="0" w:footer="1298" w:gutter="0"/>
          <w:cols w:space="720" w:num="1"/>
        </w:sectPr>
      </w:pPr>
    </w:p>
    <w:p w14:paraId="40B5C6C2">
      <w:pPr>
        <w:spacing w:line="460" w:lineRule="auto"/>
      </w:pPr>
      <w:r>
        <w:pict>
          <v:shape id="_x0000_s2101" o:spid="_x0000_s2101" style="position:absolute;left:0pt;margin-left:83pt;margin-top:57.2pt;height:0.5pt;width:433.35pt;mso-position-horizontal-relative:page;mso-position-vertical-relative:page;z-index:251729920;mso-width-relative:page;mso-height-relative:page;" fillcolor="#000000" filled="t" stroked="f" coordsize="8667,10" o:allowincell="f" path="m0,0l8666,0,8666,9,0,9,0,0xe">
            <v:fill on="t" focussize="0,0"/>
            <v:stroke on="f"/>
            <v:imagedata o:title=""/>
            <o:lock v:ext="edit"/>
          </v:shape>
        </w:pict>
      </w:r>
    </w:p>
    <w:p w14:paraId="1896E675">
      <w:pPr>
        <w:spacing w:before="56" w:line="229" w:lineRule="auto"/>
        <w:ind w:left="530"/>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7013D225">
      <w:pPr>
        <w:spacing w:before="69" w:line="374" w:lineRule="auto"/>
        <w:ind w:left="532" w:right="521"/>
        <w:rPr>
          <w:rFonts w:ascii="宋体" w:hAnsi="宋体" w:eastAsia="宋体" w:cs="宋体"/>
          <w:sz w:val="23"/>
          <w:szCs w:val="23"/>
        </w:rPr>
      </w:pPr>
      <w:r>
        <w:rPr>
          <w:rFonts w:ascii="宋体" w:hAnsi="宋体" w:eastAsia="宋体" w:cs="宋体"/>
          <w:spacing w:val="20"/>
          <w:sz w:val="23"/>
          <w:szCs w:val="23"/>
        </w:rPr>
        <w:t>材</w:t>
      </w:r>
      <w:r>
        <w:rPr>
          <w:rFonts w:ascii="宋体" w:hAnsi="宋体" w:eastAsia="宋体" w:cs="宋体"/>
          <w:spacing w:val="16"/>
          <w:sz w:val="23"/>
          <w:szCs w:val="23"/>
        </w:rPr>
        <w:t>料</w:t>
      </w:r>
      <w:r>
        <w:rPr>
          <w:rFonts w:ascii="宋体" w:hAnsi="宋体" w:eastAsia="宋体" w:cs="宋体"/>
          <w:spacing w:val="10"/>
          <w:sz w:val="23"/>
          <w:szCs w:val="23"/>
        </w:rPr>
        <w:t>，以减少材料中有害物质的散发量。在装修期间，应加强室内的通风换气，装</w:t>
      </w:r>
      <w:r>
        <w:rPr>
          <w:rFonts w:ascii="宋体" w:hAnsi="宋体" w:eastAsia="宋体" w:cs="宋体"/>
          <w:sz w:val="23"/>
          <w:szCs w:val="23"/>
        </w:rPr>
        <w:t xml:space="preserve"> </w:t>
      </w:r>
      <w:r>
        <w:rPr>
          <w:rFonts w:ascii="宋体" w:hAnsi="宋体" w:eastAsia="宋体" w:cs="宋体"/>
          <w:spacing w:val="20"/>
          <w:sz w:val="23"/>
          <w:szCs w:val="23"/>
        </w:rPr>
        <w:t>修</w:t>
      </w:r>
      <w:r>
        <w:rPr>
          <w:rFonts w:ascii="宋体" w:hAnsi="宋体" w:eastAsia="宋体" w:cs="宋体"/>
          <w:spacing w:val="17"/>
          <w:sz w:val="23"/>
          <w:szCs w:val="23"/>
        </w:rPr>
        <w:t>结</w:t>
      </w:r>
      <w:r>
        <w:rPr>
          <w:rFonts w:ascii="宋体" w:hAnsi="宋体" w:eastAsia="宋体" w:cs="宋体"/>
          <w:spacing w:val="10"/>
          <w:sz w:val="23"/>
          <w:szCs w:val="23"/>
        </w:rPr>
        <w:t>束完成以后，也应每天进行通风换气一至二个月后才能使用。由于装修时采用</w:t>
      </w:r>
      <w:r>
        <w:rPr>
          <w:rFonts w:ascii="宋体" w:hAnsi="宋体" w:eastAsia="宋体" w:cs="宋体"/>
          <w:sz w:val="23"/>
          <w:szCs w:val="23"/>
        </w:rPr>
        <w:t xml:space="preserve"> </w:t>
      </w:r>
      <w:r>
        <w:rPr>
          <w:rFonts w:ascii="宋体" w:hAnsi="宋体" w:eastAsia="宋体" w:cs="宋体"/>
          <w:spacing w:val="10"/>
          <w:sz w:val="23"/>
          <w:szCs w:val="23"/>
        </w:rPr>
        <w:t>的</w:t>
      </w:r>
      <w:r>
        <w:rPr>
          <w:rFonts w:ascii="宋体" w:hAnsi="宋体" w:eastAsia="宋体" w:cs="宋体"/>
          <w:spacing w:val="7"/>
          <w:sz w:val="23"/>
          <w:szCs w:val="23"/>
        </w:rPr>
        <w:t>三合板和涂料等中含有的甲醛、 甲苯、二甲苯等影响环境质量的有毒有害物质挥</w:t>
      </w:r>
      <w:r>
        <w:rPr>
          <w:rFonts w:ascii="宋体" w:hAnsi="宋体" w:eastAsia="宋体" w:cs="宋体"/>
          <w:sz w:val="23"/>
          <w:szCs w:val="23"/>
        </w:rPr>
        <w:t xml:space="preserve"> </w:t>
      </w:r>
      <w:r>
        <w:rPr>
          <w:rFonts w:ascii="宋体" w:hAnsi="宋体" w:eastAsia="宋体" w:cs="宋体"/>
          <w:spacing w:val="20"/>
          <w:sz w:val="23"/>
          <w:szCs w:val="23"/>
        </w:rPr>
        <w:t>发</w:t>
      </w:r>
      <w:r>
        <w:rPr>
          <w:rFonts w:ascii="宋体" w:hAnsi="宋体" w:eastAsia="宋体" w:cs="宋体"/>
          <w:spacing w:val="17"/>
          <w:sz w:val="23"/>
          <w:szCs w:val="23"/>
        </w:rPr>
        <w:t>时</w:t>
      </w:r>
      <w:r>
        <w:rPr>
          <w:rFonts w:ascii="宋体" w:hAnsi="宋体" w:eastAsia="宋体" w:cs="宋体"/>
          <w:spacing w:val="10"/>
          <w:sz w:val="23"/>
          <w:szCs w:val="23"/>
        </w:rPr>
        <w:t>间长，所以入住也要注意室内空气的流畅。装修扬尘则采用室内洒水降尘予以</w:t>
      </w:r>
      <w:r>
        <w:rPr>
          <w:rFonts w:ascii="宋体" w:hAnsi="宋体" w:eastAsia="宋体" w:cs="宋体"/>
          <w:sz w:val="23"/>
          <w:szCs w:val="23"/>
        </w:rPr>
        <w:t xml:space="preserve"> </w:t>
      </w:r>
      <w:r>
        <w:rPr>
          <w:rFonts w:ascii="宋体" w:hAnsi="宋体" w:eastAsia="宋体" w:cs="宋体"/>
          <w:spacing w:val="15"/>
          <w:sz w:val="23"/>
          <w:szCs w:val="23"/>
        </w:rPr>
        <w:t>控</w:t>
      </w:r>
      <w:r>
        <w:rPr>
          <w:rFonts w:ascii="宋体" w:hAnsi="宋体" w:eastAsia="宋体" w:cs="宋体"/>
          <w:spacing w:val="8"/>
          <w:sz w:val="23"/>
          <w:szCs w:val="23"/>
        </w:rPr>
        <w:t>制，降低施工扬尘产生量。</w:t>
      </w:r>
    </w:p>
    <w:p w14:paraId="4371C5C2">
      <w:pPr>
        <w:spacing w:line="228" w:lineRule="auto"/>
        <w:ind w:left="1016"/>
        <w:rPr>
          <w:rFonts w:ascii="宋体" w:hAnsi="宋体" w:eastAsia="宋体" w:cs="宋体"/>
          <w:sz w:val="23"/>
          <w:szCs w:val="23"/>
        </w:rPr>
      </w:pPr>
      <w:r>
        <w:rPr>
          <w:rFonts w:ascii="宋体" w:hAnsi="宋体" w:eastAsia="宋体" w:cs="宋体"/>
          <w:spacing w:val="9"/>
          <w:sz w:val="23"/>
          <w:szCs w:val="23"/>
        </w:rPr>
        <w:t>综上，本项目施工期废气对环境的影响较小</w:t>
      </w:r>
      <w:r>
        <w:rPr>
          <w:rFonts w:ascii="宋体" w:hAnsi="宋体" w:eastAsia="宋体" w:cs="宋体"/>
          <w:spacing w:val="6"/>
          <w:sz w:val="23"/>
          <w:szCs w:val="23"/>
        </w:rPr>
        <w:t>。</w:t>
      </w:r>
    </w:p>
    <w:p w14:paraId="7EBC881A">
      <w:pPr>
        <w:spacing w:before="184" w:line="227" w:lineRule="auto"/>
        <w:ind w:left="531"/>
        <w:outlineLvl w:val="2"/>
        <w:rPr>
          <w:rFonts w:ascii="宋体" w:hAnsi="宋体" w:eastAsia="宋体" w:cs="宋体"/>
          <w:sz w:val="23"/>
          <w:szCs w:val="23"/>
        </w:rPr>
      </w:pPr>
      <w:r>
        <w:rPr>
          <w:rFonts w:ascii="Times New Roman" w:hAnsi="Times New Roman" w:eastAsia="Times New Roman" w:cs="Times New Roman"/>
          <w:b/>
          <w:bCs/>
          <w:spacing w:val="9"/>
          <w:sz w:val="23"/>
          <w:szCs w:val="23"/>
        </w:rPr>
        <w:t>5</w:t>
      </w:r>
      <w:r>
        <w:rPr>
          <w:rFonts w:ascii="Times New Roman" w:hAnsi="Times New Roman" w:eastAsia="Times New Roman" w:cs="Times New Roman"/>
          <w:b/>
          <w:bCs/>
          <w:spacing w:val="6"/>
          <w:sz w:val="23"/>
          <w:szCs w:val="23"/>
        </w:rPr>
        <w:t>.1.3</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施工期地表水环境影响分析</w:t>
      </w:r>
    </w:p>
    <w:p w14:paraId="21BE4B7A">
      <w:pPr>
        <w:spacing w:before="182" w:line="227" w:lineRule="auto"/>
        <w:ind w:left="957"/>
        <w:rPr>
          <w:rFonts w:ascii="宋体" w:hAnsi="宋体" w:eastAsia="宋体" w:cs="宋体"/>
          <w:sz w:val="23"/>
          <w:szCs w:val="23"/>
        </w:rPr>
      </w:pPr>
      <w:r>
        <w:rPr>
          <w:rFonts w:ascii="宋体" w:hAnsi="宋体" w:eastAsia="宋体" w:cs="宋体"/>
          <w:spacing w:val="15"/>
          <w:sz w:val="23"/>
          <w:szCs w:val="23"/>
        </w:rPr>
        <w:t>施</w:t>
      </w:r>
      <w:r>
        <w:rPr>
          <w:rFonts w:ascii="宋体" w:hAnsi="宋体" w:eastAsia="宋体" w:cs="宋体"/>
          <w:spacing w:val="9"/>
          <w:sz w:val="23"/>
          <w:szCs w:val="23"/>
        </w:rPr>
        <w:t>工期产生的污水主要有施工废水和施工人员生活废水。</w:t>
      </w:r>
    </w:p>
    <w:p w14:paraId="1C624EE1">
      <w:pPr>
        <w:tabs>
          <w:tab w:val="left" w:pos="659"/>
        </w:tabs>
        <w:spacing w:before="142" w:line="374" w:lineRule="auto"/>
        <w:ind w:left="533" w:right="519" w:firstLine="423"/>
        <w:rPr>
          <w:rFonts w:ascii="宋体" w:hAnsi="宋体" w:eastAsia="宋体" w:cs="宋体"/>
          <w:sz w:val="23"/>
          <w:szCs w:val="23"/>
        </w:rPr>
      </w:pPr>
      <w:r>
        <w:rPr>
          <w:rFonts w:ascii="宋体" w:hAnsi="宋体" w:eastAsia="宋体" w:cs="宋体"/>
          <w:spacing w:val="10"/>
          <w:sz w:val="23"/>
          <w:szCs w:val="23"/>
        </w:rPr>
        <w:t>施</w:t>
      </w:r>
      <w:r>
        <w:rPr>
          <w:rFonts w:ascii="宋体" w:hAnsi="宋体" w:eastAsia="宋体" w:cs="宋体"/>
          <w:spacing w:val="7"/>
          <w:sz w:val="23"/>
          <w:szCs w:val="23"/>
        </w:rPr>
        <w:t>工</w:t>
      </w:r>
      <w:r>
        <w:rPr>
          <w:rFonts w:ascii="宋体" w:hAnsi="宋体" w:eastAsia="宋体" w:cs="宋体"/>
          <w:spacing w:val="5"/>
          <w:sz w:val="23"/>
          <w:szCs w:val="23"/>
        </w:rPr>
        <w:t xml:space="preserve">废水中含有大量的泥沙与悬浮物 (浓度在 </w:t>
      </w:r>
      <w:r>
        <w:rPr>
          <w:rFonts w:ascii="Times New Roman" w:hAnsi="Times New Roman" w:eastAsia="Times New Roman" w:cs="Times New Roman"/>
          <w:spacing w:val="5"/>
          <w:sz w:val="23"/>
          <w:szCs w:val="23"/>
        </w:rPr>
        <w:t>1000</w:t>
      </w:r>
      <w:r>
        <w:rPr>
          <w:rFonts w:ascii="Times New Roman" w:hAnsi="Times New Roman" w:eastAsia="Times New Roman" w:cs="Times New Roman"/>
          <w:sz w:val="23"/>
          <w:szCs w:val="23"/>
        </w:rPr>
        <w:t>mg</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L</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左右) ，另有少量油污</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17"/>
          <w:sz w:val="23"/>
          <w:szCs w:val="23"/>
        </w:rPr>
        <w:t>(</w:t>
      </w:r>
      <w:r>
        <w:rPr>
          <w:rFonts w:ascii="宋体" w:hAnsi="宋体" w:eastAsia="宋体" w:cs="宋体"/>
          <w:spacing w:val="10"/>
          <w:sz w:val="23"/>
          <w:szCs w:val="23"/>
        </w:rPr>
        <w:t xml:space="preserve">浓度在 </w:t>
      </w:r>
      <w:r>
        <w:rPr>
          <w:rFonts w:ascii="Times New Roman" w:hAnsi="Times New Roman" w:eastAsia="Times New Roman" w:cs="Times New Roman"/>
          <w:spacing w:val="10"/>
          <w:sz w:val="23"/>
          <w:szCs w:val="23"/>
        </w:rPr>
        <w:t>20</w:t>
      </w:r>
      <w:r>
        <w:rPr>
          <w:rFonts w:ascii="Times New Roman" w:hAnsi="Times New Roman" w:eastAsia="Times New Roman" w:cs="Times New Roman"/>
          <w:sz w:val="23"/>
          <w:szCs w:val="23"/>
        </w:rPr>
        <w:t>mg</w:t>
      </w:r>
      <w:r>
        <w:rPr>
          <w:rFonts w:ascii="Times New Roman" w:hAnsi="Times New Roman" w:eastAsia="Times New Roman" w:cs="Times New Roman"/>
          <w:spacing w:val="10"/>
          <w:sz w:val="23"/>
          <w:szCs w:val="23"/>
        </w:rPr>
        <w:t>/</w:t>
      </w:r>
      <w:r>
        <w:rPr>
          <w:rFonts w:ascii="Times New Roman" w:hAnsi="Times New Roman" w:eastAsia="Times New Roman" w:cs="Times New Roman"/>
          <w:sz w:val="23"/>
          <w:szCs w:val="23"/>
        </w:rPr>
        <w:t>L</w:t>
      </w:r>
      <w:r>
        <w:rPr>
          <w:rFonts w:ascii="Times New Roman" w:hAnsi="Times New Roman" w:eastAsia="Times New Roman" w:cs="Times New Roman"/>
          <w:spacing w:val="10"/>
          <w:sz w:val="23"/>
          <w:szCs w:val="23"/>
        </w:rPr>
        <w:t xml:space="preserve"> </w:t>
      </w:r>
      <w:r>
        <w:rPr>
          <w:rFonts w:ascii="宋体" w:hAnsi="宋体" w:eastAsia="宋体" w:cs="宋体"/>
          <w:spacing w:val="10"/>
          <w:sz w:val="23"/>
          <w:szCs w:val="23"/>
        </w:rPr>
        <w:t>左右) ，经临时隔油沉淀池处理后上清液循环利用，不外排，对</w:t>
      </w:r>
      <w:r>
        <w:rPr>
          <w:rFonts w:ascii="宋体" w:hAnsi="宋体" w:eastAsia="宋体" w:cs="宋体"/>
          <w:sz w:val="23"/>
          <w:szCs w:val="23"/>
        </w:rPr>
        <w:t xml:space="preserve"> </w:t>
      </w:r>
      <w:r>
        <w:rPr>
          <w:rFonts w:ascii="宋体" w:hAnsi="宋体" w:eastAsia="宋体" w:cs="宋体"/>
          <w:spacing w:val="10"/>
          <w:sz w:val="23"/>
          <w:szCs w:val="23"/>
        </w:rPr>
        <w:t>环</w:t>
      </w:r>
      <w:r>
        <w:rPr>
          <w:rFonts w:ascii="宋体" w:hAnsi="宋体" w:eastAsia="宋体" w:cs="宋体"/>
          <w:spacing w:val="6"/>
          <w:sz w:val="23"/>
          <w:szCs w:val="23"/>
        </w:rPr>
        <w:t>境无影响。</w:t>
      </w:r>
    </w:p>
    <w:p w14:paraId="0278D320">
      <w:pPr>
        <w:spacing w:before="3" w:line="386" w:lineRule="auto"/>
        <w:ind w:left="520" w:right="439" w:firstLine="436"/>
        <w:rPr>
          <w:rFonts w:ascii="宋体" w:hAnsi="宋体" w:eastAsia="宋体" w:cs="宋体"/>
          <w:sz w:val="23"/>
          <w:szCs w:val="23"/>
        </w:rPr>
      </w:pPr>
      <w:r>
        <w:rPr>
          <w:rFonts w:ascii="宋体" w:hAnsi="宋体" w:eastAsia="宋体" w:cs="宋体"/>
          <w:spacing w:val="6"/>
          <w:sz w:val="23"/>
          <w:szCs w:val="23"/>
        </w:rPr>
        <w:t>施</w:t>
      </w:r>
      <w:r>
        <w:rPr>
          <w:rFonts w:ascii="宋体" w:hAnsi="宋体" w:eastAsia="宋体" w:cs="宋体"/>
          <w:spacing w:val="4"/>
          <w:sz w:val="23"/>
          <w:szCs w:val="23"/>
        </w:rPr>
        <w:t>工</w:t>
      </w:r>
      <w:r>
        <w:rPr>
          <w:rFonts w:ascii="宋体" w:hAnsi="宋体" w:eastAsia="宋体" w:cs="宋体"/>
          <w:spacing w:val="3"/>
          <w:sz w:val="23"/>
          <w:szCs w:val="23"/>
        </w:rPr>
        <w:t xml:space="preserve">期生活污水排放量约为 </w:t>
      </w:r>
      <w:r>
        <w:rPr>
          <w:rFonts w:ascii="Times New Roman" w:hAnsi="Times New Roman" w:eastAsia="Times New Roman" w:cs="Times New Roman"/>
          <w:spacing w:val="3"/>
          <w:sz w:val="23"/>
          <w:szCs w:val="23"/>
        </w:rPr>
        <w:t>2.0</w:t>
      </w:r>
      <w:r>
        <w:rPr>
          <w:rFonts w:ascii="Times New Roman" w:hAnsi="Times New Roman" w:eastAsia="Times New Roman" w:cs="Times New Roman"/>
          <w:sz w:val="23"/>
          <w:szCs w:val="23"/>
        </w:rPr>
        <w:t>m</w:t>
      </w:r>
      <w:r>
        <w:rPr>
          <w:rFonts w:ascii="Times New Roman" w:hAnsi="Times New Roman" w:eastAsia="Times New Roman" w:cs="Times New Roman"/>
          <w:spacing w:val="3"/>
          <w:position w:val="7"/>
          <w:sz w:val="15"/>
          <w:szCs w:val="15"/>
        </w:rPr>
        <w:t>3</w:t>
      </w:r>
      <w:r>
        <w:rPr>
          <w:rFonts w:ascii="Times New Roman" w:hAnsi="Times New Roman" w:eastAsia="Times New Roman" w:cs="Times New Roman"/>
          <w:spacing w:val="3"/>
          <w:sz w:val="23"/>
          <w:szCs w:val="23"/>
        </w:rPr>
        <w:t>/</w:t>
      </w:r>
      <w:r>
        <w:rPr>
          <w:rFonts w:ascii="Times New Roman" w:hAnsi="Times New Roman" w:eastAsia="Times New Roman" w:cs="Times New Roman"/>
          <w:sz w:val="23"/>
          <w:szCs w:val="23"/>
        </w:rPr>
        <w:t>d</w:t>
      </w:r>
      <w:r>
        <w:rPr>
          <w:rFonts w:ascii="宋体" w:hAnsi="宋体" w:eastAsia="宋体" w:cs="宋体"/>
          <w:spacing w:val="3"/>
          <w:sz w:val="23"/>
          <w:szCs w:val="23"/>
        </w:rPr>
        <w:t xml:space="preserve">。施工人员生活污水中主要含 </w:t>
      </w:r>
      <w:r>
        <w:rPr>
          <w:rFonts w:ascii="Times New Roman" w:hAnsi="Times New Roman" w:eastAsia="Times New Roman" w:cs="Times New Roman"/>
          <w:sz w:val="23"/>
          <w:szCs w:val="23"/>
        </w:rPr>
        <w:t>COD</w:t>
      </w:r>
      <w:r>
        <w:rPr>
          <w:rFonts w:ascii="宋体" w:hAnsi="宋体" w:eastAsia="宋体" w:cs="宋体"/>
          <w:spacing w:val="3"/>
          <w:sz w:val="23"/>
          <w:szCs w:val="23"/>
        </w:rPr>
        <w:t>、</w:t>
      </w:r>
      <w:r>
        <w:rPr>
          <w:rFonts w:ascii="Times New Roman" w:hAnsi="Times New Roman" w:eastAsia="Times New Roman" w:cs="Times New Roman"/>
          <w:sz w:val="23"/>
          <w:szCs w:val="23"/>
        </w:rPr>
        <w:t>BOD</w:t>
      </w:r>
      <w:r>
        <w:rPr>
          <w:rFonts w:ascii="Times New Roman" w:hAnsi="Times New Roman" w:eastAsia="Times New Roman" w:cs="Times New Roman"/>
          <w:spacing w:val="3"/>
          <w:position w:val="-1"/>
          <w:sz w:val="15"/>
          <w:szCs w:val="15"/>
        </w:rPr>
        <w:t>5</w:t>
      </w:r>
      <w:r>
        <w:rPr>
          <w:rFonts w:ascii="宋体" w:hAnsi="宋体" w:eastAsia="宋体" w:cs="宋体"/>
          <w:spacing w:val="3"/>
          <w:sz w:val="23"/>
          <w:szCs w:val="23"/>
        </w:rPr>
        <w:t>、</w:t>
      </w:r>
      <w:r>
        <w:rPr>
          <w:rFonts w:ascii="宋体" w:hAnsi="宋体" w:eastAsia="宋体" w:cs="宋体"/>
          <w:sz w:val="23"/>
          <w:szCs w:val="23"/>
        </w:rPr>
        <w:t xml:space="preserve"> </w:t>
      </w:r>
      <w:r>
        <w:rPr>
          <w:rFonts w:ascii="Times New Roman" w:hAnsi="Times New Roman" w:eastAsia="Times New Roman" w:cs="Times New Roman"/>
          <w:sz w:val="23"/>
          <w:szCs w:val="23"/>
        </w:rPr>
        <w:t>NH</w:t>
      </w:r>
      <w:r>
        <w:rPr>
          <w:rFonts w:ascii="Times New Roman" w:hAnsi="Times New Roman" w:eastAsia="Times New Roman" w:cs="Times New Roman"/>
          <w:spacing w:val="12"/>
          <w:position w:val="-1"/>
          <w:sz w:val="15"/>
          <w:szCs w:val="15"/>
        </w:rPr>
        <w:t>3</w:t>
      </w:r>
      <w:r>
        <w:rPr>
          <w:rFonts w:ascii="Times New Roman" w:hAnsi="Times New Roman" w:eastAsia="Times New Roman" w:cs="Times New Roman"/>
          <w:spacing w:val="7"/>
          <w:sz w:val="23"/>
          <w:szCs w:val="23"/>
        </w:rPr>
        <w:t>-</w:t>
      </w:r>
      <w:r>
        <w:rPr>
          <w:rFonts w:ascii="Times New Roman" w:hAnsi="Times New Roman" w:eastAsia="Times New Roman" w:cs="Times New Roman"/>
          <w:sz w:val="23"/>
          <w:szCs w:val="23"/>
        </w:rPr>
        <w:t>N</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w:t>
      </w:r>
      <w:r>
        <w:rPr>
          <w:rFonts w:ascii="Times New Roman" w:hAnsi="Times New Roman" w:eastAsia="Times New Roman" w:cs="Times New Roman"/>
          <w:sz w:val="23"/>
          <w:szCs w:val="23"/>
        </w:rPr>
        <w:t>SS</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等，经旱厕处理后用于施肥。</w:t>
      </w:r>
    </w:p>
    <w:p w14:paraId="70482DBE">
      <w:pPr>
        <w:spacing w:before="13" w:line="230" w:lineRule="auto"/>
        <w:ind w:left="976"/>
        <w:rPr>
          <w:rFonts w:ascii="宋体" w:hAnsi="宋体" w:eastAsia="宋体" w:cs="宋体"/>
          <w:sz w:val="23"/>
          <w:szCs w:val="23"/>
        </w:rPr>
      </w:pPr>
      <w:r>
        <w:rPr>
          <w:rFonts w:ascii="宋体" w:hAnsi="宋体" w:eastAsia="宋体" w:cs="宋体"/>
          <w:spacing w:val="9"/>
          <w:sz w:val="23"/>
          <w:szCs w:val="23"/>
        </w:rPr>
        <w:t>因此，项目施工期废水在采取了上述措施后，对周边环境不会造成明显影响</w:t>
      </w:r>
      <w:r>
        <w:rPr>
          <w:rFonts w:ascii="宋体" w:hAnsi="宋体" w:eastAsia="宋体" w:cs="宋体"/>
          <w:spacing w:val="4"/>
          <w:sz w:val="23"/>
          <w:szCs w:val="23"/>
        </w:rPr>
        <w:t>。</w:t>
      </w:r>
    </w:p>
    <w:p w14:paraId="1C0FB7EE">
      <w:pPr>
        <w:spacing w:before="181" w:line="228" w:lineRule="auto"/>
        <w:ind w:left="531"/>
        <w:outlineLvl w:val="2"/>
        <w:rPr>
          <w:rFonts w:ascii="宋体" w:hAnsi="宋体" w:eastAsia="宋体" w:cs="宋体"/>
          <w:sz w:val="23"/>
          <w:szCs w:val="23"/>
        </w:rPr>
      </w:pPr>
      <w:r>
        <w:rPr>
          <w:rFonts w:ascii="Times New Roman" w:hAnsi="Times New Roman" w:eastAsia="Times New Roman" w:cs="Times New Roman"/>
          <w:b/>
          <w:bCs/>
          <w:spacing w:val="6"/>
          <w:sz w:val="23"/>
          <w:szCs w:val="23"/>
        </w:rPr>
        <w:t>5.1.4</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施工期声环境影响分</w:t>
      </w:r>
      <w:r>
        <w:rPr>
          <w:rFonts w:ascii="宋体" w:hAnsi="宋体" w:eastAsia="宋体" w:cs="宋体"/>
          <w:spacing w:val="4"/>
          <w:sz w:val="23"/>
          <w:szCs w:val="23"/>
          <w14:textOutline w14:w="4356" w14:cap="sq" w14:cmpd="sng" w14:algn="ctr">
            <w14:solidFill>
              <w14:srgbClr w14:val="000000"/>
            </w14:solidFill>
            <w14:prstDash w14:val="solid"/>
            <w14:bevel/>
          </w14:textOutline>
        </w:rPr>
        <w:t>析</w:t>
      </w:r>
    </w:p>
    <w:p w14:paraId="220FF137">
      <w:pPr>
        <w:spacing w:before="184" w:line="228" w:lineRule="auto"/>
        <w:ind w:left="969"/>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1</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源强分析</w:t>
      </w:r>
    </w:p>
    <w:p w14:paraId="58A596F5">
      <w:pPr>
        <w:spacing w:before="181" w:line="375" w:lineRule="auto"/>
        <w:ind w:left="533" w:right="519" w:firstLine="479"/>
        <w:rPr>
          <w:rFonts w:ascii="宋体" w:hAnsi="宋体" w:eastAsia="宋体" w:cs="宋体"/>
          <w:sz w:val="23"/>
          <w:szCs w:val="23"/>
        </w:rPr>
      </w:pPr>
      <w:r>
        <w:rPr>
          <w:rFonts w:ascii="宋体" w:hAnsi="宋体" w:eastAsia="宋体" w:cs="宋体"/>
          <w:spacing w:val="7"/>
          <w:sz w:val="23"/>
          <w:szCs w:val="23"/>
        </w:rPr>
        <w:t>施工期的噪声主要来源于施工现场的各类机械设备噪声， 由于各施工阶段均</w:t>
      </w:r>
      <w:r>
        <w:rPr>
          <w:rFonts w:ascii="宋体" w:hAnsi="宋体" w:eastAsia="宋体" w:cs="宋体"/>
          <w:spacing w:val="4"/>
          <w:sz w:val="23"/>
          <w:szCs w:val="23"/>
        </w:rPr>
        <w:t>有</w:t>
      </w:r>
      <w:r>
        <w:rPr>
          <w:rFonts w:ascii="宋体" w:hAnsi="宋体" w:eastAsia="宋体" w:cs="宋体"/>
          <w:sz w:val="23"/>
          <w:szCs w:val="23"/>
        </w:rPr>
        <w:t xml:space="preserve"> </w:t>
      </w:r>
      <w:r>
        <w:rPr>
          <w:rFonts w:ascii="宋体" w:hAnsi="宋体" w:eastAsia="宋体" w:cs="宋体"/>
          <w:spacing w:val="20"/>
          <w:sz w:val="23"/>
          <w:szCs w:val="23"/>
        </w:rPr>
        <w:t>大</w:t>
      </w:r>
      <w:r>
        <w:rPr>
          <w:rFonts w:ascii="宋体" w:hAnsi="宋体" w:eastAsia="宋体" w:cs="宋体"/>
          <w:spacing w:val="16"/>
          <w:sz w:val="23"/>
          <w:szCs w:val="23"/>
        </w:rPr>
        <w:t>量</w:t>
      </w:r>
      <w:r>
        <w:rPr>
          <w:rFonts w:ascii="宋体" w:hAnsi="宋体" w:eastAsia="宋体" w:cs="宋体"/>
          <w:spacing w:val="10"/>
          <w:sz w:val="23"/>
          <w:szCs w:val="23"/>
        </w:rPr>
        <w:t>设备交互作业，这些设备在场地内的位置以及使用率均有较大变化，因此很难</w:t>
      </w:r>
      <w:r>
        <w:rPr>
          <w:rFonts w:ascii="宋体" w:hAnsi="宋体" w:eastAsia="宋体" w:cs="宋体"/>
          <w:sz w:val="23"/>
          <w:szCs w:val="23"/>
        </w:rPr>
        <w:t xml:space="preserve"> </w:t>
      </w:r>
      <w:r>
        <w:rPr>
          <w:rFonts w:ascii="宋体" w:hAnsi="宋体" w:eastAsia="宋体" w:cs="宋体"/>
          <w:spacing w:val="20"/>
          <w:sz w:val="23"/>
          <w:szCs w:val="23"/>
        </w:rPr>
        <w:t>计</w:t>
      </w:r>
      <w:r>
        <w:rPr>
          <w:rFonts w:ascii="宋体" w:hAnsi="宋体" w:eastAsia="宋体" w:cs="宋体"/>
          <w:spacing w:val="16"/>
          <w:sz w:val="23"/>
          <w:szCs w:val="23"/>
        </w:rPr>
        <w:t>算</w:t>
      </w:r>
      <w:r>
        <w:rPr>
          <w:rFonts w:ascii="宋体" w:hAnsi="宋体" w:eastAsia="宋体" w:cs="宋体"/>
          <w:spacing w:val="10"/>
          <w:sz w:val="23"/>
          <w:szCs w:val="23"/>
        </w:rPr>
        <w:t>其确切的施工场界噪声，根据施工量，按经验计算各施工阶段的昼夜的主要噪</w:t>
      </w:r>
      <w:r>
        <w:rPr>
          <w:rFonts w:ascii="宋体" w:hAnsi="宋体" w:eastAsia="宋体" w:cs="宋体"/>
          <w:sz w:val="23"/>
          <w:szCs w:val="23"/>
        </w:rPr>
        <w:t xml:space="preserve"> </w:t>
      </w:r>
      <w:r>
        <w:rPr>
          <w:rFonts w:ascii="宋体" w:hAnsi="宋体" w:eastAsia="宋体" w:cs="宋体"/>
          <w:spacing w:val="-1"/>
          <w:sz w:val="23"/>
          <w:szCs w:val="23"/>
        </w:rPr>
        <w:t>声源及场</w:t>
      </w:r>
      <w:r>
        <w:rPr>
          <w:rFonts w:ascii="宋体" w:hAnsi="宋体" w:eastAsia="宋体" w:cs="宋体"/>
          <w:sz w:val="23"/>
          <w:szCs w:val="23"/>
        </w:rPr>
        <w:t xml:space="preserve">界噪声和标准声级见表 </w:t>
      </w:r>
      <w:r>
        <w:rPr>
          <w:rFonts w:ascii="Times New Roman" w:hAnsi="Times New Roman" w:eastAsia="Times New Roman" w:cs="Times New Roman"/>
          <w:sz w:val="23"/>
          <w:szCs w:val="23"/>
        </w:rPr>
        <w:t>5. 1-5</w:t>
      </w:r>
      <w:r>
        <w:rPr>
          <w:rFonts w:ascii="宋体" w:hAnsi="宋体" w:eastAsia="宋体" w:cs="宋体"/>
          <w:sz w:val="23"/>
          <w:szCs w:val="23"/>
        </w:rPr>
        <w:t xml:space="preserve">、表 </w:t>
      </w:r>
      <w:r>
        <w:rPr>
          <w:rFonts w:ascii="Times New Roman" w:hAnsi="Times New Roman" w:eastAsia="Times New Roman" w:cs="Times New Roman"/>
          <w:sz w:val="23"/>
          <w:szCs w:val="23"/>
        </w:rPr>
        <w:t>5. 1-6</w:t>
      </w:r>
      <w:r>
        <w:rPr>
          <w:rFonts w:ascii="宋体" w:hAnsi="宋体" w:eastAsia="宋体" w:cs="宋体"/>
          <w:sz w:val="23"/>
          <w:szCs w:val="23"/>
        </w:rPr>
        <w:t xml:space="preserve">。施工期间的场界噪声必须满足《建 </w:t>
      </w:r>
      <w:r>
        <w:rPr>
          <w:rFonts w:ascii="宋体" w:hAnsi="宋体" w:eastAsia="宋体" w:cs="宋体"/>
          <w:spacing w:val="6"/>
          <w:sz w:val="23"/>
          <w:szCs w:val="23"/>
        </w:rPr>
        <w:t>筑施工场界环境噪</w:t>
      </w:r>
      <w:r>
        <w:rPr>
          <w:rFonts w:ascii="宋体" w:hAnsi="宋体" w:eastAsia="宋体" w:cs="宋体"/>
          <w:spacing w:val="4"/>
          <w:sz w:val="23"/>
          <w:szCs w:val="23"/>
        </w:rPr>
        <w:t>声</w:t>
      </w:r>
      <w:r>
        <w:rPr>
          <w:rFonts w:ascii="宋体" w:hAnsi="宋体" w:eastAsia="宋体" w:cs="宋体"/>
          <w:spacing w:val="3"/>
          <w:sz w:val="23"/>
          <w:szCs w:val="23"/>
        </w:rPr>
        <w:t>排放标准》  (</w:t>
      </w:r>
      <w:r>
        <w:rPr>
          <w:rFonts w:ascii="Times New Roman" w:hAnsi="Times New Roman" w:eastAsia="Times New Roman" w:cs="Times New Roman"/>
          <w:sz w:val="23"/>
          <w:szCs w:val="23"/>
        </w:rPr>
        <w:t>GB</w:t>
      </w:r>
      <w:r>
        <w:rPr>
          <w:rFonts w:ascii="Times New Roman" w:hAnsi="Times New Roman" w:eastAsia="Times New Roman" w:cs="Times New Roman"/>
          <w:spacing w:val="3"/>
          <w:sz w:val="23"/>
          <w:szCs w:val="23"/>
        </w:rPr>
        <w:t>12523-2011</w:t>
      </w:r>
      <w:r>
        <w:rPr>
          <w:rFonts w:ascii="宋体" w:hAnsi="宋体" w:eastAsia="宋体" w:cs="宋体"/>
          <w:spacing w:val="3"/>
          <w:sz w:val="23"/>
          <w:szCs w:val="23"/>
        </w:rPr>
        <w:t>) 标准要求。</w:t>
      </w:r>
    </w:p>
    <w:p w14:paraId="639D15E2">
      <w:pPr>
        <w:spacing w:line="221" w:lineRule="auto"/>
        <w:ind w:left="3390"/>
        <w:rPr>
          <w:rFonts w:ascii="黑体" w:hAnsi="黑体" w:eastAsia="黑体" w:cs="黑体"/>
          <w:sz w:val="23"/>
          <w:szCs w:val="23"/>
        </w:rPr>
      </w:pPr>
      <w:r>
        <w:rPr>
          <w:rFonts w:ascii="黑体" w:hAnsi="黑体" w:eastAsia="黑体" w:cs="黑体"/>
          <w:spacing w:val="-1"/>
          <w:sz w:val="23"/>
          <w:szCs w:val="23"/>
        </w:rPr>
        <w:t xml:space="preserve">表 </w:t>
      </w:r>
      <w:r>
        <w:rPr>
          <w:rFonts w:ascii="Times New Roman" w:hAnsi="Times New Roman" w:eastAsia="Times New Roman" w:cs="Times New Roman"/>
          <w:spacing w:val="-1"/>
          <w:sz w:val="23"/>
          <w:szCs w:val="23"/>
        </w:rPr>
        <w:t>5. 1</w:t>
      </w:r>
      <w:r>
        <w:rPr>
          <w:rFonts w:ascii="Times New Roman" w:hAnsi="Times New Roman" w:eastAsia="Times New Roman" w:cs="Times New Roman"/>
          <w:sz w:val="23"/>
          <w:szCs w:val="23"/>
        </w:rPr>
        <w:t xml:space="preserve">-5    </w:t>
      </w:r>
      <w:r>
        <w:rPr>
          <w:rFonts w:ascii="黑体" w:hAnsi="黑体" w:eastAsia="黑体" w:cs="黑体"/>
          <w:sz w:val="23"/>
          <w:szCs w:val="23"/>
        </w:rPr>
        <w:t>交通运输车辆噪声</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34"/>
        <w:gridCol w:w="3047"/>
        <w:gridCol w:w="2541"/>
        <w:gridCol w:w="2090"/>
      </w:tblGrid>
      <w:tr w14:paraId="7105E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2034" w:type="dxa"/>
            <w:tcBorders>
              <w:left w:val="nil"/>
            </w:tcBorders>
          </w:tcPr>
          <w:p w14:paraId="1C5D79FD">
            <w:pPr>
              <w:spacing w:before="156" w:line="229" w:lineRule="auto"/>
              <w:ind w:left="603"/>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施工阶</w:t>
            </w:r>
            <w:r>
              <w:rPr>
                <w:rFonts w:ascii="宋体" w:hAnsi="宋体" w:eastAsia="宋体" w:cs="宋体"/>
                <w:spacing w:val="8"/>
                <w:sz w:val="20"/>
                <w:szCs w:val="20"/>
                <w14:textOutline w14:w="3797" w14:cap="sq" w14:cmpd="sng" w14:algn="ctr">
                  <w14:solidFill>
                    <w14:srgbClr w14:val="000000"/>
                  </w14:solidFill>
                  <w14:prstDash w14:val="solid"/>
                  <w14:bevel/>
                </w14:textOutline>
              </w:rPr>
              <w:t>段</w:t>
            </w:r>
          </w:p>
        </w:tc>
        <w:tc>
          <w:tcPr>
            <w:tcW w:w="3047" w:type="dxa"/>
          </w:tcPr>
          <w:p w14:paraId="491D8E31">
            <w:pPr>
              <w:spacing w:before="156" w:line="228" w:lineRule="auto"/>
              <w:ind w:left="1109"/>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运</w:t>
            </w:r>
            <w:r>
              <w:rPr>
                <w:rFonts w:ascii="宋体" w:hAnsi="宋体" w:eastAsia="宋体" w:cs="宋体"/>
                <w:spacing w:val="8"/>
                <w:sz w:val="20"/>
                <w:szCs w:val="20"/>
                <w14:textOutline w14:w="3797" w14:cap="sq" w14:cmpd="sng" w14:algn="ctr">
                  <w14:solidFill>
                    <w14:srgbClr w14:val="000000"/>
                  </w14:solidFill>
                  <w14:prstDash w14:val="solid"/>
                  <w14:bevel/>
                </w14:textOutline>
              </w:rPr>
              <w:t>输内容</w:t>
            </w:r>
          </w:p>
        </w:tc>
        <w:tc>
          <w:tcPr>
            <w:tcW w:w="2541" w:type="dxa"/>
          </w:tcPr>
          <w:p w14:paraId="0DE4B8E2">
            <w:pPr>
              <w:spacing w:before="156" w:line="228" w:lineRule="auto"/>
              <w:ind w:left="857"/>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车辆类型</w:t>
            </w:r>
          </w:p>
        </w:tc>
        <w:tc>
          <w:tcPr>
            <w:tcW w:w="2090" w:type="dxa"/>
            <w:tcBorders>
              <w:right w:val="nil"/>
            </w:tcBorders>
          </w:tcPr>
          <w:p w14:paraId="1A9569BB">
            <w:pPr>
              <w:spacing w:before="115" w:line="289" w:lineRule="exact"/>
              <w:ind w:left="118"/>
              <w:rPr>
                <w:rFonts w:ascii="Times New Roman" w:hAnsi="Times New Roman" w:eastAsia="Times New Roman" w:cs="Times New Roman"/>
                <w:sz w:val="20"/>
                <w:szCs w:val="20"/>
              </w:rPr>
            </w:pPr>
            <w:r>
              <w:rPr>
                <w:rFonts w:ascii="宋体" w:hAnsi="宋体" w:eastAsia="宋体" w:cs="宋体"/>
                <w:spacing w:val="11"/>
                <w:position w:val="2"/>
                <w:sz w:val="20"/>
                <w:szCs w:val="20"/>
                <w14:textOutline w14:w="3797" w14:cap="sq" w14:cmpd="sng" w14:algn="ctr">
                  <w14:solidFill>
                    <w14:srgbClr w14:val="000000"/>
                  </w14:solidFill>
                  <w14:prstDash w14:val="solid"/>
                  <w14:bevel/>
                </w14:textOutline>
              </w:rPr>
              <w:t>声</w:t>
            </w:r>
            <w:r>
              <w:rPr>
                <w:rFonts w:ascii="宋体" w:hAnsi="宋体" w:eastAsia="宋体" w:cs="宋体"/>
                <w:spacing w:val="7"/>
                <w:position w:val="2"/>
                <w:sz w:val="20"/>
                <w:szCs w:val="20"/>
                <w14:textOutline w14:w="3797" w14:cap="sq" w14:cmpd="sng" w14:algn="ctr">
                  <w14:solidFill>
                    <w14:srgbClr w14:val="000000"/>
                  </w14:solidFill>
                  <w14:prstDash w14:val="solid"/>
                  <w14:bevel/>
                </w14:textOutline>
              </w:rPr>
              <w:t>源强度</w:t>
            </w:r>
            <w:r>
              <w:rPr>
                <w:rFonts w:ascii="Times New Roman" w:hAnsi="Times New Roman" w:eastAsia="Times New Roman" w:cs="Times New Roman"/>
                <w:b/>
                <w:bCs/>
                <w:spacing w:val="7"/>
                <w:position w:val="2"/>
                <w:sz w:val="20"/>
                <w:szCs w:val="20"/>
              </w:rPr>
              <w:t>[</w:t>
            </w:r>
            <w:r>
              <w:rPr>
                <w:rFonts w:ascii="Times New Roman" w:hAnsi="Times New Roman" w:eastAsia="Times New Roman" w:cs="Times New Roman"/>
                <w:b/>
                <w:bCs/>
                <w:position w:val="2"/>
                <w:sz w:val="20"/>
                <w:szCs w:val="20"/>
              </w:rPr>
              <w:t>dB</w:t>
            </w:r>
            <w:r>
              <w:rPr>
                <w:rFonts w:ascii="Times New Roman" w:hAnsi="Times New Roman" w:eastAsia="Times New Roman" w:cs="Times New Roman"/>
                <w:b/>
                <w:bCs/>
                <w:spacing w:val="7"/>
                <w:position w:val="2"/>
                <w:sz w:val="20"/>
                <w:szCs w:val="20"/>
              </w:rPr>
              <w:t>(</w:t>
            </w:r>
            <w:r>
              <w:rPr>
                <w:rFonts w:ascii="Times New Roman" w:hAnsi="Times New Roman" w:eastAsia="Times New Roman" w:cs="Times New Roman"/>
                <w:b/>
                <w:bCs/>
                <w:position w:val="2"/>
                <w:sz w:val="20"/>
                <w:szCs w:val="20"/>
              </w:rPr>
              <w:t>A</w:t>
            </w:r>
            <w:r>
              <w:rPr>
                <w:rFonts w:ascii="Times New Roman" w:hAnsi="Times New Roman" w:eastAsia="Times New Roman" w:cs="Times New Roman"/>
                <w:b/>
                <w:bCs/>
                <w:spacing w:val="7"/>
                <w:position w:val="2"/>
                <w:sz w:val="20"/>
                <w:szCs w:val="20"/>
              </w:rPr>
              <w:t>)]</w:t>
            </w:r>
          </w:p>
        </w:tc>
      </w:tr>
      <w:tr w14:paraId="6D8C6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2034" w:type="dxa"/>
            <w:tcBorders>
              <w:left w:val="nil"/>
            </w:tcBorders>
          </w:tcPr>
          <w:p w14:paraId="0A0F89DD">
            <w:pPr>
              <w:spacing w:before="45" w:line="229" w:lineRule="auto"/>
              <w:ind w:left="501"/>
              <w:rPr>
                <w:rFonts w:ascii="宋体" w:hAnsi="宋体" w:eastAsia="宋体" w:cs="宋体"/>
                <w:sz w:val="20"/>
                <w:szCs w:val="20"/>
              </w:rPr>
            </w:pPr>
            <w:r>
              <w:rPr>
                <w:rFonts w:ascii="宋体" w:hAnsi="宋体" w:eastAsia="宋体" w:cs="宋体"/>
                <w:spacing w:val="8"/>
                <w:sz w:val="20"/>
                <w:szCs w:val="20"/>
              </w:rPr>
              <w:t>土石方阶</w:t>
            </w:r>
            <w:r>
              <w:rPr>
                <w:rFonts w:ascii="宋体" w:hAnsi="宋体" w:eastAsia="宋体" w:cs="宋体"/>
                <w:spacing w:val="7"/>
                <w:sz w:val="20"/>
                <w:szCs w:val="20"/>
              </w:rPr>
              <w:t>段</w:t>
            </w:r>
          </w:p>
        </w:tc>
        <w:tc>
          <w:tcPr>
            <w:tcW w:w="3047" w:type="dxa"/>
          </w:tcPr>
          <w:p w14:paraId="11288BF9">
            <w:pPr>
              <w:spacing w:before="44" w:line="228" w:lineRule="auto"/>
              <w:ind w:left="1109"/>
              <w:rPr>
                <w:rFonts w:ascii="宋体" w:hAnsi="宋体" w:eastAsia="宋体" w:cs="宋体"/>
                <w:sz w:val="20"/>
                <w:szCs w:val="20"/>
              </w:rPr>
            </w:pPr>
            <w:r>
              <w:rPr>
                <w:rFonts w:ascii="宋体" w:hAnsi="宋体" w:eastAsia="宋体" w:cs="宋体"/>
                <w:spacing w:val="7"/>
                <w:sz w:val="20"/>
                <w:szCs w:val="20"/>
              </w:rPr>
              <w:t>土石方等</w:t>
            </w:r>
          </w:p>
        </w:tc>
        <w:tc>
          <w:tcPr>
            <w:tcW w:w="2541" w:type="dxa"/>
          </w:tcPr>
          <w:p w14:paraId="5B8E9B22">
            <w:pPr>
              <w:spacing w:before="44" w:line="228" w:lineRule="auto"/>
              <w:ind w:left="752"/>
              <w:rPr>
                <w:rFonts w:ascii="宋体" w:hAnsi="宋体" w:eastAsia="宋体" w:cs="宋体"/>
                <w:sz w:val="20"/>
                <w:szCs w:val="20"/>
              </w:rPr>
            </w:pPr>
            <w:r>
              <w:rPr>
                <w:rFonts w:ascii="宋体" w:hAnsi="宋体" w:eastAsia="宋体" w:cs="宋体"/>
                <w:spacing w:val="10"/>
                <w:sz w:val="20"/>
                <w:szCs w:val="20"/>
              </w:rPr>
              <w:t>大</w:t>
            </w:r>
            <w:r>
              <w:rPr>
                <w:rFonts w:ascii="宋体" w:hAnsi="宋体" w:eastAsia="宋体" w:cs="宋体"/>
                <w:spacing w:val="7"/>
                <w:sz w:val="20"/>
                <w:szCs w:val="20"/>
              </w:rPr>
              <w:t>型载重车</w:t>
            </w:r>
          </w:p>
        </w:tc>
        <w:tc>
          <w:tcPr>
            <w:tcW w:w="2090" w:type="dxa"/>
            <w:tcBorders>
              <w:right w:val="nil"/>
            </w:tcBorders>
          </w:tcPr>
          <w:p w14:paraId="08E252BA">
            <w:pPr>
              <w:spacing w:before="45" w:line="238" w:lineRule="auto"/>
              <w:ind w:left="740"/>
              <w:rPr>
                <w:rFonts w:ascii="Times New Roman" w:hAnsi="Times New Roman" w:eastAsia="Times New Roman" w:cs="Times New Roman"/>
                <w:sz w:val="20"/>
                <w:szCs w:val="20"/>
              </w:rPr>
            </w:pPr>
            <w:r>
              <w:rPr>
                <w:rFonts w:ascii="Times New Roman" w:hAnsi="Times New Roman" w:eastAsia="Times New Roman" w:cs="Times New Roman"/>
                <w:spacing w:val="25"/>
                <w:sz w:val="20"/>
                <w:szCs w:val="20"/>
              </w:rPr>
              <w:t>8</w:t>
            </w:r>
            <w:r>
              <w:rPr>
                <w:rFonts w:ascii="Times New Roman" w:hAnsi="Times New Roman" w:eastAsia="Times New Roman" w:cs="Times New Roman"/>
                <w:spacing w:val="23"/>
                <w:sz w:val="20"/>
                <w:szCs w:val="20"/>
              </w:rPr>
              <w:t>4</w:t>
            </w:r>
            <w:r>
              <w:rPr>
                <w:rFonts w:ascii="宋体" w:hAnsi="宋体" w:eastAsia="宋体" w:cs="宋体"/>
                <w:spacing w:val="23"/>
                <w:sz w:val="20"/>
                <w:szCs w:val="20"/>
              </w:rPr>
              <w:t>~</w:t>
            </w:r>
            <w:r>
              <w:rPr>
                <w:rFonts w:ascii="Times New Roman" w:hAnsi="Times New Roman" w:eastAsia="Times New Roman" w:cs="Times New Roman"/>
                <w:spacing w:val="23"/>
                <w:sz w:val="20"/>
                <w:szCs w:val="20"/>
              </w:rPr>
              <w:t>89</w:t>
            </w:r>
          </w:p>
        </w:tc>
      </w:tr>
      <w:tr w14:paraId="4D9C2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2034" w:type="dxa"/>
            <w:tcBorders>
              <w:left w:val="nil"/>
            </w:tcBorders>
          </w:tcPr>
          <w:p w14:paraId="3E86B3C3">
            <w:pPr>
              <w:spacing w:before="63" w:line="227" w:lineRule="auto"/>
              <w:ind w:left="288"/>
              <w:rPr>
                <w:rFonts w:ascii="宋体" w:hAnsi="宋体" w:eastAsia="宋体" w:cs="宋体"/>
                <w:sz w:val="20"/>
                <w:szCs w:val="20"/>
              </w:rPr>
            </w:pPr>
            <w:r>
              <w:rPr>
                <w:rFonts w:ascii="宋体" w:hAnsi="宋体" w:eastAsia="宋体" w:cs="宋体"/>
                <w:spacing w:val="9"/>
                <w:sz w:val="20"/>
                <w:szCs w:val="20"/>
              </w:rPr>
              <w:t>底板与结构阶</w:t>
            </w:r>
            <w:r>
              <w:rPr>
                <w:rFonts w:ascii="宋体" w:hAnsi="宋体" w:eastAsia="宋体" w:cs="宋体"/>
                <w:spacing w:val="7"/>
                <w:sz w:val="20"/>
                <w:szCs w:val="20"/>
              </w:rPr>
              <w:t>段</w:t>
            </w:r>
          </w:p>
        </w:tc>
        <w:tc>
          <w:tcPr>
            <w:tcW w:w="3047" w:type="dxa"/>
          </w:tcPr>
          <w:p w14:paraId="50AB1914">
            <w:pPr>
              <w:spacing w:before="63" w:line="228" w:lineRule="auto"/>
              <w:ind w:left="792"/>
              <w:rPr>
                <w:rFonts w:ascii="宋体" w:hAnsi="宋体" w:eastAsia="宋体" w:cs="宋体"/>
                <w:sz w:val="20"/>
                <w:szCs w:val="20"/>
              </w:rPr>
            </w:pPr>
            <w:r>
              <w:rPr>
                <w:rFonts w:ascii="宋体" w:hAnsi="宋体" w:eastAsia="宋体" w:cs="宋体"/>
                <w:spacing w:val="9"/>
                <w:sz w:val="20"/>
                <w:szCs w:val="20"/>
              </w:rPr>
              <w:t>钢筋、混凝土</w:t>
            </w:r>
            <w:r>
              <w:rPr>
                <w:rFonts w:ascii="宋体" w:hAnsi="宋体" w:eastAsia="宋体" w:cs="宋体"/>
                <w:spacing w:val="8"/>
                <w:sz w:val="20"/>
                <w:szCs w:val="20"/>
              </w:rPr>
              <w:t>等</w:t>
            </w:r>
          </w:p>
        </w:tc>
        <w:tc>
          <w:tcPr>
            <w:tcW w:w="2541" w:type="dxa"/>
          </w:tcPr>
          <w:p w14:paraId="4EEDFAEB">
            <w:pPr>
              <w:spacing w:before="63" w:line="228" w:lineRule="auto"/>
              <w:ind w:left="332"/>
              <w:rPr>
                <w:rFonts w:ascii="宋体" w:hAnsi="宋体" w:eastAsia="宋体" w:cs="宋体"/>
                <w:sz w:val="20"/>
                <w:szCs w:val="20"/>
              </w:rPr>
            </w:pPr>
            <w:r>
              <w:rPr>
                <w:rFonts w:ascii="宋体" w:hAnsi="宋体" w:eastAsia="宋体" w:cs="宋体"/>
                <w:spacing w:val="14"/>
                <w:sz w:val="20"/>
                <w:szCs w:val="20"/>
              </w:rPr>
              <w:t>混</w:t>
            </w:r>
            <w:r>
              <w:rPr>
                <w:rFonts w:ascii="宋体" w:hAnsi="宋体" w:eastAsia="宋体" w:cs="宋体"/>
                <w:spacing w:val="8"/>
                <w:sz w:val="20"/>
                <w:szCs w:val="20"/>
              </w:rPr>
              <w:t>凝土罐车、载重车</w:t>
            </w:r>
          </w:p>
        </w:tc>
        <w:tc>
          <w:tcPr>
            <w:tcW w:w="2090" w:type="dxa"/>
            <w:tcBorders>
              <w:right w:val="nil"/>
            </w:tcBorders>
          </w:tcPr>
          <w:p w14:paraId="1ABFDD5E">
            <w:pPr>
              <w:spacing w:before="63" w:line="265" w:lineRule="exact"/>
              <w:ind w:left="740"/>
              <w:rPr>
                <w:rFonts w:ascii="Times New Roman" w:hAnsi="Times New Roman" w:eastAsia="Times New Roman" w:cs="Times New Roman"/>
                <w:sz w:val="20"/>
                <w:szCs w:val="20"/>
              </w:rPr>
            </w:pPr>
            <w:r>
              <w:rPr>
                <w:rFonts w:ascii="Times New Roman" w:hAnsi="Times New Roman" w:eastAsia="Times New Roman" w:cs="Times New Roman"/>
                <w:spacing w:val="25"/>
                <w:sz w:val="20"/>
                <w:szCs w:val="20"/>
              </w:rPr>
              <w:t>8</w:t>
            </w:r>
            <w:r>
              <w:rPr>
                <w:rFonts w:ascii="Times New Roman" w:hAnsi="Times New Roman" w:eastAsia="Times New Roman" w:cs="Times New Roman"/>
                <w:spacing w:val="23"/>
                <w:sz w:val="20"/>
                <w:szCs w:val="20"/>
              </w:rPr>
              <w:t>0</w:t>
            </w:r>
            <w:r>
              <w:rPr>
                <w:rFonts w:ascii="宋体" w:hAnsi="宋体" w:eastAsia="宋体" w:cs="宋体"/>
                <w:spacing w:val="23"/>
                <w:sz w:val="20"/>
                <w:szCs w:val="20"/>
              </w:rPr>
              <w:t>~</w:t>
            </w:r>
            <w:r>
              <w:rPr>
                <w:rFonts w:ascii="Times New Roman" w:hAnsi="Times New Roman" w:eastAsia="Times New Roman" w:cs="Times New Roman"/>
                <w:spacing w:val="23"/>
                <w:sz w:val="20"/>
                <w:szCs w:val="20"/>
              </w:rPr>
              <w:t>85</w:t>
            </w:r>
          </w:p>
        </w:tc>
      </w:tr>
      <w:tr w14:paraId="207460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2034" w:type="dxa"/>
            <w:tcBorders>
              <w:left w:val="nil"/>
            </w:tcBorders>
          </w:tcPr>
          <w:p w14:paraId="7B128CCC">
            <w:pPr>
              <w:spacing w:before="137" w:line="228" w:lineRule="auto"/>
              <w:ind w:left="395"/>
              <w:rPr>
                <w:rFonts w:ascii="宋体" w:hAnsi="宋体" w:eastAsia="宋体" w:cs="宋体"/>
                <w:sz w:val="20"/>
                <w:szCs w:val="20"/>
              </w:rPr>
            </w:pPr>
            <w:r>
              <w:rPr>
                <w:rFonts w:ascii="宋体" w:hAnsi="宋体" w:eastAsia="宋体" w:cs="宋体"/>
                <w:spacing w:val="9"/>
                <w:sz w:val="20"/>
                <w:szCs w:val="20"/>
              </w:rPr>
              <w:t>装</w:t>
            </w:r>
            <w:r>
              <w:rPr>
                <w:rFonts w:ascii="宋体" w:hAnsi="宋体" w:eastAsia="宋体" w:cs="宋体"/>
                <w:spacing w:val="8"/>
                <w:sz w:val="20"/>
                <w:szCs w:val="20"/>
              </w:rPr>
              <w:t>修安装阶段</w:t>
            </w:r>
          </w:p>
        </w:tc>
        <w:tc>
          <w:tcPr>
            <w:tcW w:w="3047" w:type="dxa"/>
          </w:tcPr>
          <w:p w14:paraId="11B06BD8">
            <w:pPr>
              <w:spacing w:before="118" w:line="227" w:lineRule="auto"/>
              <w:ind w:left="377"/>
              <w:rPr>
                <w:rFonts w:ascii="宋体" w:hAnsi="宋体" w:eastAsia="宋体" w:cs="宋体"/>
                <w:sz w:val="20"/>
                <w:szCs w:val="20"/>
              </w:rPr>
            </w:pPr>
            <w:r>
              <w:rPr>
                <w:rFonts w:ascii="宋体" w:hAnsi="宋体" w:eastAsia="宋体" w:cs="宋体"/>
                <w:spacing w:val="9"/>
                <w:sz w:val="20"/>
                <w:szCs w:val="20"/>
              </w:rPr>
              <w:t>各种装修材料机必备设</w:t>
            </w:r>
            <w:r>
              <w:rPr>
                <w:rFonts w:ascii="宋体" w:hAnsi="宋体" w:eastAsia="宋体" w:cs="宋体"/>
                <w:spacing w:val="8"/>
                <w:sz w:val="20"/>
                <w:szCs w:val="20"/>
              </w:rPr>
              <w:t>备</w:t>
            </w:r>
          </w:p>
        </w:tc>
        <w:tc>
          <w:tcPr>
            <w:tcW w:w="2541" w:type="dxa"/>
          </w:tcPr>
          <w:p w14:paraId="3825E927">
            <w:pPr>
              <w:spacing w:before="118" w:line="228" w:lineRule="auto"/>
              <w:ind w:left="645"/>
              <w:rPr>
                <w:rFonts w:ascii="宋体" w:hAnsi="宋体" w:eastAsia="宋体" w:cs="宋体"/>
                <w:sz w:val="20"/>
                <w:szCs w:val="20"/>
              </w:rPr>
            </w:pPr>
            <w:r>
              <w:rPr>
                <w:rFonts w:ascii="宋体" w:hAnsi="宋体" w:eastAsia="宋体" w:cs="宋体"/>
                <w:spacing w:val="8"/>
                <w:sz w:val="20"/>
                <w:szCs w:val="20"/>
              </w:rPr>
              <w:t>轻型载重卡车</w:t>
            </w:r>
          </w:p>
        </w:tc>
        <w:tc>
          <w:tcPr>
            <w:tcW w:w="2090" w:type="dxa"/>
            <w:tcBorders>
              <w:right w:val="nil"/>
            </w:tcBorders>
          </w:tcPr>
          <w:p w14:paraId="216E530A">
            <w:pPr>
              <w:spacing w:before="118" w:line="264" w:lineRule="exact"/>
              <w:ind w:left="735"/>
              <w:rPr>
                <w:rFonts w:ascii="Times New Roman" w:hAnsi="Times New Roman" w:eastAsia="Times New Roman" w:cs="Times New Roman"/>
                <w:sz w:val="20"/>
                <w:szCs w:val="20"/>
              </w:rPr>
            </w:pPr>
            <w:r>
              <w:rPr>
                <w:rFonts w:ascii="Times New Roman" w:hAnsi="Times New Roman" w:eastAsia="Times New Roman" w:cs="Times New Roman"/>
                <w:spacing w:val="26"/>
                <w:sz w:val="20"/>
                <w:szCs w:val="20"/>
              </w:rPr>
              <w:t>7</w:t>
            </w:r>
            <w:r>
              <w:rPr>
                <w:rFonts w:ascii="Times New Roman" w:hAnsi="Times New Roman" w:eastAsia="Times New Roman" w:cs="Times New Roman"/>
                <w:spacing w:val="24"/>
                <w:sz w:val="20"/>
                <w:szCs w:val="20"/>
              </w:rPr>
              <w:t>5</w:t>
            </w:r>
            <w:r>
              <w:rPr>
                <w:rFonts w:ascii="宋体" w:hAnsi="宋体" w:eastAsia="宋体" w:cs="宋体"/>
                <w:spacing w:val="24"/>
                <w:sz w:val="20"/>
                <w:szCs w:val="20"/>
              </w:rPr>
              <w:t>~</w:t>
            </w:r>
            <w:r>
              <w:rPr>
                <w:rFonts w:ascii="Times New Roman" w:hAnsi="Times New Roman" w:eastAsia="Times New Roman" w:cs="Times New Roman"/>
                <w:spacing w:val="24"/>
                <w:sz w:val="20"/>
                <w:szCs w:val="20"/>
              </w:rPr>
              <w:t>80</w:t>
            </w:r>
          </w:p>
        </w:tc>
      </w:tr>
    </w:tbl>
    <w:p w14:paraId="2B9D6B3E">
      <w:pPr>
        <w:spacing w:before="36" w:line="222" w:lineRule="auto"/>
        <w:ind w:left="3150"/>
        <w:rPr>
          <w:rFonts w:ascii="黑体" w:hAnsi="黑体" w:eastAsia="黑体" w:cs="黑体"/>
          <w:sz w:val="23"/>
          <w:szCs w:val="23"/>
        </w:rPr>
      </w:pPr>
      <w:r>
        <w:rPr>
          <w:rFonts w:ascii="黑体" w:hAnsi="黑体" w:eastAsia="黑体" w:cs="黑体"/>
          <w:spacing w:val="1"/>
          <w:sz w:val="23"/>
          <w:szCs w:val="23"/>
        </w:rPr>
        <w:t xml:space="preserve">表 </w:t>
      </w:r>
      <w:r>
        <w:rPr>
          <w:rFonts w:ascii="Times New Roman" w:hAnsi="Times New Roman" w:eastAsia="Times New Roman" w:cs="Times New Roman"/>
          <w:spacing w:val="1"/>
          <w:sz w:val="23"/>
          <w:szCs w:val="23"/>
        </w:rPr>
        <w:t xml:space="preserve">5. 1-6    </w:t>
      </w:r>
      <w:r>
        <w:rPr>
          <w:rFonts w:ascii="黑体" w:hAnsi="黑体" w:eastAsia="黑体" w:cs="黑体"/>
          <w:spacing w:val="1"/>
          <w:sz w:val="23"/>
          <w:szCs w:val="23"/>
        </w:rPr>
        <w:t>施工</w:t>
      </w:r>
      <w:r>
        <w:rPr>
          <w:rFonts w:ascii="黑体" w:hAnsi="黑体" w:eastAsia="黑体" w:cs="黑体"/>
          <w:sz w:val="23"/>
          <w:szCs w:val="23"/>
        </w:rPr>
        <w:t>期噪声声源强度表</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08"/>
        <w:gridCol w:w="3208"/>
        <w:gridCol w:w="3296"/>
      </w:tblGrid>
      <w:tr w14:paraId="67095F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3208" w:type="dxa"/>
            <w:tcBorders>
              <w:left w:val="nil"/>
              <w:right w:val="single" w:color="000000" w:sz="4" w:space="0"/>
            </w:tcBorders>
          </w:tcPr>
          <w:p w14:paraId="5127E3E4">
            <w:pPr>
              <w:spacing w:before="54" w:line="229" w:lineRule="auto"/>
              <w:ind w:left="1191"/>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施工阶</w:t>
            </w:r>
            <w:r>
              <w:rPr>
                <w:rFonts w:ascii="宋体" w:hAnsi="宋体" w:eastAsia="宋体" w:cs="宋体"/>
                <w:spacing w:val="8"/>
                <w:sz w:val="20"/>
                <w:szCs w:val="20"/>
                <w14:textOutline w14:w="3797" w14:cap="sq" w14:cmpd="sng" w14:algn="ctr">
                  <w14:solidFill>
                    <w14:srgbClr w14:val="000000"/>
                  </w14:solidFill>
                  <w14:prstDash w14:val="solid"/>
                  <w14:bevel/>
                </w14:textOutline>
              </w:rPr>
              <w:t>段</w:t>
            </w:r>
          </w:p>
        </w:tc>
        <w:tc>
          <w:tcPr>
            <w:tcW w:w="3208" w:type="dxa"/>
            <w:tcBorders>
              <w:left w:val="single" w:color="000000" w:sz="4" w:space="0"/>
              <w:right w:val="single" w:color="000000" w:sz="4" w:space="0"/>
            </w:tcBorders>
          </w:tcPr>
          <w:p w14:paraId="025E8EC7">
            <w:pPr>
              <w:spacing w:before="55" w:line="228" w:lineRule="auto"/>
              <w:ind w:left="1400"/>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声</w:t>
            </w:r>
            <w:r>
              <w:rPr>
                <w:rFonts w:ascii="宋体" w:hAnsi="宋体" w:eastAsia="宋体" w:cs="宋体"/>
                <w:spacing w:val="3"/>
                <w:sz w:val="20"/>
                <w:szCs w:val="20"/>
                <w14:textOutline w14:w="3797" w14:cap="sq" w14:cmpd="sng" w14:algn="ctr">
                  <w14:solidFill>
                    <w14:srgbClr w14:val="000000"/>
                  </w14:solidFill>
                  <w14:prstDash w14:val="solid"/>
                  <w14:bevel/>
                </w14:textOutline>
              </w:rPr>
              <w:t>源</w:t>
            </w:r>
          </w:p>
        </w:tc>
        <w:tc>
          <w:tcPr>
            <w:tcW w:w="3296" w:type="dxa"/>
            <w:tcBorders>
              <w:left w:val="single" w:color="000000" w:sz="4" w:space="0"/>
              <w:right w:val="nil"/>
            </w:tcBorders>
          </w:tcPr>
          <w:p w14:paraId="00981FD2">
            <w:pPr>
              <w:spacing w:before="13" w:line="289" w:lineRule="exact"/>
              <w:ind w:left="892"/>
              <w:rPr>
                <w:rFonts w:ascii="Times New Roman" w:hAnsi="Times New Roman" w:eastAsia="Times New Roman" w:cs="Times New Roman"/>
                <w:sz w:val="20"/>
                <w:szCs w:val="20"/>
              </w:rPr>
            </w:pPr>
            <w:r>
              <w:rPr>
                <w:rFonts w:ascii="宋体" w:hAnsi="宋体" w:eastAsia="宋体" w:cs="宋体"/>
                <w:spacing w:val="11"/>
                <w:position w:val="2"/>
                <w:sz w:val="20"/>
                <w:szCs w:val="20"/>
                <w14:textOutline w14:w="3797" w14:cap="sq" w14:cmpd="sng" w14:algn="ctr">
                  <w14:solidFill>
                    <w14:srgbClr w14:val="000000"/>
                  </w14:solidFill>
                  <w14:prstDash w14:val="solid"/>
                  <w14:bevel/>
                </w14:textOutline>
              </w:rPr>
              <w:t>声</w:t>
            </w:r>
            <w:r>
              <w:rPr>
                <w:rFonts w:ascii="宋体" w:hAnsi="宋体" w:eastAsia="宋体" w:cs="宋体"/>
                <w:spacing w:val="7"/>
                <w:position w:val="2"/>
                <w:sz w:val="20"/>
                <w:szCs w:val="20"/>
                <w14:textOutline w14:w="3797" w14:cap="sq" w14:cmpd="sng" w14:algn="ctr">
                  <w14:solidFill>
                    <w14:srgbClr w14:val="000000"/>
                  </w14:solidFill>
                  <w14:prstDash w14:val="solid"/>
                  <w14:bevel/>
                </w14:textOutline>
              </w:rPr>
              <w:t>源强度</w:t>
            </w:r>
            <w:r>
              <w:rPr>
                <w:rFonts w:ascii="Times New Roman" w:hAnsi="Times New Roman" w:eastAsia="Times New Roman" w:cs="Times New Roman"/>
                <w:b/>
                <w:bCs/>
                <w:spacing w:val="7"/>
                <w:position w:val="2"/>
                <w:sz w:val="20"/>
                <w:szCs w:val="20"/>
              </w:rPr>
              <w:t>[</w:t>
            </w:r>
            <w:r>
              <w:rPr>
                <w:rFonts w:ascii="Times New Roman" w:hAnsi="Times New Roman" w:eastAsia="Times New Roman" w:cs="Times New Roman"/>
                <w:b/>
                <w:bCs/>
                <w:position w:val="2"/>
                <w:sz w:val="20"/>
                <w:szCs w:val="20"/>
              </w:rPr>
              <w:t>dB</w:t>
            </w:r>
            <w:r>
              <w:rPr>
                <w:rFonts w:ascii="Times New Roman" w:hAnsi="Times New Roman" w:eastAsia="Times New Roman" w:cs="Times New Roman"/>
                <w:b/>
                <w:bCs/>
                <w:spacing w:val="7"/>
                <w:position w:val="2"/>
                <w:sz w:val="20"/>
                <w:szCs w:val="20"/>
              </w:rPr>
              <w:t>(</w:t>
            </w:r>
            <w:r>
              <w:rPr>
                <w:rFonts w:ascii="Times New Roman" w:hAnsi="Times New Roman" w:eastAsia="Times New Roman" w:cs="Times New Roman"/>
                <w:b/>
                <w:bCs/>
                <w:position w:val="2"/>
                <w:sz w:val="20"/>
                <w:szCs w:val="20"/>
              </w:rPr>
              <w:t>A</w:t>
            </w:r>
            <w:r>
              <w:rPr>
                <w:rFonts w:ascii="Times New Roman" w:hAnsi="Times New Roman" w:eastAsia="Times New Roman" w:cs="Times New Roman"/>
                <w:b/>
                <w:bCs/>
                <w:spacing w:val="7"/>
                <w:position w:val="2"/>
                <w:sz w:val="20"/>
                <w:szCs w:val="20"/>
              </w:rPr>
              <w:t>)]</w:t>
            </w:r>
          </w:p>
        </w:tc>
      </w:tr>
      <w:tr w14:paraId="1EC225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3208" w:type="dxa"/>
            <w:vMerge w:val="restart"/>
            <w:tcBorders>
              <w:left w:val="nil"/>
              <w:bottom w:val="nil"/>
              <w:right w:val="single" w:color="000000" w:sz="4" w:space="0"/>
            </w:tcBorders>
          </w:tcPr>
          <w:p w14:paraId="6D9838A4">
            <w:pPr>
              <w:spacing w:line="395" w:lineRule="auto"/>
            </w:pPr>
          </w:p>
          <w:p w14:paraId="03C1D83A">
            <w:pPr>
              <w:spacing w:before="65" w:line="229" w:lineRule="auto"/>
              <w:ind w:left="1087"/>
              <w:rPr>
                <w:rFonts w:ascii="宋体" w:hAnsi="宋体" w:eastAsia="宋体" w:cs="宋体"/>
                <w:sz w:val="20"/>
                <w:szCs w:val="20"/>
              </w:rPr>
            </w:pPr>
            <w:r>
              <w:rPr>
                <w:rFonts w:ascii="宋体" w:hAnsi="宋体" w:eastAsia="宋体" w:cs="宋体"/>
                <w:spacing w:val="8"/>
                <w:sz w:val="20"/>
                <w:szCs w:val="20"/>
              </w:rPr>
              <w:t>土石方阶</w:t>
            </w:r>
            <w:r>
              <w:rPr>
                <w:rFonts w:ascii="宋体" w:hAnsi="宋体" w:eastAsia="宋体" w:cs="宋体"/>
                <w:spacing w:val="7"/>
                <w:sz w:val="20"/>
                <w:szCs w:val="20"/>
              </w:rPr>
              <w:t>段</w:t>
            </w:r>
          </w:p>
        </w:tc>
        <w:tc>
          <w:tcPr>
            <w:tcW w:w="3208" w:type="dxa"/>
            <w:tcBorders>
              <w:left w:val="single" w:color="000000" w:sz="4" w:space="0"/>
              <w:right w:val="single" w:color="000000" w:sz="4" w:space="0"/>
            </w:tcBorders>
          </w:tcPr>
          <w:p w14:paraId="3E90EB3B">
            <w:pPr>
              <w:spacing w:before="33" w:line="227" w:lineRule="auto"/>
              <w:ind w:left="1290"/>
              <w:rPr>
                <w:rFonts w:ascii="宋体" w:hAnsi="宋体" w:eastAsia="宋体" w:cs="宋体"/>
                <w:sz w:val="20"/>
                <w:szCs w:val="20"/>
              </w:rPr>
            </w:pPr>
            <w:r>
              <w:rPr>
                <w:rFonts w:ascii="宋体" w:hAnsi="宋体" w:eastAsia="宋体" w:cs="宋体"/>
                <w:spacing w:val="7"/>
                <w:sz w:val="20"/>
                <w:szCs w:val="20"/>
              </w:rPr>
              <w:t>挖土机</w:t>
            </w:r>
          </w:p>
        </w:tc>
        <w:tc>
          <w:tcPr>
            <w:tcW w:w="3296" w:type="dxa"/>
            <w:tcBorders>
              <w:left w:val="single" w:color="000000" w:sz="4" w:space="0"/>
              <w:right w:val="nil"/>
            </w:tcBorders>
          </w:tcPr>
          <w:p w14:paraId="589D1F2F">
            <w:pPr>
              <w:spacing w:before="33" w:line="229" w:lineRule="auto"/>
              <w:ind w:left="1334"/>
              <w:rPr>
                <w:rFonts w:ascii="Times New Roman" w:hAnsi="Times New Roman" w:eastAsia="Times New Roman" w:cs="Times New Roman"/>
                <w:sz w:val="20"/>
                <w:szCs w:val="20"/>
              </w:rPr>
            </w:pPr>
            <w:r>
              <w:rPr>
                <w:rFonts w:ascii="Times New Roman" w:hAnsi="Times New Roman" w:eastAsia="Times New Roman" w:cs="Times New Roman"/>
                <w:spacing w:val="26"/>
                <w:sz w:val="20"/>
                <w:szCs w:val="20"/>
              </w:rPr>
              <w:t>7</w:t>
            </w:r>
            <w:r>
              <w:rPr>
                <w:rFonts w:ascii="Times New Roman" w:hAnsi="Times New Roman" w:eastAsia="Times New Roman" w:cs="Times New Roman"/>
                <w:spacing w:val="24"/>
                <w:sz w:val="20"/>
                <w:szCs w:val="20"/>
              </w:rPr>
              <w:t>8</w:t>
            </w:r>
            <w:r>
              <w:rPr>
                <w:rFonts w:ascii="宋体" w:hAnsi="宋体" w:eastAsia="宋体" w:cs="宋体"/>
                <w:spacing w:val="24"/>
                <w:sz w:val="20"/>
                <w:szCs w:val="20"/>
              </w:rPr>
              <w:t>~</w:t>
            </w:r>
            <w:r>
              <w:rPr>
                <w:rFonts w:ascii="Times New Roman" w:hAnsi="Times New Roman" w:eastAsia="Times New Roman" w:cs="Times New Roman"/>
                <w:spacing w:val="24"/>
                <w:sz w:val="20"/>
                <w:szCs w:val="20"/>
              </w:rPr>
              <w:t>96</w:t>
            </w:r>
          </w:p>
        </w:tc>
      </w:tr>
      <w:tr w14:paraId="5BC970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3208" w:type="dxa"/>
            <w:vMerge w:val="continue"/>
            <w:tcBorders>
              <w:top w:val="nil"/>
              <w:left w:val="nil"/>
              <w:bottom w:val="nil"/>
              <w:right w:val="single" w:color="000000" w:sz="4" w:space="0"/>
            </w:tcBorders>
          </w:tcPr>
          <w:p w14:paraId="19205214"/>
        </w:tc>
        <w:tc>
          <w:tcPr>
            <w:tcW w:w="3208" w:type="dxa"/>
            <w:tcBorders>
              <w:left w:val="single" w:color="000000" w:sz="4" w:space="0"/>
              <w:right w:val="single" w:color="000000" w:sz="4" w:space="0"/>
            </w:tcBorders>
          </w:tcPr>
          <w:p w14:paraId="07F99552">
            <w:pPr>
              <w:spacing w:before="34" w:line="227" w:lineRule="auto"/>
              <w:ind w:left="1291"/>
              <w:rPr>
                <w:rFonts w:ascii="宋体" w:hAnsi="宋体" w:eastAsia="宋体" w:cs="宋体"/>
                <w:sz w:val="20"/>
                <w:szCs w:val="20"/>
              </w:rPr>
            </w:pPr>
            <w:r>
              <w:rPr>
                <w:rFonts w:ascii="宋体" w:hAnsi="宋体" w:eastAsia="宋体" w:cs="宋体"/>
                <w:spacing w:val="7"/>
                <w:sz w:val="20"/>
                <w:szCs w:val="20"/>
              </w:rPr>
              <w:t>冲</w:t>
            </w:r>
            <w:r>
              <w:rPr>
                <w:rFonts w:ascii="宋体" w:hAnsi="宋体" w:eastAsia="宋体" w:cs="宋体"/>
                <w:spacing w:val="6"/>
                <w:sz w:val="20"/>
                <w:szCs w:val="20"/>
              </w:rPr>
              <w:t>击机</w:t>
            </w:r>
          </w:p>
        </w:tc>
        <w:tc>
          <w:tcPr>
            <w:tcW w:w="3296" w:type="dxa"/>
            <w:tcBorders>
              <w:left w:val="single" w:color="000000" w:sz="4" w:space="0"/>
              <w:right w:val="nil"/>
            </w:tcBorders>
          </w:tcPr>
          <w:p w14:paraId="0CE22C48">
            <w:pPr>
              <w:spacing w:before="70" w:line="195" w:lineRule="auto"/>
              <w:ind w:left="154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w:t>
            </w:r>
            <w:r>
              <w:rPr>
                <w:rFonts w:ascii="Times New Roman" w:hAnsi="Times New Roman" w:eastAsia="Times New Roman" w:cs="Times New Roman"/>
                <w:sz w:val="20"/>
                <w:szCs w:val="20"/>
              </w:rPr>
              <w:t>5</w:t>
            </w:r>
          </w:p>
        </w:tc>
      </w:tr>
      <w:tr w14:paraId="11D6C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3208" w:type="dxa"/>
            <w:vMerge w:val="continue"/>
            <w:tcBorders>
              <w:top w:val="nil"/>
              <w:left w:val="nil"/>
              <w:bottom w:val="nil"/>
              <w:right w:val="single" w:color="000000" w:sz="4" w:space="0"/>
            </w:tcBorders>
          </w:tcPr>
          <w:p w14:paraId="59E1DDD1"/>
        </w:tc>
        <w:tc>
          <w:tcPr>
            <w:tcW w:w="3208" w:type="dxa"/>
            <w:tcBorders>
              <w:left w:val="single" w:color="000000" w:sz="4" w:space="0"/>
              <w:right w:val="single" w:color="000000" w:sz="4" w:space="0"/>
            </w:tcBorders>
          </w:tcPr>
          <w:p w14:paraId="490788D8">
            <w:pPr>
              <w:spacing w:before="34" w:line="227" w:lineRule="auto"/>
              <w:ind w:left="1297"/>
              <w:rPr>
                <w:rFonts w:ascii="宋体" w:hAnsi="宋体" w:eastAsia="宋体" w:cs="宋体"/>
                <w:sz w:val="20"/>
                <w:szCs w:val="20"/>
              </w:rPr>
            </w:pPr>
            <w:r>
              <w:rPr>
                <w:rFonts w:ascii="宋体" w:hAnsi="宋体" w:eastAsia="宋体" w:cs="宋体"/>
                <w:spacing w:val="6"/>
                <w:sz w:val="20"/>
                <w:szCs w:val="20"/>
              </w:rPr>
              <w:t>空</w:t>
            </w:r>
            <w:r>
              <w:rPr>
                <w:rFonts w:ascii="宋体" w:hAnsi="宋体" w:eastAsia="宋体" w:cs="宋体"/>
                <w:spacing w:val="4"/>
                <w:sz w:val="20"/>
                <w:szCs w:val="20"/>
              </w:rPr>
              <w:t>压机</w:t>
            </w:r>
          </w:p>
        </w:tc>
        <w:tc>
          <w:tcPr>
            <w:tcW w:w="3296" w:type="dxa"/>
            <w:tcBorders>
              <w:left w:val="single" w:color="000000" w:sz="4" w:space="0"/>
              <w:right w:val="nil"/>
            </w:tcBorders>
          </w:tcPr>
          <w:p w14:paraId="4119B237">
            <w:pPr>
              <w:spacing w:before="34" w:line="228" w:lineRule="auto"/>
              <w:ind w:left="1334"/>
              <w:rPr>
                <w:rFonts w:ascii="Times New Roman" w:hAnsi="Times New Roman" w:eastAsia="Times New Roman" w:cs="Times New Roman"/>
                <w:sz w:val="20"/>
                <w:szCs w:val="20"/>
              </w:rPr>
            </w:pPr>
            <w:r>
              <w:rPr>
                <w:rFonts w:ascii="Times New Roman" w:hAnsi="Times New Roman" w:eastAsia="Times New Roman" w:cs="Times New Roman"/>
                <w:spacing w:val="26"/>
                <w:sz w:val="20"/>
                <w:szCs w:val="20"/>
              </w:rPr>
              <w:t>7</w:t>
            </w:r>
            <w:r>
              <w:rPr>
                <w:rFonts w:ascii="Times New Roman" w:hAnsi="Times New Roman" w:eastAsia="Times New Roman" w:cs="Times New Roman"/>
                <w:spacing w:val="24"/>
                <w:sz w:val="20"/>
                <w:szCs w:val="20"/>
              </w:rPr>
              <w:t>5</w:t>
            </w:r>
            <w:r>
              <w:rPr>
                <w:rFonts w:ascii="宋体" w:hAnsi="宋体" w:eastAsia="宋体" w:cs="宋体"/>
                <w:spacing w:val="24"/>
                <w:sz w:val="20"/>
                <w:szCs w:val="20"/>
              </w:rPr>
              <w:t>~</w:t>
            </w:r>
            <w:r>
              <w:rPr>
                <w:rFonts w:ascii="Times New Roman" w:hAnsi="Times New Roman" w:eastAsia="Times New Roman" w:cs="Times New Roman"/>
                <w:spacing w:val="24"/>
                <w:sz w:val="20"/>
                <w:szCs w:val="20"/>
              </w:rPr>
              <w:t>85</w:t>
            </w:r>
          </w:p>
        </w:tc>
      </w:tr>
      <w:tr w14:paraId="0FFCB8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3208" w:type="dxa"/>
            <w:vMerge w:val="continue"/>
            <w:tcBorders>
              <w:top w:val="nil"/>
              <w:left w:val="nil"/>
              <w:right w:val="single" w:color="000000" w:sz="4" w:space="0"/>
            </w:tcBorders>
          </w:tcPr>
          <w:p w14:paraId="77FB99C4"/>
        </w:tc>
        <w:tc>
          <w:tcPr>
            <w:tcW w:w="3208" w:type="dxa"/>
            <w:tcBorders>
              <w:left w:val="single" w:color="000000" w:sz="4" w:space="0"/>
              <w:right w:val="single" w:color="000000" w:sz="4" w:space="0"/>
            </w:tcBorders>
          </w:tcPr>
          <w:p w14:paraId="0A46F59C">
            <w:pPr>
              <w:spacing w:before="36" w:line="227" w:lineRule="auto"/>
              <w:ind w:left="1292"/>
              <w:rPr>
                <w:rFonts w:ascii="宋体" w:hAnsi="宋体" w:eastAsia="宋体" w:cs="宋体"/>
                <w:sz w:val="20"/>
                <w:szCs w:val="20"/>
              </w:rPr>
            </w:pPr>
            <w:r>
              <w:rPr>
                <w:rFonts w:ascii="宋体" w:hAnsi="宋体" w:eastAsia="宋体" w:cs="宋体"/>
                <w:spacing w:val="7"/>
                <w:sz w:val="20"/>
                <w:szCs w:val="20"/>
              </w:rPr>
              <w:t>卷</w:t>
            </w:r>
            <w:r>
              <w:rPr>
                <w:rFonts w:ascii="宋体" w:hAnsi="宋体" w:eastAsia="宋体" w:cs="宋体"/>
                <w:spacing w:val="6"/>
                <w:sz w:val="20"/>
                <w:szCs w:val="20"/>
              </w:rPr>
              <w:t>扬机</w:t>
            </w:r>
          </w:p>
        </w:tc>
        <w:tc>
          <w:tcPr>
            <w:tcW w:w="3296" w:type="dxa"/>
            <w:tcBorders>
              <w:left w:val="single" w:color="000000" w:sz="4" w:space="0"/>
              <w:right w:val="nil"/>
            </w:tcBorders>
          </w:tcPr>
          <w:p w14:paraId="5F490975">
            <w:pPr>
              <w:spacing w:before="36" w:line="227" w:lineRule="auto"/>
              <w:ind w:left="1335"/>
              <w:rPr>
                <w:rFonts w:ascii="Times New Roman" w:hAnsi="Times New Roman" w:eastAsia="Times New Roman" w:cs="Times New Roman"/>
                <w:sz w:val="20"/>
                <w:szCs w:val="20"/>
              </w:rPr>
            </w:pPr>
            <w:r>
              <w:rPr>
                <w:rFonts w:ascii="Times New Roman" w:hAnsi="Times New Roman" w:eastAsia="Times New Roman" w:cs="Times New Roman"/>
                <w:spacing w:val="22"/>
                <w:sz w:val="20"/>
                <w:szCs w:val="20"/>
              </w:rPr>
              <w:t>9</w:t>
            </w:r>
            <w:r>
              <w:rPr>
                <w:rFonts w:ascii="Times New Roman" w:hAnsi="Times New Roman" w:eastAsia="Times New Roman" w:cs="Times New Roman"/>
                <w:spacing w:val="21"/>
                <w:sz w:val="20"/>
                <w:szCs w:val="20"/>
              </w:rPr>
              <w:t>0</w:t>
            </w:r>
            <w:r>
              <w:rPr>
                <w:rFonts w:ascii="宋体" w:hAnsi="宋体" w:eastAsia="宋体" w:cs="宋体"/>
                <w:spacing w:val="21"/>
                <w:sz w:val="20"/>
                <w:szCs w:val="20"/>
              </w:rPr>
              <w:t>~</w:t>
            </w:r>
            <w:r>
              <w:rPr>
                <w:rFonts w:ascii="Times New Roman" w:hAnsi="Times New Roman" w:eastAsia="Times New Roman" w:cs="Times New Roman"/>
                <w:spacing w:val="21"/>
                <w:sz w:val="20"/>
                <w:szCs w:val="20"/>
              </w:rPr>
              <w:t>105</w:t>
            </w:r>
          </w:p>
        </w:tc>
      </w:tr>
      <w:tr w14:paraId="270FA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3208" w:type="dxa"/>
            <w:vMerge w:val="restart"/>
            <w:tcBorders>
              <w:left w:val="nil"/>
              <w:bottom w:val="nil"/>
              <w:right w:val="single" w:color="000000" w:sz="4" w:space="0"/>
            </w:tcBorders>
          </w:tcPr>
          <w:p w14:paraId="6D44AEC4">
            <w:pPr>
              <w:spacing w:before="181" w:line="227" w:lineRule="auto"/>
              <w:ind w:left="876"/>
              <w:rPr>
                <w:rFonts w:ascii="宋体" w:hAnsi="宋体" w:eastAsia="宋体" w:cs="宋体"/>
                <w:sz w:val="20"/>
                <w:szCs w:val="20"/>
              </w:rPr>
            </w:pPr>
            <w:r>
              <w:rPr>
                <w:rFonts w:ascii="宋体" w:hAnsi="宋体" w:eastAsia="宋体" w:cs="宋体"/>
                <w:spacing w:val="9"/>
                <w:sz w:val="20"/>
                <w:szCs w:val="20"/>
              </w:rPr>
              <w:t>底板与结构阶</w:t>
            </w:r>
            <w:r>
              <w:rPr>
                <w:rFonts w:ascii="宋体" w:hAnsi="宋体" w:eastAsia="宋体" w:cs="宋体"/>
                <w:spacing w:val="7"/>
                <w:sz w:val="20"/>
                <w:szCs w:val="20"/>
              </w:rPr>
              <w:t>段</w:t>
            </w:r>
          </w:p>
        </w:tc>
        <w:tc>
          <w:tcPr>
            <w:tcW w:w="3208" w:type="dxa"/>
            <w:tcBorders>
              <w:left w:val="single" w:color="000000" w:sz="4" w:space="0"/>
              <w:right w:val="single" w:color="000000" w:sz="4" w:space="0"/>
            </w:tcBorders>
          </w:tcPr>
          <w:p w14:paraId="7EF175B5">
            <w:pPr>
              <w:spacing w:before="37" w:line="225" w:lineRule="auto"/>
              <w:ind w:left="979"/>
              <w:rPr>
                <w:rFonts w:ascii="宋体" w:hAnsi="宋体" w:eastAsia="宋体" w:cs="宋体"/>
                <w:sz w:val="20"/>
                <w:szCs w:val="20"/>
              </w:rPr>
            </w:pPr>
            <w:r>
              <w:rPr>
                <w:rFonts w:ascii="宋体" w:hAnsi="宋体" w:eastAsia="宋体" w:cs="宋体"/>
                <w:spacing w:val="8"/>
                <w:sz w:val="20"/>
                <w:szCs w:val="20"/>
              </w:rPr>
              <w:t>混凝土输送</w:t>
            </w:r>
            <w:r>
              <w:rPr>
                <w:rFonts w:ascii="宋体" w:hAnsi="宋体" w:eastAsia="宋体" w:cs="宋体"/>
                <w:spacing w:val="7"/>
                <w:sz w:val="20"/>
                <w:szCs w:val="20"/>
              </w:rPr>
              <w:t>泵</w:t>
            </w:r>
          </w:p>
        </w:tc>
        <w:tc>
          <w:tcPr>
            <w:tcW w:w="3296" w:type="dxa"/>
            <w:tcBorders>
              <w:left w:val="single" w:color="000000" w:sz="4" w:space="0"/>
              <w:right w:val="nil"/>
            </w:tcBorders>
          </w:tcPr>
          <w:p w14:paraId="103D9F29">
            <w:pPr>
              <w:spacing w:before="37" w:line="225" w:lineRule="auto"/>
              <w:ind w:left="1335"/>
              <w:rPr>
                <w:rFonts w:ascii="Times New Roman" w:hAnsi="Times New Roman" w:eastAsia="Times New Roman" w:cs="Times New Roman"/>
                <w:sz w:val="20"/>
                <w:szCs w:val="20"/>
              </w:rPr>
            </w:pPr>
            <w:r>
              <w:rPr>
                <w:rFonts w:ascii="Times New Roman" w:hAnsi="Times New Roman" w:eastAsia="Times New Roman" w:cs="Times New Roman"/>
                <w:spacing w:val="22"/>
                <w:sz w:val="20"/>
                <w:szCs w:val="20"/>
              </w:rPr>
              <w:t>9</w:t>
            </w:r>
            <w:r>
              <w:rPr>
                <w:rFonts w:ascii="Times New Roman" w:hAnsi="Times New Roman" w:eastAsia="Times New Roman" w:cs="Times New Roman"/>
                <w:spacing w:val="21"/>
                <w:sz w:val="20"/>
                <w:szCs w:val="20"/>
              </w:rPr>
              <w:t>0</w:t>
            </w:r>
            <w:r>
              <w:rPr>
                <w:rFonts w:ascii="宋体" w:hAnsi="宋体" w:eastAsia="宋体" w:cs="宋体"/>
                <w:spacing w:val="21"/>
                <w:sz w:val="20"/>
                <w:szCs w:val="20"/>
              </w:rPr>
              <w:t>~</w:t>
            </w:r>
            <w:r>
              <w:rPr>
                <w:rFonts w:ascii="Times New Roman" w:hAnsi="Times New Roman" w:eastAsia="Times New Roman" w:cs="Times New Roman"/>
                <w:spacing w:val="21"/>
                <w:sz w:val="20"/>
                <w:szCs w:val="20"/>
              </w:rPr>
              <w:t>100</w:t>
            </w:r>
          </w:p>
        </w:tc>
      </w:tr>
      <w:tr w14:paraId="012E75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3208" w:type="dxa"/>
            <w:vMerge w:val="continue"/>
            <w:tcBorders>
              <w:top w:val="nil"/>
              <w:left w:val="nil"/>
              <w:right w:val="single" w:color="000000" w:sz="4" w:space="0"/>
            </w:tcBorders>
          </w:tcPr>
          <w:p w14:paraId="1F40C0BC"/>
        </w:tc>
        <w:tc>
          <w:tcPr>
            <w:tcW w:w="3208" w:type="dxa"/>
            <w:tcBorders>
              <w:left w:val="single" w:color="000000" w:sz="4" w:space="0"/>
              <w:right w:val="single" w:color="000000" w:sz="4" w:space="0"/>
            </w:tcBorders>
          </w:tcPr>
          <w:p w14:paraId="122EAD6A">
            <w:pPr>
              <w:spacing w:before="38" w:line="228" w:lineRule="auto"/>
              <w:ind w:left="1290"/>
              <w:rPr>
                <w:rFonts w:ascii="宋体" w:hAnsi="宋体" w:eastAsia="宋体" w:cs="宋体"/>
                <w:sz w:val="20"/>
                <w:szCs w:val="20"/>
              </w:rPr>
            </w:pPr>
            <w:r>
              <w:rPr>
                <w:rFonts w:ascii="宋体" w:hAnsi="宋体" w:eastAsia="宋体" w:cs="宋体"/>
                <w:spacing w:val="7"/>
                <w:sz w:val="20"/>
                <w:szCs w:val="20"/>
              </w:rPr>
              <w:t>振捣器</w:t>
            </w:r>
          </w:p>
        </w:tc>
        <w:tc>
          <w:tcPr>
            <w:tcW w:w="3296" w:type="dxa"/>
            <w:tcBorders>
              <w:left w:val="single" w:color="000000" w:sz="4" w:space="0"/>
              <w:right w:val="nil"/>
            </w:tcBorders>
          </w:tcPr>
          <w:p w14:paraId="23BF6911">
            <w:pPr>
              <w:spacing w:before="38" w:line="242" w:lineRule="auto"/>
              <w:ind w:left="1248"/>
              <w:rPr>
                <w:rFonts w:ascii="Times New Roman" w:hAnsi="Times New Roman" w:eastAsia="Times New Roman" w:cs="Times New Roman"/>
                <w:sz w:val="20"/>
                <w:szCs w:val="20"/>
              </w:rPr>
            </w:pPr>
            <w:r>
              <w:rPr>
                <w:rFonts w:ascii="Times New Roman" w:hAnsi="Times New Roman" w:eastAsia="Times New Roman" w:cs="Times New Roman"/>
                <w:spacing w:val="18"/>
                <w:sz w:val="20"/>
                <w:szCs w:val="20"/>
              </w:rPr>
              <w:t>1</w:t>
            </w:r>
            <w:r>
              <w:rPr>
                <w:rFonts w:ascii="Times New Roman" w:hAnsi="Times New Roman" w:eastAsia="Times New Roman" w:cs="Times New Roman"/>
                <w:spacing w:val="16"/>
                <w:sz w:val="20"/>
                <w:szCs w:val="20"/>
              </w:rPr>
              <w:t>00</w:t>
            </w:r>
            <w:r>
              <w:rPr>
                <w:rFonts w:ascii="宋体" w:hAnsi="宋体" w:eastAsia="宋体" w:cs="宋体"/>
                <w:spacing w:val="16"/>
                <w:sz w:val="20"/>
                <w:szCs w:val="20"/>
              </w:rPr>
              <w:t>~</w:t>
            </w:r>
            <w:r>
              <w:rPr>
                <w:rFonts w:ascii="Times New Roman" w:hAnsi="Times New Roman" w:eastAsia="Times New Roman" w:cs="Times New Roman"/>
                <w:spacing w:val="16"/>
                <w:sz w:val="20"/>
                <w:szCs w:val="20"/>
              </w:rPr>
              <w:t>100</w:t>
            </w:r>
          </w:p>
        </w:tc>
      </w:tr>
    </w:tbl>
    <w:p w14:paraId="6E5C0F5E">
      <w:pPr>
        <w:spacing w:line="80" w:lineRule="exact"/>
        <w:rPr>
          <w:sz w:val="7"/>
        </w:rPr>
      </w:pPr>
    </w:p>
    <w:p w14:paraId="5CC68681">
      <w:pPr>
        <w:sectPr>
          <w:footerReference r:id="rId179" w:type="default"/>
          <w:pgSz w:w="11907" w:h="16840"/>
          <w:pgMar w:top="400" w:right="1057" w:bottom="1485" w:left="1136" w:header="0" w:footer="1298" w:gutter="0"/>
          <w:cols w:space="720" w:num="1"/>
        </w:sectPr>
      </w:pPr>
    </w:p>
    <w:p w14:paraId="4722E3E5">
      <w:pPr>
        <w:spacing w:line="460" w:lineRule="auto"/>
      </w:pPr>
    </w:p>
    <w:p w14:paraId="208DAAA6">
      <w:pPr>
        <w:spacing w:before="56" w:line="229" w:lineRule="auto"/>
        <w:ind w:left="530"/>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75D86FB4">
      <w:pPr>
        <w:spacing w:line="14" w:lineRule="exact"/>
      </w:pP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08"/>
        <w:gridCol w:w="3208"/>
        <w:gridCol w:w="3296"/>
      </w:tblGrid>
      <w:tr w14:paraId="32D8E4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3208" w:type="dxa"/>
            <w:vMerge w:val="restart"/>
            <w:tcBorders>
              <w:left w:val="nil"/>
              <w:bottom w:val="nil"/>
              <w:right w:val="single" w:color="000000" w:sz="4" w:space="0"/>
            </w:tcBorders>
          </w:tcPr>
          <w:p w14:paraId="0B423E96"/>
        </w:tc>
        <w:tc>
          <w:tcPr>
            <w:tcW w:w="3208" w:type="dxa"/>
            <w:tcBorders>
              <w:left w:val="single" w:color="000000" w:sz="4" w:space="0"/>
              <w:right w:val="single" w:color="000000" w:sz="4" w:space="0"/>
            </w:tcBorders>
          </w:tcPr>
          <w:p w14:paraId="0767AD14">
            <w:pPr>
              <w:spacing w:before="72" w:line="228" w:lineRule="auto"/>
              <w:ind w:left="1421"/>
              <w:rPr>
                <w:rFonts w:ascii="宋体" w:hAnsi="宋体" w:eastAsia="宋体" w:cs="宋体"/>
                <w:sz w:val="20"/>
                <w:szCs w:val="20"/>
              </w:rPr>
            </w:pPr>
            <w:r>
              <w:rPr>
                <w:rFonts w:ascii="宋体" w:hAnsi="宋体" w:eastAsia="宋体" w:cs="宋体"/>
                <w:spacing w:val="-8"/>
                <w:sz w:val="20"/>
                <w:szCs w:val="20"/>
              </w:rPr>
              <w:t>电</w:t>
            </w:r>
            <w:r>
              <w:rPr>
                <w:rFonts w:ascii="宋体" w:hAnsi="宋体" w:eastAsia="宋体" w:cs="宋体"/>
                <w:spacing w:val="-7"/>
                <w:sz w:val="20"/>
                <w:szCs w:val="20"/>
              </w:rPr>
              <w:t>锯</w:t>
            </w:r>
          </w:p>
        </w:tc>
        <w:tc>
          <w:tcPr>
            <w:tcW w:w="3296" w:type="dxa"/>
            <w:tcBorders>
              <w:left w:val="single" w:color="000000" w:sz="4" w:space="0"/>
              <w:right w:val="nil"/>
            </w:tcBorders>
          </w:tcPr>
          <w:p w14:paraId="2F678EAA">
            <w:pPr>
              <w:spacing w:before="72" w:line="228" w:lineRule="auto"/>
              <w:ind w:left="1248"/>
              <w:rPr>
                <w:rFonts w:ascii="Times New Roman" w:hAnsi="Times New Roman" w:eastAsia="Times New Roman" w:cs="Times New Roman"/>
                <w:sz w:val="20"/>
                <w:szCs w:val="20"/>
              </w:rPr>
            </w:pPr>
            <w:r>
              <w:rPr>
                <w:rFonts w:ascii="Times New Roman" w:hAnsi="Times New Roman" w:eastAsia="Times New Roman" w:cs="Times New Roman"/>
                <w:spacing w:val="18"/>
                <w:sz w:val="20"/>
                <w:szCs w:val="20"/>
              </w:rPr>
              <w:t>1</w:t>
            </w:r>
            <w:r>
              <w:rPr>
                <w:rFonts w:ascii="Times New Roman" w:hAnsi="Times New Roman" w:eastAsia="Times New Roman" w:cs="Times New Roman"/>
                <w:spacing w:val="16"/>
                <w:sz w:val="20"/>
                <w:szCs w:val="20"/>
              </w:rPr>
              <w:t>00</w:t>
            </w:r>
            <w:r>
              <w:rPr>
                <w:rFonts w:ascii="宋体" w:hAnsi="宋体" w:eastAsia="宋体" w:cs="宋体"/>
                <w:spacing w:val="16"/>
                <w:sz w:val="20"/>
                <w:szCs w:val="20"/>
              </w:rPr>
              <w:t>~</w:t>
            </w:r>
            <w:r>
              <w:rPr>
                <w:rFonts w:ascii="Times New Roman" w:hAnsi="Times New Roman" w:eastAsia="Times New Roman" w:cs="Times New Roman"/>
                <w:spacing w:val="16"/>
                <w:sz w:val="20"/>
                <w:szCs w:val="20"/>
              </w:rPr>
              <w:t>100</w:t>
            </w:r>
          </w:p>
        </w:tc>
      </w:tr>
      <w:tr w14:paraId="0B900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3208" w:type="dxa"/>
            <w:vMerge w:val="continue"/>
            <w:tcBorders>
              <w:top w:val="nil"/>
              <w:left w:val="nil"/>
              <w:right w:val="single" w:color="000000" w:sz="4" w:space="0"/>
            </w:tcBorders>
          </w:tcPr>
          <w:p w14:paraId="45C8ACCA"/>
        </w:tc>
        <w:tc>
          <w:tcPr>
            <w:tcW w:w="3208" w:type="dxa"/>
            <w:tcBorders>
              <w:left w:val="single" w:color="000000" w:sz="4" w:space="0"/>
              <w:right w:val="single" w:color="000000" w:sz="4" w:space="0"/>
            </w:tcBorders>
          </w:tcPr>
          <w:p w14:paraId="3E999E38">
            <w:pPr>
              <w:spacing w:before="35" w:line="227" w:lineRule="auto"/>
              <w:ind w:left="1315"/>
              <w:rPr>
                <w:rFonts w:ascii="宋体" w:hAnsi="宋体" w:eastAsia="宋体" w:cs="宋体"/>
                <w:sz w:val="20"/>
                <w:szCs w:val="20"/>
              </w:rPr>
            </w:pPr>
            <w:r>
              <w:rPr>
                <w:rFonts w:ascii="宋体" w:hAnsi="宋体" w:eastAsia="宋体" w:cs="宋体"/>
                <w:spacing w:val="-2"/>
                <w:sz w:val="20"/>
                <w:szCs w:val="20"/>
              </w:rPr>
              <w:t>电</w:t>
            </w:r>
            <w:r>
              <w:rPr>
                <w:rFonts w:ascii="宋体" w:hAnsi="宋体" w:eastAsia="宋体" w:cs="宋体"/>
                <w:spacing w:val="-1"/>
                <w:sz w:val="20"/>
                <w:szCs w:val="20"/>
              </w:rPr>
              <w:t>焊机</w:t>
            </w:r>
          </w:p>
        </w:tc>
        <w:tc>
          <w:tcPr>
            <w:tcW w:w="3296" w:type="dxa"/>
            <w:tcBorders>
              <w:left w:val="single" w:color="000000" w:sz="4" w:space="0"/>
              <w:right w:val="nil"/>
            </w:tcBorders>
          </w:tcPr>
          <w:p w14:paraId="2657A635">
            <w:pPr>
              <w:spacing w:before="36" w:line="227" w:lineRule="auto"/>
              <w:ind w:left="1335"/>
              <w:rPr>
                <w:rFonts w:ascii="Times New Roman" w:hAnsi="Times New Roman" w:eastAsia="Times New Roman" w:cs="Times New Roman"/>
                <w:sz w:val="20"/>
                <w:szCs w:val="20"/>
              </w:rPr>
            </w:pPr>
            <w:r>
              <w:rPr>
                <w:rFonts w:ascii="Times New Roman" w:hAnsi="Times New Roman" w:eastAsia="Times New Roman" w:cs="Times New Roman"/>
                <w:spacing w:val="25"/>
                <w:sz w:val="20"/>
                <w:szCs w:val="20"/>
              </w:rPr>
              <w:t>9</w:t>
            </w:r>
            <w:r>
              <w:rPr>
                <w:rFonts w:ascii="Times New Roman" w:hAnsi="Times New Roman" w:eastAsia="Times New Roman" w:cs="Times New Roman"/>
                <w:spacing w:val="24"/>
                <w:sz w:val="20"/>
                <w:szCs w:val="20"/>
              </w:rPr>
              <w:t>0</w:t>
            </w:r>
            <w:r>
              <w:rPr>
                <w:rFonts w:ascii="宋体" w:hAnsi="宋体" w:eastAsia="宋体" w:cs="宋体"/>
                <w:spacing w:val="24"/>
                <w:sz w:val="20"/>
                <w:szCs w:val="20"/>
              </w:rPr>
              <w:t>~</w:t>
            </w:r>
            <w:r>
              <w:rPr>
                <w:rFonts w:ascii="Times New Roman" w:hAnsi="Times New Roman" w:eastAsia="Times New Roman" w:cs="Times New Roman"/>
                <w:spacing w:val="24"/>
                <w:sz w:val="20"/>
                <w:szCs w:val="20"/>
              </w:rPr>
              <w:t>95</w:t>
            </w:r>
          </w:p>
        </w:tc>
      </w:tr>
      <w:tr w14:paraId="5B694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3208" w:type="dxa"/>
            <w:vMerge w:val="restart"/>
            <w:tcBorders>
              <w:left w:val="nil"/>
              <w:bottom w:val="nil"/>
              <w:right w:val="single" w:color="000000" w:sz="4" w:space="0"/>
            </w:tcBorders>
          </w:tcPr>
          <w:p w14:paraId="305953D3">
            <w:pPr>
              <w:spacing w:line="255" w:lineRule="auto"/>
            </w:pPr>
          </w:p>
          <w:p w14:paraId="6DF19DFE">
            <w:pPr>
              <w:spacing w:before="65" w:line="228" w:lineRule="auto"/>
              <w:ind w:left="983"/>
              <w:rPr>
                <w:rFonts w:ascii="宋体" w:hAnsi="宋体" w:eastAsia="宋体" w:cs="宋体"/>
                <w:sz w:val="20"/>
                <w:szCs w:val="20"/>
              </w:rPr>
            </w:pPr>
            <w:r>
              <w:rPr>
                <w:rFonts w:ascii="宋体" w:hAnsi="宋体" w:eastAsia="宋体" w:cs="宋体"/>
                <w:spacing w:val="9"/>
                <w:sz w:val="20"/>
                <w:szCs w:val="20"/>
              </w:rPr>
              <w:t>装</w:t>
            </w:r>
            <w:r>
              <w:rPr>
                <w:rFonts w:ascii="宋体" w:hAnsi="宋体" w:eastAsia="宋体" w:cs="宋体"/>
                <w:spacing w:val="8"/>
                <w:sz w:val="20"/>
                <w:szCs w:val="20"/>
              </w:rPr>
              <w:t>修安装阶段</w:t>
            </w:r>
          </w:p>
        </w:tc>
        <w:tc>
          <w:tcPr>
            <w:tcW w:w="3208" w:type="dxa"/>
            <w:tcBorders>
              <w:left w:val="single" w:color="000000" w:sz="4" w:space="0"/>
              <w:right w:val="single" w:color="000000" w:sz="4" w:space="0"/>
            </w:tcBorders>
          </w:tcPr>
          <w:p w14:paraId="6946F908">
            <w:pPr>
              <w:spacing w:before="33" w:line="228" w:lineRule="auto"/>
              <w:ind w:left="895"/>
              <w:rPr>
                <w:rFonts w:ascii="宋体" w:hAnsi="宋体" w:eastAsia="宋体" w:cs="宋体"/>
                <w:sz w:val="20"/>
                <w:szCs w:val="20"/>
              </w:rPr>
            </w:pPr>
            <w:r>
              <w:rPr>
                <w:rFonts w:ascii="宋体" w:hAnsi="宋体" w:eastAsia="宋体" w:cs="宋体"/>
                <w:spacing w:val="6"/>
                <w:sz w:val="20"/>
                <w:szCs w:val="20"/>
              </w:rPr>
              <w:t>电</w:t>
            </w:r>
            <w:r>
              <w:rPr>
                <w:rFonts w:ascii="宋体" w:hAnsi="宋体" w:eastAsia="宋体" w:cs="宋体"/>
                <w:spacing w:val="5"/>
                <w:sz w:val="20"/>
                <w:szCs w:val="20"/>
              </w:rPr>
              <w:t>钻、手工钻等</w:t>
            </w:r>
          </w:p>
        </w:tc>
        <w:tc>
          <w:tcPr>
            <w:tcW w:w="3296" w:type="dxa"/>
            <w:tcBorders>
              <w:left w:val="single" w:color="000000" w:sz="4" w:space="0"/>
              <w:right w:val="nil"/>
            </w:tcBorders>
          </w:tcPr>
          <w:p w14:paraId="62CC8723">
            <w:pPr>
              <w:spacing w:before="33" w:line="228" w:lineRule="auto"/>
              <w:ind w:left="1248"/>
              <w:rPr>
                <w:rFonts w:ascii="Times New Roman" w:hAnsi="Times New Roman" w:eastAsia="Times New Roman" w:cs="Times New Roman"/>
                <w:sz w:val="20"/>
                <w:szCs w:val="20"/>
              </w:rPr>
            </w:pPr>
            <w:r>
              <w:rPr>
                <w:rFonts w:ascii="Times New Roman" w:hAnsi="Times New Roman" w:eastAsia="Times New Roman" w:cs="Times New Roman"/>
                <w:spacing w:val="18"/>
                <w:sz w:val="20"/>
                <w:szCs w:val="20"/>
              </w:rPr>
              <w:t>1</w:t>
            </w:r>
            <w:r>
              <w:rPr>
                <w:rFonts w:ascii="Times New Roman" w:hAnsi="Times New Roman" w:eastAsia="Times New Roman" w:cs="Times New Roman"/>
                <w:spacing w:val="16"/>
                <w:sz w:val="20"/>
                <w:szCs w:val="20"/>
              </w:rPr>
              <w:t>00</w:t>
            </w:r>
            <w:r>
              <w:rPr>
                <w:rFonts w:ascii="宋体" w:hAnsi="宋体" w:eastAsia="宋体" w:cs="宋体"/>
                <w:spacing w:val="16"/>
                <w:sz w:val="20"/>
                <w:szCs w:val="20"/>
              </w:rPr>
              <w:t>~</w:t>
            </w:r>
            <w:r>
              <w:rPr>
                <w:rFonts w:ascii="Times New Roman" w:hAnsi="Times New Roman" w:eastAsia="Times New Roman" w:cs="Times New Roman"/>
                <w:spacing w:val="16"/>
                <w:sz w:val="20"/>
                <w:szCs w:val="20"/>
              </w:rPr>
              <w:t>105</w:t>
            </w:r>
          </w:p>
        </w:tc>
      </w:tr>
      <w:tr w14:paraId="0F8D2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3208" w:type="dxa"/>
            <w:vMerge w:val="continue"/>
            <w:tcBorders>
              <w:top w:val="nil"/>
              <w:left w:val="nil"/>
              <w:bottom w:val="nil"/>
              <w:right w:val="single" w:color="000000" w:sz="4" w:space="0"/>
            </w:tcBorders>
          </w:tcPr>
          <w:p w14:paraId="707F36F7"/>
        </w:tc>
        <w:tc>
          <w:tcPr>
            <w:tcW w:w="3208" w:type="dxa"/>
            <w:tcBorders>
              <w:left w:val="single" w:color="000000" w:sz="4" w:space="0"/>
              <w:right w:val="single" w:color="000000" w:sz="4" w:space="0"/>
            </w:tcBorders>
          </w:tcPr>
          <w:p w14:paraId="5B6C8AEE">
            <w:pPr>
              <w:spacing w:before="36" w:line="226" w:lineRule="auto"/>
              <w:ind w:left="1421"/>
              <w:rPr>
                <w:rFonts w:ascii="宋体" w:hAnsi="宋体" w:eastAsia="宋体" w:cs="宋体"/>
                <w:sz w:val="20"/>
                <w:szCs w:val="20"/>
              </w:rPr>
            </w:pPr>
            <w:r>
              <w:rPr>
                <w:rFonts w:ascii="宋体" w:hAnsi="宋体" w:eastAsia="宋体" w:cs="宋体"/>
                <w:spacing w:val="-8"/>
                <w:sz w:val="20"/>
                <w:szCs w:val="20"/>
              </w:rPr>
              <w:t>电</w:t>
            </w:r>
            <w:r>
              <w:rPr>
                <w:rFonts w:ascii="宋体" w:hAnsi="宋体" w:eastAsia="宋体" w:cs="宋体"/>
                <w:spacing w:val="-7"/>
                <w:sz w:val="20"/>
                <w:szCs w:val="20"/>
              </w:rPr>
              <w:t>锤</w:t>
            </w:r>
          </w:p>
        </w:tc>
        <w:tc>
          <w:tcPr>
            <w:tcW w:w="3296" w:type="dxa"/>
            <w:tcBorders>
              <w:left w:val="single" w:color="000000" w:sz="4" w:space="0"/>
              <w:right w:val="nil"/>
            </w:tcBorders>
          </w:tcPr>
          <w:p w14:paraId="6E1AA732">
            <w:pPr>
              <w:spacing w:before="36" w:line="226" w:lineRule="auto"/>
              <w:ind w:left="1248"/>
              <w:rPr>
                <w:rFonts w:ascii="Times New Roman" w:hAnsi="Times New Roman" w:eastAsia="Times New Roman" w:cs="Times New Roman"/>
                <w:sz w:val="20"/>
                <w:szCs w:val="20"/>
              </w:rPr>
            </w:pPr>
            <w:r>
              <w:rPr>
                <w:rFonts w:ascii="Times New Roman" w:hAnsi="Times New Roman" w:eastAsia="Times New Roman" w:cs="Times New Roman"/>
                <w:spacing w:val="18"/>
                <w:sz w:val="20"/>
                <w:szCs w:val="20"/>
              </w:rPr>
              <w:t>1</w:t>
            </w:r>
            <w:r>
              <w:rPr>
                <w:rFonts w:ascii="Times New Roman" w:hAnsi="Times New Roman" w:eastAsia="Times New Roman" w:cs="Times New Roman"/>
                <w:spacing w:val="16"/>
                <w:sz w:val="20"/>
                <w:szCs w:val="20"/>
              </w:rPr>
              <w:t>00</w:t>
            </w:r>
            <w:r>
              <w:rPr>
                <w:rFonts w:ascii="宋体" w:hAnsi="宋体" w:eastAsia="宋体" w:cs="宋体"/>
                <w:spacing w:val="16"/>
                <w:sz w:val="20"/>
                <w:szCs w:val="20"/>
              </w:rPr>
              <w:t>~</w:t>
            </w:r>
            <w:r>
              <w:rPr>
                <w:rFonts w:ascii="Times New Roman" w:hAnsi="Times New Roman" w:eastAsia="Times New Roman" w:cs="Times New Roman"/>
                <w:spacing w:val="16"/>
                <w:sz w:val="20"/>
                <w:szCs w:val="20"/>
              </w:rPr>
              <w:t>105</w:t>
            </w:r>
          </w:p>
        </w:tc>
      </w:tr>
      <w:tr w14:paraId="5EE239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3208" w:type="dxa"/>
            <w:vMerge w:val="continue"/>
            <w:tcBorders>
              <w:top w:val="nil"/>
              <w:left w:val="nil"/>
              <w:right w:val="single" w:color="000000" w:sz="4" w:space="0"/>
            </w:tcBorders>
          </w:tcPr>
          <w:p w14:paraId="3547EF2B"/>
        </w:tc>
        <w:tc>
          <w:tcPr>
            <w:tcW w:w="3208" w:type="dxa"/>
            <w:tcBorders>
              <w:left w:val="single" w:color="000000" w:sz="4" w:space="0"/>
              <w:right w:val="single" w:color="000000" w:sz="4" w:space="0"/>
            </w:tcBorders>
          </w:tcPr>
          <w:p w14:paraId="23AF2548">
            <w:pPr>
              <w:spacing w:before="38" w:line="228" w:lineRule="auto"/>
              <w:ind w:left="1292"/>
              <w:rPr>
                <w:rFonts w:ascii="宋体" w:hAnsi="宋体" w:eastAsia="宋体" w:cs="宋体"/>
                <w:sz w:val="20"/>
                <w:szCs w:val="20"/>
              </w:rPr>
            </w:pPr>
            <w:r>
              <w:rPr>
                <w:rFonts w:ascii="宋体" w:hAnsi="宋体" w:eastAsia="宋体" w:cs="宋体"/>
                <w:spacing w:val="7"/>
                <w:sz w:val="20"/>
                <w:szCs w:val="20"/>
              </w:rPr>
              <w:t>无</w:t>
            </w:r>
            <w:r>
              <w:rPr>
                <w:rFonts w:ascii="宋体" w:hAnsi="宋体" w:eastAsia="宋体" w:cs="宋体"/>
                <w:spacing w:val="6"/>
                <w:sz w:val="20"/>
                <w:szCs w:val="20"/>
              </w:rPr>
              <w:t>齿锯</w:t>
            </w:r>
          </w:p>
        </w:tc>
        <w:tc>
          <w:tcPr>
            <w:tcW w:w="3296" w:type="dxa"/>
            <w:tcBorders>
              <w:left w:val="single" w:color="000000" w:sz="4" w:space="0"/>
              <w:right w:val="nil"/>
            </w:tcBorders>
          </w:tcPr>
          <w:p w14:paraId="1135FAC6">
            <w:pPr>
              <w:spacing w:before="74" w:line="195" w:lineRule="auto"/>
              <w:ind w:left="150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105</w:t>
            </w:r>
          </w:p>
        </w:tc>
      </w:tr>
    </w:tbl>
    <w:p w14:paraId="27C7865C">
      <w:pPr>
        <w:spacing w:before="36" w:line="227" w:lineRule="auto"/>
        <w:ind w:left="1024"/>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2</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预测模式</w:t>
      </w:r>
    </w:p>
    <w:p w14:paraId="2C7A359D">
      <w:pPr>
        <w:spacing w:before="182" w:line="375" w:lineRule="auto"/>
        <w:ind w:left="532" w:right="521" w:firstLine="425"/>
        <w:rPr>
          <w:rFonts w:ascii="宋体" w:hAnsi="宋体" w:eastAsia="宋体" w:cs="宋体"/>
          <w:sz w:val="23"/>
          <w:szCs w:val="23"/>
        </w:rPr>
      </w:pPr>
      <w:r>
        <w:rPr>
          <w:rFonts w:ascii="宋体" w:hAnsi="宋体" w:eastAsia="宋体" w:cs="宋体"/>
          <w:spacing w:val="12"/>
          <w:sz w:val="23"/>
          <w:szCs w:val="23"/>
        </w:rPr>
        <w:t>根</w:t>
      </w:r>
      <w:r>
        <w:rPr>
          <w:rFonts w:ascii="宋体" w:hAnsi="宋体" w:eastAsia="宋体" w:cs="宋体"/>
          <w:spacing w:val="6"/>
          <w:sz w:val="23"/>
          <w:szCs w:val="23"/>
        </w:rPr>
        <w:t>据《环境影响评价技术导则 声环境》  (</w:t>
      </w:r>
      <w:r>
        <w:rPr>
          <w:rFonts w:ascii="Times New Roman" w:hAnsi="Times New Roman" w:eastAsia="Times New Roman" w:cs="Times New Roman"/>
          <w:sz w:val="23"/>
          <w:szCs w:val="23"/>
        </w:rPr>
        <w:t>HJ</w:t>
      </w:r>
      <w:r>
        <w:rPr>
          <w:rFonts w:ascii="Times New Roman" w:hAnsi="Times New Roman" w:eastAsia="Times New Roman" w:cs="Times New Roman"/>
          <w:spacing w:val="6"/>
          <w:sz w:val="23"/>
          <w:szCs w:val="23"/>
        </w:rPr>
        <w:t>2.4-2009</w:t>
      </w:r>
      <w:r>
        <w:rPr>
          <w:rFonts w:ascii="宋体" w:hAnsi="宋体" w:eastAsia="宋体" w:cs="宋体"/>
          <w:spacing w:val="6"/>
          <w:sz w:val="23"/>
          <w:szCs w:val="23"/>
        </w:rPr>
        <w:t>) 的技术要求，本次评价</w:t>
      </w:r>
      <w:r>
        <w:rPr>
          <w:rFonts w:ascii="宋体" w:hAnsi="宋体" w:eastAsia="宋体" w:cs="宋体"/>
          <w:sz w:val="23"/>
          <w:szCs w:val="23"/>
        </w:rPr>
        <w:t xml:space="preserve"> </w:t>
      </w:r>
      <w:r>
        <w:rPr>
          <w:rFonts w:ascii="宋体" w:hAnsi="宋体" w:eastAsia="宋体" w:cs="宋体"/>
          <w:spacing w:val="20"/>
          <w:sz w:val="23"/>
          <w:szCs w:val="23"/>
        </w:rPr>
        <w:t>采</w:t>
      </w:r>
      <w:r>
        <w:rPr>
          <w:rFonts w:ascii="宋体" w:hAnsi="宋体" w:eastAsia="宋体" w:cs="宋体"/>
          <w:spacing w:val="17"/>
          <w:sz w:val="23"/>
          <w:szCs w:val="23"/>
        </w:rPr>
        <w:t>取</w:t>
      </w:r>
      <w:r>
        <w:rPr>
          <w:rFonts w:ascii="宋体" w:hAnsi="宋体" w:eastAsia="宋体" w:cs="宋体"/>
          <w:spacing w:val="10"/>
          <w:sz w:val="23"/>
          <w:szCs w:val="23"/>
        </w:rPr>
        <w:t>导则上推荐模式。本预测采用点声源衰减模式，仅考虑距离衰减值等因素，预</w:t>
      </w:r>
      <w:r>
        <w:rPr>
          <w:rFonts w:ascii="宋体" w:hAnsi="宋体" w:eastAsia="宋体" w:cs="宋体"/>
          <w:sz w:val="23"/>
          <w:szCs w:val="23"/>
        </w:rPr>
        <w:t xml:space="preserve"> </w:t>
      </w:r>
      <w:r>
        <w:rPr>
          <w:rFonts w:ascii="宋体" w:hAnsi="宋体" w:eastAsia="宋体" w:cs="宋体"/>
          <w:spacing w:val="7"/>
          <w:sz w:val="23"/>
          <w:szCs w:val="23"/>
        </w:rPr>
        <w:t>测</w:t>
      </w:r>
      <w:r>
        <w:rPr>
          <w:rFonts w:ascii="宋体" w:hAnsi="宋体" w:eastAsia="宋体" w:cs="宋体"/>
          <w:spacing w:val="6"/>
          <w:sz w:val="23"/>
          <w:szCs w:val="23"/>
        </w:rPr>
        <w:t>公式为：</w:t>
      </w:r>
    </w:p>
    <w:p w14:paraId="676798BB">
      <w:pPr>
        <w:spacing w:line="225" w:lineRule="auto"/>
        <w:ind w:left="1012"/>
        <w:rPr>
          <w:rFonts w:ascii="宋体" w:hAnsi="宋体" w:eastAsia="宋体" w:cs="宋体"/>
          <w:sz w:val="23"/>
          <w:szCs w:val="23"/>
        </w:rPr>
      </w:pPr>
      <w:r>
        <w:rPr>
          <w:rFonts w:ascii="宋体" w:hAnsi="宋体" w:eastAsia="宋体" w:cs="宋体"/>
          <w:spacing w:val="8"/>
          <w:sz w:val="23"/>
          <w:szCs w:val="23"/>
          <w14:textOutline w14:w="4356" w14:cap="sq" w14:cmpd="sng" w14:algn="ctr">
            <w14:solidFill>
              <w14:srgbClr w14:val="000000"/>
            </w14:solidFill>
            <w14:prstDash w14:val="solid"/>
            <w14:bevel/>
          </w14:textOutline>
        </w:rPr>
        <w:t>①</w:t>
      </w:r>
      <w:r>
        <w:rPr>
          <w:rFonts w:ascii="宋体" w:hAnsi="宋体" w:eastAsia="宋体" w:cs="宋体"/>
          <w:spacing w:val="7"/>
          <w:sz w:val="23"/>
          <w:szCs w:val="23"/>
          <w14:textOutline w14:w="4356" w14:cap="sq" w14:cmpd="sng" w14:algn="ctr">
            <w14:solidFill>
              <w14:srgbClr w14:val="000000"/>
            </w14:solidFill>
            <w14:prstDash w14:val="solid"/>
            <w14:bevel/>
          </w14:textOutline>
        </w:rPr>
        <w:t>声值叠加：</w:t>
      </w:r>
    </w:p>
    <w:p w14:paraId="0C5B2FD4">
      <w:pPr>
        <w:spacing w:before="150" w:line="576" w:lineRule="exact"/>
        <w:ind w:firstLine="3555"/>
        <w:textAlignment w:val="center"/>
      </w:pPr>
      <w:r>
        <w:drawing>
          <wp:inline distT="0" distB="0" distL="0" distR="0">
            <wp:extent cx="1899920" cy="36512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377"/>
                    <a:stretch>
                      <a:fillRect/>
                    </a:stretch>
                  </pic:blipFill>
                  <pic:spPr>
                    <a:xfrm>
                      <a:off x="0" y="0"/>
                      <a:ext cx="1900427" cy="365759"/>
                    </a:xfrm>
                    <a:prstGeom prst="rect">
                      <a:avLst/>
                    </a:prstGeom>
                  </pic:spPr>
                </pic:pic>
              </a:graphicData>
            </a:graphic>
          </wp:inline>
        </w:drawing>
      </w:r>
    </w:p>
    <w:p w14:paraId="21468F17">
      <w:pPr>
        <w:spacing w:before="111" w:line="323" w:lineRule="exact"/>
        <w:ind w:left="962"/>
        <w:rPr>
          <w:rFonts w:ascii="Times New Roman" w:hAnsi="Times New Roman" w:eastAsia="Times New Roman" w:cs="Times New Roman"/>
          <w:sz w:val="23"/>
          <w:szCs w:val="23"/>
        </w:rPr>
      </w:pPr>
      <w:r>
        <w:rPr>
          <w:rFonts w:ascii="宋体" w:hAnsi="宋体" w:eastAsia="宋体" w:cs="宋体"/>
          <w:spacing w:val="15"/>
          <w:position w:val="3"/>
          <w:sz w:val="23"/>
          <w:szCs w:val="23"/>
        </w:rPr>
        <w:t>式</w:t>
      </w:r>
      <w:r>
        <w:rPr>
          <w:rFonts w:ascii="宋体" w:hAnsi="宋体" w:eastAsia="宋体" w:cs="宋体"/>
          <w:spacing w:val="10"/>
          <w:position w:val="3"/>
          <w:sz w:val="23"/>
          <w:szCs w:val="23"/>
        </w:rPr>
        <w:t>中：</w:t>
      </w:r>
      <w:r>
        <w:rPr>
          <w:rFonts w:ascii="Times New Roman" w:hAnsi="Times New Roman" w:eastAsia="Times New Roman" w:cs="Times New Roman"/>
          <w:position w:val="3"/>
          <w:sz w:val="23"/>
          <w:szCs w:val="23"/>
        </w:rPr>
        <w:t>Leq</w:t>
      </w:r>
      <w:r>
        <w:rPr>
          <w:rFonts w:ascii="Times New Roman" w:hAnsi="Times New Roman" w:eastAsia="Times New Roman" w:cs="Times New Roman"/>
          <w:spacing w:val="10"/>
          <w:position w:val="3"/>
          <w:sz w:val="23"/>
          <w:szCs w:val="23"/>
        </w:rPr>
        <w:t>—</w:t>
      </w:r>
      <w:r>
        <w:rPr>
          <w:rFonts w:ascii="宋体" w:hAnsi="宋体" w:eastAsia="宋体" w:cs="宋体"/>
          <w:spacing w:val="10"/>
          <w:position w:val="3"/>
          <w:sz w:val="23"/>
          <w:szCs w:val="23"/>
        </w:rPr>
        <w:t>等效声级，</w:t>
      </w:r>
      <w:r>
        <w:rPr>
          <w:rFonts w:ascii="Times New Roman" w:hAnsi="Times New Roman" w:eastAsia="Times New Roman" w:cs="Times New Roman"/>
          <w:position w:val="3"/>
          <w:sz w:val="23"/>
          <w:szCs w:val="23"/>
        </w:rPr>
        <w:t>dB</w:t>
      </w:r>
      <w:r>
        <w:rPr>
          <w:rFonts w:ascii="Times New Roman" w:hAnsi="Times New Roman" w:eastAsia="Times New Roman" w:cs="Times New Roman"/>
          <w:spacing w:val="10"/>
          <w:position w:val="3"/>
          <w:sz w:val="23"/>
          <w:szCs w:val="23"/>
        </w:rPr>
        <w:t>(</w:t>
      </w:r>
      <w:r>
        <w:rPr>
          <w:rFonts w:ascii="Times New Roman" w:hAnsi="Times New Roman" w:eastAsia="Times New Roman" w:cs="Times New Roman"/>
          <w:position w:val="3"/>
          <w:sz w:val="23"/>
          <w:szCs w:val="23"/>
        </w:rPr>
        <w:t>A</w:t>
      </w:r>
      <w:r>
        <w:rPr>
          <w:rFonts w:ascii="Times New Roman" w:hAnsi="Times New Roman" w:eastAsia="Times New Roman" w:cs="Times New Roman"/>
          <w:spacing w:val="10"/>
          <w:position w:val="3"/>
          <w:sz w:val="23"/>
          <w:szCs w:val="23"/>
        </w:rPr>
        <w:t>)</w:t>
      </w:r>
    </w:p>
    <w:p w14:paraId="2AEC2C3D">
      <w:pPr>
        <w:spacing w:before="145" w:line="466" w:lineRule="exact"/>
        <w:ind w:left="1668"/>
        <w:rPr>
          <w:rFonts w:ascii="宋体" w:hAnsi="宋体" w:eastAsia="宋体" w:cs="宋体"/>
          <w:sz w:val="23"/>
          <w:szCs w:val="23"/>
        </w:rPr>
      </w:pPr>
      <w:r>
        <w:rPr>
          <w:rFonts w:ascii="Times New Roman" w:hAnsi="Times New Roman" w:eastAsia="Times New Roman" w:cs="Times New Roman"/>
          <w:position w:val="14"/>
          <w:sz w:val="23"/>
          <w:szCs w:val="23"/>
        </w:rPr>
        <w:t>Leqg</w:t>
      </w:r>
      <w:r>
        <w:rPr>
          <w:rFonts w:ascii="Times New Roman" w:hAnsi="Times New Roman" w:eastAsia="Times New Roman" w:cs="Times New Roman"/>
          <w:spacing w:val="19"/>
          <w:position w:val="14"/>
          <w:sz w:val="23"/>
          <w:szCs w:val="23"/>
        </w:rPr>
        <w:t>—</w:t>
      </w:r>
      <w:r>
        <w:rPr>
          <w:rFonts w:ascii="宋体" w:hAnsi="宋体" w:eastAsia="宋体" w:cs="宋体"/>
          <w:spacing w:val="10"/>
          <w:position w:val="14"/>
          <w:sz w:val="23"/>
          <w:szCs w:val="23"/>
        </w:rPr>
        <w:t>建设项目声源在预测点的等效声级贡献值，</w:t>
      </w:r>
      <w:r>
        <w:rPr>
          <w:rFonts w:ascii="Times New Roman" w:hAnsi="Times New Roman" w:eastAsia="Times New Roman" w:cs="Times New Roman"/>
          <w:position w:val="14"/>
          <w:sz w:val="23"/>
          <w:szCs w:val="23"/>
        </w:rPr>
        <w:t>dB</w:t>
      </w:r>
      <w:r>
        <w:rPr>
          <w:rFonts w:ascii="Times New Roman" w:hAnsi="Times New Roman" w:eastAsia="Times New Roman" w:cs="Times New Roman"/>
          <w:spacing w:val="10"/>
          <w:position w:val="14"/>
          <w:sz w:val="23"/>
          <w:szCs w:val="23"/>
        </w:rPr>
        <w:t>(</w:t>
      </w:r>
      <w:r>
        <w:rPr>
          <w:rFonts w:ascii="Times New Roman" w:hAnsi="Times New Roman" w:eastAsia="Times New Roman" w:cs="Times New Roman"/>
          <w:position w:val="14"/>
          <w:sz w:val="23"/>
          <w:szCs w:val="23"/>
        </w:rPr>
        <w:t>A</w:t>
      </w:r>
      <w:r>
        <w:rPr>
          <w:rFonts w:ascii="Times New Roman" w:hAnsi="Times New Roman" w:eastAsia="Times New Roman" w:cs="Times New Roman"/>
          <w:spacing w:val="10"/>
          <w:position w:val="14"/>
          <w:sz w:val="23"/>
          <w:szCs w:val="23"/>
        </w:rPr>
        <w:t>)</w:t>
      </w:r>
      <w:r>
        <w:rPr>
          <w:rFonts w:ascii="宋体" w:hAnsi="宋体" w:eastAsia="宋体" w:cs="宋体"/>
          <w:spacing w:val="10"/>
          <w:position w:val="14"/>
          <w:sz w:val="23"/>
          <w:szCs w:val="23"/>
        </w:rPr>
        <w:t>；</w:t>
      </w:r>
    </w:p>
    <w:p w14:paraId="4169F38E">
      <w:pPr>
        <w:spacing w:line="323" w:lineRule="exact"/>
        <w:ind w:left="1668"/>
        <w:rPr>
          <w:rFonts w:ascii="宋体" w:hAnsi="宋体" w:eastAsia="宋体" w:cs="宋体"/>
          <w:sz w:val="23"/>
          <w:szCs w:val="23"/>
        </w:rPr>
      </w:pPr>
      <w:r>
        <w:rPr>
          <w:rFonts w:ascii="Times New Roman" w:hAnsi="Times New Roman" w:eastAsia="Times New Roman" w:cs="Times New Roman"/>
          <w:position w:val="3"/>
          <w:sz w:val="23"/>
          <w:szCs w:val="23"/>
        </w:rPr>
        <w:t>Leqb</w:t>
      </w:r>
      <w:r>
        <w:rPr>
          <w:rFonts w:ascii="Times New Roman" w:hAnsi="Times New Roman" w:eastAsia="Times New Roman" w:cs="Times New Roman"/>
          <w:spacing w:val="11"/>
          <w:position w:val="3"/>
          <w:sz w:val="23"/>
          <w:szCs w:val="23"/>
        </w:rPr>
        <w:t>—</w:t>
      </w:r>
      <w:r>
        <w:rPr>
          <w:rFonts w:ascii="宋体" w:hAnsi="宋体" w:eastAsia="宋体" w:cs="宋体"/>
          <w:spacing w:val="11"/>
          <w:position w:val="3"/>
          <w:sz w:val="23"/>
          <w:szCs w:val="23"/>
        </w:rPr>
        <w:t>预测点的背景值，</w:t>
      </w:r>
      <w:r>
        <w:rPr>
          <w:rFonts w:ascii="Times New Roman" w:hAnsi="Times New Roman" w:eastAsia="Times New Roman" w:cs="Times New Roman"/>
          <w:position w:val="3"/>
          <w:sz w:val="23"/>
          <w:szCs w:val="23"/>
        </w:rPr>
        <w:t>dB</w:t>
      </w:r>
      <w:r>
        <w:rPr>
          <w:rFonts w:ascii="Times New Roman" w:hAnsi="Times New Roman" w:eastAsia="Times New Roman" w:cs="Times New Roman"/>
          <w:spacing w:val="11"/>
          <w:position w:val="3"/>
          <w:sz w:val="23"/>
          <w:szCs w:val="23"/>
        </w:rPr>
        <w:t>(</w:t>
      </w:r>
      <w:r>
        <w:rPr>
          <w:rFonts w:ascii="Times New Roman" w:hAnsi="Times New Roman" w:eastAsia="Times New Roman" w:cs="Times New Roman"/>
          <w:position w:val="3"/>
          <w:sz w:val="23"/>
          <w:szCs w:val="23"/>
        </w:rPr>
        <w:t>A</w:t>
      </w:r>
      <w:r>
        <w:rPr>
          <w:rFonts w:ascii="Times New Roman" w:hAnsi="Times New Roman" w:eastAsia="Times New Roman" w:cs="Times New Roman"/>
          <w:spacing w:val="11"/>
          <w:position w:val="3"/>
          <w:sz w:val="23"/>
          <w:szCs w:val="23"/>
        </w:rPr>
        <w:t>)</w:t>
      </w:r>
      <w:r>
        <w:rPr>
          <w:rFonts w:ascii="宋体" w:hAnsi="宋体" w:eastAsia="宋体" w:cs="宋体"/>
          <w:spacing w:val="8"/>
          <w:position w:val="3"/>
          <w:sz w:val="23"/>
          <w:szCs w:val="23"/>
        </w:rPr>
        <w:t>。</w:t>
      </w:r>
    </w:p>
    <w:p w14:paraId="18B16ECC">
      <w:pPr>
        <w:spacing w:before="188" w:line="225" w:lineRule="auto"/>
        <w:ind w:left="1011"/>
        <w:rPr>
          <w:rFonts w:ascii="宋体" w:hAnsi="宋体" w:eastAsia="宋体" w:cs="宋体"/>
          <w:sz w:val="23"/>
          <w:szCs w:val="23"/>
        </w:rPr>
      </w:pPr>
      <w:r>
        <w:rPr>
          <w:rFonts w:ascii="宋体" w:hAnsi="宋体" w:eastAsia="宋体" w:cs="宋体"/>
          <w:spacing w:val="9"/>
          <w:sz w:val="23"/>
          <w:szCs w:val="23"/>
          <w14:textOutline w14:w="4356" w14:cap="sq" w14:cmpd="sng" w14:algn="ctr">
            <w14:solidFill>
              <w14:srgbClr w14:val="000000"/>
            </w14:solidFill>
            <w14:prstDash w14:val="solid"/>
            <w14:bevel/>
          </w14:textOutline>
        </w:rPr>
        <w:t>②</w:t>
      </w:r>
      <w:r>
        <w:rPr>
          <w:rFonts w:ascii="宋体" w:hAnsi="宋体" w:eastAsia="宋体" w:cs="宋体"/>
          <w:spacing w:val="7"/>
          <w:sz w:val="23"/>
          <w:szCs w:val="23"/>
          <w14:textOutline w14:w="4356" w14:cap="sq" w14:cmpd="sng" w14:algn="ctr">
            <w14:solidFill>
              <w14:srgbClr w14:val="000000"/>
            </w14:solidFill>
            <w14:prstDash w14:val="solid"/>
            <w14:bevel/>
          </w14:textOutline>
        </w:rPr>
        <w:t>噪声衰减：</w:t>
      </w:r>
    </w:p>
    <w:p w14:paraId="69F44446">
      <w:pPr>
        <w:spacing w:before="144" w:line="466" w:lineRule="exact"/>
        <w:ind w:left="3595"/>
        <w:rPr>
          <w:rFonts w:ascii="Times New Roman" w:hAnsi="Times New Roman" w:eastAsia="Times New Roman" w:cs="Times New Roman"/>
          <w:sz w:val="23"/>
          <w:szCs w:val="23"/>
        </w:rPr>
      </w:pPr>
      <w:r>
        <w:rPr>
          <w:rFonts w:ascii="Times New Roman" w:hAnsi="Times New Roman" w:eastAsia="Times New Roman" w:cs="Times New Roman"/>
          <w:position w:val="15"/>
          <w:sz w:val="23"/>
          <w:szCs w:val="23"/>
        </w:rPr>
        <w:t>L</w:t>
      </w:r>
      <w:r>
        <w:rPr>
          <w:rFonts w:ascii="Times New Roman" w:hAnsi="Times New Roman" w:eastAsia="Times New Roman" w:cs="Times New Roman"/>
          <w:spacing w:val="12"/>
          <w:position w:val="15"/>
          <w:sz w:val="23"/>
          <w:szCs w:val="23"/>
        </w:rPr>
        <w:t>2</w:t>
      </w:r>
      <w:r>
        <w:rPr>
          <w:rFonts w:ascii="宋体" w:hAnsi="宋体" w:eastAsia="宋体" w:cs="宋体"/>
          <w:spacing w:val="9"/>
          <w:position w:val="15"/>
          <w:sz w:val="23"/>
          <w:szCs w:val="23"/>
        </w:rPr>
        <w:t>＝</w:t>
      </w:r>
      <w:r>
        <w:rPr>
          <w:rFonts w:ascii="Times New Roman" w:hAnsi="Times New Roman" w:eastAsia="Times New Roman" w:cs="Times New Roman"/>
          <w:position w:val="15"/>
          <w:sz w:val="23"/>
          <w:szCs w:val="23"/>
        </w:rPr>
        <w:t>L</w:t>
      </w:r>
      <w:r>
        <w:rPr>
          <w:rFonts w:ascii="Times New Roman" w:hAnsi="Times New Roman" w:eastAsia="Times New Roman" w:cs="Times New Roman"/>
          <w:spacing w:val="9"/>
          <w:position w:val="15"/>
          <w:sz w:val="23"/>
          <w:szCs w:val="23"/>
        </w:rPr>
        <w:t>1</w:t>
      </w:r>
      <w:r>
        <w:rPr>
          <w:rFonts w:ascii="宋体" w:hAnsi="宋体" w:eastAsia="宋体" w:cs="宋体"/>
          <w:spacing w:val="9"/>
          <w:position w:val="15"/>
          <w:sz w:val="23"/>
          <w:szCs w:val="23"/>
        </w:rPr>
        <w:t>－</w:t>
      </w:r>
      <w:r>
        <w:rPr>
          <w:rFonts w:ascii="Times New Roman" w:hAnsi="Times New Roman" w:eastAsia="Times New Roman" w:cs="Times New Roman"/>
          <w:spacing w:val="9"/>
          <w:position w:val="15"/>
          <w:sz w:val="23"/>
          <w:szCs w:val="23"/>
        </w:rPr>
        <w:t>20</w:t>
      </w:r>
      <w:r>
        <w:rPr>
          <w:rFonts w:ascii="Times New Roman" w:hAnsi="Times New Roman" w:eastAsia="Times New Roman" w:cs="Times New Roman"/>
          <w:position w:val="15"/>
          <w:sz w:val="23"/>
          <w:szCs w:val="23"/>
        </w:rPr>
        <w:t>lgr</w:t>
      </w:r>
      <w:r>
        <w:rPr>
          <w:rFonts w:ascii="Times New Roman" w:hAnsi="Times New Roman" w:eastAsia="Times New Roman" w:cs="Times New Roman"/>
          <w:spacing w:val="9"/>
          <w:position w:val="15"/>
          <w:sz w:val="23"/>
          <w:szCs w:val="23"/>
        </w:rPr>
        <w:t>2/</w:t>
      </w:r>
      <w:r>
        <w:rPr>
          <w:rFonts w:ascii="Times New Roman" w:hAnsi="Times New Roman" w:eastAsia="Times New Roman" w:cs="Times New Roman"/>
          <w:position w:val="15"/>
          <w:sz w:val="23"/>
          <w:szCs w:val="23"/>
        </w:rPr>
        <w:t>r</w:t>
      </w:r>
      <w:r>
        <w:rPr>
          <w:rFonts w:ascii="Times New Roman" w:hAnsi="Times New Roman" w:eastAsia="Times New Roman" w:cs="Times New Roman"/>
          <w:spacing w:val="9"/>
          <w:position w:val="15"/>
          <w:sz w:val="23"/>
          <w:szCs w:val="23"/>
        </w:rPr>
        <w:t>1</w:t>
      </w:r>
      <w:r>
        <w:rPr>
          <w:rFonts w:ascii="宋体" w:hAnsi="宋体" w:eastAsia="宋体" w:cs="宋体"/>
          <w:spacing w:val="9"/>
          <w:position w:val="15"/>
          <w:sz w:val="23"/>
          <w:szCs w:val="23"/>
        </w:rPr>
        <w:t>－△</w:t>
      </w:r>
      <w:r>
        <w:rPr>
          <w:rFonts w:ascii="Times New Roman" w:hAnsi="Times New Roman" w:eastAsia="Times New Roman" w:cs="Times New Roman"/>
          <w:position w:val="15"/>
          <w:sz w:val="23"/>
          <w:szCs w:val="23"/>
        </w:rPr>
        <w:t>L</w:t>
      </w:r>
    </w:p>
    <w:p w14:paraId="5AEC2C29">
      <w:pPr>
        <w:spacing w:line="323" w:lineRule="exact"/>
        <w:ind w:left="1977"/>
        <w:rPr>
          <w:rFonts w:ascii="宋体" w:hAnsi="宋体" w:eastAsia="宋体" w:cs="宋体"/>
          <w:sz w:val="23"/>
          <w:szCs w:val="23"/>
        </w:rPr>
      </w:pPr>
      <w:r>
        <w:rPr>
          <w:rFonts w:ascii="宋体" w:hAnsi="宋体" w:eastAsia="宋体" w:cs="宋体"/>
          <w:spacing w:val="8"/>
          <w:position w:val="3"/>
          <w:sz w:val="23"/>
          <w:szCs w:val="23"/>
        </w:rPr>
        <w:t>式中：</w:t>
      </w:r>
      <w:r>
        <w:rPr>
          <w:rFonts w:ascii="Times New Roman" w:hAnsi="Times New Roman" w:eastAsia="Times New Roman" w:cs="Times New Roman"/>
          <w:i/>
          <w:iCs/>
          <w:position w:val="3"/>
          <w:sz w:val="23"/>
          <w:szCs w:val="23"/>
        </w:rPr>
        <w:t>L</w:t>
      </w:r>
      <w:r>
        <w:rPr>
          <w:rFonts w:ascii="Times New Roman" w:hAnsi="Times New Roman" w:eastAsia="Times New Roman" w:cs="Times New Roman"/>
          <w:spacing w:val="4"/>
          <w:position w:val="2"/>
          <w:sz w:val="15"/>
          <w:szCs w:val="15"/>
        </w:rPr>
        <w:t>2</w:t>
      </w:r>
      <w:r>
        <w:rPr>
          <w:rFonts w:ascii="Times New Roman" w:hAnsi="Times New Roman" w:eastAsia="Times New Roman" w:cs="Times New Roman"/>
          <w:spacing w:val="4"/>
          <w:position w:val="3"/>
          <w:sz w:val="23"/>
          <w:szCs w:val="23"/>
        </w:rPr>
        <w:t>——</w:t>
      </w:r>
      <w:r>
        <w:rPr>
          <w:rFonts w:ascii="宋体" w:hAnsi="宋体" w:eastAsia="宋体" w:cs="宋体"/>
          <w:spacing w:val="4"/>
          <w:position w:val="3"/>
          <w:sz w:val="23"/>
          <w:szCs w:val="23"/>
        </w:rPr>
        <w:t xml:space="preserve">距声源 </w:t>
      </w:r>
      <w:r>
        <w:rPr>
          <w:rFonts w:ascii="Times New Roman" w:hAnsi="Times New Roman" w:eastAsia="Times New Roman" w:cs="Times New Roman"/>
          <w:i/>
          <w:iCs/>
          <w:position w:val="3"/>
          <w:sz w:val="23"/>
          <w:szCs w:val="23"/>
        </w:rPr>
        <w:t>r</w:t>
      </w:r>
      <w:r>
        <w:rPr>
          <w:rFonts w:ascii="Times New Roman" w:hAnsi="Times New Roman" w:eastAsia="Times New Roman" w:cs="Times New Roman"/>
          <w:spacing w:val="4"/>
          <w:position w:val="2"/>
          <w:sz w:val="15"/>
          <w:szCs w:val="15"/>
        </w:rPr>
        <w:t xml:space="preserve">2 </w:t>
      </w:r>
      <w:r>
        <w:rPr>
          <w:rFonts w:ascii="宋体" w:hAnsi="宋体" w:eastAsia="宋体" w:cs="宋体"/>
          <w:spacing w:val="4"/>
          <w:position w:val="3"/>
          <w:sz w:val="23"/>
          <w:szCs w:val="23"/>
        </w:rPr>
        <w:t>处声源值</w:t>
      </w:r>
      <w:r>
        <w:rPr>
          <w:rFonts w:ascii="Times New Roman" w:hAnsi="Times New Roman" w:eastAsia="Times New Roman" w:cs="Times New Roman"/>
          <w:spacing w:val="4"/>
          <w:position w:val="3"/>
          <w:sz w:val="23"/>
          <w:szCs w:val="23"/>
        </w:rPr>
        <w:t>[</w:t>
      </w:r>
      <w:r>
        <w:rPr>
          <w:rFonts w:ascii="Times New Roman" w:hAnsi="Times New Roman" w:eastAsia="Times New Roman" w:cs="Times New Roman"/>
          <w:position w:val="3"/>
          <w:sz w:val="23"/>
          <w:szCs w:val="23"/>
        </w:rPr>
        <w:t>dB</w:t>
      </w:r>
      <w:r>
        <w:rPr>
          <w:rFonts w:ascii="Times New Roman" w:hAnsi="Times New Roman" w:eastAsia="Times New Roman" w:cs="Times New Roman"/>
          <w:spacing w:val="4"/>
          <w:position w:val="3"/>
          <w:sz w:val="23"/>
          <w:szCs w:val="23"/>
        </w:rPr>
        <w:t>(</w:t>
      </w:r>
      <w:r>
        <w:rPr>
          <w:rFonts w:ascii="Times New Roman" w:hAnsi="Times New Roman" w:eastAsia="Times New Roman" w:cs="Times New Roman"/>
          <w:position w:val="3"/>
          <w:sz w:val="23"/>
          <w:szCs w:val="23"/>
        </w:rPr>
        <w:t>A</w:t>
      </w:r>
      <w:r>
        <w:rPr>
          <w:rFonts w:ascii="Times New Roman" w:hAnsi="Times New Roman" w:eastAsia="Times New Roman" w:cs="Times New Roman"/>
          <w:spacing w:val="4"/>
          <w:position w:val="3"/>
          <w:sz w:val="23"/>
          <w:szCs w:val="23"/>
        </w:rPr>
        <w:t>)]</w:t>
      </w:r>
      <w:r>
        <w:rPr>
          <w:rFonts w:ascii="宋体" w:hAnsi="宋体" w:eastAsia="宋体" w:cs="宋体"/>
          <w:spacing w:val="4"/>
          <w:position w:val="3"/>
          <w:sz w:val="23"/>
          <w:szCs w:val="23"/>
        </w:rPr>
        <w:t>；</w:t>
      </w:r>
    </w:p>
    <w:p w14:paraId="31670EF7">
      <w:pPr>
        <w:spacing w:before="145" w:line="466" w:lineRule="exact"/>
        <w:ind w:left="2676"/>
        <w:rPr>
          <w:rFonts w:ascii="宋体" w:hAnsi="宋体" w:eastAsia="宋体" w:cs="宋体"/>
          <w:sz w:val="23"/>
          <w:szCs w:val="23"/>
        </w:rPr>
      </w:pPr>
      <w:r>
        <w:rPr>
          <w:rFonts w:ascii="Times New Roman" w:hAnsi="Times New Roman" w:eastAsia="Times New Roman" w:cs="Times New Roman"/>
          <w:i/>
          <w:iCs/>
          <w:position w:val="14"/>
          <w:sz w:val="23"/>
          <w:szCs w:val="23"/>
        </w:rPr>
        <w:t>L</w:t>
      </w:r>
      <w:r>
        <w:rPr>
          <w:rFonts w:ascii="Times New Roman" w:hAnsi="Times New Roman" w:eastAsia="Times New Roman" w:cs="Times New Roman"/>
          <w:spacing w:val="8"/>
          <w:position w:val="13"/>
          <w:sz w:val="15"/>
          <w:szCs w:val="15"/>
        </w:rPr>
        <w:t xml:space="preserve">1 </w:t>
      </w:r>
      <w:r>
        <w:rPr>
          <w:rFonts w:ascii="Times New Roman" w:hAnsi="Times New Roman" w:eastAsia="Times New Roman" w:cs="Times New Roman"/>
          <w:spacing w:val="8"/>
          <w:position w:val="14"/>
          <w:sz w:val="23"/>
          <w:szCs w:val="23"/>
        </w:rPr>
        <w:t>—</w:t>
      </w:r>
      <w:r>
        <w:rPr>
          <w:rFonts w:ascii="Times New Roman" w:hAnsi="Times New Roman" w:eastAsia="Times New Roman" w:cs="Times New Roman"/>
          <w:spacing w:val="4"/>
          <w:position w:val="14"/>
          <w:sz w:val="23"/>
          <w:szCs w:val="23"/>
        </w:rPr>
        <w:t>—</w:t>
      </w:r>
      <w:r>
        <w:rPr>
          <w:rFonts w:ascii="宋体" w:hAnsi="宋体" w:eastAsia="宋体" w:cs="宋体"/>
          <w:spacing w:val="4"/>
          <w:position w:val="14"/>
          <w:sz w:val="23"/>
          <w:szCs w:val="23"/>
        </w:rPr>
        <w:t xml:space="preserve">距声源 </w:t>
      </w:r>
      <w:r>
        <w:rPr>
          <w:rFonts w:ascii="Times New Roman" w:hAnsi="Times New Roman" w:eastAsia="Times New Roman" w:cs="Times New Roman"/>
          <w:i/>
          <w:iCs/>
          <w:position w:val="14"/>
          <w:sz w:val="23"/>
          <w:szCs w:val="23"/>
        </w:rPr>
        <w:t>r</w:t>
      </w:r>
      <w:r>
        <w:rPr>
          <w:rFonts w:ascii="Times New Roman" w:hAnsi="Times New Roman" w:eastAsia="Times New Roman" w:cs="Times New Roman"/>
          <w:spacing w:val="4"/>
          <w:position w:val="13"/>
          <w:sz w:val="15"/>
          <w:szCs w:val="15"/>
        </w:rPr>
        <w:t xml:space="preserve">1 </w:t>
      </w:r>
      <w:r>
        <w:rPr>
          <w:rFonts w:ascii="宋体" w:hAnsi="宋体" w:eastAsia="宋体" w:cs="宋体"/>
          <w:spacing w:val="4"/>
          <w:position w:val="14"/>
          <w:sz w:val="23"/>
          <w:szCs w:val="23"/>
        </w:rPr>
        <w:t>处声源值</w:t>
      </w:r>
      <w:r>
        <w:rPr>
          <w:rFonts w:ascii="Times New Roman" w:hAnsi="Times New Roman" w:eastAsia="Times New Roman" w:cs="Times New Roman"/>
          <w:spacing w:val="4"/>
          <w:position w:val="14"/>
          <w:sz w:val="23"/>
          <w:szCs w:val="23"/>
        </w:rPr>
        <w:t>[</w:t>
      </w:r>
      <w:r>
        <w:rPr>
          <w:rFonts w:ascii="Times New Roman" w:hAnsi="Times New Roman" w:eastAsia="Times New Roman" w:cs="Times New Roman"/>
          <w:position w:val="14"/>
          <w:sz w:val="23"/>
          <w:szCs w:val="23"/>
        </w:rPr>
        <w:t>dB</w:t>
      </w:r>
      <w:r>
        <w:rPr>
          <w:rFonts w:ascii="Times New Roman" w:hAnsi="Times New Roman" w:eastAsia="Times New Roman" w:cs="Times New Roman"/>
          <w:spacing w:val="4"/>
          <w:position w:val="14"/>
          <w:sz w:val="23"/>
          <w:szCs w:val="23"/>
        </w:rPr>
        <w:t>(</w:t>
      </w:r>
      <w:r>
        <w:rPr>
          <w:rFonts w:ascii="Times New Roman" w:hAnsi="Times New Roman" w:eastAsia="Times New Roman" w:cs="Times New Roman"/>
          <w:position w:val="14"/>
          <w:sz w:val="23"/>
          <w:szCs w:val="23"/>
        </w:rPr>
        <w:t>A</w:t>
      </w:r>
      <w:r>
        <w:rPr>
          <w:rFonts w:ascii="Times New Roman" w:hAnsi="Times New Roman" w:eastAsia="Times New Roman" w:cs="Times New Roman"/>
          <w:spacing w:val="4"/>
          <w:position w:val="14"/>
          <w:sz w:val="23"/>
          <w:szCs w:val="23"/>
        </w:rPr>
        <w:t>)]</w:t>
      </w:r>
      <w:r>
        <w:rPr>
          <w:rFonts w:ascii="宋体" w:hAnsi="宋体" w:eastAsia="宋体" w:cs="宋体"/>
          <w:spacing w:val="4"/>
          <w:position w:val="14"/>
          <w:sz w:val="23"/>
          <w:szCs w:val="23"/>
        </w:rPr>
        <w:t>；</w:t>
      </w:r>
    </w:p>
    <w:p w14:paraId="59B5ED0D">
      <w:pPr>
        <w:spacing w:line="322" w:lineRule="exact"/>
        <w:ind w:left="2688"/>
        <w:rPr>
          <w:rFonts w:ascii="宋体" w:hAnsi="宋体" w:eastAsia="宋体" w:cs="宋体"/>
          <w:sz w:val="23"/>
          <w:szCs w:val="23"/>
        </w:rPr>
      </w:pPr>
      <w:r>
        <w:rPr>
          <w:rFonts w:ascii="Times New Roman" w:hAnsi="Times New Roman" w:eastAsia="Times New Roman" w:cs="Times New Roman"/>
          <w:i/>
          <w:iCs/>
          <w:spacing w:val="-3"/>
          <w:position w:val="3"/>
          <w:sz w:val="23"/>
          <w:szCs w:val="23"/>
        </w:rPr>
        <w:t>r</w:t>
      </w:r>
      <w:r>
        <w:rPr>
          <w:rFonts w:ascii="Times New Roman" w:hAnsi="Times New Roman" w:eastAsia="Times New Roman" w:cs="Times New Roman"/>
          <w:spacing w:val="-6"/>
          <w:position w:val="2"/>
          <w:sz w:val="15"/>
          <w:szCs w:val="15"/>
        </w:rPr>
        <w:t>2</w:t>
      </w:r>
      <w:r>
        <w:rPr>
          <w:rFonts w:ascii="宋体" w:hAnsi="宋体" w:eastAsia="宋体" w:cs="宋体"/>
          <w:spacing w:val="-4"/>
          <w:position w:val="3"/>
          <w:sz w:val="23"/>
          <w:szCs w:val="23"/>
        </w:rPr>
        <w:t>、</w:t>
      </w:r>
      <w:r>
        <w:rPr>
          <w:rFonts w:ascii="Times New Roman" w:hAnsi="Times New Roman" w:eastAsia="Times New Roman" w:cs="Times New Roman"/>
          <w:i/>
          <w:iCs/>
          <w:spacing w:val="-3"/>
          <w:position w:val="3"/>
          <w:sz w:val="23"/>
          <w:szCs w:val="23"/>
        </w:rPr>
        <w:t>r</w:t>
      </w:r>
      <w:r>
        <w:rPr>
          <w:rFonts w:ascii="Times New Roman" w:hAnsi="Times New Roman" w:eastAsia="Times New Roman" w:cs="Times New Roman"/>
          <w:spacing w:val="-3"/>
          <w:position w:val="2"/>
          <w:sz w:val="15"/>
          <w:szCs w:val="15"/>
        </w:rPr>
        <w:t>1</w:t>
      </w:r>
      <w:r>
        <w:rPr>
          <w:rFonts w:ascii="Times New Roman" w:hAnsi="Times New Roman" w:eastAsia="Times New Roman" w:cs="Times New Roman"/>
          <w:spacing w:val="-3"/>
          <w:position w:val="3"/>
          <w:sz w:val="23"/>
          <w:szCs w:val="23"/>
        </w:rPr>
        <w:t>——</w:t>
      </w:r>
      <w:r>
        <w:rPr>
          <w:rFonts w:ascii="宋体" w:hAnsi="宋体" w:eastAsia="宋体" w:cs="宋体"/>
          <w:spacing w:val="-3"/>
          <w:position w:val="3"/>
          <w:sz w:val="23"/>
          <w:szCs w:val="23"/>
        </w:rPr>
        <w:t>与声源的距离</w:t>
      </w:r>
      <w:r>
        <w:rPr>
          <w:rFonts w:ascii="Times New Roman" w:hAnsi="Times New Roman" w:eastAsia="Times New Roman" w:cs="Times New Roman"/>
          <w:spacing w:val="-3"/>
          <w:position w:val="3"/>
          <w:sz w:val="23"/>
          <w:szCs w:val="23"/>
        </w:rPr>
        <w:t>(m)</w:t>
      </w:r>
      <w:r>
        <w:rPr>
          <w:rFonts w:ascii="宋体" w:hAnsi="宋体" w:eastAsia="宋体" w:cs="宋体"/>
          <w:spacing w:val="-3"/>
          <w:position w:val="3"/>
          <w:sz w:val="23"/>
          <w:szCs w:val="23"/>
        </w:rPr>
        <w:t>；</w:t>
      </w:r>
    </w:p>
    <w:p w14:paraId="3353E4F7">
      <w:pPr>
        <w:spacing w:before="146" w:line="322" w:lineRule="exact"/>
        <w:ind w:left="2700"/>
        <w:rPr>
          <w:rFonts w:ascii="宋体" w:hAnsi="宋体" w:eastAsia="宋体" w:cs="宋体"/>
          <w:sz w:val="23"/>
          <w:szCs w:val="23"/>
        </w:rPr>
      </w:pPr>
      <w:r>
        <w:rPr>
          <w:rFonts w:ascii="宋体" w:hAnsi="宋体" w:eastAsia="宋体" w:cs="宋体"/>
          <w:spacing w:val="4"/>
          <w:position w:val="1"/>
          <w:sz w:val="23"/>
          <w:szCs w:val="23"/>
        </w:rPr>
        <w:t>△</w:t>
      </w:r>
      <w:r>
        <w:rPr>
          <w:rFonts w:ascii="Times New Roman" w:hAnsi="Times New Roman" w:eastAsia="Times New Roman" w:cs="Times New Roman"/>
          <w:position w:val="1"/>
          <w:sz w:val="23"/>
          <w:szCs w:val="23"/>
        </w:rPr>
        <w:t>L</w:t>
      </w:r>
      <w:r>
        <w:rPr>
          <w:rFonts w:ascii="Times New Roman" w:hAnsi="Times New Roman" w:eastAsia="Times New Roman" w:cs="Times New Roman"/>
          <w:spacing w:val="4"/>
          <w:position w:val="1"/>
          <w:sz w:val="23"/>
          <w:szCs w:val="23"/>
        </w:rPr>
        <w:t>——</w:t>
      </w:r>
      <w:r>
        <w:rPr>
          <w:rFonts w:ascii="宋体" w:hAnsi="宋体" w:eastAsia="宋体" w:cs="宋体"/>
          <w:spacing w:val="4"/>
          <w:position w:val="1"/>
          <w:sz w:val="23"/>
          <w:szCs w:val="23"/>
        </w:rPr>
        <w:t>场界围墙</w:t>
      </w:r>
      <w:r>
        <w:rPr>
          <w:rFonts w:ascii="宋体" w:hAnsi="宋体" w:eastAsia="宋体" w:cs="宋体"/>
          <w:spacing w:val="2"/>
          <w:position w:val="1"/>
          <w:sz w:val="23"/>
          <w:szCs w:val="23"/>
        </w:rPr>
        <w:t xml:space="preserve">引起的衰减量。  (约为 </w:t>
      </w:r>
      <w:r>
        <w:rPr>
          <w:rFonts w:ascii="Times New Roman" w:hAnsi="Times New Roman" w:eastAsia="Times New Roman" w:cs="Times New Roman"/>
          <w:spacing w:val="2"/>
          <w:position w:val="1"/>
          <w:sz w:val="23"/>
          <w:szCs w:val="23"/>
        </w:rPr>
        <w:t>7</w:t>
      </w:r>
      <w:r>
        <w:rPr>
          <w:rFonts w:ascii="Times New Roman" w:hAnsi="Times New Roman" w:eastAsia="Times New Roman" w:cs="Times New Roman"/>
          <w:position w:val="1"/>
          <w:sz w:val="23"/>
          <w:szCs w:val="23"/>
        </w:rPr>
        <w:t>dB</w:t>
      </w:r>
      <w:r>
        <w:rPr>
          <w:rFonts w:ascii="Times New Roman" w:hAnsi="Times New Roman" w:eastAsia="Times New Roman" w:cs="Times New Roman"/>
          <w:spacing w:val="2"/>
          <w:position w:val="1"/>
          <w:sz w:val="23"/>
          <w:szCs w:val="23"/>
        </w:rPr>
        <w:t xml:space="preserve">  </w:t>
      </w:r>
      <w:r>
        <w:rPr>
          <w:rFonts w:ascii="宋体" w:hAnsi="宋体" w:eastAsia="宋体" w:cs="宋体"/>
          <w:spacing w:val="2"/>
          <w:position w:val="1"/>
          <w:sz w:val="23"/>
          <w:szCs w:val="23"/>
        </w:rPr>
        <w:t>(</w:t>
      </w:r>
      <w:r>
        <w:rPr>
          <w:rFonts w:ascii="Times New Roman" w:hAnsi="Times New Roman" w:eastAsia="Times New Roman" w:cs="Times New Roman"/>
          <w:position w:val="1"/>
          <w:sz w:val="23"/>
          <w:szCs w:val="23"/>
        </w:rPr>
        <w:t>A</w:t>
      </w:r>
      <w:r>
        <w:rPr>
          <w:rFonts w:ascii="宋体" w:hAnsi="宋体" w:eastAsia="宋体" w:cs="宋体"/>
          <w:spacing w:val="2"/>
          <w:position w:val="1"/>
          <w:sz w:val="23"/>
          <w:szCs w:val="23"/>
        </w:rPr>
        <w:t>) )</w:t>
      </w:r>
    </w:p>
    <w:p w14:paraId="34839805">
      <w:pPr>
        <w:spacing w:before="189" w:line="228" w:lineRule="auto"/>
        <w:ind w:left="1024"/>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3</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预测结果</w:t>
      </w:r>
    </w:p>
    <w:p w14:paraId="376BCBD0">
      <w:pPr>
        <w:spacing w:before="182" w:line="227" w:lineRule="auto"/>
        <w:ind w:left="1672"/>
        <w:rPr>
          <w:rFonts w:ascii="宋体" w:hAnsi="宋体" w:eastAsia="宋体" w:cs="宋体"/>
          <w:sz w:val="23"/>
          <w:szCs w:val="23"/>
        </w:rPr>
      </w:pPr>
      <w:r>
        <w:rPr>
          <w:rFonts w:ascii="宋体" w:hAnsi="宋体" w:eastAsia="宋体" w:cs="宋体"/>
          <w:spacing w:val="1"/>
          <w:sz w:val="23"/>
          <w:szCs w:val="23"/>
        </w:rPr>
        <w:t>施工期噪声预测结果</w:t>
      </w:r>
      <w:r>
        <w:rPr>
          <w:rFonts w:ascii="宋体" w:hAnsi="宋体" w:eastAsia="宋体" w:cs="宋体"/>
          <w:sz w:val="23"/>
          <w:szCs w:val="23"/>
        </w:rPr>
        <w:t xml:space="preserve">见表 </w:t>
      </w:r>
      <w:r>
        <w:rPr>
          <w:rFonts w:ascii="Times New Roman" w:hAnsi="Times New Roman" w:eastAsia="Times New Roman" w:cs="Times New Roman"/>
          <w:sz w:val="23"/>
          <w:szCs w:val="23"/>
        </w:rPr>
        <w:t>5. 1-7</w:t>
      </w:r>
      <w:r>
        <w:rPr>
          <w:rFonts w:ascii="宋体" w:hAnsi="宋体" w:eastAsia="宋体" w:cs="宋体"/>
          <w:sz w:val="23"/>
          <w:szCs w:val="23"/>
        </w:rPr>
        <w:t>。</w:t>
      </w:r>
    </w:p>
    <w:p w14:paraId="3D76B5CA">
      <w:pPr>
        <w:spacing w:before="185" w:line="221" w:lineRule="auto"/>
        <w:ind w:left="3150"/>
        <w:rPr>
          <w:rFonts w:ascii="黑体" w:hAnsi="黑体" w:eastAsia="黑体" w:cs="黑体"/>
          <w:sz w:val="23"/>
          <w:szCs w:val="23"/>
        </w:rPr>
      </w:pPr>
      <w:r>
        <w:rPr>
          <w:rFonts w:ascii="黑体" w:hAnsi="黑体" w:eastAsia="黑体" w:cs="黑体"/>
          <w:spacing w:val="1"/>
          <w:sz w:val="23"/>
          <w:szCs w:val="23"/>
        </w:rPr>
        <w:t xml:space="preserve">表 </w:t>
      </w:r>
      <w:r>
        <w:rPr>
          <w:rFonts w:ascii="Times New Roman" w:hAnsi="Times New Roman" w:eastAsia="Times New Roman" w:cs="Times New Roman"/>
          <w:spacing w:val="1"/>
          <w:sz w:val="23"/>
          <w:szCs w:val="23"/>
        </w:rPr>
        <w:t xml:space="preserve">5. 1-7    </w:t>
      </w:r>
      <w:r>
        <w:rPr>
          <w:rFonts w:ascii="黑体" w:hAnsi="黑体" w:eastAsia="黑体" w:cs="黑体"/>
          <w:spacing w:val="1"/>
          <w:sz w:val="23"/>
          <w:szCs w:val="23"/>
        </w:rPr>
        <w:t>施工</w:t>
      </w:r>
      <w:r>
        <w:rPr>
          <w:rFonts w:ascii="黑体" w:hAnsi="黑体" w:eastAsia="黑体" w:cs="黑体"/>
          <w:sz w:val="23"/>
          <w:szCs w:val="23"/>
        </w:rPr>
        <w:t>期噪声预测结果表</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4"/>
        <w:gridCol w:w="607"/>
        <w:gridCol w:w="911"/>
        <w:gridCol w:w="910"/>
        <w:gridCol w:w="911"/>
        <w:gridCol w:w="910"/>
        <w:gridCol w:w="911"/>
        <w:gridCol w:w="910"/>
        <w:gridCol w:w="853"/>
        <w:gridCol w:w="834"/>
        <w:gridCol w:w="1031"/>
      </w:tblGrid>
      <w:tr w14:paraId="7BA875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1531" w:type="dxa"/>
            <w:gridSpan w:val="2"/>
            <w:vMerge w:val="restart"/>
            <w:tcBorders>
              <w:left w:val="nil"/>
              <w:bottom w:val="nil"/>
            </w:tcBorders>
          </w:tcPr>
          <w:p w14:paraId="0E28EE50">
            <w:pPr>
              <w:spacing w:before="189" w:line="228" w:lineRule="auto"/>
              <w:ind w:left="258"/>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噪</w:t>
            </w:r>
            <w:r>
              <w:rPr>
                <w:rFonts w:ascii="宋体" w:hAnsi="宋体" w:eastAsia="宋体" w:cs="宋体"/>
                <w:spacing w:val="6"/>
                <w:sz w:val="20"/>
                <w:szCs w:val="20"/>
                <w14:textOutline w14:w="3797" w14:cap="sq" w14:cmpd="sng" w14:algn="ctr">
                  <w14:solidFill>
                    <w14:srgbClr w14:val="000000"/>
                  </w14:solidFill>
                  <w14:prstDash w14:val="solid"/>
                  <w14:bevel/>
                </w14:textOutline>
              </w:rPr>
              <w:t>声源强值</w:t>
            </w:r>
          </w:p>
        </w:tc>
        <w:tc>
          <w:tcPr>
            <w:tcW w:w="911" w:type="dxa"/>
            <w:vMerge w:val="restart"/>
            <w:tcBorders>
              <w:bottom w:val="nil"/>
              <w:right w:val="single" w:color="000000" w:sz="4" w:space="0"/>
            </w:tcBorders>
          </w:tcPr>
          <w:p w14:paraId="534B2411">
            <w:pPr>
              <w:spacing w:before="56" w:line="239" w:lineRule="auto"/>
              <w:ind w:left="250" w:right="134" w:hanging="103"/>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屏障削</w:t>
            </w:r>
            <w:r>
              <w:rPr>
                <w:rFonts w:ascii="宋体" w:hAnsi="宋体" w:eastAsia="宋体" w:cs="宋体"/>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减后</w:t>
            </w:r>
          </w:p>
        </w:tc>
        <w:tc>
          <w:tcPr>
            <w:tcW w:w="6239" w:type="dxa"/>
            <w:gridSpan w:val="7"/>
            <w:tcBorders>
              <w:left w:val="single" w:color="000000" w:sz="4" w:space="0"/>
              <w:right w:val="single" w:color="000000" w:sz="4" w:space="0"/>
            </w:tcBorders>
          </w:tcPr>
          <w:p w14:paraId="04B37214">
            <w:pPr>
              <w:spacing w:before="55" w:line="228" w:lineRule="auto"/>
              <w:ind w:left="2389"/>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预</w:t>
            </w:r>
            <w:r>
              <w:rPr>
                <w:rFonts w:ascii="宋体" w:hAnsi="宋体" w:eastAsia="宋体" w:cs="宋体"/>
                <w:spacing w:val="6"/>
                <w:sz w:val="20"/>
                <w:szCs w:val="20"/>
                <w14:textOutline w14:w="3797" w14:cap="sq" w14:cmpd="sng" w14:algn="ctr">
                  <w14:solidFill>
                    <w14:srgbClr w14:val="000000"/>
                  </w14:solidFill>
                  <w14:prstDash w14:val="solid"/>
                  <w14:bevel/>
                </w14:textOutline>
              </w:rPr>
              <w:t>测距离</w:t>
            </w:r>
            <w:r>
              <w:rPr>
                <w:rFonts w:ascii="宋体" w:hAnsi="宋体" w:eastAsia="宋体" w:cs="宋体"/>
                <w:spacing w:val="6"/>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(米)</w:t>
            </w:r>
          </w:p>
        </w:tc>
        <w:tc>
          <w:tcPr>
            <w:tcW w:w="1031" w:type="dxa"/>
            <w:vMerge w:val="restart"/>
            <w:tcBorders>
              <w:left w:val="single" w:color="000000" w:sz="4" w:space="0"/>
              <w:bottom w:val="nil"/>
              <w:right w:val="nil"/>
            </w:tcBorders>
          </w:tcPr>
          <w:p w14:paraId="732C0AD5">
            <w:pPr>
              <w:spacing w:before="190" w:line="229" w:lineRule="auto"/>
              <w:ind w:left="310"/>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备</w:t>
            </w:r>
            <w:r>
              <w:rPr>
                <w:rFonts w:ascii="宋体" w:hAnsi="宋体" w:eastAsia="宋体" w:cs="宋体"/>
                <w:spacing w:val="4"/>
                <w:sz w:val="20"/>
                <w:szCs w:val="20"/>
                <w14:textOutline w14:w="3797" w14:cap="sq" w14:cmpd="sng" w14:algn="ctr">
                  <w14:solidFill>
                    <w14:srgbClr w14:val="000000"/>
                  </w14:solidFill>
                  <w14:prstDash w14:val="solid"/>
                  <w14:bevel/>
                </w14:textOutline>
              </w:rPr>
              <w:t>注</w:t>
            </w:r>
          </w:p>
        </w:tc>
      </w:tr>
      <w:tr w14:paraId="5C9499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1531" w:type="dxa"/>
            <w:gridSpan w:val="2"/>
            <w:vMerge w:val="continue"/>
            <w:tcBorders>
              <w:top w:val="nil"/>
              <w:left w:val="nil"/>
            </w:tcBorders>
          </w:tcPr>
          <w:p w14:paraId="08B48843"/>
        </w:tc>
        <w:tc>
          <w:tcPr>
            <w:tcW w:w="911" w:type="dxa"/>
            <w:vMerge w:val="continue"/>
            <w:tcBorders>
              <w:top w:val="nil"/>
              <w:right w:val="single" w:color="000000" w:sz="4" w:space="0"/>
            </w:tcBorders>
          </w:tcPr>
          <w:p w14:paraId="10DC3ACC"/>
        </w:tc>
        <w:tc>
          <w:tcPr>
            <w:tcW w:w="910" w:type="dxa"/>
            <w:tcBorders>
              <w:left w:val="single" w:color="000000" w:sz="4" w:space="0"/>
              <w:right w:val="single" w:color="000000" w:sz="4" w:space="0"/>
            </w:tcBorders>
          </w:tcPr>
          <w:p w14:paraId="6BC87062">
            <w:pPr>
              <w:spacing w:before="64" w:line="195" w:lineRule="auto"/>
              <w:ind w:left="358"/>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10</w:t>
            </w:r>
          </w:p>
        </w:tc>
        <w:tc>
          <w:tcPr>
            <w:tcW w:w="911" w:type="dxa"/>
            <w:tcBorders>
              <w:left w:val="single" w:color="000000" w:sz="4" w:space="0"/>
              <w:right w:val="single" w:color="000000" w:sz="4" w:space="0"/>
            </w:tcBorders>
          </w:tcPr>
          <w:p w14:paraId="038C5C5C">
            <w:pPr>
              <w:spacing w:before="64" w:line="195" w:lineRule="auto"/>
              <w:ind w:left="349"/>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0</w:t>
            </w:r>
          </w:p>
        </w:tc>
        <w:tc>
          <w:tcPr>
            <w:tcW w:w="910" w:type="dxa"/>
            <w:tcBorders>
              <w:left w:val="single" w:color="000000" w:sz="4" w:space="0"/>
              <w:right w:val="single" w:color="000000" w:sz="4" w:space="0"/>
            </w:tcBorders>
          </w:tcPr>
          <w:p w14:paraId="3ABFF988">
            <w:pPr>
              <w:spacing w:before="64" w:line="195" w:lineRule="auto"/>
              <w:ind w:left="350"/>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5</w:t>
            </w:r>
          </w:p>
        </w:tc>
        <w:tc>
          <w:tcPr>
            <w:tcW w:w="911" w:type="dxa"/>
            <w:tcBorders>
              <w:left w:val="single" w:color="000000" w:sz="4" w:space="0"/>
              <w:right w:val="single" w:color="000000" w:sz="4" w:space="0"/>
            </w:tcBorders>
          </w:tcPr>
          <w:p w14:paraId="71D4B483">
            <w:pPr>
              <w:spacing w:before="64" w:line="195" w:lineRule="auto"/>
              <w:ind w:left="352"/>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50</w:t>
            </w:r>
          </w:p>
        </w:tc>
        <w:tc>
          <w:tcPr>
            <w:tcW w:w="910" w:type="dxa"/>
            <w:tcBorders>
              <w:left w:val="single" w:color="000000" w:sz="4" w:space="0"/>
              <w:right w:val="single" w:color="000000" w:sz="4" w:space="0"/>
            </w:tcBorders>
          </w:tcPr>
          <w:p w14:paraId="081E0B31">
            <w:pPr>
              <w:spacing w:before="64" w:line="195" w:lineRule="auto"/>
              <w:ind w:left="304"/>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00</w:t>
            </w:r>
          </w:p>
        </w:tc>
        <w:tc>
          <w:tcPr>
            <w:tcW w:w="853" w:type="dxa"/>
            <w:tcBorders>
              <w:left w:val="single" w:color="000000" w:sz="4" w:space="0"/>
              <w:right w:val="single" w:color="000000" w:sz="4" w:space="0"/>
            </w:tcBorders>
          </w:tcPr>
          <w:p w14:paraId="03A0052F">
            <w:pPr>
              <w:spacing w:before="64" w:line="195" w:lineRule="auto"/>
              <w:ind w:left="277"/>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50</w:t>
            </w:r>
          </w:p>
        </w:tc>
        <w:tc>
          <w:tcPr>
            <w:tcW w:w="834" w:type="dxa"/>
            <w:tcBorders>
              <w:left w:val="single" w:color="000000" w:sz="4" w:space="0"/>
              <w:right w:val="single" w:color="000000" w:sz="4" w:space="0"/>
            </w:tcBorders>
          </w:tcPr>
          <w:p w14:paraId="2CF3A043">
            <w:pPr>
              <w:spacing w:before="64" w:line="195" w:lineRule="auto"/>
              <w:ind w:left="258"/>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w:t>
            </w:r>
            <w:r>
              <w:rPr>
                <w:rFonts w:ascii="Times New Roman" w:hAnsi="Times New Roman" w:eastAsia="Times New Roman" w:cs="Times New Roman"/>
                <w:b/>
                <w:bCs/>
                <w:spacing w:val="3"/>
                <w:sz w:val="20"/>
                <w:szCs w:val="20"/>
              </w:rPr>
              <w:t>00</w:t>
            </w:r>
          </w:p>
        </w:tc>
        <w:tc>
          <w:tcPr>
            <w:tcW w:w="1031" w:type="dxa"/>
            <w:vMerge w:val="continue"/>
            <w:tcBorders>
              <w:top w:val="nil"/>
              <w:left w:val="single" w:color="000000" w:sz="4" w:space="0"/>
              <w:right w:val="nil"/>
            </w:tcBorders>
          </w:tcPr>
          <w:p w14:paraId="1957E90F"/>
        </w:tc>
      </w:tr>
      <w:tr w14:paraId="23CF3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924" w:type="dxa"/>
            <w:tcBorders>
              <w:left w:val="nil"/>
              <w:right w:val="single" w:color="000000" w:sz="4" w:space="0"/>
            </w:tcBorders>
          </w:tcPr>
          <w:p w14:paraId="4BC60E92">
            <w:pPr>
              <w:spacing w:before="36" w:line="227" w:lineRule="auto"/>
              <w:ind w:left="155"/>
              <w:rPr>
                <w:rFonts w:ascii="宋体" w:hAnsi="宋体" w:eastAsia="宋体" w:cs="宋体"/>
                <w:sz w:val="20"/>
                <w:szCs w:val="20"/>
              </w:rPr>
            </w:pPr>
            <w:r>
              <w:rPr>
                <w:rFonts w:ascii="宋体" w:hAnsi="宋体" w:eastAsia="宋体" w:cs="宋体"/>
                <w:spacing w:val="7"/>
                <w:sz w:val="20"/>
                <w:szCs w:val="20"/>
              </w:rPr>
              <w:t>土</w:t>
            </w:r>
            <w:r>
              <w:rPr>
                <w:rFonts w:ascii="宋体" w:hAnsi="宋体" w:eastAsia="宋体" w:cs="宋体"/>
                <w:spacing w:val="6"/>
                <w:sz w:val="20"/>
                <w:szCs w:val="20"/>
              </w:rPr>
              <w:t>石方</w:t>
            </w:r>
          </w:p>
        </w:tc>
        <w:tc>
          <w:tcPr>
            <w:tcW w:w="607" w:type="dxa"/>
            <w:tcBorders>
              <w:left w:val="single" w:color="000000" w:sz="4" w:space="0"/>
            </w:tcBorders>
          </w:tcPr>
          <w:p w14:paraId="0829D71A">
            <w:pPr>
              <w:spacing w:before="71" w:line="195" w:lineRule="auto"/>
              <w:ind w:left="20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w:t>
            </w:r>
            <w:r>
              <w:rPr>
                <w:rFonts w:ascii="Times New Roman" w:hAnsi="Times New Roman" w:eastAsia="Times New Roman" w:cs="Times New Roman"/>
                <w:spacing w:val="-1"/>
                <w:sz w:val="20"/>
                <w:szCs w:val="20"/>
              </w:rPr>
              <w:t>5</w:t>
            </w:r>
          </w:p>
        </w:tc>
        <w:tc>
          <w:tcPr>
            <w:tcW w:w="911" w:type="dxa"/>
            <w:tcBorders>
              <w:right w:val="single" w:color="000000" w:sz="4" w:space="0"/>
            </w:tcBorders>
          </w:tcPr>
          <w:p w14:paraId="482DAEAD">
            <w:pPr>
              <w:spacing w:before="71" w:line="195" w:lineRule="auto"/>
              <w:ind w:left="35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78</w:t>
            </w:r>
          </w:p>
        </w:tc>
        <w:tc>
          <w:tcPr>
            <w:tcW w:w="910" w:type="dxa"/>
            <w:tcBorders>
              <w:left w:val="single" w:color="000000" w:sz="4" w:space="0"/>
              <w:right w:val="single" w:color="000000" w:sz="4" w:space="0"/>
            </w:tcBorders>
          </w:tcPr>
          <w:p w14:paraId="1B92FF76">
            <w:pPr>
              <w:spacing w:before="72" w:line="195" w:lineRule="auto"/>
              <w:ind w:left="27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58.</w:t>
            </w:r>
            <w:r>
              <w:rPr>
                <w:rFonts w:ascii="Times New Roman" w:hAnsi="Times New Roman" w:eastAsia="Times New Roman" w:cs="Times New Roman"/>
                <w:spacing w:val="2"/>
                <w:sz w:val="20"/>
                <w:szCs w:val="20"/>
              </w:rPr>
              <w:t>0</w:t>
            </w:r>
          </w:p>
        </w:tc>
        <w:tc>
          <w:tcPr>
            <w:tcW w:w="911" w:type="dxa"/>
            <w:tcBorders>
              <w:left w:val="single" w:color="000000" w:sz="4" w:space="0"/>
              <w:right w:val="single" w:color="000000" w:sz="4" w:space="0"/>
            </w:tcBorders>
          </w:tcPr>
          <w:p w14:paraId="715F18D2">
            <w:pPr>
              <w:spacing w:before="72" w:line="195" w:lineRule="auto"/>
              <w:ind w:left="27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52.</w:t>
            </w:r>
            <w:r>
              <w:rPr>
                <w:rFonts w:ascii="Times New Roman" w:hAnsi="Times New Roman" w:eastAsia="Times New Roman" w:cs="Times New Roman"/>
                <w:spacing w:val="2"/>
                <w:sz w:val="20"/>
                <w:szCs w:val="20"/>
              </w:rPr>
              <w:t>0</w:t>
            </w:r>
          </w:p>
        </w:tc>
        <w:tc>
          <w:tcPr>
            <w:tcW w:w="910" w:type="dxa"/>
            <w:tcBorders>
              <w:left w:val="single" w:color="000000" w:sz="4" w:space="0"/>
              <w:right w:val="single" w:color="000000" w:sz="4" w:space="0"/>
            </w:tcBorders>
          </w:tcPr>
          <w:p w14:paraId="68483104">
            <w:pPr>
              <w:spacing w:before="72" w:line="195" w:lineRule="auto"/>
              <w:ind w:left="27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50.</w:t>
            </w:r>
            <w:r>
              <w:rPr>
                <w:rFonts w:ascii="Times New Roman" w:hAnsi="Times New Roman" w:eastAsia="Times New Roman" w:cs="Times New Roman"/>
                <w:spacing w:val="2"/>
                <w:sz w:val="20"/>
                <w:szCs w:val="20"/>
              </w:rPr>
              <w:t>0</w:t>
            </w:r>
          </w:p>
        </w:tc>
        <w:tc>
          <w:tcPr>
            <w:tcW w:w="911" w:type="dxa"/>
            <w:tcBorders>
              <w:left w:val="single" w:color="000000" w:sz="4" w:space="0"/>
              <w:right w:val="single" w:color="000000" w:sz="4" w:space="0"/>
            </w:tcBorders>
          </w:tcPr>
          <w:p w14:paraId="348D42B1">
            <w:pPr>
              <w:spacing w:before="71" w:line="198" w:lineRule="auto"/>
              <w:ind w:left="26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4</w:t>
            </w:r>
            <w:r>
              <w:rPr>
                <w:rFonts w:ascii="Times New Roman" w:hAnsi="Times New Roman" w:eastAsia="Times New Roman" w:cs="Times New Roman"/>
                <w:spacing w:val="4"/>
                <w:sz w:val="20"/>
                <w:szCs w:val="20"/>
              </w:rPr>
              <w:t>4.0</w:t>
            </w:r>
          </w:p>
        </w:tc>
        <w:tc>
          <w:tcPr>
            <w:tcW w:w="910" w:type="dxa"/>
            <w:tcBorders>
              <w:left w:val="single" w:color="000000" w:sz="4" w:space="0"/>
              <w:right w:val="single" w:color="000000" w:sz="4" w:space="0"/>
            </w:tcBorders>
          </w:tcPr>
          <w:p w14:paraId="2A444AC8">
            <w:pPr>
              <w:spacing w:before="72" w:line="195" w:lineRule="auto"/>
              <w:ind w:left="27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38.0</w:t>
            </w:r>
          </w:p>
        </w:tc>
        <w:tc>
          <w:tcPr>
            <w:tcW w:w="853" w:type="dxa"/>
            <w:tcBorders>
              <w:left w:val="single" w:color="000000" w:sz="4" w:space="0"/>
              <w:right w:val="single" w:color="000000" w:sz="4" w:space="0"/>
            </w:tcBorders>
          </w:tcPr>
          <w:p w14:paraId="18F5A344">
            <w:pPr>
              <w:spacing w:before="72" w:line="195" w:lineRule="auto"/>
              <w:ind w:left="24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34.</w:t>
            </w:r>
            <w:r>
              <w:rPr>
                <w:rFonts w:ascii="Times New Roman" w:hAnsi="Times New Roman" w:eastAsia="Times New Roman" w:cs="Times New Roman"/>
                <w:spacing w:val="3"/>
                <w:sz w:val="20"/>
                <w:szCs w:val="20"/>
              </w:rPr>
              <w:t>5</w:t>
            </w:r>
          </w:p>
        </w:tc>
        <w:tc>
          <w:tcPr>
            <w:tcW w:w="834" w:type="dxa"/>
            <w:tcBorders>
              <w:left w:val="single" w:color="000000" w:sz="4" w:space="0"/>
              <w:right w:val="single" w:color="000000" w:sz="4" w:space="0"/>
            </w:tcBorders>
          </w:tcPr>
          <w:p w14:paraId="22851B8E">
            <w:pPr>
              <w:spacing w:before="72" w:line="195" w:lineRule="auto"/>
              <w:ind w:left="2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32.0</w:t>
            </w:r>
          </w:p>
        </w:tc>
        <w:tc>
          <w:tcPr>
            <w:tcW w:w="1031" w:type="dxa"/>
            <w:vMerge w:val="restart"/>
            <w:tcBorders>
              <w:left w:val="single" w:color="000000" w:sz="4" w:space="0"/>
              <w:bottom w:val="nil"/>
              <w:right w:val="nil"/>
            </w:tcBorders>
          </w:tcPr>
          <w:p w14:paraId="677EE4BC">
            <w:pPr>
              <w:spacing w:before="35" w:line="231" w:lineRule="auto"/>
              <w:ind w:left="226"/>
              <w:rPr>
                <w:rFonts w:ascii="宋体" w:hAnsi="宋体" w:eastAsia="宋体" w:cs="宋体"/>
                <w:sz w:val="20"/>
                <w:szCs w:val="20"/>
              </w:rPr>
            </w:pPr>
            <w:r>
              <w:rPr>
                <w:rFonts w:ascii="宋体" w:hAnsi="宋体" w:eastAsia="宋体" w:cs="宋体"/>
                <w:spacing w:val="-1"/>
                <w:sz w:val="20"/>
                <w:szCs w:val="20"/>
              </w:rPr>
              <w:t>以施工</w:t>
            </w:r>
          </w:p>
          <w:p w14:paraId="0A19EB73">
            <w:pPr>
              <w:spacing w:before="23" w:line="228" w:lineRule="auto"/>
              <w:ind w:left="205"/>
              <w:rPr>
                <w:rFonts w:ascii="宋体" w:hAnsi="宋体" w:eastAsia="宋体" w:cs="宋体"/>
                <w:sz w:val="20"/>
                <w:szCs w:val="20"/>
              </w:rPr>
            </w:pPr>
            <w:r>
              <w:rPr>
                <w:rFonts w:ascii="宋体" w:hAnsi="宋体" w:eastAsia="宋体" w:cs="宋体"/>
                <w:spacing w:val="6"/>
                <w:sz w:val="20"/>
                <w:szCs w:val="20"/>
              </w:rPr>
              <w:t>期最强</w:t>
            </w:r>
          </w:p>
          <w:p w14:paraId="1F6A4484">
            <w:pPr>
              <w:spacing w:before="24" w:line="228" w:lineRule="auto"/>
              <w:ind w:left="212"/>
              <w:rPr>
                <w:rFonts w:ascii="宋体" w:hAnsi="宋体" w:eastAsia="宋体" w:cs="宋体"/>
                <w:sz w:val="20"/>
                <w:szCs w:val="20"/>
              </w:rPr>
            </w:pPr>
            <w:r>
              <w:rPr>
                <w:rFonts w:ascii="宋体" w:hAnsi="宋体" w:eastAsia="宋体" w:cs="宋体"/>
                <w:spacing w:val="5"/>
                <w:sz w:val="20"/>
                <w:szCs w:val="20"/>
              </w:rPr>
              <w:t>噪</w:t>
            </w:r>
            <w:r>
              <w:rPr>
                <w:rFonts w:ascii="宋体" w:hAnsi="宋体" w:eastAsia="宋体" w:cs="宋体"/>
                <w:spacing w:val="3"/>
                <w:sz w:val="20"/>
                <w:szCs w:val="20"/>
              </w:rPr>
              <w:t>声值</w:t>
            </w:r>
          </w:p>
          <w:p w14:paraId="4AD33619">
            <w:pPr>
              <w:spacing w:before="27" w:line="228" w:lineRule="auto"/>
              <w:ind w:left="310"/>
              <w:rPr>
                <w:rFonts w:ascii="宋体" w:hAnsi="宋体" w:eastAsia="宋体" w:cs="宋体"/>
                <w:sz w:val="20"/>
                <w:szCs w:val="20"/>
              </w:rPr>
            </w:pPr>
            <w:r>
              <w:rPr>
                <w:rFonts w:ascii="宋体" w:hAnsi="宋体" w:eastAsia="宋体" w:cs="宋体"/>
                <w:spacing w:val="4"/>
                <w:sz w:val="20"/>
                <w:szCs w:val="20"/>
              </w:rPr>
              <w:t>预</w:t>
            </w:r>
            <w:r>
              <w:rPr>
                <w:rFonts w:ascii="宋体" w:hAnsi="宋体" w:eastAsia="宋体" w:cs="宋体"/>
                <w:spacing w:val="3"/>
                <w:sz w:val="20"/>
                <w:szCs w:val="20"/>
              </w:rPr>
              <w:t>测</w:t>
            </w:r>
          </w:p>
        </w:tc>
      </w:tr>
      <w:tr w14:paraId="0E34A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924" w:type="dxa"/>
            <w:tcBorders>
              <w:left w:val="nil"/>
              <w:right w:val="single" w:color="000000" w:sz="4" w:space="0"/>
            </w:tcBorders>
          </w:tcPr>
          <w:p w14:paraId="5F35D082">
            <w:pPr>
              <w:spacing w:before="37" w:line="200" w:lineRule="auto"/>
              <w:ind w:left="265"/>
              <w:rPr>
                <w:rFonts w:ascii="宋体" w:hAnsi="宋体" w:eastAsia="宋体" w:cs="宋体"/>
                <w:sz w:val="20"/>
                <w:szCs w:val="20"/>
              </w:rPr>
            </w:pPr>
            <w:r>
              <w:rPr>
                <w:rFonts w:ascii="宋体" w:hAnsi="宋体" w:eastAsia="宋体" w:cs="宋体"/>
                <w:spacing w:val="2"/>
                <w:sz w:val="20"/>
                <w:szCs w:val="20"/>
              </w:rPr>
              <w:t>结构</w:t>
            </w:r>
          </w:p>
        </w:tc>
        <w:tc>
          <w:tcPr>
            <w:tcW w:w="607" w:type="dxa"/>
            <w:tcBorders>
              <w:left w:val="single" w:color="000000" w:sz="4" w:space="0"/>
            </w:tcBorders>
          </w:tcPr>
          <w:p w14:paraId="2E8CFACC">
            <w:pPr>
              <w:spacing w:before="72" w:line="189" w:lineRule="auto"/>
              <w:ind w:left="16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tc>
        <w:tc>
          <w:tcPr>
            <w:tcW w:w="911" w:type="dxa"/>
            <w:tcBorders>
              <w:right w:val="single" w:color="000000" w:sz="4" w:space="0"/>
            </w:tcBorders>
          </w:tcPr>
          <w:p w14:paraId="717E2957">
            <w:pPr>
              <w:spacing w:before="72" w:line="189" w:lineRule="auto"/>
              <w:ind w:left="35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w:t>
            </w:r>
            <w:r>
              <w:rPr>
                <w:rFonts w:ascii="Times New Roman" w:hAnsi="Times New Roman" w:eastAsia="Times New Roman" w:cs="Times New Roman"/>
                <w:sz w:val="20"/>
                <w:szCs w:val="20"/>
              </w:rPr>
              <w:t>3</w:t>
            </w:r>
          </w:p>
        </w:tc>
        <w:tc>
          <w:tcPr>
            <w:tcW w:w="910" w:type="dxa"/>
            <w:tcBorders>
              <w:left w:val="single" w:color="000000" w:sz="4" w:space="0"/>
              <w:right w:val="single" w:color="000000" w:sz="4" w:space="0"/>
            </w:tcBorders>
          </w:tcPr>
          <w:p w14:paraId="1004E884">
            <w:pPr>
              <w:spacing w:before="72" w:line="189" w:lineRule="auto"/>
              <w:ind w:left="27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7</w:t>
            </w:r>
            <w:r>
              <w:rPr>
                <w:rFonts w:ascii="Times New Roman" w:hAnsi="Times New Roman" w:eastAsia="Times New Roman" w:cs="Times New Roman"/>
                <w:spacing w:val="3"/>
                <w:sz w:val="20"/>
                <w:szCs w:val="20"/>
              </w:rPr>
              <w:t>3 0</w:t>
            </w:r>
          </w:p>
        </w:tc>
        <w:tc>
          <w:tcPr>
            <w:tcW w:w="911" w:type="dxa"/>
            <w:tcBorders>
              <w:left w:val="single" w:color="000000" w:sz="4" w:space="0"/>
              <w:right w:val="single" w:color="000000" w:sz="4" w:space="0"/>
            </w:tcBorders>
          </w:tcPr>
          <w:p w14:paraId="2758D7D0">
            <w:pPr>
              <w:spacing w:before="72" w:line="189" w:lineRule="auto"/>
              <w:ind w:left="27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67 0</w:t>
            </w:r>
          </w:p>
        </w:tc>
        <w:tc>
          <w:tcPr>
            <w:tcW w:w="910" w:type="dxa"/>
            <w:tcBorders>
              <w:left w:val="single" w:color="000000" w:sz="4" w:space="0"/>
              <w:right w:val="single" w:color="000000" w:sz="4" w:space="0"/>
            </w:tcBorders>
          </w:tcPr>
          <w:p w14:paraId="165C0176">
            <w:pPr>
              <w:spacing w:before="72" w:line="189" w:lineRule="auto"/>
              <w:ind w:left="27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65 0</w:t>
            </w:r>
          </w:p>
        </w:tc>
        <w:tc>
          <w:tcPr>
            <w:tcW w:w="911" w:type="dxa"/>
            <w:tcBorders>
              <w:left w:val="single" w:color="000000" w:sz="4" w:space="0"/>
              <w:right w:val="single" w:color="000000" w:sz="4" w:space="0"/>
            </w:tcBorders>
          </w:tcPr>
          <w:p w14:paraId="62B0B680">
            <w:pPr>
              <w:spacing w:before="72" w:line="189" w:lineRule="auto"/>
              <w:ind w:left="27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 xml:space="preserve">59 </w:t>
            </w:r>
            <w:r>
              <w:rPr>
                <w:rFonts w:ascii="Times New Roman" w:hAnsi="Times New Roman" w:eastAsia="Times New Roman" w:cs="Times New Roman"/>
                <w:spacing w:val="2"/>
                <w:sz w:val="20"/>
                <w:szCs w:val="20"/>
              </w:rPr>
              <w:t>0</w:t>
            </w:r>
          </w:p>
        </w:tc>
        <w:tc>
          <w:tcPr>
            <w:tcW w:w="910" w:type="dxa"/>
            <w:tcBorders>
              <w:left w:val="single" w:color="000000" w:sz="4" w:space="0"/>
              <w:right w:val="single" w:color="000000" w:sz="4" w:space="0"/>
            </w:tcBorders>
          </w:tcPr>
          <w:p w14:paraId="305633E7">
            <w:pPr>
              <w:spacing w:before="72" w:line="189" w:lineRule="auto"/>
              <w:ind w:left="27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 xml:space="preserve">53 </w:t>
            </w:r>
            <w:r>
              <w:rPr>
                <w:rFonts w:ascii="Times New Roman" w:hAnsi="Times New Roman" w:eastAsia="Times New Roman" w:cs="Times New Roman"/>
                <w:spacing w:val="2"/>
                <w:sz w:val="20"/>
                <w:szCs w:val="20"/>
              </w:rPr>
              <w:t>0</w:t>
            </w:r>
          </w:p>
        </w:tc>
        <w:tc>
          <w:tcPr>
            <w:tcW w:w="853" w:type="dxa"/>
            <w:tcBorders>
              <w:left w:val="single" w:color="000000" w:sz="4" w:space="0"/>
              <w:right w:val="single" w:color="000000" w:sz="4" w:space="0"/>
            </w:tcBorders>
          </w:tcPr>
          <w:p w14:paraId="7611F1DE">
            <w:pPr>
              <w:spacing w:before="72" w:line="189"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49 5</w:t>
            </w:r>
          </w:p>
        </w:tc>
        <w:tc>
          <w:tcPr>
            <w:tcW w:w="834" w:type="dxa"/>
            <w:tcBorders>
              <w:left w:val="single" w:color="000000" w:sz="4" w:space="0"/>
              <w:right w:val="single" w:color="000000" w:sz="4" w:space="0"/>
            </w:tcBorders>
          </w:tcPr>
          <w:p w14:paraId="2978C065">
            <w:pPr>
              <w:spacing w:before="72" w:line="189" w:lineRule="auto"/>
              <w:ind w:left="23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4</w:t>
            </w:r>
            <w:r>
              <w:rPr>
                <w:rFonts w:ascii="Times New Roman" w:hAnsi="Times New Roman" w:eastAsia="Times New Roman" w:cs="Times New Roman"/>
                <w:spacing w:val="4"/>
                <w:sz w:val="20"/>
                <w:szCs w:val="20"/>
              </w:rPr>
              <w:t>7 0</w:t>
            </w:r>
          </w:p>
        </w:tc>
        <w:tc>
          <w:tcPr>
            <w:tcW w:w="1031" w:type="dxa"/>
            <w:vMerge w:val="continue"/>
            <w:tcBorders>
              <w:top w:val="nil"/>
              <w:left w:val="single" w:color="000000" w:sz="4" w:space="0"/>
              <w:bottom w:val="nil"/>
              <w:right w:val="nil"/>
            </w:tcBorders>
          </w:tcPr>
          <w:p w14:paraId="1879A827"/>
        </w:tc>
      </w:tr>
      <w:tr w14:paraId="3FAAC0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924" w:type="dxa"/>
            <w:tcBorders>
              <w:left w:val="nil"/>
              <w:right w:val="single" w:color="000000" w:sz="4" w:space="0"/>
            </w:tcBorders>
          </w:tcPr>
          <w:p w14:paraId="14417966">
            <w:pPr>
              <w:spacing w:before="185" w:line="228" w:lineRule="auto"/>
              <w:ind w:left="260"/>
              <w:rPr>
                <w:rFonts w:ascii="宋体" w:hAnsi="宋体" w:eastAsia="宋体" w:cs="宋体"/>
                <w:sz w:val="20"/>
                <w:szCs w:val="20"/>
              </w:rPr>
            </w:pPr>
            <w:r>
              <w:rPr>
                <w:rFonts w:ascii="宋体" w:hAnsi="宋体" w:eastAsia="宋体" w:cs="宋体"/>
                <w:spacing w:val="5"/>
                <w:sz w:val="20"/>
                <w:szCs w:val="20"/>
              </w:rPr>
              <w:t>装</w:t>
            </w:r>
            <w:r>
              <w:rPr>
                <w:rFonts w:ascii="宋体" w:hAnsi="宋体" w:eastAsia="宋体" w:cs="宋体"/>
                <w:spacing w:val="4"/>
                <w:sz w:val="20"/>
                <w:szCs w:val="20"/>
              </w:rPr>
              <w:t>修</w:t>
            </w:r>
          </w:p>
        </w:tc>
        <w:tc>
          <w:tcPr>
            <w:tcW w:w="607" w:type="dxa"/>
            <w:tcBorders>
              <w:left w:val="single" w:color="000000" w:sz="4" w:space="0"/>
            </w:tcBorders>
          </w:tcPr>
          <w:p w14:paraId="2EDAF31B">
            <w:pPr>
              <w:spacing w:before="221" w:line="195" w:lineRule="auto"/>
              <w:ind w:left="20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w:t>
            </w:r>
            <w:r>
              <w:rPr>
                <w:rFonts w:ascii="Times New Roman" w:hAnsi="Times New Roman" w:eastAsia="Times New Roman" w:cs="Times New Roman"/>
                <w:sz w:val="20"/>
                <w:szCs w:val="20"/>
              </w:rPr>
              <w:t>0</w:t>
            </w:r>
          </w:p>
        </w:tc>
        <w:tc>
          <w:tcPr>
            <w:tcW w:w="911" w:type="dxa"/>
            <w:tcBorders>
              <w:right w:val="single" w:color="000000" w:sz="4" w:space="0"/>
            </w:tcBorders>
          </w:tcPr>
          <w:p w14:paraId="20AD1D5D">
            <w:pPr>
              <w:spacing w:before="221" w:line="195" w:lineRule="auto"/>
              <w:ind w:left="35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w:t>
            </w:r>
            <w:r>
              <w:rPr>
                <w:rFonts w:ascii="Times New Roman" w:hAnsi="Times New Roman" w:eastAsia="Times New Roman" w:cs="Times New Roman"/>
                <w:spacing w:val="-1"/>
                <w:sz w:val="20"/>
                <w:szCs w:val="20"/>
              </w:rPr>
              <w:t>3</w:t>
            </w:r>
          </w:p>
        </w:tc>
        <w:tc>
          <w:tcPr>
            <w:tcW w:w="910" w:type="dxa"/>
            <w:tcBorders>
              <w:left w:val="single" w:color="000000" w:sz="4" w:space="0"/>
              <w:right w:val="single" w:color="000000" w:sz="4" w:space="0"/>
            </w:tcBorders>
          </w:tcPr>
          <w:p w14:paraId="2C4C485C">
            <w:pPr>
              <w:spacing w:before="222" w:line="195" w:lineRule="auto"/>
              <w:ind w:left="27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63.0</w:t>
            </w:r>
          </w:p>
        </w:tc>
        <w:tc>
          <w:tcPr>
            <w:tcW w:w="911" w:type="dxa"/>
            <w:tcBorders>
              <w:left w:val="single" w:color="000000" w:sz="4" w:space="0"/>
              <w:right w:val="single" w:color="000000" w:sz="4" w:space="0"/>
            </w:tcBorders>
          </w:tcPr>
          <w:p w14:paraId="0580C785">
            <w:pPr>
              <w:spacing w:before="221" w:line="195" w:lineRule="auto"/>
              <w:ind w:left="27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57.</w:t>
            </w:r>
            <w:r>
              <w:rPr>
                <w:rFonts w:ascii="Times New Roman" w:hAnsi="Times New Roman" w:eastAsia="Times New Roman" w:cs="Times New Roman"/>
                <w:spacing w:val="2"/>
                <w:sz w:val="20"/>
                <w:szCs w:val="20"/>
              </w:rPr>
              <w:t>0</w:t>
            </w:r>
          </w:p>
        </w:tc>
        <w:tc>
          <w:tcPr>
            <w:tcW w:w="910" w:type="dxa"/>
            <w:tcBorders>
              <w:left w:val="single" w:color="000000" w:sz="4" w:space="0"/>
              <w:right w:val="single" w:color="000000" w:sz="4" w:space="0"/>
            </w:tcBorders>
          </w:tcPr>
          <w:p w14:paraId="3872E17B">
            <w:pPr>
              <w:spacing w:before="222" w:line="195" w:lineRule="auto"/>
              <w:ind w:left="27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55.</w:t>
            </w:r>
            <w:r>
              <w:rPr>
                <w:rFonts w:ascii="Times New Roman" w:hAnsi="Times New Roman" w:eastAsia="Times New Roman" w:cs="Times New Roman"/>
                <w:spacing w:val="2"/>
                <w:sz w:val="20"/>
                <w:szCs w:val="20"/>
              </w:rPr>
              <w:t>0</w:t>
            </w:r>
          </w:p>
        </w:tc>
        <w:tc>
          <w:tcPr>
            <w:tcW w:w="911" w:type="dxa"/>
            <w:tcBorders>
              <w:left w:val="single" w:color="000000" w:sz="4" w:space="0"/>
              <w:right w:val="single" w:color="000000" w:sz="4" w:space="0"/>
            </w:tcBorders>
          </w:tcPr>
          <w:p w14:paraId="2A40ECF3">
            <w:pPr>
              <w:spacing w:before="221" w:line="195" w:lineRule="auto"/>
              <w:ind w:left="26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4</w:t>
            </w:r>
            <w:r>
              <w:rPr>
                <w:rFonts w:ascii="Times New Roman" w:hAnsi="Times New Roman" w:eastAsia="Times New Roman" w:cs="Times New Roman"/>
                <w:spacing w:val="4"/>
                <w:sz w:val="20"/>
                <w:szCs w:val="20"/>
              </w:rPr>
              <w:t>9.0</w:t>
            </w:r>
          </w:p>
        </w:tc>
        <w:tc>
          <w:tcPr>
            <w:tcW w:w="910" w:type="dxa"/>
            <w:tcBorders>
              <w:left w:val="single" w:color="000000" w:sz="4" w:space="0"/>
              <w:right w:val="single" w:color="000000" w:sz="4" w:space="0"/>
            </w:tcBorders>
          </w:tcPr>
          <w:p w14:paraId="17CEE1C6">
            <w:pPr>
              <w:spacing w:before="222" w:line="195" w:lineRule="auto"/>
              <w:ind w:left="27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4</w:t>
            </w:r>
            <w:r>
              <w:rPr>
                <w:rFonts w:ascii="Times New Roman" w:hAnsi="Times New Roman" w:eastAsia="Times New Roman" w:cs="Times New Roman"/>
                <w:spacing w:val="4"/>
                <w:sz w:val="20"/>
                <w:szCs w:val="20"/>
              </w:rPr>
              <w:t>3.0</w:t>
            </w:r>
          </w:p>
        </w:tc>
        <w:tc>
          <w:tcPr>
            <w:tcW w:w="853" w:type="dxa"/>
            <w:tcBorders>
              <w:left w:val="single" w:color="000000" w:sz="4" w:space="0"/>
              <w:right w:val="single" w:color="000000" w:sz="4" w:space="0"/>
            </w:tcBorders>
          </w:tcPr>
          <w:p w14:paraId="76B824F2">
            <w:pPr>
              <w:spacing w:before="221" w:line="195" w:lineRule="auto"/>
              <w:ind w:left="24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39.</w:t>
            </w:r>
            <w:r>
              <w:rPr>
                <w:rFonts w:ascii="Times New Roman" w:hAnsi="Times New Roman" w:eastAsia="Times New Roman" w:cs="Times New Roman"/>
                <w:spacing w:val="3"/>
                <w:sz w:val="20"/>
                <w:szCs w:val="20"/>
              </w:rPr>
              <w:t>5</w:t>
            </w:r>
          </w:p>
        </w:tc>
        <w:tc>
          <w:tcPr>
            <w:tcW w:w="834" w:type="dxa"/>
            <w:tcBorders>
              <w:left w:val="single" w:color="000000" w:sz="4" w:space="0"/>
              <w:right w:val="single" w:color="000000" w:sz="4" w:space="0"/>
            </w:tcBorders>
          </w:tcPr>
          <w:p w14:paraId="116E44B7">
            <w:pPr>
              <w:spacing w:before="221" w:line="195" w:lineRule="auto"/>
              <w:ind w:left="2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37.0</w:t>
            </w:r>
          </w:p>
        </w:tc>
        <w:tc>
          <w:tcPr>
            <w:tcW w:w="1031" w:type="dxa"/>
            <w:vMerge w:val="continue"/>
            <w:tcBorders>
              <w:top w:val="nil"/>
              <w:left w:val="single" w:color="000000" w:sz="4" w:space="0"/>
              <w:right w:val="nil"/>
            </w:tcBorders>
          </w:tcPr>
          <w:p w14:paraId="4E4ECA11"/>
        </w:tc>
      </w:tr>
    </w:tbl>
    <w:p w14:paraId="14B13FAC">
      <w:pPr>
        <w:spacing w:before="35" w:line="375" w:lineRule="auto"/>
        <w:ind w:left="535" w:right="521" w:firstLine="422"/>
        <w:rPr>
          <w:rFonts w:ascii="宋体" w:hAnsi="宋体" w:eastAsia="宋体" w:cs="宋体"/>
          <w:sz w:val="23"/>
          <w:szCs w:val="23"/>
        </w:rPr>
      </w:pPr>
      <w:r>
        <w:rPr>
          <w:rFonts w:ascii="宋体" w:hAnsi="宋体" w:eastAsia="宋体" w:cs="宋体"/>
          <w:spacing w:val="22"/>
          <w:sz w:val="23"/>
          <w:szCs w:val="23"/>
        </w:rPr>
        <w:t>考</w:t>
      </w:r>
      <w:r>
        <w:rPr>
          <w:rFonts w:ascii="宋体" w:hAnsi="宋体" w:eastAsia="宋体" w:cs="宋体"/>
          <w:spacing w:val="15"/>
          <w:sz w:val="23"/>
          <w:szCs w:val="23"/>
        </w:rPr>
        <w:t>虑</w:t>
      </w:r>
      <w:r>
        <w:rPr>
          <w:rFonts w:ascii="宋体" w:hAnsi="宋体" w:eastAsia="宋体" w:cs="宋体"/>
          <w:spacing w:val="11"/>
          <w:sz w:val="23"/>
          <w:szCs w:val="23"/>
        </w:rPr>
        <w:t>到施工场地噪声分布的不均匀性 (施工场地噪声峰值的出现) ，按环境噪</w:t>
      </w:r>
      <w:r>
        <w:rPr>
          <w:rFonts w:ascii="宋体" w:hAnsi="宋体" w:eastAsia="宋体" w:cs="宋体"/>
          <w:sz w:val="23"/>
          <w:szCs w:val="23"/>
        </w:rPr>
        <w:t xml:space="preserve"> </w:t>
      </w:r>
      <w:r>
        <w:rPr>
          <w:rFonts w:ascii="宋体" w:hAnsi="宋体" w:eastAsia="宋体" w:cs="宋体"/>
          <w:spacing w:val="2"/>
          <w:sz w:val="23"/>
          <w:szCs w:val="23"/>
        </w:rPr>
        <w:t xml:space="preserve">声 </w:t>
      </w:r>
      <w:r>
        <w:rPr>
          <w:rFonts w:ascii="Times New Roman" w:hAnsi="Times New Roman" w:eastAsia="Times New Roman" w:cs="Times New Roman"/>
          <w:spacing w:val="2"/>
          <w:sz w:val="23"/>
          <w:szCs w:val="23"/>
        </w:rPr>
        <w:t xml:space="preserve">2 </w:t>
      </w:r>
      <w:r>
        <w:rPr>
          <w:rFonts w:ascii="宋体" w:hAnsi="宋体" w:eastAsia="宋体" w:cs="宋体"/>
          <w:spacing w:val="2"/>
          <w:sz w:val="23"/>
          <w:szCs w:val="23"/>
        </w:rPr>
        <w:t xml:space="preserve">类标准衡量，由表 </w:t>
      </w:r>
      <w:r>
        <w:rPr>
          <w:rFonts w:ascii="Times New Roman" w:hAnsi="Times New Roman" w:eastAsia="Times New Roman" w:cs="Times New Roman"/>
          <w:spacing w:val="2"/>
          <w:sz w:val="23"/>
          <w:szCs w:val="23"/>
        </w:rPr>
        <w:t xml:space="preserve">5. 1-7 </w:t>
      </w:r>
      <w:r>
        <w:rPr>
          <w:rFonts w:ascii="宋体" w:hAnsi="宋体" w:eastAsia="宋体" w:cs="宋体"/>
          <w:spacing w:val="2"/>
          <w:sz w:val="23"/>
          <w:szCs w:val="23"/>
        </w:rPr>
        <w:t>中的计算</w:t>
      </w:r>
      <w:r>
        <w:rPr>
          <w:rFonts w:ascii="宋体" w:hAnsi="宋体" w:eastAsia="宋体" w:cs="宋体"/>
          <w:spacing w:val="1"/>
          <w:sz w:val="23"/>
          <w:szCs w:val="23"/>
        </w:rPr>
        <w:t>结果可知，施工期间产生的施工噪声昼间将对</w:t>
      </w:r>
      <w:r>
        <w:rPr>
          <w:rFonts w:ascii="宋体" w:hAnsi="宋体" w:eastAsia="宋体" w:cs="宋体"/>
          <w:sz w:val="23"/>
          <w:szCs w:val="23"/>
        </w:rPr>
        <w:t xml:space="preserve"> </w:t>
      </w:r>
      <w:r>
        <w:rPr>
          <w:rFonts w:ascii="Times New Roman" w:hAnsi="Times New Roman" w:eastAsia="Times New Roman" w:cs="Times New Roman"/>
          <w:spacing w:val="10"/>
          <w:sz w:val="23"/>
          <w:szCs w:val="23"/>
        </w:rPr>
        <w:t>50</w:t>
      </w:r>
      <w:r>
        <w:rPr>
          <w:rFonts w:ascii="Times New Roman" w:hAnsi="Times New Roman" w:eastAsia="Times New Roman" w:cs="Times New Roman"/>
          <w:spacing w:val="8"/>
          <w:sz w:val="23"/>
          <w:szCs w:val="23"/>
        </w:rPr>
        <w:t xml:space="preserve"> </w:t>
      </w:r>
      <w:r>
        <w:rPr>
          <w:rFonts w:ascii="宋体" w:hAnsi="宋体" w:eastAsia="宋体" w:cs="宋体"/>
          <w:spacing w:val="5"/>
          <w:sz w:val="23"/>
          <w:szCs w:val="23"/>
        </w:rPr>
        <w:t xml:space="preserve">米范围内，夜间将对 </w:t>
      </w:r>
      <w:r>
        <w:rPr>
          <w:rFonts w:ascii="Times New Roman" w:hAnsi="Times New Roman" w:eastAsia="Times New Roman" w:cs="Times New Roman"/>
          <w:spacing w:val="5"/>
          <w:sz w:val="23"/>
          <w:szCs w:val="23"/>
        </w:rPr>
        <w:t xml:space="preserve">150 </w:t>
      </w:r>
      <w:r>
        <w:rPr>
          <w:rFonts w:ascii="宋体" w:hAnsi="宋体" w:eastAsia="宋体" w:cs="宋体"/>
          <w:spacing w:val="5"/>
          <w:sz w:val="23"/>
          <w:szCs w:val="23"/>
        </w:rPr>
        <w:t>米范围内造成噪声污染。</w:t>
      </w:r>
    </w:p>
    <w:p w14:paraId="6EE46C9E">
      <w:pPr>
        <w:spacing w:before="2" w:line="383" w:lineRule="auto"/>
        <w:ind w:left="534" w:right="517" w:firstLine="452"/>
        <w:rPr>
          <w:rFonts w:ascii="宋体" w:hAnsi="宋体" w:eastAsia="宋体" w:cs="宋体"/>
          <w:sz w:val="23"/>
          <w:szCs w:val="23"/>
        </w:rPr>
      </w:pPr>
      <w:r>
        <w:rPr>
          <w:rFonts w:ascii="宋体" w:hAnsi="宋体" w:eastAsia="宋体" w:cs="宋体"/>
          <w:spacing w:val="6"/>
          <w:sz w:val="23"/>
          <w:szCs w:val="23"/>
        </w:rPr>
        <w:t>由外环境关系图可知</w:t>
      </w:r>
      <w:r>
        <w:rPr>
          <w:rFonts w:ascii="宋体" w:hAnsi="宋体" w:eastAsia="宋体" w:cs="宋体"/>
          <w:spacing w:val="4"/>
          <w:sz w:val="23"/>
          <w:szCs w:val="23"/>
        </w:rPr>
        <w:t>，</w:t>
      </w:r>
      <w:r>
        <w:rPr>
          <w:rFonts w:ascii="宋体" w:hAnsi="宋体" w:eastAsia="宋体" w:cs="宋体"/>
          <w:spacing w:val="3"/>
          <w:sz w:val="23"/>
          <w:szCs w:val="23"/>
        </w:rPr>
        <w:t xml:space="preserve">东南面 </w:t>
      </w:r>
      <w:r>
        <w:rPr>
          <w:rFonts w:ascii="Times New Roman" w:hAnsi="Times New Roman" w:eastAsia="Times New Roman" w:cs="Times New Roman"/>
          <w:spacing w:val="3"/>
          <w:sz w:val="23"/>
          <w:szCs w:val="23"/>
        </w:rPr>
        <w:t>128</w:t>
      </w:r>
      <w:r>
        <w:rPr>
          <w:rFonts w:ascii="Times New Roman" w:hAnsi="Times New Roman" w:eastAsia="Times New Roman" w:cs="Times New Roman"/>
          <w:sz w:val="23"/>
          <w:szCs w:val="23"/>
        </w:rPr>
        <w:t>m</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 xml:space="preserve">处分布有住户，西面 </w:t>
      </w:r>
      <w:r>
        <w:rPr>
          <w:rFonts w:ascii="Times New Roman" w:hAnsi="Times New Roman" w:eastAsia="Times New Roman" w:cs="Times New Roman"/>
          <w:spacing w:val="3"/>
          <w:sz w:val="23"/>
          <w:szCs w:val="23"/>
        </w:rPr>
        <w:t>139</w:t>
      </w:r>
      <w:r>
        <w:rPr>
          <w:rFonts w:ascii="Times New Roman" w:hAnsi="Times New Roman" w:eastAsia="Times New Roman" w:cs="Times New Roman"/>
          <w:sz w:val="23"/>
          <w:szCs w:val="23"/>
        </w:rPr>
        <w:t>m</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分布有住户。为</w:t>
      </w:r>
      <w:r>
        <w:rPr>
          <w:rFonts w:ascii="宋体" w:hAnsi="宋体" w:eastAsia="宋体" w:cs="宋体"/>
          <w:sz w:val="23"/>
          <w:szCs w:val="23"/>
        </w:rPr>
        <w:t xml:space="preserve"> </w:t>
      </w:r>
      <w:r>
        <w:rPr>
          <w:rFonts w:ascii="宋体" w:hAnsi="宋体" w:eastAsia="宋体" w:cs="宋体"/>
          <w:spacing w:val="15"/>
          <w:sz w:val="23"/>
          <w:szCs w:val="23"/>
        </w:rPr>
        <w:t>保</w:t>
      </w:r>
      <w:r>
        <w:rPr>
          <w:rFonts w:ascii="宋体" w:hAnsi="宋体" w:eastAsia="宋体" w:cs="宋体"/>
          <w:spacing w:val="9"/>
          <w:sz w:val="23"/>
          <w:szCs w:val="23"/>
        </w:rPr>
        <w:t>护区域内环境质量，评价要求施工期间采取如下降噪措施：</w:t>
      </w:r>
    </w:p>
    <w:p w14:paraId="4C27E002">
      <w:pPr>
        <w:sectPr>
          <w:footerReference r:id="rId180" w:type="default"/>
          <w:pgSz w:w="11907" w:h="16840"/>
          <w:pgMar w:top="400" w:right="1057" w:bottom="1485" w:left="1136" w:header="0" w:footer="1298" w:gutter="0"/>
          <w:cols w:space="720" w:num="1"/>
        </w:sectPr>
      </w:pPr>
    </w:p>
    <w:p w14:paraId="30C99B3F">
      <w:pPr>
        <w:spacing w:before="44" w:line="374" w:lineRule="auto"/>
        <w:ind w:left="13" w:right="80" w:firstLine="433"/>
        <w:rPr>
          <w:rFonts w:ascii="宋体" w:hAnsi="宋体" w:eastAsia="宋体" w:cs="宋体"/>
          <w:sz w:val="23"/>
          <w:szCs w:val="23"/>
        </w:rPr>
      </w:pPr>
      <w:r>
        <w:rPr>
          <w:rFonts w:ascii="宋体" w:hAnsi="宋体" w:eastAsia="宋体" w:cs="宋体"/>
          <w:spacing w:val="15"/>
          <w:sz w:val="23"/>
          <w:szCs w:val="23"/>
        </w:rPr>
        <w:t>(</w:t>
      </w:r>
      <w:r>
        <w:rPr>
          <w:rFonts w:ascii="Times New Roman" w:hAnsi="Times New Roman" w:eastAsia="Times New Roman" w:cs="Times New Roman"/>
          <w:spacing w:val="11"/>
          <w:sz w:val="23"/>
          <w:szCs w:val="23"/>
        </w:rPr>
        <w:t>1</w:t>
      </w:r>
      <w:r>
        <w:rPr>
          <w:rFonts w:ascii="宋体" w:hAnsi="宋体" w:eastAsia="宋体" w:cs="宋体"/>
          <w:spacing w:val="11"/>
          <w:sz w:val="23"/>
          <w:szCs w:val="23"/>
        </w:rPr>
        <w:t>) 施工时采用降噪作业方式：施工机械选型时尽量选用可替代的低噪声的设</w:t>
      </w:r>
      <w:r>
        <w:rPr>
          <w:rFonts w:ascii="宋体" w:hAnsi="宋体" w:eastAsia="宋体" w:cs="宋体"/>
          <w:sz w:val="23"/>
          <w:szCs w:val="23"/>
        </w:rPr>
        <w:t xml:space="preserve"> </w:t>
      </w:r>
      <w:r>
        <w:rPr>
          <w:rFonts w:ascii="宋体" w:hAnsi="宋体" w:eastAsia="宋体" w:cs="宋体"/>
          <w:spacing w:val="20"/>
          <w:sz w:val="23"/>
          <w:szCs w:val="23"/>
        </w:rPr>
        <w:t>备</w:t>
      </w:r>
      <w:r>
        <w:rPr>
          <w:rFonts w:ascii="宋体" w:hAnsi="宋体" w:eastAsia="宋体" w:cs="宋体"/>
          <w:spacing w:val="14"/>
          <w:sz w:val="23"/>
          <w:szCs w:val="23"/>
        </w:rPr>
        <w:t>，</w:t>
      </w:r>
      <w:r>
        <w:rPr>
          <w:rFonts w:ascii="宋体" w:hAnsi="宋体" w:eastAsia="宋体" w:cs="宋体"/>
          <w:spacing w:val="10"/>
          <w:sz w:val="23"/>
          <w:szCs w:val="23"/>
        </w:rPr>
        <w:t>对动力机械设备进行定期的维修、养护，避免设备因松动部件的振动或消声器</w:t>
      </w:r>
      <w:r>
        <w:rPr>
          <w:rFonts w:ascii="宋体" w:hAnsi="宋体" w:eastAsia="宋体" w:cs="宋体"/>
          <w:sz w:val="23"/>
          <w:szCs w:val="23"/>
        </w:rPr>
        <w:t xml:space="preserve"> </w:t>
      </w:r>
      <w:r>
        <w:rPr>
          <w:rFonts w:ascii="宋体" w:hAnsi="宋体" w:eastAsia="宋体" w:cs="宋体"/>
          <w:spacing w:val="16"/>
          <w:sz w:val="23"/>
          <w:szCs w:val="23"/>
        </w:rPr>
        <w:t>的</w:t>
      </w:r>
      <w:r>
        <w:rPr>
          <w:rFonts w:ascii="宋体" w:hAnsi="宋体" w:eastAsia="宋体" w:cs="宋体"/>
          <w:spacing w:val="9"/>
          <w:sz w:val="23"/>
          <w:szCs w:val="23"/>
        </w:rPr>
        <w:t>损坏而增加其工作时的声压级；设备用完后或不用时应立即关闭。</w:t>
      </w:r>
    </w:p>
    <w:p w14:paraId="415596A7">
      <w:pPr>
        <w:spacing w:line="375" w:lineRule="auto"/>
        <w:ind w:left="10" w:right="80" w:firstLine="436"/>
        <w:rPr>
          <w:rFonts w:ascii="宋体" w:hAnsi="宋体" w:eastAsia="宋体" w:cs="宋体"/>
          <w:sz w:val="23"/>
          <w:szCs w:val="23"/>
        </w:rPr>
      </w:pPr>
      <w:r>
        <w:rPr>
          <w:rFonts w:ascii="宋体" w:hAnsi="宋体" w:eastAsia="宋体" w:cs="宋体"/>
          <w:spacing w:val="15"/>
          <w:sz w:val="23"/>
          <w:szCs w:val="23"/>
        </w:rPr>
        <w:t>(</w:t>
      </w:r>
      <w:r>
        <w:rPr>
          <w:rFonts w:ascii="Times New Roman" w:hAnsi="Times New Roman" w:eastAsia="Times New Roman" w:cs="Times New Roman"/>
          <w:spacing w:val="11"/>
          <w:sz w:val="23"/>
          <w:szCs w:val="23"/>
        </w:rPr>
        <w:t>2</w:t>
      </w:r>
      <w:r>
        <w:rPr>
          <w:rFonts w:ascii="宋体" w:hAnsi="宋体" w:eastAsia="宋体" w:cs="宋体"/>
          <w:spacing w:val="11"/>
          <w:sz w:val="23"/>
          <w:szCs w:val="23"/>
        </w:rPr>
        <w:t>) 合理布置施工总平面布置图，为降低施工噪声对外界的影响，项目方应将</w:t>
      </w:r>
      <w:r>
        <w:rPr>
          <w:rFonts w:ascii="宋体" w:hAnsi="宋体" w:eastAsia="宋体" w:cs="宋体"/>
          <w:sz w:val="23"/>
          <w:szCs w:val="23"/>
        </w:rPr>
        <w:t xml:space="preserve"> </w:t>
      </w:r>
      <w:r>
        <w:rPr>
          <w:rFonts w:ascii="宋体" w:hAnsi="宋体" w:eastAsia="宋体" w:cs="宋体"/>
          <w:spacing w:val="20"/>
          <w:sz w:val="23"/>
          <w:szCs w:val="23"/>
        </w:rPr>
        <w:t>产</w:t>
      </w:r>
      <w:r>
        <w:rPr>
          <w:rFonts w:ascii="宋体" w:hAnsi="宋体" w:eastAsia="宋体" w:cs="宋体"/>
          <w:spacing w:val="16"/>
          <w:sz w:val="23"/>
          <w:szCs w:val="23"/>
        </w:rPr>
        <w:t>生</w:t>
      </w:r>
      <w:r>
        <w:rPr>
          <w:rFonts w:ascii="宋体" w:hAnsi="宋体" w:eastAsia="宋体" w:cs="宋体"/>
          <w:spacing w:val="10"/>
          <w:sz w:val="23"/>
          <w:szCs w:val="23"/>
        </w:rPr>
        <w:t>高噪声的作业点置于各区施工地块的中央位置，以有效利用施工场区的距离衰</w:t>
      </w:r>
      <w:r>
        <w:rPr>
          <w:rFonts w:ascii="宋体" w:hAnsi="宋体" w:eastAsia="宋体" w:cs="宋体"/>
          <w:sz w:val="23"/>
          <w:szCs w:val="23"/>
        </w:rPr>
        <w:t xml:space="preserve"> </w:t>
      </w:r>
      <w:r>
        <w:rPr>
          <w:rFonts w:ascii="宋体" w:hAnsi="宋体" w:eastAsia="宋体" w:cs="宋体"/>
          <w:spacing w:val="5"/>
          <w:sz w:val="23"/>
          <w:szCs w:val="23"/>
        </w:rPr>
        <w:t>减作用。</w:t>
      </w:r>
    </w:p>
    <w:p w14:paraId="0B816B8C">
      <w:pPr>
        <w:spacing w:before="3" w:line="374" w:lineRule="auto"/>
        <w:ind w:left="11" w:right="77" w:firstLine="435"/>
        <w:rPr>
          <w:rFonts w:ascii="宋体" w:hAnsi="宋体" w:eastAsia="宋体" w:cs="宋体"/>
          <w:sz w:val="23"/>
          <w:szCs w:val="23"/>
        </w:rPr>
      </w:pPr>
      <w:r>
        <w:rPr>
          <w:rFonts w:ascii="宋体" w:hAnsi="宋体" w:eastAsia="宋体" w:cs="宋体"/>
          <w:spacing w:val="15"/>
          <w:sz w:val="23"/>
          <w:szCs w:val="23"/>
        </w:rPr>
        <w:t>(</w:t>
      </w:r>
      <w:r>
        <w:rPr>
          <w:rFonts w:ascii="Times New Roman" w:hAnsi="Times New Roman" w:eastAsia="Times New Roman" w:cs="Times New Roman"/>
          <w:spacing w:val="11"/>
          <w:sz w:val="23"/>
          <w:szCs w:val="23"/>
        </w:rPr>
        <w:t>3</w:t>
      </w:r>
      <w:r>
        <w:rPr>
          <w:rFonts w:ascii="宋体" w:hAnsi="宋体" w:eastAsia="宋体" w:cs="宋体"/>
          <w:spacing w:val="11"/>
          <w:sz w:val="23"/>
          <w:szCs w:val="23"/>
        </w:rPr>
        <w:t>) 合理安排施工时间：将倾倒石料等强噪声作业尽量安排在白天进行，严禁</w:t>
      </w:r>
      <w:r>
        <w:rPr>
          <w:rFonts w:ascii="宋体" w:hAnsi="宋体" w:eastAsia="宋体" w:cs="宋体"/>
          <w:sz w:val="23"/>
          <w:szCs w:val="23"/>
        </w:rPr>
        <w:t xml:space="preserve"> </w:t>
      </w:r>
      <w:r>
        <w:rPr>
          <w:rFonts w:ascii="宋体" w:hAnsi="宋体" w:eastAsia="宋体" w:cs="宋体"/>
          <w:spacing w:val="12"/>
          <w:sz w:val="23"/>
          <w:szCs w:val="23"/>
        </w:rPr>
        <w:t>夜</w:t>
      </w:r>
      <w:r>
        <w:rPr>
          <w:rFonts w:ascii="宋体" w:hAnsi="宋体" w:eastAsia="宋体" w:cs="宋体"/>
          <w:spacing w:val="11"/>
          <w:sz w:val="23"/>
          <w:szCs w:val="23"/>
        </w:rPr>
        <w:t>间</w:t>
      </w:r>
      <w:r>
        <w:rPr>
          <w:rFonts w:ascii="宋体" w:hAnsi="宋体" w:eastAsia="宋体" w:cs="宋体"/>
          <w:spacing w:val="6"/>
          <w:sz w:val="23"/>
          <w:szCs w:val="23"/>
        </w:rPr>
        <w:t>施工，杜绝夜间 (</w:t>
      </w:r>
      <w:r>
        <w:rPr>
          <w:rFonts w:ascii="Times New Roman" w:hAnsi="Times New Roman" w:eastAsia="Times New Roman" w:cs="Times New Roman"/>
          <w:spacing w:val="6"/>
          <w:sz w:val="23"/>
          <w:szCs w:val="23"/>
        </w:rPr>
        <w:t>22</w:t>
      </w:r>
      <w:r>
        <w:rPr>
          <w:rFonts w:ascii="宋体" w:hAnsi="宋体" w:eastAsia="宋体" w:cs="宋体"/>
          <w:spacing w:val="6"/>
          <w:sz w:val="23"/>
          <w:szCs w:val="23"/>
        </w:rPr>
        <w:t>：</w:t>
      </w:r>
      <w:r>
        <w:rPr>
          <w:rFonts w:ascii="Times New Roman" w:hAnsi="Times New Roman" w:eastAsia="Times New Roman" w:cs="Times New Roman"/>
          <w:spacing w:val="6"/>
          <w:sz w:val="23"/>
          <w:szCs w:val="23"/>
        </w:rPr>
        <w:t>00</w:t>
      </w:r>
      <w:r>
        <w:rPr>
          <w:rFonts w:ascii="宋体" w:hAnsi="宋体" w:eastAsia="宋体" w:cs="宋体"/>
          <w:spacing w:val="6"/>
          <w:sz w:val="23"/>
          <w:szCs w:val="23"/>
        </w:rPr>
        <w:t>－</w:t>
      </w:r>
      <w:r>
        <w:rPr>
          <w:rFonts w:ascii="Times New Roman" w:hAnsi="Times New Roman" w:eastAsia="Times New Roman" w:cs="Times New Roman"/>
          <w:spacing w:val="6"/>
          <w:sz w:val="23"/>
          <w:szCs w:val="23"/>
        </w:rPr>
        <w:t>6</w:t>
      </w:r>
      <w:r>
        <w:rPr>
          <w:rFonts w:ascii="宋体" w:hAnsi="宋体" w:eastAsia="宋体" w:cs="宋体"/>
          <w:spacing w:val="6"/>
          <w:sz w:val="23"/>
          <w:szCs w:val="23"/>
        </w:rPr>
        <w:t>：</w:t>
      </w:r>
      <w:r>
        <w:rPr>
          <w:rFonts w:ascii="Times New Roman" w:hAnsi="Times New Roman" w:eastAsia="Times New Roman" w:cs="Times New Roman"/>
          <w:spacing w:val="6"/>
          <w:sz w:val="23"/>
          <w:szCs w:val="23"/>
        </w:rPr>
        <w:t>00</w:t>
      </w:r>
      <w:r>
        <w:rPr>
          <w:rFonts w:ascii="宋体" w:hAnsi="宋体" w:eastAsia="宋体" w:cs="宋体"/>
          <w:spacing w:val="6"/>
          <w:sz w:val="23"/>
          <w:szCs w:val="23"/>
        </w:rPr>
        <w:t>) 施工噪声扰民；若工艺要求夜间必须进行连</w:t>
      </w:r>
      <w:r>
        <w:rPr>
          <w:rFonts w:ascii="宋体" w:hAnsi="宋体" w:eastAsia="宋体" w:cs="宋体"/>
          <w:sz w:val="23"/>
          <w:szCs w:val="23"/>
        </w:rPr>
        <w:t xml:space="preserve"> </w:t>
      </w:r>
      <w:r>
        <w:rPr>
          <w:rFonts w:ascii="宋体" w:hAnsi="宋体" w:eastAsia="宋体" w:cs="宋体"/>
          <w:spacing w:val="20"/>
          <w:sz w:val="23"/>
          <w:szCs w:val="23"/>
        </w:rPr>
        <w:t>续</w:t>
      </w:r>
      <w:r>
        <w:rPr>
          <w:rFonts w:ascii="宋体" w:hAnsi="宋体" w:eastAsia="宋体" w:cs="宋体"/>
          <w:spacing w:val="15"/>
          <w:sz w:val="23"/>
          <w:szCs w:val="23"/>
        </w:rPr>
        <w:t>作</w:t>
      </w:r>
      <w:r>
        <w:rPr>
          <w:rFonts w:ascii="宋体" w:hAnsi="宋体" w:eastAsia="宋体" w:cs="宋体"/>
          <w:spacing w:val="10"/>
          <w:sz w:val="23"/>
          <w:szCs w:val="23"/>
        </w:rPr>
        <w:t>业的强噪声施工，根据《中华人民共和国环境噪声污染防治法》，建设单位必</w:t>
      </w:r>
      <w:r>
        <w:rPr>
          <w:rFonts w:ascii="宋体" w:hAnsi="宋体" w:eastAsia="宋体" w:cs="宋体"/>
          <w:sz w:val="23"/>
          <w:szCs w:val="23"/>
        </w:rPr>
        <w:t xml:space="preserve"> </w:t>
      </w:r>
      <w:r>
        <w:rPr>
          <w:rFonts w:ascii="宋体" w:hAnsi="宋体" w:eastAsia="宋体" w:cs="宋体"/>
          <w:spacing w:val="20"/>
          <w:sz w:val="23"/>
          <w:szCs w:val="23"/>
        </w:rPr>
        <w:t>须</w:t>
      </w:r>
      <w:r>
        <w:rPr>
          <w:rFonts w:ascii="宋体" w:hAnsi="宋体" w:eastAsia="宋体" w:cs="宋体"/>
          <w:spacing w:val="15"/>
          <w:sz w:val="23"/>
          <w:szCs w:val="23"/>
        </w:rPr>
        <w:t>有</w:t>
      </w:r>
      <w:r>
        <w:rPr>
          <w:rFonts w:ascii="宋体" w:hAnsi="宋体" w:eastAsia="宋体" w:cs="宋体"/>
          <w:spacing w:val="10"/>
          <w:sz w:val="23"/>
          <w:szCs w:val="23"/>
        </w:rPr>
        <w:t>县级以上人民政府或者其有关主管部门的证明，在取得夜间施工许可证后应对</w:t>
      </w:r>
      <w:r>
        <w:rPr>
          <w:rFonts w:ascii="宋体" w:hAnsi="宋体" w:eastAsia="宋体" w:cs="宋体"/>
          <w:sz w:val="23"/>
          <w:szCs w:val="23"/>
        </w:rPr>
        <w:t xml:space="preserve"> </w:t>
      </w:r>
      <w:r>
        <w:rPr>
          <w:rFonts w:ascii="宋体" w:hAnsi="宋体" w:eastAsia="宋体" w:cs="宋体"/>
          <w:spacing w:val="15"/>
          <w:sz w:val="23"/>
          <w:szCs w:val="23"/>
        </w:rPr>
        <w:t>周</w:t>
      </w:r>
      <w:r>
        <w:rPr>
          <w:rFonts w:ascii="宋体" w:hAnsi="宋体" w:eastAsia="宋体" w:cs="宋体"/>
          <w:spacing w:val="8"/>
          <w:sz w:val="23"/>
          <w:szCs w:val="23"/>
        </w:rPr>
        <w:t>边居民进行公示，方可进行。</w:t>
      </w:r>
    </w:p>
    <w:p w14:paraId="7F079C64">
      <w:pPr>
        <w:spacing w:before="1" w:line="374" w:lineRule="auto"/>
        <w:ind w:left="14" w:right="80" w:firstLine="431"/>
        <w:rPr>
          <w:rFonts w:ascii="宋体" w:hAnsi="宋体" w:eastAsia="宋体" w:cs="宋体"/>
          <w:sz w:val="23"/>
          <w:szCs w:val="23"/>
        </w:rPr>
      </w:pPr>
      <w:r>
        <w:rPr>
          <w:rFonts w:ascii="宋体" w:hAnsi="宋体" w:eastAsia="宋体" w:cs="宋体"/>
          <w:spacing w:val="15"/>
          <w:sz w:val="23"/>
          <w:szCs w:val="23"/>
        </w:rPr>
        <w:t>(</w:t>
      </w:r>
      <w:r>
        <w:rPr>
          <w:rFonts w:ascii="Times New Roman" w:hAnsi="Times New Roman" w:eastAsia="Times New Roman" w:cs="Times New Roman"/>
          <w:spacing w:val="11"/>
          <w:sz w:val="23"/>
          <w:szCs w:val="23"/>
        </w:rPr>
        <w:t>4</w:t>
      </w:r>
      <w:r>
        <w:rPr>
          <w:rFonts w:ascii="宋体" w:hAnsi="宋体" w:eastAsia="宋体" w:cs="宋体"/>
          <w:spacing w:val="11"/>
          <w:sz w:val="23"/>
          <w:szCs w:val="23"/>
        </w:rPr>
        <w:t>) 商混输送泵降噪：使用商品混凝土，避免搅拌机和砂石料下料、进料时噪</w:t>
      </w:r>
      <w:r>
        <w:rPr>
          <w:rFonts w:ascii="宋体" w:hAnsi="宋体" w:eastAsia="宋体" w:cs="宋体"/>
          <w:sz w:val="23"/>
          <w:szCs w:val="23"/>
        </w:rPr>
        <w:t xml:space="preserve"> </w:t>
      </w:r>
      <w:r>
        <w:rPr>
          <w:rFonts w:ascii="宋体" w:hAnsi="宋体" w:eastAsia="宋体" w:cs="宋体"/>
          <w:spacing w:val="10"/>
          <w:sz w:val="23"/>
          <w:szCs w:val="23"/>
        </w:rPr>
        <w:t>声</w:t>
      </w:r>
      <w:r>
        <w:rPr>
          <w:rFonts w:ascii="宋体" w:hAnsi="宋体" w:eastAsia="宋体" w:cs="宋体"/>
          <w:spacing w:val="9"/>
          <w:sz w:val="23"/>
          <w:szCs w:val="23"/>
        </w:rPr>
        <w:t>的影响。商混输送泵地面铺设木板，四周打围进行作业。</w:t>
      </w:r>
    </w:p>
    <w:p w14:paraId="6207B3EB">
      <w:pPr>
        <w:spacing w:before="1" w:line="375" w:lineRule="auto"/>
        <w:ind w:left="12" w:right="80" w:firstLine="434"/>
        <w:rPr>
          <w:rFonts w:ascii="宋体" w:hAnsi="宋体" w:eastAsia="宋体" w:cs="宋体"/>
          <w:sz w:val="23"/>
          <w:szCs w:val="23"/>
        </w:rPr>
      </w:pPr>
      <w:r>
        <w:rPr>
          <w:rFonts w:ascii="宋体" w:hAnsi="宋体" w:eastAsia="宋体" w:cs="宋体"/>
          <w:spacing w:val="15"/>
          <w:sz w:val="23"/>
          <w:szCs w:val="23"/>
        </w:rPr>
        <w:t>(</w:t>
      </w:r>
      <w:r>
        <w:rPr>
          <w:rFonts w:ascii="Times New Roman" w:hAnsi="Times New Roman" w:eastAsia="Times New Roman" w:cs="Times New Roman"/>
          <w:spacing w:val="11"/>
          <w:sz w:val="23"/>
          <w:szCs w:val="23"/>
        </w:rPr>
        <w:t>5</w:t>
      </w:r>
      <w:r>
        <w:rPr>
          <w:rFonts w:ascii="宋体" w:hAnsi="宋体" w:eastAsia="宋体" w:cs="宋体"/>
          <w:spacing w:val="11"/>
          <w:sz w:val="23"/>
          <w:szCs w:val="23"/>
        </w:rPr>
        <w:t>) 施工场地的施工车辆出入车辆出入现场应低速、禁鸣，车辆对所经沿线道</w:t>
      </w:r>
      <w:r>
        <w:rPr>
          <w:rFonts w:ascii="宋体" w:hAnsi="宋体" w:eastAsia="宋体" w:cs="宋体"/>
          <w:sz w:val="23"/>
          <w:szCs w:val="23"/>
        </w:rPr>
        <w:t xml:space="preserve"> </w:t>
      </w:r>
      <w:r>
        <w:rPr>
          <w:rFonts w:ascii="宋体" w:hAnsi="宋体" w:eastAsia="宋体" w:cs="宋体"/>
          <w:spacing w:val="10"/>
          <w:sz w:val="23"/>
          <w:szCs w:val="23"/>
        </w:rPr>
        <w:t>路两</w:t>
      </w:r>
      <w:r>
        <w:rPr>
          <w:rFonts w:ascii="宋体" w:hAnsi="宋体" w:eastAsia="宋体" w:cs="宋体"/>
          <w:spacing w:val="7"/>
          <w:sz w:val="23"/>
          <w:szCs w:val="23"/>
        </w:rPr>
        <w:t>侧</w:t>
      </w:r>
      <w:r>
        <w:rPr>
          <w:rFonts w:ascii="宋体" w:hAnsi="宋体" w:eastAsia="宋体" w:cs="宋体"/>
          <w:spacing w:val="5"/>
          <w:sz w:val="23"/>
          <w:szCs w:val="23"/>
        </w:rPr>
        <w:t xml:space="preserve"> </w:t>
      </w:r>
      <w:r>
        <w:rPr>
          <w:rFonts w:ascii="Times New Roman" w:hAnsi="Times New Roman" w:eastAsia="Times New Roman" w:cs="Times New Roman"/>
          <w:spacing w:val="5"/>
          <w:sz w:val="23"/>
          <w:szCs w:val="23"/>
        </w:rPr>
        <w:t>100</w:t>
      </w:r>
      <w:r>
        <w:rPr>
          <w:rFonts w:ascii="Times New Roman" w:hAnsi="Times New Roman" w:eastAsia="Times New Roman" w:cs="Times New Roman"/>
          <w:sz w:val="23"/>
          <w:szCs w:val="23"/>
        </w:rPr>
        <w:t>m</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范围内有一定影响，应予以重视。</w:t>
      </w:r>
    </w:p>
    <w:p w14:paraId="5C8E277E">
      <w:pPr>
        <w:spacing w:before="1" w:line="374" w:lineRule="auto"/>
        <w:ind w:left="14" w:right="80" w:firstLine="432"/>
        <w:rPr>
          <w:rFonts w:ascii="宋体" w:hAnsi="宋体" w:eastAsia="宋体" w:cs="宋体"/>
          <w:sz w:val="23"/>
          <w:szCs w:val="23"/>
        </w:rPr>
      </w:pPr>
      <w:r>
        <w:rPr>
          <w:rFonts w:ascii="宋体" w:hAnsi="宋体" w:eastAsia="宋体" w:cs="宋体"/>
          <w:spacing w:val="15"/>
          <w:sz w:val="23"/>
          <w:szCs w:val="23"/>
        </w:rPr>
        <w:t>(</w:t>
      </w:r>
      <w:r>
        <w:rPr>
          <w:rFonts w:ascii="Times New Roman" w:hAnsi="Times New Roman" w:eastAsia="Times New Roman" w:cs="Times New Roman"/>
          <w:spacing w:val="11"/>
          <w:sz w:val="23"/>
          <w:szCs w:val="23"/>
        </w:rPr>
        <w:t>6</w:t>
      </w:r>
      <w:r>
        <w:rPr>
          <w:rFonts w:ascii="宋体" w:hAnsi="宋体" w:eastAsia="宋体" w:cs="宋体"/>
          <w:spacing w:val="11"/>
          <w:sz w:val="23"/>
          <w:szCs w:val="23"/>
        </w:rPr>
        <w:t>) 材料装卸采用人工传递，装卸、搬运钢管、模板等严禁抛掷；木工房使用</w:t>
      </w:r>
      <w:r>
        <w:rPr>
          <w:rFonts w:ascii="宋体" w:hAnsi="宋体" w:eastAsia="宋体" w:cs="宋体"/>
          <w:sz w:val="23"/>
          <w:szCs w:val="23"/>
        </w:rPr>
        <w:t xml:space="preserve"> </w:t>
      </w:r>
      <w:r>
        <w:rPr>
          <w:rFonts w:ascii="宋体" w:hAnsi="宋体" w:eastAsia="宋体" w:cs="宋体"/>
          <w:spacing w:val="20"/>
          <w:sz w:val="23"/>
          <w:szCs w:val="23"/>
        </w:rPr>
        <w:t>前</w:t>
      </w:r>
      <w:r>
        <w:rPr>
          <w:rFonts w:ascii="宋体" w:hAnsi="宋体" w:eastAsia="宋体" w:cs="宋体"/>
          <w:spacing w:val="13"/>
          <w:sz w:val="23"/>
          <w:szCs w:val="23"/>
        </w:rPr>
        <w:t>应</w:t>
      </w:r>
      <w:r>
        <w:rPr>
          <w:rFonts w:ascii="宋体" w:hAnsi="宋体" w:eastAsia="宋体" w:cs="宋体"/>
          <w:spacing w:val="10"/>
          <w:sz w:val="23"/>
          <w:szCs w:val="23"/>
        </w:rPr>
        <w:t>完全封闭；在室内施工时关闭窗户；在建设地块四周建设施工围墙，以阻隔噪</w:t>
      </w:r>
      <w:r>
        <w:rPr>
          <w:rFonts w:ascii="宋体" w:hAnsi="宋体" w:eastAsia="宋体" w:cs="宋体"/>
          <w:sz w:val="23"/>
          <w:szCs w:val="23"/>
        </w:rPr>
        <w:t xml:space="preserve"> </w:t>
      </w:r>
      <w:r>
        <w:rPr>
          <w:rFonts w:ascii="宋体" w:hAnsi="宋体" w:eastAsia="宋体" w:cs="宋体"/>
          <w:spacing w:val="-2"/>
          <w:sz w:val="23"/>
          <w:szCs w:val="23"/>
        </w:rPr>
        <w:t>声。</w:t>
      </w:r>
    </w:p>
    <w:p w14:paraId="548E06E8">
      <w:pPr>
        <w:spacing w:before="1" w:line="374" w:lineRule="auto"/>
        <w:ind w:left="16" w:right="80" w:firstLine="429"/>
        <w:rPr>
          <w:rFonts w:ascii="宋体" w:hAnsi="宋体" w:eastAsia="宋体" w:cs="宋体"/>
          <w:sz w:val="23"/>
          <w:szCs w:val="23"/>
        </w:rPr>
      </w:pPr>
      <w:r>
        <w:rPr>
          <w:rFonts w:ascii="宋体" w:hAnsi="宋体" w:eastAsia="宋体" w:cs="宋体"/>
          <w:spacing w:val="15"/>
          <w:sz w:val="23"/>
          <w:szCs w:val="23"/>
        </w:rPr>
        <w:t>(</w:t>
      </w:r>
      <w:r>
        <w:rPr>
          <w:rFonts w:ascii="Times New Roman" w:hAnsi="Times New Roman" w:eastAsia="Times New Roman" w:cs="Times New Roman"/>
          <w:spacing w:val="11"/>
          <w:sz w:val="23"/>
          <w:szCs w:val="23"/>
        </w:rPr>
        <w:t>7</w:t>
      </w:r>
      <w:r>
        <w:rPr>
          <w:rFonts w:ascii="宋体" w:hAnsi="宋体" w:eastAsia="宋体" w:cs="宋体"/>
          <w:spacing w:val="11"/>
          <w:sz w:val="23"/>
          <w:szCs w:val="23"/>
        </w:rPr>
        <w:t>) 采用商品混凝土和成品窗；大型建筑构件，应在施工现场外预制，然后运</w:t>
      </w:r>
      <w:r>
        <w:rPr>
          <w:rFonts w:ascii="宋体" w:hAnsi="宋体" w:eastAsia="宋体" w:cs="宋体"/>
          <w:sz w:val="23"/>
          <w:szCs w:val="23"/>
        </w:rPr>
        <w:t xml:space="preserve"> </w:t>
      </w:r>
      <w:r>
        <w:rPr>
          <w:rFonts w:ascii="宋体" w:hAnsi="宋体" w:eastAsia="宋体" w:cs="宋体"/>
          <w:spacing w:val="11"/>
          <w:sz w:val="23"/>
          <w:szCs w:val="23"/>
        </w:rPr>
        <w:t>到</w:t>
      </w:r>
      <w:r>
        <w:rPr>
          <w:rFonts w:ascii="宋体" w:hAnsi="宋体" w:eastAsia="宋体" w:cs="宋体"/>
          <w:spacing w:val="7"/>
          <w:sz w:val="23"/>
          <w:szCs w:val="23"/>
        </w:rPr>
        <w:t>施工现场再行安装。</w:t>
      </w:r>
    </w:p>
    <w:p w14:paraId="67ABCEF7">
      <w:pPr>
        <w:spacing w:before="4" w:line="374" w:lineRule="auto"/>
        <w:ind w:left="8" w:right="21" w:firstLine="438"/>
        <w:rPr>
          <w:rFonts w:ascii="宋体" w:hAnsi="宋体" w:eastAsia="宋体" w:cs="宋体"/>
          <w:sz w:val="23"/>
          <w:szCs w:val="23"/>
        </w:rPr>
      </w:pPr>
      <w:r>
        <w:rPr>
          <w:rFonts w:ascii="宋体" w:hAnsi="宋体" w:eastAsia="宋体" w:cs="宋体"/>
          <w:spacing w:val="15"/>
          <w:sz w:val="23"/>
          <w:szCs w:val="23"/>
        </w:rPr>
        <w:t>(</w:t>
      </w:r>
      <w:r>
        <w:rPr>
          <w:rFonts w:ascii="Times New Roman" w:hAnsi="Times New Roman" w:eastAsia="Times New Roman" w:cs="Times New Roman"/>
          <w:spacing w:val="11"/>
          <w:sz w:val="23"/>
          <w:szCs w:val="23"/>
        </w:rPr>
        <w:t>8</w:t>
      </w:r>
      <w:r>
        <w:rPr>
          <w:rFonts w:ascii="宋体" w:hAnsi="宋体" w:eastAsia="宋体" w:cs="宋体"/>
          <w:spacing w:val="11"/>
          <w:sz w:val="23"/>
          <w:szCs w:val="23"/>
        </w:rPr>
        <w:t>) 文明施工：最大限度地降低人为噪声：不要采取噪声较大的钢模板作业方</w:t>
      </w:r>
      <w:r>
        <w:rPr>
          <w:rFonts w:ascii="宋体" w:hAnsi="宋体" w:eastAsia="宋体" w:cs="宋体"/>
          <w:sz w:val="23"/>
          <w:szCs w:val="23"/>
        </w:rPr>
        <w:t xml:space="preserve"> </w:t>
      </w:r>
      <w:r>
        <w:rPr>
          <w:rFonts w:ascii="宋体" w:hAnsi="宋体" w:eastAsia="宋体" w:cs="宋体"/>
          <w:spacing w:val="10"/>
          <w:sz w:val="23"/>
          <w:szCs w:val="23"/>
        </w:rPr>
        <w:t>式；指挥</w:t>
      </w:r>
      <w:r>
        <w:rPr>
          <w:rFonts w:ascii="宋体" w:hAnsi="宋体" w:eastAsia="宋体" w:cs="宋体"/>
          <w:spacing w:val="7"/>
          <w:sz w:val="23"/>
          <w:szCs w:val="23"/>
        </w:rPr>
        <w:t>塔</w:t>
      </w:r>
      <w:r>
        <w:rPr>
          <w:rFonts w:ascii="宋体" w:hAnsi="宋体" w:eastAsia="宋体" w:cs="宋体"/>
          <w:spacing w:val="5"/>
          <w:sz w:val="23"/>
          <w:szCs w:val="23"/>
        </w:rPr>
        <w:t>吊时尽量使用信号旗，避免使用哨子等；在操作中尽量避免敲打砼导管；</w:t>
      </w:r>
      <w:r>
        <w:rPr>
          <w:rFonts w:ascii="宋体" w:hAnsi="宋体" w:eastAsia="宋体" w:cs="宋体"/>
          <w:sz w:val="23"/>
          <w:szCs w:val="23"/>
        </w:rPr>
        <w:t xml:space="preserve"> </w:t>
      </w:r>
      <w:r>
        <w:rPr>
          <w:rFonts w:ascii="宋体" w:hAnsi="宋体" w:eastAsia="宋体" w:cs="宋体"/>
          <w:spacing w:val="20"/>
          <w:sz w:val="23"/>
          <w:szCs w:val="23"/>
        </w:rPr>
        <w:t>搬</w:t>
      </w:r>
      <w:r>
        <w:rPr>
          <w:rFonts w:ascii="宋体" w:hAnsi="宋体" w:eastAsia="宋体" w:cs="宋体"/>
          <w:spacing w:val="18"/>
          <w:sz w:val="23"/>
          <w:szCs w:val="23"/>
        </w:rPr>
        <w:t>卸</w:t>
      </w:r>
      <w:r>
        <w:rPr>
          <w:rFonts w:ascii="宋体" w:hAnsi="宋体" w:eastAsia="宋体" w:cs="宋体"/>
          <w:spacing w:val="10"/>
          <w:sz w:val="23"/>
          <w:szCs w:val="23"/>
        </w:rPr>
        <w:t>物品应轻放，施工工具不要乱扔、远扔；木工房使用前应完全封闭；运输车辆</w:t>
      </w:r>
      <w:r>
        <w:rPr>
          <w:rFonts w:ascii="宋体" w:hAnsi="宋体" w:eastAsia="宋体" w:cs="宋体"/>
          <w:sz w:val="23"/>
          <w:szCs w:val="23"/>
        </w:rPr>
        <w:t xml:space="preserve"> </w:t>
      </w:r>
      <w:r>
        <w:rPr>
          <w:rFonts w:ascii="宋体" w:hAnsi="宋体" w:eastAsia="宋体" w:cs="宋体"/>
          <w:spacing w:val="13"/>
          <w:sz w:val="23"/>
          <w:szCs w:val="23"/>
        </w:rPr>
        <w:t>进</w:t>
      </w:r>
      <w:r>
        <w:rPr>
          <w:rFonts w:ascii="宋体" w:hAnsi="宋体" w:eastAsia="宋体" w:cs="宋体"/>
          <w:spacing w:val="9"/>
          <w:sz w:val="23"/>
          <w:szCs w:val="23"/>
        </w:rPr>
        <w:t>出施工现场控制或禁止鸣喇叭，减少交通噪声。</w:t>
      </w:r>
    </w:p>
    <w:p w14:paraId="452FCE05">
      <w:pPr>
        <w:spacing w:before="3" w:line="374" w:lineRule="auto"/>
        <w:ind w:left="10" w:firstLine="427"/>
        <w:rPr>
          <w:rFonts w:ascii="宋体" w:hAnsi="宋体" w:eastAsia="宋体" w:cs="宋体"/>
          <w:sz w:val="23"/>
          <w:szCs w:val="23"/>
        </w:rPr>
      </w:pPr>
      <w:r>
        <w:rPr>
          <w:rFonts w:ascii="宋体" w:hAnsi="宋体" w:eastAsia="宋体" w:cs="宋体"/>
          <w:spacing w:val="13"/>
          <w:sz w:val="23"/>
          <w:szCs w:val="23"/>
        </w:rPr>
        <w:t>综</w:t>
      </w:r>
      <w:r>
        <w:rPr>
          <w:rFonts w:ascii="宋体" w:hAnsi="宋体" w:eastAsia="宋体" w:cs="宋体"/>
          <w:spacing w:val="12"/>
          <w:sz w:val="23"/>
          <w:szCs w:val="23"/>
        </w:rPr>
        <w:t>上，通过合理布置施工场地，加强防护措施，合理安排施工时间，对周边环</w:t>
      </w:r>
      <w:r>
        <w:rPr>
          <w:rFonts w:ascii="宋体" w:hAnsi="宋体" w:eastAsia="宋体" w:cs="宋体"/>
          <w:sz w:val="23"/>
          <w:szCs w:val="23"/>
        </w:rPr>
        <w:t xml:space="preserve"> </w:t>
      </w:r>
      <w:r>
        <w:rPr>
          <w:rFonts w:ascii="宋体" w:hAnsi="宋体" w:eastAsia="宋体" w:cs="宋体"/>
          <w:spacing w:val="11"/>
          <w:sz w:val="23"/>
          <w:szCs w:val="23"/>
        </w:rPr>
        <w:t>境</w:t>
      </w:r>
      <w:r>
        <w:rPr>
          <w:rFonts w:ascii="宋体" w:hAnsi="宋体" w:eastAsia="宋体" w:cs="宋体"/>
          <w:spacing w:val="6"/>
          <w:sz w:val="23"/>
          <w:szCs w:val="23"/>
        </w:rPr>
        <w:t>影响较小。加之本项目与附近住户之间相隔天然屏障山体林地，可有效阻隔噪声。</w:t>
      </w:r>
      <w:r>
        <w:rPr>
          <w:rFonts w:ascii="宋体" w:hAnsi="宋体" w:eastAsia="宋体" w:cs="宋体"/>
          <w:sz w:val="23"/>
          <w:szCs w:val="23"/>
        </w:rPr>
        <w:t xml:space="preserve"> </w:t>
      </w:r>
      <w:r>
        <w:rPr>
          <w:rFonts w:ascii="宋体" w:hAnsi="宋体" w:eastAsia="宋体" w:cs="宋体"/>
          <w:spacing w:val="10"/>
          <w:sz w:val="23"/>
          <w:szCs w:val="23"/>
        </w:rPr>
        <w:t>同</w:t>
      </w:r>
      <w:r>
        <w:rPr>
          <w:rFonts w:ascii="宋体" w:hAnsi="宋体" w:eastAsia="宋体" w:cs="宋体"/>
          <w:spacing w:val="7"/>
          <w:sz w:val="23"/>
          <w:szCs w:val="23"/>
        </w:rPr>
        <w:t>时施工期噪声是暂时的，会随着施工的结束而停止 ，环评要求优化施工工艺，尽</w:t>
      </w:r>
      <w:r>
        <w:rPr>
          <w:rFonts w:ascii="宋体" w:hAnsi="宋体" w:eastAsia="宋体" w:cs="宋体"/>
          <w:sz w:val="23"/>
          <w:szCs w:val="23"/>
        </w:rPr>
        <w:t xml:space="preserve"> </w:t>
      </w:r>
      <w:r>
        <w:rPr>
          <w:rFonts w:ascii="宋体" w:hAnsi="宋体" w:eastAsia="宋体" w:cs="宋体"/>
          <w:spacing w:val="18"/>
          <w:sz w:val="23"/>
          <w:szCs w:val="23"/>
        </w:rPr>
        <w:t>量</w:t>
      </w:r>
      <w:r>
        <w:rPr>
          <w:rFonts w:ascii="宋体" w:hAnsi="宋体" w:eastAsia="宋体" w:cs="宋体"/>
          <w:spacing w:val="9"/>
          <w:sz w:val="23"/>
          <w:szCs w:val="23"/>
        </w:rPr>
        <w:t>缩短施工时间，进一步减小本项目施工期对周边敏感点的影响。</w:t>
      </w:r>
    </w:p>
    <w:p w14:paraId="55FF6C0F">
      <w:pPr>
        <w:spacing w:line="228" w:lineRule="auto"/>
        <w:ind w:left="501"/>
        <w:rPr>
          <w:rFonts w:ascii="宋体" w:hAnsi="宋体" w:eastAsia="宋体" w:cs="宋体"/>
          <w:sz w:val="23"/>
          <w:szCs w:val="23"/>
        </w:rPr>
      </w:pP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8"/>
          <w:sz w:val="23"/>
          <w:szCs w:val="23"/>
        </w:rPr>
        <w:t>4</w:t>
      </w: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宋体" w:hAnsi="宋体" w:eastAsia="宋体" w:cs="宋体"/>
          <w:spacing w:val="18"/>
          <w:sz w:val="23"/>
          <w:szCs w:val="23"/>
        </w:rPr>
        <w:t xml:space="preserve"> </w:t>
      </w:r>
      <w:r>
        <w:rPr>
          <w:rFonts w:ascii="宋体" w:hAnsi="宋体" w:eastAsia="宋体" w:cs="宋体"/>
          <w:spacing w:val="18"/>
          <w:sz w:val="23"/>
          <w:szCs w:val="23"/>
          <w14:textOutline w14:w="4356" w14:cap="sq" w14:cmpd="sng" w14:algn="ctr">
            <w14:solidFill>
              <w14:srgbClr w14:val="000000"/>
            </w14:solidFill>
            <w14:prstDash w14:val="solid"/>
            <w14:bevel/>
          </w14:textOutline>
        </w:rPr>
        <w:t>中、高考禁噪</w:t>
      </w:r>
    </w:p>
    <w:p w14:paraId="42E157E9">
      <w:pPr>
        <w:spacing w:before="185" w:line="227" w:lineRule="auto"/>
        <w:ind w:left="494"/>
        <w:rPr>
          <w:rFonts w:ascii="宋体" w:hAnsi="宋体" w:eastAsia="宋体" w:cs="宋体"/>
          <w:sz w:val="23"/>
          <w:szCs w:val="23"/>
        </w:rPr>
      </w:pPr>
      <w:r>
        <w:rPr>
          <w:rFonts w:ascii="宋体" w:hAnsi="宋体" w:eastAsia="宋体" w:cs="宋体"/>
          <w:spacing w:val="15"/>
          <w:sz w:val="23"/>
          <w:szCs w:val="23"/>
        </w:rPr>
        <w:t>项</w:t>
      </w:r>
      <w:r>
        <w:rPr>
          <w:rFonts w:ascii="宋体" w:hAnsi="宋体" w:eastAsia="宋体" w:cs="宋体"/>
          <w:spacing w:val="8"/>
          <w:sz w:val="23"/>
          <w:szCs w:val="23"/>
        </w:rPr>
        <w:t xml:space="preserve">目施工时间为 </w:t>
      </w:r>
      <w:r>
        <w:rPr>
          <w:rFonts w:ascii="Times New Roman" w:hAnsi="Times New Roman" w:eastAsia="Times New Roman" w:cs="Times New Roman"/>
          <w:spacing w:val="8"/>
          <w:sz w:val="23"/>
          <w:szCs w:val="23"/>
        </w:rPr>
        <w:t xml:space="preserve">1 </w:t>
      </w:r>
      <w:r>
        <w:rPr>
          <w:rFonts w:ascii="宋体" w:hAnsi="宋体" w:eastAsia="宋体" w:cs="宋体"/>
          <w:spacing w:val="8"/>
          <w:sz w:val="23"/>
          <w:szCs w:val="23"/>
        </w:rPr>
        <w:t>年，施工时间段包含中、高考时间段。根据《中华人民共和</w:t>
      </w:r>
    </w:p>
    <w:p w14:paraId="59F66507">
      <w:pPr>
        <w:sectPr>
          <w:headerReference r:id="rId181" w:type="default"/>
          <w:footerReference r:id="rId182" w:type="default"/>
          <w:pgSz w:w="11907" w:h="16840"/>
          <w:pgMar w:top="1153" w:right="1499" w:bottom="1485" w:left="1660" w:header="919" w:footer="1298" w:gutter="0"/>
          <w:cols w:space="720" w:num="1"/>
        </w:sectPr>
      </w:pPr>
    </w:p>
    <w:p w14:paraId="5C8EA026">
      <w:pPr>
        <w:spacing w:before="41" w:line="375" w:lineRule="auto"/>
        <w:ind w:left="12" w:right="28" w:firstLine="21"/>
        <w:rPr>
          <w:rFonts w:ascii="宋体" w:hAnsi="宋体" w:eastAsia="宋体" w:cs="宋体"/>
          <w:sz w:val="23"/>
          <w:szCs w:val="23"/>
        </w:rPr>
      </w:pPr>
      <w:r>
        <w:rPr>
          <w:rFonts w:ascii="宋体" w:hAnsi="宋体" w:eastAsia="宋体" w:cs="宋体"/>
          <w:spacing w:val="10"/>
          <w:sz w:val="23"/>
          <w:szCs w:val="23"/>
        </w:rPr>
        <w:t>国环境噪声污染防治法》和四川省人民政府办公厅《关于在中、高考期间加强噪</w:t>
      </w:r>
      <w:r>
        <w:rPr>
          <w:rFonts w:ascii="宋体" w:hAnsi="宋体" w:eastAsia="宋体" w:cs="宋体"/>
          <w:spacing w:val="3"/>
          <w:sz w:val="23"/>
          <w:szCs w:val="23"/>
        </w:rPr>
        <w:t>声</w:t>
      </w:r>
      <w:r>
        <w:rPr>
          <w:rFonts w:ascii="宋体" w:hAnsi="宋体" w:eastAsia="宋体" w:cs="宋体"/>
          <w:sz w:val="23"/>
          <w:szCs w:val="23"/>
        </w:rPr>
        <w:t xml:space="preserve"> </w:t>
      </w:r>
      <w:r>
        <w:rPr>
          <w:rFonts w:ascii="宋体" w:hAnsi="宋体" w:eastAsia="宋体" w:cs="宋体"/>
          <w:spacing w:val="5"/>
          <w:sz w:val="23"/>
          <w:szCs w:val="23"/>
        </w:rPr>
        <w:t>污染监督管理工作的通知》  (川办函〔</w:t>
      </w:r>
      <w:r>
        <w:rPr>
          <w:rFonts w:ascii="Times New Roman" w:hAnsi="Times New Roman" w:eastAsia="Times New Roman" w:cs="Times New Roman"/>
          <w:spacing w:val="5"/>
          <w:sz w:val="23"/>
          <w:szCs w:val="23"/>
        </w:rPr>
        <w:t>2001</w:t>
      </w:r>
      <w:r>
        <w:rPr>
          <w:rFonts w:ascii="宋体" w:hAnsi="宋体" w:eastAsia="宋体" w:cs="宋体"/>
          <w:spacing w:val="5"/>
          <w:sz w:val="23"/>
          <w:szCs w:val="23"/>
        </w:rPr>
        <w:t>〕</w:t>
      </w:r>
      <w:r>
        <w:rPr>
          <w:rFonts w:ascii="Times New Roman" w:hAnsi="Times New Roman" w:eastAsia="Times New Roman" w:cs="Times New Roman"/>
          <w:spacing w:val="5"/>
          <w:sz w:val="23"/>
          <w:szCs w:val="23"/>
        </w:rPr>
        <w:t xml:space="preserve">90 </w:t>
      </w:r>
      <w:r>
        <w:rPr>
          <w:rFonts w:ascii="宋体" w:hAnsi="宋体" w:eastAsia="宋体" w:cs="宋体"/>
          <w:spacing w:val="5"/>
          <w:sz w:val="23"/>
          <w:szCs w:val="23"/>
        </w:rPr>
        <w:t>号文件精神，中、高考期间禁止</w:t>
      </w:r>
      <w:r>
        <w:rPr>
          <w:rFonts w:ascii="宋体" w:hAnsi="宋体" w:eastAsia="宋体" w:cs="宋体"/>
          <w:sz w:val="23"/>
          <w:szCs w:val="23"/>
        </w:rPr>
        <w:t xml:space="preserve">进 </w:t>
      </w:r>
      <w:r>
        <w:rPr>
          <w:rFonts w:ascii="宋体" w:hAnsi="宋体" w:eastAsia="宋体" w:cs="宋体"/>
          <w:spacing w:val="20"/>
          <w:sz w:val="23"/>
          <w:szCs w:val="23"/>
        </w:rPr>
        <w:t>行</w:t>
      </w:r>
      <w:r>
        <w:rPr>
          <w:rFonts w:ascii="宋体" w:hAnsi="宋体" w:eastAsia="宋体" w:cs="宋体"/>
          <w:spacing w:val="15"/>
          <w:sz w:val="23"/>
          <w:szCs w:val="23"/>
        </w:rPr>
        <w:t>产</w:t>
      </w:r>
      <w:r>
        <w:rPr>
          <w:rFonts w:ascii="宋体" w:hAnsi="宋体" w:eastAsia="宋体" w:cs="宋体"/>
          <w:spacing w:val="10"/>
          <w:sz w:val="23"/>
          <w:szCs w:val="23"/>
        </w:rPr>
        <w:t>生噪声污染的建设施工。因此，项目应根据相关要求严格遵守中、高考禁噪要</w:t>
      </w:r>
      <w:r>
        <w:rPr>
          <w:rFonts w:ascii="宋体" w:hAnsi="宋体" w:eastAsia="宋体" w:cs="宋体"/>
          <w:sz w:val="23"/>
          <w:szCs w:val="23"/>
        </w:rPr>
        <w:t xml:space="preserve"> </w:t>
      </w:r>
      <w:r>
        <w:rPr>
          <w:rFonts w:ascii="宋体" w:hAnsi="宋体" w:eastAsia="宋体" w:cs="宋体"/>
          <w:spacing w:val="16"/>
          <w:sz w:val="23"/>
          <w:szCs w:val="23"/>
        </w:rPr>
        <w:t>求</w:t>
      </w:r>
      <w:r>
        <w:rPr>
          <w:rFonts w:ascii="宋体" w:hAnsi="宋体" w:eastAsia="宋体" w:cs="宋体"/>
          <w:spacing w:val="12"/>
          <w:sz w:val="23"/>
          <w:szCs w:val="23"/>
        </w:rPr>
        <w:t>，</w:t>
      </w:r>
      <w:r>
        <w:rPr>
          <w:rFonts w:ascii="宋体" w:hAnsi="宋体" w:eastAsia="宋体" w:cs="宋体"/>
          <w:spacing w:val="8"/>
          <w:sz w:val="23"/>
          <w:szCs w:val="23"/>
        </w:rPr>
        <w:t>为中、高考创造一个良好的环境。</w:t>
      </w:r>
    </w:p>
    <w:p w14:paraId="66A2AD24">
      <w:pPr>
        <w:spacing w:line="228" w:lineRule="auto"/>
        <w:ind w:left="8"/>
        <w:outlineLvl w:val="2"/>
        <w:rPr>
          <w:rFonts w:ascii="宋体" w:hAnsi="宋体" w:eastAsia="宋体" w:cs="宋体"/>
          <w:sz w:val="23"/>
          <w:szCs w:val="23"/>
        </w:rPr>
      </w:pPr>
      <w:r>
        <w:rPr>
          <w:rFonts w:ascii="Times New Roman" w:hAnsi="Times New Roman" w:eastAsia="Times New Roman" w:cs="Times New Roman"/>
          <w:b/>
          <w:bCs/>
          <w:spacing w:val="12"/>
          <w:sz w:val="23"/>
          <w:szCs w:val="23"/>
        </w:rPr>
        <w:t>5</w:t>
      </w:r>
      <w:r>
        <w:rPr>
          <w:rFonts w:ascii="Times New Roman" w:hAnsi="Times New Roman" w:eastAsia="Times New Roman" w:cs="Times New Roman"/>
          <w:b/>
          <w:bCs/>
          <w:spacing w:val="7"/>
          <w:sz w:val="23"/>
          <w:szCs w:val="23"/>
        </w:rPr>
        <w:t>.</w:t>
      </w:r>
      <w:r>
        <w:rPr>
          <w:rFonts w:ascii="Times New Roman" w:hAnsi="Times New Roman" w:eastAsia="Times New Roman" w:cs="Times New Roman"/>
          <w:b/>
          <w:bCs/>
          <w:spacing w:val="6"/>
          <w:sz w:val="23"/>
          <w:szCs w:val="23"/>
        </w:rPr>
        <w:t>1.5</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施工期固体废物环境影响分析</w:t>
      </w:r>
    </w:p>
    <w:p w14:paraId="09D92808">
      <w:pPr>
        <w:spacing w:before="181" w:line="375" w:lineRule="auto"/>
        <w:ind w:left="9" w:right="26" w:firstLine="481"/>
        <w:rPr>
          <w:rFonts w:ascii="宋体" w:hAnsi="宋体" w:eastAsia="宋体" w:cs="宋体"/>
          <w:sz w:val="23"/>
          <w:szCs w:val="23"/>
        </w:rPr>
      </w:pPr>
      <w:r>
        <w:rPr>
          <w:rFonts w:ascii="宋体" w:hAnsi="宋体" w:eastAsia="宋体" w:cs="宋体"/>
          <w:spacing w:val="20"/>
          <w:sz w:val="23"/>
          <w:szCs w:val="23"/>
          <w14:textOutline w14:w="4356" w14:cap="sq" w14:cmpd="sng" w14:algn="ctr">
            <w14:solidFill>
              <w14:srgbClr w14:val="000000"/>
            </w14:solidFill>
            <w14:prstDash w14:val="solid"/>
            <w14:bevel/>
          </w14:textOutline>
        </w:rPr>
        <w:t>土石</w:t>
      </w:r>
      <w:r>
        <w:rPr>
          <w:rFonts w:ascii="宋体" w:hAnsi="宋体" w:eastAsia="宋体" w:cs="宋体"/>
          <w:spacing w:val="10"/>
          <w:sz w:val="23"/>
          <w:szCs w:val="23"/>
          <w14:textOutline w14:w="4356" w14:cap="sq" w14:cmpd="sng" w14:algn="ctr">
            <w14:solidFill>
              <w14:srgbClr w14:val="000000"/>
            </w14:solidFill>
            <w14:prstDash w14:val="solid"/>
            <w14:bevel/>
          </w14:textOutline>
        </w:rPr>
        <w:t>方：</w:t>
      </w:r>
      <w:r>
        <w:rPr>
          <w:rFonts w:ascii="宋体" w:hAnsi="宋体" w:eastAsia="宋体" w:cs="宋体"/>
          <w:spacing w:val="10"/>
          <w:sz w:val="23"/>
          <w:szCs w:val="23"/>
        </w:rPr>
        <w:t>施工时，将进行场地平整、地基开挖，本项目所在地地势不平，根据</w:t>
      </w:r>
      <w:r>
        <w:rPr>
          <w:rFonts w:ascii="宋体" w:hAnsi="宋体" w:eastAsia="宋体" w:cs="宋体"/>
          <w:sz w:val="23"/>
          <w:szCs w:val="23"/>
        </w:rPr>
        <w:t xml:space="preserve"> </w:t>
      </w:r>
      <w:r>
        <w:rPr>
          <w:rFonts w:ascii="宋体" w:hAnsi="宋体" w:eastAsia="宋体" w:cs="宋体"/>
          <w:spacing w:val="20"/>
          <w:sz w:val="23"/>
          <w:szCs w:val="23"/>
        </w:rPr>
        <w:t>业</w:t>
      </w:r>
      <w:r>
        <w:rPr>
          <w:rFonts w:ascii="宋体" w:hAnsi="宋体" w:eastAsia="宋体" w:cs="宋体"/>
          <w:spacing w:val="17"/>
          <w:sz w:val="23"/>
          <w:szCs w:val="23"/>
        </w:rPr>
        <w:t>主</w:t>
      </w:r>
      <w:r>
        <w:rPr>
          <w:rFonts w:ascii="宋体" w:hAnsi="宋体" w:eastAsia="宋体" w:cs="宋体"/>
          <w:spacing w:val="10"/>
          <w:sz w:val="23"/>
          <w:szCs w:val="23"/>
        </w:rPr>
        <w:t>介绍所开挖的土石方全部用于填方和场地平整，使地势平坦，无弃方外运。评</w:t>
      </w:r>
      <w:r>
        <w:rPr>
          <w:rFonts w:ascii="宋体" w:hAnsi="宋体" w:eastAsia="宋体" w:cs="宋体"/>
          <w:sz w:val="23"/>
          <w:szCs w:val="23"/>
        </w:rPr>
        <w:t xml:space="preserve"> </w:t>
      </w:r>
      <w:r>
        <w:rPr>
          <w:rFonts w:ascii="宋体" w:hAnsi="宋体" w:eastAsia="宋体" w:cs="宋体"/>
          <w:spacing w:val="16"/>
          <w:sz w:val="23"/>
          <w:szCs w:val="23"/>
        </w:rPr>
        <w:t>价</w:t>
      </w:r>
      <w:r>
        <w:rPr>
          <w:rFonts w:ascii="宋体" w:hAnsi="宋体" w:eastAsia="宋体" w:cs="宋体"/>
          <w:spacing w:val="9"/>
          <w:sz w:val="23"/>
          <w:szCs w:val="23"/>
        </w:rPr>
        <w:t>要求开挖临时堆存的土方应做好相应的防风、防雨措施。</w:t>
      </w:r>
    </w:p>
    <w:p w14:paraId="6AE1683C">
      <w:pPr>
        <w:spacing w:before="5" w:line="374" w:lineRule="auto"/>
        <w:ind w:left="9" w:right="28" w:firstLine="483"/>
        <w:rPr>
          <w:rFonts w:ascii="宋体" w:hAnsi="宋体" w:eastAsia="宋体" w:cs="宋体"/>
          <w:sz w:val="23"/>
          <w:szCs w:val="23"/>
        </w:rPr>
      </w:pPr>
      <w:r>
        <w:rPr>
          <w:rFonts w:ascii="宋体" w:hAnsi="宋体" w:eastAsia="宋体" w:cs="宋体"/>
          <w:spacing w:val="10"/>
          <w:sz w:val="23"/>
          <w:szCs w:val="23"/>
          <w14:textOutline w14:w="4356" w14:cap="sq" w14:cmpd="sng" w14:algn="ctr">
            <w14:solidFill>
              <w14:srgbClr w14:val="000000"/>
            </w14:solidFill>
            <w14:prstDash w14:val="solid"/>
            <w14:bevel/>
          </w14:textOutline>
        </w:rPr>
        <w:t>建筑垃圾：</w:t>
      </w:r>
      <w:r>
        <w:rPr>
          <w:rFonts w:ascii="宋体" w:hAnsi="宋体" w:eastAsia="宋体" w:cs="宋体"/>
          <w:spacing w:val="10"/>
          <w:sz w:val="23"/>
          <w:szCs w:val="23"/>
        </w:rPr>
        <w:t>项目施工过程中产生的建筑垃圾 (如铁质弃料、木材弃料等) ，</w:t>
      </w:r>
      <w:r>
        <w:rPr>
          <w:rFonts w:ascii="宋体" w:hAnsi="宋体" w:eastAsia="宋体" w:cs="宋体"/>
          <w:spacing w:val="6"/>
          <w:sz w:val="23"/>
          <w:szCs w:val="23"/>
        </w:rPr>
        <w:t>在</w:t>
      </w:r>
      <w:r>
        <w:rPr>
          <w:rFonts w:ascii="宋体" w:hAnsi="宋体" w:eastAsia="宋体" w:cs="宋体"/>
          <w:sz w:val="23"/>
          <w:szCs w:val="23"/>
        </w:rPr>
        <w:t xml:space="preserve"> </w:t>
      </w:r>
      <w:r>
        <w:rPr>
          <w:rFonts w:ascii="宋体" w:hAnsi="宋体" w:eastAsia="宋体" w:cs="宋体"/>
          <w:spacing w:val="20"/>
          <w:sz w:val="23"/>
          <w:szCs w:val="23"/>
        </w:rPr>
        <w:t>施</w:t>
      </w:r>
      <w:r>
        <w:rPr>
          <w:rFonts w:ascii="宋体" w:hAnsi="宋体" w:eastAsia="宋体" w:cs="宋体"/>
          <w:spacing w:val="17"/>
          <w:sz w:val="23"/>
          <w:szCs w:val="23"/>
        </w:rPr>
        <w:t>工</w:t>
      </w:r>
      <w:r>
        <w:rPr>
          <w:rFonts w:ascii="宋体" w:hAnsi="宋体" w:eastAsia="宋体" w:cs="宋体"/>
          <w:spacing w:val="10"/>
          <w:sz w:val="23"/>
          <w:szCs w:val="23"/>
        </w:rPr>
        <w:t>现场设置临时建筑废物堆放场并进行加盖处理。施工期产生的废料首先考虑回</w:t>
      </w:r>
      <w:r>
        <w:rPr>
          <w:rFonts w:ascii="宋体" w:hAnsi="宋体" w:eastAsia="宋体" w:cs="宋体"/>
          <w:sz w:val="23"/>
          <w:szCs w:val="23"/>
        </w:rPr>
        <w:t xml:space="preserve"> </w:t>
      </w:r>
      <w:r>
        <w:rPr>
          <w:rFonts w:ascii="宋体" w:hAnsi="宋体" w:eastAsia="宋体" w:cs="宋体"/>
          <w:spacing w:val="20"/>
          <w:sz w:val="23"/>
          <w:szCs w:val="23"/>
        </w:rPr>
        <w:t>收</w:t>
      </w:r>
      <w:r>
        <w:rPr>
          <w:rFonts w:ascii="宋体" w:hAnsi="宋体" w:eastAsia="宋体" w:cs="宋体"/>
          <w:spacing w:val="17"/>
          <w:sz w:val="23"/>
          <w:szCs w:val="23"/>
        </w:rPr>
        <w:t>利</w:t>
      </w:r>
      <w:r>
        <w:rPr>
          <w:rFonts w:ascii="宋体" w:hAnsi="宋体" w:eastAsia="宋体" w:cs="宋体"/>
          <w:spacing w:val="10"/>
          <w:sz w:val="23"/>
          <w:szCs w:val="23"/>
        </w:rPr>
        <w:t>用，对不能回收的建筑垃圾，如混凝土废料、含砖、石、砂的杂土等，集中堆</w:t>
      </w:r>
      <w:r>
        <w:rPr>
          <w:rFonts w:ascii="宋体" w:hAnsi="宋体" w:eastAsia="宋体" w:cs="宋体"/>
          <w:sz w:val="23"/>
          <w:szCs w:val="23"/>
        </w:rPr>
        <w:t xml:space="preserve"> </w:t>
      </w:r>
      <w:r>
        <w:rPr>
          <w:rFonts w:ascii="宋体" w:hAnsi="宋体" w:eastAsia="宋体" w:cs="宋体"/>
          <w:spacing w:val="20"/>
          <w:sz w:val="23"/>
          <w:szCs w:val="23"/>
        </w:rPr>
        <w:t>放</w:t>
      </w:r>
      <w:r>
        <w:rPr>
          <w:rFonts w:ascii="宋体" w:hAnsi="宋体" w:eastAsia="宋体" w:cs="宋体"/>
          <w:spacing w:val="17"/>
          <w:sz w:val="23"/>
          <w:szCs w:val="23"/>
        </w:rPr>
        <w:t>，</w:t>
      </w:r>
      <w:r>
        <w:rPr>
          <w:rFonts w:ascii="宋体" w:hAnsi="宋体" w:eastAsia="宋体" w:cs="宋体"/>
          <w:spacing w:val="10"/>
          <w:sz w:val="23"/>
          <w:szCs w:val="23"/>
        </w:rPr>
        <w:t>定时清运到指定建渣堆放场。为确保废弃物处置措施落实，建设单位或施工总</w:t>
      </w:r>
      <w:r>
        <w:rPr>
          <w:rFonts w:ascii="宋体" w:hAnsi="宋体" w:eastAsia="宋体" w:cs="宋体"/>
          <w:sz w:val="23"/>
          <w:szCs w:val="23"/>
        </w:rPr>
        <w:t xml:space="preserve"> </w:t>
      </w:r>
      <w:r>
        <w:rPr>
          <w:rFonts w:ascii="宋体" w:hAnsi="宋体" w:eastAsia="宋体" w:cs="宋体"/>
          <w:spacing w:val="20"/>
          <w:sz w:val="23"/>
          <w:szCs w:val="23"/>
        </w:rPr>
        <w:t>承</w:t>
      </w:r>
      <w:r>
        <w:rPr>
          <w:rFonts w:ascii="宋体" w:hAnsi="宋体" w:eastAsia="宋体" w:cs="宋体"/>
          <w:spacing w:val="17"/>
          <w:sz w:val="23"/>
          <w:szCs w:val="23"/>
        </w:rPr>
        <w:t>包</w:t>
      </w:r>
      <w:r>
        <w:rPr>
          <w:rFonts w:ascii="宋体" w:hAnsi="宋体" w:eastAsia="宋体" w:cs="宋体"/>
          <w:spacing w:val="10"/>
          <w:sz w:val="23"/>
          <w:szCs w:val="23"/>
        </w:rPr>
        <w:t>单位在与建筑垃圾清运公司签订清运合同时，应要求承包公司提供废弃物去向</w:t>
      </w:r>
      <w:r>
        <w:rPr>
          <w:rFonts w:ascii="宋体" w:hAnsi="宋体" w:eastAsia="宋体" w:cs="宋体"/>
          <w:sz w:val="23"/>
          <w:szCs w:val="23"/>
        </w:rPr>
        <w:t xml:space="preserve"> </w:t>
      </w:r>
      <w:r>
        <w:rPr>
          <w:rFonts w:ascii="宋体" w:hAnsi="宋体" w:eastAsia="宋体" w:cs="宋体"/>
          <w:spacing w:val="15"/>
          <w:sz w:val="23"/>
          <w:szCs w:val="23"/>
        </w:rPr>
        <w:t>的</w:t>
      </w:r>
      <w:r>
        <w:rPr>
          <w:rFonts w:ascii="宋体" w:hAnsi="宋体" w:eastAsia="宋体" w:cs="宋体"/>
          <w:spacing w:val="8"/>
          <w:sz w:val="23"/>
          <w:szCs w:val="23"/>
        </w:rPr>
        <w:t>证明材料，严禁随意倾倒。</w:t>
      </w:r>
    </w:p>
    <w:p w14:paraId="6468C1E0">
      <w:pPr>
        <w:spacing w:before="1" w:line="374" w:lineRule="auto"/>
        <w:ind w:left="14" w:right="26" w:firstLine="475"/>
        <w:rPr>
          <w:rFonts w:ascii="宋体" w:hAnsi="宋体" w:eastAsia="宋体" w:cs="宋体"/>
          <w:sz w:val="23"/>
          <w:szCs w:val="23"/>
        </w:rPr>
      </w:pPr>
      <w:r>
        <w:rPr>
          <w:rFonts w:ascii="宋体" w:hAnsi="宋体" w:eastAsia="宋体" w:cs="宋体"/>
          <w:spacing w:val="20"/>
          <w:sz w:val="23"/>
          <w:szCs w:val="23"/>
          <w14:textOutline w14:w="4356" w14:cap="sq" w14:cmpd="sng" w14:algn="ctr">
            <w14:solidFill>
              <w14:srgbClr w14:val="000000"/>
            </w14:solidFill>
            <w14:prstDash w14:val="solid"/>
            <w14:bevel/>
          </w14:textOutline>
        </w:rPr>
        <w:t>装修</w:t>
      </w:r>
      <w:r>
        <w:rPr>
          <w:rFonts w:ascii="宋体" w:hAnsi="宋体" w:eastAsia="宋体" w:cs="宋体"/>
          <w:spacing w:val="11"/>
          <w:sz w:val="23"/>
          <w:szCs w:val="23"/>
          <w14:textOutline w14:w="4356" w14:cap="sq" w14:cmpd="sng" w14:algn="ctr">
            <w14:solidFill>
              <w14:srgbClr w14:val="000000"/>
            </w14:solidFill>
            <w14:prstDash w14:val="solid"/>
            <w14:bevel/>
          </w14:textOutline>
        </w:rPr>
        <w:t>垃</w:t>
      </w:r>
      <w:r>
        <w:rPr>
          <w:rFonts w:ascii="宋体" w:hAnsi="宋体" w:eastAsia="宋体" w:cs="宋体"/>
          <w:spacing w:val="10"/>
          <w:sz w:val="23"/>
          <w:szCs w:val="23"/>
          <w14:textOutline w14:w="4356" w14:cap="sq" w14:cmpd="sng" w14:algn="ctr">
            <w14:solidFill>
              <w14:srgbClr w14:val="000000"/>
            </w14:solidFill>
            <w14:prstDash w14:val="solid"/>
            <w14:bevel/>
          </w14:textOutline>
        </w:rPr>
        <w:t>圾：</w:t>
      </w:r>
      <w:r>
        <w:rPr>
          <w:rFonts w:ascii="宋体" w:hAnsi="宋体" w:eastAsia="宋体" w:cs="宋体"/>
          <w:spacing w:val="10"/>
          <w:sz w:val="23"/>
          <w:szCs w:val="23"/>
        </w:rPr>
        <w:t>装修垃圾一般有废砖头、砂、水泥及木屑等，会产生扬尘，因此不</w:t>
      </w:r>
      <w:r>
        <w:rPr>
          <w:rFonts w:ascii="宋体" w:hAnsi="宋体" w:eastAsia="宋体" w:cs="宋体"/>
          <w:sz w:val="23"/>
          <w:szCs w:val="23"/>
        </w:rPr>
        <w:t xml:space="preserve"> </w:t>
      </w:r>
      <w:r>
        <w:rPr>
          <w:rFonts w:ascii="宋体" w:hAnsi="宋体" w:eastAsia="宋体" w:cs="宋体"/>
          <w:spacing w:val="7"/>
          <w:sz w:val="23"/>
          <w:szCs w:val="23"/>
        </w:rPr>
        <w:t>能随意倾倒，而应用编织袋包装后运出屋外，放在指定地点， 由环卫部门统一清</w:t>
      </w:r>
      <w:r>
        <w:rPr>
          <w:rFonts w:ascii="宋体" w:hAnsi="宋体" w:eastAsia="宋体" w:cs="宋体"/>
          <w:spacing w:val="5"/>
          <w:sz w:val="23"/>
          <w:szCs w:val="23"/>
        </w:rPr>
        <w:t>运</w:t>
      </w:r>
      <w:r>
        <w:rPr>
          <w:rFonts w:ascii="宋体" w:hAnsi="宋体" w:eastAsia="宋体" w:cs="宋体"/>
          <w:sz w:val="23"/>
          <w:szCs w:val="23"/>
        </w:rPr>
        <w:t xml:space="preserve"> </w:t>
      </w:r>
      <w:r>
        <w:rPr>
          <w:rFonts w:ascii="宋体" w:hAnsi="宋体" w:eastAsia="宋体" w:cs="宋体"/>
          <w:spacing w:val="2"/>
          <w:sz w:val="23"/>
          <w:szCs w:val="23"/>
        </w:rPr>
        <w:t>处理</w:t>
      </w:r>
      <w:r>
        <w:rPr>
          <w:rFonts w:ascii="宋体" w:hAnsi="宋体" w:eastAsia="宋体" w:cs="宋体"/>
          <w:spacing w:val="1"/>
          <w:sz w:val="23"/>
          <w:szCs w:val="23"/>
        </w:rPr>
        <w:t>。</w:t>
      </w:r>
    </w:p>
    <w:p w14:paraId="21E2A6C9">
      <w:pPr>
        <w:spacing w:line="375" w:lineRule="auto"/>
        <w:ind w:left="10" w:right="28" w:firstLine="481"/>
        <w:rPr>
          <w:rFonts w:ascii="宋体" w:hAnsi="宋体" w:eastAsia="宋体" w:cs="宋体"/>
          <w:sz w:val="23"/>
          <w:szCs w:val="23"/>
        </w:rPr>
      </w:pPr>
      <w:r>
        <w:rPr>
          <w:rFonts w:ascii="宋体" w:hAnsi="宋体" w:eastAsia="宋体" w:cs="宋体"/>
          <w:spacing w:val="20"/>
          <w:sz w:val="23"/>
          <w:szCs w:val="23"/>
          <w14:textOutline w14:w="4356" w14:cap="sq" w14:cmpd="sng" w14:algn="ctr">
            <w14:solidFill>
              <w14:srgbClr w14:val="000000"/>
            </w14:solidFill>
            <w14:prstDash w14:val="solid"/>
            <w14:bevel/>
          </w14:textOutline>
        </w:rPr>
        <w:t>生</w:t>
      </w:r>
      <w:r>
        <w:rPr>
          <w:rFonts w:ascii="宋体" w:hAnsi="宋体" w:eastAsia="宋体" w:cs="宋体"/>
          <w:spacing w:val="17"/>
          <w:sz w:val="23"/>
          <w:szCs w:val="23"/>
          <w14:textOutline w14:w="4356" w14:cap="sq" w14:cmpd="sng" w14:algn="ctr">
            <w14:solidFill>
              <w14:srgbClr w14:val="000000"/>
            </w14:solidFill>
            <w14:prstDash w14:val="solid"/>
            <w14:bevel/>
          </w14:textOutline>
        </w:rPr>
        <w:t>活</w:t>
      </w:r>
      <w:r>
        <w:rPr>
          <w:rFonts w:ascii="宋体" w:hAnsi="宋体" w:eastAsia="宋体" w:cs="宋体"/>
          <w:spacing w:val="10"/>
          <w:sz w:val="23"/>
          <w:szCs w:val="23"/>
          <w14:textOutline w14:w="4356" w14:cap="sq" w14:cmpd="sng" w14:algn="ctr">
            <w14:solidFill>
              <w14:srgbClr w14:val="000000"/>
            </w14:solidFill>
            <w14:prstDash w14:val="solid"/>
            <w14:bevel/>
          </w14:textOutline>
        </w:rPr>
        <w:t>垃圾：</w:t>
      </w:r>
      <w:r>
        <w:rPr>
          <w:rFonts w:ascii="宋体" w:hAnsi="宋体" w:eastAsia="宋体" w:cs="宋体"/>
          <w:spacing w:val="10"/>
          <w:sz w:val="23"/>
          <w:szCs w:val="23"/>
        </w:rPr>
        <w:t>施工人员每日产生的生活垃圾经过垃圾桶收集后，送入项目附近生</w:t>
      </w:r>
      <w:r>
        <w:rPr>
          <w:rFonts w:ascii="宋体" w:hAnsi="宋体" w:eastAsia="宋体" w:cs="宋体"/>
          <w:sz w:val="23"/>
          <w:szCs w:val="23"/>
        </w:rPr>
        <w:t xml:space="preserve"> </w:t>
      </w:r>
      <w:r>
        <w:rPr>
          <w:rFonts w:ascii="宋体" w:hAnsi="宋体" w:eastAsia="宋体" w:cs="宋体"/>
          <w:spacing w:val="20"/>
          <w:sz w:val="23"/>
          <w:szCs w:val="23"/>
        </w:rPr>
        <w:t>活</w:t>
      </w:r>
      <w:r>
        <w:rPr>
          <w:rFonts w:ascii="宋体" w:hAnsi="宋体" w:eastAsia="宋体" w:cs="宋体"/>
          <w:spacing w:val="17"/>
          <w:sz w:val="23"/>
          <w:szCs w:val="23"/>
        </w:rPr>
        <w:t>垃</w:t>
      </w:r>
      <w:r>
        <w:rPr>
          <w:rFonts w:ascii="宋体" w:hAnsi="宋体" w:eastAsia="宋体" w:cs="宋体"/>
          <w:spacing w:val="10"/>
          <w:sz w:val="23"/>
          <w:szCs w:val="23"/>
        </w:rPr>
        <w:t>圾收集点内堆放，最终由环卫部门统一清运处理，不会对环境空气和水环境质</w:t>
      </w:r>
      <w:r>
        <w:rPr>
          <w:rFonts w:ascii="宋体" w:hAnsi="宋体" w:eastAsia="宋体" w:cs="宋体"/>
          <w:sz w:val="23"/>
          <w:szCs w:val="23"/>
        </w:rPr>
        <w:t xml:space="preserve"> </w:t>
      </w:r>
      <w:r>
        <w:rPr>
          <w:rFonts w:ascii="宋体" w:hAnsi="宋体" w:eastAsia="宋体" w:cs="宋体"/>
          <w:spacing w:val="10"/>
          <w:sz w:val="23"/>
          <w:szCs w:val="23"/>
        </w:rPr>
        <w:t>量</w:t>
      </w:r>
      <w:r>
        <w:rPr>
          <w:rFonts w:ascii="宋体" w:hAnsi="宋体" w:eastAsia="宋体" w:cs="宋体"/>
          <w:spacing w:val="8"/>
          <w:sz w:val="23"/>
          <w:szCs w:val="23"/>
        </w:rPr>
        <w:t>构成潜在的影响因素。</w:t>
      </w:r>
    </w:p>
    <w:p w14:paraId="0F2542E4">
      <w:pPr>
        <w:spacing w:line="227" w:lineRule="auto"/>
        <w:ind w:left="494"/>
        <w:rPr>
          <w:rFonts w:ascii="宋体" w:hAnsi="宋体" w:eastAsia="宋体" w:cs="宋体"/>
          <w:sz w:val="23"/>
          <w:szCs w:val="23"/>
        </w:rPr>
      </w:pPr>
      <w:r>
        <w:rPr>
          <w:rFonts w:ascii="宋体" w:hAnsi="宋体" w:eastAsia="宋体" w:cs="宋体"/>
          <w:spacing w:val="17"/>
          <w:sz w:val="23"/>
          <w:szCs w:val="23"/>
          <w14:textOutline w14:w="4356" w14:cap="sq" w14:cmpd="sng" w14:algn="ctr">
            <w14:solidFill>
              <w14:srgbClr w14:val="000000"/>
            </w14:solidFill>
            <w14:prstDash w14:val="solid"/>
            <w14:bevel/>
          </w14:textOutline>
        </w:rPr>
        <w:t>外</w:t>
      </w:r>
      <w:r>
        <w:rPr>
          <w:rFonts w:ascii="宋体" w:hAnsi="宋体" w:eastAsia="宋体" w:cs="宋体"/>
          <w:spacing w:val="11"/>
          <w:sz w:val="23"/>
          <w:szCs w:val="23"/>
          <w14:textOutline w14:w="4356" w14:cap="sq" w14:cmpd="sng" w14:algn="ctr">
            <w14:solidFill>
              <w14:srgbClr w14:val="000000"/>
            </w14:solidFill>
            <w14:prstDash w14:val="solid"/>
            <w14:bevel/>
          </w14:textOutline>
        </w:rPr>
        <w:t>运以上各种建筑垃圾及装修垃圾时，运输车辆不许超载，出场前一律清洗轮</w:t>
      </w:r>
    </w:p>
    <w:p w14:paraId="2383DE73">
      <w:pPr>
        <w:spacing w:before="186" w:line="374" w:lineRule="auto"/>
        <w:ind w:left="11" w:hanging="1"/>
        <w:rPr>
          <w:rFonts w:ascii="宋体" w:hAnsi="宋体" w:eastAsia="宋体" w:cs="宋体"/>
          <w:sz w:val="23"/>
          <w:szCs w:val="23"/>
        </w:rPr>
      </w:pPr>
      <w:r>
        <w:rPr>
          <w:rFonts w:ascii="宋体" w:hAnsi="宋体" w:eastAsia="宋体" w:cs="宋体"/>
          <w:spacing w:val="22"/>
          <w:sz w:val="23"/>
          <w:szCs w:val="23"/>
          <w14:textOutline w14:w="4356" w14:cap="sq" w14:cmpd="sng" w14:algn="ctr">
            <w14:solidFill>
              <w14:srgbClr w14:val="000000"/>
            </w14:solidFill>
            <w14:prstDash w14:val="solid"/>
            <w14:bevel/>
          </w14:textOutline>
        </w:rPr>
        <w:t>胎</w:t>
      </w:r>
      <w:r>
        <w:rPr>
          <w:rFonts w:ascii="宋体" w:hAnsi="宋体" w:eastAsia="宋体" w:cs="宋体"/>
          <w:spacing w:val="12"/>
          <w:sz w:val="23"/>
          <w:szCs w:val="23"/>
          <w14:textOutline w14:w="4356" w14:cap="sq" w14:cmpd="sng" w14:algn="ctr">
            <w14:solidFill>
              <w14:srgbClr w14:val="000000"/>
            </w14:solidFill>
            <w14:prstDash w14:val="solid"/>
            <w14:bevel/>
          </w14:textOutline>
        </w:rPr>
        <w:t>，</w:t>
      </w:r>
      <w:r>
        <w:rPr>
          <w:rFonts w:ascii="宋体" w:hAnsi="宋体" w:eastAsia="宋体" w:cs="宋体"/>
          <w:spacing w:val="11"/>
          <w:sz w:val="23"/>
          <w:szCs w:val="23"/>
          <w14:textOutline w14:w="4356" w14:cap="sq" w14:cmpd="sng" w14:algn="ctr">
            <w14:solidFill>
              <w14:srgbClr w14:val="000000"/>
            </w14:solidFill>
            <w14:prstDash w14:val="solid"/>
            <w14:bevel/>
          </w14:textOutline>
        </w:rPr>
        <w:t>用毡布覆盖，尽量避免轮胎上的泥土掉落至路面而造成扬尘。综上所述，采取</w:t>
      </w:r>
      <w:r>
        <w:rPr>
          <w:rFonts w:ascii="宋体" w:hAnsi="宋体" w:eastAsia="宋体" w:cs="宋体"/>
          <w:sz w:val="23"/>
          <w:szCs w:val="23"/>
        </w:rPr>
        <w:t xml:space="preserve"> </w:t>
      </w:r>
      <w:r>
        <w:rPr>
          <w:rFonts w:ascii="宋体" w:hAnsi="宋体" w:eastAsia="宋体" w:cs="宋体"/>
          <w:spacing w:val="21"/>
          <w:sz w:val="23"/>
          <w:szCs w:val="23"/>
          <w14:textOutline w14:w="4356" w14:cap="sq" w14:cmpd="sng" w14:algn="ctr">
            <w14:solidFill>
              <w14:srgbClr w14:val="000000"/>
            </w14:solidFill>
            <w14:prstDash w14:val="solid"/>
            <w14:bevel/>
          </w14:textOutline>
        </w:rPr>
        <w:t>以</w:t>
      </w:r>
      <w:r>
        <w:rPr>
          <w:rFonts w:ascii="宋体" w:hAnsi="宋体" w:eastAsia="宋体" w:cs="宋体"/>
          <w:spacing w:val="11"/>
          <w:sz w:val="23"/>
          <w:szCs w:val="23"/>
          <w14:textOutline w14:w="4356" w14:cap="sq" w14:cmpd="sng" w14:algn="ctr">
            <w14:solidFill>
              <w14:srgbClr w14:val="000000"/>
            </w14:solidFill>
            <w14:prstDash w14:val="solid"/>
            <w14:bevel/>
          </w14:textOutline>
        </w:rPr>
        <w:t>上措施后，项目施工期间产生的固体废弃物均能得到清洁处理和处置，施工期产</w:t>
      </w:r>
      <w:r>
        <w:rPr>
          <w:rFonts w:ascii="宋体" w:hAnsi="宋体" w:eastAsia="宋体" w:cs="宋体"/>
          <w:sz w:val="23"/>
          <w:szCs w:val="23"/>
        </w:rPr>
        <w:t xml:space="preserve"> </w:t>
      </w:r>
      <w:r>
        <w:rPr>
          <w:rFonts w:ascii="宋体" w:hAnsi="宋体" w:eastAsia="宋体" w:cs="宋体"/>
          <w:spacing w:val="14"/>
          <w:sz w:val="23"/>
          <w:szCs w:val="23"/>
          <w14:textOutline w14:w="4356" w14:cap="sq" w14:cmpd="sng" w14:algn="ctr">
            <w14:solidFill>
              <w14:srgbClr w14:val="000000"/>
            </w14:solidFill>
            <w14:prstDash w14:val="solid"/>
            <w14:bevel/>
          </w14:textOutline>
        </w:rPr>
        <w:t>生</w:t>
      </w:r>
      <w:r>
        <w:rPr>
          <w:rFonts w:ascii="宋体" w:hAnsi="宋体" w:eastAsia="宋体" w:cs="宋体"/>
          <w:spacing w:val="9"/>
          <w:sz w:val="23"/>
          <w:szCs w:val="23"/>
          <w14:textOutline w14:w="4356" w14:cap="sq" w14:cmpd="sng" w14:algn="ctr">
            <w14:solidFill>
              <w14:srgbClr w14:val="000000"/>
            </w14:solidFill>
            <w14:prstDash w14:val="solid"/>
            <w14:bevel/>
          </w14:textOutline>
        </w:rPr>
        <w:t>的固废对周围环境的影响较小。</w:t>
      </w:r>
    </w:p>
    <w:p w14:paraId="14F9AF68">
      <w:pPr>
        <w:spacing w:line="228" w:lineRule="auto"/>
        <w:ind w:left="8"/>
        <w:outlineLvl w:val="2"/>
        <w:rPr>
          <w:rFonts w:ascii="宋体" w:hAnsi="宋体" w:eastAsia="宋体" w:cs="宋体"/>
          <w:sz w:val="23"/>
          <w:szCs w:val="23"/>
        </w:rPr>
      </w:pPr>
      <w:r>
        <w:rPr>
          <w:rFonts w:ascii="Times New Roman" w:hAnsi="Times New Roman" w:eastAsia="Times New Roman" w:cs="Times New Roman"/>
          <w:b/>
          <w:bCs/>
          <w:spacing w:val="10"/>
          <w:sz w:val="23"/>
          <w:szCs w:val="23"/>
        </w:rPr>
        <w:t>5.</w:t>
      </w:r>
      <w:r>
        <w:rPr>
          <w:rFonts w:ascii="Times New Roman" w:hAnsi="Times New Roman" w:eastAsia="Times New Roman" w:cs="Times New Roman"/>
          <w:b/>
          <w:bCs/>
          <w:spacing w:val="5"/>
          <w:sz w:val="23"/>
          <w:szCs w:val="23"/>
        </w:rPr>
        <w:t>1.6</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施工期生态影响分析</w:t>
      </w:r>
    </w:p>
    <w:p w14:paraId="49CAE326">
      <w:pPr>
        <w:spacing w:before="184" w:line="227" w:lineRule="auto"/>
        <w:ind w:left="501"/>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1</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植被破坏</w:t>
      </w:r>
    </w:p>
    <w:p w14:paraId="077915C1">
      <w:pPr>
        <w:spacing w:before="184" w:line="379" w:lineRule="auto"/>
        <w:ind w:left="9" w:right="31" w:firstLine="425"/>
        <w:rPr>
          <w:rFonts w:ascii="宋体" w:hAnsi="宋体" w:eastAsia="宋体" w:cs="宋体"/>
          <w:sz w:val="23"/>
          <w:szCs w:val="23"/>
        </w:rPr>
      </w:pPr>
      <w:r>
        <w:rPr>
          <w:rFonts w:ascii="宋体" w:hAnsi="宋体" w:eastAsia="宋体" w:cs="宋体"/>
          <w:spacing w:val="15"/>
          <w:sz w:val="23"/>
          <w:szCs w:val="23"/>
        </w:rPr>
        <w:t>根</w:t>
      </w:r>
      <w:r>
        <w:rPr>
          <w:rFonts w:ascii="宋体" w:hAnsi="宋体" w:eastAsia="宋体" w:cs="宋体"/>
          <w:spacing w:val="12"/>
          <w:sz w:val="23"/>
          <w:szCs w:val="23"/>
        </w:rPr>
        <w:t>据现场勘查，本项目场地较为空旷，项目范围内不存在珍稀保护动物，基本</w:t>
      </w:r>
      <w:r>
        <w:rPr>
          <w:rFonts w:ascii="宋体" w:hAnsi="宋体" w:eastAsia="宋体" w:cs="宋体"/>
          <w:sz w:val="23"/>
          <w:szCs w:val="23"/>
        </w:rPr>
        <w:t xml:space="preserve"> </w:t>
      </w:r>
      <w:r>
        <w:rPr>
          <w:rFonts w:ascii="宋体" w:hAnsi="宋体" w:eastAsia="宋体" w:cs="宋体"/>
          <w:spacing w:val="20"/>
          <w:sz w:val="23"/>
          <w:szCs w:val="23"/>
        </w:rPr>
        <w:t>没</w:t>
      </w:r>
      <w:r>
        <w:rPr>
          <w:rFonts w:ascii="宋体" w:hAnsi="宋体" w:eastAsia="宋体" w:cs="宋体"/>
          <w:spacing w:val="17"/>
          <w:sz w:val="23"/>
          <w:szCs w:val="23"/>
        </w:rPr>
        <w:t>有</w:t>
      </w:r>
      <w:r>
        <w:rPr>
          <w:rFonts w:ascii="宋体" w:hAnsi="宋体" w:eastAsia="宋体" w:cs="宋体"/>
          <w:spacing w:val="10"/>
          <w:sz w:val="23"/>
          <w:szCs w:val="23"/>
        </w:rPr>
        <w:t>亚热带常绿阔叶林树种，无列入各级政府管理、保护的古树名木。项目建设完</w:t>
      </w:r>
      <w:r>
        <w:rPr>
          <w:rFonts w:ascii="宋体" w:hAnsi="宋体" w:eastAsia="宋体" w:cs="宋体"/>
          <w:sz w:val="23"/>
          <w:szCs w:val="23"/>
        </w:rPr>
        <w:t xml:space="preserve"> </w:t>
      </w:r>
      <w:r>
        <w:rPr>
          <w:rFonts w:ascii="宋体" w:hAnsi="宋体" w:eastAsia="宋体" w:cs="宋体"/>
          <w:spacing w:val="10"/>
          <w:sz w:val="23"/>
          <w:szCs w:val="23"/>
        </w:rPr>
        <w:t>成</w:t>
      </w:r>
      <w:r>
        <w:rPr>
          <w:rFonts w:ascii="宋体" w:hAnsi="宋体" w:eastAsia="宋体" w:cs="宋体"/>
          <w:spacing w:val="7"/>
          <w:sz w:val="23"/>
          <w:szCs w:val="23"/>
        </w:rPr>
        <w:t>后， 自然林地被厂区取代，从而对原有自然植被造成一定程度的破坏，施工单位</w:t>
      </w:r>
      <w:r>
        <w:rPr>
          <w:rFonts w:ascii="宋体" w:hAnsi="宋体" w:eastAsia="宋体" w:cs="宋体"/>
          <w:sz w:val="23"/>
          <w:szCs w:val="23"/>
        </w:rPr>
        <w:t xml:space="preserve"> </w:t>
      </w:r>
      <w:r>
        <w:rPr>
          <w:rFonts w:ascii="宋体" w:hAnsi="宋体" w:eastAsia="宋体" w:cs="宋体"/>
          <w:spacing w:val="20"/>
          <w:sz w:val="23"/>
          <w:szCs w:val="23"/>
        </w:rPr>
        <w:t>对</w:t>
      </w:r>
      <w:r>
        <w:rPr>
          <w:rFonts w:ascii="宋体" w:hAnsi="宋体" w:eastAsia="宋体" w:cs="宋体"/>
          <w:spacing w:val="17"/>
          <w:sz w:val="23"/>
          <w:szCs w:val="23"/>
        </w:rPr>
        <w:t>项</w:t>
      </w:r>
      <w:r>
        <w:rPr>
          <w:rFonts w:ascii="宋体" w:hAnsi="宋体" w:eastAsia="宋体" w:cs="宋体"/>
          <w:spacing w:val="10"/>
          <w:sz w:val="23"/>
          <w:szCs w:val="23"/>
        </w:rPr>
        <w:t>目施工初期剥离的表土设置了专门的场地进行堆放，待项目建设完成后及时将</w:t>
      </w:r>
    </w:p>
    <w:p w14:paraId="4B4444A3">
      <w:pPr>
        <w:sectPr>
          <w:headerReference r:id="rId183" w:type="default"/>
          <w:footerReference r:id="rId184" w:type="default"/>
          <w:pgSz w:w="11907" w:h="16840"/>
          <w:pgMar w:top="1153" w:right="1548" w:bottom="1485" w:left="1660" w:header="919" w:footer="1298" w:gutter="0"/>
          <w:cols w:space="720" w:num="1"/>
        </w:sectPr>
      </w:pPr>
    </w:p>
    <w:p w14:paraId="1509EB8C">
      <w:pPr>
        <w:spacing w:before="42" w:line="374" w:lineRule="auto"/>
        <w:ind w:left="13" w:right="138" w:hanging="4"/>
        <w:rPr>
          <w:rFonts w:ascii="宋体" w:hAnsi="宋体" w:eastAsia="宋体" w:cs="宋体"/>
          <w:sz w:val="23"/>
          <w:szCs w:val="23"/>
        </w:rPr>
      </w:pPr>
      <w:r>
        <w:rPr>
          <w:rFonts w:ascii="宋体" w:hAnsi="宋体" w:eastAsia="宋体" w:cs="宋体"/>
          <w:spacing w:val="9"/>
          <w:sz w:val="23"/>
          <w:szCs w:val="23"/>
        </w:rPr>
        <w:t>表土用于场地绿化覆土，并保证最大绿化率，最大程度恢复被破坏的植被。因此</w:t>
      </w:r>
      <w:r>
        <w:rPr>
          <w:rFonts w:ascii="宋体" w:hAnsi="宋体" w:eastAsia="宋体" w:cs="宋体"/>
          <w:spacing w:val="4"/>
          <w:sz w:val="23"/>
          <w:szCs w:val="23"/>
        </w:rPr>
        <w:t>，</w:t>
      </w:r>
      <w:r>
        <w:rPr>
          <w:rFonts w:ascii="宋体" w:hAnsi="宋体" w:eastAsia="宋体" w:cs="宋体"/>
          <w:sz w:val="23"/>
          <w:szCs w:val="23"/>
        </w:rPr>
        <w:t xml:space="preserve"> </w:t>
      </w:r>
      <w:r>
        <w:rPr>
          <w:rFonts w:ascii="宋体" w:hAnsi="宋体" w:eastAsia="宋体" w:cs="宋体"/>
          <w:spacing w:val="9"/>
          <w:sz w:val="23"/>
          <w:szCs w:val="23"/>
        </w:rPr>
        <w:t>项目建成后，通过绿化恢复，对植被影响较小</w:t>
      </w:r>
      <w:r>
        <w:rPr>
          <w:rFonts w:ascii="宋体" w:hAnsi="宋体" w:eastAsia="宋体" w:cs="宋体"/>
          <w:spacing w:val="6"/>
          <w:sz w:val="23"/>
          <w:szCs w:val="23"/>
        </w:rPr>
        <w:t>。</w:t>
      </w:r>
    </w:p>
    <w:p w14:paraId="389E1487">
      <w:pPr>
        <w:spacing w:line="228" w:lineRule="auto"/>
        <w:ind w:left="501"/>
        <w:rPr>
          <w:rFonts w:ascii="宋体" w:hAnsi="宋体" w:eastAsia="宋体" w:cs="宋体"/>
          <w:sz w:val="23"/>
          <w:szCs w:val="23"/>
        </w:rPr>
      </w:pP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7"/>
          <w:sz w:val="23"/>
          <w:szCs w:val="23"/>
        </w:rPr>
        <w:t>2</w:t>
      </w:r>
      <w:r>
        <w:rPr>
          <w:rFonts w:ascii="宋体" w:hAnsi="宋体" w:eastAsia="宋体" w:cs="宋体"/>
          <w:spacing w:val="17"/>
          <w:sz w:val="23"/>
          <w:szCs w:val="23"/>
          <w14:textOutline w14:w="4356" w14:cap="sq" w14:cmpd="sng" w14:algn="ctr">
            <w14:solidFill>
              <w14:srgbClr w14:val="000000"/>
            </w14:solidFill>
            <w14:prstDash w14:val="solid"/>
            <w14:bevel/>
          </w14:textOutline>
        </w:rPr>
        <w:t>)</w:t>
      </w:r>
      <w:r>
        <w:rPr>
          <w:rFonts w:ascii="宋体" w:hAnsi="宋体" w:eastAsia="宋体" w:cs="宋体"/>
          <w:spacing w:val="17"/>
          <w:sz w:val="23"/>
          <w:szCs w:val="23"/>
        </w:rPr>
        <w:t xml:space="preserve"> </w:t>
      </w:r>
      <w:r>
        <w:rPr>
          <w:rFonts w:ascii="宋体" w:hAnsi="宋体" w:eastAsia="宋体" w:cs="宋体"/>
          <w:spacing w:val="17"/>
          <w:sz w:val="23"/>
          <w:szCs w:val="23"/>
          <w14:textOutline w14:w="4356" w14:cap="sq" w14:cmpd="sng" w14:algn="ctr">
            <w14:solidFill>
              <w14:srgbClr w14:val="000000"/>
            </w14:solidFill>
            <w14:prstDash w14:val="solid"/>
            <w14:bevel/>
          </w14:textOutline>
        </w:rPr>
        <w:t>对动物资源的影响</w:t>
      </w:r>
    </w:p>
    <w:p w14:paraId="23866180">
      <w:pPr>
        <w:spacing w:before="183" w:line="375" w:lineRule="auto"/>
        <w:ind w:left="12" w:right="80" w:firstLine="426"/>
        <w:rPr>
          <w:rFonts w:ascii="宋体" w:hAnsi="宋体" w:eastAsia="宋体" w:cs="宋体"/>
          <w:sz w:val="23"/>
          <w:szCs w:val="23"/>
        </w:rPr>
      </w:pPr>
      <w:r>
        <w:rPr>
          <w:rFonts w:ascii="宋体" w:hAnsi="宋体" w:eastAsia="宋体" w:cs="宋体"/>
          <w:spacing w:val="16"/>
          <w:sz w:val="23"/>
          <w:szCs w:val="23"/>
        </w:rPr>
        <w:t>项</w:t>
      </w:r>
      <w:r>
        <w:rPr>
          <w:rFonts w:ascii="宋体" w:hAnsi="宋体" w:eastAsia="宋体" w:cs="宋体"/>
          <w:spacing w:val="13"/>
          <w:sz w:val="23"/>
          <w:szCs w:val="23"/>
        </w:rPr>
        <w:t>目</w:t>
      </w:r>
      <w:r>
        <w:rPr>
          <w:rFonts w:ascii="宋体" w:hAnsi="宋体" w:eastAsia="宋体" w:cs="宋体"/>
          <w:spacing w:val="8"/>
          <w:sz w:val="23"/>
          <w:szCs w:val="23"/>
        </w:rPr>
        <w:t>所在地无珍稀保护动物。主要野生动物为蛇类等爬行动物， 鼠类等小型啮</w:t>
      </w:r>
      <w:r>
        <w:rPr>
          <w:rFonts w:ascii="宋体" w:hAnsi="宋体" w:eastAsia="宋体" w:cs="宋体"/>
          <w:sz w:val="23"/>
          <w:szCs w:val="23"/>
        </w:rPr>
        <w:t xml:space="preserve"> </w:t>
      </w:r>
      <w:r>
        <w:rPr>
          <w:rFonts w:ascii="宋体" w:hAnsi="宋体" w:eastAsia="宋体" w:cs="宋体"/>
          <w:spacing w:val="18"/>
          <w:sz w:val="23"/>
          <w:szCs w:val="23"/>
        </w:rPr>
        <w:t>齿</w:t>
      </w:r>
      <w:r>
        <w:rPr>
          <w:rFonts w:ascii="宋体" w:hAnsi="宋体" w:eastAsia="宋体" w:cs="宋体"/>
          <w:spacing w:val="12"/>
          <w:sz w:val="23"/>
          <w:szCs w:val="23"/>
        </w:rPr>
        <w:t>类</w:t>
      </w:r>
      <w:r>
        <w:rPr>
          <w:rFonts w:ascii="宋体" w:hAnsi="宋体" w:eastAsia="宋体" w:cs="宋体"/>
          <w:spacing w:val="9"/>
          <w:sz w:val="23"/>
          <w:szCs w:val="23"/>
        </w:rPr>
        <w:t>动物及麻雀等小型鸟类动物。故项目建设对当地动物资源的影响不明显。</w:t>
      </w:r>
    </w:p>
    <w:p w14:paraId="755738E6">
      <w:pPr>
        <w:spacing w:line="227" w:lineRule="auto"/>
        <w:ind w:left="501"/>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3</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水土流失</w:t>
      </w:r>
    </w:p>
    <w:p w14:paraId="2E2EC1BF">
      <w:pPr>
        <w:spacing w:before="183" w:line="375" w:lineRule="auto"/>
        <w:ind w:left="11" w:right="80" w:firstLine="424"/>
        <w:rPr>
          <w:rFonts w:ascii="宋体" w:hAnsi="宋体" w:eastAsia="宋体" w:cs="宋体"/>
          <w:sz w:val="23"/>
          <w:szCs w:val="23"/>
        </w:rPr>
      </w:pPr>
      <w:r>
        <w:rPr>
          <w:rFonts w:ascii="宋体" w:hAnsi="宋体" w:eastAsia="宋体" w:cs="宋体"/>
          <w:spacing w:val="14"/>
          <w:sz w:val="23"/>
          <w:szCs w:val="23"/>
        </w:rPr>
        <w:t>本</w:t>
      </w:r>
      <w:r>
        <w:rPr>
          <w:rFonts w:ascii="宋体" w:hAnsi="宋体" w:eastAsia="宋体" w:cs="宋体"/>
          <w:spacing w:val="12"/>
          <w:sz w:val="23"/>
          <w:szCs w:val="23"/>
        </w:rPr>
        <w:t>项目可能造成水土流失的主要因素为基础工程中土石方的开挖、回填及土石</w:t>
      </w:r>
      <w:r>
        <w:rPr>
          <w:rFonts w:ascii="宋体" w:hAnsi="宋体" w:eastAsia="宋体" w:cs="宋体"/>
          <w:sz w:val="23"/>
          <w:szCs w:val="23"/>
        </w:rPr>
        <w:t xml:space="preserve"> </w:t>
      </w:r>
      <w:r>
        <w:rPr>
          <w:rFonts w:ascii="宋体" w:hAnsi="宋体" w:eastAsia="宋体" w:cs="宋体"/>
          <w:spacing w:val="10"/>
          <w:sz w:val="23"/>
          <w:szCs w:val="23"/>
        </w:rPr>
        <w:t>方的</w:t>
      </w:r>
      <w:r>
        <w:rPr>
          <w:rFonts w:ascii="宋体" w:hAnsi="宋体" w:eastAsia="宋体" w:cs="宋体"/>
          <w:spacing w:val="9"/>
          <w:sz w:val="23"/>
          <w:szCs w:val="23"/>
        </w:rPr>
        <w:t>临</w:t>
      </w:r>
      <w:r>
        <w:rPr>
          <w:rFonts w:ascii="宋体" w:hAnsi="宋体" w:eastAsia="宋体" w:cs="宋体"/>
          <w:spacing w:val="5"/>
          <w:sz w:val="23"/>
          <w:szCs w:val="23"/>
        </w:rPr>
        <w:t>时堆放。为最大程度防止水土流失，  施工单位应采取如下措施：</w:t>
      </w:r>
    </w:p>
    <w:p w14:paraId="52CB8F55">
      <w:pPr>
        <w:spacing w:line="225" w:lineRule="auto"/>
        <w:ind w:left="433"/>
        <w:rPr>
          <w:rFonts w:ascii="宋体" w:hAnsi="宋体" w:eastAsia="宋体" w:cs="宋体"/>
          <w:sz w:val="23"/>
          <w:szCs w:val="23"/>
        </w:rPr>
      </w:pPr>
      <w:r>
        <w:rPr>
          <w:rFonts w:ascii="宋体" w:hAnsi="宋体" w:eastAsia="宋体" w:cs="宋体"/>
          <w:spacing w:val="18"/>
          <w:sz w:val="23"/>
          <w:szCs w:val="23"/>
        </w:rPr>
        <w:t>①</w:t>
      </w:r>
      <w:r>
        <w:rPr>
          <w:rFonts w:ascii="宋体" w:hAnsi="宋体" w:eastAsia="宋体" w:cs="宋体"/>
          <w:spacing w:val="11"/>
          <w:sz w:val="23"/>
          <w:szCs w:val="23"/>
        </w:rPr>
        <w:t>充</w:t>
      </w:r>
      <w:r>
        <w:rPr>
          <w:rFonts w:ascii="宋体" w:hAnsi="宋体" w:eastAsia="宋体" w:cs="宋体"/>
          <w:spacing w:val="9"/>
          <w:sz w:val="23"/>
          <w:szCs w:val="23"/>
        </w:rPr>
        <w:t>分考虑降雨的季节性变化，合理安排工期，尽量避免雨季施工；</w:t>
      </w:r>
    </w:p>
    <w:p w14:paraId="66468CA3">
      <w:pPr>
        <w:spacing w:before="185" w:line="225" w:lineRule="auto"/>
        <w:ind w:left="433"/>
        <w:rPr>
          <w:rFonts w:ascii="宋体" w:hAnsi="宋体" w:eastAsia="宋体" w:cs="宋体"/>
          <w:sz w:val="23"/>
          <w:szCs w:val="23"/>
        </w:rPr>
      </w:pPr>
      <w:r>
        <w:rPr>
          <w:rFonts w:ascii="宋体" w:hAnsi="宋体" w:eastAsia="宋体" w:cs="宋体"/>
          <w:spacing w:val="18"/>
          <w:sz w:val="23"/>
          <w:szCs w:val="23"/>
        </w:rPr>
        <w:t>②</w:t>
      </w:r>
      <w:r>
        <w:rPr>
          <w:rFonts w:ascii="宋体" w:hAnsi="宋体" w:eastAsia="宋体" w:cs="宋体"/>
          <w:spacing w:val="14"/>
          <w:sz w:val="23"/>
          <w:szCs w:val="23"/>
        </w:rPr>
        <w:t>优</w:t>
      </w:r>
      <w:r>
        <w:rPr>
          <w:rFonts w:ascii="宋体" w:hAnsi="宋体" w:eastAsia="宋体" w:cs="宋体"/>
          <w:spacing w:val="9"/>
          <w:sz w:val="23"/>
          <w:szCs w:val="23"/>
        </w:rPr>
        <w:t>化工程挖方和填方，尽量保持原有的地形地貌，减少土石方开挖量；</w:t>
      </w:r>
    </w:p>
    <w:p w14:paraId="3B8E4479">
      <w:pPr>
        <w:spacing w:before="187" w:line="225" w:lineRule="auto"/>
        <w:ind w:left="433"/>
        <w:rPr>
          <w:rFonts w:ascii="宋体" w:hAnsi="宋体" w:eastAsia="宋体" w:cs="宋体"/>
          <w:sz w:val="23"/>
          <w:szCs w:val="23"/>
        </w:rPr>
      </w:pPr>
      <w:r>
        <w:rPr>
          <w:rFonts w:ascii="宋体" w:hAnsi="宋体" w:eastAsia="宋体" w:cs="宋体"/>
          <w:spacing w:val="18"/>
          <w:sz w:val="23"/>
          <w:szCs w:val="23"/>
        </w:rPr>
        <w:t>③</w:t>
      </w:r>
      <w:r>
        <w:rPr>
          <w:rFonts w:ascii="宋体" w:hAnsi="宋体" w:eastAsia="宋体" w:cs="宋体"/>
          <w:spacing w:val="10"/>
          <w:sz w:val="23"/>
          <w:szCs w:val="23"/>
        </w:rPr>
        <w:t>施</w:t>
      </w:r>
      <w:r>
        <w:rPr>
          <w:rFonts w:ascii="宋体" w:hAnsi="宋体" w:eastAsia="宋体" w:cs="宋体"/>
          <w:spacing w:val="9"/>
          <w:sz w:val="23"/>
          <w:szCs w:val="23"/>
        </w:rPr>
        <w:t>工过程中，土石方随挖随运，随填随压，尽量不留松土石；</w:t>
      </w:r>
    </w:p>
    <w:p w14:paraId="5BE5A814">
      <w:pPr>
        <w:spacing w:before="185" w:line="375" w:lineRule="auto"/>
        <w:ind w:left="10" w:right="21" w:firstLine="422"/>
        <w:rPr>
          <w:rFonts w:ascii="宋体" w:hAnsi="宋体" w:eastAsia="宋体" w:cs="宋体"/>
          <w:sz w:val="23"/>
          <w:szCs w:val="23"/>
        </w:rPr>
      </w:pPr>
      <w:r>
        <w:rPr>
          <w:rFonts w:ascii="宋体" w:hAnsi="宋体" w:eastAsia="宋体" w:cs="宋体"/>
          <w:spacing w:val="22"/>
          <w:sz w:val="23"/>
          <w:szCs w:val="23"/>
        </w:rPr>
        <w:t>④</w:t>
      </w:r>
      <w:r>
        <w:rPr>
          <w:rFonts w:ascii="宋体" w:hAnsi="宋体" w:eastAsia="宋体" w:cs="宋体"/>
          <w:spacing w:val="17"/>
          <w:sz w:val="23"/>
          <w:szCs w:val="23"/>
        </w:rPr>
        <w:t>土</w:t>
      </w:r>
      <w:r>
        <w:rPr>
          <w:rFonts w:ascii="宋体" w:hAnsi="宋体" w:eastAsia="宋体" w:cs="宋体"/>
          <w:spacing w:val="11"/>
          <w:sz w:val="23"/>
          <w:szCs w:val="23"/>
        </w:rPr>
        <w:t>石方临时堆场应尽量远离周围 (尤其是下风向) 环境敏感点，并对临时堆</w:t>
      </w:r>
      <w:r>
        <w:rPr>
          <w:rFonts w:ascii="宋体" w:hAnsi="宋体" w:eastAsia="宋体" w:cs="宋体"/>
          <w:sz w:val="23"/>
          <w:szCs w:val="23"/>
        </w:rPr>
        <w:t xml:space="preserve"> </w:t>
      </w:r>
      <w:r>
        <w:rPr>
          <w:rFonts w:ascii="宋体" w:hAnsi="宋体" w:eastAsia="宋体" w:cs="宋体"/>
          <w:spacing w:val="10"/>
          <w:sz w:val="23"/>
          <w:szCs w:val="23"/>
        </w:rPr>
        <w:t>放的土石</w:t>
      </w:r>
      <w:r>
        <w:rPr>
          <w:rFonts w:ascii="宋体" w:hAnsi="宋体" w:eastAsia="宋体" w:cs="宋体"/>
          <w:spacing w:val="5"/>
          <w:sz w:val="23"/>
          <w:szCs w:val="23"/>
        </w:rPr>
        <w:t>方采取培实、碾压、使用毡布覆盖，并在土堆周围设挡土墙及排水设施等；</w:t>
      </w:r>
    </w:p>
    <w:p w14:paraId="146DE41B">
      <w:pPr>
        <w:spacing w:before="1" w:line="375" w:lineRule="auto"/>
        <w:ind w:left="11" w:right="80" w:firstLine="421"/>
        <w:rPr>
          <w:rFonts w:ascii="宋体" w:hAnsi="宋体" w:eastAsia="宋体" w:cs="宋体"/>
          <w:sz w:val="23"/>
          <w:szCs w:val="23"/>
        </w:rPr>
      </w:pPr>
      <w:r>
        <w:rPr>
          <w:rFonts w:ascii="宋体" w:hAnsi="宋体" w:eastAsia="宋体" w:cs="宋体"/>
          <w:spacing w:val="17"/>
          <w:sz w:val="23"/>
          <w:szCs w:val="23"/>
        </w:rPr>
        <w:t>⑤</w:t>
      </w:r>
      <w:r>
        <w:rPr>
          <w:rFonts w:ascii="宋体" w:hAnsi="宋体" w:eastAsia="宋体" w:cs="宋体"/>
          <w:spacing w:val="12"/>
          <w:sz w:val="23"/>
          <w:szCs w:val="23"/>
        </w:rPr>
        <w:t>施工场地和临时堆放场内应设置专门的雨水导流渠，将雨水引导到沉淀池经</w:t>
      </w:r>
      <w:r>
        <w:rPr>
          <w:rFonts w:ascii="宋体" w:hAnsi="宋体" w:eastAsia="宋体" w:cs="宋体"/>
          <w:sz w:val="23"/>
          <w:szCs w:val="23"/>
        </w:rPr>
        <w:t xml:space="preserve"> </w:t>
      </w:r>
      <w:r>
        <w:rPr>
          <w:rFonts w:ascii="宋体" w:hAnsi="宋体" w:eastAsia="宋体" w:cs="宋体"/>
          <w:spacing w:val="12"/>
          <w:sz w:val="23"/>
          <w:szCs w:val="23"/>
        </w:rPr>
        <w:t>过</w:t>
      </w:r>
      <w:r>
        <w:rPr>
          <w:rFonts w:ascii="宋体" w:hAnsi="宋体" w:eastAsia="宋体" w:cs="宋体"/>
          <w:spacing w:val="9"/>
          <w:sz w:val="23"/>
          <w:szCs w:val="23"/>
        </w:rPr>
        <w:t>沉淀后回用或排放，防止因雨水冲刷造成水土流失。</w:t>
      </w:r>
    </w:p>
    <w:p w14:paraId="56D4954E">
      <w:pPr>
        <w:spacing w:before="1" w:line="225" w:lineRule="auto"/>
        <w:ind w:left="433"/>
        <w:rPr>
          <w:rFonts w:ascii="宋体" w:hAnsi="宋体" w:eastAsia="宋体" w:cs="宋体"/>
          <w:sz w:val="23"/>
          <w:szCs w:val="23"/>
        </w:rPr>
      </w:pPr>
      <w:r>
        <w:rPr>
          <w:rFonts w:ascii="宋体" w:hAnsi="宋体" w:eastAsia="宋体" w:cs="宋体"/>
          <w:spacing w:val="9"/>
          <w:sz w:val="23"/>
          <w:szCs w:val="23"/>
        </w:rPr>
        <w:t>⑥优化施工工序，缩短材料堆放时间</w:t>
      </w:r>
      <w:r>
        <w:rPr>
          <w:rFonts w:ascii="宋体" w:hAnsi="宋体" w:eastAsia="宋体" w:cs="宋体"/>
          <w:spacing w:val="8"/>
          <w:sz w:val="23"/>
          <w:szCs w:val="23"/>
        </w:rPr>
        <w:t>。</w:t>
      </w:r>
    </w:p>
    <w:p w14:paraId="3470C5B3">
      <w:pPr>
        <w:spacing w:before="183" w:line="377" w:lineRule="auto"/>
        <w:ind w:left="10" w:right="80" w:firstLine="431"/>
        <w:rPr>
          <w:rFonts w:ascii="宋体" w:hAnsi="宋体" w:eastAsia="宋体" w:cs="宋体"/>
          <w:sz w:val="23"/>
          <w:szCs w:val="23"/>
        </w:rPr>
      </w:pPr>
      <w:r>
        <w:rPr>
          <w:rFonts w:ascii="宋体" w:hAnsi="宋体" w:eastAsia="宋体" w:cs="宋体"/>
          <w:spacing w:val="12"/>
          <w:sz w:val="23"/>
          <w:szCs w:val="23"/>
        </w:rPr>
        <w:t>总之，项目施工期属局部生态环境破坏，水土流失为少量，造成的生态影响</w:t>
      </w:r>
      <w:r>
        <w:rPr>
          <w:rFonts w:ascii="宋体" w:hAnsi="宋体" w:eastAsia="宋体" w:cs="宋体"/>
          <w:spacing w:val="9"/>
          <w:sz w:val="23"/>
          <w:szCs w:val="23"/>
        </w:rPr>
        <w:t>属</w:t>
      </w:r>
      <w:r>
        <w:rPr>
          <w:rFonts w:ascii="宋体" w:hAnsi="宋体" w:eastAsia="宋体" w:cs="宋体"/>
          <w:sz w:val="23"/>
          <w:szCs w:val="23"/>
        </w:rPr>
        <w:t xml:space="preserve"> </w:t>
      </w:r>
      <w:r>
        <w:rPr>
          <w:rFonts w:ascii="宋体" w:hAnsi="宋体" w:eastAsia="宋体" w:cs="宋体"/>
          <w:spacing w:val="20"/>
          <w:sz w:val="23"/>
          <w:szCs w:val="23"/>
        </w:rPr>
        <w:t>局</w:t>
      </w:r>
      <w:r>
        <w:rPr>
          <w:rFonts w:ascii="宋体" w:hAnsi="宋体" w:eastAsia="宋体" w:cs="宋体"/>
          <w:spacing w:val="16"/>
          <w:sz w:val="23"/>
          <w:szCs w:val="23"/>
        </w:rPr>
        <w:t>部</w:t>
      </w:r>
      <w:r>
        <w:rPr>
          <w:rFonts w:ascii="宋体" w:hAnsi="宋体" w:eastAsia="宋体" w:cs="宋体"/>
          <w:spacing w:val="10"/>
          <w:sz w:val="23"/>
          <w:szCs w:val="23"/>
        </w:rPr>
        <w:t>、暂时、可逆转的生态影响，经采取上述生态保护措施后，项目建设对当地生</w:t>
      </w:r>
      <w:r>
        <w:rPr>
          <w:rFonts w:ascii="宋体" w:hAnsi="宋体" w:eastAsia="宋体" w:cs="宋体"/>
          <w:sz w:val="23"/>
          <w:szCs w:val="23"/>
        </w:rPr>
        <w:t xml:space="preserve"> </w:t>
      </w:r>
      <w:r>
        <w:rPr>
          <w:rFonts w:ascii="宋体" w:hAnsi="宋体" w:eastAsia="宋体" w:cs="宋体"/>
          <w:spacing w:val="8"/>
          <w:sz w:val="23"/>
          <w:szCs w:val="23"/>
        </w:rPr>
        <w:t>态环境的影响很小</w:t>
      </w:r>
      <w:r>
        <w:rPr>
          <w:rFonts w:ascii="宋体" w:hAnsi="宋体" w:eastAsia="宋体" w:cs="宋体"/>
          <w:spacing w:val="6"/>
          <w:sz w:val="23"/>
          <w:szCs w:val="23"/>
        </w:rPr>
        <w:t>。</w:t>
      </w:r>
    </w:p>
    <w:p w14:paraId="655D413C">
      <w:pPr>
        <w:spacing w:before="1" w:line="220" w:lineRule="auto"/>
        <w:ind w:left="10"/>
        <w:outlineLvl w:val="1"/>
        <w:rPr>
          <w:rFonts w:ascii="宋体" w:hAnsi="宋体" w:eastAsia="宋体" w:cs="宋体"/>
          <w:sz w:val="28"/>
          <w:szCs w:val="28"/>
        </w:rPr>
      </w:pPr>
      <w:bookmarkStart w:id="46" w:name="_bookmark47"/>
      <w:bookmarkEnd w:id="46"/>
      <w:r>
        <w:rPr>
          <w:rFonts w:ascii="Times New Roman" w:hAnsi="Times New Roman" w:eastAsia="Times New Roman" w:cs="Times New Roman"/>
          <w:b/>
          <w:bCs/>
          <w:spacing w:val="-1"/>
          <w:sz w:val="28"/>
          <w:szCs w:val="28"/>
        </w:rPr>
        <w:t>5</w:t>
      </w:r>
      <w:r>
        <w:rPr>
          <w:rFonts w:ascii="Times New Roman" w:hAnsi="Times New Roman" w:eastAsia="Times New Roman" w:cs="Times New Roman"/>
          <w:b/>
          <w:bCs/>
          <w:sz w:val="28"/>
          <w:szCs w:val="28"/>
        </w:rPr>
        <w:t>.2</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运营期环境影响分析</w:t>
      </w:r>
    </w:p>
    <w:p w14:paraId="459C9980">
      <w:pPr>
        <w:spacing w:before="204" w:line="228" w:lineRule="auto"/>
        <w:ind w:left="8"/>
        <w:outlineLvl w:val="2"/>
        <w:rPr>
          <w:rFonts w:ascii="宋体" w:hAnsi="宋体" w:eastAsia="宋体" w:cs="宋体"/>
          <w:sz w:val="23"/>
          <w:szCs w:val="23"/>
        </w:rPr>
      </w:pPr>
      <w:r>
        <w:rPr>
          <w:rFonts w:ascii="Times New Roman" w:hAnsi="Times New Roman" w:eastAsia="Times New Roman" w:cs="Times New Roman"/>
          <w:b/>
          <w:bCs/>
          <w:spacing w:val="7"/>
          <w:sz w:val="23"/>
          <w:szCs w:val="23"/>
        </w:rPr>
        <w:t>5.2.1</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大气环境影响分</w:t>
      </w:r>
      <w:r>
        <w:rPr>
          <w:rFonts w:ascii="宋体" w:hAnsi="宋体" w:eastAsia="宋体" w:cs="宋体"/>
          <w:spacing w:val="6"/>
          <w:sz w:val="23"/>
          <w:szCs w:val="23"/>
          <w14:textOutline w14:w="4356" w14:cap="sq" w14:cmpd="sng" w14:algn="ctr">
            <w14:solidFill>
              <w14:srgbClr w14:val="000000"/>
            </w14:solidFill>
            <w14:prstDash w14:val="solid"/>
            <w14:bevel/>
          </w14:textOutline>
        </w:rPr>
        <w:t>析</w:t>
      </w:r>
    </w:p>
    <w:p w14:paraId="23B9A343">
      <w:pPr>
        <w:spacing w:before="182" w:line="303" w:lineRule="exact"/>
        <w:ind w:left="496"/>
        <w:rPr>
          <w:rFonts w:ascii="宋体" w:hAnsi="宋体" w:eastAsia="宋体" w:cs="宋体"/>
          <w:sz w:val="23"/>
          <w:szCs w:val="23"/>
        </w:rPr>
      </w:pPr>
      <w:r>
        <w:rPr>
          <w:rFonts w:ascii="Times New Roman" w:hAnsi="Times New Roman" w:eastAsia="Times New Roman" w:cs="Times New Roman"/>
          <w:b/>
          <w:bCs/>
          <w:spacing w:val="-1"/>
          <w:position w:val="1"/>
          <w:sz w:val="23"/>
          <w:szCs w:val="23"/>
        </w:rPr>
        <w:t>1</w:t>
      </w:r>
      <w:r>
        <w:rPr>
          <w:rFonts w:ascii="Times New Roman" w:hAnsi="Times New Roman" w:eastAsia="Times New Roman" w:cs="Times New Roman"/>
          <w:spacing w:val="-1"/>
          <w:position w:val="1"/>
          <w:sz w:val="23"/>
          <w:szCs w:val="23"/>
        </w:rPr>
        <w:t xml:space="preserve"> </w:t>
      </w:r>
      <w:r>
        <w:rPr>
          <w:rFonts w:ascii="宋体" w:hAnsi="宋体" w:eastAsia="宋体" w:cs="宋体"/>
          <w:spacing w:val="-1"/>
          <w:position w:val="1"/>
          <w:sz w:val="23"/>
          <w:szCs w:val="23"/>
          <w14:textOutline w14:w="4356" w14:cap="sq" w14:cmpd="sng" w14:algn="ctr">
            <w14:solidFill>
              <w14:srgbClr w14:val="000000"/>
            </w14:solidFill>
            <w14:prstDash w14:val="solid"/>
            <w14:bevel/>
          </w14:textOutline>
        </w:rPr>
        <w:t>、污</w:t>
      </w:r>
      <w:r>
        <w:rPr>
          <w:rFonts w:ascii="宋体" w:hAnsi="宋体" w:eastAsia="宋体" w:cs="宋体"/>
          <w:position w:val="1"/>
          <w:sz w:val="23"/>
          <w:szCs w:val="23"/>
          <w14:textOutline w14:w="4356" w14:cap="sq" w14:cmpd="sng" w14:algn="ctr">
            <w14:solidFill>
              <w14:srgbClr w14:val="000000"/>
            </w14:solidFill>
            <w14:prstDash w14:val="solid"/>
            <w14:bevel/>
          </w14:textOutline>
        </w:rPr>
        <w:t>染物影响</w:t>
      </w:r>
    </w:p>
    <w:p w14:paraId="23B8FA10">
      <w:pPr>
        <w:spacing w:before="128" w:line="382" w:lineRule="auto"/>
        <w:ind w:left="13" w:firstLine="478"/>
        <w:rPr>
          <w:rFonts w:ascii="宋体" w:hAnsi="宋体" w:eastAsia="宋体" w:cs="宋体"/>
          <w:sz w:val="23"/>
          <w:szCs w:val="23"/>
        </w:rPr>
      </w:pPr>
      <w:r>
        <w:rPr>
          <w:rFonts w:ascii="宋体" w:hAnsi="宋体" w:eastAsia="宋体" w:cs="宋体"/>
          <w:spacing w:val="6"/>
          <w:sz w:val="23"/>
          <w:szCs w:val="23"/>
        </w:rPr>
        <w:t>本项目大气污染来源于养殖过程中产生的恶臭、食堂餐饮油烟及燃料燃烧废气</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15"/>
          <w:sz w:val="23"/>
          <w:szCs w:val="23"/>
        </w:rPr>
        <w:t>备</w:t>
      </w:r>
      <w:r>
        <w:rPr>
          <w:rFonts w:ascii="宋体" w:hAnsi="宋体" w:eastAsia="宋体" w:cs="宋体"/>
          <w:spacing w:val="9"/>
          <w:sz w:val="23"/>
          <w:szCs w:val="23"/>
        </w:rPr>
        <w:t>用发电机废气。其中主要大气污染物为养殖过程中产生的恶臭。</w:t>
      </w:r>
    </w:p>
    <w:p w14:paraId="0A5DFE8C">
      <w:pPr>
        <w:spacing w:before="24" w:line="227" w:lineRule="auto"/>
        <w:ind w:left="501"/>
        <w:rPr>
          <w:rFonts w:ascii="宋体" w:hAnsi="宋体" w:eastAsia="宋体" w:cs="宋体"/>
          <w:sz w:val="23"/>
          <w:szCs w:val="23"/>
        </w:rPr>
      </w:pPr>
      <w:r>
        <w:rPr>
          <w:rFonts w:ascii="宋体" w:hAnsi="宋体" w:eastAsia="宋体" w:cs="宋体"/>
          <w:spacing w:val="26"/>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3"/>
          <w:sz w:val="23"/>
          <w:szCs w:val="23"/>
        </w:rPr>
        <w:t>1</w:t>
      </w: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宋体" w:hAnsi="宋体" w:eastAsia="宋体" w:cs="宋体"/>
          <w:spacing w:val="23"/>
          <w:sz w:val="23"/>
          <w:szCs w:val="23"/>
        </w:rPr>
        <w:t xml:space="preserve"> </w:t>
      </w:r>
      <w:r>
        <w:rPr>
          <w:rFonts w:ascii="宋体" w:hAnsi="宋体" w:eastAsia="宋体" w:cs="宋体"/>
          <w:spacing w:val="23"/>
          <w:sz w:val="23"/>
          <w:szCs w:val="23"/>
          <w14:textOutline w14:w="4356" w14:cap="sq" w14:cmpd="sng" w14:algn="ctr">
            <w14:solidFill>
              <w14:srgbClr w14:val="000000"/>
            </w14:solidFill>
            <w14:prstDash w14:val="solid"/>
            <w14:bevel/>
          </w14:textOutline>
        </w:rPr>
        <w:t>恶臭</w:t>
      </w:r>
    </w:p>
    <w:p w14:paraId="52FB0651">
      <w:pPr>
        <w:spacing w:before="148" w:line="379" w:lineRule="auto"/>
        <w:ind w:left="11" w:right="80" w:firstLine="480"/>
        <w:rPr>
          <w:rFonts w:ascii="宋体" w:hAnsi="宋体" w:eastAsia="宋体" w:cs="宋体"/>
          <w:sz w:val="23"/>
          <w:szCs w:val="23"/>
        </w:rPr>
      </w:pPr>
      <w:r>
        <w:rPr>
          <w:rFonts w:ascii="宋体" w:hAnsi="宋体" w:eastAsia="宋体" w:cs="宋体"/>
          <w:spacing w:val="18"/>
          <w:sz w:val="23"/>
          <w:szCs w:val="23"/>
        </w:rPr>
        <w:t>本项</w:t>
      </w:r>
      <w:r>
        <w:rPr>
          <w:rFonts w:ascii="宋体" w:hAnsi="宋体" w:eastAsia="宋体" w:cs="宋体"/>
          <w:spacing w:val="14"/>
          <w:sz w:val="23"/>
          <w:szCs w:val="23"/>
        </w:rPr>
        <w:t>目</w:t>
      </w:r>
      <w:r>
        <w:rPr>
          <w:rFonts w:ascii="宋体" w:hAnsi="宋体" w:eastAsia="宋体" w:cs="宋体"/>
          <w:spacing w:val="9"/>
          <w:sz w:val="23"/>
          <w:szCs w:val="23"/>
        </w:rPr>
        <w:t>恶臭主要来源于猪舍及污水处理设施。根据文献报道，猪粪便及污泥臭</w:t>
      </w:r>
      <w:r>
        <w:rPr>
          <w:rFonts w:ascii="宋体" w:hAnsi="宋体" w:eastAsia="宋体" w:cs="宋体"/>
          <w:sz w:val="23"/>
          <w:szCs w:val="23"/>
        </w:rPr>
        <w:t xml:space="preserve"> </w:t>
      </w:r>
      <w:r>
        <w:rPr>
          <w:rFonts w:ascii="宋体" w:hAnsi="宋体" w:eastAsia="宋体" w:cs="宋体"/>
          <w:spacing w:val="12"/>
          <w:sz w:val="23"/>
          <w:szCs w:val="23"/>
        </w:rPr>
        <w:t>气成</w:t>
      </w:r>
      <w:r>
        <w:rPr>
          <w:rFonts w:ascii="宋体" w:hAnsi="宋体" w:eastAsia="宋体" w:cs="宋体"/>
          <w:spacing w:val="6"/>
          <w:sz w:val="23"/>
          <w:szCs w:val="23"/>
        </w:rPr>
        <w:t>份主要是有机物中硫和氮生成的硫化氢 (</w:t>
      </w:r>
      <w:r>
        <w:rPr>
          <w:rFonts w:ascii="Times New Roman" w:hAnsi="Times New Roman" w:eastAsia="Times New Roman" w:cs="Times New Roman"/>
          <w:sz w:val="23"/>
          <w:szCs w:val="23"/>
        </w:rPr>
        <w:t>H</w:t>
      </w:r>
      <w:r>
        <w:rPr>
          <w:rFonts w:ascii="Times New Roman" w:hAnsi="Times New Roman" w:eastAsia="Times New Roman" w:cs="Times New Roman"/>
          <w:spacing w:val="6"/>
          <w:position w:val="-1"/>
          <w:sz w:val="15"/>
          <w:szCs w:val="15"/>
        </w:rPr>
        <w:t>2</w:t>
      </w:r>
      <w:r>
        <w:rPr>
          <w:rFonts w:ascii="Times New Roman" w:hAnsi="Times New Roman" w:eastAsia="Times New Roman" w:cs="Times New Roman"/>
          <w:sz w:val="23"/>
          <w:szCs w:val="23"/>
        </w:rPr>
        <w:t>S</w:t>
      </w:r>
      <w:r>
        <w:rPr>
          <w:rFonts w:ascii="宋体" w:hAnsi="宋体" w:eastAsia="宋体" w:cs="宋体"/>
          <w:spacing w:val="6"/>
          <w:sz w:val="23"/>
          <w:szCs w:val="23"/>
        </w:rPr>
        <w:t>) 、氨 (</w:t>
      </w:r>
      <w:r>
        <w:rPr>
          <w:rFonts w:ascii="Times New Roman" w:hAnsi="Times New Roman" w:eastAsia="Times New Roman" w:cs="Times New Roman"/>
          <w:sz w:val="23"/>
          <w:szCs w:val="23"/>
        </w:rPr>
        <w:t>NH</w:t>
      </w:r>
      <w:r>
        <w:rPr>
          <w:rFonts w:ascii="Times New Roman" w:hAnsi="Times New Roman" w:eastAsia="Times New Roman" w:cs="Times New Roman"/>
          <w:spacing w:val="6"/>
          <w:position w:val="-1"/>
          <w:sz w:val="15"/>
          <w:szCs w:val="15"/>
        </w:rPr>
        <w:t xml:space="preserve">3 </w:t>
      </w:r>
      <w:r>
        <w:rPr>
          <w:rFonts w:ascii="宋体" w:hAnsi="宋体" w:eastAsia="宋体" w:cs="宋体"/>
          <w:spacing w:val="6"/>
          <w:sz w:val="23"/>
          <w:szCs w:val="23"/>
        </w:rPr>
        <w:t>) 等恶臭物质，刺激</w:t>
      </w:r>
      <w:r>
        <w:rPr>
          <w:rFonts w:ascii="宋体" w:hAnsi="宋体" w:eastAsia="宋体" w:cs="宋体"/>
          <w:sz w:val="23"/>
          <w:szCs w:val="23"/>
        </w:rPr>
        <w:t xml:space="preserve"> </w:t>
      </w:r>
      <w:r>
        <w:rPr>
          <w:rFonts w:ascii="宋体" w:hAnsi="宋体" w:eastAsia="宋体" w:cs="宋体"/>
          <w:spacing w:val="12"/>
          <w:sz w:val="23"/>
          <w:szCs w:val="23"/>
        </w:rPr>
        <w:t>人的嗅</w:t>
      </w:r>
      <w:r>
        <w:rPr>
          <w:rFonts w:ascii="宋体" w:hAnsi="宋体" w:eastAsia="宋体" w:cs="宋体"/>
          <w:spacing w:val="8"/>
          <w:sz w:val="23"/>
          <w:szCs w:val="23"/>
        </w:rPr>
        <w:t>觉</w:t>
      </w:r>
      <w:r>
        <w:rPr>
          <w:rFonts w:ascii="宋体" w:hAnsi="宋体" w:eastAsia="宋体" w:cs="宋体"/>
          <w:spacing w:val="6"/>
          <w:sz w:val="23"/>
          <w:szCs w:val="23"/>
        </w:rPr>
        <w:t>器官，引起人的厌恶或不愉快。气味大小与臭气在空气中的浓度有关。</w:t>
      </w:r>
      <w:r>
        <w:rPr>
          <w:rFonts w:ascii="Times New Roman" w:hAnsi="Times New Roman" w:eastAsia="Times New Roman" w:cs="Times New Roman"/>
          <w:sz w:val="23"/>
          <w:szCs w:val="23"/>
        </w:rPr>
        <w:t>H</w:t>
      </w:r>
      <w:r>
        <w:rPr>
          <w:rFonts w:ascii="Times New Roman" w:hAnsi="Times New Roman" w:eastAsia="Times New Roman" w:cs="Times New Roman"/>
          <w:spacing w:val="6"/>
          <w:position w:val="-1"/>
          <w:sz w:val="15"/>
          <w:szCs w:val="15"/>
        </w:rPr>
        <w:t>2</w:t>
      </w:r>
      <w:r>
        <w:rPr>
          <w:rFonts w:ascii="Times New Roman" w:hAnsi="Times New Roman" w:eastAsia="Times New Roman" w:cs="Times New Roman"/>
          <w:sz w:val="23"/>
          <w:szCs w:val="23"/>
        </w:rPr>
        <w:t xml:space="preserve">S </w:t>
      </w:r>
      <w:r>
        <w:rPr>
          <w:rFonts w:ascii="宋体" w:hAnsi="宋体" w:eastAsia="宋体" w:cs="宋体"/>
          <w:spacing w:val="18"/>
          <w:sz w:val="23"/>
          <w:szCs w:val="23"/>
        </w:rPr>
        <w:t>为</w:t>
      </w:r>
      <w:r>
        <w:rPr>
          <w:rFonts w:ascii="宋体" w:hAnsi="宋体" w:eastAsia="宋体" w:cs="宋体"/>
          <w:spacing w:val="16"/>
          <w:sz w:val="23"/>
          <w:szCs w:val="23"/>
        </w:rPr>
        <w:t>无</w:t>
      </w:r>
      <w:r>
        <w:rPr>
          <w:rFonts w:ascii="宋体" w:hAnsi="宋体" w:eastAsia="宋体" w:cs="宋体"/>
          <w:spacing w:val="9"/>
          <w:sz w:val="23"/>
          <w:szCs w:val="23"/>
        </w:rPr>
        <w:t>色气体，有恶臭和毒性，具有臭鸡蛋腐败气味，其嗅觉阈值 (正常人免强可感</w:t>
      </w:r>
    </w:p>
    <w:p w14:paraId="032E39E1">
      <w:pPr>
        <w:sectPr>
          <w:headerReference r:id="rId185" w:type="default"/>
          <w:footerReference r:id="rId186" w:type="default"/>
          <w:pgSz w:w="11907" w:h="16840"/>
          <w:pgMar w:top="1153" w:right="1499" w:bottom="1485" w:left="1660" w:header="919" w:footer="1298" w:gutter="0"/>
          <w:cols w:space="720" w:num="1"/>
        </w:sectPr>
      </w:pPr>
    </w:p>
    <w:p w14:paraId="1F6F2829">
      <w:pPr>
        <w:spacing w:line="460" w:lineRule="auto"/>
      </w:pPr>
    </w:p>
    <w:p w14:paraId="066461F3">
      <w:pPr>
        <w:spacing w:before="56" w:line="229" w:lineRule="auto"/>
        <w:ind w:left="530"/>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540E6278">
      <w:pPr>
        <w:spacing w:before="21" w:line="392" w:lineRule="auto"/>
        <w:ind w:left="541" w:right="521" w:hanging="2"/>
        <w:rPr>
          <w:rFonts w:ascii="宋体" w:hAnsi="宋体" w:eastAsia="宋体" w:cs="宋体"/>
          <w:sz w:val="23"/>
          <w:szCs w:val="23"/>
        </w:rPr>
      </w:pPr>
      <w:r>
        <w:pict>
          <v:shape id="_x0000_s2102" o:spid="_x0000_s2102" style="position:absolute;left:0pt;margin-left:26.15pt;margin-top:0.7pt;height:0.5pt;width:433.35pt;z-index:-251585536;mso-width-relative:page;mso-height-relative:page;" fillcolor="#000000" filled="t" stroked="f" coordsize="8667,10" path="m0,0l8666,0,8666,9,0,9,0,0xe">
            <v:fill on="t" focussize="0,0"/>
            <v:stroke on="f"/>
            <v:imagedata o:title=""/>
            <o:lock v:ext="edit"/>
          </v:shape>
        </w:pict>
      </w:r>
      <w:r>
        <w:rPr>
          <w:rFonts w:ascii="宋体" w:hAnsi="宋体" w:eastAsia="宋体" w:cs="宋体"/>
          <w:spacing w:val="8"/>
          <w:sz w:val="23"/>
          <w:szCs w:val="23"/>
        </w:rPr>
        <w:t>到</w:t>
      </w:r>
      <w:r>
        <w:rPr>
          <w:rFonts w:ascii="宋体" w:hAnsi="宋体" w:eastAsia="宋体" w:cs="宋体"/>
          <w:spacing w:val="6"/>
          <w:sz w:val="23"/>
          <w:szCs w:val="23"/>
        </w:rPr>
        <w:t>臭</w:t>
      </w:r>
      <w:r>
        <w:rPr>
          <w:rFonts w:ascii="宋体" w:hAnsi="宋体" w:eastAsia="宋体" w:cs="宋体"/>
          <w:spacing w:val="4"/>
          <w:sz w:val="23"/>
          <w:szCs w:val="23"/>
        </w:rPr>
        <w:t xml:space="preserve">味的浓度) 为 </w:t>
      </w:r>
      <w:r>
        <w:rPr>
          <w:rFonts w:ascii="Times New Roman" w:hAnsi="Times New Roman" w:eastAsia="Times New Roman" w:cs="Times New Roman"/>
          <w:spacing w:val="4"/>
          <w:sz w:val="23"/>
          <w:szCs w:val="23"/>
        </w:rPr>
        <w:t>0.0005</w:t>
      </w:r>
      <w:r>
        <w:rPr>
          <w:rFonts w:ascii="Times New Roman" w:hAnsi="Times New Roman" w:eastAsia="Times New Roman" w:cs="Times New Roman"/>
          <w:sz w:val="23"/>
          <w:szCs w:val="23"/>
        </w:rPr>
        <w:t>ppm</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w:t>
      </w:r>
      <w:r>
        <w:rPr>
          <w:rFonts w:ascii="Times New Roman" w:hAnsi="Times New Roman" w:eastAsia="Times New Roman" w:cs="Times New Roman"/>
          <w:spacing w:val="4"/>
          <w:sz w:val="23"/>
          <w:szCs w:val="23"/>
        </w:rPr>
        <w:t>0.00065</w:t>
      </w:r>
      <w:r>
        <w:rPr>
          <w:rFonts w:ascii="Times New Roman" w:hAnsi="Times New Roman" w:eastAsia="Times New Roman" w:cs="Times New Roman"/>
          <w:sz w:val="23"/>
          <w:szCs w:val="23"/>
        </w:rPr>
        <w:t>mg</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4"/>
          <w:position w:val="8"/>
          <w:sz w:val="15"/>
          <w:szCs w:val="15"/>
        </w:rPr>
        <w:t xml:space="preserve">3 </w:t>
      </w:r>
      <w:r>
        <w:rPr>
          <w:rFonts w:ascii="宋体" w:hAnsi="宋体" w:eastAsia="宋体" w:cs="宋体"/>
          <w:spacing w:val="4"/>
          <w:sz w:val="23"/>
          <w:szCs w:val="23"/>
        </w:rPr>
        <w:t>) 。</w:t>
      </w:r>
      <w:r>
        <w:rPr>
          <w:rFonts w:ascii="Times New Roman" w:hAnsi="Times New Roman" w:eastAsia="Times New Roman" w:cs="Times New Roman"/>
          <w:sz w:val="23"/>
          <w:szCs w:val="23"/>
        </w:rPr>
        <w:t>NH</w:t>
      </w:r>
      <w:r>
        <w:rPr>
          <w:rFonts w:ascii="Times New Roman" w:hAnsi="Times New Roman" w:eastAsia="Times New Roman" w:cs="Times New Roman"/>
          <w:spacing w:val="4"/>
          <w:position w:val="-1"/>
          <w:sz w:val="15"/>
          <w:szCs w:val="15"/>
        </w:rPr>
        <w:t xml:space="preserve">3 </w:t>
      </w:r>
      <w:r>
        <w:rPr>
          <w:rFonts w:ascii="宋体" w:hAnsi="宋体" w:eastAsia="宋体" w:cs="宋体"/>
          <w:spacing w:val="4"/>
          <w:sz w:val="23"/>
          <w:szCs w:val="23"/>
        </w:rPr>
        <w:t>为无色气体，有强烈的刺激气</w:t>
      </w:r>
      <w:r>
        <w:rPr>
          <w:rFonts w:ascii="宋体" w:hAnsi="宋体" w:eastAsia="宋体" w:cs="宋体"/>
          <w:sz w:val="23"/>
          <w:szCs w:val="23"/>
        </w:rPr>
        <w:t xml:space="preserve"> </w:t>
      </w:r>
      <w:r>
        <w:rPr>
          <w:rFonts w:ascii="宋体" w:hAnsi="宋体" w:eastAsia="宋体" w:cs="宋体"/>
          <w:spacing w:val="4"/>
          <w:sz w:val="23"/>
          <w:szCs w:val="23"/>
        </w:rPr>
        <w:t>味，嗅觉</w:t>
      </w:r>
      <w:r>
        <w:rPr>
          <w:rFonts w:ascii="宋体" w:hAnsi="宋体" w:eastAsia="宋体" w:cs="宋体"/>
          <w:spacing w:val="2"/>
          <w:sz w:val="23"/>
          <w:szCs w:val="23"/>
        </w:rPr>
        <w:t xml:space="preserve">阈值是 </w:t>
      </w:r>
      <w:r>
        <w:rPr>
          <w:rFonts w:ascii="Times New Roman" w:hAnsi="Times New Roman" w:eastAsia="Times New Roman" w:cs="Times New Roman"/>
          <w:spacing w:val="2"/>
          <w:sz w:val="23"/>
          <w:szCs w:val="23"/>
        </w:rPr>
        <w:t>0.037</w:t>
      </w:r>
      <w:r>
        <w:rPr>
          <w:rFonts w:ascii="Times New Roman" w:hAnsi="Times New Roman" w:eastAsia="Times New Roman" w:cs="Times New Roman"/>
          <w:sz w:val="23"/>
          <w:szCs w:val="23"/>
        </w:rPr>
        <w:t>ppm</w:t>
      </w:r>
      <w:r>
        <w:rPr>
          <w:rFonts w:ascii="宋体" w:hAnsi="宋体" w:eastAsia="宋体" w:cs="宋体"/>
          <w:spacing w:val="2"/>
          <w:sz w:val="23"/>
          <w:szCs w:val="23"/>
        </w:rPr>
        <w:t>。</w:t>
      </w:r>
    </w:p>
    <w:p w14:paraId="46E48277">
      <w:pPr>
        <w:spacing w:line="227" w:lineRule="auto"/>
        <w:ind w:left="1014"/>
        <w:rPr>
          <w:rFonts w:ascii="宋体" w:hAnsi="宋体" w:eastAsia="宋体" w:cs="宋体"/>
          <w:sz w:val="23"/>
          <w:szCs w:val="23"/>
        </w:rPr>
      </w:pPr>
      <w:r>
        <w:rPr>
          <w:rFonts w:ascii="宋体" w:hAnsi="宋体" w:eastAsia="宋体" w:cs="宋体"/>
          <w:spacing w:val="-1"/>
          <w:sz w:val="23"/>
          <w:szCs w:val="23"/>
        </w:rPr>
        <w:t xml:space="preserve">恶臭强度分类详见表 </w:t>
      </w:r>
      <w:r>
        <w:rPr>
          <w:rFonts w:ascii="Times New Roman" w:hAnsi="Times New Roman" w:eastAsia="Times New Roman" w:cs="Times New Roman"/>
          <w:spacing w:val="-1"/>
          <w:sz w:val="23"/>
          <w:szCs w:val="23"/>
        </w:rPr>
        <w:t>5.2</w:t>
      </w:r>
      <w:r>
        <w:rPr>
          <w:rFonts w:ascii="Times New Roman" w:hAnsi="Times New Roman" w:eastAsia="Times New Roman" w:cs="Times New Roman"/>
          <w:sz w:val="23"/>
          <w:szCs w:val="23"/>
        </w:rPr>
        <w:t>- 1</w:t>
      </w:r>
      <w:r>
        <w:rPr>
          <w:rFonts w:ascii="宋体" w:hAnsi="宋体" w:eastAsia="宋体" w:cs="宋体"/>
          <w:sz w:val="23"/>
          <w:szCs w:val="23"/>
        </w:rPr>
        <w:t>。</w:t>
      </w:r>
    </w:p>
    <w:p w14:paraId="476DE626">
      <w:pPr>
        <w:spacing w:before="184" w:line="222" w:lineRule="auto"/>
        <w:ind w:left="3570"/>
        <w:rPr>
          <w:rFonts w:ascii="黑体" w:hAnsi="黑体" w:eastAsia="黑体" w:cs="黑体"/>
          <w:sz w:val="23"/>
          <w:szCs w:val="23"/>
        </w:rPr>
      </w:pPr>
      <w:r>
        <w:rPr>
          <w:rFonts w:ascii="黑体" w:hAnsi="黑体" w:eastAsia="黑体" w:cs="黑体"/>
          <w:spacing w:val="-2"/>
          <w:sz w:val="23"/>
          <w:szCs w:val="23"/>
        </w:rPr>
        <w:t>表</w:t>
      </w:r>
      <w:r>
        <w:rPr>
          <w:rFonts w:ascii="黑体" w:hAnsi="黑体" w:eastAsia="黑体" w:cs="黑体"/>
          <w:spacing w:val="-1"/>
          <w:sz w:val="23"/>
          <w:szCs w:val="23"/>
        </w:rPr>
        <w:t xml:space="preserve"> </w:t>
      </w:r>
      <w:r>
        <w:rPr>
          <w:rFonts w:ascii="Times New Roman" w:hAnsi="Times New Roman" w:eastAsia="Times New Roman" w:cs="Times New Roman"/>
          <w:spacing w:val="-1"/>
          <w:sz w:val="23"/>
          <w:szCs w:val="23"/>
        </w:rPr>
        <w:t xml:space="preserve">5.2- 1      </w:t>
      </w:r>
      <w:r>
        <w:rPr>
          <w:rFonts w:ascii="黑体" w:hAnsi="黑体" w:eastAsia="黑体" w:cs="黑体"/>
          <w:spacing w:val="-1"/>
          <w:sz w:val="23"/>
          <w:szCs w:val="23"/>
        </w:rPr>
        <w:t>恶臭强度分类</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29"/>
        <w:gridCol w:w="6983"/>
      </w:tblGrid>
      <w:tr w14:paraId="0A9EA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2729" w:type="dxa"/>
            <w:tcBorders>
              <w:left w:val="nil"/>
            </w:tcBorders>
          </w:tcPr>
          <w:p w14:paraId="5E230E41">
            <w:pPr>
              <w:spacing w:before="55" w:line="227" w:lineRule="auto"/>
              <w:ind w:left="743"/>
              <w:rPr>
                <w:rFonts w:ascii="宋体" w:hAnsi="宋体" w:eastAsia="宋体" w:cs="宋体"/>
                <w:sz w:val="20"/>
                <w:szCs w:val="20"/>
              </w:rPr>
            </w:pPr>
            <w:r>
              <w:rPr>
                <w:rFonts w:ascii="宋体" w:hAnsi="宋体" w:eastAsia="宋体" w:cs="宋体"/>
                <w:spacing w:val="8"/>
                <w:sz w:val="20"/>
                <w:szCs w:val="20"/>
              </w:rPr>
              <w:t>恶臭强度级别</w:t>
            </w:r>
          </w:p>
        </w:tc>
        <w:tc>
          <w:tcPr>
            <w:tcW w:w="6983" w:type="dxa"/>
            <w:tcBorders>
              <w:right w:val="nil"/>
            </w:tcBorders>
          </w:tcPr>
          <w:p w14:paraId="01E6B446">
            <w:pPr>
              <w:spacing w:before="55" w:line="227" w:lineRule="auto"/>
              <w:ind w:left="2666"/>
              <w:rPr>
                <w:rFonts w:ascii="宋体" w:hAnsi="宋体" w:eastAsia="宋体" w:cs="宋体"/>
                <w:sz w:val="20"/>
                <w:szCs w:val="20"/>
              </w:rPr>
            </w:pPr>
            <w:r>
              <w:rPr>
                <w:rFonts w:ascii="宋体" w:hAnsi="宋体" w:eastAsia="宋体" w:cs="宋体"/>
                <w:spacing w:val="9"/>
                <w:sz w:val="20"/>
                <w:szCs w:val="20"/>
              </w:rPr>
              <w:t>嗅</w:t>
            </w:r>
            <w:r>
              <w:rPr>
                <w:rFonts w:ascii="宋体" w:hAnsi="宋体" w:eastAsia="宋体" w:cs="宋体"/>
                <w:spacing w:val="7"/>
                <w:sz w:val="20"/>
                <w:szCs w:val="20"/>
              </w:rPr>
              <w:t>觉对臭气的反应</w:t>
            </w:r>
          </w:p>
        </w:tc>
      </w:tr>
      <w:tr w14:paraId="24904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729" w:type="dxa"/>
            <w:tcBorders>
              <w:left w:val="nil"/>
            </w:tcBorders>
          </w:tcPr>
          <w:p w14:paraId="02950502">
            <w:pPr>
              <w:spacing w:before="68" w:line="195" w:lineRule="auto"/>
              <w:ind w:left="1335"/>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6983" w:type="dxa"/>
            <w:tcBorders>
              <w:right w:val="nil"/>
            </w:tcBorders>
          </w:tcPr>
          <w:p w14:paraId="29EDD850">
            <w:pPr>
              <w:spacing w:before="32" w:line="226" w:lineRule="auto"/>
              <w:ind w:left="2135"/>
              <w:rPr>
                <w:rFonts w:ascii="宋体" w:hAnsi="宋体" w:eastAsia="宋体" w:cs="宋体"/>
                <w:sz w:val="20"/>
                <w:szCs w:val="20"/>
              </w:rPr>
            </w:pPr>
            <w:r>
              <w:rPr>
                <w:rFonts w:ascii="宋体" w:hAnsi="宋体" w:eastAsia="宋体" w:cs="宋体"/>
                <w:spacing w:val="9"/>
                <w:sz w:val="20"/>
                <w:szCs w:val="20"/>
              </w:rPr>
              <w:t>未闻到任何气味，无任何反映</w:t>
            </w:r>
          </w:p>
        </w:tc>
      </w:tr>
      <w:tr w14:paraId="0C3DA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729" w:type="dxa"/>
            <w:tcBorders>
              <w:left w:val="nil"/>
            </w:tcBorders>
          </w:tcPr>
          <w:p w14:paraId="4D25C817">
            <w:pPr>
              <w:spacing w:before="69" w:line="195" w:lineRule="auto"/>
              <w:ind w:left="1315"/>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6983" w:type="dxa"/>
            <w:tcBorders>
              <w:right w:val="nil"/>
            </w:tcBorders>
          </w:tcPr>
          <w:p w14:paraId="3D79FF22">
            <w:pPr>
              <w:spacing w:before="33" w:line="224" w:lineRule="auto"/>
              <w:ind w:left="662"/>
              <w:rPr>
                <w:rFonts w:ascii="宋体" w:hAnsi="宋体" w:eastAsia="宋体" w:cs="宋体"/>
                <w:sz w:val="20"/>
                <w:szCs w:val="20"/>
              </w:rPr>
            </w:pPr>
            <w:r>
              <w:rPr>
                <w:rFonts w:ascii="宋体" w:hAnsi="宋体" w:eastAsia="宋体" w:cs="宋体"/>
                <w:spacing w:val="9"/>
                <w:sz w:val="20"/>
                <w:szCs w:val="20"/>
              </w:rPr>
              <w:t>勉强闻到有气味，易辨认臭气性质 (感觉阈值) ，感到无所</w:t>
            </w:r>
            <w:r>
              <w:rPr>
                <w:rFonts w:ascii="宋体" w:hAnsi="宋体" w:eastAsia="宋体" w:cs="宋体"/>
                <w:spacing w:val="7"/>
                <w:sz w:val="20"/>
                <w:szCs w:val="20"/>
              </w:rPr>
              <w:t>谓</w:t>
            </w:r>
          </w:p>
        </w:tc>
      </w:tr>
      <w:tr w14:paraId="791F9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729" w:type="dxa"/>
            <w:tcBorders>
              <w:left w:val="nil"/>
            </w:tcBorders>
          </w:tcPr>
          <w:p w14:paraId="3354962B">
            <w:pPr>
              <w:spacing w:before="68" w:line="195" w:lineRule="auto"/>
              <w:ind w:left="1319"/>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6983" w:type="dxa"/>
            <w:tcBorders>
              <w:right w:val="nil"/>
            </w:tcBorders>
          </w:tcPr>
          <w:p w14:paraId="4F11CE2E">
            <w:pPr>
              <w:spacing w:before="33" w:line="224" w:lineRule="auto"/>
              <w:ind w:left="1089"/>
              <w:rPr>
                <w:rFonts w:ascii="宋体" w:hAnsi="宋体" w:eastAsia="宋体" w:cs="宋体"/>
                <w:sz w:val="20"/>
                <w:szCs w:val="20"/>
              </w:rPr>
            </w:pPr>
            <w:r>
              <w:rPr>
                <w:rFonts w:ascii="宋体" w:hAnsi="宋体" w:eastAsia="宋体" w:cs="宋体"/>
                <w:spacing w:val="16"/>
                <w:sz w:val="20"/>
                <w:szCs w:val="20"/>
              </w:rPr>
              <w:t>能</w:t>
            </w:r>
            <w:r>
              <w:rPr>
                <w:rFonts w:ascii="宋体" w:hAnsi="宋体" w:eastAsia="宋体" w:cs="宋体"/>
                <w:spacing w:val="9"/>
                <w:sz w:val="20"/>
                <w:szCs w:val="20"/>
              </w:rPr>
              <w:t>闻</w:t>
            </w:r>
            <w:r>
              <w:rPr>
                <w:rFonts w:ascii="宋体" w:hAnsi="宋体" w:eastAsia="宋体" w:cs="宋体"/>
                <w:spacing w:val="8"/>
                <w:sz w:val="20"/>
                <w:szCs w:val="20"/>
              </w:rPr>
              <w:t>到有较弱的气味，能辨认气味性质 (识别阈值)</w:t>
            </w:r>
          </w:p>
        </w:tc>
      </w:tr>
      <w:tr w14:paraId="713D4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729" w:type="dxa"/>
            <w:tcBorders>
              <w:left w:val="nil"/>
            </w:tcBorders>
          </w:tcPr>
          <w:p w14:paraId="4CE5E7A2">
            <w:pPr>
              <w:spacing w:before="71" w:line="195" w:lineRule="auto"/>
              <w:ind w:left="131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6983" w:type="dxa"/>
            <w:tcBorders>
              <w:right w:val="nil"/>
            </w:tcBorders>
          </w:tcPr>
          <w:p w14:paraId="2AF417AE">
            <w:pPr>
              <w:spacing w:before="35" w:line="223" w:lineRule="auto"/>
              <w:ind w:left="1714"/>
              <w:rPr>
                <w:rFonts w:ascii="宋体" w:hAnsi="宋体" w:eastAsia="宋体" w:cs="宋体"/>
                <w:sz w:val="20"/>
                <w:szCs w:val="20"/>
              </w:rPr>
            </w:pPr>
            <w:r>
              <w:rPr>
                <w:rFonts w:ascii="宋体" w:hAnsi="宋体" w:eastAsia="宋体" w:cs="宋体"/>
                <w:spacing w:val="15"/>
                <w:sz w:val="20"/>
                <w:szCs w:val="20"/>
              </w:rPr>
              <w:t>很</w:t>
            </w:r>
            <w:r>
              <w:rPr>
                <w:rFonts w:ascii="宋体" w:hAnsi="宋体" w:eastAsia="宋体" w:cs="宋体"/>
                <w:spacing w:val="9"/>
                <w:sz w:val="20"/>
                <w:szCs w:val="20"/>
              </w:rPr>
              <w:t>容易闻到气味，有所不快，但不反感</w:t>
            </w:r>
          </w:p>
        </w:tc>
      </w:tr>
      <w:tr w14:paraId="6D6F8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729" w:type="dxa"/>
            <w:tcBorders>
              <w:left w:val="nil"/>
            </w:tcBorders>
          </w:tcPr>
          <w:p w14:paraId="5624965A">
            <w:pPr>
              <w:spacing w:before="75" w:line="192" w:lineRule="auto"/>
              <w:ind w:left="1321"/>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6983" w:type="dxa"/>
            <w:tcBorders>
              <w:right w:val="nil"/>
            </w:tcBorders>
          </w:tcPr>
          <w:p w14:paraId="54A8DE93">
            <w:pPr>
              <w:spacing w:before="36" w:line="222" w:lineRule="auto"/>
              <w:ind w:left="2027"/>
              <w:rPr>
                <w:rFonts w:ascii="宋体" w:hAnsi="宋体" w:eastAsia="宋体" w:cs="宋体"/>
                <w:sz w:val="20"/>
                <w:szCs w:val="20"/>
              </w:rPr>
            </w:pPr>
            <w:r>
              <w:rPr>
                <w:rFonts w:ascii="宋体" w:hAnsi="宋体" w:eastAsia="宋体" w:cs="宋体"/>
                <w:spacing w:val="11"/>
                <w:sz w:val="20"/>
                <w:szCs w:val="20"/>
              </w:rPr>
              <w:t>有</w:t>
            </w:r>
            <w:r>
              <w:rPr>
                <w:rFonts w:ascii="宋体" w:hAnsi="宋体" w:eastAsia="宋体" w:cs="宋体"/>
                <w:spacing w:val="9"/>
                <w:sz w:val="20"/>
                <w:szCs w:val="20"/>
              </w:rPr>
              <w:t>很强的气味，很反感，想离开</w:t>
            </w:r>
          </w:p>
        </w:tc>
      </w:tr>
      <w:tr w14:paraId="51808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2729" w:type="dxa"/>
            <w:tcBorders>
              <w:left w:val="nil"/>
            </w:tcBorders>
          </w:tcPr>
          <w:p w14:paraId="6B5EFEC9">
            <w:pPr>
              <w:spacing w:before="71" w:line="195" w:lineRule="auto"/>
              <w:ind w:left="1319"/>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6983" w:type="dxa"/>
            <w:tcBorders>
              <w:right w:val="nil"/>
            </w:tcBorders>
          </w:tcPr>
          <w:p w14:paraId="36616586">
            <w:pPr>
              <w:spacing w:before="35" w:line="228" w:lineRule="auto"/>
              <w:ind w:left="1816"/>
              <w:rPr>
                <w:rFonts w:ascii="宋体" w:hAnsi="宋体" w:eastAsia="宋体" w:cs="宋体"/>
                <w:sz w:val="20"/>
                <w:szCs w:val="20"/>
              </w:rPr>
            </w:pPr>
            <w:r>
              <w:rPr>
                <w:rFonts w:ascii="宋体" w:hAnsi="宋体" w:eastAsia="宋体" w:cs="宋体"/>
                <w:spacing w:val="13"/>
                <w:sz w:val="20"/>
                <w:szCs w:val="20"/>
              </w:rPr>
              <w:t>有</w:t>
            </w:r>
            <w:r>
              <w:rPr>
                <w:rFonts w:ascii="宋体" w:hAnsi="宋体" w:eastAsia="宋体" w:cs="宋体"/>
                <w:spacing w:val="9"/>
                <w:sz w:val="20"/>
                <w:szCs w:val="20"/>
              </w:rPr>
              <w:t>极强的气味，无法忍受，立即离开</w:t>
            </w:r>
          </w:p>
        </w:tc>
      </w:tr>
    </w:tbl>
    <w:p w14:paraId="4BABA310">
      <w:pPr>
        <w:spacing w:before="276" w:line="468" w:lineRule="exact"/>
        <w:ind w:left="1014"/>
        <w:rPr>
          <w:rFonts w:ascii="宋体" w:hAnsi="宋体" w:eastAsia="宋体" w:cs="宋体"/>
          <w:sz w:val="23"/>
          <w:szCs w:val="23"/>
        </w:rPr>
      </w:pPr>
      <w:r>
        <w:rPr>
          <w:rFonts w:ascii="宋体" w:hAnsi="宋体" w:eastAsia="宋体" w:cs="宋体"/>
          <w:spacing w:val="11"/>
          <w:position w:val="17"/>
          <w:sz w:val="23"/>
          <w:szCs w:val="23"/>
        </w:rPr>
        <w:t>恶</w:t>
      </w:r>
      <w:r>
        <w:rPr>
          <w:rFonts w:ascii="宋体" w:hAnsi="宋体" w:eastAsia="宋体" w:cs="宋体"/>
          <w:spacing w:val="9"/>
          <w:position w:val="17"/>
          <w:sz w:val="23"/>
          <w:szCs w:val="23"/>
        </w:rPr>
        <w:t>臭气体浓度对人体的影响大致可以分为四种情况：</w:t>
      </w:r>
    </w:p>
    <w:p w14:paraId="129B686B">
      <w:pPr>
        <w:spacing w:line="225" w:lineRule="auto"/>
        <w:ind w:left="1012"/>
        <w:rPr>
          <w:rFonts w:ascii="宋体" w:hAnsi="宋体" w:eastAsia="宋体" w:cs="宋体"/>
          <w:sz w:val="23"/>
          <w:szCs w:val="23"/>
        </w:rPr>
      </w:pPr>
      <w:r>
        <w:rPr>
          <w:rFonts w:ascii="宋体" w:hAnsi="宋体" w:eastAsia="宋体" w:cs="宋体"/>
          <w:spacing w:val="15"/>
          <w:sz w:val="23"/>
          <w:szCs w:val="23"/>
        </w:rPr>
        <w:t>①</w:t>
      </w:r>
      <w:r>
        <w:rPr>
          <w:rFonts w:ascii="宋体" w:hAnsi="宋体" w:eastAsia="宋体" w:cs="宋体"/>
          <w:spacing w:val="8"/>
          <w:sz w:val="23"/>
          <w:szCs w:val="23"/>
        </w:rPr>
        <w:t>不产生直接或间接的影响；</w:t>
      </w:r>
    </w:p>
    <w:p w14:paraId="6F018EE9">
      <w:pPr>
        <w:spacing w:before="185" w:line="375" w:lineRule="auto"/>
        <w:ind w:left="1011" w:right="849"/>
        <w:rPr>
          <w:rFonts w:ascii="宋体" w:hAnsi="宋体" w:eastAsia="宋体" w:cs="宋体"/>
          <w:sz w:val="23"/>
          <w:szCs w:val="23"/>
        </w:rPr>
      </w:pPr>
      <w:r>
        <w:rPr>
          <w:rFonts w:ascii="宋体" w:hAnsi="宋体" w:eastAsia="宋体" w:cs="宋体"/>
          <w:spacing w:val="8"/>
          <w:sz w:val="23"/>
          <w:szCs w:val="23"/>
        </w:rPr>
        <w:t>②恶臭气体的浓度已对植物产生危害，则将影响人的眼睛，使其视力下降</w:t>
      </w:r>
      <w:r>
        <w:rPr>
          <w:rFonts w:ascii="宋体" w:hAnsi="宋体" w:eastAsia="宋体" w:cs="宋体"/>
          <w:spacing w:val="5"/>
          <w:sz w:val="23"/>
          <w:szCs w:val="23"/>
        </w:rPr>
        <w:t>；</w:t>
      </w:r>
      <w:r>
        <w:rPr>
          <w:rFonts w:ascii="宋体" w:hAnsi="宋体" w:eastAsia="宋体" w:cs="宋体"/>
          <w:sz w:val="23"/>
          <w:szCs w:val="23"/>
        </w:rPr>
        <w:t xml:space="preserve"> </w:t>
      </w:r>
      <w:r>
        <w:rPr>
          <w:rFonts w:ascii="宋体" w:hAnsi="宋体" w:eastAsia="宋体" w:cs="宋体"/>
          <w:spacing w:val="20"/>
          <w:sz w:val="23"/>
          <w:szCs w:val="23"/>
        </w:rPr>
        <w:t>③</w:t>
      </w:r>
      <w:r>
        <w:rPr>
          <w:rFonts w:ascii="宋体" w:hAnsi="宋体" w:eastAsia="宋体" w:cs="宋体"/>
          <w:spacing w:val="15"/>
          <w:sz w:val="23"/>
          <w:szCs w:val="23"/>
        </w:rPr>
        <w:t>对</w:t>
      </w:r>
      <w:r>
        <w:rPr>
          <w:rFonts w:ascii="宋体" w:hAnsi="宋体" w:eastAsia="宋体" w:cs="宋体"/>
          <w:spacing w:val="10"/>
          <w:sz w:val="23"/>
          <w:szCs w:val="23"/>
        </w:rPr>
        <w:t>人的中枢神经产生障碍和病变，并引起慢性病及缩短生命。</w:t>
      </w:r>
      <w:r>
        <w:rPr>
          <w:rFonts w:ascii="宋体" w:hAnsi="宋体" w:eastAsia="宋体" w:cs="宋体"/>
          <w:sz w:val="23"/>
          <w:szCs w:val="23"/>
        </w:rPr>
        <w:t xml:space="preserve">          </w:t>
      </w:r>
      <w:r>
        <w:rPr>
          <w:rFonts w:ascii="宋体" w:hAnsi="宋体" w:eastAsia="宋体" w:cs="宋体"/>
          <w:spacing w:val="9"/>
          <w:sz w:val="23"/>
          <w:szCs w:val="23"/>
        </w:rPr>
        <w:t>④引发急性病，并有可能引起死亡</w:t>
      </w:r>
      <w:r>
        <w:rPr>
          <w:rFonts w:ascii="宋体" w:hAnsi="宋体" w:eastAsia="宋体" w:cs="宋体"/>
          <w:spacing w:val="7"/>
          <w:sz w:val="23"/>
          <w:szCs w:val="23"/>
        </w:rPr>
        <w:t>。</w:t>
      </w:r>
    </w:p>
    <w:p w14:paraId="29D469C5">
      <w:pPr>
        <w:spacing w:line="225" w:lineRule="auto"/>
        <w:ind w:left="1014"/>
        <w:rPr>
          <w:rFonts w:ascii="宋体" w:hAnsi="宋体" w:eastAsia="宋体" w:cs="宋体"/>
          <w:sz w:val="23"/>
          <w:szCs w:val="23"/>
        </w:rPr>
      </w:pPr>
      <w:r>
        <w:rPr>
          <w:rFonts w:ascii="宋体" w:hAnsi="宋体" w:eastAsia="宋体" w:cs="宋体"/>
          <w:spacing w:val="7"/>
          <w:sz w:val="23"/>
          <w:szCs w:val="23"/>
        </w:rPr>
        <w:t>恶臭气体污染对人体的影响一般仅停留在① 、②的水平浓度上。当然，如果</w:t>
      </w:r>
      <w:r>
        <w:rPr>
          <w:rFonts w:ascii="宋体" w:hAnsi="宋体" w:eastAsia="宋体" w:cs="宋体"/>
          <w:spacing w:val="3"/>
          <w:sz w:val="23"/>
          <w:szCs w:val="23"/>
        </w:rPr>
        <w:t>发</w:t>
      </w:r>
    </w:p>
    <w:p w14:paraId="54EA7E69">
      <w:pPr>
        <w:spacing w:before="184" w:line="375" w:lineRule="auto"/>
        <w:ind w:left="534" w:right="1547"/>
        <w:rPr>
          <w:rFonts w:ascii="宋体" w:hAnsi="宋体" w:eastAsia="宋体" w:cs="宋体"/>
          <w:sz w:val="23"/>
          <w:szCs w:val="23"/>
        </w:rPr>
      </w:pPr>
      <w:r>
        <w:rPr>
          <w:rFonts w:ascii="宋体" w:hAnsi="宋体" w:eastAsia="宋体" w:cs="宋体"/>
          <w:spacing w:val="16"/>
          <w:sz w:val="23"/>
          <w:szCs w:val="23"/>
        </w:rPr>
        <w:t>生</w:t>
      </w:r>
      <w:r>
        <w:rPr>
          <w:rFonts w:ascii="宋体" w:hAnsi="宋体" w:eastAsia="宋体" w:cs="宋体"/>
          <w:spacing w:val="12"/>
          <w:sz w:val="23"/>
          <w:szCs w:val="23"/>
        </w:rPr>
        <w:t>大</w:t>
      </w:r>
      <w:r>
        <w:rPr>
          <w:rFonts w:ascii="宋体" w:hAnsi="宋体" w:eastAsia="宋体" w:cs="宋体"/>
          <w:spacing w:val="8"/>
          <w:sz w:val="23"/>
          <w:szCs w:val="23"/>
        </w:rPr>
        <w:t>规模恶臭污染事件，会使恶臭气体污染的浓度达到③、④的水平上。</w:t>
      </w:r>
      <w:r>
        <w:rPr>
          <w:rFonts w:ascii="宋体" w:hAnsi="宋体" w:eastAsia="宋体" w:cs="宋体"/>
          <w:sz w:val="23"/>
          <w:szCs w:val="23"/>
        </w:rPr>
        <w:t xml:space="preserve"> </w:t>
      </w:r>
      <w:r>
        <w:rPr>
          <w:rFonts w:ascii="宋体" w:hAnsi="宋体" w:eastAsia="宋体" w:cs="宋体"/>
          <w:spacing w:val="15"/>
          <w:sz w:val="23"/>
          <w:szCs w:val="23"/>
        </w:rPr>
        <w:t>恶</w:t>
      </w:r>
      <w:r>
        <w:rPr>
          <w:rFonts w:ascii="宋体" w:hAnsi="宋体" w:eastAsia="宋体" w:cs="宋体"/>
          <w:spacing w:val="8"/>
          <w:sz w:val="23"/>
          <w:szCs w:val="23"/>
        </w:rPr>
        <w:t>臭污染影响一般有两个方面：</w:t>
      </w:r>
    </w:p>
    <w:p w14:paraId="430065CD">
      <w:pPr>
        <w:spacing w:before="2" w:line="375" w:lineRule="auto"/>
        <w:ind w:left="545" w:right="561" w:firstLine="466"/>
        <w:rPr>
          <w:rFonts w:ascii="宋体" w:hAnsi="宋体" w:eastAsia="宋体" w:cs="宋体"/>
          <w:sz w:val="23"/>
          <w:szCs w:val="23"/>
        </w:rPr>
      </w:pPr>
      <w:r>
        <w:rPr>
          <w:rFonts w:ascii="宋体" w:hAnsi="宋体" w:eastAsia="宋体" w:cs="宋体"/>
          <w:spacing w:val="18"/>
          <w:sz w:val="23"/>
          <w:szCs w:val="23"/>
        </w:rPr>
        <w:t>①</w:t>
      </w:r>
      <w:r>
        <w:rPr>
          <w:rFonts w:ascii="宋体" w:hAnsi="宋体" w:eastAsia="宋体" w:cs="宋体"/>
          <w:spacing w:val="12"/>
          <w:sz w:val="23"/>
          <w:szCs w:val="23"/>
        </w:rPr>
        <w:t>使</w:t>
      </w:r>
      <w:r>
        <w:rPr>
          <w:rFonts w:ascii="宋体" w:hAnsi="宋体" w:eastAsia="宋体" w:cs="宋体"/>
          <w:spacing w:val="9"/>
          <w:sz w:val="23"/>
          <w:szCs w:val="23"/>
        </w:rPr>
        <w:t>人感到不快、恶心、头疼、食欲不振、营养不良。喝水减少、妨碍睡眠、</w:t>
      </w:r>
      <w:r>
        <w:rPr>
          <w:rFonts w:ascii="宋体" w:hAnsi="宋体" w:eastAsia="宋体" w:cs="宋体"/>
          <w:sz w:val="23"/>
          <w:szCs w:val="23"/>
        </w:rPr>
        <w:t xml:space="preserve"> </w:t>
      </w:r>
      <w:r>
        <w:rPr>
          <w:rFonts w:ascii="宋体" w:hAnsi="宋体" w:eastAsia="宋体" w:cs="宋体"/>
          <w:spacing w:val="16"/>
          <w:sz w:val="23"/>
          <w:szCs w:val="23"/>
        </w:rPr>
        <w:t>嗅</w:t>
      </w:r>
      <w:r>
        <w:rPr>
          <w:rFonts w:ascii="宋体" w:hAnsi="宋体" w:eastAsia="宋体" w:cs="宋体"/>
          <w:spacing w:val="10"/>
          <w:sz w:val="23"/>
          <w:szCs w:val="23"/>
        </w:rPr>
        <w:t>觉</w:t>
      </w:r>
      <w:r>
        <w:rPr>
          <w:rFonts w:ascii="宋体" w:hAnsi="宋体" w:eastAsia="宋体" w:cs="宋体"/>
          <w:spacing w:val="8"/>
          <w:sz w:val="23"/>
          <w:szCs w:val="23"/>
        </w:rPr>
        <w:t>失调、情绪不振，爱发脾气以及诱发哮喘。</w:t>
      </w:r>
    </w:p>
    <w:p w14:paraId="014E3348">
      <w:pPr>
        <w:spacing w:before="1" w:line="373" w:lineRule="auto"/>
        <w:ind w:left="537" w:right="521" w:firstLine="474"/>
        <w:rPr>
          <w:rFonts w:ascii="宋体" w:hAnsi="宋体" w:eastAsia="宋体" w:cs="宋体"/>
          <w:sz w:val="23"/>
          <w:szCs w:val="23"/>
        </w:rPr>
      </w:pPr>
      <w:r>
        <w:rPr>
          <w:rFonts w:ascii="宋体" w:hAnsi="宋体" w:eastAsia="宋体" w:cs="宋体"/>
          <w:spacing w:val="20"/>
          <w:sz w:val="23"/>
          <w:szCs w:val="23"/>
        </w:rPr>
        <w:t>②</w:t>
      </w:r>
      <w:r>
        <w:rPr>
          <w:rFonts w:ascii="宋体" w:hAnsi="宋体" w:eastAsia="宋体" w:cs="宋体"/>
          <w:spacing w:val="18"/>
          <w:sz w:val="23"/>
          <w:szCs w:val="23"/>
        </w:rPr>
        <w:t>社</w:t>
      </w:r>
      <w:r>
        <w:rPr>
          <w:rFonts w:ascii="宋体" w:hAnsi="宋体" w:eastAsia="宋体" w:cs="宋体"/>
          <w:spacing w:val="10"/>
          <w:sz w:val="23"/>
          <w:szCs w:val="23"/>
        </w:rPr>
        <w:t>会经济受到损害，如由于恶臭污染使工作人员工作效率降低，受到恶臭污</w:t>
      </w:r>
      <w:r>
        <w:rPr>
          <w:rFonts w:ascii="宋体" w:hAnsi="宋体" w:eastAsia="宋体" w:cs="宋体"/>
          <w:sz w:val="23"/>
          <w:szCs w:val="23"/>
        </w:rPr>
        <w:t xml:space="preserve"> </w:t>
      </w:r>
      <w:r>
        <w:rPr>
          <w:rFonts w:ascii="宋体" w:hAnsi="宋体" w:eastAsia="宋体" w:cs="宋体"/>
          <w:spacing w:val="18"/>
          <w:sz w:val="23"/>
          <w:szCs w:val="23"/>
        </w:rPr>
        <w:t>染</w:t>
      </w:r>
      <w:r>
        <w:rPr>
          <w:rFonts w:ascii="宋体" w:hAnsi="宋体" w:eastAsia="宋体" w:cs="宋体"/>
          <w:spacing w:val="12"/>
          <w:sz w:val="23"/>
          <w:szCs w:val="23"/>
        </w:rPr>
        <w:t>的</w:t>
      </w:r>
      <w:r>
        <w:rPr>
          <w:rFonts w:ascii="宋体" w:hAnsi="宋体" w:eastAsia="宋体" w:cs="宋体"/>
          <w:spacing w:val="9"/>
          <w:sz w:val="23"/>
          <w:szCs w:val="23"/>
        </w:rPr>
        <w:t>地区经济建设商业销售额、旅游事业将受到影响，从而使经济效益受到影响。</w:t>
      </w:r>
    </w:p>
    <w:p w14:paraId="30120169">
      <w:pPr>
        <w:spacing w:before="1" w:line="375" w:lineRule="auto"/>
        <w:ind w:left="532" w:right="517" w:firstLine="482"/>
        <w:rPr>
          <w:rFonts w:ascii="宋体" w:hAnsi="宋体" w:eastAsia="宋体" w:cs="宋体"/>
          <w:sz w:val="23"/>
          <w:szCs w:val="23"/>
        </w:rPr>
      </w:pPr>
      <w:r>
        <w:rPr>
          <w:rFonts w:ascii="宋体" w:hAnsi="宋体" w:eastAsia="宋体" w:cs="宋体"/>
          <w:spacing w:val="6"/>
          <w:sz w:val="23"/>
          <w:szCs w:val="23"/>
        </w:rPr>
        <w:t>单项恶臭气体对人体影响，如硫化氢 (</w:t>
      </w:r>
      <w:r>
        <w:rPr>
          <w:rFonts w:ascii="Times New Roman" w:hAnsi="Times New Roman" w:eastAsia="Times New Roman" w:cs="Times New Roman"/>
          <w:sz w:val="23"/>
          <w:szCs w:val="23"/>
        </w:rPr>
        <w:t>H</w:t>
      </w:r>
      <w:r>
        <w:rPr>
          <w:rFonts w:ascii="Times New Roman" w:hAnsi="Times New Roman" w:eastAsia="Times New Roman" w:cs="Times New Roman"/>
          <w:spacing w:val="6"/>
          <w:position w:val="-1"/>
          <w:sz w:val="15"/>
          <w:szCs w:val="15"/>
        </w:rPr>
        <w:t xml:space="preserve">2 </w:t>
      </w:r>
      <w:r>
        <w:rPr>
          <w:rFonts w:ascii="Times New Roman" w:hAnsi="Times New Roman" w:eastAsia="Times New Roman" w:cs="Times New Roman"/>
          <w:sz w:val="23"/>
          <w:szCs w:val="23"/>
        </w:rPr>
        <w:t>S</w:t>
      </w:r>
      <w:r>
        <w:rPr>
          <w:rFonts w:ascii="宋体" w:hAnsi="宋体" w:eastAsia="宋体" w:cs="宋体"/>
          <w:spacing w:val="6"/>
          <w:sz w:val="23"/>
          <w:szCs w:val="23"/>
        </w:rPr>
        <w:t xml:space="preserve">) 气体浓度为 </w:t>
      </w:r>
      <w:r>
        <w:rPr>
          <w:rFonts w:ascii="Times New Roman" w:hAnsi="Times New Roman" w:eastAsia="Times New Roman" w:cs="Times New Roman"/>
          <w:spacing w:val="6"/>
          <w:sz w:val="23"/>
          <w:szCs w:val="23"/>
        </w:rPr>
        <w:t>0.007</w:t>
      </w:r>
      <w:r>
        <w:rPr>
          <w:rFonts w:ascii="Times New Roman" w:hAnsi="Times New Roman" w:eastAsia="Times New Roman" w:cs="Times New Roman"/>
          <w:sz w:val="23"/>
          <w:szCs w:val="23"/>
        </w:rPr>
        <w:t>ppm</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时，影响</w:t>
      </w:r>
      <w:r>
        <w:rPr>
          <w:rFonts w:ascii="宋体" w:hAnsi="宋体" w:eastAsia="宋体" w:cs="宋体"/>
          <w:spacing w:val="1"/>
          <w:sz w:val="23"/>
          <w:szCs w:val="23"/>
        </w:rPr>
        <w:t>人</w:t>
      </w:r>
      <w:r>
        <w:rPr>
          <w:rFonts w:ascii="宋体" w:hAnsi="宋体" w:eastAsia="宋体" w:cs="宋体"/>
          <w:sz w:val="23"/>
          <w:szCs w:val="23"/>
        </w:rPr>
        <w:t xml:space="preserve"> </w:t>
      </w:r>
      <w:r>
        <w:rPr>
          <w:rFonts w:ascii="宋体" w:hAnsi="宋体" w:eastAsia="宋体" w:cs="宋体"/>
          <w:spacing w:val="7"/>
          <w:sz w:val="23"/>
          <w:szCs w:val="23"/>
        </w:rPr>
        <w:t xml:space="preserve">眼睛对光的反射。硫化氢气体浓度为 </w:t>
      </w:r>
      <w:r>
        <w:rPr>
          <w:rFonts w:ascii="Times New Roman" w:hAnsi="Times New Roman" w:eastAsia="Times New Roman" w:cs="Times New Roman"/>
          <w:spacing w:val="7"/>
          <w:sz w:val="23"/>
          <w:szCs w:val="23"/>
        </w:rPr>
        <w:t>10</w:t>
      </w:r>
      <w:r>
        <w:rPr>
          <w:rFonts w:ascii="Times New Roman" w:hAnsi="Times New Roman" w:eastAsia="Times New Roman" w:cs="Times New Roman"/>
          <w:sz w:val="23"/>
          <w:szCs w:val="23"/>
        </w:rPr>
        <w:t>ppm</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是刺激人眼睛的最小浓度。又如氨气</w:t>
      </w:r>
      <w:r>
        <w:rPr>
          <w:rFonts w:ascii="宋体" w:hAnsi="宋体" w:eastAsia="宋体" w:cs="宋体"/>
          <w:spacing w:val="4"/>
          <w:sz w:val="23"/>
          <w:szCs w:val="23"/>
        </w:rPr>
        <w:t>浓</w:t>
      </w:r>
      <w:r>
        <w:rPr>
          <w:rFonts w:ascii="宋体" w:hAnsi="宋体" w:eastAsia="宋体" w:cs="宋体"/>
          <w:sz w:val="23"/>
          <w:szCs w:val="23"/>
        </w:rPr>
        <w:t xml:space="preserve"> </w:t>
      </w:r>
      <w:r>
        <w:rPr>
          <w:rFonts w:ascii="宋体" w:hAnsi="宋体" w:eastAsia="宋体" w:cs="宋体"/>
          <w:spacing w:val="6"/>
          <w:sz w:val="23"/>
          <w:szCs w:val="23"/>
        </w:rPr>
        <w:t xml:space="preserve">度为 </w:t>
      </w:r>
      <w:r>
        <w:rPr>
          <w:rFonts w:ascii="Times New Roman" w:hAnsi="Times New Roman" w:eastAsia="Times New Roman" w:cs="Times New Roman"/>
          <w:spacing w:val="6"/>
          <w:sz w:val="23"/>
          <w:szCs w:val="23"/>
        </w:rPr>
        <w:t>17</w:t>
      </w:r>
      <w:r>
        <w:rPr>
          <w:rFonts w:ascii="Times New Roman" w:hAnsi="Times New Roman" w:eastAsia="Times New Roman" w:cs="Times New Roman"/>
          <w:sz w:val="23"/>
          <w:szCs w:val="23"/>
        </w:rPr>
        <w:t>ppm</w:t>
      </w:r>
      <w:r>
        <w:rPr>
          <w:rFonts w:ascii="Times New Roman" w:hAnsi="Times New Roman" w:eastAsia="Times New Roman" w:cs="Times New Roman"/>
          <w:spacing w:val="6"/>
          <w:sz w:val="23"/>
          <w:szCs w:val="23"/>
        </w:rPr>
        <w:t xml:space="preserve"> </w:t>
      </w:r>
      <w:r>
        <w:rPr>
          <w:rFonts w:ascii="宋体" w:hAnsi="宋体" w:eastAsia="宋体" w:cs="宋体"/>
          <w:spacing w:val="4"/>
          <w:sz w:val="23"/>
          <w:szCs w:val="23"/>
        </w:rPr>
        <w:t>时</w:t>
      </w:r>
      <w:r>
        <w:rPr>
          <w:rFonts w:ascii="宋体" w:hAnsi="宋体" w:eastAsia="宋体" w:cs="宋体"/>
          <w:spacing w:val="3"/>
          <w:sz w:val="23"/>
          <w:szCs w:val="23"/>
        </w:rPr>
        <w:t xml:space="preserve">，人在此环境中暴露 </w:t>
      </w:r>
      <w:r>
        <w:rPr>
          <w:rFonts w:ascii="Times New Roman" w:hAnsi="Times New Roman" w:eastAsia="Times New Roman" w:cs="Times New Roman"/>
          <w:spacing w:val="3"/>
          <w:sz w:val="23"/>
          <w:szCs w:val="23"/>
        </w:rPr>
        <w:t xml:space="preserve">7-8 </w:t>
      </w:r>
      <w:r>
        <w:rPr>
          <w:rFonts w:ascii="宋体" w:hAnsi="宋体" w:eastAsia="宋体" w:cs="宋体"/>
          <w:spacing w:val="3"/>
          <w:sz w:val="23"/>
          <w:szCs w:val="23"/>
        </w:rPr>
        <w:t xml:space="preserve">小时，则尿中的 </w:t>
      </w:r>
      <w:r>
        <w:rPr>
          <w:rFonts w:ascii="Times New Roman" w:hAnsi="Times New Roman" w:eastAsia="Times New Roman" w:cs="Times New Roman"/>
          <w:sz w:val="23"/>
          <w:szCs w:val="23"/>
        </w:rPr>
        <w:t>NH</w:t>
      </w:r>
      <w:r>
        <w:rPr>
          <w:rFonts w:ascii="Times New Roman" w:hAnsi="Times New Roman" w:eastAsia="Times New Roman" w:cs="Times New Roman"/>
          <w:spacing w:val="3"/>
          <w:position w:val="-1"/>
          <w:sz w:val="15"/>
          <w:szCs w:val="15"/>
        </w:rPr>
        <w:t xml:space="preserve">3 </w:t>
      </w:r>
      <w:r>
        <w:rPr>
          <w:rFonts w:ascii="宋体" w:hAnsi="宋体" w:eastAsia="宋体" w:cs="宋体"/>
          <w:spacing w:val="3"/>
          <w:sz w:val="23"/>
          <w:szCs w:val="23"/>
        </w:rPr>
        <w:t>量增加，同时氧的消耗</w:t>
      </w:r>
      <w:r>
        <w:rPr>
          <w:rFonts w:ascii="宋体" w:hAnsi="宋体" w:eastAsia="宋体" w:cs="宋体"/>
          <w:sz w:val="23"/>
          <w:szCs w:val="23"/>
        </w:rPr>
        <w:t xml:space="preserve"> </w:t>
      </w:r>
      <w:r>
        <w:rPr>
          <w:rFonts w:ascii="宋体" w:hAnsi="宋体" w:eastAsia="宋体" w:cs="宋体"/>
          <w:spacing w:val="11"/>
          <w:sz w:val="23"/>
          <w:szCs w:val="23"/>
        </w:rPr>
        <w:t>量</w:t>
      </w:r>
      <w:r>
        <w:rPr>
          <w:rFonts w:ascii="宋体" w:hAnsi="宋体" w:eastAsia="宋体" w:cs="宋体"/>
          <w:spacing w:val="8"/>
          <w:sz w:val="23"/>
          <w:szCs w:val="23"/>
        </w:rPr>
        <w:t>降低，呼吸频率下降。</w:t>
      </w:r>
    </w:p>
    <w:p w14:paraId="3DCCF216">
      <w:pPr>
        <w:spacing w:before="2" w:line="374" w:lineRule="auto"/>
        <w:ind w:left="534" w:right="548" w:firstLine="481"/>
        <w:rPr>
          <w:rFonts w:ascii="宋体" w:hAnsi="宋体" w:eastAsia="宋体" w:cs="宋体"/>
          <w:sz w:val="23"/>
          <w:szCs w:val="23"/>
        </w:rPr>
      </w:pPr>
      <w:r>
        <w:rPr>
          <w:rFonts w:ascii="宋体" w:hAnsi="宋体" w:eastAsia="宋体" w:cs="宋体"/>
          <w:spacing w:val="18"/>
          <w:sz w:val="23"/>
          <w:szCs w:val="23"/>
        </w:rPr>
        <w:t>为了</w:t>
      </w:r>
      <w:r>
        <w:rPr>
          <w:rFonts w:ascii="宋体" w:hAnsi="宋体" w:eastAsia="宋体" w:cs="宋体"/>
          <w:spacing w:val="12"/>
          <w:sz w:val="23"/>
          <w:szCs w:val="23"/>
        </w:rPr>
        <w:t>减</w:t>
      </w:r>
      <w:r>
        <w:rPr>
          <w:rFonts w:ascii="宋体" w:hAnsi="宋体" w:eastAsia="宋体" w:cs="宋体"/>
          <w:spacing w:val="9"/>
          <w:sz w:val="23"/>
          <w:szCs w:val="23"/>
        </w:rPr>
        <w:t>轻恶臭带来的影响，评价要求建设单位采取科学设计日粮、提高饲料利</w:t>
      </w:r>
      <w:r>
        <w:rPr>
          <w:rFonts w:ascii="宋体" w:hAnsi="宋体" w:eastAsia="宋体" w:cs="宋体"/>
          <w:sz w:val="23"/>
          <w:szCs w:val="23"/>
        </w:rPr>
        <w:t xml:space="preserve"> </w:t>
      </w:r>
      <w:r>
        <w:rPr>
          <w:rFonts w:ascii="宋体" w:hAnsi="宋体" w:eastAsia="宋体" w:cs="宋体"/>
          <w:spacing w:val="18"/>
          <w:sz w:val="23"/>
          <w:szCs w:val="23"/>
        </w:rPr>
        <w:t>用率</w:t>
      </w:r>
      <w:r>
        <w:rPr>
          <w:rFonts w:ascii="宋体" w:hAnsi="宋体" w:eastAsia="宋体" w:cs="宋体"/>
          <w:spacing w:val="16"/>
          <w:sz w:val="23"/>
          <w:szCs w:val="23"/>
        </w:rPr>
        <w:t>、</w:t>
      </w:r>
      <w:r>
        <w:rPr>
          <w:rFonts w:ascii="宋体" w:hAnsi="宋体" w:eastAsia="宋体" w:cs="宋体"/>
          <w:spacing w:val="9"/>
          <w:sz w:val="23"/>
          <w:szCs w:val="23"/>
        </w:rPr>
        <w:t>猪舍加强通风等措施，并通过设置大气环境防护距离及卫生防护距离加以控</w:t>
      </w:r>
      <w:r>
        <w:rPr>
          <w:rFonts w:ascii="宋体" w:hAnsi="宋体" w:eastAsia="宋体" w:cs="宋体"/>
          <w:sz w:val="23"/>
          <w:szCs w:val="23"/>
        </w:rPr>
        <w:t xml:space="preserve"> </w:t>
      </w:r>
      <w:r>
        <w:rPr>
          <w:rFonts w:ascii="宋体" w:hAnsi="宋体" w:eastAsia="宋体" w:cs="宋体"/>
          <w:spacing w:val="-1"/>
          <w:sz w:val="23"/>
          <w:szCs w:val="23"/>
        </w:rPr>
        <w:t>制</w:t>
      </w:r>
      <w:r>
        <w:rPr>
          <w:rFonts w:ascii="宋体" w:hAnsi="宋体" w:eastAsia="宋体" w:cs="宋体"/>
          <w:sz w:val="23"/>
          <w:szCs w:val="23"/>
        </w:rPr>
        <w:t>。</w:t>
      </w:r>
    </w:p>
    <w:p w14:paraId="7A700C45">
      <w:pPr>
        <w:spacing w:line="228" w:lineRule="auto"/>
        <w:ind w:left="1024"/>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2</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食堂废气</w:t>
      </w:r>
    </w:p>
    <w:p w14:paraId="3793A628">
      <w:pPr>
        <w:spacing w:before="184" w:line="465" w:lineRule="exact"/>
        <w:ind w:left="1013"/>
        <w:rPr>
          <w:rFonts w:ascii="宋体" w:hAnsi="宋体" w:eastAsia="宋体" w:cs="宋体"/>
          <w:sz w:val="23"/>
          <w:szCs w:val="23"/>
        </w:rPr>
      </w:pPr>
      <w:r>
        <w:rPr>
          <w:rFonts w:ascii="宋体" w:hAnsi="宋体" w:eastAsia="宋体" w:cs="宋体"/>
          <w:spacing w:val="18"/>
          <w:position w:val="17"/>
          <w:sz w:val="23"/>
          <w:szCs w:val="23"/>
        </w:rPr>
        <w:t>食堂</w:t>
      </w:r>
      <w:r>
        <w:rPr>
          <w:rFonts w:ascii="宋体" w:hAnsi="宋体" w:eastAsia="宋体" w:cs="宋体"/>
          <w:spacing w:val="15"/>
          <w:position w:val="17"/>
          <w:sz w:val="23"/>
          <w:szCs w:val="23"/>
        </w:rPr>
        <w:t>废</w:t>
      </w:r>
      <w:r>
        <w:rPr>
          <w:rFonts w:ascii="宋体" w:hAnsi="宋体" w:eastAsia="宋体" w:cs="宋体"/>
          <w:spacing w:val="9"/>
          <w:position w:val="17"/>
          <w:sz w:val="23"/>
          <w:szCs w:val="23"/>
        </w:rPr>
        <w:t>气主要为餐饮油烟和燃料燃烧废气。项目就餐人数较少，产生的餐饮油</w:t>
      </w:r>
    </w:p>
    <w:p w14:paraId="365A265F">
      <w:pPr>
        <w:spacing w:before="1" w:line="228" w:lineRule="auto"/>
        <w:ind w:left="534"/>
        <w:rPr>
          <w:rFonts w:ascii="宋体" w:hAnsi="宋体" w:eastAsia="宋体" w:cs="宋体"/>
          <w:sz w:val="23"/>
          <w:szCs w:val="23"/>
        </w:rPr>
      </w:pPr>
      <w:r>
        <w:rPr>
          <w:rFonts w:ascii="宋体" w:hAnsi="宋体" w:eastAsia="宋体" w:cs="宋体"/>
          <w:spacing w:val="18"/>
          <w:sz w:val="23"/>
          <w:szCs w:val="23"/>
        </w:rPr>
        <w:t>烟量</w:t>
      </w:r>
      <w:r>
        <w:rPr>
          <w:rFonts w:ascii="宋体" w:hAnsi="宋体" w:eastAsia="宋体" w:cs="宋体"/>
          <w:spacing w:val="14"/>
          <w:sz w:val="23"/>
          <w:szCs w:val="23"/>
        </w:rPr>
        <w:t>较</w:t>
      </w:r>
      <w:r>
        <w:rPr>
          <w:rFonts w:ascii="宋体" w:hAnsi="宋体" w:eastAsia="宋体" w:cs="宋体"/>
          <w:spacing w:val="9"/>
          <w:sz w:val="23"/>
          <w:szCs w:val="23"/>
        </w:rPr>
        <w:t>少，通过小型抽油烟机处理后引致屋顶排放，经处理后的油烟排放量为</w:t>
      </w:r>
    </w:p>
    <w:p w14:paraId="3B7EDC2F">
      <w:pPr>
        <w:sectPr>
          <w:headerReference r:id="rId187" w:type="default"/>
          <w:footerReference r:id="rId188" w:type="default"/>
          <w:pgSz w:w="11907" w:h="16840"/>
          <w:pgMar w:top="400" w:right="1057" w:bottom="1485" w:left="1136" w:header="0" w:footer="1298" w:gutter="0"/>
          <w:cols w:space="720" w:num="1"/>
        </w:sectPr>
      </w:pPr>
    </w:p>
    <w:p w14:paraId="0CD1D078">
      <w:pPr>
        <w:spacing w:before="1" w:line="373" w:lineRule="auto"/>
        <w:ind w:left="118" w:right="107" w:hanging="1"/>
        <w:rPr>
          <w:rFonts w:ascii="宋体" w:hAnsi="宋体" w:eastAsia="宋体" w:cs="宋体"/>
          <w:sz w:val="23"/>
          <w:szCs w:val="23"/>
        </w:rPr>
      </w:pPr>
      <w:r>
        <w:rPr>
          <w:rFonts w:ascii="Times New Roman" w:hAnsi="Times New Roman" w:eastAsia="Times New Roman" w:cs="Times New Roman"/>
          <w:spacing w:val="2"/>
          <w:sz w:val="23"/>
          <w:szCs w:val="23"/>
        </w:rPr>
        <w:t>0.69</w:t>
      </w:r>
      <w:r>
        <w:rPr>
          <w:rFonts w:ascii="Times New Roman" w:hAnsi="Times New Roman" w:eastAsia="Times New Roman" w:cs="Times New Roman"/>
          <w:sz w:val="23"/>
          <w:szCs w:val="23"/>
        </w:rPr>
        <w:t>kg</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w:t>
      </w:r>
      <w:r>
        <w:rPr>
          <w:rFonts w:ascii="Times New Roman" w:hAnsi="Times New Roman" w:eastAsia="Times New Roman" w:cs="Times New Roman"/>
          <w:spacing w:val="2"/>
          <w:sz w:val="23"/>
          <w:szCs w:val="23"/>
        </w:rPr>
        <w:t>0. 159</w:t>
      </w:r>
      <w:r>
        <w:rPr>
          <w:rFonts w:ascii="Times New Roman" w:hAnsi="Times New Roman" w:eastAsia="Times New Roman" w:cs="Times New Roman"/>
          <w:sz w:val="23"/>
          <w:szCs w:val="23"/>
        </w:rPr>
        <w:t>mg</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7"/>
          <w:sz w:val="15"/>
          <w:szCs w:val="15"/>
        </w:rPr>
        <w:t xml:space="preserve">3 </w:t>
      </w:r>
      <w:r>
        <w:rPr>
          <w:rFonts w:ascii="宋体" w:hAnsi="宋体" w:eastAsia="宋体" w:cs="宋体"/>
          <w:spacing w:val="2"/>
          <w:sz w:val="23"/>
          <w:szCs w:val="23"/>
        </w:rPr>
        <w:t>。满足《饮食业油烟排放标准》 (</w:t>
      </w:r>
      <w:r>
        <w:rPr>
          <w:rFonts w:ascii="Times New Roman" w:hAnsi="Times New Roman" w:eastAsia="Times New Roman" w:cs="Times New Roman"/>
          <w:sz w:val="23"/>
          <w:szCs w:val="23"/>
        </w:rPr>
        <w:t>GB</w:t>
      </w:r>
      <w:r>
        <w:rPr>
          <w:rFonts w:ascii="Times New Roman" w:hAnsi="Times New Roman" w:eastAsia="Times New Roman" w:cs="Times New Roman"/>
          <w:spacing w:val="2"/>
          <w:sz w:val="23"/>
          <w:szCs w:val="23"/>
        </w:rPr>
        <w:t>18483</w:t>
      </w:r>
      <w:r>
        <w:rPr>
          <w:rFonts w:ascii="Times New Roman" w:hAnsi="Times New Roman" w:eastAsia="Times New Roman" w:cs="Times New Roman"/>
          <w:spacing w:val="1"/>
          <w:sz w:val="23"/>
          <w:szCs w:val="23"/>
        </w:rPr>
        <w:t>-2001</w:t>
      </w:r>
      <w:r>
        <w:rPr>
          <w:rFonts w:ascii="宋体" w:hAnsi="宋体" w:eastAsia="宋体" w:cs="宋体"/>
          <w:spacing w:val="1"/>
          <w:sz w:val="23"/>
          <w:szCs w:val="23"/>
        </w:rPr>
        <w:t>) 中相关排放</w:t>
      </w:r>
      <w:r>
        <w:rPr>
          <w:rFonts w:ascii="宋体" w:hAnsi="宋体" w:eastAsia="宋体" w:cs="宋体"/>
          <w:sz w:val="23"/>
          <w:szCs w:val="23"/>
        </w:rPr>
        <w:t xml:space="preserve"> </w:t>
      </w:r>
      <w:r>
        <w:rPr>
          <w:rFonts w:ascii="宋体" w:hAnsi="宋体" w:eastAsia="宋体" w:cs="宋体"/>
          <w:spacing w:val="10"/>
          <w:sz w:val="23"/>
          <w:szCs w:val="23"/>
        </w:rPr>
        <w:t>要</w:t>
      </w:r>
      <w:r>
        <w:rPr>
          <w:rFonts w:ascii="宋体" w:hAnsi="宋体" w:eastAsia="宋体" w:cs="宋体"/>
          <w:spacing w:val="8"/>
          <w:sz w:val="23"/>
          <w:szCs w:val="23"/>
        </w:rPr>
        <w:t>求 (</w:t>
      </w:r>
      <w:r>
        <w:rPr>
          <w:rFonts w:ascii="Times New Roman" w:hAnsi="Times New Roman" w:eastAsia="Times New Roman" w:cs="Times New Roman"/>
          <w:spacing w:val="8"/>
          <w:sz w:val="23"/>
          <w:szCs w:val="23"/>
        </w:rPr>
        <w:t>2</w:t>
      </w:r>
      <w:r>
        <w:rPr>
          <w:rFonts w:ascii="Times New Roman" w:hAnsi="Times New Roman" w:eastAsia="Times New Roman" w:cs="Times New Roman"/>
          <w:sz w:val="23"/>
          <w:szCs w:val="23"/>
        </w:rPr>
        <w:t>mg</w:t>
      </w:r>
      <w:r>
        <w:rPr>
          <w:rFonts w:ascii="Times New Roman" w:hAnsi="Times New Roman" w:eastAsia="Times New Roman" w:cs="Times New Roman"/>
          <w:spacing w:val="8"/>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8"/>
          <w:sz w:val="23"/>
          <w:szCs w:val="23"/>
        </w:rPr>
        <w:t>³</w:t>
      </w:r>
      <w:r>
        <w:rPr>
          <w:rFonts w:ascii="宋体" w:hAnsi="宋体" w:eastAsia="宋体" w:cs="宋体"/>
          <w:spacing w:val="8"/>
          <w:sz w:val="23"/>
          <w:szCs w:val="23"/>
        </w:rPr>
        <w:t>) ，对大气环境的影响较小。</w:t>
      </w:r>
    </w:p>
    <w:p w14:paraId="68373374">
      <w:pPr>
        <w:spacing w:before="42" w:line="227" w:lineRule="auto"/>
        <w:ind w:left="609"/>
        <w:rPr>
          <w:rFonts w:ascii="宋体" w:hAnsi="宋体" w:eastAsia="宋体" w:cs="宋体"/>
          <w:sz w:val="23"/>
          <w:szCs w:val="23"/>
        </w:rPr>
      </w:pP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8"/>
          <w:sz w:val="23"/>
          <w:szCs w:val="23"/>
        </w:rPr>
        <w:t>3</w:t>
      </w: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宋体" w:hAnsi="宋体" w:eastAsia="宋体" w:cs="宋体"/>
          <w:spacing w:val="18"/>
          <w:sz w:val="23"/>
          <w:szCs w:val="23"/>
        </w:rPr>
        <w:t xml:space="preserve"> </w:t>
      </w:r>
      <w:r>
        <w:rPr>
          <w:rFonts w:ascii="宋体" w:hAnsi="宋体" w:eastAsia="宋体" w:cs="宋体"/>
          <w:spacing w:val="18"/>
          <w:sz w:val="23"/>
          <w:szCs w:val="23"/>
          <w14:textOutline w14:w="4356" w14:cap="sq" w14:cmpd="sng" w14:algn="ctr">
            <w14:solidFill>
              <w14:srgbClr w14:val="000000"/>
            </w14:solidFill>
            <w14:prstDash w14:val="solid"/>
            <w14:bevel/>
          </w14:textOutline>
        </w:rPr>
        <w:t>备用发电机废</w:t>
      </w:r>
      <w:r>
        <w:rPr>
          <w:rFonts w:ascii="宋体" w:hAnsi="宋体" w:eastAsia="宋体" w:cs="宋体"/>
          <w:spacing w:val="16"/>
          <w:sz w:val="23"/>
          <w:szCs w:val="23"/>
          <w14:textOutline w14:w="4356" w14:cap="sq" w14:cmpd="sng" w14:algn="ctr">
            <w14:solidFill>
              <w14:srgbClr w14:val="000000"/>
            </w14:solidFill>
            <w14:prstDash w14:val="solid"/>
            <w14:bevel/>
          </w14:textOutline>
        </w:rPr>
        <w:t>气</w:t>
      </w:r>
    </w:p>
    <w:p w14:paraId="28BDDB42">
      <w:pPr>
        <w:spacing w:before="184" w:line="375" w:lineRule="auto"/>
        <w:ind w:left="117" w:right="27" w:firstLine="484"/>
        <w:rPr>
          <w:rFonts w:ascii="宋体" w:hAnsi="宋体" w:eastAsia="宋体" w:cs="宋体"/>
          <w:sz w:val="23"/>
          <w:szCs w:val="23"/>
        </w:rPr>
      </w:pPr>
      <w:r>
        <w:rPr>
          <w:rFonts w:ascii="宋体" w:hAnsi="宋体" w:eastAsia="宋体" w:cs="宋体"/>
          <w:spacing w:val="6"/>
          <w:sz w:val="23"/>
          <w:szCs w:val="23"/>
        </w:rPr>
        <w:t>项</w:t>
      </w:r>
      <w:r>
        <w:rPr>
          <w:rFonts w:ascii="宋体" w:hAnsi="宋体" w:eastAsia="宋体" w:cs="宋体"/>
          <w:spacing w:val="5"/>
          <w:sz w:val="23"/>
          <w:szCs w:val="23"/>
        </w:rPr>
        <w:t>目</w:t>
      </w:r>
      <w:r>
        <w:rPr>
          <w:rFonts w:ascii="宋体" w:hAnsi="宋体" w:eastAsia="宋体" w:cs="宋体"/>
          <w:spacing w:val="3"/>
          <w:sz w:val="23"/>
          <w:szCs w:val="23"/>
        </w:rPr>
        <w:t xml:space="preserve">配备柴油发电机，置于发电机房内，仅在断电时临时使用，主要产生 </w:t>
      </w:r>
      <w:r>
        <w:rPr>
          <w:rFonts w:ascii="Times New Roman" w:hAnsi="Times New Roman" w:eastAsia="Times New Roman" w:cs="Times New Roman"/>
          <w:sz w:val="23"/>
          <w:szCs w:val="23"/>
        </w:rPr>
        <w:t>NO</w:t>
      </w:r>
      <w:r>
        <w:rPr>
          <w:rFonts w:ascii="Times New Roman" w:hAnsi="Times New Roman" w:eastAsia="Times New Roman" w:cs="Times New Roman"/>
          <w:position w:val="-1"/>
          <w:sz w:val="15"/>
          <w:szCs w:val="15"/>
        </w:rPr>
        <w:t>X</w:t>
      </w:r>
      <w:r>
        <w:rPr>
          <w:rFonts w:ascii="宋体" w:hAnsi="宋体" w:eastAsia="宋体" w:cs="宋体"/>
          <w:spacing w:val="3"/>
          <w:sz w:val="23"/>
          <w:szCs w:val="23"/>
        </w:rPr>
        <w:t>、</w:t>
      </w:r>
      <w:r>
        <w:rPr>
          <w:rFonts w:ascii="宋体" w:hAnsi="宋体" w:eastAsia="宋体" w:cs="宋体"/>
          <w:sz w:val="23"/>
          <w:szCs w:val="23"/>
        </w:rPr>
        <w:t xml:space="preserve"> </w:t>
      </w:r>
      <w:r>
        <w:rPr>
          <w:rFonts w:ascii="Times New Roman" w:hAnsi="Times New Roman" w:eastAsia="Times New Roman" w:cs="Times New Roman"/>
          <w:sz w:val="23"/>
          <w:szCs w:val="23"/>
        </w:rPr>
        <w:t>SO</w:t>
      </w:r>
      <w:r>
        <w:rPr>
          <w:rFonts w:ascii="Times New Roman" w:hAnsi="Times New Roman" w:eastAsia="Times New Roman" w:cs="Times New Roman"/>
          <w:spacing w:val="8"/>
          <w:position w:val="-1"/>
          <w:sz w:val="15"/>
          <w:szCs w:val="15"/>
        </w:rPr>
        <w:t xml:space="preserve">2 </w:t>
      </w:r>
      <w:r>
        <w:rPr>
          <w:rFonts w:ascii="宋体" w:hAnsi="宋体" w:eastAsia="宋体" w:cs="宋体"/>
          <w:spacing w:val="8"/>
          <w:sz w:val="23"/>
          <w:szCs w:val="23"/>
        </w:rPr>
        <w:t>、</w:t>
      </w:r>
      <w:r>
        <w:rPr>
          <w:rFonts w:ascii="Times New Roman" w:hAnsi="Times New Roman" w:eastAsia="Times New Roman" w:cs="Times New Roman"/>
          <w:sz w:val="23"/>
          <w:szCs w:val="23"/>
        </w:rPr>
        <w:t>CO</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等污染物。因项目处丘陵地带山顶，通风扩散条件较好，柴油发电机房</w:t>
      </w:r>
      <w:r>
        <w:rPr>
          <w:rFonts w:ascii="宋体" w:hAnsi="宋体" w:eastAsia="宋体" w:cs="宋体"/>
          <w:spacing w:val="4"/>
          <w:sz w:val="23"/>
          <w:szCs w:val="23"/>
        </w:rPr>
        <w:t>及</w:t>
      </w:r>
      <w:r>
        <w:rPr>
          <w:rFonts w:ascii="宋体" w:hAnsi="宋体" w:eastAsia="宋体" w:cs="宋体"/>
          <w:sz w:val="23"/>
          <w:szCs w:val="23"/>
        </w:rPr>
        <w:t xml:space="preserve"> </w:t>
      </w:r>
      <w:r>
        <w:rPr>
          <w:rFonts w:ascii="宋体" w:hAnsi="宋体" w:eastAsia="宋体" w:cs="宋体"/>
          <w:spacing w:val="17"/>
          <w:sz w:val="23"/>
          <w:szCs w:val="23"/>
        </w:rPr>
        <w:t>储</w:t>
      </w:r>
      <w:r>
        <w:rPr>
          <w:rFonts w:ascii="宋体" w:hAnsi="宋体" w:eastAsia="宋体" w:cs="宋体"/>
          <w:spacing w:val="10"/>
          <w:sz w:val="23"/>
          <w:szCs w:val="23"/>
        </w:rPr>
        <w:t>油间采取自然通风。根据区域电力供应情况分析，项目备用发电机的使用时间、</w:t>
      </w:r>
      <w:r>
        <w:rPr>
          <w:rFonts w:ascii="宋体" w:hAnsi="宋体" w:eastAsia="宋体" w:cs="宋体"/>
          <w:sz w:val="23"/>
          <w:szCs w:val="23"/>
        </w:rPr>
        <w:t xml:space="preserve"> </w:t>
      </w:r>
      <w:r>
        <w:rPr>
          <w:rFonts w:ascii="宋体" w:hAnsi="宋体" w:eastAsia="宋体" w:cs="宋体"/>
          <w:spacing w:val="18"/>
          <w:sz w:val="23"/>
          <w:szCs w:val="23"/>
        </w:rPr>
        <w:t>几率较</w:t>
      </w:r>
      <w:r>
        <w:rPr>
          <w:rFonts w:ascii="宋体" w:hAnsi="宋体" w:eastAsia="宋体" w:cs="宋体"/>
          <w:spacing w:val="9"/>
          <w:sz w:val="23"/>
          <w:szCs w:val="23"/>
        </w:rPr>
        <w:t>少，产生烟气量较小，一般柴油发电机都自带烟气净化装置，烟气经处理后</w:t>
      </w:r>
      <w:r>
        <w:rPr>
          <w:rFonts w:ascii="宋体" w:hAnsi="宋体" w:eastAsia="宋体" w:cs="宋体"/>
          <w:sz w:val="23"/>
          <w:szCs w:val="23"/>
        </w:rPr>
        <w:t xml:space="preserve"> </w:t>
      </w:r>
      <w:r>
        <w:rPr>
          <w:rFonts w:ascii="宋体" w:hAnsi="宋体" w:eastAsia="宋体" w:cs="宋体"/>
          <w:spacing w:val="8"/>
          <w:sz w:val="23"/>
          <w:szCs w:val="23"/>
        </w:rPr>
        <w:t>能够实现达标排放</w:t>
      </w:r>
      <w:r>
        <w:rPr>
          <w:rFonts w:ascii="宋体" w:hAnsi="宋体" w:eastAsia="宋体" w:cs="宋体"/>
          <w:spacing w:val="7"/>
          <w:sz w:val="23"/>
          <w:szCs w:val="23"/>
        </w:rPr>
        <w:t>。</w:t>
      </w:r>
    </w:p>
    <w:p w14:paraId="16913EF5">
      <w:pPr>
        <w:spacing w:line="303" w:lineRule="exact"/>
        <w:ind w:left="594"/>
        <w:rPr>
          <w:rFonts w:ascii="宋体" w:hAnsi="宋体" w:eastAsia="宋体" w:cs="宋体"/>
          <w:sz w:val="23"/>
          <w:szCs w:val="23"/>
        </w:rPr>
      </w:pPr>
      <w:r>
        <w:rPr>
          <w:rFonts w:ascii="Times New Roman" w:hAnsi="Times New Roman" w:eastAsia="Times New Roman" w:cs="Times New Roman"/>
          <w:b/>
          <w:bCs/>
          <w:spacing w:val="-1"/>
          <w:position w:val="1"/>
          <w:sz w:val="23"/>
          <w:szCs w:val="23"/>
        </w:rPr>
        <w:t>2</w:t>
      </w:r>
      <w:r>
        <w:rPr>
          <w:rFonts w:ascii="Times New Roman" w:hAnsi="Times New Roman" w:eastAsia="Times New Roman" w:cs="Times New Roman"/>
          <w:spacing w:val="-1"/>
          <w:position w:val="1"/>
          <w:sz w:val="23"/>
          <w:szCs w:val="23"/>
        </w:rPr>
        <w:t xml:space="preserve"> </w:t>
      </w:r>
      <w:r>
        <w:rPr>
          <w:rFonts w:ascii="宋体" w:hAnsi="宋体" w:eastAsia="宋体" w:cs="宋体"/>
          <w:spacing w:val="-1"/>
          <w:position w:val="1"/>
          <w:sz w:val="23"/>
          <w:szCs w:val="23"/>
          <w14:textOutline w14:w="4356" w14:cap="sq" w14:cmpd="sng" w14:algn="ctr">
            <w14:solidFill>
              <w14:srgbClr w14:val="000000"/>
            </w14:solidFill>
            <w14:prstDash w14:val="solid"/>
            <w14:bevel/>
          </w14:textOutline>
        </w:rPr>
        <w:t>、影</w:t>
      </w:r>
      <w:r>
        <w:rPr>
          <w:rFonts w:ascii="宋体" w:hAnsi="宋体" w:eastAsia="宋体" w:cs="宋体"/>
          <w:position w:val="1"/>
          <w:sz w:val="23"/>
          <w:szCs w:val="23"/>
          <w14:textOutline w14:w="4356" w14:cap="sq" w14:cmpd="sng" w14:algn="ctr">
            <w14:solidFill>
              <w14:srgbClr w14:val="000000"/>
            </w14:solidFill>
            <w14:prstDash w14:val="solid"/>
            <w14:bevel/>
          </w14:textOutline>
        </w:rPr>
        <w:t>响分析</w:t>
      </w:r>
    </w:p>
    <w:p w14:paraId="5D28F785">
      <w:pPr>
        <w:spacing w:before="162" w:line="375" w:lineRule="auto"/>
        <w:ind w:left="117" w:right="107" w:firstLine="480"/>
        <w:rPr>
          <w:rFonts w:ascii="宋体" w:hAnsi="宋体" w:eastAsia="宋体" w:cs="宋体"/>
          <w:sz w:val="23"/>
          <w:szCs w:val="23"/>
        </w:rPr>
      </w:pPr>
      <w:r>
        <w:rPr>
          <w:rFonts w:ascii="宋体" w:hAnsi="宋体" w:eastAsia="宋体" w:cs="宋体"/>
          <w:spacing w:val="6"/>
          <w:sz w:val="23"/>
          <w:szCs w:val="23"/>
        </w:rPr>
        <w:t>根据</w:t>
      </w:r>
      <w:r>
        <w:rPr>
          <w:rFonts w:ascii="宋体" w:hAnsi="宋体" w:eastAsia="宋体" w:cs="宋体"/>
          <w:spacing w:val="4"/>
          <w:sz w:val="23"/>
          <w:szCs w:val="23"/>
        </w:rPr>
        <w:t>前</w:t>
      </w:r>
      <w:r>
        <w:rPr>
          <w:rFonts w:ascii="宋体" w:hAnsi="宋体" w:eastAsia="宋体" w:cs="宋体"/>
          <w:spacing w:val="3"/>
          <w:sz w:val="23"/>
          <w:szCs w:val="23"/>
        </w:rPr>
        <w:t xml:space="preserve">面 </w:t>
      </w:r>
      <w:r>
        <w:rPr>
          <w:rFonts w:ascii="Times New Roman" w:hAnsi="Times New Roman" w:eastAsia="Times New Roman" w:cs="Times New Roman"/>
          <w:spacing w:val="3"/>
          <w:sz w:val="23"/>
          <w:szCs w:val="23"/>
        </w:rPr>
        <w:t xml:space="preserve">1.5. 1 </w:t>
      </w:r>
      <w:r>
        <w:rPr>
          <w:rFonts w:ascii="宋体" w:hAnsi="宋体" w:eastAsia="宋体" w:cs="宋体"/>
          <w:spacing w:val="3"/>
          <w:sz w:val="23"/>
          <w:szCs w:val="23"/>
        </w:rPr>
        <w:t>评价等级判断大气环境影响评价等级可知，本项目大气环境影响</w:t>
      </w:r>
      <w:r>
        <w:rPr>
          <w:rFonts w:ascii="宋体" w:hAnsi="宋体" w:eastAsia="宋体" w:cs="宋体"/>
          <w:sz w:val="23"/>
          <w:szCs w:val="23"/>
        </w:rPr>
        <w:t xml:space="preserve"> </w:t>
      </w:r>
      <w:r>
        <w:rPr>
          <w:rFonts w:ascii="宋体" w:hAnsi="宋体" w:eastAsia="宋体" w:cs="宋体"/>
          <w:spacing w:val="2"/>
          <w:sz w:val="23"/>
          <w:szCs w:val="23"/>
        </w:rPr>
        <w:t>评价等级为二级。根据《环境影响评价技术导则</w:t>
      </w:r>
      <w:r>
        <w:rPr>
          <w:rFonts w:ascii="Times New Roman" w:hAnsi="Times New Roman" w:eastAsia="Times New Roman" w:cs="Times New Roman"/>
          <w:spacing w:val="2"/>
          <w:sz w:val="23"/>
          <w:szCs w:val="23"/>
        </w:rPr>
        <w:t>-</w:t>
      </w:r>
      <w:r>
        <w:rPr>
          <w:rFonts w:ascii="宋体" w:hAnsi="宋体" w:eastAsia="宋体" w:cs="宋体"/>
          <w:spacing w:val="2"/>
          <w:sz w:val="23"/>
          <w:szCs w:val="23"/>
        </w:rPr>
        <w:t>大气环境》  (</w:t>
      </w:r>
      <w:r>
        <w:rPr>
          <w:rFonts w:ascii="Times New Roman" w:hAnsi="Times New Roman" w:eastAsia="Times New Roman" w:cs="Times New Roman"/>
          <w:sz w:val="23"/>
          <w:szCs w:val="23"/>
        </w:rPr>
        <w:t>HJ</w:t>
      </w:r>
      <w:r>
        <w:rPr>
          <w:rFonts w:ascii="Times New Roman" w:hAnsi="Times New Roman" w:eastAsia="Times New Roman" w:cs="Times New Roman"/>
          <w:spacing w:val="2"/>
          <w:sz w:val="23"/>
          <w:szCs w:val="23"/>
        </w:rPr>
        <w:t>2.2-20</w:t>
      </w:r>
      <w:r>
        <w:rPr>
          <w:rFonts w:ascii="Times New Roman" w:hAnsi="Times New Roman" w:eastAsia="Times New Roman" w:cs="Times New Roman"/>
          <w:spacing w:val="1"/>
          <w:sz w:val="23"/>
          <w:szCs w:val="23"/>
        </w:rPr>
        <w:t>18</w:t>
      </w:r>
      <w:r>
        <w:rPr>
          <w:rFonts w:ascii="宋体" w:hAnsi="宋体" w:eastAsia="宋体" w:cs="宋体"/>
          <w:spacing w:val="1"/>
          <w:sz w:val="23"/>
          <w:szCs w:val="23"/>
        </w:rPr>
        <w:t xml:space="preserve">) 中 </w:t>
      </w:r>
      <w:r>
        <w:rPr>
          <w:rFonts w:ascii="Times New Roman" w:hAnsi="Times New Roman" w:eastAsia="Times New Roman" w:cs="Times New Roman"/>
          <w:spacing w:val="1"/>
          <w:sz w:val="23"/>
          <w:szCs w:val="23"/>
        </w:rPr>
        <w:t>8. 1.2</w:t>
      </w:r>
      <w:r>
        <w:rPr>
          <w:rFonts w:ascii="Times New Roman" w:hAnsi="Times New Roman" w:eastAsia="Times New Roman" w:cs="Times New Roman"/>
          <w:sz w:val="23"/>
          <w:szCs w:val="23"/>
        </w:rPr>
        <w:t xml:space="preserve"> </w:t>
      </w:r>
      <w:r>
        <w:rPr>
          <w:rFonts w:ascii="宋体" w:hAnsi="宋体" w:eastAsia="宋体" w:cs="宋体"/>
          <w:spacing w:val="18"/>
          <w:sz w:val="23"/>
          <w:szCs w:val="23"/>
        </w:rPr>
        <w:t>二</w:t>
      </w:r>
      <w:r>
        <w:rPr>
          <w:rFonts w:ascii="宋体" w:hAnsi="宋体" w:eastAsia="宋体" w:cs="宋体"/>
          <w:spacing w:val="12"/>
          <w:sz w:val="23"/>
          <w:szCs w:val="23"/>
        </w:rPr>
        <w:t>级</w:t>
      </w:r>
      <w:r>
        <w:rPr>
          <w:rFonts w:ascii="宋体" w:hAnsi="宋体" w:eastAsia="宋体" w:cs="宋体"/>
          <w:spacing w:val="9"/>
          <w:sz w:val="23"/>
          <w:szCs w:val="23"/>
        </w:rPr>
        <w:t>评价项目不进行进一步预测与评价，只对污染物排放量进行核算。</w:t>
      </w:r>
    </w:p>
    <w:p w14:paraId="07ACA434">
      <w:pPr>
        <w:spacing w:before="3" w:line="374" w:lineRule="auto"/>
        <w:ind w:left="119" w:right="27" w:firstLine="479"/>
        <w:rPr>
          <w:rFonts w:ascii="宋体" w:hAnsi="宋体" w:eastAsia="宋体" w:cs="宋体"/>
          <w:sz w:val="23"/>
          <w:szCs w:val="23"/>
        </w:rPr>
      </w:pPr>
      <w:r>
        <w:rPr>
          <w:rFonts w:ascii="宋体" w:hAnsi="宋体" w:eastAsia="宋体" w:cs="宋体"/>
          <w:spacing w:val="15"/>
          <w:sz w:val="23"/>
          <w:szCs w:val="23"/>
        </w:rPr>
        <w:t>根</w:t>
      </w:r>
      <w:r>
        <w:rPr>
          <w:rFonts w:ascii="宋体" w:hAnsi="宋体" w:eastAsia="宋体" w:cs="宋体"/>
          <w:spacing w:val="9"/>
          <w:sz w:val="23"/>
          <w:szCs w:val="23"/>
        </w:rPr>
        <w:t>据工程分析可知，本项目营运期产生的废气主要包括养殖废气 (恶臭) 、食</w:t>
      </w:r>
      <w:r>
        <w:rPr>
          <w:rFonts w:ascii="宋体" w:hAnsi="宋体" w:eastAsia="宋体" w:cs="宋体"/>
          <w:sz w:val="23"/>
          <w:szCs w:val="23"/>
        </w:rPr>
        <w:t xml:space="preserve"> </w:t>
      </w:r>
      <w:r>
        <w:rPr>
          <w:rFonts w:ascii="宋体" w:hAnsi="宋体" w:eastAsia="宋体" w:cs="宋体"/>
          <w:spacing w:val="18"/>
          <w:sz w:val="23"/>
          <w:szCs w:val="23"/>
        </w:rPr>
        <w:t>堂产</w:t>
      </w:r>
      <w:r>
        <w:rPr>
          <w:rFonts w:ascii="宋体" w:hAnsi="宋体" w:eastAsia="宋体" w:cs="宋体"/>
          <w:spacing w:val="16"/>
          <w:sz w:val="23"/>
          <w:szCs w:val="23"/>
        </w:rPr>
        <w:t>生</w:t>
      </w:r>
      <w:r>
        <w:rPr>
          <w:rFonts w:ascii="宋体" w:hAnsi="宋体" w:eastAsia="宋体" w:cs="宋体"/>
          <w:spacing w:val="9"/>
          <w:sz w:val="23"/>
          <w:szCs w:val="23"/>
        </w:rPr>
        <w:t>的餐饮油烟和备用柴油发电机烟气。食堂油烟产生量小，在经油烟净化器处</w:t>
      </w:r>
      <w:r>
        <w:rPr>
          <w:rFonts w:ascii="宋体" w:hAnsi="宋体" w:eastAsia="宋体" w:cs="宋体"/>
          <w:sz w:val="23"/>
          <w:szCs w:val="23"/>
        </w:rPr>
        <w:t xml:space="preserve"> </w:t>
      </w:r>
      <w:r>
        <w:rPr>
          <w:rFonts w:ascii="宋体" w:hAnsi="宋体" w:eastAsia="宋体" w:cs="宋体"/>
          <w:spacing w:val="18"/>
          <w:sz w:val="23"/>
          <w:szCs w:val="23"/>
        </w:rPr>
        <w:t>理后</w:t>
      </w:r>
      <w:r>
        <w:rPr>
          <w:rFonts w:ascii="宋体" w:hAnsi="宋体" w:eastAsia="宋体" w:cs="宋体"/>
          <w:spacing w:val="16"/>
          <w:sz w:val="23"/>
          <w:szCs w:val="23"/>
        </w:rPr>
        <w:t>能</w:t>
      </w:r>
      <w:r>
        <w:rPr>
          <w:rFonts w:ascii="宋体" w:hAnsi="宋体" w:eastAsia="宋体" w:cs="宋体"/>
          <w:spacing w:val="9"/>
          <w:sz w:val="23"/>
          <w:szCs w:val="23"/>
        </w:rPr>
        <w:t>够实现达标排放，对外环境影响较小；柴油发电机仅为停电时应急使用，使</w:t>
      </w:r>
      <w:r>
        <w:rPr>
          <w:rFonts w:ascii="宋体" w:hAnsi="宋体" w:eastAsia="宋体" w:cs="宋体"/>
          <w:sz w:val="23"/>
          <w:szCs w:val="23"/>
        </w:rPr>
        <w:t xml:space="preserve"> </w:t>
      </w:r>
      <w:r>
        <w:rPr>
          <w:rFonts w:ascii="宋体" w:hAnsi="宋体" w:eastAsia="宋体" w:cs="宋体"/>
          <w:spacing w:val="10"/>
          <w:sz w:val="23"/>
          <w:szCs w:val="23"/>
        </w:rPr>
        <w:t>用</w:t>
      </w:r>
      <w:r>
        <w:rPr>
          <w:rFonts w:ascii="宋体" w:hAnsi="宋体" w:eastAsia="宋体" w:cs="宋体"/>
          <w:spacing w:val="6"/>
          <w:sz w:val="23"/>
          <w:szCs w:val="23"/>
        </w:rPr>
        <w:t>时间、频次极少且不定，产生烟气量较小，一般柴油发电机都自带烟气净化装置，</w:t>
      </w:r>
      <w:r>
        <w:rPr>
          <w:rFonts w:ascii="宋体" w:hAnsi="宋体" w:eastAsia="宋体" w:cs="宋体"/>
          <w:sz w:val="23"/>
          <w:szCs w:val="23"/>
        </w:rPr>
        <w:t xml:space="preserve"> </w:t>
      </w:r>
      <w:r>
        <w:rPr>
          <w:rFonts w:ascii="宋体" w:hAnsi="宋体" w:eastAsia="宋体" w:cs="宋体"/>
          <w:spacing w:val="10"/>
          <w:sz w:val="23"/>
          <w:szCs w:val="23"/>
        </w:rPr>
        <w:t>烟</w:t>
      </w:r>
      <w:r>
        <w:rPr>
          <w:rFonts w:ascii="宋体" w:hAnsi="宋体" w:eastAsia="宋体" w:cs="宋体"/>
          <w:spacing w:val="6"/>
          <w:sz w:val="23"/>
          <w:szCs w:val="23"/>
        </w:rPr>
        <w:t>气经处理后能够实现达标排放。因此本次影响分析仅对养殖废气排放量进行核算。</w:t>
      </w:r>
    </w:p>
    <w:p w14:paraId="05240E2D">
      <w:pPr>
        <w:spacing w:line="303" w:lineRule="exact"/>
        <w:ind w:left="592"/>
        <w:rPr>
          <w:rFonts w:ascii="宋体" w:hAnsi="宋体" w:eastAsia="宋体" w:cs="宋体"/>
          <w:sz w:val="23"/>
          <w:szCs w:val="23"/>
        </w:rPr>
      </w:pPr>
      <w:r>
        <w:rPr>
          <w:rFonts w:ascii="Times New Roman" w:hAnsi="Times New Roman" w:eastAsia="Times New Roman" w:cs="Times New Roman"/>
          <w:b/>
          <w:bCs/>
          <w:spacing w:val="6"/>
          <w:position w:val="1"/>
          <w:sz w:val="23"/>
          <w:szCs w:val="23"/>
        </w:rPr>
        <w:t>3</w:t>
      </w:r>
      <w:r>
        <w:rPr>
          <w:rFonts w:ascii="Times New Roman" w:hAnsi="Times New Roman" w:eastAsia="Times New Roman" w:cs="Times New Roman"/>
          <w:spacing w:val="6"/>
          <w:position w:val="1"/>
          <w:sz w:val="23"/>
          <w:szCs w:val="23"/>
        </w:rPr>
        <w:t xml:space="preserve"> </w:t>
      </w:r>
      <w:r>
        <w:rPr>
          <w:rFonts w:ascii="宋体" w:hAnsi="宋体" w:eastAsia="宋体" w:cs="宋体"/>
          <w:spacing w:val="6"/>
          <w:position w:val="1"/>
          <w:sz w:val="23"/>
          <w:szCs w:val="23"/>
          <w14:textOutline w14:w="4356" w14:cap="sq" w14:cmpd="sng" w14:algn="ctr">
            <w14:solidFill>
              <w14:srgbClr w14:val="000000"/>
            </w14:solidFill>
            <w14:prstDash w14:val="solid"/>
            <w14:bevel/>
          </w14:textOutline>
        </w:rPr>
        <w:t>、恶臭污染物环境影响预测分</w:t>
      </w:r>
      <w:r>
        <w:rPr>
          <w:rFonts w:ascii="宋体" w:hAnsi="宋体" w:eastAsia="宋体" w:cs="宋体"/>
          <w:spacing w:val="5"/>
          <w:position w:val="1"/>
          <w:sz w:val="23"/>
          <w:szCs w:val="23"/>
          <w14:textOutline w14:w="4356" w14:cap="sq" w14:cmpd="sng" w14:algn="ctr">
            <w14:solidFill>
              <w14:srgbClr w14:val="000000"/>
            </w14:solidFill>
            <w14:prstDash w14:val="solid"/>
            <w14:bevel/>
          </w14:textOutline>
        </w:rPr>
        <w:t>析</w:t>
      </w:r>
    </w:p>
    <w:p w14:paraId="53407910">
      <w:pPr>
        <w:spacing w:before="165" w:line="226" w:lineRule="auto"/>
        <w:ind w:left="609"/>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1</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评价因子</w:t>
      </w:r>
    </w:p>
    <w:p w14:paraId="6B7134CD">
      <w:pPr>
        <w:spacing w:before="186" w:line="227" w:lineRule="auto"/>
        <w:ind w:left="598"/>
        <w:rPr>
          <w:rFonts w:ascii="宋体" w:hAnsi="宋体" w:eastAsia="宋体" w:cs="宋体"/>
          <w:sz w:val="23"/>
          <w:szCs w:val="23"/>
        </w:rPr>
      </w:pPr>
      <w:r>
        <w:rPr>
          <w:rFonts w:ascii="宋体" w:hAnsi="宋体" w:eastAsia="宋体" w:cs="宋体"/>
          <w:spacing w:val="10"/>
          <w:sz w:val="23"/>
          <w:szCs w:val="23"/>
        </w:rPr>
        <w:t>根据本项</w:t>
      </w:r>
      <w:r>
        <w:rPr>
          <w:rFonts w:ascii="宋体" w:hAnsi="宋体" w:eastAsia="宋体" w:cs="宋体"/>
          <w:spacing w:val="7"/>
          <w:sz w:val="23"/>
          <w:szCs w:val="23"/>
        </w:rPr>
        <w:t>目</w:t>
      </w:r>
      <w:r>
        <w:rPr>
          <w:rFonts w:ascii="宋体" w:hAnsi="宋体" w:eastAsia="宋体" w:cs="宋体"/>
          <w:spacing w:val="5"/>
          <w:sz w:val="23"/>
          <w:szCs w:val="23"/>
        </w:rPr>
        <w:t xml:space="preserve">污染物排放情况，确定本项目预测因子为 </w:t>
      </w:r>
      <w:r>
        <w:rPr>
          <w:rFonts w:ascii="Times New Roman" w:hAnsi="Times New Roman" w:eastAsia="Times New Roman" w:cs="Times New Roman"/>
          <w:sz w:val="23"/>
          <w:szCs w:val="23"/>
        </w:rPr>
        <w:t>NH</w:t>
      </w:r>
      <w:r>
        <w:rPr>
          <w:rFonts w:ascii="Times New Roman" w:hAnsi="Times New Roman" w:eastAsia="Times New Roman" w:cs="Times New Roman"/>
          <w:spacing w:val="5"/>
          <w:position w:val="-1"/>
          <w:sz w:val="15"/>
          <w:szCs w:val="15"/>
        </w:rPr>
        <w:t xml:space="preserve">3 </w:t>
      </w:r>
      <w:r>
        <w:rPr>
          <w:rFonts w:ascii="宋体" w:hAnsi="宋体" w:eastAsia="宋体" w:cs="宋体"/>
          <w:spacing w:val="5"/>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5"/>
          <w:position w:val="-1"/>
          <w:sz w:val="15"/>
          <w:szCs w:val="15"/>
        </w:rPr>
        <w:t>2</w:t>
      </w:r>
      <w:r>
        <w:rPr>
          <w:rFonts w:ascii="Times New Roman" w:hAnsi="Times New Roman" w:eastAsia="Times New Roman" w:cs="Times New Roman"/>
          <w:sz w:val="23"/>
          <w:szCs w:val="23"/>
        </w:rPr>
        <w:t>S</w:t>
      </w:r>
      <w:r>
        <w:rPr>
          <w:rFonts w:ascii="宋体" w:hAnsi="宋体" w:eastAsia="宋体" w:cs="宋体"/>
          <w:spacing w:val="5"/>
          <w:sz w:val="23"/>
          <w:szCs w:val="23"/>
        </w:rPr>
        <w:t>。</w:t>
      </w:r>
    </w:p>
    <w:p w14:paraId="71037C14">
      <w:pPr>
        <w:spacing w:before="183" w:line="226" w:lineRule="auto"/>
        <w:ind w:left="609"/>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2</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估算模式</w:t>
      </w:r>
    </w:p>
    <w:p w14:paraId="2DBC02C7">
      <w:pPr>
        <w:spacing w:before="186" w:line="375" w:lineRule="auto"/>
        <w:ind w:left="119" w:right="105" w:firstLine="480"/>
        <w:rPr>
          <w:rFonts w:ascii="宋体" w:hAnsi="宋体" w:eastAsia="宋体" w:cs="宋体"/>
          <w:sz w:val="23"/>
          <w:szCs w:val="23"/>
        </w:rPr>
      </w:pPr>
      <w:r>
        <w:rPr>
          <w:rFonts w:ascii="宋体" w:hAnsi="宋体" w:eastAsia="宋体" w:cs="宋体"/>
          <w:spacing w:val="5"/>
          <w:sz w:val="23"/>
          <w:szCs w:val="23"/>
        </w:rPr>
        <w:t>本项目采用《环境影响评价技术导则  大气环境》  (</w:t>
      </w:r>
      <w:r>
        <w:rPr>
          <w:rFonts w:ascii="Times New Roman" w:hAnsi="Times New Roman" w:eastAsia="Times New Roman" w:cs="Times New Roman"/>
          <w:sz w:val="23"/>
          <w:szCs w:val="23"/>
        </w:rPr>
        <w:t>HJ</w:t>
      </w:r>
      <w:r>
        <w:rPr>
          <w:rFonts w:ascii="Times New Roman" w:hAnsi="Times New Roman" w:eastAsia="Times New Roman" w:cs="Times New Roman"/>
          <w:spacing w:val="5"/>
          <w:sz w:val="23"/>
          <w:szCs w:val="23"/>
        </w:rPr>
        <w:t>2.2-2018</w:t>
      </w:r>
      <w:r>
        <w:rPr>
          <w:rFonts w:ascii="宋体" w:hAnsi="宋体" w:eastAsia="宋体" w:cs="宋体"/>
          <w:spacing w:val="5"/>
          <w:sz w:val="23"/>
          <w:szCs w:val="23"/>
        </w:rPr>
        <w:t xml:space="preserve">) 附录 </w:t>
      </w:r>
      <w:r>
        <w:rPr>
          <w:rFonts w:ascii="Times New Roman" w:hAnsi="Times New Roman" w:eastAsia="Times New Roman" w:cs="Times New Roman"/>
          <w:sz w:val="23"/>
          <w:szCs w:val="23"/>
        </w:rPr>
        <w:t>A</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中</w:t>
      </w:r>
      <w:r>
        <w:rPr>
          <w:rFonts w:ascii="宋体" w:hAnsi="宋体" w:eastAsia="宋体" w:cs="宋体"/>
          <w:sz w:val="23"/>
          <w:szCs w:val="23"/>
        </w:rPr>
        <w:t xml:space="preserve">推 </w:t>
      </w:r>
      <w:r>
        <w:rPr>
          <w:rFonts w:ascii="宋体" w:hAnsi="宋体" w:eastAsia="宋体" w:cs="宋体"/>
          <w:spacing w:val="16"/>
          <w:sz w:val="23"/>
          <w:szCs w:val="23"/>
        </w:rPr>
        <w:t>荐</w:t>
      </w:r>
      <w:r>
        <w:rPr>
          <w:rFonts w:ascii="宋体" w:hAnsi="宋体" w:eastAsia="宋体" w:cs="宋体"/>
          <w:spacing w:val="10"/>
          <w:sz w:val="23"/>
          <w:szCs w:val="23"/>
        </w:rPr>
        <w:t>的</w:t>
      </w:r>
      <w:r>
        <w:rPr>
          <w:rFonts w:ascii="宋体" w:hAnsi="宋体" w:eastAsia="宋体" w:cs="宋体"/>
          <w:spacing w:val="8"/>
          <w:sz w:val="23"/>
          <w:szCs w:val="23"/>
        </w:rPr>
        <w:t xml:space="preserve"> </w:t>
      </w:r>
      <w:r>
        <w:rPr>
          <w:rFonts w:ascii="Times New Roman" w:hAnsi="Times New Roman" w:eastAsia="Times New Roman" w:cs="Times New Roman"/>
          <w:sz w:val="23"/>
          <w:szCs w:val="23"/>
        </w:rPr>
        <w:t>AERSCREEN</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估算模型进行评价等级与评价范围的预测。</w:t>
      </w:r>
    </w:p>
    <w:p w14:paraId="20C35B58">
      <w:pPr>
        <w:spacing w:before="1" w:line="220" w:lineRule="auto"/>
        <w:ind w:left="3215"/>
        <w:rPr>
          <w:rFonts w:ascii="黑体" w:hAnsi="黑体" w:eastAsia="黑体" w:cs="黑体"/>
          <w:sz w:val="23"/>
          <w:szCs w:val="23"/>
        </w:rPr>
      </w:pPr>
      <w:r>
        <w:rPr>
          <w:rFonts w:ascii="黑体" w:hAnsi="黑体" w:eastAsia="黑体" w:cs="黑体"/>
          <w:spacing w:val="2"/>
          <w:sz w:val="23"/>
          <w:szCs w:val="23"/>
        </w:rPr>
        <w:t xml:space="preserve">表 </w:t>
      </w:r>
      <w:r>
        <w:rPr>
          <w:rFonts w:ascii="Times New Roman" w:hAnsi="Times New Roman" w:eastAsia="Times New Roman" w:cs="Times New Roman"/>
          <w:spacing w:val="2"/>
          <w:sz w:val="23"/>
          <w:szCs w:val="23"/>
        </w:rPr>
        <w:t xml:space="preserve">5.2-2    </w:t>
      </w:r>
      <w:r>
        <w:rPr>
          <w:rFonts w:ascii="黑体" w:hAnsi="黑体" w:eastAsia="黑体" w:cs="黑体"/>
          <w:spacing w:val="2"/>
          <w:sz w:val="23"/>
          <w:szCs w:val="23"/>
        </w:rPr>
        <w:t>估算模型</w:t>
      </w:r>
      <w:r>
        <w:rPr>
          <w:rFonts w:ascii="黑体" w:hAnsi="黑体" w:eastAsia="黑体" w:cs="黑体"/>
          <w:spacing w:val="1"/>
          <w:sz w:val="23"/>
          <w:szCs w:val="23"/>
        </w:rPr>
        <w:t>参</w:t>
      </w:r>
      <w:r>
        <w:rPr>
          <w:rFonts w:ascii="黑体" w:hAnsi="黑体" w:eastAsia="黑体" w:cs="黑体"/>
          <w:sz w:val="23"/>
          <w:szCs w:val="23"/>
        </w:rPr>
        <w:t>数</w:t>
      </w:r>
    </w:p>
    <w:tbl>
      <w:tblPr>
        <w:tblStyle w:val="4"/>
        <w:tblW w:w="888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60"/>
        <w:gridCol w:w="2962"/>
        <w:gridCol w:w="2960"/>
      </w:tblGrid>
      <w:tr w14:paraId="0CE1A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5922" w:type="dxa"/>
            <w:gridSpan w:val="2"/>
            <w:tcBorders>
              <w:left w:val="nil"/>
            </w:tcBorders>
          </w:tcPr>
          <w:p w14:paraId="01940AA7">
            <w:pPr>
              <w:spacing w:before="56" w:line="227" w:lineRule="auto"/>
              <w:ind w:left="2761"/>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参数</w:t>
            </w:r>
          </w:p>
        </w:tc>
        <w:tc>
          <w:tcPr>
            <w:tcW w:w="2960" w:type="dxa"/>
            <w:tcBorders>
              <w:right w:val="nil"/>
            </w:tcBorders>
          </w:tcPr>
          <w:p w14:paraId="27694751">
            <w:pPr>
              <w:spacing w:before="56" w:line="227" w:lineRule="auto"/>
              <w:ind w:left="1277"/>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取</w:t>
            </w:r>
            <w:r>
              <w:rPr>
                <w:rFonts w:ascii="宋体" w:hAnsi="宋体" w:eastAsia="宋体" w:cs="宋体"/>
                <w:spacing w:val="4"/>
                <w:sz w:val="20"/>
                <w:szCs w:val="20"/>
                <w14:textOutline w14:w="3797" w14:cap="sq" w14:cmpd="sng" w14:algn="ctr">
                  <w14:solidFill>
                    <w14:srgbClr w14:val="000000"/>
                  </w14:solidFill>
                  <w14:prstDash w14:val="solid"/>
                  <w14:bevel/>
                </w14:textOutline>
              </w:rPr>
              <w:t>值</w:t>
            </w:r>
          </w:p>
        </w:tc>
      </w:tr>
      <w:tr w14:paraId="5AEB6E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960" w:type="dxa"/>
            <w:vMerge w:val="restart"/>
            <w:tcBorders>
              <w:left w:val="nil"/>
              <w:bottom w:val="nil"/>
            </w:tcBorders>
          </w:tcPr>
          <w:p w14:paraId="48B944D2">
            <w:pPr>
              <w:spacing w:before="134" w:line="281" w:lineRule="exact"/>
              <w:ind w:left="829"/>
              <w:rPr>
                <w:rFonts w:ascii="宋体" w:hAnsi="宋体" w:eastAsia="宋体" w:cs="宋体"/>
                <w:sz w:val="20"/>
                <w:szCs w:val="20"/>
              </w:rPr>
            </w:pPr>
            <w:r>
              <w:rPr>
                <w:rFonts w:ascii="宋体" w:hAnsi="宋体" w:eastAsia="宋体" w:cs="宋体"/>
                <w:spacing w:val="9"/>
                <w:position w:val="1"/>
                <w:sz w:val="20"/>
                <w:szCs w:val="20"/>
              </w:rPr>
              <w:t>城</w:t>
            </w:r>
            <w:r>
              <w:rPr>
                <w:rFonts w:ascii="宋体" w:hAnsi="宋体" w:eastAsia="宋体" w:cs="宋体"/>
                <w:spacing w:val="7"/>
                <w:position w:val="1"/>
                <w:sz w:val="20"/>
                <w:szCs w:val="20"/>
              </w:rPr>
              <w:t>市</w:t>
            </w:r>
            <w:r>
              <w:rPr>
                <w:rFonts w:ascii="Times New Roman" w:hAnsi="Times New Roman" w:eastAsia="Times New Roman" w:cs="Times New Roman"/>
                <w:spacing w:val="7"/>
                <w:position w:val="1"/>
                <w:sz w:val="20"/>
                <w:szCs w:val="20"/>
              </w:rPr>
              <w:t>/</w:t>
            </w:r>
            <w:r>
              <w:rPr>
                <w:rFonts w:ascii="宋体" w:hAnsi="宋体" w:eastAsia="宋体" w:cs="宋体"/>
                <w:spacing w:val="7"/>
                <w:position w:val="1"/>
                <w:sz w:val="20"/>
                <w:szCs w:val="20"/>
              </w:rPr>
              <w:t>农村选项</w:t>
            </w:r>
          </w:p>
        </w:tc>
        <w:tc>
          <w:tcPr>
            <w:tcW w:w="2962" w:type="dxa"/>
          </w:tcPr>
          <w:p w14:paraId="0692141B">
            <w:pPr>
              <w:spacing w:line="275" w:lineRule="exact"/>
              <w:ind w:left="1037"/>
              <w:rPr>
                <w:rFonts w:ascii="宋体" w:hAnsi="宋体" w:eastAsia="宋体" w:cs="宋体"/>
                <w:sz w:val="20"/>
                <w:szCs w:val="20"/>
              </w:rPr>
            </w:pPr>
            <w:r>
              <w:rPr>
                <w:rFonts w:ascii="宋体" w:hAnsi="宋体" w:eastAsia="宋体" w:cs="宋体"/>
                <w:spacing w:val="7"/>
                <w:position w:val="1"/>
                <w:sz w:val="20"/>
                <w:szCs w:val="20"/>
              </w:rPr>
              <w:t>城</w:t>
            </w:r>
            <w:r>
              <w:rPr>
                <w:rFonts w:ascii="宋体" w:hAnsi="宋体" w:eastAsia="宋体" w:cs="宋体"/>
                <w:spacing w:val="6"/>
                <w:position w:val="1"/>
                <w:sz w:val="20"/>
                <w:szCs w:val="20"/>
              </w:rPr>
              <w:t>市</w:t>
            </w:r>
            <w:r>
              <w:rPr>
                <w:rFonts w:ascii="Times New Roman" w:hAnsi="Times New Roman" w:eastAsia="Times New Roman" w:cs="Times New Roman"/>
                <w:spacing w:val="6"/>
                <w:position w:val="1"/>
                <w:sz w:val="20"/>
                <w:szCs w:val="20"/>
              </w:rPr>
              <w:t>/</w:t>
            </w:r>
            <w:r>
              <w:rPr>
                <w:rFonts w:ascii="宋体" w:hAnsi="宋体" w:eastAsia="宋体" w:cs="宋体"/>
                <w:spacing w:val="6"/>
                <w:position w:val="1"/>
                <w:sz w:val="20"/>
                <w:szCs w:val="20"/>
              </w:rPr>
              <w:t>农村</w:t>
            </w:r>
          </w:p>
        </w:tc>
        <w:tc>
          <w:tcPr>
            <w:tcW w:w="2960" w:type="dxa"/>
            <w:tcBorders>
              <w:right w:val="nil"/>
            </w:tcBorders>
          </w:tcPr>
          <w:p w14:paraId="2D1A0981">
            <w:pPr>
              <w:spacing w:before="32" w:line="226" w:lineRule="auto"/>
              <w:ind w:left="1274"/>
              <w:rPr>
                <w:rFonts w:ascii="宋体" w:hAnsi="宋体" w:eastAsia="宋体" w:cs="宋体"/>
                <w:sz w:val="20"/>
                <w:szCs w:val="20"/>
              </w:rPr>
            </w:pPr>
            <w:r>
              <w:rPr>
                <w:rFonts w:ascii="宋体" w:hAnsi="宋体" w:eastAsia="宋体" w:cs="宋体"/>
                <w:spacing w:val="5"/>
                <w:sz w:val="20"/>
                <w:szCs w:val="20"/>
              </w:rPr>
              <w:t>农</w:t>
            </w:r>
            <w:r>
              <w:rPr>
                <w:rFonts w:ascii="宋体" w:hAnsi="宋体" w:eastAsia="宋体" w:cs="宋体"/>
                <w:spacing w:val="4"/>
                <w:sz w:val="20"/>
                <w:szCs w:val="20"/>
              </w:rPr>
              <w:t>村</w:t>
            </w:r>
          </w:p>
        </w:tc>
      </w:tr>
      <w:tr w14:paraId="76A04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960" w:type="dxa"/>
            <w:vMerge w:val="continue"/>
            <w:tcBorders>
              <w:top w:val="nil"/>
              <w:left w:val="nil"/>
            </w:tcBorders>
          </w:tcPr>
          <w:p w14:paraId="14F95B1E"/>
        </w:tc>
        <w:tc>
          <w:tcPr>
            <w:tcW w:w="2962" w:type="dxa"/>
          </w:tcPr>
          <w:p w14:paraId="3D2954DB">
            <w:pPr>
              <w:spacing w:before="31" w:line="226" w:lineRule="auto"/>
              <w:ind w:left="439"/>
              <w:rPr>
                <w:rFonts w:ascii="宋体" w:hAnsi="宋体" w:eastAsia="宋体" w:cs="宋体"/>
                <w:sz w:val="20"/>
                <w:szCs w:val="20"/>
              </w:rPr>
            </w:pPr>
            <w:r>
              <w:rPr>
                <w:rFonts w:ascii="宋体" w:hAnsi="宋体" w:eastAsia="宋体" w:cs="宋体"/>
                <w:spacing w:val="9"/>
                <w:sz w:val="20"/>
                <w:szCs w:val="20"/>
              </w:rPr>
              <w:t>人</w:t>
            </w:r>
            <w:r>
              <w:rPr>
                <w:rFonts w:ascii="宋体" w:hAnsi="宋体" w:eastAsia="宋体" w:cs="宋体"/>
                <w:spacing w:val="7"/>
                <w:sz w:val="20"/>
                <w:szCs w:val="20"/>
              </w:rPr>
              <w:t>口数 (城市选项时)</w:t>
            </w:r>
          </w:p>
        </w:tc>
        <w:tc>
          <w:tcPr>
            <w:tcW w:w="2960" w:type="dxa"/>
            <w:tcBorders>
              <w:right w:val="nil"/>
            </w:tcBorders>
          </w:tcPr>
          <w:p w14:paraId="75A92FEB">
            <w:pPr>
              <w:spacing w:before="67" w:line="195" w:lineRule="auto"/>
              <w:ind w:left="1432"/>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r>
      <w:tr w14:paraId="0DF538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5922" w:type="dxa"/>
            <w:gridSpan w:val="2"/>
            <w:tcBorders>
              <w:left w:val="nil"/>
            </w:tcBorders>
          </w:tcPr>
          <w:p w14:paraId="7EAFF744">
            <w:pPr>
              <w:spacing w:line="276" w:lineRule="exact"/>
              <w:ind w:left="2207"/>
              <w:rPr>
                <w:rFonts w:ascii="宋体" w:hAnsi="宋体" w:eastAsia="宋体" w:cs="宋体"/>
                <w:sz w:val="20"/>
                <w:szCs w:val="20"/>
              </w:rPr>
            </w:pPr>
            <w:r>
              <w:rPr>
                <w:rFonts w:ascii="宋体" w:hAnsi="宋体" w:eastAsia="宋体" w:cs="宋体"/>
                <w:spacing w:val="11"/>
                <w:position w:val="1"/>
                <w:sz w:val="20"/>
                <w:szCs w:val="20"/>
              </w:rPr>
              <w:t>最</w:t>
            </w:r>
            <w:r>
              <w:rPr>
                <w:rFonts w:ascii="宋体" w:hAnsi="宋体" w:eastAsia="宋体" w:cs="宋体"/>
                <w:spacing w:val="7"/>
                <w:position w:val="1"/>
                <w:sz w:val="20"/>
                <w:szCs w:val="20"/>
              </w:rPr>
              <w:t>高环境温度</w:t>
            </w:r>
            <w:r>
              <w:rPr>
                <w:rFonts w:ascii="Times New Roman" w:hAnsi="Times New Roman" w:eastAsia="Times New Roman" w:cs="Times New Roman"/>
                <w:spacing w:val="7"/>
                <w:position w:val="1"/>
                <w:sz w:val="20"/>
                <w:szCs w:val="20"/>
              </w:rPr>
              <w:t>/</w:t>
            </w:r>
            <w:r>
              <w:rPr>
                <w:rFonts w:ascii="宋体" w:hAnsi="宋体" w:eastAsia="宋体" w:cs="宋体"/>
                <w:spacing w:val="7"/>
                <w:position w:val="1"/>
                <w:sz w:val="20"/>
                <w:szCs w:val="20"/>
              </w:rPr>
              <w:t>℃</w:t>
            </w:r>
          </w:p>
        </w:tc>
        <w:tc>
          <w:tcPr>
            <w:tcW w:w="2960" w:type="dxa"/>
            <w:tcBorders>
              <w:right w:val="nil"/>
            </w:tcBorders>
          </w:tcPr>
          <w:p w14:paraId="3FADE9F5">
            <w:pPr>
              <w:spacing w:before="69" w:line="195" w:lineRule="auto"/>
              <w:ind w:left="130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38.</w:t>
            </w:r>
            <w:r>
              <w:rPr>
                <w:rFonts w:ascii="Times New Roman" w:hAnsi="Times New Roman" w:eastAsia="Times New Roman" w:cs="Times New Roman"/>
                <w:spacing w:val="1"/>
                <w:sz w:val="20"/>
                <w:szCs w:val="20"/>
              </w:rPr>
              <w:t>4</w:t>
            </w:r>
          </w:p>
        </w:tc>
      </w:tr>
      <w:tr w14:paraId="1F32AF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5922" w:type="dxa"/>
            <w:gridSpan w:val="2"/>
            <w:tcBorders>
              <w:left w:val="nil"/>
            </w:tcBorders>
          </w:tcPr>
          <w:p w14:paraId="13812CBF">
            <w:pPr>
              <w:spacing w:line="275" w:lineRule="exact"/>
              <w:ind w:left="2207"/>
              <w:rPr>
                <w:rFonts w:ascii="宋体" w:hAnsi="宋体" w:eastAsia="宋体" w:cs="宋体"/>
                <w:sz w:val="20"/>
                <w:szCs w:val="20"/>
              </w:rPr>
            </w:pPr>
            <w:r>
              <w:rPr>
                <w:rFonts w:ascii="宋体" w:hAnsi="宋体" w:eastAsia="宋体" w:cs="宋体"/>
                <w:spacing w:val="11"/>
                <w:position w:val="1"/>
                <w:sz w:val="20"/>
                <w:szCs w:val="20"/>
              </w:rPr>
              <w:t>最</w:t>
            </w:r>
            <w:r>
              <w:rPr>
                <w:rFonts w:ascii="宋体" w:hAnsi="宋体" w:eastAsia="宋体" w:cs="宋体"/>
                <w:spacing w:val="7"/>
                <w:position w:val="1"/>
                <w:sz w:val="20"/>
                <w:szCs w:val="20"/>
              </w:rPr>
              <w:t>低环境温度</w:t>
            </w:r>
            <w:r>
              <w:rPr>
                <w:rFonts w:ascii="Times New Roman" w:hAnsi="Times New Roman" w:eastAsia="Times New Roman" w:cs="Times New Roman"/>
                <w:spacing w:val="7"/>
                <w:position w:val="1"/>
                <w:sz w:val="20"/>
                <w:szCs w:val="20"/>
              </w:rPr>
              <w:t>/</w:t>
            </w:r>
            <w:r>
              <w:rPr>
                <w:rFonts w:ascii="宋体" w:hAnsi="宋体" w:eastAsia="宋体" w:cs="宋体"/>
                <w:spacing w:val="7"/>
                <w:position w:val="1"/>
                <w:sz w:val="20"/>
                <w:szCs w:val="20"/>
              </w:rPr>
              <w:t>℃</w:t>
            </w:r>
          </w:p>
        </w:tc>
        <w:tc>
          <w:tcPr>
            <w:tcW w:w="2960" w:type="dxa"/>
            <w:tcBorders>
              <w:right w:val="nil"/>
            </w:tcBorders>
          </w:tcPr>
          <w:p w14:paraId="5D9E5BC0">
            <w:pPr>
              <w:spacing w:before="68" w:line="195" w:lineRule="auto"/>
              <w:ind w:left="140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-4</w:t>
            </w:r>
          </w:p>
        </w:tc>
      </w:tr>
      <w:tr w14:paraId="367E4F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5922" w:type="dxa"/>
            <w:gridSpan w:val="2"/>
            <w:tcBorders>
              <w:left w:val="nil"/>
            </w:tcBorders>
          </w:tcPr>
          <w:p w14:paraId="768BC696">
            <w:pPr>
              <w:spacing w:before="33" w:line="224" w:lineRule="auto"/>
              <w:ind w:left="2340"/>
              <w:rPr>
                <w:rFonts w:ascii="宋体" w:hAnsi="宋体" w:eastAsia="宋体" w:cs="宋体"/>
                <w:sz w:val="20"/>
                <w:szCs w:val="20"/>
              </w:rPr>
            </w:pPr>
            <w:r>
              <w:rPr>
                <w:rFonts w:ascii="宋体" w:hAnsi="宋体" w:eastAsia="宋体" w:cs="宋体"/>
                <w:spacing w:val="8"/>
                <w:sz w:val="20"/>
                <w:szCs w:val="20"/>
              </w:rPr>
              <w:t>土地利用类型</w:t>
            </w:r>
          </w:p>
        </w:tc>
        <w:tc>
          <w:tcPr>
            <w:tcW w:w="2960" w:type="dxa"/>
            <w:tcBorders>
              <w:right w:val="nil"/>
            </w:tcBorders>
          </w:tcPr>
          <w:p w14:paraId="6B4E50CA">
            <w:pPr>
              <w:spacing w:before="33" w:line="224" w:lineRule="auto"/>
              <w:ind w:left="1275"/>
              <w:rPr>
                <w:rFonts w:ascii="宋体" w:hAnsi="宋体" w:eastAsia="宋体" w:cs="宋体"/>
                <w:sz w:val="20"/>
                <w:szCs w:val="20"/>
              </w:rPr>
            </w:pPr>
            <w:r>
              <w:rPr>
                <w:rFonts w:ascii="宋体" w:hAnsi="宋体" w:eastAsia="宋体" w:cs="宋体"/>
                <w:spacing w:val="4"/>
                <w:sz w:val="20"/>
                <w:szCs w:val="20"/>
              </w:rPr>
              <w:t>林地</w:t>
            </w:r>
          </w:p>
        </w:tc>
      </w:tr>
      <w:tr w14:paraId="12917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5922" w:type="dxa"/>
            <w:gridSpan w:val="2"/>
            <w:tcBorders>
              <w:left w:val="nil"/>
            </w:tcBorders>
          </w:tcPr>
          <w:p w14:paraId="26C03796">
            <w:pPr>
              <w:spacing w:before="35" w:line="223" w:lineRule="auto"/>
              <w:ind w:left="2354"/>
              <w:rPr>
                <w:rFonts w:ascii="宋体" w:hAnsi="宋体" w:eastAsia="宋体" w:cs="宋体"/>
                <w:sz w:val="20"/>
                <w:szCs w:val="20"/>
              </w:rPr>
            </w:pPr>
            <w:r>
              <w:rPr>
                <w:rFonts w:ascii="宋体" w:hAnsi="宋体" w:eastAsia="宋体" w:cs="宋体"/>
                <w:spacing w:val="9"/>
                <w:sz w:val="20"/>
                <w:szCs w:val="20"/>
              </w:rPr>
              <w:t>区</w:t>
            </w:r>
            <w:r>
              <w:rPr>
                <w:rFonts w:ascii="宋体" w:hAnsi="宋体" w:eastAsia="宋体" w:cs="宋体"/>
                <w:spacing w:val="5"/>
                <w:sz w:val="20"/>
                <w:szCs w:val="20"/>
              </w:rPr>
              <w:t>域湿度条件</w:t>
            </w:r>
          </w:p>
        </w:tc>
        <w:tc>
          <w:tcPr>
            <w:tcW w:w="2960" w:type="dxa"/>
            <w:tcBorders>
              <w:right w:val="nil"/>
            </w:tcBorders>
          </w:tcPr>
          <w:p w14:paraId="37214644">
            <w:pPr>
              <w:spacing w:before="35" w:line="223" w:lineRule="auto"/>
              <w:ind w:left="1273"/>
              <w:rPr>
                <w:rFonts w:ascii="宋体" w:hAnsi="宋体" w:eastAsia="宋体" w:cs="宋体"/>
                <w:sz w:val="20"/>
                <w:szCs w:val="20"/>
              </w:rPr>
            </w:pPr>
            <w:r>
              <w:rPr>
                <w:rFonts w:ascii="宋体" w:hAnsi="宋体" w:eastAsia="宋体" w:cs="宋体"/>
                <w:spacing w:val="5"/>
                <w:sz w:val="20"/>
                <w:szCs w:val="20"/>
              </w:rPr>
              <w:t>潮湿</w:t>
            </w:r>
          </w:p>
        </w:tc>
      </w:tr>
      <w:tr w14:paraId="25E812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960" w:type="dxa"/>
            <w:vMerge w:val="restart"/>
            <w:tcBorders>
              <w:left w:val="nil"/>
              <w:bottom w:val="nil"/>
            </w:tcBorders>
          </w:tcPr>
          <w:p w14:paraId="70B08AD7">
            <w:pPr>
              <w:spacing w:before="175" w:line="227" w:lineRule="auto"/>
              <w:ind w:left="861"/>
              <w:rPr>
                <w:rFonts w:ascii="宋体" w:hAnsi="宋体" w:eastAsia="宋体" w:cs="宋体"/>
                <w:sz w:val="20"/>
                <w:szCs w:val="20"/>
              </w:rPr>
            </w:pPr>
            <w:r>
              <w:rPr>
                <w:rFonts w:ascii="宋体" w:hAnsi="宋体" w:eastAsia="宋体" w:cs="宋体"/>
                <w:spacing w:val="11"/>
                <w:sz w:val="20"/>
                <w:szCs w:val="20"/>
              </w:rPr>
              <w:t>是</w:t>
            </w:r>
            <w:r>
              <w:rPr>
                <w:rFonts w:ascii="宋体" w:hAnsi="宋体" w:eastAsia="宋体" w:cs="宋体"/>
                <w:spacing w:val="7"/>
                <w:sz w:val="20"/>
                <w:szCs w:val="20"/>
              </w:rPr>
              <w:t>否考虑地形</w:t>
            </w:r>
          </w:p>
        </w:tc>
        <w:tc>
          <w:tcPr>
            <w:tcW w:w="2962" w:type="dxa"/>
          </w:tcPr>
          <w:p w14:paraId="3FCB47BA">
            <w:pPr>
              <w:spacing w:before="34" w:line="224" w:lineRule="auto"/>
              <w:ind w:left="1066"/>
              <w:rPr>
                <w:rFonts w:ascii="宋体" w:hAnsi="宋体" w:eastAsia="宋体" w:cs="宋体"/>
                <w:sz w:val="20"/>
                <w:szCs w:val="20"/>
              </w:rPr>
            </w:pPr>
            <w:r>
              <w:rPr>
                <w:rFonts w:ascii="宋体" w:hAnsi="宋体" w:eastAsia="宋体" w:cs="宋体"/>
                <w:spacing w:val="8"/>
                <w:sz w:val="20"/>
                <w:szCs w:val="20"/>
              </w:rPr>
              <w:t>考</w:t>
            </w:r>
            <w:r>
              <w:rPr>
                <w:rFonts w:ascii="宋体" w:hAnsi="宋体" w:eastAsia="宋体" w:cs="宋体"/>
                <w:spacing w:val="7"/>
                <w:sz w:val="20"/>
                <w:szCs w:val="20"/>
              </w:rPr>
              <w:t>虑地形</w:t>
            </w:r>
          </w:p>
        </w:tc>
        <w:tc>
          <w:tcPr>
            <w:tcW w:w="2960" w:type="dxa"/>
            <w:tcBorders>
              <w:right w:val="nil"/>
            </w:tcBorders>
          </w:tcPr>
          <w:p w14:paraId="748B7A84">
            <w:pPr>
              <w:spacing w:before="34" w:line="224" w:lineRule="auto"/>
              <w:ind w:left="1383"/>
              <w:rPr>
                <w:rFonts w:ascii="宋体" w:hAnsi="宋体" w:eastAsia="宋体" w:cs="宋体"/>
                <w:sz w:val="20"/>
                <w:szCs w:val="20"/>
              </w:rPr>
            </w:pPr>
            <w:r>
              <w:rPr>
                <w:rFonts w:ascii="宋体" w:hAnsi="宋体" w:eastAsia="宋体" w:cs="宋体"/>
                <w:sz w:val="20"/>
                <w:szCs w:val="20"/>
              </w:rPr>
              <w:t>是</w:t>
            </w:r>
          </w:p>
        </w:tc>
      </w:tr>
      <w:tr w14:paraId="11FEC7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960" w:type="dxa"/>
            <w:vMerge w:val="continue"/>
            <w:tcBorders>
              <w:top w:val="nil"/>
              <w:left w:val="nil"/>
            </w:tcBorders>
          </w:tcPr>
          <w:p w14:paraId="53296EE6"/>
        </w:tc>
        <w:tc>
          <w:tcPr>
            <w:tcW w:w="2962" w:type="dxa"/>
          </w:tcPr>
          <w:p w14:paraId="77903EA0">
            <w:pPr>
              <w:spacing w:line="276" w:lineRule="exact"/>
              <w:ind w:left="641"/>
              <w:rPr>
                <w:rFonts w:ascii="Times New Roman" w:hAnsi="Times New Roman" w:eastAsia="Times New Roman" w:cs="Times New Roman"/>
                <w:sz w:val="20"/>
                <w:szCs w:val="20"/>
              </w:rPr>
            </w:pPr>
            <w:r>
              <w:rPr>
                <w:rFonts w:ascii="宋体" w:hAnsi="宋体" w:eastAsia="宋体" w:cs="宋体"/>
                <w:spacing w:val="13"/>
                <w:position w:val="1"/>
                <w:sz w:val="20"/>
                <w:szCs w:val="20"/>
              </w:rPr>
              <w:t>地</w:t>
            </w:r>
            <w:r>
              <w:rPr>
                <w:rFonts w:ascii="宋体" w:hAnsi="宋体" w:eastAsia="宋体" w:cs="宋体"/>
                <w:spacing w:val="8"/>
                <w:position w:val="1"/>
                <w:sz w:val="20"/>
                <w:szCs w:val="20"/>
              </w:rPr>
              <w:t>形数据分辨率</w:t>
            </w:r>
            <w:r>
              <w:rPr>
                <w:rFonts w:ascii="Times New Roman" w:hAnsi="Times New Roman" w:eastAsia="Times New Roman" w:cs="Times New Roman"/>
                <w:spacing w:val="8"/>
                <w:position w:val="1"/>
                <w:sz w:val="20"/>
                <w:szCs w:val="20"/>
              </w:rPr>
              <w:t>/</w:t>
            </w:r>
            <w:r>
              <w:rPr>
                <w:rFonts w:ascii="Times New Roman" w:hAnsi="Times New Roman" w:eastAsia="Times New Roman" w:cs="Times New Roman"/>
                <w:position w:val="1"/>
                <w:sz w:val="20"/>
                <w:szCs w:val="20"/>
              </w:rPr>
              <w:t>m</w:t>
            </w:r>
          </w:p>
        </w:tc>
        <w:tc>
          <w:tcPr>
            <w:tcW w:w="2960" w:type="dxa"/>
            <w:tcBorders>
              <w:right w:val="nil"/>
            </w:tcBorders>
          </w:tcPr>
          <w:p w14:paraId="73BF6E7E">
            <w:pPr>
              <w:spacing w:before="71" w:line="195" w:lineRule="auto"/>
              <w:ind w:left="138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w:t>
            </w:r>
            <w:r>
              <w:rPr>
                <w:rFonts w:ascii="Times New Roman" w:hAnsi="Times New Roman" w:eastAsia="Times New Roman" w:cs="Times New Roman"/>
                <w:sz w:val="20"/>
                <w:szCs w:val="20"/>
              </w:rPr>
              <w:t>0</w:t>
            </w:r>
          </w:p>
        </w:tc>
      </w:tr>
      <w:tr w14:paraId="6FD66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2960" w:type="dxa"/>
            <w:tcBorders>
              <w:left w:val="nil"/>
            </w:tcBorders>
          </w:tcPr>
          <w:p w14:paraId="7626C0CB">
            <w:pPr>
              <w:spacing w:before="36" w:line="227" w:lineRule="auto"/>
              <w:ind w:left="650"/>
              <w:rPr>
                <w:rFonts w:ascii="宋体" w:hAnsi="宋体" w:eastAsia="宋体" w:cs="宋体"/>
                <w:sz w:val="20"/>
                <w:szCs w:val="20"/>
              </w:rPr>
            </w:pPr>
            <w:r>
              <w:rPr>
                <w:rFonts w:ascii="宋体" w:hAnsi="宋体" w:eastAsia="宋体" w:cs="宋体"/>
                <w:spacing w:val="10"/>
                <w:sz w:val="20"/>
                <w:szCs w:val="20"/>
              </w:rPr>
              <w:t>是</w:t>
            </w:r>
            <w:r>
              <w:rPr>
                <w:rFonts w:ascii="宋体" w:hAnsi="宋体" w:eastAsia="宋体" w:cs="宋体"/>
                <w:spacing w:val="8"/>
                <w:sz w:val="20"/>
                <w:szCs w:val="20"/>
              </w:rPr>
              <w:t>否考虑岸线熏烟</w:t>
            </w:r>
          </w:p>
        </w:tc>
        <w:tc>
          <w:tcPr>
            <w:tcW w:w="2962" w:type="dxa"/>
          </w:tcPr>
          <w:p w14:paraId="47BF16BE">
            <w:pPr>
              <w:spacing w:before="36" w:line="227" w:lineRule="auto"/>
              <w:ind w:left="857"/>
              <w:rPr>
                <w:rFonts w:ascii="宋体" w:hAnsi="宋体" w:eastAsia="宋体" w:cs="宋体"/>
                <w:sz w:val="20"/>
                <w:szCs w:val="20"/>
              </w:rPr>
            </w:pPr>
            <w:r>
              <w:rPr>
                <w:rFonts w:ascii="宋体" w:hAnsi="宋体" w:eastAsia="宋体" w:cs="宋体"/>
                <w:spacing w:val="9"/>
                <w:sz w:val="20"/>
                <w:szCs w:val="20"/>
              </w:rPr>
              <w:t>考</w:t>
            </w:r>
            <w:r>
              <w:rPr>
                <w:rFonts w:ascii="宋体" w:hAnsi="宋体" w:eastAsia="宋体" w:cs="宋体"/>
                <w:spacing w:val="8"/>
                <w:sz w:val="20"/>
                <w:szCs w:val="20"/>
              </w:rPr>
              <w:t>虑岸线熏烟</w:t>
            </w:r>
          </w:p>
        </w:tc>
        <w:tc>
          <w:tcPr>
            <w:tcW w:w="2960" w:type="dxa"/>
            <w:tcBorders>
              <w:right w:val="nil"/>
            </w:tcBorders>
          </w:tcPr>
          <w:p w14:paraId="08D85F8D">
            <w:pPr>
              <w:spacing w:before="37" w:line="228" w:lineRule="auto"/>
              <w:ind w:left="1386"/>
              <w:rPr>
                <w:rFonts w:ascii="宋体" w:hAnsi="宋体" w:eastAsia="宋体" w:cs="宋体"/>
                <w:sz w:val="20"/>
                <w:szCs w:val="20"/>
              </w:rPr>
            </w:pPr>
            <w:r>
              <w:rPr>
                <w:rFonts w:ascii="宋体" w:hAnsi="宋体" w:eastAsia="宋体" w:cs="宋体"/>
                <w:sz w:val="20"/>
                <w:szCs w:val="20"/>
              </w:rPr>
              <w:t>否</w:t>
            </w:r>
          </w:p>
        </w:tc>
      </w:tr>
    </w:tbl>
    <w:p w14:paraId="0F2B45F7"/>
    <w:p w14:paraId="0A27DFBD">
      <w:pPr>
        <w:sectPr>
          <w:headerReference r:id="rId189" w:type="default"/>
          <w:footerReference r:id="rId190" w:type="default"/>
          <w:pgSz w:w="11907" w:h="16840"/>
          <w:pgMar w:top="1153" w:right="1471" w:bottom="1485" w:left="1551" w:header="919" w:footer="1298" w:gutter="0"/>
          <w:cols w:space="720" w:num="1"/>
        </w:sectPr>
      </w:pPr>
    </w:p>
    <w:p w14:paraId="36BF0251">
      <w:pPr>
        <w:spacing w:line="460" w:lineRule="auto"/>
      </w:pPr>
    </w:p>
    <w:p w14:paraId="58C8C127">
      <w:pPr>
        <w:spacing w:before="56" w:line="229" w:lineRule="auto"/>
        <w:ind w:left="294"/>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28A6EC4E">
      <w:pPr>
        <w:spacing w:line="14" w:lineRule="exact"/>
      </w:pPr>
    </w:p>
    <w:tbl>
      <w:tblPr>
        <w:tblStyle w:val="4"/>
        <w:tblW w:w="8883" w:type="dxa"/>
        <w:tblInd w:w="17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60"/>
        <w:gridCol w:w="2962"/>
        <w:gridCol w:w="2961"/>
      </w:tblGrid>
      <w:tr w14:paraId="1EB60E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2960" w:type="dxa"/>
            <w:vMerge w:val="restart"/>
            <w:tcBorders>
              <w:left w:val="nil"/>
              <w:bottom w:val="nil"/>
            </w:tcBorders>
          </w:tcPr>
          <w:p w14:paraId="26C43ED5"/>
        </w:tc>
        <w:tc>
          <w:tcPr>
            <w:tcW w:w="2962" w:type="dxa"/>
          </w:tcPr>
          <w:p w14:paraId="51AB4AB1">
            <w:pPr>
              <w:spacing w:before="34" w:line="281" w:lineRule="exact"/>
              <w:ind w:left="903"/>
              <w:rPr>
                <w:rFonts w:ascii="Times New Roman" w:hAnsi="Times New Roman" w:eastAsia="Times New Roman" w:cs="Times New Roman"/>
                <w:sz w:val="20"/>
                <w:szCs w:val="20"/>
              </w:rPr>
            </w:pPr>
            <w:r>
              <w:rPr>
                <w:rFonts w:ascii="宋体" w:hAnsi="宋体" w:eastAsia="宋体" w:cs="宋体"/>
                <w:spacing w:val="10"/>
                <w:position w:val="1"/>
                <w:sz w:val="20"/>
                <w:szCs w:val="20"/>
              </w:rPr>
              <w:t>岸</w:t>
            </w:r>
            <w:r>
              <w:rPr>
                <w:rFonts w:ascii="宋体" w:hAnsi="宋体" w:eastAsia="宋体" w:cs="宋体"/>
                <w:spacing w:val="9"/>
                <w:position w:val="1"/>
                <w:sz w:val="20"/>
                <w:szCs w:val="20"/>
              </w:rPr>
              <w:t>线距离</w:t>
            </w:r>
            <w:r>
              <w:rPr>
                <w:rFonts w:ascii="Times New Roman" w:hAnsi="Times New Roman" w:eastAsia="Times New Roman" w:cs="Times New Roman"/>
                <w:spacing w:val="9"/>
                <w:position w:val="1"/>
                <w:sz w:val="20"/>
                <w:szCs w:val="20"/>
              </w:rPr>
              <w:t>/</w:t>
            </w:r>
            <w:r>
              <w:rPr>
                <w:rFonts w:ascii="Times New Roman" w:hAnsi="Times New Roman" w:eastAsia="Times New Roman" w:cs="Times New Roman"/>
                <w:position w:val="1"/>
                <w:sz w:val="20"/>
                <w:szCs w:val="20"/>
              </w:rPr>
              <w:t>km</w:t>
            </w:r>
          </w:p>
        </w:tc>
        <w:tc>
          <w:tcPr>
            <w:tcW w:w="2961" w:type="dxa"/>
            <w:tcBorders>
              <w:right w:val="nil"/>
            </w:tcBorders>
          </w:tcPr>
          <w:p w14:paraId="335D55EC">
            <w:pPr>
              <w:spacing w:before="34" w:line="281" w:lineRule="exact"/>
              <w:ind w:left="1449"/>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29319F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2960" w:type="dxa"/>
            <w:vMerge w:val="continue"/>
            <w:tcBorders>
              <w:top w:val="nil"/>
              <w:left w:val="nil"/>
            </w:tcBorders>
          </w:tcPr>
          <w:p w14:paraId="495B4246"/>
        </w:tc>
        <w:tc>
          <w:tcPr>
            <w:tcW w:w="2962" w:type="dxa"/>
          </w:tcPr>
          <w:p w14:paraId="4D0A5BD5">
            <w:pPr>
              <w:spacing w:line="278" w:lineRule="exact"/>
              <w:ind w:left="994"/>
              <w:rPr>
                <w:rFonts w:ascii="Times New Roman" w:hAnsi="Times New Roman" w:eastAsia="Times New Roman" w:cs="Times New Roman"/>
                <w:sz w:val="20"/>
                <w:szCs w:val="20"/>
              </w:rPr>
            </w:pPr>
            <w:r>
              <w:rPr>
                <w:rFonts w:ascii="宋体" w:hAnsi="宋体" w:eastAsia="宋体" w:cs="宋体"/>
                <w:spacing w:val="9"/>
                <w:position w:val="1"/>
                <w:sz w:val="20"/>
                <w:szCs w:val="20"/>
              </w:rPr>
              <w:t>岸</w:t>
            </w:r>
            <w:r>
              <w:rPr>
                <w:rFonts w:ascii="宋体" w:hAnsi="宋体" w:eastAsia="宋体" w:cs="宋体"/>
                <w:spacing w:val="6"/>
                <w:position w:val="1"/>
                <w:sz w:val="20"/>
                <w:szCs w:val="20"/>
              </w:rPr>
              <w:t>线方向</w:t>
            </w:r>
            <w:r>
              <w:rPr>
                <w:rFonts w:ascii="Times New Roman" w:hAnsi="Times New Roman" w:eastAsia="Times New Roman" w:cs="Times New Roman"/>
                <w:spacing w:val="6"/>
                <w:position w:val="1"/>
                <w:sz w:val="20"/>
                <w:szCs w:val="20"/>
              </w:rPr>
              <w:t>/°</w:t>
            </w:r>
          </w:p>
        </w:tc>
        <w:tc>
          <w:tcPr>
            <w:tcW w:w="2961" w:type="dxa"/>
            <w:tcBorders>
              <w:right w:val="nil"/>
            </w:tcBorders>
          </w:tcPr>
          <w:p w14:paraId="2171E381">
            <w:pPr>
              <w:spacing w:line="278" w:lineRule="exact"/>
              <w:ind w:left="1449"/>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bl>
    <w:p w14:paraId="6FC5E689">
      <w:pPr>
        <w:spacing w:before="37" w:line="227" w:lineRule="auto"/>
        <w:ind w:left="788"/>
        <w:rPr>
          <w:rFonts w:ascii="宋体" w:hAnsi="宋体" w:eastAsia="宋体" w:cs="宋体"/>
          <w:sz w:val="23"/>
          <w:szCs w:val="23"/>
        </w:rPr>
      </w:pP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宋体" w:hAnsi="宋体" w:eastAsia="宋体" w:cs="宋体"/>
          <w:spacing w:val="17"/>
          <w:sz w:val="23"/>
          <w:szCs w:val="23"/>
          <w14:textOutline w14:w="4356" w14:cap="sq" w14:cmpd="sng" w14:algn="ctr">
            <w14:solidFill>
              <w14:srgbClr w14:val="000000"/>
            </w14:solidFill>
            <w14:prstDash w14:val="solid"/>
            <w14:bevel/>
          </w14:textOutline>
        </w:rPr>
        <w:t>3)</w:t>
      </w:r>
      <w:r>
        <w:rPr>
          <w:rFonts w:ascii="宋体" w:hAnsi="宋体" w:eastAsia="宋体" w:cs="宋体"/>
          <w:spacing w:val="17"/>
          <w:sz w:val="23"/>
          <w:szCs w:val="23"/>
        </w:rPr>
        <w:t xml:space="preserve"> </w:t>
      </w:r>
      <w:r>
        <w:rPr>
          <w:rFonts w:ascii="宋体" w:hAnsi="宋体" w:eastAsia="宋体" w:cs="宋体"/>
          <w:spacing w:val="17"/>
          <w:sz w:val="23"/>
          <w:szCs w:val="23"/>
          <w14:textOutline w14:w="4356" w14:cap="sq" w14:cmpd="sng" w14:algn="ctr">
            <w14:solidFill>
              <w14:srgbClr w14:val="000000"/>
            </w14:solidFill>
            <w14:prstDash w14:val="solid"/>
            <w14:bevel/>
          </w14:textOutline>
        </w:rPr>
        <w:t>污染源强预测参数</w:t>
      </w:r>
    </w:p>
    <w:p w14:paraId="162A0A10">
      <w:pPr>
        <w:spacing w:before="183" w:line="379" w:lineRule="auto"/>
        <w:ind w:left="297" w:right="283" w:firstLine="480"/>
        <w:rPr>
          <w:rFonts w:ascii="宋体" w:hAnsi="宋体" w:eastAsia="宋体" w:cs="宋体"/>
          <w:sz w:val="23"/>
          <w:szCs w:val="23"/>
        </w:rPr>
      </w:pPr>
      <w:r>
        <w:rPr>
          <w:rFonts w:ascii="宋体" w:hAnsi="宋体" w:eastAsia="宋体" w:cs="宋体"/>
          <w:spacing w:val="20"/>
          <w:sz w:val="23"/>
          <w:szCs w:val="23"/>
        </w:rPr>
        <w:t>养</w:t>
      </w:r>
      <w:r>
        <w:rPr>
          <w:rFonts w:ascii="宋体" w:hAnsi="宋体" w:eastAsia="宋体" w:cs="宋体"/>
          <w:spacing w:val="15"/>
          <w:sz w:val="23"/>
          <w:szCs w:val="23"/>
        </w:rPr>
        <w:t>殖</w:t>
      </w:r>
      <w:r>
        <w:rPr>
          <w:rFonts w:ascii="宋体" w:hAnsi="宋体" w:eastAsia="宋体" w:cs="宋体"/>
          <w:spacing w:val="10"/>
          <w:sz w:val="23"/>
          <w:szCs w:val="23"/>
        </w:rPr>
        <w:t>场恶臭气体主要来自猪舍、异位微生物发酵床、集污池等，主要为污染物</w:t>
      </w:r>
      <w:r>
        <w:rPr>
          <w:rFonts w:ascii="宋体" w:hAnsi="宋体" w:eastAsia="宋体" w:cs="宋体"/>
          <w:sz w:val="23"/>
          <w:szCs w:val="23"/>
        </w:rPr>
        <w:t xml:space="preserve"> </w:t>
      </w:r>
      <w:r>
        <w:rPr>
          <w:rFonts w:ascii="宋体" w:hAnsi="宋体" w:eastAsia="宋体" w:cs="宋体"/>
          <w:spacing w:val="10"/>
          <w:sz w:val="23"/>
          <w:szCs w:val="23"/>
        </w:rPr>
        <w:t>为</w:t>
      </w:r>
      <w:r>
        <w:rPr>
          <w:rFonts w:ascii="宋体" w:hAnsi="宋体" w:eastAsia="宋体" w:cs="宋体"/>
          <w:spacing w:val="8"/>
          <w:sz w:val="23"/>
          <w:szCs w:val="23"/>
        </w:rPr>
        <w:t xml:space="preserve"> </w:t>
      </w:r>
      <w:r>
        <w:rPr>
          <w:rFonts w:ascii="Times New Roman" w:hAnsi="Times New Roman" w:eastAsia="Times New Roman" w:cs="Times New Roman"/>
          <w:sz w:val="23"/>
          <w:szCs w:val="23"/>
        </w:rPr>
        <w:t>NH</w:t>
      </w:r>
      <w:r>
        <w:rPr>
          <w:rFonts w:ascii="Times New Roman" w:hAnsi="Times New Roman" w:eastAsia="Times New Roman" w:cs="Times New Roman"/>
          <w:spacing w:val="5"/>
          <w:position w:val="-1"/>
          <w:sz w:val="15"/>
          <w:szCs w:val="15"/>
        </w:rPr>
        <w:t xml:space="preserve">3 </w:t>
      </w:r>
      <w:r>
        <w:rPr>
          <w:rFonts w:ascii="宋体" w:hAnsi="宋体" w:eastAsia="宋体" w:cs="宋体"/>
          <w:spacing w:val="5"/>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5"/>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，均为无组织排放。 由于项目猪舍与异位微生物发酵床、集污池相邻</w:t>
      </w:r>
      <w:r>
        <w:rPr>
          <w:rFonts w:ascii="宋体" w:hAnsi="宋体" w:eastAsia="宋体" w:cs="宋体"/>
          <w:sz w:val="23"/>
          <w:szCs w:val="23"/>
        </w:rPr>
        <w:t xml:space="preserve"> </w:t>
      </w:r>
      <w:r>
        <w:rPr>
          <w:rFonts w:ascii="宋体" w:hAnsi="宋体" w:eastAsia="宋体" w:cs="宋体"/>
          <w:spacing w:val="20"/>
          <w:sz w:val="23"/>
          <w:szCs w:val="23"/>
        </w:rPr>
        <w:t>较</w:t>
      </w:r>
      <w:r>
        <w:rPr>
          <w:rFonts w:ascii="宋体" w:hAnsi="宋体" w:eastAsia="宋体" w:cs="宋体"/>
          <w:spacing w:val="16"/>
          <w:sz w:val="23"/>
          <w:szCs w:val="23"/>
        </w:rPr>
        <w:t>近</w:t>
      </w:r>
      <w:r>
        <w:rPr>
          <w:rFonts w:ascii="宋体" w:hAnsi="宋体" w:eastAsia="宋体" w:cs="宋体"/>
          <w:spacing w:val="10"/>
          <w:sz w:val="23"/>
          <w:szCs w:val="23"/>
        </w:rPr>
        <w:t>，项目将猪舍与异位微生物发酵床、集污池作为一个整体进行分析，本项目污</w:t>
      </w:r>
      <w:r>
        <w:rPr>
          <w:rFonts w:ascii="宋体" w:hAnsi="宋体" w:eastAsia="宋体" w:cs="宋体"/>
          <w:sz w:val="23"/>
          <w:szCs w:val="23"/>
        </w:rPr>
        <w:t xml:space="preserve"> </w:t>
      </w:r>
      <w:r>
        <w:rPr>
          <w:rFonts w:ascii="宋体" w:hAnsi="宋体" w:eastAsia="宋体" w:cs="宋体"/>
          <w:spacing w:val="4"/>
          <w:sz w:val="23"/>
          <w:szCs w:val="23"/>
        </w:rPr>
        <w:t>染源</w:t>
      </w:r>
      <w:r>
        <w:rPr>
          <w:rFonts w:ascii="宋体" w:hAnsi="宋体" w:eastAsia="宋体" w:cs="宋体"/>
          <w:spacing w:val="3"/>
          <w:sz w:val="23"/>
          <w:szCs w:val="23"/>
        </w:rPr>
        <w:t>排</w:t>
      </w:r>
      <w:r>
        <w:rPr>
          <w:rFonts w:ascii="宋体" w:hAnsi="宋体" w:eastAsia="宋体" w:cs="宋体"/>
          <w:spacing w:val="2"/>
          <w:sz w:val="23"/>
          <w:szCs w:val="23"/>
        </w:rPr>
        <w:t xml:space="preserve">放参数见表 </w:t>
      </w:r>
      <w:r>
        <w:rPr>
          <w:rFonts w:ascii="Times New Roman" w:hAnsi="Times New Roman" w:eastAsia="Times New Roman" w:cs="Times New Roman"/>
          <w:spacing w:val="2"/>
          <w:sz w:val="23"/>
          <w:szCs w:val="23"/>
        </w:rPr>
        <w:t>5.2-3</w:t>
      </w:r>
      <w:r>
        <w:rPr>
          <w:rFonts w:ascii="宋体" w:hAnsi="宋体" w:eastAsia="宋体" w:cs="宋体"/>
          <w:spacing w:val="2"/>
          <w:sz w:val="23"/>
          <w:szCs w:val="23"/>
        </w:rPr>
        <w:t>。</w:t>
      </w:r>
    </w:p>
    <w:p w14:paraId="65D0B7B1">
      <w:pPr>
        <w:spacing w:before="54" w:line="321" w:lineRule="exact"/>
        <w:ind w:left="1680"/>
        <w:rPr>
          <w:rFonts w:ascii="Times New Roman" w:hAnsi="Times New Roman" w:eastAsia="Times New Roman" w:cs="Times New Roman"/>
          <w:sz w:val="23"/>
          <w:szCs w:val="23"/>
        </w:rPr>
      </w:pPr>
      <w:r>
        <w:rPr>
          <w:rFonts w:ascii="黑体" w:hAnsi="黑体" w:eastAsia="黑体" w:cs="黑体"/>
          <w:spacing w:val="6"/>
          <w:position w:val="3"/>
          <w:sz w:val="23"/>
          <w:szCs w:val="23"/>
        </w:rPr>
        <w:t xml:space="preserve">表 </w:t>
      </w:r>
      <w:r>
        <w:rPr>
          <w:rFonts w:ascii="Times New Roman" w:hAnsi="Times New Roman" w:eastAsia="Times New Roman" w:cs="Times New Roman"/>
          <w:spacing w:val="6"/>
          <w:position w:val="3"/>
          <w:sz w:val="23"/>
          <w:szCs w:val="23"/>
        </w:rPr>
        <w:t xml:space="preserve">5.2-3  </w:t>
      </w:r>
      <w:r>
        <w:rPr>
          <w:rFonts w:ascii="黑体" w:hAnsi="黑体" w:eastAsia="黑体" w:cs="黑体"/>
          <w:spacing w:val="6"/>
          <w:position w:val="3"/>
          <w:sz w:val="23"/>
          <w:szCs w:val="23"/>
        </w:rPr>
        <w:t>项目无组织排放污染源排放参数一览表  单位：</w:t>
      </w:r>
      <w:r>
        <w:rPr>
          <w:rFonts w:ascii="Times New Roman" w:hAnsi="Times New Roman" w:eastAsia="Times New Roman" w:cs="Times New Roman"/>
          <w:position w:val="3"/>
          <w:sz w:val="23"/>
          <w:szCs w:val="23"/>
        </w:rPr>
        <w:t>kg</w:t>
      </w:r>
      <w:r>
        <w:rPr>
          <w:rFonts w:ascii="Times New Roman" w:hAnsi="Times New Roman" w:eastAsia="Times New Roman" w:cs="Times New Roman"/>
          <w:spacing w:val="6"/>
          <w:position w:val="3"/>
          <w:sz w:val="23"/>
          <w:szCs w:val="23"/>
        </w:rPr>
        <w:t>/</w:t>
      </w:r>
      <w:r>
        <w:rPr>
          <w:rFonts w:ascii="Times New Roman" w:hAnsi="Times New Roman" w:eastAsia="Times New Roman" w:cs="Times New Roman"/>
          <w:position w:val="3"/>
          <w:sz w:val="23"/>
          <w:szCs w:val="23"/>
        </w:rPr>
        <w:t>h</w:t>
      </w:r>
    </w:p>
    <w:tbl>
      <w:tblPr>
        <w:tblStyle w:val="4"/>
        <w:tblW w:w="8882" w:type="dxa"/>
        <w:tblInd w:w="17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2"/>
        <w:gridCol w:w="1153"/>
        <w:gridCol w:w="965"/>
        <w:gridCol w:w="803"/>
        <w:gridCol w:w="803"/>
        <w:gridCol w:w="1084"/>
        <w:gridCol w:w="846"/>
        <w:gridCol w:w="805"/>
        <w:gridCol w:w="1021"/>
      </w:tblGrid>
      <w:tr w14:paraId="108D84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 w:hRule="atLeast"/>
        </w:trPr>
        <w:tc>
          <w:tcPr>
            <w:tcW w:w="1402" w:type="dxa"/>
            <w:tcBorders>
              <w:left w:val="nil"/>
            </w:tcBorders>
          </w:tcPr>
          <w:p w14:paraId="1323DDC4">
            <w:pPr>
              <w:spacing w:before="190" w:line="228" w:lineRule="auto"/>
              <w:ind w:left="185"/>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污</w:t>
            </w:r>
            <w:r>
              <w:rPr>
                <w:rFonts w:ascii="宋体" w:hAnsi="宋体" w:eastAsia="宋体" w:cs="宋体"/>
                <w:spacing w:val="8"/>
                <w:sz w:val="20"/>
                <w:szCs w:val="20"/>
                <w14:textOutline w14:w="3797" w14:cap="sq" w14:cmpd="sng" w14:algn="ctr">
                  <w14:solidFill>
                    <w14:srgbClr w14:val="000000"/>
                  </w14:solidFill>
                  <w14:prstDash w14:val="solid"/>
                  <w14:bevel/>
                </w14:textOutline>
              </w:rPr>
              <w:t>染源名称</w:t>
            </w:r>
          </w:p>
          <w:p w14:paraId="61FF6139">
            <w:pPr>
              <w:spacing w:before="26" w:line="229" w:lineRule="auto"/>
              <w:ind w:left="299"/>
              <w:rPr>
                <w:rFonts w:ascii="宋体" w:hAnsi="宋体" w:eastAsia="宋体" w:cs="宋体"/>
                <w:sz w:val="20"/>
                <w:szCs w:val="20"/>
              </w:rPr>
            </w:pPr>
            <w:r>
              <w:rPr>
                <w:rFonts w:ascii="宋体" w:hAnsi="宋体" w:eastAsia="宋体" w:cs="宋体"/>
                <w:spacing w:val="29"/>
                <w:sz w:val="20"/>
                <w:szCs w:val="20"/>
                <w14:textOutline w14:w="3797" w14:cap="sq" w14:cmpd="sng" w14:algn="ctr">
                  <w14:solidFill>
                    <w14:srgbClr w14:val="000000"/>
                  </w14:solidFill>
                  <w14:prstDash w14:val="solid"/>
                  <w14:bevel/>
                </w14:textOutline>
              </w:rPr>
              <w:t>(</w:t>
            </w:r>
            <w:r>
              <w:rPr>
                <w:rFonts w:ascii="宋体" w:hAnsi="宋体" w:eastAsia="宋体" w:cs="宋体"/>
                <w:spacing w:val="28"/>
                <w:sz w:val="20"/>
                <w:szCs w:val="20"/>
                <w14:textOutline w14:w="3797" w14:cap="sq" w14:cmpd="sng" w14:algn="ctr">
                  <w14:solidFill>
                    <w14:srgbClr w14:val="000000"/>
                  </w14:solidFill>
                  <w14:prstDash w14:val="solid"/>
                  <w14:bevel/>
                </w14:textOutline>
              </w:rPr>
              <w:t>面源)</w:t>
            </w:r>
          </w:p>
        </w:tc>
        <w:tc>
          <w:tcPr>
            <w:tcW w:w="1153" w:type="dxa"/>
          </w:tcPr>
          <w:p w14:paraId="1D41AA51">
            <w:pPr>
              <w:spacing w:before="190" w:line="268" w:lineRule="auto"/>
              <w:ind w:left="474" w:right="151" w:hanging="311"/>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污染物名</w:t>
            </w:r>
            <w:r>
              <w:rPr>
                <w:rFonts w:ascii="宋体" w:hAnsi="宋体" w:eastAsia="宋体" w:cs="宋体"/>
                <w:sz w:val="20"/>
                <w:szCs w:val="20"/>
              </w:rPr>
              <w:t xml:space="preserve"> </w:t>
            </w:r>
            <w:r>
              <w:rPr>
                <w:rFonts w:ascii="宋体" w:hAnsi="宋体" w:eastAsia="宋体" w:cs="宋体"/>
                <w:spacing w:val="1"/>
                <w:sz w:val="20"/>
                <w:szCs w:val="20"/>
                <w14:textOutline w14:w="3797" w14:cap="sq" w14:cmpd="sng" w14:algn="ctr">
                  <w14:solidFill>
                    <w14:srgbClr w14:val="000000"/>
                  </w14:solidFill>
                  <w14:prstDash w14:val="solid"/>
                  <w14:bevel/>
                </w14:textOutline>
              </w:rPr>
              <w:t>称</w:t>
            </w:r>
          </w:p>
        </w:tc>
        <w:tc>
          <w:tcPr>
            <w:tcW w:w="965" w:type="dxa"/>
          </w:tcPr>
          <w:p w14:paraId="7B2F9A66">
            <w:pPr>
              <w:tabs>
                <w:tab w:val="left" w:pos="298"/>
              </w:tabs>
              <w:spacing w:before="56" w:line="242" w:lineRule="auto"/>
              <w:ind w:left="173" w:right="163"/>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面</w:t>
            </w:r>
            <w:r>
              <w:rPr>
                <w:rFonts w:ascii="宋体" w:hAnsi="宋体" w:eastAsia="宋体" w:cs="宋体"/>
                <w:spacing w:val="7"/>
                <w:sz w:val="20"/>
                <w:szCs w:val="20"/>
                <w14:textOutline w14:w="3797" w14:cap="sq" w14:cmpd="sng" w14:algn="ctr">
                  <w14:solidFill>
                    <w14:srgbClr w14:val="000000"/>
                  </w14:solidFill>
                  <w14:prstDash w14:val="solid"/>
                  <w14:bevel/>
                </w14:textOutline>
              </w:rPr>
              <w:t>源海</w:t>
            </w:r>
            <w:r>
              <w:rPr>
                <w:rFonts w:ascii="宋体" w:hAnsi="宋体" w:eastAsia="宋体" w:cs="宋体"/>
                <w:sz w:val="20"/>
                <w:szCs w:val="20"/>
              </w:rPr>
              <w:t xml:space="preserve"> </w:t>
            </w:r>
            <w:r>
              <w:rPr>
                <w:rFonts w:ascii="宋体" w:hAnsi="宋体" w:eastAsia="宋体" w:cs="宋体"/>
                <w:spacing w:val="9"/>
                <w:sz w:val="20"/>
                <w:szCs w:val="20"/>
                <w14:textOutline w14:w="3797" w14:cap="sq" w14:cmpd="sng" w14:algn="ctr">
                  <w14:solidFill>
                    <w14:srgbClr w14:val="000000"/>
                  </w14:solidFill>
                  <w14:prstDash w14:val="solid"/>
                  <w14:bevel/>
                </w14:textOutline>
              </w:rPr>
              <w:t>拔</w:t>
            </w:r>
            <w:r>
              <w:rPr>
                <w:rFonts w:ascii="宋体" w:hAnsi="宋体" w:eastAsia="宋体" w:cs="宋体"/>
                <w:spacing w:val="7"/>
                <w:sz w:val="20"/>
                <w:szCs w:val="20"/>
                <w14:textOutline w14:w="3797" w14:cap="sq" w14:cmpd="sng" w14:algn="ctr">
                  <w14:solidFill>
                    <w14:srgbClr w14:val="000000"/>
                  </w14:solidFill>
                  <w14:prstDash w14:val="solid"/>
                  <w14:bevel/>
                </w14:textOutline>
              </w:rPr>
              <w:t>高度</w:t>
            </w:r>
            <w:r>
              <w:rPr>
                <w:rFonts w:ascii="宋体" w:hAnsi="宋体" w:eastAsia="宋体" w:cs="宋体"/>
                <w:sz w:val="20"/>
                <w:szCs w:val="20"/>
              </w:rPr>
              <w:t xml:space="preserve"> </w:t>
            </w:r>
            <w:r>
              <w:rPr>
                <w:rFonts w:ascii="宋体" w:hAnsi="宋体" w:eastAsia="宋体" w:cs="宋体"/>
                <w:b/>
                <w:bCs/>
                <w:sz w:val="20"/>
                <w:szCs w:val="20"/>
              </w:rPr>
              <w:tab/>
            </w:r>
            <w:r>
              <w:rPr>
                <w:rFonts w:ascii="宋体" w:hAnsi="宋体" w:eastAsia="宋体" w:cs="宋体"/>
                <w:spacing w:val="-8"/>
                <w:w w:val="85"/>
                <w:sz w:val="20"/>
                <w:szCs w:val="20"/>
                <w14:textOutline w14:w="3797" w14:cap="sq" w14:cmpd="sng" w14:algn="ctr">
                  <w14:solidFill>
                    <w14:srgbClr w14:val="000000"/>
                  </w14:solidFill>
                  <w14:prstDash w14:val="solid"/>
                  <w14:bevel/>
                </w14:textOutline>
              </w:rPr>
              <w:t>(</w:t>
            </w:r>
            <w:r>
              <w:rPr>
                <w:rFonts w:ascii="宋体" w:hAnsi="宋体" w:eastAsia="宋体" w:cs="宋体"/>
                <w:spacing w:val="-60"/>
                <w:sz w:val="20"/>
                <w:szCs w:val="20"/>
              </w:rPr>
              <w:t xml:space="preserve"> </w:t>
            </w:r>
            <w:r>
              <w:rPr>
                <w:rFonts w:ascii="Times New Roman" w:hAnsi="Times New Roman" w:eastAsia="Times New Roman" w:cs="Times New Roman"/>
                <w:b/>
                <w:bCs/>
                <w:spacing w:val="-8"/>
                <w:w w:val="85"/>
                <w:sz w:val="20"/>
                <w:szCs w:val="20"/>
              </w:rPr>
              <w:t>m</w:t>
            </w:r>
            <w:r>
              <w:rPr>
                <w:rFonts w:ascii="Times New Roman" w:hAnsi="Times New Roman" w:eastAsia="Times New Roman" w:cs="Times New Roman"/>
                <w:spacing w:val="-18"/>
                <w:sz w:val="20"/>
                <w:szCs w:val="20"/>
              </w:rPr>
              <w:t xml:space="preserve"> </w:t>
            </w:r>
            <w:r>
              <w:rPr>
                <w:rFonts w:ascii="宋体" w:hAnsi="宋体" w:eastAsia="宋体" w:cs="宋体"/>
                <w:spacing w:val="-8"/>
                <w:w w:val="85"/>
                <w:sz w:val="20"/>
                <w:szCs w:val="20"/>
                <w14:textOutline w14:w="3797" w14:cap="sq" w14:cmpd="sng" w14:algn="ctr">
                  <w14:solidFill>
                    <w14:srgbClr w14:val="000000"/>
                  </w14:solidFill>
                  <w14:prstDash w14:val="solid"/>
                  <w14:bevel/>
                </w14:textOutline>
              </w:rPr>
              <w:t>)</w:t>
            </w:r>
          </w:p>
        </w:tc>
        <w:tc>
          <w:tcPr>
            <w:tcW w:w="803" w:type="dxa"/>
          </w:tcPr>
          <w:p w14:paraId="6C432500">
            <w:pPr>
              <w:spacing w:before="70" w:line="229" w:lineRule="auto"/>
              <w:ind w:left="19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面</w:t>
            </w:r>
            <w:r>
              <w:rPr>
                <w:rFonts w:ascii="宋体" w:hAnsi="宋体" w:eastAsia="宋体" w:cs="宋体"/>
                <w:spacing w:val="5"/>
                <w:sz w:val="20"/>
                <w:szCs w:val="20"/>
                <w14:textOutline w14:w="3797" w14:cap="sq" w14:cmpd="sng" w14:algn="ctr">
                  <w14:solidFill>
                    <w14:srgbClr w14:val="000000"/>
                  </w14:solidFill>
                  <w14:prstDash w14:val="solid"/>
                  <w14:bevel/>
                </w14:textOutline>
              </w:rPr>
              <w:t>源</w:t>
            </w:r>
          </w:p>
          <w:p w14:paraId="66EF6B35">
            <w:pPr>
              <w:spacing w:before="23" w:line="199" w:lineRule="auto"/>
              <w:ind w:left="19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长</w:t>
            </w:r>
            <w:r>
              <w:rPr>
                <w:rFonts w:ascii="宋体" w:hAnsi="宋体" w:eastAsia="宋体" w:cs="宋体"/>
                <w:spacing w:val="5"/>
                <w:sz w:val="20"/>
                <w:szCs w:val="20"/>
                <w14:textOutline w14:w="3797" w14:cap="sq" w14:cmpd="sng" w14:algn="ctr">
                  <w14:solidFill>
                    <w14:srgbClr w14:val="000000"/>
                  </w14:solidFill>
                  <w14:prstDash w14:val="solid"/>
                  <w14:bevel/>
                </w14:textOutline>
              </w:rPr>
              <w:t>度</w:t>
            </w:r>
          </w:p>
          <w:p w14:paraId="09F0B3FD">
            <w:pPr>
              <w:spacing w:line="285" w:lineRule="exact"/>
              <w:ind w:left="252"/>
              <w:rPr>
                <w:rFonts w:ascii="Times New Roman" w:hAnsi="Times New Roman" w:eastAsia="Times New Roman" w:cs="Times New Roman"/>
                <w:sz w:val="20"/>
                <w:szCs w:val="20"/>
              </w:rPr>
            </w:pPr>
            <w:r>
              <w:rPr>
                <w:rFonts w:ascii="Times New Roman" w:hAnsi="Times New Roman" w:eastAsia="Times New Roman" w:cs="Times New Roman"/>
                <w:b/>
                <w:bCs/>
                <w:spacing w:val="2"/>
                <w:position w:val="4"/>
                <w:sz w:val="20"/>
                <w:szCs w:val="20"/>
              </w:rPr>
              <w:t>(</w:t>
            </w:r>
            <w:r>
              <w:rPr>
                <w:rFonts w:ascii="Times New Roman" w:hAnsi="Times New Roman" w:eastAsia="Times New Roman" w:cs="Times New Roman"/>
                <w:b/>
                <w:bCs/>
                <w:position w:val="4"/>
                <w:sz w:val="20"/>
                <w:szCs w:val="20"/>
              </w:rPr>
              <w:t>m</w:t>
            </w:r>
            <w:r>
              <w:rPr>
                <w:rFonts w:ascii="Times New Roman" w:hAnsi="Times New Roman" w:eastAsia="Times New Roman" w:cs="Times New Roman"/>
                <w:b/>
                <w:bCs/>
                <w:spacing w:val="1"/>
                <w:position w:val="4"/>
                <w:sz w:val="20"/>
                <w:szCs w:val="20"/>
              </w:rPr>
              <w:t>)</w:t>
            </w:r>
          </w:p>
        </w:tc>
        <w:tc>
          <w:tcPr>
            <w:tcW w:w="803" w:type="dxa"/>
          </w:tcPr>
          <w:p w14:paraId="72359B51">
            <w:pPr>
              <w:spacing w:before="56" w:line="242" w:lineRule="auto"/>
              <w:ind w:left="126" w:right="115" w:firstLine="72"/>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面</w:t>
            </w:r>
            <w:r>
              <w:rPr>
                <w:rFonts w:ascii="宋体" w:hAnsi="宋体" w:eastAsia="宋体" w:cs="宋体"/>
                <w:spacing w:val="5"/>
                <w:sz w:val="20"/>
                <w:szCs w:val="20"/>
                <w14:textOutline w14:w="3797" w14:cap="sq" w14:cmpd="sng" w14:algn="ctr">
                  <w14:solidFill>
                    <w14:srgbClr w14:val="000000"/>
                  </w14:solidFill>
                  <w14:prstDash w14:val="solid"/>
                  <w14:bevel/>
                </w14:textOutline>
              </w:rPr>
              <w:t>源</w:t>
            </w:r>
            <w:r>
              <w:rPr>
                <w:rFonts w:ascii="宋体" w:hAnsi="宋体" w:eastAsia="宋体" w:cs="宋体"/>
                <w:sz w:val="20"/>
                <w:szCs w:val="20"/>
              </w:rPr>
              <w:t xml:space="preserve"> </w:t>
            </w:r>
            <w:r>
              <w:rPr>
                <w:rFonts w:ascii="宋体" w:hAnsi="宋体" w:eastAsia="宋体" w:cs="宋体"/>
                <w:spacing w:val="42"/>
                <w:sz w:val="20"/>
                <w:szCs w:val="20"/>
                <w14:textOutline w14:w="3797" w14:cap="sq" w14:cmpd="sng" w14:algn="ctr">
                  <w14:solidFill>
                    <w14:srgbClr w14:val="000000"/>
                  </w14:solidFill>
                  <w14:prstDash w14:val="solid"/>
                  <w14:bevel/>
                </w14:textOutline>
              </w:rPr>
              <w:t>宽</w:t>
            </w:r>
            <w:r>
              <w:rPr>
                <w:rFonts w:ascii="宋体" w:hAnsi="宋体" w:eastAsia="宋体" w:cs="宋体"/>
                <w:spacing w:val="41"/>
                <w:sz w:val="20"/>
                <w:szCs w:val="20"/>
                <w14:textOutline w14:w="3797" w14:cap="sq" w14:cmpd="sng" w14:algn="ctr">
                  <w14:solidFill>
                    <w14:srgbClr w14:val="000000"/>
                  </w14:solidFill>
                  <w14:prstDash w14:val="solid"/>
                  <w14:bevel/>
                </w14:textOutline>
              </w:rPr>
              <w:t>度</w:t>
            </w:r>
            <w:r>
              <w:rPr>
                <w:rFonts w:ascii="宋体" w:hAnsi="宋体" w:eastAsia="宋体" w:cs="宋体"/>
                <w:sz w:val="20"/>
                <w:szCs w:val="20"/>
              </w:rPr>
              <w:t xml:space="preserve"> </w:t>
            </w:r>
            <w:r>
              <w:rPr>
                <w:rFonts w:ascii="宋体" w:hAnsi="宋体" w:eastAsia="宋体" w:cs="宋体"/>
                <w:spacing w:val="-13"/>
                <w:sz w:val="20"/>
                <w:szCs w:val="20"/>
                <w14:textOutline w14:w="3797" w14:cap="sq" w14:cmpd="sng" w14:algn="ctr">
                  <w14:solidFill>
                    <w14:srgbClr w14:val="000000"/>
                  </w14:solidFill>
                  <w14:prstDash w14:val="solid"/>
                  <w14:bevel/>
                </w14:textOutline>
              </w:rPr>
              <w:t>(</w:t>
            </w:r>
            <w:r>
              <w:rPr>
                <w:rFonts w:ascii="宋体" w:hAnsi="宋体" w:eastAsia="宋体" w:cs="宋体"/>
                <w:spacing w:val="-12"/>
                <w:sz w:val="20"/>
                <w:szCs w:val="20"/>
              </w:rPr>
              <w:t xml:space="preserve"> </w:t>
            </w:r>
            <w:r>
              <w:rPr>
                <w:rFonts w:ascii="Times New Roman" w:hAnsi="Times New Roman" w:eastAsia="Times New Roman" w:cs="Times New Roman"/>
                <w:b/>
                <w:bCs/>
                <w:spacing w:val="-12"/>
                <w:sz w:val="20"/>
                <w:szCs w:val="20"/>
              </w:rPr>
              <w:t>m</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14:textOutline w14:w="3797" w14:cap="sq" w14:cmpd="sng" w14:algn="ctr">
                  <w14:solidFill>
                    <w14:srgbClr w14:val="000000"/>
                  </w14:solidFill>
                  <w14:prstDash w14:val="solid"/>
                  <w14:bevel/>
                </w14:textOutline>
              </w:rPr>
              <w:t>)</w:t>
            </w:r>
          </w:p>
        </w:tc>
        <w:tc>
          <w:tcPr>
            <w:tcW w:w="1084" w:type="dxa"/>
          </w:tcPr>
          <w:p w14:paraId="0D946B4A">
            <w:pPr>
              <w:spacing w:before="56" w:line="228" w:lineRule="auto"/>
              <w:ind w:left="130"/>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面</w:t>
            </w:r>
            <w:r>
              <w:rPr>
                <w:rFonts w:ascii="宋体" w:hAnsi="宋体" w:eastAsia="宋体" w:cs="宋体"/>
                <w:spacing w:val="8"/>
                <w:sz w:val="20"/>
                <w:szCs w:val="20"/>
                <w14:textOutline w14:w="3797" w14:cap="sq" w14:cmpd="sng" w14:algn="ctr">
                  <w14:solidFill>
                    <w14:srgbClr w14:val="000000"/>
                  </w14:solidFill>
                  <w14:prstDash w14:val="solid"/>
                  <w14:bevel/>
                </w14:textOutline>
              </w:rPr>
              <w:t>源有效</w:t>
            </w:r>
          </w:p>
          <w:p w14:paraId="11E4A8EA">
            <w:pPr>
              <w:spacing w:before="23" w:line="228" w:lineRule="auto"/>
              <w:ind w:left="129"/>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排</w:t>
            </w:r>
            <w:r>
              <w:rPr>
                <w:rFonts w:ascii="宋体" w:hAnsi="宋体" w:eastAsia="宋体" w:cs="宋体"/>
                <w:spacing w:val="8"/>
                <w:sz w:val="20"/>
                <w:szCs w:val="20"/>
                <w14:textOutline w14:w="3797" w14:cap="sq" w14:cmpd="sng" w14:algn="ctr">
                  <w14:solidFill>
                    <w14:srgbClr w14:val="000000"/>
                  </w14:solidFill>
                  <w14:prstDash w14:val="solid"/>
                  <w14:bevel/>
                </w14:textOutline>
              </w:rPr>
              <w:t>放高度</w:t>
            </w:r>
          </w:p>
          <w:p w14:paraId="0C30C0E0">
            <w:pPr>
              <w:spacing w:before="24" w:line="226" w:lineRule="auto"/>
              <w:ind w:left="261"/>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w:t>
            </w:r>
            <w:r>
              <w:rPr>
                <w:rFonts w:ascii="宋体" w:hAnsi="宋体" w:eastAsia="宋体" w:cs="宋体"/>
                <w:spacing w:val="-4"/>
                <w:sz w:val="20"/>
                <w:szCs w:val="20"/>
              </w:rPr>
              <w:t xml:space="preserve"> </w:t>
            </w:r>
            <w:r>
              <w:rPr>
                <w:rFonts w:ascii="Times New Roman" w:hAnsi="Times New Roman" w:eastAsia="Times New Roman" w:cs="Times New Roman"/>
                <w:b/>
                <w:bCs/>
                <w:spacing w:val="-4"/>
                <w:sz w:val="20"/>
                <w:szCs w:val="20"/>
              </w:rPr>
              <w:t>m</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14:textOutline w14:w="3797" w14:cap="sq" w14:cmpd="sng" w14:algn="ctr">
                  <w14:solidFill>
                    <w14:srgbClr w14:val="000000"/>
                  </w14:solidFill>
                  <w14:prstDash w14:val="solid"/>
                  <w14:bevel/>
                </w14:textOutline>
              </w:rPr>
              <w:t>)</w:t>
            </w:r>
          </w:p>
        </w:tc>
        <w:tc>
          <w:tcPr>
            <w:tcW w:w="846" w:type="dxa"/>
          </w:tcPr>
          <w:p w14:paraId="4563F6C4">
            <w:pPr>
              <w:spacing w:before="55" w:line="228" w:lineRule="auto"/>
              <w:ind w:left="219"/>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年</w:t>
            </w:r>
            <w:r>
              <w:rPr>
                <w:rFonts w:ascii="宋体" w:hAnsi="宋体" w:eastAsia="宋体" w:cs="宋体"/>
                <w:spacing w:val="5"/>
                <w:sz w:val="20"/>
                <w:szCs w:val="20"/>
                <w14:textOutline w14:w="3797" w14:cap="sq" w14:cmpd="sng" w14:algn="ctr">
                  <w14:solidFill>
                    <w14:srgbClr w14:val="000000"/>
                  </w14:solidFill>
                  <w14:prstDash w14:val="solid"/>
                  <w14:bevel/>
                </w14:textOutline>
              </w:rPr>
              <w:t>排</w:t>
            </w:r>
          </w:p>
          <w:p w14:paraId="26FE892F">
            <w:pPr>
              <w:spacing w:before="24" w:line="213" w:lineRule="auto"/>
              <w:ind w:left="218"/>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放小</w:t>
            </w:r>
          </w:p>
          <w:p w14:paraId="0DE18A99">
            <w:pPr>
              <w:spacing w:line="285" w:lineRule="exact"/>
              <w:ind w:left="142"/>
              <w:rPr>
                <w:rFonts w:ascii="Times New Roman" w:hAnsi="Times New Roman" w:eastAsia="Times New Roman" w:cs="Times New Roman"/>
                <w:sz w:val="20"/>
                <w:szCs w:val="20"/>
              </w:rPr>
            </w:pPr>
            <w:r>
              <w:rPr>
                <w:rFonts w:ascii="宋体" w:hAnsi="宋体" w:eastAsia="宋体" w:cs="宋体"/>
                <w:spacing w:val="3"/>
                <w:position w:val="1"/>
                <w:sz w:val="20"/>
                <w:szCs w:val="20"/>
                <w14:textOutline w14:w="3759" w14:cap="sq" w14:cmpd="sng" w14:algn="ctr">
                  <w14:solidFill>
                    <w14:srgbClr w14:val="000000"/>
                  </w14:solidFill>
                  <w14:prstDash w14:val="solid"/>
                  <w14:bevel/>
                </w14:textOutline>
              </w:rPr>
              <w:t>时数</w:t>
            </w:r>
            <w:r>
              <w:rPr>
                <w:rFonts w:ascii="Times New Roman" w:hAnsi="Times New Roman" w:eastAsia="Times New Roman" w:cs="Times New Roman"/>
                <w:b/>
                <w:bCs/>
                <w:spacing w:val="3"/>
                <w:position w:val="1"/>
                <w:sz w:val="20"/>
                <w:szCs w:val="20"/>
              </w:rPr>
              <w:t>/</w:t>
            </w:r>
            <w:r>
              <w:rPr>
                <w:rFonts w:ascii="Times New Roman" w:hAnsi="Times New Roman" w:eastAsia="Times New Roman" w:cs="Times New Roman"/>
                <w:b/>
                <w:bCs/>
                <w:position w:val="1"/>
                <w:sz w:val="20"/>
                <w:szCs w:val="20"/>
              </w:rPr>
              <w:t>h</w:t>
            </w:r>
          </w:p>
        </w:tc>
        <w:tc>
          <w:tcPr>
            <w:tcW w:w="805" w:type="dxa"/>
          </w:tcPr>
          <w:p w14:paraId="208EBDBD">
            <w:pPr>
              <w:spacing w:before="190" w:line="273" w:lineRule="exact"/>
              <w:ind w:left="198"/>
              <w:rPr>
                <w:rFonts w:ascii="宋体" w:hAnsi="宋体" w:eastAsia="宋体" w:cs="宋体"/>
                <w:sz w:val="20"/>
                <w:szCs w:val="20"/>
              </w:rPr>
            </w:pPr>
            <w:r>
              <w:rPr>
                <w:rFonts w:ascii="宋体" w:hAnsi="宋体" w:eastAsia="宋体" w:cs="宋体"/>
                <w:spacing w:val="6"/>
                <w:position w:val="4"/>
                <w:sz w:val="20"/>
                <w:szCs w:val="20"/>
                <w14:textOutline w14:w="3797" w14:cap="sq" w14:cmpd="sng" w14:algn="ctr">
                  <w14:solidFill>
                    <w14:srgbClr w14:val="000000"/>
                  </w14:solidFill>
                  <w14:prstDash w14:val="solid"/>
                  <w14:bevel/>
                </w14:textOutline>
              </w:rPr>
              <w:t>排放</w:t>
            </w:r>
          </w:p>
          <w:p w14:paraId="1F11D14E">
            <w:pPr>
              <w:spacing w:line="228" w:lineRule="auto"/>
              <w:ind w:left="200"/>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工</w:t>
            </w:r>
            <w:r>
              <w:rPr>
                <w:rFonts w:ascii="宋体" w:hAnsi="宋体" w:eastAsia="宋体" w:cs="宋体"/>
                <w:spacing w:val="4"/>
                <w:sz w:val="20"/>
                <w:szCs w:val="20"/>
                <w14:textOutline w14:w="3797" w14:cap="sq" w14:cmpd="sng" w14:algn="ctr">
                  <w14:solidFill>
                    <w14:srgbClr w14:val="000000"/>
                  </w14:solidFill>
                  <w14:prstDash w14:val="solid"/>
                  <w14:bevel/>
                </w14:textOutline>
              </w:rPr>
              <w:t>况</w:t>
            </w:r>
          </w:p>
        </w:tc>
        <w:tc>
          <w:tcPr>
            <w:tcW w:w="1021" w:type="dxa"/>
            <w:tcBorders>
              <w:right w:val="nil"/>
            </w:tcBorders>
          </w:tcPr>
          <w:p w14:paraId="0997686B">
            <w:pPr>
              <w:spacing w:before="188" w:line="258" w:lineRule="auto"/>
              <w:ind w:left="146" w:right="135" w:firstLine="55"/>
              <w:rPr>
                <w:rFonts w:ascii="Times New Roman" w:hAnsi="Times New Roman" w:eastAsia="Times New Roman" w:cs="Times New Roman"/>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排</w:t>
            </w:r>
            <w:r>
              <w:rPr>
                <w:rFonts w:ascii="宋体" w:hAnsi="宋体" w:eastAsia="宋体" w:cs="宋体"/>
                <w:spacing w:val="7"/>
                <w:sz w:val="20"/>
                <w:szCs w:val="20"/>
                <w14:textOutline w14:w="3797" w14:cap="sq" w14:cmpd="sng" w14:algn="ctr">
                  <w14:solidFill>
                    <w14:srgbClr w14:val="000000"/>
                  </w14:solidFill>
                  <w14:prstDash w14:val="solid"/>
                  <w14:bevel/>
                </w14:textOutline>
              </w:rPr>
              <w:t>放速</w:t>
            </w:r>
            <w:r>
              <w:rPr>
                <w:rFonts w:ascii="宋体" w:hAnsi="宋体" w:eastAsia="宋体" w:cs="宋体"/>
                <w:sz w:val="20"/>
                <w:szCs w:val="20"/>
              </w:rPr>
              <w:t xml:space="preserve"> </w:t>
            </w:r>
            <w:r>
              <w:rPr>
                <w:rFonts w:ascii="宋体" w:hAnsi="宋体" w:eastAsia="宋体" w:cs="宋体"/>
                <w:spacing w:val="7"/>
                <w:sz w:val="20"/>
                <w:szCs w:val="20"/>
                <w14:textOutline w14:w="3797" w14:cap="sq" w14:cmpd="sng" w14:algn="ctr">
                  <w14:solidFill>
                    <w14:srgbClr w14:val="000000"/>
                  </w14:solidFill>
                  <w14:prstDash w14:val="solid"/>
                  <w14:bevel/>
                </w14:textOutline>
              </w:rPr>
              <w:t>率</w:t>
            </w:r>
            <w:r>
              <w:rPr>
                <w:rFonts w:ascii="Times New Roman" w:hAnsi="Times New Roman" w:eastAsia="Times New Roman" w:cs="Times New Roman"/>
                <w:b/>
                <w:bCs/>
                <w:spacing w:val="6"/>
                <w:sz w:val="20"/>
                <w:szCs w:val="20"/>
              </w:rPr>
              <w:t>(</w:t>
            </w:r>
            <w:r>
              <w:rPr>
                <w:rFonts w:ascii="Times New Roman" w:hAnsi="Times New Roman" w:eastAsia="Times New Roman" w:cs="Times New Roman"/>
                <w:b/>
                <w:bCs/>
                <w:sz w:val="20"/>
                <w:szCs w:val="20"/>
              </w:rPr>
              <w:t>kg</w:t>
            </w:r>
            <w:r>
              <w:rPr>
                <w:rFonts w:ascii="Times New Roman" w:hAnsi="Times New Roman" w:eastAsia="Times New Roman" w:cs="Times New Roman"/>
                <w:b/>
                <w:bCs/>
                <w:spacing w:val="6"/>
                <w:sz w:val="20"/>
                <w:szCs w:val="20"/>
              </w:rPr>
              <w:t>/</w:t>
            </w:r>
            <w:r>
              <w:rPr>
                <w:rFonts w:ascii="Times New Roman" w:hAnsi="Times New Roman" w:eastAsia="Times New Roman" w:cs="Times New Roman"/>
                <w:b/>
                <w:bCs/>
                <w:sz w:val="20"/>
                <w:szCs w:val="20"/>
              </w:rPr>
              <w:t>h</w:t>
            </w:r>
            <w:r>
              <w:rPr>
                <w:rFonts w:ascii="Times New Roman" w:hAnsi="Times New Roman" w:eastAsia="Times New Roman" w:cs="Times New Roman"/>
                <w:b/>
                <w:bCs/>
                <w:spacing w:val="6"/>
                <w:sz w:val="20"/>
                <w:szCs w:val="20"/>
              </w:rPr>
              <w:t>)</w:t>
            </w:r>
          </w:p>
        </w:tc>
      </w:tr>
      <w:tr w14:paraId="762F47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1402" w:type="dxa"/>
            <w:vMerge w:val="restart"/>
            <w:tcBorders>
              <w:left w:val="nil"/>
              <w:bottom w:val="nil"/>
            </w:tcBorders>
          </w:tcPr>
          <w:p w14:paraId="2020DBBF">
            <w:pPr>
              <w:spacing w:before="136" w:line="228" w:lineRule="auto"/>
              <w:ind w:left="326"/>
              <w:rPr>
                <w:rFonts w:ascii="宋体" w:hAnsi="宋体" w:eastAsia="宋体" w:cs="宋体"/>
                <w:sz w:val="20"/>
                <w:szCs w:val="20"/>
              </w:rPr>
            </w:pPr>
            <w:r>
              <w:rPr>
                <w:rFonts w:ascii="宋体" w:hAnsi="宋体" w:eastAsia="宋体" w:cs="宋体"/>
                <w:spacing w:val="7"/>
                <w:sz w:val="20"/>
                <w:szCs w:val="20"/>
              </w:rPr>
              <w:t>养殖厂区</w:t>
            </w:r>
          </w:p>
        </w:tc>
        <w:tc>
          <w:tcPr>
            <w:tcW w:w="1153" w:type="dxa"/>
          </w:tcPr>
          <w:p w14:paraId="279AFF89">
            <w:pPr>
              <w:spacing w:before="69" w:line="199" w:lineRule="auto"/>
              <w:ind w:left="386"/>
              <w:rPr>
                <w:rFonts w:ascii="Times New Roman" w:hAnsi="Times New Roman" w:eastAsia="Times New Roman" w:cs="Times New Roman"/>
                <w:sz w:val="13"/>
                <w:szCs w:val="13"/>
              </w:rPr>
            </w:pPr>
            <w:r>
              <w:rPr>
                <w:rFonts w:ascii="Times New Roman" w:hAnsi="Times New Roman" w:eastAsia="Times New Roman" w:cs="Times New Roman"/>
                <w:sz w:val="20"/>
                <w:szCs w:val="20"/>
              </w:rPr>
              <w:t>NH</w:t>
            </w:r>
            <w:r>
              <w:rPr>
                <w:rFonts w:ascii="Times New Roman" w:hAnsi="Times New Roman" w:eastAsia="Times New Roman" w:cs="Times New Roman"/>
                <w:spacing w:val="19"/>
                <w:position w:val="-1"/>
                <w:sz w:val="13"/>
                <w:szCs w:val="13"/>
              </w:rPr>
              <w:t>3</w:t>
            </w:r>
          </w:p>
        </w:tc>
        <w:tc>
          <w:tcPr>
            <w:tcW w:w="965" w:type="dxa"/>
            <w:vMerge w:val="restart"/>
            <w:tcBorders>
              <w:bottom w:val="nil"/>
            </w:tcBorders>
          </w:tcPr>
          <w:p w14:paraId="0049F9C0">
            <w:pPr>
              <w:spacing w:before="239" w:line="195" w:lineRule="auto"/>
              <w:ind w:left="20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560.7</w:t>
            </w:r>
            <w:r>
              <w:rPr>
                <w:rFonts w:ascii="Times New Roman" w:hAnsi="Times New Roman" w:eastAsia="Times New Roman" w:cs="Times New Roman"/>
                <w:spacing w:val="2"/>
                <w:sz w:val="20"/>
                <w:szCs w:val="20"/>
              </w:rPr>
              <w:t>7</w:t>
            </w:r>
          </w:p>
        </w:tc>
        <w:tc>
          <w:tcPr>
            <w:tcW w:w="803" w:type="dxa"/>
            <w:vMerge w:val="restart"/>
            <w:tcBorders>
              <w:bottom w:val="nil"/>
            </w:tcBorders>
          </w:tcPr>
          <w:p w14:paraId="30FED919">
            <w:pPr>
              <w:spacing w:before="239" w:line="195" w:lineRule="auto"/>
              <w:ind w:left="245"/>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27</w:t>
            </w:r>
          </w:p>
        </w:tc>
        <w:tc>
          <w:tcPr>
            <w:tcW w:w="803" w:type="dxa"/>
            <w:vMerge w:val="restart"/>
            <w:tcBorders>
              <w:bottom w:val="nil"/>
            </w:tcBorders>
          </w:tcPr>
          <w:p w14:paraId="3BDB5D37">
            <w:pPr>
              <w:spacing w:before="239" w:line="195" w:lineRule="auto"/>
              <w:ind w:left="26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141</w:t>
            </w:r>
          </w:p>
        </w:tc>
        <w:tc>
          <w:tcPr>
            <w:tcW w:w="1084" w:type="dxa"/>
            <w:vMerge w:val="restart"/>
            <w:tcBorders>
              <w:bottom w:val="nil"/>
            </w:tcBorders>
          </w:tcPr>
          <w:p w14:paraId="6993D3A1">
            <w:pPr>
              <w:spacing w:before="239" w:line="195" w:lineRule="auto"/>
              <w:ind w:left="501"/>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846" w:type="dxa"/>
            <w:vMerge w:val="restart"/>
            <w:tcBorders>
              <w:bottom w:val="nil"/>
            </w:tcBorders>
          </w:tcPr>
          <w:p w14:paraId="672AC0B8">
            <w:pPr>
              <w:spacing w:before="239" w:line="195" w:lineRule="auto"/>
              <w:ind w:left="22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8760</w:t>
            </w:r>
          </w:p>
        </w:tc>
        <w:tc>
          <w:tcPr>
            <w:tcW w:w="805" w:type="dxa"/>
            <w:vMerge w:val="restart"/>
            <w:tcBorders>
              <w:bottom w:val="nil"/>
            </w:tcBorders>
          </w:tcPr>
          <w:p w14:paraId="6E304EFF">
            <w:pPr>
              <w:spacing w:before="204" w:line="228" w:lineRule="auto"/>
              <w:ind w:left="202"/>
              <w:rPr>
                <w:rFonts w:ascii="宋体" w:hAnsi="宋体" w:eastAsia="宋体" w:cs="宋体"/>
                <w:sz w:val="20"/>
                <w:szCs w:val="20"/>
              </w:rPr>
            </w:pPr>
            <w:r>
              <w:rPr>
                <w:rFonts w:ascii="宋体" w:hAnsi="宋体" w:eastAsia="宋体" w:cs="宋体"/>
                <w:spacing w:val="3"/>
                <w:sz w:val="20"/>
                <w:szCs w:val="20"/>
              </w:rPr>
              <w:t>正</w:t>
            </w:r>
            <w:r>
              <w:rPr>
                <w:rFonts w:ascii="宋体" w:hAnsi="宋体" w:eastAsia="宋体" w:cs="宋体"/>
                <w:spacing w:val="2"/>
                <w:sz w:val="20"/>
                <w:szCs w:val="20"/>
              </w:rPr>
              <w:t>常</w:t>
            </w:r>
          </w:p>
        </w:tc>
        <w:tc>
          <w:tcPr>
            <w:tcW w:w="1021" w:type="dxa"/>
            <w:tcBorders>
              <w:right w:val="nil"/>
            </w:tcBorders>
          </w:tcPr>
          <w:p w14:paraId="4E538C04">
            <w:pPr>
              <w:spacing w:before="67" w:line="195" w:lineRule="auto"/>
              <w:ind w:left="28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0.03</w:t>
            </w:r>
            <w:r>
              <w:rPr>
                <w:rFonts w:ascii="Times New Roman" w:hAnsi="Times New Roman" w:eastAsia="Times New Roman" w:cs="Times New Roman"/>
                <w:spacing w:val="2"/>
                <w:sz w:val="20"/>
                <w:szCs w:val="20"/>
              </w:rPr>
              <w:t>1</w:t>
            </w:r>
          </w:p>
        </w:tc>
      </w:tr>
      <w:tr w14:paraId="1A3390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402" w:type="dxa"/>
            <w:vMerge w:val="continue"/>
            <w:tcBorders>
              <w:top w:val="nil"/>
              <w:left w:val="nil"/>
            </w:tcBorders>
          </w:tcPr>
          <w:p w14:paraId="0ECB4FE3"/>
        </w:tc>
        <w:tc>
          <w:tcPr>
            <w:tcW w:w="1153" w:type="dxa"/>
          </w:tcPr>
          <w:p w14:paraId="28C481B8">
            <w:pPr>
              <w:spacing w:before="101" w:line="202" w:lineRule="auto"/>
              <w:ind w:left="409"/>
              <w:rPr>
                <w:rFonts w:ascii="Times New Roman" w:hAnsi="Times New Roman" w:eastAsia="Times New Roman" w:cs="Times New Roman"/>
                <w:sz w:val="20"/>
                <w:szCs w:val="20"/>
              </w:rPr>
            </w:pPr>
            <w:r>
              <w:rPr>
                <w:rFonts w:ascii="Times New Roman" w:hAnsi="Times New Roman" w:eastAsia="Times New Roman" w:cs="Times New Roman"/>
                <w:sz w:val="20"/>
                <w:szCs w:val="20"/>
              </w:rPr>
              <w:t>H</w:t>
            </w:r>
            <w:r>
              <w:rPr>
                <w:rFonts w:ascii="Times New Roman" w:hAnsi="Times New Roman" w:eastAsia="Times New Roman" w:cs="Times New Roman"/>
                <w:spacing w:val="18"/>
                <w:position w:val="-1"/>
                <w:sz w:val="13"/>
                <w:szCs w:val="13"/>
              </w:rPr>
              <w:t>2</w:t>
            </w:r>
            <w:r>
              <w:rPr>
                <w:rFonts w:ascii="Times New Roman" w:hAnsi="Times New Roman" w:eastAsia="Times New Roman" w:cs="Times New Roman"/>
                <w:sz w:val="20"/>
                <w:szCs w:val="20"/>
              </w:rPr>
              <w:t>S</w:t>
            </w:r>
          </w:p>
        </w:tc>
        <w:tc>
          <w:tcPr>
            <w:tcW w:w="965" w:type="dxa"/>
            <w:vMerge w:val="continue"/>
            <w:tcBorders>
              <w:top w:val="nil"/>
            </w:tcBorders>
          </w:tcPr>
          <w:p w14:paraId="15B149E9"/>
        </w:tc>
        <w:tc>
          <w:tcPr>
            <w:tcW w:w="803" w:type="dxa"/>
            <w:vMerge w:val="continue"/>
            <w:tcBorders>
              <w:top w:val="nil"/>
            </w:tcBorders>
          </w:tcPr>
          <w:p w14:paraId="4D6D2FDC"/>
        </w:tc>
        <w:tc>
          <w:tcPr>
            <w:tcW w:w="803" w:type="dxa"/>
            <w:vMerge w:val="continue"/>
            <w:tcBorders>
              <w:top w:val="nil"/>
            </w:tcBorders>
          </w:tcPr>
          <w:p w14:paraId="70D1D7F2"/>
        </w:tc>
        <w:tc>
          <w:tcPr>
            <w:tcW w:w="1084" w:type="dxa"/>
            <w:vMerge w:val="continue"/>
            <w:tcBorders>
              <w:top w:val="nil"/>
            </w:tcBorders>
          </w:tcPr>
          <w:p w14:paraId="3D5654A0"/>
        </w:tc>
        <w:tc>
          <w:tcPr>
            <w:tcW w:w="846" w:type="dxa"/>
            <w:vMerge w:val="continue"/>
            <w:tcBorders>
              <w:top w:val="nil"/>
            </w:tcBorders>
          </w:tcPr>
          <w:p w14:paraId="33F965C0"/>
        </w:tc>
        <w:tc>
          <w:tcPr>
            <w:tcW w:w="805" w:type="dxa"/>
            <w:vMerge w:val="continue"/>
            <w:tcBorders>
              <w:top w:val="nil"/>
            </w:tcBorders>
          </w:tcPr>
          <w:p w14:paraId="01C1589C"/>
        </w:tc>
        <w:tc>
          <w:tcPr>
            <w:tcW w:w="1021" w:type="dxa"/>
            <w:tcBorders>
              <w:right w:val="nil"/>
            </w:tcBorders>
          </w:tcPr>
          <w:p w14:paraId="717114B0">
            <w:pPr>
              <w:spacing w:before="102" w:line="195" w:lineRule="auto"/>
              <w:ind w:left="22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.0038</w:t>
            </w:r>
          </w:p>
        </w:tc>
      </w:tr>
    </w:tbl>
    <w:p w14:paraId="47446353">
      <w:pPr>
        <w:spacing w:before="35" w:line="228" w:lineRule="auto"/>
        <w:ind w:left="788"/>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4</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预测标准</w:t>
      </w:r>
    </w:p>
    <w:p w14:paraId="25A337A1">
      <w:pPr>
        <w:spacing w:before="183" w:line="368" w:lineRule="auto"/>
        <w:ind w:left="298" w:right="280" w:firstLine="480"/>
        <w:rPr>
          <w:rFonts w:ascii="宋体" w:hAnsi="宋体" w:eastAsia="宋体" w:cs="宋体"/>
          <w:sz w:val="23"/>
          <w:szCs w:val="23"/>
        </w:rPr>
      </w:pPr>
      <w:r>
        <w:rPr>
          <w:rFonts w:ascii="宋体" w:hAnsi="宋体" w:eastAsia="宋体" w:cs="宋体"/>
          <w:spacing w:val="15"/>
          <w:sz w:val="23"/>
          <w:szCs w:val="23"/>
        </w:rPr>
        <w:t>本</w:t>
      </w:r>
      <w:r>
        <w:rPr>
          <w:rFonts w:ascii="宋体" w:hAnsi="宋体" w:eastAsia="宋体" w:cs="宋体"/>
          <w:spacing w:val="9"/>
          <w:sz w:val="23"/>
          <w:szCs w:val="23"/>
        </w:rPr>
        <w:t xml:space="preserve">次预测中 </w:t>
      </w:r>
      <w:r>
        <w:rPr>
          <w:rFonts w:ascii="Times New Roman" w:hAnsi="Times New Roman" w:eastAsia="Times New Roman" w:cs="Times New Roman"/>
          <w:sz w:val="23"/>
          <w:szCs w:val="23"/>
        </w:rPr>
        <w:t>NH</w:t>
      </w:r>
      <w:r>
        <w:rPr>
          <w:rFonts w:ascii="Times New Roman" w:hAnsi="Times New Roman" w:eastAsia="Times New Roman" w:cs="Times New Roman"/>
          <w:spacing w:val="9"/>
          <w:position w:val="-1"/>
          <w:sz w:val="15"/>
          <w:szCs w:val="15"/>
        </w:rPr>
        <w:t xml:space="preserve">3 </w:t>
      </w:r>
      <w:r>
        <w:rPr>
          <w:rFonts w:ascii="宋体" w:hAnsi="宋体" w:eastAsia="宋体" w:cs="宋体"/>
          <w:spacing w:val="9"/>
          <w:sz w:val="23"/>
          <w:szCs w:val="23"/>
        </w:rPr>
        <w:t xml:space="preserve">和 </w:t>
      </w:r>
      <w:r>
        <w:rPr>
          <w:rFonts w:ascii="Times New Roman" w:hAnsi="Times New Roman" w:eastAsia="Times New Roman" w:cs="Times New Roman"/>
          <w:sz w:val="23"/>
          <w:szCs w:val="23"/>
        </w:rPr>
        <w:t>H</w:t>
      </w:r>
      <w:r>
        <w:rPr>
          <w:rFonts w:ascii="Times New Roman" w:hAnsi="Times New Roman" w:eastAsia="Times New Roman" w:cs="Times New Roman"/>
          <w:spacing w:val="9"/>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的环境质量标准参照《环境影响评价技术导则</w:t>
      </w:r>
      <w:r>
        <w:rPr>
          <w:rFonts w:ascii="Times New Roman" w:hAnsi="Times New Roman" w:eastAsia="Times New Roman" w:cs="Times New Roman"/>
          <w:spacing w:val="9"/>
          <w:sz w:val="23"/>
          <w:szCs w:val="23"/>
        </w:rPr>
        <w:t>-</w:t>
      </w:r>
      <w:r>
        <w:rPr>
          <w:rFonts w:ascii="宋体" w:hAnsi="宋体" w:eastAsia="宋体" w:cs="宋体"/>
          <w:spacing w:val="9"/>
          <w:sz w:val="23"/>
          <w:szCs w:val="23"/>
        </w:rPr>
        <w:t>大气环</w:t>
      </w:r>
      <w:r>
        <w:rPr>
          <w:rFonts w:ascii="宋体" w:hAnsi="宋体" w:eastAsia="宋体" w:cs="宋体"/>
          <w:sz w:val="23"/>
          <w:szCs w:val="23"/>
        </w:rPr>
        <w:t xml:space="preserve"> </w:t>
      </w:r>
      <w:r>
        <w:rPr>
          <w:rFonts w:ascii="宋体" w:hAnsi="宋体" w:eastAsia="宋体" w:cs="宋体"/>
          <w:spacing w:val="2"/>
          <w:sz w:val="23"/>
          <w:szCs w:val="23"/>
        </w:rPr>
        <w:t>境》 (</w:t>
      </w:r>
      <w:r>
        <w:rPr>
          <w:rFonts w:ascii="Times New Roman" w:hAnsi="Times New Roman" w:eastAsia="Times New Roman" w:cs="Times New Roman"/>
          <w:sz w:val="23"/>
          <w:szCs w:val="23"/>
        </w:rPr>
        <w:t>HJ</w:t>
      </w:r>
      <w:r>
        <w:rPr>
          <w:rFonts w:ascii="Times New Roman" w:hAnsi="Times New Roman" w:eastAsia="Times New Roman" w:cs="Times New Roman"/>
          <w:spacing w:val="2"/>
          <w:sz w:val="23"/>
          <w:szCs w:val="23"/>
        </w:rPr>
        <w:t>2.2-</w:t>
      </w:r>
      <w:r>
        <w:rPr>
          <w:rFonts w:ascii="Times New Roman" w:hAnsi="Times New Roman" w:eastAsia="Times New Roman" w:cs="Times New Roman"/>
          <w:spacing w:val="1"/>
          <w:sz w:val="23"/>
          <w:szCs w:val="23"/>
        </w:rPr>
        <w:t>2018</w:t>
      </w:r>
      <w:r>
        <w:rPr>
          <w:rFonts w:ascii="宋体" w:hAnsi="宋体" w:eastAsia="宋体" w:cs="宋体"/>
          <w:spacing w:val="1"/>
          <w:sz w:val="23"/>
          <w:szCs w:val="23"/>
        </w:rPr>
        <w:t xml:space="preserve">) 附录 </w:t>
      </w:r>
      <w:r>
        <w:rPr>
          <w:rFonts w:ascii="Times New Roman" w:hAnsi="Times New Roman" w:eastAsia="Times New Roman" w:cs="Times New Roman"/>
          <w:sz w:val="23"/>
          <w:szCs w:val="23"/>
        </w:rPr>
        <w:t>D</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 xml:space="preserve">中环境空气质量浓度参考限值，取值分别为 </w:t>
      </w:r>
      <w:r>
        <w:rPr>
          <w:rFonts w:ascii="Times New Roman" w:hAnsi="Times New Roman" w:eastAsia="Times New Roman" w:cs="Times New Roman"/>
          <w:spacing w:val="1"/>
          <w:sz w:val="23"/>
          <w:szCs w:val="23"/>
        </w:rPr>
        <w:t>200μ</w:t>
      </w:r>
      <w:r>
        <w:rPr>
          <w:rFonts w:ascii="Times New Roman" w:hAnsi="Times New Roman" w:eastAsia="Times New Roman" w:cs="Times New Roman"/>
          <w:sz w:val="23"/>
          <w:szCs w:val="23"/>
        </w:rPr>
        <w:t>g</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1"/>
          <w:position w:val="8"/>
          <w:sz w:val="15"/>
          <w:szCs w:val="15"/>
        </w:rPr>
        <w:t xml:space="preserve">3  </w:t>
      </w:r>
      <w:r>
        <w:rPr>
          <w:rFonts w:ascii="宋体" w:hAnsi="宋体" w:eastAsia="宋体" w:cs="宋体"/>
          <w:spacing w:val="1"/>
          <w:sz w:val="23"/>
          <w:szCs w:val="23"/>
        </w:rPr>
        <w:t>(一</w:t>
      </w:r>
      <w:r>
        <w:rPr>
          <w:rFonts w:ascii="宋体" w:hAnsi="宋体" w:eastAsia="宋体" w:cs="宋体"/>
          <w:sz w:val="23"/>
          <w:szCs w:val="23"/>
        </w:rPr>
        <w:t xml:space="preserve"> </w:t>
      </w:r>
      <w:r>
        <w:rPr>
          <w:rFonts w:ascii="宋体" w:hAnsi="宋体" w:eastAsia="宋体" w:cs="宋体"/>
          <w:spacing w:val="-4"/>
          <w:sz w:val="23"/>
          <w:szCs w:val="23"/>
        </w:rPr>
        <w:t>次值)</w:t>
      </w:r>
      <w:r>
        <w:rPr>
          <w:rFonts w:ascii="宋体" w:hAnsi="宋体" w:eastAsia="宋体" w:cs="宋体"/>
          <w:spacing w:val="-3"/>
          <w:sz w:val="23"/>
          <w:szCs w:val="23"/>
        </w:rPr>
        <w:t xml:space="preserve"> </w:t>
      </w:r>
      <w:r>
        <w:rPr>
          <w:rFonts w:ascii="宋体" w:hAnsi="宋体" w:eastAsia="宋体" w:cs="宋体"/>
          <w:spacing w:val="-2"/>
          <w:sz w:val="23"/>
          <w:szCs w:val="23"/>
        </w:rPr>
        <w:t xml:space="preserve">和 </w:t>
      </w:r>
      <w:r>
        <w:rPr>
          <w:rFonts w:ascii="Times New Roman" w:hAnsi="Times New Roman" w:eastAsia="Times New Roman" w:cs="Times New Roman"/>
          <w:spacing w:val="-2"/>
          <w:sz w:val="23"/>
          <w:szCs w:val="23"/>
        </w:rPr>
        <w:t>10μg/m</w:t>
      </w:r>
      <w:r>
        <w:rPr>
          <w:rFonts w:ascii="Times New Roman" w:hAnsi="Times New Roman" w:eastAsia="Times New Roman" w:cs="Times New Roman"/>
          <w:spacing w:val="-2"/>
          <w:position w:val="7"/>
          <w:sz w:val="15"/>
          <w:szCs w:val="15"/>
        </w:rPr>
        <w:t xml:space="preserve">3   </w:t>
      </w:r>
      <w:r>
        <w:rPr>
          <w:rFonts w:ascii="宋体" w:hAnsi="宋体" w:eastAsia="宋体" w:cs="宋体"/>
          <w:spacing w:val="-2"/>
          <w:sz w:val="23"/>
          <w:szCs w:val="23"/>
        </w:rPr>
        <w:t>( 一次值) 。</w:t>
      </w:r>
    </w:p>
    <w:p w14:paraId="0199D21D">
      <w:pPr>
        <w:spacing w:before="25" w:line="226" w:lineRule="auto"/>
        <w:ind w:left="788"/>
        <w:rPr>
          <w:rFonts w:ascii="宋体" w:hAnsi="宋体" w:eastAsia="宋体" w:cs="宋体"/>
          <w:sz w:val="23"/>
          <w:szCs w:val="23"/>
        </w:rPr>
      </w:pP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8"/>
          <w:sz w:val="23"/>
          <w:szCs w:val="23"/>
        </w:rPr>
        <w:t>5</w:t>
      </w: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宋体" w:hAnsi="宋体" w:eastAsia="宋体" w:cs="宋体"/>
          <w:spacing w:val="18"/>
          <w:sz w:val="23"/>
          <w:szCs w:val="23"/>
        </w:rPr>
        <w:t xml:space="preserve"> </w:t>
      </w:r>
      <w:r>
        <w:rPr>
          <w:rFonts w:ascii="宋体" w:hAnsi="宋体" w:eastAsia="宋体" w:cs="宋体"/>
          <w:spacing w:val="18"/>
          <w:sz w:val="23"/>
          <w:szCs w:val="23"/>
          <w14:textOutline w14:w="4356" w14:cap="sq" w14:cmpd="sng" w14:algn="ctr">
            <w14:solidFill>
              <w14:srgbClr w14:val="000000"/>
            </w14:solidFill>
            <w14:prstDash w14:val="solid"/>
            <w14:bevel/>
          </w14:textOutline>
        </w:rPr>
        <w:t>预测结果及评</w:t>
      </w:r>
      <w:r>
        <w:rPr>
          <w:rFonts w:ascii="宋体" w:hAnsi="宋体" w:eastAsia="宋体" w:cs="宋体"/>
          <w:spacing w:val="16"/>
          <w:sz w:val="23"/>
          <w:szCs w:val="23"/>
          <w14:textOutline w14:w="4356" w14:cap="sq" w14:cmpd="sng" w14:algn="ctr">
            <w14:solidFill>
              <w14:srgbClr w14:val="000000"/>
            </w14:solidFill>
            <w14:prstDash w14:val="solid"/>
            <w14:bevel/>
          </w14:textOutline>
        </w:rPr>
        <w:t>价</w:t>
      </w:r>
    </w:p>
    <w:p w14:paraId="051E65F9">
      <w:pPr>
        <w:spacing w:before="187" w:line="383" w:lineRule="auto"/>
        <w:ind w:left="297" w:right="282" w:firstLine="479"/>
        <w:rPr>
          <w:rFonts w:ascii="宋体" w:hAnsi="宋体" w:eastAsia="宋体" w:cs="宋体"/>
          <w:sz w:val="23"/>
          <w:szCs w:val="23"/>
        </w:rPr>
      </w:pPr>
      <w:r>
        <w:rPr>
          <w:rFonts w:ascii="宋体" w:hAnsi="宋体" w:eastAsia="宋体" w:cs="宋体"/>
          <w:spacing w:val="6"/>
          <w:sz w:val="23"/>
          <w:szCs w:val="23"/>
        </w:rPr>
        <w:t>采用《环境</w:t>
      </w:r>
      <w:r>
        <w:rPr>
          <w:rFonts w:ascii="宋体" w:hAnsi="宋体" w:eastAsia="宋体" w:cs="宋体"/>
          <w:spacing w:val="4"/>
          <w:sz w:val="23"/>
          <w:szCs w:val="23"/>
        </w:rPr>
        <w:t>影</w:t>
      </w:r>
      <w:r>
        <w:rPr>
          <w:rFonts w:ascii="宋体" w:hAnsi="宋体" w:eastAsia="宋体" w:cs="宋体"/>
          <w:spacing w:val="3"/>
          <w:sz w:val="23"/>
          <w:szCs w:val="23"/>
        </w:rPr>
        <w:t>响评价技术导则 大气环境》  (</w:t>
      </w:r>
      <w:r>
        <w:rPr>
          <w:rFonts w:ascii="Times New Roman" w:hAnsi="Times New Roman" w:eastAsia="Times New Roman" w:cs="Times New Roman"/>
          <w:sz w:val="23"/>
          <w:szCs w:val="23"/>
        </w:rPr>
        <w:t>HJ</w:t>
      </w:r>
      <w:r>
        <w:rPr>
          <w:rFonts w:ascii="Times New Roman" w:hAnsi="Times New Roman" w:eastAsia="Times New Roman" w:cs="Times New Roman"/>
          <w:spacing w:val="3"/>
          <w:sz w:val="23"/>
          <w:szCs w:val="23"/>
        </w:rPr>
        <w:t>2.2-2018</w:t>
      </w:r>
      <w:r>
        <w:rPr>
          <w:rFonts w:ascii="宋体" w:hAnsi="宋体" w:eastAsia="宋体" w:cs="宋体"/>
          <w:spacing w:val="3"/>
          <w:sz w:val="23"/>
          <w:szCs w:val="23"/>
        </w:rPr>
        <w:t xml:space="preserve">) 推荐的 </w:t>
      </w:r>
      <w:r>
        <w:rPr>
          <w:rFonts w:ascii="Times New Roman" w:hAnsi="Times New Roman" w:eastAsia="Times New Roman" w:cs="Times New Roman"/>
          <w:sz w:val="23"/>
          <w:szCs w:val="23"/>
        </w:rPr>
        <w:t xml:space="preserve">AERSCREEN </w:t>
      </w:r>
      <w:r>
        <w:rPr>
          <w:rFonts w:ascii="宋体" w:hAnsi="宋体" w:eastAsia="宋体" w:cs="宋体"/>
          <w:spacing w:val="4"/>
          <w:sz w:val="23"/>
          <w:szCs w:val="23"/>
        </w:rPr>
        <w:t xml:space="preserve">估算模型对 </w:t>
      </w:r>
      <w:r>
        <w:rPr>
          <w:rFonts w:ascii="Times New Roman" w:hAnsi="Times New Roman" w:eastAsia="Times New Roman" w:cs="Times New Roman"/>
          <w:sz w:val="23"/>
          <w:szCs w:val="23"/>
        </w:rPr>
        <w:t>H</w:t>
      </w:r>
      <w:r>
        <w:rPr>
          <w:rFonts w:ascii="Times New Roman" w:hAnsi="Times New Roman" w:eastAsia="Times New Roman" w:cs="Times New Roman"/>
          <w:spacing w:val="4"/>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w:t>
      </w:r>
      <w:r>
        <w:rPr>
          <w:rFonts w:ascii="Times New Roman" w:hAnsi="Times New Roman" w:eastAsia="Times New Roman" w:cs="Times New Roman"/>
          <w:sz w:val="23"/>
          <w:szCs w:val="23"/>
        </w:rPr>
        <w:t>NH</w:t>
      </w:r>
      <w:r>
        <w:rPr>
          <w:rFonts w:ascii="Times New Roman" w:hAnsi="Times New Roman" w:eastAsia="Times New Roman" w:cs="Times New Roman"/>
          <w:spacing w:val="4"/>
          <w:position w:val="-1"/>
          <w:sz w:val="15"/>
          <w:szCs w:val="15"/>
        </w:rPr>
        <w:t xml:space="preserve">3 </w:t>
      </w:r>
      <w:r>
        <w:rPr>
          <w:rFonts w:ascii="宋体" w:hAnsi="宋体" w:eastAsia="宋体" w:cs="宋体"/>
          <w:spacing w:val="4"/>
          <w:sz w:val="23"/>
          <w:szCs w:val="23"/>
        </w:rPr>
        <w:t xml:space="preserve">在不同距离处的影响进行估算，估算结果分别见表 </w:t>
      </w:r>
      <w:r>
        <w:rPr>
          <w:rFonts w:ascii="Times New Roman" w:hAnsi="Times New Roman" w:eastAsia="Times New Roman" w:cs="Times New Roman"/>
          <w:spacing w:val="4"/>
          <w:sz w:val="23"/>
          <w:szCs w:val="23"/>
        </w:rPr>
        <w:t>5.2-3</w:t>
      </w:r>
      <w:r>
        <w:rPr>
          <w:rFonts w:ascii="宋体" w:hAnsi="宋体" w:eastAsia="宋体" w:cs="宋体"/>
          <w:sz w:val="23"/>
          <w:szCs w:val="23"/>
        </w:rPr>
        <w:t>。</w:t>
      </w:r>
    </w:p>
    <w:p w14:paraId="7A3AC737">
      <w:pPr>
        <w:spacing w:before="55" w:line="322" w:lineRule="exact"/>
        <w:ind w:left="1085"/>
        <w:rPr>
          <w:rFonts w:ascii="Times New Roman" w:hAnsi="Times New Roman" w:eastAsia="Times New Roman" w:cs="Times New Roman"/>
          <w:sz w:val="15"/>
          <w:szCs w:val="15"/>
        </w:rPr>
      </w:pPr>
      <w:r>
        <w:rPr>
          <w:rFonts w:ascii="黑体" w:hAnsi="黑体" w:eastAsia="黑体" w:cs="黑体"/>
          <w:spacing w:val="10"/>
          <w:position w:val="3"/>
          <w:sz w:val="23"/>
          <w:szCs w:val="23"/>
        </w:rPr>
        <w:t>表</w:t>
      </w:r>
      <w:r>
        <w:rPr>
          <w:rFonts w:ascii="黑体" w:hAnsi="黑体" w:eastAsia="黑体" w:cs="黑体"/>
          <w:spacing w:val="6"/>
          <w:position w:val="3"/>
          <w:sz w:val="23"/>
          <w:szCs w:val="23"/>
        </w:rPr>
        <w:t xml:space="preserve"> </w:t>
      </w:r>
      <w:r>
        <w:rPr>
          <w:rFonts w:ascii="Times New Roman" w:hAnsi="Times New Roman" w:eastAsia="Times New Roman" w:cs="Times New Roman"/>
          <w:spacing w:val="5"/>
          <w:position w:val="3"/>
          <w:sz w:val="23"/>
          <w:szCs w:val="23"/>
        </w:rPr>
        <w:t xml:space="preserve">5.2-4    </w:t>
      </w:r>
      <w:r>
        <w:rPr>
          <w:rFonts w:ascii="黑体" w:hAnsi="黑体" w:eastAsia="黑体" w:cs="黑体"/>
          <w:spacing w:val="5"/>
          <w:position w:val="3"/>
          <w:sz w:val="23"/>
          <w:szCs w:val="23"/>
        </w:rPr>
        <w:t>养殖区大气污染物 (</w:t>
      </w:r>
      <w:r>
        <w:rPr>
          <w:rFonts w:ascii="Times New Roman" w:hAnsi="Times New Roman" w:eastAsia="Times New Roman" w:cs="Times New Roman"/>
          <w:position w:val="3"/>
          <w:sz w:val="23"/>
          <w:szCs w:val="23"/>
        </w:rPr>
        <w:t>NH</w:t>
      </w:r>
      <w:r>
        <w:rPr>
          <w:rFonts w:ascii="Times New Roman" w:hAnsi="Times New Roman" w:eastAsia="Times New Roman" w:cs="Times New Roman"/>
          <w:spacing w:val="5"/>
          <w:position w:val="2"/>
          <w:sz w:val="15"/>
          <w:szCs w:val="15"/>
        </w:rPr>
        <w:t xml:space="preserve">3 </w:t>
      </w:r>
      <w:r>
        <w:rPr>
          <w:rFonts w:ascii="黑体" w:hAnsi="黑体" w:eastAsia="黑体" w:cs="黑体"/>
          <w:spacing w:val="5"/>
          <w:position w:val="3"/>
          <w:sz w:val="23"/>
          <w:szCs w:val="23"/>
        </w:rPr>
        <w:t>、</w:t>
      </w:r>
      <w:r>
        <w:rPr>
          <w:rFonts w:ascii="Times New Roman" w:hAnsi="Times New Roman" w:eastAsia="Times New Roman" w:cs="Times New Roman"/>
          <w:position w:val="3"/>
          <w:sz w:val="23"/>
          <w:szCs w:val="23"/>
        </w:rPr>
        <w:t>H</w:t>
      </w:r>
      <w:r>
        <w:rPr>
          <w:rFonts w:ascii="Times New Roman" w:hAnsi="Times New Roman" w:eastAsia="Times New Roman" w:cs="Times New Roman"/>
          <w:spacing w:val="5"/>
          <w:position w:val="2"/>
          <w:sz w:val="15"/>
          <w:szCs w:val="15"/>
        </w:rPr>
        <w:t>2</w:t>
      </w:r>
      <w:r>
        <w:rPr>
          <w:rFonts w:ascii="Times New Roman" w:hAnsi="Times New Roman" w:eastAsia="Times New Roman" w:cs="Times New Roman"/>
          <w:position w:val="3"/>
          <w:sz w:val="23"/>
          <w:szCs w:val="23"/>
        </w:rPr>
        <w:t>S</w:t>
      </w:r>
      <w:r>
        <w:rPr>
          <w:rFonts w:ascii="黑体" w:hAnsi="黑体" w:eastAsia="黑体" w:cs="黑体"/>
          <w:spacing w:val="5"/>
          <w:position w:val="3"/>
          <w:sz w:val="23"/>
          <w:szCs w:val="23"/>
        </w:rPr>
        <w:t>) 估算结果一览表 单位：</w:t>
      </w:r>
      <w:r>
        <w:rPr>
          <w:rFonts w:ascii="Times New Roman" w:hAnsi="Times New Roman" w:eastAsia="Times New Roman" w:cs="Times New Roman"/>
          <w:position w:val="3"/>
          <w:sz w:val="23"/>
          <w:szCs w:val="23"/>
        </w:rPr>
        <w:t>ug</w:t>
      </w:r>
      <w:r>
        <w:rPr>
          <w:rFonts w:ascii="Times New Roman" w:hAnsi="Times New Roman" w:eastAsia="Times New Roman" w:cs="Times New Roman"/>
          <w:spacing w:val="5"/>
          <w:position w:val="3"/>
          <w:sz w:val="23"/>
          <w:szCs w:val="23"/>
        </w:rPr>
        <w:t>/</w:t>
      </w:r>
      <w:r>
        <w:rPr>
          <w:rFonts w:ascii="Times New Roman" w:hAnsi="Times New Roman" w:eastAsia="Times New Roman" w:cs="Times New Roman"/>
          <w:position w:val="3"/>
          <w:sz w:val="23"/>
          <w:szCs w:val="23"/>
        </w:rPr>
        <w:t>m</w:t>
      </w:r>
      <w:r>
        <w:rPr>
          <w:rFonts w:ascii="Times New Roman" w:hAnsi="Times New Roman" w:eastAsia="Times New Roman" w:cs="Times New Roman"/>
          <w:spacing w:val="5"/>
          <w:position w:val="11"/>
          <w:sz w:val="15"/>
          <w:szCs w:val="15"/>
        </w:rPr>
        <w:t>3</w:t>
      </w:r>
    </w:p>
    <w:tbl>
      <w:tblPr>
        <w:tblStyle w:val="4"/>
        <w:tblW w:w="923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88"/>
        <w:gridCol w:w="1933"/>
        <w:gridCol w:w="1547"/>
        <w:gridCol w:w="2024"/>
        <w:gridCol w:w="1547"/>
      </w:tblGrid>
      <w:tr w14:paraId="4C3EC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2188" w:type="dxa"/>
            <w:vMerge w:val="restart"/>
            <w:tcBorders>
              <w:left w:val="nil"/>
              <w:bottom w:val="nil"/>
            </w:tcBorders>
          </w:tcPr>
          <w:p w14:paraId="3BF97270">
            <w:pPr>
              <w:spacing w:before="296" w:line="239" w:lineRule="auto"/>
              <w:ind w:left="721" w:right="140" w:hanging="566"/>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距源中心下风向距</w:t>
            </w:r>
            <w:r>
              <w:rPr>
                <w:rFonts w:ascii="宋体" w:hAnsi="宋体" w:eastAsia="宋体" w:cs="宋体"/>
                <w:spacing w:val="8"/>
                <w:sz w:val="20"/>
                <w:szCs w:val="20"/>
                <w14:textOutline w14:w="3797" w14:cap="sq" w14:cmpd="sng" w14:algn="ctr">
                  <w14:solidFill>
                    <w14:srgbClr w14:val="000000"/>
                  </w14:solidFill>
                  <w14:prstDash w14:val="solid"/>
                  <w14:bevel/>
                </w14:textOutline>
              </w:rPr>
              <w:t>离</w:t>
            </w:r>
            <w:r>
              <w:rPr>
                <w:rFonts w:ascii="宋体" w:hAnsi="宋体" w:eastAsia="宋体" w:cs="宋体"/>
                <w:sz w:val="20"/>
                <w:szCs w:val="20"/>
              </w:rPr>
              <w:t xml:space="preserve"> </w:t>
            </w:r>
            <w:r>
              <w:rPr>
                <w:rFonts w:ascii="Times New Roman" w:hAnsi="Times New Roman" w:eastAsia="Times New Roman" w:cs="Times New Roman"/>
                <w:b/>
                <w:bCs/>
                <w:spacing w:val="-12"/>
                <w:sz w:val="20"/>
                <w:szCs w:val="20"/>
              </w:rPr>
              <w:t>D</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14:textOutline w14:w="3797" w14:cap="sq" w14:cmpd="sng" w14:algn="ctr">
                  <w14:solidFill>
                    <w14:srgbClr w14:val="000000"/>
                  </w14:solidFill>
                  <w14:prstDash w14:val="solid"/>
                  <w14:bevel/>
                </w14:textOutline>
              </w:rPr>
              <w:t>(</w:t>
            </w:r>
            <w:r>
              <w:rPr>
                <w:rFonts w:ascii="宋体" w:hAnsi="宋体" w:eastAsia="宋体" w:cs="宋体"/>
                <w:spacing w:val="-12"/>
                <w:sz w:val="20"/>
                <w:szCs w:val="20"/>
              </w:rPr>
              <w:t xml:space="preserve"> </w:t>
            </w:r>
            <w:r>
              <w:rPr>
                <w:rFonts w:ascii="Times New Roman" w:hAnsi="Times New Roman" w:eastAsia="Times New Roman" w:cs="Times New Roman"/>
                <w:b/>
                <w:bCs/>
                <w:spacing w:val="-12"/>
                <w:sz w:val="20"/>
                <w:szCs w:val="20"/>
              </w:rPr>
              <w:t>m</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14:textOutline w14:w="3797" w14:cap="sq" w14:cmpd="sng" w14:algn="ctr">
                  <w14:solidFill>
                    <w14:srgbClr w14:val="000000"/>
                  </w14:solidFill>
                  <w14:prstDash w14:val="solid"/>
                  <w14:bevel/>
                </w14:textOutline>
              </w:rPr>
              <w:t>)</w:t>
            </w:r>
          </w:p>
        </w:tc>
        <w:tc>
          <w:tcPr>
            <w:tcW w:w="3480" w:type="dxa"/>
            <w:gridSpan w:val="2"/>
          </w:tcPr>
          <w:p w14:paraId="6BA80B07">
            <w:pPr>
              <w:spacing w:before="101" w:line="199" w:lineRule="auto"/>
              <w:ind w:left="1760"/>
              <w:rPr>
                <w:rFonts w:ascii="Times New Roman" w:hAnsi="Times New Roman" w:eastAsia="Times New Roman" w:cs="Times New Roman"/>
                <w:sz w:val="13"/>
                <w:szCs w:val="13"/>
              </w:rPr>
            </w:pPr>
            <w:r>
              <w:rPr>
                <w:rFonts w:ascii="Times New Roman" w:hAnsi="Times New Roman" w:eastAsia="Times New Roman" w:cs="Times New Roman"/>
                <w:b/>
                <w:bCs/>
                <w:sz w:val="20"/>
                <w:szCs w:val="20"/>
              </w:rPr>
              <w:t>NH</w:t>
            </w:r>
            <w:r>
              <w:rPr>
                <w:rFonts w:ascii="Times New Roman" w:hAnsi="Times New Roman" w:eastAsia="Times New Roman" w:cs="Times New Roman"/>
                <w:b/>
                <w:bCs/>
                <w:spacing w:val="14"/>
                <w:position w:val="-1"/>
                <w:sz w:val="13"/>
                <w:szCs w:val="13"/>
              </w:rPr>
              <w:t>3</w:t>
            </w:r>
          </w:p>
        </w:tc>
        <w:tc>
          <w:tcPr>
            <w:tcW w:w="3571" w:type="dxa"/>
            <w:gridSpan w:val="2"/>
            <w:tcBorders>
              <w:right w:val="nil"/>
            </w:tcBorders>
          </w:tcPr>
          <w:p w14:paraId="28BBEB4E">
            <w:pPr>
              <w:spacing w:before="98" w:line="202" w:lineRule="auto"/>
              <w:ind w:left="1824"/>
              <w:rPr>
                <w:rFonts w:ascii="Times New Roman" w:hAnsi="Times New Roman" w:eastAsia="Times New Roman" w:cs="Times New Roman"/>
                <w:sz w:val="20"/>
                <w:szCs w:val="20"/>
              </w:rPr>
            </w:pPr>
            <w:r>
              <w:rPr>
                <w:rFonts w:ascii="Times New Roman" w:hAnsi="Times New Roman" w:eastAsia="Times New Roman" w:cs="Times New Roman"/>
                <w:b/>
                <w:bCs/>
                <w:sz w:val="20"/>
                <w:szCs w:val="20"/>
              </w:rPr>
              <w:t>H</w:t>
            </w:r>
            <w:r>
              <w:rPr>
                <w:rFonts w:ascii="Times New Roman" w:hAnsi="Times New Roman" w:eastAsia="Times New Roman" w:cs="Times New Roman"/>
                <w:b/>
                <w:bCs/>
                <w:spacing w:val="18"/>
                <w:position w:val="-1"/>
                <w:sz w:val="13"/>
                <w:szCs w:val="13"/>
              </w:rPr>
              <w:t>2</w:t>
            </w:r>
            <w:r>
              <w:rPr>
                <w:rFonts w:ascii="Times New Roman" w:hAnsi="Times New Roman" w:eastAsia="Times New Roman" w:cs="Times New Roman"/>
                <w:b/>
                <w:bCs/>
                <w:sz w:val="20"/>
                <w:szCs w:val="20"/>
              </w:rPr>
              <w:t>S</w:t>
            </w:r>
          </w:p>
        </w:tc>
      </w:tr>
      <w:tr w14:paraId="302319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2188" w:type="dxa"/>
            <w:vMerge w:val="continue"/>
            <w:tcBorders>
              <w:top w:val="nil"/>
              <w:left w:val="nil"/>
            </w:tcBorders>
          </w:tcPr>
          <w:p w14:paraId="1F936DED"/>
        </w:tc>
        <w:tc>
          <w:tcPr>
            <w:tcW w:w="1933" w:type="dxa"/>
          </w:tcPr>
          <w:p w14:paraId="75ECDA50">
            <w:pPr>
              <w:spacing w:before="95" w:line="289" w:lineRule="exact"/>
              <w:ind w:left="120"/>
              <w:rPr>
                <w:rFonts w:ascii="Times New Roman" w:hAnsi="Times New Roman" w:eastAsia="Times New Roman" w:cs="Times New Roman"/>
                <w:sz w:val="20"/>
                <w:szCs w:val="20"/>
              </w:rPr>
            </w:pPr>
            <w:r>
              <w:rPr>
                <w:rFonts w:ascii="宋体" w:hAnsi="宋体" w:eastAsia="宋体" w:cs="宋体"/>
                <w:spacing w:val="1"/>
                <w:position w:val="1"/>
                <w:sz w:val="20"/>
                <w:szCs w:val="20"/>
                <w14:textOutline w14:w="3797" w14:cap="sq" w14:cmpd="sng" w14:algn="ctr">
                  <w14:solidFill>
                    <w14:srgbClr w14:val="000000"/>
                  </w14:solidFill>
                  <w14:prstDash w14:val="solid"/>
                  <w14:bevel/>
                </w14:textOutline>
              </w:rPr>
              <w:t>下</w:t>
            </w:r>
            <w:r>
              <w:rPr>
                <w:rFonts w:ascii="宋体" w:hAnsi="宋体" w:eastAsia="宋体" w:cs="宋体"/>
                <w:position w:val="1"/>
                <w:sz w:val="20"/>
                <w:szCs w:val="20"/>
                <w14:textOutline w14:w="3797" w14:cap="sq" w14:cmpd="sng" w14:algn="ctr">
                  <w14:solidFill>
                    <w14:srgbClr w14:val="000000"/>
                  </w14:solidFill>
                  <w14:prstDash w14:val="solid"/>
                  <w14:bevel/>
                </w14:textOutline>
              </w:rPr>
              <w:t>风向预测浓度</w:t>
            </w:r>
            <w:r>
              <w:rPr>
                <w:rFonts w:ascii="宋体" w:hAnsi="宋体" w:eastAsia="宋体" w:cs="宋体"/>
                <w:position w:val="1"/>
                <w:sz w:val="20"/>
                <w:szCs w:val="20"/>
              </w:rPr>
              <w:t xml:space="preserve"> </w:t>
            </w:r>
            <w:r>
              <w:rPr>
                <w:rFonts w:ascii="Times New Roman" w:hAnsi="Times New Roman" w:eastAsia="Times New Roman" w:cs="Times New Roman"/>
                <w:b/>
                <w:bCs/>
                <w:position w:val="1"/>
                <w:sz w:val="20"/>
                <w:szCs w:val="20"/>
              </w:rPr>
              <w:t>Ci</w:t>
            </w:r>
          </w:p>
        </w:tc>
        <w:tc>
          <w:tcPr>
            <w:tcW w:w="1547" w:type="dxa"/>
          </w:tcPr>
          <w:p w14:paraId="1A801844">
            <w:pPr>
              <w:spacing w:before="95" w:line="289" w:lineRule="exact"/>
              <w:ind w:left="603"/>
              <w:rPr>
                <w:rFonts w:ascii="Times New Roman" w:hAnsi="Times New Roman" w:eastAsia="Times New Roman" w:cs="Times New Roman"/>
                <w:sz w:val="20"/>
                <w:szCs w:val="20"/>
              </w:rPr>
            </w:pPr>
            <w:r>
              <w:rPr>
                <w:rFonts w:ascii="宋体" w:hAnsi="宋体" w:eastAsia="宋体" w:cs="宋体"/>
                <w:spacing w:val="-1"/>
                <w:position w:val="1"/>
                <w:sz w:val="20"/>
                <w:szCs w:val="20"/>
                <w14:textOutline w14:w="3797" w14:cap="sq" w14:cmpd="sng" w14:algn="ctr">
                  <w14:solidFill>
                    <w14:srgbClr w14:val="000000"/>
                  </w14:solidFill>
                  <w14:prstDash w14:val="solid"/>
                  <w14:bevel/>
                </w14:textOutline>
              </w:rPr>
              <w:t>占标率</w:t>
            </w:r>
            <w:r>
              <w:rPr>
                <w:rFonts w:ascii="Times New Roman" w:hAnsi="Times New Roman" w:eastAsia="Times New Roman" w:cs="Times New Roman"/>
                <w:b/>
                <w:bCs/>
                <w:position w:val="1"/>
                <w:sz w:val="20"/>
                <w:szCs w:val="20"/>
              </w:rPr>
              <w:t>%</w:t>
            </w:r>
          </w:p>
        </w:tc>
        <w:tc>
          <w:tcPr>
            <w:tcW w:w="2024" w:type="dxa"/>
          </w:tcPr>
          <w:p w14:paraId="3F2F9D14">
            <w:pPr>
              <w:spacing w:before="95" w:line="289" w:lineRule="exact"/>
              <w:ind w:left="120"/>
              <w:rPr>
                <w:rFonts w:ascii="Times New Roman" w:hAnsi="Times New Roman" w:eastAsia="Times New Roman" w:cs="Times New Roman"/>
                <w:sz w:val="20"/>
                <w:szCs w:val="20"/>
              </w:rPr>
            </w:pPr>
            <w:r>
              <w:rPr>
                <w:rFonts w:ascii="宋体" w:hAnsi="宋体" w:eastAsia="宋体" w:cs="宋体"/>
                <w:spacing w:val="3"/>
                <w:position w:val="1"/>
                <w:sz w:val="20"/>
                <w:szCs w:val="20"/>
                <w14:textOutline w14:w="3797" w14:cap="sq" w14:cmpd="sng" w14:algn="ctr">
                  <w14:solidFill>
                    <w14:srgbClr w14:val="000000"/>
                  </w14:solidFill>
                  <w14:prstDash w14:val="solid"/>
                  <w14:bevel/>
                </w14:textOutline>
              </w:rPr>
              <w:t>下风向预测浓度</w:t>
            </w:r>
            <w:r>
              <w:rPr>
                <w:rFonts w:ascii="宋体" w:hAnsi="宋体" w:eastAsia="宋体" w:cs="宋体"/>
                <w:spacing w:val="2"/>
                <w:position w:val="1"/>
                <w:sz w:val="20"/>
                <w:szCs w:val="20"/>
              </w:rPr>
              <w:t xml:space="preserve"> </w:t>
            </w:r>
            <w:r>
              <w:rPr>
                <w:rFonts w:ascii="Times New Roman" w:hAnsi="Times New Roman" w:eastAsia="Times New Roman" w:cs="Times New Roman"/>
                <w:b/>
                <w:bCs/>
                <w:position w:val="1"/>
                <w:sz w:val="20"/>
                <w:szCs w:val="20"/>
              </w:rPr>
              <w:t>Ci</w:t>
            </w:r>
          </w:p>
        </w:tc>
        <w:tc>
          <w:tcPr>
            <w:tcW w:w="1547" w:type="dxa"/>
            <w:tcBorders>
              <w:right w:val="nil"/>
            </w:tcBorders>
          </w:tcPr>
          <w:p w14:paraId="20A9E0D5">
            <w:pPr>
              <w:spacing w:before="95" w:line="289" w:lineRule="exact"/>
              <w:ind w:left="603"/>
              <w:rPr>
                <w:rFonts w:ascii="Times New Roman" w:hAnsi="Times New Roman" w:eastAsia="Times New Roman" w:cs="Times New Roman"/>
                <w:sz w:val="20"/>
                <w:szCs w:val="20"/>
              </w:rPr>
            </w:pPr>
            <w:r>
              <w:rPr>
                <w:rFonts w:ascii="宋体" w:hAnsi="宋体" w:eastAsia="宋体" w:cs="宋体"/>
                <w:spacing w:val="-1"/>
                <w:position w:val="1"/>
                <w:sz w:val="20"/>
                <w:szCs w:val="20"/>
                <w14:textOutline w14:w="3797" w14:cap="sq" w14:cmpd="sng" w14:algn="ctr">
                  <w14:solidFill>
                    <w14:srgbClr w14:val="000000"/>
                  </w14:solidFill>
                  <w14:prstDash w14:val="solid"/>
                  <w14:bevel/>
                </w14:textOutline>
              </w:rPr>
              <w:t>占标率</w:t>
            </w:r>
            <w:r>
              <w:rPr>
                <w:rFonts w:ascii="Times New Roman" w:hAnsi="Times New Roman" w:eastAsia="Times New Roman" w:cs="Times New Roman"/>
                <w:b/>
                <w:bCs/>
                <w:position w:val="1"/>
                <w:sz w:val="20"/>
                <w:szCs w:val="20"/>
              </w:rPr>
              <w:t>%</w:t>
            </w:r>
          </w:p>
        </w:tc>
      </w:tr>
      <w:tr w14:paraId="591B92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2188" w:type="dxa"/>
            <w:tcBorders>
              <w:left w:val="nil"/>
            </w:tcBorders>
          </w:tcPr>
          <w:p w14:paraId="4D9CFAEE">
            <w:pPr>
              <w:spacing w:before="76" w:line="195" w:lineRule="auto"/>
              <w:ind w:left="1013"/>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7"/>
                <w:sz w:val="20"/>
                <w:szCs w:val="20"/>
              </w:rPr>
              <w:t>0</w:t>
            </w:r>
          </w:p>
        </w:tc>
        <w:tc>
          <w:tcPr>
            <w:tcW w:w="1933" w:type="dxa"/>
          </w:tcPr>
          <w:p w14:paraId="1A536AAF">
            <w:pPr>
              <w:spacing w:before="76" w:line="198"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w:t>
            </w:r>
            <w:r>
              <w:rPr>
                <w:rFonts w:ascii="Times New Roman" w:hAnsi="Times New Roman" w:eastAsia="Times New Roman" w:cs="Times New Roman"/>
                <w:sz w:val="20"/>
                <w:szCs w:val="20"/>
              </w:rPr>
              <w:t>3794</w:t>
            </w:r>
          </w:p>
        </w:tc>
        <w:tc>
          <w:tcPr>
            <w:tcW w:w="1547" w:type="dxa"/>
          </w:tcPr>
          <w:p w14:paraId="0D307679">
            <w:pPr>
              <w:spacing w:before="76" w:line="195" w:lineRule="auto"/>
              <w:ind w:left="18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6</w:t>
            </w:r>
            <w:r>
              <w:rPr>
                <w:rFonts w:ascii="Times New Roman" w:hAnsi="Times New Roman" w:eastAsia="Times New Roman" w:cs="Times New Roman"/>
                <w:spacing w:val="4"/>
                <w:sz w:val="20"/>
                <w:szCs w:val="20"/>
              </w:rPr>
              <w:t>.89700</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-001</w:t>
            </w:r>
          </w:p>
        </w:tc>
        <w:tc>
          <w:tcPr>
            <w:tcW w:w="2024" w:type="dxa"/>
          </w:tcPr>
          <w:p w14:paraId="173DAA98">
            <w:pPr>
              <w:spacing w:before="76" w:line="195" w:lineRule="auto"/>
              <w:ind w:left="62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2"/>
                <w:sz w:val="20"/>
                <w:szCs w:val="20"/>
              </w:rPr>
              <w:t>. 176435</w:t>
            </w:r>
          </w:p>
        </w:tc>
        <w:tc>
          <w:tcPr>
            <w:tcW w:w="1547" w:type="dxa"/>
            <w:tcBorders>
              <w:right w:val="nil"/>
            </w:tcBorders>
          </w:tcPr>
          <w:p w14:paraId="33C64A42">
            <w:pPr>
              <w:spacing w:before="2" w:line="282" w:lineRule="exact"/>
              <w:ind w:left="175"/>
              <w:rPr>
                <w:rFonts w:ascii="Times New Roman" w:hAnsi="Times New Roman" w:eastAsia="Times New Roman" w:cs="Times New Roman"/>
                <w:sz w:val="20"/>
                <w:szCs w:val="20"/>
              </w:rPr>
            </w:pPr>
            <w:r>
              <w:rPr>
                <w:rFonts w:ascii="Times New Roman" w:hAnsi="Times New Roman" w:eastAsia="Times New Roman" w:cs="Times New Roman"/>
                <w:spacing w:val="5"/>
                <w:position w:val="2"/>
                <w:sz w:val="20"/>
                <w:szCs w:val="20"/>
              </w:rPr>
              <w:t>1</w:t>
            </w:r>
            <w:r>
              <w:rPr>
                <w:rFonts w:ascii="Times New Roman" w:hAnsi="Times New Roman" w:eastAsia="Times New Roman" w:cs="Times New Roman"/>
                <w:spacing w:val="3"/>
                <w:position w:val="2"/>
                <w:sz w:val="20"/>
                <w:szCs w:val="20"/>
              </w:rPr>
              <w:t>.76435</w:t>
            </w:r>
            <w:r>
              <w:rPr>
                <w:rFonts w:ascii="Times New Roman" w:hAnsi="Times New Roman" w:eastAsia="Times New Roman" w:cs="Times New Roman"/>
                <w:position w:val="2"/>
                <w:sz w:val="20"/>
                <w:szCs w:val="20"/>
              </w:rPr>
              <w:t>E</w:t>
            </w:r>
            <w:r>
              <w:rPr>
                <w:rFonts w:ascii="Times New Roman" w:hAnsi="Times New Roman" w:eastAsia="Times New Roman" w:cs="Times New Roman"/>
                <w:spacing w:val="3"/>
                <w:position w:val="2"/>
                <w:sz w:val="20"/>
                <w:szCs w:val="20"/>
              </w:rPr>
              <w:t>+000</w:t>
            </w:r>
          </w:p>
        </w:tc>
      </w:tr>
      <w:tr w14:paraId="33063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2188" w:type="dxa"/>
            <w:tcBorders>
              <w:left w:val="nil"/>
            </w:tcBorders>
          </w:tcPr>
          <w:p w14:paraId="11E07CD8">
            <w:pPr>
              <w:spacing w:before="76" w:line="195" w:lineRule="auto"/>
              <w:ind w:left="998"/>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c>
          <w:tcPr>
            <w:tcW w:w="1933" w:type="dxa"/>
          </w:tcPr>
          <w:p w14:paraId="6C222FC6">
            <w:pPr>
              <w:spacing w:before="76" w:line="198"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w:t>
            </w:r>
            <w:r>
              <w:rPr>
                <w:rFonts w:ascii="Times New Roman" w:hAnsi="Times New Roman" w:eastAsia="Times New Roman" w:cs="Times New Roman"/>
                <w:sz w:val="20"/>
                <w:szCs w:val="20"/>
              </w:rPr>
              <w:t>6473</w:t>
            </w:r>
          </w:p>
        </w:tc>
        <w:tc>
          <w:tcPr>
            <w:tcW w:w="1547" w:type="dxa"/>
          </w:tcPr>
          <w:p w14:paraId="768FBFCE">
            <w:pPr>
              <w:spacing w:before="76" w:line="195" w:lineRule="auto"/>
              <w:ind w:left="18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8.23650</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w:t>
            </w:r>
            <w:r>
              <w:rPr>
                <w:rFonts w:ascii="Times New Roman" w:hAnsi="Times New Roman" w:eastAsia="Times New Roman" w:cs="Times New Roman"/>
                <w:spacing w:val="2"/>
                <w:sz w:val="20"/>
                <w:szCs w:val="20"/>
              </w:rPr>
              <w:t>1</w:t>
            </w:r>
          </w:p>
        </w:tc>
        <w:tc>
          <w:tcPr>
            <w:tcW w:w="2024" w:type="dxa"/>
          </w:tcPr>
          <w:p w14:paraId="03BE2BDD">
            <w:pPr>
              <w:spacing w:before="76" w:line="195" w:lineRule="auto"/>
              <w:ind w:left="62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0.21070</w:t>
            </w:r>
            <w:r>
              <w:rPr>
                <w:rFonts w:ascii="Times New Roman" w:hAnsi="Times New Roman" w:eastAsia="Times New Roman" w:cs="Times New Roman"/>
                <w:spacing w:val="2"/>
                <w:sz w:val="20"/>
                <w:szCs w:val="20"/>
              </w:rPr>
              <w:t>1</w:t>
            </w:r>
          </w:p>
        </w:tc>
        <w:tc>
          <w:tcPr>
            <w:tcW w:w="1547" w:type="dxa"/>
            <w:tcBorders>
              <w:right w:val="nil"/>
            </w:tcBorders>
          </w:tcPr>
          <w:p w14:paraId="31A571A9">
            <w:pPr>
              <w:spacing w:before="2" w:line="282" w:lineRule="exact"/>
              <w:ind w:left="155"/>
              <w:rPr>
                <w:rFonts w:ascii="Times New Roman" w:hAnsi="Times New Roman" w:eastAsia="Times New Roman" w:cs="Times New Roman"/>
                <w:sz w:val="20"/>
                <w:szCs w:val="20"/>
              </w:rPr>
            </w:pPr>
            <w:r>
              <w:rPr>
                <w:rFonts w:ascii="Times New Roman" w:hAnsi="Times New Roman" w:eastAsia="Times New Roman" w:cs="Times New Roman"/>
                <w:spacing w:val="1"/>
                <w:position w:val="2"/>
                <w:sz w:val="20"/>
                <w:szCs w:val="20"/>
              </w:rPr>
              <w:t>2. 10</w:t>
            </w:r>
            <w:r>
              <w:rPr>
                <w:rFonts w:ascii="Times New Roman" w:hAnsi="Times New Roman" w:eastAsia="Times New Roman" w:cs="Times New Roman"/>
                <w:position w:val="2"/>
                <w:sz w:val="20"/>
                <w:szCs w:val="20"/>
              </w:rPr>
              <w:t>701E+000</w:t>
            </w:r>
          </w:p>
        </w:tc>
      </w:tr>
      <w:tr w14:paraId="1B8AB5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2188" w:type="dxa"/>
            <w:tcBorders>
              <w:left w:val="nil"/>
            </w:tcBorders>
          </w:tcPr>
          <w:p w14:paraId="10C403AC">
            <w:pPr>
              <w:spacing w:before="77" w:line="195" w:lineRule="auto"/>
              <w:ind w:left="96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tc>
        <w:tc>
          <w:tcPr>
            <w:tcW w:w="1933" w:type="dxa"/>
          </w:tcPr>
          <w:p w14:paraId="4ACD89D7">
            <w:pPr>
              <w:spacing w:before="77" w:line="198"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w:t>
            </w:r>
            <w:r>
              <w:rPr>
                <w:rFonts w:ascii="Times New Roman" w:hAnsi="Times New Roman" w:eastAsia="Times New Roman" w:cs="Times New Roman"/>
                <w:sz w:val="20"/>
                <w:szCs w:val="20"/>
              </w:rPr>
              <w:t>8573</w:t>
            </w:r>
          </w:p>
        </w:tc>
        <w:tc>
          <w:tcPr>
            <w:tcW w:w="1547" w:type="dxa"/>
          </w:tcPr>
          <w:p w14:paraId="4A2DEB53">
            <w:pPr>
              <w:spacing w:before="77" w:line="195" w:lineRule="auto"/>
              <w:ind w:left="18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9</w:t>
            </w:r>
            <w:r>
              <w:rPr>
                <w:rFonts w:ascii="Times New Roman" w:hAnsi="Times New Roman" w:eastAsia="Times New Roman" w:cs="Times New Roman"/>
                <w:spacing w:val="4"/>
                <w:sz w:val="20"/>
                <w:szCs w:val="20"/>
              </w:rPr>
              <w:t>.28650</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-001</w:t>
            </w:r>
          </w:p>
        </w:tc>
        <w:tc>
          <w:tcPr>
            <w:tcW w:w="2024" w:type="dxa"/>
          </w:tcPr>
          <w:p w14:paraId="5EA9B068">
            <w:pPr>
              <w:spacing w:before="78" w:line="195" w:lineRule="auto"/>
              <w:ind w:left="62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0.23756</w:t>
            </w:r>
            <w:r>
              <w:rPr>
                <w:rFonts w:ascii="Times New Roman" w:hAnsi="Times New Roman" w:eastAsia="Times New Roman" w:cs="Times New Roman"/>
                <w:spacing w:val="2"/>
                <w:sz w:val="20"/>
                <w:szCs w:val="20"/>
              </w:rPr>
              <w:t>2</w:t>
            </w:r>
          </w:p>
        </w:tc>
        <w:tc>
          <w:tcPr>
            <w:tcW w:w="1547" w:type="dxa"/>
            <w:tcBorders>
              <w:right w:val="nil"/>
            </w:tcBorders>
          </w:tcPr>
          <w:p w14:paraId="2EE17D25">
            <w:pPr>
              <w:spacing w:before="4" w:line="281" w:lineRule="exact"/>
              <w:ind w:left="155"/>
              <w:rPr>
                <w:rFonts w:ascii="Times New Roman" w:hAnsi="Times New Roman" w:eastAsia="Times New Roman" w:cs="Times New Roman"/>
                <w:sz w:val="20"/>
                <w:szCs w:val="20"/>
              </w:rPr>
            </w:pPr>
            <w:r>
              <w:rPr>
                <w:rFonts w:ascii="Times New Roman" w:hAnsi="Times New Roman" w:eastAsia="Times New Roman" w:cs="Times New Roman"/>
                <w:spacing w:val="5"/>
                <w:position w:val="2"/>
                <w:sz w:val="20"/>
                <w:szCs w:val="20"/>
              </w:rPr>
              <w:t>2.37562</w:t>
            </w:r>
            <w:r>
              <w:rPr>
                <w:rFonts w:ascii="Times New Roman" w:hAnsi="Times New Roman" w:eastAsia="Times New Roman" w:cs="Times New Roman"/>
                <w:position w:val="2"/>
                <w:sz w:val="20"/>
                <w:szCs w:val="20"/>
              </w:rPr>
              <w:t>E</w:t>
            </w:r>
            <w:r>
              <w:rPr>
                <w:rFonts w:ascii="Times New Roman" w:hAnsi="Times New Roman" w:eastAsia="Times New Roman" w:cs="Times New Roman"/>
                <w:spacing w:val="5"/>
                <w:position w:val="2"/>
                <w:sz w:val="20"/>
                <w:szCs w:val="20"/>
              </w:rPr>
              <w:t>+000</w:t>
            </w:r>
          </w:p>
        </w:tc>
      </w:tr>
      <w:tr w14:paraId="0B8F3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2188" w:type="dxa"/>
            <w:tcBorders>
              <w:left w:val="nil"/>
            </w:tcBorders>
          </w:tcPr>
          <w:p w14:paraId="3360FCA3">
            <w:pPr>
              <w:spacing w:before="76" w:line="195" w:lineRule="auto"/>
              <w:ind w:left="949"/>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31</w:t>
            </w:r>
          </w:p>
        </w:tc>
        <w:tc>
          <w:tcPr>
            <w:tcW w:w="1933" w:type="dxa"/>
          </w:tcPr>
          <w:p w14:paraId="2AC8C199">
            <w:pPr>
              <w:spacing w:before="76" w:line="198" w:lineRule="auto"/>
              <w:ind w:left="688"/>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1</w:t>
            </w:r>
            <w:r>
              <w:rPr>
                <w:rFonts w:ascii="Times New Roman" w:hAnsi="Times New Roman" w:eastAsia="Times New Roman" w:cs="Times New Roman"/>
                <w:b/>
                <w:bCs/>
                <w:spacing w:val="2"/>
                <w:sz w:val="20"/>
                <w:szCs w:val="20"/>
              </w:rPr>
              <w:t>.9492</w:t>
            </w:r>
          </w:p>
        </w:tc>
        <w:tc>
          <w:tcPr>
            <w:tcW w:w="1547" w:type="dxa"/>
          </w:tcPr>
          <w:p w14:paraId="72B7CFE3">
            <w:pPr>
              <w:spacing w:before="76" w:line="195" w:lineRule="auto"/>
              <w:ind w:left="173"/>
              <w:rPr>
                <w:rFonts w:ascii="Times New Roman" w:hAnsi="Times New Roman" w:eastAsia="Times New Roman" w:cs="Times New Roman"/>
                <w:sz w:val="20"/>
                <w:szCs w:val="20"/>
              </w:rPr>
            </w:pPr>
            <w:r>
              <w:rPr>
                <w:rFonts w:ascii="Times New Roman" w:hAnsi="Times New Roman" w:eastAsia="Times New Roman" w:cs="Times New Roman"/>
                <w:b/>
                <w:bCs/>
                <w:spacing w:val="8"/>
                <w:sz w:val="20"/>
                <w:szCs w:val="20"/>
              </w:rPr>
              <w:t>9</w:t>
            </w:r>
            <w:r>
              <w:rPr>
                <w:rFonts w:ascii="Times New Roman" w:hAnsi="Times New Roman" w:eastAsia="Times New Roman" w:cs="Times New Roman"/>
                <w:b/>
                <w:bCs/>
                <w:spacing w:val="7"/>
                <w:sz w:val="20"/>
                <w:szCs w:val="20"/>
              </w:rPr>
              <w:t>.</w:t>
            </w:r>
            <w:r>
              <w:rPr>
                <w:rFonts w:ascii="Times New Roman" w:hAnsi="Times New Roman" w:eastAsia="Times New Roman" w:cs="Times New Roman"/>
                <w:b/>
                <w:bCs/>
                <w:spacing w:val="4"/>
                <w:sz w:val="20"/>
                <w:szCs w:val="20"/>
              </w:rPr>
              <w:t>74600</w:t>
            </w:r>
            <w:r>
              <w:rPr>
                <w:rFonts w:ascii="Times New Roman" w:hAnsi="Times New Roman" w:eastAsia="Times New Roman" w:cs="Times New Roman"/>
                <w:b/>
                <w:bCs/>
                <w:sz w:val="20"/>
                <w:szCs w:val="20"/>
              </w:rPr>
              <w:t>E</w:t>
            </w:r>
            <w:r>
              <w:rPr>
                <w:rFonts w:ascii="Times New Roman" w:hAnsi="Times New Roman" w:eastAsia="Times New Roman" w:cs="Times New Roman"/>
                <w:b/>
                <w:bCs/>
                <w:spacing w:val="4"/>
                <w:sz w:val="20"/>
                <w:szCs w:val="20"/>
              </w:rPr>
              <w:t>-001</w:t>
            </w:r>
          </w:p>
        </w:tc>
        <w:tc>
          <w:tcPr>
            <w:tcW w:w="2024" w:type="dxa"/>
          </w:tcPr>
          <w:p w14:paraId="10AF3858">
            <w:pPr>
              <w:spacing w:before="76" w:line="195" w:lineRule="auto"/>
              <w:ind w:left="624"/>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0.24931</w:t>
            </w:r>
            <w:r>
              <w:rPr>
                <w:rFonts w:ascii="Times New Roman" w:hAnsi="Times New Roman" w:eastAsia="Times New Roman" w:cs="Times New Roman"/>
                <w:b/>
                <w:bCs/>
                <w:spacing w:val="2"/>
                <w:sz w:val="20"/>
                <w:szCs w:val="20"/>
              </w:rPr>
              <w:t>6</w:t>
            </w:r>
          </w:p>
        </w:tc>
        <w:tc>
          <w:tcPr>
            <w:tcW w:w="1547" w:type="dxa"/>
            <w:tcBorders>
              <w:right w:val="nil"/>
            </w:tcBorders>
          </w:tcPr>
          <w:p w14:paraId="2D114BA1">
            <w:pPr>
              <w:spacing w:line="288" w:lineRule="exact"/>
              <w:ind w:left="148"/>
              <w:rPr>
                <w:rFonts w:ascii="Times New Roman" w:hAnsi="Times New Roman" w:eastAsia="Times New Roman" w:cs="Times New Roman"/>
                <w:sz w:val="20"/>
                <w:szCs w:val="20"/>
              </w:rPr>
            </w:pPr>
            <w:r>
              <w:rPr>
                <w:rFonts w:ascii="Times New Roman" w:hAnsi="Times New Roman" w:eastAsia="Times New Roman" w:cs="Times New Roman"/>
                <w:b/>
                <w:bCs/>
                <w:spacing w:val="6"/>
                <w:position w:val="2"/>
                <w:sz w:val="20"/>
                <w:szCs w:val="20"/>
              </w:rPr>
              <w:t>2</w:t>
            </w:r>
            <w:r>
              <w:rPr>
                <w:rFonts w:ascii="Times New Roman" w:hAnsi="Times New Roman" w:eastAsia="Times New Roman" w:cs="Times New Roman"/>
                <w:b/>
                <w:bCs/>
                <w:spacing w:val="5"/>
                <w:position w:val="2"/>
                <w:sz w:val="20"/>
                <w:szCs w:val="20"/>
              </w:rPr>
              <w:t>.49316</w:t>
            </w:r>
            <w:r>
              <w:rPr>
                <w:rFonts w:ascii="Times New Roman" w:hAnsi="Times New Roman" w:eastAsia="Times New Roman" w:cs="Times New Roman"/>
                <w:b/>
                <w:bCs/>
                <w:position w:val="2"/>
                <w:sz w:val="20"/>
                <w:szCs w:val="20"/>
              </w:rPr>
              <w:t>E</w:t>
            </w:r>
            <w:r>
              <w:rPr>
                <w:rFonts w:ascii="Times New Roman" w:hAnsi="Times New Roman" w:eastAsia="Times New Roman" w:cs="Times New Roman"/>
                <w:b/>
                <w:bCs/>
                <w:spacing w:val="5"/>
                <w:position w:val="2"/>
                <w:sz w:val="20"/>
                <w:szCs w:val="20"/>
              </w:rPr>
              <w:t>+000</w:t>
            </w:r>
          </w:p>
        </w:tc>
      </w:tr>
      <w:tr w14:paraId="2DEC2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2188" w:type="dxa"/>
            <w:tcBorders>
              <w:left w:val="nil"/>
            </w:tcBorders>
          </w:tcPr>
          <w:p w14:paraId="10B6BBC5">
            <w:pPr>
              <w:spacing w:before="75" w:line="195" w:lineRule="auto"/>
              <w:ind w:left="96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150</w:t>
            </w:r>
          </w:p>
        </w:tc>
        <w:tc>
          <w:tcPr>
            <w:tcW w:w="1933" w:type="dxa"/>
          </w:tcPr>
          <w:p w14:paraId="4D4E20A0">
            <w:pPr>
              <w:spacing w:before="75" w:line="198"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w:t>
            </w:r>
            <w:r>
              <w:rPr>
                <w:rFonts w:ascii="Times New Roman" w:hAnsi="Times New Roman" w:eastAsia="Times New Roman" w:cs="Times New Roman"/>
                <w:sz w:val="20"/>
                <w:szCs w:val="20"/>
              </w:rPr>
              <w:t>8781</w:t>
            </w:r>
          </w:p>
        </w:tc>
        <w:tc>
          <w:tcPr>
            <w:tcW w:w="1547" w:type="dxa"/>
          </w:tcPr>
          <w:p w14:paraId="49466C79">
            <w:pPr>
              <w:spacing w:before="75" w:line="195" w:lineRule="auto"/>
              <w:ind w:left="18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9</w:t>
            </w:r>
            <w:r>
              <w:rPr>
                <w:rFonts w:ascii="Times New Roman" w:hAnsi="Times New Roman" w:eastAsia="Times New Roman" w:cs="Times New Roman"/>
                <w:spacing w:val="4"/>
                <w:sz w:val="20"/>
                <w:szCs w:val="20"/>
              </w:rPr>
              <w:t>.39050</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-001</w:t>
            </w:r>
          </w:p>
        </w:tc>
        <w:tc>
          <w:tcPr>
            <w:tcW w:w="2024" w:type="dxa"/>
          </w:tcPr>
          <w:p w14:paraId="2DBC2956">
            <w:pPr>
              <w:spacing w:before="76" w:line="195" w:lineRule="auto"/>
              <w:ind w:left="62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0.24022</w:t>
            </w:r>
            <w:r>
              <w:rPr>
                <w:rFonts w:ascii="Times New Roman" w:hAnsi="Times New Roman" w:eastAsia="Times New Roman" w:cs="Times New Roman"/>
                <w:spacing w:val="2"/>
                <w:sz w:val="20"/>
                <w:szCs w:val="20"/>
              </w:rPr>
              <w:t>2</w:t>
            </w:r>
          </w:p>
        </w:tc>
        <w:tc>
          <w:tcPr>
            <w:tcW w:w="1547" w:type="dxa"/>
            <w:tcBorders>
              <w:right w:val="nil"/>
            </w:tcBorders>
          </w:tcPr>
          <w:p w14:paraId="268A97BE">
            <w:pPr>
              <w:spacing w:before="2" w:line="281" w:lineRule="exact"/>
              <w:ind w:left="155"/>
              <w:rPr>
                <w:rFonts w:ascii="Times New Roman" w:hAnsi="Times New Roman" w:eastAsia="Times New Roman" w:cs="Times New Roman"/>
                <w:sz w:val="20"/>
                <w:szCs w:val="20"/>
              </w:rPr>
            </w:pPr>
            <w:r>
              <w:rPr>
                <w:rFonts w:ascii="Times New Roman" w:hAnsi="Times New Roman" w:eastAsia="Times New Roman" w:cs="Times New Roman"/>
                <w:spacing w:val="5"/>
                <w:position w:val="2"/>
                <w:sz w:val="20"/>
                <w:szCs w:val="20"/>
              </w:rPr>
              <w:t>2.40222</w:t>
            </w:r>
            <w:r>
              <w:rPr>
                <w:rFonts w:ascii="Times New Roman" w:hAnsi="Times New Roman" w:eastAsia="Times New Roman" w:cs="Times New Roman"/>
                <w:position w:val="2"/>
                <w:sz w:val="20"/>
                <w:szCs w:val="20"/>
              </w:rPr>
              <w:t>E</w:t>
            </w:r>
            <w:r>
              <w:rPr>
                <w:rFonts w:ascii="Times New Roman" w:hAnsi="Times New Roman" w:eastAsia="Times New Roman" w:cs="Times New Roman"/>
                <w:spacing w:val="5"/>
                <w:position w:val="2"/>
                <w:sz w:val="20"/>
                <w:szCs w:val="20"/>
              </w:rPr>
              <w:t>+000</w:t>
            </w:r>
          </w:p>
        </w:tc>
      </w:tr>
      <w:tr w14:paraId="3C60B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2188" w:type="dxa"/>
            <w:tcBorders>
              <w:left w:val="nil"/>
            </w:tcBorders>
          </w:tcPr>
          <w:p w14:paraId="570D3B73">
            <w:pPr>
              <w:spacing w:before="78" w:line="195" w:lineRule="auto"/>
              <w:ind w:left="94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00</w:t>
            </w:r>
          </w:p>
        </w:tc>
        <w:tc>
          <w:tcPr>
            <w:tcW w:w="1933" w:type="dxa"/>
          </w:tcPr>
          <w:p w14:paraId="31AE9208">
            <w:pPr>
              <w:spacing w:before="78"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12"/>
                <w:sz w:val="20"/>
                <w:szCs w:val="20"/>
              </w:rPr>
              <w:t>1</w:t>
            </w:r>
            <w:r>
              <w:rPr>
                <w:rFonts w:ascii="Times New Roman" w:hAnsi="Times New Roman" w:eastAsia="Times New Roman" w:cs="Times New Roman"/>
                <w:spacing w:val="-6"/>
                <w:sz w:val="20"/>
                <w:szCs w:val="20"/>
              </w:rPr>
              <w:t>. 1071</w:t>
            </w:r>
          </w:p>
        </w:tc>
        <w:tc>
          <w:tcPr>
            <w:tcW w:w="1547" w:type="dxa"/>
          </w:tcPr>
          <w:p w14:paraId="1124FBED">
            <w:pPr>
              <w:spacing w:before="78" w:line="195" w:lineRule="auto"/>
              <w:ind w:left="18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5</w:t>
            </w:r>
            <w:r>
              <w:rPr>
                <w:rFonts w:ascii="Times New Roman" w:hAnsi="Times New Roman" w:eastAsia="Times New Roman" w:cs="Times New Roman"/>
                <w:spacing w:val="4"/>
                <w:sz w:val="20"/>
                <w:szCs w:val="20"/>
              </w:rPr>
              <w:t>.53550</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-001</w:t>
            </w:r>
          </w:p>
        </w:tc>
        <w:tc>
          <w:tcPr>
            <w:tcW w:w="2024" w:type="dxa"/>
          </w:tcPr>
          <w:p w14:paraId="52E15D5B">
            <w:pPr>
              <w:spacing w:before="78" w:line="195" w:lineRule="auto"/>
              <w:ind w:left="62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2"/>
                <w:sz w:val="20"/>
                <w:szCs w:val="20"/>
              </w:rPr>
              <w:t>. 141606</w:t>
            </w:r>
          </w:p>
        </w:tc>
        <w:tc>
          <w:tcPr>
            <w:tcW w:w="1547" w:type="dxa"/>
            <w:tcBorders>
              <w:right w:val="nil"/>
            </w:tcBorders>
          </w:tcPr>
          <w:p w14:paraId="2AC756FC">
            <w:pPr>
              <w:spacing w:before="4" w:line="281" w:lineRule="exact"/>
              <w:ind w:left="175"/>
              <w:rPr>
                <w:rFonts w:ascii="Times New Roman" w:hAnsi="Times New Roman" w:eastAsia="Times New Roman" w:cs="Times New Roman"/>
                <w:sz w:val="20"/>
                <w:szCs w:val="20"/>
              </w:rPr>
            </w:pPr>
            <w:r>
              <w:rPr>
                <w:rFonts w:ascii="Times New Roman" w:hAnsi="Times New Roman" w:eastAsia="Times New Roman" w:cs="Times New Roman"/>
                <w:spacing w:val="5"/>
                <w:position w:val="2"/>
                <w:sz w:val="20"/>
                <w:szCs w:val="20"/>
              </w:rPr>
              <w:t>1</w:t>
            </w:r>
            <w:r>
              <w:rPr>
                <w:rFonts w:ascii="Times New Roman" w:hAnsi="Times New Roman" w:eastAsia="Times New Roman" w:cs="Times New Roman"/>
                <w:spacing w:val="3"/>
                <w:position w:val="2"/>
                <w:sz w:val="20"/>
                <w:szCs w:val="20"/>
              </w:rPr>
              <w:t>.41606</w:t>
            </w:r>
            <w:r>
              <w:rPr>
                <w:rFonts w:ascii="Times New Roman" w:hAnsi="Times New Roman" w:eastAsia="Times New Roman" w:cs="Times New Roman"/>
                <w:position w:val="2"/>
                <w:sz w:val="20"/>
                <w:szCs w:val="20"/>
              </w:rPr>
              <w:t>E</w:t>
            </w:r>
            <w:r>
              <w:rPr>
                <w:rFonts w:ascii="Times New Roman" w:hAnsi="Times New Roman" w:eastAsia="Times New Roman" w:cs="Times New Roman"/>
                <w:spacing w:val="3"/>
                <w:position w:val="2"/>
                <w:sz w:val="20"/>
                <w:szCs w:val="20"/>
              </w:rPr>
              <w:t>+000</w:t>
            </w:r>
          </w:p>
        </w:tc>
      </w:tr>
      <w:tr w14:paraId="7DD0E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 w:hRule="atLeast"/>
        </w:trPr>
        <w:tc>
          <w:tcPr>
            <w:tcW w:w="2188" w:type="dxa"/>
            <w:tcBorders>
              <w:left w:val="nil"/>
            </w:tcBorders>
          </w:tcPr>
          <w:p w14:paraId="66358B87">
            <w:pPr>
              <w:spacing w:before="77" w:line="195" w:lineRule="auto"/>
              <w:ind w:left="94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50</w:t>
            </w:r>
          </w:p>
        </w:tc>
        <w:tc>
          <w:tcPr>
            <w:tcW w:w="1933" w:type="dxa"/>
          </w:tcPr>
          <w:p w14:paraId="2F36B753">
            <w:pPr>
              <w:spacing w:before="77" w:line="195" w:lineRule="auto"/>
              <w:ind w:left="62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0</w:t>
            </w:r>
            <w:r>
              <w:rPr>
                <w:rFonts w:ascii="Times New Roman" w:hAnsi="Times New Roman" w:eastAsia="Times New Roman" w:cs="Times New Roman"/>
                <w:spacing w:val="4"/>
                <w:sz w:val="20"/>
                <w:szCs w:val="20"/>
              </w:rPr>
              <w:t xml:space="preserve"> </w:t>
            </w:r>
            <w:r>
              <w:rPr>
                <w:rFonts w:ascii="Times New Roman" w:hAnsi="Times New Roman" w:eastAsia="Times New Roman" w:cs="Times New Roman"/>
                <w:spacing w:val="3"/>
                <w:sz w:val="20"/>
                <w:szCs w:val="20"/>
              </w:rPr>
              <w:t>76478</w:t>
            </w:r>
          </w:p>
        </w:tc>
        <w:tc>
          <w:tcPr>
            <w:tcW w:w="1547" w:type="dxa"/>
          </w:tcPr>
          <w:p w14:paraId="6123B99A">
            <w:pPr>
              <w:spacing w:before="77" w:line="195" w:lineRule="auto"/>
              <w:ind w:left="18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3</w:t>
            </w:r>
            <w:r>
              <w:rPr>
                <w:rFonts w:ascii="Times New Roman" w:hAnsi="Times New Roman" w:eastAsia="Times New Roman" w:cs="Times New Roman"/>
                <w:spacing w:val="4"/>
                <w:sz w:val="20"/>
                <w:szCs w:val="20"/>
              </w:rPr>
              <w:t xml:space="preserve"> 82390</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-001</w:t>
            </w:r>
          </w:p>
        </w:tc>
        <w:tc>
          <w:tcPr>
            <w:tcW w:w="2024" w:type="dxa"/>
          </w:tcPr>
          <w:p w14:paraId="3294299B">
            <w:pPr>
              <w:spacing w:before="77" w:line="195" w:lineRule="auto"/>
              <w:ind w:left="57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0 0978207</w:t>
            </w:r>
          </w:p>
        </w:tc>
        <w:tc>
          <w:tcPr>
            <w:tcW w:w="1547" w:type="dxa"/>
            <w:tcBorders>
              <w:right w:val="nil"/>
            </w:tcBorders>
          </w:tcPr>
          <w:p w14:paraId="790CDEEB">
            <w:pPr>
              <w:spacing w:before="77" w:line="195" w:lineRule="auto"/>
              <w:ind w:left="18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9</w:t>
            </w:r>
            <w:r>
              <w:rPr>
                <w:rFonts w:ascii="Times New Roman" w:hAnsi="Times New Roman" w:eastAsia="Times New Roman" w:cs="Times New Roman"/>
                <w:spacing w:val="4"/>
                <w:sz w:val="20"/>
                <w:szCs w:val="20"/>
              </w:rPr>
              <w:t xml:space="preserve"> 78207</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-001</w:t>
            </w:r>
          </w:p>
        </w:tc>
      </w:tr>
      <w:tr w14:paraId="35A29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188" w:type="dxa"/>
            <w:tcBorders>
              <w:left w:val="nil"/>
            </w:tcBorders>
          </w:tcPr>
          <w:p w14:paraId="520A73FA">
            <w:pPr>
              <w:spacing w:before="104" w:line="195" w:lineRule="auto"/>
              <w:ind w:left="94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w:t>
            </w:r>
            <w:r>
              <w:rPr>
                <w:rFonts w:ascii="Times New Roman" w:hAnsi="Times New Roman" w:eastAsia="Times New Roman" w:cs="Times New Roman"/>
                <w:spacing w:val="2"/>
                <w:sz w:val="20"/>
                <w:szCs w:val="20"/>
              </w:rPr>
              <w:t>00</w:t>
            </w:r>
          </w:p>
        </w:tc>
        <w:tc>
          <w:tcPr>
            <w:tcW w:w="1933" w:type="dxa"/>
          </w:tcPr>
          <w:p w14:paraId="76102272">
            <w:pPr>
              <w:spacing w:before="105" w:line="195" w:lineRule="auto"/>
              <w:ind w:left="62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0</w:t>
            </w:r>
            <w:r>
              <w:rPr>
                <w:rFonts w:ascii="Times New Roman" w:hAnsi="Times New Roman" w:eastAsia="Times New Roman" w:cs="Times New Roman"/>
                <w:spacing w:val="4"/>
                <w:sz w:val="20"/>
                <w:szCs w:val="20"/>
              </w:rPr>
              <w:t>.</w:t>
            </w:r>
            <w:r>
              <w:rPr>
                <w:rFonts w:ascii="Times New Roman" w:hAnsi="Times New Roman" w:eastAsia="Times New Roman" w:cs="Times New Roman"/>
                <w:spacing w:val="3"/>
                <w:sz w:val="20"/>
                <w:szCs w:val="20"/>
              </w:rPr>
              <w:t>57171</w:t>
            </w:r>
          </w:p>
        </w:tc>
        <w:tc>
          <w:tcPr>
            <w:tcW w:w="1547" w:type="dxa"/>
          </w:tcPr>
          <w:p w14:paraId="64066D71">
            <w:pPr>
              <w:spacing w:before="104" w:line="198" w:lineRule="auto"/>
              <w:ind w:left="17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6"/>
                <w:sz w:val="20"/>
                <w:szCs w:val="20"/>
              </w:rPr>
              <w:t>.</w:t>
            </w:r>
            <w:r>
              <w:rPr>
                <w:rFonts w:ascii="Times New Roman" w:hAnsi="Times New Roman" w:eastAsia="Times New Roman" w:cs="Times New Roman"/>
                <w:spacing w:val="4"/>
                <w:sz w:val="20"/>
                <w:szCs w:val="20"/>
              </w:rPr>
              <w:t>85855</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-001</w:t>
            </w:r>
          </w:p>
        </w:tc>
        <w:tc>
          <w:tcPr>
            <w:tcW w:w="2024" w:type="dxa"/>
          </w:tcPr>
          <w:p w14:paraId="65A175F8">
            <w:pPr>
              <w:spacing w:before="105" w:line="195" w:lineRule="auto"/>
              <w:ind w:left="57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0.0731257</w:t>
            </w:r>
          </w:p>
        </w:tc>
        <w:tc>
          <w:tcPr>
            <w:tcW w:w="1547" w:type="dxa"/>
            <w:tcBorders>
              <w:right w:val="nil"/>
            </w:tcBorders>
          </w:tcPr>
          <w:p w14:paraId="7E3796D6">
            <w:pPr>
              <w:spacing w:before="104" w:line="195" w:lineRule="auto"/>
              <w:ind w:left="182"/>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7</w:t>
            </w:r>
            <w:r>
              <w:rPr>
                <w:rFonts w:ascii="Times New Roman" w:hAnsi="Times New Roman" w:eastAsia="Times New Roman" w:cs="Times New Roman"/>
                <w:spacing w:val="4"/>
                <w:sz w:val="20"/>
                <w:szCs w:val="20"/>
              </w:rPr>
              <w:t>.31257</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-001</w:t>
            </w:r>
          </w:p>
        </w:tc>
      </w:tr>
      <w:tr w14:paraId="710C89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2188" w:type="dxa"/>
            <w:tcBorders>
              <w:left w:val="nil"/>
            </w:tcBorders>
          </w:tcPr>
          <w:p w14:paraId="399E3B78">
            <w:pPr>
              <w:spacing w:before="78" w:line="195" w:lineRule="auto"/>
              <w:ind w:left="94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w:t>
            </w:r>
            <w:r>
              <w:rPr>
                <w:rFonts w:ascii="Times New Roman" w:hAnsi="Times New Roman" w:eastAsia="Times New Roman" w:cs="Times New Roman"/>
                <w:spacing w:val="2"/>
                <w:sz w:val="20"/>
                <w:szCs w:val="20"/>
              </w:rPr>
              <w:t>50</w:t>
            </w:r>
          </w:p>
        </w:tc>
        <w:tc>
          <w:tcPr>
            <w:tcW w:w="1933" w:type="dxa"/>
          </w:tcPr>
          <w:p w14:paraId="065C4C9B">
            <w:pPr>
              <w:spacing w:before="79" w:line="195" w:lineRule="auto"/>
              <w:ind w:left="62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0</w:t>
            </w:r>
            <w:r>
              <w:rPr>
                <w:rFonts w:ascii="Times New Roman" w:hAnsi="Times New Roman" w:eastAsia="Times New Roman" w:cs="Times New Roman"/>
                <w:spacing w:val="4"/>
                <w:sz w:val="20"/>
                <w:szCs w:val="20"/>
              </w:rPr>
              <w:t>.</w:t>
            </w:r>
            <w:r>
              <w:rPr>
                <w:rFonts w:ascii="Times New Roman" w:hAnsi="Times New Roman" w:eastAsia="Times New Roman" w:cs="Times New Roman"/>
                <w:spacing w:val="3"/>
                <w:sz w:val="20"/>
                <w:szCs w:val="20"/>
              </w:rPr>
              <w:t>44953</w:t>
            </w:r>
          </w:p>
        </w:tc>
        <w:tc>
          <w:tcPr>
            <w:tcW w:w="1547" w:type="dxa"/>
          </w:tcPr>
          <w:p w14:paraId="1DF379E7">
            <w:pPr>
              <w:spacing w:before="78" w:line="198" w:lineRule="auto"/>
              <w:ind w:left="17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6"/>
                <w:sz w:val="20"/>
                <w:szCs w:val="20"/>
              </w:rPr>
              <w:t>.</w:t>
            </w:r>
            <w:r>
              <w:rPr>
                <w:rFonts w:ascii="Times New Roman" w:hAnsi="Times New Roman" w:eastAsia="Times New Roman" w:cs="Times New Roman"/>
                <w:spacing w:val="4"/>
                <w:sz w:val="20"/>
                <w:szCs w:val="20"/>
              </w:rPr>
              <w:t>24765</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-001</w:t>
            </w:r>
          </w:p>
        </w:tc>
        <w:tc>
          <w:tcPr>
            <w:tcW w:w="2024" w:type="dxa"/>
          </w:tcPr>
          <w:p w14:paraId="2098511C">
            <w:pPr>
              <w:spacing w:before="79" w:line="195" w:lineRule="auto"/>
              <w:ind w:left="62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0.05749</w:t>
            </w:r>
            <w:r>
              <w:rPr>
                <w:rFonts w:ascii="Times New Roman" w:hAnsi="Times New Roman" w:eastAsia="Times New Roman" w:cs="Times New Roman"/>
                <w:spacing w:val="2"/>
                <w:sz w:val="20"/>
                <w:szCs w:val="20"/>
              </w:rPr>
              <w:t>8</w:t>
            </w:r>
          </w:p>
        </w:tc>
        <w:tc>
          <w:tcPr>
            <w:tcW w:w="1547" w:type="dxa"/>
            <w:tcBorders>
              <w:right w:val="nil"/>
            </w:tcBorders>
          </w:tcPr>
          <w:p w14:paraId="0E6C6FDF">
            <w:pPr>
              <w:spacing w:before="79" w:line="195" w:lineRule="auto"/>
              <w:ind w:left="18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5</w:t>
            </w:r>
            <w:r>
              <w:rPr>
                <w:rFonts w:ascii="Times New Roman" w:hAnsi="Times New Roman" w:eastAsia="Times New Roman" w:cs="Times New Roman"/>
                <w:spacing w:val="4"/>
                <w:sz w:val="20"/>
                <w:szCs w:val="20"/>
              </w:rPr>
              <w:t>.74980</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-001</w:t>
            </w:r>
          </w:p>
        </w:tc>
      </w:tr>
      <w:tr w14:paraId="3FD67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2188" w:type="dxa"/>
            <w:tcBorders>
              <w:left w:val="nil"/>
            </w:tcBorders>
          </w:tcPr>
          <w:p w14:paraId="09055092">
            <w:pPr>
              <w:spacing w:before="77" w:line="195" w:lineRule="auto"/>
              <w:ind w:left="9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400</w:t>
            </w:r>
          </w:p>
        </w:tc>
        <w:tc>
          <w:tcPr>
            <w:tcW w:w="1933" w:type="dxa"/>
          </w:tcPr>
          <w:p w14:paraId="2BF0B7FF">
            <w:pPr>
              <w:spacing w:before="78" w:line="195" w:lineRule="auto"/>
              <w:ind w:left="62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0</w:t>
            </w:r>
            <w:r>
              <w:rPr>
                <w:rFonts w:ascii="Times New Roman" w:hAnsi="Times New Roman" w:eastAsia="Times New Roman" w:cs="Times New Roman"/>
                <w:spacing w:val="4"/>
                <w:sz w:val="20"/>
                <w:szCs w:val="20"/>
              </w:rPr>
              <w:t>.</w:t>
            </w:r>
            <w:r>
              <w:rPr>
                <w:rFonts w:ascii="Times New Roman" w:hAnsi="Times New Roman" w:eastAsia="Times New Roman" w:cs="Times New Roman"/>
                <w:spacing w:val="3"/>
                <w:sz w:val="20"/>
                <w:szCs w:val="20"/>
              </w:rPr>
              <w:t>36639</w:t>
            </w:r>
          </w:p>
        </w:tc>
        <w:tc>
          <w:tcPr>
            <w:tcW w:w="1547" w:type="dxa"/>
          </w:tcPr>
          <w:p w14:paraId="4CCF8C00">
            <w:pPr>
              <w:spacing w:before="77" w:line="198" w:lineRule="auto"/>
              <w:ind w:left="19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1.83</w:t>
            </w:r>
            <w:r>
              <w:rPr>
                <w:rFonts w:ascii="Times New Roman" w:hAnsi="Times New Roman" w:eastAsia="Times New Roman" w:cs="Times New Roman"/>
                <w:spacing w:val="2"/>
                <w:sz w:val="20"/>
                <w:szCs w:val="20"/>
              </w:rPr>
              <w:t>195</w:t>
            </w:r>
            <w:r>
              <w:rPr>
                <w:rFonts w:ascii="Times New Roman" w:hAnsi="Times New Roman" w:eastAsia="Times New Roman" w:cs="Times New Roman"/>
                <w:sz w:val="20"/>
                <w:szCs w:val="20"/>
              </w:rPr>
              <w:t>E</w:t>
            </w:r>
            <w:r>
              <w:rPr>
                <w:rFonts w:ascii="Times New Roman" w:hAnsi="Times New Roman" w:eastAsia="Times New Roman" w:cs="Times New Roman"/>
                <w:spacing w:val="2"/>
                <w:sz w:val="20"/>
                <w:szCs w:val="20"/>
              </w:rPr>
              <w:t>-001</w:t>
            </w:r>
          </w:p>
        </w:tc>
        <w:tc>
          <w:tcPr>
            <w:tcW w:w="2024" w:type="dxa"/>
          </w:tcPr>
          <w:p w14:paraId="513AB816">
            <w:pPr>
              <w:spacing w:before="78" w:line="195" w:lineRule="auto"/>
              <w:ind w:left="57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0.0468638</w:t>
            </w:r>
          </w:p>
        </w:tc>
        <w:tc>
          <w:tcPr>
            <w:tcW w:w="1547" w:type="dxa"/>
            <w:tcBorders>
              <w:right w:val="nil"/>
            </w:tcBorders>
          </w:tcPr>
          <w:p w14:paraId="54B506E6">
            <w:pPr>
              <w:spacing w:before="77" w:line="198" w:lineRule="auto"/>
              <w:ind w:left="17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4</w:t>
            </w:r>
            <w:r>
              <w:rPr>
                <w:rFonts w:ascii="Times New Roman" w:hAnsi="Times New Roman" w:eastAsia="Times New Roman" w:cs="Times New Roman"/>
                <w:spacing w:val="7"/>
                <w:sz w:val="20"/>
                <w:szCs w:val="20"/>
              </w:rPr>
              <w:t>.</w:t>
            </w:r>
            <w:r>
              <w:rPr>
                <w:rFonts w:ascii="Times New Roman" w:hAnsi="Times New Roman" w:eastAsia="Times New Roman" w:cs="Times New Roman"/>
                <w:spacing w:val="4"/>
                <w:sz w:val="20"/>
                <w:szCs w:val="20"/>
              </w:rPr>
              <w:t>68638</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-001</w:t>
            </w:r>
          </w:p>
        </w:tc>
      </w:tr>
      <w:tr w14:paraId="29067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2188" w:type="dxa"/>
            <w:tcBorders>
              <w:left w:val="nil"/>
            </w:tcBorders>
          </w:tcPr>
          <w:p w14:paraId="218926E2">
            <w:pPr>
              <w:spacing w:before="79" w:line="195" w:lineRule="auto"/>
              <w:ind w:left="9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450</w:t>
            </w:r>
          </w:p>
        </w:tc>
        <w:tc>
          <w:tcPr>
            <w:tcW w:w="1933" w:type="dxa"/>
          </w:tcPr>
          <w:p w14:paraId="25A5814C">
            <w:pPr>
              <w:spacing w:before="79" w:line="195" w:lineRule="auto"/>
              <w:ind w:left="62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0</w:t>
            </w:r>
            <w:r>
              <w:rPr>
                <w:rFonts w:ascii="Times New Roman" w:hAnsi="Times New Roman" w:eastAsia="Times New Roman" w:cs="Times New Roman"/>
                <w:spacing w:val="4"/>
                <w:sz w:val="20"/>
                <w:szCs w:val="20"/>
              </w:rPr>
              <w:t>.</w:t>
            </w:r>
            <w:r>
              <w:rPr>
                <w:rFonts w:ascii="Times New Roman" w:hAnsi="Times New Roman" w:eastAsia="Times New Roman" w:cs="Times New Roman"/>
                <w:spacing w:val="3"/>
                <w:sz w:val="20"/>
                <w:szCs w:val="20"/>
              </w:rPr>
              <w:t>30659</w:t>
            </w:r>
          </w:p>
        </w:tc>
        <w:tc>
          <w:tcPr>
            <w:tcW w:w="1547" w:type="dxa"/>
          </w:tcPr>
          <w:p w14:paraId="595E083D">
            <w:pPr>
              <w:spacing w:before="78" w:line="198" w:lineRule="auto"/>
              <w:ind w:left="19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1.53</w:t>
            </w:r>
            <w:r>
              <w:rPr>
                <w:rFonts w:ascii="Times New Roman" w:hAnsi="Times New Roman" w:eastAsia="Times New Roman" w:cs="Times New Roman"/>
                <w:spacing w:val="2"/>
                <w:sz w:val="20"/>
                <w:szCs w:val="20"/>
              </w:rPr>
              <w:t>295</w:t>
            </w:r>
            <w:r>
              <w:rPr>
                <w:rFonts w:ascii="Times New Roman" w:hAnsi="Times New Roman" w:eastAsia="Times New Roman" w:cs="Times New Roman"/>
                <w:sz w:val="20"/>
                <w:szCs w:val="20"/>
              </w:rPr>
              <w:t>E</w:t>
            </w:r>
            <w:r>
              <w:rPr>
                <w:rFonts w:ascii="Times New Roman" w:hAnsi="Times New Roman" w:eastAsia="Times New Roman" w:cs="Times New Roman"/>
                <w:spacing w:val="2"/>
                <w:sz w:val="20"/>
                <w:szCs w:val="20"/>
              </w:rPr>
              <w:t>-001</w:t>
            </w:r>
          </w:p>
        </w:tc>
        <w:tc>
          <w:tcPr>
            <w:tcW w:w="2024" w:type="dxa"/>
          </w:tcPr>
          <w:p w14:paraId="076EFEE1">
            <w:pPr>
              <w:spacing w:before="79" w:line="195" w:lineRule="auto"/>
              <w:ind w:left="62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0.03921</w:t>
            </w:r>
            <w:r>
              <w:rPr>
                <w:rFonts w:ascii="Times New Roman" w:hAnsi="Times New Roman" w:eastAsia="Times New Roman" w:cs="Times New Roman"/>
                <w:spacing w:val="2"/>
                <w:sz w:val="20"/>
                <w:szCs w:val="20"/>
              </w:rPr>
              <w:t>5</w:t>
            </w:r>
          </w:p>
        </w:tc>
        <w:tc>
          <w:tcPr>
            <w:tcW w:w="1547" w:type="dxa"/>
            <w:tcBorders>
              <w:right w:val="nil"/>
            </w:tcBorders>
          </w:tcPr>
          <w:p w14:paraId="4834B4BC">
            <w:pPr>
              <w:spacing w:before="79" w:line="195" w:lineRule="auto"/>
              <w:ind w:left="18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3</w:t>
            </w:r>
            <w:r>
              <w:rPr>
                <w:rFonts w:ascii="Times New Roman" w:hAnsi="Times New Roman" w:eastAsia="Times New Roman" w:cs="Times New Roman"/>
                <w:spacing w:val="4"/>
                <w:sz w:val="20"/>
                <w:szCs w:val="20"/>
              </w:rPr>
              <w:t>.92150</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-001</w:t>
            </w:r>
          </w:p>
        </w:tc>
      </w:tr>
      <w:tr w14:paraId="3E9FB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2188" w:type="dxa"/>
            <w:tcBorders>
              <w:left w:val="nil"/>
            </w:tcBorders>
          </w:tcPr>
          <w:p w14:paraId="77FFBCEA">
            <w:pPr>
              <w:spacing w:before="79" w:line="195" w:lineRule="auto"/>
              <w:ind w:left="94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w:t>
            </w:r>
            <w:r>
              <w:rPr>
                <w:rFonts w:ascii="Times New Roman" w:hAnsi="Times New Roman" w:eastAsia="Times New Roman" w:cs="Times New Roman"/>
                <w:spacing w:val="1"/>
                <w:sz w:val="20"/>
                <w:szCs w:val="20"/>
              </w:rPr>
              <w:t>0</w:t>
            </w:r>
          </w:p>
        </w:tc>
        <w:tc>
          <w:tcPr>
            <w:tcW w:w="1933" w:type="dxa"/>
          </w:tcPr>
          <w:p w14:paraId="28FF6335">
            <w:pPr>
              <w:spacing w:before="79" w:line="195" w:lineRule="auto"/>
              <w:ind w:left="62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0</w:t>
            </w:r>
            <w:r>
              <w:rPr>
                <w:rFonts w:ascii="Times New Roman" w:hAnsi="Times New Roman" w:eastAsia="Times New Roman" w:cs="Times New Roman"/>
                <w:spacing w:val="4"/>
                <w:sz w:val="20"/>
                <w:szCs w:val="20"/>
              </w:rPr>
              <w:t>.</w:t>
            </w:r>
            <w:r>
              <w:rPr>
                <w:rFonts w:ascii="Times New Roman" w:hAnsi="Times New Roman" w:eastAsia="Times New Roman" w:cs="Times New Roman"/>
                <w:spacing w:val="3"/>
                <w:sz w:val="20"/>
                <w:szCs w:val="20"/>
              </w:rPr>
              <w:t>26193</w:t>
            </w:r>
          </w:p>
        </w:tc>
        <w:tc>
          <w:tcPr>
            <w:tcW w:w="1547" w:type="dxa"/>
          </w:tcPr>
          <w:p w14:paraId="688DA804">
            <w:pPr>
              <w:spacing w:before="78" w:line="198" w:lineRule="auto"/>
              <w:ind w:left="19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1.30</w:t>
            </w:r>
            <w:r>
              <w:rPr>
                <w:rFonts w:ascii="Times New Roman" w:hAnsi="Times New Roman" w:eastAsia="Times New Roman" w:cs="Times New Roman"/>
                <w:spacing w:val="2"/>
                <w:sz w:val="20"/>
                <w:szCs w:val="20"/>
              </w:rPr>
              <w:t>965</w:t>
            </w:r>
            <w:r>
              <w:rPr>
                <w:rFonts w:ascii="Times New Roman" w:hAnsi="Times New Roman" w:eastAsia="Times New Roman" w:cs="Times New Roman"/>
                <w:sz w:val="20"/>
                <w:szCs w:val="20"/>
              </w:rPr>
              <w:t>E</w:t>
            </w:r>
            <w:r>
              <w:rPr>
                <w:rFonts w:ascii="Times New Roman" w:hAnsi="Times New Roman" w:eastAsia="Times New Roman" w:cs="Times New Roman"/>
                <w:spacing w:val="2"/>
                <w:sz w:val="20"/>
                <w:szCs w:val="20"/>
              </w:rPr>
              <w:t>-001</w:t>
            </w:r>
          </w:p>
        </w:tc>
        <w:tc>
          <w:tcPr>
            <w:tcW w:w="2024" w:type="dxa"/>
          </w:tcPr>
          <w:p w14:paraId="1D739166">
            <w:pPr>
              <w:spacing w:before="79" w:line="195" w:lineRule="auto"/>
              <w:ind w:left="57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0.0335027</w:t>
            </w:r>
          </w:p>
        </w:tc>
        <w:tc>
          <w:tcPr>
            <w:tcW w:w="1547" w:type="dxa"/>
            <w:tcBorders>
              <w:right w:val="nil"/>
            </w:tcBorders>
          </w:tcPr>
          <w:p w14:paraId="759DB7C4">
            <w:pPr>
              <w:spacing w:before="79" w:line="195" w:lineRule="auto"/>
              <w:ind w:left="18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3</w:t>
            </w:r>
            <w:r>
              <w:rPr>
                <w:rFonts w:ascii="Times New Roman" w:hAnsi="Times New Roman" w:eastAsia="Times New Roman" w:cs="Times New Roman"/>
                <w:spacing w:val="4"/>
                <w:sz w:val="20"/>
                <w:szCs w:val="20"/>
              </w:rPr>
              <w:t>.35027</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-001</w:t>
            </w:r>
          </w:p>
        </w:tc>
      </w:tr>
      <w:tr w14:paraId="68D264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2188" w:type="dxa"/>
            <w:tcBorders>
              <w:left w:val="nil"/>
            </w:tcBorders>
          </w:tcPr>
          <w:p w14:paraId="1182A7E2">
            <w:pPr>
              <w:spacing w:before="80" w:line="195" w:lineRule="auto"/>
              <w:ind w:left="94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600</w:t>
            </w:r>
          </w:p>
        </w:tc>
        <w:tc>
          <w:tcPr>
            <w:tcW w:w="1933" w:type="dxa"/>
          </w:tcPr>
          <w:p w14:paraId="5C6F51C8">
            <w:pPr>
              <w:spacing w:before="80" w:line="195" w:lineRule="auto"/>
              <w:ind w:left="62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0</w:t>
            </w:r>
            <w:r>
              <w:rPr>
                <w:rFonts w:ascii="Times New Roman" w:hAnsi="Times New Roman" w:eastAsia="Times New Roman" w:cs="Times New Roman"/>
                <w:spacing w:val="4"/>
                <w:sz w:val="20"/>
                <w:szCs w:val="20"/>
              </w:rPr>
              <w:t>.</w:t>
            </w:r>
            <w:r>
              <w:rPr>
                <w:rFonts w:ascii="Times New Roman" w:hAnsi="Times New Roman" w:eastAsia="Times New Roman" w:cs="Times New Roman"/>
                <w:spacing w:val="3"/>
                <w:sz w:val="20"/>
                <w:szCs w:val="20"/>
              </w:rPr>
              <w:t>20021</w:t>
            </w:r>
          </w:p>
        </w:tc>
        <w:tc>
          <w:tcPr>
            <w:tcW w:w="1547" w:type="dxa"/>
          </w:tcPr>
          <w:p w14:paraId="35A146D7">
            <w:pPr>
              <w:spacing w:before="80" w:line="198" w:lineRule="auto"/>
              <w:ind w:left="19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1.00</w:t>
            </w:r>
            <w:r>
              <w:rPr>
                <w:rFonts w:ascii="Times New Roman" w:hAnsi="Times New Roman" w:eastAsia="Times New Roman" w:cs="Times New Roman"/>
                <w:spacing w:val="2"/>
                <w:sz w:val="20"/>
                <w:szCs w:val="20"/>
              </w:rPr>
              <w:t>105</w:t>
            </w:r>
            <w:r>
              <w:rPr>
                <w:rFonts w:ascii="Times New Roman" w:hAnsi="Times New Roman" w:eastAsia="Times New Roman" w:cs="Times New Roman"/>
                <w:sz w:val="20"/>
                <w:szCs w:val="20"/>
              </w:rPr>
              <w:t>E</w:t>
            </w:r>
            <w:r>
              <w:rPr>
                <w:rFonts w:ascii="Times New Roman" w:hAnsi="Times New Roman" w:eastAsia="Times New Roman" w:cs="Times New Roman"/>
                <w:spacing w:val="2"/>
                <w:sz w:val="20"/>
                <w:szCs w:val="20"/>
              </w:rPr>
              <w:t>-001</w:t>
            </w:r>
          </w:p>
        </w:tc>
        <w:tc>
          <w:tcPr>
            <w:tcW w:w="2024" w:type="dxa"/>
          </w:tcPr>
          <w:p w14:paraId="07277023">
            <w:pPr>
              <w:spacing w:before="80" w:line="195" w:lineRule="auto"/>
              <w:ind w:left="57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0.0256083</w:t>
            </w:r>
          </w:p>
        </w:tc>
        <w:tc>
          <w:tcPr>
            <w:tcW w:w="1547" w:type="dxa"/>
            <w:tcBorders>
              <w:right w:val="nil"/>
            </w:tcBorders>
          </w:tcPr>
          <w:p w14:paraId="0F05B3E1">
            <w:pPr>
              <w:spacing w:before="80" w:line="198" w:lineRule="auto"/>
              <w:ind w:left="17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6"/>
                <w:sz w:val="20"/>
                <w:szCs w:val="20"/>
              </w:rPr>
              <w:t>.</w:t>
            </w:r>
            <w:r>
              <w:rPr>
                <w:rFonts w:ascii="Times New Roman" w:hAnsi="Times New Roman" w:eastAsia="Times New Roman" w:cs="Times New Roman"/>
                <w:spacing w:val="4"/>
                <w:sz w:val="20"/>
                <w:szCs w:val="20"/>
              </w:rPr>
              <w:t>56083</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-001</w:t>
            </w:r>
          </w:p>
        </w:tc>
      </w:tr>
      <w:tr w14:paraId="766704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2188" w:type="dxa"/>
            <w:tcBorders>
              <w:left w:val="nil"/>
            </w:tcBorders>
          </w:tcPr>
          <w:p w14:paraId="6A77B08A">
            <w:pPr>
              <w:spacing w:before="79" w:line="195" w:lineRule="auto"/>
              <w:ind w:left="94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7</w:t>
            </w:r>
            <w:r>
              <w:rPr>
                <w:rFonts w:ascii="Times New Roman" w:hAnsi="Times New Roman" w:eastAsia="Times New Roman" w:cs="Times New Roman"/>
                <w:spacing w:val="2"/>
                <w:sz w:val="20"/>
                <w:szCs w:val="20"/>
              </w:rPr>
              <w:t>00</w:t>
            </w:r>
          </w:p>
        </w:tc>
        <w:tc>
          <w:tcPr>
            <w:tcW w:w="1933" w:type="dxa"/>
          </w:tcPr>
          <w:p w14:paraId="0CBC9E6A">
            <w:pPr>
              <w:spacing w:before="79" w:line="195" w:lineRule="auto"/>
              <w:ind w:left="62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 15994</w:t>
            </w:r>
          </w:p>
        </w:tc>
        <w:tc>
          <w:tcPr>
            <w:tcW w:w="1547" w:type="dxa"/>
          </w:tcPr>
          <w:p w14:paraId="3B15FAC9">
            <w:pPr>
              <w:spacing w:before="79" w:line="195" w:lineRule="auto"/>
              <w:ind w:left="182"/>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7</w:t>
            </w:r>
            <w:r>
              <w:rPr>
                <w:rFonts w:ascii="Times New Roman" w:hAnsi="Times New Roman" w:eastAsia="Times New Roman" w:cs="Times New Roman"/>
                <w:spacing w:val="4"/>
                <w:sz w:val="20"/>
                <w:szCs w:val="20"/>
              </w:rPr>
              <w:t>.99700</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-002</w:t>
            </w:r>
          </w:p>
        </w:tc>
        <w:tc>
          <w:tcPr>
            <w:tcW w:w="2024" w:type="dxa"/>
          </w:tcPr>
          <w:p w14:paraId="5542C649">
            <w:pPr>
              <w:spacing w:before="79" w:line="195" w:lineRule="auto"/>
              <w:ind w:left="57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0.0204574</w:t>
            </w:r>
          </w:p>
        </w:tc>
        <w:tc>
          <w:tcPr>
            <w:tcW w:w="1547" w:type="dxa"/>
            <w:tcBorders>
              <w:right w:val="nil"/>
            </w:tcBorders>
          </w:tcPr>
          <w:p w14:paraId="7DBDD37B">
            <w:pPr>
              <w:spacing w:before="79" w:line="198" w:lineRule="auto"/>
              <w:ind w:left="17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6"/>
                <w:sz w:val="20"/>
                <w:szCs w:val="20"/>
              </w:rPr>
              <w:t>.</w:t>
            </w:r>
            <w:r>
              <w:rPr>
                <w:rFonts w:ascii="Times New Roman" w:hAnsi="Times New Roman" w:eastAsia="Times New Roman" w:cs="Times New Roman"/>
                <w:spacing w:val="4"/>
                <w:sz w:val="20"/>
                <w:szCs w:val="20"/>
              </w:rPr>
              <w:t>04574</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-001</w:t>
            </w:r>
          </w:p>
        </w:tc>
      </w:tr>
      <w:tr w14:paraId="27BCE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188" w:type="dxa"/>
            <w:tcBorders>
              <w:left w:val="nil"/>
            </w:tcBorders>
          </w:tcPr>
          <w:p w14:paraId="691BF587">
            <w:pPr>
              <w:spacing w:before="80" w:line="195" w:lineRule="auto"/>
              <w:ind w:left="94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80</w:t>
            </w:r>
            <w:r>
              <w:rPr>
                <w:rFonts w:ascii="Times New Roman" w:hAnsi="Times New Roman" w:eastAsia="Times New Roman" w:cs="Times New Roman"/>
                <w:sz w:val="20"/>
                <w:szCs w:val="20"/>
              </w:rPr>
              <w:t>0</w:t>
            </w:r>
          </w:p>
        </w:tc>
        <w:tc>
          <w:tcPr>
            <w:tcW w:w="1933" w:type="dxa"/>
          </w:tcPr>
          <w:p w14:paraId="70A71EDF">
            <w:pPr>
              <w:spacing w:before="80" w:line="195" w:lineRule="auto"/>
              <w:ind w:left="62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 13191</w:t>
            </w:r>
          </w:p>
        </w:tc>
        <w:tc>
          <w:tcPr>
            <w:tcW w:w="1547" w:type="dxa"/>
          </w:tcPr>
          <w:p w14:paraId="56584141">
            <w:pPr>
              <w:spacing w:before="81" w:line="195" w:lineRule="auto"/>
              <w:ind w:left="18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6</w:t>
            </w:r>
            <w:r>
              <w:rPr>
                <w:rFonts w:ascii="Times New Roman" w:hAnsi="Times New Roman" w:eastAsia="Times New Roman" w:cs="Times New Roman"/>
                <w:spacing w:val="4"/>
                <w:sz w:val="20"/>
                <w:szCs w:val="20"/>
              </w:rPr>
              <w:t>.59550</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-002</w:t>
            </w:r>
          </w:p>
        </w:tc>
        <w:tc>
          <w:tcPr>
            <w:tcW w:w="2024" w:type="dxa"/>
          </w:tcPr>
          <w:p w14:paraId="12CC385A">
            <w:pPr>
              <w:spacing w:before="81" w:line="195" w:lineRule="auto"/>
              <w:ind w:left="57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0.0168722</w:t>
            </w:r>
          </w:p>
        </w:tc>
        <w:tc>
          <w:tcPr>
            <w:tcW w:w="1547" w:type="dxa"/>
            <w:tcBorders>
              <w:right w:val="nil"/>
            </w:tcBorders>
          </w:tcPr>
          <w:p w14:paraId="3F9A9116">
            <w:pPr>
              <w:spacing w:before="80" w:line="198" w:lineRule="auto"/>
              <w:ind w:left="19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1.68</w:t>
            </w:r>
            <w:r>
              <w:rPr>
                <w:rFonts w:ascii="Times New Roman" w:hAnsi="Times New Roman" w:eastAsia="Times New Roman" w:cs="Times New Roman"/>
                <w:spacing w:val="2"/>
                <w:sz w:val="20"/>
                <w:szCs w:val="20"/>
              </w:rPr>
              <w:t>722</w:t>
            </w:r>
            <w:r>
              <w:rPr>
                <w:rFonts w:ascii="Times New Roman" w:hAnsi="Times New Roman" w:eastAsia="Times New Roman" w:cs="Times New Roman"/>
                <w:sz w:val="20"/>
                <w:szCs w:val="20"/>
              </w:rPr>
              <w:t>E</w:t>
            </w:r>
            <w:r>
              <w:rPr>
                <w:rFonts w:ascii="Times New Roman" w:hAnsi="Times New Roman" w:eastAsia="Times New Roman" w:cs="Times New Roman"/>
                <w:spacing w:val="2"/>
                <w:sz w:val="20"/>
                <w:szCs w:val="20"/>
              </w:rPr>
              <w:t>-001</w:t>
            </w:r>
          </w:p>
        </w:tc>
      </w:tr>
    </w:tbl>
    <w:p w14:paraId="14412C6A"/>
    <w:p w14:paraId="23518C97">
      <w:pPr>
        <w:sectPr>
          <w:headerReference r:id="rId191" w:type="default"/>
          <w:footerReference r:id="rId192" w:type="default"/>
          <w:pgSz w:w="11907" w:h="16840"/>
          <w:pgMar w:top="400" w:right="1294" w:bottom="1485" w:left="1373" w:header="0" w:footer="1298" w:gutter="0"/>
          <w:cols w:space="720" w:num="1"/>
        </w:sectPr>
      </w:pPr>
    </w:p>
    <w:p w14:paraId="0A8B4B89">
      <w:pPr>
        <w:spacing w:line="460" w:lineRule="auto"/>
      </w:pPr>
    </w:p>
    <w:p w14:paraId="1CDD6F9C">
      <w:pPr>
        <w:spacing w:before="56" w:line="229" w:lineRule="auto"/>
        <w:ind w:left="294"/>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760F66EB">
      <w:pPr>
        <w:spacing w:line="14" w:lineRule="exact"/>
      </w:pPr>
    </w:p>
    <w:tbl>
      <w:tblPr>
        <w:tblStyle w:val="4"/>
        <w:tblW w:w="923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88"/>
        <w:gridCol w:w="1933"/>
        <w:gridCol w:w="1548"/>
        <w:gridCol w:w="2023"/>
        <w:gridCol w:w="1547"/>
      </w:tblGrid>
      <w:tr w14:paraId="654BE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2188" w:type="dxa"/>
            <w:vMerge w:val="restart"/>
            <w:tcBorders>
              <w:left w:val="nil"/>
              <w:bottom w:val="nil"/>
            </w:tcBorders>
          </w:tcPr>
          <w:p w14:paraId="47EC4EDD">
            <w:pPr>
              <w:spacing w:line="247" w:lineRule="auto"/>
            </w:pPr>
          </w:p>
          <w:p w14:paraId="4F9A5A1D">
            <w:pPr>
              <w:spacing w:before="65" w:line="238" w:lineRule="auto"/>
              <w:ind w:left="721" w:right="140" w:hanging="566"/>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距源中心下风向距</w:t>
            </w:r>
            <w:r>
              <w:rPr>
                <w:rFonts w:ascii="宋体" w:hAnsi="宋体" w:eastAsia="宋体" w:cs="宋体"/>
                <w:spacing w:val="8"/>
                <w:sz w:val="20"/>
                <w:szCs w:val="20"/>
                <w14:textOutline w14:w="3797" w14:cap="sq" w14:cmpd="sng" w14:algn="ctr">
                  <w14:solidFill>
                    <w14:srgbClr w14:val="000000"/>
                  </w14:solidFill>
                  <w14:prstDash w14:val="solid"/>
                  <w14:bevel/>
                </w14:textOutline>
              </w:rPr>
              <w:t>离</w:t>
            </w:r>
            <w:r>
              <w:rPr>
                <w:rFonts w:ascii="宋体" w:hAnsi="宋体" w:eastAsia="宋体" w:cs="宋体"/>
                <w:sz w:val="20"/>
                <w:szCs w:val="20"/>
              </w:rPr>
              <w:t xml:space="preserve"> </w:t>
            </w:r>
            <w:r>
              <w:rPr>
                <w:rFonts w:ascii="Times New Roman" w:hAnsi="Times New Roman" w:eastAsia="Times New Roman" w:cs="Times New Roman"/>
                <w:b/>
                <w:bCs/>
                <w:spacing w:val="-12"/>
                <w:sz w:val="20"/>
                <w:szCs w:val="20"/>
              </w:rPr>
              <w:t>D</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14:textOutline w14:w="3797" w14:cap="sq" w14:cmpd="sng" w14:algn="ctr">
                  <w14:solidFill>
                    <w14:srgbClr w14:val="000000"/>
                  </w14:solidFill>
                  <w14:prstDash w14:val="solid"/>
                  <w14:bevel/>
                </w14:textOutline>
              </w:rPr>
              <w:t>(</w:t>
            </w:r>
            <w:r>
              <w:rPr>
                <w:rFonts w:ascii="宋体" w:hAnsi="宋体" w:eastAsia="宋体" w:cs="宋体"/>
                <w:spacing w:val="-12"/>
                <w:sz w:val="20"/>
                <w:szCs w:val="20"/>
              </w:rPr>
              <w:t xml:space="preserve"> </w:t>
            </w:r>
            <w:r>
              <w:rPr>
                <w:rFonts w:ascii="Times New Roman" w:hAnsi="Times New Roman" w:eastAsia="Times New Roman" w:cs="Times New Roman"/>
                <w:b/>
                <w:bCs/>
                <w:spacing w:val="-12"/>
                <w:sz w:val="20"/>
                <w:szCs w:val="20"/>
              </w:rPr>
              <w:t>m</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14:textOutline w14:w="3797" w14:cap="sq" w14:cmpd="sng" w14:algn="ctr">
                  <w14:solidFill>
                    <w14:srgbClr w14:val="000000"/>
                  </w14:solidFill>
                  <w14:prstDash w14:val="solid"/>
                  <w14:bevel/>
                </w14:textOutline>
              </w:rPr>
              <w:t>)</w:t>
            </w:r>
          </w:p>
        </w:tc>
        <w:tc>
          <w:tcPr>
            <w:tcW w:w="3481" w:type="dxa"/>
            <w:gridSpan w:val="2"/>
          </w:tcPr>
          <w:p w14:paraId="6F7FDE9A">
            <w:pPr>
              <w:spacing w:before="120" w:line="199" w:lineRule="auto"/>
              <w:ind w:left="1760"/>
              <w:rPr>
                <w:rFonts w:ascii="Times New Roman" w:hAnsi="Times New Roman" w:eastAsia="Times New Roman" w:cs="Times New Roman"/>
                <w:sz w:val="13"/>
                <w:szCs w:val="13"/>
              </w:rPr>
            </w:pPr>
            <w:r>
              <w:rPr>
                <w:rFonts w:ascii="Times New Roman" w:hAnsi="Times New Roman" w:eastAsia="Times New Roman" w:cs="Times New Roman"/>
                <w:b/>
                <w:bCs/>
                <w:sz w:val="20"/>
                <w:szCs w:val="20"/>
              </w:rPr>
              <w:t>NH</w:t>
            </w:r>
            <w:r>
              <w:rPr>
                <w:rFonts w:ascii="Times New Roman" w:hAnsi="Times New Roman" w:eastAsia="Times New Roman" w:cs="Times New Roman"/>
                <w:b/>
                <w:bCs/>
                <w:spacing w:val="14"/>
                <w:position w:val="-1"/>
                <w:sz w:val="13"/>
                <w:szCs w:val="13"/>
              </w:rPr>
              <w:t>3</w:t>
            </w:r>
          </w:p>
        </w:tc>
        <w:tc>
          <w:tcPr>
            <w:tcW w:w="3570" w:type="dxa"/>
            <w:gridSpan w:val="2"/>
            <w:tcBorders>
              <w:right w:val="nil"/>
            </w:tcBorders>
          </w:tcPr>
          <w:p w14:paraId="178BB282">
            <w:pPr>
              <w:spacing w:before="117" w:line="202" w:lineRule="auto"/>
              <w:ind w:left="1823"/>
              <w:rPr>
                <w:rFonts w:ascii="Times New Roman" w:hAnsi="Times New Roman" w:eastAsia="Times New Roman" w:cs="Times New Roman"/>
                <w:sz w:val="20"/>
                <w:szCs w:val="20"/>
              </w:rPr>
            </w:pPr>
            <w:r>
              <w:rPr>
                <w:rFonts w:ascii="Times New Roman" w:hAnsi="Times New Roman" w:eastAsia="Times New Roman" w:cs="Times New Roman"/>
                <w:b/>
                <w:bCs/>
                <w:sz w:val="20"/>
                <w:szCs w:val="20"/>
              </w:rPr>
              <w:t>H</w:t>
            </w:r>
            <w:r>
              <w:rPr>
                <w:rFonts w:ascii="Times New Roman" w:hAnsi="Times New Roman" w:eastAsia="Times New Roman" w:cs="Times New Roman"/>
                <w:b/>
                <w:bCs/>
                <w:spacing w:val="18"/>
                <w:position w:val="-1"/>
                <w:sz w:val="13"/>
                <w:szCs w:val="13"/>
              </w:rPr>
              <w:t>2</w:t>
            </w:r>
            <w:r>
              <w:rPr>
                <w:rFonts w:ascii="Times New Roman" w:hAnsi="Times New Roman" w:eastAsia="Times New Roman" w:cs="Times New Roman"/>
                <w:b/>
                <w:bCs/>
                <w:sz w:val="20"/>
                <w:szCs w:val="20"/>
              </w:rPr>
              <w:t>S</w:t>
            </w:r>
          </w:p>
        </w:tc>
      </w:tr>
      <w:tr w14:paraId="22AE06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2188" w:type="dxa"/>
            <w:vMerge w:val="continue"/>
            <w:tcBorders>
              <w:top w:val="nil"/>
              <w:left w:val="nil"/>
            </w:tcBorders>
          </w:tcPr>
          <w:p w14:paraId="2B4671BC"/>
        </w:tc>
        <w:tc>
          <w:tcPr>
            <w:tcW w:w="1933" w:type="dxa"/>
          </w:tcPr>
          <w:p w14:paraId="4886038D">
            <w:pPr>
              <w:spacing w:before="97" w:line="289" w:lineRule="exact"/>
              <w:ind w:left="120"/>
              <w:rPr>
                <w:rFonts w:ascii="Times New Roman" w:hAnsi="Times New Roman" w:eastAsia="Times New Roman" w:cs="Times New Roman"/>
                <w:sz w:val="20"/>
                <w:szCs w:val="20"/>
              </w:rPr>
            </w:pPr>
            <w:r>
              <w:rPr>
                <w:rFonts w:ascii="宋体" w:hAnsi="宋体" w:eastAsia="宋体" w:cs="宋体"/>
                <w:spacing w:val="1"/>
                <w:position w:val="1"/>
                <w:sz w:val="20"/>
                <w:szCs w:val="20"/>
                <w14:textOutline w14:w="3797" w14:cap="sq" w14:cmpd="sng" w14:algn="ctr">
                  <w14:solidFill>
                    <w14:srgbClr w14:val="000000"/>
                  </w14:solidFill>
                  <w14:prstDash w14:val="solid"/>
                  <w14:bevel/>
                </w14:textOutline>
              </w:rPr>
              <w:t>下</w:t>
            </w:r>
            <w:r>
              <w:rPr>
                <w:rFonts w:ascii="宋体" w:hAnsi="宋体" w:eastAsia="宋体" w:cs="宋体"/>
                <w:position w:val="1"/>
                <w:sz w:val="20"/>
                <w:szCs w:val="20"/>
                <w14:textOutline w14:w="3797" w14:cap="sq" w14:cmpd="sng" w14:algn="ctr">
                  <w14:solidFill>
                    <w14:srgbClr w14:val="000000"/>
                  </w14:solidFill>
                  <w14:prstDash w14:val="solid"/>
                  <w14:bevel/>
                </w14:textOutline>
              </w:rPr>
              <w:t>风向预测浓度</w:t>
            </w:r>
            <w:r>
              <w:rPr>
                <w:rFonts w:ascii="宋体" w:hAnsi="宋体" w:eastAsia="宋体" w:cs="宋体"/>
                <w:position w:val="1"/>
                <w:sz w:val="20"/>
                <w:szCs w:val="20"/>
              </w:rPr>
              <w:t xml:space="preserve"> </w:t>
            </w:r>
            <w:r>
              <w:rPr>
                <w:rFonts w:ascii="Times New Roman" w:hAnsi="Times New Roman" w:eastAsia="Times New Roman" w:cs="Times New Roman"/>
                <w:b/>
                <w:bCs/>
                <w:position w:val="1"/>
                <w:sz w:val="20"/>
                <w:szCs w:val="20"/>
              </w:rPr>
              <w:t>Ci</w:t>
            </w:r>
          </w:p>
        </w:tc>
        <w:tc>
          <w:tcPr>
            <w:tcW w:w="1548" w:type="dxa"/>
          </w:tcPr>
          <w:p w14:paraId="58431249">
            <w:pPr>
              <w:spacing w:before="97" w:line="289" w:lineRule="exact"/>
              <w:ind w:left="603"/>
              <w:rPr>
                <w:rFonts w:ascii="Times New Roman" w:hAnsi="Times New Roman" w:eastAsia="Times New Roman" w:cs="Times New Roman"/>
                <w:sz w:val="20"/>
                <w:szCs w:val="20"/>
              </w:rPr>
            </w:pPr>
            <w:r>
              <w:rPr>
                <w:rFonts w:ascii="宋体" w:hAnsi="宋体" w:eastAsia="宋体" w:cs="宋体"/>
                <w:spacing w:val="-1"/>
                <w:position w:val="1"/>
                <w:sz w:val="20"/>
                <w:szCs w:val="20"/>
                <w14:textOutline w14:w="3797" w14:cap="sq" w14:cmpd="sng" w14:algn="ctr">
                  <w14:solidFill>
                    <w14:srgbClr w14:val="000000"/>
                  </w14:solidFill>
                  <w14:prstDash w14:val="solid"/>
                  <w14:bevel/>
                </w14:textOutline>
              </w:rPr>
              <w:t>占标率</w:t>
            </w:r>
            <w:r>
              <w:rPr>
                <w:rFonts w:ascii="Times New Roman" w:hAnsi="Times New Roman" w:eastAsia="Times New Roman" w:cs="Times New Roman"/>
                <w:b/>
                <w:bCs/>
                <w:position w:val="1"/>
                <w:sz w:val="20"/>
                <w:szCs w:val="20"/>
              </w:rPr>
              <w:t>%</w:t>
            </w:r>
          </w:p>
        </w:tc>
        <w:tc>
          <w:tcPr>
            <w:tcW w:w="2023" w:type="dxa"/>
          </w:tcPr>
          <w:p w14:paraId="20216119">
            <w:pPr>
              <w:spacing w:before="97" w:line="289" w:lineRule="exact"/>
              <w:ind w:left="119"/>
              <w:rPr>
                <w:rFonts w:ascii="Times New Roman" w:hAnsi="Times New Roman" w:eastAsia="Times New Roman" w:cs="Times New Roman"/>
                <w:sz w:val="20"/>
                <w:szCs w:val="20"/>
              </w:rPr>
            </w:pPr>
            <w:r>
              <w:rPr>
                <w:rFonts w:ascii="宋体" w:hAnsi="宋体" w:eastAsia="宋体" w:cs="宋体"/>
                <w:spacing w:val="3"/>
                <w:position w:val="1"/>
                <w:sz w:val="20"/>
                <w:szCs w:val="20"/>
                <w14:textOutline w14:w="3797" w14:cap="sq" w14:cmpd="sng" w14:algn="ctr">
                  <w14:solidFill>
                    <w14:srgbClr w14:val="000000"/>
                  </w14:solidFill>
                  <w14:prstDash w14:val="solid"/>
                  <w14:bevel/>
                </w14:textOutline>
              </w:rPr>
              <w:t>下风向预测浓度</w:t>
            </w:r>
            <w:r>
              <w:rPr>
                <w:rFonts w:ascii="宋体" w:hAnsi="宋体" w:eastAsia="宋体" w:cs="宋体"/>
                <w:spacing w:val="2"/>
                <w:position w:val="1"/>
                <w:sz w:val="20"/>
                <w:szCs w:val="20"/>
              </w:rPr>
              <w:t xml:space="preserve"> </w:t>
            </w:r>
            <w:r>
              <w:rPr>
                <w:rFonts w:ascii="Times New Roman" w:hAnsi="Times New Roman" w:eastAsia="Times New Roman" w:cs="Times New Roman"/>
                <w:b/>
                <w:bCs/>
                <w:position w:val="1"/>
                <w:sz w:val="20"/>
                <w:szCs w:val="20"/>
              </w:rPr>
              <w:t>Ci</w:t>
            </w:r>
          </w:p>
        </w:tc>
        <w:tc>
          <w:tcPr>
            <w:tcW w:w="1547" w:type="dxa"/>
            <w:tcBorders>
              <w:right w:val="nil"/>
            </w:tcBorders>
          </w:tcPr>
          <w:p w14:paraId="3B96C91C">
            <w:pPr>
              <w:spacing w:before="97" w:line="289" w:lineRule="exact"/>
              <w:ind w:left="603"/>
              <w:rPr>
                <w:rFonts w:ascii="Times New Roman" w:hAnsi="Times New Roman" w:eastAsia="Times New Roman" w:cs="Times New Roman"/>
                <w:sz w:val="20"/>
                <w:szCs w:val="20"/>
              </w:rPr>
            </w:pPr>
            <w:r>
              <w:rPr>
                <w:rFonts w:ascii="宋体" w:hAnsi="宋体" w:eastAsia="宋体" w:cs="宋体"/>
                <w:spacing w:val="-1"/>
                <w:position w:val="1"/>
                <w:sz w:val="20"/>
                <w:szCs w:val="20"/>
                <w14:textOutline w14:w="3797" w14:cap="sq" w14:cmpd="sng" w14:algn="ctr">
                  <w14:solidFill>
                    <w14:srgbClr w14:val="000000"/>
                  </w14:solidFill>
                  <w14:prstDash w14:val="solid"/>
                  <w14:bevel/>
                </w14:textOutline>
              </w:rPr>
              <w:t>占标率</w:t>
            </w:r>
            <w:r>
              <w:rPr>
                <w:rFonts w:ascii="Times New Roman" w:hAnsi="Times New Roman" w:eastAsia="Times New Roman" w:cs="Times New Roman"/>
                <w:b/>
                <w:bCs/>
                <w:position w:val="1"/>
                <w:sz w:val="20"/>
                <w:szCs w:val="20"/>
              </w:rPr>
              <w:t>%</w:t>
            </w:r>
          </w:p>
        </w:tc>
      </w:tr>
      <w:tr w14:paraId="67DB0B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2188" w:type="dxa"/>
            <w:tcBorders>
              <w:left w:val="nil"/>
            </w:tcBorders>
          </w:tcPr>
          <w:p w14:paraId="093D03DF">
            <w:pPr>
              <w:spacing w:before="78" w:line="195" w:lineRule="auto"/>
              <w:ind w:left="94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9</w:t>
            </w:r>
            <w:r>
              <w:rPr>
                <w:rFonts w:ascii="Times New Roman" w:hAnsi="Times New Roman" w:eastAsia="Times New Roman" w:cs="Times New Roman"/>
                <w:spacing w:val="2"/>
                <w:sz w:val="20"/>
                <w:szCs w:val="20"/>
              </w:rPr>
              <w:t>00</w:t>
            </w:r>
          </w:p>
        </w:tc>
        <w:tc>
          <w:tcPr>
            <w:tcW w:w="1933" w:type="dxa"/>
          </w:tcPr>
          <w:p w14:paraId="04CA368A">
            <w:pPr>
              <w:spacing w:before="79" w:line="195" w:lineRule="auto"/>
              <w:ind w:left="682"/>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0</w:t>
            </w:r>
            <w:r>
              <w:rPr>
                <w:rFonts w:ascii="Times New Roman" w:hAnsi="Times New Roman" w:eastAsia="Times New Roman" w:cs="Times New Roman"/>
                <w:spacing w:val="-4"/>
                <w:sz w:val="20"/>
                <w:szCs w:val="20"/>
              </w:rPr>
              <w:t>. 1114</w:t>
            </w:r>
          </w:p>
        </w:tc>
        <w:tc>
          <w:tcPr>
            <w:tcW w:w="1548" w:type="dxa"/>
          </w:tcPr>
          <w:p w14:paraId="5C9B0C45">
            <w:pPr>
              <w:spacing w:before="79" w:line="195" w:lineRule="auto"/>
              <w:ind w:left="18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5</w:t>
            </w:r>
            <w:r>
              <w:rPr>
                <w:rFonts w:ascii="Times New Roman" w:hAnsi="Times New Roman" w:eastAsia="Times New Roman" w:cs="Times New Roman"/>
                <w:spacing w:val="4"/>
                <w:sz w:val="20"/>
                <w:szCs w:val="20"/>
              </w:rPr>
              <w:t>.57000</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-002</w:t>
            </w:r>
          </w:p>
        </w:tc>
        <w:tc>
          <w:tcPr>
            <w:tcW w:w="2023" w:type="dxa"/>
          </w:tcPr>
          <w:p w14:paraId="43329F7D">
            <w:pPr>
              <w:spacing w:before="79" w:line="195" w:lineRule="auto"/>
              <w:ind w:left="57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0.0142488</w:t>
            </w:r>
          </w:p>
        </w:tc>
        <w:tc>
          <w:tcPr>
            <w:tcW w:w="1547" w:type="dxa"/>
            <w:tcBorders>
              <w:right w:val="nil"/>
            </w:tcBorders>
          </w:tcPr>
          <w:p w14:paraId="081D51E2">
            <w:pPr>
              <w:spacing w:before="78" w:line="198" w:lineRule="auto"/>
              <w:ind w:left="19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1.42</w:t>
            </w:r>
            <w:r>
              <w:rPr>
                <w:rFonts w:ascii="Times New Roman" w:hAnsi="Times New Roman" w:eastAsia="Times New Roman" w:cs="Times New Roman"/>
                <w:spacing w:val="2"/>
                <w:sz w:val="20"/>
                <w:szCs w:val="20"/>
              </w:rPr>
              <w:t>488</w:t>
            </w:r>
            <w:r>
              <w:rPr>
                <w:rFonts w:ascii="Times New Roman" w:hAnsi="Times New Roman" w:eastAsia="Times New Roman" w:cs="Times New Roman"/>
                <w:sz w:val="20"/>
                <w:szCs w:val="20"/>
              </w:rPr>
              <w:t>E</w:t>
            </w:r>
            <w:r>
              <w:rPr>
                <w:rFonts w:ascii="Times New Roman" w:hAnsi="Times New Roman" w:eastAsia="Times New Roman" w:cs="Times New Roman"/>
                <w:spacing w:val="2"/>
                <w:sz w:val="20"/>
                <w:szCs w:val="20"/>
              </w:rPr>
              <w:t>-001</w:t>
            </w:r>
          </w:p>
        </w:tc>
      </w:tr>
      <w:tr w14:paraId="065FC0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2188" w:type="dxa"/>
            <w:tcBorders>
              <w:left w:val="nil"/>
            </w:tcBorders>
          </w:tcPr>
          <w:p w14:paraId="5964EE6B">
            <w:pPr>
              <w:spacing w:before="78" w:line="195" w:lineRule="auto"/>
              <w:ind w:left="90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1000</w:t>
            </w:r>
          </w:p>
        </w:tc>
        <w:tc>
          <w:tcPr>
            <w:tcW w:w="1933" w:type="dxa"/>
          </w:tcPr>
          <w:p w14:paraId="101B539E">
            <w:pPr>
              <w:spacing w:before="79" w:line="195" w:lineRule="auto"/>
              <w:ind w:left="57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0.09588</w:t>
            </w:r>
            <w:r>
              <w:rPr>
                <w:rFonts w:ascii="Times New Roman" w:hAnsi="Times New Roman" w:eastAsia="Times New Roman" w:cs="Times New Roman"/>
                <w:spacing w:val="2"/>
                <w:sz w:val="20"/>
                <w:szCs w:val="20"/>
              </w:rPr>
              <w:t>1</w:t>
            </w:r>
          </w:p>
        </w:tc>
        <w:tc>
          <w:tcPr>
            <w:tcW w:w="1548" w:type="dxa"/>
          </w:tcPr>
          <w:p w14:paraId="03639896">
            <w:pPr>
              <w:spacing w:before="78" w:line="198" w:lineRule="auto"/>
              <w:ind w:left="17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4</w:t>
            </w:r>
            <w:r>
              <w:rPr>
                <w:rFonts w:ascii="Times New Roman" w:hAnsi="Times New Roman" w:eastAsia="Times New Roman" w:cs="Times New Roman"/>
                <w:spacing w:val="7"/>
                <w:sz w:val="20"/>
                <w:szCs w:val="20"/>
              </w:rPr>
              <w:t>.</w:t>
            </w:r>
            <w:r>
              <w:rPr>
                <w:rFonts w:ascii="Times New Roman" w:hAnsi="Times New Roman" w:eastAsia="Times New Roman" w:cs="Times New Roman"/>
                <w:spacing w:val="4"/>
                <w:sz w:val="20"/>
                <w:szCs w:val="20"/>
              </w:rPr>
              <w:t>79405</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-002</w:t>
            </w:r>
          </w:p>
        </w:tc>
        <w:tc>
          <w:tcPr>
            <w:tcW w:w="2023" w:type="dxa"/>
          </w:tcPr>
          <w:p w14:paraId="1EE17136">
            <w:pPr>
              <w:spacing w:before="79" w:line="195" w:lineRule="auto"/>
              <w:ind w:left="57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0.0122638</w:t>
            </w:r>
          </w:p>
        </w:tc>
        <w:tc>
          <w:tcPr>
            <w:tcW w:w="1547" w:type="dxa"/>
            <w:tcBorders>
              <w:right w:val="nil"/>
            </w:tcBorders>
          </w:tcPr>
          <w:p w14:paraId="49C0D95E">
            <w:pPr>
              <w:spacing w:before="78" w:line="198" w:lineRule="auto"/>
              <w:ind w:left="19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1.22</w:t>
            </w:r>
            <w:r>
              <w:rPr>
                <w:rFonts w:ascii="Times New Roman" w:hAnsi="Times New Roman" w:eastAsia="Times New Roman" w:cs="Times New Roman"/>
                <w:spacing w:val="2"/>
                <w:sz w:val="20"/>
                <w:szCs w:val="20"/>
              </w:rPr>
              <w:t>638</w:t>
            </w:r>
            <w:r>
              <w:rPr>
                <w:rFonts w:ascii="Times New Roman" w:hAnsi="Times New Roman" w:eastAsia="Times New Roman" w:cs="Times New Roman"/>
                <w:sz w:val="20"/>
                <w:szCs w:val="20"/>
              </w:rPr>
              <w:t>E</w:t>
            </w:r>
            <w:r>
              <w:rPr>
                <w:rFonts w:ascii="Times New Roman" w:hAnsi="Times New Roman" w:eastAsia="Times New Roman" w:cs="Times New Roman"/>
                <w:spacing w:val="2"/>
                <w:sz w:val="20"/>
                <w:szCs w:val="20"/>
              </w:rPr>
              <w:t>-001</w:t>
            </w:r>
          </w:p>
        </w:tc>
      </w:tr>
      <w:tr w14:paraId="497BCB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2188" w:type="dxa"/>
            <w:tcBorders>
              <w:left w:val="nil"/>
            </w:tcBorders>
          </w:tcPr>
          <w:p w14:paraId="225CF7DC">
            <w:pPr>
              <w:spacing w:before="80" w:line="195" w:lineRule="auto"/>
              <w:ind w:left="88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2000</w:t>
            </w:r>
          </w:p>
        </w:tc>
        <w:tc>
          <w:tcPr>
            <w:tcW w:w="1933" w:type="dxa"/>
          </w:tcPr>
          <w:p w14:paraId="639D8784">
            <w:pPr>
              <w:spacing w:before="80" w:line="195" w:lineRule="auto"/>
              <w:ind w:left="57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0.03617</w:t>
            </w:r>
            <w:r>
              <w:rPr>
                <w:rFonts w:ascii="Times New Roman" w:hAnsi="Times New Roman" w:eastAsia="Times New Roman" w:cs="Times New Roman"/>
                <w:spacing w:val="2"/>
                <w:sz w:val="20"/>
                <w:szCs w:val="20"/>
              </w:rPr>
              <w:t>7</w:t>
            </w:r>
          </w:p>
        </w:tc>
        <w:tc>
          <w:tcPr>
            <w:tcW w:w="1548" w:type="dxa"/>
          </w:tcPr>
          <w:p w14:paraId="2D64AF91">
            <w:pPr>
              <w:spacing w:before="80" w:line="198" w:lineRule="auto"/>
              <w:ind w:left="19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1.80</w:t>
            </w:r>
            <w:r>
              <w:rPr>
                <w:rFonts w:ascii="Times New Roman" w:hAnsi="Times New Roman" w:eastAsia="Times New Roman" w:cs="Times New Roman"/>
                <w:spacing w:val="2"/>
                <w:sz w:val="20"/>
                <w:szCs w:val="20"/>
              </w:rPr>
              <w:t>885</w:t>
            </w:r>
            <w:r>
              <w:rPr>
                <w:rFonts w:ascii="Times New Roman" w:hAnsi="Times New Roman" w:eastAsia="Times New Roman" w:cs="Times New Roman"/>
                <w:sz w:val="20"/>
                <w:szCs w:val="20"/>
              </w:rPr>
              <w:t>E</w:t>
            </w:r>
            <w:r>
              <w:rPr>
                <w:rFonts w:ascii="Times New Roman" w:hAnsi="Times New Roman" w:eastAsia="Times New Roman" w:cs="Times New Roman"/>
                <w:spacing w:val="2"/>
                <w:sz w:val="20"/>
                <w:szCs w:val="20"/>
              </w:rPr>
              <w:t>-002</w:t>
            </w:r>
          </w:p>
        </w:tc>
        <w:tc>
          <w:tcPr>
            <w:tcW w:w="2023" w:type="dxa"/>
          </w:tcPr>
          <w:p w14:paraId="0AB014A3">
            <w:pPr>
              <w:spacing w:before="80" w:line="195" w:lineRule="auto"/>
              <w:ind w:left="51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0.0046272</w:t>
            </w:r>
            <w:r>
              <w:rPr>
                <w:rFonts w:ascii="Times New Roman" w:hAnsi="Times New Roman" w:eastAsia="Times New Roman" w:cs="Times New Roman"/>
                <w:spacing w:val="3"/>
                <w:sz w:val="20"/>
                <w:szCs w:val="20"/>
              </w:rPr>
              <w:t>9</w:t>
            </w:r>
          </w:p>
        </w:tc>
        <w:tc>
          <w:tcPr>
            <w:tcW w:w="1547" w:type="dxa"/>
            <w:tcBorders>
              <w:right w:val="nil"/>
            </w:tcBorders>
          </w:tcPr>
          <w:p w14:paraId="20146538">
            <w:pPr>
              <w:spacing w:before="80" w:line="198" w:lineRule="auto"/>
              <w:ind w:left="17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4</w:t>
            </w:r>
            <w:r>
              <w:rPr>
                <w:rFonts w:ascii="Times New Roman" w:hAnsi="Times New Roman" w:eastAsia="Times New Roman" w:cs="Times New Roman"/>
                <w:spacing w:val="7"/>
                <w:sz w:val="20"/>
                <w:szCs w:val="20"/>
              </w:rPr>
              <w:t>.</w:t>
            </w:r>
            <w:r>
              <w:rPr>
                <w:rFonts w:ascii="Times New Roman" w:hAnsi="Times New Roman" w:eastAsia="Times New Roman" w:cs="Times New Roman"/>
                <w:spacing w:val="4"/>
                <w:sz w:val="20"/>
                <w:szCs w:val="20"/>
              </w:rPr>
              <w:t>62729</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-002</w:t>
            </w:r>
          </w:p>
        </w:tc>
      </w:tr>
      <w:tr w14:paraId="059CC9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2188" w:type="dxa"/>
            <w:tcBorders>
              <w:left w:val="nil"/>
            </w:tcBorders>
          </w:tcPr>
          <w:p w14:paraId="2D2A2E15">
            <w:pPr>
              <w:spacing w:before="80" w:line="195" w:lineRule="auto"/>
              <w:ind w:left="89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3000</w:t>
            </w:r>
          </w:p>
        </w:tc>
        <w:tc>
          <w:tcPr>
            <w:tcW w:w="1933" w:type="dxa"/>
          </w:tcPr>
          <w:p w14:paraId="4636AC7A">
            <w:pPr>
              <w:spacing w:before="80" w:line="195" w:lineRule="auto"/>
              <w:ind w:left="57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0.02103</w:t>
            </w:r>
            <w:r>
              <w:rPr>
                <w:rFonts w:ascii="Times New Roman" w:hAnsi="Times New Roman" w:eastAsia="Times New Roman" w:cs="Times New Roman"/>
                <w:spacing w:val="2"/>
                <w:sz w:val="20"/>
                <w:szCs w:val="20"/>
              </w:rPr>
              <w:t>5</w:t>
            </w:r>
          </w:p>
        </w:tc>
        <w:tc>
          <w:tcPr>
            <w:tcW w:w="1548" w:type="dxa"/>
          </w:tcPr>
          <w:p w14:paraId="3A839DC9">
            <w:pPr>
              <w:spacing w:before="80" w:line="198" w:lineRule="auto"/>
              <w:ind w:left="19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1.05</w:t>
            </w:r>
            <w:r>
              <w:rPr>
                <w:rFonts w:ascii="Times New Roman" w:hAnsi="Times New Roman" w:eastAsia="Times New Roman" w:cs="Times New Roman"/>
                <w:spacing w:val="2"/>
                <w:sz w:val="20"/>
                <w:szCs w:val="20"/>
              </w:rPr>
              <w:t>175</w:t>
            </w:r>
            <w:r>
              <w:rPr>
                <w:rFonts w:ascii="Times New Roman" w:hAnsi="Times New Roman" w:eastAsia="Times New Roman" w:cs="Times New Roman"/>
                <w:sz w:val="20"/>
                <w:szCs w:val="20"/>
              </w:rPr>
              <w:t>E</w:t>
            </w:r>
            <w:r>
              <w:rPr>
                <w:rFonts w:ascii="Times New Roman" w:hAnsi="Times New Roman" w:eastAsia="Times New Roman" w:cs="Times New Roman"/>
                <w:spacing w:val="2"/>
                <w:sz w:val="20"/>
                <w:szCs w:val="20"/>
              </w:rPr>
              <w:t>-002</w:t>
            </w:r>
          </w:p>
        </w:tc>
        <w:tc>
          <w:tcPr>
            <w:tcW w:w="2023" w:type="dxa"/>
          </w:tcPr>
          <w:p w14:paraId="6648FD36">
            <w:pPr>
              <w:spacing w:before="80" w:line="195" w:lineRule="auto"/>
              <w:ind w:left="51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0.0026905</w:t>
            </w:r>
            <w:r>
              <w:rPr>
                <w:rFonts w:ascii="Times New Roman" w:hAnsi="Times New Roman" w:eastAsia="Times New Roman" w:cs="Times New Roman"/>
                <w:spacing w:val="3"/>
                <w:sz w:val="20"/>
                <w:szCs w:val="20"/>
              </w:rPr>
              <w:t>2</w:t>
            </w:r>
          </w:p>
        </w:tc>
        <w:tc>
          <w:tcPr>
            <w:tcW w:w="1547" w:type="dxa"/>
            <w:tcBorders>
              <w:right w:val="nil"/>
            </w:tcBorders>
          </w:tcPr>
          <w:p w14:paraId="1926EE9D">
            <w:pPr>
              <w:spacing w:before="80" w:line="198" w:lineRule="auto"/>
              <w:ind w:left="17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6"/>
                <w:sz w:val="20"/>
                <w:szCs w:val="20"/>
              </w:rPr>
              <w:t>.</w:t>
            </w:r>
            <w:r>
              <w:rPr>
                <w:rFonts w:ascii="Times New Roman" w:hAnsi="Times New Roman" w:eastAsia="Times New Roman" w:cs="Times New Roman"/>
                <w:spacing w:val="4"/>
                <w:sz w:val="20"/>
                <w:szCs w:val="20"/>
              </w:rPr>
              <w:t>69052</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-002</w:t>
            </w:r>
          </w:p>
        </w:tc>
      </w:tr>
      <w:tr w14:paraId="41CF3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2188" w:type="dxa"/>
            <w:tcBorders>
              <w:left w:val="nil"/>
            </w:tcBorders>
          </w:tcPr>
          <w:p w14:paraId="6AE6B853">
            <w:pPr>
              <w:spacing w:before="79" w:line="195" w:lineRule="auto"/>
              <w:ind w:left="88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4</w:t>
            </w:r>
            <w:r>
              <w:rPr>
                <w:rFonts w:ascii="Times New Roman" w:hAnsi="Times New Roman" w:eastAsia="Times New Roman" w:cs="Times New Roman"/>
                <w:spacing w:val="4"/>
                <w:sz w:val="20"/>
                <w:szCs w:val="20"/>
              </w:rPr>
              <w:t>000</w:t>
            </w:r>
          </w:p>
        </w:tc>
        <w:tc>
          <w:tcPr>
            <w:tcW w:w="1933" w:type="dxa"/>
          </w:tcPr>
          <w:p w14:paraId="303A2E6E">
            <w:pPr>
              <w:spacing w:before="79" w:line="195" w:lineRule="auto"/>
              <w:ind w:left="57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0.01513</w:t>
            </w:r>
            <w:r>
              <w:rPr>
                <w:rFonts w:ascii="Times New Roman" w:hAnsi="Times New Roman" w:eastAsia="Times New Roman" w:cs="Times New Roman"/>
                <w:spacing w:val="2"/>
                <w:sz w:val="20"/>
                <w:szCs w:val="20"/>
              </w:rPr>
              <w:t>9</w:t>
            </w:r>
          </w:p>
        </w:tc>
        <w:tc>
          <w:tcPr>
            <w:tcW w:w="1548" w:type="dxa"/>
          </w:tcPr>
          <w:p w14:paraId="4314098D">
            <w:pPr>
              <w:spacing w:before="79" w:line="195" w:lineRule="auto"/>
              <w:ind w:left="182"/>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7</w:t>
            </w:r>
            <w:r>
              <w:rPr>
                <w:rFonts w:ascii="Times New Roman" w:hAnsi="Times New Roman" w:eastAsia="Times New Roman" w:cs="Times New Roman"/>
                <w:spacing w:val="4"/>
                <w:sz w:val="20"/>
                <w:szCs w:val="20"/>
              </w:rPr>
              <w:t>.56950</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-003</w:t>
            </w:r>
          </w:p>
        </w:tc>
        <w:tc>
          <w:tcPr>
            <w:tcW w:w="2023" w:type="dxa"/>
          </w:tcPr>
          <w:p w14:paraId="72BF4D06">
            <w:pPr>
              <w:spacing w:before="79" w:line="195" w:lineRule="auto"/>
              <w:ind w:left="51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0.0019363</w:t>
            </w:r>
            <w:r>
              <w:rPr>
                <w:rFonts w:ascii="Times New Roman" w:hAnsi="Times New Roman" w:eastAsia="Times New Roman" w:cs="Times New Roman"/>
                <w:spacing w:val="3"/>
                <w:sz w:val="20"/>
                <w:szCs w:val="20"/>
              </w:rPr>
              <w:t>8</w:t>
            </w:r>
          </w:p>
        </w:tc>
        <w:tc>
          <w:tcPr>
            <w:tcW w:w="1547" w:type="dxa"/>
            <w:tcBorders>
              <w:right w:val="nil"/>
            </w:tcBorders>
          </w:tcPr>
          <w:p w14:paraId="2FFAC11D">
            <w:pPr>
              <w:spacing w:before="79" w:line="198" w:lineRule="auto"/>
              <w:ind w:left="19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1.93</w:t>
            </w:r>
            <w:r>
              <w:rPr>
                <w:rFonts w:ascii="Times New Roman" w:hAnsi="Times New Roman" w:eastAsia="Times New Roman" w:cs="Times New Roman"/>
                <w:spacing w:val="2"/>
                <w:sz w:val="20"/>
                <w:szCs w:val="20"/>
              </w:rPr>
              <w:t>638</w:t>
            </w:r>
            <w:r>
              <w:rPr>
                <w:rFonts w:ascii="Times New Roman" w:hAnsi="Times New Roman" w:eastAsia="Times New Roman" w:cs="Times New Roman"/>
                <w:sz w:val="20"/>
                <w:szCs w:val="20"/>
              </w:rPr>
              <w:t>E</w:t>
            </w:r>
            <w:r>
              <w:rPr>
                <w:rFonts w:ascii="Times New Roman" w:hAnsi="Times New Roman" w:eastAsia="Times New Roman" w:cs="Times New Roman"/>
                <w:spacing w:val="2"/>
                <w:sz w:val="20"/>
                <w:szCs w:val="20"/>
              </w:rPr>
              <w:t>-002</w:t>
            </w:r>
          </w:p>
        </w:tc>
      </w:tr>
      <w:tr w14:paraId="1DCB99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2188" w:type="dxa"/>
            <w:tcBorders>
              <w:left w:val="nil"/>
            </w:tcBorders>
          </w:tcPr>
          <w:p w14:paraId="45BB0EDD">
            <w:pPr>
              <w:spacing w:before="80" w:line="195" w:lineRule="auto"/>
              <w:ind w:left="89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500</w:t>
            </w:r>
            <w:r>
              <w:rPr>
                <w:rFonts w:ascii="Times New Roman" w:hAnsi="Times New Roman" w:eastAsia="Times New Roman" w:cs="Times New Roman"/>
                <w:spacing w:val="2"/>
                <w:sz w:val="20"/>
                <w:szCs w:val="20"/>
              </w:rPr>
              <w:t>0</w:t>
            </w:r>
          </w:p>
        </w:tc>
        <w:tc>
          <w:tcPr>
            <w:tcW w:w="1933" w:type="dxa"/>
          </w:tcPr>
          <w:p w14:paraId="3436007D">
            <w:pPr>
              <w:spacing w:before="81" w:line="195" w:lineRule="auto"/>
              <w:ind w:left="68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.0115</w:t>
            </w:r>
          </w:p>
        </w:tc>
        <w:tc>
          <w:tcPr>
            <w:tcW w:w="1548" w:type="dxa"/>
          </w:tcPr>
          <w:p w14:paraId="16BD8AD6">
            <w:pPr>
              <w:spacing w:before="81" w:line="195" w:lineRule="auto"/>
              <w:ind w:left="18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5</w:t>
            </w:r>
            <w:r>
              <w:rPr>
                <w:rFonts w:ascii="Times New Roman" w:hAnsi="Times New Roman" w:eastAsia="Times New Roman" w:cs="Times New Roman"/>
                <w:spacing w:val="4"/>
                <w:sz w:val="20"/>
                <w:szCs w:val="20"/>
              </w:rPr>
              <w:t>.75000</w:t>
            </w:r>
            <w:r>
              <w:rPr>
                <w:rFonts w:ascii="Times New Roman" w:hAnsi="Times New Roman" w:eastAsia="Times New Roman" w:cs="Times New Roman"/>
                <w:sz w:val="20"/>
                <w:szCs w:val="20"/>
              </w:rPr>
              <w:t>E</w:t>
            </w:r>
            <w:r>
              <w:rPr>
                <w:rFonts w:ascii="Times New Roman" w:hAnsi="Times New Roman" w:eastAsia="Times New Roman" w:cs="Times New Roman"/>
                <w:spacing w:val="4"/>
                <w:sz w:val="20"/>
                <w:szCs w:val="20"/>
              </w:rPr>
              <w:t>-003</w:t>
            </w:r>
          </w:p>
        </w:tc>
        <w:tc>
          <w:tcPr>
            <w:tcW w:w="2023" w:type="dxa"/>
          </w:tcPr>
          <w:p w14:paraId="0083FBE7">
            <w:pPr>
              <w:spacing w:before="81" w:line="195" w:lineRule="auto"/>
              <w:ind w:left="51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0.0014709</w:t>
            </w:r>
            <w:r>
              <w:rPr>
                <w:rFonts w:ascii="Times New Roman" w:hAnsi="Times New Roman" w:eastAsia="Times New Roman" w:cs="Times New Roman"/>
                <w:spacing w:val="3"/>
                <w:sz w:val="20"/>
                <w:szCs w:val="20"/>
              </w:rPr>
              <w:t>3</w:t>
            </w:r>
          </w:p>
        </w:tc>
        <w:tc>
          <w:tcPr>
            <w:tcW w:w="1547" w:type="dxa"/>
            <w:tcBorders>
              <w:right w:val="nil"/>
            </w:tcBorders>
          </w:tcPr>
          <w:p w14:paraId="62637D52">
            <w:pPr>
              <w:spacing w:before="80" w:line="198" w:lineRule="auto"/>
              <w:ind w:left="19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1.47</w:t>
            </w:r>
            <w:r>
              <w:rPr>
                <w:rFonts w:ascii="Times New Roman" w:hAnsi="Times New Roman" w:eastAsia="Times New Roman" w:cs="Times New Roman"/>
                <w:spacing w:val="2"/>
                <w:sz w:val="20"/>
                <w:szCs w:val="20"/>
              </w:rPr>
              <w:t>093</w:t>
            </w:r>
            <w:r>
              <w:rPr>
                <w:rFonts w:ascii="Times New Roman" w:hAnsi="Times New Roman" w:eastAsia="Times New Roman" w:cs="Times New Roman"/>
                <w:sz w:val="20"/>
                <w:szCs w:val="20"/>
              </w:rPr>
              <w:t>E</w:t>
            </w:r>
            <w:r>
              <w:rPr>
                <w:rFonts w:ascii="Times New Roman" w:hAnsi="Times New Roman" w:eastAsia="Times New Roman" w:cs="Times New Roman"/>
                <w:spacing w:val="2"/>
                <w:sz w:val="20"/>
                <w:szCs w:val="20"/>
              </w:rPr>
              <w:t>-002</w:t>
            </w:r>
          </w:p>
        </w:tc>
      </w:tr>
      <w:tr w14:paraId="3FD42B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2188" w:type="dxa"/>
            <w:tcBorders>
              <w:left w:val="nil"/>
            </w:tcBorders>
          </w:tcPr>
          <w:p w14:paraId="26D30320">
            <w:pPr>
              <w:spacing w:before="90" w:line="265" w:lineRule="auto"/>
              <w:ind w:left="576" w:right="127" w:hanging="243"/>
              <w:rPr>
                <w:rFonts w:ascii="宋体" w:hAnsi="宋体" w:eastAsia="宋体" w:cs="宋体"/>
                <w:sz w:val="20"/>
                <w:szCs w:val="20"/>
              </w:rPr>
            </w:pPr>
            <w:r>
              <w:rPr>
                <w:rFonts w:ascii="宋体" w:hAnsi="宋体" w:eastAsia="宋体" w:cs="宋体"/>
                <w:spacing w:val="14"/>
                <w:sz w:val="20"/>
                <w:szCs w:val="20"/>
                <w14:textOutline w14:w="3797" w14:cap="sq" w14:cmpd="sng" w14:algn="ctr">
                  <w14:solidFill>
                    <w14:srgbClr w14:val="000000"/>
                  </w14:solidFill>
                  <w14:prstDash w14:val="solid"/>
                  <w14:bevel/>
                </w14:textOutline>
              </w:rPr>
              <w:t>下</w:t>
            </w:r>
            <w:r>
              <w:rPr>
                <w:rFonts w:ascii="宋体" w:hAnsi="宋体" w:eastAsia="宋体" w:cs="宋体"/>
                <w:spacing w:val="8"/>
                <w:sz w:val="20"/>
                <w:szCs w:val="20"/>
                <w14:textOutline w14:w="3797" w14:cap="sq" w14:cmpd="sng" w14:algn="ctr">
                  <w14:solidFill>
                    <w14:srgbClr w14:val="000000"/>
                  </w14:solidFill>
                  <w14:prstDash w14:val="solid"/>
                  <w14:bevel/>
                </w14:textOutline>
              </w:rPr>
              <w:t>风向最大浓度及</w:t>
            </w:r>
            <w:r>
              <w:rPr>
                <w:rFonts w:ascii="宋体" w:hAnsi="宋体" w:eastAsia="宋体" w:cs="宋体"/>
                <w:sz w:val="20"/>
                <w:szCs w:val="20"/>
              </w:rPr>
              <w:t xml:space="preserve"> </w:t>
            </w:r>
            <w:r>
              <w:rPr>
                <w:rFonts w:ascii="宋体" w:hAnsi="宋体" w:eastAsia="宋体" w:cs="宋体"/>
                <w:spacing w:val="2"/>
                <w:sz w:val="20"/>
                <w:szCs w:val="20"/>
                <w14:textOutline w14:w="3797" w14:cap="sq" w14:cmpd="sng" w14:algn="ctr">
                  <w14:solidFill>
                    <w14:srgbClr w14:val="000000"/>
                  </w14:solidFill>
                  <w14:prstDash w14:val="solid"/>
                  <w14:bevel/>
                </w14:textOutline>
              </w:rPr>
              <w:t>占标率</w:t>
            </w:r>
            <w:r>
              <w:rPr>
                <w:rFonts w:ascii="宋体" w:hAnsi="宋体" w:eastAsia="宋体" w:cs="宋体"/>
                <w:spacing w:val="2"/>
                <w:sz w:val="20"/>
                <w:szCs w:val="20"/>
              </w:rPr>
              <w:t xml:space="preserve"> </w:t>
            </w:r>
            <w:r>
              <w:rPr>
                <w:rFonts w:ascii="宋体" w:hAnsi="宋体" w:eastAsia="宋体" w:cs="宋体"/>
                <w:spacing w:val="1"/>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spacing w:val="1"/>
                <w:sz w:val="20"/>
                <w:szCs w:val="20"/>
              </w:rPr>
              <w:t>131</w:t>
            </w:r>
            <w:r>
              <w:rPr>
                <w:rFonts w:ascii="Times New Roman" w:hAnsi="Times New Roman" w:eastAsia="Times New Roman" w:cs="Times New Roman"/>
                <w:b/>
                <w:bCs/>
                <w:sz w:val="20"/>
                <w:szCs w:val="20"/>
              </w:rPr>
              <w:t>m</w:t>
            </w:r>
            <w:r>
              <w:rPr>
                <w:rFonts w:ascii="宋体" w:hAnsi="宋体" w:eastAsia="宋体" w:cs="宋体"/>
                <w:spacing w:val="1"/>
                <w:sz w:val="20"/>
                <w:szCs w:val="20"/>
                <w14:textOutline w14:w="3797" w14:cap="sq" w14:cmpd="sng" w14:algn="ctr">
                  <w14:solidFill>
                    <w14:srgbClr w14:val="000000"/>
                  </w14:solidFill>
                  <w14:prstDash w14:val="solid"/>
                  <w14:bevel/>
                </w14:textOutline>
              </w:rPr>
              <w:t>)</w:t>
            </w:r>
          </w:p>
        </w:tc>
        <w:tc>
          <w:tcPr>
            <w:tcW w:w="1933" w:type="dxa"/>
          </w:tcPr>
          <w:p w14:paraId="082B997A">
            <w:pPr>
              <w:spacing w:before="263" w:line="198" w:lineRule="auto"/>
              <w:ind w:left="688"/>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1</w:t>
            </w:r>
            <w:r>
              <w:rPr>
                <w:rFonts w:ascii="Times New Roman" w:hAnsi="Times New Roman" w:eastAsia="Times New Roman" w:cs="Times New Roman"/>
                <w:b/>
                <w:bCs/>
                <w:spacing w:val="2"/>
                <w:sz w:val="20"/>
                <w:szCs w:val="20"/>
              </w:rPr>
              <w:t>.9492</w:t>
            </w:r>
          </w:p>
        </w:tc>
        <w:tc>
          <w:tcPr>
            <w:tcW w:w="1548" w:type="dxa"/>
          </w:tcPr>
          <w:p w14:paraId="0BAB8F4D">
            <w:pPr>
              <w:spacing w:before="263" w:line="195" w:lineRule="auto"/>
              <w:ind w:left="173"/>
              <w:rPr>
                <w:rFonts w:ascii="Times New Roman" w:hAnsi="Times New Roman" w:eastAsia="Times New Roman" w:cs="Times New Roman"/>
                <w:sz w:val="20"/>
                <w:szCs w:val="20"/>
              </w:rPr>
            </w:pPr>
            <w:r>
              <w:rPr>
                <w:rFonts w:ascii="Times New Roman" w:hAnsi="Times New Roman" w:eastAsia="Times New Roman" w:cs="Times New Roman"/>
                <w:b/>
                <w:bCs/>
                <w:spacing w:val="8"/>
                <w:sz w:val="20"/>
                <w:szCs w:val="20"/>
              </w:rPr>
              <w:t>9</w:t>
            </w:r>
            <w:r>
              <w:rPr>
                <w:rFonts w:ascii="Times New Roman" w:hAnsi="Times New Roman" w:eastAsia="Times New Roman" w:cs="Times New Roman"/>
                <w:b/>
                <w:bCs/>
                <w:spacing w:val="7"/>
                <w:sz w:val="20"/>
                <w:szCs w:val="20"/>
              </w:rPr>
              <w:t>.</w:t>
            </w:r>
            <w:r>
              <w:rPr>
                <w:rFonts w:ascii="Times New Roman" w:hAnsi="Times New Roman" w:eastAsia="Times New Roman" w:cs="Times New Roman"/>
                <w:b/>
                <w:bCs/>
                <w:spacing w:val="4"/>
                <w:sz w:val="20"/>
                <w:szCs w:val="20"/>
              </w:rPr>
              <w:t>74600</w:t>
            </w:r>
            <w:r>
              <w:rPr>
                <w:rFonts w:ascii="Times New Roman" w:hAnsi="Times New Roman" w:eastAsia="Times New Roman" w:cs="Times New Roman"/>
                <w:b/>
                <w:bCs/>
                <w:sz w:val="20"/>
                <w:szCs w:val="20"/>
              </w:rPr>
              <w:t>E</w:t>
            </w:r>
            <w:r>
              <w:rPr>
                <w:rFonts w:ascii="Times New Roman" w:hAnsi="Times New Roman" w:eastAsia="Times New Roman" w:cs="Times New Roman"/>
                <w:b/>
                <w:bCs/>
                <w:spacing w:val="4"/>
                <w:sz w:val="20"/>
                <w:szCs w:val="20"/>
              </w:rPr>
              <w:t>-001</w:t>
            </w:r>
          </w:p>
        </w:tc>
        <w:tc>
          <w:tcPr>
            <w:tcW w:w="2023" w:type="dxa"/>
          </w:tcPr>
          <w:p w14:paraId="4FA5365E">
            <w:pPr>
              <w:spacing w:before="263" w:line="195" w:lineRule="auto"/>
              <w:ind w:left="623"/>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0.24931</w:t>
            </w:r>
            <w:r>
              <w:rPr>
                <w:rFonts w:ascii="Times New Roman" w:hAnsi="Times New Roman" w:eastAsia="Times New Roman" w:cs="Times New Roman"/>
                <w:b/>
                <w:bCs/>
                <w:spacing w:val="2"/>
                <w:sz w:val="20"/>
                <w:szCs w:val="20"/>
              </w:rPr>
              <w:t>6</w:t>
            </w:r>
          </w:p>
        </w:tc>
        <w:tc>
          <w:tcPr>
            <w:tcW w:w="1547" w:type="dxa"/>
            <w:tcBorders>
              <w:right w:val="nil"/>
            </w:tcBorders>
          </w:tcPr>
          <w:p w14:paraId="1023933C">
            <w:pPr>
              <w:spacing w:before="186" w:line="289" w:lineRule="exact"/>
              <w:ind w:left="148"/>
              <w:rPr>
                <w:rFonts w:ascii="Times New Roman" w:hAnsi="Times New Roman" w:eastAsia="Times New Roman" w:cs="Times New Roman"/>
                <w:sz w:val="20"/>
                <w:szCs w:val="20"/>
              </w:rPr>
            </w:pPr>
            <w:r>
              <w:rPr>
                <w:rFonts w:ascii="Times New Roman" w:hAnsi="Times New Roman" w:eastAsia="Times New Roman" w:cs="Times New Roman"/>
                <w:b/>
                <w:bCs/>
                <w:spacing w:val="6"/>
                <w:position w:val="2"/>
                <w:sz w:val="20"/>
                <w:szCs w:val="20"/>
              </w:rPr>
              <w:t>2</w:t>
            </w:r>
            <w:r>
              <w:rPr>
                <w:rFonts w:ascii="Times New Roman" w:hAnsi="Times New Roman" w:eastAsia="Times New Roman" w:cs="Times New Roman"/>
                <w:b/>
                <w:bCs/>
                <w:spacing w:val="5"/>
                <w:position w:val="2"/>
                <w:sz w:val="20"/>
                <w:szCs w:val="20"/>
              </w:rPr>
              <w:t>.49316</w:t>
            </w:r>
            <w:r>
              <w:rPr>
                <w:rFonts w:ascii="Times New Roman" w:hAnsi="Times New Roman" w:eastAsia="Times New Roman" w:cs="Times New Roman"/>
                <w:b/>
                <w:bCs/>
                <w:position w:val="2"/>
                <w:sz w:val="20"/>
                <w:szCs w:val="20"/>
              </w:rPr>
              <w:t>E</w:t>
            </w:r>
            <w:r>
              <w:rPr>
                <w:rFonts w:ascii="Times New Roman" w:hAnsi="Times New Roman" w:eastAsia="Times New Roman" w:cs="Times New Roman"/>
                <w:b/>
                <w:bCs/>
                <w:spacing w:val="5"/>
                <w:position w:val="2"/>
                <w:sz w:val="20"/>
                <w:szCs w:val="20"/>
              </w:rPr>
              <w:t>+000</w:t>
            </w:r>
          </w:p>
        </w:tc>
      </w:tr>
    </w:tbl>
    <w:p w14:paraId="4996C5DD">
      <w:pPr>
        <w:spacing w:before="37" w:line="226" w:lineRule="auto"/>
        <w:ind w:left="806"/>
        <w:rPr>
          <w:rFonts w:ascii="Times New Roman" w:hAnsi="Times New Roman" w:eastAsia="Times New Roman" w:cs="Times New Roman"/>
          <w:sz w:val="23"/>
          <w:szCs w:val="23"/>
        </w:rPr>
      </w:pPr>
      <w:r>
        <w:rPr>
          <w:rFonts w:ascii="宋体" w:hAnsi="宋体" w:eastAsia="宋体" w:cs="宋体"/>
          <w:spacing w:val="6"/>
          <w:sz w:val="23"/>
          <w:szCs w:val="23"/>
        </w:rPr>
        <w:t>由</w:t>
      </w:r>
      <w:r>
        <w:rPr>
          <w:rFonts w:ascii="宋体" w:hAnsi="宋体" w:eastAsia="宋体" w:cs="宋体"/>
          <w:spacing w:val="4"/>
          <w:sz w:val="23"/>
          <w:szCs w:val="23"/>
        </w:rPr>
        <w:t>估算结果可知，项目运营期，</w:t>
      </w:r>
      <w:r>
        <w:rPr>
          <w:rFonts w:ascii="Times New Roman" w:hAnsi="Times New Roman" w:eastAsia="Times New Roman" w:cs="Times New Roman"/>
          <w:sz w:val="23"/>
          <w:szCs w:val="23"/>
        </w:rPr>
        <w:t>NH</w:t>
      </w:r>
      <w:r>
        <w:rPr>
          <w:rFonts w:ascii="Times New Roman" w:hAnsi="Times New Roman" w:eastAsia="Times New Roman" w:cs="Times New Roman"/>
          <w:spacing w:val="4"/>
          <w:position w:val="-1"/>
          <w:sz w:val="15"/>
          <w:szCs w:val="15"/>
        </w:rPr>
        <w:t xml:space="preserve">3 </w:t>
      </w:r>
      <w:r>
        <w:rPr>
          <w:rFonts w:ascii="宋体" w:hAnsi="宋体" w:eastAsia="宋体" w:cs="宋体"/>
          <w:spacing w:val="4"/>
          <w:sz w:val="23"/>
          <w:szCs w:val="23"/>
        </w:rPr>
        <w:t xml:space="preserve">及 </w:t>
      </w:r>
      <w:r>
        <w:rPr>
          <w:rFonts w:ascii="Times New Roman" w:hAnsi="Times New Roman" w:eastAsia="Times New Roman" w:cs="Times New Roman"/>
          <w:sz w:val="23"/>
          <w:szCs w:val="23"/>
        </w:rPr>
        <w:t>H</w:t>
      </w:r>
      <w:r>
        <w:rPr>
          <w:rFonts w:ascii="Times New Roman" w:hAnsi="Times New Roman" w:eastAsia="Times New Roman" w:cs="Times New Roman"/>
          <w:spacing w:val="4"/>
          <w:position w:val="-1"/>
          <w:sz w:val="15"/>
          <w:szCs w:val="15"/>
        </w:rPr>
        <w:t xml:space="preserve">2 </w:t>
      </w:r>
      <w:r>
        <w:rPr>
          <w:rFonts w:ascii="Times New Roman" w:hAnsi="Times New Roman" w:eastAsia="Times New Roman" w:cs="Times New Roman"/>
          <w:sz w:val="23"/>
          <w:szCs w:val="23"/>
        </w:rPr>
        <w:t>S</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 xml:space="preserve">最大落地浓度均出现在下风向 </w:t>
      </w:r>
      <w:r>
        <w:rPr>
          <w:rFonts w:ascii="Times New Roman" w:hAnsi="Times New Roman" w:eastAsia="Times New Roman" w:cs="Times New Roman"/>
          <w:spacing w:val="4"/>
          <w:sz w:val="23"/>
          <w:szCs w:val="23"/>
        </w:rPr>
        <w:t>49</w:t>
      </w:r>
      <w:r>
        <w:rPr>
          <w:rFonts w:ascii="Times New Roman" w:hAnsi="Times New Roman" w:eastAsia="Times New Roman" w:cs="Times New Roman"/>
          <w:sz w:val="23"/>
          <w:szCs w:val="23"/>
        </w:rPr>
        <w:t>m</w:t>
      </w:r>
    </w:p>
    <w:p w14:paraId="383197BC">
      <w:pPr>
        <w:spacing w:before="143" w:line="380" w:lineRule="auto"/>
        <w:ind w:left="291" w:right="241" w:firstLine="10"/>
        <w:rPr>
          <w:rFonts w:ascii="宋体" w:hAnsi="宋体" w:eastAsia="宋体" w:cs="宋体"/>
          <w:sz w:val="23"/>
          <w:szCs w:val="23"/>
        </w:rPr>
      </w:pPr>
      <w:r>
        <w:rPr>
          <w:rFonts w:ascii="宋体" w:hAnsi="宋体" w:eastAsia="宋体" w:cs="宋体"/>
          <w:spacing w:val="1"/>
          <w:sz w:val="23"/>
          <w:szCs w:val="23"/>
        </w:rPr>
        <w:t xml:space="preserve">处，分别为 </w:t>
      </w:r>
      <w:r>
        <w:rPr>
          <w:rFonts w:ascii="Times New Roman" w:hAnsi="Times New Roman" w:eastAsia="Times New Roman" w:cs="Times New Roman"/>
          <w:spacing w:val="1"/>
          <w:sz w:val="23"/>
          <w:szCs w:val="23"/>
        </w:rPr>
        <w:t>1.9492</w:t>
      </w:r>
      <w:r>
        <w:rPr>
          <w:rFonts w:ascii="Times New Roman" w:hAnsi="Times New Roman" w:eastAsia="Times New Roman" w:cs="Times New Roman"/>
          <w:sz w:val="23"/>
          <w:szCs w:val="23"/>
        </w:rPr>
        <w:t>ug</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1"/>
          <w:position w:val="8"/>
          <w:sz w:val="15"/>
          <w:szCs w:val="15"/>
        </w:rPr>
        <w:t xml:space="preserve">3 </w:t>
      </w:r>
      <w:r>
        <w:rPr>
          <w:rFonts w:ascii="宋体" w:hAnsi="宋体" w:eastAsia="宋体" w:cs="宋体"/>
          <w:spacing w:val="1"/>
          <w:sz w:val="23"/>
          <w:szCs w:val="23"/>
        </w:rPr>
        <w:t>、</w:t>
      </w:r>
      <w:r>
        <w:rPr>
          <w:rFonts w:ascii="Times New Roman" w:hAnsi="Times New Roman" w:eastAsia="Times New Roman" w:cs="Times New Roman"/>
          <w:spacing w:val="1"/>
          <w:sz w:val="23"/>
          <w:szCs w:val="23"/>
        </w:rPr>
        <w:t>0.249316</w:t>
      </w:r>
      <w:r>
        <w:rPr>
          <w:rFonts w:ascii="Times New Roman" w:hAnsi="Times New Roman" w:eastAsia="Times New Roman" w:cs="Times New Roman"/>
          <w:sz w:val="23"/>
          <w:szCs w:val="23"/>
        </w:rPr>
        <w:t>ug</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1"/>
          <w:position w:val="8"/>
          <w:sz w:val="15"/>
          <w:szCs w:val="15"/>
        </w:rPr>
        <w:t xml:space="preserve">3 </w:t>
      </w:r>
      <w:r>
        <w:rPr>
          <w:rFonts w:ascii="宋体" w:hAnsi="宋体" w:eastAsia="宋体" w:cs="宋体"/>
          <w:spacing w:val="1"/>
          <w:sz w:val="23"/>
          <w:szCs w:val="23"/>
        </w:rPr>
        <w:t xml:space="preserve">，其中 </w:t>
      </w:r>
      <w:r>
        <w:rPr>
          <w:rFonts w:ascii="Times New Roman" w:hAnsi="Times New Roman" w:eastAsia="Times New Roman" w:cs="Times New Roman"/>
          <w:sz w:val="23"/>
          <w:szCs w:val="23"/>
        </w:rPr>
        <w:t>NH</w:t>
      </w:r>
      <w:r>
        <w:rPr>
          <w:rFonts w:ascii="Times New Roman" w:hAnsi="Times New Roman" w:eastAsia="Times New Roman" w:cs="Times New Roman"/>
          <w:spacing w:val="1"/>
          <w:position w:val="-1"/>
          <w:sz w:val="15"/>
          <w:szCs w:val="15"/>
        </w:rPr>
        <w:t xml:space="preserve">3 </w:t>
      </w:r>
      <w:r>
        <w:rPr>
          <w:rFonts w:ascii="宋体" w:hAnsi="宋体" w:eastAsia="宋体" w:cs="宋体"/>
          <w:spacing w:val="1"/>
          <w:sz w:val="23"/>
          <w:szCs w:val="23"/>
        </w:rPr>
        <w:t xml:space="preserve">最大落地浓度占标率为 </w:t>
      </w:r>
      <w:r>
        <w:rPr>
          <w:rFonts w:ascii="Times New Roman" w:hAnsi="Times New Roman" w:eastAsia="Times New Roman" w:cs="Times New Roman"/>
          <w:spacing w:val="1"/>
          <w:sz w:val="23"/>
          <w:szCs w:val="23"/>
        </w:rPr>
        <w:t>1.3</w:t>
      </w:r>
      <w:r>
        <w:rPr>
          <w:rFonts w:ascii="Times New Roman" w:hAnsi="Times New Roman" w:eastAsia="Times New Roman" w:cs="Times New Roman"/>
          <w:sz w:val="23"/>
          <w:szCs w:val="23"/>
        </w:rPr>
        <w:t>6%</w:t>
      </w:r>
      <w:r>
        <w:rPr>
          <w:rFonts w:ascii="宋体" w:hAnsi="宋体" w:eastAsia="宋体" w:cs="宋体"/>
          <w:sz w:val="23"/>
          <w:szCs w:val="23"/>
        </w:rPr>
        <w:t xml:space="preserve">， </w:t>
      </w:r>
      <w:r>
        <w:rPr>
          <w:rFonts w:ascii="Times New Roman" w:hAnsi="Times New Roman" w:eastAsia="Times New Roman" w:cs="Times New Roman"/>
          <w:sz w:val="23"/>
          <w:szCs w:val="23"/>
        </w:rPr>
        <w:t>H</w:t>
      </w:r>
      <w:r>
        <w:rPr>
          <w:rFonts w:ascii="Times New Roman" w:hAnsi="Times New Roman" w:eastAsia="Times New Roman" w:cs="Times New Roman"/>
          <w:spacing w:val="3"/>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 xml:space="preserve">最大落地浓度占标率为 </w:t>
      </w:r>
      <w:r>
        <w:rPr>
          <w:rFonts w:ascii="Times New Roman" w:hAnsi="Times New Roman" w:eastAsia="Times New Roman" w:cs="Times New Roman"/>
          <w:spacing w:val="3"/>
          <w:sz w:val="23"/>
          <w:szCs w:val="23"/>
        </w:rPr>
        <w:t xml:space="preserve">2.49316% </w:t>
      </w:r>
      <w:r>
        <w:rPr>
          <w:rFonts w:ascii="宋体" w:hAnsi="宋体" w:eastAsia="宋体" w:cs="宋体"/>
          <w:spacing w:val="3"/>
          <w:sz w:val="23"/>
          <w:szCs w:val="23"/>
        </w:rPr>
        <w:t>，项目大气评价等级为二级，</w:t>
      </w:r>
      <w:r>
        <w:rPr>
          <w:rFonts w:ascii="Times New Roman" w:hAnsi="Times New Roman" w:eastAsia="Times New Roman" w:cs="Times New Roman"/>
          <w:sz w:val="23"/>
          <w:szCs w:val="23"/>
        </w:rPr>
        <w:t>NH</w:t>
      </w:r>
      <w:r>
        <w:rPr>
          <w:rFonts w:ascii="Times New Roman" w:hAnsi="Times New Roman" w:eastAsia="Times New Roman" w:cs="Times New Roman"/>
          <w:spacing w:val="3"/>
          <w:position w:val="-1"/>
          <w:sz w:val="15"/>
          <w:szCs w:val="15"/>
        </w:rPr>
        <w:t xml:space="preserve">3 </w:t>
      </w:r>
      <w:r>
        <w:rPr>
          <w:rFonts w:ascii="宋体" w:hAnsi="宋体" w:eastAsia="宋体" w:cs="宋体"/>
          <w:spacing w:val="3"/>
          <w:sz w:val="23"/>
          <w:szCs w:val="23"/>
        </w:rPr>
        <w:t xml:space="preserve">及 </w:t>
      </w:r>
      <w:r>
        <w:rPr>
          <w:rFonts w:ascii="Times New Roman" w:hAnsi="Times New Roman" w:eastAsia="Times New Roman" w:cs="Times New Roman"/>
          <w:sz w:val="23"/>
          <w:szCs w:val="23"/>
        </w:rPr>
        <w:t>H</w:t>
      </w:r>
      <w:r>
        <w:rPr>
          <w:rFonts w:ascii="Times New Roman" w:hAnsi="Times New Roman" w:eastAsia="Times New Roman" w:cs="Times New Roman"/>
          <w:spacing w:val="3"/>
          <w:position w:val="-1"/>
          <w:sz w:val="15"/>
          <w:szCs w:val="15"/>
        </w:rPr>
        <w:t xml:space="preserve">2 </w:t>
      </w:r>
      <w:r>
        <w:rPr>
          <w:rFonts w:ascii="Times New Roman" w:hAnsi="Times New Roman" w:eastAsia="Times New Roman" w:cs="Times New Roman"/>
          <w:sz w:val="23"/>
          <w:szCs w:val="23"/>
        </w:rPr>
        <w:t>S</w:t>
      </w:r>
      <w:r>
        <w:rPr>
          <w:rFonts w:ascii="Times New Roman" w:hAnsi="Times New Roman" w:eastAsia="Times New Roman" w:cs="Times New Roman"/>
          <w:spacing w:val="2"/>
          <w:sz w:val="23"/>
          <w:szCs w:val="23"/>
        </w:rPr>
        <w:t xml:space="preserve"> </w:t>
      </w:r>
      <w:r>
        <w:rPr>
          <w:rFonts w:ascii="宋体" w:hAnsi="宋体" w:eastAsia="宋体" w:cs="宋体"/>
          <w:sz w:val="23"/>
          <w:szCs w:val="23"/>
        </w:rPr>
        <w:t xml:space="preserve">最大 </w:t>
      </w:r>
      <w:r>
        <w:rPr>
          <w:rFonts w:ascii="宋体" w:hAnsi="宋体" w:eastAsia="宋体" w:cs="宋体"/>
          <w:spacing w:val="10"/>
          <w:sz w:val="23"/>
          <w:szCs w:val="23"/>
        </w:rPr>
        <w:t>落</w:t>
      </w:r>
      <w:r>
        <w:rPr>
          <w:rFonts w:ascii="宋体" w:hAnsi="宋体" w:eastAsia="宋体" w:cs="宋体"/>
          <w:spacing w:val="9"/>
          <w:sz w:val="23"/>
          <w:szCs w:val="23"/>
        </w:rPr>
        <w:t>地</w:t>
      </w:r>
      <w:r>
        <w:rPr>
          <w:rFonts w:ascii="宋体" w:hAnsi="宋体" w:eastAsia="宋体" w:cs="宋体"/>
          <w:spacing w:val="5"/>
          <w:sz w:val="23"/>
          <w:szCs w:val="23"/>
        </w:rPr>
        <w:t>浓度满足《环境影响评价技术导则  大气环境》  (</w:t>
      </w:r>
      <w:r>
        <w:rPr>
          <w:rFonts w:ascii="Times New Roman" w:hAnsi="Times New Roman" w:eastAsia="Times New Roman" w:cs="Times New Roman"/>
          <w:sz w:val="23"/>
          <w:szCs w:val="23"/>
        </w:rPr>
        <w:t>HJ</w:t>
      </w:r>
      <w:r>
        <w:rPr>
          <w:rFonts w:ascii="Times New Roman" w:hAnsi="Times New Roman" w:eastAsia="Times New Roman" w:cs="Times New Roman"/>
          <w:spacing w:val="5"/>
          <w:sz w:val="23"/>
          <w:szCs w:val="23"/>
        </w:rPr>
        <w:t>2.2-2018</w:t>
      </w:r>
      <w:r>
        <w:rPr>
          <w:rFonts w:ascii="宋体" w:hAnsi="宋体" w:eastAsia="宋体" w:cs="宋体"/>
          <w:spacing w:val="5"/>
          <w:sz w:val="23"/>
          <w:szCs w:val="23"/>
        </w:rPr>
        <w:t xml:space="preserve">) 附录 </w:t>
      </w:r>
      <w:r>
        <w:rPr>
          <w:rFonts w:ascii="Times New Roman" w:hAnsi="Times New Roman" w:eastAsia="Times New Roman" w:cs="Times New Roman"/>
          <w:sz w:val="23"/>
          <w:szCs w:val="23"/>
        </w:rPr>
        <w:t>D</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中的环</w:t>
      </w:r>
      <w:r>
        <w:rPr>
          <w:rFonts w:ascii="宋体" w:hAnsi="宋体" w:eastAsia="宋体" w:cs="宋体"/>
          <w:sz w:val="23"/>
          <w:szCs w:val="23"/>
        </w:rPr>
        <w:t xml:space="preserve"> </w:t>
      </w:r>
      <w:r>
        <w:rPr>
          <w:rFonts w:ascii="宋体" w:hAnsi="宋体" w:eastAsia="宋体" w:cs="宋体"/>
          <w:spacing w:val="10"/>
          <w:sz w:val="23"/>
          <w:szCs w:val="23"/>
        </w:rPr>
        <w:t xml:space="preserve">境空气质量浓度参考限值要求。同时结合外环境关系可知，本项目下风向 </w:t>
      </w:r>
      <w:r>
        <w:rPr>
          <w:rFonts w:ascii="Times New Roman" w:hAnsi="Times New Roman" w:eastAsia="Times New Roman" w:cs="Times New Roman"/>
          <w:spacing w:val="10"/>
          <w:sz w:val="23"/>
          <w:szCs w:val="23"/>
        </w:rPr>
        <w:t>131</w:t>
      </w:r>
      <w:r>
        <w:rPr>
          <w:rFonts w:ascii="Times New Roman" w:hAnsi="Times New Roman" w:eastAsia="Times New Roman" w:cs="Times New Roman"/>
          <w:sz w:val="23"/>
          <w:szCs w:val="23"/>
        </w:rPr>
        <w:t>m</w:t>
      </w:r>
      <w:r>
        <w:rPr>
          <w:rFonts w:ascii="Times New Roman" w:hAnsi="Times New Roman" w:eastAsia="Times New Roman" w:cs="Times New Roman"/>
          <w:spacing w:val="10"/>
          <w:sz w:val="23"/>
          <w:szCs w:val="23"/>
        </w:rPr>
        <w:t xml:space="preserve"> </w:t>
      </w:r>
      <w:r>
        <w:rPr>
          <w:rFonts w:ascii="宋体" w:hAnsi="宋体" w:eastAsia="宋体" w:cs="宋体"/>
          <w:spacing w:val="5"/>
          <w:sz w:val="23"/>
          <w:szCs w:val="23"/>
        </w:rPr>
        <w:t>处</w:t>
      </w:r>
      <w:r>
        <w:rPr>
          <w:rFonts w:ascii="宋体" w:hAnsi="宋体" w:eastAsia="宋体" w:cs="宋体"/>
          <w:sz w:val="23"/>
          <w:szCs w:val="23"/>
        </w:rPr>
        <w:t xml:space="preserve"> </w:t>
      </w:r>
      <w:r>
        <w:rPr>
          <w:rFonts w:ascii="宋体" w:hAnsi="宋体" w:eastAsia="宋体" w:cs="宋体"/>
          <w:spacing w:val="8"/>
          <w:sz w:val="23"/>
          <w:szCs w:val="23"/>
        </w:rPr>
        <w:t>无居民点分布</w:t>
      </w:r>
      <w:r>
        <w:rPr>
          <w:rFonts w:ascii="宋体" w:hAnsi="宋体" w:eastAsia="宋体" w:cs="宋体"/>
          <w:spacing w:val="7"/>
          <w:sz w:val="23"/>
          <w:szCs w:val="23"/>
        </w:rPr>
        <w:t>。</w:t>
      </w:r>
    </w:p>
    <w:p w14:paraId="6196E914">
      <w:pPr>
        <w:spacing w:before="5" w:line="375" w:lineRule="auto"/>
        <w:ind w:left="297" w:right="281" w:firstLine="482"/>
        <w:rPr>
          <w:rFonts w:ascii="宋体" w:hAnsi="宋体" w:eastAsia="宋体" w:cs="宋体"/>
          <w:sz w:val="23"/>
          <w:szCs w:val="23"/>
        </w:rPr>
      </w:pPr>
      <w:r>
        <w:rPr>
          <w:rFonts w:ascii="宋体" w:hAnsi="宋体" w:eastAsia="宋体" w:cs="宋体"/>
          <w:spacing w:val="20"/>
          <w:sz w:val="23"/>
          <w:szCs w:val="23"/>
        </w:rPr>
        <w:t>综</w:t>
      </w:r>
      <w:r>
        <w:rPr>
          <w:rFonts w:ascii="宋体" w:hAnsi="宋体" w:eastAsia="宋体" w:cs="宋体"/>
          <w:spacing w:val="14"/>
          <w:sz w:val="23"/>
          <w:szCs w:val="23"/>
        </w:rPr>
        <w:t>上</w:t>
      </w:r>
      <w:r>
        <w:rPr>
          <w:rFonts w:ascii="宋体" w:hAnsi="宋体" w:eastAsia="宋体" w:cs="宋体"/>
          <w:spacing w:val="10"/>
          <w:sz w:val="23"/>
          <w:szCs w:val="23"/>
        </w:rPr>
        <w:t>，项目所在地常年主导风向为北风。项目周围最近敏感点为厂区东侧的周</w:t>
      </w:r>
      <w:r>
        <w:rPr>
          <w:rFonts w:ascii="宋体" w:hAnsi="宋体" w:eastAsia="宋体" w:cs="宋体"/>
          <w:sz w:val="23"/>
          <w:szCs w:val="23"/>
        </w:rPr>
        <w:t xml:space="preserve"> </w:t>
      </w:r>
      <w:r>
        <w:rPr>
          <w:rFonts w:ascii="宋体" w:hAnsi="宋体" w:eastAsia="宋体" w:cs="宋体"/>
          <w:spacing w:val="6"/>
          <w:sz w:val="23"/>
          <w:szCs w:val="23"/>
        </w:rPr>
        <w:t xml:space="preserve">坡村 </w:t>
      </w:r>
      <w:r>
        <w:rPr>
          <w:rFonts w:ascii="Times New Roman" w:hAnsi="Times New Roman" w:eastAsia="Times New Roman" w:cs="Times New Roman"/>
          <w:spacing w:val="6"/>
          <w:sz w:val="23"/>
          <w:szCs w:val="23"/>
        </w:rPr>
        <w:t xml:space="preserve">7 </w:t>
      </w:r>
      <w:r>
        <w:rPr>
          <w:rFonts w:ascii="宋体" w:hAnsi="宋体" w:eastAsia="宋体" w:cs="宋体"/>
          <w:spacing w:val="6"/>
          <w:sz w:val="23"/>
          <w:szCs w:val="23"/>
        </w:rPr>
        <w:t>组，</w:t>
      </w:r>
      <w:r>
        <w:rPr>
          <w:rFonts w:ascii="宋体" w:hAnsi="宋体" w:eastAsia="宋体" w:cs="宋体"/>
          <w:spacing w:val="5"/>
          <w:sz w:val="23"/>
          <w:szCs w:val="23"/>
        </w:rPr>
        <w:t>与</w:t>
      </w:r>
      <w:r>
        <w:rPr>
          <w:rFonts w:ascii="宋体" w:hAnsi="宋体" w:eastAsia="宋体" w:cs="宋体"/>
          <w:spacing w:val="3"/>
          <w:sz w:val="23"/>
          <w:szCs w:val="23"/>
        </w:rPr>
        <w:t xml:space="preserve">项目距离约为 </w:t>
      </w:r>
      <w:r>
        <w:rPr>
          <w:rFonts w:ascii="Times New Roman" w:hAnsi="Times New Roman" w:eastAsia="Times New Roman" w:cs="Times New Roman"/>
          <w:spacing w:val="3"/>
          <w:sz w:val="23"/>
          <w:szCs w:val="23"/>
        </w:rPr>
        <w:t>175</w:t>
      </w:r>
      <w:r>
        <w:rPr>
          <w:rFonts w:ascii="Times New Roman" w:hAnsi="Times New Roman" w:eastAsia="Times New Roman" w:cs="Times New Roman"/>
          <w:sz w:val="23"/>
          <w:szCs w:val="23"/>
        </w:rPr>
        <w:t>m</w:t>
      </w:r>
      <w:r>
        <w:rPr>
          <w:rFonts w:ascii="宋体" w:hAnsi="宋体" w:eastAsia="宋体" w:cs="宋体"/>
          <w:spacing w:val="3"/>
          <w:sz w:val="23"/>
          <w:szCs w:val="23"/>
        </w:rPr>
        <w:t>，处于常年年主导风向的侧风向；评价范围内厂区</w:t>
      </w:r>
      <w:r>
        <w:rPr>
          <w:rFonts w:ascii="宋体" w:hAnsi="宋体" w:eastAsia="宋体" w:cs="宋体"/>
          <w:sz w:val="23"/>
          <w:szCs w:val="23"/>
        </w:rPr>
        <w:t xml:space="preserve"> </w:t>
      </w:r>
      <w:r>
        <w:rPr>
          <w:rFonts w:ascii="宋体" w:hAnsi="宋体" w:eastAsia="宋体" w:cs="宋体"/>
          <w:spacing w:val="20"/>
          <w:sz w:val="23"/>
          <w:szCs w:val="23"/>
        </w:rPr>
        <w:t>下</w:t>
      </w:r>
      <w:r>
        <w:rPr>
          <w:rFonts w:ascii="宋体" w:hAnsi="宋体" w:eastAsia="宋体" w:cs="宋体"/>
          <w:spacing w:val="16"/>
          <w:sz w:val="23"/>
          <w:szCs w:val="23"/>
        </w:rPr>
        <w:t>风</w:t>
      </w:r>
      <w:r>
        <w:rPr>
          <w:rFonts w:ascii="宋体" w:hAnsi="宋体" w:eastAsia="宋体" w:cs="宋体"/>
          <w:spacing w:val="10"/>
          <w:sz w:val="23"/>
          <w:szCs w:val="23"/>
        </w:rPr>
        <w:t>向无居民点，项目厂区与周坡村、双桥村之间有山坡、树林阻隔。根据预测统</w:t>
      </w:r>
      <w:r>
        <w:rPr>
          <w:rFonts w:ascii="宋体" w:hAnsi="宋体" w:eastAsia="宋体" w:cs="宋体"/>
          <w:sz w:val="23"/>
          <w:szCs w:val="23"/>
        </w:rPr>
        <w:t xml:space="preserve"> </w:t>
      </w:r>
      <w:r>
        <w:rPr>
          <w:rFonts w:ascii="宋体" w:hAnsi="宋体" w:eastAsia="宋体" w:cs="宋体"/>
          <w:spacing w:val="6"/>
          <w:sz w:val="23"/>
          <w:szCs w:val="23"/>
        </w:rPr>
        <w:t xml:space="preserve">计结果，项目正常排放下 </w:t>
      </w:r>
      <w:r>
        <w:rPr>
          <w:rFonts w:ascii="Times New Roman" w:hAnsi="Times New Roman" w:eastAsia="Times New Roman" w:cs="Times New Roman"/>
          <w:sz w:val="23"/>
          <w:szCs w:val="23"/>
        </w:rPr>
        <w:t>NH</w:t>
      </w:r>
      <w:r>
        <w:rPr>
          <w:rFonts w:ascii="Times New Roman" w:hAnsi="Times New Roman" w:eastAsia="Times New Roman" w:cs="Times New Roman"/>
          <w:spacing w:val="6"/>
          <w:sz w:val="23"/>
          <w:szCs w:val="23"/>
        </w:rPr>
        <w:t xml:space="preserve"> </w:t>
      </w:r>
      <w:r>
        <w:rPr>
          <w:rFonts w:ascii="Times New Roman" w:hAnsi="Times New Roman" w:eastAsia="Times New Roman" w:cs="Times New Roman"/>
          <w:spacing w:val="6"/>
          <w:position w:val="-1"/>
          <w:sz w:val="15"/>
          <w:szCs w:val="15"/>
        </w:rPr>
        <w:t xml:space="preserve">3 </w:t>
      </w:r>
      <w:r>
        <w:rPr>
          <w:rFonts w:ascii="宋体" w:hAnsi="宋体" w:eastAsia="宋体" w:cs="宋体"/>
          <w:spacing w:val="6"/>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6"/>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污染物浓度贡献值的最大占标率＜</w:t>
      </w:r>
      <w:r>
        <w:rPr>
          <w:rFonts w:ascii="Times New Roman" w:hAnsi="Times New Roman" w:eastAsia="Times New Roman" w:cs="Times New Roman"/>
          <w:spacing w:val="6"/>
          <w:sz w:val="23"/>
          <w:szCs w:val="23"/>
        </w:rPr>
        <w:t xml:space="preserve">10% </w:t>
      </w:r>
      <w:r>
        <w:rPr>
          <w:rFonts w:ascii="宋体" w:hAnsi="宋体" w:eastAsia="宋体" w:cs="宋体"/>
          <w:spacing w:val="6"/>
          <w:sz w:val="23"/>
          <w:szCs w:val="23"/>
        </w:rPr>
        <w:t>，养</w:t>
      </w:r>
      <w:r>
        <w:rPr>
          <w:rFonts w:ascii="宋体" w:hAnsi="宋体" w:eastAsia="宋体" w:cs="宋体"/>
          <w:spacing w:val="4"/>
          <w:sz w:val="23"/>
          <w:szCs w:val="23"/>
        </w:rPr>
        <w:t>殖</w:t>
      </w:r>
      <w:r>
        <w:rPr>
          <w:rFonts w:ascii="宋体" w:hAnsi="宋体" w:eastAsia="宋体" w:cs="宋体"/>
          <w:sz w:val="23"/>
          <w:szCs w:val="23"/>
        </w:rPr>
        <w:t xml:space="preserve"> </w:t>
      </w:r>
      <w:r>
        <w:rPr>
          <w:rFonts w:ascii="宋体" w:hAnsi="宋体" w:eastAsia="宋体" w:cs="宋体"/>
          <w:spacing w:val="10"/>
          <w:sz w:val="23"/>
          <w:szCs w:val="23"/>
        </w:rPr>
        <w:t>区</w:t>
      </w:r>
      <w:r>
        <w:rPr>
          <w:rFonts w:ascii="宋体" w:hAnsi="宋体" w:eastAsia="宋体" w:cs="宋体"/>
          <w:spacing w:val="8"/>
          <w:sz w:val="23"/>
          <w:szCs w:val="23"/>
        </w:rPr>
        <w:t>恶</w:t>
      </w:r>
      <w:r>
        <w:rPr>
          <w:rFonts w:ascii="宋体" w:hAnsi="宋体" w:eastAsia="宋体" w:cs="宋体"/>
          <w:spacing w:val="5"/>
          <w:sz w:val="23"/>
          <w:szCs w:val="23"/>
        </w:rPr>
        <w:t xml:space="preserve">臭废气中 </w:t>
      </w:r>
      <w:r>
        <w:rPr>
          <w:rFonts w:ascii="Times New Roman" w:hAnsi="Times New Roman" w:eastAsia="Times New Roman" w:cs="Times New Roman"/>
          <w:sz w:val="23"/>
          <w:szCs w:val="23"/>
        </w:rPr>
        <w:t>NH</w:t>
      </w:r>
      <w:r>
        <w:rPr>
          <w:rFonts w:ascii="Times New Roman" w:hAnsi="Times New Roman" w:eastAsia="Times New Roman" w:cs="Times New Roman"/>
          <w:spacing w:val="5"/>
          <w:position w:val="-1"/>
          <w:sz w:val="15"/>
          <w:szCs w:val="15"/>
        </w:rPr>
        <w:t xml:space="preserve">3 </w:t>
      </w:r>
      <w:r>
        <w:rPr>
          <w:rFonts w:ascii="宋体" w:hAnsi="宋体" w:eastAsia="宋体" w:cs="宋体"/>
          <w:spacing w:val="5"/>
          <w:sz w:val="23"/>
          <w:szCs w:val="23"/>
        </w:rPr>
        <w:t xml:space="preserve">和 </w:t>
      </w:r>
      <w:r>
        <w:rPr>
          <w:rFonts w:ascii="Times New Roman" w:hAnsi="Times New Roman" w:eastAsia="Times New Roman" w:cs="Times New Roman"/>
          <w:sz w:val="23"/>
          <w:szCs w:val="23"/>
        </w:rPr>
        <w:t>H</w:t>
      </w:r>
      <w:r>
        <w:rPr>
          <w:rFonts w:ascii="Times New Roman" w:hAnsi="Times New Roman" w:eastAsia="Times New Roman" w:cs="Times New Roman"/>
          <w:spacing w:val="5"/>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的在周坡村、双桥村处的落地浓度低于《环境影响评价技</w:t>
      </w:r>
      <w:r>
        <w:rPr>
          <w:rFonts w:ascii="宋体" w:hAnsi="宋体" w:eastAsia="宋体" w:cs="宋体"/>
          <w:sz w:val="23"/>
          <w:szCs w:val="23"/>
        </w:rPr>
        <w:t xml:space="preserve"> </w:t>
      </w:r>
      <w:r>
        <w:rPr>
          <w:rFonts w:ascii="宋体" w:hAnsi="宋体" w:eastAsia="宋体" w:cs="宋体"/>
          <w:spacing w:val="10"/>
          <w:sz w:val="23"/>
          <w:szCs w:val="23"/>
        </w:rPr>
        <w:t>术</w:t>
      </w:r>
      <w:r>
        <w:rPr>
          <w:rFonts w:ascii="宋体" w:hAnsi="宋体" w:eastAsia="宋体" w:cs="宋体"/>
          <w:spacing w:val="8"/>
          <w:sz w:val="23"/>
          <w:szCs w:val="23"/>
        </w:rPr>
        <w:t>导</w:t>
      </w:r>
      <w:r>
        <w:rPr>
          <w:rFonts w:ascii="宋体" w:hAnsi="宋体" w:eastAsia="宋体" w:cs="宋体"/>
          <w:spacing w:val="5"/>
          <w:sz w:val="23"/>
          <w:szCs w:val="23"/>
        </w:rPr>
        <w:t>则  大气环境》  (</w:t>
      </w:r>
      <w:r>
        <w:rPr>
          <w:rFonts w:ascii="Times New Roman" w:hAnsi="Times New Roman" w:eastAsia="Times New Roman" w:cs="Times New Roman"/>
          <w:sz w:val="23"/>
          <w:szCs w:val="23"/>
        </w:rPr>
        <w:t>HJ</w:t>
      </w:r>
      <w:r>
        <w:rPr>
          <w:rFonts w:ascii="Times New Roman" w:hAnsi="Times New Roman" w:eastAsia="Times New Roman" w:cs="Times New Roman"/>
          <w:spacing w:val="5"/>
          <w:sz w:val="23"/>
          <w:szCs w:val="23"/>
        </w:rPr>
        <w:t>2.2-2018</w:t>
      </w:r>
      <w:r>
        <w:rPr>
          <w:rFonts w:ascii="宋体" w:hAnsi="宋体" w:eastAsia="宋体" w:cs="宋体"/>
          <w:spacing w:val="5"/>
          <w:sz w:val="23"/>
          <w:szCs w:val="23"/>
        </w:rPr>
        <w:t xml:space="preserve">) 附录 </w:t>
      </w:r>
      <w:r>
        <w:rPr>
          <w:rFonts w:ascii="Times New Roman" w:hAnsi="Times New Roman" w:eastAsia="Times New Roman" w:cs="Times New Roman"/>
          <w:sz w:val="23"/>
          <w:szCs w:val="23"/>
        </w:rPr>
        <w:t>D</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中的环境空气质量浓度参考限值要求，</w:t>
      </w:r>
      <w:r>
        <w:rPr>
          <w:rFonts w:ascii="宋体" w:hAnsi="宋体" w:eastAsia="宋体" w:cs="宋体"/>
          <w:sz w:val="23"/>
          <w:szCs w:val="23"/>
        </w:rPr>
        <w:t xml:space="preserve"> </w:t>
      </w:r>
      <w:r>
        <w:rPr>
          <w:rFonts w:ascii="宋体" w:hAnsi="宋体" w:eastAsia="宋体" w:cs="宋体"/>
          <w:spacing w:val="9"/>
          <w:sz w:val="23"/>
          <w:szCs w:val="23"/>
        </w:rPr>
        <w:t>因此项目恶臭对周边敏感点影响不大</w:t>
      </w:r>
      <w:r>
        <w:rPr>
          <w:rFonts w:ascii="宋体" w:hAnsi="宋体" w:eastAsia="宋体" w:cs="宋体"/>
          <w:spacing w:val="6"/>
          <w:sz w:val="23"/>
          <w:szCs w:val="23"/>
        </w:rPr>
        <w:t>。</w:t>
      </w:r>
    </w:p>
    <w:p w14:paraId="75787FAD">
      <w:pPr>
        <w:spacing w:line="227" w:lineRule="auto"/>
        <w:ind w:left="788"/>
        <w:rPr>
          <w:rFonts w:ascii="宋体" w:hAnsi="宋体" w:eastAsia="宋体" w:cs="宋体"/>
          <w:sz w:val="23"/>
          <w:szCs w:val="23"/>
        </w:rPr>
      </w:pP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7"/>
          <w:sz w:val="23"/>
          <w:szCs w:val="23"/>
        </w:rPr>
        <w:t>6</w:t>
      </w:r>
      <w:r>
        <w:rPr>
          <w:rFonts w:ascii="宋体" w:hAnsi="宋体" w:eastAsia="宋体" w:cs="宋体"/>
          <w:spacing w:val="17"/>
          <w:sz w:val="23"/>
          <w:szCs w:val="23"/>
          <w14:textOutline w14:w="4356" w14:cap="sq" w14:cmpd="sng" w14:algn="ctr">
            <w14:solidFill>
              <w14:srgbClr w14:val="000000"/>
            </w14:solidFill>
            <w14:prstDash w14:val="solid"/>
            <w14:bevel/>
          </w14:textOutline>
        </w:rPr>
        <w:t>)</w:t>
      </w:r>
      <w:r>
        <w:rPr>
          <w:rFonts w:ascii="宋体" w:hAnsi="宋体" w:eastAsia="宋体" w:cs="宋体"/>
          <w:spacing w:val="17"/>
          <w:sz w:val="23"/>
          <w:szCs w:val="23"/>
        </w:rPr>
        <w:t xml:space="preserve"> </w:t>
      </w:r>
      <w:r>
        <w:rPr>
          <w:rFonts w:ascii="宋体" w:hAnsi="宋体" w:eastAsia="宋体" w:cs="宋体"/>
          <w:spacing w:val="17"/>
          <w:sz w:val="23"/>
          <w:szCs w:val="23"/>
          <w14:textOutline w14:w="4356" w14:cap="sq" w14:cmpd="sng" w14:algn="ctr">
            <w14:solidFill>
              <w14:srgbClr w14:val="000000"/>
            </w14:solidFill>
            <w14:prstDash w14:val="solid"/>
            <w14:bevel/>
          </w14:textOutline>
        </w:rPr>
        <w:t>臭气浓度影响分析</w:t>
      </w:r>
    </w:p>
    <w:p w14:paraId="2AC700C4">
      <w:pPr>
        <w:spacing w:before="142" w:line="380" w:lineRule="auto"/>
        <w:ind w:left="297" w:right="283" w:firstLine="487"/>
        <w:rPr>
          <w:rFonts w:ascii="宋体" w:hAnsi="宋体" w:eastAsia="宋体" w:cs="宋体"/>
          <w:sz w:val="23"/>
          <w:szCs w:val="23"/>
        </w:rPr>
      </w:pPr>
      <w:r>
        <w:rPr>
          <w:rFonts w:ascii="宋体" w:hAnsi="宋体" w:eastAsia="宋体" w:cs="宋体"/>
          <w:spacing w:val="7"/>
          <w:sz w:val="23"/>
          <w:szCs w:val="23"/>
        </w:rPr>
        <w:t>营运期，项目采用</w:t>
      </w:r>
      <w:r>
        <w:rPr>
          <w:rFonts w:ascii="Times New Roman" w:hAnsi="Times New Roman" w:eastAsia="Times New Roman" w:cs="Times New Roman"/>
          <w:spacing w:val="7"/>
          <w:sz w:val="23"/>
          <w:szCs w:val="23"/>
        </w:rPr>
        <w:t>“</w:t>
      </w:r>
      <w:r>
        <w:rPr>
          <w:rFonts w:ascii="宋体" w:hAnsi="宋体" w:eastAsia="宋体" w:cs="宋体"/>
          <w:spacing w:val="7"/>
          <w:sz w:val="23"/>
          <w:szCs w:val="23"/>
        </w:rPr>
        <w:t>高架网床</w:t>
      </w:r>
      <w:r>
        <w:rPr>
          <w:rFonts w:ascii="Times New Roman" w:hAnsi="Times New Roman" w:eastAsia="Times New Roman" w:cs="Times New Roman"/>
          <w:spacing w:val="7"/>
          <w:sz w:val="23"/>
          <w:szCs w:val="23"/>
        </w:rPr>
        <w:t>+</w:t>
      </w:r>
      <w:r>
        <w:rPr>
          <w:rFonts w:ascii="宋体" w:hAnsi="宋体" w:eastAsia="宋体" w:cs="宋体"/>
          <w:spacing w:val="7"/>
          <w:sz w:val="23"/>
          <w:szCs w:val="23"/>
        </w:rPr>
        <w:t>益生菌</w:t>
      </w:r>
      <w:r>
        <w:rPr>
          <w:rFonts w:ascii="Times New Roman" w:hAnsi="Times New Roman" w:eastAsia="Times New Roman" w:cs="Times New Roman"/>
          <w:spacing w:val="7"/>
          <w:sz w:val="23"/>
          <w:szCs w:val="23"/>
        </w:rPr>
        <w:t>”</w:t>
      </w:r>
      <w:r>
        <w:rPr>
          <w:rFonts w:ascii="宋体" w:hAnsi="宋体" w:eastAsia="宋体" w:cs="宋体"/>
          <w:spacing w:val="7"/>
          <w:sz w:val="23"/>
          <w:szCs w:val="23"/>
        </w:rPr>
        <w:t>养殖技术，高架网床具有干燥、能够保</w:t>
      </w:r>
      <w:r>
        <w:rPr>
          <w:rFonts w:ascii="宋体" w:hAnsi="宋体" w:eastAsia="宋体" w:cs="宋体"/>
          <w:spacing w:val="3"/>
          <w:sz w:val="23"/>
          <w:szCs w:val="23"/>
        </w:rPr>
        <w:t>持</w:t>
      </w:r>
      <w:r>
        <w:rPr>
          <w:rFonts w:ascii="宋体" w:hAnsi="宋体" w:eastAsia="宋体" w:cs="宋体"/>
          <w:sz w:val="23"/>
          <w:szCs w:val="23"/>
        </w:rPr>
        <w:t xml:space="preserve"> </w:t>
      </w:r>
      <w:r>
        <w:rPr>
          <w:rFonts w:ascii="宋体" w:hAnsi="宋体" w:eastAsia="宋体" w:cs="宋体"/>
          <w:spacing w:val="11"/>
          <w:sz w:val="23"/>
          <w:szCs w:val="23"/>
        </w:rPr>
        <w:t>猪舍内空气流通的特点；</w:t>
      </w:r>
      <w:r>
        <w:rPr>
          <w:rFonts w:ascii="Times New Roman" w:hAnsi="Times New Roman" w:eastAsia="Times New Roman" w:cs="Times New Roman"/>
          <w:spacing w:val="11"/>
          <w:sz w:val="23"/>
          <w:szCs w:val="23"/>
        </w:rPr>
        <w:t>“</w:t>
      </w:r>
      <w:r>
        <w:rPr>
          <w:rFonts w:ascii="宋体" w:hAnsi="宋体" w:eastAsia="宋体" w:cs="宋体"/>
          <w:spacing w:val="11"/>
          <w:sz w:val="23"/>
          <w:szCs w:val="23"/>
        </w:rPr>
        <w:t>微生物益生菌</w:t>
      </w:r>
      <w:r>
        <w:rPr>
          <w:rFonts w:ascii="Times New Roman" w:hAnsi="Times New Roman" w:eastAsia="Times New Roman" w:cs="Times New Roman"/>
          <w:spacing w:val="11"/>
          <w:sz w:val="23"/>
          <w:szCs w:val="23"/>
        </w:rPr>
        <w:t>”</w:t>
      </w:r>
      <w:r>
        <w:rPr>
          <w:rFonts w:ascii="宋体" w:hAnsi="宋体" w:eastAsia="宋体" w:cs="宋体"/>
          <w:spacing w:val="11"/>
          <w:sz w:val="23"/>
          <w:szCs w:val="23"/>
        </w:rPr>
        <w:t>技术是人为参与和利用生态系统的食物</w:t>
      </w:r>
      <w:r>
        <w:rPr>
          <w:rFonts w:ascii="宋体" w:hAnsi="宋体" w:eastAsia="宋体" w:cs="宋体"/>
          <w:spacing w:val="6"/>
          <w:sz w:val="23"/>
          <w:szCs w:val="23"/>
        </w:rPr>
        <w:t>链</w:t>
      </w:r>
      <w:r>
        <w:rPr>
          <w:rFonts w:ascii="宋体" w:hAnsi="宋体" w:eastAsia="宋体" w:cs="宋体"/>
          <w:sz w:val="23"/>
          <w:szCs w:val="23"/>
        </w:rPr>
        <w:t xml:space="preserve"> </w:t>
      </w:r>
      <w:r>
        <w:rPr>
          <w:rFonts w:ascii="宋体" w:hAnsi="宋体" w:eastAsia="宋体" w:cs="宋体"/>
          <w:spacing w:val="20"/>
          <w:sz w:val="23"/>
          <w:szCs w:val="23"/>
        </w:rPr>
        <w:t>原</w:t>
      </w:r>
      <w:r>
        <w:rPr>
          <w:rFonts w:ascii="宋体" w:hAnsi="宋体" w:eastAsia="宋体" w:cs="宋体"/>
          <w:spacing w:val="16"/>
          <w:sz w:val="23"/>
          <w:szCs w:val="23"/>
        </w:rPr>
        <w:t>理</w:t>
      </w:r>
      <w:r>
        <w:rPr>
          <w:rFonts w:ascii="宋体" w:hAnsi="宋体" w:eastAsia="宋体" w:cs="宋体"/>
          <w:spacing w:val="10"/>
          <w:sz w:val="23"/>
          <w:szCs w:val="23"/>
        </w:rPr>
        <w:t>、物质循环再生原理和物质共生原理，在猪饲料中长期添加微生物益生菌，有</w:t>
      </w:r>
      <w:r>
        <w:rPr>
          <w:rFonts w:ascii="宋体" w:hAnsi="宋体" w:eastAsia="宋体" w:cs="宋体"/>
          <w:sz w:val="23"/>
          <w:szCs w:val="23"/>
        </w:rPr>
        <w:t xml:space="preserve"> </w:t>
      </w:r>
      <w:r>
        <w:rPr>
          <w:rFonts w:ascii="宋体" w:hAnsi="宋体" w:eastAsia="宋体" w:cs="宋体"/>
          <w:spacing w:val="20"/>
          <w:sz w:val="23"/>
          <w:szCs w:val="23"/>
        </w:rPr>
        <w:t>益</w:t>
      </w:r>
      <w:r>
        <w:rPr>
          <w:rFonts w:ascii="宋体" w:hAnsi="宋体" w:eastAsia="宋体" w:cs="宋体"/>
          <w:spacing w:val="16"/>
          <w:sz w:val="23"/>
          <w:szCs w:val="23"/>
        </w:rPr>
        <w:t>微</w:t>
      </w:r>
      <w:r>
        <w:rPr>
          <w:rFonts w:ascii="宋体" w:hAnsi="宋体" w:eastAsia="宋体" w:cs="宋体"/>
          <w:spacing w:val="10"/>
          <w:sz w:val="23"/>
          <w:szCs w:val="23"/>
        </w:rPr>
        <w:t>生物在猪大肠中产生氨基酸、氧化酶及硫化物分解酶，将产生臭气的吲哚类化</w:t>
      </w:r>
      <w:r>
        <w:rPr>
          <w:rFonts w:ascii="宋体" w:hAnsi="宋体" w:eastAsia="宋体" w:cs="宋体"/>
          <w:sz w:val="23"/>
          <w:szCs w:val="23"/>
        </w:rPr>
        <w:t xml:space="preserve"> </w:t>
      </w:r>
      <w:r>
        <w:rPr>
          <w:rFonts w:ascii="宋体" w:hAnsi="宋体" w:eastAsia="宋体" w:cs="宋体"/>
          <w:spacing w:val="20"/>
          <w:sz w:val="23"/>
          <w:szCs w:val="23"/>
        </w:rPr>
        <w:t>合</w:t>
      </w:r>
      <w:r>
        <w:rPr>
          <w:rFonts w:ascii="宋体" w:hAnsi="宋体" w:eastAsia="宋体" w:cs="宋体"/>
          <w:spacing w:val="16"/>
          <w:sz w:val="23"/>
          <w:szCs w:val="23"/>
        </w:rPr>
        <w:t>物</w:t>
      </w:r>
      <w:r>
        <w:rPr>
          <w:rFonts w:ascii="宋体" w:hAnsi="宋体" w:eastAsia="宋体" w:cs="宋体"/>
          <w:spacing w:val="10"/>
          <w:sz w:val="23"/>
          <w:szCs w:val="23"/>
        </w:rPr>
        <w:t>完全氧化，将硫化氢氧化成无臭无毒的物质。此外，通过饲料配方的改良、选</w:t>
      </w:r>
      <w:r>
        <w:rPr>
          <w:rFonts w:ascii="宋体" w:hAnsi="宋体" w:eastAsia="宋体" w:cs="宋体"/>
          <w:sz w:val="23"/>
          <w:szCs w:val="23"/>
        </w:rPr>
        <w:t xml:space="preserve"> </w:t>
      </w:r>
      <w:r>
        <w:rPr>
          <w:rFonts w:ascii="宋体" w:hAnsi="宋体" w:eastAsia="宋体" w:cs="宋体"/>
          <w:spacing w:val="20"/>
          <w:sz w:val="23"/>
          <w:szCs w:val="23"/>
        </w:rPr>
        <w:t>择</w:t>
      </w:r>
      <w:r>
        <w:rPr>
          <w:rFonts w:ascii="宋体" w:hAnsi="宋体" w:eastAsia="宋体" w:cs="宋体"/>
          <w:spacing w:val="16"/>
          <w:sz w:val="23"/>
          <w:szCs w:val="23"/>
        </w:rPr>
        <w:t>优</w:t>
      </w:r>
      <w:r>
        <w:rPr>
          <w:rFonts w:ascii="宋体" w:hAnsi="宋体" w:eastAsia="宋体" w:cs="宋体"/>
          <w:spacing w:val="10"/>
          <w:sz w:val="23"/>
          <w:szCs w:val="23"/>
        </w:rPr>
        <w:t>质的饲料原料、科学配比饲料、喷洒除臭剂抑制猪粪的氨气挥发、种植对空气</w:t>
      </w:r>
      <w:r>
        <w:rPr>
          <w:rFonts w:ascii="宋体" w:hAnsi="宋体" w:eastAsia="宋体" w:cs="宋体"/>
          <w:sz w:val="23"/>
          <w:szCs w:val="23"/>
        </w:rPr>
        <w:t xml:space="preserve"> </w:t>
      </w:r>
      <w:r>
        <w:rPr>
          <w:rFonts w:ascii="宋体" w:hAnsi="宋体" w:eastAsia="宋体" w:cs="宋体"/>
          <w:spacing w:val="20"/>
          <w:sz w:val="23"/>
          <w:szCs w:val="23"/>
        </w:rPr>
        <w:t>净</w:t>
      </w:r>
      <w:r>
        <w:rPr>
          <w:rFonts w:ascii="宋体" w:hAnsi="宋体" w:eastAsia="宋体" w:cs="宋体"/>
          <w:spacing w:val="16"/>
          <w:sz w:val="23"/>
          <w:szCs w:val="23"/>
        </w:rPr>
        <w:t>化</w:t>
      </w:r>
      <w:r>
        <w:rPr>
          <w:rFonts w:ascii="宋体" w:hAnsi="宋体" w:eastAsia="宋体" w:cs="宋体"/>
          <w:spacing w:val="10"/>
          <w:sz w:val="23"/>
          <w:szCs w:val="23"/>
        </w:rPr>
        <w:t>有利的植物等方法，可使养殖臭气、氨气含量显著下降，使项目无组织排放的</w:t>
      </w:r>
      <w:r>
        <w:rPr>
          <w:rFonts w:ascii="宋体" w:hAnsi="宋体" w:eastAsia="宋体" w:cs="宋体"/>
          <w:sz w:val="23"/>
          <w:szCs w:val="23"/>
        </w:rPr>
        <w:t xml:space="preserve"> </w:t>
      </w:r>
      <w:r>
        <w:rPr>
          <w:rFonts w:ascii="宋体" w:hAnsi="宋体" w:eastAsia="宋体" w:cs="宋体"/>
          <w:spacing w:val="3"/>
          <w:sz w:val="23"/>
          <w:szCs w:val="23"/>
        </w:rPr>
        <w:t>恶</w:t>
      </w:r>
      <w:r>
        <w:rPr>
          <w:rFonts w:ascii="宋体" w:hAnsi="宋体" w:eastAsia="宋体" w:cs="宋体"/>
          <w:spacing w:val="2"/>
          <w:sz w:val="23"/>
          <w:szCs w:val="23"/>
        </w:rPr>
        <w:t xml:space="preserve">臭污染物 </w:t>
      </w:r>
      <w:r>
        <w:rPr>
          <w:rFonts w:ascii="Times New Roman" w:hAnsi="Times New Roman" w:eastAsia="Times New Roman" w:cs="Times New Roman"/>
          <w:sz w:val="23"/>
          <w:szCs w:val="23"/>
        </w:rPr>
        <w:t>NH</w:t>
      </w:r>
      <w:r>
        <w:rPr>
          <w:rFonts w:ascii="Times New Roman" w:hAnsi="Times New Roman" w:eastAsia="Times New Roman" w:cs="Times New Roman"/>
          <w:spacing w:val="2"/>
          <w:position w:val="-1"/>
          <w:sz w:val="15"/>
          <w:szCs w:val="15"/>
        </w:rPr>
        <w:t xml:space="preserve">3 </w:t>
      </w:r>
      <w:r>
        <w:rPr>
          <w:rFonts w:ascii="宋体" w:hAnsi="宋体" w:eastAsia="宋体" w:cs="宋体"/>
          <w:spacing w:val="2"/>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2"/>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等浓度满足《恶臭污染物排放标准》  (</w:t>
      </w:r>
      <w:r>
        <w:rPr>
          <w:rFonts w:ascii="Times New Roman" w:hAnsi="Times New Roman" w:eastAsia="Times New Roman" w:cs="Times New Roman"/>
          <w:sz w:val="23"/>
          <w:szCs w:val="23"/>
        </w:rPr>
        <w:t>GB</w:t>
      </w:r>
      <w:r>
        <w:rPr>
          <w:rFonts w:ascii="Times New Roman" w:hAnsi="Times New Roman" w:eastAsia="Times New Roman" w:cs="Times New Roman"/>
          <w:spacing w:val="2"/>
          <w:sz w:val="23"/>
          <w:szCs w:val="23"/>
        </w:rPr>
        <w:t>14554-93</w:t>
      </w:r>
      <w:r>
        <w:rPr>
          <w:rFonts w:ascii="宋体" w:hAnsi="宋体" w:eastAsia="宋体" w:cs="宋体"/>
          <w:spacing w:val="2"/>
          <w:sz w:val="23"/>
          <w:szCs w:val="23"/>
        </w:rPr>
        <w:t>) 二级标</w:t>
      </w:r>
      <w:r>
        <w:rPr>
          <w:rFonts w:ascii="宋体" w:hAnsi="宋体" w:eastAsia="宋体" w:cs="宋体"/>
          <w:sz w:val="23"/>
          <w:szCs w:val="23"/>
        </w:rPr>
        <w:t xml:space="preserve"> </w:t>
      </w:r>
      <w:r>
        <w:rPr>
          <w:rFonts w:ascii="宋体" w:hAnsi="宋体" w:eastAsia="宋体" w:cs="宋体"/>
          <w:spacing w:val="8"/>
          <w:sz w:val="23"/>
          <w:szCs w:val="23"/>
        </w:rPr>
        <w:t>准</w:t>
      </w:r>
      <w:r>
        <w:rPr>
          <w:rFonts w:ascii="宋体" w:hAnsi="宋体" w:eastAsia="宋体" w:cs="宋体"/>
          <w:spacing w:val="5"/>
          <w:sz w:val="23"/>
          <w:szCs w:val="23"/>
        </w:rPr>
        <w:t>要求。同时，根据《恶臭污染物排放标准》  (</w:t>
      </w:r>
      <w:r>
        <w:rPr>
          <w:rFonts w:ascii="Times New Roman" w:hAnsi="Times New Roman" w:eastAsia="Times New Roman" w:cs="Times New Roman"/>
          <w:sz w:val="23"/>
          <w:szCs w:val="23"/>
        </w:rPr>
        <w:t>GB</w:t>
      </w:r>
      <w:r>
        <w:rPr>
          <w:rFonts w:ascii="Times New Roman" w:hAnsi="Times New Roman" w:eastAsia="Times New Roman" w:cs="Times New Roman"/>
          <w:spacing w:val="5"/>
          <w:sz w:val="23"/>
          <w:szCs w:val="23"/>
        </w:rPr>
        <w:t>14554-93</w:t>
      </w:r>
      <w:r>
        <w:rPr>
          <w:rFonts w:ascii="宋体" w:hAnsi="宋体" w:eastAsia="宋体" w:cs="宋体"/>
          <w:spacing w:val="5"/>
          <w:sz w:val="23"/>
          <w:szCs w:val="23"/>
        </w:rPr>
        <w:t>) 二级标准，氨排放质</w:t>
      </w:r>
    </w:p>
    <w:p w14:paraId="2F752EDA">
      <w:pPr>
        <w:sectPr>
          <w:footerReference r:id="rId193" w:type="default"/>
          <w:pgSz w:w="11907" w:h="16840"/>
          <w:pgMar w:top="400" w:right="1294" w:bottom="1485" w:left="1373" w:header="0" w:footer="1298" w:gutter="0"/>
          <w:cols w:space="720" w:num="1"/>
        </w:sectPr>
      </w:pPr>
    </w:p>
    <w:p w14:paraId="3D933E42">
      <w:pPr>
        <w:spacing w:line="460" w:lineRule="auto"/>
      </w:pPr>
    </w:p>
    <w:p w14:paraId="54C83461">
      <w:pPr>
        <w:spacing w:before="56" w:line="229" w:lineRule="auto"/>
        <w:ind w:left="115"/>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1F8E553E">
      <w:pPr>
        <w:tabs>
          <w:tab w:val="left" w:pos="243"/>
        </w:tabs>
        <w:spacing w:before="19" w:line="387" w:lineRule="auto"/>
        <w:ind w:left="119" w:right="407" w:hanging="1"/>
        <w:rPr>
          <w:rFonts w:ascii="宋体" w:hAnsi="宋体" w:eastAsia="宋体" w:cs="宋体"/>
          <w:sz w:val="23"/>
          <w:szCs w:val="23"/>
        </w:rPr>
      </w:pPr>
      <w:r>
        <w:pict>
          <v:shape id="_x0000_s2103" o:spid="_x0000_s2103" style="position:absolute;left:0pt;margin-left:5.4pt;margin-top:0.6pt;height:0.5pt;width:433.35pt;z-index:-251584512;mso-width-relative:page;mso-height-relative:page;" fillcolor="#000000" filled="t" stroked="f" coordsize="8667,10" path="m0,0l8666,0,8666,9,0,9,0,0xe">
            <v:fill on="t" focussize="0,0"/>
            <v:stroke on="f"/>
            <v:imagedata o:title=""/>
            <o:lock v:ext="edit"/>
          </v:shape>
        </w:pict>
      </w:r>
      <w:r>
        <w:rPr>
          <w:rFonts w:ascii="宋体" w:hAnsi="宋体" w:eastAsia="宋体" w:cs="宋体"/>
          <w:spacing w:val="2"/>
          <w:sz w:val="23"/>
          <w:szCs w:val="23"/>
        </w:rPr>
        <w:t xml:space="preserve">量浓度 </w:t>
      </w:r>
      <w:r>
        <w:rPr>
          <w:rFonts w:ascii="Times New Roman" w:hAnsi="Times New Roman" w:eastAsia="Times New Roman" w:cs="Times New Roman"/>
          <w:spacing w:val="2"/>
          <w:sz w:val="23"/>
          <w:szCs w:val="23"/>
        </w:rPr>
        <w:t>1.5</w:t>
      </w:r>
      <w:r>
        <w:rPr>
          <w:rFonts w:ascii="Times New Roman" w:hAnsi="Times New Roman" w:eastAsia="Times New Roman" w:cs="Times New Roman"/>
          <w:sz w:val="23"/>
          <w:szCs w:val="23"/>
        </w:rPr>
        <w:t>mg</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7"/>
          <w:sz w:val="15"/>
          <w:szCs w:val="15"/>
        </w:rPr>
        <w:t xml:space="preserve">3 </w:t>
      </w:r>
      <w:r>
        <w:rPr>
          <w:rFonts w:ascii="宋体" w:hAnsi="宋体" w:eastAsia="宋体" w:cs="宋体"/>
          <w:spacing w:val="2"/>
          <w:sz w:val="23"/>
          <w:szCs w:val="23"/>
        </w:rPr>
        <w:t>，硫化氢排</w:t>
      </w:r>
      <w:r>
        <w:rPr>
          <w:rFonts w:ascii="宋体" w:hAnsi="宋体" w:eastAsia="宋体" w:cs="宋体"/>
          <w:spacing w:val="1"/>
          <w:sz w:val="23"/>
          <w:szCs w:val="23"/>
        </w:rPr>
        <w:t xml:space="preserve">放质量浓度 </w:t>
      </w:r>
      <w:r>
        <w:rPr>
          <w:rFonts w:ascii="Times New Roman" w:hAnsi="Times New Roman" w:eastAsia="Times New Roman" w:cs="Times New Roman"/>
          <w:spacing w:val="1"/>
          <w:sz w:val="23"/>
          <w:szCs w:val="23"/>
        </w:rPr>
        <w:t>0.06</w:t>
      </w:r>
      <w:r>
        <w:rPr>
          <w:rFonts w:ascii="Times New Roman" w:hAnsi="Times New Roman" w:eastAsia="Times New Roman" w:cs="Times New Roman"/>
          <w:sz w:val="23"/>
          <w:szCs w:val="23"/>
        </w:rPr>
        <w:t>mg</w:t>
      </w:r>
      <w:r>
        <w:rPr>
          <w:rFonts w:ascii="Times New Roman" w:hAnsi="Times New Roman" w:eastAsia="Times New Roman" w:cs="Times New Roman"/>
          <w:spacing w:val="1"/>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1"/>
          <w:position w:val="7"/>
          <w:sz w:val="15"/>
          <w:szCs w:val="15"/>
        </w:rPr>
        <w:t xml:space="preserve">3 </w:t>
      </w:r>
      <w:r>
        <w:rPr>
          <w:rFonts w:ascii="宋体" w:hAnsi="宋体" w:eastAsia="宋体" w:cs="宋体"/>
          <w:spacing w:val="1"/>
          <w:sz w:val="23"/>
          <w:szCs w:val="23"/>
        </w:rPr>
        <w:t xml:space="preserve">，相当于臭气排放浓度 </w:t>
      </w:r>
      <w:r>
        <w:rPr>
          <w:rFonts w:ascii="Times New Roman" w:hAnsi="Times New Roman" w:eastAsia="Times New Roman" w:cs="Times New Roman"/>
          <w:spacing w:val="1"/>
          <w:sz w:val="23"/>
          <w:szCs w:val="23"/>
        </w:rPr>
        <w:t xml:space="preserve">20 </w:t>
      </w:r>
      <w:r>
        <w:rPr>
          <w:rFonts w:ascii="宋体" w:hAnsi="宋体" w:eastAsia="宋体" w:cs="宋体"/>
          <w:spacing w:val="1"/>
          <w:sz w:val="23"/>
          <w:szCs w:val="23"/>
        </w:rPr>
        <w:t>，由此</w:t>
      </w:r>
      <w:r>
        <w:rPr>
          <w:rFonts w:ascii="宋体" w:hAnsi="宋体" w:eastAsia="宋体" w:cs="宋体"/>
          <w:sz w:val="23"/>
          <w:szCs w:val="23"/>
        </w:rPr>
        <w:t xml:space="preserve"> </w:t>
      </w:r>
      <w:r>
        <w:rPr>
          <w:rFonts w:ascii="宋体" w:hAnsi="宋体" w:eastAsia="宋体" w:cs="宋体"/>
          <w:spacing w:val="6"/>
          <w:sz w:val="23"/>
          <w:szCs w:val="23"/>
        </w:rPr>
        <w:t>可估算，营运</w:t>
      </w:r>
      <w:r>
        <w:rPr>
          <w:rFonts w:ascii="宋体" w:hAnsi="宋体" w:eastAsia="宋体" w:cs="宋体"/>
          <w:spacing w:val="3"/>
          <w:sz w:val="23"/>
          <w:szCs w:val="23"/>
        </w:rPr>
        <w:t xml:space="preserve">期项目排放的臭气浓度小于 </w:t>
      </w:r>
      <w:r>
        <w:rPr>
          <w:rFonts w:ascii="Times New Roman" w:hAnsi="Times New Roman" w:eastAsia="Times New Roman" w:cs="Times New Roman"/>
          <w:spacing w:val="3"/>
          <w:sz w:val="23"/>
          <w:szCs w:val="23"/>
        </w:rPr>
        <w:t>20</w:t>
      </w:r>
      <w:r>
        <w:rPr>
          <w:rFonts w:ascii="宋体" w:hAnsi="宋体" w:eastAsia="宋体" w:cs="宋体"/>
          <w:spacing w:val="3"/>
          <w:sz w:val="23"/>
          <w:szCs w:val="23"/>
        </w:rPr>
        <w:t>，可满足《畜禽养殖业污染物排放标准》</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6"/>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6"/>
          <w:sz w:val="23"/>
          <w:szCs w:val="23"/>
        </w:rPr>
        <w:t>18596-20</w:t>
      </w:r>
      <w:r>
        <w:rPr>
          <w:rFonts w:ascii="Times New Roman" w:hAnsi="Times New Roman" w:eastAsia="Times New Roman" w:cs="Times New Roman"/>
          <w:spacing w:val="4"/>
          <w:sz w:val="23"/>
          <w:szCs w:val="23"/>
        </w:rPr>
        <w:t>0</w:t>
      </w:r>
      <w:r>
        <w:rPr>
          <w:rFonts w:ascii="Times New Roman" w:hAnsi="Times New Roman" w:eastAsia="Times New Roman" w:cs="Times New Roman"/>
          <w:spacing w:val="3"/>
          <w:sz w:val="23"/>
          <w:szCs w:val="23"/>
        </w:rPr>
        <w:t>1</w:t>
      </w:r>
      <w:r>
        <w:rPr>
          <w:rFonts w:ascii="宋体" w:hAnsi="宋体" w:eastAsia="宋体" w:cs="宋体"/>
          <w:spacing w:val="3"/>
          <w:sz w:val="23"/>
          <w:szCs w:val="23"/>
        </w:rPr>
        <w:t xml:space="preserve">) 表 </w:t>
      </w:r>
      <w:r>
        <w:rPr>
          <w:rFonts w:ascii="Times New Roman" w:hAnsi="Times New Roman" w:eastAsia="Times New Roman" w:cs="Times New Roman"/>
          <w:spacing w:val="3"/>
          <w:sz w:val="23"/>
          <w:szCs w:val="23"/>
        </w:rPr>
        <w:t xml:space="preserve">7  </w:t>
      </w:r>
      <w:r>
        <w:rPr>
          <w:rFonts w:ascii="宋体" w:hAnsi="宋体" w:eastAsia="宋体" w:cs="宋体"/>
          <w:spacing w:val="3"/>
          <w:sz w:val="23"/>
          <w:szCs w:val="23"/>
        </w:rPr>
        <w:t xml:space="preserve">的规定 (标准值为 </w:t>
      </w:r>
      <w:r>
        <w:rPr>
          <w:rFonts w:ascii="Times New Roman" w:hAnsi="Times New Roman" w:eastAsia="Times New Roman" w:cs="Times New Roman"/>
          <w:spacing w:val="3"/>
          <w:sz w:val="23"/>
          <w:szCs w:val="23"/>
        </w:rPr>
        <w:t>70</w:t>
      </w:r>
      <w:r>
        <w:rPr>
          <w:rFonts w:ascii="宋体" w:hAnsi="宋体" w:eastAsia="宋体" w:cs="宋体"/>
          <w:spacing w:val="3"/>
          <w:sz w:val="23"/>
          <w:szCs w:val="23"/>
        </w:rPr>
        <w:t>) ，对环境影响不大。</w:t>
      </w:r>
    </w:p>
    <w:p w14:paraId="3268E37F">
      <w:pPr>
        <w:spacing w:line="227" w:lineRule="auto"/>
        <w:ind w:left="609"/>
        <w:rPr>
          <w:rFonts w:ascii="宋体" w:hAnsi="宋体" w:eastAsia="宋体" w:cs="宋体"/>
          <w:sz w:val="23"/>
          <w:szCs w:val="23"/>
        </w:rPr>
      </w:pPr>
      <w:r>
        <w:rPr>
          <w:rFonts w:ascii="宋体" w:hAnsi="宋体" w:eastAsia="宋体" w:cs="宋体"/>
          <w:spacing w:val="26"/>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5"/>
          <w:sz w:val="23"/>
          <w:szCs w:val="23"/>
        </w:rPr>
        <w:t>7</w:t>
      </w:r>
      <w:r>
        <w:rPr>
          <w:rFonts w:ascii="宋体" w:hAnsi="宋体" w:eastAsia="宋体" w:cs="宋体"/>
          <w:spacing w:val="15"/>
          <w:sz w:val="23"/>
          <w:szCs w:val="23"/>
          <w14:textOutline w14:w="4356" w14:cap="sq" w14:cmpd="sng" w14:algn="ctr">
            <w14:solidFill>
              <w14:srgbClr w14:val="000000"/>
            </w14:solidFill>
            <w14:prstDash w14:val="solid"/>
            <w14:bevel/>
          </w14:textOutline>
        </w:rPr>
        <w:t>)</w:t>
      </w:r>
      <w:r>
        <w:rPr>
          <w:rFonts w:ascii="宋体" w:hAnsi="宋体" w:eastAsia="宋体" w:cs="宋体"/>
          <w:spacing w:val="15"/>
          <w:sz w:val="23"/>
          <w:szCs w:val="23"/>
        </w:rPr>
        <w:t xml:space="preserve"> </w:t>
      </w:r>
      <w:r>
        <w:rPr>
          <w:rFonts w:ascii="宋体" w:hAnsi="宋体" w:eastAsia="宋体" w:cs="宋体"/>
          <w:spacing w:val="15"/>
          <w:sz w:val="23"/>
          <w:szCs w:val="23"/>
          <w14:textOutline w14:w="4356" w14:cap="sq" w14:cmpd="sng" w14:algn="ctr">
            <w14:solidFill>
              <w14:srgbClr w14:val="000000"/>
            </w14:solidFill>
            <w14:prstDash w14:val="solid"/>
            <w14:bevel/>
          </w14:textOutline>
        </w:rPr>
        <w:t>项目大气污染物排放量核算</w:t>
      </w:r>
    </w:p>
    <w:p w14:paraId="7CEC4CE9">
      <w:pPr>
        <w:spacing w:before="186" w:line="374" w:lineRule="auto"/>
        <w:ind w:left="118" w:right="510" w:firstLine="483"/>
        <w:rPr>
          <w:rFonts w:ascii="宋体" w:hAnsi="宋体" w:eastAsia="宋体" w:cs="宋体"/>
          <w:sz w:val="23"/>
          <w:szCs w:val="23"/>
        </w:rPr>
      </w:pPr>
      <w:r>
        <w:rPr>
          <w:rFonts w:ascii="宋体" w:hAnsi="宋体" w:eastAsia="宋体" w:cs="宋体"/>
          <w:spacing w:val="10"/>
          <w:sz w:val="23"/>
          <w:szCs w:val="23"/>
        </w:rPr>
        <w:t>项目大气环境影响评价等级为二级评价，根据《环境影响评价技术导则  大气</w:t>
      </w:r>
      <w:r>
        <w:rPr>
          <w:rFonts w:ascii="宋体" w:hAnsi="宋体" w:eastAsia="宋体" w:cs="宋体"/>
          <w:sz w:val="23"/>
          <w:szCs w:val="23"/>
        </w:rPr>
        <w:t xml:space="preserve"> </w:t>
      </w:r>
      <w:r>
        <w:rPr>
          <w:rFonts w:ascii="宋体" w:hAnsi="宋体" w:eastAsia="宋体" w:cs="宋体"/>
          <w:spacing w:val="8"/>
          <w:sz w:val="23"/>
          <w:szCs w:val="23"/>
        </w:rPr>
        <w:t>环境》  (</w:t>
      </w:r>
      <w:r>
        <w:rPr>
          <w:rFonts w:ascii="Times New Roman" w:hAnsi="Times New Roman" w:eastAsia="Times New Roman" w:cs="Times New Roman"/>
          <w:sz w:val="23"/>
          <w:szCs w:val="23"/>
        </w:rPr>
        <w:t>HJ</w:t>
      </w:r>
      <w:r>
        <w:rPr>
          <w:rFonts w:ascii="Times New Roman" w:hAnsi="Times New Roman" w:eastAsia="Times New Roman" w:cs="Times New Roman"/>
          <w:spacing w:val="8"/>
          <w:sz w:val="23"/>
          <w:szCs w:val="23"/>
        </w:rPr>
        <w:t>2.2-2018</w:t>
      </w:r>
      <w:r>
        <w:rPr>
          <w:rFonts w:ascii="宋体" w:hAnsi="宋体" w:eastAsia="宋体" w:cs="宋体"/>
          <w:spacing w:val="8"/>
          <w:sz w:val="23"/>
          <w:szCs w:val="23"/>
        </w:rPr>
        <w:t>) 中二级评价项目的影响预测与评价要求：二级评价项目不</w:t>
      </w:r>
      <w:r>
        <w:rPr>
          <w:rFonts w:ascii="宋体" w:hAnsi="宋体" w:eastAsia="宋体" w:cs="宋体"/>
          <w:spacing w:val="6"/>
          <w:sz w:val="23"/>
          <w:szCs w:val="23"/>
        </w:rPr>
        <w:t>进</w:t>
      </w:r>
      <w:r>
        <w:rPr>
          <w:rFonts w:ascii="宋体" w:hAnsi="宋体" w:eastAsia="宋体" w:cs="宋体"/>
          <w:sz w:val="23"/>
          <w:szCs w:val="23"/>
        </w:rPr>
        <w:t xml:space="preserve"> </w:t>
      </w:r>
      <w:r>
        <w:rPr>
          <w:rFonts w:ascii="宋体" w:hAnsi="宋体" w:eastAsia="宋体" w:cs="宋体"/>
          <w:spacing w:val="12"/>
          <w:sz w:val="23"/>
          <w:szCs w:val="23"/>
        </w:rPr>
        <w:t>行</w:t>
      </w:r>
      <w:r>
        <w:rPr>
          <w:rFonts w:ascii="宋体" w:hAnsi="宋体" w:eastAsia="宋体" w:cs="宋体"/>
          <w:spacing w:val="9"/>
          <w:sz w:val="23"/>
          <w:szCs w:val="23"/>
        </w:rPr>
        <w:t>进一步预测与评价，只对污染物排放量进行核算。</w:t>
      </w:r>
    </w:p>
    <w:p w14:paraId="104F7551">
      <w:pPr>
        <w:spacing w:line="375" w:lineRule="auto"/>
        <w:ind w:left="120" w:right="510" w:firstLine="478"/>
        <w:rPr>
          <w:rFonts w:ascii="宋体" w:hAnsi="宋体" w:eastAsia="宋体" w:cs="宋体"/>
          <w:sz w:val="23"/>
          <w:szCs w:val="23"/>
        </w:rPr>
      </w:pPr>
      <w:r>
        <w:rPr>
          <w:rFonts w:ascii="宋体" w:hAnsi="宋体" w:eastAsia="宋体" w:cs="宋体"/>
          <w:spacing w:val="9"/>
          <w:sz w:val="23"/>
          <w:szCs w:val="23"/>
        </w:rPr>
        <w:t>本</w:t>
      </w:r>
      <w:r>
        <w:rPr>
          <w:rFonts w:ascii="宋体" w:hAnsi="宋体" w:eastAsia="宋体" w:cs="宋体"/>
          <w:spacing w:val="7"/>
          <w:sz w:val="23"/>
          <w:szCs w:val="23"/>
        </w:rPr>
        <w:t xml:space="preserve">次评价不对项目猪舍、异位微生物发酵床、集污池排放的 </w:t>
      </w:r>
      <w:r>
        <w:rPr>
          <w:rFonts w:ascii="Times New Roman" w:hAnsi="Times New Roman" w:eastAsia="Times New Roman" w:cs="Times New Roman"/>
          <w:sz w:val="23"/>
          <w:szCs w:val="23"/>
        </w:rPr>
        <w:t>NH</w:t>
      </w:r>
      <w:r>
        <w:rPr>
          <w:rFonts w:ascii="Times New Roman" w:hAnsi="Times New Roman" w:eastAsia="Times New Roman" w:cs="Times New Roman"/>
          <w:spacing w:val="7"/>
          <w:position w:val="-1"/>
          <w:sz w:val="15"/>
          <w:szCs w:val="15"/>
        </w:rPr>
        <w:t xml:space="preserve">3 </w:t>
      </w:r>
      <w:r>
        <w:rPr>
          <w:rFonts w:ascii="宋体" w:hAnsi="宋体" w:eastAsia="宋体" w:cs="宋体"/>
          <w:spacing w:val="7"/>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7"/>
          <w:position w:val="-1"/>
          <w:sz w:val="15"/>
          <w:szCs w:val="15"/>
        </w:rPr>
        <w:t xml:space="preserve">2 </w:t>
      </w:r>
      <w:r>
        <w:rPr>
          <w:rFonts w:ascii="Times New Roman" w:hAnsi="Times New Roman" w:eastAsia="Times New Roman" w:cs="Times New Roman"/>
          <w:sz w:val="23"/>
          <w:szCs w:val="23"/>
        </w:rPr>
        <w:t>S</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进行进</w:t>
      </w:r>
      <w:r>
        <w:rPr>
          <w:rFonts w:ascii="宋体" w:hAnsi="宋体" w:eastAsia="宋体" w:cs="宋体"/>
          <w:sz w:val="23"/>
          <w:szCs w:val="23"/>
        </w:rPr>
        <w:t xml:space="preserve"> </w:t>
      </w:r>
      <w:r>
        <w:rPr>
          <w:rFonts w:ascii="宋体" w:hAnsi="宋体" w:eastAsia="宋体" w:cs="宋体"/>
          <w:spacing w:val="24"/>
          <w:sz w:val="23"/>
          <w:szCs w:val="23"/>
        </w:rPr>
        <w:t>一</w:t>
      </w:r>
      <w:r>
        <w:rPr>
          <w:rFonts w:ascii="宋体" w:hAnsi="宋体" w:eastAsia="宋体" w:cs="宋体"/>
          <w:spacing w:val="17"/>
          <w:sz w:val="23"/>
          <w:szCs w:val="23"/>
        </w:rPr>
        <w:t>步预测评价，只对污染物排放量进行核算。项目大气污染物排放量核算表见表</w:t>
      </w:r>
      <w:r>
        <w:rPr>
          <w:rFonts w:ascii="宋体" w:hAnsi="宋体" w:eastAsia="宋体" w:cs="宋体"/>
          <w:sz w:val="23"/>
          <w:szCs w:val="23"/>
        </w:rPr>
        <w:t xml:space="preserve"> </w:t>
      </w:r>
      <w:r>
        <w:rPr>
          <w:rFonts w:ascii="Times New Roman" w:hAnsi="Times New Roman" w:eastAsia="Times New Roman" w:cs="Times New Roman"/>
          <w:spacing w:val="2"/>
          <w:sz w:val="23"/>
          <w:szCs w:val="23"/>
        </w:rPr>
        <w:t>5.</w:t>
      </w:r>
      <w:r>
        <w:rPr>
          <w:rFonts w:ascii="Times New Roman" w:hAnsi="Times New Roman" w:eastAsia="Times New Roman" w:cs="Times New Roman"/>
          <w:spacing w:val="1"/>
          <w:sz w:val="23"/>
          <w:szCs w:val="23"/>
        </w:rPr>
        <w:t>2-5</w:t>
      </w:r>
      <w:r>
        <w:rPr>
          <w:rFonts w:ascii="宋体" w:hAnsi="宋体" w:eastAsia="宋体" w:cs="宋体"/>
          <w:spacing w:val="1"/>
          <w:sz w:val="23"/>
          <w:szCs w:val="23"/>
        </w:rPr>
        <w:t>。</w:t>
      </w:r>
    </w:p>
    <w:p w14:paraId="535462D7">
      <w:pPr>
        <w:spacing w:line="221" w:lineRule="auto"/>
        <w:ind w:left="2075"/>
        <w:rPr>
          <w:rFonts w:ascii="黑体" w:hAnsi="黑体" w:eastAsia="黑体" w:cs="黑体"/>
          <w:sz w:val="23"/>
          <w:szCs w:val="23"/>
        </w:rPr>
      </w:pPr>
      <w:r>
        <w:rPr>
          <w:rFonts w:ascii="黑体" w:hAnsi="黑体" w:eastAsia="黑体" w:cs="黑体"/>
          <w:spacing w:val="6"/>
          <w:sz w:val="23"/>
          <w:szCs w:val="23"/>
        </w:rPr>
        <w:t>表</w:t>
      </w:r>
      <w:r>
        <w:rPr>
          <w:rFonts w:ascii="黑体" w:hAnsi="黑体" w:eastAsia="黑体" w:cs="黑体"/>
          <w:spacing w:val="5"/>
          <w:sz w:val="23"/>
          <w:szCs w:val="23"/>
        </w:rPr>
        <w:t xml:space="preserve"> </w:t>
      </w:r>
      <w:r>
        <w:rPr>
          <w:rFonts w:ascii="Times New Roman" w:hAnsi="Times New Roman" w:eastAsia="Times New Roman" w:cs="Times New Roman"/>
          <w:spacing w:val="5"/>
          <w:sz w:val="23"/>
          <w:szCs w:val="23"/>
        </w:rPr>
        <w:t xml:space="preserve">5.2-5  </w:t>
      </w:r>
      <w:r>
        <w:rPr>
          <w:rFonts w:ascii="黑体" w:hAnsi="黑体" w:eastAsia="黑体" w:cs="黑体"/>
          <w:spacing w:val="5"/>
          <w:sz w:val="23"/>
          <w:szCs w:val="23"/>
        </w:rPr>
        <w:t>项目大气污染物无组织排放量核算表</w:t>
      </w:r>
    </w:p>
    <w:tbl>
      <w:tblPr>
        <w:tblStyle w:val="4"/>
        <w:tblW w:w="928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3"/>
        <w:gridCol w:w="683"/>
        <w:gridCol w:w="817"/>
        <w:gridCol w:w="684"/>
        <w:gridCol w:w="3331"/>
        <w:gridCol w:w="1031"/>
        <w:gridCol w:w="1133"/>
        <w:gridCol w:w="1055"/>
      </w:tblGrid>
      <w:tr w14:paraId="77F159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553" w:type="dxa"/>
            <w:vMerge w:val="restart"/>
            <w:tcBorders>
              <w:left w:val="nil"/>
              <w:bottom w:val="nil"/>
            </w:tcBorders>
            <w:textDirection w:val="tbRlV"/>
          </w:tcPr>
          <w:p w14:paraId="6760B7B5">
            <w:pPr>
              <w:spacing w:before="170" w:line="218" w:lineRule="auto"/>
              <w:ind w:left="334"/>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序</w:t>
            </w:r>
            <w:r>
              <w:rPr>
                <w:rFonts w:ascii="宋体" w:hAnsi="宋体" w:eastAsia="宋体" w:cs="宋体"/>
                <w:spacing w:val="-6"/>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号</w:t>
            </w:r>
          </w:p>
        </w:tc>
        <w:tc>
          <w:tcPr>
            <w:tcW w:w="683" w:type="dxa"/>
            <w:vMerge w:val="restart"/>
            <w:tcBorders>
              <w:bottom w:val="nil"/>
            </w:tcBorders>
          </w:tcPr>
          <w:p w14:paraId="04748049">
            <w:pPr>
              <w:spacing w:before="197" w:line="229" w:lineRule="auto"/>
              <w:ind w:left="13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排放</w:t>
            </w:r>
          </w:p>
          <w:p w14:paraId="046A28B8">
            <w:pPr>
              <w:spacing w:before="22" w:line="228" w:lineRule="auto"/>
              <w:ind w:left="169"/>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口编</w:t>
            </w:r>
          </w:p>
          <w:p w14:paraId="77A8D728">
            <w:pPr>
              <w:spacing w:before="24" w:line="229" w:lineRule="auto"/>
              <w:ind w:left="245"/>
              <w:rPr>
                <w:rFonts w:ascii="宋体" w:hAnsi="宋体" w:eastAsia="宋体" w:cs="宋体"/>
                <w:sz w:val="20"/>
                <w:szCs w:val="20"/>
              </w:rPr>
            </w:pPr>
            <w:r>
              <w:rPr>
                <w:rFonts w:ascii="宋体" w:hAnsi="宋体" w:eastAsia="宋体" w:cs="宋体"/>
                <w:sz w:val="20"/>
                <w:szCs w:val="20"/>
                <w14:textOutline w14:w="3797" w14:cap="sq" w14:cmpd="sng" w14:algn="ctr">
                  <w14:solidFill>
                    <w14:srgbClr w14:val="000000"/>
                  </w14:solidFill>
                  <w14:prstDash w14:val="solid"/>
                  <w14:bevel/>
                </w14:textOutline>
              </w:rPr>
              <w:t>号</w:t>
            </w:r>
          </w:p>
        </w:tc>
        <w:tc>
          <w:tcPr>
            <w:tcW w:w="817" w:type="dxa"/>
            <w:vMerge w:val="restart"/>
            <w:tcBorders>
              <w:bottom w:val="nil"/>
            </w:tcBorders>
          </w:tcPr>
          <w:p w14:paraId="23532234">
            <w:pPr>
              <w:spacing w:line="267" w:lineRule="auto"/>
            </w:pPr>
          </w:p>
          <w:p w14:paraId="4753E45B">
            <w:pPr>
              <w:spacing w:before="65" w:line="271" w:lineRule="exact"/>
              <w:ind w:left="203"/>
              <w:rPr>
                <w:rFonts w:ascii="宋体" w:hAnsi="宋体" w:eastAsia="宋体" w:cs="宋体"/>
                <w:sz w:val="20"/>
                <w:szCs w:val="20"/>
              </w:rPr>
            </w:pPr>
            <w:r>
              <w:rPr>
                <w:rFonts w:ascii="宋体" w:hAnsi="宋体" w:eastAsia="宋体" w:cs="宋体"/>
                <w:spacing w:val="6"/>
                <w:position w:val="4"/>
                <w:sz w:val="20"/>
                <w:szCs w:val="20"/>
                <w14:textOutline w14:w="3797" w14:cap="sq" w14:cmpd="sng" w14:algn="ctr">
                  <w14:solidFill>
                    <w14:srgbClr w14:val="000000"/>
                  </w14:solidFill>
                  <w14:prstDash w14:val="solid"/>
                  <w14:bevel/>
                </w14:textOutline>
              </w:rPr>
              <w:t>产污</w:t>
            </w:r>
          </w:p>
          <w:p w14:paraId="786C4B20">
            <w:pPr>
              <w:spacing w:line="228" w:lineRule="auto"/>
              <w:ind w:left="203"/>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环节</w:t>
            </w:r>
          </w:p>
        </w:tc>
        <w:tc>
          <w:tcPr>
            <w:tcW w:w="684" w:type="dxa"/>
            <w:vMerge w:val="restart"/>
            <w:tcBorders>
              <w:bottom w:val="nil"/>
            </w:tcBorders>
          </w:tcPr>
          <w:p w14:paraId="6D8B032F">
            <w:pPr>
              <w:spacing w:line="266" w:lineRule="auto"/>
            </w:pPr>
          </w:p>
          <w:p w14:paraId="090605F5">
            <w:pPr>
              <w:spacing w:before="65" w:line="266" w:lineRule="auto"/>
              <w:ind w:left="242" w:right="129" w:hanging="103"/>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污染</w:t>
            </w:r>
            <w:r>
              <w:rPr>
                <w:rFonts w:ascii="宋体" w:hAnsi="宋体" w:eastAsia="宋体" w:cs="宋体"/>
                <w:sz w:val="20"/>
                <w:szCs w:val="20"/>
              </w:rPr>
              <w:t xml:space="preserve"> </w:t>
            </w:r>
            <w:r>
              <w:rPr>
                <w:rFonts w:ascii="宋体" w:hAnsi="宋体" w:eastAsia="宋体" w:cs="宋体"/>
                <w:sz w:val="20"/>
                <w:szCs w:val="20"/>
                <w14:textOutline w14:w="3797" w14:cap="sq" w14:cmpd="sng" w14:algn="ctr">
                  <w14:solidFill>
                    <w14:srgbClr w14:val="000000"/>
                  </w14:solidFill>
                  <w14:prstDash w14:val="solid"/>
                  <w14:bevel/>
                </w14:textOutline>
              </w:rPr>
              <w:t>物</w:t>
            </w:r>
          </w:p>
        </w:tc>
        <w:tc>
          <w:tcPr>
            <w:tcW w:w="3331" w:type="dxa"/>
            <w:vMerge w:val="restart"/>
            <w:tcBorders>
              <w:bottom w:val="nil"/>
            </w:tcBorders>
          </w:tcPr>
          <w:p w14:paraId="471F406D">
            <w:pPr>
              <w:spacing w:line="401" w:lineRule="auto"/>
            </w:pPr>
          </w:p>
          <w:p w14:paraId="14F766D3">
            <w:pPr>
              <w:spacing w:before="65" w:line="228" w:lineRule="auto"/>
              <w:ind w:left="832"/>
              <w:rPr>
                <w:rFonts w:ascii="宋体" w:hAnsi="宋体" w:eastAsia="宋体" w:cs="宋体"/>
                <w:sz w:val="20"/>
                <w:szCs w:val="20"/>
              </w:rPr>
            </w:pPr>
            <w:r>
              <w:rPr>
                <w:rFonts w:ascii="宋体" w:hAnsi="宋体" w:eastAsia="宋体" w:cs="宋体"/>
                <w:spacing w:val="12"/>
                <w:sz w:val="20"/>
                <w:szCs w:val="20"/>
                <w14:textOutline w14:w="3797" w14:cap="sq" w14:cmpd="sng" w14:algn="ctr">
                  <w14:solidFill>
                    <w14:srgbClr w14:val="000000"/>
                  </w14:solidFill>
                  <w14:prstDash w14:val="solid"/>
                  <w14:bevel/>
                </w14:textOutline>
              </w:rPr>
              <w:t>主</w:t>
            </w:r>
            <w:r>
              <w:rPr>
                <w:rFonts w:ascii="宋体" w:hAnsi="宋体" w:eastAsia="宋体" w:cs="宋体"/>
                <w:spacing w:val="9"/>
                <w:sz w:val="20"/>
                <w:szCs w:val="20"/>
                <w14:textOutline w14:w="3797" w14:cap="sq" w14:cmpd="sng" w14:algn="ctr">
                  <w14:solidFill>
                    <w14:srgbClr w14:val="000000"/>
                  </w14:solidFill>
                  <w14:prstDash w14:val="solid"/>
                  <w14:bevel/>
                </w14:textOutline>
              </w:rPr>
              <w:t>要污染防治措施</w:t>
            </w:r>
          </w:p>
        </w:tc>
        <w:tc>
          <w:tcPr>
            <w:tcW w:w="2164" w:type="dxa"/>
            <w:gridSpan w:val="2"/>
          </w:tcPr>
          <w:p w14:paraId="72305C3B">
            <w:pPr>
              <w:spacing w:before="56" w:line="239" w:lineRule="auto"/>
              <w:ind w:left="772" w:right="128" w:hanging="610"/>
              <w:rPr>
                <w:rFonts w:ascii="宋体" w:hAnsi="宋体" w:eastAsia="宋体" w:cs="宋体"/>
                <w:sz w:val="20"/>
                <w:szCs w:val="20"/>
              </w:rPr>
            </w:pPr>
            <w:r>
              <w:rPr>
                <w:rFonts w:ascii="宋体" w:hAnsi="宋体" w:eastAsia="宋体" w:cs="宋体"/>
                <w:spacing w:val="11"/>
                <w:sz w:val="20"/>
                <w:szCs w:val="20"/>
                <w14:textOutline w14:w="3797" w14:cap="sq" w14:cmpd="sng" w14:algn="ctr">
                  <w14:solidFill>
                    <w14:srgbClr w14:val="000000"/>
                  </w14:solidFill>
                  <w14:prstDash w14:val="solid"/>
                  <w14:bevel/>
                </w14:textOutline>
              </w:rPr>
              <w:t>国</w:t>
            </w:r>
            <w:r>
              <w:rPr>
                <w:rFonts w:ascii="宋体" w:hAnsi="宋体" w:eastAsia="宋体" w:cs="宋体"/>
                <w:spacing w:val="7"/>
                <w:sz w:val="20"/>
                <w:szCs w:val="20"/>
                <w14:textOutline w14:w="3797" w14:cap="sq" w14:cmpd="sng" w14:algn="ctr">
                  <w14:solidFill>
                    <w14:srgbClr w14:val="000000"/>
                  </w14:solidFill>
                  <w14:prstDash w14:val="solid"/>
                  <w14:bevel/>
                </w14:textOutline>
              </w:rPr>
              <w:t>家或地方污染物排</w:t>
            </w:r>
            <w:r>
              <w:rPr>
                <w:rFonts w:ascii="宋体" w:hAnsi="宋体" w:eastAsia="宋体" w:cs="宋体"/>
                <w:sz w:val="20"/>
                <w:szCs w:val="20"/>
              </w:rPr>
              <w:t xml:space="preserve"> </w:t>
            </w:r>
            <w:r>
              <w:rPr>
                <w:rFonts w:ascii="宋体" w:hAnsi="宋体" w:eastAsia="宋体" w:cs="宋体"/>
                <w:spacing w:val="9"/>
                <w:sz w:val="20"/>
                <w:szCs w:val="20"/>
                <w14:textOutline w14:w="3797" w14:cap="sq" w14:cmpd="sng" w14:algn="ctr">
                  <w14:solidFill>
                    <w14:srgbClr w14:val="000000"/>
                  </w14:solidFill>
                  <w14:prstDash w14:val="solid"/>
                  <w14:bevel/>
                </w14:textOutline>
              </w:rPr>
              <w:t>放</w:t>
            </w:r>
            <w:r>
              <w:rPr>
                <w:rFonts w:ascii="宋体" w:hAnsi="宋体" w:eastAsia="宋体" w:cs="宋体"/>
                <w:spacing w:val="7"/>
                <w:sz w:val="20"/>
                <w:szCs w:val="20"/>
                <w14:textOutline w14:w="3797" w14:cap="sq" w14:cmpd="sng" w14:algn="ctr">
                  <w14:solidFill>
                    <w14:srgbClr w14:val="000000"/>
                  </w14:solidFill>
                  <w14:prstDash w14:val="solid"/>
                  <w14:bevel/>
                </w14:textOutline>
              </w:rPr>
              <w:t>标准</w:t>
            </w:r>
          </w:p>
        </w:tc>
        <w:tc>
          <w:tcPr>
            <w:tcW w:w="1055" w:type="dxa"/>
            <w:vMerge w:val="restart"/>
            <w:tcBorders>
              <w:bottom w:val="nil"/>
              <w:right w:val="nil"/>
            </w:tcBorders>
          </w:tcPr>
          <w:p w14:paraId="444F2A63">
            <w:pPr>
              <w:spacing w:line="268" w:lineRule="auto"/>
            </w:pPr>
          </w:p>
          <w:p w14:paraId="2C19E19F">
            <w:pPr>
              <w:spacing w:before="65" w:line="267" w:lineRule="auto"/>
              <w:ind w:left="114" w:right="100"/>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年</w:t>
            </w:r>
            <w:r>
              <w:rPr>
                <w:rFonts w:ascii="宋体" w:hAnsi="宋体" w:eastAsia="宋体" w:cs="宋体"/>
                <w:spacing w:val="6"/>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排</w:t>
            </w:r>
            <w:r>
              <w:rPr>
                <w:rFonts w:ascii="宋体" w:hAnsi="宋体" w:eastAsia="宋体" w:cs="宋体"/>
                <w:spacing w:val="6"/>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放</w:t>
            </w:r>
            <w:r>
              <w:rPr>
                <w:rFonts w:ascii="宋体" w:hAnsi="宋体" w:eastAsia="宋体" w:cs="宋体"/>
                <w:sz w:val="20"/>
                <w:szCs w:val="20"/>
              </w:rPr>
              <w:t xml:space="preserve"> </w:t>
            </w:r>
            <w:r>
              <w:rPr>
                <w:rFonts w:ascii="宋体" w:hAnsi="宋体" w:eastAsia="宋体" w:cs="宋体"/>
                <w:spacing w:val="-7"/>
                <w:sz w:val="20"/>
                <w:szCs w:val="20"/>
                <w14:textOutline w14:w="3797" w14:cap="sq" w14:cmpd="sng" w14:algn="ctr">
                  <w14:solidFill>
                    <w14:srgbClr w14:val="000000"/>
                  </w14:solidFill>
                  <w14:prstDash w14:val="solid"/>
                  <w14:bevel/>
                </w14:textOutline>
              </w:rPr>
              <w:t>量</w:t>
            </w:r>
            <w:r>
              <w:rPr>
                <w:rFonts w:ascii="宋体" w:hAnsi="宋体" w:eastAsia="宋体" w:cs="宋体"/>
                <w:spacing w:val="-4"/>
                <w:sz w:val="20"/>
                <w:szCs w:val="20"/>
              </w:rPr>
              <w:t xml:space="preserve"> </w:t>
            </w:r>
            <w:r>
              <w:rPr>
                <w:rFonts w:ascii="宋体" w:hAnsi="宋体" w:eastAsia="宋体" w:cs="宋体"/>
                <w:spacing w:val="-4"/>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spacing w:val="-4"/>
                <w:sz w:val="20"/>
                <w:szCs w:val="20"/>
              </w:rPr>
              <w:t>t/a</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14:textOutline w14:w="3797" w14:cap="sq" w14:cmpd="sng" w14:algn="ctr">
                  <w14:solidFill>
                    <w14:srgbClr w14:val="000000"/>
                  </w14:solidFill>
                  <w14:prstDash w14:val="solid"/>
                  <w14:bevel/>
                </w14:textOutline>
              </w:rPr>
              <w:t>)</w:t>
            </w:r>
          </w:p>
        </w:tc>
      </w:tr>
      <w:tr w14:paraId="168F6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553" w:type="dxa"/>
            <w:vMerge w:val="continue"/>
            <w:tcBorders>
              <w:top w:val="nil"/>
              <w:left w:val="nil"/>
            </w:tcBorders>
            <w:textDirection w:val="tbRlV"/>
          </w:tcPr>
          <w:p w14:paraId="0101253D"/>
        </w:tc>
        <w:tc>
          <w:tcPr>
            <w:tcW w:w="683" w:type="dxa"/>
            <w:vMerge w:val="continue"/>
            <w:tcBorders>
              <w:top w:val="nil"/>
            </w:tcBorders>
          </w:tcPr>
          <w:p w14:paraId="23FE38E7"/>
        </w:tc>
        <w:tc>
          <w:tcPr>
            <w:tcW w:w="817" w:type="dxa"/>
            <w:vMerge w:val="continue"/>
            <w:tcBorders>
              <w:top w:val="nil"/>
            </w:tcBorders>
          </w:tcPr>
          <w:p w14:paraId="6AD9C20B"/>
        </w:tc>
        <w:tc>
          <w:tcPr>
            <w:tcW w:w="684" w:type="dxa"/>
            <w:vMerge w:val="continue"/>
            <w:tcBorders>
              <w:top w:val="nil"/>
            </w:tcBorders>
          </w:tcPr>
          <w:p w14:paraId="3EF61A51"/>
        </w:tc>
        <w:tc>
          <w:tcPr>
            <w:tcW w:w="3331" w:type="dxa"/>
            <w:vMerge w:val="continue"/>
            <w:tcBorders>
              <w:top w:val="nil"/>
            </w:tcBorders>
          </w:tcPr>
          <w:p w14:paraId="025C7078"/>
        </w:tc>
        <w:tc>
          <w:tcPr>
            <w:tcW w:w="1031" w:type="dxa"/>
          </w:tcPr>
          <w:p w14:paraId="2F53534F">
            <w:pPr>
              <w:spacing w:before="30" w:line="239" w:lineRule="auto"/>
              <w:ind w:left="415" w:right="195" w:hanging="207"/>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标</w:t>
            </w:r>
            <w:r>
              <w:rPr>
                <w:rFonts w:ascii="宋体" w:hAnsi="宋体" w:eastAsia="宋体" w:cs="宋体"/>
                <w:spacing w:val="7"/>
                <w:sz w:val="20"/>
                <w:szCs w:val="20"/>
                <w14:textOutline w14:w="3797" w14:cap="sq" w14:cmpd="sng" w14:algn="ctr">
                  <w14:solidFill>
                    <w14:srgbClr w14:val="000000"/>
                  </w14:solidFill>
                  <w14:prstDash w14:val="solid"/>
                  <w14:bevel/>
                </w14:textOutline>
              </w:rPr>
              <w:t>准名</w:t>
            </w:r>
            <w:r>
              <w:rPr>
                <w:rFonts w:ascii="宋体" w:hAnsi="宋体" w:eastAsia="宋体" w:cs="宋体"/>
                <w:sz w:val="20"/>
                <w:szCs w:val="20"/>
              </w:rPr>
              <w:t xml:space="preserve"> </w:t>
            </w:r>
            <w:r>
              <w:rPr>
                <w:rFonts w:ascii="宋体" w:hAnsi="宋体" w:eastAsia="宋体" w:cs="宋体"/>
                <w:spacing w:val="1"/>
                <w:sz w:val="20"/>
                <w:szCs w:val="20"/>
                <w14:textOutline w14:w="3797" w14:cap="sq" w14:cmpd="sng" w14:algn="ctr">
                  <w14:solidFill>
                    <w14:srgbClr w14:val="000000"/>
                  </w14:solidFill>
                  <w14:prstDash w14:val="solid"/>
                  <w14:bevel/>
                </w14:textOutline>
              </w:rPr>
              <w:t>称</w:t>
            </w:r>
          </w:p>
        </w:tc>
        <w:tc>
          <w:tcPr>
            <w:tcW w:w="1133" w:type="dxa"/>
          </w:tcPr>
          <w:p w14:paraId="2AAFBB85">
            <w:pPr>
              <w:spacing w:before="30" w:line="239" w:lineRule="auto"/>
              <w:ind w:left="127" w:right="91" w:firstLine="25"/>
              <w:rPr>
                <w:rFonts w:ascii="宋体" w:hAnsi="宋体" w:eastAsia="宋体" w:cs="宋体"/>
                <w:sz w:val="20"/>
                <w:szCs w:val="20"/>
              </w:rPr>
            </w:pPr>
            <w:r>
              <w:rPr>
                <w:rFonts w:ascii="宋体" w:hAnsi="宋体" w:eastAsia="宋体" w:cs="宋体"/>
                <w:spacing w:val="10"/>
                <w:sz w:val="20"/>
                <w:szCs w:val="20"/>
                <w14:textOutline w14:w="3784" w14:cap="sq" w14:cmpd="sng" w14:algn="ctr">
                  <w14:solidFill>
                    <w14:srgbClr w14:val="000000"/>
                  </w14:solidFill>
                  <w14:prstDash w14:val="solid"/>
                  <w14:bevel/>
                </w14:textOutline>
              </w:rPr>
              <w:t>浓</w:t>
            </w:r>
            <w:r>
              <w:rPr>
                <w:rFonts w:ascii="宋体" w:hAnsi="宋体" w:eastAsia="宋体" w:cs="宋体"/>
                <w:spacing w:val="8"/>
                <w:sz w:val="20"/>
                <w:szCs w:val="20"/>
                <w14:textOutline w14:w="3784" w14:cap="sq" w14:cmpd="sng" w14:algn="ctr">
                  <w14:solidFill>
                    <w14:srgbClr w14:val="000000"/>
                  </w14:solidFill>
                  <w14:prstDash w14:val="solid"/>
                  <w14:bevel/>
                </w14:textOutline>
              </w:rPr>
              <w:t>度限值</w:t>
            </w:r>
            <w:r>
              <w:rPr>
                <w:rFonts w:ascii="宋体" w:hAnsi="宋体" w:eastAsia="宋体" w:cs="宋体"/>
                <w:sz w:val="20"/>
                <w:szCs w:val="20"/>
              </w:rPr>
              <w:t xml:space="preserve"> </w:t>
            </w:r>
            <w:r>
              <w:rPr>
                <w:rFonts w:ascii="宋体" w:hAnsi="宋体" w:eastAsia="宋体" w:cs="宋体"/>
                <w:spacing w:val="14"/>
                <w:sz w:val="20"/>
                <w:szCs w:val="20"/>
                <w14:textOutline w14:w="3784" w14:cap="sq" w14:cmpd="sng" w14:algn="ctr">
                  <w14:solidFill>
                    <w14:srgbClr w14:val="000000"/>
                  </w14:solidFill>
                  <w14:prstDash w14:val="solid"/>
                  <w14:bevel/>
                </w14:textOutline>
              </w:rPr>
              <w:t>(</w:t>
            </w:r>
            <w:r>
              <w:rPr>
                <w:rFonts w:ascii="Times New Roman" w:hAnsi="Times New Roman" w:eastAsia="Times New Roman" w:cs="Times New Roman"/>
                <w:b/>
                <w:bCs/>
                <w:spacing w:val="12"/>
                <w:sz w:val="20"/>
                <w:szCs w:val="20"/>
              </w:rPr>
              <w:t>µ</w:t>
            </w:r>
            <w:r>
              <w:rPr>
                <w:rFonts w:ascii="Times New Roman" w:hAnsi="Times New Roman" w:eastAsia="Times New Roman" w:cs="Times New Roman"/>
                <w:b/>
                <w:bCs/>
                <w:sz w:val="20"/>
                <w:szCs w:val="20"/>
              </w:rPr>
              <w:t>g</w:t>
            </w:r>
            <w:r>
              <w:rPr>
                <w:rFonts w:ascii="Times New Roman" w:hAnsi="Times New Roman" w:eastAsia="Times New Roman" w:cs="Times New Roman"/>
                <w:b/>
                <w:bCs/>
                <w:spacing w:val="12"/>
                <w:sz w:val="20"/>
                <w:szCs w:val="20"/>
              </w:rPr>
              <w:t>/</w:t>
            </w:r>
            <w:r>
              <w:rPr>
                <w:rFonts w:ascii="Times New Roman" w:hAnsi="Times New Roman" w:eastAsia="Times New Roman" w:cs="Times New Roman"/>
                <w:b/>
                <w:bCs/>
                <w:sz w:val="20"/>
                <w:szCs w:val="20"/>
              </w:rPr>
              <w:t>m</w:t>
            </w:r>
            <w:r>
              <w:rPr>
                <w:rFonts w:ascii="Times New Roman" w:hAnsi="Times New Roman" w:eastAsia="Times New Roman" w:cs="Times New Roman"/>
                <w:b/>
                <w:bCs/>
                <w:spacing w:val="12"/>
                <w:position w:val="6"/>
                <w:sz w:val="13"/>
                <w:szCs w:val="13"/>
              </w:rPr>
              <w:t>3</w:t>
            </w:r>
            <w:r>
              <w:rPr>
                <w:rFonts w:ascii="Times New Roman" w:hAnsi="Times New Roman" w:eastAsia="Times New Roman" w:cs="Times New Roman"/>
                <w:spacing w:val="12"/>
                <w:position w:val="6"/>
                <w:sz w:val="13"/>
                <w:szCs w:val="13"/>
              </w:rPr>
              <w:t xml:space="preserve"> </w:t>
            </w:r>
            <w:r>
              <w:rPr>
                <w:rFonts w:ascii="宋体" w:hAnsi="宋体" w:eastAsia="宋体" w:cs="宋体"/>
                <w:spacing w:val="12"/>
                <w:sz w:val="20"/>
                <w:szCs w:val="20"/>
                <w14:textOutline w14:w="3784" w14:cap="sq" w14:cmpd="sng" w14:algn="ctr">
                  <w14:solidFill>
                    <w14:srgbClr w14:val="000000"/>
                  </w14:solidFill>
                  <w14:prstDash w14:val="solid"/>
                  <w14:bevel/>
                </w14:textOutline>
              </w:rPr>
              <w:t>)</w:t>
            </w:r>
          </w:p>
        </w:tc>
        <w:tc>
          <w:tcPr>
            <w:tcW w:w="1055" w:type="dxa"/>
            <w:vMerge w:val="continue"/>
            <w:tcBorders>
              <w:top w:val="nil"/>
              <w:right w:val="nil"/>
            </w:tcBorders>
          </w:tcPr>
          <w:p w14:paraId="32B9A22D"/>
        </w:tc>
      </w:tr>
      <w:tr w14:paraId="2A7853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8" w:hRule="atLeast"/>
        </w:trPr>
        <w:tc>
          <w:tcPr>
            <w:tcW w:w="553" w:type="dxa"/>
            <w:vMerge w:val="restart"/>
            <w:tcBorders>
              <w:left w:val="nil"/>
              <w:bottom w:val="nil"/>
            </w:tcBorders>
          </w:tcPr>
          <w:p w14:paraId="17B211E6">
            <w:pPr>
              <w:spacing w:line="274" w:lineRule="auto"/>
            </w:pPr>
          </w:p>
          <w:p w14:paraId="2565569C">
            <w:pPr>
              <w:spacing w:line="275" w:lineRule="auto"/>
            </w:pPr>
          </w:p>
          <w:p w14:paraId="3BB85F09">
            <w:pPr>
              <w:spacing w:line="275" w:lineRule="auto"/>
            </w:pPr>
          </w:p>
          <w:p w14:paraId="2B22B73C">
            <w:pPr>
              <w:spacing w:before="57" w:line="195" w:lineRule="auto"/>
              <w:ind w:left="342"/>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683" w:type="dxa"/>
            <w:vMerge w:val="restart"/>
            <w:tcBorders>
              <w:bottom w:val="nil"/>
            </w:tcBorders>
          </w:tcPr>
          <w:p w14:paraId="6DDC3FE7"/>
        </w:tc>
        <w:tc>
          <w:tcPr>
            <w:tcW w:w="817" w:type="dxa"/>
            <w:vMerge w:val="restart"/>
            <w:tcBorders>
              <w:bottom w:val="nil"/>
            </w:tcBorders>
          </w:tcPr>
          <w:p w14:paraId="358C6938">
            <w:pPr>
              <w:spacing w:before="32" w:line="248" w:lineRule="auto"/>
              <w:ind w:left="114" w:right="111"/>
              <w:rPr>
                <w:rFonts w:ascii="宋体" w:hAnsi="宋体" w:eastAsia="宋体" w:cs="宋体"/>
                <w:sz w:val="20"/>
                <w:szCs w:val="20"/>
              </w:rPr>
            </w:pPr>
            <w:r>
              <w:rPr>
                <w:rFonts w:ascii="宋体" w:hAnsi="宋体" w:eastAsia="宋体" w:cs="宋体"/>
                <w:spacing w:val="-6"/>
                <w:sz w:val="20"/>
                <w:szCs w:val="20"/>
              </w:rPr>
              <w:t>猪</w:t>
            </w:r>
            <w:r>
              <w:rPr>
                <w:rFonts w:ascii="宋体" w:hAnsi="宋体" w:eastAsia="宋体" w:cs="宋体"/>
                <w:spacing w:val="-4"/>
                <w:sz w:val="20"/>
                <w:szCs w:val="20"/>
              </w:rPr>
              <w:t>舍、</w:t>
            </w:r>
            <w:r>
              <w:rPr>
                <w:rFonts w:ascii="宋体" w:hAnsi="宋体" w:eastAsia="宋体" w:cs="宋体"/>
                <w:sz w:val="20"/>
                <w:szCs w:val="20"/>
              </w:rPr>
              <w:t xml:space="preserve"> </w:t>
            </w:r>
            <w:r>
              <w:rPr>
                <w:rFonts w:ascii="宋体" w:hAnsi="宋体" w:eastAsia="宋体" w:cs="宋体"/>
                <w:spacing w:val="5"/>
                <w:sz w:val="20"/>
                <w:szCs w:val="20"/>
              </w:rPr>
              <w:t>异</w:t>
            </w:r>
            <w:r>
              <w:rPr>
                <w:rFonts w:ascii="宋体" w:hAnsi="宋体" w:eastAsia="宋体" w:cs="宋体"/>
                <w:spacing w:val="4"/>
                <w:sz w:val="20"/>
                <w:szCs w:val="20"/>
              </w:rPr>
              <w:t>位</w:t>
            </w:r>
            <w:r>
              <w:rPr>
                <w:rFonts w:ascii="宋体" w:hAnsi="宋体" w:eastAsia="宋体" w:cs="宋体"/>
                <w:sz w:val="20"/>
                <w:szCs w:val="20"/>
              </w:rPr>
              <w:t xml:space="preserve"> </w:t>
            </w:r>
            <w:r>
              <w:rPr>
                <w:rFonts w:ascii="宋体" w:hAnsi="宋体" w:eastAsia="宋体" w:cs="宋体"/>
                <w:spacing w:val="5"/>
                <w:sz w:val="20"/>
                <w:szCs w:val="20"/>
              </w:rPr>
              <w:t>微</w:t>
            </w:r>
            <w:r>
              <w:rPr>
                <w:rFonts w:ascii="宋体" w:hAnsi="宋体" w:eastAsia="宋体" w:cs="宋体"/>
                <w:spacing w:val="4"/>
                <w:sz w:val="20"/>
                <w:szCs w:val="20"/>
              </w:rPr>
              <w:t>生</w:t>
            </w:r>
            <w:r>
              <w:rPr>
                <w:rFonts w:ascii="宋体" w:hAnsi="宋体" w:eastAsia="宋体" w:cs="宋体"/>
                <w:sz w:val="20"/>
                <w:szCs w:val="20"/>
              </w:rPr>
              <w:t xml:space="preserve"> </w:t>
            </w:r>
            <w:r>
              <w:rPr>
                <w:rFonts w:ascii="宋体" w:hAnsi="宋体" w:eastAsia="宋体" w:cs="宋体"/>
                <w:spacing w:val="5"/>
                <w:sz w:val="20"/>
                <w:szCs w:val="20"/>
              </w:rPr>
              <w:t>物</w:t>
            </w:r>
            <w:r>
              <w:rPr>
                <w:rFonts w:ascii="宋体" w:hAnsi="宋体" w:eastAsia="宋体" w:cs="宋体"/>
                <w:spacing w:val="4"/>
                <w:sz w:val="20"/>
                <w:szCs w:val="20"/>
              </w:rPr>
              <w:t>发</w:t>
            </w:r>
            <w:r>
              <w:rPr>
                <w:rFonts w:ascii="宋体" w:hAnsi="宋体" w:eastAsia="宋体" w:cs="宋体"/>
                <w:sz w:val="20"/>
                <w:szCs w:val="20"/>
              </w:rPr>
              <w:t xml:space="preserve"> </w:t>
            </w:r>
            <w:r>
              <w:rPr>
                <w:rFonts w:ascii="宋体" w:hAnsi="宋体" w:eastAsia="宋体" w:cs="宋体"/>
                <w:spacing w:val="-6"/>
                <w:sz w:val="20"/>
                <w:szCs w:val="20"/>
              </w:rPr>
              <w:t>酵</w:t>
            </w:r>
            <w:r>
              <w:rPr>
                <w:rFonts w:ascii="宋体" w:hAnsi="宋体" w:eastAsia="宋体" w:cs="宋体"/>
                <w:spacing w:val="-4"/>
                <w:sz w:val="20"/>
                <w:szCs w:val="20"/>
              </w:rPr>
              <w:t>床、</w:t>
            </w:r>
            <w:r>
              <w:rPr>
                <w:rFonts w:ascii="宋体" w:hAnsi="宋体" w:eastAsia="宋体" w:cs="宋体"/>
                <w:sz w:val="20"/>
                <w:szCs w:val="20"/>
              </w:rPr>
              <w:t xml:space="preserve"> </w:t>
            </w:r>
            <w:r>
              <w:rPr>
                <w:rFonts w:ascii="宋体" w:hAnsi="宋体" w:eastAsia="宋体" w:cs="宋体"/>
                <w:spacing w:val="5"/>
                <w:sz w:val="20"/>
                <w:szCs w:val="20"/>
              </w:rPr>
              <w:t>集</w:t>
            </w:r>
            <w:r>
              <w:rPr>
                <w:rFonts w:ascii="宋体" w:hAnsi="宋体" w:eastAsia="宋体" w:cs="宋体"/>
                <w:spacing w:val="4"/>
                <w:sz w:val="20"/>
                <w:szCs w:val="20"/>
              </w:rPr>
              <w:t>污</w:t>
            </w:r>
            <w:r>
              <w:rPr>
                <w:rFonts w:ascii="宋体" w:hAnsi="宋体" w:eastAsia="宋体" w:cs="宋体"/>
                <w:sz w:val="20"/>
                <w:szCs w:val="20"/>
              </w:rPr>
              <w:t xml:space="preserve"> 池</w:t>
            </w:r>
          </w:p>
        </w:tc>
        <w:tc>
          <w:tcPr>
            <w:tcW w:w="684" w:type="dxa"/>
          </w:tcPr>
          <w:p w14:paraId="66AD5D30">
            <w:pPr>
              <w:spacing w:line="278" w:lineRule="auto"/>
            </w:pPr>
          </w:p>
          <w:p w14:paraId="23DCDE18">
            <w:pPr>
              <w:spacing w:line="279" w:lineRule="auto"/>
            </w:pPr>
          </w:p>
          <w:p w14:paraId="6B410885">
            <w:pPr>
              <w:spacing w:before="58" w:line="199" w:lineRule="auto"/>
              <w:ind w:left="102"/>
              <w:rPr>
                <w:rFonts w:ascii="Times New Roman" w:hAnsi="Times New Roman" w:eastAsia="Times New Roman" w:cs="Times New Roman"/>
                <w:sz w:val="13"/>
                <w:szCs w:val="13"/>
              </w:rPr>
            </w:pPr>
            <w:r>
              <w:rPr>
                <w:rFonts w:ascii="Times New Roman" w:hAnsi="Times New Roman" w:eastAsia="Times New Roman" w:cs="Times New Roman"/>
                <w:sz w:val="20"/>
                <w:szCs w:val="20"/>
              </w:rPr>
              <w:t>NH</w:t>
            </w:r>
            <w:r>
              <w:rPr>
                <w:rFonts w:ascii="Times New Roman" w:hAnsi="Times New Roman" w:eastAsia="Times New Roman" w:cs="Times New Roman"/>
                <w:spacing w:val="19"/>
                <w:position w:val="-1"/>
                <w:sz w:val="13"/>
                <w:szCs w:val="13"/>
              </w:rPr>
              <w:t>3</w:t>
            </w:r>
          </w:p>
        </w:tc>
        <w:tc>
          <w:tcPr>
            <w:tcW w:w="3331" w:type="dxa"/>
            <w:vMerge w:val="restart"/>
            <w:tcBorders>
              <w:bottom w:val="nil"/>
            </w:tcBorders>
          </w:tcPr>
          <w:p w14:paraId="38F0D34C">
            <w:pPr>
              <w:spacing w:before="304" w:line="243" w:lineRule="auto"/>
              <w:ind w:left="112" w:right="105"/>
              <w:rPr>
                <w:rFonts w:ascii="宋体" w:hAnsi="宋体" w:eastAsia="宋体" w:cs="宋体"/>
                <w:sz w:val="20"/>
                <w:szCs w:val="20"/>
              </w:rPr>
            </w:pPr>
            <w:r>
              <w:rPr>
                <w:rFonts w:ascii="宋体" w:hAnsi="宋体" w:eastAsia="宋体" w:cs="宋体"/>
                <w:spacing w:val="10"/>
                <w:sz w:val="20"/>
                <w:szCs w:val="20"/>
              </w:rPr>
              <w:t>①</w:t>
            </w:r>
            <w:r>
              <w:rPr>
                <w:rFonts w:ascii="宋体" w:hAnsi="宋体" w:eastAsia="宋体" w:cs="宋体"/>
                <w:spacing w:val="7"/>
                <w:sz w:val="20"/>
                <w:szCs w:val="20"/>
              </w:rPr>
              <w:t>猪舍喂料采用饲料添加活菌剂、</w:t>
            </w:r>
            <w:r>
              <w:rPr>
                <w:rFonts w:ascii="宋体" w:hAnsi="宋体" w:eastAsia="宋体" w:cs="宋体"/>
                <w:sz w:val="20"/>
                <w:szCs w:val="20"/>
              </w:rPr>
              <w:t xml:space="preserve"> </w:t>
            </w:r>
            <w:r>
              <w:rPr>
                <w:rFonts w:ascii="宋体" w:hAnsi="宋体" w:eastAsia="宋体" w:cs="宋体"/>
                <w:spacing w:val="10"/>
                <w:sz w:val="20"/>
                <w:szCs w:val="20"/>
              </w:rPr>
              <w:t>及</w:t>
            </w:r>
            <w:r>
              <w:rPr>
                <w:rFonts w:ascii="宋体" w:hAnsi="宋体" w:eastAsia="宋体" w:cs="宋体"/>
                <w:spacing w:val="7"/>
                <w:sz w:val="20"/>
                <w:szCs w:val="20"/>
              </w:rPr>
              <w:t>时清粪、加强通风、喷洒生物除</w:t>
            </w:r>
            <w:r>
              <w:rPr>
                <w:rFonts w:ascii="宋体" w:hAnsi="宋体" w:eastAsia="宋体" w:cs="宋体"/>
                <w:sz w:val="20"/>
                <w:szCs w:val="20"/>
              </w:rPr>
              <w:t xml:space="preserve"> </w:t>
            </w:r>
            <w:r>
              <w:rPr>
                <w:rFonts w:ascii="宋体" w:hAnsi="宋体" w:eastAsia="宋体" w:cs="宋体"/>
                <w:spacing w:val="13"/>
                <w:sz w:val="20"/>
                <w:szCs w:val="20"/>
              </w:rPr>
              <w:t>臭</w:t>
            </w:r>
            <w:r>
              <w:rPr>
                <w:rFonts w:ascii="宋体" w:hAnsi="宋体" w:eastAsia="宋体" w:cs="宋体"/>
                <w:spacing w:val="8"/>
                <w:sz w:val="20"/>
                <w:szCs w:val="20"/>
              </w:rPr>
              <w:t>剂、种植绿化隔离带等。</w:t>
            </w:r>
          </w:p>
          <w:p w14:paraId="09E6E38E">
            <w:pPr>
              <w:spacing w:before="28" w:line="225" w:lineRule="auto"/>
              <w:ind w:left="111"/>
              <w:rPr>
                <w:rFonts w:ascii="宋体" w:hAnsi="宋体" w:eastAsia="宋体" w:cs="宋体"/>
                <w:sz w:val="20"/>
                <w:szCs w:val="20"/>
              </w:rPr>
            </w:pPr>
            <w:r>
              <w:rPr>
                <w:rFonts w:ascii="宋体" w:hAnsi="宋体" w:eastAsia="宋体" w:cs="宋体"/>
                <w:spacing w:val="10"/>
                <w:sz w:val="20"/>
                <w:szCs w:val="20"/>
              </w:rPr>
              <w:t>②</w:t>
            </w:r>
            <w:r>
              <w:rPr>
                <w:rFonts w:ascii="宋体" w:hAnsi="宋体" w:eastAsia="宋体" w:cs="宋体"/>
                <w:spacing w:val="7"/>
                <w:sz w:val="20"/>
                <w:szCs w:val="20"/>
              </w:rPr>
              <w:t>异位微生物发酵床、喷洒除臭剂</w:t>
            </w:r>
          </w:p>
          <w:p w14:paraId="79B462FF">
            <w:pPr>
              <w:spacing w:before="27" w:line="225" w:lineRule="auto"/>
              <w:ind w:left="111"/>
              <w:rPr>
                <w:rFonts w:ascii="宋体" w:hAnsi="宋体" w:eastAsia="宋体" w:cs="宋体"/>
                <w:sz w:val="20"/>
                <w:szCs w:val="20"/>
              </w:rPr>
            </w:pPr>
            <w:r>
              <w:rPr>
                <w:rFonts w:ascii="宋体" w:hAnsi="宋体" w:eastAsia="宋体" w:cs="宋体"/>
                <w:spacing w:val="12"/>
                <w:sz w:val="20"/>
                <w:szCs w:val="20"/>
              </w:rPr>
              <w:t>③</w:t>
            </w:r>
            <w:r>
              <w:rPr>
                <w:rFonts w:ascii="宋体" w:hAnsi="宋体" w:eastAsia="宋体" w:cs="宋体"/>
                <w:spacing w:val="9"/>
                <w:sz w:val="20"/>
                <w:szCs w:val="20"/>
              </w:rPr>
              <w:t>集污池密闭，喷洒除臭剂</w:t>
            </w:r>
          </w:p>
        </w:tc>
        <w:tc>
          <w:tcPr>
            <w:tcW w:w="1031" w:type="dxa"/>
            <w:vMerge w:val="restart"/>
            <w:tcBorders>
              <w:bottom w:val="nil"/>
            </w:tcBorders>
          </w:tcPr>
          <w:p w14:paraId="1846DB7B">
            <w:pPr>
              <w:tabs>
                <w:tab w:val="left" w:pos="222"/>
              </w:tabs>
              <w:spacing w:before="166" w:line="257" w:lineRule="auto"/>
              <w:ind w:left="113" w:right="134" w:firstLine="5"/>
              <w:rPr>
                <w:rFonts w:ascii="宋体" w:hAnsi="宋体" w:eastAsia="宋体" w:cs="宋体"/>
                <w:sz w:val="20"/>
                <w:szCs w:val="20"/>
              </w:rPr>
            </w:pPr>
            <w:r>
              <w:rPr>
                <w:rFonts w:ascii="宋体" w:hAnsi="宋体" w:eastAsia="宋体" w:cs="宋体"/>
                <w:spacing w:val="5"/>
                <w:sz w:val="20"/>
                <w:szCs w:val="20"/>
              </w:rPr>
              <w:t>《恶臭</w:t>
            </w:r>
            <w:r>
              <w:rPr>
                <w:rFonts w:ascii="宋体" w:hAnsi="宋体" w:eastAsia="宋体" w:cs="宋体"/>
                <w:sz w:val="20"/>
                <w:szCs w:val="20"/>
              </w:rPr>
              <w:t xml:space="preserve"> </w:t>
            </w:r>
            <w:r>
              <w:rPr>
                <w:rFonts w:ascii="宋体" w:hAnsi="宋体" w:eastAsia="宋体" w:cs="宋体"/>
                <w:spacing w:val="7"/>
                <w:sz w:val="20"/>
                <w:szCs w:val="20"/>
              </w:rPr>
              <w:t>污染</w:t>
            </w:r>
            <w:r>
              <w:rPr>
                <w:rFonts w:ascii="宋体" w:hAnsi="宋体" w:eastAsia="宋体" w:cs="宋体"/>
                <w:spacing w:val="6"/>
                <w:sz w:val="20"/>
                <w:szCs w:val="20"/>
              </w:rPr>
              <w:t>物</w:t>
            </w:r>
            <w:r>
              <w:rPr>
                <w:rFonts w:ascii="宋体" w:hAnsi="宋体" w:eastAsia="宋体" w:cs="宋体"/>
                <w:sz w:val="20"/>
                <w:szCs w:val="20"/>
              </w:rPr>
              <w:t xml:space="preserve"> </w:t>
            </w:r>
            <w:r>
              <w:rPr>
                <w:rFonts w:ascii="宋体" w:hAnsi="宋体" w:eastAsia="宋体" w:cs="宋体"/>
                <w:spacing w:val="7"/>
                <w:sz w:val="20"/>
                <w:szCs w:val="20"/>
              </w:rPr>
              <w:t>排放</w:t>
            </w:r>
            <w:r>
              <w:rPr>
                <w:rFonts w:ascii="宋体" w:hAnsi="宋体" w:eastAsia="宋体" w:cs="宋体"/>
                <w:spacing w:val="6"/>
                <w:sz w:val="20"/>
                <w:szCs w:val="20"/>
              </w:rPr>
              <w:t>标</w:t>
            </w:r>
            <w:r>
              <w:rPr>
                <w:rFonts w:ascii="宋体" w:hAnsi="宋体" w:eastAsia="宋体" w:cs="宋体"/>
                <w:sz w:val="20"/>
                <w:szCs w:val="20"/>
              </w:rPr>
              <w:t xml:space="preserve"> </w:t>
            </w:r>
            <w:r>
              <w:rPr>
                <w:rFonts w:ascii="宋体" w:hAnsi="宋体" w:eastAsia="宋体" w:cs="宋体"/>
                <w:spacing w:val="-2"/>
                <w:sz w:val="20"/>
                <w:szCs w:val="20"/>
              </w:rPr>
              <w:t>准》</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6"/>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5"/>
                <w:sz w:val="20"/>
                <w:szCs w:val="20"/>
              </w:rPr>
              <w:t>14</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2"/>
                <w:sz w:val="20"/>
                <w:szCs w:val="20"/>
              </w:rPr>
              <w:t>554-</w:t>
            </w:r>
            <w:r>
              <w:rPr>
                <w:rFonts w:ascii="Times New Roman" w:hAnsi="Times New Roman" w:eastAsia="Times New Roman" w:cs="Times New Roman"/>
                <w:spacing w:val="1"/>
                <w:sz w:val="20"/>
                <w:szCs w:val="20"/>
              </w:rPr>
              <w:t>93</w:t>
            </w:r>
            <w:r>
              <w:rPr>
                <w:rFonts w:ascii="宋体" w:hAnsi="宋体" w:eastAsia="宋体" w:cs="宋体"/>
                <w:spacing w:val="1"/>
                <w:sz w:val="20"/>
                <w:szCs w:val="20"/>
              </w:rPr>
              <w:t>)</w:t>
            </w:r>
          </w:p>
        </w:tc>
        <w:tc>
          <w:tcPr>
            <w:tcW w:w="1133" w:type="dxa"/>
          </w:tcPr>
          <w:p w14:paraId="715EC77C">
            <w:pPr>
              <w:spacing w:line="307" w:lineRule="auto"/>
            </w:pPr>
          </w:p>
          <w:p w14:paraId="5C17DD07">
            <w:pPr>
              <w:spacing w:line="307" w:lineRule="auto"/>
            </w:pPr>
          </w:p>
          <w:p w14:paraId="1A872E7C">
            <w:pPr>
              <w:spacing w:before="57" w:line="195" w:lineRule="auto"/>
              <w:ind w:left="33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1500</w:t>
            </w:r>
          </w:p>
        </w:tc>
        <w:tc>
          <w:tcPr>
            <w:tcW w:w="1055" w:type="dxa"/>
            <w:tcBorders>
              <w:right w:val="nil"/>
            </w:tcBorders>
          </w:tcPr>
          <w:p w14:paraId="4F0F15D3">
            <w:pPr>
              <w:spacing w:line="277" w:lineRule="auto"/>
            </w:pPr>
          </w:p>
          <w:p w14:paraId="10C52422">
            <w:pPr>
              <w:spacing w:line="278" w:lineRule="auto"/>
            </w:pPr>
          </w:p>
          <w:p w14:paraId="7607F614">
            <w:pPr>
              <w:spacing w:before="57" w:line="195" w:lineRule="auto"/>
              <w:ind w:left="11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2"/>
                <w:sz w:val="20"/>
                <w:szCs w:val="20"/>
              </w:rPr>
              <w:t>.27</w:t>
            </w:r>
          </w:p>
        </w:tc>
      </w:tr>
      <w:tr w14:paraId="44237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553" w:type="dxa"/>
            <w:vMerge w:val="continue"/>
            <w:tcBorders>
              <w:top w:val="nil"/>
              <w:left w:val="nil"/>
            </w:tcBorders>
          </w:tcPr>
          <w:p w14:paraId="651FA7ED"/>
        </w:tc>
        <w:tc>
          <w:tcPr>
            <w:tcW w:w="683" w:type="dxa"/>
            <w:vMerge w:val="continue"/>
            <w:tcBorders>
              <w:top w:val="nil"/>
            </w:tcBorders>
          </w:tcPr>
          <w:p w14:paraId="0A7A26D6"/>
        </w:tc>
        <w:tc>
          <w:tcPr>
            <w:tcW w:w="817" w:type="dxa"/>
            <w:vMerge w:val="continue"/>
            <w:tcBorders>
              <w:top w:val="nil"/>
            </w:tcBorders>
          </w:tcPr>
          <w:p w14:paraId="0B309D43"/>
        </w:tc>
        <w:tc>
          <w:tcPr>
            <w:tcW w:w="684" w:type="dxa"/>
          </w:tcPr>
          <w:p w14:paraId="630DCBAF">
            <w:pPr>
              <w:spacing w:before="80" w:line="202" w:lineRule="auto"/>
              <w:ind w:left="108"/>
              <w:rPr>
                <w:rFonts w:ascii="Times New Roman" w:hAnsi="Times New Roman" w:eastAsia="Times New Roman" w:cs="Times New Roman"/>
                <w:sz w:val="20"/>
                <w:szCs w:val="20"/>
              </w:rPr>
            </w:pPr>
            <w:r>
              <w:rPr>
                <w:rFonts w:ascii="Times New Roman" w:hAnsi="Times New Roman" w:eastAsia="Times New Roman" w:cs="Times New Roman"/>
                <w:sz w:val="20"/>
                <w:szCs w:val="20"/>
              </w:rPr>
              <w:t>H</w:t>
            </w:r>
            <w:r>
              <w:rPr>
                <w:rFonts w:ascii="Times New Roman" w:hAnsi="Times New Roman" w:eastAsia="Times New Roman" w:cs="Times New Roman"/>
                <w:spacing w:val="18"/>
                <w:position w:val="-1"/>
                <w:sz w:val="13"/>
                <w:szCs w:val="13"/>
              </w:rPr>
              <w:t>2</w:t>
            </w:r>
            <w:r>
              <w:rPr>
                <w:rFonts w:ascii="Times New Roman" w:hAnsi="Times New Roman" w:eastAsia="Times New Roman" w:cs="Times New Roman"/>
                <w:sz w:val="20"/>
                <w:szCs w:val="20"/>
              </w:rPr>
              <w:t>S</w:t>
            </w:r>
          </w:p>
        </w:tc>
        <w:tc>
          <w:tcPr>
            <w:tcW w:w="3331" w:type="dxa"/>
            <w:vMerge w:val="continue"/>
            <w:tcBorders>
              <w:top w:val="nil"/>
            </w:tcBorders>
          </w:tcPr>
          <w:p w14:paraId="234BE932"/>
        </w:tc>
        <w:tc>
          <w:tcPr>
            <w:tcW w:w="1031" w:type="dxa"/>
            <w:vMerge w:val="continue"/>
            <w:tcBorders>
              <w:top w:val="nil"/>
            </w:tcBorders>
          </w:tcPr>
          <w:p w14:paraId="323DD6DE"/>
        </w:tc>
        <w:tc>
          <w:tcPr>
            <w:tcW w:w="1133" w:type="dxa"/>
          </w:tcPr>
          <w:p w14:paraId="0968C2DE">
            <w:pPr>
              <w:spacing w:before="140" w:line="195" w:lineRule="auto"/>
              <w:ind w:left="46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0</w:t>
            </w:r>
          </w:p>
        </w:tc>
        <w:tc>
          <w:tcPr>
            <w:tcW w:w="1055" w:type="dxa"/>
            <w:tcBorders>
              <w:right w:val="nil"/>
            </w:tcBorders>
          </w:tcPr>
          <w:p w14:paraId="13086551">
            <w:pPr>
              <w:spacing w:before="80" w:line="195" w:lineRule="auto"/>
              <w:ind w:left="11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.0339</w:t>
            </w:r>
          </w:p>
        </w:tc>
      </w:tr>
    </w:tbl>
    <w:p w14:paraId="208F0CB3">
      <w:pPr>
        <w:spacing w:before="43" w:line="228" w:lineRule="auto"/>
        <w:ind w:left="3917"/>
        <w:rPr>
          <w:rFonts w:ascii="宋体" w:hAnsi="宋体" w:eastAsia="宋体" w:cs="宋体"/>
          <w:sz w:val="20"/>
          <w:szCs w:val="20"/>
        </w:rPr>
      </w:pPr>
      <w:r>
        <w:rPr>
          <w:rFonts w:ascii="宋体" w:hAnsi="宋体" w:eastAsia="宋体" w:cs="宋体"/>
          <w:spacing w:val="11"/>
          <w:sz w:val="20"/>
          <w:szCs w:val="20"/>
        </w:rPr>
        <w:t>无</w:t>
      </w:r>
      <w:r>
        <w:rPr>
          <w:rFonts w:ascii="宋体" w:hAnsi="宋体" w:eastAsia="宋体" w:cs="宋体"/>
          <w:spacing w:val="8"/>
          <w:sz w:val="20"/>
          <w:szCs w:val="20"/>
        </w:rPr>
        <w:t>组织排放总计</w:t>
      </w:r>
    </w:p>
    <w:p w14:paraId="2AE6E38E">
      <w:pPr>
        <w:spacing w:line="101" w:lineRule="auto"/>
        <w:rPr>
          <w:sz w:val="2"/>
        </w:rPr>
      </w:pPr>
    </w:p>
    <w:tbl>
      <w:tblPr>
        <w:tblStyle w:val="4"/>
        <w:tblW w:w="928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5"/>
        <w:gridCol w:w="5864"/>
        <w:gridCol w:w="2188"/>
      </w:tblGrid>
      <w:tr w14:paraId="1163C8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235" w:type="dxa"/>
            <w:vMerge w:val="restart"/>
            <w:tcBorders>
              <w:left w:val="nil"/>
              <w:bottom w:val="nil"/>
            </w:tcBorders>
          </w:tcPr>
          <w:p w14:paraId="76B47EB9">
            <w:pPr>
              <w:spacing w:before="128" w:line="266" w:lineRule="auto"/>
              <w:ind w:left="310" w:right="197" w:hanging="103"/>
              <w:rPr>
                <w:rFonts w:ascii="宋体" w:hAnsi="宋体" w:eastAsia="宋体" w:cs="宋体"/>
                <w:sz w:val="20"/>
                <w:szCs w:val="20"/>
              </w:rPr>
            </w:pPr>
            <w:r>
              <w:rPr>
                <w:rFonts w:ascii="宋体" w:hAnsi="宋体" w:eastAsia="宋体" w:cs="宋体"/>
                <w:spacing w:val="7"/>
                <w:sz w:val="20"/>
                <w:szCs w:val="20"/>
              </w:rPr>
              <w:t>无组织</w:t>
            </w:r>
            <w:r>
              <w:rPr>
                <w:rFonts w:ascii="宋体" w:hAnsi="宋体" w:eastAsia="宋体" w:cs="宋体"/>
                <w:spacing w:val="6"/>
                <w:sz w:val="20"/>
                <w:szCs w:val="20"/>
              </w:rPr>
              <w:t>排</w:t>
            </w:r>
            <w:r>
              <w:rPr>
                <w:rFonts w:ascii="宋体" w:hAnsi="宋体" w:eastAsia="宋体" w:cs="宋体"/>
                <w:sz w:val="20"/>
                <w:szCs w:val="20"/>
              </w:rPr>
              <w:t xml:space="preserve"> </w:t>
            </w:r>
            <w:r>
              <w:rPr>
                <w:rFonts w:ascii="宋体" w:hAnsi="宋体" w:eastAsia="宋体" w:cs="宋体"/>
                <w:spacing w:val="7"/>
                <w:sz w:val="20"/>
                <w:szCs w:val="20"/>
              </w:rPr>
              <w:t>放总</w:t>
            </w:r>
            <w:r>
              <w:rPr>
                <w:rFonts w:ascii="宋体" w:hAnsi="宋体" w:eastAsia="宋体" w:cs="宋体"/>
                <w:spacing w:val="6"/>
                <w:sz w:val="20"/>
                <w:szCs w:val="20"/>
              </w:rPr>
              <w:t>计</w:t>
            </w:r>
          </w:p>
        </w:tc>
        <w:tc>
          <w:tcPr>
            <w:tcW w:w="5864" w:type="dxa"/>
          </w:tcPr>
          <w:p w14:paraId="056E6BA2">
            <w:pPr>
              <w:spacing w:before="60" w:line="199" w:lineRule="auto"/>
              <w:ind w:left="2953"/>
              <w:rPr>
                <w:rFonts w:ascii="Times New Roman" w:hAnsi="Times New Roman" w:eastAsia="Times New Roman" w:cs="Times New Roman"/>
                <w:sz w:val="13"/>
                <w:szCs w:val="13"/>
              </w:rPr>
            </w:pPr>
            <w:r>
              <w:rPr>
                <w:rFonts w:ascii="Times New Roman" w:hAnsi="Times New Roman" w:eastAsia="Times New Roman" w:cs="Times New Roman"/>
                <w:sz w:val="20"/>
                <w:szCs w:val="20"/>
              </w:rPr>
              <w:t>NH</w:t>
            </w:r>
            <w:r>
              <w:rPr>
                <w:rFonts w:ascii="Times New Roman" w:hAnsi="Times New Roman" w:eastAsia="Times New Roman" w:cs="Times New Roman"/>
                <w:spacing w:val="19"/>
                <w:position w:val="-1"/>
                <w:sz w:val="13"/>
                <w:szCs w:val="13"/>
              </w:rPr>
              <w:t>3</w:t>
            </w:r>
          </w:p>
        </w:tc>
        <w:tc>
          <w:tcPr>
            <w:tcW w:w="2188" w:type="dxa"/>
            <w:tcBorders>
              <w:right w:val="nil"/>
            </w:tcBorders>
          </w:tcPr>
          <w:p w14:paraId="7823D308">
            <w:pPr>
              <w:spacing w:before="57" w:line="195" w:lineRule="auto"/>
              <w:ind w:left="91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2"/>
                <w:sz w:val="20"/>
                <w:szCs w:val="20"/>
              </w:rPr>
              <w:t>.27</w:t>
            </w:r>
          </w:p>
        </w:tc>
      </w:tr>
      <w:tr w14:paraId="3A4884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1235" w:type="dxa"/>
            <w:vMerge w:val="continue"/>
            <w:tcBorders>
              <w:top w:val="nil"/>
              <w:left w:val="nil"/>
            </w:tcBorders>
          </w:tcPr>
          <w:p w14:paraId="3BFE7529"/>
        </w:tc>
        <w:tc>
          <w:tcPr>
            <w:tcW w:w="5864" w:type="dxa"/>
          </w:tcPr>
          <w:p w14:paraId="2BE188F4">
            <w:pPr>
              <w:spacing w:before="115" w:line="202" w:lineRule="auto"/>
              <w:ind w:left="276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H</w:t>
            </w:r>
            <w:r>
              <w:rPr>
                <w:rFonts w:ascii="Times New Roman" w:hAnsi="Times New Roman" w:eastAsia="Times New Roman" w:cs="Times New Roman"/>
                <w:spacing w:val="-3"/>
                <w:position w:val="-1"/>
                <w:sz w:val="13"/>
                <w:szCs w:val="13"/>
              </w:rPr>
              <w:t xml:space="preserve">2 </w:t>
            </w:r>
            <w:r>
              <w:rPr>
                <w:rFonts w:ascii="Times New Roman" w:hAnsi="Times New Roman" w:eastAsia="Times New Roman" w:cs="Times New Roman"/>
                <w:spacing w:val="-3"/>
                <w:sz w:val="20"/>
                <w:szCs w:val="20"/>
              </w:rPr>
              <w:t>S</w:t>
            </w:r>
          </w:p>
        </w:tc>
        <w:tc>
          <w:tcPr>
            <w:tcW w:w="2188" w:type="dxa"/>
            <w:tcBorders>
              <w:right w:val="nil"/>
            </w:tcBorders>
          </w:tcPr>
          <w:p w14:paraId="064FB111">
            <w:pPr>
              <w:spacing w:before="55" w:line="195" w:lineRule="auto"/>
              <w:ind w:left="81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0</w:t>
            </w:r>
            <w:r>
              <w:rPr>
                <w:rFonts w:ascii="Times New Roman" w:hAnsi="Times New Roman" w:eastAsia="Times New Roman" w:cs="Times New Roman"/>
                <w:spacing w:val="4"/>
                <w:sz w:val="20"/>
                <w:szCs w:val="20"/>
              </w:rPr>
              <w:t>.</w:t>
            </w:r>
            <w:r>
              <w:rPr>
                <w:rFonts w:ascii="Times New Roman" w:hAnsi="Times New Roman" w:eastAsia="Times New Roman" w:cs="Times New Roman"/>
                <w:spacing w:val="3"/>
                <w:sz w:val="20"/>
                <w:szCs w:val="20"/>
              </w:rPr>
              <w:t>0339</w:t>
            </w:r>
          </w:p>
        </w:tc>
      </w:tr>
    </w:tbl>
    <w:p w14:paraId="0AFE2337">
      <w:pPr>
        <w:spacing w:before="38" w:line="228" w:lineRule="auto"/>
        <w:ind w:left="597"/>
        <w:rPr>
          <w:rFonts w:ascii="宋体" w:hAnsi="宋体" w:eastAsia="宋体" w:cs="宋体"/>
          <w:sz w:val="23"/>
          <w:szCs w:val="23"/>
        </w:rPr>
      </w:pPr>
      <w:r>
        <w:rPr>
          <w:rFonts w:ascii="宋体" w:hAnsi="宋体" w:eastAsia="宋体" w:cs="宋体"/>
          <w:spacing w:val="16"/>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6"/>
          <w:sz w:val="23"/>
          <w:szCs w:val="23"/>
        </w:rPr>
        <w:t>8</w:t>
      </w:r>
      <w:r>
        <w:rPr>
          <w:rFonts w:ascii="宋体" w:hAnsi="宋体" w:eastAsia="宋体" w:cs="宋体"/>
          <w:spacing w:val="16"/>
          <w:sz w:val="23"/>
          <w:szCs w:val="23"/>
          <w14:textOutline w14:w="4356" w14:cap="sq" w14:cmpd="sng" w14:algn="ctr">
            <w14:solidFill>
              <w14:srgbClr w14:val="000000"/>
            </w14:solidFill>
            <w14:prstDash w14:val="solid"/>
            <w14:bevel/>
          </w14:textOutline>
        </w:rPr>
        <w:t>)</w:t>
      </w:r>
      <w:r>
        <w:rPr>
          <w:rFonts w:ascii="宋体" w:hAnsi="宋体" w:eastAsia="宋体" w:cs="宋体"/>
          <w:spacing w:val="16"/>
          <w:sz w:val="23"/>
          <w:szCs w:val="23"/>
        </w:rPr>
        <w:t xml:space="preserve"> </w:t>
      </w:r>
      <w:r>
        <w:rPr>
          <w:rFonts w:ascii="宋体" w:hAnsi="宋体" w:eastAsia="宋体" w:cs="宋体"/>
          <w:spacing w:val="16"/>
          <w:sz w:val="23"/>
          <w:szCs w:val="23"/>
          <w14:textOutline w14:w="4356" w14:cap="sq" w14:cmpd="sng" w14:algn="ctr">
            <w14:solidFill>
              <w14:srgbClr w14:val="000000"/>
            </w14:solidFill>
            <w14:prstDash w14:val="solid"/>
            <w14:bevel/>
          </w14:textOutline>
        </w:rPr>
        <w:t>大气环境防护距离的确</w:t>
      </w:r>
      <w:r>
        <w:rPr>
          <w:rFonts w:ascii="宋体" w:hAnsi="宋体" w:eastAsia="宋体" w:cs="宋体"/>
          <w:spacing w:val="14"/>
          <w:sz w:val="23"/>
          <w:szCs w:val="23"/>
          <w14:textOutline w14:w="4356" w14:cap="sq" w14:cmpd="sng" w14:algn="ctr">
            <w14:solidFill>
              <w14:srgbClr w14:val="000000"/>
            </w14:solidFill>
            <w14:prstDash w14:val="solid"/>
            <w14:bevel/>
          </w14:textOutline>
        </w:rPr>
        <w:t>定</w:t>
      </w:r>
    </w:p>
    <w:p w14:paraId="5299B591">
      <w:pPr>
        <w:spacing w:before="180" w:line="369" w:lineRule="auto"/>
        <w:ind w:left="118" w:right="508" w:firstLine="480"/>
        <w:rPr>
          <w:rFonts w:ascii="宋体" w:hAnsi="宋体" w:eastAsia="宋体" w:cs="宋体"/>
          <w:sz w:val="23"/>
          <w:szCs w:val="23"/>
        </w:rPr>
      </w:pPr>
      <w:r>
        <w:rPr>
          <w:rFonts w:ascii="宋体" w:hAnsi="宋体" w:eastAsia="宋体" w:cs="宋体"/>
          <w:spacing w:val="10"/>
          <w:sz w:val="23"/>
          <w:szCs w:val="23"/>
        </w:rPr>
        <w:t>根</w:t>
      </w:r>
      <w:r>
        <w:rPr>
          <w:rFonts w:ascii="宋体" w:hAnsi="宋体" w:eastAsia="宋体" w:cs="宋体"/>
          <w:spacing w:val="6"/>
          <w:sz w:val="23"/>
          <w:szCs w:val="23"/>
        </w:rPr>
        <w:t>据</w:t>
      </w:r>
      <w:r>
        <w:rPr>
          <w:rFonts w:ascii="宋体" w:hAnsi="宋体" w:eastAsia="宋体" w:cs="宋体"/>
          <w:spacing w:val="5"/>
          <w:sz w:val="23"/>
          <w:szCs w:val="23"/>
        </w:rPr>
        <w:t xml:space="preserve"> </w:t>
      </w:r>
      <w:r>
        <w:rPr>
          <w:rFonts w:ascii="Times New Roman" w:hAnsi="Times New Roman" w:eastAsia="Times New Roman" w:cs="Times New Roman"/>
          <w:sz w:val="23"/>
          <w:szCs w:val="23"/>
        </w:rPr>
        <w:t>AERSCREEN</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 xml:space="preserve">估算模式预测结果，项目无组织排放的 </w:t>
      </w:r>
      <w:r>
        <w:rPr>
          <w:rFonts w:ascii="Times New Roman" w:hAnsi="Times New Roman" w:eastAsia="Times New Roman" w:cs="Times New Roman"/>
          <w:sz w:val="23"/>
          <w:szCs w:val="23"/>
        </w:rPr>
        <w:t>H</w:t>
      </w:r>
      <w:r>
        <w:rPr>
          <w:rFonts w:ascii="Times New Roman" w:hAnsi="Times New Roman" w:eastAsia="Times New Roman" w:cs="Times New Roman"/>
          <w:spacing w:val="5"/>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w:t>
      </w:r>
      <w:r>
        <w:rPr>
          <w:rFonts w:ascii="Times New Roman" w:hAnsi="Times New Roman" w:eastAsia="Times New Roman" w:cs="Times New Roman"/>
          <w:sz w:val="23"/>
          <w:szCs w:val="23"/>
        </w:rPr>
        <w:t>NH</w:t>
      </w:r>
      <w:r>
        <w:rPr>
          <w:rFonts w:ascii="Times New Roman" w:hAnsi="Times New Roman" w:eastAsia="Times New Roman" w:cs="Times New Roman"/>
          <w:spacing w:val="5"/>
          <w:position w:val="-1"/>
          <w:sz w:val="15"/>
          <w:szCs w:val="15"/>
        </w:rPr>
        <w:t xml:space="preserve">3 </w:t>
      </w:r>
      <w:r>
        <w:rPr>
          <w:rFonts w:ascii="宋体" w:hAnsi="宋体" w:eastAsia="宋体" w:cs="宋体"/>
          <w:spacing w:val="5"/>
          <w:sz w:val="23"/>
          <w:szCs w:val="23"/>
        </w:rPr>
        <w:t>，正常排</w:t>
      </w:r>
      <w:r>
        <w:rPr>
          <w:rFonts w:ascii="宋体" w:hAnsi="宋体" w:eastAsia="宋体" w:cs="宋体"/>
          <w:sz w:val="23"/>
          <w:szCs w:val="23"/>
        </w:rPr>
        <w:t xml:space="preserve"> </w:t>
      </w:r>
      <w:r>
        <w:rPr>
          <w:rFonts w:ascii="宋体" w:hAnsi="宋体" w:eastAsia="宋体" w:cs="宋体"/>
          <w:spacing w:val="8"/>
          <w:sz w:val="23"/>
          <w:szCs w:val="23"/>
        </w:rPr>
        <w:t>放情况下，最大</w:t>
      </w:r>
      <w:r>
        <w:rPr>
          <w:rFonts w:ascii="宋体" w:hAnsi="宋体" w:eastAsia="宋体" w:cs="宋体"/>
          <w:spacing w:val="6"/>
          <w:sz w:val="23"/>
          <w:szCs w:val="23"/>
        </w:rPr>
        <w:t>地</w:t>
      </w:r>
      <w:r>
        <w:rPr>
          <w:rFonts w:ascii="宋体" w:hAnsi="宋体" w:eastAsia="宋体" w:cs="宋体"/>
          <w:spacing w:val="4"/>
          <w:sz w:val="23"/>
          <w:szCs w:val="23"/>
        </w:rPr>
        <w:t xml:space="preserve">面空气质量浓度占标率分别为 </w:t>
      </w:r>
      <w:r>
        <w:rPr>
          <w:rFonts w:ascii="Times New Roman" w:hAnsi="Times New Roman" w:eastAsia="Times New Roman" w:cs="Times New Roman"/>
          <w:spacing w:val="4"/>
          <w:sz w:val="23"/>
          <w:szCs w:val="23"/>
        </w:rPr>
        <w:t>1.9492</w:t>
      </w:r>
      <w:r>
        <w:rPr>
          <w:rFonts w:ascii="Times New Roman" w:hAnsi="Times New Roman" w:eastAsia="Times New Roman" w:cs="Times New Roman"/>
          <w:sz w:val="23"/>
          <w:szCs w:val="23"/>
        </w:rPr>
        <w:t>ug</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4"/>
          <w:position w:val="7"/>
          <w:sz w:val="15"/>
          <w:szCs w:val="15"/>
        </w:rPr>
        <w:t>3</w:t>
      </w:r>
      <w:r>
        <w:rPr>
          <w:rFonts w:ascii="宋体" w:hAnsi="宋体" w:eastAsia="宋体" w:cs="宋体"/>
          <w:spacing w:val="4"/>
          <w:sz w:val="23"/>
          <w:szCs w:val="23"/>
        </w:rPr>
        <w:t>、</w:t>
      </w:r>
      <w:r>
        <w:rPr>
          <w:rFonts w:ascii="Times New Roman" w:hAnsi="Times New Roman" w:eastAsia="Times New Roman" w:cs="Times New Roman"/>
          <w:spacing w:val="4"/>
          <w:sz w:val="23"/>
          <w:szCs w:val="23"/>
        </w:rPr>
        <w:t>0.249316</w:t>
      </w:r>
      <w:r>
        <w:rPr>
          <w:rFonts w:ascii="Times New Roman" w:hAnsi="Times New Roman" w:eastAsia="Times New Roman" w:cs="Times New Roman"/>
          <w:sz w:val="23"/>
          <w:szCs w:val="23"/>
        </w:rPr>
        <w:t>ug</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m</w:t>
      </w:r>
      <w:r>
        <w:rPr>
          <w:rFonts w:ascii="Times New Roman" w:hAnsi="Times New Roman" w:eastAsia="Times New Roman" w:cs="Times New Roman"/>
          <w:spacing w:val="4"/>
          <w:position w:val="7"/>
          <w:sz w:val="15"/>
          <w:szCs w:val="15"/>
        </w:rPr>
        <w:t>3</w:t>
      </w:r>
      <w:r>
        <w:rPr>
          <w:rFonts w:ascii="宋体" w:hAnsi="宋体" w:eastAsia="宋体" w:cs="宋体"/>
          <w:spacing w:val="4"/>
          <w:sz w:val="23"/>
          <w:szCs w:val="23"/>
        </w:rPr>
        <w:t>；项目</w:t>
      </w:r>
      <w:r>
        <w:rPr>
          <w:rFonts w:ascii="宋体" w:hAnsi="宋体" w:eastAsia="宋体" w:cs="宋体"/>
          <w:sz w:val="23"/>
          <w:szCs w:val="23"/>
        </w:rPr>
        <w:t xml:space="preserve"> </w:t>
      </w:r>
      <w:r>
        <w:rPr>
          <w:rFonts w:ascii="宋体" w:hAnsi="宋体" w:eastAsia="宋体" w:cs="宋体"/>
          <w:spacing w:val="8"/>
          <w:sz w:val="23"/>
          <w:szCs w:val="23"/>
        </w:rPr>
        <w:t xml:space="preserve">排放的 </w:t>
      </w:r>
      <w:r>
        <w:rPr>
          <w:rFonts w:ascii="Times New Roman" w:hAnsi="Times New Roman" w:eastAsia="Times New Roman" w:cs="Times New Roman"/>
          <w:sz w:val="23"/>
          <w:szCs w:val="23"/>
        </w:rPr>
        <w:t>H</w:t>
      </w:r>
      <w:r>
        <w:rPr>
          <w:rFonts w:ascii="Times New Roman" w:hAnsi="Times New Roman" w:eastAsia="Times New Roman" w:cs="Times New Roman"/>
          <w:spacing w:val="7"/>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w:t>
      </w:r>
      <w:r>
        <w:rPr>
          <w:rFonts w:ascii="Times New Roman" w:hAnsi="Times New Roman" w:eastAsia="Times New Roman" w:cs="Times New Roman"/>
          <w:sz w:val="23"/>
          <w:szCs w:val="23"/>
        </w:rPr>
        <w:t>NH</w:t>
      </w:r>
      <w:r>
        <w:rPr>
          <w:rFonts w:ascii="Times New Roman" w:hAnsi="Times New Roman" w:eastAsia="Times New Roman" w:cs="Times New Roman"/>
          <w:spacing w:val="4"/>
          <w:position w:val="-1"/>
          <w:sz w:val="15"/>
          <w:szCs w:val="15"/>
        </w:rPr>
        <w:t xml:space="preserve">3 </w:t>
      </w:r>
      <w:r>
        <w:rPr>
          <w:rFonts w:ascii="宋体" w:hAnsi="宋体" w:eastAsia="宋体" w:cs="宋体"/>
          <w:spacing w:val="4"/>
          <w:sz w:val="23"/>
          <w:szCs w:val="23"/>
        </w:rPr>
        <w:t xml:space="preserve">最大地面空气质量浓度占标率均小于 </w:t>
      </w:r>
      <w:r>
        <w:rPr>
          <w:rFonts w:ascii="Times New Roman" w:hAnsi="Times New Roman" w:eastAsia="Times New Roman" w:cs="Times New Roman"/>
          <w:spacing w:val="4"/>
          <w:sz w:val="23"/>
          <w:szCs w:val="23"/>
        </w:rPr>
        <w:t xml:space="preserve">10% </w:t>
      </w:r>
      <w:r>
        <w:rPr>
          <w:rFonts w:ascii="宋体" w:hAnsi="宋体" w:eastAsia="宋体" w:cs="宋体"/>
          <w:spacing w:val="4"/>
          <w:sz w:val="23"/>
          <w:szCs w:val="23"/>
        </w:rPr>
        <w:t>，厂界外无超标点，因</w:t>
      </w:r>
      <w:r>
        <w:rPr>
          <w:rFonts w:ascii="宋体" w:hAnsi="宋体" w:eastAsia="宋体" w:cs="宋体"/>
          <w:sz w:val="23"/>
          <w:szCs w:val="23"/>
        </w:rPr>
        <w:t xml:space="preserve"> </w:t>
      </w:r>
      <w:r>
        <w:rPr>
          <w:rFonts w:ascii="宋体" w:hAnsi="宋体" w:eastAsia="宋体" w:cs="宋体"/>
          <w:spacing w:val="16"/>
          <w:sz w:val="23"/>
          <w:szCs w:val="23"/>
        </w:rPr>
        <w:t>此</w:t>
      </w:r>
      <w:r>
        <w:rPr>
          <w:rFonts w:ascii="宋体" w:hAnsi="宋体" w:eastAsia="宋体" w:cs="宋体"/>
          <w:spacing w:val="8"/>
          <w:sz w:val="23"/>
          <w:szCs w:val="23"/>
        </w:rPr>
        <w:t>无需设置大气环境防护距离。</w:t>
      </w:r>
    </w:p>
    <w:p w14:paraId="6DD76B8B">
      <w:pPr>
        <w:spacing w:before="30" w:line="228" w:lineRule="auto"/>
        <w:ind w:left="597"/>
        <w:rPr>
          <w:rFonts w:ascii="宋体" w:hAnsi="宋体" w:eastAsia="宋体" w:cs="宋体"/>
          <w:sz w:val="23"/>
          <w:szCs w:val="23"/>
        </w:rPr>
      </w:pP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8"/>
          <w:sz w:val="23"/>
          <w:szCs w:val="23"/>
        </w:rPr>
        <w:t>9</w:t>
      </w: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宋体" w:hAnsi="宋体" w:eastAsia="宋体" w:cs="宋体"/>
          <w:spacing w:val="18"/>
          <w:sz w:val="23"/>
          <w:szCs w:val="23"/>
        </w:rPr>
        <w:t xml:space="preserve"> </w:t>
      </w:r>
      <w:r>
        <w:rPr>
          <w:rFonts w:ascii="宋体" w:hAnsi="宋体" w:eastAsia="宋体" w:cs="宋体"/>
          <w:spacing w:val="18"/>
          <w:sz w:val="23"/>
          <w:szCs w:val="23"/>
          <w14:textOutline w14:w="4356" w14:cap="sq" w14:cmpd="sng" w14:algn="ctr">
            <w14:solidFill>
              <w14:srgbClr w14:val="000000"/>
            </w14:solidFill>
            <w14:prstDash w14:val="solid"/>
            <w14:bevel/>
          </w14:textOutline>
        </w:rPr>
        <w:t>卫生防护距离</w:t>
      </w:r>
    </w:p>
    <w:p w14:paraId="7C45949A">
      <w:pPr>
        <w:spacing w:before="183" w:line="375" w:lineRule="auto"/>
        <w:ind w:left="121" w:right="510" w:firstLine="479"/>
        <w:rPr>
          <w:rFonts w:ascii="宋体" w:hAnsi="宋体" w:eastAsia="宋体" w:cs="宋体"/>
          <w:sz w:val="23"/>
          <w:szCs w:val="23"/>
        </w:rPr>
      </w:pPr>
      <w:r>
        <w:rPr>
          <w:rFonts w:ascii="宋体" w:hAnsi="宋体" w:eastAsia="宋体" w:cs="宋体"/>
          <w:spacing w:val="10"/>
          <w:sz w:val="23"/>
          <w:szCs w:val="23"/>
        </w:rPr>
        <w:t>卫生防护距离是指产生有害因素的部门 (车间或工段) 的边界至居住区边界</w:t>
      </w:r>
      <w:r>
        <w:rPr>
          <w:rFonts w:ascii="宋体" w:hAnsi="宋体" w:eastAsia="宋体" w:cs="宋体"/>
          <w:spacing w:val="5"/>
          <w:sz w:val="23"/>
          <w:szCs w:val="23"/>
        </w:rPr>
        <w:t>的</w:t>
      </w:r>
      <w:r>
        <w:rPr>
          <w:rFonts w:ascii="宋体" w:hAnsi="宋体" w:eastAsia="宋体" w:cs="宋体"/>
          <w:sz w:val="23"/>
          <w:szCs w:val="23"/>
        </w:rPr>
        <w:t xml:space="preserve"> </w:t>
      </w:r>
      <w:r>
        <w:rPr>
          <w:rFonts w:ascii="宋体" w:hAnsi="宋体" w:eastAsia="宋体" w:cs="宋体"/>
          <w:spacing w:val="10"/>
          <w:sz w:val="23"/>
          <w:szCs w:val="23"/>
        </w:rPr>
        <w:t>最</w:t>
      </w:r>
      <w:r>
        <w:rPr>
          <w:rFonts w:ascii="宋体" w:hAnsi="宋体" w:eastAsia="宋体" w:cs="宋体"/>
          <w:spacing w:val="5"/>
          <w:sz w:val="23"/>
          <w:szCs w:val="23"/>
        </w:rPr>
        <w:t xml:space="preserve">小距离。以下就本项目无组织排放的 </w:t>
      </w:r>
      <w:r>
        <w:rPr>
          <w:rFonts w:ascii="Times New Roman" w:hAnsi="Times New Roman" w:eastAsia="Times New Roman" w:cs="Times New Roman"/>
          <w:sz w:val="23"/>
          <w:szCs w:val="23"/>
        </w:rPr>
        <w:t>H</w:t>
      </w:r>
      <w:r>
        <w:rPr>
          <w:rFonts w:ascii="Times New Roman" w:hAnsi="Times New Roman" w:eastAsia="Times New Roman" w:cs="Times New Roman"/>
          <w:spacing w:val="5"/>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 xml:space="preserve">和 </w:t>
      </w:r>
      <w:r>
        <w:rPr>
          <w:rFonts w:ascii="Times New Roman" w:hAnsi="Times New Roman" w:eastAsia="Times New Roman" w:cs="Times New Roman"/>
          <w:sz w:val="23"/>
          <w:szCs w:val="23"/>
        </w:rPr>
        <w:t>NH</w:t>
      </w:r>
      <w:r>
        <w:rPr>
          <w:rFonts w:ascii="Times New Roman" w:hAnsi="Times New Roman" w:eastAsia="Times New Roman" w:cs="Times New Roman"/>
          <w:spacing w:val="5"/>
          <w:position w:val="-1"/>
          <w:sz w:val="15"/>
          <w:szCs w:val="15"/>
        </w:rPr>
        <w:t xml:space="preserve">3 </w:t>
      </w:r>
      <w:r>
        <w:rPr>
          <w:rFonts w:ascii="宋体" w:hAnsi="宋体" w:eastAsia="宋体" w:cs="宋体"/>
          <w:spacing w:val="5"/>
          <w:sz w:val="23"/>
          <w:szCs w:val="23"/>
        </w:rPr>
        <w:t>作为预测因子，计算卫生防护距</w:t>
      </w:r>
    </w:p>
    <w:p w14:paraId="1462C15F">
      <w:pPr>
        <w:spacing w:line="228" w:lineRule="auto"/>
        <w:ind w:left="122"/>
        <w:rPr>
          <w:rFonts w:ascii="宋体" w:hAnsi="宋体" w:eastAsia="宋体" w:cs="宋体"/>
          <w:sz w:val="23"/>
          <w:szCs w:val="23"/>
        </w:rPr>
      </w:pPr>
      <w:r>
        <w:rPr>
          <w:rFonts w:ascii="宋体" w:hAnsi="宋体" w:eastAsia="宋体" w:cs="宋体"/>
          <w:spacing w:val="-2"/>
          <w:sz w:val="23"/>
          <w:szCs w:val="23"/>
        </w:rPr>
        <w:t>离。</w:t>
      </w:r>
    </w:p>
    <w:p w14:paraId="2BA122DE">
      <w:pPr>
        <w:spacing w:before="138" w:line="511" w:lineRule="exact"/>
        <w:ind w:left="600"/>
        <w:rPr>
          <w:rFonts w:ascii="宋体" w:hAnsi="宋体" w:eastAsia="宋体" w:cs="宋体"/>
          <w:sz w:val="23"/>
          <w:szCs w:val="23"/>
        </w:rPr>
      </w:pPr>
      <w:r>
        <w:rPr>
          <w:rFonts w:ascii="宋体" w:hAnsi="宋体" w:eastAsia="宋体" w:cs="宋体"/>
          <w:spacing w:val="10"/>
          <w:position w:val="16"/>
          <w:sz w:val="23"/>
          <w:szCs w:val="23"/>
        </w:rPr>
        <w:t>按《制</w:t>
      </w:r>
      <w:r>
        <w:rPr>
          <w:rFonts w:ascii="宋体" w:hAnsi="宋体" w:eastAsia="宋体" w:cs="宋体"/>
          <w:spacing w:val="7"/>
          <w:position w:val="16"/>
          <w:sz w:val="23"/>
          <w:szCs w:val="23"/>
        </w:rPr>
        <w:t>定</w:t>
      </w:r>
      <w:r>
        <w:rPr>
          <w:rFonts w:ascii="宋体" w:hAnsi="宋体" w:eastAsia="宋体" w:cs="宋体"/>
          <w:spacing w:val="5"/>
          <w:position w:val="16"/>
          <w:sz w:val="23"/>
          <w:szCs w:val="23"/>
        </w:rPr>
        <w:t>地方大气污染物排放标准的技术原则和方法》  (</w:t>
      </w:r>
      <w:r>
        <w:rPr>
          <w:rFonts w:ascii="Times New Roman" w:hAnsi="Times New Roman" w:eastAsia="Times New Roman" w:cs="Times New Roman"/>
          <w:position w:val="16"/>
          <w:sz w:val="23"/>
          <w:szCs w:val="23"/>
        </w:rPr>
        <w:t>GB</w:t>
      </w:r>
      <w:r>
        <w:rPr>
          <w:rFonts w:ascii="Times New Roman" w:hAnsi="Times New Roman" w:eastAsia="Times New Roman" w:cs="Times New Roman"/>
          <w:spacing w:val="5"/>
          <w:position w:val="16"/>
          <w:sz w:val="23"/>
          <w:szCs w:val="23"/>
        </w:rPr>
        <w:t>/</w:t>
      </w:r>
      <w:r>
        <w:rPr>
          <w:rFonts w:ascii="Times New Roman" w:hAnsi="Times New Roman" w:eastAsia="Times New Roman" w:cs="Times New Roman"/>
          <w:position w:val="16"/>
          <w:sz w:val="23"/>
          <w:szCs w:val="23"/>
        </w:rPr>
        <w:t>T</w:t>
      </w:r>
      <w:r>
        <w:rPr>
          <w:rFonts w:ascii="Times New Roman" w:hAnsi="Times New Roman" w:eastAsia="Times New Roman" w:cs="Times New Roman"/>
          <w:spacing w:val="5"/>
          <w:position w:val="16"/>
          <w:sz w:val="23"/>
          <w:szCs w:val="23"/>
        </w:rPr>
        <w:t>13201-91</w:t>
      </w:r>
      <w:r>
        <w:rPr>
          <w:rFonts w:ascii="宋体" w:hAnsi="宋体" w:eastAsia="宋体" w:cs="宋体"/>
          <w:spacing w:val="5"/>
          <w:position w:val="16"/>
          <w:sz w:val="23"/>
          <w:szCs w:val="23"/>
        </w:rPr>
        <w:t>) 中的</w:t>
      </w:r>
    </w:p>
    <w:p w14:paraId="5FC371D1">
      <w:pPr>
        <w:spacing w:before="1" w:line="226" w:lineRule="auto"/>
        <w:ind w:left="118"/>
        <w:rPr>
          <w:rFonts w:ascii="宋体" w:hAnsi="宋体" w:eastAsia="宋体" w:cs="宋体"/>
          <w:sz w:val="23"/>
          <w:szCs w:val="23"/>
        </w:rPr>
      </w:pPr>
      <w:r>
        <w:rPr>
          <w:rFonts w:ascii="宋体" w:hAnsi="宋体" w:eastAsia="宋体" w:cs="宋体"/>
          <w:spacing w:val="9"/>
          <w:sz w:val="23"/>
          <w:szCs w:val="23"/>
        </w:rPr>
        <w:t>推荐，计算卫生防护距离。计算公式如下</w:t>
      </w:r>
      <w:r>
        <w:rPr>
          <w:rFonts w:ascii="宋体" w:hAnsi="宋体" w:eastAsia="宋体" w:cs="宋体"/>
          <w:spacing w:val="8"/>
          <w:sz w:val="23"/>
          <w:szCs w:val="23"/>
        </w:rPr>
        <w:t>：</w:t>
      </w:r>
    </w:p>
    <w:p w14:paraId="67F25097">
      <w:pPr>
        <w:spacing w:before="97" w:line="195" w:lineRule="auto"/>
        <w:ind w:left="4309"/>
        <w:rPr>
          <w:rFonts w:ascii="Times New Roman" w:hAnsi="Times New Roman" w:eastAsia="Times New Roman" w:cs="Times New Roman"/>
          <w:sz w:val="20"/>
          <w:szCs w:val="20"/>
        </w:rPr>
      </w:pPr>
      <w:r>
        <w:pict>
          <v:shape id="_x0000_s2104" o:spid="_x0000_s2104" o:spt="202" type="#_x0000_t202" style="position:absolute;left:0pt;margin-left:133.35pt;margin-top:8.75pt;height:27.75pt;width:196.25pt;z-index:251732992;mso-width-relative:page;mso-height-relative:page;" filled="f" stroked="f" coordsize="21600,21600">
            <v:path/>
            <v:fill on="f" focussize="0,0"/>
            <v:stroke on="f" joinstyle="miter"/>
            <v:imagedata o:title=""/>
            <o:lock v:ext="edit"/>
            <v:textbox inset="0mm,0mm,0mm,0mm">
              <w:txbxContent>
                <w:p w14:paraId="323FDB39">
                  <w:pPr>
                    <w:spacing w:before="20" w:line="514" w:lineRule="exact"/>
                    <w:ind w:left="20"/>
                    <w:rPr>
                      <w:rFonts w:ascii="Times New Roman" w:hAnsi="Times New Roman" w:eastAsia="Times New Roman" w:cs="Times New Roman"/>
                      <w:sz w:val="20"/>
                      <w:szCs w:val="20"/>
                    </w:rPr>
                  </w:pPr>
                  <w:r>
                    <w:rPr>
                      <w:rFonts w:ascii="Symbol" w:hAnsi="Symbol" w:eastAsia="Symbol" w:cs="Symbol"/>
                      <w:position w:val="-7"/>
                      <w:sz w:val="35"/>
                      <w:szCs w:val="35"/>
                    </w:rPr>
                    <w:drawing>
                      <wp:inline distT="0" distB="0" distL="0" distR="0">
                        <wp:extent cx="204470" cy="290195"/>
                        <wp:effectExtent l="0" t="0" r="0" b="0"/>
                        <wp:docPr id="27" name="IM 27"/>
                        <wp:cNvGraphicFramePr/>
                        <a:graphic xmlns:a="http://schemas.openxmlformats.org/drawingml/2006/main">
                          <a:graphicData uri="http://schemas.openxmlformats.org/drawingml/2006/picture">
                            <pic:pic xmlns:pic="http://schemas.openxmlformats.org/drawingml/2006/picture">
                              <pic:nvPicPr>
                                <pic:cNvPr id="27" name="IM 27"/>
                                <pic:cNvPicPr/>
                              </pic:nvPicPr>
                              <pic:blipFill>
                                <a:blip r:embed="rId378"/>
                                <a:stretch>
                                  <a:fillRect/>
                                </a:stretch>
                              </pic:blipFill>
                              <pic:spPr>
                                <a:xfrm>
                                  <a:off x="0" y="0"/>
                                  <a:ext cx="204914" cy="290446"/>
                                </a:xfrm>
                                <a:prstGeom prst="rect">
                                  <a:avLst/>
                                </a:prstGeom>
                              </pic:spPr>
                            </pic:pic>
                          </a:graphicData>
                        </a:graphic>
                      </wp:inline>
                    </w:drawing>
                  </w:r>
                  <w:r>
                    <w:rPr>
                      <w:rFonts w:ascii="Symbol" w:hAnsi="Symbol" w:eastAsia="Symbol" w:cs="Symbol"/>
                      <w:spacing w:val="-2"/>
                      <w:position w:val="8"/>
                      <w:sz w:val="35"/>
                      <w:szCs w:val="35"/>
                    </w:rPr>
                    <w:t xml:space="preserve"> </w:t>
                  </w:r>
                  <w:r>
                    <w:rPr>
                      <w:rFonts w:ascii="Symbol" w:hAnsi="Symbol" w:eastAsia="Symbol" w:cs="Symbol"/>
                      <w:spacing w:val="-1"/>
                      <w:position w:val="8"/>
                      <w:sz w:val="35"/>
                      <w:szCs w:val="35"/>
                    </w:rPr>
                    <w:t xml:space="preserve">= </w:t>
                  </w:r>
                  <w:r>
                    <w:rPr>
                      <w:position w:val="-2"/>
                      <w:sz w:val="35"/>
                      <w:szCs w:val="35"/>
                    </w:rPr>
                    <w:drawing>
                      <wp:inline distT="0" distB="0" distL="0" distR="0">
                        <wp:extent cx="123825" cy="22288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379"/>
                                <a:stretch>
                                  <a:fillRect/>
                                </a:stretch>
                              </pic:blipFill>
                              <pic:spPr>
                                <a:xfrm>
                                  <a:off x="0" y="0"/>
                                  <a:ext cx="124231" cy="223159"/>
                                </a:xfrm>
                                <a:prstGeom prst="rect">
                                  <a:avLst/>
                                </a:prstGeom>
                              </pic:spPr>
                            </pic:pic>
                          </a:graphicData>
                        </a:graphic>
                      </wp:inline>
                    </w:drawing>
                  </w:r>
                  <w:r>
                    <w:rPr>
                      <w:rFonts w:ascii="Symbol" w:hAnsi="Symbol" w:eastAsia="Symbol" w:cs="Symbol"/>
                      <w:spacing w:val="-1"/>
                      <w:position w:val="8"/>
                      <w:sz w:val="35"/>
                      <w:szCs w:val="35"/>
                    </w:rPr>
                    <w:t xml:space="preserve"> </w:t>
                  </w:r>
                  <w:r>
                    <w:rPr>
                      <w:rFonts w:ascii="Times New Roman" w:hAnsi="Times New Roman" w:eastAsia="Times New Roman" w:cs="Times New Roman"/>
                      <w:spacing w:val="-1"/>
                      <w:position w:val="8"/>
                      <w:sz w:val="35"/>
                      <w:szCs w:val="35"/>
                    </w:rPr>
                    <w:t>(</w:t>
                  </w:r>
                  <w:r>
                    <w:rPr>
                      <w:rFonts w:ascii="Times New Roman" w:hAnsi="Times New Roman" w:eastAsia="Times New Roman" w:cs="Times New Roman"/>
                      <w:i/>
                      <w:iCs/>
                      <w:spacing w:val="-1"/>
                      <w:position w:val="8"/>
                      <w:sz w:val="35"/>
                      <w:szCs w:val="35"/>
                    </w:rPr>
                    <w:t>BL</w:t>
                  </w:r>
                  <w:r>
                    <w:rPr>
                      <w:rFonts w:ascii="Times New Roman" w:hAnsi="Times New Roman" w:eastAsia="Times New Roman" w:cs="Times New Roman"/>
                      <w:i/>
                      <w:iCs/>
                      <w:spacing w:val="-1"/>
                      <w:position w:val="22"/>
                      <w:sz w:val="20"/>
                      <w:szCs w:val="20"/>
                    </w:rPr>
                    <w:t>C</w:t>
                  </w:r>
                  <w:r>
                    <w:rPr>
                      <w:rFonts w:ascii="Times New Roman" w:hAnsi="Times New Roman" w:eastAsia="Times New Roman" w:cs="Times New Roman"/>
                      <w:spacing w:val="-1"/>
                      <w:position w:val="22"/>
                      <w:sz w:val="20"/>
                      <w:szCs w:val="20"/>
                    </w:rPr>
                    <w:t xml:space="preserve">  </w:t>
                  </w:r>
                  <w:r>
                    <w:rPr>
                      <w:rFonts w:ascii="Symbol" w:hAnsi="Symbol" w:eastAsia="Symbol" w:cs="Symbol"/>
                      <w:spacing w:val="-1"/>
                      <w:position w:val="8"/>
                      <w:sz w:val="35"/>
                      <w:szCs w:val="35"/>
                    </w:rPr>
                    <w:t xml:space="preserve">+ </w:t>
                  </w:r>
                  <w:r>
                    <w:rPr>
                      <w:rFonts w:ascii="Times New Roman" w:hAnsi="Times New Roman" w:eastAsia="Times New Roman" w:cs="Times New Roman"/>
                      <w:spacing w:val="-1"/>
                      <w:position w:val="8"/>
                      <w:sz w:val="35"/>
                      <w:szCs w:val="35"/>
                    </w:rPr>
                    <w:t>0.25</w:t>
                  </w:r>
                  <w:r>
                    <w:rPr>
                      <w:rFonts w:ascii="Times New Roman" w:hAnsi="Times New Roman" w:eastAsia="Times New Roman" w:cs="Times New Roman"/>
                      <w:i/>
                      <w:iCs/>
                      <w:spacing w:val="-1"/>
                      <w:position w:val="8"/>
                      <w:sz w:val="35"/>
                      <w:szCs w:val="35"/>
                    </w:rPr>
                    <w:t>r</w:t>
                  </w:r>
                  <w:r>
                    <w:rPr>
                      <w:rFonts w:ascii="Times New Roman" w:hAnsi="Times New Roman" w:eastAsia="Times New Roman" w:cs="Times New Roman"/>
                      <w:spacing w:val="-1"/>
                      <w:position w:val="22"/>
                      <w:sz w:val="20"/>
                      <w:szCs w:val="20"/>
                    </w:rPr>
                    <w:t xml:space="preserve">2 </w:t>
                  </w:r>
                  <w:r>
                    <w:rPr>
                      <w:rFonts w:ascii="Times New Roman" w:hAnsi="Times New Roman" w:eastAsia="Times New Roman" w:cs="Times New Roman"/>
                      <w:spacing w:val="-1"/>
                      <w:position w:val="8"/>
                      <w:sz w:val="35"/>
                      <w:szCs w:val="35"/>
                    </w:rPr>
                    <w:t>)</w:t>
                  </w:r>
                  <w:r>
                    <w:rPr>
                      <w:rFonts w:ascii="Times New Roman" w:hAnsi="Times New Roman" w:eastAsia="Times New Roman" w:cs="Times New Roman"/>
                      <w:spacing w:val="-1"/>
                      <w:position w:val="22"/>
                      <w:sz w:val="20"/>
                      <w:szCs w:val="20"/>
                    </w:rPr>
                    <w:t xml:space="preserve">0.50    </w:t>
                  </w:r>
                  <w:r>
                    <w:rPr>
                      <w:rFonts w:ascii="Times New Roman" w:hAnsi="Times New Roman" w:eastAsia="Times New Roman" w:cs="Times New Roman"/>
                      <w:i/>
                      <w:iCs/>
                      <w:spacing w:val="-1"/>
                      <w:position w:val="8"/>
                      <w:sz w:val="35"/>
                      <w:szCs w:val="35"/>
                    </w:rPr>
                    <w:t>L</w:t>
                  </w:r>
                  <w:r>
                    <w:rPr>
                      <w:rFonts w:ascii="Times New Roman" w:hAnsi="Times New Roman" w:eastAsia="Times New Roman" w:cs="Times New Roman"/>
                      <w:i/>
                      <w:iCs/>
                      <w:spacing w:val="-1"/>
                      <w:position w:val="22"/>
                      <w:sz w:val="20"/>
                      <w:szCs w:val="20"/>
                    </w:rPr>
                    <w:t>D</w:t>
                  </w:r>
                </w:p>
              </w:txbxContent>
            </v:textbox>
          </v:shape>
        </w:pict>
      </w:r>
      <w:r>
        <w:rPr>
          <w:rFonts w:ascii="Times New Roman" w:hAnsi="Times New Roman" w:eastAsia="Times New Roman" w:cs="Times New Roman"/>
          <w:spacing w:val="-3"/>
          <w:sz w:val="20"/>
          <w:szCs w:val="20"/>
        </w:rPr>
        <w:t>109</w:t>
      </w:r>
    </w:p>
    <w:p w14:paraId="560A9FC0">
      <w:pPr>
        <w:sectPr>
          <w:footerReference r:id="rId194" w:type="default"/>
          <w:pgSz w:w="11907" w:h="16840"/>
          <w:pgMar w:top="400" w:right="1066" w:bottom="400" w:left="1551" w:header="0" w:footer="0" w:gutter="0"/>
          <w:cols w:space="720" w:num="1"/>
        </w:sectPr>
      </w:pPr>
    </w:p>
    <w:p w14:paraId="709F5BFE">
      <w:pPr>
        <w:spacing w:line="460" w:lineRule="auto"/>
      </w:pPr>
    </w:p>
    <w:p w14:paraId="2C9917E9">
      <w:pPr>
        <w:spacing w:before="56" w:line="229" w:lineRule="auto"/>
        <w:ind w:left="318"/>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08370A35">
      <w:pPr>
        <w:spacing w:before="21" w:line="322" w:lineRule="exact"/>
        <w:ind w:left="805"/>
        <w:rPr>
          <w:rFonts w:ascii="宋体" w:hAnsi="宋体" w:eastAsia="宋体" w:cs="宋体"/>
          <w:sz w:val="23"/>
          <w:szCs w:val="23"/>
        </w:rPr>
      </w:pPr>
      <w:r>
        <w:pict>
          <v:shape id="_x0000_s2105" o:spid="_x0000_s2105" style="position:absolute;left:0pt;margin-left:15.55pt;margin-top:0.7pt;height:0.5pt;width:433.35pt;z-index:-251582464;mso-width-relative:page;mso-height-relative:page;" fillcolor="#000000" filled="t" stroked="f" coordsize="8667,10" path="m0,0l8666,0,8666,9,0,9,0,0xe">
            <v:fill on="t" focussize="0,0"/>
            <v:stroke on="f"/>
            <v:imagedata o:title=""/>
            <o:lock v:ext="edit"/>
          </v:shape>
        </w:pict>
      </w:r>
      <w:r>
        <w:rPr>
          <w:rFonts w:ascii="宋体" w:hAnsi="宋体" w:eastAsia="宋体" w:cs="宋体"/>
          <w:spacing w:val="18"/>
          <w:position w:val="3"/>
          <w:sz w:val="23"/>
          <w:szCs w:val="23"/>
        </w:rPr>
        <w:t>式</w:t>
      </w:r>
      <w:r>
        <w:rPr>
          <w:rFonts w:ascii="宋体" w:hAnsi="宋体" w:eastAsia="宋体" w:cs="宋体"/>
          <w:spacing w:val="9"/>
          <w:position w:val="3"/>
          <w:sz w:val="23"/>
          <w:szCs w:val="23"/>
        </w:rPr>
        <w:t>中：</w:t>
      </w:r>
      <w:r>
        <w:rPr>
          <w:rFonts w:ascii="Times New Roman" w:hAnsi="Times New Roman" w:eastAsia="Times New Roman" w:cs="Times New Roman"/>
          <w:i/>
          <w:iCs/>
          <w:position w:val="3"/>
          <w:sz w:val="23"/>
          <w:szCs w:val="23"/>
        </w:rPr>
        <w:t>Cm</w:t>
      </w:r>
      <w:r>
        <w:rPr>
          <w:rFonts w:ascii="Times New Roman" w:hAnsi="Times New Roman" w:eastAsia="Times New Roman" w:cs="Times New Roman"/>
          <w:spacing w:val="9"/>
          <w:position w:val="3"/>
          <w:sz w:val="23"/>
          <w:szCs w:val="23"/>
        </w:rPr>
        <w:t>—</w:t>
      </w:r>
      <w:r>
        <w:rPr>
          <w:rFonts w:ascii="宋体" w:hAnsi="宋体" w:eastAsia="宋体" w:cs="宋体"/>
          <w:spacing w:val="9"/>
          <w:position w:val="3"/>
          <w:sz w:val="23"/>
          <w:szCs w:val="23"/>
        </w:rPr>
        <w:t>标准浓度限值，</w:t>
      </w:r>
      <w:r>
        <w:rPr>
          <w:rFonts w:ascii="Times New Roman" w:hAnsi="Times New Roman" w:eastAsia="Times New Roman" w:cs="Times New Roman"/>
          <w:position w:val="3"/>
          <w:sz w:val="23"/>
          <w:szCs w:val="23"/>
        </w:rPr>
        <w:t>mg</w:t>
      </w:r>
      <w:r>
        <w:rPr>
          <w:rFonts w:ascii="Times New Roman" w:hAnsi="Times New Roman" w:eastAsia="Times New Roman" w:cs="Times New Roman"/>
          <w:spacing w:val="9"/>
          <w:position w:val="3"/>
          <w:sz w:val="23"/>
          <w:szCs w:val="23"/>
        </w:rPr>
        <w:t>/</w:t>
      </w:r>
      <w:r>
        <w:rPr>
          <w:rFonts w:ascii="Times New Roman" w:hAnsi="Times New Roman" w:eastAsia="Times New Roman" w:cs="Times New Roman"/>
          <w:position w:val="3"/>
          <w:sz w:val="23"/>
          <w:szCs w:val="23"/>
        </w:rPr>
        <w:t>m</w:t>
      </w:r>
      <w:r>
        <w:rPr>
          <w:rFonts w:ascii="Times New Roman" w:hAnsi="Times New Roman" w:eastAsia="Times New Roman" w:cs="Times New Roman"/>
          <w:spacing w:val="9"/>
          <w:position w:val="10"/>
          <w:sz w:val="15"/>
          <w:szCs w:val="15"/>
        </w:rPr>
        <w:t>3</w:t>
      </w:r>
      <w:r>
        <w:rPr>
          <w:rFonts w:ascii="宋体" w:hAnsi="宋体" w:eastAsia="宋体" w:cs="宋体"/>
          <w:spacing w:val="9"/>
          <w:position w:val="3"/>
          <w:sz w:val="23"/>
          <w:szCs w:val="23"/>
        </w:rPr>
        <w:t>；</w:t>
      </w:r>
    </w:p>
    <w:p w14:paraId="428F4E73">
      <w:pPr>
        <w:spacing w:before="188" w:line="228" w:lineRule="auto"/>
        <w:ind w:left="1504"/>
        <w:rPr>
          <w:rFonts w:ascii="宋体" w:hAnsi="宋体" w:eastAsia="宋体" w:cs="宋体"/>
          <w:sz w:val="23"/>
          <w:szCs w:val="23"/>
        </w:rPr>
      </w:pPr>
      <w:r>
        <w:rPr>
          <w:rFonts w:ascii="Times New Roman" w:hAnsi="Times New Roman" w:eastAsia="Times New Roman" w:cs="Times New Roman"/>
          <w:i/>
          <w:iCs/>
          <w:sz w:val="23"/>
          <w:szCs w:val="23"/>
        </w:rPr>
        <w:t>L</w:t>
      </w:r>
      <w:r>
        <w:rPr>
          <w:rFonts w:ascii="Times New Roman" w:hAnsi="Times New Roman" w:eastAsia="Times New Roman" w:cs="Times New Roman"/>
          <w:spacing w:val="19"/>
          <w:sz w:val="23"/>
          <w:szCs w:val="23"/>
        </w:rPr>
        <w:t>—</w:t>
      </w:r>
      <w:r>
        <w:rPr>
          <w:rFonts w:ascii="宋体" w:hAnsi="宋体" w:eastAsia="宋体" w:cs="宋体"/>
          <w:spacing w:val="10"/>
          <w:sz w:val="23"/>
          <w:szCs w:val="23"/>
        </w:rPr>
        <w:t>工业企业所需卫生防护距离，</w:t>
      </w:r>
      <w:r>
        <w:rPr>
          <w:rFonts w:ascii="Times New Roman" w:hAnsi="Times New Roman" w:eastAsia="Times New Roman" w:cs="Times New Roman"/>
          <w:sz w:val="23"/>
          <w:szCs w:val="23"/>
        </w:rPr>
        <w:t>m</w:t>
      </w:r>
      <w:r>
        <w:rPr>
          <w:rFonts w:ascii="宋体" w:hAnsi="宋体" w:eastAsia="宋体" w:cs="宋体"/>
          <w:spacing w:val="10"/>
          <w:sz w:val="23"/>
          <w:szCs w:val="23"/>
        </w:rPr>
        <w:t>；</w:t>
      </w:r>
    </w:p>
    <w:p w14:paraId="0EC1584A">
      <w:pPr>
        <w:spacing w:before="181" w:line="468" w:lineRule="exact"/>
        <w:ind w:left="1516"/>
        <w:rPr>
          <w:rFonts w:ascii="宋体" w:hAnsi="宋体" w:eastAsia="宋体" w:cs="宋体"/>
          <w:sz w:val="23"/>
          <w:szCs w:val="23"/>
        </w:rPr>
      </w:pPr>
      <w:r>
        <w:rPr>
          <w:rFonts w:ascii="Times New Roman" w:hAnsi="Times New Roman" w:eastAsia="Times New Roman" w:cs="Times New Roman"/>
          <w:i/>
          <w:iCs/>
          <w:position w:val="17"/>
          <w:sz w:val="23"/>
          <w:szCs w:val="23"/>
        </w:rPr>
        <w:t>r</w:t>
      </w:r>
      <w:r>
        <w:rPr>
          <w:rFonts w:ascii="Times New Roman" w:hAnsi="Times New Roman" w:eastAsia="Times New Roman" w:cs="Times New Roman"/>
          <w:spacing w:val="14"/>
          <w:position w:val="17"/>
          <w:sz w:val="23"/>
          <w:szCs w:val="23"/>
        </w:rPr>
        <w:t>—</w:t>
      </w:r>
      <w:r>
        <w:rPr>
          <w:rFonts w:ascii="宋体" w:hAnsi="宋体" w:eastAsia="宋体" w:cs="宋体"/>
          <w:spacing w:val="14"/>
          <w:position w:val="17"/>
          <w:sz w:val="23"/>
          <w:szCs w:val="23"/>
        </w:rPr>
        <w:t>有</w:t>
      </w:r>
      <w:r>
        <w:rPr>
          <w:rFonts w:ascii="宋体" w:hAnsi="宋体" w:eastAsia="宋体" w:cs="宋体"/>
          <w:spacing w:val="11"/>
          <w:position w:val="17"/>
          <w:sz w:val="23"/>
          <w:szCs w:val="23"/>
        </w:rPr>
        <w:t>害</w:t>
      </w:r>
      <w:r>
        <w:rPr>
          <w:rFonts w:ascii="宋体" w:hAnsi="宋体" w:eastAsia="宋体" w:cs="宋体"/>
          <w:spacing w:val="7"/>
          <w:position w:val="17"/>
          <w:sz w:val="23"/>
          <w:szCs w:val="23"/>
        </w:rPr>
        <w:t>气体无组织排放源所在生产单元的等效半径，</w:t>
      </w:r>
      <w:r>
        <w:rPr>
          <w:rFonts w:ascii="Times New Roman" w:hAnsi="Times New Roman" w:eastAsia="Times New Roman" w:cs="Times New Roman"/>
          <w:position w:val="17"/>
          <w:sz w:val="23"/>
          <w:szCs w:val="23"/>
        </w:rPr>
        <w:t>m</w:t>
      </w:r>
      <w:r>
        <w:rPr>
          <w:rFonts w:ascii="Times New Roman" w:hAnsi="Times New Roman" w:eastAsia="Times New Roman" w:cs="Times New Roman"/>
          <w:spacing w:val="7"/>
          <w:position w:val="17"/>
          <w:sz w:val="23"/>
          <w:szCs w:val="23"/>
        </w:rPr>
        <w:t xml:space="preserve"> </w:t>
      </w:r>
      <w:r>
        <w:rPr>
          <w:rFonts w:ascii="宋体" w:hAnsi="宋体" w:eastAsia="宋体" w:cs="宋体"/>
          <w:spacing w:val="7"/>
          <w:position w:val="17"/>
          <w:sz w:val="23"/>
          <w:szCs w:val="23"/>
        </w:rPr>
        <w:t>。根据该生产单</w:t>
      </w:r>
    </w:p>
    <w:p w14:paraId="2A64BF70">
      <w:pPr>
        <w:spacing w:line="227" w:lineRule="auto"/>
        <w:ind w:left="321"/>
        <w:rPr>
          <w:rFonts w:ascii="宋体" w:hAnsi="宋体" w:eastAsia="宋体" w:cs="宋体"/>
          <w:sz w:val="23"/>
          <w:szCs w:val="23"/>
        </w:rPr>
      </w:pPr>
      <w:r>
        <w:rPr>
          <w:rFonts w:ascii="宋体" w:hAnsi="宋体" w:eastAsia="宋体" w:cs="宋体"/>
          <w:spacing w:val="11"/>
          <w:sz w:val="23"/>
          <w:szCs w:val="23"/>
        </w:rPr>
        <w:t>位</w:t>
      </w:r>
      <w:r>
        <w:rPr>
          <w:rFonts w:ascii="宋体" w:hAnsi="宋体" w:eastAsia="宋体" w:cs="宋体"/>
          <w:spacing w:val="7"/>
          <w:sz w:val="23"/>
          <w:szCs w:val="23"/>
        </w:rPr>
        <w:t>占地面积计算；</w:t>
      </w:r>
    </w:p>
    <w:p w14:paraId="7610FA22">
      <w:pPr>
        <w:spacing w:before="139" w:line="323" w:lineRule="exact"/>
        <w:ind w:left="1523"/>
        <w:rPr>
          <w:rFonts w:ascii="宋体" w:hAnsi="宋体" w:eastAsia="宋体" w:cs="宋体"/>
          <w:sz w:val="23"/>
          <w:szCs w:val="23"/>
        </w:rPr>
      </w:pPr>
      <w:r>
        <w:rPr>
          <w:rFonts w:ascii="Times New Roman" w:hAnsi="Times New Roman" w:eastAsia="Times New Roman" w:cs="Times New Roman"/>
          <w:i/>
          <w:iCs/>
          <w:position w:val="3"/>
          <w:sz w:val="23"/>
          <w:szCs w:val="23"/>
        </w:rPr>
        <w:t>Qc</w:t>
      </w:r>
      <w:r>
        <w:rPr>
          <w:rFonts w:ascii="Times New Roman" w:hAnsi="Times New Roman" w:eastAsia="Times New Roman" w:cs="Times New Roman"/>
          <w:spacing w:val="18"/>
          <w:position w:val="3"/>
          <w:sz w:val="23"/>
          <w:szCs w:val="23"/>
        </w:rPr>
        <w:t>—</w:t>
      </w:r>
      <w:r>
        <w:rPr>
          <w:rFonts w:ascii="宋体" w:hAnsi="宋体" w:eastAsia="宋体" w:cs="宋体"/>
          <w:spacing w:val="18"/>
          <w:position w:val="3"/>
          <w:sz w:val="23"/>
          <w:szCs w:val="23"/>
        </w:rPr>
        <w:t>工</w:t>
      </w:r>
      <w:r>
        <w:rPr>
          <w:rFonts w:ascii="宋体" w:hAnsi="宋体" w:eastAsia="宋体" w:cs="宋体"/>
          <w:spacing w:val="11"/>
          <w:position w:val="3"/>
          <w:sz w:val="23"/>
          <w:szCs w:val="23"/>
        </w:rPr>
        <w:t>业</w:t>
      </w:r>
      <w:r>
        <w:rPr>
          <w:rFonts w:ascii="宋体" w:hAnsi="宋体" w:eastAsia="宋体" w:cs="宋体"/>
          <w:spacing w:val="9"/>
          <w:position w:val="3"/>
          <w:sz w:val="23"/>
          <w:szCs w:val="23"/>
        </w:rPr>
        <w:t>企业有害气体无组织排放量可达到的控制水平，</w:t>
      </w:r>
      <w:r>
        <w:rPr>
          <w:rFonts w:ascii="Times New Roman" w:hAnsi="Times New Roman" w:eastAsia="Times New Roman" w:cs="Times New Roman"/>
          <w:position w:val="3"/>
          <w:sz w:val="23"/>
          <w:szCs w:val="23"/>
        </w:rPr>
        <w:t>kg</w:t>
      </w:r>
      <w:r>
        <w:rPr>
          <w:rFonts w:ascii="Times New Roman" w:hAnsi="Times New Roman" w:eastAsia="Times New Roman" w:cs="Times New Roman"/>
          <w:spacing w:val="9"/>
          <w:position w:val="3"/>
          <w:sz w:val="23"/>
          <w:szCs w:val="23"/>
        </w:rPr>
        <w:t>/</w:t>
      </w:r>
      <w:r>
        <w:rPr>
          <w:rFonts w:ascii="Times New Roman" w:hAnsi="Times New Roman" w:eastAsia="Times New Roman" w:cs="Times New Roman"/>
          <w:position w:val="3"/>
          <w:sz w:val="23"/>
          <w:szCs w:val="23"/>
        </w:rPr>
        <w:t>h</w:t>
      </w:r>
      <w:r>
        <w:rPr>
          <w:rFonts w:ascii="宋体" w:hAnsi="宋体" w:eastAsia="宋体" w:cs="宋体"/>
          <w:spacing w:val="9"/>
          <w:position w:val="3"/>
          <w:sz w:val="23"/>
          <w:szCs w:val="23"/>
        </w:rPr>
        <w:t>；</w:t>
      </w:r>
    </w:p>
    <w:p w14:paraId="0458F160">
      <w:pPr>
        <w:spacing w:before="189" w:line="370" w:lineRule="auto"/>
        <w:ind w:left="322" w:right="308" w:firstLine="471"/>
        <w:rPr>
          <w:rFonts w:ascii="宋体" w:hAnsi="宋体" w:eastAsia="宋体" w:cs="宋体"/>
          <w:sz w:val="23"/>
          <w:szCs w:val="23"/>
        </w:rPr>
      </w:pPr>
      <w:r>
        <w:rPr>
          <w:rFonts w:ascii="Times New Roman" w:hAnsi="Times New Roman" w:eastAsia="Times New Roman" w:cs="Times New Roman"/>
          <w:sz w:val="23"/>
          <w:szCs w:val="23"/>
        </w:rPr>
        <w:t>A</w:t>
      </w:r>
      <w:r>
        <w:rPr>
          <w:rFonts w:ascii="Times New Roman" w:hAnsi="Times New Roman" w:eastAsia="Times New Roman" w:cs="Times New Roman"/>
          <w:spacing w:val="16"/>
          <w:sz w:val="23"/>
          <w:szCs w:val="23"/>
        </w:rPr>
        <w:t xml:space="preserve"> </w:t>
      </w:r>
      <w:r>
        <w:rPr>
          <w:rFonts w:ascii="宋体" w:hAnsi="宋体" w:eastAsia="宋体" w:cs="宋体"/>
          <w:spacing w:val="9"/>
          <w:sz w:val="23"/>
          <w:szCs w:val="23"/>
        </w:rPr>
        <w:t>、</w:t>
      </w:r>
      <w:r>
        <w:rPr>
          <w:rFonts w:ascii="Times New Roman" w:hAnsi="Times New Roman" w:eastAsia="Times New Roman" w:cs="Times New Roman"/>
          <w:i/>
          <w:iCs/>
          <w:sz w:val="23"/>
          <w:szCs w:val="23"/>
        </w:rPr>
        <w:t>B</w:t>
      </w:r>
      <w:r>
        <w:rPr>
          <w:rFonts w:ascii="Times New Roman" w:hAnsi="Times New Roman" w:eastAsia="Times New Roman" w:cs="Times New Roman"/>
          <w:spacing w:val="8"/>
          <w:sz w:val="23"/>
          <w:szCs w:val="23"/>
        </w:rPr>
        <w:t xml:space="preserve"> </w:t>
      </w:r>
      <w:r>
        <w:rPr>
          <w:rFonts w:ascii="宋体" w:hAnsi="宋体" w:eastAsia="宋体" w:cs="宋体"/>
          <w:i/>
          <w:iCs/>
          <w:spacing w:val="8"/>
          <w:sz w:val="25"/>
          <w:szCs w:val="25"/>
        </w:rPr>
        <w:t>、</w:t>
      </w:r>
      <w:r>
        <w:rPr>
          <w:rFonts w:ascii="Times New Roman" w:hAnsi="Times New Roman" w:eastAsia="Times New Roman" w:cs="Times New Roman"/>
          <w:i/>
          <w:iCs/>
          <w:sz w:val="23"/>
          <w:szCs w:val="23"/>
        </w:rPr>
        <w:t>C</w:t>
      </w:r>
      <w:r>
        <w:rPr>
          <w:rFonts w:ascii="宋体" w:hAnsi="宋体" w:eastAsia="宋体" w:cs="宋体"/>
          <w:i/>
          <w:iCs/>
          <w:spacing w:val="8"/>
          <w:sz w:val="25"/>
          <w:szCs w:val="25"/>
        </w:rPr>
        <w:t>、</w:t>
      </w:r>
      <w:r>
        <w:rPr>
          <w:rFonts w:ascii="Times New Roman" w:hAnsi="Times New Roman" w:eastAsia="Times New Roman" w:cs="Times New Roman"/>
          <w:i/>
          <w:iCs/>
          <w:sz w:val="23"/>
          <w:szCs w:val="23"/>
        </w:rPr>
        <w:t>D</w:t>
      </w:r>
      <w:r>
        <w:rPr>
          <w:rFonts w:ascii="Times New Roman" w:hAnsi="Times New Roman" w:eastAsia="Times New Roman" w:cs="Times New Roman"/>
          <w:spacing w:val="8"/>
          <w:sz w:val="23"/>
          <w:szCs w:val="23"/>
        </w:rPr>
        <w:t>—</w:t>
      </w:r>
      <w:r>
        <w:rPr>
          <w:rFonts w:ascii="宋体" w:hAnsi="宋体" w:eastAsia="宋体" w:cs="宋体"/>
          <w:spacing w:val="8"/>
          <w:sz w:val="23"/>
          <w:szCs w:val="23"/>
        </w:rPr>
        <w:t>卫生防护距离计算系数，无因次，根据工业企业所在地区近五</w:t>
      </w:r>
      <w:r>
        <w:rPr>
          <w:rFonts w:ascii="宋体" w:hAnsi="宋体" w:eastAsia="宋体" w:cs="宋体"/>
          <w:sz w:val="23"/>
          <w:szCs w:val="23"/>
        </w:rPr>
        <w:t xml:space="preserve"> </w:t>
      </w:r>
      <w:r>
        <w:rPr>
          <w:rFonts w:ascii="宋体" w:hAnsi="宋体" w:eastAsia="宋体" w:cs="宋体"/>
          <w:spacing w:val="5"/>
          <w:sz w:val="23"/>
          <w:szCs w:val="23"/>
        </w:rPr>
        <w:t xml:space="preserve">年来平均风速及工业企业大气污染源构成类别从表 </w:t>
      </w:r>
      <w:r>
        <w:rPr>
          <w:rFonts w:ascii="Times New Roman" w:hAnsi="Times New Roman" w:eastAsia="Times New Roman" w:cs="Times New Roman"/>
          <w:spacing w:val="5"/>
          <w:sz w:val="23"/>
          <w:szCs w:val="23"/>
        </w:rPr>
        <w:t xml:space="preserve">5.2-5 </w:t>
      </w:r>
      <w:r>
        <w:rPr>
          <w:rFonts w:ascii="宋体" w:hAnsi="宋体" w:eastAsia="宋体" w:cs="宋体"/>
          <w:spacing w:val="5"/>
          <w:sz w:val="23"/>
          <w:szCs w:val="23"/>
        </w:rPr>
        <w:t>中查取。其中</w:t>
      </w:r>
      <w:r>
        <w:rPr>
          <w:rFonts w:ascii="Times New Roman" w:hAnsi="Times New Roman" w:eastAsia="Times New Roman" w:cs="Times New Roman"/>
          <w:sz w:val="23"/>
          <w:szCs w:val="23"/>
        </w:rPr>
        <w:t>A</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 xml:space="preserve">取 </w:t>
      </w:r>
      <w:r>
        <w:rPr>
          <w:rFonts w:ascii="Times New Roman" w:hAnsi="Times New Roman" w:eastAsia="Times New Roman" w:cs="Times New Roman"/>
          <w:spacing w:val="5"/>
          <w:sz w:val="23"/>
          <w:szCs w:val="23"/>
        </w:rPr>
        <w:t xml:space="preserve">400 </w:t>
      </w:r>
      <w:r>
        <w:rPr>
          <w:rFonts w:ascii="宋体" w:hAnsi="宋体" w:eastAsia="宋体" w:cs="宋体"/>
          <w:spacing w:val="1"/>
          <w:sz w:val="23"/>
          <w:szCs w:val="23"/>
        </w:rPr>
        <w:t>，</w:t>
      </w:r>
      <w:r>
        <w:rPr>
          <w:rFonts w:ascii="Times New Roman" w:hAnsi="Times New Roman" w:eastAsia="Times New Roman" w:cs="Times New Roman"/>
          <w:sz w:val="23"/>
          <w:szCs w:val="23"/>
        </w:rPr>
        <w:t xml:space="preserve">B </w:t>
      </w:r>
      <w:r>
        <w:rPr>
          <w:rFonts w:ascii="宋体" w:hAnsi="宋体" w:eastAsia="宋体" w:cs="宋体"/>
          <w:spacing w:val="-12"/>
          <w:sz w:val="23"/>
          <w:szCs w:val="23"/>
        </w:rPr>
        <w:t>取</w:t>
      </w:r>
      <w:r>
        <w:rPr>
          <w:rFonts w:ascii="宋体" w:hAnsi="宋体" w:eastAsia="宋体" w:cs="宋体"/>
          <w:spacing w:val="-10"/>
          <w:sz w:val="23"/>
          <w:szCs w:val="23"/>
        </w:rPr>
        <w:t xml:space="preserve"> </w:t>
      </w:r>
      <w:r>
        <w:rPr>
          <w:rFonts w:ascii="Times New Roman" w:hAnsi="Times New Roman" w:eastAsia="Times New Roman" w:cs="Times New Roman"/>
          <w:spacing w:val="-6"/>
          <w:sz w:val="23"/>
          <w:szCs w:val="23"/>
        </w:rPr>
        <w:t xml:space="preserve">0.01 </w:t>
      </w:r>
      <w:r>
        <w:rPr>
          <w:rFonts w:ascii="宋体" w:hAnsi="宋体" w:eastAsia="宋体" w:cs="宋体"/>
          <w:spacing w:val="-6"/>
          <w:sz w:val="23"/>
          <w:szCs w:val="23"/>
        </w:rPr>
        <w:t>，</w:t>
      </w:r>
      <w:r>
        <w:rPr>
          <w:rFonts w:ascii="Times New Roman" w:hAnsi="Times New Roman" w:eastAsia="Times New Roman" w:cs="Times New Roman"/>
          <w:spacing w:val="-6"/>
          <w:sz w:val="23"/>
          <w:szCs w:val="23"/>
        </w:rPr>
        <w:t xml:space="preserve">C </w:t>
      </w:r>
      <w:r>
        <w:rPr>
          <w:rFonts w:ascii="宋体" w:hAnsi="宋体" w:eastAsia="宋体" w:cs="宋体"/>
          <w:spacing w:val="-6"/>
          <w:sz w:val="23"/>
          <w:szCs w:val="23"/>
        </w:rPr>
        <w:t xml:space="preserve">取 </w:t>
      </w:r>
      <w:r>
        <w:rPr>
          <w:rFonts w:ascii="Times New Roman" w:hAnsi="Times New Roman" w:eastAsia="Times New Roman" w:cs="Times New Roman"/>
          <w:spacing w:val="-6"/>
          <w:sz w:val="23"/>
          <w:szCs w:val="23"/>
        </w:rPr>
        <w:t xml:space="preserve">1.85 </w:t>
      </w:r>
      <w:r>
        <w:rPr>
          <w:rFonts w:ascii="宋体" w:hAnsi="宋体" w:eastAsia="宋体" w:cs="宋体"/>
          <w:spacing w:val="-6"/>
          <w:sz w:val="23"/>
          <w:szCs w:val="23"/>
        </w:rPr>
        <w:t>，</w:t>
      </w:r>
      <w:r>
        <w:rPr>
          <w:rFonts w:ascii="Times New Roman" w:hAnsi="Times New Roman" w:eastAsia="Times New Roman" w:cs="Times New Roman"/>
          <w:spacing w:val="-6"/>
          <w:sz w:val="23"/>
          <w:szCs w:val="23"/>
        </w:rPr>
        <w:t xml:space="preserve">D </w:t>
      </w:r>
      <w:r>
        <w:rPr>
          <w:rFonts w:ascii="宋体" w:hAnsi="宋体" w:eastAsia="宋体" w:cs="宋体"/>
          <w:spacing w:val="-6"/>
          <w:sz w:val="23"/>
          <w:szCs w:val="23"/>
        </w:rPr>
        <w:t xml:space="preserve">取 </w:t>
      </w:r>
      <w:r>
        <w:rPr>
          <w:rFonts w:ascii="Times New Roman" w:hAnsi="Times New Roman" w:eastAsia="Times New Roman" w:cs="Times New Roman"/>
          <w:spacing w:val="-6"/>
          <w:sz w:val="23"/>
          <w:szCs w:val="23"/>
        </w:rPr>
        <w:t>0.78</w:t>
      </w:r>
      <w:r>
        <w:rPr>
          <w:rFonts w:ascii="宋体" w:hAnsi="宋体" w:eastAsia="宋体" w:cs="宋体"/>
          <w:spacing w:val="-6"/>
          <w:sz w:val="23"/>
          <w:szCs w:val="23"/>
        </w:rPr>
        <w:t>。</w:t>
      </w:r>
    </w:p>
    <w:p w14:paraId="6330AFA3">
      <w:pPr>
        <w:spacing w:before="98" w:line="221" w:lineRule="auto"/>
        <w:ind w:left="2818"/>
        <w:rPr>
          <w:rFonts w:ascii="黑体" w:hAnsi="黑体" w:eastAsia="黑体" w:cs="黑体"/>
          <w:sz w:val="23"/>
          <w:szCs w:val="23"/>
        </w:rPr>
      </w:pPr>
      <w:r>
        <w:rPr>
          <w:rFonts w:ascii="黑体" w:hAnsi="黑体" w:eastAsia="黑体" w:cs="黑体"/>
          <w:spacing w:val="8"/>
          <w:sz w:val="23"/>
          <w:szCs w:val="23"/>
        </w:rPr>
        <w:t>表</w:t>
      </w:r>
      <w:r>
        <w:rPr>
          <w:rFonts w:ascii="黑体" w:hAnsi="黑体" w:eastAsia="黑体" w:cs="黑体"/>
          <w:spacing w:val="5"/>
          <w:sz w:val="23"/>
          <w:szCs w:val="23"/>
        </w:rPr>
        <w:t xml:space="preserve"> </w:t>
      </w:r>
      <w:r>
        <w:rPr>
          <w:rFonts w:ascii="Times New Roman" w:hAnsi="Times New Roman" w:eastAsia="Times New Roman" w:cs="Times New Roman"/>
          <w:spacing w:val="4"/>
          <w:sz w:val="23"/>
          <w:szCs w:val="23"/>
        </w:rPr>
        <w:t xml:space="preserve">5.2-6    </w:t>
      </w:r>
      <w:r>
        <w:rPr>
          <w:rFonts w:ascii="黑体" w:hAnsi="黑体" w:eastAsia="黑体" w:cs="黑体"/>
          <w:spacing w:val="4"/>
          <w:sz w:val="23"/>
          <w:szCs w:val="23"/>
        </w:rPr>
        <w:t>卫生防护距离计算系数查取表</w:t>
      </w:r>
    </w:p>
    <w:tbl>
      <w:tblPr>
        <w:tblStyle w:val="4"/>
        <w:tblW w:w="928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7"/>
        <w:gridCol w:w="2123"/>
        <w:gridCol w:w="706"/>
        <w:gridCol w:w="708"/>
        <w:gridCol w:w="709"/>
        <w:gridCol w:w="706"/>
        <w:gridCol w:w="708"/>
        <w:gridCol w:w="708"/>
        <w:gridCol w:w="706"/>
        <w:gridCol w:w="709"/>
        <w:gridCol w:w="698"/>
      </w:tblGrid>
      <w:tr w14:paraId="2C082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807" w:type="dxa"/>
            <w:vMerge w:val="restart"/>
            <w:tcBorders>
              <w:left w:val="nil"/>
              <w:bottom w:val="nil"/>
            </w:tcBorders>
          </w:tcPr>
          <w:p w14:paraId="5DCEF028">
            <w:pPr>
              <w:spacing w:line="260" w:lineRule="auto"/>
            </w:pPr>
          </w:p>
          <w:p w14:paraId="66E0169B">
            <w:pPr>
              <w:spacing w:before="65" w:line="265" w:lineRule="auto"/>
              <w:ind w:left="119" w:right="106" w:hanging="4"/>
              <w:rPr>
                <w:rFonts w:ascii="宋体" w:hAnsi="宋体" w:eastAsia="宋体" w:cs="宋体"/>
                <w:sz w:val="20"/>
                <w:szCs w:val="20"/>
              </w:rPr>
            </w:pPr>
            <w:r>
              <w:rPr>
                <w:rFonts w:ascii="宋体" w:hAnsi="宋体" w:eastAsia="宋体" w:cs="宋体"/>
                <w:spacing w:val="28"/>
                <w:sz w:val="20"/>
                <w:szCs w:val="20"/>
                <w14:textOutline w14:w="3797" w14:cap="sq" w14:cmpd="sng" w14:algn="ctr">
                  <w14:solidFill>
                    <w14:srgbClr w14:val="000000"/>
                  </w14:solidFill>
                  <w14:prstDash w14:val="solid"/>
                  <w14:bevel/>
                </w14:textOutline>
              </w:rPr>
              <w:t>计</w:t>
            </w:r>
            <w:r>
              <w:rPr>
                <w:rFonts w:ascii="宋体" w:hAnsi="宋体" w:eastAsia="宋体" w:cs="宋体"/>
                <w:spacing w:val="27"/>
                <w:sz w:val="20"/>
                <w:szCs w:val="20"/>
              </w:rPr>
              <w:t xml:space="preserve"> </w:t>
            </w:r>
            <w:r>
              <w:rPr>
                <w:rFonts w:ascii="宋体" w:hAnsi="宋体" w:eastAsia="宋体" w:cs="宋体"/>
                <w:spacing w:val="27"/>
                <w:sz w:val="20"/>
                <w:szCs w:val="20"/>
                <w14:textOutline w14:w="3797" w14:cap="sq" w14:cmpd="sng" w14:algn="ctr">
                  <w14:solidFill>
                    <w14:srgbClr w14:val="000000"/>
                  </w14:solidFill>
                  <w14:prstDash w14:val="solid"/>
                  <w14:bevel/>
                </w14:textOutline>
              </w:rPr>
              <w:t>算</w:t>
            </w:r>
            <w:r>
              <w:rPr>
                <w:rFonts w:ascii="宋体" w:hAnsi="宋体" w:eastAsia="宋体" w:cs="宋体"/>
                <w:sz w:val="20"/>
                <w:szCs w:val="20"/>
              </w:rPr>
              <w:t xml:space="preserve"> </w:t>
            </w:r>
            <w:r>
              <w:rPr>
                <w:rFonts w:ascii="宋体" w:hAnsi="宋体" w:eastAsia="宋体" w:cs="宋体"/>
                <w:spacing w:val="4"/>
                <w:sz w:val="20"/>
                <w:szCs w:val="20"/>
                <w14:textOutline w14:w="3797" w14:cap="sq" w14:cmpd="sng" w14:algn="ctr">
                  <w14:solidFill>
                    <w14:srgbClr w14:val="000000"/>
                  </w14:solidFill>
                  <w14:prstDash w14:val="solid"/>
                  <w14:bevel/>
                </w14:textOutline>
              </w:rPr>
              <w:t>系</w:t>
            </w:r>
            <w:r>
              <w:rPr>
                <w:rFonts w:ascii="宋体" w:hAnsi="宋体" w:eastAsia="宋体" w:cs="宋体"/>
                <w:spacing w:val="3"/>
                <w:sz w:val="20"/>
                <w:szCs w:val="20"/>
                <w14:textOutline w14:w="3797" w14:cap="sq" w14:cmpd="sng" w14:algn="ctr">
                  <w14:solidFill>
                    <w14:srgbClr w14:val="000000"/>
                  </w14:solidFill>
                  <w14:prstDash w14:val="solid"/>
                  <w14:bevel/>
                </w14:textOutline>
              </w:rPr>
              <w:t>数</w:t>
            </w:r>
          </w:p>
        </w:tc>
        <w:tc>
          <w:tcPr>
            <w:tcW w:w="2123" w:type="dxa"/>
            <w:vMerge w:val="restart"/>
            <w:tcBorders>
              <w:bottom w:val="nil"/>
            </w:tcBorders>
          </w:tcPr>
          <w:p w14:paraId="3DD01D9D">
            <w:pPr>
              <w:spacing w:before="208" w:line="259" w:lineRule="auto"/>
              <w:ind w:left="113" w:right="100" w:firstLine="2"/>
              <w:rPr>
                <w:rFonts w:ascii="Times New Roman" w:hAnsi="Times New Roman" w:eastAsia="Times New Roman" w:cs="Times New Roman"/>
                <w:sz w:val="20"/>
                <w:szCs w:val="20"/>
              </w:rPr>
            </w:pPr>
            <w:r>
              <w:rPr>
                <w:rFonts w:ascii="宋体" w:hAnsi="宋体" w:eastAsia="宋体" w:cs="宋体"/>
                <w:spacing w:val="14"/>
                <w:sz w:val="20"/>
                <w:szCs w:val="20"/>
                <w14:textOutline w14:w="3797" w14:cap="sq" w14:cmpd="sng" w14:algn="ctr">
                  <w14:solidFill>
                    <w14:srgbClr w14:val="000000"/>
                  </w14:solidFill>
                  <w14:prstDash w14:val="solid"/>
                  <w14:bevel/>
                </w14:textOutline>
              </w:rPr>
              <w:t>工</w:t>
            </w:r>
            <w:r>
              <w:rPr>
                <w:rFonts w:ascii="宋体" w:hAnsi="宋体" w:eastAsia="宋体" w:cs="宋体"/>
                <w:spacing w:val="11"/>
                <w:sz w:val="20"/>
                <w:szCs w:val="20"/>
                <w14:textOutline w14:w="3797" w14:cap="sq" w14:cmpd="sng" w14:algn="ctr">
                  <w14:solidFill>
                    <w14:srgbClr w14:val="000000"/>
                  </w14:solidFill>
                  <w14:prstDash w14:val="solid"/>
                  <w14:bevel/>
                </w14:textOutline>
              </w:rPr>
              <w:t>业企业所在地区近</w:t>
            </w:r>
            <w:r>
              <w:rPr>
                <w:rFonts w:ascii="宋体" w:hAnsi="宋体" w:eastAsia="宋体" w:cs="宋体"/>
                <w:sz w:val="20"/>
                <w:szCs w:val="20"/>
              </w:rPr>
              <w:t xml:space="preserve"> </w:t>
            </w:r>
            <w:r>
              <w:rPr>
                <w:rFonts w:ascii="宋体" w:hAnsi="宋体" w:eastAsia="宋体" w:cs="宋体"/>
                <w:spacing w:val="-14"/>
                <w:sz w:val="20"/>
                <w:szCs w:val="20"/>
                <w14:textOutline w14:w="3797" w14:cap="sq" w14:cmpd="sng" w14:algn="ctr">
                  <w14:solidFill>
                    <w14:srgbClr w14:val="000000"/>
                  </w14:solidFill>
                  <w14:prstDash w14:val="solid"/>
                  <w14:bevel/>
                </w14:textOutline>
              </w:rPr>
              <w:t>五</w:t>
            </w:r>
            <w:r>
              <w:rPr>
                <w:rFonts w:ascii="宋体" w:hAnsi="宋体" w:eastAsia="宋体" w:cs="宋体"/>
                <w:spacing w:val="-7"/>
                <w:sz w:val="20"/>
                <w:szCs w:val="20"/>
              </w:rPr>
              <w:t xml:space="preserve"> </w:t>
            </w:r>
            <w:r>
              <w:rPr>
                <w:rFonts w:ascii="宋体" w:hAnsi="宋体" w:eastAsia="宋体" w:cs="宋体"/>
                <w:spacing w:val="-7"/>
                <w:sz w:val="20"/>
                <w:szCs w:val="20"/>
                <w14:textOutline w14:w="3797" w14:cap="sq" w14:cmpd="sng" w14:algn="ctr">
                  <w14:solidFill>
                    <w14:srgbClr w14:val="000000"/>
                  </w14:solidFill>
                  <w14:prstDash w14:val="solid"/>
                  <w14:bevel/>
                </w14:textOutline>
              </w:rPr>
              <w:t>年</w:t>
            </w:r>
            <w:r>
              <w:rPr>
                <w:rFonts w:ascii="宋体" w:hAnsi="宋体" w:eastAsia="宋体" w:cs="宋体"/>
                <w:spacing w:val="-7"/>
                <w:sz w:val="20"/>
                <w:szCs w:val="20"/>
              </w:rPr>
              <w:t xml:space="preserve"> </w:t>
            </w:r>
            <w:r>
              <w:rPr>
                <w:rFonts w:ascii="宋体" w:hAnsi="宋体" w:eastAsia="宋体" w:cs="宋体"/>
                <w:spacing w:val="-7"/>
                <w:sz w:val="20"/>
                <w:szCs w:val="20"/>
                <w14:textOutline w14:w="3797" w14:cap="sq" w14:cmpd="sng" w14:algn="ctr">
                  <w14:solidFill>
                    <w14:srgbClr w14:val="000000"/>
                  </w14:solidFill>
                  <w14:prstDash w14:val="solid"/>
                  <w14:bevel/>
                </w14:textOutline>
              </w:rPr>
              <w:t>来</w:t>
            </w:r>
            <w:r>
              <w:rPr>
                <w:rFonts w:ascii="宋体" w:hAnsi="宋体" w:eastAsia="宋体" w:cs="宋体"/>
                <w:spacing w:val="-7"/>
                <w:sz w:val="20"/>
                <w:szCs w:val="20"/>
              </w:rPr>
              <w:t xml:space="preserve"> </w:t>
            </w:r>
            <w:r>
              <w:rPr>
                <w:rFonts w:ascii="宋体" w:hAnsi="宋体" w:eastAsia="宋体" w:cs="宋体"/>
                <w:spacing w:val="-7"/>
                <w:sz w:val="20"/>
                <w:szCs w:val="20"/>
                <w14:textOutline w14:w="3797" w14:cap="sq" w14:cmpd="sng" w14:algn="ctr">
                  <w14:solidFill>
                    <w14:srgbClr w14:val="000000"/>
                  </w14:solidFill>
                  <w14:prstDash w14:val="solid"/>
                  <w14:bevel/>
                </w14:textOutline>
              </w:rPr>
              <w:t>平</w:t>
            </w:r>
            <w:r>
              <w:rPr>
                <w:rFonts w:ascii="宋体" w:hAnsi="宋体" w:eastAsia="宋体" w:cs="宋体"/>
                <w:spacing w:val="-7"/>
                <w:sz w:val="20"/>
                <w:szCs w:val="20"/>
              </w:rPr>
              <w:t xml:space="preserve"> </w:t>
            </w:r>
            <w:r>
              <w:rPr>
                <w:rFonts w:ascii="宋体" w:hAnsi="宋体" w:eastAsia="宋体" w:cs="宋体"/>
                <w:spacing w:val="-7"/>
                <w:sz w:val="20"/>
                <w:szCs w:val="20"/>
                <w14:textOutline w14:w="3797" w14:cap="sq" w14:cmpd="sng" w14:algn="ctr">
                  <w14:solidFill>
                    <w14:srgbClr w14:val="000000"/>
                  </w14:solidFill>
                  <w14:prstDash w14:val="solid"/>
                  <w14:bevel/>
                </w14:textOutline>
              </w:rPr>
              <w:t>均</w:t>
            </w:r>
            <w:r>
              <w:rPr>
                <w:rFonts w:ascii="宋体" w:hAnsi="宋体" w:eastAsia="宋体" w:cs="宋体"/>
                <w:spacing w:val="-7"/>
                <w:sz w:val="20"/>
                <w:szCs w:val="20"/>
              </w:rPr>
              <w:t xml:space="preserve"> </w:t>
            </w:r>
            <w:r>
              <w:rPr>
                <w:rFonts w:ascii="宋体" w:hAnsi="宋体" w:eastAsia="宋体" w:cs="宋体"/>
                <w:spacing w:val="-7"/>
                <w:sz w:val="20"/>
                <w:szCs w:val="20"/>
                <w14:textOutline w14:w="3797" w14:cap="sq" w14:cmpd="sng" w14:algn="ctr">
                  <w14:solidFill>
                    <w14:srgbClr w14:val="000000"/>
                  </w14:solidFill>
                  <w14:prstDash w14:val="solid"/>
                  <w14:bevel/>
                </w14:textOutline>
              </w:rPr>
              <w:t>风</w:t>
            </w:r>
            <w:r>
              <w:rPr>
                <w:rFonts w:ascii="宋体" w:hAnsi="宋体" w:eastAsia="宋体" w:cs="宋体"/>
                <w:spacing w:val="-7"/>
                <w:sz w:val="20"/>
                <w:szCs w:val="20"/>
              </w:rPr>
              <w:t xml:space="preserve"> </w:t>
            </w:r>
            <w:r>
              <w:rPr>
                <w:rFonts w:ascii="宋体" w:hAnsi="宋体" w:eastAsia="宋体" w:cs="宋体"/>
                <w:spacing w:val="-7"/>
                <w:sz w:val="20"/>
                <w:szCs w:val="20"/>
                <w14:textOutline w14:w="3797" w14:cap="sq" w14:cmpd="sng" w14:algn="ctr">
                  <w14:solidFill>
                    <w14:srgbClr w14:val="000000"/>
                  </w14:solidFill>
                  <w14:prstDash w14:val="solid"/>
                  <w14:bevel/>
                </w14:textOutline>
              </w:rPr>
              <w:t>速</w:t>
            </w:r>
            <w:r>
              <w:rPr>
                <w:rFonts w:ascii="宋体" w:hAnsi="宋体" w:eastAsia="宋体" w:cs="宋体"/>
                <w:sz w:val="20"/>
                <w:szCs w:val="20"/>
              </w:rPr>
              <w:t xml:space="preserve"> </w:t>
            </w:r>
            <w:r>
              <w:rPr>
                <w:rFonts w:ascii="Times New Roman" w:hAnsi="Times New Roman" w:eastAsia="Times New Roman" w:cs="Times New Roman"/>
                <w:b/>
                <w:bCs/>
                <w:spacing w:val="4"/>
                <w:sz w:val="20"/>
                <w:szCs w:val="20"/>
              </w:rPr>
              <w:t>(</w:t>
            </w:r>
            <w:r>
              <w:rPr>
                <w:rFonts w:ascii="Times New Roman" w:hAnsi="Times New Roman" w:eastAsia="Times New Roman" w:cs="Times New Roman"/>
                <w:b/>
                <w:bCs/>
                <w:sz w:val="20"/>
                <w:szCs w:val="20"/>
              </w:rPr>
              <w:t>m</w:t>
            </w:r>
            <w:r>
              <w:rPr>
                <w:rFonts w:ascii="Times New Roman" w:hAnsi="Times New Roman" w:eastAsia="Times New Roman" w:cs="Times New Roman"/>
                <w:b/>
                <w:bCs/>
                <w:spacing w:val="4"/>
                <w:sz w:val="20"/>
                <w:szCs w:val="20"/>
              </w:rPr>
              <w:t>/</w:t>
            </w:r>
            <w:r>
              <w:rPr>
                <w:rFonts w:ascii="Times New Roman" w:hAnsi="Times New Roman" w:eastAsia="Times New Roman" w:cs="Times New Roman"/>
                <w:b/>
                <w:bCs/>
                <w:sz w:val="20"/>
                <w:szCs w:val="20"/>
              </w:rPr>
              <w:t>s</w:t>
            </w:r>
            <w:r>
              <w:rPr>
                <w:rFonts w:ascii="Times New Roman" w:hAnsi="Times New Roman" w:eastAsia="Times New Roman" w:cs="Times New Roman"/>
                <w:b/>
                <w:bCs/>
                <w:spacing w:val="4"/>
                <w:sz w:val="20"/>
                <w:szCs w:val="20"/>
              </w:rPr>
              <w:t>)</w:t>
            </w:r>
          </w:p>
        </w:tc>
        <w:tc>
          <w:tcPr>
            <w:tcW w:w="6358" w:type="dxa"/>
            <w:gridSpan w:val="9"/>
            <w:tcBorders>
              <w:right w:val="nil"/>
            </w:tcBorders>
          </w:tcPr>
          <w:p w14:paraId="740CD9B0">
            <w:pPr>
              <w:spacing w:before="56" w:line="227" w:lineRule="auto"/>
              <w:ind w:left="2469"/>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卫</w:t>
            </w:r>
            <w:r>
              <w:rPr>
                <w:rFonts w:ascii="宋体" w:hAnsi="宋体" w:eastAsia="宋体" w:cs="宋体"/>
                <w:spacing w:val="5"/>
                <w:sz w:val="20"/>
                <w:szCs w:val="20"/>
                <w14:textOutline w14:w="3797" w14:cap="sq" w14:cmpd="sng" w14:algn="ctr">
                  <w14:solidFill>
                    <w14:srgbClr w14:val="000000"/>
                  </w14:solidFill>
                  <w14:prstDash w14:val="solid"/>
                  <w14:bevel/>
                </w14:textOutline>
              </w:rPr>
              <w:t>生防护距离</w:t>
            </w:r>
            <w:r>
              <w:rPr>
                <w:rFonts w:ascii="宋体" w:hAnsi="宋体" w:eastAsia="宋体" w:cs="宋体"/>
                <w:spacing w:val="5"/>
                <w:sz w:val="20"/>
                <w:szCs w:val="20"/>
              </w:rPr>
              <w:t xml:space="preserve"> </w:t>
            </w:r>
            <w:r>
              <w:rPr>
                <w:rFonts w:ascii="宋体" w:hAnsi="宋体" w:eastAsia="宋体" w:cs="宋体"/>
                <w:spacing w:val="5"/>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sz w:val="20"/>
                <w:szCs w:val="20"/>
              </w:rPr>
              <w:t>m</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14:textOutline w14:w="3797" w14:cap="sq" w14:cmpd="sng" w14:algn="ctr">
                  <w14:solidFill>
                    <w14:srgbClr w14:val="000000"/>
                  </w14:solidFill>
                  <w14:prstDash w14:val="solid"/>
                  <w14:bevel/>
                </w14:textOutline>
              </w:rPr>
              <w:t>)</w:t>
            </w:r>
          </w:p>
        </w:tc>
      </w:tr>
      <w:tr w14:paraId="66BE3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7" w:type="dxa"/>
            <w:vMerge w:val="continue"/>
            <w:tcBorders>
              <w:top w:val="nil"/>
              <w:left w:val="nil"/>
              <w:bottom w:val="nil"/>
            </w:tcBorders>
          </w:tcPr>
          <w:p w14:paraId="4F593584"/>
        </w:tc>
        <w:tc>
          <w:tcPr>
            <w:tcW w:w="2123" w:type="dxa"/>
            <w:vMerge w:val="continue"/>
            <w:tcBorders>
              <w:top w:val="nil"/>
              <w:bottom w:val="nil"/>
            </w:tcBorders>
          </w:tcPr>
          <w:p w14:paraId="2C66E0EC"/>
        </w:tc>
        <w:tc>
          <w:tcPr>
            <w:tcW w:w="2123" w:type="dxa"/>
            <w:gridSpan w:val="3"/>
          </w:tcPr>
          <w:p w14:paraId="01CF7AA8">
            <w:pPr>
              <w:spacing w:line="276" w:lineRule="exact"/>
              <w:ind w:left="935"/>
              <w:rPr>
                <w:rFonts w:ascii="Times New Roman" w:hAnsi="Times New Roman" w:eastAsia="Times New Roman" w:cs="Times New Roman"/>
                <w:sz w:val="20"/>
                <w:szCs w:val="20"/>
              </w:rPr>
            </w:pPr>
            <w:r>
              <w:rPr>
                <w:rFonts w:ascii="Times New Roman" w:hAnsi="Times New Roman" w:eastAsia="Times New Roman" w:cs="Times New Roman"/>
                <w:b/>
                <w:bCs/>
                <w:spacing w:val="-3"/>
                <w:position w:val="2"/>
                <w:sz w:val="20"/>
                <w:szCs w:val="20"/>
              </w:rPr>
              <w:t>L</w:t>
            </w:r>
            <w:r>
              <w:rPr>
                <w:rFonts w:ascii="Times New Roman" w:hAnsi="Times New Roman" w:eastAsia="Times New Roman" w:cs="Times New Roman"/>
                <w:b/>
                <w:bCs/>
                <w:spacing w:val="-4"/>
                <w:position w:val="2"/>
                <w:sz w:val="20"/>
                <w:szCs w:val="20"/>
              </w:rPr>
              <w:t>≤</w:t>
            </w:r>
            <w:r>
              <w:rPr>
                <w:rFonts w:ascii="Times New Roman" w:hAnsi="Times New Roman" w:eastAsia="Times New Roman" w:cs="Times New Roman"/>
                <w:spacing w:val="-3"/>
                <w:position w:val="2"/>
                <w:sz w:val="20"/>
                <w:szCs w:val="20"/>
              </w:rPr>
              <w:t xml:space="preserve"> </w:t>
            </w:r>
            <w:r>
              <w:rPr>
                <w:rFonts w:ascii="Times New Roman" w:hAnsi="Times New Roman" w:eastAsia="Times New Roman" w:cs="Times New Roman"/>
                <w:b/>
                <w:bCs/>
                <w:spacing w:val="-3"/>
                <w:position w:val="2"/>
                <w:sz w:val="20"/>
                <w:szCs w:val="20"/>
              </w:rPr>
              <w:t>1000</w:t>
            </w:r>
          </w:p>
        </w:tc>
        <w:tc>
          <w:tcPr>
            <w:tcW w:w="2122" w:type="dxa"/>
            <w:gridSpan w:val="3"/>
          </w:tcPr>
          <w:p w14:paraId="0FA125FF">
            <w:pPr>
              <w:spacing w:line="276" w:lineRule="exact"/>
              <w:ind w:left="629"/>
              <w:rPr>
                <w:rFonts w:ascii="Times New Roman" w:hAnsi="Times New Roman" w:eastAsia="Times New Roman" w:cs="Times New Roman"/>
                <w:sz w:val="20"/>
                <w:szCs w:val="20"/>
              </w:rPr>
            </w:pPr>
            <w:r>
              <w:rPr>
                <w:rFonts w:ascii="Times New Roman" w:hAnsi="Times New Roman" w:eastAsia="Times New Roman" w:cs="Times New Roman"/>
                <w:b/>
                <w:bCs/>
                <w:spacing w:val="5"/>
                <w:position w:val="2"/>
                <w:sz w:val="20"/>
                <w:szCs w:val="20"/>
              </w:rPr>
              <w:t>1000</w:t>
            </w:r>
            <w:r>
              <w:rPr>
                <w:rFonts w:ascii="宋体" w:hAnsi="宋体" w:eastAsia="宋体" w:cs="宋体"/>
                <w:spacing w:val="5"/>
                <w:position w:val="2"/>
                <w:sz w:val="20"/>
                <w:szCs w:val="20"/>
                <w14:textOutline w14:w="3644" w14:cap="sq" w14:cmpd="sng" w14:algn="ctr">
                  <w14:solidFill>
                    <w14:srgbClr w14:val="000000"/>
                  </w14:solidFill>
                  <w14:prstDash w14:val="solid"/>
                  <w14:bevel/>
                </w14:textOutline>
              </w:rPr>
              <w:t>＜</w:t>
            </w:r>
            <w:r>
              <w:rPr>
                <w:rFonts w:ascii="Times New Roman" w:hAnsi="Times New Roman" w:eastAsia="Times New Roman" w:cs="Times New Roman"/>
                <w:b/>
                <w:bCs/>
                <w:position w:val="2"/>
                <w:sz w:val="20"/>
                <w:szCs w:val="20"/>
              </w:rPr>
              <w:t>L</w:t>
            </w:r>
            <w:r>
              <w:rPr>
                <w:rFonts w:ascii="Times New Roman" w:hAnsi="Times New Roman" w:eastAsia="Times New Roman" w:cs="Times New Roman"/>
                <w:b/>
                <w:bCs/>
                <w:spacing w:val="5"/>
                <w:position w:val="2"/>
                <w:sz w:val="20"/>
                <w:szCs w:val="20"/>
              </w:rPr>
              <w:t>≤200</w:t>
            </w:r>
            <w:r>
              <w:rPr>
                <w:rFonts w:ascii="Times New Roman" w:hAnsi="Times New Roman" w:eastAsia="Times New Roman" w:cs="Times New Roman"/>
                <w:b/>
                <w:bCs/>
                <w:spacing w:val="4"/>
                <w:position w:val="2"/>
                <w:sz w:val="20"/>
                <w:szCs w:val="20"/>
              </w:rPr>
              <w:t>0</w:t>
            </w:r>
          </w:p>
        </w:tc>
        <w:tc>
          <w:tcPr>
            <w:tcW w:w="2113" w:type="dxa"/>
            <w:gridSpan w:val="3"/>
            <w:tcBorders>
              <w:right w:val="nil"/>
            </w:tcBorders>
          </w:tcPr>
          <w:p w14:paraId="343B6C80">
            <w:pPr>
              <w:spacing w:before="32" w:line="226" w:lineRule="auto"/>
              <w:ind w:left="883"/>
              <w:rPr>
                <w:rFonts w:ascii="Times New Roman" w:hAnsi="Times New Roman" w:eastAsia="Times New Roman" w:cs="Times New Roman"/>
                <w:sz w:val="20"/>
                <w:szCs w:val="20"/>
              </w:rPr>
            </w:pPr>
            <w:r>
              <w:rPr>
                <w:rFonts w:ascii="Times New Roman" w:hAnsi="Times New Roman" w:eastAsia="Times New Roman" w:cs="Times New Roman"/>
                <w:b/>
                <w:bCs/>
                <w:sz w:val="20"/>
                <w:szCs w:val="20"/>
              </w:rPr>
              <w:t>L</w:t>
            </w:r>
            <w:r>
              <w:rPr>
                <w:rFonts w:ascii="宋体" w:hAnsi="宋体" w:eastAsia="宋体" w:cs="宋体"/>
                <w:spacing w:val="7"/>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spacing w:val="6"/>
                <w:sz w:val="20"/>
                <w:szCs w:val="20"/>
              </w:rPr>
              <w:t>2000</w:t>
            </w:r>
          </w:p>
        </w:tc>
      </w:tr>
      <w:tr w14:paraId="297D8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7" w:type="dxa"/>
            <w:vMerge w:val="continue"/>
            <w:tcBorders>
              <w:top w:val="nil"/>
              <w:left w:val="nil"/>
              <w:bottom w:val="nil"/>
            </w:tcBorders>
          </w:tcPr>
          <w:p w14:paraId="2998EE93"/>
        </w:tc>
        <w:tc>
          <w:tcPr>
            <w:tcW w:w="2123" w:type="dxa"/>
            <w:vMerge w:val="continue"/>
            <w:tcBorders>
              <w:top w:val="nil"/>
              <w:bottom w:val="nil"/>
            </w:tcBorders>
          </w:tcPr>
          <w:p w14:paraId="6B0556A4"/>
        </w:tc>
        <w:tc>
          <w:tcPr>
            <w:tcW w:w="6358" w:type="dxa"/>
            <w:gridSpan w:val="9"/>
            <w:tcBorders>
              <w:right w:val="nil"/>
            </w:tcBorders>
          </w:tcPr>
          <w:p w14:paraId="46D9B83B">
            <w:pPr>
              <w:spacing w:before="31" w:line="227" w:lineRule="auto"/>
              <w:ind w:left="2031"/>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工业企业大气污染源构成类</w:t>
            </w:r>
            <w:r>
              <w:rPr>
                <w:rFonts w:ascii="宋体" w:hAnsi="宋体" w:eastAsia="宋体" w:cs="宋体"/>
                <w:spacing w:val="7"/>
                <w:sz w:val="20"/>
                <w:szCs w:val="20"/>
                <w14:textOutline w14:w="3797" w14:cap="sq" w14:cmpd="sng" w14:algn="ctr">
                  <w14:solidFill>
                    <w14:srgbClr w14:val="000000"/>
                  </w14:solidFill>
                  <w14:prstDash w14:val="solid"/>
                  <w14:bevel/>
                </w14:textOutline>
              </w:rPr>
              <w:t>别</w:t>
            </w:r>
          </w:p>
        </w:tc>
      </w:tr>
      <w:tr w14:paraId="3FEA7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807" w:type="dxa"/>
            <w:vMerge w:val="continue"/>
            <w:tcBorders>
              <w:top w:val="nil"/>
              <w:left w:val="nil"/>
            </w:tcBorders>
          </w:tcPr>
          <w:p w14:paraId="4F2D9DEE"/>
        </w:tc>
        <w:tc>
          <w:tcPr>
            <w:tcW w:w="2123" w:type="dxa"/>
            <w:vMerge w:val="continue"/>
            <w:tcBorders>
              <w:top w:val="nil"/>
            </w:tcBorders>
          </w:tcPr>
          <w:p w14:paraId="24109325"/>
        </w:tc>
        <w:tc>
          <w:tcPr>
            <w:tcW w:w="706" w:type="dxa"/>
          </w:tcPr>
          <w:p w14:paraId="2AE9CA8F">
            <w:pPr>
              <w:spacing w:before="56" w:line="192" w:lineRule="auto"/>
              <w:ind w:left="529"/>
              <w:rPr>
                <w:rFonts w:ascii="Times New Roman" w:hAnsi="Times New Roman" w:eastAsia="Times New Roman" w:cs="Times New Roman"/>
                <w:sz w:val="20"/>
                <w:szCs w:val="20"/>
              </w:rPr>
            </w:pPr>
            <w:r>
              <w:rPr>
                <w:rFonts w:ascii="Times New Roman" w:hAnsi="Times New Roman" w:eastAsia="Times New Roman" w:cs="Times New Roman"/>
                <w:b/>
                <w:bCs/>
                <w:sz w:val="20"/>
                <w:szCs w:val="20"/>
              </w:rPr>
              <w:t>I</w:t>
            </w:r>
          </w:p>
        </w:tc>
        <w:tc>
          <w:tcPr>
            <w:tcW w:w="708" w:type="dxa"/>
          </w:tcPr>
          <w:p w14:paraId="660C9ACD">
            <w:pPr>
              <w:spacing w:before="56" w:line="192" w:lineRule="auto"/>
              <w:ind w:left="109"/>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I</w:t>
            </w:r>
            <w:r>
              <w:rPr>
                <w:rFonts w:ascii="Times New Roman" w:hAnsi="Times New Roman" w:eastAsia="Times New Roman" w:cs="Times New Roman"/>
                <w:b/>
                <w:bCs/>
                <w:spacing w:val="1"/>
                <w:sz w:val="20"/>
                <w:szCs w:val="20"/>
              </w:rPr>
              <w:t>I</w:t>
            </w:r>
          </w:p>
        </w:tc>
        <w:tc>
          <w:tcPr>
            <w:tcW w:w="709" w:type="dxa"/>
          </w:tcPr>
          <w:p w14:paraId="0C9B95EC">
            <w:pPr>
              <w:spacing w:before="56" w:line="192" w:lineRule="auto"/>
              <w:ind w:left="109"/>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III</w:t>
            </w:r>
          </w:p>
        </w:tc>
        <w:tc>
          <w:tcPr>
            <w:tcW w:w="706" w:type="dxa"/>
          </w:tcPr>
          <w:p w14:paraId="47D34458">
            <w:pPr>
              <w:spacing w:before="56" w:line="192" w:lineRule="auto"/>
              <w:ind w:left="108"/>
              <w:rPr>
                <w:rFonts w:ascii="Times New Roman" w:hAnsi="Times New Roman" w:eastAsia="Times New Roman" w:cs="Times New Roman"/>
                <w:sz w:val="20"/>
                <w:szCs w:val="20"/>
              </w:rPr>
            </w:pPr>
            <w:r>
              <w:rPr>
                <w:rFonts w:ascii="Times New Roman" w:hAnsi="Times New Roman" w:eastAsia="Times New Roman" w:cs="Times New Roman"/>
                <w:b/>
                <w:bCs/>
                <w:sz w:val="20"/>
                <w:szCs w:val="20"/>
              </w:rPr>
              <w:t>I</w:t>
            </w:r>
          </w:p>
        </w:tc>
        <w:tc>
          <w:tcPr>
            <w:tcW w:w="708" w:type="dxa"/>
          </w:tcPr>
          <w:p w14:paraId="0EF1B3FF">
            <w:pPr>
              <w:spacing w:before="56" w:line="192" w:lineRule="auto"/>
              <w:ind w:left="110"/>
              <w:rPr>
                <w:rFonts w:ascii="Times New Roman" w:hAnsi="Times New Roman" w:eastAsia="Times New Roman" w:cs="Times New Roman"/>
                <w:sz w:val="20"/>
                <w:szCs w:val="20"/>
              </w:rPr>
            </w:pPr>
            <w:r>
              <w:rPr>
                <w:rFonts w:ascii="Times New Roman" w:hAnsi="Times New Roman" w:eastAsia="Times New Roman" w:cs="Times New Roman"/>
                <w:b/>
                <w:bCs/>
                <w:sz w:val="20"/>
                <w:szCs w:val="20"/>
              </w:rPr>
              <w:t>II</w:t>
            </w:r>
          </w:p>
        </w:tc>
        <w:tc>
          <w:tcPr>
            <w:tcW w:w="708" w:type="dxa"/>
          </w:tcPr>
          <w:p w14:paraId="6992F0CF">
            <w:pPr>
              <w:spacing w:before="56" w:line="192" w:lineRule="auto"/>
              <w:ind w:left="110"/>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III</w:t>
            </w:r>
          </w:p>
        </w:tc>
        <w:tc>
          <w:tcPr>
            <w:tcW w:w="706" w:type="dxa"/>
          </w:tcPr>
          <w:p w14:paraId="452D37B9">
            <w:pPr>
              <w:spacing w:before="56" w:line="192" w:lineRule="auto"/>
              <w:ind w:left="110"/>
              <w:rPr>
                <w:rFonts w:ascii="Times New Roman" w:hAnsi="Times New Roman" w:eastAsia="Times New Roman" w:cs="Times New Roman"/>
                <w:sz w:val="20"/>
                <w:szCs w:val="20"/>
              </w:rPr>
            </w:pPr>
            <w:r>
              <w:rPr>
                <w:rFonts w:ascii="Times New Roman" w:hAnsi="Times New Roman" w:eastAsia="Times New Roman" w:cs="Times New Roman"/>
                <w:b/>
                <w:bCs/>
                <w:sz w:val="20"/>
                <w:szCs w:val="20"/>
              </w:rPr>
              <w:t>I</w:t>
            </w:r>
          </w:p>
        </w:tc>
        <w:tc>
          <w:tcPr>
            <w:tcW w:w="709" w:type="dxa"/>
          </w:tcPr>
          <w:p w14:paraId="72BF9E14">
            <w:pPr>
              <w:spacing w:before="56" w:line="192" w:lineRule="auto"/>
              <w:ind w:left="110"/>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I</w:t>
            </w:r>
            <w:r>
              <w:rPr>
                <w:rFonts w:ascii="Times New Roman" w:hAnsi="Times New Roman" w:eastAsia="Times New Roman" w:cs="Times New Roman"/>
                <w:b/>
                <w:bCs/>
                <w:spacing w:val="1"/>
                <w:sz w:val="20"/>
                <w:szCs w:val="20"/>
              </w:rPr>
              <w:t>I</w:t>
            </w:r>
          </w:p>
        </w:tc>
        <w:tc>
          <w:tcPr>
            <w:tcW w:w="698" w:type="dxa"/>
            <w:tcBorders>
              <w:right w:val="nil"/>
            </w:tcBorders>
          </w:tcPr>
          <w:p w14:paraId="3C20585B">
            <w:pPr>
              <w:spacing w:before="56" w:line="192" w:lineRule="auto"/>
              <w:ind w:left="109"/>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III</w:t>
            </w:r>
          </w:p>
        </w:tc>
      </w:tr>
      <w:tr w14:paraId="1769A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07" w:type="dxa"/>
            <w:vMerge w:val="restart"/>
            <w:tcBorders>
              <w:left w:val="nil"/>
              <w:bottom w:val="nil"/>
            </w:tcBorders>
          </w:tcPr>
          <w:p w14:paraId="20936D3B">
            <w:pPr>
              <w:spacing w:line="275" w:lineRule="auto"/>
            </w:pPr>
          </w:p>
          <w:p w14:paraId="52D22375">
            <w:pPr>
              <w:spacing w:before="57" w:line="195" w:lineRule="auto"/>
              <w:ind w:left="5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A</w:t>
            </w:r>
          </w:p>
        </w:tc>
        <w:tc>
          <w:tcPr>
            <w:tcW w:w="2123" w:type="dxa"/>
          </w:tcPr>
          <w:p w14:paraId="62A73417">
            <w:pPr>
              <w:spacing w:before="32" w:line="225" w:lineRule="auto"/>
              <w:ind w:left="1133"/>
              <w:rPr>
                <w:rFonts w:ascii="Times New Roman" w:hAnsi="Times New Roman" w:eastAsia="Times New Roman" w:cs="Times New Roman"/>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2</w:t>
            </w:r>
          </w:p>
        </w:tc>
        <w:tc>
          <w:tcPr>
            <w:tcW w:w="706" w:type="dxa"/>
          </w:tcPr>
          <w:p w14:paraId="43864879">
            <w:pPr>
              <w:spacing w:before="68" w:line="195" w:lineRule="auto"/>
              <w:ind w:left="10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400</w:t>
            </w:r>
          </w:p>
        </w:tc>
        <w:tc>
          <w:tcPr>
            <w:tcW w:w="708" w:type="dxa"/>
          </w:tcPr>
          <w:p w14:paraId="119715F0">
            <w:pPr>
              <w:spacing w:before="68" w:line="195" w:lineRule="auto"/>
              <w:ind w:left="10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400</w:t>
            </w:r>
          </w:p>
        </w:tc>
        <w:tc>
          <w:tcPr>
            <w:tcW w:w="709" w:type="dxa"/>
          </w:tcPr>
          <w:p w14:paraId="6C3152B4">
            <w:pPr>
              <w:spacing w:before="68" w:line="195" w:lineRule="auto"/>
              <w:ind w:left="10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400</w:t>
            </w:r>
          </w:p>
        </w:tc>
        <w:tc>
          <w:tcPr>
            <w:tcW w:w="706" w:type="dxa"/>
          </w:tcPr>
          <w:p w14:paraId="3B3EBE46">
            <w:pPr>
              <w:spacing w:before="68" w:line="195" w:lineRule="auto"/>
              <w:ind w:left="1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400</w:t>
            </w:r>
          </w:p>
        </w:tc>
        <w:tc>
          <w:tcPr>
            <w:tcW w:w="708" w:type="dxa"/>
          </w:tcPr>
          <w:p w14:paraId="71165912">
            <w:pPr>
              <w:spacing w:before="68" w:line="195" w:lineRule="auto"/>
              <w:ind w:left="10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400</w:t>
            </w:r>
          </w:p>
        </w:tc>
        <w:tc>
          <w:tcPr>
            <w:tcW w:w="708" w:type="dxa"/>
          </w:tcPr>
          <w:p w14:paraId="0163F8FC">
            <w:pPr>
              <w:spacing w:before="68" w:line="195" w:lineRule="auto"/>
              <w:ind w:left="10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400</w:t>
            </w:r>
          </w:p>
        </w:tc>
        <w:tc>
          <w:tcPr>
            <w:tcW w:w="706" w:type="dxa"/>
          </w:tcPr>
          <w:p w14:paraId="73538F52">
            <w:pPr>
              <w:spacing w:before="68" w:line="195" w:lineRule="auto"/>
              <w:ind w:left="11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w:t>
            </w:r>
            <w:r>
              <w:rPr>
                <w:rFonts w:ascii="Times New Roman" w:hAnsi="Times New Roman" w:eastAsia="Times New Roman" w:cs="Times New Roman"/>
                <w:spacing w:val="-1"/>
                <w:sz w:val="20"/>
                <w:szCs w:val="20"/>
              </w:rPr>
              <w:t>0</w:t>
            </w:r>
          </w:p>
        </w:tc>
        <w:tc>
          <w:tcPr>
            <w:tcW w:w="709" w:type="dxa"/>
          </w:tcPr>
          <w:p w14:paraId="67AE2A55">
            <w:pPr>
              <w:spacing w:before="68" w:line="195" w:lineRule="auto"/>
              <w:ind w:left="11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w:t>
            </w:r>
            <w:r>
              <w:rPr>
                <w:rFonts w:ascii="Times New Roman" w:hAnsi="Times New Roman" w:eastAsia="Times New Roman" w:cs="Times New Roman"/>
                <w:spacing w:val="-1"/>
                <w:sz w:val="20"/>
                <w:szCs w:val="20"/>
              </w:rPr>
              <w:t>0</w:t>
            </w:r>
          </w:p>
        </w:tc>
        <w:tc>
          <w:tcPr>
            <w:tcW w:w="698" w:type="dxa"/>
            <w:tcBorders>
              <w:right w:val="nil"/>
            </w:tcBorders>
          </w:tcPr>
          <w:p w14:paraId="1F9AF9B0">
            <w:pPr>
              <w:spacing w:before="68" w:line="195" w:lineRule="auto"/>
              <w:ind w:left="11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w:t>
            </w:r>
            <w:r>
              <w:rPr>
                <w:rFonts w:ascii="Times New Roman" w:hAnsi="Times New Roman" w:eastAsia="Times New Roman" w:cs="Times New Roman"/>
                <w:spacing w:val="-1"/>
                <w:sz w:val="20"/>
                <w:szCs w:val="20"/>
              </w:rPr>
              <w:t>0</w:t>
            </w:r>
          </w:p>
        </w:tc>
      </w:tr>
      <w:tr w14:paraId="4ED03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807" w:type="dxa"/>
            <w:vMerge w:val="continue"/>
            <w:tcBorders>
              <w:top w:val="nil"/>
              <w:left w:val="nil"/>
              <w:bottom w:val="nil"/>
            </w:tcBorders>
          </w:tcPr>
          <w:p w14:paraId="4AB68D3C"/>
        </w:tc>
        <w:tc>
          <w:tcPr>
            <w:tcW w:w="2123" w:type="dxa"/>
          </w:tcPr>
          <w:p w14:paraId="58551069">
            <w:pPr>
              <w:spacing w:before="53" w:line="195" w:lineRule="auto"/>
              <w:ind w:left="113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2-4</w:t>
            </w:r>
          </w:p>
        </w:tc>
        <w:tc>
          <w:tcPr>
            <w:tcW w:w="706" w:type="dxa"/>
          </w:tcPr>
          <w:p w14:paraId="52636F46">
            <w:pPr>
              <w:spacing w:before="53" w:line="195" w:lineRule="auto"/>
              <w:ind w:left="11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7</w:t>
            </w:r>
            <w:r>
              <w:rPr>
                <w:rFonts w:ascii="Times New Roman" w:hAnsi="Times New Roman" w:eastAsia="Times New Roman" w:cs="Times New Roman"/>
                <w:spacing w:val="2"/>
                <w:sz w:val="20"/>
                <w:szCs w:val="20"/>
              </w:rPr>
              <w:t>00</w:t>
            </w:r>
          </w:p>
        </w:tc>
        <w:tc>
          <w:tcPr>
            <w:tcW w:w="708" w:type="dxa"/>
          </w:tcPr>
          <w:p w14:paraId="4BB0B62F">
            <w:pPr>
              <w:spacing w:before="53" w:line="195" w:lineRule="auto"/>
              <w:ind w:left="10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470</w:t>
            </w:r>
          </w:p>
        </w:tc>
        <w:tc>
          <w:tcPr>
            <w:tcW w:w="709" w:type="dxa"/>
          </w:tcPr>
          <w:p w14:paraId="5549F62D">
            <w:pPr>
              <w:spacing w:before="53" w:line="195" w:lineRule="auto"/>
              <w:ind w:left="11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w:t>
            </w:r>
            <w:r>
              <w:rPr>
                <w:rFonts w:ascii="Times New Roman" w:hAnsi="Times New Roman" w:eastAsia="Times New Roman" w:cs="Times New Roman"/>
                <w:spacing w:val="2"/>
                <w:sz w:val="20"/>
                <w:szCs w:val="20"/>
              </w:rPr>
              <w:t>50</w:t>
            </w:r>
          </w:p>
        </w:tc>
        <w:tc>
          <w:tcPr>
            <w:tcW w:w="706" w:type="dxa"/>
          </w:tcPr>
          <w:p w14:paraId="1175F2AB">
            <w:pPr>
              <w:spacing w:before="53" w:line="195" w:lineRule="auto"/>
              <w:ind w:left="11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7</w:t>
            </w:r>
            <w:r>
              <w:rPr>
                <w:rFonts w:ascii="Times New Roman" w:hAnsi="Times New Roman" w:eastAsia="Times New Roman" w:cs="Times New Roman"/>
                <w:spacing w:val="2"/>
                <w:sz w:val="20"/>
                <w:szCs w:val="20"/>
              </w:rPr>
              <w:t>00</w:t>
            </w:r>
          </w:p>
        </w:tc>
        <w:tc>
          <w:tcPr>
            <w:tcW w:w="708" w:type="dxa"/>
          </w:tcPr>
          <w:p w14:paraId="74EB472F">
            <w:pPr>
              <w:spacing w:before="53" w:line="195" w:lineRule="auto"/>
              <w:ind w:left="10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470</w:t>
            </w:r>
          </w:p>
        </w:tc>
        <w:tc>
          <w:tcPr>
            <w:tcW w:w="708" w:type="dxa"/>
          </w:tcPr>
          <w:p w14:paraId="0116D7B4">
            <w:pPr>
              <w:spacing w:before="53" w:line="195" w:lineRule="auto"/>
              <w:ind w:left="11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w:t>
            </w:r>
            <w:r>
              <w:rPr>
                <w:rFonts w:ascii="Times New Roman" w:hAnsi="Times New Roman" w:eastAsia="Times New Roman" w:cs="Times New Roman"/>
                <w:spacing w:val="2"/>
                <w:sz w:val="20"/>
                <w:szCs w:val="20"/>
              </w:rPr>
              <w:t>50</w:t>
            </w:r>
          </w:p>
        </w:tc>
        <w:tc>
          <w:tcPr>
            <w:tcW w:w="706" w:type="dxa"/>
          </w:tcPr>
          <w:p w14:paraId="645DD128">
            <w:pPr>
              <w:spacing w:before="53" w:line="195" w:lineRule="auto"/>
              <w:ind w:left="11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w:t>
            </w:r>
            <w:r>
              <w:rPr>
                <w:rFonts w:ascii="Times New Roman" w:hAnsi="Times New Roman" w:eastAsia="Times New Roman" w:cs="Times New Roman"/>
                <w:spacing w:val="2"/>
                <w:sz w:val="20"/>
                <w:szCs w:val="20"/>
              </w:rPr>
              <w:t>80</w:t>
            </w:r>
          </w:p>
        </w:tc>
        <w:tc>
          <w:tcPr>
            <w:tcW w:w="709" w:type="dxa"/>
          </w:tcPr>
          <w:p w14:paraId="7E2DD148">
            <w:pPr>
              <w:spacing w:before="53" w:line="195" w:lineRule="auto"/>
              <w:ind w:left="11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50</w:t>
            </w:r>
          </w:p>
        </w:tc>
        <w:tc>
          <w:tcPr>
            <w:tcW w:w="698" w:type="dxa"/>
            <w:tcBorders>
              <w:right w:val="nil"/>
            </w:tcBorders>
          </w:tcPr>
          <w:p w14:paraId="3EC2B616">
            <w:pPr>
              <w:spacing w:before="53" w:line="195" w:lineRule="auto"/>
              <w:ind w:left="12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190</w:t>
            </w:r>
          </w:p>
        </w:tc>
      </w:tr>
      <w:tr w14:paraId="19CE02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7" w:type="dxa"/>
            <w:vMerge w:val="continue"/>
            <w:tcBorders>
              <w:top w:val="nil"/>
              <w:left w:val="nil"/>
            </w:tcBorders>
          </w:tcPr>
          <w:p w14:paraId="251227B6"/>
        </w:tc>
        <w:tc>
          <w:tcPr>
            <w:tcW w:w="2123" w:type="dxa"/>
          </w:tcPr>
          <w:p w14:paraId="448A30BB">
            <w:pPr>
              <w:spacing w:before="32" w:line="226" w:lineRule="auto"/>
              <w:ind w:left="1137"/>
              <w:rPr>
                <w:rFonts w:ascii="Times New Roman" w:hAnsi="Times New Roman" w:eastAsia="Times New Roman" w:cs="Times New Roman"/>
                <w:sz w:val="20"/>
                <w:szCs w:val="20"/>
              </w:rPr>
            </w:pPr>
            <w:r>
              <w:rPr>
                <w:rFonts w:ascii="宋体" w:hAnsi="宋体" w:eastAsia="宋体" w:cs="宋体"/>
                <w:spacing w:val="-7"/>
                <w:sz w:val="20"/>
                <w:szCs w:val="20"/>
              </w:rPr>
              <w:t>＞</w:t>
            </w:r>
            <w:r>
              <w:rPr>
                <w:rFonts w:ascii="Times New Roman" w:hAnsi="Times New Roman" w:eastAsia="Times New Roman" w:cs="Times New Roman"/>
                <w:spacing w:val="-5"/>
                <w:sz w:val="20"/>
                <w:szCs w:val="20"/>
              </w:rPr>
              <w:t>4</w:t>
            </w:r>
          </w:p>
        </w:tc>
        <w:tc>
          <w:tcPr>
            <w:tcW w:w="706" w:type="dxa"/>
          </w:tcPr>
          <w:p w14:paraId="047C57F2">
            <w:pPr>
              <w:spacing w:before="67" w:line="195" w:lineRule="auto"/>
              <w:ind w:left="11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53</w:t>
            </w:r>
            <w:r>
              <w:rPr>
                <w:rFonts w:ascii="Times New Roman" w:hAnsi="Times New Roman" w:eastAsia="Times New Roman" w:cs="Times New Roman"/>
                <w:spacing w:val="1"/>
                <w:sz w:val="20"/>
                <w:szCs w:val="20"/>
              </w:rPr>
              <w:t>0</w:t>
            </w:r>
          </w:p>
        </w:tc>
        <w:tc>
          <w:tcPr>
            <w:tcW w:w="708" w:type="dxa"/>
          </w:tcPr>
          <w:p w14:paraId="31468282">
            <w:pPr>
              <w:spacing w:before="67" w:line="195" w:lineRule="auto"/>
              <w:ind w:left="11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w:t>
            </w:r>
            <w:r>
              <w:rPr>
                <w:rFonts w:ascii="Times New Roman" w:hAnsi="Times New Roman" w:eastAsia="Times New Roman" w:cs="Times New Roman"/>
                <w:spacing w:val="2"/>
                <w:sz w:val="20"/>
                <w:szCs w:val="20"/>
              </w:rPr>
              <w:t>50</w:t>
            </w:r>
          </w:p>
        </w:tc>
        <w:tc>
          <w:tcPr>
            <w:tcW w:w="709" w:type="dxa"/>
          </w:tcPr>
          <w:p w14:paraId="7909736A">
            <w:pPr>
              <w:spacing w:before="67" w:line="195" w:lineRule="auto"/>
              <w:ind w:left="109"/>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60</w:t>
            </w:r>
          </w:p>
        </w:tc>
        <w:tc>
          <w:tcPr>
            <w:tcW w:w="706" w:type="dxa"/>
          </w:tcPr>
          <w:p w14:paraId="7A9DA091">
            <w:pPr>
              <w:spacing w:before="67" w:line="195" w:lineRule="auto"/>
              <w:ind w:left="11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53</w:t>
            </w:r>
            <w:r>
              <w:rPr>
                <w:rFonts w:ascii="Times New Roman" w:hAnsi="Times New Roman" w:eastAsia="Times New Roman" w:cs="Times New Roman"/>
                <w:spacing w:val="1"/>
                <w:sz w:val="20"/>
                <w:szCs w:val="20"/>
              </w:rPr>
              <w:t>0</w:t>
            </w:r>
          </w:p>
        </w:tc>
        <w:tc>
          <w:tcPr>
            <w:tcW w:w="708" w:type="dxa"/>
          </w:tcPr>
          <w:p w14:paraId="0C25CCA5">
            <w:pPr>
              <w:spacing w:before="67" w:line="195" w:lineRule="auto"/>
              <w:ind w:left="11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w:t>
            </w:r>
            <w:r>
              <w:rPr>
                <w:rFonts w:ascii="Times New Roman" w:hAnsi="Times New Roman" w:eastAsia="Times New Roman" w:cs="Times New Roman"/>
                <w:spacing w:val="2"/>
                <w:sz w:val="20"/>
                <w:szCs w:val="20"/>
              </w:rPr>
              <w:t>50</w:t>
            </w:r>
          </w:p>
        </w:tc>
        <w:tc>
          <w:tcPr>
            <w:tcW w:w="708" w:type="dxa"/>
          </w:tcPr>
          <w:p w14:paraId="2128940F">
            <w:pPr>
              <w:spacing w:before="67" w:line="195" w:lineRule="auto"/>
              <w:ind w:left="11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60</w:t>
            </w:r>
          </w:p>
        </w:tc>
        <w:tc>
          <w:tcPr>
            <w:tcW w:w="706" w:type="dxa"/>
          </w:tcPr>
          <w:p w14:paraId="2CC4CD2E">
            <w:pPr>
              <w:spacing w:before="67" w:line="195" w:lineRule="auto"/>
              <w:ind w:left="11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90</w:t>
            </w:r>
          </w:p>
        </w:tc>
        <w:tc>
          <w:tcPr>
            <w:tcW w:w="709" w:type="dxa"/>
          </w:tcPr>
          <w:p w14:paraId="15002D5D">
            <w:pPr>
              <w:spacing w:before="67" w:line="195" w:lineRule="auto"/>
              <w:ind w:left="13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190</w:t>
            </w:r>
          </w:p>
        </w:tc>
        <w:tc>
          <w:tcPr>
            <w:tcW w:w="698" w:type="dxa"/>
            <w:tcBorders>
              <w:right w:val="nil"/>
            </w:tcBorders>
          </w:tcPr>
          <w:p w14:paraId="42D8FF7C">
            <w:pPr>
              <w:spacing w:before="67" w:line="195" w:lineRule="auto"/>
              <w:ind w:left="12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140</w:t>
            </w:r>
          </w:p>
        </w:tc>
      </w:tr>
      <w:tr w14:paraId="43B79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07" w:type="dxa"/>
            <w:vMerge w:val="restart"/>
            <w:tcBorders>
              <w:left w:val="nil"/>
              <w:bottom w:val="nil"/>
            </w:tcBorders>
          </w:tcPr>
          <w:p w14:paraId="0F40DDC8">
            <w:pPr>
              <w:spacing w:before="211" w:line="192" w:lineRule="auto"/>
              <w:ind w:left="54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B</w:t>
            </w:r>
          </w:p>
        </w:tc>
        <w:tc>
          <w:tcPr>
            <w:tcW w:w="2123" w:type="dxa"/>
          </w:tcPr>
          <w:p w14:paraId="4688F9A1">
            <w:pPr>
              <w:spacing w:before="33" w:line="224" w:lineRule="auto"/>
              <w:ind w:left="1133"/>
              <w:rPr>
                <w:rFonts w:ascii="Times New Roman" w:hAnsi="Times New Roman" w:eastAsia="Times New Roman" w:cs="Times New Roman"/>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2</w:t>
            </w:r>
          </w:p>
        </w:tc>
        <w:tc>
          <w:tcPr>
            <w:tcW w:w="2123" w:type="dxa"/>
            <w:gridSpan w:val="3"/>
          </w:tcPr>
          <w:p w14:paraId="0FDD6344">
            <w:pPr>
              <w:spacing w:before="69" w:line="195" w:lineRule="auto"/>
              <w:ind w:left="109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2"/>
                <w:sz w:val="20"/>
                <w:szCs w:val="20"/>
              </w:rPr>
              <w:t>.01</w:t>
            </w:r>
          </w:p>
        </w:tc>
        <w:tc>
          <w:tcPr>
            <w:tcW w:w="2122" w:type="dxa"/>
            <w:gridSpan w:val="3"/>
          </w:tcPr>
          <w:p w14:paraId="3B35F002">
            <w:pPr>
              <w:spacing w:before="69" w:line="195" w:lineRule="auto"/>
              <w:ind w:left="104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0.01</w:t>
            </w:r>
            <w:r>
              <w:rPr>
                <w:rFonts w:ascii="Times New Roman" w:hAnsi="Times New Roman" w:eastAsia="Times New Roman" w:cs="Times New Roman"/>
                <w:spacing w:val="2"/>
                <w:sz w:val="20"/>
                <w:szCs w:val="20"/>
              </w:rPr>
              <w:t>5</w:t>
            </w:r>
          </w:p>
        </w:tc>
        <w:tc>
          <w:tcPr>
            <w:tcW w:w="2113" w:type="dxa"/>
            <w:gridSpan w:val="3"/>
            <w:tcBorders>
              <w:right w:val="nil"/>
            </w:tcBorders>
          </w:tcPr>
          <w:p w14:paraId="1F45616F">
            <w:pPr>
              <w:spacing w:before="69" w:line="195" w:lineRule="auto"/>
              <w:ind w:left="10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0.01</w:t>
            </w:r>
            <w:r>
              <w:rPr>
                <w:rFonts w:ascii="Times New Roman" w:hAnsi="Times New Roman" w:eastAsia="Times New Roman" w:cs="Times New Roman"/>
                <w:spacing w:val="2"/>
                <w:sz w:val="20"/>
                <w:szCs w:val="20"/>
              </w:rPr>
              <w:t>5</w:t>
            </w:r>
          </w:p>
        </w:tc>
      </w:tr>
      <w:tr w14:paraId="590453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trPr>
        <w:tc>
          <w:tcPr>
            <w:tcW w:w="807" w:type="dxa"/>
            <w:vMerge w:val="continue"/>
            <w:tcBorders>
              <w:top w:val="nil"/>
              <w:left w:val="nil"/>
            </w:tcBorders>
          </w:tcPr>
          <w:p w14:paraId="753F8BDD"/>
        </w:tc>
        <w:tc>
          <w:tcPr>
            <w:tcW w:w="2123" w:type="dxa"/>
          </w:tcPr>
          <w:p w14:paraId="21E5A1D6">
            <w:pPr>
              <w:spacing w:before="35" w:line="210" w:lineRule="auto"/>
              <w:ind w:left="1137"/>
              <w:rPr>
                <w:rFonts w:ascii="Times New Roman" w:hAnsi="Times New Roman" w:eastAsia="Times New Roman" w:cs="Times New Roman"/>
                <w:sz w:val="20"/>
                <w:szCs w:val="20"/>
              </w:rPr>
            </w:pPr>
            <w:r>
              <w:rPr>
                <w:rFonts w:ascii="宋体" w:hAnsi="宋体" w:eastAsia="宋体" w:cs="宋体"/>
                <w:spacing w:val="-7"/>
                <w:sz w:val="20"/>
                <w:szCs w:val="20"/>
              </w:rPr>
              <w:t>＞</w:t>
            </w:r>
            <w:r>
              <w:rPr>
                <w:rFonts w:ascii="Times New Roman" w:hAnsi="Times New Roman" w:eastAsia="Times New Roman" w:cs="Times New Roman"/>
                <w:spacing w:val="-5"/>
                <w:sz w:val="20"/>
                <w:szCs w:val="20"/>
              </w:rPr>
              <w:t>2</w:t>
            </w:r>
          </w:p>
        </w:tc>
        <w:tc>
          <w:tcPr>
            <w:tcW w:w="2123" w:type="dxa"/>
            <w:gridSpan w:val="3"/>
          </w:tcPr>
          <w:p w14:paraId="017E4EA9">
            <w:pPr>
              <w:spacing w:before="71" w:line="195" w:lineRule="auto"/>
              <w:ind w:left="10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 xml:space="preserve"> 021</w:t>
            </w:r>
          </w:p>
        </w:tc>
        <w:tc>
          <w:tcPr>
            <w:tcW w:w="2122" w:type="dxa"/>
            <w:gridSpan w:val="3"/>
          </w:tcPr>
          <w:p w14:paraId="659C5A8C">
            <w:pPr>
              <w:spacing w:before="71" w:line="195" w:lineRule="auto"/>
              <w:ind w:left="104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0 03</w:t>
            </w:r>
            <w:r>
              <w:rPr>
                <w:rFonts w:ascii="Times New Roman" w:hAnsi="Times New Roman" w:eastAsia="Times New Roman" w:cs="Times New Roman"/>
                <w:spacing w:val="2"/>
                <w:sz w:val="20"/>
                <w:szCs w:val="20"/>
              </w:rPr>
              <w:t>6</w:t>
            </w:r>
          </w:p>
        </w:tc>
        <w:tc>
          <w:tcPr>
            <w:tcW w:w="2113" w:type="dxa"/>
            <w:gridSpan w:val="3"/>
            <w:tcBorders>
              <w:right w:val="nil"/>
            </w:tcBorders>
          </w:tcPr>
          <w:p w14:paraId="3A4A8CB2">
            <w:pPr>
              <w:spacing w:before="71" w:line="195" w:lineRule="auto"/>
              <w:ind w:left="103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0 03</w:t>
            </w:r>
            <w:r>
              <w:rPr>
                <w:rFonts w:ascii="Times New Roman" w:hAnsi="Times New Roman" w:eastAsia="Times New Roman" w:cs="Times New Roman"/>
                <w:spacing w:val="2"/>
                <w:sz w:val="20"/>
                <w:szCs w:val="20"/>
              </w:rPr>
              <w:t>6</w:t>
            </w:r>
          </w:p>
        </w:tc>
      </w:tr>
      <w:tr w14:paraId="2A6B5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807" w:type="dxa"/>
            <w:vMerge w:val="restart"/>
            <w:tcBorders>
              <w:left w:val="nil"/>
              <w:bottom w:val="nil"/>
            </w:tcBorders>
          </w:tcPr>
          <w:p w14:paraId="161059E3">
            <w:pPr>
              <w:spacing w:before="225" w:line="195" w:lineRule="auto"/>
              <w:ind w:left="549"/>
              <w:rPr>
                <w:rFonts w:ascii="Times New Roman" w:hAnsi="Times New Roman" w:eastAsia="Times New Roman" w:cs="Times New Roman"/>
                <w:sz w:val="20"/>
                <w:szCs w:val="20"/>
              </w:rPr>
            </w:pPr>
            <w:r>
              <w:rPr>
                <w:rFonts w:ascii="Times New Roman" w:hAnsi="Times New Roman" w:eastAsia="Times New Roman" w:cs="Times New Roman"/>
                <w:sz w:val="20"/>
                <w:szCs w:val="20"/>
              </w:rPr>
              <w:t>C</w:t>
            </w:r>
          </w:p>
        </w:tc>
        <w:tc>
          <w:tcPr>
            <w:tcW w:w="2123" w:type="dxa"/>
          </w:tcPr>
          <w:p w14:paraId="0C550E98">
            <w:pPr>
              <w:spacing w:before="48" w:line="224" w:lineRule="auto"/>
              <w:ind w:left="1133"/>
              <w:rPr>
                <w:rFonts w:ascii="Times New Roman" w:hAnsi="Times New Roman" w:eastAsia="Times New Roman" w:cs="Times New Roman"/>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2</w:t>
            </w:r>
          </w:p>
        </w:tc>
        <w:tc>
          <w:tcPr>
            <w:tcW w:w="2123" w:type="dxa"/>
            <w:gridSpan w:val="3"/>
          </w:tcPr>
          <w:p w14:paraId="361D8861">
            <w:pPr>
              <w:spacing w:before="84" w:line="198" w:lineRule="auto"/>
              <w:ind w:left="110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1"/>
                <w:sz w:val="20"/>
                <w:szCs w:val="20"/>
              </w:rPr>
              <w:t>85</w:t>
            </w:r>
          </w:p>
        </w:tc>
        <w:tc>
          <w:tcPr>
            <w:tcW w:w="2122" w:type="dxa"/>
            <w:gridSpan w:val="3"/>
          </w:tcPr>
          <w:p w14:paraId="2605BCB1">
            <w:pPr>
              <w:spacing w:before="84" w:line="198" w:lineRule="auto"/>
              <w:ind w:left="110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1"/>
                <w:sz w:val="20"/>
                <w:szCs w:val="20"/>
              </w:rPr>
              <w:t>74</w:t>
            </w:r>
          </w:p>
        </w:tc>
        <w:tc>
          <w:tcPr>
            <w:tcW w:w="2113" w:type="dxa"/>
            <w:gridSpan w:val="3"/>
            <w:tcBorders>
              <w:right w:val="nil"/>
            </w:tcBorders>
          </w:tcPr>
          <w:p w14:paraId="4524A8C5">
            <w:pPr>
              <w:spacing w:before="84" w:line="198" w:lineRule="auto"/>
              <w:ind w:left="110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1"/>
                <w:sz w:val="20"/>
                <w:szCs w:val="20"/>
              </w:rPr>
              <w:t>79</w:t>
            </w:r>
          </w:p>
        </w:tc>
      </w:tr>
      <w:tr w14:paraId="7E9C53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7" w:type="dxa"/>
            <w:vMerge w:val="continue"/>
            <w:tcBorders>
              <w:top w:val="nil"/>
              <w:left w:val="nil"/>
            </w:tcBorders>
          </w:tcPr>
          <w:p w14:paraId="7331AC0F"/>
        </w:tc>
        <w:tc>
          <w:tcPr>
            <w:tcW w:w="2123" w:type="dxa"/>
          </w:tcPr>
          <w:p w14:paraId="53A29F2E">
            <w:pPr>
              <w:spacing w:before="35" w:line="223" w:lineRule="auto"/>
              <w:ind w:left="1137"/>
              <w:rPr>
                <w:rFonts w:ascii="Times New Roman" w:hAnsi="Times New Roman" w:eastAsia="Times New Roman" w:cs="Times New Roman"/>
                <w:sz w:val="20"/>
                <w:szCs w:val="20"/>
              </w:rPr>
            </w:pPr>
            <w:r>
              <w:rPr>
                <w:rFonts w:ascii="宋体" w:hAnsi="宋体" w:eastAsia="宋体" w:cs="宋体"/>
                <w:spacing w:val="-7"/>
                <w:sz w:val="20"/>
                <w:szCs w:val="20"/>
              </w:rPr>
              <w:t>＞</w:t>
            </w:r>
            <w:r>
              <w:rPr>
                <w:rFonts w:ascii="Times New Roman" w:hAnsi="Times New Roman" w:eastAsia="Times New Roman" w:cs="Times New Roman"/>
                <w:spacing w:val="-5"/>
                <w:sz w:val="20"/>
                <w:szCs w:val="20"/>
              </w:rPr>
              <w:t>2</w:t>
            </w:r>
          </w:p>
        </w:tc>
        <w:tc>
          <w:tcPr>
            <w:tcW w:w="2123" w:type="dxa"/>
            <w:gridSpan w:val="3"/>
          </w:tcPr>
          <w:p w14:paraId="20C17890">
            <w:pPr>
              <w:spacing w:before="71" w:line="198" w:lineRule="auto"/>
              <w:ind w:left="110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1"/>
                <w:sz w:val="20"/>
                <w:szCs w:val="20"/>
              </w:rPr>
              <w:t>85</w:t>
            </w:r>
          </w:p>
        </w:tc>
        <w:tc>
          <w:tcPr>
            <w:tcW w:w="2122" w:type="dxa"/>
            <w:gridSpan w:val="3"/>
          </w:tcPr>
          <w:p w14:paraId="393ADF6A">
            <w:pPr>
              <w:spacing w:before="71" w:line="198" w:lineRule="auto"/>
              <w:ind w:left="110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1"/>
                <w:sz w:val="20"/>
                <w:szCs w:val="20"/>
              </w:rPr>
              <w:t>77</w:t>
            </w:r>
          </w:p>
        </w:tc>
        <w:tc>
          <w:tcPr>
            <w:tcW w:w="2113" w:type="dxa"/>
            <w:gridSpan w:val="3"/>
            <w:tcBorders>
              <w:right w:val="nil"/>
            </w:tcBorders>
          </w:tcPr>
          <w:p w14:paraId="2299BAB4">
            <w:pPr>
              <w:spacing w:before="71" w:line="198" w:lineRule="auto"/>
              <w:ind w:left="110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1"/>
                <w:sz w:val="20"/>
                <w:szCs w:val="20"/>
              </w:rPr>
              <w:t>79</w:t>
            </w:r>
          </w:p>
        </w:tc>
      </w:tr>
      <w:tr w14:paraId="68EE4C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7" w:type="dxa"/>
            <w:vMerge w:val="restart"/>
            <w:tcBorders>
              <w:left w:val="nil"/>
              <w:bottom w:val="nil"/>
            </w:tcBorders>
          </w:tcPr>
          <w:p w14:paraId="4E29D988">
            <w:pPr>
              <w:spacing w:before="214" w:line="192" w:lineRule="auto"/>
              <w:ind w:left="5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D</w:t>
            </w:r>
          </w:p>
        </w:tc>
        <w:tc>
          <w:tcPr>
            <w:tcW w:w="2123" w:type="dxa"/>
          </w:tcPr>
          <w:p w14:paraId="368B13D8">
            <w:pPr>
              <w:spacing w:before="34" w:line="224" w:lineRule="auto"/>
              <w:ind w:left="1133"/>
              <w:rPr>
                <w:rFonts w:ascii="Times New Roman" w:hAnsi="Times New Roman" w:eastAsia="Times New Roman" w:cs="Times New Roman"/>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2</w:t>
            </w:r>
          </w:p>
        </w:tc>
        <w:tc>
          <w:tcPr>
            <w:tcW w:w="2123" w:type="dxa"/>
            <w:gridSpan w:val="3"/>
          </w:tcPr>
          <w:p w14:paraId="10850C5B">
            <w:pPr>
              <w:spacing w:before="70" w:line="195" w:lineRule="auto"/>
              <w:ind w:left="109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2"/>
                <w:sz w:val="20"/>
                <w:szCs w:val="20"/>
              </w:rPr>
              <w:t>.78</w:t>
            </w:r>
          </w:p>
        </w:tc>
        <w:tc>
          <w:tcPr>
            <w:tcW w:w="2122" w:type="dxa"/>
            <w:gridSpan w:val="3"/>
          </w:tcPr>
          <w:p w14:paraId="5B37AC17">
            <w:pPr>
              <w:spacing w:before="70" w:line="195" w:lineRule="auto"/>
              <w:ind w:left="109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2"/>
                <w:sz w:val="20"/>
                <w:szCs w:val="20"/>
              </w:rPr>
              <w:t>.78</w:t>
            </w:r>
          </w:p>
        </w:tc>
        <w:tc>
          <w:tcPr>
            <w:tcW w:w="2113" w:type="dxa"/>
            <w:gridSpan w:val="3"/>
            <w:tcBorders>
              <w:right w:val="nil"/>
            </w:tcBorders>
          </w:tcPr>
          <w:p w14:paraId="01D1CE91">
            <w:pPr>
              <w:spacing w:before="70" w:line="195" w:lineRule="auto"/>
              <w:ind w:left="108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2"/>
                <w:sz w:val="20"/>
                <w:szCs w:val="20"/>
              </w:rPr>
              <w:t>.57</w:t>
            </w:r>
          </w:p>
        </w:tc>
      </w:tr>
      <w:tr w14:paraId="3703B8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807" w:type="dxa"/>
            <w:vMerge w:val="continue"/>
            <w:tcBorders>
              <w:top w:val="nil"/>
              <w:left w:val="nil"/>
            </w:tcBorders>
          </w:tcPr>
          <w:p w14:paraId="1906CED8"/>
        </w:tc>
        <w:tc>
          <w:tcPr>
            <w:tcW w:w="2123" w:type="dxa"/>
          </w:tcPr>
          <w:p w14:paraId="3539ECD1">
            <w:pPr>
              <w:spacing w:before="35" w:line="265" w:lineRule="exact"/>
              <w:ind w:left="1137"/>
              <w:rPr>
                <w:rFonts w:ascii="Times New Roman" w:hAnsi="Times New Roman" w:eastAsia="Times New Roman" w:cs="Times New Roman"/>
                <w:sz w:val="20"/>
                <w:szCs w:val="20"/>
              </w:rPr>
            </w:pPr>
            <w:r>
              <w:rPr>
                <w:rFonts w:ascii="宋体" w:hAnsi="宋体" w:eastAsia="宋体" w:cs="宋体"/>
                <w:spacing w:val="-7"/>
                <w:position w:val="1"/>
                <w:sz w:val="20"/>
                <w:szCs w:val="20"/>
              </w:rPr>
              <w:t>＞</w:t>
            </w:r>
            <w:r>
              <w:rPr>
                <w:rFonts w:ascii="Times New Roman" w:hAnsi="Times New Roman" w:eastAsia="Times New Roman" w:cs="Times New Roman"/>
                <w:spacing w:val="-5"/>
                <w:position w:val="1"/>
                <w:sz w:val="20"/>
                <w:szCs w:val="20"/>
              </w:rPr>
              <w:t>2</w:t>
            </w:r>
          </w:p>
        </w:tc>
        <w:tc>
          <w:tcPr>
            <w:tcW w:w="2123" w:type="dxa"/>
            <w:gridSpan w:val="3"/>
          </w:tcPr>
          <w:p w14:paraId="0A3ED82F">
            <w:pPr>
              <w:spacing w:before="71" w:line="195" w:lineRule="auto"/>
              <w:ind w:left="109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2"/>
                <w:sz w:val="20"/>
                <w:szCs w:val="20"/>
              </w:rPr>
              <w:t>.84</w:t>
            </w:r>
          </w:p>
        </w:tc>
        <w:tc>
          <w:tcPr>
            <w:tcW w:w="2122" w:type="dxa"/>
            <w:gridSpan w:val="3"/>
          </w:tcPr>
          <w:p w14:paraId="27F836C7">
            <w:pPr>
              <w:spacing w:before="71" w:line="195" w:lineRule="auto"/>
              <w:ind w:left="109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2"/>
                <w:sz w:val="20"/>
                <w:szCs w:val="20"/>
              </w:rPr>
              <w:t>.84</w:t>
            </w:r>
          </w:p>
        </w:tc>
        <w:tc>
          <w:tcPr>
            <w:tcW w:w="2113" w:type="dxa"/>
            <w:gridSpan w:val="3"/>
            <w:tcBorders>
              <w:right w:val="nil"/>
            </w:tcBorders>
          </w:tcPr>
          <w:p w14:paraId="785A3081">
            <w:pPr>
              <w:spacing w:before="71" w:line="195" w:lineRule="auto"/>
              <w:ind w:left="108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2"/>
                <w:sz w:val="20"/>
                <w:szCs w:val="20"/>
              </w:rPr>
              <w:t>.76</w:t>
            </w:r>
          </w:p>
        </w:tc>
      </w:tr>
    </w:tbl>
    <w:p w14:paraId="24C064F7">
      <w:pPr>
        <w:spacing w:before="36" w:line="232" w:lineRule="auto"/>
        <w:ind w:left="741"/>
        <w:rPr>
          <w:rFonts w:ascii="宋体" w:hAnsi="宋体" w:eastAsia="宋体" w:cs="宋体"/>
          <w:sz w:val="23"/>
          <w:szCs w:val="23"/>
        </w:rPr>
      </w:pPr>
      <w:r>
        <w:rPr>
          <w:rFonts w:ascii="宋体" w:hAnsi="宋体" w:eastAsia="宋体" w:cs="宋体"/>
          <w:spacing w:val="15"/>
          <w:sz w:val="23"/>
          <w:szCs w:val="23"/>
        </w:rPr>
        <w:t>注</w:t>
      </w:r>
      <w:r>
        <w:rPr>
          <w:rFonts w:ascii="宋体" w:hAnsi="宋体" w:eastAsia="宋体" w:cs="宋体"/>
          <w:spacing w:val="9"/>
          <w:sz w:val="23"/>
          <w:szCs w:val="23"/>
        </w:rPr>
        <w:t>：①工业企业大气污染源分三大类</w:t>
      </w:r>
    </w:p>
    <w:p w14:paraId="03EE18EC">
      <w:pPr>
        <w:spacing w:before="176" w:line="375" w:lineRule="auto"/>
        <w:ind w:left="326" w:right="312" w:firstLine="492"/>
        <w:rPr>
          <w:rFonts w:ascii="宋体" w:hAnsi="宋体" w:eastAsia="宋体" w:cs="宋体"/>
          <w:sz w:val="23"/>
          <w:szCs w:val="23"/>
        </w:rPr>
      </w:pPr>
      <w:r>
        <w:rPr>
          <w:rFonts w:ascii="宋体" w:hAnsi="宋体" w:eastAsia="宋体" w:cs="宋体"/>
          <w:spacing w:val="10"/>
          <w:sz w:val="23"/>
          <w:szCs w:val="23"/>
        </w:rPr>
        <w:t>Ⅰ类：与无组织排放源共存的排放同种有害气体的排气筒的排放量大于标准</w:t>
      </w:r>
      <w:r>
        <w:rPr>
          <w:rFonts w:ascii="宋体" w:hAnsi="宋体" w:eastAsia="宋体" w:cs="宋体"/>
          <w:spacing w:val="6"/>
          <w:sz w:val="23"/>
          <w:szCs w:val="23"/>
        </w:rPr>
        <w:t>规</w:t>
      </w:r>
      <w:r>
        <w:rPr>
          <w:rFonts w:ascii="宋体" w:hAnsi="宋体" w:eastAsia="宋体" w:cs="宋体"/>
          <w:sz w:val="23"/>
          <w:szCs w:val="23"/>
        </w:rPr>
        <w:t xml:space="preserve"> </w:t>
      </w:r>
      <w:r>
        <w:rPr>
          <w:rFonts w:ascii="宋体" w:hAnsi="宋体" w:eastAsia="宋体" w:cs="宋体"/>
          <w:spacing w:val="10"/>
          <w:sz w:val="23"/>
          <w:szCs w:val="23"/>
        </w:rPr>
        <w:t>定</w:t>
      </w:r>
      <w:r>
        <w:rPr>
          <w:rFonts w:ascii="宋体" w:hAnsi="宋体" w:eastAsia="宋体" w:cs="宋体"/>
          <w:spacing w:val="8"/>
          <w:sz w:val="23"/>
          <w:szCs w:val="23"/>
        </w:rPr>
        <w:t>的允许排放量的三分之一者；</w:t>
      </w:r>
    </w:p>
    <w:p w14:paraId="603ECA42">
      <w:pPr>
        <w:spacing w:line="375" w:lineRule="auto"/>
        <w:ind w:left="321" w:right="309" w:firstLine="461"/>
        <w:rPr>
          <w:rFonts w:ascii="宋体" w:hAnsi="宋体" w:eastAsia="宋体" w:cs="宋体"/>
          <w:sz w:val="23"/>
          <w:szCs w:val="23"/>
        </w:rPr>
      </w:pPr>
      <w:r>
        <w:rPr>
          <w:rFonts w:ascii="宋体" w:hAnsi="宋体" w:eastAsia="宋体" w:cs="宋体"/>
          <w:spacing w:val="11"/>
          <w:sz w:val="23"/>
          <w:szCs w:val="23"/>
        </w:rPr>
        <w:t>Ⅱ类：与无组织排放源共存的排放同种有害气体的排气筒的排放量小于标准</w:t>
      </w:r>
      <w:r>
        <w:rPr>
          <w:rFonts w:ascii="宋体" w:hAnsi="宋体" w:eastAsia="宋体" w:cs="宋体"/>
          <w:spacing w:val="10"/>
          <w:sz w:val="23"/>
          <w:szCs w:val="23"/>
        </w:rPr>
        <w:t>规</w:t>
      </w:r>
      <w:r>
        <w:rPr>
          <w:rFonts w:ascii="宋体" w:hAnsi="宋体" w:eastAsia="宋体" w:cs="宋体"/>
          <w:sz w:val="23"/>
          <w:szCs w:val="23"/>
        </w:rPr>
        <w:t xml:space="preserve"> </w:t>
      </w:r>
      <w:r>
        <w:rPr>
          <w:rFonts w:ascii="宋体" w:hAnsi="宋体" w:eastAsia="宋体" w:cs="宋体"/>
          <w:spacing w:val="20"/>
          <w:sz w:val="23"/>
          <w:szCs w:val="23"/>
        </w:rPr>
        <w:t>定</w:t>
      </w:r>
      <w:r>
        <w:rPr>
          <w:rFonts w:ascii="宋体" w:hAnsi="宋体" w:eastAsia="宋体" w:cs="宋体"/>
          <w:spacing w:val="16"/>
          <w:sz w:val="23"/>
          <w:szCs w:val="23"/>
        </w:rPr>
        <w:t>的</w:t>
      </w:r>
      <w:r>
        <w:rPr>
          <w:rFonts w:ascii="宋体" w:hAnsi="宋体" w:eastAsia="宋体" w:cs="宋体"/>
          <w:spacing w:val="10"/>
          <w:sz w:val="23"/>
          <w:szCs w:val="23"/>
        </w:rPr>
        <w:t>允许排放量的三分之一；或虽与排放同种大气污染物之排气筒共存，但无组织</w:t>
      </w:r>
      <w:r>
        <w:rPr>
          <w:rFonts w:ascii="宋体" w:hAnsi="宋体" w:eastAsia="宋体" w:cs="宋体"/>
          <w:sz w:val="23"/>
          <w:szCs w:val="23"/>
        </w:rPr>
        <w:t xml:space="preserve"> </w:t>
      </w:r>
      <w:r>
        <w:rPr>
          <w:rFonts w:ascii="宋体" w:hAnsi="宋体" w:eastAsia="宋体" w:cs="宋体"/>
          <w:spacing w:val="15"/>
          <w:sz w:val="23"/>
          <w:szCs w:val="23"/>
        </w:rPr>
        <w:t>排</w:t>
      </w:r>
      <w:r>
        <w:rPr>
          <w:rFonts w:ascii="宋体" w:hAnsi="宋体" w:eastAsia="宋体" w:cs="宋体"/>
          <w:spacing w:val="9"/>
          <w:sz w:val="23"/>
          <w:szCs w:val="23"/>
        </w:rPr>
        <w:t>放的有害物质的容许浓度指标是按急性反应指标确定者；</w:t>
      </w:r>
    </w:p>
    <w:p w14:paraId="63E22C7A">
      <w:pPr>
        <w:spacing w:before="2" w:line="374" w:lineRule="auto"/>
        <w:ind w:left="321" w:right="312" w:firstLine="419"/>
        <w:rPr>
          <w:rFonts w:ascii="宋体" w:hAnsi="宋体" w:eastAsia="宋体" w:cs="宋体"/>
          <w:sz w:val="23"/>
          <w:szCs w:val="23"/>
        </w:rPr>
      </w:pPr>
      <w:r>
        <w:rPr>
          <w:rFonts w:ascii="宋体" w:hAnsi="宋体" w:eastAsia="宋体" w:cs="宋体"/>
          <w:spacing w:val="19"/>
          <w:sz w:val="23"/>
          <w:szCs w:val="23"/>
        </w:rPr>
        <w:t>Ⅲ</w:t>
      </w:r>
      <w:r>
        <w:rPr>
          <w:rFonts w:ascii="宋体" w:hAnsi="宋体" w:eastAsia="宋体" w:cs="宋体"/>
          <w:spacing w:val="12"/>
          <w:sz w:val="23"/>
          <w:szCs w:val="23"/>
        </w:rPr>
        <w:t>类：无排放同种有害物质的排气筒无组织排放源共存，但无组织排放的有害</w:t>
      </w:r>
      <w:r>
        <w:rPr>
          <w:rFonts w:ascii="宋体" w:hAnsi="宋体" w:eastAsia="宋体" w:cs="宋体"/>
          <w:sz w:val="23"/>
          <w:szCs w:val="23"/>
        </w:rPr>
        <w:t xml:space="preserve"> </w:t>
      </w:r>
      <w:r>
        <w:rPr>
          <w:rFonts w:ascii="宋体" w:hAnsi="宋体" w:eastAsia="宋体" w:cs="宋体"/>
          <w:spacing w:val="10"/>
          <w:sz w:val="23"/>
          <w:szCs w:val="23"/>
        </w:rPr>
        <w:t>物</w:t>
      </w:r>
      <w:r>
        <w:rPr>
          <w:rFonts w:ascii="宋体" w:hAnsi="宋体" w:eastAsia="宋体" w:cs="宋体"/>
          <w:spacing w:val="9"/>
          <w:sz w:val="23"/>
          <w:szCs w:val="23"/>
        </w:rPr>
        <w:t>质的容许浓度指标是按慢性反应指标确定者。</w:t>
      </w:r>
    </w:p>
    <w:p w14:paraId="76D130BD">
      <w:pPr>
        <w:spacing w:before="2" w:line="374" w:lineRule="auto"/>
        <w:ind w:left="325" w:right="309" w:firstLine="415"/>
        <w:rPr>
          <w:rFonts w:ascii="宋体" w:hAnsi="宋体" w:eastAsia="宋体" w:cs="宋体"/>
          <w:sz w:val="23"/>
          <w:szCs w:val="23"/>
        </w:rPr>
      </w:pPr>
      <w:r>
        <w:rPr>
          <w:rFonts w:ascii="Times New Roman" w:hAnsi="Times New Roman" w:eastAsia="Times New Roman" w:cs="Times New Roman"/>
          <w:sz w:val="23"/>
          <w:szCs w:val="23"/>
        </w:rPr>
        <w:t>Q</w:t>
      </w:r>
      <w:r>
        <w:rPr>
          <w:rFonts w:ascii="Times New Roman" w:hAnsi="Times New Roman" w:eastAsia="Times New Roman" w:cs="Times New Roman"/>
          <w:position w:val="-1"/>
          <w:sz w:val="15"/>
          <w:szCs w:val="15"/>
        </w:rPr>
        <w:t>c</w:t>
      </w:r>
      <w:r>
        <w:rPr>
          <w:rFonts w:ascii="Times New Roman" w:hAnsi="Times New Roman" w:eastAsia="Times New Roman" w:cs="Times New Roman"/>
          <w:spacing w:val="14"/>
          <w:position w:val="-1"/>
          <w:sz w:val="15"/>
          <w:szCs w:val="15"/>
        </w:rPr>
        <w:t xml:space="preserve"> </w:t>
      </w:r>
      <w:r>
        <w:rPr>
          <w:rFonts w:ascii="宋体" w:hAnsi="宋体" w:eastAsia="宋体" w:cs="宋体"/>
          <w:spacing w:val="11"/>
          <w:sz w:val="23"/>
          <w:szCs w:val="23"/>
        </w:rPr>
        <w:t>取同类企业中生产工艺流程合理，生产管理与设备维护处于先进水平的工业</w:t>
      </w:r>
      <w:r>
        <w:rPr>
          <w:rFonts w:ascii="宋体" w:hAnsi="宋体" w:eastAsia="宋体" w:cs="宋体"/>
          <w:sz w:val="23"/>
          <w:szCs w:val="23"/>
        </w:rPr>
        <w:t xml:space="preserve"> </w:t>
      </w:r>
      <w:r>
        <w:rPr>
          <w:rFonts w:ascii="宋体" w:hAnsi="宋体" w:eastAsia="宋体" w:cs="宋体"/>
          <w:spacing w:val="8"/>
          <w:sz w:val="23"/>
          <w:szCs w:val="23"/>
        </w:rPr>
        <w:t xml:space="preserve">企业，在正常运行时的无组织排放量，当按上式计算的 </w:t>
      </w:r>
      <w:r>
        <w:rPr>
          <w:rFonts w:ascii="Times New Roman" w:hAnsi="Times New Roman" w:eastAsia="Times New Roman" w:cs="Times New Roman"/>
          <w:sz w:val="23"/>
          <w:szCs w:val="23"/>
        </w:rPr>
        <w:t>L</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值在两级之间时，取偏</w:t>
      </w:r>
      <w:r>
        <w:rPr>
          <w:rFonts w:ascii="宋体" w:hAnsi="宋体" w:eastAsia="宋体" w:cs="宋体"/>
          <w:spacing w:val="2"/>
          <w:sz w:val="23"/>
          <w:szCs w:val="23"/>
        </w:rPr>
        <w:t>宽</w:t>
      </w:r>
    </w:p>
    <w:p w14:paraId="5247BC7E">
      <w:pPr>
        <w:spacing w:line="230" w:lineRule="auto"/>
        <w:ind w:left="340"/>
        <w:rPr>
          <w:rFonts w:ascii="宋体" w:hAnsi="宋体" w:eastAsia="宋体" w:cs="宋体"/>
          <w:sz w:val="23"/>
          <w:szCs w:val="23"/>
        </w:rPr>
      </w:pPr>
      <w:r>
        <w:rPr>
          <w:rFonts w:ascii="宋体" w:hAnsi="宋体" w:eastAsia="宋体" w:cs="宋体"/>
          <w:sz w:val="23"/>
          <w:szCs w:val="23"/>
        </w:rPr>
        <w:t>的一级。</w:t>
      </w:r>
    </w:p>
    <w:p w14:paraId="2517151A">
      <w:pPr>
        <w:spacing w:before="134" w:line="379" w:lineRule="auto"/>
        <w:ind w:left="320" w:right="307" w:firstLine="419"/>
        <w:rPr>
          <w:rFonts w:ascii="宋体" w:hAnsi="宋体" w:eastAsia="宋体" w:cs="宋体"/>
          <w:sz w:val="23"/>
          <w:szCs w:val="23"/>
        </w:rPr>
      </w:pPr>
      <w:r>
        <w:rPr>
          <w:rFonts w:ascii="宋体" w:hAnsi="宋体" w:eastAsia="宋体" w:cs="宋体"/>
          <w:spacing w:val="22"/>
          <w:sz w:val="23"/>
          <w:szCs w:val="23"/>
        </w:rPr>
        <w:t>②</w:t>
      </w:r>
      <w:r>
        <w:rPr>
          <w:rFonts w:ascii="宋体" w:hAnsi="宋体" w:eastAsia="宋体" w:cs="宋体"/>
          <w:spacing w:val="18"/>
          <w:sz w:val="23"/>
          <w:szCs w:val="23"/>
        </w:rPr>
        <w:t>无</w:t>
      </w:r>
      <w:r>
        <w:rPr>
          <w:rFonts w:ascii="宋体" w:hAnsi="宋体" w:eastAsia="宋体" w:cs="宋体"/>
          <w:spacing w:val="11"/>
          <w:sz w:val="23"/>
          <w:szCs w:val="23"/>
        </w:rPr>
        <w:t xml:space="preserve">组织排放多种有害气体的工业企业，按 </w:t>
      </w:r>
      <w:r>
        <w:rPr>
          <w:rFonts w:ascii="Times New Roman" w:hAnsi="Times New Roman" w:eastAsia="Times New Roman" w:cs="Times New Roman"/>
          <w:sz w:val="23"/>
          <w:szCs w:val="23"/>
        </w:rPr>
        <w:t>Q</w:t>
      </w:r>
      <w:r>
        <w:rPr>
          <w:rFonts w:ascii="Times New Roman" w:hAnsi="Times New Roman" w:eastAsia="Times New Roman" w:cs="Times New Roman"/>
          <w:position w:val="-1"/>
          <w:sz w:val="15"/>
          <w:szCs w:val="15"/>
        </w:rPr>
        <w:t>c</w:t>
      </w:r>
      <w:r>
        <w:rPr>
          <w:rFonts w:ascii="Times New Roman" w:hAnsi="Times New Roman" w:eastAsia="Times New Roman" w:cs="Times New Roman"/>
          <w:spacing w:val="11"/>
          <w:sz w:val="23"/>
          <w:szCs w:val="23"/>
        </w:rPr>
        <w:t>/</w:t>
      </w:r>
      <w:r>
        <w:rPr>
          <w:rFonts w:ascii="Times New Roman" w:hAnsi="Times New Roman" w:eastAsia="Times New Roman" w:cs="Times New Roman"/>
          <w:sz w:val="23"/>
          <w:szCs w:val="23"/>
        </w:rPr>
        <w:t>C</w:t>
      </w:r>
      <w:r>
        <w:rPr>
          <w:rFonts w:ascii="Times New Roman" w:hAnsi="Times New Roman" w:eastAsia="Times New Roman" w:cs="Times New Roman"/>
          <w:position w:val="-1"/>
          <w:sz w:val="15"/>
          <w:szCs w:val="15"/>
        </w:rPr>
        <w:t>m</w:t>
      </w:r>
      <w:r>
        <w:rPr>
          <w:rFonts w:ascii="Times New Roman" w:hAnsi="Times New Roman" w:eastAsia="Times New Roman" w:cs="Times New Roman"/>
          <w:spacing w:val="11"/>
          <w:position w:val="-1"/>
          <w:sz w:val="15"/>
          <w:szCs w:val="15"/>
        </w:rPr>
        <w:t xml:space="preserve"> </w:t>
      </w:r>
      <w:r>
        <w:rPr>
          <w:rFonts w:ascii="宋体" w:hAnsi="宋体" w:eastAsia="宋体" w:cs="宋体"/>
          <w:spacing w:val="11"/>
          <w:sz w:val="23"/>
          <w:szCs w:val="23"/>
        </w:rPr>
        <w:t>的最大值计算所需卫生防护</w:t>
      </w:r>
      <w:r>
        <w:rPr>
          <w:rFonts w:ascii="宋体" w:hAnsi="宋体" w:eastAsia="宋体" w:cs="宋体"/>
          <w:sz w:val="23"/>
          <w:szCs w:val="23"/>
        </w:rPr>
        <w:t xml:space="preserve"> </w:t>
      </w:r>
      <w:r>
        <w:rPr>
          <w:rFonts w:ascii="宋体" w:hAnsi="宋体" w:eastAsia="宋体" w:cs="宋体"/>
          <w:spacing w:val="18"/>
          <w:sz w:val="23"/>
          <w:szCs w:val="23"/>
        </w:rPr>
        <w:t>距离，</w:t>
      </w:r>
      <w:r>
        <w:rPr>
          <w:rFonts w:ascii="宋体" w:hAnsi="宋体" w:eastAsia="宋体" w:cs="宋体"/>
          <w:spacing w:val="9"/>
          <w:sz w:val="23"/>
          <w:szCs w:val="23"/>
        </w:rPr>
        <w:t xml:space="preserve">但当按两种或两种以上的有害气体的 </w:t>
      </w:r>
      <w:r>
        <w:rPr>
          <w:rFonts w:ascii="Times New Roman" w:hAnsi="Times New Roman" w:eastAsia="Times New Roman" w:cs="Times New Roman"/>
          <w:sz w:val="23"/>
          <w:szCs w:val="23"/>
        </w:rPr>
        <w:t>Q</w:t>
      </w:r>
      <w:r>
        <w:rPr>
          <w:rFonts w:ascii="Times New Roman" w:hAnsi="Times New Roman" w:eastAsia="Times New Roman" w:cs="Times New Roman"/>
          <w:position w:val="-1"/>
          <w:sz w:val="15"/>
          <w:szCs w:val="15"/>
        </w:rPr>
        <w:t>c</w:t>
      </w:r>
      <w:r>
        <w:rPr>
          <w:rFonts w:ascii="Times New Roman" w:hAnsi="Times New Roman" w:eastAsia="Times New Roman" w:cs="Times New Roman"/>
          <w:spacing w:val="9"/>
          <w:sz w:val="23"/>
          <w:szCs w:val="23"/>
        </w:rPr>
        <w:t>/</w:t>
      </w:r>
      <w:r>
        <w:rPr>
          <w:rFonts w:ascii="Times New Roman" w:hAnsi="Times New Roman" w:eastAsia="Times New Roman" w:cs="Times New Roman"/>
          <w:sz w:val="23"/>
          <w:szCs w:val="23"/>
        </w:rPr>
        <w:t>C</w:t>
      </w:r>
      <w:r>
        <w:rPr>
          <w:rFonts w:ascii="Times New Roman" w:hAnsi="Times New Roman" w:eastAsia="Times New Roman" w:cs="Times New Roman"/>
          <w:position w:val="-1"/>
          <w:sz w:val="15"/>
          <w:szCs w:val="15"/>
        </w:rPr>
        <w:t>m</w:t>
      </w:r>
      <w:r>
        <w:rPr>
          <w:rFonts w:ascii="Times New Roman" w:hAnsi="Times New Roman" w:eastAsia="Times New Roman" w:cs="Times New Roman"/>
          <w:spacing w:val="9"/>
          <w:position w:val="-1"/>
          <w:sz w:val="15"/>
          <w:szCs w:val="15"/>
        </w:rPr>
        <w:t xml:space="preserve"> </w:t>
      </w:r>
      <w:r>
        <w:rPr>
          <w:rFonts w:ascii="宋体" w:hAnsi="宋体" w:eastAsia="宋体" w:cs="宋体"/>
          <w:spacing w:val="9"/>
          <w:sz w:val="23"/>
          <w:szCs w:val="23"/>
        </w:rPr>
        <w:t>值计算的卫生防护距离在同一级</w:t>
      </w:r>
    </w:p>
    <w:p w14:paraId="01914C6F">
      <w:pPr>
        <w:sectPr>
          <w:footerReference r:id="rId195" w:type="default"/>
          <w:pgSz w:w="11907" w:h="16840"/>
          <w:pgMar w:top="400" w:right="1269" w:bottom="1485" w:left="1349" w:header="0" w:footer="1298" w:gutter="0"/>
          <w:cols w:space="720" w:num="1"/>
        </w:sectPr>
      </w:pPr>
    </w:p>
    <w:p w14:paraId="3E2DE477">
      <w:pPr>
        <w:spacing w:line="460" w:lineRule="auto"/>
      </w:pPr>
      <w:r>
        <w:pict>
          <v:shape id="_x0000_s2106" o:spid="_x0000_s2106" style="position:absolute;left:0pt;margin-left:83pt;margin-top:57.2pt;height:0.5pt;width:433.35pt;mso-position-horizontal-relative:page;mso-position-vertical-relative:page;z-index:251735040;mso-width-relative:page;mso-height-relative:page;" fillcolor="#000000" filled="t" stroked="f" coordsize="8667,10" o:allowincell="f" path="m0,0l8666,0,8666,9,0,9,0,0xe">
            <v:fill on="t" focussize="0,0"/>
            <v:stroke on="f"/>
            <v:imagedata o:title=""/>
            <o:lock v:ext="edit"/>
          </v:shape>
        </w:pict>
      </w:r>
    </w:p>
    <w:p w14:paraId="01A26E2B">
      <w:pPr>
        <w:spacing w:before="56" w:line="229" w:lineRule="auto"/>
        <w:ind w:left="115"/>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4F692AC2">
      <w:pPr>
        <w:spacing w:before="66" w:line="230" w:lineRule="auto"/>
        <w:ind w:left="129"/>
        <w:rPr>
          <w:rFonts w:ascii="宋体" w:hAnsi="宋体" w:eastAsia="宋体" w:cs="宋体"/>
          <w:sz w:val="23"/>
          <w:szCs w:val="23"/>
        </w:rPr>
      </w:pPr>
      <w:r>
        <w:rPr>
          <w:rFonts w:ascii="宋体" w:hAnsi="宋体" w:eastAsia="宋体" w:cs="宋体"/>
          <w:spacing w:val="16"/>
          <w:sz w:val="23"/>
          <w:szCs w:val="23"/>
        </w:rPr>
        <w:t>时</w:t>
      </w:r>
      <w:r>
        <w:rPr>
          <w:rFonts w:ascii="宋体" w:hAnsi="宋体" w:eastAsia="宋体" w:cs="宋体"/>
          <w:spacing w:val="15"/>
          <w:sz w:val="23"/>
          <w:szCs w:val="23"/>
        </w:rPr>
        <w:t>，</w:t>
      </w:r>
      <w:r>
        <w:rPr>
          <w:rFonts w:ascii="宋体" w:hAnsi="宋体" w:eastAsia="宋体" w:cs="宋体"/>
          <w:spacing w:val="8"/>
          <w:sz w:val="23"/>
          <w:szCs w:val="23"/>
        </w:rPr>
        <w:t>该类工业企业的卫生防护距离级别应提高一级。</w:t>
      </w:r>
    </w:p>
    <w:p w14:paraId="109A24BB">
      <w:pPr>
        <w:spacing w:before="179" w:line="375" w:lineRule="auto"/>
        <w:ind w:left="122" w:right="504" w:firstLine="413"/>
        <w:rPr>
          <w:rFonts w:ascii="宋体" w:hAnsi="宋体" w:eastAsia="宋体" w:cs="宋体"/>
          <w:sz w:val="23"/>
          <w:szCs w:val="23"/>
        </w:rPr>
      </w:pPr>
      <w:r>
        <w:rPr>
          <w:rFonts w:ascii="宋体" w:hAnsi="宋体" w:eastAsia="宋体" w:cs="宋体"/>
          <w:spacing w:val="20"/>
          <w:sz w:val="23"/>
          <w:szCs w:val="23"/>
        </w:rPr>
        <w:t>③</w:t>
      </w:r>
      <w:r>
        <w:rPr>
          <w:rFonts w:ascii="宋体" w:hAnsi="宋体" w:eastAsia="宋体" w:cs="宋体"/>
          <w:spacing w:val="12"/>
          <w:sz w:val="23"/>
          <w:szCs w:val="23"/>
        </w:rPr>
        <w:t>地处复杂地形条件下的工业企业所需卫生防护距离，应由建设单位主管部门</w:t>
      </w:r>
      <w:r>
        <w:rPr>
          <w:rFonts w:ascii="宋体" w:hAnsi="宋体" w:eastAsia="宋体" w:cs="宋体"/>
          <w:sz w:val="23"/>
          <w:szCs w:val="23"/>
        </w:rPr>
        <w:t xml:space="preserve"> </w:t>
      </w:r>
      <w:r>
        <w:rPr>
          <w:rFonts w:ascii="宋体" w:hAnsi="宋体" w:eastAsia="宋体" w:cs="宋体"/>
          <w:spacing w:val="7"/>
          <w:sz w:val="23"/>
          <w:szCs w:val="23"/>
        </w:rPr>
        <w:t>与建设项目所在省、市、 自治区的卫生与环境保护主管部门，根据环境影响评价</w:t>
      </w:r>
      <w:r>
        <w:rPr>
          <w:rFonts w:ascii="宋体" w:hAnsi="宋体" w:eastAsia="宋体" w:cs="宋体"/>
          <w:spacing w:val="5"/>
          <w:sz w:val="23"/>
          <w:szCs w:val="23"/>
        </w:rPr>
        <w:t>报</w:t>
      </w:r>
      <w:r>
        <w:rPr>
          <w:rFonts w:ascii="宋体" w:hAnsi="宋体" w:eastAsia="宋体" w:cs="宋体"/>
          <w:sz w:val="23"/>
          <w:szCs w:val="23"/>
        </w:rPr>
        <w:t xml:space="preserve"> </w:t>
      </w:r>
      <w:r>
        <w:rPr>
          <w:rFonts w:ascii="宋体" w:hAnsi="宋体" w:eastAsia="宋体" w:cs="宋体"/>
          <w:spacing w:val="6"/>
          <w:sz w:val="23"/>
          <w:szCs w:val="23"/>
        </w:rPr>
        <w:t>告共同确定</w:t>
      </w:r>
      <w:r>
        <w:rPr>
          <w:rFonts w:ascii="宋体" w:hAnsi="宋体" w:eastAsia="宋体" w:cs="宋体"/>
          <w:spacing w:val="5"/>
          <w:sz w:val="23"/>
          <w:szCs w:val="23"/>
        </w:rPr>
        <w:t>。</w:t>
      </w:r>
    </w:p>
    <w:p w14:paraId="047FC71F">
      <w:pPr>
        <w:spacing w:line="227" w:lineRule="auto"/>
        <w:ind w:left="600"/>
        <w:rPr>
          <w:rFonts w:ascii="宋体" w:hAnsi="宋体" w:eastAsia="宋体" w:cs="宋体"/>
          <w:sz w:val="23"/>
          <w:szCs w:val="23"/>
        </w:rPr>
      </w:pPr>
      <w:r>
        <w:rPr>
          <w:rFonts w:ascii="宋体" w:hAnsi="宋体" w:eastAsia="宋体" w:cs="宋体"/>
          <w:spacing w:val="2"/>
          <w:sz w:val="23"/>
          <w:szCs w:val="23"/>
        </w:rPr>
        <w:t xml:space="preserve">参数设定见下表 </w:t>
      </w:r>
      <w:r>
        <w:rPr>
          <w:rFonts w:ascii="Times New Roman" w:hAnsi="Times New Roman" w:eastAsia="Times New Roman" w:cs="Times New Roman"/>
          <w:spacing w:val="2"/>
          <w:sz w:val="23"/>
          <w:szCs w:val="23"/>
        </w:rPr>
        <w:t>5</w:t>
      </w:r>
      <w:r>
        <w:rPr>
          <w:rFonts w:ascii="Times New Roman" w:hAnsi="Times New Roman" w:eastAsia="Times New Roman" w:cs="Times New Roman"/>
          <w:spacing w:val="1"/>
          <w:sz w:val="23"/>
          <w:szCs w:val="23"/>
        </w:rPr>
        <w:t>.2-7</w:t>
      </w:r>
      <w:r>
        <w:rPr>
          <w:rFonts w:ascii="宋体" w:hAnsi="宋体" w:eastAsia="宋体" w:cs="宋体"/>
          <w:spacing w:val="1"/>
          <w:sz w:val="23"/>
          <w:szCs w:val="23"/>
        </w:rPr>
        <w:t>。</w:t>
      </w:r>
    </w:p>
    <w:p w14:paraId="350691AE">
      <w:pPr>
        <w:spacing w:before="302" w:line="222" w:lineRule="auto"/>
        <w:ind w:left="2435"/>
        <w:rPr>
          <w:rFonts w:ascii="黑体" w:hAnsi="黑体" w:eastAsia="黑体" w:cs="黑体"/>
          <w:sz w:val="23"/>
          <w:szCs w:val="23"/>
        </w:rPr>
      </w:pPr>
      <w:r>
        <w:rPr>
          <w:rFonts w:ascii="黑体" w:hAnsi="黑体" w:eastAsia="黑体" w:cs="黑体"/>
          <w:spacing w:val="5"/>
          <w:sz w:val="23"/>
          <w:szCs w:val="23"/>
        </w:rPr>
        <w:t xml:space="preserve">表 </w:t>
      </w:r>
      <w:r>
        <w:rPr>
          <w:rFonts w:ascii="Times New Roman" w:hAnsi="Times New Roman" w:eastAsia="Times New Roman" w:cs="Times New Roman"/>
          <w:spacing w:val="5"/>
          <w:sz w:val="23"/>
          <w:szCs w:val="23"/>
        </w:rPr>
        <w:t xml:space="preserve">5.2-7  </w:t>
      </w:r>
      <w:r>
        <w:rPr>
          <w:rFonts w:ascii="黑体" w:hAnsi="黑体" w:eastAsia="黑体" w:cs="黑体"/>
          <w:spacing w:val="5"/>
          <w:sz w:val="23"/>
          <w:szCs w:val="23"/>
        </w:rPr>
        <w:t>卫生防护距离计算参数及计算结</w:t>
      </w:r>
      <w:r>
        <w:rPr>
          <w:rFonts w:ascii="黑体" w:hAnsi="黑体" w:eastAsia="黑体" w:cs="黑体"/>
          <w:spacing w:val="1"/>
          <w:sz w:val="23"/>
          <w:szCs w:val="23"/>
        </w:rPr>
        <w:t>果</w:t>
      </w:r>
    </w:p>
    <w:tbl>
      <w:tblPr>
        <w:tblStyle w:val="4"/>
        <w:tblW w:w="927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5"/>
        <w:gridCol w:w="754"/>
        <w:gridCol w:w="1360"/>
        <w:gridCol w:w="1208"/>
        <w:gridCol w:w="1056"/>
        <w:gridCol w:w="1360"/>
        <w:gridCol w:w="905"/>
        <w:gridCol w:w="1431"/>
      </w:tblGrid>
      <w:tr w14:paraId="0422A2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6" w:hRule="atLeast"/>
        </w:trPr>
        <w:tc>
          <w:tcPr>
            <w:tcW w:w="1205" w:type="dxa"/>
            <w:tcBorders>
              <w:left w:val="nil"/>
            </w:tcBorders>
          </w:tcPr>
          <w:p w14:paraId="580F9A80">
            <w:pPr>
              <w:spacing w:line="311" w:lineRule="auto"/>
            </w:pPr>
          </w:p>
          <w:p w14:paraId="69A6F59E">
            <w:pPr>
              <w:spacing w:before="65" w:line="228" w:lineRule="auto"/>
              <w:ind w:left="296"/>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污染源</w:t>
            </w:r>
          </w:p>
        </w:tc>
        <w:tc>
          <w:tcPr>
            <w:tcW w:w="754" w:type="dxa"/>
          </w:tcPr>
          <w:p w14:paraId="4529956D">
            <w:pPr>
              <w:spacing w:before="244" w:line="271" w:lineRule="exact"/>
              <w:ind w:left="173"/>
              <w:rPr>
                <w:rFonts w:ascii="宋体" w:hAnsi="宋体" w:eastAsia="宋体" w:cs="宋体"/>
                <w:sz w:val="20"/>
                <w:szCs w:val="20"/>
              </w:rPr>
            </w:pPr>
            <w:r>
              <w:rPr>
                <w:rFonts w:ascii="宋体" w:hAnsi="宋体" w:eastAsia="宋体" w:cs="宋体"/>
                <w:spacing w:val="5"/>
                <w:position w:val="4"/>
                <w:sz w:val="20"/>
                <w:szCs w:val="20"/>
                <w14:textOutline w14:w="3797" w14:cap="sq" w14:cmpd="sng" w14:algn="ctr">
                  <w14:solidFill>
                    <w14:srgbClr w14:val="000000"/>
                  </w14:solidFill>
                  <w14:prstDash w14:val="solid"/>
                  <w14:bevel/>
                </w14:textOutline>
              </w:rPr>
              <w:t>污染</w:t>
            </w:r>
          </w:p>
          <w:p w14:paraId="67564712">
            <w:pPr>
              <w:spacing w:line="229" w:lineRule="auto"/>
              <w:ind w:left="277"/>
              <w:rPr>
                <w:rFonts w:ascii="宋体" w:hAnsi="宋体" w:eastAsia="宋体" w:cs="宋体"/>
                <w:sz w:val="20"/>
                <w:szCs w:val="20"/>
              </w:rPr>
            </w:pPr>
            <w:r>
              <w:rPr>
                <w:rFonts w:ascii="宋体" w:hAnsi="宋体" w:eastAsia="宋体" w:cs="宋体"/>
                <w:sz w:val="20"/>
                <w:szCs w:val="20"/>
                <w14:textOutline w14:w="3797" w14:cap="sq" w14:cmpd="sng" w14:algn="ctr">
                  <w14:solidFill>
                    <w14:srgbClr w14:val="000000"/>
                  </w14:solidFill>
                  <w14:prstDash w14:val="solid"/>
                  <w14:bevel/>
                </w14:textOutline>
              </w:rPr>
              <w:t>物</w:t>
            </w:r>
          </w:p>
        </w:tc>
        <w:tc>
          <w:tcPr>
            <w:tcW w:w="1360" w:type="dxa"/>
          </w:tcPr>
          <w:p w14:paraId="73F15A86">
            <w:pPr>
              <w:spacing w:before="244" w:line="255" w:lineRule="auto"/>
              <w:ind w:left="249" w:right="152" w:hanging="88"/>
              <w:rPr>
                <w:rFonts w:ascii="Times New Roman" w:hAnsi="Times New Roman" w:eastAsia="Times New Roman" w:cs="Times New Roman"/>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污</w:t>
            </w:r>
            <w:r>
              <w:rPr>
                <w:rFonts w:ascii="宋体" w:hAnsi="宋体" w:eastAsia="宋体" w:cs="宋体"/>
                <w:spacing w:val="8"/>
                <w:sz w:val="20"/>
                <w:szCs w:val="20"/>
                <w14:textOutline w14:w="3797" w14:cap="sq" w14:cmpd="sng" w14:algn="ctr">
                  <w14:solidFill>
                    <w14:srgbClr w14:val="000000"/>
                  </w14:solidFill>
                  <w14:prstDash w14:val="solid"/>
                  <w14:bevel/>
                </w14:textOutline>
              </w:rPr>
              <w:t>染物排放</w:t>
            </w:r>
            <w:r>
              <w:rPr>
                <w:rFonts w:ascii="宋体" w:hAnsi="宋体" w:eastAsia="宋体" w:cs="宋体"/>
                <w:sz w:val="20"/>
                <w:szCs w:val="20"/>
              </w:rPr>
              <w:t xml:space="preserve"> </w:t>
            </w:r>
            <w:r>
              <w:rPr>
                <w:rFonts w:ascii="宋体" w:hAnsi="宋体" w:eastAsia="宋体" w:cs="宋体"/>
                <w:spacing w:val="-4"/>
                <w:sz w:val="20"/>
                <w:szCs w:val="20"/>
                <w14:textOutline w14:w="3797" w14:cap="sq" w14:cmpd="sng" w14:algn="ctr">
                  <w14:solidFill>
                    <w14:srgbClr w14:val="000000"/>
                  </w14:solidFill>
                  <w14:prstDash w14:val="solid"/>
                  <w14:bevel/>
                </w14:textOutline>
              </w:rPr>
              <w:t>速</w:t>
            </w:r>
            <w:r>
              <w:rPr>
                <w:rFonts w:ascii="宋体" w:hAnsi="宋体" w:eastAsia="宋体" w:cs="宋体"/>
                <w:spacing w:val="-2"/>
                <w:sz w:val="20"/>
                <w:szCs w:val="20"/>
                <w14:textOutline w14:w="3797" w14:cap="sq" w14:cmpd="sng" w14:algn="ctr">
                  <w14:solidFill>
                    <w14:srgbClr w14:val="000000"/>
                  </w14:solidFill>
                  <w14:prstDash w14:val="solid"/>
                  <w14:bevel/>
                </w14:textOutline>
              </w:rPr>
              <w:t>率</w:t>
            </w:r>
            <w:r>
              <w:rPr>
                <w:rFonts w:ascii="宋体" w:hAnsi="宋体" w:eastAsia="宋体" w:cs="宋体"/>
                <w:spacing w:val="-2"/>
                <w:sz w:val="20"/>
                <w:szCs w:val="20"/>
              </w:rPr>
              <w:t xml:space="preserve"> </w:t>
            </w:r>
            <w:r>
              <w:rPr>
                <w:rFonts w:ascii="Times New Roman" w:hAnsi="Times New Roman" w:eastAsia="Times New Roman" w:cs="Times New Roman"/>
                <w:b/>
                <w:bCs/>
                <w:spacing w:val="-2"/>
                <w:sz w:val="20"/>
                <w:szCs w:val="20"/>
              </w:rPr>
              <w:t>kg/h</w:t>
            </w:r>
          </w:p>
        </w:tc>
        <w:tc>
          <w:tcPr>
            <w:tcW w:w="1208" w:type="dxa"/>
          </w:tcPr>
          <w:p w14:paraId="0D2AB07B">
            <w:pPr>
              <w:spacing w:before="122" w:line="252" w:lineRule="auto"/>
              <w:ind w:left="222" w:right="179" w:hanging="32"/>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生产单元</w:t>
            </w:r>
            <w:r>
              <w:rPr>
                <w:rFonts w:ascii="宋体" w:hAnsi="宋体" w:eastAsia="宋体" w:cs="宋体"/>
                <w:sz w:val="20"/>
                <w:szCs w:val="20"/>
              </w:rPr>
              <w:t xml:space="preserve"> </w:t>
            </w:r>
            <w:r>
              <w:rPr>
                <w:rFonts w:ascii="宋体" w:hAnsi="宋体" w:eastAsia="宋体" w:cs="宋体"/>
                <w:sz w:val="20"/>
                <w:szCs w:val="20"/>
                <w14:textOutline w14:w="3797" w14:cap="sq" w14:cmpd="sng" w14:algn="ctr">
                  <w14:solidFill>
                    <w14:srgbClr w14:val="000000"/>
                  </w14:solidFill>
                  <w14:prstDash w14:val="solid"/>
                  <w14:bevel/>
                </w14:textOutline>
              </w:rPr>
              <w:t>占地面积</w:t>
            </w:r>
          </w:p>
          <w:p w14:paraId="39C12471">
            <w:pPr>
              <w:spacing w:line="174" w:lineRule="auto"/>
              <w:ind w:left="656"/>
              <w:rPr>
                <w:rFonts w:ascii="Times New Roman" w:hAnsi="Times New Roman" w:eastAsia="Times New Roman" w:cs="Times New Roman"/>
                <w:sz w:val="13"/>
                <w:szCs w:val="13"/>
              </w:rPr>
            </w:pPr>
            <w:r>
              <w:rPr>
                <w:rFonts w:ascii="Times New Roman" w:hAnsi="Times New Roman" w:eastAsia="Times New Roman" w:cs="Times New Roman"/>
                <w:b/>
                <w:bCs/>
                <w:sz w:val="13"/>
                <w:szCs w:val="13"/>
              </w:rPr>
              <w:t>2</w:t>
            </w:r>
          </w:p>
          <w:p w14:paraId="419FE103">
            <w:pPr>
              <w:spacing w:line="98" w:lineRule="exact"/>
              <w:ind w:left="488"/>
              <w:rPr>
                <w:rFonts w:ascii="Times New Roman" w:hAnsi="Times New Roman" w:eastAsia="Times New Roman" w:cs="Times New Roman"/>
                <w:sz w:val="20"/>
                <w:szCs w:val="20"/>
              </w:rPr>
            </w:pPr>
            <w:r>
              <w:rPr>
                <w:rFonts w:ascii="Times New Roman" w:hAnsi="Times New Roman" w:eastAsia="Times New Roman" w:cs="Times New Roman"/>
                <w:b/>
                <w:bCs/>
                <w:position w:val="-2"/>
                <w:sz w:val="20"/>
                <w:szCs w:val="20"/>
              </w:rPr>
              <w:t>m</w:t>
            </w:r>
          </w:p>
        </w:tc>
        <w:tc>
          <w:tcPr>
            <w:tcW w:w="1056" w:type="dxa"/>
          </w:tcPr>
          <w:p w14:paraId="2D880163">
            <w:pPr>
              <w:spacing w:before="122" w:line="228" w:lineRule="auto"/>
              <w:ind w:left="220"/>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标</w:t>
            </w:r>
            <w:r>
              <w:rPr>
                <w:rFonts w:ascii="宋体" w:hAnsi="宋体" w:eastAsia="宋体" w:cs="宋体"/>
                <w:spacing w:val="7"/>
                <w:sz w:val="20"/>
                <w:szCs w:val="20"/>
                <w14:textOutline w14:w="3797" w14:cap="sq" w14:cmpd="sng" w14:algn="ctr">
                  <w14:solidFill>
                    <w14:srgbClr w14:val="000000"/>
                  </w14:solidFill>
                  <w14:prstDash w14:val="solid"/>
                  <w14:bevel/>
                </w14:textOutline>
              </w:rPr>
              <w:t>准浓</w:t>
            </w:r>
          </w:p>
          <w:p w14:paraId="55AA0FE0">
            <w:pPr>
              <w:spacing w:before="26" w:line="199" w:lineRule="auto"/>
              <w:ind w:left="218"/>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度限值</w:t>
            </w:r>
          </w:p>
          <w:p w14:paraId="782FE734">
            <w:pPr>
              <w:spacing w:line="288" w:lineRule="exact"/>
              <w:ind w:left="270"/>
              <w:rPr>
                <w:rFonts w:ascii="Times New Roman" w:hAnsi="Times New Roman" w:eastAsia="Times New Roman" w:cs="Times New Roman"/>
                <w:sz w:val="13"/>
                <w:szCs w:val="13"/>
              </w:rPr>
            </w:pPr>
            <w:r>
              <w:rPr>
                <w:rFonts w:ascii="Times New Roman" w:hAnsi="Times New Roman" w:eastAsia="Times New Roman" w:cs="Times New Roman"/>
                <w:b/>
                <w:bCs/>
                <w:position w:val="3"/>
                <w:sz w:val="20"/>
                <w:szCs w:val="20"/>
              </w:rPr>
              <w:t>ug</w:t>
            </w:r>
            <w:r>
              <w:rPr>
                <w:rFonts w:ascii="Times New Roman" w:hAnsi="Times New Roman" w:eastAsia="Times New Roman" w:cs="Times New Roman"/>
                <w:b/>
                <w:bCs/>
                <w:spacing w:val="10"/>
                <w:position w:val="3"/>
                <w:sz w:val="20"/>
                <w:szCs w:val="20"/>
              </w:rPr>
              <w:t>/</w:t>
            </w:r>
            <w:r>
              <w:rPr>
                <w:rFonts w:ascii="Times New Roman" w:hAnsi="Times New Roman" w:eastAsia="Times New Roman" w:cs="Times New Roman"/>
                <w:b/>
                <w:bCs/>
                <w:position w:val="3"/>
                <w:sz w:val="20"/>
                <w:szCs w:val="20"/>
              </w:rPr>
              <w:t>m</w:t>
            </w:r>
            <w:r>
              <w:rPr>
                <w:rFonts w:ascii="Times New Roman" w:hAnsi="Times New Roman" w:eastAsia="Times New Roman" w:cs="Times New Roman"/>
                <w:b/>
                <w:bCs/>
                <w:spacing w:val="9"/>
                <w:position w:val="9"/>
                <w:sz w:val="13"/>
                <w:szCs w:val="13"/>
              </w:rPr>
              <w:t>3</w:t>
            </w:r>
          </w:p>
        </w:tc>
        <w:tc>
          <w:tcPr>
            <w:tcW w:w="1360" w:type="dxa"/>
          </w:tcPr>
          <w:p w14:paraId="60C5A622">
            <w:pPr>
              <w:spacing w:before="243" w:line="265" w:lineRule="auto"/>
              <w:ind w:left="117" w:right="38" w:firstLine="54"/>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防护距离计</w:t>
            </w:r>
            <w:r>
              <w:rPr>
                <w:rFonts w:ascii="宋体" w:hAnsi="宋体" w:eastAsia="宋体" w:cs="宋体"/>
                <w:sz w:val="20"/>
                <w:szCs w:val="20"/>
              </w:rPr>
              <w:t xml:space="preserve"> </w:t>
            </w:r>
            <w:r>
              <w:rPr>
                <w:rFonts w:ascii="宋体" w:hAnsi="宋体" w:eastAsia="宋体" w:cs="宋体"/>
                <w:spacing w:val="-4"/>
                <w:sz w:val="20"/>
                <w:szCs w:val="20"/>
                <w14:textOutline w14:w="3797" w14:cap="sq" w14:cmpd="sng" w14:algn="ctr">
                  <w14:solidFill>
                    <w14:srgbClr w14:val="000000"/>
                  </w14:solidFill>
                  <w14:prstDash w14:val="solid"/>
                  <w14:bevel/>
                </w14:textOutline>
              </w:rPr>
              <w:t>算</w:t>
            </w:r>
            <w:r>
              <w:rPr>
                <w:rFonts w:ascii="宋体" w:hAnsi="宋体" w:eastAsia="宋体" w:cs="宋体"/>
                <w:spacing w:val="-3"/>
                <w:sz w:val="20"/>
                <w:szCs w:val="20"/>
                <w14:textOutline w14:w="3797" w14:cap="sq" w14:cmpd="sng" w14:algn="ctr">
                  <w14:solidFill>
                    <w14:srgbClr w14:val="000000"/>
                  </w14:solidFill>
                  <w14:prstDash w14:val="solid"/>
                  <w14:bevel/>
                </w14:textOutline>
              </w:rPr>
              <w:t>结</w:t>
            </w:r>
            <w:r>
              <w:rPr>
                <w:rFonts w:ascii="宋体" w:hAnsi="宋体" w:eastAsia="宋体" w:cs="宋体"/>
                <w:spacing w:val="-2"/>
                <w:sz w:val="20"/>
                <w:szCs w:val="20"/>
                <w14:textOutline w14:w="3797" w14:cap="sq" w14:cmpd="sng" w14:algn="ctr">
                  <w14:solidFill>
                    <w14:srgbClr w14:val="000000"/>
                  </w14:solidFill>
                  <w14:prstDash w14:val="solid"/>
                  <w14:bevel/>
                </w14:textOutline>
              </w:rPr>
              <w:t>果</w:t>
            </w:r>
            <w:r>
              <w:rPr>
                <w:rFonts w:ascii="宋体" w:hAnsi="宋体" w:eastAsia="宋体" w:cs="宋体"/>
                <w:spacing w:val="-2"/>
                <w:sz w:val="20"/>
                <w:szCs w:val="20"/>
              </w:rPr>
              <w:t xml:space="preserve"> </w:t>
            </w:r>
            <w:r>
              <w:rPr>
                <w:rFonts w:ascii="宋体" w:hAnsi="宋体" w:eastAsia="宋体" w:cs="宋体"/>
                <w:spacing w:val="-2"/>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spacing w:val="-2"/>
                <w:sz w:val="20"/>
                <w:szCs w:val="20"/>
              </w:rPr>
              <w:t>m</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14:textOutline w14:w="3797" w14:cap="sq" w14:cmpd="sng" w14:algn="ctr">
                  <w14:solidFill>
                    <w14:srgbClr w14:val="000000"/>
                  </w14:solidFill>
                  <w14:prstDash w14:val="solid"/>
                  <w14:bevel/>
                </w14:textOutline>
              </w:rPr>
              <w:t>)</w:t>
            </w:r>
          </w:p>
        </w:tc>
        <w:tc>
          <w:tcPr>
            <w:tcW w:w="905" w:type="dxa"/>
          </w:tcPr>
          <w:p w14:paraId="19834417">
            <w:pPr>
              <w:spacing w:before="244" w:line="265" w:lineRule="auto"/>
              <w:ind w:left="144" w:right="133"/>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卫生防</w:t>
            </w:r>
            <w:r>
              <w:rPr>
                <w:rFonts w:ascii="宋体" w:hAnsi="宋体" w:eastAsia="宋体" w:cs="宋体"/>
                <w:sz w:val="20"/>
                <w:szCs w:val="20"/>
              </w:rPr>
              <w:t xml:space="preserve"> </w:t>
            </w:r>
            <w:r>
              <w:rPr>
                <w:rFonts w:ascii="宋体" w:hAnsi="宋体" w:eastAsia="宋体" w:cs="宋体"/>
                <w:spacing w:val="8"/>
                <w:sz w:val="20"/>
                <w:szCs w:val="20"/>
                <w14:textOutline w14:w="3797" w14:cap="sq" w14:cmpd="sng" w14:algn="ctr">
                  <w14:solidFill>
                    <w14:srgbClr w14:val="000000"/>
                  </w14:solidFill>
                  <w14:prstDash w14:val="solid"/>
                  <w14:bevel/>
                </w14:textOutline>
              </w:rPr>
              <w:t>护</w:t>
            </w:r>
            <w:r>
              <w:rPr>
                <w:rFonts w:ascii="宋体" w:hAnsi="宋体" w:eastAsia="宋体" w:cs="宋体"/>
                <w:spacing w:val="7"/>
                <w:sz w:val="20"/>
                <w:szCs w:val="20"/>
                <w14:textOutline w14:w="3797" w14:cap="sq" w14:cmpd="sng" w14:algn="ctr">
                  <w14:solidFill>
                    <w14:srgbClr w14:val="000000"/>
                  </w14:solidFill>
                  <w14:prstDash w14:val="solid"/>
                  <w14:bevel/>
                </w14:textOutline>
              </w:rPr>
              <w:t>距离</w:t>
            </w:r>
          </w:p>
        </w:tc>
        <w:tc>
          <w:tcPr>
            <w:tcW w:w="1431" w:type="dxa"/>
            <w:tcBorders>
              <w:right w:val="nil"/>
            </w:tcBorders>
          </w:tcPr>
          <w:p w14:paraId="5BD7E2BF">
            <w:pPr>
              <w:spacing w:before="244" w:line="265" w:lineRule="auto"/>
              <w:ind w:left="313" w:right="189" w:hanging="117"/>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提</w:t>
            </w:r>
            <w:r>
              <w:rPr>
                <w:rFonts w:ascii="宋体" w:hAnsi="宋体" w:eastAsia="宋体" w:cs="宋体"/>
                <w:spacing w:val="8"/>
                <w:sz w:val="20"/>
                <w:szCs w:val="20"/>
                <w14:textOutline w14:w="3797" w14:cap="sq" w14:cmpd="sng" w14:algn="ctr">
                  <w14:solidFill>
                    <w14:srgbClr w14:val="000000"/>
                  </w14:solidFill>
                  <w14:prstDash w14:val="solid"/>
                  <w14:bevel/>
                </w14:textOutline>
              </w:rPr>
              <w:t>级后卫生</w:t>
            </w:r>
            <w:r>
              <w:rPr>
                <w:rFonts w:ascii="宋体" w:hAnsi="宋体" w:eastAsia="宋体" w:cs="宋体"/>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防</w:t>
            </w:r>
            <w:r>
              <w:rPr>
                <w:rFonts w:ascii="宋体" w:hAnsi="宋体" w:eastAsia="宋体" w:cs="宋体"/>
                <w:spacing w:val="5"/>
                <w:sz w:val="20"/>
                <w:szCs w:val="20"/>
                <w14:textOutline w14:w="3797" w14:cap="sq" w14:cmpd="sng" w14:algn="ctr">
                  <w14:solidFill>
                    <w14:srgbClr w14:val="000000"/>
                  </w14:solidFill>
                  <w14:prstDash w14:val="solid"/>
                  <w14:bevel/>
                </w14:textOutline>
              </w:rPr>
              <w:t>护距离</w:t>
            </w:r>
          </w:p>
        </w:tc>
      </w:tr>
      <w:tr w14:paraId="3E4731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1205" w:type="dxa"/>
            <w:vMerge w:val="restart"/>
            <w:tcBorders>
              <w:left w:val="nil"/>
              <w:bottom w:val="nil"/>
            </w:tcBorders>
          </w:tcPr>
          <w:p w14:paraId="3FC70F1A">
            <w:pPr>
              <w:spacing w:before="214" w:line="228" w:lineRule="auto"/>
              <w:ind w:left="189"/>
              <w:rPr>
                <w:rFonts w:ascii="宋体" w:hAnsi="宋体" w:eastAsia="宋体" w:cs="宋体"/>
                <w:sz w:val="20"/>
                <w:szCs w:val="20"/>
              </w:rPr>
            </w:pPr>
            <w:r>
              <w:rPr>
                <w:rFonts w:ascii="宋体" w:hAnsi="宋体" w:eastAsia="宋体" w:cs="宋体"/>
                <w:spacing w:val="7"/>
                <w:sz w:val="20"/>
                <w:szCs w:val="20"/>
              </w:rPr>
              <w:t>养殖厂区</w:t>
            </w:r>
          </w:p>
        </w:tc>
        <w:tc>
          <w:tcPr>
            <w:tcW w:w="754" w:type="dxa"/>
          </w:tcPr>
          <w:p w14:paraId="529B2CE4">
            <w:pPr>
              <w:spacing w:before="87" w:line="199" w:lineRule="auto"/>
              <w:ind w:left="187"/>
              <w:rPr>
                <w:rFonts w:ascii="Times New Roman" w:hAnsi="Times New Roman" w:eastAsia="Times New Roman" w:cs="Times New Roman"/>
                <w:sz w:val="13"/>
                <w:szCs w:val="13"/>
              </w:rPr>
            </w:pPr>
            <w:r>
              <w:rPr>
                <w:rFonts w:ascii="Times New Roman" w:hAnsi="Times New Roman" w:eastAsia="Times New Roman" w:cs="Times New Roman"/>
                <w:sz w:val="20"/>
                <w:szCs w:val="20"/>
              </w:rPr>
              <w:t>NH</w:t>
            </w:r>
            <w:r>
              <w:rPr>
                <w:rFonts w:ascii="Times New Roman" w:hAnsi="Times New Roman" w:eastAsia="Times New Roman" w:cs="Times New Roman"/>
                <w:spacing w:val="19"/>
                <w:position w:val="-1"/>
                <w:sz w:val="13"/>
                <w:szCs w:val="13"/>
              </w:rPr>
              <w:t>3</w:t>
            </w:r>
          </w:p>
        </w:tc>
        <w:tc>
          <w:tcPr>
            <w:tcW w:w="1360" w:type="dxa"/>
          </w:tcPr>
          <w:p w14:paraId="2615F581">
            <w:pPr>
              <w:spacing w:before="85" w:line="195" w:lineRule="auto"/>
              <w:ind w:left="44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0.03</w:t>
            </w:r>
            <w:r>
              <w:rPr>
                <w:rFonts w:ascii="Times New Roman" w:hAnsi="Times New Roman" w:eastAsia="Times New Roman" w:cs="Times New Roman"/>
                <w:spacing w:val="2"/>
                <w:sz w:val="20"/>
                <w:szCs w:val="20"/>
              </w:rPr>
              <w:t>1</w:t>
            </w:r>
          </w:p>
        </w:tc>
        <w:tc>
          <w:tcPr>
            <w:tcW w:w="1208" w:type="dxa"/>
            <w:vMerge w:val="restart"/>
            <w:tcBorders>
              <w:bottom w:val="nil"/>
            </w:tcBorders>
          </w:tcPr>
          <w:p w14:paraId="33782510">
            <w:pPr>
              <w:spacing w:before="250"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32072</w:t>
            </w:r>
          </w:p>
        </w:tc>
        <w:tc>
          <w:tcPr>
            <w:tcW w:w="1056" w:type="dxa"/>
          </w:tcPr>
          <w:p w14:paraId="2332B06E">
            <w:pPr>
              <w:spacing w:before="84"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00</w:t>
            </w:r>
          </w:p>
        </w:tc>
        <w:tc>
          <w:tcPr>
            <w:tcW w:w="1360" w:type="dxa"/>
          </w:tcPr>
          <w:p w14:paraId="6AA728BA">
            <w:pPr>
              <w:spacing w:before="84" w:line="198" w:lineRule="auto"/>
              <w:ind w:left="78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2"/>
                <w:sz w:val="20"/>
                <w:szCs w:val="20"/>
              </w:rPr>
              <w:t>.3</w:t>
            </w:r>
          </w:p>
        </w:tc>
        <w:tc>
          <w:tcPr>
            <w:tcW w:w="905" w:type="dxa"/>
          </w:tcPr>
          <w:p w14:paraId="29D24D53">
            <w:pPr>
              <w:spacing w:before="84" w:line="195" w:lineRule="auto"/>
              <w:ind w:left="27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5</w:t>
            </w:r>
            <w:r>
              <w:rPr>
                <w:rFonts w:ascii="Times New Roman" w:hAnsi="Times New Roman" w:eastAsia="Times New Roman" w:cs="Times New Roman"/>
                <w:spacing w:val="3"/>
                <w:sz w:val="20"/>
                <w:szCs w:val="20"/>
              </w:rPr>
              <w:t>0</w:t>
            </w:r>
            <w:r>
              <w:rPr>
                <w:rFonts w:ascii="Times New Roman" w:hAnsi="Times New Roman" w:eastAsia="Times New Roman" w:cs="Times New Roman"/>
                <w:sz w:val="20"/>
                <w:szCs w:val="20"/>
              </w:rPr>
              <w:t>m</w:t>
            </w:r>
          </w:p>
        </w:tc>
        <w:tc>
          <w:tcPr>
            <w:tcW w:w="1431" w:type="dxa"/>
            <w:vMerge w:val="restart"/>
            <w:tcBorders>
              <w:bottom w:val="nil"/>
              <w:right w:val="nil"/>
            </w:tcBorders>
          </w:tcPr>
          <w:p w14:paraId="03ED3642">
            <w:pPr>
              <w:spacing w:before="250" w:line="195" w:lineRule="auto"/>
              <w:ind w:left="70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w:t>
            </w:r>
            <w:r>
              <w:rPr>
                <w:rFonts w:ascii="Times New Roman" w:hAnsi="Times New Roman" w:eastAsia="Times New Roman" w:cs="Times New Roman"/>
                <w:sz w:val="20"/>
                <w:szCs w:val="20"/>
              </w:rPr>
              <w:t>00m</w:t>
            </w:r>
          </w:p>
        </w:tc>
      </w:tr>
      <w:tr w14:paraId="0041C3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1205" w:type="dxa"/>
            <w:vMerge w:val="continue"/>
            <w:tcBorders>
              <w:top w:val="nil"/>
              <w:left w:val="nil"/>
            </w:tcBorders>
          </w:tcPr>
          <w:p w14:paraId="4C535AE4"/>
        </w:tc>
        <w:tc>
          <w:tcPr>
            <w:tcW w:w="754" w:type="dxa"/>
          </w:tcPr>
          <w:p w14:paraId="34D2B817">
            <w:pPr>
              <w:spacing w:before="98" w:line="202" w:lineRule="auto"/>
              <w:ind w:left="210"/>
              <w:rPr>
                <w:rFonts w:ascii="Times New Roman" w:hAnsi="Times New Roman" w:eastAsia="Times New Roman" w:cs="Times New Roman"/>
                <w:sz w:val="20"/>
                <w:szCs w:val="20"/>
              </w:rPr>
            </w:pPr>
            <w:r>
              <w:rPr>
                <w:rFonts w:ascii="Times New Roman" w:hAnsi="Times New Roman" w:eastAsia="Times New Roman" w:cs="Times New Roman"/>
                <w:sz w:val="20"/>
                <w:szCs w:val="20"/>
              </w:rPr>
              <w:t>H</w:t>
            </w:r>
            <w:r>
              <w:rPr>
                <w:rFonts w:ascii="Times New Roman" w:hAnsi="Times New Roman" w:eastAsia="Times New Roman" w:cs="Times New Roman"/>
                <w:spacing w:val="18"/>
                <w:position w:val="-1"/>
                <w:sz w:val="13"/>
                <w:szCs w:val="13"/>
              </w:rPr>
              <w:t>2</w:t>
            </w:r>
            <w:r>
              <w:rPr>
                <w:rFonts w:ascii="Times New Roman" w:hAnsi="Times New Roman" w:eastAsia="Times New Roman" w:cs="Times New Roman"/>
                <w:sz w:val="20"/>
                <w:szCs w:val="20"/>
              </w:rPr>
              <w:t>S</w:t>
            </w:r>
          </w:p>
        </w:tc>
        <w:tc>
          <w:tcPr>
            <w:tcW w:w="1360" w:type="dxa"/>
          </w:tcPr>
          <w:p w14:paraId="12ED2D57">
            <w:pPr>
              <w:spacing w:before="98" w:line="195" w:lineRule="auto"/>
              <w:ind w:left="39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w:t>
            </w:r>
            <w:r>
              <w:rPr>
                <w:rFonts w:ascii="Times New Roman" w:hAnsi="Times New Roman" w:eastAsia="Times New Roman" w:cs="Times New Roman"/>
                <w:spacing w:val="3"/>
                <w:sz w:val="20"/>
                <w:szCs w:val="20"/>
              </w:rPr>
              <w:t>.0038</w:t>
            </w:r>
          </w:p>
        </w:tc>
        <w:tc>
          <w:tcPr>
            <w:tcW w:w="1208" w:type="dxa"/>
            <w:vMerge w:val="continue"/>
            <w:tcBorders>
              <w:top w:val="nil"/>
            </w:tcBorders>
          </w:tcPr>
          <w:p w14:paraId="2FF1140F"/>
        </w:tc>
        <w:tc>
          <w:tcPr>
            <w:tcW w:w="1056" w:type="dxa"/>
          </w:tcPr>
          <w:p w14:paraId="4E9B58CB">
            <w:pPr>
              <w:spacing w:before="98" w:line="195" w:lineRule="auto"/>
              <w:ind w:left="550"/>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7"/>
                <w:sz w:val="20"/>
                <w:szCs w:val="20"/>
              </w:rPr>
              <w:t>0</w:t>
            </w:r>
          </w:p>
        </w:tc>
        <w:tc>
          <w:tcPr>
            <w:tcW w:w="1360" w:type="dxa"/>
          </w:tcPr>
          <w:p w14:paraId="38AA3951">
            <w:pPr>
              <w:spacing w:before="98" w:line="195" w:lineRule="auto"/>
              <w:ind w:left="653"/>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4. 105</w:t>
            </w:r>
          </w:p>
        </w:tc>
        <w:tc>
          <w:tcPr>
            <w:tcW w:w="905" w:type="dxa"/>
          </w:tcPr>
          <w:p w14:paraId="75659C88">
            <w:pPr>
              <w:spacing w:before="98" w:line="195" w:lineRule="auto"/>
              <w:ind w:left="27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5</w:t>
            </w:r>
            <w:r>
              <w:rPr>
                <w:rFonts w:ascii="Times New Roman" w:hAnsi="Times New Roman" w:eastAsia="Times New Roman" w:cs="Times New Roman"/>
                <w:spacing w:val="3"/>
                <w:sz w:val="20"/>
                <w:szCs w:val="20"/>
              </w:rPr>
              <w:t>0</w:t>
            </w:r>
            <w:r>
              <w:rPr>
                <w:rFonts w:ascii="Times New Roman" w:hAnsi="Times New Roman" w:eastAsia="Times New Roman" w:cs="Times New Roman"/>
                <w:sz w:val="20"/>
                <w:szCs w:val="20"/>
              </w:rPr>
              <w:t>m</w:t>
            </w:r>
          </w:p>
        </w:tc>
        <w:tc>
          <w:tcPr>
            <w:tcW w:w="1431" w:type="dxa"/>
            <w:vMerge w:val="continue"/>
            <w:tcBorders>
              <w:top w:val="nil"/>
              <w:right w:val="nil"/>
            </w:tcBorders>
          </w:tcPr>
          <w:p w14:paraId="563311E1"/>
        </w:tc>
      </w:tr>
    </w:tbl>
    <w:p w14:paraId="7607FC1F">
      <w:pPr>
        <w:spacing w:before="6" w:line="377" w:lineRule="auto"/>
        <w:ind w:left="121" w:right="500" w:firstLine="477"/>
        <w:rPr>
          <w:rFonts w:ascii="宋体" w:hAnsi="宋体" w:eastAsia="宋体" w:cs="宋体"/>
          <w:sz w:val="23"/>
          <w:szCs w:val="23"/>
        </w:rPr>
      </w:pPr>
      <w:r>
        <w:rPr>
          <w:rFonts w:ascii="宋体" w:hAnsi="宋体" w:eastAsia="宋体" w:cs="宋体"/>
          <w:spacing w:val="20"/>
          <w:sz w:val="23"/>
          <w:szCs w:val="23"/>
        </w:rPr>
        <w:t>根</w:t>
      </w:r>
      <w:r>
        <w:rPr>
          <w:rFonts w:ascii="宋体" w:hAnsi="宋体" w:eastAsia="宋体" w:cs="宋体"/>
          <w:spacing w:val="16"/>
          <w:sz w:val="23"/>
          <w:szCs w:val="23"/>
        </w:rPr>
        <w:t>据</w:t>
      </w:r>
      <w:r>
        <w:rPr>
          <w:rFonts w:ascii="宋体" w:hAnsi="宋体" w:eastAsia="宋体" w:cs="宋体"/>
          <w:spacing w:val="10"/>
          <w:sz w:val="23"/>
          <w:szCs w:val="23"/>
        </w:rPr>
        <w:t>《制定地方大气污染物排放标准的技术方法》</w:t>
      </w:r>
      <w:r>
        <w:rPr>
          <w:rFonts w:ascii="Times New Roman" w:hAnsi="Times New Roman" w:eastAsia="Times New Roman" w:cs="Times New Roman"/>
          <w:spacing w:val="10"/>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10"/>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10"/>
          <w:sz w:val="23"/>
          <w:szCs w:val="23"/>
        </w:rPr>
        <w:t>13201-91)</w:t>
      </w:r>
      <w:r>
        <w:rPr>
          <w:rFonts w:ascii="宋体" w:hAnsi="宋体" w:eastAsia="宋体" w:cs="宋体"/>
          <w:spacing w:val="10"/>
          <w:sz w:val="23"/>
          <w:szCs w:val="23"/>
        </w:rPr>
        <w:t>中</w:t>
      </w:r>
      <w:r>
        <w:rPr>
          <w:rFonts w:ascii="Times New Roman" w:hAnsi="Times New Roman" w:eastAsia="Times New Roman" w:cs="Times New Roman"/>
          <w:spacing w:val="10"/>
          <w:sz w:val="23"/>
          <w:szCs w:val="23"/>
        </w:rPr>
        <w:t xml:space="preserve">“7.3 </w:t>
      </w:r>
      <w:r>
        <w:rPr>
          <w:rFonts w:ascii="宋体" w:hAnsi="宋体" w:eastAsia="宋体" w:cs="宋体"/>
          <w:spacing w:val="10"/>
          <w:sz w:val="23"/>
          <w:szCs w:val="23"/>
        </w:rPr>
        <w:t>卫生</w:t>
      </w:r>
      <w:r>
        <w:rPr>
          <w:rFonts w:ascii="宋体" w:hAnsi="宋体" w:eastAsia="宋体" w:cs="宋体"/>
          <w:sz w:val="23"/>
          <w:szCs w:val="23"/>
        </w:rPr>
        <w:t xml:space="preserve"> </w:t>
      </w:r>
      <w:r>
        <w:rPr>
          <w:rFonts w:ascii="宋体" w:hAnsi="宋体" w:eastAsia="宋体" w:cs="宋体"/>
          <w:spacing w:val="1"/>
          <w:sz w:val="23"/>
          <w:szCs w:val="23"/>
        </w:rPr>
        <w:t>防护距离在</w:t>
      </w:r>
      <w:r>
        <w:rPr>
          <w:rFonts w:ascii="宋体" w:hAnsi="宋体" w:eastAsia="宋体" w:cs="宋体"/>
          <w:sz w:val="23"/>
          <w:szCs w:val="23"/>
        </w:rPr>
        <w:t xml:space="preserve"> </w:t>
      </w:r>
      <w:r>
        <w:rPr>
          <w:rFonts w:ascii="Times New Roman" w:hAnsi="Times New Roman" w:eastAsia="Times New Roman" w:cs="Times New Roman"/>
          <w:sz w:val="23"/>
          <w:szCs w:val="23"/>
        </w:rPr>
        <w:t xml:space="preserve">100m </w:t>
      </w:r>
      <w:r>
        <w:rPr>
          <w:rFonts w:ascii="宋体" w:hAnsi="宋体" w:eastAsia="宋体" w:cs="宋体"/>
          <w:sz w:val="23"/>
          <w:szCs w:val="23"/>
        </w:rPr>
        <w:t xml:space="preserve">以内时，级差为 </w:t>
      </w:r>
      <w:r>
        <w:rPr>
          <w:rFonts w:ascii="Times New Roman" w:hAnsi="Times New Roman" w:eastAsia="Times New Roman" w:cs="Times New Roman"/>
          <w:sz w:val="23"/>
          <w:szCs w:val="23"/>
        </w:rPr>
        <w:t>50m</w:t>
      </w:r>
      <w:r>
        <w:rPr>
          <w:rFonts w:ascii="宋体" w:hAnsi="宋体" w:eastAsia="宋体" w:cs="宋体"/>
          <w:sz w:val="23"/>
          <w:szCs w:val="23"/>
        </w:rPr>
        <w:t xml:space="preserve">；超过 </w:t>
      </w:r>
      <w:r>
        <w:rPr>
          <w:rFonts w:ascii="Times New Roman" w:hAnsi="Times New Roman" w:eastAsia="Times New Roman" w:cs="Times New Roman"/>
          <w:sz w:val="23"/>
          <w:szCs w:val="23"/>
        </w:rPr>
        <w:t>100m</w:t>
      </w:r>
      <w:r>
        <w:rPr>
          <w:rFonts w:ascii="宋体" w:hAnsi="宋体" w:eastAsia="宋体" w:cs="宋体"/>
          <w:sz w:val="23"/>
          <w:szCs w:val="23"/>
        </w:rPr>
        <w:t xml:space="preserve">，但小于或等于 </w:t>
      </w:r>
      <w:r>
        <w:rPr>
          <w:rFonts w:ascii="Times New Roman" w:hAnsi="Times New Roman" w:eastAsia="Times New Roman" w:cs="Times New Roman"/>
          <w:sz w:val="23"/>
          <w:szCs w:val="23"/>
        </w:rPr>
        <w:t xml:space="preserve">1000m </w:t>
      </w:r>
      <w:r>
        <w:rPr>
          <w:rFonts w:ascii="宋体" w:hAnsi="宋体" w:eastAsia="宋体" w:cs="宋体"/>
          <w:sz w:val="23"/>
          <w:szCs w:val="23"/>
        </w:rPr>
        <w:t xml:space="preserve">时，级差 </w:t>
      </w:r>
      <w:r>
        <w:rPr>
          <w:rFonts w:ascii="宋体" w:hAnsi="宋体" w:eastAsia="宋体" w:cs="宋体"/>
          <w:spacing w:val="1"/>
          <w:sz w:val="23"/>
          <w:szCs w:val="23"/>
        </w:rPr>
        <w:t xml:space="preserve">为 </w:t>
      </w:r>
      <w:r>
        <w:rPr>
          <w:rFonts w:ascii="Times New Roman" w:hAnsi="Times New Roman" w:eastAsia="Times New Roman" w:cs="Times New Roman"/>
          <w:spacing w:val="1"/>
          <w:sz w:val="23"/>
          <w:szCs w:val="23"/>
        </w:rPr>
        <w:t>100</w:t>
      </w:r>
      <w:r>
        <w:rPr>
          <w:rFonts w:ascii="Times New Roman" w:hAnsi="Times New Roman" w:eastAsia="Times New Roman" w:cs="Times New Roman"/>
          <w:sz w:val="23"/>
          <w:szCs w:val="23"/>
        </w:rPr>
        <w:t>m</w:t>
      </w:r>
      <w:r>
        <w:rPr>
          <w:rFonts w:ascii="宋体" w:hAnsi="宋体" w:eastAsia="宋体" w:cs="宋体"/>
          <w:spacing w:val="1"/>
          <w:sz w:val="23"/>
          <w:szCs w:val="23"/>
        </w:rPr>
        <w:t xml:space="preserve">；超过 </w:t>
      </w:r>
      <w:r>
        <w:rPr>
          <w:rFonts w:ascii="Times New Roman" w:hAnsi="Times New Roman" w:eastAsia="Times New Roman" w:cs="Times New Roman"/>
          <w:spacing w:val="1"/>
          <w:sz w:val="23"/>
          <w:szCs w:val="23"/>
        </w:rPr>
        <w:t>1000</w:t>
      </w:r>
      <w:r>
        <w:rPr>
          <w:rFonts w:ascii="Times New Roman" w:hAnsi="Times New Roman" w:eastAsia="Times New Roman" w:cs="Times New Roman"/>
          <w:sz w:val="23"/>
          <w:szCs w:val="23"/>
        </w:rPr>
        <w:t>m</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 xml:space="preserve">以上，极差为 </w:t>
      </w:r>
      <w:r>
        <w:rPr>
          <w:rFonts w:ascii="Times New Roman" w:hAnsi="Times New Roman" w:eastAsia="Times New Roman" w:cs="Times New Roman"/>
          <w:spacing w:val="1"/>
          <w:sz w:val="23"/>
          <w:szCs w:val="23"/>
        </w:rPr>
        <w:t>200</w:t>
      </w:r>
      <w:r>
        <w:rPr>
          <w:rFonts w:ascii="Times New Roman" w:hAnsi="Times New Roman" w:eastAsia="Times New Roman" w:cs="Times New Roman"/>
          <w:sz w:val="23"/>
          <w:szCs w:val="23"/>
        </w:rPr>
        <w:t>m</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 以及</w:t>
      </w:r>
      <w:r>
        <w:rPr>
          <w:rFonts w:ascii="Times New Roman" w:hAnsi="Times New Roman" w:eastAsia="Times New Roman" w:cs="Times New Roman"/>
          <w:spacing w:val="1"/>
          <w:sz w:val="23"/>
          <w:szCs w:val="23"/>
        </w:rPr>
        <w:t xml:space="preserve">“7.5  </w:t>
      </w:r>
      <w:r>
        <w:rPr>
          <w:rFonts w:ascii="宋体" w:hAnsi="宋体" w:eastAsia="宋体" w:cs="宋体"/>
          <w:spacing w:val="1"/>
          <w:sz w:val="23"/>
          <w:szCs w:val="23"/>
        </w:rPr>
        <w:t>无组</w:t>
      </w:r>
      <w:r>
        <w:rPr>
          <w:rFonts w:ascii="宋体" w:hAnsi="宋体" w:eastAsia="宋体" w:cs="宋体"/>
          <w:sz w:val="23"/>
          <w:szCs w:val="23"/>
        </w:rPr>
        <w:t xml:space="preserve">织排放多种有害气体的 </w:t>
      </w:r>
      <w:r>
        <w:rPr>
          <w:rFonts w:ascii="宋体" w:hAnsi="宋体" w:eastAsia="宋体" w:cs="宋体"/>
          <w:spacing w:val="18"/>
          <w:sz w:val="23"/>
          <w:szCs w:val="23"/>
        </w:rPr>
        <w:t>工业</w:t>
      </w:r>
      <w:r>
        <w:rPr>
          <w:rFonts w:ascii="宋体" w:hAnsi="宋体" w:eastAsia="宋体" w:cs="宋体"/>
          <w:spacing w:val="14"/>
          <w:sz w:val="23"/>
          <w:szCs w:val="23"/>
        </w:rPr>
        <w:t>企</w:t>
      </w:r>
      <w:r>
        <w:rPr>
          <w:rFonts w:ascii="宋体" w:hAnsi="宋体" w:eastAsia="宋体" w:cs="宋体"/>
          <w:spacing w:val="9"/>
          <w:sz w:val="23"/>
          <w:szCs w:val="23"/>
        </w:rPr>
        <w:t xml:space="preserve">业，按 </w:t>
      </w:r>
      <w:r>
        <w:rPr>
          <w:rFonts w:ascii="Times New Roman" w:hAnsi="Times New Roman" w:eastAsia="Times New Roman" w:cs="Times New Roman"/>
          <w:sz w:val="23"/>
          <w:szCs w:val="23"/>
        </w:rPr>
        <w:t>Q</w:t>
      </w:r>
      <w:r>
        <w:rPr>
          <w:rFonts w:ascii="Times New Roman" w:hAnsi="Times New Roman" w:eastAsia="Times New Roman" w:cs="Times New Roman"/>
          <w:position w:val="-1"/>
          <w:sz w:val="15"/>
          <w:szCs w:val="15"/>
        </w:rPr>
        <w:t>c</w:t>
      </w:r>
      <w:r>
        <w:rPr>
          <w:rFonts w:ascii="Times New Roman" w:hAnsi="Times New Roman" w:eastAsia="Times New Roman" w:cs="Times New Roman"/>
          <w:spacing w:val="9"/>
          <w:sz w:val="23"/>
          <w:szCs w:val="23"/>
        </w:rPr>
        <w:t>/</w:t>
      </w:r>
      <w:r>
        <w:rPr>
          <w:rFonts w:ascii="Times New Roman" w:hAnsi="Times New Roman" w:eastAsia="Times New Roman" w:cs="Times New Roman"/>
          <w:sz w:val="23"/>
          <w:szCs w:val="23"/>
        </w:rPr>
        <w:t>C</w:t>
      </w:r>
      <w:r>
        <w:rPr>
          <w:rFonts w:ascii="Times New Roman" w:hAnsi="Times New Roman" w:eastAsia="Times New Roman" w:cs="Times New Roman"/>
          <w:position w:val="-1"/>
          <w:sz w:val="15"/>
          <w:szCs w:val="15"/>
        </w:rPr>
        <w:t>m</w:t>
      </w:r>
      <w:r>
        <w:rPr>
          <w:rFonts w:ascii="Times New Roman" w:hAnsi="Times New Roman" w:eastAsia="Times New Roman" w:cs="Times New Roman"/>
          <w:spacing w:val="9"/>
          <w:position w:val="-1"/>
          <w:sz w:val="15"/>
          <w:szCs w:val="15"/>
        </w:rPr>
        <w:t xml:space="preserve"> </w:t>
      </w:r>
      <w:r>
        <w:rPr>
          <w:rFonts w:ascii="宋体" w:hAnsi="宋体" w:eastAsia="宋体" w:cs="宋体"/>
          <w:spacing w:val="9"/>
          <w:sz w:val="23"/>
          <w:szCs w:val="23"/>
        </w:rPr>
        <w:t>的最大值计算其所需卫生防护距离；当按两种或两种以上的有</w:t>
      </w:r>
      <w:r>
        <w:rPr>
          <w:rFonts w:ascii="宋体" w:hAnsi="宋体" w:eastAsia="宋体" w:cs="宋体"/>
          <w:sz w:val="23"/>
          <w:szCs w:val="23"/>
        </w:rPr>
        <w:t xml:space="preserve"> </w:t>
      </w:r>
      <w:r>
        <w:rPr>
          <w:rFonts w:ascii="宋体" w:hAnsi="宋体" w:eastAsia="宋体" w:cs="宋体"/>
          <w:spacing w:val="18"/>
          <w:sz w:val="23"/>
          <w:szCs w:val="23"/>
        </w:rPr>
        <w:t>害气</w:t>
      </w:r>
      <w:r>
        <w:rPr>
          <w:rFonts w:ascii="宋体" w:hAnsi="宋体" w:eastAsia="宋体" w:cs="宋体"/>
          <w:spacing w:val="14"/>
          <w:sz w:val="23"/>
          <w:szCs w:val="23"/>
        </w:rPr>
        <w:t>体</w:t>
      </w:r>
      <w:r>
        <w:rPr>
          <w:rFonts w:ascii="宋体" w:hAnsi="宋体" w:eastAsia="宋体" w:cs="宋体"/>
          <w:spacing w:val="9"/>
          <w:sz w:val="23"/>
          <w:szCs w:val="23"/>
        </w:rPr>
        <w:t xml:space="preserve">的 </w:t>
      </w:r>
      <w:r>
        <w:rPr>
          <w:rFonts w:ascii="Times New Roman" w:hAnsi="Times New Roman" w:eastAsia="Times New Roman" w:cs="Times New Roman"/>
          <w:sz w:val="23"/>
          <w:szCs w:val="23"/>
        </w:rPr>
        <w:t>Q</w:t>
      </w:r>
      <w:r>
        <w:rPr>
          <w:rFonts w:ascii="Times New Roman" w:hAnsi="Times New Roman" w:eastAsia="Times New Roman" w:cs="Times New Roman"/>
          <w:position w:val="-1"/>
          <w:sz w:val="15"/>
          <w:szCs w:val="15"/>
        </w:rPr>
        <w:t>c</w:t>
      </w:r>
      <w:r>
        <w:rPr>
          <w:rFonts w:ascii="Times New Roman" w:hAnsi="Times New Roman" w:eastAsia="Times New Roman" w:cs="Times New Roman"/>
          <w:spacing w:val="9"/>
          <w:sz w:val="23"/>
          <w:szCs w:val="23"/>
        </w:rPr>
        <w:t>/</w:t>
      </w:r>
      <w:r>
        <w:rPr>
          <w:rFonts w:ascii="Times New Roman" w:hAnsi="Times New Roman" w:eastAsia="Times New Roman" w:cs="Times New Roman"/>
          <w:sz w:val="23"/>
          <w:szCs w:val="23"/>
        </w:rPr>
        <w:t>C</w:t>
      </w:r>
      <w:r>
        <w:rPr>
          <w:rFonts w:ascii="Times New Roman" w:hAnsi="Times New Roman" w:eastAsia="Times New Roman" w:cs="Times New Roman"/>
          <w:position w:val="-1"/>
          <w:sz w:val="15"/>
          <w:szCs w:val="15"/>
        </w:rPr>
        <w:t>m</w:t>
      </w:r>
      <w:r>
        <w:rPr>
          <w:rFonts w:ascii="Times New Roman" w:hAnsi="Times New Roman" w:eastAsia="Times New Roman" w:cs="Times New Roman"/>
          <w:spacing w:val="9"/>
          <w:position w:val="-1"/>
          <w:sz w:val="15"/>
          <w:szCs w:val="15"/>
        </w:rPr>
        <w:t xml:space="preserve"> </w:t>
      </w:r>
      <w:r>
        <w:rPr>
          <w:rFonts w:ascii="宋体" w:hAnsi="宋体" w:eastAsia="宋体" w:cs="宋体"/>
          <w:spacing w:val="9"/>
          <w:sz w:val="23"/>
          <w:szCs w:val="23"/>
        </w:rPr>
        <w:t>值计算的卫生防护距离在同一级别时，该类工业企业的卫生防护距</w:t>
      </w:r>
      <w:r>
        <w:rPr>
          <w:rFonts w:ascii="宋体" w:hAnsi="宋体" w:eastAsia="宋体" w:cs="宋体"/>
          <w:sz w:val="23"/>
          <w:szCs w:val="23"/>
        </w:rPr>
        <w:t xml:space="preserve"> </w:t>
      </w:r>
      <w:r>
        <w:rPr>
          <w:rFonts w:ascii="宋体" w:hAnsi="宋体" w:eastAsia="宋体" w:cs="宋体"/>
          <w:spacing w:val="10"/>
          <w:sz w:val="23"/>
          <w:szCs w:val="23"/>
        </w:rPr>
        <w:t>离</w:t>
      </w:r>
      <w:r>
        <w:rPr>
          <w:rFonts w:ascii="宋体" w:hAnsi="宋体" w:eastAsia="宋体" w:cs="宋体"/>
          <w:spacing w:val="8"/>
          <w:sz w:val="23"/>
          <w:szCs w:val="23"/>
        </w:rPr>
        <w:t>级</w:t>
      </w:r>
      <w:r>
        <w:rPr>
          <w:rFonts w:ascii="宋体" w:hAnsi="宋体" w:eastAsia="宋体" w:cs="宋体"/>
          <w:spacing w:val="5"/>
          <w:sz w:val="23"/>
          <w:szCs w:val="23"/>
        </w:rPr>
        <w:t>别应提高一级</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 xml:space="preserve">的规定，通过计算项目养殖区无组织排放的 </w:t>
      </w:r>
      <w:r>
        <w:rPr>
          <w:rFonts w:ascii="Times New Roman" w:hAnsi="Times New Roman" w:eastAsia="Times New Roman" w:cs="Times New Roman"/>
          <w:sz w:val="23"/>
          <w:szCs w:val="23"/>
        </w:rPr>
        <w:t>NH</w:t>
      </w:r>
      <w:r>
        <w:rPr>
          <w:rFonts w:ascii="Times New Roman" w:hAnsi="Times New Roman" w:eastAsia="Times New Roman" w:cs="Times New Roman"/>
          <w:spacing w:val="5"/>
          <w:position w:val="-1"/>
          <w:sz w:val="15"/>
          <w:szCs w:val="15"/>
        </w:rPr>
        <w:t xml:space="preserve">3 </w:t>
      </w:r>
      <w:r>
        <w:rPr>
          <w:rFonts w:ascii="宋体" w:hAnsi="宋体" w:eastAsia="宋体" w:cs="宋体"/>
          <w:spacing w:val="5"/>
          <w:sz w:val="23"/>
          <w:szCs w:val="23"/>
        </w:rPr>
        <w:t xml:space="preserve">与 </w:t>
      </w:r>
      <w:r>
        <w:rPr>
          <w:rFonts w:ascii="Times New Roman" w:hAnsi="Times New Roman" w:eastAsia="Times New Roman" w:cs="Times New Roman"/>
          <w:sz w:val="23"/>
          <w:szCs w:val="23"/>
        </w:rPr>
        <w:t>H</w:t>
      </w:r>
      <w:r>
        <w:rPr>
          <w:rFonts w:ascii="Times New Roman" w:hAnsi="Times New Roman" w:eastAsia="Times New Roman" w:cs="Times New Roman"/>
          <w:spacing w:val="5"/>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卫生防</w:t>
      </w:r>
    </w:p>
    <w:p w14:paraId="2B603B35">
      <w:pPr>
        <w:spacing w:before="15" w:line="375" w:lineRule="auto"/>
        <w:ind w:left="119" w:right="504"/>
        <w:rPr>
          <w:rFonts w:ascii="宋体" w:hAnsi="宋体" w:eastAsia="宋体" w:cs="宋体"/>
          <w:sz w:val="23"/>
          <w:szCs w:val="23"/>
        </w:rPr>
      </w:pPr>
      <w:r>
        <w:rPr>
          <w:rFonts w:ascii="宋体" w:hAnsi="宋体" w:eastAsia="宋体" w:cs="宋体"/>
          <w:spacing w:val="8"/>
          <w:sz w:val="23"/>
          <w:szCs w:val="23"/>
        </w:rPr>
        <w:t>护距离分别</w:t>
      </w:r>
      <w:r>
        <w:rPr>
          <w:rFonts w:ascii="宋体" w:hAnsi="宋体" w:eastAsia="宋体" w:cs="宋体"/>
          <w:spacing w:val="4"/>
          <w:sz w:val="23"/>
          <w:szCs w:val="23"/>
        </w:rPr>
        <w:t xml:space="preserve">为 </w:t>
      </w:r>
      <w:r>
        <w:rPr>
          <w:rFonts w:ascii="Times New Roman" w:hAnsi="Times New Roman" w:eastAsia="Times New Roman" w:cs="Times New Roman"/>
          <w:spacing w:val="4"/>
          <w:sz w:val="23"/>
          <w:szCs w:val="23"/>
        </w:rPr>
        <w:t>50</w:t>
      </w:r>
      <w:r>
        <w:rPr>
          <w:rFonts w:ascii="Times New Roman" w:hAnsi="Times New Roman" w:eastAsia="Times New Roman" w:cs="Times New Roman"/>
          <w:sz w:val="23"/>
          <w:szCs w:val="23"/>
        </w:rPr>
        <w:t>m</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 xml:space="preserve">，卫生防护距离在 </w:t>
      </w:r>
      <w:r>
        <w:rPr>
          <w:rFonts w:ascii="Times New Roman" w:hAnsi="Times New Roman" w:eastAsia="Times New Roman" w:cs="Times New Roman"/>
          <w:spacing w:val="4"/>
          <w:sz w:val="23"/>
          <w:szCs w:val="23"/>
        </w:rPr>
        <w:t>100</w:t>
      </w:r>
      <w:r>
        <w:rPr>
          <w:rFonts w:ascii="Times New Roman" w:hAnsi="Times New Roman" w:eastAsia="Times New Roman" w:cs="Times New Roman"/>
          <w:sz w:val="23"/>
          <w:szCs w:val="23"/>
        </w:rPr>
        <w:t>m</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 xml:space="preserve">以内，极差为 </w:t>
      </w:r>
      <w:r>
        <w:rPr>
          <w:rFonts w:ascii="Times New Roman" w:hAnsi="Times New Roman" w:eastAsia="Times New Roman" w:cs="Times New Roman"/>
          <w:spacing w:val="4"/>
          <w:sz w:val="23"/>
          <w:szCs w:val="23"/>
        </w:rPr>
        <w:t>50</w:t>
      </w:r>
      <w:r>
        <w:rPr>
          <w:rFonts w:ascii="Times New Roman" w:hAnsi="Times New Roman" w:eastAsia="Times New Roman" w:cs="Times New Roman"/>
          <w:sz w:val="23"/>
          <w:szCs w:val="23"/>
        </w:rPr>
        <w:t>m</w:t>
      </w:r>
      <w:r>
        <w:rPr>
          <w:rFonts w:ascii="宋体" w:hAnsi="宋体" w:eastAsia="宋体" w:cs="宋体"/>
          <w:spacing w:val="4"/>
          <w:sz w:val="23"/>
          <w:szCs w:val="23"/>
        </w:rPr>
        <w:t>；通过提级后，确定</w:t>
      </w:r>
      <w:r>
        <w:rPr>
          <w:rFonts w:ascii="宋体" w:hAnsi="宋体" w:eastAsia="宋体" w:cs="宋体"/>
          <w:sz w:val="23"/>
          <w:szCs w:val="23"/>
        </w:rPr>
        <w:t xml:space="preserve"> </w:t>
      </w:r>
      <w:r>
        <w:rPr>
          <w:rFonts w:ascii="宋体" w:hAnsi="宋体" w:eastAsia="宋体" w:cs="宋体"/>
          <w:spacing w:val="14"/>
          <w:sz w:val="23"/>
          <w:szCs w:val="23"/>
        </w:rPr>
        <w:t>本</w:t>
      </w:r>
      <w:r>
        <w:rPr>
          <w:rFonts w:ascii="宋体" w:hAnsi="宋体" w:eastAsia="宋体" w:cs="宋体"/>
          <w:spacing w:val="12"/>
          <w:sz w:val="23"/>
          <w:szCs w:val="23"/>
        </w:rPr>
        <w:t>项</w:t>
      </w:r>
      <w:r>
        <w:rPr>
          <w:rFonts w:ascii="宋体" w:hAnsi="宋体" w:eastAsia="宋体" w:cs="宋体"/>
          <w:spacing w:val="7"/>
          <w:sz w:val="23"/>
          <w:szCs w:val="23"/>
        </w:rPr>
        <w:t xml:space="preserve">目养殖区卫生防护距离为养殖厂区猪舍、异位发酵床边界向外延 </w:t>
      </w:r>
      <w:r>
        <w:rPr>
          <w:rFonts w:ascii="Times New Roman" w:hAnsi="Times New Roman" w:eastAsia="Times New Roman" w:cs="Times New Roman"/>
          <w:spacing w:val="7"/>
          <w:sz w:val="23"/>
          <w:szCs w:val="23"/>
        </w:rPr>
        <w:t>100</w:t>
      </w:r>
      <w:r>
        <w:rPr>
          <w:rFonts w:ascii="Times New Roman" w:hAnsi="Times New Roman" w:eastAsia="Times New Roman" w:cs="Times New Roman"/>
          <w:sz w:val="23"/>
          <w:szCs w:val="23"/>
        </w:rPr>
        <w:t>m</w:t>
      </w:r>
      <w:r>
        <w:rPr>
          <w:rFonts w:ascii="宋体" w:hAnsi="宋体" w:eastAsia="宋体" w:cs="宋体"/>
          <w:spacing w:val="7"/>
          <w:sz w:val="23"/>
          <w:szCs w:val="23"/>
        </w:rPr>
        <w:t>。</w:t>
      </w:r>
    </w:p>
    <w:p w14:paraId="25CC318E">
      <w:pPr>
        <w:spacing w:before="7" w:line="374" w:lineRule="auto"/>
        <w:ind w:left="118" w:right="502" w:firstLine="480"/>
        <w:rPr>
          <w:rFonts w:ascii="宋体" w:hAnsi="宋体" w:eastAsia="宋体" w:cs="宋体"/>
          <w:sz w:val="23"/>
          <w:szCs w:val="23"/>
        </w:rPr>
      </w:pPr>
      <w:r>
        <w:rPr>
          <w:rFonts w:ascii="宋体" w:hAnsi="宋体" w:eastAsia="宋体" w:cs="宋体"/>
          <w:spacing w:val="10"/>
          <w:sz w:val="23"/>
          <w:szCs w:val="23"/>
        </w:rPr>
        <w:t xml:space="preserve">根据现场勘查，项目养殖厂区猪舍、异位发酵床外 </w:t>
      </w:r>
      <w:r>
        <w:rPr>
          <w:rFonts w:ascii="Times New Roman" w:hAnsi="Times New Roman" w:eastAsia="Times New Roman" w:cs="Times New Roman"/>
          <w:spacing w:val="10"/>
          <w:sz w:val="23"/>
          <w:szCs w:val="23"/>
        </w:rPr>
        <w:t>100</w:t>
      </w:r>
      <w:r>
        <w:rPr>
          <w:rFonts w:ascii="Times New Roman" w:hAnsi="Times New Roman" w:eastAsia="Times New Roman" w:cs="Times New Roman"/>
          <w:sz w:val="23"/>
          <w:szCs w:val="23"/>
        </w:rPr>
        <w:t>m</w:t>
      </w:r>
      <w:r>
        <w:rPr>
          <w:rFonts w:ascii="Times New Roman" w:hAnsi="Times New Roman" w:eastAsia="Times New Roman" w:cs="Times New Roman"/>
          <w:spacing w:val="10"/>
          <w:sz w:val="23"/>
          <w:szCs w:val="23"/>
        </w:rPr>
        <w:t xml:space="preserve"> </w:t>
      </w:r>
      <w:r>
        <w:rPr>
          <w:rFonts w:ascii="宋体" w:hAnsi="宋体" w:eastAsia="宋体" w:cs="宋体"/>
          <w:spacing w:val="10"/>
          <w:sz w:val="23"/>
          <w:szCs w:val="23"/>
        </w:rPr>
        <w:t>范围内主要以农田</w:t>
      </w:r>
      <w:r>
        <w:rPr>
          <w:rFonts w:ascii="宋体" w:hAnsi="宋体" w:eastAsia="宋体" w:cs="宋体"/>
          <w:spacing w:val="3"/>
          <w:sz w:val="23"/>
          <w:szCs w:val="23"/>
        </w:rPr>
        <w:t>、</w:t>
      </w:r>
      <w:r>
        <w:rPr>
          <w:rFonts w:ascii="宋体" w:hAnsi="宋体" w:eastAsia="宋体" w:cs="宋体"/>
          <w:sz w:val="23"/>
          <w:szCs w:val="23"/>
        </w:rPr>
        <w:t xml:space="preserve"> </w:t>
      </w:r>
      <w:r>
        <w:rPr>
          <w:rFonts w:ascii="宋体" w:hAnsi="宋体" w:eastAsia="宋体" w:cs="宋体"/>
          <w:spacing w:val="20"/>
          <w:sz w:val="23"/>
          <w:szCs w:val="23"/>
        </w:rPr>
        <w:t>林</w:t>
      </w:r>
      <w:r>
        <w:rPr>
          <w:rFonts w:ascii="宋体" w:hAnsi="宋体" w:eastAsia="宋体" w:cs="宋体"/>
          <w:spacing w:val="14"/>
          <w:sz w:val="23"/>
          <w:szCs w:val="23"/>
        </w:rPr>
        <w:t>地</w:t>
      </w:r>
      <w:r>
        <w:rPr>
          <w:rFonts w:ascii="宋体" w:hAnsi="宋体" w:eastAsia="宋体" w:cs="宋体"/>
          <w:spacing w:val="10"/>
          <w:sz w:val="23"/>
          <w:szCs w:val="23"/>
        </w:rPr>
        <w:t>为主，无居民等敏感点分布。结合本项目外环境关系可知，本项目卫生防护距</w:t>
      </w:r>
      <w:r>
        <w:rPr>
          <w:rFonts w:ascii="宋体" w:hAnsi="宋体" w:eastAsia="宋体" w:cs="宋体"/>
          <w:sz w:val="23"/>
          <w:szCs w:val="23"/>
        </w:rPr>
        <w:t xml:space="preserve"> </w:t>
      </w:r>
      <w:r>
        <w:rPr>
          <w:rFonts w:ascii="宋体" w:hAnsi="宋体" w:eastAsia="宋体" w:cs="宋体"/>
          <w:spacing w:val="20"/>
          <w:sz w:val="23"/>
          <w:szCs w:val="23"/>
        </w:rPr>
        <w:t>离</w:t>
      </w:r>
      <w:r>
        <w:rPr>
          <w:rFonts w:ascii="宋体" w:hAnsi="宋体" w:eastAsia="宋体" w:cs="宋体"/>
          <w:spacing w:val="16"/>
          <w:sz w:val="23"/>
          <w:szCs w:val="23"/>
        </w:rPr>
        <w:t>已</w:t>
      </w:r>
      <w:r>
        <w:rPr>
          <w:rFonts w:ascii="宋体" w:hAnsi="宋体" w:eastAsia="宋体" w:cs="宋体"/>
          <w:spacing w:val="10"/>
          <w:sz w:val="23"/>
          <w:szCs w:val="23"/>
        </w:rPr>
        <w:t>无居民居住，环评要求：本项目养殖场卫生防护距离内今后禁止新建农户、医</w:t>
      </w:r>
      <w:r>
        <w:rPr>
          <w:rFonts w:ascii="宋体" w:hAnsi="宋体" w:eastAsia="宋体" w:cs="宋体"/>
          <w:sz w:val="23"/>
          <w:szCs w:val="23"/>
        </w:rPr>
        <w:t xml:space="preserve"> </w:t>
      </w:r>
      <w:r>
        <w:rPr>
          <w:rFonts w:ascii="宋体" w:hAnsi="宋体" w:eastAsia="宋体" w:cs="宋体"/>
          <w:spacing w:val="7"/>
          <w:sz w:val="23"/>
          <w:szCs w:val="23"/>
        </w:rPr>
        <w:t xml:space="preserve">院、学校等民用设施，周边 </w:t>
      </w:r>
      <w:r>
        <w:rPr>
          <w:rFonts w:ascii="Times New Roman" w:hAnsi="Times New Roman" w:eastAsia="Times New Roman" w:cs="Times New Roman"/>
          <w:spacing w:val="7"/>
          <w:sz w:val="23"/>
          <w:szCs w:val="23"/>
        </w:rPr>
        <w:t>100</w:t>
      </w:r>
      <w:r>
        <w:rPr>
          <w:rFonts w:ascii="Times New Roman" w:hAnsi="Times New Roman" w:eastAsia="Times New Roman" w:cs="Times New Roman"/>
          <w:sz w:val="23"/>
          <w:szCs w:val="23"/>
        </w:rPr>
        <w:t>m</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范围内，今后禁止规划为</w:t>
      </w:r>
      <w:r>
        <w:rPr>
          <w:rFonts w:ascii="Times New Roman" w:hAnsi="Times New Roman" w:eastAsia="Times New Roman" w:cs="Times New Roman"/>
          <w:spacing w:val="7"/>
          <w:sz w:val="23"/>
          <w:szCs w:val="23"/>
        </w:rPr>
        <w:t>“</w:t>
      </w:r>
      <w:r>
        <w:rPr>
          <w:rFonts w:ascii="宋体" w:hAnsi="宋体" w:eastAsia="宋体" w:cs="宋体"/>
          <w:spacing w:val="7"/>
          <w:sz w:val="23"/>
          <w:szCs w:val="23"/>
        </w:rPr>
        <w:t>城市和城镇居民区，</w:t>
      </w:r>
      <w:r>
        <w:rPr>
          <w:rFonts w:ascii="宋体" w:hAnsi="宋体" w:eastAsia="宋体" w:cs="宋体"/>
          <w:spacing w:val="4"/>
          <w:sz w:val="23"/>
          <w:szCs w:val="23"/>
        </w:rPr>
        <w:t>包</w:t>
      </w:r>
      <w:r>
        <w:rPr>
          <w:rFonts w:ascii="宋体" w:hAnsi="宋体" w:eastAsia="宋体" w:cs="宋体"/>
          <w:sz w:val="23"/>
          <w:szCs w:val="23"/>
        </w:rPr>
        <w:t xml:space="preserve"> </w:t>
      </w:r>
      <w:r>
        <w:rPr>
          <w:rFonts w:ascii="宋体" w:hAnsi="宋体" w:eastAsia="宋体" w:cs="宋体"/>
          <w:spacing w:val="14"/>
          <w:sz w:val="23"/>
          <w:szCs w:val="23"/>
        </w:rPr>
        <w:t>括文</w:t>
      </w:r>
      <w:r>
        <w:rPr>
          <w:rFonts w:ascii="宋体" w:hAnsi="宋体" w:eastAsia="宋体" w:cs="宋体"/>
          <w:spacing w:val="8"/>
          <w:sz w:val="23"/>
          <w:szCs w:val="23"/>
        </w:rPr>
        <w:t>教</w:t>
      </w:r>
      <w:r>
        <w:rPr>
          <w:rFonts w:ascii="宋体" w:hAnsi="宋体" w:eastAsia="宋体" w:cs="宋体"/>
          <w:spacing w:val="7"/>
          <w:sz w:val="23"/>
          <w:szCs w:val="23"/>
        </w:rPr>
        <w:t>科研区、医疗区、商业区、工业区、游览区等人口集中</w:t>
      </w:r>
      <w:r>
        <w:rPr>
          <w:rFonts w:ascii="Times New Roman" w:hAnsi="Times New Roman" w:eastAsia="Times New Roman" w:cs="Times New Roman"/>
          <w:spacing w:val="7"/>
          <w:sz w:val="23"/>
          <w:szCs w:val="23"/>
        </w:rPr>
        <w:t>”</w:t>
      </w:r>
      <w:r>
        <w:rPr>
          <w:rFonts w:ascii="宋体" w:hAnsi="宋体" w:eastAsia="宋体" w:cs="宋体"/>
          <w:spacing w:val="7"/>
          <w:sz w:val="23"/>
          <w:szCs w:val="23"/>
        </w:rPr>
        <w:t>等禁建设施。建设单</w:t>
      </w:r>
      <w:r>
        <w:rPr>
          <w:rFonts w:ascii="宋体" w:hAnsi="宋体" w:eastAsia="宋体" w:cs="宋体"/>
          <w:sz w:val="23"/>
          <w:szCs w:val="23"/>
        </w:rPr>
        <w:t xml:space="preserve"> </w:t>
      </w:r>
      <w:r>
        <w:rPr>
          <w:rFonts w:ascii="宋体" w:hAnsi="宋体" w:eastAsia="宋体" w:cs="宋体"/>
          <w:spacing w:val="20"/>
          <w:sz w:val="23"/>
          <w:szCs w:val="23"/>
        </w:rPr>
        <w:t>位</w:t>
      </w:r>
      <w:r>
        <w:rPr>
          <w:rFonts w:ascii="宋体" w:hAnsi="宋体" w:eastAsia="宋体" w:cs="宋体"/>
          <w:spacing w:val="16"/>
          <w:sz w:val="23"/>
          <w:szCs w:val="23"/>
        </w:rPr>
        <w:t>应</w:t>
      </w:r>
      <w:r>
        <w:rPr>
          <w:rFonts w:ascii="宋体" w:hAnsi="宋体" w:eastAsia="宋体" w:cs="宋体"/>
          <w:spacing w:val="10"/>
          <w:sz w:val="23"/>
          <w:szCs w:val="23"/>
        </w:rPr>
        <w:t>切实做好环境管理、加强与农户的沟通，尽可能减少恶臭气体对周边农户的影</w:t>
      </w:r>
      <w:r>
        <w:rPr>
          <w:rFonts w:ascii="宋体" w:hAnsi="宋体" w:eastAsia="宋体" w:cs="宋体"/>
          <w:sz w:val="23"/>
          <w:szCs w:val="23"/>
        </w:rPr>
        <w:t xml:space="preserve"> 响。</w:t>
      </w:r>
    </w:p>
    <w:p w14:paraId="2595CB23">
      <w:pPr>
        <w:spacing w:before="1" w:line="228" w:lineRule="auto"/>
        <w:ind w:left="609"/>
        <w:rPr>
          <w:rFonts w:ascii="宋体" w:hAnsi="宋体" w:eastAsia="宋体" w:cs="宋体"/>
          <w:sz w:val="23"/>
          <w:szCs w:val="23"/>
        </w:rPr>
      </w:pP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9"/>
          <w:sz w:val="23"/>
          <w:szCs w:val="23"/>
        </w:rPr>
        <w:t>11</w:t>
      </w: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宋体" w:hAnsi="宋体" w:eastAsia="宋体" w:cs="宋体"/>
          <w:spacing w:val="19"/>
          <w:sz w:val="23"/>
          <w:szCs w:val="23"/>
        </w:rPr>
        <w:t xml:space="preserve"> </w:t>
      </w:r>
      <w:r>
        <w:rPr>
          <w:rFonts w:ascii="宋体" w:hAnsi="宋体" w:eastAsia="宋体" w:cs="宋体"/>
          <w:spacing w:val="19"/>
          <w:sz w:val="23"/>
          <w:szCs w:val="23"/>
          <w14:textOutline w14:w="4356" w14:cap="sq" w14:cmpd="sng" w14:algn="ctr">
            <w14:solidFill>
              <w14:srgbClr w14:val="000000"/>
            </w14:solidFill>
            <w14:prstDash w14:val="solid"/>
            <w14:bevel/>
          </w14:textOutline>
        </w:rPr>
        <w:t>小结</w:t>
      </w:r>
    </w:p>
    <w:p w14:paraId="7E9EBA2E">
      <w:pPr>
        <w:spacing w:before="184" w:line="374" w:lineRule="auto"/>
        <w:ind w:left="117" w:right="504" w:firstLine="481"/>
        <w:rPr>
          <w:rFonts w:ascii="宋体" w:hAnsi="宋体" w:eastAsia="宋体" w:cs="宋体"/>
          <w:sz w:val="23"/>
          <w:szCs w:val="23"/>
        </w:rPr>
      </w:pPr>
      <w:r>
        <w:rPr>
          <w:rFonts w:ascii="宋体" w:hAnsi="宋体" w:eastAsia="宋体" w:cs="宋体"/>
          <w:spacing w:val="20"/>
          <w:sz w:val="23"/>
          <w:szCs w:val="23"/>
        </w:rPr>
        <w:t>本</w:t>
      </w:r>
      <w:r>
        <w:rPr>
          <w:rFonts w:ascii="宋体" w:hAnsi="宋体" w:eastAsia="宋体" w:cs="宋体"/>
          <w:spacing w:val="16"/>
          <w:sz w:val="23"/>
          <w:szCs w:val="23"/>
        </w:rPr>
        <w:t>项</w:t>
      </w:r>
      <w:r>
        <w:rPr>
          <w:rFonts w:ascii="宋体" w:hAnsi="宋体" w:eastAsia="宋体" w:cs="宋体"/>
          <w:spacing w:val="10"/>
          <w:sz w:val="23"/>
          <w:szCs w:val="23"/>
        </w:rPr>
        <w:t>目废气主要为猪舍、集污池、异位微生物发酵床发酵床产生的恶臭气体，</w:t>
      </w:r>
      <w:r>
        <w:rPr>
          <w:rFonts w:ascii="宋体" w:hAnsi="宋体" w:eastAsia="宋体" w:cs="宋体"/>
          <w:sz w:val="23"/>
          <w:szCs w:val="23"/>
        </w:rPr>
        <w:t xml:space="preserve"> </w:t>
      </w:r>
      <w:r>
        <w:rPr>
          <w:rFonts w:ascii="宋体" w:hAnsi="宋体" w:eastAsia="宋体" w:cs="宋体"/>
          <w:spacing w:val="20"/>
          <w:sz w:val="23"/>
          <w:szCs w:val="23"/>
        </w:rPr>
        <w:t>食</w:t>
      </w:r>
      <w:r>
        <w:rPr>
          <w:rFonts w:ascii="宋体" w:hAnsi="宋体" w:eastAsia="宋体" w:cs="宋体"/>
          <w:spacing w:val="17"/>
          <w:sz w:val="23"/>
          <w:szCs w:val="23"/>
        </w:rPr>
        <w:t>堂</w:t>
      </w:r>
      <w:r>
        <w:rPr>
          <w:rFonts w:ascii="宋体" w:hAnsi="宋体" w:eastAsia="宋体" w:cs="宋体"/>
          <w:spacing w:val="10"/>
          <w:sz w:val="23"/>
          <w:szCs w:val="23"/>
        </w:rPr>
        <w:t>油烟，项目产生的恶臭气体会对周边环境造成一定影响。根据预测结果，项目</w:t>
      </w:r>
      <w:r>
        <w:rPr>
          <w:rFonts w:ascii="宋体" w:hAnsi="宋体" w:eastAsia="宋体" w:cs="宋体"/>
          <w:sz w:val="23"/>
          <w:szCs w:val="23"/>
        </w:rPr>
        <w:t xml:space="preserve"> </w:t>
      </w:r>
      <w:r>
        <w:rPr>
          <w:rFonts w:ascii="宋体" w:hAnsi="宋体" w:eastAsia="宋体" w:cs="宋体"/>
          <w:spacing w:val="18"/>
          <w:sz w:val="23"/>
          <w:szCs w:val="23"/>
        </w:rPr>
        <w:t>在</w:t>
      </w:r>
      <w:r>
        <w:rPr>
          <w:rFonts w:ascii="宋体" w:hAnsi="宋体" w:eastAsia="宋体" w:cs="宋体"/>
          <w:spacing w:val="15"/>
          <w:sz w:val="23"/>
          <w:szCs w:val="23"/>
        </w:rPr>
        <w:t>采</w:t>
      </w:r>
      <w:r>
        <w:rPr>
          <w:rFonts w:ascii="宋体" w:hAnsi="宋体" w:eastAsia="宋体" w:cs="宋体"/>
          <w:spacing w:val="9"/>
          <w:sz w:val="23"/>
          <w:szCs w:val="23"/>
        </w:rPr>
        <w:t>取添加活菌剂、加强通风、喷洒除臭剂等措施后，对周边环境影响不大。</w:t>
      </w:r>
    </w:p>
    <w:p w14:paraId="2A5966F5">
      <w:pPr>
        <w:spacing w:before="1" w:line="227" w:lineRule="auto"/>
        <w:ind w:left="116"/>
        <w:outlineLvl w:val="2"/>
        <w:rPr>
          <w:rFonts w:ascii="宋体" w:hAnsi="宋体" w:eastAsia="宋体" w:cs="宋体"/>
          <w:sz w:val="23"/>
          <w:szCs w:val="23"/>
        </w:rPr>
      </w:pPr>
      <w:r>
        <w:rPr>
          <w:rFonts w:ascii="Times New Roman" w:hAnsi="Times New Roman" w:eastAsia="Times New Roman" w:cs="Times New Roman"/>
          <w:b/>
          <w:bCs/>
          <w:spacing w:val="12"/>
          <w:sz w:val="23"/>
          <w:szCs w:val="23"/>
        </w:rPr>
        <w:t>5</w:t>
      </w:r>
      <w:r>
        <w:rPr>
          <w:rFonts w:ascii="Times New Roman" w:hAnsi="Times New Roman" w:eastAsia="Times New Roman" w:cs="Times New Roman"/>
          <w:b/>
          <w:bCs/>
          <w:spacing w:val="7"/>
          <w:sz w:val="23"/>
          <w:szCs w:val="23"/>
        </w:rPr>
        <w:t>.</w:t>
      </w:r>
      <w:r>
        <w:rPr>
          <w:rFonts w:ascii="Times New Roman" w:hAnsi="Times New Roman" w:eastAsia="Times New Roman" w:cs="Times New Roman"/>
          <w:b/>
          <w:bCs/>
          <w:spacing w:val="6"/>
          <w:sz w:val="23"/>
          <w:szCs w:val="23"/>
        </w:rPr>
        <w:t>2.2</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水环境影响分析</w:t>
      </w:r>
    </w:p>
    <w:p w14:paraId="42CF7C60">
      <w:pPr>
        <w:spacing w:before="185" w:line="227" w:lineRule="auto"/>
        <w:ind w:left="116"/>
        <w:outlineLvl w:val="3"/>
        <w:rPr>
          <w:rFonts w:ascii="宋体" w:hAnsi="宋体" w:eastAsia="宋体" w:cs="宋体"/>
          <w:sz w:val="23"/>
          <w:szCs w:val="23"/>
        </w:rPr>
      </w:pPr>
      <w:r>
        <w:rPr>
          <w:rFonts w:ascii="Times New Roman" w:hAnsi="Times New Roman" w:eastAsia="Times New Roman" w:cs="Times New Roman"/>
          <w:b/>
          <w:bCs/>
          <w:spacing w:val="12"/>
          <w:sz w:val="23"/>
          <w:szCs w:val="23"/>
        </w:rPr>
        <w:t>5.</w:t>
      </w:r>
      <w:r>
        <w:rPr>
          <w:rFonts w:ascii="Times New Roman" w:hAnsi="Times New Roman" w:eastAsia="Times New Roman" w:cs="Times New Roman"/>
          <w:b/>
          <w:bCs/>
          <w:spacing w:val="7"/>
          <w:sz w:val="23"/>
          <w:szCs w:val="23"/>
        </w:rPr>
        <w:t>2</w:t>
      </w:r>
      <w:r>
        <w:rPr>
          <w:rFonts w:ascii="Times New Roman" w:hAnsi="Times New Roman" w:eastAsia="Times New Roman" w:cs="Times New Roman"/>
          <w:b/>
          <w:bCs/>
          <w:spacing w:val="6"/>
          <w:sz w:val="23"/>
          <w:szCs w:val="23"/>
        </w:rPr>
        <w:t>.2.1</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地表水环境影响分析</w:t>
      </w:r>
    </w:p>
    <w:p w14:paraId="2CE351A2">
      <w:pPr>
        <w:sectPr>
          <w:footerReference r:id="rId196" w:type="default"/>
          <w:pgSz w:w="11907" w:h="16840"/>
          <w:pgMar w:top="400" w:right="1075" w:bottom="1485" w:left="1551" w:header="0" w:footer="1298" w:gutter="0"/>
          <w:cols w:space="720" w:num="1"/>
        </w:sectPr>
      </w:pPr>
    </w:p>
    <w:p w14:paraId="27BF76C4">
      <w:pPr>
        <w:spacing w:before="38" w:line="375" w:lineRule="auto"/>
        <w:ind w:left="9" w:firstLine="480"/>
        <w:rPr>
          <w:rFonts w:ascii="宋体" w:hAnsi="宋体" w:eastAsia="宋体" w:cs="宋体"/>
          <w:sz w:val="23"/>
          <w:szCs w:val="23"/>
        </w:rPr>
      </w:pPr>
      <w:r>
        <w:rPr>
          <w:rFonts w:ascii="宋体" w:hAnsi="宋体" w:eastAsia="宋体" w:cs="宋体"/>
          <w:spacing w:val="12"/>
          <w:sz w:val="23"/>
          <w:szCs w:val="23"/>
        </w:rPr>
        <w:t>根据前面</w:t>
      </w:r>
      <w:r>
        <w:rPr>
          <w:rFonts w:ascii="宋体" w:hAnsi="宋体" w:eastAsia="宋体" w:cs="宋体"/>
          <w:spacing w:val="9"/>
          <w:sz w:val="23"/>
          <w:szCs w:val="23"/>
        </w:rPr>
        <w:t xml:space="preserve"> </w:t>
      </w:r>
      <w:r>
        <w:rPr>
          <w:rFonts w:ascii="Times New Roman" w:hAnsi="Times New Roman" w:eastAsia="Times New Roman" w:cs="Times New Roman"/>
          <w:spacing w:val="6"/>
          <w:sz w:val="23"/>
          <w:szCs w:val="23"/>
        </w:rPr>
        <w:t xml:space="preserve">1.5.2 </w:t>
      </w:r>
      <w:r>
        <w:rPr>
          <w:rFonts w:ascii="宋体" w:hAnsi="宋体" w:eastAsia="宋体" w:cs="宋体"/>
          <w:spacing w:val="6"/>
          <w:sz w:val="23"/>
          <w:szCs w:val="23"/>
        </w:rPr>
        <w:t>评价等级判断 (</w:t>
      </w:r>
      <w:r>
        <w:rPr>
          <w:rFonts w:ascii="Times New Roman" w:hAnsi="Times New Roman" w:eastAsia="Times New Roman" w:cs="Times New Roman"/>
          <w:spacing w:val="6"/>
          <w:sz w:val="23"/>
          <w:szCs w:val="23"/>
        </w:rPr>
        <w:t>1</w:t>
      </w:r>
      <w:r>
        <w:rPr>
          <w:rFonts w:ascii="宋体" w:hAnsi="宋体" w:eastAsia="宋体" w:cs="宋体"/>
          <w:spacing w:val="6"/>
          <w:sz w:val="23"/>
          <w:szCs w:val="23"/>
        </w:rPr>
        <w:t>) 地表水环境影响评价等级可知，本项目地表</w:t>
      </w:r>
      <w:r>
        <w:rPr>
          <w:rFonts w:ascii="宋体" w:hAnsi="宋体" w:eastAsia="宋体" w:cs="宋体"/>
          <w:sz w:val="23"/>
          <w:szCs w:val="23"/>
        </w:rPr>
        <w:t xml:space="preserve"> </w:t>
      </w:r>
      <w:r>
        <w:rPr>
          <w:rFonts w:ascii="宋体" w:hAnsi="宋体" w:eastAsia="宋体" w:cs="宋体"/>
          <w:spacing w:val="4"/>
          <w:sz w:val="23"/>
          <w:szCs w:val="23"/>
        </w:rPr>
        <w:t>水评价等级为三级</w:t>
      </w:r>
      <w:r>
        <w:rPr>
          <w:rFonts w:ascii="宋体" w:hAnsi="宋体" w:eastAsia="宋体" w:cs="宋体"/>
          <w:spacing w:val="2"/>
          <w:sz w:val="23"/>
          <w:szCs w:val="23"/>
        </w:rPr>
        <w:t xml:space="preserve"> </w:t>
      </w:r>
      <w:r>
        <w:rPr>
          <w:rFonts w:ascii="Times New Roman" w:hAnsi="Times New Roman" w:eastAsia="Times New Roman" w:cs="Times New Roman"/>
          <w:sz w:val="23"/>
          <w:szCs w:val="23"/>
        </w:rPr>
        <w:t>B</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。根据《环境影响评价技术导则  地表水环境》  (</w:t>
      </w:r>
      <w:r>
        <w:rPr>
          <w:rFonts w:ascii="Times New Roman" w:hAnsi="Times New Roman" w:eastAsia="Times New Roman" w:cs="Times New Roman"/>
          <w:sz w:val="23"/>
          <w:szCs w:val="23"/>
        </w:rPr>
        <w:t>HJ</w:t>
      </w:r>
      <w:r>
        <w:rPr>
          <w:rFonts w:ascii="Times New Roman" w:hAnsi="Times New Roman" w:eastAsia="Times New Roman" w:cs="Times New Roman"/>
          <w:spacing w:val="2"/>
          <w:sz w:val="23"/>
          <w:szCs w:val="23"/>
        </w:rPr>
        <w:t>2.3-2018</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8"/>
          <w:sz w:val="23"/>
          <w:szCs w:val="23"/>
        </w:rPr>
        <w:t>中</w:t>
      </w:r>
      <w:r>
        <w:rPr>
          <w:rFonts w:ascii="宋体" w:hAnsi="宋体" w:eastAsia="宋体" w:cs="宋体"/>
          <w:spacing w:val="6"/>
          <w:sz w:val="23"/>
          <w:szCs w:val="23"/>
        </w:rPr>
        <w:t xml:space="preserve"> </w:t>
      </w:r>
      <w:r>
        <w:rPr>
          <w:rFonts w:ascii="Times New Roman" w:hAnsi="Times New Roman" w:eastAsia="Times New Roman" w:cs="Times New Roman"/>
          <w:spacing w:val="4"/>
          <w:sz w:val="23"/>
          <w:szCs w:val="23"/>
        </w:rPr>
        <w:t xml:space="preserve">7. 1.2 </w:t>
      </w:r>
      <w:r>
        <w:rPr>
          <w:rFonts w:ascii="宋体" w:hAnsi="宋体" w:eastAsia="宋体" w:cs="宋体"/>
          <w:spacing w:val="4"/>
          <w:sz w:val="23"/>
          <w:szCs w:val="23"/>
        </w:rPr>
        <w:t xml:space="preserve">三级 </w:t>
      </w:r>
      <w:r>
        <w:rPr>
          <w:rFonts w:ascii="Times New Roman" w:hAnsi="Times New Roman" w:eastAsia="Times New Roman" w:cs="Times New Roman"/>
          <w:sz w:val="23"/>
          <w:szCs w:val="23"/>
        </w:rPr>
        <w:t>B</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评价，可不进行水环境影响预测。本项目生活污水与养殖废水分开</w:t>
      </w:r>
      <w:r>
        <w:rPr>
          <w:rFonts w:ascii="宋体" w:hAnsi="宋体" w:eastAsia="宋体" w:cs="宋体"/>
          <w:sz w:val="23"/>
          <w:szCs w:val="23"/>
        </w:rPr>
        <w:t xml:space="preserve"> </w:t>
      </w:r>
      <w:r>
        <w:rPr>
          <w:rFonts w:ascii="宋体" w:hAnsi="宋体" w:eastAsia="宋体" w:cs="宋体"/>
          <w:spacing w:val="18"/>
          <w:sz w:val="23"/>
          <w:szCs w:val="23"/>
        </w:rPr>
        <w:t>处</w:t>
      </w:r>
      <w:r>
        <w:rPr>
          <w:rFonts w:ascii="宋体" w:hAnsi="宋体" w:eastAsia="宋体" w:cs="宋体"/>
          <w:spacing w:val="9"/>
          <w:sz w:val="23"/>
          <w:szCs w:val="23"/>
        </w:rPr>
        <w:t>置，生活污水经化粪池 (其中餐饮废水先经隔油池隔油处理再进入化粪池) 收集</w:t>
      </w:r>
      <w:r>
        <w:rPr>
          <w:rFonts w:ascii="宋体" w:hAnsi="宋体" w:eastAsia="宋体" w:cs="宋体"/>
          <w:sz w:val="23"/>
          <w:szCs w:val="23"/>
        </w:rPr>
        <w:t xml:space="preserve"> </w:t>
      </w:r>
      <w:r>
        <w:rPr>
          <w:rFonts w:ascii="宋体" w:hAnsi="宋体" w:eastAsia="宋体" w:cs="宋体"/>
          <w:spacing w:val="18"/>
          <w:sz w:val="23"/>
          <w:szCs w:val="23"/>
        </w:rPr>
        <w:t>后用作</w:t>
      </w:r>
      <w:r>
        <w:rPr>
          <w:rFonts w:ascii="宋体" w:hAnsi="宋体" w:eastAsia="宋体" w:cs="宋体"/>
          <w:spacing w:val="9"/>
          <w:sz w:val="23"/>
          <w:szCs w:val="23"/>
        </w:rPr>
        <w:t>自家林地灌溉，不外排；养殖废水目前拟每日运输至乐山乐高勤力生物质能</w:t>
      </w:r>
      <w:r>
        <w:rPr>
          <w:rFonts w:ascii="宋体" w:hAnsi="宋体" w:eastAsia="宋体" w:cs="宋体"/>
          <w:sz w:val="23"/>
          <w:szCs w:val="23"/>
        </w:rPr>
        <w:t xml:space="preserve"> </w:t>
      </w:r>
      <w:r>
        <w:rPr>
          <w:rFonts w:ascii="宋体" w:hAnsi="宋体" w:eastAsia="宋体" w:cs="宋体"/>
          <w:spacing w:val="8"/>
          <w:sz w:val="23"/>
          <w:szCs w:val="23"/>
        </w:rPr>
        <w:t>源</w:t>
      </w:r>
      <w:r>
        <w:rPr>
          <w:rFonts w:ascii="宋体" w:hAnsi="宋体" w:eastAsia="宋体" w:cs="宋体"/>
          <w:spacing w:val="6"/>
          <w:sz w:val="23"/>
          <w:szCs w:val="23"/>
        </w:rPr>
        <w:t>综合利用有限公司集中处置 (已签订收纳协议) ， 日产日清，同时，厂区还配套</w:t>
      </w:r>
      <w:r>
        <w:rPr>
          <w:rFonts w:ascii="宋体" w:hAnsi="宋体" w:eastAsia="宋体" w:cs="宋体"/>
          <w:sz w:val="23"/>
          <w:szCs w:val="23"/>
        </w:rPr>
        <w:t xml:space="preserve"> </w:t>
      </w:r>
      <w:r>
        <w:rPr>
          <w:rFonts w:ascii="宋体" w:hAnsi="宋体" w:eastAsia="宋体" w:cs="宋体"/>
          <w:spacing w:val="6"/>
          <w:sz w:val="23"/>
          <w:szCs w:val="23"/>
        </w:rPr>
        <w:t>建</w:t>
      </w:r>
      <w:r>
        <w:rPr>
          <w:rFonts w:ascii="宋体" w:hAnsi="宋体" w:eastAsia="宋体" w:cs="宋体"/>
          <w:spacing w:val="5"/>
          <w:sz w:val="23"/>
          <w:szCs w:val="23"/>
        </w:rPr>
        <w:t xml:space="preserve">设有一 </w:t>
      </w:r>
      <w:r>
        <w:rPr>
          <w:rFonts w:ascii="Times New Roman" w:hAnsi="Times New Roman" w:eastAsia="Times New Roman" w:cs="Times New Roman"/>
          <w:spacing w:val="5"/>
          <w:sz w:val="23"/>
          <w:szCs w:val="23"/>
        </w:rPr>
        <w:t>1600</w:t>
      </w:r>
      <w:r>
        <w:rPr>
          <w:rFonts w:ascii="Times New Roman" w:hAnsi="Times New Roman" w:eastAsia="Times New Roman" w:cs="Times New Roman"/>
          <w:sz w:val="23"/>
          <w:szCs w:val="23"/>
        </w:rPr>
        <w:t>m</w:t>
      </w:r>
      <w:r>
        <w:rPr>
          <w:rFonts w:ascii="Times New Roman" w:hAnsi="Times New Roman" w:eastAsia="Times New Roman" w:cs="Times New Roman"/>
          <w:spacing w:val="5"/>
          <w:position w:val="8"/>
          <w:sz w:val="15"/>
          <w:szCs w:val="15"/>
        </w:rPr>
        <w:t xml:space="preserve">2 </w:t>
      </w:r>
      <w:r>
        <w:rPr>
          <w:rFonts w:ascii="宋体" w:hAnsi="宋体" w:eastAsia="宋体" w:cs="宋体"/>
          <w:spacing w:val="5"/>
          <w:sz w:val="23"/>
          <w:szCs w:val="23"/>
        </w:rPr>
        <w:t>的发酵床备用，若后期乐山乐高勤力生物质能源综合利用有限公司</w:t>
      </w:r>
      <w:r>
        <w:rPr>
          <w:rFonts w:ascii="宋体" w:hAnsi="宋体" w:eastAsia="宋体" w:cs="宋体"/>
          <w:sz w:val="23"/>
          <w:szCs w:val="23"/>
        </w:rPr>
        <w:t xml:space="preserve"> </w:t>
      </w:r>
      <w:r>
        <w:rPr>
          <w:rFonts w:ascii="宋体" w:hAnsi="宋体" w:eastAsia="宋体" w:cs="宋体"/>
          <w:spacing w:val="18"/>
          <w:sz w:val="23"/>
          <w:szCs w:val="23"/>
        </w:rPr>
        <w:t>不再回</w:t>
      </w:r>
      <w:r>
        <w:rPr>
          <w:rFonts w:ascii="宋体" w:hAnsi="宋体" w:eastAsia="宋体" w:cs="宋体"/>
          <w:spacing w:val="9"/>
          <w:sz w:val="23"/>
          <w:szCs w:val="23"/>
        </w:rPr>
        <w:t>收厂区内的养殖废水，可将通过异位发酵床自行处置，处理产生的有机肥外</w:t>
      </w:r>
      <w:r>
        <w:rPr>
          <w:rFonts w:ascii="宋体" w:hAnsi="宋体" w:eastAsia="宋体" w:cs="宋体"/>
          <w:sz w:val="23"/>
          <w:szCs w:val="23"/>
        </w:rPr>
        <w:t xml:space="preserve"> </w:t>
      </w:r>
      <w:r>
        <w:rPr>
          <w:rFonts w:ascii="宋体" w:hAnsi="宋体" w:eastAsia="宋体" w:cs="宋体"/>
          <w:spacing w:val="18"/>
          <w:sz w:val="23"/>
          <w:szCs w:val="23"/>
        </w:rPr>
        <w:t>售处理</w:t>
      </w:r>
      <w:r>
        <w:rPr>
          <w:rFonts w:ascii="宋体" w:hAnsi="宋体" w:eastAsia="宋体" w:cs="宋体"/>
          <w:spacing w:val="9"/>
          <w:sz w:val="23"/>
          <w:szCs w:val="23"/>
        </w:rPr>
        <w:t>，两种养殖废水处置方式均能做到废水零排放。因此本报告不进行水环境影</w:t>
      </w:r>
      <w:r>
        <w:rPr>
          <w:rFonts w:ascii="宋体" w:hAnsi="宋体" w:eastAsia="宋体" w:cs="宋体"/>
          <w:sz w:val="23"/>
          <w:szCs w:val="23"/>
        </w:rPr>
        <w:t xml:space="preserve"> </w:t>
      </w:r>
      <w:r>
        <w:rPr>
          <w:rFonts w:ascii="宋体" w:hAnsi="宋体" w:eastAsia="宋体" w:cs="宋体"/>
          <w:spacing w:val="6"/>
          <w:sz w:val="23"/>
          <w:szCs w:val="23"/>
        </w:rPr>
        <w:t>响</w:t>
      </w:r>
      <w:r>
        <w:rPr>
          <w:rFonts w:ascii="宋体" w:hAnsi="宋体" w:eastAsia="宋体" w:cs="宋体"/>
          <w:spacing w:val="5"/>
          <w:sz w:val="23"/>
          <w:szCs w:val="23"/>
        </w:rPr>
        <w:t>预测。</w:t>
      </w:r>
    </w:p>
    <w:p w14:paraId="773BF88B">
      <w:pPr>
        <w:spacing w:before="1" w:line="374" w:lineRule="auto"/>
        <w:ind w:left="10" w:right="96" w:firstLine="482"/>
        <w:rPr>
          <w:rFonts w:ascii="宋体" w:hAnsi="宋体" w:eastAsia="宋体" w:cs="宋体"/>
          <w:sz w:val="23"/>
          <w:szCs w:val="23"/>
        </w:rPr>
      </w:pPr>
      <w:r>
        <w:rPr>
          <w:rFonts w:ascii="宋体" w:hAnsi="宋体" w:eastAsia="宋体" w:cs="宋体"/>
          <w:spacing w:val="20"/>
          <w:sz w:val="23"/>
          <w:szCs w:val="23"/>
        </w:rPr>
        <w:t>水</w:t>
      </w:r>
      <w:r>
        <w:rPr>
          <w:rFonts w:ascii="宋体" w:hAnsi="宋体" w:eastAsia="宋体" w:cs="宋体"/>
          <w:spacing w:val="14"/>
          <w:sz w:val="23"/>
          <w:szCs w:val="23"/>
        </w:rPr>
        <w:t>帘</w:t>
      </w:r>
      <w:r>
        <w:rPr>
          <w:rFonts w:ascii="宋体" w:hAnsi="宋体" w:eastAsia="宋体" w:cs="宋体"/>
          <w:spacing w:val="10"/>
          <w:sz w:val="23"/>
          <w:szCs w:val="23"/>
        </w:rPr>
        <w:t>降温系统用水通过圈舍门口设置循环水池，循环使用，每天进行新鲜水的</w:t>
      </w:r>
      <w:r>
        <w:rPr>
          <w:rFonts w:ascii="宋体" w:hAnsi="宋体" w:eastAsia="宋体" w:cs="宋体"/>
          <w:sz w:val="23"/>
          <w:szCs w:val="23"/>
        </w:rPr>
        <w:t xml:space="preserve"> </w:t>
      </w:r>
      <w:r>
        <w:rPr>
          <w:rFonts w:ascii="宋体" w:hAnsi="宋体" w:eastAsia="宋体" w:cs="宋体"/>
          <w:spacing w:val="4"/>
          <w:sz w:val="23"/>
          <w:szCs w:val="23"/>
        </w:rPr>
        <w:t>补</w:t>
      </w:r>
      <w:r>
        <w:rPr>
          <w:rFonts w:ascii="宋体" w:hAnsi="宋体" w:eastAsia="宋体" w:cs="宋体"/>
          <w:spacing w:val="3"/>
          <w:sz w:val="23"/>
          <w:szCs w:val="23"/>
        </w:rPr>
        <w:t>给。</w:t>
      </w:r>
    </w:p>
    <w:p w14:paraId="52BAE74E">
      <w:pPr>
        <w:spacing w:line="465" w:lineRule="exact"/>
        <w:ind w:left="491"/>
        <w:rPr>
          <w:rFonts w:ascii="宋体" w:hAnsi="宋体" w:eastAsia="宋体" w:cs="宋体"/>
          <w:sz w:val="23"/>
          <w:szCs w:val="23"/>
        </w:rPr>
      </w:pPr>
      <w:r>
        <w:rPr>
          <w:rFonts w:ascii="宋体" w:hAnsi="宋体" w:eastAsia="宋体" w:cs="宋体"/>
          <w:spacing w:val="14"/>
          <w:position w:val="17"/>
          <w:sz w:val="23"/>
          <w:szCs w:val="23"/>
        </w:rPr>
        <w:t>本</w:t>
      </w:r>
      <w:r>
        <w:rPr>
          <w:rFonts w:ascii="宋体" w:hAnsi="宋体" w:eastAsia="宋体" w:cs="宋体"/>
          <w:spacing w:val="10"/>
          <w:position w:val="17"/>
          <w:sz w:val="23"/>
          <w:szCs w:val="23"/>
        </w:rPr>
        <w:t>项目产生的废水主要为养殖废水 (包括猪饮用、圈舍冲洗产生的废水) 、员</w:t>
      </w:r>
    </w:p>
    <w:p w14:paraId="67486A15">
      <w:pPr>
        <w:spacing w:line="227" w:lineRule="auto"/>
        <w:ind w:left="13"/>
        <w:rPr>
          <w:rFonts w:ascii="宋体" w:hAnsi="宋体" w:eastAsia="宋体" w:cs="宋体"/>
          <w:sz w:val="23"/>
          <w:szCs w:val="23"/>
        </w:rPr>
      </w:pPr>
      <w:r>
        <w:rPr>
          <w:rFonts w:ascii="宋体" w:hAnsi="宋体" w:eastAsia="宋体" w:cs="宋体"/>
          <w:spacing w:val="11"/>
          <w:sz w:val="23"/>
          <w:szCs w:val="23"/>
        </w:rPr>
        <w:t>工</w:t>
      </w:r>
      <w:r>
        <w:rPr>
          <w:rFonts w:ascii="宋体" w:hAnsi="宋体" w:eastAsia="宋体" w:cs="宋体"/>
          <w:spacing w:val="8"/>
          <w:sz w:val="23"/>
          <w:szCs w:val="23"/>
        </w:rPr>
        <w:t>日常生活废水、餐饮废水。</w:t>
      </w:r>
    </w:p>
    <w:p w14:paraId="601AA428">
      <w:pPr>
        <w:spacing w:before="142" w:line="386" w:lineRule="auto"/>
        <w:ind w:left="9" w:right="91" w:firstLine="482"/>
        <w:rPr>
          <w:rFonts w:ascii="宋体" w:hAnsi="宋体" w:eastAsia="宋体" w:cs="宋体"/>
          <w:sz w:val="23"/>
          <w:szCs w:val="23"/>
        </w:rPr>
      </w:pPr>
      <w:r>
        <w:rPr>
          <w:rFonts w:ascii="宋体" w:hAnsi="宋体" w:eastAsia="宋体" w:cs="宋体"/>
          <w:spacing w:val="2"/>
          <w:sz w:val="23"/>
          <w:szCs w:val="23"/>
        </w:rPr>
        <w:t xml:space="preserve">生活污水 (包含餐饮废水) 的产生量为 </w:t>
      </w:r>
      <w:r>
        <w:rPr>
          <w:rFonts w:ascii="Times New Roman" w:hAnsi="Times New Roman" w:eastAsia="Times New Roman" w:cs="Times New Roman"/>
          <w:spacing w:val="2"/>
          <w:sz w:val="23"/>
          <w:szCs w:val="23"/>
        </w:rPr>
        <w:t>0.85</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w:t>
      </w:r>
      <w:r>
        <w:rPr>
          <w:rFonts w:ascii="Times New Roman" w:hAnsi="Times New Roman" w:eastAsia="Times New Roman" w:cs="Times New Roman"/>
          <w:spacing w:val="2"/>
          <w:sz w:val="23"/>
          <w:szCs w:val="23"/>
        </w:rPr>
        <w:t>310.25</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，主要污</w:t>
      </w:r>
      <w:r>
        <w:rPr>
          <w:rFonts w:ascii="宋体" w:hAnsi="宋体" w:eastAsia="宋体" w:cs="宋体"/>
          <w:sz w:val="23"/>
          <w:szCs w:val="23"/>
        </w:rPr>
        <w:t xml:space="preserve">染因子为 </w:t>
      </w:r>
      <w:r>
        <w:rPr>
          <w:rFonts w:ascii="Times New Roman" w:hAnsi="Times New Roman" w:eastAsia="Times New Roman" w:cs="Times New Roman"/>
          <w:sz w:val="23"/>
          <w:szCs w:val="23"/>
        </w:rPr>
        <w:t>COD</w:t>
      </w:r>
      <w:r>
        <w:rPr>
          <w:rFonts w:ascii="Times New Roman" w:hAnsi="Times New Roman" w:eastAsia="Times New Roman" w:cs="Times New Roman"/>
          <w:position w:val="-1"/>
          <w:sz w:val="15"/>
          <w:szCs w:val="15"/>
        </w:rPr>
        <w:t>Cr</w:t>
      </w:r>
      <w:r>
        <w:rPr>
          <w:rFonts w:ascii="Times New Roman" w:hAnsi="Times New Roman" w:eastAsia="Times New Roman" w:cs="Times New Roman"/>
          <w:spacing w:val="8"/>
          <w:position w:val="-1"/>
          <w:sz w:val="15"/>
          <w:szCs w:val="15"/>
        </w:rPr>
        <w:t xml:space="preserve"> </w:t>
      </w:r>
      <w:r>
        <w:rPr>
          <w:rFonts w:ascii="宋体" w:hAnsi="宋体" w:eastAsia="宋体" w:cs="宋体"/>
          <w:spacing w:val="5"/>
          <w:sz w:val="23"/>
          <w:szCs w:val="23"/>
        </w:rPr>
        <w:t>、</w:t>
      </w:r>
      <w:r>
        <w:rPr>
          <w:rFonts w:ascii="Times New Roman" w:hAnsi="Times New Roman" w:eastAsia="Times New Roman" w:cs="Times New Roman"/>
          <w:sz w:val="23"/>
          <w:szCs w:val="23"/>
        </w:rPr>
        <w:t>BOD</w:t>
      </w:r>
      <w:r>
        <w:rPr>
          <w:rFonts w:ascii="Times New Roman" w:hAnsi="Times New Roman" w:eastAsia="Times New Roman" w:cs="Times New Roman"/>
          <w:spacing w:val="5"/>
          <w:position w:val="-1"/>
          <w:sz w:val="15"/>
          <w:szCs w:val="15"/>
        </w:rPr>
        <w:t xml:space="preserve">5 </w:t>
      </w:r>
      <w:r>
        <w:rPr>
          <w:rFonts w:ascii="宋体" w:hAnsi="宋体" w:eastAsia="宋体" w:cs="宋体"/>
          <w:spacing w:val="5"/>
          <w:sz w:val="23"/>
          <w:szCs w:val="23"/>
        </w:rPr>
        <w:t>、</w:t>
      </w:r>
      <w:r>
        <w:rPr>
          <w:rFonts w:ascii="Times New Roman" w:hAnsi="Times New Roman" w:eastAsia="Times New Roman" w:cs="Times New Roman"/>
          <w:sz w:val="23"/>
          <w:szCs w:val="23"/>
        </w:rPr>
        <w:t>SS</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、氨氮、动植物油等。生活污水通过化粪池处理后 (其中餐饮废</w:t>
      </w:r>
      <w:r>
        <w:rPr>
          <w:rFonts w:ascii="宋体" w:hAnsi="宋体" w:eastAsia="宋体" w:cs="宋体"/>
          <w:sz w:val="23"/>
          <w:szCs w:val="23"/>
        </w:rPr>
        <w:t xml:space="preserve"> </w:t>
      </w:r>
      <w:r>
        <w:rPr>
          <w:rFonts w:ascii="宋体" w:hAnsi="宋体" w:eastAsia="宋体" w:cs="宋体"/>
          <w:spacing w:val="11"/>
          <w:sz w:val="23"/>
          <w:szCs w:val="23"/>
        </w:rPr>
        <w:t>水</w:t>
      </w:r>
      <w:r>
        <w:rPr>
          <w:rFonts w:ascii="宋体" w:hAnsi="宋体" w:eastAsia="宋体" w:cs="宋体"/>
          <w:spacing w:val="9"/>
          <w:sz w:val="23"/>
          <w:szCs w:val="23"/>
        </w:rPr>
        <w:t>先经隔油池隔油处理再进入化粪池) 用作自家林地灌溉，不外排。</w:t>
      </w:r>
    </w:p>
    <w:p w14:paraId="79188E62">
      <w:pPr>
        <w:spacing w:before="7" w:line="374" w:lineRule="auto"/>
        <w:ind w:left="8" w:right="16" w:firstLine="482"/>
        <w:rPr>
          <w:rFonts w:ascii="宋体" w:hAnsi="宋体" w:eastAsia="宋体" w:cs="宋体"/>
          <w:sz w:val="23"/>
          <w:szCs w:val="23"/>
        </w:rPr>
      </w:pPr>
      <w:r>
        <w:rPr>
          <w:rFonts w:ascii="宋体" w:hAnsi="宋体" w:eastAsia="宋体" w:cs="宋体"/>
          <w:spacing w:val="20"/>
          <w:sz w:val="23"/>
          <w:szCs w:val="23"/>
        </w:rPr>
        <w:t>养</w:t>
      </w:r>
      <w:r>
        <w:rPr>
          <w:rFonts w:ascii="宋体" w:hAnsi="宋体" w:eastAsia="宋体" w:cs="宋体"/>
          <w:spacing w:val="15"/>
          <w:sz w:val="23"/>
          <w:szCs w:val="23"/>
        </w:rPr>
        <w:t>殖</w:t>
      </w:r>
      <w:r>
        <w:rPr>
          <w:rFonts w:ascii="宋体" w:hAnsi="宋体" w:eastAsia="宋体" w:cs="宋体"/>
          <w:spacing w:val="10"/>
          <w:sz w:val="23"/>
          <w:szCs w:val="23"/>
        </w:rPr>
        <w:t>废水有机物浓度高、悬浮物多、氨氮含量大、臭味大。污水中主要污染物</w:t>
      </w:r>
      <w:r>
        <w:rPr>
          <w:rFonts w:ascii="宋体" w:hAnsi="宋体" w:eastAsia="宋体" w:cs="宋体"/>
          <w:sz w:val="23"/>
          <w:szCs w:val="23"/>
        </w:rPr>
        <w:t xml:space="preserve"> </w:t>
      </w:r>
      <w:r>
        <w:rPr>
          <w:rFonts w:ascii="宋体" w:hAnsi="宋体" w:eastAsia="宋体" w:cs="宋体"/>
          <w:spacing w:val="12"/>
          <w:sz w:val="23"/>
          <w:szCs w:val="23"/>
        </w:rPr>
        <w:t xml:space="preserve">质为高浓度的 </w:t>
      </w:r>
      <w:r>
        <w:rPr>
          <w:rFonts w:ascii="Times New Roman" w:hAnsi="Times New Roman" w:eastAsia="Times New Roman" w:cs="Times New Roman"/>
          <w:sz w:val="23"/>
          <w:szCs w:val="23"/>
        </w:rPr>
        <w:t>COD</w:t>
      </w:r>
      <w:r>
        <w:rPr>
          <w:rFonts w:ascii="Times New Roman" w:hAnsi="Times New Roman" w:eastAsia="Times New Roman" w:cs="Times New Roman"/>
          <w:spacing w:val="12"/>
          <w:sz w:val="23"/>
          <w:szCs w:val="23"/>
        </w:rPr>
        <w:t xml:space="preserve"> </w:t>
      </w:r>
      <w:r>
        <w:rPr>
          <w:rFonts w:ascii="宋体" w:hAnsi="宋体" w:eastAsia="宋体" w:cs="宋体"/>
          <w:spacing w:val="12"/>
          <w:sz w:val="23"/>
          <w:szCs w:val="23"/>
        </w:rPr>
        <w:t>、</w:t>
      </w:r>
      <w:r>
        <w:rPr>
          <w:rFonts w:ascii="Times New Roman" w:hAnsi="Times New Roman" w:eastAsia="Times New Roman" w:cs="Times New Roman"/>
          <w:sz w:val="23"/>
          <w:szCs w:val="23"/>
        </w:rPr>
        <w:t>BOD</w:t>
      </w:r>
      <w:r>
        <w:rPr>
          <w:rFonts w:ascii="Times New Roman" w:hAnsi="Times New Roman" w:eastAsia="Times New Roman" w:cs="Times New Roman"/>
          <w:spacing w:val="12"/>
          <w:position w:val="-1"/>
          <w:sz w:val="15"/>
          <w:szCs w:val="15"/>
        </w:rPr>
        <w:t xml:space="preserve">5 </w:t>
      </w:r>
      <w:r>
        <w:rPr>
          <w:rFonts w:ascii="宋体" w:hAnsi="宋体" w:eastAsia="宋体" w:cs="宋体"/>
          <w:spacing w:val="12"/>
          <w:sz w:val="23"/>
          <w:szCs w:val="23"/>
        </w:rPr>
        <w:t>、</w:t>
      </w:r>
      <w:r>
        <w:rPr>
          <w:rFonts w:ascii="Times New Roman" w:hAnsi="Times New Roman" w:eastAsia="Times New Roman" w:cs="Times New Roman"/>
          <w:sz w:val="23"/>
          <w:szCs w:val="23"/>
        </w:rPr>
        <w:t>SS</w:t>
      </w:r>
      <w:r>
        <w:rPr>
          <w:rFonts w:ascii="Times New Roman" w:hAnsi="Times New Roman" w:eastAsia="Times New Roman" w:cs="Times New Roman"/>
          <w:spacing w:val="12"/>
          <w:sz w:val="23"/>
          <w:szCs w:val="23"/>
        </w:rPr>
        <w:t xml:space="preserve"> </w:t>
      </w:r>
      <w:r>
        <w:rPr>
          <w:rFonts w:ascii="宋体" w:hAnsi="宋体" w:eastAsia="宋体" w:cs="宋体"/>
          <w:spacing w:val="12"/>
          <w:sz w:val="23"/>
          <w:szCs w:val="23"/>
        </w:rPr>
        <w:t>、</w:t>
      </w:r>
      <w:r>
        <w:rPr>
          <w:rFonts w:ascii="Times New Roman" w:hAnsi="Times New Roman" w:eastAsia="Times New Roman" w:cs="Times New Roman"/>
          <w:sz w:val="23"/>
          <w:szCs w:val="23"/>
        </w:rPr>
        <w:t>NH</w:t>
      </w:r>
      <w:r>
        <w:rPr>
          <w:rFonts w:ascii="Times New Roman" w:hAnsi="Times New Roman" w:eastAsia="Times New Roman" w:cs="Times New Roman"/>
          <w:spacing w:val="12"/>
          <w:position w:val="-1"/>
          <w:sz w:val="15"/>
          <w:szCs w:val="15"/>
        </w:rPr>
        <w:t>3</w:t>
      </w:r>
      <w:r>
        <w:rPr>
          <w:rFonts w:ascii="Times New Roman" w:hAnsi="Times New Roman" w:eastAsia="Times New Roman" w:cs="Times New Roman"/>
          <w:spacing w:val="12"/>
          <w:sz w:val="23"/>
          <w:szCs w:val="23"/>
        </w:rPr>
        <w:t>-</w:t>
      </w:r>
      <w:r>
        <w:rPr>
          <w:rFonts w:ascii="Times New Roman" w:hAnsi="Times New Roman" w:eastAsia="Times New Roman" w:cs="Times New Roman"/>
          <w:sz w:val="23"/>
          <w:szCs w:val="23"/>
        </w:rPr>
        <w:t>N</w:t>
      </w:r>
      <w:r>
        <w:rPr>
          <w:rFonts w:ascii="Times New Roman" w:hAnsi="Times New Roman" w:eastAsia="Times New Roman" w:cs="Times New Roman"/>
          <w:spacing w:val="12"/>
          <w:sz w:val="23"/>
          <w:szCs w:val="23"/>
        </w:rPr>
        <w:t xml:space="preserve"> </w:t>
      </w:r>
      <w:r>
        <w:rPr>
          <w:rFonts w:ascii="宋体" w:hAnsi="宋体" w:eastAsia="宋体" w:cs="宋体"/>
          <w:spacing w:val="12"/>
          <w:sz w:val="23"/>
          <w:szCs w:val="23"/>
        </w:rPr>
        <w:t>等，不含有毒物质，项目污水产生量</w:t>
      </w:r>
      <w:r>
        <w:rPr>
          <w:rFonts w:ascii="宋体" w:hAnsi="宋体" w:eastAsia="宋体" w:cs="宋体"/>
          <w:spacing w:val="10"/>
          <w:sz w:val="23"/>
          <w:szCs w:val="23"/>
        </w:rPr>
        <w:t>为</w:t>
      </w:r>
      <w:r>
        <w:rPr>
          <w:rFonts w:ascii="宋体" w:hAnsi="宋体" w:eastAsia="宋体" w:cs="宋体"/>
          <w:sz w:val="23"/>
          <w:szCs w:val="23"/>
        </w:rPr>
        <w:t xml:space="preserve"> </w:t>
      </w:r>
      <w:r>
        <w:rPr>
          <w:rFonts w:ascii="Times New Roman" w:hAnsi="Times New Roman" w:eastAsia="Times New Roman" w:cs="Times New Roman"/>
          <w:spacing w:val="14"/>
          <w:sz w:val="23"/>
          <w:szCs w:val="23"/>
        </w:rPr>
        <w:t>1</w:t>
      </w:r>
      <w:r>
        <w:rPr>
          <w:rFonts w:ascii="Times New Roman" w:hAnsi="Times New Roman" w:eastAsia="Times New Roman" w:cs="Times New Roman"/>
          <w:spacing w:val="12"/>
          <w:sz w:val="23"/>
          <w:szCs w:val="23"/>
        </w:rPr>
        <w:t>2</w:t>
      </w:r>
      <w:r>
        <w:rPr>
          <w:rFonts w:ascii="Times New Roman" w:hAnsi="Times New Roman" w:eastAsia="Times New Roman" w:cs="Times New Roman"/>
          <w:spacing w:val="7"/>
          <w:sz w:val="23"/>
          <w:szCs w:val="23"/>
        </w:rPr>
        <w:t>534.314</w:t>
      </w:r>
      <w:r>
        <w:rPr>
          <w:rFonts w:ascii="Times New Roman" w:hAnsi="Times New Roman" w:eastAsia="Times New Roman" w:cs="Times New Roman"/>
          <w:sz w:val="23"/>
          <w:szCs w:val="23"/>
        </w:rPr>
        <w:t>m</w:t>
      </w:r>
      <w:r>
        <w:rPr>
          <w:rFonts w:ascii="Times New Roman" w:hAnsi="Times New Roman" w:eastAsia="Times New Roman" w:cs="Times New Roman"/>
          <w:spacing w:val="7"/>
          <w:position w:val="8"/>
          <w:sz w:val="15"/>
          <w:szCs w:val="15"/>
        </w:rPr>
        <w:t>3</w:t>
      </w:r>
      <w:r>
        <w:rPr>
          <w:rFonts w:ascii="Times New Roman" w:hAnsi="Times New Roman" w:eastAsia="Times New Roman" w:cs="Times New Roman"/>
          <w:spacing w:val="7"/>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。养殖废水目前拟每日运输至乐山乐高勤力生物质能源综合利用有限</w:t>
      </w:r>
      <w:r>
        <w:rPr>
          <w:rFonts w:ascii="宋体" w:hAnsi="宋体" w:eastAsia="宋体" w:cs="宋体"/>
          <w:sz w:val="23"/>
          <w:szCs w:val="23"/>
        </w:rPr>
        <w:t xml:space="preserve"> </w:t>
      </w:r>
      <w:r>
        <w:rPr>
          <w:rFonts w:ascii="宋体" w:hAnsi="宋体" w:eastAsia="宋体" w:cs="宋体"/>
          <w:spacing w:val="5"/>
          <w:sz w:val="23"/>
          <w:szCs w:val="23"/>
        </w:rPr>
        <w:t>公</w:t>
      </w:r>
      <w:r>
        <w:rPr>
          <w:rFonts w:ascii="宋体" w:hAnsi="宋体" w:eastAsia="宋体" w:cs="宋体"/>
          <w:spacing w:val="3"/>
          <w:sz w:val="23"/>
          <w:szCs w:val="23"/>
        </w:rPr>
        <w:t xml:space="preserve">司集中处置 (已签订收纳协议) ， 日产日清，同时，厂区还配套建设有一 </w:t>
      </w:r>
      <w:r>
        <w:rPr>
          <w:rFonts w:ascii="Times New Roman" w:hAnsi="Times New Roman" w:eastAsia="Times New Roman" w:cs="Times New Roman"/>
          <w:spacing w:val="3"/>
          <w:sz w:val="23"/>
          <w:szCs w:val="23"/>
        </w:rPr>
        <w:t>1600</w:t>
      </w:r>
      <w:r>
        <w:rPr>
          <w:rFonts w:ascii="Times New Roman" w:hAnsi="Times New Roman" w:eastAsia="Times New Roman" w:cs="Times New Roman"/>
          <w:sz w:val="23"/>
          <w:szCs w:val="23"/>
        </w:rPr>
        <w:t>m</w:t>
      </w:r>
      <w:r>
        <w:rPr>
          <w:rFonts w:ascii="Times New Roman" w:hAnsi="Times New Roman" w:eastAsia="Times New Roman" w:cs="Times New Roman"/>
          <w:spacing w:val="3"/>
          <w:position w:val="8"/>
          <w:sz w:val="15"/>
          <w:szCs w:val="15"/>
        </w:rPr>
        <w:t>2</w:t>
      </w:r>
      <w:r>
        <w:rPr>
          <w:rFonts w:ascii="Times New Roman" w:hAnsi="Times New Roman" w:eastAsia="Times New Roman" w:cs="Times New Roman"/>
          <w:position w:val="8"/>
          <w:sz w:val="15"/>
          <w:szCs w:val="15"/>
        </w:rPr>
        <w:t xml:space="preserve">  </w:t>
      </w:r>
      <w:r>
        <w:rPr>
          <w:rFonts w:ascii="宋体" w:hAnsi="宋体" w:eastAsia="宋体" w:cs="宋体"/>
          <w:spacing w:val="20"/>
          <w:sz w:val="23"/>
          <w:szCs w:val="23"/>
        </w:rPr>
        <w:t>的</w:t>
      </w:r>
      <w:r>
        <w:rPr>
          <w:rFonts w:ascii="宋体" w:hAnsi="宋体" w:eastAsia="宋体" w:cs="宋体"/>
          <w:spacing w:val="18"/>
          <w:sz w:val="23"/>
          <w:szCs w:val="23"/>
        </w:rPr>
        <w:t>发</w:t>
      </w:r>
      <w:r>
        <w:rPr>
          <w:rFonts w:ascii="宋体" w:hAnsi="宋体" w:eastAsia="宋体" w:cs="宋体"/>
          <w:spacing w:val="10"/>
          <w:sz w:val="23"/>
          <w:szCs w:val="23"/>
        </w:rPr>
        <w:t>酵床备用，若后期乐山乐高勤力生物质能源综合利用有限公司不再回收厂区内</w:t>
      </w:r>
      <w:r>
        <w:rPr>
          <w:rFonts w:ascii="宋体" w:hAnsi="宋体" w:eastAsia="宋体" w:cs="宋体"/>
          <w:sz w:val="23"/>
          <w:szCs w:val="23"/>
        </w:rPr>
        <w:t xml:space="preserve"> </w:t>
      </w:r>
      <w:r>
        <w:rPr>
          <w:rFonts w:ascii="宋体" w:hAnsi="宋体" w:eastAsia="宋体" w:cs="宋体"/>
          <w:spacing w:val="20"/>
          <w:sz w:val="23"/>
          <w:szCs w:val="23"/>
        </w:rPr>
        <w:t>的</w:t>
      </w:r>
      <w:r>
        <w:rPr>
          <w:rFonts w:ascii="宋体" w:hAnsi="宋体" w:eastAsia="宋体" w:cs="宋体"/>
          <w:spacing w:val="18"/>
          <w:sz w:val="23"/>
          <w:szCs w:val="23"/>
        </w:rPr>
        <w:t>养</w:t>
      </w:r>
      <w:r>
        <w:rPr>
          <w:rFonts w:ascii="宋体" w:hAnsi="宋体" w:eastAsia="宋体" w:cs="宋体"/>
          <w:spacing w:val="10"/>
          <w:sz w:val="23"/>
          <w:szCs w:val="23"/>
        </w:rPr>
        <w:t>殖废水，可将通过异位发酵床自行处置，处理产生的有机肥外售处理。两种处</w:t>
      </w:r>
      <w:r>
        <w:rPr>
          <w:rFonts w:ascii="宋体" w:hAnsi="宋体" w:eastAsia="宋体" w:cs="宋体"/>
          <w:sz w:val="23"/>
          <w:szCs w:val="23"/>
        </w:rPr>
        <w:t xml:space="preserve"> </w:t>
      </w:r>
      <w:r>
        <w:rPr>
          <w:rFonts w:ascii="宋体" w:hAnsi="宋体" w:eastAsia="宋体" w:cs="宋体"/>
          <w:spacing w:val="8"/>
          <w:sz w:val="23"/>
          <w:szCs w:val="23"/>
        </w:rPr>
        <w:t>置方式均能</w:t>
      </w:r>
      <w:r>
        <w:rPr>
          <w:rFonts w:ascii="宋体" w:hAnsi="宋体" w:eastAsia="宋体" w:cs="宋体"/>
          <w:spacing w:val="7"/>
          <w:sz w:val="23"/>
          <w:szCs w:val="23"/>
        </w:rPr>
        <w:t>实</w:t>
      </w:r>
      <w:r>
        <w:rPr>
          <w:rFonts w:ascii="宋体" w:hAnsi="宋体" w:eastAsia="宋体" w:cs="宋体"/>
          <w:spacing w:val="4"/>
          <w:sz w:val="23"/>
          <w:szCs w:val="23"/>
        </w:rPr>
        <w:t>现实现废水</w:t>
      </w:r>
      <w:r>
        <w:rPr>
          <w:rFonts w:ascii="Times New Roman" w:hAnsi="Times New Roman" w:eastAsia="Times New Roman" w:cs="Times New Roman"/>
          <w:spacing w:val="4"/>
          <w:sz w:val="23"/>
          <w:szCs w:val="23"/>
        </w:rPr>
        <w:t>“</w:t>
      </w:r>
      <w:r>
        <w:rPr>
          <w:rFonts w:ascii="宋体" w:hAnsi="宋体" w:eastAsia="宋体" w:cs="宋体"/>
          <w:spacing w:val="4"/>
          <w:sz w:val="23"/>
          <w:szCs w:val="23"/>
        </w:rPr>
        <w:t>零排放</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w:t>
      </w:r>
      <w:r>
        <w:rPr>
          <w:rFonts w:ascii="Times New Roman" w:hAnsi="Times New Roman" w:eastAsia="Times New Roman" w:cs="Times New Roman"/>
          <w:spacing w:val="4"/>
          <w:sz w:val="23"/>
          <w:szCs w:val="23"/>
        </w:rPr>
        <w:t>“</w:t>
      </w:r>
      <w:r>
        <w:rPr>
          <w:rFonts w:ascii="宋体" w:hAnsi="宋体" w:eastAsia="宋体" w:cs="宋体"/>
          <w:spacing w:val="4"/>
          <w:sz w:val="23"/>
          <w:szCs w:val="23"/>
        </w:rPr>
        <w:t>无害化</w:t>
      </w:r>
      <w:r>
        <w:rPr>
          <w:rFonts w:ascii="Times New Roman" w:hAnsi="Times New Roman" w:eastAsia="Times New Roman" w:cs="Times New Roman"/>
          <w:spacing w:val="4"/>
          <w:sz w:val="23"/>
          <w:szCs w:val="23"/>
        </w:rPr>
        <w:t>”</w:t>
      </w:r>
      <w:r>
        <w:rPr>
          <w:rFonts w:ascii="宋体" w:hAnsi="宋体" w:eastAsia="宋体" w:cs="宋体"/>
          <w:spacing w:val="4"/>
          <w:sz w:val="23"/>
          <w:szCs w:val="23"/>
        </w:rPr>
        <w:t>及</w:t>
      </w:r>
      <w:r>
        <w:rPr>
          <w:rFonts w:ascii="Times New Roman" w:hAnsi="Times New Roman" w:eastAsia="Times New Roman" w:cs="Times New Roman"/>
          <w:spacing w:val="4"/>
          <w:sz w:val="23"/>
          <w:szCs w:val="23"/>
        </w:rPr>
        <w:t>“</w:t>
      </w:r>
      <w:r>
        <w:rPr>
          <w:rFonts w:ascii="宋体" w:hAnsi="宋体" w:eastAsia="宋体" w:cs="宋体"/>
          <w:spacing w:val="4"/>
          <w:sz w:val="23"/>
          <w:szCs w:val="23"/>
        </w:rPr>
        <w:t>资源化</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，对地表水环境影响不大。</w:t>
      </w:r>
    </w:p>
    <w:p w14:paraId="3E1B4F78">
      <w:pPr>
        <w:spacing w:line="226" w:lineRule="auto"/>
        <w:ind w:left="501"/>
        <w:rPr>
          <w:rFonts w:ascii="宋体" w:hAnsi="宋体" w:eastAsia="宋体" w:cs="宋体"/>
          <w:sz w:val="23"/>
          <w:szCs w:val="23"/>
        </w:rPr>
      </w:pPr>
      <w:r>
        <w:rPr>
          <w:rFonts w:ascii="宋体" w:hAnsi="宋体" w:eastAsia="宋体" w:cs="宋体"/>
          <w:spacing w:val="15"/>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3"/>
          <w:sz w:val="23"/>
          <w:szCs w:val="23"/>
        </w:rPr>
        <w:t>1</w:t>
      </w:r>
      <w:r>
        <w:rPr>
          <w:rFonts w:ascii="宋体" w:hAnsi="宋体" w:eastAsia="宋体" w:cs="宋体"/>
          <w:spacing w:val="13"/>
          <w:sz w:val="23"/>
          <w:szCs w:val="23"/>
          <w14:textOutline w14:w="4356" w14:cap="sq" w14:cmpd="sng" w14:algn="ctr">
            <w14:solidFill>
              <w14:srgbClr w14:val="000000"/>
            </w14:solidFill>
            <w14:prstDash w14:val="solid"/>
            <w14:bevel/>
          </w14:textOutline>
        </w:rPr>
        <w:t>)</w:t>
      </w:r>
      <w:r>
        <w:rPr>
          <w:rFonts w:ascii="宋体" w:hAnsi="宋体" w:eastAsia="宋体" w:cs="宋体"/>
          <w:spacing w:val="13"/>
          <w:sz w:val="23"/>
          <w:szCs w:val="23"/>
        </w:rPr>
        <w:t xml:space="preserve"> </w:t>
      </w:r>
      <w:r>
        <w:rPr>
          <w:rFonts w:ascii="宋体" w:hAnsi="宋体" w:eastAsia="宋体" w:cs="宋体"/>
          <w:spacing w:val="13"/>
          <w:sz w:val="23"/>
          <w:szCs w:val="23"/>
          <w14:textOutline w14:w="4356" w14:cap="sq" w14:cmpd="sng" w14:algn="ctr">
            <w14:solidFill>
              <w14:srgbClr w14:val="000000"/>
            </w14:solidFill>
            <w14:prstDash w14:val="solid"/>
            <w14:bevel/>
          </w14:textOutline>
        </w:rPr>
        <w:t>乐山乐高勤力生物质能源综合利用有限公司收纳本项目污水可行性分析</w:t>
      </w:r>
    </w:p>
    <w:p w14:paraId="38C490D3">
      <w:pPr>
        <w:spacing w:before="185" w:line="375" w:lineRule="auto"/>
        <w:ind w:left="9" w:right="21" w:firstLine="502"/>
        <w:rPr>
          <w:rFonts w:ascii="宋体" w:hAnsi="宋体" w:eastAsia="宋体" w:cs="宋体"/>
          <w:sz w:val="23"/>
          <w:szCs w:val="23"/>
        </w:rPr>
      </w:pPr>
      <w:r>
        <w:rPr>
          <w:rFonts w:ascii="宋体" w:hAnsi="宋体" w:eastAsia="宋体" w:cs="宋体"/>
          <w:spacing w:val="20"/>
          <w:sz w:val="23"/>
          <w:szCs w:val="23"/>
        </w:rPr>
        <w:t>乐山</w:t>
      </w:r>
      <w:r>
        <w:rPr>
          <w:rFonts w:ascii="宋体" w:hAnsi="宋体" w:eastAsia="宋体" w:cs="宋体"/>
          <w:spacing w:val="13"/>
          <w:sz w:val="23"/>
          <w:szCs w:val="23"/>
        </w:rPr>
        <w:t>乐</w:t>
      </w:r>
      <w:r>
        <w:rPr>
          <w:rFonts w:ascii="宋体" w:hAnsi="宋体" w:eastAsia="宋体" w:cs="宋体"/>
          <w:spacing w:val="10"/>
          <w:sz w:val="23"/>
          <w:szCs w:val="23"/>
        </w:rPr>
        <w:t xml:space="preserve">高勤力生物质能源综合利用有限公司成立于 </w:t>
      </w:r>
      <w:r>
        <w:rPr>
          <w:rFonts w:ascii="Times New Roman" w:hAnsi="Times New Roman" w:eastAsia="Times New Roman" w:cs="Times New Roman"/>
          <w:spacing w:val="10"/>
          <w:sz w:val="23"/>
          <w:szCs w:val="23"/>
        </w:rPr>
        <w:t xml:space="preserve">2018 </w:t>
      </w:r>
      <w:r>
        <w:rPr>
          <w:rFonts w:ascii="宋体" w:hAnsi="宋体" w:eastAsia="宋体" w:cs="宋体"/>
          <w:spacing w:val="10"/>
          <w:sz w:val="23"/>
          <w:szCs w:val="23"/>
        </w:rPr>
        <w:t xml:space="preserve">年 </w:t>
      </w:r>
      <w:r>
        <w:rPr>
          <w:rFonts w:ascii="Times New Roman" w:hAnsi="Times New Roman" w:eastAsia="Times New Roman" w:cs="Times New Roman"/>
          <w:spacing w:val="10"/>
          <w:sz w:val="23"/>
          <w:szCs w:val="23"/>
        </w:rPr>
        <w:t xml:space="preserve">04 </w:t>
      </w:r>
      <w:r>
        <w:rPr>
          <w:rFonts w:ascii="宋体" w:hAnsi="宋体" w:eastAsia="宋体" w:cs="宋体"/>
          <w:spacing w:val="10"/>
          <w:sz w:val="23"/>
          <w:szCs w:val="23"/>
        </w:rPr>
        <w:t xml:space="preserve">月 </w:t>
      </w:r>
      <w:r>
        <w:rPr>
          <w:rFonts w:ascii="Times New Roman" w:hAnsi="Times New Roman" w:eastAsia="Times New Roman" w:cs="Times New Roman"/>
          <w:spacing w:val="10"/>
          <w:sz w:val="23"/>
          <w:szCs w:val="23"/>
        </w:rPr>
        <w:t xml:space="preserve">16  </w:t>
      </w:r>
      <w:r>
        <w:rPr>
          <w:rFonts w:ascii="宋体" w:hAnsi="宋体" w:eastAsia="宋体" w:cs="宋体"/>
          <w:spacing w:val="10"/>
          <w:sz w:val="23"/>
          <w:szCs w:val="23"/>
        </w:rPr>
        <w:t>日，主</w:t>
      </w:r>
      <w:r>
        <w:rPr>
          <w:rFonts w:ascii="宋体" w:hAnsi="宋体" w:eastAsia="宋体" w:cs="宋体"/>
          <w:sz w:val="23"/>
          <w:szCs w:val="23"/>
        </w:rPr>
        <w:t xml:space="preserve"> </w:t>
      </w:r>
      <w:r>
        <w:rPr>
          <w:rFonts w:ascii="宋体" w:hAnsi="宋体" w:eastAsia="宋体" w:cs="宋体"/>
          <w:spacing w:val="22"/>
          <w:sz w:val="23"/>
          <w:szCs w:val="23"/>
        </w:rPr>
        <w:t>要</w:t>
      </w:r>
      <w:r>
        <w:rPr>
          <w:rFonts w:ascii="宋体" w:hAnsi="宋体" w:eastAsia="宋体" w:cs="宋体"/>
          <w:spacing w:val="17"/>
          <w:sz w:val="23"/>
          <w:szCs w:val="23"/>
        </w:rPr>
        <w:t>从事环保及污水处理技术服务、水污染和固体废物治理、畜禽无害化收集处理</w:t>
      </w:r>
      <w:r>
        <w:rPr>
          <w:rFonts w:ascii="宋体" w:hAnsi="宋体" w:eastAsia="宋体" w:cs="宋体"/>
          <w:sz w:val="23"/>
          <w:szCs w:val="23"/>
        </w:rPr>
        <w:t xml:space="preserve"> </w:t>
      </w:r>
      <w:r>
        <w:rPr>
          <w:rFonts w:ascii="宋体" w:hAnsi="宋体" w:eastAsia="宋体" w:cs="宋体"/>
          <w:spacing w:val="24"/>
          <w:sz w:val="23"/>
          <w:szCs w:val="23"/>
        </w:rPr>
        <w:t>及</w:t>
      </w:r>
      <w:r>
        <w:rPr>
          <w:rFonts w:ascii="宋体" w:hAnsi="宋体" w:eastAsia="宋体" w:cs="宋体"/>
          <w:spacing w:val="21"/>
          <w:sz w:val="23"/>
          <w:szCs w:val="23"/>
        </w:rPr>
        <w:t>运</w:t>
      </w:r>
      <w:r>
        <w:rPr>
          <w:rFonts w:ascii="宋体" w:hAnsi="宋体" w:eastAsia="宋体" w:cs="宋体"/>
          <w:spacing w:val="12"/>
          <w:sz w:val="23"/>
          <w:szCs w:val="23"/>
        </w:rPr>
        <w:t>输、粪污收集处理及运输、农作物秸秆收集处理及运输、有机肥生产及加工、</w:t>
      </w:r>
      <w:r>
        <w:rPr>
          <w:rFonts w:ascii="宋体" w:hAnsi="宋体" w:eastAsia="宋体" w:cs="宋体"/>
          <w:sz w:val="23"/>
          <w:szCs w:val="23"/>
        </w:rPr>
        <w:t xml:space="preserve"> </w:t>
      </w:r>
      <w:r>
        <w:rPr>
          <w:rFonts w:ascii="宋体" w:hAnsi="宋体" w:eastAsia="宋体" w:cs="宋体"/>
          <w:spacing w:val="32"/>
          <w:sz w:val="23"/>
          <w:szCs w:val="23"/>
        </w:rPr>
        <w:t>沼</w:t>
      </w:r>
      <w:r>
        <w:rPr>
          <w:rFonts w:ascii="宋体" w:hAnsi="宋体" w:eastAsia="宋体" w:cs="宋体"/>
          <w:spacing w:val="18"/>
          <w:sz w:val="23"/>
          <w:szCs w:val="23"/>
        </w:rPr>
        <w:t>气</w:t>
      </w:r>
      <w:r>
        <w:rPr>
          <w:rFonts w:ascii="宋体" w:hAnsi="宋体" w:eastAsia="宋体" w:cs="宋体"/>
          <w:spacing w:val="16"/>
          <w:sz w:val="23"/>
          <w:szCs w:val="23"/>
        </w:rPr>
        <w:t xml:space="preserve">发电及供热等行业，距离本项目 </w:t>
      </w:r>
      <w:r>
        <w:rPr>
          <w:rFonts w:ascii="Times New Roman" w:hAnsi="Times New Roman" w:eastAsia="Times New Roman" w:cs="Times New Roman"/>
          <w:spacing w:val="16"/>
          <w:sz w:val="23"/>
          <w:szCs w:val="23"/>
        </w:rPr>
        <w:t>13</w:t>
      </w:r>
      <w:r>
        <w:rPr>
          <w:rFonts w:ascii="Times New Roman" w:hAnsi="Times New Roman" w:eastAsia="Times New Roman" w:cs="Times New Roman"/>
          <w:sz w:val="23"/>
          <w:szCs w:val="23"/>
        </w:rPr>
        <w:t>km</w:t>
      </w:r>
      <w:r>
        <w:rPr>
          <w:rFonts w:ascii="Times New Roman" w:hAnsi="Times New Roman" w:eastAsia="Times New Roman" w:cs="Times New Roman"/>
          <w:spacing w:val="16"/>
          <w:sz w:val="23"/>
          <w:szCs w:val="23"/>
        </w:rPr>
        <w:t xml:space="preserve"> </w:t>
      </w:r>
      <w:r>
        <w:rPr>
          <w:rFonts w:ascii="宋体" w:hAnsi="宋体" w:eastAsia="宋体" w:cs="宋体"/>
          <w:spacing w:val="16"/>
          <w:sz w:val="23"/>
          <w:szCs w:val="23"/>
        </w:rPr>
        <w:t>左右，交通方便，运输便捷，且有足</w:t>
      </w:r>
      <w:r>
        <w:rPr>
          <w:rFonts w:ascii="宋体" w:hAnsi="宋体" w:eastAsia="宋体" w:cs="宋体"/>
          <w:sz w:val="23"/>
          <w:szCs w:val="23"/>
        </w:rPr>
        <w:t xml:space="preserve"> </w:t>
      </w:r>
      <w:r>
        <w:rPr>
          <w:rFonts w:ascii="宋体" w:hAnsi="宋体" w:eastAsia="宋体" w:cs="宋体"/>
          <w:spacing w:val="17"/>
          <w:sz w:val="23"/>
          <w:szCs w:val="23"/>
        </w:rPr>
        <w:t>够的处理能力处理本项目污水，建设单位将粪水运至该公司既节省了建设成本，</w:t>
      </w:r>
    </w:p>
    <w:p w14:paraId="67F4CD82">
      <w:pPr>
        <w:sectPr>
          <w:headerReference r:id="rId197" w:type="default"/>
          <w:footerReference r:id="rId198" w:type="default"/>
          <w:pgSz w:w="11907" w:h="16840"/>
          <w:pgMar w:top="1153" w:right="1483" w:bottom="1485" w:left="1660" w:header="919" w:footer="1298" w:gutter="0"/>
          <w:cols w:space="720" w:num="1"/>
        </w:sectPr>
      </w:pPr>
    </w:p>
    <w:p w14:paraId="357CF2C8">
      <w:pPr>
        <w:spacing w:before="42" w:line="227" w:lineRule="auto"/>
        <w:ind w:left="12"/>
        <w:rPr>
          <w:rFonts w:ascii="宋体" w:hAnsi="宋体" w:eastAsia="宋体" w:cs="宋体"/>
          <w:sz w:val="23"/>
          <w:szCs w:val="23"/>
        </w:rPr>
      </w:pPr>
      <w:r>
        <w:rPr>
          <w:rFonts w:ascii="宋体" w:hAnsi="宋体" w:eastAsia="宋体" w:cs="宋体"/>
          <w:spacing w:val="16"/>
          <w:sz w:val="23"/>
          <w:szCs w:val="23"/>
        </w:rPr>
        <w:t>又能实现畜禽粪污基本实现资源化利用</w:t>
      </w:r>
      <w:r>
        <w:rPr>
          <w:rFonts w:ascii="宋体" w:hAnsi="宋体" w:eastAsia="宋体" w:cs="宋体"/>
          <w:spacing w:val="13"/>
          <w:sz w:val="23"/>
          <w:szCs w:val="23"/>
        </w:rPr>
        <w:t>。</w:t>
      </w:r>
    </w:p>
    <w:p w14:paraId="157AB47B">
      <w:pPr>
        <w:spacing w:before="183" w:line="227" w:lineRule="auto"/>
        <w:ind w:left="441"/>
        <w:rPr>
          <w:rFonts w:ascii="宋体" w:hAnsi="宋体" w:eastAsia="宋体" w:cs="宋体"/>
          <w:sz w:val="23"/>
          <w:szCs w:val="23"/>
        </w:rPr>
      </w:pPr>
      <w:r>
        <w:rPr>
          <w:rFonts w:ascii="宋体" w:hAnsi="宋体" w:eastAsia="宋体" w:cs="宋体"/>
          <w:spacing w:val="16"/>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6"/>
          <w:sz w:val="23"/>
          <w:szCs w:val="23"/>
        </w:rPr>
        <w:t>2</w:t>
      </w:r>
      <w:r>
        <w:rPr>
          <w:rFonts w:ascii="宋体" w:hAnsi="宋体" w:eastAsia="宋体" w:cs="宋体"/>
          <w:spacing w:val="16"/>
          <w:sz w:val="23"/>
          <w:szCs w:val="23"/>
          <w14:textOutline w14:w="4356" w14:cap="sq" w14:cmpd="sng" w14:algn="ctr">
            <w14:solidFill>
              <w14:srgbClr w14:val="000000"/>
            </w14:solidFill>
            <w14:prstDash w14:val="solid"/>
            <w14:bevel/>
          </w14:textOutline>
        </w:rPr>
        <w:t>)</w:t>
      </w:r>
      <w:r>
        <w:rPr>
          <w:rFonts w:ascii="宋体" w:hAnsi="宋体" w:eastAsia="宋体" w:cs="宋体"/>
          <w:spacing w:val="16"/>
          <w:sz w:val="23"/>
          <w:szCs w:val="23"/>
        </w:rPr>
        <w:t xml:space="preserve"> </w:t>
      </w:r>
      <w:r>
        <w:rPr>
          <w:rFonts w:ascii="宋体" w:hAnsi="宋体" w:eastAsia="宋体" w:cs="宋体"/>
          <w:spacing w:val="16"/>
          <w:sz w:val="23"/>
          <w:szCs w:val="23"/>
          <w14:textOutline w14:w="4356" w14:cap="sq" w14:cmpd="sng" w14:algn="ctr">
            <w14:solidFill>
              <w14:srgbClr w14:val="000000"/>
            </w14:solidFill>
            <w14:prstDash w14:val="solid"/>
            <w14:bevel/>
          </w14:textOutline>
        </w:rPr>
        <w:t>生活污水消纳可行性分</w:t>
      </w:r>
      <w:r>
        <w:rPr>
          <w:rFonts w:ascii="宋体" w:hAnsi="宋体" w:eastAsia="宋体" w:cs="宋体"/>
          <w:spacing w:val="14"/>
          <w:sz w:val="23"/>
          <w:szCs w:val="23"/>
          <w14:textOutline w14:w="4356" w14:cap="sq" w14:cmpd="sng" w14:algn="ctr">
            <w14:solidFill>
              <w14:srgbClr w14:val="000000"/>
            </w14:solidFill>
            <w14:prstDash w14:val="solid"/>
            <w14:bevel/>
          </w14:textOutline>
        </w:rPr>
        <w:t>析</w:t>
      </w:r>
    </w:p>
    <w:p w14:paraId="1F6A93A6">
      <w:pPr>
        <w:spacing w:before="183" w:line="375" w:lineRule="auto"/>
        <w:ind w:left="11" w:right="80" w:firstLine="480"/>
        <w:rPr>
          <w:rFonts w:ascii="宋体" w:hAnsi="宋体" w:eastAsia="宋体" w:cs="宋体"/>
          <w:sz w:val="23"/>
          <w:szCs w:val="23"/>
        </w:rPr>
      </w:pPr>
      <w:r>
        <w:rPr>
          <w:rFonts w:ascii="宋体" w:hAnsi="宋体" w:eastAsia="宋体" w:cs="宋体"/>
          <w:spacing w:val="18"/>
          <w:sz w:val="23"/>
          <w:szCs w:val="23"/>
        </w:rPr>
        <w:t>本项</w:t>
      </w:r>
      <w:r>
        <w:rPr>
          <w:rFonts w:ascii="宋体" w:hAnsi="宋体" w:eastAsia="宋体" w:cs="宋体"/>
          <w:spacing w:val="11"/>
          <w:sz w:val="23"/>
          <w:szCs w:val="23"/>
        </w:rPr>
        <w:t>目</w:t>
      </w:r>
      <w:r>
        <w:rPr>
          <w:rFonts w:ascii="宋体" w:hAnsi="宋体" w:eastAsia="宋体" w:cs="宋体"/>
          <w:spacing w:val="9"/>
          <w:sz w:val="23"/>
          <w:szCs w:val="23"/>
        </w:rPr>
        <w:t>生活污水经化粪池 (其中餐饮废水先经隔油池隔油处理再进入化粪池)</w:t>
      </w:r>
      <w:r>
        <w:rPr>
          <w:rFonts w:ascii="宋体" w:hAnsi="宋体" w:eastAsia="宋体" w:cs="宋体"/>
          <w:sz w:val="23"/>
          <w:szCs w:val="23"/>
        </w:rPr>
        <w:t xml:space="preserve"> </w:t>
      </w:r>
      <w:r>
        <w:rPr>
          <w:rFonts w:ascii="宋体" w:hAnsi="宋体" w:eastAsia="宋体" w:cs="宋体"/>
          <w:spacing w:val="8"/>
          <w:sz w:val="23"/>
          <w:szCs w:val="23"/>
        </w:rPr>
        <w:t>收集后用作自家</w:t>
      </w:r>
      <w:r>
        <w:rPr>
          <w:rFonts w:ascii="宋体" w:hAnsi="宋体" w:eastAsia="宋体" w:cs="宋体"/>
          <w:spacing w:val="7"/>
          <w:sz w:val="23"/>
          <w:szCs w:val="23"/>
        </w:rPr>
        <w:t>林</w:t>
      </w:r>
      <w:r>
        <w:rPr>
          <w:rFonts w:ascii="宋体" w:hAnsi="宋体" w:eastAsia="宋体" w:cs="宋体"/>
          <w:spacing w:val="4"/>
          <w:sz w:val="23"/>
          <w:szCs w:val="23"/>
        </w:rPr>
        <w:t>地灌溉，不外排。</w:t>
      </w:r>
      <w:r>
        <w:rPr>
          <w:rFonts w:ascii="Times New Roman" w:hAnsi="Times New Roman" w:eastAsia="Times New Roman" w:cs="Times New Roman"/>
          <w:spacing w:val="4"/>
          <w:sz w:val="23"/>
          <w:szCs w:val="23"/>
        </w:rPr>
        <w:t xml:space="preserve">2018 </w:t>
      </w:r>
      <w:r>
        <w:rPr>
          <w:rFonts w:ascii="宋体" w:hAnsi="宋体" w:eastAsia="宋体" w:cs="宋体"/>
          <w:spacing w:val="4"/>
          <w:sz w:val="23"/>
          <w:szCs w:val="23"/>
        </w:rPr>
        <w:t xml:space="preserve">年 </w:t>
      </w:r>
      <w:r>
        <w:rPr>
          <w:rFonts w:ascii="Times New Roman" w:hAnsi="Times New Roman" w:eastAsia="Times New Roman" w:cs="Times New Roman"/>
          <w:spacing w:val="4"/>
          <w:sz w:val="23"/>
          <w:szCs w:val="23"/>
        </w:rPr>
        <w:t xml:space="preserve">3 </w:t>
      </w:r>
      <w:r>
        <w:rPr>
          <w:rFonts w:ascii="宋体" w:hAnsi="宋体" w:eastAsia="宋体" w:cs="宋体"/>
          <w:spacing w:val="4"/>
          <w:sz w:val="23"/>
          <w:szCs w:val="23"/>
        </w:rPr>
        <w:t xml:space="preserve">月 </w:t>
      </w:r>
      <w:r>
        <w:rPr>
          <w:rFonts w:ascii="Times New Roman" w:hAnsi="Times New Roman" w:eastAsia="Times New Roman" w:cs="Times New Roman"/>
          <w:spacing w:val="4"/>
          <w:sz w:val="23"/>
          <w:szCs w:val="23"/>
        </w:rPr>
        <w:t xml:space="preserve">3 </w:t>
      </w:r>
      <w:r>
        <w:rPr>
          <w:rFonts w:ascii="宋体" w:hAnsi="宋体" w:eastAsia="宋体" w:cs="宋体"/>
          <w:spacing w:val="4"/>
          <w:sz w:val="23"/>
          <w:szCs w:val="23"/>
        </w:rPr>
        <w:t>日，井研县丰逸养殖专业合作社</w:t>
      </w:r>
      <w:r>
        <w:rPr>
          <w:rFonts w:ascii="宋体" w:hAnsi="宋体" w:eastAsia="宋体" w:cs="宋体"/>
          <w:sz w:val="23"/>
          <w:szCs w:val="23"/>
        </w:rPr>
        <w:t xml:space="preserve"> </w:t>
      </w:r>
      <w:r>
        <w:rPr>
          <w:rFonts w:ascii="宋体" w:hAnsi="宋体" w:eastAsia="宋体" w:cs="宋体"/>
          <w:spacing w:val="12"/>
          <w:sz w:val="23"/>
          <w:szCs w:val="23"/>
        </w:rPr>
        <w:t>法人吴</w:t>
      </w:r>
      <w:r>
        <w:rPr>
          <w:rFonts w:ascii="宋体" w:hAnsi="宋体" w:eastAsia="宋体" w:cs="宋体"/>
          <w:spacing w:val="6"/>
          <w:sz w:val="23"/>
          <w:szCs w:val="23"/>
        </w:rPr>
        <w:t xml:space="preserve">刚银与周坡镇周坡村民邹建勋等 </w:t>
      </w:r>
      <w:r>
        <w:rPr>
          <w:rFonts w:ascii="Times New Roman" w:hAnsi="Times New Roman" w:eastAsia="Times New Roman" w:cs="Times New Roman"/>
          <w:spacing w:val="6"/>
          <w:sz w:val="23"/>
          <w:szCs w:val="23"/>
        </w:rPr>
        <w:t xml:space="preserve">4 </w:t>
      </w:r>
      <w:r>
        <w:rPr>
          <w:rFonts w:ascii="宋体" w:hAnsi="宋体" w:eastAsia="宋体" w:cs="宋体"/>
          <w:spacing w:val="6"/>
          <w:sz w:val="23"/>
          <w:szCs w:val="23"/>
        </w:rPr>
        <w:t xml:space="preserve">人签订了土地转租合同，邹建勋等 </w:t>
      </w:r>
      <w:r>
        <w:rPr>
          <w:rFonts w:ascii="Times New Roman" w:hAnsi="Times New Roman" w:eastAsia="Times New Roman" w:cs="Times New Roman"/>
          <w:spacing w:val="6"/>
          <w:sz w:val="23"/>
          <w:szCs w:val="23"/>
        </w:rPr>
        <w:t xml:space="preserve">4 </w:t>
      </w:r>
      <w:r>
        <w:rPr>
          <w:rFonts w:ascii="宋体" w:hAnsi="宋体" w:eastAsia="宋体" w:cs="宋体"/>
          <w:spacing w:val="6"/>
          <w:sz w:val="23"/>
          <w:szCs w:val="23"/>
        </w:rPr>
        <w:t>人同</w:t>
      </w:r>
      <w:r>
        <w:rPr>
          <w:rFonts w:ascii="宋体" w:hAnsi="宋体" w:eastAsia="宋体" w:cs="宋体"/>
          <w:sz w:val="23"/>
          <w:szCs w:val="23"/>
        </w:rPr>
        <w:t xml:space="preserve"> </w:t>
      </w:r>
      <w:r>
        <w:rPr>
          <w:rFonts w:ascii="宋体" w:hAnsi="宋体" w:eastAsia="宋体" w:cs="宋体"/>
          <w:spacing w:val="15"/>
          <w:sz w:val="23"/>
          <w:szCs w:val="23"/>
        </w:rPr>
        <w:t xml:space="preserve">意将其周坡镇周坡村 </w:t>
      </w:r>
      <w:r>
        <w:rPr>
          <w:rFonts w:ascii="Times New Roman" w:hAnsi="Times New Roman" w:eastAsia="Times New Roman" w:cs="Times New Roman"/>
          <w:spacing w:val="15"/>
          <w:sz w:val="23"/>
          <w:szCs w:val="23"/>
        </w:rPr>
        <w:t xml:space="preserve">7 </w:t>
      </w:r>
      <w:r>
        <w:rPr>
          <w:rFonts w:ascii="宋体" w:hAnsi="宋体" w:eastAsia="宋体" w:cs="宋体"/>
          <w:spacing w:val="15"/>
          <w:sz w:val="23"/>
          <w:szCs w:val="23"/>
        </w:rPr>
        <w:t>组土地租赁给井研县丰逸养殖专业合作社作为综合用地</w:t>
      </w:r>
      <w:r>
        <w:rPr>
          <w:rFonts w:ascii="宋体" w:hAnsi="宋体" w:eastAsia="宋体" w:cs="宋体"/>
          <w:spacing w:val="8"/>
          <w:sz w:val="23"/>
          <w:szCs w:val="23"/>
        </w:rPr>
        <w:t>使</w:t>
      </w:r>
    </w:p>
    <w:p w14:paraId="56AF0D49">
      <w:pPr>
        <w:spacing w:line="227" w:lineRule="auto"/>
        <w:ind w:left="12"/>
        <w:rPr>
          <w:rFonts w:ascii="宋体" w:hAnsi="宋体" w:eastAsia="宋体" w:cs="宋体"/>
          <w:sz w:val="23"/>
          <w:szCs w:val="23"/>
        </w:rPr>
      </w:pPr>
      <w:r>
        <w:rPr>
          <w:rFonts w:ascii="宋体" w:hAnsi="宋体" w:eastAsia="宋体" w:cs="宋体"/>
          <w:spacing w:val="6"/>
          <w:sz w:val="23"/>
          <w:szCs w:val="23"/>
        </w:rPr>
        <w:t>用，租</w:t>
      </w:r>
      <w:r>
        <w:rPr>
          <w:rFonts w:ascii="宋体" w:hAnsi="宋体" w:eastAsia="宋体" w:cs="宋体"/>
          <w:spacing w:val="3"/>
          <w:sz w:val="23"/>
          <w:szCs w:val="23"/>
        </w:rPr>
        <w:t xml:space="preserve">赁面积 </w:t>
      </w:r>
      <w:r>
        <w:rPr>
          <w:rFonts w:ascii="Times New Roman" w:hAnsi="Times New Roman" w:eastAsia="Times New Roman" w:cs="Times New Roman"/>
          <w:spacing w:val="3"/>
          <w:sz w:val="23"/>
          <w:szCs w:val="23"/>
        </w:rPr>
        <w:t xml:space="preserve">308.49 </w:t>
      </w:r>
      <w:r>
        <w:rPr>
          <w:rFonts w:ascii="宋体" w:hAnsi="宋体" w:eastAsia="宋体" w:cs="宋体"/>
          <w:spacing w:val="3"/>
          <w:sz w:val="23"/>
          <w:szCs w:val="23"/>
        </w:rPr>
        <w:t xml:space="preserve">亩，租期为 </w:t>
      </w:r>
      <w:r>
        <w:rPr>
          <w:rFonts w:ascii="Times New Roman" w:hAnsi="Times New Roman" w:eastAsia="Times New Roman" w:cs="Times New Roman"/>
          <w:spacing w:val="3"/>
          <w:sz w:val="23"/>
          <w:szCs w:val="23"/>
        </w:rPr>
        <w:t xml:space="preserve">16 </w:t>
      </w:r>
      <w:r>
        <w:rPr>
          <w:rFonts w:ascii="宋体" w:hAnsi="宋体" w:eastAsia="宋体" w:cs="宋体"/>
          <w:spacing w:val="3"/>
          <w:sz w:val="23"/>
          <w:szCs w:val="23"/>
        </w:rPr>
        <w:t xml:space="preserve">年，根据建设单位介绍，租赁的土地中有 </w:t>
      </w:r>
      <w:r>
        <w:rPr>
          <w:rFonts w:ascii="Times New Roman" w:hAnsi="Times New Roman" w:eastAsia="Times New Roman" w:cs="Times New Roman"/>
          <w:spacing w:val="3"/>
          <w:sz w:val="23"/>
          <w:szCs w:val="23"/>
        </w:rPr>
        <w:t xml:space="preserve">50 </w:t>
      </w:r>
      <w:r>
        <w:rPr>
          <w:rFonts w:ascii="宋体" w:hAnsi="宋体" w:eastAsia="宋体" w:cs="宋体"/>
          <w:spacing w:val="3"/>
          <w:sz w:val="23"/>
          <w:szCs w:val="23"/>
        </w:rPr>
        <w:t>亩</w:t>
      </w:r>
    </w:p>
    <w:p w14:paraId="149D9C63">
      <w:pPr>
        <w:spacing w:before="138" w:line="377" w:lineRule="auto"/>
        <w:ind w:left="11" w:right="77"/>
        <w:rPr>
          <w:rFonts w:ascii="宋体" w:hAnsi="宋体" w:eastAsia="宋体" w:cs="宋体"/>
          <w:sz w:val="23"/>
          <w:szCs w:val="23"/>
        </w:rPr>
      </w:pPr>
      <w:r>
        <w:rPr>
          <w:rFonts w:ascii="宋体" w:hAnsi="宋体" w:eastAsia="宋体" w:cs="宋体"/>
          <w:spacing w:val="12"/>
          <w:sz w:val="23"/>
          <w:szCs w:val="23"/>
        </w:rPr>
        <w:t>用于种</w:t>
      </w:r>
      <w:r>
        <w:rPr>
          <w:rFonts w:ascii="宋体" w:hAnsi="宋体" w:eastAsia="宋体" w:cs="宋体"/>
          <w:spacing w:val="10"/>
          <w:sz w:val="23"/>
          <w:szCs w:val="23"/>
        </w:rPr>
        <w:t>植</w:t>
      </w:r>
      <w:r>
        <w:rPr>
          <w:rFonts w:ascii="宋体" w:hAnsi="宋体" w:eastAsia="宋体" w:cs="宋体"/>
          <w:spacing w:val="6"/>
          <w:sz w:val="23"/>
          <w:szCs w:val="23"/>
        </w:rPr>
        <w:t xml:space="preserve">林地 (消纳土地位于养殖场东北方向，直线距离 </w:t>
      </w:r>
      <w:r>
        <w:rPr>
          <w:rFonts w:ascii="Times New Roman" w:hAnsi="Times New Roman" w:eastAsia="Times New Roman" w:cs="Times New Roman"/>
          <w:spacing w:val="6"/>
          <w:sz w:val="23"/>
          <w:szCs w:val="23"/>
        </w:rPr>
        <w:t>6</w:t>
      </w:r>
      <w:r>
        <w:rPr>
          <w:rFonts w:ascii="Times New Roman" w:hAnsi="Times New Roman" w:eastAsia="Times New Roman" w:cs="Times New Roman"/>
          <w:sz w:val="23"/>
          <w:szCs w:val="23"/>
        </w:rPr>
        <w:t>km</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，主要种植果树) ，</w:t>
      </w:r>
      <w:r>
        <w:rPr>
          <w:rFonts w:ascii="宋体" w:hAnsi="宋体" w:eastAsia="宋体" w:cs="宋体"/>
          <w:sz w:val="23"/>
          <w:szCs w:val="23"/>
        </w:rPr>
        <w:t xml:space="preserve"> </w:t>
      </w:r>
      <w:r>
        <w:rPr>
          <w:rFonts w:ascii="宋体" w:hAnsi="宋体" w:eastAsia="宋体" w:cs="宋体"/>
          <w:spacing w:val="12"/>
          <w:sz w:val="23"/>
          <w:szCs w:val="23"/>
        </w:rPr>
        <w:t>本项</w:t>
      </w:r>
      <w:r>
        <w:rPr>
          <w:rFonts w:ascii="宋体" w:hAnsi="宋体" w:eastAsia="宋体" w:cs="宋体"/>
          <w:spacing w:val="11"/>
          <w:sz w:val="23"/>
          <w:szCs w:val="23"/>
        </w:rPr>
        <w:t>目</w:t>
      </w:r>
      <w:r>
        <w:rPr>
          <w:rFonts w:ascii="宋体" w:hAnsi="宋体" w:eastAsia="宋体" w:cs="宋体"/>
          <w:spacing w:val="6"/>
          <w:sz w:val="23"/>
          <w:szCs w:val="23"/>
        </w:rPr>
        <w:t xml:space="preserve">生活污水产生量为 </w:t>
      </w:r>
      <w:r>
        <w:rPr>
          <w:rFonts w:ascii="Times New Roman" w:hAnsi="Times New Roman" w:eastAsia="Times New Roman" w:cs="Times New Roman"/>
          <w:spacing w:val="6"/>
          <w:sz w:val="23"/>
          <w:szCs w:val="23"/>
        </w:rPr>
        <w:t>310.25</w:t>
      </w:r>
      <w:r>
        <w:rPr>
          <w:rFonts w:ascii="Times New Roman" w:hAnsi="Times New Roman" w:eastAsia="Times New Roman" w:cs="Times New Roman"/>
          <w:sz w:val="23"/>
          <w:szCs w:val="23"/>
        </w:rPr>
        <w:t>t</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，可见建设单位种植的林地有足够的处理能力消</w:t>
      </w:r>
      <w:r>
        <w:rPr>
          <w:rFonts w:ascii="宋体" w:hAnsi="宋体" w:eastAsia="宋体" w:cs="宋体"/>
          <w:sz w:val="23"/>
          <w:szCs w:val="23"/>
        </w:rPr>
        <w:t xml:space="preserve"> </w:t>
      </w:r>
      <w:r>
        <w:rPr>
          <w:rFonts w:ascii="宋体" w:hAnsi="宋体" w:eastAsia="宋体" w:cs="宋体"/>
          <w:spacing w:val="13"/>
          <w:sz w:val="23"/>
          <w:szCs w:val="23"/>
        </w:rPr>
        <w:t>纳</w:t>
      </w:r>
      <w:r>
        <w:rPr>
          <w:rFonts w:ascii="宋体" w:hAnsi="宋体" w:eastAsia="宋体" w:cs="宋体"/>
          <w:spacing w:val="7"/>
          <w:sz w:val="23"/>
          <w:szCs w:val="23"/>
        </w:rPr>
        <w:t>本项目生活污水。</w:t>
      </w:r>
    </w:p>
    <w:p w14:paraId="7D8546E5">
      <w:pPr>
        <w:spacing w:before="37" w:line="227" w:lineRule="auto"/>
        <w:ind w:left="8"/>
        <w:outlineLvl w:val="3"/>
        <w:rPr>
          <w:rFonts w:ascii="宋体" w:hAnsi="宋体" w:eastAsia="宋体" w:cs="宋体"/>
          <w:sz w:val="23"/>
          <w:szCs w:val="23"/>
        </w:rPr>
      </w:pPr>
      <w:r>
        <w:rPr>
          <w:rFonts w:ascii="Times New Roman" w:hAnsi="Times New Roman" w:eastAsia="Times New Roman" w:cs="Times New Roman"/>
          <w:b/>
          <w:bCs/>
          <w:spacing w:val="12"/>
          <w:sz w:val="23"/>
          <w:szCs w:val="23"/>
        </w:rPr>
        <w:t>5.</w:t>
      </w:r>
      <w:r>
        <w:rPr>
          <w:rFonts w:ascii="Times New Roman" w:hAnsi="Times New Roman" w:eastAsia="Times New Roman" w:cs="Times New Roman"/>
          <w:b/>
          <w:bCs/>
          <w:spacing w:val="7"/>
          <w:sz w:val="23"/>
          <w:szCs w:val="23"/>
        </w:rPr>
        <w:t>2</w:t>
      </w:r>
      <w:r>
        <w:rPr>
          <w:rFonts w:ascii="Times New Roman" w:hAnsi="Times New Roman" w:eastAsia="Times New Roman" w:cs="Times New Roman"/>
          <w:b/>
          <w:bCs/>
          <w:spacing w:val="6"/>
          <w:sz w:val="23"/>
          <w:szCs w:val="23"/>
        </w:rPr>
        <w:t>.2.2</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地下水环境影响分析</w:t>
      </w:r>
    </w:p>
    <w:p w14:paraId="7CFDC396">
      <w:pPr>
        <w:spacing w:before="182" w:line="227" w:lineRule="auto"/>
        <w:ind w:left="501"/>
        <w:rPr>
          <w:rFonts w:ascii="宋体" w:hAnsi="宋体" w:eastAsia="宋体" w:cs="宋体"/>
          <w:sz w:val="23"/>
          <w:szCs w:val="23"/>
        </w:rPr>
      </w:pP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7"/>
          <w:sz w:val="23"/>
          <w:szCs w:val="23"/>
        </w:rPr>
        <w:t>1</w:t>
      </w:r>
      <w:r>
        <w:rPr>
          <w:rFonts w:ascii="宋体" w:hAnsi="宋体" w:eastAsia="宋体" w:cs="宋体"/>
          <w:spacing w:val="17"/>
          <w:sz w:val="23"/>
          <w:szCs w:val="23"/>
          <w14:textOutline w14:w="4356" w14:cap="sq" w14:cmpd="sng" w14:algn="ctr">
            <w14:solidFill>
              <w14:srgbClr w14:val="000000"/>
            </w14:solidFill>
            <w14:prstDash w14:val="solid"/>
            <w14:bevel/>
          </w14:textOutline>
        </w:rPr>
        <w:t>)</w:t>
      </w:r>
      <w:r>
        <w:rPr>
          <w:rFonts w:ascii="宋体" w:hAnsi="宋体" w:eastAsia="宋体" w:cs="宋体"/>
          <w:spacing w:val="17"/>
          <w:sz w:val="23"/>
          <w:szCs w:val="23"/>
        </w:rPr>
        <w:t xml:space="preserve"> </w:t>
      </w:r>
      <w:r>
        <w:rPr>
          <w:rFonts w:ascii="宋体" w:hAnsi="宋体" w:eastAsia="宋体" w:cs="宋体"/>
          <w:spacing w:val="17"/>
          <w:sz w:val="23"/>
          <w:szCs w:val="23"/>
          <w14:textOutline w14:w="4356" w14:cap="sq" w14:cmpd="sng" w14:algn="ctr">
            <w14:solidFill>
              <w14:srgbClr w14:val="000000"/>
            </w14:solidFill>
            <w14:prstDash w14:val="solid"/>
            <w14:bevel/>
          </w14:textOutline>
        </w:rPr>
        <w:t>地下水污染源分析</w:t>
      </w:r>
    </w:p>
    <w:p w14:paraId="2E455033">
      <w:pPr>
        <w:spacing w:before="142" w:line="378" w:lineRule="auto"/>
        <w:ind w:left="10" w:right="13" w:firstLine="483"/>
        <w:rPr>
          <w:rFonts w:ascii="宋体" w:hAnsi="宋体" w:eastAsia="宋体" w:cs="宋体"/>
          <w:sz w:val="23"/>
          <w:szCs w:val="23"/>
        </w:rPr>
      </w:pPr>
      <w:r>
        <w:rPr>
          <w:rFonts w:ascii="宋体" w:hAnsi="宋体" w:eastAsia="宋体" w:cs="宋体"/>
          <w:spacing w:val="1"/>
          <w:sz w:val="23"/>
          <w:szCs w:val="23"/>
        </w:rPr>
        <w:t>该项目投产后，项目生活污水(包含餐饮废水)的产生量为</w:t>
      </w:r>
      <w:r>
        <w:rPr>
          <w:rFonts w:ascii="宋体" w:hAnsi="宋体" w:eastAsia="宋体" w:cs="宋体"/>
          <w:sz w:val="23"/>
          <w:szCs w:val="23"/>
        </w:rPr>
        <w:t xml:space="preserve"> </w:t>
      </w:r>
      <w:r>
        <w:rPr>
          <w:rFonts w:ascii="Times New Roman" w:hAnsi="Times New Roman" w:eastAsia="Times New Roman" w:cs="Times New Roman"/>
          <w:sz w:val="23"/>
          <w:szCs w:val="23"/>
        </w:rPr>
        <w:t>0.85m</w:t>
      </w:r>
      <w:r>
        <w:rPr>
          <w:rFonts w:ascii="Times New Roman" w:hAnsi="Times New Roman" w:eastAsia="Times New Roman" w:cs="Times New Roman"/>
          <w:position w:val="7"/>
          <w:sz w:val="15"/>
          <w:szCs w:val="15"/>
        </w:rPr>
        <w:t>3</w:t>
      </w:r>
      <w:r>
        <w:rPr>
          <w:rFonts w:ascii="Times New Roman" w:hAnsi="Times New Roman" w:eastAsia="Times New Roman" w:cs="Times New Roman"/>
          <w:sz w:val="23"/>
          <w:szCs w:val="23"/>
        </w:rPr>
        <w:t>/d</w:t>
      </w:r>
      <w:r>
        <w:rPr>
          <w:rFonts w:ascii="宋体" w:hAnsi="宋体" w:eastAsia="宋体" w:cs="宋体"/>
          <w:sz w:val="23"/>
          <w:szCs w:val="23"/>
        </w:rPr>
        <w:t>，</w:t>
      </w:r>
      <w:r>
        <w:rPr>
          <w:rFonts w:ascii="Times New Roman" w:hAnsi="Times New Roman" w:eastAsia="Times New Roman" w:cs="Times New Roman"/>
          <w:sz w:val="23"/>
          <w:szCs w:val="23"/>
        </w:rPr>
        <w:t>310.25m</w:t>
      </w:r>
      <w:r>
        <w:rPr>
          <w:rFonts w:ascii="Times New Roman" w:hAnsi="Times New Roman" w:eastAsia="Times New Roman" w:cs="Times New Roman"/>
          <w:position w:val="7"/>
          <w:sz w:val="15"/>
          <w:szCs w:val="15"/>
        </w:rPr>
        <w:t>3</w:t>
      </w:r>
      <w:r>
        <w:rPr>
          <w:rFonts w:ascii="Times New Roman" w:hAnsi="Times New Roman" w:eastAsia="Times New Roman" w:cs="Times New Roman"/>
          <w:sz w:val="23"/>
          <w:szCs w:val="23"/>
        </w:rPr>
        <w:t>/a</w:t>
      </w:r>
      <w:r>
        <w:rPr>
          <w:rFonts w:ascii="宋体" w:hAnsi="宋体" w:eastAsia="宋体" w:cs="宋体"/>
          <w:sz w:val="23"/>
          <w:szCs w:val="23"/>
        </w:rPr>
        <w:t xml:space="preserve">， </w:t>
      </w:r>
      <w:r>
        <w:rPr>
          <w:rFonts w:ascii="宋体" w:hAnsi="宋体" w:eastAsia="宋体" w:cs="宋体"/>
          <w:spacing w:val="4"/>
          <w:sz w:val="23"/>
          <w:szCs w:val="23"/>
        </w:rPr>
        <w:t xml:space="preserve">生产废水产生量为 </w:t>
      </w:r>
      <w:r>
        <w:rPr>
          <w:rFonts w:ascii="Times New Roman" w:hAnsi="Times New Roman" w:eastAsia="Times New Roman" w:cs="Times New Roman"/>
          <w:spacing w:val="4"/>
          <w:sz w:val="23"/>
          <w:szCs w:val="23"/>
        </w:rPr>
        <w:t>12534</w:t>
      </w:r>
      <w:r>
        <w:rPr>
          <w:rFonts w:ascii="Times New Roman" w:hAnsi="Times New Roman" w:eastAsia="Times New Roman" w:cs="Times New Roman"/>
          <w:spacing w:val="2"/>
          <w:sz w:val="23"/>
          <w:szCs w:val="23"/>
        </w:rPr>
        <w:t>.314</w:t>
      </w:r>
      <w:r>
        <w:rPr>
          <w:rFonts w:ascii="Times New Roman" w:hAnsi="Times New Roman" w:eastAsia="Times New Roman" w:cs="Times New Roman"/>
          <w:sz w:val="23"/>
          <w:szCs w:val="23"/>
        </w:rPr>
        <w:t>m</w:t>
      </w:r>
      <w:r>
        <w:rPr>
          <w:rFonts w:ascii="Times New Roman" w:hAnsi="Times New Roman" w:eastAsia="Times New Roman" w:cs="Times New Roman"/>
          <w:spacing w:val="2"/>
          <w:position w:val="7"/>
          <w:sz w:val="15"/>
          <w:szCs w:val="15"/>
        </w:rPr>
        <w:t>3</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 xml:space="preserve">。废水中主要污染因子为 </w:t>
      </w:r>
      <w:r>
        <w:rPr>
          <w:rFonts w:ascii="Times New Roman" w:hAnsi="Times New Roman" w:eastAsia="Times New Roman" w:cs="Times New Roman"/>
          <w:sz w:val="23"/>
          <w:szCs w:val="23"/>
        </w:rPr>
        <w:t>COD</w:t>
      </w:r>
      <w:r>
        <w:rPr>
          <w:rFonts w:ascii="Times New Roman" w:hAnsi="Times New Roman" w:eastAsia="Times New Roman" w:cs="Times New Roman"/>
          <w:position w:val="-1"/>
          <w:sz w:val="15"/>
          <w:szCs w:val="15"/>
        </w:rPr>
        <w:t>cr</w:t>
      </w:r>
      <w:r>
        <w:rPr>
          <w:rFonts w:ascii="Times New Roman" w:hAnsi="Times New Roman" w:eastAsia="Times New Roman" w:cs="Times New Roman"/>
          <w:spacing w:val="2"/>
          <w:position w:val="-1"/>
          <w:sz w:val="15"/>
          <w:szCs w:val="15"/>
        </w:rPr>
        <w:t xml:space="preserve"> </w:t>
      </w:r>
      <w:r>
        <w:rPr>
          <w:rFonts w:ascii="宋体" w:hAnsi="宋体" w:eastAsia="宋体" w:cs="宋体"/>
          <w:spacing w:val="2"/>
          <w:sz w:val="23"/>
          <w:szCs w:val="23"/>
        </w:rPr>
        <w:t>、</w:t>
      </w:r>
      <w:r>
        <w:rPr>
          <w:rFonts w:ascii="Times New Roman" w:hAnsi="Times New Roman" w:eastAsia="Times New Roman" w:cs="Times New Roman"/>
          <w:sz w:val="23"/>
          <w:szCs w:val="23"/>
        </w:rPr>
        <w:t>NH</w:t>
      </w:r>
      <w:r>
        <w:rPr>
          <w:rFonts w:ascii="Times New Roman" w:hAnsi="Times New Roman" w:eastAsia="Times New Roman" w:cs="Times New Roman"/>
          <w:spacing w:val="2"/>
          <w:position w:val="-1"/>
          <w:sz w:val="15"/>
          <w:szCs w:val="15"/>
        </w:rPr>
        <w:t>4</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N</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等，本项</w:t>
      </w:r>
      <w:r>
        <w:rPr>
          <w:rFonts w:ascii="宋体" w:hAnsi="宋体" w:eastAsia="宋体" w:cs="宋体"/>
          <w:sz w:val="23"/>
          <w:szCs w:val="23"/>
        </w:rPr>
        <w:t xml:space="preserve"> </w:t>
      </w:r>
      <w:r>
        <w:rPr>
          <w:rFonts w:ascii="宋体" w:hAnsi="宋体" w:eastAsia="宋体" w:cs="宋体"/>
          <w:spacing w:val="18"/>
          <w:sz w:val="23"/>
          <w:szCs w:val="23"/>
        </w:rPr>
        <w:t>目清</w:t>
      </w:r>
      <w:r>
        <w:rPr>
          <w:rFonts w:ascii="宋体" w:hAnsi="宋体" w:eastAsia="宋体" w:cs="宋体"/>
          <w:spacing w:val="10"/>
          <w:sz w:val="23"/>
          <w:szCs w:val="23"/>
        </w:rPr>
        <w:t>粪</w:t>
      </w:r>
      <w:r>
        <w:rPr>
          <w:rFonts w:ascii="宋体" w:hAnsi="宋体" w:eastAsia="宋体" w:cs="宋体"/>
          <w:spacing w:val="9"/>
          <w:sz w:val="23"/>
          <w:szCs w:val="23"/>
        </w:rPr>
        <w:t xml:space="preserve">工艺采用 </w:t>
      </w:r>
      <w:r>
        <w:rPr>
          <w:rFonts w:ascii="Times New Roman" w:hAnsi="Times New Roman" w:eastAsia="Times New Roman" w:cs="Times New Roman"/>
          <w:spacing w:val="9"/>
          <w:sz w:val="23"/>
          <w:szCs w:val="23"/>
        </w:rPr>
        <w:t xml:space="preserve">2/3 </w:t>
      </w:r>
      <w:r>
        <w:rPr>
          <w:rFonts w:ascii="宋体" w:hAnsi="宋体" w:eastAsia="宋体" w:cs="宋体"/>
          <w:spacing w:val="9"/>
          <w:sz w:val="23"/>
          <w:szCs w:val="23"/>
        </w:rPr>
        <w:t>漏缝板清粪工艺，原理是猪舍内产生的粪尿依靠重力进入缝隙</w:t>
      </w:r>
      <w:r>
        <w:rPr>
          <w:rFonts w:ascii="宋体" w:hAnsi="宋体" w:eastAsia="宋体" w:cs="宋体"/>
          <w:sz w:val="23"/>
          <w:szCs w:val="23"/>
        </w:rPr>
        <w:t xml:space="preserve"> </w:t>
      </w:r>
      <w:r>
        <w:rPr>
          <w:rFonts w:ascii="宋体" w:hAnsi="宋体" w:eastAsia="宋体" w:cs="宋体"/>
          <w:spacing w:val="10"/>
          <w:sz w:val="23"/>
          <w:szCs w:val="23"/>
        </w:rPr>
        <w:t>地板下的</w:t>
      </w:r>
      <w:r>
        <w:rPr>
          <w:rFonts w:ascii="宋体" w:hAnsi="宋体" w:eastAsia="宋体" w:cs="宋体"/>
          <w:spacing w:val="5"/>
          <w:sz w:val="23"/>
          <w:szCs w:val="23"/>
        </w:rPr>
        <w:t xml:space="preserve"> </w:t>
      </w:r>
      <w:r>
        <w:rPr>
          <w:rFonts w:ascii="Times New Roman" w:hAnsi="Times New Roman" w:eastAsia="Times New Roman" w:cs="Times New Roman"/>
          <w:sz w:val="23"/>
          <w:szCs w:val="23"/>
        </w:rPr>
        <w:t>V</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型储存池，储存池两侧高，中间低，尿液随着斜坡流进储存池中间设置</w:t>
      </w:r>
      <w:r>
        <w:rPr>
          <w:rFonts w:ascii="宋体" w:hAnsi="宋体" w:eastAsia="宋体" w:cs="宋体"/>
          <w:sz w:val="23"/>
          <w:szCs w:val="23"/>
        </w:rPr>
        <w:t xml:space="preserve"> </w:t>
      </w:r>
      <w:r>
        <w:rPr>
          <w:rFonts w:ascii="宋体" w:hAnsi="宋体" w:eastAsia="宋体" w:cs="宋体"/>
          <w:spacing w:val="20"/>
          <w:sz w:val="23"/>
          <w:szCs w:val="23"/>
        </w:rPr>
        <w:t>的</w:t>
      </w:r>
      <w:r>
        <w:rPr>
          <w:rFonts w:ascii="宋体" w:hAnsi="宋体" w:eastAsia="宋体" w:cs="宋体"/>
          <w:spacing w:val="17"/>
          <w:sz w:val="23"/>
          <w:szCs w:val="23"/>
        </w:rPr>
        <w:t>导</w:t>
      </w:r>
      <w:r>
        <w:rPr>
          <w:rFonts w:ascii="宋体" w:hAnsi="宋体" w:eastAsia="宋体" w:cs="宋体"/>
          <w:spacing w:val="10"/>
          <w:sz w:val="23"/>
          <w:szCs w:val="23"/>
        </w:rPr>
        <w:t>尿渠，之后流入圈舍外下水道最终进入场区化粪池，储存池内粪尿通过机械刮</w:t>
      </w:r>
      <w:r>
        <w:rPr>
          <w:rFonts w:ascii="宋体" w:hAnsi="宋体" w:eastAsia="宋体" w:cs="宋体"/>
          <w:sz w:val="23"/>
          <w:szCs w:val="23"/>
        </w:rPr>
        <w:t xml:space="preserve"> </w:t>
      </w:r>
      <w:r>
        <w:rPr>
          <w:rFonts w:ascii="宋体" w:hAnsi="宋体" w:eastAsia="宋体" w:cs="宋体"/>
          <w:spacing w:val="18"/>
          <w:sz w:val="23"/>
          <w:szCs w:val="23"/>
        </w:rPr>
        <w:t>板</w:t>
      </w:r>
      <w:r>
        <w:rPr>
          <w:rFonts w:ascii="宋体" w:hAnsi="宋体" w:eastAsia="宋体" w:cs="宋体"/>
          <w:spacing w:val="15"/>
          <w:sz w:val="23"/>
          <w:szCs w:val="23"/>
        </w:rPr>
        <w:t>排</w:t>
      </w:r>
      <w:r>
        <w:rPr>
          <w:rFonts w:ascii="宋体" w:hAnsi="宋体" w:eastAsia="宋体" w:cs="宋体"/>
          <w:spacing w:val="9"/>
          <w:sz w:val="23"/>
          <w:szCs w:val="23"/>
        </w:rPr>
        <w:t>出，运至集污池，与废水混合均匀后喷洒至异位微生物发酵床无害化处理。</w:t>
      </w:r>
    </w:p>
    <w:p w14:paraId="34226E00">
      <w:pPr>
        <w:spacing w:before="18" w:line="375" w:lineRule="auto"/>
        <w:ind w:left="9" w:right="141" w:firstLine="483"/>
        <w:rPr>
          <w:rFonts w:ascii="宋体" w:hAnsi="宋体" w:eastAsia="宋体" w:cs="宋体"/>
          <w:sz w:val="23"/>
          <w:szCs w:val="23"/>
        </w:rPr>
      </w:pPr>
      <w:r>
        <w:rPr>
          <w:rFonts w:ascii="宋体" w:hAnsi="宋体" w:eastAsia="宋体" w:cs="宋体"/>
          <w:spacing w:val="16"/>
          <w:sz w:val="23"/>
          <w:szCs w:val="23"/>
        </w:rPr>
        <w:t>异位</w:t>
      </w:r>
      <w:r>
        <w:rPr>
          <w:rFonts w:ascii="宋体" w:hAnsi="宋体" w:eastAsia="宋体" w:cs="宋体"/>
          <w:spacing w:val="13"/>
          <w:sz w:val="23"/>
          <w:szCs w:val="23"/>
        </w:rPr>
        <w:t>发</w:t>
      </w:r>
      <w:r>
        <w:rPr>
          <w:rFonts w:ascii="宋体" w:hAnsi="宋体" w:eastAsia="宋体" w:cs="宋体"/>
          <w:spacing w:val="8"/>
          <w:sz w:val="23"/>
          <w:szCs w:val="23"/>
        </w:rPr>
        <w:t>酵床和猪粪收集池是评价区地下水主要污染源，该项目在营运过程中，</w:t>
      </w:r>
      <w:r>
        <w:rPr>
          <w:rFonts w:ascii="宋体" w:hAnsi="宋体" w:eastAsia="宋体" w:cs="宋体"/>
          <w:sz w:val="23"/>
          <w:szCs w:val="23"/>
        </w:rPr>
        <w:t xml:space="preserve"> </w:t>
      </w:r>
      <w:r>
        <w:rPr>
          <w:rFonts w:ascii="宋体" w:hAnsi="宋体" w:eastAsia="宋体" w:cs="宋体"/>
          <w:spacing w:val="15"/>
          <w:sz w:val="23"/>
          <w:szCs w:val="23"/>
        </w:rPr>
        <w:t>废</w:t>
      </w:r>
      <w:r>
        <w:rPr>
          <w:rFonts w:ascii="宋体" w:hAnsi="宋体" w:eastAsia="宋体" w:cs="宋体"/>
          <w:spacing w:val="9"/>
          <w:sz w:val="23"/>
          <w:szCs w:val="23"/>
        </w:rPr>
        <w:t>水中污染物含量较低，故对附近地下水环境影响较小。</w:t>
      </w:r>
    </w:p>
    <w:p w14:paraId="27E2B5B1">
      <w:pPr>
        <w:spacing w:line="227" w:lineRule="auto"/>
        <w:ind w:left="501"/>
        <w:rPr>
          <w:rFonts w:ascii="宋体" w:hAnsi="宋体" w:eastAsia="宋体" w:cs="宋体"/>
          <w:sz w:val="23"/>
          <w:szCs w:val="23"/>
        </w:rPr>
      </w:pP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8"/>
          <w:sz w:val="23"/>
          <w:szCs w:val="23"/>
        </w:rPr>
        <w:t>2</w:t>
      </w: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宋体" w:hAnsi="宋体" w:eastAsia="宋体" w:cs="宋体"/>
          <w:spacing w:val="18"/>
          <w:sz w:val="23"/>
          <w:szCs w:val="23"/>
        </w:rPr>
        <w:t xml:space="preserve"> </w:t>
      </w:r>
      <w:r>
        <w:rPr>
          <w:rFonts w:ascii="宋体" w:hAnsi="宋体" w:eastAsia="宋体" w:cs="宋体"/>
          <w:spacing w:val="18"/>
          <w:sz w:val="23"/>
          <w:szCs w:val="23"/>
          <w14:textOutline w14:w="4356" w14:cap="sq" w14:cmpd="sng" w14:algn="ctr">
            <w14:solidFill>
              <w14:srgbClr w14:val="000000"/>
            </w14:solidFill>
            <w14:prstDash w14:val="solid"/>
            <w14:bevel/>
          </w14:textOutline>
        </w:rPr>
        <w:t>地下水污染途</w:t>
      </w:r>
      <w:r>
        <w:rPr>
          <w:rFonts w:ascii="宋体" w:hAnsi="宋体" w:eastAsia="宋体" w:cs="宋体"/>
          <w:spacing w:val="16"/>
          <w:sz w:val="23"/>
          <w:szCs w:val="23"/>
          <w14:textOutline w14:w="4356" w14:cap="sq" w14:cmpd="sng" w14:algn="ctr">
            <w14:solidFill>
              <w14:srgbClr w14:val="000000"/>
            </w14:solidFill>
            <w14:prstDash w14:val="solid"/>
            <w14:bevel/>
          </w14:textOutline>
        </w:rPr>
        <w:t>径</w:t>
      </w:r>
    </w:p>
    <w:p w14:paraId="3F6109EA">
      <w:pPr>
        <w:spacing w:before="185" w:line="227" w:lineRule="auto"/>
        <w:ind w:left="490"/>
        <w:rPr>
          <w:rFonts w:ascii="宋体" w:hAnsi="宋体" w:eastAsia="宋体" w:cs="宋体"/>
          <w:sz w:val="23"/>
          <w:szCs w:val="23"/>
        </w:rPr>
      </w:pPr>
      <w:r>
        <w:rPr>
          <w:rFonts w:ascii="宋体" w:hAnsi="宋体" w:eastAsia="宋体" w:cs="宋体"/>
          <w:spacing w:val="6"/>
          <w:sz w:val="23"/>
          <w:szCs w:val="23"/>
        </w:rPr>
        <w:t>地下水污染途径一般分为四种，即间接入渗型、连续入渗型、越流型和径流型</w:t>
      </w:r>
      <w:r>
        <w:rPr>
          <w:rFonts w:ascii="宋体" w:hAnsi="宋体" w:eastAsia="宋体" w:cs="宋体"/>
          <w:spacing w:val="3"/>
          <w:sz w:val="23"/>
          <w:szCs w:val="23"/>
        </w:rPr>
        <w:t>。</w:t>
      </w:r>
    </w:p>
    <w:p w14:paraId="08C61BD8">
      <w:pPr>
        <w:spacing w:before="183" w:line="228" w:lineRule="auto"/>
        <w:ind w:left="508"/>
        <w:rPr>
          <w:rFonts w:ascii="宋体" w:hAnsi="宋体" w:eastAsia="宋体" w:cs="宋体"/>
          <w:sz w:val="23"/>
          <w:szCs w:val="23"/>
        </w:rPr>
      </w:pPr>
      <w:r>
        <w:rPr>
          <w:rFonts w:ascii="Times New Roman" w:hAnsi="Times New Roman" w:eastAsia="Times New Roman" w:cs="Times New Roman"/>
          <w:spacing w:val="8"/>
          <w:sz w:val="23"/>
          <w:szCs w:val="23"/>
        </w:rPr>
        <w:t>1</w:t>
      </w:r>
      <w:r>
        <w:rPr>
          <w:rFonts w:ascii="宋体" w:hAnsi="宋体" w:eastAsia="宋体" w:cs="宋体"/>
          <w:spacing w:val="4"/>
          <w:sz w:val="23"/>
          <w:szCs w:val="23"/>
        </w:rPr>
        <w:t>) 间接入渗型</w:t>
      </w:r>
    </w:p>
    <w:p w14:paraId="3326EC09">
      <w:pPr>
        <w:spacing w:before="187" w:line="374" w:lineRule="auto"/>
        <w:ind w:left="10" w:right="80" w:firstLine="498"/>
        <w:rPr>
          <w:rFonts w:ascii="宋体" w:hAnsi="宋体" w:eastAsia="宋体" w:cs="宋体"/>
          <w:sz w:val="23"/>
          <w:szCs w:val="23"/>
        </w:rPr>
      </w:pPr>
      <w:r>
        <w:rPr>
          <w:rFonts w:ascii="宋体" w:hAnsi="宋体" w:eastAsia="宋体" w:cs="宋体"/>
          <w:spacing w:val="10"/>
          <w:sz w:val="23"/>
          <w:szCs w:val="23"/>
        </w:rPr>
        <w:t>间接入渗型的特点是污染物通过大气降水或灌溉水的淋滤，使固体废弃物、</w:t>
      </w:r>
      <w:r>
        <w:rPr>
          <w:rFonts w:ascii="宋体" w:hAnsi="宋体" w:eastAsia="宋体" w:cs="宋体"/>
          <w:spacing w:val="8"/>
          <w:sz w:val="23"/>
          <w:szCs w:val="23"/>
        </w:rPr>
        <w:t>表</w:t>
      </w:r>
      <w:r>
        <w:rPr>
          <w:rFonts w:ascii="宋体" w:hAnsi="宋体" w:eastAsia="宋体" w:cs="宋体"/>
          <w:sz w:val="23"/>
          <w:szCs w:val="23"/>
        </w:rPr>
        <w:t xml:space="preserve"> </w:t>
      </w:r>
      <w:r>
        <w:rPr>
          <w:rFonts w:ascii="宋体" w:hAnsi="宋体" w:eastAsia="宋体" w:cs="宋体"/>
          <w:spacing w:val="20"/>
          <w:sz w:val="23"/>
          <w:szCs w:val="23"/>
        </w:rPr>
        <w:t>层</w:t>
      </w:r>
      <w:r>
        <w:rPr>
          <w:rFonts w:ascii="宋体" w:hAnsi="宋体" w:eastAsia="宋体" w:cs="宋体"/>
          <w:spacing w:val="16"/>
          <w:sz w:val="23"/>
          <w:szCs w:val="23"/>
        </w:rPr>
        <w:t>土</w:t>
      </w:r>
      <w:r>
        <w:rPr>
          <w:rFonts w:ascii="宋体" w:hAnsi="宋体" w:eastAsia="宋体" w:cs="宋体"/>
          <w:spacing w:val="10"/>
          <w:sz w:val="23"/>
          <w:szCs w:val="23"/>
        </w:rPr>
        <w:t>壤或地层中的有毒或有害物质周期性从污染源通过包气带土层渗入含水层。这</w:t>
      </w:r>
      <w:r>
        <w:rPr>
          <w:rFonts w:ascii="宋体" w:hAnsi="宋体" w:eastAsia="宋体" w:cs="宋体"/>
          <w:sz w:val="23"/>
          <w:szCs w:val="23"/>
        </w:rPr>
        <w:t xml:space="preserve"> </w:t>
      </w:r>
      <w:r>
        <w:rPr>
          <w:rFonts w:ascii="宋体" w:hAnsi="宋体" w:eastAsia="宋体" w:cs="宋体"/>
          <w:spacing w:val="20"/>
          <w:sz w:val="23"/>
          <w:szCs w:val="23"/>
        </w:rPr>
        <w:t>种</w:t>
      </w:r>
      <w:r>
        <w:rPr>
          <w:rFonts w:ascii="宋体" w:hAnsi="宋体" w:eastAsia="宋体" w:cs="宋体"/>
          <w:spacing w:val="16"/>
          <w:sz w:val="23"/>
          <w:szCs w:val="23"/>
        </w:rPr>
        <w:t>渗</w:t>
      </w:r>
      <w:r>
        <w:rPr>
          <w:rFonts w:ascii="宋体" w:hAnsi="宋体" w:eastAsia="宋体" w:cs="宋体"/>
          <w:spacing w:val="10"/>
          <w:sz w:val="23"/>
          <w:szCs w:val="23"/>
        </w:rPr>
        <w:t>入形式一般呈非饱水状态的淋雨状渗流形式，或者呈短时间的饱水状态连续渗</w:t>
      </w:r>
      <w:r>
        <w:rPr>
          <w:rFonts w:ascii="宋体" w:hAnsi="宋体" w:eastAsia="宋体" w:cs="宋体"/>
          <w:sz w:val="23"/>
          <w:szCs w:val="23"/>
        </w:rPr>
        <w:t xml:space="preserve"> </w:t>
      </w:r>
      <w:r>
        <w:rPr>
          <w:rFonts w:ascii="宋体" w:hAnsi="宋体" w:eastAsia="宋体" w:cs="宋体"/>
          <w:spacing w:val="20"/>
          <w:sz w:val="23"/>
          <w:szCs w:val="23"/>
        </w:rPr>
        <w:t>流</w:t>
      </w:r>
      <w:r>
        <w:rPr>
          <w:rFonts w:ascii="宋体" w:hAnsi="宋体" w:eastAsia="宋体" w:cs="宋体"/>
          <w:spacing w:val="16"/>
          <w:sz w:val="23"/>
          <w:szCs w:val="23"/>
        </w:rPr>
        <w:t>形</w:t>
      </w:r>
      <w:r>
        <w:rPr>
          <w:rFonts w:ascii="宋体" w:hAnsi="宋体" w:eastAsia="宋体" w:cs="宋体"/>
          <w:spacing w:val="10"/>
          <w:sz w:val="23"/>
          <w:szCs w:val="23"/>
        </w:rPr>
        <w:t>式。此类污水，无论在其范围或浓度上，均可能有明显的季节性变化，受污染</w:t>
      </w:r>
      <w:r>
        <w:rPr>
          <w:rFonts w:ascii="宋体" w:hAnsi="宋体" w:eastAsia="宋体" w:cs="宋体"/>
          <w:sz w:val="23"/>
          <w:szCs w:val="23"/>
        </w:rPr>
        <w:t xml:space="preserve"> </w:t>
      </w:r>
      <w:r>
        <w:rPr>
          <w:rFonts w:ascii="宋体" w:hAnsi="宋体" w:eastAsia="宋体" w:cs="宋体"/>
          <w:spacing w:val="12"/>
          <w:sz w:val="23"/>
          <w:szCs w:val="23"/>
        </w:rPr>
        <w:t>的</w:t>
      </w:r>
      <w:r>
        <w:rPr>
          <w:rFonts w:ascii="宋体" w:hAnsi="宋体" w:eastAsia="宋体" w:cs="宋体"/>
          <w:spacing w:val="8"/>
          <w:sz w:val="23"/>
          <w:szCs w:val="23"/>
        </w:rPr>
        <w:t>对象主要是浅层地下水。</w:t>
      </w:r>
    </w:p>
    <w:p w14:paraId="7739E271">
      <w:pPr>
        <w:spacing w:line="228" w:lineRule="auto"/>
        <w:ind w:left="365"/>
        <w:rPr>
          <w:rFonts w:ascii="宋体" w:hAnsi="宋体" w:eastAsia="宋体" w:cs="宋体"/>
          <w:sz w:val="23"/>
          <w:szCs w:val="23"/>
        </w:rPr>
      </w:pPr>
      <w:r>
        <w:rPr>
          <w:rFonts w:ascii="Times New Roman" w:hAnsi="Times New Roman" w:eastAsia="Times New Roman" w:cs="Times New Roman"/>
          <w:spacing w:val="10"/>
          <w:sz w:val="23"/>
          <w:szCs w:val="23"/>
        </w:rPr>
        <w:t>2</w:t>
      </w:r>
      <w:r>
        <w:rPr>
          <w:rFonts w:ascii="宋体" w:hAnsi="宋体" w:eastAsia="宋体" w:cs="宋体"/>
          <w:spacing w:val="7"/>
          <w:sz w:val="23"/>
          <w:szCs w:val="23"/>
        </w:rPr>
        <w:t>) 连续入渗型</w:t>
      </w:r>
    </w:p>
    <w:p w14:paraId="02B10CB4">
      <w:pPr>
        <w:spacing w:before="184" w:line="227" w:lineRule="auto"/>
        <w:ind w:left="491"/>
        <w:rPr>
          <w:rFonts w:ascii="宋体" w:hAnsi="宋体" w:eastAsia="宋体" w:cs="宋体"/>
          <w:sz w:val="23"/>
          <w:szCs w:val="23"/>
        </w:rPr>
      </w:pPr>
      <w:r>
        <w:rPr>
          <w:rFonts w:ascii="宋体" w:hAnsi="宋体" w:eastAsia="宋体" w:cs="宋体"/>
          <w:spacing w:val="20"/>
          <w:sz w:val="23"/>
          <w:szCs w:val="23"/>
        </w:rPr>
        <w:t>连</w:t>
      </w:r>
      <w:r>
        <w:rPr>
          <w:rFonts w:ascii="宋体" w:hAnsi="宋体" w:eastAsia="宋体" w:cs="宋体"/>
          <w:spacing w:val="16"/>
          <w:sz w:val="23"/>
          <w:szCs w:val="23"/>
        </w:rPr>
        <w:t>续</w:t>
      </w:r>
      <w:r>
        <w:rPr>
          <w:rFonts w:ascii="宋体" w:hAnsi="宋体" w:eastAsia="宋体" w:cs="宋体"/>
          <w:spacing w:val="10"/>
          <w:sz w:val="23"/>
          <w:szCs w:val="23"/>
        </w:rPr>
        <w:t>入渗型的特点是污染物随各种液体废弃物不断地经包气带渗入含水层，这</w:t>
      </w:r>
    </w:p>
    <w:p w14:paraId="5D410E69">
      <w:pPr>
        <w:sectPr>
          <w:headerReference r:id="rId199" w:type="default"/>
          <w:footerReference r:id="rId200" w:type="default"/>
          <w:pgSz w:w="11907" w:h="16840"/>
          <w:pgMar w:top="1153" w:right="1499" w:bottom="1485" w:left="1660" w:header="919" w:footer="1298" w:gutter="0"/>
          <w:cols w:space="720" w:num="1"/>
        </w:sectPr>
      </w:pPr>
    </w:p>
    <w:p w14:paraId="23D2B4C1">
      <w:pPr>
        <w:spacing w:before="44" w:line="374" w:lineRule="auto"/>
        <w:ind w:left="9"/>
        <w:rPr>
          <w:rFonts w:ascii="宋体" w:hAnsi="宋体" w:eastAsia="宋体" w:cs="宋体"/>
          <w:sz w:val="23"/>
          <w:szCs w:val="23"/>
        </w:rPr>
      </w:pPr>
      <w:r>
        <w:rPr>
          <w:rFonts w:ascii="宋体" w:hAnsi="宋体" w:eastAsia="宋体" w:cs="宋体"/>
          <w:spacing w:val="20"/>
          <w:sz w:val="23"/>
          <w:szCs w:val="23"/>
        </w:rPr>
        <w:t>种</w:t>
      </w:r>
      <w:r>
        <w:rPr>
          <w:rFonts w:ascii="宋体" w:hAnsi="宋体" w:eastAsia="宋体" w:cs="宋体"/>
          <w:spacing w:val="16"/>
          <w:sz w:val="23"/>
          <w:szCs w:val="23"/>
        </w:rPr>
        <w:t>情</w:t>
      </w:r>
      <w:r>
        <w:rPr>
          <w:rFonts w:ascii="宋体" w:hAnsi="宋体" w:eastAsia="宋体" w:cs="宋体"/>
          <w:spacing w:val="10"/>
          <w:sz w:val="23"/>
          <w:szCs w:val="23"/>
        </w:rPr>
        <w:t>况下或者包气带完全饱水，呈连续入渗的形式，或者是包气带上部的表土层完</w:t>
      </w:r>
      <w:r>
        <w:rPr>
          <w:rFonts w:ascii="宋体" w:hAnsi="宋体" w:eastAsia="宋体" w:cs="宋体"/>
          <w:sz w:val="23"/>
          <w:szCs w:val="23"/>
        </w:rPr>
        <w:t xml:space="preserve"> </w:t>
      </w:r>
      <w:r>
        <w:rPr>
          <w:rFonts w:ascii="宋体" w:hAnsi="宋体" w:eastAsia="宋体" w:cs="宋体"/>
          <w:spacing w:val="10"/>
          <w:sz w:val="23"/>
          <w:szCs w:val="23"/>
        </w:rPr>
        <w:t>全饱水呈连续渗流形式，而其下部 (下包气带) 呈非饱水的淋雨状的渗流形式，</w:t>
      </w:r>
      <w:r>
        <w:rPr>
          <w:rFonts w:ascii="宋体" w:hAnsi="宋体" w:eastAsia="宋体" w:cs="宋体"/>
          <w:spacing w:val="7"/>
          <w:sz w:val="23"/>
          <w:szCs w:val="23"/>
        </w:rPr>
        <w:t>渗</w:t>
      </w:r>
      <w:r>
        <w:rPr>
          <w:rFonts w:ascii="宋体" w:hAnsi="宋体" w:eastAsia="宋体" w:cs="宋体"/>
          <w:sz w:val="23"/>
          <w:szCs w:val="23"/>
        </w:rPr>
        <w:t xml:space="preserve"> </w:t>
      </w:r>
      <w:r>
        <w:rPr>
          <w:rFonts w:ascii="宋体" w:hAnsi="宋体" w:eastAsia="宋体" w:cs="宋体"/>
          <w:spacing w:val="8"/>
          <w:sz w:val="23"/>
          <w:szCs w:val="23"/>
        </w:rPr>
        <w:t>入</w:t>
      </w:r>
      <w:r>
        <w:rPr>
          <w:rFonts w:ascii="宋体" w:hAnsi="宋体" w:eastAsia="宋体" w:cs="宋体"/>
          <w:spacing w:val="7"/>
          <w:sz w:val="23"/>
          <w:szCs w:val="23"/>
        </w:rPr>
        <w:t>含</w:t>
      </w:r>
      <w:r>
        <w:rPr>
          <w:rFonts w:ascii="宋体" w:hAnsi="宋体" w:eastAsia="宋体" w:cs="宋体"/>
          <w:spacing w:val="4"/>
          <w:sz w:val="23"/>
          <w:szCs w:val="23"/>
        </w:rPr>
        <w:t>水层。  这种类型的污染对象亦主要是浅水含水层。</w:t>
      </w:r>
    </w:p>
    <w:p w14:paraId="656D1C17">
      <w:pPr>
        <w:spacing w:line="228" w:lineRule="auto"/>
        <w:ind w:left="490"/>
        <w:rPr>
          <w:rFonts w:ascii="宋体" w:hAnsi="宋体" w:eastAsia="宋体" w:cs="宋体"/>
          <w:sz w:val="23"/>
          <w:szCs w:val="23"/>
        </w:rPr>
      </w:pPr>
      <w:r>
        <w:rPr>
          <w:rFonts w:ascii="Times New Roman" w:hAnsi="Times New Roman" w:eastAsia="Times New Roman" w:cs="Times New Roman"/>
          <w:spacing w:val="6"/>
          <w:sz w:val="23"/>
          <w:szCs w:val="23"/>
        </w:rPr>
        <w:t>3</w:t>
      </w:r>
      <w:r>
        <w:rPr>
          <w:rFonts w:ascii="宋体" w:hAnsi="宋体" w:eastAsia="宋体" w:cs="宋体"/>
          <w:spacing w:val="6"/>
          <w:sz w:val="23"/>
          <w:szCs w:val="23"/>
        </w:rPr>
        <w:t>) 越流</w:t>
      </w:r>
      <w:r>
        <w:rPr>
          <w:rFonts w:ascii="宋体" w:hAnsi="宋体" w:eastAsia="宋体" w:cs="宋体"/>
          <w:spacing w:val="5"/>
          <w:sz w:val="23"/>
          <w:szCs w:val="23"/>
        </w:rPr>
        <w:t>型</w:t>
      </w:r>
    </w:p>
    <w:p w14:paraId="25DB7F3D">
      <w:pPr>
        <w:spacing w:before="180" w:line="375" w:lineRule="auto"/>
        <w:ind w:left="10" w:firstLine="479"/>
        <w:rPr>
          <w:rFonts w:ascii="宋体" w:hAnsi="宋体" w:eastAsia="宋体" w:cs="宋体"/>
          <w:sz w:val="23"/>
          <w:szCs w:val="23"/>
        </w:rPr>
      </w:pPr>
      <w:r>
        <w:rPr>
          <w:rFonts w:ascii="宋体" w:hAnsi="宋体" w:eastAsia="宋体" w:cs="宋体"/>
          <w:spacing w:val="20"/>
          <w:sz w:val="23"/>
          <w:szCs w:val="23"/>
        </w:rPr>
        <w:t>越</w:t>
      </w:r>
      <w:r>
        <w:rPr>
          <w:rFonts w:ascii="宋体" w:hAnsi="宋体" w:eastAsia="宋体" w:cs="宋体"/>
          <w:spacing w:val="17"/>
          <w:sz w:val="23"/>
          <w:szCs w:val="23"/>
        </w:rPr>
        <w:t>流</w:t>
      </w:r>
      <w:r>
        <w:rPr>
          <w:rFonts w:ascii="宋体" w:hAnsi="宋体" w:eastAsia="宋体" w:cs="宋体"/>
          <w:spacing w:val="10"/>
          <w:sz w:val="23"/>
          <w:szCs w:val="23"/>
        </w:rPr>
        <w:t>型的特点是污染物通过层间越流的形式转入其他含水层。这种转移或者是</w:t>
      </w:r>
      <w:r>
        <w:rPr>
          <w:rFonts w:ascii="宋体" w:hAnsi="宋体" w:eastAsia="宋体" w:cs="宋体"/>
          <w:sz w:val="23"/>
          <w:szCs w:val="23"/>
        </w:rPr>
        <w:t xml:space="preserve"> </w:t>
      </w:r>
      <w:r>
        <w:rPr>
          <w:rFonts w:ascii="宋体" w:hAnsi="宋体" w:eastAsia="宋体" w:cs="宋体"/>
          <w:spacing w:val="18"/>
          <w:sz w:val="23"/>
          <w:szCs w:val="23"/>
        </w:rPr>
        <w:t>通过</w:t>
      </w:r>
      <w:r>
        <w:rPr>
          <w:rFonts w:ascii="宋体" w:hAnsi="宋体" w:eastAsia="宋体" w:cs="宋体"/>
          <w:spacing w:val="16"/>
          <w:sz w:val="23"/>
          <w:szCs w:val="23"/>
        </w:rPr>
        <w:t>天</w:t>
      </w:r>
      <w:r>
        <w:rPr>
          <w:rFonts w:ascii="宋体" w:hAnsi="宋体" w:eastAsia="宋体" w:cs="宋体"/>
          <w:spacing w:val="9"/>
          <w:sz w:val="23"/>
          <w:szCs w:val="23"/>
        </w:rPr>
        <w:t>然途径 (水文地质天窗) ，或者通过人为途径 (结构不合理的井管、破损的</w:t>
      </w:r>
      <w:r>
        <w:rPr>
          <w:rFonts w:ascii="宋体" w:hAnsi="宋体" w:eastAsia="宋体" w:cs="宋体"/>
          <w:sz w:val="23"/>
          <w:szCs w:val="23"/>
        </w:rPr>
        <w:t xml:space="preserve"> </w:t>
      </w:r>
      <w:r>
        <w:rPr>
          <w:rFonts w:ascii="宋体" w:hAnsi="宋体" w:eastAsia="宋体" w:cs="宋体"/>
          <w:spacing w:val="16"/>
          <w:sz w:val="23"/>
          <w:szCs w:val="23"/>
        </w:rPr>
        <w:t>老</w:t>
      </w:r>
      <w:r>
        <w:rPr>
          <w:rFonts w:ascii="宋体" w:hAnsi="宋体" w:eastAsia="宋体" w:cs="宋体"/>
          <w:spacing w:val="10"/>
          <w:sz w:val="23"/>
          <w:szCs w:val="23"/>
        </w:rPr>
        <w:t>井管) ，或者人为开采引起的地下水动力条件的变化而改变了越流方向，使污染</w:t>
      </w:r>
      <w:r>
        <w:rPr>
          <w:rFonts w:ascii="宋体" w:hAnsi="宋体" w:eastAsia="宋体" w:cs="宋体"/>
          <w:sz w:val="23"/>
          <w:szCs w:val="23"/>
        </w:rPr>
        <w:t xml:space="preserve"> </w:t>
      </w:r>
      <w:r>
        <w:rPr>
          <w:rFonts w:ascii="宋体" w:hAnsi="宋体" w:eastAsia="宋体" w:cs="宋体"/>
          <w:spacing w:val="20"/>
          <w:sz w:val="23"/>
          <w:szCs w:val="23"/>
        </w:rPr>
        <w:t>物</w:t>
      </w:r>
      <w:r>
        <w:rPr>
          <w:rFonts w:ascii="宋体" w:hAnsi="宋体" w:eastAsia="宋体" w:cs="宋体"/>
          <w:spacing w:val="16"/>
          <w:sz w:val="23"/>
          <w:szCs w:val="23"/>
        </w:rPr>
        <w:t>通</w:t>
      </w:r>
      <w:r>
        <w:rPr>
          <w:rFonts w:ascii="宋体" w:hAnsi="宋体" w:eastAsia="宋体" w:cs="宋体"/>
          <w:spacing w:val="10"/>
          <w:sz w:val="23"/>
          <w:szCs w:val="23"/>
        </w:rPr>
        <w:t>过大面积的弱隔水层越流转移到其它含水层，其污染来源可能是地下水环境本</w:t>
      </w:r>
      <w:r>
        <w:rPr>
          <w:rFonts w:ascii="宋体" w:hAnsi="宋体" w:eastAsia="宋体" w:cs="宋体"/>
          <w:sz w:val="23"/>
          <w:szCs w:val="23"/>
        </w:rPr>
        <w:t xml:space="preserve"> </w:t>
      </w:r>
      <w:r>
        <w:rPr>
          <w:rFonts w:ascii="宋体" w:hAnsi="宋体" w:eastAsia="宋体" w:cs="宋体"/>
          <w:spacing w:val="20"/>
          <w:sz w:val="23"/>
          <w:szCs w:val="23"/>
        </w:rPr>
        <w:t>身</w:t>
      </w:r>
      <w:r>
        <w:rPr>
          <w:rFonts w:ascii="宋体" w:hAnsi="宋体" w:eastAsia="宋体" w:cs="宋体"/>
          <w:spacing w:val="16"/>
          <w:sz w:val="23"/>
          <w:szCs w:val="23"/>
        </w:rPr>
        <w:t>的</w:t>
      </w:r>
      <w:r>
        <w:rPr>
          <w:rFonts w:ascii="宋体" w:hAnsi="宋体" w:eastAsia="宋体" w:cs="宋体"/>
          <w:spacing w:val="10"/>
          <w:sz w:val="23"/>
          <w:szCs w:val="23"/>
        </w:rPr>
        <w:t>，也可能是外来的，它可能污染承压水或者潜水。研究这一类型污染的困难之</w:t>
      </w:r>
      <w:r>
        <w:rPr>
          <w:rFonts w:ascii="宋体" w:hAnsi="宋体" w:eastAsia="宋体" w:cs="宋体"/>
          <w:sz w:val="23"/>
          <w:szCs w:val="23"/>
        </w:rPr>
        <w:t xml:space="preserve"> </w:t>
      </w:r>
      <w:r>
        <w:rPr>
          <w:rFonts w:ascii="宋体" w:hAnsi="宋体" w:eastAsia="宋体" w:cs="宋体"/>
          <w:spacing w:val="9"/>
          <w:sz w:val="23"/>
          <w:szCs w:val="23"/>
        </w:rPr>
        <w:t>处是难于查清越流具体的地点及地质部位</w:t>
      </w:r>
      <w:r>
        <w:rPr>
          <w:rFonts w:ascii="宋体" w:hAnsi="宋体" w:eastAsia="宋体" w:cs="宋体"/>
          <w:spacing w:val="8"/>
          <w:sz w:val="23"/>
          <w:szCs w:val="23"/>
        </w:rPr>
        <w:t>。</w:t>
      </w:r>
    </w:p>
    <w:p w14:paraId="70AD1BAD">
      <w:pPr>
        <w:spacing w:line="227" w:lineRule="auto"/>
        <w:ind w:left="484"/>
        <w:rPr>
          <w:rFonts w:ascii="宋体" w:hAnsi="宋体" w:eastAsia="宋体" w:cs="宋体"/>
          <w:sz w:val="23"/>
          <w:szCs w:val="23"/>
        </w:rPr>
      </w:pPr>
      <w:r>
        <w:rPr>
          <w:rFonts w:ascii="Times New Roman" w:hAnsi="Times New Roman" w:eastAsia="Times New Roman" w:cs="Times New Roman"/>
          <w:spacing w:val="7"/>
          <w:sz w:val="23"/>
          <w:szCs w:val="23"/>
        </w:rPr>
        <w:t>4</w:t>
      </w:r>
      <w:r>
        <w:rPr>
          <w:rFonts w:ascii="宋体" w:hAnsi="宋体" w:eastAsia="宋体" w:cs="宋体"/>
          <w:spacing w:val="7"/>
          <w:sz w:val="23"/>
          <w:szCs w:val="23"/>
        </w:rPr>
        <w:t>) 径流</w:t>
      </w:r>
      <w:r>
        <w:rPr>
          <w:rFonts w:ascii="宋体" w:hAnsi="宋体" w:eastAsia="宋体" w:cs="宋体"/>
          <w:spacing w:val="6"/>
          <w:sz w:val="23"/>
          <w:szCs w:val="23"/>
        </w:rPr>
        <w:t>型</w:t>
      </w:r>
    </w:p>
    <w:p w14:paraId="3C0BB7DB">
      <w:pPr>
        <w:spacing w:before="183" w:line="227" w:lineRule="auto"/>
        <w:ind w:left="490"/>
        <w:rPr>
          <w:rFonts w:ascii="宋体" w:hAnsi="宋体" w:eastAsia="宋体" w:cs="宋体"/>
          <w:sz w:val="23"/>
          <w:szCs w:val="23"/>
        </w:rPr>
      </w:pPr>
      <w:r>
        <w:rPr>
          <w:rFonts w:ascii="宋体" w:hAnsi="宋体" w:eastAsia="宋体" w:cs="宋体"/>
          <w:spacing w:val="20"/>
          <w:sz w:val="23"/>
          <w:szCs w:val="23"/>
        </w:rPr>
        <w:t>径</w:t>
      </w:r>
      <w:r>
        <w:rPr>
          <w:rFonts w:ascii="宋体" w:hAnsi="宋体" w:eastAsia="宋体" w:cs="宋体"/>
          <w:spacing w:val="16"/>
          <w:sz w:val="23"/>
          <w:szCs w:val="23"/>
        </w:rPr>
        <w:t>流</w:t>
      </w:r>
      <w:r>
        <w:rPr>
          <w:rFonts w:ascii="宋体" w:hAnsi="宋体" w:eastAsia="宋体" w:cs="宋体"/>
          <w:spacing w:val="10"/>
          <w:sz w:val="23"/>
          <w:szCs w:val="23"/>
        </w:rPr>
        <w:t>型的特点是污染物通过地下水径流的形式进入含水层，或者通过废水处理</w:t>
      </w:r>
    </w:p>
    <w:p w14:paraId="289917B7">
      <w:pPr>
        <w:spacing w:before="183" w:line="375" w:lineRule="auto"/>
        <w:ind w:left="10"/>
        <w:rPr>
          <w:rFonts w:ascii="宋体" w:hAnsi="宋体" w:eastAsia="宋体" w:cs="宋体"/>
          <w:sz w:val="23"/>
          <w:szCs w:val="23"/>
        </w:rPr>
      </w:pPr>
      <w:r>
        <w:rPr>
          <w:rFonts w:ascii="宋体" w:hAnsi="宋体" w:eastAsia="宋体" w:cs="宋体"/>
          <w:spacing w:val="20"/>
          <w:sz w:val="23"/>
          <w:szCs w:val="23"/>
        </w:rPr>
        <w:t>井</w:t>
      </w:r>
      <w:r>
        <w:rPr>
          <w:rFonts w:ascii="宋体" w:hAnsi="宋体" w:eastAsia="宋体" w:cs="宋体"/>
          <w:spacing w:val="16"/>
          <w:sz w:val="23"/>
          <w:szCs w:val="23"/>
        </w:rPr>
        <w:t>，</w:t>
      </w:r>
      <w:r>
        <w:rPr>
          <w:rFonts w:ascii="宋体" w:hAnsi="宋体" w:eastAsia="宋体" w:cs="宋体"/>
          <w:spacing w:val="10"/>
          <w:sz w:val="23"/>
          <w:szCs w:val="23"/>
        </w:rPr>
        <w:t>或者通过岩溶发育的巨大岩溶通道，或者通过废液地下储存层的裂隙进入其他</w:t>
      </w:r>
      <w:r>
        <w:rPr>
          <w:rFonts w:ascii="宋体" w:hAnsi="宋体" w:eastAsia="宋体" w:cs="宋体"/>
          <w:sz w:val="23"/>
          <w:szCs w:val="23"/>
        </w:rPr>
        <w:t xml:space="preserve"> </w:t>
      </w:r>
      <w:r>
        <w:rPr>
          <w:rFonts w:ascii="宋体" w:hAnsi="宋体" w:eastAsia="宋体" w:cs="宋体"/>
          <w:spacing w:val="20"/>
          <w:sz w:val="23"/>
          <w:szCs w:val="23"/>
        </w:rPr>
        <w:t>含</w:t>
      </w:r>
      <w:r>
        <w:rPr>
          <w:rFonts w:ascii="宋体" w:hAnsi="宋体" w:eastAsia="宋体" w:cs="宋体"/>
          <w:spacing w:val="16"/>
          <w:sz w:val="23"/>
          <w:szCs w:val="23"/>
        </w:rPr>
        <w:t>水</w:t>
      </w:r>
      <w:r>
        <w:rPr>
          <w:rFonts w:ascii="宋体" w:hAnsi="宋体" w:eastAsia="宋体" w:cs="宋体"/>
          <w:spacing w:val="10"/>
          <w:sz w:val="23"/>
          <w:szCs w:val="23"/>
        </w:rPr>
        <w:t>层。此中形式的污染，其污染物可能是认为来源，也可能是天然来源，可能污</w:t>
      </w:r>
      <w:r>
        <w:rPr>
          <w:rFonts w:ascii="宋体" w:hAnsi="宋体" w:eastAsia="宋体" w:cs="宋体"/>
          <w:sz w:val="23"/>
          <w:szCs w:val="23"/>
        </w:rPr>
        <w:t xml:space="preserve"> </w:t>
      </w:r>
      <w:r>
        <w:rPr>
          <w:rFonts w:ascii="宋体" w:hAnsi="宋体" w:eastAsia="宋体" w:cs="宋体"/>
          <w:spacing w:val="20"/>
          <w:sz w:val="23"/>
          <w:szCs w:val="23"/>
        </w:rPr>
        <w:t>染</w:t>
      </w:r>
      <w:r>
        <w:rPr>
          <w:rFonts w:ascii="宋体" w:hAnsi="宋体" w:eastAsia="宋体" w:cs="宋体"/>
          <w:spacing w:val="16"/>
          <w:sz w:val="23"/>
          <w:szCs w:val="23"/>
        </w:rPr>
        <w:t>潜</w:t>
      </w:r>
      <w:r>
        <w:rPr>
          <w:rFonts w:ascii="宋体" w:hAnsi="宋体" w:eastAsia="宋体" w:cs="宋体"/>
          <w:spacing w:val="10"/>
          <w:sz w:val="23"/>
          <w:szCs w:val="23"/>
        </w:rPr>
        <w:t>水或承压水。其污染范围可能不很大，但其污染程度往往由于缺乏自然净化作</w:t>
      </w:r>
      <w:r>
        <w:rPr>
          <w:rFonts w:ascii="宋体" w:hAnsi="宋体" w:eastAsia="宋体" w:cs="宋体"/>
          <w:sz w:val="23"/>
          <w:szCs w:val="23"/>
        </w:rPr>
        <w:t xml:space="preserve"> </w:t>
      </w:r>
      <w:r>
        <w:rPr>
          <w:rFonts w:ascii="宋体" w:hAnsi="宋体" w:eastAsia="宋体" w:cs="宋体"/>
          <w:spacing w:val="8"/>
          <w:sz w:val="23"/>
          <w:szCs w:val="23"/>
        </w:rPr>
        <w:t>用而显得十分严重</w:t>
      </w:r>
      <w:r>
        <w:rPr>
          <w:rFonts w:ascii="宋体" w:hAnsi="宋体" w:eastAsia="宋体" w:cs="宋体"/>
          <w:spacing w:val="6"/>
          <w:sz w:val="23"/>
          <w:szCs w:val="23"/>
        </w:rPr>
        <w:t>。</w:t>
      </w:r>
    </w:p>
    <w:p w14:paraId="142F8214">
      <w:pPr>
        <w:spacing w:before="1" w:line="374" w:lineRule="auto"/>
        <w:ind w:left="10" w:firstLine="480"/>
        <w:rPr>
          <w:rFonts w:ascii="宋体" w:hAnsi="宋体" w:eastAsia="宋体" w:cs="宋体"/>
          <w:sz w:val="23"/>
          <w:szCs w:val="23"/>
        </w:rPr>
      </w:pPr>
      <w:r>
        <w:rPr>
          <w:rFonts w:ascii="宋体" w:hAnsi="宋体" w:eastAsia="宋体" w:cs="宋体"/>
          <w:spacing w:val="12"/>
          <w:sz w:val="23"/>
          <w:szCs w:val="23"/>
        </w:rPr>
        <w:t>本项</w:t>
      </w:r>
      <w:r>
        <w:rPr>
          <w:rFonts w:ascii="宋体" w:hAnsi="宋体" w:eastAsia="宋体" w:cs="宋体"/>
          <w:spacing w:val="6"/>
          <w:sz w:val="23"/>
          <w:szCs w:val="23"/>
        </w:rPr>
        <w:t xml:space="preserve">目位于井研县周坡镇周坡村 </w:t>
      </w:r>
      <w:r>
        <w:rPr>
          <w:rFonts w:ascii="Times New Roman" w:hAnsi="Times New Roman" w:eastAsia="Times New Roman" w:cs="Times New Roman"/>
          <w:spacing w:val="6"/>
          <w:sz w:val="23"/>
          <w:szCs w:val="23"/>
        </w:rPr>
        <w:t xml:space="preserve">7 </w:t>
      </w:r>
      <w:r>
        <w:rPr>
          <w:rFonts w:ascii="宋体" w:hAnsi="宋体" w:eastAsia="宋体" w:cs="宋体"/>
          <w:spacing w:val="6"/>
          <w:sz w:val="23"/>
          <w:szCs w:val="23"/>
        </w:rPr>
        <w:t xml:space="preserve">组、龙桥村 </w:t>
      </w:r>
      <w:r>
        <w:rPr>
          <w:rFonts w:ascii="Times New Roman" w:hAnsi="Times New Roman" w:eastAsia="Times New Roman" w:cs="Times New Roman"/>
          <w:spacing w:val="6"/>
          <w:sz w:val="23"/>
          <w:szCs w:val="23"/>
        </w:rPr>
        <w:t xml:space="preserve">2 </w:t>
      </w:r>
      <w:r>
        <w:rPr>
          <w:rFonts w:ascii="宋体" w:hAnsi="宋体" w:eastAsia="宋体" w:cs="宋体"/>
          <w:spacing w:val="6"/>
          <w:sz w:val="23"/>
          <w:szCs w:val="23"/>
        </w:rPr>
        <w:t>组。养殖场采用尿泡粪工艺，</w:t>
      </w:r>
      <w:r>
        <w:rPr>
          <w:rFonts w:ascii="宋体" w:hAnsi="宋体" w:eastAsia="宋体" w:cs="宋体"/>
          <w:sz w:val="23"/>
          <w:szCs w:val="23"/>
        </w:rPr>
        <w:t xml:space="preserve"> </w:t>
      </w:r>
      <w:r>
        <w:rPr>
          <w:rFonts w:ascii="宋体" w:hAnsi="宋体" w:eastAsia="宋体" w:cs="宋体"/>
          <w:spacing w:val="18"/>
          <w:sz w:val="23"/>
          <w:szCs w:val="23"/>
        </w:rPr>
        <w:t>所有</w:t>
      </w:r>
      <w:r>
        <w:rPr>
          <w:rFonts w:ascii="宋体" w:hAnsi="宋体" w:eastAsia="宋体" w:cs="宋体"/>
          <w:spacing w:val="10"/>
          <w:sz w:val="23"/>
          <w:szCs w:val="23"/>
        </w:rPr>
        <w:t>圈</w:t>
      </w:r>
      <w:r>
        <w:rPr>
          <w:rFonts w:ascii="宋体" w:hAnsi="宋体" w:eastAsia="宋体" w:cs="宋体"/>
          <w:spacing w:val="9"/>
          <w:sz w:val="23"/>
          <w:szCs w:val="23"/>
        </w:rPr>
        <w:t xml:space="preserve">舍均为 </w:t>
      </w:r>
      <w:r>
        <w:rPr>
          <w:rFonts w:ascii="Times New Roman" w:hAnsi="Times New Roman" w:eastAsia="Times New Roman" w:cs="Times New Roman"/>
          <w:spacing w:val="9"/>
          <w:sz w:val="23"/>
          <w:szCs w:val="23"/>
        </w:rPr>
        <w:t xml:space="preserve">2/3 </w:t>
      </w:r>
      <w:r>
        <w:rPr>
          <w:rFonts w:ascii="宋体" w:hAnsi="宋体" w:eastAsia="宋体" w:cs="宋体"/>
          <w:spacing w:val="9"/>
          <w:sz w:val="23"/>
          <w:szCs w:val="23"/>
        </w:rPr>
        <w:t>漏缝地板设置，采用刮粪板工艺，圈舍平时不冲洗，仅在猪只出</w:t>
      </w:r>
      <w:r>
        <w:rPr>
          <w:rFonts w:ascii="宋体" w:hAnsi="宋体" w:eastAsia="宋体" w:cs="宋体"/>
          <w:sz w:val="23"/>
          <w:szCs w:val="23"/>
        </w:rPr>
        <w:t xml:space="preserve"> </w:t>
      </w:r>
      <w:r>
        <w:rPr>
          <w:rFonts w:ascii="宋体" w:hAnsi="宋体" w:eastAsia="宋体" w:cs="宋体"/>
          <w:spacing w:val="20"/>
          <w:sz w:val="23"/>
          <w:szCs w:val="23"/>
        </w:rPr>
        <w:t>栏</w:t>
      </w:r>
      <w:r>
        <w:rPr>
          <w:rFonts w:ascii="宋体" w:hAnsi="宋体" w:eastAsia="宋体" w:cs="宋体"/>
          <w:spacing w:val="14"/>
          <w:sz w:val="23"/>
          <w:szCs w:val="23"/>
        </w:rPr>
        <w:t>清</w:t>
      </w:r>
      <w:r>
        <w:rPr>
          <w:rFonts w:ascii="宋体" w:hAnsi="宋体" w:eastAsia="宋体" w:cs="宋体"/>
          <w:spacing w:val="10"/>
          <w:sz w:val="23"/>
          <w:szCs w:val="23"/>
        </w:rPr>
        <w:t>圈时进行冲洗，产生废水量较少，形成的养殖废水经收集后运往乐山乐高勤力</w:t>
      </w:r>
      <w:r>
        <w:rPr>
          <w:rFonts w:ascii="宋体" w:hAnsi="宋体" w:eastAsia="宋体" w:cs="宋体"/>
          <w:sz w:val="23"/>
          <w:szCs w:val="23"/>
        </w:rPr>
        <w:t xml:space="preserve"> </w:t>
      </w:r>
      <w:r>
        <w:rPr>
          <w:rFonts w:ascii="宋体" w:hAnsi="宋体" w:eastAsia="宋体" w:cs="宋体"/>
          <w:spacing w:val="18"/>
          <w:sz w:val="23"/>
          <w:szCs w:val="23"/>
        </w:rPr>
        <w:t>生</w:t>
      </w:r>
      <w:r>
        <w:rPr>
          <w:rFonts w:ascii="宋体" w:hAnsi="宋体" w:eastAsia="宋体" w:cs="宋体"/>
          <w:spacing w:val="9"/>
          <w:sz w:val="23"/>
          <w:szCs w:val="23"/>
        </w:rPr>
        <w:t>物质能源综合利用有限公司集中处置或经厂区异位发酵床处置。</w:t>
      </w:r>
    </w:p>
    <w:p w14:paraId="7D9DEE63">
      <w:pPr>
        <w:spacing w:line="375" w:lineRule="auto"/>
        <w:ind w:left="10" w:firstLine="481"/>
        <w:rPr>
          <w:rFonts w:ascii="宋体" w:hAnsi="宋体" w:eastAsia="宋体" w:cs="宋体"/>
          <w:sz w:val="23"/>
          <w:szCs w:val="23"/>
        </w:rPr>
      </w:pPr>
      <w:r>
        <w:rPr>
          <w:rFonts w:ascii="宋体" w:hAnsi="宋体" w:eastAsia="宋体" w:cs="宋体"/>
          <w:spacing w:val="20"/>
          <w:sz w:val="23"/>
          <w:szCs w:val="23"/>
        </w:rPr>
        <w:t>污</w:t>
      </w:r>
      <w:r>
        <w:rPr>
          <w:rFonts w:ascii="宋体" w:hAnsi="宋体" w:eastAsia="宋体" w:cs="宋体"/>
          <w:spacing w:val="15"/>
          <w:sz w:val="23"/>
          <w:szCs w:val="23"/>
        </w:rPr>
        <w:t>染</w:t>
      </w:r>
      <w:r>
        <w:rPr>
          <w:rFonts w:ascii="宋体" w:hAnsi="宋体" w:eastAsia="宋体" w:cs="宋体"/>
          <w:spacing w:val="10"/>
          <w:sz w:val="23"/>
          <w:szCs w:val="23"/>
        </w:rPr>
        <w:t>物从污染源进入地下水所经过路径称为地下水污染途径，地下水污染途径</w:t>
      </w:r>
      <w:r>
        <w:rPr>
          <w:rFonts w:ascii="宋体" w:hAnsi="宋体" w:eastAsia="宋体" w:cs="宋体"/>
          <w:sz w:val="23"/>
          <w:szCs w:val="23"/>
        </w:rPr>
        <w:t xml:space="preserve"> </w:t>
      </w:r>
      <w:r>
        <w:rPr>
          <w:rFonts w:ascii="宋体" w:hAnsi="宋体" w:eastAsia="宋体" w:cs="宋体"/>
          <w:spacing w:val="20"/>
          <w:sz w:val="23"/>
          <w:szCs w:val="23"/>
        </w:rPr>
        <w:t>是</w:t>
      </w:r>
      <w:r>
        <w:rPr>
          <w:rFonts w:ascii="宋体" w:hAnsi="宋体" w:eastAsia="宋体" w:cs="宋体"/>
          <w:spacing w:val="16"/>
          <w:sz w:val="23"/>
          <w:szCs w:val="23"/>
        </w:rPr>
        <w:t>多</w:t>
      </w:r>
      <w:r>
        <w:rPr>
          <w:rFonts w:ascii="宋体" w:hAnsi="宋体" w:eastAsia="宋体" w:cs="宋体"/>
          <w:spacing w:val="10"/>
          <w:sz w:val="23"/>
          <w:szCs w:val="23"/>
        </w:rPr>
        <w:t>种多样的。本项目营运期环境影响因素主要为生活污水、养殖废水、猪粪及污</w:t>
      </w:r>
      <w:r>
        <w:rPr>
          <w:rFonts w:ascii="宋体" w:hAnsi="宋体" w:eastAsia="宋体" w:cs="宋体"/>
          <w:sz w:val="23"/>
          <w:szCs w:val="23"/>
        </w:rPr>
        <w:t xml:space="preserve"> </w:t>
      </w:r>
      <w:r>
        <w:rPr>
          <w:rFonts w:ascii="宋体" w:hAnsi="宋体" w:eastAsia="宋体" w:cs="宋体"/>
          <w:spacing w:val="20"/>
          <w:sz w:val="23"/>
          <w:szCs w:val="23"/>
        </w:rPr>
        <w:t>水</w:t>
      </w:r>
      <w:r>
        <w:rPr>
          <w:rFonts w:ascii="宋体" w:hAnsi="宋体" w:eastAsia="宋体" w:cs="宋体"/>
          <w:spacing w:val="16"/>
          <w:sz w:val="23"/>
          <w:szCs w:val="23"/>
        </w:rPr>
        <w:t>处</w:t>
      </w:r>
      <w:r>
        <w:rPr>
          <w:rFonts w:ascii="宋体" w:hAnsi="宋体" w:eastAsia="宋体" w:cs="宋体"/>
          <w:spacing w:val="10"/>
          <w:sz w:val="23"/>
          <w:szCs w:val="23"/>
        </w:rPr>
        <w:t>理设施各单元池体的渗滤液。以上污染因素若不加以管理，污水处理池存在下</w:t>
      </w:r>
      <w:r>
        <w:rPr>
          <w:rFonts w:ascii="宋体" w:hAnsi="宋体" w:eastAsia="宋体" w:cs="宋体"/>
          <w:sz w:val="23"/>
          <w:szCs w:val="23"/>
        </w:rPr>
        <w:t xml:space="preserve"> </w:t>
      </w:r>
      <w:r>
        <w:rPr>
          <w:rFonts w:ascii="宋体" w:hAnsi="宋体" w:eastAsia="宋体" w:cs="宋体"/>
          <w:spacing w:val="20"/>
          <w:sz w:val="23"/>
          <w:szCs w:val="23"/>
        </w:rPr>
        <w:t>渗</w:t>
      </w:r>
      <w:r>
        <w:rPr>
          <w:rFonts w:ascii="宋体" w:hAnsi="宋体" w:eastAsia="宋体" w:cs="宋体"/>
          <w:spacing w:val="16"/>
          <w:sz w:val="23"/>
          <w:szCs w:val="23"/>
        </w:rPr>
        <w:t>污</w:t>
      </w:r>
      <w:r>
        <w:rPr>
          <w:rFonts w:ascii="宋体" w:hAnsi="宋体" w:eastAsia="宋体" w:cs="宋体"/>
          <w:spacing w:val="10"/>
          <w:sz w:val="23"/>
          <w:szCs w:val="23"/>
        </w:rPr>
        <w:t>染地下水的隐患；猪粪、腐殖质乱堆乱放，可能转入环境空气或地表水体，并</w:t>
      </w:r>
      <w:r>
        <w:rPr>
          <w:rFonts w:ascii="宋体" w:hAnsi="宋体" w:eastAsia="宋体" w:cs="宋体"/>
          <w:sz w:val="23"/>
          <w:szCs w:val="23"/>
        </w:rPr>
        <w:t xml:space="preserve"> </w:t>
      </w:r>
      <w:r>
        <w:rPr>
          <w:rFonts w:ascii="宋体" w:hAnsi="宋体" w:eastAsia="宋体" w:cs="宋体"/>
          <w:spacing w:val="20"/>
          <w:sz w:val="23"/>
          <w:szCs w:val="23"/>
        </w:rPr>
        <w:t>通</w:t>
      </w:r>
      <w:r>
        <w:rPr>
          <w:rFonts w:ascii="宋体" w:hAnsi="宋体" w:eastAsia="宋体" w:cs="宋体"/>
          <w:spacing w:val="16"/>
          <w:sz w:val="23"/>
          <w:szCs w:val="23"/>
        </w:rPr>
        <w:t>过</w:t>
      </w:r>
      <w:r>
        <w:rPr>
          <w:rFonts w:ascii="宋体" w:hAnsi="宋体" w:eastAsia="宋体" w:cs="宋体"/>
          <w:spacing w:val="10"/>
          <w:sz w:val="23"/>
          <w:szCs w:val="23"/>
        </w:rPr>
        <w:t>下渗影响到地下水环境；初期雨水冲刷污染场地携带污染物进入地表下渗，污</w:t>
      </w:r>
      <w:r>
        <w:rPr>
          <w:rFonts w:ascii="宋体" w:hAnsi="宋体" w:eastAsia="宋体" w:cs="宋体"/>
          <w:sz w:val="23"/>
          <w:szCs w:val="23"/>
        </w:rPr>
        <w:t xml:space="preserve"> </w:t>
      </w:r>
      <w:r>
        <w:rPr>
          <w:rFonts w:ascii="宋体" w:hAnsi="宋体" w:eastAsia="宋体" w:cs="宋体"/>
          <w:spacing w:val="6"/>
          <w:sz w:val="23"/>
          <w:szCs w:val="23"/>
        </w:rPr>
        <w:t>染地下水。</w:t>
      </w:r>
    </w:p>
    <w:p w14:paraId="2ECF43DA">
      <w:pPr>
        <w:spacing w:line="227" w:lineRule="auto"/>
        <w:ind w:left="501"/>
        <w:rPr>
          <w:rFonts w:ascii="宋体" w:hAnsi="宋体" w:eastAsia="宋体" w:cs="宋体"/>
          <w:sz w:val="23"/>
          <w:szCs w:val="23"/>
        </w:rPr>
      </w:pP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8"/>
          <w:sz w:val="23"/>
          <w:szCs w:val="23"/>
        </w:rPr>
        <w:t>3</w:t>
      </w: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宋体" w:hAnsi="宋体" w:eastAsia="宋体" w:cs="宋体"/>
          <w:spacing w:val="18"/>
          <w:sz w:val="23"/>
          <w:szCs w:val="23"/>
        </w:rPr>
        <w:t xml:space="preserve"> </w:t>
      </w:r>
      <w:r>
        <w:rPr>
          <w:rFonts w:ascii="宋体" w:hAnsi="宋体" w:eastAsia="宋体" w:cs="宋体"/>
          <w:spacing w:val="18"/>
          <w:sz w:val="23"/>
          <w:szCs w:val="23"/>
          <w14:textOutline w14:w="4356" w14:cap="sq" w14:cmpd="sng" w14:algn="ctr">
            <w14:solidFill>
              <w14:srgbClr w14:val="000000"/>
            </w14:solidFill>
            <w14:prstDash w14:val="solid"/>
            <w14:bevel/>
          </w14:textOutline>
        </w:rPr>
        <w:t>区域地下水情</w:t>
      </w:r>
      <w:r>
        <w:rPr>
          <w:rFonts w:ascii="宋体" w:hAnsi="宋体" w:eastAsia="宋体" w:cs="宋体"/>
          <w:spacing w:val="16"/>
          <w:sz w:val="23"/>
          <w:szCs w:val="23"/>
          <w14:textOutline w14:w="4356" w14:cap="sq" w14:cmpd="sng" w14:algn="ctr">
            <w14:solidFill>
              <w14:srgbClr w14:val="000000"/>
            </w14:solidFill>
            <w14:prstDash w14:val="solid"/>
            <w14:bevel/>
          </w14:textOutline>
        </w:rPr>
        <w:t>况</w:t>
      </w:r>
    </w:p>
    <w:p w14:paraId="606ACDA5">
      <w:pPr>
        <w:spacing w:before="184" w:line="375" w:lineRule="auto"/>
        <w:ind w:left="39" w:firstLine="451"/>
        <w:rPr>
          <w:rFonts w:ascii="宋体" w:hAnsi="宋体" w:eastAsia="宋体" w:cs="宋体"/>
          <w:sz w:val="23"/>
          <w:szCs w:val="23"/>
        </w:rPr>
      </w:pPr>
      <w:r>
        <w:rPr>
          <w:rFonts w:ascii="宋体" w:hAnsi="宋体" w:eastAsia="宋体" w:cs="宋体"/>
          <w:spacing w:val="12"/>
          <w:sz w:val="23"/>
          <w:szCs w:val="23"/>
        </w:rPr>
        <w:t>本项</w:t>
      </w:r>
      <w:r>
        <w:rPr>
          <w:rFonts w:ascii="宋体" w:hAnsi="宋体" w:eastAsia="宋体" w:cs="宋体"/>
          <w:spacing w:val="7"/>
          <w:sz w:val="23"/>
          <w:szCs w:val="23"/>
        </w:rPr>
        <w:t>目</w:t>
      </w:r>
      <w:r>
        <w:rPr>
          <w:rFonts w:ascii="宋体" w:hAnsi="宋体" w:eastAsia="宋体" w:cs="宋体"/>
          <w:spacing w:val="6"/>
          <w:sz w:val="23"/>
          <w:szCs w:val="23"/>
        </w:rPr>
        <w:t xml:space="preserve">位于井研县周坡镇周坡村 </w:t>
      </w:r>
      <w:r>
        <w:rPr>
          <w:rFonts w:ascii="Times New Roman" w:hAnsi="Times New Roman" w:eastAsia="Times New Roman" w:cs="Times New Roman"/>
          <w:spacing w:val="6"/>
          <w:sz w:val="23"/>
          <w:szCs w:val="23"/>
        </w:rPr>
        <w:t xml:space="preserve">7 </w:t>
      </w:r>
      <w:r>
        <w:rPr>
          <w:rFonts w:ascii="宋体" w:hAnsi="宋体" w:eastAsia="宋体" w:cs="宋体"/>
          <w:spacing w:val="6"/>
          <w:sz w:val="23"/>
          <w:szCs w:val="23"/>
        </w:rPr>
        <w:t xml:space="preserve">组、龙桥村 </w:t>
      </w:r>
      <w:r>
        <w:rPr>
          <w:rFonts w:ascii="Times New Roman" w:hAnsi="Times New Roman" w:eastAsia="Times New Roman" w:cs="Times New Roman"/>
          <w:spacing w:val="6"/>
          <w:sz w:val="23"/>
          <w:szCs w:val="23"/>
        </w:rPr>
        <w:t xml:space="preserve">2 </w:t>
      </w:r>
      <w:r>
        <w:rPr>
          <w:rFonts w:ascii="宋体" w:hAnsi="宋体" w:eastAsia="宋体" w:cs="宋体"/>
          <w:spacing w:val="6"/>
          <w:sz w:val="23"/>
          <w:szCs w:val="23"/>
        </w:rPr>
        <w:t>组，项目所在区域地下水主要</w:t>
      </w:r>
      <w:r>
        <w:rPr>
          <w:rFonts w:ascii="宋体" w:hAnsi="宋体" w:eastAsia="宋体" w:cs="宋体"/>
          <w:sz w:val="23"/>
          <w:szCs w:val="23"/>
        </w:rPr>
        <w:t xml:space="preserve"> </w:t>
      </w:r>
      <w:r>
        <w:rPr>
          <w:rFonts w:ascii="宋体" w:hAnsi="宋体" w:eastAsia="宋体" w:cs="宋体"/>
          <w:spacing w:val="16"/>
          <w:sz w:val="23"/>
          <w:szCs w:val="23"/>
        </w:rPr>
        <w:t>由大</w:t>
      </w:r>
      <w:r>
        <w:rPr>
          <w:rFonts w:ascii="宋体" w:hAnsi="宋体" w:eastAsia="宋体" w:cs="宋体"/>
          <w:spacing w:val="9"/>
          <w:sz w:val="23"/>
          <w:szCs w:val="23"/>
        </w:rPr>
        <w:t>气</w:t>
      </w:r>
      <w:r>
        <w:rPr>
          <w:rFonts w:ascii="宋体" w:hAnsi="宋体" w:eastAsia="宋体" w:cs="宋体"/>
          <w:spacing w:val="8"/>
          <w:sz w:val="23"/>
          <w:szCs w:val="23"/>
        </w:rPr>
        <w:t>降水补给。项目所在区域饮用水源为井水，项目场地未见泉眼出露。</w:t>
      </w:r>
    </w:p>
    <w:p w14:paraId="7C602FC5">
      <w:pPr>
        <w:spacing w:before="1" w:line="227" w:lineRule="auto"/>
        <w:ind w:left="494"/>
        <w:rPr>
          <w:rFonts w:ascii="宋体" w:hAnsi="宋体" w:eastAsia="宋体" w:cs="宋体"/>
          <w:sz w:val="23"/>
          <w:szCs w:val="23"/>
        </w:rPr>
      </w:pPr>
      <w:r>
        <w:rPr>
          <w:rFonts w:ascii="宋体" w:hAnsi="宋体" w:eastAsia="宋体" w:cs="宋体"/>
          <w:spacing w:val="20"/>
          <w:sz w:val="23"/>
          <w:szCs w:val="23"/>
        </w:rPr>
        <w:t>项</w:t>
      </w:r>
      <w:r>
        <w:rPr>
          <w:rFonts w:ascii="宋体" w:hAnsi="宋体" w:eastAsia="宋体" w:cs="宋体"/>
          <w:spacing w:val="13"/>
          <w:sz w:val="23"/>
          <w:szCs w:val="23"/>
        </w:rPr>
        <w:t>目</w:t>
      </w:r>
      <w:r>
        <w:rPr>
          <w:rFonts w:ascii="宋体" w:hAnsi="宋体" w:eastAsia="宋体" w:cs="宋体"/>
          <w:spacing w:val="10"/>
          <w:sz w:val="23"/>
          <w:szCs w:val="23"/>
        </w:rPr>
        <w:t>对区域地下水进行监测，根据监测结果，各监测因子均满足《地下水质量</w:t>
      </w:r>
    </w:p>
    <w:p w14:paraId="111589F0">
      <w:pPr>
        <w:sectPr>
          <w:headerReference r:id="rId201" w:type="default"/>
          <w:footerReference r:id="rId202" w:type="default"/>
          <w:pgSz w:w="11907" w:h="16840"/>
          <w:pgMar w:top="1153" w:right="1579" w:bottom="1485" w:left="1660" w:header="919" w:footer="1298" w:gutter="0"/>
          <w:cols w:space="720" w:num="1"/>
        </w:sectPr>
      </w:pPr>
    </w:p>
    <w:p w14:paraId="025968EC">
      <w:pPr>
        <w:spacing w:line="460" w:lineRule="auto"/>
      </w:pPr>
      <w:r>
        <w:pict>
          <v:shape id="_x0000_s2107" o:spid="_x0000_s2107" o:spt="202" type="#_x0000_t202" style="position:absolute;left:0pt;margin-left:515.8pt;margin-top:706.1pt;height:14.5pt;width:14.25pt;mso-position-horizontal-relative:page;mso-position-vertical-relative:page;z-index:251737088;mso-width-relative:page;mso-height-relative:page;" filled="f" stroked="f" coordsize="21600,21600" o:allowincell="f">
            <v:path/>
            <v:fill on="f" focussize="0,0"/>
            <v:stroke on="f" joinstyle="miter"/>
            <v:imagedata o:title=""/>
            <o:lock v:ext="edit"/>
            <v:textbox inset="0mm,0mm,0mm,0mm">
              <w:txbxContent>
                <w:p w14:paraId="1C68D558">
                  <w:pPr>
                    <w:spacing w:before="19" w:line="231" w:lineRule="auto"/>
                    <w:ind w:left="20"/>
                    <w:rPr>
                      <w:rFonts w:ascii="宋体" w:hAnsi="宋体" w:eastAsia="宋体" w:cs="宋体"/>
                      <w:sz w:val="20"/>
                      <w:szCs w:val="20"/>
                    </w:rPr>
                  </w:pPr>
                  <w:r>
                    <w:rPr>
                      <w:rFonts w:ascii="Times New Roman" w:hAnsi="Times New Roman" w:eastAsia="Times New Roman" w:cs="Times New Roman"/>
                      <w:spacing w:val="-4"/>
                      <w:w w:val="73"/>
                      <w:position w:val="5"/>
                      <w:sz w:val="13"/>
                      <w:szCs w:val="13"/>
                    </w:rPr>
                    <w:t>1</w:t>
                  </w:r>
                  <w:r>
                    <w:rPr>
                      <w:rFonts w:ascii="Times New Roman" w:hAnsi="Times New Roman" w:eastAsia="Times New Roman" w:cs="Times New Roman"/>
                      <w:spacing w:val="-1"/>
                      <w:position w:val="5"/>
                      <w:sz w:val="13"/>
                      <w:szCs w:val="13"/>
                    </w:rPr>
                    <w:t xml:space="preserve"> </w:t>
                  </w:r>
                  <w:r>
                    <w:rPr>
                      <w:rFonts w:ascii="宋体" w:hAnsi="宋体" w:eastAsia="宋体" w:cs="宋体"/>
                      <w:spacing w:val="-4"/>
                      <w:w w:val="73"/>
                      <w:position w:val="-1"/>
                      <w:sz w:val="20"/>
                      <w:szCs w:val="20"/>
                    </w:rPr>
                    <w:t>)</w:t>
                  </w:r>
                </w:p>
              </w:txbxContent>
            </v:textbox>
          </v:shape>
        </w:pict>
      </w:r>
    </w:p>
    <w:p w14:paraId="3B1AEA12">
      <w:pPr>
        <w:spacing w:before="56" w:line="229" w:lineRule="auto"/>
        <w:ind w:left="530"/>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12928132">
      <w:pPr>
        <w:spacing w:before="21" w:line="322" w:lineRule="exact"/>
        <w:ind w:left="534"/>
        <w:rPr>
          <w:rFonts w:ascii="宋体" w:hAnsi="宋体" w:eastAsia="宋体" w:cs="宋体"/>
          <w:sz w:val="23"/>
          <w:szCs w:val="23"/>
        </w:rPr>
      </w:pPr>
      <w:r>
        <w:pict>
          <v:shape id="_x0000_s2108" o:spid="_x0000_s2108" style="position:absolute;left:0pt;margin-left:26.15pt;margin-top:0.7pt;height:0.5pt;width:433.35pt;z-index:-251580416;mso-width-relative:page;mso-height-relative:page;" fillcolor="#000000" filled="t" stroked="f" coordsize="8667,10" path="m0,0l8666,0,8666,9,0,9,0,0xe">
            <v:fill on="t" focussize="0,0"/>
            <v:stroke on="f"/>
            <v:imagedata o:title=""/>
            <o:lock v:ext="edit"/>
          </v:shape>
        </w:pict>
      </w:r>
      <w:r>
        <w:rPr>
          <w:rFonts w:ascii="宋体" w:hAnsi="宋体" w:eastAsia="宋体" w:cs="宋体"/>
          <w:spacing w:val="3"/>
          <w:position w:val="1"/>
          <w:sz w:val="23"/>
          <w:szCs w:val="23"/>
        </w:rPr>
        <w:t>标</w:t>
      </w:r>
      <w:r>
        <w:rPr>
          <w:rFonts w:ascii="宋体" w:hAnsi="宋体" w:eastAsia="宋体" w:cs="宋体"/>
          <w:spacing w:val="2"/>
          <w:position w:val="1"/>
          <w:sz w:val="23"/>
          <w:szCs w:val="23"/>
        </w:rPr>
        <w:t>准》  (</w:t>
      </w:r>
      <w:r>
        <w:rPr>
          <w:rFonts w:ascii="Times New Roman" w:hAnsi="Times New Roman" w:eastAsia="Times New Roman" w:cs="Times New Roman"/>
          <w:position w:val="1"/>
          <w:sz w:val="23"/>
          <w:szCs w:val="23"/>
        </w:rPr>
        <w:t>GB</w:t>
      </w:r>
      <w:r>
        <w:rPr>
          <w:rFonts w:ascii="Times New Roman" w:hAnsi="Times New Roman" w:eastAsia="Times New Roman" w:cs="Times New Roman"/>
          <w:spacing w:val="2"/>
          <w:position w:val="1"/>
          <w:sz w:val="23"/>
          <w:szCs w:val="23"/>
        </w:rPr>
        <w:t>/</w:t>
      </w:r>
      <w:r>
        <w:rPr>
          <w:rFonts w:ascii="Times New Roman" w:hAnsi="Times New Roman" w:eastAsia="Times New Roman" w:cs="Times New Roman"/>
          <w:position w:val="1"/>
          <w:sz w:val="23"/>
          <w:szCs w:val="23"/>
        </w:rPr>
        <w:t>T</w:t>
      </w:r>
      <w:r>
        <w:rPr>
          <w:rFonts w:ascii="Times New Roman" w:hAnsi="Times New Roman" w:eastAsia="Times New Roman" w:cs="Times New Roman"/>
          <w:spacing w:val="2"/>
          <w:position w:val="1"/>
          <w:sz w:val="23"/>
          <w:szCs w:val="23"/>
        </w:rPr>
        <w:t>14848-2017</w:t>
      </w:r>
      <w:r>
        <w:rPr>
          <w:rFonts w:ascii="宋体" w:hAnsi="宋体" w:eastAsia="宋体" w:cs="宋体"/>
          <w:spacing w:val="2"/>
          <w:position w:val="1"/>
          <w:sz w:val="23"/>
          <w:szCs w:val="23"/>
        </w:rPr>
        <w:t>) Ⅲ类水质要求。</w:t>
      </w:r>
    </w:p>
    <w:p w14:paraId="19731EAD">
      <w:pPr>
        <w:spacing w:before="188" w:line="227" w:lineRule="auto"/>
        <w:ind w:left="1024"/>
        <w:rPr>
          <w:rFonts w:ascii="宋体" w:hAnsi="宋体" w:eastAsia="宋体" w:cs="宋体"/>
          <w:sz w:val="23"/>
          <w:szCs w:val="23"/>
        </w:rPr>
      </w:pP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5"/>
          <w:sz w:val="23"/>
          <w:szCs w:val="23"/>
        </w:rPr>
        <w:t>4</w:t>
      </w:r>
      <w:r>
        <w:rPr>
          <w:rFonts w:ascii="宋体" w:hAnsi="宋体" w:eastAsia="宋体" w:cs="宋体"/>
          <w:spacing w:val="15"/>
          <w:sz w:val="23"/>
          <w:szCs w:val="23"/>
          <w14:textOutline w14:w="4356" w14:cap="sq" w14:cmpd="sng" w14:algn="ctr">
            <w14:solidFill>
              <w14:srgbClr w14:val="000000"/>
            </w14:solidFill>
            <w14:prstDash w14:val="solid"/>
            <w14:bevel/>
          </w14:textOutline>
        </w:rPr>
        <w:t>)</w:t>
      </w:r>
      <w:r>
        <w:rPr>
          <w:rFonts w:ascii="宋体" w:hAnsi="宋体" w:eastAsia="宋体" w:cs="宋体"/>
          <w:spacing w:val="15"/>
          <w:sz w:val="23"/>
          <w:szCs w:val="23"/>
        </w:rPr>
        <w:t xml:space="preserve"> </w:t>
      </w:r>
      <w:r>
        <w:rPr>
          <w:rFonts w:ascii="宋体" w:hAnsi="宋体" w:eastAsia="宋体" w:cs="宋体"/>
          <w:spacing w:val="15"/>
          <w:sz w:val="23"/>
          <w:szCs w:val="23"/>
          <w14:textOutline w14:w="4356" w14:cap="sq" w14:cmpd="sng" w14:algn="ctr">
            <w14:solidFill>
              <w14:srgbClr w14:val="000000"/>
            </w14:solidFill>
            <w14:prstDash w14:val="solid"/>
            <w14:bevel/>
          </w14:textOutline>
        </w:rPr>
        <w:t>养殖场地地下水环境影响分析</w:t>
      </w:r>
    </w:p>
    <w:p w14:paraId="706C9F92">
      <w:pPr>
        <w:spacing w:before="181" w:line="376" w:lineRule="auto"/>
        <w:ind w:left="552" w:right="470" w:firstLine="460"/>
        <w:rPr>
          <w:rFonts w:ascii="宋体" w:hAnsi="宋体" w:eastAsia="宋体" w:cs="宋体"/>
          <w:sz w:val="23"/>
          <w:szCs w:val="23"/>
        </w:rPr>
      </w:pPr>
      <w:r>
        <w:rPr>
          <w:rFonts w:ascii="宋体" w:hAnsi="宋体" w:eastAsia="宋体" w:cs="宋体"/>
          <w:spacing w:val="24"/>
          <w:sz w:val="23"/>
          <w:szCs w:val="23"/>
        </w:rPr>
        <w:t>地</w:t>
      </w:r>
      <w:r>
        <w:rPr>
          <w:rFonts w:ascii="宋体" w:hAnsi="宋体" w:eastAsia="宋体" w:cs="宋体"/>
          <w:spacing w:val="14"/>
          <w:sz w:val="23"/>
          <w:szCs w:val="23"/>
        </w:rPr>
        <w:t>下</w:t>
      </w:r>
      <w:r>
        <w:rPr>
          <w:rFonts w:ascii="宋体" w:hAnsi="宋体" w:eastAsia="宋体" w:cs="宋体"/>
          <w:spacing w:val="12"/>
          <w:sz w:val="23"/>
          <w:szCs w:val="23"/>
        </w:rPr>
        <w:t>水污染防治措施坚持</w:t>
      </w:r>
      <w:r>
        <w:rPr>
          <w:rFonts w:ascii="Times New Roman" w:hAnsi="Times New Roman" w:eastAsia="Times New Roman" w:cs="Times New Roman"/>
          <w:spacing w:val="12"/>
          <w:sz w:val="23"/>
          <w:szCs w:val="23"/>
        </w:rPr>
        <w:t>“</w:t>
      </w:r>
      <w:r>
        <w:rPr>
          <w:rFonts w:ascii="宋体" w:hAnsi="宋体" w:eastAsia="宋体" w:cs="宋体"/>
          <w:spacing w:val="12"/>
          <w:sz w:val="23"/>
          <w:szCs w:val="23"/>
        </w:rPr>
        <w:t>源头控制、分区防治、污染监控、应急响应相结合</w:t>
      </w:r>
      <w:r>
        <w:rPr>
          <w:rFonts w:ascii="Times New Roman" w:hAnsi="Times New Roman" w:eastAsia="Times New Roman" w:cs="Times New Roman"/>
          <w:spacing w:val="12"/>
          <w:sz w:val="23"/>
          <w:szCs w:val="23"/>
        </w:rPr>
        <w:t>”</w:t>
      </w:r>
      <w:r>
        <w:rPr>
          <w:rFonts w:ascii="Times New Roman" w:hAnsi="Times New Roman" w:eastAsia="Times New Roman" w:cs="Times New Roman"/>
          <w:sz w:val="23"/>
          <w:szCs w:val="23"/>
        </w:rPr>
        <w:t xml:space="preserve"> </w:t>
      </w:r>
      <w:r>
        <w:rPr>
          <w:rFonts w:ascii="宋体" w:hAnsi="宋体" w:eastAsia="宋体" w:cs="宋体"/>
          <w:spacing w:val="14"/>
          <w:sz w:val="23"/>
          <w:szCs w:val="23"/>
        </w:rPr>
        <w:t>的</w:t>
      </w:r>
      <w:r>
        <w:rPr>
          <w:rFonts w:ascii="宋体" w:hAnsi="宋体" w:eastAsia="宋体" w:cs="宋体"/>
          <w:spacing w:val="8"/>
          <w:sz w:val="23"/>
          <w:szCs w:val="23"/>
        </w:rPr>
        <w:t>原则，即采取主动控制和被动控制相结合的措施。</w:t>
      </w:r>
    </w:p>
    <w:p w14:paraId="1232A43F">
      <w:pPr>
        <w:spacing w:before="3" w:line="374" w:lineRule="auto"/>
        <w:ind w:left="534" w:right="462" w:firstLine="494"/>
        <w:rPr>
          <w:rFonts w:ascii="宋体" w:hAnsi="宋体" w:eastAsia="宋体" w:cs="宋体"/>
          <w:sz w:val="23"/>
          <w:szCs w:val="23"/>
        </w:rPr>
      </w:pPr>
      <w:r>
        <w:rPr>
          <w:rFonts w:ascii="宋体" w:hAnsi="宋体" w:eastAsia="宋体" w:cs="宋体"/>
          <w:spacing w:val="11"/>
          <w:sz w:val="23"/>
          <w:szCs w:val="23"/>
        </w:rPr>
        <w:t>防</w:t>
      </w:r>
      <w:r>
        <w:rPr>
          <w:rFonts w:ascii="宋体" w:hAnsi="宋体" w:eastAsia="宋体" w:cs="宋体"/>
          <w:spacing w:val="10"/>
          <w:sz w:val="23"/>
          <w:szCs w:val="23"/>
        </w:rPr>
        <w:t>止地下水污染的被动控制措施即为地面防渗工程。包括两部分内容：一是全</w:t>
      </w:r>
      <w:r>
        <w:rPr>
          <w:rFonts w:ascii="宋体" w:hAnsi="宋体" w:eastAsia="宋体" w:cs="宋体"/>
          <w:sz w:val="23"/>
          <w:szCs w:val="23"/>
        </w:rPr>
        <w:t xml:space="preserve"> </w:t>
      </w:r>
      <w:r>
        <w:rPr>
          <w:rFonts w:ascii="宋体" w:hAnsi="宋体" w:eastAsia="宋体" w:cs="宋体"/>
          <w:spacing w:val="10"/>
          <w:sz w:val="23"/>
          <w:szCs w:val="23"/>
        </w:rPr>
        <w:t>厂污染</w:t>
      </w:r>
      <w:r>
        <w:rPr>
          <w:rFonts w:ascii="宋体" w:hAnsi="宋体" w:eastAsia="宋体" w:cs="宋体"/>
          <w:spacing w:val="9"/>
          <w:sz w:val="23"/>
          <w:szCs w:val="23"/>
        </w:rPr>
        <w:t>区</w:t>
      </w:r>
      <w:r>
        <w:rPr>
          <w:rFonts w:ascii="宋体" w:hAnsi="宋体" w:eastAsia="宋体" w:cs="宋体"/>
          <w:spacing w:val="5"/>
          <w:sz w:val="23"/>
          <w:szCs w:val="23"/>
        </w:rPr>
        <w:t>参照相应标准要求铺设防渗层，以阻止泄漏到地面的污染物进入地下水中；</w:t>
      </w:r>
      <w:r>
        <w:rPr>
          <w:rFonts w:ascii="宋体" w:hAnsi="宋体" w:eastAsia="宋体" w:cs="宋体"/>
          <w:sz w:val="23"/>
          <w:szCs w:val="23"/>
        </w:rPr>
        <w:t xml:space="preserve"> </w:t>
      </w:r>
      <w:r>
        <w:rPr>
          <w:rFonts w:ascii="宋体" w:hAnsi="宋体" w:eastAsia="宋体" w:cs="宋体"/>
          <w:spacing w:val="20"/>
          <w:sz w:val="23"/>
          <w:szCs w:val="23"/>
        </w:rPr>
        <w:t>二</w:t>
      </w:r>
      <w:r>
        <w:rPr>
          <w:rFonts w:ascii="宋体" w:hAnsi="宋体" w:eastAsia="宋体" w:cs="宋体"/>
          <w:spacing w:val="15"/>
          <w:sz w:val="23"/>
          <w:szCs w:val="23"/>
        </w:rPr>
        <w:t>是</w:t>
      </w:r>
      <w:r>
        <w:rPr>
          <w:rFonts w:ascii="宋体" w:hAnsi="宋体" w:eastAsia="宋体" w:cs="宋体"/>
          <w:spacing w:val="10"/>
          <w:sz w:val="23"/>
          <w:szCs w:val="23"/>
        </w:rPr>
        <w:t>全厂污染区防渗层内设置渗漏污染物收集系统，将滞留在地面的污染物收集起</w:t>
      </w:r>
      <w:r>
        <w:rPr>
          <w:rFonts w:ascii="宋体" w:hAnsi="宋体" w:eastAsia="宋体" w:cs="宋体"/>
          <w:sz w:val="23"/>
          <w:szCs w:val="23"/>
        </w:rPr>
        <w:t xml:space="preserve"> </w:t>
      </w:r>
      <w:r>
        <w:rPr>
          <w:rFonts w:ascii="宋体" w:hAnsi="宋体" w:eastAsia="宋体" w:cs="宋体"/>
          <w:spacing w:val="-1"/>
          <w:sz w:val="23"/>
          <w:szCs w:val="23"/>
        </w:rPr>
        <w:t>来</w:t>
      </w:r>
      <w:r>
        <w:rPr>
          <w:rFonts w:ascii="宋体" w:hAnsi="宋体" w:eastAsia="宋体" w:cs="宋体"/>
          <w:sz w:val="23"/>
          <w:szCs w:val="23"/>
        </w:rPr>
        <w:t>。</w:t>
      </w:r>
    </w:p>
    <w:p w14:paraId="3BD3B045">
      <w:pPr>
        <w:spacing w:line="228" w:lineRule="auto"/>
        <w:ind w:left="1031"/>
        <w:rPr>
          <w:rFonts w:ascii="宋体" w:hAnsi="宋体" w:eastAsia="宋体" w:cs="宋体"/>
          <w:sz w:val="23"/>
          <w:szCs w:val="23"/>
        </w:rPr>
      </w:pPr>
      <w:r>
        <w:rPr>
          <w:rFonts w:ascii="Times New Roman" w:hAnsi="Times New Roman" w:eastAsia="Times New Roman" w:cs="Times New Roman"/>
          <w:spacing w:val="8"/>
          <w:sz w:val="23"/>
          <w:szCs w:val="23"/>
        </w:rPr>
        <w:t>1</w:t>
      </w:r>
      <w:r>
        <w:rPr>
          <w:rFonts w:ascii="宋体" w:hAnsi="宋体" w:eastAsia="宋体" w:cs="宋体"/>
          <w:spacing w:val="6"/>
          <w:sz w:val="23"/>
          <w:szCs w:val="23"/>
        </w:rPr>
        <w:t>) 地面防渗工程设计原则：</w:t>
      </w:r>
    </w:p>
    <w:p w14:paraId="431E276D">
      <w:pPr>
        <w:spacing w:before="181" w:line="375" w:lineRule="auto"/>
        <w:ind w:left="533" w:right="580" w:firstLine="479"/>
        <w:rPr>
          <w:rFonts w:ascii="宋体" w:hAnsi="宋体" w:eastAsia="宋体" w:cs="宋体"/>
          <w:sz w:val="23"/>
          <w:szCs w:val="23"/>
        </w:rPr>
      </w:pPr>
      <w:r>
        <w:rPr>
          <w:rFonts w:ascii="宋体" w:hAnsi="宋体" w:eastAsia="宋体" w:cs="宋体"/>
          <w:spacing w:val="9"/>
          <w:sz w:val="23"/>
          <w:szCs w:val="23"/>
        </w:rPr>
        <w:t>①采用国内先进的防渗材料、技术和实施手段，杜绝对区域内地下水的影响</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16"/>
          <w:sz w:val="23"/>
          <w:szCs w:val="23"/>
        </w:rPr>
        <w:t>确保</w:t>
      </w:r>
      <w:r>
        <w:rPr>
          <w:rFonts w:ascii="宋体" w:hAnsi="宋体" w:eastAsia="宋体" w:cs="宋体"/>
          <w:spacing w:val="14"/>
          <w:sz w:val="23"/>
          <w:szCs w:val="23"/>
        </w:rPr>
        <w:t>不</w:t>
      </w:r>
      <w:r>
        <w:rPr>
          <w:rFonts w:ascii="宋体" w:hAnsi="宋体" w:eastAsia="宋体" w:cs="宋体"/>
          <w:spacing w:val="8"/>
          <w:sz w:val="23"/>
          <w:szCs w:val="23"/>
        </w:rPr>
        <w:t>因项目运行而对区域地下水造成任何污染影响，确保现有地下水水体功能。</w:t>
      </w:r>
    </w:p>
    <w:p w14:paraId="76DB4AB3">
      <w:pPr>
        <w:spacing w:before="2" w:line="374" w:lineRule="auto"/>
        <w:ind w:left="537" w:right="441" w:firstLine="474"/>
        <w:rPr>
          <w:rFonts w:ascii="宋体" w:hAnsi="宋体" w:eastAsia="宋体" w:cs="宋体"/>
          <w:sz w:val="23"/>
          <w:szCs w:val="23"/>
        </w:rPr>
      </w:pPr>
      <w:r>
        <w:rPr>
          <w:rFonts w:ascii="宋体" w:hAnsi="宋体" w:eastAsia="宋体" w:cs="宋体"/>
          <w:spacing w:val="20"/>
          <w:sz w:val="23"/>
          <w:szCs w:val="23"/>
        </w:rPr>
        <w:t>②</w:t>
      </w:r>
      <w:r>
        <w:rPr>
          <w:rFonts w:ascii="宋体" w:hAnsi="宋体" w:eastAsia="宋体" w:cs="宋体"/>
          <w:spacing w:val="18"/>
          <w:sz w:val="23"/>
          <w:szCs w:val="23"/>
        </w:rPr>
        <w:t>坚</w:t>
      </w:r>
      <w:r>
        <w:rPr>
          <w:rFonts w:ascii="宋体" w:hAnsi="宋体" w:eastAsia="宋体" w:cs="宋体"/>
          <w:spacing w:val="10"/>
          <w:sz w:val="23"/>
          <w:szCs w:val="23"/>
        </w:rPr>
        <w:t>持分区管理和控制原则，根据场址所在地的工程水文地质条件和可能发生</w:t>
      </w:r>
      <w:r>
        <w:rPr>
          <w:rFonts w:ascii="宋体" w:hAnsi="宋体" w:eastAsia="宋体" w:cs="宋体"/>
          <w:sz w:val="23"/>
          <w:szCs w:val="23"/>
        </w:rPr>
        <w:t xml:space="preserve"> </w:t>
      </w:r>
      <w:r>
        <w:rPr>
          <w:rFonts w:ascii="宋体" w:hAnsi="宋体" w:eastAsia="宋体" w:cs="宋体"/>
          <w:spacing w:val="7"/>
          <w:sz w:val="23"/>
          <w:szCs w:val="23"/>
        </w:rPr>
        <w:t>泄</w:t>
      </w:r>
      <w:r>
        <w:rPr>
          <w:rFonts w:ascii="宋体" w:hAnsi="宋体" w:eastAsia="宋体" w:cs="宋体"/>
          <w:spacing w:val="6"/>
          <w:sz w:val="23"/>
          <w:szCs w:val="23"/>
        </w:rPr>
        <w:t>漏的物料性质，参照相应标准要求有针对性的分区，并分别设计地面防渗层结构。</w:t>
      </w:r>
    </w:p>
    <w:p w14:paraId="55CDA784">
      <w:pPr>
        <w:spacing w:before="1" w:line="375" w:lineRule="auto"/>
        <w:ind w:left="532" w:right="521" w:firstLine="479"/>
        <w:rPr>
          <w:rFonts w:ascii="宋体" w:hAnsi="宋体" w:eastAsia="宋体" w:cs="宋体"/>
          <w:sz w:val="23"/>
          <w:szCs w:val="23"/>
        </w:rPr>
      </w:pPr>
      <w:r>
        <w:rPr>
          <w:rFonts w:ascii="宋体" w:hAnsi="宋体" w:eastAsia="宋体" w:cs="宋体"/>
          <w:spacing w:val="11"/>
          <w:sz w:val="23"/>
          <w:szCs w:val="23"/>
        </w:rPr>
        <w:t>③坚持</w:t>
      </w:r>
      <w:r>
        <w:rPr>
          <w:rFonts w:ascii="Times New Roman" w:hAnsi="Times New Roman" w:eastAsia="Times New Roman" w:cs="Times New Roman"/>
          <w:spacing w:val="11"/>
          <w:sz w:val="23"/>
          <w:szCs w:val="23"/>
        </w:rPr>
        <w:t>“</w:t>
      </w:r>
      <w:r>
        <w:rPr>
          <w:rFonts w:ascii="宋体" w:hAnsi="宋体" w:eastAsia="宋体" w:cs="宋体"/>
          <w:spacing w:val="11"/>
          <w:sz w:val="23"/>
          <w:szCs w:val="23"/>
        </w:rPr>
        <w:t>可视化</w:t>
      </w:r>
      <w:r>
        <w:rPr>
          <w:rFonts w:ascii="Times New Roman" w:hAnsi="Times New Roman" w:eastAsia="Times New Roman" w:cs="Times New Roman"/>
          <w:spacing w:val="11"/>
          <w:sz w:val="23"/>
          <w:szCs w:val="23"/>
        </w:rPr>
        <w:t>”</w:t>
      </w:r>
      <w:r>
        <w:rPr>
          <w:rFonts w:ascii="宋体" w:hAnsi="宋体" w:eastAsia="宋体" w:cs="宋体"/>
          <w:spacing w:val="11"/>
          <w:sz w:val="23"/>
          <w:szCs w:val="23"/>
        </w:rPr>
        <w:t>原则，在满足工程和防渗层结构标准要求的前提下，尽量在</w:t>
      </w:r>
      <w:r>
        <w:rPr>
          <w:rFonts w:ascii="宋体" w:hAnsi="宋体" w:eastAsia="宋体" w:cs="宋体"/>
          <w:spacing w:val="10"/>
          <w:sz w:val="23"/>
          <w:szCs w:val="23"/>
        </w:rPr>
        <w:t>地</w:t>
      </w:r>
      <w:r>
        <w:rPr>
          <w:rFonts w:ascii="宋体" w:hAnsi="宋体" w:eastAsia="宋体" w:cs="宋体"/>
          <w:sz w:val="23"/>
          <w:szCs w:val="23"/>
        </w:rPr>
        <w:t xml:space="preserve"> </w:t>
      </w:r>
      <w:r>
        <w:rPr>
          <w:rFonts w:ascii="宋体" w:hAnsi="宋体" w:eastAsia="宋体" w:cs="宋体"/>
          <w:spacing w:val="18"/>
          <w:sz w:val="23"/>
          <w:szCs w:val="23"/>
        </w:rPr>
        <w:t>表</w:t>
      </w:r>
      <w:r>
        <w:rPr>
          <w:rFonts w:ascii="宋体" w:hAnsi="宋体" w:eastAsia="宋体" w:cs="宋体"/>
          <w:spacing w:val="11"/>
          <w:sz w:val="23"/>
          <w:szCs w:val="23"/>
        </w:rPr>
        <w:t>面</w:t>
      </w:r>
      <w:r>
        <w:rPr>
          <w:rFonts w:ascii="宋体" w:hAnsi="宋体" w:eastAsia="宋体" w:cs="宋体"/>
          <w:spacing w:val="9"/>
          <w:sz w:val="23"/>
          <w:szCs w:val="23"/>
        </w:rPr>
        <w:t>实施防渗措施，便于泄漏物质的收集和及时发现破损的防渗层。</w:t>
      </w:r>
    </w:p>
    <w:p w14:paraId="4DA061C6">
      <w:pPr>
        <w:spacing w:before="2" w:line="373" w:lineRule="auto"/>
        <w:ind w:left="538" w:right="521" w:firstLine="472"/>
        <w:rPr>
          <w:rFonts w:ascii="宋体" w:hAnsi="宋体" w:eastAsia="宋体" w:cs="宋体"/>
          <w:sz w:val="23"/>
          <w:szCs w:val="23"/>
        </w:rPr>
      </w:pPr>
      <w:r>
        <w:rPr>
          <w:rFonts w:ascii="宋体" w:hAnsi="宋体" w:eastAsia="宋体" w:cs="宋体"/>
          <w:spacing w:val="11"/>
          <w:sz w:val="23"/>
          <w:szCs w:val="23"/>
        </w:rPr>
        <w:t>④防渗层上渗漏污染物和防渗层内渗漏污染物收集系统与全厂</w:t>
      </w:r>
      <w:r>
        <w:rPr>
          <w:rFonts w:ascii="Times New Roman" w:hAnsi="Times New Roman" w:eastAsia="Times New Roman" w:cs="Times New Roman"/>
          <w:spacing w:val="11"/>
          <w:sz w:val="23"/>
          <w:szCs w:val="23"/>
        </w:rPr>
        <w:t>“</w:t>
      </w:r>
      <w:r>
        <w:rPr>
          <w:rFonts w:ascii="宋体" w:hAnsi="宋体" w:eastAsia="宋体" w:cs="宋体"/>
          <w:spacing w:val="11"/>
          <w:sz w:val="23"/>
          <w:szCs w:val="23"/>
        </w:rPr>
        <w:t>三废</w:t>
      </w:r>
      <w:r>
        <w:rPr>
          <w:rFonts w:ascii="Times New Roman" w:hAnsi="Times New Roman" w:eastAsia="Times New Roman" w:cs="Times New Roman"/>
          <w:spacing w:val="11"/>
          <w:sz w:val="23"/>
          <w:szCs w:val="23"/>
        </w:rPr>
        <w:t>”</w:t>
      </w:r>
      <w:r>
        <w:rPr>
          <w:rFonts w:ascii="宋体" w:hAnsi="宋体" w:eastAsia="宋体" w:cs="宋体"/>
          <w:spacing w:val="11"/>
          <w:sz w:val="23"/>
          <w:szCs w:val="23"/>
        </w:rPr>
        <w:t>处理措</w:t>
      </w:r>
      <w:r>
        <w:rPr>
          <w:rFonts w:ascii="宋体" w:hAnsi="宋体" w:eastAsia="宋体" w:cs="宋体"/>
          <w:spacing w:val="10"/>
          <w:sz w:val="23"/>
          <w:szCs w:val="23"/>
        </w:rPr>
        <w:t>施</w:t>
      </w:r>
      <w:r>
        <w:rPr>
          <w:rFonts w:ascii="宋体" w:hAnsi="宋体" w:eastAsia="宋体" w:cs="宋体"/>
          <w:sz w:val="23"/>
          <w:szCs w:val="23"/>
        </w:rPr>
        <w:t xml:space="preserve"> </w:t>
      </w:r>
      <w:r>
        <w:rPr>
          <w:rFonts w:ascii="宋体" w:hAnsi="宋体" w:eastAsia="宋体" w:cs="宋体"/>
          <w:spacing w:val="11"/>
          <w:sz w:val="23"/>
          <w:szCs w:val="23"/>
        </w:rPr>
        <w:t>统</w:t>
      </w:r>
      <w:r>
        <w:rPr>
          <w:rFonts w:ascii="宋体" w:hAnsi="宋体" w:eastAsia="宋体" w:cs="宋体"/>
          <w:spacing w:val="7"/>
          <w:sz w:val="23"/>
          <w:szCs w:val="23"/>
        </w:rPr>
        <w:t>筹考虑，统一处理。</w:t>
      </w:r>
    </w:p>
    <w:p w14:paraId="1CD3B536">
      <w:pPr>
        <w:spacing w:before="1" w:line="226" w:lineRule="auto"/>
        <w:ind w:left="1008"/>
        <w:rPr>
          <w:rFonts w:ascii="宋体" w:hAnsi="宋体" w:eastAsia="宋体" w:cs="宋体"/>
          <w:sz w:val="23"/>
          <w:szCs w:val="23"/>
        </w:rPr>
      </w:pPr>
      <w:r>
        <w:rPr>
          <w:rFonts w:ascii="Times New Roman" w:hAnsi="Times New Roman" w:eastAsia="Times New Roman" w:cs="Times New Roman"/>
          <w:spacing w:val="9"/>
          <w:sz w:val="23"/>
          <w:szCs w:val="23"/>
        </w:rPr>
        <w:t>2</w:t>
      </w:r>
      <w:r>
        <w:rPr>
          <w:rFonts w:ascii="宋体" w:hAnsi="宋体" w:eastAsia="宋体" w:cs="宋体"/>
          <w:spacing w:val="8"/>
          <w:sz w:val="23"/>
          <w:szCs w:val="23"/>
        </w:rPr>
        <w:t>) 防渗材料选取和层设计方案：</w:t>
      </w:r>
    </w:p>
    <w:p w14:paraId="00DB88A7">
      <w:pPr>
        <w:spacing w:before="185" w:line="375" w:lineRule="auto"/>
        <w:ind w:left="534" w:right="521" w:firstLine="507"/>
        <w:rPr>
          <w:rFonts w:ascii="宋体" w:hAnsi="宋体" w:eastAsia="宋体" w:cs="宋体"/>
          <w:sz w:val="23"/>
          <w:szCs w:val="23"/>
        </w:rPr>
      </w:pPr>
      <w:r>
        <w:rPr>
          <w:rFonts w:ascii="宋体" w:hAnsi="宋体" w:eastAsia="宋体" w:cs="宋体"/>
          <w:spacing w:val="18"/>
          <w:sz w:val="23"/>
          <w:szCs w:val="23"/>
        </w:rPr>
        <w:t>针对</w:t>
      </w:r>
      <w:r>
        <w:rPr>
          <w:rFonts w:ascii="宋体" w:hAnsi="宋体" w:eastAsia="宋体" w:cs="宋体"/>
          <w:spacing w:val="13"/>
          <w:sz w:val="23"/>
          <w:szCs w:val="23"/>
        </w:rPr>
        <w:t>本</w:t>
      </w:r>
      <w:r>
        <w:rPr>
          <w:rFonts w:ascii="宋体" w:hAnsi="宋体" w:eastAsia="宋体" w:cs="宋体"/>
          <w:spacing w:val="9"/>
          <w:sz w:val="23"/>
          <w:szCs w:val="23"/>
        </w:rPr>
        <w:t>次评价环境影响分析中可能出现的地下水污染情况，评价对几个重点区</w:t>
      </w:r>
      <w:r>
        <w:rPr>
          <w:rFonts w:ascii="宋体" w:hAnsi="宋体" w:eastAsia="宋体" w:cs="宋体"/>
          <w:sz w:val="23"/>
          <w:szCs w:val="23"/>
        </w:rPr>
        <w:t xml:space="preserve"> </w:t>
      </w:r>
      <w:r>
        <w:rPr>
          <w:rFonts w:ascii="宋体" w:hAnsi="宋体" w:eastAsia="宋体" w:cs="宋体"/>
          <w:spacing w:val="16"/>
          <w:sz w:val="23"/>
          <w:szCs w:val="23"/>
        </w:rPr>
        <w:t>域</w:t>
      </w:r>
      <w:r>
        <w:rPr>
          <w:rFonts w:ascii="宋体" w:hAnsi="宋体" w:eastAsia="宋体" w:cs="宋体"/>
          <w:spacing w:val="11"/>
          <w:sz w:val="23"/>
          <w:szCs w:val="23"/>
        </w:rPr>
        <w:t>提</w:t>
      </w:r>
      <w:r>
        <w:rPr>
          <w:rFonts w:ascii="宋体" w:hAnsi="宋体" w:eastAsia="宋体" w:cs="宋体"/>
          <w:spacing w:val="8"/>
          <w:sz w:val="23"/>
          <w:szCs w:val="23"/>
        </w:rPr>
        <w:t>出地下水污染的分区防治措施。</w:t>
      </w:r>
    </w:p>
    <w:p w14:paraId="01160C58">
      <w:pPr>
        <w:spacing w:before="5" w:line="374" w:lineRule="auto"/>
        <w:ind w:left="534" w:right="462" w:firstLine="507"/>
        <w:rPr>
          <w:rFonts w:ascii="宋体" w:hAnsi="宋体" w:eastAsia="宋体" w:cs="宋体"/>
          <w:sz w:val="23"/>
          <w:szCs w:val="23"/>
        </w:rPr>
      </w:pPr>
      <w:r>
        <w:rPr>
          <w:rFonts w:ascii="宋体" w:hAnsi="宋体" w:eastAsia="宋体" w:cs="宋体"/>
          <w:spacing w:val="7"/>
          <w:sz w:val="23"/>
          <w:szCs w:val="23"/>
        </w:rPr>
        <w:t>根据《环境影响评价技术导则 地下水环境》  (</w:t>
      </w:r>
      <w:r>
        <w:rPr>
          <w:rFonts w:ascii="Times New Roman" w:hAnsi="Times New Roman" w:eastAsia="Times New Roman" w:cs="Times New Roman"/>
          <w:sz w:val="23"/>
          <w:szCs w:val="23"/>
        </w:rPr>
        <w:t>HJ</w:t>
      </w:r>
      <w:r>
        <w:rPr>
          <w:rFonts w:ascii="Times New Roman" w:hAnsi="Times New Roman" w:eastAsia="Times New Roman" w:cs="Times New Roman"/>
          <w:spacing w:val="7"/>
          <w:sz w:val="23"/>
          <w:szCs w:val="23"/>
        </w:rPr>
        <w:t xml:space="preserve"> 610-2016</w:t>
      </w:r>
      <w:r>
        <w:rPr>
          <w:rFonts w:ascii="宋体" w:hAnsi="宋体" w:eastAsia="宋体" w:cs="宋体"/>
          <w:spacing w:val="7"/>
          <w:sz w:val="23"/>
          <w:szCs w:val="23"/>
        </w:rPr>
        <w:t>) ，本次评价将</w:t>
      </w:r>
      <w:r>
        <w:rPr>
          <w:rFonts w:ascii="宋体" w:hAnsi="宋体" w:eastAsia="宋体" w:cs="宋体"/>
          <w:spacing w:val="3"/>
          <w:sz w:val="23"/>
          <w:szCs w:val="23"/>
        </w:rPr>
        <w:t>养</w:t>
      </w:r>
      <w:r>
        <w:rPr>
          <w:rFonts w:ascii="宋体" w:hAnsi="宋体" w:eastAsia="宋体" w:cs="宋体"/>
          <w:sz w:val="23"/>
          <w:szCs w:val="23"/>
        </w:rPr>
        <w:t xml:space="preserve"> </w:t>
      </w:r>
      <w:r>
        <w:rPr>
          <w:rFonts w:ascii="宋体" w:hAnsi="宋体" w:eastAsia="宋体" w:cs="宋体"/>
          <w:spacing w:val="20"/>
          <w:sz w:val="23"/>
          <w:szCs w:val="23"/>
        </w:rPr>
        <w:t>殖</w:t>
      </w:r>
      <w:r>
        <w:rPr>
          <w:rFonts w:ascii="宋体" w:hAnsi="宋体" w:eastAsia="宋体" w:cs="宋体"/>
          <w:spacing w:val="16"/>
          <w:sz w:val="23"/>
          <w:szCs w:val="23"/>
        </w:rPr>
        <w:t>场</w:t>
      </w:r>
      <w:r>
        <w:rPr>
          <w:rFonts w:ascii="宋体" w:hAnsi="宋体" w:eastAsia="宋体" w:cs="宋体"/>
          <w:spacing w:val="10"/>
          <w:sz w:val="23"/>
          <w:szCs w:val="23"/>
        </w:rPr>
        <w:t>区地下水污染防治区分为非防渗区、简单防渗区域、一般防渗区域和重点防渗</w:t>
      </w:r>
      <w:r>
        <w:rPr>
          <w:rFonts w:ascii="宋体" w:hAnsi="宋体" w:eastAsia="宋体" w:cs="宋体"/>
          <w:sz w:val="23"/>
          <w:szCs w:val="23"/>
        </w:rPr>
        <w:t xml:space="preserve"> </w:t>
      </w:r>
      <w:r>
        <w:rPr>
          <w:rFonts w:ascii="宋体" w:hAnsi="宋体" w:eastAsia="宋体" w:cs="宋体"/>
          <w:spacing w:val="10"/>
          <w:sz w:val="23"/>
          <w:szCs w:val="23"/>
        </w:rPr>
        <w:t>区域。</w:t>
      </w:r>
      <w:r>
        <w:rPr>
          <w:rFonts w:ascii="宋体" w:hAnsi="宋体" w:eastAsia="宋体" w:cs="宋体"/>
          <w:spacing w:val="9"/>
          <w:sz w:val="23"/>
          <w:szCs w:val="23"/>
        </w:rPr>
        <w:t>非</w:t>
      </w:r>
      <w:r>
        <w:rPr>
          <w:rFonts w:ascii="宋体" w:hAnsi="宋体" w:eastAsia="宋体" w:cs="宋体"/>
          <w:spacing w:val="5"/>
          <w:sz w:val="23"/>
          <w:szCs w:val="23"/>
        </w:rPr>
        <w:t>防渗区为绿化用地；简单防渗区域主要包括办公楼、饲料仓及场内道路等；</w:t>
      </w:r>
      <w:r>
        <w:rPr>
          <w:rFonts w:ascii="宋体" w:hAnsi="宋体" w:eastAsia="宋体" w:cs="宋体"/>
          <w:sz w:val="23"/>
          <w:szCs w:val="23"/>
        </w:rPr>
        <w:t xml:space="preserve"> </w:t>
      </w:r>
      <w:r>
        <w:rPr>
          <w:rFonts w:ascii="宋体" w:hAnsi="宋体" w:eastAsia="宋体" w:cs="宋体"/>
          <w:spacing w:val="20"/>
          <w:sz w:val="23"/>
          <w:szCs w:val="23"/>
        </w:rPr>
        <w:t>一</w:t>
      </w:r>
      <w:r>
        <w:rPr>
          <w:rFonts w:ascii="宋体" w:hAnsi="宋体" w:eastAsia="宋体" w:cs="宋体"/>
          <w:spacing w:val="13"/>
          <w:sz w:val="23"/>
          <w:szCs w:val="23"/>
        </w:rPr>
        <w:t>般</w:t>
      </w:r>
      <w:r>
        <w:rPr>
          <w:rFonts w:ascii="宋体" w:hAnsi="宋体" w:eastAsia="宋体" w:cs="宋体"/>
          <w:spacing w:val="10"/>
          <w:sz w:val="23"/>
          <w:szCs w:val="23"/>
        </w:rPr>
        <w:t>防渗区域为猪舍、隔离舍、异位微生物发酵系统渗滤池、发酵槽、喷淋槽、化</w:t>
      </w:r>
      <w:r>
        <w:rPr>
          <w:rFonts w:ascii="宋体" w:hAnsi="宋体" w:eastAsia="宋体" w:cs="宋体"/>
          <w:sz w:val="23"/>
          <w:szCs w:val="23"/>
        </w:rPr>
        <w:t xml:space="preserve"> </w:t>
      </w:r>
      <w:r>
        <w:rPr>
          <w:rFonts w:ascii="宋体" w:hAnsi="宋体" w:eastAsia="宋体" w:cs="宋体"/>
          <w:spacing w:val="15"/>
          <w:sz w:val="23"/>
          <w:szCs w:val="23"/>
        </w:rPr>
        <w:t>粪</w:t>
      </w:r>
      <w:r>
        <w:rPr>
          <w:rFonts w:ascii="宋体" w:hAnsi="宋体" w:eastAsia="宋体" w:cs="宋体"/>
          <w:spacing w:val="9"/>
          <w:sz w:val="23"/>
          <w:szCs w:val="23"/>
        </w:rPr>
        <w:t>池；重点防渗区：医疗废物暂存间。分区防渗图详见附图。</w:t>
      </w:r>
    </w:p>
    <w:p w14:paraId="45E43CC0">
      <w:pPr>
        <w:spacing w:before="2" w:line="374" w:lineRule="auto"/>
        <w:ind w:left="548" w:right="521" w:firstLine="520"/>
        <w:rPr>
          <w:rFonts w:ascii="宋体" w:hAnsi="宋体" w:eastAsia="宋体" w:cs="宋体"/>
          <w:sz w:val="23"/>
          <w:szCs w:val="23"/>
        </w:rPr>
      </w:pPr>
      <w:r>
        <w:rPr>
          <w:rFonts w:ascii="宋体" w:hAnsi="宋体" w:eastAsia="宋体" w:cs="宋体"/>
          <w:spacing w:val="9"/>
          <w:sz w:val="23"/>
          <w:szCs w:val="23"/>
        </w:rPr>
        <w:t>以上各区均须进行地面硬化，并做特殊防渗处理。本项目各地下水污染防治</w:t>
      </w:r>
      <w:r>
        <w:rPr>
          <w:rFonts w:ascii="宋体" w:hAnsi="宋体" w:eastAsia="宋体" w:cs="宋体"/>
          <w:spacing w:val="4"/>
          <w:sz w:val="23"/>
          <w:szCs w:val="23"/>
        </w:rPr>
        <w:t>区</w:t>
      </w:r>
      <w:r>
        <w:rPr>
          <w:rFonts w:ascii="宋体" w:hAnsi="宋体" w:eastAsia="宋体" w:cs="宋体"/>
          <w:sz w:val="23"/>
          <w:szCs w:val="23"/>
        </w:rPr>
        <w:t xml:space="preserve"> </w:t>
      </w:r>
      <w:r>
        <w:rPr>
          <w:rFonts w:ascii="宋体" w:hAnsi="宋体" w:eastAsia="宋体" w:cs="宋体"/>
          <w:spacing w:val="2"/>
          <w:sz w:val="23"/>
          <w:szCs w:val="23"/>
        </w:rPr>
        <w:t>防渗强度要</w:t>
      </w:r>
      <w:r>
        <w:rPr>
          <w:rFonts w:ascii="宋体" w:hAnsi="宋体" w:eastAsia="宋体" w:cs="宋体"/>
          <w:spacing w:val="1"/>
          <w:sz w:val="23"/>
          <w:szCs w:val="23"/>
        </w:rPr>
        <w:t xml:space="preserve">求见表 </w:t>
      </w:r>
      <w:r>
        <w:rPr>
          <w:rFonts w:ascii="Times New Roman" w:hAnsi="Times New Roman" w:eastAsia="Times New Roman" w:cs="Times New Roman"/>
          <w:spacing w:val="1"/>
          <w:sz w:val="23"/>
          <w:szCs w:val="23"/>
        </w:rPr>
        <w:t>5.2-8</w:t>
      </w:r>
      <w:r>
        <w:rPr>
          <w:rFonts w:ascii="宋体" w:hAnsi="宋体" w:eastAsia="宋体" w:cs="宋体"/>
          <w:spacing w:val="1"/>
          <w:sz w:val="23"/>
          <w:szCs w:val="23"/>
        </w:rPr>
        <w:t>。</w:t>
      </w:r>
    </w:p>
    <w:p w14:paraId="5FFB5A3D">
      <w:pPr>
        <w:spacing w:line="221" w:lineRule="auto"/>
        <w:ind w:left="2850"/>
        <w:rPr>
          <w:rFonts w:ascii="黑体" w:hAnsi="黑体" w:eastAsia="黑体" w:cs="黑体"/>
          <w:sz w:val="23"/>
          <w:szCs w:val="23"/>
        </w:rPr>
      </w:pPr>
      <w:r>
        <w:rPr>
          <w:rFonts w:ascii="黑体" w:hAnsi="黑体" w:eastAsia="黑体" w:cs="黑体"/>
          <w:spacing w:val="4"/>
          <w:sz w:val="23"/>
          <w:szCs w:val="23"/>
        </w:rPr>
        <w:t xml:space="preserve">表 </w:t>
      </w:r>
      <w:r>
        <w:rPr>
          <w:rFonts w:ascii="Times New Roman" w:hAnsi="Times New Roman" w:eastAsia="Times New Roman" w:cs="Times New Roman"/>
          <w:spacing w:val="4"/>
          <w:sz w:val="23"/>
          <w:szCs w:val="23"/>
        </w:rPr>
        <w:t xml:space="preserve">5.2-8      </w:t>
      </w:r>
      <w:r>
        <w:rPr>
          <w:rFonts w:ascii="黑体" w:hAnsi="黑体" w:eastAsia="黑体" w:cs="黑体"/>
          <w:spacing w:val="4"/>
          <w:sz w:val="23"/>
          <w:szCs w:val="23"/>
        </w:rPr>
        <w:t>地下水污染分区防治措施</w:t>
      </w:r>
      <w:r>
        <w:rPr>
          <w:rFonts w:ascii="黑体" w:hAnsi="黑体" w:eastAsia="黑体" w:cs="黑体"/>
          <w:sz w:val="23"/>
          <w:szCs w:val="23"/>
        </w:rPr>
        <w:t>表</w:t>
      </w:r>
    </w:p>
    <w:tbl>
      <w:tblPr>
        <w:tblStyle w:val="4"/>
        <w:tblW w:w="971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78"/>
        <w:gridCol w:w="4293"/>
        <w:gridCol w:w="1720"/>
        <w:gridCol w:w="620"/>
      </w:tblGrid>
      <w:tr w14:paraId="6BB81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78" w:type="dxa"/>
            <w:tcBorders>
              <w:left w:val="nil"/>
              <w:right w:val="single" w:color="000000" w:sz="4" w:space="0"/>
            </w:tcBorders>
          </w:tcPr>
          <w:p w14:paraId="48C1C880">
            <w:pPr>
              <w:spacing w:before="60" w:line="210" w:lineRule="auto"/>
              <w:ind w:left="1338"/>
              <w:rPr>
                <w:rFonts w:ascii="宋体" w:hAnsi="宋体" w:eastAsia="宋体" w:cs="宋体"/>
                <w:sz w:val="20"/>
                <w:szCs w:val="20"/>
              </w:rPr>
            </w:pPr>
            <w:r>
              <w:rPr>
                <w:rFonts w:ascii="宋体" w:hAnsi="宋体" w:eastAsia="宋体" w:cs="宋体"/>
                <w:spacing w:val="4"/>
                <w:sz w:val="20"/>
                <w:szCs w:val="20"/>
              </w:rPr>
              <w:t>分</w:t>
            </w:r>
            <w:r>
              <w:rPr>
                <w:rFonts w:ascii="宋体" w:hAnsi="宋体" w:eastAsia="宋体" w:cs="宋体"/>
                <w:spacing w:val="3"/>
                <w:sz w:val="20"/>
                <w:szCs w:val="20"/>
              </w:rPr>
              <w:t>区</w:t>
            </w:r>
          </w:p>
        </w:tc>
        <w:tc>
          <w:tcPr>
            <w:tcW w:w="4293" w:type="dxa"/>
            <w:tcBorders>
              <w:left w:val="single" w:color="000000" w:sz="4" w:space="0"/>
              <w:right w:val="single" w:color="000000" w:sz="4" w:space="0"/>
            </w:tcBorders>
          </w:tcPr>
          <w:p w14:paraId="4D35B762">
            <w:pPr>
              <w:spacing w:before="60" w:line="210" w:lineRule="auto"/>
              <w:ind w:left="1426"/>
              <w:rPr>
                <w:rFonts w:ascii="宋体" w:hAnsi="宋体" w:eastAsia="宋体" w:cs="宋体"/>
                <w:sz w:val="20"/>
                <w:szCs w:val="20"/>
              </w:rPr>
            </w:pPr>
            <w:r>
              <w:rPr>
                <w:rFonts w:ascii="宋体" w:hAnsi="宋体" w:eastAsia="宋体" w:cs="宋体"/>
                <w:spacing w:val="7"/>
                <w:sz w:val="20"/>
                <w:szCs w:val="20"/>
              </w:rPr>
              <w:t>防渗结构与材</w:t>
            </w:r>
            <w:r>
              <w:rPr>
                <w:rFonts w:ascii="宋体" w:hAnsi="宋体" w:eastAsia="宋体" w:cs="宋体"/>
                <w:spacing w:val="5"/>
                <w:sz w:val="20"/>
                <w:szCs w:val="20"/>
              </w:rPr>
              <w:t>料</w:t>
            </w:r>
          </w:p>
        </w:tc>
        <w:tc>
          <w:tcPr>
            <w:tcW w:w="1720" w:type="dxa"/>
            <w:tcBorders>
              <w:left w:val="single" w:color="000000" w:sz="4" w:space="0"/>
              <w:right w:val="nil"/>
            </w:tcBorders>
          </w:tcPr>
          <w:p w14:paraId="20C8FF1F">
            <w:pPr>
              <w:spacing w:before="22" w:line="266" w:lineRule="exact"/>
              <w:ind w:left="255"/>
              <w:rPr>
                <w:rFonts w:ascii="Times New Roman" w:hAnsi="Times New Roman" w:eastAsia="Times New Roman" w:cs="Times New Roman"/>
                <w:sz w:val="19"/>
                <w:szCs w:val="19"/>
              </w:rPr>
            </w:pPr>
            <w:r>
              <w:rPr>
                <w:rFonts w:ascii="宋体" w:hAnsi="宋体" w:eastAsia="宋体" w:cs="宋体"/>
                <w:spacing w:val="-1"/>
                <w:position w:val="1"/>
                <w:sz w:val="19"/>
                <w:szCs w:val="19"/>
              </w:rPr>
              <w:t>渗透系数</w:t>
            </w:r>
            <w:r>
              <w:rPr>
                <w:rFonts w:ascii="Times New Roman" w:hAnsi="Times New Roman" w:eastAsia="Times New Roman" w:cs="Times New Roman"/>
                <w:spacing w:val="-1"/>
                <w:position w:val="1"/>
                <w:sz w:val="19"/>
                <w:szCs w:val="19"/>
              </w:rPr>
              <w:t xml:space="preserve">/  </w:t>
            </w:r>
            <w:r>
              <w:rPr>
                <w:rFonts w:ascii="宋体" w:hAnsi="宋体" w:eastAsia="宋体" w:cs="宋体"/>
                <w:spacing w:val="-1"/>
                <w:position w:val="1"/>
                <w:sz w:val="19"/>
                <w:szCs w:val="19"/>
              </w:rPr>
              <w:t xml:space="preserve">( </w:t>
            </w:r>
            <w:r>
              <w:rPr>
                <w:rFonts w:ascii="Times New Roman" w:hAnsi="Times New Roman" w:eastAsia="Times New Roman" w:cs="Times New Roman"/>
                <w:position w:val="1"/>
                <w:sz w:val="19"/>
                <w:szCs w:val="19"/>
              </w:rPr>
              <w:t>cm·s</w:t>
            </w:r>
          </w:p>
        </w:tc>
        <w:tc>
          <w:tcPr>
            <w:tcW w:w="620" w:type="dxa"/>
            <w:tcBorders>
              <w:left w:val="nil"/>
              <w:right w:val="nil"/>
            </w:tcBorders>
          </w:tcPr>
          <w:p w14:paraId="59F01DE7"/>
        </w:tc>
      </w:tr>
      <w:tr w14:paraId="594A66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3078" w:type="dxa"/>
            <w:tcBorders>
              <w:left w:val="nil"/>
              <w:right w:val="single" w:color="000000" w:sz="4" w:space="0"/>
            </w:tcBorders>
          </w:tcPr>
          <w:p w14:paraId="108B5B6A">
            <w:pPr>
              <w:spacing w:before="62" w:line="228" w:lineRule="auto"/>
              <w:ind w:left="708"/>
              <w:rPr>
                <w:rFonts w:ascii="宋体" w:hAnsi="宋体" w:eastAsia="宋体" w:cs="宋体"/>
                <w:sz w:val="20"/>
                <w:szCs w:val="20"/>
              </w:rPr>
            </w:pPr>
            <w:r>
              <w:rPr>
                <w:rFonts w:ascii="宋体" w:hAnsi="宋体" w:eastAsia="宋体" w:cs="宋体"/>
                <w:spacing w:val="7"/>
                <w:sz w:val="20"/>
                <w:szCs w:val="20"/>
              </w:rPr>
              <w:t xml:space="preserve">绿化 </w:t>
            </w:r>
            <w:r>
              <w:rPr>
                <w:rFonts w:ascii="宋体" w:hAnsi="宋体" w:eastAsia="宋体" w:cs="宋体"/>
                <w:spacing w:val="7"/>
                <w:sz w:val="20"/>
                <w:szCs w:val="20"/>
                <w14:textOutline w14:w="3797" w14:cap="sq" w14:cmpd="sng" w14:algn="ctr">
                  <w14:solidFill>
                    <w14:srgbClr w14:val="000000"/>
                  </w14:solidFill>
                  <w14:prstDash w14:val="solid"/>
                  <w14:bevel/>
                </w14:textOutline>
              </w:rPr>
              <w:t>(非防渗区</w:t>
            </w:r>
            <w:r>
              <w:rPr>
                <w:rFonts w:ascii="宋体" w:hAnsi="宋体" w:eastAsia="宋体" w:cs="宋体"/>
                <w:spacing w:val="5"/>
                <w:sz w:val="20"/>
                <w:szCs w:val="20"/>
                <w14:textOutline w14:w="3797" w14:cap="sq" w14:cmpd="sng" w14:algn="ctr">
                  <w14:solidFill>
                    <w14:srgbClr w14:val="000000"/>
                  </w14:solidFill>
                  <w14:prstDash w14:val="solid"/>
                  <w14:bevel/>
                </w14:textOutline>
              </w:rPr>
              <w:t>)</w:t>
            </w:r>
          </w:p>
        </w:tc>
        <w:tc>
          <w:tcPr>
            <w:tcW w:w="4293" w:type="dxa"/>
            <w:tcBorders>
              <w:left w:val="single" w:color="000000" w:sz="4" w:space="0"/>
              <w:right w:val="single" w:color="000000" w:sz="4" w:space="0"/>
            </w:tcBorders>
          </w:tcPr>
          <w:p w14:paraId="4D3EAAD4">
            <w:pPr>
              <w:spacing w:before="27" w:line="281" w:lineRule="exact"/>
              <w:ind w:left="2111"/>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2340" w:type="dxa"/>
            <w:gridSpan w:val="2"/>
            <w:tcBorders>
              <w:left w:val="single" w:color="000000" w:sz="4" w:space="0"/>
              <w:right w:val="nil"/>
            </w:tcBorders>
          </w:tcPr>
          <w:p w14:paraId="782C5F21">
            <w:pPr>
              <w:spacing w:before="27" w:line="281" w:lineRule="exact"/>
              <w:ind w:left="1135"/>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bl>
    <w:p w14:paraId="163FC46A"/>
    <w:p w14:paraId="275EE316">
      <w:pPr>
        <w:sectPr>
          <w:headerReference r:id="rId203" w:type="default"/>
          <w:footerReference r:id="rId204" w:type="default"/>
          <w:pgSz w:w="11907" w:h="16840"/>
          <w:pgMar w:top="400" w:right="1057" w:bottom="1485" w:left="1136" w:header="0" w:footer="1298" w:gutter="0"/>
          <w:cols w:space="720" w:num="1"/>
        </w:sectPr>
      </w:pPr>
    </w:p>
    <w:p w14:paraId="7E3A8EE4">
      <w:pPr>
        <w:spacing w:line="460" w:lineRule="auto"/>
      </w:pPr>
    </w:p>
    <w:p w14:paraId="2788C11B">
      <w:pPr>
        <w:spacing w:before="56" w:line="229" w:lineRule="auto"/>
        <w:ind w:left="530"/>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44650173">
      <w:pPr>
        <w:spacing w:line="14" w:lineRule="exact"/>
      </w:pP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78"/>
        <w:gridCol w:w="4293"/>
        <w:gridCol w:w="2341"/>
      </w:tblGrid>
      <w:tr w14:paraId="378A6B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3078" w:type="dxa"/>
            <w:tcBorders>
              <w:left w:val="nil"/>
              <w:right w:val="single" w:color="000000" w:sz="4" w:space="0"/>
            </w:tcBorders>
          </w:tcPr>
          <w:p w14:paraId="71F56E0B">
            <w:pPr>
              <w:spacing w:before="116" w:line="228" w:lineRule="auto"/>
              <w:ind w:left="291"/>
              <w:rPr>
                <w:rFonts w:ascii="宋体" w:hAnsi="宋体" w:eastAsia="宋体" w:cs="宋体"/>
                <w:sz w:val="20"/>
                <w:szCs w:val="20"/>
              </w:rPr>
            </w:pPr>
            <w:r>
              <w:rPr>
                <w:rFonts w:ascii="宋体" w:hAnsi="宋体" w:eastAsia="宋体" w:cs="宋体"/>
                <w:spacing w:val="16"/>
                <w:sz w:val="20"/>
                <w:szCs w:val="20"/>
              </w:rPr>
              <w:t>办</w:t>
            </w:r>
            <w:r>
              <w:rPr>
                <w:rFonts w:ascii="宋体" w:hAnsi="宋体" w:eastAsia="宋体" w:cs="宋体"/>
                <w:spacing w:val="9"/>
                <w:sz w:val="20"/>
                <w:szCs w:val="20"/>
              </w:rPr>
              <w:t>公</w:t>
            </w:r>
            <w:r>
              <w:rPr>
                <w:rFonts w:ascii="宋体" w:hAnsi="宋体" w:eastAsia="宋体" w:cs="宋体"/>
                <w:spacing w:val="8"/>
                <w:sz w:val="20"/>
                <w:szCs w:val="20"/>
              </w:rPr>
              <w:t>楼、库房及场内道路等</w:t>
            </w:r>
          </w:p>
          <w:p w14:paraId="6F8B90F5">
            <w:pPr>
              <w:spacing w:before="24" w:line="227" w:lineRule="auto"/>
              <w:ind w:left="822"/>
              <w:rPr>
                <w:rFonts w:ascii="宋体" w:hAnsi="宋体" w:eastAsia="宋体" w:cs="宋体"/>
                <w:sz w:val="20"/>
                <w:szCs w:val="20"/>
              </w:rPr>
            </w:pPr>
            <w:r>
              <w:rPr>
                <w:rFonts w:ascii="宋体" w:hAnsi="宋体" w:eastAsia="宋体" w:cs="宋体"/>
                <w:spacing w:val="24"/>
                <w:sz w:val="20"/>
                <w:szCs w:val="20"/>
                <w14:textOutline w14:w="3797" w14:cap="sq" w14:cmpd="sng" w14:algn="ctr">
                  <w14:solidFill>
                    <w14:srgbClr w14:val="000000"/>
                  </w14:solidFill>
                  <w14:prstDash w14:val="solid"/>
                  <w14:bevel/>
                </w14:textOutline>
              </w:rPr>
              <w:t>(</w:t>
            </w:r>
            <w:r>
              <w:rPr>
                <w:rFonts w:ascii="宋体" w:hAnsi="宋体" w:eastAsia="宋体" w:cs="宋体"/>
                <w:spacing w:val="20"/>
                <w:sz w:val="20"/>
                <w:szCs w:val="20"/>
                <w14:textOutline w14:w="3797" w14:cap="sq" w14:cmpd="sng" w14:algn="ctr">
                  <w14:solidFill>
                    <w14:srgbClr w14:val="000000"/>
                  </w14:solidFill>
                  <w14:prstDash w14:val="solid"/>
                  <w14:bevel/>
                </w14:textOutline>
              </w:rPr>
              <w:t>简单防渗区)</w:t>
            </w:r>
          </w:p>
        </w:tc>
        <w:tc>
          <w:tcPr>
            <w:tcW w:w="4293" w:type="dxa"/>
            <w:tcBorders>
              <w:left w:val="single" w:color="000000" w:sz="4" w:space="0"/>
              <w:right w:val="single" w:color="000000" w:sz="4" w:space="0"/>
            </w:tcBorders>
          </w:tcPr>
          <w:p w14:paraId="5844F5AC">
            <w:pPr>
              <w:spacing w:before="251" w:line="229" w:lineRule="auto"/>
              <w:ind w:left="1522"/>
              <w:rPr>
                <w:rFonts w:ascii="宋体" w:hAnsi="宋体" w:eastAsia="宋体" w:cs="宋体"/>
                <w:sz w:val="20"/>
                <w:szCs w:val="20"/>
              </w:rPr>
            </w:pPr>
            <w:r>
              <w:rPr>
                <w:rFonts w:ascii="宋体" w:hAnsi="宋体" w:eastAsia="宋体" w:cs="宋体"/>
                <w:spacing w:val="11"/>
                <w:sz w:val="20"/>
                <w:szCs w:val="20"/>
              </w:rPr>
              <w:t>一</w:t>
            </w:r>
            <w:r>
              <w:rPr>
                <w:rFonts w:ascii="宋体" w:hAnsi="宋体" w:eastAsia="宋体" w:cs="宋体"/>
                <w:spacing w:val="7"/>
                <w:sz w:val="20"/>
                <w:szCs w:val="20"/>
              </w:rPr>
              <w:t>般地面硬化</w:t>
            </w:r>
          </w:p>
        </w:tc>
        <w:tc>
          <w:tcPr>
            <w:tcW w:w="2341" w:type="dxa"/>
            <w:tcBorders>
              <w:left w:val="single" w:color="000000" w:sz="4" w:space="0"/>
              <w:right w:val="nil"/>
            </w:tcBorders>
          </w:tcPr>
          <w:p w14:paraId="6891AC43">
            <w:pPr>
              <w:spacing w:before="216" w:line="281" w:lineRule="exact"/>
              <w:ind w:left="1135"/>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221BA4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3078" w:type="dxa"/>
            <w:tcBorders>
              <w:left w:val="nil"/>
              <w:right w:val="single" w:color="000000" w:sz="4" w:space="0"/>
            </w:tcBorders>
          </w:tcPr>
          <w:p w14:paraId="545BE214">
            <w:pPr>
              <w:spacing w:before="37" w:line="228" w:lineRule="auto"/>
              <w:ind w:left="116"/>
              <w:rPr>
                <w:rFonts w:ascii="宋体" w:hAnsi="宋体" w:eastAsia="宋体" w:cs="宋体"/>
                <w:sz w:val="20"/>
                <w:szCs w:val="20"/>
              </w:rPr>
            </w:pPr>
            <w:r>
              <w:rPr>
                <w:rFonts w:ascii="宋体" w:hAnsi="宋体" w:eastAsia="宋体" w:cs="宋体"/>
                <w:spacing w:val="6"/>
                <w:sz w:val="20"/>
                <w:szCs w:val="20"/>
              </w:rPr>
              <w:t>猪舍、</w:t>
            </w:r>
            <w:r>
              <w:rPr>
                <w:rFonts w:ascii="宋体" w:hAnsi="宋体" w:eastAsia="宋体" w:cs="宋体"/>
                <w:spacing w:val="4"/>
                <w:sz w:val="20"/>
                <w:szCs w:val="20"/>
              </w:rPr>
              <w:t>隔</w:t>
            </w:r>
            <w:r>
              <w:rPr>
                <w:rFonts w:ascii="宋体" w:hAnsi="宋体" w:eastAsia="宋体" w:cs="宋体"/>
                <w:spacing w:val="3"/>
                <w:sz w:val="20"/>
                <w:szCs w:val="20"/>
              </w:rPr>
              <w:t>离舍、异位微生物发酵</w:t>
            </w:r>
          </w:p>
          <w:p w14:paraId="63FCF7D3">
            <w:pPr>
              <w:spacing w:before="24" w:line="238" w:lineRule="auto"/>
              <w:ind w:left="495" w:right="61" w:hanging="375"/>
              <w:rPr>
                <w:rFonts w:ascii="宋体" w:hAnsi="宋体" w:eastAsia="宋体" w:cs="宋体"/>
                <w:sz w:val="20"/>
                <w:szCs w:val="20"/>
              </w:rPr>
            </w:pPr>
            <w:r>
              <w:rPr>
                <w:rFonts w:ascii="宋体" w:hAnsi="宋体" w:eastAsia="宋体" w:cs="宋体"/>
                <w:spacing w:val="12"/>
                <w:sz w:val="20"/>
                <w:szCs w:val="20"/>
              </w:rPr>
              <w:t>系</w:t>
            </w:r>
            <w:r>
              <w:rPr>
                <w:rFonts w:ascii="宋体" w:hAnsi="宋体" w:eastAsia="宋体" w:cs="宋体"/>
                <w:spacing w:val="6"/>
                <w:sz w:val="20"/>
                <w:szCs w:val="20"/>
              </w:rPr>
              <w:t>统渗滤池、发酵槽、喷淋槽、</w:t>
            </w:r>
            <w:r>
              <w:rPr>
                <w:rFonts w:ascii="宋体" w:hAnsi="宋体" w:eastAsia="宋体" w:cs="宋体"/>
                <w:sz w:val="20"/>
                <w:szCs w:val="20"/>
              </w:rPr>
              <w:t xml:space="preserve"> </w:t>
            </w:r>
            <w:r>
              <w:rPr>
                <w:rFonts w:ascii="宋体" w:hAnsi="宋体" w:eastAsia="宋体" w:cs="宋体"/>
                <w:spacing w:val="-2"/>
                <w:sz w:val="20"/>
                <w:szCs w:val="20"/>
              </w:rPr>
              <w:t xml:space="preserve">化粪池 </w:t>
            </w:r>
            <w:r>
              <w:rPr>
                <w:rFonts w:ascii="宋体" w:hAnsi="宋体" w:eastAsia="宋体" w:cs="宋体"/>
                <w:spacing w:val="-2"/>
                <w:sz w:val="20"/>
                <w:szCs w:val="20"/>
                <w14:textOutline w14:w="3797" w14:cap="sq" w14:cmpd="sng" w14:algn="ctr">
                  <w14:solidFill>
                    <w14:srgbClr w14:val="000000"/>
                  </w14:solidFill>
                  <w14:prstDash w14:val="solid"/>
                  <w14:bevel/>
                </w14:textOutline>
              </w:rPr>
              <w:t>(</w:t>
            </w:r>
            <w:r>
              <w:rPr>
                <w:rFonts w:ascii="宋体" w:hAnsi="宋体" w:eastAsia="宋体" w:cs="宋体"/>
                <w:spacing w:val="-2"/>
                <w:sz w:val="20"/>
                <w:szCs w:val="20"/>
              </w:rPr>
              <w:t xml:space="preserve"> </w:t>
            </w:r>
            <w:r>
              <w:rPr>
                <w:rFonts w:ascii="宋体" w:hAnsi="宋体" w:eastAsia="宋体" w:cs="宋体"/>
                <w:spacing w:val="-1"/>
                <w:sz w:val="20"/>
                <w:szCs w:val="20"/>
                <w14:textOutline w14:w="3797" w14:cap="sq" w14:cmpd="sng" w14:algn="ctr">
                  <w14:solidFill>
                    <w14:srgbClr w14:val="000000"/>
                  </w14:solidFill>
                  <w14:prstDash w14:val="solid"/>
                  <w14:bevel/>
                </w14:textOutline>
              </w:rPr>
              <w:t>一般防渗区)</w:t>
            </w:r>
          </w:p>
        </w:tc>
        <w:tc>
          <w:tcPr>
            <w:tcW w:w="4293" w:type="dxa"/>
            <w:tcBorders>
              <w:left w:val="single" w:color="000000" w:sz="4" w:space="0"/>
              <w:right w:val="single" w:color="000000" w:sz="4" w:space="0"/>
            </w:tcBorders>
          </w:tcPr>
          <w:p w14:paraId="7ABC3C54">
            <w:pPr>
              <w:spacing w:before="270" w:line="281" w:lineRule="exact"/>
              <w:ind w:left="126"/>
              <w:rPr>
                <w:rFonts w:ascii="宋体" w:hAnsi="宋体" w:eastAsia="宋体" w:cs="宋体"/>
                <w:sz w:val="20"/>
                <w:szCs w:val="20"/>
              </w:rPr>
            </w:pPr>
            <w:r>
              <w:rPr>
                <w:rFonts w:ascii="宋体" w:hAnsi="宋体" w:eastAsia="宋体" w:cs="宋体"/>
                <w:spacing w:val="6"/>
                <w:position w:val="1"/>
                <w:sz w:val="20"/>
                <w:szCs w:val="20"/>
              </w:rPr>
              <w:t>防</w:t>
            </w:r>
            <w:r>
              <w:rPr>
                <w:rFonts w:ascii="宋体" w:hAnsi="宋体" w:eastAsia="宋体" w:cs="宋体"/>
                <w:spacing w:val="5"/>
                <w:position w:val="1"/>
                <w:sz w:val="20"/>
                <w:szCs w:val="20"/>
              </w:rPr>
              <w:t>渗混凝土</w:t>
            </w:r>
            <w:r>
              <w:rPr>
                <w:rFonts w:ascii="Times New Roman" w:hAnsi="Times New Roman" w:eastAsia="Times New Roman" w:cs="Times New Roman"/>
                <w:spacing w:val="5"/>
                <w:position w:val="1"/>
                <w:sz w:val="20"/>
                <w:szCs w:val="20"/>
              </w:rPr>
              <w:t>+</w:t>
            </w:r>
            <w:r>
              <w:rPr>
                <w:rFonts w:ascii="Times New Roman" w:hAnsi="Times New Roman" w:eastAsia="Times New Roman" w:cs="Times New Roman"/>
                <w:position w:val="1"/>
                <w:sz w:val="20"/>
                <w:szCs w:val="20"/>
              </w:rPr>
              <w:t>HDPE</w:t>
            </w:r>
            <w:r>
              <w:rPr>
                <w:rFonts w:ascii="Times New Roman" w:hAnsi="Times New Roman" w:eastAsia="Times New Roman" w:cs="Times New Roman"/>
                <w:spacing w:val="5"/>
                <w:position w:val="1"/>
                <w:sz w:val="20"/>
                <w:szCs w:val="20"/>
              </w:rPr>
              <w:t xml:space="preserve"> </w:t>
            </w:r>
            <w:r>
              <w:rPr>
                <w:rFonts w:ascii="宋体" w:hAnsi="宋体" w:eastAsia="宋体" w:cs="宋体"/>
                <w:spacing w:val="5"/>
                <w:position w:val="1"/>
                <w:sz w:val="20"/>
                <w:szCs w:val="20"/>
              </w:rPr>
              <w:t xml:space="preserve">土工膜(厚度大于 </w:t>
            </w:r>
            <w:r>
              <w:rPr>
                <w:rFonts w:ascii="Times New Roman" w:hAnsi="Times New Roman" w:eastAsia="Times New Roman" w:cs="Times New Roman"/>
                <w:spacing w:val="5"/>
                <w:position w:val="1"/>
                <w:sz w:val="20"/>
                <w:szCs w:val="20"/>
              </w:rPr>
              <w:t>1.5</w:t>
            </w:r>
            <w:r>
              <w:rPr>
                <w:rFonts w:ascii="Times New Roman" w:hAnsi="Times New Roman" w:eastAsia="Times New Roman" w:cs="Times New Roman"/>
                <w:position w:val="1"/>
                <w:sz w:val="20"/>
                <w:szCs w:val="20"/>
              </w:rPr>
              <w:t>mm</w:t>
            </w:r>
            <w:r>
              <w:rPr>
                <w:rFonts w:ascii="宋体" w:hAnsi="宋体" w:eastAsia="宋体" w:cs="宋体"/>
                <w:spacing w:val="5"/>
                <w:position w:val="1"/>
                <w:sz w:val="20"/>
                <w:szCs w:val="20"/>
              </w:rPr>
              <w:t>)</w:t>
            </w:r>
          </w:p>
        </w:tc>
        <w:tc>
          <w:tcPr>
            <w:tcW w:w="2341" w:type="dxa"/>
            <w:tcBorders>
              <w:left w:val="single" w:color="000000" w:sz="4" w:space="0"/>
              <w:right w:val="nil"/>
            </w:tcBorders>
          </w:tcPr>
          <w:p w14:paraId="22636B30">
            <w:pPr>
              <w:spacing w:line="266" w:lineRule="auto"/>
            </w:pPr>
          </w:p>
          <w:p w14:paraId="5B13CFE7">
            <w:pPr>
              <w:spacing w:before="58" w:line="217" w:lineRule="auto"/>
              <w:ind w:left="837"/>
              <w:rPr>
                <w:rFonts w:ascii="Times New Roman" w:hAnsi="Times New Roman" w:eastAsia="Times New Roman" w:cs="Times New Roman"/>
                <w:sz w:val="13"/>
                <w:szCs w:val="13"/>
              </w:rPr>
            </w:pPr>
            <w:r>
              <w:rPr>
                <w:rFonts w:ascii="Times New Roman" w:hAnsi="Times New Roman" w:eastAsia="Times New Roman" w:cs="Times New Roman"/>
                <w:spacing w:val="1"/>
                <w:sz w:val="20"/>
                <w:szCs w:val="20"/>
              </w:rPr>
              <w:t>1.0×10</w:t>
            </w:r>
            <w:r>
              <w:rPr>
                <w:rFonts w:ascii="Times New Roman" w:hAnsi="Times New Roman" w:eastAsia="Times New Roman" w:cs="Times New Roman"/>
                <w:position w:val="6"/>
                <w:sz w:val="13"/>
                <w:szCs w:val="13"/>
              </w:rPr>
              <w:t>-7</w:t>
            </w:r>
          </w:p>
        </w:tc>
      </w:tr>
      <w:tr w14:paraId="057DFD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3078" w:type="dxa"/>
            <w:tcBorders>
              <w:left w:val="nil"/>
              <w:right w:val="single" w:color="000000" w:sz="4" w:space="0"/>
            </w:tcBorders>
          </w:tcPr>
          <w:p w14:paraId="1995501C">
            <w:pPr>
              <w:spacing w:before="41" w:line="228" w:lineRule="auto"/>
              <w:ind w:left="191"/>
              <w:rPr>
                <w:rFonts w:ascii="宋体" w:hAnsi="宋体" w:eastAsia="宋体" w:cs="宋体"/>
                <w:sz w:val="20"/>
                <w:szCs w:val="20"/>
              </w:rPr>
            </w:pPr>
            <w:r>
              <w:rPr>
                <w:rFonts w:ascii="宋体" w:hAnsi="宋体" w:eastAsia="宋体" w:cs="宋体"/>
                <w:spacing w:val="13"/>
                <w:sz w:val="20"/>
                <w:szCs w:val="20"/>
              </w:rPr>
              <w:t>医</w:t>
            </w:r>
            <w:r>
              <w:rPr>
                <w:rFonts w:ascii="宋体" w:hAnsi="宋体" w:eastAsia="宋体" w:cs="宋体"/>
                <w:spacing w:val="7"/>
                <w:sz w:val="20"/>
                <w:szCs w:val="20"/>
              </w:rPr>
              <w:t xml:space="preserve">疗废物暂存间 </w:t>
            </w:r>
            <w:r>
              <w:rPr>
                <w:rFonts w:ascii="宋体" w:hAnsi="宋体" w:eastAsia="宋体" w:cs="宋体"/>
                <w:spacing w:val="7"/>
                <w:sz w:val="20"/>
                <w:szCs w:val="20"/>
                <w14:textOutline w14:w="3797" w14:cap="sq" w14:cmpd="sng" w14:algn="ctr">
                  <w14:solidFill>
                    <w14:srgbClr w14:val="000000"/>
                  </w14:solidFill>
                  <w14:prstDash w14:val="solid"/>
                  <w14:bevel/>
                </w14:textOutline>
              </w:rPr>
              <w:t>(重点防渗)</w:t>
            </w:r>
          </w:p>
        </w:tc>
        <w:tc>
          <w:tcPr>
            <w:tcW w:w="4293" w:type="dxa"/>
            <w:tcBorders>
              <w:left w:val="single" w:color="000000" w:sz="4" w:space="0"/>
              <w:right w:val="single" w:color="000000" w:sz="4" w:space="0"/>
            </w:tcBorders>
          </w:tcPr>
          <w:p w14:paraId="102EFF9E">
            <w:pPr>
              <w:spacing w:before="4" w:line="281" w:lineRule="exact"/>
              <w:ind w:left="126"/>
              <w:rPr>
                <w:rFonts w:ascii="宋体" w:hAnsi="宋体" w:eastAsia="宋体" w:cs="宋体"/>
                <w:sz w:val="20"/>
                <w:szCs w:val="20"/>
              </w:rPr>
            </w:pPr>
            <w:r>
              <w:rPr>
                <w:rFonts w:ascii="宋体" w:hAnsi="宋体" w:eastAsia="宋体" w:cs="宋体"/>
                <w:spacing w:val="6"/>
                <w:position w:val="1"/>
                <w:sz w:val="20"/>
                <w:szCs w:val="20"/>
              </w:rPr>
              <w:t>防</w:t>
            </w:r>
            <w:r>
              <w:rPr>
                <w:rFonts w:ascii="宋体" w:hAnsi="宋体" w:eastAsia="宋体" w:cs="宋体"/>
                <w:spacing w:val="5"/>
                <w:position w:val="1"/>
                <w:sz w:val="20"/>
                <w:szCs w:val="20"/>
              </w:rPr>
              <w:t>渗混凝土</w:t>
            </w:r>
            <w:r>
              <w:rPr>
                <w:rFonts w:ascii="Times New Roman" w:hAnsi="Times New Roman" w:eastAsia="Times New Roman" w:cs="Times New Roman"/>
                <w:spacing w:val="5"/>
                <w:position w:val="1"/>
                <w:sz w:val="20"/>
                <w:szCs w:val="20"/>
              </w:rPr>
              <w:t>+</w:t>
            </w:r>
            <w:r>
              <w:rPr>
                <w:rFonts w:ascii="Times New Roman" w:hAnsi="Times New Roman" w:eastAsia="Times New Roman" w:cs="Times New Roman"/>
                <w:position w:val="1"/>
                <w:sz w:val="20"/>
                <w:szCs w:val="20"/>
              </w:rPr>
              <w:t>HDPE</w:t>
            </w:r>
            <w:r>
              <w:rPr>
                <w:rFonts w:ascii="Times New Roman" w:hAnsi="Times New Roman" w:eastAsia="Times New Roman" w:cs="Times New Roman"/>
                <w:spacing w:val="5"/>
                <w:position w:val="1"/>
                <w:sz w:val="20"/>
                <w:szCs w:val="20"/>
              </w:rPr>
              <w:t xml:space="preserve"> </w:t>
            </w:r>
            <w:r>
              <w:rPr>
                <w:rFonts w:ascii="宋体" w:hAnsi="宋体" w:eastAsia="宋体" w:cs="宋体"/>
                <w:spacing w:val="5"/>
                <w:position w:val="1"/>
                <w:sz w:val="20"/>
                <w:szCs w:val="20"/>
              </w:rPr>
              <w:t xml:space="preserve">土工膜(厚度大于 </w:t>
            </w:r>
            <w:r>
              <w:rPr>
                <w:rFonts w:ascii="Times New Roman" w:hAnsi="Times New Roman" w:eastAsia="Times New Roman" w:cs="Times New Roman"/>
                <w:spacing w:val="5"/>
                <w:position w:val="1"/>
                <w:sz w:val="20"/>
                <w:szCs w:val="20"/>
              </w:rPr>
              <w:t>2.0</w:t>
            </w:r>
            <w:r>
              <w:rPr>
                <w:rFonts w:ascii="Times New Roman" w:hAnsi="Times New Roman" w:eastAsia="Times New Roman" w:cs="Times New Roman"/>
                <w:position w:val="1"/>
                <w:sz w:val="20"/>
                <w:szCs w:val="20"/>
              </w:rPr>
              <w:t>mm</w:t>
            </w:r>
            <w:r>
              <w:rPr>
                <w:rFonts w:ascii="宋体" w:hAnsi="宋体" w:eastAsia="宋体" w:cs="宋体"/>
                <w:spacing w:val="5"/>
                <w:position w:val="1"/>
                <w:sz w:val="20"/>
                <w:szCs w:val="20"/>
              </w:rPr>
              <w:t>)</w:t>
            </w:r>
          </w:p>
        </w:tc>
        <w:tc>
          <w:tcPr>
            <w:tcW w:w="2341" w:type="dxa"/>
            <w:tcBorders>
              <w:left w:val="single" w:color="000000" w:sz="4" w:space="0"/>
              <w:right w:val="nil"/>
            </w:tcBorders>
          </w:tcPr>
          <w:p w14:paraId="761101C6">
            <w:pPr>
              <w:spacing w:before="62" w:line="214" w:lineRule="auto"/>
              <w:ind w:left="837"/>
              <w:rPr>
                <w:rFonts w:ascii="Times New Roman" w:hAnsi="Times New Roman" w:eastAsia="Times New Roman" w:cs="Times New Roman"/>
                <w:sz w:val="13"/>
                <w:szCs w:val="13"/>
              </w:rPr>
            </w:pPr>
            <w:r>
              <w:rPr>
                <w:rFonts w:ascii="Times New Roman" w:hAnsi="Times New Roman" w:eastAsia="Times New Roman" w:cs="Times New Roman"/>
                <w:spacing w:val="1"/>
                <w:sz w:val="20"/>
                <w:szCs w:val="20"/>
              </w:rPr>
              <w:t>1.0×10</w:t>
            </w:r>
            <w:r>
              <w:rPr>
                <w:rFonts w:ascii="Times New Roman" w:hAnsi="Times New Roman" w:eastAsia="Times New Roman" w:cs="Times New Roman"/>
                <w:spacing w:val="1"/>
                <w:position w:val="6"/>
                <w:sz w:val="13"/>
                <w:szCs w:val="13"/>
              </w:rPr>
              <w:t>-7</w:t>
            </w:r>
          </w:p>
        </w:tc>
      </w:tr>
    </w:tbl>
    <w:p w14:paraId="4D7962F6">
      <w:pPr>
        <w:spacing w:before="36" w:line="228" w:lineRule="auto"/>
        <w:ind w:left="1016"/>
        <w:rPr>
          <w:rFonts w:ascii="宋体" w:hAnsi="宋体" w:eastAsia="宋体" w:cs="宋体"/>
          <w:sz w:val="23"/>
          <w:szCs w:val="23"/>
        </w:rPr>
      </w:pPr>
      <w:r>
        <w:rPr>
          <w:rFonts w:ascii="宋体" w:hAnsi="宋体" w:eastAsia="宋体" w:cs="宋体"/>
          <w:spacing w:val="20"/>
          <w:sz w:val="23"/>
          <w:szCs w:val="23"/>
        </w:rPr>
        <w:t>综</w:t>
      </w:r>
      <w:r>
        <w:rPr>
          <w:rFonts w:ascii="宋体" w:hAnsi="宋体" w:eastAsia="宋体" w:cs="宋体"/>
          <w:spacing w:val="14"/>
          <w:sz w:val="23"/>
          <w:szCs w:val="23"/>
        </w:rPr>
        <w:t>上</w:t>
      </w:r>
      <w:r>
        <w:rPr>
          <w:rFonts w:ascii="宋体" w:hAnsi="宋体" w:eastAsia="宋体" w:cs="宋体"/>
          <w:spacing w:val="10"/>
          <w:sz w:val="23"/>
          <w:szCs w:val="23"/>
        </w:rPr>
        <w:t>分析，评价认为在上述相关措施得到切实落实的前提下，项目实施对评价</w:t>
      </w:r>
    </w:p>
    <w:p w14:paraId="44D6490A">
      <w:pPr>
        <w:spacing w:before="181" w:line="227" w:lineRule="auto"/>
        <w:ind w:left="550"/>
        <w:rPr>
          <w:rFonts w:ascii="宋体" w:hAnsi="宋体" w:eastAsia="宋体" w:cs="宋体"/>
          <w:sz w:val="23"/>
          <w:szCs w:val="23"/>
        </w:rPr>
      </w:pPr>
      <w:r>
        <w:rPr>
          <w:rFonts w:ascii="宋体" w:hAnsi="宋体" w:eastAsia="宋体" w:cs="宋体"/>
          <w:spacing w:val="16"/>
          <w:sz w:val="23"/>
          <w:szCs w:val="23"/>
        </w:rPr>
        <w:t>区地</w:t>
      </w:r>
      <w:r>
        <w:rPr>
          <w:rFonts w:ascii="宋体" w:hAnsi="宋体" w:eastAsia="宋体" w:cs="宋体"/>
          <w:spacing w:val="14"/>
          <w:sz w:val="23"/>
          <w:szCs w:val="23"/>
        </w:rPr>
        <w:t>下</w:t>
      </w:r>
      <w:r>
        <w:rPr>
          <w:rFonts w:ascii="宋体" w:hAnsi="宋体" w:eastAsia="宋体" w:cs="宋体"/>
          <w:spacing w:val="8"/>
          <w:sz w:val="23"/>
          <w:szCs w:val="23"/>
        </w:rPr>
        <w:t>水环境不会造成污染影响，不改变其现有水环境现状和功能。</w:t>
      </w:r>
    </w:p>
    <w:p w14:paraId="6BBCDE05">
      <w:pPr>
        <w:spacing w:before="185" w:line="227" w:lineRule="auto"/>
        <w:ind w:left="1024"/>
        <w:rPr>
          <w:rFonts w:ascii="宋体" w:hAnsi="宋体" w:eastAsia="宋体" w:cs="宋体"/>
          <w:sz w:val="23"/>
          <w:szCs w:val="23"/>
        </w:rPr>
      </w:pPr>
      <w:r>
        <w:rPr>
          <w:rFonts w:ascii="宋体" w:hAnsi="宋体" w:eastAsia="宋体" w:cs="宋体"/>
          <w:spacing w:val="16"/>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6"/>
          <w:sz w:val="23"/>
          <w:szCs w:val="23"/>
        </w:rPr>
        <w:t>5</w:t>
      </w:r>
      <w:r>
        <w:rPr>
          <w:rFonts w:ascii="宋体" w:hAnsi="宋体" w:eastAsia="宋体" w:cs="宋体"/>
          <w:spacing w:val="16"/>
          <w:sz w:val="23"/>
          <w:szCs w:val="23"/>
          <w14:textOutline w14:w="4356" w14:cap="sq" w14:cmpd="sng" w14:algn="ctr">
            <w14:solidFill>
              <w14:srgbClr w14:val="000000"/>
            </w14:solidFill>
            <w14:prstDash w14:val="solid"/>
            <w14:bevel/>
          </w14:textOutline>
        </w:rPr>
        <w:t>)</w:t>
      </w:r>
      <w:r>
        <w:rPr>
          <w:rFonts w:ascii="宋体" w:hAnsi="宋体" w:eastAsia="宋体" w:cs="宋体"/>
          <w:spacing w:val="16"/>
          <w:sz w:val="23"/>
          <w:szCs w:val="23"/>
        </w:rPr>
        <w:t xml:space="preserve"> </w:t>
      </w:r>
      <w:r>
        <w:rPr>
          <w:rFonts w:ascii="宋体" w:hAnsi="宋体" w:eastAsia="宋体" w:cs="宋体"/>
          <w:spacing w:val="16"/>
          <w:sz w:val="23"/>
          <w:szCs w:val="23"/>
          <w14:textOutline w14:w="4356" w14:cap="sq" w14:cmpd="sng" w14:algn="ctr">
            <w14:solidFill>
              <w14:srgbClr w14:val="000000"/>
            </w14:solidFill>
            <w14:prstDash w14:val="solid"/>
            <w14:bevel/>
          </w14:textOutline>
        </w:rPr>
        <w:t>环评要求采取的其他措</w:t>
      </w:r>
      <w:r>
        <w:rPr>
          <w:rFonts w:ascii="宋体" w:hAnsi="宋体" w:eastAsia="宋体" w:cs="宋体"/>
          <w:spacing w:val="14"/>
          <w:sz w:val="23"/>
          <w:szCs w:val="23"/>
          <w14:textOutline w14:w="4356" w14:cap="sq" w14:cmpd="sng" w14:algn="ctr">
            <w14:solidFill>
              <w14:srgbClr w14:val="000000"/>
            </w14:solidFill>
            <w14:prstDash w14:val="solid"/>
            <w14:bevel/>
          </w14:textOutline>
        </w:rPr>
        <w:t>施</w:t>
      </w:r>
    </w:p>
    <w:p w14:paraId="479E5A68">
      <w:pPr>
        <w:spacing w:before="184" w:line="375" w:lineRule="auto"/>
        <w:ind w:left="535" w:right="936" w:firstLine="477"/>
        <w:rPr>
          <w:rFonts w:ascii="宋体" w:hAnsi="宋体" w:eastAsia="宋体" w:cs="宋体"/>
          <w:sz w:val="23"/>
          <w:szCs w:val="23"/>
        </w:rPr>
      </w:pPr>
      <w:r>
        <w:rPr>
          <w:rFonts w:ascii="宋体" w:hAnsi="宋体" w:eastAsia="宋体" w:cs="宋体"/>
          <w:spacing w:val="20"/>
          <w:sz w:val="23"/>
          <w:szCs w:val="23"/>
        </w:rPr>
        <w:t>①</w:t>
      </w:r>
      <w:r>
        <w:rPr>
          <w:rFonts w:ascii="宋体" w:hAnsi="宋体" w:eastAsia="宋体" w:cs="宋体"/>
          <w:spacing w:val="17"/>
          <w:sz w:val="23"/>
          <w:szCs w:val="23"/>
        </w:rPr>
        <w:t>养</w:t>
      </w:r>
      <w:r>
        <w:rPr>
          <w:rFonts w:ascii="宋体" w:hAnsi="宋体" w:eastAsia="宋体" w:cs="宋体"/>
          <w:spacing w:val="10"/>
          <w:sz w:val="23"/>
          <w:szCs w:val="23"/>
        </w:rPr>
        <w:t>殖场的排水系统应实行雨水和污水收集输送系统分离，在场区内外设置的</w:t>
      </w:r>
      <w:r>
        <w:rPr>
          <w:rFonts w:ascii="宋体" w:hAnsi="宋体" w:eastAsia="宋体" w:cs="宋体"/>
          <w:sz w:val="23"/>
          <w:szCs w:val="23"/>
        </w:rPr>
        <w:t xml:space="preserve"> </w:t>
      </w:r>
      <w:r>
        <w:rPr>
          <w:rFonts w:ascii="宋体" w:hAnsi="宋体" w:eastAsia="宋体" w:cs="宋体"/>
          <w:spacing w:val="9"/>
          <w:sz w:val="23"/>
          <w:szCs w:val="23"/>
        </w:rPr>
        <w:t>污水收集输送系统，不得采取明沟布设</w:t>
      </w:r>
      <w:r>
        <w:rPr>
          <w:rFonts w:ascii="宋体" w:hAnsi="宋体" w:eastAsia="宋体" w:cs="宋体"/>
          <w:spacing w:val="5"/>
          <w:sz w:val="23"/>
          <w:szCs w:val="23"/>
        </w:rPr>
        <w:t>。</w:t>
      </w:r>
    </w:p>
    <w:p w14:paraId="20FF1389">
      <w:pPr>
        <w:spacing w:line="225" w:lineRule="auto"/>
        <w:ind w:left="1011"/>
        <w:rPr>
          <w:rFonts w:ascii="宋体" w:hAnsi="宋体" w:eastAsia="宋体" w:cs="宋体"/>
          <w:sz w:val="23"/>
          <w:szCs w:val="23"/>
        </w:rPr>
      </w:pPr>
      <w:r>
        <w:rPr>
          <w:rFonts w:ascii="宋体" w:hAnsi="宋体" w:eastAsia="宋体" w:cs="宋体"/>
          <w:spacing w:val="18"/>
          <w:sz w:val="23"/>
          <w:szCs w:val="23"/>
        </w:rPr>
        <w:t>②</w:t>
      </w:r>
      <w:r>
        <w:rPr>
          <w:rFonts w:ascii="宋体" w:hAnsi="宋体" w:eastAsia="宋体" w:cs="宋体"/>
          <w:spacing w:val="12"/>
          <w:sz w:val="23"/>
          <w:szCs w:val="23"/>
        </w:rPr>
        <w:t>猪</w:t>
      </w:r>
      <w:r>
        <w:rPr>
          <w:rFonts w:ascii="宋体" w:hAnsi="宋体" w:eastAsia="宋体" w:cs="宋体"/>
          <w:spacing w:val="9"/>
          <w:sz w:val="23"/>
          <w:szCs w:val="23"/>
        </w:rPr>
        <w:t>粪贮存设施应采取有效的防渗处理工艺，防止粪便污染地下水。</w:t>
      </w:r>
    </w:p>
    <w:p w14:paraId="749D3ABE">
      <w:pPr>
        <w:spacing w:before="185" w:line="375" w:lineRule="auto"/>
        <w:ind w:left="533" w:right="936" w:firstLine="478"/>
        <w:rPr>
          <w:rFonts w:ascii="宋体" w:hAnsi="宋体" w:eastAsia="宋体" w:cs="宋体"/>
          <w:sz w:val="23"/>
          <w:szCs w:val="23"/>
        </w:rPr>
      </w:pPr>
      <w:r>
        <w:rPr>
          <w:rFonts w:ascii="宋体" w:hAnsi="宋体" w:eastAsia="宋体" w:cs="宋体"/>
          <w:spacing w:val="20"/>
          <w:sz w:val="23"/>
          <w:szCs w:val="23"/>
        </w:rPr>
        <w:t>③</w:t>
      </w:r>
      <w:r>
        <w:rPr>
          <w:rFonts w:ascii="宋体" w:hAnsi="宋体" w:eastAsia="宋体" w:cs="宋体"/>
          <w:spacing w:val="18"/>
          <w:sz w:val="23"/>
          <w:szCs w:val="23"/>
        </w:rPr>
        <w:t>做</w:t>
      </w:r>
      <w:r>
        <w:rPr>
          <w:rFonts w:ascii="宋体" w:hAnsi="宋体" w:eastAsia="宋体" w:cs="宋体"/>
          <w:spacing w:val="10"/>
          <w:sz w:val="23"/>
          <w:szCs w:val="23"/>
        </w:rPr>
        <w:t>好污水处理设施的防渗处理，并保证要有应急池，保证在污水处理设施发</w:t>
      </w:r>
      <w:r>
        <w:rPr>
          <w:rFonts w:ascii="宋体" w:hAnsi="宋体" w:eastAsia="宋体" w:cs="宋体"/>
          <w:sz w:val="23"/>
          <w:szCs w:val="23"/>
        </w:rPr>
        <w:t xml:space="preserve"> </w:t>
      </w:r>
      <w:r>
        <w:rPr>
          <w:rFonts w:ascii="宋体" w:hAnsi="宋体" w:eastAsia="宋体" w:cs="宋体"/>
          <w:spacing w:val="20"/>
          <w:sz w:val="23"/>
          <w:szCs w:val="23"/>
        </w:rPr>
        <w:t>生</w:t>
      </w:r>
      <w:r>
        <w:rPr>
          <w:rFonts w:ascii="宋体" w:hAnsi="宋体" w:eastAsia="宋体" w:cs="宋体"/>
          <w:spacing w:val="16"/>
          <w:sz w:val="23"/>
          <w:szCs w:val="23"/>
        </w:rPr>
        <w:t>故</w:t>
      </w:r>
      <w:r>
        <w:rPr>
          <w:rFonts w:ascii="宋体" w:hAnsi="宋体" w:eastAsia="宋体" w:cs="宋体"/>
          <w:spacing w:val="10"/>
          <w:sz w:val="23"/>
          <w:szCs w:val="23"/>
        </w:rPr>
        <w:t>障，停止运行的情况下，保证污水池有足够的容量，防止粪污直接用于农田施</w:t>
      </w:r>
      <w:r>
        <w:rPr>
          <w:rFonts w:ascii="宋体" w:hAnsi="宋体" w:eastAsia="宋体" w:cs="宋体"/>
          <w:sz w:val="23"/>
          <w:szCs w:val="23"/>
        </w:rPr>
        <w:t xml:space="preserve"> </w:t>
      </w:r>
      <w:r>
        <w:rPr>
          <w:rFonts w:ascii="宋体" w:hAnsi="宋体" w:eastAsia="宋体" w:cs="宋体"/>
          <w:spacing w:val="11"/>
          <w:sz w:val="23"/>
          <w:szCs w:val="23"/>
        </w:rPr>
        <w:t>肥</w:t>
      </w:r>
      <w:r>
        <w:rPr>
          <w:rFonts w:ascii="宋体" w:hAnsi="宋体" w:eastAsia="宋体" w:cs="宋体"/>
          <w:spacing w:val="7"/>
          <w:sz w:val="23"/>
          <w:szCs w:val="23"/>
        </w:rPr>
        <w:t>，污染地下水。</w:t>
      </w:r>
    </w:p>
    <w:p w14:paraId="4EE39245">
      <w:pPr>
        <w:spacing w:line="225" w:lineRule="auto"/>
        <w:ind w:left="1011"/>
        <w:rPr>
          <w:rFonts w:ascii="宋体" w:hAnsi="宋体" w:eastAsia="宋体" w:cs="宋体"/>
          <w:sz w:val="23"/>
          <w:szCs w:val="23"/>
        </w:rPr>
      </w:pPr>
      <w:r>
        <w:rPr>
          <w:rFonts w:ascii="宋体" w:hAnsi="宋体" w:eastAsia="宋体" w:cs="宋体"/>
          <w:spacing w:val="9"/>
          <w:sz w:val="23"/>
          <w:szCs w:val="23"/>
        </w:rPr>
        <w:t>④对场区地面进行硬化，防止废水渗漏。</w:t>
      </w:r>
    </w:p>
    <w:p w14:paraId="0B6F35AA">
      <w:pPr>
        <w:spacing w:before="184" w:line="375" w:lineRule="auto"/>
        <w:ind w:left="531" w:right="963" w:firstLine="480"/>
        <w:rPr>
          <w:rFonts w:ascii="宋体" w:hAnsi="宋体" w:eastAsia="宋体" w:cs="宋体"/>
          <w:sz w:val="23"/>
          <w:szCs w:val="23"/>
        </w:rPr>
      </w:pPr>
      <w:r>
        <w:rPr>
          <w:rFonts w:ascii="宋体" w:hAnsi="宋体" w:eastAsia="宋体" w:cs="宋体"/>
          <w:spacing w:val="18"/>
          <w:sz w:val="23"/>
          <w:szCs w:val="23"/>
        </w:rPr>
        <w:t>⑤报</w:t>
      </w:r>
      <w:r>
        <w:rPr>
          <w:rFonts w:ascii="宋体" w:hAnsi="宋体" w:eastAsia="宋体" w:cs="宋体"/>
          <w:spacing w:val="17"/>
          <w:sz w:val="23"/>
          <w:szCs w:val="23"/>
        </w:rPr>
        <w:t>告</w:t>
      </w:r>
      <w:r>
        <w:rPr>
          <w:rFonts w:ascii="宋体" w:hAnsi="宋体" w:eastAsia="宋体" w:cs="宋体"/>
          <w:spacing w:val="9"/>
          <w:sz w:val="23"/>
          <w:szCs w:val="23"/>
        </w:rPr>
        <w:t>要求，将养殖场附近水井作为养殖场地下水跟踪监测井，对地下水水质</w:t>
      </w:r>
      <w:r>
        <w:rPr>
          <w:rFonts w:ascii="宋体" w:hAnsi="宋体" w:eastAsia="宋体" w:cs="宋体"/>
          <w:sz w:val="23"/>
          <w:szCs w:val="23"/>
        </w:rPr>
        <w:t xml:space="preserve"> </w:t>
      </w:r>
      <w:r>
        <w:rPr>
          <w:rFonts w:ascii="宋体" w:hAnsi="宋体" w:eastAsia="宋体" w:cs="宋体"/>
          <w:spacing w:val="16"/>
          <w:sz w:val="23"/>
          <w:szCs w:val="23"/>
        </w:rPr>
        <w:t>进</w:t>
      </w:r>
      <w:r>
        <w:rPr>
          <w:rFonts w:ascii="宋体" w:hAnsi="宋体" w:eastAsia="宋体" w:cs="宋体"/>
          <w:spacing w:val="8"/>
          <w:sz w:val="23"/>
          <w:szCs w:val="23"/>
        </w:rPr>
        <w:t>行定期监测，监测周期至少</w:t>
      </w:r>
      <w:r>
        <w:rPr>
          <w:rFonts w:ascii="Times New Roman" w:hAnsi="Times New Roman" w:eastAsia="Times New Roman" w:cs="Times New Roman"/>
          <w:spacing w:val="8"/>
          <w:sz w:val="23"/>
          <w:szCs w:val="23"/>
        </w:rPr>
        <w:t>1</w:t>
      </w:r>
      <w:r>
        <w:rPr>
          <w:rFonts w:ascii="宋体" w:hAnsi="宋体" w:eastAsia="宋体" w:cs="宋体"/>
          <w:spacing w:val="8"/>
          <w:sz w:val="23"/>
          <w:szCs w:val="23"/>
        </w:rPr>
        <w:t>年</w:t>
      </w:r>
      <w:r>
        <w:rPr>
          <w:rFonts w:ascii="Times New Roman" w:hAnsi="Times New Roman" w:eastAsia="Times New Roman" w:cs="Times New Roman"/>
          <w:spacing w:val="8"/>
          <w:sz w:val="23"/>
          <w:szCs w:val="23"/>
        </w:rPr>
        <w:t>1</w:t>
      </w:r>
      <w:r>
        <w:rPr>
          <w:rFonts w:ascii="宋体" w:hAnsi="宋体" w:eastAsia="宋体" w:cs="宋体"/>
          <w:spacing w:val="8"/>
          <w:sz w:val="23"/>
          <w:szCs w:val="23"/>
        </w:rPr>
        <w:t>次。</w:t>
      </w:r>
    </w:p>
    <w:p w14:paraId="446A7102">
      <w:pPr>
        <w:tabs>
          <w:tab w:val="left" w:pos="1015"/>
        </w:tabs>
        <w:spacing w:before="2" w:line="375" w:lineRule="auto"/>
        <w:ind w:left="540" w:right="939" w:firstLine="342"/>
        <w:rPr>
          <w:rFonts w:ascii="宋体" w:hAnsi="宋体" w:eastAsia="宋体" w:cs="宋体"/>
          <w:sz w:val="23"/>
          <w:szCs w:val="23"/>
        </w:rPr>
      </w:pPr>
      <w:r>
        <w:rPr>
          <w:rFonts w:ascii="宋体" w:hAnsi="宋体" w:eastAsia="宋体" w:cs="宋体"/>
          <w:sz w:val="23"/>
          <w:szCs w:val="23"/>
          <w:u w:val="single"/>
        </w:rPr>
        <w:tab/>
      </w:r>
      <w:r>
        <w:rPr>
          <w:rFonts w:ascii="宋体" w:hAnsi="宋体" w:eastAsia="宋体" w:cs="宋体"/>
          <w:spacing w:val="20"/>
          <w:sz w:val="23"/>
          <w:szCs w:val="23"/>
          <w:u w:val="single"/>
          <w14:textOutline w14:w="4356" w14:cap="sq" w14:cmpd="sng" w14:algn="ctr">
            <w14:solidFill>
              <w14:srgbClr w14:val="000000"/>
            </w14:solidFill>
            <w14:prstDash w14:val="solid"/>
            <w14:bevel/>
          </w14:textOutline>
        </w:rPr>
        <w:t>综</w:t>
      </w:r>
      <w:r>
        <w:rPr>
          <w:rFonts w:ascii="宋体" w:hAnsi="宋体" w:eastAsia="宋体" w:cs="宋体"/>
          <w:spacing w:val="11"/>
          <w:sz w:val="23"/>
          <w:szCs w:val="23"/>
          <w:u w:val="single"/>
          <w14:textOutline w14:w="4356" w14:cap="sq" w14:cmpd="sng" w14:algn="ctr">
            <w14:solidFill>
              <w14:srgbClr w14:val="000000"/>
            </w14:solidFill>
            <w14:prstDash w14:val="solid"/>
            <w14:bevel/>
          </w14:textOutline>
        </w:rPr>
        <w:t>上</w:t>
      </w:r>
      <w:r>
        <w:rPr>
          <w:rFonts w:ascii="宋体" w:hAnsi="宋体" w:eastAsia="宋体" w:cs="宋体"/>
          <w:spacing w:val="10"/>
          <w:sz w:val="23"/>
          <w:szCs w:val="23"/>
          <w:u w:val="single"/>
          <w14:textOutline w14:w="4356" w14:cap="sq" w14:cmpd="sng" w14:algn="ctr">
            <w14:solidFill>
              <w14:srgbClr w14:val="000000"/>
            </w14:solidFill>
            <w14:prstDash w14:val="solid"/>
            <w14:bevel/>
          </w14:textOutline>
        </w:rPr>
        <w:t>，本项目不涉及集中式饮用水水源保护区，建设单位做好以上措施后，运</w:t>
      </w:r>
      <w:r>
        <w:rPr>
          <w:rFonts w:ascii="宋体" w:hAnsi="宋体" w:eastAsia="宋体" w:cs="宋体"/>
          <w:sz w:val="23"/>
          <w:szCs w:val="23"/>
        </w:rPr>
        <w:t xml:space="preserve"> </w:t>
      </w:r>
      <w:r>
        <w:rPr>
          <w:rFonts w:ascii="宋体" w:hAnsi="宋体" w:eastAsia="宋体" w:cs="宋体"/>
          <w:spacing w:val="16"/>
          <w:sz w:val="23"/>
          <w:szCs w:val="23"/>
          <w:u w:val="single"/>
          <w14:textOutline w14:w="4356" w14:cap="sq" w14:cmpd="sng" w14:algn="ctr">
            <w14:solidFill>
              <w14:srgbClr w14:val="000000"/>
            </w14:solidFill>
            <w14:prstDash w14:val="solid"/>
            <w14:bevel/>
          </w14:textOutline>
        </w:rPr>
        <w:t>营</w:t>
      </w:r>
      <w:r>
        <w:rPr>
          <w:rFonts w:ascii="宋体" w:hAnsi="宋体" w:eastAsia="宋体" w:cs="宋体"/>
          <w:spacing w:val="11"/>
          <w:sz w:val="23"/>
          <w:szCs w:val="23"/>
          <w:u w:val="single"/>
          <w14:textOutline w14:w="4356" w14:cap="sq" w14:cmpd="sng" w14:algn="ctr">
            <w14:solidFill>
              <w14:srgbClr w14:val="000000"/>
            </w14:solidFill>
            <w14:prstDash w14:val="solid"/>
            <w14:bevel/>
          </w14:textOutline>
        </w:rPr>
        <w:t>期不会对地下水造成影响。</w:t>
      </w:r>
    </w:p>
    <w:p w14:paraId="427E20AF">
      <w:pPr>
        <w:spacing w:line="228" w:lineRule="auto"/>
        <w:ind w:left="1011"/>
        <w:outlineLvl w:val="2"/>
        <w:rPr>
          <w:rFonts w:ascii="宋体" w:hAnsi="宋体" w:eastAsia="宋体" w:cs="宋体"/>
          <w:sz w:val="23"/>
          <w:szCs w:val="23"/>
        </w:rPr>
      </w:pPr>
      <w:r>
        <w:rPr>
          <w:rFonts w:ascii="Times New Roman" w:hAnsi="Times New Roman" w:eastAsia="Times New Roman" w:cs="Times New Roman"/>
          <w:b/>
          <w:bCs/>
          <w:spacing w:val="10"/>
          <w:sz w:val="23"/>
          <w:szCs w:val="23"/>
        </w:rPr>
        <w:t>5</w:t>
      </w:r>
      <w:r>
        <w:rPr>
          <w:rFonts w:ascii="Times New Roman" w:hAnsi="Times New Roman" w:eastAsia="Times New Roman" w:cs="Times New Roman"/>
          <w:b/>
          <w:bCs/>
          <w:spacing w:val="7"/>
          <w:sz w:val="23"/>
          <w:szCs w:val="23"/>
        </w:rPr>
        <w:t>.2.3</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噪声环境影响分析</w:t>
      </w:r>
    </w:p>
    <w:p w14:paraId="7BB8B3EF">
      <w:pPr>
        <w:spacing w:before="181" w:line="303" w:lineRule="exact"/>
        <w:ind w:left="1019"/>
        <w:rPr>
          <w:rFonts w:ascii="宋体" w:hAnsi="宋体" w:eastAsia="宋体" w:cs="宋体"/>
          <w:sz w:val="23"/>
          <w:szCs w:val="23"/>
        </w:rPr>
      </w:pPr>
      <w:r>
        <w:rPr>
          <w:rFonts w:ascii="Times New Roman" w:hAnsi="Times New Roman" w:eastAsia="Times New Roman" w:cs="Times New Roman"/>
          <w:b/>
          <w:bCs/>
          <w:spacing w:val="-2"/>
          <w:position w:val="1"/>
          <w:sz w:val="23"/>
          <w:szCs w:val="23"/>
        </w:rPr>
        <w:t>1</w:t>
      </w:r>
      <w:r>
        <w:rPr>
          <w:rFonts w:ascii="Times New Roman" w:hAnsi="Times New Roman" w:eastAsia="Times New Roman" w:cs="Times New Roman"/>
          <w:spacing w:val="-2"/>
          <w:position w:val="1"/>
          <w:sz w:val="23"/>
          <w:szCs w:val="23"/>
        </w:rPr>
        <w:t xml:space="preserve"> </w:t>
      </w:r>
      <w:r>
        <w:rPr>
          <w:rFonts w:ascii="宋体" w:hAnsi="宋体" w:eastAsia="宋体" w:cs="宋体"/>
          <w:spacing w:val="-2"/>
          <w:position w:val="1"/>
          <w:sz w:val="23"/>
          <w:szCs w:val="23"/>
          <w14:textOutline w14:w="4356" w14:cap="sq" w14:cmpd="sng" w14:algn="ctr">
            <w14:solidFill>
              <w14:srgbClr w14:val="000000"/>
            </w14:solidFill>
            <w14:prstDash w14:val="solid"/>
            <w14:bevel/>
          </w14:textOutline>
        </w:rPr>
        <w:t>、预测源强</w:t>
      </w:r>
    </w:p>
    <w:p w14:paraId="77DBDA45">
      <w:pPr>
        <w:spacing w:before="164" w:line="374" w:lineRule="auto"/>
        <w:ind w:left="532" w:right="932" w:firstLine="484"/>
        <w:rPr>
          <w:rFonts w:ascii="宋体" w:hAnsi="宋体" w:eastAsia="宋体" w:cs="宋体"/>
          <w:sz w:val="23"/>
          <w:szCs w:val="23"/>
        </w:rPr>
      </w:pPr>
      <w:r>
        <w:rPr>
          <w:rFonts w:ascii="宋体" w:hAnsi="宋体" w:eastAsia="宋体" w:cs="宋体"/>
          <w:spacing w:val="20"/>
          <w:sz w:val="23"/>
          <w:szCs w:val="23"/>
        </w:rPr>
        <w:t>该</w:t>
      </w:r>
      <w:r>
        <w:rPr>
          <w:rFonts w:ascii="宋体" w:hAnsi="宋体" w:eastAsia="宋体" w:cs="宋体"/>
          <w:spacing w:val="13"/>
          <w:sz w:val="23"/>
          <w:szCs w:val="23"/>
        </w:rPr>
        <w:t>项</w:t>
      </w:r>
      <w:r>
        <w:rPr>
          <w:rFonts w:ascii="宋体" w:hAnsi="宋体" w:eastAsia="宋体" w:cs="宋体"/>
          <w:spacing w:val="10"/>
          <w:sz w:val="23"/>
          <w:szCs w:val="23"/>
        </w:rPr>
        <w:t>目噪声源主要为风机、水泵、污水处理设施以及猪只叫声等，噪声声级范</w:t>
      </w:r>
      <w:r>
        <w:rPr>
          <w:rFonts w:ascii="宋体" w:hAnsi="宋体" w:eastAsia="宋体" w:cs="宋体"/>
          <w:sz w:val="23"/>
          <w:szCs w:val="23"/>
        </w:rPr>
        <w:t xml:space="preserve"> </w:t>
      </w:r>
      <w:r>
        <w:rPr>
          <w:rFonts w:ascii="宋体" w:hAnsi="宋体" w:eastAsia="宋体" w:cs="宋体"/>
          <w:spacing w:val="10"/>
          <w:sz w:val="23"/>
          <w:szCs w:val="23"/>
        </w:rPr>
        <w:t xml:space="preserve">围 </w:t>
      </w:r>
      <w:r>
        <w:rPr>
          <w:rFonts w:ascii="Times New Roman" w:hAnsi="Times New Roman" w:eastAsia="Times New Roman" w:cs="Times New Roman"/>
          <w:spacing w:val="6"/>
          <w:sz w:val="23"/>
          <w:szCs w:val="23"/>
        </w:rPr>
        <w:t>6</w:t>
      </w:r>
      <w:r>
        <w:rPr>
          <w:rFonts w:ascii="Times New Roman" w:hAnsi="Times New Roman" w:eastAsia="Times New Roman" w:cs="Times New Roman"/>
          <w:spacing w:val="5"/>
          <w:sz w:val="23"/>
          <w:szCs w:val="23"/>
        </w:rPr>
        <w:t>0-85</w:t>
      </w:r>
      <w:r>
        <w:rPr>
          <w:rFonts w:ascii="Times New Roman" w:hAnsi="Times New Roman" w:eastAsia="Times New Roman" w:cs="Times New Roman"/>
          <w:sz w:val="23"/>
          <w:szCs w:val="23"/>
        </w:rPr>
        <w:t>dB</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w:t>
      </w:r>
      <w:r>
        <w:rPr>
          <w:rFonts w:ascii="Times New Roman" w:hAnsi="Times New Roman" w:eastAsia="Times New Roman" w:cs="Times New Roman"/>
          <w:sz w:val="23"/>
          <w:szCs w:val="23"/>
        </w:rPr>
        <w:t>A</w:t>
      </w:r>
      <w:r>
        <w:rPr>
          <w:rFonts w:ascii="宋体" w:hAnsi="宋体" w:eastAsia="宋体" w:cs="宋体"/>
          <w:spacing w:val="5"/>
          <w:sz w:val="23"/>
          <w:szCs w:val="23"/>
        </w:rPr>
        <w:t>) ，本次评价选取猪叫声、污水处理系统进行预测，猪叫声位于养殖</w:t>
      </w:r>
      <w:r>
        <w:rPr>
          <w:rFonts w:ascii="宋体" w:hAnsi="宋体" w:eastAsia="宋体" w:cs="宋体"/>
          <w:sz w:val="23"/>
          <w:szCs w:val="23"/>
        </w:rPr>
        <w:t xml:space="preserve"> </w:t>
      </w:r>
      <w:r>
        <w:rPr>
          <w:rFonts w:ascii="宋体" w:hAnsi="宋体" w:eastAsia="宋体" w:cs="宋体"/>
          <w:spacing w:val="20"/>
          <w:sz w:val="23"/>
          <w:szCs w:val="23"/>
        </w:rPr>
        <w:t>场</w:t>
      </w:r>
      <w:r>
        <w:rPr>
          <w:rFonts w:ascii="宋体" w:hAnsi="宋体" w:eastAsia="宋体" w:cs="宋体"/>
          <w:spacing w:val="17"/>
          <w:sz w:val="23"/>
          <w:szCs w:val="23"/>
        </w:rPr>
        <w:t>室</w:t>
      </w:r>
      <w:r>
        <w:rPr>
          <w:rFonts w:ascii="宋体" w:hAnsi="宋体" w:eastAsia="宋体" w:cs="宋体"/>
          <w:spacing w:val="10"/>
          <w:sz w:val="23"/>
          <w:szCs w:val="23"/>
        </w:rPr>
        <w:t>内，经环保治理再经房间隔声；污水处理站将采用地下以及建筑隔声，噪声值</w:t>
      </w:r>
      <w:r>
        <w:rPr>
          <w:rFonts w:ascii="宋体" w:hAnsi="宋体" w:eastAsia="宋体" w:cs="宋体"/>
          <w:sz w:val="23"/>
          <w:szCs w:val="23"/>
        </w:rPr>
        <w:t xml:space="preserve"> </w:t>
      </w:r>
      <w:r>
        <w:rPr>
          <w:rFonts w:ascii="宋体" w:hAnsi="宋体" w:eastAsia="宋体" w:cs="宋体"/>
          <w:spacing w:val="4"/>
          <w:sz w:val="23"/>
          <w:szCs w:val="23"/>
        </w:rPr>
        <w:t xml:space="preserve">衰减约 </w:t>
      </w:r>
      <w:r>
        <w:rPr>
          <w:rFonts w:ascii="Times New Roman" w:hAnsi="Times New Roman" w:eastAsia="Times New Roman" w:cs="Times New Roman"/>
          <w:spacing w:val="4"/>
          <w:sz w:val="23"/>
          <w:szCs w:val="23"/>
        </w:rPr>
        <w:t>15</w:t>
      </w:r>
      <w:r>
        <w:rPr>
          <w:rFonts w:ascii="Times New Roman" w:hAnsi="Times New Roman" w:eastAsia="Times New Roman" w:cs="Times New Roman"/>
          <w:sz w:val="23"/>
          <w:szCs w:val="23"/>
        </w:rPr>
        <w:t>dB</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w:t>
      </w:r>
      <w:r>
        <w:rPr>
          <w:rFonts w:ascii="宋体" w:hAnsi="宋体" w:eastAsia="宋体" w:cs="宋体"/>
          <w:spacing w:val="2"/>
          <w:sz w:val="23"/>
          <w:szCs w:val="23"/>
        </w:rPr>
        <w:t xml:space="preserve">经估算，项目产生各源强噪声值详见表 </w:t>
      </w:r>
      <w:r>
        <w:rPr>
          <w:rFonts w:ascii="Times New Roman" w:hAnsi="Times New Roman" w:eastAsia="Times New Roman" w:cs="Times New Roman"/>
          <w:spacing w:val="2"/>
          <w:sz w:val="23"/>
          <w:szCs w:val="23"/>
        </w:rPr>
        <w:t>5.2-9</w:t>
      </w:r>
      <w:r>
        <w:rPr>
          <w:rFonts w:ascii="宋体" w:hAnsi="宋体" w:eastAsia="宋体" w:cs="宋体"/>
          <w:spacing w:val="2"/>
          <w:sz w:val="23"/>
          <w:szCs w:val="23"/>
        </w:rPr>
        <w:t>。</w:t>
      </w:r>
    </w:p>
    <w:p w14:paraId="48519269">
      <w:pPr>
        <w:spacing w:before="5" w:line="221" w:lineRule="auto"/>
        <w:ind w:left="3390"/>
        <w:rPr>
          <w:rFonts w:ascii="黑体" w:hAnsi="黑体" w:eastAsia="黑体" w:cs="黑体"/>
          <w:sz w:val="23"/>
          <w:szCs w:val="23"/>
        </w:rPr>
      </w:pPr>
      <w:r>
        <w:rPr>
          <w:rFonts w:ascii="黑体" w:hAnsi="黑体" w:eastAsia="黑体" w:cs="黑体"/>
          <w:spacing w:val="6"/>
          <w:sz w:val="23"/>
          <w:szCs w:val="23"/>
        </w:rPr>
        <w:t xml:space="preserve">表 </w:t>
      </w:r>
      <w:r>
        <w:rPr>
          <w:rFonts w:ascii="Times New Roman" w:hAnsi="Times New Roman" w:eastAsia="Times New Roman" w:cs="Times New Roman"/>
          <w:spacing w:val="5"/>
          <w:sz w:val="23"/>
          <w:szCs w:val="23"/>
        </w:rPr>
        <w:t>5</w:t>
      </w:r>
      <w:r>
        <w:rPr>
          <w:rFonts w:ascii="Times New Roman" w:hAnsi="Times New Roman" w:eastAsia="Times New Roman" w:cs="Times New Roman"/>
          <w:spacing w:val="3"/>
          <w:sz w:val="23"/>
          <w:szCs w:val="23"/>
        </w:rPr>
        <w:t xml:space="preserve">.2-9    </w:t>
      </w:r>
      <w:r>
        <w:rPr>
          <w:rFonts w:ascii="黑体" w:hAnsi="黑体" w:eastAsia="黑体" w:cs="黑体"/>
          <w:spacing w:val="3"/>
          <w:sz w:val="23"/>
          <w:szCs w:val="23"/>
        </w:rPr>
        <w:t>各噪声源强及治理措施</w:t>
      </w:r>
    </w:p>
    <w:tbl>
      <w:tblPr>
        <w:tblStyle w:val="4"/>
        <w:tblW w:w="9712" w:type="dxa"/>
        <w:tblInd w:w="4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366"/>
        <w:gridCol w:w="1297"/>
        <w:gridCol w:w="1369"/>
        <w:gridCol w:w="2914"/>
        <w:gridCol w:w="2038"/>
      </w:tblGrid>
      <w:tr w14:paraId="6209E3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728" w:type="dxa"/>
            <w:tcBorders>
              <w:left w:val="nil"/>
            </w:tcBorders>
          </w:tcPr>
          <w:p w14:paraId="7C6A9E08">
            <w:pPr>
              <w:spacing w:before="228" w:line="229" w:lineRule="auto"/>
              <w:ind w:left="161"/>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1366" w:type="dxa"/>
          </w:tcPr>
          <w:p w14:paraId="213D9B95">
            <w:pPr>
              <w:spacing w:before="228" w:line="228" w:lineRule="auto"/>
              <w:ind w:left="593"/>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噪</w:t>
            </w:r>
            <w:r>
              <w:rPr>
                <w:rFonts w:ascii="宋体" w:hAnsi="宋体" w:eastAsia="宋体" w:cs="宋体"/>
                <w:spacing w:val="4"/>
                <w:sz w:val="20"/>
                <w:szCs w:val="20"/>
                <w14:textOutline w14:w="3797" w14:cap="sq" w14:cmpd="sng" w14:algn="ctr">
                  <w14:solidFill>
                    <w14:srgbClr w14:val="000000"/>
                  </w14:solidFill>
                  <w14:prstDash w14:val="solid"/>
                  <w14:bevel/>
                </w14:textOutline>
              </w:rPr>
              <w:t>声源</w:t>
            </w:r>
          </w:p>
        </w:tc>
        <w:tc>
          <w:tcPr>
            <w:tcW w:w="1297" w:type="dxa"/>
          </w:tcPr>
          <w:p w14:paraId="53867493">
            <w:pPr>
              <w:spacing w:before="93" w:line="257" w:lineRule="auto"/>
              <w:ind w:left="198" w:right="198" w:firstLine="144"/>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声</w:t>
            </w:r>
            <w:r>
              <w:rPr>
                <w:rFonts w:ascii="宋体" w:hAnsi="宋体" w:eastAsia="宋体" w:cs="宋体"/>
                <w:spacing w:val="6"/>
                <w:sz w:val="20"/>
                <w:szCs w:val="20"/>
                <w14:textOutline w14:w="3797" w14:cap="sq" w14:cmpd="sng" w14:algn="ctr">
                  <w14:solidFill>
                    <w14:srgbClr w14:val="000000"/>
                  </w14:solidFill>
                  <w14:prstDash w14:val="solid"/>
                  <w14:bevel/>
                </w14:textOutline>
              </w:rPr>
              <w:t>级值</w:t>
            </w:r>
            <w:r>
              <w:rPr>
                <w:rFonts w:ascii="宋体" w:hAnsi="宋体" w:eastAsia="宋体" w:cs="宋体"/>
                <w:sz w:val="20"/>
                <w:szCs w:val="20"/>
              </w:rPr>
              <w:t xml:space="preserve"> </w:t>
            </w:r>
            <w:r>
              <w:rPr>
                <w:rFonts w:ascii="宋体" w:hAnsi="宋体" w:eastAsia="宋体" w:cs="宋体"/>
                <w:spacing w:val="-4"/>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spacing w:val="-4"/>
                <w:sz w:val="20"/>
                <w:szCs w:val="20"/>
              </w:rPr>
              <w:t>dB(A)</w:t>
            </w:r>
            <w:r>
              <w:rPr>
                <w:rFonts w:ascii="宋体" w:hAnsi="宋体" w:eastAsia="宋体" w:cs="宋体"/>
                <w:spacing w:val="-4"/>
                <w:sz w:val="20"/>
                <w:szCs w:val="20"/>
                <w14:textOutline w14:w="3797" w14:cap="sq" w14:cmpd="sng" w14:algn="ctr">
                  <w14:solidFill>
                    <w14:srgbClr w14:val="000000"/>
                  </w14:solidFill>
                  <w14:prstDash w14:val="solid"/>
                  <w14:bevel/>
                </w14:textOutline>
              </w:rPr>
              <w:t>〕</w:t>
            </w:r>
          </w:p>
        </w:tc>
        <w:tc>
          <w:tcPr>
            <w:tcW w:w="1369" w:type="dxa"/>
          </w:tcPr>
          <w:p w14:paraId="6833163F">
            <w:pPr>
              <w:spacing w:before="228" w:line="228" w:lineRule="auto"/>
              <w:ind w:left="124"/>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噪声位置</w:t>
            </w:r>
          </w:p>
        </w:tc>
        <w:tc>
          <w:tcPr>
            <w:tcW w:w="2914" w:type="dxa"/>
          </w:tcPr>
          <w:p w14:paraId="0AE96FD8">
            <w:pPr>
              <w:spacing w:before="228" w:line="228" w:lineRule="auto"/>
              <w:ind w:left="1258"/>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治</w:t>
            </w:r>
            <w:r>
              <w:rPr>
                <w:rFonts w:ascii="宋体" w:hAnsi="宋体" w:eastAsia="宋体" w:cs="宋体"/>
                <w:spacing w:val="7"/>
                <w:sz w:val="20"/>
                <w:szCs w:val="20"/>
                <w14:textOutline w14:w="3797" w14:cap="sq" w14:cmpd="sng" w14:algn="ctr">
                  <w14:solidFill>
                    <w14:srgbClr w14:val="000000"/>
                  </w14:solidFill>
                  <w14:prstDash w14:val="solid"/>
                  <w14:bevel/>
                </w14:textOutline>
              </w:rPr>
              <w:t>理措施</w:t>
            </w:r>
          </w:p>
        </w:tc>
        <w:tc>
          <w:tcPr>
            <w:tcW w:w="2038" w:type="dxa"/>
            <w:tcBorders>
              <w:right w:val="nil"/>
            </w:tcBorders>
          </w:tcPr>
          <w:p w14:paraId="387455BC">
            <w:pPr>
              <w:spacing w:before="60" w:line="237" w:lineRule="auto"/>
              <w:ind w:left="553" w:right="175" w:firstLine="118"/>
              <w:rPr>
                <w:rFonts w:ascii="宋体" w:hAnsi="宋体" w:eastAsia="宋体" w:cs="宋体"/>
                <w:sz w:val="23"/>
                <w:szCs w:val="23"/>
              </w:rPr>
            </w:pPr>
            <w:r>
              <w:rPr>
                <w:rFonts w:ascii="宋体" w:hAnsi="宋体" w:eastAsia="宋体" w:cs="宋体"/>
                <w:spacing w:val="9"/>
                <w:sz w:val="23"/>
                <w:szCs w:val="23"/>
                <w14:textOutline w14:w="4330" w14:cap="sq" w14:cmpd="sng" w14:algn="ctr">
                  <w14:solidFill>
                    <w14:srgbClr w14:val="000000"/>
                  </w14:solidFill>
                  <w14:prstDash w14:val="solid"/>
                  <w14:bevel/>
                </w14:textOutline>
              </w:rPr>
              <w:t>治</w:t>
            </w:r>
            <w:r>
              <w:rPr>
                <w:rFonts w:ascii="宋体" w:hAnsi="宋体" w:eastAsia="宋体" w:cs="宋体"/>
                <w:spacing w:val="7"/>
                <w:sz w:val="23"/>
                <w:szCs w:val="23"/>
                <w14:textOutline w14:w="4330" w14:cap="sq" w14:cmpd="sng" w14:algn="ctr">
                  <w14:solidFill>
                    <w14:srgbClr w14:val="000000"/>
                  </w14:solidFill>
                  <w14:prstDash w14:val="solid"/>
                  <w14:bevel/>
                </w14:textOutline>
              </w:rPr>
              <w:t>理后噪声</w:t>
            </w:r>
            <w:r>
              <w:rPr>
                <w:rFonts w:ascii="宋体" w:hAnsi="宋体" w:eastAsia="宋体" w:cs="宋体"/>
                <w:sz w:val="23"/>
                <w:szCs w:val="23"/>
              </w:rPr>
              <w:t xml:space="preserve"> </w:t>
            </w:r>
            <w:r>
              <w:rPr>
                <w:rFonts w:ascii="Times New Roman" w:hAnsi="Times New Roman" w:eastAsia="Times New Roman" w:cs="Times New Roman"/>
                <w:b/>
                <w:bCs/>
                <w:sz w:val="23"/>
                <w:szCs w:val="23"/>
              </w:rPr>
              <w:t>dB</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30" w14:cap="sq" w14:cmpd="sng" w14:algn="ctr">
                  <w14:solidFill>
                    <w14:srgbClr w14:val="000000"/>
                  </w14:solidFill>
                  <w14:prstDash w14:val="solid"/>
                  <w14:bevel/>
                </w14:textOutline>
              </w:rPr>
              <w:t>(</w:t>
            </w:r>
            <w:r>
              <w:rPr>
                <w:rFonts w:ascii="Times New Roman" w:hAnsi="Times New Roman" w:eastAsia="Times New Roman" w:cs="Times New Roman"/>
                <w:b/>
                <w:bCs/>
                <w:sz w:val="23"/>
                <w:szCs w:val="23"/>
              </w:rPr>
              <w:t>A</w:t>
            </w:r>
            <w:r>
              <w:rPr>
                <w:rFonts w:ascii="宋体" w:hAnsi="宋体" w:eastAsia="宋体" w:cs="宋体"/>
                <w:spacing w:val="4"/>
                <w:sz w:val="23"/>
                <w:szCs w:val="23"/>
                <w14:textOutline w14:w="4330" w14:cap="sq" w14:cmpd="sng" w14:algn="ctr">
                  <w14:solidFill>
                    <w14:srgbClr w14:val="000000"/>
                  </w14:solidFill>
                  <w14:prstDash w14:val="solid"/>
                  <w14:bevel/>
                </w14:textOutline>
              </w:rPr>
              <w:t>)</w:t>
            </w:r>
          </w:p>
        </w:tc>
      </w:tr>
      <w:tr w14:paraId="38E237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28" w:type="dxa"/>
            <w:tcBorders>
              <w:left w:val="nil"/>
            </w:tcBorders>
          </w:tcPr>
          <w:p w14:paraId="30768114">
            <w:pPr>
              <w:spacing w:before="203" w:line="195" w:lineRule="auto"/>
              <w:ind w:left="440"/>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366" w:type="dxa"/>
          </w:tcPr>
          <w:p w14:paraId="4D42AB2A">
            <w:pPr>
              <w:spacing w:before="168" w:line="228" w:lineRule="auto"/>
              <w:ind w:left="322"/>
              <w:rPr>
                <w:rFonts w:ascii="宋体" w:hAnsi="宋体" w:eastAsia="宋体" w:cs="宋体"/>
                <w:sz w:val="20"/>
                <w:szCs w:val="20"/>
              </w:rPr>
            </w:pPr>
            <w:r>
              <w:rPr>
                <w:rFonts w:ascii="宋体" w:hAnsi="宋体" w:eastAsia="宋体" w:cs="宋体"/>
                <w:spacing w:val="8"/>
                <w:sz w:val="20"/>
                <w:szCs w:val="20"/>
              </w:rPr>
              <w:t>猪</w:t>
            </w:r>
            <w:r>
              <w:rPr>
                <w:rFonts w:ascii="宋体" w:hAnsi="宋体" w:eastAsia="宋体" w:cs="宋体"/>
                <w:spacing w:val="7"/>
                <w:sz w:val="20"/>
                <w:szCs w:val="20"/>
              </w:rPr>
              <w:t>只叫声</w:t>
            </w:r>
          </w:p>
        </w:tc>
        <w:tc>
          <w:tcPr>
            <w:tcW w:w="1297" w:type="dxa"/>
          </w:tcPr>
          <w:p w14:paraId="11AD4E5D">
            <w:pPr>
              <w:spacing w:before="203" w:line="195" w:lineRule="auto"/>
              <w:ind w:left="62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2"/>
                <w:sz w:val="20"/>
                <w:szCs w:val="20"/>
              </w:rPr>
              <w:t>5-75</w:t>
            </w:r>
          </w:p>
        </w:tc>
        <w:tc>
          <w:tcPr>
            <w:tcW w:w="1369" w:type="dxa"/>
          </w:tcPr>
          <w:p w14:paraId="40A41309">
            <w:pPr>
              <w:spacing w:before="168" w:line="228" w:lineRule="auto"/>
              <w:ind w:left="323"/>
              <w:rPr>
                <w:rFonts w:ascii="宋体" w:hAnsi="宋体" w:eastAsia="宋体" w:cs="宋体"/>
                <w:sz w:val="20"/>
                <w:szCs w:val="20"/>
              </w:rPr>
            </w:pPr>
            <w:r>
              <w:rPr>
                <w:rFonts w:ascii="宋体" w:hAnsi="宋体" w:eastAsia="宋体" w:cs="宋体"/>
                <w:spacing w:val="5"/>
                <w:sz w:val="20"/>
                <w:szCs w:val="20"/>
              </w:rPr>
              <w:t>猪</w:t>
            </w:r>
            <w:r>
              <w:rPr>
                <w:rFonts w:ascii="宋体" w:hAnsi="宋体" w:eastAsia="宋体" w:cs="宋体"/>
                <w:spacing w:val="4"/>
                <w:sz w:val="20"/>
                <w:szCs w:val="20"/>
              </w:rPr>
              <w:t>舍</w:t>
            </w:r>
          </w:p>
        </w:tc>
        <w:tc>
          <w:tcPr>
            <w:tcW w:w="2914" w:type="dxa"/>
          </w:tcPr>
          <w:p w14:paraId="717B2485">
            <w:pPr>
              <w:spacing w:before="33" w:line="238" w:lineRule="auto"/>
              <w:ind w:left="1356" w:right="105" w:hanging="1243"/>
              <w:rPr>
                <w:rFonts w:ascii="宋体" w:hAnsi="宋体" w:eastAsia="宋体" w:cs="宋体"/>
                <w:sz w:val="20"/>
                <w:szCs w:val="20"/>
              </w:rPr>
            </w:pPr>
            <w:r>
              <w:rPr>
                <w:rFonts w:ascii="宋体" w:hAnsi="宋体" w:eastAsia="宋体" w:cs="宋体"/>
                <w:spacing w:val="7"/>
                <w:sz w:val="20"/>
                <w:szCs w:val="20"/>
              </w:rPr>
              <w:t>科学饲养、加强管理、避免</w:t>
            </w:r>
            <w:r>
              <w:rPr>
                <w:rFonts w:ascii="宋体" w:hAnsi="宋体" w:eastAsia="宋体" w:cs="宋体"/>
                <w:spacing w:val="5"/>
                <w:sz w:val="20"/>
                <w:szCs w:val="20"/>
              </w:rPr>
              <w:t>惊</w:t>
            </w:r>
            <w:r>
              <w:rPr>
                <w:rFonts w:ascii="宋体" w:hAnsi="宋体" w:eastAsia="宋体" w:cs="宋体"/>
                <w:sz w:val="20"/>
                <w:szCs w:val="20"/>
              </w:rPr>
              <w:t xml:space="preserve"> 扰</w:t>
            </w:r>
          </w:p>
        </w:tc>
        <w:tc>
          <w:tcPr>
            <w:tcW w:w="2038" w:type="dxa"/>
            <w:tcBorders>
              <w:right w:val="nil"/>
            </w:tcBorders>
          </w:tcPr>
          <w:p w14:paraId="1C3503DF">
            <w:pPr>
              <w:spacing w:before="203" w:line="195" w:lineRule="auto"/>
              <w:ind w:left="92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0</w:t>
            </w:r>
          </w:p>
        </w:tc>
      </w:tr>
      <w:tr w14:paraId="640F8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728" w:type="dxa"/>
            <w:tcBorders>
              <w:left w:val="nil"/>
            </w:tcBorders>
          </w:tcPr>
          <w:p w14:paraId="59810A33">
            <w:pPr>
              <w:spacing w:before="91" w:line="195" w:lineRule="auto"/>
              <w:ind w:left="420"/>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366" w:type="dxa"/>
          </w:tcPr>
          <w:p w14:paraId="46713DBD">
            <w:pPr>
              <w:spacing w:before="54" w:line="228" w:lineRule="auto"/>
              <w:ind w:left="536"/>
              <w:rPr>
                <w:rFonts w:ascii="宋体" w:hAnsi="宋体" w:eastAsia="宋体" w:cs="宋体"/>
                <w:sz w:val="20"/>
                <w:szCs w:val="20"/>
              </w:rPr>
            </w:pPr>
            <w:r>
              <w:rPr>
                <w:rFonts w:ascii="宋体" w:hAnsi="宋体" w:eastAsia="宋体" w:cs="宋体"/>
                <w:spacing w:val="4"/>
                <w:sz w:val="20"/>
                <w:szCs w:val="20"/>
              </w:rPr>
              <w:t>水</w:t>
            </w:r>
            <w:r>
              <w:rPr>
                <w:rFonts w:ascii="宋体" w:hAnsi="宋体" w:eastAsia="宋体" w:cs="宋体"/>
                <w:spacing w:val="3"/>
                <w:sz w:val="20"/>
                <w:szCs w:val="20"/>
              </w:rPr>
              <w:t>泵</w:t>
            </w:r>
          </w:p>
        </w:tc>
        <w:tc>
          <w:tcPr>
            <w:tcW w:w="1297" w:type="dxa"/>
          </w:tcPr>
          <w:p w14:paraId="015A5521">
            <w:pPr>
              <w:spacing w:before="91" w:line="195" w:lineRule="auto"/>
              <w:ind w:left="62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80-8</w:t>
            </w:r>
            <w:r>
              <w:rPr>
                <w:rFonts w:ascii="Times New Roman" w:hAnsi="Times New Roman" w:eastAsia="Times New Roman" w:cs="Times New Roman"/>
                <w:spacing w:val="1"/>
                <w:sz w:val="20"/>
                <w:szCs w:val="20"/>
              </w:rPr>
              <w:t>5</w:t>
            </w:r>
          </w:p>
        </w:tc>
        <w:tc>
          <w:tcPr>
            <w:tcW w:w="1369" w:type="dxa"/>
          </w:tcPr>
          <w:p w14:paraId="018081D3">
            <w:pPr>
              <w:spacing w:before="55" w:line="228" w:lineRule="auto"/>
              <w:ind w:left="323"/>
              <w:rPr>
                <w:rFonts w:ascii="宋体" w:hAnsi="宋体" w:eastAsia="宋体" w:cs="宋体"/>
                <w:sz w:val="20"/>
                <w:szCs w:val="20"/>
              </w:rPr>
            </w:pPr>
            <w:r>
              <w:rPr>
                <w:rFonts w:ascii="宋体" w:hAnsi="宋体" w:eastAsia="宋体" w:cs="宋体"/>
                <w:spacing w:val="5"/>
                <w:sz w:val="20"/>
                <w:szCs w:val="20"/>
              </w:rPr>
              <w:t>猪</w:t>
            </w:r>
            <w:r>
              <w:rPr>
                <w:rFonts w:ascii="宋体" w:hAnsi="宋体" w:eastAsia="宋体" w:cs="宋体"/>
                <w:spacing w:val="4"/>
                <w:sz w:val="20"/>
                <w:szCs w:val="20"/>
              </w:rPr>
              <w:t>舍</w:t>
            </w:r>
          </w:p>
        </w:tc>
        <w:tc>
          <w:tcPr>
            <w:tcW w:w="2914" w:type="dxa"/>
          </w:tcPr>
          <w:p w14:paraId="3A011CEC">
            <w:pPr>
              <w:spacing w:before="55" w:line="228" w:lineRule="auto"/>
              <w:ind w:left="727"/>
              <w:rPr>
                <w:rFonts w:ascii="宋体" w:hAnsi="宋体" w:eastAsia="宋体" w:cs="宋体"/>
                <w:sz w:val="20"/>
                <w:szCs w:val="20"/>
              </w:rPr>
            </w:pPr>
            <w:r>
              <w:rPr>
                <w:rFonts w:ascii="宋体" w:hAnsi="宋体" w:eastAsia="宋体" w:cs="宋体"/>
                <w:spacing w:val="9"/>
                <w:sz w:val="20"/>
                <w:szCs w:val="20"/>
              </w:rPr>
              <w:t>选择低噪声设</w:t>
            </w:r>
            <w:r>
              <w:rPr>
                <w:rFonts w:ascii="宋体" w:hAnsi="宋体" w:eastAsia="宋体" w:cs="宋体"/>
                <w:spacing w:val="7"/>
                <w:sz w:val="20"/>
                <w:szCs w:val="20"/>
              </w:rPr>
              <w:t>备</w:t>
            </w:r>
          </w:p>
        </w:tc>
        <w:tc>
          <w:tcPr>
            <w:tcW w:w="2038" w:type="dxa"/>
            <w:tcBorders>
              <w:right w:val="nil"/>
            </w:tcBorders>
          </w:tcPr>
          <w:p w14:paraId="57BF6196">
            <w:pPr>
              <w:spacing w:before="91" w:line="195" w:lineRule="auto"/>
              <w:ind w:left="92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5</w:t>
            </w:r>
          </w:p>
        </w:tc>
      </w:tr>
      <w:tr w14:paraId="60A519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728" w:type="dxa"/>
            <w:tcBorders>
              <w:left w:val="nil"/>
            </w:tcBorders>
          </w:tcPr>
          <w:p w14:paraId="438F43D4">
            <w:pPr>
              <w:spacing w:before="92" w:line="195" w:lineRule="auto"/>
              <w:ind w:left="424"/>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366" w:type="dxa"/>
          </w:tcPr>
          <w:p w14:paraId="6A29F09B">
            <w:pPr>
              <w:spacing w:before="54" w:line="227" w:lineRule="auto"/>
              <w:ind w:left="534"/>
              <w:rPr>
                <w:rFonts w:ascii="宋体" w:hAnsi="宋体" w:eastAsia="宋体" w:cs="宋体"/>
                <w:sz w:val="20"/>
                <w:szCs w:val="20"/>
              </w:rPr>
            </w:pPr>
            <w:r>
              <w:rPr>
                <w:rFonts w:ascii="宋体" w:hAnsi="宋体" w:eastAsia="宋体" w:cs="宋体"/>
                <w:spacing w:val="4"/>
                <w:sz w:val="20"/>
                <w:szCs w:val="20"/>
              </w:rPr>
              <w:t>风机</w:t>
            </w:r>
          </w:p>
        </w:tc>
        <w:tc>
          <w:tcPr>
            <w:tcW w:w="1297" w:type="dxa"/>
          </w:tcPr>
          <w:p w14:paraId="66006D48">
            <w:pPr>
              <w:spacing w:before="92" w:line="195" w:lineRule="auto"/>
              <w:ind w:left="62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80-8</w:t>
            </w:r>
            <w:r>
              <w:rPr>
                <w:rFonts w:ascii="Times New Roman" w:hAnsi="Times New Roman" w:eastAsia="Times New Roman" w:cs="Times New Roman"/>
                <w:spacing w:val="1"/>
                <w:sz w:val="20"/>
                <w:szCs w:val="20"/>
              </w:rPr>
              <w:t>5</w:t>
            </w:r>
          </w:p>
        </w:tc>
        <w:tc>
          <w:tcPr>
            <w:tcW w:w="1369" w:type="dxa"/>
          </w:tcPr>
          <w:p w14:paraId="396D507A">
            <w:pPr>
              <w:spacing w:before="55" w:line="228" w:lineRule="auto"/>
              <w:ind w:left="323"/>
              <w:rPr>
                <w:rFonts w:ascii="宋体" w:hAnsi="宋体" w:eastAsia="宋体" w:cs="宋体"/>
                <w:sz w:val="20"/>
                <w:szCs w:val="20"/>
              </w:rPr>
            </w:pPr>
            <w:r>
              <w:rPr>
                <w:rFonts w:ascii="宋体" w:hAnsi="宋体" w:eastAsia="宋体" w:cs="宋体"/>
                <w:spacing w:val="5"/>
                <w:sz w:val="20"/>
                <w:szCs w:val="20"/>
              </w:rPr>
              <w:t>猪</w:t>
            </w:r>
            <w:r>
              <w:rPr>
                <w:rFonts w:ascii="宋体" w:hAnsi="宋体" w:eastAsia="宋体" w:cs="宋体"/>
                <w:spacing w:val="4"/>
                <w:sz w:val="20"/>
                <w:szCs w:val="20"/>
              </w:rPr>
              <w:t>舍</w:t>
            </w:r>
          </w:p>
        </w:tc>
        <w:tc>
          <w:tcPr>
            <w:tcW w:w="2914" w:type="dxa"/>
          </w:tcPr>
          <w:p w14:paraId="31B532AF">
            <w:pPr>
              <w:spacing w:before="55" w:line="228" w:lineRule="auto"/>
              <w:ind w:left="201"/>
              <w:rPr>
                <w:rFonts w:ascii="宋体" w:hAnsi="宋体" w:eastAsia="宋体" w:cs="宋体"/>
                <w:sz w:val="20"/>
                <w:szCs w:val="20"/>
              </w:rPr>
            </w:pPr>
            <w:r>
              <w:rPr>
                <w:rFonts w:ascii="宋体" w:hAnsi="宋体" w:eastAsia="宋体" w:cs="宋体"/>
                <w:spacing w:val="11"/>
                <w:sz w:val="20"/>
                <w:szCs w:val="20"/>
              </w:rPr>
              <w:t>选</w:t>
            </w:r>
            <w:r>
              <w:rPr>
                <w:rFonts w:ascii="宋体" w:hAnsi="宋体" w:eastAsia="宋体" w:cs="宋体"/>
                <w:spacing w:val="9"/>
                <w:sz w:val="20"/>
                <w:szCs w:val="20"/>
              </w:rPr>
              <w:t>择低噪声设备、墙体隔声</w:t>
            </w:r>
          </w:p>
        </w:tc>
        <w:tc>
          <w:tcPr>
            <w:tcW w:w="2038" w:type="dxa"/>
            <w:tcBorders>
              <w:right w:val="nil"/>
            </w:tcBorders>
          </w:tcPr>
          <w:p w14:paraId="0F663FAA">
            <w:pPr>
              <w:spacing w:before="92" w:line="195" w:lineRule="auto"/>
              <w:ind w:left="92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5</w:t>
            </w:r>
          </w:p>
        </w:tc>
      </w:tr>
      <w:tr w14:paraId="5D787C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728" w:type="dxa"/>
            <w:tcBorders>
              <w:left w:val="nil"/>
            </w:tcBorders>
          </w:tcPr>
          <w:p w14:paraId="38C86FD2">
            <w:pPr>
              <w:spacing w:before="92" w:line="195" w:lineRule="auto"/>
              <w:ind w:left="41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366" w:type="dxa"/>
          </w:tcPr>
          <w:p w14:paraId="7C76A4C0">
            <w:pPr>
              <w:spacing w:before="56" w:line="227" w:lineRule="auto"/>
              <w:ind w:left="532"/>
              <w:rPr>
                <w:rFonts w:ascii="宋体" w:hAnsi="宋体" w:eastAsia="宋体" w:cs="宋体"/>
                <w:sz w:val="20"/>
                <w:szCs w:val="20"/>
              </w:rPr>
            </w:pPr>
            <w:r>
              <w:rPr>
                <w:rFonts w:ascii="宋体" w:hAnsi="宋体" w:eastAsia="宋体" w:cs="宋体"/>
                <w:spacing w:val="7"/>
                <w:sz w:val="20"/>
                <w:szCs w:val="20"/>
              </w:rPr>
              <w:t>搅拌机</w:t>
            </w:r>
          </w:p>
        </w:tc>
        <w:tc>
          <w:tcPr>
            <w:tcW w:w="1297" w:type="dxa"/>
          </w:tcPr>
          <w:p w14:paraId="6E9B554E">
            <w:pPr>
              <w:spacing w:before="92" w:line="195" w:lineRule="auto"/>
              <w:ind w:left="6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75-8</w:t>
            </w:r>
            <w:r>
              <w:rPr>
                <w:rFonts w:ascii="Times New Roman" w:hAnsi="Times New Roman" w:eastAsia="Times New Roman" w:cs="Times New Roman"/>
                <w:spacing w:val="2"/>
                <w:sz w:val="20"/>
                <w:szCs w:val="20"/>
              </w:rPr>
              <w:t>5</w:t>
            </w:r>
          </w:p>
        </w:tc>
        <w:tc>
          <w:tcPr>
            <w:tcW w:w="1369" w:type="dxa"/>
            <w:vMerge w:val="restart"/>
            <w:tcBorders>
              <w:bottom w:val="nil"/>
            </w:tcBorders>
          </w:tcPr>
          <w:p w14:paraId="58247F68">
            <w:pPr>
              <w:spacing w:before="85" w:line="265" w:lineRule="auto"/>
              <w:ind w:left="273" w:right="158" w:hanging="106"/>
              <w:rPr>
                <w:rFonts w:ascii="宋体" w:hAnsi="宋体" w:eastAsia="宋体" w:cs="宋体"/>
                <w:sz w:val="20"/>
                <w:szCs w:val="20"/>
              </w:rPr>
            </w:pPr>
            <w:r>
              <w:rPr>
                <w:rFonts w:ascii="宋体" w:hAnsi="宋体" w:eastAsia="宋体" w:cs="宋体"/>
                <w:spacing w:val="10"/>
                <w:sz w:val="20"/>
                <w:szCs w:val="20"/>
              </w:rPr>
              <w:t>异</w:t>
            </w:r>
            <w:r>
              <w:rPr>
                <w:rFonts w:ascii="宋体" w:hAnsi="宋体" w:eastAsia="宋体" w:cs="宋体"/>
                <w:spacing w:val="7"/>
                <w:sz w:val="20"/>
                <w:szCs w:val="20"/>
              </w:rPr>
              <w:t>位微生物</w:t>
            </w:r>
            <w:r>
              <w:rPr>
                <w:rFonts w:ascii="宋体" w:hAnsi="宋体" w:eastAsia="宋体" w:cs="宋体"/>
                <w:sz w:val="20"/>
                <w:szCs w:val="20"/>
              </w:rPr>
              <w:t xml:space="preserve"> </w:t>
            </w:r>
            <w:r>
              <w:rPr>
                <w:rFonts w:ascii="宋体" w:hAnsi="宋体" w:eastAsia="宋体" w:cs="宋体"/>
                <w:spacing w:val="8"/>
                <w:sz w:val="20"/>
                <w:szCs w:val="20"/>
              </w:rPr>
              <w:t>发</w:t>
            </w:r>
            <w:r>
              <w:rPr>
                <w:rFonts w:ascii="宋体" w:hAnsi="宋体" w:eastAsia="宋体" w:cs="宋体"/>
                <w:spacing w:val="6"/>
                <w:sz w:val="20"/>
                <w:szCs w:val="20"/>
              </w:rPr>
              <w:t>酵系统</w:t>
            </w:r>
          </w:p>
        </w:tc>
        <w:tc>
          <w:tcPr>
            <w:tcW w:w="2914" w:type="dxa"/>
          </w:tcPr>
          <w:p w14:paraId="0B388C2E">
            <w:pPr>
              <w:spacing w:before="56" w:line="228" w:lineRule="auto"/>
              <w:ind w:left="201"/>
              <w:rPr>
                <w:rFonts w:ascii="宋体" w:hAnsi="宋体" w:eastAsia="宋体" w:cs="宋体"/>
                <w:sz w:val="20"/>
                <w:szCs w:val="20"/>
              </w:rPr>
            </w:pPr>
            <w:r>
              <w:rPr>
                <w:rFonts w:ascii="宋体" w:hAnsi="宋体" w:eastAsia="宋体" w:cs="宋体"/>
                <w:spacing w:val="11"/>
                <w:sz w:val="20"/>
                <w:szCs w:val="20"/>
              </w:rPr>
              <w:t>选</w:t>
            </w:r>
            <w:r>
              <w:rPr>
                <w:rFonts w:ascii="宋体" w:hAnsi="宋体" w:eastAsia="宋体" w:cs="宋体"/>
                <w:spacing w:val="9"/>
                <w:sz w:val="20"/>
                <w:szCs w:val="20"/>
              </w:rPr>
              <w:t>择低噪声设备、墙体隔声</w:t>
            </w:r>
          </w:p>
        </w:tc>
        <w:tc>
          <w:tcPr>
            <w:tcW w:w="2038" w:type="dxa"/>
            <w:tcBorders>
              <w:right w:val="nil"/>
            </w:tcBorders>
          </w:tcPr>
          <w:p w14:paraId="13667A8F">
            <w:pPr>
              <w:spacing w:before="92" w:line="195" w:lineRule="auto"/>
              <w:ind w:left="92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2</w:t>
            </w:r>
          </w:p>
        </w:tc>
      </w:tr>
      <w:tr w14:paraId="676347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728" w:type="dxa"/>
            <w:tcBorders>
              <w:left w:val="nil"/>
            </w:tcBorders>
          </w:tcPr>
          <w:p w14:paraId="723E5F44">
            <w:pPr>
              <w:spacing w:before="97" w:line="192" w:lineRule="auto"/>
              <w:ind w:left="426"/>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366" w:type="dxa"/>
          </w:tcPr>
          <w:p w14:paraId="5DD9A1C5">
            <w:pPr>
              <w:spacing w:before="58" w:line="227" w:lineRule="auto"/>
              <w:ind w:left="531"/>
              <w:rPr>
                <w:rFonts w:ascii="宋体" w:hAnsi="宋体" w:eastAsia="宋体" w:cs="宋体"/>
                <w:sz w:val="20"/>
                <w:szCs w:val="20"/>
              </w:rPr>
            </w:pPr>
            <w:r>
              <w:rPr>
                <w:rFonts w:ascii="宋体" w:hAnsi="宋体" w:eastAsia="宋体" w:cs="宋体"/>
                <w:spacing w:val="8"/>
                <w:sz w:val="20"/>
                <w:szCs w:val="20"/>
              </w:rPr>
              <w:t>翻</w:t>
            </w:r>
            <w:r>
              <w:rPr>
                <w:rFonts w:ascii="宋体" w:hAnsi="宋体" w:eastAsia="宋体" w:cs="宋体"/>
                <w:spacing w:val="7"/>
                <w:sz w:val="20"/>
                <w:szCs w:val="20"/>
              </w:rPr>
              <w:t>抛机</w:t>
            </w:r>
          </w:p>
        </w:tc>
        <w:tc>
          <w:tcPr>
            <w:tcW w:w="1297" w:type="dxa"/>
          </w:tcPr>
          <w:p w14:paraId="011FFC54">
            <w:pPr>
              <w:spacing w:before="94" w:line="195" w:lineRule="auto"/>
              <w:ind w:left="597"/>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7</w:t>
            </w:r>
            <w:r>
              <w:rPr>
                <w:rFonts w:ascii="Times New Roman" w:hAnsi="Times New Roman" w:eastAsia="Times New Roman" w:cs="Times New Roman"/>
                <w:spacing w:val="3"/>
                <w:sz w:val="20"/>
                <w:szCs w:val="20"/>
              </w:rPr>
              <w:t>0~80</w:t>
            </w:r>
          </w:p>
        </w:tc>
        <w:tc>
          <w:tcPr>
            <w:tcW w:w="1369" w:type="dxa"/>
            <w:vMerge w:val="continue"/>
            <w:tcBorders>
              <w:top w:val="nil"/>
            </w:tcBorders>
          </w:tcPr>
          <w:p w14:paraId="431FDC5C"/>
        </w:tc>
        <w:tc>
          <w:tcPr>
            <w:tcW w:w="2914" w:type="dxa"/>
          </w:tcPr>
          <w:p w14:paraId="385597F4">
            <w:pPr>
              <w:spacing w:before="58" w:line="228" w:lineRule="auto"/>
              <w:ind w:left="201"/>
              <w:rPr>
                <w:rFonts w:ascii="宋体" w:hAnsi="宋体" w:eastAsia="宋体" w:cs="宋体"/>
                <w:sz w:val="20"/>
                <w:szCs w:val="20"/>
              </w:rPr>
            </w:pPr>
            <w:r>
              <w:rPr>
                <w:rFonts w:ascii="宋体" w:hAnsi="宋体" w:eastAsia="宋体" w:cs="宋体"/>
                <w:spacing w:val="11"/>
                <w:sz w:val="20"/>
                <w:szCs w:val="20"/>
              </w:rPr>
              <w:t>选</w:t>
            </w:r>
            <w:r>
              <w:rPr>
                <w:rFonts w:ascii="宋体" w:hAnsi="宋体" w:eastAsia="宋体" w:cs="宋体"/>
                <w:spacing w:val="9"/>
                <w:sz w:val="20"/>
                <w:szCs w:val="20"/>
              </w:rPr>
              <w:t>择低噪声设备、墙体隔声</w:t>
            </w:r>
          </w:p>
        </w:tc>
        <w:tc>
          <w:tcPr>
            <w:tcW w:w="2038" w:type="dxa"/>
            <w:tcBorders>
              <w:right w:val="nil"/>
            </w:tcBorders>
          </w:tcPr>
          <w:p w14:paraId="46B34B79">
            <w:pPr>
              <w:spacing w:before="94" w:line="195" w:lineRule="auto"/>
              <w:ind w:left="92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0</w:t>
            </w:r>
          </w:p>
        </w:tc>
      </w:tr>
    </w:tbl>
    <w:p w14:paraId="66A800B3">
      <w:pPr>
        <w:spacing w:line="177" w:lineRule="exact"/>
        <w:rPr>
          <w:sz w:val="15"/>
        </w:rPr>
      </w:pPr>
    </w:p>
    <w:p w14:paraId="562FBF39">
      <w:pPr>
        <w:sectPr>
          <w:footerReference r:id="rId205" w:type="default"/>
          <w:pgSz w:w="11907" w:h="16840"/>
          <w:pgMar w:top="400" w:right="642" w:bottom="1485" w:left="1136" w:header="0" w:footer="1298" w:gutter="0"/>
          <w:cols w:space="720" w:num="1"/>
        </w:sectPr>
      </w:pPr>
    </w:p>
    <w:p w14:paraId="00C7D2A4">
      <w:pPr>
        <w:spacing w:line="460" w:lineRule="auto"/>
      </w:pPr>
    </w:p>
    <w:p w14:paraId="0CE88465">
      <w:pPr>
        <w:spacing w:before="56" w:line="229" w:lineRule="auto"/>
        <w:ind w:left="115"/>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4F2BCD9D">
      <w:pPr>
        <w:spacing w:line="14" w:lineRule="exact"/>
      </w:pPr>
    </w:p>
    <w:tbl>
      <w:tblPr>
        <w:tblStyle w:val="4"/>
        <w:tblW w:w="971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366"/>
        <w:gridCol w:w="1297"/>
        <w:gridCol w:w="1368"/>
        <w:gridCol w:w="2914"/>
        <w:gridCol w:w="2038"/>
      </w:tblGrid>
      <w:tr w14:paraId="79FD1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728" w:type="dxa"/>
            <w:tcBorders>
              <w:left w:val="nil"/>
            </w:tcBorders>
          </w:tcPr>
          <w:p w14:paraId="5E7BEAD8">
            <w:pPr>
              <w:spacing w:before="246" w:line="229" w:lineRule="auto"/>
              <w:ind w:left="161"/>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1366" w:type="dxa"/>
          </w:tcPr>
          <w:p w14:paraId="52ED4AB7">
            <w:pPr>
              <w:spacing w:before="247" w:line="228" w:lineRule="auto"/>
              <w:ind w:left="593"/>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噪</w:t>
            </w:r>
            <w:r>
              <w:rPr>
                <w:rFonts w:ascii="宋体" w:hAnsi="宋体" w:eastAsia="宋体" w:cs="宋体"/>
                <w:spacing w:val="4"/>
                <w:sz w:val="20"/>
                <w:szCs w:val="20"/>
                <w14:textOutline w14:w="3797" w14:cap="sq" w14:cmpd="sng" w14:algn="ctr">
                  <w14:solidFill>
                    <w14:srgbClr w14:val="000000"/>
                  </w14:solidFill>
                  <w14:prstDash w14:val="solid"/>
                  <w14:bevel/>
                </w14:textOutline>
              </w:rPr>
              <w:t>声源</w:t>
            </w:r>
          </w:p>
        </w:tc>
        <w:tc>
          <w:tcPr>
            <w:tcW w:w="1297" w:type="dxa"/>
          </w:tcPr>
          <w:p w14:paraId="74583E0C">
            <w:pPr>
              <w:spacing w:before="109" w:line="257" w:lineRule="auto"/>
              <w:ind w:left="198" w:right="198" w:firstLine="144"/>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声</w:t>
            </w:r>
            <w:r>
              <w:rPr>
                <w:rFonts w:ascii="宋体" w:hAnsi="宋体" w:eastAsia="宋体" w:cs="宋体"/>
                <w:spacing w:val="6"/>
                <w:sz w:val="20"/>
                <w:szCs w:val="20"/>
                <w14:textOutline w14:w="3797" w14:cap="sq" w14:cmpd="sng" w14:algn="ctr">
                  <w14:solidFill>
                    <w14:srgbClr w14:val="000000"/>
                  </w14:solidFill>
                  <w14:prstDash w14:val="solid"/>
                  <w14:bevel/>
                </w14:textOutline>
              </w:rPr>
              <w:t>级值</w:t>
            </w:r>
            <w:r>
              <w:rPr>
                <w:rFonts w:ascii="宋体" w:hAnsi="宋体" w:eastAsia="宋体" w:cs="宋体"/>
                <w:sz w:val="20"/>
                <w:szCs w:val="20"/>
              </w:rPr>
              <w:t xml:space="preserve"> </w:t>
            </w:r>
            <w:r>
              <w:rPr>
                <w:rFonts w:ascii="宋体" w:hAnsi="宋体" w:eastAsia="宋体" w:cs="宋体"/>
                <w:spacing w:val="-4"/>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spacing w:val="-4"/>
                <w:sz w:val="20"/>
                <w:szCs w:val="20"/>
              </w:rPr>
              <w:t>dB(A)</w:t>
            </w:r>
            <w:r>
              <w:rPr>
                <w:rFonts w:ascii="宋体" w:hAnsi="宋体" w:eastAsia="宋体" w:cs="宋体"/>
                <w:spacing w:val="-4"/>
                <w:sz w:val="20"/>
                <w:szCs w:val="20"/>
                <w14:textOutline w14:w="3797" w14:cap="sq" w14:cmpd="sng" w14:algn="ctr">
                  <w14:solidFill>
                    <w14:srgbClr w14:val="000000"/>
                  </w14:solidFill>
                  <w14:prstDash w14:val="solid"/>
                  <w14:bevel/>
                </w14:textOutline>
              </w:rPr>
              <w:t>〕</w:t>
            </w:r>
          </w:p>
        </w:tc>
        <w:tc>
          <w:tcPr>
            <w:tcW w:w="1368" w:type="dxa"/>
          </w:tcPr>
          <w:p w14:paraId="78513DF4">
            <w:pPr>
              <w:spacing w:before="247" w:line="228" w:lineRule="auto"/>
              <w:ind w:left="124"/>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噪声位置</w:t>
            </w:r>
          </w:p>
        </w:tc>
        <w:tc>
          <w:tcPr>
            <w:tcW w:w="2914" w:type="dxa"/>
          </w:tcPr>
          <w:p w14:paraId="5FC2B38C">
            <w:pPr>
              <w:spacing w:before="247" w:line="228" w:lineRule="auto"/>
              <w:ind w:left="1259"/>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治</w:t>
            </w:r>
            <w:r>
              <w:rPr>
                <w:rFonts w:ascii="宋体" w:hAnsi="宋体" w:eastAsia="宋体" w:cs="宋体"/>
                <w:spacing w:val="7"/>
                <w:sz w:val="20"/>
                <w:szCs w:val="20"/>
                <w14:textOutline w14:w="3797" w14:cap="sq" w14:cmpd="sng" w14:algn="ctr">
                  <w14:solidFill>
                    <w14:srgbClr w14:val="000000"/>
                  </w14:solidFill>
                  <w14:prstDash w14:val="solid"/>
                  <w14:bevel/>
                </w14:textOutline>
              </w:rPr>
              <w:t>理措施</w:t>
            </w:r>
          </w:p>
        </w:tc>
        <w:tc>
          <w:tcPr>
            <w:tcW w:w="2038" w:type="dxa"/>
            <w:tcBorders>
              <w:right w:val="nil"/>
            </w:tcBorders>
          </w:tcPr>
          <w:p w14:paraId="4B6EF014">
            <w:pPr>
              <w:spacing w:before="75" w:line="237" w:lineRule="auto"/>
              <w:ind w:left="554" w:right="175" w:firstLine="118"/>
              <w:rPr>
                <w:rFonts w:ascii="宋体" w:hAnsi="宋体" w:eastAsia="宋体" w:cs="宋体"/>
                <w:sz w:val="23"/>
                <w:szCs w:val="23"/>
              </w:rPr>
            </w:pPr>
            <w:r>
              <w:rPr>
                <w:rFonts w:ascii="宋体" w:hAnsi="宋体" w:eastAsia="宋体" w:cs="宋体"/>
                <w:spacing w:val="9"/>
                <w:sz w:val="23"/>
                <w:szCs w:val="23"/>
                <w14:textOutline w14:w="4330" w14:cap="sq" w14:cmpd="sng" w14:algn="ctr">
                  <w14:solidFill>
                    <w14:srgbClr w14:val="000000"/>
                  </w14:solidFill>
                  <w14:prstDash w14:val="solid"/>
                  <w14:bevel/>
                </w14:textOutline>
              </w:rPr>
              <w:t>治</w:t>
            </w:r>
            <w:r>
              <w:rPr>
                <w:rFonts w:ascii="宋体" w:hAnsi="宋体" w:eastAsia="宋体" w:cs="宋体"/>
                <w:spacing w:val="7"/>
                <w:sz w:val="23"/>
                <w:szCs w:val="23"/>
                <w14:textOutline w14:w="4330" w14:cap="sq" w14:cmpd="sng" w14:algn="ctr">
                  <w14:solidFill>
                    <w14:srgbClr w14:val="000000"/>
                  </w14:solidFill>
                  <w14:prstDash w14:val="solid"/>
                  <w14:bevel/>
                </w14:textOutline>
              </w:rPr>
              <w:t>理后噪声</w:t>
            </w:r>
            <w:r>
              <w:rPr>
                <w:rFonts w:ascii="宋体" w:hAnsi="宋体" w:eastAsia="宋体" w:cs="宋体"/>
                <w:sz w:val="23"/>
                <w:szCs w:val="23"/>
              </w:rPr>
              <w:t xml:space="preserve"> </w:t>
            </w:r>
            <w:r>
              <w:rPr>
                <w:rFonts w:ascii="Times New Roman" w:hAnsi="Times New Roman" w:eastAsia="Times New Roman" w:cs="Times New Roman"/>
                <w:b/>
                <w:bCs/>
                <w:sz w:val="23"/>
                <w:szCs w:val="23"/>
              </w:rPr>
              <w:t>dB</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30" w14:cap="sq" w14:cmpd="sng" w14:algn="ctr">
                  <w14:solidFill>
                    <w14:srgbClr w14:val="000000"/>
                  </w14:solidFill>
                  <w14:prstDash w14:val="solid"/>
                  <w14:bevel/>
                </w14:textOutline>
              </w:rPr>
              <w:t>(</w:t>
            </w:r>
            <w:r>
              <w:rPr>
                <w:rFonts w:ascii="Times New Roman" w:hAnsi="Times New Roman" w:eastAsia="Times New Roman" w:cs="Times New Roman"/>
                <w:b/>
                <w:bCs/>
                <w:sz w:val="23"/>
                <w:szCs w:val="23"/>
              </w:rPr>
              <w:t>A</w:t>
            </w:r>
            <w:r>
              <w:rPr>
                <w:rFonts w:ascii="宋体" w:hAnsi="宋体" w:eastAsia="宋体" w:cs="宋体"/>
                <w:spacing w:val="4"/>
                <w:sz w:val="23"/>
                <w:szCs w:val="23"/>
                <w14:textOutline w14:w="4330" w14:cap="sq" w14:cmpd="sng" w14:algn="ctr">
                  <w14:solidFill>
                    <w14:srgbClr w14:val="000000"/>
                  </w14:solidFill>
                  <w14:prstDash w14:val="solid"/>
                  <w14:bevel/>
                </w14:textOutline>
              </w:rPr>
              <w:t>)</w:t>
            </w:r>
          </w:p>
        </w:tc>
      </w:tr>
      <w:tr w14:paraId="28183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728" w:type="dxa"/>
            <w:tcBorders>
              <w:left w:val="nil"/>
            </w:tcBorders>
          </w:tcPr>
          <w:p w14:paraId="7C6FB5AC">
            <w:pPr>
              <w:spacing w:before="91" w:line="195" w:lineRule="auto"/>
              <w:ind w:left="424"/>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366" w:type="dxa"/>
          </w:tcPr>
          <w:p w14:paraId="64999552">
            <w:pPr>
              <w:spacing w:before="55" w:line="227" w:lineRule="auto"/>
              <w:ind w:left="535"/>
              <w:rPr>
                <w:rFonts w:ascii="宋体" w:hAnsi="宋体" w:eastAsia="宋体" w:cs="宋体"/>
                <w:sz w:val="20"/>
                <w:szCs w:val="20"/>
              </w:rPr>
            </w:pPr>
            <w:r>
              <w:rPr>
                <w:rFonts w:ascii="宋体" w:hAnsi="宋体" w:eastAsia="宋体" w:cs="宋体"/>
                <w:spacing w:val="7"/>
                <w:sz w:val="20"/>
                <w:szCs w:val="20"/>
              </w:rPr>
              <w:t>鼓</w:t>
            </w:r>
            <w:r>
              <w:rPr>
                <w:rFonts w:ascii="宋体" w:hAnsi="宋体" w:eastAsia="宋体" w:cs="宋体"/>
                <w:spacing w:val="6"/>
                <w:sz w:val="20"/>
                <w:szCs w:val="20"/>
              </w:rPr>
              <w:t>风机</w:t>
            </w:r>
          </w:p>
        </w:tc>
        <w:tc>
          <w:tcPr>
            <w:tcW w:w="1297" w:type="dxa"/>
          </w:tcPr>
          <w:p w14:paraId="73026525">
            <w:pPr>
              <w:spacing w:before="91" w:line="195" w:lineRule="auto"/>
              <w:ind w:left="60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8</w:t>
            </w:r>
            <w:r>
              <w:rPr>
                <w:rFonts w:ascii="Times New Roman" w:hAnsi="Times New Roman" w:eastAsia="Times New Roman" w:cs="Times New Roman"/>
                <w:spacing w:val="3"/>
                <w:sz w:val="20"/>
                <w:szCs w:val="20"/>
              </w:rPr>
              <w:t>0</w:t>
            </w:r>
            <w:r>
              <w:rPr>
                <w:rFonts w:ascii="Times New Roman" w:hAnsi="Times New Roman" w:eastAsia="Times New Roman" w:cs="Times New Roman"/>
                <w:spacing w:val="2"/>
                <w:sz w:val="20"/>
                <w:szCs w:val="20"/>
              </w:rPr>
              <w:t>~85</w:t>
            </w:r>
          </w:p>
        </w:tc>
        <w:tc>
          <w:tcPr>
            <w:tcW w:w="1368" w:type="dxa"/>
          </w:tcPr>
          <w:p w14:paraId="3DEF2E08"/>
        </w:tc>
        <w:tc>
          <w:tcPr>
            <w:tcW w:w="2914" w:type="dxa"/>
          </w:tcPr>
          <w:p w14:paraId="1BC5D0D6">
            <w:pPr>
              <w:spacing w:before="56" w:line="228" w:lineRule="auto"/>
              <w:ind w:left="202"/>
              <w:rPr>
                <w:rFonts w:ascii="宋体" w:hAnsi="宋体" w:eastAsia="宋体" w:cs="宋体"/>
                <w:sz w:val="20"/>
                <w:szCs w:val="20"/>
              </w:rPr>
            </w:pPr>
            <w:r>
              <w:rPr>
                <w:rFonts w:ascii="宋体" w:hAnsi="宋体" w:eastAsia="宋体" w:cs="宋体"/>
                <w:spacing w:val="11"/>
                <w:sz w:val="20"/>
                <w:szCs w:val="20"/>
              </w:rPr>
              <w:t>选</w:t>
            </w:r>
            <w:r>
              <w:rPr>
                <w:rFonts w:ascii="宋体" w:hAnsi="宋体" w:eastAsia="宋体" w:cs="宋体"/>
                <w:spacing w:val="9"/>
                <w:sz w:val="20"/>
                <w:szCs w:val="20"/>
              </w:rPr>
              <w:t>择低噪声设备、墙体隔声</w:t>
            </w:r>
          </w:p>
        </w:tc>
        <w:tc>
          <w:tcPr>
            <w:tcW w:w="2038" w:type="dxa"/>
            <w:tcBorders>
              <w:right w:val="nil"/>
            </w:tcBorders>
          </w:tcPr>
          <w:p w14:paraId="0EE952C0">
            <w:pPr>
              <w:spacing w:before="91" w:line="195" w:lineRule="auto"/>
              <w:ind w:left="92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2</w:t>
            </w:r>
          </w:p>
        </w:tc>
      </w:tr>
      <w:tr w14:paraId="732EFD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728" w:type="dxa"/>
            <w:tcBorders>
              <w:left w:val="nil"/>
            </w:tcBorders>
          </w:tcPr>
          <w:p w14:paraId="44A72773">
            <w:pPr>
              <w:spacing w:before="122" w:line="192" w:lineRule="auto"/>
              <w:ind w:left="423"/>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366" w:type="dxa"/>
          </w:tcPr>
          <w:p w14:paraId="5BA14F00">
            <w:pPr>
              <w:spacing w:before="83" w:line="228" w:lineRule="auto"/>
              <w:ind w:left="322"/>
              <w:rPr>
                <w:rFonts w:ascii="宋体" w:hAnsi="宋体" w:eastAsia="宋体" w:cs="宋体"/>
                <w:sz w:val="20"/>
                <w:szCs w:val="20"/>
              </w:rPr>
            </w:pPr>
            <w:r>
              <w:rPr>
                <w:rFonts w:ascii="宋体" w:hAnsi="宋体" w:eastAsia="宋体" w:cs="宋体"/>
                <w:spacing w:val="8"/>
                <w:sz w:val="20"/>
                <w:szCs w:val="20"/>
              </w:rPr>
              <w:t>运</w:t>
            </w:r>
            <w:r>
              <w:rPr>
                <w:rFonts w:ascii="宋体" w:hAnsi="宋体" w:eastAsia="宋体" w:cs="宋体"/>
                <w:spacing w:val="7"/>
                <w:sz w:val="20"/>
                <w:szCs w:val="20"/>
              </w:rPr>
              <w:t>输车辆</w:t>
            </w:r>
          </w:p>
        </w:tc>
        <w:tc>
          <w:tcPr>
            <w:tcW w:w="1297" w:type="dxa"/>
          </w:tcPr>
          <w:p w14:paraId="5660A63D">
            <w:pPr>
              <w:spacing w:before="119" w:line="195" w:lineRule="auto"/>
              <w:ind w:left="62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2"/>
                <w:sz w:val="20"/>
                <w:szCs w:val="20"/>
              </w:rPr>
              <w:t>5-75</w:t>
            </w:r>
          </w:p>
        </w:tc>
        <w:tc>
          <w:tcPr>
            <w:tcW w:w="1368" w:type="dxa"/>
          </w:tcPr>
          <w:p w14:paraId="54D659EF">
            <w:pPr>
              <w:spacing w:before="46" w:line="281" w:lineRule="exact"/>
              <w:ind w:left="86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c>
          <w:tcPr>
            <w:tcW w:w="2914" w:type="dxa"/>
          </w:tcPr>
          <w:p w14:paraId="3E45159E">
            <w:pPr>
              <w:spacing w:before="83" w:line="228" w:lineRule="auto"/>
              <w:ind w:left="839"/>
              <w:rPr>
                <w:rFonts w:ascii="宋体" w:hAnsi="宋体" w:eastAsia="宋体" w:cs="宋体"/>
                <w:sz w:val="20"/>
                <w:szCs w:val="20"/>
              </w:rPr>
            </w:pPr>
            <w:r>
              <w:rPr>
                <w:rFonts w:ascii="宋体" w:hAnsi="宋体" w:eastAsia="宋体" w:cs="宋体"/>
                <w:spacing w:val="9"/>
                <w:sz w:val="20"/>
                <w:szCs w:val="20"/>
              </w:rPr>
              <w:t>定</w:t>
            </w:r>
            <w:r>
              <w:rPr>
                <w:rFonts w:ascii="宋体" w:hAnsi="宋体" w:eastAsia="宋体" w:cs="宋体"/>
                <w:spacing w:val="7"/>
                <w:sz w:val="20"/>
                <w:szCs w:val="20"/>
              </w:rPr>
              <w:t>期维护保养</w:t>
            </w:r>
          </w:p>
        </w:tc>
        <w:tc>
          <w:tcPr>
            <w:tcW w:w="2038" w:type="dxa"/>
            <w:tcBorders>
              <w:right w:val="nil"/>
            </w:tcBorders>
          </w:tcPr>
          <w:p w14:paraId="7B5B2889">
            <w:pPr>
              <w:spacing w:before="122" w:line="192" w:lineRule="auto"/>
              <w:ind w:left="922"/>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r>
    </w:tbl>
    <w:p w14:paraId="6CB8D57A">
      <w:pPr>
        <w:spacing w:before="35" w:line="303" w:lineRule="exact"/>
        <w:ind w:left="714"/>
        <w:rPr>
          <w:rFonts w:ascii="宋体" w:hAnsi="宋体" w:eastAsia="宋体" w:cs="宋体"/>
          <w:sz w:val="23"/>
          <w:szCs w:val="23"/>
        </w:rPr>
      </w:pPr>
      <w:r>
        <w:rPr>
          <w:rFonts w:ascii="Times New Roman" w:hAnsi="Times New Roman" w:eastAsia="Times New Roman" w:cs="Times New Roman"/>
          <w:b/>
          <w:bCs/>
          <w:spacing w:val="-1"/>
          <w:position w:val="1"/>
          <w:sz w:val="23"/>
          <w:szCs w:val="23"/>
        </w:rPr>
        <w:t>2</w:t>
      </w:r>
      <w:r>
        <w:rPr>
          <w:rFonts w:ascii="Times New Roman" w:hAnsi="Times New Roman" w:eastAsia="Times New Roman" w:cs="Times New Roman"/>
          <w:spacing w:val="-1"/>
          <w:position w:val="1"/>
          <w:sz w:val="23"/>
          <w:szCs w:val="23"/>
        </w:rPr>
        <w:t xml:space="preserve"> </w:t>
      </w:r>
      <w:r>
        <w:rPr>
          <w:rFonts w:ascii="宋体" w:hAnsi="宋体" w:eastAsia="宋体" w:cs="宋体"/>
          <w:spacing w:val="-1"/>
          <w:position w:val="1"/>
          <w:sz w:val="23"/>
          <w:szCs w:val="23"/>
          <w14:textOutline w14:w="4356" w14:cap="sq" w14:cmpd="sng" w14:algn="ctr">
            <w14:solidFill>
              <w14:srgbClr w14:val="000000"/>
            </w14:solidFill>
            <w14:prstDash w14:val="solid"/>
            <w14:bevel/>
          </w14:textOutline>
        </w:rPr>
        <w:t>、预</w:t>
      </w:r>
      <w:r>
        <w:rPr>
          <w:rFonts w:ascii="宋体" w:hAnsi="宋体" w:eastAsia="宋体" w:cs="宋体"/>
          <w:position w:val="1"/>
          <w:sz w:val="23"/>
          <w:szCs w:val="23"/>
          <w14:textOutline w14:w="4356" w14:cap="sq" w14:cmpd="sng" w14:algn="ctr">
            <w14:solidFill>
              <w14:srgbClr w14:val="000000"/>
            </w14:solidFill>
            <w14:prstDash w14:val="solid"/>
            <w14:bevel/>
          </w14:textOutline>
        </w:rPr>
        <w:t>测方法</w:t>
      </w:r>
    </w:p>
    <w:p w14:paraId="09E2AD6C">
      <w:pPr>
        <w:spacing w:before="164" w:line="466" w:lineRule="exact"/>
        <w:ind w:left="598"/>
        <w:rPr>
          <w:rFonts w:ascii="宋体" w:hAnsi="宋体" w:eastAsia="宋体" w:cs="宋体"/>
          <w:sz w:val="23"/>
          <w:szCs w:val="23"/>
        </w:rPr>
      </w:pPr>
      <w:r>
        <w:rPr>
          <w:rFonts w:ascii="宋体" w:hAnsi="宋体" w:eastAsia="宋体" w:cs="宋体"/>
          <w:spacing w:val="14"/>
          <w:position w:val="17"/>
          <w:sz w:val="23"/>
          <w:szCs w:val="23"/>
        </w:rPr>
        <w:t>环</w:t>
      </w:r>
      <w:r>
        <w:rPr>
          <w:rFonts w:ascii="宋体" w:hAnsi="宋体" w:eastAsia="宋体" w:cs="宋体"/>
          <w:spacing w:val="9"/>
          <w:position w:val="17"/>
          <w:sz w:val="23"/>
          <w:szCs w:val="23"/>
        </w:rPr>
        <w:t>评采用噪声衰减模式和多源叠加模式，具体模式如下：</w:t>
      </w:r>
    </w:p>
    <w:p w14:paraId="5823C4B3">
      <w:pPr>
        <w:spacing w:line="227" w:lineRule="auto"/>
        <w:ind w:left="609"/>
        <w:rPr>
          <w:rFonts w:ascii="宋体" w:hAnsi="宋体" w:eastAsia="宋体" w:cs="宋体"/>
          <w:sz w:val="23"/>
          <w:szCs w:val="23"/>
        </w:rPr>
      </w:pPr>
      <w:r>
        <w:rPr>
          <w:rFonts w:ascii="宋体" w:hAnsi="宋体" w:eastAsia="宋体" w:cs="宋体"/>
          <w:spacing w:val="9"/>
          <w:sz w:val="23"/>
          <w:szCs w:val="23"/>
        </w:rPr>
        <w:t>噪</w:t>
      </w:r>
      <w:r>
        <w:rPr>
          <w:rFonts w:ascii="宋体" w:hAnsi="宋体" w:eastAsia="宋体" w:cs="宋体"/>
          <w:spacing w:val="5"/>
          <w:sz w:val="23"/>
          <w:szCs w:val="23"/>
        </w:rPr>
        <w:t>声衰减模式：</w:t>
      </w:r>
    </w:p>
    <w:p w14:paraId="6F3DF744">
      <w:pPr>
        <w:spacing w:before="139" w:line="511" w:lineRule="exact"/>
        <w:ind w:left="3725"/>
        <w:rPr>
          <w:rFonts w:ascii="Times New Roman" w:hAnsi="Times New Roman" w:eastAsia="Times New Roman" w:cs="Times New Roman"/>
          <w:sz w:val="23"/>
          <w:szCs w:val="23"/>
        </w:rPr>
      </w:pPr>
      <w:r>
        <w:rPr>
          <w:rFonts w:ascii="Times New Roman" w:hAnsi="Times New Roman" w:eastAsia="Times New Roman" w:cs="Times New Roman"/>
          <w:position w:val="19"/>
          <w:sz w:val="23"/>
          <w:szCs w:val="23"/>
        </w:rPr>
        <w:t>L</w:t>
      </w:r>
      <w:r>
        <w:rPr>
          <w:rFonts w:ascii="Times New Roman" w:hAnsi="Times New Roman" w:eastAsia="Times New Roman" w:cs="Times New Roman"/>
          <w:position w:val="18"/>
          <w:sz w:val="15"/>
          <w:szCs w:val="15"/>
        </w:rPr>
        <w:t>P</w:t>
      </w:r>
      <w:r>
        <w:rPr>
          <w:rFonts w:ascii="宋体" w:hAnsi="宋体" w:eastAsia="宋体" w:cs="宋体"/>
          <w:spacing w:val="15"/>
          <w:position w:val="19"/>
          <w:sz w:val="23"/>
          <w:szCs w:val="23"/>
        </w:rPr>
        <w:t>＝</w:t>
      </w:r>
      <w:r>
        <w:rPr>
          <w:rFonts w:ascii="Times New Roman" w:hAnsi="Times New Roman" w:eastAsia="Times New Roman" w:cs="Times New Roman"/>
          <w:position w:val="19"/>
          <w:sz w:val="23"/>
          <w:szCs w:val="23"/>
        </w:rPr>
        <w:t>L</w:t>
      </w:r>
      <w:r>
        <w:rPr>
          <w:rFonts w:ascii="Times New Roman" w:hAnsi="Times New Roman" w:eastAsia="Times New Roman" w:cs="Times New Roman"/>
          <w:position w:val="18"/>
          <w:sz w:val="15"/>
          <w:szCs w:val="15"/>
        </w:rPr>
        <w:t>W</w:t>
      </w:r>
      <w:r>
        <w:rPr>
          <w:rFonts w:ascii="宋体" w:hAnsi="宋体" w:eastAsia="宋体" w:cs="宋体"/>
          <w:spacing w:val="15"/>
          <w:position w:val="19"/>
          <w:sz w:val="23"/>
          <w:szCs w:val="23"/>
        </w:rPr>
        <w:t>－</w:t>
      </w:r>
      <w:r>
        <w:rPr>
          <w:rFonts w:ascii="Times New Roman" w:hAnsi="Times New Roman" w:eastAsia="Times New Roman" w:cs="Times New Roman"/>
          <w:spacing w:val="15"/>
          <w:position w:val="19"/>
          <w:sz w:val="23"/>
          <w:szCs w:val="23"/>
        </w:rPr>
        <w:t>20</w:t>
      </w:r>
      <w:r>
        <w:rPr>
          <w:rFonts w:ascii="Times New Roman" w:hAnsi="Times New Roman" w:eastAsia="Times New Roman" w:cs="Times New Roman"/>
          <w:position w:val="19"/>
          <w:sz w:val="23"/>
          <w:szCs w:val="23"/>
        </w:rPr>
        <w:t>lgr</w:t>
      </w:r>
      <w:r>
        <w:rPr>
          <w:rFonts w:ascii="宋体" w:hAnsi="宋体" w:eastAsia="宋体" w:cs="宋体"/>
          <w:spacing w:val="14"/>
          <w:position w:val="19"/>
          <w:sz w:val="23"/>
          <w:szCs w:val="23"/>
        </w:rPr>
        <w:t>－</w:t>
      </w:r>
      <w:r>
        <w:rPr>
          <w:rFonts w:ascii="Times New Roman" w:hAnsi="Times New Roman" w:eastAsia="Times New Roman" w:cs="Times New Roman"/>
          <w:position w:val="19"/>
          <w:sz w:val="23"/>
          <w:szCs w:val="23"/>
        </w:rPr>
        <w:t>K</w:t>
      </w:r>
    </w:p>
    <w:p w14:paraId="3743EFA7">
      <w:pPr>
        <w:spacing w:line="227" w:lineRule="auto"/>
        <w:ind w:left="602"/>
        <w:rPr>
          <w:rFonts w:ascii="宋体" w:hAnsi="宋体" w:eastAsia="宋体" w:cs="宋体"/>
          <w:sz w:val="23"/>
          <w:szCs w:val="23"/>
        </w:rPr>
      </w:pPr>
      <w:r>
        <w:rPr>
          <w:rFonts w:ascii="宋体" w:hAnsi="宋体" w:eastAsia="宋体" w:cs="宋体"/>
          <w:spacing w:val="7"/>
          <w:sz w:val="23"/>
          <w:szCs w:val="23"/>
        </w:rPr>
        <w:t>式</w:t>
      </w:r>
      <w:r>
        <w:rPr>
          <w:rFonts w:ascii="宋体" w:hAnsi="宋体" w:eastAsia="宋体" w:cs="宋体"/>
          <w:spacing w:val="5"/>
          <w:sz w:val="23"/>
          <w:szCs w:val="23"/>
        </w:rPr>
        <w:t>中：</w:t>
      </w:r>
      <w:r>
        <w:rPr>
          <w:rFonts w:ascii="Times New Roman" w:hAnsi="Times New Roman" w:eastAsia="Times New Roman" w:cs="Times New Roman"/>
          <w:sz w:val="23"/>
          <w:szCs w:val="23"/>
        </w:rPr>
        <w:t>L</w:t>
      </w:r>
      <w:r>
        <w:rPr>
          <w:rFonts w:ascii="Times New Roman" w:hAnsi="Times New Roman" w:eastAsia="Times New Roman" w:cs="Times New Roman"/>
          <w:position w:val="-1"/>
          <w:sz w:val="15"/>
          <w:szCs w:val="15"/>
        </w:rPr>
        <w:t>P</w:t>
      </w:r>
      <w:r>
        <w:rPr>
          <w:rFonts w:ascii="Times New Roman" w:hAnsi="Times New Roman" w:eastAsia="Times New Roman" w:cs="Times New Roman"/>
          <w:spacing w:val="5"/>
          <w:sz w:val="23"/>
          <w:szCs w:val="23"/>
        </w:rPr>
        <w:t>——</w:t>
      </w:r>
      <w:r>
        <w:rPr>
          <w:rFonts w:ascii="宋体" w:hAnsi="宋体" w:eastAsia="宋体" w:cs="宋体"/>
          <w:spacing w:val="5"/>
          <w:sz w:val="23"/>
          <w:szCs w:val="23"/>
        </w:rPr>
        <w:t xml:space="preserve">距离声源 </w:t>
      </w:r>
      <w:r>
        <w:rPr>
          <w:rFonts w:ascii="Times New Roman" w:hAnsi="Times New Roman" w:eastAsia="Times New Roman" w:cs="Times New Roman"/>
          <w:sz w:val="23"/>
          <w:szCs w:val="23"/>
        </w:rPr>
        <w:t>r</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米处的声压级；</w:t>
      </w:r>
    </w:p>
    <w:p w14:paraId="444DAE90">
      <w:pPr>
        <w:spacing w:before="185" w:line="466" w:lineRule="exact"/>
        <w:ind w:left="1313"/>
        <w:rPr>
          <w:rFonts w:ascii="宋体" w:hAnsi="宋体" w:eastAsia="宋体" w:cs="宋体"/>
          <w:sz w:val="23"/>
          <w:szCs w:val="23"/>
        </w:rPr>
      </w:pPr>
      <w:r>
        <w:rPr>
          <w:rFonts w:ascii="Times New Roman" w:hAnsi="Times New Roman" w:eastAsia="Times New Roman" w:cs="Times New Roman"/>
          <w:position w:val="17"/>
          <w:sz w:val="23"/>
          <w:szCs w:val="23"/>
        </w:rPr>
        <w:t>L</w:t>
      </w:r>
      <w:r>
        <w:rPr>
          <w:rFonts w:ascii="Times New Roman" w:hAnsi="Times New Roman" w:eastAsia="Times New Roman" w:cs="Times New Roman"/>
          <w:position w:val="16"/>
          <w:sz w:val="15"/>
          <w:szCs w:val="15"/>
        </w:rPr>
        <w:t>W</w:t>
      </w:r>
      <w:r>
        <w:rPr>
          <w:rFonts w:ascii="Times New Roman" w:hAnsi="Times New Roman" w:eastAsia="Times New Roman" w:cs="Times New Roman"/>
          <w:spacing w:val="11"/>
          <w:position w:val="17"/>
          <w:sz w:val="23"/>
          <w:szCs w:val="23"/>
        </w:rPr>
        <w:t>—</w:t>
      </w:r>
      <w:r>
        <w:rPr>
          <w:rFonts w:ascii="Times New Roman" w:hAnsi="Times New Roman" w:eastAsia="Times New Roman" w:cs="Times New Roman"/>
          <w:spacing w:val="9"/>
          <w:position w:val="17"/>
          <w:sz w:val="23"/>
          <w:szCs w:val="23"/>
        </w:rPr>
        <w:t>—</w:t>
      </w:r>
      <w:r>
        <w:rPr>
          <w:rFonts w:ascii="宋体" w:hAnsi="宋体" w:eastAsia="宋体" w:cs="宋体"/>
          <w:spacing w:val="9"/>
          <w:position w:val="17"/>
          <w:sz w:val="23"/>
          <w:szCs w:val="23"/>
        </w:rPr>
        <w:t>声源声功率级；</w:t>
      </w:r>
    </w:p>
    <w:p w14:paraId="732E9C6E">
      <w:pPr>
        <w:spacing w:line="228" w:lineRule="auto"/>
        <w:ind w:left="1310"/>
        <w:rPr>
          <w:rFonts w:ascii="宋体" w:hAnsi="宋体" w:eastAsia="宋体" w:cs="宋体"/>
          <w:sz w:val="23"/>
          <w:szCs w:val="23"/>
        </w:rPr>
      </w:pPr>
      <w:r>
        <w:rPr>
          <w:rFonts w:ascii="Times New Roman" w:hAnsi="Times New Roman" w:eastAsia="Times New Roman" w:cs="Times New Roman"/>
          <w:sz w:val="23"/>
          <w:szCs w:val="23"/>
        </w:rPr>
        <w:t>r</w:t>
      </w:r>
      <w:r>
        <w:rPr>
          <w:rFonts w:ascii="Times New Roman" w:hAnsi="Times New Roman" w:eastAsia="Times New Roman" w:cs="Times New Roman"/>
          <w:spacing w:val="12"/>
          <w:sz w:val="23"/>
          <w:szCs w:val="23"/>
        </w:rPr>
        <w:t>—</w:t>
      </w:r>
      <w:r>
        <w:rPr>
          <w:rFonts w:ascii="Times New Roman" w:hAnsi="Times New Roman" w:eastAsia="Times New Roman" w:cs="Times New Roman"/>
          <w:spacing w:val="9"/>
          <w:sz w:val="23"/>
          <w:szCs w:val="23"/>
        </w:rPr>
        <w:t>—</w:t>
      </w:r>
      <w:r>
        <w:rPr>
          <w:rFonts w:ascii="宋体" w:hAnsi="宋体" w:eastAsia="宋体" w:cs="宋体"/>
          <w:spacing w:val="9"/>
          <w:sz w:val="23"/>
          <w:szCs w:val="23"/>
        </w:rPr>
        <w:t>距离声源中心的距离；</w:t>
      </w:r>
    </w:p>
    <w:p w14:paraId="5E342B29">
      <w:pPr>
        <w:spacing w:before="184" w:line="227" w:lineRule="auto"/>
        <w:ind w:left="1312"/>
        <w:rPr>
          <w:rFonts w:ascii="宋体" w:hAnsi="宋体" w:eastAsia="宋体" w:cs="宋体"/>
          <w:sz w:val="23"/>
          <w:szCs w:val="23"/>
        </w:rPr>
      </w:pPr>
      <w:r>
        <w:rPr>
          <w:rFonts w:ascii="Times New Roman" w:hAnsi="Times New Roman" w:eastAsia="Times New Roman" w:cs="Times New Roman"/>
          <w:sz w:val="23"/>
          <w:szCs w:val="23"/>
        </w:rPr>
        <w:t>K</w:t>
      </w:r>
      <w:r>
        <w:rPr>
          <w:rFonts w:ascii="Times New Roman" w:hAnsi="Times New Roman" w:eastAsia="Times New Roman" w:cs="Times New Roman"/>
          <w:spacing w:val="12"/>
          <w:sz w:val="23"/>
          <w:szCs w:val="23"/>
        </w:rPr>
        <w:t>—</w:t>
      </w:r>
      <w:r>
        <w:rPr>
          <w:rFonts w:ascii="Times New Roman" w:hAnsi="Times New Roman" w:eastAsia="Times New Roman" w:cs="Times New Roman"/>
          <w:spacing w:val="8"/>
          <w:sz w:val="23"/>
          <w:szCs w:val="23"/>
        </w:rPr>
        <w:t>—</w:t>
      </w:r>
      <w:r>
        <w:rPr>
          <w:rFonts w:ascii="宋体" w:hAnsi="宋体" w:eastAsia="宋体" w:cs="宋体"/>
          <w:spacing w:val="8"/>
          <w:sz w:val="23"/>
          <w:szCs w:val="23"/>
        </w:rPr>
        <w:t>修正值。</w:t>
      </w:r>
    </w:p>
    <w:p w14:paraId="12689FD6">
      <w:pPr>
        <w:spacing w:before="182" w:line="228" w:lineRule="auto"/>
        <w:ind w:left="597"/>
        <w:rPr>
          <w:rFonts w:ascii="宋体" w:hAnsi="宋体" w:eastAsia="宋体" w:cs="宋体"/>
          <w:sz w:val="23"/>
          <w:szCs w:val="23"/>
        </w:rPr>
      </w:pPr>
      <w:r>
        <w:rPr>
          <w:rFonts w:ascii="宋体" w:hAnsi="宋体" w:eastAsia="宋体" w:cs="宋体"/>
          <w:spacing w:val="-1"/>
          <w:sz w:val="23"/>
          <w:szCs w:val="23"/>
        </w:rPr>
        <w:t xml:space="preserve">对于同一声源可知 </w:t>
      </w:r>
      <w:r>
        <w:rPr>
          <w:rFonts w:ascii="Times New Roman" w:hAnsi="Times New Roman" w:eastAsia="Times New Roman" w:cs="Times New Roman"/>
          <w:sz w:val="23"/>
          <w:szCs w:val="23"/>
        </w:rPr>
        <w:t>r</w:t>
      </w:r>
      <w:r>
        <w:rPr>
          <w:rFonts w:ascii="Times New Roman" w:hAnsi="Times New Roman" w:eastAsia="Times New Roman" w:cs="Times New Roman"/>
          <w:spacing w:val="-1"/>
          <w:position w:val="-1"/>
          <w:sz w:val="15"/>
          <w:szCs w:val="15"/>
        </w:rPr>
        <w:t xml:space="preserve">1 </w:t>
      </w:r>
      <w:r>
        <w:rPr>
          <w:rFonts w:ascii="宋体" w:hAnsi="宋体" w:eastAsia="宋体" w:cs="宋体"/>
          <w:spacing w:val="-1"/>
          <w:sz w:val="23"/>
          <w:szCs w:val="23"/>
        </w:rPr>
        <w:t xml:space="preserve">和 </w:t>
      </w:r>
      <w:r>
        <w:rPr>
          <w:rFonts w:ascii="Times New Roman" w:hAnsi="Times New Roman" w:eastAsia="Times New Roman" w:cs="Times New Roman"/>
          <w:sz w:val="23"/>
          <w:szCs w:val="23"/>
        </w:rPr>
        <w:t>r</w:t>
      </w:r>
      <w:r>
        <w:rPr>
          <w:rFonts w:ascii="Times New Roman" w:hAnsi="Times New Roman" w:eastAsia="Times New Roman" w:cs="Times New Roman"/>
          <w:spacing w:val="-1"/>
          <w:position w:val="-1"/>
          <w:sz w:val="15"/>
          <w:szCs w:val="15"/>
        </w:rPr>
        <w:t xml:space="preserve">2 </w:t>
      </w:r>
      <w:r>
        <w:rPr>
          <w:rFonts w:ascii="宋体" w:hAnsi="宋体" w:eastAsia="宋体" w:cs="宋体"/>
          <w:spacing w:val="-1"/>
          <w:sz w:val="23"/>
          <w:szCs w:val="23"/>
        </w:rPr>
        <w:t>处</w:t>
      </w:r>
      <w:r>
        <w:rPr>
          <w:rFonts w:ascii="宋体" w:hAnsi="宋体" w:eastAsia="宋体" w:cs="宋体"/>
          <w:sz w:val="23"/>
          <w:szCs w:val="23"/>
        </w:rPr>
        <w:t xml:space="preserve">声压级 </w:t>
      </w:r>
      <w:r>
        <w:rPr>
          <w:rFonts w:ascii="Times New Roman" w:hAnsi="Times New Roman" w:eastAsia="Times New Roman" w:cs="Times New Roman"/>
          <w:sz w:val="23"/>
          <w:szCs w:val="23"/>
        </w:rPr>
        <w:t>L</w:t>
      </w:r>
      <w:r>
        <w:rPr>
          <w:rFonts w:ascii="Times New Roman" w:hAnsi="Times New Roman" w:eastAsia="Times New Roman" w:cs="Times New Roman"/>
          <w:position w:val="-1"/>
          <w:sz w:val="15"/>
          <w:szCs w:val="15"/>
        </w:rPr>
        <w:t xml:space="preserve">1 </w:t>
      </w:r>
      <w:r>
        <w:rPr>
          <w:rFonts w:ascii="宋体" w:hAnsi="宋体" w:eastAsia="宋体" w:cs="宋体"/>
          <w:sz w:val="23"/>
          <w:szCs w:val="23"/>
        </w:rPr>
        <w:t xml:space="preserve">和 </w:t>
      </w:r>
      <w:r>
        <w:rPr>
          <w:rFonts w:ascii="Times New Roman" w:hAnsi="Times New Roman" w:eastAsia="Times New Roman" w:cs="Times New Roman"/>
          <w:sz w:val="23"/>
          <w:szCs w:val="23"/>
        </w:rPr>
        <w:t>L</w:t>
      </w:r>
      <w:r>
        <w:rPr>
          <w:rFonts w:ascii="Times New Roman" w:hAnsi="Times New Roman" w:eastAsia="Times New Roman" w:cs="Times New Roman"/>
          <w:position w:val="-1"/>
          <w:sz w:val="15"/>
          <w:szCs w:val="15"/>
        </w:rPr>
        <w:t xml:space="preserve">2 </w:t>
      </w:r>
      <w:r>
        <w:rPr>
          <w:rFonts w:ascii="宋体" w:hAnsi="宋体" w:eastAsia="宋体" w:cs="宋体"/>
          <w:sz w:val="23"/>
          <w:szCs w:val="23"/>
        </w:rPr>
        <w:t>间关系为：</w:t>
      </w:r>
    </w:p>
    <w:p w14:paraId="52C88359">
      <w:pPr>
        <w:spacing w:before="141" w:line="323" w:lineRule="exact"/>
        <w:ind w:left="3742"/>
        <w:rPr>
          <w:rFonts w:ascii="Times New Roman" w:hAnsi="Times New Roman" w:eastAsia="Times New Roman" w:cs="Times New Roman"/>
          <w:sz w:val="23"/>
          <w:szCs w:val="23"/>
        </w:rPr>
      </w:pPr>
      <w:r>
        <w:rPr>
          <w:rFonts w:ascii="Times New Roman" w:hAnsi="Times New Roman" w:eastAsia="Times New Roman" w:cs="Times New Roman"/>
          <w:position w:val="4"/>
          <w:sz w:val="23"/>
          <w:szCs w:val="23"/>
        </w:rPr>
        <w:t>L</w:t>
      </w:r>
      <w:r>
        <w:rPr>
          <w:rFonts w:ascii="Times New Roman" w:hAnsi="Times New Roman" w:eastAsia="Times New Roman" w:cs="Times New Roman"/>
          <w:spacing w:val="9"/>
          <w:position w:val="3"/>
          <w:sz w:val="15"/>
          <w:szCs w:val="15"/>
        </w:rPr>
        <w:t>2</w:t>
      </w:r>
      <w:r>
        <w:rPr>
          <w:rFonts w:ascii="宋体" w:hAnsi="宋体" w:eastAsia="宋体" w:cs="宋体"/>
          <w:spacing w:val="6"/>
          <w:position w:val="4"/>
          <w:sz w:val="23"/>
          <w:szCs w:val="23"/>
        </w:rPr>
        <w:t>＝</w:t>
      </w:r>
      <w:r>
        <w:rPr>
          <w:rFonts w:ascii="Times New Roman" w:hAnsi="Times New Roman" w:eastAsia="Times New Roman" w:cs="Times New Roman"/>
          <w:position w:val="4"/>
          <w:sz w:val="23"/>
          <w:szCs w:val="23"/>
        </w:rPr>
        <w:t>L</w:t>
      </w:r>
      <w:r>
        <w:rPr>
          <w:rFonts w:ascii="Times New Roman" w:hAnsi="Times New Roman" w:eastAsia="Times New Roman" w:cs="Times New Roman"/>
          <w:spacing w:val="6"/>
          <w:position w:val="3"/>
          <w:sz w:val="15"/>
          <w:szCs w:val="15"/>
        </w:rPr>
        <w:t>1</w:t>
      </w:r>
      <w:r>
        <w:rPr>
          <w:rFonts w:ascii="宋体" w:hAnsi="宋体" w:eastAsia="宋体" w:cs="宋体"/>
          <w:spacing w:val="6"/>
          <w:position w:val="4"/>
          <w:sz w:val="23"/>
          <w:szCs w:val="23"/>
        </w:rPr>
        <w:t>－</w:t>
      </w:r>
      <w:r>
        <w:rPr>
          <w:rFonts w:ascii="Times New Roman" w:hAnsi="Times New Roman" w:eastAsia="Times New Roman" w:cs="Times New Roman"/>
          <w:spacing w:val="6"/>
          <w:position w:val="4"/>
          <w:sz w:val="23"/>
          <w:szCs w:val="23"/>
        </w:rPr>
        <w:t>20</w:t>
      </w:r>
      <w:r>
        <w:rPr>
          <w:rFonts w:ascii="Times New Roman" w:hAnsi="Times New Roman" w:eastAsia="Times New Roman" w:cs="Times New Roman"/>
          <w:position w:val="4"/>
          <w:sz w:val="23"/>
          <w:szCs w:val="23"/>
        </w:rPr>
        <w:t>lg</w:t>
      </w:r>
      <w:r>
        <w:rPr>
          <w:rFonts w:ascii="Times New Roman" w:hAnsi="Times New Roman" w:eastAsia="Times New Roman" w:cs="Times New Roman"/>
          <w:spacing w:val="6"/>
          <w:position w:val="4"/>
          <w:sz w:val="23"/>
          <w:szCs w:val="23"/>
        </w:rPr>
        <w:t>(</w:t>
      </w:r>
      <w:r>
        <w:rPr>
          <w:rFonts w:ascii="Times New Roman" w:hAnsi="Times New Roman" w:eastAsia="Times New Roman" w:cs="Times New Roman"/>
          <w:position w:val="4"/>
          <w:sz w:val="23"/>
          <w:szCs w:val="23"/>
        </w:rPr>
        <w:t>r</w:t>
      </w:r>
      <w:r>
        <w:rPr>
          <w:rFonts w:ascii="Times New Roman" w:hAnsi="Times New Roman" w:eastAsia="Times New Roman" w:cs="Times New Roman"/>
          <w:spacing w:val="6"/>
          <w:position w:val="3"/>
          <w:sz w:val="15"/>
          <w:szCs w:val="15"/>
        </w:rPr>
        <w:t>2</w:t>
      </w:r>
      <w:r>
        <w:rPr>
          <w:rFonts w:ascii="Times New Roman" w:hAnsi="Times New Roman" w:eastAsia="Times New Roman" w:cs="Times New Roman"/>
          <w:spacing w:val="6"/>
          <w:position w:val="4"/>
          <w:sz w:val="23"/>
          <w:szCs w:val="23"/>
        </w:rPr>
        <w:t>/</w:t>
      </w:r>
      <w:r>
        <w:rPr>
          <w:rFonts w:ascii="Times New Roman" w:hAnsi="Times New Roman" w:eastAsia="Times New Roman" w:cs="Times New Roman"/>
          <w:position w:val="4"/>
          <w:sz w:val="23"/>
          <w:szCs w:val="23"/>
        </w:rPr>
        <w:t>r</w:t>
      </w:r>
      <w:r>
        <w:rPr>
          <w:rFonts w:ascii="Times New Roman" w:hAnsi="Times New Roman" w:eastAsia="Times New Roman" w:cs="Times New Roman"/>
          <w:spacing w:val="6"/>
          <w:position w:val="3"/>
          <w:sz w:val="15"/>
          <w:szCs w:val="15"/>
        </w:rPr>
        <w:t>1</w:t>
      </w:r>
      <w:r>
        <w:rPr>
          <w:rFonts w:ascii="Times New Roman" w:hAnsi="Times New Roman" w:eastAsia="Times New Roman" w:cs="Times New Roman"/>
          <w:spacing w:val="6"/>
          <w:position w:val="4"/>
          <w:sz w:val="23"/>
          <w:szCs w:val="23"/>
        </w:rPr>
        <w:t>)</w:t>
      </w:r>
    </w:p>
    <w:p w14:paraId="7163C66B">
      <w:pPr>
        <w:spacing w:before="189" w:line="227" w:lineRule="auto"/>
        <w:ind w:left="609"/>
        <w:rPr>
          <w:rFonts w:ascii="宋体" w:hAnsi="宋体" w:eastAsia="宋体" w:cs="宋体"/>
          <w:sz w:val="23"/>
          <w:szCs w:val="23"/>
        </w:rPr>
      </w:pPr>
      <w:r>
        <w:rPr>
          <w:rFonts w:ascii="宋体" w:hAnsi="宋体" w:eastAsia="宋体" w:cs="宋体"/>
          <w:spacing w:val="9"/>
          <w:sz w:val="23"/>
          <w:szCs w:val="23"/>
        </w:rPr>
        <w:t>多</w:t>
      </w:r>
      <w:r>
        <w:rPr>
          <w:rFonts w:ascii="宋体" w:hAnsi="宋体" w:eastAsia="宋体" w:cs="宋体"/>
          <w:spacing w:val="5"/>
          <w:sz w:val="23"/>
          <w:szCs w:val="23"/>
        </w:rPr>
        <w:t>源叠加模式：</w:t>
      </w:r>
    </w:p>
    <w:p w14:paraId="1BBFF5F4">
      <w:pPr>
        <w:spacing w:before="182" w:line="468" w:lineRule="exact"/>
        <w:ind w:left="597"/>
        <w:rPr>
          <w:rFonts w:ascii="宋体" w:hAnsi="宋体" w:eastAsia="宋体" w:cs="宋体"/>
          <w:sz w:val="23"/>
          <w:szCs w:val="23"/>
        </w:rPr>
      </w:pPr>
      <w:r>
        <w:rPr>
          <w:rFonts w:ascii="宋体" w:hAnsi="宋体" w:eastAsia="宋体" w:cs="宋体"/>
          <w:spacing w:val="17"/>
          <w:position w:val="17"/>
          <w:sz w:val="23"/>
          <w:szCs w:val="23"/>
        </w:rPr>
        <w:t>在</w:t>
      </w:r>
      <w:r>
        <w:rPr>
          <w:rFonts w:ascii="宋体" w:hAnsi="宋体" w:eastAsia="宋体" w:cs="宋体"/>
          <w:spacing w:val="10"/>
          <w:position w:val="17"/>
          <w:sz w:val="23"/>
          <w:szCs w:val="23"/>
        </w:rPr>
        <w:t>预测过程中，根据实际情况把各具体复杂的噪声源简化为点声源进行计算，</w:t>
      </w:r>
    </w:p>
    <w:p w14:paraId="2E4B4784">
      <w:pPr>
        <w:spacing w:before="1" w:line="226" w:lineRule="auto"/>
        <w:ind w:left="120"/>
        <w:rPr>
          <w:rFonts w:ascii="宋体" w:hAnsi="宋体" w:eastAsia="宋体" w:cs="宋体"/>
          <w:sz w:val="23"/>
          <w:szCs w:val="23"/>
        </w:rPr>
      </w:pPr>
      <w:r>
        <w:rPr>
          <w:rFonts w:ascii="宋体" w:hAnsi="宋体" w:eastAsia="宋体" w:cs="宋体"/>
          <w:spacing w:val="14"/>
          <w:sz w:val="23"/>
          <w:szCs w:val="23"/>
        </w:rPr>
        <w:t>再</w:t>
      </w:r>
      <w:r>
        <w:rPr>
          <w:rFonts w:ascii="宋体" w:hAnsi="宋体" w:eastAsia="宋体" w:cs="宋体"/>
          <w:spacing w:val="9"/>
          <w:sz w:val="23"/>
          <w:szCs w:val="23"/>
        </w:rPr>
        <w:t>将其计算结果与本底进行能量叠加，得到该处噪声预测值。</w:t>
      </w:r>
    </w:p>
    <w:p w14:paraId="19035D6F">
      <w:pPr>
        <w:spacing w:before="139" w:line="324" w:lineRule="auto"/>
        <w:ind w:left="119" w:right="936" w:firstLine="478"/>
        <w:rPr>
          <w:rFonts w:ascii="宋体" w:hAnsi="宋体" w:eastAsia="宋体" w:cs="宋体"/>
          <w:sz w:val="23"/>
          <w:szCs w:val="23"/>
        </w:rPr>
      </w:pPr>
      <w:r>
        <w:rPr>
          <w:rFonts w:ascii="宋体" w:hAnsi="宋体" w:eastAsia="宋体" w:cs="宋体"/>
          <w:spacing w:val="9"/>
          <w:sz w:val="23"/>
          <w:szCs w:val="23"/>
        </w:rPr>
        <w:t>对</w:t>
      </w:r>
      <w:r>
        <w:rPr>
          <w:rFonts w:ascii="宋体" w:hAnsi="宋体" w:eastAsia="宋体" w:cs="宋体"/>
          <w:spacing w:val="8"/>
          <w:sz w:val="23"/>
          <w:szCs w:val="23"/>
        </w:rPr>
        <w:t>于任何一个预测点，其总噪声效应是多个叠加声级</w:t>
      </w:r>
      <w:r>
        <w:rPr>
          <w:rFonts w:ascii="Times New Roman" w:hAnsi="Times New Roman" w:eastAsia="Times New Roman" w:cs="Times New Roman"/>
          <w:spacing w:val="8"/>
          <w:sz w:val="23"/>
          <w:szCs w:val="23"/>
        </w:rPr>
        <w:t>(</w:t>
      </w:r>
      <w:r>
        <w:rPr>
          <w:rFonts w:ascii="宋体" w:hAnsi="宋体" w:eastAsia="宋体" w:cs="宋体"/>
          <w:spacing w:val="8"/>
          <w:sz w:val="23"/>
          <w:szCs w:val="23"/>
        </w:rPr>
        <w:t>即各声源分别在该点的贡</w:t>
      </w:r>
      <w:r>
        <w:rPr>
          <w:rFonts w:ascii="宋体" w:hAnsi="宋体" w:eastAsia="宋体" w:cs="宋体"/>
          <w:sz w:val="23"/>
          <w:szCs w:val="23"/>
        </w:rPr>
        <w:t xml:space="preserve"> </w:t>
      </w:r>
      <w:r>
        <w:rPr>
          <w:rFonts w:ascii="宋体" w:hAnsi="宋体" w:eastAsia="宋体" w:cs="宋体"/>
          <w:spacing w:val="6"/>
          <w:sz w:val="23"/>
          <w:szCs w:val="23"/>
        </w:rPr>
        <w:t xml:space="preserve">献值 </w:t>
      </w:r>
      <w:r>
        <w:rPr>
          <w:rFonts w:ascii="Times New Roman" w:hAnsi="Times New Roman" w:eastAsia="Times New Roman" w:cs="Times New Roman"/>
          <w:sz w:val="23"/>
          <w:szCs w:val="23"/>
        </w:rPr>
        <w:t>L</w:t>
      </w:r>
      <w:r>
        <w:rPr>
          <w:rFonts w:ascii="Times New Roman" w:hAnsi="Times New Roman" w:eastAsia="Times New Roman" w:cs="Times New Roman"/>
          <w:spacing w:val="6"/>
          <w:sz w:val="23"/>
          <w:szCs w:val="23"/>
        </w:rPr>
        <w:t xml:space="preserve">2  </w:t>
      </w:r>
      <w:r>
        <w:rPr>
          <w:rFonts w:ascii="宋体" w:hAnsi="宋体" w:eastAsia="宋体" w:cs="宋体"/>
          <w:spacing w:val="6"/>
          <w:sz w:val="23"/>
          <w:szCs w:val="23"/>
        </w:rPr>
        <w:t>和本底噪声值</w:t>
      </w:r>
      <w:r>
        <w:rPr>
          <w:rFonts w:ascii="Times New Roman" w:hAnsi="Times New Roman" w:eastAsia="Times New Roman" w:cs="Times New Roman"/>
          <w:spacing w:val="6"/>
          <w:sz w:val="23"/>
          <w:szCs w:val="23"/>
        </w:rPr>
        <w:t>)</w:t>
      </w:r>
      <w:r>
        <w:rPr>
          <w:rFonts w:ascii="宋体" w:hAnsi="宋体" w:eastAsia="宋体" w:cs="宋体"/>
          <w:spacing w:val="6"/>
          <w:sz w:val="23"/>
          <w:szCs w:val="23"/>
        </w:rPr>
        <w:t>的能量总和，其计算式如下</w:t>
      </w:r>
      <w:r>
        <w:rPr>
          <w:rFonts w:ascii="宋体" w:hAnsi="宋体" w:eastAsia="宋体" w:cs="宋体"/>
          <w:spacing w:val="3"/>
          <w:sz w:val="23"/>
          <w:szCs w:val="23"/>
        </w:rPr>
        <w:t>：</w:t>
      </w:r>
    </w:p>
    <w:p w14:paraId="312433EE">
      <w:pPr>
        <w:spacing w:before="110" w:line="323" w:lineRule="exact"/>
        <w:ind w:left="593"/>
        <w:rPr>
          <w:rFonts w:ascii="Times New Roman" w:hAnsi="Times New Roman" w:eastAsia="Times New Roman" w:cs="Times New Roman"/>
          <w:sz w:val="23"/>
          <w:szCs w:val="23"/>
        </w:rPr>
      </w:pPr>
      <w:r>
        <w:rPr>
          <w:rFonts w:ascii="Times New Roman" w:hAnsi="Times New Roman" w:eastAsia="Times New Roman" w:cs="Times New Roman"/>
          <w:position w:val="4"/>
          <w:sz w:val="23"/>
          <w:szCs w:val="23"/>
        </w:rPr>
        <w:t>L</w:t>
      </w:r>
      <w:r>
        <w:rPr>
          <w:rFonts w:ascii="Times New Roman" w:hAnsi="Times New Roman" w:eastAsia="Times New Roman" w:cs="Times New Roman"/>
          <w:spacing w:val="1"/>
          <w:position w:val="4"/>
          <w:sz w:val="23"/>
          <w:szCs w:val="23"/>
        </w:rPr>
        <w:t xml:space="preserve"> = 10 </w:t>
      </w:r>
      <w:r>
        <w:rPr>
          <w:rFonts w:ascii="Times New Roman" w:hAnsi="Times New Roman" w:eastAsia="Times New Roman" w:cs="Times New Roman"/>
          <w:position w:val="4"/>
          <w:sz w:val="23"/>
          <w:szCs w:val="23"/>
        </w:rPr>
        <w:t>lg</w:t>
      </w:r>
      <w:r>
        <w:rPr>
          <w:rFonts w:ascii="Times New Roman" w:hAnsi="Times New Roman" w:eastAsia="Times New Roman" w:cs="Times New Roman"/>
          <w:spacing w:val="1"/>
          <w:position w:val="4"/>
          <w:sz w:val="23"/>
          <w:szCs w:val="23"/>
        </w:rPr>
        <w:t xml:space="preserve"> (Σ100. </w:t>
      </w:r>
      <w:r>
        <w:rPr>
          <w:rFonts w:ascii="Times New Roman" w:hAnsi="Times New Roman" w:eastAsia="Times New Roman" w:cs="Times New Roman"/>
          <w:position w:val="4"/>
          <w:sz w:val="23"/>
          <w:szCs w:val="23"/>
        </w:rPr>
        <w:t>1Li )</w:t>
      </w:r>
    </w:p>
    <w:p w14:paraId="54E90BAC">
      <w:pPr>
        <w:spacing w:before="107" w:line="468" w:lineRule="exact"/>
        <w:ind w:left="602"/>
        <w:rPr>
          <w:rFonts w:ascii="宋体" w:hAnsi="宋体" w:eastAsia="宋体" w:cs="宋体"/>
          <w:sz w:val="23"/>
          <w:szCs w:val="23"/>
        </w:rPr>
      </w:pPr>
      <w:r>
        <w:rPr>
          <w:rFonts w:ascii="宋体" w:hAnsi="宋体" w:eastAsia="宋体" w:cs="宋体"/>
          <w:spacing w:val="10"/>
          <w:position w:val="14"/>
          <w:sz w:val="23"/>
          <w:szCs w:val="23"/>
        </w:rPr>
        <w:t>式</w:t>
      </w:r>
      <w:r>
        <w:rPr>
          <w:rFonts w:ascii="宋体" w:hAnsi="宋体" w:eastAsia="宋体" w:cs="宋体"/>
          <w:spacing w:val="9"/>
          <w:position w:val="14"/>
          <w:sz w:val="23"/>
          <w:szCs w:val="23"/>
        </w:rPr>
        <w:t>中：</w:t>
      </w:r>
      <w:r>
        <w:rPr>
          <w:rFonts w:ascii="Times New Roman" w:hAnsi="Times New Roman" w:eastAsia="Times New Roman" w:cs="Times New Roman"/>
          <w:position w:val="14"/>
          <w:sz w:val="23"/>
          <w:szCs w:val="23"/>
        </w:rPr>
        <w:t>L</w:t>
      </w:r>
      <w:r>
        <w:rPr>
          <w:rFonts w:ascii="Times New Roman" w:hAnsi="Times New Roman" w:eastAsia="Times New Roman" w:cs="Times New Roman"/>
          <w:spacing w:val="9"/>
          <w:position w:val="14"/>
          <w:sz w:val="23"/>
          <w:szCs w:val="23"/>
        </w:rPr>
        <w:t>——</w:t>
      </w:r>
      <w:r>
        <w:rPr>
          <w:rFonts w:ascii="宋体" w:hAnsi="宋体" w:eastAsia="宋体" w:cs="宋体"/>
          <w:spacing w:val="9"/>
          <w:position w:val="14"/>
          <w:sz w:val="23"/>
          <w:szCs w:val="23"/>
        </w:rPr>
        <w:t>某点噪声总叠加值，</w:t>
      </w:r>
      <w:r>
        <w:rPr>
          <w:rFonts w:ascii="Times New Roman" w:hAnsi="Times New Roman" w:eastAsia="Times New Roman" w:cs="Times New Roman"/>
          <w:position w:val="14"/>
          <w:sz w:val="23"/>
          <w:szCs w:val="23"/>
        </w:rPr>
        <w:t>dB</w:t>
      </w:r>
      <w:r>
        <w:rPr>
          <w:rFonts w:ascii="Times New Roman" w:hAnsi="Times New Roman" w:eastAsia="Times New Roman" w:cs="Times New Roman"/>
          <w:spacing w:val="9"/>
          <w:position w:val="14"/>
          <w:sz w:val="23"/>
          <w:szCs w:val="23"/>
        </w:rPr>
        <w:t>(</w:t>
      </w:r>
      <w:r>
        <w:rPr>
          <w:rFonts w:ascii="Times New Roman" w:hAnsi="Times New Roman" w:eastAsia="Times New Roman" w:cs="Times New Roman"/>
          <w:position w:val="14"/>
          <w:sz w:val="23"/>
          <w:szCs w:val="23"/>
        </w:rPr>
        <w:t>A</w:t>
      </w:r>
      <w:r>
        <w:rPr>
          <w:rFonts w:ascii="Times New Roman" w:hAnsi="Times New Roman" w:eastAsia="Times New Roman" w:cs="Times New Roman"/>
          <w:spacing w:val="9"/>
          <w:position w:val="14"/>
          <w:sz w:val="23"/>
          <w:szCs w:val="23"/>
        </w:rPr>
        <w:t>)</w:t>
      </w:r>
      <w:r>
        <w:rPr>
          <w:rFonts w:ascii="宋体" w:hAnsi="宋体" w:eastAsia="宋体" w:cs="宋体"/>
          <w:spacing w:val="9"/>
          <w:position w:val="14"/>
          <w:sz w:val="23"/>
          <w:szCs w:val="23"/>
        </w:rPr>
        <w:t>；</w:t>
      </w:r>
    </w:p>
    <w:p w14:paraId="0B71BA00">
      <w:pPr>
        <w:spacing w:line="323" w:lineRule="exact"/>
        <w:ind w:left="593"/>
        <w:rPr>
          <w:rFonts w:ascii="宋体" w:hAnsi="宋体" w:eastAsia="宋体" w:cs="宋体"/>
          <w:sz w:val="23"/>
          <w:szCs w:val="23"/>
        </w:rPr>
      </w:pPr>
      <w:r>
        <w:rPr>
          <w:rFonts w:ascii="Times New Roman" w:hAnsi="Times New Roman" w:eastAsia="Times New Roman" w:cs="Times New Roman"/>
          <w:position w:val="3"/>
          <w:sz w:val="23"/>
          <w:szCs w:val="23"/>
        </w:rPr>
        <w:t>Li</w:t>
      </w:r>
      <w:r>
        <w:rPr>
          <w:rFonts w:ascii="Times New Roman" w:hAnsi="Times New Roman" w:eastAsia="Times New Roman" w:cs="Times New Roman"/>
          <w:spacing w:val="10"/>
          <w:position w:val="3"/>
          <w:sz w:val="23"/>
          <w:szCs w:val="23"/>
        </w:rPr>
        <w:t>—</w:t>
      </w:r>
      <w:r>
        <w:rPr>
          <w:rFonts w:ascii="Times New Roman" w:hAnsi="Times New Roman" w:eastAsia="Times New Roman" w:cs="Times New Roman"/>
          <w:spacing w:val="5"/>
          <w:position w:val="3"/>
          <w:sz w:val="23"/>
          <w:szCs w:val="23"/>
        </w:rPr>
        <w:t>—</w:t>
      </w:r>
      <w:r>
        <w:rPr>
          <w:rFonts w:ascii="宋体" w:hAnsi="宋体" w:eastAsia="宋体" w:cs="宋体"/>
          <w:spacing w:val="5"/>
          <w:position w:val="3"/>
          <w:sz w:val="23"/>
          <w:szCs w:val="23"/>
        </w:rPr>
        <w:t xml:space="preserve">第 </w:t>
      </w:r>
      <w:r>
        <w:rPr>
          <w:rFonts w:ascii="Times New Roman" w:hAnsi="Times New Roman" w:eastAsia="Times New Roman" w:cs="Times New Roman"/>
          <w:position w:val="3"/>
          <w:sz w:val="23"/>
          <w:szCs w:val="23"/>
        </w:rPr>
        <w:t>i</w:t>
      </w:r>
      <w:r>
        <w:rPr>
          <w:rFonts w:ascii="Times New Roman" w:hAnsi="Times New Roman" w:eastAsia="Times New Roman" w:cs="Times New Roman"/>
          <w:spacing w:val="5"/>
          <w:position w:val="3"/>
          <w:sz w:val="23"/>
          <w:szCs w:val="23"/>
        </w:rPr>
        <w:t xml:space="preserve">  </w:t>
      </w:r>
      <w:r>
        <w:rPr>
          <w:rFonts w:ascii="宋体" w:hAnsi="宋体" w:eastAsia="宋体" w:cs="宋体"/>
          <w:spacing w:val="5"/>
          <w:position w:val="3"/>
          <w:sz w:val="23"/>
          <w:szCs w:val="23"/>
        </w:rPr>
        <w:t>个声源的噪声值，</w:t>
      </w:r>
      <w:r>
        <w:rPr>
          <w:rFonts w:ascii="Times New Roman" w:hAnsi="Times New Roman" w:eastAsia="Times New Roman" w:cs="Times New Roman"/>
          <w:position w:val="3"/>
          <w:sz w:val="23"/>
          <w:szCs w:val="23"/>
        </w:rPr>
        <w:t>dB</w:t>
      </w:r>
      <w:r>
        <w:rPr>
          <w:rFonts w:ascii="Times New Roman" w:hAnsi="Times New Roman" w:eastAsia="Times New Roman" w:cs="Times New Roman"/>
          <w:spacing w:val="5"/>
          <w:position w:val="3"/>
          <w:sz w:val="23"/>
          <w:szCs w:val="23"/>
        </w:rPr>
        <w:t>(</w:t>
      </w:r>
      <w:r>
        <w:rPr>
          <w:rFonts w:ascii="Times New Roman" w:hAnsi="Times New Roman" w:eastAsia="Times New Roman" w:cs="Times New Roman"/>
          <w:position w:val="3"/>
          <w:sz w:val="23"/>
          <w:szCs w:val="23"/>
        </w:rPr>
        <w:t>A</w:t>
      </w:r>
      <w:r>
        <w:rPr>
          <w:rFonts w:ascii="Times New Roman" w:hAnsi="Times New Roman" w:eastAsia="Times New Roman" w:cs="Times New Roman"/>
          <w:spacing w:val="5"/>
          <w:position w:val="3"/>
          <w:sz w:val="23"/>
          <w:szCs w:val="23"/>
        </w:rPr>
        <w:t>)</w:t>
      </w:r>
      <w:r>
        <w:rPr>
          <w:rFonts w:ascii="宋体" w:hAnsi="宋体" w:eastAsia="宋体" w:cs="宋体"/>
          <w:spacing w:val="5"/>
          <w:position w:val="3"/>
          <w:sz w:val="23"/>
          <w:szCs w:val="23"/>
        </w:rPr>
        <w:t>；</w:t>
      </w:r>
    </w:p>
    <w:p w14:paraId="24F956C9">
      <w:pPr>
        <w:spacing w:before="189" w:line="227" w:lineRule="auto"/>
        <w:ind w:left="590"/>
        <w:rPr>
          <w:rFonts w:ascii="宋体" w:hAnsi="宋体" w:eastAsia="宋体" w:cs="宋体"/>
          <w:sz w:val="23"/>
          <w:szCs w:val="23"/>
        </w:rPr>
      </w:pPr>
      <w:r>
        <w:rPr>
          <w:rFonts w:ascii="Times New Roman" w:hAnsi="Times New Roman" w:eastAsia="Times New Roman" w:cs="Times New Roman"/>
          <w:sz w:val="23"/>
          <w:szCs w:val="23"/>
        </w:rPr>
        <w:t>n</w:t>
      </w:r>
      <w:r>
        <w:rPr>
          <w:rFonts w:ascii="Times New Roman" w:hAnsi="Times New Roman" w:eastAsia="Times New Roman" w:cs="Times New Roman"/>
          <w:spacing w:val="9"/>
          <w:sz w:val="23"/>
          <w:szCs w:val="23"/>
        </w:rPr>
        <w:t>——</w:t>
      </w:r>
      <w:r>
        <w:rPr>
          <w:rFonts w:ascii="宋体" w:hAnsi="宋体" w:eastAsia="宋体" w:cs="宋体"/>
          <w:spacing w:val="9"/>
          <w:sz w:val="23"/>
          <w:szCs w:val="23"/>
        </w:rPr>
        <w:t>声源个数。</w:t>
      </w:r>
    </w:p>
    <w:p w14:paraId="0C832D1F">
      <w:pPr>
        <w:spacing w:before="182" w:line="303" w:lineRule="exact"/>
        <w:ind w:left="592"/>
        <w:rPr>
          <w:rFonts w:ascii="宋体" w:hAnsi="宋体" w:eastAsia="宋体" w:cs="宋体"/>
          <w:sz w:val="23"/>
          <w:szCs w:val="23"/>
        </w:rPr>
      </w:pPr>
      <w:r>
        <w:rPr>
          <w:rFonts w:ascii="Times New Roman" w:hAnsi="Times New Roman" w:eastAsia="Times New Roman" w:cs="Times New Roman"/>
          <w:b/>
          <w:bCs/>
          <w:spacing w:val="3"/>
          <w:position w:val="1"/>
          <w:sz w:val="23"/>
          <w:szCs w:val="23"/>
        </w:rPr>
        <w:t>3</w:t>
      </w:r>
      <w:r>
        <w:rPr>
          <w:rFonts w:ascii="Times New Roman" w:hAnsi="Times New Roman" w:eastAsia="Times New Roman" w:cs="Times New Roman"/>
          <w:spacing w:val="3"/>
          <w:position w:val="1"/>
          <w:sz w:val="23"/>
          <w:szCs w:val="23"/>
        </w:rPr>
        <w:t xml:space="preserve"> </w:t>
      </w:r>
      <w:r>
        <w:rPr>
          <w:rFonts w:ascii="宋体" w:hAnsi="宋体" w:eastAsia="宋体" w:cs="宋体"/>
          <w:spacing w:val="3"/>
          <w:position w:val="1"/>
          <w:sz w:val="23"/>
          <w:szCs w:val="23"/>
          <w14:textOutline w14:w="4356" w14:cap="sq" w14:cmpd="sng" w14:algn="ctr">
            <w14:solidFill>
              <w14:srgbClr w14:val="000000"/>
            </w14:solidFill>
            <w14:prstDash w14:val="solid"/>
            <w14:bevel/>
          </w14:textOutline>
        </w:rPr>
        <w:t>、声环境影响预测</w:t>
      </w:r>
    </w:p>
    <w:p w14:paraId="1F66B869">
      <w:pPr>
        <w:spacing w:before="165" w:line="227" w:lineRule="auto"/>
        <w:ind w:left="601"/>
        <w:rPr>
          <w:rFonts w:ascii="宋体" w:hAnsi="宋体" w:eastAsia="宋体" w:cs="宋体"/>
          <w:sz w:val="23"/>
          <w:szCs w:val="23"/>
        </w:rPr>
      </w:pPr>
      <w:r>
        <w:rPr>
          <w:rFonts w:ascii="宋体" w:hAnsi="宋体" w:eastAsia="宋体" w:cs="宋体"/>
          <w:spacing w:val="14"/>
          <w:sz w:val="23"/>
          <w:szCs w:val="23"/>
        </w:rPr>
        <w:t>厂</w:t>
      </w:r>
      <w:r>
        <w:rPr>
          <w:rFonts w:ascii="宋体" w:hAnsi="宋体" w:eastAsia="宋体" w:cs="宋体"/>
          <w:spacing w:val="7"/>
          <w:sz w:val="23"/>
          <w:szCs w:val="23"/>
        </w:rPr>
        <w:t>界预测结果见下表：</w:t>
      </w:r>
    </w:p>
    <w:p w14:paraId="42BD45D2">
      <w:pPr>
        <w:spacing w:before="140" w:line="321" w:lineRule="exact"/>
        <w:ind w:left="1648"/>
        <w:rPr>
          <w:rFonts w:ascii="Times New Roman" w:hAnsi="Times New Roman" w:eastAsia="Times New Roman" w:cs="Times New Roman"/>
          <w:sz w:val="23"/>
          <w:szCs w:val="23"/>
        </w:rPr>
      </w:pPr>
      <w:r>
        <w:rPr>
          <w:rFonts w:ascii="黑体" w:hAnsi="黑体" w:eastAsia="黑体" w:cs="黑体"/>
          <w:spacing w:val="6"/>
          <w:position w:val="3"/>
          <w:sz w:val="23"/>
          <w:szCs w:val="23"/>
        </w:rPr>
        <w:t xml:space="preserve">表 </w:t>
      </w:r>
      <w:r>
        <w:rPr>
          <w:rFonts w:ascii="Times New Roman" w:hAnsi="Times New Roman" w:eastAsia="Times New Roman" w:cs="Times New Roman"/>
          <w:spacing w:val="4"/>
          <w:position w:val="3"/>
          <w:sz w:val="23"/>
          <w:szCs w:val="23"/>
        </w:rPr>
        <w:t>5</w:t>
      </w:r>
      <w:r>
        <w:rPr>
          <w:rFonts w:ascii="Times New Roman" w:hAnsi="Times New Roman" w:eastAsia="Times New Roman" w:cs="Times New Roman"/>
          <w:spacing w:val="3"/>
          <w:position w:val="3"/>
          <w:sz w:val="23"/>
          <w:szCs w:val="23"/>
        </w:rPr>
        <w:t xml:space="preserve">.2- 10        </w:t>
      </w:r>
      <w:r>
        <w:rPr>
          <w:rFonts w:ascii="黑体" w:hAnsi="黑体" w:eastAsia="黑体" w:cs="黑体"/>
          <w:spacing w:val="3"/>
          <w:position w:val="3"/>
          <w:sz w:val="23"/>
          <w:szCs w:val="23"/>
        </w:rPr>
        <w:t>运营期噪声影响预测结果      单位：</w:t>
      </w:r>
      <w:r>
        <w:rPr>
          <w:rFonts w:ascii="Times New Roman" w:hAnsi="Times New Roman" w:eastAsia="Times New Roman" w:cs="Times New Roman"/>
          <w:position w:val="3"/>
          <w:sz w:val="23"/>
          <w:szCs w:val="23"/>
        </w:rPr>
        <w:t>dB</w:t>
      </w:r>
      <w:r>
        <w:rPr>
          <w:rFonts w:ascii="Times New Roman" w:hAnsi="Times New Roman" w:eastAsia="Times New Roman" w:cs="Times New Roman"/>
          <w:spacing w:val="3"/>
          <w:position w:val="3"/>
          <w:sz w:val="23"/>
          <w:szCs w:val="23"/>
        </w:rPr>
        <w:t>(</w:t>
      </w:r>
      <w:r>
        <w:rPr>
          <w:rFonts w:ascii="Times New Roman" w:hAnsi="Times New Roman" w:eastAsia="Times New Roman" w:cs="Times New Roman"/>
          <w:position w:val="3"/>
          <w:sz w:val="23"/>
          <w:szCs w:val="23"/>
        </w:rPr>
        <w:t>A</w:t>
      </w:r>
      <w:r>
        <w:rPr>
          <w:rFonts w:ascii="Times New Roman" w:hAnsi="Times New Roman" w:eastAsia="Times New Roman" w:cs="Times New Roman"/>
          <w:spacing w:val="3"/>
          <w:position w:val="3"/>
          <w:sz w:val="23"/>
          <w:szCs w:val="23"/>
        </w:rPr>
        <w:t>)</w:t>
      </w:r>
    </w:p>
    <w:tbl>
      <w:tblPr>
        <w:tblStyle w:val="4"/>
        <w:tblW w:w="888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8"/>
        <w:gridCol w:w="1071"/>
        <w:gridCol w:w="1738"/>
        <w:gridCol w:w="1773"/>
        <w:gridCol w:w="1636"/>
        <w:gridCol w:w="1757"/>
      </w:tblGrid>
      <w:tr w14:paraId="0039BF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1979" w:type="dxa"/>
            <w:gridSpan w:val="2"/>
            <w:vMerge w:val="restart"/>
            <w:tcBorders>
              <w:left w:val="nil"/>
              <w:bottom w:val="nil"/>
              <w:right w:val="single" w:color="000000" w:sz="4" w:space="0"/>
            </w:tcBorders>
          </w:tcPr>
          <w:p w14:paraId="722C7389">
            <w:pPr>
              <w:spacing w:before="56" w:line="250" w:lineRule="auto"/>
              <w:ind w:left="1200" w:right="254" w:hanging="316"/>
              <w:rPr>
                <w:rFonts w:ascii="宋体" w:hAnsi="宋体" w:eastAsia="宋体" w:cs="宋体"/>
                <w:sz w:val="20"/>
                <w:szCs w:val="20"/>
              </w:rPr>
            </w:pPr>
            <w:r>
              <w:drawing>
                <wp:anchor distT="0" distB="0" distL="0" distR="0" simplePos="0" relativeHeight="251693056" behindDoc="1" locked="0" layoutInCell="1" allowOverlap="1">
                  <wp:simplePos x="0" y="0"/>
                  <wp:positionH relativeFrom="column">
                    <wp:posOffset>16510</wp:posOffset>
                  </wp:positionH>
                  <wp:positionV relativeFrom="paragraph">
                    <wp:posOffset>17145</wp:posOffset>
                  </wp:positionV>
                  <wp:extent cx="1159510" cy="581025"/>
                  <wp:effectExtent l="0" t="0" r="0" b="0"/>
                  <wp:wrapNone/>
                  <wp:docPr id="29" name="IM 29"/>
                  <wp:cNvGraphicFramePr/>
                  <a:graphic xmlns:a="http://schemas.openxmlformats.org/drawingml/2006/main">
                    <a:graphicData uri="http://schemas.openxmlformats.org/drawingml/2006/picture">
                      <pic:pic xmlns:pic="http://schemas.openxmlformats.org/drawingml/2006/picture">
                        <pic:nvPicPr>
                          <pic:cNvPr id="29" name="IM 29"/>
                          <pic:cNvPicPr/>
                        </pic:nvPicPr>
                        <pic:blipFill>
                          <a:blip r:embed="rId380"/>
                          <a:stretch>
                            <a:fillRect/>
                          </a:stretch>
                        </pic:blipFill>
                        <pic:spPr>
                          <a:xfrm>
                            <a:off x="0" y="0"/>
                            <a:ext cx="1159306" cy="581304"/>
                          </a:xfrm>
                          <a:prstGeom prst="rect">
                            <a:avLst/>
                          </a:prstGeom>
                        </pic:spPr>
                      </pic:pic>
                    </a:graphicData>
                  </a:graphic>
                </wp:anchor>
              </w:drawing>
            </w:r>
            <w:r>
              <w:rPr>
                <w:rFonts w:ascii="宋体" w:hAnsi="宋体" w:eastAsia="宋体" w:cs="宋体"/>
                <w:spacing w:val="9"/>
                <w:sz w:val="20"/>
                <w:szCs w:val="20"/>
                <w14:textOutline w14:w="3797" w14:cap="sq" w14:cmpd="sng" w14:algn="ctr">
                  <w14:solidFill>
                    <w14:srgbClr w14:val="000000"/>
                  </w14:solidFill>
                  <w14:prstDash w14:val="solid"/>
                  <w14:bevel/>
                </w14:textOutline>
              </w:rPr>
              <w:t>评价点</w:t>
            </w:r>
            <w:r>
              <w:rPr>
                <w:rFonts w:ascii="宋体" w:hAnsi="宋体" w:eastAsia="宋体" w:cs="宋体"/>
                <w:spacing w:val="8"/>
                <w:sz w:val="20"/>
                <w:szCs w:val="20"/>
                <w14:textOutline w14:w="3797" w14:cap="sq" w14:cmpd="sng" w14:algn="ctr">
                  <w14:solidFill>
                    <w14:srgbClr w14:val="000000"/>
                  </w14:solidFill>
                  <w14:prstDash w14:val="solid"/>
                  <w14:bevel/>
                </w14:textOutline>
              </w:rPr>
              <w:t>位</w:t>
            </w:r>
            <w:r>
              <w:rPr>
                <w:rFonts w:ascii="宋体" w:hAnsi="宋体" w:eastAsia="宋体" w:cs="宋体"/>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源强</w:t>
            </w:r>
          </w:p>
          <w:p w14:paraId="2E593E57">
            <w:pPr>
              <w:spacing w:line="228" w:lineRule="auto"/>
              <w:ind w:left="789"/>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项目</w:t>
            </w:r>
          </w:p>
        </w:tc>
        <w:tc>
          <w:tcPr>
            <w:tcW w:w="1738" w:type="dxa"/>
            <w:tcBorders>
              <w:left w:val="single" w:color="000000" w:sz="4" w:space="0"/>
              <w:right w:val="single" w:color="000000" w:sz="4" w:space="0"/>
            </w:tcBorders>
          </w:tcPr>
          <w:p w14:paraId="30B954EA">
            <w:pPr>
              <w:spacing w:before="83" w:line="255" w:lineRule="exact"/>
              <w:ind w:left="790"/>
              <w:rPr>
                <w:rFonts w:ascii="Times New Roman" w:hAnsi="Times New Roman" w:eastAsia="Times New Roman" w:cs="Times New Roman"/>
                <w:sz w:val="13"/>
                <w:szCs w:val="13"/>
              </w:rPr>
            </w:pPr>
            <w:r>
              <w:rPr>
                <w:rFonts w:ascii="Times New Roman" w:hAnsi="Times New Roman" w:eastAsia="Times New Roman" w:cs="Times New Roman"/>
                <w:b/>
                <w:bCs/>
                <w:spacing w:val="-3"/>
                <w:sz w:val="20"/>
                <w:szCs w:val="20"/>
              </w:rPr>
              <w:t>1</w:t>
            </w:r>
            <w:r>
              <w:rPr>
                <w:rFonts w:ascii="Times New Roman" w:hAnsi="Times New Roman" w:eastAsia="Times New Roman" w:cs="Times New Roman"/>
                <w:b/>
                <w:bCs/>
                <w:spacing w:val="-2"/>
                <w:position w:val="6"/>
                <w:sz w:val="13"/>
                <w:szCs w:val="13"/>
              </w:rPr>
              <w:t>#</w:t>
            </w:r>
          </w:p>
        </w:tc>
        <w:tc>
          <w:tcPr>
            <w:tcW w:w="1773" w:type="dxa"/>
            <w:tcBorders>
              <w:left w:val="single" w:color="000000" w:sz="4" w:space="0"/>
              <w:right w:val="single" w:color="000000" w:sz="4" w:space="0"/>
            </w:tcBorders>
          </w:tcPr>
          <w:p w14:paraId="50FB6F85">
            <w:pPr>
              <w:spacing w:before="83" w:line="255" w:lineRule="exact"/>
              <w:ind w:left="800"/>
              <w:rPr>
                <w:rFonts w:ascii="Times New Roman" w:hAnsi="Times New Roman" w:eastAsia="Times New Roman" w:cs="Times New Roman"/>
                <w:sz w:val="13"/>
                <w:szCs w:val="13"/>
              </w:rPr>
            </w:pPr>
            <w:r>
              <w:rPr>
                <w:rFonts w:ascii="Times New Roman" w:hAnsi="Times New Roman" w:eastAsia="Times New Roman" w:cs="Times New Roman"/>
                <w:b/>
                <w:bCs/>
                <w:spacing w:val="1"/>
                <w:sz w:val="20"/>
                <w:szCs w:val="20"/>
              </w:rPr>
              <w:t>2</w:t>
            </w:r>
            <w:r>
              <w:rPr>
                <w:rFonts w:ascii="Times New Roman" w:hAnsi="Times New Roman" w:eastAsia="Times New Roman" w:cs="Times New Roman"/>
                <w:b/>
                <w:bCs/>
                <w:position w:val="6"/>
                <w:sz w:val="13"/>
                <w:szCs w:val="13"/>
              </w:rPr>
              <w:t>#</w:t>
            </w:r>
          </w:p>
        </w:tc>
        <w:tc>
          <w:tcPr>
            <w:tcW w:w="1636" w:type="dxa"/>
            <w:tcBorders>
              <w:left w:val="single" w:color="000000" w:sz="4" w:space="0"/>
              <w:right w:val="single" w:color="000000" w:sz="4" w:space="0"/>
            </w:tcBorders>
          </w:tcPr>
          <w:p w14:paraId="58F22B57">
            <w:pPr>
              <w:spacing w:before="83" w:line="255" w:lineRule="exact"/>
              <w:ind w:left="729"/>
              <w:rPr>
                <w:rFonts w:ascii="Times New Roman" w:hAnsi="Times New Roman" w:eastAsia="Times New Roman" w:cs="Times New Roman"/>
                <w:sz w:val="13"/>
                <w:szCs w:val="13"/>
              </w:rPr>
            </w:pPr>
            <w:r>
              <w:rPr>
                <w:rFonts w:ascii="Times New Roman" w:hAnsi="Times New Roman" w:eastAsia="Times New Roman" w:cs="Times New Roman"/>
                <w:b/>
                <w:bCs/>
                <w:spacing w:val="2"/>
                <w:sz w:val="20"/>
                <w:szCs w:val="20"/>
              </w:rPr>
              <w:t>3</w:t>
            </w:r>
            <w:r>
              <w:rPr>
                <w:rFonts w:ascii="Times New Roman" w:hAnsi="Times New Roman" w:eastAsia="Times New Roman" w:cs="Times New Roman"/>
                <w:b/>
                <w:bCs/>
                <w:spacing w:val="1"/>
                <w:position w:val="6"/>
                <w:sz w:val="13"/>
                <w:szCs w:val="13"/>
              </w:rPr>
              <w:t>#</w:t>
            </w:r>
          </w:p>
        </w:tc>
        <w:tc>
          <w:tcPr>
            <w:tcW w:w="1757" w:type="dxa"/>
            <w:tcBorders>
              <w:left w:val="single" w:color="000000" w:sz="4" w:space="0"/>
              <w:right w:val="nil"/>
            </w:tcBorders>
          </w:tcPr>
          <w:p w14:paraId="5D758344">
            <w:pPr>
              <w:spacing w:before="83" w:line="255" w:lineRule="exact"/>
              <w:ind w:left="792"/>
              <w:rPr>
                <w:rFonts w:ascii="Times New Roman" w:hAnsi="Times New Roman" w:eastAsia="Times New Roman" w:cs="Times New Roman"/>
                <w:sz w:val="13"/>
                <w:szCs w:val="13"/>
              </w:rPr>
            </w:pPr>
            <w:r>
              <w:rPr>
                <w:rFonts w:ascii="Times New Roman" w:hAnsi="Times New Roman" w:eastAsia="Times New Roman" w:cs="Times New Roman"/>
                <w:b/>
                <w:bCs/>
                <w:spacing w:val="2"/>
                <w:sz w:val="20"/>
                <w:szCs w:val="20"/>
              </w:rPr>
              <w:t>4</w:t>
            </w:r>
            <w:r>
              <w:rPr>
                <w:rFonts w:ascii="Times New Roman" w:hAnsi="Times New Roman" w:eastAsia="Times New Roman" w:cs="Times New Roman"/>
                <w:b/>
                <w:bCs/>
                <w:spacing w:val="1"/>
                <w:position w:val="6"/>
                <w:sz w:val="13"/>
                <w:szCs w:val="13"/>
              </w:rPr>
              <w:t>#</w:t>
            </w:r>
          </w:p>
        </w:tc>
      </w:tr>
      <w:tr w14:paraId="524A7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1979" w:type="dxa"/>
            <w:gridSpan w:val="2"/>
            <w:vMerge w:val="continue"/>
            <w:tcBorders>
              <w:top w:val="nil"/>
              <w:left w:val="nil"/>
              <w:right w:val="single" w:color="000000" w:sz="4" w:space="0"/>
            </w:tcBorders>
          </w:tcPr>
          <w:p w14:paraId="427AAF2E"/>
        </w:tc>
        <w:tc>
          <w:tcPr>
            <w:tcW w:w="1738" w:type="dxa"/>
            <w:tcBorders>
              <w:left w:val="single" w:color="000000" w:sz="4" w:space="0"/>
              <w:right w:val="single" w:color="000000" w:sz="4" w:space="0"/>
            </w:tcBorders>
          </w:tcPr>
          <w:p w14:paraId="779F4A0E">
            <w:pPr>
              <w:spacing w:before="140" w:line="228" w:lineRule="auto"/>
              <w:ind w:left="453"/>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厂界东</w:t>
            </w:r>
            <w:r>
              <w:rPr>
                <w:rFonts w:ascii="宋体" w:hAnsi="宋体" w:eastAsia="宋体" w:cs="宋体"/>
                <w:spacing w:val="7"/>
                <w:sz w:val="20"/>
                <w:szCs w:val="20"/>
                <w14:textOutline w14:w="3797" w14:cap="sq" w14:cmpd="sng" w14:algn="ctr">
                  <w14:solidFill>
                    <w14:srgbClr w14:val="000000"/>
                  </w14:solidFill>
                  <w14:prstDash w14:val="solid"/>
                  <w14:bevel/>
                </w14:textOutline>
              </w:rPr>
              <w:t>面</w:t>
            </w:r>
          </w:p>
        </w:tc>
        <w:tc>
          <w:tcPr>
            <w:tcW w:w="1773" w:type="dxa"/>
            <w:tcBorders>
              <w:left w:val="single" w:color="000000" w:sz="4" w:space="0"/>
              <w:right w:val="single" w:color="000000" w:sz="4" w:space="0"/>
            </w:tcBorders>
          </w:tcPr>
          <w:p w14:paraId="34E8FB37">
            <w:pPr>
              <w:spacing w:before="141" w:line="228" w:lineRule="auto"/>
              <w:ind w:left="472"/>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厂界南</w:t>
            </w:r>
            <w:r>
              <w:rPr>
                <w:rFonts w:ascii="宋体" w:hAnsi="宋体" w:eastAsia="宋体" w:cs="宋体"/>
                <w:spacing w:val="7"/>
                <w:sz w:val="20"/>
                <w:szCs w:val="20"/>
                <w14:textOutline w14:w="3797" w14:cap="sq" w14:cmpd="sng" w14:algn="ctr">
                  <w14:solidFill>
                    <w14:srgbClr w14:val="000000"/>
                  </w14:solidFill>
                  <w14:prstDash w14:val="solid"/>
                  <w14:bevel/>
                </w14:textOutline>
              </w:rPr>
              <w:t>面</w:t>
            </w:r>
          </w:p>
        </w:tc>
        <w:tc>
          <w:tcPr>
            <w:tcW w:w="1636" w:type="dxa"/>
            <w:tcBorders>
              <w:left w:val="single" w:color="000000" w:sz="4" w:space="0"/>
              <w:right w:val="single" w:color="000000" w:sz="4" w:space="0"/>
            </w:tcBorders>
          </w:tcPr>
          <w:p w14:paraId="68FA37D5">
            <w:pPr>
              <w:spacing w:before="141" w:line="228" w:lineRule="auto"/>
              <w:ind w:left="403"/>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厂界西</w:t>
            </w:r>
            <w:r>
              <w:rPr>
                <w:rFonts w:ascii="宋体" w:hAnsi="宋体" w:eastAsia="宋体" w:cs="宋体"/>
                <w:spacing w:val="7"/>
                <w:sz w:val="20"/>
                <w:szCs w:val="20"/>
                <w14:textOutline w14:w="3797" w14:cap="sq" w14:cmpd="sng" w14:algn="ctr">
                  <w14:solidFill>
                    <w14:srgbClr w14:val="000000"/>
                  </w14:solidFill>
                  <w14:prstDash w14:val="solid"/>
                  <w14:bevel/>
                </w14:textOutline>
              </w:rPr>
              <w:t>面</w:t>
            </w:r>
          </w:p>
        </w:tc>
        <w:tc>
          <w:tcPr>
            <w:tcW w:w="1757" w:type="dxa"/>
            <w:tcBorders>
              <w:left w:val="single" w:color="000000" w:sz="4" w:space="0"/>
              <w:right w:val="nil"/>
            </w:tcBorders>
          </w:tcPr>
          <w:p w14:paraId="623CD1D3">
            <w:pPr>
              <w:spacing w:before="141" w:line="228" w:lineRule="auto"/>
              <w:ind w:left="464"/>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厂界北</w:t>
            </w:r>
            <w:r>
              <w:rPr>
                <w:rFonts w:ascii="宋体" w:hAnsi="宋体" w:eastAsia="宋体" w:cs="宋体"/>
                <w:spacing w:val="7"/>
                <w:sz w:val="20"/>
                <w:szCs w:val="20"/>
                <w14:textOutline w14:w="3797" w14:cap="sq" w14:cmpd="sng" w14:algn="ctr">
                  <w14:solidFill>
                    <w14:srgbClr w14:val="000000"/>
                  </w14:solidFill>
                  <w14:prstDash w14:val="solid"/>
                  <w14:bevel/>
                </w14:textOutline>
              </w:rPr>
              <w:t>面</w:t>
            </w:r>
          </w:p>
        </w:tc>
      </w:tr>
      <w:tr w14:paraId="23A0F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979" w:type="dxa"/>
            <w:gridSpan w:val="2"/>
            <w:tcBorders>
              <w:left w:val="nil"/>
              <w:right w:val="single" w:color="000000" w:sz="4" w:space="0"/>
            </w:tcBorders>
          </w:tcPr>
          <w:p w14:paraId="0DDC0527">
            <w:pPr>
              <w:spacing w:before="97" w:line="228" w:lineRule="auto"/>
              <w:ind w:left="167"/>
              <w:rPr>
                <w:rFonts w:ascii="宋体" w:hAnsi="宋体" w:eastAsia="宋体" w:cs="宋体"/>
                <w:sz w:val="20"/>
                <w:szCs w:val="20"/>
              </w:rPr>
            </w:pPr>
            <w:r>
              <w:rPr>
                <w:rFonts w:ascii="宋体" w:hAnsi="宋体" w:eastAsia="宋体" w:cs="宋体"/>
                <w:spacing w:val="10"/>
                <w:sz w:val="20"/>
                <w:szCs w:val="20"/>
              </w:rPr>
              <w:t>噪</w:t>
            </w:r>
            <w:r>
              <w:rPr>
                <w:rFonts w:ascii="宋体" w:hAnsi="宋体" w:eastAsia="宋体" w:cs="宋体"/>
                <w:spacing w:val="7"/>
                <w:sz w:val="20"/>
                <w:szCs w:val="20"/>
              </w:rPr>
              <w:t>声源距厂界距离</w:t>
            </w:r>
          </w:p>
        </w:tc>
        <w:tc>
          <w:tcPr>
            <w:tcW w:w="1738" w:type="dxa"/>
            <w:tcBorders>
              <w:left w:val="single" w:color="000000" w:sz="4" w:space="0"/>
              <w:right w:val="single" w:color="000000" w:sz="4" w:space="0"/>
            </w:tcBorders>
          </w:tcPr>
          <w:p w14:paraId="4CBE5C58">
            <w:pPr>
              <w:spacing w:before="133" w:line="195" w:lineRule="auto"/>
              <w:ind w:left="784"/>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7"/>
                <w:sz w:val="20"/>
                <w:szCs w:val="20"/>
              </w:rPr>
              <w:t>8</w:t>
            </w:r>
          </w:p>
        </w:tc>
        <w:tc>
          <w:tcPr>
            <w:tcW w:w="1773" w:type="dxa"/>
            <w:tcBorders>
              <w:left w:val="single" w:color="000000" w:sz="4" w:space="0"/>
              <w:right w:val="single" w:color="000000" w:sz="4" w:space="0"/>
            </w:tcBorders>
          </w:tcPr>
          <w:p w14:paraId="3DE97822">
            <w:pPr>
              <w:spacing w:before="133" w:line="195" w:lineRule="auto"/>
              <w:ind w:left="837"/>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1636" w:type="dxa"/>
            <w:tcBorders>
              <w:left w:val="single" w:color="000000" w:sz="4" w:space="0"/>
              <w:right w:val="single" w:color="000000" w:sz="4" w:space="0"/>
            </w:tcBorders>
          </w:tcPr>
          <w:p w14:paraId="40B273DD">
            <w:pPr>
              <w:spacing w:before="133" w:line="195" w:lineRule="auto"/>
              <w:ind w:left="73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7"/>
                <w:sz w:val="20"/>
                <w:szCs w:val="20"/>
              </w:rPr>
              <w:t>2</w:t>
            </w:r>
          </w:p>
        </w:tc>
        <w:tc>
          <w:tcPr>
            <w:tcW w:w="1757" w:type="dxa"/>
            <w:tcBorders>
              <w:left w:val="single" w:color="000000" w:sz="4" w:space="0"/>
              <w:right w:val="nil"/>
            </w:tcBorders>
          </w:tcPr>
          <w:p w14:paraId="1913B204">
            <w:pPr>
              <w:spacing w:before="136" w:line="192" w:lineRule="auto"/>
              <w:ind w:left="77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75</w:t>
            </w:r>
          </w:p>
        </w:tc>
      </w:tr>
      <w:tr w14:paraId="641ED5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979" w:type="dxa"/>
            <w:gridSpan w:val="2"/>
            <w:tcBorders>
              <w:left w:val="nil"/>
              <w:right w:val="single" w:color="000000" w:sz="4" w:space="0"/>
            </w:tcBorders>
          </w:tcPr>
          <w:p w14:paraId="712DDA21">
            <w:pPr>
              <w:spacing w:before="98" w:line="228" w:lineRule="auto"/>
              <w:ind w:left="683"/>
              <w:rPr>
                <w:rFonts w:ascii="宋体" w:hAnsi="宋体" w:eastAsia="宋体" w:cs="宋体"/>
                <w:sz w:val="20"/>
                <w:szCs w:val="20"/>
              </w:rPr>
            </w:pPr>
            <w:r>
              <w:rPr>
                <w:rFonts w:ascii="宋体" w:hAnsi="宋体" w:eastAsia="宋体" w:cs="宋体"/>
                <w:spacing w:val="6"/>
                <w:sz w:val="20"/>
                <w:szCs w:val="20"/>
              </w:rPr>
              <w:t>贡献值</w:t>
            </w:r>
          </w:p>
        </w:tc>
        <w:tc>
          <w:tcPr>
            <w:tcW w:w="1738" w:type="dxa"/>
            <w:tcBorders>
              <w:left w:val="single" w:color="000000" w:sz="4" w:space="0"/>
              <w:right w:val="single" w:color="000000" w:sz="4" w:space="0"/>
            </w:tcBorders>
          </w:tcPr>
          <w:p w14:paraId="071623BF">
            <w:pPr>
              <w:spacing w:before="135" w:line="195" w:lineRule="auto"/>
              <w:ind w:left="684"/>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4</w:t>
            </w:r>
            <w:r>
              <w:rPr>
                <w:rFonts w:ascii="Times New Roman" w:hAnsi="Times New Roman" w:eastAsia="Times New Roman" w:cs="Times New Roman"/>
                <w:spacing w:val="3"/>
                <w:sz w:val="20"/>
                <w:szCs w:val="20"/>
              </w:rPr>
              <w:t>8.2</w:t>
            </w:r>
          </w:p>
        </w:tc>
        <w:tc>
          <w:tcPr>
            <w:tcW w:w="1773" w:type="dxa"/>
            <w:tcBorders>
              <w:left w:val="single" w:color="000000" w:sz="4" w:space="0"/>
              <w:right w:val="single" w:color="000000" w:sz="4" w:space="0"/>
            </w:tcBorders>
          </w:tcPr>
          <w:p w14:paraId="7765FE52">
            <w:pPr>
              <w:spacing w:before="135" w:line="195" w:lineRule="auto"/>
              <w:ind w:left="70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4</w:t>
            </w:r>
            <w:r>
              <w:rPr>
                <w:rFonts w:ascii="Times New Roman" w:hAnsi="Times New Roman" w:eastAsia="Times New Roman" w:cs="Times New Roman"/>
                <w:spacing w:val="3"/>
                <w:sz w:val="20"/>
                <w:szCs w:val="20"/>
              </w:rPr>
              <w:t>9.4</w:t>
            </w:r>
          </w:p>
        </w:tc>
        <w:tc>
          <w:tcPr>
            <w:tcW w:w="1636" w:type="dxa"/>
            <w:tcBorders>
              <w:left w:val="single" w:color="000000" w:sz="4" w:space="0"/>
              <w:right w:val="single" w:color="000000" w:sz="4" w:space="0"/>
            </w:tcBorders>
          </w:tcPr>
          <w:p w14:paraId="1EDA88E0">
            <w:pPr>
              <w:spacing w:before="135" w:line="195" w:lineRule="auto"/>
              <w:ind w:left="631"/>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48.</w:t>
            </w:r>
            <w:r>
              <w:rPr>
                <w:rFonts w:ascii="Times New Roman" w:hAnsi="Times New Roman" w:eastAsia="Times New Roman" w:cs="Times New Roman"/>
                <w:spacing w:val="5"/>
                <w:sz w:val="20"/>
                <w:szCs w:val="20"/>
              </w:rPr>
              <w:t>8</w:t>
            </w:r>
          </w:p>
        </w:tc>
        <w:tc>
          <w:tcPr>
            <w:tcW w:w="1757" w:type="dxa"/>
            <w:tcBorders>
              <w:left w:val="single" w:color="000000" w:sz="4" w:space="0"/>
              <w:right w:val="nil"/>
            </w:tcBorders>
          </w:tcPr>
          <w:p w14:paraId="40C1C13B">
            <w:pPr>
              <w:spacing w:before="135" w:line="195" w:lineRule="auto"/>
              <w:ind w:left="6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45.24</w:t>
            </w:r>
          </w:p>
        </w:tc>
      </w:tr>
      <w:tr w14:paraId="4E6C29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908" w:type="dxa"/>
            <w:tcBorders>
              <w:left w:val="nil"/>
              <w:right w:val="single" w:color="000000" w:sz="4" w:space="0"/>
            </w:tcBorders>
          </w:tcPr>
          <w:p w14:paraId="0DF8B84D">
            <w:pPr>
              <w:spacing w:before="172" w:line="228" w:lineRule="auto"/>
              <w:ind w:left="148"/>
              <w:rPr>
                <w:rFonts w:ascii="宋体" w:hAnsi="宋体" w:eastAsia="宋体" w:cs="宋体"/>
                <w:sz w:val="20"/>
                <w:szCs w:val="20"/>
              </w:rPr>
            </w:pPr>
            <w:r>
              <w:rPr>
                <w:rFonts w:ascii="宋体" w:hAnsi="宋体" w:eastAsia="宋体" w:cs="宋体"/>
                <w:spacing w:val="7"/>
                <w:sz w:val="20"/>
                <w:szCs w:val="20"/>
              </w:rPr>
              <w:t>标</w:t>
            </w:r>
            <w:r>
              <w:rPr>
                <w:rFonts w:ascii="宋体" w:hAnsi="宋体" w:eastAsia="宋体" w:cs="宋体"/>
                <w:spacing w:val="6"/>
                <w:sz w:val="20"/>
                <w:szCs w:val="20"/>
              </w:rPr>
              <w:t>准值</w:t>
            </w:r>
          </w:p>
        </w:tc>
        <w:tc>
          <w:tcPr>
            <w:tcW w:w="1071" w:type="dxa"/>
            <w:tcBorders>
              <w:left w:val="single" w:color="000000" w:sz="4" w:space="0"/>
              <w:right w:val="single" w:color="000000" w:sz="4" w:space="0"/>
            </w:tcBorders>
          </w:tcPr>
          <w:p w14:paraId="19C32303">
            <w:pPr>
              <w:spacing w:before="135" w:line="281" w:lineRule="exact"/>
              <w:ind w:left="297"/>
              <w:rPr>
                <w:rFonts w:ascii="宋体" w:hAnsi="宋体" w:eastAsia="宋体" w:cs="宋体"/>
                <w:sz w:val="20"/>
                <w:szCs w:val="20"/>
              </w:rPr>
            </w:pPr>
            <w:r>
              <w:rPr>
                <w:rFonts w:ascii="宋体" w:hAnsi="宋体" w:eastAsia="宋体" w:cs="宋体"/>
                <w:spacing w:val="5"/>
                <w:position w:val="1"/>
                <w:sz w:val="20"/>
                <w:szCs w:val="20"/>
              </w:rPr>
              <w:t>昼</w:t>
            </w:r>
            <w:r>
              <w:rPr>
                <w:rFonts w:ascii="Times New Roman" w:hAnsi="Times New Roman" w:eastAsia="Times New Roman" w:cs="Times New Roman"/>
                <w:spacing w:val="5"/>
                <w:position w:val="1"/>
                <w:sz w:val="20"/>
                <w:szCs w:val="20"/>
              </w:rPr>
              <w:t>\</w:t>
            </w:r>
            <w:r>
              <w:rPr>
                <w:rFonts w:ascii="宋体" w:hAnsi="宋体" w:eastAsia="宋体" w:cs="宋体"/>
                <w:spacing w:val="4"/>
                <w:position w:val="1"/>
                <w:sz w:val="20"/>
                <w:szCs w:val="20"/>
              </w:rPr>
              <w:t>夜</w:t>
            </w:r>
          </w:p>
        </w:tc>
        <w:tc>
          <w:tcPr>
            <w:tcW w:w="6904" w:type="dxa"/>
            <w:gridSpan w:val="4"/>
            <w:tcBorders>
              <w:left w:val="single" w:color="000000" w:sz="4" w:space="0"/>
              <w:right w:val="nil"/>
            </w:tcBorders>
          </w:tcPr>
          <w:p w14:paraId="6E22F70A">
            <w:pPr>
              <w:spacing w:before="37" w:line="245" w:lineRule="auto"/>
              <w:ind w:left="2105" w:right="148" w:hanging="1949"/>
              <w:rPr>
                <w:rFonts w:ascii="Times New Roman" w:hAnsi="Times New Roman" w:eastAsia="Times New Roman" w:cs="Times New Roman"/>
                <w:sz w:val="20"/>
                <w:szCs w:val="20"/>
              </w:rPr>
            </w:pPr>
            <w:r>
              <w:rPr>
                <w:rFonts w:ascii="宋体" w:hAnsi="宋体" w:eastAsia="宋体" w:cs="宋体"/>
                <w:spacing w:val="5"/>
                <w:sz w:val="20"/>
                <w:szCs w:val="20"/>
              </w:rPr>
              <w:t>《工业企业厂界环境噪声排放标准》  (</w:t>
            </w:r>
            <w:r>
              <w:rPr>
                <w:rFonts w:ascii="Times New Roman" w:hAnsi="Times New Roman" w:eastAsia="Times New Roman" w:cs="Times New Roman"/>
                <w:sz w:val="20"/>
                <w:szCs w:val="20"/>
              </w:rPr>
              <w:t>GB</w:t>
            </w:r>
            <w:r>
              <w:rPr>
                <w:rFonts w:ascii="Times New Roman" w:hAnsi="Times New Roman" w:eastAsia="Times New Roman" w:cs="Times New Roman"/>
                <w:spacing w:val="5"/>
                <w:sz w:val="20"/>
                <w:szCs w:val="20"/>
              </w:rPr>
              <w:t>12348-2008</w:t>
            </w:r>
            <w:r>
              <w:rPr>
                <w:rFonts w:ascii="宋体" w:hAnsi="宋体" w:eastAsia="宋体" w:cs="宋体"/>
                <w:spacing w:val="5"/>
                <w:sz w:val="20"/>
                <w:szCs w:val="20"/>
              </w:rPr>
              <w:t xml:space="preserve">) 中 </w:t>
            </w:r>
            <w:r>
              <w:rPr>
                <w:rFonts w:ascii="Times New Roman" w:hAnsi="Times New Roman" w:eastAsia="Times New Roman" w:cs="Times New Roman"/>
                <w:spacing w:val="5"/>
                <w:sz w:val="20"/>
                <w:szCs w:val="20"/>
              </w:rPr>
              <w:t xml:space="preserve">2 </w:t>
            </w:r>
            <w:r>
              <w:rPr>
                <w:rFonts w:ascii="宋体" w:hAnsi="宋体" w:eastAsia="宋体" w:cs="宋体"/>
                <w:spacing w:val="5"/>
                <w:sz w:val="20"/>
                <w:szCs w:val="20"/>
              </w:rPr>
              <w:t>类标准，</w:t>
            </w:r>
            <w:r>
              <w:rPr>
                <w:rFonts w:ascii="宋体" w:hAnsi="宋体" w:eastAsia="宋体" w:cs="宋体"/>
                <w:spacing w:val="4"/>
                <w:sz w:val="20"/>
                <w:szCs w:val="20"/>
              </w:rPr>
              <w:t>即</w:t>
            </w:r>
            <w:r>
              <w:rPr>
                <w:rFonts w:ascii="宋体" w:hAnsi="宋体" w:eastAsia="宋体" w:cs="宋体"/>
                <w:sz w:val="20"/>
                <w:szCs w:val="20"/>
              </w:rPr>
              <w:t xml:space="preserve"> </w:t>
            </w:r>
            <w:r>
              <w:rPr>
                <w:rFonts w:ascii="宋体" w:hAnsi="宋体" w:eastAsia="宋体" w:cs="宋体"/>
                <w:spacing w:val="2"/>
                <w:sz w:val="20"/>
                <w:szCs w:val="20"/>
              </w:rPr>
              <w:t xml:space="preserve">昼间 </w:t>
            </w:r>
            <w:r>
              <w:rPr>
                <w:rFonts w:ascii="Times New Roman" w:hAnsi="Times New Roman" w:eastAsia="Times New Roman" w:cs="Times New Roman"/>
                <w:spacing w:val="2"/>
                <w:sz w:val="20"/>
                <w:szCs w:val="20"/>
              </w:rPr>
              <w:t>6</w:t>
            </w:r>
            <w:r>
              <w:rPr>
                <w:rFonts w:ascii="Times New Roman" w:hAnsi="Times New Roman" w:eastAsia="Times New Roman" w:cs="Times New Roman"/>
                <w:spacing w:val="1"/>
                <w:sz w:val="20"/>
                <w:szCs w:val="20"/>
              </w:rPr>
              <w:t>0</w:t>
            </w:r>
            <w:r>
              <w:rPr>
                <w:rFonts w:ascii="Times New Roman" w:hAnsi="Times New Roman" w:eastAsia="Times New Roman" w:cs="Times New Roman"/>
                <w:sz w:val="20"/>
                <w:szCs w:val="20"/>
              </w:rPr>
              <w:t>dB</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A</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rPr>
              <w:t xml:space="preserve">，夜间 </w:t>
            </w:r>
            <w:r>
              <w:rPr>
                <w:rFonts w:ascii="Times New Roman" w:hAnsi="Times New Roman" w:eastAsia="Times New Roman" w:cs="Times New Roman"/>
                <w:spacing w:val="1"/>
                <w:sz w:val="20"/>
                <w:szCs w:val="20"/>
              </w:rPr>
              <w:t>50</w:t>
            </w:r>
            <w:r>
              <w:rPr>
                <w:rFonts w:ascii="Times New Roman" w:hAnsi="Times New Roman" w:eastAsia="Times New Roman" w:cs="Times New Roman"/>
                <w:sz w:val="20"/>
                <w:szCs w:val="20"/>
              </w:rPr>
              <w:t>dB</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A</w:t>
            </w:r>
            <w:r>
              <w:rPr>
                <w:rFonts w:ascii="Times New Roman" w:hAnsi="Times New Roman" w:eastAsia="Times New Roman" w:cs="Times New Roman"/>
                <w:spacing w:val="1"/>
                <w:sz w:val="20"/>
                <w:szCs w:val="20"/>
              </w:rPr>
              <w:t>)</w:t>
            </w:r>
          </w:p>
        </w:tc>
      </w:tr>
    </w:tbl>
    <w:p w14:paraId="267C33B3"/>
    <w:p w14:paraId="05D81C1E">
      <w:pPr>
        <w:sectPr>
          <w:footerReference r:id="rId206" w:type="default"/>
          <w:pgSz w:w="11907" w:h="16840"/>
          <w:pgMar w:top="400" w:right="642" w:bottom="1485" w:left="1551" w:header="0" w:footer="1298" w:gutter="0"/>
          <w:cols w:space="720" w:num="1"/>
        </w:sectPr>
      </w:pPr>
    </w:p>
    <w:p w14:paraId="4EBB6651"/>
    <w:p w14:paraId="06510CD8">
      <w:pPr>
        <w:spacing w:before="74" w:line="375" w:lineRule="auto"/>
        <w:ind w:left="332" w:right="319" w:firstLine="481"/>
        <w:rPr>
          <w:rFonts w:ascii="宋体" w:hAnsi="宋体" w:eastAsia="宋体" w:cs="宋体"/>
          <w:sz w:val="23"/>
          <w:szCs w:val="23"/>
        </w:rPr>
      </w:pPr>
      <w:r>
        <w:rPr>
          <w:rFonts w:ascii="宋体" w:hAnsi="宋体" w:eastAsia="宋体" w:cs="宋体"/>
          <w:spacing w:val="20"/>
          <w:sz w:val="23"/>
          <w:szCs w:val="23"/>
        </w:rPr>
        <w:t>从</w:t>
      </w:r>
      <w:r>
        <w:rPr>
          <w:rFonts w:ascii="宋体" w:hAnsi="宋体" w:eastAsia="宋体" w:cs="宋体"/>
          <w:spacing w:val="14"/>
          <w:sz w:val="23"/>
          <w:szCs w:val="23"/>
        </w:rPr>
        <w:t>上</w:t>
      </w:r>
      <w:r>
        <w:rPr>
          <w:rFonts w:ascii="宋体" w:hAnsi="宋体" w:eastAsia="宋体" w:cs="宋体"/>
          <w:spacing w:val="10"/>
          <w:sz w:val="23"/>
          <w:szCs w:val="23"/>
        </w:rPr>
        <w:t>表可见，在对各产噪设备实施减震、墙隔声等治理措施，并加强猪只的饲</w:t>
      </w:r>
      <w:r>
        <w:rPr>
          <w:rFonts w:ascii="宋体" w:hAnsi="宋体" w:eastAsia="宋体" w:cs="宋体"/>
          <w:sz w:val="23"/>
          <w:szCs w:val="23"/>
        </w:rPr>
        <w:t xml:space="preserve"> </w:t>
      </w:r>
      <w:r>
        <w:rPr>
          <w:rFonts w:ascii="宋体" w:hAnsi="宋体" w:eastAsia="宋体" w:cs="宋体"/>
          <w:spacing w:val="2"/>
          <w:sz w:val="23"/>
          <w:szCs w:val="23"/>
        </w:rPr>
        <w:t>养管理后，各场界噪声预测值均能满足</w:t>
      </w:r>
      <w:r>
        <w:rPr>
          <w:rFonts w:ascii="宋体" w:hAnsi="宋体" w:eastAsia="宋体" w:cs="宋体"/>
          <w:spacing w:val="1"/>
          <w:sz w:val="23"/>
          <w:szCs w:val="23"/>
        </w:rPr>
        <w:t>《工业企业厂界环境噪声排放标准》(</w:t>
      </w:r>
      <w:r>
        <w:rPr>
          <w:rFonts w:ascii="Times New Roman" w:hAnsi="Times New Roman" w:eastAsia="Times New Roman" w:cs="Times New Roman"/>
          <w:sz w:val="23"/>
          <w:szCs w:val="23"/>
        </w:rPr>
        <w:t>GB</w:t>
      </w:r>
      <w:r>
        <w:rPr>
          <w:rFonts w:ascii="Times New Roman" w:hAnsi="Times New Roman" w:eastAsia="Times New Roman" w:cs="Times New Roman"/>
          <w:spacing w:val="1"/>
          <w:sz w:val="23"/>
          <w:szCs w:val="23"/>
        </w:rPr>
        <w:t>12348</w:t>
      </w:r>
      <w:r>
        <w:rPr>
          <w:rFonts w:ascii="Times New Roman" w:hAnsi="Times New Roman" w:eastAsia="Times New Roman" w:cs="Times New Roman"/>
          <w:sz w:val="23"/>
          <w:szCs w:val="23"/>
        </w:rPr>
        <w:t xml:space="preserve"> </w:t>
      </w:r>
      <w:r>
        <w:rPr>
          <w:rFonts w:ascii="宋体" w:hAnsi="宋体" w:eastAsia="宋体" w:cs="宋体"/>
          <w:spacing w:val="4"/>
          <w:sz w:val="23"/>
          <w:szCs w:val="23"/>
        </w:rPr>
        <w:t>－</w:t>
      </w:r>
      <w:r>
        <w:rPr>
          <w:rFonts w:ascii="Times New Roman" w:hAnsi="Times New Roman" w:eastAsia="Times New Roman" w:cs="Times New Roman"/>
          <w:spacing w:val="4"/>
          <w:sz w:val="23"/>
          <w:szCs w:val="23"/>
        </w:rPr>
        <w:t>2008</w:t>
      </w:r>
      <w:r>
        <w:rPr>
          <w:rFonts w:ascii="宋体" w:hAnsi="宋体" w:eastAsia="宋体" w:cs="宋体"/>
          <w:spacing w:val="4"/>
          <w:sz w:val="23"/>
          <w:szCs w:val="23"/>
        </w:rPr>
        <w:t xml:space="preserve">) 中 </w:t>
      </w:r>
      <w:r>
        <w:rPr>
          <w:rFonts w:ascii="Times New Roman" w:hAnsi="Times New Roman" w:eastAsia="Times New Roman" w:cs="Times New Roman"/>
          <w:spacing w:val="4"/>
          <w:sz w:val="23"/>
          <w:szCs w:val="23"/>
        </w:rPr>
        <w:t xml:space="preserve">2 </w:t>
      </w:r>
      <w:r>
        <w:rPr>
          <w:rFonts w:ascii="宋体" w:hAnsi="宋体" w:eastAsia="宋体" w:cs="宋体"/>
          <w:spacing w:val="4"/>
          <w:sz w:val="23"/>
          <w:szCs w:val="23"/>
        </w:rPr>
        <w:t>类标准限值要求 (昼间</w:t>
      </w:r>
      <w:r>
        <w:rPr>
          <w:rFonts w:ascii="Times New Roman" w:hAnsi="Times New Roman" w:eastAsia="Times New Roman" w:cs="Times New Roman"/>
          <w:spacing w:val="4"/>
          <w:sz w:val="23"/>
          <w:szCs w:val="23"/>
        </w:rPr>
        <w:t>≤60</w:t>
      </w:r>
      <w:r>
        <w:rPr>
          <w:rFonts w:ascii="Times New Roman" w:hAnsi="Times New Roman" w:eastAsia="Times New Roman" w:cs="Times New Roman"/>
          <w:sz w:val="23"/>
          <w:szCs w:val="23"/>
        </w:rPr>
        <w:t>dB</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，夜间</w:t>
      </w:r>
      <w:r>
        <w:rPr>
          <w:rFonts w:ascii="Times New Roman" w:hAnsi="Times New Roman" w:eastAsia="Times New Roman" w:cs="Times New Roman"/>
          <w:spacing w:val="4"/>
          <w:sz w:val="23"/>
          <w:szCs w:val="23"/>
        </w:rPr>
        <w:t>≤50</w:t>
      </w:r>
      <w:r>
        <w:rPr>
          <w:rFonts w:ascii="Times New Roman" w:hAnsi="Times New Roman" w:eastAsia="Times New Roman" w:cs="Times New Roman"/>
          <w:sz w:val="23"/>
          <w:szCs w:val="23"/>
        </w:rPr>
        <w:t>dB</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4"/>
          <w:sz w:val="23"/>
          <w:szCs w:val="23"/>
        </w:rPr>
        <w:t>)</w:t>
      </w:r>
      <w:r>
        <w:rPr>
          <w:rFonts w:ascii="宋体" w:hAnsi="宋体" w:eastAsia="宋体" w:cs="宋体"/>
          <w:spacing w:val="4"/>
          <w:sz w:val="23"/>
          <w:szCs w:val="23"/>
        </w:rPr>
        <w:t>) 。</w:t>
      </w:r>
    </w:p>
    <w:p w14:paraId="6E665EA8">
      <w:pPr>
        <w:spacing w:before="1" w:line="225" w:lineRule="auto"/>
        <w:ind w:left="809"/>
        <w:outlineLvl w:val="2"/>
        <w:rPr>
          <w:rFonts w:ascii="宋体" w:hAnsi="宋体" w:eastAsia="宋体" w:cs="宋体"/>
          <w:sz w:val="23"/>
          <w:szCs w:val="23"/>
        </w:rPr>
      </w:pPr>
      <w:r>
        <w:rPr>
          <w:rFonts w:ascii="Times New Roman" w:hAnsi="Times New Roman" w:eastAsia="Times New Roman" w:cs="Times New Roman"/>
          <w:b/>
          <w:bCs/>
          <w:spacing w:val="10"/>
          <w:sz w:val="23"/>
          <w:szCs w:val="23"/>
        </w:rPr>
        <w:t>5</w:t>
      </w:r>
      <w:r>
        <w:rPr>
          <w:rFonts w:ascii="Times New Roman" w:hAnsi="Times New Roman" w:eastAsia="Times New Roman" w:cs="Times New Roman"/>
          <w:b/>
          <w:bCs/>
          <w:spacing w:val="7"/>
          <w:sz w:val="23"/>
          <w:szCs w:val="23"/>
        </w:rPr>
        <w:t>.2.4</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固废环境影响评价</w:t>
      </w:r>
    </w:p>
    <w:p w14:paraId="684A48F7">
      <w:pPr>
        <w:spacing w:before="186" w:line="303" w:lineRule="exact"/>
        <w:ind w:left="817"/>
        <w:rPr>
          <w:rFonts w:ascii="宋体" w:hAnsi="宋体" w:eastAsia="宋体" w:cs="宋体"/>
          <w:sz w:val="23"/>
          <w:szCs w:val="23"/>
        </w:rPr>
      </w:pPr>
      <w:r>
        <w:rPr>
          <w:rFonts w:ascii="Times New Roman" w:hAnsi="Times New Roman" w:eastAsia="Times New Roman" w:cs="Times New Roman"/>
          <w:b/>
          <w:bCs/>
          <w:spacing w:val="5"/>
          <w:position w:val="1"/>
          <w:sz w:val="23"/>
          <w:szCs w:val="23"/>
        </w:rPr>
        <w:t>1</w:t>
      </w:r>
      <w:r>
        <w:rPr>
          <w:rFonts w:ascii="Times New Roman" w:hAnsi="Times New Roman" w:eastAsia="Times New Roman" w:cs="Times New Roman"/>
          <w:spacing w:val="5"/>
          <w:position w:val="1"/>
          <w:sz w:val="23"/>
          <w:szCs w:val="23"/>
        </w:rPr>
        <w:t xml:space="preserve"> </w:t>
      </w:r>
      <w:r>
        <w:rPr>
          <w:rFonts w:ascii="宋体" w:hAnsi="宋体" w:eastAsia="宋体" w:cs="宋体"/>
          <w:spacing w:val="5"/>
          <w:position w:val="1"/>
          <w:sz w:val="23"/>
          <w:szCs w:val="23"/>
          <w14:textOutline w14:w="4356" w14:cap="sq" w14:cmpd="sng" w14:algn="ctr">
            <w14:solidFill>
              <w14:srgbClr w14:val="000000"/>
            </w14:solidFill>
            <w14:prstDash w14:val="solid"/>
            <w14:bevel/>
          </w14:textOutline>
        </w:rPr>
        <w:t>、固体废物产生量及处置方</w:t>
      </w:r>
      <w:r>
        <w:rPr>
          <w:rFonts w:ascii="宋体" w:hAnsi="宋体" w:eastAsia="宋体" w:cs="宋体"/>
          <w:spacing w:val="3"/>
          <w:position w:val="1"/>
          <w:sz w:val="23"/>
          <w:szCs w:val="23"/>
          <w14:textOutline w14:w="4356" w14:cap="sq" w14:cmpd="sng" w14:algn="ctr">
            <w14:solidFill>
              <w14:srgbClr w14:val="000000"/>
            </w14:solidFill>
            <w14:prstDash w14:val="solid"/>
            <w14:bevel/>
          </w14:textOutline>
        </w:rPr>
        <w:t>式</w:t>
      </w:r>
    </w:p>
    <w:p w14:paraId="04DE2857">
      <w:pPr>
        <w:spacing w:before="162" w:line="384" w:lineRule="auto"/>
        <w:ind w:left="335" w:right="319" w:firstLine="479"/>
        <w:rPr>
          <w:rFonts w:ascii="宋体" w:hAnsi="宋体" w:eastAsia="宋体" w:cs="宋体"/>
          <w:sz w:val="23"/>
          <w:szCs w:val="23"/>
        </w:rPr>
      </w:pPr>
      <w:r>
        <w:rPr>
          <w:rFonts w:ascii="宋体" w:hAnsi="宋体" w:eastAsia="宋体" w:cs="宋体"/>
          <w:spacing w:val="20"/>
          <w:sz w:val="23"/>
          <w:szCs w:val="23"/>
        </w:rPr>
        <w:t>项</w:t>
      </w:r>
      <w:r>
        <w:rPr>
          <w:rFonts w:ascii="宋体" w:hAnsi="宋体" w:eastAsia="宋体" w:cs="宋体"/>
          <w:spacing w:val="13"/>
          <w:sz w:val="23"/>
          <w:szCs w:val="23"/>
        </w:rPr>
        <w:t>目</w:t>
      </w:r>
      <w:r>
        <w:rPr>
          <w:rFonts w:ascii="宋体" w:hAnsi="宋体" w:eastAsia="宋体" w:cs="宋体"/>
          <w:spacing w:val="10"/>
          <w:sz w:val="23"/>
          <w:szCs w:val="23"/>
        </w:rPr>
        <w:t>在营运期产生的固体废物主要是生猪产生的粪便、病死猪、废垫料及员工</w:t>
      </w:r>
      <w:r>
        <w:rPr>
          <w:rFonts w:ascii="宋体" w:hAnsi="宋体" w:eastAsia="宋体" w:cs="宋体"/>
          <w:sz w:val="23"/>
          <w:szCs w:val="23"/>
        </w:rPr>
        <w:t xml:space="preserve"> </w:t>
      </w:r>
      <w:r>
        <w:rPr>
          <w:rFonts w:ascii="宋体" w:hAnsi="宋体" w:eastAsia="宋体" w:cs="宋体"/>
          <w:spacing w:val="5"/>
          <w:sz w:val="23"/>
          <w:szCs w:val="23"/>
        </w:rPr>
        <w:t xml:space="preserve">办公生活垃圾、医疗废物等。各种固废污染物产生量及处置方法见表 </w:t>
      </w:r>
      <w:r>
        <w:rPr>
          <w:rFonts w:ascii="Times New Roman" w:hAnsi="Times New Roman" w:eastAsia="Times New Roman" w:cs="Times New Roman"/>
          <w:spacing w:val="5"/>
          <w:sz w:val="23"/>
          <w:szCs w:val="23"/>
        </w:rPr>
        <w:t>5.2- 1</w:t>
      </w:r>
      <w:r>
        <w:rPr>
          <w:rFonts w:ascii="Times New Roman" w:hAnsi="Times New Roman" w:eastAsia="Times New Roman" w:cs="Times New Roman"/>
          <w:spacing w:val="3"/>
          <w:sz w:val="23"/>
          <w:szCs w:val="23"/>
        </w:rPr>
        <w:t>1</w:t>
      </w:r>
      <w:r>
        <w:rPr>
          <w:rFonts w:ascii="宋体" w:hAnsi="宋体" w:eastAsia="宋体" w:cs="宋体"/>
          <w:sz w:val="23"/>
          <w:szCs w:val="23"/>
        </w:rPr>
        <w:t>。</w:t>
      </w:r>
    </w:p>
    <w:p w14:paraId="59BE47B4">
      <w:pPr>
        <w:spacing w:before="96" w:line="222" w:lineRule="auto"/>
        <w:ind w:left="2890"/>
        <w:rPr>
          <w:rFonts w:ascii="黑体" w:hAnsi="黑体" w:eastAsia="黑体" w:cs="黑体"/>
          <w:sz w:val="23"/>
          <w:szCs w:val="23"/>
        </w:rPr>
      </w:pPr>
      <w:r>
        <w:rPr>
          <w:rFonts w:ascii="黑体" w:hAnsi="黑体" w:eastAsia="黑体" w:cs="黑体"/>
          <w:spacing w:val="2"/>
          <w:sz w:val="23"/>
          <w:szCs w:val="23"/>
        </w:rPr>
        <w:t xml:space="preserve">表 </w:t>
      </w:r>
      <w:r>
        <w:rPr>
          <w:rFonts w:ascii="Times New Roman" w:hAnsi="Times New Roman" w:eastAsia="Times New Roman" w:cs="Times New Roman"/>
          <w:spacing w:val="2"/>
          <w:sz w:val="23"/>
          <w:szCs w:val="23"/>
        </w:rPr>
        <w:t xml:space="preserve">5.2- </w:t>
      </w:r>
      <w:r>
        <w:rPr>
          <w:rFonts w:ascii="Times New Roman" w:hAnsi="Times New Roman" w:eastAsia="Times New Roman" w:cs="Times New Roman"/>
          <w:spacing w:val="1"/>
          <w:sz w:val="23"/>
          <w:szCs w:val="23"/>
        </w:rPr>
        <w:t xml:space="preserve">11    </w:t>
      </w:r>
      <w:r>
        <w:rPr>
          <w:rFonts w:ascii="黑体" w:hAnsi="黑体" w:eastAsia="黑体" w:cs="黑体"/>
          <w:spacing w:val="1"/>
          <w:sz w:val="23"/>
          <w:szCs w:val="23"/>
        </w:rPr>
        <w:t>项目固体废物产生量核算表</w:t>
      </w:r>
    </w:p>
    <w:tbl>
      <w:tblPr>
        <w:tblStyle w:val="4"/>
        <w:tblW w:w="930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9"/>
        <w:gridCol w:w="1134"/>
        <w:gridCol w:w="709"/>
        <w:gridCol w:w="1134"/>
        <w:gridCol w:w="2431"/>
        <w:gridCol w:w="3191"/>
      </w:tblGrid>
      <w:tr w14:paraId="1884D7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709" w:type="dxa"/>
            <w:tcBorders>
              <w:left w:val="nil"/>
            </w:tcBorders>
          </w:tcPr>
          <w:p w14:paraId="73D1A3C6">
            <w:pPr>
              <w:spacing w:before="191" w:line="229" w:lineRule="auto"/>
              <w:ind w:left="115"/>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1134" w:type="dxa"/>
          </w:tcPr>
          <w:p w14:paraId="4C84C589">
            <w:pPr>
              <w:spacing w:before="191" w:line="230" w:lineRule="auto"/>
              <w:ind w:left="535"/>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名</w:t>
            </w:r>
            <w:r>
              <w:rPr>
                <w:rFonts w:ascii="宋体" w:hAnsi="宋体" w:eastAsia="宋体" w:cs="宋体"/>
                <w:spacing w:val="4"/>
                <w:sz w:val="20"/>
                <w:szCs w:val="20"/>
                <w14:textOutline w14:w="3797" w14:cap="sq" w14:cmpd="sng" w14:algn="ctr">
                  <w14:solidFill>
                    <w14:srgbClr w14:val="000000"/>
                  </w14:solidFill>
                  <w14:prstDash w14:val="solid"/>
                  <w14:bevel/>
                </w14:textOutline>
              </w:rPr>
              <w:t>称</w:t>
            </w:r>
          </w:p>
        </w:tc>
        <w:tc>
          <w:tcPr>
            <w:tcW w:w="709" w:type="dxa"/>
          </w:tcPr>
          <w:p w14:paraId="1C9AF41C">
            <w:pPr>
              <w:spacing w:before="58" w:line="238" w:lineRule="auto"/>
              <w:ind w:left="114" w:right="105" w:firstLine="17"/>
              <w:rPr>
                <w:rFonts w:ascii="宋体" w:hAnsi="宋体" w:eastAsia="宋体" w:cs="宋体"/>
                <w:sz w:val="20"/>
                <w:szCs w:val="20"/>
              </w:rPr>
            </w:pPr>
            <w:r>
              <w:rPr>
                <w:rFonts w:ascii="宋体" w:hAnsi="宋体" w:eastAsia="宋体" w:cs="宋体"/>
                <w:spacing w:val="-12"/>
                <w:sz w:val="20"/>
                <w:szCs w:val="20"/>
                <w14:textOutline w14:w="3797" w14:cap="sq" w14:cmpd="sng" w14:algn="ctr">
                  <w14:solidFill>
                    <w14:srgbClr w14:val="000000"/>
                  </w14:solidFill>
                  <w14:prstDash w14:val="solid"/>
                  <w14:bevel/>
                </w14:textOutline>
              </w:rPr>
              <w:t>固</w:t>
            </w:r>
            <w:r>
              <w:rPr>
                <w:rFonts w:ascii="宋体" w:hAnsi="宋体" w:eastAsia="宋体" w:cs="宋体"/>
                <w:spacing w:val="-11"/>
                <w:sz w:val="20"/>
                <w:szCs w:val="20"/>
              </w:rPr>
              <w:t xml:space="preserve"> </w:t>
            </w:r>
            <w:r>
              <w:rPr>
                <w:rFonts w:ascii="宋体" w:hAnsi="宋体" w:eastAsia="宋体" w:cs="宋体"/>
                <w:spacing w:val="-11"/>
                <w:sz w:val="20"/>
                <w:szCs w:val="20"/>
                <w14:textOutline w14:w="3797" w14:cap="sq" w14:cmpd="sng" w14:algn="ctr">
                  <w14:solidFill>
                    <w14:srgbClr w14:val="000000"/>
                  </w14:solidFill>
                  <w14:prstDash w14:val="solid"/>
                  <w14:bevel/>
                </w14:textOutline>
              </w:rPr>
              <w:t>废</w:t>
            </w:r>
            <w:r>
              <w:rPr>
                <w:rFonts w:ascii="宋体" w:hAnsi="宋体" w:eastAsia="宋体" w:cs="宋体"/>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种类</w:t>
            </w:r>
          </w:p>
        </w:tc>
        <w:tc>
          <w:tcPr>
            <w:tcW w:w="1134" w:type="dxa"/>
          </w:tcPr>
          <w:p w14:paraId="7F9399C1">
            <w:pPr>
              <w:spacing w:before="150" w:line="289" w:lineRule="exact"/>
              <w:ind w:left="114"/>
              <w:rPr>
                <w:rFonts w:ascii="宋体" w:hAnsi="宋体" w:eastAsia="宋体" w:cs="宋体"/>
                <w:sz w:val="20"/>
                <w:szCs w:val="20"/>
              </w:rPr>
            </w:pPr>
            <w:r>
              <w:rPr>
                <w:rFonts w:ascii="宋体" w:hAnsi="宋体" w:eastAsia="宋体" w:cs="宋体"/>
                <w:spacing w:val="-14"/>
                <w:position w:val="1"/>
                <w:sz w:val="20"/>
                <w:szCs w:val="20"/>
                <w14:textOutline w14:w="3797" w14:cap="sq" w14:cmpd="sng" w14:algn="ctr">
                  <w14:solidFill>
                    <w14:srgbClr w14:val="000000"/>
                  </w14:solidFill>
                  <w14:prstDash w14:val="solid"/>
                  <w14:bevel/>
                </w14:textOutline>
              </w:rPr>
              <w:t>数</w:t>
            </w:r>
            <w:r>
              <w:rPr>
                <w:rFonts w:ascii="宋体" w:hAnsi="宋体" w:eastAsia="宋体" w:cs="宋体"/>
                <w:spacing w:val="-8"/>
                <w:position w:val="1"/>
                <w:sz w:val="20"/>
                <w:szCs w:val="20"/>
                <w14:textOutline w14:w="3797" w14:cap="sq" w14:cmpd="sng" w14:algn="ctr">
                  <w14:solidFill>
                    <w14:srgbClr w14:val="000000"/>
                  </w14:solidFill>
                  <w14:prstDash w14:val="solid"/>
                  <w14:bevel/>
                </w14:textOutline>
              </w:rPr>
              <w:t>量</w:t>
            </w:r>
            <w:r>
              <w:rPr>
                <w:rFonts w:ascii="宋体" w:hAnsi="宋体" w:eastAsia="宋体" w:cs="宋体"/>
                <w:spacing w:val="-8"/>
                <w:position w:val="1"/>
                <w:sz w:val="20"/>
                <w:szCs w:val="20"/>
              </w:rPr>
              <w:t xml:space="preserve"> </w:t>
            </w:r>
            <w:r>
              <w:rPr>
                <w:rFonts w:ascii="宋体" w:hAnsi="宋体" w:eastAsia="宋体" w:cs="宋体"/>
                <w:spacing w:val="-8"/>
                <w:position w:val="1"/>
                <w:sz w:val="20"/>
                <w:szCs w:val="20"/>
                <w14:textOutline w14:w="3797" w14:cap="sq" w14:cmpd="sng" w14:algn="ctr">
                  <w14:solidFill>
                    <w14:srgbClr w14:val="000000"/>
                  </w14:solidFill>
                  <w14:prstDash w14:val="solid"/>
                  <w14:bevel/>
                </w14:textOutline>
              </w:rPr>
              <w:t>(</w:t>
            </w:r>
            <w:r>
              <w:rPr>
                <w:rFonts w:ascii="Times New Roman" w:hAnsi="Times New Roman" w:eastAsia="Times New Roman" w:cs="Times New Roman"/>
                <w:b/>
                <w:bCs/>
                <w:spacing w:val="-8"/>
                <w:position w:val="1"/>
                <w:sz w:val="20"/>
                <w:szCs w:val="20"/>
              </w:rPr>
              <w:t>t/a</w:t>
            </w:r>
            <w:r>
              <w:rPr>
                <w:rFonts w:ascii="Times New Roman" w:hAnsi="Times New Roman" w:eastAsia="Times New Roman" w:cs="Times New Roman"/>
                <w:spacing w:val="-8"/>
                <w:position w:val="1"/>
                <w:sz w:val="20"/>
                <w:szCs w:val="20"/>
              </w:rPr>
              <w:t xml:space="preserve"> </w:t>
            </w:r>
            <w:r>
              <w:rPr>
                <w:rFonts w:ascii="宋体" w:hAnsi="宋体" w:eastAsia="宋体" w:cs="宋体"/>
                <w:spacing w:val="-8"/>
                <w:position w:val="1"/>
                <w:sz w:val="20"/>
                <w:szCs w:val="20"/>
                <w14:textOutline w14:w="3797" w14:cap="sq" w14:cmpd="sng" w14:algn="ctr">
                  <w14:solidFill>
                    <w14:srgbClr w14:val="000000"/>
                  </w14:solidFill>
                  <w14:prstDash w14:val="solid"/>
                  <w14:bevel/>
                </w14:textOutline>
              </w:rPr>
              <w:t>)</w:t>
            </w:r>
          </w:p>
        </w:tc>
        <w:tc>
          <w:tcPr>
            <w:tcW w:w="2431" w:type="dxa"/>
          </w:tcPr>
          <w:p w14:paraId="5C7E7B2C">
            <w:pPr>
              <w:spacing w:before="192" w:line="228" w:lineRule="auto"/>
              <w:ind w:left="538"/>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处</w:t>
            </w:r>
            <w:r>
              <w:rPr>
                <w:rFonts w:ascii="宋体" w:hAnsi="宋体" w:eastAsia="宋体" w:cs="宋体"/>
                <w:spacing w:val="7"/>
                <w:sz w:val="20"/>
                <w:szCs w:val="20"/>
                <w14:textOutline w14:w="3797" w14:cap="sq" w14:cmpd="sng" w14:algn="ctr">
                  <w14:solidFill>
                    <w14:srgbClr w14:val="000000"/>
                  </w14:solidFill>
                  <w14:prstDash w14:val="solid"/>
                  <w14:bevel/>
                </w14:textOutline>
              </w:rPr>
              <w:t>置情况</w:t>
            </w:r>
          </w:p>
        </w:tc>
        <w:tc>
          <w:tcPr>
            <w:tcW w:w="3191" w:type="dxa"/>
            <w:tcBorders>
              <w:right w:val="nil"/>
            </w:tcBorders>
          </w:tcPr>
          <w:p w14:paraId="7B481CC6">
            <w:pPr>
              <w:spacing w:before="191" w:line="229" w:lineRule="auto"/>
              <w:ind w:left="1391"/>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排</w:t>
            </w:r>
            <w:r>
              <w:rPr>
                <w:rFonts w:ascii="宋体" w:hAnsi="宋体" w:eastAsia="宋体" w:cs="宋体"/>
                <w:spacing w:val="8"/>
                <w:sz w:val="20"/>
                <w:szCs w:val="20"/>
                <w14:textOutline w14:w="3797" w14:cap="sq" w14:cmpd="sng" w14:algn="ctr">
                  <w14:solidFill>
                    <w14:srgbClr w14:val="000000"/>
                  </w14:solidFill>
                  <w14:prstDash w14:val="solid"/>
                  <w14:bevel/>
                </w14:textOutline>
              </w:rPr>
              <w:t>放去向</w:t>
            </w:r>
          </w:p>
        </w:tc>
      </w:tr>
      <w:tr w14:paraId="4E6FD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4" w:hRule="atLeast"/>
        </w:trPr>
        <w:tc>
          <w:tcPr>
            <w:tcW w:w="709" w:type="dxa"/>
            <w:tcBorders>
              <w:left w:val="nil"/>
            </w:tcBorders>
          </w:tcPr>
          <w:p w14:paraId="3B44C372">
            <w:pPr>
              <w:spacing w:line="273" w:lineRule="auto"/>
            </w:pPr>
          </w:p>
          <w:p w14:paraId="580ACCC5">
            <w:pPr>
              <w:spacing w:line="273" w:lineRule="auto"/>
            </w:pPr>
          </w:p>
          <w:p w14:paraId="315E9209">
            <w:pPr>
              <w:spacing w:line="274" w:lineRule="auto"/>
            </w:pPr>
          </w:p>
          <w:p w14:paraId="14152F66">
            <w:pPr>
              <w:spacing w:line="274" w:lineRule="auto"/>
            </w:pPr>
          </w:p>
          <w:p w14:paraId="0BC82484">
            <w:pPr>
              <w:spacing w:before="57" w:line="195" w:lineRule="auto"/>
              <w:ind w:left="132"/>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134" w:type="dxa"/>
          </w:tcPr>
          <w:p w14:paraId="182D81DF">
            <w:pPr>
              <w:spacing w:line="262" w:lineRule="auto"/>
            </w:pPr>
          </w:p>
          <w:p w14:paraId="24DBF80B">
            <w:pPr>
              <w:spacing w:line="263" w:lineRule="auto"/>
            </w:pPr>
          </w:p>
          <w:p w14:paraId="25C78208">
            <w:pPr>
              <w:spacing w:line="263" w:lineRule="auto"/>
            </w:pPr>
          </w:p>
          <w:p w14:paraId="71D4440C">
            <w:pPr>
              <w:spacing w:line="263" w:lineRule="auto"/>
            </w:pPr>
          </w:p>
          <w:p w14:paraId="774363B6">
            <w:pPr>
              <w:spacing w:before="65" w:line="228" w:lineRule="auto"/>
              <w:ind w:left="111"/>
              <w:rPr>
                <w:rFonts w:ascii="宋体" w:hAnsi="宋体" w:eastAsia="宋体" w:cs="宋体"/>
                <w:sz w:val="20"/>
                <w:szCs w:val="20"/>
              </w:rPr>
            </w:pPr>
            <w:r>
              <w:rPr>
                <w:rFonts w:ascii="宋体" w:hAnsi="宋体" w:eastAsia="宋体" w:cs="宋体"/>
                <w:spacing w:val="7"/>
                <w:sz w:val="20"/>
                <w:szCs w:val="20"/>
              </w:rPr>
              <w:t>病死猪</w:t>
            </w:r>
          </w:p>
        </w:tc>
        <w:tc>
          <w:tcPr>
            <w:tcW w:w="709" w:type="dxa"/>
            <w:vMerge w:val="restart"/>
            <w:tcBorders>
              <w:bottom w:val="nil"/>
            </w:tcBorders>
          </w:tcPr>
          <w:p w14:paraId="6F5537EC">
            <w:pPr>
              <w:spacing w:line="251" w:lineRule="auto"/>
            </w:pPr>
          </w:p>
          <w:p w14:paraId="334F4DD9">
            <w:pPr>
              <w:spacing w:line="252" w:lineRule="auto"/>
            </w:pPr>
          </w:p>
          <w:p w14:paraId="046A5414">
            <w:pPr>
              <w:spacing w:line="252" w:lineRule="auto"/>
            </w:pPr>
          </w:p>
          <w:p w14:paraId="7E28395C">
            <w:pPr>
              <w:spacing w:line="252" w:lineRule="auto"/>
            </w:pPr>
          </w:p>
          <w:p w14:paraId="682D842B">
            <w:pPr>
              <w:spacing w:line="252" w:lineRule="auto"/>
            </w:pPr>
          </w:p>
          <w:p w14:paraId="3534484D">
            <w:pPr>
              <w:spacing w:line="252" w:lineRule="auto"/>
            </w:pPr>
          </w:p>
          <w:p w14:paraId="31C69448">
            <w:pPr>
              <w:spacing w:line="252" w:lineRule="auto"/>
            </w:pPr>
          </w:p>
          <w:p w14:paraId="2A334D9F">
            <w:pPr>
              <w:spacing w:line="252" w:lineRule="auto"/>
            </w:pPr>
          </w:p>
          <w:p w14:paraId="0D35A0D6">
            <w:pPr>
              <w:spacing w:line="252" w:lineRule="auto"/>
            </w:pPr>
          </w:p>
          <w:p w14:paraId="5D67DD93">
            <w:pPr>
              <w:spacing w:line="252" w:lineRule="auto"/>
            </w:pPr>
          </w:p>
          <w:p w14:paraId="74AC3434">
            <w:pPr>
              <w:spacing w:line="252" w:lineRule="auto"/>
            </w:pPr>
          </w:p>
          <w:p w14:paraId="0D5BAD00">
            <w:pPr>
              <w:spacing w:before="65" w:line="260" w:lineRule="auto"/>
              <w:ind w:left="113" w:right="105" w:firstLine="4"/>
              <w:rPr>
                <w:rFonts w:ascii="宋体" w:hAnsi="宋体" w:eastAsia="宋体" w:cs="宋体"/>
                <w:sz w:val="20"/>
                <w:szCs w:val="20"/>
              </w:rPr>
            </w:pPr>
            <w:r>
              <w:rPr>
                <w:rFonts w:ascii="宋体" w:hAnsi="宋体" w:eastAsia="宋体" w:cs="宋体"/>
                <w:spacing w:val="-8"/>
                <w:sz w:val="20"/>
                <w:szCs w:val="20"/>
              </w:rPr>
              <w:t>一</w:t>
            </w:r>
            <w:r>
              <w:rPr>
                <w:rFonts w:ascii="宋体" w:hAnsi="宋体" w:eastAsia="宋体" w:cs="宋体"/>
                <w:spacing w:val="-6"/>
                <w:sz w:val="20"/>
                <w:szCs w:val="20"/>
              </w:rPr>
              <w:t xml:space="preserve"> 般</w:t>
            </w:r>
            <w:r>
              <w:rPr>
                <w:rFonts w:ascii="宋体" w:hAnsi="宋体" w:eastAsia="宋体" w:cs="宋体"/>
                <w:sz w:val="20"/>
                <w:szCs w:val="20"/>
              </w:rPr>
              <w:t xml:space="preserve"> </w:t>
            </w:r>
            <w:r>
              <w:rPr>
                <w:rFonts w:ascii="宋体" w:hAnsi="宋体" w:eastAsia="宋体" w:cs="宋体"/>
                <w:spacing w:val="-6"/>
                <w:sz w:val="20"/>
                <w:szCs w:val="20"/>
              </w:rPr>
              <w:t>固</w:t>
            </w:r>
            <w:r>
              <w:rPr>
                <w:rFonts w:ascii="宋体" w:hAnsi="宋体" w:eastAsia="宋体" w:cs="宋体"/>
                <w:spacing w:val="-5"/>
                <w:sz w:val="20"/>
                <w:szCs w:val="20"/>
              </w:rPr>
              <w:t xml:space="preserve"> 体</w:t>
            </w:r>
            <w:r>
              <w:rPr>
                <w:rFonts w:ascii="宋体" w:hAnsi="宋体" w:eastAsia="宋体" w:cs="宋体"/>
                <w:sz w:val="20"/>
                <w:szCs w:val="20"/>
              </w:rPr>
              <w:t xml:space="preserve"> </w:t>
            </w:r>
            <w:r>
              <w:rPr>
                <w:rFonts w:ascii="宋体" w:hAnsi="宋体" w:eastAsia="宋体" w:cs="宋体"/>
                <w:spacing w:val="5"/>
                <w:sz w:val="20"/>
                <w:szCs w:val="20"/>
              </w:rPr>
              <w:t>废物</w:t>
            </w:r>
          </w:p>
        </w:tc>
        <w:tc>
          <w:tcPr>
            <w:tcW w:w="1134" w:type="dxa"/>
          </w:tcPr>
          <w:p w14:paraId="11088117">
            <w:pPr>
              <w:spacing w:line="273" w:lineRule="auto"/>
            </w:pPr>
          </w:p>
          <w:p w14:paraId="0E4D09A7">
            <w:pPr>
              <w:spacing w:line="273" w:lineRule="auto"/>
            </w:pPr>
          </w:p>
          <w:p w14:paraId="3C780B48">
            <w:pPr>
              <w:spacing w:line="274" w:lineRule="auto"/>
            </w:pPr>
          </w:p>
          <w:p w14:paraId="6455AB29">
            <w:pPr>
              <w:spacing w:line="274" w:lineRule="auto"/>
            </w:pPr>
          </w:p>
          <w:p w14:paraId="45943436">
            <w:pPr>
              <w:spacing w:before="57" w:line="198" w:lineRule="auto"/>
              <w:ind w:left="34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w:t>
            </w:r>
            <w:r>
              <w:rPr>
                <w:rFonts w:ascii="Times New Roman" w:hAnsi="Times New Roman" w:eastAsia="Times New Roman" w:cs="Times New Roman"/>
                <w:sz w:val="20"/>
                <w:szCs w:val="20"/>
              </w:rPr>
              <w:t>56</w:t>
            </w:r>
          </w:p>
        </w:tc>
        <w:tc>
          <w:tcPr>
            <w:tcW w:w="2431" w:type="dxa"/>
          </w:tcPr>
          <w:p w14:paraId="61A3E02B">
            <w:pPr>
              <w:spacing w:line="304" w:lineRule="auto"/>
            </w:pPr>
          </w:p>
          <w:p w14:paraId="66DBC8AE">
            <w:pPr>
              <w:spacing w:line="305" w:lineRule="auto"/>
            </w:pPr>
          </w:p>
          <w:p w14:paraId="18AEAD1B">
            <w:pPr>
              <w:spacing w:line="305" w:lineRule="auto"/>
            </w:pPr>
          </w:p>
          <w:p w14:paraId="00339BE3">
            <w:pPr>
              <w:spacing w:before="65" w:line="265" w:lineRule="auto"/>
              <w:ind w:left="122" w:right="106" w:hanging="3"/>
              <w:rPr>
                <w:rFonts w:ascii="宋体" w:hAnsi="宋体" w:eastAsia="宋体" w:cs="宋体"/>
                <w:sz w:val="20"/>
                <w:szCs w:val="20"/>
              </w:rPr>
            </w:pPr>
            <w:r>
              <w:rPr>
                <w:rFonts w:ascii="宋体" w:hAnsi="宋体" w:eastAsia="宋体" w:cs="宋体"/>
                <w:spacing w:val="20"/>
                <w:sz w:val="20"/>
                <w:szCs w:val="20"/>
              </w:rPr>
              <w:t>统一收集后交专业化</w:t>
            </w:r>
            <w:r>
              <w:rPr>
                <w:rFonts w:ascii="宋体" w:hAnsi="宋体" w:eastAsia="宋体" w:cs="宋体"/>
                <w:spacing w:val="19"/>
                <w:sz w:val="20"/>
                <w:szCs w:val="20"/>
              </w:rPr>
              <w:t>公</w:t>
            </w:r>
            <w:r>
              <w:rPr>
                <w:rFonts w:ascii="宋体" w:hAnsi="宋体" w:eastAsia="宋体" w:cs="宋体"/>
                <w:sz w:val="20"/>
                <w:szCs w:val="20"/>
              </w:rPr>
              <w:t xml:space="preserve"> </w:t>
            </w:r>
            <w:r>
              <w:rPr>
                <w:rFonts w:ascii="宋体" w:hAnsi="宋体" w:eastAsia="宋体" w:cs="宋体"/>
                <w:spacing w:val="10"/>
                <w:sz w:val="20"/>
                <w:szCs w:val="20"/>
              </w:rPr>
              <w:t>司</w:t>
            </w:r>
            <w:r>
              <w:rPr>
                <w:rFonts w:ascii="宋体" w:hAnsi="宋体" w:eastAsia="宋体" w:cs="宋体"/>
                <w:spacing w:val="6"/>
                <w:sz w:val="20"/>
                <w:szCs w:val="20"/>
              </w:rPr>
              <w:t>拉走集中处置。</w:t>
            </w:r>
          </w:p>
        </w:tc>
        <w:tc>
          <w:tcPr>
            <w:tcW w:w="3191" w:type="dxa"/>
            <w:tcBorders>
              <w:right w:val="nil"/>
            </w:tcBorders>
          </w:tcPr>
          <w:p w14:paraId="56EFF3FC">
            <w:pPr>
              <w:spacing w:before="36" w:line="248" w:lineRule="auto"/>
              <w:ind w:left="115" w:right="103"/>
              <w:rPr>
                <w:rFonts w:ascii="宋体" w:hAnsi="宋体" w:eastAsia="宋体" w:cs="宋体"/>
                <w:sz w:val="20"/>
                <w:szCs w:val="20"/>
              </w:rPr>
            </w:pPr>
            <w:r>
              <w:rPr>
                <w:rFonts w:ascii="宋体" w:hAnsi="宋体" w:eastAsia="宋体" w:cs="宋体"/>
                <w:spacing w:val="21"/>
                <w:sz w:val="20"/>
                <w:szCs w:val="20"/>
              </w:rPr>
              <w:t>严</w:t>
            </w:r>
            <w:r>
              <w:rPr>
                <w:rFonts w:ascii="宋体" w:hAnsi="宋体" w:eastAsia="宋体" w:cs="宋体"/>
                <w:spacing w:val="11"/>
                <w:sz w:val="20"/>
                <w:szCs w:val="20"/>
              </w:rPr>
              <w:t>格按照乐山市沙湾区人民政府</w:t>
            </w:r>
            <w:r>
              <w:rPr>
                <w:rFonts w:ascii="宋体" w:hAnsi="宋体" w:eastAsia="宋体" w:cs="宋体"/>
                <w:sz w:val="20"/>
                <w:szCs w:val="20"/>
              </w:rPr>
              <w:t xml:space="preserve"> </w:t>
            </w:r>
            <w:r>
              <w:rPr>
                <w:rFonts w:ascii="宋体" w:hAnsi="宋体" w:eastAsia="宋体" w:cs="宋体"/>
                <w:spacing w:val="21"/>
                <w:sz w:val="20"/>
                <w:szCs w:val="20"/>
              </w:rPr>
              <w:t>办</w:t>
            </w:r>
            <w:r>
              <w:rPr>
                <w:rFonts w:ascii="宋体" w:hAnsi="宋体" w:eastAsia="宋体" w:cs="宋体"/>
                <w:spacing w:val="11"/>
                <w:sz w:val="20"/>
                <w:szCs w:val="20"/>
              </w:rPr>
              <w:t>公室《关于建立病死畜禽无害</w:t>
            </w:r>
            <w:r>
              <w:rPr>
                <w:rFonts w:ascii="宋体" w:hAnsi="宋体" w:eastAsia="宋体" w:cs="宋体"/>
                <w:sz w:val="20"/>
                <w:szCs w:val="20"/>
              </w:rPr>
              <w:t xml:space="preserve"> </w:t>
            </w:r>
            <w:r>
              <w:rPr>
                <w:rFonts w:ascii="宋体" w:hAnsi="宋体" w:eastAsia="宋体" w:cs="宋体"/>
                <w:spacing w:val="4"/>
                <w:sz w:val="20"/>
                <w:szCs w:val="20"/>
              </w:rPr>
              <w:t>化处理机制的通知》  (乐沙府办</w:t>
            </w:r>
            <w:r>
              <w:rPr>
                <w:rFonts w:ascii="宋体" w:hAnsi="宋体" w:eastAsia="宋体" w:cs="宋体"/>
                <w:sz w:val="20"/>
                <w:szCs w:val="20"/>
              </w:rPr>
              <w:t xml:space="preserve"> </w:t>
            </w:r>
            <w:r>
              <w:rPr>
                <w:rFonts w:ascii="宋体" w:hAnsi="宋体" w:eastAsia="宋体" w:cs="宋体"/>
                <w:spacing w:val="2"/>
                <w:sz w:val="20"/>
                <w:szCs w:val="20"/>
              </w:rPr>
              <w:t>函</w:t>
            </w:r>
            <w:r>
              <w:rPr>
                <w:rFonts w:ascii="Times New Roman" w:hAnsi="Times New Roman" w:eastAsia="Times New Roman" w:cs="Times New Roman"/>
                <w:spacing w:val="2"/>
                <w:sz w:val="20"/>
                <w:szCs w:val="20"/>
              </w:rPr>
              <w:t xml:space="preserve">[2018] 1 </w:t>
            </w:r>
            <w:r>
              <w:rPr>
                <w:rFonts w:ascii="宋体" w:hAnsi="宋体" w:eastAsia="宋体" w:cs="宋体"/>
                <w:spacing w:val="2"/>
                <w:sz w:val="20"/>
                <w:szCs w:val="20"/>
              </w:rPr>
              <w:t>号) 要求</w:t>
            </w:r>
            <w:r>
              <w:rPr>
                <w:rFonts w:ascii="宋体" w:hAnsi="宋体" w:eastAsia="宋体" w:cs="宋体"/>
                <w:spacing w:val="1"/>
                <w:sz w:val="20"/>
                <w:szCs w:val="20"/>
              </w:rPr>
              <w:t>，在乐山市病</w:t>
            </w:r>
            <w:r>
              <w:rPr>
                <w:rFonts w:ascii="宋体" w:hAnsi="宋体" w:eastAsia="宋体" w:cs="宋体"/>
                <w:sz w:val="20"/>
                <w:szCs w:val="20"/>
              </w:rPr>
              <w:t xml:space="preserve"> </w:t>
            </w:r>
            <w:r>
              <w:rPr>
                <w:rFonts w:ascii="宋体" w:hAnsi="宋体" w:eastAsia="宋体" w:cs="宋体"/>
                <w:spacing w:val="28"/>
                <w:sz w:val="20"/>
                <w:szCs w:val="20"/>
              </w:rPr>
              <w:t>死畜禽无害化处理中心建成之</w:t>
            </w:r>
            <w:r>
              <w:rPr>
                <w:rFonts w:ascii="宋体" w:hAnsi="宋体" w:eastAsia="宋体" w:cs="宋体"/>
                <w:sz w:val="20"/>
                <w:szCs w:val="20"/>
              </w:rPr>
              <w:t xml:space="preserve"> </w:t>
            </w:r>
            <w:r>
              <w:rPr>
                <w:rFonts w:ascii="宋体" w:hAnsi="宋体" w:eastAsia="宋体" w:cs="宋体"/>
                <w:spacing w:val="21"/>
                <w:sz w:val="20"/>
                <w:szCs w:val="20"/>
              </w:rPr>
              <w:t>前</w:t>
            </w:r>
            <w:r>
              <w:rPr>
                <w:rFonts w:ascii="宋体" w:hAnsi="宋体" w:eastAsia="宋体" w:cs="宋体"/>
                <w:spacing w:val="11"/>
                <w:sz w:val="20"/>
                <w:szCs w:val="20"/>
              </w:rPr>
              <w:t>，委托专业化的公司进行无害</w:t>
            </w:r>
            <w:r>
              <w:rPr>
                <w:rFonts w:ascii="宋体" w:hAnsi="宋体" w:eastAsia="宋体" w:cs="宋体"/>
                <w:sz w:val="20"/>
                <w:szCs w:val="20"/>
              </w:rPr>
              <w:t xml:space="preserve"> </w:t>
            </w:r>
            <w:r>
              <w:rPr>
                <w:rFonts w:ascii="宋体" w:hAnsi="宋体" w:eastAsia="宋体" w:cs="宋体"/>
                <w:spacing w:val="21"/>
                <w:sz w:val="20"/>
                <w:szCs w:val="20"/>
              </w:rPr>
              <w:t>化</w:t>
            </w:r>
            <w:r>
              <w:rPr>
                <w:rFonts w:ascii="宋体" w:hAnsi="宋体" w:eastAsia="宋体" w:cs="宋体"/>
                <w:spacing w:val="11"/>
                <w:sz w:val="20"/>
                <w:szCs w:val="20"/>
              </w:rPr>
              <w:t>处置，乐山市病死畜禽无害化</w:t>
            </w:r>
            <w:r>
              <w:rPr>
                <w:rFonts w:ascii="宋体" w:hAnsi="宋体" w:eastAsia="宋体" w:cs="宋体"/>
                <w:sz w:val="20"/>
                <w:szCs w:val="20"/>
              </w:rPr>
              <w:t xml:space="preserve"> </w:t>
            </w:r>
            <w:r>
              <w:rPr>
                <w:rFonts w:ascii="宋体" w:hAnsi="宋体" w:eastAsia="宋体" w:cs="宋体"/>
                <w:spacing w:val="21"/>
                <w:sz w:val="20"/>
                <w:szCs w:val="20"/>
              </w:rPr>
              <w:t>处</w:t>
            </w:r>
            <w:r>
              <w:rPr>
                <w:rFonts w:ascii="宋体" w:hAnsi="宋体" w:eastAsia="宋体" w:cs="宋体"/>
                <w:spacing w:val="11"/>
                <w:sz w:val="20"/>
                <w:szCs w:val="20"/>
              </w:rPr>
              <w:t>理中心建成后交无害化处理中</w:t>
            </w:r>
            <w:r>
              <w:rPr>
                <w:rFonts w:ascii="宋体" w:hAnsi="宋体" w:eastAsia="宋体" w:cs="宋体"/>
                <w:sz w:val="20"/>
                <w:szCs w:val="20"/>
              </w:rPr>
              <w:t xml:space="preserve"> </w:t>
            </w:r>
            <w:r>
              <w:rPr>
                <w:rFonts w:ascii="宋体" w:hAnsi="宋体" w:eastAsia="宋体" w:cs="宋体"/>
                <w:spacing w:val="5"/>
                <w:sz w:val="20"/>
                <w:szCs w:val="20"/>
              </w:rPr>
              <w:t>心处置</w:t>
            </w:r>
            <w:r>
              <w:rPr>
                <w:rFonts w:ascii="宋体" w:hAnsi="宋体" w:eastAsia="宋体" w:cs="宋体"/>
                <w:spacing w:val="4"/>
                <w:sz w:val="20"/>
                <w:szCs w:val="20"/>
              </w:rPr>
              <w:t>。</w:t>
            </w:r>
          </w:p>
        </w:tc>
      </w:tr>
      <w:tr w14:paraId="36D5D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709" w:type="dxa"/>
            <w:tcBorders>
              <w:left w:val="nil"/>
            </w:tcBorders>
          </w:tcPr>
          <w:p w14:paraId="34A25525">
            <w:pPr>
              <w:spacing w:line="319" w:lineRule="auto"/>
            </w:pPr>
          </w:p>
          <w:p w14:paraId="52A94A2D">
            <w:pPr>
              <w:spacing w:line="320" w:lineRule="auto"/>
            </w:pPr>
          </w:p>
          <w:p w14:paraId="438F831A">
            <w:pPr>
              <w:spacing w:line="320" w:lineRule="auto"/>
            </w:pPr>
          </w:p>
          <w:p w14:paraId="73A565B7">
            <w:pPr>
              <w:spacing w:before="57" w:line="195" w:lineRule="auto"/>
              <w:ind w:left="11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34" w:type="dxa"/>
          </w:tcPr>
          <w:p w14:paraId="2B3C258D">
            <w:pPr>
              <w:spacing w:line="305" w:lineRule="auto"/>
            </w:pPr>
          </w:p>
          <w:p w14:paraId="3D7966AB">
            <w:pPr>
              <w:spacing w:line="305" w:lineRule="auto"/>
            </w:pPr>
          </w:p>
          <w:p w14:paraId="75647CCB">
            <w:pPr>
              <w:spacing w:line="305" w:lineRule="auto"/>
            </w:pPr>
          </w:p>
          <w:p w14:paraId="2B146D4F">
            <w:pPr>
              <w:spacing w:before="65" w:line="228" w:lineRule="auto"/>
              <w:ind w:left="112"/>
              <w:rPr>
                <w:rFonts w:ascii="宋体" w:hAnsi="宋体" w:eastAsia="宋体" w:cs="宋体"/>
                <w:sz w:val="20"/>
                <w:szCs w:val="20"/>
              </w:rPr>
            </w:pPr>
            <w:r>
              <w:rPr>
                <w:rFonts w:ascii="宋体" w:hAnsi="宋体" w:eastAsia="宋体" w:cs="宋体"/>
                <w:spacing w:val="5"/>
                <w:sz w:val="20"/>
                <w:szCs w:val="20"/>
              </w:rPr>
              <w:t>猪</w:t>
            </w:r>
            <w:r>
              <w:rPr>
                <w:rFonts w:ascii="宋体" w:hAnsi="宋体" w:eastAsia="宋体" w:cs="宋体"/>
                <w:spacing w:val="4"/>
                <w:sz w:val="20"/>
                <w:szCs w:val="20"/>
              </w:rPr>
              <w:t>粪</w:t>
            </w:r>
          </w:p>
        </w:tc>
        <w:tc>
          <w:tcPr>
            <w:tcW w:w="709" w:type="dxa"/>
            <w:vMerge w:val="continue"/>
            <w:tcBorders>
              <w:top w:val="nil"/>
              <w:bottom w:val="nil"/>
            </w:tcBorders>
          </w:tcPr>
          <w:p w14:paraId="49B24963"/>
        </w:tc>
        <w:tc>
          <w:tcPr>
            <w:tcW w:w="1134" w:type="dxa"/>
          </w:tcPr>
          <w:p w14:paraId="57B64510">
            <w:pPr>
              <w:spacing w:line="319" w:lineRule="auto"/>
            </w:pPr>
          </w:p>
          <w:p w14:paraId="06845873">
            <w:pPr>
              <w:spacing w:line="320" w:lineRule="auto"/>
            </w:pPr>
          </w:p>
          <w:p w14:paraId="1E41DAE4">
            <w:pPr>
              <w:spacing w:line="320" w:lineRule="auto"/>
            </w:pPr>
          </w:p>
          <w:p w14:paraId="5F772F9F">
            <w:pPr>
              <w:spacing w:before="58" w:line="195" w:lineRule="auto"/>
              <w:ind w:left="231"/>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6</w:t>
            </w:r>
            <w:r>
              <w:rPr>
                <w:rFonts w:ascii="Times New Roman" w:hAnsi="Times New Roman" w:eastAsia="Times New Roman" w:cs="Times New Roman"/>
                <w:spacing w:val="3"/>
                <w:sz w:val="20"/>
                <w:szCs w:val="20"/>
              </w:rPr>
              <w:t>301.36</w:t>
            </w:r>
          </w:p>
        </w:tc>
        <w:tc>
          <w:tcPr>
            <w:tcW w:w="2431" w:type="dxa"/>
          </w:tcPr>
          <w:p w14:paraId="7A6ADBF2">
            <w:pPr>
              <w:spacing w:line="255" w:lineRule="auto"/>
            </w:pPr>
          </w:p>
          <w:p w14:paraId="7084D669">
            <w:pPr>
              <w:spacing w:line="256" w:lineRule="auto"/>
            </w:pPr>
          </w:p>
          <w:p w14:paraId="332271F5">
            <w:pPr>
              <w:spacing w:before="65" w:line="258" w:lineRule="auto"/>
              <w:ind w:left="114" w:right="106" w:firstLine="4"/>
              <w:rPr>
                <w:rFonts w:ascii="宋体" w:hAnsi="宋体" w:eastAsia="宋体" w:cs="宋体"/>
                <w:sz w:val="20"/>
                <w:szCs w:val="20"/>
              </w:rPr>
            </w:pPr>
            <w:r>
              <w:rPr>
                <w:rFonts w:ascii="宋体" w:hAnsi="宋体" w:eastAsia="宋体" w:cs="宋体"/>
                <w:spacing w:val="20"/>
                <w:sz w:val="20"/>
                <w:szCs w:val="20"/>
              </w:rPr>
              <w:t>交由乐山乐高勤力生物</w:t>
            </w:r>
            <w:r>
              <w:rPr>
                <w:rFonts w:ascii="宋体" w:hAnsi="宋体" w:eastAsia="宋体" w:cs="宋体"/>
                <w:sz w:val="20"/>
                <w:szCs w:val="20"/>
              </w:rPr>
              <w:t xml:space="preserve"> </w:t>
            </w:r>
            <w:r>
              <w:rPr>
                <w:rFonts w:ascii="宋体" w:hAnsi="宋体" w:eastAsia="宋体" w:cs="宋体"/>
                <w:spacing w:val="24"/>
                <w:sz w:val="20"/>
                <w:szCs w:val="20"/>
              </w:rPr>
              <w:t>质</w:t>
            </w:r>
            <w:r>
              <w:rPr>
                <w:rFonts w:ascii="宋体" w:hAnsi="宋体" w:eastAsia="宋体" w:cs="宋体"/>
                <w:spacing w:val="20"/>
                <w:sz w:val="20"/>
                <w:szCs w:val="20"/>
              </w:rPr>
              <w:t>能源综合利用有限公</w:t>
            </w:r>
            <w:r>
              <w:rPr>
                <w:rFonts w:ascii="宋体" w:hAnsi="宋体" w:eastAsia="宋体" w:cs="宋体"/>
                <w:sz w:val="20"/>
                <w:szCs w:val="20"/>
              </w:rPr>
              <w:t xml:space="preserve"> </w:t>
            </w:r>
            <w:r>
              <w:rPr>
                <w:rFonts w:ascii="宋体" w:hAnsi="宋体" w:eastAsia="宋体" w:cs="宋体"/>
                <w:spacing w:val="22"/>
                <w:sz w:val="20"/>
                <w:szCs w:val="20"/>
              </w:rPr>
              <w:t>司</w:t>
            </w:r>
            <w:r>
              <w:rPr>
                <w:rFonts w:ascii="宋体" w:hAnsi="宋体" w:eastAsia="宋体" w:cs="宋体"/>
                <w:spacing w:val="20"/>
                <w:sz w:val="20"/>
                <w:szCs w:val="20"/>
              </w:rPr>
              <w:t>集中处置或进入异位</w:t>
            </w:r>
            <w:r>
              <w:rPr>
                <w:rFonts w:ascii="宋体" w:hAnsi="宋体" w:eastAsia="宋体" w:cs="宋体"/>
                <w:sz w:val="20"/>
                <w:szCs w:val="20"/>
              </w:rPr>
              <w:t xml:space="preserve"> </w:t>
            </w:r>
            <w:r>
              <w:rPr>
                <w:rFonts w:ascii="宋体" w:hAnsi="宋体" w:eastAsia="宋体" w:cs="宋体"/>
                <w:spacing w:val="9"/>
                <w:sz w:val="20"/>
                <w:szCs w:val="20"/>
              </w:rPr>
              <w:t>微生物发酵床消纳处</w:t>
            </w:r>
            <w:r>
              <w:rPr>
                <w:rFonts w:ascii="宋体" w:hAnsi="宋体" w:eastAsia="宋体" w:cs="宋体"/>
                <w:spacing w:val="8"/>
                <w:sz w:val="20"/>
                <w:szCs w:val="20"/>
              </w:rPr>
              <w:t>理</w:t>
            </w:r>
          </w:p>
        </w:tc>
        <w:tc>
          <w:tcPr>
            <w:tcW w:w="3191" w:type="dxa"/>
            <w:tcBorders>
              <w:right w:val="nil"/>
            </w:tcBorders>
          </w:tcPr>
          <w:p w14:paraId="4B7A8890">
            <w:pPr>
              <w:spacing w:before="32" w:line="248" w:lineRule="auto"/>
              <w:ind w:left="110" w:right="108" w:firstLine="43"/>
              <w:rPr>
                <w:rFonts w:ascii="宋体" w:hAnsi="宋体" w:eastAsia="宋体" w:cs="宋体"/>
                <w:sz w:val="20"/>
                <w:szCs w:val="20"/>
              </w:rPr>
            </w:pPr>
            <w:r>
              <w:rPr>
                <w:rFonts w:ascii="宋体" w:hAnsi="宋体" w:eastAsia="宋体" w:cs="宋体"/>
                <w:spacing w:val="9"/>
                <w:sz w:val="20"/>
                <w:szCs w:val="20"/>
              </w:rPr>
              <w:t>目前与养猪废水一起交由乐山</w:t>
            </w:r>
            <w:r>
              <w:rPr>
                <w:rFonts w:ascii="宋体" w:hAnsi="宋体" w:eastAsia="宋体" w:cs="宋体"/>
                <w:spacing w:val="6"/>
                <w:sz w:val="20"/>
                <w:szCs w:val="20"/>
              </w:rPr>
              <w:t>乐</w:t>
            </w:r>
            <w:r>
              <w:rPr>
                <w:rFonts w:ascii="宋体" w:hAnsi="宋体" w:eastAsia="宋体" w:cs="宋体"/>
                <w:sz w:val="20"/>
                <w:szCs w:val="20"/>
              </w:rPr>
              <w:t xml:space="preserve"> </w:t>
            </w:r>
            <w:r>
              <w:rPr>
                <w:rFonts w:ascii="宋体" w:hAnsi="宋体" w:eastAsia="宋体" w:cs="宋体"/>
                <w:spacing w:val="13"/>
                <w:sz w:val="20"/>
                <w:szCs w:val="20"/>
              </w:rPr>
              <w:t>高</w:t>
            </w:r>
            <w:r>
              <w:rPr>
                <w:rFonts w:ascii="宋体" w:hAnsi="宋体" w:eastAsia="宋体" w:cs="宋体"/>
                <w:spacing w:val="12"/>
                <w:sz w:val="20"/>
                <w:szCs w:val="20"/>
              </w:rPr>
              <w:t>勤力生物质能源综合利用有限</w:t>
            </w:r>
            <w:r>
              <w:rPr>
                <w:rFonts w:ascii="宋体" w:hAnsi="宋体" w:eastAsia="宋体" w:cs="宋体"/>
                <w:sz w:val="20"/>
                <w:szCs w:val="20"/>
              </w:rPr>
              <w:t xml:space="preserve"> </w:t>
            </w:r>
            <w:r>
              <w:rPr>
                <w:rFonts w:ascii="宋体" w:hAnsi="宋体" w:eastAsia="宋体" w:cs="宋体"/>
                <w:spacing w:val="12"/>
                <w:sz w:val="20"/>
                <w:szCs w:val="20"/>
              </w:rPr>
              <w:t>公司集中处置，待后期乐山乐</w:t>
            </w:r>
            <w:r>
              <w:rPr>
                <w:rFonts w:ascii="宋体" w:hAnsi="宋体" w:eastAsia="宋体" w:cs="宋体"/>
                <w:spacing w:val="10"/>
                <w:sz w:val="20"/>
                <w:szCs w:val="20"/>
              </w:rPr>
              <w:t>高</w:t>
            </w:r>
            <w:r>
              <w:rPr>
                <w:rFonts w:ascii="宋体" w:hAnsi="宋体" w:eastAsia="宋体" w:cs="宋体"/>
                <w:sz w:val="20"/>
                <w:szCs w:val="20"/>
              </w:rPr>
              <w:t xml:space="preserve"> </w:t>
            </w:r>
            <w:r>
              <w:rPr>
                <w:rFonts w:ascii="宋体" w:hAnsi="宋体" w:eastAsia="宋体" w:cs="宋体"/>
                <w:spacing w:val="13"/>
                <w:sz w:val="20"/>
                <w:szCs w:val="20"/>
              </w:rPr>
              <w:t>勤</w:t>
            </w:r>
            <w:r>
              <w:rPr>
                <w:rFonts w:ascii="宋体" w:hAnsi="宋体" w:eastAsia="宋体" w:cs="宋体"/>
                <w:spacing w:val="12"/>
                <w:sz w:val="20"/>
                <w:szCs w:val="20"/>
              </w:rPr>
              <w:t>力生物质能源综合利用有限公</w:t>
            </w:r>
            <w:r>
              <w:rPr>
                <w:rFonts w:ascii="宋体" w:hAnsi="宋体" w:eastAsia="宋体" w:cs="宋体"/>
                <w:sz w:val="20"/>
                <w:szCs w:val="20"/>
              </w:rPr>
              <w:t xml:space="preserve"> </w:t>
            </w:r>
            <w:r>
              <w:rPr>
                <w:rFonts w:ascii="宋体" w:hAnsi="宋体" w:eastAsia="宋体" w:cs="宋体"/>
                <w:spacing w:val="13"/>
                <w:sz w:val="20"/>
                <w:szCs w:val="20"/>
              </w:rPr>
              <w:t>司</w:t>
            </w:r>
            <w:r>
              <w:rPr>
                <w:rFonts w:ascii="宋体" w:hAnsi="宋体" w:eastAsia="宋体" w:cs="宋体"/>
                <w:spacing w:val="12"/>
                <w:sz w:val="20"/>
                <w:szCs w:val="20"/>
              </w:rPr>
              <w:t>不再收纳本项目污水的情况与</w:t>
            </w:r>
            <w:r>
              <w:rPr>
                <w:rFonts w:ascii="宋体" w:hAnsi="宋体" w:eastAsia="宋体" w:cs="宋体"/>
                <w:sz w:val="20"/>
                <w:szCs w:val="20"/>
              </w:rPr>
              <w:t xml:space="preserve"> </w:t>
            </w:r>
            <w:r>
              <w:rPr>
                <w:rFonts w:ascii="宋体" w:hAnsi="宋体" w:eastAsia="宋体" w:cs="宋体"/>
                <w:spacing w:val="12"/>
                <w:sz w:val="20"/>
                <w:szCs w:val="20"/>
              </w:rPr>
              <w:t>养殖废水一并经异位微生物发</w:t>
            </w:r>
            <w:r>
              <w:rPr>
                <w:rFonts w:ascii="宋体" w:hAnsi="宋体" w:eastAsia="宋体" w:cs="宋体"/>
                <w:spacing w:val="10"/>
                <w:sz w:val="20"/>
                <w:szCs w:val="20"/>
              </w:rPr>
              <w:t>酵</w:t>
            </w:r>
            <w:r>
              <w:rPr>
                <w:rFonts w:ascii="宋体" w:hAnsi="宋体" w:eastAsia="宋体" w:cs="宋体"/>
                <w:sz w:val="20"/>
                <w:szCs w:val="20"/>
              </w:rPr>
              <w:t xml:space="preserve"> </w:t>
            </w:r>
            <w:r>
              <w:rPr>
                <w:rFonts w:ascii="宋体" w:hAnsi="宋体" w:eastAsia="宋体" w:cs="宋体"/>
                <w:spacing w:val="16"/>
                <w:sz w:val="20"/>
                <w:szCs w:val="20"/>
              </w:rPr>
              <w:t>床</w:t>
            </w:r>
            <w:r>
              <w:rPr>
                <w:rFonts w:ascii="宋体" w:hAnsi="宋体" w:eastAsia="宋体" w:cs="宋体"/>
                <w:spacing w:val="9"/>
                <w:sz w:val="20"/>
                <w:szCs w:val="20"/>
              </w:rPr>
              <w:t>处理系统处置，生成腐熟粪污</w:t>
            </w:r>
            <w:r>
              <w:rPr>
                <w:rFonts w:ascii="宋体" w:hAnsi="宋体" w:eastAsia="宋体" w:cs="宋体"/>
                <w:sz w:val="20"/>
                <w:szCs w:val="20"/>
              </w:rPr>
              <w:t xml:space="preserve"> </w:t>
            </w:r>
            <w:r>
              <w:rPr>
                <w:rFonts w:ascii="Times New Roman" w:hAnsi="Times New Roman" w:eastAsia="Times New Roman" w:cs="Times New Roman"/>
                <w:spacing w:val="4"/>
                <w:sz w:val="20"/>
                <w:szCs w:val="20"/>
              </w:rPr>
              <w:t>2410.97</w:t>
            </w:r>
            <w:r>
              <w:rPr>
                <w:rFonts w:ascii="Times New Roman" w:hAnsi="Times New Roman" w:eastAsia="Times New Roman" w:cs="Times New Roman"/>
                <w:sz w:val="20"/>
                <w:szCs w:val="20"/>
              </w:rPr>
              <w:t>t</w:t>
            </w:r>
            <w:r>
              <w:rPr>
                <w:rFonts w:ascii="Times New Roman" w:hAnsi="Times New Roman" w:eastAsia="Times New Roman" w:cs="Times New Roman"/>
                <w:spacing w:val="4"/>
                <w:sz w:val="20"/>
                <w:szCs w:val="20"/>
              </w:rPr>
              <w:t>/</w:t>
            </w:r>
            <w:r>
              <w:rPr>
                <w:rFonts w:ascii="Times New Roman" w:hAnsi="Times New Roman" w:eastAsia="Times New Roman" w:cs="Times New Roman"/>
                <w:sz w:val="20"/>
                <w:szCs w:val="20"/>
              </w:rPr>
              <w:t>a</w:t>
            </w:r>
            <w:r>
              <w:rPr>
                <w:rFonts w:ascii="宋体" w:hAnsi="宋体" w:eastAsia="宋体" w:cs="宋体"/>
                <w:spacing w:val="3"/>
                <w:sz w:val="20"/>
                <w:szCs w:val="20"/>
              </w:rPr>
              <w:t>。</w:t>
            </w:r>
          </w:p>
        </w:tc>
      </w:tr>
      <w:tr w14:paraId="5126D0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709" w:type="dxa"/>
            <w:tcBorders>
              <w:left w:val="nil"/>
            </w:tcBorders>
          </w:tcPr>
          <w:p w14:paraId="45AD7A85">
            <w:pPr>
              <w:spacing w:before="191" w:line="195" w:lineRule="auto"/>
              <w:ind w:left="116"/>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134" w:type="dxa"/>
          </w:tcPr>
          <w:p w14:paraId="2B42173C">
            <w:pPr>
              <w:spacing w:before="156" w:line="228" w:lineRule="auto"/>
              <w:ind w:left="111"/>
              <w:rPr>
                <w:rFonts w:ascii="宋体" w:hAnsi="宋体" w:eastAsia="宋体" w:cs="宋体"/>
                <w:sz w:val="20"/>
                <w:szCs w:val="20"/>
              </w:rPr>
            </w:pPr>
            <w:r>
              <w:rPr>
                <w:rFonts w:ascii="宋体" w:hAnsi="宋体" w:eastAsia="宋体" w:cs="宋体"/>
                <w:spacing w:val="7"/>
                <w:sz w:val="20"/>
                <w:szCs w:val="20"/>
              </w:rPr>
              <w:t>废垫料</w:t>
            </w:r>
          </w:p>
        </w:tc>
        <w:tc>
          <w:tcPr>
            <w:tcW w:w="709" w:type="dxa"/>
            <w:vMerge w:val="continue"/>
            <w:tcBorders>
              <w:top w:val="nil"/>
              <w:bottom w:val="nil"/>
            </w:tcBorders>
          </w:tcPr>
          <w:p w14:paraId="21822740"/>
        </w:tc>
        <w:tc>
          <w:tcPr>
            <w:tcW w:w="1134" w:type="dxa"/>
          </w:tcPr>
          <w:p w14:paraId="19287C8C">
            <w:pPr>
              <w:spacing w:before="37" w:line="236" w:lineRule="auto"/>
              <w:ind w:left="123" w:right="98" w:firstLine="120"/>
              <w:rPr>
                <w:rFonts w:ascii="宋体" w:hAnsi="宋体" w:eastAsia="宋体" w:cs="宋体"/>
                <w:sz w:val="20"/>
                <w:szCs w:val="20"/>
              </w:rPr>
            </w:pPr>
            <w:r>
              <w:rPr>
                <w:rFonts w:ascii="Times New Roman" w:hAnsi="Times New Roman" w:eastAsia="Times New Roman" w:cs="Times New Roman"/>
                <w:spacing w:val="6"/>
                <w:sz w:val="20"/>
                <w:szCs w:val="20"/>
              </w:rPr>
              <w:t>2</w:t>
            </w:r>
            <w:r>
              <w:rPr>
                <w:rFonts w:ascii="Times New Roman" w:hAnsi="Times New Roman" w:eastAsia="Times New Roman" w:cs="Times New Roman"/>
                <w:spacing w:val="5"/>
                <w:sz w:val="20"/>
                <w:szCs w:val="20"/>
              </w:rPr>
              <w:t>000</w:t>
            </w:r>
            <w:r>
              <w:rPr>
                <w:rFonts w:ascii="Times New Roman" w:hAnsi="Times New Roman" w:eastAsia="Times New Roman" w:cs="Times New Roman"/>
                <w:sz w:val="20"/>
                <w:szCs w:val="20"/>
              </w:rPr>
              <w:t>m</w:t>
            </w:r>
            <w:r>
              <w:rPr>
                <w:rFonts w:ascii="Times New Roman" w:hAnsi="Times New Roman" w:eastAsia="Times New Roman" w:cs="Times New Roman"/>
                <w:spacing w:val="5"/>
                <w:position w:val="6"/>
                <w:sz w:val="13"/>
                <w:szCs w:val="13"/>
              </w:rPr>
              <w:t>3</w:t>
            </w:r>
            <w:r>
              <w:rPr>
                <w:rFonts w:ascii="Times New Roman" w:hAnsi="Times New Roman" w:eastAsia="Times New Roman" w:cs="Times New Roman"/>
                <w:position w:val="6"/>
                <w:sz w:val="13"/>
                <w:szCs w:val="13"/>
              </w:rPr>
              <w:t xml:space="preserve">    </w:t>
            </w:r>
            <w:r>
              <w:rPr>
                <w:rFonts w:ascii="宋体" w:hAnsi="宋体" w:eastAsia="宋体" w:cs="宋体"/>
                <w:spacing w:val="16"/>
                <w:sz w:val="20"/>
                <w:szCs w:val="20"/>
              </w:rPr>
              <w:t>(</w:t>
            </w:r>
            <w:r>
              <w:rPr>
                <w:rFonts w:ascii="Times New Roman" w:hAnsi="Times New Roman" w:eastAsia="Times New Roman" w:cs="Times New Roman"/>
                <w:spacing w:val="15"/>
                <w:sz w:val="20"/>
                <w:szCs w:val="20"/>
              </w:rPr>
              <w:t xml:space="preserve">1.5 </w:t>
            </w:r>
            <w:r>
              <w:rPr>
                <w:rFonts w:ascii="宋体" w:hAnsi="宋体" w:eastAsia="宋体" w:cs="宋体"/>
                <w:spacing w:val="15"/>
                <w:sz w:val="20"/>
                <w:szCs w:val="20"/>
              </w:rPr>
              <w:t>年)</w:t>
            </w:r>
          </w:p>
        </w:tc>
        <w:tc>
          <w:tcPr>
            <w:tcW w:w="2431" w:type="dxa"/>
            <w:vMerge w:val="restart"/>
            <w:tcBorders>
              <w:bottom w:val="nil"/>
            </w:tcBorders>
          </w:tcPr>
          <w:p w14:paraId="413EC679">
            <w:pPr>
              <w:spacing w:line="375" w:lineRule="auto"/>
            </w:pPr>
          </w:p>
          <w:p w14:paraId="2050F1F7">
            <w:pPr>
              <w:spacing w:before="65" w:line="228" w:lineRule="auto"/>
              <w:ind w:left="116"/>
              <w:rPr>
                <w:rFonts w:ascii="宋体" w:hAnsi="宋体" w:eastAsia="宋体" w:cs="宋体"/>
                <w:sz w:val="20"/>
                <w:szCs w:val="20"/>
              </w:rPr>
            </w:pPr>
            <w:r>
              <w:rPr>
                <w:rFonts w:ascii="宋体" w:hAnsi="宋体" w:eastAsia="宋体" w:cs="宋体"/>
                <w:spacing w:val="11"/>
                <w:sz w:val="20"/>
                <w:szCs w:val="20"/>
              </w:rPr>
              <w:t>异</w:t>
            </w:r>
            <w:r>
              <w:rPr>
                <w:rFonts w:ascii="宋体" w:hAnsi="宋体" w:eastAsia="宋体" w:cs="宋体"/>
                <w:spacing w:val="8"/>
                <w:sz w:val="20"/>
                <w:szCs w:val="20"/>
              </w:rPr>
              <w:t>位微生物发酵床</w:t>
            </w:r>
          </w:p>
        </w:tc>
        <w:tc>
          <w:tcPr>
            <w:tcW w:w="3191" w:type="dxa"/>
            <w:vMerge w:val="restart"/>
            <w:tcBorders>
              <w:bottom w:val="nil"/>
              <w:right w:val="nil"/>
            </w:tcBorders>
          </w:tcPr>
          <w:p w14:paraId="5C5F5AAF">
            <w:pPr>
              <w:spacing w:before="36" w:line="244" w:lineRule="auto"/>
              <w:ind w:left="115" w:right="96"/>
              <w:rPr>
                <w:rFonts w:ascii="宋体" w:hAnsi="宋体" w:eastAsia="宋体" w:cs="宋体"/>
                <w:sz w:val="20"/>
                <w:szCs w:val="20"/>
              </w:rPr>
            </w:pPr>
            <w:r>
              <w:rPr>
                <w:rFonts w:ascii="宋体" w:hAnsi="宋体" w:eastAsia="宋体" w:cs="宋体"/>
                <w:spacing w:val="13"/>
                <w:sz w:val="20"/>
                <w:szCs w:val="20"/>
              </w:rPr>
              <w:t>作</w:t>
            </w:r>
            <w:r>
              <w:rPr>
                <w:rFonts w:ascii="宋体" w:hAnsi="宋体" w:eastAsia="宋体" w:cs="宋体"/>
                <w:spacing w:val="11"/>
                <w:sz w:val="20"/>
                <w:szCs w:val="20"/>
              </w:rPr>
              <w:t>为有机肥外售 (</w:t>
            </w:r>
            <w:r>
              <w:rPr>
                <w:rFonts w:ascii="宋体" w:hAnsi="宋体" w:eastAsia="宋体" w:cs="宋体"/>
                <w:spacing w:val="11"/>
                <w:sz w:val="20"/>
                <w:szCs w:val="20"/>
                <w14:textOutline w14:w="3797" w14:cap="sq" w14:cmpd="sng" w14:algn="ctr">
                  <w14:solidFill>
                    <w14:srgbClr w14:val="000000"/>
                  </w14:solidFill>
                  <w14:prstDash w14:val="solid"/>
                  <w14:bevel/>
                </w14:textOutline>
              </w:rPr>
              <w:t>仅在后期乐山</w:t>
            </w:r>
            <w:r>
              <w:rPr>
                <w:rFonts w:ascii="宋体" w:hAnsi="宋体" w:eastAsia="宋体" w:cs="宋体"/>
                <w:sz w:val="20"/>
                <w:szCs w:val="20"/>
              </w:rPr>
              <w:t xml:space="preserve"> </w:t>
            </w:r>
            <w:r>
              <w:rPr>
                <w:rFonts w:ascii="宋体" w:hAnsi="宋体" w:eastAsia="宋体" w:cs="宋体"/>
                <w:spacing w:val="19"/>
                <w:sz w:val="20"/>
                <w:szCs w:val="20"/>
                <w14:textOutline w14:w="3797" w14:cap="sq" w14:cmpd="sng" w14:algn="ctr">
                  <w14:solidFill>
                    <w14:srgbClr w14:val="000000"/>
                  </w14:solidFill>
                  <w14:prstDash w14:val="solid"/>
                  <w14:bevel/>
                </w14:textOutline>
              </w:rPr>
              <w:t>乐</w:t>
            </w:r>
            <w:r>
              <w:rPr>
                <w:rFonts w:ascii="宋体" w:hAnsi="宋体" w:eastAsia="宋体" w:cs="宋体"/>
                <w:spacing w:val="12"/>
                <w:sz w:val="20"/>
                <w:szCs w:val="20"/>
                <w14:textOutline w14:w="3797" w14:cap="sq" w14:cmpd="sng" w14:algn="ctr">
                  <w14:solidFill>
                    <w14:srgbClr w14:val="000000"/>
                  </w14:solidFill>
                  <w14:prstDash w14:val="solid"/>
                  <w14:bevel/>
                </w14:textOutline>
              </w:rPr>
              <w:t>高勤力生物质能源综合利用有</w:t>
            </w:r>
            <w:r>
              <w:rPr>
                <w:rFonts w:ascii="宋体" w:hAnsi="宋体" w:eastAsia="宋体" w:cs="宋体"/>
                <w:sz w:val="20"/>
                <w:szCs w:val="20"/>
              </w:rPr>
              <w:t xml:space="preserve"> </w:t>
            </w:r>
            <w:r>
              <w:rPr>
                <w:rFonts w:ascii="宋体" w:hAnsi="宋体" w:eastAsia="宋体" w:cs="宋体"/>
                <w:spacing w:val="19"/>
                <w:sz w:val="20"/>
                <w:szCs w:val="20"/>
                <w14:textOutline w14:w="3797" w14:cap="sq" w14:cmpd="sng" w14:algn="ctr">
                  <w14:solidFill>
                    <w14:srgbClr w14:val="000000"/>
                  </w14:solidFill>
                  <w14:prstDash w14:val="solid"/>
                  <w14:bevel/>
                </w14:textOutline>
              </w:rPr>
              <w:t>限</w:t>
            </w:r>
            <w:r>
              <w:rPr>
                <w:rFonts w:ascii="宋体" w:hAnsi="宋体" w:eastAsia="宋体" w:cs="宋体"/>
                <w:spacing w:val="12"/>
                <w:sz w:val="20"/>
                <w:szCs w:val="20"/>
                <w14:textOutline w14:w="3797" w14:cap="sq" w14:cmpd="sng" w14:algn="ctr">
                  <w14:solidFill>
                    <w14:srgbClr w14:val="000000"/>
                  </w14:solidFill>
                  <w14:prstDash w14:val="solid"/>
                  <w14:bevel/>
                </w14:textOutline>
              </w:rPr>
              <w:t>公司不再收纳本项目污水的情</w:t>
            </w:r>
            <w:r>
              <w:rPr>
                <w:rFonts w:ascii="宋体" w:hAnsi="宋体" w:eastAsia="宋体" w:cs="宋体"/>
                <w:sz w:val="20"/>
                <w:szCs w:val="20"/>
              </w:rPr>
              <w:t xml:space="preserve"> </w:t>
            </w:r>
            <w:r>
              <w:rPr>
                <w:rFonts w:ascii="宋体" w:hAnsi="宋体" w:eastAsia="宋体" w:cs="宋体"/>
                <w:spacing w:val="8"/>
                <w:sz w:val="20"/>
                <w:szCs w:val="20"/>
                <w14:textOutline w14:w="3797" w14:cap="sq" w14:cmpd="sng" w14:algn="ctr">
                  <w14:solidFill>
                    <w14:srgbClr w14:val="000000"/>
                  </w14:solidFill>
                  <w14:prstDash w14:val="solid"/>
                  <w14:bevel/>
                </w14:textOutline>
              </w:rPr>
              <w:t>况</w:t>
            </w:r>
            <w:r>
              <w:rPr>
                <w:rFonts w:ascii="宋体" w:hAnsi="宋体" w:eastAsia="宋体" w:cs="宋体"/>
                <w:spacing w:val="6"/>
                <w:sz w:val="20"/>
                <w:szCs w:val="20"/>
                <w14:textOutline w14:w="3797" w14:cap="sq" w14:cmpd="sng" w14:algn="ctr">
                  <w14:solidFill>
                    <w14:srgbClr w14:val="000000"/>
                  </w14:solidFill>
                  <w14:prstDash w14:val="solid"/>
                  <w14:bevel/>
                </w14:textOutline>
              </w:rPr>
              <w:t>下产生</w:t>
            </w:r>
            <w:r>
              <w:rPr>
                <w:rFonts w:ascii="宋体" w:hAnsi="宋体" w:eastAsia="宋体" w:cs="宋体"/>
                <w:spacing w:val="6"/>
                <w:sz w:val="20"/>
                <w:szCs w:val="20"/>
              </w:rPr>
              <w:t>)</w:t>
            </w:r>
          </w:p>
        </w:tc>
      </w:tr>
      <w:tr w14:paraId="15CBB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09" w:type="dxa"/>
            <w:tcBorders>
              <w:left w:val="nil"/>
            </w:tcBorders>
          </w:tcPr>
          <w:p w14:paraId="590B52AF">
            <w:pPr>
              <w:spacing w:before="217" w:line="195" w:lineRule="auto"/>
              <w:ind w:left="11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134" w:type="dxa"/>
          </w:tcPr>
          <w:p w14:paraId="226FF578">
            <w:pPr>
              <w:spacing w:before="181" w:line="227" w:lineRule="auto"/>
              <w:ind w:left="113"/>
              <w:rPr>
                <w:rFonts w:ascii="宋体" w:hAnsi="宋体" w:eastAsia="宋体" w:cs="宋体"/>
                <w:sz w:val="20"/>
                <w:szCs w:val="20"/>
              </w:rPr>
            </w:pPr>
            <w:r>
              <w:rPr>
                <w:rFonts w:ascii="宋体" w:hAnsi="宋体" w:eastAsia="宋体" w:cs="宋体"/>
                <w:spacing w:val="7"/>
                <w:sz w:val="20"/>
                <w:szCs w:val="20"/>
              </w:rPr>
              <w:t>有</w:t>
            </w:r>
            <w:r>
              <w:rPr>
                <w:rFonts w:ascii="宋体" w:hAnsi="宋体" w:eastAsia="宋体" w:cs="宋体"/>
                <w:spacing w:val="6"/>
                <w:sz w:val="20"/>
                <w:szCs w:val="20"/>
              </w:rPr>
              <w:t>机肥</w:t>
            </w:r>
          </w:p>
        </w:tc>
        <w:tc>
          <w:tcPr>
            <w:tcW w:w="709" w:type="dxa"/>
            <w:vMerge w:val="continue"/>
            <w:tcBorders>
              <w:top w:val="nil"/>
              <w:bottom w:val="nil"/>
            </w:tcBorders>
          </w:tcPr>
          <w:p w14:paraId="3C28B3AB"/>
        </w:tc>
        <w:tc>
          <w:tcPr>
            <w:tcW w:w="1134" w:type="dxa"/>
          </w:tcPr>
          <w:p w14:paraId="00816E02">
            <w:pPr>
              <w:spacing w:before="217" w:line="195"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2410.97</w:t>
            </w:r>
          </w:p>
        </w:tc>
        <w:tc>
          <w:tcPr>
            <w:tcW w:w="2431" w:type="dxa"/>
            <w:vMerge w:val="continue"/>
            <w:tcBorders>
              <w:top w:val="nil"/>
            </w:tcBorders>
          </w:tcPr>
          <w:p w14:paraId="0065EFC3"/>
        </w:tc>
        <w:tc>
          <w:tcPr>
            <w:tcW w:w="3191" w:type="dxa"/>
            <w:vMerge w:val="continue"/>
            <w:tcBorders>
              <w:top w:val="nil"/>
              <w:right w:val="nil"/>
            </w:tcBorders>
          </w:tcPr>
          <w:p w14:paraId="61ABC5AF"/>
        </w:tc>
      </w:tr>
      <w:tr w14:paraId="581E61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709" w:type="dxa"/>
            <w:tcBorders>
              <w:left w:val="nil"/>
            </w:tcBorders>
          </w:tcPr>
          <w:p w14:paraId="4375E135">
            <w:pPr>
              <w:spacing w:before="113" w:line="192" w:lineRule="auto"/>
              <w:ind w:left="118"/>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134" w:type="dxa"/>
          </w:tcPr>
          <w:p w14:paraId="1C4D925C">
            <w:pPr>
              <w:spacing w:before="74" w:line="228" w:lineRule="auto"/>
              <w:ind w:left="114"/>
              <w:rPr>
                <w:rFonts w:ascii="宋体" w:hAnsi="宋体" w:eastAsia="宋体" w:cs="宋体"/>
                <w:sz w:val="20"/>
                <w:szCs w:val="20"/>
              </w:rPr>
            </w:pPr>
            <w:r>
              <w:rPr>
                <w:rFonts w:ascii="宋体" w:hAnsi="宋体" w:eastAsia="宋体" w:cs="宋体"/>
                <w:spacing w:val="7"/>
                <w:sz w:val="20"/>
                <w:szCs w:val="20"/>
              </w:rPr>
              <w:t>生活垃</w:t>
            </w:r>
            <w:r>
              <w:rPr>
                <w:rFonts w:ascii="宋体" w:hAnsi="宋体" w:eastAsia="宋体" w:cs="宋体"/>
                <w:spacing w:val="6"/>
                <w:sz w:val="20"/>
                <w:szCs w:val="20"/>
              </w:rPr>
              <w:t>圾</w:t>
            </w:r>
          </w:p>
        </w:tc>
        <w:tc>
          <w:tcPr>
            <w:tcW w:w="709" w:type="dxa"/>
            <w:vMerge w:val="continue"/>
            <w:tcBorders>
              <w:top w:val="nil"/>
              <w:bottom w:val="nil"/>
            </w:tcBorders>
          </w:tcPr>
          <w:p w14:paraId="66F4A0AC"/>
        </w:tc>
        <w:tc>
          <w:tcPr>
            <w:tcW w:w="1134" w:type="dxa"/>
          </w:tcPr>
          <w:p w14:paraId="51C4CABD">
            <w:pPr>
              <w:spacing w:before="110" w:line="195" w:lineRule="auto"/>
              <w:ind w:left="38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7"/>
                <w:sz w:val="20"/>
                <w:szCs w:val="20"/>
              </w:rPr>
              <w:t>. 19</w:t>
            </w:r>
          </w:p>
        </w:tc>
        <w:tc>
          <w:tcPr>
            <w:tcW w:w="2431" w:type="dxa"/>
          </w:tcPr>
          <w:p w14:paraId="05A28FDA">
            <w:pPr>
              <w:spacing w:before="73" w:line="228" w:lineRule="auto"/>
              <w:ind w:left="120"/>
              <w:rPr>
                <w:rFonts w:ascii="宋体" w:hAnsi="宋体" w:eastAsia="宋体" w:cs="宋体"/>
                <w:sz w:val="20"/>
                <w:szCs w:val="20"/>
              </w:rPr>
            </w:pPr>
            <w:r>
              <w:rPr>
                <w:rFonts w:ascii="宋体" w:hAnsi="宋体" w:eastAsia="宋体" w:cs="宋体"/>
                <w:spacing w:val="11"/>
                <w:sz w:val="20"/>
                <w:szCs w:val="20"/>
              </w:rPr>
              <w:t>暂</w:t>
            </w:r>
            <w:r>
              <w:rPr>
                <w:rFonts w:ascii="宋体" w:hAnsi="宋体" w:eastAsia="宋体" w:cs="宋体"/>
                <w:spacing w:val="8"/>
                <w:sz w:val="20"/>
                <w:szCs w:val="20"/>
              </w:rPr>
              <w:t>存场区内密闭垃圾桶</w:t>
            </w:r>
          </w:p>
        </w:tc>
        <w:tc>
          <w:tcPr>
            <w:tcW w:w="3191" w:type="dxa"/>
            <w:tcBorders>
              <w:right w:val="nil"/>
            </w:tcBorders>
          </w:tcPr>
          <w:p w14:paraId="487553D8">
            <w:pPr>
              <w:spacing w:before="74" w:line="229" w:lineRule="auto"/>
              <w:ind w:left="119"/>
              <w:rPr>
                <w:rFonts w:ascii="宋体" w:hAnsi="宋体" w:eastAsia="宋体" w:cs="宋体"/>
                <w:sz w:val="20"/>
                <w:szCs w:val="20"/>
              </w:rPr>
            </w:pPr>
            <w:r>
              <w:rPr>
                <w:rFonts w:ascii="宋体" w:hAnsi="宋体" w:eastAsia="宋体" w:cs="宋体"/>
                <w:spacing w:val="9"/>
                <w:sz w:val="20"/>
                <w:szCs w:val="20"/>
              </w:rPr>
              <w:t>统一交当地环卫部门统一处</w:t>
            </w:r>
            <w:r>
              <w:rPr>
                <w:rFonts w:ascii="宋体" w:hAnsi="宋体" w:eastAsia="宋体" w:cs="宋体"/>
                <w:spacing w:val="7"/>
                <w:sz w:val="20"/>
                <w:szCs w:val="20"/>
              </w:rPr>
              <w:t>置</w:t>
            </w:r>
          </w:p>
        </w:tc>
      </w:tr>
      <w:tr w14:paraId="78140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709" w:type="dxa"/>
            <w:tcBorders>
              <w:left w:val="nil"/>
            </w:tcBorders>
          </w:tcPr>
          <w:p w14:paraId="208BA7C1">
            <w:pPr>
              <w:spacing w:before="110" w:line="195" w:lineRule="auto"/>
              <w:ind w:left="117"/>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134" w:type="dxa"/>
          </w:tcPr>
          <w:p w14:paraId="28AF49D7">
            <w:pPr>
              <w:spacing w:before="74" w:line="228" w:lineRule="auto"/>
              <w:ind w:left="111"/>
              <w:rPr>
                <w:rFonts w:ascii="宋体" w:hAnsi="宋体" w:eastAsia="宋体" w:cs="宋体"/>
                <w:sz w:val="20"/>
                <w:szCs w:val="20"/>
              </w:rPr>
            </w:pPr>
            <w:r>
              <w:rPr>
                <w:rFonts w:ascii="宋体" w:hAnsi="宋体" w:eastAsia="宋体" w:cs="宋体"/>
                <w:spacing w:val="9"/>
                <w:sz w:val="20"/>
                <w:szCs w:val="20"/>
              </w:rPr>
              <w:t>废</w:t>
            </w:r>
            <w:r>
              <w:rPr>
                <w:rFonts w:ascii="宋体" w:hAnsi="宋体" w:eastAsia="宋体" w:cs="宋体"/>
                <w:spacing w:val="7"/>
                <w:sz w:val="20"/>
                <w:szCs w:val="20"/>
              </w:rPr>
              <w:t>饲料袋</w:t>
            </w:r>
          </w:p>
        </w:tc>
        <w:tc>
          <w:tcPr>
            <w:tcW w:w="709" w:type="dxa"/>
            <w:vMerge w:val="continue"/>
            <w:tcBorders>
              <w:top w:val="nil"/>
            </w:tcBorders>
          </w:tcPr>
          <w:p w14:paraId="67B095D2"/>
        </w:tc>
        <w:tc>
          <w:tcPr>
            <w:tcW w:w="1134" w:type="dxa"/>
          </w:tcPr>
          <w:p w14:paraId="7C707586">
            <w:pPr>
              <w:spacing w:before="110" w:line="195" w:lineRule="auto"/>
              <w:ind w:left="514"/>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2431" w:type="dxa"/>
          </w:tcPr>
          <w:p w14:paraId="01598687">
            <w:pPr>
              <w:spacing w:before="73" w:line="228" w:lineRule="auto"/>
              <w:ind w:left="120"/>
              <w:rPr>
                <w:rFonts w:ascii="宋体" w:hAnsi="宋体" w:eastAsia="宋体" w:cs="宋体"/>
                <w:sz w:val="20"/>
                <w:szCs w:val="20"/>
              </w:rPr>
            </w:pPr>
            <w:r>
              <w:rPr>
                <w:rFonts w:ascii="宋体" w:hAnsi="宋体" w:eastAsia="宋体" w:cs="宋体"/>
                <w:spacing w:val="8"/>
                <w:sz w:val="20"/>
                <w:szCs w:val="20"/>
              </w:rPr>
              <w:t>暂存于一般固废</w:t>
            </w:r>
            <w:r>
              <w:rPr>
                <w:rFonts w:ascii="宋体" w:hAnsi="宋体" w:eastAsia="宋体" w:cs="宋体"/>
                <w:spacing w:val="7"/>
                <w:sz w:val="20"/>
                <w:szCs w:val="20"/>
              </w:rPr>
              <w:t>区</w:t>
            </w:r>
          </w:p>
        </w:tc>
        <w:tc>
          <w:tcPr>
            <w:tcW w:w="3191" w:type="dxa"/>
            <w:tcBorders>
              <w:right w:val="nil"/>
            </w:tcBorders>
          </w:tcPr>
          <w:p w14:paraId="628A8B6F">
            <w:pPr>
              <w:spacing w:before="73" w:line="228" w:lineRule="auto"/>
              <w:ind w:left="139"/>
              <w:rPr>
                <w:rFonts w:ascii="宋体" w:hAnsi="宋体" w:eastAsia="宋体" w:cs="宋体"/>
                <w:sz w:val="20"/>
                <w:szCs w:val="20"/>
              </w:rPr>
            </w:pPr>
            <w:r>
              <w:rPr>
                <w:rFonts w:ascii="宋体" w:hAnsi="宋体" w:eastAsia="宋体" w:cs="宋体"/>
                <w:spacing w:val="5"/>
                <w:sz w:val="20"/>
                <w:szCs w:val="20"/>
              </w:rPr>
              <w:t>由饲料厂家回收</w:t>
            </w:r>
          </w:p>
        </w:tc>
      </w:tr>
      <w:tr w14:paraId="4DFB1F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09" w:type="dxa"/>
            <w:tcBorders>
              <w:left w:val="nil"/>
            </w:tcBorders>
          </w:tcPr>
          <w:p w14:paraId="33BC5EB2">
            <w:pPr>
              <w:spacing w:before="208" w:line="195" w:lineRule="auto"/>
              <w:ind w:left="117"/>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134" w:type="dxa"/>
          </w:tcPr>
          <w:p w14:paraId="5C899054">
            <w:pPr>
              <w:spacing w:before="36"/>
              <w:ind w:left="111" w:right="107" w:firstLine="5"/>
              <w:rPr>
                <w:rFonts w:ascii="宋体" w:hAnsi="宋体" w:eastAsia="宋体" w:cs="宋体"/>
                <w:sz w:val="20"/>
                <w:szCs w:val="20"/>
              </w:rPr>
            </w:pPr>
            <w:r>
              <w:rPr>
                <w:rFonts w:ascii="宋体" w:hAnsi="宋体" w:eastAsia="宋体" w:cs="宋体"/>
                <w:spacing w:val="26"/>
                <w:sz w:val="20"/>
                <w:szCs w:val="20"/>
              </w:rPr>
              <w:t>消毒防疫</w:t>
            </w:r>
            <w:r>
              <w:rPr>
                <w:rFonts w:ascii="宋体" w:hAnsi="宋体" w:eastAsia="宋体" w:cs="宋体"/>
                <w:sz w:val="20"/>
                <w:szCs w:val="20"/>
              </w:rPr>
              <w:t xml:space="preserve"> </w:t>
            </w:r>
            <w:r>
              <w:rPr>
                <w:rFonts w:ascii="宋体" w:hAnsi="宋体" w:eastAsia="宋体" w:cs="宋体"/>
                <w:spacing w:val="5"/>
                <w:sz w:val="20"/>
                <w:szCs w:val="20"/>
              </w:rPr>
              <w:t>废物</w:t>
            </w:r>
          </w:p>
        </w:tc>
        <w:tc>
          <w:tcPr>
            <w:tcW w:w="709" w:type="dxa"/>
          </w:tcPr>
          <w:p w14:paraId="2472D32A">
            <w:pPr>
              <w:spacing w:before="36"/>
              <w:ind w:left="113" w:right="105" w:firstLine="3"/>
              <w:rPr>
                <w:rFonts w:ascii="宋体" w:hAnsi="宋体" w:eastAsia="宋体" w:cs="宋体"/>
                <w:sz w:val="20"/>
                <w:szCs w:val="20"/>
              </w:rPr>
            </w:pPr>
            <w:r>
              <w:rPr>
                <w:rFonts w:ascii="宋体" w:hAnsi="宋体" w:eastAsia="宋体" w:cs="宋体"/>
                <w:spacing w:val="-7"/>
                <w:sz w:val="20"/>
                <w:szCs w:val="20"/>
              </w:rPr>
              <w:t>危</w:t>
            </w:r>
            <w:r>
              <w:rPr>
                <w:rFonts w:ascii="宋体" w:hAnsi="宋体" w:eastAsia="宋体" w:cs="宋体"/>
                <w:spacing w:val="-6"/>
                <w:sz w:val="20"/>
                <w:szCs w:val="20"/>
              </w:rPr>
              <w:t xml:space="preserve"> 险</w:t>
            </w:r>
            <w:r>
              <w:rPr>
                <w:rFonts w:ascii="宋体" w:hAnsi="宋体" w:eastAsia="宋体" w:cs="宋体"/>
                <w:sz w:val="20"/>
                <w:szCs w:val="20"/>
              </w:rPr>
              <w:t xml:space="preserve"> </w:t>
            </w:r>
            <w:r>
              <w:rPr>
                <w:rFonts w:ascii="宋体" w:hAnsi="宋体" w:eastAsia="宋体" w:cs="宋体"/>
                <w:spacing w:val="5"/>
                <w:sz w:val="20"/>
                <w:szCs w:val="20"/>
              </w:rPr>
              <w:t>废物</w:t>
            </w:r>
          </w:p>
        </w:tc>
        <w:tc>
          <w:tcPr>
            <w:tcW w:w="1134" w:type="dxa"/>
          </w:tcPr>
          <w:p w14:paraId="641BB445">
            <w:pPr>
              <w:spacing w:before="208" w:line="198" w:lineRule="auto"/>
              <w:ind w:left="2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w:t>
            </w:r>
            <w:r>
              <w:rPr>
                <w:rFonts w:ascii="Times New Roman" w:hAnsi="Times New Roman" w:eastAsia="Times New Roman" w:cs="Times New Roman"/>
                <w:sz w:val="20"/>
                <w:szCs w:val="20"/>
              </w:rPr>
              <w:t>.075</w:t>
            </w:r>
          </w:p>
        </w:tc>
        <w:tc>
          <w:tcPr>
            <w:tcW w:w="2431" w:type="dxa"/>
          </w:tcPr>
          <w:p w14:paraId="15DF95E2">
            <w:pPr>
              <w:spacing w:before="169" w:line="228" w:lineRule="auto"/>
              <w:ind w:left="124"/>
              <w:rPr>
                <w:rFonts w:ascii="宋体" w:hAnsi="宋体" w:eastAsia="宋体" w:cs="宋体"/>
                <w:sz w:val="20"/>
                <w:szCs w:val="20"/>
              </w:rPr>
            </w:pPr>
            <w:r>
              <w:rPr>
                <w:rFonts w:ascii="宋体" w:hAnsi="宋体" w:eastAsia="宋体" w:cs="宋体"/>
                <w:spacing w:val="8"/>
                <w:sz w:val="20"/>
                <w:szCs w:val="20"/>
              </w:rPr>
              <w:t>医</w:t>
            </w:r>
            <w:r>
              <w:rPr>
                <w:rFonts w:ascii="宋体" w:hAnsi="宋体" w:eastAsia="宋体" w:cs="宋体"/>
                <w:spacing w:val="7"/>
                <w:sz w:val="20"/>
                <w:szCs w:val="20"/>
              </w:rPr>
              <w:t>疗废物暂存间</w:t>
            </w:r>
          </w:p>
        </w:tc>
        <w:tc>
          <w:tcPr>
            <w:tcW w:w="3191" w:type="dxa"/>
            <w:tcBorders>
              <w:right w:val="nil"/>
            </w:tcBorders>
          </w:tcPr>
          <w:p w14:paraId="3D85B846">
            <w:pPr>
              <w:spacing w:before="36" w:line="242" w:lineRule="auto"/>
              <w:ind w:left="118" w:right="108"/>
              <w:rPr>
                <w:rFonts w:ascii="宋体" w:hAnsi="宋体" w:eastAsia="宋体" w:cs="宋体"/>
                <w:sz w:val="20"/>
                <w:szCs w:val="20"/>
              </w:rPr>
            </w:pPr>
            <w:r>
              <w:rPr>
                <w:rFonts w:ascii="宋体" w:hAnsi="宋体" w:eastAsia="宋体" w:cs="宋体"/>
                <w:spacing w:val="18"/>
                <w:sz w:val="20"/>
                <w:szCs w:val="20"/>
              </w:rPr>
              <w:t>交</w:t>
            </w:r>
            <w:r>
              <w:rPr>
                <w:rFonts w:ascii="宋体" w:hAnsi="宋体" w:eastAsia="宋体" w:cs="宋体"/>
                <w:spacing w:val="11"/>
                <w:sz w:val="20"/>
                <w:szCs w:val="20"/>
              </w:rPr>
              <w:t>由有医疗废物处理资质的单位</w:t>
            </w:r>
            <w:r>
              <w:rPr>
                <w:rFonts w:ascii="宋体" w:hAnsi="宋体" w:eastAsia="宋体" w:cs="宋体"/>
                <w:sz w:val="20"/>
                <w:szCs w:val="20"/>
              </w:rPr>
              <w:t xml:space="preserve"> </w:t>
            </w:r>
            <w:r>
              <w:rPr>
                <w:rFonts w:ascii="宋体" w:hAnsi="宋体" w:eastAsia="宋体" w:cs="宋体"/>
                <w:spacing w:val="3"/>
                <w:sz w:val="20"/>
                <w:szCs w:val="20"/>
              </w:rPr>
              <w:t>处</w:t>
            </w:r>
            <w:r>
              <w:rPr>
                <w:rFonts w:ascii="宋体" w:hAnsi="宋体" w:eastAsia="宋体" w:cs="宋体"/>
                <w:spacing w:val="2"/>
                <w:sz w:val="20"/>
                <w:szCs w:val="20"/>
              </w:rPr>
              <w:t>置</w:t>
            </w:r>
          </w:p>
        </w:tc>
      </w:tr>
    </w:tbl>
    <w:p w14:paraId="35F876C5">
      <w:pPr>
        <w:spacing w:before="35" w:line="303" w:lineRule="exact"/>
        <w:ind w:left="807"/>
        <w:rPr>
          <w:rFonts w:ascii="宋体" w:hAnsi="宋体" w:eastAsia="宋体" w:cs="宋体"/>
          <w:sz w:val="23"/>
          <w:szCs w:val="23"/>
        </w:rPr>
      </w:pPr>
      <w:r>
        <w:rPr>
          <w:rFonts w:ascii="Times New Roman" w:hAnsi="Times New Roman" w:eastAsia="Times New Roman" w:cs="Times New Roman"/>
          <w:b/>
          <w:bCs/>
          <w:spacing w:val="8"/>
          <w:position w:val="1"/>
          <w:sz w:val="23"/>
          <w:szCs w:val="23"/>
        </w:rPr>
        <w:t>2</w:t>
      </w:r>
      <w:r>
        <w:rPr>
          <w:rFonts w:ascii="Times New Roman" w:hAnsi="Times New Roman" w:eastAsia="Times New Roman" w:cs="Times New Roman"/>
          <w:spacing w:val="8"/>
          <w:position w:val="1"/>
          <w:sz w:val="23"/>
          <w:szCs w:val="23"/>
        </w:rPr>
        <w:t xml:space="preserve"> </w:t>
      </w:r>
      <w:r>
        <w:rPr>
          <w:rFonts w:ascii="宋体" w:hAnsi="宋体" w:eastAsia="宋体" w:cs="宋体"/>
          <w:spacing w:val="5"/>
          <w:position w:val="1"/>
          <w:sz w:val="23"/>
          <w:szCs w:val="23"/>
          <w14:textOutline w14:w="4356" w14:cap="sq" w14:cmpd="sng" w14:algn="ctr">
            <w14:solidFill>
              <w14:srgbClr w14:val="000000"/>
            </w14:solidFill>
            <w14:prstDash w14:val="solid"/>
            <w14:bevel/>
          </w14:textOutline>
        </w:rPr>
        <w:t>、</w:t>
      </w:r>
      <w:r>
        <w:rPr>
          <w:rFonts w:ascii="宋体" w:hAnsi="宋体" w:eastAsia="宋体" w:cs="宋体"/>
          <w:spacing w:val="4"/>
          <w:position w:val="1"/>
          <w:sz w:val="23"/>
          <w:szCs w:val="23"/>
          <w14:textOutline w14:w="4356" w14:cap="sq" w14:cmpd="sng" w14:algn="ctr">
            <w14:solidFill>
              <w14:srgbClr w14:val="000000"/>
            </w14:solidFill>
            <w14:prstDash w14:val="solid"/>
            <w14:bevel/>
          </w14:textOutline>
        </w:rPr>
        <w:t>固体废物处置方法分析</w:t>
      </w:r>
    </w:p>
    <w:p w14:paraId="17F127E7">
      <w:pPr>
        <w:spacing w:before="166" w:line="227" w:lineRule="auto"/>
        <w:ind w:left="822"/>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23"/>
          <w:sz w:val="23"/>
          <w:szCs w:val="23"/>
        </w:rPr>
        <w:t>1</w:t>
      </w:r>
      <w:r>
        <w:rPr>
          <w:rFonts w:ascii="宋体" w:hAnsi="宋体" w:eastAsia="宋体" w:cs="宋体"/>
          <w:spacing w:val="23"/>
          <w:sz w:val="23"/>
          <w:szCs w:val="23"/>
        </w:rPr>
        <w:t>) 猪粪</w:t>
      </w:r>
    </w:p>
    <w:p w14:paraId="19949593">
      <w:pPr>
        <w:spacing w:before="139" w:line="388" w:lineRule="auto"/>
        <w:ind w:left="333" w:right="318" w:firstLine="481"/>
        <w:rPr>
          <w:rFonts w:ascii="Times New Roman" w:hAnsi="Times New Roman" w:eastAsia="Times New Roman" w:cs="Times New Roman"/>
          <w:sz w:val="15"/>
          <w:szCs w:val="15"/>
        </w:rPr>
      </w:pPr>
      <w:r>
        <w:rPr>
          <w:rFonts w:ascii="宋体" w:hAnsi="宋体" w:eastAsia="宋体" w:cs="宋体"/>
          <w:spacing w:val="8"/>
          <w:sz w:val="23"/>
          <w:szCs w:val="23"/>
        </w:rPr>
        <w:t>项目猪粪便的</w:t>
      </w:r>
      <w:r>
        <w:rPr>
          <w:rFonts w:ascii="宋体" w:hAnsi="宋体" w:eastAsia="宋体" w:cs="宋体"/>
          <w:spacing w:val="4"/>
          <w:sz w:val="23"/>
          <w:szCs w:val="23"/>
        </w:rPr>
        <w:t xml:space="preserve">产生量为 </w:t>
      </w:r>
      <w:r>
        <w:rPr>
          <w:rFonts w:ascii="Times New Roman" w:hAnsi="Times New Roman" w:eastAsia="Times New Roman" w:cs="Times New Roman"/>
          <w:spacing w:val="4"/>
          <w:sz w:val="23"/>
          <w:szCs w:val="23"/>
        </w:rPr>
        <w:t>6301.36</w:t>
      </w:r>
      <w:r>
        <w:rPr>
          <w:rFonts w:ascii="Times New Roman" w:hAnsi="Times New Roman" w:eastAsia="Times New Roman" w:cs="Times New Roman"/>
          <w:sz w:val="23"/>
          <w:szCs w:val="23"/>
        </w:rPr>
        <w:t>t</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a</w:t>
      </w:r>
      <w:r>
        <w:rPr>
          <w:rFonts w:ascii="宋体" w:hAnsi="宋体" w:eastAsia="宋体" w:cs="宋体"/>
          <w:spacing w:val="4"/>
          <w:sz w:val="23"/>
          <w:szCs w:val="23"/>
        </w:rPr>
        <w:t>，猪舍内的粪便经机械刮粪方式收集至粪水化</w:t>
      </w:r>
      <w:r>
        <w:rPr>
          <w:rFonts w:ascii="宋体" w:hAnsi="宋体" w:eastAsia="宋体" w:cs="宋体"/>
          <w:sz w:val="23"/>
          <w:szCs w:val="23"/>
        </w:rPr>
        <w:t xml:space="preserve"> </w:t>
      </w:r>
      <w:r>
        <w:rPr>
          <w:rFonts w:ascii="宋体" w:hAnsi="宋体" w:eastAsia="宋体" w:cs="宋体"/>
          <w:spacing w:val="7"/>
          <w:sz w:val="23"/>
          <w:szCs w:val="23"/>
        </w:rPr>
        <w:t>粪池， 目前拟每日与养殖废水一起运输至乐山乐高勤力生物质能源综合利用有限</w:t>
      </w:r>
      <w:r>
        <w:rPr>
          <w:rFonts w:ascii="宋体" w:hAnsi="宋体" w:eastAsia="宋体" w:cs="宋体"/>
          <w:spacing w:val="5"/>
          <w:sz w:val="23"/>
          <w:szCs w:val="23"/>
        </w:rPr>
        <w:t>公</w:t>
      </w:r>
      <w:r>
        <w:rPr>
          <w:rFonts w:ascii="宋体" w:hAnsi="宋体" w:eastAsia="宋体" w:cs="宋体"/>
          <w:sz w:val="23"/>
          <w:szCs w:val="23"/>
        </w:rPr>
        <w:t xml:space="preserve"> </w:t>
      </w:r>
      <w:r>
        <w:rPr>
          <w:rFonts w:ascii="宋体" w:hAnsi="宋体" w:eastAsia="宋体" w:cs="宋体"/>
          <w:spacing w:val="10"/>
          <w:sz w:val="23"/>
          <w:szCs w:val="23"/>
        </w:rPr>
        <w:t>司集中处置</w:t>
      </w:r>
      <w:r>
        <w:rPr>
          <w:rFonts w:ascii="宋体" w:hAnsi="宋体" w:eastAsia="宋体" w:cs="宋体"/>
          <w:spacing w:val="7"/>
          <w:sz w:val="23"/>
          <w:szCs w:val="23"/>
        </w:rPr>
        <w:t xml:space="preserve"> </w:t>
      </w:r>
      <w:r>
        <w:rPr>
          <w:rFonts w:ascii="宋体" w:hAnsi="宋体" w:eastAsia="宋体" w:cs="宋体"/>
          <w:spacing w:val="5"/>
          <w:sz w:val="23"/>
          <w:szCs w:val="23"/>
        </w:rPr>
        <w:t xml:space="preserve">(已签订收纳协议) ， 日产日清， 同时，厂区还配套建设有一 </w:t>
      </w:r>
      <w:r>
        <w:rPr>
          <w:rFonts w:ascii="Times New Roman" w:hAnsi="Times New Roman" w:eastAsia="Times New Roman" w:cs="Times New Roman"/>
          <w:spacing w:val="5"/>
          <w:sz w:val="23"/>
          <w:szCs w:val="23"/>
        </w:rPr>
        <w:t>1600</w:t>
      </w:r>
      <w:r>
        <w:rPr>
          <w:rFonts w:ascii="Times New Roman" w:hAnsi="Times New Roman" w:eastAsia="Times New Roman" w:cs="Times New Roman"/>
          <w:sz w:val="23"/>
          <w:szCs w:val="23"/>
        </w:rPr>
        <w:t>m</w:t>
      </w:r>
      <w:r>
        <w:rPr>
          <w:rFonts w:ascii="Times New Roman" w:hAnsi="Times New Roman" w:eastAsia="Times New Roman" w:cs="Times New Roman"/>
          <w:spacing w:val="5"/>
          <w:position w:val="8"/>
          <w:sz w:val="15"/>
          <w:szCs w:val="15"/>
        </w:rPr>
        <w:t>2</w:t>
      </w:r>
    </w:p>
    <w:p w14:paraId="743AD4E8">
      <w:pPr>
        <w:sectPr>
          <w:headerReference r:id="rId207" w:type="default"/>
          <w:footerReference r:id="rId208" w:type="default"/>
          <w:pgSz w:w="11907" w:h="16840"/>
          <w:pgMar w:top="1153" w:right="1259" w:bottom="1485" w:left="1339" w:header="919" w:footer="1298" w:gutter="0"/>
          <w:cols w:space="720" w:num="1"/>
        </w:sectPr>
      </w:pPr>
    </w:p>
    <w:p w14:paraId="1006C471">
      <w:pPr>
        <w:spacing w:before="42" w:line="374" w:lineRule="auto"/>
        <w:ind w:left="14" w:right="101" w:firstLine="14"/>
        <w:rPr>
          <w:rFonts w:ascii="宋体" w:hAnsi="宋体" w:eastAsia="宋体" w:cs="宋体"/>
          <w:sz w:val="23"/>
          <w:szCs w:val="23"/>
        </w:rPr>
      </w:pPr>
      <w:r>
        <w:rPr>
          <w:rFonts w:ascii="宋体" w:hAnsi="宋体" w:eastAsia="宋体" w:cs="宋体"/>
          <w:spacing w:val="10"/>
          <w:sz w:val="23"/>
          <w:szCs w:val="23"/>
        </w:rPr>
        <w:t>的发酵床备用，若后期乐山乐高勤力生物质能源综合利用有限公司不再回收，可</w:t>
      </w:r>
      <w:r>
        <w:rPr>
          <w:rFonts w:ascii="宋体" w:hAnsi="宋体" w:eastAsia="宋体" w:cs="宋体"/>
          <w:spacing w:val="7"/>
          <w:sz w:val="23"/>
          <w:szCs w:val="23"/>
        </w:rPr>
        <w:t>将</w:t>
      </w:r>
      <w:r>
        <w:rPr>
          <w:rFonts w:ascii="宋体" w:hAnsi="宋体" w:eastAsia="宋体" w:cs="宋体"/>
          <w:sz w:val="23"/>
          <w:szCs w:val="23"/>
        </w:rPr>
        <w:t xml:space="preserve"> </w:t>
      </w:r>
      <w:r>
        <w:rPr>
          <w:rFonts w:ascii="宋体" w:hAnsi="宋体" w:eastAsia="宋体" w:cs="宋体"/>
          <w:spacing w:val="16"/>
          <w:sz w:val="23"/>
          <w:szCs w:val="23"/>
        </w:rPr>
        <w:t>与</w:t>
      </w:r>
      <w:r>
        <w:rPr>
          <w:rFonts w:ascii="宋体" w:hAnsi="宋体" w:eastAsia="宋体" w:cs="宋体"/>
          <w:spacing w:val="9"/>
          <w:sz w:val="23"/>
          <w:szCs w:val="23"/>
        </w:rPr>
        <w:t>养殖废水一起通过异位发酵床自行处置，处理产生的有机肥外售处理。</w:t>
      </w:r>
    </w:p>
    <w:p w14:paraId="6EAAD5C6">
      <w:pPr>
        <w:spacing w:before="5" w:line="374" w:lineRule="auto"/>
        <w:ind w:left="11" w:right="96" w:firstLine="481"/>
        <w:rPr>
          <w:rFonts w:ascii="宋体" w:hAnsi="宋体" w:eastAsia="宋体" w:cs="宋体"/>
          <w:sz w:val="23"/>
          <w:szCs w:val="23"/>
        </w:rPr>
      </w:pPr>
      <w:r>
        <w:rPr>
          <w:rFonts w:ascii="宋体" w:hAnsi="宋体" w:eastAsia="宋体" w:cs="宋体"/>
          <w:spacing w:val="20"/>
          <w:sz w:val="23"/>
          <w:szCs w:val="23"/>
          <w14:textOutline w14:w="4356" w14:cap="sq" w14:cmpd="sng" w14:algn="ctr">
            <w14:solidFill>
              <w14:srgbClr w14:val="000000"/>
            </w14:solidFill>
            <w14:prstDash w14:val="solid"/>
            <w14:bevel/>
          </w14:textOutline>
        </w:rPr>
        <w:t>异</w:t>
      </w:r>
      <w:r>
        <w:rPr>
          <w:rFonts w:ascii="宋体" w:hAnsi="宋体" w:eastAsia="宋体" w:cs="宋体"/>
          <w:spacing w:val="18"/>
          <w:sz w:val="23"/>
          <w:szCs w:val="23"/>
          <w14:textOutline w14:w="4356" w14:cap="sq" w14:cmpd="sng" w14:algn="ctr">
            <w14:solidFill>
              <w14:srgbClr w14:val="000000"/>
            </w14:solidFill>
            <w14:prstDash w14:val="solid"/>
            <w14:bevel/>
          </w14:textOutline>
        </w:rPr>
        <w:t>位</w:t>
      </w:r>
      <w:r>
        <w:rPr>
          <w:rFonts w:ascii="宋体" w:hAnsi="宋体" w:eastAsia="宋体" w:cs="宋体"/>
          <w:spacing w:val="10"/>
          <w:sz w:val="23"/>
          <w:szCs w:val="23"/>
          <w14:textOutline w14:w="4356" w14:cap="sq" w14:cmpd="sng" w14:algn="ctr">
            <w14:solidFill>
              <w14:srgbClr w14:val="000000"/>
            </w14:solidFill>
            <w14:prstDash w14:val="solid"/>
            <w14:bevel/>
          </w14:textOutline>
        </w:rPr>
        <w:t>发酵床：</w:t>
      </w:r>
      <w:r>
        <w:rPr>
          <w:rFonts w:ascii="宋体" w:hAnsi="宋体" w:eastAsia="宋体" w:cs="宋体"/>
          <w:spacing w:val="10"/>
          <w:sz w:val="23"/>
          <w:szCs w:val="23"/>
        </w:rPr>
        <w:t>在适宜的温度、湿度、碳氮比及有氧的条件下，利用在垫料中生</w:t>
      </w:r>
      <w:r>
        <w:rPr>
          <w:rFonts w:ascii="宋体" w:hAnsi="宋体" w:eastAsia="宋体" w:cs="宋体"/>
          <w:sz w:val="23"/>
          <w:szCs w:val="23"/>
        </w:rPr>
        <w:t xml:space="preserve"> </w:t>
      </w:r>
      <w:r>
        <w:rPr>
          <w:rFonts w:ascii="宋体" w:hAnsi="宋体" w:eastAsia="宋体" w:cs="宋体"/>
          <w:spacing w:val="20"/>
          <w:sz w:val="23"/>
          <w:szCs w:val="23"/>
        </w:rPr>
        <w:t>长</w:t>
      </w:r>
      <w:r>
        <w:rPr>
          <w:rFonts w:ascii="宋体" w:hAnsi="宋体" w:eastAsia="宋体" w:cs="宋体"/>
          <w:spacing w:val="15"/>
          <w:sz w:val="23"/>
          <w:szCs w:val="23"/>
        </w:rPr>
        <w:t>繁</w:t>
      </w:r>
      <w:r>
        <w:rPr>
          <w:rFonts w:ascii="宋体" w:hAnsi="宋体" w:eastAsia="宋体" w:cs="宋体"/>
          <w:spacing w:val="10"/>
          <w:sz w:val="23"/>
          <w:szCs w:val="23"/>
        </w:rPr>
        <w:t>殖的发酵菌，使粪污中的有机物质得到充分的分解和转化，从而降解、消化粪</w:t>
      </w:r>
      <w:r>
        <w:rPr>
          <w:rFonts w:ascii="宋体" w:hAnsi="宋体" w:eastAsia="宋体" w:cs="宋体"/>
          <w:sz w:val="23"/>
          <w:szCs w:val="23"/>
        </w:rPr>
        <w:t xml:space="preserve"> </w:t>
      </w:r>
      <w:r>
        <w:rPr>
          <w:rFonts w:ascii="宋体" w:hAnsi="宋体" w:eastAsia="宋体" w:cs="宋体"/>
          <w:spacing w:val="20"/>
          <w:sz w:val="23"/>
          <w:szCs w:val="23"/>
        </w:rPr>
        <w:t>污</w:t>
      </w:r>
      <w:r>
        <w:rPr>
          <w:rFonts w:ascii="宋体" w:hAnsi="宋体" w:eastAsia="宋体" w:cs="宋体"/>
          <w:spacing w:val="15"/>
          <w:sz w:val="23"/>
          <w:szCs w:val="23"/>
        </w:rPr>
        <w:t>。</w:t>
      </w:r>
      <w:r>
        <w:rPr>
          <w:rFonts w:ascii="宋体" w:hAnsi="宋体" w:eastAsia="宋体" w:cs="宋体"/>
          <w:spacing w:val="10"/>
          <w:sz w:val="23"/>
          <w:szCs w:val="23"/>
        </w:rPr>
        <w:t>在此过程中，粪污中水分大部分蒸发，未能降解的残留有机物部分转化为腐殖</w:t>
      </w:r>
      <w:r>
        <w:rPr>
          <w:rFonts w:ascii="宋体" w:hAnsi="宋体" w:eastAsia="宋体" w:cs="宋体"/>
          <w:sz w:val="23"/>
          <w:szCs w:val="23"/>
        </w:rPr>
        <w:t xml:space="preserve"> </w:t>
      </w:r>
      <w:r>
        <w:rPr>
          <w:rFonts w:ascii="宋体" w:hAnsi="宋体" w:eastAsia="宋体" w:cs="宋体"/>
          <w:spacing w:val="20"/>
          <w:sz w:val="23"/>
          <w:szCs w:val="23"/>
        </w:rPr>
        <w:t>质</w:t>
      </w:r>
      <w:r>
        <w:rPr>
          <w:rFonts w:ascii="宋体" w:hAnsi="宋体" w:eastAsia="宋体" w:cs="宋体"/>
          <w:spacing w:val="15"/>
          <w:sz w:val="23"/>
          <w:szCs w:val="23"/>
        </w:rPr>
        <w:t>，</w:t>
      </w:r>
      <w:r>
        <w:rPr>
          <w:rFonts w:ascii="宋体" w:hAnsi="宋体" w:eastAsia="宋体" w:cs="宋体"/>
          <w:spacing w:val="10"/>
          <w:sz w:val="23"/>
          <w:szCs w:val="23"/>
        </w:rPr>
        <w:t>粪污中病原体也在长时间的高温环境中失活，达到养殖场无废物排放及粪污无</w:t>
      </w:r>
      <w:r>
        <w:rPr>
          <w:rFonts w:ascii="宋体" w:hAnsi="宋体" w:eastAsia="宋体" w:cs="宋体"/>
          <w:sz w:val="23"/>
          <w:szCs w:val="23"/>
        </w:rPr>
        <w:t xml:space="preserve"> </w:t>
      </w:r>
      <w:r>
        <w:rPr>
          <w:rFonts w:ascii="宋体" w:hAnsi="宋体" w:eastAsia="宋体" w:cs="宋体"/>
          <w:spacing w:val="9"/>
          <w:sz w:val="23"/>
          <w:szCs w:val="23"/>
        </w:rPr>
        <w:t>害化、资源化的目的。对周围环境影响较小</w:t>
      </w:r>
      <w:r>
        <w:rPr>
          <w:rFonts w:ascii="宋体" w:hAnsi="宋体" w:eastAsia="宋体" w:cs="宋体"/>
          <w:spacing w:val="8"/>
          <w:sz w:val="23"/>
          <w:szCs w:val="23"/>
        </w:rPr>
        <w:t>。</w:t>
      </w:r>
    </w:p>
    <w:p w14:paraId="2AD80C02">
      <w:pPr>
        <w:spacing w:line="228" w:lineRule="auto"/>
        <w:ind w:left="501"/>
        <w:rPr>
          <w:rFonts w:ascii="宋体" w:hAnsi="宋体" w:eastAsia="宋体" w:cs="宋体"/>
          <w:sz w:val="23"/>
          <w:szCs w:val="23"/>
        </w:rPr>
      </w:pPr>
      <w:r>
        <w:rPr>
          <w:rFonts w:ascii="宋体" w:hAnsi="宋体" w:eastAsia="宋体" w:cs="宋体"/>
          <w:spacing w:val="23"/>
          <w:sz w:val="23"/>
          <w:szCs w:val="23"/>
        </w:rPr>
        <w:t>(</w:t>
      </w:r>
      <w:r>
        <w:rPr>
          <w:rFonts w:ascii="Times New Roman" w:hAnsi="Times New Roman" w:eastAsia="Times New Roman" w:cs="Times New Roman"/>
          <w:spacing w:val="21"/>
          <w:sz w:val="23"/>
          <w:szCs w:val="23"/>
        </w:rPr>
        <w:t>2</w:t>
      </w:r>
      <w:r>
        <w:rPr>
          <w:rFonts w:ascii="宋体" w:hAnsi="宋体" w:eastAsia="宋体" w:cs="宋体"/>
          <w:spacing w:val="21"/>
          <w:sz w:val="23"/>
          <w:szCs w:val="23"/>
        </w:rPr>
        <w:t>) 病死猪</w:t>
      </w:r>
    </w:p>
    <w:p w14:paraId="3D5184F7">
      <w:pPr>
        <w:spacing w:before="185" w:line="374" w:lineRule="auto"/>
        <w:ind w:left="10" w:right="101" w:firstLine="483"/>
        <w:rPr>
          <w:rFonts w:ascii="宋体" w:hAnsi="宋体" w:eastAsia="宋体" w:cs="宋体"/>
          <w:sz w:val="23"/>
          <w:szCs w:val="23"/>
        </w:rPr>
      </w:pPr>
      <w:r>
        <w:rPr>
          <w:rFonts w:ascii="宋体" w:hAnsi="宋体" w:eastAsia="宋体" w:cs="宋体"/>
          <w:spacing w:val="20"/>
          <w:sz w:val="23"/>
          <w:szCs w:val="23"/>
        </w:rPr>
        <w:t>项</w:t>
      </w:r>
      <w:r>
        <w:rPr>
          <w:rFonts w:ascii="宋体" w:hAnsi="宋体" w:eastAsia="宋体" w:cs="宋体"/>
          <w:spacing w:val="13"/>
          <w:sz w:val="23"/>
          <w:szCs w:val="23"/>
        </w:rPr>
        <w:t>目</w:t>
      </w:r>
      <w:r>
        <w:rPr>
          <w:rFonts w:ascii="宋体" w:hAnsi="宋体" w:eastAsia="宋体" w:cs="宋体"/>
          <w:spacing w:val="10"/>
          <w:sz w:val="23"/>
          <w:szCs w:val="23"/>
        </w:rPr>
        <w:t>病死猪不采取处置措施，易腐烂发臭、孳生蚊蝇，随意丢弃对环境产生的</w:t>
      </w:r>
      <w:r>
        <w:rPr>
          <w:rFonts w:ascii="宋体" w:hAnsi="宋体" w:eastAsia="宋体" w:cs="宋体"/>
          <w:sz w:val="23"/>
          <w:szCs w:val="23"/>
        </w:rPr>
        <w:t xml:space="preserve"> </w:t>
      </w:r>
      <w:r>
        <w:rPr>
          <w:rFonts w:ascii="宋体" w:hAnsi="宋体" w:eastAsia="宋体" w:cs="宋体"/>
          <w:spacing w:val="20"/>
          <w:sz w:val="23"/>
          <w:szCs w:val="23"/>
        </w:rPr>
        <w:t>影</w:t>
      </w:r>
      <w:r>
        <w:rPr>
          <w:rFonts w:ascii="宋体" w:hAnsi="宋体" w:eastAsia="宋体" w:cs="宋体"/>
          <w:spacing w:val="16"/>
          <w:sz w:val="23"/>
          <w:szCs w:val="23"/>
        </w:rPr>
        <w:t>响</w:t>
      </w:r>
      <w:r>
        <w:rPr>
          <w:rFonts w:ascii="宋体" w:hAnsi="宋体" w:eastAsia="宋体" w:cs="宋体"/>
          <w:spacing w:val="10"/>
          <w:sz w:val="23"/>
          <w:szCs w:val="23"/>
        </w:rPr>
        <w:t>较大。病死猪尸体由于携带致病菌，随意丢弃对环境、人群健康造成的影响重</w:t>
      </w:r>
      <w:r>
        <w:rPr>
          <w:rFonts w:ascii="宋体" w:hAnsi="宋体" w:eastAsia="宋体" w:cs="宋体"/>
          <w:sz w:val="23"/>
          <w:szCs w:val="23"/>
        </w:rPr>
        <w:t xml:space="preserve"> 大。</w:t>
      </w:r>
    </w:p>
    <w:p w14:paraId="7B66C235">
      <w:pPr>
        <w:spacing w:line="375" w:lineRule="auto"/>
        <w:ind w:left="16" w:right="2" w:firstLine="477"/>
        <w:rPr>
          <w:rFonts w:ascii="宋体" w:hAnsi="宋体" w:eastAsia="宋体" w:cs="宋体"/>
          <w:sz w:val="23"/>
          <w:szCs w:val="23"/>
        </w:rPr>
      </w:pPr>
      <w:r>
        <w:rPr>
          <w:rFonts w:ascii="宋体" w:hAnsi="宋体" w:eastAsia="宋体" w:cs="宋体"/>
          <w:spacing w:val="12"/>
          <w:sz w:val="23"/>
          <w:szCs w:val="23"/>
        </w:rPr>
        <w:t>一般</w:t>
      </w:r>
      <w:r>
        <w:rPr>
          <w:rFonts w:ascii="宋体" w:hAnsi="宋体" w:eastAsia="宋体" w:cs="宋体"/>
          <w:spacing w:val="6"/>
          <w:sz w:val="23"/>
          <w:szCs w:val="23"/>
        </w:rPr>
        <w:t>疾病死亡的猪只，如：猪肺疫、猪溶血性链球菌病、猪副伤寒、弓形虫病、</w:t>
      </w:r>
      <w:r>
        <w:rPr>
          <w:rFonts w:ascii="宋体" w:hAnsi="宋体" w:eastAsia="宋体" w:cs="宋体"/>
          <w:sz w:val="23"/>
          <w:szCs w:val="23"/>
        </w:rPr>
        <w:t xml:space="preserve"> </w:t>
      </w:r>
      <w:r>
        <w:rPr>
          <w:rFonts w:ascii="宋体" w:hAnsi="宋体" w:eastAsia="宋体" w:cs="宋体"/>
          <w:spacing w:val="2"/>
          <w:sz w:val="23"/>
          <w:szCs w:val="23"/>
        </w:rPr>
        <w:t>寄生虫病等病畜的肉尸和内脏，按照《畜禽养殖业污染物排放标准》(</w:t>
      </w:r>
      <w:r>
        <w:rPr>
          <w:rFonts w:ascii="Times New Roman" w:hAnsi="Times New Roman" w:eastAsia="Times New Roman" w:cs="Times New Roman"/>
          <w:sz w:val="23"/>
          <w:szCs w:val="23"/>
        </w:rPr>
        <w:t>GB</w:t>
      </w:r>
      <w:r>
        <w:rPr>
          <w:rFonts w:ascii="Times New Roman" w:hAnsi="Times New Roman" w:eastAsia="Times New Roman" w:cs="Times New Roman"/>
          <w:spacing w:val="1"/>
          <w:sz w:val="23"/>
          <w:szCs w:val="23"/>
        </w:rPr>
        <w:t>18596-2001</w:t>
      </w:r>
      <w:r>
        <w:rPr>
          <w:rFonts w:ascii="宋体" w:hAnsi="宋体" w:eastAsia="宋体" w:cs="宋体"/>
          <w:spacing w:val="1"/>
          <w:sz w:val="23"/>
          <w:szCs w:val="23"/>
        </w:rPr>
        <w:t>)</w:t>
      </w:r>
      <w:r>
        <w:rPr>
          <w:rFonts w:ascii="宋体" w:hAnsi="宋体" w:eastAsia="宋体" w:cs="宋体"/>
          <w:sz w:val="23"/>
          <w:szCs w:val="23"/>
        </w:rPr>
        <w:t xml:space="preserve"> </w:t>
      </w:r>
      <w:r>
        <w:rPr>
          <w:rFonts w:ascii="宋体" w:hAnsi="宋体" w:eastAsia="宋体" w:cs="宋体"/>
          <w:spacing w:val="18"/>
          <w:sz w:val="23"/>
          <w:szCs w:val="23"/>
        </w:rPr>
        <w:t>的规</w:t>
      </w:r>
      <w:r>
        <w:rPr>
          <w:rFonts w:ascii="宋体" w:hAnsi="宋体" w:eastAsia="宋体" w:cs="宋体"/>
          <w:spacing w:val="11"/>
          <w:sz w:val="23"/>
          <w:szCs w:val="23"/>
        </w:rPr>
        <w:t>定</w:t>
      </w:r>
      <w:r>
        <w:rPr>
          <w:rFonts w:ascii="宋体" w:hAnsi="宋体" w:eastAsia="宋体" w:cs="宋体"/>
          <w:spacing w:val="9"/>
          <w:sz w:val="23"/>
          <w:szCs w:val="23"/>
        </w:rPr>
        <w:t>进行无害化处理，并取防渗、防雨淋措施，避免淋滤液对地下水环境产生影</w:t>
      </w:r>
      <w:r>
        <w:rPr>
          <w:rFonts w:ascii="宋体" w:hAnsi="宋体" w:eastAsia="宋体" w:cs="宋体"/>
          <w:sz w:val="23"/>
          <w:szCs w:val="23"/>
        </w:rPr>
        <w:t xml:space="preserve"> </w:t>
      </w:r>
      <w:r>
        <w:rPr>
          <w:rFonts w:ascii="宋体" w:hAnsi="宋体" w:eastAsia="宋体" w:cs="宋体"/>
          <w:spacing w:val="-3"/>
          <w:sz w:val="23"/>
          <w:szCs w:val="23"/>
        </w:rPr>
        <w:t>响。</w:t>
      </w:r>
    </w:p>
    <w:p w14:paraId="30355A39">
      <w:pPr>
        <w:spacing w:before="5" w:line="374" w:lineRule="auto"/>
        <w:ind w:left="9" w:right="127" w:firstLine="484"/>
        <w:rPr>
          <w:rFonts w:ascii="宋体" w:hAnsi="宋体" w:eastAsia="宋体" w:cs="宋体"/>
          <w:sz w:val="23"/>
          <w:szCs w:val="23"/>
        </w:rPr>
      </w:pPr>
      <w:r>
        <w:rPr>
          <w:rFonts w:ascii="宋体" w:hAnsi="宋体" w:eastAsia="宋体" w:cs="宋体"/>
          <w:spacing w:val="18"/>
          <w:sz w:val="23"/>
          <w:szCs w:val="23"/>
        </w:rPr>
        <w:t>如果</w:t>
      </w:r>
      <w:r>
        <w:rPr>
          <w:rFonts w:ascii="宋体" w:hAnsi="宋体" w:eastAsia="宋体" w:cs="宋体"/>
          <w:spacing w:val="11"/>
          <w:sz w:val="23"/>
          <w:szCs w:val="23"/>
        </w:rPr>
        <w:t>诊</w:t>
      </w:r>
      <w:r>
        <w:rPr>
          <w:rFonts w:ascii="宋体" w:hAnsi="宋体" w:eastAsia="宋体" w:cs="宋体"/>
          <w:spacing w:val="9"/>
          <w:sz w:val="23"/>
          <w:szCs w:val="23"/>
        </w:rPr>
        <w:t>断结果疑似重大动物疫病，必须严格按照重大动物疫病防控原则，及时</w:t>
      </w:r>
      <w:r>
        <w:rPr>
          <w:rFonts w:ascii="宋体" w:hAnsi="宋体" w:eastAsia="宋体" w:cs="宋体"/>
          <w:sz w:val="23"/>
          <w:szCs w:val="23"/>
        </w:rPr>
        <w:t xml:space="preserve"> </w:t>
      </w:r>
      <w:r>
        <w:rPr>
          <w:rFonts w:ascii="宋体" w:hAnsi="宋体" w:eastAsia="宋体" w:cs="宋体"/>
          <w:spacing w:val="18"/>
          <w:sz w:val="23"/>
          <w:szCs w:val="23"/>
        </w:rPr>
        <w:t>向猪场</w:t>
      </w:r>
      <w:r>
        <w:rPr>
          <w:rFonts w:ascii="宋体" w:hAnsi="宋体" w:eastAsia="宋体" w:cs="宋体"/>
          <w:spacing w:val="9"/>
          <w:sz w:val="23"/>
          <w:szCs w:val="23"/>
        </w:rPr>
        <w:t>所在地畜牧兽医主管部门上报疫情，当地有关部门派遣兽医专家前往猪场诊</w:t>
      </w:r>
      <w:r>
        <w:rPr>
          <w:rFonts w:ascii="宋体" w:hAnsi="宋体" w:eastAsia="宋体" w:cs="宋体"/>
          <w:sz w:val="23"/>
          <w:szCs w:val="23"/>
        </w:rPr>
        <w:t xml:space="preserve"> </w:t>
      </w:r>
      <w:r>
        <w:rPr>
          <w:rFonts w:ascii="宋体" w:hAnsi="宋体" w:eastAsia="宋体" w:cs="宋体"/>
          <w:spacing w:val="18"/>
          <w:sz w:val="23"/>
          <w:szCs w:val="23"/>
        </w:rPr>
        <w:t>断疫情</w:t>
      </w:r>
      <w:r>
        <w:rPr>
          <w:rFonts w:ascii="宋体" w:hAnsi="宋体" w:eastAsia="宋体" w:cs="宋体"/>
          <w:spacing w:val="9"/>
          <w:sz w:val="23"/>
          <w:szCs w:val="23"/>
        </w:rPr>
        <w:t>，一旦确诊为重大动物疫情，未感染的生猪应进行隔离观察，已感染的病猪</w:t>
      </w:r>
      <w:r>
        <w:rPr>
          <w:rFonts w:ascii="宋体" w:hAnsi="宋体" w:eastAsia="宋体" w:cs="宋体"/>
          <w:sz w:val="23"/>
          <w:szCs w:val="23"/>
        </w:rPr>
        <w:t xml:space="preserve"> </w:t>
      </w:r>
      <w:r>
        <w:rPr>
          <w:rFonts w:ascii="宋体" w:hAnsi="宋体" w:eastAsia="宋体" w:cs="宋体"/>
          <w:spacing w:val="18"/>
          <w:sz w:val="23"/>
          <w:szCs w:val="23"/>
        </w:rPr>
        <w:t>迅速扑</w:t>
      </w:r>
      <w:r>
        <w:rPr>
          <w:rFonts w:ascii="宋体" w:hAnsi="宋体" w:eastAsia="宋体" w:cs="宋体"/>
          <w:spacing w:val="9"/>
          <w:sz w:val="23"/>
          <w:szCs w:val="23"/>
        </w:rPr>
        <w:t>杀染疫猪群，将疫情控制在最小范围。出现大批量疫病死猪，养猪场内无法</w:t>
      </w:r>
      <w:r>
        <w:rPr>
          <w:rFonts w:ascii="宋体" w:hAnsi="宋体" w:eastAsia="宋体" w:cs="宋体"/>
          <w:sz w:val="23"/>
          <w:szCs w:val="23"/>
        </w:rPr>
        <w:t xml:space="preserve"> </w:t>
      </w:r>
      <w:r>
        <w:rPr>
          <w:rFonts w:ascii="宋体" w:hAnsi="宋体" w:eastAsia="宋体" w:cs="宋体"/>
          <w:spacing w:val="18"/>
          <w:sz w:val="23"/>
          <w:szCs w:val="23"/>
        </w:rPr>
        <w:t>及时进</w:t>
      </w:r>
      <w:r>
        <w:rPr>
          <w:rFonts w:ascii="宋体" w:hAnsi="宋体" w:eastAsia="宋体" w:cs="宋体"/>
          <w:spacing w:val="9"/>
          <w:sz w:val="23"/>
          <w:szCs w:val="23"/>
        </w:rPr>
        <w:t>行无害化情况下，应委托畜牧兽医主管部门运走安全处置。将待处理病畜及</w:t>
      </w:r>
      <w:r>
        <w:rPr>
          <w:rFonts w:ascii="宋体" w:hAnsi="宋体" w:eastAsia="宋体" w:cs="宋体"/>
          <w:sz w:val="23"/>
          <w:szCs w:val="23"/>
        </w:rPr>
        <w:t xml:space="preserve"> </w:t>
      </w:r>
      <w:r>
        <w:rPr>
          <w:rFonts w:ascii="宋体" w:hAnsi="宋体" w:eastAsia="宋体" w:cs="宋体"/>
          <w:spacing w:val="18"/>
          <w:sz w:val="23"/>
          <w:szCs w:val="23"/>
        </w:rPr>
        <w:t>其</w:t>
      </w:r>
      <w:r>
        <w:rPr>
          <w:rFonts w:ascii="宋体" w:hAnsi="宋体" w:eastAsia="宋体" w:cs="宋体"/>
          <w:spacing w:val="9"/>
          <w:sz w:val="23"/>
          <w:szCs w:val="23"/>
        </w:rPr>
        <w:t>产品从疫点 (猪场) 运往处理地，应选择不漏水的运输工具，并用篷布进行遮盖</w:t>
      </w:r>
    </w:p>
    <w:p w14:paraId="09D31700">
      <w:pPr>
        <w:spacing w:line="229" w:lineRule="auto"/>
        <w:ind w:left="11"/>
        <w:rPr>
          <w:rFonts w:ascii="宋体" w:hAnsi="宋体" w:eastAsia="宋体" w:cs="宋体"/>
          <w:sz w:val="23"/>
          <w:szCs w:val="23"/>
        </w:rPr>
      </w:pPr>
      <w:r>
        <w:rPr>
          <w:rFonts w:ascii="宋体" w:hAnsi="宋体" w:eastAsia="宋体" w:cs="宋体"/>
          <w:spacing w:val="10"/>
          <w:sz w:val="23"/>
          <w:szCs w:val="23"/>
        </w:rPr>
        <w:t>密</w:t>
      </w:r>
      <w:r>
        <w:rPr>
          <w:rFonts w:ascii="宋体" w:hAnsi="宋体" w:eastAsia="宋体" w:cs="宋体"/>
          <w:spacing w:val="6"/>
          <w:sz w:val="23"/>
          <w:szCs w:val="23"/>
        </w:rPr>
        <w:t>封。装运时，要严格注意个人防护，以防造成动物疫病人畜互传，防止疫情扩散。</w:t>
      </w:r>
    </w:p>
    <w:p w14:paraId="022609C2">
      <w:pPr>
        <w:tabs>
          <w:tab w:val="left" w:pos="136"/>
        </w:tabs>
        <w:spacing w:before="135" w:line="380" w:lineRule="auto"/>
        <w:ind w:left="11" w:firstLine="479"/>
        <w:rPr>
          <w:rFonts w:ascii="宋体" w:hAnsi="宋体" w:eastAsia="宋体" w:cs="宋体"/>
          <w:sz w:val="23"/>
          <w:szCs w:val="23"/>
        </w:rPr>
      </w:pPr>
      <w:r>
        <w:rPr>
          <w:rFonts w:ascii="宋体" w:hAnsi="宋体" w:eastAsia="宋体" w:cs="宋体"/>
          <w:spacing w:val="5"/>
          <w:sz w:val="23"/>
          <w:szCs w:val="23"/>
        </w:rPr>
        <w:t xml:space="preserve">根据工程分析，本项目年产生病死猪约 </w:t>
      </w:r>
      <w:r>
        <w:rPr>
          <w:rFonts w:ascii="Times New Roman" w:hAnsi="Times New Roman" w:eastAsia="Times New Roman" w:cs="Times New Roman"/>
          <w:spacing w:val="5"/>
          <w:sz w:val="23"/>
          <w:szCs w:val="23"/>
        </w:rPr>
        <w:t>14.56</w:t>
      </w:r>
      <w:r>
        <w:rPr>
          <w:rFonts w:ascii="Times New Roman" w:hAnsi="Times New Roman" w:eastAsia="Times New Roman" w:cs="Times New Roman"/>
          <w:sz w:val="23"/>
          <w:szCs w:val="23"/>
        </w:rPr>
        <w:t>t</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a</w:t>
      </w:r>
      <w:r>
        <w:rPr>
          <w:rFonts w:ascii="宋体" w:hAnsi="宋体" w:eastAsia="宋体" w:cs="宋体"/>
          <w:spacing w:val="5"/>
          <w:sz w:val="23"/>
          <w:szCs w:val="23"/>
        </w:rPr>
        <w:t>。根据《畜禽病害肉尸及其</w:t>
      </w:r>
      <w:r>
        <w:rPr>
          <w:rFonts w:ascii="宋体" w:hAnsi="宋体" w:eastAsia="宋体" w:cs="宋体"/>
          <w:spacing w:val="4"/>
          <w:sz w:val="23"/>
          <w:szCs w:val="23"/>
        </w:rPr>
        <w:t>产</w:t>
      </w:r>
      <w:r>
        <w:rPr>
          <w:rFonts w:ascii="宋体" w:hAnsi="宋体" w:eastAsia="宋体" w:cs="宋体"/>
          <w:sz w:val="23"/>
          <w:szCs w:val="23"/>
        </w:rPr>
        <w:t xml:space="preserve">品 </w:t>
      </w:r>
      <w:r>
        <w:rPr>
          <w:rFonts w:ascii="宋体" w:hAnsi="宋体" w:eastAsia="宋体" w:cs="宋体"/>
          <w:spacing w:val="16"/>
          <w:sz w:val="23"/>
          <w:szCs w:val="23"/>
        </w:rPr>
        <w:t>无害</w:t>
      </w:r>
      <w:r>
        <w:rPr>
          <w:rFonts w:ascii="宋体" w:hAnsi="宋体" w:eastAsia="宋体" w:cs="宋体"/>
          <w:spacing w:val="8"/>
          <w:sz w:val="23"/>
          <w:szCs w:val="23"/>
        </w:rPr>
        <w:t>化处理规程》  (</w:t>
      </w:r>
      <w:r>
        <w:rPr>
          <w:rFonts w:ascii="Times New Roman" w:hAnsi="Times New Roman" w:eastAsia="Times New Roman" w:cs="Times New Roman"/>
          <w:sz w:val="23"/>
          <w:szCs w:val="23"/>
        </w:rPr>
        <w:t>GB</w:t>
      </w:r>
      <w:r>
        <w:rPr>
          <w:rFonts w:ascii="Times New Roman" w:hAnsi="Times New Roman" w:eastAsia="Times New Roman" w:cs="Times New Roman"/>
          <w:spacing w:val="8"/>
          <w:sz w:val="23"/>
          <w:szCs w:val="23"/>
        </w:rPr>
        <w:t>16548- 1996</w:t>
      </w:r>
      <w:r>
        <w:rPr>
          <w:rFonts w:ascii="宋体" w:hAnsi="宋体" w:eastAsia="宋体" w:cs="宋体"/>
          <w:spacing w:val="8"/>
          <w:sz w:val="23"/>
          <w:szCs w:val="23"/>
        </w:rPr>
        <w:t>) 、  《畜禽养殖业污染治理工程技术规范》</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18"/>
          <w:sz w:val="23"/>
          <w:szCs w:val="23"/>
        </w:rPr>
        <w:t>(</w:t>
      </w:r>
      <w:r>
        <w:rPr>
          <w:rFonts w:ascii="Times New Roman" w:hAnsi="Times New Roman" w:eastAsia="Times New Roman" w:cs="Times New Roman"/>
          <w:sz w:val="23"/>
          <w:szCs w:val="23"/>
        </w:rPr>
        <w:t>HJ</w:t>
      </w:r>
      <w:r>
        <w:rPr>
          <w:rFonts w:ascii="Times New Roman" w:hAnsi="Times New Roman" w:eastAsia="Times New Roman" w:cs="Times New Roman"/>
          <w:spacing w:val="18"/>
          <w:sz w:val="23"/>
          <w:szCs w:val="23"/>
        </w:rPr>
        <w:t>4</w:t>
      </w:r>
      <w:r>
        <w:rPr>
          <w:rFonts w:ascii="Times New Roman" w:hAnsi="Times New Roman" w:eastAsia="Times New Roman" w:cs="Times New Roman"/>
          <w:spacing w:val="9"/>
          <w:sz w:val="23"/>
          <w:szCs w:val="23"/>
        </w:rPr>
        <w:t>97-2009</w:t>
      </w:r>
      <w:r>
        <w:rPr>
          <w:rFonts w:ascii="宋体" w:hAnsi="宋体" w:eastAsia="宋体" w:cs="宋体"/>
          <w:spacing w:val="9"/>
          <w:sz w:val="23"/>
          <w:szCs w:val="23"/>
        </w:rPr>
        <w:t>) 等相关要求，病死猪只尸体要及时处理，严格按照乐山市沙湾区人</w:t>
      </w:r>
      <w:r>
        <w:rPr>
          <w:rFonts w:ascii="宋体" w:hAnsi="宋体" w:eastAsia="宋体" w:cs="宋体"/>
          <w:sz w:val="23"/>
          <w:szCs w:val="23"/>
        </w:rPr>
        <w:t xml:space="preserve"> </w:t>
      </w:r>
      <w:r>
        <w:rPr>
          <w:rFonts w:ascii="宋体" w:hAnsi="宋体" w:eastAsia="宋体" w:cs="宋体"/>
          <w:spacing w:val="5"/>
          <w:sz w:val="23"/>
          <w:szCs w:val="23"/>
        </w:rPr>
        <w:t>民政府办公室《关于建立病死畜禽无害化处理机制的通知》(乐沙府办函</w:t>
      </w:r>
      <w:r>
        <w:rPr>
          <w:rFonts w:ascii="Times New Roman" w:hAnsi="Times New Roman" w:eastAsia="Times New Roman" w:cs="Times New Roman"/>
          <w:spacing w:val="5"/>
          <w:sz w:val="23"/>
          <w:szCs w:val="23"/>
        </w:rPr>
        <w:t xml:space="preserve">[2018] 1 </w:t>
      </w:r>
      <w:r>
        <w:rPr>
          <w:rFonts w:ascii="宋体" w:hAnsi="宋体" w:eastAsia="宋体" w:cs="宋体"/>
          <w:spacing w:val="4"/>
          <w:sz w:val="23"/>
          <w:szCs w:val="23"/>
        </w:rPr>
        <w:t>号</w:t>
      </w:r>
      <w:r>
        <w:rPr>
          <w:rFonts w:ascii="宋体" w:hAnsi="宋体" w:eastAsia="宋体" w:cs="宋体"/>
          <w:sz w:val="23"/>
          <w:szCs w:val="23"/>
        </w:rPr>
        <w:t xml:space="preserve">) </w:t>
      </w:r>
      <w:r>
        <w:rPr>
          <w:rFonts w:ascii="宋体" w:hAnsi="宋体" w:eastAsia="宋体" w:cs="宋体"/>
          <w:spacing w:val="20"/>
          <w:sz w:val="23"/>
          <w:szCs w:val="23"/>
        </w:rPr>
        <w:t>要</w:t>
      </w:r>
      <w:r>
        <w:rPr>
          <w:rFonts w:ascii="宋体" w:hAnsi="宋体" w:eastAsia="宋体" w:cs="宋体"/>
          <w:spacing w:val="15"/>
          <w:sz w:val="23"/>
          <w:szCs w:val="23"/>
        </w:rPr>
        <w:t>求</w:t>
      </w:r>
      <w:r>
        <w:rPr>
          <w:rFonts w:ascii="宋体" w:hAnsi="宋体" w:eastAsia="宋体" w:cs="宋体"/>
          <w:spacing w:val="10"/>
          <w:sz w:val="23"/>
          <w:szCs w:val="23"/>
        </w:rPr>
        <w:t>，在乐山市病死畜禽无害化处理中心建成之前，委托专业化的公司进行无害化</w:t>
      </w:r>
      <w:r>
        <w:rPr>
          <w:rFonts w:ascii="宋体" w:hAnsi="宋体" w:eastAsia="宋体" w:cs="宋体"/>
          <w:sz w:val="23"/>
          <w:szCs w:val="23"/>
        </w:rPr>
        <w:t xml:space="preserve"> </w:t>
      </w:r>
      <w:r>
        <w:rPr>
          <w:rFonts w:ascii="宋体" w:hAnsi="宋体" w:eastAsia="宋体" w:cs="宋体"/>
          <w:spacing w:val="20"/>
          <w:sz w:val="23"/>
          <w:szCs w:val="23"/>
        </w:rPr>
        <w:t>处</w:t>
      </w:r>
      <w:r>
        <w:rPr>
          <w:rFonts w:ascii="宋体" w:hAnsi="宋体" w:eastAsia="宋体" w:cs="宋体"/>
          <w:spacing w:val="15"/>
          <w:sz w:val="23"/>
          <w:szCs w:val="23"/>
        </w:rPr>
        <w:t>置</w:t>
      </w:r>
      <w:r>
        <w:rPr>
          <w:rFonts w:ascii="宋体" w:hAnsi="宋体" w:eastAsia="宋体" w:cs="宋体"/>
          <w:spacing w:val="10"/>
          <w:sz w:val="23"/>
          <w:szCs w:val="23"/>
        </w:rPr>
        <w:t>，乐山市病死畜禽无害化处理中心建成后交无害化处理中心处置，严禁随意丢</w:t>
      </w:r>
      <w:r>
        <w:rPr>
          <w:rFonts w:ascii="宋体" w:hAnsi="宋体" w:eastAsia="宋体" w:cs="宋体"/>
          <w:sz w:val="23"/>
          <w:szCs w:val="23"/>
        </w:rPr>
        <w:t xml:space="preserve"> </w:t>
      </w:r>
      <w:r>
        <w:rPr>
          <w:rFonts w:ascii="宋体" w:hAnsi="宋体" w:eastAsia="宋体" w:cs="宋体"/>
          <w:spacing w:val="16"/>
          <w:sz w:val="23"/>
          <w:szCs w:val="23"/>
        </w:rPr>
        <w:t>弃</w:t>
      </w:r>
      <w:r>
        <w:rPr>
          <w:rFonts w:ascii="宋体" w:hAnsi="宋体" w:eastAsia="宋体" w:cs="宋体"/>
          <w:spacing w:val="9"/>
          <w:sz w:val="23"/>
          <w:szCs w:val="23"/>
        </w:rPr>
        <w:t>，</w:t>
      </w:r>
      <w:r>
        <w:rPr>
          <w:rFonts w:ascii="宋体" w:hAnsi="宋体" w:eastAsia="宋体" w:cs="宋体"/>
          <w:spacing w:val="8"/>
          <w:sz w:val="23"/>
          <w:szCs w:val="23"/>
        </w:rPr>
        <w:t>严禁出售或作为饲料再利用。</w:t>
      </w:r>
    </w:p>
    <w:p w14:paraId="08511825">
      <w:pPr>
        <w:spacing w:line="228" w:lineRule="auto"/>
        <w:ind w:left="489"/>
        <w:rPr>
          <w:rFonts w:ascii="宋体" w:hAnsi="宋体" w:eastAsia="宋体" w:cs="宋体"/>
          <w:sz w:val="23"/>
          <w:szCs w:val="23"/>
        </w:rPr>
      </w:pPr>
      <w:r>
        <w:rPr>
          <w:rFonts w:ascii="宋体" w:hAnsi="宋体" w:eastAsia="宋体" w:cs="宋体"/>
          <w:spacing w:val="15"/>
          <w:sz w:val="23"/>
          <w:szCs w:val="23"/>
        </w:rPr>
        <w:t>病</w:t>
      </w:r>
      <w:r>
        <w:rPr>
          <w:rFonts w:ascii="宋体" w:hAnsi="宋体" w:eastAsia="宋体" w:cs="宋体"/>
          <w:spacing w:val="8"/>
          <w:sz w:val="23"/>
          <w:szCs w:val="23"/>
        </w:rPr>
        <w:t>死猪处理流程及防治措施：</w:t>
      </w:r>
    </w:p>
    <w:p w14:paraId="2A17ED8E">
      <w:pPr>
        <w:sectPr>
          <w:headerReference r:id="rId209" w:type="default"/>
          <w:footerReference r:id="rId210" w:type="default"/>
          <w:pgSz w:w="11907" w:h="16840"/>
          <w:pgMar w:top="1153" w:right="1478" w:bottom="1485" w:left="1660" w:header="919" w:footer="1298" w:gutter="0"/>
          <w:cols w:space="720" w:num="1"/>
        </w:sectPr>
      </w:pPr>
    </w:p>
    <w:p w14:paraId="73012E33">
      <w:pPr>
        <w:spacing w:before="42" w:line="374" w:lineRule="auto"/>
        <w:ind w:left="14" w:right="44" w:firstLine="475"/>
        <w:rPr>
          <w:rFonts w:ascii="宋体" w:hAnsi="宋体" w:eastAsia="宋体" w:cs="宋体"/>
          <w:sz w:val="23"/>
          <w:szCs w:val="23"/>
        </w:rPr>
      </w:pPr>
      <w:r>
        <w:rPr>
          <w:rFonts w:ascii="宋体" w:hAnsi="宋体" w:eastAsia="宋体" w:cs="宋体"/>
          <w:spacing w:val="10"/>
          <w:sz w:val="23"/>
          <w:szCs w:val="23"/>
        </w:rPr>
        <w:t>①病死猪必须坚持</w:t>
      </w:r>
      <w:r>
        <w:rPr>
          <w:rFonts w:ascii="Times New Roman" w:hAnsi="Times New Roman" w:eastAsia="Times New Roman" w:cs="Times New Roman"/>
          <w:spacing w:val="10"/>
          <w:sz w:val="23"/>
          <w:szCs w:val="23"/>
        </w:rPr>
        <w:t>“</w:t>
      </w:r>
      <w:r>
        <w:rPr>
          <w:rFonts w:ascii="宋体" w:hAnsi="宋体" w:eastAsia="宋体" w:cs="宋体"/>
          <w:spacing w:val="10"/>
          <w:sz w:val="23"/>
          <w:szCs w:val="23"/>
        </w:rPr>
        <w:t>五不一处理</w:t>
      </w:r>
      <w:r>
        <w:rPr>
          <w:rFonts w:ascii="Times New Roman" w:hAnsi="Times New Roman" w:eastAsia="Times New Roman" w:cs="Times New Roman"/>
          <w:spacing w:val="10"/>
          <w:sz w:val="23"/>
          <w:szCs w:val="23"/>
        </w:rPr>
        <w:t>”</w:t>
      </w:r>
      <w:r>
        <w:rPr>
          <w:rFonts w:ascii="宋体" w:hAnsi="宋体" w:eastAsia="宋体" w:cs="宋体"/>
          <w:spacing w:val="10"/>
          <w:sz w:val="23"/>
          <w:szCs w:val="23"/>
        </w:rPr>
        <w:t>原则：即不宰杀、不贩运、不买卖、不丢弃</w:t>
      </w:r>
      <w:r>
        <w:rPr>
          <w:rFonts w:ascii="宋体" w:hAnsi="宋体" w:eastAsia="宋体" w:cs="宋体"/>
          <w:spacing w:val="3"/>
          <w:sz w:val="23"/>
          <w:szCs w:val="23"/>
        </w:rPr>
        <w:t>、</w:t>
      </w:r>
      <w:r>
        <w:rPr>
          <w:rFonts w:ascii="宋体" w:hAnsi="宋体" w:eastAsia="宋体" w:cs="宋体"/>
          <w:sz w:val="23"/>
          <w:szCs w:val="23"/>
        </w:rPr>
        <w:t xml:space="preserve"> </w:t>
      </w:r>
      <w:r>
        <w:rPr>
          <w:rFonts w:ascii="宋体" w:hAnsi="宋体" w:eastAsia="宋体" w:cs="宋体"/>
          <w:spacing w:val="16"/>
          <w:sz w:val="23"/>
          <w:szCs w:val="23"/>
        </w:rPr>
        <w:t>不</w:t>
      </w:r>
      <w:r>
        <w:rPr>
          <w:rFonts w:ascii="宋体" w:hAnsi="宋体" w:eastAsia="宋体" w:cs="宋体"/>
          <w:spacing w:val="10"/>
          <w:sz w:val="23"/>
          <w:szCs w:val="23"/>
        </w:rPr>
        <w:t>食</w:t>
      </w:r>
      <w:r>
        <w:rPr>
          <w:rFonts w:ascii="宋体" w:hAnsi="宋体" w:eastAsia="宋体" w:cs="宋体"/>
          <w:spacing w:val="8"/>
          <w:sz w:val="23"/>
          <w:szCs w:val="23"/>
        </w:rPr>
        <w:t>用。同时进行彻底的无害化处理。</w:t>
      </w:r>
    </w:p>
    <w:p w14:paraId="0F565261">
      <w:pPr>
        <w:spacing w:line="225" w:lineRule="auto"/>
        <w:ind w:left="488"/>
        <w:rPr>
          <w:rFonts w:ascii="宋体" w:hAnsi="宋体" w:eastAsia="宋体" w:cs="宋体"/>
          <w:sz w:val="23"/>
          <w:szCs w:val="23"/>
        </w:rPr>
      </w:pPr>
      <w:r>
        <w:rPr>
          <w:rFonts w:ascii="宋体" w:hAnsi="宋体" w:eastAsia="宋体" w:cs="宋体"/>
          <w:spacing w:val="18"/>
          <w:sz w:val="23"/>
          <w:szCs w:val="23"/>
        </w:rPr>
        <w:t>②</w:t>
      </w:r>
      <w:r>
        <w:rPr>
          <w:rFonts w:ascii="宋体" w:hAnsi="宋体" w:eastAsia="宋体" w:cs="宋体"/>
          <w:spacing w:val="12"/>
          <w:sz w:val="23"/>
          <w:szCs w:val="23"/>
        </w:rPr>
        <w:t>病</w:t>
      </w:r>
      <w:r>
        <w:rPr>
          <w:rFonts w:ascii="宋体" w:hAnsi="宋体" w:eastAsia="宋体" w:cs="宋体"/>
          <w:spacing w:val="9"/>
          <w:sz w:val="23"/>
          <w:szCs w:val="23"/>
        </w:rPr>
        <w:t>死猪经兽医确认后，由专门人员用专用车辆集中拉走集中处理。</w:t>
      </w:r>
    </w:p>
    <w:p w14:paraId="7DA3080F">
      <w:pPr>
        <w:spacing w:before="186" w:line="375" w:lineRule="auto"/>
        <w:ind w:left="11" w:right="4" w:firstLine="477"/>
        <w:rPr>
          <w:rFonts w:ascii="宋体" w:hAnsi="宋体" w:eastAsia="宋体" w:cs="宋体"/>
          <w:sz w:val="23"/>
          <w:szCs w:val="23"/>
        </w:rPr>
      </w:pPr>
      <w:r>
        <w:rPr>
          <w:rFonts w:ascii="宋体" w:hAnsi="宋体" w:eastAsia="宋体" w:cs="宋体"/>
          <w:spacing w:val="20"/>
          <w:sz w:val="23"/>
          <w:szCs w:val="23"/>
        </w:rPr>
        <w:t>③</w:t>
      </w:r>
      <w:r>
        <w:rPr>
          <w:rFonts w:ascii="宋体" w:hAnsi="宋体" w:eastAsia="宋体" w:cs="宋体"/>
          <w:spacing w:val="18"/>
          <w:sz w:val="23"/>
          <w:szCs w:val="23"/>
        </w:rPr>
        <w:t>当</w:t>
      </w:r>
      <w:r>
        <w:rPr>
          <w:rFonts w:ascii="宋体" w:hAnsi="宋体" w:eastAsia="宋体" w:cs="宋体"/>
          <w:spacing w:val="10"/>
          <w:sz w:val="23"/>
          <w:szCs w:val="23"/>
        </w:rPr>
        <w:t>发生重大动物疫情时，除对病死动物进行无害化处理外，还应根据动物防</w:t>
      </w:r>
      <w:r>
        <w:rPr>
          <w:rFonts w:ascii="宋体" w:hAnsi="宋体" w:eastAsia="宋体" w:cs="宋体"/>
          <w:sz w:val="23"/>
          <w:szCs w:val="23"/>
        </w:rPr>
        <w:t xml:space="preserve"> </w:t>
      </w:r>
      <w:r>
        <w:rPr>
          <w:rFonts w:ascii="宋体" w:hAnsi="宋体" w:eastAsia="宋体" w:cs="宋体"/>
          <w:spacing w:val="18"/>
          <w:sz w:val="23"/>
          <w:szCs w:val="23"/>
        </w:rPr>
        <w:t>疫</w:t>
      </w:r>
      <w:r>
        <w:rPr>
          <w:rFonts w:ascii="宋体" w:hAnsi="宋体" w:eastAsia="宋体" w:cs="宋体"/>
          <w:spacing w:val="11"/>
          <w:sz w:val="23"/>
          <w:szCs w:val="23"/>
        </w:rPr>
        <w:t>主</w:t>
      </w:r>
      <w:r>
        <w:rPr>
          <w:rFonts w:ascii="宋体" w:hAnsi="宋体" w:eastAsia="宋体" w:cs="宋体"/>
          <w:spacing w:val="9"/>
          <w:sz w:val="23"/>
          <w:szCs w:val="23"/>
        </w:rPr>
        <w:t>管部门的决定，对同群或染疫的动物进行扑杀，并进行无害化处理。</w:t>
      </w:r>
    </w:p>
    <w:p w14:paraId="727929D2">
      <w:pPr>
        <w:spacing w:before="1" w:line="374" w:lineRule="auto"/>
        <w:ind w:left="15" w:right="4" w:firstLine="472"/>
        <w:rPr>
          <w:rFonts w:ascii="宋体" w:hAnsi="宋体" w:eastAsia="宋体" w:cs="宋体"/>
          <w:sz w:val="23"/>
          <w:szCs w:val="23"/>
        </w:rPr>
      </w:pPr>
      <w:r>
        <w:rPr>
          <w:rFonts w:ascii="宋体" w:hAnsi="宋体" w:eastAsia="宋体" w:cs="宋体"/>
          <w:spacing w:val="20"/>
          <w:sz w:val="23"/>
          <w:szCs w:val="23"/>
        </w:rPr>
        <w:t>④</w:t>
      </w:r>
      <w:r>
        <w:rPr>
          <w:rFonts w:ascii="宋体" w:hAnsi="宋体" w:eastAsia="宋体" w:cs="宋体"/>
          <w:spacing w:val="18"/>
          <w:sz w:val="23"/>
          <w:szCs w:val="23"/>
        </w:rPr>
        <w:t>无</w:t>
      </w:r>
      <w:r>
        <w:rPr>
          <w:rFonts w:ascii="宋体" w:hAnsi="宋体" w:eastAsia="宋体" w:cs="宋体"/>
          <w:spacing w:val="10"/>
          <w:sz w:val="23"/>
          <w:szCs w:val="23"/>
        </w:rPr>
        <w:t>害化处理完后，必须彻底对其圈舍、用具、道路等进行彻底消毒，防止病</w:t>
      </w:r>
      <w:r>
        <w:rPr>
          <w:rFonts w:ascii="宋体" w:hAnsi="宋体" w:eastAsia="宋体" w:cs="宋体"/>
          <w:sz w:val="23"/>
          <w:szCs w:val="23"/>
        </w:rPr>
        <w:t xml:space="preserve"> </w:t>
      </w:r>
      <w:r>
        <w:rPr>
          <w:rFonts w:ascii="宋体" w:hAnsi="宋体" w:eastAsia="宋体" w:cs="宋体"/>
          <w:spacing w:val="5"/>
          <w:sz w:val="23"/>
          <w:szCs w:val="23"/>
        </w:rPr>
        <w:t>原</w:t>
      </w:r>
      <w:r>
        <w:rPr>
          <w:rFonts w:ascii="宋体" w:hAnsi="宋体" w:eastAsia="宋体" w:cs="宋体"/>
          <w:spacing w:val="3"/>
          <w:sz w:val="23"/>
          <w:szCs w:val="23"/>
        </w:rPr>
        <w:t>传播。</w:t>
      </w:r>
    </w:p>
    <w:p w14:paraId="2D465F97">
      <w:pPr>
        <w:spacing w:before="1" w:line="374" w:lineRule="auto"/>
        <w:ind w:left="11" w:right="4" w:firstLine="477"/>
        <w:rPr>
          <w:rFonts w:ascii="宋体" w:hAnsi="宋体" w:eastAsia="宋体" w:cs="宋体"/>
          <w:sz w:val="23"/>
          <w:szCs w:val="23"/>
        </w:rPr>
      </w:pPr>
      <w:r>
        <w:rPr>
          <w:rFonts w:ascii="宋体" w:hAnsi="宋体" w:eastAsia="宋体" w:cs="宋体"/>
          <w:spacing w:val="20"/>
          <w:sz w:val="23"/>
          <w:szCs w:val="23"/>
        </w:rPr>
        <w:t>⑤</w:t>
      </w:r>
      <w:r>
        <w:rPr>
          <w:rFonts w:ascii="宋体" w:hAnsi="宋体" w:eastAsia="宋体" w:cs="宋体"/>
          <w:spacing w:val="18"/>
          <w:sz w:val="23"/>
          <w:szCs w:val="23"/>
        </w:rPr>
        <w:t>在</w:t>
      </w:r>
      <w:r>
        <w:rPr>
          <w:rFonts w:ascii="宋体" w:hAnsi="宋体" w:eastAsia="宋体" w:cs="宋体"/>
          <w:spacing w:val="10"/>
          <w:sz w:val="23"/>
          <w:szCs w:val="23"/>
        </w:rPr>
        <w:t>无害化处理过程中及疫病流行期间要注意个人防护，防止人畜共患病传染</w:t>
      </w:r>
      <w:r>
        <w:rPr>
          <w:rFonts w:ascii="宋体" w:hAnsi="宋体" w:eastAsia="宋体" w:cs="宋体"/>
          <w:sz w:val="23"/>
          <w:szCs w:val="23"/>
        </w:rPr>
        <w:t xml:space="preserve"> </w:t>
      </w:r>
      <w:r>
        <w:rPr>
          <w:rFonts w:ascii="宋体" w:hAnsi="宋体" w:eastAsia="宋体" w:cs="宋体"/>
          <w:spacing w:val="3"/>
          <w:sz w:val="23"/>
          <w:szCs w:val="23"/>
        </w:rPr>
        <w:t>给人。</w:t>
      </w:r>
    </w:p>
    <w:p w14:paraId="7FCDF8E5">
      <w:pPr>
        <w:spacing w:line="228" w:lineRule="auto"/>
        <w:ind w:left="501"/>
        <w:rPr>
          <w:rFonts w:ascii="宋体" w:hAnsi="宋体" w:eastAsia="宋体" w:cs="宋体"/>
          <w:sz w:val="23"/>
          <w:szCs w:val="23"/>
        </w:rPr>
      </w:pPr>
      <w:r>
        <w:rPr>
          <w:rFonts w:ascii="宋体" w:hAnsi="宋体" w:eastAsia="宋体" w:cs="宋体"/>
          <w:spacing w:val="23"/>
          <w:sz w:val="23"/>
          <w:szCs w:val="23"/>
        </w:rPr>
        <w:t>(</w:t>
      </w:r>
      <w:r>
        <w:rPr>
          <w:rFonts w:ascii="Times New Roman" w:hAnsi="Times New Roman" w:eastAsia="Times New Roman" w:cs="Times New Roman"/>
          <w:spacing w:val="21"/>
          <w:sz w:val="23"/>
          <w:szCs w:val="23"/>
        </w:rPr>
        <w:t>3</w:t>
      </w:r>
      <w:r>
        <w:rPr>
          <w:rFonts w:ascii="宋体" w:hAnsi="宋体" w:eastAsia="宋体" w:cs="宋体"/>
          <w:spacing w:val="21"/>
          <w:sz w:val="23"/>
          <w:szCs w:val="23"/>
        </w:rPr>
        <w:t>) 废垫料</w:t>
      </w:r>
    </w:p>
    <w:p w14:paraId="1BD26F9E">
      <w:pPr>
        <w:spacing w:before="180" w:line="375" w:lineRule="auto"/>
        <w:ind w:left="10" w:right="2" w:firstLine="480"/>
        <w:rPr>
          <w:rFonts w:ascii="宋体" w:hAnsi="宋体" w:eastAsia="宋体" w:cs="宋体"/>
          <w:sz w:val="23"/>
          <w:szCs w:val="23"/>
        </w:rPr>
      </w:pPr>
      <w:r>
        <w:rPr>
          <w:rFonts w:ascii="宋体" w:hAnsi="宋体" w:eastAsia="宋体" w:cs="宋体"/>
          <w:spacing w:val="18"/>
          <w:sz w:val="23"/>
          <w:szCs w:val="23"/>
        </w:rPr>
        <w:t>本项</w:t>
      </w:r>
      <w:r>
        <w:rPr>
          <w:rFonts w:ascii="宋体" w:hAnsi="宋体" w:eastAsia="宋体" w:cs="宋体"/>
          <w:spacing w:val="11"/>
          <w:sz w:val="23"/>
          <w:szCs w:val="23"/>
        </w:rPr>
        <w:t>目</w:t>
      </w:r>
      <w:r>
        <w:rPr>
          <w:rFonts w:ascii="宋体" w:hAnsi="宋体" w:eastAsia="宋体" w:cs="宋体"/>
          <w:spacing w:val="9"/>
          <w:sz w:val="23"/>
          <w:szCs w:val="23"/>
        </w:rPr>
        <w:t xml:space="preserve">废垫料每 </w:t>
      </w:r>
      <w:r>
        <w:rPr>
          <w:rFonts w:ascii="Times New Roman" w:hAnsi="Times New Roman" w:eastAsia="Times New Roman" w:cs="Times New Roman"/>
          <w:spacing w:val="9"/>
          <w:sz w:val="23"/>
          <w:szCs w:val="23"/>
        </w:rPr>
        <w:t xml:space="preserve">1.5 </w:t>
      </w:r>
      <w:r>
        <w:rPr>
          <w:rFonts w:ascii="宋体" w:hAnsi="宋体" w:eastAsia="宋体" w:cs="宋体"/>
          <w:spacing w:val="9"/>
          <w:sz w:val="23"/>
          <w:szCs w:val="23"/>
        </w:rPr>
        <w:t>年清理一次，腐熟粪污及垫料全部一起清理，发酵槽最大</w:t>
      </w:r>
      <w:r>
        <w:rPr>
          <w:rFonts w:ascii="宋体" w:hAnsi="宋体" w:eastAsia="宋体" w:cs="宋体"/>
          <w:sz w:val="23"/>
          <w:szCs w:val="23"/>
        </w:rPr>
        <w:t xml:space="preserve"> </w:t>
      </w:r>
      <w:r>
        <w:rPr>
          <w:rFonts w:ascii="宋体" w:hAnsi="宋体" w:eastAsia="宋体" w:cs="宋体"/>
          <w:spacing w:val="6"/>
          <w:sz w:val="23"/>
          <w:szCs w:val="23"/>
        </w:rPr>
        <w:t xml:space="preserve">可放置垫料 </w:t>
      </w:r>
      <w:r>
        <w:rPr>
          <w:rFonts w:ascii="Times New Roman" w:hAnsi="Times New Roman" w:eastAsia="Times New Roman" w:cs="Times New Roman"/>
          <w:spacing w:val="6"/>
          <w:sz w:val="23"/>
          <w:szCs w:val="23"/>
        </w:rPr>
        <w:t>2000</w:t>
      </w:r>
      <w:r>
        <w:rPr>
          <w:rFonts w:ascii="Times New Roman" w:hAnsi="Times New Roman" w:eastAsia="Times New Roman" w:cs="Times New Roman"/>
          <w:sz w:val="23"/>
          <w:szCs w:val="23"/>
        </w:rPr>
        <w:t>m</w:t>
      </w:r>
      <w:r>
        <w:rPr>
          <w:rFonts w:ascii="Times New Roman" w:hAnsi="Times New Roman" w:eastAsia="Times New Roman" w:cs="Times New Roman"/>
          <w:spacing w:val="6"/>
          <w:position w:val="7"/>
          <w:sz w:val="15"/>
          <w:szCs w:val="15"/>
        </w:rPr>
        <w:t xml:space="preserve">3 </w:t>
      </w:r>
      <w:r>
        <w:rPr>
          <w:rFonts w:ascii="宋体" w:hAnsi="宋体" w:eastAsia="宋体" w:cs="宋体"/>
          <w:spacing w:val="6"/>
          <w:sz w:val="23"/>
          <w:szCs w:val="23"/>
        </w:rPr>
        <w:t xml:space="preserve">，因此，每次清理的废垫料为 </w:t>
      </w:r>
      <w:r>
        <w:rPr>
          <w:rFonts w:ascii="Times New Roman" w:hAnsi="Times New Roman" w:eastAsia="Times New Roman" w:cs="Times New Roman"/>
          <w:spacing w:val="6"/>
          <w:sz w:val="23"/>
          <w:szCs w:val="23"/>
        </w:rPr>
        <w:t>2000</w:t>
      </w:r>
      <w:r>
        <w:rPr>
          <w:rFonts w:ascii="Times New Roman" w:hAnsi="Times New Roman" w:eastAsia="Times New Roman" w:cs="Times New Roman"/>
          <w:sz w:val="23"/>
          <w:szCs w:val="23"/>
        </w:rPr>
        <w:t>m</w:t>
      </w:r>
      <w:r>
        <w:rPr>
          <w:rFonts w:ascii="Times New Roman" w:hAnsi="Times New Roman" w:eastAsia="Times New Roman" w:cs="Times New Roman"/>
          <w:spacing w:val="6"/>
          <w:position w:val="7"/>
          <w:sz w:val="15"/>
          <w:szCs w:val="15"/>
        </w:rPr>
        <w:t xml:space="preserve">3 </w:t>
      </w:r>
      <w:r>
        <w:rPr>
          <w:rFonts w:ascii="宋体" w:hAnsi="宋体" w:eastAsia="宋体" w:cs="宋体"/>
          <w:spacing w:val="6"/>
          <w:sz w:val="23"/>
          <w:szCs w:val="23"/>
        </w:rPr>
        <w:t>。清理的废垫料中各项</w:t>
      </w:r>
      <w:r>
        <w:rPr>
          <w:rFonts w:ascii="宋体" w:hAnsi="宋体" w:eastAsia="宋体" w:cs="宋体"/>
          <w:spacing w:val="4"/>
          <w:sz w:val="23"/>
          <w:szCs w:val="23"/>
        </w:rPr>
        <w:t>检</w:t>
      </w:r>
      <w:r>
        <w:rPr>
          <w:rFonts w:ascii="宋体" w:hAnsi="宋体" w:eastAsia="宋体" w:cs="宋体"/>
          <w:sz w:val="23"/>
          <w:szCs w:val="23"/>
        </w:rPr>
        <w:t xml:space="preserve"> </w:t>
      </w:r>
      <w:r>
        <w:rPr>
          <w:rFonts w:ascii="宋体" w:hAnsi="宋体" w:eastAsia="宋体" w:cs="宋体"/>
          <w:spacing w:val="8"/>
          <w:sz w:val="23"/>
          <w:szCs w:val="23"/>
        </w:rPr>
        <w:t>测指标符合我国</w:t>
      </w:r>
      <w:r>
        <w:rPr>
          <w:rFonts w:ascii="宋体" w:hAnsi="宋体" w:eastAsia="宋体" w:cs="宋体"/>
          <w:spacing w:val="6"/>
          <w:sz w:val="23"/>
          <w:szCs w:val="23"/>
        </w:rPr>
        <w:t>农</w:t>
      </w:r>
      <w:r>
        <w:rPr>
          <w:rFonts w:ascii="宋体" w:hAnsi="宋体" w:eastAsia="宋体" w:cs="宋体"/>
          <w:spacing w:val="4"/>
          <w:sz w:val="23"/>
          <w:szCs w:val="23"/>
        </w:rPr>
        <w:t>业行业标准《有机肥料》  (</w:t>
      </w:r>
      <w:r>
        <w:rPr>
          <w:rFonts w:ascii="Times New Roman" w:hAnsi="Times New Roman" w:eastAsia="Times New Roman" w:cs="Times New Roman"/>
          <w:sz w:val="23"/>
          <w:szCs w:val="23"/>
        </w:rPr>
        <w:t>NY</w:t>
      </w:r>
      <w:r>
        <w:rPr>
          <w:rFonts w:ascii="Times New Roman" w:hAnsi="Times New Roman" w:eastAsia="Times New Roman" w:cs="Times New Roman"/>
          <w:spacing w:val="4"/>
          <w:sz w:val="23"/>
          <w:szCs w:val="23"/>
        </w:rPr>
        <w:t>525-2012</w:t>
      </w:r>
      <w:r>
        <w:rPr>
          <w:rFonts w:ascii="宋体" w:hAnsi="宋体" w:eastAsia="宋体" w:cs="宋体"/>
          <w:spacing w:val="4"/>
          <w:sz w:val="23"/>
          <w:szCs w:val="23"/>
        </w:rPr>
        <w:t>) 的要求，重金属元素与</w:t>
      </w:r>
      <w:r>
        <w:rPr>
          <w:rFonts w:ascii="宋体" w:hAnsi="宋体" w:eastAsia="宋体" w:cs="宋体"/>
          <w:sz w:val="23"/>
          <w:szCs w:val="23"/>
        </w:rPr>
        <w:t xml:space="preserve"> </w:t>
      </w:r>
      <w:r>
        <w:rPr>
          <w:rFonts w:ascii="宋体" w:hAnsi="宋体" w:eastAsia="宋体" w:cs="宋体"/>
          <w:spacing w:val="20"/>
          <w:sz w:val="23"/>
          <w:szCs w:val="23"/>
        </w:rPr>
        <w:t>抗</w:t>
      </w:r>
      <w:r>
        <w:rPr>
          <w:rFonts w:ascii="宋体" w:hAnsi="宋体" w:eastAsia="宋体" w:cs="宋体"/>
          <w:spacing w:val="16"/>
          <w:sz w:val="23"/>
          <w:szCs w:val="23"/>
        </w:rPr>
        <w:t>生</w:t>
      </w:r>
      <w:r>
        <w:rPr>
          <w:rFonts w:ascii="宋体" w:hAnsi="宋体" w:eastAsia="宋体" w:cs="宋体"/>
          <w:spacing w:val="10"/>
          <w:sz w:val="23"/>
          <w:szCs w:val="23"/>
        </w:rPr>
        <w:t>素的含量也均在相关标准限量范围内，是优良的有机肥生产原料。因此，将腐</w:t>
      </w:r>
      <w:r>
        <w:rPr>
          <w:rFonts w:ascii="宋体" w:hAnsi="宋体" w:eastAsia="宋体" w:cs="宋体"/>
          <w:sz w:val="23"/>
          <w:szCs w:val="23"/>
        </w:rPr>
        <w:t xml:space="preserve"> </w:t>
      </w:r>
      <w:r>
        <w:rPr>
          <w:rFonts w:ascii="宋体" w:hAnsi="宋体" w:eastAsia="宋体" w:cs="宋体"/>
          <w:spacing w:val="20"/>
          <w:sz w:val="23"/>
          <w:szCs w:val="23"/>
        </w:rPr>
        <w:t>熟</w:t>
      </w:r>
      <w:r>
        <w:rPr>
          <w:rFonts w:ascii="宋体" w:hAnsi="宋体" w:eastAsia="宋体" w:cs="宋体"/>
          <w:spacing w:val="16"/>
          <w:sz w:val="23"/>
          <w:szCs w:val="23"/>
        </w:rPr>
        <w:t>垫</w:t>
      </w:r>
      <w:r>
        <w:rPr>
          <w:rFonts w:ascii="宋体" w:hAnsi="宋体" w:eastAsia="宋体" w:cs="宋体"/>
          <w:spacing w:val="10"/>
          <w:sz w:val="23"/>
          <w:szCs w:val="23"/>
        </w:rPr>
        <w:t>料加工为有机肥是垫料资源化再利用的重要途径，可产生良好的经济效益。项</w:t>
      </w:r>
      <w:r>
        <w:rPr>
          <w:rFonts w:ascii="宋体" w:hAnsi="宋体" w:eastAsia="宋体" w:cs="宋体"/>
          <w:sz w:val="23"/>
          <w:szCs w:val="23"/>
        </w:rPr>
        <w:t xml:space="preserve"> </w:t>
      </w:r>
      <w:r>
        <w:rPr>
          <w:rFonts w:ascii="宋体" w:hAnsi="宋体" w:eastAsia="宋体" w:cs="宋体"/>
          <w:spacing w:val="6"/>
          <w:sz w:val="23"/>
          <w:szCs w:val="23"/>
        </w:rPr>
        <w:t xml:space="preserve">目发酵槽最大可放置垫料 </w:t>
      </w:r>
      <w:r>
        <w:rPr>
          <w:rFonts w:ascii="Times New Roman" w:hAnsi="Times New Roman" w:eastAsia="Times New Roman" w:cs="Times New Roman"/>
          <w:spacing w:val="6"/>
          <w:sz w:val="23"/>
          <w:szCs w:val="23"/>
        </w:rPr>
        <w:t>2000</w:t>
      </w:r>
      <w:r>
        <w:rPr>
          <w:rFonts w:ascii="Times New Roman" w:hAnsi="Times New Roman" w:eastAsia="Times New Roman" w:cs="Times New Roman"/>
          <w:sz w:val="23"/>
          <w:szCs w:val="23"/>
        </w:rPr>
        <w:t>m</w:t>
      </w:r>
      <w:r>
        <w:rPr>
          <w:rFonts w:ascii="Times New Roman" w:hAnsi="Times New Roman" w:eastAsia="Times New Roman" w:cs="Times New Roman"/>
          <w:spacing w:val="6"/>
          <w:position w:val="8"/>
          <w:sz w:val="15"/>
          <w:szCs w:val="15"/>
        </w:rPr>
        <w:t xml:space="preserve">3 </w:t>
      </w:r>
      <w:r>
        <w:rPr>
          <w:rFonts w:ascii="宋体" w:hAnsi="宋体" w:eastAsia="宋体" w:cs="宋体"/>
          <w:spacing w:val="6"/>
          <w:sz w:val="23"/>
          <w:szCs w:val="23"/>
        </w:rPr>
        <w:t xml:space="preserve">，因此，每次清理的废垫料为 </w:t>
      </w:r>
      <w:r>
        <w:rPr>
          <w:rFonts w:ascii="Times New Roman" w:hAnsi="Times New Roman" w:eastAsia="Times New Roman" w:cs="Times New Roman"/>
          <w:spacing w:val="6"/>
          <w:sz w:val="23"/>
          <w:szCs w:val="23"/>
        </w:rPr>
        <w:t>2000</w:t>
      </w:r>
      <w:r>
        <w:rPr>
          <w:rFonts w:ascii="Times New Roman" w:hAnsi="Times New Roman" w:eastAsia="Times New Roman" w:cs="Times New Roman"/>
          <w:sz w:val="23"/>
          <w:szCs w:val="23"/>
        </w:rPr>
        <w:t>m</w:t>
      </w:r>
      <w:r>
        <w:rPr>
          <w:rFonts w:ascii="Times New Roman" w:hAnsi="Times New Roman" w:eastAsia="Times New Roman" w:cs="Times New Roman"/>
          <w:spacing w:val="6"/>
          <w:position w:val="8"/>
          <w:sz w:val="15"/>
          <w:szCs w:val="15"/>
        </w:rPr>
        <w:t xml:space="preserve">3 </w:t>
      </w:r>
      <w:r>
        <w:rPr>
          <w:rFonts w:ascii="宋体" w:hAnsi="宋体" w:eastAsia="宋体" w:cs="宋体"/>
          <w:spacing w:val="6"/>
          <w:sz w:val="23"/>
          <w:szCs w:val="23"/>
        </w:rPr>
        <w:t>。项目产</w:t>
      </w:r>
      <w:r>
        <w:rPr>
          <w:rFonts w:ascii="宋体" w:hAnsi="宋体" w:eastAsia="宋体" w:cs="宋体"/>
          <w:spacing w:val="4"/>
          <w:sz w:val="23"/>
          <w:szCs w:val="23"/>
        </w:rPr>
        <w:t>生</w:t>
      </w:r>
      <w:r>
        <w:rPr>
          <w:rFonts w:ascii="宋体" w:hAnsi="宋体" w:eastAsia="宋体" w:cs="宋体"/>
          <w:sz w:val="23"/>
          <w:szCs w:val="23"/>
        </w:rPr>
        <w:t xml:space="preserve"> </w:t>
      </w:r>
      <w:r>
        <w:rPr>
          <w:rFonts w:ascii="宋体" w:hAnsi="宋体" w:eastAsia="宋体" w:cs="宋体"/>
          <w:spacing w:val="13"/>
          <w:sz w:val="23"/>
          <w:szCs w:val="23"/>
        </w:rPr>
        <w:t>的</w:t>
      </w:r>
      <w:r>
        <w:rPr>
          <w:rFonts w:ascii="宋体" w:hAnsi="宋体" w:eastAsia="宋体" w:cs="宋体"/>
          <w:spacing w:val="9"/>
          <w:sz w:val="23"/>
          <w:szCs w:val="23"/>
        </w:rPr>
        <w:t>腐熟垫料混合物优先出售给有机肥厂加工成有机肥。</w:t>
      </w:r>
    </w:p>
    <w:p w14:paraId="7310AEC7">
      <w:pPr>
        <w:spacing w:line="228" w:lineRule="auto"/>
        <w:ind w:left="50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4</w:t>
      </w:r>
      <w:r>
        <w:rPr>
          <w:rFonts w:ascii="宋体" w:hAnsi="宋体" w:eastAsia="宋体" w:cs="宋体"/>
          <w:spacing w:val="20"/>
          <w:sz w:val="23"/>
          <w:szCs w:val="23"/>
        </w:rPr>
        <w:t>) 生活垃</w:t>
      </w:r>
      <w:r>
        <w:rPr>
          <w:rFonts w:ascii="宋体" w:hAnsi="宋体" w:eastAsia="宋体" w:cs="宋体"/>
          <w:spacing w:val="19"/>
          <w:sz w:val="23"/>
          <w:szCs w:val="23"/>
        </w:rPr>
        <w:t>圾</w:t>
      </w:r>
    </w:p>
    <w:p w14:paraId="620DF2D7">
      <w:pPr>
        <w:spacing w:before="144" w:line="380" w:lineRule="auto"/>
        <w:ind w:left="9" w:right="4" w:firstLine="484"/>
        <w:rPr>
          <w:rFonts w:ascii="宋体" w:hAnsi="宋体" w:eastAsia="宋体" w:cs="宋体"/>
          <w:sz w:val="23"/>
          <w:szCs w:val="23"/>
        </w:rPr>
      </w:pPr>
      <w:r>
        <w:rPr>
          <w:rFonts w:ascii="宋体" w:hAnsi="宋体" w:eastAsia="宋体" w:cs="宋体"/>
          <w:spacing w:val="8"/>
          <w:sz w:val="23"/>
          <w:szCs w:val="23"/>
        </w:rPr>
        <w:t>项目产生的生</w:t>
      </w:r>
      <w:r>
        <w:rPr>
          <w:rFonts w:ascii="宋体" w:hAnsi="宋体" w:eastAsia="宋体" w:cs="宋体"/>
          <w:spacing w:val="4"/>
          <w:sz w:val="23"/>
          <w:szCs w:val="23"/>
        </w:rPr>
        <w:t xml:space="preserve">活垃圾为 </w:t>
      </w:r>
      <w:r>
        <w:rPr>
          <w:rFonts w:ascii="Times New Roman" w:hAnsi="Times New Roman" w:eastAsia="Times New Roman" w:cs="Times New Roman"/>
          <w:spacing w:val="4"/>
          <w:sz w:val="23"/>
          <w:szCs w:val="23"/>
        </w:rPr>
        <w:t>2. 19</w:t>
      </w:r>
      <w:r>
        <w:rPr>
          <w:rFonts w:ascii="Times New Roman" w:hAnsi="Times New Roman" w:eastAsia="Times New Roman" w:cs="Times New Roman"/>
          <w:sz w:val="23"/>
          <w:szCs w:val="23"/>
        </w:rPr>
        <w:t>t</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，如不及时清理，会腐烂发臭变质，引起细菌、</w:t>
      </w:r>
      <w:r>
        <w:rPr>
          <w:rFonts w:ascii="宋体" w:hAnsi="宋体" w:eastAsia="宋体" w:cs="宋体"/>
          <w:sz w:val="23"/>
          <w:szCs w:val="23"/>
        </w:rPr>
        <w:t xml:space="preserve"> </w:t>
      </w:r>
      <w:r>
        <w:rPr>
          <w:rFonts w:ascii="宋体" w:hAnsi="宋体" w:eastAsia="宋体" w:cs="宋体"/>
          <w:spacing w:val="20"/>
          <w:sz w:val="23"/>
          <w:szCs w:val="23"/>
        </w:rPr>
        <w:t>蚊</w:t>
      </w:r>
      <w:r>
        <w:rPr>
          <w:rFonts w:ascii="宋体" w:hAnsi="宋体" w:eastAsia="宋体" w:cs="宋体"/>
          <w:spacing w:val="17"/>
          <w:sz w:val="23"/>
          <w:szCs w:val="23"/>
        </w:rPr>
        <w:t>蝇</w:t>
      </w:r>
      <w:r>
        <w:rPr>
          <w:rFonts w:ascii="宋体" w:hAnsi="宋体" w:eastAsia="宋体" w:cs="宋体"/>
          <w:spacing w:val="10"/>
          <w:sz w:val="23"/>
          <w:szCs w:val="23"/>
        </w:rPr>
        <w:t>的大量繁殖，导致当地传染病易于传播和发病率的上升，污染陆域环境，传播</w:t>
      </w:r>
      <w:r>
        <w:rPr>
          <w:rFonts w:ascii="宋体" w:hAnsi="宋体" w:eastAsia="宋体" w:cs="宋体"/>
          <w:sz w:val="23"/>
          <w:szCs w:val="23"/>
        </w:rPr>
        <w:t xml:space="preserve"> </w:t>
      </w:r>
      <w:r>
        <w:rPr>
          <w:rFonts w:ascii="宋体" w:hAnsi="宋体" w:eastAsia="宋体" w:cs="宋体"/>
          <w:spacing w:val="20"/>
          <w:sz w:val="23"/>
          <w:szCs w:val="23"/>
        </w:rPr>
        <w:t>疾</w:t>
      </w:r>
      <w:r>
        <w:rPr>
          <w:rFonts w:ascii="宋体" w:hAnsi="宋体" w:eastAsia="宋体" w:cs="宋体"/>
          <w:spacing w:val="17"/>
          <w:sz w:val="23"/>
          <w:szCs w:val="23"/>
        </w:rPr>
        <w:t>病</w:t>
      </w:r>
      <w:r>
        <w:rPr>
          <w:rFonts w:ascii="宋体" w:hAnsi="宋体" w:eastAsia="宋体" w:cs="宋体"/>
          <w:spacing w:val="10"/>
          <w:sz w:val="23"/>
          <w:szCs w:val="23"/>
        </w:rPr>
        <w:t>，危害人体健康，影响区域景观。如就地掩埋，还有可能会污染地下水，一旦</w:t>
      </w:r>
      <w:r>
        <w:rPr>
          <w:rFonts w:ascii="宋体" w:hAnsi="宋体" w:eastAsia="宋体" w:cs="宋体"/>
          <w:sz w:val="23"/>
          <w:szCs w:val="23"/>
        </w:rPr>
        <w:t xml:space="preserve"> </w:t>
      </w:r>
      <w:r>
        <w:rPr>
          <w:rFonts w:ascii="宋体" w:hAnsi="宋体" w:eastAsia="宋体" w:cs="宋体"/>
          <w:spacing w:val="20"/>
          <w:sz w:val="23"/>
          <w:szCs w:val="23"/>
        </w:rPr>
        <w:t>被</w:t>
      </w:r>
      <w:r>
        <w:rPr>
          <w:rFonts w:ascii="宋体" w:hAnsi="宋体" w:eastAsia="宋体" w:cs="宋体"/>
          <w:spacing w:val="17"/>
          <w:sz w:val="23"/>
          <w:szCs w:val="23"/>
        </w:rPr>
        <w:t>雨</w:t>
      </w:r>
      <w:r>
        <w:rPr>
          <w:rFonts w:ascii="宋体" w:hAnsi="宋体" w:eastAsia="宋体" w:cs="宋体"/>
          <w:spacing w:val="10"/>
          <w:sz w:val="23"/>
          <w:szCs w:val="23"/>
        </w:rPr>
        <w:t>水冲出还会造成二次污染。因此，生活垃圾必须妥善处理，避免对环境造成污</w:t>
      </w:r>
      <w:r>
        <w:rPr>
          <w:rFonts w:ascii="宋体" w:hAnsi="宋体" w:eastAsia="宋体" w:cs="宋体"/>
          <w:sz w:val="23"/>
          <w:szCs w:val="23"/>
        </w:rPr>
        <w:t xml:space="preserve"> </w:t>
      </w:r>
      <w:r>
        <w:rPr>
          <w:rFonts w:ascii="宋体" w:hAnsi="宋体" w:eastAsia="宋体" w:cs="宋体"/>
          <w:spacing w:val="20"/>
          <w:sz w:val="23"/>
          <w:szCs w:val="23"/>
        </w:rPr>
        <w:t>染</w:t>
      </w:r>
      <w:r>
        <w:rPr>
          <w:rFonts w:ascii="宋体" w:hAnsi="宋体" w:eastAsia="宋体" w:cs="宋体"/>
          <w:spacing w:val="17"/>
          <w:sz w:val="23"/>
          <w:szCs w:val="23"/>
        </w:rPr>
        <w:t>。</w:t>
      </w:r>
      <w:r>
        <w:rPr>
          <w:rFonts w:ascii="宋体" w:hAnsi="宋体" w:eastAsia="宋体" w:cs="宋体"/>
          <w:spacing w:val="10"/>
          <w:sz w:val="23"/>
          <w:szCs w:val="23"/>
        </w:rPr>
        <w:t>本项目各个地块均设置一处生活垃圾收集点，利用垃圾桶收集，生活垃圾定期</w:t>
      </w:r>
      <w:r>
        <w:rPr>
          <w:rFonts w:ascii="宋体" w:hAnsi="宋体" w:eastAsia="宋体" w:cs="宋体"/>
          <w:sz w:val="23"/>
          <w:szCs w:val="23"/>
        </w:rPr>
        <w:t xml:space="preserve"> </w:t>
      </w:r>
      <w:r>
        <w:rPr>
          <w:rFonts w:ascii="宋体" w:hAnsi="宋体" w:eastAsia="宋体" w:cs="宋体"/>
          <w:spacing w:val="18"/>
          <w:sz w:val="23"/>
          <w:szCs w:val="23"/>
        </w:rPr>
        <w:t>转</w:t>
      </w:r>
      <w:r>
        <w:rPr>
          <w:rFonts w:ascii="宋体" w:hAnsi="宋体" w:eastAsia="宋体" w:cs="宋体"/>
          <w:spacing w:val="14"/>
          <w:sz w:val="23"/>
          <w:szCs w:val="23"/>
        </w:rPr>
        <w:t>运</w:t>
      </w:r>
      <w:r>
        <w:rPr>
          <w:rFonts w:ascii="宋体" w:hAnsi="宋体" w:eastAsia="宋体" w:cs="宋体"/>
          <w:spacing w:val="9"/>
          <w:sz w:val="23"/>
          <w:szCs w:val="23"/>
        </w:rPr>
        <w:t>至垃圾中转站，由当地环卫部门统一清运处置，对周围环境影响较小。</w:t>
      </w:r>
    </w:p>
    <w:p w14:paraId="4C2A0755">
      <w:pPr>
        <w:spacing w:line="228" w:lineRule="auto"/>
        <w:ind w:left="50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5</w:t>
      </w:r>
      <w:r>
        <w:rPr>
          <w:rFonts w:ascii="宋体" w:hAnsi="宋体" w:eastAsia="宋体" w:cs="宋体"/>
          <w:spacing w:val="20"/>
          <w:sz w:val="23"/>
          <w:szCs w:val="23"/>
        </w:rPr>
        <w:t>) 废饲料</w:t>
      </w:r>
      <w:r>
        <w:rPr>
          <w:rFonts w:ascii="宋体" w:hAnsi="宋体" w:eastAsia="宋体" w:cs="宋体"/>
          <w:spacing w:val="19"/>
          <w:sz w:val="23"/>
          <w:szCs w:val="23"/>
        </w:rPr>
        <w:t>袋</w:t>
      </w:r>
    </w:p>
    <w:p w14:paraId="036830EF">
      <w:pPr>
        <w:spacing w:before="185" w:line="227" w:lineRule="auto"/>
        <w:ind w:left="494"/>
        <w:rPr>
          <w:rFonts w:ascii="宋体" w:hAnsi="宋体" w:eastAsia="宋体" w:cs="宋体"/>
          <w:sz w:val="23"/>
          <w:szCs w:val="23"/>
        </w:rPr>
      </w:pPr>
      <w:r>
        <w:rPr>
          <w:rFonts w:ascii="宋体" w:hAnsi="宋体" w:eastAsia="宋体" w:cs="宋体"/>
          <w:spacing w:val="20"/>
          <w:sz w:val="23"/>
          <w:szCs w:val="23"/>
        </w:rPr>
        <w:t>项</w:t>
      </w:r>
      <w:r>
        <w:rPr>
          <w:rFonts w:ascii="宋体" w:hAnsi="宋体" w:eastAsia="宋体" w:cs="宋体"/>
          <w:spacing w:val="13"/>
          <w:sz w:val="23"/>
          <w:szCs w:val="23"/>
        </w:rPr>
        <w:t>目</w:t>
      </w:r>
      <w:r>
        <w:rPr>
          <w:rFonts w:ascii="宋体" w:hAnsi="宋体" w:eastAsia="宋体" w:cs="宋体"/>
          <w:spacing w:val="10"/>
          <w:sz w:val="23"/>
          <w:szCs w:val="23"/>
        </w:rPr>
        <w:t>主要外购正邦集团生产的饲料，袋装后运输至厂区，将产生一定的废包装</w:t>
      </w:r>
    </w:p>
    <w:p w14:paraId="4F29E743">
      <w:pPr>
        <w:spacing w:before="138" w:line="387" w:lineRule="auto"/>
        <w:ind w:left="10" w:right="4"/>
        <w:rPr>
          <w:rFonts w:ascii="宋体" w:hAnsi="宋体" w:eastAsia="宋体" w:cs="宋体"/>
          <w:sz w:val="23"/>
          <w:szCs w:val="23"/>
        </w:rPr>
      </w:pPr>
      <w:r>
        <w:rPr>
          <w:rFonts w:ascii="宋体" w:hAnsi="宋体" w:eastAsia="宋体" w:cs="宋体"/>
          <w:spacing w:val="10"/>
          <w:sz w:val="23"/>
          <w:szCs w:val="23"/>
        </w:rPr>
        <w:t>袋</w:t>
      </w:r>
      <w:r>
        <w:rPr>
          <w:rFonts w:ascii="宋体" w:hAnsi="宋体" w:eastAsia="宋体" w:cs="宋体"/>
          <w:spacing w:val="9"/>
          <w:sz w:val="23"/>
          <w:szCs w:val="23"/>
        </w:rPr>
        <w:t>，</w:t>
      </w:r>
      <w:r>
        <w:rPr>
          <w:rFonts w:ascii="宋体" w:hAnsi="宋体" w:eastAsia="宋体" w:cs="宋体"/>
          <w:spacing w:val="5"/>
          <w:sz w:val="23"/>
          <w:szCs w:val="23"/>
        </w:rPr>
        <w:t xml:space="preserve">根据估算产生量约为 </w:t>
      </w:r>
      <w:r>
        <w:rPr>
          <w:rFonts w:ascii="Times New Roman" w:hAnsi="Times New Roman" w:eastAsia="Times New Roman" w:cs="Times New Roman"/>
          <w:spacing w:val="5"/>
          <w:sz w:val="23"/>
          <w:szCs w:val="23"/>
        </w:rPr>
        <w:t>2</w:t>
      </w:r>
      <w:r>
        <w:rPr>
          <w:rFonts w:ascii="Times New Roman" w:hAnsi="Times New Roman" w:eastAsia="Times New Roman" w:cs="Times New Roman"/>
          <w:sz w:val="23"/>
          <w:szCs w:val="23"/>
        </w:rPr>
        <w:t>t</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。废饲料袋收集后暂存于一般固废暂存间， 由饲料提</w:t>
      </w:r>
      <w:r>
        <w:rPr>
          <w:rFonts w:ascii="宋体" w:hAnsi="宋体" w:eastAsia="宋体" w:cs="宋体"/>
          <w:sz w:val="23"/>
          <w:szCs w:val="23"/>
        </w:rPr>
        <w:t xml:space="preserve"> </w:t>
      </w:r>
      <w:r>
        <w:rPr>
          <w:rFonts w:ascii="宋体" w:hAnsi="宋体" w:eastAsia="宋体" w:cs="宋体"/>
          <w:spacing w:val="8"/>
          <w:sz w:val="23"/>
          <w:szCs w:val="23"/>
        </w:rPr>
        <w:t>供</w:t>
      </w:r>
      <w:r>
        <w:rPr>
          <w:rFonts w:ascii="宋体" w:hAnsi="宋体" w:eastAsia="宋体" w:cs="宋体"/>
          <w:spacing w:val="7"/>
          <w:sz w:val="23"/>
          <w:szCs w:val="23"/>
        </w:rPr>
        <w:t>商回收利用。</w:t>
      </w:r>
    </w:p>
    <w:p w14:paraId="1599D626">
      <w:pPr>
        <w:spacing w:before="13" w:line="228" w:lineRule="auto"/>
        <w:ind w:left="50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6</w:t>
      </w:r>
      <w:r>
        <w:rPr>
          <w:rFonts w:ascii="宋体" w:hAnsi="宋体" w:eastAsia="宋体" w:cs="宋体"/>
          <w:spacing w:val="20"/>
          <w:sz w:val="23"/>
          <w:szCs w:val="23"/>
        </w:rPr>
        <w:t>) 医疗废</w:t>
      </w:r>
      <w:r>
        <w:rPr>
          <w:rFonts w:ascii="宋体" w:hAnsi="宋体" w:eastAsia="宋体" w:cs="宋体"/>
          <w:spacing w:val="19"/>
          <w:sz w:val="23"/>
          <w:szCs w:val="23"/>
        </w:rPr>
        <w:t>物</w:t>
      </w:r>
    </w:p>
    <w:p w14:paraId="49B93D5B">
      <w:pPr>
        <w:spacing w:before="141" w:line="323" w:lineRule="exact"/>
        <w:ind w:left="494"/>
        <w:rPr>
          <w:rFonts w:ascii="宋体" w:hAnsi="宋体" w:eastAsia="宋体" w:cs="宋体"/>
          <w:sz w:val="23"/>
          <w:szCs w:val="23"/>
        </w:rPr>
      </w:pPr>
      <w:r>
        <w:rPr>
          <w:rFonts w:ascii="宋体" w:hAnsi="宋体" w:eastAsia="宋体" w:cs="宋体"/>
          <w:spacing w:val="2"/>
          <w:position w:val="1"/>
          <w:sz w:val="23"/>
          <w:szCs w:val="23"/>
        </w:rPr>
        <w:t xml:space="preserve">项目产生的废药瓶、医疗废弃物等属于医疗废物，产生量为 </w:t>
      </w:r>
      <w:r>
        <w:rPr>
          <w:rFonts w:ascii="Times New Roman" w:hAnsi="Times New Roman" w:eastAsia="Times New Roman" w:cs="Times New Roman"/>
          <w:spacing w:val="2"/>
          <w:position w:val="1"/>
          <w:sz w:val="23"/>
          <w:szCs w:val="23"/>
        </w:rPr>
        <w:t>14.075</w:t>
      </w:r>
      <w:r>
        <w:rPr>
          <w:rFonts w:ascii="Times New Roman" w:hAnsi="Times New Roman" w:eastAsia="Times New Roman" w:cs="Times New Roman"/>
          <w:position w:val="1"/>
          <w:sz w:val="23"/>
          <w:szCs w:val="23"/>
        </w:rPr>
        <w:t>t</w:t>
      </w:r>
      <w:r>
        <w:rPr>
          <w:rFonts w:ascii="Times New Roman" w:hAnsi="Times New Roman" w:eastAsia="Times New Roman" w:cs="Times New Roman"/>
          <w:spacing w:val="2"/>
          <w:position w:val="1"/>
          <w:sz w:val="23"/>
          <w:szCs w:val="23"/>
        </w:rPr>
        <w:t>/</w:t>
      </w:r>
      <w:r>
        <w:rPr>
          <w:rFonts w:ascii="Times New Roman" w:hAnsi="Times New Roman" w:eastAsia="Times New Roman" w:cs="Times New Roman"/>
          <w:position w:val="1"/>
          <w:sz w:val="23"/>
          <w:szCs w:val="23"/>
        </w:rPr>
        <w:t>a</w:t>
      </w:r>
      <w:r>
        <w:rPr>
          <w:rFonts w:ascii="宋体" w:hAnsi="宋体" w:eastAsia="宋体" w:cs="宋体"/>
          <w:spacing w:val="2"/>
          <w:position w:val="1"/>
          <w:sz w:val="23"/>
          <w:szCs w:val="23"/>
        </w:rPr>
        <w:t>。</w:t>
      </w:r>
      <w:r>
        <w:rPr>
          <w:rFonts w:ascii="宋体" w:hAnsi="宋体" w:eastAsia="宋体" w:cs="宋体"/>
          <w:position w:val="1"/>
          <w:sz w:val="23"/>
          <w:szCs w:val="23"/>
        </w:rPr>
        <w:t>根据《国</w:t>
      </w:r>
    </w:p>
    <w:p w14:paraId="6273A5D2">
      <w:pPr>
        <w:sectPr>
          <w:headerReference r:id="rId211" w:type="default"/>
          <w:footerReference r:id="rId212" w:type="default"/>
          <w:pgSz w:w="11907" w:h="16840"/>
          <w:pgMar w:top="1153" w:right="1575" w:bottom="1485" w:left="1660" w:header="919" w:footer="1298" w:gutter="0"/>
          <w:cols w:space="720" w:num="1"/>
        </w:sectPr>
      </w:pPr>
    </w:p>
    <w:p w14:paraId="09AD5A5C">
      <w:pPr>
        <w:spacing w:line="460" w:lineRule="auto"/>
      </w:pPr>
      <w:r>
        <w:pict>
          <v:shape id="_x0000_s2109" o:spid="_x0000_s2109" style="position:absolute;left:0pt;margin-left:83pt;margin-top:57.2pt;height:0.5pt;width:433.35pt;mso-position-horizontal-relative:page;mso-position-vertical-relative:page;z-index:251738112;mso-width-relative:page;mso-height-relative:page;" fillcolor="#000000" filled="t" stroked="f" coordsize="8667,10" o:allowincell="f" path="m0,0l8666,0,8666,9,0,9,0,0xe">
            <v:fill on="t" focussize="0,0"/>
            <v:stroke on="f"/>
            <v:imagedata o:title=""/>
            <o:lock v:ext="edit"/>
          </v:shape>
        </w:pict>
      </w:r>
    </w:p>
    <w:p w14:paraId="5A703291">
      <w:pPr>
        <w:spacing w:before="56" w:line="229" w:lineRule="auto"/>
        <w:ind w:left="22"/>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1D50D8E4">
      <w:pPr>
        <w:spacing w:before="65" w:line="374" w:lineRule="auto"/>
        <w:ind w:left="24" w:right="841" w:firstLine="2"/>
        <w:rPr>
          <w:rFonts w:ascii="宋体" w:hAnsi="宋体" w:eastAsia="宋体" w:cs="宋体"/>
          <w:sz w:val="23"/>
          <w:szCs w:val="23"/>
        </w:rPr>
      </w:pPr>
      <w:r>
        <w:rPr>
          <w:rFonts w:ascii="宋体" w:hAnsi="宋体" w:eastAsia="宋体" w:cs="宋体"/>
          <w:spacing w:val="4"/>
          <w:sz w:val="23"/>
          <w:szCs w:val="23"/>
        </w:rPr>
        <w:t>家危险废物名录》  (</w:t>
      </w:r>
      <w:r>
        <w:rPr>
          <w:rFonts w:ascii="Times New Roman" w:hAnsi="Times New Roman" w:eastAsia="Times New Roman" w:cs="Times New Roman"/>
          <w:spacing w:val="3"/>
          <w:sz w:val="23"/>
          <w:szCs w:val="23"/>
        </w:rPr>
        <w:t>2</w:t>
      </w:r>
      <w:r>
        <w:rPr>
          <w:rFonts w:ascii="Times New Roman" w:hAnsi="Times New Roman" w:eastAsia="Times New Roman" w:cs="Times New Roman"/>
          <w:spacing w:val="2"/>
          <w:sz w:val="23"/>
          <w:szCs w:val="23"/>
        </w:rPr>
        <w:t xml:space="preserve">016 </w:t>
      </w:r>
      <w:r>
        <w:rPr>
          <w:rFonts w:ascii="宋体" w:hAnsi="宋体" w:eastAsia="宋体" w:cs="宋体"/>
          <w:spacing w:val="2"/>
          <w:sz w:val="23"/>
          <w:szCs w:val="23"/>
        </w:rPr>
        <w:t xml:space="preserve">年) ，医疗废物属于废物类别为 </w:t>
      </w:r>
      <w:r>
        <w:rPr>
          <w:rFonts w:ascii="Times New Roman" w:hAnsi="Times New Roman" w:eastAsia="Times New Roman" w:cs="Times New Roman"/>
          <w:sz w:val="23"/>
          <w:szCs w:val="23"/>
        </w:rPr>
        <w:t>HW</w:t>
      </w:r>
      <w:r>
        <w:rPr>
          <w:rFonts w:ascii="Times New Roman" w:hAnsi="Times New Roman" w:eastAsia="Times New Roman" w:cs="Times New Roman"/>
          <w:spacing w:val="2"/>
          <w:sz w:val="23"/>
          <w:szCs w:val="23"/>
        </w:rPr>
        <w:t xml:space="preserve">01 </w:t>
      </w:r>
      <w:r>
        <w:rPr>
          <w:rFonts w:ascii="宋体" w:hAnsi="宋体" w:eastAsia="宋体" w:cs="宋体"/>
          <w:spacing w:val="2"/>
          <w:sz w:val="23"/>
          <w:szCs w:val="23"/>
        </w:rPr>
        <w:t>的危险废物，危险</w:t>
      </w:r>
      <w:r>
        <w:rPr>
          <w:rFonts w:ascii="宋体" w:hAnsi="宋体" w:eastAsia="宋体" w:cs="宋体"/>
          <w:sz w:val="23"/>
          <w:szCs w:val="23"/>
        </w:rPr>
        <w:t xml:space="preserve"> </w:t>
      </w:r>
      <w:r>
        <w:rPr>
          <w:rFonts w:ascii="宋体" w:hAnsi="宋体" w:eastAsia="宋体" w:cs="宋体"/>
          <w:spacing w:val="2"/>
          <w:sz w:val="23"/>
          <w:szCs w:val="23"/>
        </w:rPr>
        <w:t xml:space="preserve">废物代码为 </w:t>
      </w:r>
      <w:r>
        <w:rPr>
          <w:rFonts w:ascii="Times New Roman" w:hAnsi="Times New Roman" w:eastAsia="Times New Roman" w:cs="Times New Roman"/>
          <w:spacing w:val="2"/>
          <w:sz w:val="23"/>
          <w:szCs w:val="23"/>
        </w:rPr>
        <w:t>900-001-0</w:t>
      </w:r>
      <w:r>
        <w:rPr>
          <w:rFonts w:ascii="Times New Roman" w:hAnsi="Times New Roman" w:eastAsia="Times New Roman" w:cs="Times New Roman"/>
          <w:spacing w:val="1"/>
          <w:sz w:val="23"/>
          <w:szCs w:val="23"/>
        </w:rPr>
        <w:t>1</w:t>
      </w:r>
      <w:r>
        <w:rPr>
          <w:rFonts w:ascii="宋体" w:hAnsi="宋体" w:eastAsia="宋体" w:cs="宋体"/>
          <w:sz w:val="23"/>
          <w:szCs w:val="23"/>
        </w:rPr>
        <w:t>。</w:t>
      </w:r>
    </w:p>
    <w:p w14:paraId="419D721A">
      <w:pPr>
        <w:spacing w:line="375" w:lineRule="auto"/>
        <w:ind w:left="25" w:right="839" w:firstLine="481"/>
        <w:rPr>
          <w:rFonts w:ascii="宋体" w:hAnsi="宋体" w:eastAsia="宋体" w:cs="宋体"/>
          <w:sz w:val="23"/>
          <w:szCs w:val="23"/>
        </w:rPr>
      </w:pPr>
      <w:r>
        <w:rPr>
          <w:rFonts w:ascii="宋体" w:hAnsi="宋体" w:eastAsia="宋体" w:cs="宋体"/>
          <w:spacing w:val="8"/>
          <w:sz w:val="23"/>
          <w:szCs w:val="23"/>
        </w:rPr>
        <w:t>按照《危险废物</w:t>
      </w:r>
      <w:r>
        <w:rPr>
          <w:rFonts w:ascii="宋体" w:hAnsi="宋体" w:eastAsia="宋体" w:cs="宋体"/>
          <w:spacing w:val="5"/>
          <w:sz w:val="23"/>
          <w:szCs w:val="23"/>
        </w:rPr>
        <w:t>贮</w:t>
      </w:r>
      <w:r>
        <w:rPr>
          <w:rFonts w:ascii="宋体" w:hAnsi="宋体" w:eastAsia="宋体" w:cs="宋体"/>
          <w:spacing w:val="4"/>
          <w:sz w:val="23"/>
          <w:szCs w:val="23"/>
        </w:rPr>
        <w:t>存污染控制标准》  (</w:t>
      </w:r>
      <w:r>
        <w:rPr>
          <w:rFonts w:ascii="Times New Roman" w:hAnsi="Times New Roman" w:eastAsia="Times New Roman" w:cs="Times New Roman"/>
          <w:sz w:val="23"/>
          <w:szCs w:val="23"/>
        </w:rPr>
        <w:t>GB</w:t>
      </w:r>
      <w:r>
        <w:rPr>
          <w:rFonts w:ascii="Times New Roman" w:hAnsi="Times New Roman" w:eastAsia="Times New Roman" w:cs="Times New Roman"/>
          <w:spacing w:val="4"/>
          <w:sz w:val="23"/>
          <w:szCs w:val="23"/>
        </w:rPr>
        <w:t>18597-2001</w:t>
      </w:r>
      <w:r>
        <w:rPr>
          <w:rFonts w:ascii="宋体" w:hAnsi="宋体" w:eastAsia="宋体" w:cs="宋体"/>
          <w:spacing w:val="4"/>
          <w:sz w:val="23"/>
          <w:szCs w:val="23"/>
        </w:rPr>
        <w:t>) ，项目拟在兽医兽药室</w:t>
      </w:r>
      <w:r>
        <w:rPr>
          <w:rFonts w:ascii="宋体" w:hAnsi="宋体" w:eastAsia="宋体" w:cs="宋体"/>
          <w:sz w:val="23"/>
          <w:szCs w:val="23"/>
        </w:rPr>
        <w:t xml:space="preserve"> </w:t>
      </w:r>
      <w:r>
        <w:rPr>
          <w:rFonts w:ascii="宋体" w:hAnsi="宋体" w:eastAsia="宋体" w:cs="宋体"/>
          <w:spacing w:val="10"/>
          <w:sz w:val="23"/>
          <w:szCs w:val="23"/>
        </w:rPr>
        <w:t>建</w:t>
      </w:r>
      <w:r>
        <w:rPr>
          <w:rFonts w:ascii="宋体" w:hAnsi="宋体" w:eastAsia="宋体" w:cs="宋体"/>
          <w:spacing w:val="5"/>
          <w:sz w:val="23"/>
          <w:szCs w:val="23"/>
        </w:rPr>
        <w:t xml:space="preserve">设面积为 </w:t>
      </w:r>
      <w:r>
        <w:rPr>
          <w:rFonts w:ascii="Times New Roman" w:hAnsi="Times New Roman" w:eastAsia="Times New Roman" w:cs="Times New Roman"/>
          <w:spacing w:val="5"/>
          <w:sz w:val="23"/>
          <w:szCs w:val="23"/>
        </w:rPr>
        <w:t>10</w:t>
      </w:r>
      <w:r>
        <w:rPr>
          <w:rFonts w:ascii="Times New Roman" w:hAnsi="Times New Roman" w:eastAsia="Times New Roman" w:cs="Times New Roman"/>
          <w:sz w:val="23"/>
          <w:szCs w:val="23"/>
        </w:rPr>
        <w:t>m</w:t>
      </w:r>
      <w:r>
        <w:rPr>
          <w:rFonts w:ascii="Times New Roman" w:hAnsi="Times New Roman" w:eastAsia="Times New Roman" w:cs="Times New Roman"/>
          <w:spacing w:val="5"/>
          <w:position w:val="8"/>
          <w:sz w:val="15"/>
          <w:szCs w:val="15"/>
        </w:rPr>
        <w:t xml:space="preserve">2 </w:t>
      </w:r>
      <w:r>
        <w:rPr>
          <w:rFonts w:ascii="宋体" w:hAnsi="宋体" w:eastAsia="宋体" w:cs="宋体"/>
          <w:spacing w:val="5"/>
          <w:sz w:val="23"/>
          <w:szCs w:val="23"/>
        </w:rPr>
        <w:t>的危险废物暂存间，危险废物产生后暂存于危废暂存间，并及时委</w:t>
      </w:r>
      <w:r>
        <w:rPr>
          <w:rFonts w:ascii="宋体" w:hAnsi="宋体" w:eastAsia="宋体" w:cs="宋体"/>
          <w:sz w:val="23"/>
          <w:szCs w:val="23"/>
        </w:rPr>
        <w:t xml:space="preserve"> </w:t>
      </w:r>
      <w:r>
        <w:rPr>
          <w:rFonts w:ascii="宋体" w:hAnsi="宋体" w:eastAsia="宋体" w:cs="宋体"/>
          <w:spacing w:val="8"/>
          <w:sz w:val="23"/>
          <w:szCs w:val="23"/>
        </w:rPr>
        <w:t>托有资质的单位处理。</w:t>
      </w:r>
    </w:p>
    <w:p w14:paraId="502F3007">
      <w:pPr>
        <w:spacing w:line="225" w:lineRule="auto"/>
        <w:ind w:left="504"/>
        <w:rPr>
          <w:rFonts w:ascii="宋体" w:hAnsi="宋体" w:eastAsia="宋体" w:cs="宋体"/>
          <w:sz w:val="23"/>
          <w:szCs w:val="23"/>
        </w:rPr>
      </w:pPr>
      <w:r>
        <w:rPr>
          <w:rFonts w:ascii="宋体" w:hAnsi="宋体" w:eastAsia="宋体" w:cs="宋体"/>
          <w:spacing w:val="16"/>
          <w:sz w:val="23"/>
          <w:szCs w:val="23"/>
        </w:rPr>
        <w:t>①</w:t>
      </w:r>
      <w:r>
        <w:rPr>
          <w:rFonts w:ascii="宋体" w:hAnsi="宋体" w:eastAsia="宋体" w:cs="宋体"/>
          <w:spacing w:val="13"/>
          <w:sz w:val="23"/>
          <w:szCs w:val="23"/>
        </w:rPr>
        <w:t>危</w:t>
      </w:r>
      <w:r>
        <w:rPr>
          <w:rFonts w:ascii="宋体" w:hAnsi="宋体" w:eastAsia="宋体" w:cs="宋体"/>
          <w:spacing w:val="8"/>
          <w:sz w:val="23"/>
          <w:szCs w:val="23"/>
        </w:rPr>
        <w:t>险废物贮存场所 (设施) 环境影响分析</w:t>
      </w:r>
    </w:p>
    <w:p w14:paraId="3D525B8D">
      <w:pPr>
        <w:spacing w:before="140" w:line="382" w:lineRule="auto"/>
        <w:ind w:left="27" w:right="831" w:firstLine="479"/>
        <w:rPr>
          <w:rFonts w:ascii="宋体" w:hAnsi="宋体" w:eastAsia="宋体" w:cs="宋体"/>
          <w:sz w:val="23"/>
          <w:szCs w:val="23"/>
        </w:rPr>
      </w:pPr>
      <w:r>
        <w:rPr>
          <w:rFonts w:ascii="宋体" w:hAnsi="宋体" w:eastAsia="宋体" w:cs="宋体"/>
          <w:spacing w:val="7"/>
          <w:sz w:val="23"/>
          <w:szCs w:val="23"/>
        </w:rPr>
        <w:t>本</w:t>
      </w:r>
      <w:r>
        <w:rPr>
          <w:rFonts w:ascii="宋体" w:hAnsi="宋体" w:eastAsia="宋体" w:cs="宋体"/>
          <w:spacing w:val="6"/>
          <w:sz w:val="23"/>
          <w:szCs w:val="23"/>
        </w:rPr>
        <w:t xml:space="preserve">项目场区卫生防疫废药品 (含器具) 产生量约为 </w:t>
      </w:r>
      <w:r>
        <w:rPr>
          <w:rFonts w:ascii="Times New Roman" w:hAnsi="Times New Roman" w:eastAsia="Times New Roman" w:cs="Times New Roman"/>
          <w:spacing w:val="6"/>
          <w:sz w:val="23"/>
          <w:szCs w:val="23"/>
        </w:rPr>
        <w:t>1.25</w:t>
      </w:r>
      <w:r>
        <w:rPr>
          <w:rFonts w:ascii="Times New Roman" w:hAnsi="Times New Roman" w:eastAsia="Times New Roman" w:cs="Times New Roman"/>
          <w:sz w:val="23"/>
          <w:szCs w:val="23"/>
        </w:rPr>
        <w:t>t</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。该部分废物属《国</w:t>
      </w:r>
      <w:r>
        <w:rPr>
          <w:rFonts w:ascii="宋体" w:hAnsi="宋体" w:eastAsia="宋体" w:cs="宋体"/>
          <w:sz w:val="23"/>
          <w:szCs w:val="23"/>
        </w:rPr>
        <w:t xml:space="preserve"> </w:t>
      </w:r>
      <w:r>
        <w:rPr>
          <w:rFonts w:ascii="宋体" w:hAnsi="宋体" w:eastAsia="宋体" w:cs="宋体"/>
          <w:spacing w:val="5"/>
          <w:sz w:val="23"/>
          <w:szCs w:val="23"/>
        </w:rPr>
        <w:t>家危险废物名录》中</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HW</w:t>
      </w:r>
      <w:r>
        <w:rPr>
          <w:rFonts w:ascii="Times New Roman" w:hAnsi="Times New Roman" w:eastAsia="Times New Roman" w:cs="Times New Roman"/>
          <w:spacing w:val="5"/>
          <w:sz w:val="23"/>
          <w:szCs w:val="23"/>
        </w:rPr>
        <w:t xml:space="preserve">01 </w:t>
      </w:r>
      <w:r>
        <w:rPr>
          <w:rFonts w:ascii="宋体" w:hAnsi="宋体" w:eastAsia="宋体" w:cs="宋体"/>
          <w:spacing w:val="5"/>
          <w:sz w:val="23"/>
          <w:szCs w:val="23"/>
        </w:rPr>
        <w:t>医疗废物</w:t>
      </w:r>
      <w:r>
        <w:rPr>
          <w:rFonts w:ascii="Times New Roman" w:hAnsi="Times New Roman" w:eastAsia="Times New Roman" w:cs="Times New Roman"/>
          <w:spacing w:val="5"/>
          <w:sz w:val="23"/>
          <w:szCs w:val="23"/>
        </w:rPr>
        <w:t>”</w:t>
      </w:r>
      <w:r>
        <w:rPr>
          <w:rFonts w:ascii="宋体" w:hAnsi="宋体" w:eastAsia="宋体" w:cs="宋体"/>
          <w:spacing w:val="5"/>
          <w:sz w:val="23"/>
          <w:szCs w:val="23"/>
        </w:rPr>
        <w:t>中</w:t>
      </w:r>
      <w:r>
        <w:rPr>
          <w:rFonts w:ascii="Times New Roman" w:hAnsi="Times New Roman" w:eastAsia="Times New Roman" w:cs="Times New Roman"/>
          <w:spacing w:val="5"/>
          <w:sz w:val="23"/>
          <w:szCs w:val="23"/>
        </w:rPr>
        <w:t xml:space="preserve">“831-002-01 </w:t>
      </w:r>
      <w:r>
        <w:rPr>
          <w:rFonts w:ascii="宋体" w:hAnsi="宋体" w:eastAsia="宋体" w:cs="宋体"/>
          <w:spacing w:val="5"/>
          <w:sz w:val="23"/>
          <w:szCs w:val="23"/>
        </w:rPr>
        <w:t>、</w:t>
      </w:r>
      <w:r>
        <w:rPr>
          <w:rFonts w:ascii="Times New Roman" w:hAnsi="Times New Roman" w:eastAsia="Times New Roman" w:cs="Times New Roman"/>
          <w:spacing w:val="5"/>
          <w:sz w:val="23"/>
          <w:szCs w:val="23"/>
        </w:rPr>
        <w:t xml:space="preserve">831-002-01” </w:t>
      </w:r>
      <w:r>
        <w:rPr>
          <w:rFonts w:ascii="宋体" w:hAnsi="宋体" w:eastAsia="宋体" w:cs="宋体"/>
          <w:spacing w:val="5"/>
          <w:sz w:val="23"/>
          <w:szCs w:val="23"/>
        </w:rPr>
        <w:t>。</w:t>
      </w:r>
      <w:r>
        <w:rPr>
          <w:rFonts w:ascii="宋体" w:hAnsi="宋体" w:eastAsia="宋体" w:cs="宋体"/>
          <w:spacing w:val="5"/>
          <w:sz w:val="23"/>
          <w:szCs w:val="23"/>
          <w14:textOutline w14:w="4356" w14:cap="sq" w14:cmpd="sng" w14:algn="ctr">
            <w14:solidFill>
              <w14:srgbClr w14:val="000000"/>
            </w14:solidFill>
            <w14:prstDash w14:val="solid"/>
            <w14:bevel/>
          </w14:textOutline>
        </w:rPr>
        <w:t>本环评要求</w:t>
      </w:r>
      <w:r>
        <w:rPr>
          <w:rFonts w:ascii="宋体" w:hAnsi="宋体" w:eastAsia="宋体" w:cs="宋体"/>
          <w:spacing w:val="1"/>
          <w:sz w:val="23"/>
          <w:szCs w:val="23"/>
          <w14:textOutline w14:w="4356" w14:cap="sq" w14:cmpd="sng" w14:algn="ctr">
            <w14:solidFill>
              <w14:srgbClr w14:val="000000"/>
            </w14:solidFill>
            <w14:prstDash w14:val="solid"/>
            <w14:bevel/>
          </w14:textOutline>
        </w:rPr>
        <w:t>：</w:t>
      </w:r>
      <w:r>
        <w:rPr>
          <w:rFonts w:ascii="宋体" w:hAnsi="宋体" w:eastAsia="宋体" w:cs="宋体"/>
          <w:sz w:val="23"/>
          <w:szCs w:val="23"/>
        </w:rPr>
        <w:t xml:space="preserve"> </w:t>
      </w:r>
      <w:r>
        <w:rPr>
          <w:rFonts w:ascii="宋体" w:hAnsi="宋体" w:eastAsia="宋体" w:cs="宋体"/>
          <w:spacing w:val="17"/>
          <w:sz w:val="23"/>
          <w:szCs w:val="23"/>
          <w14:textOutline w14:w="4356" w14:cap="sq" w14:cmpd="sng" w14:algn="ctr">
            <w14:solidFill>
              <w14:srgbClr w14:val="000000"/>
            </w14:solidFill>
            <w14:prstDash w14:val="solid"/>
            <w14:bevel/>
          </w14:textOutline>
        </w:rPr>
        <w:t>设</w:t>
      </w:r>
      <w:r>
        <w:rPr>
          <w:rFonts w:ascii="宋体" w:hAnsi="宋体" w:eastAsia="宋体" w:cs="宋体"/>
          <w:spacing w:val="10"/>
          <w:sz w:val="23"/>
          <w:szCs w:val="23"/>
          <w14:textOutline w14:w="4356" w14:cap="sq" w14:cmpd="sng" w14:algn="ctr">
            <w14:solidFill>
              <w14:srgbClr w14:val="000000"/>
            </w14:solidFill>
            <w14:prstDash w14:val="solid"/>
            <w14:bevel/>
          </w14:textOutline>
        </w:rPr>
        <w:t>置专门的医疗废物暂存间，</w:t>
      </w:r>
      <w:r>
        <w:rPr>
          <w:rFonts w:ascii="宋体" w:hAnsi="宋体" w:eastAsia="宋体" w:cs="宋体"/>
          <w:spacing w:val="10"/>
          <w:sz w:val="23"/>
          <w:szCs w:val="23"/>
        </w:rPr>
        <w:t>设立高密度聚乙烯塑料桶 (内衬专用塑料袋) 对卫生</w:t>
      </w:r>
      <w:r>
        <w:rPr>
          <w:rFonts w:ascii="宋体" w:hAnsi="宋体" w:eastAsia="宋体" w:cs="宋体"/>
          <w:sz w:val="23"/>
          <w:szCs w:val="23"/>
        </w:rPr>
        <w:t xml:space="preserve"> </w:t>
      </w:r>
      <w:r>
        <w:rPr>
          <w:rFonts w:ascii="宋体" w:hAnsi="宋体" w:eastAsia="宋体" w:cs="宋体"/>
          <w:spacing w:val="17"/>
          <w:sz w:val="23"/>
          <w:szCs w:val="23"/>
        </w:rPr>
        <w:t>防</w:t>
      </w:r>
      <w:r>
        <w:rPr>
          <w:rFonts w:ascii="宋体" w:hAnsi="宋体" w:eastAsia="宋体" w:cs="宋体"/>
          <w:spacing w:val="10"/>
          <w:sz w:val="23"/>
          <w:szCs w:val="23"/>
        </w:rPr>
        <w:t>疫产生的废药品 (含器具) 进行分类收集暂存，禁止与生活办公垃圾进行混装，</w:t>
      </w:r>
      <w:r>
        <w:rPr>
          <w:rFonts w:ascii="宋体" w:hAnsi="宋体" w:eastAsia="宋体" w:cs="宋体"/>
          <w:sz w:val="23"/>
          <w:szCs w:val="23"/>
        </w:rPr>
        <w:t xml:space="preserve"> </w:t>
      </w:r>
      <w:r>
        <w:rPr>
          <w:rFonts w:ascii="宋体" w:hAnsi="宋体" w:eastAsia="宋体" w:cs="宋体"/>
          <w:spacing w:val="13"/>
          <w:sz w:val="23"/>
          <w:szCs w:val="23"/>
        </w:rPr>
        <w:t>危</w:t>
      </w:r>
      <w:r>
        <w:rPr>
          <w:rFonts w:ascii="宋体" w:hAnsi="宋体" w:eastAsia="宋体" w:cs="宋体"/>
          <w:spacing w:val="9"/>
          <w:sz w:val="23"/>
          <w:szCs w:val="23"/>
        </w:rPr>
        <w:t>险废物需定期交由具资质单位处理，并落实联单责任制。</w:t>
      </w:r>
    </w:p>
    <w:p w14:paraId="1B8F165A">
      <w:pPr>
        <w:spacing w:line="374" w:lineRule="auto"/>
        <w:ind w:left="24" w:right="843" w:firstLine="484"/>
        <w:rPr>
          <w:rFonts w:ascii="宋体" w:hAnsi="宋体" w:eastAsia="宋体" w:cs="宋体"/>
          <w:sz w:val="23"/>
          <w:szCs w:val="23"/>
        </w:rPr>
      </w:pPr>
      <w:r>
        <w:rPr>
          <w:rFonts w:ascii="宋体" w:hAnsi="宋体" w:eastAsia="宋体" w:cs="宋体"/>
          <w:spacing w:val="13"/>
          <w:sz w:val="23"/>
          <w:szCs w:val="23"/>
        </w:rPr>
        <w:t>项</w:t>
      </w:r>
      <w:r>
        <w:rPr>
          <w:rFonts w:ascii="宋体" w:hAnsi="宋体" w:eastAsia="宋体" w:cs="宋体"/>
          <w:spacing w:val="10"/>
          <w:sz w:val="23"/>
          <w:szCs w:val="23"/>
        </w:rPr>
        <w:t>目拟建设的危险废物暂存间位于兽医兽药室旁。项目年产生的医疗废物 (废</w:t>
      </w:r>
      <w:r>
        <w:rPr>
          <w:rFonts w:ascii="宋体" w:hAnsi="宋体" w:eastAsia="宋体" w:cs="宋体"/>
          <w:sz w:val="23"/>
          <w:szCs w:val="23"/>
        </w:rPr>
        <w:t xml:space="preserve"> </w:t>
      </w:r>
      <w:r>
        <w:rPr>
          <w:rFonts w:ascii="宋体" w:hAnsi="宋体" w:eastAsia="宋体" w:cs="宋体"/>
          <w:spacing w:val="12"/>
          <w:sz w:val="23"/>
          <w:szCs w:val="23"/>
        </w:rPr>
        <w:t>注</w:t>
      </w:r>
      <w:r>
        <w:rPr>
          <w:rFonts w:ascii="宋体" w:hAnsi="宋体" w:eastAsia="宋体" w:cs="宋体"/>
          <w:spacing w:val="11"/>
          <w:sz w:val="23"/>
          <w:szCs w:val="23"/>
        </w:rPr>
        <w:t>射</w:t>
      </w:r>
      <w:r>
        <w:rPr>
          <w:rFonts w:ascii="宋体" w:hAnsi="宋体" w:eastAsia="宋体" w:cs="宋体"/>
          <w:spacing w:val="6"/>
          <w:sz w:val="23"/>
          <w:szCs w:val="23"/>
        </w:rPr>
        <w:t xml:space="preserve">器、药瓶以及过期药物) 约 </w:t>
      </w:r>
      <w:r>
        <w:rPr>
          <w:rFonts w:ascii="Times New Roman" w:hAnsi="Times New Roman" w:eastAsia="Times New Roman" w:cs="Times New Roman"/>
          <w:spacing w:val="6"/>
          <w:sz w:val="23"/>
          <w:szCs w:val="23"/>
        </w:rPr>
        <w:t>12.825</w:t>
      </w:r>
      <w:r>
        <w:rPr>
          <w:rFonts w:ascii="Times New Roman" w:hAnsi="Times New Roman" w:eastAsia="Times New Roman" w:cs="Times New Roman"/>
          <w:sz w:val="23"/>
          <w:szCs w:val="23"/>
        </w:rPr>
        <w:t>t</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，医疗废物产生后暂存于项目建设的医疗</w:t>
      </w:r>
      <w:r>
        <w:rPr>
          <w:rFonts w:ascii="宋体" w:hAnsi="宋体" w:eastAsia="宋体" w:cs="宋体"/>
          <w:sz w:val="23"/>
          <w:szCs w:val="23"/>
        </w:rPr>
        <w:t xml:space="preserve"> </w:t>
      </w:r>
      <w:r>
        <w:rPr>
          <w:rFonts w:ascii="宋体" w:hAnsi="宋体" w:eastAsia="宋体" w:cs="宋体"/>
          <w:spacing w:val="20"/>
          <w:sz w:val="23"/>
          <w:szCs w:val="23"/>
        </w:rPr>
        <w:t>废</w:t>
      </w:r>
      <w:r>
        <w:rPr>
          <w:rFonts w:ascii="宋体" w:hAnsi="宋体" w:eastAsia="宋体" w:cs="宋体"/>
          <w:spacing w:val="17"/>
          <w:sz w:val="23"/>
          <w:szCs w:val="23"/>
        </w:rPr>
        <w:t>物</w:t>
      </w:r>
      <w:r>
        <w:rPr>
          <w:rFonts w:ascii="宋体" w:hAnsi="宋体" w:eastAsia="宋体" w:cs="宋体"/>
          <w:spacing w:val="10"/>
          <w:sz w:val="23"/>
          <w:szCs w:val="23"/>
        </w:rPr>
        <w:t>暂存间内，委托有资质的单位进行处置。项目能满足半年年以上的暂存需要，</w:t>
      </w:r>
      <w:r>
        <w:rPr>
          <w:rFonts w:ascii="宋体" w:hAnsi="宋体" w:eastAsia="宋体" w:cs="宋体"/>
          <w:sz w:val="23"/>
          <w:szCs w:val="23"/>
        </w:rPr>
        <w:t xml:space="preserve"> </w:t>
      </w:r>
      <w:r>
        <w:rPr>
          <w:rFonts w:ascii="宋体" w:hAnsi="宋体" w:eastAsia="宋体" w:cs="宋体"/>
          <w:spacing w:val="-8"/>
          <w:sz w:val="23"/>
          <w:szCs w:val="23"/>
        </w:rPr>
        <w:t>具</w:t>
      </w:r>
      <w:r>
        <w:rPr>
          <w:rFonts w:ascii="宋体" w:hAnsi="宋体" w:eastAsia="宋体" w:cs="宋体"/>
          <w:spacing w:val="-4"/>
          <w:sz w:val="23"/>
          <w:szCs w:val="23"/>
        </w:rPr>
        <w:t xml:space="preserve">体见表 </w:t>
      </w:r>
      <w:r>
        <w:rPr>
          <w:rFonts w:ascii="Times New Roman" w:hAnsi="Times New Roman" w:eastAsia="Times New Roman" w:cs="Times New Roman"/>
          <w:spacing w:val="-4"/>
          <w:sz w:val="23"/>
          <w:szCs w:val="23"/>
        </w:rPr>
        <w:t>5.2- 12</w:t>
      </w:r>
      <w:r>
        <w:rPr>
          <w:rFonts w:ascii="宋体" w:hAnsi="宋体" w:eastAsia="宋体" w:cs="宋体"/>
          <w:spacing w:val="-4"/>
          <w:sz w:val="23"/>
          <w:szCs w:val="23"/>
        </w:rPr>
        <w:t>。</w:t>
      </w:r>
    </w:p>
    <w:p w14:paraId="5B594446">
      <w:pPr>
        <w:spacing w:before="126" w:line="220" w:lineRule="auto"/>
        <w:ind w:left="1982"/>
        <w:rPr>
          <w:rFonts w:ascii="黑体" w:hAnsi="黑体" w:eastAsia="黑体" w:cs="黑体"/>
          <w:sz w:val="23"/>
          <w:szCs w:val="23"/>
        </w:rPr>
      </w:pPr>
      <w:r>
        <w:rPr>
          <w:rFonts w:ascii="黑体" w:hAnsi="黑体" w:eastAsia="黑体" w:cs="黑体"/>
          <w:spacing w:val="4"/>
          <w:sz w:val="23"/>
          <w:szCs w:val="23"/>
        </w:rPr>
        <w:t xml:space="preserve">表 </w:t>
      </w:r>
      <w:r>
        <w:rPr>
          <w:rFonts w:ascii="Times New Roman" w:hAnsi="Times New Roman" w:eastAsia="Times New Roman" w:cs="Times New Roman"/>
          <w:spacing w:val="4"/>
          <w:sz w:val="23"/>
          <w:szCs w:val="23"/>
        </w:rPr>
        <w:t>5.2-</w:t>
      </w:r>
      <w:r>
        <w:rPr>
          <w:rFonts w:ascii="Times New Roman" w:hAnsi="Times New Roman" w:eastAsia="Times New Roman" w:cs="Times New Roman"/>
          <w:spacing w:val="3"/>
          <w:sz w:val="23"/>
          <w:szCs w:val="23"/>
        </w:rPr>
        <w:t xml:space="preserve"> </w:t>
      </w:r>
      <w:r>
        <w:rPr>
          <w:rFonts w:ascii="Times New Roman" w:hAnsi="Times New Roman" w:eastAsia="Times New Roman" w:cs="Times New Roman"/>
          <w:spacing w:val="2"/>
          <w:sz w:val="23"/>
          <w:szCs w:val="23"/>
        </w:rPr>
        <w:t xml:space="preserve">12    </w:t>
      </w:r>
      <w:r>
        <w:rPr>
          <w:rFonts w:ascii="黑体" w:hAnsi="黑体" w:eastAsia="黑体" w:cs="黑体"/>
          <w:spacing w:val="2"/>
          <w:sz w:val="23"/>
          <w:szCs w:val="23"/>
        </w:rPr>
        <w:t>项目危险废物贮存场所基本情况表</w:t>
      </w:r>
    </w:p>
    <w:tbl>
      <w:tblPr>
        <w:tblStyle w:val="4"/>
        <w:tblW w:w="952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2"/>
        <w:gridCol w:w="1000"/>
        <w:gridCol w:w="1000"/>
        <w:gridCol w:w="998"/>
        <w:gridCol w:w="1000"/>
        <w:gridCol w:w="1000"/>
        <w:gridCol w:w="999"/>
        <w:gridCol w:w="1000"/>
        <w:gridCol w:w="1000"/>
        <w:gridCol w:w="1006"/>
      </w:tblGrid>
      <w:tr w14:paraId="56663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522" w:type="dxa"/>
            <w:tcBorders>
              <w:left w:val="nil"/>
            </w:tcBorders>
          </w:tcPr>
          <w:p w14:paraId="0A9D1982">
            <w:pPr>
              <w:spacing w:before="205" w:line="229" w:lineRule="auto"/>
              <w:ind w:left="59"/>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1000" w:type="dxa"/>
          </w:tcPr>
          <w:p w14:paraId="47E84F2B">
            <w:pPr>
              <w:spacing w:before="205" w:line="228" w:lineRule="auto"/>
              <w:ind w:left="85"/>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贮</w:t>
            </w:r>
            <w:r>
              <w:rPr>
                <w:rFonts w:ascii="宋体" w:hAnsi="宋体" w:eastAsia="宋体" w:cs="宋体"/>
                <w:spacing w:val="8"/>
                <w:sz w:val="20"/>
                <w:szCs w:val="20"/>
                <w14:textOutline w14:w="3797" w14:cap="sq" w14:cmpd="sng" w14:algn="ctr">
                  <w14:solidFill>
                    <w14:srgbClr w14:val="000000"/>
                  </w14:solidFill>
                  <w14:prstDash w14:val="solid"/>
                  <w14:bevel/>
                </w14:textOutline>
              </w:rPr>
              <w:t>存场所</w:t>
            </w:r>
          </w:p>
        </w:tc>
        <w:tc>
          <w:tcPr>
            <w:tcW w:w="1000" w:type="dxa"/>
          </w:tcPr>
          <w:p w14:paraId="3631EE47">
            <w:pPr>
              <w:spacing w:before="71"/>
              <w:ind w:left="296" w:right="74" w:hanging="208"/>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危险废</w:t>
            </w:r>
            <w:r>
              <w:rPr>
                <w:rFonts w:ascii="宋体" w:hAnsi="宋体" w:eastAsia="宋体" w:cs="宋体"/>
                <w:spacing w:val="7"/>
                <w:sz w:val="20"/>
                <w:szCs w:val="20"/>
                <w14:textOutline w14:w="3797" w14:cap="sq" w14:cmpd="sng" w14:algn="ctr">
                  <w14:solidFill>
                    <w14:srgbClr w14:val="000000"/>
                  </w14:solidFill>
                  <w14:prstDash w14:val="solid"/>
                  <w14:bevel/>
                </w14:textOutline>
              </w:rPr>
              <w:t>物</w:t>
            </w:r>
            <w:r>
              <w:rPr>
                <w:rFonts w:ascii="宋体" w:hAnsi="宋体" w:eastAsia="宋体" w:cs="宋体"/>
                <w:sz w:val="20"/>
                <w:szCs w:val="20"/>
              </w:rPr>
              <w:t xml:space="preserve"> </w:t>
            </w:r>
            <w:r>
              <w:rPr>
                <w:rFonts w:ascii="宋体" w:hAnsi="宋体" w:eastAsia="宋体" w:cs="宋体"/>
                <w:spacing w:val="5"/>
                <w:sz w:val="20"/>
                <w:szCs w:val="20"/>
                <w14:textOutline w14:w="3797" w14:cap="sq" w14:cmpd="sng" w14:algn="ctr">
                  <w14:solidFill>
                    <w14:srgbClr w14:val="000000"/>
                  </w14:solidFill>
                  <w14:prstDash w14:val="solid"/>
                  <w14:bevel/>
                </w14:textOutline>
              </w:rPr>
              <w:t>名</w:t>
            </w:r>
            <w:r>
              <w:rPr>
                <w:rFonts w:ascii="宋体" w:hAnsi="宋体" w:eastAsia="宋体" w:cs="宋体"/>
                <w:spacing w:val="4"/>
                <w:sz w:val="20"/>
                <w:szCs w:val="20"/>
                <w14:textOutline w14:w="3797" w14:cap="sq" w14:cmpd="sng" w14:algn="ctr">
                  <w14:solidFill>
                    <w14:srgbClr w14:val="000000"/>
                  </w14:solidFill>
                  <w14:prstDash w14:val="solid"/>
                  <w14:bevel/>
                </w14:textOutline>
              </w:rPr>
              <w:t>称</w:t>
            </w:r>
          </w:p>
        </w:tc>
        <w:tc>
          <w:tcPr>
            <w:tcW w:w="998" w:type="dxa"/>
          </w:tcPr>
          <w:p w14:paraId="348EE279">
            <w:pPr>
              <w:spacing w:before="71" w:line="239" w:lineRule="auto"/>
              <w:ind w:left="294" w:right="74" w:hanging="208"/>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危险废</w:t>
            </w:r>
            <w:r>
              <w:rPr>
                <w:rFonts w:ascii="宋体" w:hAnsi="宋体" w:eastAsia="宋体" w:cs="宋体"/>
                <w:spacing w:val="7"/>
                <w:sz w:val="20"/>
                <w:szCs w:val="20"/>
                <w14:textOutline w14:w="3797" w14:cap="sq" w14:cmpd="sng" w14:algn="ctr">
                  <w14:solidFill>
                    <w14:srgbClr w14:val="000000"/>
                  </w14:solidFill>
                  <w14:prstDash w14:val="solid"/>
                  <w14:bevel/>
                </w14:textOutline>
              </w:rPr>
              <w:t>物</w:t>
            </w:r>
            <w:r>
              <w:rPr>
                <w:rFonts w:ascii="宋体" w:hAnsi="宋体" w:eastAsia="宋体" w:cs="宋体"/>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类别</w:t>
            </w:r>
          </w:p>
        </w:tc>
        <w:tc>
          <w:tcPr>
            <w:tcW w:w="1000" w:type="dxa"/>
          </w:tcPr>
          <w:p w14:paraId="68931D23">
            <w:pPr>
              <w:spacing w:before="71" w:line="239" w:lineRule="auto"/>
              <w:ind w:left="294" w:right="73" w:hanging="205"/>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危险废</w:t>
            </w:r>
            <w:r>
              <w:rPr>
                <w:rFonts w:ascii="宋体" w:hAnsi="宋体" w:eastAsia="宋体" w:cs="宋体"/>
                <w:spacing w:val="7"/>
                <w:sz w:val="20"/>
                <w:szCs w:val="20"/>
                <w14:textOutline w14:w="3797" w14:cap="sq" w14:cmpd="sng" w14:algn="ctr">
                  <w14:solidFill>
                    <w14:srgbClr w14:val="000000"/>
                  </w14:solidFill>
                  <w14:prstDash w14:val="solid"/>
                  <w14:bevel/>
                </w14:textOutline>
              </w:rPr>
              <w:t>物</w:t>
            </w:r>
            <w:r>
              <w:rPr>
                <w:rFonts w:ascii="宋体" w:hAnsi="宋体" w:eastAsia="宋体" w:cs="宋体"/>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代码</w:t>
            </w:r>
          </w:p>
        </w:tc>
        <w:tc>
          <w:tcPr>
            <w:tcW w:w="1000" w:type="dxa"/>
          </w:tcPr>
          <w:p w14:paraId="6ED1B81B">
            <w:pPr>
              <w:spacing w:before="205" w:line="229" w:lineRule="auto"/>
              <w:ind w:left="296"/>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位置</w:t>
            </w:r>
          </w:p>
        </w:tc>
        <w:tc>
          <w:tcPr>
            <w:tcW w:w="999" w:type="dxa"/>
          </w:tcPr>
          <w:p w14:paraId="7E90CF54">
            <w:pPr>
              <w:spacing w:before="206" w:line="228" w:lineRule="auto"/>
              <w:ind w:left="120"/>
              <w:rPr>
                <w:rFonts w:ascii="宋体" w:hAnsi="宋体" w:eastAsia="宋体" w:cs="宋体"/>
                <w:sz w:val="20"/>
                <w:szCs w:val="20"/>
              </w:rPr>
            </w:pPr>
            <w:r>
              <w:rPr>
                <w:rFonts w:ascii="宋体" w:hAnsi="宋体" w:eastAsia="宋体" w:cs="宋体"/>
                <w:sz w:val="20"/>
                <w:szCs w:val="20"/>
                <w14:textOutline w14:w="3797" w14:cap="sq" w14:cmpd="sng" w14:algn="ctr">
                  <w14:solidFill>
                    <w14:srgbClr w14:val="000000"/>
                  </w14:solidFill>
                  <w14:prstDash w14:val="solid"/>
                  <w14:bevel/>
                </w14:textOutline>
              </w:rPr>
              <w:t>占面地积</w:t>
            </w:r>
          </w:p>
        </w:tc>
        <w:tc>
          <w:tcPr>
            <w:tcW w:w="1000" w:type="dxa"/>
          </w:tcPr>
          <w:p w14:paraId="146EBC89">
            <w:pPr>
              <w:spacing w:before="205" w:line="228" w:lineRule="auto"/>
              <w:ind w:left="86"/>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贮</w:t>
            </w:r>
            <w:r>
              <w:rPr>
                <w:rFonts w:ascii="宋体" w:hAnsi="宋体" w:eastAsia="宋体" w:cs="宋体"/>
                <w:spacing w:val="8"/>
                <w:sz w:val="20"/>
                <w:szCs w:val="20"/>
                <w14:textOutline w14:w="3797" w14:cap="sq" w14:cmpd="sng" w14:algn="ctr">
                  <w14:solidFill>
                    <w14:srgbClr w14:val="000000"/>
                  </w14:solidFill>
                  <w14:prstDash w14:val="solid"/>
                  <w14:bevel/>
                </w14:textOutline>
              </w:rPr>
              <w:t>存方式</w:t>
            </w:r>
          </w:p>
        </w:tc>
        <w:tc>
          <w:tcPr>
            <w:tcW w:w="1000" w:type="dxa"/>
          </w:tcPr>
          <w:p w14:paraId="77438059">
            <w:pPr>
              <w:spacing w:before="205" w:line="228" w:lineRule="auto"/>
              <w:ind w:left="87"/>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贮</w:t>
            </w:r>
            <w:r>
              <w:rPr>
                <w:rFonts w:ascii="宋体" w:hAnsi="宋体" w:eastAsia="宋体" w:cs="宋体"/>
                <w:spacing w:val="8"/>
                <w:sz w:val="20"/>
                <w:szCs w:val="20"/>
                <w14:textOutline w14:w="3797" w14:cap="sq" w14:cmpd="sng" w14:algn="ctr">
                  <w14:solidFill>
                    <w14:srgbClr w14:val="000000"/>
                  </w14:solidFill>
                  <w14:prstDash w14:val="solid"/>
                  <w14:bevel/>
                </w14:textOutline>
              </w:rPr>
              <w:t>能存力</w:t>
            </w:r>
          </w:p>
        </w:tc>
        <w:tc>
          <w:tcPr>
            <w:tcW w:w="1006" w:type="dxa"/>
            <w:tcBorders>
              <w:right w:val="nil"/>
            </w:tcBorders>
          </w:tcPr>
          <w:p w14:paraId="739FD974">
            <w:pPr>
              <w:spacing w:before="205" w:line="228" w:lineRule="auto"/>
              <w:ind w:left="90"/>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贮</w:t>
            </w:r>
            <w:r>
              <w:rPr>
                <w:rFonts w:ascii="宋体" w:hAnsi="宋体" w:eastAsia="宋体" w:cs="宋体"/>
                <w:spacing w:val="8"/>
                <w:sz w:val="20"/>
                <w:szCs w:val="20"/>
                <w14:textOutline w14:w="3797" w14:cap="sq" w14:cmpd="sng" w14:algn="ctr">
                  <w14:solidFill>
                    <w14:srgbClr w14:val="000000"/>
                  </w14:solidFill>
                  <w14:prstDash w14:val="solid"/>
                  <w14:bevel/>
                </w14:textOutline>
              </w:rPr>
              <w:t>存周期</w:t>
            </w:r>
          </w:p>
        </w:tc>
      </w:tr>
      <w:tr w14:paraId="319A0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522" w:type="dxa"/>
            <w:tcBorders>
              <w:left w:val="nil"/>
            </w:tcBorders>
          </w:tcPr>
          <w:p w14:paraId="29AE04FE">
            <w:pPr>
              <w:spacing w:line="297" w:lineRule="auto"/>
            </w:pPr>
          </w:p>
          <w:p w14:paraId="14025FD7">
            <w:pPr>
              <w:spacing w:before="58"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000" w:type="dxa"/>
          </w:tcPr>
          <w:p w14:paraId="3A236D3C">
            <w:pPr>
              <w:spacing w:before="184" w:line="267" w:lineRule="auto"/>
              <w:ind w:left="196" w:right="80" w:hanging="102"/>
              <w:rPr>
                <w:rFonts w:ascii="宋体" w:hAnsi="宋体" w:eastAsia="宋体" w:cs="宋体"/>
                <w:sz w:val="20"/>
                <w:szCs w:val="20"/>
              </w:rPr>
            </w:pPr>
            <w:r>
              <w:rPr>
                <w:rFonts w:ascii="宋体" w:hAnsi="宋体" w:eastAsia="宋体" w:cs="宋体"/>
                <w:spacing w:val="5"/>
                <w:sz w:val="20"/>
                <w:szCs w:val="20"/>
              </w:rPr>
              <w:t>医疗废</w:t>
            </w:r>
            <w:r>
              <w:rPr>
                <w:rFonts w:ascii="宋体" w:hAnsi="宋体" w:eastAsia="宋体" w:cs="宋体"/>
                <w:spacing w:val="4"/>
                <w:sz w:val="20"/>
                <w:szCs w:val="20"/>
              </w:rPr>
              <w:t>物</w:t>
            </w:r>
            <w:r>
              <w:rPr>
                <w:rFonts w:ascii="宋体" w:hAnsi="宋体" w:eastAsia="宋体" w:cs="宋体"/>
                <w:sz w:val="20"/>
                <w:szCs w:val="20"/>
              </w:rPr>
              <w:t xml:space="preserve"> </w:t>
            </w:r>
            <w:r>
              <w:rPr>
                <w:rFonts w:ascii="宋体" w:hAnsi="宋体" w:eastAsia="宋体" w:cs="宋体"/>
                <w:spacing w:val="6"/>
                <w:sz w:val="20"/>
                <w:szCs w:val="20"/>
              </w:rPr>
              <w:t>暂</w:t>
            </w:r>
            <w:r>
              <w:rPr>
                <w:rFonts w:ascii="宋体" w:hAnsi="宋体" w:eastAsia="宋体" w:cs="宋体"/>
                <w:spacing w:val="4"/>
                <w:sz w:val="20"/>
                <w:szCs w:val="20"/>
              </w:rPr>
              <w:t>存间</w:t>
            </w:r>
          </w:p>
        </w:tc>
        <w:tc>
          <w:tcPr>
            <w:tcW w:w="1000" w:type="dxa"/>
          </w:tcPr>
          <w:p w14:paraId="7C225E20">
            <w:pPr>
              <w:spacing w:before="183" w:line="268" w:lineRule="auto"/>
              <w:ind w:left="400" w:right="14" w:hanging="379"/>
              <w:rPr>
                <w:rFonts w:ascii="宋体" w:hAnsi="宋体" w:eastAsia="宋体" w:cs="宋体"/>
                <w:sz w:val="20"/>
                <w:szCs w:val="20"/>
              </w:rPr>
            </w:pPr>
            <w:r>
              <w:rPr>
                <w:rFonts w:ascii="宋体" w:hAnsi="宋体" w:eastAsia="宋体" w:cs="宋体"/>
                <w:spacing w:val="-9"/>
                <w:sz w:val="20"/>
                <w:szCs w:val="20"/>
              </w:rPr>
              <w:t>注</w:t>
            </w:r>
            <w:r>
              <w:rPr>
                <w:rFonts w:ascii="宋体" w:hAnsi="宋体" w:eastAsia="宋体" w:cs="宋体"/>
                <w:spacing w:val="-8"/>
                <w:sz w:val="20"/>
                <w:szCs w:val="20"/>
              </w:rPr>
              <w:t>射器、药</w:t>
            </w:r>
            <w:r>
              <w:rPr>
                <w:rFonts w:ascii="宋体" w:hAnsi="宋体" w:eastAsia="宋体" w:cs="宋体"/>
                <w:sz w:val="20"/>
                <w:szCs w:val="20"/>
              </w:rPr>
              <w:t xml:space="preserve"> 瓶</w:t>
            </w:r>
          </w:p>
        </w:tc>
        <w:tc>
          <w:tcPr>
            <w:tcW w:w="998" w:type="dxa"/>
          </w:tcPr>
          <w:p w14:paraId="4D81EED4">
            <w:pPr>
              <w:spacing w:line="297" w:lineRule="auto"/>
            </w:pPr>
          </w:p>
          <w:p w14:paraId="0CB428F0">
            <w:pPr>
              <w:spacing w:before="58" w:line="195" w:lineRule="auto"/>
              <w:ind w:left="221"/>
              <w:rPr>
                <w:rFonts w:ascii="Times New Roman" w:hAnsi="Times New Roman" w:eastAsia="Times New Roman" w:cs="Times New Roman"/>
                <w:sz w:val="20"/>
                <w:szCs w:val="20"/>
              </w:rPr>
            </w:pPr>
            <w:r>
              <w:rPr>
                <w:rFonts w:ascii="Times New Roman" w:hAnsi="Times New Roman" w:eastAsia="Times New Roman" w:cs="Times New Roman"/>
                <w:sz w:val="20"/>
                <w:szCs w:val="20"/>
              </w:rPr>
              <w:t>HW</w:t>
            </w:r>
            <w:r>
              <w:rPr>
                <w:rFonts w:ascii="Times New Roman" w:hAnsi="Times New Roman" w:eastAsia="Times New Roman" w:cs="Times New Roman"/>
                <w:spacing w:val="11"/>
                <w:sz w:val="20"/>
                <w:szCs w:val="20"/>
              </w:rPr>
              <w:t>0</w:t>
            </w:r>
            <w:r>
              <w:rPr>
                <w:rFonts w:ascii="Times New Roman" w:hAnsi="Times New Roman" w:eastAsia="Times New Roman" w:cs="Times New Roman"/>
                <w:spacing w:val="10"/>
                <w:sz w:val="20"/>
                <w:szCs w:val="20"/>
              </w:rPr>
              <w:t>1</w:t>
            </w:r>
          </w:p>
        </w:tc>
        <w:tc>
          <w:tcPr>
            <w:tcW w:w="1000" w:type="dxa"/>
          </w:tcPr>
          <w:p w14:paraId="76934491">
            <w:pPr>
              <w:spacing w:before="236" w:line="195" w:lineRule="auto"/>
              <w:ind w:left="7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9</w:t>
            </w:r>
            <w:r>
              <w:rPr>
                <w:rFonts w:ascii="Times New Roman" w:hAnsi="Times New Roman" w:eastAsia="Times New Roman" w:cs="Times New Roman"/>
                <w:spacing w:val="3"/>
                <w:sz w:val="20"/>
                <w:szCs w:val="20"/>
              </w:rPr>
              <w:t>00-001-0</w:t>
            </w:r>
          </w:p>
          <w:p w14:paraId="0ABA7686">
            <w:pPr>
              <w:spacing w:before="55" w:line="195" w:lineRule="auto"/>
              <w:ind w:left="470"/>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000" w:type="dxa"/>
          </w:tcPr>
          <w:p w14:paraId="2E61B24C">
            <w:pPr>
              <w:spacing w:before="184" w:line="271" w:lineRule="auto"/>
              <w:ind w:left="400" w:right="79" w:hanging="311"/>
              <w:rPr>
                <w:rFonts w:ascii="宋体" w:hAnsi="宋体" w:eastAsia="宋体" w:cs="宋体"/>
                <w:sz w:val="20"/>
                <w:szCs w:val="20"/>
              </w:rPr>
            </w:pPr>
            <w:r>
              <w:rPr>
                <w:rFonts w:ascii="宋体" w:hAnsi="宋体" w:eastAsia="宋体" w:cs="宋体"/>
                <w:spacing w:val="7"/>
                <w:sz w:val="20"/>
                <w:szCs w:val="20"/>
              </w:rPr>
              <w:t>办</w:t>
            </w:r>
            <w:r>
              <w:rPr>
                <w:rFonts w:ascii="宋体" w:hAnsi="宋体" w:eastAsia="宋体" w:cs="宋体"/>
                <w:spacing w:val="6"/>
                <w:sz w:val="20"/>
                <w:szCs w:val="20"/>
              </w:rPr>
              <w:t>公区旁</w:t>
            </w:r>
            <w:r>
              <w:rPr>
                <w:rFonts w:ascii="宋体" w:hAnsi="宋体" w:eastAsia="宋体" w:cs="宋体"/>
                <w:sz w:val="20"/>
                <w:szCs w:val="20"/>
              </w:rPr>
              <w:t xml:space="preserve"> </w:t>
            </w:r>
            <w:r>
              <w:rPr>
                <w:rFonts w:ascii="宋体" w:hAnsi="宋体" w:eastAsia="宋体" w:cs="宋体"/>
                <w:spacing w:val="1"/>
                <w:sz w:val="20"/>
                <w:szCs w:val="20"/>
              </w:rPr>
              <w:t>边</w:t>
            </w:r>
          </w:p>
        </w:tc>
        <w:tc>
          <w:tcPr>
            <w:tcW w:w="999" w:type="dxa"/>
          </w:tcPr>
          <w:p w14:paraId="7501C940">
            <w:pPr>
              <w:spacing w:line="277" w:lineRule="auto"/>
            </w:pPr>
          </w:p>
          <w:p w14:paraId="60928C91">
            <w:pPr>
              <w:spacing w:before="58" w:line="216" w:lineRule="auto"/>
              <w:ind w:left="301"/>
              <w:rPr>
                <w:rFonts w:ascii="Times New Roman" w:hAnsi="Times New Roman" w:eastAsia="Times New Roman" w:cs="Times New Roman"/>
                <w:sz w:val="13"/>
                <w:szCs w:val="13"/>
              </w:rPr>
            </w:pPr>
            <w:r>
              <w:rPr>
                <w:rFonts w:ascii="Times New Roman" w:hAnsi="Times New Roman" w:eastAsia="Times New Roman" w:cs="Times New Roman"/>
                <w:spacing w:val="-2"/>
                <w:position w:val="-1"/>
                <w:sz w:val="20"/>
                <w:szCs w:val="20"/>
              </w:rPr>
              <w:t>1</w:t>
            </w:r>
            <w:r>
              <w:rPr>
                <w:rFonts w:ascii="Times New Roman" w:hAnsi="Times New Roman" w:eastAsia="Times New Roman" w:cs="Times New Roman"/>
                <w:spacing w:val="-1"/>
                <w:position w:val="-1"/>
                <w:sz w:val="20"/>
                <w:szCs w:val="20"/>
              </w:rPr>
              <w:t>0m</w:t>
            </w:r>
            <w:r>
              <w:rPr>
                <w:rFonts w:ascii="Times New Roman" w:hAnsi="Times New Roman" w:eastAsia="Times New Roman" w:cs="Times New Roman"/>
                <w:spacing w:val="-1"/>
                <w:position w:val="5"/>
                <w:sz w:val="13"/>
                <w:szCs w:val="13"/>
              </w:rPr>
              <w:t>2</w:t>
            </w:r>
          </w:p>
        </w:tc>
        <w:tc>
          <w:tcPr>
            <w:tcW w:w="1000" w:type="dxa"/>
          </w:tcPr>
          <w:p w14:paraId="71277B4D">
            <w:pPr>
              <w:spacing w:before="49" w:line="228" w:lineRule="auto"/>
              <w:ind w:left="91"/>
              <w:rPr>
                <w:rFonts w:ascii="宋体" w:hAnsi="宋体" w:eastAsia="宋体" w:cs="宋体"/>
                <w:sz w:val="20"/>
                <w:szCs w:val="20"/>
              </w:rPr>
            </w:pPr>
            <w:r>
              <w:rPr>
                <w:rFonts w:ascii="宋体" w:hAnsi="宋体" w:eastAsia="宋体" w:cs="宋体"/>
                <w:spacing w:val="6"/>
                <w:sz w:val="20"/>
                <w:szCs w:val="20"/>
              </w:rPr>
              <w:t>高密度</w:t>
            </w:r>
            <w:r>
              <w:rPr>
                <w:rFonts w:ascii="宋体" w:hAnsi="宋体" w:eastAsia="宋体" w:cs="宋体"/>
                <w:spacing w:val="5"/>
                <w:sz w:val="20"/>
                <w:szCs w:val="20"/>
              </w:rPr>
              <w:t>聚</w:t>
            </w:r>
          </w:p>
          <w:p w14:paraId="12B23701">
            <w:pPr>
              <w:spacing w:before="24" w:line="255" w:lineRule="auto"/>
              <w:ind w:left="297" w:right="12" w:hanging="256"/>
              <w:rPr>
                <w:rFonts w:ascii="宋体" w:hAnsi="宋体" w:eastAsia="宋体" w:cs="宋体"/>
                <w:sz w:val="20"/>
                <w:szCs w:val="20"/>
              </w:rPr>
            </w:pPr>
            <w:r>
              <w:rPr>
                <w:rFonts w:ascii="宋体" w:hAnsi="宋体" w:eastAsia="宋体" w:cs="宋体"/>
                <w:spacing w:val="9"/>
                <w:sz w:val="20"/>
                <w:szCs w:val="20"/>
              </w:rPr>
              <w:t>乙</w:t>
            </w:r>
            <w:r>
              <w:rPr>
                <w:rFonts w:ascii="宋体" w:hAnsi="宋体" w:eastAsia="宋体" w:cs="宋体"/>
                <w:spacing w:val="8"/>
                <w:sz w:val="20"/>
                <w:szCs w:val="20"/>
              </w:rPr>
              <w:t>烯桶(加</w:t>
            </w:r>
            <w:r>
              <w:rPr>
                <w:rFonts w:ascii="宋体" w:hAnsi="宋体" w:eastAsia="宋体" w:cs="宋体"/>
                <w:sz w:val="20"/>
                <w:szCs w:val="20"/>
              </w:rPr>
              <w:t xml:space="preserve"> 盖)</w:t>
            </w:r>
          </w:p>
        </w:tc>
        <w:tc>
          <w:tcPr>
            <w:tcW w:w="1000" w:type="dxa"/>
          </w:tcPr>
          <w:p w14:paraId="59F4E8EB">
            <w:pPr>
              <w:spacing w:line="297" w:lineRule="auto"/>
            </w:pPr>
          </w:p>
          <w:p w14:paraId="23986B1F">
            <w:pPr>
              <w:spacing w:before="58" w:line="195" w:lineRule="auto"/>
              <w:ind w:left="30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1"/>
                <w:sz w:val="20"/>
                <w:szCs w:val="20"/>
              </w:rPr>
              <w:t>00L</w:t>
            </w:r>
          </w:p>
        </w:tc>
        <w:tc>
          <w:tcPr>
            <w:tcW w:w="1006" w:type="dxa"/>
            <w:tcBorders>
              <w:right w:val="nil"/>
            </w:tcBorders>
          </w:tcPr>
          <w:p w14:paraId="29523F62">
            <w:pPr>
              <w:spacing w:line="254" w:lineRule="auto"/>
            </w:pPr>
          </w:p>
          <w:p w14:paraId="53565224">
            <w:pPr>
              <w:spacing w:before="65" w:line="228" w:lineRule="auto"/>
              <w:ind w:left="301"/>
              <w:rPr>
                <w:rFonts w:ascii="宋体" w:hAnsi="宋体" w:eastAsia="宋体" w:cs="宋体"/>
                <w:sz w:val="20"/>
                <w:szCs w:val="20"/>
              </w:rPr>
            </w:pPr>
            <w:r>
              <w:rPr>
                <w:rFonts w:ascii="宋体" w:hAnsi="宋体" w:eastAsia="宋体" w:cs="宋体"/>
                <w:spacing w:val="3"/>
                <w:sz w:val="20"/>
                <w:szCs w:val="20"/>
              </w:rPr>
              <w:t>半年</w:t>
            </w:r>
          </w:p>
        </w:tc>
      </w:tr>
    </w:tbl>
    <w:p w14:paraId="7D82EEF8">
      <w:pPr>
        <w:spacing w:before="40" w:line="374" w:lineRule="auto"/>
        <w:ind w:left="24" w:right="841" w:firstLine="480"/>
        <w:rPr>
          <w:rFonts w:ascii="宋体" w:hAnsi="宋体" w:eastAsia="宋体" w:cs="宋体"/>
          <w:sz w:val="23"/>
          <w:szCs w:val="23"/>
        </w:rPr>
      </w:pPr>
      <w:r>
        <w:rPr>
          <w:rFonts w:ascii="宋体" w:hAnsi="宋体" w:eastAsia="宋体" w:cs="宋体"/>
          <w:spacing w:val="20"/>
          <w:sz w:val="23"/>
          <w:szCs w:val="23"/>
        </w:rPr>
        <w:t>环</w:t>
      </w:r>
      <w:r>
        <w:rPr>
          <w:rFonts w:ascii="宋体" w:hAnsi="宋体" w:eastAsia="宋体" w:cs="宋体"/>
          <w:spacing w:val="16"/>
          <w:sz w:val="23"/>
          <w:szCs w:val="23"/>
        </w:rPr>
        <w:t>评</w:t>
      </w:r>
      <w:r>
        <w:rPr>
          <w:rFonts w:ascii="宋体" w:hAnsi="宋体" w:eastAsia="宋体" w:cs="宋体"/>
          <w:spacing w:val="10"/>
          <w:sz w:val="23"/>
          <w:szCs w:val="23"/>
        </w:rPr>
        <w:t>要求医疗废物中收集、贮存、转运过程中，应按照《危险废物贮存污染控</w:t>
      </w:r>
      <w:r>
        <w:rPr>
          <w:rFonts w:ascii="宋体" w:hAnsi="宋体" w:eastAsia="宋体" w:cs="宋体"/>
          <w:sz w:val="23"/>
          <w:szCs w:val="23"/>
        </w:rPr>
        <w:t xml:space="preserve"> </w:t>
      </w:r>
      <w:r>
        <w:rPr>
          <w:rFonts w:ascii="宋体" w:hAnsi="宋体" w:eastAsia="宋体" w:cs="宋体"/>
          <w:spacing w:val="5"/>
          <w:sz w:val="23"/>
          <w:szCs w:val="23"/>
        </w:rPr>
        <w:t>制标准》  (</w:t>
      </w:r>
      <w:r>
        <w:rPr>
          <w:rFonts w:ascii="Times New Roman" w:hAnsi="Times New Roman" w:eastAsia="Times New Roman" w:cs="Times New Roman"/>
          <w:sz w:val="23"/>
          <w:szCs w:val="23"/>
        </w:rPr>
        <w:t>GB</w:t>
      </w:r>
      <w:r>
        <w:rPr>
          <w:rFonts w:ascii="Times New Roman" w:hAnsi="Times New Roman" w:eastAsia="Times New Roman" w:cs="Times New Roman"/>
          <w:spacing w:val="5"/>
          <w:sz w:val="23"/>
          <w:szCs w:val="23"/>
        </w:rPr>
        <w:t>18597-2001</w:t>
      </w:r>
      <w:r>
        <w:rPr>
          <w:rFonts w:ascii="宋体" w:hAnsi="宋体" w:eastAsia="宋体" w:cs="宋体"/>
          <w:spacing w:val="5"/>
          <w:sz w:val="23"/>
          <w:szCs w:val="23"/>
        </w:rPr>
        <w:t>) 、《危险废物转移管理办法》等相关规范执行。医疗</w:t>
      </w:r>
      <w:r>
        <w:rPr>
          <w:rFonts w:ascii="宋体" w:hAnsi="宋体" w:eastAsia="宋体" w:cs="宋体"/>
          <w:spacing w:val="4"/>
          <w:sz w:val="23"/>
          <w:szCs w:val="23"/>
        </w:rPr>
        <w:t>废</w:t>
      </w:r>
      <w:r>
        <w:rPr>
          <w:rFonts w:ascii="宋体" w:hAnsi="宋体" w:eastAsia="宋体" w:cs="宋体"/>
          <w:sz w:val="23"/>
          <w:szCs w:val="23"/>
        </w:rPr>
        <w:t xml:space="preserve"> </w:t>
      </w:r>
      <w:r>
        <w:rPr>
          <w:rFonts w:ascii="宋体" w:hAnsi="宋体" w:eastAsia="宋体" w:cs="宋体"/>
          <w:spacing w:val="20"/>
          <w:sz w:val="23"/>
          <w:szCs w:val="23"/>
        </w:rPr>
        <w:t>物</w:t>
      </w:r>
      <w:r>
        <w:rPr>
          <w:rFonts w:ascii="宋体" w:hAnsi="宋体" w:eastAsia="宋体" w:cs="宋体"/>
          <w:spacing w:val="17"/>
          <w:sz w:val="23"/>
          <w:szCs w:val="23"/>
        </w:rPr>
        <w:t>暂</w:t>
      </w:r>
      <w:r>
        <w:rPr>
          <w:rFonts w:ascii="宋体" w:hAnsi="宋体" w:eastAsia="宋体" w:cs="宋体"/>
          <w:spacing w:val="10"/>
          <w:sz w:val="23"/>
          <w:szCs w:val="23"/>
        </w:rPr>
        <w:t>存间严格按照规范设置，做好消毒清洁工作以及防渗等，平时保持关闭，定期</w:t>
      </w:r>
      <w:r>
        <w:rPr>
          <w:rFonts w:ascii="宋体" w:hAnsi="宋体" w:eastAsia="宋体" w:cs="宋体"/>
          <w:sz w:val="23"/>
          <w:szCs w:val="23"/>
        </w:rPr>
        <w:t xml:space="preserve"> </w:t>
      </w:r>
      <w:r>
        <w:rPr>
          <w:rFonts w:ascii="宋体" w:hAnsi="宋体" w:eastAsia="宋体" w:cs="宋体"/>
          <w:spacing w:val="10"/>
          <w:sz w:val="23"/>
          <w:szCs w:val="23"/>
        </w:rPr>
        <w:t>外运处理。卫生防疫废药品 (含器具) 全部交由有资质单位处理。同时应设置危</w:t>
      </w:r>
      <w:r>
        <w:rPr>
          <w:rFonts w:ascii="宋体" w:hAnsi="宋体" w:eastAsia="宋体" w:cs="宋体"/>
          <w:spacing w:val="7"/>
          <w:sz w:val="23"/>
          <w:szCs w:val="23"/>
        </w:rPr>
        <w:t>险</w:t>
      </w:r>
      <w:r>
        <w:rPr>
          <w:rFonts w:ascii="宋体" w:hAnsi="宋体" w:eastAsia="宋体" w:cs="宋体"/>
          <w:sz w:val="23"/>
          <w:szCs w:val="23"/>
        </w:rPr>
        <w:t xml:space="preserve"> </w:t>
      </w:r>
      <w:r>
        <w:rPr>
          <w:rFonts w:ascii="宋体" w:hAnsi="宋体" w:eastAsia="宋体" w:cs="宋体"/>
          <w:spacing w:val="10"/>
          <w:sz w:val="23"/>
          <w:szCs w:val="23"/>
        </w:rPr>
        <w:t>废</w:t>
      </w:r>
      <w:r>
        <w:rPr>
          <w:rFonts w:ascii="宋体" w:hAnsi="宋体" w:eastAsia="宋体" w:cs="宋体"/>
          <w:spacing w:val="9"/>
          <w:sz w:val="23"/>
          <w:szCs w:val="23"/>
        </w:rPr>
        <w:t>物台账，危险废物转运实施转移联单制度。</w:t>
      </w:r>
    </w:p>
    <w:p w14:paraId="2316AAA3">
      <w:pPr>
        <w:spacing w:before="2" w:line="375" w:lineRule="auto"/>
        <w:ind w:left="36" w:right="858" w:firstLine="483"/>
        <w:rPr>
          <w:rFonts w:ascii="宋体" w:hAnsi="宋体" w:eastAsia="宋体" w:cs="宋体"/>
          <w:sz w:val="23"/>
          <w:szCs w:val="23"/>
        </w:rPr>
      </w:pPr>
      <w:r>
        <w:rPr>
          <w:rFonts w:ascii="宋体" w:hAnsi="宋体" w:eastAsia="宋体" w:cs="宋体"/>
          <w:spacing w:val="17"/>
          <w:sz w:val="23"/>
          <w:szCs w:val="23"/>
        </w:rPr>
        <w:t>防疫废药品为危废，危险废物临时贮存应按《危险废物贮存污染控制标准</w:t>
      </w:r>
      <w:r>
        <w:rPr>
          <w:rFonts w:ascii="宋体" w:hAnsi="宋体" w:eastAsia="宋体" w:cs="宋体"/>
          <w:spacing w:val="13"/>
          <w:sz w:val="23"/>
          <w:szCs w:val="23"/>
        </w:rPr>
        <w:t>》</w:t>
      </w:r>
      <w:r>
        <w:rPr>
          <w:rFonts w:ascii="宋体" w:hAnsi="宋体" w:eastAsia="宋体" w:cs="宋体"/>
          <w:sz w:val="23"/>
          <w:szCs w:val="23"/>
        </w:rPr>
        <w:t xml:space="preserve"> </w:t>
      </w:r>
      <w:r>
        <w:rPr>
          <w:rFonts w:ascii="宋体" w:hAnsi="宋体" w:eastAsia="宋体" w:cs="宋体"/>
          <w:spacing w:val="22"/>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13"/>
          <w:sz w:val="23"/>
          <w:szCs w:val="23"/>
        </w:rPr>
        <w:t>1</w:t>
      </w:r>
      <w:r>
        <w:rPr>
          <w:rFonts w:ascii="Times New Roman" w:hAnsi="Times New Roman" w:eastAsia="Times New Roman" w:cs="Times New Roman"/>
          <w:spacing w:val="11"/>
          <w:sz w:val="23"/>
          <w:szCs w:val="23"/>
        </w:rPr>
        <w:t>8597-2001</w:t>
      </w:r>
      <w:r>
        <w:rPr>
          <w:rFonts w:ascii="宋体" w:hAnsi="宋体" w:eastAsia="宋体" w:cs="宋体"/>
          <w:spacing w:val="11"/>
          <w:sz w:val="23"/>
          <w:szCs w:val="23"/>
        </w:rPr>
        <w:t>) 严格执行以下措施：</w:t>
      </w:r>
    </w:p>
    <w:p w14:paraId="379D0383">
      <w:pPr>
        <w:spacing w:line="228" w:lineRule="auto"/>
        <w:ind w:left="516"/>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1</w:t>
      </w:r>
      <w:r>
        <w:rPr>
          <w:rFonts w:ascii="宋体" w:hAnsi="宋体" w:eastAsia="宋体" w:cs="宋体"/>
          <w:spacing w:val="20"/>
          <w:sz w:val="23"/>
          <w:szCs w:val="23"/>
        </w:rPr>
        <w:t>) 一般措</w:t>
      </w:r>
      <w:r>
        <w:rPr>
          <w:rFonts w:ascii="宋体" w:hAnsi="宋体" w:eastAsia="宋体" w:cs="宋体"/>
          <w:spacing w:val="19"/>
          <w:sz w:val="23"/>
          <w:szCs w:val="23"/>
        </w:rPr>
        <w:t>施</w:t>
      </w:r>
    </w:p>
    <w:p w14:paraId="1D9C7955">
      <w:pPr>
        <w:spacing w:before="181" w:line="225" w:lineRule="auto"/>
        <w:ind w:left="504"/>
        <w:rPr>
          <w:rFonts w:ascii="宋体" w:hAnsi="宋体" w:eastAsia="宋体" w:cs="宋体"/>
          <w:sz w:val="23"/>
          <w:szCs w:val="23"/>
        </w:rPr>
      </w:pPr>
      <w:r>
        <w:rPr>
          <w:rFonts w:ascii="宋体" w:hAnsi="宋体" w:eastAsia="宋体" w:cs="宋体"/>
          <w:spacing w:val="14"/>
          <w:sz w:val="23"/>
          <w:szCs w:val="23"/>
        </w:rPr>
        <w:t>①</w:t>
      </w:r>
      <w:r>
        <w:rPr>
          <w:rFonts w:ascii="宋体" w:hAnsi="宋体" w:eastAsia="宋体" w:cs="宋体"/>
          <w:spacing w:val="9"/>
          <w:sz w:val="23"/>
          <w:szCs w:val="23"/>
        </w:rPr>
        <w:t>对所有的危险废物应建造专用的危险废物贮存设施。</w:t>
      </w:r>
    </w:p>
    <w:p w14:paraId="16E762F6">
      <w:pPr>
        <w:spacing w:before="185" w:line="384" w:lineRule="auto"/>
        <w:ind w:left="26" w:right="843" w:firstLine="477"/>
        <w:rPr>
          <w:rFonts w:ascii="宋体" w:hAnsi="宋体" w:eastAsia="宋体" w:cs="宋体"/>
          <w:sz w:val="23"/>
          <w:szCs w:val="23"/>
        </w:rPr>
      </w:pPr>
      <w:r>
        <w:rPr>
          <w:rFonts w:ascii="宋体" w:hAnsi="宋体" w:eastAsia="宋体" w:cs="宋体"/>
          <w:spacing w:val="20"/>
          <w:sz w:val="23"/>
          <w:szCs w:val="23"/>
        </w:rPr>
        <w:t>②</w:t>
      </w:r>
      <w:r>
        <w:rPr>
          <w:rFonts w:ascii="宋体" w:hAnsi="宋体" w:eastAsia="宋体" w:cs="宋体"/>
          <w:spacing w:val="18"/>
          <w:sz w:val="23"/>
          <w:szCs w:val="23"/>
        </w:rPr>
        <w:t>在</w:t>
      </w:r>
      <w:r>
        <w:rPr>
          <w:rFonts w:ascii="宋体" w:hAnsi="宋体" w:eastAsia="宋体" w:cs="宋体"/>
          <w:spacing w:val="10"/>
          <w:sz w:val="23"/>
          <w:szCs w:val="23"/>
        </w:rPr>
        <w:t>常温常压下不水解、不挥发的固体危险废物可在贮存设施内分别堆放，其</w:t>
      </w:r>
      <w:r>
        <w:rPr>
          <w:rFonts w:ascii="宋体" w:hAnsi="宋体" w:eastAsia="宋体" w:cs="宋体"/>
          <w:sz w:val="23"/>
          <w:szCs w:val="23"/>
        </w:rPr>
        <w:t xml:space="preserve"> </w:t>
      </w:r>
      <w:r>
        <w:rPr>
          <w:rFonts w:ascii="宋体" w:hAnsi="宋体" w:eastAsia="宋体" w:cs="宋体"/>
          <w:spacing w:val="15"/>
          <w:sz w:val="23"/>
          <w:szCs w:val="23"/>
        </w:rPr>
        <w:t>余</w:t>
      </w:r>
      <w:r>
        <w:rPr>
          <w:rFonts w:ascii="宋体" w:hAnsi="宋体" w:eastAsia="宋体" w:cs="宋体"/>
          <w:spacing w:val="8"/>
          <w:sz w:val="23"/>
          <w:szCs w:val="23"/>
        </w:rPr>
        <w:t>的危险废物必须装入容器内。</w:t>
      </w:r>
    </w:p>
    <w:p w14:paraId="45CC29DE">
      <w:pPr>
        <w:sectPr>
          <w:headerReference r:id="rId213" w:type="default"/>
          <w:footerReference r:id="rId214" w:type="default"/>
          <w:pgSz w:w="11907" w:h="16840"/>
          <w:pgMar w:top="400" w:right="735" w:bottom="1485" w:left="1645" w:header="0" w:footer="1298" w:gutter="0"/>
          <w:cols w:space="720" w:num="1"/>
        </w:sectPr>
      </w:pPr>
    </w:p>
    <w:p w14:paraId="446F13D2">
      <w:pPr>
        <w:spacing w:before="43" w:line="225" w:lineRule="auto"/>
        <w:ind w:left="488"/>
        <w:rPr>
          <w:rFonts w:ascii="宋体" w:hAnsi="宋体" w:eastAsia="宋体" w:cs="宋体"/>
          <w:sz w:val="23"/>
          <w:szCs w:val="23"/>
        </w:rPr>
      </w:pPr>
      <w:r>
        <w:rPr>
          <w:rFonts w:ascii="宋体" w:hAnsi="宋体" w:eastAsia="宋体" w:cs="宋体"/>
          <w:spacing w:val="16"/>
          <w:sz w:val="23"/>
          <w:szCs w:val="23"/>
        </w:rPr>
        <w:t>③禁</w:t>
      </w:r>
      <w:r>
        <w:rPr>
          <w:rFonts w:ascii="宋体" w:hAnsi="宋体" w:eastAsia="宋体" w:cs="宋体"/>
          <w:spacing w:val="12"/>
          <w:sz w:val="23"/>
          <w:szCs w:val="23"/>
        </w:rPr>
        <w:t>止</w:t>
      </w:r>
      <w:r>
        <w:rPr>
          <w:rFonts w:ascii="宋体" w:hAnsi="宋体" w:eastAsia="宋体" w:cs="宋体"/>
          <w:spacing w:val="8"/>
          <w:sz w:val="23"/>
          <w:szCs w:val="23"/>
        </w:rPr>
        <w:t>将不相容 (相互反应) 的危险废物在同一容器内混装。</w:t>
      </w:r>
    </w:p>
    <w:p w14:paraId="745847E3">
      <w:pPr>
        <w:spacing w:before="185" w:line="225" w:lineRule="auto"/>
        <w:ind w:left="488"/>
        <w:rPr>
          <w:rFonts w:ascii="宋体" w:hAnsi="宋体" w:eastAsia="宋体" w:cs="宋体"/>
          <w:sz w:val="23"/>
          <w:szCs w:val="23"/>
        </w:rPr>
      </w:pPr>
      <w:r>
        <w:rPr>
          <w:rFonts w:ascii="宋体" w:hAnsi="宋体" w:eastAsia="宋体" w:cs="宋体"/>
          <w:spacing w:val="15"/>
          <w:sz w:val="23"/>
          <w:szCs w:val="23"/>
        </w:rPr>
        <w:t>④</w:t>
      </w:r>
      <w:r>
        <w:rPr>
          <w:rFonts w:ascii="宋体" w:hAnsi="宋体" w:eastAsia="宋体" w:cs="宋体"/>
          <w:spacing w:val="9"/>
          <w:sz w:val="23"/>
          <w:szCs w:val="23"/>
        </w:rPr>
        <w:t>无法装入常用容器的危险废物可用防漏胶袋等盛装。</w:t>
      </w:r>
    </w:p>
    <w:p w14:paraId="79CABF2E">
      <w:pPr>
        <w:spacing w:before="184" w:line="376" w:lineRule="auto"/>
        <w:ind w:left="28" w:right="80" w:firstLine="459"/>
        <w:rPr>
          <w:rFonts w:ascii="宋体" w:hAnsi="宋体" w:eastAsia="宋体" w:cs="宋体"/>
          <w:sz w:val="23"/>
          <w:szCs w:val="23"/>
        </w:rPr>
      </w:pPr>
      <w:r>
        <w:rPr>
          <w:rFonts w:ascii="宋体" w:hAnsi="宋体" w:eastAsia="宋体" w:cs="宋体"/>
          <w:spacing w:val="20"/>
          <w:sz w:val="23"/>
          <w:szCs w:val="23"/>
        </w:rPr>
        <w:t>⑤</w:t>
      </w:r>
      <w:r>
        <w:rPr>
          <w:rFonts w:ascii="宋体" w:hAnsi="宋体" w:eastAsia="宋体" w:cs="宋体"/>
          <w:spacing w:val="18"/>
          <w:sz w:val="23"/>
          <w:szCs w:val="23"/>
        </w:rPr>
        <w:t>装</w:t>
      </w:r>
      <w:r>
        <w:rPr>
          <w:rFonts w:ascii="宋体" w:hAnsi="宋体" w:eastAsia="宋体" w:cs="宋体"/>
          <w:spacing w:val="10"/>
          <w:sz w:val="23"/>
          <w:szCs w:val="23"/>
        </w:rPr>
        <w:t>载液体、半固体危险废物的容器内须留足够空间，容器顶部与液体表面之</w:t>
      </w:r>
      <w:r>
        <w:rPr>
          <w:rFonts w:ascii="宋体" w:hAnsi="宋体" w:eastAsia="宋体" w:cs="宋体"/>
          <w:sz w:val="23"/>
          <w:szCs w:val="23"/>
        </w:rPr>
        <w:t xml:space="preserve"> </w:t>
      </w:r>
      <w:r>
        <w:rPr>
          <w:rFonts w:ascii="宋体" w:hAnsi="宋体" w:eastAsia="宋体" w:cs="宋体"/>
          <w:spacing w:val="2"/>
          <w:sz w:val="23"/>
          <w:szCs w:val="23"/>
        </w:rPr>
        <w:t xml:space="preserve">间保留 </w:t>
      </w:r>
      <w:r>
        <w:rPr>
          <w:rFonts w:ascii="Times New Roman" w:hAnsi="Times New Roman" w:eastAsia="Times New Roman" w:cs="Times New Roman"/>
          <w:spacing w:val="2"/>
          <w:sz w:val="23"/>
          <w:szCs w:val="23"/>
        </w:rPr>
        <w:t>100</w:t>
      </w:r>
      <w:r>
        <w:rPr>
          <w:rFonts w:ascii="Times New Roman" w:hAnsi="Times New Roman" w:eastAsia="Times New Roman" w:cs="Times New Roman"/>
          <w:sz w:val="23"/>
          <w:szCs w:val="23"/>
        </w:rPr>
        <w:t>mm</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以上的空间。</w:t>
      </w:r>
    </w:p>
    <w:p w14:paraId="72154151">
      <w:pPr>
        <w:spacing w:line="225" w:lineRule="auto"/>
        <w:ind w:left="488"/>
        <w:rPr>
          <w:rFonts w:ascii="宋体" w:hAnsi="宋体" w:eastAsia="宋体" w:cs="宋体"/>
          <w:sz w:val="23"/>
          <w:szCs w:val="23"/>
        </w:rPr>
      </w:pPr>
      <w:r>
        <w:rPr>
          <w:rFonts w:ascii="宋体" w:hAnsi="宋体" w:eastAsia="宋体" w:cs="宋体"/>
          <w:spacing w:val="14"/>
          <w:sz w:val="23"/>
          <w:szCs w:val="23"/>
        </w:rPr>
        <w:t>⑥</w:t>
      </w:r>
      <w:r>
        <w:rPr>
          <w:rFonts w:ascii="宋体" w:hAnsi="宋体" w:eastAsia="宋体" w:cs="宋体"/>
          <w:spacing w:val="9"/>
          <w:sz w:val="23"/>
          <w:szCs w:val="23"/>
        </w:rPr>
        <w:t>盛装危险废物的容器上必须粘贴符合标准的标签。</w:t>
      </w:r>
    </w:p>
    <w:p w14:paraId="3477B923">
      <w:pPr>
        <w:spacing w:before="185" w:line="225" w:lineRule="auto"/>
        <w:ind w:left="488"/>
        <w:rPr>
          <w:rFonts w:ascii="宋体" w:hAnsi="宋体" w:eastAsia="宋体" w:cs="宋体"/>
          <w:sz w:val="23"/>
          <w:szCs w:val="23"/>
        </w:rPr>
      </w:pPr>
      <w:r>
        <w:rPr>
          <w:rFonts w:ascii="宋体" w:hAnsi="宋体" w:eastAsia="宋体" w:cs="宋体"/>
          <w:spacing w:val="12"/>
          <w:sz w:val="23"/>
          <w:szCs w:val="23"/>
        </w:rPr>
        <w:t>⑦</w:t>
      </w:r>
      <w:r>
        <w:rPr>
          <w:rFonts w:ascii="宋体" w:hAnsi="宋体" w:eastAsia="宋体" w:cs="宋体"/>
          <w:spacing w:val="9"/>
          <w:sz w:val="23"/>
          <w:szCs w:val="23"/>
        </w:rPr>
        <w:t>项目危险废物均于医疗废物暂存间进行储存。</w:t>
      </w:r>
    </w:p>
    <w:p w14:paraId="70063F2A">
      <w:pPr>
        <w:spacing w:before="187" w:line="227" w:lineRule="auto"/>
        <w:ind w:left="501"/>
        <w:rPr>
          <w:rFonts w:ascii="宋体" w:hAnsi="宋体" w:eastAsia="宋体" w:cs="宋体"/>
          <w:sz w:val="23"/>
          <w:szCs w:val="23"/>
        </w:rPr>
      </w:pPr>
      <w:r>
        <w:rPr>
          <w:rFonts w:ascii="宋体" w:hAnsi="宋体" w:eastAsia="宋体" w:cs="宋体"/>
          <w:spacing w:val="23"/>
          <w:sz w:val="23"/>
          <w:szCs w:val="23"/>
        </w:rPr>
        <w:t>(</w:t>
      </w:r>
      <w:r>
        <w:rPr>
          <w:rFonts w:ascii="Times New Roman" w:hAnsi="Times New Roman" w:eastAsia="Times New Roman" w:cs="Times New Roman"/>
          <w:spacing w:val="16"/>
          <w:sz w:val="23"/>
          <w:szCs w:val="23"/>
        </w:rPr>
        <w:t>2</w:t>
      </w:r>
      <w:r>
        <w:rPr>
          <w:rFonts w:ascii="宋体" w:hAnsi="宋体" w:eastAsia="宋体" w:cs="宋体"/>
          <w:spacing w:val="16"/>
          <w:sz w:val="23"/>
          <w:szCs w:val="23"/>
        </w:rPr>
        <w:t>) 危险废物贮存容器</w:t>
      </w:r>
    </w:p>
    <w:p w14:paraId="3AB22B17">
      <w:pPr>
        <w:spacing w:before="182" w:line="225" w:lineRule="auto"/>
        <w:ind w:left="489"/>
        <w:rPr>
          <w:rFonts w:ascii="宋体" w:hAnsi="宋体" w:eastAsia="宋体" w:cs="宋体"/>
          <w:sz w:val="23"/>
          <w:szCs w:val="23"/>
        </w:rPr>
      </w:pPr>
      <w:r>
        <w:rPr>
          <w:rFonts w:ascii="宋体" w:hAnsi="宋体" w:eastAsia="宋体" w:cs="宋体"/>
          <w:spacing w:val="9"/>
          <w:sz w:val="23"/>
          <w:szCs w:val="23"/>
        </w:rPr>
        <w:t>①应当使用符合标准的容器盛装危险废物。</w:t>
      </w:r>
    </w:p>
    <w:p w14:paraId="602BDC82">
      <w:pPr>
        <w:spacing w:before="188" w:line="225" w:lineRule="auto"/>
        <w:ind w:left="488"/>
        <w:rPr>
          <w:rFonts w:ascii="宋体" w:hAnsi="宋体" w:eastAsia="宋体" w:cs="宋体"/>
          <w:sz w:val="23"/>
          <w:szCs w:val="23"/>
        </w:rPr>
      </w:pPr>
      <w:r>
        <w:rPr>
          <w:rFonts w:ascii="宋体" w:hAnsi="宋体" w:eastAsia="宋体" w:cs="宋体"/>
          <w:spacing w:val="15"/>
          <w:sz w:val="23"/>
          <w:szCs w:val="23"/>
        </w:rPr>
        <w:t>②</w:t>
      </w:r>
      <w:r>
        <w:rPr>
          <w:rFonts w:ascii="宋体" w:hAnsi="宋体" w:eastAsia="宋体" w:cs="宋体"/>
          <w:spacing w:val="9"/>
          <w:sz w:val="23"/>
          <w:szCs w:val="23"/>
        </w:rPr>
        <w:t>装载危险废物的容器及材质要满足相应的强度要求。</w:t>
      </w:r>
    </w:p>
    <w:p w14:paraId="0DB74830">
      <w:pPr>
        <w:spacing w:before="185" w:line="225" w:lineRule="auto"/>
        <w:ind w:left="488"/>
        <w:rPr>
          <w:rFonts w:ascii="宋体" w:hAnsi="宋体" w:eastAsia="宋体" w:cs="宋体"/>
          <w:sz w:val="23"/>
          <w:szCs w:val="23"/>
        </w:rPr>
      </w:pPr>
      <w:r>
        <w:rPr>
          <w:rFonts w:ascii="宋体" w:hAnsi="宋体" w:eastAsia="宋体" w:cs="宋体"/>
          <w:spacing w:val="9"/>
          <w:sz w:val="23"/>
          <w:szCs w:val="23"/>
        </w:rPr>
        <w:t>③装载危险废物的容器必须完好无损</w:t>
      </w:r>
      <w:r>
        <w:rPr>
          <w:rFonts w:ascii="宋体" w:hAnsi="宋体" w:eastAsia="宋体" w:cs="宋体"/>
          <w:spacing w:val="8"/>
          <w:sz w:val="23"/>
          <w:szCs w:val="23"/>
        </w:rPr>
        <w:t>。</w:t>
      </w:r>
    </w:p>
    <w:p w14:paraId="4B590E90">
      <w:pPr>
        <w:spacing w:before="188" w:line="225" w:lineRule="auto"/>
        <w:ind w:left="488"/>
        <w:rPr>
          <w:rFonts w:ascii="宋体" w:hAnsi="宋体" w:eastAsia="宋体" w:cs="宋体"/>
          <w:sz w:val="23"/>
          <w:szCs w:val="23"/>
        </w:rPr>
      </w:pPr>
      <w:r>
        <w:rPr>
          <w:rFonts w:ascii="宋体" w:hAnsi="宋体" w:eastAsia="宋体" w:cs="宋体"/>
          <w:spacing w:val="9"/>
          <w:sz w:val="23"/>
          <w:szCs w:val="23"/>
        </w:rPr>
        <w:t xml:space="preserve">④盛装危险废物的容器材质和衬里要与危险废物相容 (不相互反应) </w:t>
      </w:r>
      <w:r>
        <w:rPr>
          <w:rFonts w:ascii="宋体" w:hAnsi="宋体" w:eastAsia="宋体" w:cs="宋体"/>
          <w:spacing w:val="5"/>
          <w:sz w:val="23"/>
          <w:szCs w:val="23"/>
        </w:rPr>
        <w:t>。</w:t>
      </w:r>
    </w:p>
    <w:p w14:paraId="32907BD6">
      <w:pPr>
        <w:spacing w:before="185" w:line="225" w:lineRule="auto"/>
        <w:ind w:left="488"/>
        <w:rPr>
          <w:rFonts w:ascii="宋体" w:hAnsi="宋体" w:eastAsia="宋体" w:cs="宋体"/>
          <w:sz w:val="23"/>
          <w:szCs w:val="23"/>
        </w:rPr>
      </w:pPr>
      <w:r>
        <w:rPr>
          <w:rFonts w:ascii="宋体" w:hAnsi="宋体" w:eastAsia="宋体" w:cs="宋体"/>
          <w:spacing w:val="11"/>
          <w:sz w:val="23"/>
          <w:szCs w:val="23"/>
        </w:rPr>
        <w:t>⑤</w:t>
      </w:r>
      <w:r>
        <w:rPr>
          <w:rFonts w:ascii="宋体" w:hAnsi="宋体" w:eastAsia="宋体" w:cs="宋体"/>
          <w:spacing w:val="7"/>
          <w:sz w:val="23"/>
          <w:szCs w:val="23"/>
        </w:rPr>
        <w:t xml:space="preserve">液体危险废物可注入开孔直径不超过 </w:t>
      </w:r>
      <w:r>
        <w:rPr>
          <w:rFonts w:ascii="Times New Roman" w:hAnsi="Times New Roman" w:eastAsia="Times New Roman" w:cs="Times New Roman"/>
          <w:spacing w:val="7"/>
          <w:sz w:val="23"/>
          <w:szCs w:val="23"/>
        </w:rPr>
        <w:t>70</w:t>
      </w:r>
      <w:r>
        <w:rPr>
          <w:rFonts w:ascii="Times New Roman" w:hAnsi="Times New Roman" w:eastAsia="Times New Roman" w:cs="Times New Roman"/>
          <w:sz w:val="23"/>
          <w:szCs w:val="23"/>
        </w:rPr>
        <w:t>mm</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并有放气孔的桶中。</w:t>
      </w:r>
    </w:p>
    <w:p w14:paraId="6BEB8C31">
      <w:pPr>
        <w:spacing w:before="188" w:line="227" w:lineRule="auto"/>
        <w:ind w:left="501"/>
        <w:rPr>
          <w:rFonts w:ascii="宋体" w:hAnsi="宋体" w:eastAsia="宋体" w:cs="宋体"/>
          <w:sz w:val="23"/>
          <w:szCs w:val="23"/>
        </w:rPr>
      </w:pPr>
      <w:r>
        <w:rPr>
          <w:rFonts w:ascii="宋体" w:hAnsi="宋体" w:eastAsia="宋体" w:cs="宋体"/>
          <w:spacing w:val="21"/>
          <w:sz w:val="23"/>
          <w:szCs w:val="23"/>
        </w:rPr>
        <w:t>(</w:t>
      </w:r>
      <w:r>
        <w:rPr>
          <w:rFonts w:ascii="Times New Roman" w:hAnsi="Times New Roman" w:eastAsia="Times New Roman" w:cs="Times New Roman"/>
          <w:spacing w:val="14"/>
          <w:sz w:val="23"/>
          <w:szCs w:val="23"/>
        </w:rPr>
        <w:t>3</w:t>
      </w:r>
      <w:r>
        <w:rPr>
          <w:rFonts w:ascii="宋体" w:hAnsi="宋体" w:eastAsia="宋体" w:cs="宋体"/>
          <w:spacing w:val="14"/>
          <w:sz w:val="23"/>
          <w:szCs w:val="23"/>
        </w:rPr>
        <w:t>) 危险废物贮存设施的运行与管理</w:t>
      </w:r>
    </w:p>
    <w:p w14:paraId="466E30A2">
      <w:pPr>
        <w:spacing w:before="181" w:line="376" w:lineRule="auto"/>
        <w:ind w:left="11" w:right="80" w:firstLine="478"/>
        <w:rPr>
          <w:rFonts w:ascii="宋体" w:hAnsi="宋体" w:eastAsia="宋体" w:cs="宋体"/>
          <w:sz w:val="23"/>
          <w:szCs w:val="23"/>
        </w:rPr>
      </w:pPr>
      <w:r>
        <w:rPr>
          <w:rFonts w:ascii="宋体" w:hAnsi="宋体" w:eastAsia="宋体" w:cs="宋体"/>
          <w:spacing w:val="20"/>
          <w:sz w:val="23"/>
          <w:szCs w:val="23"/>
        </w:rPr>
        <w:t>①</w:t>
      </w:r>
      <w:r>
        <w:rPr>
          <w:rFonts w:ascii="宋体" w:hAnsi="宋体" w:eastAsia="宋体" w:cs="宋体"/>
          <w:spacing w:val="17"/>
          <w:sz w:val="23"/>
          <w:szCs w:val="23"/>
        </w:rPr>
        <w:t>从</w:t>
      </w:r>
      <w:r>
        <w:rPr>
          <w:rFonts w:ascii="宋体" w:hAnsi="宋体" w:eastAsia="宋体" w:cs="宋体"/>
          <w:spacing w:val="10"/>
          <w:sz w:val="23"/>
          <w:szCs w:val="23"/>
        </w:rPr>
        <w:t>事危险废物贮存的单位，必须得到有资质单位出具的该危险废物样品物理</w:t>
      </w:r>
      <w:r>
        <w:rPr>
          <w:rFonts w:ascii="宋体" w:hAnsi="宋体" w:eastAsia="宋体" w:cs="宋体"/>
          <w:sz w:val="23"/>
          <w:szCs w:val="23"/>
        </w:rPr>
        <w:t xml:space="preserve"> </w:t>
      </w:r>
      <w:r>
        <w:rPr>
          <w:rFonts w:ascii="宋体" w:hAnsi="宋体" w:eastAsia="宋体" w:cs="宋体"/>
          <w:spacing w:val="12"/>
          <w:sz w:val="23"/>
          <w:szCs w:val="23"/>
        </w:rPr>
        <w:t>和</w:t>
      </w:r>
      <w:r>
        <w:rPr>
          <w:rFonts w:ascii="宋体" w:hAnsi="宋体" w:eastAsia="宋体" w:cs="宋体"/>
          <w:spacing w:val="9"/>
          <w:sz w:val="23"/>
          <w:szCs w:val="23"/>
        </w:rPr>
        <w:t>化学性质的分析报告，认定可以贮存后，方可接收。</w:t>
      </w:r>
    </w:p>
    <w:p w14:paraId="0C4C8202">
      <w:pPr>
        <w:spacing w:before="1" w:line="225" w:lineRule="auto"/>
        <w:ind w:left="488"/>
        <w:rPr>
          <w:rFonts w:ascii="宋体" w:hAnsi="宋体" w:eastAsia="宋体" w:cs="宋体"/>
          <w:sz w:val="23"/>
          <w:szCs w:val="23"/>
        </w:rPr>
      </w:pPr>
      <w:r>
        <w:rPr>
          <w:rFonts w:ascii="宋体" w:hAnsi="宋体" w:eastAsia="宋体" w:cs="宋体"/>
          <w:spacing w:val="6"/>
          <w:sz w:val="23"/>
          <w:szCs w:val="23"/>
        </w:rPr>
        <w:t>②危险废物贮存前应进行检验，确保同预定接收的危险废物一致，并登记注册</w:t>
      </w:r>
      <w:r>
        <w:rPr>
          <w:rFonts w:ascii="宋体" w:hAnsi="宋体" w:eastAsia="宋体" w:cs="宋体"/>
          <w:spacing w:val="5"/>
          <w:sz w:val="23"/>
          <w:szCs w:val="23"/>
        </w:rPr>
        <w:t>。</w:t>
      </w:r>
    </w:p>
    <w:p w14:paraId="6E244151">
      <w:pPr>
        <w:spacing w:before="185" w:line="225" w:lineRule="auto"/>
        <w:ind w:left="488"/>
        <w:rPr>
          <w:rFonts w:ascii="宋体" w:hAnsi="宋体" w:eastAsia="宋体" w:cs="宋体"/>
          <w:sz w:val="23"/>
          <w:szCs w:val="23"/>
        </w:rPr>
      </w:pPr>
      <w:r>
        <w:rPr>
          <w:rFonts w:ascii="宋体" w:hAnsi="宋体" w:eastAsia="宋体" w:cs="宋体"/>
          <w:spacing w:val="18"/>
          <w:sz w:val="23"/>
          <w:szCs w:val="23"/>
        </w:rPr>
        <w:t>③</w:t>
      </w:r>
      <w:r>
        <w:rPr>
          <w:rFonts w:ascii="宋体" w:hAnsi="宋体" w:eastAsia="宋体" w:cs="宋体"/>
          <w:spacing w:val="12"/>
          <w:sz w:val="23"/>
          <w:szCs w:val="23"/>
        </w:rPr>
        <w:t>不</w:t>
      </w:r>
      <w:r>
        <w:rPr>
          <w:rFonts w:ascii="宋体" w:hAnsi="宋体" w:eastAsia="宋体" w:cs="宋体"/>
          <w:spacing w:val="9"/>
          <w:sz w:val="23"/>
          <w:szCs w:val="23"/>
        </w:rPr>
        <w:t>得接收未粘贴符合规定的标签或标签没按规定填写的危险废物。</w:t>
      </w:r>
    </w:p>
    <w:p w14:paraId="7FEAC246">
      <w:pPr>
        <w:spacing w:before="185" w:line="225" w:lineRule="auto"/>
        <w:ind w:left="488"/>
        <w:rPr>
          <w:rFonts w:ascii="宋体" w:hAnsi="宋体" w:eastAsia="宋体" w:cs="宋体"/>
          <w:sz w:val="23"/>
          <w:szCs w:val="23"/>
        </w:rPr>
      </w:pPr>
      <w:r>
        <w:rPr>
          <w:rFonts w:ascii="宋体" w:hAnsi="宋体" w:eastAsia="宋体" w:cs="宋体"/>
          <w:spacing w:val="12"/>
          <w:sz w:val="23"/>
          <w:szCs w:val="23"/>
        </w:rPr>
        <w:t>④</w:t>
      </w:r>
      <w:r>
        <w:rPr>
          <w:rFonts w:ascii="宋体" w:hAnsi="宋体" w:eastAsia="宋体" w:cs="宋体"/>
          <w:spacing w:val="9"/>
          <w:sz w:val="23"/>
          <w:szCs w:val="23"/>
        </w:rPr>
        <w:t>盛装在容器内的同类危险废物可以堆叠存放。</w:t>
      </w:r>
    </w:p>
    <w:p w14:paraId="6C2BEF63">
      <w:pPr>
        <w:spacing w:before="188" w:line="225" w:lineRule="auto"/>
        <w:ind w:left="488"/>
        <w:rPr>
          <w:rFonts w:ascii="宋体" w:hAnsi="宋体" w:eastAsia="宋体" w:cs="宋体"/>
          <w:sz w:val="23"/>
          <w:szCs w:val="23"/>
        </w:rPr>
      </w:pPr>
      <w:r>
        <w:rPr>
          <w:rFonts w:ascii="宋体" w:hAnsi="宋体" w:eastAsia="宋体" w:cs="宋体"/>
          <w:spacing w:val="16"/>
          <w:sz w:val="23"/>
          <w:szCs w:val="23"/>
        </w:rPr>
        <w:t>⑤</w:t>
      </w:r>
      <w:r>
        <w:rPr>
          <w:rFonts w:ascii="宋体" w:hAnsi="宋体" w:eastAsia="宋体" w:cs="宋体"/>
          <w:spacing w:val="8"/>
          <w:sz w:val="23"/>
          <w:szCs w:val="23"/>
        </w:rPr>
        <w:t>每个堆间应留有搬运通道。</w:t>
      </w:r>
    </w:p>
    <w:p w14:paraId="6C8BA1D2">
      <w:pPr>
        <w:spacing w:before="188" w:line="225" w:lineRule="auto"/>
        <w:ind w:left="488"/>
        <w:rPr>
          <w:rFonts w:ascii="宋体" w:hAnsi="宋体" w:eastAsia="宋体" w:cs="宋体"/>
          <w:sz w:val="23"/>
          <w:szCs w:val="23"/>
        </w:rPr>
      </w:pPr>
      <w:r>
        <w:rPr>
          <w:rFonts w:ascii="宋体" w:hAnsi="宋体" w:eastAsia="宋体" w:cs="宋体"/>
          <w:spacing w:val="9"/>
          <w:sz w:val="23"/>
          <w:szCs w:val="23"/>
        </w:rPr>
        <w:t>⑥不得将不相容的废物混合或合并存放。</w:t>
      </w:r>
    </w:p>
    <w:p w14:paraId="43CBF50B">
      <w:pPr>
        <w:spacing w:before="183" w:line="375" w:lineRule="auto"/>
        <w:ind w:left="9" w:right="80" w:firstLine="479"/>
        <w:rPr>
          <w:rFonts w:ascii="宋体" w:hAnsi="宋体" w:eastAsia="宋体" w:cs="宋体"/>
          <w:sz w:val="23"/>
          <w:szCs w:val="23"/>
        </w:rPr>
      </w:pPr>
      <w:r>
        <w:rPr>
          <w:rFonts w:ascii="宋体" w:hAnsi="宋体" w:eastAsia="宋体" w:cs="宋体"/>
          <w:spacing w:val="20"/>
          <w:sz w:val="23"/>
          <w:szCs w:val="23"/>
        </w:rPr>
        <w:t>⑦</w:t>
      </w:r>
      <w:r>
        <w:rPr>
          <w:rFonts w:ascii="宋体" w:hAnsi="宋体" w:eastAsia="宋体" w:cs="宋体"/>
          <w:spacing w:val="18"/>
          <w:sz w:val="23"/>
          <w:szCs w:val="23"/>
        </w:rPr>
        <w:t>危</w:t>
      </w:r>
      <w:r>
        <w:rPr>
          <w:rFonts w:ascii="宋体" w:hAnsi="宋体" w:eastAsia="宋体" w:cs="宋体"/>
          <w:spacing w:val="10"/>
          <w:sz w:val="23"/>
          <w:szCs w:val="23"/>
        </w:rPr>
        <w:t>险废物产生者和危险废物贮存设施经营者均须作好危险废物情况的记录，</w:t>
      </w:r>
      <w:r>
        <w:rPr>
          <w:rFonts w:ascii="宋体" w:hAnsi="宋体" w:eastAsia="宋体" w:cs="宋体"/>
          <w:sz w:val="23"/>
          <w:szCs w:val="23"/>
        </w:rPr>
        <w:t xml:space="preserve"> </w:t>
      </w:r>
      <w:r>
        <w:rPr>
          <w:rFonts w:ascii="宋体" w:hAnsi="宋体" w:eastAsia="宋体" w:cs="宋体"/>
          <w:spacing w:val="20"/>
          <w:sz w:val="23"/>
          <w:szCs w:val="23"/>
        </w:rPr>
        <w:t>记</w:t>
      </w:r>
      <w:r>
        <w:rPr>
          <w:rFonts w:ascii="宋体" w:hAnsi="宋体" w:eastAsia="宋体" w:cs="宋体"/>
          <w:spacing w:val="17"/>
          <w:sz w:val="23"/>
          <w:szCs w:val="23"/>
        </w:rPr>
        <w:t>录</w:t>
      </w:r>
      <w:r>
        <w:rPr>
          <w:rFonts w:ascii="宋体" w:hAnsi="宋体" w:eastAsia="宋体" w:cs="宋体"/>
          <w:spacing w:val="10"/>
          <w:sz w:val="23"/>
          <w:szCs w:val="23"/>
        </w:rPr>
        <w:t>上须注明危险废物的名秤、来源、数量、特性和包装容器的类别、入库日期、</w:t>
      </w:r>
      <w:r>
        <w:rPr>
          <w:rFonts w:ascii="宋体" w:hAnsi="宋体" w:eastAsia="宋体" w:cs="宋体"/>
          <w:sz w:val="23"/>
          <w:szCs w:val="23"/>
        </w:rPr>
        <w:t xml:space="preserve"> </w:t>
      </w:r>
      <w:r>
        <w:rPr>
          <w:rFonts w:ascii="宋体" w:hAnsi="宋体" w:eastAsia="宋体" w:cs="宋体"/>
          <w:spacing w:val="20"/>
          <w:sz w:val="23"/>
          <w:szCs w:val="23"/>
        </w:rPr>
        <w:t>存</w:t>
      </w:r>
      <w:r>
        <w:rPr>
          <w:rFonts w:ascii="宋体" w:hAnsi="宋体" w:eastAsia="宋体" w:cs="宋体"/>
          <w:spacing w:val="17"/>
          <w:sz w:val="23"/>
          <w:szCs w:val="23"/>
        </w:rPr>
        <w:t>放</w:t>
      </w:r>
      <w:r>
        <w:rPr>
          <w:rFonts w:ascii="宋体" w:hAnsi="宋体" w:eastAsia="宋体" w:cs="宋体"/>
          <w:spacing w:val="10"/>
          <w:sz w:val="23"/>
          <w:szCs w:val="23"/>
        </w:rPr>
        <w:t>库位、废物出库日期及接收单位名称。危险废物的记录和货单在危险废物回取</w:t>
      </w:r>
      <w:r>
        <w:rPr>
          <w:rFonts w:ascii="宋体" w:hAnsi="宋体" w:eastAsia="宋体" w:cs="宋体"/>
          <w:sz w:val="23"/>
          <w:szCs w:val="23"/>
        </w:rPr>
        <w:t xml:space="preserve"> </w:t>
      </w:r>
      <w:r>
        <w:rPr>
          <w:rFonts w:ascii="宋体" w:hAnsi="宋体" w:eastAsia="宋体" w:cs="宋体"/>
          <w:spacing w:val="8"/>
          <w:sz w:val="23"/>
          <w:szCs w:val="23"/>
        </w:rPr>
        <w:t>后应继续保留三年</w:t>
      </w:r>
      <w:r>
        <w:rPr>
          <w:rFonts w:ascii="宋体" w:hAnsi="宋体" w:eastAsia="宋体" w:cs="宋体"/>
          <w:spacing w:val="7"/>
          <w:sz w:val="23"/>
          <w:szCs w:val="23"/>
        </w:rPr>
        <w:t>。</w:t>
      </w:r>
    </w:p>
    <w:p w14:paraId="0284754D">
      <w:pPr>
        <w:spacing w:before="2" w:line="374" w:lineRule="auto"/>
        <w:ind w:left="9" w:right="80" w:firstLine="479"/>
        <w:rPr>
          <w:rFonts w:ascii="宋体" w:hAnsi="宋体" w:eastAsia="宋体" w:cs="宋体"/>
          <w:sz w:val="23"/>
          <w:szCs w:val="23"/>
        </w:rPr>
      </w:pPr>
      <w:r>
        <w:rPr>
          <w:rFonts w:ascii="宋体" w:hAnsi="宋体" w:eastAsia="宋体" w:cs="宋体"/>
          <w:spacing w:val="20"/>
          <w:sz w:val="23"/>
          <w:szCs w:val="23"/>
        </w:rPr>
        <w:t>⑧</w:t>
      </w:r>
      <w:r>
        <w:rPr>
          <w:rFonts w:ascii="宋体" w:hAnsi="宋体" w:eastAsia="宋体" w:cs="宋体"/>
          <w:spacing w:val="18"/>
          <w:sz w:val="23"/>
          <w:szCs w:val="23"/>
        </w:rPr>
        <w:t>必</w:t>
      </w:r>
      <w:r>
        <w:rPr>
          <w:rFonts w:ascii="宋体" w:hAnsi="宋体" w:eastAsia="宋体" w:cs="宋体"/>
          <w:spacing w:val="10"/>
          <w:sz w:val="23"/>
          <w:szCs w:val="23"/>
        </w:rPr>
        <w:t>须定期对所贮存的危险废物包装容器及贮存设施进行检查，发现破损，应</w:t>
      </w:r>
      <w:r>
        <w:rPr>
          <w:rFonts w:ascii="宋体" w:hAnsi="宋体" w:eastAsia="宋体" w:cs="宋体"/>
          <w:sz w:val="23"/>
          <w:szCs w:val="23"/>
        </w:rPr>
        <w:t xml:space="preserve"> </w:t>
      </w:r>
      <w:r>
        <w:rPr>
          <w:rFonts w:ascii="宋体" w:hAnsi="宋体" w:eastAsia="宋体" w:cs="宋体"/>
          <w:spacing w:val="11"/>
          <w:sz w:val="23"/>
          <w:szCs w:val="23"/>
        </w:rPr>
        <w:t>及</w:t>
      </w:r>
      <w:r>
        <w:rPr>
          <w:rFonts w:ascii="宋体" w:hAnsi="宋体" w:eastAsia="宋体" w:cs="宋体"/>
          <w:spacing w:val="8"/>
          <w:sz w:val="23"/>
          <w:szCs w:val="23"/>
        </w:rPr>
        <w:t>时采取措施清理更换。</w:t>
      </w:r>
    </w:p>
    <w:p w14:paraId="2E94B755">
      <w:pPr>
        <w:spacing w:line="375" w:lineRule="auto"/>
        <w:ind w:left="10" w:right="80" w:firstLine="483"/>
        <w:rPr>
          <w:rFonts w:ascii="宋体" w:hAnsi="宋体" w:eastAsia="宋体" w:cs="宋体"/>
          <w:sz w:val="23"/>
          <w:szCs w:val="23"/>
        </w:rPr>
      </w:pPr>
      <w:r>
        <w:rPr>
          <w:rFonts w:ascii="宋体" w:hAnsi="宋体" w:eastAsia="宋体" w:cs="宋体"/>
          <w:spacing w:val="20"/>
          <w:sz w:val="23"/>
          <w:szCs w:val="23"/>
        </w:rPr>
        <w:t>项</w:t>
      </w:r>
      <w:r>
        <w:rPr>
          <w:rFonts w:ascii="宋体" w:hAnsi="宋体" w:eastAsia="宋体" w:cs="宋体"/>
          <w:spacing w:val="13"/>
          <w:sz w:val="23"/>
          <w:szCs w:val="23"/>
        </w:rPr>
        <w:t>目</w:t>
      </w:r>
      <w:r>
        <w:rPr>
          <w:rFonts w:ascii="宋体" w:hAnsi="宋体" w:eastAsia="宋体" w:cs="宋体"/>
          <w:spacing w:val="10"/>
          <w:sz w:val="23"/>
          <w:szCs w:val="23"/>
        </w:rPr>
        <w:t>产生危险废物均由资质单位负责定期运输，采用密闭车辆进行运输，确保</w:t>
      </w:r>
      <w:r>
        <w:rPr>
          <w:rFonts w:ascii="宋体" w:hAnsi="宋体" w:eastAsia="宋体" w:cs="宋体"/>
          <w:sz w:val="23"/>
          <w:szCs w:val="23"/>
        </w:rPr>
        <w:t xml:space="preserve"> </w:t>
      </w:r>
      <w:r>
        <w:rPr>
          <w:rFonts w:ascii="宋体" w:hAnsi="宋体" w:eastAsia="宋体" w:cs="宋体"/>
          <w:spacing w:val="20"/>
          <w:sz w:val="23"/>
          <w:szCs w:val="23"/>
        </w:rPr>
        <w:t>运</w:t>
      </w:r>
      <w:r>
        <w:rPr>
          <w:rFonts w:ascii="宋体" w:hAnsi="宋体" w:eastAsia="宋体" w:cs="宋体"/>
          <w:spacing w:val="16"/>
          <w:sz w:val="23"/>
          <w:szCs w:val="23"/>
        </w:rPr>
        <w:t>输</w:t>
      </w:r>
      <w:r>
        <w:rPr>
          <w:rFonts w:ascii="宋体" w:hAnsi="宋体" w:eastAsia="宋体" w:cs="宋体"/>
          <w:spacing w:val="10"/>
          <w:sz w:val="23"/>
          <w:szCs w:val="23"/>
        </w:rPr>
        <w:t>过程不产生泄露，同时运输单位须合理规划运输路线，尽量避开人群密集段通</w:t>
      </w:r>
      <w:r>
        <w:rPr>
          <w:rFonts w:ascii="宋体" w:hAnsi="宋体" w:eastAsia="宋体" w:cs="宋体"/>
          <w:sz w:val="23"/>
          <w:szCs w:val="23"/>
        </w:rPr>
        <w:t xml:space="preserve"> </w:t>
      </w:r>
      <w:r>
        <w:rPr>
          <w:rFonts w:ascii="宋体" w:hAnsi="宋体" w:eastAsia="宋体" w:cs="宋体"/>
          <w:spacing w:val="10"/>
          <w:sz w:val="23"/>
          <w:szCs w:val="23"/>
        </w:rPr>
        <w:t>行</w:t>
      </w:r>
      <w:r>
        <w:rPr>
          <w:rFonts w:ascii="宋体" w:hAnsi="宋体" w:eastAsia="宋体" w:cs="宋体"/>
          <w:spacing w:val="9"/>
          <w:sz w:val="23"/>
          <w:szCs w:val="23"/>
        </w:rPr>
        <w:t>，保证运输安全，不对环境敏感点造成影响。</w:t>
      </w:r>
    </w:p>
    <w:p w14:paraId="1A49FFBD">
      <w:pPr>
        <w:spacing w:before="1" w:line="225" w:lineRule="auto"/>
        <w:ind w:left="490"/>
        <w:rPr>
          <w:rFonts w:ascii="宋体" w:hAnsi="宋体" w:eastAsia="宋体" w:cs="宋体"/>
          <w:sz w:val="23"/>
          <w:szCs w:val="23"/>
        </w:rPr>
      </w:pPr>
      <w:r>
        <w:rPr>
          <w:rFonts w:ascii="宋体" w:hAnsi="宋体" w:eastAsia="宋体" w:cs="宋体"/>
          <w:spacing w:val="20"/>
          <w:sz w:val="23"/>
          <w:szCs w:val="23"/>
        </w:rPr>
        <w:t>根</w:t>
      </w:r>
      <w:r>
        <w:rPr>
          <w:rFonts w:ascii="宋体" w:hAnsi="宋体" w:eastAsia="宋体" w:cs="宋体"/>
          <w:spacing w:val="16"/>
          <w:sz w:val="23"/>
          <w:szCs w:val="23"/>
        </w:rPr>
        <w:t>据</w:t>
      </w:r>
      <w:r>
        <w:rPr>
          <w:rFonts w:ascii="宋体" w:hAnsi="宋体" w:eastAsia="宋体" w:cs="宋体"/>
          <w:spacing w:val="10"/>
          <w:sz w:val="23"/>
          <w:szCs w:val="23"/>
        </w:rPr>
        <w:t>建设项目危险废物环境影响评价指南，环评阶段已签订利用或者委托处置</w:t>
      </w:r>
    </w:p>
    <w:p w14:paraId="23E4C78F">
      <w:pPr>
        <w:sectPr>
          <w:headerReference r:id="rId215" w:type="default"/>
          <w:footerReference r:id="rId216" w:type="default"/>
          <w:pgSz w:w="11907" w:h="16840"/>
          <w:pgMar w:top="1153" w:right="1499" w:bottom="1485" w:left="1660" w:header="919" w:footer="1298" w:gutter="0"/>
          <w:cols w:space="720" w:num="1"/>
        </w:sectPr>
      </w:pPr>
    </w:p>
    <w:p w14:paraId="1AC880E2">
      <w:pPr>
        <w:spacing w:line="460" w:lineRule="auto"/>
      </w:pPr>
      <w:r>
        <w:pict>
          <v:shape id="_x0000_s2110" o:spid="_x0000_s2110" style="position:absolute;left:0pt;margin-left:83pt;margin-top:57.2pt;height:0.5pt;width:433.35pt;mso-position-horizontal-relative:page;mso-position-vertical-relative:page;z-index:251739136;mso-width-relative:page;mso-height-relative:page;" fillcolor="#000000" filled="t" stroked="f" coordsize="8667,10" o:allowincell="f" path="m0,0l8666,0,8666,9,0,9,0,0xe">
            <v:fill on="t" focussize="0,0"/>
            <v:stroke on="f"/>
            <v:imagedata o:title=""/>
            <o:lock v:ext="edit"/>
          </v:shape>
        </w:pict>
      </w:r>
    </w:p>
    <w:p w14:paraId="19051FF7">
      <w:pPr>
        <w:spacing w:before="56" w:line="229" w:lineRule="auto"/>
        <w:ind w:left="530"/>
        <w:rPr>
          <w:rFonts w:ascii="宋体" w:hAnsi="宋体" w:eastAsia="宋体" w:cs="宋体"/>
          <w:sz w:val="17"/>
          <w:szCs w:val="17"/>
        </w:rPr>
      </w:pP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p w14:paraId="74A8139B">
      <w:pPr>
        <w:spacing w:before="68" w:line="374" w:lineRule="auto"/>
        <w:ind w:left="533" w:right="521" w:firstLine="6"/>
        <w:rPr>
          <w:rFonts w:ascii="宋体" w:hAnsi="宋体" w:eastAsia="宋体" w:cs="宋体"/>
          <w:sz w:val="23"/>
          <w:szCs w:val="23"/>
        </w:rPr>
      </w:pPr>
      <w:r>
        <w:rPr>
          <w:rFonts w:ascii="宋体" w:hAnsi="宋体" w:eastAsia="宋体" w:cs="宋体"/>
          <w:spacing w:val="20"/>
          <w:sz w:val="23"/>
          <w:szCs w:val="23"/>
        </w:rPr>
        <w:t>意</w:t>
      </w:r>
      <w:r>
        <w:rPr>
          <w:rFonts w:ascii="宋体" w:hAnsi="宋体" w:eastAsia="宋体" w:cs="宋体"/>
          <w:spacing w:val="10"/>
          <w:sz w:val="23"/>
          <w:szCs w:val="23"/>
        </w:rPr>
        <w:t>向的，应分析危险废物利用或者处置途径的可行性。暂未委托利用或者处置单位</w:t>
      </w:r>
      <w:r>
        <w:rPr>
          <w:rFonts w:ascii="宋体" w:hAnsi="宋体" w:eastAsia="宋体" w:cs="宋体"/>
          <w:sz w:val="23"/>
          <w:szCs w:val="23"/>
        </w:rPr>
        <w:t xml:space="preserve"> </w:t>
      </w:r>
      <w:r>
        <w:rPr>
          <w:rFonts w:ascii="宋体" w:hAnsi="宋体" w:eastAsia="宋体" w:cs="宋体"/>
          <w:spacing w:val="20"/>
          <w:sz w:val="23"/>
          <w:szCs w:val="23"/>
        </w:rPr>
        <w:t>的</w:t>
      </w:r>
      <w:r>
        <w:rPr>
          <w:rFonts w:ascii="宋体" w:hAnsi="宋体" w:eastAsia="宋体" w:cs="宋体"/>
          <w:spacing w:val="16"/>
          <w:sz w:val="23"/>
          <w:szCs w:val="23"/>
        </w:rPr>
        <w:t>，</w:t>
      </w:r>
      <w:r>
        <w:rPr>
          <w:rFonts w:ascii="宋体" w:hAnsi="宋体" w:eastAsia="宋体" w:cs="宋体"/>
          <w:spacing w:val="10"/>
          <w:sz w:val="23"/>
          <w:szCs w:val="23"/>
        </w:rPr>
        <w:t>应根据建设项目周边有资质的危险废物处置单位的分布情况、处置能力、资质</w:t>
      </w:r>
      <w:r>
        <w:rPr>
          <w:rFonts w:ascii="宋体" w:hAnsi="宋体" w:eastAsia="宋体" w:cs="宋体"/>
          <w:sz w:val="23"/>
          <w:szCs w:val="23"/>
        </w:rPr>
        <w:t xml:space="preserve"> </w:t>
      </w:r>
      <w:r>
        <w:rPr>
          <w:rFonts w:ascii="宋体" w:hAnsi="宋体" w:eastAsia="宋体" w:cs="宋体"/>
          <w:spacing w:val="18"/>
          <w:sz w:val="23"/>
          <w:szCs w:val="23"/>
        </w:rPr>
        <w:t>类</w:t>
      </w:r>
      <w:r>
        <w:rPr>
          <w:rFonts w:ascii="宋体" w:hAnsi="宋体" w:eastAsia="宋体" w:cs="宋体"/>
          <w:spacing w:val="9"/>
          <w:sz w:val="23"/>
          <w:szCs w:val="23"/>
        </w:rPr>
        <w:t>别等，给出建设项目产生危险废物的委托利用或处置途径建议。</w:t>
      </w:r>
    </w:p>
    <w:p w14:paraId="6F050915">
      <w:pPr>
        <w:spacing w:line="375" w:lineRule="auto"/>
        <w:ind w:left="535" w:right="441" w:firstLine="479"/>
        <w:rPr>
          <w:rFonts w:ascii="宋体" w:hAnsi="宋体" w:eastAsia="宋体" w:cs="宋体"/>
          <w:sz w:val="23"/>
          <w:szCs w:val="23"/>
        </w:rPr>
      </w:pPr>
      <w:r>
        <w:rPr>
          <w:rFonts w:ascii="宋体" w:hAnsi="宋体" w:eastAsia="宋体" w:cs="宋体"/>
          <w:spacing w:val="20"/>
          <w:sz w:val="23"/>
          <w:szCs w:val="23"/>
        </w:rPr>
        <w:t>本</w:t>
      </w:r>
      <w:r>
        <w:rPr>
          <w:rFonts w:ascii="宋体" w:hAnsi="宋体" w:eastAsia="宋体" w:cs="宋体"/>
          <w:spacing w:val="15"/>
          <w:sz w:val="23"/>
          <w:szCs w:val="23"/>
        </w:rPr>
        <w:t>项</w:t>
      </w:r>
      <w:r>
        <w:rPr>
          <w:rFonts w:ascii="宋体" w:hAnsi="宋体" w:eastAsia="宋体" w:cs="宋体"/>
          <w:spacing w:val="10"/>
          <w:sz w:val="23"/>
          <w:szCs w:val="23"/>
        </w:rPr>
        <w:t>目尚未建设，因此本项目现阶段未签订危险废物处置协议。根据本项目产</w:t>
      </w:r>
      <w:r>
        <w:rPr>
          <w:rFonts w:ascii="宋体" w:hAnsi="宋体" w:eastAsia="宋体" w:cs="宋体"/>
          <w:sz w:val="23"/>
          <w:szCs w:val="23"/>
        </w:rPr>
        <w:t xml:space="preserve"> </w:t>
      </w:r>
      <w:r>
        <w:rPr>
          <w:rFonts w:ascii="宋体" w:hAnsi="宋体" w:eastAsia="宋体" w:cs="宋体"/>
          <w:spacing w:val="9"/>
          <w:sz w:val="23"/>
          <w:szCs w:val="23"/>
        </w:rPr>
        <w:t>生</w:t>
      </w:r>
      <w:r>
        <w:rPr>
          <w:rFonts w:ascii="宋体" w:hAnsi="宋体" w:eastAsia="宋体" w:cs="宋体"/>
          <w:spacing w:val="6"/>
          <w:sz w:val="23"/>
          <w:szCs w:val="23"/>
        </w:rPr>
        <w:t>危险废物类别及建设项目周边有资质的危险废物处置单位的分布情况、处置能力、</w:t>
      </w:r>
      <w:r>
        <w:rPr>
          <w:rFonts w:ascii="宋体" w:hAnsi="宋体" w:eastAsia="宋体" w:cs="宋体"/>
          <w:sz w:val="23"/>
          <w:szCs w:val="23"/>
        </w:rPr>
        <w:t xml:space="preserve"> </w:t>
      </w:r>
      <w:r>
        <w:rPr>
          <w:rFonts w:ascii="宋体" w:hAnsi="宋体" w:eastAsia="宋体" w:cs="宋体"/>
          <w:spacing w:val="9"/>
          <w:sz w:val="23"/>
          <w:szCs w:val="23"/>
        </w:rPr>
        <w:t>资质类别，本环评建议危险废物处理单位如下</w:t>
      </w:r>
      <w:r>
        <w:rPr>
          <w:rFonts w:ascii="宋体" w:hAnsi="宋体" w:eastAsia="宋体" w:cs="宋体"/>
          <w:spacing w:val="8"/>
          <w:sz w:val="23"/>
          <w:szCs w:val="23"/>
        </w:rPr>
        <w:t>：</w:t>
      </w:r>
    </w:p>
    <w:p w14:paraId="2F3A5A80">
      <w:pPr>
        <w:spacing w:line="221" w:lineRule="auto"/>
        <w:ind w:left="3330"/>
        <w:rPr>
          <w:rFonts w:ascii="黑体" w:hAnsi="黑体" w:eastAsia="黑体" w:cs="黑体"/>
          <w:sz w:val="23"/>
          <w:szCs w:val="23"/>
        </w:rPr>
      </w:pPr>
      <w:r>
        <w:rPr>
          <w:rFonts w:ascii="黑体" w:hAnsi="黑体" w:eastAsia="黑体" w:cs="黑体"/>
          <w:spacing w:val="1"/>
          <w:sz w:val="23"/>
          <w:szCs w:val="23"/>
        </w:rPr>
        <w:t xml:space="preserve">表 </w:t>
      </w:r>
      <w:r>
        <w:rPr>
          <w:rFonts w:ascii="Times New Roman" w:hAnsi="Times New Roman" w:eastAsia="Times New Roman" w:cs="Times New Roman"/>
          <w:spacing w:val="1"/>
          <w:sz w:val="23"/>
          <w:szCs w:val="23"/>
        </w:rPr>
        <w:t xml:space="preserve">5.2- 13    </w:t>
      </w:r>
      <w:r>
        <w:rPr>
          <w:rFonts w:ascii="黑体" w:hAnsi="黑体" w:eastAsia="黑体" w:cs="黑体"/>
          <w:spacing w:val="1"/>
          <w:sz w:val="23"/>
          <w:szCs w:val="23"/>
        </w:rPr>
        <w:t>建议危险废物</w:t>
      </w:r>
      <w:r>
        <w:rPr>
          <w:rFonts w:ascii="黑体" w:hAnsi="黑体" w:eastAsia="黑体" w:cs="黑体"/>
          <w:sz w:val="23"/>
          <w:szCs w:val="23"/>
        </w:rPr>
        <w:t>处理单位</w:t>
      </w:r>
    </w:p>
    <w:tbl>
      <w:tblPr>
        <w:tblStyle w:val="4"/>
        <w:tblW w:w="971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4"/>
        <w:gridCol w:w="1359"/>
        <w:gridCol w:w="1081"/>
        <w:gridCol w:w="1087"/>
        <w:gridCol w:w="1819"/>
        <w:gridCol w:w="1139"/>
        <w:gridCol w:w="1429"/>
        <w:gridCol w:w="1183"/>
      </w:tblGrid>
      <w:tr w14:paraId="5B44E8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14" w:type="dxa"/>
            <w:tcBorders>
              <w:left w:val="nil"/>
            </w:tcBorders>
            <w:textDirection w:val="tbRlV"/>
          </w:tcPr>
          <w:p w14:paraId="6CAE9B51">
            <w:pPr>
              <w:spacing w:before="200" w:line="218" w:lineRule="auto"/>
              <w:ind w:left="55"/>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序</w:t>
            </w:r>
            <w:r>
              <w:rPr>
                <w:rFonts w:ascii="宋体" w:hAnsi="宋体" w:eastAsia="宋体" w:cs="宋体"/>
                <w:spacing w:val="-6"/>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号</w:t>
            </w:r>
          </w:p>
        </w:tc>
        <w:tc>
          <w:tcPr>
            <w:tcW w:w="1359" w:type="dxa"/>
          </w:tcPr>
          <w:p w14:paraId="018962D3">
            <w:pPr>
              <w:spacing w:before="190" w:line="228" w:lineRule="auto"/>
              <w:ind w:left="265"/>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单位名称</w:t>
            </w:r>
          </w:p>
        </w:tc>
        <w:tc>
          <w:tcPr>
            <w:tcW w:w="1081" w:type="dxa"/>
          </w:tcPr>
          <w:p w14:paraId="0EA0D774">
            <w:pPr>
              <w:spacing w:before="55" w:line="239" w:lineRule="auto"/>
              <w:ind w:left="336" w:right="115" w:hanging="209"/>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经营设施</w:t>
            </w:r>
            <w:r>
              <w:rPr>
                <w:rFonts w:ascii="宋体" w:hAnsi="宋体" w:eastAsia="宋体" w:cs="宋体"/>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地址</w:t>
            </w:r>
          </w:p>
        </w:tc>
        <w:tc>
          <w:tcPr>
            <w:tcW w:w="1087" w:type="dxa"/>
          </w:tcPr>
          <w:p w14:paraId="4B76235B">
            <w:pPr>
              <w:spacing w:before="190" w:line="228" w:lineRule="auto"/>
              <w:ind w:left="131"/>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经营方式</w:t>
            </w:r>
          </w:p>
        </w:tc>
        <w:tc>
          <w:tcPr>
            <w:tcW w:w="1819" w:type="dxa"/>
          </w:tcPr>
          <w:p w14:paraId="0E373177">
            <w:pPr>
              <w:spacing w:before="189" w:line="228" w:lineRule="auto"/>
              <w:ind w:left="496"/>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经营类别</w:t>
            </w:r>
          </w:p>
        </w:tc>
        <w:tc>
          <w:tcPr>
            <w:tcW w:w="1139" w:type="dxa"/>
          </w:tcPr>
          <w:p w14:paraId="76716477">
            <w:pPr>
              <w:spacing w:before="189" w:line="228" w:lineRule="auto"/>
              <w:ind w:left="158"/>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经营规模</w:t>
            </w:r>
          </w:p>
        </w:tc>
        <w:tc>
          <w:tcPr>
            <w:tcW w:w="1429" w:type="dxa"/>
          </w:tcPr>
          <w:p w14:paraId="772818F2">
            <w:pPr>
              <w:spacing w:before="55" w:line="239" w:lineRule="auto"/>
              <w:ind w:left="126" w:right="70" w:firstLine="69"/>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许</w:t>
            </w:r>
            <w:r>
              <w:rPr>
                <w:rFonts w:ascii="宋体" w:hAnsi="宋体" w:eastAsia="宋体" w:cs="宋体"/>
                <w:spacing w:val="8"/>
                <w:sz w:val="20"/>
                <w:szCs w:val="20"/>
                <w14:textOutline w14:w="3797" w14:cap="sq" w14:cmpd="sng" w14:algn="ctr">
                  <w14:solidFill>
                    <w14:srgbClr w14:val="000000"/>
                  </w14:solidFill>
                  <w14:prstDash w14:val="solid"/>
                  <w14:bevel/>
                </w14:textOutline>
              </w:rPr>
              <w:t>可证编号</w:t>
            </w:r>
            <w:r>
              <w:rPr>
                <w:rFonts w:ascii="宋体" w:hAnsi="宋体" w:eastAsia="宋体" w:cs="宋体"/>
                <w:sz w:val="20"/>
                <w:szCs w:val="20"/>
              </w:rPr>
              <w:t xml:space="preserve"> </w:t>
            </w:r>
            <w:r>
              <w:rPr>
                <w:rFonts w:ascii="宋体" w:hAnsi="宋体" w:eastAsia="宋体" w:cs="宋体"/>
                <w:spacing w:val="21"/>
                <w:sz w:val="20"/>
                <w:szCs w:val="20"/>
                <w14:textOutline w14:w="3797" w14:cap="sq" w14:cmpd="sng" w14:algn="ctr">
                  <w14:solidFill>
                    <w14:srgbClr w14:val="000000"/>
                  </w14:solidFill>
                  <w14:prstDash w14:val="solid"/>
                  <w14:bevel/>
                </w14:textOutline>
              </w:rPr>
              <w:t>(川环危字)</w:t>
            </w:r>
          </w:p>
        </w:tc>
        <w:tc>
          <w:tcPr>
            <w:tcW w:w="1183" w:type="dxa"/>
            <w:tcBorders>
              <w:right w:val="nil"/>
            </w:tcBorders>
          </w:tcPr>
          <w:p w14:paraId="5851F586">
            <w:pPr>
              <w:spacing w:before="190" w:line="228" w:lineRule="auto"/>
              <w:ind w:left="179"/>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有</w:t>
            </w:r>
            <w:r>
              <w:rPr>
                <w:rFonts w:ascii="宋体" w:hAnsi="宋体" w:eastAsia="宋体" w:cs="宋体"/>
                <w:spacing w:val="8"/>
                <w:sz w:val="20"/>
                <w:szCs w:val="20"/>
                <w14:textOutline w14:w="3797" w14:cap="sq" w14:cmpd="sng" w14:algn="ctr">
                  <w14:solidFill>
                    <w14:srgbClr w14:val="000000"/>
                  </w14:solidFill>
                  <w14:prstDash w14:val="solid"/>
                  <w14:bevel/>
                </w14:textOutline>
              </w:rPr>
              <w:t>效期限</w:t>
            </w:r>
          </w:p>
        </w:tc>
      </w:tr>
      <w:tr w14:paraId="60338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22" w:hRule="atLeast"/>
        </w:trPr>
        <w:tc>
          <w:tcPr>
            <w:tcW w:w="614" w:type="dxa"/>
            <w:tcBorders>
              <w:left w:val="nil"/>
            </w:tcBorders>
          </w:tcPr>
          <w:p w14:paraId="7D861FEB">
            <w:pPr>
              <w:spacing w:line="269" w:lineRule="auto"/>
            </w:pPr>
          </w:p>
          <w:p w14:paraId="1D83703C">
            <w:pPr>
              <w:spacing w:line="269" w:lineRule="auto"/>
            </w:pPr>
          </w:p>
          <w:p w14:paraId="56757CFF">
            <w:pPr>
              <w:spacing w:line="270" w:lineRule="auto"/>
            </w:pPr>
          </w:p>
          <w:p w14:paraId="74491C40">
            <w:pPr>
              <w:spacing w:line="270" w:lineRule="auto"/>
            </w:pPr>
          </w:p>
          <w:p w14:paraId="33CDA662">
            <w:pPr>
              <w:spacing w:before="58" w:line="195" w:lineRule="auto"/>
              <w:ind w:left="27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359" w:type="dxa"/>
          </w:tcPr>
          <w:p w14:paraId="7374BD10">
            <w:pPr>
              <w:spacing w:line="254" w:lineRule="auto"/>
            </w:pPr>
          </w:p>
          <w:p w14:paraId="6086093E">
            <w:pPr>
              <w:spacing w:line="254" w:lineRule="auto"/>
            </w:pPr>
          </w:p>
          <w:p w14:paraId="111D883C">
            <w:pPr>
              <w:spacing w:line="255" w:lineRule="auto"/>
            </w:pPr>
          </w:p>
          <w:p w14:paraId="3500312D">
            <w:pPr>
              <w:spacing w:before="65" w:line="228" w:lineRule="auto"/>
              <w:ind w:left="161"/>
              <w:rPr>
                <w:rFonts w:ascii="宋体" w:hAnsi="宋体" w:eastAsia="宋体" w:cs="宋体"/>
                <w:sz w:val="20"/>
                <w:szCs w:val="20"/>
              </w:rPr>
            </w:pPr>
            <w:r>
              <w:rPr>
                <w:rFonts w:ascii="宋体" w:hAnsi="宋体" w:eastAsia="宋体" w:cs="宋体"/>
                <w:spacing w:val="8"/>
                <w:sz w:val="20"/>
                <w:szCs w:val="20"/>
              </w:rPr>
              <w:t>成都兴蓉</w:t>
            </w:r>
            <w:r>
              <w:rPr>
                <w:rFonts w:ascii="宋体" w:hAnsi="宋体" w:eastAsia="宋体" w:cs="宋体"/>
                <w:spacing w:val="7"/>
                <w:sz w:val="20"/>
                <w:szCs w:val="20"/>
              </w:rPr>
              <w:t>环</w:t>
            </w:r>
          </w:p>
          <w:p w14:paraId="636B5AD8">
            <w:pPr>
              <w:spacing w:before="24" w:line="227" w:lineRule="auto"/>
              <w:ind w:left="161"/>
              <w:rPr>
                <w:rFonts w:ascii="宋体" w:hAnsi="宋体" w:eastAsia="宋体" w:cs="宋体"/>
                <w:sz w:val="20"/>
                <w:szCs w:val="20"/>
              </w:rPr>
            </w:pPr>
            <w:r>
              <w:rPr>
                <w:rFonts w:ascii="宋体" w:hAnsi="宋体" w:eastAsia="宋体" w:cs="宋体"/>
                <w:spacing w:val="8"/>
                <w:sz w:val="20"/>
                <w:szCs w:val="20"/>
              </w:rPr>
              <w:t>保科技有</w:t>
            </w:r>
            <w:r>
              <w:rPr>
                <w:rFonts w:ascii="宋体" w:hAnsi="宋体" w:eastAsia="宋体" w:cs="宋体"/>
                <w:spacing w:val="7"/>
                <w:sz w:val="20"/>
                <w:szCs w:val="20"/>
              </w:rPr>
              <w:t>限</w:t>
            </w:r>
          </w:p>
          <w:p w14:paraId="288905F5">
            <w:pPr>
              <w:spacing w:before="27" w:line="230" w:lineRule="auto"/>
              <w:ind w:left="481"/>
              <w:rPr>
                <w:rFonts w:ascii="宋体" w:hAnsi="宋体" w:eastAsia="宋体" w:cs="宋体"/>
                <w:sz w:val="20"/>
                <w:szCs w:val="20"/>
              </w:rPr>
            </w:pPr>
            <w:r>
              <w:rPr>
                <w:rFonts w:ascii="宋体" w:hAnsi="宋体" w:eastAsia="宋体" w:cs="宋体"/>
                <w:spacing w:val="2"/>
                <w:sz w:val="20"/>
                <w:szCs w:val="20"/>
              </w:rPr>
              <w:t>公</w:t>
            </w:r>
            <w:r>
              <w:rPr>
                <w:rFonts w:ascii="宋体" w:hAnsi="宋体" w:eastAsia="宋体" w:cs="宋体"/>
                <w:spacing w:val="1"/>
                <w:sz w:val="20"/>
                <w:szCs w:val="20"/>
              </w:rPr>
              <w:t>司</w:t>
            </w:r>
          </w:p>
        </w:tc>
        <w:tc>
          <w:tcPr>
            <w:tcW w:w="1081" w:type="dxa"/>
          </w:tcPr>
          <w:p w14:paraId="2BB65AA7">
            <w:pPr>
              <w:spacing w:line="254" w:lineRule="auto"/>
            </w:pPr>
          </w:p>
          <w:p w14:paraId="0DC0798F">
            <w:pPr>
              <w:spacing w:line="254" w:lineRule="auto"/>
            </w:pPr>
          </w:p>
          <w:p w14:paraId="2C0421F7">
            <w:pPr>
              <w:spacing w:before="65" w:line="228" w:lineRule="auto"/>
              <w:ind w:left="127"/>
              <w:rPr>
                <w:rFonts w:ascii="宋体" w:hAnsi="宋体" w:eastAsia="宋体" w:cs="宋体"/>
                <w:sz w:val="20"/>
                <w:szCs w:val="20"/>
              </w:rPr>
            </w:pPr>
            <w:r>
              <w:rPr>
                <w:rFonts w:ascii="宋体" w:hAnsi="宋体" w:eastAsia="宋体" w:cs="宋体"/>
                <w:spacing w:val="7"/>
                <w:sz w:val="20"/>
                <w:szCs w:val="20"/>
              </w:rPr>
              <w:t>成都市</w:t>
            </w:r>
            <w:r>
              <w:rPr>
                <w:rFonts w:ascii="宋体" w:hAnsi="宋体" w:eastAsia="宋体" w:cs="宋体"/>
                <w:spacing w:val="6"/>
                <w:sz w:val="20"/>
                <w:szCs w:val="20"/>
              </w:rPr>
              <w:t>龙</w:t>
            </w:r>
          </w:p>
          <w:p w14:paraId="3597D15B">
            <w:pPr>
              <w:spacing w:before="24" w:line="228" w:lineRule="auto"/>
              <w:ind w:left="127"/>
              <w:rPr>
                <w:rFonts w:ascii="宋体" w:hAnsi="宋体" w:eastAsia="宋体" w:cs="宋体"/>
                <w:sz w:val="20"/>
                <w:szCs w:val="20"/>
              </w:rPr>
            </w:pPr>
            <w:r>
              <w:rPr>
                <w:rFonts w:ascii="宋体" w:hAnsi="宋体" w:eastAsia="宋体" w:cs="宋体"/>
                <w:spacing w:val="7"/>
                <w:sz w:val="20"/>
                <w:szCs w:val="20"/>
              </w:rPr>
              <w:t>泉驿区</w:t>
            </w:r>
            <w:r>
              <w:rPr>
                <w:rFonts w:ascii="宋体" w:hAnsi="宋体" w:eastAsia="宋体" w:cs="宋体"/>
                <w:spacing w:val="6"/>
                <w:sz w:val="20"/>
                <w:szCs w:val="20"/>
              </w:rPr>
              <w:t>万</w:t>
            </w:r>
          </w:p>
          <w:p w14:paraId="1C47549F">
            <w:pPr>
              <w:spacing w:before="26" w:line="229" w:lineRule="auto"/>
              <w:ind w:left="130"/>
              <w:rPr>
                <w:rFonts w:ascii="宋体" w:hAnsi="宋体" w:eastAsia="宋体" w:cs="宋体"/>
                <w:sz w:val="20"/>
                <w:szCs w:val="20"/>
              </w:rPr>
            </w:pPr>
            <w:r>
              <w:rPr>
                <w:rFonts w:ascii="宋体" w:hAnsi="宋体" w:eastAsia="宋体" w:cs="宋体"/>
                <w:spacing w:val="7"/>
                <w:sz w:val="20"/>
                <w:szCs w:val="20"/>
              </w:rPr>
              <w:t>兴</w:t>
            </w:r>
            <w:r>
              <w:rPr>
                <w:rFonts w:ascii="宋体" w:hAnsi="宋体" w:eastAsia="宋体" w:cs="宋体"/>
                <w:spacing w:val="6"/>
                <w:sz w:val="20"/>
                <w:szCs w:val="20"/>
              </w:rPr>
              <w:t>乡鲤鱼</w:t>
            </w:r>
          </w:p>
          <w:p w14:paraId="778612F4">
            <w:pPr>
              <w:spacing w:before="22" w:line="227" w:lineRule="auto"/>
              <w:ind w:left="441"/>
              <w:rPr>
                <w:rFonts w:ascii="宋体" w:hAnsi="宋体" w:eastAsia="宋体" w:cs="宋体"/>
                <w:sz w:val="20"/>
                <w:szCs w:val="20"/>
              </w:rPr>
            </w:pPr>
            <w:r>
              <w:rPr>
                <w:rFonts w:ascii="宋体" w:hAnsi="宋体" w:eastAsia="宋体" w:cs="宋体"/>
                <w:sz w:val="20"/>
                <w:szCs w:val="20"/>
              </w:rPr>
              <w:t>村</w:t>
            </w:r>
          </w:p>
        </w:tc>
        <w:tc>
          <w:tcPr>
            <w:tcW w:w="1087" w:type="dxa"/>
          </w:tcPr>
          <w:p w14:paraId="6D920782">
            <w:pPr>
              <w:spacing w:line="258" w:lineRule="auto"/>
            </w:pPr>
          </w:p>
          <w:p w14:paraId="16370396">
            <w:pPr>
              <w:spacing w:line="258" w:lineRule="auto"/>
            </w:pPr>
          </w:p>
          <w:p w14:paraId="5791409F">
            <w:pPr>
              <w:spacing w:line="258" w:lineRule="auto"/>
            </w:pPr>
          </w:p>
          <w:p w14:paraId="7A68F743">
            <w:pPr>
              <w:spacing w:line="259" w:lineRule="auto"/>
            </w:pPr>
          </w:p>
          <w:p w14:paraId="27E2CDF0">
            <w:pPr>
              <w:spacing w:before="65" w:line="232" w:lineRule="auto"/>
              <w:ind w:left="318"/>
              <w:rPr>
                <w:rFonts w:ascii="宋体" w:hAnsi="宋体" w:eastAsia="宋体" w:cs="宋体"/>
                <w:sz w:val="20"/>
                <w:szCs w:val="20"/>
              </w:rPr>
            </w:pPr>
            <w:r>
              <w:rPr>
                <w:rFonts w:ascii="宋体" w:hAnsi="宋体" w:eastAsia="宋体" w:cs="宋体"/>
                <w:spacing w:val="3"/>
                <w:sz w:val="20"/>
                <w:szCs w:val="20"/>
              </w:rPr>
              <w:t>处</w:t>
            </w:r>
            <w:r>
              <w:rPr>
                <w:rFonts w:ascii="宋体" w:hAnsi="宋体" w:eastAsia="宋体" w:cs="宋体"/>
                <w:spacing w:val="2"/>
                <w:sz w:val="20"/>
                <w:szCs w:val="20"/>
              </w:rPr>
              <w:t>置</w:t>
            </w:r>
          </w:p>
        </w:tc>
        <w:tc>
          <w:tcPr>
            <w:tcW w:w="1819" w:type="dxa"/>
          </w:tcPr>
          <w:p w14:paraId="430328C2">
            <w:pPr>
              <w:spacing w:before="68" w:line="186" w:lineRule="auto"/>
              <w:ind w:left="365"/>
              <w:rPr>
                <w:rFonts w:ascii="宋体" w:hAnsi="宋体" w:eastAsia="宋体" w:cs="宋体"/>
                <w:sz w:val="20"/>
                <w:szCs w:val="20"/>
              </w:rPr>
            </w:pPr>
            <w:r>
              <w:rPr>
                <w:rFonts w:ascii="Times New Roman" w:hAnsi="Times New Roman" w:eastAsia="Times New Roman" w:cs="Times New Roman"/>
                <w:sz w:val="20"/>
                <w:szCs w:val="20"/>
              </w:rPr>
              <w:t>HW</w:t>
            </w:r>
            <w:r>
              <w:rPr>
                <w:rFonts w:ascii="Times New Roman" w:hAnsi="Times New Roman" w:eastAsia="Times New Roman" w:cs="Times New Roman"/>
                <w:spacing w:val="7"/>
                <w:sz w:val="20"/>
                <w:szCs w:val="20"/>
              </w:rPr>
              <w:t>0</w:t>
            </w:r>
            <w:r>
              <w:rPr>
                <w:rFonts w:ascii="Times New Roman" w:hAnsi="Times New Roman" w:eastAsia="Times New Roman" w:cs="Times New Roman"/>
                <w:spacing w:val="6"/>
                <w:sz w:val="20"/>
                <w:szCs w:val="20"/>
              </w:rPr>
              <w:t>2~04</w:t>
            </w:r>
            <w:r>
              <w:rPr>
                <w:rFonts w:ascii="宋体" w:hAnsi="宋体" w:eastAsia="宋体" w:cs="宋体"/>
                <w:spacing w:val="6"/>
                <w:sz w:val="20"/>
                <w:szCs w:val="20"/>
              </w:rPr>
              <w:t>，</w:t>
            </w:r>
          </w:p>
          <w:p w14:paraId="6B3F79A2">
            <w:pPr>
              <w:spacing w:before="72" w:line="186" w:lineRule="auto"/>
              <w:ind w:left="365"/>
              <w:rPr>
                <w:rFonts w:ascii="宋体" w:hAnsi="宋体" w:eastAsia="宋体" w:cs="宋体"/>
                <w:sz w:val="20"/>
                <w:szCs w:val="20"/>
              </w:rPr>
            </w:pPr>
            <w:r>
              <w:rPr>
                <w:rFonts w:ascii="Times New Roman" w:hAnsi="Times New Roman" w:eastAsia="Times New Roman" w:cs="Times New Roman"/>
                <w:sz w:val="20"/>
                <w:szCs w:val="20"/>
              </w:rPr>
              <w:t>HW</w:t>
            </w:r>
            <w:r>
              <w:rPr>
                <w:rFonts w:ascii="Times New Roman" w:hAnsi="Times New Roman" w:eastAsia="Times New Roman" w:cs="Times New Roman"/>
                <w:spacing w:val="7"/>
                <w:sz w:val="20"/>
                <w:szCs w:val="20"/>
              </w:rPr>
              <w:t>0</w:t>
            </w:r>
            <w:r>
              <w:rPr>
                <w:rFonts w:ascii="Times New Roman" w:hAnsi="Times New Roman" w:eastAsia="Times New Roman" w:cs="Times New Roman"/>
                <w:spacing w:val="6"/>
                <w:sz w:val="20"/>
                <w:szCs w:val="20"/>
              </w:rPr>
              <w:t>6~09</w:t>
            </w:r>
            <w:r>
              <w:rPr>
                <w:rFonts w:ascii="宋体" w:hAnsi="宋体" w:eastAsia="宋体" w:cs="宋体"/>
                <w:spacing w:val="6"/>
                <w:sz w:val="20"/>
                <w:szCs w:val="20"/>
              </w:rPr>
              <w:t>，</w:t>
            </w:r>
          </w:p>
          <w:p w14:paraId="7D2A2FE9">
            <w:pPr>
              <w:spacing w:before="69" w:line="186" w:lineRule="auto"/>
              <w:ind w:left="365"/>
              <w:rPr>
                <w:rFonts w:ascii="宋体" w:hAnsi="宋体" w:eastAsia="宋体" w:cs="宋体"/>
                <w:sz w:val="20"/>
                <w:szCs w:val="20"/>
              </w:rPr>
            </w:pPr>
            <w:r>
              <w:rPr>
                <w:rFonts w:ascii="Times New Roman" w:hAnsi="Times New Roman" w:eastAsia="Times New Roman" w:cs="Times New Roman"/>
                <w:spacing w:val="-1"/>
                <w:sz w:val="20"/>
                <w:szCs w:val="20"/>
              </w:rPr>
              <w:t>HW</w:t>
            </w:r>
            <w:r>
              <w:rPr>
                <w:rFonts w:ascii="Times New Roman" w:hAnsi="Times New Roman" w:eastAsia="Times New Roman" w:cs="Times New Roman"/>
                <w:spacing w:val="-2"/>
                <w:sz w:val="20"/>
                <w:szCs w:val="20"/>
              </w:rPr>
              <w:t xml:space="preserve">11~ </w:t>
            </w:r>
            <w:r>
              <w:rPr>
                <w:rFonts w:ascii="Times New Roman" w:hAnsi="Times New Roman" w:eastAsia="Times New Roman" w:cs="Times New Roman"/>
                <w:spacing w:val="-1"/>
                <w:sz w:val="20"/>
                <w:szCs w:val="20"/>
              </w:rPr>
              <w:t>13</w:t>
            </w:r>
            <w:r>
              <w:rPr>
                <w:rFonts w:ascii="宋体" w:hAnsi="宋体" w:eastAsia="宋体" w:cs="宋体"/>
                <w:spacing w:val="-1"/>
                <w:sz w:val="20"/>
                <w:szCs w:val="20"/>
              </w:rPr>
              <w:t>，</w:t>
            </w:r>
          </w:p>
          <w:p w14:paraId="567D0BC8">
            <w:pPr>
              <w:spacing w:before="72" w:line="186" w:lineRule="auto"/>
              <w:ind w:left="365"/>
              <w:rPr>
                <w:rFonts w:ascii="宋体" w:hAnsi="宋体" w:eastAsia="宋体" w:cs="宋体"/>
                <w:sz w:val="20"/>
                <w:szCs w:val="20"/>
              </w:rPr>
            </w:pPr>
            <w:r>
              <w:rPr>
                <w:rFonts w:ascii="Times New Roman" w:hAnsi="Times New Roman" w:eastAsia="Times New Roman" w:cs="Times New Roman"/>
                <w:spacing w:val="-1"/>
                <w:sz w:val="20"/>
                <w:szCs w:val="20"/>
              </w:rPr>
              <w:t>HW</w:t>
            </w:r>
            <w:r>
              <w:rPr>
                <w:rFonts w:ascii="Times New Roman" w:hAnsi="Times New Roman" w:eastAsia="Times New Roman" w:cs="Times New Roman"/>
                <w:spacing w:val="-2"/>
                <w:sz w:val="20"/>
                <w:szCs w:val="20"/>
              </w:rPr>
              <w:t xml:space="preserve">16~ </w:t>
            </w:r>
            <w:r>
              <w:rPr>
                <w:rFonts w:ascii="Times New Roman" w:hAnsi="Times New Roman" w:eastAsia="Times New Roman" w:cs="Times New Roman"/>
                <w:spacing w:val="-1"/>
                <w:sz w:val="20"/>
                <w:szCs w:val="20"/>
              </w:rPr>
              <w:t>18</w:t>
            </w:r>
            <w:r>
              <w:rPr>
                <w:rFonts w:ascii="宋体" w:hAnsi="宋体" w:eastAsia="宋体" w:cs="宋体"/>
                <w:spacing w:val="-1"/>
                <w:sz w:val="20"/>
                <w:szCs w:val="20"/>
              </w:rPr>
              <w:t>，</w:t>
            </w:r>
          </w:p>
          <w:p w14:paraId="1639E787">
            <w:pPr>
              <w:spacing w:before="69" w:line="186" w:lineRule="auto"/>
              <w:ind w:left="365"/>
              <w:rPr>
                <w:rFonts w:ascii="宋体" w:hAnsi="宋体" w:eastAsia="宋体" w:cs="宋体"/>
                <w:sz w:val="20"/>
                <w:szCs w:val="20"/>
              </w:rPr>
            </w:pPr>
            <w:r>
              <w:rPr>
                <w:rFonts w:ascii="Times New Roman" w:hAnsi="Times New Roman" w:eastAsia="Times New Roman" w:cs="Times New Roman"/>
                <w:sz w:val="20"/>
                <w:szCs w:val="20"/>
              </w:rPr>
              <w:t>HW</w:t>
            </w:r>
            <w:r>
              <w:rPr>
                <w:rFonts w:ascii="Times New Roman" w:hAnsi="Times New Roman" w:eastAsia="Times New Roman" w:cs="Times New Roman"/>
                <w:spacing w:val="7"/>
                <w:sz w:val="20"/>
                <w:szCs w:val="20"/>
              </w:rPr>
              <w:t>2</w:t>
            </w:r>
            <w:r>
              <w:rPr>
                <w:rFonts w:ascii="Times New Roman" w:hAnsi="Times New Roman" w:eastAsia="Times New Roman" w:cs="Times New Roman"/>
                <w:spacing w:val="6"/>
                <w:sz w:val="20"/>
                <w:szCs w:val="20"/>
              </w:rPr>
              <w:t>0~24</w:t>
            </w:r>
            <w:r>
              <w:rPr>
                <w:rFonts w:ascii="宋体" w:hAnsi="宋体" w:eastAsia="宋体" w:cs="宋体"/>
                <w:spacing w:val="6"/>
                <w:sz w:val="20"/>
                <w:szCs w:val="20"/>
              </w:rPr>
              <w:t>，</w:t>
            </w:r>
          </w:p>
          <w:p w14:paraId="4673E0C9">
            <w:pPr>
              <w:spacing w:before="69" w:line="186" w:lineRule="auto"/>
              <w:ind w:left="142"/>
              <w:rPr>
                <w:rFonts w:ascii="宋体" w:hAnsi="宋体" w:eastAsia="宋体" w:cs="宋体"/>
                <w:sz w:val="20"/>
                <w:szCs w:val="20"/>
              </w:rPr>
            </w:pPr>
            <w:r>
              <w:rPr>
                <w:rFonts w:ascii="Times New Roman" w:hAnsi="Times New Roman" w:eastAsia="Times New Roman" w:cs="Times New Roman"/>
                <w:sz w:val="20"/>
                <w:szCs w:val="20"/>
              </w:rPr>
              <w:t>HW</w:t>
            </w:r>
            <w:r>
              <w:rPr>
                <w:rFonts w:ascii="Times New Roman" w:hAnsi="Times New Roman" w:eastAsia="Times New Roman" w:cs="Times New Roman"/>
                <w:spacing w:val="1"/>
                <w:sz w:val="20"/>
                <w:szCs w:val="20"/>
              </w:rPr>
              <w:t xml:space="preserve">29 </w:t>
            </w:r>
            <w:r>
              <w:rPr>
                <w:rFonts w:ascii="宋体" w:hAnsi="宋体" w:eastAsia="宋体" w:cs="宋体"/>
                <w:spacing w:val="1"/>
                <w:sz w:val="20"/>
                <w:szCs w:val="20"/>
              </w:rPr>
              <w:t>，</w:t>
            </w:r>
            <w:r>
              <w:rPr>
                <w:rFonts w:ascii="Times New Roman" w:hAnsi="Times New Roman" w:eastAsia="Times New Roman" w:cs="Times New Roman"/>
                <w:sz w:val="20"/>
                <w:szCs w:val="20"/>
              </w:rPr>
              <w:t>HW</w:t>
            </w:r>
            <w:r>
              <w:rPr>
                <w:rFonts w:ascii="Times New Roman" w:hAnsi="Times New Roman" w:eastAsia="Times New Roman" w:cs="Times New Roman"/>
                <w:spacing w:val="1"/>
                <w:sz w:val="20"/>
                <w:szCs w:val="20"/>
              </w:rPr>
              <w:t>31</w:t>
            </w:r>
            <w:r>
              <w:rPr>
                <w:rFonts w:ascii="宋体" w:hAnsi="宋体" w:eastAsia="宋体" w:cs="宋体"/>
                <w:sz w:val="20"/>
                <w:szCs w:val="20"/>
              </w:rPr>
              <w:t>，</w:t>
            </w:r>
          </w:p>
          <w:p w14:paraId="66836871">
            <w:pPr>
              <w:spacing w:before="72" w:line="186" w:lineRule="auto"/>
              <w:ind w:left="365"/>
              <w:rPr>
                <w:rFonts w:ascii="宋体" w:hAnsi="宋体" w:eastAsia="宋体" w:cs="宋体"/>
                <w:sz w:val="20"/>
                <w:szCs w:val="20"/>
              </w:rPr>
            </w:pPr>
            <w:r>
              <w:rPr>
                <w:rFonts w:ascii="Times New Roman" w:hAnsi="Times New Roman" w:eastAsia="Times New Roman" w:cs="Times New Roman"/>
                <w:sz w:val="20"/>
                <w:szCs w:val="20"/>
              </w:rPr>
              <w:t>HW</w:t>
            </w:r>
            <w:r>
              <w:rPr>
                <w:rFonts w:ascii="Times New Roman" w:hAnsi="Times New Roman" w:eastAsia="Times New Roman" w:cs="Times New Roman"/>
                <w:spacing w:val="7"/>
                <w:sz w:val="20"/>
                <w:szCs w:val="20"/>
              </w:rPr>
              <w:t>3</w:t>
            </w:r>
            <w:r>
              <w:rPr>
                <w:rFonts w:ascii="Times New Roman" w:hAnsi="Times New Roman" w:eastAsia="Times New Roman" w:cs="Times New Roman"/>
                <w:spacing w:val="6"/>
                <w:sz w:val="20"/>
                <w:szCs w:val="20"/>
              </w:rPr>
              <w:t>3~37</w:t>
            </w:r>
            <w:r>
              <w:rPr>
                <w:rFonts w:ascii="宋体" w:hAnsi="宋体" w:eastAsia="宋体" w:cs="宋体"/>
                <w:spacing w:val="6"/>
                <w:sz w:val="20"/>
                <w:szCs w:val="20"/>
              </w:rPr>
              <w:t>，</w:t>
            </w:r>
          </w:p>
          <w:p w14:paraId="5A4AA6B1">
            <w:pPr>
              <w:spacing w:before="70" w:line="186" w:lineRule="auto"/>
              <w:ind w:left="142"/>
              <w:rPr>
                <w:rFonts w:ascii="宋体" w:hAnsi="宋体" w:eastAsia="宋体" w:cs="宋体"/>
                <w:sz w:val="20"/>
                <w:szCs w:val="20"/>
              </w:rPr>
            </w:pPr>
            <w:r>
              <w:rPr>
                <w:rFonts w:ascii="Times New Roman" w:hAnsi="Times New Roman" w:eastAsia="Times New Roman" w:cs="Times New Roman"/>
                <w:sz w:val="20"/>
                <w:szCs w:val="20"/>
              </w:rPr>
              <w:t>HW</w:t>
            </w:r>
            <w:r>
              <w:rPr>
                <w:rFonts w:ascii="Times New Roman" w:hAnsi="Times New Roman" w:eastAsia="Times New Roman" w:cs="Times New Roman"/>
                <w:spacing w:val="1"/>
                <w:sz w:val="20"/>
                <w:szCs w:val="20"/>
              </w:rPr>
              <w:t xml:space="preserve">39 </w:t>
            </w:r>
            <w:r>
              <w:rPr>
                <w:rFonts w:ascii="宋体" w:hAnsi="宋体" w:eastAsia="宋体" w:cs="宋体"/>
                <w:spacing w:val="1"/>
                <w:sz w:val="20"/>
                <w:szCs w:val="20"/>
              </w:rPr>
              <w:t>，</w:t>
            </w:r>
            <w:r>
              <w:rPr>
                <w:rFonts w:ascii="Times New Roman" w:hAnsi="Times New Roman" w:eastAsia="Times New Roman" w:cs="Times New Roman"/>
                <w:sz w:val="20"/>
                <w:szCs w:val="20"/>
              </w:rPr>
              <w:t>HW</w:t>
            </w:r>
            <w:r>
              <w:rPr>
                <w:rFonts w:ascii="Times New Roman" w:hAnsi="Times New Roman" w:eastAsia="Times New Roman" w:cs="Times New Roman"/>
                <w:spacing w:val="1"/>
                <w:sz w:val="20"/>
                <w:szCs w:val="20"/>
              </w:rPr>
              <w:t>46</w:t>
            </w:r>
            <w:r>
              <w:rPr>
                <w:rFonts w:ascii="宋体" w:hAnsi="宋体" w:eastAsia="宋体" w:cs="宋体"/>
                <w:sz w:val="20"/>
                <w:szCs w:val="20"/>
              </w:rPr>
              <w:t>，</w:t>
            </w:r>
          </w:p>
          <w:p w14:paraId="7CE9C6DD">
            <w:pPr>
              <w:spacing w:before="55" w:line="195" w:lineRule="auto"/>
              <w:ind w:left="471"/>
              <w:rPr>
                <w:rFonts w:ascii="Times New Roman" w:hAnsi="Times New Roman" w:eastAsia="Times New Roman" w:cs="Times New Roman"/>
                <w:sz w:val="20"/>
                <w:szCs w:val="20"/>
              </w:rPr>
            </w:pPr>
            <w:r>
              <w:rPr>
                <w:rFonts w:ascii="Times New Roman" w:hAnsi="Times New Roman" w:eastAsia="Times New Roman" w:cs="Times New Roman"/>
                <w:sz w:val="20"/>
                <w:szCs w:val="20"/>
              </w:rPr>
              <w:t>HW</w:t>
            </w:r>
            <w:r>
              <w:rPr>
                <w:rFonts w:ascii="Times New Roman" w:hAnsi="Times New Roman" w:eastAsia="Times New Roman" w:cs="Times New Roman"/>
                <w:spacing w:val="9"/>
                <w:sz w:val="20"/>
                <w:szCs w:val="20"/>
              </w:rPr>
              <w:t>4</w:t>
            </w:r>
            <w:r>
              <w:rPr>
                <w:rFonts w:ascii="Times New Roman" w:hAnsi="Times New Roman" w:eastAsia="Times New Roman" w:cs="Times New Roman"/>
                <w:spacing w:val="7"/>
                <w:sz w:val="20"/>
                <w:szCs w:val="20"/>
              </w:rPr>
              <w:t>7~50</w:t>
            </w:r>
          </w:p>
        </w:tc>
        <w:tc>
          <w:tcPr>
            <w:tcW w:w="1139" w:type="dxa"/>
          </w:tcPr>
          <w:p w14:paraId="2F7F0213">
            <w:pPr>
              <w:spacing w:line="269" w:lineRule="auto"/>
            </w:pPr>
          </w:p>
          <w:p w14:paraId="367F5B0F">
            <w:pPr>
              <w:spacing w:line="269" w:lineRule="auto"/>
            </w:pPr>
          </w:p>
          <w:p w14:paraId="4ED52537">
            <w:pPr>
              <w:spacing w:line="270" w:lineRule="auto"/>
            </w:pPr>
          </w:p>
          <w:p w14:paraId="620195DB">
            <w:pPr>
              <w:spacing w:line="270" w:lineRule="auto"/>
            </w:pPr>
          </w:p>
          <w:p w14:paraId="71DEDB75">
            <w:pPr>
              <w:spacing w:before="58" w:line="195" w:lineRule="auto"/>
              <w:ind w:left="31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32600</w:t>
            </w:r>
          </w:p>
        </w:tc>
        <w:tc>
          <w:tcPr>
            <w:tcW w:w="1429" w:type="dxa"/>
          </w:tcPr>
          <w:p w14:paraId="0D95FCBC">
            <w:pPr>
              <w:spacing w:line="269" w:lineRule="auto"/>
            </w:pPr>
          </w:p>
          <w:p w14:paraId="4E0D7B0F">
            <w:pPr>
              <w:spacing w:line="269" w:lineRule="auto"/>
            </w:pPr>
          </w:p>
          <w:p w14:paraId="7636C237">
            <w:pPr>
              <w:spacing w:line="270" w:lineRule="auto"/>
            </w:pPr>
          </w:p>
          <w:p w14:paraId="2DC5BB08">
            <w:pPr>
              <w:spacing w:line="270" w:lineRule="auto"/>
            </w:pPr>
          </w:p>
          <w:p w14:paraId="15A4EFE9">
            <w:pPr>
              <w:spacing w:before="58" w:line="195" w:lineRule="auto"/>
              <w:ind w:left="25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51011205</w:t>
            </w:r>
            <w:r>
              <w:rPr>
                <w:rFonts w:ascii="Times New Roman" w:hAnsi="Times New Roman" w:eastAsia="Times New Roman" w:cs="Times New Roman"/>
                <w:spacing w:val="2"/>
                <w:sz w:val="20"/>
                <w:szCs w:val="20"/>
              </w:rPr>
              <w:t>2</w:t>
            </w:r>
          </w:p>
        </w:tc>
        <w:tc>
          <w:tcPr>
            <w:tcW w:w="1183" w:type="dxa"/>
            <w:tcBorders>
              <w:right w:val="nil"/>
            </w:tcBorders>
          </w:tcPr>
          <w:p w14:paraId="7394747D">
            <w:pPr>
              <w:spacing w:line="269" w:lineRule="auto"/>
            </w:pPr>
          </w:p>
          <w:p w14:paraId="2145DE1E">
            <w:pPr>
              <w:spacing w:line="270" w:lineRule="auto"/>
            </w:pPr>
          </w:p>
          <w:p w14:paraId="1066DE5F">
            <w:pPr>
              <w:spacing w:line="270" w:lineRule="auto"/>
            </w:pPr>
          </w:p>
          <w:p w14:paraId="556DA233">
            <w:pPr>
              <w:spacing w:line="270" w:lineRule="auto"/>
            </w:pPr>
          </w:p>
          <w:p w14:paraId="69F46780">
            <w:pPr>
              <w:spacing w:before="57" w:line="195" w:lineRule="auto"/>
              <w:ind w:left="227"/>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2022.6.</w:t>
            </w:r>
            <w:r>
              <w:rPr>
                <w:rFonts w:ascii="Times New Roman" w:hAnsi="Times New Roman" w:eastAsia="Times New Roman" w:cs="Times New Roman"/>
                <w:spacing w:val="4"/>
                <w:sz w:val="20"/>
                <w:szCs w:val="20"/>
              </w:rPr>
              <w:t>8</w:t>
            </w:r>
          </w:p>
        </w:tc>
      </w:tr>
      <w:tr w14:paraId="03DA9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7" w:hRule="atLeast"/>
        </w:trPr>
        <w:tc>
          <w:tcPr>
            <w:tcW w:w="614" w:type="dxa"/>
            <w:tcBorders>
              <w:left w:val="nil"/>
            </w:tcBorders>
          </w:tcPr>
          <w:p w14:paraId="339CE298">
            <w:pPr>
              <w:spacing w:line="419" w:lineRule="auto"/>
            </w:pPr>
          </w:p>
          <w:p w14:paraId="24ADAE66">
            <w:pPr>
              <w:spacing w:before="58" w:line="195" w:lineRule="auto"/>
              <w:ind w:left="263"/>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359" w:type="dxa"/>
          </w:tcPr>
          <w:p w14:paraId="360835FA">
            <w:pPr>
              <w:spacing w:before="35" w:line="227" w:lineRule="auto"/>
              <w:ind w:left="179"/>
              <w:rPr>
                <w:rFonts w:ascii="宋体" w:hAnsi="宋体" w:eastAsia="宋体" w:cs="宋体"/>
                <w:sz w:val="20"/>
                <w:szCs w:val="20"/>
              </w:rPr>
            </w:pPr>
            <w:r>
              <w:rPr>
                <w:rFonts w:ascii="宋体" w:hAnsi="宋体" w:eastAsia="宋体" w:cs="宋体"/>
                <w:spacing w:val="6"/>
                <w:sz w:val="20"/>
                <w:szCs w:val="20"/>
              </w:rPr>
              <w:t>中</w:t>
            </w:r>
            <w:r>
              <w:rPr>
                <w:rFonts w:ascii="宋体" w:hAnsi="宋体" w:eastAsia="宋体" w:cs="宋体"/>
                <w:spacing w:val="3"/>
                <w:sz w:val="20"/>
                <w:szCs w:val="20"/>
              </w:rPr>
              <w:t>节能 (攀</w:t>
            </w:r>
          </w:p>
          <w:p w14:paraId="740B9720">
            <w:pPr>
              <w:spacing w:before="24" w:line="228" w:lineRule="auto"/>
              <w:ind w:left="161"/>
              <w:rPr>
                <w:rFonts w:ascii="宋体" w:hAnsi="宋体" w:eastAsia="宋体" w:cs="宋体"/>
                <w:sz w:val="20"/>
                <w:szCs w:val="20"/>
              </w:rPr>
            </w:pPr>
            <w:r>
              <w:rPr>
                <w:rFonts w:ascii="宋体" w:hAnsi="宋体" w:eastAsia="宋体" w:cs="宋体"/>
                <w:spacing w:val="9"/>
                <w:sz w:val="20"/>
                <w:szCs w:val="20"/>
              </w:rPr>
              <w:t>枝</w:t>
            </w:r>
            <w:r>
              <w:rPr>
                <w:rFonts w:ascii="宋体" w:hAnsi="宋体" w:eastAsia="宋体" w:cs="宋体"/>
                <w:spacing w:val="6"/>
                <w:sz w:val="20"/>
                <w:szCs w:val="20"/>
              </w:rPr>
              <w:t>花) 清洁</w:t>
            </w:r>
          </w:p>
          <w:p w14:paraId="7BB1A89F">
            <w:pPr>
              <w:spacing w:before="24" w:line="228" w:lineRule="auto"/>
              <w:ind w:left="161"/>
              <w:rPr>
                <w:rFonts w:ascii="宋体" w:hAnsi="宋体" w:eastAsia="宋体" w:cs="宋体"/>
                <w:sz w:val="20"/>
                <w:szCs w:val="20"/>
              </w:rPr>
            </w:pPr>
            <w:r>
              <w:rPr>
                <w:rFonts w:ascii="宋体" w:hAnsi="宋体" w:eastAsia="宋体" w:cs="宋体"/>
                <w:spacing w:val="8"/>
                <w:sz w:val="20"/>
                <w:szCs w:val="20"/>
              </w:rPr>
              <w:t>技术发展</w:t>
            </w:r>
            <w:r>
              <w:rPr>
                <w:rFonts w:ascii="宋体" w:hAnsi="宋体" w:eastAsia="宋体" w:cs="宋体"/>
                <w:spacing w:val="7"/>
                <w:sz w:val="20"/>
                <w:szCs w:val="20"/>
              </w:rPr>
              <w:t>有</w:t>
            </w:r>
          </w:p>
          <w:p w14:paraId="699EE1A8">
            <w:pPr>
              <w:spacing w:before="27" w:line="228" w:lineRule="auto"/>
              <w:ind w:left="383"/>
              <w:rPr>
                <w:rFonts w:ascii="宋体" w:hAnsi="宋体" w:eastAsia="宋体" w:cs="宋体"/>
                <w:sz w:val="20"/>
                <w:szCs w:val="20"/>
              </w:rPr>
            </w:pPr>
            <w:r>
              <w:rPr>
                <w:rFonts w:ascii="宋体" w:hAnsi="宋体" w:eastAsia="宋体" w:cs="宋体"/>
                <w:spacing w:val="2"/>
                <w:sz w:val="20"/>
                <w:szCs w:val="20"/>
              </w:rPr>
              <w:t>限公司</w:t>
            </w:r>
          </w:p>
        </w:tc>
        <w:tc>
          <w:tcPr>
            <w:tcW w:w="1081" w:type="dxa"/>
          </w:tcPr>
          <w:p w14:paraId="0F43DAA7">
            <w:pPr>
              <w:spacing w:before="35" w:line="227" w:lineRule="auto"/>
              <w:ind w:left="125"/>
              <w:rPr>
                <w:rFonts w:ascii="宋体" w:hAnsi="宋体" w:eastAsia="宋体" w:cs="宋体"/>
                <w:sz w:val="20"/>
                <w:szCs w:val="20"/>
              </w:rPr>
            </w:pPr>
            <w:r>
              <w:rPr>
                <w:rFonts w:ascii="宋体" w:hAnsi="宋体" w:eastAsia="宋体" w:cs="宋体"/>
                <w:spacing w:val="9"/>
                <w:sz w:val="20"/>
                <w:szCs w:val="20"/>
              </w:rPr>
              <w:t>攀</w:t>
            </w:r>
            <w:r>
              <w:rPr>
                <w:rFonts w:ascii="宋体" w:hAnsi="宋体" w:eastAsia="宋体" w:cs="宋体"/>
                <w:spacing w:val="7"/>
                <w:sz w:val="20"/>
                <w:szCs w:val="20"/>
              </w:rPr>
              <w:t>枝花市</w:t>
            </w:r>
          </w:p>
          <w:p w14:paraId="3927EC5F">
            <w:pPr>
              <w:spacing w:before="25" w:line="228" w:lineRule="auto"/>
              <w:ind w:left="127"/>
              <w:rPr>
                <w:rFonts w:ascii="宋体" w:hAnsi="宋体" w:eastAsia="宋体" w:cs="宋体"/>
                <w:sz w:val="20"/>
                <w:szCs w:val="20"/>
              </w:rPr>
            </w:pPr>
            <w:r>
              <w:rPr>
                <w:rFonts w:ascii="宋体" w:hAnsi="宋体" w:eastAsia="宋体" w:cs="宋体"/>
                <w:spacing w:val="7"/>
                <w:sz w:val="20"/>
                <w:szCs w:val="20"/>
              </w:rPr>
              <w:t>仁和区</w:t>
            </w:r>
            <w:r>
              <w:rPr>
                <w:rFonts w:ascii="宋体" w:hAnsi="宋体" w:eastAsia="宋体" w:cs="宋体"/>
                <w:spacing w:val="6"/>
                <w:sz w:val="20"/>
                <w:szCs w:val="20"/>
              </w:rPr>
              <w:t>大</w:t>
            </w:r>
          </w:p>
          <w:p w14:paraId="4BA3B8BA">
            <w:pPr>
              <w:spacing w:before="23" w:line="228" w:lineRule="auto"/>
              <w:ind w:left="127"/>
              <w:rPr>
                <w:rFonts w:ascii="宋体" w:hAnsi="宋体" w:eastAsia="宋体" w:cs="宋体"/>
                <w:sz w:val="20"/>
                <w:szCs w:val="20"/>
              </w:rPr>
            </w:pPr>
            <w:r>
              <w:rPr>
                <w:rFonts w:ascii="宋体" w:hAnsi="宋体" w:eastAsia="宋体" w:cs="宋体"/>
                <w:spacing w:val="7"/>
                <w:sz w:val="20"/>
                <w:szCs w:val="20"/>
              </w:rPr>
              <w:t>龙潭乡</w:t>
            </w:r>
            <w:r>
              <w:rPr>
                <w:rFonts w:ascii="宋体" w:hAnsi="宋体" w:eastAsia="宋体" w:cs="宋体"/>
                <w:spacing w:val="6"/>
                <w:sz w:val="20"/>
                <w:szCs w:val="20"/>
              </w:rPr>
              <w:t>迆</w:t>
            </w:r>
          </w:p>
          <w:p w14:paraId="62F28498">
            <w:pPr>
              <w:spacing w:before="27" w:line="227" w:lineRule="auto"/>
              <w:ind w:left="346"/>
              <w:rPr>
                <w:rFonts w:ascii="宋体" w:hAnsi="宋体" w:eastAsia="宋体" w:cs="宋体"/>
                <w:sz w:val="20"/>
                <w:szCs w:val="20"/>
              </w:rPr>
            </w:pPr>
            <w:r>
              <w:rPr>
                <w:rFonts w:ascii="宋体" w:hAnsi="宋体" w:eastAsia="宋体" w:cs="宋体"/>
                <w:sz w:val="20"/>
                <w:szCs w:val="20"/>
              </w:rPr>
              <w:t>资村</w:t>
            </w:r>
          </w:p>
        </w:tc>
        <w:tc>
          <w:tcPr>
            <w:tcW w:w="1087" w:type="dxa"/>
          </w:tcPr>
          <w:p w14:paraId="0CD5B0EF">
            <w:pPr>
              <w:spacing w:line="376" w:lineRule="auto"/>
            </w:pPr>
          </w:p>
          <w:p w14:paraId="7CF18202">
            <w:pPr>
              <w:spacing w:before="65" w:line="232" w:lineRule="auto"/>
              <w:ind w:left="342"/>
              <w:rPr>
                <w:rFonts w:ascii="宋体" w:hAnsi="宋体" w:eastAsia="宋体" w:cs="宋体"/>
                <w:sz w:val="20"/>
                <w:szCs w:val="20"/>
              </w:rPr>
            </w:pPr>
            <w:r>
              <w:rPr>
                <w:rFonts w:ascii="宋体" w:hAnsi="宋体" w:eastAsia="宋体" w:cs="宋体"/>
                <w:spacing w:val="3"/>
                <w:sz w:val="20"/>
                <w:szCs w:val="20"/>
              </w:rPr>
              <w:t>处</w:t>
            </w:r>
            <w:r>
              <w:rPr>
                <w:rFonts w:ascii="宋体" w:hAnsi="宋体" w:eastAsia="宋体" w:cs="宋体"/>
                <w:spacing w:val="2"/>
                <w:sz w:val="20"/>
                <w:szCs w:val="20"/>
              </w:rPr>
              <w:t>置</w:t>
            </w:r>
          </w:p>
        </w:tc>
        <w:tc>
          <w:tcPr>
            <w:tcW w:w="1819" w:type="dxa"/>
          </w:tcPr>
          <w:p w14:paraId="581587FA">
            <w:pPr>
              <w:spacing w:before="223" w:line="271" w:lineRule="exact"/>
              <w:ind w:left="365"/>
              <w:rPr>
                <w:rFonts w:ascii="宋体" w:hAnsi="宋体" w:eastAsia="宋体" w:cs="宋体"/>
                <w:sz w:val="20"/>
                <w:szCs w:val="20"/>
              </w:rPr>
            </w:pPr>
            <w:r>
              <w:rPr>
                <w:rFonts w:ascii="Times New Roman" w:hAnsi="Times New Roman" w:eastAsia="Times New Roman" w:cs="Times New Roman"/>
                <w:position w:val="8"/>
                <w:sz w:val="20"/>
                <w:szCs w:val="20"/>
              </w:rPr>
              <w:t>HW</w:t>
            </w:r>
            <w:r>
              <w:rPr>
                <w:rFonts w:ascii="Times New Roman" w:hAnsi="Times New Roman" w:eastAsia="Times New Roman" w:cs="Times New Roman"/>
                <w:spacing w:val="7"/>
                <w:position w:val="8"/>
                <w:sz w:val="20"/>
                <w:szCs w:val="20"/>
              </w:rPr>
              <w:t>0</w:t>
            </w:r>
            <w:r>
              <w:rPr>
                <w:rFonts w:ascii="Times New Roman" w:hAnsi="Times New Roman" w:eastAsia="Times New Roman" w:cs="Times New Roman"/>
                <w:spacing w:val="6"/>
                <w:position w:val="8"/>
                <w:sz w:val="20"/>
                <w:szCs w:val="20"/>
              </w:rPr>
              <w:t>1~09</w:t>
            </w:r>
            <w:r>
              <w:rPr>
                <w:rFonts w:ascii="宋体" w:hAnsi="宋体" w:eastAsia="宋体" w:cs="宋体"/>
                <w:spacing w:val="6"/>
                <w:position w:val="8"/>
                <w:sz w:val="20"/>
                <w:szCs w:val="20"/>
              </w:rPr>
              <w:t>，</w:t>
            </w:r>
          </w:p>
          <w:p w14:paraId="4D0E6866">
            <w:pPr>
              <w:spacing w:line="186" w:lineRule="auto"/>
              <w:ind w:left="365"/>
              <w:rPr>
                <w:rFonts w:ascii="宋体" w:hAnsi="宋体" w:eastAsia="宋体" w:cs="宋体"/>
                <w:sz w:val="20"/>
                <w:szCs w:val="20"/>
              </w:rPr>
            </w:pPr>
            <w:r>
              <w:rPr>
                <w:rFonts w:ascii="Times New Roman" w:hAnsi="Times New Roman" w:eastAsia="Times New Roman" w:cs="Times New Roman"/>
                <w:sz w:val="20"/>
                <w:szCs w:val="20"/>
              </w:rPr>
              <w:t>HW</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6"/>
                <w:sz w:val="20"/>
                <w:szCs w:val="20"/>
              </w:rPr>
              <w:t>1~40</w:t>
            </w:r>
            <w:r>
              <w:rPr>
                <w:rFonts w:ascii="宋体" w:hAnsi="宋体" w:eastAsia="宋体" w:cs="宋体"/>
                <w:spacing w:val="6"/>
                <w:sz w:val="20"/>
                <w:szCs w:val="20"/>
              </w:rPr>
              <w:t>，</w:t>
            </w:r>
          </w:p>
          <w:p w14:paraId="3CC7DE15">
            <w:pPr>
              <w:spacing w:before="54" w:line="195" w:lineRule="auto"/>
              <w:ind w:left="471"/>
              <w:rPr>
                <w:rFonts w:ascii="Times New Roman" w:hAnsi="Times New Roman" w:eastAsia="Times New Roman" w:cs="Times New Roman"/>
                <w:sz w:val="20"/>
                <w:szCs w:val="20"/>
              </w:rPr>
            </w:pPr>
            <w:r>
              <w:rPr>
                <w:rFonts w:ascii="Times New Roman" w:hAnsi="Times New Roman" w:eastAsia="Times New Roman" w:cs="Times New Roman"/>
                <w:sz w:val="20"/>
                <w:szCs w:val="20"/>
              </w:rPr>
              <w:t>HW</w:t>
            </w:r>
            <w:r>
              <w:rPr>
                <w:rFonts w:ascii="Times New Roman" w:hAnsi="Times New Roman" w:eastAsia="Times New Roman" w:cs="Times New Roman"/>
                <w:spacing w:val="9"/>
                <w:sz w:val="20"/>
                <w:szCs w:val="20"/>
              </w:rPr>
              <w:t>4</w:t>
            </w:r>
            <w:r>
              <w:rPr>
                <w:rFonts w:ascii="Times New Roman" w:hAnsi="Times New Roman" w:eastAsia="Times New Roman" w:cs="Times New Roman"/>
                <w:spacing w:val="7"/>
                <w:sz w:val="20"/>
                <w:szCs w:val="20"/>
              </w:rPr>
              <w:t>5~50</w:t>
            </w:r>
          </w:p>
        </w:tc>
        <w:tc>
          <w:tcPr>
            <w:tcW w:w="1139" w:type="dxa"/>
          </w:tcPr>
          <w:p w14:paraId="5A9F9AFA">
            <w:pPr>
              <w:spacing w:line="419" w:lineRule="auto"/>
            </w:pPr>
          </w:p>
          <w:p w14:paraId="3809505F">
            <w:pPr>
              <w:spacing w:before="58" w:line="195" w:lineRule="auto"/>
              <w:ind w:left="30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27750</w:t>
            </w:r>
          </w:p>
        </w:tc>
        <w:tc>
          <w:tcPr>
            <w:tcW w:w="1429" w:type="dxa"/>
          </w:tcPr>
          <w:p w14:paraId="585D2766">
            <w:pPr>
              <w:spacing w:line="419" w:lineRule="auto"/>
            </w:pPr>
          </w:p>
          <w:p w14:paraId="08BD5A8F">
            <w:pPr>
              <w:spacing w:before="58" w:line="195" w:lineRule="auto"/>
              <w:ind w:left="25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51041105</w:t>
            </w:r>
            <w:r>
              <w:rPr>
                <w:rFonts w:ascii="Times New Roman" w:hAnsi="Times New Roman" w:eastAsia="Times New Roman" w:cs="Times New Roman"/>
                <w:spacing w:val="2"/>
                <w:sz w:val="20"/>
                <w:szCs w:val="20"/>
              </w:rPr>
              <w:t>1</w:t>
            </w:r>
          </w:p>
        </w:tc>
        <w:tc>
          <w:tcPr>
            <w:tcW w:w="1183" w:type="dxa"/>
            <w:tcBorders>
              <w:right w:val="nil"/>
            </w:tcBorders>
          </w:tcPr>
          <w:p w14:paraId="6347E601">
            <w:pPr>
              <w:spacing w:line="420" w:lineRule="auto"/>
            </w:pPr>
          </w:p>
          <w:p w14:paraId="584FAE32">
            <w:pPr>
              <w:spacing w:before="57" w:line="195" w:lineRule="auto"/>
              <w:ind w:left="227"/>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2020.6.</w:t>
            </w:r>
            <w:r>
              <w:rPr>
                <w:rFonts w:ascii="Times New Roman" w:hAnsi="Times New Roman" w:eastAsia="Times New Roman" w:cs="Times New Roman"/>
                <w:spacing w:val="4"/>
                <w:sz w:val="20"/>
                <w:szCs w:val="20"/>
              </w:rPr>
              <w:t>8</w:t>
            </w:r>
          </w:p>
        </w:tc>
      </w:tr>
    </w:tbl>
    <w:p w14:paraId="74863703">
      <w:pPr>
        <w:spacing w:before="34" w:line="375" w:lineRule="auto"/>
        <w:ind w:left="535" w:right="521" w:firstLine="477"/>
        <w:rPr>
          <w:rFonts w:ascii="宋体" w:hAnsi="宋体" w:eastAsia="宋体" w:cs="宋体"/>
          <w:sz w:val="23"/>
          <w:szCs w:val="23"/>
        </w:rPr>
      </w:pPr>
      <w:r>
        <w:rPr>
          <w:rFonts w:ascii="宋体" w:hAnsi="宋体" w:eastAsia="宋体" w:cs="宋体"/>
          <w:spacing w:val="18"/>
          <w:sz w:val="23"/>
          <w:szCs w:val="23"/>
        </w:rPr>
        <w:t>业主可综合考虑运距及处理费用等情况后自行选取危险废物处置单位签订</w:t>
      </w:r>
      <w:r>
        <w:rPr>
          <w:rFonts w:ascii="宋体" w:hAnsi="宋体" w:eastAsia="宋体" w:cs="宋体"/>
          <w:spacing w:val="11"/>
          <w:sz w:val="23"/>
          <w:szCs w:val="23"/>
        </w:rPr>
        <w:t>协</w:t>
      </w:r>
      <w:r>
        <w:rPr>
          <w:rFonts w:ascii="宋体" w:hAnsi="宋体" w:eastAsia="宋体" w:cs="宋体"/>
          <w:sz w:val="23"/>
          <w:szCs w:val="23"/>
        </w:rPr>
        <w:t xml:space="preserve"> </w:t>
      </w:r>
      <w:r>
        <w:rPr>
          <w:rFonts w:ascii="宋体" w:hAnsi="宋体" w:eastAsia="宋体" w:cs="宋体"/>
          <w:spacing w:val="20"/>
          <w:sz w:val="23"/>
          <w:szCs w:val="23"/>
        </w:rPr>
        <w:t>议</w:t>
      </w:r>
      <w:r>
        <w:rPr>
          <w:rFonts w:ascii="宋体" w:hAnsi="宋体" w:eastAsia="宋体" w:cs="宋体"/>
          <w:spacing w:val="15"/>
          <w:sz w:val="23"/>
          <w:szCs w:val="23"/>
        </w:rPr>
        <w:t>。</w:t>
      </w:r>
      <w:r>
        <w:rPr>
          <w:rFonts w:ascii="宋体" w:hAnsi="宋体" w:eastAsia="宋体" w:cs="宋体"/>
          <w:spacing w:val="10"/>
          <w:sz w:val="23"/>
          <w:szCs w:val="23"/>
        </w:rPr>
        <w:t>在采取上述预防措施和办法后，本项目所产生的各固废均可合理有效的处理和</w:t>
      </w:r>
      <w:r>
        <w:rPr>
          <w:rFonts w:ascii="宋体" w:hAnsi="宋体" w:eastAsia="宋体" w:cs="宋体"/>
          <w:sz w:val="23"/>
          <w:szCs w:val="23"/>
        </w:rPr>
        <w:t xml:space="preserve"> </w:t>
      </w:r>
      <w:r>
        <w:rPr>
          <w:rFonts w:ascii="宋体" w:hAnsi="宋体" w:eastAsia="宋体" w:cs="宋体"/>
          <w:spacing w:val="20"/>
          <w:sz w:val="23"/>
          <w:szCs w:val="23"/>
        </w:rPr>
        <w:t>处</w:t>
      </w:r>
      <w:r>
        <w:rPr>
          <w:rFonts w:ascii="宋体" w:hAnsi="宋体" w:eastAsia="宋体" w:cs="宋体"/>
          <w:spacing w:val="15"/>
          <w:sz w:val="23"/>
          <w:szCs w:val="23"/>
        </w:rPr>
        <w:t>置</w:t>
      </w:r>
      <w:r>
        <w:rPr>
          <w:rFonts w:ascii="宋体" w:hAnsi="宋体" w:eastAsia="宋体" w:cs="宋体"/>
          <w:spacing w:val="10"/>
          <w:sz w:val="23"/>
          <w:szCs w:val="23"/>
        </w:rPr>
        <w:t>，其产生的固体废弃物不会对周围环境造成二次污染。综上，本项目固体废物</w:t>
      </w:r>
      <w:r>
        <w:rPr>
          <w:rFonts w:ascii="宋体" w:hAnsi="宋体" w:eastAsia="宋体" w:cs="宋体"/>
          <w:sz w:val="23"/>
          <w:szCs w:val="23"/>
        </w:rPr>
        <w:t xml:space="preserve"> </w:t>
      </w:r>
      <w:r>
        <w:rPr>
          <w:rFonts w:ascii="宋体" w:hAnsi="宋体" w:eastAsia="宋体" w:cs="宋体"/>
          <w:spacing w:val="15"/>
          <w:sz w:val="23"/>
          <w:szCs w:val="23"/>
        </w:rPr>
        <w:t>去</w:t>
      </w:r>
      <w:r>
        <w:rPr>
          <w:rFonts w:ascii="宋体" w:hAnsi="宋体" w:eastAsia="宋体" w:cs="宋体"/>
          <w:spacing w:val="9"/>
          <w:sz w:val="23"/>
          <w:szCs w:val="23"/>
        </w:rPr>
        <w:t>向明确，均能得到妥善处置，不会对周围环境造成不良影响。</w:t>
      </w:r>
    </w:p>
    <w:p w14:paraId="5BF96932">
      <w:pPr>
        <w:spacing w:before="1" w:line="374" w:lineRule="auto"/>
        <w:ind w:left="533" w:right="493" w:firstLine="482"/>
        <w:rPr>
          <w:rFonts w:ascii="宋体" w:hAnsi="宋体" w:eastAsia="宋体" w:cs="宋体"/>
          <w:sz w:val="23"/>
          <w:szCs w:val="23"/>
        </w:rPr>
      </w:pPr>
      <w:r>
        <w:rPr>
          <w:rFonts w:ascii="宋体" w:hAnsi="宋体" w:eastAsia="宋体" w:cs="宋体"/>
          <w:spacing w:val="19"/>
          <w:sz w:val="23"/>
          <w:szCs w:val="23"/>
          <w14:textOutline w14:w="4356" w14:cap="sq" w14:cmpd="sng" w14:algn="ctr">
            <w14:solidFill>
              <w14:srgbClr w14:val="000000"/>
            </w14:solidFill>
            <w14:prstDash w14:val="solid"/>
            <w14:bevel/>
          </w14:textOutline>
        </w:rPr>
        <w:t>综</w:t>
      </w:r>
      <w:r>
        <w:rPr>
          <w:rFonts w:ascii="宋体" w:hAnsi="宋体" w:eastAsia="宋体" w:cs="宋体"/>
          <w:spacing w:val="11"/>
          <w:sz w:val="23"/>
          <w:szCs w:val="23"/>
          <w14:textOutline w14:w="4356" w14:cap="sq" w14:cmpd="sng" w14:algn="ctr">
            <w14:solidFill>
              <w14:srgbClr w14:val="000000"/>
            </w14:solidFill>
            <w14:prstDash w14:val="solid"/>
            <w14:bevel/>
          </w14:textOutline>
        </w:rPr>
        <w:t>上所述，本项目各类固体废弃物均得到了无害化或资源化处理，对周边环境</w:t>
      </w:r>
      <w:r>
        <w:rPr>
          <w:rFonts w:ascii="宋体" w:hAnsi="宋体" w:eastAsia="宋体" w:cs="宋体"/>
          <w:sz w:val="23"/>
          <w:szCs w:val="23"/>
        </w:rPr>
        <w:t xml:space="preserve"> </w:t>
      </w:r>
      <w:r>
        <w:rPr>
          <w:rFonts w:ascii="宋体" w:hAnsi="宋体" w:eastAsia="宋体" w:cs="宋体"/>
          <w:spacing w:val="9"/>
          <w:sz w:val="23"/>
          <w:szCs w:val="23"/>
          <w14:textOutline w14:w="4356" w14:cap="sq" w14:cmpd="sng" w14:algn="ctr">
            <w14:solidFill>
              <w14:srgbClr w14:val="000000"/>
            </w14:solidFill>
            <w14:prstDash w14:val="solid"/>
            <w14:bevel/>
          </w14:textOutline>
        </w:rPr>
        <w:t>影</w:t>
      </w:r>
      <w:r>
        <w:rPr>
          <w:rFonts w:ascii="宋体" w:hAnsi="宋体" w:eastAsia="宋体" w:cs="宋体"/>
          <w:spacing w:val="6"/>
          <w:sz w:val="23"/>
          <w:szCs w:val="23"/>
          <w14:textOutline w14:w="4356" w14:cap="sq" w14:cmpd="sng" w14:algn="ctr">
            <w14:solidFill>
              <w14:srgbClr w14:val="000000"/>
            </w14:solidFill>
            <w14:prstDash w14:val="solid"/>
            <w14:bevel/>
          </w14:textOutline>
        </w:rPr>
        <w:t>响不大。</w:t>
      </w:r>
    </w:p>
    <w:p w14:paraId="0A458DCA">
      <w:pPr>
        <w:spacing w:before="1" w:line="225" w:lineRule="auto"/>
        <w:ind w:left="531"/>
        <w:outlineLvl w:val="2"/>
        <w:rPr>
          <w:rFonts w:ascii="宋体" w:hAnsi="宋体" w:eastAsia="宋体" w:cs="宋体"/>
          <w:sz w:val="23"/>
          <w:szCs w:val="23"/>
        </w:rPr>
      </w:pPr>
      <w:r>
        <w:rPr>
          <w:rFonts w:ascii="Times New Roman" w:hAnsi="Times New Roman" w:eastAsia="Times New Roman" w:cs="Times New Roman"/>
          <w:b/>
          <w:bCs/>
          <w:spacing w:val="12"/>
          <w:sz w:val="23"/>
          <w:szCs w:val="23"/>
        </w:rPr>
        <w:t>5</w:t>
      </w:r>
      <w:r>
        <w:rPr>
          <w:rFonts w:ascii="Times New Roman" w:hAnsi="Times New Roman" w:eastAsia="Times New Roman" w:cs="Times New Roman"/>
          <w:b/>
          <w:bCs/>
          <w:spacing w:val="11"/>
          <w:sz w:val="23"/>
          <w:szCs w:val="23"/>
        </w:rPr>
        <w:t>.</w:t>
      </w:r>
      <w:r>
        <w:rPr>
          <w:rFonts w:ascii="Times New Roman" w:hAnsi="Times New Roman" w:eastAsia="Times New Roman" w:cs="Times New Roman"/>
          <w:b/>
          <w:bCs/>
          <w:spacing w:val="6"/>
          <w:sz w:val="23"/>
          <w:szCs w:val="23"/>
        </w:rPr>
        <w:t>2.5</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土壤环境影响评价</w:t>
      </w:r>
    </w:p>
    <w:p w14:paraId="295D4411">
      <w:pPr>
        <w:spacing w:before="186" w:line="228" w:lineRule="auto"/>
        <w:ind w:left="1024"/>
        <w:rPr>
          <w:rFonts w:ascii="宋体" w:hAnsi="宋体" w:eastAsia="宋体" w:cs="宋体"/>
          <w:sz w:val="23"/>
          <w:szCs w:val="23"/>
        </w:rPr>
      </w:pPr>
      <w:r>
        <w:rPr>
          <w:rFonts w:ascii="宋体" w:hAnsi="宋体" w:eastAsia="宋体" w:cs="宋体"/>
          <w:spacing w:val="16"/>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6"/>
          <w:sz w:val="23"/>
          <w:szCs w:val="23"/>
        </w:rPr>
        <w:t>1</w:t>
      </w:r>
      <w:r>
        <w:rPr>
          <w:rFonts w:ascii="宋体" w:hAnsi="宋体" w:eastAsia="宋体" w:cs="宋体"/>
          <w:spacing w:val="16"/>
          <w:sz w:val="23"/>
          <w:szCs w:val="23"/>
          <w14:textOutline w14:w="4356" w14:cap="sq" w14:cmpd="sng" w14:algn="ctr">
            <w14:solidFill>
              <w14:srgbClr w14:val="000000"/>
            </w14:solidFill>
            <w14:prstDash w14:val="solid"/>
            <w14:bevel/>
          </w14:textOutline>
        </w:rPr>
        <w:t>)</w:t>
      </w:r>
      <w:r>
        <w:rPr>
          <w:rFonts w:ascii="宋体" w:hAnsi="宋体" w:eastAsia="宋体" w:cs="宋体"/>
          <w:spacing w:val="16"/>
          <w:sz w:val="23"/>
          <w:szCs w:val="23"/>
        </w:rPr>
        <w:t xml:space="preserve"> </w:t>
      </w:r>
      <w:r>
        <w:rPr>
          <w:rFonts w:ascii="宋体" w:hAnsi="宋体" w:eastAsia="宋体" w:cs="宋体"/>
          <w:spacing w:val="16"/>
          <w:sz w:val="23"/>
          <w:szCs w:val="23"/>
          <w14:textOutline w14:w="4356" w14:cap="sq" w14:cmpd="sng" w14:algn="ctr">
            <w14:solidFill>
              <w14:srgbClr w14:val="000000"/>
            </w14:solidFill>
            <w14:prstDash w14:val="solid"/>
            <w14:bevel/>
          </w14:textOutline>
        </w:rPr>
        <w:t>污染物渗透对土壤的影</w:t>
      </w:r>
      <w:r>
        <w:rPr>
          <w:rFonts w:ascii="宋体" w:hAnsi="宋体" w:eastAsia="宋体" w:cs="宋体"/>
          <w:spacing w:val="14"/>
          <w:sz w:val="23"/>
          <w:szCs w:val="23"/>
          <w14:textOutline w14:w="4356" w14:cap="sq" w14:cmpd="sng" w14:algn="ctr">
            <w14:solidFill>
              <w14:srgbClr w14:val="000000"/>
            </w14:solidFill>
            <w14:prstDash w14:val="solid"/>
            <w14:bevel/>
          </w14:textOutline>
        </w:rPr>
        <w:t>响</w:t>
      </w:r>
    </w:p>
    <w:p w14:paraId="7A09172A">
      <w:pPr>
        <w:spacing w:before="182" w:line="375" w:lineRule="auto"/>
        <w:ind w:left="532" w:right="441" w:firstLine="484"/>
        <w:rPr>
          <w:rFonts w:ascii="宋体" w:hAnsi="宋体" w:eastAsia="宋体" w:cs="宋体"/>
          <w:sz w:val="23"/>
          <w:szCs w:val="23"/>
        </w:rPr>
      </w:pPr>
      <w:r>
        <w:rPr>
          <w:rFonts w:ascii="宋体" w:hAnsi="宋体" w:eastAsia="宋体" w:cs="宋体"/>
          <w:spacing w:val="20"/>
          <w:sz w:val="23"/>
          <w:szCs w:val="23"/>
        </w:rPr>
        <w:t>如</w:t>
      </w:r>
      <w:r>
        <w:rPr>
          <w:rFonts w:ascii="宋体" w:hAnsi="宋体" w:eastAsia="宋体" w:cs="宋体"/>
          <w:spacing w:val="13"/>
          <w:sz w:val="23"/>
          <w:szCs w:val="23"/>
        </w:rPr>
        <w:t>果</w:t>
      </w:r>
      <w:r>
        <w:rPr>
          <w:rFonts w:ascii="宋体" w:hAnsi="宋体" w:eastAsia="宋体" w:cs="宋体"/>
          <w:spacing w:val="10"/>
          <w:sz w:val="23"/>
          <w:szCs w:val="23"/>
        </w:rPr>
        <w:t>猪舍、废水管道、阀门、化粪池、异位微生物发酵床等未采取很好的防渗</w:t>
      </w:r>
      <w:r>
        <w:rPr>
          <w:rFonts w:ascii="宋体" w:hAnsi="宋体" w:eastAsia="宋体" w:cs="宋体"/>
          <w:sz w:val="23"/>
          <w:szCs w:val="23"/>
        </w:rPr>
        <w:t xml:space="preserve"> </w:t>
      </w:r>
      <w:r>
        <w:rPr>
          <w:rFonts w:ascii="宋体" w:hAnsi="宋体" w:eastAsia="宋体" w:cs="宋体"/>
          <w:spacing w:val="20"/>
          <w:sz w:val="23"/>
          <w:szCs w:val="23"/>
        </w:rPr>
        <w:t>措</w:t>
      </w:r>
      <w:r>
        <w:rPr>
          <w:rFonts w:ascii="宋体" w:hAnsi="宋体" w:eastAsia="宋体" w:cs="宋体"/>
          <w:spacing w:val="17"/>
          <w:sz w:val="23"/>
          <w:szCs w:val="23"/>
        </w:rPr>
        <w:t>施</w:t>
      </w:r>
      <w:r>
        <w:rPr>
          <w:rFonts w:ascii="宋体" w:hAnsi="宋体" w:eastAsia="宋体" w:cs="宋体"/>
          <w:spacing w:val="10"/>
          <w:sz w:val="23"/>
          <w:szCs w:val="23"/>
        </w:rPr>
        <w:t>将会导致废水、猪粪等渗入地下污染土壤。建设单位对猪舍、化粪池、病死猪</w:t>
      </w:r>
      <w:r>
        <w:rPr>
          <w:rFonts w:ascii="宋体" w:hAnsi="宋体" w:eastAsia="宋体" w:cs="宋体"/>
          <w:sz w:val="23"/>
          <w:szCs w:val="23"/>
        </w:rPr>
        <w:t xml:space="preserve"> </w:t>
      </w:r>
      <w:r>
        <w:rPr>
          <w:rFonts w:ascii="宋体" w:hAnsi="宋体" w:eastAsia="宋体" w:cs="宋体"/>
          <w:spacing w:val="20"/>
          <w:sz w:val="23"/>
          <w:szCs w:val="23"/>
        </w:rPr>
        <w:t>处</w:t>
      </w:r>
      <w:r>
        <w:rPr>
          <w:rFonts w:ascii="宋体" w:hAnsi="宋体" w:eastAsia="宋体" w:cs="宋体"/>
          <w:spacing w:val="17"/>
          <w:sz w:val="23"/>
          <w:szCs w:val="23"/>
        </w:rPr>
        <w:t>理</w:t>
      </w:r>
      <w:r>
        <w:rPr>
          <w:rFonts w:ascii="宋体" w:hAnsi="宋体" w:eastAsia="宋体" w:cs="宋体"/>
          <w:spacing w:val="10"/>
          <w:sz w:val="23"/>
          <w:szCs w:val="23"/>
        </w:rPr>
        <w:t>场所需采取防渗措施，铺设防渗地坪；对污水处理系统按照《规模化畜禽养殖</w:t>
      </w:r>
      <w:r>
        <w:rPr>
          <w:rFonts w:ascii="宋体" w:hAnsi="宋体" w:eastAsia="宋体" w:cs="宋体"/>
          <w:sz w:val="23"/>
          <w:szCs w:val="23"/>
        </w:rPr>
        <w:t xml:space="preserve"> </w:t>
      </w:r>
      <w:r>
        <w:rPr>
          <w:rFonts w:ascii="宋体" w:hAnsi="宋体" w:eastAsia="宋体" w:cs="宋体"/>
          <w:spacing w:val="4"/>
          <w:sz w:val="23"/>
          <w:szCs w:val="23"/>
        </w:rPr>
        <w:t>场沼气工程</w:t>
      </w:r>
      <w:r>
        <w:rPr>
          <w:rFonts w:ascii="宋体" w:hAnsi="宋体" w:eastAsia="宋体" w:cs="宋体"/>
          <w:spacing w:val="3"/>
          <w:sz w:val="23"/>
          <w:szCs w:val="23"/>
        </w:rPr>
        <w:t>设</w:t>
      </w:r>
      <w:r>
        <w:rPr>
          <w:rFonts w:ascii="宋体" w:hAnsi="宋体" w:eastAsia="宋体" w:cs="宋体"/>
          <w:spacing w:val="2"/>
          <w:sz w:val="23"/>
          <w:szCs w:val="23"/>
        </w:rPr>
        <w:t>计规范》  (</w:t>
      </w:r>
      <w:r>
        <w:rPr>
          <w:rFonts w:ascii="Times New Roman" w:hAnsi="Times New Roman" w:eastAsia="Times New Roman" w:cs="Times New Roman"/>
          <w:sz w:val="23"/>
          <w:szCs w:val="23"/>
        </w:rPr>
        <w:t>NY</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2"/>
          <w:sz w:val="23"/>
          <w:szCs w:val="23"/>
        </w:rPr>
        <w:t>1222</w:t>
      </w:r>
      <w:r>
        <w:rPr>
          <w:rFonts w:ascii="宋体" w:hAnsi="宋体" w:eastAsia="宋体" w:cs="宋体"/>
          <w:spacing w:val="2"/>
          <w:sz w:val="23"/>
          <w:szCs w:val="23"/>
        </w:rPr>
        <w:t>) 和《混凝土结构设计规范》  (</w:t>
      </w:r>
      <w:r>
        <w:rPr>
          <w:rFonts w:ascii="Times New Roman" w:hAnsi="Times New Roman" w:eastAsia="Times New Roman" w:cs="Times New Roman"/>
          <w:sz w:val="23"/>
          <w:szCs w:val="23"/>
        </w:rPr>
        <w:t>GB</w:t>
      </w:r>
      <w:r>
        <w:rPr>
          <w:rFonts w:ascii="Times New Roman" w:hAnsi="Times New Roman" w:eastAsia="Times New Roman" w:cs="Times New Roman"/>
          <w:spacing w:val="2"/>
          <w:sz w:val="23"/>
          <w:szCs w:val="23"/>
        </w:rPr>
        <w:t>50010</w:t>
      </w:r>
      <w:r>
        <w:rPr>
          <w:rFonts w:ascii="宋体" w:hAnsi="宋体" w:eastAsia="宋体" w:cs="宋体"/>
          <w:spacing w:val="2"/>
          <w:sz w:val="23"/>
          <w:szCs w:val="23"/>
        </w:rPr>
        <w:t>) 的要</w:t>
      </w:r>
      <w:r>
        <w:rPr>
          <w:rFonts w:ascii="宋体" w:hAnsi="宋体" w:eastAsia="宋体" w:cs="宋体"/>
          <w:sz w:val="23"/>
          <w:szCs w:val="23"/>
        </w:rPr>
        <w:t xml:space="preserve"> </w:t>
      </w:r>
      <w:r>
        <w:rPr>
          <w:rFonts w:ascii="宋体" w:hAnsi="宋体" w:eastAsia="宋体" w:cs="宋体"/>
          <w:spacing w:val="20"/>
          <w:sz w:val="23"/>
          <w:szCs w:val="23"/>
        </w:rPr>
        <w:t>求</w:t>
      </w:r>
      <w:r>
        <w:rPr>
          <w:rFonts w:ascii="宋体" w:hAnsi="宋体" w:eastAsia="宋体" w:cs="宋体"/>
          <w:spacing w:val="17"/>
          <w:sz w:val="23"/>
          <w:szCs w:val="23"/>
        </w:rPr>
        <w:t>选</w:t>
      </w:r>
      <w:r>
        <w:rPr>
          <w:rFonts w:ascii="宋体" w:hAnsi="宋体" w:eastAsia="宋体" w:cs="宋体"/>
          <w:spacing w:val="10"/>
          <w:sz w:val="23"/>
          <w:szCs w:val="23"/>
        </w:rPr>
        <w:t>用硅酸盐水泥严格做好防渗措施；管道、阀门采用优质产品并派专人负责随时</w:t>
      </w:r>
      <w:r>
        <w:rPr>
          <w:rFonts w:ascii="宋体" w:hAnsi="宋体" w:eastAsia="宋体" w:cs="宋体"/>
          <w:sz w:val="23"/>
          <w:szCs w:val="23"/>
        </w:rPr>
        <w:t xml:space="preserve"> </w:t>
      </w:r>
      <w:r>
        <w:rPr>
          <w:rFonts w:ascii="宋体" w:hAnsi="宋体" w:eastAsia="宋体" w:cs="宋体"/>
          <w:spacing w:val="12"/>
          <w:sz w:val="23"/>
          <w:szCs w:val="23"/>
        </w:rPr>
        <w:t>观</w:t>
      </w:r>
      <w:r>
        <w:rPr>
          <w:rFonts w:ascii="宋体" w:hAnsi="宋体" w:eastAsia="宋体" w:cs="宋体"/>
          <w:spacing w:val="6"/>
          <w:sz w:val="23"/>
          <w:szCs w:val="23"/>
        </w:rPr>
        <w:t>察地上管道、阀门，如出现渗漏问题及时解决；对工艺要求必须地下走管的管道、</w:t>
      </w:r>
    </w:p>
    <w:p w14:paraId="49CAA20A">
      <w:pPr>
        <w:spacing w:line="227" w:lineRule="auto"/>
        <w:ind w:left="555"/>
        <w:rPr>
          <w:rFonts w:ascii="宋体" w:hAnsi="宋体" w:eastAsia="宋体" w:cs="宋体"/>
          <w:sz w:val="23"/>
          <w:szCs w:val="23"/>
        </w:rPr>
      </w:pPr>
      <w:r>
        <w:rPr>
          <w:rFonts w:ascii="宋体" w:hAnsi="宋体" w:eastAsia="宋体" w:cs="宋体"/>
          <w:spacing w:val="12"/>
          <w:sz w:val="23"/>
          <w:szCs w:val="23"/>
        </w:rPr>
        <w:t>阀门</w:t>
      </w:r>
      <w:r>
        <w:rPr>
          <w:rFonts w:ascii="宋体" w:hAnsi="宋体" w:eastAsia="宋体" w:cs="宋体"/>
          <w:spacing w:val="6"/>
          <w:sz w:val="23"/>
          <w:szCs w:val="23"/>
        </w:rPr>
        <w:t>设专用防渗管沟，管沟上设活动观察顶盖，以便出现渗漏问题及时观察、解决，</w:t>
      </w:r>
    </w:p>
    <w:p w14:paraId="7DB7362A">
      <w:pPr>
        <w:sectPr>
          <w:headerReference r:id="rId217" w:type="default"/>
          <w:footerReference r:id="rId218" w:type="default"/>
          <w:pgSz w:w="11907" w:h="16840"/>
          <w:pgMar w:top="400" w:right="1057" w:bottom="1485" w:left="1136" w:header="0" w:footer="1298" w:gutter="0"/>
          <w:cols w:space="720" w:num="1"/>
        </w:sectPr>
      </w:pPr>
    </w:p>
    <w:p w14:paraId="78A5F5F8">
      <w:pPr>
        <w:spacing w:before="44" w:line="374" w:lineRule="auto"/>
        <w:ind w:left="10" w:right="61" w:firstLine="5"/>
        <w:rPr>
          <w:rFonts w:ascii="宋体" w:hAnsi="宋体" w:eastAsia="宋体" w:cs="宋体"/>
          <w:sz w:val="23"/>
          <w:szCs w:val="23"/>
        </w:rPr>
      </w:pPr>
      <w:r>
        <w:rPr>
          <w:rFonts w:ascii="宋体" w:hAnsi="宋体" w:eastAsia="宋体" w:cs="宋体"/>
          <w:spacing w:val="20"/>
          <w:sz w:val="23"/>
          <w:szCs w:val="23"/>
        </w:rPr>
        <w:t>管</w:t>
      </w:r>
      <w:r>
        <w:rPr>
          <w:rFonts w:ascii="宋体" w:hAnsi="宋体" w:eastAsia="宋体" w:cs="宋体"/>
          <w:spacing w:val="11"/>
          <w:sz w:val="23"/>
          <w:szCs w:val="23"/>
        </w:rPr>
        <w:t>沟</w:t>
      </w:r>
      <w:r>
        <w:rPr>
          <w:rFonts w:ascii="宋体" w:hAnsi="宋体" w:eastAsia="宋体" w:cs="宋体"/>
          <w:spacing w:val="10"/>
          <w:sz w:val="23"/>
          <w:szCs w:val="23"/>
        </w:rPr>
        <w:t>与集污池相连，并设计合理的排水坡度，便于废水排至集污池，然后由异位微</w:t>
      </w:r>
      <w:r>
        <w:rPr>
          <w:rFonts w:ascii="宋体" w:hAnsi="宋体" w:eastAsia="宋体" w:cs="宋体"/>
          <w:sz w:val="23"/>
          <w:szCs w:val="23"/>
        </w:rPr>
        <w:t xml:space="preserve"> </w:t>
      </w:r>
      <w:r>
        <w:rPr>
          <w:rFonts w:ascii="宋体" w:hAnsi="宋体" w:eastAsia="宋体" w:cs="宋体"/>
          <w:spacing w:val="20"/>
          <w:sz w:val="23"/>
          <w:szCs w:val="23"/>
        </w:rPr>
        <w:t>生</w:t>
      </w:r>
      <w:r>
        <w:rPr>
          <w:rFonts w:ascii="宋体" w:hAnsi="宋体" w:eastAsia="宋体" w:cs="宋体"/>
          <w:spacing w:val="16"/>
          <w:sz w:val="23"/>
          <w:szCs w:val="23"/>
        </w:rPr>
        <w:t>物</w:t>
      </w:r>
      <w:r>
        <w:rPr>
          <w:rFonts w:ascii="宋体" w:hAnsi="宋体" w:eastAsia="宋体" w:cs="宋体"/>
          <w:spacing w:val="10"/>
          <w:sz w:val="23"/>
          <w:szCs w:val="23"/>
        </w:rPr>
        <w:t>发酵床统一处理。通过采取有效防渗措施来防止本项目废水、固废等对土壤的</w:t>
      </w:r>
      <w:r>
        <w:rPr>
          <w:rFonts w:ascii="宋体" w:hAnsi="宋体" w:eastAsia="宋体" w:cs="宋体"/>
          <w:sz w:val="23"/>
          <w:szCs w:val="23"/>
        </w:rPr>
        <w:t xml:space="preserve"> </w:t>
      </w:r>
      <w:r>
        <w:rPr>
          <w:rFonts w:ascii="宋体" w:hAnsi="宋体" w:eastAsia="宋体" w:cs="宋体"/>
          <w:spacing w:val="4"/>
          <w:sz w:val="23"/>
          <w:szCs w:val="23"/>
        </w:rPr>
        <w:t>影</w:t>
      </w:r>
      <w:r>
        <w:rPr>
          <w:rFonts w:ascii="宋体" w:hAnsi="宋体" w:eastAsia="宋体" w:cs="宋体"/>
          <w:spacing w:val="3"/>
          <w:sz w:val="23"/>
          <w:szCs w:val="23"/>
        </w:rPr>
        <w:t>响。</w:t>
      </w:r>
    </w:p>
    <w:p w14:paraId="11DA3018">
      <w:pPr>
        <w:spacing w:line="226" w:lineRule="auto"/>
        <w:ind w:left="501"/>
        <w:rPr>
          <w:rFonts w:ascii="宋体" w:hAnsi="宋体" w:eastAsia="宋体" w:cs="宋体"/>
          <w:sz w:val="23"/>
          <w:szCs w:val="23"/>
        </w:rPr>
      </w:pP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7"/>
          <w:sz w:val="23"/>
          <w:szCs w:val="23"/>
        </w:rPr>
        <w:t>2</w:t>
      </w:r>
      <w:r>
        <w:rPr>
          <w:rFonts w:ascii="宋体" w:hAnsi="宋体" w:eastAsia="宋体" w:cs="宋体"/>
          <w:spacing w:val="17"/>
          <w:sz w:val="23"/>
          <w:szCs w:val="23"/>
          <w14:textOutline w14:w="4356" w14:cap="sq" w14:cmpd="sng" w14:algn="ctr">
            <w14:solidFill>
              <w14:srgbClr w14:val="000000"/>
            </w14:solidFill>
            <w14:prstDash w14:val="solid"/>
            <w14:bevel/>
          </w14:textOutline>
        </w:rPr>
        <w:t>)</w:t>
      </w:r>
      <w:r>
        <w:rPr>
          <w:rFonts w:ascii="宋体" w:hAnsi="宋体" w:eastAsia="宋体" w:cs="宋体"/>
          <w:spacing w:val="17"/>
          <w:sz w:val="23"/>
          <w:szCs w:val="23"/>
        </w:rPr>
        <w:t xml:space="preserve"> </w:t>
      </w:r>
      <w:r>
        <w:rPr>
          <w:rFonts w:ascii="宋体" w:hAnsi="宋体" w:eastAsia="宋体" w:cs="宋体"/>
          <w:spacing w:val="17"/>
          <w:sz w:val="23"/>
          <w:szCs w:val="23"/>
          <w14:textOutline w14:w="4356" w14:cap="sq" w14:cmpd="sng" w14:algn="ctr">
            <w14:solidFill>
              <w14:srgbClr w14:val="000000"/>
            </w14:solidFill>
            <w14:prstDash w14:val="solid"/>
            <w14:bevel/>
          </w14:textOutline>
        </w:rPr>
        <w:t>施肥对土壤的影响</w:t>
      </w:r>
    </w:p>
    <w:p w14:paraId="7A73CC13">
      <w:pPr>
        <w:spacing w:before="181" w:line="375" w:lineRule="auto"/>
        <w:ind w:left="9" w:right="59" w:firstLine="481"/>
        <w:rPr>
          <w:rFonts w:ascii="宋体" w:hAnsi="宋体" w:eastAsia="宋体" w:cs="宋体"/>
          <w:sz w:val="23"/>
          <w:szCs w:val="23"/>
        </w:rPr>
      </w:pPr>
      <w:r>
        <w:rPr>
          <w:rFonts w:ascii="宋体" w:hAnsi="宋体" w:eastAsia="宋体" w:cs="宋体"/>
          <w:spacing w:val="20"/>
          <w:sz w:val="23"/>
          <w:szCs w:val="23"/>
        </w:rPr>
        <w:t>本</w:t>
      </w:r>
      <w:r>
        <w:rPr>
          <w:rFonts w:ascii="宋体" w:hAnsi="宋体" w:eastAsia="宋体" w:cs="宋体"/>
          <w:spacing w:val="15"/>
          <w:sz w:val="23"/>
          <w:szCs w:val="23"/>
        </w:rPr>
        <w:t>项</w:t>
      </w:r>
      <w:r>
        <w:rPr>
          <w:rFonts w:ascii="宋体" w:hAnsi="宋体" w:eastAsia="宋体" w:cs="宋体"/>
          <w:spacing w:val="10"/>
          <w:sz w:val="23"/>
          <w:szCs w:val="23"/>
        </w:rPr>
        <w:t>目利用异位微生物发酵床发酵腐熟后的有机肥对项目种植区施肥。此种处</w:t>
      </w:r>
      <w:r>
        <w:rPr>
          <w:rFonts w:ascii="宋体" w:hAnsi="宋体" w:eastAsia="宋体" w:cs="宋体"/>
          <w:sz w:val="23"/>
          <w:szCs w:val="23"/>
        </w:rPr>
        <w:t xml:space="preserve"> </w:t>
      </w:r>
      <w:r>
        <w:rPr>
          <w:rFonts w:ascii="宋体" w:hAnsi="宋体" w:eastAsia="宋体" w:cs="宋体"/>
          <w:spacing w:val="20"/>
          <w:sz w:val="23"/>
          <w:szCs w:val="23"/>
        </w:rPr>
        <w:t>理</w:t>
      </w:r>
      <w:r>
        <w:rPr>
          <w:rFonts w:ascii="宋体" w:hAnsi="宋体" w:eastAsia="宋体" w:cs="宋体"/>
          <w:spacing w:val="17"/>
          <w:sz w:val="23"/>
          <w:szCs w:val="23"/>
        </w:rPr>
        <w:t>方</w:t>
      </w:r>
      <w:r>
        <w:rPr>
          <w:rFonts w:ascii="宋体" w:hAnsi="宋体" w:eastAsia="宋体" w:cs="宋体"/>
          <w:spacing w:val="10"/>
          <w:sz w:val="23"/>
          <w:szCs w:val="23"/>
        </w:rPr>
        <w:t>法好的一方面在于发酵产物属于生物有机肥，含有丰富的养分，除了含有丰富</w:t>
      </w:r>
      <w:r>
        <w:rPr>
          <w:rFonts w:ascii="宋体" w:hAnsi="宋体" w:eastAsia="宋体" w:cs="宋体"/>
          <w:sz w:val="23"/>
          <w:szCs w:val="23"/>
        </w:rPr>
        <w:t xml:space="preserve"> </w:t>
      </w:r>
      <w:r>
        <w:rPr>
          <w:rFonts w:ascii="宋体" w:hAnsi="宋体" w:eastAsia="宋体" w:cs="宋体"/>
          <w:spacing w:val="20"/>
          <w:sz w:val="23"/>
          <w:szCs w:val="23"/>
        </w:rPr>
        <w:t>的氮</w:t>
      </w:r>
      <w:r>
        <w:rPr>
          <w:rFonts w:ascii="宋体" w:hAnsi="宋体" w:eastAsia="宋体" w:cs="宋体"/>
          <w:spacing w:val="10"/>
          <w:sz w:val="23"/>
          <w:szCs w:val="23"/>
        </w:rPr>
        <w:t>、磷、钾等元素外，还含有对植物生长起有重要作用的硼、铜、铁、锰、钙、</w:t>
      </w:r>
      <w:r>
        <w:rPr>
          <w:rFonts w:ascii="宋体" w:hAnsi="宋体" w:eastAsia="宋体" w:cs="宋体"/>
          <w:sz w:val="23"/>
          <w:szCs w:val="23"/>
        </w:rPr>
        <w:t xml:space="preserve"> </w:t>
      </w:r>
      <w:r>
        <w:rPr>
          <w:rFonts w:ascii="宋体" w:hAnsi="宋体" w:eastAsia="宋体" w:cs="宋体"/>
          <w:spacing w:val="17"/>
          <w:sz w:val="23"/>
          <w:szCs w:val="23"/>
        </w:rPr>
        <w:t>锌</w:t>
      </w:r>
      <w:r>
        <w:rPr>
          <w:rFonts w:ascii="宋体" w:hAnsi="宋体" w:eastAsia="宋体" w:cs="宋体"/>
          <w:spacing w:val="9"/>
          <w:sz w:val="23"/>
          <w:szCs w:val="23"/>
        </w:rPr>
        <w:t>等微量元素，以及大量的氨基酸、</w:t>
      </w:r>
      <w:r>
        <w:rPr>
          <w:rFonts w:ascii="Times New Roman" w:hAnsi="Times New Roman" w:eastAsia="Times New Roman" w:cs="Times New Roman"/>
          <w:sz w:val="23"/>
          <w:szCs w:val="23"/>
        </w:rPr>
        <w:t>B</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族维生素、各种水解酶、某些植物激素，施</w:t>
      </w:r>
      <w:r>
        <w:rPr>
          <w:rFonts w:ascii="宋体" w:hAnsi="宋体" w:eastAsia="宋体" w:cs="宋体"/>
          <w:sz w:val="23"/>
          <w:szCs w:val="23"/>
        </w:rPr>
        <w:t xml:space="preserve"> </w:t>
      </w:r>
      <w:r>
        <w:rPr>
          <w:rFonts w:ascii="宋体" w:hAnsi="宋体" w:eastAsia="宋体" w:cs="宋体"/>
          <w:spacing w:val="20"/>
          <w:sz w:val="23"/>
          <w:szCs w:val="23"/>
        </w:rPr>
        <w:t>用</w:t>
      </w:r>
      <w:r>
        <w:rPr>
          <w:rFonts w:ascii="宋体" w:hAnsi="宋体" w:eastAsia="宋体" w:cs="宋体"/>
          <w:spacing w:val="17"/>
          <w:sz w:val="23"/>
          <w:szCs w:val="23"/>
        </w:rPr>
        <w:t>后</w:t>
      </w:r>
      <w:r>
        <w:rPr>
          <w:rFonts w:ascii="宋体" w:hAnsi="宋体" w:eastAsia="宋体" w:cs="宋体"/>
          <w:spacing w:val="10"/>
          <w:sz w:val="23"/>
          <w:szCs w:val="23"/>
        </w:rPr>
        <w:t>可很好改善土壤水、肥、气、热状况收到培肥地力的功效。但长期过量施用有</w:t>
      </w:r>
      <w:r>
        <w:rPr>
          <w:rFonts w:ascii="宋体" w:hAnsi="宋体" w:eastAsia="宋体" w:cs="宋体"/>
          <w:sz w:val="23"/>
          <w:szCs w:val="23"/>
        </w:rPr>
        <w:t xml:space="preserve"> </w:t>
      </w:r>
      <w:r>
        <w:rPr>
          <w:rFonts w:ascii="宋体" w:hAnsi="宋体" w:eastAsia="宋体" w:cs="宋体"/>
          <w:spacing w:val="20"/>
          <w:sz w:val="23"/>
          <w:szCs w:val="23"/>
        </w:rPr>
        <w:t>机</w:t>
      </w:r>
      <w:r>
        <w:rPr>
          <w:rFonts w:ascii="宋体" w:hAnsi="宋体" w:eastAsia="宋体" w:cs="宋体"/>
          <w:spacing w:val="17"/>
          <w:sz w:val="23"/>
          <w:szCs w:val="23"/>
        </w:rPr>
        <w:t>肥</w:t>
      </w:r>
      <w:r>
        <w:rPr>
          <w:rFonts w:ascii="宋体" w:hAnsi="宋体" w:eastAsia="宋体" w:cs="宋体"/>
          <w:spacing w:val="10"/>
          <w:sz w:val="23"/>
          <w:szCs w:val="23"/>
        </w:rPr>
        <w:t>，会造成苗木对其利用率降低，流失量增大，从而导致土壤氮、磷过量，造成</w:t>
      </w:r>
      <w:r>
        <w:rPr>
          <w:rFonts w:ascii="宋体" w:hAnsi="宋体" w:eastAsia="宋体" w:cs="宋体"/>
          <w:sz w:val="23"/>
          <w:szCs w:val="23"/>
        </w:rPr>
        <w:t xml:space="preserve"> </w:t>
      </w:r>
      <w:r>
        <w:rPr>
          <w:rFonts w:ascii="宋体" w:hAnsi="宋体" w:eastAsia="宋体" w:cs="宋体"/>
          <w:spacing w:val="17"/>
          <w:sz w:val="23"/>
          <w:szCs w:val="23"/>
        </w:rPr>
        <w:t>污</w:t>
      </w:r>
      <w:r>
        <w:rPr>
          <w:rFonts w:ascii="宋体" w:hAnsi="宋体" w:eastAsia="宋体" w:cs="宋体"/>
          <w:spacing w:val="9"/>
          <w:sz w:val="23"/>
          <w:szCs w:val="23"/>
        </w:rPr>
        <w:t>染。项目发酵床产生的有机肥全部外售，不作为周边施肥。</w:t>
      </w:r>
    </w:p>
    <w:p w14:paraId="4769006B">
      <w:pPr>
        <w:spacing w:line="375" w:lineRule="auto"/>
        <w:ind w:left="11" w:right="59" w:firstLine="481"/>
        <w:rPr>
          <w:rFonts w:ascii="宋体" w:hAnsi="宋体" w:eastAsia="宋体" w:cs="宋体"/>
          <w:sz w:val="23"/>
          <w:szCs w:val="23"/>
        </w:rPr>
      </w:pPr>
      <w:r>
        <w:rPr>
          <w:rFonts w:ascii="宋体" w:hAnsi="宋体" w:eastAsia="宋体" w:cs="宋体"/>
          <w:spacing w:val="6"/>
          <w:sz w:val="23"/>
          <w:szCs w:val="23"/>
        </w:rPr>
        <w:t>综上，只要建设</w:t>
      </w:r>
      <w:r>
        <w:rPr>
          <w:rFonts w:ascii="宋体" w:hAnsi="宋体" w:eastAsia="宋体" w:cs="宋体"/>
          <w:spacing w:val="3"/>
          <w:sz w:val="23"/>
          <w:szCs w:val="23"/>
        </w:rPr>
        <w:t xml:space="preserve">单位综合考虑养殖废水、猪粪中组分成分 </w:t>
      </w:r>
      <w:r>
        <w:rPr>
          <w:rFonts w:ascii="Times New Roman" w:hAnsi="Times New Roman" w:eastAsia="Times New Roman" w:cs="Times New Roman"/>
          <w:sz w:val="23"/>
          <w:szCs w:val="23"/>
        </w:rPr>
        <w:t>N</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w:t>
      </w:r>
      <w:r>
        <w:rPr>
          <w:rFonts w:ascii="Times New Roman" w:hAnsi="Times New Roman" w:eastAsia="Times New Roman" w:cs="Times New Roman"/>
          <w:sz w:val="23"/>
          <w:szCs w:val="23"/>
        </w:rPr>
        <w:t>P</w:t>
      </w:r>
      <w:r>
        <w:rPr>
          <w:rFonts w:ascii="宋体" w:hAnsi="宋体" w:eastAsia="宋体" w:cs="宋体"/>
          <w:spacing w:val="3"/>
          <w:sz w:val="23"/>
          <w:szCs w:val="23"/>
        </w:rPr>
        <w:t>、</w:t>
      </w:r>
      <w:r>
        <w:rPr>
          <w:rFonts w:ascii="Times New Roman" w:hAnsi="Times New Roman" w:eastAsia="Times New Roman" w:cs="Times New Roman"/>
          <w:sz w:val="23"/>
          <w:szCs w:val="23"/>
        </w:rPr>
        <w:t>K</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养分的有效</w:t>
      </w:r>
      <w:r>
        <w:rPr>
          <w:rFonts w:ascii="宋体" w:hAnsi="宋体" w:eastAsia="宋体" w:cs="宋体"/>
          <w:sz w:val="23"/>
          <w:szCs w:val="23"/>
        </w:rPr>
        <w:t xml:space="preserve"> </w:t>
      </w:r>
      <w:r>
        <w:rPr>
          <w:rFonts w:ascii="宋体" w:hAnsi="宋体" w:eastAsia="宋体" w:cs="宋体"/>
          <w:spacing w:val="20"/>
          <w:sz w:val="23"/>
          <w:szCs w:val="23"/>
        </w:rPr>
        <w:t>性</w:t>
      </w:r>
      <w:r>
        <w:rPr>
          <w:rFonts w:ascii="宋体" w:hAnsi="宋体" w:eastAsia="宋体" w:cs="宋体"/>
          <w:spacing w:val="15"/>
          <w:sz w:val="23"/>
          <w:szCs w:val="23"/>
        </w:rPr>
        <w:t>和</w:t>
      </w:r>
      <w:r>
        <w:rPr>
          <w:rFonts w:ascii="宋体" w:hAnsi="宋体" w:eastAsia="宋体" w:cs="宋体"/>
          <w:spacing w:val="10"/>
          <w:sz w:val="23"/>
          <w:szCs w:val="23"/>
        </w:rPr>
        <w:t>土壤中迁移规律、作物对有机肥的吸收能力，做到合理施肥，则能改善消纳地</w:t>
      </w:r>
      <w:r>
        <w:rPr>
          <w:rFonts w:ascii="宋体" w:hAnsi="宋体" w:eastAsia="宋体" w:cs="宋体"/>
          <w:sz w:val="23"/>
          <w:szCs w:val="23"/>
        </w:rPr>
        <w:t xml:space="preserve"> </w:t>
      </w:r>
      <w:r>
        <w:rPr>
          <w:rFonts w:ascii="宋体" w:hAnsi="宋体" w:eastAsia="宋体" w:cs="宋体"/>
          <w:spacing w:val="18"/>
          <w:sz w:val="23"/>
          <w:szCs w:val="23"/>
        </w:rPr>
        <w:t>土</w:t>
      </w:r>
      <w:r>
        <w:rPr>
          <w:rFonts w:ascii="宋体" w:hAnsi="宋体" w:eastAsia="宋体" w:cs="宋体"/>
          <w:spacing w:val="10"/>
          <w:sz w:val="23"/>
          <w:szCs w:val="23"/>
        </w:rPr>
        <w:t>壤</w:t>
      </w:r>
      <w:r>
        <w:rPr>
          <w:rFonts w:ascii="宋体" w:hAnsi="宋体" w:eastAsia="宋体" w:cs="宋体"/>
          <w:spacing w:val="9"/>
          <w:sz w:val="23"/>
          <w:szCs w:val="23"/>
        </w:rPr>
        <w:t>理化性质，增强土壤肥力，改良土壤重金属污染，使废水资源化。</w:t>
      </w:r>
    </w:p>
    <w:p w14:paraId="2241EB1B">
      <w:pPr>
        <w:spacing w:before="1" w:line="225" w:lineRule="auto"/>
        <w:ind w:left="8"/>
        <w:outlineLvl w:val="2"/>
        <w:rPr>
          <w:rFonts w:ascii="宋体" w:hAnsi="宋体" w:eastAsia="宋体" w:cs="宋体"/>
          <w:sz w:val="23"/>
          <w:szCs w:val="23"/>
        </w:rPr>
      </w:pPr>
      <w:r>
        <w:rPr>
          <w:rFonts w:ascii="Times New Roman" w:hAnsi="Times New Roman" w:eastAsia="Times New Roman" w:cs="Times New Roman"/>
          <w:b/>
          <w:bCs/>
          <w:spacing w:val="12"/>
          <w:sz w:val="23"/>
          <w:szCs w:val="23"/>
        </w:rPr>
        <w:t>5</w:t>
      </w:r>
      <w:r>
        <w:rPr>
          <w:rFonts w:ascii="Times New Roman" w:hAnsi="Times New Roman" w:eastAsia="Times New Roman" w:cs="Times New Roman"/>
          <w:b/>
          <w:bCs/>
          <w:spacing w:val="11"/>
          <w:sz w:val="23"/>
          <w:szCs w:val="23"/>
        </w:rPr>
        <w:t>.</w:t>
      </w:r>
      <w:r>
        <w:rPr>
          <w:rFonts w:ascii="Times New Roman" w:hAnsi="Times New Roman" w:eastAsia="Times New Roman" w:cs="Times New Roman"/>
          <w:b/>
          <w:bCs/>
          <w:spacing w:val="6"/>
          <w:sz w:val="23"/>
          <w:szCs w:val="23"/>
        </w:rPr>
        <w:t>2.6</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生态环境影响评价</w:t>
      </w:r>
    </w:p>
    <w:p w14:paraId="55E5234E">
      <w:pPr>
        <w:spacing w:before="186" w:line="229" w:lineRule="auto"/>
        <w:ind w:left="501"/>
        <w:rPr>
          <w:rFonts w:ascii="宋体" w:hAnsi="宋体" w:eastAsia="宋体" w:cs="宋体"/>
          <w:sz w:val="23"/>
          <w:szCs w:val="23"/>
        </w:rPr>
      </w:pP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Calibri" w:hAnsi="Calibri" w:eastAsia="Calibri" w:cs="Calibri"/>
          <w:b/>
          <w:bCs/>
          <w:spacing w:val="16"/>
          <w:sz w:val="23"/>
          <w:szCs w:val="23"/>
        </w:rPr>
        <w:t>1</w:t>
      </w:r>
      <w:r>
        <w:rPr>
          <w:rFonts w:ascii="宋体" w:hAnsi="宋体" w:eastAsia="宋体" w:cs="宋体"/>
          <w:spacing w:val="16"/>
          <w:sz w:val="23"/>
          <w:szCs w:val="23"/>
          <w14:textOutline w14:w="4356" w14:cap="sq" w14:cmpd="sng" w14:algn="ctr">
            <w14:solidFill>
              <w14:srgbClr w14:val="000000"/>
            </w14:solidFill>
            <w14:prstDash w14:val="solid"/>
            <w14:bevel/>
          </w14:textOutline>
        </w:rPr>
        <w:t>)</w:t>
      </w:r>
      <w:r>
        <w:rPr>
          <w:rFonts w:ascii="宋体" w:hAnsi="宋体" w:eastAsia="宋体" w:cs="宋体"/>
          <w:spacing w:val="16"/>
          <w:sz w:val="23"/>
          <w:szCs w:val="23"/>
        </w:rPr>
        <w:t xml:space="preserve"> </w:t>
      </w:r>
      <w:r>
        <w:rPr>
          <w:rFonts w:ascii="宋体" w:hAnsi="宋体" w:eastAsia="宋体" w:cs="宋体"/>
          <w:spacing w:val="16"/>
          <w:sz w:val="23"/>
          <w:szCs w:val="23"/>
          <w14:textOutline w14:w="4356" w14:cap="sq" w14:cmpd="sng" w14:algn="ctr">
            <w14:solidFill>
              <w14:srgbClr w14:val="000000"/>
            </w14:solidFill>
            <w14:prstDash w14:val="solid"/>
            <w14:bevel/>
          </w14:textOutline>
        </w:rPr>
        <w:t>易造成土壤、面源污染</w:t>
      </w:r>
    </w:p>
    <w:p w14:paraId="52883F87">
      <w:pPr>
        <w:spacing w:before="179" w:line="375" w:lineRule="auto"/>
        <w:ind w:left="12" w:right="61" w:firstLine="481"/>
        <w:rPr>
          <w:rFonts w:ascii="宋体" w:hAnsi="宋体" w:eastAsia="宋体" w:cs="宋体"/>
          <w:sz w:val="23"/>
          <w:szCs w:val="23"/>
        </w:rPr>
      </w:pPr>
      <w:r>
        <w:rPr>
          <w:rFonts w:ascii="宋体" w:hAnsi="宋体" w:eastAsia="宋体" w:cs="宋体"/>
          <w:spacing w:val="7"/>
          <w:sz w:val="23"/>
          <w:szCs w:val="23"/>
        </w:rPr>
        <w:t>项目营运期对生态环境影响比较重要的一点是项目所产生的废水、固体废物(</w:t>
      </w:r>
      <w:r>
        <w:rPr>
          <w:rFonts w:ascii="宋体" w:hAnsi="宋体" w:eastAsia="宋体" w:cs="宋体"/>
          <w:sz w:val="23"/>
          <w:szCs w:val="23"/>
        </w:rPr>
        <w:t xml:space="preserve">猪 </w:t>
      </w:r>
      <w:r>
        <w:rPr>
          <w:rFonts w:ascii="宋体" w:hAnsi="宋体" w:eastAsia="宋体" w:cs="宋体"/>
          <w:spacing w:val="9"/>
          <w:sz w:val="23"/>
          <w:szCs w:val="23"/>
        </w:rPr>
        <w:t>粪等) 对土壤、地下水及地表水的影响，容易造成土壤硝酸盐积累</w:t>
      </w:r>
      <w:r>
        <w:rPr>
          <w:rFonts w:ascii="宋体" w:hAnsi="宋体" w:eastAsia="宋体" w:cs="宋体"/>
          <w:spacing w:val="8"/>
          <w:sz w:val="23"/>
          <w:szCs w:val="23"/>
        </w:rPr>
        <w:t>。</w:t>
      </w:r>
    </w:p>
    <w:p w14:paraId="4FF9EFDD">
      <w:pPr>
        <w:spacing w:before="6" w:line="374" w:lineRule="auto"/>
        <w:ind w:left="8" w:right="71" w:firstLine="482"/>
        <w:rPr>
          <w:rFonts w:ascii="宋体" w:hAnsi="宋体" w:eastAsia="宋体" w:cs="宋体"/>
          <w:sz w:val="23"/>
          <w:szCs w:val="23"/>
        </w:rPr>
      </w:pPr>
      <w:r>
        <w:rPr>
          <w:rFonts w:ascii="宋体" w:hAnsi="宋体" w:eastAsia="宋体" w:cs="宋体"/>
          <w:spacing w:val="18"/>
          <w:sz w:val="23"/>
          <w:szCs w:val="23"/>
        </w:rPr>
        <w:t>化学</w:t>
      </w:r>
      <w:r>
        <w:rPr>
          <w:rFonts w:ascii="宋体" w:hAnsi="宋体" w:eastAsia="宋体" w:cs="宋体"/>
          <w:spacing w:val="14"/>
          <w:sz w:val="23"/>
          <w:szCs w:val="23"/>
        </w:rPr>
        <w:t>氮</w:t>
      </w:r>
      <w:r>
        <w:rPr>
          <w:rFonts w:ascii="宋体" w:hAnsi="宋体" w:eastAsia="宋体" w:cs="宋体"/>
          <w:spacing w:val="9"/>
          <w:sz w:val="23"/>
          <w:szCs w:val="23"/>
        </w:rPr>
        <w:t>肥施入土壤中，非铵盐及非硝酸态氮均要转化为铵态氮和硝态氮方可被</w:t>
      </w:r>
      <w:r>
        <w:rPr>
          <w:rFonts w:ascii="宋体" w:hAnsi="宋体" w:eastAsia="宋体" w:cs="宋体"/>
          <w:sz w:val="23"/>
          <w:szCs w:val="23"/>
        </w:rPr>
        <w:t xml:space="preserve"> </w:t>
      </w:r>
      <w:r>
        <w:rPr>
          <w:rFonts w:ascii="宋体" w:hAnsi="宋体" w:eastAsia="宋体" w:cs="宋体"/>
          <w:spacing w:val="14"/>
          <w:sz w:val="23"/>
          <w:szCs w:val="23"/>
        </w:rPr>
        <w:t>植物吸</w:t>
      </w:r>
      <w:r>
        <w:rPr>
          <w:rFonts w:ascii="宋体" w:hAnsi="宋体" w:eastAsia="宋体" w:cs="宋体"/>
          <w:spacing w:val="12"/>
          <w:sz w:val="23"/>
          <w:szCs w:val="23"/>
        </w:rPr>
        <w:t>收</w:t>
      </w:r>
      <w:r>
        <w:rPr>
          <w:rFonts w:ascii="宋体" w:hAnsi="宋体" w:eastAsia="宋体" w:cs="宋体"/>
          <w:spacing w:val="7"/>
          <w:sz w:val="23"/>
          <w:szCs w:val="23"/>
        </w:rPr>
        <w:t>。氮肥在施用后，一般的利用率不超过</w:t>
      </w:r>
      <w:r>
        <w:rPr>
          <w:rFonts w:ascii="Times New Roman" w:hAnsi="Times New Roman" w:eastAsia="Times New Roman" w:cs="Times New Roman"/>
          <w:spacing w:val="7"/>
          <w:sz w:val="23"/>
          <w:szCs w:val="23"/>
        </w:rPr>
        <w:t xml:space="preserve">60% </w:t>
      </w:r>
      <w:r>
        <w:rPr>
          <w:rFonts w:ascii="宋体" w:hAnsi="宋体" w:eastAsia="宋体" w:cs="宋体"/>
          <w:spacing w:val="7"/>
          <w:sz w:val="23"/>
          <w:szCs w:val="23"/>
        </w:rPr>
        <w:t>，除被植物吸收一部分外，经</w:t>
      </w:r>
      <w:r>
        <w:rPr>
          <w:rFonts w:ascii="宋体" w:hAnsi="宋体" w:eastAsia="宋体" w:cs="宋体"/>
          <w:sz w:val="23"/>
          <w:szCs w:val="23"/>
        </w:rPr>
        <w:t xml:space="preserve"> </w:t>
      </w:r>
      <w:r>
        <w:rPr>
          <w:rFonts w:ascii="宋体" w:hAnsi="宋体" w:eastAsia="宋体" w:cs="宋体"/>
          <w:spacing w:val="18"/>
          <w:sz w:val="23"/>
          <w:szCs w:val="23"/>
        </w:rPr>
        <w:t>过还原</w:t>
      </w:r>
      <w:r>
        <w:rPr>
          <w:rFonts w:ascii="宋体" w:hAnsi="宋体" w:eastAsia="宋体" w:cs="宋体"/>
          <w:spacing w:val="10"/>
          <w:sz w:val="23"/>
          <w:szCs w:val="23"/>
        </w:rPr>
        <w:t>和</w:t>
      </w:r>
      <w:r>
        <w:rPr>
          <w:rFonts w:ascii="宋体" w:hAnsi="宋体" w:eastAsia="宋体" w:cs="宋体"/>
          <w:spacing w:val="9"/>
          <w:sz w:val="23"/>
          <w:szCs w:val="23"/>
        </w:rPr>
        <w:t>淋溶，渗入地下水。铵态氮在土壤通气的情况下，经土壤微生物作用，可</w:t>
      </w:r>
      <w:r>
        <w:rPr>
          <w:rFonts w:ascii="宋体" w:hAnsi="宋体" w:eastAsia="宋体" w:cs="宋体"/>
          <w:sz w:val="23"/>
          <w:szCs w:val="23"/>
        </w:rPr>
        <w:t xml:space="preserve"> </w:t>
      </w:r>
      <w:r>
        <w:rPr>
          <w:rFonts w:ascii="宋体" w:hAnsi="宋体" w:eastAsia="宋体" w:cs="宋体"/>
          <w:spacing w:val="16"/>
          <w:sz w:val="23"/>
          <w:szCs w:val="23"/>
        </w:rPr>
        <w:t>转化为</w:t>
      </w:r>
      <w:r>
        <w:rPr>
          <w:rFonts w:ascii="宋体" w:hAnsi="宋体" w:eastAsia="宋体" w:cs="宋体"/>
          <w:spacing w:val="13"/>
          <w:sz w:val="23"/>
          <w:szCs w:val="23"/>
        </w:rPr>
        <w:t>亚</w:t>
      </w:r>
      <w:r>
        <w:rPr>
          <w:rFonts w:ascii="宋体" w:hAnsi="宋体" w:eastAsia="宋体" w:cs="宋体"/>
          <w:spacing w:val="8"/>
          <w:sz w:val="23"/>
          <w:szCs w:val="23"/>
        </w:rPr>
        <w:t>硝酸盐 (</w:t>
      </w:r>
      <w:r>
        <w:rPr>
          <w:rFonts w:ascii="Times New Roman" w:hAnsi="Times New Roman" w:eastAsia="Times New Roman" w:cs="Times New Roman"/>
          <w:sz w:val="23"/>
          <w:szCs w:val="23"/>
        </w:rPr>
        <w:t>NO</w:t>
      </w:r>
      <w:r>
        <w:rPr>
          <w:rFonts w:ascii="Times New Roman" w:hAnsi="Times New Roman" w:eastAsia="Times New Roman" w:cs="Times New Roman"/>
          <w:spacing w:val="8"/>
          <w:position w:val="-1"/>
          <w:sz w:val="15"/>
          <w:szCs w:val="15"/>
        </w:rPr>
        <w:t>2</w:t>
      </w:r>
      <w:r>
        <w:rPr>
          <w:rFonts w:ascii="Times New Roman" w:hAnsi="Times New Roman" w:eastAsia="Times New Roman" w:cs="Times New Roman"/>
          <w:spacing w:val="8"/>
          <w:position w:val="8"/>
          <w:sz w:val="15"/>
          <w:szCs w:val="15"/>
        </w:rPr>
        <w:t>-</w:t>
      </w:r>
      <w:r>
        <w:rPr>
          <w:rFonts w:ascii="Times New Roman" w:hAnsi="Times New Roman" w:eastAsia="Times New Roman" w:cs="Times New Roman"/>
          <w:spacing w:val="8"/>
          <w:sz w:val="23"/>
          <w:szCs w:val="23"/>
        </w:rPr>
        <w:t>-</w:t>
      </w:r>
      <w:r>
        <w:rPr>
          <w:rFonts w:ascii="Times New Roman" w:hAnsi="Times New Roman" w:eastAsia="Times New Roman" w:cs="Times New Roman"/>
          <w:sz w:val="23"/>
          <w:szCs w:val="23"/>
        </w:rPr>
        <w:t>N</w:t>
      </w:r>
      <w:r>
        <w:rPr>
          <w:rFonts w:ascii="宋体" w:hAnsi="宋体" w:eastAsia="宋体" w:cs="宋体"/>
          <w:spacing w:val="8"/>
          <w:sz w:val="23"/>
          <w:szCs w:val="23"/>
        </w:rPr>
        <w:t>) 进一步氧化形成硝酸盐 (</w:t>
      </w:r>
      <w:r>
        <w:rPr>
          <w:rFonts w:ascii="Times New Roman" w:hAnsi="Times New Roman" w:eastAsia="Times New Roman" w:cs="Times New Roman"/>
          <w:sz w:val="23"/>
          <w:szCs w:val="23"/>
        </w:rPr>
        <w:t>NO</w:t>
      </w:r>
      <w:r>
        <w:rPr>
          <w:rFonts w:ascii="Times New Roman" w:hAnsi="Times New Roman" w:eastAsia="Times New Roman" w:cs="Times New Roman"/>
          <w:spacing w:val="8"/>
          <w:position w:val="-1"/>
          <w:sz w:val="15"/>
          <w:szCs w:val="15"/>
        </w:rPr>
        <w:t>3</w:t>
      </w:r>
      <w:r>
        <w:rPr>
          <w:rFonts w:ascii="Times New Roman" w:hAnsi="Times New Roman" w:eastAsia="Times New Roman" w:cs="Times New Roman"/>
          <w:spacing w:val="8"/>
          <w:position w:val="8"/>
          <w:sz w:val="15"/>
          <w:szCs w:val="15"/>
        </w:rPr>
        <w:t>-</w:t>
      </w:r>
      <w:r>
        <w:rPr>
          <w:rFonts w:ascii="Times New Roman" w:hAnsi="Times New Roman" w:eastAsia="Times New Roman" w:cs="Times New Roman"/>
          <w:spacing w:val="8"/>
          <w:sz w:val="23"/>
          <w:szCs w:val="23"/>
        </w:rPr>
        <w:t>-</w:t>
      </w:r>
      <w:r>
        <w:rPr>
          <w:rFonts w:ascii="Times New Roman" w:hAnsi="Times New Roman" w:eastAsia="Times New Roman" w:cs="Times New Roman"/>
          <w:sz w:val="23"/>
          <w:szCs w:val="23"/>
        </w:rPr>
        <w:t>N</w:t>
      </w:r>
      <w:r>
        <w:rPr>
          <w:rFonts w:ascii="宋体" w:hAnsi="宋体" w:eastAsia="宋体" w:cs="宋体"/>
          <w:spacing w:val="8"/>
          <w:sz w:val="23"/>
          <w:szCs w:val="23"/>
        </w:rPr>
        <w:t>) 。由于本建设项目的</w:t>
      </w:r>
      <w:r>
        <w:rPr>
          <w:rFonts w:ascii="宋体" w:hAnsi="宋体" w:eastAsia="宋体" w:cs="宋体"/>
          <w:sz w:val="23"/>
          <w:szCs w:val="23"/>
        </w:rPr>
        <w:t xml:space="preserve"> </w:t>
      </w:r>
      <w:r>
        <w:rPr>
          <w:rFonts w:ascii="宋体" w:hAnsi="宋体" w:eastAsia="宋体" w:cs="宋体"/>
          <w:spacing w:val="19"/>
          <w:sz w:val="23"/>
          <w:szCs w:val="23"/>
        </w:rPr>
        <w:t>特</w:t>
      </w:r>
      <w:r>
        <w:rPr>
          <w:rFonts w:ascii="宋体" w:hAnsi="宋体" w:eastAsia="宋体" w:cs="宋体"/>
          <w:spacing w:val="10"/>
          <w:sz w:val="23"/>
          <w:szCs w:val="23"/>
        </w:rPr>
        <w:t>点决定了其所排放的废物含氮量较高，因此应加强废水的处理，确保达标排放，</w:t>
      </w:r>
      <w:r>
        <w:rPr>
          <w:rFonts w:ascii="宋体" w:hAnsi="宋体" w:eastAsia="宋体" w:cs="宋体"/>
          <w:sz w:val="23"/>
          <w:szCs w:val="23"/>
        </w:rPr>
        <w:t xml:space="preserve"> </w:t>
      </w:r>
      <w:r>
        <w:rPr>
          <w:rFonts w:ascii="宋体" w:hAnsi="宋体" w:eastAsia="宋体" w:cs="宋体"/>
          <w:spacing w:val="10"/>
          <w:sz w:val="23"/>
          <w:szCs w:val="23"/>
        </w:rPr>
        <w:t>避</w:t>
      </w:r>
      <w:r>
        <w:rPr>
          <w:rFonts w:ascii="宋体" w:hAnsi="宋体" w:eastAsia="宋体" w:cs="宋体"/>
          <w:spacing w:val="8"/>
          <w:sz w:val="23"/>
          <w:szCs w:val="23"/>
        </w:rPr>
        <w:t>免对土壤造成影响。</w:t>
      </w:r>
    </w:p>
    <w:p w14:paraId="4273D89D">
      <w:pPr>
        <w:spacing w:before="3" w:line="374" w:lineRule="auto"/>
        <w:ind w:left="14" w:firstLine="480"/>
        <w:rPr>
          <w:rFonts w:ascii="宋体" w:hAnsi="宋体" w:eastAsia="宋体" w:cs="宋体"/>
          <w:sz w:val="23"/>
          <w:szCs w:val="23"/>
        </w:rPr>
      </w:pPr>
      <w:r>
        <w:rPr>
          <w:rFonts w:ascii="宋体" w:hAnsi="宋体" w:eastAsia="宋体" w:cs="宋体"/>
          <w:spacing w:val="10"/>
          <w:sz w:val="23"/>
          <w:szCs w:val="23"/>
        </w:rPr>
        <w:t>项</w:t>
      </w:r>
      <w:r>
        <w:rPr>
          <w:rFonts w:ascii="宋体" w:hAnsi="宋体" w:eastAsia="宋体" w:cs="宋体"/>
          <w:spacing w:val="9"/>
          <w:sz w:val="23"/>
          <w:szCs w:val="23"/>
        </w:rPr>
        <w:t>目</w:t>
      </w:r>
      <w:r>
        <w:rPr>
          <w:rFonts w:ascii="宋体" w:hAnsi="宋体" w:eastAsia="宋体" w:cs="宋体"/>
          <w:spacing w:val="5"/>
          <w:sz w:val="23"/>
          <w:szCs w:val="23"/>
        </w:rPr>
        <w:t>拟采用的饲料和添加剂均符合《饲料和饲料添加剂管理条例》的相关要求，</w:t>
      </w:r>
      <w:r>
        <w:rPr>
          <w:rFonts w:ascii="宋体" w:hAnsi="宋体" w:eastAsia="宋体" w:cs="宋体"/>
          <w:sz w:val="23"/>
          <w:szCs w:val="23"/>
        </w:rPr>
        <w:t xml:space="preserve"> </w:t>
      </w:r>
      <w:r>
        <w:rPr>
          <w:rFonts w:ascii="宋体" w:hAnsi="宋体" w:eastAsia="宋体" w:cs="宋体"/>
          <w:spacing w:val="18"/>
          <w:sz w:val="23"/>
          <w:szCs w:val="23"/>
        </w:rPr>
        <w:t>不会</w:t>
      </w:r>
      <w:r>
        <w:rPr>
          <w:rFonts w:ascii="宋体" w:hAnsi="宋体" w:eastAsia="宋体" w:cs="宋体"/>
          <w:spacing w:val="13"/>
          <w:sz w:val="23"/>
          <w:szCs w:val="23"/>
        </w:rPr>
        <w:t>造</w:t>
      </w:r>
      <w:r>
        <w:rPr>
          <w:rFonts w:ascii="宋体" w:hAnsi="宋体" w:eastAsia="宋体" w:cs="宋体"/>
          <w:spacing w:val="9"/>
          <w:sz w:val="23"/>
          <w:szCs w:val="23"/>
        </w:rPr>
        <w:t>成重金属的污染，但不排除养猪采用的饲料在种植过程中会受到重金属的污</w:t>
      </w:r>
      <w:r>
        <w:rPr>
          <w:rFonts w:ascii="宋体" w:hAnsi="宋体" w:eastAsia="宋体" w:cs="宋体"/>
          <w:sz w:val="23"/>
          <w:szCs w:val="23"/>
        </w:rPr>
        <w:t xml:space="preserve"> </w:t>
      </w:r>
      <w:r>
        <w:rPr>
          <w:rFonts w:ascii="宋体" w:hAnsi="宋体" w:eastAsia="宋体" w:cs="宋体"/>
          <w:spacing w:val="18"/>
          <w:sz w:val="23"/>
          <w:szCs w:val="23"/>
        </w:rPr>
        <w:t>染，</w:t>
      </w:r>
      <w:r>
        <w:rPr>
          <w:rFonts w:ascii="宋体" w:hAnsi="宋体" w:eastAsia="宋体" w:cs="宋体"/>
          <w:spacing w:val="13"/>
          <w:sz w:val="23"/>
          <w:szCs w:val="23"/>
        </w:rPr>
        <w:t>如</w:t>
      </w:r>
      <w:r>
        <w:rPr>
          <w:rFonts w:ascii="宋体" w:hAnsi="宋体" w:eastAsia="宋体" w:cs="宋体"/>
          <w:spacing w:val="9"/>
          <w:sz w:val="23"/>
          <w:szCs w:val="23"/>
        </w:rPr>
        <w:t>果猪食用了重金属超标的饲料，猪的粪便中也会含有一定的重金属，养殖业</w:t>
      </w:r>
      <w:r>
        <w:rPr>
          <w:rFonts w:ascii="宋体" w:hAnsi="宋体" w:eastAsia="宋体" w:cs="宋体"/>
          <w:sz w:val="23"/>
          <w:szCs w:val="23"/>
        </w:rPr>
        <w:t xml:space="preserve"> </w:t>
      </w:r>
      <w:r>
        <w:rPr>
          <w:rFonts w:ascii="宋体" w:hAnsi="宋体" w:eastAsia="宋体" w:cs="宋体"/>
          <w:spacing w:val="16"/>
          <w:sz w:val="23"/>
          <w:szCs w:val="23"/>
        </w:rPr>
        <w:t>常</w:t>
      </w:r>
      <w:r>
        <w:rPr>
          <w:rFonts w:ascii="宋体" w:hAnsi="宋体" w:eastAsia="宋体" w:cs="宋体"/>
          <w:spacing w:val="14"/>
          <w:sz w:val="23"/>
          <w:szCs w:val="23"/>
        </w:rPr>
        <w:t>见</w:t>
      </w:r>
      <w:r>
        <w:rPr>
          <w:rFonts w:ascii="宋体" w:hAnsi="宋体" w:eastAsia="宋体" w:cs="宋体"/>
          <w:spacing w:val="8"/>
          <w:sz w:val="23"/>
          <w:szCs w:val="23"/>
        </w:rPr>
        <w:t>的重金属污染物主要为铜、铅、镉等。</w:t>
      </w:r>
    </w:p>
    <w:p w14:paraId="7149C504">
      <w:pPr>
        <w:spacing w:before="2" w:line="383" w:lineRule="auto"/>
        <w:ind w:left="32" w:right="87" w:firstLine="458"/>
        <w:rPr>
          <w:rFonts w:ascii="宋体" w:hAnsi="宋体" w:eastAsia="宋体" w:cs="宋体"/>
          <w:sz w:val="23"/>
          <w:szCs w:val="23"/>
        </w:rPr>
      </w:pPr>
      <w:r>
        <w:rPr>
          <w:rFonts w:ascii="宋体" w:hAnsi="宋体" w:eastAsia="宋体" w:cs="宋体"/>
          <w:spacing w:val="18"/>
          <w:sz w:val="23"/>
          <w:szCs w:val="23"/>
        </w:rPr>
        <w:t>本项</w:t>
      </w:r>
      <w:r>
        <w:rPr>
          <w:rFonts w:ascii="宋体" w:hAnsi="宋体" w:eastAsia="宋体" w:cs="宋体"/>
          <w:spacing w:val="14"/>
          <w:sz w:val="23"/>
          <w:szCs w:val="23"/>
        </w:rPr>
        <w:t>目</w:t>
      </w:r>
      <w:r>
        <w:rPr>
          <w:rFonts w:ascii="宋体" w:hAnsi="宋体" w:eastAsia="宋体" w:cs="宋体"/>
          <w:spacing w:val="9"/>
          <w:sz w:val="23"/>
          <w:szCs w:val="23"/>
        </w:rPr>
        <w:t>所用饲料采用正规大型公司生产的饲料，确保饲料从源头上控制对饲料</w:t>
      </w:r>
      <w:r>
        <w:rPr>
          <w:rFonts w:ascii="宋体" w:hAnsi="宋体" w:eastAsia="宋体" w:cs="宋体"/>
          <w:sz w:val="23"/>
          <w:szCs w:val="23"/>
        </w:rPr>
        <w:t xml:space="preserve"> </w:t>
      </w:r>
      <w:r>
        <w:rPr>
          <w:rFonts w:ascii="宋体" w:hAnsi="宋体" w:eastAsia="宋体" w:cs="宋体"/>
          <w:spacing w:val="13"/>
          <w:sz w:val="23"/>
          <w:szCs w:val="23"/>
        </w:rPr>
        <w:t>中</w:t>
      </w:r>
      <w:r>
        <w:rPr>
          <w:rFonts w:ascii="宋体" w:hAnsi="宋体" w:eastAsia="宋体" w:cs="宋体"/>
          <w:spacing w:val="9"/>
          <w:sz w:val="23"/>
          <w:szCs w:val="23"/>
        </w:rPr>
        <w:t>微量元素及重金属元素的添加，做到从源头上控制饲料中重金属元素的添加，严</w:t>
      </w:r>
    </w:p>
    <w:p w14:paraId="36181D52">
      <w:pPr>
        <w:sectPr>
          <w:headerReference r:id="rId219" w:type="default"/>
          <w:footerReference r:id="rId220" w:type="default"/>
          <w:pgSz w:w="11907" w:h="16840"/>
          <w:pgMar w:top="1153" w:right="1518" w:bottom="1485" w:left="1660" w:header="919" w:footer="1298" w:gutter="0"/>
          <w:cols w:space="720" w:num="1"/>
        </w:sectPr>
      </w:pPr>
    </w:p>
    <w:p w14:paraId="562997CC">
      <w:pPr>
        <w:spacing w:before="42" w:line="374" w:lineRule="auto"/>
        <w:ind w:left="11" w:right="109" w:hanging="1"/>
        <w:rPr>
          <w:rFonts w:ascii="宋体" w:hAnsi="宋体" w:eastAsia="宋体" w:cs="宋体"/>
          <w:sz w:val="23"/>
          <w:szCs w:val="23"/>
        </w:rPr>
      </w:pPr>
      <w:r>
        <w:rPr>
          <w:rFonts w:ascii="宋体" w:hAnsi="宋体" w:eastAsia="宋体" w:cs="宋体"/>
          <w:spacing w:val="18"/>
          <w:sz w:val="23"/>
          <w:szCs w:val="23"/>
        </w:rPr>
        <w:t>把饲</w:t>
      </w:r>
      <w:r>
        <w:rPr>
          <w:rFonts w:ascii="宋体" w:hAnsi="宋体" w:eastAsia="宋体" w:cs="宋体"/>
          <w:spacing w:val="17"/>
          <w:sz w:val="23"/>
          <w:szCs w:val="23"/>
        </w:rPr>
        <w:t>料</w:t>
      </w:r>
      <w:r>
        <w:rPr>
          <w:rFonts w:ascii="宋体" w:hAnsi="宋体" w:eastAsia="宋体" w:cs="宋体"/>
          <w:spacing w:val="9"/>
          <w:sz w:val="23"/>
          <w:szCs w:val="23"/>
        </w:rPr>
        <w:t>质量关，从源头控制有机肥中重金属元素的含量，降低对消纳区农田土壤重</w:t>
      </w:r>
      <w:r>
        <w:rPr>
          <w:rFonts w:ascii="宋体" w:hAnsi="宋体" w:eastAsia="宋体" w:cs="宋体"/>
          <w:sz w:val="23"/>
          <w:szCs w:val="23"/>
        </w:rPr>
        <w:t xml:space="preserve"> </w:t>
      </w:r>
      <w:r>
        <w:rPr>
          <w:rFonts w:ascii="宋体" w:hAnsi="宋体" w:eastAsia="宋体" w:cs="宋体"/>
          <w:spacing w:val="9"/>
          <w:sz w:val="23"/>
          <w:szCs w:val="23"/>
        </w:rPr>
        <w:t>金</w:t>
      </w:r>
      <w:r>
        <w:rPr>
          <w:rFonts w:ascii="宋体" w:hAnsi="宋体" w:eastAsia="宋体" w:cs="宋体"/>
          <w:spacing w:val="7"/>
          <w:sz w:val="23"/>
          <w:szCs w:val="23"/>
        </w:rPr>
        <w:t>属污染的风险。</w:t>
      </w:r>
    </w:p>
    <w:p w14:paraId="14B1521E">
      <w:pPr>
        <w:spacing w:line="226" w:lineRule="auto"/>
        <w:ind w:left="491"/>
        <w:rPr>
          <w:rFonts w:ascii="宋体" w:hAnsi="宋体" w:eastAsia="宋体" w:cs="宋体"/>
          <w:sz w:val="23"/>
          <w:szCs w:val="23"/>
        </w:rPr>
      </w:pPr>
      <w:r>
        <w:rPr>
          <w:rFonts w:ascii="宋体" w:hAnsi="宋体" w:eastAsia="宋体" w:cs="宋体"/>
          <w:spacing w:val="16"/>
          <w:sz w:val="23"/>
          <w:szCs w:val="23"/>
        </w:rPr>
        <w:t>本</w:t>
      </w:r>
      <w:r>
        <w:rPr>
          <w:rFonts w:ascii="宋体" w:hAnsi="宋体" w:eastAsia="宋体" w:cs="宋体"/>
          <w:spacing w:val="9"/>
          <w:sz w:val="23"/>
          <w:szCs w:val="23"/>
        </w:rPr>
        <w:t>项目营运过程出现土壤、地下水重金属污染现象的概率很小。</w:t>
      </w:r>
    </w:p>
    <w:p w14:paraId="71A7F6AD">
      <w:pPr>
        <w:spacing w:before="186" w:line="227" w:lineRule="auto"/>
        <w:ind w:left="501"/>
        <w:rPr>
          <w:rFonts w:ascii="宋体" w:hAnsi="宋体" w:eastAsia="宋体" w:cs="宋体"/>
          <w:sz w:val="23"/>
          <w:szCs w:val="23"/>
        </w:rPr>
      </w:pPr>
      <w:r>
        <w:rPr>
          <w:rFonts w:ascii="宋体" w:hAnsi="宋体" w:eastAsia="宋体" w:cs="宋体"/>
          <w:spacing w:val="14"/>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4"/>
          <w:sz w:val="23"/>
          <w:szCs w:val="23"/>
        </w:rPr>
        <w:t>2</w:t>
      </w:r>
      <w:r>
        <w:rPr>
          <w:rFonts w:ascii="宋体" w:hAnsi="宋体" w:eastAsia="宋体" w:cs="宋体"/>
          <w:spacing w:val="14"/>
          <w:sz w:val="23"/>
          <w:szCs w:val="23"/>
          <w14:textOutline w14:w="4356" w14:cap="sq" w14:cmpd="sng" w14:algn="ctr">
            <w14:solidFill>
              <w14:srgbClr w14:val="000000"/>
            </w14:solidFill>
            <w14:prstDash w14:val="solid"/>
            <w14:bevel/>
          </w14:textOutline>
        </w:rPr>
        <w:t>)</w:t>
      </w:r>
      <w:r>
        <w:rPr>
          <w:rFonts w:ascii="宋体" w:hAnsi="宋体" w:eastAsia="宋体" w:cs="宋体"/>
          <w:spacing w:val="14"/>
          <w:sz w:val="23"/>
          <w:szCs w:val="23"/>
        </w:rPr>
        <w:t xml:space="preserve"> </w:t>
      </w:r>
      <w:r>
        <w:rPr>
          <w:rFonts w:ascii="宋体" w:hAnsi="宋体" w:eastAsia="宋体" w:cs="宋体"/>
          <w:spacing w:val="14"/>
          <w:sz w:val="23"/>
          <w:szCs w:val="23"/>
          <w14:textOutline w14:w="4356" w14:cap="sq" w14:cmpd="sng" w14:algn="ctr">
            <w14:solidFill>
              <w14:srgbClr w14:val="000000"/>
            </w14:solidFill>
            <w14:prstDash w14:val="solid"/>
            <w14:bevel/>
          </w14:textOutline>
        </w:rPr>
        <w:t>对区域植被生物量、净生产量及固碳放氧量的影</w:t>
      </w:r>
      <w:r>
        <w:rPr>
          <w:rFonts w:ascii="宋体" w:hAnsi="宋体" w:eastAsia="宋体" w:cs="宋体"/>
          <w:spacing w:val="10"/>
          <w:sz w:val="23"/>
          <w:szCs w:val="23"/>
          <w14:textOutline w14:w="4356" w14:cap="sq" w14:cmpd="sng" w14:algn="ctr">
            <w14:solidFill>
              <w14:srgbClr w14:val="000000"/>
            </w14:solidFill>
            <w14:prstDash w14:val="solid"/>
            <w14:bevel/>
          </w14:textOutline>
        </w:rPr>
        <w:t>响</w:t>
      </w:r>
    </w:p>
    <w:p w14:paraId="53AF4A60">
      <w:pPr>
        <w:spacing w:before="187" w:line="374" w:lineRule="auto"/>
        <w:ind w:left="12" w:right="109" w:firstLine="481"/>
        <w:rPr>
          <w:rFonts w:ascii="宋体" w:hAnsi="宋体" w:eastAsia="宋体" w:cs="宋体"/>
          <w:sz w:val="23"/>
          <w:szCs w:val="23"/>
        </w:rPr>
      </w:pPr>
      <w:r>
        <w:rPr>
          <w:rFonts w:ascii="宋体" w:hAnsi="宋体" w:eastAsia="宋体" w:cs="宋体"/>
          <w:spacing w:val="18"/>
          <w:sz w:val="23"/>
          <w:szCs w:val="23"/>
        </w:rPr>
        <w:t>项目</w:t>
      </w:r>
      <w:r>
        <w:rPr>
          <w:rFonts w:ascii="宋体" w:hAnsi="宋体" w:eastAsia="宋体" w:cs="宋体"/>
          <w:spacing w:val="11"/>
          <w:sz w:val="23"/>
          <w:szCs w:val="23"/>
        </w:rPr>
        <w:t>区</w:t>
      </w:r>
      <w:r>
        <w:rPr>
          <w:rFonts w:ascii="宋体" w:hAnsi="宋体" w:eastAsia="宋体" w:cs="宋体"/>
          <w:spacing w:val="9"/>
          <w:sz w:val="23"/>
          <w:szCs w:val="23"/>
        </w:rPr>
        <w:t>域生态环境现状是以旱地、山体林地等生态系统为主的自然景观，项目</w:t>
      </w:r>
      <w:r>
        <w:rPr>
          <w:rFonts w:ascii="宋体" w:hAnsi="宋体" w:eastAsia="宋体" w:cs="宋体"/>
          <w:sz w:val="23"/>
          <w:szCs w:val="23"/>
        </w:rPr>
        <w:t xml:space="preserve"> </w:t>
      </w:r>
      <w:r>
        <w:rPr>
          <w:rFonts w:ascii="宋体" w:hAnsi="宋体" w:eastAsia="宋体" w:cs="宋体"/>
          <w:spacing w:val="18"/>
          <w:sz w:val="23"/>
          <w:szCs w:val="23"/>
        </w:rPr>
        <w:t>的开</w:t>
      </w:r>
      <w:r>
        <w:rPr>
          <w:rFonts w:ascii="宋体" w:hAnsi="宋体" w:eastAsia="宋体" w:cs="宋体"/>
          <w:spacing w:val="15"/>
          <w:sz w:val="23"/>
          <w:szCs w:val="23"/>
        </w:rPr>
        <w:t>发</w:t>
      </w:r>
      <w:r>
        <w:rPr>
          <w:rFonts w:ascii="宋体" w:hAnsi="宋体" w:eastAsia="宋体" w:cs="宋体"/>
          <w:spacing w:val="9"/>
          <w:sz w:val="23"/>
          <w:szCs w:val="23"/>
        </w:rPr>
        <w:t>建设，将在一定程度上改变原有自然景观，建设后将呈现良好的人文景观，</w:t>
      </w:r>
      <w:r>
        <w:rPr>
          <w:rFonts w:ascii="宋体" w:hAnsi="宋体" w:eastAsia="宋体" w:cs="宋体"/>
          <w:sz w:val="23"/>
          <w:szCs w:val="23"/>
        </w:rPr>
        <w:t xml:space="preserve"> </w:t>
      </w:r>
      <w:r>
        <w:rPr>
          <w:rFonts w:ascii="宋体" w:hAnsi="宋体" w:eastAsia="宋体" w:cs="宋体"/>
          <w:spacing w:val="18"/>
          <w:sz w:val="23"/>
          <w:szCs w:val="23"/>
        </w:rPr>
        <w:t>生物</w:t>
      </w:r>
      <w:r>
        <w:rPr>
          <w:rFonts w:ascii="宋体" w:hAnsi="宋体" w:eastAsia="宋体" w:cs="宋体"/>
          <w:spacing w:val="15"/>
          <w:sz w:val="23"/>
          <w:szCs w:val="23"/>
        </w:rPr>
        <w:t>量</w:t>
      </w:r>
      <w:r>
        <w:rPr>
          <w:rFonts w:ascii="宋体" w:hAnsi="宋体" w:eastAsia="宋体" w:cs="宋体"/>
          <w:spacing w:val="9"/>
          <w:sz w:val="23"/>
          <w:szCs w:val="23"/>
        </w:rPr>
        <w:t>也有所改变，景观类型的改变，对生态系统碳氧平衡产生一定的影响，项目</w:t>
      </w:r>
      <w:r>
        <w:rPr>
          <w:rFonts w:ascii="宋体" w:hAnsi="宋体" w:eastAsia="宋体" w:cs="宋体"/>
          <w:sz w:val="23"/>
          <w:szCs w:val="23"/>
        </w:rPr>
        <w:t xml:space="preserve"> </w:t>
      </w:r>
      <w:r>
        <w:rPr>
          <w:rFonts w:ascii="宋体" w:hAnsi="宋体" w:eastAsia="宋体" w:cs="宋体"/>
          <w:spacing w:val="18"/>
          <w:sz w:val="23"/>
          <w:szCs w:val="23"/>
        </w:rPr>
        <w:t>建成</w:t>
      </w:r>
      <w:r>
        <w:rPr>
          <w:rFonts w:ascii="宋体" w:hAnsi="宋体" w:eastAsia="宋体" w:cs="宋体"/>
          <w:spacing w:val="15"/>
          <w:sz w:val="23"/>
          <w:szCs w:val="23"/>
        </w:rPr>
        <w:t>后</w:t>
      </w:r>
      <w:r>
        <w:rPr>
          <w:rFonts w:ascii="宋体" w:hAnsi="宋体" w:eastAsia="宋体" w:cs="宋体"/>
          <w:spacing w:val="9"/>
          <w:sz w:val="23"/>
          <w:szCs w:val="23"/>
        </w:rPr>
        <w:t>，单位面积的生物量和净生产量均较以前有一定程度的影响，可以通过对厂</w:t>
      </w:r>
      <w:r>
        <w:rPr>
          <w:rFonts w:ascii="宋体" w:hAnsi="宋体" w:eastAsia="宋体" w:cs="宋体"/>
          <w:sz w:val="23"/>
          <w:szCs w:val="23"/>
        </w:rPr>
        <w:t xml:space="preserve"> </w:t>
      </w:r>
      <w:r>
        <w:rPr>
          <w:rFonts w:ascii="宋体" w:hAnsi="宋体" w:eastAsia="宋体" w:cs="宋体"/>
          <w:spacing w:val="18"/>
          <w:sz w:val="23"/>
          <w:szCs w:val="23"/>
        </w:rPr>
        <w:t>区</w:t>
      </w:r>
      <w:r>
        <w:rPr>
          <w:rFonts w:ascii="宋体" w:hAnsi="宋体" w:eastAsia="宋体" w:cs="宋体"/>
          <w:spacing w:val="16"/>
          <w:sz w:val="23"/>
          <w:szCs w:val="23"/>
        </w:rPr>
        <w:t>的</w:t>
      </w:r>
      <w:r>
        <w:rPr>
          <w:rFonts w:ascii="宋体" w:hAnsi="宋体" w:eastAsia="宋体" w:cs="宋体"/>
          <w:spacing w:val="9"/>
          <w:sz w:val="23"/>
          <w:szCs w:val="23"/>
        </w:rPr>
        <w:t>绿化进行弥补，项目造成的生物量、</w:t>
      </w:r>
      <w:r>
        <w:rPr>
          <w:rFonts w:ascii="Times New Roman" w:hAnsi="Times New Roman" w:eastAsia="Times New Roman" w:cs="Times New Roman"/>
          <w:sz w:val="23"/>
          <w:szCs w:val="23"/>
        </w:rPr>
        <w:t>CO</w:t>
      </w:r>
      <w:r>
        <w:rPr>
          <w:rFonts w:ascii="Times New Roman" w:hAnsi="Times New Roman" w:eastAsia="Times New Roman" w:cs="Times New Roman"/>
          <w:spacing w:val="9"/>
          <w:position w:val="-1"/>
          <w:sz w:val="15"/>
          <w:szCs w:val="15"/>
        </w:rPr>
        <w:t>2</w:t>
      </w:r>
      <w:r>
        <w:rPr>
          <w:rFonts w:ascii="宋体" w:hAnsi="宋体" w:eastAsia="宋体" w:cs="宋体"/>
          <w:spacing w:val="9"/>
          <w:sz w:val="23"/>
          <w:szCs w:val="23"/>
        </w:rPr>
        <w:t>净化量和</w:t>
      </w:r>
      <w:r>
        <w:rPr>
          <w:rFonts w:ascii="Times New Roman" w:hAnsi="Times New Roman" w:eastAsia="Times New Roman" w:cs="Times New Roman"/>
          <w:sz w:val="23"/>
          <w:szCs w:val="23"/>
        </w:rPr>
        <w:t>O</w:t>
      </w:r>
      <w:r>
        <w:rPr>
          <w:rFonts w:ascii="Times New Roman" w:hAnsi="Times New Roman" w:eastAsia="Times New Roman" w:cs="Times New Roman"/>
          <w:spacing w:val="9"/>
          <w:position w:val="-1"/>
          <w:sz w:val="15"/>
          <w:szCs w:val="15"/>
        </w:rPr>
        <w:t>2</w:t>
      </w:r>
      <w:r>
        <w:rPr>
          <w:rFonts w:ascii="宋体" w:hAnsi="宋体" w:eastAsia="宋体" w:cs="宋体"/>
          <w:spacing w:val="9"/>
          <w:sz w:val="23"/>
          <w:szCs w:val="23"/>
        </w:rPr>
        <w:t>释放量的变化不大。</w:t>
      </w:r>
    </w:p>
    <w:p w14:paraId="06C524B6">
      <w:pPr>
        <w:spacing w:line="227" w:lineRule="auto"/>
        <w:ind w:left="501"/>
        <w:rPr>
          <w:rFonts w:ascii="宋体" w:hAnsi="宋体" w:eastAsia="宋体" w:cs="宋体"/>
          <w:sz w:val="23"/>
          <w:szCs w:val="23"/>
        </w:rPr>
      </w:pP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6"/>
          <w:sz w:val="23"/>
          <w:szCs w:val="23"/>
        </w:rPr>
        <w:t>3</w:t>
      </w:r>
      <w:r>
        <w:rPr>
          <w:rFonts w:ascii="宋体" w:hAnsi="宋体" w:eastAsia="宋体" w:cs="宋体"/>
          <w:spacing w:val="16"/>
          <w:sz w:val="23"/>
          <w:szCs w:val="23"/>
          <w14:textOutline w14:w="4356" w14:cap="sq" w14:cmpd="sng" w14:algn="ctr">
            <w14:solidFill>
              <w14:srgbClr w14:val="000000"/>
            </w14:solidFill>
            <w14:prstDash w14:val="solid"/>
            <w14:bevel/>
          </w14:textOutline>
        </w:rPr>
        <w:t>)</w:t>
      </w:r>
      <w:r>
        <w:rPr>
          <w:rFonts w:ascii="宋体" w:hAnsi="宋体" w:eastAsia="宋体" w:cs="宋体"/>
          <w:spacing w:val="16"/>
          <w:sz w:val="23"/>
          <w:szCs w:val="23"/>
        </w:rPr>
        <w:t xml:space="preserve"> </w:t>
      </w:r>
      <w:r>
        <w:rPr>
          <w:rFonts w:ascii="宋体" w:hAnsi="宋体" w:eastAsia="宋体" w:cs="宋体"/>
          <w:spacing w:val="16"/>
          <w:sz w:val="23"/>
          <w:szCs w:val="23"/>
          <w14:textOutline w14:w="4356" w14:cap="sq" w14:cmpd="sng" w14:algn="ctr">
            <w14:solidFill>
              <w14:srgbClr w14:val="000000"/>
            </w14:solidFill>
            <w14:prstDash w14:val="solid"/>
            <w14:bevel/>
          </w14:textOutline>
        </w:rPr>
        <w:t>对生态服务功能的影响</w:t>
      </w:r>
    </w:p>
    <w:p w14:paraId="541E19CE">
      <w:pPr>
        <w:spacing w:before="184" w:line="375" w:lineRule="auto"/>
        <w:ind w:left="10" w:right="2" w:firstLine="509"/>
        <w:rPr>
          <w:rFonts w:ascii="宋体" w:hAnsi="宋体" w:eastAsia="宋体" w:cs="宋体"/>
          <w:sz w:val="23"/>
          <w:szCs w:val="23"/>
        </w:rPr>
      </w:pPr>
      <w:r>
        <w:rPr>
          <w:rFonts w:ascii="宋体" w:hAnsi="宋体" w:eastAsia="宋体" w:cs="宋体"/>
          <w:spacing w:val="9"/>
          <w:sz w:val="23"/>
          <w:szCs w:val="23"/>
        </w:rPr>
        <w:t>由于项目区域以农业生态系统的人工植被为主，受人类干扰较为严重，主要</w:t>
      </w:r>
      <w:r>
        <w:rPr>
          <w:rFonts w:ascii="宋体" w:hAnsi="宋体" w:eastAsia="宋体" w:cs="宋体"/>
          <w:spacing w:val="4"/>
          <w:sz w:val="23"/>
          <w:szCs w:val="23"/>
        </w:rPr>
        <w:t>生</w:t>
      </w:r>
      <w:r>
        <w:rPr>
          <w:rFonts w:ascii="宋体" w:hAnsi="宋体" w:eastAsia="宋体" w:cs="宋体"/>
          <w:sz w:val="23"/>
          <w:szCs w:val="23"/>
        </w:rPr>
        <w:t xml:space="preserve"> </w:t>
      </w:r>
      <w:r>
        <w:rPr>
          <w:rFonts w:ascii="宋体" w:hAnsi="宋体" w:eastAsia="宋体" w:cs="宋体"/>
          <w:spacing w:val="18"/>
          <w:sz w:val="23"/>
          <w:szCs w:val="23"/>
        </w:rPr>
        <w:t>态服</w:t>
      </w:r>
      <w:r>
        <w:rPr>
          <w:rFonts w:ascii="宋体" w:hAnsi="宋体" w:eastAsia="宋体" w:cs="宋体"/>
          <w:spacing w:val="17"/>
          <w:sz w:val="23"/>
          <w:szCs w:val="23"/>
        </w:rPr>
        <w:t>务</w:t>
      </w:r>
      <w:r>
        <w:rPr>
          <w:rFonts w:ascii="宋体" w:hAnsi="宋体" w:eastAsia="宋体" w:cs="宋体"/>
          <w:spacing w:val="9"/>
          <w:sz w:val="23"/>
          <w:szCs w:val="23"/>
        </w:rPr>
        <w:t>功能是为人们提供植物产品，与周围生态环境相比，评价区域这部分生态服</w:t>
      </w:r>
      <w:r>
        <w:rPr>
          <w:rFonts w:ascii="宋体" w:hAnsi="宋体" w:eastAsia="宋体" w:cs="宋体"/>
          <w:sz w:val="23"/>
          <w:szCs w:val="23"/>
        </w:rPr>
        <w:t xml:space="preserve"> </w:t>
      </w:r>
      <w:r>
        <w:rPr>
          <w:rFonts w:ascii="宋体" w:hAnsi="宋体" w:eastAsia="宋体" w:cs="宋体"/>
          <w:spacing w:val="11"/>
          <w:sz w:val="23"/>
          <w:szCs w:val="23"/>
        </w:rPr>
        <w:t>务</w:t>
      </w:r>
      <w:r>
        <w:rPr>
          <w:rFonts w:ascii="宋体" w:hAnsi="宋体" w:eastAsia="宋体" w:cs="宋体"/>
          <w:spacing w:val="6"/>
          <w:sz w:val="23"/>
          <w:szCs w:val="23"/>
        </w:rPr>
        <w:t>功能不是主要功能。在项目开发过程中，将加大绿化程度，绿化物种主要以乔木、</w:t>
      </w:r>
      <w:r>
        <w:rPr>
          <w:rFonts w:ascii="宋体" w:hAnsi="宋体" w:eastAsia="宋体" w:cs="宋体"/>
          <w:sz w:val="23"/>
          <w:szCs w:val="23"/>
        </w:rPr>
        <w:t xml:space="preserve"> </w:t>
      </w:r>
      <w:r>
        <w:rPr>
          <w:rFonts w:ascii="宋体" w:hAnsi="宋体" w:eastAsia="宋体" w:cs="宋体"/>
          <w:spacing w:val="18"/>
          <w:sz w:val="23"/>
          <w:szCs w:val="23"/>
        </w:rPr>
        <w:t>灌木</w:t>
      </w:r>
      <w:r>
        <w:rPr>
          <w:rFonts w:ascii="宋体" w:hAnsi="宋体" w:eastAsia="宋体" w:cs="宋体"/>
          <w:spacing w:val="17"/>
          <w:sz w:val="23"/>
          <w:szCs w:val="23"/>
        </w:rPr>
        <w:t>为</w:t>
      </w:r>
      <w:r>
        <w:rPr>
          <w:rFonts w:ascii="宋体" w:hAnsi="宋体" w:eastAsia="宋体" w:cs="宋体"/>
          <w:spacing w:val="9"/>
          <w:sz w:val="23"/>
          <w:szCs w:val="23"/>
        </w:rPr>
        <w:t>主，注意区域的绿化建设，并注意绿地建设中的植物搭配及植被改造，但区</w:t>
      </w:r>
      <w:r>
        <w:rPr>
          <w:rFonts w:ascii="宋体" w:hAnsi="宋体" w:eastAsia="宋体" w:cs="宋体"/>
          <w:sz w:val="23"/>
          <w:szCs w:val="23"/>
        </w:rPr>
        <w:t xml:space="preserve"> </w:t>
      </w:r>
      <w:r>
        <w:rPr>
          <w:rFonts w:ascii="宋体" w:hAnsi="宋体" w:eastAsia="宋体" w:cs="宋体"/>
          <w:spacing w:val="18"/>
          <w:sz w:val="23"/>
          <w:szCs w:val="23"/>
        </w:rPr>
        <w:t>域</w:t>
      </w:r>
      <w:r>
        <w:rPr>
          <w:rFonts w:ascii="宋体" w:hAnsi="宋体" w:eastAsia="宋体" w:cs="宋体"/>
          <w:spacing w:val="16"/>
          <w:sz w:val="23"/>
          <w:szCs w:val="23"/>
        </w:rPr>
        <w:t>陆</w:t>
      </w:r>
      <w:r>
        <w:rPr>
          <w:rFonts w:ascii="宋体" w:hAnsi="宋体" w:eastAsia="宋体" w:cs="宋体"/>
          <w:spacing w:val="9"/>
          <w:sz w:val="23"/>
          <w:szCs w:val="23"/>
        </w:rPr>
        <w:t>地的生物多样性将较之以前变化不大，生态系统服务功能也不会有太大改变。</w:t>
      </w:r>
    </w:p>
    <w:p w14:paraId="21D0DCD0">
      <w:pPr>
        <w:spacing w:line="227" w:lineRule="auto"/>
        <w:ind w:left="501"/>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5"/>
          <w:sz w:val="23"/>
          <w:szCs w:val="23"/>
        </w:rPr>
        <w:t>4</w:t>
      </w:r>
      <w:r>
        <w:rPr>
          <w:rFonts w:ascii="宋体" w:hAnsi="宋体" w:eastAsia="宋体" w:cs="宋体"/>
          <w:spacing w:val="15"/>
          <w:sz w:val="23"/>
          <w:szCs w:val="23"/>
          <w14:textOutline w14:w="4356" w14:cap="sq" w14:cmpd="sng" w14:algn="ctr">
            <w14:solidFill>
              <w14:srgbClr w14:val="000000"/>
            </w14:solidFill>
            <w14:prstDash w14:val="solid"/>
            <w14:bevel/>
          </w14:textOutline>
        </w:rPr>
        <w:t>)</w:t>
      </w:r>
      <w:r>
        <w:rPr>
          <w:rFonts w:ascii="宋体" w:hAnsi="宋体" w:eastAsia="宋体" w:cs="宋体"/>
          <w:spacing w:val="15"/>
          <w:sz w:val="23"/>
          <w:szCs w:val="23"/>
        </w:rPr>
        <w:t xml:space="preserve"> </w:t>
      </w:r>
      <w:r>
        <w:rPr>
          <w:rFonts w:ascii="宋体" w:hAnsi="宋体" w:eastAsia="宋体" w:cs="宋体"/>
          <w:spacing w:val="15"/>
          <w:sz w:val="23"/>
          <w:szCs w:val="23"/>
          <w14:textOutline w14:w="4356" w14:cap="sq" w14:cmpd="sng" w14:algn="ctr">
            <w14:solidFill>
              <w14:srgbClr w14:val="000000"/>
            </w14:solidFill>
            <w14:prstDash w14:val="solid"/>
            <w14:bevel/>
          </w14:textOutline>
        </w:rPr>
        <w:t>项目运输过程环境影响分析</w:t>
      </w:r>
    </w:p>
    <w:p w14:paraId="64B3DD65">
      <w:pPr>
        <w:spacing w:before="182" w:line="375" w:lineRule="auto"/>
        <w:ind w:left="9" w:right="82" w:firstLine="484"/>
        <w:rPr>
          <w:rFonts w:ascii="宋体" w:hAnsi="宋体" w:eastAsia="宋体" w:cs="宋体"/>
          <w:sz w:val="23"/>
          <w:szCs w:val="23"/>
        </w:rPr>
      </w:pPr>
      <w:r>
        <w:rPr>
          <w:rFonts w:ascii="宋体" w:hAnsi="宋体" w:eastAsia="宋体" w:cs="宋体"/>
          <w:spacing w:val="20"/>
          <w:sz w:val="23"/>
          <w:szCs w:val="23"/>
        </w:rPr>
        <w:t>项</w:t>
      </w:r>
      <w:r>
        <w:rPr>
          <w:rFonts w:ascii="宋体" w:hAnsi="宋体" w:eastAsia="宋体" w:cs="宋体"/>
          <w:spacing w:val="10"/>
          <w:sz w:val="23"/>
          <w:szCs w:val="23"/>
        </w:rPr>
        <w:t>目原辅材料及产品的运输主要依靠场区西面的乡道及村道。运输过程中，在</w:t>
      </w:r>
      <w:r>
        <w:rPr>
          <w:rFonts w:ascii="宋体" w:hAnsi="宋体" w:eastAsia="宋体" w:cs="宋体"/>
          <w:sz w:val="23"/>
          <w:szCs w:val="23"/>
        </w:rPr>
        <w:t xml:space="preserve"> </w:t>
      </w:r>
      <w:r>
        <w:rPr>
          <w:rFonts w:ascii="宋体" w:hAnsi="宋体" w:eastAsia="宋体" w:cs="宋体"/>
          <w:spacing w:val="20"/>
          <w:sz w:val="23"/>
          <w:szCs w:val="23"/>
        </w:rPr>
        <w:t>干</w:t>
      </w:r>
      <w:r>
        <w:rPr>
          <w:rFonts w:ascii="宋体" w:hAnsi="宋体" w:eastAsia="宋体" w:cs="宋体"/>
          <w:spacing w:val="17"/>
          <w:sz w:val="23"/>
          <w:szCs w:val="23"/>
        </w:rPr>
        <w:t>燥</w:t>
      </w:r>
      <w:r>
        <w:rPr>
          <w:rFonts w:ascii="宋体" w:hAnsi="宋体" w:eastAsia="宋体" w:cs="宋体"/>
          <w:spacing w:val="10"/>
          <w:sz w:val="23"/>
          <w:szCs w:val="23"/>
        </w:rPr>
        <w:t>天气下会因车辆行驶带起许多扬尘；在雨天气候条件下，车辆进出，会从便道</w:t>
      </w:r>
      <w:r>
        <w:rPr>
          <w:rFonts w:ascii="宋体" w:hAnsi="宋体" w:eastAsia="宋体" w:cs="宋体"/>
          <w:sz w:val="23"/>
          <w:szCs w:val="23"/>
        </w:rPr>
        <w:t xml:space="preserve"> </w:t>
      </w:r>
      <w:r>
        <w:rPr>
          <w:rFonts w:ascii="宋体" w:hAnsi="宋体" w:eastAsia="宋体" w:cs="宋体"/>
          <w:spacing w:val="20"/>
          <w:sz w:val="23"/>
          <w:szCs w:val="23"/>
        </w:rPr>
        <w:t>上</w:t>
      </w:r>
      <w:r>
        <w:rPr>
          <w:rFonts w:ascii="宋体" w:hAnsi="宋体" w:eastAsia="宋体" w:cs="宋体"/>
          <w:spacing w:val="17"/>
          <w:sz w:val="23"/>
          <w:szCs w:val="23"/>
        </w:rPr>
        <w:t>带</w:t>
      </w:r>
      <w:r>
        <w:rPr>
          <w:rFonts w:ascii="宋体" w:hAnsi="宋体" w:eastAsia="宋体" w:cs="宋体"/>
          <w:spacing w:val="10"/>
          <w:sz w:val="23"/>
          <w:szCs w:val="23"/>
        </w:rPr>
        <w:t>出许多泥土，影响公路路面清洁，干燥后会产生扬尘污染。只要项目在运输工</w:t>
      </w:r>
      <w:r>
        <w:rPr>
          <w:rFonts w:ascii="宋体" w:hAnsi="宋体" w:eastAsia="宋体" w:cs="宋体"/>
          <w:sz w:val="23"/>
          <w:szCs w:val="23"/>
        </w:rPr>
        <w:t xml:space="preserve"> </w:t>
      </w:r>
      <w:r>
        <w:rPr>
          <w:rFonts w:ascii="宋体" w:hAnsi="宋体" w:eastAsia="宋体" w:cs="宋体"/>
          <w:spacing w:val="20"/>
          <w:sz w:val="23"/>
          <w:szCs w:val="23"/>
        </w:rPr>
        <w:t>程</w:t>
      </w:r>
      <w:r>
        <w:rPr>
          <w:rFonts w:ascii="宋体" w:hAnsi="宋体" w:eastAsia="宋体" w:cs="宋体"/>
          <w:spacing w:val="17"/>
          <w:sz w:val="23"/>
          <w:szCs w:val="23"/>
        </w:rPr>
        <w:t>中</w:t>
      </w:r>
      <w:r>
        <w:rPr>
          <w:rFonts w:ascii="宋体" w:hAnsi="宋体" w:eastAsia="宋体" w:cs="宋体"/>
          <w:spacing w:val="10"/>
          <w:sz w:val="23"/>
          <w:szCs w:val="23"/>
        </w:rPr>
        <w:t>采取注意控制车速、禁鸣喇叭、合理安排运输时段、定期洒水降尘等措施，可</w:t>
      </w:r>
      <w:r>
        <w:rPr>
          <w:rFonts w:ascii="宋体" w:hAnsi="宋体" w:eastAsia="宋体" w:cs="宋体"/>
          <w:sz w:val="23"/>
          <w:szCs w:val="23"/>
        </w:rPr>
        <w:t xml:space="preserve"> </w:t>
      </w:r>
      <w:r>
        <w:rPr>
          <w:rFonts w:ascii="宋体" w:hAnsi="宋体" w:eastAsia="宋体" w:cs="宋体"/>
          <w:spacing w:val="15"/>
          <w:sz w:val="23"/>
          <w:szCs w:val="23"/>
        </w:rPr>
        <w:t>减</w:t>
      </w:r>
      <w:r>
        <w:rPr>
          <w:rFonts w:ascii="宋体" w:hAnsi="宋体" w:eastAsia="宋体" w:cs="宋体"/>
          <w:spacing w:val="9"/>
          <w:sz w:val="23"/>
          <w:szCs w:val="23"/>
        </w:rPr>
        <w:t>轻项目运输产生的交通噪声及扬尘对周围环境的影响。</w:t>
      </w:r>
    </w:p>
    <w:p w14:paraId="6341509E">
      <w:pPr>
        <w:spacing w:line="227" w:lineRule="auto"/>
        <w:ind w:left="494"/>
        <w:rPr>
          <w:rFonts w:ascii="宋体" w:hAnsi="宋体" w:eastAsia="宋体" w:cs="宋体"/>
          <w:sz w:val="23"/>
          <w:szCs w:val="23"/>
        </w:rPr>
      </w:pPr>
      <w:r>
        <w:rPr>
          <w:rFonts w:ascii="宋体" w:hAnsi="宋体" w:eastAsia="宋体" w:cs="宋体"/>
          <w:spacing w:val="20"/>
          <w:sz w:val="23"/>
          <w:szCs w:val="23"/>
        </w:rPr>
        <w:t>项</w:t>
      </w:r>
      <w:r>
        <w:rPr>
          <w:rFonts w:ascii="宋体" w:hAnsi="宋体" w:eastAsia="宋体" w:cs="宋体"/>
          <w:spacing w:val="10"/>
          <w:sz w:val="23"/>
          <w:szCs w:val="23"/>
        </w:rPr>
        <w:t>目场区内外猪只运输、有机肥运输、养殖粪水运输等，若不采取一定防护措</w:t>
      </w:r>
    </w:p>
    <w:p w14:paraId="5BBEB0F0">
      <w:pPr>
        <w:spacing w:before="182" w:line="375" w:lineRule="auto"/>
        <w:ind w:left="10" w:right="2" w:hanging="1"/>
        <w:rPr>
          <w:rFonts w:ascii="宋体" w:hAnsi="宋体" w:eastAsia="宋体" w:cs="宋体"/>
          <w:sz w:val="23"/>
          <w:szCs w:val="23"/>
        </w:rPr>
      </w:pPr>
      <w:r>
        <w:rPr>
          <w:rFonts w:ascii="宋体" w:hAnsi="宋体" w:eastAsia="宋体" w:cs="宋体"/>
          <w:spacing w:val="20"/>
          <w:sz w:val="23"/>
          <w:szCs w:val="23"/>
        </w:rPr>
        <w:t>施</w:t>
      </w:r>
      <w:r>
        <w:rPr>
          <w:rFonts w:ascii="宋体" w:hAnsi="宋体" w:eastAsia="宋体" w:cs="宋体"/>
          <w:spacing w:val="15"/>
          <w:sz w:val="23"/>
          <w:szCs w:val="23"/>
        </w:rPr>
        <w:t>，</w:t>
      </w:r>
      <w:r>
        <w:rPr>
          <w:rFonts w:ascii="宋体" w:hAnsi="宋体" w:eastAsia="宋体" w:cs="宋体"/>
          <w:spacing w:val="10"/>
          <w:sz w:val="23"/>
          <w:szCs w:val="23"/>
        </w:rPr>
        <w:t>有可能造成臭气漏失排放污染周围空气，有机肥散落可能会造成二次污染。因</w:t>
      </w:r>
      <w:r>
        <w:rPr>
          <w:rFonts w:ascii="宋体" w:hAnsi="宋体" w:eastAsia="宋体" w:cs="宋体"/>
          <w:sz w:val="23"/>
          <w:szCs w:val="23"/>
        </w:rPr>
        <w:t xml:space="preserve"> </w:t>
      </w:r>
      <w:r>
        <w:rPr>
          <w:rFonts w:ascii="宋体" w:hAnsi="宋体" w:eastAsia="宋体" w:cs="宋体"/>
          <w:spacing w:val="10"/>
          <w:sz w:val="23"/>
          <w:szCs w:val="23"/>
        </w:rPr>
        <w:t>此</w:t>
      </w:r>
      <w:r>
        <w:rPr>
          <w:rFonts w:ascii="宋体" w:hAnsi="宋体" w:eastAsia="宋体" w:cs="宋体"/>
          <w:spacing w:val="6"/>
          <w:sz w:val="23"/>
          <w:szCs w:val="23"/>
        </w:rPr>
        <w:t>，运输车辆必须做好防漏措施，密闭运输，严禁抛洒，避免对运输线路造成影响。</w:t>
      </w:r>
    </w:p>
    <w:p w14:paraId="3D96C479">
      <w:pPr>
        <w:spacing w:line="228" w:lineRule="auto"/>
        <w:ind w:left="501"/>
        <w:rPr>
          <w:rFonts w:ascii="宋体" w:hAnsi="宋体" w:eastAsia="宋体" w:cs="宋体"/>
          <w:sz w:val="23"/>
          <w:szCs w:val="23"/>
        </w:rPr>
      </w:pP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7"/>
          <w:sz w:val="23"/>
          <w:szCs w:val="23"/>
        </w:rPr>
        <w:t>5</w:t>
      </w:r>
      <w:r>
        <w:rPr>
          <w:rFonts w:ascii="宋体" w:hAnsi="宋体" w:eastAsia="宋体" w:cs="宋体"/>
          <w:spacing w:val="17"/>
          <w:sz w:val="23"/>
          <w:szCs w:val="23"/>
          <w14:textOutline w14:w="4356" w14:cap="sq" w14:cmpd="sng" w14:algn="ctr">
            <w14:solidFill>
              <w14:srgbClr w14:val="000000"/>
            </w14:solidFill>
            <w14:prstDash w14:val="solid"/>
            <w14:bevel/>
          </w14:textOutline>
        </w:rPr>
        <w:t>)</w:t>
      </w:r>
      <w:r>
        <w:rPr>
          <w:rFonts w:ascii="宋体" w:hAnsi="宋体" w:eastAsia="宋体" w:cs="宋体"/>
          <w:spacing w:val="17"/>
          <w:sz w:val="23"/>
          <w:szCs w:val="23"/>
        </w:rPr>
        <w:t xml:space="preserve"> </w:t>
      </w:r>
      <w:r>
        <w:rPr>
          <w:rFonts w:ascii="宋体" w:hAnsi="宋体" w:eastAsia="宋体" w:cs="宋体"/>
          <w:spacing w:val="17"/>
          <w:sz w:val="23"/>
          <w:szCs w:val="23"/>
          <w14:textOutline w14:w="4356" w14:cap="sq" w14:cmpd="sng" w14:algn="ctr">
            <w14:solidFill>
              <w14:srgbClr w14:val="000000"/>
            </w14:solidFill>
            <w14:prstDash w14:val="solid"/>
            <w14:bevel/>
          </w14:textOutline>
        </w:rPr>
        <w:t>卫生防疫影响分析</w:t>
      </w:r>
    </w:p>
    <w:p w14:paraId="5BFC3544">
      <w:pPr>
        <w:spacing w:before="185" w:line="374" w:lineRule="auto"/>
        <w:ind w:left="9" w:firstLine="480"/>
        <w:rPr>
          <w:rFonts w:ascii="宋体" w:hAnsi="宋体" w:eastAsia="宋体" w:cs="宋体"/>
          <w:sz w:val="23"/>
          <w:szCs w:val="23"/>
        </w:rPr>
      </w:pPr>
      <w:r>
        <w:rPr>
          <w:rFonts w:ascii="宋体" w:hAnsi="宋体" w:eastAsia="宋体" w:cs="宋体"/>
          <w:spacing w:val="20"/>
          <w:sz w:val="23"/>
          <w:szCs w:val="23"/>
        </w:rPr>
        <w:t>集</w:t>
      </w:r>
      <w:r>
        <w:rPr>
          <w:rFonts w:ascii="宋体" w:hAnsi="宋体" w:eastAsia="宋体" w:cs="宋体"/>
          <w:spacing w:val="16"/>
          <w:sz w:val="23"/>
          <w:szCs w:val="23"/>
        </w:rPr>
        <w:t>约</w:t>
      </w:r>
      <w:r>
        <w:rPr>
          <w:rFonts w:ascii="宋体" w:hAnsi="宋体" w:eastAsia="宋体" w:cs="宋体"/>
          <w:spacing w:val="10"/>
          <w:sz w:val="23"/>
          <w:szCs w:val="23"/>
        </w:rPr>
        <w:t>化猪场养殖规模大、密度高、传播速度快，疾病威胁严重，一旦发生很难</w:t>
      </w:r>
      <w:r>
        <w:rPr>
          <w:rFonts w:ascii="宋体" w:hAnsi="宋体" w:eastAsia="宋体" w:cs="宋体"/>
          <w:sz w:val="23"/>
          <w:szCs w:val="23"/>
        </w:rPr>
        <w:t xml:space="preserve"> </w:t>
      </w:r>
      <w:r>
        <w:rPr>
          <w:rFonts w:ascii="宋体" w:hAnsi="宋体" w:eastAsia="宋体" w:cs="宋体"/>
          <w:spacing w:val="12"/>
          <w:sz w:val="23"/>
          <w:szCs w:val="23"/>
        </w:rPr>
        <w:t>控</w:t>
      </w:r>
      <w:r>
        <w:rPr>
          <w:rFonts w:ascii="宋体" w:hAnsi="宋体" w:eastAsia="宋体" w:cs="宋体"/>
          <w:spacing w:val="8"/>
          <w:sz w:val="23"/>
          <w:szCs w:val="23"/>
        </w:rPr>
        <w:t>制</w:t>
      </w:r>
      <w:r>
        <w:rPr>
          <w:rFonts w:ascii="宋体" w:hAnsi="宋体" w:eastAsia="宋体" w:cs="宋体"/>
          <w:spacing w:val="6"/>
          <w:sz w:val="23"/>
          <w:szCs w:val="23"/>
        </w:rPr>
        <w:t>，可直接导致牲畜死亡、产品低劣、产量下降，防治费用增加，经济损失巨大。</w:t>
      </w:r>
      <w:r>
        <w:rPr>
          <w:rFonts w:ascii="宋体" w:hAnsi="宋体" w:eastAsia="宋体" w:cs="宋体"/>
          <w:sz w:val="23"/>
          <w:szCs w:val="23"/>
        </w:rPr>
        <w:t xml:space="preserve"> </w:t>
      </w:r>
      <w:r>
        <w:rPr>
          <w:rFonts w:ascii="宋体" w:hAnsi="宋体" w:eastAsia="宋体" w:cs="宋体"/>
          <w:spacing w:val="9"/>
          <w:sz w:val="23"/>
          <w:szCs w:val="23"/>
        </w:rPr>
        <w:t>因此，建设单位应积极做好卫生防疫工作。</w:t>
      </w:r>
    </w:p>
    <w:p w14:paraId="75944D56">
      <w:pPr>
        <w:spacing w:before="1" w:line="226" w:lineRule="auto"/>
        <w:ind w:left="491"/>
        <w:rPr>
          <w:rFonts w:ascii="宋体" w:hAnsi="宋体" w:eastAsia="宋体" w:cs="宋体"/>
          <w:sz w:val="23"/>
          <w:szCs w:val="23"/>
        </w:rPr>
      </w:pPr>
      <w:r>
        <w:rPr>
          <w:rFonts w:ascii="宋体" w:hAnsi="宋体" w:eastAsia="宋体" w:cs="宋体"/>
          <w:spacing w:val="16"/>
          <w:sz w:val="23"/>
          <w:szCs w:val="23"/>
        </w:rPr>
        <w:t>本</w:t>
      </w:r>
      <w:r>
        <w:rPr>
          <w:rFonts w:ascii="宋体" w:hAnsi="宋体" w:eastAsia="宋体" w:cs="宋体"/>
          <w:spacing w:val="11"/>
          <w:sz w:val="23"/>
          <w:szCs w:val="23"/>
        </w:rPr>
        <w:t>项</w:t>
      </w:r>
      <w:r>
        <w:rPr>
          <w:rFonts w:ascii="宋体" w:hAnsi="宋体" w:eastAsia="宋体" w:cs="宋体"/>
          <w:spacing w:val="8"/>
          <w:sz w:val="23"/>
          <w:szCs w:val="23"/>
        </w:rPr>
        <w:t>目采取以下措施进行卫生防疫：</w:t>
      </w:r>
    </w:p>
    <w:p w14:paraId="5567E210">
      <w:pPr>
        <w:spacing w:before="186" w:line="225" w:lineRule="auto"/>
        <w:ind w:left="489"/>
        <w:rPr>
          <w:rFonts w:ascii="宋体" w:hAnsi="宋体" w:eastAsia="宋体" w:cs="宋体"/>
          <w:sz w:val="23"/>
          <w:szCs w:val="23"/>
        </w:rPr>
      </w:pPr>
      <w:r>
        <w:rPr>
          <w:rFonts w:ascii="宋体" w:hAnsi="宋体" w:eastAsia="宋体" w:cs="宋体"/>
          <w:spacing w:val="18"/>
          <w:sz w:val="23"/>
          <w:szCs w:val="23"/>
        </w:rPr>
        <w:t>①</w:t>
      </w:r>
      <w:r>
        <w:rPr>
          <w:rFonts w:ascii="宋体" w:hAnsi="宋体" w:eastAsia="宋体" w:cs="宋体"/>
          <w:spacing w:val="13"/>
          <w:sz w:val="23"/>
          <w:szCs w:val="23"/>
        </w:rPr>
        <w:t>按</w:t>
      </w:r>
      <w:r>
        <w:rPr>
          <w:rFonts w:ascii="宋体" w:hAnsi="宋体" w:eastAsia="宋体" w:cs="宋体"/>
          <w:spacing w:val="9"/>
          <w:sz w:val="23"/>
          <w:szCs w:val="23"/>
        </w:rPr>
        <w:t>照生物安全防疫法规的要求结合地形实行全封闭管理，与外界隔离。</w:t>
      </w:r>
    </w:p>
    <w:p w14:paraId="0D58698A">
      <w:pPr>
        <w:sectPr>
          <w:headerReference r:id="rId221" w:type="default"/>
          <w:footerReference r:id="rId222" w:type="default"/>
          <w:pgSz w:w="11907" w:h="16840"/>
          <w:pgMar w:top="1153" w:right="1497" w:bottom="1485" w:left="1660" w:header="919" w:footer="1298" w:gutter="0"/>
          <w:cols w:space="720" w:num="1"/>
        </w:sectPr>
      </w:pPr>
    </w:p>
    <w:p w14:paraId="13D591ED">
      <w:pPr>
        <w:spacing w:before="42" w:line="374" w:lineRule="auto"/>
        <w:ind w:left="10" w:right="171" w:firstLine="478"/>
        <w:rPr>
          <w:rFonts w:ascii="宋体" w:hAnsi="宋体" w:eastAsia="宋体" w:cs="宋体"/>
          <w:sz w:val="23"/>
          <w:szCs w:val="23"/>
        </w:rPr>
      </w:pPr>
      <w:r>
        <w:rPr>
          <w:rFonts w:ascii="宋体" w:hAnsi="宋体" w:eastAsia="宋体" w:cs="宋体"/>
          <w:spacing w:val="8"/>
          <w:sz w:val="23"/>
          <w:szCs w:val="23"/>
        </w:rPr>
        <w:t>②进入厂区的人</w:t>
      </w:r>
      <w:r>
        <w:rPr>
          <w:rFonts w:ascii="宋体" w:hAnsi="宋体" w:eastAsia="宋体" w:cs="宋体"/>
          <w:spacing w:val="4"/>
          <w:sz w:val="23"/>
          <w:szCs w:val="23"/>
        </w:rPr>
        <w:t xml:space="preserve">及车辆均经过大门的消毒池消毒 (消毒池尺寸约 </w:t>
      </w:r>
      <w:r>
        <w:rPr>
          <w:rFonts w:ascii="Times New Roman" w:hAnsi="Times New Roman" w:eastAsia="Times New Roman" w:cs="Times New Roman"/>
          <w:spacing w:val="4"/>
          <w:sz w:val="23"/>
          <w:szCs w:val="23"/>
        </w:rPr>
        <w:t>42</w:t>
      </w:r>
      <w:r>
        <w:rPr>
          <w:rFonts w:ascii="Times New Roman" w:hAnsi="Times New Roman" w:eastAsia="Times New Roman" w:cs="Times New Roman"/>
          <w:sz w:val="23"/>
          <w:szCs w:val="23"/>
        </w:rPr>
        <w:t>m</w:t>
      </w:r>
      <w:r>
        <w:rPr>
          <w:rFonts w:ascii="Times New Roman" w:hAnsi="Times New Roman" w:eastAsia="Times New Roman" w:cs="Times New Roman"/>
          <w:spacing w:val="4"/>
          <w:position w:val="8"/>
          <w:sz w:val="15"/>
          <w:szCs w:val="15"/>
        </w:rPr>
        <w:t xml:space="preserve">3 </w:t>
      </w:r>
      <w:r>
        <w:rPr>
          <w:rFonts w:ascii="宋体" w:hAnsi="宋体" w:eastAsia="宋体" w:cs="宋体"/>
          <w:spacing w:val="4"/>
          <w:sz w:val="23"/>
          <w:szCs w:val="23"/>
        </w:rPr>
        <w:t>) ，并严</w:t>
      </w:r>
      <w:r>
        <w:rPr>
          <w:rFonts w:ascii="宋体" w:hAnsi="宋体" w:eastAsia="宋体" w:cs="宋体"/>
          <w:sz w:val="23"/>
          <w:szCs w:val="23"/>
        </w:rPr>
        <w:t xml:space="preserve"> </w:t>
      </w:r>
      <w:r>
        <w:rPr>
          <w:rFonts w:ascii="宋体" w:hAnsi="宋体" w:eastAsia="宋体" w:cs="宋体"/>
          <w:spacing w:val="16"/>
          <w:sz w:val="23"/>
          <w:szCs w:val="23"/>
        </w:rPr>
        <w:t>格</w:t>
      </w:r>
      <w:r>
        <w:rPr>
          <w:rFonts w:ascii="宋体" w:hAnsi="宋体" w:eastAsia="宋体" w:cs="宋体"/>
          <w:spacing w:val="8"/>
          <w:sz w:val="23"/>
          <w:szCs w:val="23"/>
        </w:rPr>
        <w:t>控制非生产人员进入生产区。</w:t>
      </w:r>
    </w:p>
    <w:p w14:paraId="034BECD2">
      <w:pPr>
        <w:spacing w:before="1" w:line="375" w:lineRule="auto"/>
        <w:ind w:left="11" w:right="173" w:firstLine="477"/>
        <w:rPr>
          <w:rFonts w:ascii="宋体" w:hAnsi="宋体" w:eastAsia="宋体" w:cs="宋体"/>
          <w:sz w:val="23"/>
          <w:szCs w:val="23"/>
        </w:rPr>
      </w:pPr>
      <w:r>
        <w:rPr>
          <w:rFonts w:ascii="宋体" w:hAnsi="宋体" w:eastAsia="宋体" w:cs="宋体"/>
          <w:spacing w:val="20"/>
          <w:sz w:val="23"/>
          <w:szCs w:val="23"/>
        </w:rPr>
        <w:t>③</w:t>
      </w:r>
      <w:r>
        <w:rPr>
          <w:rFonts w:ascii="宋体" w:hAnsi="宋体" w:eastAsia="宋体" w:cs="宋体"/>
          <w:spacing w:val="18"/>
          <w:sz w:val="23"/>
          <w:szCs w:val="23"/>
        </w:rPr>
        <w:t>进</w:t>
      </w:r>
      <w:r>
        <w:rPr>
          <w:rFonts w:ascii="宋体" w:hAnsi="宋体" w:eastAsia="宋体" w:cs="宋体"/>
          <w:spacing w:val="10"/>
          <w:sz w:val="23"/>
          <w:szCs w:val="23"/>
        </w:rPr>
        <w:t>入生产区时，要求更换工作服及鞋帽，经消毒室消毒后才能进入，有效防</w:t>
      </w:r>
      <w:r>
        <w:rPr>
          <w:rFonts w:ascii="宋体" w:hAnsi="宋体" w:eastAsia="宋体" w:cs="宋体"/>
          <w:sz w:val="23"/>
          <w:szCs w:val="23"/>
        </w:rPr>
        <w:t xml:space="preserve"> </w:t>
      </w:r>
      <w:r>
        <w:rPr>
          <w:rFonts w:ascii="宋体" w:hAnsi="宋体" w:eastAsia="宋体" w:cs="宋体"/>
          <w:spacing w:val="10"/>
          <w:sz w:val="23"/>
          <w:szCs w:val="23"/>
        </w:rPr>
        <w:t>止</w:t>
      </w:r>
      <w:r>
        <w:rPr>
          <w:rFonts w:ascii="宋体" w:hAnsi="宋体" w:eastAsia="宋体" w:cs="宋体"/>
          <w:spacing w:val="7"/>
          <w:sz w:val="23"/>
          <w:szCs w:val="23"/>
        </w:rPr>
        <w:t>了人畜共患病。</w:t>
      </w:r>
    </w:p>
    <w:p w14:paraId="12C8DEDA">
      <w:pPr>
        <w:spacing w:before="1" w:line="374" w:lineRule="auto"/>
        <w:ind w:left="14" w:right="173" w:firstLine="474"/>
        <w:rPr>
          <w:rFonts w:ascii="宋体" w:hAnsi="宋体" w:eastAsia="宋体" w:cs="宋体"/>
          <w:sz w:val="23"/>
          <w:szCs w:val="23"/>
        </w:rPr>
      </w:pPr>
      <w:r>
        <w:rPr>
          <w:rFonts w:ascii="宋体" w:hAnsi="宋体" w:eastAsia="宋体" w:cs="宋体"/>
          <w:spacing w:val="20"/>
          <w:sz w:val="23"/>
          <w:szCs w:val="23"/>
        </w:rPr>
        <w:t>④</w:t>
      </w:r>
      <w:r>
        <w:rPr>
          <w:rFonts w:ascii="宋体" w:hAnsi="宋体" w:eastAsia="宋体" w:cs="宋体"/>
          <w:spacing w:val="18"/>
          <w:sz w:val="23"/>
          <w:szCs w:val="23"/>
        </w:rPr>
        <w:t>同</w:t>
      </w:r>
      <w:r>
        <w:rPr>
          <w:rFonts w:ascii="宋体" w:hAnsi="宋体" w:eastAsia="宋体" w:cs="宋体"/>
          <w:spacing w:val="10"/>
          <w:sz w:val="23"/>
          <w:szCs w:val="23"/>
        </w:rPr>
        <w:t>时购买的猪种取得官方的检疫证和非疫区证明，有效防止碳疽病及其它传</w:t>
      </w:r>
      <w:r>
        <w:rPr>
          <w:rFonts w:ascii="宋体" w:hAnsi="宋体" w:eastAsia="宋体" w:cs="宋体"/>
          <w:sz w:val="23"/>
          <w:szCs w:val="23"/>
        </w:rPr>
        <w:t xml:space="preserve"> </w:t>
      </w:r>
      <w:r>
        <w:rPr>
          <w:rFonts w:ascii="宋体" w:hAnsi="宋体" w:eastAsia="宋体" w:cs="宋体"/>
          <w:spacing w:val="6"/>
          <w:sz w:val="23"/>
          <w:szCs w:val="23"/>
        </w:rPr>
        <w:t>染</w:t>
      </w:r>
      <w:r>
        <w:rPr>
          <w:rFonts w:ascii="宋体" w:hAnsi="宋体" w:eastAsia="宋体" w:cs="宋体"/>
          <w:spacing w:val="5"/>
          <w:sz w:val="23"/>
          <w:szCs w:val="23"/>
        </w:rPr>
        <w:t>病传播。</w:t>
      </w:r>
    </w:p>
    <w:p w14:paraId="3F1A0B44">
      <w:pPr>
        <w:spacing w:before="1" w:line="374" w:lineRule="auto"/>
        <w:ind w:left="12" w:right="112" w:firstLine="476"/>
        <w:rPr>
          <w:rFonts w:ascii="宋体" w:hAnsi="宋体" w:eastAsia="宋体" w:cs="宋体"/>
          <w:sz w:val="23"/>
          <w:szCs w:val="23"/>
        </w:rPr>
      </w:pPr>
      <w:r>
        <w:rPr>
          <w:rFonts w:ascii="宋体" w:hAnsi="宋体" w:eastAsia="宋体" w:cs="宋体"/>
          <w:spacing w:val="10"/>
          <w:sz w:val="23"/>
          <w:szCs w:val="23"/>
        </w:rPr>
        <w:t>⑤项目</w:t>
      </w:r>
      <w:r>
        <w:rPr>
          <w:rFonts w:ascii="宋体" w:hAnsi="宋体" w:eastAsia="宋体" w:cs="宋体"/>
          <w:spacing w:val="5"/>
          <w:sz w:val="23"/>
          <w:szCs w:val="23"/>
        </w:rPr>
        <w:t>产生病死猪时及时通知无害化处理公司来运走，不得在厂内长时间放置，</w:t>
      </w:r>
      <w:r>
        <w:rPr>
          <w:rFonts w:ascii="宋体" w:hAnsi="宋体" w:eastAsia="宋体" w:cs="宋体"/>
          <w:sz w:val="23"/>
          <w:szCs w:val="23"/>
        </w:rPr>
        <w:t xml:space="preserve"> </w:t>
      </w:r>
      <w:r>
        <w:rPr>
          <w:rFonts w:ascii="宋体" w:hAnsi="宋体" w:eastAsia="宋体" w:cs="宋体"/>
          <w:spacing w:val="16"/>
          <w:sz w:val="23"/>
          <w:szCs w:val="23"/>
        </w:rPr>
        <w:t>符合</w:t>
      </w:r>
      <w:r>
        <w:rPr>
          <w:rFonts w:ascii="宋体" w:hAnsi="宋体" w:eastAsia="宋体" w:cs="宋体"/>
          <w:spacing w:val="12"/>
          <w:sz w:val="23"/>
          <w:szCs w:val="23"/>
        </w:rPr>
        <w:t xml:space="preserve"> </w:t>
      </w:r>
      <w:r>
        <w:rPr>
          <w:rFonts w:ascii="Times New Roman" w:hAnsi="Times New Roman" w:eastAsia="Times New Roman" w:cs="Times New Roman"/>
          <w:sz w:val="23"/>
          <w:szCs w:val="23"/>
        </w:rPr>
        <w:t>HJ</w:t>
      </w:r>
      <w:r>
        <w:rPr>
          <w:rFonts w:ascii="Times New Roman" w:hAnsi="Times New Roman" w:eastAsia="Times New Roman" w:cs="Times New Roman"/>
          <w:spacing w:val="8"/>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8"/>
          <w:sz w:val="23"/>
          <w:szCs w:val="23"/>
        </w:rPr>
        <w:t>81-2001</w:t>
      </w:r>
      <w:r>
        <w:rPr>
          <w:rFonts w:ascii="宋体" w:hAnsi="宋体" w:eastAsia="宋体" w:cs="宋体"/>
          <w:spacing w:val="8"/>
          <w:sz w:val="23"/>
          <w:szCs w:val="23"/>
        </w:rPr>
        <w:t>《畜禽养殖业污染防治技术规范》要求，对环境影响较小。</w:t>
      </w:r>
    </w:p>
    <w:p w14:paraId="652F17C7">
      <w:pPr>
        <w:spacing w:before="1" w:line="374" w:lineRule="auto"/>
        <w:ind w:left="10" w:right="173" w:firstLine="480"/>
        <w:rPr>
          <w:rFonts w:ascii="宋体" w:hAnsi="宋体" w:eastAsia="宋体" w:cs="宋体"/>
          <w:sz w:val="23"/>
          <w:szCs w:val="23"/>
        </w:rPr>
      </w:pPr>
      <w:r>
        <w:rPr>
          <w:rFonts w:ascii="宋体" w:hAnsi="宋体" w:eastAsia="宋体" w:cs="宋体"/>
          <w:spacing w:val="20"/>
          <w:sz w:val="23"/>
          <w:szCs w:val="23"/>
        </w:rPr>
        <w:t>通</w:t>
      </w:r>
      <w:r>
        <w:rPr>
          <w:rFonts w:ascii="宋体" w:hAnsi="宋体" w:eastAsia="宋体" w:cs="宋体"/>
          <w:spacing w:val="16"/>
          <w:sz w:val="23"/>
          <w:szCs w:val="23"/>
        </w:rPr>
        <w:t>过</w:t>
      </w:r>
      <w:r>
        <w:rPr>
          <w:rFonts w:ascii="宋体" w:hAnsi="宋体" w:eastAsia="宋体" w:cs="宋体"/>
          <w:spacing w:val="10"/>
          <w:sz w:val="23"/>
          <w:szCs w:val="23"/>
        </w:rPr>
        <w:t>上述措施，可有效防止疫情。本环评要求若发生疫情，建设单位应立即隔</w:t>
      </w:r>
      <w:r>
        <w:rPr>
          <w:rFonts w:ascii="宋体" w:hAnsi="宋体" w:eastAsia="宋体" w:cs="宋体"/>
          <w:sz w:val="23"/>
          <w:szCs w:val="23"/>
        </w:rPr>
        <w:t xml:space="preserve"> </w:t>
      </w:r>
      <w:r>
        <w:rPr>
          <w:rFonts w:ascii="宋体" w:hAnsi="宋体" w:eastAsia="宋体" w:cs="宋体"/>
          <w:spacing w:val="20"/>
          <w:sz w:val="23"/>
          <w:szCs w:val="23"/>
        </w:rPr>
        <w:t>离</w:t>
      </w:r>
      <w:r>
        <w:rPr>
          <w:rFonts w:ascii="宋体" w:hAnsi="宋体" w:eastAsia="宋体" w:cs="宋体"/>
          <w:spacing w:val="16"/>
          <w:sz w:val="23"/>
          <w:szCs w:val="23"/>
        </w:rPr>
        <w:t>病</w:t>
      </w:r>
      <w:r>
        <w:rPr>
          <w:rFonts w:ascii="宋体" w:hAnsi="宋体" w:eastAsia="宋体" w:cs="宋体"/>
          <w:spacing w:val="10"/>
          <w:sz w:val="23"/>
          <w:szCs w:val="23"/>
        </w:rPr>
        <w:t>猪，猪只停止进出调动，及时诊断治疗病猪及可疑病猪，并同步报告农业局、</w:t>
      </w:r>
      <w:r>
        <w:rPr>
          <w:rFonts w:ascii="宋体" w:hAnsi="宋体" w:eastAsia="宋体" w:cs="宋体"/>
          <w:sz w:val="23"/>
          <w:szCs w:val="23"/>
        </w:rPr>
        <w:t xml:space="preserve"> </w:t>
      </w:r>
      <w:r>
        <w:rPr>
          <w:rFonts w:ascii="宋体" w:hAnsi="宋体" w:eastAsia="宋体" w:cs="宋体"/>
          <w:spacing w:val="18"/>
          <w:sz w:val="23"/>
          <w:szCs w:val="23"/>
        </w:rPr>
        <w:t>环</w:t>
      </w:r>
      <w:r>
        <w:rPr>
          <w:rFonts w:ascii="宋体" w:hAnsi="宋体" w:eastAsia="宋体" w:cs="宋体"/>
          <w:spacing w:val="15"/>
          <w:sz w:val="23"/>
          <w:szCs w:val="23"/>
        </w:rPr>
        <w:t>保</w:t>
      </w:r>
      <w:r>
        <w:rPr>
          <w:rFonts w:ascii="宋体" w:hAnsi="宋体" w:eastAsia="宋体" w:cs="宋体"/>
          <w:spacing w:val="9"/>
          <w:sz w:val="23"/>
          <w:szCs w:val="23"/>
        </w:rPr>
        <w:t>局、卫生防疫站等相关关部门，以便采取进一步的措施，防治疫情的扩散。</w:t>
      </w:r>
    </w:p>
    <w:p w14:paraId="5AB01298">
      <w:pPr>
        <w:spacing w:line="375" w:lineRule="auto"/>
        <w:ind w:left="9" w:right="153" w:firstLine="483"/>
        <w:rPr>
          <w:rFonts w:ascii="宋体" w:hAnsi="宋体" w:eastAsia="宋体" w:cs="宋体"/>
          <w:sz w:val="23"/>
          <w:szCs w:val="23"/>
        </w:rPr>
      </w:pPr>
      <w:r>
        <w:rPr>
          <w:rFonts w:ascii="宋体" w:hAnsi="宋体" w:eastAsia="宋体" w:cs="宋体"/>
          <w:spacing w:val="1"/>
          <w:sz w:val="23"/>
          <w:szCs w:val="23"/>
        </w:rPr>
        <w:t>综上所述，项目建成后，通过各种治污措施，做到</w:t>
      </w:r>
      <w:r>
        <w:rPr>
          <w:rFonts w:ascii="宋体" w:hAnsi="宋体" w:eastAsia="宋体" w:cs="宋体"/>
          <w:sz w:val="23"/>
          <w:szCs w:val="23"/>
        </w:rPr>
        <w:t>达标排放。营运期所产生的</w:t>
      </w:r>
      <w:r>
        <w:rPr>
          <w:rFonts w:ascii="Times New Roman" w:hAnsi="Times New Roman" w:eastAsia="Times New Roman" w:cs="Times New Roman"/>
          <w:sz w:val="23"/>
          <w:szCs w:val="23"/>
        </w:rPr>
        <w:t>“</w:t>
      </w:r>
      <w:r>
        <w:rPr>
          <w:rFonts w:ascii="宋体" w:hAnsi="宋体" w:eastAsia="宋体" w:cs="宋体"/>
          <w:sz w:val="23"/>
          <w:szCs w:val="23"/>
        </w:rPr>
        <w:t xml:space="preserve">三 </w:t>
      </w:r>
      <w:r>
        <w:rPr>
          <w:rFonts w:ascii="宋体" w:hAnsi="宋体" w:eastAsia="宋体" w:cs="宋体"/>
          <w:spacing w:val="8"/>
          <w:sz w:val="23"/>
          <w:szCs w:val="23"/>
        </w:rPr>
        <w:t>废</w:t>
      </w:r>
      <w:r>
        <w:rPr>
          <w:rFonts w:ascii="Times New Roman" w:hAnsi="Times New Roman" w:eastAsia="Times New Roman" w:cs="Times New Roman"/>
          <w:spacing w:val="8"/>
          <w:sz w:val="23"/>
          <w:szCs w:val="23"/>
        </w:rPr>
        <w:t>”</w:t>
      </w:r>
      <w:r>
        <w:rPr>
          <w:rFonts w:ascii="宋体" w:hAnsi="宋体" w:eastAsia="宋体" w:cs="宋体"/>
          <w:spacing w:val="8"/>
          <w:sz w:val="23"/>
          <w:szCs w:val="23"/>
        </w:rPr>
        <w:t>只要严格按照本报告提出的治理措施和要求执行，其影响将会减小到最低程度，</w:t>
      </w:r>
      <w:r>
        <w:rPr>
          <w:rFonts w:ascii="宋体" w:hAnsi="宋体" w:eastAsia="宋体" w:cs="宋体"/>
          <w:sz w:val="23"/>
          <w:szCs w:val="23"/>
        </w:rPr>
        <w:t xml:space="preserve"> </w:t>
      </w:r>
      <w:r>
        <w:rPr>
          <w:rFonts w:ascii="宋体" w:hAnsi="宋体" w:eastAsia="宋体" w:cs="宋体"/>
          <w:spacing w:val="12"/>
          <w:sz w:val="23"/>
          <w:szCs w:val="23"/>
        </w:rPr>
        <w:t>可</w:t>
      </w:r>
      <w:r>
        <w:rPr>
          <w:rFonts w:ascii="宋体" w:hAnsi="宋体" w:eastAsia="宋体" w:cs="宋体"/>
          <w:spacing w:val="9"/>
          <w:sz w:val="23"/>
          <w:szCs w:val="23"/>
        </w:rPr>
        <w:t>以避免扰民现象的发生，对周围环境影响不大。</w:t>
      </w:r>
    </w:p>
    <w:p w14:paraId="2FC6413D">
      <w:pPr>
        <w:spacing w:before="1" w:line="226" w:lineRule="auto"/>
        <w:ind w:left="501"/>
        <w:rPr>
          <w:rFonts w:ascii="宋体" w:hAnsi="宋体" w:eastAsia="宋体" w:cs="宋体"/>
          <w:sz w:val="23"/>
          <w:szCs w:val="23"/>
        </w:rPr>
      </w:pPr>
      <w:r>
        <w:rPr>
          <w:rFonts w:ascii="宋体" w:hAnsi="宋体" w:eastAsia="宋体" w:cs="宋体"/>
          <w:spacing w:val="16"/>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6"/>
          <w:sz w:val="23"/>
          <w:szCs w:val="23"/>
        </w:rPr>
        <w:t>6</w:t>
      </w:r>
      <w:r>
        <w:rPr>
          <w:rFonts w:ascii="宋体" w:hAnsi="宋体" w:eastAsia="宋体" w:cs="宋体"/>
          <w:spacing w:val="16"/>
          <w:sz w:val="23"/>
          <w:szCs w:val="23"/>
          <w14:textOutline w14:w="4356" w14:cap="sq" w14:cmpd="sng" w14:algn="ctr">
            <w14:solidFill>
              <w14:srgbClr w14:val="000000"/>
            </w14:solidFill>
            <w14:prstDash w14:val="solid"/>
            <w14:bevel/>
          </w14:textOutline>
        </w:rPr>
        <w:t>)</w:t>
      </w:r>
      <w:r>
        <w:rPr>
          <w:rFonts w:ascii="宋体" w:hAnsi="宋体" w:eastAsia="宋体" w:cs="宋体"/>
          <w:spacing w:val="16"/>
          <w:sz w:val="23"/>
          <w:szCs w:val="23"/>
        </w:rPr>
        <w:t xml:space="preserve"> </w:t>
      </w:r>
      <w:r>
        <w:rPr>
          <w:rFonts w:ascii="宋体" w:hAnsi="宋体" w:eastAsia="宋体" w:cs="宋体"/>
          <w:spacing w:val="16"/>
          <w:sz w:val="23"/>
          <w:szCs w:val="23"/>
          <w14:textOutline w14:w="4356" w14:cap="sq" w14:cmpd="sng" w14:algn="ctr">
            <w14:solidFill>
              <w14:srgbClr w14:val="000000"/>
            </w14:solidFill>
            <w14:prstDash w14:val="solid"/>
            <w14:bevel/>
          </w14:textOutline>
        </w:rPr>
        <w:t>外环境对本工程影响分</w:t>
      </w:r>
      <w:r>
        <w:rPr>
          <w:rFonts w:ascii="宋体" w:hAnsi="宋体" w:eastAsia="宋体" w:cs="宋体"/>
          <w:spacing w:val="14"/>
          <w:sz w:val="23"/>
          <w:szCs w:val="23"/>
          <w14:textOutline w14:w="4356" w14:cap="sq" w14:cmpd="sng" w14:algn="ctr">
            <w14:solidFill>
              <w14:srgbClr w14:val="000000"/>
            </w14:solidFill>
            <w14:prstDash w14:val="solid"/>
            <w14:bevel/>
          </w14:textOutline>
        </w:rPr>
        <w:t>析</w:t>
      </w:r>
    </w:p>
    <w:p w14:paraId="63C189D7">
      <w:pPr>
        <w:spacing w:before="189" w:line="374" w:lineRule="auto"/>
        <w:ind w:left="9" w:right="173" w:firstLine="484"/>
        <w:rPr>
          <w:rFonts w:ascii="宋体" w:hAnsi="宋体" w:eastAsia="宋体" w:cs="宋体"/>
          <w:sz w:val="23"/>
          <w:szCs w:val="23"/>
        </w:rPr>
      </w:pPr>
      <w:r>
        <w:rPr>
          <w:rFonts w:ascii="宋体" w:hAnsi="宋体" w:eastAsia="宋体" w:cs="宋体"/>
          <w:spacing w:val="11"/>
          <w:sz w:val="23"/>
          <w:szCs w:val="23"/>
        </w:rPr>
        <w:t>项目所在地为农村地区，不在城镇规划区范围内，未受工业企业</w:t>
      </w:r>
      <w:r>
        <w:rPr>
          <w:rFonts w:ascii="Times New Roman" w:hAnsi="Times New Roman" w:eastAsia="Times New Roman" w:cs="Times New Roman"/>
          <w:spacing w:val="11"/>
          <w:sz w:val="23"/>
          <w:szCs w:val="23"/>
        </w:rPr>
        <w:t>“</w:t>
      </w:r>
      <w:r>
        <w:rPr>
          <w:rFonts w:ascii="宋体" w:hAnsi="宋体" w:eastAsia="宋体" w:cs="宋体"/>
          <w:spacing w:val="11"/>
          <w:sz w:val="23"/>
          <w:szCs w:val="23"/>
        </w:rPr>
        <w:t>三废</w:t>
      </w:r>
      <w:r>
        <w:rPr>
          <w:rFonts w:ascii="Times New Roman" w:hAnsi="Times New Roman" w:eastAsia="Times New Roman" w:cs="Times New Roman"/>
          <w:spacing w:val="11"/>
          <w:sz w:val="23"/>
          <w:szCs w:val="23"/>
        </w:rPr>
        <w:t>”</w:t>
      </w:r>
      <w:r>
        <w:rPr>
          <w:rFonts w:ascii="宋体" w:hAnsi="宋体" w:eastAsia="宋体" w:cs="宋体"/>
          <w:spacing w:val="11"/>
          <w:sz w:val="23"/>
          <w:szCs w:val="23"/>
        </w:rPr>
        <w:t>污染</w:t>
      </w:r>
      <w:r>
        <w:rPr>
          <w:rFonts w:ascii="宋体" w:hAnsi="宋体" w:eastAsia="宋体" w:cs="宋体"/>
          <w:spacing w:val="4"/>
          <w:sz w:val="23"/>
          <w:szCs w:val="23"/>
        </w:rPr>
        <w:t>，</w:t>
      </w:r>
      <w:r>
        <w:rPr>
          <w:rFonts w:ascii="宋体" w:hAnsi="宋体" w:eastAsia="宋体" w:cs="宋体"/>
          <w:sz w:val="23"/>
          <w:szCs w:val="23"/>
        </w:rPr>
        <w:t xml:space="preserve"> </w:t>
      </w:r>
      <w:r>
        <w:rPr>
          <w:rFonts w:ascii="宋体" w:hAnsi="宋体" w:eastAsia="宋体" w:cs="宋体"/>
          <w:spacing w:val="20"/>
          <w:sz w:val="23"/>
          <w:szCs w:val="23"/>
        </w:rPr>
        <w:t>区</w:t>
      </w:r>
      <w:r>
        <w:rPr>
          <w:rFonts w:ascii="宋体" w:hAnsi="宋体" w:eastAsia="宋体" w:cs="宋体"/>
          <w:spacing w:val="17"/>
          <w:sz w:val="23"/>
          <w:szCs w:val="23"/>
        </w:rPr>
        <w:t>域</w:t>
      </w:r>
      <w:r>
        <w:rPr>
          <w:rFonts w:ascii="宋体" w:hAnsi="宋体" w:eastAsia="宋体" w:cs="宋体"/>
          <w:spacing w:val="10"/>
          <w:sz w:val="23"/>
          <w:szCs w:val="23"/>
        </w:rPr>
        <w:t>环境质量较好，外环境对本工程的影响主要为乡村公路上车辆噪声，本工程选</w:t>
      </w:r>
      <w:r>
        <w:rPr>
          <w:rFonts w:ascii="宋体" w:hAnsi="宋体" w:eastAsia="宋体" w:cs="宋体"/>
          <w:sz w:val="23"/>
          <w:szCs w:val="23"/>
        </w:rPr>
        <w:t xml:space="preserve"> </w:t>
      </w:r>
      <w:r>
        <w:rPr>
          <w:rFonts w:ascii="宋体" w:hAnsi="宋体" w:eastAsia="宋体" w:cs="宋体"/>
          <w:spacing w:val="20"/>
          <w:sz w:val="23"/>
          <w:szCs w:val="23"/>
        </w:rPr>
        <w:t>址</w:t>
      </w:r>
      <w:r>
        <w:rPr>
          <w:rFonts w:ascii="宋体" w:hAnsi="宋体" w:eastAsia="宋体" w:cs="宋体"/>
          <w:spacing w:val="17"/>
          <w:sz w:val="23"/>
          <w:szCs w:val="23"/>
        </w:rPr>
        <w:t>远</w:t>
      </w:r>
      <w:r>
        <w:rPr>
          <w:rFonts w:ascii="宋体" w:hAnsi="宋体" w:eastAsia="宋体" w:cs="宋体"/>
          <w:spacing w:val="10"/>
          <w:sz w:val="23"/>
          <w:szCs w:val="23"/>
        </w:rPr>
        <w:t>离交通主干道，场地周围没有大型噪声源，周边噪声主要是农户的生活噪声及</w:t>
      </w:r>
      <w:r>
        <w:rPr>
          <w:rFonts w:ascii="宋体" w:hAnsi="宋体" w:eastAsia="宋体" w:cs="宋体"/>
          <w:sz w:val="23"/>
          <w:szCs w:val="23"/>
        </w:rPr>
        <w:t xml:space="preserve"> </w:t>
      </w:r>
      <w:r>
        <w:rPr>
          <w:rFonts w:ascii="宋体" w:hAnsi="宋体" w:eastAsia="宋体" w:cs="宋体"/>
          <w:spacing w:val="20"/>
          <w:sz w:val="23"/>
          <w:szCs w:val="23"/>
        </w:rPr>
        <w:t>养</w:t>
      </w:r>
      <w:r>
        <w:rPr>
          <w:rFonts w:ascii="宋体" w:hAnsi="宋体" w:eastAsia="宋体" w:cs="宋体"/>
          <w:spacing w:val="17"/>
          <w:sz w:val="23"/>
          <w:szCs w:val="23"/>
        </w:rPr>
        <w:t>殖</w:t>
      </w:r>
      <w:r>
        <w:rPr>
          <w:rFonts w:ascii="宋体" w:hAnsi="宋体" w:eastAsia="宋体" w:cs="宋体"/>
          <w:spacing w:val="10"/>
          <w:sz w:val="23"/>
          <w:szCs w:val="23"/>
        </w:rPr>
        <w:t>区北面的乡村公路上的车辆噪声，乡村道路车流量小。总体而言外环境对养殖</w:t>
      </w:r>
      <w:r>
        <w:rPr>
          <w:rFonts w:ascii="宋体" w:hAnsi="宋体" w:eastAsia="宋体" w:cs="宋体"/>
          <w:sz w:val="23"/>
          <w:szCs w:val="23"/>
        </w:rPr>
        <w:t xml:space="preserve"> </w:t>
      </w:r>
      <w:r>
        <w:rPr>
          <w:rFonts w:ascii="宋体" w:hAnsi="宋体" w:eastAsia="宋体" w:cs="宋体"/>
          <w:spacing w:val="16"/>
          <w:sz w:val="23"/>
          <w:szCs w:val="23"/>
        </w:rPr>
        <w:t>场</w:t>
      </w:r>
      <w:r>
        <w:rPr>
          <w:rFonts w:ascii="宋体" w:hAnsi="宋体" w:eastAsia="宋体" w:cs="宋体"/>
          <w:spacing w:val="9"/>
          <w:sz w:val="23"/>
          <w:szCs w:val="23"/>
        </w:rPr>
        <w:t>内</w:t>
      </w:r>
      <w:r>
        <w:rPr>
          <w:rFonts w:ascii="宋体" w:hAnsi="宋体" w:eastAsia="宋体" w:cs="宋体"/>
          <w:spacing w:val="8"/>
          <w:sz w:val="23"/>
          <w:szCs w:val="23"/>
        </w:rPr>
        <w:t>猪只的生活基本没有影响。</w:t>
      </w:r>
    </w:p>
    <w:p w14:paraId="12D1DE4A">
      <w:pPr>
        <w:spacing w:line="228" w:lineRule="auto"/>
        <w:ind w:left="8"/>
        <w:outlineLvl w:val="2"/>
        <w:rPr>
          <w:rFonts w:ascii="宋体" w:hAnsi="宋体" w:eastAsia="宋体" w:cs="宋体"/>
          <w:sz w:val="23"/>
          <w:szCs w:val="23"/>
        </w:rPr>
      </w:pPr>
      <w:r>
        <w:rPr>
          <w:rFonts w:ascii="Times New Roman" w:hAnsi="Times New Roman" w:eastAsia="Times New Roman" w:cs="Times New Roman"/>
          <w:b/>
          <w:bCs/>
          <w:spacing w:val="9"/>
          <w:sz w:val="23"/>
          <w:szCs w:val="23"/>
        </w:rPr>
        <w:t>5</w:t>
      </w:r>
      <w:r>
        <w:rPr>
          <w:rFonts w:ascii="Times New Roman" w:hAnsi="Times New Roman" w:eastAsia="Times New Roman" w:cs="Times New Roman"/>
          <w:b/>
          <w:bCs/>
          <w:spacing w:val="5"/>
          <w:sz w:val="23"/>
          <w:szCs w:val="23"/>
        </w:rPr>
        <w:t>.2.7</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土地复垦</w:t>
      </w:r>
    </w:p>
    <w:p w14:paraId="184986EA">
      <w:pPr>
        <w:spacing w:before="184" w:line="228" w:lineRule="auto"/>
        <w:ind w:left="501"/>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9"/>
          <w:sz w:val="23"/>
          <w:szCs w:val="23"/>
        </w:rPr>
        <w:t>1</w:t>
      </w: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宋体" w:hAnsi="宋体" w:eastAsia="宋体" w:cs="宋体"/>
          <w:spacing w:val="19"/>
          <w:sz w:val="23"/>
          <w:szCs w:val="23"/>
        </w:rPr>
        <w:t xml:space="preserve"> </w:t>
      </w:r>
      <w:r>
        <w:rPr>
          <w:rFonts w:ascii="宋体" w:hAnsi="宋体" w:eastAsia="宋体" w:cs="宋体"/>
          <w:spacing w:val="19"/>
          <w:sz w:val="23"/>
          <w:szCs w:val="23"/>
          <w14:textOutline w14:w="4356" w14:cap="sq" w14:cmpd="sng" w14:algn="ctr">
            <w14:solidFill>
              <w14:srgbClr w14:val="000000"/>
            </w14:solidFill>
            <w14:prstDash w14:val="solid"/>
            <w14:bevel/>
          </w14:textOutline>
        </w:rPr>
        <w:t>预防措施</w:t>
      </w:r>
    </w:p>
    <w:p w14:paraId="57C9842A">
      <w:pPr>
        <w:spacing w:before="180" w:line="377" w:lineRule="auto"/>
        <w:ind w:left="9" w:firstLine="499"/>
        <w:rPr>
          <w:rFonts w:ascii="宋体" w:hAnsi="宋体" w:eastAsia="宋体" w:cs="宋体"/>
          <w:sz w:val="23"/>
          <w:szCs w:val="23"/>
        </w:rPr>
      </w:pPr>
      <w:r>
        <w:rPr>
          <w:rFonts w:ascii="Times New Roman" w:hAnsi="Times New Roman" w:eastAsia="Times New Roman" w:cs="Times New Roman"/>
          <w:spacing w:val="18"/>
          <w:sz w:val="23"/>
          <w:szCs w:val="23"/>
        </w:rPr>
        <w:t>1</w:t>
      </w:r>
      <w:r>
        <w:rPr>
          <w:rFonts w:ascii="宋体" w:hAnsi="宋体" w:eastAsia="宋体" w:cs="宋体"/>
          <w:spacing w:val="14"/>
          <w:sz w:val="23"/>
          <w:szCs w:val="23"/>
        </w:rPr>
        <w:t>)</w:t>
      </w:r>
      <w:r>
        <w:rPr>
          <w:rFonts w:ascii="宋体" w:hAnsi="宋体" w:eastAsia="宋体" w:cs="宋体"/>
          <w:spacing w:val="9"/>
          <w:sz w:val="23"/>
          <w:szCs w:val="23"/>
        </w:rPr>
        <w:t xml:space="preserve"> 合理规划布局，减少破坏占用 项目建设应尽量依托现有地形及地势，减少</w:t>
      </w:r>
      <w:r>
        <w:rPr>
          <w:rFonts w:ascii="宋体" w:hAnsi="宋体" w:eastAsia="宋体" w:cs="宋体"/>
          <w:sz w:val="23"/>
          <w:szCs w:val="23"/>
        </w:rPr>
        <w:t xml:space="preserve"> </w:t>
      </w:r>
      <w:r>
        <w:rPr>
          <w:rFonts w:ascii="宋体" w:hAnsi="宋体" w:eastAsia="宋体" w:cs="宋体"/>
          <w:spacing w:val="10"/>
          <w:sz w:val="23"/>
          <w:szCs w:val="23"/>
        </w:rPr>
        <w:t>土地不必要的挖填。</w:t>
      </w:r>
      <w:r>
        <w:rPr>
          <w:rFonts w:ascii="Times New Roman" w:hAnsi="Times New Roman" w:eastAsia="Times New Roman" w:cs="Times New Roman"/>
          <w:spacing w:val="10"/>
          <w:sz w:val="23"/>
          <w:szCs w:val="23"/>
        </w:rPr>
        <w:t>2</w:t>
      </w:r>
      <w:r>
        <w:rPr>
          <w:rFonts w:ascii="宋体" w:hAnsi="宋体" w:eastAsia="宋体" w:cs="宋体"/>
          <w:spacing w:val="10"/>
          <w:sz w:val="23"/>
          <w:szCs w:val="23"/>
        </w:rPr>
        <w:t>) 表土单独存放和养护 表土是土地复垦中土壤的重要来源</w:t>
      </w:r>
      <w:r>
        <w:rPr>
          <w:rFonts w:ascii="宋体" w:hAnsi="宋体" w:eastAsia="宋体" w:cs="宋体"/>
          <w:spacing w:val="7"/>
          <w:sz w:val="23"/>
          <w:szCs w:val="23"/>
        </w:rPr>
        <w:t>之</w:t>
      </w:r>
      <w:r>
        <w:rPr>
          <w:rFonts w:ascii="宋体" w:hAnsi="宋体" w:eastAsia="宋体" w:cs="宋体"/>
          <w:sz w:val="23"/>
          <w:szCs w:val="23"/>
        </w:rPr>
        <w:t xml:space="preserve"> </w:t>
      </w:r>
      <w:r>
        <w:rPr>
          <w:rFonts w:ascii="宋体" w:hAnsi="宋体" w:eastAsia="宋体" w:cs="宋体"/>
          <w:spacing w:val="16"/>
          <w:sz w:val="23"/>
          <w:szCs w:val="23"/>
        </w:rPr>
        <w:t>一，表</w:t>
      </w:r>
      <w:r>
        <w:rPr>
          <w:rFonts w:ascii="宋体" w:hAnsi="宋体" w:eastAsia="宋体" w:cs="宋体"/>
          <w:spacing w:val="9"/>
          <w:sz w:val="23"/>
          <w:szCs w:val="23"/>
        </w:rPr>
        <w:t>土</w:t>
      </w:r>
      <w:r>
        <w:rPr>
          <w:rFonts w:ascii="宋体" w:hAnsi="宋体" w:eastAsia="宋体" w:cs="宋体"/>
          <w:spacing w:val="8"/>
          <w:sz w:val="23"/>
          <w:szCs w:val="23"/>
        </w:rPr>
        <w:t>保存是否适宜，关系到将来工作土地复垦的成功率与土地复垦成本的高低。</w:t>
      </w:r>
      <w:r>
        <w:rPr>
          <w:rFonts w:ascii="宋体" w:hAnsi="宋体" w:eastAsia="宋体" w:cs="宋体"/>
          <w:sz w:val="23"/>
          <w:szCs w:val="23"/>
        </w:rPr>
        <w:t xml:space="preserve"> </w:t>
      </w:r>
      <w:r>
        <w:rPr>
          <w:rFonts w:ascii="宋体" w:hAnsi="宋体" w:eastAsia="宋体" w:cs="宋体"/>
          <w:spacing w:val="20"/>
          <w:sz w:val="23"/>
          <w:szCs w:val="23"/>
        </w:rPr>
        <w:t>耕</w:t>
      </w:r>
      <w:r>
        <w:rPr>
          <w:rFonts w:ascii="宋体" w:hAnsi="宋体" w:eastAsia="宋体" w:cs="宋体"/>
          <w:spacing w:val="17"/>
          <w:sz w:val="23"/>
          <w:szCs w:val="23"/>
        </w:rPr>
        <w:t>作</w:t>
      </w:r>
      <w:r>
        <w:rPr>
          <w:rFonts w:ascii="宋体" w:hAnsi="宋体" w:eastAsia="宋体" w:cs="宋体"/>
          <w:spacing w:val="10"/>
          <w:sz w:val="23"/>
          <w:szCs w:val="23"/>
        </w:rPr>
        <w:t>层土壤和表层土壤是经过多年耕作和植物作用而形成的熟化土壤，是深层生土</w:t>
      </w:r>
      <w:r>
        <w:rPr>
          <w:rFonts w:ascii="宋体" w:hAnsi="宋体" w:eastAsia="宋体" w:cs="宋体"/>
          <w:sz w:val="23"/>
          <w:szCs w:val="23"/>
        </w:rPr>
        <w:t xml:space="preserve"> </w:t>
      </w:r>
      <w:r>
        <w:rPr>
          <w:rFonts w:ascii="宋体" w:hAnsi="宋体" w:eastAsia="宋体" w:cs="宋体"/>
          <w:spacing w:val="4"/>
          <w:sz w:val="23"/>
          <w:szCs w:val="23"/>
        </w:rPr>
        <w:t>所不能替代的，对于植物种子的萌发和幼苗的生长有着重要作用。表土临时存放必</w:t>
      </w:r>
      <w:r>
        <w:rPr>
          <w:rFonts w:ascii="宋体" w:hAnsi="宋体" w:eastAsia="宋体" w:cs="宋体"/>
          <w:spacing w:val="3"/>
          <w:sz w:val="23"/>
          <w:szCs w:val="23"/>
        </w:rPr>
        <w:t>然</w:t>
      </w:r>
      <w:r>
        <w:rPr>
          <w:rFonts w:ascii="宋体" w:hAnsi="宋体" w:eastAsia="宋体" w:cs="宋体"/>
          <w:sz w:val="23"/>
          <w:szCs w:val="23"/>
        </w:rPr>
        <w:t xml:space="preserve"> </w:t>
      </w:r>
      <w:r>
        <w:rPr>
          <w:rFonts w:ascii="宋体" w:hAnsi="宋体" w:eastAsia="宋体" w:cs="宋体"/>
          <w:spacing w:val="2"/>
          <w:sz w:val="23"/>
          <w:szCs w:val="23"/>
        </w:rPr>
        <w:t>会影响到土壤的容重、水分等理化性状以及</w:t>
      </w:r>
      <w:r>
        <w:rPr>
          <w:rFonts w:ascii="宋体" w:hAnsi="宋体" w:eastAsia="宋体" w:cs="宋体"/>
          <w:spacing w:val="1"/>
          <w:sz w:val="23"/>
          <w:szCs w:val="23"/>
        </w:rPr>
        <w:t>植物、动物，尤其是微生物等生物学性状，</w:t>
      </w:r>
      <w:r>
        <w:rPr>
          <w:rFonts w:ascii="宋体" w:hAnsi="宋体" w:eastAsia="宋体" w:cs="宋体"/>
          <w:sz w:val="23"/>
          <w:szCs w:val="23"/>
        </w:rPr>
        <w:t xml:space="preserve"> </w:t>
      </w:r>
      <w:r>
        <w:rPr>
          <w:rFonts w:ascii="宋体" w:hAnsi="宋体" w:eastAsia="宋体" w:cs="宋体"/>
          <w:spacing w:val="20"/>
          <w:sz w:val="23"/>
          <w:szCs w:val="23"/>
        </w:rPr>
        <w:t>对</w:t>
      </w:r>
      <w:r>
        <w:rPr>
          <w:rFonts w:ascii="宋体" w:hAnsi="宋体" w:eastAsia="宋体" w:cs="宋体"/>
          <w:spacing w:val="17"/>
          <w:sz w:val="23"/>
          <w:szCs w:val="23"/>
        </w:rPr>
        <w:t>于</w:t>
      </w:r>
      <w:r>
        <w:rPr>
          <w:rFonts w:ascii="宋体" w:hAnsi="宋体" w:eastAsia="宋体" w:cs="宋体"/>
          <w:spacing w:val="10"/>
          <w:sz w:val="23"/>
          <w:szCs w:val="23"/>
        </w:rPr>
        <w:t>恢复区域生态系统具有重要意义，是深层土壤所无法代替的，因此工程实施过</w:t>
      </w:r>
      <w:r>
        <w:rPr>
          <w:rFonts w:ascii="宋体" w:hAnsi="宋体" w:eastAsia="宋体" w:cs="宋体"/>
          <w:sz w:val="23"/>
          <w:szCs w:val="23"/>
        </w:rPr>
        <w:t xml:space="preserve"> </w:t>
      </w:r>
      <w:r>
        <w:rPr>
          <w:rFonts w:ascii="宋体" w:hAnsi="宋体" w:eastAsia="宋体" w:cs="宋体"/>
          <w:spacing w:val="9"/>
          <w:sz w:val="23"/>
          <w:szCs w:val="23"/>
        </w:rPr>
        <w:t>程中需特别保护和利用好表土资源</w:t>
      </w:r>
      <w:r>
        <w:rPr>
          <w:rFonts w:ascii="宋体" w:hAnsi="宋体" w:eastAsia="宋体" w:cs="宋体"/>
          <w:spacing w:val="6"/>
          <w:sz w:val="23"/>
          <w:szCs w:val="23"/>
        </w:rPr>
        <w:t>。</w:t>
      </w:r>
    </w:p>
    <w:p w14:paraId="68E03232">
      <w:pPr>
        <w:sectPr>
          <w:headerReference r:id="rId223" w:type="default"/>
          <w:footerReference r:id="rId224" w:type="default"/>
          <w:pgSz w:w="11907" w:h="16840"/>
          <w:pgMar w:top="1153" w:right="1405" w:bottom="1485" w:left="1660" w:header="919" w:footer="1298" w:gutter="0"/>
          <w:cols w:space="720" w:num="1"/>
        </w:sectPr>
      </w:pPr>
    </w:p>
    <w:p w14:paraId="7BF29A6D">
      <w:pPr>
        <w:spacing w:before="38" w:line="375" w:lineRule="auto"/>
        <w:ind w:left="9" w:firstLine="480"/>
        <w:rPr>
          <w:rFonts w:ascii="宋体" w:hAnsi="宋体" w:eastAsia="宋体" w:cs="宋体"/>
          <w:sz w:val="23"/>
          <w:szCs w:val="23"/>
        </w:rPr>
      </w:pPr>
      <w:r>
        <w:rPr>
          <w:rFonts w:ascii="宋体" w:hAnsi="宋体" w:eastAsia="宋体" w:cs="宋体"/>
          <w:spacing w:val="4"/>
          <w:sz w:val="23"/>
          <w:szCs w:val="23"/>
        </w:rPr>
        <w:t>表</w:t>
      </w:r>
      <w:r>
        <w:rPr>
          <w:rFonts w:ascii="宋体" w:hAnsi="宋体" w:eastAsia="宋体" w:cs="宋体"/>
          <w:spacing w:val="2"/>
          <w:sz w:val="23"/>
          <w:szCs w:val="23"/>
        </w:rPr>
        <w:t>土堆存时应分层堆放，根据地形设置排水设施等措施，保持土壤养分和水 分，</w:t>
      </w:r>
      <w:r>
        <w:rPr>
          <w:rFonts w:ascii="宋体" w:hAnsi="宋体" w:eastAsia="宋体" w:cs="宋体"/>
          <w:sz w:val="23"/>
          <w:szCs w:val="23"/>
        </w:rPr>
        <w:t xml:space="preserve"> </w:t>
      </w:r>
      <w:r>
        <w:rPr>
          <w:rFonts w:ascii="宋体" w:hAnsi="宋体" w:eastAsia="宋体" w:cs="宋体"/>
          <w:spacing w:val="20"/>
          <w:sz w:val="23"/>
          <w:szCs w:val="23"/>
        </w:rPr>
        <w:t>存</w:t>
      </w:r>
      <w:r>
        <w:rPr>
          <w:rFonts w:ascii="宋体" w:hAnsi="宋体" w:eastAsia="宋体" w:cs="宋体"/>
          <w:spacing w:val="17"/>
          <w:sz w:val="23"/>
          <w:szCs w:val="23"/>
        </w:rPr>
        <w:t>放</w:t>
      </w:r>
      <w:r>
        <w:rPr>
          <w:rFonts w:ascii="宋体" w:hAnsi="宋体" w:eastAsia="宋体" w:cs="宋体"/>
          <w:spacing w:val="10"/>
          <w:sz w:val="23"/>
          <w:szCs w:val="23"/>
        </w:rPr>
        <w:t>期间应种植绿肥植物，加强养护，保证在复垦时的土壤质量。耕作层腐殖质土</w:t>
      </w:r>
      <w:r>
        <w:rPr>
          <w:rFonts w:ascii="宋体" w:hAnsi="宋体" w:eastAsia="宋体" w:cs="宋体"/>
          <w:sz w:val="23"/>
          <w:szCs w:val="23"/>
        </w:rPr>
        <w:t xml:space="preserve"> </w:t>
      </w:r>
      <w:r>
        <w:rPr>
          <w:rFonts w:ascii="宋体" w:hAnsi="宋体" w:eastAsia="宋体" w:cs="宋体"/>
          <w:spacing w:val="20"/>
          <w:sz w:val="23"/>
          <w:szCs w:val="23"/>
        </w:rPr>
        <w:t>中</w:t>
      </w:r>
      <w:r>
        <w:rPr>
          <w:rFonts w:ascii="宋体" w:hAnsi="宋体" w:eastAsia="宋体" w:cs="宋体"/>
          <w:spacing w:val="17"/>
          <w:sz w:val="23"/>
          <w:szCs w:val="23"/>
        </w:rPr>
        <w:t>土</w:t>
      </w:r>
      <w:r>
        <w:rPr>
          <w:rFonts w:ascii="宋体" w:hAnsi="宋体" w:eastAsia="宋体" w:cs="宋体"/>
          <w:spacing w:val="10"/>
          <w:sz w:val="23"/>
          <w:szCs w:val="23"/>
        </w:rPr>
        <w:t>壤具有层次性，由于人类生产活动和自然因素的综合作用，使耕作土壤产生层</w:t>
      </w:r>
      <w:r>
        <w:rPr>
          <w:rFonts w:ascii="宋体" w:hAnsi="宋体" w:eastAsia="宋体" w:cs="宋体"/>
          <w:sz w:val="23"/>
          <w:szCs w:val="23"/>
        </w:rPr>
        <w:t xml:space="preserve"> </w:t>
      </w:r>
      <w:r>
        <w:rPr>
          <w:rFonts w:ascii="宋体" w:hAnsi="宋体" w:eastAsia="宋体" w:cs="宋体"/>
          <w:spacing w:val="20"/>
          <w:sz w:val="23"/>
          <w:szCs w:val="23"/>
        </w:rPr>
        <w:t>次</w:t>
      </w:r>
      <w:r>
        <w:rPr>
          <w:rFonts w:ascii="宋体" w:hAnsi="宋体" w:eastAsia="宋体" w:cs="宋体"/>
          <w:spacing w:val="14"/>
          <w:sz w:val="23"/>
          <w:szCs w:val="23"/>
        </w:rPr>
        <w:t>划</w:t>
      </w:r>
      <w:r>
        <w:rPr>
          <w:rFonts w:ascii="宋体" w:hAnsi="宋体" w:eastAsia="宋体" w:cs="宋体"/>
          <w:spacing w:val="10"/>
          <w:sz w:val="23"/>
          <w:szCs w:val="23"/>
        </w:rPr>
        <w:t xml:space="preserve">分，其剖面从上而下大体可分为：表土层，厚度约在 </w:t>
      </w:r>
      <w:r>
        <w:rPr>
          <w:rFonts w:ascii="Times New Roman" w:hAnsi="Times New Roman" w:eastAsia="Times New Roman" w:cs="Times New Roman"/>
          <w:spacing w:val="10"/>
          <w:sz w:val="23"/>
          <w:szCs w:val="23"/>
        </w:rPr>
        <w:t>20</w:t>
      </w:r>
      <w:r>
        <w:rPr>
          <w:rFonts w:ascii="Times New Roman" w:hAnsi="Times New Roman" w:eastAsia="Times New Roman" w:cs="Times New Roman"/>
          <w:sz w:val="23"/>
          <w:szCs w:val="23"/>
        </w:rPr>
        <w:t>cm</w:t>
      </w:r>
      <w:r>
        <w:rPr>
          <w:rFonts w:ascii="Times New Roman" w:hAnsi="Times New Roman" w:eastAsia="Times New Roman" w:cs="Times New Roman"/>
          <w:spacing w:val="10"/>
          <w:sz w:val="23"/>
          <w:szCs w:val="23"/>
        </w:rPr>
        <w:t xml:space="preserve"> </w:t>
      </w:r>
      <w:r>
        <w:rPr>
          <w:rFonts w:ascii="宋体" w:hAnsi="宋体" w:eastAsia="宋体" w:cs="宋体"/>
          <w:spacing w:val="10"/>
          <w:sz w:val="23"/>
          <w:szCs w:val="23"/>
        </w:rPr>
        <w:t>左右；心土层，位</w:t>
      </w:r>
      <w:r>
        <w:rPr>
          <w:rFonts w:ascii="宋体" w:hAnsi="宋体" w:eastAsia="宋体" w:cs="宋体"/>
          <w:sz w:val="23"/>
          <w:szCs w:val="23"/>
        </w:rPr>
        <w:t xml:space="preserve"> </w:t>
      </w:r>
      <w:r>
        <w:rPr>
          <w:rFonts w:ascii="宋体" w:hAnsi="宋体" w:eastAsia="宋体" w:cs="宋体"/>
          <w:spacing w:val="8"/>
          <w:sz w:val="23"/>
          <w:szCs w:val="23"/>
        </w:rPr>
        <w:t>于表土</w:t>
      </w:r>
      <w:r>
        <w:rPr>
          <w:rFonts w:ascii="宋体" w:hAnsi="宋体" w:eastAsia="宋体" w:cs="宋体"/>
          <w:spacing w:val="5"/>
          <w:sz w:val="23"/>
          <w:szCs w:val="23"/>
        </w:rPr>
        <w:t>层</w:t>
      </w:r>
      <w:r>
        <w:rPr>
          <w:rFonts w:ascii="宋体" w:hAnsi="宋体" w:eastAsia="宋体" w:cs="宋体"/>
          <w:spacing w:val="4"/>
          <w:sz w:val="23"/>
          <w:szCs w:val="23"/>
        </w:rPr>
        <w:t xml:space="preserve">以下，厚度约为 </w:t>
      </w:r>
      <w:r>
        <w:rPr>
          <w:rFonts w:ascii="Times New Roman" w:hAnsi="Times New Roman" w:eastAsia="Times New Roman" w:cs="Times New Roman"/>
          <w:spacing w:val="4"/>
          <w:sz w:val="23"/>
          <w:szCs w:val="23"/>
        </w:rPr>
        <w:t>20-30</w:t>
      </w:r>
      <w:r>
        <w:rPr>
          <w:rFonts w:ascii="Times New Roman" w:hAnsi="Times New Roman" w:eastAsia="Times New Roman" w:cs="Times New Roman"/>
          <w:sz w:val="23"/>
          <w:szCs w:val="23"/>
        </w:rPr>
        <w:t>cm</w:t>
      </w:r>
      <w:r>
        <w:rPr>
          <w:rFonts w:ascii="宋体" w:hAnsi="宋体" w:eastAsia="宋体" w:cs="宋体"/>
          <w:spacing w:val="4"/>
          <w:sz w:val="23"/>
          <w:szCs w:val="23"/>
        </w:rPr>
        <w:t xml:space="preserve">；底土层，一般位于土体表面 </w:t>
      </w:r>
      <w:r>
        <w:rPr>
          <w:rFonts w:ascii="Times New Roman" w:hAnsi="Times New Roman" w:eastAsia="Times New Roman" w:cs="Times New Roman"/>
          <w:spacing w:val="4"/>
          <w:sz w:val="23"/>
          <w:szCs w:val="23"/>
        </w:rPr>
        <w:t>50- 60</w:t>
      </w:r>
      <w:r>
        <w:rPr>
          <w:rFonts w:ascii="Times New Roman" w:hAnsi="Times New Roman" w:eastAsia="Times New Roman" w:cs="Times New Roman"/>
          <w:sz w:val="23"/>
          <w:szCs w:val="23"/>
        </w:rPr>
        <w:t>cm</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以下的深</w:t>
      </w:r>
      <w:r>
        <w:rPr>
          <w:rFonts w:ascii="宋体" w:hAnsi="宋体" w:eastAsia="宋体" w:cs="宋体"/>
          <w:sz w:val="23"/>
          <w:szCs w:val="23"/>
        </w:rPr>
        <w:t xml:space="preserve"> </w:t>
      </w:r>
      <w:r>
        <w:rPr>
          <w:rFonts w:ascii="宋体" w:hAnsi="宋体" w:eastAsia="宋体" w:cs="宋体"/>
          <w:spacing w:val="8"/>
          <w:sz w:val="23"/>
          <w:szCs w:val="23"/>
        </w:rPr>
        <w:t>度</w:t>
      </w:r>
      <w:r>
        <w:rPr>
          <w:rFonts w:ascii="宋体" w:hAnsi="宋体" w:eastAsia="宋体" w:cs="宋体"/>
          <w:spacing w:val="5"/>
          <w:sz w:val="23"/>
          <w:szCs w:val="23"/>
        </w:rPr>
        <w:t xml:space="preserve">，此层植物根系分布较少。对目前耕地土层剥离时，按照 </w:t>
      </w:r>
      <w:r>
        <w:rPr>
          <w:rFonts w:ascii="Times New Roman" w:hAnsi="Times New Roman" w:eastAsia="Times New Roman" w:cs="Times New Roman"/>
          <w:spacing w:val="5"/>
          <w:sz w:val="23"/>
          <w:szCs w:val="23"/>
        </w:rPr>
        <w:t>20</w:t>
      </w:r>
      <w:r>
        <w:rPr>
          <w:rFonts w:ascii="Times New Roman" w:hAnsi="Times New Roman" w:eastAsia="Times New Roman" w:cs="Times New Roman"/>
          <w:sz w:val="23"/>
          <w:szCs w:val="23"/>
        </w:rPr>
        <w:t>cm</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表土层，</w:t>
      </w:r>
      <w:r>
        <w:rPr>
          <w:rFonts w:ascii="Times New Roman" w:hAnsi="Times New Roman" w:eastAsia="Times New Roman" w:cs="Times New Roman"/>
          <w:spacing w:val="5"/>
          <w:sz w:val="23"/>
          <w:szCs w:val="23"/>
        </w:rPr>
        <w:t>20-60</w:t>
      </w:r>
      <w:r>
        <w:rPr>
          <w:rFonts w:ascii="Times New Roman" w:hAnsi="Times New Roman" w:eastAsia="Times New Roman" w:cs="Times New Roman"/>
          <w:sz w:val="23"/>
          <w:szCs w:val="23"/>
        </w:rPr>
        <w:t xml:space="preserve">cm </w:t>
      </w:r>
      <w:r>
        <w:rPr>
          <w:rFonts w:ascii="宋体" w:hAnsi="宋体" w:eastAsia="宋体" w:cs="宋体"/>
          <w:spacing w:val="18"/>
          <w:sz w:val="23"/>
          <w:szCs w:val="23"/>
        </w:rPr>
        <w:t>心</w:t>
      </w:r>
      <w:r>
        <w:rPr>
          <w:rFonts w:ascii="宋体" w:hAnsi="宋体" w:eastAsia="宋体" w:cs="宋体"/>
          <w:spacing w:val="17"/>
          <w:sz w:val="23"/>
          <w:szCs w:val="23"/>
        </w:rPr>
        <w:t>土</w:t>
      </w:r>
      <w:r>
        <w:rPr>
          <w:rFonts w:ascii="宋体" w:hAnsi="宋体" w:eastAsia="宋体" w:cs="宋体"/>
          <w:spacing w:val="9"/>
          <w:sz w:val="23"/>
          <w:szCs w:val="23"/>
        </w:rPr>
        <w:t>底和底土层分别剥离，剥离的表土层土壤应与心土层和底土层分别堆放保存。</w:t>
      </w:r>
    </w:p>
    <w:p w14:paraId="251B47E0">
      <w:pPr>
        <w:spacing w:line="375" w:lineRule="auto"/>
        <w:ind w:left="9" w:right="59" w:firstLine="481"/>
        <w:rPr>
          <w:rFonts w:ascii="宋体" w:hAnsi="宋体" w:eastAsia="宋体" w:cs="宋体"/>
          <w:sz w:val="23"/>
          <w:szCs w:val="23"/>
        </w:rPr>
      </w:pPr>
      <w:r>
        <w:rPr>
          <w:rFonts w:ascii="宋体" w:hAnsi="宋体" w:eastAsia="宋体" w:cs="宋体"/>
          <w:spacing w:val="6"/>
          <w:sz w:val="23"/>
          <w:szCs w:val="23"/>
        </w:rPr>
        <w:t>土地平整后，要</w:t>
      </w:r>
      <w:r>
        <w:rPr>
          <w:rFonts w:ascii="宋体" w:hAnsi="宋体" w:eastAsia="宋体" w:cs="宋体"/>
          <w:spacing w:val="5"/>
          <w:sz w:val="23"/>
          <w:szCs w:val="23"/>
        </w:rPr>
        <w:t>对</w:t>
      </w:r>
      <w:r>
        <w:rPr>
          <w:rFonts w:ascii="宋体" w:hAnsi="宋体" w:eastAsia="宋体" w:cs="宋体"/>
          <w:spacing w:val="3"/>
          <w:sz w:val="23"/>
          <w:szCs w:val="23"/>
        </w:rPr>
        <w:t>平整后的土地进行覆土，覆土来源来自施工前表层腐殖质土的</w:t>
      </w:r>
      <w:r>
        <w:rPr>
          <w:rFonts w:ascii="宋体" w:hAnsi="宋体" w:eastAsia="宋体" w:cs="宋体"/>
          <w:sz w:val="23"/>
          <w:szCs w:val="23"/>
        </w:rPr>
        <w:t xml:space="preserve"> </w:t>
      </w:r>
      <w:r>
        <w:rPr>
          <w:rFonts w:ascii="宋体" w:hAnsi="宋体" w:eastAsia="宋体" w:cs="宋体"/>
          <w:spacing w:val="4"/>
          <w:sz w:val="23"/>
          <w:szCs w:val="23"/>
        </w:rPr>
        <w:t>剥离，覆土厚度根据复垦后土地的利用方向具体确定。覆土时应根据前期表土剥离</w:t>
      </w:r>
      <w:r>
        <w:rPr>
          <w:rFonts w:ascii="宋体" w:hAnsi="宋体" w:eastAsia="宋体" w:cs="宋体"/>
          <w:spacing w:val="3"/>
          <w:sz w:val="23"/>
          <w:szCs w:val="23"/>
        </w:rPr>
        <w:t>的</w:t>
      </w:r>
      <w:r>
        <w:rPr>
          <w:rFonts w:ascii="宋体" w:hAnsi="宋体" w:eastAsia="宋体" w:cs="宋体"/>
          <w:sz w:val="23"/>
          <w:szCs w:val="23"/>
        </w:rPr>
        <w:t xml:space="preserve"> </w:t>
      </w:r>
      <w:r>
        <w:rPr>
          <w:rFonts w:ascii="宋体" w:hAnsi="宋体" w:eastAsia="宋体" w:cs="宋体"/>
          <w:spacing w:val="18"/>
          <w:sz w:val="23"/>
          <w:szCs w:val="23"/>
        </w:rPr>
        <w:t>表</w:t>
      </w:r>
      <w:r>
        <w:rPr>
          <w:rFonts w:ascii="宋体" w:hAnsi="宋体" w:eastAsia="宋体" w:cs="宋体"/>
          <w:spacing w:val="15"/>
          <w:sz w:val="23"/>
          <w:szCs w:val="23"/>
        </w:rPr>
        <w:t>土</w:t>
      </w:r>
      <w:r>
        <w:rPr>
          <w:rFonts w:ascii="宋体" w:hAnsi="宋体" w:eastAsia="宋体" w:cs="宋体"/>
          <w:spacing w:val="9"/>
          <w:sz w:val="23"/>
          <w:szCs w:val="23"/>
        </w:rPr>
        <w:t>分别覆盖。表土层覆于上部，心土层和底土层土壤仍可作为复垦底层土。</w:t>
      </w:r>
    </w:p>
    <w:p w14:paraId="22A13504">
      <w:pPr>
        <w:spacing w:line="228" w:lineRule="auto"/>
        <w:ind w:left="501"/>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2</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复垦措施</w:t>
      </w:r>
    </w:p>
    <w:p w14:paraId="1D7BAFB9">
      <w:pPr>
        <w:spacing w:before="182" w:line="375" w:lineRule="auto"/>
        <w:ind w:left="11" w:right="61" w:firstLine="480"/>
        <w:rPr>
          <w:rFonts w:ascii="宋体" w:hAnsi="宋体" w:eastAsia="宋体" w:cs="宋体"/>
          <w:sz w:val="23"/>
          <w:szCs w:val="23"/>
        </w:rPr>
      </w:pPr>
      <w:r>
        <w:rPr>
          <w:rFonts w:ascii="宋体" w:hAnsi="宋体" w:eastAsia="宋体" w:cs="宋体"/>
          <w:spacing w:val="7"/>
          <w:sz w:val="23"/>
          <w:szCs w:val="23"/>
        </w:rPr>
        <w:t xml:space="preserve">土地复垦按作业性质一般可分为工程复垦和生态复垦两个阶段；工程复垦阶 </w:t>
      </w:r>
      <w:r>
        <w:rPr>
          <w:rFonts w:ascii="宋体" w:hAnsi="宋体" w:eastAsia="宋体" w:cs="宋体"/>
          <w:spacing w:val="3"/>
          <w:sz w:val="23"/>
          <w:szCs w:val="23"/>
        </w:rPr>
        <w:t>段</w:t>
      </w:r>
      <w:r>
        <w:rPr>
          <w:rFonts w:ascii="宋体" w:hAnsi="宋体" w:eastAsia="宋体" w:cs="宋体"/>
          <w:sz w:val="23"/>
          <w:szCs w:val="23"/>
        </w:rPr>
        <w:t xml:space="preserve"> </w:t>
      </w:r>
      <w:r>
        <w:rPr>
          <w:rFonts w:ascii="宋体" w:hAnsi="宋体" w:eastAsia="宋体" w:cs="宋体"/>
          <w:spacing w:val="9"/>
          <w:sz w:val="23"/>
          <w:szCs w:val="23"/>
        </w:rPr>
        <w:t>主</w:t>
      </w:r>
      <w:r>
        <w:rPr>
          <w:rFonts w:ascii="宋体" w:hAnsi="宋体" w:eastAsia="宋体" w:cs="宋体"/>
          <w:spacing w:val="7"/>
          <w:sz w:val="23"/>
          <w:szCs w:val="23"/>
        </w:rPr>
        <w:t>要是项目退役进行土壤重构工程，通过覆土等工程措施，将已损毁的土地复 垦为</w:t>
      </w:r>
      <w:r>
        <w:rPr>
          <w:rFonts w:ascii="宋体" w:hAnsi="宋体" w:eastAsia="宋体" w:cs="宋体"/>
          <w:sz w:val="23"/>
          <w:szCs w:val="23"/>
        </w:rPr>
        <w:t xml:space="preserve"> </w:t>
      </w:r>
      <w:r>
        <w:rPr>
          <w:rFonts w:ascii="宋体" w:hAnsi="宋体" w:eastAsia="宋体" w:cs="宋体"/>
          <w:spacing w:val="6"/>
          <w:sz w:val="23"/>
          <w:szCs w:val="23"/>
        </w:rPr>
        <w:t>可供利用的土地；生</w:t>
      </w:r>
      <w:r>
        <w:rPr>
          <w:rFonts w:ascii="宋体" w:hAnsi="宋体" w:eastAsia="宋体" w:cs="宋体"/>
          <w:spacing w:val="5"/>
          <w:sz w:val="23"/>
          <w:szCs w:val="23"/>
        </w:rPr>
        <w:t>态</w:t>
      </w:r>
      <w:r>
        <w:rPr>
          <w:rFonts w:ascii="宋体" w:hAnsi="宋体" w:eastAsia="宋体" w:cs="宋体"/>
          <w:spacing w:val="3"/>
          <w:sz w:val="23"/>
          <w:szCs w:val="23"/>
        </w:rPr>
        <w:t>复垦阶段主要通过对复垦为林地和草地的土地进行种 植， 以</w:t>
      </w:r>
      <w:r>
        <w:rPr>
          <w:rFonts w:ascii="宋体" w:hAnsi="宋体" w:eastAsia="宋体" w:cs="宋体"/>
          <w:sz w:val="23"/>
          <w:szCs w:val="23"/>
        </w:rPr>
        <w:t xml:space="preserve"> </w:t>
      </w:r>
      <w:r>
        <w:rPr>
          <w:rFonts w:ascii="宋体" w:hAnsi="宋体" w:eastAsia="宋体" w:cs="宋体"/>
          <w:spacing w:val="7"/>
          <w:sz w:val="23"/>
          <w:szCs w:val="23"/>
        </w:rPr>
        <w:t>保护生态环境。</w:t>
      </w:r>
    </w:p>
    <w:p w14:paraId="2D111ACF">
      <w:pPr>
        <w:spacing w:line="227" w:lineRule="auto"/>
        <w:ind w:left="508"/>
        <w:rPr>
          <w:rFonts w:ascii="宋体" w:hAnsi="宋体" w:eastAsia="宋体" w:cs="宋体"/>
          <w:sz w:val="23"/>
          <w:szCs w:val="23"/>
        </w:rPr>
      </w:pPr>
      <w:r>
        <w:rPr>
          <w:rFonts w:ascii="Times New Roman" w:hAnsi="Times New Roman" w:eastAsia="Times New Roman" w:cs="Times New Roman"/>
          <w:spacing w:val="6"/>
          <w:sz w:val="23"/>
          <w:szCs w:val="23"/>
        </w:rPr>
        <w:t>1</w:t>
      </w:r>
      <w:r>
        <w:rPr>
          <w:rFonts w:ascii="宋体" w:hAnsi="宋体" w:eastAsia="宋体" w:cs="宋体"/>
          <w:spacing w:val="5"/>
          <w:sz w:val="23"/>
          <w:szCs w:val="23"/>
        </w:rPr>
        <w:t>) 工程技术措施</w:t>
      </w:r>
    </w:p>
    <w:p w14:paraId="043E3F6F">
      <w:pPr>
        <w:spacing w:before="182" w:line="375" w:lineRule="auto"/>
        <w:ind w:left="12" w:right="61" w:firstLine="478"/>
        <w:rPr>
          <w:rFonts w:ascii="宋体" w:hAnsi="宋体" w:eastAsia="宋体" w:cs="宋体"/>
          <w:sz w:val="23"/>
          <w:szCs w:val="23"/>
        </w:rPr>
      </w:pPr>
      <w:r>
        <w:rPr>
          <w:rFonts w:ascii="宋体" w:hAnsi="宋体" w:eastAsia="宋体" w:cs="宋体"/>
          <w:spacing w:val="20"/>
          <w:sz w:val="23"/>
          <w:szCs w:val="23"/>
        </w:rPr>
        <w:t>拆</w:t>
      </w:r>
      <w:r>
        <w:rPr>
          <w:rFonts w:ascii="宋体" w:hAnsi="宋体" w:eastAsia="宋体" w:cs="宋体"/>
          <w:spacing w:val="16"/>
          <w:sz w:val="23"/>
          <w:szCs w:val="23"/>
        </w:rPr>
        <w:t>除</w:t>
      </w:r>
      <w:r>
        <w:rPr>
          <w:rFonts w:ascii="宋体" w:hAnsi="宋体" w:eastAsia="宋体" w:cs="宋体"/>
          <w:spacing w:val="10"/>
          <w:sz w:val="23"/>
          <w:szCs w:val="23"/>
        </w:rPr>
        <w:t>地面建筑，清运拆除后的废弃建渣，拆除的废渣可用于周边新建农村道路</w:t>
      </w:r>
      <w:r>
        <w:rPr>
          <w:rFonts w:ascii="宋体" w:hAnsi="宋体" w:eastAsia="宋体" w:cs="宋体"/>
          <w:sz w:val="23"/>
          <w:szCs w:val="23"/>
        </w:rPr>
        <w:t xml:space="preserve"> </w:t>
      </w:r>
      <w:r>
        <w:rPr>
          <w:rFonts w:ascii="宋体" w:hAnsi="宋体" w:eastAsia="宋体" w:cs="宋体"/>
          <w:spacing w:val="7"/>
          <w:sz w:val="23"/>
          <w:szCs w:val="23"/>
        </w:rPr>
        <w:t>的路基回填，翻耕原有建筑下的图层作为底层土，采用铲车或挖掘机将堆存表 土</w:t>
      </w:r>
      <w:r>
        <w:rPr>
          <w:rFonts w:ascii="宋体" w:hAnsi="宋体" w:eastAsia="宋体" w:cs="宋体"/>
          <w:spacing w:val="5"/>
          <w:sz w:val="23"/>
          <w:szCs w:val="23"/>
        </w:rPr>
        <w:t>运</w:t>
      </w:r>
      <w:r>
        <w:rPr>
          <w:rFonts w:ascii="宋体" w:hAnsi="宋体" w:eastAsia="宋体" w:cs="宋体"/>
          <w:sz w:val="23"/>
          <w:szCs w:val="23"/>
        </w:rPr>
        <w:t xml:space="preserve"> </w:t>
      </w:r>
      <w:r>
        <w:rPr>
          <w:rFonts w:ascii="宋体" w:hAnsi="宋体" w:eastAsia="宋体" w:cs="宋体"/>
          <w:spacing w:val="12"/>
          <w:sz w:val="23"/>
          <w:szCs w:val="23"/>
        </w:rPr>
        <w:t>至复垦</w:t>
      </w:r>
      <w:r>
        <w:rPr>
          <w:rFonts w:ascii="宋体" w:hAnsi="宋体" w:eastAsia="宋体" w:cs="宋体"/>
          <w:spacing w:val="6"/>
          <w:sz w:val="23"/>
          <w:szCs w:val="23"/>
        </w:rPr>
        <w:t>区域，平整后使其土层厚度达到</w:t>
      </w:r>
      <w:r>
        <w:rPr>
          <w:rFonts w:ascii="Times New Roman" w:hAnsi="Times New Roman" w:eastAsia="Times New Roman" w:cs="Times New Roman"/>
          <w:spacing w:val="6"/>
          <w:sz w:val="23"/>
          <w:szCs w:val="23"/>
        </w:rPr>
        <w:t>40</w:t>
      </w:r>
      <w:r>
        <w:rPr>
          <w:rFonts w:ascii="Times New Roman" w:hAnsi="Times New Roman" w:eastAsia="Times New Roman" w:cs="Times New Roman"/>
          <w:sz w:val="23"/>
          <w:szCs w:val="23"/>
        </w:rPr>
        <w:t>cm</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，复垦为旱地，增施有机肥。</w:t>
      </w:r>
    </w:p>
    <w:p w14:paraId="63143CB2">
      <w:pPr>
        <w:spacing w:line="228" w:lineRule="auto"/>
        <w:ind w:left="485"/>
        <w:rPr>
          <w:rFonts w:ascii="宋体" w:hAnsi="宋体" w:eastAsia="宋体" w:cs="宋体"/>
          <w:sz w:val="23"/>
          <w:szCs w:val="23"/>
        </w:rPr>
      </w:pPr>
      <w:r>
        <w:rPr>
          <w:rFonts w:ascii="Times New Roman" w:hAnsi="Times New Roman" w:eastAsia="Times New Roman" w:cs="Times New Roman"/>
          <w:spacing w:val="13"/>
          <w:sz w:val="23"/>
          <w:szCs w:val="23"/>
        </w:rPr>
        <w:t>2</w:t>
      </w:r>
      <w:r>
        <w:rPr>
          <w:rFonts w:ascii="宋体" w:hAnsi="宋体" w:eastAsia="宋体" w:cs="宋体"/>
          <w:spacing w:val="7"/>
          <w:sz w:val="23"/>
          <w:szCs w:val="23"/>
        </w:rPr>
        <w:t>) 生物化学措施</w:t>
      </w:r>
    </w:p>
    <w:p w14:paraId="1A695B6C">
      <w:pPr>
        <w:spacing w:before="181" w:line="375" w:lineRule="auto"/>
        <w:ind w:left="10" w:right="61" w:firstLine="482"/>
        <w:rPr>
          <w:rFonts w:ascii="宋体" w:hAnsi="宋体" w:eastAsia="宋体" w:cs="宋体"/>
          <w:sz w:val="23"/>
          <w:szCs w:val="23"/>
        </w:rPr>
      </w:pPr>
      <w:r>
        <w:rPr>
          <w:rFonts w:ascii="宋体" w:hAnsi="宋体" w:eastAsia="宋体" w:cs="宋体"/>
          <w:spacing w:val="20"/>
          <w:sz w:val="23"/>
          <w:szCs w:val="23"/>
        </w:rPr>
        <w:t>工</w:t>
      </w:r>
      <w:r>
        <w:rPr>
          <w:rFonts w:ascii="宋体" w:hAnsi="宋体" w:eastAsia="宋体" w:cs="宋体"/>
          <w:spacing w:val="14"/>
          <w:sz w:val="23"/>
          <w:szCs w:val="23"/>
        </w:rPr>
        <w:t>程</w:t>
      </w:r>
      <w:r>
        <w:rPr>
          <w:rFonts w:ascii="宋体" w:hAnsi="宋体" w:eastAsia="宋体" w:cs="宋体"/>
          <w:spacing w:val="10"/>
          <w:sz w:val="23"/>
          <w:szCs w:val="23"/>
        </w:rPr>
        <w:t>复垦措施实施后，应及时进行生物复垦，恢复植被，有效控制项目区的水</w:t>
      </w:r>
      <w:r>
        <w:rPr>
          <w:rFonts w:ascii="宋体" w:hAnsi="宋体" w:eastAsia="宋体" w:cs="宋体"/>
          <w:sz w:val="23"/>
          <w:szCs w:val="23"/>
        </w:rPr>
        <w:t xml:space="preserve"> </w:t>
      </w:r>
      <w:r>
        <w:rPr>
          <w:rFonts w:ascii="宋体" w:hAnsi="宋体" w:eastAsia="宋体" w:cs="宋体"/>
          <w:spacing w:val="20"/>
          <w:sz w:val="23"/>
          <w:szCs w:val="23"/>
        </w:rPr>
        <w:t>土</w:t>
      </w:r>
      <w:r>
        <w:rPr>
          <w:rFonts w:ascii="宋体" w:hAnsi="宋体" w:eastAsia="宋体" w:cs="宋体"/>
          <w:spacing w:val="16"/>
          <w:sz w:val="23"/>
          <w:szCs w:val="23"/>
        </w:rPr>
        <w:t>流</w:t>
      </w:r>
      <w:r>
        <w:rPr>
          <w:rFonts w:ascii="宋体" w:hAnsi="宋体" w:eastAsia="宋体" w:cs="宋体"/>
          <w:spacing w:val="10"/>
          <w:sz w:val="23"/>
          <w:szCs w:val="23"/>
        </w:rPr>
        <w:t>失，改善项目区的生态环境。生物和化学措施的实施是实现土地复垦的关键环</w:t>
      </w:r>
      <w:r>
        <w:rPr>
          <w:rFonts w:ascii="宋体" w:hAnsi="宋体" w:eastAsia="宋体" w:cs="宋体"/>
          <w:sz w:val="23"/>
          <w:szCs w:val="23"/>
        </w:rPr>
        <w:t xml:space="preserve"> 节。</w:t>
      </w:r>
    </w:p>
    <w:p w14:paraId="56E50125">
      <w:pPr>
        <w:spacing w:before="2" w:line="374" w:lineRule="auto"/>
        <w:ind w:left="11" w:right="61" w:firstLine="478"/>
        <w:rPr>
          <w:rFonts w:ascii="宋体" w:hAnsi="宋体" w:eastAsia="宋体" w:cs="宋体"/>
          <w:sz w:val="23"/>
          <w:szCs w:val="23"/>
        </w:rPr>
      </w:pPr>
      <w:r>
        <w:rPr>
          <w:rFonts w:ascii="宋体" w:hAnsi="宋体" w:eastAsia="宋体" w:cs="宋体"/>
          <w:spacing w:val="11"/>
          <w:sz w:val="23"/>
          <w:szCs w:val="23"/>
        </w:rPr>
        <w:t>①认真贯彻</w:t>
      </w:r>
      <w:r>
        <w:rPr>
          <w:rFonts w:ascii="Times New Roman" w:hAnsi="Times New Roman" w:eastAsia="Times New Roman" w:cs="Times New Roman"/>
          <w:spacing w:val="11"/>
          <w:sz w:val="23"/>
          <w:szCs w:val="23"/>
        </w:rPr>
        <w:t>“</w:t>
      </w:r>
      <w:r>
        <w:rPr>
          <w:rFonts w:ascii="宋体" w:hAnsi="宋体" w:eastAsia="宋体" w:cs="宋体"/>
          <w:spacing w:val="11"/>
          <w:sz w:val="23"/>
          <w:szCs w:val="23"/>
        </w:rPr>
        <w:t>因地制宜</w:t>
      </w:r>
      <w:r>
        <w:rPr>
          <w:rFonts w:ascii="Times New Roman" w:hAnsi="Times New Roman" w:eastAsia="Times New Roman" w:cs="Times New Roman"/>
          <w:spacing w:val="11"/>
          <w:sz w:val="23"/>
          <w:szCs w:val="23"/>
        </w:rPr>
        <w:t>”</w:t>
      </w:r>
      <w:r>
        <w:rPr>
          <w:rFonts w:ascii="宋体" w:hAnsi="宋体" w:eastAsia="宋体" w:cs="宋体"/>
          <w:spacing w:val="11"/>
          <w:sz w:val="23"/>
          <w:szCs w:val="23"/>
        </w:rPr>
        <w:t>的原则，根据不同地段立地条件、土壤结构、地形地</w:t>
      </w:r>
      <w:r>
        <w:rPr>
          <w:rFonts w:ascii="宋体" w:hAnsi="宋体" w:eastAsia="宋体" w:cs="宋体"/>
          <w:spacing w:val="9"/>
          <w:sz w:val="23"/>
          <w:szCs w:val="23"/>
        </w:rPr>
        <w:t>貌</w:t>
      </w:r>
      <w:r>
        <w:rPr>
          <w:rFonts w:ascii="宋体" w:hAnsi="宋体" w:eastAsia="宋体" w:cs="宋体"/>
          <w:sz w:val="23"/>
          <w:szCs w:val="23"/>
        </w:rPr>
        <w:t xml:space="preserve"> </w:t>
      </w:r>
      <w:r>
        <w:rPr>
          <w:rFonts w:ascii="宋体" w:hAnsi="宋体" w:eastAsia="宋体" w:cs="宋体"/>
          <w:spacing w:val="18"/>
          <w:sz w:val="23"/>
          <w:szCs w:val="23"/>
        </w:rPr>
        <w:t>和</w:t>
      </w:r>
      <w:r>
        <w:rPr>
          <w:rFonts w:ascii="宋体" w:hAnsi="宋体" w:eastAsia="宋体" w:cs="宋体"/>
          <w:spacing w:val="12"/>
          <w:sz w:val="23"/>
          <w:szCs w:val="23"/>
        </w:rPr>
        <w:t>水</w:t>
      </w:r>
      <w:r>
        <w:rPr>
          <w:rFonts w:ascii="宋体" w:hAnsi="宋体" w:eastAsia="宋体" w:cs="宋体"/>
          <w:spacing w:val="9"/>
          <w:sz w:val="23"/>
          <w:szCs w:val="23"/>
        </w:rPr>
        <w:t>土流失情况等因素，恢复植被。按项目建设前土地利用类型进行复垦。</w:t>
      </w:r>
    </w:p>
    <w:p w14:paraId="2A69CA26">
      <w:pPr>
        <w:spacing w:before="2" w:line="374" w:lineRule="auto"/>
        <w:ind w:left="9" w:right="61" w:firstLine="479"/>
        <w:rPr>
          <w:rFonts w:ascii="宋体" w:hAnsi="宋体" w:eastAsia="宋体" w:cs="宋体"/>
          <w:sz w:val="23"/>
          <w:szCs w:val="23"/>
        </w:rPr>
      </w:pPr>
      <w:r>
        <w:rPr>
          <w:rFonts w:ascii="宋体" w:hAnsi="宋体" w:eastAsia="宋体" w:cs="宋体"/>
          <w:spacing w:val="20"/>
          <w:sz w:val="23"/>
          <w:szCs w:val="23"/>
        </w:rPr>
        <w:t>②</w:t>
      </w:r>
      <w:r>
        <w:rPr>
          <w:rFonts w:ascii="宋体" w:hAnsi="宋体" w:eastAsia="宋体" w:cs="宋体"/>
          <w:spacing w:val="18"/>
          <w:sz w:val="23"/>
          <w:szCs w:val="23"/>
        </w:rPr>
        <w:t>以</w:t>
      </w:r>
      <w:r>
        <w:rPr>
          <w:rFonts w:ascii="宋体" w:hAnsi="宋体" w:eastAsia="宋体" w:cs="宋体"/>
          <w:spacing w:val="10"/>
          <w:sz w:val="23"/>
          <w:szCs w:val="23"/>
        </w:rPr>
        <w:t>建立项目区人工生态系统为复垦目标，在工程复垦的基础上，进行土地复</w:t>
      </w:r>
      <w:r>
        <w:rPr>
          <w:rFonts w:ascii="宋体" w:hAnsi="宋体" w:eastAsia="宋体" w:cs="宋体"/>
          <w:sz w:val="23"/>
          <w:szCs w:val="23"/>
        </w:rPr>
        <w:t xml:space="preserve"> </w:t>
      </w:r>
      <w:r>
        <w:rPr>
          <w:rFonts w:ascii="宋体" w:hAnsi="宋体" w:eastAsia="宋体" w:cs="宋体"/>
          <w:spacing w:val="9"/>
          <w:sz w:val="23"/>
          <w:szCs w:val="23"/>
        </w:rPr>
        <w:t>垦要因地制宜，优先考虑复垦为农业用地。</w:t>
      </w:r>
    </w:p>
    <w:p w14:paraId="377CE840">
      <w:pPr>
        <w:spacing w:before="1" w:line="374" w:lineRule="auto"/>
        <w:ind w:left="11" w:right="61" w:firstLine="477"/>
        <w:rPr>
          <w:rFonts w:ascii="宋体" w:hAnsi="宋体" w:eastAsia="宋体" w:cs="宋体"/>
          <w:sz w:val="23"/>
          <w:szCs w:val="23"/>
        </w:rPr>
      </w:pPr>
      <w:r>
        <w:rPr>
          <w:rFonts w:ascii="宋体" w:hAnsi="宋体" w:eastAsia="宋体" w:cs="宋体"/>
          <w:spacing w:val="6"/>
          <w:sz w:val="23"/>
          <w:szCs w:val="23"/>
        </w:rPr>
        <w:t>③在土壤有机质</w:t>
      </w:r>
      <w:r>
        <w:rPr>
          <w:rFonts w:ascii="宋体" w:hAnsi="宋体" w:eastAsia="宋体" w:cs="宋体"/>
          <w:spacing w:val="5"/>
          <w:sz w:val="23"/>
          <w:szCs w:val="23"/>
        </w:rPr>
        <w:t>较</w:t>
      </w:r>
      <w:r>
        <w:rPr>
          <w:rFonts w:ascii="宋体" w:hAnsi="宋体" w:eastAsia="宋体" w:cs="宋体"/>
          <w:spacing w:val="3"/>
          <w:sz w:val="23"/>
          <w:szCs w:val="23"/>
        </w:rPr>
        <w:t>低的区域，以草为先锋，乔木为主体，建立乔灌草相结合的防</w:t>
      </w:r>
      <w:r>
        <w:rPr>
          <w:rFonts w:ascii="宋体" w:hAnsi="宋体" w:eastAsia="宋体" w:cs="宋体"/>
          <w:sz w:val="23"/>
          <w:szCs w:val="23"/>
        </w:rPr>
        <w:t xml:space="preserve"> </w:t>
      </w:r>
      <w:r>
        <w:rPr>
          <w:rFonts w:ascii="宋体" w:hAnsi="宋体" w:eastAsia="宋体" w:cs="宋体"/>
          <w:spacing w:val="6"/>
          <w:sz w:val="23"/>
          <w:szCs w:val="23"/>
        </w:rPr>
        <w:t>护林体系</w:t>
      </w:r>
      <w:r>
        <w:rPr>
          <w:rFonts w:ascii="宋体" w:hAnsi="宋体" w:eastAsia="宋体" w:cs="宋体"/>
          <w:spacing w:val="5"/>
          <w:sz w:val="23"/>
          <w:szCs w:val="23"/>
        </w:rPr>
        <w:t>。</w:t>
      </w:r>
    </w:p>
    <w:p w14:paraId="4DE6ADED">
      <w:pPr>
        <w:spacing w:before="1" w:line="225" w:lineRule="auto"/>
        <w:ind w:left="488"/>
        <w:rPr>
          <w:rFonts w:ascii="宋体" w:hAnsi="宋体" w:eastAsia="宋体" w:cs="宋体"/>
          <w:sz w:val="23"/>
          <w:szCs w:val="23"/>
        </w:rPr>
      </w:pPr>
      <w:r>
        <w:rPr>
          <w:rFonts w:ascii="宋体" w:hAnsi="宋体" w:eastAsia="宋体" w:cs="宋体"/>
          <w:spacing w:val="12"/>
          <w:sz w:val="23"/>
          <w:szCs w:val="23"/>
        </w:rPr>
        <w:t>④</w:t>
      </w:r>
      <w:r>
        <w:rPr>
          <w:rFonts w:ascii="宋体" w:hAnsi="宋体" w:eastAsia="宋体" w:cs="宋体"/>
          <w:spacing w:val="9"/>
          <w:sz w:val="23"/>
          <w:szCs w:val="23"/>
        </w:rPr>
        <w:t>土壤肥力低的区段，采用有效措施改良土壤。</w:t>
      </w:r>
    </w:p>
    <w:p w14:paraId="25AB2C4C">
      <w:pPr>
        <w:sectPr>
          <w:headerReference r:id="rId225" w:type="default"/>
          <w:footerReference r:id="rId226" w:type="default"/>
          <w:pgSz w:w="11907" w:h="16840"/>
          <w:pgMar w:top="1153" w:right="1518" w:bottom="1485" w:left="1660" w:header="919" w:footer="1298" w:gutter="0"/>
          <w:cols w:space="720" w:num="1"/>
        </w:sectPr>
      </w:pPr>
    </w:p>
    <w:p w14:paraId="32CF393A">
      <w:pPr>
        <w:spacing w:before="197" w:line="227" w:lineRule="auto"/>
        <w:ind w:left="8"/>
        <w:outlineLvl w:val="2"/>
        <w:rPr>
          <w:rFonts w:ascii="宋体" w:hAnsi="宋体" w:eastAsia="宋体" w:cs="宋体"/>
          <w:sz w:val="23"/>
          <w:szCs w:val="23"/>
        </w:rPr>
      </w:pPr>
      <w:r>
        <w:rPr>
          <w:rFonts w:ascii="Times New Roman" w:hAnsi="Times New Roman" w:eastAsia="Times New Roman" w:cs="Times New Roman"/>
          <w:b/>
          <w:bCs/>
          <w:spacing w:val="9"/>
          <w:sz w:val="23"/>
          <w:szCs w:val="23"/>
        </w:rPr>
        <w:t>5</w:t>
      </w:r>
      <w:r>
        <w:rPr>
          <w:rFonts w:ascii="Times New Roman" w:hAnsi="Times New Roman" w:eastAsia="Times New Roman" w:cs="Times New Roman"/>
          <w:b/>
          <w:bCs/>
          <w:spacing w:val="6"/>
          <w:sz w:val="23"/>
          <w:szCs w:val="23"/>
        </w:rPr>
        <w:t>.2.8</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社会影响分析</w:t>
      </w:r>
    </w:p>
    <w:p w14:paraId="52D322D6">
      <w:pPr>
        <w:spacing w:before="183" w:line="228" w:lineRule="auto"/>
        <w:ind w:left="501"/>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7"/>
          <w:sz w:val="23"/>
          <w:szCs w:val="23"/>
        </w:rPr>
        <w:t>1</w:t>
      </w:r>
      <w:r>
        <w:rPr>
          <w:rFonts w:ascii="宋体" w:hAnsi="宋体" w:eastAsia="宋体" w:cs="宋体"/>
          <w:spacing w:val="17"/>
          <w:sz w:val="23"/>
          <w:szCs w:val="23"/>
        </w:rPr>
        <w:t>) 对区域经济影响</w:t>
      </w:r>
    </w:p>
    <w:p w14:paraId="08EC5180">
      <w:pPr>
        <w:spacing w:before="183" w:line="375" w:lineRule="auto"/>
        <w:ind w:left="10" w:right="63" w:firstLine="480"/>
        <w:rPr>
          <w:rFonts w:ascii="宋体" w:hAnsi="宋体" w:eastAsia="宋体" w:cs="宋体"/>
          <w:sz w:val="23"/>
          <w:szCs w:val="23"/>
        </w:rPr>
      </w:pPr>
      <w:r>
        <w:rPr>
          <w:rFonts w:ascii="宋体" w:hAnsi="宋体" w:eastAsia="宋体" w:cs="宋体"/>
          <w:spacing w:val="7"/>
          <w:sz w:val="23"/>
          <w:szCs w:val="23"/>
        </w:rPr>
        <w:t>本项目的建设科显著提高本地区养猪生产业性能，提高产品的市场竞争力，进一步发</w:t>
      </w:r>
      <w:r>
        <w:rPr>
          <w:rFonts w:ascii="宋体" w:hAnsi="宋体" w:eastAsia="宋体" w:cs="宋体"/>
          <w:spacing w:val="5"/>
          <w:sz w:val="23"/>
          <w:szCs w:val="23"/>
        </w:rPr>
        <w:t>展</w:t>
      </w:r>
      <w:r>
        <w:rPr>
          <w:rFonts w:ascii="宋体" w:hAnsi="宋体" w:eastAsia="宋体" w:cs="宋体"/>
          <w:sz w:val="23"/>
          <w:szCs w:val="23"/>
        </w:rPr>
        <w:t xml:space="preserve"> </w:t>
      </w:r>
      <w:r>
        <w:rPr>
          <w:rFonts w:ascii="宋体" w:hAnsi="宋体" w:eastAsia="宋体" w:cs="宋体"/>
          <w:spacing w:val="12"/>
          <w:sz w:val="23"/>
          <w:szCs w:val="23"/>
        </w:rPr>
        <w:t>壮</w:t>
      </w:r>
      <w:r>
        <w:rPr>
          <w:rFonts w:ascii="宋体" w:hAnsi="宋体" w:eastAsia="宋体" w:cs="宋体"/>
          <w:spacing w:val="7"/>
          <w:sz w:val="23"/>
          <w:szCs w:val="23"/>
        </w:rPr>
        <w:t>大畜牧业中的优势主导产业，推进农业和农村经济结构调整，提高农业生产组织化程度和</w:t>
      </w:r>
      <w:r>
        <w:rPr>
          <w:rFonts w:ascii="宋体" w:hAnsi="宋体" w:eastAsia="宋体" w:cs="宋体"/>
          <w:sz w:val="23"/>
          <w:szCs w:val="23"/>
        </w:rPr>
        <w:t xml:space="preserve"> </w:t>
      </w:r>
      <w:r>
        <w:rPr>
          <w:rFonts w:ascii="宋体" w:hAnsi="宋体" w:eastAsia="宋体" w:cs="宋体"/>
          <w:spacing w:val="8"/>
          <w:sz w:val="23"/>
          <w:szCs w:val="23"/>
        </w:rPr>
        <w:t>农业产业化经营水平。</w:t>
      </w:r>
    </w:p>
    <w:p w14:paraId="6CFF423C">
      <w:pPr>
        <w:spacing w:before="1" w:line="374" w:lineRule="auto"/>
        <w:ind w:left="12" w:right="63" w:firstLine="479"/>
        <w:rPr>
          <w:rFonts w:ascii="宋体" w:hAnsi="宋体" w:eastAsia="宋体" w:cs="宋体"/>
          <w:sz w:val="23"/>
          <w:szCs w:val="23"/>
        </w:rPr>
      </w:pPr>
      <w:r>
        <w:rPr>
          <w:rFonts w:ascii="宋体" w:hAnsi="宋体" w:eastAsia="宋体" w:cs="宋体"/>
          <w:spacing w:val="7"/>
          <w:sz w:val="23"/>
          <w:szCs w:val="23"/>
        </w:rPr>
        <w:t>本项目的生产带动了社会经济发展，满足人民日益增长的肉食市场需要，保证当地地</w:t>
      </w:r>
      <w:r>
        <w:rPr>
          <w:rFonts w:ascii="宋体" w:hAnsi="宋体" w:eastAsia="宋体" w:cs="宋体"/>
          <w:spacing w:val="5"/>
          <w:sz w:val="23"/>
          <w:szCs w:val="23"/>
        </w:rPr>
        <w:t>区</w:t>
      </w:r>
      <w:r>
        <w:rPr>
          <w:rFonts w:ascii="宋体" w:hAnsi="宋体" w:eastAsia="宋体" w:cs="宋体"/>
          <w:sz w:val="23"/>
          <w:szCs w:val="23"/>
        </w:rPr>
        <w:t xml:space="preserve"> </w:t>
      </w:r>
      <w:r>
        <w:rPr>
          <w:rFonts w:ascii="宋体" w:hAnsi="宋体" w:eastAsia="宋体" w:cs="宋体"/>
          <w:spacing w:val="18"/>
          <w:sz w:val="23"/>
          <w:szCs w:val="23"/>
        </w:rPr>
        <w:t>生</w:t>
      </w:r>
      <w:r>
        <w:rPr>
          <w:rFonts w:ascii="宋体" w:hAnsi="宋体" w:eastAsia="宋体" w:cs="宋体"/>
          <w:spacing w:val="14"/>
          <w:sz w:val="23"/>
          <w:szCs w:val="23"/>
        </w:rPr>
        <w:t>猪</w:t>
      </w:r>
      <w:r>
        <w:rPr>
          <w:rFonts w:ascii="宋体" w:hAnsi="宋体" w:eastAsia="宋体" w:cs="宋体"/>
          <w:spacing w:val="9"/>
          <w:sz w:val="23"/>
          <w:szCs w:val="23"/>
        </w:rPr>
        <w:t>出口工作和业务的顺利完成，项目的建设对社会环境影响有一定的促进作用。</w:t>
      </w:r>
    </w:p>
    <w:p w14:paraId="179CF47B">
      <w:pPr>
        <w:spacing w:before="1" w:line="374" w:lineRule="auto"/>
        <w:ind w:left="9" w:right="61" w:firstLine="504"/>
        <w:rPr>
          <w:rFonts w:ascii="宋体" w:hAnsi="宋体" w:eastAsia="宋体" w:cs="宋体"/>
          <w:sz w:val="23"/>
          <w:szCs w:val="23"/>
        </w:rPr>
      </w:pPr>
      <w:r>
        <w:rPr>
          <w:rFonts w:ascii="宋体" w:hAnsi="宋体" w:eastAsia="宋体" w:cs="宋体"/>
          <w:spacing w:val="12"/>
          <w:sz w:val="23"/>
          <w:szCs w:val="23"/>
        </w:rPr>
        <w:t>同时</w:t>
      </w:r>
      <w:r>
        <w:rPr>
          <w:rFonts w:ascii="宋体" w:hAnsi="宋体" w:eastAsia="宋体" w:cs="宋体"/>
          <w:spacing w:val="9"/>
          <w:sz w:val="23"/>
          <w:szCs w:val="23"/>
        </w:rPr>
        <w:t>项</w:t>
      </w:r>
      <w:r>
        <w:rPr>
          <w:rFonts w:ascii="宋体" w:hAnsi="宋体" w:eastAsia="宋体" w:cs="宋体"/>
          <w:spacing w:val="6"/>
          <w:sz w:val="23"/>
          <w:szCs w:val="23"/>
        </w:rPr>
        <w:t>目建设将招聘当地农民入场工作，在种植、收获等过程中也将聘用大量人员，可</w:t>
      </w:r>
      <w:r>
        <w:rPr>
          <w:rFonts w:ascii="宋体" w:hAnsi="宋体" w:eastAsia="宋体" w:cs="宋体"/>
          <w:sz w:val="23"/>
          <w:szCs w:val="23"/>
        </w:rPr>
        <w:t xml:space="preserve"> </w:t>
      </w:r>
      <w:r>
        <w:rPr>
          <w:rFonts w:ascii="宋体" w:hAnsi="宋体" w:eastAsia="宋体" w:cs="宋体"/>
          <w:spacing w:val="12"/>
          <w:sz w:val="23"/>
          <w:szCs w:val="23"/>
        </w:rPr>
        <w:t>以</w:t>
      </w:r>
      <w:r>
        <w:rPr>
          <w:rFonts w:ascii="宋体" w:hAnsi="宋体" w:eastAsia="宋体" w:cs="宋体"/>
          <w:spacing w:val="7"/>
          <w:sz w:val="23"/>
          <w:szCs w:val="23"/>
        </w:rPr>
        <w:t>为当地群众提供更多的工作岗位以及额外的收入来源，帮助农民脱贫致富，具有明显的社</w:t>
      </w:r>
      <w:r>
        <w:rPr>
          <w:rFonts w:ascii="宋体" w:hAnsi="宋体" w:eastAsia="宋体" w:cs="宋体"/>
          <w:sz w:val="23"/>
          <w:szCs w:val="23"/>
        </w:rPr>
        <w:t xml:space="preserve"> </w:t>
      </w:r>
      <w:r>
        <w:rPr>
          <w:rFonts w:ascii="宋体" w:hAnsi="宋体" w:eastAsia="宋体" w:cs="宋体"/>
          <w:spacing w:val="7"/>
          <w:sz w:val="23"/>
          <w:szCs w:val="23"/>
        </w:rPr>
        <w:t>会</w:t>
      </w:r>
      <w:r>
        <w:rPr>
          <w:rFonts w:ascii="宋体" w:hAnsi="宋体" w:eastAsia="宋体" w:cs="宋体"/>
          <w:spacing w:val="6"/>
          <w:sz w:val="23"/>
          <w:szCs w:val="23"/>
        </w:rPr>
        <w:t>正效应。</w:t>
      </w:r>
    </w:p>
    <w:p w14:paraId="7B5BCFBF">
      <w:pPr>
        <w:spacing w:before="1" w:line="228" w:lineRule="auto"/>
        <w:ind w:left="501"/>
        <w:rPr>
          <w:rFonts w:ascii="宋体" w:hAnsi="宋体" w:eastAsia="宋体" w:cs="宋体"/>
          <w:sz w:val="23"/>
          <w:szCs w:val="23"/>
        </w:rPr>
      </w:pPr>
      <w:r>
        <w:rPr>
          <w:rFonts w:ascii="宋体" w:hAnsi="宋体" w:eastAsia="宋体" w:cs="宋体"/>
          <w:spacing w:val="17"/>
          <w:sz w:val="23"/>
          <w:szCs w:val="23"/>
        </w:rPr>
        <w:t>(</w:t>
      </w:r>
      <w:r>
        <w:rPr>
          <w:rFonts w:ascii="Times New Roman" w:hAnsi="Times New Roman" w:eastAsia="Times New Roman" w:cs="Times New Roman"/>
          <w:spacing w:val="16"/>
          <w:sz w:val="23"/>
          <w:szCs w:val="23"/>
        </w:rPr>
        <w:t>2</w:t>
      </w:r>
      <w:r>
        <w:rPr>
          <w:rFonts w:ascii="宋体" w:hAnsi="宋体" w:eastAsia="宋体" w:cs="宋体"/>
          <w:spacing w:val="16"/>
          <w:sz w:val="23"/>
          <w:szCs w:val="23"/>
        </w:rPr>
        <w:t>) 居民生活环境的影响</w:t>
      </w:r>
    </w:p>
    <w:p w14:paraId="0C3DD404">
      <w:pPr>
        <w:spacing w:before="183" w:line="375" w:lineRule="auto"/>
        <w:ind w:left="12" w:firstLine="479"/>
        <w:rPr>
          <w:rFonts w:ascii="宋体" w:hAnsi="宋体" w:eastAsia="宋体" w:cs="宋体"/>
          <w:sz w:val="23"/>
          <w:szCs w:val="23"/>
        </w:rPr>
      </w:pPr>
      <w:r>
        <w:rPr>
          <w:rFonts w:ascii="宋体" w:hAnsi="宋体" w:eastAsia="宋体" w:cs="宋体"/>
          <w:spacing w:val="4"/>
          <w:sz w:val="23"/>
          <w:szCs w:val="23"/>
        </w:rPr>
        <w:t>本项目的建设后，将</w:t>
      </w:r>
      <w:r>
        <w:rPr>
          <w:rFonts w:ascii="宋体" w:hAnsi="宋体" w:eastAsia="宋体" w:cs="宋体"/>
          <w:spacing w:val="3"/>
          <w:sz w:val="23"/>
          <w:szCs w:val="23"/>
        </w:rPr>
        <w:t>会</w:t>
      </w:r>
      <w:r>
        <w:rPr>
          <w:rFonts w:ascii="宋体" w:hAnsi="宋体" w:eastAsia="宋体" w:cs="宋体"/>
          <w:spacing w:val="2"/>
          <w:sz w:val="23"/>
          <w:szCs w:val="23"/>
        </w:rPr>
        <w:t>解决周围部分农民的就业问题，提高农民的收入。该项目建成后，</w:t>
      </w:r>
      <w:r>
        <w:rPr>
          <w:rFonts w:ascii="宋体" w:hAnsi="宋体" w:eastAsia="宋体" w:cs="宋体"/>
          <w:sz w:val="23"/>
          <w:szCs w:val="23"/>
        </w:rPr>
        <w:t xml:space="preserve"> </w:t>
      </w:r>
      <w:r>
        <w:rPr>
          <w:rFonts w:ascii="宋体" w:hAnsi="宋体" w:eastAsia="宋体" w:cs="宋体"/>
          <w:spacing w:val="10"/>
          <w:sz w:val="23"/>
          <w:szCs w:val="23"/>
        </w:rPr>
        <w:t>需</w:t>
      </w:r>
      <w:r>
        <w:rPr>
          <w:rFonts w:ascii="宋体" w:hAnsi="宋体" w:eastAsia="宋体" w:cs="宋体"/>
          <w:spacing w:val="7"/>
          <w:sz w:val="23"/>
          <w:szCs w:val="23"/>
        </w:rPr>
        <w:t>要运输肥猪、饲料、有机肥及其他物质，车流量将有一定管道增加。但由于本项目运输路</w:t>
      </w:r>
      <w:r>
        <w:rPr>
          <w:rFonts w:ascii="宋体" w:hAnsi="宋体" w:eastAsia="宋体" w:cs="宋体"/>
          <w:sz w:val="23"/>
          <w:szCs w:val="23"/>
        </w:rPr>
        <w:t xml:space="preserve"> </w:t>
      </w:r>
      <w:r>
        <w:rPr>
          <w:rFonts w:ascii="宋体" w:hAnsi="宋体" w:eastAsia="宋体" w:cs="宋体"/>
          <w:spacing w:val="10"/>
          <w:sz w:val="23"/>
          <w:szCs w:val="23"/>
        </w:rPr>
        <w:t>线</w:t>
      </w:r>
      <w:r>
        <w:rPr>
          <w:rFonts w:ascii="宋体" w:hAnsi="宋体" w:eastAsia="宋体" w:cs="宋体"/>
          <w:spacing w:val="7"/>
          <w:sz w:val="23"/>
          <w:szCs w:val="23"/>
        </w:rPr>
        <w:t>大多是偏僻的乡村，住户较少，汽车发动机工作时产生的噪声对沿线居民生活产生短时影</w:t>
      </w:r>
      <w:r>
        <w:rPr>
          <w:rFonts w:ascii="宋体" w:hAnsi="宋体" w:eastAsia="宋体" w:cs="宋体"/>
          <w:sz w:val="23"/>
          <w:szCs w:val="23"/>
        </w:rPr>
        <w:t xml:space="preserve"> </w:t>
      </w:r>
      <w:r>
        <w:rPr>
          <w:rFonts w:ascii="宋体" w:hAnsi="宋体" w:eastAsia="宋体" w:cs="宋体"/>
          <w:spacing w:val="10"/>
          <w:sz w:val="23"/>
          <w:szCs w:val="23"/>
        </w:rPr>
        <w:t>响</w:t>
      </w:r>
      <w:r>
        <w:rPr>
          <w:rFonts w:ascii="宋体" w:hAnsi="宋体" w:eastAsia="宋体" w:cs="宋体"/>
          <w:spacing w:val="7"/>
          <w:sz w:val="23"/>
          <w:szCs w:val="23"/>
        </w:rPr>
        <w:t>，不会导致声环境质量明显的下降。通过合理调度、合理安排运输线路、减少夜间运输量</w:t>
      </w:r>
      <w:r>
        <w:rPr>
          <w:rFonts w:ascii="宋体" w:hAnsi="宋体" w:eastAsia="宋体" w:cs="宋体"/>
          <w:sz w:val="23"/>
          <w:szCs w:val="23"/>
        </w:rPr>
        <w:t xml:space="preserve"> </w:t>
      </w:r>
      <w:r>
        <w:rPr>
          <w:rFonts w:ascii="宋体" w:hAnsi="宋体" w:eastAsia="宋体" w:cs="宋体"/>
          <w:spacing w:val="9"/>
          <w:sz w:val="23"/>
          <w:szCs w:val="23"/>
        </w:rPr>
        <w:t>等可有效减少物流运输中所产生的环境影响</w:t>
      </w:r>
      <w:r>
        <w:rPr>
          <w:rFonts w:ascii="宋体" w:hAnsi="宋体" w:eastAsia="宋体" w:cs="宋体"/>
          <w:spacing w:val="7"/>
          <w:sz w:val="23"/>
          <w:szCs w:val="23"/>
        </w:rPr>
        <w:t>。</w:t>
      </w:r>
    </w:p>
    <w:p w14:paraId="3AFB5A38">
      <w:pPr>
        <w:spacing w:line="226" w:lineRule="auto"/>
        <w:ind w:left="513"/>
        <w:rPr>
          <w:rFonts w:ascii="宋体" w:hAnsi="宋体" w:eastAsia="宋体" w:cs="宋体"/>
          <w:sz w:val="23"/>
          <w:szCs w:val="23"/>
        </w:rPr>
      </w:pPr>
      <w:r>
        <w:rPr>
          <w:rFonts w:ascii="宋体" w:hAnsi="宋体" w:eastAsia="宋体" w:cs="宋体"/>
          <w:spacing w:val="12"/>
          <w:sz w:val="23"/>
          <w:szCs w:val="23"/>
        </w:rPr>
        <w:t>同时</w:t>
      </w:r>
      <w:r>
        <w:rPr>
          <w:rFonts w:ascii="宋体" w:hAnsi="宋体" w:eastAsia="宋体" w:cs="宋体"/>
          <w:spacing w:val="7"/>
          <w:sz w:val="23"/>
          <w:szCs w:val="23"/>
        </w:rPr>
        <w:t>项</w:t>
      </w:r>
      <w:r>
        <w:rPr>
          <w:rFonts w:ascii="宋体" w:hAnsi="宋体" w:eastAsia="宋体" w:cs="宋体"/>
          <w:spacing w:val="6"/>
          <w:sz w:val="23"/>
          <w:szCs w:val="23"/>
        </w:rPr>
        <w:t>目产生污染物在采用相应治理措施后可以做到达标排放，基本不会对周边居民造</w:t>
      </w:r>
    </w:p>
    <w:p w14:paraId="57C0FC18">
      <w:pPr>
        <w:spacing w:before="183" w:line="229" w:lineRule="auto"/>
        <w:ind w:left="12"/>
        <w:outlineLvl w:val="0"/>
        <w:rPr>
          <w:rFonts w:ascii="宋体" w:hAnsi="宋体" w:eastAsia="宋体" w:cs="宋体"/>
          <w:sz w:val="23"/>
          <w:szCs w:val="23"/>
        </w:rPr>
      </w:pPr>
      <w:r>
        <w:rPr>
          <w:rFonts w:ascii="宋体" w:hAnsi="宋体" w:eastAsia="宋体" w:cs="宋体"/>
          <w:spacing w:val="18"/>
          <w:sz w:val="23"/>
          <w:szCs w:val="23"/>
        </w:rPr>
        <w:t>成</w:t>
      </w:r>
      <w:r>
        <w:rPr>
          <w:rFonts w:ascii="宋体" w:hAnsi="宋体" w:eastAsia="宋体" w:cs="宋体"/>
          <w:spacing w:val="14"/>
          <w:sz w:val="23"/>
          <w:szCs w:val="23"/>
        </w:rPr>
        <w:t>影</w:t>
      </w:r>
      <w:r>
        <w:rPr>
          <w:rFonts w:ascii="宋体" w:hAnsi="宋体" w:eastAsia="宋体" w:cs="宋体"/>
          <w:spacing w:val="9"/>
          <w:sz w:val="23"/>
          <w:szCs w:val="23"/>
        </w:rPr>
        <w:t>响，环评要求项目在农田灌溉及施肥时合理施肥，避免对区域环境造成影响。</w:t>
      </w:r>
    </w:p>
    <w:p w14:paraId="2194182F">
      <w:pPr>
        <w:sectPr>
          <w:headerReference r:id="rId227" w:type="default"/>
          <w:footerReference r:id="rId228" w:type="default"/>
          <w:pgSz w:w="11906" w:h="16839"/>
          <w:pgMar w:top="1113" w:right="1070" w:bottom="1157" w:left="1275" w:header="878" w:footer="994" w:gutter="0"/>
          <w:cols w:space="720" w:num="1"/>
        </w:sectPr>
      </w:pPr>
    </w:p>
    <w:p w14:paraId="49709964">
      <w:pPr>
        <w:spacing w:before="211" w:line="241" w:lineRule="auto"/>
        <w:ind w:left="12"/>
        <w:rPr>
          <w:rFonts w:ascii="宋体" w:hAnsi="宋体" w:eastAsia="宋体" w:cs="宋体"/>
          <w:sz w:val="31"/>
          <w:szCs w:val="31"/>
        </w:rPr>
      </w:pPr>
      <w:bookmarkStart w:id="47" w:name="_bookmark48"/>
      <w:bookmarkEnd w:id="47"/>
      <w:r>
        <w:rPr>
          <w:rFonts w:ascii="Times New Roman" w:hAnsi="Times New Roman" w:eastAsia="Times New Roman" w:cs="Times New Roman"/>
          <w:b/>
          <w:bCs/>
          <w:spacing w:val="-24"/>
          <w:sz w:val="31"/>
          <w:szCs w:val="31"/>
        </w:rPr>
        <w:t>6</w:t>
      </w:r>
      <w:r>
        <w:rPr>
          <w:rFonts w:ascii="Times New Roman" w:hAnsi="Times New Roman" w:eastAsia="Times New Roman" w:cs="Times New Roman"/>
          <w:spacing w:val="-24"/>
          <w:sz w:val="31"/>
          <w:szCs w:val="31"/>
        </w:rPr>
        <w:t xml:space="preserve"> </w:t>
      </w:r>
      <w:r>
        <w:rPr>
          <w:rFonts w:ascii="宋体" w:hAnsi="宋体" w:eastAsia="宋体" w:cs="宋体"/>
          <w:spacing w:val="-24"/>
          <w:sz w:val="31"/>
          <w:szCs w:val="31"/>
          <w14:textOutline w14:w="5791" w14:cap="sq" w14:cmpd="sng" w14:algn="ctr">
            <w14:solidFill>
              <w14:srgbClr w14:val="000000"/>
            </w14:solidFill>
            <w14:prstDash w14:val="solid"/>
            <w14:bevel/>
          </w14:textOutline>
        </w:rPr>
        <w:t>、环境保护措施及经济技术论</w:t>
      </w:r>
      <w:r>
        <w:rPr>
          <w:rFonts w:ascii="宋体" w:hAnsi="宋体" w:eastAsia="宋体" w:cs="宋体"/>
          <w:spacing w:val="-22"/>
          <w:sz w:val="31"/>
          <w:szCs w:val="31"/>
          <w14:textOutline w14:w="5791" w14:cap="sq" w14:cmpd="sng" w14:algn="ctr">
            <w14:solidFill>
              <w14:srgbClr w14:val="000000"/>
            </w14:solidFill>
            <w14:prstDash w14:val="solid"/>
            <w14:bevel/>
          </w14:textOutline>
        </w:rPr>
        <w:t>证</w:t>
      </w:r>
    </w:p>
    <w:p w14:paraId="7FB974C1">
      <w:pPr>
        <w:spacing w:before="209" w:line="221" w:lineRule="auto"/>
        <w:ind w:left="11"/>
        <w:outlineLvl w:val="1"/>
        <w:rPr>
          <w:rFonts w:ascii="宋体" w:hAnsi="宋体" w:eastAsia="宋体" w:cs="宋体"/>
          <w:sz w:val="28"/>
          <w:szCs w:val="28"/>
        </w:rPr>
      </w:pPr>
      <w:bookmarkStart w:id="48" w:name="_bookmark49"/>
      <w:bookmarkEnd w:id="48"/>
      <w:r>
        <w:rPr>
          <w:rFonts w:ascii="Times New Roman" w:hAnsi="Times New Roman" w:eastAsia="Times New Roman" w:cs="Times New Roman"/>
          <w:b/>
          <w:bCs/>
          <w:spacing w:val="1"/>
          <w:sz w:val="28"/>
          <w:szCs w:val="28"/>
        </w:rPr>
        <w:t>6</w:t>
      </w:r>
      <w:r>
        <w:rPr>
          <w:rFonts w:ascii="Times New Roman" w:hAnsi="Times New Roman" w:eastAsia="Times New Roman" w:cs="Times New Roman"/>
          <w:b/>
          <w:bCs/>
          <w:sz w:val="28"/>
          <w:szCs w:val="28"/>
        </w:rPr>
        <w:t>.1</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施工期污染防治措施及论证</w:t>
      </w:r>
    </w:p>
    <w:p w14:paraId="08C111BE">
      <w:pPr>
        <w:spacing w:before="204" w:line="375" w:lineRule="auto"/>
        <w:ind w:left="9" w:right="80" w:firstLine="480"/>
        <w:rPr>
          <w:rFonts w:ascii="宋体" w:hAnsi="宋体" w:eastAsia="宋体" w:cs="宋体"/>
          <w:sz w:val="23"/>
          <w:szCs w:val="23"/>
        </w:rPr>
      </w:pPr>
      <w:r>
        <w:rPr>
          <w:rFonts w:ascii="宋体" w:hAnsi="宋体" w:eastAsia="宋体" w:cs="宋体"/>
          <w:spacing w:val="7"/>
          <w:sz w:val="23"/>
          <w:szCs w:val="23"/>
        </w:rPr>
        <w:t>评价针对工程施工期可能对环境造成的影响，以保护项目区的环境、最大限度地减少</w:t>
      </w:r>
      <w:r>
        <w:rPr>
          <w:rFonts w:ascii="宋体" w:hAnsi="宋体" w:eastAsia="宋体" w:cs="宋体"/>
          <w:spacing w:val="6"/>
          <w:sz w:val="23"/>
          <w:szCs w:val="23"/>
        </w:rPr>
        <w:t>工</w:t>
      </w:r>
      <w:r>
        <w:rPr>
          <w:rFonts w:ascii="宋体" w:hAnsi="宋体" w:eastAsia="宋体" w:cs="宋体"/>
          <w:sz w:val="23"/>
          <w:szCs w:val="23"/>
        </w:rPr>
        <w:t xml:space="preserve"> </w:t>
      </w:r>
      <w:r>
        <w:rPr>
          <w:rFonts w:ascii="宋体" w:hAnsi="宋体" w:eastAsia="宋体" w:cs="宋体"/>
          <w:spacing w:val="12"/>
          <w:sz w:val="23"/>
          <w:szCs w:val="23"/>
        </w:rPr>
        <w:t>程</w:t>
      </w:r>
      <w:r>
        <w:rPr>
          <w:rFonts w:ascii="宋体" w:hAnsi="宋体" w:eastAsia="宋体" w:cs="宋体"/>
          <w:spacing w:val="7"/>
          <w:sz w:val="23"/>
          <w:szCs w:val="23"/>
        </w:rPr>
        <w:t>建设对环境造成的不利影响为目的，对施工期环境影响因素进行简要分析并提出具体的防</w:t>
      </w:r>
      <w:r>
        <w:rPr>
          <w:rFonts w:ascii="宋体" w:hAnsi="宋体" w:eastAsia="宋体" w:cs="宋体"/>
          <w:sz w:val="23"/>
          <w:szCs w:val="23"/>
        </w:rPr>
        <w:t xml:space="preserve"> </w:t>
      </w:r>
      <w:r>
        <w:rPr>
          <w:rFonts w:ascii="宋体" w:hAnsi="宋体" w:eastAsia="宋体" w:cs="宋体"/>
          <w:spacing w:val="6"/>
          <w:sz w:val="23"/>
          <w:szCs w:val="23"/>
        </w:rPr>
        <w:t>范</w:t>
      </w:r>
      <w:r>
        <w:rPr>
          <w:rFonts w:ascii="宋体" w:hAnsi="宋体" w:eastAsia="宋体" w:cs="宋体"/>
          <w:spacing w:val="5"/>
          <w:sz w:val="23"/>
          <w:szCs w:val="23"/>
        </w:rPr>
        <w:t>措施。</w:t>
      </w:r>
    </w:p>
    <w:p w14:paraId="71D262CA">
      <w:pPr>
        <w:spacing w:line="227" w:lineRule="auto"/>
        <w:ind w:left="9"/>
        <w:outlineLvl w:val="2"/>
        <w:rPr>
          <w:rFonts w:ascii="宋体" w:hAnsi="宋体" w:eastAsia="宋体" w:cs="宋体"/>
          <w:sz w:val="23"/>
          <w:szCs w:val="23"/>
        </w:rPr>
      </w:pPr>
      <w:r>
        <w:rPr>
          <w:rFonts w:ascii="Times New Roman" w:hAnsi="Times New Roman" w:eastAsia="Times New Roman" w:cs="Times New Roman"/>
          <w:b/>
          <w:bCs/>
          <w:spacing w:val="11"/>
          <w:sz w:val="23"/>
          <w:szCs w:val="23"/>
        </w:rPr>
        <w:t>6</w:t>
      </w:r>
      <w:r>
        <w:rPr>
          <w:rFonts w:ascii="Times New Roman" w:hAnsi="Times New Roman" w:eastAsia="Times New Roman" w:cs="Times New Roman"/>
          <w:b/>
          <w:bCs/>
          <w:spacing w:val="8"/>
          <w:sz w:val="23"/>
          <w:szCs w:val="23"/>
        </w:rPr>
        <w:t>.1.1</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施工期水环境影响及保护措施</w:t>
      </w:r>
    </w:p>
    <w:p w14:paraId="2F24C523">
      <w:pPr>
        <w:spacing w:before="182" w:line="227" w:lineRule="auto"/>
        <w:ind w:left="489"/>
        <w:rPr>
          <w:rFonts w:ascii="宋体" w:hAnsi="宋体" w:eastAsia="宋体" w:cs="宋体"/>
          <w:sz w:val="23"/>
          <w:szCs w:val="23"/>
        </w:rPr>
      </w:pPr>
      <w:r>
        <w:rPr>
          <w:rFonts w:ascii="宋体" w:hAnsi="宋体" w:eastAsia="宋体" w:cs="宋体"/>
          <w:spacing w:val="7"/>
          <w:sz w:val="23"/>
          <w:szCs w:val="23"/>
        </w:rPr>
        <w:t>施工期废水主要为施工废水和施工人员的生活污水。施工过程中的生产废水悬浮物含</w:t>
      </w:r>
      <w:r>
        <w:rPr>
          <w:rFonts w:ascii="宋体" w:hAnsi="宋体" w:eastAsia="宋体" w:cs="宋体"/>
          <w:spacing w:val="6"/>
          <w:sz w:val="23"/>
          <w:szCs w:val="23"/>
        </w:rPr>
        <w:t>量</w:t>
      </w:r>
    </w:p>
    <w:p w14:paraId="30AB9CF8">
      <w:pPr>
        <w:spacing w:before="183" w:line="375" w:lineRule="auto"/>
        <w:ind w:left="14" w:right="80" w:firstLine="1"/>
        <w:rPr>
          <w:rFonts w:ascii="宋体" w:hAnsi="宋体" w:eastAsia="宋体" w:cs="宋体"/>
          <w:sz w:val="23"/>
          <w:szCs w:val="23"/>
        </w:rPr>
      </w:pPr>
      <w:r>
        <w:rPr>
          <w:rFonts w:ascii="宋体" w:hAnsi="宋体" w:eastAsia="宋体" w:cs="宋体"/>
          <w:spacing w:val="7"/>
          <w:sz w:val="23"/>
          <w:szCs w:val="23"/>
        </w:rPr>
        <w:t>高，易于沉淀，经简易沉淀池处理后，循环使用，不外排；本项目施工期生活污水经化粪</w:t>
      </w:r>
      <w:r>
        <w:rPr>
          <w:rFonts w:ascii="宋体" w:hAnsi="宋体" w:eastAsia="宋体" w:cs="宋体"/>
          <w:spacing w:val="5"/>
          <w:sz w:val="23"/>
          <w:szCs w:val="23"/>
        </w:rPr>
        <w:t>池</w:t>
      </w:r>
      <w:r>
        <w:rPr>
          <w:rFonts w:ascii="宋体" w:hAnsi="宋体" w:eastAsia="宋体" w:cs="宋体"/>
          <w:sz w:val="23"/>
          <w:szCs w:val="23"/>
        </w:rPr>
        <w:t xml:space="preserve"> </w:t>
      </w:r>
      <w:r>
        <w:rPr>
          <w:rFonts w:ascii="宋体" w:hAnsi="宋体" w:eastAsia="宋体" w:cs="宋体"/>
          <w:spacing w:val="9"/>
          <w:sz w:val="23"/>
          <w:szCs w:val="23"/>
        </w:rPr>
        <w:t>处理后用于农田施肥，不外排。均可做到综合利用</w:t>
      </w:r>
      <w:r>
        <w:rPr>
          <w:rFonts w:ascii="宋体" w:hAnsi="宋体" w:eastAsia="宋体" w:cs="宋体"/>
          <w:spacing w:val="7"/>
          <w:sz w:val="23"/>
          <w:szCs w:val="23"/>
        </w:rPr>
        <w:t>。</w:t>
      </w:r>
    </w:p>
    <w:p w14:paraId="42B193FC">
      <w:pPr>
        <w:spacing w:before="1" w:line="226" w:lineRule="auto"/>
        <w:ind w:left="494"/>
        <w:rPr>
          <w:rFonts w:ascii="宋体" w:hAnsi="宋体" w:eastAsia="宋体" w:cs="宋体"/>
          <w:sz w:val="23"/>
          <w:szCs w:val="23"/>
        </w:rPr>
      </w:pPr>
      <w:r>
        <w:rPr>
          <w:rFonts w:ascii="宋体" w:hAnsi="宋体" w:eastAsia="宋体" w:cs="宋体"/>
          <w:spacing w:val="18"/>
          <w:sz w:val="23"/>
          <w:szCs w:val="23"/>
        </w:rPr>
        <w:t>项</w:t>
      </w:r>
      <w:r>
        <w:rPr>
          <w:rFonts w:ascii="宋体" w:hAnsi="宋体" w:eastAsia="宋体" w:cs="宋体"/>
          <w:spacing w:val="13"/>
          <w:sz w:val="23"/>
          <w:szCs w:val="23"/>
        </w:rPr>
        <w:t>目</w:t>
      </w:r>
      <w:r>
        <w:rPr>
          <w:rFonts w:ascii="宋体" w:hAnsi="宋体" w:eastAsia="宋体" w:cs="宋体"/>
          <w:spacing w:val="9"/>
          <w:sz w:val="23"/>
          <w:szCs w:val="23"/>
        </w:rPr>
        <w:t>施工期水环境影响防治措施采用目前施工场地常用的治理措施，技术经济可行。</w:t>
      </w:r>
    </w:p>
    <w:p w14:paraId="318705BC">
      <w:pPr>
        <w:spacing w:before="186" w:line="228" w:lineRule="auto"/>
        <w:ind w:left="9"/>
        <w:outlineLvl w:val="2"/>
        <w:rPr>
          <w:rFonts w:ascii="宋体" w:hAnsi="宋体" w:eastAsia="宋体" w:cs="宋体"/>
          <w:sz w:val="23"/>
          <w:szCs w:val="23"/>
        </w:rPr>
      </w:pPr>
      <w:r>
        <w:rPr>
          <w:rFonts w:ascii="Times New Roman" w:hAnsi="Times New Roman" w:eastAsia="Times New Roman" w:cs="Times New Roman"/>
          <w:b/>
          <w:bCs/>
          <w:spacing w:val="11"/>
          <w:sz w:val="23"/>
          <w:szCs w:val="23"/>
        </w:rPr>
        <w:t>6</w:t>
      </w:r>
      <w:r>
        <w:rPr>
          <w:rFonts w:ascii="Times New Roman" w:hAnsi="Times New Roman" w:eastAsia="Times New Roman" w:cs="Times New Roman"/>
          <w:b/>
          <w:bCs/>
          <w:spacing w:val="8"/>
          <w:sz w:val="23"/>
          <w:szCs w:val="23"/>
        </w:rPr>
        <w:t>.1.2</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施工期环境空气保护措施分析</w:t>
      </w:r>
    </w:p>
    <w:p w14:paraId="23F3D950">
      <w:pPr>
        <w:spacing w:before="181" w:line="375" w:lineRule="auto"/>
        <w:ind w:left="12" w:right="80" w:firstLine="479"/>
        <w:rPr>
          <w:rFonts w:ascii="宋体" w:hAnsi="宋体" w:eastAsia="宋体" w:cs="宋体"/>
          <w:sz w:val="23"/>
          <w:szCs w:val="23"/>
        </w:rPr>
      </w:pPr>
      <w:r>
        <w:rPr>
          <w:rFonts w:ascii="宋体" w:hAnsi="宋体" w:eastAsia="宋体" w:cs="宋体"/>
          <w:spacing w:val="7"/>
          <w:sz w:val="23"/>
          <w:szCs w:val="23"/>
        </w:rPr>
        <w:t>本项目施工期大气污染主要来自两个方面：一是施工过程中开挖、堆放、运输材料等</w:t>
      </w:r>
      <w:r>
        <w:rPr>
          <w:rFonts w:ascii="宋体" w:hAnsi="宋体" w:eastAsia="宋体" w:cs="宋体"/>
          <w:spacing w:val="5"/>
          <w:sz w:val="23"/>
          <w:szCs w:val="23"/>
        </w:rPr>
        <w:t>产</w:t>
      </w:r>
      <w:r>
        <w:rPr>
          <w:rFonts w:ascii="宋体" w:hAnsi="宋体" w:eastAsia="宋体" w:cs="宋体"/>
          <w:sz w:val="23"/>
          <w:szCs w:val="23"/>
        </w:rPr>
        <w:t xml:space="preserve"> </w:t>
      </w:r>
      <w:r>
        <w:rPr>
          <w:rFonts w:ascii="宋体" w:hAnsi="宋体" w:eastAsia="宋体" w:cs="宋体"/>
          <w:spacing w:val="17"/>
          <w:sz w:val="23"/>
          <w:szCs w:val="23"/>
        </w:rPr>
        <w:t>生</w:t>
      </w:r>
      <w:r>
        <w:rPr>
          <w:rFonts w:ascii="宋体" w:hAnsi="宋体" w:eastAsia="宋体" w:cs="宋体"/>
          <w:spacing w:val="9"/>
          <w:sz w:val="23"/>
          <w:szCs w:val="23"/>
        </w:rPr>
        <w:t>的扬尘；二是施工机械和重型运输车辆运行过程中所排放的废气。</w:t>
      </w:r>
    </w:p>
    <w:p w14:paraId="5CE487A3">
      <w:pPr>
        <w:spacing w:before="3" w:line="374" w:lineRule="auto"/>
        <w:ind w:left="10" w:firstLine="479"/>
        <w:rPr>
          <w:rFonts w:ascii="宋体" w:hAnsi="宋体" w:eastAsia="宋体" w:cs="宋体"/>
          <w:sz w:val="23"/>
          <w:szCs w:val="23"/>
        </w:rPr>
      </w:pPr>
      <w:r>
        <w:rPr>
          <w:rFonts w:ascii="宋体" w:hAnsi="宋体" w:eastAsia="宋体" w:cs="宋体"/>
          <w:spacing w:val="7"/>
          <w:sz w:val="23"/>
          <w:szCs w:val="23"/>
        </w:rPr>
        <w:t>在施工过程中施工单位必须选用符合国家有关卫生标准的施工机械，使其排放的废气</w:t>
      </w:r>
      <w:r>
        <w:rPr>
          <w:rFonts w:ascii="宋体" w:hAnsi="宋体" w:eastAsia="宋体" w:cs="宋体"/>
          <w:spacing w:val="6"/>
          <w:sz w:val="23"/>
          <w:szCs w:val="23"/>
        </w:rPr>
        <w:t>符</w:t>
      </w:r>
      <w:r>
        <w:rPr>
          <w:rFonts w:ascii="宋体" w:hAnsi="宋体" w:eastAsia="宋体" w:cs="宋体"/>
          <w:sz w:val="23"/>
          <w:szCs w:val="23"/>
        </w:rPr>
        <w:t xml:space="preserve"> </w:t>
      </w:r>
      <w:r>
        <w:rPr>
          <w:rFonts w:ascii="宋体" w:hAnsi="宋体" w:eastAsia="宋体" w:cs="宋体"/>
          <w:spacing w:val="6"/>
          <w:sz w:val="23"/>
          <w:szCs w:val="23"/>
        </w:rPr>
        <w:t>合国家有</w:t>
      </w:r>
      <w:r>
        <w:rPr>
          <w:rFonts w:ascii="宋体" w:hAnsi="宋体" w:eastAsia="宋体" w:cs="宋体"/>
          <w:spacing w:val="3"/>
          <w:sz w:val="23"/>
          <w:szCs w:val="23"/>
        </w:rPr>
        <w:t>关标准。施工区要经常洒水，减少扬尘，缩短粉尘污染的影响时段，缩小污染范围。</w:t>
      </w:r>
      <w:r>
        <w:rPr>
          <w:rFonts w:ascii="宋体" w:hAnsi="宋体" w:eastAsia="宋体" w:cs="宋体"/>
          <w:sz w:val="23"/>
          <w:szCs w:val="23"/>
        </w:rPr>
        <w:t xml:space="preserve"> </w:t>
      </w:r>
      <w:r>
        <w:rPr>
          <w:rFonts w:ascii="宋体" w:hAnsi="宋体" w:eastAsia="宋体" w:cs="宋体"/>
          <w:spacing w:val="6"/>
          <w:sz w:val="23"/>
          <w:szCs w:val="23"/>
        </w:rPr>
        <w:t>加强道路</w:t>
      </w:r>
      <w:r>
        <w:rPr>
          <w:rFonts w:ascii="宋体" w:hAnsi="宋体" w:eastAsia="宋体" w:cs="宋体"/>
          <w:spacing w:val="3"/>
          <w:sz w:val="23"/>
          <w:szCs w:val="23"/>
        </w:rPr>
        <w:t>管理和维护，经常清扫、洒水。同时在物资运输过程中注意防止空气污染车辆扬尘，</w:t>
      </w:r>
      <w:r>
        <w:rPr>
          <w:rFonts w:ascii="宋体" w:hAnsi="宋体" w:eastAsia="宋体" w:cs="宋体"/>
          <w:sz w:val="23"/>
          <w:szCs w:val="23"/>
        </w:rPr>
        <w:t xml:space="preserve"> </w:t>
      </w:r>
      <w:r>
        <w:rPr>
          <w:rFonts w:ascii="宋体" w:hAnsi="宋体" w:eastAsia="宋体" w:cs="宋体"/>
          <w:spacing w:val="18"/>
          <w:sz w:val="23"/>
          <w:szCs w:val="23"/>
        </w:rPr>
        <w:t>其</w:t>
      </w:r>
      <w:r>
        <w:rPr>
          <w:rFonts w:ascii="宋体" w:hAnsi="宋体" w:eastAsia="宋体" w:cs="宋体"/>
          <w:spacing w:val="16"/>
          <w:sz w:val="23"/>
          <w:szCs w:val="23"/>
        </w:rPr>
        <w:t>主</w:t>
      </w:r>
      <w:r>
        <w:rPr>
          <w:rFonts w:ascii="宋体" w:hAnsi="宋体" w:eastAsia="宋体" w:cs="宋体"/>
          <w:spacing w:val="9"/>
          <w:sz w:val="23"/>
          <w:szCs w:val="23"/>
        </w:rPr>
        <w:t>要来自公路路面尘土和道路的损坏，只要有效地控制来源，就可以减少扬尘。</w:t>
      </w:r>
    </w:p>
    <w:p w14:paraId="46344D2F">
      <w:pPr>
        <w:spacing w:line="375" w:lineRule="auto"/>
        <w:ind w:left="9" w:right="80" w:firstLine="495"/>
        <w:rPr>
          <w:rFonts w:ascii="宋体" w:hAnsi="宋体" w:eastAsia="宋体" w:cs="宋体"/>
          <w:sz w:val="23"/>
          <w:szCs w:val="23"/>
        </w:rPr>
      </w:pPr>
      <w:r>
        <w:rPr>
          <w:rFonts w:ascii="宋体" w:hAnsi="宋体" w:eastAsia="宋体" w:cs="宋体"/>
          <w:spacing w:val="12"/>
          <w:sz w:val="23"/>
          <w:szCs w:val="23"/>
        </w:rPr>
        <w:t>只要按</w:t>
      </w:r>
      <w:r>
        <w:rPr>
          <w:rFonts w:ascii="宋体" w:hAnsi="宋体" w:eastAsia="宋体" w:cs="宋体"/>
          <w:spacing w:val="10"/>
          <w:sz w:val="23"/>
          <w:szCs w:val="23"/>
        </w:rPr>
        <w:t>规</w:t>
      </w:r>
      <w:r>
        <w:rPr>
          <w:rFonts w:ascii="宋体" w:hAnsi="宋体" w:eastAsia="宋体" w:cs="宋体"/>
          <w:spacing w:val="6"/>
          <w:sz w:val="23"/>
          <w:szCs w:val="23"/>
        </w:rPr>
        <w:t>范施工，严格落实以上防治措施，施工期废气对区域环境空气的影响较小。施</w:t>
      </w:r>
      <w:r>
        <w:rPr>
          <w:rFonts w:ascii="宋体" w:hAnsi="宋体" w:eastAsia="宋体" w:cs="宋体"/>
          <w:sz w:val="23"/>
          <w:szCs w:val="23"/>
        </w:rPr>
        <w:t xml:space="preserve"> </w:t>
      </w:r>
      <w:r>
        <w:rPr>
          <w:rFonts w:ascii="宋体" w:hAnsi="宋体" w:eastAsia="宋体" w:cs="宋体"/>
          <w:spacing w:val="12"/>
          <w:sz w:val="23"/>
          <w:szCs w:val="23"/>
        </w:rPr>
        <w:t>工</w:t>
      </w:r>
      <w:r>
        <w:rPr>
          <w:rFonts w:ascii="宋体" w:hAnsi="宋体" w:eastAsia="宋体" w:cs="宋体"/>
          <w:spacing w:val="7"/>
          <w:sz w:val="23"/>
          <w:szCs w:val="23"/>
        </w:rPr>
        <w:t>期的空气污染是短时的，待施工完成后污染随之消失，大气环境质量即可恢复到原来的水</w:t>
      </w:r>
      <w:r>
        <w:rPr>
          <w:rFonts w:ascii="宋体" w:hAnsi="宋体" w:eastAsia="宋体" w:cs="宋体"/>
          <w:sz w:val="23"/>
          <w:szCs w:val="23"/>
        </w:rPr>
        <w:t xml:space="preserve"> </w:t>
      </w:r>
      <w:r>
        <w:rPr>
          <w:rFonts w:ascii="宋体" w:hAnsi="宋体" w:eastAsia="宋体" w:cs="宋体"/>
          <w:spacing w:val="14"/>
          <w:sz w:val="23"/>
          <w:szCs w:val="23"/>
        </w:rPr>
        <w:t>平</w:t>
      </w:r>
      <w:r>
        <w:rPr>
          <w:rFonts w:ascii="宋体" w:hAnsi="宋体" w:eastAsia="宋体" w:cs="宋体"/>
          <w:spacing w:val="9"/>
          <w:sz w:val="23"/>
          <w:szCs w:val="23"/>
        </w:rPr>
        <w:t>。综上，施工期大气污染物防治措施经济技术可行。</w:t>
      </w:r>
    </w:p>
    <w:p w14:paraId="5F81DD2A">
      <w:pPr>
        <w:spacing w:line="228" w:lineRule="auto"/>
        <w:ind w:left="9"/>
        <w:outlineLvl w:val="2"/>
        <w:rPr>
          <w:rFonts w:ascii="宋体" w:hAnsi="宋体" w:eastAsia="宋体" w:cs="宋体"/>
          <w:sz w:val="23"/>
          <w:szCs w:val="23"/>
        </w:rPr>
      </w:pPr>
      <w:r>
        <w:rPr>
          <w:rFonts w:ascii="Times New Roman" w:hAnsi="Times New Roman" w:eastAsia="Times New Roman" w:cs="Times New Roman"/>
          <w:b/>
          <w:bCs/>
          <w:spacing w:val="11"/>
          <w:sz w:val="23"/>
          <w:szCs w:val="23"/>
        </w:rPr>
        <w:t>6</w:t>
      </w:r>
      <w:r>
        <w:rPr>
          <w:rFonts w:ascii="Times New Roman" w:hAnsi="Times New Roman" w:eastAsia="Times New Roman" w:cs="Times New Roman"/>
          <w:b/>
          <w:bCs/>
          <w:spacing w:val="8"/>
          <w:sz w:val="23"/>
          <w:szCs w:val="23"/>
        </w:rPr>
        <w:t>.1.3</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施工期噪声污染防治措施分析</w:t>
      </w:r>
    </w:p>
    <w:p w14:paraId="140E6CFA">
      <w:pPr>
        <w:spacing w:before="181" w:line="375" w:lineRule="auto"/>
        <w:ind w:left="14" w:right="214" w:firstLine="476"/>
        <w:rPr>
          <w:rFonts w:ascii="宋体" w:hAnsi="宋体" w:eastAsia="宋体" w:cs="宋体"/>
          <w:sz w:val="23"/>
          <w:szCs w:val="23"/>
        </w:rPr>
      </w:pPr>
      <w:r>
        <w:rPr>
          <w:rFonts w:ascii="宋体" w:hAnsi="宋体" w:eastAsia="宋体" w:cs="宋体"/>
          <w:spacing w:val="18"/>
          <w:sz w:val="23"/>
          <w:szCs w:val="23"/>
        </w:rPr>
        <w:t>本工</w:t>
      </w:r>
      <w:r>
        <w:rPr>
          <w:rFonts w:ascii="宋体" w:hAnsi="宋体" w:eastAsia="宋体" w:cs="宋体"/>
          <w:spacing w:val="17"/>
          <w:sz w:val="23"/>
          <w:szCs w:val="23"/>
        </w:rPr>
        <w:t>程</w:t>
      </w:r>
      <w:r>
        <w:rPr>
          <w:rFonts w:ascii="宋体" w:hAnsi="宋体" w:eastAsia="宋体" w:cs="宋体"/>
          <w:spacing w:val="9"/>
          <w:sz w:val="23"/>
          <w:szCs w:val="23"/>
        </w:rPr>
        <w:t>施工期噪声类型主要是工程施工机械运行时产生的设备噪声及运输车辆产生的</w:t>
      </w:r>
      <w:r>
        <w:rPr>
          <w:rFonts w:ascii="宋体" w:hAnsi="宋体" w:eastAsia="宋体" w:cs="宋体"/>
          <w:sz w:val="23"/>
          <w:szCs w:val="23"/>
        </w:rPr>
        <w:t xml:space="preserve"> </w:t>
      </w:r>
      <w:r>
        <w:rPr>
          <w:rFonts w:ascii="宋体" w:hAnsi="宋体" w:eastAsia="宋体" w:cs="宋体"/>
          <w:spacing w:val="18"/>
          <w:sz w:val="23"/>
          <w:szCs w:val="23"/>
        </w:rPr>
        <w:t>交</w:t>
      </w:r>
      <w:r>
        <w:rPr>
          <w:rFonts w:ascii="宋体" w:hAnsi="宋体" w:eastAsia="宋体" w:cs="宋体"/>
          <w:spacing w:val="11"/>
          <w:sz w:val="23"/>
          <w:szCs w:val="23"/>
        </w:rPr>
        <w:t>通</w:t>
      </w:r>
      <w:r>
        <w:rPr>
          <w:rFonts w:ascii="宋体" w:hAnsi="宋体" w:eastAsia="宋体" w:cs="宋体"/>
          <w:spacing w:val="9"/>
          <w:sz w:val="23"/>
          <w:szCs w:val="23"/>
        </w:rPr>
        <w:t>噪声，对项目区域的声环境带来了一定影响，针对此项目采取以下治理措施：</w:t>
      </w:r>
    </w:p>
    <w:p w14:paraId="087768B3">
      <w:pPr>
        <w:spacing w:before="2" w:line="374" w:lineRule="auto"/>
        <w:ind w:left="13" w:right="18" w:firstLine="495"/>
        <w:rPr>
          <w:rFonts w:ascii="宋体" w:hAnsi="宋体" w:eastAsia="宋体" w:cs="宋体"/>
          <w:sz w:val="23"/>
          <w:szCs w:val="23"/>
        </w:rPr>
      </w:pPr>
      <w:r>
        <w:rPr>
          <w:rFonts w:ascii="Times New Roman" w:hAnsi="Times New Roman" w:eastAsia="Times New Roman" w:cs="Times New Roman"/>
          <w:spacing w:val="6"/>
          <w:sz w:val="23"/>
          <w:szCs w:val="23"/>
        </w:rPr>
        <w:t xml:space="preserve">1 </w:t>
      </w:r>
      <w:r>
        <w:rPr>
          <w:rFonts w:ascii="宋体" w:hAnsi="宋体" w:eastAsia="宋体" w:cs="宋体"/>
          <w:spacing w:val="6"/>
          <w:sz w:val="23"/>
          <w:szCs w:val="23"/>
        </w:rPr>
        <w:t>、合理</w:t>
      </w:r>
      <w:r>
        <w:rPr>
          <w:rFonts w:ascii="宋体" w:hAnsi="宋体" w:eastAsia="宋体" w:cs="宋体"/>
          <w:spacing w:val="3"/>
          <w:sz w:val="23"/>
          <w:szCs w:val="23"/>
        </w:rPr>
        <w:t>进行施工总平面布置，将高噪声设备、钢筋加工车间、木工棚等布置在场地内，</w:t>
      </w:r>
      <w:r>
        <w:rPr>
          <w:rFonts w:ascii="宋体" w:hAnsi="宋体" w:eastAsia="宋体" w:cs="宋体"/>
          <w:sz w:val="23"/>
          <w:szCs w:val="23"/>
        </w:rPr>
        <w:t xml:space="preserve"> </w:t>
      </w:r>
      <w:r>
        <w:rPr>
          <w:rFonts w:ascii="宋体" w:hAnsi="宋体" w:eastAsia="宋体" w:cs="宋体"/>
          <w:spacing w:val="8"/>
          <w:sz w:val="23"/>
          <w:szCs w:val="23"/>
        </w:rPr>
        <w:t>最大限度远离周边农户</w:t>
      </w:r>
      <w:r>
        <w:rPr>
          <w:rFonts w:ascii="宋体" w:hAnsi="宋体" w:eastAsia="宋体" w:cs="宋体"/>
          <w:spacing w:val="7"/>
          <w:sz w:val="23"/>
          <w:szCs w:val="23"/>
        </w:rPr>
        <w:t>。</w:t>
      </w:r>
    </w:p>
    <w:p w14:paraId="67F83F24">
      <w:pPr>
        <w:spacing w:before="1" w:line="375" w:lineRule="auto"/>
        <w:ind w:left="12" w:right="94" w:firstLine="473"/>
        <w:rPr>
          <w:rFonts w:ascii="宋体" w:hAnsi="宋体" w:eastAsia="宋体" w:cs="宋体"/>
          <w:sz w:val="23"/>
          <w:szCs w:val="23"/>
        </w:rPr>
      </w:pPr>
      <w:r>
        <w:rPr>
          <w:rFonts w:ascii="Times New Roman" w:hAnsi="Times New Roman" w:eastAsia="Times New Roman" w:cs="Times New Roman"/>
          <w:spacing w:val="8"/>
          <w:sz w:val="23"/>
          <w:szCs w:val="23"/>
        </w:rPr>
        <w:t xml:space="preserve">2 </w:t>
      </w:r>
      <w:r>
        <w:rPr>
          <w:rFonts w:ascii="宋体" w:hAnsi="宋体" w:eastAsia="宋体" w:cs="宋体"/>
          <w:spacing w:val="8"/>
          <w:sz w:val="23"/>
          <w:szCs w:val="23"/>
        </w:rPr>
        <w:t>、施工区域两侧应加装施工围挡。为了最大限度地降低噪声影响，环评建议施工单位</w:t>
      </w:r>
      <w:r>
        <w:rPr>
          <w:rFonts w:ascii="宋体" w:hAnsi="宋体" w:eastAsia="宋体" w:cs="宋体"/>
          <w:sz w:val="23"/>
          <w:szCs w:val="23"/>
        </w:rPr>
        <w:t xml:space="preserve"> </w:t>
      </w:r>
      <w:r>
        <w:rPr>
          <w:rFonts w:ascii="宋体" w:hAnsi="宋体" w:eastAsia="宋体" w:cs="宋体"/>
          <w:spacing w:val="11"/>
          <w:sz w:val="23"/>
          <w:szCs w:val="23"/>
        </w:rPr>
        <w:t>可</w:t>
      </w:r>
      <w:r>
        <w:rPr>
          <w:rFonts w:ascii="宋体" w:hAnsi="宋体" w:eastAsia="宋体" w:cs="宋体"/>
          <w:spacing w:val="9"/>
          <w:sz w:val="23"/>
          <w:szCs w:val="23"/>
        </w:rPr>
        <w:t>适当增加围挡高度以降低施工建设对敏感点的影响。</w:t>
      </w:r>
    </w:p>
    <w:p w14:paraId="399B370C">
      <w:pPr>
        <w:spacing w:line="303" w:lineRule="exact"/>
        <w:ind w:left="490"/>
        <w:rPr>
          <w:rFonts w:ascii="宋体" w:hAnsi="宋体" w:eastAsia="宋体" w:cs="宋体"/>
          <w:sz w:val="23"/>
          <w:szCs w:val="23"/>
        </w:rPr>
      </w:pPr>
      <w:r>
        <w:rPr>
          <w:rFonts w:ascii="Times New Roman" w:hAnsi="Times New Roman" w:eastAsia="Times New Roman" w:cs="Times New Roman"/>
          <w:spacing w:val="14"/>
          <w:position w:val="1"/>
          <w:sz w:val="23"/>
          <w:szCs w:val="23"/>
        </w:rPr>
        <w:t xml:space="preserve">3 </w:t>
      </w:r>
      <w:r>
        <w:rPr>
          <w:rFonts w:ascii="宋体" w:hAnsi="宋体" w:eastAsia="宋体" w:cs="宋体"/>
          <w:spacing w:val="11"/>
          <w:position w:val="1"/>
          <w:sz w:val="23"/>
          <w:szCs w:val="23"/>
        </w:rPr>
        <w:t>、</w:t>
      </w:r>
      <w:r>
        <w:rPr>
          <w:rFonts w:ascii="宋体" w:hAnsi="宋体" w:eastAsia="宋体" w:cs="宋体"/>
          <w:spacing w:val="7"/>
          <w:position w:val="1"/>
          <w:sz w:val="23"/>
          <w:szCs w:val="23"/>
        </w:rPr>
        <w:t>施工单位尽量采用先进低噪声设备，对产噪施工设备应加强维护和维修工作。</w:t>
      </w:r>
    </w:p>
    <w:p w14:paraId="129BA193">
      <w:pPr>
        <w:spacing w:before="164" w:line="382" w:lineRule="auto"/>
        <w:ind w:left="14" w:right="80" w:firstLine="469"/>
        <w:rPr>
          <w:rFonts w:ascii="宋体" w:hAnsi="宋体" w:eastAsia="宋体" w:cs="宋体"/>
          <w:sz w:val="23"/>
          <w:szCs w:val="23"/>
        </w:rPr>
      </w:pPr>
      <w:r>
        <w:rPr>
          <w:rFonts w:ascii="Times New Roman" w:hAnsi="Times New Roman" w:eastAsia="Times New Roman" w:cs="Times New Roman"/>
          <w:spacing w:val="18"/>
          <w:sz w:val="23"/>
          <w:szCs w:val="23"/>
        </w:rPr>
        <w:t>4</w:t>
      </w:r>
      <w:r>
        <w:rPr>
          <w:rFonts w:ascii="宋体" w:hAnsi="宋体" w:eastAsia="宋体" w:cs="宋体"/>
          <w:spacing w:val="18"/>
          <w:sz w:val="23"/>
          <w:szCs w:val="23"/>
        </w:rPr>
        <w:t>、合</w:t>
      </w:r>
      <w:r>
        <w:rPr>
          <w:rFonts w:ascii="宋体" w:hAnsi="宋体" w:eastAsia="宋体" w:cs="宋体"/>
          <w:spacing w:val="16"/>
          <w:sz w:val="23"/>
          <w:szCs w:val="23"/>
        </w:rPr>
        <w:t>理</w:t>
      </w:r>
      <w:r>
        <w:rPr>
          <w:rFonts w:ascii="宋体" w:hAnsi="宋体" w:eastAsia="宋体" w:cs="宋体"/>
          <w:spacing w:val="9"/>
          <w:sz w:val="23"/>
          <w:szCs w:val="23"/>
        </w:rPr>
        <w:t>安排施工时间，禁止夜间</w:t>
      </w:r>
      <w:r>
        <w:rPr>
          <w:rFonts w:ascii="Times New Roman" w:hAnsi="Times New Roman" w:eastAsia="Times New Roman" w:cs="Times New Roman"/>
          <w:spacing w:val="9"/>
          <w:sz w:val="23"/>
          <w:szCs w:val="23"/>
        </w:rPr>
        <w:t>22:00</w:t>
      </w:r>
      <w:r>
        <w:rPr>
          <w:rFonts w:ascii="宋体" w:hAnsi="宋体" w:eastAsia="宋体" w:cs="宋体"/>
          <w:spacing w:val="9"/>
          <w:sz w:val="23"/>
          <w:szCs w:val="23"/>
        </w:rPr>
        <w:t>~</w:t>
      </w:r>
      <w:r>
        <w:rPr>
          <w:rFonts w:ascii="Times New Roman" w:hAnsi="Times New Roman" w:eastAsia="Times New Roman" w:cs="Times New Roman"/>
          <w:spacing w:val="9"/>
          <w:sz w:val="23"/>
          <w:szCs w:val="23"/>
        </w:rPr>
        <w:t xml:space="preserve">6:00 </w:t>
      </w:r>
      <w:r>
        <w:rPr>
          <w:rFonts w:ascii="宋体" w:hAnsi="宋体" w:eastAsia="宋体" w:cs="宋体"/>
          <w:spacing w:val="9"/>
          <w:sz w:val="23"/>
          <w:szCs w:val="23"/>
        </w:rPr>
        <w:t>施工，如果工艺要求必须连续作业的强噪</w:t>
      </w:r>
      <w:r>
        <w:rPr>
          <w:rFonts w:ascii="宋体" w:hAnsi="宋体" w:eastAsia="宋体" w:cs="宋体"/>
          <w:sz w:val="23"/>
          <w:szCs w:val="23"/>
        </w:rPr>
        <w:t xml:space="preserve"> </w:t>
      </w:r>
      <w:r>
        <w:rPr>
          <w:rFonts w:ascii="宋体" w:hAnsi="宋体" w:eastAsia="宋体" w:cs="宋体"/>
          <w:spacing w:val="7"/>
          <w:sz w:val="23"/>
          <w:szCs w:val="23"/>
        </w:rPr>
        <w:t>声施工，应首先征得当地主管部门同意，取得夜间施工许可后方可施工，并应及时公告周围</w:t>
      </w:r>
    </w:p>
    <w:p w14:paraId="7792528D">
      <w:pPr>
        <w:sectPr>
          <w:headerReference r:id="rId229" w:type="default"/>
          <w:footerReference r:id="rId230" w:type="default"/>
          <w:pgSz w:w="11906" w:h="16839"/>
          <w:pgMar w:top="1113" w:right="1054" w:bottom="1157" w:left="1275" w:header="878" w:footer="994" w:gutter="0"/>
          <w:cols w:space="720" w:num="1"/>
        </w:sectPr>
      </w:pPr>
    </w:p>
    <w:p w14:paraId="4375D65F">
      <w:pPr>
        <w:spacing w:before="199" w:line="374" w:lineRule="auto"/>
        <w:ind w:left="14" w:firstLine="15"/>
        <w:rPr>
          <w:rFonts w:ascii="宋体" w:hAnsi="宋体" w:eastAsia="宋体" w:cs="宋体"/>
          <w:sz w:val="23"/>
          <w:szCs w:val="23"/>
        </w:rPr>
      </w:pPr>
      <w:r>
        <w:rPr>
          <w:rFonts w:ascii="宋体" w:hAnsi="宋体" w:eastAsia="宋体" w:cs="宋体"/>
          <w:spacing w:val="12"/>
          <w:sz w:val="23"/>
          <w:szCs w:val="23"/>
        </w:rPr>
        <w:t>的居民和</w:t>
      </w:r>
      <w:r>
        <w:rPr>
          <w:rFonts w:ascii="宋体" w:hAnsi="宋体" w:eastAsia="宋体" w:cs="宋体"/>
          <w:spacing w:val="7"/>
          <w:sz w:val="23"/>
          <w:szCs w:val="23"/>
        </w:rPr>
        <w:t>单</w:t>
      </w:r>
      <w:r>
        <w:rPr>
          <w:rFonts w:ascii="宋体" w:hAnsi="宋体" w:eastAsia="宋体" w:cs="宋体"/>
          <w:spacing w:val="6"/>
          <w:sz w:val="23"/>
          <w:szCs w:val="23"/>
        </w:rPr>
        <w:t>位。根据《中华人民共和国环境噪声污染防治法》和四川省人民政府办公厅《关</w:t>
      </w:r>
      <w:r>
        <w:rPr>
          <w:rFonts w:ascii="宋体" w:hAnsi="宋体" w:eastAsia="宋体" w:cs="宋体"/>
          <w:sz w:val="23"/>
          <w:szCs w:val="23"/>
        </w:rPr>
        <w:t xml:space="preserve"> </w:t>
      </w:r>
      <w:r>
        <w:rPr>
          <w:rFonts w:ascii="宋体" w:hAnsi="宋体" w:eastAsia="宋体" w:cs="宋体"/>
          <w:spacing w:val="6"/>
          <w:sz w:val="23"/>
          <w:szCs w:val="23"/>
        </w:rPr>
        <w:t>于在中、高考期间加</w:t>
      </w:r>
      <w:r>
        <w:rPr>
          <w:rFonts w:ascii="宋体" w:hAnsi="宋体" w:eastAsia="宋体" w:cs="宋体"/>
          <w:spacing w:val="5"/>
          <w:sz w:val="23"/>
          <w:szCs w:val="23"/>
        </w:rPr>
        <w:t>强</w:t>
      </w:r>
      <w:r>
        <w:rPr>
          <w:rFonts w:ascii="宋体" w:hAnsi="宋体" w:eastAsia="宋体" w:cs="宋体"/>
          <w:spacing w:val="3"/>
          <w:sz w:val="23"/>
          <w:szCs w:val="23"/>
        </w:rPr>
        <w:t>噪声污染监督管理工作的通知》  (川办函〔</w:t>
      </w:r>
      <w:r>
        <w:rPr>
          <w:rFonts w:ascii="Times New Roman" w:hAnsi="Times New Roman" w:eastAsia="Times New Roman" w:cs="Times New Roman"/>
          <w:spacing w:val="3"/>
          <w:sz w:val="23"/>
          <w:szCs w:val="23"/>
        </w:rPr>
        <w:t>2001</w:t>
      </w:r>
      <w:r>
        <w:rPr>
          <w:rFonts w:ascii="宋体" w:hAnsi="宋体" w:eastAsia="宋体" w:cs="宋体"/>
          <w:spacing w:val="3"/>
          <w:sz w:val="23"/>
          <w:szCs w:val="23"/>
        </w:rPr>
        <w:t>〕</w:t>
      </w:r>
      <w:r>
        <w:rPr>
          <w:rFonts w:ascii="Times New Roman" w:hAnsi="Times New Roman" w:eastAsia="Times New Roman" w:cs="Times New Roman"/>
          <w:spacing w:val="3"/>
          <w:sz w:val="23"/>
          <w:szCs w:val="23"/>
        </w:rPr>
        <w:t xml:space="preserve">90 </w:t>
      </w:r>
      <w:r>
        <w:rPr>
          <w:rFonts w:ascii="宋体" w:hAnsi="宋体" w:eastAsia="宋体" w:cs="宋体"/>
          <w:spacing w:val="3"/>
          <w:sz w:val="23"/>
          <w:szCs w:val="23"/>
        </w:rPr>
        <w:t>号) 文件精神，</w:t>
      </w:r>
      <w:r>
        <w:rPr>
          <w:rFonts w:ascii="宋体" w:hAnsi="宋体" w:eastAsia="宋体" w:cs="宋体"/>
          <w:sz w:val="23"/>
          <w:szCs w:val="23"/>
        </w:rPr>
        <w:t xml:space="preserve"> </w:t>
      </w:r>
      <w:r>
        <w:rPr>
          <w:rFonts w:ascii="宋体" w:hAnsi="宋体" w:eastAsia="宋体" w:cs="宋体"/>
          <w:spacing w:val="9"/>
          <w:sz w:val="23"/>
          <w:szCs w:val="23"/>
        </w:rPr>
        <w:t>中、高考期间禁止进行产生噪声污染的建设施工</w:t>
      </w:r>
      <w:r>
        <w:rPr>
          <w:rFonts w:ascii="宋体" w:hAnsi="宋体" w:eastAsia="宋体" w:cs="宋体"/>
          <w:spacing w:val="7"/>
          <w:sz w:val="23"/>
          <w:szCs w:val="23"/>
        </w:rPr>
        <w:t>。</w:t>
      </w:r>
    </w:p>
    <w:p w14:paraId="1AADCAC3">
      <w:pPr>
        <w:spacing w:line="303" w:lineRule="exact"/>
        <w:ind w:left="492"/>
        <w:rPr>
          <w:rFonts w:ascii="宋体" w:hAnsi="宋体" w:eastAsia="宋体" w:cs="宋体"/>
          <w:sz w:val="23"/>
          <w:szCs w:val="23"/>
        </w:rPr>
      </w:pPr>
      <w:r>
        <w:rPr>
          <w:rFonts w:ascii="Times New Roman" w:hAnsi="Times New Roman" w:eastAsia="Times New Roman" w:cs="Times New Roman"/>
          <w:spacing w:val="8"/>
          <w:position w:val="2"/>
          <w:sz w:val="23"/>
          <w:szCs w:val="23"/>
        </w:rPr>
        <w:t>5</w:t>
      </w:r>
      <w:r>
        <w:rPr>
          <w:rFonts w:ascii="Times New Roman" w:hAnsi="Times New Roman" w:eastAsia="Times New Roman" w:cs="Times New Roman"/>
          <w:spacing w:val="7"/>
          <w:position w:val="2"/>
          <w:sz w:val="23"/>
          <w:szCs w:val="23"/>
        </w:rPr>
        <w:t xml:space="preserve"> </w:t>
      </w:r>
      <w:r>
        <w:rPr>
          <w:rFonts w:ascii="宋体" w:hAnsi="宋体" w:eastAsia="宋体" w:cs="宋体"/>
          <w:spacing w:val="7"/>
          <w:position w:val="2"/>
          <w:sz w:val="23"/>
          <w:szCs w:val="23"/>
        </w:rPr>
        <w:t>、对钢管、模板等周转材料的拆卸、搬运应该轻拿轻放，严禁抛掷。</w:t>
      </w:r>
    </w:p>
    <w:p w14:paraId="184862EC">
      <w:pPr>
        <w:spacing w:before="164" w:line="304" w:lineRule="exact"/>
        <w:ind w:left="491"/>
        <w:rPr>
          <w:rFonts w:ascii="宋体" w:hAnsi="宋体" w:eastAsia="宋体" w:cs="宋体"/>
          <w:sz w:val="23"/>
          <w:szCs w:val="23"/>
        </w:rPr>
      </w:pPr>
      <w:r>
        <w:rPr>
          <w:rFonts w:ascii="Times New Roman" w:hAnsi="Times New Roman" w:eastAsia="Times New Roman" w:cs="Times New Roman"/>
          <w:spacing w:val="7"/>
          <w:position w:val="1"/>
          <w:sz w:val="23"/>
          <w:szCs w:val="23"/>
        </w:rPr>
        <w:t xml:space="preserve">6 </w:t>
      </w:r>
      <w:r>
        <w:rPr>
          <w:rFonts w:ascii="宋体" w:hAnsi="宋体" w:eastAsia="宋体" w:cs="宋体"/>
          <w:spacing w:val="7"/>
          <w:position w:val="1"/>
          <w:sz w:val="23"/>
          <w:szCs w:val="23"/>
        </w:rPr>
        <w:t>、材料运输等汽车进场安排专人指挥，场内禁止运输车辆鸣笛</w:t>
      </w:r>
      <w:r>
        <w:rPr>
          <w:rFonts w:ascii="宋体" w:hAnsi="宋体" w:eastAsia="宋体" w:cs="宋体"/>
          <w:spacing w:val="4"/>
          <w:position w:val="1"/>
          <w:sz w:val="23"/>
          <w:szCs w:val="23"/>
        </w:rPr>
        <w:t>。</w:t>
      </w:r>
    </w:p>
    <w:p w14:paraId="2C07C789">
      <w:pPr>
        <w:spacing w:before="164" w:line="375" w:lineRule="auto"/>
        <w:ind w:left="14" w:right="75" w:firstLine="474"/>
        <w:rPr>
          <w:rFonts w:ascii="宋体" w:hAnsi="宋体" w:eastAsia="宋体" w:cs="宋体"/>
          <w:sz w:val="23"/>
          <w:szCs w:val="23"/>
        </w:rPr>
      </w:pPr>
      <w:r>
        <w:rPr>
          <w:rFonts w:ascii="Times New Roman" w:hAnsi="Times New Roman" w:eastAsia="Times New Roman" w:cs="Times New Roman"/>
          <w:spacing w:val="8"/>
          <w:sz w:val="23"/>
          <w:szCs w:val="23"/>
        </w:rPr>
        <w:t xml:space="preserve">7 </w:t>
      </w:r>
      <w:r>
        <w:rPr>
          <w:rFonts w:ascii="宋体" w:hAnsi="宋体" w:eastAsia="宋体" w:cs="宋体"/>
          <w:spacing w:val="8"/>
          <w:sz w:val="23"/>
          <w:szCs w:val="23"/>
        </w:rPr>
        <w:t>、应做好与周边农户的协调沟通工作。施工期对周围环境带来多种不便，业主应加</w:t>
      </w:r>
      <w:r>
        <w:rPr>
          <w:rFonts w:ascii="宋体" w:hAnsi="宋体" w:eastAsia="宋体" w:cs="宋体"/>
          <w:spacing w:val="4"/>
          <w:sz w:val="23"/>
          <w:szCs w:val="23"/>
        </w:rPr>
        <w:t>强</w:t>
      </w:r>
      <w:r>
        <w:rPr>
          <w:rFonts w:ascii="宋体" w:hAnsi="宋体" w:eastAsia="宋体" w:cs="宋体"/>
          <w:sz w:val="23"/>
          <w:szCs w:val="23"/>
        </w:rPr>
        <w:t xml:space="preserve"> </w:t>
      </w:r>
      <w:r>
        <w:rPr>
          <w:rFonts w:ascii="宋体" w:hAnsi="宋体" w:eastAsia="宋体" w:cs="宋体"/>
          <w:spacing w:val="16"/>
          <w:sz w:val="23"/>
          <w:szCs w:val="23"/>
        </w:rPr>
        <w:t>与</w:t>
      </w:r>
      <w:r>
        <w:rPr>
          <w:rFonts w:ascii="宋体" w:hAnsi="宋体" w:eastAsia="宋体" w:cs="宋体"/>
          <w:spacing w:val="11"/>
          <w:sz w:val="23"/>
          <w:szCs w:val="23"/>
        </w:rPr>
        <w:t>周</w:t>
      </w:r>
      <w:r>
        <w:rPr>
          <w:rFonts w:ascii="宋体" w:hAnsi="宋体" w:eastAsia="宋体" w:cs="宋体"/>
          <w:spacing w:val="8"/>
          <w:sz w:val="23"/>
          <w:szCs w:val="23"/>
        </w:rPr>
        <w:t>边农户的联系，及时通报施工进度。</w:t>
      </w:r>
    </w:p>
    <w:p w14:paraId="417E9767">
      <w:pPr>
        <w:spacing w:before="1" w:line="373" w:lineRule="auto"/>
        <w:ind w:left="32" w:right="75" w:firstLine="462"/>
        <w:rPr>
          <w:rFonts w:ascii="宋体" w:hAnsi="宋体" w:eastAsia="宋体" w:cs="宋体"/>
          <w:sz w:val="23"/>
          <w:szCs w:val="23"/>
        </w:rPr>
      </w:pPr>
      <w:r>
        <w:rPr>
          <w:rFonts w:ascii="Times New Roman" w:hAnsi="Times New Roman" w:eastAsia="Times New Roman" w:cs="Times New Roman"/>
          <w:spacing w:val="14"/>
          <w:sz w:val="23"/>
          <w:szCs w:val="23"/>
        </w:rPr>
        <w:t xml:space="preserve">8 </w:t>
      </w:r>
      <w:r>
        <w:rPr>
          <w:rFonts w:ascii="宋体" w:hAnsi="宋体" w:eastAsia="宋体" w:cs="宋体"/>
          <w:spacing w:val="14"/>
          <w:sz w:val="23"/>
          <w:szCs w:val="23"/>
        </w:rPr>
        <w:t>、施</w:t>
      </w:r>
      <w:r>
        <w:rPr>
          <w:rFonts w:ascii="宋体" w:hAnsi="宋体" w:eastAsia="宋体" w:cs="宋体"/>
          <w:spacing w:val="8"/>
          <w:sz w:val="23"/>
          <w:szCs w:val="23"/>
        </w:rPr>
        <w:t>工</w:t>
      </w:r>
      <w:r>
        <w:rPr>
          <w:rFonts w:ascii="宋体" w:hAnsi="宋体" w:eastAsia="宋体" w:cs="宋体"/>
          <w:spacing w:val="7"/>
          <w:sz w:val="23"/>
          <w:szCs w:val="23"/>
        </w:rPr>
        <w:t>单位要加强对施工人员的教育，提高作业人员的环保意识，坚持科学组织、文</w:t>
      </w:r>
      <w:r>
        <w:rPr>
          <w:rFonts w:ascii="宋体" w:hAnsi="宋体" w:eastAsia="宋体" w:cs="宋体"/>
          <w:sz w:val="23"/>
          <w:szCs w:val="23"/>
        </w:rPr>
        <w:t xml:space="preserve"> </w:t>
      </w:r>
      <w:r>
        <w:rPr>
          <w:rFonts w:ascii="宋体" w:hAnsi="宋体" w:eastAsia="宋体" w:cs="宋体"/>
          <w:spacing w:val="-1"/>
          <w:sz w:val="23"/>
          <w:szCs w:val="23"/>
        </w:rPr>
        <w:t>明施</w:t>
      </w:r>
      <w:r>
        <w:rPr>
          <w:rFonts w:ascii="宋体" w:hAnsi="宋体" w:eastAsia="宋体" w:cs="宋体"/>
          <w:sz w:val="23"/>
          <w:szCs w:val="23"/>
        </w:rPr>
        <w:t>工。</w:t>
      </w:r>
    </w:p>
    <w:p w14:paraId="308332F2">
      <w:pPr>
        <w:spacing w:line="375" w:lineRule="auto"/>
        <w:ind w:left="12" w:right="61" w:firstLine="480"/>
        <w:rPr>
          <w:rFonts w:ascii="宋体" w:hAnsi="宋体" w:eastAsia="宋体" w:cs="宋体"/>
          <w:sz w:val="23"/>
          <w:szCs w:val="23"/>
        </w:rPr>
      </w:pPr>
      <w:r>
        <w:rPr>
          <w:rFonts w:ascii="宋体" w:hAnsi="宋体" w:eastAsia="宋体" w:cs="宋体"/>
          <w:spacing w:val="7"/>
          <w:sz w:val="23"/>
          <w:szCs w:val="23"/>
        </w:rPr>
        <w:t>综上所述，项目施工期噪声将对厂区周边环境造成一定影响，但是其影响是暂时的，</w:t>
      </w:r>
      <w:r>
        <w:rPr>
          <w:rFonts w:ascii="宋体" w:hAnsi="宋体" w:eastAsia="宋体" w:cs="宋体"/>
          <w:spacing w:val="3"/>
          <w:sz w:val="23"/>
          <w:szCs w:val="23"/>
        </w:rPr>
        <w:t>将</w:t>
      </w:r>
      <w:r>
        <w:rPr>
          <w:rFonts w:ascii="宋体" w:hAnsi="宋体" w:eastAsia="宋体" w:cs="宋体"/>
          <w:sz w:val="23"/>
          <w:szCs w:val="23"/>
        </w:rPr>
        <w:t xml:space="preserve"> </w:t>
      </w:r>
      <w:r>
        <w:rPr>
          <w:rFonts w:ascii="宋体" w:hAnsi="宋体" w:eastAsia="宋体" w:cs="宋体"/>
          <w:spacing w:val="10"/>
          <w:sz w:val="23"/>
          <w:szCs w:val="23"/>
        </w:rPr>
        <w:t>随</w:t>
      </w:r>
      <w:r>
        <w:rPr>
          <w:rFonts w:ascii="宋体" w:hAnsi="宋体" w:eastAsia="宋体" w:cs="宋体"/>
          <w:spacing w:val="7"/>
          <w:sz w:val="23"/>
          <w:szCs w:val="23"/>
        </w:rPr>
        <w:t>施工期的结束而消失，在采取上述噪声防治措施后噪声对周围环境影响较小，施工期噪声</w:t>
      </w:r>
      <w:r>
        <w:rPr>
          <w:rFonts w:ascii="宋体" w:hAnsi="宋体" w:eastAsia="宋体" w:cs="宋体"/>
          <w:sz w:val="23"/>
          <w:szCs w:val="23"/>
        </w:rPr>
        <w:t xml:space="preserve"> </w:t>
      </w:r>
      <w:r>
        <w:rPr>
          <w:rFonts w:ascii="宋体" w:hAnsi="宋体" w:eastAsia="宋体" w:cs="宋体"/>
          <w:spacing w:val="12"/>
          <w:sz w:val="23"/>
          <w:szCs w:val="23"/>
        </w:rPr>
        <w:t>污</w:t>
      </w:r>
      <w:r>
        <w:rPr>
          <w:rFonts w:ascii="宋体" w:hAnsi="宋体" w:eastAsia="宋体" w:cs="宋体"/>
          <w:spacing w:val="8"/>
          <w:sz w:val="23"/>
          <w:szCs w:val="23"/>
        </w:rPr>
        <w:t>染防治措施经济技术可行。</w:t>
      </w:r>
    </w:p>
    <w:p w14:paraId="3446304D">
      <w:pPr>
        <w:spacing w:line="228" w:lineRule="auto"/>
        <w:ind w:left="9"/>
        <w:outlineLvl w:val="2"/>
        <w:rPr>
          <w:rFonts w:ascii="宋体" w:hAnsi="宋体" w:eastAsia="宋体" w:cs="宋体"/>
          <w:sz w:val="23"/>
          <w:szCs w:val="23"/>
        </w:rPr>
      </w:pPr>
      <w:r>
        <w:rPr>
          <w:rFonts w:ascii="Times New Roman" w:hAnsi="Times New Roman" w:eastAsia="Times New Roman" w:cs="Times New Roman"/>
          <w:b/>
          <w:bCs/>
          <w:spacing w:val="11"/>
          <w:sz w:val="23"/>
          <w:szCs w:val="23"/>
        </w:rPr>
        <w:t>6</w:t>
      </w:r>
      <w:r>
        <w:rPr>
          <w:rFonts w:ascii="Times New Roman" w:hAnsi="Times New Roman" w:eastAsia="Times New Roman" w:cs="Times New Roman"/>
          <w:b/>
          <w:bCs/>
          <w:spacing w:val="8"/>
          <w:sz w:val="23"/>
          <w:szCs w:val="23"/>
        </w:rPr>
        <w:t>.1.4</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施工期固废污染防治措施分析</w:t>
      </w:r>
    </w:p>
    <w:p w14:paraId="03B7D145">
      <w:pPr>
        <w:spacing w:before="181" w:line="375" w:lineRule="auto"/>
        <w:ind w:left="9" w:right="59" w:firstLine="480"/>
        <w:rPr>
          <w:rFonts w:ascii="宋体" w:hAnsi="宋体" w:eastAsia="宋体" w:cs="宋体"/>
          <w:sz w:val="23"/>
          <w:szCs w:val="23"/>
        </w:rPr>
      </w:pPr>
      <w:r>
        <w:rPr>
          <w:rFonts w:ascii="宋体" w:hAnsi="宋体" w:eastAsia="宋体" w:cs="宋体"/>
          <w:spacing w:val="7"/>
          <w:sz w:val="23"/>
          <w:szCs w:val="23"/>
        </w:rPr>
        <w:t>施工期固体废弃物主要是建筑垃圾、施工人员的生活垃圾和施工土石方。建设单位要</w:t>
      </w:r>
      <w:r>
        <w:rPr>
          <w:rFonts w:ascii="宋体" w:hAnsi="宋体" w:eastAsia="宋体" w:cs="宋体"/>
          <w:spacing w:val="6"/>
          <w:sz w:val="23"/>
          <w:szCs w:val="23"/>
        </w:rPr>
        <w:t>求</w:t>
      </w:r>
      <w:r>
        <w:rPr>
          <w:rFonts w:ascii="宋体" w:hAnsi="宋体" w:eastAsia="宋体" w:cs="宋体"/>
          <w:sz w:val="23"/>
          <w:szCs w:val="23"/>
        </w:rPr>
        <w:t xml:space="preserve"> </w:t>
      </w:r>
      <w:r>
        <w:rPr>
          <w:rFonts w:ascii="宋体" w:hAnsi="宋体" w:eastAsia="宋体" w:cs="宋体"/>
          <w:spacing w:val="12"/>
          <w:sz w:val="23"/>
          <w:szCs w:val="23"/>
        </w:rPr>
        <w:t>施</w:t>
      </w:r>
      <w:r>
        <w:rPr>
          <w:rFonts w:ascii="宋体" w:hAnsi="宋体" w:eastAsia="宋体" w:cs="宋体"/>
          <w:spacing w:val="7"/>
          <w:sz w:val="23"/>
          <w:szCs w:val="23"/>
        </w:rPr>
        <w:t>工单位规范处理，首先将建筑垃圾分类，尽量回收其中尚可利用的部分建筑材料，对没有</w:t>
      </w:r>
      <w:r>
        <w:rPr>
          <w:rFonts w:ascii="宋体" w:hAnsi="宋体" w:eastAsia="宋体" w:cs="宋体"/>
          <w:sz w:val="23"/>
          <w:szCs w:val="23"/>
        </w:rPr>
        <w:t xml:space="preserve"> </w:t>
      </w:r>
      <w:r>
        <w:rPr>
          <w:rFonts w:ascii="宋体" w:hAnsi="宋体" w:eastAsia="宋体" w:cs="宋体"/>
          <w:spacing w:val="12"/>
          <w:sz w:val="23"/>
          <w:szCs w:val="23"/>
        </w:rPr>
        <w:t>利</w:t>
      </w:r>
      <w:r>
        <w:rPr>
          <w:rFonts w:ascii="宋体" w:hAnsi="宋体" w:eastAsia="宋体" w:cs="宋体"/>
          <w:spacing w:val="7"/>
          <w:sz w:val="23"/>
          <w:szCs w:val="23"/>
        </w:rPr>
        <w:t>用价值的废弃物应妥善堆放、及时厂区回填，运输起尘物料时，必须采用毡布覆盖，不允</w:t>
      </w:r>
      <w:r>
        <w:rPr>
          <w:rFonts w:ascii="宋体" w:hAnsi="宋体" w:eastAsia="宋体" w:cs="宋体"/>
          <w:sz w:val="23"/>
          <w:szCs w:val="23"/>
        </w:rPr>
        <w:t xml:space="preserve"> </w:t>
      </w:r>
      <w:r>
        <w:rPr>
          <w:rFonts w:ascii="宋体" w:hAnsi="宋体" w:eastAsia="宋体" w:cs="宋体"/>
          <w:spacing w:val="8"/>
          <w:sz w:val="23"/>
          <w:szCs w:val="23"/>
        </w:rPr>
        <w:t>许超载，出</w:t>
      </w:r>
      <w:r>
        <w:rPr>
          <w:rFonts w:ascii="宋体" w:hAnsi="宋体" w:eastAsia="宋体" w:cs="宋体"/>
          <w:spacing w:val="6"/>
          <w:sz w:val="23"/>
          <w:szCs w:val="23"/>
        </w:rPr>
        <w:t>场</w:t>
      </w:r>
      <w:r>
        <w:rPr>
          <w:rFonts w:ascii="宋体" w:hAnsi="宋体" w:eastAsia="宋体" w:cs="宋体"/>
          <w:spacing w:val="4"/>
          <w:sz w:val="23"/>
          <w:szCs w:val="23"/>
        </w:rPr>
        <w:t>前一律清洗轮胎，沿途不要随路散落，也不要随意倾倒建筑垃圾，制造新的</w:t>
      </w:r>
      <w:r>
        <w:rPr>
          <w:rFonts w:ascii="Times New Roman" w:hAnsi="Times New Roman" w:eastAsia="Times New Roman" w:cs="Times New Roman"/>
          <w:spacing w:val="4"/>
          <w:sz w:val="23"/>
          <w:szCs w:val="23"/>
        </w:rPr>
        <w:t>“</w:t>
      </w:r>
      <w:r>
        <w:rPr>
          <w:rFonts w:ascii="宋体" w:hAnsi="宋体" w:eastAsia="宋体" w:cs="宋体"/>
          <w:spacing w:val="4"/>
          <w:sz w:val="23"/>
          <w:szCs w:val="23"/>
        </w:rPr>
        <w:t>垃</w:t>
      </w:r>
      <w:r>
        <w:rPr>
          <w:rFonts w:ascii="宋体" w:hAnsi="宋体" w:eastAsia="宋体" w:cs="宋体"/>
          <w:sz w:val="23"/>
          <w:szCs w:val="23"/>
        </w:rPr>
        <w:t xml:space="preserve"> </w:t>
      </w:r>
      <w:r>
        <w:rPr>
          <w:rFonts w:ascii="宋体" w:hAnsi="宋体" w:eastAsia="宋体" w:cs="宋体"/>
          <w:spacing w:val="20"/>
          <w:sz w:val="23"/>
          <w:szCs w:val="23"/>
        </w:rPr>
        <w:t>圾</w:t>
      </w:r>
      <w:r>
        <w:rPr>
          <w:rFonts w:ascii="宋体" w:hAnsi="宋体" w:eastAsia="宋体" w:cs="宋体"/>
          <w:spacing w:val="13"/>
          <w:sz w:val="23"/>
          <w:szCs w:val="23"/>
        </w:rPr>
        <w:t>堆</w:t>
      </w:r>
      <w:r>
        <w:rPr>
          <w:rFonts w:ascii="宋体" w:hAnsi="宋体" w:eastAsia="宋体" w:cs="宋体"/>
          <w:spacing w:val="10"/>
          <w:sz w:val="23"/>
          <w:szCs w:val="23"/>
        </w:rPr>
        <w:t>场</w:t>
      </w:r>
      <w:r>
        <w:rPr>
          <w:rFonts w:ascii="Times New Roman" w:hAnsi="Times New Roman" w:eastAsia="Times New Roman" w:cs="Times New Roman"/>
          <w:spacing w:val="10"/>
          <w:sz w:val="23"/>
          <w:szCs w:val="23"/>
        </w:rPr>
        <w:t>”</w:t>
      </w:r>
      <w:r>
        <w:rPr>
          <w:rFonts w:ascii="宋体" w:hAnsi="宋体" w:eastAsia="宋体" w:cs="宋体"/>
          <w:spacing w:val="10"/>
          <w:sz w:val="23"/>
          <w:szCs w:val="23"/>
        </w:rPr>
        <w:t>；生活垃圾收集后运至场镇垃圾点交由当地环卫部门清运处理；项目场地具有一定</w:t>
      </w:r>
      <w:r>
        <w:rPr>
          <w:rFonts w:ascii="宋体" w:hAnsi="宋体" w:eastAsia="宋体" w:cs="宋体"/>
          <w:sz w:val="23"/>
          <w:szCs w:val="23"/>
        </w:rPr>
        <w:t xml:space="preserve"> </w:t>
      </w:r>
      <w:r>
        <w:rPr>
          <w:rFonts w:ascii="宋体" w:hAnsi="宋体" w:eastAsia="宋体" w:cs="宋体"/>
          <w:spacing w:val="18"/>
          <w:sz w:val="23"/>
          <w:szCs w:val="23"/>
        </w:rPr>
        <w:t>坡</w:t>
      </w:r>
      <w:r>
        <w:rPr>
          <w:rFonts w:ascii="宋体" w:hAnsi="宋体" w:eastAsia="宋体" w:cs="宋体"/>
          <w:spacing w:val="12"/>
          <w:sz w:val="23"/>
          <w:szCs w:val="23"/>
        </w:rPr>
        <w:t>度</w:t>
      </w:r>
      <w:r>
        <w:rPr>
          <w:rFonts w:ascii="宋体" w:hAnsi="宋体" w:eastAsia="宋体" w:cs="宋体"/>
          <w:spacing w:val="9"/>
          <w:sz w:val="23"/>
          <w:szCs w:val="23"/>
        </w:rPr>
        <w:t>，开挖土石方量全部用于场内平整回填及绿化，无外运弃土产生。</w:t>
      </w:r>
    </w:p>
    <w:p w14:paraId="3DE3E8A2">
      <w:pPr>
        <w:spacing w:before="1" w:line="374" w:lineRule="auto"/>
        <w:ind w:left="9" w:right="61" w:firstLine="483"/>
        <w:rPr>
          <w:rFonts w:ascii="宋体" w:hAnsi="宋体" w:eastAsia="宋体" w:cs="宋体"/>
          <w:sz w:val="23"/>
          <w:szCs w:val="23"/>
        </w:rPr>
      </w:pPr>
      <w:r>
        <w:rPr>
          <w:rFonts w:ascii="宋体" w:hAnsi="宋体" w:eastAsia="宋体" w:cs="宋体"/>
          <w:spacing w:val="7"/>
          <w:sz w:val="23"/>
          <w:szCs w:val="23"/>
        </w:rPr>
        <w:t>综上，本项目施工期产生的固体废弃物均得到了妥善处理，不会污染当地环境，因此</w:t>
      </w:r>
      <w:r>
        <w:rPr>
          <w:rFonts w:ascii="宋体" w:hAnsi="宋体" w:eastAsia="宋体" w:cs="宋体"/>
          <w:spacing w:val="3"/>
          <w:sz w:val="23"/>
          <w:szCs w:val="23"/>
        </w:rPr>
        <w:t>本</w:t>
      </w:r>
      <w:r>
        <w:rPr>
          <w:rFonts w:ascii="宋体" w:hAnsi="宋体" w:eastAsia="宋体" w:cs="宋体"/>
          <w:sz w:val="23"/>
          <w:szCs w:val="23"/>
        </w:rPr>
        <w:t xml:space="preserve"> </w:t>
      </w:r>
      <w:r>
        <w:rPr>
          <w:rFonts w:ascii="宋体" w:hAnsi="宋体" w:eastAsia="宋体" w:cs="宋体"/>
          <w:spacing w:val="13"/>
          <w:sz w:val="23"/>
          <w:szCs w:val="23"/>
        </w:rPr>
        <w:t>评</w:t>
      </w:r>
      <w:r>
        <w:rPr>
          <w:rFonts w:ascii="宋体" w:hAnsi="宋体" w:eastAsia="宋体" w:cs="宋体"/>
          <w:spacing w:val="9"/>
          <w:sz w:val="23"/>
          <w:szCs w:val="23"/>
        </w:rPr>
        <w:t>价认为，施工期固废污染防治措施经济技术可行。</w:t>
      </w:r>
    </w:p>
    <w:p w14:paraId="6B605AE7">
      <w:pPr>
        <w:spacing w:line="228" w:lineRule="auto"/>
        <w:ind w:left="9"/>
        <w:outlineLvl w:val="2"/>
        <w:rPr>
          <w:rFonts w:ascii="宋体" w:hAnsi="宋体" w:eastAsia="宋体" w:cs="宋体"/>
          <w:sz w:val="23"/>
          <w:szCs w:val="23"/>
        </w:rPr>
      </w:pPr>
      <w:r>
        <w:rPr>
          <w:rFonts w:ascii="Times New Roman" w:hAnsi="Times New Roman" w:eastAsia="Times New Roman" w:cs="Times New Roman"/>
          <w:b/>
          <w:bCs/>
          <w:spacing w:val="12"/>
          <w:sz w:val="23"/>
          <w:szCs w:val="23"/>
        </w:rPr>
        <w:t>6</w:t>
      </w:r>
      <w:r>
        <w:rPr>
          <w:rFonts w:ascii="Times New Roman" w:hAnsi="Times New Roman" w:eastAsia="Times New Roman" w:cs="Times New Roman"/>
          <w:b/>
          <w:bCs/>
          <w:spacing w:val="7"/>
          <w:sz w:val="23"/>
          <w:szCs w:val="23"/>
        </w:rPr>
        <w:t>.1.5</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生态防护措施及论证</w:t>
      </w:r>
    </w:p>
    <w:p w14:paraId="6A8C37C4">
      <w:pPr>
        <w:spacing w:before="185" w:line="227" w:lineRule="auto"/>
        <w:ind w:left="494"/>
        <w:rPr>
          <w:rFonts w:ascii="宋体" w:hAnsi="宋体" w:eastAsia="宋体" w:cs="宋体"/>
          <w:sz w:val="23"/>
          <w:szCs w:val="23"/>
        </w:rPr>
      </w:pPr>
      <w:r>
        <w:rPr>
          <w:rFonts w:ascii="宋体" w:hAnsi="宋体" w:eastAsia="宋体" w:cs="宋体"/>
          <w:spacing w:val="18"/>
          <w:sz w:val="23"/>
          <w:szCs w:val="23"/>
        </w:rPr>
        <w:t>项</w:t>
      </w:r>
      <w:r>
        <w:rPr>
          <w:rFonts w:ascii="宋体" w:hAnsi="宋体" w:eastAsia="宋体" w:cs="宋体"/>
          <w:spacing w:val="9"/>
          <w:sz w:val="23"/>
          <w:szCs w:val="23"/>
        </w:rPr>
        <w:t>目施工期对生态环境的影响主要为植被的破坏以及可能造成的水土流失。</w:t>
      </w:r>
    </w:p>
    <w:p w14:paraId="2044511E">
      <w:pPr>
        <w:spacing w:before="182" w:line="225" w:lineRule="auto"/>
        <w:ind w:left="249"/>
        <w:rPr>
          <w:rFonts w:ascii="宋体" w:hAnsi="宋体" w:eastAsia="宋体" w:cs="宋体"/>
          <w:sz w:val="23"/>
          <w:szCs w:val="23"/>
        </w:rPr>
      </w:pPr>
      <w:r>
        <w:rPr>
          <w:rFonts w:ascii="宋体" w:hAnsi="宋体" w:eastAsia="宋体" w:cs="宋体"/>
          <w:spacing w:val="9"/>
          <w:sz w:val="23"/>
          <w:szCs w:val="23"/>
        </w:rPr>
        <w:t>①</w:t>
      </w:r>
      <w:r>
        <w:rPr>
          <w:rFonts w:ascii="宋体" w:hAnsi="宋体" w:eastAsia="宋体" w:cs="宋体"/>
          <w:spacing w:val="8"/>
          <w:sz w:val="23"/>
          <w:szCs w:val="23"/>
        </w:rPr>
        <w:t>植被破坏</w:t>
      </w:r>
    </w:p>
    <w:p w14:paraId="77E8A97D">
      <w:pPr>
        <w:spacing w:before="187" w:line="375" w:lineRule="auto"/>
        <w:ind w:left="14" w:firstLine="494"/>
        <w:rPr>
          <w:rFonts w:ascii="宋体" w:hAnsi="宋体" w:eastAsia="宋体" w:cs="宋体"/>
          <w:sz w:val="23"/>
          <w:szCs w:val="23"/>
        </w:rPr>
      </w:pPr>
      <w:r>
        <w:rPr>
          <w:rFonts w:ascii="Times New Roman" w:hAnsi="Times New Roman" w:eastAsia="Times New Roman" w:cs="Times New Roman"/>
          <w:spacing w:val="5"/>
          <w:sz w:val="23"/>
          <w:szCs w:val="23"/>
        </w:rPr>
        <w:t>1</w:t>
      </w:r>
      <w:r>
        <w:rPr>
          <w:rFonts w:ascii="宋体" w:hAnsi="宋体" w:eastAsia="宋体" w:cs="宋体"/>
          <w:spacing w:val="5"/>
          <w:sz w:val="23"/>
          <w:szCs w:val="23"/>
        </w:rPr>
        <w:t>) 在施工作业过程中，不得随意开挖，强化生态环境保护意识，严格控制施工作业</w:t>
      </w:r>
      <w:r>
        <w:rPr>
          <w:rFonts w:ascii="宋体" w:hAnsi="宋体" w:eastAsia="宋体" w:cs="宋体"/>
          <w:spacing w:val="2"/>
          <w:sz w:val="23"/>
          <w:szCs w:val="23"/>
        </w:rPr>
        <w:t>区</w:t>
      </w:r>
      <w:r>
        <w:rPr>
          <w:rFonts w:ascii="宋体" w:hAnsi="宋体" w:eastAsia="宋体" w:cs="宋体"/>
          <w:sz w:val="23"/>
          <w:szCs w:val="23"/>
        </w:rPr>
        <w:t xml:space="preserve">， </w:t>
      </w:r>
      <w:r>
        <w:rPr>
          <w:rFonts w:ascii="宋体" w:hAnsi="宋体" w:eastAsia="宋体" w:cs="宋体"/>
          <w:spacing w:val="9"/>
          <w:sz w:val="23"/>
          <w:szCs w:val="23"/>
        </w:rPr>
        <w:t>不得随意扩大范围，尽量减少对植被的破坏</w:t>
      </w:r>
      <w:r>
        <w:rPr>
          <w:rFonts w:ascii="宋体" w:hAnsi="宋体" w:eastAsia="宋体" w:cs="宋体"/>
          <w:spacing w:val="5"/>
          <w:sz w:val="23"/>
          <w:szCs w:val="23"/>
        </w:rPr>
        <w:t>。</w:t>
      </w:r>
    </w:p>
    <w:p w14:paraId="33BB0617">
      <w:pPr>
        <w:spacing w:line="227" w:lineRule="auto"/>
        <w:ind w:left="485"/>
        <w:rPr>
          <w:rFonts w:ascii="宋体" w:hAnsi="宋体" w:eastAsia="宋体" w:cs="宋体"/>
          <w:sz w:val="23"/>
          <w:szCs w:val="23"/>
        </w:rPr>
      </w:pPr>
      <w:r>
        <w:rPr>
          <w:rFonts w:ascii="Times New Roman" w:hAnsi="Times New Roman" w:eastAsia="Times New Roman" w:cs="Times New Roman"/>
          <w:spacing w:val="17"/>
          <w:sz w:val="23"/>
          <w:szCs w:val="23"/>
        </w:rPr>
        <w:t>2</w:t>
      </w:r>
      <w:r>
        <w:rPr>
          <w:rFonts w:ascii="宋体" w:hAnsi="宋体" w:eastAsia="宋体" w:cs="宋体"/>
          <w:spacing w:val="9"/>
          <w:sz w:val="23"/>
          <w:szCs w:val="23"/>
        </w:rPr>
        <w:t>) 合理利用场地内原有树林植被设置绿化带，尽量保留可利用植被，降低生态影响。</w:t>
      </w:r>
    </w:p>
    <w:p w14:paraId="28E56691">
      <w:pPr>
        <w:spacing w:before="183" w:line="228" w:lineRule="auto"/>
        <w:ind w:left="490"/>
        <w:rPr>
          <w:rFonts w:ascii="宋体" w:hAnsi="宋体" w:eastAsia="宋体" w:cs="宋体"/>
          <w:sz w:val="23"/>
          <w:szCs w:val="23"/>
        </w:rPr>
      </w:pPr>
      <w:r>
        <w:rPr>
          <w:rFonts w:ascii="Times New Roman" w:hAnsi="Times New Roman" w:eastAsia="Times New Roman" w:cs="Times New Roman"/>
          <w:spacing w:val="9"/>
          <w:sz w:val="23"/>
          <w:szCs w:val="23"/>
        </w:rPr>
        <w:t>3</w:t>
      </w:r>
      <w:r>
        <w:rPr>
          <w:rFonts w:ascii="宋体" w:hAnsi="宋体" w:eastAsia="宋体" w:cs="宋体"/>
          <w:spacing w:val="9"/>
          <w:sz w:val="23"/>
          <w:szCs w:val="23"/>
        </w:rPr>
        <w:t>) 项目实施后，对厂区内进行绿化，种植花草树木，尽量恢复区域绿化</w:t>
      </w:r>
      <w:r>
        <w:rPr>
          <w:rFonts w:ascii="宋体" w:hAnsi="宋体" w:eastAsia="宋体" w:cs="宋体"/>
          <w:spacing w:val="8"/>
          <w:sz w:val="23"/>
          <w:szCs w:val="23"/>
        </w:rPr>
        <w:t>。</w:t>
      </w:r>
    </w:p>
    <w:p w14:paraId="039C83B9">
      <w:pPr>
        <w:spacing w:before="184" w:line="225" w:lineRule="auto"/>
        <w:ind w:left="488"/>
        <w:rPr>
          <w:rFonts w:ascii="宋体" w:hAnsi="宋体" w:eastAsia="宋体" w:cs="宋体"/>
          <w:sz w:val="23"/>
          <w:szCs w:val="23"/>
        </w:rPr>
      </w:pPr>
      <w:r>
        <w:rPr>
          <w:rFonts w:ascii="宋体" w:hAnsi="宋体" w:eastAsia="宋体" w:cs="宋体"/>
          <w:spacing w:val="10"/>
          <w:sz w:val="23"/>
          <w:szCs w:val="23"/>
        </w:rPr>
        <w:t>②</w:t>
      </w:r>
      <w:r>
        <w:rPr>
          <w:rFonts w:ascii="宋体" w:hAnsi="宋体" w:eastAsia="宋体" w:cs="宋体"/>
          <w:spacing w:val="8"/>
          <w:sz w:val="23"/>
          <w:szCs w:val="23"/>
        </w:rPr>
        <w:t>水土流失</w:t>
      </w:r>
    </w:p>
    <w:p w14:paraId="267608C8">
      <w:pPr>
        <w:spacing w:before="185" w:line="227" w:lineRule="auto"/>
        <w:ind w:left="508"/>
        <w:rPr>
          <w:rFonts w:ascii="宋体" w:hAnsi="宋体" w:eastAsia="宋体" w:cs="宋体"/>
          <w:sz w:val="23"/>
          <w:szCs w:val="23"/>
        </w:rPr>
      </w:pPr>
      <w:r>
        <w:rPr>
          <w:rFonts w:ascii="Times New Roman" w:hAnsi="Times New Roman" w:eastAsia="Times New Roman" w:cs="Times New Roman"/>
          <w:spacing w:val="14"/>
          <w:sz w:val="23"/>
          <w:szCs w:val="23"/>
        </w:rPr>
        <w:t>1</w:t>
      </w:r>
      <w:r>
        <w:rPr>
          <w:rFonts w:ascii="宋体" w:hAnsi="宋体" w:eastAsia="宋体" w:cs="宋体"/>
          <w:spacing w:val="12"/>
          <w:sz w:val="23"/>
          <w:szCs w:val="23"/>
        </w:rPr>
        <w:t>)</w:t>
      </w:r>
      <w:r>
        <w:rPr>
          <w:rFonts w:ascii="宋体" w:hAnsi="宋体" w:eastAsia="宋体" w:cs="宋体"/>
          <w:spacing w:val="7"/>
          <w:sz w:val="23"/>
          <w:szCs w:val="23"/>
        </w:rPr>
        <w:t xml:space="preserve"> 整个施工过程中尽可能避开雨天开挖施工；</w:t>
      </w:r>
    </w:p>
    <w:p w14:paraId="193B9974">
      <w:pPr>
        <w:spacing w:before="185" w:line="228" w:lineRule="auto"/>
        <w:ind w:left="485"/>
        <w:rPr>
          <w:rFonts w:ascii="宋体" w:hAnsi="宋体" w:eastAsia="宋体" w:cs="宋体"/>
          <w:sz w:val="23"/>
          <w:szCs w:val="23"/>
        </w:rPr>
      </w:pPr>
      <w:r>
        <w:rPr>
          <w:rFonts w:ascii="Times New Roman" w:hAnsi="Times New Roman" w:eastAsia="Times New Roman" w:cs="Times New Roman"/>
          <w:spacing w:val="10"/>
          <w:sz w:val="23"/>
          <w:szCs w:val="23"/>
        </w:rPr>
        <w:t>2</w:t>
      </w:r>
      <w:r>
        <w:rPr>
          <w:rFonts w:ascii="宋体" w:hAnsi="宋体" w:eastAsia="宋体" w:cs="宋体"/>
          <w:spacing w:val="10"/>
          <w:sz w:val="23"/>
          <w:szCs w:val="23"/>
        </w:rPr>
        <w:t xml:space="preserve">) </w:t>
      </w:r>
      <w:r>
        <w:rPr>
          <w:rFonts w:ascii="宋体" w:hAnsi="宋体" w:eastAsia="宋体" w:cs="宋体"/>
          <w:spacing w:val="5"/>
          <w:sz w:val="23"/>
          <w:szCs w:val="23"/>
        </w:rPr>
        <w:t>在施工作业过程中，不得随意开挖，强化生态环境保护意识，严格控制施工作业区，</w:t>
      </w:r>
    </w:p>
    <w:p w14:paraId="1E7AC4D8">
      <w:pPr>
        <w:sectPr>
          <w:headerReference r:id="rId231" w:type="default"/>
          <w:footerReference r:id="rId232" w:type="default"/>
          <w:pgSz w:w="11906" w:h="16839"/>
          <w:pgMar w:top="1113" w:right="1073" w:bottom="1157" w:left="1275" w:header="878" w:footer="994" w:gutter="0"/>
          <w:cols w:space="720" w:num="1"/>
        </w:sectPr>
      </w:pPr>
    </w:p>
    <w:p w14:paraId="66DE53CE">
      <w:pPr>
        <w:spacing w:before="198" w:line="227" w:lineRule="auto"/>
        <w:ind w:left="14"/>
        <w:rPr>
          <w:rFonts w:ascii="宋体" w:hAnsi="宋体" w:eastAsia="宋体" w:cs="宋体"/>
          <w:sz w:val="23"/>
          <w:szCs w:val="23"/>
        </w:rPr>
      </w:pPr>
      <w:r>
        <w:rPr>
          <w:rFonts w:ascii="宋体" w:hAnsi="宋体" w:eastAsia="宋体" w:cs="宋体"/>
          <w:spacing w:val="12"/>
          <w:sz w:val="23"/>
          <w:szCs w:val="23"/>
        </w:rPr>
        <w:t>不</w:t>
      </w:r>
      <w:r>
        <w:rPr>
          <w:rFonts w:ascii="宋体" w:hAnsi="宋体" w:eastAsia="宋体" w:cs="宋体"/>
          <w:spacing w:val="9"/>
          <w:sz w:val="23"/>
          <w:szCs w:val="23"/>
        </w:rPr>
        <w:t>得随意扩大范围，尽量减少对植被的破坏，保护水土资源；</w:t>
      </w:r>
    </w:p>
    <w:p w14:paraId="7A41EEA8">
      <w:pPr>
        <w:spacing w:before="181" w:line="375" w:lineRule="auto"/>
        <w:ind w:left="11" w:right="80" w:firstLine="479"/>
        <w:rPr>
          <w:rFonts w:ascii="宋体" w:hAnsi="宋体" w:eastAsia="宋体" w:cs="宋体"/>
          <w:sz w:val="23"/>
          <w:szCs w:val="23"/>
        </w:rPr>
      </w:pPr>
      <w:r>
        <w:rPr>
          <w:rFonts w:ascii="Times New Roman" w:hAnsi="Times New Roman" w:eastAsia="Times New Roman" w:cs="Times New Roman"/>
          <w:spacing w:val="18"/>
          <w:sz w:val="23"/>
          <w:szCs w:val="23"/>
        </w:rPr>
        <w:t>3</w:t>
      </w:r>
      <w:r>
        <w:rPr>
          <w:rFonts w:ascii="宋体" w:hAnsi="宋体" w:eastAsia="宋体" w:cs="宋体"/>
          <w:spacing w:val="18"/>
          <w:sz w:val="23"/>
          <w:szCs w:val="23"/>
        </w:rPr>
        <w:t xml:space="preserve">) </w:t>
      </w:r>
      <w:r>
        <w:rPr>
          <w:rFonts w:ascii="宋体" w:hAnsi="宋体" w:eastAsia="宋体" w:cs="宋体"/>
          <w:spacing w:val="10"/>
          <w:sz w:val="23"/>
          <w:szCs w:val="23"/>
        </w:rPr>
        <w:t>对</w:t>
      </w:r>
      <w:r>
        <w:rPr>
          <w:rFonts w:ascii="宋体" w:hAnsi="宋体" w:eastAsia="宋体" w:cs="宋体"/>
          <w:spacing w:val="9"/>
          <w:sz w:val="23"/>
          <w:szCs w:val="23"/>
        </w:rPr>
        <w:t>于开挖土石方，减少临时堆放和不必要的转运过程，应尽快回填剩余用于场区内</w:t>
      </w:r>
      <w:r>
        <w:rPr>
          <w:rFonts w:ascii="宋体" w:hAnsi="宋体" w:eastAsia="宋体" w:cs="宋体"/>
          <w:sz w:val="23"/>
          <w:szCs w:val="23"/>
        </w:rPr>
        <w:t xml:space="preserve"> </w:t>
      </w:r>
      <w:r>
        <w:rPr>
          <w:rFonts w:ascii="宋体" w:hAnsi="宋体" w:eastAsia="宋体" w:cs="宋体"/>
          <w:spacing w:val="18"/>
          <w:sz w:val="23"/>
          <w:szCs w:val="23"/>
        </w:rPr>
        <w:t>土</w:t>
      </w:r>
      <w:r>
        <w:rPr>
          <w:rFonts w:ascii="宋体" w:hAnsi="宋体" w:eastAsia="宋体" w:cs="宋体"/>
          <w:spacing w:val="9"/>
          <w:sz w:val="23"/>
          <w:szCs w:val="23"/>
        </w:rPr>
        <w:t>地平整。环评要求挖方时对土方进行剥离，可用土进行单独保存。</w:t>
      </w:r>
    </w:p>
    <w:p w14:paraId="4E6DA7A7">
      <w:pPr>
        <w:spacing w:before="1" w:line="375" w:lineRule="auto"/>
        <w:ind w:left="10" w:right="80" w:firstLine="474"/>
        <w:rPr>
          <w:rFonts w:ascii="宋体" w:hAnsi="宋体" w:eastAsia="宋体" w:cs="宋体"/>
          <w:sz w:val="23"/>
          <w:szCs w:val="23"/>
        </w:rPr>
      </w:pPr>
      <w:r>
        <w:rPr>
          <w:rFonts w:ascii="Times New Roman" w:hAnsi="Times New Roman" w:eastAsia="Times New Roman" w:cs="Times New Roman"/>
          <w:spacing w:val="12"/>
          <w:sz w:val="23"/>
          <w:szCs w:val="23"/>
        </w:rPr>
        <w:t>4</w:t>
      </w:r>
      <w:r>
        <w:rPr>
          <w:rFonts w:ascii="宋体" w:hAnsi="宋体" w:eastAsia="宋体" w:cs="宋体"/>
          <w:spacing w:val="12"/>
          <w:sz w:val="23"/>
          <w:szCs w:val="23"/>
        </w:rPr>
        <w:t>) 在基</w:t>
      </w:r>
      <w:r>
        <w:rPr>
          <w:rFonts w:ascii="宋体" w:hAnsi="宋体" w:eastAsia="宋体" w:cs="宋体"/>
          <w:spacing w:val="6"/>
          <w:sz w:val="23"/>
          <w:szCs w:val="23"/>
        </w:rPr>
        <w:t>础清理开挖时，为防止开挖土方进入施工区外，在开挖线外缘一侧用编织 袋装</w:t>
      </w:r>
      <w:r>
        <w:rPr>
          <w:rFonts w:ascii="宋体" w:hAnsi="宋体" w:eastAsia="宋体" w:cs="宋体"/>
          <w:sz w:val="23"/>
          <w:szCs w:val="23"/>
        </w:rPr>
        <w:t xml:space="preserve"> </w:t>
      </w:r>
      <w:r>
        <w:rPr>
          <w:rFonts w:ascii="宋体" w:hAnsi="宋体" w:eastAsia="宋体" w:cs="宋体"/>
          <w:spacing w:val="8"/>
          <w:sz w:val="23"/>
          <w:szCs w:val="23"/>
        </w:rPr>
        <w:t>清理表层土临时拦挡；</w:t>
      </w:r>
    </w:p>
    <w:p w14:paraId="5FC59EFD">
      <w:pPr>
        <w:spacing w:line="227" w:lineRule="auto"/>
        <w:ind w:left="492"/>
        <w:rPr>
          <w:rFonts w:ascii="宋体" w:hAnsi="宋体" w:eastAsia="宋体" w:cs="宋体"/>
          <w:sz w:val="23"/>
          <w:szCs w:val="23"/>
        </w:rPr>
      </w:pPr>
      <w:r>
        <w:rPr>
          <w:rFonts w:ascii="Times New Roman" w:hAnsi="Times New Roman" w:eastAsia="Times New Roman" w:cs="Times New Roman"/>
          <w:spacing w:val="16"/>
          <w:sz w:val="23"/>
          <w:szCs w:val="23"/>
        </w:rPr>
        <w:t>5</w:t>
      </w:r>
      <w:r>
        <w:rPr>
          <w:rFonts w:ascii="宋体" w:hAnsi="宋体" w:eastAsia="宋体" w:cs="宋体"/>
          <w:spacing w:val="13"/>
          <w:sz w:val="23"/>
          <w:szCs w:val="23"/>
        </w:rPr>
        <w:t>)</w:t>
      </w:r>
      <w:r>
        <w:rPr>
          <w:rFonts w:ascii="宋体" w:hAnsi="宋体" w:eastAsia="宋体" w:cs="宋体"/>
          <w:spacing w:val="8"/>
          <w:sz w:val="23"/>
          <w:szCs w:val="23"/>
        </w:rPr>
        <w:t xml:space="preserve"> 临时堆场周边设置围挡，并采用防雨布进行覆盖。</w:t>
      </w:r>
    </w:p>
    <w:p w14:paraId="3B712A46">
      <w:pPr>
        <w:spacing w:before="181" w:line="375" w:lineRule="auto"/>
        <w:ind w:left="10" w:right="80" w:firstLine="480"/>
        <w:rPr>
          <w:rFonts w:ascii="宋体" w:hAnsi="宋体" w:eastAsia="宋体" w:cs="宋体"/>
          <w:sz w:val="23"/>
          <w:szCs w:val="23"/>
        </w:rPr>
      </w:pPr>
      <w:r>
        <w:rPr>
          <w:rFonts w:ascii="Times New Roman" w:hAnsi="Times New Roman" w:eastAsia="Times New Roman" w:cs="Times New Roman"/>
          <w:spacing w:val="18"/>
          <w:sz w:val="23"/>
          <w:szCs w:val="23"/>
        </w:rPr>
        <w:t>6</w:t>
      </w:r>
      <w:r>
        <w:rPr>
          <w:rFonts w:ascii="宋体" w:hAnsi="宋体" w:eastAsia="宋体" w:cs="宋体"/>
          <w:spacing w:val="18"/>
          <w:sz w:val="23"/>
          <w:szCs w:val="23"/>
        </w:rPr>
        <w:t xml:space="preserve">) </w:t>
      </w:r>
      <w:r>
        <w:rPr>
          <w:rFonts w:ascii="宋体" w:hAnsi="宋体" w:eastAsia="宋体" w:cs="宋体"/>
          <w:spacing w:val="10"/>
          <w:sz w:val="23"/>
          <w:szCs w:val="23"/>
        </w:rPr>
        <w:t>尽</w:t>
      </w:r>
      <w:r>
        <w:rPr>
          <w:rFonts w:ascii="宋体" w:hAnsi="宋体" w:eastAsia="宋体" w:cs="宋体"/>
          <w:spacing w:val="9"/>
          <w:sz w:val="23"/>
          <w:szCs w:val="23"/>
        </w:rPr>
        <w:t>快完善在施工场地四周雨水排水沟，防止雨水冲刷场地，并在排水沟出口设临时</w:t>
      </w:r>
      <w:r>
        <w:rPr>
          <w:rFonts w:ascii="宋体" w:hAnsi="宋体" w:eastAsia="宋体" w:cs="宋体"/>
          <w:sz w:val="23"/>
          <w:szCs w:val="23"/>
        </w:rPr>
        <w:t xml:space="preserve"> </w:t>
      </w:r>
      <w:r>
        <w:rPr>
          <w:rFonts w:ascii="宋体" w:hAnsi="宋体" w:eastAsia="宋体" w:cs="宋体"/>
          <w:spacing w:val="15"/>
          <w:sz w:val="23"/>
          <w:szCs w:val="23"/>
        </w:rPr>
        <w:t>沉</w:t>
      </w:r>
      <w:r>
        <w:rPr>
          <w:rFonts w:ascii="宋体" w:hAnsi="宋体" w:eastAsia="宋体" w:cs="宋体"/>
          <w:spacing w:val="9"/>
          <w:sz w:val="23"/>
          <w:szCs w:val="23"/>
        </w:rPr>
        <w:t>淀池，使雨水经沉淀后排放，尽力减少施工期水土流失。</w:t>
      </w:r>
    </w:p>
    <w:p w14:paraId="7F6F9B83">
      <w:pPr>
        <w:spacing w:before="3" w:line="376" w:lineRule="auto"/>
        <w:ind w:left="16" w:right="80" w:firstLine="472"/>
        <w:rPr>
          <w:rFonts w:ascii="宋体" w:hAnsi="宋体" w:eastAsia="宋体" w:cs="宋体"/>
          <w:sz w:val="23"/>
          <w:szCs w:val="23"/>
        </w:rPr>
      </w:pPr>
      <w:r>
        <w:rPr>
          <w:rFonts w:ascii="宋体" w:hAnsi="宋体" w:eastAsia="宋体" w:cs="宋体"/>
          <w:spacing w:val="7"/>
          <w:sz w:val="23"/>
          <w:szCs w:val="23"/>
        </w:rPr>
        <w:t>采取上述措施可减小植被的破坏，并对破坏的植被进行一定绿化补偿。同时能够有效</w:t>
      </w:r>
      <w:r>
        <w:rPr>
          <w:rFonts w:ascii="宋体" w:hAnsi="宋体" w:eastAsia="宋体" w:cs="宋体"/>
          <w:spacing w:val="6"/>
          <w:sz w:val="23"/>
          <w:szCs w:val="23"/>
        </w:rPr>
        <w:t>减</w:t>
      </w:r>
      <w:r>
        <w:rPr>
          <w:rFonts w:ascii="宋体" w:hAnsi="宋体" w:eastAsia="宋体" w:cs="宋体"/>
          <w:sz w:val="23"/>
          <w:szCs w:val="23"/>
        </w:rPr>
        <w:t xml:space="preserve"> </w:t>
      </w:r>
      <w:r>
        <w:rPr>
          <w:rFonts w:ascii="宋体" w:hAnsi="宋体" w:eastAsia="宋体" w:cs="宋体"/>
          <w:spacing w:val="8"/>
          <w:sz w:val="23"/>
          <w:szCs w:val="23"/>
        </w:rPr>
        <w:t>小水土流失。经济技术可行。</w:t>
      </w:r>
    </w:p>
    <w:p w14:paraId="77ADF9DB">
      <w:pPr>
        <w:spacing w:before="1" w:line="220" w:lineRule="auto"/>
        <w:ind w:left="11"/>
        <w:outlineLvl w:val="1"/>
        <w:rPr>
          <w:rFonts w:ascii="宋体" w:hAnsi="宋体" w:eastAsia="宋体" w:cs="宋体"/>
          <w:sz w:val="28"/>
          <w:szCs w:val="28"/>
        </w:rPr>
      </w:pPr>
      <w:bookmarkStart w:id="49" w:name="_bookmark50"/>
      <w:bookmarkEnd w:id="49"/>
      <w:r>
        <w:rPr>
          <w:rFonts w:ascii="Times New Roman" w:hAnsi="Times New Roman" w:eastAsia="Times New Roman" w:cs="Times New Roman"/>
          <w:b/>
          <w:bCs/>
          <w:spacing w:val="-1"/>
          <w:sz w:val="28"/>
          <w:szCs w:val="28"/>
        </w:rPr>
        <w:t>6</w:t>
      </w:r>
      <w:r>
        <w:rPr>
          <w:rFonts w:ascii="Times New Roman" w:hAnsi="Times New Roman" w:eastAsia="Times New Roman" w:cs="Times New Roman"/>
          <w:b/>
          <w:bCs/>
          <w:sz w:val="28"/>
          <w:szCs w:val="28"/>
        </w:rPr>
        <w:t>.2</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营运期污染防治措施</w:t>
      </w:r>
    </w:p>
    <w:p w14:paraId="68573DC4">
      <w:pPr>
        <w:spacing w:before="205" w:line="227" w:lineRule="auto"/>
        <w:ind w:left="9"/>
        <w:outlineLvl w:val="2"/>
        <w:rPr>
          <w:rFonts w:ascii="宋体" w:hAnsi="宋体" w:eastAsia="宋体" w:cs="宋体"/>
          <w:sz w:val="23"/>
          <w:szCs w:val="23"/>
        </w:rPr>
      </w:pPr>
      <w:r>
        <w:rPr>
          <w:rFonts w:ascii="Times New Roman" w:hAnsi="Times New Roman" w:eastAsia="Times New Roman" w:cs="Times New Roman"/>
          <w:b/>
          <w:bCs/>
          <w:spacing w:val="14"/>
          <w:sz w:val="23"/>
          <w:szCs w:val="23"/>
        </w:rPr>
        <w:t>6</w:t>
      </w:r>
      <w:r>
        <w:rPr>
          <w:rFonts w:ascii="Times New Roman" w:hAnsi="Times New Roman" w:eastAsia="Times New Roman" w:cs="Times New Roman"/>
          <w:b/>
          <w:bCs/>
          <w:spacing w:val="12"/>
          <w:sz w:val="23"/>
          <w:szCs w:val="23"/>
        </w:rPr>
        <w:t>.</w:t>
      </w:r>
      <w:r>
        <w:rPr>
          <w:rFonts w:ascii="Times New Roman" w:hAnsi="Times New Roman" w:eastAsia="Times New Roman" w:cs="Times New Roman"/>
          <w:b/>
          <w:bCs/>
          <w:spacing w:val="7"/>
          <w:sz w:val="23"/>
          <w:szCs w:val="23"/>
        </w:rPr>
        <w:t>2.1</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营运期地表水环境保护措施</w:t>
      </w:r>
    </w:p>
    <w:p w14:paraId="75E9881A">
      <w:pPr>
        <w:spacing w:before="185" w:line="227" w:lineRule="auto"/>
        <w:ind w:left="9"/>
        <w:outlineLvl w:val="3"/>
        <w:rPr>
          <w:rFonts w:ascii="宋体" w:hAnsi="宋体" w:eastAsia="宋体" w:cs="宋体"/>
          <w:sz w:val="23"/>
          <w:szCs w:val="23"/>
        </w:rPr>
      </w:pPr>
      <w:r>
        <w:rPr>
          <w:rFonts w:ascii="Times New Roman" w:hAnsi="Times New Roman" w:eastAsia="Times New Roman" w:cs="Times New Roman"/>
          <w:b/>
          <w:bCs/>
          <w:spacing w:val="6"/>
          <w:sz w:val="23"/>
          <w:szCs w:val="23"/>
        </w:rPr>
        <w:t>6.2.2.1</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废水处置措</w:t>
      </w:r>
      <w:r>
        <w:rPr>
          <w:rFonts w:ascii="宋体" w:hAnsi="宋体" w:eastAsia="宋体" w:cs="宋体"/>
          <w:spacing w:val="4"/>
          <w:sz w:val="23"/>
          <w:szCs w:val="23"/>
          <w14:textOutline w14:w="4356" w14:cap="sq" w14:cmpd="sng" w14:algn="ctr">
            <w14:solidFill>
              <w14:srgbClr w14:val="000000"/>
            </w14:solidFill>
            <w14:prstDash w14:val="solid"/>
            <w14:bevel/>
          </w14:textOutline>
        </w:rPr>
        <w:t>施</w:t>
      </w:r>
    </w:p>
    <w:p w14:paraId="1B174FF9">
      <w:pPr>
        <w:spacing w:before="180" w:line="375" w:lineRule="auto"/>
        <w:ind w:left="10" w:right="13" w:firstLine="480"/>
        <w:rPr>
          <w:rFonts w:ascii="宋体" w:hAnsi="宋体" w:eastAsia="宋体" w:cs="宋体"/>
          <w:sz w:val="23"/>
          <w:szCs w:val="23"/>
        </w:rPr>
      </w:pPr>
      <w:r>
        <w:rPr>
          <w:rFonts w:ascii="宋体" w:hAnsi="宋体" w:eastAsia="宋体" w:cs="宋体"/>
          <w:spacing w:val="6"/>
          <w:sz w:val="23"/>
          <w:szCs w:val="23"/>
        </w:rPr>
        <w:t>整体而言，项目</w:t>
      </w:r>
      <w:r>
        <w:rPr>
          <w:rFonts w:ascii="宋体" w:hAnsi="宋体" w:eastAsia="宋体" w:cs="宋体"/>
          <w:spacing w:val="4"/>
          <w:sz w:val="23"/>
          <w:szCs w:val="23"/>
        </w:rPr>
        <w:t>应</w:t>
      </w:r>
      <w:r>
        <w:rPr>
          <w:rFonts w:ascii="宋体" w:hAnsi="宋体" w:eastAsia="宋体" w:cs="宋体"/>
          <w:spacing w:val="3"/>
          <w:sz w:val="23"/>
          <w:szCs w:val="23"/>
        </w:rPr>
        <w:t>严格执行《畜禽养殖业污染防治技术政策》  (环发〔</w:t>
      </w:r>
      <w:r>
        <w:rPr>
          <w:rFonts w:ascii="Times New Roman" w:hAnsi="Times New Roman" w:eastAsia="Times New Roman" w:cs="Times New Roman"/>
          <w:spacing w:val="3"/>
          <w:sz w:val="23"/>
          <w:szCs w:val="23"/>
        </w:rPr>
        <w:t>2010</w:t>
      </w:r>
      <w:r>
        <w:rPr>
          <w:rFonts w:ascii="宋体" w:hAnsi="宋体" w:eastAsia="宋体" w:cs="宋体"/>
          <w:spacing w:val="3"/>
          <w:sz w:val="23"/>
          <w:szCs w:val="23"/>
        </w:rPr>
        <w:t>〕</w:t>
      </w:r>
      <w:r>
        <w:rPr>
          <w:rFonts w:ascii="Times New Roman" w:hAnsi="Times New Roman" w:eastAsia="Times New Roman" w:cs="Times New Roman"/>
          <w:spacing w:val="3"/>
          <w:sz w:val="23"/>
          <w:szCs w:val="23"/>
        </w:rPr>
        <w:t xml:space="preserve">51 </w:t>
      </w:r>
      <w:r>
        <w:rPr>
          <w:rFonts w:ascii="宋体" w:hAnsi="宋体" w:eastAsia="宋体" w:cs="宋体"/>
          <w:spacing w:val="3"/>
          <w:sz w:val="23"/>
          <w:szCs w:val="23"/>
        </w:rPr>
        <w:t>号) ，</w:t>
      </w:r>
      <w:r>
        <w:rPr>
          <w:rFonts w:ascii="宋体" w:hAnsi="宋体" w:eastAsia="宋体" w:cs="宋体"/>
          <w:sz w:val="23"/>
          <w:szCs w:val="23"/>
        </w:rPr>
        <w:t xml:space="preserve"> </w:t>
      </w:r>
      <w:r>
        <w:rPr>
          <w:rFonts w:ascii="宋体" w:hAnsi="宋体" w:eastAsia="宋体" w:cs="宋体"/>
          <w:spacing w:val="12"/>
          <w:sz w:val="23"/>
          <w:szCs w:val="23"/>
        </w:rPr>
        <w:t>建</w:t>
      </w:r>
      <w:r>
        <w:rPr>
          <w:rFonts w:ascii="宋体" w:hAnsi="宋体" w:eastAsia="宋体" w:cs="宋体"/>
          <w:spacing w:val="7"/>
          <w:sz w:val="23"/>
          <w:szCs w:val="23"/>
        </w:rPr>
        <w:t>立完善的排水设施并保持畅通，废水的收集输送系统不得采取明沟布设，排水系统必须实</w:t>
      </w:r>
      <w:r>
        <w:rPr>
          <w:rFonts w:ascii="宋体" w:hAnsi="宋体" w:eastAsia="宋体" w:cs="宋体"/>
          <w:sz w:val="23"/>
          <w:szCs w:val="23"/>
        </w:rPr>
        <w:t xml:space="preserve"> </w:t>
      </w:r>
      <w:r>
        <w:rPr>
          <w:rFonts w:ascii="宋体" w:hAnsi="宋体" w:eastAsia="宋体" w:cs="宋体"/>
          <w:spacing w:val="12"/>
          <w:sz w:val="23"/>
          <w:szCs w:val="23"/>
        </w:rPr>
        <w:t>行</w:t>
      </w:r>
      <w:r>
        <w:rPr>
          <w:rFonts w:ascii="宋体" w:hAnsi="宋体" w:eastAsia="宋体" w:cs="宋体"/>
          <w:spacing w:val="7"/>
          <w:sz w:val="23"/>
          <w:szCs w:val="23"/>
        </w:rPr>
        <w:t>雨污分流制。本项目生活污水和养殖废水分开处置，养殖废水每日运输至乐山乐高勤力生</w:t>
      </w:r>
      <w:r>
        <w:rPr>
          <w:rFonts w:ascii="宋体" w:hAnsi="宋体" w:eastAsia="宋体" w:cs="宋体"/>
          <w:sz w:val="23"/>
          <w:szCs w:val="23"/>
        </w:rPr>
        <w:t xml:space="preserve"> </w:t>
      </w:r>
      <w:r>
        <w:rPr>
          <w:rFonts w:ascii="宋体" w:hAnsi="宋体" w:eastAsia="宋体" w:cs="宋体"/>
          <w:spacing w:val="12"/>
          <w:sz w:val="23"/>
          <w:szCs w:val="23"/>
        </w:rPr>
        <w:t>物</w:t>
      </w:r>
      <w:r>
        <w:rPr>
          <w:rFonts w:ascii="宋体" w:hAnsi="宋体" w:eastAsia="宋体" w:cs="宋体"/>
          <w:spacing w:val="7"/>
          <w:sz w:val="23"/>
          <w:szCs w:val="23"/>
        </w:rPr>
        <w:t>质能源综合利用有限公司集中处置，日产日清，同时，厂区还配套建设有发酵床备用，若</w:t>
      </w:r>
      <w:r>
        <w:rPr>
          <w:rFonts w:ascii="宋体" w:hAnsi="宋体" w:eastAsia="宋体" w:cs="宋体"/>
          <w:sz w:val="23"/>
          <w:szCs w:val="23"/>
        </w:rPr>
        <w:t xml:space="preserve"> </w:t>
      </w:r>
      <w:r>
        <w:rPr>
          <w:rFonts w:ascii="宋体" w:hAnsi="宋体" w:eastAsia="宋体" w:cs="宋体"/>
          <w:spacing w:val="12"/>
          <w:sz w:val="23"/>
          <w:szCs w:val="23"/>
        </w:rPr>
        <w:t>后</w:t>
      </w:r>
      <w:r>
        <w:rPr>
          <w:rFonts w:ascii="宋体" w:hAnsi="宋体" w:eastAsia="宋体" w:cs="宋体"/>
          <w:spacing w:val="7"/>
          <w:sz w:val="23"/>
          <w:szCs w:val="23"/>
        </w:rPr>
        <w:t>期乐山乐高勤力生物质能源综合利用有限公司不再回收我单位猪粪水，将通过异味发酵床</w:t>
      </w:r>
      <w:r>
        <w:rPr>
          <w:rFonts w:ascii="宋体" w:hAnsi="宋体" w:eastAsia="宋体" w:cs="宋体"/>
          <w:sz w:val="23"/>
          <w:szCs w:val="23"/>
        </w:rPr>
        <w:t xml:space="preserve"> </w:t>
      </w:r>
      <w:r>
        <w:rPr>
          <w:rFonts w:ascii="宋体" w:hAnsi="宋体" w:eastAsia="宋体" w:cs="宋体"/>
          <w:spacing w:val="9"/>
          <w:sz w:val="23"/>
          <w:szCs w:val="23"/>
        </w:rPr>
        <w:t>自行处置，处理产生的有机肥外售处理</w:t>
      </w:r>
      <w:r>
        <w:rPr>
          <w:rFonts w:ascii="宋体" w:hAnsi="宋体" w:eastAsia="宋体" w:cs="宋体"/>
          <w:spacing w:val="7"/>
          <w:sz w:val="23"/>
          <w:szCs w:val="23"/>
        </w:rPr>
        <w:t>。</w:t>
      </w:r>
    </w:p>
    <w:p w14:paraId="6863C71D">
      <w:pPr>
        <w:spacing w:line="303" w:lineRule="exact"/>
        <w:ind w:left="496"/>
        <w:rPr>
          <w:rFonts w:ascii="宋体" w:hAnsi="宋体" w:eastAsia="宋体" w:cs="宋体"/>
          <w:sz w:val="23"/>
          <w:szCs w:val="23"/>
        </w:rPr>
      </w:pPr>
      <w:r>
        <w:rPr>
          <w:rFonts w:ascii="Times New Roman" w:hAnsi="Times New Roman" w:eastAsia="Times New Roman" w:cs="Times New Roman"/>
          <w:b/>
          <w:bCs/>
          <w:spacing w:val="6"/>
          <w:position w:val="1"/>
          <w:sz w:val="23"/>
          <w:szCs w:val="23"/>
        </w:rPr>
        <w:t>1</w:t>
      </w:r>
      <w:r>
        <w:rPr>
          <w:rFonts w:ascii="Times New Roman" w:hAnsi="Times New Roman" w:eastAsia="Times New Roman" w:cs="Times New Roman"/>
          <w:spacing w:val="5"/>
          <w:position w:val="1"/>
          <w:sz w:val="23"/>
          <w:szCs w:val="23"/>
        </w:rPr>
        <w:t xml:space="preserve"> </w:t>
      </w:r>
      <w:r>
        <w:rPr>
          <w:rFonts w:ascii="宋体" w:hAnsi="宋体" w:eastAsia="宋体" w:cs="宋体"/>
          <w:spacing w:val="3"/>
          <w:position w:val="1"/>
          <w:sz w:val="23"/>
          <w:szCs w:val="23"/>
          <w14:textOutline w14:w="4356" w14:cap="sq" w14:cmpd="sng" w14:algn="ctr">
            <w14:solidFill>
              <w14:srgbClr w14:val="000000"/>
            </w14:solidFill>
            <w14:prstDash w14:val="solid"/>
            <w14:bevel/>
          </w14:textOutline>
        </w:rPr>
        <w:t>、生活污水、餐饮废水</w:t>
      </w:r>
    </w:p>
    <w:p w14:paraId="56DAA490">
      <w:pPr>
        <w:spacing w:before="121" w:line="387" w:lineRule="auto"/>
        <w:ind w:left="32" w:right="75" w:firstLine="457"/>
        <w:rPr>
          <w:rFonts w:ascii="宋体" w:hAnsi="宋体" w:eastAsia="宋体" w:cs="宋体"/>
          <w:sz w:val="23"/>
          <w:szCs w:val="23"/>
        </w:rPr>
      </w:pPr>
      <w:r>
        <w:rPr>
          <w:rFonts w:ascii="宋体" w:hAnsi="宋体" w:eastAsia="宋体" w:cs="宋体"/>
          <w:spacing w:val="8"/>
          <w:sz w:val="23"/>
          <w:szCs w:val="23"/>
        </w:rPr>
        <w:t>根据计算，预计项</w:t>
      </w:r>
      <w:r>
        <w:rPr>
          <w:rFonts w:ascii="宋体" w:hAnsi="宋体" w:eastAsia="宋体" w:cs="宋体"/>
          <w:spacing w:val="6"/>
          <w:sz w:val="23"/>
          <w:szCs w:val="23"/>
        </w:rPr>
        <w:t>目</w:t>
      </w:r>
      <w:r>
        <w:rPr>
          <w:rFonts w:ascii="宋体" w:hAnsi="宋体" w:eastAsia="宋体" w:cs="宋体"/>
          <w:spacing w:val="4"/>
          <w:sz w:val="23"/>
          <w:szCs w:val="23"/>
        </w:rPr>
        <w:t xml:space="preserve">生活污水产生量为 </w:t>
      </w:r>
      <w:r>
        <w:rPr>
          <w:rFonts w:ascii="Times New Roman" w:hAnsi="Times New Roman" w:eastAsia="Times New Roman" w:cs="Times New Roman"/>
          <w:spacing w:val="4"/>
          <w:sz w:val="23"/>
          <w:szCs w:val="23"/>
        </w:rPr>
        <w:t>0.85</w:t>
      </w:r>
      <w:r>
        <w:rPr>
          <w:rFonts w:ascii="Times New Roman" w:hAnsi="Times New Roman" w:eastAsia="Times New Roman" w:cs="Times New Roman"/>
          <w:sz w:val="23"/>
          <w:szCs w:val="23"/>
        </w:rPr>
        <w:t>m</w:t>
      </w:r>
      <w:r>
        <w:rPr>
          <w:rFonts w:ascii="Times New Roman" w:hAnsi="Times New Roman" w:eastAsia="Times New Roman" w:cs="Times New Roman"/>
          <w:spacing w:val="4"/>
          <w:position w:val="8"/>
          <w:sz w:val="15"/>
          <w:szCs w:val="15"/>
        </w:rPr>
        <w:t>3</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w:t>
      </w:r>
      <w:r>
        <w:rPr>
          <w:rFonts w:ascii="Times New Roman" w:hAnsi="Times New Roman" w:eastAsia="Times New Roman" w:cs="Times New Roman"/>
          <w:spacing w:val="4"/>
          <w:sz w:val="23"/>
          <w:szCs w:val="23"/>
        </w:rPr>
        <w:t>310.25</w:t>
      </w:r>
      <w:r>
        <w:rPr>
          <w:rFonts w:ascii="Times New Roman" w:hAnsi="Times New Roman" w:eastAsia="Times New Roman" w:cs="Times New Roman"/>
          <w:sz w:val="23"/>
          <w:szCs w:val="23"/>
        </w:rPr>
        <w:t>m</w:t>
      </w:r>
      <w:r>
        <w:rPr>
          <w:rFonts w:ascii="Times New Roman" w:hAnsi="Times New Roman" w:eastAsia="Times New Roman" w:cs="Times New Roman"/>
          <w:spacing w:val="4"/>
          <w:position w:val="8"/>
          <w:sz w:val="15"/>
          <w:szCs w:val="15"/>
        </w:rPr>
        <w:t>3</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，生活污水经化粪池 (其</w:t>
      </w:r>
      <w:r>
        <w:rPr>
          <w:rFonts w:ascii="宋体" w:hAnsi="宋体" w:eastAsia="宋体" w:cs="宋体"/>
          <w:sz w:val="23"/>
          <w:szCs w:val="23"/>
        </w:rPr>
        <w:t xml:space="preserve"> </w:t>
      </w:r>
      <w:r>
        <w:rPr>
          <w:rFonts w:ascii="宋体" w:hAnsi="宋体" w:eastAsia="宋体" w:cs="宋体"/>
          <w:spacing w:val="16"/>
          <w:sz w:val="23"/>
          <w:szCs w:val="23"/>
        </w:rPr>
        <w:t>中餐饮</w:t>
      </w:r>
      <w:r>
        <w:rPr>
          <w:rFonts w:ascii="宋体" w:hAnsi="宋体" w:eastAsia="宋体" w:cs="宋体"/>
          <w:spacing w:val="8"/>
          <w:sz w:val="23"/>
          <w:szCs w:val="23"/>
        </w:rPr>
        <w:t>废水先经隔油池隔油处理再进入化粪池) 收集后用作自家林地灌溉，不外排。</w:t>
      </w:r>
    </w:p>
    <w:p w14:paraId="1CE7F9E9">
      <w:pPr>
        <w:spacing w:before="12" w:line="375" w:lineRule="auto"/>
        <w:ind w:left="13" w:right="80" w:firstLine="480"/>
        <w:rPr>
          <w:rFonts w:ascii="宋体" w:hAnsi="宋体" w:eastAsia="宋体" w:cs="宋体"/>
          <w:sz w:val="23"/>
          <w:szCs w:val="23"/>
        </w:rPr>
      </w:pPr>
      <w:r>
        <w:rPr>
          <w:rFonts w:ascii="宋体" w:hAnsi="宋体" w:eastAsia="宋体" w:cs="宋体"/>
          <w:spacing w:val="7"/>
          <w:sz w:val="23"/>
          <w:szCs w:val="23"/>
        </w:rPr>
        <w:t>项目所在地区无污水处理厂，餐饮废水经隔油池收集处理后，再进入化粪池中与生活</w:t>
      </w:r>
      <w:r>
        <w:rPr>
          <w:rFonts w:ascii="宋体" w:hAnsi="宋体" w:eastAsia="宋体" w:cs="宋体"/>
          <w:spacing w:val="2"/>
          <w:sz w:val="23"/>
          <w:szCs w:val="23"/>
        </w:rPr>
        <w:t>污</w:t>
      </w:r>
      <w:r>
        <w:rPr>
          <w:rFonts w:ascii="宋体" w:hAnsi="宋体" w:eastAsia="宋体" w:cs="宋体"/>
          <w:sz w:val="23"/>
          <w:szCs w:val="23"/>
        </w:rPr>
        <w:t xml:space="preserve"> </w:t>
      </w:r>
      <w:r>
        <w:rPr>
          <w:rFonts w:ascii="宋体" w:hAnsi="宋体" w:eastAsia="宋体" w:cs="宋体"/>
          <w:spacing w:val="17"/>
          <w:sz w:val="23"/>
          <w:szCs w:val="23"/>
        </w:rPr>
        <w:t>水</w:t>
      </w:r>
      <w:r>
        <w:rPr>
          <w:rFonts w:ascii="宋体" w:hAnsi="宋体" w:eastAsia="宋体" w:cs="宋体"/>
          <w:spacing w:val="9"/>
          <w:sz w:val="23"/>
          <w:szCs w:val="23"/>
        </w:rPr>
        <w:t>一同处理后农用不外排，对地表水环境无明显影响。技术经济可行。</w:t>
      </w:r>
    </w:p>
    <w:p w14:paraId="0A6B3212">
      <w:pPr>
        <w:spacing w:line="303" w:lineRule="exact"/>
        <w:ind w:left="606"/>
        <w:rPr>
          <w:rFonts w:ascii="宋体" w:hAnsi="宋体" w:eastAsia="宋体" w:cs="宋体"/>
          <w:sz w:val="23"/>
          <w:szCs w:val="23"/>
        </w:rPr>
      </w:pPr>
      <w:r>
        <w:rPr>
          <w:rFonts w:ascii="Times New Roman" w:hAnsi="Times New Roman" w:eastAsia="Times New Roman" w:cs="Times New Roman"/>
          <w:b/>
          <w:bCs/>
          <w:spacing w:val="-1"/>
          <w:position w:val="1"/>
          <w:sz w:val="23"/>
          <w:szCs w:val="23"/>
        </w:rPr>
        <w:t>2</w:t>
      </w:r>
      <w:r>
        <w:rPr>
          <w:rFonts w:ascii="Times New Roman" w:hAnsi="Times New Roman" w:eastAsia="Times New Roman" w:cs="Times New Roman"/>
          <w:spacing w:val="-1"/>
          <w:position w:val="1"/>
          <w:sz w:val="23"/>
          <w:szCs w:val="23"/>
        </w:rPr>
        <w:t xml:space="preserve"> </w:t>
      </w:r>
      <w:r>
        <w:rPr>
          <w:rFonts w:ascii="宋体" w:hAnsi="宋体" w:eastAsia="宋体" w:cs="宋体"/>
          <w:spacing w:val="-1"/>
          <w:position w:val="1"/>
          <w:sz w:val="23"/>
          <w:szCs w:val="23"/>
          <w14:textOutline w14:w="4356" w14:cap="sq" w14:cmpd="sng" w14:algn="ctr">
            <w14:solidFill>
              <w14:srgbClr w14:val="000000"/>
            </w14:solidFill>
            <w14:prstDash w14:val="solid"/>
            <w14:bevel/>
          </w14:textOutline>
        </w:rPr>
        <w:t>、养</w:t>
      </w:r>
      <w:r>
        <w:rPr>
          <w:rFonts w:ascii="宋体" w:hAnsi="宋体" w:eastAsia="宋体" w:cs="宋体"/>
          <w:position w:val="1"/>
          <w:sz w:val="23"/>
          <w:szCs w:val="23"/>
          <w14:textOutline w14:w="4356" w14:cap="sq" w14:cmpd="sng" w14:algn="ctr">
            <w14:solidFill>
              <w14:srgbClr w14:val="000000"/>
            </w14:solidFill>
            <w14:prstDash w14:val="solid"/>
            <w14:bevel/>
          </w14:textOutline>
        </w:rPr>
        <w:t>殖废水</w:t>
      </w:r>
    </w:p>
    <w:p w14:paraId="4D6C8885">
      <w:pPr>
        <w:spacing w:before="120" w:line="384" w:lineRule="auto"/>
        <w:ind w:left="11" w:firstLine="479"/>
        <w:rPr>
          <w:rFonts w:ascii="宋体" w:hAnsi="宋体" w:eastAsia="宋体" w:cs="宋体"/>
          <w:sz w:val="23"/>
          <w:szCs w:val="23"/>
        </w:rPr>
      </w:pPr>
      <w:r>
        <w:rPr>
          <w:rFonts w:ascii="宋体" w:hAnsi="宋体" w:eastAsia="宋体" w:cs="宋体"/>
          <w:spacing w:val="10"/>
          <w:sz w:val="23"/>
          <w:szCs w:val="23"/>
        </w:rPr>
        <w:t>根</w:t>
      </w:r>
      <w:r>
        <w:rPr>
          <w:rFonts w:ascii="宋体" w:hAnsi="宋体" w:eastAsia="宋体" w:cs="宋体"/>
          <w:spacing w:val="7"/>
          <w:sz w:val="23"/>
          <w:szCs w:val="23"/>
        </w:rPr>
        <w:t>据</w:t>
      </w:r>
      <w:r>
        <w:rPr>
          <w:rFonts w:ascii="宋体" w:hAnsi="宋体" w:eastAsia="宋体" w:cs="宋体"/>
          <w:spacing w:val="5"/>
          <w:sz w:val="23"/>
          <w:szCs w:val="23"/>
        </w:rPr>
        <w:t>计算，养殖废水的产生量为</w:t>
      </w:r>
      <w:r>
        <w:rPr>
          <w:rFonts w:ascii="Times New Roman" w:hAnsi="Times New Roman" w:eastAsia="Times New Roman" w:cs="Times New Roman"/>
          <w:spacing w:val="5"/>
          <w:sz w:val="23"/>
          <w:szCs w:val="23"/>
        </w:rPr>
        <w:t>12534.314</w:t>
      </w:r>
      <w:r>
        <w:rPr>
          <w:rFonts w:ascii="Times New Roman" w:hAnsi="Times New Roman" w:eastAsia="Times New Roman" w:cs="Times New Roman"/>
          <w:sz w:val="23"/>
          <w:szCs w:val="23"/>
        </w:rPr>
        <w:t>m</w:t>
      </w:r>
      <w:r>
        <w:rPr>
          <w:rFonts w:ascii="Times New Roman" w:hAnsi="Times New Roman" w:eastAsia="Times New Roman" w:cs="Times New Roman"/>
          <w:spacing w:val="5"/>
          <w:sz w:val="23"/>
          <w:szCs w:val="23"/>
        </w:rPr>
        <w:t>³/</w:t>
      </w:r>
      <w:r>
        <w:rPr>
          <w:rFonts w:ascii="Times New Roman" w:hAnsi="Times New Roman" w:eastAsia="Times New Roman" w:cs="Times New Roman"/>
          <w:sz w:val="23"/>
          <w:szCs w:val="23"/>
        </w:rPr>
        <w:t>a</w:t>
      </w:r>
      <w:r>
        <w:rPr>
          <w:rFonts w:ascii="宋体" w:hAnsi="宋体" w:eastAsia="宋体" w:cs="宋体"/>
          <w:spacing w:val="5"/>
          <w:sz w:val="23"/>
          <w:szCs w:val="23"/>
        </w:rPr>
        <w:t>。此类废水中含有高浓度的</w:t>
      </w:r>
      <w:r>
        <w:rPr>
          <w:rFonts w:ascii="Times New Roman" w:hAnsi="Times New Roman" w:eastAsia="Times New Roman" w:cs="Times New Roman"/>
          <w:sz w:val="23"/>
          <w:szCs w:val="23"/>
        </w:rPr>
        <w:t>COD</w:t>
      </w:r>
      <w:r>
        <w:rPr>
          <w:rFonts w:ascii="宋体" w:hAnsi="宋体" w:eastAsia="宋体" w:cs="宋体"/>
          <w:spacing w:val="5"/>
          <w:sz w:val="23"/>
          <w:szCs w:val="23"/>
        </w:rPr>
        <w:t>、</w:t>
      </w:r>
      <w:r>
        <w:rPr>
          <w:rFonts w:ascii="Times New Roman" w:hAnsi="Times New Roman" w:eastAsia="Times New Roman" w:cs="Times New Roman"/>
          <w:sz w:val="23"/>
          <w:szCs w:val="23"/>
        </w:rPr>
        <w:t>BOD</w:t>
      </w:r>
      <w:r>
        <w:rPr>
          <w:rFonts w:ascii="Times New Roman" w:hAnsi="Times New Roman" w:eastAsia="Times New Roman" w:cs="Times New Roman"/>
          <w:spacing w:val="5"/>
          <w:position w:val="-1"/>
          <w:sz w:val="15"/>
          <w:szCs w:val="15"/>
        </w:rPr>
        <w:t>5</w:t>
      </w:r>
      <w:r>
        <w:rPr>
          <w:rFonts w:ascii="宋体" w:hAnsi="宋体" w:eastAsia="宋体" w:cs="宋体"/>
          <w:spacing w:val="5"/>
          <w:sz w:val="23"/>
          <w:szCs w:val="23"/>
        </w:rPr>
        <w:t>、</w:t>
      </w:r>
      <w:r>
        <w:rPr>
          <w:rFonts w:ascii="宋体" w:hAnsi="宋体" w:eastAsia="宋体" w:cs="宋体"/>
          <w:sz w:val="23"/>
          <w:szCs w:val="23"/>
        </w:rPr>
        <w:t xml:space="preserve"> </w:t>
      </w:r>
      <w:r>
        <w:rPr>
          <w:rFonts w:ascii="Times New Roman" w:hAnsi="Times New Roman" w:eastAsia="Times New Roman" w:cs="Times New Roman"/>
          <w:sz w:val="23"/>
          <w:szCs w:val="23"/>
        </w:rPr>
        <w:t>SS</w:t>
      </w:r>
      <w:r>
        <w:rPr>
          <w:rFonts w:ascii="宋体" w:hAnsi="宋体" w:eastAsia="宋体" w:cs="宋体"/>
          <w:spacing w:val="8"/>
          <w:sz w:val="23"/>
          <w:szCs w:val="23"/>
        </w:rPr>
        <w:t>、</w:t>
      </w:r>
      <w:r>
        <w:rPr>
          <w:rFonts w:ascii="Times New Roman" w:hAnsi="Times New Roman" w:eastAsia="Times New Roman" w:cs="Times New Roman"/>
          <w:sz w:val="23"/>
          <w:szCs w:val="23"/>
        </w:rPr>
        <w:t>NH</w:t>
      </w:r>
      <w:r>
        <w:rPr>
          <w:rFonts w:ascii="Times New Roman" w:hAnsi="Times New Roman" w:eastAsia="Times New Roman" w:cs="Times New Roman"/>
          <w:spacing w:val="8"/>
          <w:position w:val="-1"/>
          <w:sz w:val="15"/>
          <w:szCs w:val="15"/>
        </w:rPr>
        <w:t>3</w:t>
      </w:r>
      <w:r>
        <w:rPr>
          <w:rFonts w:ascii="Times New Roman" w:hAnsi="Times New Roman" w:eastAsia="Times New Roman" w:cs="Times New Roman"/>
          <w:spacing w:val="8"/>
          <w:sz w:val="23"/>
          <w:szCs w:val="23"/>
        </w:rPr>
        <w:t>-</w:t>
      </w:r>
      <w:r>
        <w:rPr>
          <w:rFonts w:ascii="Times New Roman" w:hAnsi="Times New Roman" w:eastAsia="Times New Roman" w:cs="Times New Roman"/>
          <w:sz w:val="23"/>
          <w:szCs w:val="23"/>
        </w:rPr>
        <w:t>N</w:t>
      </w:r>
      <w:r>
        <w:rPr>
          <w:rFonts w:ascii="宋体" w:hAnsi="宋体" w:eastAsia="宋体" w:cs="宋体"/>
          <w:spacing w:val="8"/>
          <w:sz w:val="23"/>
          <w:szCs w:val="23"/>
        </w:rPr>
        <w:t>，此类废水可生化性高。养殖废水目前拟每日运输至乐山乐高勤力生物质能源</w:t>
      </w:r>
      <w:r>
        <w:rPr>
          <w:rFonts w:ascii="宋体" w:hAnsi="宋体" w:eastAsia="宋体" w:cs="宋体"/>
          <w:spacing w:val="2"/>
          <w:sz w:val="23"/>
          <w:szCs w:val="23"/>
        </w:rPr>
        <w:t>综</w:t>
      </w:r>
      <w:r>
        <w:rPr>
          <w:rFonts w:ascii="宋体" w:hAnsi="宋体" w:eastAsia="宋体" w:cs="宋体"/>
          <w:sz w:val="23"/>
          <w:szCs w:val="23"/>
        </w:rPr>
        <w:t xml:space="preserve"> </w:t>
      </w:r>
      <w:r>
        <w:rPr>
          <w:rFonts w:ascii="宋体" w:hAnsi="宋体" w:eastAsia="宋体" w:cs="宋体"/>
          <w:spacing w:val="6"/>
          <w:sz w:val="23"/>
          <w:szCs w:val="23"/>
        </w:rPr>
        <w:t>合利用有</w:t>
      </w:r>
      <w:r>
        <w:rPr>
          <w:rFonts w:ascii="宋体" w:hAnsi="宋体" w:eastAsia="宋体" w:cs="宋体"/>
          <w:spacing w:val="5"/>
          <w:sz w:val="23"/>
          <w:szCs w:val="23"/>
        </w:rPr>
        <w:t>限</w:t>
      </w:r>
      <w:r>
        <w:rPr>
          <w:rFonts w:ascii="宋体" w:hAnsi="宋体" w:eastAsia="宋体" w:cs="宋体"/>
          <w:spacing w:val="3"/>
          <w:sz w:val="23"/>
          <w:szCs w:val="23"/>
        </w:rPr>
        <w:t>公司集中处置(已签订收纳协议) ，日产日清，同时，厂区还配套建设有一</w:t>
      </w:r>
      <w:r>
        <w:rPr>
          <w:rFonts w:ascii="Times New Roman" w:hAnsi="Times New Roman" w:eastAsia="Times New Roman" w:cs="Times New Roman"/>
          <w:spacing w:val="3"/>
          <w:sz w:val="23"/>
          <w:szCs w:val="23"/>
        </w:rPr>
        <w:t>1600</w:t>
      </w:r>
      <w:r>
        <w:rPr>
          <w:rFonts w:ascii="Times New Roman" w:hAnsi="Times New Roman" w:eastAsia="Times New Roman" w:cs="Times New Roman"/>
          <w:sz w:val="23"/>
          <w:szCs w:val="23"/>
        </w:rPr>
        <w:t>m</w:t>
      </w:r>
      <w:r>
        <w:rPr>
          <w:rFonts w:ascii="Times New Roman" w:hAnsi="Times New Roman" w:eastAsia="Times New Roman" w:cs="Times New Roman"/>
          <w:spacing w:val="3"/>
          <w:position w:val="8"/>
          <w:sz w:val="15"/>
          <w:szCs w:val="15"/>
        </w:rPr>
        <w:t>2</w:t>
      </w:r>
      <w:r>
        <w:rPr>
          <w:rFonts w:ascii="Times New Roman" w:hAnsi="Times New Roman" w:eastAsia="Times New Roman" w:cs="Times New Roman"/>
          <w:position w:val="8"/>
          <w:sz w:val="15"/>
          <w:szCs w:val="15"/>
        </w:rPr>
        <w:t xml:space="preserve">  </w:t>
      </w:r>
      <w:r>
        <w:rPr>
          <w:rFonts w:ascii="宋体" w:hAnsi="宋体" w:eastAsia="宋体" w:cs="宋体"/>
          <w:spacing w:val="11"/>
          <w:sz w:val="23"/>
          <w:szCs w:val="23"/>
        </w:rPr>
        <w:t>的</w:t>
      </w:r>
      <w:r>
        <w:rPr>
          <w:rFonts w:ascii="宋体" w:hAnsi="宋体" w:eastAsia="宋体" w:cs="宋体"/>
          <w:spacing w:val="7"/>
          <w:sz w:val="23"/>
          <w:szCs w:val="23"/>
        </w:rPr>
        <w:t>发酵床备用，若后期乐山乐高勤力生物质能源综合利用有限公司不再回收厂区内的养殖废</w:t>
      </w:r>
      <w:r>
        <w:rPr>
          <w:rFonts w:ascii="宋体" w:hAnsi="宋体" w:eastAsia="宋体" w:cs="宋体"/>
          <w:sz w:val="23"/>
          <w:szCs w:val="23"/>
        </w:rPr>
        <w:t xml:space="preserve"> </w:t>
      </w:r>
      <w:r>
        <w:rPr>
          <w:rFonts w:ascii="宋体" w:hAnsi="宋体" w:eastAsia="宋体" w:cs="宋体"/>
          <w:spacing w:val="11"/>
          <w:sz w:val="23"/>
          <w:szCs w:val="23"/>
        </w:rPr>
        <w:t>水</w:t>
      </w:r>
      <w:r>
        <w:rPr>
          <w:rFonts w:ascii="宋体" w:hAnsi="宋体" w:eastAsia="宋体" w:cs="宋体"/>
          <w:spacing w:val="7"/>
          <w:sz w:val="23"/>
          <w:szCs w:val="23"/>
        </w:rPr>
        <w:t>，可将通过异位发酵床自行处置，处理产生的有机肥外售处理，两种养殖废水处置方式均</w:t>
      </w:r>
    </w:p>
    <w:p w14:paraId="57BE480E">
      <w:pPr>
        <w:sectPr>
          <w:headerReference r:id="rId233" w:type="default"/>
          <w:footerReference r:id="rId234" w:type="default"/>
          <w:pgSz w:w="11906" w:h="16839"/>
          <w:pgMar w:top="1113" w:right="1054" w:bottom="1157" w:left="1275" w:header="878" w:footer="994" w:gutter="0"/>
          <w:cols w:space="720" w:num="1"/>
        </w:sectPr>
      </w:pPr>
    </w:p>
    <w:p w14:paraId="39DF36F3">
      <w:pPr>
        <w:spacing w:before="197" w:line="375" w:lineRule="auto"/>
        <w:ind w:left="11" w:firstLine="8"/>
        <w:rPr>
          <w:rFonts w:ascii="宋体" w:hAnsi="宋体" w:eastAsia="宋体" w:cs="宋体"/>
          <w:sz w:val="23"/>
          <w:szCs w:val="23"/>
        </w:rPr>
      </w:pPr>
      <w:r>
        <w:rPr>
          <w:rFonts w:ascii="宋体" w:hAnsi="宋体" w:eastAsia="宋体" w:cs="宋体"/>
          <w:spacing w:val="7"/>
          <w:sz w:val="23"/>
          <w:szCs w:val="23"/>
        </w:rPr>
        <w:t>能做到废水零排放。由于外委乐山乐高勤力生物质能源综合利用有限公司处置方式简单，</w:t>
      </w:r>
      <w:r>
        <w:rPr>
          <w:rFonts w:ascii="宋体" w:hAnsi="宋体" w:eastAsia="宋体" w:cs="宋体"/>
          <w:spacing w:val="2"/>
          <w:sz w:val="23"/>
          <w:szCs w:val="23"/>
        </w:rPr>
        <w:t>故</w:t>
      </w:r>
      <w:r>
        <w:rPr>
          <w:rFonts w:ascii="宋体" w:hAnsi="宋体" w:eastAsia="宋体" w:cs="宋体"/>
          <w:sz w:val="23"/>
          <w:szCs w:val="23"/>
        </w:rPr>
        <w:t xml:space="preserve"> </w:t>
      </w:r>
      <w:r>
        <w:rPr>
          <w:rFonts w:ascii="宋体" w:hAnsi="宋体" w:eastAsia="宋体" w:cs="宋体"/>
          <w:spacing w:val="10"/>
          <w:sz w:val="23"/>
          <w:szCs w:val="23"/>
        </w:rPr>
        <w:t>本</w:t>
      </w:r>
      <w:r>
        <w:rPr>
          <w:rFonts w:ascii="宋体" w:hAnsi="宋体" w:eastAsia="宋体" w:cs="宋体"/>
          <w:spacing w:val="9"/>
          <w:sz w:val="23"/>
          <w:szCs w:val="23"/>
        </w:rPr>
        <w:t>报告重点对厂区异位发酵床处理工艺进行介绍。</w:t>
      </w:r>
    </w:p>
    <w:p w14:paraId="434BD767">
      <w:pPr>
        <w:spacing w:line="227" w:lineRule="auto"/>
        <w:ind w:left="501"/>
        <w:rPr>
          <w:rFonts w:ascii="宋体" w:hAnsi="宋体" w:eastAsia="宋体" w:cs="宋体"/>
          <w:sz w:val="23"/>
          <w:szCs w:val="23"/>
        </w:rPr>
      </w:pP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8"/>
          <w:sz w:val="23"/>
          <w:szCs w:val="23"/>
        </w:rPr>
        <w:t>1</w:t>
      </w: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宋体" w:hAnsi="宋体" w:eastAsia="宋体" w:cs="宋体"/>
          <w:spacing w:val="18"/>
          <w:sz w:val="23"/>
          <w:szCs w:val="23"/>
        </w:rPr>
        <w:t xml:space="preserve"> </w:t>
      </w:r>
      <w:r>
        <w:rPr>
          <w:rFonts w:ascii="宋体" w:hAnsi="宋体" w:eastAsia="宋体" w:cs="宋体"/>
          <w:spacing w:val="18"/>
          <w:sz w:val="23"/>
          <w:szCs w:val="23"/>
          <w14:textOutline w14:w="4356" w14:cap="sq" w14:cmpd="sng" w14:algn="ctr">
            <w14:solidFill>
              <w14:srgbClr w14:val="000000"/>
            </w14:solidFill>
            <w14:prstDash w14:val="solid"/>
            <w14:bevel/>
          </w14:textOutline>
        </w:rPr>
        <w:t>废水收集措施</w:t>
      </w:r>
    </w:p>
    <w:p w14:paraId="4F935D10">
      <w:pPr>
        <w:spacing w:before="181" w:line="376" w:lineRule="auto"/>
        <w:ind w:left="11" w:firstLine="480"/>
        <w:rPr>
          <w:rFonts w:ascii="宋体" w:hAnsi="宋体" w:eastAsia="宋体" w:cs="宋体"/>
          <w:sz w:val="23"/>
          <w:szCs w:val="23"/>
        </w:rPr>
      </w:pPr>
      <w:r>
        <w:rPr>
          <w:rFonts w:ascii="宋体" w:hAnsi="宋体" w:eastAsia="宋体" w:cs="宋体"/>
          <w:spacing w:val="7"/>
          <w:sz w:val="23"/>
          <w:szCs w:val="23"/>
        </w:rPr>
        <w:t>本项目场区内污水主要有猪尿废水、猪舍冲洗废水及员工生活污水等，场区内须按以</w:t>
      </w:r>
      <w:r>
        <w:rPr>
          <w:rFonts w:ascii="宋体" w:hAnsi="宋体" w:eastAsia="宋体" w:cs="宋体"/>
          <w:spacing w:val="5"/>
          <w:sz w:val="23"/>
          <w:szCs w:val="23"/>
        </w:rPr>
        <w:t>下</w:t>
      </w:r>
      <w:r>
        <w:rPr>
          <w:rFonts w:ascii="宋体" w:hAnsi="宋体" w:eastAsia="宋体" w:cs="宋体"/>
          <w:sz w:val="23"/>
          <w:szCs w:val="23"/>
        </w:rPr>
        <w:t xml:space="preserve"> </w:t>
      </w:r>
      <w:r>
        <w:rPr>
          <w:rFonts w:ascii="宋体" w:hAnsi="宋体" w:eastAsia="宋体" w:cs="宋体"/>
          <w:spacing w:val="10"/>
          <w:sz w:val="23"/>
          <w:szCs w:val="23"/>
        </w:rPr>
        <w:t>要</w:t>
      </w:r>
      <w:r>
        <w:rPr>
          <w:rFonts w:ascii="宋体" w:hAnsi="宋体" w:eastAsia="宋体" w:cs="宋体"/>
          <w:spacing w:val="9"/>
          <w:sz w:val="23"/>
          <w:szCs w:val="23"/>
        </w:rPr>
        <w:t>求布设有完善的污水收集管网和污水处理系统：</w:t>
      </w:r>
    </w:p>
    <w:p w14:paraId="63661610">
      <w:pPr>
        <w:spacing w:line="225" w:lineRule="auto"/>
        <w:ind w:left="489"/>
        <w:rPr>
          <w:rFonts w:ascii="宋体" w:hAnsi="宋体" w:eastAsia="宋体" w:cs="宋体"/>
          <w:sz w:val="23"/>
          <w:szCs w:val="23"/>
        </w:rPr>
      </w:pPr>
      <w:r>
        <w:rPr>
          <w:rFonts w:ascii="宋体" w:hAnsi="宋体" w:eastAsia="宋体" w:cs="宋体"/>
          <w:spacing w:val="15"/>
          <w:sz w:val="23"/>
          <w:szCs w:val="23"/>
        </w:rPr>
        <w:t>①</w:t>
      </w:r>
      <w:r>
        <w:rPr>
          <w:rFonts w:ascii="宋体" w:hAnsi="宋体" w:eastAsia="宋体" w:cs="宋体"/>
          <w:spacing w:val="9"/>
          <w:sz w:val="23"/>
          <w:szCs w:val="23"/>
        </w:rPr>
        <w:t>猪尿废水、猪舍冲洗废水全部通过暗管输送至集污池；</w:t>
      </w:r>
    </w:p>
    <w:p w14:paraId="5E694930">
      <w:pPr>
        <w:spacing w:before="185" w:line="225" w:lineRule="auto"/>
        <w:ind w:left="488"/>
        <w:rPr>
          <w:rFonts w:ascii="宋体" w:hAnsi="宋体" w:eastAsia="宋体" w:cs="宋体"/>
          <w:sz w:val="23"/>
          <w:szCs w:val="23"/>
        </w:rPr>
      </w:pPr>
      <w:r>
        <w:rPr>
          <w:rFonts w:ascii="宋体" w:hAnsi="宋体" w:eastAsia="宋体" w:cs="宋体"/>
          <w:spacing w:val="18"/>
          <w:sz w:val="23"/>
          <w:szCs w:val="23"/>
        </w:rPr>
        <w:t>②</w:t>
      </w:r>
      <w:r>
        <w:rPr>
          <w:rFonts w:ascii="宋体" w:hAnsi="宋体" w:eastAsia="宋体" w:cs="宋体"/>
          <w:spacing w:val="10"/>
          <w:sz w:val="23"/>
          <w:szCs w:val="23"/>
        </w:rPr>
        <w:t>员</w:t>
      </w:r>
      <w:r>
        <w:rPr>
          <w:rFonts w:ascii="宋体" w:hAnsi="宋体" w:eastAsia="宋体" w:cs="宋体"/>
          <w:spacing w:val="9"/>
          <w:sz w:val="23"/>
          <w:szCs w:val="23"/>
        </w:rPr>
        <w:t>工生活污水经过化粪池处理后采用封闭管道自流至集污池；</w:t>
      </w:r>
    </w:p>
    <w:p w14:paraId="0829AD6D">
      <w:pPr>
        <w:spacing w:before="187" w:line="225" w:lineRule="auto"/>
        <w:ind w:left="488"/>
        <w:rPr>
          <w:rFonts w:ascii="宋体" w:hAnsi="宋体" w:eastAsia="宋体" w:cs="宋体"/>
          <w:sz w:val="23"/>
          <w:szCs w:val="23"/>
        </w:rPr>
      </w:pPr>
      <w:r>
        <w:rPr>
          <w:rFonts w:ascii="宋体" w:hAnsi="宋体" w:eastAsia="宋体" w:cs="宋体"/>
          <w:spacing w:val="9"/>
          <w:sz w:val="23"/>
          <w:szCs w:val="23"/>
        </w:rPr>
        <w:t>③猪粪经收集后排入集污池中搅拌混匀；</w:t>
      </w:r>
    </w:p>
    <w:p w14:paraId="41EEF328">
      <w:pPr>
        <w:spacing w:before="185" w:line="225" w:lineRule="auto"/>
        <w:ind w:left="488"/>
        <w:rPr>
          <w:rFonts w:ascii="宋体" w:hAnsi="宋体" w:eastAsia="宋体" w:cs="宋体"/>
          <w:sz w:val="23"/>
          <w:szCs w:val="23"/>
        </w:rPr>
      </w:pPr>
      <w:r>
        <w:rPr>
          <w:rFonts w:ascii="宋体" w:hAnsi="宋体" w:eastAsia="宋体" w:cs="宋体"/>
          <w:spacing w:val="7"/>
          <w:sz w:val="23"/>
          <w:szCs w:val="23"/>
        </w:rPr>
        <w:t xml:space="preserve">④集污池做好防雨、防渗、防溢措施，集污池边沿应高于周边地面 </w:t>
      </w:r>
      <w:r>
        <w:rPr>
          <w:rFonts w:ascii="Times New Roman" w:hAnsi="Times New Roman" w:eastAsia="Times New Roman" w:cs="Times New Roman"/>
          <w:spacing w:val="7"/>
          <w:sz w:val="23"/>
          <w:szCs w:val="23"/>
        </w:rPr>
        <w:t>15</w:t>
      </w:r>
      <w:r>
        <w:rPr>
          <w:rFonts w:ascii="Times New Roman" w:hAnsi="Times New Roman" w:eastAsia="Times New Roman" w:cs="Times New Roman"/>
          <w:sz w:val="23"/>
          <w:szCs w:val="23"/>
        </w:rPr>
        <w:t>cm</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，并加盖挡雨</w:t>
      </w:r>
    </w:p>
    <w:p w14:paraId="06F32717">
      <w:pPr>
        <w:spacing w:before="184" w:line="376" w:lineRule="auto"/>
        <w:ind w:left="17" w:hanging="8"/>
        <w:rPr>
          <w:rFonts w:ascii="宋体" w:hAnsi="宋体" w:eastAsia="宋体" w:cs="宋体"/>
          <w:sz w:val="23"/>
          <w:szCs w:val="23"/>
        </w:rPr>
      </w:pPr>
      <w:r>
        <w:rPr>
          <w:rFonts w:ascii="宋体" w:hAnsi="宋体" w:eastAsia="宋体" w:cs="宋体"/>
          <w:spacing w:val="12"/>
          <w:sz w:val="23"/>
          <w:szCs w:val="23"/>
        </w:rPr>
        <w:t>棚</w:t>
      </w:r>
      <w:r>
        <w:rPr>
          <w:rFonts w:ascii="宋体" w:hAnsi="宋体" w:eastAsia="宋体" w:cs="宋体"/>
          <w:spacing w:val="7"/>
          <w:sz w:val="23"/>
          <w:szCs w:val="23"/>
        </w:rPr>
        <w:t>，防止雨水流入，集污池池壁及池底水泥硬化，并铺垫防渗膜，防治废水发生渗漏污染地</w:t>
      </w:r>
      <w:r>
        <w:rPr>
          <w:rFonts w:ascii="宋体" w:hAnsi="宋体" w:eastAsia="宋体" w:cs="宋体"/>
          <w:sz w:val="23"/>
          <w:szCs w:val="23"/>
        </w:rPr>
        <w:t xml:space="preserve"> </w:t>
      </w:r>
      <w:r>
        <w:rPr>
          <w:rFonts w:ascii="宋体" w:hAnsi="宋体" w:eastAsia="宋体" w:cs="宋体"/>
          <w:spacing w:val="1"/>
          <w:sz w:val="23"/>
          <w:szCs w:val="23"/>
        </w:rPr>
        <w:t>下水。</w:t>
      </w:r>
    </w:p>
    <w:p w14:paraId="392F63DD">
      <w:pPr>
        <w:spacing w:before="1" w:line="227" w:lineRule="auto"/>
        <w:ind w:left="441"/>
        <w:rPr>
          <w:rFonts w:ascii="宋体" w:hAnsi="宋体" w:eastAsia="宋体" w:cs="宋体"/>
          <w:sz w:val="23"/>
          <w:szCs w:val="23"/>
        </w:rPr>
      </w:pP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8"/>
          <w:sz w:val="23"/>
          <w:szCs w:val="23"/>
        </w:rPr>
        <w:t>2</w:t>
      </w: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宋体" w:hAnsi="宋体" w:eastAsia="宋体" w:cs="宋体"/>
          <w:spacing w:val="18"/>
          <w:sz w:val="23"/>
          <w:szCs w:val="23"/>
        </w:rPr>
        <w:t xml:space="preserve"> </w:t>
      </w:r>
      <w:r>
        <w:rPr>
          <w:rFonts w:ascii="宋体" w:hAnsi="宋体" w:eastAsia="宋体" w:cs="宋体"/>
          <w:spacing w:val="18"/>
          <w:sz w:val="23"/>
          <w:szCs w:val="23"/>
          <w14:textOutline w14:w="4356" w14:cap="sq" w14:cmpd="sng" w14:algn="ctr">
            <w14:solidFill>
              <w14:srgbClr w14:val="000000"/>
            </w14:solidFill>
            <w14:prstDash w14:val="solid"/>
            <w14:bevel/>
          </w14:textOutline>
        </w:rPr>
        <w:t>废水处理措施</w:t>
      </w:r>
    </w:p>
    <w:p w14:paraId="6A16EC33">
      <w:pPr>
        <w:spacing w:before="182" w:line="375" w:lineRule="auto"/>
        <w:ind w:left="13" w:firstLine="478"/>
        <w:rPr>
          <w:rFonts w:ascii="宋体" w:hAnsi="宋体" w:eastAsia="宋体" w:cs="宋体"/>
          <w:sz w:val="23"/>
          <w:szCs w:val="23"/>
        </w:rPr>
      </w:pPr>
      <w:r>
        <w:rPr>
          <w:rFonts w:ascii="宋体" w:hAnsi="宋体" w:eastAsia="宋体" w:cs="宋体"/>
          <w:spacing w:val="14"/>
          <w:sz w:val="23"/>
          <w:szCs w:val="23"/>
        </w:rPr>
        <w:t>整</w:t>
      </w:r>
      <w:r>
        <w:rPr>
          <w:rFonts w:ascii="宋体" w:hAnsi="宋体" w:eastAsia="宋体" w:cs="宋体"/>
          <w:spacing w:val="13"/>
          <w:sz w:val="23"/>
          <w:szCs w:val="23"/>
        </w:rPr>
        <w:t>体</w:t>
      </w:r>
      <w:r>
        <w:rPr>
          <w:rFonts w:ascii="宋体" w:hAnsi="宋体" w:eastAsia="宋体" w:cs="宋体"/>
          <w:spacing w:val="7"/>
          <w:sz w:val="23"/>
          <w:szCs w:val="23"/>
        </w:rPr>
        <w:t>而言，项目严格执行《畜禽养殖业污染防治技术政策》  (环发〔</w:t>
      </w:r>
      <w:r>
        <w:rPr>
          <w:rFonts w:ascii="Times New Roman" w:hAnsi="Times New Roman" w:eastAsia="Times New Roman" w:cs="Times New Roman"/>
          <w:spacing w:val="7"/>
          <w:sz w:val="23"/>
          <w:szCs w:val="23"/>
        </w:rPr>
        <w:t>2010</w:t>
      </w:r>
      <w:r>
        <w:rPr>
          <w:rFonts w:ascii="宋体" w:hAnsi="宋体" w:eastAsia="宋体" w:cs="宋体"/>
          <w:spacing w:val="7"/>
          <w:sz w:val="23"/>
          <w:szCs w:val="23"/>
        </w:rPr>
        <w:t>〕</w:t>
      </w:r>
      <w:r>
        <w:rPr>
          <w:rFonts w:ascii="Times New Roman" w:hAnsi="Times New Roman" w:eastAsia="Times New Roman" w:cs="Times New Roman"/>
          <w:spacing w:val="7"/>
          <w:sz w:val="23"/>
          <w:szCs w:val="23"/>
        </w:rPr>
        <w:t xml:space="preserve">51 </w:t>
      </w:r>
      <w:r>
        <w:rPr>
          <w:rFonts w:ascii="宋体" w:hAnsi="宋体" w:eastAsia="宋体" w:cs="宋体"/>
          <w:spacing w:val="7"/>
          <w:sz w:val="23"/>
          <w:szCs w:val="23"/>
        </w:rPr>
        <w:t>号) ，</w:t>
      </w:r>
      <w:r>
        <w:rPr>
          <w:rFonts w:ascii="宋体" w:hAnsi="宋体" w:eastAsia="宋体" w:cs="宋体"/>
          <w:sz w:val="23"/>
          <w:szCs w:val="23"/>
        </w:rPr>
        <w:t xml:space="preserve"> </w:t>
      </w:r>
      <w:r>
        <w:rPr>
          <w:rFonts w:ascii="宋体" w:hAnsi="宋体" w:eastAsia="宋体" w:cs="宋体"/>
          <w:spacing w:val="9"/>
          <w:sz w:val="23"/>
          <w:szCs w:val="23"/>
        </w:rPr>
        <w:t>建</w:t>
      </w:r>
      <w:r>
        <w:rPr>
          <w:rFonts w:ascii="宋体" w:hAnsi="宋体" w:eastAsia="宋体" w:cs="宋体"/>
          <w:spacing w:val="7"/>
          <w:sz w:val="23"/>
          <w:szCs w:val="23"/>
        </w:rPr>
        <w:t>立完善的排水设施并保持畅通，废水的收集输送系统不得采取明沟布设，排水系统必须实</w:t>
      </w:r>
      <w:r>
        <w:rPr>
          <w:rFonts w:ascii="宋体" w:hAnsi="宋体" w:eastAsia="宋体" w:cs="宋体"/>
          <w:sz w:val="23"/>
          <w:szCs w:val="23"/>
        </w:rPr>
        <w:t xml:space="preserve"> </w:t>
      </w:r>
      <w:r>
        <w:rPr>
          <w:rFonts w:ascii="宋体" w:hAnsi="宋体" w:eastAsia="宋体" w:cs="宋体"/>
          <w:spacing w:val="7"/>
          <w:sz w:val="23"/>
          <w:szCs w:val="23"/>
        </w:rPr>
        <w:t>行雨污分流制</w:t>
      </w:r>
      <w:r>
        <w:rPr>
          <w:rFonts w:ascii="宋体" w:hAnsi="宋体" w:eastAsia="宋体" w:cs="宋体"/>
          <w:spacing w:val="5"/>
          <w:sz w:val="23"/>
          <w:szCs w:val="23"/>
        </w:rPr>
        <w:t>。</w:t>
      </w:r>
    </w:p>
    <w:p w14:paraId="0C705558">
      <w:pPr>
        <w:spacing w:before="1" w:line="380" w:lineRule="auto"/>
        <w:ind w:left="13" w:firstLine="478"/>
        <w:rPr>
          <w:rFonts w:ascii="宋体" w:hAnsi="宋体" w:eastAsia="宋体" w:cs="宋体"/>
          <w:sz w:val="23"/>
          <w:szCs w:val="23"/>
        </w:rPr>
      </w:pPr>
      <w:r>
        <w:rPr>
          <w:rFonts w:ascii="宋体" w:hAnsi="宋体" w:eastAsia="宋体" w:cs="宋体"/>
          <w:spacing w:val="7"/>
          <w:sz w:val="23"/>
          <w:szCs w:val="23"/>
        </w:rPr>
        <w:t>本项目猪只尿液与猪粪采用异位微生物发酵系统消纳，在发酵作用下，粪污中的水分</w:t>
      </w:r>
      <w:r>
        <w:rPr>
          <w:rFonts w:ascii="宋体" w:hAnsi="宋体" w:eastAsia="宋体" w:cs="宋体"/>
          <w:spacing w:val="5"/>
          <w:sz w:val="23"/>
          <w:szCs w:val="23"/>
        </w:rPr>
        <w:t>大</w:t>
      </w:r>
      <w:r>
        <w:rPr>
          <w:rFonts w:ascii="宋体" w:hAnsi="宋体" w:eastAsia="宋体" w:cs="宋体"/>
          <w:sz w:val="23"/>
          <w:szCs w:val="23"/>
        </w:rPr>
        <w:t xml:space="preserve"> </w:t>
      </w:r>
      <w:r>
        <w:rPr>
          <w:rFonts w:ascii="宋体" w:hAnsi="宋体" w:eastAsia="宋体" w:cs="宋体"/>
          <w:spacing w:val="9"/>
          <w:sz w:val="23"/>
          <w:szCs w:val="23"/>
        </w:rPr>
        <w:t>部</w:t>
      </w:r>
      <w:r>
        <w:rPr>
          <w:rFonts w:ascii="宋体" w:hAnsi="宋体" w:eastAsia="宋体" w:cs="宋体"/>
          <w:spacing w:val="7"/>
          <w:sz w:val="23"/>
          <w:szCs w:val="23"/>
        </w:rPr>
        <w:t>分蒸发，养分得以保留，定期更换的废垫料作为有机肥用于周边林地和耕地施肥。项目废</w:t>
      </w:r>
      <w:r>
        <w:rPr>
          <w:rFonts w:ascii="宋体" w:hAnsi="宋体" w:eastAsia="宋体" w:cs="宋体"/>
          <w:sz w:val="23"/>
          <w:szCs w:val="23"/>
        </w:rPr>
        <w:t xml:space="preserve"> </w:t>
      </w:r>
      <w:r>
        <w:rPr>
          <w:rFonts w:ascii="宋体" w:hAnsi="宋体" w:eastAsia="宋体" w:cs="宋体"/>
          <w:spacing w:val="14"/>
          <w:sz w:val="23"/>
          <w:szCs w:val="23"/>
        </w:rPr>
        <w:t>水</w:t>
      </w:r>
      <w:r>
        <w:rPr>
          <w:rFonts w:ascii="宋体" w:hAnsi="宋体" w:eastAsia="宋体" w:cs="宋体"/>
          <w:spacing w:val="7"/>
          <w:sz w:val="23"/>
          <w:szCs w:val="23"/>
        </w:rPr>
        <w:t>处理具体流程如下：</w:t>
      </w:r>
    </w:p>
    <w:p w14:paraId="4C86CB43">
      <w:pPr>
        <w:spacing w:before="37" w:line="1694" w:lineRule="exact"/>
        <w:ind w:firstLine="735"/>
        <w:textAlignment w:val="center"/>
      </w:pPr>
      <w:r>
        <w:drawing>
          <wp:inline distT="0" distB="0" distL="0" distR="0">
            <wp:extent cx="4942205" cy="107569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381"/>
                    <a:stretch>
                      <a:fillRect/>
                    </a:stretch>
                  </pic:blipFill>
                  <pic:spPr>
                    <a:xfrm>
                      <a:off x="0" y="0"/>
                      <a:ext cx="4942332" cy="1075944"/>
                    </a:xfrm>
                    <a:prstGeom prst="rect">
                      <a:avLst/>
                    </a:prstGeom>
                  </pic:spPr>
                </pic:pic>
              </a:graphicData>
            </a:graphic>
          </wp:inline>
        </w:drawing>
      </w:r>
    </w:p>
    <w:p w14:paraId="6A30AF51">
      <w:pPr>
        <w:spacing w:line="423" w:lineRule="auto"/>
      </w:pPr>
    </w:p>
    <w:p w14:paraId="68C2986E">
      <w:pPr>
        <w:spacing w:before="76" w:line="227" w:lineRule="auto"/>
        <w:ind w:left="2673"/>
        <w:rPr>
          <w:rFonts w:ascii="宋体" w:hAnsi="宋体" w:eastAsia="宋体" w:cs="宋体"/>
          <w:sz w:val="23"/>
          <w:szCs w:val="23"/>
        </w:rPr>
      </w:pPr>
      <w:r>
        <w:rPr>
          <w:rFonts w:ascii="宋体" w:hAnsi="宋体" w:eastAsia="宋体" w:cs="宋体"/>
          <w:spacing w:val="8"/>
          <w:sz w:val="23"/>
          <w:szCs w:val="23"/>
          <w14:textOutline w14:w="4356" w14:cap="sq" w14:cmpd="sng" w14:algn="ctr">
            <w14:solidFill>
              <w14:srgbClr w14:val="000000"/>
            </w14:solidFill>
            <w14:prstDash w14:val="solid"/>
            <w14:bevel/>
          </w14:textOutline>
        </w:rPr>
        <w:t>图</w:t>
      </w:r>
      <w:r>
        <w:rPr>
          <w:rFonts w:ascii="宋体" w:hAnsi="宋体" w:eastAsia="宋体" w:cs="宋体"/>
          <w:spacing w:val="4"/>
          <w:sz w:val="23"/>
          <w:szCs w:val="23"/>
        </w:rPr>
        <w:t xml:space="preserve"> </w:t>
      </w:r>
      <w:r>
        <w:rPr>
          <w:rFonts w:ascii="Times New Roman" w:hAnsi="Times New Roman" w:eastAsia="Times New Roman" w:cs="Times New Roman"/>
          <w:b/>
          <w:bCs/>
          <w:spacing w:val="4"/>
          <w:sz w:val="23"/>
          <w:szCs w:val="23"/>
        </w:rPr>
        <w:t>6.2-1</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14:textOutline w14:w="4356" w14:cap="sq" w14:cmpd="sng" w14:algn="ctr">
            <w14:solidFill>
              <w14:srgbClr w14:val="000000"/>
            </w14:solidFill>
            <w14:prstDash w14:val="solid"/>
            <w14:bevel/>
          </w14:textOutline>
        </w:rPr>
        <w:t>营运期项目粪污处理工艺流程图</w:t>
      </w:r>
    </w:p>
    <w:p w14:paraId="0C5EA448">
      <w:pPr>
        <w:spacing w:line="369" w:lineRule="auto"/>
      </w:pPr>
    </w:p>
    <w:p w14:paraId="25D11C59">
      <w:pPr>
        <w:spacing w:before="75" w:line="377" w:lineRule="auto"/>
        <w:ind w:left="9" w:firstLine="480"/>
        <w:rPr>
          <w:rFonts w:ascii="宋体" w:hAnsi="宋体" w:eastAsia="宋体" w:cs="宋体"/>
          <w:sz w:val="23"/>
          <w:szCs w:val="23"/>
        </w:rPr>
      </w:pPr>
      <w:r>
        <w:rPr>
          <w:rFonts w:ascii="宋体" w:hAnsi="宋体" w:eastAsia="宋体" w:cs="宋体"/>
          <w:spacing w:val="12"/>
          <w:sz w:val="23"/>
          <w:szCs w:val="23"/>
        </w:rPr>
        <w:t>猪尿经专门</w:t>
      </w:r>
      <w:r>
        <w:rPr>
          <w:rFonts w:ascii="宋体" w:hAnsi="宋体" w:eastAsia="宋体" w:cs="宋体"/>
          <w:spacing w:val="7"/>
          <w:sz w:val="23"/>
          <w:szCs w:val="23"/>
        </w:rPr>
        <w:t>的</w:t>
      </w:r>
      <w:r>
        <w:rPr>
          <w:rFonts w:ascii="宋体" w:hAnsi="宋体" w:eastAsia="宋体" w:cs="宋体"/>
          <w:spacing w:val="6"/>
          <w:sz w:val="23"/>
          <w:szCs w:val="23"/>
        </w:rPr>
        <w:t>密闭管道收集，进入集污池，与猪粪便按一定的比例搅拌、充分混合 (确</w:t>
      </w:r>
      <w:r>
        <w:rPr>
          <w:rFonts w:ascii="宋体" w:hAnsi="宋体" w:eastAsia="宋体" w:cs="宋体"/>
          <w:sz w:val="23"/>
          <w:szCs w:val="23"/>
        </w:rPr>
        <w:t xml:space="preserve"> </w:t>
      </w:r>
      <w:r>
        <w:rPr>
          <w:rFonts w:ascii="宋体" w:hAnsi="宋体" w:eastAsia="宋体" w:cs="宋体"/>
          <w:spacing w:val="7"/>
          <w:sz w:val="23"/>
          <w:szCs w:val="23"/>
        </w:rPr>
        <w:t>保粪污不分层) ，通过自动喷淋装置，将粪污均匀喷洒在垫料上，在翻抛机作用下垫料和</w:t>
      </w:r>
      <w:r>
        <w:rPr>
          <w:rFonts w:ascii="宋体" w:hAnsi="宋体" w:eastAsia="宋体" w:cs="宋体"/>
          <w:spacing w:val="5"/>
          <w:sz w:val="23"/>
          <w:szCs w:val="23"/>
        </w:rPr>
        <w:t>粪</w:t>
      </w:r>
      <w:r>
        <w:rPr>
          <w:rFonts w:ascii="宋体" w:hAnsi="宋体" w:eastAsia="宋体" w:cs="宋体"/>
          <w:sz w:val="23"/>
          <w:szCs w:val="23"/>
        </w:rPr>
        <w:t xml:space="preserve"> </w:t>
      </w:r>
      <w:r>
        <w:rPr>
          <w:rFonts w:ascii="宋体" w:hAnsi="宋体" w:eastAsia="宋体" w:cs="宋体"/>
          <w:spacing w:val="12"/>
          <w:sz w:val="23"/>
          <w:szCs w:val="23"/>
        </w:rPr>
        <w:t>污</w:t>
      </w:r>
      <w:r>
        <w:rPr>
          <w:rFonts w:ascii="宋体" w:hAnsi="宋体" w:eastAsia="宋体" w:cs="宋体"/>
          <w:spacing w:val="7"/>
          <w:sz w:val="23"/>
          <w:szCs w:val="23"/>
        </w:rPr>
        <w:t>充分混合，功能菌群在垫料中生长繁殖，通过微生物的分解发酵，使粪污中的有机物质得</w:t>
      </w:r>
      <w:r>
        <w:rPr>
          <w:rFonts w:ascii="宋体" w:hAnsi="宋体" w:eastAsia="宋体" w:cs="宋体"/>
          <w:sz w:val="23"/>
          <w:szCs w:val="23"/>
        </w:rPr>
        <w:t xml:space="preserve"> </w:t>
      </w:r>
      <w:r>
        <w:rPr>
          <w:rFonts w:ascii="宋体" w:hAnsi="宋体" w:eastAsia="宋体" w:cs="宋体"/>
          <w:spacing w:val="12"/>
          <w:sz w:val="23"/>
          <w:szCs w:val="23"/>
        </w:rPr>
        <w:t>到</w:t>
      </w:r>
      <w:r>
        <w:rPr>
          <w:rFonts w:ascii="宋体" w:hAnsi="宋体" w:eastAsia="宋体" w:cs="宋体"/>
          <w:spacing w:val="7"/>
          <w:sz w:val="23"/>
          <w:szCs w:val="23"/>
        </w:rPr>
        <w:t>充分的分解和转化，同时微生物分解发酵产生大量的热量，促使垫料中的水分蒸发至空气</w:t>
      </w:r>
      <w:r>
        <w:rPr>
          <w:rFonts w:ascii="宋体" w:hAnsi="宋体" w:eastAsia="宋体" w:cs="宋体"/>
          <w:sz w:val="23"/>
          <w:szCs w:val="23"/>
        </w:rPr>
        <w:t xml:space="preserve"> </w:t>
      </w:r>
      <w:r>
        <w:rPr>
          <w:rFonts w:ascii="宋体" w:hAnsi="宋体" w:eastAsia="宋体" w:cs="宋体"/>
          <w:spacing w:val="12"/>
          <w:sz w:val="23"/>
          <w:szCs w:val="23"/>
        </w:rPr>
        <w:t>中</w:t>
      </w:r>
      <w:r>
        <w:rPr>
          <w:rFonts w:ascii="宋体" w:hAnsi="宋体" w:eastAsia="宋体" w:cs="宋体"/>
          <w:spacing w:val="7"/>
          <w:sz w:val="23"/>
          <w:szCs w:val="23"/>
        </w:rPr>
        <w:t>。异位微生物发酵床内的发酵主要为好氧发酵，异位微生物发酵顶部加盖两头敞开的阳光</w:t>
      </w:r>
      <w:r>
        <w:rPr>
          <w:rFonts w:ascii="宋体" w:hAnsi="宋体" w:eastAsia="宋体" w:cs="宋体"/>
          <w:sz w:val="23"/>
          <w:szCs w:val="23"/>
        </w:rPr>
        <w:t xml:space="preserve"> </w:t>
      </w:r>
      <w:r>
        <w:rPr>
          <w:rFonts w:ascii="宋体" w:hAnsi="宋体" w:eastAsia="宋体" w:cs="宋体"/>
          <w:spacing w:val="9"/>
          <w:sz w:val="23"/>
          <w:szCs w:val="23"/>
        </w:rPr>
        <w:t>棚，可保持足够的氧气及控制发酵温度</w:t>
      </w:r>
      <w:r>
        <w:rPr>
          <w:rFonts w:ascii="宋体" w:hAnsi="宋体" w:eastAsia="宋体" w:cs="宋体"/>
          <w:spacing w:val="8"/>
          <w:sz w:val="23"/>
          <w:szCs w:val="23"/>
        </w:rPr>
        <w:t>。</w:t>
      </w:r>
    </w:p>
    <w:p w14:paraId="62395307">
      <w:pPr>
        <w:sectPr>
          <w:headerReference r:id="rId235" w:type="default"/>
          <w:footerReference r:id="rId236" w:type="default"/>
          <w:pgSz w:w="11906" w:h="16839"/>
          <w:pgMar w:top="1113" w:right="1134" w:bottom="1157" w:left="1275" w:header="878" w:footer="994" w:gutter="0"/>
          <w:cols w:space="720" w:num="1"/>
        </w:sectPr>
      </w:pPr>
    </w:p>
    <w:p w14:paraId="4C33256F">
      <w:pPr>
        <w:spacing w:before="197" w:line="227" w:lineRule="auto"/>
        <w:ind w:left="494"/>
        <w:rPr>
          <w:rFonts w:ascii="宋体" w:hAnsi="宋体" w:eastAsia="宋体" w:cs="宋体"/>
          <w:sz w:val="23"/>
          <w:szCs w:val="23"/>
        </w:rPr>
      </w:pPr>
      <w:r>
        <w:rPr>
          <w:rFonts w:ascii="宋体" w:hAnsi="宋体" w:eastAsia="宋体" w:cs="宋体"/>
          <w:spacing w:val="14"/>
          <w:sz w:val="23"/>
          <w:szCs w:val="23"/>
        </w:rPr>
        <w:t>发</w:t>
      </w:r>
      <w:r>
        <w:rPr>
          <w:rFonts w:ascii="宋体" w:hAnsi="宋体" w:eastAsia="宋体" w:cs="宋体"/>
          <w:spacing w:val="10"/>
          <w:sz w:val="23"/>
          <w:szCs w:val="23"/>
        </w:rPr>
        <w:t>酵</w:t>
      </w:r>
      <w:r>
        <w:rPr>
          <w:rFonts w:ascii="宋体" w:hAnsi="宋体" w:eastAsia="宋体" w:cs="宋体"/>
          <w:spacing w:val="7"/>
          <w:sz w:val="23"/>
          <w:szCs w:val="23"/>
        </w:rPr>
        <w:t>产生的轮换垫料作为有机肥外售，从而实现污水</w:t>
      </w:r>
      <w:r>
        <w:rPr>
          <w:rFonts w:ascii="Times New Roman" w:hAnsi="Times New Roman" w:eastAsia="Times New Roman" w:cs="Times New Roman"/>
          <w:spacing w:val="7"/>
          <w:sz w:val="23"/>
          <w:szCs w:val="23"/>
        </w:rPr>
        <w:t>“</w:t>
      </w:r>
      <w:r>
        <w:rPr>
          <w:rFonts w:ascii="宋体" w:hAnsi="宋体" w:eastAsia="宋体" w:cs="宋体"/>
          <w:spacing w:val="7"/>
          <w:sz w:val="23"/>
          <w:szCs w:val="23"/>
        </w:rPr>
        <w:t>零排放</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、无害化及资源化。</w:t>
      </w:r>
    </w:p>
    <w:p w14:paraId="612FF0C2">
      <w:pPr>
        <w:spacing w:before="182" w:line="375" w:lineRule="auto"/>
        <w:ind w:left="14" w:right="77" w:firstLine="481"/>
        <w:rPr>
          <w:rFonts w:ascii="宋体" w:hAnsi="宋体" w:eastAsia="宋体" w:cs="宋体"/>
          <w:sz w:val="23"/>
          <w:szCs w:val="23"/>
        </w:rPr>
      </w:pPr>
      <w:r>
        <w:rPr>
          <w:rFonts w:ascii="宋体" w:hAnsi="宋体" w:eastAsia="宋体" w:cs="宋体"/>
          <w:spacing w:val="12"/>
          <w:sz w:val="23"/>
          <w:szCs w:val="23"/>
        </w:rPr>
        <w:t>《四川</w:t>
      </w:r>
      <w:r>
        <w:rPr>
          <w:rFonts w:ascii="宋体" w:hAnsi="宋体" w:eastAsia="宋体" w:cs="宋体"/>
          <w:spacing w:val="7"/>
          <w:sz w:val="23"/>
          <w:szCs w:val="23"/>
        </w:rPr>
        <w:t>省</w:t>
      </w:r>
      <w:r>
        <w:rPr>
          <w:rFonts w:ascii="宋体" w:hAnsi="宋体" w:eastAsia="宋体" w:cs="宋体"/>
          <w:spacing w:val="6"/>
          <w:sz w:val="23"/>
          <w:szCs w:val="23"/>
        </w:rPr>
        <w:t>畜禽养殖污染防治技术指南 (试行) 》推荐了异味微生物发酵床的粪污处理模</w:t>
      </w:r>
      <w:r>
        <w:rPr>
          <w:rFonts w:ascii="宋体" w:hAnsi="宋体" w:eastAsia="宋体" w:cs="宋体"/>
          <w:sz w:val="23"/>
          <w:szCs w:val="23"/>
        </w:rPr>
        <w:t xml:space="preserve"> </w:t>
      </w:r>
      <w:r>
        <w:rPr>
          <w:rFonts w:ascii="宋体" w:hAnsi="宋体" w:eastAsia="宋体" w:cs="宋体"/>
          <w:spacing w:val="10"/>
          <w:sz w:val="23"/>
          <w:szCs w:val="23"/>
        </w:rPr>
        <w:t>式。根</w:t>
      </w:r>
      <w:r>
        <w:rPr>
          <w:rFonts w:ascii="宋体" w:hAnsi="宋体" w:eastAsia="宋体" w:cs="宋体"/>
          <w:spacing w:val="8"/>
          <w:sz w:val="23"/>
          <w:szCs w:val="23"/>
        </w:rPr>
        <w:t>据</w:t>
      </w:r>
      <w:r>
        <w:rPr>
          <w:rFonts w:ascii="宋体" w:hAnsi="宋体" w:eastAsia="宋体" w:cs="宋体"/>
          <w:spacing w:val="5"/>
          <w:sz w:val="23"/>
          <w:szCs w:val="23"/>
        </w:rPr>
        <w:t>农业农村部关于印发《畜禽粪污资源化利用行动方案 (</w:t>
      </w:r>
      <w:r>
        <w:rPr>
          <w:rFonts w:ascii="Times New Roman" w:hAnsi="Times New Roman" w:eastAsia="Times New Roman" w:cs="Times New Roman"/>
          <w:spacing w:val="5"/>
          <w:sz w:val="23"/>
          <w:szCs w:val="23"/>
        </w:rPr>
        <w:t xml:space="preserve">2017-2020 </w:t>
      </w:r>
      <w:r>
        <w:rPr>
          <w:rFonts w:ascii="宋体" w:hAnsi="宋体" w:eastAsia="宋体" w:cs="宋体"/>
          <w:spacing w:val="5"/>
          <w:sz w:val="23"/>
          <w:szCs w:val="23"/>
        </w:rPr>
        <w:t>年) 》  (农牧发</w:t>
      </w:r>
    </w:p>
    <w:p w14:paraId="07342FBA">
      <w:pPr>
        <w:spacing w:line="375" w:lineRule="auto"/>
        <w:ind w:left="10" w:right="80" w:firstLine="32"/>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8"/>
          <w:sz w:val="23"/>
          <w:szCs w:val="23"/>
        </w:rPr>
        <w:t>20</w:t>
      </w:r>
      <w:r>
        <w:rPr>
          <w:rFonts w:ascii="Times New Roman" w:hAnsi="Times New Roman" w:eastAsia="Times New Roman" w:cs="Times New Roman"/>
          <w:spacing w:val="11"/>
          <w:sz w:val="23"/>
          <w:szCs w:val="23"/>
        </w:rPr>
        <w:t>1</w:t>
      </w:r>
      <w:r>
        <w:rPr>
          <w:rFonts w:ascii="Times New Roman" w:hAnsi="Times New Roman" w:eastAsia="Times New Roman" w:cs="Times New Roman"/>
          <w:spacing w:val="9"/>
          <w:sz w:val="23"/>
          <w:szCs w:val="23"/>
        </w:rPr>
        <w:t>7</w:t>
      </w:r>
      <w:r>
        <w:rPr>
          <w:rFonts w:ascii="宋体" w:hAnsi="宋体" w:eastAsia="宋体" w:cs="宋体"/>
          <w:spacing w:val="9"/>
          <w:sz w:val="23"/>
          <w:szCs w:val="23"/>
        </w:rPr>
        <w:t>〕</w:t>
      </w:r>
      <w:r>
        <w:rPr>
          <w:rFonts w:ascii="Times New Roman" w:hAnsi="Times New Roman" w:eastAsia="Times New Roman" w:cs="Times New Roman"/>
          <w:spacing w:val="9"/>
          <w:sz w:val="23"/>
          <w:szCs w:val="23"/>
        </w:rPr>
        <w:t xml:space="preserve">11 </w:t>
      </w:r>
      <w:r>
        <w:rPr>
          <w:rFonts w:ascii="宋体" w:hAnsi="宋体" w:eastAsia="宋体" w:cs="宋体"/>
          <w:spacing w:val="9"/>
          <w:sz w:val="23"/>
          <w:szCs w:val="23"/>
        </w:rPr>
        <w:t>号) 的通知，将在西南地区包括四川省在内重点推广异味微生物发酵床技术，</w:t>
      </w:r>
      <w:r>
        <w:rPr>
          <w:rFonts w:ascii="宋体" w:hAnsi="宋体" w:eastAsia="宋体" w:cs="宋体"/>
          <w:sz w:val="23"/>
          <w:szCs w:val="23"/>
        </w:rPr>
        <w:t xml:space="preserve"> </w:t>
      </w:r>
      <w:r>
        <w:rPr>
          <w:rFonts w:ascii="宋体" w:hAnsi="宋体" w:eastAsia="宋体" w:cs="宋体"/>
          <w:spacing w:val="10"/>
          <w:sz w:val="23"/>
          <w:szCs w:val="23"/>
        </w:rPr>
        <w:t>农业农村部于</w:t>
      </w:r>
      <w:r>
        <w:rPr>
          <w:rFonts w:ascii="宋体" w:hAnsi="宋体" w:eastAsia="宋体" w:cs="宋体"/>
          <w:spacing w:val="9"/>
          <w:sz w:val="23"/>
          <w:szCs w:val="23"/>
        </w:rPr>
        <w:t xml:space="preserve"> </w:t>
      </w:r>
      <w:r>
        <w:rPr>
          <w:rFonts w:ascii="Times New Roman" w:hAnsi="Times New Roman" w:eastAsia="Times New Roman" w:cs="Times New Roman"/>
          <w:spacing w:val="5"/>
          <w:sz w:val="23"/>
          <w:szCs w:val="23"/>
        </w:rPr>
        <w:t xml:space="preserve">2018 </w:t>
      </w:r>
      <w:r>
        <w:rPr>
          <w:rFonts w:ascii="宋体" w:hAnsi="宋体" w:eastAsia="宋体" w:cs="宋体"/>
          <w:spacing w:val="5"/>
          <w:sz w:val="23"/>
          <w:szCs w:val="23"/>
        </w:rPr>
        <w:t xml:space="preserve">年 </w:t>
      </w:r>
      <w:r>
        <w:rPr>
          <w:rFonts w:ascii="Times New Roman" w:hAnsi="Times New Roman" w:eastAsia="Times New Roman" w:cs="Times New Roman"/>
          <w:spacing w:val="5"/>
          <w:sz w:val="23"/>
          <w:szCs w:val="23"/>
        </w:rPr>
        <w:t xml:space="preserve">7 </w:t>
      </w:r>
      <w:r>
        <w:rPr>
          <w:rFonts w:ascii="宋体" w:hAnsi="宋体" w:eastAsia="宋体" w:cs="宋体"/>
          <w:spacing w:val="5"/>
          <w:sz w:val="23"/>
          <w:szCs w:val="23"/>
        </w:rPr>
        <w:t xml:space="preserve">月 </w:t>
      </w:r>
      <w:r>
        <w:rPr>
          <w:rFonts w:ascii="Times New Roman" w:hAnsi="Times New Roman" w:eastAsia="Times New Roman" w:cs="Times New Roman"/>
          <w:spacing w:val="5"/>
          <w:sz w:val="23"/>
          <w:szCs w:val="23"/>
        </w:rPr>
        <w:t xml:space="preserve">20 </w:t>
      </w:r>
      <w:r>
        <w:rPr>
          <w:rFonts w:ascii="宋体" w:hAnsi="宋体" w:eastAsia="宋体" w:cs="宋体"/>
          <w:spacing w:val="5"/>
          <w:sz w:val="23"/>
          <w:szCs w:val="23"/>
        </w:rPr>
        <w:t>日公布了《</w:t>
      </w:r>
      <w:r>
        <w:rPr>
          <w:rFonts w:ascii="Times New Roman" w:hAnsi="Times New Roman" w:eastAsia="Times New Roman" w:cs="Times New Roman"/>
          <w:spacing w:val="5"/>
          <w:sz w:val="23"/>
          <w:szCs w:val="23"/>
        </w:rPr>
        <w:t xml:space="preserve">2018 </w:t>
      </w:r>
      <w:r>
        <w:rPr>
          <w:rFonts w:ascii="宋体" w:hAnsi="宋体" w:eastAsia="宋体" w:cs="宋体"/>
          <w:spacing w:val="5"/>
          <w:sz w:val="23"/>
          <w:szCs w:val="23"/>
        </w:rPr>
        <w:t>年十项重点引领性农业技术》，十项重点技</w:t>
      </w:r>
      <w:r>
        <w:rPr>
          <w:rFonts w:ascii="宋体" w:hAnsi="宋体" w:eastAsia="宋体" w:cs="宋体"/>
          <w:sz w:val="23"/>
          <w:szCs w:val="23"/>
        </w:rPr>
        <w:t xml:space="preserve"> </w:t>
      </w:r>
      <w:r>
        <w:rPr>
          <w:rFonts w:ascii="宋体" w:hAnsi="宋体" w:eastAsia="宋体" w:cs="宋体"/>
          <w:spacing w:val="11"/>
          <w:sz w:val="23"/>
          <w:szCs w:val="23"/>
        </w:rPr>
        <w:t>术</w:t>
      </w:r>
      <w:r>
        <w:rPr>
          <w:rFonts w:ascii="宋体" w:hAnsi="宋体" w:eastAsia="宋体" w:cs="宋体"/>
          <w:spacing w:val="9"/>
          <w:sz w:val="23"/>
          <w:szCs w:val="23"/>
        </w:rPr>
        <w:t>中包含了异味微生物发酵床处理猪场粪污技术。</w:t>
      </w:r>
    </w:p>
    <w:p w14:paraId="78179F99">
      <w:pPr>
        <w:spacing w:before="1" w:line="374" w:lineRule="auto"/>
        <w:ind w:left="9" w:firstLine="483"/>
        <w:rPr>
          <w:rFonts w:ascii="宋体" w:hAnsi="宋体" w:eastAsia="宋体" w:cs="宋体"/>
          <w:sz w:val="23"/>
          <w:szCs w:val="23"/>
        </w:rPr>
      </w:pPr>
      <w:r>
        <w:rPr>
          <w:rFonts w:ascii="宋体" w:hAnsi="宋体" w:eastAsia="宋体" w:cs="宋体"/>
          <w:spacing w:val="7"/>
          <w:sz w:val="23"/>
          <w:szCs w:val="23"/>
        </w:rPr>
        <w:t>异位微生物发酵床技术成熟、可靠性好，建设单位已委托四川卫美农生态农业有限公</w:t>
      </w:r>
      <w:r>
        <w:rPr>
          <w:rFonts w:ascii="宋体" w:hAnsi="宋体" w:eastAsia="宋体" w:cs="宋体"/>
          <w:spacing w:val="3"/>
          <w:sz w:val="23"/>
          <w:szCs w:val="23"/>
        </w:rPr>
        <w:t>司</w:t>
      </w:r>
      <w:r>
        <w:rPr>
          <w:rFonts w:ascii="宋体" w:hAnsi="宋体" w:eastAsia="宋体" w:cs="宋体"/>
          <w:sz w:val="23"/>
          <w:szCs w:val="23"/>
        </w:rPr>
        <w:t xml:space="preserve"> </w:t>
      </w:r>
      <w:r>
        <w:rPr>
          <w:rFonts w:ascii="宋体" w:hAnsi="宋体" w:eastAsia="宋体" w:cs="宋体"/>
          <w:spacing w:val="12"/>
          <w:sz w:val="23"/>
          <w:szCs w:val="23"/>
        </w:rPr>
        <w:t>对</w:t>
      </w:r>
      <w:r>
        <w:rPr>
          <w:rFonts w:ascii="宋体" w:hAnsi="宋体" w:eastAsia="宋体" w:cs="宋体"/>
          <w:spacing w:val="7"/>
          <w:sz w:val="23"/>
          <w:szCs w:val="23"/>
        </w:rPr>
        <w:t>本项目的粪污处理工艺设计采用异位微生物发酵床技术，根据建设单位提供的设计报告异</w:t>
      </w:r>
      <w:r>
        <w:rPr>
          <w:rFonts w:ascii="宋体" w:hAnsi="宋体" w:eastAsia="宋体" w:cs="宋体"/>
          <w:sz w:val="23"/>
          <w:szCs w:val="23"/>
        </w:rPr>
        <w:t xml:space="preserve"> </w:t>
      </w:r>
      <w:r>
        <w:rPr>
          <w:rFonts w:ascii="宋体" w:hAnsi="宋体" w:eastAsia="宋体" w:cs="宋体"/>
          <w:spacing w:val="-4"/>
          <w:sz w:val="23"/>
          <w:szCs w:val="23"/>
        </w:rPr>
        <w:t>位微生物发酵床异位发酵舍、集污池</w:t>
      </w:r>
      <w:r>
        <w:rPr>
          <w:rFonts w:ascii="宋体" w:hAnsi="宋体" w:eastAsia="宋体" w:cs="宋体"/>
          <w:spacing w:val="-3"/>
          <w:sz w:val="23"/>
          <w:szCs w:val="23"/>
        </w:rPr>
        <w:t>、</w:t>
      </w:r>
      <w:r>
        <w:rPr>
          <w:rFonts w:ascii="宋体" w:hAnsi="宋体" w:eastAsia="宋体" w:cs="宋体"/>
          <w:spacing w:val="-2"/>
          <w:sz w:val="23"/>
          <w:szCs w:val="23"/>
        </w:rPr>
        <w:t xml:space="preserve">喷淋池，总占地面积为 </w:t>
      </w:r>
      <w:r>
        <w:rPr>
          <w:rFonts w:ascii="Times New Roman" w:hAnsi="Times New Roman" w:eastAsia="Times New Roman" w:cs="Times New Roman"/>
          <w:spacing w:val="-2"/>
          <w:sz w:val="23"/>
          <w:szCs w:val="23"/>
        </w:rPr>
        <w:t>1600m</w:t>
      </w:r>
      <w:r>
        <w:rPr>
          <w:rFonts w:ascii="Times New Roman" w:hAnsi="Times New Roman" w:eastAsia="Times New Roman" w:cs="Times New Roman"/>
          <w:spacing w:val="-2"/>
          <w:position w:val="7"/>
          <w:sz w:val="15"/>
          <w:szCs w:val="15"/>
        </w:rPr>
        <w:t>2</w:t>
      </w:r>
      <w:r>
        <w:rPr>
          <w:rFonts w:ascii="宋体" w:hAnsi="宋体" w:eastAsia="宋体" w:cs="宋体"/>
          <w:spacing w:val="-2"/>
          <w:sz w:val="23"/>
          <w:szCs w:val="23"/>
        </w:rPr>
        <w:t xml:space="preserve">，设计处理能力为 </w:t>
      </w:r>
      <w:r>
        <w:rPr>
          <w:rFonts w:ascii="Times New Roman" w:hAnsi="Times New Roman" w:eastAsia="Times New Roman" w:cs="Times New Roman"/>
          <w:spacing w:val="-2"/>
          <w:sz w:val="23"/>
          <w:szCs w:val="23"/>
        </w:rPr>
        <w:t>50t/d</w:t>
      </w:r>
      <w:r>
        <w:rPr>
          <w:rFonts w:ascii="宋体" w:hAnsi="宋体" w:eastAsia="宋体" w:cs="宋体"/>
          <w:spacing w:val="-2"/>
          <w:sz w:val="23"/>
          <w:szCs w:val="23"/>
        </w:rPr>
        <w:t>。</w:t>
      </w:r>
    </w:p>
    <w:p w14:paraId="3D52B727">
      <w:pPr>
        <w:spacing w:line="226" w:lineRule="auto"/>
        <w:ind w:left="9"/>
        <w:outlineLvl w:val="3"/>
        <w:rPr>
          <w:rFonts w:ascii="宋体" w:hAnsi="宋体" w:eastAsia="宋体" w:cs="宋体"/>
          <w:sz w:val="23"/>
          <w:szCs w:val="23"/>
        </w:rPr>
      </w:pPr>
      <w:r>
        <w:rPr>
          <w:rFonts w:ascii="Times New Roman" w:hAnsi="Times New Roman" w:eastAsia="Times New Roman" w:cs="Times New Roman"/>
          <w:b/>
          <w:bCs/>
          <w:spacing w:val="13"/>
          <w:sz w:val="23"/>
          <w:szCs w:val="23"/>
        </w:rPr>
        <w:t>6</w:t>
      </w:r>
      <w:r>
        <w:rPr>
          <w:rFonts w:ascii="Times New Roman" w:hAnsi="Times New Roman" w:eastAsia="Times New Roman" w:cs="Times New Roman"/>
          <w:b/>
          <w:bCs/>
          <w:spacing w:val="7"/>
          <w:sz w:val="23"/>
          <w:szCs w:val="23"/>
        </w:rPr>
        <w:t>.2.2.2</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本项目粪污处置可行性分析</w:t>
      </w:r>
    </w:p>
    <w:p w14:paraId="294935B3">
      <w:pPr>
        <w:spacing w:before="185" w:line="303" w:lineRule="exact"/>
        <w:ind w:left="496"/>
        <w:rPr>
          <w:rFonts w:ascii="宋体" w:hAnsi="宋体" w:eastAsia="宋体" w:cs="宋体"/>
          <w:sz w:val="23"/>
          <w:szCs w:val="23"/>
        </w:rPr>
      </w:pPr>
      <w:r>
        <w:rPr>
          <w:rFonts w:ascii="Times New Roman" w:hAnsi="Times New Roman" w:eastAsia="Times New Roman" w:cs="Times New Roman"/>
          <w:b/>
          <w:bCs/>
          <w:spacing w:val="16"/>
          <w:position w:val="1"/>
          <w:sz w:val="23"/>
          <w:szCs w:val="23"/>
        </w:rPr>
        <w:t>1</w:t>
      </w:r>
      <w:r>
        <w:rPr>
          <w:rFonts w:ascii="Times New Roman" w:hAnsi="Times New Roman" w:eastAsia="Times New Roman" w:cs="Times New Roman"/>
          <w:spacing w:val="8"/>
          <w:position w:val="1"/>
          <w:sz w:val="23"/>
          <w:szCs w:val="23"/>
        </w:rPr>
        <w:t xml:space="preserve"> </w:t>
      </w:r>
      <w:r>
        <w:rPr>
          <w:rFonts w:ascii="宋体" w:hAnsi="宋体" w:eastAsia="宋体" w:cs="宋体"/>
          <w:spacing w:val="8"/>
          <w:position w:val="1"/>
          <w:sz w:val="23"/>
          <w:szCs w:val="23"/>
          <w14:textOutline w14:w="4356" w14:cap="sq" w14:cmpd="sng" w14:algn="ctr">
            <w14:solidFill>
              <w14:srgbClr w14:val="000000"/>
            </w14:solidFill>
            <w14:prstDash w14:val="solid"/>
            <w14:bevel/>
          </w14:textOutline>
        </w:rPr>
        <w:t>、乐山乐高勤力生物质能源综合利用有限公司收纳本项目污水可行性分析</w:t>
      </w:r>
    </w:p>
    <w:p w14:paraId="789DE865">
      <w:pPr>
        <w:spacing w:before="165" w:line="375" w:lineRule="auto"/>
        <w:ind w:left="9" w:right="2" w:firstLine="502"/>
        <w:rPr>
          <w:rFonts w:ascii="宋体" w:hAnsi="宋体" w:eastAsia="宋体" w:cs="宋体"/>
          <w:sz w:val="23"/>
          <w:szCs w:val="23"/>
        </w:rPr>
      </w:pPr>
      <w:r>
        <w:rPr>
          <w:rFonts w:ascii="宋体" w:hAnsi="宋体" w:eastAsia="宋体" w:cs="宋体"/>
          <w:spacing w:val="14"/>
          <w:sz w:val="23"/>
          <w:szCs w:val="23"/>
        </w:rPr>
        <w:t>乐山乐高</w:t>
      </w:r>
      <w:r>
        <w:rPr>
          <w:rFonts w:ascii="宋体" w:hAnsi="宋体" w:eastAsia="宋体" w:cs="宋体"/>
          <w:spacing w:val="7"/>
          <w:sz w:val="23"/>
          <w:szCs w:val="23"/>
        </w:rPr>
        <w:t xml:space="preserve">勤力生物质能源综合利用有限公司成立于 </w:t>
      </w:r>
      <w:r>
        <w:rPr>
          <w:rFonts w:ascii="Times New Roman" w:hAnsi="Times New Roman" w:eastAsia="Times New Roman" w:cs="Times New Roman"/>
          <w:spacing w:val="7"/>
          <w:sz w:val="23"/>
          <w:szCs w:val="23"/>
        </w:rPr>
        <w:t xml:space="preserve">2018 </w:t>
      </w:r>
      <w:r>
        <w:rPr>
          <w:rFonts w:ascii="宋体" w:hAnsi="宋体" w:eastAsia="宋体" w:cs="宋体"/>
          <w:spacing w:val="7"/>
          <w:sz w:val="23"/>
          <w:szCs w:val="23"/>
        </w:rPr>
        <w:t xml:space="preserve">年 </w:t>
      </w:r>
      <w:r>
        <w:rPr>
          <w:rFonts w:ascii="Times New Roman" w:hAnsi="Times New Roman" w:eastAsia="Times New Roman" w:cs="Times New Roman"/>
          <w:spacing w:val="7"/>
          <w:sz w:val="23"/>
          <w:szCs w:val="23"/>
        </w:rPr>
        <w:t xml:space="preserve">04 </w:t>
      </w:r>
      <w:r>
        <w:rPr>
          <w:rFonts w:ascii="宋体" w:hAnsi="宋体" w:eastAsia="宋体" w:cs="宋体"/>
          <w:spacing w:val="7"/>
          <w:sz w:val="23"/>
          <w:szCs w:val="23"/>
        </w:rPr>
        <w:t xml:space="preserve">月 </w:t>
      </w:r>
      <w:r>
        <w:rPr>
          <w:rFonts w:ascii="Times New Roman" w:hAnsi="Times New Roman" w:eastAsia="Times New Roman" w:cs="Times New Roman"/>
          <w:spacing w:val="7"/>
          <w:sz w:val="23"/>
          <w:szCs w:val="23"/>
        </w:rPr>
        <w:t xml:space="preserve">16  </w:t>
      </w:r>
      <w:r>
        <w:rPr>
          <w:rFonts w:ascii="宋体" w:hAnsi="宋体" w:eastAsia="宋体" w:cs="宋体"/>
          <w:spacing w:val="7"/>
          <w:sz w:val="23"/>
          <w:szCs w:val="23"/>
        </w:rPr>
        <w:t>日，主要从事环</w:t>
      </w:r>
      <w:r>
        <w:rPr>
          <w:rFonts w:ascii="宋体" w:hAnsi="宋体" w:eastAsia="宋体" w:cs="宋体"/>
          <w:sz w:val="23"/>
          <w:szCs w:val="23"/>
        </w:rPr>
        <w:t xml:space="preserve"> </w:t>
      </w:r>
      <w:r>
        <w:rPr>
          <w:rFonts w:ascii="宋体" w:hAnsi="宋体" w:eastAsia="宋体" w:cs="宋体"/>
          <w:spacing w:val="35"/>
          <w:sz w:val="23"/>
          <w:szCs w:val="23"/>
        </w:rPr>
        <w:t>保</w:t>
      </w:r>
      <w:r>
        <w:rPr>
          <w:rFonts w:ascii="宋体" w:hAnsi="宋体" w:eastAsia="宋体" w:cs="宋体"/>
          <w:spacing w:val="19"/>
          <w:sz w:val="23"/>
          <w:szCs w:val="23"/>
        </w:rPr>
        <w:t>及污水处理技术服务、水污染和固体废物治理、畜禽无害化收集处理及运输、粪污收</w:t>
      </w:r>
      <w:r>
        <w:rPr>
          <w:rFonts w:ascii="宋体" w:hAnsi="宋体" w:eastAsia="宋体" w:cs="宋体"/>
          <w:sz w:val="23"/>
          <w:szCs w:val="23"/>
        </w:rPr>
        <w:t xml:space="preserve"> </w:t>
      </w:r>
      <w:r>
        <w:rPr>
          <w:rFonts w:ascii="宋体" w:hAnsi="宋体" w:eastAsia="宋体" w:cs="宋体"/>
          <w:spacing w:val="35"/>
          <w:sz w:val="23"/>
          <w:szCs w:val="23"/>
        </w:rPr>
        <w:t>集</w:t>
      </w:r>
      <w:r>
        <w:rPr>
          <w:rFonts w:ascii="宋体" w:hAnsi="宋体" w:eastAsia="宋体" w:cs="宋体"/>
          <w:spacing w:val="19"/>
          <w:sz w:val="23"/>
          <w:szCs w:val="23"/>
        </w:rPr>
        <w:t>处理及运输、农作物秸秆收集处理及运输、有机肥生产及加工、沼气发电及供热等行</w:t>
      </w:r>
      <w:r>
        <w:rPr>
          <w:rFonts w:ascii="宋体" w:hAnsi="宋体" w:eastAsia="宋体" w:cs="宋体"/>
          <w:sz w:val="23"/>
          <w:szCs w:val="23"/>
        </w:rPr>
        <w:t xml:space="preserve"> </w:t>
      </w:r>
      <w:r>
        <w:rPr>
          <w:rFonts w:ascii="宋体" w:hAnsi="宋体" w:eastAsia="宋体" w:cs="宋体"/>
          <w:spacing w:val="16"/>
          <w:sz w:val="23"/>
          <w:szCs w:val="23"/>
        </w:rPr>
        <w:t>业，距</w:t>
      </w:r>
      <w:r>
        <w:rPr>
          <w:rFonts w:ascii="宋体" w:hAnsi="宋体" w:eastAsia="宋体" w:cs="宋体"/>
          <w:spacing w:val="13"/>
          <w:sz w:val="23"/>
          <w:szCs w:val="23"/>
        </w:rPr>
        <w:t>离</w:t>
      </w:r>
      <w:r>
        <w:rPr>
          <w:rFonts w:ascii="宋体" w:hAnsi="宋体" w:eastAsia="宋体" w:cs="宋体"/>
          <w:spacing w:val="8"/>
          <w:sz w:val="23"/>
          <w:szCs w:val="23"/>
        </w:rPr>
        <w:t xml:space="preserve">本项目 </w:t>
      </w:r>
      <w:r>
        <w:rPr>
          <w:rFonts w:ascii="Times New Roman" w:hAnsi="Times New Roman" w:eastAsia="Times New Roman" w:cs="Times New Roman"/>
          <w:spacing w:val="8"/>
          <w:sz w:val="23"/>
          <w:szCs w:val="23"/>
        </w:rPr>
        <w:t>13</w:t>
      </w:r>
      <w:r>
        <w:rPr>
          <w:rFonts w:ascii="Times New Roman" w:hAnsi="Times New Roman" w:eastAsia="Times New Roman" w:cs="Times New Roman"/>
          <w:sz w:val="23"/>
          <w:szCs w:val="23"/>
        </w:rPr>
        <w:t>km</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左右，交通方便，运输便捷，且有足够的处理能力处理本项目污水，</w:t>
      </w:r>
      <w:r>
        <w:rPr>
          <w:rFonts w:ascii="宋体" w:hAnsi="宋体" w:eastAsia="宋体" w:cs="宋体"/>
          <w:sz w:val="23"/>
          <w:szCs w:val="23"/>
        </w:rPr>
        <w:t xml:space="preserve"> </w:t>
      </w:r>
      <w:r>
        <w:rPr>
          <w:rFonts w:ascii="宋体" w:hAnsi="宋体" w:eastAsia="宋体" w:cs="宋体"/>
          <w:spacing w:val="23"/>
          <w:sz w:val="23"/>
          <w:szCs w:val="23"/>
        </w:rPr>
        <w:t>建</w:t>
      </w:r>
      <w:r>
        <w:rPr>
          <w:rFonts w:ascii="宋体" w:hAnsi="宋体" w:eastAsia="宋体" w:cs="宋体"/>
          <w:spacing w:val="15"/>
          <w:sz w:val="23"/>
          <w:szCs w:val="23"/>
        </w:rPr>
        <w:t>设单位将粪水运至该公司既节省了建设成本，又能实现畜禽粪污基本实现资源化利用。</w:t>
      </w:r>
    </w:p>
    <w:p w14:paraId="5CE958C2">
      <w:pPr>
        <w:spacing w:line="303" w:lineRule="exact"/>
        <w:ind w:left="486"/>
        <w:rPr>
          <w:rFonts w:ascii="宋体" w:hAnsi="宋体" w:eastAsia="宋体" w:cs="宋体"/>
          <w:sz w:val="23"/>
          <w:szCs w:val="23"/>
        </w:rPr>
      </w:pPr>
      <w:r>
        <w:rPr>
          <w:rFonts w:ascii="Times New Roman" w:hAnsi="Times New Roman" w:eastAsia="Times New Roman" w:cs="Times New Roman"/>
          <w:b/>
          <w:bCs/>
          <w:spacing w:val="7"/>
          <w:position w:val="1"/>
          <w:sz w:val="23"/>
          <w:szCs w:val="23"/>
        </w:rPr>
        <w:t>2</w:t>
      </w:r>
      <w:r>
        <w:rPr>
          <w:rFonts w:ascii="Times New Roman" w:hAnsi="Times New Roman" w:eastAsia="Times New Roman" w:cs="Times New Roman"/>
          <w:spacing w:val="7"/>
          <w:position w:val="1"/>
          <w:sz w:val="23"/>
          <w:szCs w:val="23"/>
        </w:rPr>
        <w:t xml:space="preserve"> </w:t>
      </w:r>
      <w:r>
        <w:rPr>
          <w:rFonts w:ascii="宋体" w:hAnsi="宋体" w:eastAsia="宋体" w:cs="宋体"/>
          <w:spacing w:val="7"/>
          <w:position w:val="1"/>
          <w:sz w:val="23"/>
          <w:szCs w:val="23"/>
          <w14:textOutline w14:w="4356" w14:cap="sq" w14:cmpd="sng" w14:algn="ctr">
            <w14:solidFill>
              <w14:srgbClr w14:val="000000"/>
            </w14:solidFill>
            <w14:prstDash w14:val="solid"/>
            <w14:bevel/>
          </w14:textOutline>
        </w:rPr>
        <w:t>、异位发酵床处置本项目污水可行性分</w:t>
      </w:r>
      <w:r>
        <w:rPr>
          <w:rFonts w:ascii="宋体" w:hAnsi="宋体" w:eastAsia="宋体" w:cs="宋体"/>
          <w:spacing w:val="5"/>
          <w:position w:val="1"/>
          <w:sz w:val="23"/>
          <w:szCs w:val="23"/>
          <w14:textOutline w14:w="4356" w14:cap="sq" w14:cmpd="sng" w14:algn="ctr">
            <w14:solidFill>
              <w14:srgbClr w14:val="000000"/>
            </w14:solidFill>
            <w14:prstDash w14:val="solid"/>
            <w14:bevel/>
          </w14:textOutline>
        </w:rPr>
        <w:t>析</w:t>
      </w:r>
    </w:p>
    <w:p w14:paraId="7EFF043B">
      <w:pPr>
        <w:spacing w:before="163" w:line="227" w:lineRule="auto"/>
        <w:ind w:left="501"/>
        <w:rPr>
          <w:rFonts w:ascii="宋体" w:hAnsi="宋体" w:eastAsia="宋体" w:cs="宋体"/>
          <w:sz w:val="23"/>
          <w:szCs w:val="23"/>
        </w:rPr>
      </w:pP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7"/>
          <w:sz w:val="23"/>
          <w:szCs w:val="23"/>
        </w:rPr>
        <w:t>1</w:t>
      </w:r>
      <w:r>
        <w:rPr>
          <w:rFonts w:ascii="宋体" w:hAnsi="宋体" w:eastAsia="宋体" w:cs="宋体"/>
          <w:spacing w:val="17"/>
          <w:sz w:val="23"/>
          <w:szCs w:val="23"/>
          <w14:textOutline w14:w="4356" w14:cap="sq" w14:cmpd="sng" w14:algn="ctr">
            <w14:solidFill>
              <w14:srgbClr w14:val="000000"/>
            </w14:solidFill>
            <w14:prstDash w14:val="solid"/>
            <w14:bevel/>
          </w14:textOutline>
        </w:rPr>
        <w:t>)</w:t>
      </w:r>
      <w:r>
        <w:rPr>
          <w:rFonts w:ascii="宋体" w:hAnsi="宋体" w:eastAsia="宋体" w:cs="宋体"/>
          <w:spacing w:val="17"/>
          <w:sz w:val="23"/>
          <w:szCs w:val="23"/>
        </w:rPr>
        <w:t xml:space="preserve"> </w:t>
      </w:r>
      <w:r>
        <w:rPr>
          <w:rFonts w:ascii="宋体" w:hAnsi="宋体" w:eastAsia="宋体" w:cs="宋体"/>
          <w:spacing w:val="17"/>
          <w:sz w:val="23"/>
          <w:szCs w:val="23"/>
          <w14:textOutline w14:w="4356" w14:cap="sq" w14:cmpd="sng" w14:algn="ctr">
            <w14:solidFill>
              <w14:srgbClr w14:val="000000"/>
            </w14:solidFill>
            <w14:prstDash w14:val="solid"/>
            <w14:bevel/>
          </w14:textOutline>
        </w:rPr>
        <w:t>粪污处理工艺原理</w:t>
      </w:r>
    </w:p>
    <w:p w14:paraId="18525202">
      <w:pPr>
        <w:spacing w:before="182" w:line="227" w:lineRule="auto"/>
        <w:ind w:left="496"/>
        <w:rPr>
          <w:rFonts w:ascii="宋体" w:hAnsi="宋体" w:eastAsia="宋体" w:cs="宋体"/>
          <w:sz w:val="23"/>
          <w:szCs w:val="23"/>
        </w:rPr>
      </w:pPr>
      <w:r>
        <w:rPr>
          <w:rFonts w:ascii="Times New Roman" w:hAnsi="Times New Roman" w:eastAsia="Times New Roman" w:cs="Times New Roman"/>
          <w:b/>
          <w:bCs/>
          <w:spacing w:val="12"/>
          <w:sz w:val="23"/>
          <w:szCs w:val="23"/>
        </w:rPr>
        <w:t>1</w:t>
      </w:r>
      <w:r>
        <w:rPr>
          <w:rFonts w:ascii="宋体" w:hAnsi="宋体" w:eastAsia="宋体" w:cs="宋体"/>
          <w:spacing w:val="8"/>
          <w:sz w:val="23"/>
          <w:szCs w:val="23"/>
          <w14:textOutline w14:w="4356" w14:cap="sq" w14:cmpd="sng" w14:algn="ctr">
            <w14:solidFill>
              <w14:srgbClr w14:val="000000"/>
            </w14:solidFill>
            <w14:prstDash w14:val="solid"/>
            <w14:bevel/>
          </w14:textOutline>
        </w:rPr>
        <w:t>)</w:t>
      </w:r>
      <w:r>
        <w:rPr>
          <w:rFonts w:ascii="宋体" w:hAnsi="宋体" w:eastAsia="宋体" w:cs="宋体"/>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异位微生物发酵床概述</w:t>
      </w:r>
    </w:p>
    <w:p w14:paraId="2920D2E5">
      <w:pPr>
        <w:spacing w:before="184" w:line="375" w:lineRule="auto"/>
        <w:ind w:left="8" w:right="33" w:firstLine="484"/>
        <w:rPr>
          <w:rFonts w:ascii="宋体" w:hAnsi="宋体" w:eastAsia="宋体" w:cs="宋体"/>
          <w:sz w:val="23"/>
          <w:szCs w:val="23"/>
        </w:rPr>
      </w:pPr>
      <w:r>
        <w:rPr>
          <w:rFonts w:ascii="宋体" w:hAnsi="宋体" w:eastAsia="宋体" w:cs="宋体"/>
          <w:spacing w:val="13"/>
          <w:sz w:val="23"/>
          <w:szCs w:val="23"/>
        </w:rPr>
        <w:t>异</w:t>
      </w:r>
      <w:r>
        <w:rPr>
          <w:rFonts w:ascii="宋体" w:hAnsi="宋体" w:eastAsia="宋体" w:cs="宋体"/>
          <w:spacing w:val="8"/>
          <w:sz w:val="23"/>
          <w:szCs w:val="23"/>
        </w:rPr>
        <w:t>位微生物发酵床是指养猪与粪污发酵分开，猪舍外另建垫料发酵舍，猪不接触垫料，</w:t>
      </w:r>
      <w:r>
        <w:rPr>
          <w:rFonts w:ascii="宋体" w:hAnsi="宋体" w:eastAsia="宋体" w:cs="宋体"/>
          <w:sz w:val="23"/>
          <w:szCs w:val="23"/>
        </w:rPr>
        <w:t xml:space="preserve"> </w:t>
      </w:r>
      <w:r>
        <w:rPr>
          <w:rFonts w:ascii="宋体" w:hAnsi="宋体" w:eastAsia="宋体" w:cs="宋体"/>
          <w:spacing w:val="13"/>
          <w:sz w:val="23"/>
          <w:szCs w:val="23"/>
        </w:rPr>
        <w:t>猪</w:t>
      </w:r>
      <w:r>
        <w:rPr>
          <w:rFonts w:ascii="宋体" w:hAnsi="宋体" w:eastAsia="宋体" w:cs="宋体"/>
          <w:spacing w:val="7"/>
          <w:sz w:val="23"/>
          <w:szCs w:val="23"/>
        </w:rPr>
        <w:t>场粪污收集后利用潜泵均匀喷在垫料上进行生物菌发酵的粪污处理方法。异位微生物发酵</w:t>
      </w:r>
      <w:r>
        <w:rPr>
          <w:rFonts w:ascii="宋体" w:hAnsi="宋体" w:eastAsia="宋体" w:cs="宋体"/>
          <w:sz w:val="23"/>
          <w:szCs w:val="23"/>
        </w:rPr>
        <w:t xml:space="preserve"> </w:t>
      </w:r>
      <w:r>
        <w:rPr>
          <w:rFonts w:ascii="宋体" w:hAnsi="宋体" w:eastAsia="宋体" w:cs="宋体"/>
          <w:spacing w:val="13"/>
          <w:sz w:val="23"/>
          <w:szCs w:val="23"/>
        </w:rPr>
        <w:t>床</w:t>
      </w:r>
      <w:r>
        <w:rPr>
          <w:rFonts w:ascii="宋体" w:hAnsi="宋体" w:eastAsia="宋体" w:cs="宋体"/>
          <w:spacing w:val="7"/>
          <w:sz w:val="23"/>
          <w:szCs w:val="23"/>
        </w:rPr>
        <w:t>有效地克服了传统发酵床消毒不方便、改造成本高等问题，在环境保护上为养猪饲养开辟</w:t>
      </w:r>
      <w:r>
        <w:rPr>
          <w:rFonts w:ascii="宋体" w:hAnsi="宋体" w:eastAsia="宋体" w:cs="宋体"/>
          <w:sz w:val="23"/>
          <w:szCs w:val="23"/>
        </w:rPr>
        <w:t xml:space="preserve"> </w:t>
      </w:r>
      <w:r>
        <w:rPr>
          <w:rFonts w:ascii="宋体" w:hAnsi="宋体" w:eastAsia="宋体" w:cs="宋体"/>
          <w:spacing w:val="8"/>
          <w:sz w:val="23"/>
          <w:szCs w:val="23"/>
        </w:rPr>
        <w:t>了一条新的途径</w:t>
      </w:r>
      <w:r>
        <w:rPr>
          <w:rFonts w:ascii="宋体" w:hAnsi="宋体" w:eastAsia="宋体" w:cs="宋体"/>
          <w:spacing w:val="6"/>
          <w:sz w:val="23"/>
          <w:szCs w:val="23"/>
        </w:rPr>
        <w:t>。</w:t>
      </w:r>
    </w:p>
    <w:p w14:paraId="6B476F8F">
      <w:pPr>
        <w:spacing w:line="227" w:lineRule="auto"/>
        <w:ind w:left="486"/>
        <w:rPr>
          <w:rFonts w:ascii="宋体" w:hAnsi="宋体" w:eastAsia="宋体" w:cs="宋体"/>
          <w:sz w:val="23"/>
          <w:szCs w:val="23"/>
        </w:rPr>
      </w:pPr>
      <w:r>
        <w:rPr>
          <w:rFonts w:ascii="Times New Roman" w:hAnsi="Times New Roman" w:eastAsia="Times New Roman" w:cs="Times New Roman"/>
          <w:b/>
          <w:bCs/>
          <w:spacing w:val="9"/>
          <w:sz w:val="23"/>
          <w:szCs w:val="23"/>
        </w:rPr>
        <w:t>2</w:t>
      </w:r>
      <w:r>
        <w:rPr>
          <w:rFonts w:ascii="宋体" w:hAnsi="宋体" w:eastAsia="宋体" w:cs="宋体"/>
          <w:spacing w:val="7"/>
          <w:sz w:val="23"/>
          <w:szCs w:val="23"/>
          <w14:textOutline w14:w="4356" w14:cap="sq" w14:cmpd="sng" w14:algn="ctr">
            <w14:solidFill>
              <w14:srgbClr w14:val="000000"/>
            </w14:solidFill>
            <w14:prstDash w14:val="solid"/>
            <w14:bevel/>
          </w14:textOutline>
        </w:rPr>
        <w:t>)</w:t>
      </w:r>
      <w:r>
        <w:rPr>
          <w:rFonts w:ascii="宋体" w:hAnsi="宋体" w:eastAsia="宋体" w:cs="宋体"/>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技术原理</w:t>
      </w:r>
    </w:p>
    <w:p w14:paraId="2E8FAF05">
      <w:pPr>
        <w:spacing w:before="183" w:line="375" w:lineRule="auto"/>
        <w:ind w:left="9" w:right="18" w:firstLine="480"/>
        <w:rPr>
          <w:rFonts w:ascii="宋体" w:hAnsi="宋体" w:eastAsia="宋体" w:cs="宋体"/>
          <w:sz w:val="23"/>
          <w:szCs w:val="23"/>
        </w:rPr>
      </w:pPr>
      <w:r>
        <w:rPr>
          <w:rFonts w:ascii="宋体" w:hAnsi="宋体" w:eastAsia="宋体" w:cs="宋体"/>
          <w:spacing w:val="12"/>
          <w:sz w:val="23"/>
          <w:szCs w:val="23"/>
        </w:rPr>
        <w:t>①将饲料</w:t>
      </w:r>
      <w:r>
        <w:rPr>
          <w:rFonts w:ascii="宋体" w:hAnsi="宋体" w:eastAsia="宋体" w:cs="宋体"/>
          <w:spacing w:val="7"/>
          <w:sz w:val="23"/>
          <w:szCs w:val="23"/>
        </w:rPr>
        <w:t>添</w:t>
      </w:r>
      <w:r>
        <w:rPr>
          <w:rFonts w:ascii="宋体" w:hAnsi="宋体" w:eastAsia="宋体" w:cs="宋体"/>
          <w:spacing w:val="6"/>
          <w:sz w:val="23"/>
          <w:szCs w:val="23"/>
        </w:rPr>
        <w:t>加剂 (含有益生菌，如纳豆菌等) 按一定比例均匀拌入饲料喂养生猪，在进</w:t>
      </w:r>
      <w:r>
        <w:rPr>
          <w:rFonts w:ascii="宋体" w:hAnsi="宋体" w:eastAsia="宋体" w:cs="宋体"/>
          <w:sz w:val="23"/>
          <w:szCs w:val="23"/>
        </w:rPr>
        <w:t xml:space="preserve"> </w:t>
      </w:r>
      <w:r>
        <w:rPr>
          <w:rFonts w:ascii="宋体" w:hAnsi="宋体" w:eastAsia="宋体" w:cs="宋体"/>
          <w:spacing w:val="12"/>
          <w:sz w:val="23"/>
          <w:szCs w:val="23"/>
        </w:rPr>
        <w:t>入</w:t>
      </w:r>
      <w:r>
        <w:rPr>
          <w:rFonts w:ascii="宋体" w:hAnsi="宋体" w:eastAsia="宋体" w:cs="宋体"/>
          <w:spacing w:val="7"/>
          <w:sz w:val="23"/>
          <w:szCs w:val="23"/>
        </w:rPr>
        <w:t>生猪的肠道时，益生菌相互作用而产生代谢物质和淀粉酶、蛋白酶、纤维酶等，同时还耗</w:t>
      </w:r>
      <w:r>
        <w:rPr>
          <w:rFonts w:ascii="宋体" w:hAnsi="宋体" w:eastAsia="宋体" w:cs="宋体"/>
          <w:sz w:val="23"/>
          <w:szCs w:val="23"/>
        </w:rPr>
        <w:t xml:space="preserve"> </w:t>
      </w:r>
      <w:r>
        <w:rPr>
          <w:rFonts w:ascii="宋体" w:hAnsi="宋体" w:eastAsia="宋体" w:cs="宋体"/>
          <w:spacing w:val="12"/>
          <w:sz w:val="23"/>
          <w:szCs w:val="23"/>
        </w:rPr>
        <w:t>去</w:t>
      </w:r>
      <w:r>
        <w:rPr>
          <w:rFonts w:ascii="宋体" w:hAnsi="宋体" w:eastAsia="宋体" w:cs="宋体"/>
          <w:spacing w:val="7"/>
          <w:sz w:val="23"/>
          <w:szCs w:val="23"/>
        </w:rPr>
        <w:t>肠道内的氧气，给乳酸菌的繁殖创造了良好的生长环境。而其代谢物质本身不但具有抗生</w:t>
      </w:r>
      <w:r>
        <w:rPr>
          <w:rFonts w:ascii="宋体" w:hAnsi="宋体" w:eastAsia="宋体" w:cs="宋体"/>
          <w:sz w:val="23"/>
          <w:szCs w:val="23"/>
        </w:rPr>
        <w:t xml:space="preserve"> </w:t>
      </w:r>
      <w:r>
        <w:rPr>
          <w:rFonts w:ascii="宋体" w:hAnsi="宋体" w:eastAsia="宋体" w:cs="宋体"/>
          <w:spacing w:val="4"/>
          <w:sz w:val="23"/>
          <w:szCs w:val="23"/>
        </w:rPr>
        <w:t>物质功能，而且还是乳酸菌繁殖时</w:t>
      </w:r>
      <w:r>
        <w:rPr>
          <w:rFonts w:ascii="宋体" w:hAnsi="宋体" w:eastAsia="宋体" w:cs="宋体"/>
          <w:spacing w:val="3"/>
          <w:sz w:val="23"/>
          <w:szCs w:val="23"/>
        </w:rPr>
        <w:t>很</w:t>
      </w:r>
      <w:r>
        <w:rPr>
          <w:rFonts w:ascii="宋体" w:hAnsi="宋体" w:eastAsia="宋体" w:cs="宋体"/>
          <w:spacing w:val="2"/>
          <w:sz w:val="23"/>
          <w:szCs w:val="23"/>
        </w:rPr>
        <w:t>好的饵料，促成生猪肠道的乳酸菌 (厌气菌) 大量繁殖，</w:t>
      </w:r>
      <w:r>
        <w:rPr>
          <w:rFonts w:ascii="宋体" w:hAnsi="宋体" w:eastAsia="宋体" w:cs="宋体"/>
          <w:sz w:val="23"/>
          <w:szCs w:val="23"/>
        </w:rPr>
        <w:t xml:space="preserve"> </w:t>
      </w:r>
      <w:r>
        <w:rPr>
          <w:rFonts w:ascii="宋体" w:hAnsi="宋体" w:eastAsia="宋体" w:cs="宋体"/>
          <w:spacing w:val="12"/>
          <w:sz w:val="23"/>
          <w:szCs w:val="23"/>
        </w:rPr>
        <w:t>从</w:t>
      </w:r>
      <w:r>
        <w:rPr>
          <w:rFonts w:ascii="宋体" w:hAnsi="宋体" w:eastAsia="宋体" w:cs="宋体"/>
          <w:spacing w:val="7"/>
          <w:sz w:val="23"/>
          <w:szCs w:val="23"/>
        </w:rPr>
        <w:t>而改善了生猪肠道的微生态平衡，增强抗病能力，提高对饲料的吸收率，大大减少生猪粪</w:t>
      </w:r>
      <w:r>
        <w:rPr>
          <w:rFonts w:ascii="宋体" w:hAnsi="宋体" w:eastAsia="宋体" w:cs="宋体"/>
          <w:sz w:val="23"/>
          <w:szCs w:val="23"/>
        </w:rPr>
        <w:t xml:space="preserve"> </w:t>
      </w:r>
      <w:r>
        <w:rPr>
          <w:rFonts w:ascii="宋体" w:hAnsi="宋体" w:eastAsia="宋体" w:cs="宋体"/>
          <w:spacing w:val="7"/>
          <w:sz w:val="23"/>
          <w:szCs w:val="23"/>
        </w:rPr>
        <w:t>尿</w:t>
      </w:r>
      <w:r>
        <w:rPr>
          <w:rFonts w:ascii="宋体" w:hAnsi="宋体" w:eastAsia="宋体" w:cs="宋体"/>
          <w:spacing w:val="6"/>
          <w:sz w:val="23"/>
          <w:szCs w:val="23"/>
        </w:rPr>
        <w:t>的臭味。</w:t>
      </w:r>
    </w:p>
    <w:p w14:paraId="593A2636">
      <w:pPr>
        <w:spacing w:line="225" w:lineRule="auto"/>
        <w:ind w:left="488"/>
        <w:rPr>
          <w:rFonts w:ascii="宋体" w:hAnsi="宋体" w:eastAsia="宋体" w:cs="宋体"/>
          <w:sz w:val="23"/>
          <w:szCs w:val="23"/>
        </w:rPr>
      </w:pPr>
      <w:r>
        <w:rPr>
          <w:rFonts w:ascii="宋体" w:hAnsi="宋体" w:eastAsia="宋体" w:cs="宋体"/>
          <w:spacing w:val="7"/>
          <w:sz w:val="23"/>
          <w:szCs w:val="23"/>
        </w:rPr>
        <w:t>②将发酵菌种、锯木屑、谷壳、米糠按一定比例掺拌均匀并调整水分以利于发酵专用菌</w:t>
      </w:r>
    </w:p>
    <w:p w14:paraId="26D8C5D4">
      <w:pPr>
        <w:sectPr>
          <w:headerReference r:id="rId237" w:type="default"/>
          <w:footerReference r:id="rId238" w:type="default"/>
          <w:pgSz w:w="11906" w:h="16839"/>
          <w:pgMar w:top="1113" w:right="1054" w:bottom="1157" w:left="1275" w:header="878" w:footer="994" w:gutter="0"/>
          <w:cols w:space="720" w:num="1"/>
        </w:sectPr>
      </w:pPr>
    </w:p>
    <w:p w14:paraId="652A122E">
      <w:pPr>
        <w:spacing w:before="197" w:line="375" w:lineRule="auto"/>
        <w:ind w:left="11" w:right="82" w:hanging="1"/>
        <w:rPr>
          <w:rFonts w:ascii="宋体" w:hAnsi="宋体" w:eastAsia="宋体" w:cs="宋体"/>
          <w:sz w:val="23"/>
          <w:szCs w:val="23"/>
        </w:rPr>
      </w:pPr>
      <w:r>
        <w:rPr>
          <w:rFonts w:ascii="宋体" w:hAnsi="宋体" w:eastAsia="宋体" w:cs="宋体"/>
          <w:spacing w:val="12"/>
          <w:sz w:val="23"/>
          <w:szCs w:val="23"/>
        </w:rPr>
        <w:t>种</w:t>
      </w:r>
      <w:r>
        <w:rPr>
          <w:rFonts w:ascii="宋体" w:hAnsi="宋体" w:eastAsia="宋体" w:cs="宋体"/>
          <w:spacing w:val="7"/>
          <w:sz w:val="23"/>
          <w:szCs w:val="23"/>
        </w:rPr>
        <w:t>繁殖，经充分发酵后，放入发酵床中，在垫料中形成以发酵专用菌种为强势菌的生物发酵</w:t>
      </w:r>
      <w:r>
        <w:rPr>
          <w:rFonts w:ascii="宋体" w:hAnsi="宋体" w:eastAsia="宋体" w:cs="宋体"/>
          <w:sz w:val="23"/>
          <w:szCs w:val="23"/>
        </w:rPr>
        <w:t xml:space="preserve"> </w:t>
      </w:r>
      <w:r>
        <w:rPr>
          <w:rFonts w:ascii="宋体" w:hAnsi="宋体" w:eastAsia="宋体" w:cs="宋体"/>
          <w:spacing w:val="3"/>
          <w:sz w:val="23"/>
          <w:szCs w:val="23"/>
        </w:rPr>
        <w:t>垫料</w:t>
      </w:r>
      <w:r>
        <w:rPr>
          <w:rFonts w:ascii="宋体" w:hAnsi="宋体" w:eastAsia="宋体" w:cs="宋体"/>
          <w:spacing w:val="2"/>
          <w:sz w:val="23"/>
          <w:szCs w:val="23"/>
        </w:rPr>
        <w:t>。</w:t>
      </w:r>
    </w:p>
    <w:p w14:paraId="1A086972">
      <w:pPr>
        <w:spacing w:before="5" w:line="374" w:lineRule="auto"/>
        <w:ind w:left="10" w:firstLine="478"/>
        <w:rPr>
          <w:rFonts w:ascii="宋体" w:hAnsi="宋体" w:eastAsia="宋体" w:cs="宋体"/>
          <w:sz w:val="23"/>
          <w:szCs w:val="23"/>
        </w:rPr>
      </w:pPr>
      <w:r>
        <w:rPr>
          <w:rFonts w:ascii="宋体" w:hAnsi="宋体" w:eastAsia="宋体" w:cs="宋体"/>
          <w:spacing w:val="7"/>
          <w:sz w:val="23"/>
          <w:szCs w:val="23"/>
        </w:rPr>
        <w:t>③异位微生物发酵床建立后，将猪舍粪通过机械尿泡粪工艺清出，运至集污池，废水则</w:t>
      </w:r>
      <w:r>
        <w:rPr>
          <w:rFonts w:ascii="宋体" w:hAnsi="宋体" w:eastAsia="宋体" w:cs="宋体"/>
          <w:sz w:val="23"/>
          <w:szCs w:val="23"/>
        </w:rPr>
        <w:t xml:space="preserve"> </w:t>
      </w:r>
      <w:r>
        <w:rPr>
          <w:rFonts w:ascii="宋体" w:hAnsi="宋体" w:eastAsia="宋体" w:cs="宋体"/>
          <w:spacing w:val="12"/>
          <w:sz w:val="23"/>
          <w:szCs w:val="23"/>
        </w:rPr>
        <w:t>通</w:t>
      </w:r>
      <w:r>
        <w:rPr>
          <w:rFonts w:ascii="宋体" w:hAnsi="宋体" w:eastAsia="宋体" w:cs="宋体"/>
          <w:spacing w:val="7"/>
          <w:sz w:val="23"/>
          <w:szCs w:val="23"/>
        </w:rPr>
        <w:t>过专门的密闭管道收集，在集污池内充分搅拌，而后均匀喷洒至异位微生物发酵床的垫料</w:t>
      </w:r>
      <w:r>
        <w:rPr>
          <w:rFonts w:ascii="宋体" w:hAnsi="宋体" w:eastAsia="宋体" w:cs="宋体"/>
          <w:sz w:val="23"/>
          <w:szCs w:val="23"/>
        </w:rPr>
        <w:t xml:space="preserve"> </w:t>
      </w:r>
      <w:r>
        <w:rPr>
          <w:rFonts w:ascii="宋体" w:hAnsi="宋体" w:eastAsia="宋体" w:cs="宋体"/>
          <w:spacing w:val="6"/>
          <w:sz w:val="23"/>
          <w:szCs w:val="23"/>
        </w:rPr>
        <w:t>上。在发</w:t>
      </w:r>
      <w:r>
        <w:rPr>
          <w:rFonts w:ascii="宋体" w:hAnsi="宋体" w:eastAsia="宋体" w:cs="宋体"/>
          <w:spacing w:val="5"/>
          <w:sz w:val="23"/>
          <w:szCs w:val="23"/>
        </w:rPr>
        <w:t>酵</w:t>
      </w:r>
      <w:r>
        <w:rPr>
          <w:rFonts w:ascii="宋体" w:hAnsi="宋体" w:eastAsia="宋体" w:cs="宋体"/>
          <w:spacing w:val="3"/>
          <w:sz w:val="23"/>
          <w:szCs w:val="23"/>
        </w:rPr>
        <w:t>床内的翻抛机作用下，定时翻耙将粪污与发酵垫料混合均匀，粪污中氨、氮、碳、</w:t>
      </w:r>
      <w:r>
        <w:rPr>
          <w:rFonts w:ascii="宋体" w:hAnsi="宋体" w:eastAsia="宋体" w:cs="宋体"/>
          <w:sz w:val="23"/>
          <w:szCs w:val="23"/>
        </w:rPr>
        <w:t xml:space="preserve"> </w:t>
      </w:r>
      <w:r>
        <w:rPr>
          <w:rFonts w:ascii="宋体" w:hAnsi="宋体" w:eastAsia="宋体" w:cs="宋体"/>
          <w:spacing w:val="12"/>
          <w:sz w:val="23"/>
          <w:szCs w:val="23"/>
        </w:rPr>
        <w:t>磷</w:t>
      </w:r>
      <w:r>
        <w:rPr>
          <w:rFonts w:ascii="宋体" w:hAnsi="宋体" w:eastAsia="宋体" w:cs="宋体"/>
          <w:spacing w:val="7"/>
          <w:sz w:val="23"/>
          <w:szCs w:val="23"/>
        </w:rPr>
        <w:t>等元素为微生物的繁殖提供营养，污水为微生物的繁殖提供水份。由于是好氧发酵，要定</w:t>
      </w:r>
      <w:r>
        <w:rPr>
          <w:rFonts w:ascii="宋体" w:hAnsi="宋体" w:eastAsia="宋体" w:cs="宋体"/>
          <w:sz w:val="23"/>
          <w:szCs w:val="23"/>
        </w:rPr>
        <w:t xml:space="preserve"> </w:t>
      </w:r>
      <w:r>
        <w:rPr>
          <w:rFonts w:ascii="宋体" w:hAnsi="宋体" w:eastAsia="宋体" w:cs="宋体"/>
          <w:spacing w:val="6"/>
          <w:sz w:val="23"/>
          <w:szCs w:val="23"/>
        </w:rPr>
        <w:t xml:space="preserve">时将发酵垫料翻堆并鼓入空气，垫料 </w:t>
      </w:r>
      <w:r>
        <w:rPr>
          <w:rFonts w:ascii="Times New Roman" w:hAnsi="Times New Roman" w:eastAsia="Times New Roman" w:cs="Times New Roman"/>
          <w:spacing w:val="6"/>
          <w:sz w:val="23"/>
          <w:szCs w:val="23"/>
        </w:rPr>
        <w:t xml:space="preserve">1.5 </w:t>
      </w:r>
      <w:r>
        <w:rPr>
          <w:rFonts w:ascii="宋体" w:hAnsi="宋体" w:eastAsia="宋体" w:cs="宋体"/>
          <w:spacing w:val="6"/>
          <w:sz w:val="23"/>
          <w:szCs w:val="23"/>
        </w:rPr>
        <w:t>年更换一次</w:t>
      </w:r>
      <w:r>
        <w:rPr>
          <w:rFonts w:ascii="宋体" w:hAnsi="宋体" w:eastAsia="宋体" w:cs="宋体"/>
          <w:spacing w:val="4"/>
          <w:sz w:val="23"/>
          <w:szCs w:val="23"/>
        </w:rPr>
        <w:t>。</w:t>
      </w:r>
    </w:p>
    <w:p w14:paraId="4FC2021F">
      <w:pPr>
        <w:spacing w:before="1" w:line="374" w:lineRule="auto"/>
        <w:ind w:left="10" w:right="80" w:firstLine="480"/>
        <w:rPr>
          <w:rFonts w:ascii="宋体" w:hAnsi="宋体" w:eastAsia="宋体" w:cs="宋体"/>
          <w:sz w:val="23"/>
          <w:szCs w:val="23"/>
        </w:rPr>
      </w:pPr>
      <w:r>
        <w:rPr>
          <w:rFonts w:ascii="宋体" w:hAnsi="宋体" w:eastAsia="宋体" w:cs="宋体"/>
          <w:spacing w:val="12"/>
          <w:sz w:val="23"/>
          <w:szCs w:val="23"/>
        </w:rPr>
        <w:t>根据四川卫</w:t>
      </w:r>
      <w:r>
        <w:rPr>
          <w:rFonts w:ascii="宋体" w:hAnsi="宋体" w:eastAsia="宋体" w:cs="宋体"/>
          <w:spacing w:val="7"/>
          <w:sz w:val="23"/>
          <w:szCs w:val="23"/>
        </w:rPr>
        <w:t>美</w:t>
      </w:r>
      <w:r>
        <w:rPr>
          <w:rFonts w:ascii="宋体" w:hAnsi="宋体" w:eastAsia="宋体" w:cs="宋体"/>
          <w:spacing w:val="6"/>
          <w:sz w:val="23"/>
          <w:szCs w:val="23"/>
        </w:rPr>
        <w:t xml:space="preserve">农生态农业有限公司提供的经验，更换新的垫料，培养新的菌群约需要 </w:t>
      </w:r>
      <w:r>
        <w:rPr>
          <w:rFonts w:ascii="Times New Roman" w:hAnsi="Times New Roman" w:eastAsia="Times New Roman" w:cs="Times New Roman"/>
          <w:spacing w:val="6"/>
          <w:sz w:val="23"/>
          <w:szCs w:val="23"/>
        </w:rPr>
        <w:t>1</w:t>
      </w:r>
      <w:r>
        <w:rPr>
          <w:rFonts w:ascii="Times New Roman" w:hAnsi="Times New Roman" w:eastAsia="Times New Roman" w:cs="Times New Roman"/>
          <w:sz w:val="23"/>
          <w:szCs w:val="23"/>
        </w:rPr>
        <w:t xml:space="preserve"> </w:t>
      </w:r>
      <w:r>
        <w:rPr>
          <w:rFonts w:ascii="宋体" w:hAnsi="宋体" w:eastAsia="宋体" w:cs="宋体"/>
          <w:spacing w:val="10"/>
          <w:sz w:val="23"/>
          <w:szCs w:val="23"/>
        </w:rPr>
        <w:t>周时</w:t>
      </w:r>
      <w:r>
        <w:rPr>
          <w:rFonts w:ascii="宋体" w:hAnsi="宋体" w:eastAsia="宋体" w:cs="宋体"/>
          <w:spacing w:val="6"/>
          <w:sz w:val="23"/>
          <w:szCs w:val="23"/>
        </w:rPr>
        <w:t>间</w:t>
      </w:r>
      <w:r>
        <w:rPr>
          <w:rFonts w:ascii="宋体" w:hAnsi="宋体" w:eastAsia="宋体" w:cs="宋体"/>
          <w:spacing w:val="5"/>
          <w:sz w:val="23"/>
          <w:szCs w:val="23"/>
        </w:rPr>
        <w:t xml:space="preserve">，本项目将建设一个 </w:t>
      </w:r>
      <w:r>
        <w:rPr>
          <w:rFonts w:ascii="Times New Roman" w:hAnsi="Times New Roman" w:eastAsia="Times New Roman" w:cs="Times New Roman"/>
          <w:spacing w:val="5"/>
          <w:sz w:val="23"/>
          <w:szCs w:val="23"/>
        </w:rPr>
        <w:t>800</w:t>
      </w:r>
      <w:r>
        <w:rPr>
          <w:rFonts w:ascii="Times New Roman" w:hAnsi="Times New Roman" w:eastAsia="Times New Roman" w:cs="Times New Roman"/>
          <w:sz w:val="23"/>
          <w:szCs w:val="23"/>
        </w:rPr>
        <w:t>m</w:t>
      </w:r>
      <w:r>
        <w:rPr>
          <w:rFonts w:ascii="Times New Roman" w:hAnsi="Times New Roman" w:eastAsia="Times New Roman" w:cs="Times New Roman"/>
          <w:spacing w:val="5"/>
          <w:position w:val="7"/>
          <w:sz w:val="15"/>
          <w:szCs w:val="15"/>
        </w:rPr>
        <w:t xml:space="preserve">3 </w:t>
      </w:r>
      <w:r>
        <w:rPr>
          <w:rFonts w:ascii="宋体" w:hAnsi="宋体" w:eastAsia="宋体" w:cs="宋体"/>
          <w:spacing w:val="5"/>
          <w:sz w:val="23"/>
          <w:szCs w:val="23"/>
        </w:rPr>
        <w:t>的事故应急池，事故应急池可容纳项目产生的一个月粪污</w:t>
      </w:r>
      <w:r>
        <w:rPr>
          <w:rFonts w:ascii="宋体" w:hAnsi="宋体" w:eastAsia="宋体" w:cs="宋体"/>
          <w:sz w:val="23"/>
          <w:szCs w:val="23"/>
        </w:rPr>
        <w:t xml:space="preserve"> </w:t>
      </w:r>
      <w:r>
        <w:rPr>
          <w:rFonts w:ascii="宋体" w:hAnsi="宋体" w:eastAsia="宋体" w:cs="宋体"/>
          <w:spacing w:val="18"/>
          <w:sz w:val="23"/>
          <w:szCs w:val="23"/>
        </w:rPr>
        <w:t>量</w:t>
      </w:r>
      <w:r>
        <w:rPr>
          <w:rFonts w:ascii="宋体" w:hAnsi="宋体" w:eastAsia="宋体" w:cs="宋体"/>
          <w:spacing w:val="13"/>
          <w:sz w:val="23"/>
          <w:szCs w:val="23"/>
        </w:rPr>
        <w:t>，</w:t>
      </w:r>
      <w:r>
        <w:rPr>
          <w:rFonts w:ascii="宋体" w:hAnsi="宋体" w:eastAsia="宋体" w:cs="宋体"/>
          <w:spacing w:val="9"/>
          <w:sz w:val="23"/>
          <w:szCs w:val="23"/>
        </w:rPr>
        <w:t>项目在更换垫料及培养菌种期间，产生的粪污将暂存于事故应急池中。</w:t>
      </w:r>
    </w:p>
    <w:p w14:paraId="60D83295">
      <w:pPr>
        <w:spacing w:line="375" w:lineRule="auto"/>
        <w:ind w:left="11" w:right="82" w:firstLine="477"/>
        <w:rPr>
          <w:rFonts w:ascii="宋体" w:hAnsi="宋体" w:eastAsia="宋体" w:cs="宋体"/>
          <w:sz w:val="23"/>
          <w:szCs w:val="23"/>
        </w:rPr>
      </w:pPr>
      <w:r>
        <w:rPr>
          <w:rFonts w:ascii="宋体" w:hAnsi="宋体" w:eastAsia="宋体" w:cs="宋体"/>
          <w:spacing w:val="7"/>
          <w:sz w:val="23"/>
          <w:szCs w:val="23"/>
        </w:rPr>
        <w:t>④猪只体内排泄出来的益生菌和微生物发酵床垫料中的益生菌产生的多种酶类，将猪排</w:t>
      </w:r>
      <w:r>
        <w:rPr>
          <w:rFonts w:ascii="宋体" w:hAnsi="宋体" w:eastAsia="宋体" w:cs="宋体"/>
          <w:sz w:val="23"/>
          <w:szCs w:val="23"/>
        </w:rPr>
        <w:t xml:space="preserve"> </w:t>
      </w:r>
      <w:r>
        <w:rPr>
          <w:rFonts w:ascii="宋体" w:hAnsi="宋体" w:eastAsia="宋体" w:cs="宋体"/>
          <w:spacing w:val="11"/>
          <w:sz w:val="23"/>
          <w:szCs w:val="23"/>
        </w:rPr>
        <w:t>泄</w:t>
      </w:r>
      <w:r>
        <w:rPr>
          <w:rFonts w:ascii="宋体" w:hAnsi="宋体" w:eastAsia="宋体" w:cs="宋体"/>
          <w:spacing w:val="7"/>
          <w:sz w:val="23"/>
          <w:szCs w:val="23"/>
        </w:rPr>
        <w:t>物中的蛋白质、碳水化合物、脂肪等有机质进行有效分解和作为垫料中益生菌代谢所需营</w:t>
      </w:r>
      <w:r>
        <w:rPr>
          <w:rFonts w:ascii="宋体" w:hAnsi="宋体" w:eastAsia="宋体" w:cs="宋体"/>
          <w:sz w:val="23"/>
          <w:szCs w:val="23"/>
        </w:rPr>
        <w:t xml:space="preserve"> </w:t>
      </w:r>
      <w:r>
        <w:rPr>
          <w:rFonts w:ascii="宋体" w:hAnsi="宋体" w:eastAsia="宋体" w:cs="宋体"/>
          <w:spacing w:val="11"/>
          <w:sz w:val="23"/>
          <w:szCs w:val="23"/>
        </w:rPr>
        <w:t>养</w:t>
      </w:r>
      <w:r>
        <w:rPr>
          <w:rFonts w:ascii="宋体" w:hAnsi="宋体" w:eastAsia="宋体" w:cs="宋体"/>
          <w:spacing w:val="7"/>
          <w:sz w:val="23"/>
          <w:szCs w:val="23"/>
        </w:rPr>
        <w:t>素 (碳源、氮源) 被消化。</w:t>
      </w:r>
    </w:p>
    <w:p w14:paraId="6119575E">
      <w:pPr>
        <w:spacing w:before="2" w:line="373" w:lineRule="auto"/>
        <w:ind w:left="10" w:right="80" w:firstLine="478"/>
        <w:rPr>
          <w:rFonts w:ascii="宋体" w:hAnsi="宋体" w:eastAsia="宋体" w:cs="宋体"/>
          <w:sz w:val="23"/>
          <w:szCs w:val="23"/>
        </w:rPr>
      </w:pPr>
      <w:r>
        <w:rPr>
          <w:rFonts w:ascii="宋体" w:hAnsi="宋体" w:eastAsia="宋体" w:cs="宋体"/>
          <w:spacing w:val="7"/>
          <w:sz w:val="23"/>
          <w:szCs w:val="23"/>
        </w:rPr>
        <w:t>⑤垫料体中微生物大量繁殖，并分解有机物，释放出大量热量，由于发酵床垫料厚度最</w:t>
      </w:r>
      <w:r>
        <w:rPr>
          <w:rFonts w:ascii="宋体" w:hAnsi="宋体" w:eastAsia="宋体" w:cs="宋体"/>
          <w:sz w:val="23"/>
          <w:szCs w:val="23"/>
        </w:rPr>
        <w:t xml:space="preserve"> </w:t>
      </w:r>
      <w:r>
        <w:rPr>
          <w:rFonts w:ascii="宋体" w:hAnsi="宋体" w:eastAsia="宋体" w:cs="宋体"/>
          <w:spacing w:val="13"/>
          <w:sz w:val="23"/>
          <w:szCs w:val="23"/>
        </w:rPr>
        <w:t>高</w:t>
      </w:r>
      <w:r>
        <w:rPr>
          <w:rFonts w:ascii="宋体" w:hAnsi="宋体" w:eastAsia="宋体" w:cs="宋体"/>
          <w:spacing w:val="7"/>
          <w:sz w:val="23"/>
          <w:szCs w:val="23"/>
        </w:rPr>
        <w:t xml:space="preserve">可达到 </w:t>
      </w:r>
      <w:r>
        <w:rPr>
          <w:rFonts w:ascii="Times New Roman" w:hAnsi="Times New Roman" w:eastAsia="Times New Roman" w:cs="Times New Roman"/>
          <w:spacing w:val="7"/>
          <w:sz w:val="23"/>
          <w:szCs w:val="23"/>
        </w:rPr>
        <w:t>1</w:t>
      </w:r>
      <w:r>
        <w:rPr>
          <w:rFonts w:ascii="宋体" w:hAnsi="宋体" w:eastAsia="宋体" w:cs="宋体"/>
          <w:spacing w:val="7"/>
          <w:sz w:val="23"/>
          <w:szCs w:val="23"/>
        </w:rPr>
        <w:t>~</w:t>
      </w:r>
      <w:r>
        <w:rPr>
          <w:rFonts w:ascii="Times New Roman" w:hAnsi="Times New Roman" w:eastAsia="Times New Roman" w:cs="Times New Roman"/>
          <w:spacing w:val="7"/>
          <w:sz w:val="23"/>
          <w:szCs w:val="23"/>
        </w:rPr>
        <w:t>2</w:t>
      </w:r>
      <w:r>
        <w:rPr>
          <w:rFonts w:ascii="Times New Roman" w:hAnsi="Times New Roman" w:eastAsia="Times New Roman" w:cs="Times New Roman"/>
          <w:sz w:val="23"/>
          <w:szCs w:val="23"/>
        </w:rPr>
        <w:t>m</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 xml:space="preserve">高。通常情况下，垫料堆积 </w:t>
      </w:r>
      <w:r>
        <w:rPr>
          <w:rFonts w:ascii="Times New Roman" w:hAnsi="Times New Roman" w:eastAsia="Times New Roman" w:cs="Times New Roman"/>
          <w:spacing w:val="7"/>
          <w:sz w:val="23"/>
          <w:szCs w:val="23"/>
        </w:rPr>
        <w:t>24</w:t>
      </w:r>
      <w:r>
        <w:rPr>
          <w:rFonts w:ascii="Times New Roman" w:hAnsi="Times New Roman" w:eastAsia="Times New Roman" w:cs="Times New Roman"/>
          <w:sz w:val="23"/>
          <w:szCs w:val="23"/>
        </w:rPr>
        <w:t>h</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后，</w:t>
      </w:r>
      <w:r>
        <w:rPr>
          <w:rFonts w:ascii="Times New Roman" w:hAnsi="Times New Roman" w:eastAsia="Times New Roman" w:cs="Times New Roman"/>
          <w:spacing w:val="7"/>
          <w:sz w:val="23"/>
          <w:szCs w:val="23"/>
        </w:rPr>
        <w:t>35</w:t>
      </w:r>
      <w:r>
        <w:rPr>
          <w:rFonts w:ascii="Times New Roman" w:hAnsi="Times New Roman" w:eastAsia="Times New Roman" w:cs="Times New Roman"/>
          <w:sz w:val="23"/>
          <w:szCs w:val="23"/>
        </w:rPr>
        <w:t>cm</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深度的温度应当升至</w:t>
      </w:r>
      <w:r>
        <w:rPr>
          <w:rFonts w:ascii="Times New Roman" w:hAnsi="Times New Roman" w:eastAsia="Times New Roman" w:cs="Times New Roman"/>
          <w:spacing w:val="7"/>
          <w:sz w:val="23"/>
          <w:szCs w:val="23"/>
        </w:rPr>
        <w:t>40</w:t>
      </w:r>
      <w:r>
        <w:rPr>
          <w:rFonts w:ascii="宋体" w:hAnsi="宋体" w:eastAsia="宋体" w:cs="宋体"/>
          <w:spacing w:val="7"/>
          <w:sz w:val="23"/>
          <w:szCs w:val="23"/>
        </w:rPr>
        <w:t>℃ ，</w:t>
      </w:r>
      <w:r>
        <w:rPr>
          <w:rFonts w:ascii="Times New Roman" w:hAnsi="Times New Roman" w:eastAsia="Times New Roman" w:cs="Times New Roman"/>
          <w:spacing w:val="7"/>
          <w:sz w:val="23"/>
          <w:szCs w:val="23"/>
        </w:rPr>
        <w:t>72</w:t>
      </w:r>
      <w:r>
        <w:rPr>
          <w:rFonts w:ascii="Times New Roman" w:hAnsi="Times New Roman" w:eastAsia="Times New Roman" w:cs="Times New Roman"/>
          <w:sz w:val="23"/>
          <w:szCs w:val="23"/>
        </w:rPr>
        <w:t xml:space="preserve">h </w:t>
      </w:r>
      <w:r>
        <w:rPr>
          <w:rFonts w:ascii="宋体" w:hAnsi="宋体" w:eastAsia="宋体" w:cs="宋体"/>
          <w:spacing w:val="18"/>
          <w:sz w:val="23"/>
          <w:szCs w:val="23"/>
        </w:rPr>
        <w:t>应当升</w:t>
      </w:r>
      <w:r>
        <w:rPr>
          <w:rFonts w:ascii="宋体" w:hAnsi="宋体" w:eastAsia="宋体" w:cs="宋体"/>
          <w:spacing w:val="12"/>
          <w:sz w:val="23"/>
          <w:szCs w:val="23"/>
        </w:rPr>
        <w:t>至</w:t>
      </w:r>
      <w:r>
        <w:rPr>
          <w:rFonts w:ascii="宋体" w:hAnsi="宋体" w:eastAsia="宋体" w:cs="宋体"/>
          <w:spacing w:val="9"/>
          <w:sz w:val="23"/>
          <w:szCs w:val="23"/>
        </w:rPr>
        <w:t xml:space="preserve"> </w:t>
      </w:r>
      <w:r>
        <w:rPr>
          <w:rFonts w:ascii="Times New Roman" w:hAnsi="Times New Roman" w:eastAsia="Times New Roman" w:cs="Times New Roman"/>
          <w:spacing w:val="9"/>
          <w:sz w:val="23"/>
          <w:szCs w:val="23"/>
        </w:rPr>
        <w:t>60</w:t>
      </w:r>
      <w:r>
        <w:rPr>
          <w:rFonts w:ascii="宋体" w:hAnsi="宋体" w:eastAsia="宋体" w:cs="宋体"/>
          <w:spacing w:val="9"/>
          <w:sz w:val="23"/>
          <w:szCs w:val="23"/>
        </w:rPr>
        <w:t>℃以上，当水分过多和环境温度过低时上述升温时间会稍有延后。垫料池横向</w:t>
      </w:r>
      <w:r>
        <w:rPr>
          <w:rFonts w:ascii="宋体" w:hAnsi="宋体" w:eastAsia="宋体" w:cs="宋体"/>
          <w:sz w:val="23"/>
          <w:szCs w:val="23"/>
        </w:rPr>
        <w:t xml:space="preserve"> </w:t>
      </w:r>
      <w:r>
        <w:rPr>
          <w:rFonts w:ascii="宋体" w:hAnsi="宋体" w:eastAsia="宋体" w:cs="宋体"/>
          <w:spacing w:val="18"/>
          <w:sz w:val="23"/>
          <w:szCs w:val="23"/>
        </w:rPr>
        <w:t xml:space="preserve">间隔 </w:t>
      </w:r>
      <w:r>
        <w:rPr>
          <w:rFonts w:ascii="Times New Roman" w:hAnsi="Times New Roman" w:eastAsia="Times New Roman" w:cs="Times New Roman"/>
          <w:spacing w:val="12"/>
          <w:sz w:val="23"/>
          <w:szCs w:val="23"/>
        </w:rPr>
        <w:t>3</w:t>
      </w:r>
      <w:r>
        <w:rPr>
          <w:rFonts w:ascii="宋体" w:hAnsi="宋体" w:eastAsia="宋体" w:cs="宋体"/>
          <w:spacing w:val="9"/>
          <w:sz w:val="23"/>
          <w:szCs w:val="23"/>
        </w:rPr>
        <w:t>~</w:t>
      </w:r>
      <w:r>
        <w:rPr>
          <w:rFonts w:ascii="Times New Roman" w:hAnsi="Times New Roman" w:eastAsia="Times New Roman" w:cs="Times New Roman"/>
          <w:spacing w:val="9"/>
          <w:sz w:val="23"/>
          <w:szCs w:val="23"/>
        </w:rPr>
        <w:t>4</w:t>
      </w:r>
      <w:r>
        <w:rPr>
          <w:rFonts w:ascii="Times New Roman" w:hAnsi="Times New Roman" w:eastAsia="Times New Roman" w:cs="Times New Roman"/>
          <w:sz w:val="23"/>
          <w:szCs w:val="23"/>
        </w:rPr>
        <w:t>m</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 xml:space="preserve">测一个温度的检测点，每个点的温度基本一致，且在 </w:t>
      </w:r>
      <w:r>
        <w:rPr>
          <w:rFonts w:ascii="Times New Roman" w:hAnsi="Times New Roman" w:eastAsia="Times New Roman" w:cs="Times New Roman"/>
          <w:spacing w:val="9"/>
          <w:sz w:val="23"/>
          <w:szCs w:val="23"/>
        </w:rPr>
        <w:t>60</w:t>
      </w:r>
      <w:r>
        <w:rPr>
          <w:rFonts w:ascii="宋体" w:hAnsi="宋体" w:eastAsia="宋体" w:cs="宋体"/>
          <w:spacing w:val="9"/>
          <w:sz w:val="23"/>
          <w:szCs w:val="23"/>
        </w:rPr>
        <w:t xml:space="preserve">℃以上持续 </w:t>
      </w:r>
      <w:r>
        <w:rPr>
          <w:rFonts w:ascii="Times New Roman" w:hAnsi="Times New Roman" w:eastAsia="Times New Roman" w:cs="Times New Roman"/>
          <w:spacing w:val="9"/>
          <w:sz w:val="23"/>
          <w:szCs w:val="23"/>
        </w:rPr>
        <w:t>24~48</w:t>
      </w:r>
      <w:r>
        <w:rPr>
          <w:rFonts w:ascii="Times New Roman" w:hAnsi="Times New Roman" w:eastAsia="Times New Roman" w:cs="Times New Roman"/>
          <w:sz w:val="23"/>
          <w:szCs w:val="23"/>
        </w:rPr>
        <w:t>h</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以</w:t>
      </w:r>
      <w:r>
        <w:rPr>
          <w:rFonts w:ascii="宋体" w:hAnsi="宋体" w:eastAsia="宋体" w:cs="宋体"/>
          <w:sz w:val="23"/>
          <w:szCs w:val="23"/>
        </w:rPr>
        <w:t xml:space="preserve"> </w:t>
      </w:r>
      <w:r>
        <w:rPr>
          <w:rFonts w:ascii="宋体" w:hAnsi="宋体" w:eastAsia="宋体" w:cs="宋体"/>
          <w:spacing w:val="12"/>
          <w:sz w:val="23"/>
          <w:szCs w:val="23"/>
        </w:rPr>
        <w:t>上，说明发</w:t>
      </w:r>
      <w:r>
        <w:rPr>
          <w:rFonts w:ascii="宋体" w:hAnsi="宋体" w:eastAsia="宋体" w:cs="宋体"/>
          <w:spacing w:val="9"/>
          <w:sz w:val="23"/>
          <w:szCs w:val="23"/>
        </w:rPr>
        <w:t>酵</w:t>
      </w:r>
      <w:r>
        <w:rPr>
          <w:rFonts w:ascii="宋体" w:hAnsi="宋体" w:eastAsia="宋体" w:cs="宋体"/>
          <w:spacing w:val="6"/>
          <w:sz w:val="23"/>
          <w:szCs w:val="23"/>
        </w:rPr>
        <w:t>成功。发酵成功后即可平铺使用。其垫料中心温度最高可达</w:t>
      </w:r>
      <w:r>
        <w:rPr>
          <w:rFonts w:ascii="Times New Roman" w:hAnsi="Times New Roman" w:eastAsia="Times New Roman" w:cs="Times New Roman"/>
          <w:spacing w:val="6"/>
          <w:sz w:val="23"/>
          <w:szCs w:val="23"/>
        </w:rPr>
        <w:t>70</w:t>
      </w:r>
      <w:r>
        <w:rPr>
          <w:rFonts w:ascii="宋体" w:hAnsi="宋体" w:eastAsia="宋体" w:cs="宋体"/>
          <w:spacing w:val="6"/>
          <w:sz w:val="23"/>
          <w:szCs w:val="23"/>
        </w:rPr>
        <w:t>℃ ， 日夜蒸发</w:t>
      </w:r>
      <w:r>
        <w:rPr>
          <w:rFonts w:ascii="宋体" w:hAnsi="宋体" w:eastAsia="宋体" w:cs="宋体"/>
          <w:sz w:val="23"/>
          <w:szCs w:val="23"/>
        </w:rPr>
        <w:t xml:space="preserve"> </w:t>
      </w:r>
      <w:r>
        <w:rPr>
          <w:rFonts w:ascii="宋体" w:hAnsi="宋体" w:eastAsia="宋体" w:cs="宋体"/>
          <w:spacing w:val="16"/>
          <w:sz w:val="23"/>
          <w:szCs w:val="23"/>
        </w:rPr>
        <w:t>大</w:t>
      </w:r>
      <w:r>
        <w:rPr>
          <w:rFonts w:ascii="宋体" w:hAnsi="宋体" w:eastAsia="宋体" w:cs="宋体"/>
          <w:spacing w:val="9"/>
          <w:sz w:val="23"/>
          <w:szCs w:val="23"/>
        </w:rPr>
        <w:t>量水分，从而实现污水资源化利用，保证污水不对外排放。</w:t>
      </w:r>
    </w:p>
    <w:p w14:paraId="243997CD">
      <w:pPr>
        <w:spacing w:before="10" w:line="227" w:lineRule="auto"/>
        <w:ind w:left="490"/>
        <w:rPr>
          <w:rFonts w:ascii="宋体" w:hAnsi="宋体" w:eastAsia="宋体" w:cs="宋体"/>
          <w:sz w:val="23"/>
          <w:szCs w:val="23"/>
        </w:rPr>
      </w:pPr>
      <w:r>
        <w:rPr>
          <w:rFonts w:ascii="Times New Roman" w:hAnsi="Times New Roman" w:eastAsia="Times New Roman" w:cs="Times New Roman"/>
          <w:spacing w:val="9"/>
          <w:sz w:val="23"/>
          <w:szCs w:val="23"/>
        </w:rPr>
        <w:t>3</w:t>
      </w:r>
      <w:r>
        <w:rPr>
          <w:rFonts w:ascii="宋体" w:hAnsi="宋体" w:eastAsia="宋体" w:cs="宋体"/>
          <w:spacing w:val="6"/>
          <w:sz w:val="23"/>
          <w:szCs w:val="23"/>
        </w:rPr>
        <w:t>) 技术优点</w:t>
      </w:r>
    </w:p>
    <w:p w14:paraId="50816777">
      <w:pPr>
        <w:spacing w:before="183" w:line="375" w:lineRule="auto"/>
        <w:ind w:left="9" w:right="82" w:firstLine="480"/>
        <w:rPr>
          <w:rFonts w:ascii="宋体" w:hAnsi="宋体" w:eastAsia="宋体" w:cs="宋体"/>
          <w:sz w:val="23"/>
          <w:szCs w:val="23"/>
        </w:rPr>
      </w:pPr>
      <w:r>
        <w:rPr>
          <w:rFonts w:ascii="宋体" w:hAnsi="宋体" w:eastAsia="宋体" w:cs="宋体"/>
          <w:spacing w:val="7"/>
          <w:sz w:val="23"/>
          <w:szCs w:val="23"/>
        </w:rPr>
        <w:t>①较好地解决了养猪对环境的污染。本项目利用高架网床漏缝技术，将猪舍内生猪粪</w:t>
      </w:r>
      <w:r>
        <w:rPr>
          <w:rFonts w:ascii="宋体" w:hAnsi="宋体" w:eastAsia="宋体" w:cs="宋体"/>
          <w:spacing w:val="6"/>
          <w:sz w:val="23"/>
          <w:szCs w:val="23"/>
        </w:rPr>
        <w:t>及</w:t>
      </w:r>
      <w:r>
        <w:rPr>
          <w:rFonts w:ascii="宋体" w:hAnsi="宋体" w:eastAsia="宋体" w:cs="宋体"/>
          <w:sz w:val="23"/>
          <w:szCs w:val="23"/>
        </w:rPr>
        <w:t xml:space="preserve"> </w:t>
      </w:r>
      <w:r>
        <w:rPr>
          <w:rFonts w:ascii="宋体" w:hAnsi="宋体" w:eastAsia="宋体" w:cs="宋体"/>
          <w:spacing w:val="12"/>
          <w:sz w:val="23"/>
          <w:szCs w:val="23"/>
        </w:rPr>
        <w:t>废</w:t>
      </w:r>
      <w:r>
        <w:rPr>
          <w:rFonts w:ascii="宋体" w:hAnsi="宋体" w:eastAsia="宋体" w:cs="宋体"/>
          <w:spacing w:val="7"/>
          <w:sz w:val="23"/>
          <w:szCs w:val="23"/>
        </w:rPr>
        <w:t>水收集后用于异位微生物发酵床发酵，利用特种微生物迅速有效地降解、消化粪污中的有</w:t>
      </w:r>
      <w:r>
        <w:rPr>
          <w:rFonts w:ascii="宋体" w:hAnsi="宋体" w:eastAsia="宋体" w:cs="宋体"/>
          <w:sz w:val="23"/>
          <w:szCs w:val="23"/>
        </w:rPr>
        <w:t xml:space="preserve"> </w:t>
      </w:r>
      <w:r>
        <w:rPr>
          <w:rFonts w:ascii="宋体" w:hAnsi="宋体" w:eastAsia="宋体" w:cs="宋体"/>
          <w:spacing w:val="20"/>
          <w:sz w:val="23"/>
          <w:szCs w:val="23"/>
        </w:rPr>
        <w:t>机化</w:t>
      </w:r>
      <w:r>
        <w:rPr>
          <w:rFonts w:ascii="宋体" w:hAnsi="宋体" w:eastAsia="宋体" w:cs="宋体"/>
          <w:spacing w:val="18"/>
          <w:sz w:val="23"/>
          <w:szCs w:val="23"/>
        </w:rPr>
        <w:t>合</w:t>
      </w:r>
      <w:r>
        <w:rPr>
          <w:rFonts w:ascii="宋体" w:hAnsi="宋体" w:eastAsia="宋体" w:cs="宋体"/>
          <w:spacing w:val="10"/>
          <w:sz w:val="23"/>
          <w:szCs w:val="23"/>
        </w:rPr>
        <w:t xml:space="preserve">物。最终转化为 </w:t>
      </w:r>
      <w:r>
        <w:rPr>
          <w:rFonts w:ascii="Times New Roman" w:hAnsi="Times New Roman" w:eastAsia="Times New Roman" w:cs="Times New Roman"/>
          <w:sz w:val="23"/>
          <w:szCs w:val="23"/>
        </w:rPr>
        <w:t>CO</w:t>
      </w:r>
      <w:r>
        <w:rPr>
          <w:rFonts w:ascii="Times New Roman" w:hAnsi="Times New Roman" w:eastAsia="Times New Roman" w:cs="Times New Roman"/>
          <w:spacing w:val="10"/>
          <w:position w:val="-1"/>
          <w:sz w:val="15"/>
          <w:szCs w:val="15"/>
        </w:rPr>
        <w:t xml:space="preserve">2 </w:t>
      </w:r>
      <w:r>
        <w:rPr>
          <w:rFonts w:ascii="宋体" w:hAnsi="宋体" w:eastAsia="宋体" w:cs="宋体"/>
          <w:spacing w:val="10"/>
          <w:sz w:val="23"/>
          <w:szCs w:val="23"/>
        </w:rPr>
        <w:t>和水，水分通过蒸发，排入大气，从而没有任何废弃物排出养</w:t>
      </w:r>
      <w:r>
        <w:rPr>
          <w:rFonts w:ascii="宋体" w:hAnsi="宋体" w:eastAsia="宋体" w:cs="宋体"/>
          <w:sz w:val="23"/>
          <w:szCs w:val="23"/>
        </w:rPr>
        <w:t xml:space="preserve"> </w:t>
      </w:r>
      <w:r>
        <w:rPr>
          <w:rFonts w:ascii="宋体" w:hAnsi="宋体" w:eastAsia="宋体" w:cs="宋体"/>
          <w:spacing w:val="16"/>
          <w:sz w:val="23"/>
          <w:szCs w:val="23"/>
        </w:rPr>
        <w:t>猪</w:t>
      </w:r>
      <w:r>
        <w:rPr>
          <w:rFonts w:ascii="宋体" w:hAnsi="宋体" w:eastAsia="宋体" w:cs="宋体"/>
          <w:spacing w:val="9"/>
          <w:sz w:val="23"/>
          <w:szCs w:val="23"/>
        </w:rPr>
        <w:t>场，真正达到养殖废物资源化利用，不对外排污的目的。</w:t>
      </w:r>
    </w:p>
    <w:p w14:paraId="0F6B31D3">
      <w:pPr>
        <w:spacing w:before="2" w:line="374" w:lineRule="auto"/>
        <w:ind w:left="10" w:right="21" w:firstLine="478"/>
        <w:rPr>
          <w:rFonts w:ascii="宋体" w:hAnsi="宋体" w:eastAsia="宋体" w:cs="宋体"/>
          <w:sz w:val="23"/>
          <w:szCs w:val="23"/>
        </w:rPr>
      </w:pPr>
      <w:r>
        <w:rPr>
          <w:rFonts w:ascii="宋体" w:hAnsi="宋体" w:eastAsia="宋体" w:cs="宋体"/>
          <w:spacing w:val="4"/>
          <w:sz w:val="23"/>
          <w:szCs w:val="23"/>
        </w:rPr>
        <w:t>②异位微生物发酵床有</w:t>
      </w:r>
      <w:r>
        <w:rPr>
          <w:rFonts w:ascii="宋体" w:hAnsi="宋体" w:eastAsia="宋体" w:cs="宋体"/>
          <w:spacing w:val="2"/>
          <w:sz w:val="23"/>
          <w:szCs w:val="23"/>
        </w:rPr>
        <w:t>利于改善猪舍环境，使猪舍通风透气、温湿度均适合于猪的生长，</w:t>
      </w:r>
      <w:r>
        <w:rPr>
          <w:rFonts w:ascii="宋体" w:hAnsi="宋体" w:eastAsia="宋体" w:cs="宋体"/>
          <w:sz w:val="23"/>
          <w:szCs w:val="23"/>
        </w:rPr>
        <w:t xml:space="preserve"> </w:t>
      </w:r>
      <w:r>
        <w:rPr>
          <w:rFonts w:ascii="宋体" w:hAnsi="宋体" w:eastAsia="宋体" w:cs="宋体"/>
          <w:spacing w:val="16"/>
          <w:sz w:val="23"/>
          <w:szCs w:val="23"/>
        </w:rPr>
        <w:t>猪</w:t>
      </w:r>
      <w:r>
        <w:rPr>
          <w:rFonts w:ascii="宋体" w:hAnsi="宋体" w:eastAsia="宋体" w:cs="宋体"/>
          <w:spacing w:val="10"/>
          <w:sz w:val="23"/>
          <w:szCs w:val="23"/>
        </w:rPr>
        <w:t>舍</w:t>
      </w:r>
      <w:r>
        <w:rPr>
          <w:rFonts w:ascii="宋体" w:hAnsi="宋体" w:eastAsia="宋体" w:cs="宋体"/>
          <w:spacing w:val="8"/>
          <w:sz w:val="23"/>
          <w:szCs w:val="23"/>
        </w:rPr>
        <w:t>里不会臭气冲天和苍蝇滋生。</w:t>
      </w:r>
    </w:p>
    <w:p w14:paraId="1E632D38">
      <w:pPr>
        <w:spacing w:before="1" w:line="374" w:lineRule="auto"/>
        <w:ind w:left="9" w:right="82" w:firstLine="479"/>
        <w:rPr>
          <w:rFonts w:ascii="宋体" w:hAnsi="宋体" w:eastAsia="宋体" w:cs="宋体"/>
          <w:sz w:val="23"/>
          <w:szCs w:val="23"/>
        </w:rPr>
      </w:pPr>
      <w:r>
        <w:rPr>
          <w:rFonts w:ascii="宋体" w:hAnsi="宋体" w:eastAsia="宋体" w:cs="宋体"/>
          <w:spacing w:val="7"/>
          <w:sz w:val="23"/>
          <w:szCs w:val="23"/>
        </w:rPr>
        <w:t>③提高饲料利用率。在饲料中按一定比例添加益生菌等饲料添加剂，可相互作用而产生</w:t>
      </w:r>
      <w:r>
        <w:rPr>
          <w:rFonts w:ascii="宋体" w:hAnsi="宋体" w:eastAsia="宋体" w:cs="宋体"/>
          <w:sz w:val="23"/>
          <w:szCs w:val="23"/>
        </w:rPr>
        <w:t xml:space="preserve"> </w:t>
      </w:r>
      <w:r>
        <w:rPr>
          <w:rFonts w:ascii="宋体" w:hAnsi="宋体" w:eastAsia="宋体" w:cs="宋体"/>
          <w:spacing w:val="12"/>
          <w:sz w:val="23"/>
          <w:szCs w:val="23"/>
        </w:rPr>
        <w:t>代</w:t>
      </w:r>
      <w:r>
        <w:rPr>
          <w:rFonts w:ascii="宋体" w:hAnsi="宋体" w:eastAsia="宋体" w:cs="宋体"/>
          <w:spacing w:val="7"/>
          <w:sz w:val="23"/>
          <w:szCs w:val="23"/>
        </w:rPr>
        <w:t>谢物质和淀粉酶、蛋白酶、纤维酶等，同时还耗去肠道内的氧气，给乳酸菌的繁殖创造了</w:t>
      </w:r>
      <w:r>
        <w:rPr>
          <w:rFonts w:ascii="宋体" w:hAnsi="宋体" w:eastAsia="宋体" w:cs="宋体"/>
          <w:sz w:val="23"/>
          <w:szCs w:val="23"/>
        </w:rPr>
        <w:t xml:space="preserve"> </w:t>
      </w:r>
      <w:r>
        <w:rPr>
          <w:rFonts w:ascii="宋体" w:hAnsi="宋体" w:eastAsia="宋体" w:cs="宋体"/>
          <w:spacing w:val="14"/>
          <w:sz w:val="23"/>
          <w:szCs w:val="23"/>
        </w:rPr>
        <w:t>良好的生</w:t>
      </w:r>
      <w:r>
        <w:rPr>
          <w:rFonts w:ascii="宋体" w:hAnsi="宋体" w:eastAsia="宋体" w:cs="宋体"/>
          <w:spacing w:val="8"/>
          <w:sz w:val="23"/>
          <w:szCs w:val="23"/>
        </w:rPr>
        <w:t>长</w:t>
      </w:r>
      <w:r>
        <w:rPr>
          <w:rFonts w:ascii="宋体" w:hAnsi="宋体" w:eastAsia="宋体" w:cs="宋体"/>
          <w:spacing w:val="7"/>
          <w:sz w:val="23"/>
          <w:szCs w:val="23"/>
        </w:rPr>
        <w:t xml:space="preserve">环境，改善猪的肠道功能，提高饲料的转化率，一般可以节省饲料 </w:t>
      </w:r>
      <w:r>
        <w:rPr>
          <w:rFonts w:ascii="Times New Roman" w:hAnsi="Times New Roman" w:eastAsia="Times New Roman" w:cs="Times New Roman"/>
          <w:spacing w:val="7"/>
          <w:sz w:val="23"/>
          <w:szCs w:val="23"/>
        </w:rPr>
        <w:t>12</w:t>
      </w:r>
      <w:r>
        <w:rPr>
          <w:rFonts w:ascii="宋体" w:hAnsi="宋体" w:eastAsia="宋体" w:cs="宋体"/>
          <w:spacing w:val="7"/>
          <w:sz w:val="23"/>
          <w:szCs w:val="23"/>
        </w:rPr>
        <w:t>％左右。</w:t>
      </w:r>
    </w:p>
    <w:p w14:paraId="5DCA6E58">
      <w:pPr>
        <w:spacing w:line="225" w:lineRule="auto"/>
        <w:ind w:left="488"/>
        <w:rPr>
          <w:rFonts w:ascii="宋体" w:hAnsi="宋体" w:eastAsia="宋体" w:cs="宋体"/>
          <w:sz w:val="23"/>
          <w:szCs w:val="23"/>
        </w:rPr>
      </w:pPr>
      <w:r>
        <w:rPr>
          <w:rFonts w:ascii="宋体" w:hAnsi="宋体" w:eastAsia="宋体" w:cs="宋体"/>
          <w:spacing w:val="7"/>
          <w:sz w:val="23"/>
          <w:szCs w:val="23"/>
        </w:rPr>
        <w:t>④变废为宝。发酵床垫料在使用一至三年后，形成可直接用于果树、农作物的生物有机</w:t>
      </w:r>
    </w:p>
    <w:p w14:paraId="39F81E3B">
      <w:pPr>
        <w:spacing w:before="187" w:line="227" w:lineRule="auto"/>
        <w:ind w:left="10"/>
        <w:rPr>
          <w:rFonts w:ascii="宋体" w:hAnsi="宋体" w:eastAsia="宋体" w:cs="宋体"/>
          <w:sz w:val="23"/>
          <w:szCs w:val="23"/>
        </w:rPr>
      </w:pPr>
      <w:r>
        <w:rPr>
          <w:rFonts w:ascii="宋体" w:hAnsi="宋体" w:eastAsia="宋体" w:cs="宋体"/>
          <w:spacing w:val="9"/>
          <w:sz w:val="23"/>
          <w:szCs w:val="23"/>
        </w:rPr>
        <w:t>肥，达到循环利用、变废为宝的效果</w:t>
      </w:r>
      <w:r>
        <w:rPr>
          <w:rFonts w:ascii="宋体" w:hAnsi="宋体" w:eastAsia="宋体" w:cs="宋体"/>
          <w:spacing w:val="6"/>
          <w:sz w:val="23"/>
          <w:szCs w:val="23"/>
        </w:rPr>
        <w:t>。</w:t>
      </w:r>
    </w:p>
    <w:p w14:paraId="7EAC855C">
      <w:pPr>
        <w:sectPr>
          <w:headerReference r:id="rId239" w:type="default"/>
          <w:footerReference r:id="rId240" w:type="default"/>
          <w:pgSz w:w="11906" w:h="16839"/>
          <w:pgMar w:top="1113" w:right="1052" w:bottom="1157" w:left="1275" w:header="878" w:footer="994" w:gutter="0"/>
          <w:cols w:space="720" w:num="1"/>
        </w:sectPr>
      </w:pPr>
    </w:p>
    <w:p w14:paraId="3B852903">
      <w:pPr>
        <w:spacing w:before="198" w:line="227" w:lineRule="auto"/>
        <w:ind w:left="501"/>
        <w:rPr>
          <w:rFonts w:ascii="宋体" w:hAnsi="宋体" w:eastAsia="宋体" w:cs="宋体"/>
          <w:sz w:val="23"/>
          <w:szCs w:val="23"/>
        </w:rPr>
      </w:pP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6"/>
          <w:sz w:val="23"/>
          <w:szCs w:val="23"/>
        </w:rPr>
        <w:t>3</w:t>
      </w:r>
      <w:r>
        <w:rPr>
          <w:rFonts w:ascii="宋体" w:hAnsi="宋体" w:eastAsia="宋体" w:cs="宋体"/>
          <w:spacing w:val="16"/>
          <w:sz w:val="23"/>
          <w:szCs w:val="23"/>
          <w14:textOutline w14:w="4356" w14:cap="sq" w14:cmpd="sng" w14:algn="ctr">
            <w14:solidFill>
              <w14:srgbClr w14:val="000000"/>
            </w14:solidFill>
            <w14:prstDash w14:val="solid"/>
            <w14:bevel/>
          </w14:textOutline>
        </w:rPr>
        <w:t>)</w:t>
      </w:r>
      <w:r>
        <w:rPr>
          <w:rFonts w:ascii="宋体" w:hAnsi="宋体" w:eastAsia="宋体" w:cs="宋体"/>
          <w:spacing w:val="16"/>
          <w:sz w:val="23"/>
          <w:szCs w:val="23"/>
        </w:rPr>
        <w:t xml:space="preserve"> </w:t>
      </w:r>
      <w:r>
        <w:rPr>
          <w:rFonts w:ascii="宋体" w:hAnsi="宋体" w:eastAsia="宋体" w:cs="宋体"/>
          <w:spacing w:val="16"/>
          <w:sz w:val="23"/>
          <w:szCs w:val="23"/>
          <w14:textOutline w14:w="4356" w14:cap="sq" w14:cmpd="sng" w14:algn="ctr">
            <w14:solidFill>
              <w14:srgbClr w14:val="000000"/>
            </w14:solidFill>
            <w14:prstDash w14:val="solid"/>
            <w14:bevel/>
          </w14:textOutline>
        </w:rPr>
        <w:t>粪污处理系统操作过程</w:t>
      </w:r>
    </w:p>
    <w:p w14:paraId="7E83250A">
      <w:pPr>
        <w:spacing w:before="183" w:line="375" w:lineRule="auto"/>
        <w:ind w:left="14" w:right="164" w:firstLine="479"/>
        <w:rPr>
          <w:rFonts w:ascii="宋体" w:hAnsi="宋体" w:eastAsia="宋体" w:cs="宋体"/>
          <w:sz w:val="23"/>
          <w:szCs w:val="23"/>
        </w:rPr>
      </w:pPr>
      <w:r>
        <w:rPr>
          <w:rFonts w:ascii="宋体" w:hAnsi="宋体" w:eastAsia="宋体" w:cs="宋体"/>
          <w:spacing w:val="7"/>
          <w:sz w:val="23"/>
          <w:szCs w:val="23"/>
        </w:rPr>
        <w:t>异位微生物发酵床垫料是粪污分解的重要场所，其中垫料中的纳豆菌等有益好氧微生</w:t>
      </w:r>
      <w:r>
        <w:rPr>
          <w:rFonts w:ascii="宋体" w:hAnsi="宋体" w:eastAsia="宋体" w:cs="宋体"/>
          <w:spacing w:val="3"/>
          <w:sz w:val="23"/>
          <w:szCs w:val="23"/>
        </w:rPr>
        <w:t>物</w:t>
      </w:r>
      <w:r>
        <w:rPr>
          <w:rFonts w:ascii="宋体" w:hAnsi="宋体" w:eastAsia="宋体" w:cs="宋体"/>
          <w:sz w:val="23"/>
          <w:szCs w:val="23"/>
        </w:rPr>
        <w:t xml:space="preserve"> </w:t>
      </w:r>
      <w:r>
        <w:rPr>
          <w:rFonts w:ascii="宋体" w:hAnsi="宋体" w:eastAsia="宋体" w:cs="宋体"/>
          <w:spacing w:val="8"/>
          <w:sz w:val="23"/>
          <w:szCs w:val="23"/>
        </w:rPr>
        <w:t>是</w:t>
      </w:r>
      <w:r>
        <w:rPr>
          <w:rFonts w:ascii="宋体" w:hAnsi="宋体" w:eastAsia="宋体" w:cs="宋体"/>
          <w:spacing w:val="7"/>
          <w:sz w:val="23"/>
          <w:szCs w:val="23"/>
        </w:rPr>
        <w:t>粪污分解的重要作用者。纳豆菌等好氧有益菌的数量、活性强弱、产发酵热量等直接关系</w:t>
      </w:r>
      <w:r>
        <w:rPr>
          <w:rFonts w:ascii="宋体" w:hAnsi="宋体" w:eastAsia="宋体" w:cs="宋体"/>
          <w:sz w:val="23"/>
          <w:szCs w:val="23"/>
        </w:rPr>
        <w:t xml:space="preserve"> </w:t>
      </w:r>
      <w:r>
        <w:rPr>
          <w:rFonts w:ascii="宋体" w:hAnsi="宋体" w:eastAsia="宋体" w:cs="宋体"/>
          <w:spacing w:val="8"/>
          <w:sz w:val="23"/>
          <w:szCs w:val="23"/>
        </w:rPr>
        <w:t>到</w:t>
      </w:r>
      <w:r>
        <w:rPr>
          <w:rFonts w:ascii="宋体" w:hAnsi="宋体" w:eastAsia="宋体" w:cs="宋体"/>
          <w:spacing w:val="7"/>
          <w:sz w:val="23"/>
          <w:szCs w:val="23"/>
        </w:rPr>
        <w:t>粪污的分解消化和水分的蒸发处理。因此，异位微生物发酵床垫料的启动和选择优良菌剂</w:t>
      </w:r>
      <w:r>
        <w:rPr>
          <w:rFonts w:ascii="宋体" w:hAnsi="宋体" w:eastAsia="宋体" w:cs="宋体"/>
          <w:sz w:val="23"/>
          <w:szCs w:val="23"/>
        </w:rPr>
        <w:t xml:space="preserve"> </w:t>
      </w:r>
      <w:r>
        <w:rPr>
          <w:rFonts w:ascii="宋体" w:hAnsi="宋体" w:eastAsia="宋体" w:cs="宋体"/>
          <w:spacing w:val="6"/>
          <w:sz w:val="23"/>
          <w:szCs w:val="23"/>
        </w:rPr>
        <w:t>是至关重要。</w:t>
      </w:r>
    </w:p>
    <w:p w14:paraId="0830DF61">
      <w:pPr>
        <w:spacing w:line="225" w:lineRule="auto"/>
        <w:ind w:left="489"/>
        <w:rPr>
          <w:rFonts w:ascii="宋体" w:hAnsi="宋体" w:eastAsia="宋体" w:cs="宋体"/>
          <w:sz w:val="23"/>
          <w:szCs w:val="23"/>
        </w:rPr>
      </w:pPr>
      <w:r>
        <w:rPr>
          <w:rFonts w:ascii="宋体" w:hAnsi="宋体" w:eastAsia="宋体" w:cs="宋体"/>
          <w:spacing w:val="16"/>
          <w:sz w:val="23"/>
          <w:szCs w:val="23"/>
        </w:rPr>
        <w:t>①</w:t>
      </w:r>
      <w:r>
        <w:rPr>
          <w:rFonts w:ascii="宋体" w:hAnsi="宋体" w:eastAsia="宋体" w:cs="宋体"/>
          <w:spacing w:val="9"/>
          <w:sz w:val="23"/>
          <w:szCs w:val="23"/>
        </w:rPr>
        <w:t>垫料主要锯末木屑、谷壳等，并按一定比例添加发酵菌。</w:t>
      </w:r>
    </w:p>
    <w:p w14:paraId="55F651B2">
      <w:pPr>
        <w:spacing w:before="184" w:line="375" w:lineRule="auto"/>
        <w:ind w:left="8" w:right="161" w:firstLine="480"/>
        <w:rPr>
          <w:rFonts w:ascii="宋体" w:hAnsi="宋体" w:eastAsia="宋体" w:cs="宋体"/>
          <w:sz w:val="23"/>
          <w:szCs w:val="23"/>
        </w:rPr>
      </w:pPr>
      <w:r>
        <w:rPr>
          <w:rFonts w:ascii="宋体" w:hAnsi="宋体" w:eastAsia="宋体" w:cs="宋体"/>
          <w:spacing w:val="12"/>
          <w:sz w:val="23"/>
          <w:szCs w:val="23"/>
        </w:rPr>
        <w:t>②将谷壳</w:t>
      </w:r>
      <w:r>
        <w:rPr>
          <w:rFonts w:ascii="宋体" w:hAnsi="宋体" w:eastAsia="宋体" w:cs="宋体"/>
          <w:spacing w:val="11"/>
          <w:sz w:val="23"/>
          <w:szCs w:val="23"/>
        </w:rPr>
        <w:t>等</w:t>
      </w:r>
      <w:r>
        <w:rPr>
          <w:rFonts w:ascii="宋体" w:hAnsi="宋体" w:eastAsia="宋体" w:cs="宋体"/>
          <w:spacing w:val="6"/>
          <w:sz w:val="23"/>
          <w:szCs w:val="23"/>
        </w:rPr>
        <w:t>垫料按设定好的高度铺在异位微生物发酵床地面上并表面找平 (刮平) ，再</w:t>
      </w:r>
      <w:r>
        <w:rPr>
          <w:rFonts w:ascii="宋体" w:hAnsi="宋体" w:eastAsia="宋体" w:cs="宋体"/>
          <w:sz w:val="23"/>
          <w:szCs w:val="23"/>
        </w:rPr>
        <w:t xml:space="preserve"> </w:t>
      </w:r>
      <w:r>
        <w:rPr>
          <w:rFonts w:ascii="宋体" w:hAnsi="宋体" w:eastAsia="宋体" w:cs="宋体"/>
          <w:spacing w:val="14"/>
          <w:sz w:val="23"/>
          <w:szCs w:val="23"/>
        </w:rPr>
        <w:t>将锯末</w:t>
      </w:r>
      <w:r>
        <w:rPr>
          <w:rFonts w:ascii="宋体" w:hAnsi="宋体" w:eastAsia="宋体" w:cs="宋体"/>
          <w:spacing w:val="11"/>
          <w:sz w:val="23"/>
          <w:szCs w:val="23"/>
        </w:rPr>
        <w:t>铺</w:t>
      </w:r>
      <w:r>
        <w:rPr>
          <w:rFonts w:ascii="宋体" w:hAnsi="宋体" w:eastAsia="宋体" w:cs="宋体"/>
          <w:spacing w:val="7"/>
          <w:sz w:val="23"/>
          <w:szCs w:val="23"/>
        </w:rPr>
        <w:t>在稻壳上面，铺到设定高度 (</w:t>
      </w:r>
      <w:r>
        <w:rPr>
          <w:rFonts w:ascii="Times New Roman" w:hAnsi="Times New Roman" w:eastAsia="Times New Roman" w:cs="Times New Roman"/>
          <w:spacing w:val="7"/>
          <w:sz w:val="23"/>
          <w:szCs w:val="23"/>
        </w:rPr>
        <w:t>0.65~0.9</w:t>
      </w:r>
      <w:r>
        <w:rPr>
          <w:rFonts w:ascii="Times New Roman" w:hAnsi="Times New Roman" w:eastAsia="Times New Roman" w:cs="Times New Roman"/>
          <w:sz w:val="23"/>
          <w:szCs w:val="23"/>
        </w:rPr>
        <w:t>m</w:t>
      </w:r>
      <w:r>
        <w:rPr>
          <w:rFonts w:ascii="宋体" w:hAnsi="宋体" w:eastAsia="宋体" w:cs="宋体"/>
          <w:spacing w:val="7"/>
          <w:sz w:val="23"/>
          <w:szCs w:val="23"/>
        </w:rPr>
        <w:t>) 后找平表面。</w:t>
      </w:r>
    </w:p>
    <w:p w14:paraId="65A9021D">
      <w:pPr>
        <w:spacing w:line="370" w:lineRule="auto"/>
        <w:ind w:left="11" w:firstLine="477"/>
        <w:rPr>
          <w:rFonts w:ascii="宋体" w:hAnsi="宋体" w:eastAsia="宋体" w:cs="宋体"/>
          <w:sz w:val="23"/>
          <w:szCs w:val="23"/>
        </w:rPr>
      </w:pPr>
      <w:r>
        <w:rPr>
          <w:rFonts w:ascii="宋体" w:hAnsi="宋体" w:eastAsia="宋体" w:cs="宋体"/>
          <w:spacing w:val="20"/>
          <w:sz w:val="23"/>
          <w:szCs w:val="23"/>
        </w:rPr>
        <w:t>③</w:t>
      </w:r>
      <w:r>
        <w:rPr>
          <w:rFonts w:ascii="宋体" w:hAnsi="宋体" w:eastAsia="宋体" w:cs="宋体"/>
          <w:spacing w:val="11"/>
          <w:sz w:val="23"/>
          <w:szCs w:val="23"/>
        </w:rPr>
        <w:t>开</w:t>
      </w:r>
      <w:r>
        <w:rPr>
          <w:rFonts w:ascii="宋体" w:hAnsi="宋体" w:eastAsia="宋体" w:cs="宋体"/>
          <w:spacing w:val="10"/>
          <w:sz w:val="23"/>
          <w:szCs w:val="23"/>
        </w:rPr>
        <w:t>启调浆泵，把粪污水喷洒到异位微生物发酵床，均匀喷洒到计算好体积的垫料中，</w:t>
      </w:r>
      <w:r>
        <w:rPr>
          <w:rFonts w:ascii="宋体" w:hAnsi="宋体" w:eastAsia="宋体" w:cs="宋体"/>
          <w:sz w:val="23"/>
          <w:szCs w:val="23"/>
        </w:rPr>
        <w:t xml:space="preserve"> </w:t>
      </w:r>
      <w:r>
        <w:rPr>
          <w:rFonts w:ascii="宋体" w:hAnsi="宋体" w:eastAsia="宋体" w:cs="宋体"/>
          <w:spacing w:val="14"/>
          <w:sz w:val="23"/>
          <w:szCs w:val="23"/>
        </w:rPr>
        <w:t>使其水分</w:t>
      </w:r>
      <w:r>
        <w:rPr>
          <w:rFonts w:ascii="宋体" w:hAnsi="宋体" w:eastAsia="宋体" w:cs="宋体"/>
          <w:spacing w:val="9"/>
          <w:sz w:val="23"/>
          <w:szCs w:val="23"/>
        </w:rPr>
        <w:t>应</w:t>
      </w:r>
      <w:r>
        <w:rPr>
          <w:rFonts w:ascii="宋体" w:hAnsi="宋体" w:eastAsia="宋体" w:cs="宋体"/>
          <w:spacing w:val="7"/>
          <w:sz w:val="23"/>
          <w:szCs w:val="23"/>
        </w:rPr>
        <w:t xml:space="preserve">达到 </w:t>
      </w:r>
      <w:r>
        <w:rPr>
          <w:rFonts w:ascii="Times New Roman" w:hAnsi="Times New Roman" w:eastAsia="Times New Roman" w:cs="Times New Roman"/>
          <w:spacing w:val="7"/>
          <w:sz w:val="23"/>
          <w:szCs w:val="23"/>
        </w:rPr>
        <w:t>45%</w:t>
      </w:r>
      <w:r>
        <w:rPr>
          <w:rFonts w:ascii="宋体" w:hAnsi="宋体" w:eastAsia="宋体" w:cs="宋体"/>
          <w:spacing w:val="7"/>
          <w:sz w:val="23"/>
          <w:szCs w:val="23"/>
        </w:rPr>
        <w:t>~</w:t>
      </w:r>
      <w:r>
        <w:rPr>
          <w:rFonts w:ascii="Times New Roman" w:hAnsi="Times New Roman" w:eastAsia="Times New Roman" w:cs="Times New Roman"/>
          <w:spacing w:val="7"/>
          <w:sz w:val="23"/>
          <w:szCs w:val="23"/>
        </w:rPr>
        <w:t xml:space="preserve">50% </w:t>
      </w:r>
      <w:r>
        <w:rPr>
          <w:rFonts w:ascii="宋体" w:hAnsi="宋体" w:eastAsia="宋体" w:cs="宋体"/>
          <w:spacing w:val="7"/>
          <w:sz w:val="23"/>
          <w:szCs w:val="23"/>
        </w:rPr>
        <w:t>(注意，在喷洒粪污水的过程中，集污池中的搅拌机不能停机) 。</w:t>
      </w:r>
      <w:r>
        <w:rPr>
          <w:rFonts w:ascii="宋体" w:hAnsi="宋体" w:eastAsia="宋体" w:cs="宋体"/>
          <w:sz w:val="23"/>
          <w:szCs w:val="23"/>
        </w:rPr>
        <w:t xml:space="preserve"> </w:t>
      </w:r>
      <w:r>
        <w:rPr>
          <w:rFonts w:ascii="宋体" w:hAnsi="宋体" w:eastAsia="宋体" w:cs="宋体"/>
          <w:spacing w:val="18"/>
          <w:sz w:val="23"/>
          <w:szCs w:val="23"/>
        </w:rPr>
        <w:t>喷</w:t>
      </w:r>
      <w:r>
        <w:rPr>
          <w:rFonts w:ascii="宋体" w:hAnsi="宋体" w:eastAsia="宋体" w:cs="宋体"/>
          <w:spacing w:val="17"/>
          <w:sz w:val="23"/>
          <w:szCs w:val="23"/>
        </w:rPr>
        <w:t>洒</w:t>
      </w:r>
      <w:r>
        <w:rPr>
          <w:rFonts w:ascii="宋体" w:hAnsi="宋体" w:eastAsia="宋体" w:cs="宋体"/>
          <w:spacing w:val="9"/>
          <w:sz w:val="23"/>
          <w:szCs w:val="23"/>
        </w:rPr>
        <w:t>粪污水喷洒完毕后，开启翻抛机进行垫料混合，达到物料、粪污、水分基本均匀。</w:t>
      </w:r>
    </w:p>
    <w:p w14:paraId="1FC2F452">
      <w:pPr>
        <w:spacing w:before="17" w:line="375" w:lineRule="auto"/>
        <w:ind w:left="9" w:right="538" w:firstLine="478"/>
        <w:rPr>
          <w:rFonts w:ascii="宋体" w:hAnsi="宋体" w:eastAsia="宋体" w:cs="宋体"/>
          <w:sz w:val="23"/>
          <w:szCs w:val="23"/>
        </w:rPr>
      </w:pPr>
      <w:r>
        <w:rPr>
          <w:rFonts w:ascii="宋体" w:hAnsi="宋体" w:eastAsia="宋体" w:cs="宋体"/>
          <w:spacing w:val="18"/>
          <w:sz w:val="23"/>
          <w:szCs w:val="23"/>
        </w:rPr>
        <w:t>④垫料</w:t>
      </w:r>
      <w:r>
        <w:rPr>
          <w:rFonts w:ascii="宋体" w:hAnsi="宋体" w:eastAsia="宋体" w:cs="宋体"/>
          <w:spacing w:val="10"/>
          <w:sz w:val="23"/>
          <w:szCs w:val="23"/>
        </w:rPr>
        <w:t>混</w:t>
      </w:r>
      <w:r>
        <w:rPr>
          <w:rFonts w:ascii="宋体" w:hAnsi="宋体" w:eastAsia="宋体" w:cs="宋体"/>
          <w:spacing w:val="9"/>
          <w:sz w:val="23"/>
          <w:szCs w:val="23"/>
        </w:rPr>
        <w:t>合好后，将异位微生物发酵床周边垫料堆积到中部垫料表层，堆积高度在</w:t>
      </w:r>
      <w:r>
        <w:rPr>
          <w:rFonts w:ascii="宋体" w:hAnsi="宋体" w:eastAsia="宋体" w:cs="宋体"/>
          <w:sz w:val="23"/>
          <w:szCs w:val="23"/>
        </w:rPr>
        <w:t xml:space="preserve"> </w:t>
      </w:r>
      <w:r>
        <w:rPr>
          <w:rFonts w:ascii="Times New Roman" w:hAnsi="Times New Roman" w:eastAsia="Times New Roman" w:cs="Times New Roman"/>
          <w:spacing w:val="6"/>
          <w:sz w:val="23"/>
          <w:szCs w:val="23"/>
        </w:rPr>
        <w:t>0</w:t>
      </w:r>
      <w:r>
        <w:rPr>
          <w:rFonts w:ascii="Times New Roman" w:hAnsi="Times New Roman" w:eastAsia="Times New Roman" w:cs="Times New Roman"/>
          <w:spacing w:val="5"/>
          <w:sz w:val="23"/>
          <w:szCs w:val="23"/>
        </w:rPr>
        <w:t>.</w:t>
      </w:r>
      <w:r>
        <w:rPr>
          <w:rFonts w:ascii="Times New Roman" w:hAnsi="Times New Roman" w:eastAsia="Times New Roman" w:cs="Times New Roman"/>
          <w:spacing w:val="3"/>
          <w:sz w:val="23"/>
          <w:szCs w:val="23"/>
        </w:rPr>
        <w:t>8</w:t>
      </w:r>
      <w:r>
        <w:rPr>
          <w:rFonts w:ascii="Times New Roman" w:hAnsi="Times New Roman" w:eastAsia="Times New Roman" w:cs="Times New Roman"/>
          <w:sz w:val="23"/>
          <w:szCs w:val="23"/>
        </w:rPr>
        <w:t>m</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 xml:space="preserve">左右，可达到 </w:t>
      </w:r>
      <w:r>
        <w:rPr>
          <w:rFonts w:ascii="Times New Roman" w:hAnsi="Times New Roman" w:eastAsia="Times New Roman" w:cs="Times New Roman"/>
          <w:spacing w:val="3"/>
          <w:sz w:val="23"/>
          <w:szCs w:val="23"/>
        </w:rPr>
        <w:t>1.5</w:t>
      </w:r>
      <w:r>
        <w:rPr>
          <w:rFonts w:ascii="Times New Roman" w:hAnsi="Times New Roman" w:eastAsia="Times New Roman" w:cs="Times New Roman"/>
          <w:sz w:val="23"/>
          <w:szCs w:val="23"/>
        </w:rPr>
        <w:t>m</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以上。</w:t>
      </w:r>
    </w:p>
    <w:p w14:paraId="1523A2D7">
      <w:pPr>
        <w:spacing w:line="225" w:lineRule="auto"/>
        <w:ind w:left="488"/>
        <w:rPr>
          <w:rFonts w:ascii="宋体" w:hAnsi="宋体" w:eastAsia="宋体" w:cs="宋体"/>
          <w:sz w:val="23"/>
          <w:szCs w:val="23"/>
        </w:rPr>
      </w:pPr>
      <w:r>
        <w:rPr>
          <w:rFonts w:ascii="宋体" w:hAnsi="宋体" w:eastAsia="宋体" w:cs="宋体"/>
          <w:spacing w:val="11"/>
          <w:sz w:val="23"/>
          <w:szCs w:val="23"/>
        </w:rPr>
        <w:t>⑤</w:t>
      </w:r>
      <w:r>
        <w:rPr>
          <w:rFonts w:ascii="宋体" w:hAnsi="宋体" w:eastAsia="宋体" w:cs="宋体"/>
          <w:spacing w:val="10"/>
          <w:sz w:val="23"/>
          <w:szCs w:val="23"/>
        </w:rPr>
        <w:t>一般环境温度下，发酵菌会很快激活，垫料温度会很快上升。如果环境温度小于</w:t>
      </w:r>
      <w:r>
        <w:rPr>
          <w:rFonts w:ascii="Times New Roman" w:hAnsi="Times New Roman" w:eastAsia="Times New Roman" w:cs="Times New Roman"/>
          <w:spacing w:val="10"/>
          <w:sz w:val="23"/>
          <w:szCs w:val="23"/>
        </w:rPr>
        <w:t>0</w:t>
      </w:r>
      <w:r>
        <w:rPr>
          <w:rFonts w:ascii="宋体" w:hAnsi="宋体" w:eastAsia="宋体" w:cs="宋体"/>
          <w:spacing w:val="10"/>
          <w:sz w:val="23"/>
          <w:szCs w:val="23"/>
        </w:rPr>
        <w:t>℃</w:t>
      </w:r>
    </w:p>
    <w:p w14:paraId="132ADCAA">
      <w:pPr>
        <w:spacing w:before="184" w:line="230" w:lineRule="auto"/>
        <w:ind w:left="21"/>
        <w:rPr>
          <w:rFonts w:ascii="宋体" w:hAnsi="宋体" w:eastAsia="宋体" w:cs="宋体"/>
          <w:sz w:val="23"/>
          <w:szCs w:val="23"/>
        </w:rPr>
      </w:pPr>
      <w:r>
        <w:rPr>
          <w:rFonts w:ascii="宋体" w:hAnsi="宋体" w:eastAsia="宋体" w:cs="宋体"/>
          <w:spacing w:val="9"/>
          <w:sz w:val="23"/>
          <w:szCs w:val="23"/>
        </w:rPr>
        <w:t>时，应当考虑在垫料中设点加温，给发酵菌激活启动温度</w:t>
      </w:r>
      <w:r>
        <w:rPr>
          <w:rFonts w:ascii="宋体" w:hAnsi="宋体" w:eastAsia="宋体" w:cs="宋体"/>
          <w:spacing w:val="4"/>
          <w:sz w:val="23"/>
          <w:szCs w:val="23"/>
        </w:rPr>
        <w:t>。</w:t>
      </w:r>
    </w:p>
    <w:p w14:paraId="6E600EF7">
      <w:pPr>
        <w:spacing w:before="182" w:line="375" w:lineRule="auto"/>
        <w:ind w:left="12" w:right="164" w:firstLine="476"/>
        <w:rPr>
          <w:rFonts w:ascii="宋体" w:hAnsi="宋体" w:eastAsia="宋体" w:cs="宋体"/>
          <w:sz w:val="23"/>
          <w:szCs w:val="23"/>
        </w:rPr>
      </w:pPr>
      <w:r>
        <w:rPr>
          <w:rFonts w:ascii="宋体" w:hAnsi="宋体" w:eastAsia="宋体" w:cs="宋体"/>
          <w:spacing w:val="14"/>
          <w:sz w:val="23"/>
          <w:szCs w:val="23"/>
        </w:rPr>
        <w:t>⑥</w:t>
      </w:r>
      <w:r>
        <w:rPr>
          <w:rFonts w:ascii="宋体" w:hAnsi="宋体" w:eastAsia="宋体" w:cs="宋体"/>
          <w:spacing w:val="8"/>
          <w:sz w:val="23"/>
          <w:szCs w:val="23"/>
        </w:rPr>
        <w:t>通</w:t>
      </w:r>
      <w:r>
        <w:rPr>
          <w:rFonts w:ascii="宋体" w:hAnsi="宋体" w:eastAsia="宋体" w:cs="宋体"/>
          <w:spacing w:val="7"/>
          <w:sz w:val="23"/>
          <w:szCs w:val="23"/>
        </w:rPr>
        <w:t xml:space="preserve">常情况下，垫料堆积 </w:t>
      </w:r>
      <w:r>
        <w:rPr>
          <w:rFonts w:ascii="Times New Roman" w:hAnsi="Times New Roman" w:eastAsia="Times New Roman" w:cs="Times New Roman"/>
          <w:spacing w:val="7"/>
          <w:sz w:val="23"/>
          <w:szCs w:val="23"/>
        </w:rPr>
        <w:t xml:space="preserve">24  </w:t>
      </w:r>
      <w:r>
        <w:rPr>
          <w:rFonts w:ascii="宋体" w:hAnsi="宋体" w:eastAsia="宋体" w:cs="宋体"/>
          <w:spacing w:val="7"/>
          <w:sz w:val="23"/>
          <w:szCs w:val="23"/>
        </w:rPr>
        <w:t>小时后，</w:t>
      </w:r>
      <w:r>
        <w:rPr>
          <w:rFonts w:ascii="Times New Roman" w:hAnsi="Times New Roman" w:eastAsia="Times New Roman" w:cs="Times New Roman"/>
          <w:spacing w:val="7"/>
          <w:sz w:val="23"/>
          <w:szCs w:val="23"/>
        </w:rPr>
        <w:t>35</w:t>
      </w:r>
      <w:r>
        <w:rPr>
          <w:rFonts w:ascii="Times New Roman" w:hAnsi="Times New Roman" w:eastAsia="Times New Roman" w:cs="Times New Roman"/>
          <w:sz w:val="23"/>
          <w:szCs w:val="23"/>
        </w:rPr>
        <w:t>cm</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深度的温度应当升至</w:t>
      </w:r>
      <w:r>
        <w:rPr>
          <w:rFonts w:ascii="Times New Roman" w:hAnsi="Times New Roman" w:eastAsia="Times New Roman" w:cs="Times New Roman"/>
          <w:spacing w:val="7"/>
          <w:sz w:val="23"/>
          <w:szCs w:val="23"/>
        </w:rPr>
        <w:t>40</w:t>
      </w:r>
      <w:r>
        <w:rPr>
          <w:rFonts w:ascii="宋体" w:hAnsi="宋体" w:eastAsia="宋体" w:cs="宋体"/>
          <w:spacing w:val="7"/>
          <w:sz w:val="23"/>
          <w:szCs w:val="23"/>
        </w:rPr>
        <w:t>℃ ，</w:t>
      </w:r>
      <w:r>
        <w:rPr>
          <w:rFonts w:ascii="Times New Roman" w:hAnsi="Times New Roman" w:eastAsia="Times New Roman" w:cs="Times New Roman"/>
          <w:spacing w:val="7"/>
          <w:sz w:val="23"/>
          <w:szCs w:val="23"/>
        </w:rPr>
        <w:t xml:space="preserve">72  </w:t>
      </w:r>
      <w:r>
        <w:rPr>
          <w:rFonts w:ascii="宋体" w:hAnsi="宋体" w:eastAsia="宋体" w:cs="宋体"/>
          <w:spacing w:val="7"/>
          <w:sz w:val="23"/>
          <w:szCs w:val="23"/>
        </w:rPr>
        <w:t>小时应当</w:t>
      </w:r>
      <w:r>
        <w:rPr>
          <w:rFonts w:ascii="宋体" w:hAnsi="宋体" w:eastAsia="宋体" w:cs="宋体"/>
          <w:sz w:val="23"/>
          <w:szCs w:val="23"/>
        </w:rPr>
        <w:t xml:space="preserve"> </w:t>
      </w:r>
      <w:r>
        <w:rPr>
          <w:rFonts w:ascii="宋体" w:hAnsi="宋体" w:eastAsia="宋体" w:cs="宋体"/>
          <w:spacing w:val="14"/>
          <w:sz w:val="23"/>
          <w:szCs w:val="23"/>
        </w:rPr>
        <w:t xml:space="preserve">升至 </w:t>
      </w:r>
      <w:r>
        <w:rPr>
          <w:rFonts w:ascii="Times New Roman" w:hAnsi="Times New Roman" w:eastAsia="Times New Roman" w:cs="Times New Roman"/>
          <w:spacing w:val="13"/>
          <w:sz w:val="23"/>
          <w:szCs w:val="23"/>
        </w:rPr>
        <w:t>6</w:t>
      </w:r>
      <w:r>
        <w:rPr>
          <w:rFonts w:ascii="Times New Roman" w:hAnsi="Times New Roman" w:eastAsia="Times New Roman" w:cs="Times New Roman"/>
          <w:spacing w:val="7"/>
          <w:sz w:val="23"/>
          <w:szCs w:val="23"/>
        </w:rPr>
        <w:t>0</w:t>
      </w:r>
      <w:r>
        <w:rPr>
          <w:rFonts w:ascii="宋体" w:hAnsi="宋体" w:eastAsia="宋体" w:cs="宋体"/>
          <w:spacing w:val="7"/>
          <w:sz w:val="23"/>
          <w:szCs w:val="23"/>
        </w:rPr>
        <w:t>℃以上，当水分过多和环境温度过低时上述升温时间会稍有延后。横向间隔</w:t>
      </w:r>
    </w:p>
    <w:p w14:paraId="762B162F">
      <w:pPr>
        <w:spacing w:before="1" w:line="374" w:lineRule="auto"/>
        <w:ind w:left="12" w:right="97" w:hanging="2"/>
        <w:rPr>
          <w:rFonts w:ascii="宋体" w:hAnsi="宋体" w:eastAsia="宋体" w:cs="宋体"/>
          <w:sz w:val="23"/>
          <w:szCs w:val="23"/>
        </w:rPr>
      </w:pPr>
      <w:r>
        <w:rPr>
          <w:rFonts w:ascii="Times New Roman" w:hAnsi="Times New Roman" w:eastAsia="Times New Roman" w:cs="Times New Roman"/>
          <w:spacing w:val="6"/>
          <w:sz w:val="23"/>
          <w:szCs w:val="23"/>
        </w:rPr>
        <w:t>3~</w:t>
      </w:r>
      <w:r>
        <w:rPr>
          <w:rFonts w:ascii="Times New Roman" w:hAnsi="Times New Roman" w:eastAsia="Times New Roman" w:cs="Times New Roman"/>
          <w:spacing w:val="3"/>
          <w:sz w:val="23"/>
          <w:szCs w:val="23"/>
        </w:rPr>
        <w:t>4</w:t>
      </w:r>
      <w:r>
        <w:rPr>
          <w:rFonts w:ascii="Times New Roman" w:hAnsi="Times New Roman" w:eastAsia="Times New Roman" w:cs="Times New Roman"/>
          <w:sz w:val="23"/>
          <w:szCs w:val="23"/>
        </w:rPr>
        <w:t>m</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 xml:space="preserve">测一个温度的检测点。每个点的温度基本一致，且在 </w:t>
      </w:r>
      <w:r>
        <w:rPr>
          <w:rFonts w:ascii="Times New Roman" w:hAnsi="Times New Roman" w:eastAsia="Times New Roman" w:cs="Times New Roman"/>
          <w:spacing w:val="3"/>
          <w:sz w:val="23"/>
          <w:szCs w:val="23"/>
        </w:rPr>
        <w:t>60</w:t>
      </w:r>
      <w:r>
        <w:rPr>
          <w:rFonts w:ascii="宋体" w:hAnsi="宋体" w:eastAsia="宋体" w:cs="宋体"/>
          <w:spacing w:val="3"/>
          <w:sz w:val="23"/>
          <w:szCs w:val="23"/>
        </w:rPr>
        <w:t xml:space="preserve">℃以上持续 </w:t>
      </w:r>
      <w:r>
        <w:rPr>
          <w:rFonts w:ascii="Times New Roman" w:hAnsi="Times New Roman" w:eastAsia="Times New Roman" w:cs="Times New Roman"/>
          <w:spacing w:val="3"/>
          <w:sz w:val="23"/>
          <w:szCs w:val="23"/>
        </w:rPr>
        <w:t xml:space="preserve">24~48  </w:t>
      </w:r>
      <w:r>
        <w:rPr>
          <w:rFonts w:ascii="宋体" w:hAnsi="宋体" w:eastAsia="宋体" w:cs="宋体"/>
          <w:spacing w:val="3"/>
          <w:sz w:val="23"/>
          <w:szCs w:val="23"/>
        </w:rPr>
        <w:t>小时以上，</w:t>
      </w:r>
      <w:r>
        <w:rPr>
          <w:rFonts w:ascii="宋体" w:hAnsi="宋体" w:eastAsia="宋体" w:cs="宋体"/>
          <w:sz w:val="23"/>
          <w:szCs w:val="23"/>
        </w:rPr>
        <w:t xml:space="preserve"> </w:t>
      </w:r>
      <w:r>
        <w:rPr>
          <w:rFonts w:ascii="宋体" w:hAnsi="宋体" w:eastAsia="宋体" w:cs="宋体"/>
          <w:spacing w:val="9"/>
          <w:sz w:val="23"/>
          <w:szCs w:val="23"/>
        </w:rPr>
        <w:t>说明发酵成功。发酵成功后即可平铺使用</w:t>
      </w:r>
      <w:r>
        <w:rPr>
          <w:rFonts w:ascii="宋体" w:hAnsi="宋体" w:eastAsia="宋体" w:cs="宋体"/>
          <w:spacing w:val="5"/>
          <w:sz w:val="23"/>
          <w:szCs w:val="23"/>
        </w:rPr>
        <w:t>。</w:t>
      </w:r>
    </w:p>
    <w:p w14:paraId="6DFEFE09">
      <w:pPr>
        <w:spacing w:before="1" w:line="227" w:lineRule="auto"/>
        <w:ind w:left="501"/>
        <w:rPr>
          <w:rFonts w:ascii="宋体" w:hAnsi="宋体" w:eastAsia="宋体" w:cs="宋体"/>
          <w:sz w:val="23"/>
          <w:szCs w:val="23"/>
        </w:rPr>
      </w:pP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0"/>
          <w:sz w:val="23"/>
          <w:szCs w:val="23"/>
        </w:rPr>
        <w:t>4</w:t>
      </w: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宋体" w:hAnsi="宋体" w:eastAsia="宋体" w:cs="宋体"/>
          <w:spacing w:val="20"/>
          <w:sz w:val="23"/>
          <w:szCs w:val="23"/>
        </w:rPr>
        <w:t xml:space="preserve"> </w:t>
      </w:r>
      <w:r>
        <w:rPr>
          <w:rFonts w:ascii="宋体" w:hAnsi="宋体" w:eastAsia="宋体" w:cs="宋体"/>
          <w:spacing w:val="20"/>
          <w:sz w:val="23"/>
          <w:szCs w:val="23"/>
          <w14:textOutline w14:w="4356" w14:cap="sq" w14:cmpd="sng" w14:algn="ctr">
            <w14:solidFill>
              <w14:srgbClr w14:val="000000"/>
            </w14:solidFill>
            <w14:prstDash w14:val="solid"/>
            <w14:bevel/>
          </w14:textOutline>
        </w:rPr>
        <w:t>垫料管理</w:t>
      </w:r>
    </w:p>
    <w:p w14:paraId="6A648DF0">
      <w:pPr>
        <w:spacing w:before="183" w:line="227" w:lineRule="auto"/>
        <w:ind w:left="508"/>
        <w:rPr>
          <w:rFonts w:ascii="宋体" w:hAnsi="宋体" w:eastAsia="宋体" w:cs="宋体"/>
          <w:sz w:val="23"/>
          <w:szCs w:val="23"/>
        </w:rPr>
      </w:pPr>
      <w:r>
        <w:rPr>
          <w:rFonts w:ascii="Times New Roman" w:hAnsi="Times New Roman" w:eastAsia="Times New Roman" w:cs="Times New Roman"/>
          <w:spacing w:val="10"/>
          <w:sz w:val="23"/>
          <w:szCs w:val="23"/>
        </w:rPr>
        <w:t>1</w:t>
      </w:r>
      <w:r>
        <w:rPr>
          <w:rFonts w:ascii="宋体" w:hAnsi="宋体" w:eastAsia="宋体" w:cs="宋体"/>
          <w:spacing w:val="6"/>
          <w:sz w:val="23"/>
          <w:szCs w:val="23"/>
        </w:rPr>
        <w:t>)</w:t>
      </w:r>
      <w:r>
        <w:rPr>
          <w:rFonts w:ascii="宋体" w:hAnsi="宋体" w:eastAsia="宋体" w:cs="宋体"/>
          <w:spacing w:val="5"/>
          <w:sz w:val="23"/>
          <w:szCs w:val="23"/>
        </w:rPr>
        <w:t xml:space="preserve"> 粪污调质与喷洒</w:t>
      </w:r>
    </w:p>
    <w:p w14:paraId="2EA614F8">
      <w:pPr>
        <w:spacing w:before="139" w:line="387" w:lineRule="auto"/>
        <w:ind w:left="12" w:right="161" w:firstLine="480"/>
        <w:rPr>
          <w:rFonts w:ascii="宋体" w:hAnsi="宋体" w:eastAsia="宋体" w:cs="宋体"/>
          <w:sz w:val="23"/>
          <w:szCs w:val="23"/>
        </w:rPr>
      </w:pPr>
      <w:r>
        <w:rPr>
          <w:rFonts w:ascii="宋体" w:hAnsi="宋体" w:eastAsia="宋体" w:cs="宋体"/>
          <w:spacing w:val="14"/>
          <w:sz w:val="23"/>
          <w:szCs w:val="23"/>
        </w:rPr>
        <w:t>粪污要求</w:t>
      </w:r>
      <w:r>
        <w:rPr>
          <w:rFonts w:ascii="宋体" w:hAnsi="宋体" w:eastAsia="宋体" w:cs="宋体"/>
          <w:spacing w:val="9"/>
          <w:sz w:val="23"/>
          <w:szCs w:val="23"/>
        </w:rPr>
        <w:t>流</w:t>
      </w:r>
      <w:r>
        <w:rPr>
          <w:rFonts w:ascii="宋体" w:hAnsi="宋体" w:eastAsia="宋体" w:cs="宋体"/>
          <w:spacing w:val="7"/>
          <w:sz w:val="23"/>
          <w:szCs w:val="23"/>
        </w:rPr>
        <w:t xml:space="preserve">动性较好，若干粪含量长期低于 </w:t>
      </w:r>
      <w:r>
        <w:rPr>
          <w:rFonts w:ascii="Times New Roman" w:hAnsi="Times New Roman" w:eastAsia="Times New Roman" w:cs="Times New Roman"/>
          <w:spacing w:val="7"/>
          <w:sz w:val="23"/>
          <w:szCs w:val="23"/>
        </w:rPr>
        <w:t>7%</w:t>
      </w:r>
      <w:r>
        <w:rPr>
          <w:rFonts w:ascii="宋体" w:hAnsi="宋体" w:eastAsia="宋体" w:cs="宋体"/>
          <w:spacing w:val="7"/>
          <w:sz w:val="23"/>
          <w:szCs w:val="23"/>
        </w:rPr>
        <w:t>易引起垫料营养不足，影响发酵。将每</w:t>
      </w:r>
      <w:r>
        <w:rPr>
          <w:rFonts w:ascii="宋体" w:hAnsi="宋体" w:eastAsia="宋体" w:cs="宋体"/>
          <w:sz w:val="23"/>
          <w:szCs w:val="23"/>
        </w:rPr>
        <w:t xml:space="preserve"> </w:t>
      </w:r>
      <w:r>
        <w:rPr>
          <w:rFonts w:ascii="宋体" w:hAnsi="宋体" w:eastAsia="宋体" w:cs="宋体"/>
          <w:spacing w:val="10"/>
          <w:sz w:val="23"/>
          <w:szCs w:val="23"/>
        </w:rPr>
        <w:t>天产生的</w:t>
      </w:r>
      <w:r>
        <w:rPr>
          <w:rFonts w:ascii="宋体" w:hAnsi="宋体" w:eastAsia="宋体" w:cs="宋体"/>
          <w:spacing w:val="9"/>
          <w:sz w:val="23"/>
          <w:szCs w:val="23"/>
        </w:rPr>
        <w:t>粪</w:t>
      </w:r>
      <w:r>
        <w:rPr>
          <w:rFonts w:ascii="宋体" w:hAnsi="宋体" w:eastAsia="宋体" w:cs="宋体"/>
          <w:spacing w:val="5"/>
          <w:sz w:val="23"/>
          <w:szCs w:val="23"/>
        </w:rPr>
        <w:t xml:space="preserve">污均匀喷洒在垫料上，要求粪污下渗垫料不大于 </w:t>
      </w:r>
      <w:r>
        <w:rPr>
          <w:rFonts w:ascii="Times New Roman" w:hAnsi="Times New Roman" w:eastAsia="Times New Roman" w:cs="Times New Roman"/>
          <w:spacing w:val="5"/>
          <w:sz w:val="23"/>
          <w:szCs w:val="23"/>
        </w:rPr>
        <w:t>40</w:t>
      </w:r>
      <w:r>
        <w:rPr>
          <w:rFonts w:ascii="Times New Roman" w:hAnsi="Times New Roman" w:eastAsia="Times New Roman" w:cs="Times New Roman"/>
          <w:sz w:val="23"/>
          <w:szCs w:val="23"/>
        </w:rPr>
        <w:t>cm</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深即可。一般上午喷洒粪</w:t>
      </w:r>
      <w:r>
        <w:rPr>
          <w:rFonts w:ascii="宋体" w:hAnsi="宋体" w:eastAsia="宋体" w:cs="宋体"/>
          <w:sz w:val="23"/>
          <w:szCs w:val="23"/>
        </w:rPr>
        <w:t xml:space="preserve"> </w:t>
      </w:r>
      <w:r>
        <w:rPr>
          <w:rFonts w:ascii="宋体" w:hAnsi="宋体" w:eastAsia="宋体" w:cs="宋体"/>
          <w:spacing w:val="18"/>
          <w:sz w:val="23"/>
          <w:szCs w:val="23"/>
        </w:rPr>
        <w:t>污</w:t>
      </w:r>
      <w:r>
        <w:rPr>
          <w:rFonts w:ascii="宋体" w:hAnsi="宋体" w:eastAsia="宋体" w:cs="宋体"/>
          <w:spacing w:val="11"/>
          <w:sz w:val="23"/>
          <w:szCs w:val="23"/>
        </w:rPr>
        <w:t>，经过</w:t>
      </w:r>
      <w:r>
        <w:rPr>
          <w:rFonts w:ascii="Times New Roman" w:hAnsi="Times New Roman" w:eastAsia="Times New Roman" w:cs="Times New Roman"/>
          <w:spacing w:val="11"/>
          <w:sz w:val="23"/>
          <w:szCs w:val="23"/>
        </w:rPr>
        <w:t>4</w:t>
      </w:r>
      <w:r>
        <w:rPr>
          <w:rFonts w:ascii="宋体" w:hAnsi="宋体" w:eastAsia="宋体" w:cs="宋体"/>
          <w:spacing w:val="11"/>
          <w:sz w:val="23"/>
          <w:szCs w:val="23"/>
        </w:rPr>
        <w:t>~</w:t>
      </w:r>
      <w:r>
        <w:rPr>
          <w:rFonts w:ascii="Times New Roman" w:hAnsi="Times New Roman" w:eastAsia="Times New Roman" w:cs="Times New Roman"/>
          <w:spacing w:val="11"/>
          <w:sz w:val="23"/>
          <w:szCs w:val="23"/>
        </w:rPr>
        <w:t xml:space="preserve">5  </w:t>
      </w:r>
      <w:r>
        <w:rPr>
          <w:rFonts w:ascii="宋体" w:hAnsi="宋体" w:eastAsia="宋体" w:cs="宋体"/>
          <w:spacing w:val="11"/>
          <w:sz w:val="23"/>
          <w:szCs w:val="23"/>
        </w:rPr>
        <w:t xml:space="preserve">小时下渗后用翻抛机进行翻抛表层 </w:t>
      </w:r>
      <w:r>
        <w:rPr>
          <w:rFonts w:ascii="Times New Roman" w:hAnsi="Times New Roman" w:eastAsia="Times New Roman" w:cs="Times New Roman"/>
          <w:spacing w:val="11"/>
          <w:sz w:val="23"/>
          <w:szCs w:val="23"/>
        </w:rPr>
        <w:t>30</w:t>
      </w:r>
      <w:r>
        <w:rPr>
          <w:rFonts w:ascii="Times New Roman" w:hAnsi="Times New Roman" w:eastAsia="Times New Roman" w:cs="Times New Roman"/>
          <w:sz w:val="23"/>
          <w:szCs w:val="23"/>
        </w:rPr>
        <w:t>cm</w:t>
      </w:r>
      <w:r>
        <w:rPr>
          <w:rFonts w:ascii="Times New Roman" w:hAnsi="Times New Roman" w:eastAsia="Times New Roman" w:cs="Times New Roman"/>
          <w:spacing w:val="11"/>
          <w:sz w:val="23"/>
          <w:szCs w:val="23"/>
        </w:rPr>
        <w:t xml:space="preserve">  </w:t>
      </w:r>
      <w:r>
        <w:rPr>
          <w:rFonts w:ascii="宋体" w:hAnsi="宋体" w:eastAsia="宋体" w:cs="宋体"/>
          <w:spacing w:val="11"/>
          <w:sz w:val="23"/>
          <w:szCs w:val="23"/>
        </w:rPr>
        <w:t>左右，起到防板结和混匀作用。</w:t>
      </w:r>
    </w:p>
    <w:p w14:paraId="347F2D56">
      <w:pPr>
        <w:spacing w:before="1" w:line="227" w:lineRule="auto"/>
        <w:ind w:left="485"/>
        <w:rPr>
          <w:rFonts w:ascii="宋体" w:hAnsi="宋体" w:eastAsia="宋体" w:cs="宋体"/>
          <w:sz w:val="23"/>
          <w:szCs w:val="23"/>
        </w:rPr>
      </w:pPr>
      <w:r>
        <w:rPr>
          <w:rFonts w:ascii="Times New Roman" w:hAnsi="Times New Roman" w:eastAsia="Times New Roman" w:cs="Times New Roman"/>
          <w:spacing w:val="7"/>
          <w:sz w:val="23"/>
          <w:szCs w:val="23"/>
        </w:rPr>
        <w:t>2</w:t>
      </w:r>
      <w:r>
        <w:rPr>
          <w:rFonts w:ascii="宋体" w:hAnsi="宋体" w:eastAsia="宋体" w:cs="宋体"/>
          <w:spacing w:val="7"/>
          <w:sz w:val="23"/>
          <w:szCs w:val="23"/>
        </w:rPr>
        <w:t>) 日常管理</w:t>
      </w:r>
    </w:p>
    <w:p w14:paraId="0DFAFB69">
      <w:pPr>
        <w:spacing w:before="182" w:line="375" w:lineRule="auto"/>
        <w:ind w:left="12" w:right="98" w:firstLine="477"/>
        <w:rPr>
          <w:rFonts w:ascii="宋体" w:hAnsi="宋体" w:eastAsia="宋体" w:cs="宋体"/>
          <w:sz w:val="23"/>
          <w:szCs w:val="23"/>
        </w:rPr>
      </w:pPr>
      <w:r>
        <w:rPr>
          <w:rFonts w:ascii="宋体" w:hAnsi="宋体" w:eastAsia="宋体" w:cs="宋体"/>
          <w:spacing w:val="16"/>
          <w:sz w:val="23"/>
          <w:szCs w:val="23"/>
        </w:rPr>
        <w:t>①每次</w:t>
      </w:r>
      <w:r>
        <w:rPr>
          <w:rFonts w:ascii="宋体" w:hAnsi="宋体" w:eastAsia="宋体" w:cs="宋体"/>
          <w:spacing w:val="11"/>
          <w:sz w:val="23"/>
          <w:szCs w:val="23"/>
        </w:rPr>
        <w:t>喷</w:t>
      </w:r>
      <w:r>
        <w:rPr>
          <w:rFonts w:ascii="宋体" w:hAnsi="宋体" w:eastAsia="宋体" w:cs="宋体"/>
          <w:spacing w:val="8"/>
          <w:sz w:val="23"/>
          <w:szCs w:val="23"/>
        </w:rPr>
        <w:t>洒粪污水时要注意，要使水分和营养物分布均匀，不能喷洒过少或喷洒过量。</w:t>
      </w:r>
      <w:r>
        <w:rPr>
          <w:rFonts w:ascii="宋体" w:hAnsi="宋体" w:eastAsia="宋体" w:cs="宋体"/>
          <w:sz w:val="23"/>
          <w:szCs w:val="23"/>
        </w:rPr>
        <w:t xml:space="preserve"> </w:t>
      </w:r>
      <w:r>
        <w:rPr>
          <w:rFonts w:ascii="宋体" w:hAnsi="宋体" w:eastAsia="宋体" w:cs="宋体"/>
          <w:spacing w:val="8"/>
          <w:sz w:val="23"/>
          <w:szCs w:val="23"/>
        </w:rPr>
        <w:t>垫</w:t>
      </w:r>
      <w:r>
        <w:rPr>
          <w:rFonts w:ascii="宋体" w:hAnsi="宋体" w:eastAsia="宋体" w:cs="宋体"/>
          <w:spacing w:val="7"/>
          <w:sz w:val="23"/>
          <w:szCs w:val="23"/>
        </w:rPr>
        <w:t>料</w:t>
      </w:r>
      <w:r>
        <w:rPr>
          <w:rFonts w:ascii="宋体" w:hAnsi="宋体" w:eastAsia="宋体" w:cs="宋体"/>
          <w:spacing w:val="4"/>
          <w:sz w:val="23"/>
          <w:szCs w:val="23"/>
        </w:rPr>
        <w:t xml:space="preserve">功能发热层 (垫料表面 </w:t>
      </w:r>
      <w:r>
        <w:rPr>
          <w:rFonts w:ascii="Times New Roman" w:hAnsi="Times New Roman" w:eastAsia="Times New Roman" w:cs="Times New Roman"/>
          <w:spacing w:val="4"/>
          <w:sz w:val="23"/>
          <w:szCs w:val="23"/>
        </w:rPr>
        <w:t>40~50</w:t>
      </w:r>
      <w:r>
        <w:rPr>
          <w:rFonts w:ascii="Times New Roman" w:hAnsi="Times New Roman" w:eastAsia="Times New Roman" w:cs="Times New Roman"/>
          <w:sz w:val="23"/>
          <w:szCs w:val="23"/>
        </w:rPr>
        <w:t>cm</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 xml:space="preserve">以下) 水分含量 </w:t>
      </w:r>
      <w:r>
        <w:rPr>
          <w:rFonts w:ascii="Times New Roman" w:hAnsi="Times New Roman" w:eastAsia="Times New Roman" w:cs="Times New Roman"/>
          <w:spacing w:val="4"/>
          <w:sz w:val="23"/>
          <w:szCs w:val="23"/>
        </w:rPr>
        <w:t>45~50%</w:t>
      </w:r>
      <w:r>
        <w:rPr>
          <w:rFonts w:ascii="宋体" w:hAnsi="宋体" w:eastAsia="宋体" w:cs="宋体"/>
          <w:spacing w:val="4"/>
          <w:sz w:val="23"/>
          <w:szCs w:val="23"/>
        </w:rPr>
        <w:t>为佳。</w:t>
      </w:r>
    </w:p>
    <w:p w14:paraId="708BA357">
      <w:pPr>
        <w:spacing w:before="1" w:line="374" w:lineRule="auto"/>
        <w:ind w:left="10" w:right="538" w:firstLine="478"/>
        <w:rPr>
          <w:rFonts w:ascii="宋体" w:hAnsi="宋体" w:eastAsia="宋体" w:cs="宋体"/>
          <w:sz w:val="23"/>
          <w:szCs w:val="23"/>
        </w:rPr>
      </w:pPr>
      <w:r>
        <w:rPr>
          <w:rFonts w:ascii="宋体" w:hAnsi="宋体" w:eastAsia="宋体" w:cs="宋体"/>
          <w:spacing w:val="18"/>
          <w:sz w:val="23"/>
          <w:szCs w:val="23"/>
        </w:rPr>
        <w:t>②每次</w:t>
      </w:r>
      <w:r>
        <w:rPr>
          <w:rFonts w:ascii="宋体" w:hAnsi="宋体" w:eastAsia="宋体" w:cs="宋体"/>
          <w:spacing w:val="10"/>
          <w:sz w:val="23"/>
          <w:szCs w:val="23"/>
        </w:rPr>
        <w:t>喷</w:t>
      </w:r>
      <w:r>
        <w:rPr>
          <w:rFonts w:ascii="宋体" w:hAnsi="宋体" w:eastAsia="宋体" w:cs="宋体"/>
          <w:spacing w:val="9"/>
          <w:sz w:val="23"/>
          <w:szCs w:val="23"/>
        </w:rPr>
        <w:t>洒粪污水后，粪污主要留存在垫料上层，通过一轮发酵降解后，仍有部分</w:t>
      </w:r>
      <w:r>
        <w:rPr>
          <w:rFonts w:ascii="宋体" w:hAnsi="宋体" w:eastAsia="宋体" w:cs="宋体"/>
          <w:sz w:val="23"/>
          <w:szCs w:val="23"/>
        </w:rPr>
        <w:t xml:space="preserve"> </w:t>
      </w:r>
      <w:r>
        <w:rPr>
          <w:rFonts w:ascii="宋体" w:hAnsi="宋体" w:eastAsia="宋体" w:cs="宋体"/>
          <w:spacing w:val="16"/>
          <w:sz w:val="23"/>
          <w:szCs w:val="23"/>
        </w:rPr>
        <w:t>残</w:t>
      </w:r>
      <w:r>
        <w:rPr>
          <w:rFonts w:ascii="宋体" w:hAnsi="宋体" w:eastAsia="宋体" w:cs="宋体"/>
          <w:spacing w:val="8"/>
          <w:sz w:val="23"/>
          <w:szCs w:val="23"/>
        </w:rPr>
        <w:t>留，需要继续进行发酵降解。</w:t>
      </w:r>
    </w:p>
    <w:p w14:paraId="38062349">
      <w:pPr>
        <w:spacing w:line="468" w:lineRule="exact"/>
        <w:ind w:left="488"/>
        <w:rPr>
          <w:rFonts w:ascii="宋体" w:hAnsi="宋体" w:eastAsia="宋体" w:cs="宋体"/>
          <w:sz w:val="23"/>
          <w:szCs w:val="23"/>
        </w:rPr>
      </w:pPr>
      <w:r>
        <w:rPr>
          <w:rFonts w:ascii="宋体" w:hAnsi="宋体" w:eastAsia="宋体" w:cs="宋体"/>
          <w:spacing w:val="12"/>
          <w:position w:val="17"/>
          <w:sz w:val="23"/>
          <w:szCs w:val="23"/>
        </w:rPr>
        <w:t>③</w:t>
      </w:r>
      <w:r>
        <w:rPr>
          <w:rFonts w:ascii="宋体" w:hAnsi="宋体" w:eastAsia="宋体" w:cs="宋体"/>
          <w:spacing w:val="8"/>
          <w:position w:val="17"/>
          <w:sz w:val="23"/>
          <w:szCs w:val="23"/>
        </w:rPr>
        <w:t>采</w:t>
      </w:r>
      <w:r>
        <w:rPr>
          <w:rFonts w:ascii="宋体" w:hAnsi="宋体" w:eastAsia="宋体" w:cs="宋体"/>
          <w:spacing w:val="6"/>
          <w:position w:val="17"/>
          <w:sz w:val="23"/>
          <w:szCs w:val="23"/>
        </w:rPr>
        <w:t xml:space="preserve">用增氧模式，应该在垫料大翻前 </w:t>
      </w:r>
      <w:r>
        <w:rPr>
          <w:rFonts w:ascii="Times New Roman" w:hAnsi="Times New Roman" w:eastAsia="Times New Roman" w:cs="Times New Roman"/>
          <w:spacing w:val="6"/>
          <w:position w:val="17"/>
          <w:sz w:val="23"/>
          <w:szCs w:val="23"/>
        </w:rPr>
        <w:t xml:space="preserve">1  </w:t>
      </w:r>
      <w:r>
        <w:rPr>
          <w:rFonts w:ascii="宋体" w:hAnsi="宋体" w:eastAsia="宋体" w:cs="宋体"/>
          <w:spacing w:val="6"/>
          <w:position w:val="17"/>
          <w:sz w:val="23"/>
          <w:szCs w:val="23"/>
        </w:rPr>
        <w:t xml:space="preserve">天到大翻后 </w:t>
      </w:r>
      <w:r>
        <w:rPr>
          <w:rFonts w:ascii="Times New Roman" w:hAnsi="Times New Roman" w:eastAsia="Times New Roman" w:cs="Times New Roman"/>
          <w:spacing w:val="6"/>
          <w:position w:val="17"/>
          <w:sz w:val="23"/>
          <w:szCs w:val="23"/>
        </w:rPr>
        <w:t xml:space="preserve">2  </w:t>
      </w:r>
      <w:r>
        <w:rPr>
          <w:rFonts w:ascii="宋体" w:hAnsi="宋体" w:eastAsia="宋体" w:cs="宋体"/>
          <w:spacing w:val="6"/>
          <w:position w:val="17"/>
          <w:sz w:val="23"/>
          <w:szCs w:val="23"/>
        </w:rPr>
        <w:t>天，开启离心风机对发酵床进行</w:t>
      </w:r>
    </w:p>
    <w:p w14:paraId="5E8489E6">
      <w:pPr>
        <w:spacing w:before="1" w:line="226" w:lineRule="auto"/>
        <w:ind w:left="11"/>
        <w:rPr>
          <w:rFonts w:ascii="宋体" w:hAnsi="宋体" w:eastAsia="宋体" w:cs="宋体"/>
          <w:sz w:val="23"/>
          <w:szCs w:val="23"/>
        </w:rPr>
      </w:pPr>
      <w:r>
        <w:rPr>
          <w:rFonts w:ascii="宋体" w:hAnsi="宋体" w:eastAsia="宋体" w:cs="宋体"/>
          <w:spacing w:val="20"/>
          <w:sz w:val="23"/>
          <w:szCs w:val="23"/>
        </w:rPr>
        <w:t>增</w:t>
      </w:r>
      <w:r>
        <w:rPr>
          <w:rFonts w:ascii="宋体" w:hAnsi="宋体" w:eastAsia="宋体" w:cs="宋体"/>
          <w:spacing w:val="13"/>
          <w:sz w:val="23"/>
          <w:szCs w:val="23"/>
        </w:rPr>
        <w:t>氧，养殖场应视所选配的离心风机型号控制增氧时间，保证每天每立方米垫料可以得到</w:t>
      </w:r>
    </w:p>
    <w:p w14:paraId="1DAB295A">
      <w:pPr>
        <w:sectPr>
          <w:headerReference r:id="rId241" w:type="default"/>
          <w:footerReference r:id="rId242" w:type="default"/>
          <w:pgSz w:w="11906" w:h="16839"/>
          <w:pgMar w:top="1113" w:right="970" w:bottom="1157" w:left="1275" w:header="878" w:footer="994" w:gutter="0"/>
          <w:cols w:space="720" w:num="1"/>
        </w:sectPr>
      </w:pPr>
    </w:p>
    <w:p w14:paraId="4A5E31A5">
      <w:pPr>
        <w:spacing w:before="198" w:line="228" w:lineRule="auto"/>
        <w:ind w:left="15"/>
        <w:rPr>
          <w:rFonts w:ascii="宋体" w:hAnsi="宋体" w:eastAsia="宋体" w:cs="宋体"/>
          <w:sz w:val="23"/>
          <w:szCs w:val="23"/>
        </w:rPr>
      </w:pPr>
      <w:r>
        <w:rPr>
          <w:rFonts w:ascii="Times New Roman" w:hAnsi="Times New Roman" w:eastAsia="Times New Roman" w:cs="Times New Roman"/>
          <w:spacing w:val="12"/>
          <w:sz w:val="23"/>
          <w:szCs w:val="23"/>
        </w:rPr>
        <w:t>8</w:t>
      </w:r>
      <w:r>
        <w:rPr>
          <w:rFonts w:ascii="宋体" w:hAnsi="宋体" w:eastAsia="宋体" w:cs="宋体"/>
          <w:spacing w:val="12"/>
          <w:sz w:val="23"/>
          <w:szCs w:val="23"/>
        </w:rPr>
        <w:t>~</w:t>
      </w:r>
      <w:r>
        <w:rPr>
          <w:rFonts w:ascii="Times New Roman" w:hAnsi="Times New Roman" w:eastAsia="Times New Roman" w:cs="Times New Roman"/>
          <w:spacing w:val="12"/>
          <w:sz w:val="23"/>
          <w:szCs w:val="23"/>
        </w:rPr>
        <w:t>18</w:t>
      </w:r>
      <w:r>
        <w:rPr>
          <w:rFonts w:ascii="Times New Roman" w:hAnsi="Times New Roman" w:eastAsia="Times New Roman" w:cs="Times New Roman"/>
          <w:sz w:val="23"/>
          <w:szCs w:val="23"/>
        </w:rPr>
        <w:t>m</w:t>
      </w:r>
      <w:r>
        <w:rPr>
          <w:rFonts w:ascii="Times New Roman" w:hAnsi="Times New Roman" w:eastAsia="Times New Roman" w:cs="Times New Roman"/>
          <w:spacing w:val="12"/>
          <w:position w:val="8"/>
          <w:sz w:val="15"/>
          <w:szCs w:val="15"/>
        </w:rPr>
        <w:t xml:space="preserve">3 </w:t>
      </w:r>
      <w:r>
        <w:rPr>
          <w:rFonts w:ascii="宋体" w:hAnsi="宋体" w:eastAsia="宋体" w:cs="宋体"/>
          <w:spacing w:val="12"/>
          <w:sz w:val="23"/>
          <w:szCs w:val="23"/>
        </w:rPr>
        <w:t>的空气补充。若垫料的透气性不足，需适当增加增氧透气时间</w:t>
      </w:r>
      <w:r>
        <w:rPr>
          <w:rFonts w:ascii="宋体" w:hAnsi="宋体" w:eastAsia="宋体" w:cs="宋体"/>
          <w:spacing w:val="7"/>
          <w:sz w:val="23"/>
          <w:szCs w:val="23"/>
        </w:rPr>
        <w:t>。</w:t>
      </w:r>
    </w:p>
    <w:p w14:paraId="1AA35984">
      <w:pPr>
        <w:spacing w:before="181" w:line="375" w:lineRule="auto"/>
        <w:ind w:left="11" w:right="103" w:firstLine="477"/>
        <w:rPr>
          <w:rFonts w:ascii="宋体" w:hAnsi="宋体" w:eastAsia="宋体" w:cs="宋体"/>
          <w:sz w:val="23"/>
          <w:szCs w:val="23"/>
        </w:rPr>
      </w:pPr>
      <w:r>
        <w:rPr>
          <w:rFonts w:ascii="宋体" w:hAnsi="宋体" w:eastAsia="宋体" w:cs="宋体"/>
          <w:spacing w:val="7"/>
          <w:sz w:val="23"/>
          <w:szCs w:val="23"/>
        </w:rPr>
        <w:t>④保证发酵菌群的强势水平是系统长期正常运行的保证。垫料中以发酵菌为主的菌群是</w:t>
      </w:r>
      <w:r>
        <w:rPr>
          <w:rFonts w:ascii="宋体" w:hAnsi="宋体" w:eastAsia="宋体" w:cs="宋体"/>
          <w:sz w:val="23"/>
          <w:szCs w:val="23"/>
        </w:rPr>
        <w:t xml:space="preserve"> </w:t>
      </w:r>
      <w:r>
        <w:rPr>
          <w:rFonts w:ascii="宋体" w:hAnsi="宋体" w:eastAsia="宋体" w:cs="宋体"/>
          <w:spacing w:val="11"/>
          <w:sz w:val="23"/>
          <w:szCs w:val="23"/>
        </w:rPr>
        <w:t>动</w:t>
      </w:r>
      <w:r>
        <w:rPr>
          <w:rFonts w:ascii="宋体" w:hAnsi="宋体" w:eastAsia="宋体" w:cs="宋体"/>
          <w:spacing w:val="7"/>
          <w:sz w:val="23"/>
          <w:szCs w:val="23"/>
        </w:rPr>
        <w:t>态变化：即有快速生长期、稳定期和衰退期。为保证垫料的分解粪污能力，应及时补充发</w:t>
      </w:r>
      <w:r>
        <w:rPr>
          <w:rFonts w:ascii="宋体" w:hAnsi="宋体" w:eastAsia="宋体" w:cs="宋体"/>
          <w:sz w:val="23"/>
          <w:szCs w:val="23"/>
        </w:rPr>
        <w:t xml:space="preserve"> </w:t>
      </w:r>
      <w:r>
        <w:rPr>
          <w:rFonts w:ascii="宋体" w:hAnsi="宋体" w:eastAsia="宋体" w:cs="宋体"/>
          <w:spacing w:val="9"/>
          <w:sz w:val="23"/>
          <w:szCs w:val="23"/>
        </w:rPr>
        <w:t>酵菌，从而保证异位微生物发酵床的正常运行。</w:t>
      </w:r>
    </w:p>
    <w:p w14:paraId="07ADD6E0">
      <w:pPr>
        <w:spacing w:line="225" w:lineRule="auto"/>
        <w:ind w:left="488"/>
        <w:rPr>
          <w:rFonts w:ascii="宋体" w:hAnsi="宋体" w:eastAsia="宋体" w:cs="宋体"/>
          <w:sz w:val="23"/>
          <w:szCs w:val="23"/>
        </w:rPr>
      </w:pPr>
      <w:r>
        <w:rPr>
          <w:rFonts w:ascii="宋体" w:hAnsi="宋体" w:eastAsia="宋体" w:cs="宋体"/>
          <w:spacing w:val="9"/>
          <w:sz w:val="23"/>
          <w:szCs w:val="23"/>
        </w:rPr>
        <w:t>⑤养殖场建立垫料温度检查记录制度</w:t>
      </w:r>
      <w:r>
        <w:rPr>
          <w:rFonts w:ascii="宋体" w:hAnsi="宋体" w:eastAsia="宋体" w:cs="宋体"/>
          <w:spacing w:val="8"/>
          <w:sz w:val="23"/>
          <w:szCs w:val="23"/>
        </w:rPr>
        <w:t>。</w:t>
      </w:r>
    </w:p>
    <w:p w14:paraId="33191283">
      <w:pPr>
        <w:spacing w:before="187" w:line="227" w:lineRule="auto"/>
        <w:ind w:left="501"/>
        <w:rPr>
          <w:rFonts w:ascii="宋体" w:hAnsi="宋体" w:eastAsia="宋体" w:cs="宋体"/>
          <w:sz w:val="23"/>
          <w:szCs w:val="23"/>
        </w:rPr>
      </w:pP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8"/>
          <w:sz w:val="23"/>
          <w:szCs w:val="23"/>
        </w:rPr>
        <w:t>5</w:t>
      </w: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宋体" w:hAnsi="宋体" w:eastAsia="宋体" w:cs="宋体"/>
          <w:spacing w:val="18"/>
          <w:sz w:val="23"/>
          <w:szCs w:val="23"/>
        </w:rPr>
        <w:t xml:space="preserve"> </w:t>
      </w:r>
      <w:r>
        <w:rPr>
          <w:rFonts w:ascii="宋体" w:hAnsi="宋体" w:eastAsia="宋体" w:cs="宋体"/>
          <w:spacing w:val="18"/>
          <w:sz w:val="23"/>
          <w:szCs w:val="23"/>
          <w14:textOutline w14:w="4356" w14:cap="sq" w14:cmpd="sng" w14:algn="ctr">
            <w14:solidFill>
              <w14:srgbClr w14:val="000000"/>
            </w14:solidFill>
            <w14:prstDash w14:val="solid"/>
            <w14:bevel/>
          </w14:textOutline>
        </w:rPr>
        <w:t>技术可行性分</w:t>
      </w:r>
      <w:r>
        <w:rPr>
          <w:rFonts w:ascii="宋体" w:hAnsi="宋体" w:eastAsia="宋体" w:cs="宋体"/>
          <w:spacing w:val="16"/>
          <w:sz w:val="23"/>
          <w:szCs w:val="23"/>
          <w14:textOutline w14:w="4356" w14:cap="sq" w14:cmpd="sng" w14:algn="ctr">
            <w14:solidFill>
              <w14:srgbClr w14:val="000000"/>
            </w14:solidFill>
            <w14:prstDash w14:val="solid"/>
            <w14:bevel/>
          </w14:textOutline>
        </w:rPr>
        <w:t>析</w:t>
      </w:r>
    </w:p>
    <w:p w14:paraId="63E7FBD6">
      <w:pPr>
        <w:spacing w:before="182" w:line="227" w:lineRule="auto"/>
        <w:ind w:left="508"/>
        <w:rPr>
          <w:rFonts w:ascii="宋体" w:hAnsi="宋体" w:eastAsia="宋体" w:cs="宋体"/>
          <w:sz w:val="23"/>
          <w:szCs w:val="23"/>
        </w:rPr>
      </w:pPr>
      <w:r>
        <w:rPr>
          <w:rFonts w:ascii="Times New Roman" w:hAnsi="Times New Roman" w:eastAsia="Times New Roman" w:cs="Times New Roman"/>
          <w:spacing w:val="8"/>
          <w:sz w:val="23"/>
          <w:szCs w:val="23"/>
        </w:rPr>
        <w:t>1</w:t>
      </w:r>
      <w:r>
        <w:rPr>
          <w:rFonts w:ascii="宋体" w:hAnsi="宋体" w:eastAsia="宋体" w:cs="宋体"/>
          <w:spacing w:val="4"/>
          <w:sz w:val="23"/>
          <w:szCs w:val="23"/>
        </w:rPr>
        <w:t>) 技术可行性</w:t>
      </w:r>
    </w:p>
    <w:p w14:paraId="55B52F2F">
      <w:pPr>
        <w:spacing w:before="185" w:line="227" w:lineRule="auto"/>
        <w:ind w:left="485"/>
        <w:rPr>
          <w:rFonts w:ascii="宋体" w:hAnsi="宋体" w:eastAsia="宋体" w:cs="宋体"/>
          <w:sz w:val="23"/>
          <w:szCs w:val="23"/>
        </w:rPr>
      </w:pPr>
      <w:r>
        <w:rPr>
          <w:rFonts w:ascii="Times New Roman" w:hAnsi="Times New Roman" w:eastAsia="Times New Roman" w:cs="Times New Roman"/>
          <w:spacing w:val="8"/>
          <w:sz w:val="23"/>
          <w:szCs w:val="23"/>
        </w:rPr>
        <w:t xml:space="preserve">2017 </w:t>
      </w:r>
      <w:r>
        <w:rPr>
          <w:rFonts w:ascii="宋体" w:hAnsi="宋体" w:eastAsia="宋体" w:cs="宋体"/>
          <w:spacing w:val="8"/>
          <w:sz w:val="23"/>
          <w:szCs w:val="23"/>
        </w:rPr>
        <w:t xml:space="preserve">年 </w:t>
      </w:r>
      <w:r>
        <w:rPr>
          <w:rFonts w:ascii="Times New Roman" w:hAnsi="Times New Roman" w:eastAsia="Times New Roman" w:cs="Times New Roman"/>
          <w:spacing w:val="7"/>
          <w:sz w:val="23"/>
          <w:szCs w:val="23"/>
        </w:rPr>
        <w:t>5</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 xml:space="preserve">月 </w:t>
      </w:r>
      <w:r>
        <w:rPr>
          <w:rFonts w:ascii="Times New Roman" w:hAnsi="Times New Roman" w:eastAsia="Times New Roman" w:cs="Times New Roman"/>
          <w:spacing w:val="4"/>
          <w:sz w:val="23"/>
          <w:szCs w:val="23"/>
        </w:rPr>
        <w:t xml:space="preserve">23 </w:t>
      </w:r>
      <w:r>
        <w:rPr>
          <w:rFonts w:ascii="宋体" w:hAnsi="宋体" w:eastAsia="宋体" w:cs="宋体"/>
          <w:spacing w:val="4"/>
          <w:sz w:val="23"/>
          <w:szCs w:val="23"/>
        </w:rPr>
        <w:t>日，中国环境保护产业协会在北京组织召开了福建省农科农业发展有限</w:t>
      </w:r>
    </w:p>
    <w:p w14:paraId="22E0143D">
      <w:pPr>
        <w:spacing w:before="181" w:line="374" w:lineRule="auto"/>
        <w:ind w:left="11" w:right="23" w:firstLine="6"/>
        <w:rPr>
          <w:rFonts w:ascii="宋体" w:hAnsi="宋体" w:eastAsia="宋体" w:cs="宋体"/>
          <w:sz w:val="23"/>
          <w:szCs w:val="23"/>
        </w:rPr>
      </w:pPr>
      <w:r>
        <w:rPr>
          <w:rFonts w:ascii="宋体" w:hAnsi="宋体" w:eastAsia="宋体" w:cs="宋体"/>
          <w:spacing w:val="15"/>
          <w:sz w:val="23"/>
          <w:szCs w:val="23"/>
        </w:rPr>
        <w:t>公</w:t>
      </w:r>
      <w:r>
        <w:rPr>
          <w:rFonts w:ascii="宋体" w:hAnsi="宋体" w:eastAsia="宋体" w:cs="宋体"/>
          <w:spacing w:val="10"/>
          <w:sz w:val="23"/>
          <w:szCs w:val="23"/>
        </w:rPr>
        <w:t>司和福建省农业科学院农业生物资源研究所共同研发的</w:t>
      </w:r>
      <w:r>
        <w:rPr>
          <w:rFonts w:ascii="Times New Roman" w:hAnsi="Times New Roman" w:eastAsia="Times New Roman" w:cs="Times New Roman"/>
          <w:spacing w:val="10"/>
          <w:sz w:val="23"/>
          <w:szCs w:val="23"/>
        </w:rPr>
        <w:t>“</w:t>
      </w:r>
      <w:r>
        <w:rPr>
          <w:rFonts w:ascii="宋体" w:hAnsi="宋体" w:eastAsia="宋体" w:cs="宋体"/>
          <w:spacing w:val="10"/>
          <w:sz w:val="23"/>
          <w:szCs w:val="23"/>
        </w:rPr>
        <w:t>畜禽粪污异位微生物发酵床处理</w:t>
      </w:r>
      <w:r>
        <w:rPr>
          <w:rFonts w:ascii="宋体" w:hAnsi="宋体" w:eastAsia="宋体" w:cs="宋体"/>
          <w:sz w:val="23"/>
          <w:szCs w:val="23"/>
        </w:rPr>
        <w:t xml:space="preserve"> </w:t>
      </w:r>
      <w:r>
        <w:rPr>
          <w:rFonts w:ascii="宋体" w:hAnsi="宋体" w:eastAsia="宋体" w:cs="宋体"/>
          <w:spacing w:val="6"/>
          <w:sz w:val="23"/>
          <w:szCs w:val="23"/>
        </w:rPr>
        <w:t>技术</w:t>
      </w:r>
      <w:r>
        <w:rPr>
          <w:rFonts w:ascii="Times New Roman" w:hAnsi="Times New Roman" w:eastAsia="Times New Roman" w:cs="Times New Roman"/>
          <w:spacing w:val="6"/>
          <w:sz w:val="23"/>
          <w:szCs w:val="23"/>
        </w:rPr>
        <w:t>”</w:t>
      </w:r>
      <w:r>
        <w:rPr>
          <w:rFonts w:ascii="宋体" w:hAnsi="宋体" w:eastAsia="宋体" w:cs="宋体"/>
          <w:spacing w:val="6"/>
          <w:sz w:val="23"/>
          <w:szCs w:val="23"/>
        </w:rPr>
        <w:t>鉴</w:t>
      </w:r>
      <w:r>
        <w:rPr>
          <w:rFonts w:ascii="宋体" w:hAnsi="宋体" w:eastAsia="宋体" w:cs="宋体"/>
          <w:spacing w:val="4"/>
          <w:sz w:val="23"/>
          <w:szCs w:val="23"/>
        </w:rPr>
        <w:t>定</w:t>
      </w:r>
      <w:r>
        <w:rPr>
          <w:rFonts w:ascii="宋体" w:hAnsi="宋体" w:eastAsia="宋体" w:cs="宋体"/>
          <w:spacing w:val="3"/>
          <w:sz w:val="23"/>
          <w:szCs w:val="23"/>
        </w:rPr>
        <w:t>会，并取得了环境保护技术成果鉴定证书 (</w:t>
      </w:r>
      <w:r>
        <w:rPr>
          <w:rFonts w:ascii="Times New Roman" w:hAnsi="Times New Roman" w:eastAsia="Times New Roman" w:cs="Times New Roman"/>
          <w:spacing w:val="3"/>
          <w:sz w:val="23"/>
          <w:szCs w:val="23"/>
        </w:rPr>
        <w:t>[2017]</w:t>
      </w:r>
      <w:r>
        <w:rPr>
          <w:rFonts w:ascii="宋体" w:hAnsi="宋体" w:eastAsia="宋体" w:cs="宋体"/>
          <w:spacing w:val="3"/>
          <w:sz w:val="23"/>
          <w:szCs w:val="23"/>
        </w:rPr>
        <w:t xml:space="preserve">中环协鉴字 </w:t>
      </w:r>
      <w:r>
        <w:rPr>
          <w:rFonts w:ascii="Times New Roman" w:hAnsi="Times New Roman" w:eastAsia="Times New Roman" w:cs="Times New Roman"/>
          <w:spacing w:val="3"/>
          <w:sz w:val="23"/>
          <w:szCs w:val="23"/>
        </w:rPr>
        <w:t xml:space="preserve">5 </w:t>
      </w:r>
      <w:r>
        <w:rPr>
          <w:rFonts w:ascii="宋体" w:hAnsi="宋体" w:eastAsia="宋体" w:cs="宋体"/>
          <w:spacing w:val="3"/>
          <w:sz w:val="23"/>
          <w:szCs w:val="23"/>
        </w:rPr>
        <w:t xml:space="preserve">号) (见附件 </w:t>
      </w:r>
      <w:r>
        <w:rPr>
          <w:rFonts w:ascii="Times New Roman" w:hAnsi="Times New Roman" w:eastAsia="Times New Roman" w:cs="Times New Roman"/>
          <w:spacing w:val="3"/>
          <w:sz w:val="23"/>
          <w:szCs w:val="23"/>
        </w:rPr>
        <w:t>12</w:t>
      </w:r>
      <w:r>
        <w:rPr>
          <w:rFonts w:ascii="宋体" w:hAnsi="宋体" w:eastAsia="宋体" w:cs="宋体"/>
          <w:spacing w:val="3"/>
          <w:sz w:val="23"/>
          <w:szCs w:val="23"/>
        </w:rPr>
        <w:t>)。</w:t>
      </w:r>
    </w:p>
    <w:p w14:paraId="09752CCC">
      <w:pPr>
        <w:spacing w:before="4" w:line="227" w:lineRule="auto"/>
        <w:ind w:left="505"/>
        <w:rPr>
          <w:rFonts w:ascii="宋体" w:hAnsi="宋体" w:eastAsia="宋体" w:cs="宋体"/>
          <w:sz w:val="23"/>
          <w:szCs w:val="23"/>
        </w:rPr>
      </w:pPr>
      <w:r>
        <w:rPr>
          <w:rFonts w:ascii="宋体" w:hAnsi="宋体" w:eastAsia="宋体" w:cs="宋体"/>
          <w:spacing w:val="16"/>
          <w:sz w:val="23"/>
          <w:szCs w:val="23"/>
        </w:rPr>
        <w:t>畜</w:t>
      </w:r>
      <w:r>
        <w:rPr>
          <w:rFonts w:ascii="宋体" w:hAnsi="宋体" w:eastAsia="宋体" w:cs="宋体"/>
          <w:spacing w:val="15"/>
          <w:sz w:val="23"/>
          <w:szCs w:val="23"/>
        </w:rPr>
        <w:t>禽</w:t>
      </w:r>
      <w:r>
        <w:rPr>
          <w:rFonts w:ascii="宋体" w:hAnsi="宋体" w:eastAsia="宋体" w:cs="宋体"/>
          <w:spacing w:val="8"/>
          <w:sz w:val="23"/>
          <w:szCs w:val="23"/>
        </w:rPr>
        <w:t>粪污异位微生物发酵床处理技术主要技术经济指标：</w:t>
      </w:r>
    </w:p>
    <w:p w14:paraId="6F445045">
      <w:pPr>
        <w:spacing w:before="184" w:line="375" w:lineRule="auto"/>
        <w:ind w:left="12" w:right="103" w:firstLine="477"/>
        <w:rPr>
          <w:rFonts w:ascii="宋体" w:hAnsi="宋体" w:eastAsia="宋体" w:cs="宋体"/>
          <w:sz w:val="23"/>
          <w:szCs w:val="23"/>
        </w:rPr>
      </w:pPr>
      <w:r>
        <w:rPr>
          <w:rFonts w:ascii="宋体" w:hAnsi="宋体" w:eastAsia="宋体" w:cs="宋体"/>
          <w:spacing w:val="7"/>
          <w:sz w:val="23"/>
          <w:szCs w:val="23"/>
        </w:rPr>
        <w:t>①无污水外排。粪污中大部分水分在发酵产生热量的作用下以水蒸汽形式散发，少量</w:t>
      </w:r>
      <w:r>
        <w:rPr>
          <w:rFonts w:ascii="宋体" w:hAnsi="宋体" w:eastAsia="宋体" w:cs="宋体"/>
          <w:spacing w:val="6"/>
          <w:sz w:val="23"/>
          <w:szCs w:val="23"/>
        </w:rPr>
        <w:t>渗</w:t>
      </w:r>
      <w:r>
        <w:rPr>
          <w:rFonts w:ascii="宋体" w:hAnsi="宋体" w:eastAsia="宋体" w:cs="宋体"/>
          <w:sz w:val="23"/>
          <w:szCs w:val="23"/>
        </w:rPr>
        <w:t xml:space="preserve"> </w:t>
      </w:r>
      <w:r>
        <w:rPr>
          <w:rFonts w:ascii="宋体" w:hAnsi="宋体" w:eastAsia="宋体" w:cs="宋体"/>
          <w:spacing w:val="9"/>
          <w:sz w:val="23"/>
          <w:szCs w:val="23"/>
        </w:rPr>
        <w:t>滤液回送至喷淋池循环处理，无污水排放</w:t>
      </w:r>
      <w:r>
        <w:rPr>
          <w:rFonts w:ascii="宋体" w:hAnsi="宋体" w:eastAsia="宋体" w:cs="宋体"/>
          <w:spacing w:val="6"/>
          <w:sz w:val="23"/>
          <w:szCs w:val="23"/>
        </w:rPr>
        <w:t>。</w:t>
      </w:r>
    </w:p>
    <w:p w14:paraId="2AC84FD1">
      <w:pPr>
        <w:spacing w:before="1" w:line="374" w:lineRule="auto"/>
        <w:ind w:left="11" w:firstLine="477"/>
        <w:rPr>
          <w:rFonts w:ascii="宋体" w:hAnsi="宋体" w:eastAsia="宋体" w:cs="宋体"/>
          <w:sz w:val="23"/>
          <w:szCs w:val="23"/>
        </w:rPr>
      </w:pPr>
      <w:r>
        <w:rPr>
          <w:rFonts w:ascii="宋体" w:hAnsi="宋体" w:eastAsia="宋体" w:cs="宋体"/>
          <w:spacing w:val="8"/>
          <w:sz w:val="23"/>
          <w:szCs w:val="23"/>
        </w:rPr>
        <w:t>②无臭味。经测定</w:t>
      </w:r>
      <w:r>
        <w:rPr>
          <w:rFonts w:ascii="宋体" w:hAnsi="宋体" w:eastAsia="宋体" w:cs="宋体"/>
          <w:spacing w:val="4"/>
          <w:sz w:val="23"/>
          <w:szCs w:val="23"/>
        </w:rPr>
        <w:t>，猪场厂界恶臭符合《畜禽养殖业污染物排放标准》(</w:t>
      </w:r>
      <w:r>
        <w:rPr>
          <w:rFonts w:ascii="Times New Roman" w:hAnsi="Times New Roman" w:eastAsia="Times New Roman" w:cs="Times New Roman"/>
          <w:sz w:val="23"/>
          <w:szCs w:val="23"/>
        </w:rPr>
        <w:t>GB</w:t>
      </w:r>
      <w:r>
        <w:rPr>
          <w:rFonts w:ascii="Times New Roman" w:hAnsi="Times New Roman" w:eastAsia="Times New Roman" w:cs="Times New Roman"/>
          <w:spacing w:val="4"/>
          <w:sz w:val="23"/>
          <w:szCs w:val="23"/>
        </w:rPr>
        <w:t>18596-2001</w:t>
      </w:r>
      <w:r>
        <w:rPr>
          <w:rFonts w:ascii="宋体" w:hAnsi="宋体" w:eastAsia="宋体" w:cs="宋体"/>
          <w:spacing w:val="4"/>
          <w:sz w:val="23"/>
          <w:szCs w:val="23"/>
        </w:rPr>
        <w:t>)</w:t>
      </w:r>
      <w:r>
        <w:rPr>
          <w:rFonts w:ascii="宋体" w:hAnsi="宋体" w:eastAsia="宋体" w:cs="宋体"/>
          <w:sz w:val="23"/>
          <w:szCs w:val="23"/>
        </w:rPr>
        <w:t xml:space="preserve"> </w:t>
      </w:r>
      <w:r>
        <w:rPr>
          <w:rFonts w:ascii="宋体" w:hAnsi="宋体" w:eastAsia="宋体" w:cs="宋体"/>
          <w:spacing w:val="3"/>
          <w:sz w:val="23"/>
          <w:szCs w:val="23"/>
        </w:rPr>
        <w:t>要求。</w:t>
      </w:r>
    </w:p>
    <w:p w14:paraId="61AADC5E">
      <w:pPr>
        <w:spacing w:before="3" w:line="371" w:lineRule="auto"/>
        <w:ind w:left="10" w:right="18" w:firstLine="478"/>
        <w:rPr>
          <w:rFonts w:ascii="宋体" w:hAnsi="宋体" w:eastAsia="宋体" w:cs="宋体"/>
          <w:sz w:val="23"/>
          <w:szCs w:val="23"/>
        </w:rPr>
      </w:pPr>
      <w:r>
        <w:rPr>
          <w:rFonts w:ascii="宋体" w:hAnsi="宋体" w:eastAsia="宋体" w:cs="宋体"/>
          <w:spacing w:val="9"/>
          <w:sz w:val="23"/>
          <w:szCs w:val="23"/>
        </w:rPr>
        <w:t>③</w:t>
      </w:r>
      <w:r>
        <w:rPr>
          <w:rFonts w:ascii="宋体" w:hAnsi="宋体" w:eastAsia="宋体" w:cs="宋体"/>
          <w:spacing w:val="8"/>
          <w:sz w:val="23"/>
          <w:szCs w:val="23"/>
        </w:rPr>
        <w:t>每立方米垫料的粪污消纳量因粪污总固体浓度 (</w:t>
      </w:r>
      <w:r>
        <w:rPr>
          <w:rFonts w:ascii="Times New Roman" w:hAnsi="Times New Roman" w:eastAsia="Times New Roman" w:cs="Times New Roman"/>
          <w:sz w:val="23"/>
          <w:szCs w:val="23"/>
        </w:rPr>
        <w:t>TS</w:t>
      </w:r>
      <w:r>
        <w:rPr>
          <w:rFonts w:ascii="宋体" w:hAnsi="宋体" w:eastAsia="宋体" w:cs="宋体"/>
          <w:spacing w:val="8"/>
          <w:sz w:val="23"/>
          <w:szCs w:val="23"/>
        </w:rPr>
        <w:t>) 、菌种差异、喷淋与翻抛频率、</w:t>
      </w:r>
      <w:r>
        <w:rPr>
          <w:rFonts w:ascii="宋体" w:hAnsi="宋体" w:eastAsia="宋体" w:cs="宋体"/>
          <w:sz w:val="23"/>
          <w:szCs w:val="23"/>
        </w:rPr>
        <w:t xml:space="preserve"> </w:t>
      </w:r>
      <w:r>
        <w:rPr>
          <w:rFonts w:ascii="宋体" w:hAnsi="宋体" w:eastAsia="宋体" w:cs="宋体"/>
          <w:spacing w:val="1"/>
          <w:sz w:val="23"/>
          <w:szCs w:val="23"/>
        </w:rPr>
        <w:t>环境温湿度变化</w:t>
      </w:r>
      <w:r>
        <w:rPr>
          <w:rFonts w:ascii="宋体" w:hAnsi="宋体" w:eastAsia="宋体" w:cs="宋体"/>
          <w:sz w:val="23"/>
          <w:szCs w:val="23"/>
        </w:rPr>
        <w:t xml:space="preserve">而不同， 日处理粪污范围 </w:t>
      </w:r>
      <w:r>
        <w:rPr>
          <w:rFonts w:ascii="Times New Roman" w:hAnsi="Times New Roman" w:eastAsia="Times New Roman" w:cs="Times New Roman"/>
          <w:sz w:val="23"/>
          <w:szCs w:val="23"/>
        </w:rPr>
        <w:t xml:space="preserve">20~40kg </w:t>
      </w:r>
      <w:r>
        <w:rPr>
          <w:rFonts w:ascii="宋体" w:hAnsi="宋体" w:eastAsia="宋体" w:cs="宋体"/>
          <w:sz w:val="23"/>
          <w:szCs w:val="23"/>
        </w:rPr>
        <w:t xml:space="preserve">，平均 </w:t>
      </w:r>
      <w:r>
        <w:rPr>
          <w:rFonts w:ascii="Times New Roman" w:hAnsi="Times New Roman" w:eastAsia="Times New Roman" w:cs="Times New Roman"/>
          <w:sz w:val="23"/>
          <w:szCs w:val="23"/>
        </w:rPr>
        <w:t>30kg/m</w:t>
      </w:r>
      <w:r>
        <w:rPr>
          <w:rFonts w:ascii="Times New Roman" w:hAnsi="Times New Roman" w:eastAsia="Times New Roman" w:cs="Times New Roman"/>
          <w:position w:val="8"/>
          <w:sz w:val="15"/>
          <w:szCs w:val="15"/>
        </w:rPr>
        <w:t xml:space="preserve">3 </w:t>
      </w:r>
      <w:r>
        <w:rPr>
          <w:rFonts w:ascii="宋体" w:hAnsi="宋体" w:eastAsia="宋体" w:cs="宋体"/>
          <w:sz w:val="23"/>
          <w:szCs w:val="23"/>
        </w:rPr>
        <w:t>垫料。</w:t>
      </w:r>
    </w:p>
    <w:p w14:paraId="72D4DB03">
      <w:pPr>
        <w:spacing w:before="6" w:line="375" w:lineRule="auto"/>
        <w:ind w:left="16" w:right="104" w:firstLine="472"/>
        <w:rPr>
          <w:rFonts w:ascii="宋体" w:hAnsi="宋体" w:eastAsia="宋体" w:cs="宋体"/>
          <w:sz w:val="23"/>
          <w:szCs w:val="23"/>
        </w:rPr>
      </w:pPr>
      <w:r>
        <w:rPr>
          <w:rFonts w:ascii="宋体" w:hAnsi="宋体" w:eastAsia="宋体" w:cs="宋体"/>
          <w:spacing w:val="26"/>
          <w:sz w:val="23"/>
          <w:szCs w:val="23"/>
        </w:rPr>
        <w:t>④</w:t>
      </w:r>
      <w:r>
        <w:rPr>
          <w:rFonts w:ascii="宋体" w:hAnsi="宋体" w:eastAsia="宋体" w:cs="宋体"/>
          <w:spacing w:val="15"/>
          <w:sz w:val="23"/>
          <w:szCs w:val="23"/>
        </w:rPr>
        <w:t>附</w:t>
      </w:r>
      <w:r>
        <w:rPr>
          <w:rFonts w:ascii="宋体" w:hAnsi="宋体" w:eastAsia="宋体" w:cs="宋体"/>
          <w:spacing w:val="13"/>
          <w:sz w:val="23"/>
          <w:szCs w:val="23"/>
        </w:rPr>
        <w:t>属物料可作为功能性生物基质或微生物有机肥的原料资源化利用。附属物料符合</w:t>
      </w:r>
      <w:r>
        <w:rPr>
          <w:rFonts w:ascii="宋体" w:hAnsi="宋体" w:eastAsia="宋体" w:cs="宋体"/>
          <w:sz w:val="23"/>
          <w:szCs w:val="23"/>
        </w:rPr>
        <w:t xml:space="preserve"> </w:t>
      </w:r>
      <w:r>
        <w:rPr>
          <w:rFonts w:ascii="宋体" w:hAnsi="宋体" w:eastAsia="宋体" w:cs="宋体"/>
          <w:spacing w:val="6"/>
          <w:sz w:val="23"/>
          <w:szCs w:val="23"/>
        </w:rPr>
        <w:t xml:space="preserve">《有机肥料》  </w:t>
      </w:r>
      <w:r>
        <w:rPr>
          <w:rFonts w:ascii="宋体" w:hAnsi="宋体" w:eastAsia="宋体" w:cs="宋体"/>
          <w:spacing w:val="3"/>
          <w:sz w:val="23"/>
          <w:szCs w:val="23"/>
        </w:rPr>
        <w:t>(</w:t>
      </w:r>
      <w:r>
        <w:rPr>
          <w:rFonts w:ascii="Times New Roman" w:hAnsi="Times New Roman" w:eastAsia="Times New Roman" w:cs="Times New Roman"/>
          <w:sz w:val="23"/>
          <w:szCs w:val="23"/>
        </w:rPr>
        <w:t>NY</w:t>
      </w:r>
      <w:r>
        <w:rPr>
          <w:rFonts w:ascii="Times New Roman" w:hAnsi="Times New Roman" w:eastAsia="Times New Roman" w:cs="Times New Roman"/>
          <w:spacing w:val="3"/>
          <w:sz w:val="23"/>
          <w:szCs w:val="23"/>
        </w:rPr>
        <w:t>525-2012</w:t>
      </w:r>
      <w:r>
        <w:rPr>
          <w:rFonts w:ascii="宋体" w:hAnsi="宋体" w:eastAsia="宋体" w:cs="宋体"/>
          <w:spacing w:val="3"/>
          <w:sz w:val="23"/>
          <w:szCs w:val="23"/>
        </w:rPr>
        <w:t>) 要求，可用于生产有机肥料。</w:t>
      </w:r>
    </w:p>
    <w:p w14:paraId="6AE2EC43">
      <w:pPr>
        <w:spacing w:line="375" w:lineRule="auto"/>
        <w:ind w:left="9" w:right="103" w:firstLine="479"/>
        <w:rPr>
          <w:rFonts w:ascii="宋体" w:hAnsi="宋体" w:eastAsia="宋体" w:cs="宋体"/>
          <w:sz w:val="23"/>
          <w:szCs w:val="23"/>
        </w:rPr>
      </w:pPr>
      <w:r>
        <w:rPr>
          <w:rFonts w:ascii="宋体" w:hAnsi="宋体" w:eastAsia="宋体" w:cs="宋体"/>
          <w:spacing w:val="7"/>
          <w:sz w:val="23"/>
          <w:szCs w:val="23"/>
        </w:rPr>
        <w:t>⑤与传统畜禽养殖污染治理工程和原位微生物发酵床处理技术比较，异位微生物发酵床</w:t>
      </w:r>
      <w:r>
        <w:rPr>
          <w:rFonts w:ascii="宋体" w:hAnsi="宋体" w:eastAsia="宋体" w:cs="宋体"/>
          <w:sz w:val="23"/>
          <w:szCs w:val="23"/>
        </w:rPr>
        <w:t xml:space="preserve"> </w:t>
      </w:r>
      <w:r>
        <w:rPr>
          <w:rFonts w:ascii="宋体" w:hAnsi="宋体" w:eastAsia="宋体" w:cs="宋体"/>
          <w:spacing w:val="12"/>
          <w:sz w:val="23"/>
          <w:szCs w:val="23"/>
        </w:rPr>
        <w:t>处</w:t>
      </w:r>
      <w:r>
        <w:rPr>
          <w:rFonts w:ascii="宋体" w:hAnsi="宋体" w:eastAsia="宋体" w:cs="宋体"/>
          <w:spacing w:val="7"/>
          <w:sz w:val="23"/>
          <w:szCs w:val="23"/>
        </w:rPr>
        <w:t>理技术工程投资低，技术和设备集成度与自动化水平较高，运行灵活方便，运营管理费用</w:t>
      </w:r>
      <w:r>
        <w:rPr>
          <w:rFonts w:ascii="宋体" w:hAnsi="宋体" w:eastAsia="宋体" w:cs="宋体"/>
          <w:sz w:val="23"/>
          <w:szCs w:val="23"/>
        </w:rPr>
        <w:t xml:space="preserve"> </w:t>
      </w:r>
      <w:r>
        <w:rPr>
          <w:rFonts w:ascii="宋体" w:hAnsi="宋体" w:eastAsia="宋体" w:cs="宋体"/>
          <w:spacing w:val="6"/>
          <w:sz w:val="23"/>
          <w:szCs w:val="23"/>
        </w:rPr>
        <w:t>低</w:t>
      </w:r>
      <w:r>
        <w:rPr>
          <w:rFonts w:ascii="宋体" w:hAnsi="宋体" w:eastAsia="宋体" w:cs="宋体"/>
          <w:spacing w:val="5"/>
          <w:sz w:val="23"/>
          <w:szCs w:val="23"/>
        </w:rPr>
        <w:t>， 占地面积小，资源化利用率高，有较好的环境和经济效益。</w:t>
      </w:r>
    </w:p>
    <w:p w14:paraId="1E8EAF04">
      <w:pPr>
        <w:spacing w:before="2" w:line="374" w:lineRule="auto"/>
        <w:ind w:left="11" w:right="103" w:firstLine="480"/>
        <w:rPr>
          <w:rFonts w:ascii="宋体" w:hAnsi="宋体" w:eastAsia="宋体" w:cs="宋体"/>
          <w:sz w:val="23"/>
          <w:szCs w:val="23"/>
        </w:rPr>
      </w:pPr>
      <w:r>
        <w:rPr>
          <w:rFonts w:ascii="宋体" w:hAnsi="宋体" w:eastAsia="宋体" w:cs="宋体"/>
          <w:spacing w:val="7"/>
          <w:sz w:val="23"/>
          <w:szCs w:val="23"/>
        </w:rPr>
        <w:t>经中国环境保护产业协会组织专家鉴定，认为畜禽粪污异位微生物发酵床处理技术达</w:t>
      </w:r>
      <w:r>
        <w:rPr>
          <w:rFonts w:ascii="宋体" w:hAnsi="宋体" w:eastAsia="宋体" w:cs="宋体"/>
          <w:spacing w:val="4"/>
          <w:sz w:val="23"/>
          <w:szCs w:val="23"/>
        </w:rPr>
        <w:t>到</w:t>
      </w:r>
      <w:r>
        <w:rPr>
          <w:rFonts w:ascii="宋体" w:hAnsi="宋体" w:eastAsia="宋体" w:cs="宋体"/>
          <w:sz w:val="23"/>
          <w:szCs w:val="23"/>
        </w:rPr>
        <w:t xml:space="preserve"> </w:t>
      </w:r>
      <w:r>
        <w:rPr>
          <w:rFonts w:ascii="宋体" w:hAnsi="宋体" w:eastAsia="宋体" w:cs="宋体"/>
          <w:spacing w:val="11"/>
          <w:sz w:val="23"/>
          <w:szCs w:val="23"/>
        </w:rPr>
        <w:t>养</w:t>
      </w:r>
      <w:r>
        <w:rPr>
          <w:rFonts w:ascii="宋体" w:hAnsi="宋体" w:eastAsia="宋体" w:cs="宋体"/>
          <w:spacing w:val="7"/>
          <w:sz w:val="23"/>
          <w:szCs w:val="23"/>
        </w:rPr>
        <w:t>殖场无污水排放及粪污无害化资源化的目的，已在多个养猪场应用。资源化利用率高，有</w:t>
      </w:r>
    </w:p>
    <w:p w14:paraId="62DCFCD9">
      <w:pPr>
        <w:spacing w:line="227" w:lineRule="auto"/>
        <w:ind w:left="10"/>
        <w:rPr>
          <w:rFonts w:ascii="宋体" w:hAnsi="宋体" w:eastAsia="宋体" w:cs="宋体"/>
          <w:sz w:val="23"/>
          <w:szCs w:val="23"/>
        </w:rPr>
      </w:pPr>
      <w:r>
        <w:rPr>
          <w:rFonts w:ascii="宋体" w:hAnsi="宋体" w:eastAsia="宋体" w:cs="宋体"/>
          <w:spacing w:val="9"/>
          <w:sz w:val="23"/>
          <w:szCs w:val="23"/>
        </w:rPr>
        <w:t>较好的环境经济效益，用户反映良好</w:t>
      </w:r>
      <w:r>
        <w:rPr>
          <w:rFonts w:ascii="宋体" w:hAnsi="宋体" w:eastAsia="宋体" w:cs="宋体"/>
          <w:spacing w:val="6"/>
          <w:sz w:val="23"/>
          <w:szCs w:val="23"/>
        </w:rPr>
        <w:t>。</w:t>
      </w:r>
    </w:p>
    <w:p w14:paraId="52DD0D36">
      <w:pPr>
        <w:spacing w:before="138" w:line="382" w:lineRule="auto"/>
        <w:ind w:left="10" w:right="103" w:firstLine="483"/>
        <w:rPr>
          <w:rFonts w:ascii="宋体" w:hAnsi="宋体" w:eastAsia="宋体" w:cs="宋体"/>
          <w:sz w:val="23"/>
          <w:szCs w:val="23"/>
        </w:rPr>
      </w:pPr>
      <w:r>
        <w:rPr>
          <w:rFonts w:ascii="宋体" w:hAnsi="宋体" w:eastAsia="宋体" w:cs="宋体"/>
          <w:spacing w:val="16"/>
          <w:sz w:val="23"/>
          <w:szCs w:val="23"/>
        </w:rPr>
        <w:t>项</w:t>
      </w:r>
      <w:r>
        <w:rPr>
          <w:rFonts w:ascii="宋体" w:hAnsi="宋体" w:eastAsia="宋体" w:cs="宋体"/>
          <w:spacing w:val="9"/>
          <w:sz w:val="23"/>
          <w:szCs w:val="23"/>
        </w:rPr>
        <w:t>目</w:t>
      </w:r>
      <w:r>
        <w:rPr>
          <w:rFonts w:ascii="宋体" w:hAnsi="宋体" w:eastAsia="宋体" w:cs="宋体"/>
          <w:spacing w:val="8"/>
          <w:sz w:val="23"/>
          <w:szCs w:val="23"/>
        </w:rPr>
        <w:t>采用的</w:t>
      </w:r>
      <w:r>
        <w:rPr>
          <w:rFonts w:ascii="Times New Roman" w:hAnsi="Times New Roman" w:eastAsia="Times New Roman" w:cs="Times New Roman"/>
          <w:spacing w:val="8"/>
          <w:sz w:val="23"/>
          <w:szCs w:val="23"/>
        </w:rPr>
        <w:t>“</w:t>
      </w:r>
      <w:r>
        <w:rPr>
          <w:rFonts w:ascii="宋体" w:hAnsi="宋体" w:eastAsia="宋体" w:cs="宋体"/>
          <w:spacing w:val="8"/>
          <w:sz w:val="23"/>
          <w:szCs w:val="23"/>
        </w:rPr>
        <w:t>高架网床</w:t>
      </w:r>
      <w:r>
        <w:rPr>
          <w:rFonts w:ascii="Times New Roman" w:hAnsi="Times New Roman" w:eastAsia="Times New Roman" w:cs="Times New Roman"/>
          <w:spacing w:val="8"/>
          <w:sz w:val="23"/>
          <w:szCs w:val="23"/>
        </w:rPr>
        <w:t>+</w:t>
      </w:r>
      <w:r>
        <w:rPr>
          <w:rFonts w:ascii="宋体" w:hAnsi="宋体" w:eastAsia="宋体" w:cs="宋体"/>
          <w:spacing w:val="8"/>
          <w:sz w:val="23"/>
          <w:szCs w:val="23"/>
        </w:rPr>
        <w:t>益生菌</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、尿泡粪、异位微生物发酵床工艺等技术在《兴业县石</w:t>
      </w:r>
      <w:r>
        <w:rPr>
          <w:rFonts w:ascii="宋体" w:hAnsi="宋体" w:eastAsia="宋体" w:cs="宋体"/>
          <w:sz w:val="23"/>
          <w:szCs w:val="23"/>
        </w:rPr>
        <w:t xml:space="preserve"> </w:t>
      </w:r>
      <w:r>
        <w:rPr>
          <w:rFonts w:ascii="宋体" w:hAnsi="宋体" w:eastAsia="宋体" w:cs="宋体"/>
          <w:spacing w:val="12"/>
          <w:sz w:val="23"/>
          <w:szCs w:val="23"/>
        </w:rPr>
        <w:t>马</w:t>
      </w:r>
      <w:r>
        <w:rPr>
          <w:rFonts w:ascii="宋体" w:hAnsi="宋体" w:eastAsia="宋体" w:cs="宋体"/>
          <w:spacing w:val="7"/>
          <w:sz w:val="23"/>
          <w:szCs w:val="23"/>
        </w:rPr>
        <w:t>镇马塘生态养猪示范区》以及《泉州绿之园农林业开发有限公司农业综合开发项目》均得</w:t>
      </w:r>
      <w:r>
        <w:rPr>
          <w:rFonts w:ascii="宋体" w:hAnsi="宋体" w:eastAsia="宋体" w:cs="宋体"/>
          <w:sz w:val="23"/>
          <w:szCs w:val="23"/>
        </w:rPr>
        <w:t xml:space="preserve"> </w:t>
      </w:r>
      <w:r>
        <w:rPr>
          <w:rFonts w:ascii="宋体" w:hAnsi="宋体" w:eastAsia="宋体" w:cs="宋体"/>
          <w:spacing w:val="12"/>
          <w:sz w:val="23"/>
          <w:szCs w:val="23"/>
        </w:rPr>
        <w:t>到</w:t>
      </w:r>
      <w:r>
        <w:rPr>
          <w:rFonts w:ascii="宋体" w:hAnsi="宋体" w:eastAsia="宋体" w:cs="宋体"/>
          <w:spacing w:val="7"/>
          <w:sz w:val="23"/>
          <w:szCs w:val="23"/>
        </w:rPr>
        <w:t>了成功的运用。尿泡粪有助于减少污水产生量，可以减轻粪污处理系统的负荷。微生物菌</w:t>
      </w:r>
      <w:r>
        <w:rPr>
          <w:rFonts w:ascii="宋体" w:hAnsi="宋体" w:eastAsia="宋体" w:cs="宋体"/>
          <w:sz w:val="23"/>
          <w:szCs w:val="23"/>
        </w:rPr>
        <w:t xml:space="preserve"> </w:t>
      </w:r>
      <w:r>
        <w:rPr>
          <w:rFonts w:ascii="宋体" w:hAnsi="宋体" w:eastAsia="宋体" w:cs="宋体"/>
          <w:spacing w:val="20"/>
          <w:sz w:val="23"/>
          <w:szCs w:val="23"/>
        </w:rPr>
        <w:t>群以</w:t>
      </w:r>
      <w:r>
        <w:rPr>
          <w:rFonts w:ascii="宋体" w:hAnsi="宋体" w:eastAsia="宋体" w:cs="宋体"/>
          <w:spacing w:val="17"/>
          <w:sz w:val="23"/>
          <w:szCs w:val="23"/>
        </w:rPr>
        <w:t>谷</w:t>
      </w:r>
      <w:r>
        <w:rPr>
          <w:rFonts w:ascii="宋体" w:hAnsi="宋体" w:eastAsia="宋体" w:cs="宋体"/>
          <w:spacing w:val="10"/>
          <w:sz w:val="23"/>
          <w:szCs w:val="23"/>
        </w:rPr>
        <w:t xml:space="preserve">壳、锯末等为原料迅速降解、消化水中污染物，并产生 </w:t>
      </w:r>
      <w:r>
        <w:rPr>
          <w:rFonts w:ascii="Times New Roman" w:hAnsi="Times New Roman" w:eastAsia="Times New Roman" w:cs="Times New Roman"/>
          <w:sz w:val="23"/>
          <w:szCs w:val="23"/>
        </w:rPr>
        <w:t>CO</w:t>
      </w:r>
      <w:r>
        <w:rPr>
          <w:rFonts w:ascii="Times New Roman" w:hAnsi="Times New Roman" w:eastAsia="Times New Roman" w:cs="Times New Roman"/>
          <w:spacing w:val="10"/>
          <w:position w:val="-1"/>
          <w:sz w:val="15"/>
          <w:szCs w:val="15"/>
        </w:rPr>
        <w:t xml:space="preserve">2 </w:t>
      </w:r>
      <w:r>
        <w:rPr>
          <w:rFonts w:ascii="宋体" w:hAnsi="宋体" w:eastAsia="宋体" w:cs="宋体"/>
          <w:spacing w:val="10"/>
          <w:sz w:val="23"/>
          <w:szCs w:val="23"/>
        </w:rPr>
        <w:t>和水蒸汽，从而实现污</w:t>
      </w:r>
      <w:r>
        <w:rPr>
          <w:rFonts w:ascii="宋体" w:hAnsi="宋体" w:eastAsia="宋体" w:cs="宋体"/>
          <w:sz w:val="23"/>
          <w:szCs w:val="23"/>
        </w:rPr>
        <w:t xml:space="preserve"> </w:t>
      </w:r>
      <w:r>
        <w:rPr>
          <w:rFonts w:ascii="宋体" w:hAnsi="宋体" w:eastAsia="宋体" w:cs="宋体"/>
          <w:spacing w:val="8"/>
          <w:sz w:val="23"/>
          <w:szCs w:val="23"/>
        </w:rPr>
        <w:t>水</w:t>
      </w:r>
      <w:r>
        <w:rPr>
          <w:rFonts w:ascii="宋体" w:hAnsi="宋体" w:eastAsia="宋体" w:cs="宋体"/>
          <w:spacing w:val="7"/>
          <w:sz w:val="23"/>
          <w:szCs w:val="23"/>
        </w:rPr>
        <w:t>不对外排放。</w:t>
      </w:r>
    </w:p>
    <w:p w14:paraId="0550BE8A">
      <w:pPr>
        <w:spacing w:before="1" w:line="227" w:lineRule="auto"/>
        <w:ind w:left="492"/>
        <w:rPr>
          <w:rFonts w:ascii="宋体" w:hAnsi="宋体" w:eastAsia="宋体" w:cs="宋体"/>
          <w:sz w:val="23"/>
          <w:szCs w:val="23"/>
        </w:rPr>
      </w:pPr>
      <w:r>
        <w:rPr>
          <w:rFonts w:ascii="宋体" w:hAnsi="宋体" w:eastAsia="宋体" w:cs="宋体"/>
          <w:spacing w:val="9"/>
          <w:sz w:val="23"/>
          <w:szCs w:val="23"/>
        </w:rPr>
        <w:t>谷</w:t>
      </w:r>
      <w:r>
        <w:rPr>
          <w:rFonts w:ascii="宋体" w:hAnsi="宋体" w:eastAsia="宋体" w:cs="宋体"/>
          <w:spacing w:val="7"/>
          <w:sz w:val="23"/>
          <w:szCs w:val="23"/>
        </w:rPr>
        <w:t>壳、锯末与粪污混合发酵发酵初期，是垫料中的好氧型微生物分解最旺盛的阶段，不</w:t>
      </w:r>
    </w:p>
    <w:p w14:paraId="05AA7985">
      <w:pPr>
        <w:sectPr>
          <w:headerReference r:id="rId243" w:type="default"/>
          <w:footerReference r:id="rId244" w:type="default"/>
          <w:pgSz w:w="11906" w:h="16839"/>
          <w:pgMar w:top="1113" w:right="1030" w:bottom="1157" w:left="1275" w:header="878" w:footer="994" w:gutter="0"/>
          <w:cols w:space="720" w:num="1"/>
        </w:sectPr>
      </w:pPr>
    </w:p>
    <w:p w14:paraId="78049E6F">
      <w:pPr>
        <w:spacing w:before="196" w:line="375" w:lineRule="auto"/>
        <w:ind w:left="122" w:firstLine="10"/>
        <w:rPr>
          <w:rFonts w:ascii="宋体" w:hAnsi="宋体" w:eastAsia="宋体" w:cs="宋体"/>
          <w:sz w:val="23"/>
          <w:szCs w:val="23"/>
        </w:rPr>
      </w:pPr>
      <w:r>
        <w:rPr>
          <w:rFonts w:ascii="宋体" w:hAnsi="宋体" w:eastAsia="宋体" w:cs="宋体"/>
          <w:spacing w:val="12"/>
          <w:sz w:val="23"/>
          <w:szCs w:val="23"/>
        </w:rPr>
        <w:t>断分</w:t>
      </w:r>
      <w:r>
        <w:rPr>
          <w:rFonts w:ascii="宋体" w:hAnsi="宋体" w:eastAsia="宋体" w:cs="宋体"/>
          <w:spacing w:val="11"/>
          <w:sz w:val="23"/>
          <w:szCs w:val="23"/>
        </w:rPr>
        <w:t>解</w:t>
      </w:r>
      <w:r>
        <w:rPr>
          <w:rFonts w:ascii="宋体" w:hAnsi="宋体" w:eastAsia="宋体" w:cs="宋体"/>
          <w:spacing w:val="6"/>
          <w:sz w:val="23"/>
          <w:szCs w:val="23"/>
        </w:rPr>
        <w:t xml:space="preserve">有机物质，产生大量的热，从而不断提高垫料温度，从 </w:t>
      </w:r>
      <w:r>
        <w:rPr>
          <w:rFonts w:ascii="Times New Roman" w:hAnsi="Times New Roman" w:eastAsia="Times New Roman" w:cs="Times New Roman"/>
          <w:spacing w:val="6"/>
          <w:sz w:val="23"/>
          <w:szCs w:val="23"/>
        </w:rPr>
        <w:t>20</w:t>
      </w:r>
      <w:r>
        <w:rPr>
          <w:rFonts w:ascii="宋体" w:hAnsi="宋体" w:eastAsia="宋体" w:cs="宋体"/>
          <w:spacing w:val="6"/>
          <w:sz w:val="23"/>
          <w:szCs w:val="23"/>
        </w:rPr>
        <w:t>℃上升至</w:t>
      </w:r>
      <w:r>
        <w:rPr>
          <w:rFonts w:ascii="Times New Roman" w:hAnsi="Times New Roman" w:eastAsia="Times New Roman" w:cs="Times New Roman"/>
          <w:spacing w:val="6"/>
          <w:sz w:val="23"/>
          <w:szCs w:val="23"/>
        </w:rPr>
        <w:t>40</w:t>
      </w:r>
      <w:r>
        <w:rPr>
          <w:rFonts w:ascii="宋体" w:hAnsi="宋体" w:eastAsia="宋体" w:cs="宋体"/>
          <w:spacing w:val="6"/>
          <w:sz w:val="23"/>
          <w:szCs w:val="23"/>
        </w:rPr>
        <w:t>℃ 。这个阶段</w:t>
      </w:r>
      <w:r>
        <w:rPr>
          <w:rFonts w:ascii="宋体" w:hAnsi="宋体" w:eastAsia="宋体" w:cs="宋体"/>
          <w:sz w:val="23"/>
          <w:szCs w:val="23"/>
        </w:rPr>
        <w:t xml:space="preserve"> </w:t>
      </w:r>
      <w:r>
        <w:rPr>
          <w:rFonts w:ascii="宋体" w:hAnsi="宋体" w:eastAsia="宋体" w:cs="宋体"/>
          <w:spacing w:val="12"/>
          <w:sz w:val="23"/>
          <w:szCs w:val="23"/>
        </w:rPr>
        <w:t>为</w:t>
      </w:r>
      <w:r>
        <w:rPr>
          <w:rFonts w:ascii="宋体" w:hAnsi="宋体" w:eastAsia="宋体" w:cs="宋体"/>
          <w:spacing w:val="7"/>
          <w:sz w:val="23"/>
          <w:szCs w:val="23"/>
        </w:rPr>
        <w:t>发热阶段或中温阶段。随着温度升高，好热厌氧性型的微生物逐渐起到主导作用，持续对</w:t>
      </w:r>
      <w:r>
        <w:rPr>
          <w:rFonts w:ascii="宋体" w:hAnsi="宋体" w:eastAsia="宋体" w:cs="宋体"/>
          <w:sz w:val="23"/>
          <w:szCs w:val="23"/>
        </w:rPr>
        <w:t xml:space="preserve"> </w:t>
      </w:r>
      <w:r>
        <w:rPr>
          <w:rFonts w:ascii="宋体" w:hAnsi="宋体" w:eastAsia="宋体" w:cs="宋体"/>
          <w:spacing w:val="6"/>
          <w:sz w:val="23"/>
          <w:szCs w:val="23"/>
        </w:rPr>
        <w:t>垫料中的复杂</w:t>
      </w:r>
      <w:r>
        <w:rPr>
          <w:rFonts w:ascii="宋体" w:hAnsi="宋体" w:eastAsia="宋体" w:cs="宋体"/>
          <w:spacing w:val="5"/>
          <w:sz w:val="23"/>
          <w:szCs w:val="23"/>
        </w:rPr>
        <w:t>有</w:t>
      </w:r>
      <w:r>
        <w:rPr>
          <w:rFonts w:ascii="宋体" w:hAnsi="宋体" w:eastAsia="宋体" w:cs="宋体"/>
          <w:spacing w:val="3"/>
          <w:sz w:val="23"/>
          <w:szCs w:val="23"/>
        </w:rPr>
        <w:t xml:space="preserve">机质进行分解，热量积累，可将温度上升至 </w:t>
      </w:r>
      <w:r>
        <w:rPr>
          <w:rFonts w:ascii="Times New Roman" w:hAnsi="Times New Roman" w:eastAsia="Times New Roman" w:cs="Times New Roman"/>
          <w:spacing w:val="3"/>
          <w:sz w:val="23"/>
          <w:szCs w:val="23"/>
        </w:rPr>
        <w:t>60~70</w:t>
      </w:r>
      <w:r>
        <w:rPr>
          <w:rFonts w:ascii="宋体" w:hAnsi="宋体" w:eastAsia="宋体" w:cs="宋体"/>
          <w:spacing w:val="3"/>
          <w:sz w:val="23"/>
          <w:szCs w:val="23"/>
        </w:rPr>
        <w:t xml:space="preserve">℃ ，最高可达到 </w:t>
      </w:r>
      <w:r>
        <w:rPr>
          <w:rFonts w:ascii="Times New Roman" w:hAnsi="Times New Roman" w:eastAsia="Times New Roman" w:cs="Times New Roman"/>
          <w:spacing w:val="3"/>
          <w:sz w:val="23"/>
          <w:szCs w:val="23"/>
        </w:rPr>
        <w:t xml:space="preserve">70  </w:t>
      </w:r>
      <w:r>
        <w:rPr>
          <w:rFonts w:ascii="宋体" w:hAnsi="宋体" w:eastAsia="宋体" w:cs="宋体"/>
          <w:spacing w:val="3"/>
          <w:sz w:val="23"/>
          <w:szCs w:val="23"/>
        </w:rPr>
        <w:t>摄氏</w:t>
      </w:r>
      <w:r>
        <w:rPr>
          <w:rFonts w:ascii="宋体" w:hAnsi="宋体" w:eastAsia="宋体" w:cs="宋体"/>
          <w:sz w:val="23"/>
          <w:szCs w:val="23"/>
        </w:rPr>
        <w:t xml:space="preserve"> </w:t>
      </w:r>
      <w:r>
        <w:rPr>
          <w:rFonts w:ascii="宋体" w:hAnsi="宋体" w:eastAsia="宋体" w:cs="宋体"/>
          <w:spacing w:val="12"/>
          <w:sz w:val="23"/>
          <w:szCs w:val="23"/>
        </w:rPr>
        <w:t>度</w:t>
      </w:r>
      <w:r>
        <w:rPr>
          <w:rFonts w:ascii="宋体" w:hAnsi="宋体" w:eastAsia="宋体" w:cs="宋体"/>
          <w:spacing w:val="7"/>
          <w:sz w:val="23"/>
          <w:szCs w:val="23"/>
        </w:rPr>
        <w:t>。这对加快垫料的腐熟有很重要的作用，同时内部水分随着温度的升高也不断的蒸发，垫</w:t>
      </w:r>
      <w:r>
        <w:rPr>
          <w:rFonts w:ascii="宋体" w:hAnsi="宋体" w:eastAsia="宋体" w:cs="宋体"/>
          <w:sz w:val="23"/>
          <w:szCs w:val="23"/>
        </w:rPr>
        <w:t xml:space="preserve"> </w:t>
      </w:r>
      <w:r>
        <w:rPr>
          <w:rFonts w:ascii="宋体" w:hAnsi="宋体" w:eastAsia="宋体" w:cs="宋体"/>
          <w:spacing w:val="12"/>
          <w:sz w:val="23"/>
          <w:szCs w:val="23"/>
        </w:rPr>
        <w:t>料</w:t>
      </w:r>
      <w:r>
        <w:rPr>
          <w:rFonts w:ascii="宋体" w:hAnsi="宋体" w:eastAsia="宋体" w:cs="宋体"/>
          <w:spacing w:val="7"/>
          <w:sz w:val="23"/>
          <w:szCs w:val="23"/>
        </w:rPr>
        <w:t>内部水分比例减少。随着高温的持续，垫料中的有机质逐渐被分解完全，剩下的都是难以</w:t>
      </w:r>
      <w:r>
        <w:rPr>
          <w:rFonts w:ascii="宋体" w:hAnsi="宋体" w:eastAsia="宋体" w:cs="宋体"/>
          <w:sz w:val="23"/>
          <w:szCs w:val="23"/>
        </w:rPr>
        <w:t xml:space="preserve"> </w:t>
      </w:r>
      <w:r>
        <w:rPr>
          <w:rFonts w:ascii="宋体" w:hAnsi="宋体" w:eastAsia="宋体" w:cs="宋体"/>
          <w:spacing w:val="16"/>
          <w:sz w:val="23"/>
          <w:szCs w:val="23"/>
        </w:rPr>
        <w:t>分</w:t>
      </w:r>
      <w:r>
        <w:rPr>
          <w:rFonts w:ascii="宋体" w:hAnsi="宋体" w:eastAsia="宋体" w:cs="宋体"/>
          <w:spacing w:val="13"/>
          <w:sz w:val="23"/>
          <w:szCs w:val="23"/>
        </w:rPr>
        <w:t>解</w:t>
      </w:r>
      <w:r>
        <w:rPr>
          <w:rFonts w:ascii="宋体" w:hAnsi="宋体" w:eastAsia="宋体" w:cs="宋体"/>
          <w:spacing w:val="8"/>
          <w:sz w:val="23"/>
          <w:szCs w:val="23"/>
        </w:rPr>
        <w:t>或不能分解的物质，微生物的活动逐渐减弱，温度也逐渐下降。在垫料发酵腐熟之后，</w:t>
      </w:r>
      <w:r>
        <w:rPr>
          <w:rFonts w:ascii="宋体" w:hAnsi="宋体" w:eastAsia="宋体" w:cs="宋体"/>
          <w:sz w:val="23"/>
          <w:szCs w:val="23"/>
        </w:rPr>
        <w:t xml:space="preserve"> </w:t>
      </w:r>
      <w:r>
        <w:rPr>
          <w:rFonts w:ascii="宋体" w:hAnsi="宋体" w:eastAsia="宋体" w:cs="宋体"/>
          <w:spacing w:val="18"/>
          <w:sz w:val="23"/>
          <w:szCs w:val="23"/>
        </w:rPr>
        <w:t>垫</w:t>
      </w:r>
      <w:r>
        <w:rPr>
          <w:rFonts w:ascii="宋体" w:hAnsi="宋体" w:eastAsia="宋体" w:cs="宋体"/>
          <w:spacing w:val="9"/>
          <w:sz w:val="23"/>
          <w:szCs w:val="23"/>
        </w:rPr>
        <w:t>料被分解成高营养的腐殖质，温度也逐渐下降至稍高于气温。</w:t>
      </w:r>
    </w:p>
    <w:p w14:paraId="643EEE3A">
      <w:pPr>
        <w:spacing w:line="227" w:lineRule="auto"/>
        <w:ind w:left="598"/>
        <w:rPr>
          <w:rFonts w:ascii="宋体" w:hAnsi="宋体" w:eastAsia="宋体" w:cs="宋体"/>
          <w:sz w:val="23"/>
          <w:szCs w:val="23"/>
        </w:rPr>
      </w:pPr>
      <w:r>
        <w:rPr>
          <w:rFonts w:ascii="Times New Roman" w:hAnsi="Times New Roman" w:eastAsia="Times New Roman" w:cs="Times New Roman"/>
          <w:spacing w:val="9"/>
          <w:sz w:val="23"/>
          <w:szCs w:val="23"/>
        </w:rPr>
        <w:t>2</w:t>
      </w:r>
      <w:r>
        <w:rPr>
          <w:rFonts w:ascii="宋体" w:hAnsi="宋体" w:eastAsia="宋体" w:cs="宋体"/>
          <w:spacing w:val="9"/>
          <w:sz w:val="23"/>
          <w:szCs w:val="23"/>
        </w:rPr>
        <w:t>) 区域同类项目异位微生物发酵床使用情况</w:t>
      </w:r>
    </w:p>
    <w:p w14:paraId="5D46021B">
      <w:pPr>
        <w:spacing w:before="180" w:line="375" w:lineRule="auto"/>
        <w:ind w:left="122" w:right="42" w:firstLine="482"/>
        <w:rPr>
          <w:rFonts w:ascii="宋体" w:hAnsi="宋体" w:eastAsia="宋体" w:cs="宋体"/>
          <w:sz w:val="23"/>
          <w:szCs w:val="23"/>
        </w:rPr>
      </w:pPr>
      <w:r>
        <w:rPr>
          <w:rFonts w:ascii="宋体" w:hAnsi="宋体" w:eastAsia="宋体" w:cs="宋体"/>
          <w:spacing w:val="10"/>
          <w:sz w:val="23"/>
          <w:szCs w:val="23"/>
        </w:rPr>
        <w:t>异位微生物发酵床技术已在异位微生物发酵床已成功运用于四川巨星集团集贤猪场(</w:t>
      </w:r>
      <w:r>
        <w:rPr>
          <w:rFonts w:ascii="宋体" w:hAnsi="宋体" w:eastAsia="宋体" w:cs="宋体"/>
          <w:spacing w:val="7"/>
          <w:sz w:val="23"/>
          <w:szCs w:val="23"/>
        </w:rPr>
        <w:t>存</w:t>
      </w:r>
      <w:r>
        <w:rPr>
          <w:rFonts w:ascii="宋体" w:hAnsi="宋体" w:eastAsia="宋体" w:cs="宋体"/>
          <w:sz w:val="23"/>
          <w:szCs w:val="23"/>
        </w:rPr>
        <w:t xml:space="preserve"> </w:t>
      </w:r>
      <w:r>
        <w:rPr>
          <w:rFonts w:ascii="宋体" w:hAnsi="宋体" w:eastAsia="宋体" w:cs="宋体"/>
          <w:spacing w:val="6"/>
          <w:sz w:val="23"/>
          <w:szCs w:val="23"/>
        </w:rPr>
        <w:t xml:space="preserve">栏 </w:t>
      </w:r>
      <w:r>
        <w:rPr>
          <w:rFonts w:ascii="Times New Roman" w:hAnsi="Times New Roman" w:eastAsia="Times New Roman" w:cs="Times New Roman"/>
          <w:spacing w:val="6"/>
          <w:sz w:val="23"/>
          <w:szCs w:val="23"/>
        </w:rPr>
        <w:t>5000</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头) 、泸州万物生态农业有限公司 (</w:t>
      </w:r>
      <w:r>
        <w:rPr>
          <w:rFonts w:ascii="Times New Roman" w:hAnsi="Times New Roman" w:eastAsia="Times New Roman" w:cs="Times New Roman"/>
          <w:spacing w:val="3"/>
          <w:sz w:val="23"/>
          <w:szCs w:val="23"/>
        </w:rPr>
        <w:t xml:space="preserve">500 </w:t>
      </w:r>
      <w:r>
        <w:rPr>
          <w:rFonts w:ascii="宋体" w:hAnsi="宋体" w:eastAsia="宋体" w:cs="宋体"/>
          <w:spacing w:val="3"/>
          <w:sz w:val="23"/>
          <w:szCs w:val="23"/>
        </w:rPr>
        <w:t>头母猪场) 、武胜天兆畜牧有限公司 (</w:t>
      </w:r>
      <w:r>
        <w:rPr>
          <w:rFonts w:ascii="Times New Roman" w:hAnsi="Times New Roman" w:eastAsia="Times New Roman" w:cs="Times New Roman"/>
          <w:spacing w:val="3"/>
          <w:sz w:val="23"/>
          <w:szCs w:val="23"/>
        </w:rPr>
        <w:t>4400</w:t>
      </w:r>
      <w:r>
        <w:rPr>
          <w:rFonts w:ascii="Times New Roman" w:hAnsi="Times New Roman" w:eastAsia="Times New Roman" w:cs="Times New Roman"/>
          <w:sz w:val="23"/>
          <w:szCs w:val="23"/>
        </w:rPr>
        <w:t xml:space="preserve"> </w:t>
      </w:r>
      <w:r>
        <w:rPr>
          <w:rFonts w:ascii="宋体" w:hAnsi="宋体" w:eastAsia="宋体" w:cs="宋体"/>
          <w:spacing w:val="16"/>
          <w:sz w:val="23"/>
          <w:szCs w:val="23"/>
        </w:rPr>
        <w:t>头</w:t>
      </w:r>
      <w:r>
        <w:rPr>
          <w:rFonts w:ascii="宋体" w:hAnsi="宋体" w:eastAsia="宋体" w:cs="宋体"/>
          <w:spacing w:val="8"/>
          <w:sz w:val="23"/>
          <w:szCs w:val="23"/>
        </w:rPr>
        <w:t>母猪) ，绵阳新希望畜牧养殖有限公司 (</w:t>
      </w:r>
      <w:r>
        <w:rPr>
          <w:rFonts w:ascii="Times New Roman" w:hAnsi="Times New Roman" w:eastAsia="Times New Roman" w:cs="Times New Roman"/>
          <w:spacing w:val="8"/>
          <w:sz w:val="23"/>
          <w:szCs w:val="23"/>
        </w:rPr>
        <w:t xml:space="preserve">3000 </w:t>
      </w:r>
      <w:r>
        <w:rPr>
          <w:rFonts w:ascii="宋体" w:hAnsi="宋体" w:eastAsia="宋体" w:cs="宋体"/>
          <w:spacing w:val="8"/>
          <w:sz w:val="23"/>
          <w:szCs w:val="23"/>
        </w:rPr>
        <w:t>头种猪) 铁骑力士集团古井猪场 (</w:t>
      </w:r>
      <w:r>
        <w:rPr>
          <w:rFonts w:ascii="Times New Roman" w:hAnsi="Times New Roman" w:eastAsia="Times New Roman" w:cs="Times New Roman"/>
          <w:spacing w:val="8"/>
          <w:sz w:val="23"/>
          <w:szCs w:val="23"/>
        </w:rPr>
        <w:t xml:space="preserve">3000 </w:t>
      </w:r>
      <w:r>
        <w:rPr>
          <w:rFonts w:ascii="宋体" w:hAnsi="宋体" w:eastAsia="宋体" w:cs="宋体"/>
          <w:spacing w:val="8"/>
          <w:sz w:val="23"/>
          <w:szCs w:val="23"/>
        </w:rPr>
        <w:t>头</w:t>
      </w:r>
      <w:r>
        <w:rPr>
          <w:rFonts w:ascii="宋体" w:hAnsi="宋体" w:eastAsia="宋体" w:cs="宋体"/>
          <w:sz w:val="23"/>
          <w:szCs w:val="23"/>
        </w:rPr>
        <w:t xml:space="preserve"> </w:t>
      </w:r>
      <w:r>
        <w:rPr>
          <w:rFonts w:ascii="宋体" w:hAnsi="宋体" w:eastAsia="宋体" w:cs="宋体"/>
          <w:spacing w:val="7"/>
          <w:sz w:val="23"/>
          <w:szCs w:val="23"/>
        </w:rPr>
        <w:t>育肥猪) 、大竹玖种猪场等多个养殖场成功运用。因此，在四川省内采用异位微生物发酵</w:t>
      </w:r>
      <w:r>
        <w:rPr>
          <w:rFonts w:ascii="宋体" w:hAnsi="宋体" w:eastAsia="宋体" w:cs="宋体"/>
          <w:spacing w:val="5"/>
          <w:sz w:val="23"/>
          <w:szCs w:val="23"/>
        </w:rPr>
        <w:t>床</w:t>
      </w:r>
    </w:p>
    <w:p w14:paraId="61CBBA3F">
      <w:pPr>
        <w:spacing w:line="227" w:lineRule="auto"/>
        <w:ind w:left="123"/>
        <w:rPr>
          <w:rFonts w:ascii="宋体" w:hAnsi="宋体" w:eastAsia="宋体" w:cs="宋体"/>
          <w:sz w:val="23"/>
          <w:szCs w:val="23"/>
        </w:rPr>
      </w:pPr>
      <w:r>
        <w:rPr>
          <w:rFonts w:ascii="宋体" w:hAnsi="宋体" w:eastAsia="宋体" w:cs="宋体"/>
          <w:spacing w:val="9"/>
          <w:sz w:val="23"/>
          <w:szCs w:val="23"/>
        </w:rPr>
        <w:t>技术处理养殖场产生的粪污是合理可行的</w:t>
      </w:r>
      <w:r>
        <w:rPr>
          <w:rFonts w:ascii="宋体" w:hAnsi="宋体" w:eastAsia="宋体" w:cs="宋体"/>
          <w:spacing w:val="7"/>
          <w:sz w:val="23"/>
          <w:szCs w:val="23"/>
        </w:rPr>
        <w:t>。</w:t>
      </w:r>
    </w:p>
    <w:p w14:paraId="5FB4E710">
      <w:pPr>
        <w:spacing w:line="148" w:lineRule="exact"/>
      </w:pPr>
    </w:p>
    <w:tbl>
      <w:tblPr>
        <w:tblStyle w:val="4"/>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46"/>
        <w:gridCol w:w="4646"/>
      </w:tblGrid>
      <w:tr w14:paraId="1170F6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9" w:hRule="atLeast"/>
        </w:trPr>
        <w:tc>
          <w:tcPr>
            <w:tcW w:w="4646" w:type="dxa"/>
          </w:tcPr>
          <w:p w14:paraId="3A114B65">
            <w:pPr>
              <w:spacing w:before="123" w:line="3456" w:lineRule="exact"/>
              <w:ind w:firstLine="108"/>
              <w:textAlignment w:val="center"/>
            </w:pPr>
            <w:r>
              <w:drawing>
                <wp:inline distT="0" distB="0" distL="0" distR="0">
                  <wp:extent cx="2809875" cy="2193925"/>
                  <wp:effectExtent l="0" t="0" r="0" b="0"/>
                  <wp:docPr id="31" name="IM 31"/>
                  <wp:cNvGraphicFramePr/>
                  <a:graphic xmlns:a="http://schemas.openxmlformats.org/drawingml/2006/main">
                    <a:graphicData uri="http://schemas.openxmlformats.org/drawingml/2006/picture">
                      <pic:pic xmlns:pic="http://schemas.openxmlformats.org/drawingml/2006/picture">
                        <pic:nvPicPr>
                          <pic:cNvPr id="31" name="IM 31"/>
                          <pic:cNvPicPr/>
                        </pic:nvPicPr>
                        <pic:blipFill>
                          <a:blip r:embed="rId382"/>
                          <a:stretch>
                            <a:fillRect/>
                          </a:stretch>
                        </pic:blipFill>
                        <pic:spPr>
                          <a:xfrm>
                            <a:off x="0" y="0"/>
                            <a:ext cx="2810255" cy="2194559"/>
                          </a:xfrm>
                          <a:prstGeom prst="rect">
                            <a:avLst/>
                          </a:prstGeom>
                        </pic:spPr>
                      </pic:pic>
                    </a:graphicData>
                  </a:graphic>
                </wp:inline>
              </w:drawing>
            </w:r>
          </w:p>
          <w:p w14:paraId="448641D3">
            <w:pPr>
              <w:spacing w:before="60" w:line="227" w:lineRule="auto"/>
              <w:ind w:left="1609"/>
              <w:rPr>
                <w:rFonts w:ascii="宋体" w:hAnsi="宋体" w:eastAsia="宋体" w:cs="宋体"/>
                <w:sz w:val="23"/>
                <w:szCs w:val="23"/>
              </w:rPr>
            </w:pPr>
            <w:r>
              <w:rPr>
                <w:rFonts w:ascii="宋体" w:hAnsi="宋体" w:eastAsia="宋体" w:cs="宋体"/>
                <w:spacing w:val="11"/>
                <w:sz w:val="23"/>
                <w:szCs w:val="23"/>
              </w:rPr>
              <w:t>达</w:t>
            </w:r>
            <w:r>
              <w:rPr>
                <w:rFonts w:ascii="宋体" w:hAnsi="宋体" w:eastAsia="宋体" w:cs="宋体"/>
                <w:spacing w:val="8"/>
                <w:sz w:val="23"/>
                <w:szCs w:val="23"/>
              </w:rPr>
              <w:t>州丽天猪场</w:t>
            </w:r>
          </w:p>
        </w:tc>
        <w:tc>
          <w:tcPr>
            <w:tcW w:w="4646" w:type="dxa"/>
          </w:tcPr>
          <w:p w14:paraId="6D981736">
            <w:pPr>
              <w:spacing w:before="6" w:line="3708" w:lineRule="exact"/>
              <w:ind w:firstLine="105"/>
              <w:textAlignment w:val="center"/>
            </w:pPr>
            <w:r>
              <w:pict>
                <v:group id="_x0000_s2111" o:spid="_x0000_s2111" o:spt="203" style="height:185.4pt;width:221.5pt;" coordsize="4430,3707">
                  <o:lock v:ext="edit"/>
                  <v:shape id="_x0000_s2112" o:spid="_x0000_s2112" o:spt="75" type="#_x0000_t75" style="position:absolute;left:1;top:0;height:3707;width:4427;" filled="f" o:preferrelative="t" stroked="f" coordsize="21600,21600">
                    <v:path/>
                    <v:fill on="f" focussize="0,0"/>
                    <v:stroke on="f" joinstyle="miter"/>
                    <v:imagedata r:id="rId383" o:title=""/>
                    <o:lock v:ext="edit" aspectratio="t"/>
                  </v:shape>
                  <v:shape id="_x0000_s2113" o:spid="_x0000_s2113" o:spt="75" type="#_x0000_t75" style="position:absolute;left:0;top:60;height:1863;width:1650;" filled="f" o:preferrelative="t" stroked="f" coordsize="21600,21600">
                    <v:path/>
                    <v:fill on="f" focussize="0,0"/>
                    <v:stroke on="f" joinstyle="miter"/>
                    <v:imagedata r:id="rId384" o:title=""/>
                    <o:lock v:ext="edit" aspectratio="t"/>
                  </v:shape>
                  <v:shape id="_x0000_s2114" o:spid="_x0000_s2114" o:spt="202" type="#_x0000_t202" style="position:absolute;left:150;top:159;height:287;width:1079;" filled="f" stroked="f" coordsize="21600,21600">
                    <v:path/>
                    <v:fill on="f" focussize="0,0"/>
                    <v:stroke on="f" joinstyle="miter"/>
                    <v:imagedata o:title=""/>
                    <o:lock v:ext="edit"/>
                    <v:textbox inset="0mm,0mm,0mm,0mm">
                      <w:txbxContent>
                        <w:p w14:paraId="6C9BFA7E">
                          <w:pPr>
                            <w:spacing w:before="19" w:line="228" w:lineRule="auto"/>
                            <w:ind w:left="20"/>
                            <w:rPr>
                              <w:rFonts w:ascii="宋体" w:hAnsi="宋体" w:eastAsia="宋体" w:cs="宋体"/>
                              <w:sz w:val="20"/>
                              <w:szCs w:val="20"/>
                            </w:rPr>
                          </w:pPr>
                          <w:r>
                            <w:rPr>
                              <w:rFonts w:ascii="宋体" w:hAnsi="宋体" w:eastAsia="宋体" w:cs="宋体"/>
                              <w:spacing w:val="10"/>
                              <w:sz w:val="20"/>
                              <w:szCs w:val="20"/>
                            </w:rPr>
                            <w:t>异</w:t>
                          </w:r>
                          <w:r>
                            <w:rPr>
                              <w:rFonts w:ascii="宋体" w:hAnsi="宋体" w:eastAsia="宋体" w:cs="宋体"/>
                              <w:spacing w:val="7"/>
                              <w:sz w:val="20"/>
                              <w:szCs w:val="20"/>
                            </w:rPr>
                            <w:t>位发酵床</w:t>
                          </w:r>
                        </w:p>
                      </w:txbxContent>
                    </v:textbox>
                  </v:shape>
                  <w10:wrap type="none"/>
                  <w10:anchorlock/>
                </v:group>
              </w:pict>
            </w:r>
          </w:p>
          <w:p w14:paraId="7EBF7178">
            <w:pPr>
              <w:spacing w:before="47" w:line="223" w:lineRule="auto"/>
              <w:ind w:left="1371"/>
              <w:rPr>
                <w:rFonts w:ascii="宋体" w:hAnsi="宋体" w:eastAsia="宋体" w:cs="宋体"/>
                <w:sz w:val="23"/>
                <w:szCs w:val="23"/>
              </w:rPr>
            </w:pPr>
            <w:r>
              <w:rPr>
                <w:rFonts w:ascii="宋体" w:hAnsi="宋体" w:eastAsia="宋体" w:cs="宋体"/>
                <w:spacing w:val="11"/>
                <w:sz w:val="23"/>
                <w:szCs w:val="23"/>
              </w:rPr>
              <w:t>武</w:t>
            </w:r>
            <w:r>
              <w:rPr>
                <w:rFonts w:ascii="宋体" w:hAnsi="宋体" w:eastAsia="宋体" w:cs="宋体"/>
                <w:spacing w:val="8"/>
                <w:sz w:val="23"/>
                <w:szCs w:val="23"/>
              </w:rPr>
              <w:t>胜天兆中心猪场</w:t>
            </w:r>
          </w:p>
        </w:tc>
      </w:tr>
      <w:tr w14:paraId="407B7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8" w:hRule="atLeast"/>
        </w:trPr>
        <w:tc>
          <w:tcPr>
            <w:tcW w:w="4646" w:type="dxa"/>
          </w:tcPr>
          <w:p w14:paraId="35A82BAC">
            <w:pPr>
              <w:spacing w:before="1" w:line="2671" w:lineRule="exact"/>
              <w:ind w:firstLine="108"/>
              <w:textAlignment w:val="center"/>
            </w:pPr>
            <w:r>
              <w:drawing>
                <wp:inline distT="0" distB="0" distL="0" distR="0">
                  <wp:extent cx="2805430" cy="169608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385"/>
                          <a:stretch>
                            <a:fillRect/>
                          </a:stretch>
                        </pic:blipFill>
                        <pic:spPr>
                          <a:xfrm>
                            <a:off x="0" y="0"/>
                            <a:ext cx="2805684" cy="1696211"/>
                          </a:xfrm>
                          <a:prstGeom prst="rect">
                            <a:avLst/>
                          </a:prstGeom>
                        </pic:spPr>
                      </pic:pic>
                    </a:graphicData>
                  </a:graphic>
                </wp:inline>
              </w:drawing>
            </w:r>
          </w:p>
          <w:p w14:paraId="0FA02FD1">
            <w:pPr>
              <w:spacing w:before="35" w:line="225" w:lineRule="auto"/>
              <w:ind w:left="1369"/>
              <w:rPr>
                <w:rFonts w:ascii="宋体" w:hAnsi="宋体" w:eastAsia="宋体" w:cs="宋体"/>
                <w:sz w:val="23"/>
                <w:szCs w:val="23"/>
              </w:rPr>
            </w:pPr>
            <w:r>
              <w:rPr>
                <w:rFonts w:ascii="宋体" w:hAnsi="宋体" w:eastAsia="宋体" w:cs="宋体"/>
                <w:spacing w:val="9"/>
                <w:sz w:val="23"/>
                <w:szCs w:val="23"/>
              </w:rPr>
              <w:t>铁骑力士古井猪</w:t>
            </w:r>
            <w:r>
              <w:rPr>
                <w:rFonts w:ascii="宋体" w:hAnsi="宋体" w:eastAsia="宋体" w:cs="宋体"/>
                <w:spacing w:val="8"/>
                <w:sz w:val="23"/>
                <w:szCs w:val="23"/>
              </w:rPr>
              <w:t>场</w:t>
            </w:r>
          </w:p>
        </w:tc>
        <w:tc>
          <w:tcPr>
            <w:tcW w:w="4646" w:type="dxa"/>
          </w:tcPr>
          <w:p w14:paraId="0F571F99">
            <w:pPr>
              <w:spacing w:before="1" w:line="2649" w:lineRule="exact"/>
              <w:ind w:firstLine="106"/>
              <w:textAlignment w:val="center"/>
            </w:pPr>
            <w:r>
              <w:drawing>
                <wp:inline distT="0" distB="0" distL="0" distR="0">
                  <wp:extent cx="2804160" cy="1682115"/>
                  <wp:effectExtent l="0" t="0" r="0" b="0"/>
                  <wp:docPr id="33" name="IM 33"/>
                  <wp:cNvGraphicFramePr/>
                  <a:graphic xmlns:a="http://schemas.openxmlformats.org/drawingml/2006/main">
                    <a:graphicData uri="http://schemas.openxmlformats.org/drawingml/2006/picture">
                      <pic:pic xmlns:pic="http://schemas.openxmlformats.org/drawingml/2006/picture">
                        <pic:nvPicPr>
                          <pic:cNvPr id="33" name="IM 33"/>
                          <pic:cNvPicPr/>
                        </pic:nvPicPr>
                        <pic:blipFill>
                          <a:blip r:embed="rId386"/>
                          <a:stretch>
                            <a:fillRect/>
                          </a:stretch>
                        </pic:blipFill>
                        <pic:spPr>
                          <a:xfrm>
                            <a:off x="0" y="0"/>
                            <a:ext cx="2804160" cy="1682495"/>
                          </a:xfrm>
                          <a:prstGeom prst="rect">
                            <a:avLst/>
                          </a:prstGeom>
                        </pic:spPr>
                      </pic:pic>
                    </a:graphicData>
                  </a:graphic>
                </wp:inline>
              </w:drawing>
            </w:r>
          </w:p>
          <w:p w14:paraId="1C63ECAD">
            <w:pPr>
              <w:spacing w:before="56" w:line="225" w:lineRule="auto"/>
              <w:ind w:left="1391"/>
              <w:rPr>
                <w:rFonts w:ascii="宋体" w:hAnsi="宋体" w:eastAsia="宋体" w:cs="宋体"/>
                <w:sz w:val="23"/>
                <w:szCs w:val="23"/>
              </w:rPr>
            </w:pPr>
            <w:r>
              <w:rPr>
                <w:rFonts w:ascii="宋体" w:hAnsi="宋体" w:eastAsia="宋体" w:cs="宋体"/>
                <w:spacing w:val="6"/>
                <w:sz w:val="23"/>
                <w:szCs w:val="23"/>
              </w:rPr>
              <w:t>四川巨星集贤猪场</w:t>
            </w:r>
          </w:p>
        </w:tc>
      </w:tr>
    </w:tbl>
    <w:p w14:paraId="5B744113">
      <w:pPr>
        <w:spacing w:before="312" w:line="227" w:lineRule="auto"/>
        <w:ind w:left="614"/>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5"/>
          <w:sz w:val="23"/>
          <w:szCs w:val="23"/>
        </w:rPr>
        <w:t>6</w:t>
      </w:r>
      <w:r>
        <w:rPr>
          <w:rFonts w:ascii="宋体" w:hAnsi="宋体" w:eastAsia="宋体" w:cs="宋体"/>
          <w:spacing w:val="15"/>
          <w:sz w:val="23"/>
          <w:szCs w:val="23"/>
        </w:rPr>
        <w:t>) 粪污处理系统管理制度</w:t>
      </w:r>
    </w:p>
    <w:p w14:paraId="15F16F37">
      <w:pPr>
        <w:spacing w:before="184" w:line="227" w:lineRule="auto"/>
        <w:ind w:left="606"/>
        <w:rPr>
          <w:rFonts w:ascii="宋体" w:hAnsi="宋体" w:eastAsia="宋体" w:cs="宋体"/>
          <w:sz w:val="23"/>
          <w:szCs w:val="23"/>
        </w:rPr>
      </w:pPr>
      <w:r>
        <w:rPr>
          <w:rFonts w:ascii="宋体" w:hAnsi="宋体" w:eastAsia="宋体" w:cs="宋体"/>
          <w:spacing w:val="13"/>
          <w:sz w:val="23"/>
          <w:szCs w:val="23"/>
        </w:rPr>
        <w:t>企</w:t>
      </w:r>
      <w:r>
        <w:rPr>
          <w:rFonts w:ascii="宋体" w:hAnsi="宋体" w:eastAsia="宋体" w:cs="宋体"/>
          <w:spacing w:val="9"/>
          <w:sz w:val="23"/>
          <w:szCs w:val="23"/>
        </w:rPr>
        <w:t>业需要从以下几个方面做好人员和异位微生物发酵床的管理：</w:t>
      </w:r>
    </w:p>
    <w:p w14:paraId="6A444760">
      <w:pPr>
        <w:sectPr>
          <w:headerReference r:id="rId245" w:type="default"/>
          <w:footerReference r:id="rId246" w:type="default"/>
          <w:pgSz w:w="11906" w:h="16839"/>
          <w:pgMar w:top="1113" w:right="1087" w:bottom="1157" w:left="1163" w:header="878" w:footer="994" w:gutter="0"/>
          <w:cols w:space="720" w:num="1"/>
        </w:sectPr>
      </w:pPr>
    </w:p>
    <w:p w14:paraId="58732922">
      <w:pPr>
        <w:spacing w:before="197" w:line="375" w:lineRule="auto"/>
        <w:ind w:left="137" w:right="2" w:firstLine="479"/>
        <w:rPr>
          <w:rFonts w:ascii="宋体" w:hAnsi="宋体" w:eastAsia="宋体" w:cs="宋体"/>
          <w:sz w:val="23"/>
          <w:szCs w:val="23"/>
        </w:rPr>
      </w:pPr>
      <w:r>
        <w:rPr>
          <w:rFonts w:ascii="Times New Roman" w:hAnsi="Times New Roman" w:eastAsia="Times New Roman" w:cs="Times New Roman"/>
          <w:spacing w:val="18"/>
          <w:sz w:val="23"/>
          <w:szCs w:val="23"/>
        </w:rPr>
        <w:t>1</w:t>
      </w:r>
      <w:r>
        <w:rPr>
          <w:rFonts w:ascii="宋体" w:hAnsi="宋体" w:eastAsia="宋体" w:cs="宋体"/>
          <w:spacing w:val="10"/>
          <w:sz w:val="23"/>
          <w:szCs w:val="23"/>
        </w:rPr>
        <w:t>)</w:t>
      </w:r>
      <w:r>
        <w:rPr>
          <w:rFonts w:ascii="宋体" w:hAnsi="宋体" w:eastAsia="宋体" w:cs="宋体"/>
          <w:spacing w:val="9"/>
          <w:sz w:val="23"/>
          <w:szCs w:val="23"/>
        </w:rPr>
        <w:t xml:space="preserve"> 异位微生物发酵床的建筑结构需定期检查，尤其在雨季来临之前，确保围墙和槽体</w:t>
      </w:r>
      <w:r>
        <w:rPr>
          <w:rFonts w:ascii="宋体" w:hAnsi="宋体" w:eastAsia="宋体" w:cs="宋体"/>
          <w:sz w:val="23"/>
          <w:szCs w:val="23"/>
        </w:rPr>
        <w:t xml:space="preserve"> </w:t>
      </w:r>
      <w:r>
        <w:rPr>
          <w:rFonts w:ascii="宋体" w:hAnsi="宋体" w:eastAsia="宋体" w:cs="宋体"/>
          <w:spacing w:val="16"/>
          <w:sz w:val="23"/>
          <w:szCs w:val="23"/>
        </w:rPr>
        <w:t>的完整</w:t>
      </w:r>
      <w:r>
        <w:rPr>
          <w:rFonts w:ascii="宋体" w:hAnsi="宋体" w:eastAsia="宋体" w:cs="宋体"/>
          <w:spacing w:val="8"/>
          <w:sz w:val="23"/>
          <w:szCs w:val="23"/>
        </w:rPr>
        <w:t>、坚固，做到防患于未然，以防处理系统的渗滤液外流污染环境。</w:t>
      </w:r>
    </w:p>
    <w:p w14:paraId="54FDCF79">
      <w:pPr>
        <w:spacing w:line="375" w:lineRule="auto"/>
        <w:ind w:left="121" w:right="2" w:firstLine="472"/>
        <w:rPr>
          <w:rFonts w:ascii="宋体" w:hAnsi="宋体" w:eastAsia="宋体" w:cs="宋体"/>
          <w:sz w:val="23"/>
          <w:szCs w:val="23"/>
        </w:rPr>
      </w:pPr>
      <w:r>
        <w:rPr>
          <w:rFonts w:ascii="Times New Roman" w:hAnsi="Times New Roman" w:eastAsia="Times New Roman" w:cs="Times New Roman"/>
          <w:spacing w:val="10"/>
          <w:sz w:val="23"/>
          <w:szCs w:val="23"/>
        </w:rPr>
        <w:t>2</w:t>
      </w:r>
      <w:r>
        <w:rPr>
          <w:rFonts w:ascii="宋体" w:hAnsi="宋体" w:eastAsia="宋体" w:cs="宋体"/>
          <w:spacing w:val="10"/>
          <w:sz w:val="23"/>
          <w:szCs w:val="23"/>
        </w:rPr>
        <w:t>) 异位微生物发酵床专人看管，确保喷淋池粪污的喷淋设备、翻抛机及其它设备的</w:t>
      </w:r>
      <w:r>
        <w:rPr>
          <w:rFonts w:ascii="宋体" w:hAnsi="宋体" w:eastAsia="宋体" w:cs="宋体"/>
          <w:spacing w:val="4"/>
          <w:sz w:val="23"/>
          <w:szCs w:val="23"/>
        </w:rPr>
        <w:t>正</w:t>
      </w:r>
      <w:r>
        <w:rPr>
          <w:rFonts w:ascii="宋体" w:hAnsi="宋体" w:eastAsia="宋体" w:cs="宋体"/>
          <w:sz w:val="23"/>
          <w:szCs w:val="23"/>
        </w:rPr>
        <w:t xml:space="preserve"> </w:t>
      </w:r>
      <w:r>
        <w:rPr>
          <w:rFonts w:ascii="宋体" w:hAnsi="宋体" w:eastAsia="宋体" w:cs="宋体"/>
          <w:spacing w:val="9"/>
          <w:sz w:val="23"/>
          <w:szCs w:val="23"/>
        </w:rPr>
        <w:t>常</w:t>
      </w:r>
      <w:r>
        <w:rPr>
          <w:rFonts w:ascii="宋体" w:hAnsi="宋体" w:eastAsia="宋体" w:cs="宋体"/>
          <w:spacing w:val="7"/>
          <w:sz w:val="23"/>
          <w:szCs w:val="23"/>
        </w:rPr>
        <w:t>运转，若设备突发故障，应及时联系专业人士前来维修，并将粪污在集污池内暂存，待设</w:t>
      </w:r>
      <w:r>
        <w:rPr>
          <w:rFonts w:ascii="宋体" w:hAnsi="宋体" w:eastAsia="宋体" w:cs="宋体"/>
          <w:sz w:val="23"/>
          <w:szCs w:val="23"/>
        </w:rPr>
        <w:t xml:space="preserve"> </w:t>
      </w:r>
      <w:r>
        <w:rPr>
          <w:rFonts w:ascii="宋体" w:hAnsi="宋体" w:eastAsia="宋体" w:cs="宋体"/>
          <w:spacing w:val="10"/>
          <w:sz w:val="23"/>
          <w:szCs w:val="23"/>
        </w:rPr>
        <w:t>备</w:t>
      </w:r>
      <w:r>
        <w:rPr>
          <w:rFonts w:ascii="宋体" w:hAnsi="宋体" w:eastAsia="宋体" w:cs="宋体"/>
          <w:spacing w:val="9"/>
          <w:sz w:val="23"/>
          <w:szCs w:val="23"/>
        </w:rPr>
        <w:t>运转正常后再将未处理的粪污喷入发酵床进行处理。</w:t>
      </w:r>
    </w:p>
    <w:p w14:paraId="280D31CC">
      <w:pPr>
        <w:spacing w:line="227" w:lineRule="auto"/>
        <w:ind w:left="601"/>
        <w:rPr>
          <w:rFonts w:ascii="宋体" w:hAnsi="宋体" w:eastAsia="宋体" w:cs="宋体"/>
          <w:sz w:val="23"/>
          <w:szCs w:val="23"/>
        </w:rPr>
      </w:pPr>
      <w:r>
        <w:rPr>
          <w:rFonts w:ascii="宋体" w:hAnsi="宋体" w:eastAsia="宋体" w:cs="宋体"/>
          <w:spacing w:val="10"/>
          <w:sz w:val="23"/>
          <w:szCs w:val="23"/>
          <w14:textOutline w14:w="4356" w14:cap="sq" w14:cmpd="sng" w14:algn="ctr">
            <w14:solidFill>
              <w14:srgbClr w14:val="000000"/>
            </w14:solidFill>
            <w14:prstDash w14:val="solid"/>
            <w14:bevel/>
          </w14:textOutline>
        </w:rPr>
        <w:t>建议企业委托有专业化公司对异味发酵床运维管理</w:t>
      </w:r>
      <w:r>
        <w:rPr>
          <w:rFonts w:ascii="宋体" w:hAnsi="宋体" w:eastAsia="宋体" w:cs="宋体"/>
          <w:spacing w:val="6"/>
          <w:sz w:val="23"/>
          <w:szCs w:val="23"/>
          <w14:textOutline w14:w="4356" w14:cap="sq" w14:cmpd="sng" w14:algn="ctr">
            <w14:solidFill>
              <w14:srgbClr w14:val="000000"/>
            </w14:solidFill>
            <w14:prstDash w14:val="solid"/>
            <w14:bevel/>
          </w14:textOutline>
        </w:rPr>
        <w:t>。</w:t>
      </w:r>
    </w:p>
    <w:p w14:paraId="1D3C149C">
      <w:pPr>
        <w:spacing w:before="181" w:line="375" w:lineRule="auto"/>
        <w:ind w:left="112" w:right="43" w:firstLine="485"/>
        <w:rPr>
          <w:rFonts w:ascii="宋体" w:hAnsi="宋体" w:eastAsia="宋体" w:cs="宋体"/>
          <w:sz w:val="23"/>
          <w:szCs w:val="23"/>
        </w:rPr>
      </w:pPr>
      <w:r>
        <w:rPr>
          <w:rFonts w:ascii="Times New Roman" w:hAnsi="Times New Roman" w:eastAsia="Times New Roman" w:cs="Times New Roman"/>
          <w:spacing w:val="13"/>
          <w:sz w:val="23"/>
          <w:szCs w:val="23"/>
        </w:rPr>
        <w:t>3</w:t>
      </w:r>
      <w:r>
        <w:rPr>
          <w:rFonts w:ascii="宋体" w:hAnsi="宋体" w:eastAsia="宋体" w:cs="宋体"/>
          <w:spacing w:val="9"/>
          <w:sz w:val="23"/>
          <w:szCs w:val="23"/>
        </w:rPr>
        <w:t>) 异位微生物发酵床应做好</w:t>
      </w:r>
      <w:r>
        <w:rPr>
          <w:rFonts w:ascii="Times New Roman" w:hAnsi="Times New Roman" w:eastAsia="Times New Roman" w:cs="Times New Roman"/>
          <w:spacing w:val="9"/>
          <w:sz w:val="23"/>
          <w:szCs w:val="23"/>
        </w:rPr>
        <w:t>“</w:t>
      </w:r>
      <w:r>
        <w:rPr>
          <w:rFonts w:ascii="宋体" w:hAnsi="宋体" w:eastAsia="宋体" w:cs="宋体"/>
          <w:spacing w:val="9"/>
          <w:sz w:val="23"/>
          <w:szCs w:val="23"/>
        </w:rPr>
        <w:t>防雨、防渗、防腐</w:t>
      </w:r>
      <w:r>
        <w:rPr>
          <w:rFonts w:ascii="Times New Roman" w:hAnsi="Times New Roman" w:eastAsia="Times New Roman" w:cs="Times New Roman"/>
          <w:spacing w:val="9"/>
          <w:sz w:val="23"/>
          <w:szCs w:val="23"/>
        </w:rPr>
        <w:t>”</w:t>
      </w:r>
      <w:r>
        <w:rPr>
          <w:rFonts w:ascii="宋体" w:hAnsi="宋体" w:eastAsia="宋体" w:cs="宋体"/>
          <w:spacing w:val="9"/>
          <w:sz w:val="23"/>
          <w:szCs w:val="23"/>
        </w:rPr>
        <w:t>措施，防渗要求为：等效黏土防渗层</w:t>
      </w:r>
      <w:r>
        <w:rPr>
          <w:rFonts w:ascii="宋体" w:hAnsi="宋体" w:eastAsia="宋体" w:cs="宋体"/>
          <w:sz w:val="23"/>
          <w:szCs w:val="23"/>
        </w:rPr>
        <w:t xml:space="preserve"> </w:t>
      </w:r>
      <w:r>
        <w:rPr>
          <w:rFonts w:ascii="Times New Roman" w:hAnsi="Times New Roman" w:eastAsia="Times New Roman" w:cs="Times New Roman"/>
          <w:sz w:val="23"/>
          <w:szCs w:val="23"/>
        </w:rPr>
        <w:t>Mb</w:t>
      </w:r>
      <w:r>
        <w:rPr>
          <w:rFonts w:ascii="Times New Roman" w:hAnsi="Times New Roman" w:eastAsia="Times New Roman" w:cs="Times New Roman"/>
          <w:spacing w:val="2"/>
          <w:sz w:val="23"/>
          <w:szCs w:val="23"/>
        </w:rPr>
        <w:t>≥6.0</w:t>
      </w:r>
      <w:r>
        <w:rPr>
          <w:rFonts w:ascii="Times New Roman" w:hAnsi="Times New Roman" w:eastAsia="Times New Roman" w:cs="Times New Roman"/>
          <w:sz w:val="23"/>
          <w:szCs w:val="23"/>
        </w:rPr>
        <w:t>m</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，渗透系数</w:t>
      </w:r>
      <w:r>
        <w:rPr>
          <w:rFonts w:ascii="Times New Roman" w:hAnsi="Times New Roman" w:eastAsia="Times New Roman" w:cs="Times New Roman"/>
          <w:spacing w:val="2"/>
          <w:sz w:val="23"/>
          <w:szCs w:val="23"/>
        </w:rPr>
        <w:t>≤10</w:t>
      </w:r>
      <w:r>
        <w:rPr>
          <w:rFonts w:ascii="Times New Roman" w:hAnsi="Times New Roman" w:eastAsia="Times New Roman" w:cs="Times New Roman"/>
          <w:spacing w:val="2"/>
          <w:position w:val="7"/>
          <w:sz w:val="15"/>
          <w:szCs w:val="15"/>
        </w:rPr>
        <w:t>-7</w:t>
      </w:r>
      <w:r>
        <w:rPr>
          <w:rFonts w:ascii="Times New Roman" w:hAnsi="Times New Roman" w:eastAsia="Times New Roman" w:cs="Times New Roman"/>
          <w:sz w:val="23"/>
          <w:szCs w:val="23"/>
        </w:rPr>
        <w:t>cm</w:t>
      </w:r>
      <w:r>
        <w:rPr>
          <w:rFonts w:ascii="Times New Roman" w:hAnsi="Times New Roman" w:eastAsia="Times New Roman" w:cs="Times New Roman"/>
          <w:spacing w:val="2"/>
          <w:sz w:val="23"/>
          <w:szCs w:val="23"/>
        </w:rPr>
        <w:t>/</w:t>
      </w:r>
      <w:r>
        <w:rPr>
          <w:rFonts w:ascii="Times New Roman" w:hAnsi="Times New Roman" w:eastAsia="Times New Roman" w:cs="Times New Roman"/>
          <w:sz w:val="23"/>
          <w:szCs w:val="23"/>
        </w:rPr>
        <w:t>s</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 xml:space="preserve">；或参照 </w:t>
      </w:r>
      <w:r>
        <w:rPr>
          <w:rFonts w:ascii="Times New Roman" w:hAnsi="Times New Roman" w:eastAsia="Times New Roman" w:cs="Times New Roman"/>
          <w:sz w:val="23"/>
          <w:szCs w:val="23"/>
        </w:rPr>
        <w:t>GB</w:t>
      </w:r>
      <w:r>
        <w:rPr>
          <w:rFonts w:ascii="Times New Roman" w:hAnsi="Times New Roman" w:eastAsia="Times New Roman" w:cs="Times New Roman"/>
          <w:spacing w:val="2"/>
          <w:sz w:val="23"/>
          <w:szCs w:val="23"/>
        </w:rPr>
        <w:t>16</w:t>
      </w:r>
      <w:r>
        <w:rPr>
          <w:rFonts w:ascii="Times New Roman" w:hAnsi="Times New Roman" w:eastAsia="Times New Roman" w:cs="Times New Roman"/>
          <w:spacing w:val="1"/>
          <w:sz w:val="23"/>
          <w:szCs w:val="23"/>
        </w:rPr>
        <w:t xml:space="preserve">889 </w:t>
      </w:r>
      <w:r>
        <w:rPr>
          <w:rFonts w:ascii="宋体" w:hAnsi="宋体" w:eastAsia="宋体" w:cs="宋体"/>
          <w:spacing w:val="1"/>
          <w:sz w:val="23"/>
          <w:szCs w:val="23"/>
        </w:rPr>
        <w:t>执行。</w:t>
      </w:r>
    </w:p>
    <w:p w14:paraId="24EF72AD">
      <w:pPr>
        <w:spacing w:before="1" w:line="374" w:lineRule="auto"/>
        <w:ind w:left="118" w:right="60" w:firstLine="474"/>
        <w:rPr>
          <w:rFonts w:ascii="宋体" w:hAnsi="宋体" w:eastAsia="宋体" w:cs="宋体"/>
          <w:sz w:val="23"/>
          <w:szCs w:val="23"/>
        </w:rPr>
      </w:pPr>
      <w:r>
        <w:rPr>
          <w:rFonts w:ascii="Times New Roman" w:hAnsi="Times New Roman" w:eastAsia="Times New Roman" w:cs="Times New Roman"/>
          <w:spacing w:val="16"/>
          <w:sz w:val="23"/>
          <w:szCs w:val="23"/>
        </w:rPr>
        <w:t>4</w:t>
      </w:r>
      <w:r>
        <w:rPr>
          <w:rFonts w:ascii="宋体" w:hAnsi="宋体" w:eastAsia="宋体" w:cs="宋体"/>
          <w:spacing w:val="14"/>
          <w:sz w:val="23"/>
          <w:szCs w:val="23"/>
        </w:rPr>
        <w:t>)</w:t>
      </w:r>
      <w:r>
        <w:rPr>
          <w:rFonts w:ascii="宋体" w:hAnsi="宋体" w:eastAsia="宋体" w:cs="宋体"/>
          <w:spacing w:val="8"/>
          <w:sz w:val="23"/>
          <w:szCs w:val="23"/>
        </w:rPr>
        <w:t xml:space="preserve"> 加强对场区职工环保意识、与本项目有关的相关环保法律法规的宣传和培训教育，</w:t>
      </w:r>
      <w:r>
        <w:rPr>
          <w:rFonts w:ascii="宋体" w:hAnsi="宋体" w:eastAsia="宋体" w:cs="宋体"/>
          <w:sz w:val="23"/>
          <w:szCs w:val="23"/>
        </w:rPr>
        <w:t xml:space="preserve"> </w:t>
      </w:r>
      <w:r>
        <w:rPr>
          <w:rFonts w:ascii="宋体" w:hAnsi="宋体" w:eastAsia="宋体" w:cs="宋体"/>
          <w:spacing w:val="18"/>
          <w:sz w:val="23"/>
          <w:szCs w:val="23"/>
        </w:rPr>
        <w:t>加</w:t>
      </w:r>
      <w:r>
        <w:rPr>
          <w:rFonts w:ascii="宋体" w:hAnsi="宋体" w:eastAsia="宋体" w:cs="宋体"/>
          <w:spacing w:val="13"/>
          <w:sz w:val="23"/>
          <w:szCs w:val="23"/>
        </w:rPr>
        <w:t>强</w:t>
      </w:r>
      <w:r>
        <w:rPr>
          <w:rFonts w:ascii="宋体" w:hAnsi="宋体" w:eastAsia="宋体" w:cs="宋体"/>
          <w:spacing w:val="9"/>
          <w:sz w:val="23"/>
          <w:szCs w:val="23"/>
        </w:rPr>
        <w:t>该环保系统管理人员专业技能的提高，确保污水处理设施的正常运行。</w:t>
      </w:r>
    </w:p>
    <w:p w14:paraId="110F0DB3">
      <w:pPr>
        <w:spacing w:line="228" w:lineRule="auto"/>
        <w:ind w:left="601"/>
        <w:rPr>
          <w:rFonts w:ascii="宋体" w:hAnsi="宋体" w:eastAsia="宋体" w:cs="宋体"/>
          <w:sz w:val="23"/>
          <w:szCs w:val="23"/>
        </w:rPr>
      </w:pPr>
      <w:r>
        <w:rPr>
          <w:rFonts w:ascii="宋体" w:hAnsi="宋体" w:eastAsia="宋体" w:cs="宋体"/>
          <w:spacing w:val="9"/>
          <w:sz w:val="23"/>
          <w:szCs w:val="23"/>
        </w:rPr>
        <w:t>综上所述，本项目采取的废水治理措施是可行的</w:t>
      </w:r>
      <w:r>
        <w:rPr>
          <w:rFonts w:ascii="宋体" w:hAnsi="宋体" w:eastAsia="宋体" w:cs="宋体"/>
          <w:spacing w:val="8"/>
          <w:sz w:val="23"/>
          <w:szCs w:val="23"/>
        </w:rPr>
        <w:t>。</w:t>
      </w:r>
    </w:p>
    <w:p w14:paraId="098D3E02">
      <w:pPr>
        <w:spacing w:before="184" w:line="227" w:lineRule="auto"/>
        <w:ind w:left="117"/>
        <w:outlineLvl w:val="3"/>
        <w:rPr>
          <w:rFonts w:ascii="宋体" w:hAnsi="宋体" w:eastAsia="宋体" w:cs="宋体"/>
          <w:sz w:val="23"/>
          <w:szCs w:val="23"/>
        </w:rPr>
      </w:pPr>
      <w:r>
        <w:rPr>
          <w:rFonts w:ascii="Times New Roman" w:hAnsi="Times New Roman" w:eastAsia="Times New Roman" w:cs="Times New Roman"/>
          <w:b/>
          <w:bCs/>
          <w:spacing w:val="6"/>
          <w:sz w:val="23"/>
          <w:szCs w:val="23"/>
        </w:rPr>
        <w:t>6</w:t>
      </w:r>
      <w:r>
        <w:rPr>
          <w:rFonts w:ascii="Times New Roman" w:hAnsi="Times New Roman" w:eastAsia="Times New Roman" w:cs="Times New Roman"/>
          <w:b/>
          <w:bCs/>
          <w:spacing w:val="5"/>
          <w:sz w:val="23"/>
          <w:szCs w:val="23"/>
        </w:rPr>
        <w:t>.2.2.3</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初期雨水</w:t>
      </w:r>
    </w:p>
    <w:p w14:paraId="0A908C20">
      <w:pPr>
        <w:spacing w:before="180" w:line="375" w:lineRule="auto"/>
        <w:ind w:left="121" w:firstLine="480"/>
        <w:rPr>
          <w:rFonts w:ascii="宋体" w:hAnsi="宋体" w:eastAsia="宋体" w:cs="宋体"/>
          <w:sz w:val="23"/>
          <w:szCs w:val="23"/>
        </w:rPr>
      </w:pPr>
      <w:r>
        <w:rPr>
          <w:rFonts w:ascii="宋体" w:hAnsi="宋体" w:eastAsia="宋体" w:cs="宋体"/>
          <w:spacing w:val="7"/>
          <w:sz w:val="23"/>
          <w:szCs w:val="23"/>
        </w:rPr>
        <w:t>项目养殖区在降雨时，雨水冲刷地面可能会含有少量猪粪，直接排放可能会对周边地</w:t>
      </w:r>
      <w:r>
        <w:rPr>
          <w:rFonts w:ascii="宋体" w:hAnsi="宋体" w:eastAsia="宋体" w:cs="宋体"/>
          <w:spacing w:val="2"/>
          <w:sz w:val="23"/>
          <w:szCs w:val="23"/>
        </w:rPr>
        <w:t>表</w:t>
      </w:r>
      <w:r>
        <w:rPr>
          <w:rFonts w:ascii="宋体" w:hAnsi="宋体" w:eastAsia="宋体" w:cs="宋体"/>
          <w:sz w:val="23"/>
          <w:szCs w:val="23"/>
        </w:rPr>
        <w:t xml:space="preserve"> </w:t>
      </w:r>
      <w:r>
        <w:rPr>
          <w:rFonts w:ascii="宋体" w:hAnsi="宋体" w:eastAsia="宋体" w:cs="宋体"/>
          <w:spacing w:val="9"/>
          <w:sz w:val="23"/>
          <w:szCs w:val="23"/>
        </w:rPr>
        <w:t>水</w:t>
      </w:r>
      <w:r>
        <w:rPr>
          <w:rFonts w:ascii="宋体" w:hAnsi="宋体" w:eastAsia="宋体" w:cs="宋体"/>
          <w:spacing w:val="7"/>
          <w:sz w:val="23"/>
          <w:szCs w:val="23"/>
        </w:rPr>
        <w:t>体的产生影响。为此，项目设计时考虑在养殖区雨水收集渠设置分流阀，对初期雨水进行</w:t>
      </w:r>
      <w:r>
        <w:rPr>
          <w:rFonts w:ascii="宋体" w:hAnsi="宋体" w:eastAsia="宋体" w:cs="宋体"/>
          <w:sz w:val="23"/>
          <w:szCs w:val="23"/>
        </w:rPr>
        <w:t xml:space="preserve"> </w:t>
      </w:r>
      <w:r>
        <w:rPr>
          <w:rFonts w:ascii="宋体" w:hAnsi="宋体" w:eastAsia="宋体" w:cs="宋体"/>
          <w:spacing w:val="9"/>
          <w:sz w:val="23"/>
          <w:szCs w:val="23"/>
        </w:rPr>
        <w:t>处</w:t>
      </w:r>
      <w:r>
        <w:rPr>
          <w:rFonts w:ascii="宋体" w:hAnsi="宋体" w:eastAsia="宋体" w:cs="宋体"/>
          <w:spacing w:val="7"/>
          <w:sz w:val="23"/>
          <w:szCs w:val="23"/>
        </w:rPr>
        <w:t>理。考虑到初期雨水水量大，污染物浓度低等特点，将初期雨水经简单沉淀处理后用于厂</w:t>
      </w:r>
      <w:r>
        <w:rPr>
          <w:rFonts w:ascii="宋体" w:hAnsi="宋体" w:eastAsia="宋体" w:cs="宋体"/>
          <w:sz w:val="23"/>
          <w:szCs w:val="23"/>
        </w:rPr>
        <w:t xml:space="preserve"> </w:t>
      </w:r>
      <w:r>
        <w:rPr>
          <w:rFonts w:ascii="宋体" w:hAnsi="宋体" w:eastAsia="宋体" w:cs="宋体"/>
          <w:spacing w:val="18"/>
          <w:sz w:val="23"/>
          <w:szCs w:val="23"/>
        </w:rPr>
        <w:t>区</w:t>
      </w:r>
      <w:r>
        <w:rPr>
          <w:rFonts w:ascii="宋体" w:hAnsi="宋体" w:eastAsia="宋体" w:cs="宋体"/>
          <w:spacing w:val="12"/>
          <w:sz w:val="23"/>
          <w:szCs w:val="23"/>
        </w:rPr>
        <w:t>绿</w:t>
      </w:r>
      <w:r>
        <w:rPr>
          <w:rFonts w:ascii="宋体" w:hAnsi="宋体" w:eastAsia="宋体" w:cs="宋体"/>
          <w:spacing w:val="9"/>
          <w:sz w:val="23"/>
          <w:szCs w:val="23"/>
        </w:rPr>
        <w:t xml:space="preserve">化用水。本项目初期雨水收集 </w:t>
      </w:r>
      <w:r>
        <w:rPr>
          <w:rFonts w:ascii="Times New Roman" w:hAnsi="Times New Roman" w:eastAsia="Times New Roman" w:cs="Times New Roman"/>
          <w:spacing w:val="9"/>
          <w:sz w:val="23"/>
          <w:szCs w:val="23"/>
        </w:rPr>
        <w:t xml:space="preserve">15 </w:t>
      </w:r>
      <w:r>
        <w:rPr>
          <w:rFonts w:ascii="宋体" w:hAnsi="宋体" w:eastAsia="宋体" w:cs="宋体"/>
          <w:spacing w:val="9"/>
          <w:sz w:val="23"/>
          <w:szCs w:val="23"/>
        </w:rPr>
        <w:t xml:space="preserve">分钟，最大收集量为 </w:t>
      </w:r>
      <w:r>
        <w:rPr>
          <w:rFonts w:ascii="Times New Roman" w:hAnsi="Times New Roman" w:eastAsia="Times New Roman" w:cs="Times New Roman"/>
          <w:spacing w:val="9"/>
          <w:sz w:val="23"/>
          <w:szCs w:val="23"/>
        </w:rPr>
        <w:t>248.24</w:t>
      </w:r>
      <w:r>
        <w:rPr>
          <w:rFonts w:ascii="Times New Roman" w:hAnsi="Times New Roman" w:eastAsia="Times New Roman" w:cs="Times New Roman"/>
          <w:sz w:val="23"/>
          <w:szCs w:val="23"/>
        </w:rPr>
        <w:t>m</w:t>
      </w:r>
      <w:r>
        <w:rPr>
          <w:rFonts w:ascii="Times New Roman" w:hAnsi="Times New Roman" w:eastAsia="Times New Roman" w:cs="Times New Roman"/>
          <w:spacing w:val="9"/>
          <w:position w:val="8"/>
          <w:sz w:val="15"/>
          <w:szCs w:val="15"/>
        </w:rPr>
        <w:t>3</w:t>
      </w:r>
      <w:r>
        <w:rPr>
          <w:rFonts w:ascii="Times New Roman" w:hAnsi="Times New Roman" w:eastAsia="Times New Roman" w:cs="Times New Roman"/>
          <w:spacing w:val="9"/>
          <w:sz w:val="23"/>
          <w:szCs w:val="23"/>
        </w:rPr>
        <w:t>/</w:t>
      </w:r>
      <w:r>
        <w:rPr>
          <w:rFonts w:ascii="宋体" w:hAnsi="宋体" w:eastAsia="宋体" w:cs="宋体"/>
          <w:spacing w:val="9"/>
          <w:sz w:val="23"/>
          <w:szCs w:val="23"/>
        </w:rPr>
        <w:t>次。在项目北面设置</w:t>
      </w:r>
      <w:r>
        <w:rPr>
          <w:rFonts w:ascii="宋体" w:hAnsi="宋体" w:eastAsia="宋体" w:cs="宋体"/>
          <w:sz w:val="23"/>
          <w:szCs w:val="23"/>
        </w:rPr>
        <w:t xml:space="preserve"> </w:t>
      </w:r>
      <w:r>
        <w:rPr>
          <w:rFonts w:ascii="Times New Roman" w:hAnsi="Times New Roman" w:eastAsia="Times New Roman" w:cs="Times New Roman"/>
          <w:spacing w:val="10"/>
          <w:sz w:val="23"/>
          <w:szCs w:val="23"/>
        </w:rPr>
        <w:t>1</w:t>
      </w:r>
      <w:r>
        <w:rPr>
          <w:rFonts w:ascii="Times New Roman" w:hAnsi="Times New Roman" w:eastAsia="Times New Roman" w:cs="Times New Roman"/>
          <w:spacing w:val="8"/>
          <w:sz w:val="23"/>
          <w:szCs w:val="23"/>
        </w:rPr>
        <w:t>50</w:t>
      </w:r>
      <w:r>
        <w:rPr>
          <w:rFonts w:ascii="Times New Roman" w:hAnsi="Times New Roman" w:eastAsia="Times New Roman" w:cs="Times New Roman"/>
          <w:sz w:val="23"/>
          <w:szCs w:val="23"/>
        </w:rPr>
        <w:t>m</w:t>
      </w:r>
      <w:r>
        <w:rPr>
          <w:rFonts w:ascii="Times New Roman" w:hAnsi="Times New Roman" w:eastAsia="Times New Roman" w:cs="Times New Roman"/>
          <w:spacing w:val="8"/>
          <w:position w:val="8"/>
          <w:sz w:val="15"/>
          <w:szCs w:val="15"/>
        </w:rPr>
        <w:t xml:space="preserve">3 </w:t>
      </w:r>
      <w:r>
        <w:rPr>
          <w:rFonts w:ascii="宋体" w:hAnsi="宋体" w:eastAsia="宋体" w:cs="宋体"/>
          <w:spacing w:val="8"/>
          <w:sz w:val="23"/>
          <w:szCs w:val="23"/>
        </w:rPr>
        <w:t>的初期雨水收集池，满足要求。初期雨水经简单沉淀处理后用于厂区绿化用水，后期</w:t>
      </w:r>
      <w:r>
        <w:rPr>
          <w:rFonts w:ascii="宋体" w:hAnsi="宋体" w:eastAsia="宋体" w:cs="宋体"/>
          <w:sz w:val="23"/>
          <w:szCs w:val="23"/>
        </w:rPr>
        <w:t xml:space="preserve"> </w:t>
      </w:r>
      <w:r>
        <w:rPr>
          <w:rFonts w:ascii="宋体" w:hAnsi="宋体" w:eastAsia="宋体" w:cs="宋体"/>
          <w:spacing w:val="18"/>
          <w:sz w:val="23"/>
          <w:szCs w:val="23"/>
        </w:rPr>
        <w:t>雨</w:t>
      </w:r>
      <w:r>
        <w:rPr>
          <w:rFonts w:ascii="宋体" w:hAnsi="宋体" w:eastAsia="宋体" w:cs="宋体"/>
          <w:spacing w:val="9"/>
          <w:sz w:val="23"/>
          <w:szCs w:val="23"/>
        </w:rPr>
        <w:t>水经雨水沟直接排入就近排入季节性山洪沟，对地表水环境影响较小。</w:t>
      </w:r>
    </w:p>
    <w:p w14:paraId="665C6058">
      <w:pPr>
        <w:spacing w:line="227" w:lineRule="auto"/>
        <w:ind w:left="117"/>
        <w:outlineLvl w:val="2"/>
        <w:rPr>
          <w:rFonts w:ascii="宋体" w:hAnsi="宋体" w:eastAsia="宋体" w:cs="宋体"/>
          <w:sz w:val="23"/>
          <w:szCs w:val="23"/>
        </w:rPr>
      </w:pPr>
      <w:r>
        <w:rPr>
          <w:rFonts w:ascii="Times New Roman" w:hAnsi="Times New Roman" w:eastAsia="Times New Roman" w:cs="Times New Roman"/>
          <w:b/>
          <w:bCs/>
          <w:spacing w:val="14"/>
          <w:sz w:val="23"/>
          <w:szCs w:val="23"/>
        </w:rPr>
        <w:t>6</w:t>
      </w:r>
      <w:r>
        <w:rPr>
          <w:rFonts w:ascii="Times New Roman" w:hAnsi="Times New Roman" w:eastAsia="Times New Roman" w:cs="Times New Roman"/>
          <w:b/>
          <w:bCs/>
          <w:spacing w:val="9"/>
          <w:sz w:val="23"/>
          <w:szCs w:val="23"/>
        </w:rPr>
        <w:t>.</w:t>
      </w:r>
      <w:r>
        <w:rPr>
          <w:rFonts w:ascii="Times New Roman" w:hAnsi="Times New Roman" w:eastAsia="Times New Roman" w:cs="Times New Roman"/>
          <w:b/>
          <w:bCs/>
          <w:spacing w:val="7"/>
          <w:sz w:val="23"/>
          <w:szCs w:val="23"/>
        </w:rPr>
        <w:t>2.2</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地下水污染防治措施分析</w:t>
      </w:r>
    </w:p>
    <w:p w14:paraId="00E8FD12">
      <w:pPr>
        <w:spacing w:before="184" w:line="375" w:lineRule="auto"/>
        <w:ind w:left="118" w:right="2" w:firstLine="483"/>
        <w:rPr>
          <w:rFonts w:ascii="宋体" w:hAnsi="宋体" w:eastAsia="宋体" w:cs="宋体"/>
          <w:sz w:val="23"/>
          <w:szCs w:val="23"/>
        </w:rPr>
      </w:pPr>
      <w:r>
        <w:rPr>
          <w:rFonts w:ascii="宋体" w:hAnsi="宋体" w:eastAsia="宋体" w:cs="宋体"/>
          <w:spacing w:val="7"/>
          <w:sz w:val="23"/>
          <w:szCs w:val="23"/>
        </w:rPr>
        <w:t>项目部分构筑物，如化粪池、废水污水处理系统、应急池等大部分设置地下，如发生</w:t>
      </w:r>
      <w:r>
        <w:rPr>
          <w:rFonts w:ascii="宋体" w:hAnsi="宋体" w:eastAsia="宋体" w:cs="宋体"/>
          <w:spacing w:val="2"/>
          <w:sz w:val="23"/>
          <w:szCs w:val="23"/>
        </w:rPr>
        <w:t>渗</w:t>
      </w:r>
      <w:r>
        <w:rPr>
          <w:rFonts w:ascii="宋体" w:hAnsi="宋体" w:eastAsia="宋体" w:cs="宋体"/>
          <w:sz w:val="23"/>
          <w:szCs w:val="23"/>
        </w:rPr>
        <w:t xml:space="preserve"> </w:t>
      </w:r>
      <w:r>
        <w:rPr>
          <w:rFonts w:ascii="宋体" w:hAnsi="宋体" w:eastAsia="宋体" w:cs="宋体"/>
          <w:spacing w:val="18"/>
          <w:sz w:val="23"/>
          <w:szCs w:val="23"/>
        </w:rPr>
        <w:t>漏</w:t>
      </w:r>
      <w:r>
        <w:rPr>
          <w:rFonts w:ascii="宋体" w:hAnsi="宋体" w:eastAsia="宋体" w:cs="宋体"/>
          <w:spacing w:val="10"/>
          <w:sz w:val="23"/>
          <w:szCs w:val="23"/>
        </w:rPr>
        <w:t>将</w:t>
      </w:r>
      <w:r>
        <w:rPr>
          <w:rFonts w:ascii="宋体" w:hAnsi="宋体" w:eastAsia="宋体" w:cs="宋体"/>
          <w:spacing w:val="9"/>
          <w:sz w:val="23"/>
          <w:szCs w:val="23"/>
        </w:rPr>
        <w:t>有可能对地下水产生不良影响。因此应采取以下污染防治措施：</w:t>
      </w:r>
    </w:p>
    <w:p w14:paraId="05413AA3">
      <w:pPr>
        <w:spacing w:line="228" w:lineRule="auto"/>
        <w:ind w:left="609"/>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1</w:t>
      </w:r>
      <w:r>
        <w:rPr>
          <w:rFonts w:ascii="宋体" w:hAnsi="宋体" w:eastAsia="宋体" w:cs="宋体"/>
          <w:spacing w:val="20"/>
          <w:sz w:val="23"/>
          <w:szCs w:val="23"/>
        </w:rPr>
        <w:t>) 分区防</w:t>
      </w:r>
      <w:r>
        <w:rPr>
          <w:rFonts w:ascii="宋体" w:hAnsi="宋体" w:eastAsia="宋体" w:cs="宋体"/>
          <w:spacing w:val="19"/>
          <w:sz w:val="23"/>
          <w:szCs w:val="23"/>
        </w:rPr>
        <w:t>渗</w:t>
      </w:r>
    </w:p>
    <w:p w14:paraId="3273414E">
      <w:pPr>
        <w:spacing w:before="186" w:line="374" w:lineRule="auto"/>
        <w:ind w:left="117" w:firstLine="483"/>
        <w:rPr>
          <w:rFonts w:ascii="宋体" w:hAnsi="宋体" w:eastAsia="宋体" w:cs="宋体"/>
          <w:sz w:val="23"/>
          <w:szCs w:val="23"/>
        </w:rPr>
      </w:pPr>
      <w:r>
        <w:rPr>
          <w:rFonts w:ascii="宋体" w:hAnsi="宋体" w:eastAsia="宋体" w:cs="宋体"/>
          <w:spacing w:val="7"/>
          <w:sz w:val="23"/>
          <w:szCs w:val="23"/>
        </w:rPr>
        <w:t>为保护区域地下水安全，需要对项目厂区进行防渗。根据现场调查，本项目以水平防</w:t>
      </w:r>
      <w:r>
        <w:rPr>
          <w:rFonts w:ascii="宋体" w:hAnsi="宋体" w:eastAsia="宋体" w:cs="宋体"/>
          <w:spacing w:val="3"/>
          <w:sz w:val="23"/>
          <w:szCs w:val="23"/>
        </w:rPr>
        <w:t>渗</w:t>
      </w:r>
      <w:r>
        <w:rPr>
          <w:rFonts w:ascii="宋体" w:hAnsi="宋体" w:eastAsia="宋体" w:cs="宋体"/>
          <w:sz w:val="23"/>
          <w:szCs w:val="23"/>
        </w:rPr>
        <w:t xml:space="preserve"> </w:t>
      </w:r>
      <w:r>
        <w:rPr>
          <w:rFonts w:ascii="宋体" w:hAnsi="宋体" w:eastAsia="宋体" w:cs="宋体"/>
          <w:spacing w:val="14"/>
          <w:sz w:val="23"/>
          <w:szCs w:val="23"/>
        </w:rPr>
        <w:t>为主</w:t>
      </w:r>
      <w:r>
        <w:rPr>
          <w:rFonts w:ascii="宋体" w:hAnsi="宋体" w:eastAsia="宋体" w:cs="宋体"/>
          <w:spacing w:val="10"/>
          <w:sz w:val="23"/>
          <w:szCs w:val="23"/>
        </w:rPr>
        <w:t>。</w:t>
      </w:r>
      <w:r>
        <w:rPr>
          <w:rFonts w:ascii="宋体" w:hAnsi="宋体" w:eastAsia="宋体" w:cs="宋体"/>
          <w:spacing w:val="7"/>
          <w:sz w:val="23"/>
          <w:szCs w:val="23"/>
        </w:rPr>
        <w:t>根据《环境影响评价技术导则</w:t>
      </w:r>
      <w:r>
        <w:rPr>
          <w:rFonts w:ascii="Times New Roman" w:hAnsi="Times New Roman" w:eastAsia="Times New Roman" w:cs="Times New Roman"/>
          <w:spacing w:val="7"/>
          <w:sz w:val="23"/>
          <w:szCs w:val="23"/>
        </w:rPr>
        <w:t>-</w:t>
      </w:r>
      <w:r>
        <w:rPr>
          <w:rFonts w:ascii="宋体" w:hAnsi="宋体" w:eastAsia="宋体" w:cs="宋体"/>
          <w:spacing w:val="7"/>
          <w:sz w:val="23"/>
          <w:szCs w:val="23"/>
        </w:rPr>
        <w:t>地下水环境》  (</w:t>
      </w:r>
      <w:r>
        <w:rPr>
          <w:rFonts w:ascii="Times New Roman" w:hAnsi="Times New Roman" w:eastAsia="Times New Roman" w:cs="Times New Roman"/>
          <w:sz w:val="23"/>
          <w:szCs w:val="23"/>
        </w:rPr>
        <w:t>HJ</w:t>
      </w:r>
      <w:r>
        <w:rPr>
          <w:rFonts w:ascii="Times New Roman" w:hAnsi="Times New Roman" w:eastAsia="Times New Roman" w:cs="Times New Roman"/>
          <w:spacing w:val="7"/>
          <w:sz w:val="23"/>
          <w:szCs w:val="23"/>
        </w:rPr>
        <w:t>610-2016</w:t>
      </w:r>
      <w:r>
        <w:rPr>
          <w:rFonts w:ascii="宋体" w:hAnsi="宋体" w:eastAsia="宋体" w:cs="宋体"/>
          <w:spacing w:val="7"/>
          <w:sz w:val="23"/>
          <w:szCs w:val="23"/>
        </w:rPr>
        <w:t>) ，地下水污染防渗分区</w:t>
      </w:r>
      <w:r>
        <w:rPr>
          <w:rFonts w:ascii="宋体" w:hAnsi="宋体" w:eastAsia="宋体" w:cs="宋体"/>
          <w:sz w:val="23"/>
          <w:szCs w:val="23"/>
        </w:rPr>
        <w:t xml:space="preserve"> </w:t>
      </w:r>
      <w:r>
        <w:rPr>
          <w:rFonts w:ascii="宋体" w:hAnsi="宋体" w:eastAsia="宋体" w:cs="宋体"/>
          <w:spacing w:val="-1"/>
          <w:sz w:val="23"/>
          <w:szCs w:val="23"/>
        </w:rPr>
        <w:t>划分原则见下</w:t>
      </w:r>
      <w:r>
        <w:rPr>
          <w:rFonts w:ascii="宋体" w:hAnsi="宋体" w:eastAsia="宋体" w:cs="宋体"/>
          <w:sz w:val="23"/>
          <w:szCs w:val="23"/>
        </w:rPr>
        <w:t xml:space="preserve">表 </w:t>
      </w:r>
      <w:r>
        <w:rPr>
          <w:rFonts w:ascii="Times New Roman" w:hAnsi="Times New Roman" w:eastAsia="Times New Roman" w:cs="Times New Roman"/>
          <w:sz w:val="23"/>
          <w:szCs w:val="23"/>
        </w:rPr>
        <w:t>6.2- 1~6.2-3</w:t>
      </w:r>
      <w:r>
        <w:rPr>
          <w:rFonts w:ascii="宋体" w:hAnsi="宋体" w:eastAsia="宋体" w:cs="宋体"/>
          <w:sz w:val="23"/>
          <w:szCs w:val="23"/>
        </w:rPr>
        <w:t>。</w:t>
      </w:r>
    </w:p>
    <w:p w14:paraId="0A9D1441">
      <w:pPr>
        <w:spacing w:line="228" w:lineRule="auto"/>
        <w:ind w:left="611"/>
        <w:rPr>
          <w:rFonts w:ascii="宋体" w:hAnsi="宋体" w:eastAsia="宋体" w:cs="宋体"/>
          <w:sz w:val="23"/>
          <w:szCs w:val="23"/>
        </w:rPr>
      </w:pPr>
      <w:r>
        <w:rPr>
          <w:rFonts w:ascii="宋体" w:hAnsi="宋体" w:eastAsia="宋体" w:cs="宋体"/>
          <w:spacing w:val="12"/>
          <w:sz w:val="23"/>
          <w:szCs w:val="23"/>
        </w:rPr>
        <w:t>需</w:t>
      </w:r>
      <w:r>
        <w:rPr>
          <w:rFonts w:ascii="宋体" w:hAnsi="宋体" w:eastAsia="宋体" w:cs="宋体"/>
          <w:spacing w:val="7"/>
          <w:sz w:val="23"/>
          <w:szCs w:val="23"/>
        </w:rPr>
        <w:t>要</w:t>
      </w:r>
      <w:r>
        <w:rPr>
          <w:rFonts w:ascii="宋体" w:hAnsi="宋体" w:eastAsia="宋体" w:cs="宋体"/>
          <w:spacing w:val="6"/>
          <w:sz w:val="23"/>
          <w:szCs w:val="23"/>
        </w:rPr>
        <w:t>防渗的区域包括：</w:t>
      </w:r>
    </w:p>
    <w:p w14:paraId="471EBDAB">
      <w:pPr>
        <w:spacing w:before="303" w:line="221" w:lineRule="auto"/>
        <w:ind w:left="3088"/>
        <w:rPr>
          <w:rFonts w:ascii="黑体" w:hAnsi="黑体" w:eastAsia="黑体" w:cs="黑体"/>
          <w:sz w:val="23"/>
          <w:szCs w:val="23"/>
        </w:rPr>
      </w:pPr>
      <w:r>
        <w:rPr>
          <w:rFonts w:ascii="黑体" w:hAnsi="黑体" w:eastAsia="黑体" w:cs="黑体"/>
          <w:spacing w:val="2"/>
          <w:sz w:val="23"/>
          <w:szCs w:val="23"/>
        </w:rPr>
        <w:t xml:space="preserve">表 </w:t>
      </w:r>
      <w:r>
        <w:rPr>
          <w:rFonts w:ascii="Times New Roman" w:hAnsi="Times New Roman" w:eastAsia="Times New Roman" w:cs="Times New Roman"/>
          <w:spacing w:val="2"/>
          <w:sz w:val="23"/>
          <w:szCs w:val="23"/>
        </w:rPr>
        <w:t xml:space="preserve">6.2- 1  </w:t>
      </w:r>
      <w:r>
        <w:rPr>
          <w:rFonts w:ascii="黑体" w:hAnsi="黑体" w:eastAsia="黑体" w:cs="黑体"/>
          <w:spacing w:val="2"/>
          <w:sz w:val="23"/>
          <w:szCs w:val="23"/>
        </w:rPr>
        <w:t>污染控制难易</w:t>
      </w:r>
      <w:r>
        <w:rPr>
          <w:rFonts w:ascii="黑体" w:hAnsi="黑体" w:eastAsia="黑体" w:cs="黑体"/>
          <w:spacing w:val="1"/>
          <w:sz w:val="23"/>
          <w:szCs w:val="23"/>
        </w:rPr>
        <w:t>程度分级参照表</w:t>
      </w:r>
    </w:p>
    <w:tbl>
      <w:tblPr>
        <w:tblStyle w:val="4"/>
        <w:tblW w:w="928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35"/>
        <w:gridCol w:w="7252"/>
      </w:tblGrid>
      <w:tr w14:paraId="46D90C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00" w:hRule="atLeast"/>
        </w:trPr>
        <w:tc>
          <w:tcPr>
            <w:tcW w:w="2035" w:type="dxa"/>
            <w:tcBorders>
              <w:left w:val="nil"/>
            </w:tcBorders>
          </w:tcPr>
          <w:p w14:paraId="015F2639">
            <w:pPr>
              <w:spacing w:before="56" w:line="225" w:lineRule="auto"/>
              <w:ind w:left="118"/>
              <w:rPr>
                <w:rFonts w:ascii="宋体" w:hAnsi="宋体" w:eastAsia="宋体" w:cs="宋体"/>
                <w:sz w:val="20"/>
                <w:szCs w:val="20"/>
              </w:rPr>
            </w:pPr>
            <w:r>
              <w:rPr>
                <w:rFonts w:ascii="宋体" w:hAnsi="宋体" w:eastAsia="宋体" w:cs="宋体"/>
                <w:spacing w:val="12"/>
                <w:sz w:val="20"/>
                <w:szCs w:val="20"/>
                <w14:textOutline w14:w="3797" w14:cap="sq" w14:cmpd="sng" w14:algn="ctr">
                  <w14:solidFill>
                    <w14:srgbClr w14:val="000000"/>
                  </w14:solidFill>
                  <w14:prstDash w14:val="solid"/>
                  <w14:bevel/>
                </w14:textOutline>
              </w:rPr>
              <w:t>污</w:t>
            </w:r>
            <w:r>
              <w:rPr>
                <w:rFonts w:ascii="宋体" w:hAnsi="宋体" w:eastAsia="宋体" w:cs="宋体"/>
                <w:spacing w:val="9"/>
                <w:sz w:val="20"/>
                <w:szCs w:val="20"/>
                <w14:textOutline w14:w="3797" w14:cap="sq" w14:cmpd="sng" w14:algn="ctr">
                  <w14:solidFill>
                    <w14:srgbClr w14:val="000000"/>
                  </w14:solidFill>
                  <w14:prstDash w14:val="solid"/>
                  <w14:bevel/>
                </w14:textOutline>
              </w:rPr>
              <w:t>染控制难易程度</w:t>
            </w:r>
          </w:p>
        </w:tc>
        <w:tc>
          <w:tcPr>
            <w:tcW w:w="7252" w:type="dxa"/>
            <w:tcBorders>
              <w:right w:val="nil"/>
            </w:tcBorders>
          </w:tcPr>
          <w:p w14:paraId="3A4A1374">
            <w:pPr>
              <w:spacing w:before="56" w:line="225" w:lineRule="auto"/>
              <w:ind w:left="3423"/>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主要特征</w:t>
            </w:r>
          </w:p>
        </w:tc>
      </w:tr>
      <w:tr w14:paraId="72160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035" w:type="dxa"/>
            <w:tcBorders>
              <w:left w:val="nil"/>
            </w:tcBorders>
          </w:tcPr>
          <w:p w14:paraId="0FB5FBA3">
            <w:pPr>
              <w:spacing w:before="34" w:line="223" w:lineRule="auto"/>
              <w:ind w:left="1128"/>
              <w:rPr>
                <w:rFonts w:ascii="宋体" w:hAnsi="宋体" w:eastAsia="宋体" w:cs="宋体"/>
                <w:sz w:val="20"/>
                <w:szCs w:val="20"/>
              </w:rPr>
            </w:pPr>
            <w:r>
              <w:rPr>
                <w:rFonts w:ascii="宋体" w:hAnsi="宋体" w:eastAsia="宋体" w:cs="宋体"/>
                <w:spacing w:val="1"/>
                <w:sz w:val="20"/>
                <w:szCs w:val="20"/>
              </w:rPr>
              <w:t>难</w:t>
            </w:r>
          </w:p>
        </w:tc>
        <w:tc>
          <w:tcPr>
            <w:tcW w:w="7252" w:type="dxa"/>
            <w:tcBorders>
              <w:right w:val="nil"/>
            </w:tcBorders>
          </w:tcPr>
          <w:p w14:paraId="53836066">
            <w:pPr>
              <w:spacing w:before="34" w:line="223" w:lineRule="auto"/>
              <w:ind w:left="795"/>
              <w:rPr>
                <w:rFonts w:ascii="宋体" w:hAnsi="宋体" w:eastAsia="宋体" w:cs="宋体"/>
                <w:sz w:val="20"/>
                <w:szCs w:val="20"/>
              </w:rPr>
            </w:pPr>
            <w:r>
              <w:rPr>
                <w:rFonts w:ascii="宋体" w:hAnsi="宋体" w:eastAsia="宋体" w:cs="宋体"/>
                <w:spacing w:val="18"/>
                <w:sz w:val="20"/>
                <w:szCs w:val="20"/>
              </w:rPr>
              <w:t>对地</w:t>
            </w:r>
            <w:r>
              <w:rPr>
                <w:rFonts w:ascii="宋体" w:hAnsi="宋体" w:eastAsia="宋体" w:cs="宋体"/>
                <w:spacing w:val="11"/>
                <w:sz w:val="20"/>
                <w:szCs w:val="20"/>
              </w:rPr>
              <w:t>下</w:t>
            </w:r>
            <w:r>
              <w:rPr>
                <w:rFonts w:ascii="宋体" w:hAnsi="宋体" w:eastAsia="宋体" w:cs="宋体"/>
                <w:spacing w:val="9"/>
                <w:sz w:val="20"/>
                <w:szCs w:val="20"/>
              </w:rPr>
              <w:t>水环境有污染的物料或污染物泄漏后，不能及时发现和处理</w:t>
            </w:r>
          </w:p>
        </w:tc>
      </w:tr>
      <w:tr w14:paraId="505430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99" w:hRule="atLeast"/>
        </w:trPr>
        <w:tc>
          <w:tcPr>
            <w:tcW w:w="2035" w:type="dxa"/>
            <w:tcBorders>
              <w:left w:val="nil"/>
            </w:tcBorders>
          </w:tcPr>
          <w:p w14:paraId="53290977">
            <w:pPr>
              <w:spacing w:before="34" w:line="229" w:lineRule="auto"/>
              <w:ind w:left="1143"/>
              <w:rPr>
                <w:rFonts w:ascii="宋体" w:hAnsi="宋体" w:eastAsia="宋体" w:cs="宋体"/>
                <w:sz w:val="20"/>
                <w:szCs w:val="20"/>
              </w:rPr>
            </w:pPr>
            <w:r>
              <w:rPr>
                <w:rFonts w:ascii="宋体" w:hAnsi="宋体" w:eastAsia="宋体" w:cs="宋体"/>
                <w:sz w:val="20"/>
                <w:szCs w:val="20"/>
              </w:rPr>
              <w:t>易</w:t>
            </w:r>
          </w:p>
        </w:tc>
        <w:tc>
          <w:tcPr>
            <w:tcW w:w="7252" w:type="dxa"/>
            <w:tcBorders>
              <w:right w:val="nil"/>
            </w:tcBorders>
          </w:tcPr>
          <w:p w14:paraId="685CEF46">
            <w:pPr>
              <w:spacing w:before="33" w:line="228" w:lineRule="auto"/>
              <w:ind w:left="900"/>
              <w:rPr>
                <w:rFonts w:ascii="宋体" w:hAnsi="宋体" w:eastAsia="宋体" w:cs="宋体"/>
                <w:sz w:val="20"/>
                <w:szCs w:val="20"/>
              </w:rPr>
            </w:pPr>
            <w:r>
              <w:rPr>
                <w:rFonts w:ascii="宋体" w:hAnsi="宋体" w:eastAsia="宋体" w:cs="宋体"/>
                <w:spacing w:val="18"/>
                <w:sz w:val="20"/>
                <w:szCs w:val="20"/>
              </w:rPr>
              <w:t>对地</w:t>
            </w:r>
            <w:r>
              <w:rPr>
                <w:rFonts w:ascii="宋体" w:hAnsi="宋体" w:eastAsia="宋体" w:cs="宋体"/>
                <w:spacing w:val="9"/>
                <w:sz w:val="20"/>
                <w:szCs w:val="20"/>
              </w:rPr>
              <w:t>下水环境有污染的物料或污染物泄漏后，可及时发现和处理</w:t>
            </w:r>
          </w:p>
        </w:tc>
      </w:tr>
    </w:tbl>
    <w:p w14:paraId="48D50001">
      <w:pPr>
        <w:spacing w:before="156" w:line="222" w:lineRule="auto"/>
        <w:ind w:left="2968"/>
        <w:rPr>
          <w:rFonts w:ascii="黑体" w:hAnsi="黑体" w:eastAsia="黑体" w:cs="黑体"/>
          <w:sz w:val="23"/>
          <w:szCs w:val="23"/>
        </w:rPr>
      </w:pPr>
      <w:r>
        <w:rPr>
          <w:rFonts w:ascii="黑体" w:hAnsi="黑体" w:eastAsia="黑体" w:cs="黑体"/>
          <w:spacing w:val="8"/>
          <w:sz w:val="23"/>
          <w:szCs w:val="23"/>
        </w:rPr>
        <w:t xml:space="preserve">表 </w:t>
      </w:r>
      <w:r>
        <w:rPr>
          <w:rFonts w:ascii="Times New Roman" w:hAnsi="Times New Roman" w:eastAsia="Times New Roman" w:cs="Times New Roman"/>
          <w:spacing w:val="8"/>
          <w:sz w:val="23"/>
          <w:szCs w:val="23"/>
        </w:rPr>
        <w:t>6</w:t>
      </w:r>
      <w:r>
        <w:rPr>
          <w:rFonts w:ascii="Times New Roman" w:hAnsi="Times New Roman" w:eastAsia="Times New Roman" w:cs="Times New Roman"/>
          <w:spacing w:val="6"/>
          <w:sz w:val="23"/>
          <w:szCs w:val="23"/>
        </w:rPr>
        <w:t>.</w:t>
      </w:r>
      <w:r>
        <w:rPr>
          <w:rFonts w:ascii="Times New Roman" w:hAnsi="Times New Roman" w:eastAsia="Times New Roman" w:cs="Times New Roman"/>
          <w:spacing w:val="4"/>
          <w:sz w:val="23"/>
          <w:szCs w:val="23"/>
        </w:rPr>
        <w:t xml:space="preserve">2-2  </w:t>
      </w:r>
      <w:r>
        <w:rPr>
          <w:rFonts w:ascii="黑体" w:hAnsi="黑体" w:eastAsia="黑体" w:cs="黑体"/>
          <w:spacing w:val="4"/>
          <w:sz w:val="23"/>
          <w:szCs w:val="23"/>
        </w:rPr>
        <w:t>天然包气带防污性能分级参照表</w:t>
      </w:r>
    </w:p>
    <w:p w14:paraId="2E6E02FA">
      <w:pPr>
        <w:spacing w:line="311" w:lineRule="exact"/>
        <w:textAlignment w:val="center"/>
      </w:pPr>
      <w:r>
        <w:pict>
          <v:group id="_x0000_s2115" o:spid="_x0000_s2115" o:spt="203" style="height:15.55pt;width:464.4pt;" coordsize="9287,311">
            <o:lock v:ext="edit"/>
            <v:group id="_x0000_s2116" o:spid="_x0000_s2116" o:spt="203" style="position:absolute;left:0;top:0;height:311;width:9287;" coordsize="9287,311">
              <o:lock v:ext="edit"/>
              <v:shape id="_x0000_s2117" o:spid="_x0000_s2117" style="position:absolute;left:0;top:0;height:29;width:9287;" filled="f" coordsize="9287,29" path="m0,14l9287,14e">
                <v:fill on="f" focussize="0,0"/>
                <v:stroke weight="1.44pt" miterlimit="2" joinstyle="bevel"/>
                <v:imagedata o:title=""/>
                <o:lock v:ext="edit"/>
              </v:shape>
              <v:shape id="_x0000_s2118" o:spid="_x0000_s2118" o:spt="100" style="position:absolute;left:0;top:28;height:282;width:9287;" filled="f" coordsize="9287,282" adj=",," path="m0,277l9287,277m959,0l959,272e">
                <v:path o:connecttype="segments"/>
                <v:fill on="f" focussize="0,0"/>
                <v:stroke weight="0.48pt" miterlimit="2" joinstyle="bevel"/>
                <v:imagedata o:title=""/>
                <o:lock v:ext="edit"/>
              </v:shape>
            </v:group>
            <v:shape id="_x0000_s2119" o:spid="_x0000_s2119" o:spt="202" type="#_x0000_t202" style="position:absolute;left:4270;top:40;height:287;width:2140;" filled="f" stroked="f" coordsize="21600,21600">
              <v:path/>
              <v:fill on="f" focussize="0,0"/>
              <v:stroke on="f" joinstyle="miter"/>
              <v:imagedata o:title=""/>
              <o:lock v:ext="edit"/>
              <v:textbox inset="0mm,0mm,0mm,0mm">
                <w:txbxContent>
                  <w:p w14:paraId="24C354BE">
                    <w:pPr>
                      <w:spacing w:before="19" w:line="228" w:lineRule="auto"/>
                      <w:ind w:left="20"/>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包气带岩土的渗透性</w:t>
                    </w:r>
                    <w:r>
                      <w:rPr>
                        <w:rFonts w:ascii="宋体" w:hAnsi="宋体" w:eastAsia="宋体" w:cs="宋体"/>
                        <w:spacing w:val="9"/>
                        <w:sz w:val="20"/>
                        <w:szCs w:val="20"/>
                        <w14:textOutline w14:w="3797" w14:cap="sq" w14:cmpd="sng" w14:algn="ctr">
                          <w14:solidFill>
                            <w14:srgbClr w14:val="000000"/>
                          </w14:solidFill>
                          <w14:prstDash w14:val="solid"/>
                          <w14:bevel/>
                        </w14:textOutline>
                      </w:rPr>
                      <w:t>能</w:t>
                    </w:r>
                  </w:p>
                </w:txbxContent>
              </v:textbox>
            </v:shape>
            <v:shape id="_x0000_s2120" o:spid="_x0000_s2120" o:spt="202" type="#_x0000_t202" style="position:absolute;left:260;top:40;height:287;width:450;" filled="f" stroked="f" coordsize="21600,21600">
              <v:path/>
              <v:fill on="f" focussize="0,0"/>
              <v:stroke on="f" joinstyle="miter"/>
              <v:imagedata o:title=""/>
              <o:lock v:ext="edit"/>
              <v:textbox inset="0mm,0mm,0mm,0mm">
                <w:txbxContent>
                  <w:p w14:paraId="56ACF143">
                    <w:pPr>
                      <w:spacing w:before="20" w:line="228" w:lineRule="auto"/>
                      <w:ind w:left="20"/>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分</w:t>
                    </w:r>
                    <w:r>
                      <w:rPr>
                        <w:rFonts w:ascii="宋体" w:hAnsi="宋体" w:eastAsia="宋体" w:cs="宋体"/>
                        <w:spacing w:val="4"/>
                        <w:sz w:val="20"/>
                        <w:szCs w:val="20"/>
                        <w14:textOutline w14:w="3797" w14:cap="sq" w14:cmpd="sng" w14:algn="ctr">
                          <w14:solidFill>
                            <w14:srgbClr w14:val="000000"/>
                          </w14:solidFill>
                          <w14:prstDash w14:val="solid"/>
                          <w14:bevel/>
                        </w14:textOutline>
                      </w:rPr>
                      <w:t>级</w:t>
                    </w:r>
                  </w:p>
                </w:txbxContent>
              </v:textbox>
            </v:shape>
            <w10:wrap type="none"/>
            <w10:anchorlock/>
          </v:group>
        </w:pict>
      </w:r>
    </w:p>
    <w:p w14:paraId="4D74F7C7">
      <w:pPr>
        <w:sectPr>
          <w:headerReference r:id="rId247" w:type="default"/>
          <w:footerReference r:id="rId248" w:type="default"/>
          <w:pgSz w:w="11906" w:h="16839"/>
          <w:pgMar w:top="1113" w:right="1132" w:bottom="1157" w:left="1168" w:header="878" w:footer="994" w:gutter="0"/>
          <w:cols w:space="720" w:num="1"/>
        </w:sectPr>
      </w:pPr>
    </w:p>
    <w:p w14:paraId="1B5267A9">
      <w:pPr>
        <w:spacing w:line="420" w:lineRule="auto"/>
      </w:pPr>
      <w:r>
        <w:pict>
          <v:shape id="_x0000_s2121" o:spid="_x0000_s2121" style="position:absolute;left:0pt;margin-left:63.8pt;margin-top:55.2pt;height:0.5pt;width:474.8pt;mso-position-horizontal-relative:page;mso-position-vertical-relative:page;z-index:251742208;mso-width-relative:page;mso-height-relative:page;" fillcolor="#000000" filled="t" stroked="f" coordsize="9495,10" o:allowincell="f" path="m0,0l9495,0,9495,9,0,9,0,0xe">
            <v:fill on="t" focussize="0,0"/>
            <v:stroke on="f"/>
            <v:imagedata o:title=""/>
            <o:lock v:ext="edit"/>
          </v:shape>
        </w:pict>
      </w:r>
      <w:r>
        <w:pict>
          <v:shape id="_x0000_s2122" o:spid="_x0000_s2122" o:spt="202" type="#_x0000_t202" style="position:absolute;left:0pt;margin-left:349.75pt;margin-top:62.95pt;height:16.1pt;width:7.65pt;mso-position-horizontal-relative:page;mso-position-vertical-relative:page;z-index:-251576320;mso-width-relative:page;mso-height-relative:page;" filled="f" stroked="f" coordsize="21600,21600" o:allowincell="f">
            <v:path/>
            <v:fill on="f" focussize="0,0"/>
            <v:stroke on="f" joinstyle="miter"/>
            <v:imagedata o:title=""/>
            <o:lock v:ext="edit"/>
            <v:textbox inset="0mm,0mm,0mm,0mm">
              <w:txbxContent>
                <w:p w14:paraId="64C46E6E">
                  <w:pPr>
                    <w:spacing w:before="20" w:line="281" w:lineRule="exact"/>
                    <w:ind w:left="20"/>
                    <w:rPr>
                      <w:rFonts w:ascii="Times New Roman" w:hAnsi="Times New Roman" w:eastAsia="Times New Roman" w:cs="Times New Roman"/>
                      <w:sz w:val="20"/>
                      <w:szCs w:val="20"/>
                    </w:rPr>
                  </w:pPr>
                  <w:r>
                    <w:rPr>
                      <w:rFonts w:ascii="Times New Roman" w:hAnsi="Times New Roman" w:eastAsia="Times New Roman" w:cs="Times New Roman"/>
                      <w:spacing w:val="2"/>
                      <w:position w:val="3"/>
                      <w:sz w:val="20"/>
                      <w:szCs w:val="20"/>
                    </w:rPr>
                    <w:t>≤</w:t>
                  </w:r>
                </w:p>
              </w:txbxContent>
            </v:textbox>
          </v:shape>
        </w:pict>
      </w:r>
      <w:r>
        <w:pict>
          <v:shape id="_x0000_s2123" o:spid="_x0000_s2123" o:spt="202" type="#_x0000_t202" style="position:absolute;left:0pt;margin-left:297.85pt;margin-top:64.8pt;height:14.35pt;width:43.6pt;mso-position-horizontal-relative:page;mso-position-vertical-relative:page;z-index:251741184;mso-width-relative:page;mso-height-relative:page;" filled="f" stroked="f" coordsize="21600,21600" o:allowincell="f">
            <v:path/>
            <v:fill on="f" focussize="0,0"/>
            <v:stroke on="f" joinstyle="miter"/>
            <v:imagedata o:title=""/>
            <o:lock v:ext="edit"/>
            <v:textbox inset="0mm,0mm,0mm,0mm">
              <w:txbxContent>
                <w:p w14:paraId="0840225A">
                  <w:pPr>
                    <w:spacing w:before="19" w:line="228" w:lineRule="auto"/>
                    <w:ind w:left="20"/>
                    <w:rPr>
                      <w:rFonts w:ascii="宋体" w:hAnsi="宋体" w:eastAsia="宋体" w:cs="宋体"/>
                      <w:sz w:val="20"/>
                      <w:szCs w:val="20"/>
                    </w:rPr>
                  </w:pPr>
                  <w:r>
                    <w:rPr>
                      <w:rFonts w:ascii="宋体" w:hAnsi="宋体" w:eastAsia="宋体" w:cs="宋体"/>
                      <w:spacing w:val="10"/>
                      <w:sz w:val="20"/>
                      <w:szCs w:val="20"/>
                    </w:rPr>
                    <w:t>渗</w:t>
                  </w:r>
                  <w:r>
                    <w:rPr>
                      <w:rFonts w:ascii="宋体" w:hAnsi="宋体" w:eastAsia="宋体" w:cs="宋体"/>
                      <w:spacing w:val="7"/>
                      <w:sz w:val="20"/>
                      <w:szCs w:val="20"/>
                    </w:rPr>
                    <w:t>透系数</w:t>
                  </w:r>
                </w:p>
              </w:txbxContent>
            </v:textbox>
          </v:shape>
        </w:pict>
      </w:r>
      <w:r>
        <w:pict>
          <v:shape id="_x0000_s2124" o:spid="_x0000_s2124" o:spt="202" type="#_x0000_t202" style="position:absolute;left:0pt;margin-left:427.2pt;margin-top:64.8pt;height:14.3pt;width:22.4pt;mso-position-horizontal-relative:page;mso-position-vertical-relative:page;z-index:251744256;mso-width-relative:page;mso-height-relative:page;" filled="f" stroked="f" coordsize="21600,21600" o:allowincell="f">
            <v:path/>
            <v:fill on="f" focussize="0,0"/>
            <v:stroke on="f" joinstyle="miter"/>
            <v:imagedata o:title=""/>
            <o:lock v:ext="edit"/>
            <v:textbox inset="0mm,0mm,0mm,0mm">
              <w:txbxContent>
                <w:p w14:paraId="06CCDB70">
                  <w:pPr>
                    <w:spacing w:before="19" w:line="227" w:lineRule="auto"/>
                    <w:ind w:left="20"/>
                    <w:rPr>
                      <w:rFonts w:ascii="宋体" w:hAnsi="宋体" w:eastAsia="宋体" w:cs="宋体"/>
                      <w:sz w:val="20"/>
                      <w:szCs w:val="20"/>
                    </w:rPr>
                  </w:pPr>
                  <w:r>
                    <w:rPr>
                      <w:rFonts w:ascii="宋体" w:hAnsi="宋体" w:eastAsia="宋体" w:cs="宋体"/>
                      <w:spacing w:val="4"/>
                      <w:sz w:val="20"/>
                      <w:szCs w:val="20"/>
                    </w:rPr>
                    <w:t>分</w:t>
                  </w:r>
                  <w:r>
                    <w:rPr>
                      <w:rFonts w:ascii="宋体" w:hAnsi="宋体" w:eastAsia="宋体" w:cs="宋体"/>
                      <w:spacing w:val="3"/>
                      <w:sz w:val="20"/>
                      <w:szCs w:val="20"/>
                    </w:rPr>
                    <w:t>布</w:t>
                  </w:r>
                </w:p>
              </w:txbxContent>
            </v:textbox>
          </v:shape>
        </w:pict>
      </w:r>
      <w:r>
        <w:pict>
          <v:shape id="_x0000_s2125" o:spid="_x0000_s2125" o:spt="202" type="#_x0000_t202" style="position:absolute;left:0pt;margin-left:458.65pt;margin-top:64.8pt;height:14.4pt;width:11.95pt;mso-position-horizontal-relative:page;mso-position-vertical-relative:page;z-index:251745280;mso-width-relative:page;mso-height-relative:page;" filled="f" stroked="f" coordsize="21600,21600" o:allowincell="f">
            <v:path/>
            <v:fill on="f" focussize="0,0"/>
            <v:stroke on="f" joinstyle="miter"/>
            <v:imagedata o:title=""/>
            <o:lock v:ext="edit"/>
            <v:textbox inset="0mm,0mm,0mm,0mm">
              <w:txbxContent>
                <w:p w14:paraId="4F4215B9">
                  <w:pPr>
                    <w:spacing w:before="20" w:line="228" w:lineRule="auto"/>
                    <w:ind w:left="20"/>
                    <w:rPr>
                      <w:rFonts w:ascii="宋体" w:hAnsi="宋体" w:eastAsia="宋体" w:cs="宋体"/>
                      <w:sz w:val="20"/>
                      <w:szCs w:val="20"/>
                    </w:rPr>
                  </w:pPr>
                  <w:r>
                    <w:rPr>
                      <w:rFonts w:ascii="宋体" w:hAnsi="宋体" w:eastAsia="宋体" w:cs="宋体"/>
                      <w:sz w:val="20"/>
                      <w:szCs w:val="20"/>
                    </w:rPr>
                    <w:t>续</w:t>
                  </w:r>
                </w:p>
              </w:txbxContent>
            </v:textbox>
          </v:shape>
        </w:pict>
      </w:r>
      <w:r>
        <w:pict>
          <v:shape id="_x0000_s2126" o:spid="_x0000_s2126" o:spt="202" type="#_x0000_t202" style="position:absolute;left:0pt;margin-left:479.55pt;margin-top:64.8pt;height:14.35pt;width:22.6pt;mso-position-horizontal-relative:page;mso-position-vertical-relative:page;z-index:251743232;mso-width-relative:page;mso-height-relative:page;" filled="f" stroked="f" coordsize="21600,21600" o:allowincell="f">
            <v:path/>
            <v:fill on="f" focussize="0,0"/>
            <v:stroke on="f" joinstyle="miter"/>
            <v:imagedata o:title=""/>
            <o:lock v:ext="edit"/>
            <v:textbox inset="0mm,0mm,0mm,0mm">
              <w:txbxContent>
                <w:p w14:paraId="2D100CE5">
                  <w:pPr>
                    <w:spacing w:before="19" w:line="228" w:lineRule="auto"/>
                    <w:ind w:left="20"/>
                    <w:rPr>
                      <w:rFonts w:ascii="宋体" w:hAnsi="宋体" w:eastAsia="宋体" w:cs="宋体"/>
                      <w:sz w:val="20"/>
                      <w:szCs w:val="20"/>
                    </w:rPr>
                  </w:pPr>
                  <w:r>
                    <w:rPr>
                      <w:rFonts w:ascii="宋体" w:hAnsi="宋体" w:eastAsia="宋体" w:cs="宋体"/>
                      <w:spacing w:val="6"/>
                      <w:sz w:val="20"/>
                      <w:szCs w:val="20"/>
                    </w:rPr>
                    <w:t>稳</w:t>
                  </w:r>
                  <w:r>
                    <w:rPr>
                      <w:rFonts w:ascii="宋体" w:hAnsi="宋体" w:eastAsia="宋体" w:cs="宋体"/>
                      <w:spacing w:val="5"/>
                      <w:sz w:val="20"/>
                      <w:szCs w:val="20"/>
                    </w:rPr>
                    <w:t>定</w:t>
                  </w:r>
                </w:p>
              </w:txbxContent>
            </v:textbox>
          </v:shape>
        </w:pict>
      </w:r>
    </w:p>
    <w:p w14:paraId="435F741E">
      <w:pPr>
        <w:spacing w:before="55" w:line="229" w:lineRule="auto"/>
        <w:ind w:left="115"/>
        <w:rPr>
          <w:rFonts w:ascii="宋体" w:hAnsi="宋体" w:eastAsia="宋体" w:cs="宋体"/>
          <w:sz w:val="17"/>
          <w:szCs w:val="17"/>
        </w:rPr>
      </w:pP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p w14:paraId="3FF685CE">
      <w:pPr>
        <w:spacing w:line="186" w:lineRule="exact"/>
      </w:pPr>
    </w:p>
    <w:tbl>
      <w:tblPr>
        <w:tblStyle w:val="4"/>
        <w:tblW w:w="928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9"/>
        <w:gridCol w:w="3326"/>
        <w:gridCol w:w="889"/>
        <w:gridCol w:w="4114"/>
      </w:tblGrid>
      <w:tr w14:paraId="7280AF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65" w:hRule="atLeast"/>
        </w:trPr>
        <w:tc>
          <w:tcPr>
            <w:tcW w:w="959" w:type="dxa"/>
            <w:tcBorders>
              <w:left w:val="nil"/>
            </w:tcBorders>
          </w:tcPr>
          <w:p w14:paraId="6F7800AE">
            <w:pPr>
              <w:spacing w:before="35" w:line="212" w:lineRule="auto"/>
              <w:ind w:left="385"/>
              <w:rPr>
                <w:rFonts w:ascii="宋体" w:hAnsi="宋体" w:eastAsia="宋体" w:cs="宋体"/>
                <w:sz w:val="20"/>
                <w:szCs w:val="20"/>
              </w:rPr>
            </w:pPr>
            <w:r>
              <w:rPr>
                <w:rFonts w:ascii="宋体" w:hAnsi="宋体" w:eastAsia="宋体" w:cs="宋体"/>
                <w:sz w:val="20"/>
                <w:szCs w:val="20"/>
              </w:rPr>
              <w:t>强</w:t>
            </w:r>
          </w:p>
        </w:tc>
        <w:tc>
          <w:tcPr>
            <w:tcW w:w="3326" w:type="dxa"/>
            <w:tcBorders>
              <w:right w:val="nil"/>
            </w:tcBorders>
          </w:tcPr>
          <w:p w14:paraId="69BF1309">
            <w:pPr>
              <w:spacing w:line="265" w:lineRule="exact"/>
              <w:ind w:left="864"/>
              <w:rPr>
                <w:rFonts w:ascii="Times New Roman" w:hAnsi="Times New Roman" w:eastAsia="Times New Roman" w:cs="Times New Roman"/>
                <w:sz w:val="19"/>
                <w:szCs w:val="19"/>
              </w:rPr>
            </w:pPr>
            <w:r>
              <w:rPr>
                <w:rFonts w:ascii="宋体" w:hAnsi="宋体" w:eastAsia="宋体" w:cs="宋体"/>
                <w:spacing w:val="19"/>
                <w:position w:val="1"/>
                <w:sz w:val="19"/>
                <w:szCs w:val="19"/>
              </w:rPr>
              <w:t>岩</w:t>
            </w:r>
            <w:r>
              <w:rPr>
                <w:rFonts w:ascii="宋体" w:hAnsi="宋体" w:eastAsia="宋体" w:cs="宋体"/>
                <w:spacing w:val="12"/>
                <w:position w:val="1"/>
                <w:sz w:val="19"/>
                <w:szCs w:val="19"/>
              </w:rPr>
              <w:t xml:space="preserve"> (土) 层单层厚度 </w:t>
            </w:r>
            <w:r>
              <w:rPr>
                <w:rFonts w:ascii="Times New Roman" w:hAnsi="Times New Roman" w:eastAsia="Times New Roman" w:cs="Times New Roman"/>
                <w:position w:val="1"/>
                <w:sz w:val="19"/>
                <w:szCs w:val="19"/>
              </w:rPr>
              <w:t>Mb</w:t>
            </w:r>
            <w:r>
              <w:rPr>
                <w:rFonts w:ascii="Times New Roman" w:hAnsi="Times New Roman" w:eastAsia="Times New Roman" w:cs="Times New Roman"/>
                <w:spacing w:val="12"/>
                <w:position w:val="1"/>
                <w:sz w:val="19"/>
                <w:szCs w:val="19"/>
              </w:rPr>
              <w:t>≥1</w:t>
            </w:r>
          </w:p>
        </w:tc>
        <w:tc>
          <w:tcPr>
            <w:tcW w:w="889" w:type="dxa"/>
            <w:tcBorders>
              <w:left w:val="nil"/>
              <w:right w:val="nil"/>
            </w:tcBorders>
          </w:tcPr>
          <w:p w14:paraId="624A3BF9">
            <w:pPr>
              <w:spacing w:before="72" w:line="178" w:lineRule="auto"/>
              <w:ind w:left="45"/>
              <w:rPr>
                <w:rFonts w:ascii="宋体" w:hAnsi="宋体" w:eastAsia="宋体" w:cs="宋体"/>
                <w:sz w:val="20"/>
                <w:szCs w:val="20"/>
              </w:rPr>
            </w:pPr>
            <w:r>
              <w:rPr>
                <w:rFonts w:ascii="Times New Roman" w:hAnsi="Times New Roman" w:eastAsia="Times New Roman" w:cs="Times New Roman"/>
                <w:spacing w:val="2"/>
                <w:sz w:val="20"/>
                <w:szCs w:val="20"/>
              </w:rPr>
              <w:t>0</w:t>
            </w:r>
            <w:r>
              <w:rPr>
                <w:rFonts w:ascii="Times New Roman" w:hAnsi="Times New Roman" w:eastAsia="Times New Roman" w:cs="Times New Roman"/>
                <w:sz w:val="20"/>
                <w:szCs w:val="20"/>
              </w:rPr>
              <w:t>m</w:t>
            </w:r>
            <w:r>
              <w:rPr>
                <w:rFonts w:ascii="宋体" w:hAnsi="宋体" w:eastAsia="宋体" w:cs="宋体"/>
                <w:spacing w:val="2"/>
                <w:sz w:val="20"/>
                <w:szCs w:val="20"/>
              </w:rPr>
              <w:t>，</w:t>
            </w:r>
          </w:p>
        </w:tc>
        <w:tc>
          <w:tcPr>
            <w:tcW w:w="4114" w:type="dxa"/>
            <w:tcBorders>
              <w:left w:val="nil"/>
              <w:right w:val="nil"/>
            </w:tcBorders>
          </w:tcPr>
          <w:p w14:paraId="54EBBB63">
            <w:pPr>
              <w:spacing w:line="265" w:lineRule="exact"/>
              <w:ind w:left="523"/>
              <w:rPr>
                <w:rFonts w:ascii="宋体" w:hAnsi="宋体" w:eastAsia="宋体" w:cs="宋体"/>
                <w:sz w:val="19"/>
                <w:szCs w:val="19"/>
              </w:rPr>
            </w:pPr>
            <w:r>
              <w:rPr>
                <w:rFonts w:ascii="Times New Roman" w:hAnsi="Times New Roman" w:eastAsia="Times New Roman" w:cs="Times New Roman"/>
                <w:position w:val="1"/>
                <w:sz w:val="19"/>
                <w:szCs w:val="19"/>
              </w:rPr>
              <w:t>K</w:t>
            </w:r>
            <w:r>
              <w:rPr>
                <w:rFonts w:ascii="Times New Roman" w:hAnsi="Times New Roman" w:eastAsia="Times New Roman" w:cs="Times New Roman"/>
                <w:spacing w:val="11"/>
                <w:position w:val="1"/>
                <w:sz w:val="19"/>
                <w:szCs w:val="19"/>
              </w:rPr>
              <w:t xml:space="preserve"> </w:t>
            </w:r>
            <w:r>
              <w:rPr>
                <w:rFonts w:ascii="Times New Roman" w:hAnsi="Times New Roman" w:eastAsia="Times New Roman" w:cs="Times New Roman"/>
                <w:spacing w:val="10"/>
                <w:position w:val="1"/>
                <w:sz w:val="19"/>
                <w:szCs w:val="19"/>
              </w:rPr>
              <w:t xml:space="preserve"> 1×10-6</w:t>
            </w:r>
            <w:r>
              <w:rPr>
                <w:rFonts w:ascii="Times New Roman" w:hAnsi="Times New Roman" w:eastAsia="Times New Roman" w:cs="Times New Roman"/>
                <w:position w:val="1"/>
                <w:sz w:val="19"/>
                <w:szCs w:val="19"/>
              </w:rPr>
              <w:t>cm</w:t>
            </w:r>
            <w:r>
              <w:rPr>
                <w:rFonts w:ascii="Times New Roman" w:hAnsi="Times New Roman" w:eastAsia="Times New Roman" w:cs="Times New Roman"/>
                <w:spacing w:val="10"/>
                <w:position w:val="1"/>
                <w:sz w:val="19"/>
                <w:szCs w:val="19"/>
              </w:rPr>
              <w:t>/</w:t>
            </w:r>
            <w:r>
              <w:rPr>
                <w:rFonts w:ascii="Times New Roman" w:hAnsi="Times New Roman" w:eastAsia="Times New Roman" w:cs="Times New Roman"/>
                <w:position w:val="1"/>
                <w:sz w:val="19"/>
                <w:szCs w:val="19"/>
              </w:rPr>
              <w:t>s</w:t>
            </w:r>
            <w:r>
              <w:rPr>
                <w:rFonts w:ascii="Times New Roman" w:hAnsi="Times New Roman" w:eastAsia="Times New Roman" w:cs="Times New Roman"/>
                <w:spacing w:val="10"/>
                <w:position w:val="1"/>
                <w:sz w:val="19"/>
                <w:szCs w:val="19"/>
              </w:rPr>
              <w:t xml:space="preserve"> </w:t>
            </w:r>
            <w:r>
              <w:rPr>
                <w:rFonts w:ascii="宋体" w:hAnsi="宋体" w:eastAsia="宋体" w:cs="宋体"/>
                <w:spacing w:val="10"/>
                <w:position w:val="1"/>
                <w:sz w:val="19"/>
                <w:szCs w:val="19"/>
              </w:rPr>
              <w:t>，且    连  、</w:t>
            </w:r>
          </w:p>
        </w:tc>
      </w:tr>
      <w:tr w14:paraId="76B8D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959" w:type="dxa"/>
            <w:tcBorders>
              <w:left w:val="nil"/>
            </w:tcBorders>
          </w:tcPr>
          <w:p w14:paraId="4DD739CC">
            <w:pPr>
              <w:spacing w:before="183" w:line="228" w:lineRule="auto"/>
              <w:ind w:left="400"/>
              <w:rPr>
                <w:rFonts w:ascii="宋体" w:hAnsi="宋体" w:eastAsia="宋体" w:cs="宋体"/>
                <w:sz w:val="20"/>
                <w:szCs w:val="20"/>
              </w:rPr>
            </w:pPr>
            <w:r>
              <w:rPr>
                <w:rFonts w:ascii="宋体" w:hAnsi="宋体" w:eastAsia="宋体" w:cs="宋体"/>
                <w:sz w:val="20"/>
                <w:szCs w:val="20"/>
              </w:rPr>
              <w:t>中</w:t>
            </w:r>
          </w:p>
        </w:tc>
        <w:tc>
          <w:tcPr>
            <w:tcW w:w="8329" w:type="dxa"/>
            <w:gridSpan w:val="3"/>
            <w:tcBorders>
              <w:right w:val="nil"/>
            </w:tcBorders>
          </w:tcPr>
          <w:p w14:paraId="54D12658">
            <w:pPr>
              <w:spacing w:before="11" w:line="254" w:lineRule="auto"/>
              <w:ind w:left="117" w:right="33" w:firstLine="143"/>
              <w:rPr>
                <w:rFonts w:ascii="宋体" w:hAnsi="宋体" w:eastAsia="宋体" w:cs="宋体"/>
                <w:sz w:val="20"/>
                <w:szCs w:val="20"/>
              </w:rPr>
            </w:pPr>
            <w:r>
              <w:rPr>
                <w:rFonts w:ascii="宋体" w:hAnsi="宋体" w:eastAsia="宋体" w:cs="宋体"/>
                <w:spacing w:val="4"/>
                <w:sz w:val="20"/>
                <w:szCs w:val="20"/>
              </w:rPr>
              <w:t xml:space="preserve">岩 (土) 层单层厚度 </w:t>
            </w:r>
            <w:r>
              <w:rPr>
                <w:rFonts w:ascii="Times New Roman" w:hAnsi="Times New Roman" w:eastAsia="Times New Roman" w:cs="Times New Roman"/>
                <w:spacing w:val="4"/>
                <w:sz w:val="20"/>
                <w:szCs w:val="20"/>
              </w:rPr>
              <w:t>0.5</w:t>
            </w:r>
            <w:r>
              <w:rPr>
                <w:rFonts w:ascii="Times New Roman" w:hAnsi="Times New Roman" w:eastAsia="Times New Roman" w:cs="Times New Roman"/>
                <w:sz w:val="20"/>
                <w:szCs w:val="20"/>
              </w:rPr>
              <w:t>m</w:t>
            </w:r>
            <w:r>
              <w:rPr>
                <w:rFonts w:ascii="Times New Roman" w:hAnsi="Times New Roman" w:eastAsia="Times New Roman" w:cs="Times New Roman"/>
                <w:spacing w:val="4"/>
                <w:sz w:val="20"/>
                <w:szCs w:val="20"/>
              </w:rPr>
              <w:t>≤</w:t>
            </w:r>
            <w:r>
              <w:rPr>
                <w:rFonts w:ascii="Times New Roman" w:hAnsi="Times New Roman" w:eastAsia="Times New Roman" w:cs="Times New Roman"/>
                <w:sz w:val="20"/>
                <w:szCs w:val="20"/>
              </w:rPr>
              <w:t>Mb</w:t>
            </w:r>
            <w:r>
              <w:rPr>
                <w:rFonts w:ascii="宋体" w:hAnsi="宋体" w:eastAsia="宋体" w:cs="宋体"/>
                <w:spacing w:val="4"/>
                <w:sz w:val="20"/>
                <w:szCs w:val="20"/>
              </w:rPr>
              <w:t>＜</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
                <w:sz w:val="20"/>
                <w:szCs w:val="20"/>
              </w:rPr>
              <w:t>.0</w:t>
            </w:r>
            <w:r>
              <w:rPr>
                <w:rFonts w:ascii="Times New Roman" w:hAnsi="Times New Roman" w:eastAsia="Times New Roman" w:cs="Times New Roman"/>
                <w:sz w:val="20"/>
                <w:szCs w:val="20"/>
              </w:rPr>
              <w:t>m</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 xml:space="preserve">，渗透系数 </w:t>
            </w:r>
            <w:r>
              <w:rPr>
                <w:rFonts w:ascii="Times New Roman" w:hAnsi="Times New Roman" w:eastAsia="Times New Roman" w:cs="Times New Roman"/>
                <w:sz w:val="20"/>
                <w:szCs w:val="20"/>
              </w:rPr>
              <w:t>K</w:t>
            </w:r>
            <w:r>
              <w:rPr>
                <w:rFonts w:ascii="Times New Roman" w:hAnsi="Times New Roman" w:eastAsia="Times New Roman" w:cs="Times New Roman"/>
                <w:spacing w:val="2"/>
                <w:sz w:val="20"/>
                <w:szCs w:val="20"/>
              </w:rPr>
              <w:t>≤ 1×10</w:t>
            </w:r>
            <w:r>
              <w:rPr>
                <w:rFonts w:ascii="Times New Roman" w:hAnsi="Times New Roman" w:eastAsia="Times New Roman" w:cs="Times New Roman"/>
                <w:spacing w:val="2"/>
                <w:position w:val="6"/>
                <w:sz w:val="13"/>
                <w:szCs w:val="13"/>
              </w:rPr>
              <w:t>-6</w:t>
            </w:r>
            <w:r>
              <w:rPr>
                <w:rFonts w:ascii="Times New Roman" w:hAnsi="Times New Roman" w:eastAsia="Times New Roman" w:cs="Times New Roman"/>
                <w:sz w:val="20"/>
                <w:szCs w:val="20"/>
              </w:rPr>
              <w:t>cm</w:t>
            </w:r>
            <w:r>
              <w:rPr>
                <w:rFonts w:ascii="Times New Roman" w:hAnsi="Times New Roman" w:eastAsia="Times New Roman" w:cs="Times New Roman"/>
                <w:spacing w:val="2"/>
                <w:sz w:val="20"/>
                <w:szCs w:val="20"/>
              </w:rPr>
              <w:t>/</w:t>
            </w:r>
            <w:r>
              <w:rPr>
                <w:rFonts w:ascii="Times New Roman" w:hAnsi="Times New Roman" w:eastAsia="Times New Roman" w:cs="Times New Roman"/>
                <w:sz w:val="20"/>
                <w:szCs w:val="20"/>
              </w:rPr>
              <w:t>s</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，且分布连续、稳定。</w:t>
            </w:r>
            <w:r>
              <w:rPr>
                <w:rFonts w:ascii="宋体" w:hAnsi="宋体" w:eastAsia="宋体" w:cs="宋体"/>
                <w:sz w:val="20"/>
                <w:szCs w:val="20"/>
              </w:rPr>
              <w:t xml:space="preserve">  </w:t>
            </w:r>
            <w:r>
              <w:rPr>
                <w:rFonts w:ascii="宋体" w:hAnsi="宋体" w:eastAsia="宋体" w:cs="宋体"/>
                <w:spacing w:val="2"/>
                <w:sz w:val="20"/>
                <w:szCs w:val="20"/>
              </w:rPr>
              <w:t xml:space="preserve">岩 (土) 层单层厚度 </w:t>
            </w:r>
            <w:r>
              <w:rPr>
                <w:rFonts w:ascii="Times New Roman" w:hAnsi="Times New Roman" w:eastAsia="Times New Roman" w:cs="Times New Roman"/>
                <w:sz w:val="20"/>
                <w:szCs w:val="20"/>
              </w:rPr>
              <w:t>Mb</w:t>
            </w:r>
            <w:r>
              <w:rPr>
                <w:rFonts w:ascii="Times New Roman" w:hAnsi="Times New Roman" w:eastAsia="Times New Roman" w:cs="Times New Roman"/>
                <w:spacing w:val="2"/>
                <w:sz w:val="20"/>
                <w:szCs w:val="20"/>
              </w:rPr>
              <w:t>≥1.0</w:t>
            </w:r>
            <w:r>
              <w:rPr>
                <w:rFonts w:ascii="Times New Roman" w:hAnsi="Times New Roman" w:eastAsia="Times New Roman" w:cs="Times New Roman"/>
                <w:sz w:val="20"/>
                <w:szCs w:val="20"/>
              </w:rPr>
              <w:t>m</w:t>
            </w:r>
            <w:r>
              <w:rPr>
                <w:rFonts w:ascii="宋体" w:hAnsi="宋体" w:eastAsia="宋体" w:cs="宋体"/>
                <w:spacing w:val="2"/>
                <w:sz w:val="20"/>
                <w:szCs w:val="20"/>
              </w:rPr>
              <w:t xml:space="preserve">，渗透系数 </w:t>
            </w:r>
            <w:r>
              <w:rPr>
                <w:rFonts w:ascii="Times New Roman" w:hAnsi="Times New Roman" w:eastAsia="Times New Roman" w:cs="Times New Roman"/>
                <w:spacing w:val="2"/>
                <w:sz w:val="20"/>
                <w:szCs w:val="20"/>
              </w:rPr>
              <w:t>1×10</w:t>
            </w:r>
            <w:r>
              <w:rPr>
                <w:rFonts w:ascii="Times New Roman" w:hAnsi="Times New Roman" w:eastAsia="Times New Roman" w:cs="Times New Roman"/>
                <w:spacing w:val="2"/>
                <w:position w:val="6"/>
                <w:sz w:val="13"/>
                <w:szCs w:val="13"/>
              </w:rPr>
              <w:t>-6</w:t>
            </w:r>
            <w:r>
              <w:rPr>
                <w:rFonts w:ascii="Times New Roman" w:hAnsi="Times New Roman" w:eastAsia="Times New Roman" w:cs="Times New Roman"/>
                <w:sz w:val="20"/>
                <w:szCs w:val="20"/>
              </w:rPr>
              <w:t>cm</w:t>
            </w:r>
            <w:r>
              <w:rPr>
                <w:rFonts w:ascii="Times New Roman" w:hAnsi="Times New Roman" w:eastAsia="Times New Roman" w:cs="Times New Roman"/>
                <w:spacing w:val="2"/>
                <w:sz w:val="20"/>
                <w:szCs w:val="20"/>
              </w:rPr>
              <w:t>/</w:t>
            </w:r>
            <w:r>
              <w:rPr>
                <w:rFonts w:ascii="Times New Roman" w:hAnsi="Times New Roman" w:eastAsia="Times New Roman" w:cs="Times New Roman"/>
                <w:sz w:val="20"/>
                <w:szCs w:val="20"/>
              </w:rPr>
              <w:t>s</w:t>
            </w:r>
            <w:r>
              <w:rPr>
                <w:rFonts w:ascii="宋体" w:hAnsi="宋体" w:eastAsia="宋体" w:cs="宋体"/>
                <w:spacing w:val="2"/>
                <w:sz w:val="20"/>
                <w:szCs w:val="20"/>
              </w:rPr>
              <w:t>＜</w:t>
            </w:r>
            <w:r>
              <w:rPr>
                <w:rFonts w:ascii="Times New Roman" w:hAnsi="Times New Roman" w:eastAsia="Times New Roman" w:cs="Times New Roman"/>
                <w:sz w:val="20"/>
                <w:szCs w:val="20"/>
              </w:rPr>
              <w:t>K</w:t>
            </w:r>
            <w:r>
              <w:rPr>
                <w:rFonts w:ascii="Times New Roman" w:hAnsi="Times New Roman" w:eastAsia="Times New Roman" w:cs="Times New Roman"/>
                <w:spacing w:val="1"/>
                <w:sz w:val="20"/>
                <w:szCs w:val="20"/>
              </w:rPr>
              <w:t>≤ 1×10</w:t>
            </w:r>
            <w:r>
              <w:rPr>
                <w:rFonts w:ascii="Times New Roman" w:hAnsi="Times New Roman" w:eastAsia="Times New Roman" w:cs="Times New Roman"/>
                <w:spacing w:val="1"/>
                <w:position w:val="6"/>
                <w:sz w:val="13"/>
                <w:szCs w:val="13"/>
              </w:rPr>
              <w:t>-4</w:t>
            </w:r>
            <w:r>
              <w:rPr>
                <w:rFonts w:ascii="Times New Roman" w:hAnsi="Times New Roman" w:eastAsia="Times New Roman" w:cs="Times New Roman"/>
                <w:sz w:val="20"/>
                <w:szCs w:val="20"/>
              </w:rPr>
              <w:t>cm</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s</w:t>
            </w:r>
            <w:r>
              <w:rPr>
                <w:rFonts w:ascii="宋体" w:hAnsi="宋体" w:eastAsia="宋体" w:cs="宋体"/>
                <w:spacing w:val="1"/>
                <w:sz w:val="20"/>
                <w:szCs w:val="20"/>
              </w:rPr>
              <w:t>，且分布连续、稳定。</w:t>
            </w:r>
          </w:p>
        </w:tc>
      </w:tr>
      <w:tr w14:paraId="40716C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959" w:type="dxa"/>
            <w:tcBorders>
              <w:left w:val="nil"/>
            </w:tcBorders>
          </w:tcPr>
          <w:p w14:paraId="2B759ACC">
            <w:pPr>
              <w:spacing w:before="36" w:line="229" w:lineRule="auto"/>
              <w:ind w:left="384"/>
              <w:rPr>
                <w:rFonts w:ascii="宋体" w:hAnsi="宋体" w:eastAsia="宋体" w:cs="宋体"/>
                <w:sz w:val="20"/>
                <w:szCs w:val="20"/>
              </w:rPr>
            </w:pPr>
            <w:r>
              <w:rPr>
                <w:rFonts w:ascii="宋体" w:hAnsi="宋体" w:eastAsia="宋体" w:cs="宋体"/>
                <w:sz w:val="20"/>
                <w:szCs w:val="20"/>
              </w:rPr>
              <w:t>弱</w:t>
            </w:r>
          </w:p>
        </w:tc>
        <w:tc>
          <w:tcPr>
            <w:tcW w:w="8329" w:type="dxa"/>
            <w:gridSpan w:val="3"/>
            <w:tcBorders>
              <w:right w:val="nil"/>
            </w:tcBorders>
          </w:tcPr>
          <w:p w14:paraId="59C04705">
            <w:pPr>
              <w:spacing w:before="35" w:line="228" w:lineRule="auto"/>
              <w:ind w:left="2618"/>
              <w:rPr>
                <w:rFonts w:ascii="宋体" w:hAnsi="宋体" w:eastAsia="宋体" w:cs="宋体"/>
                <w:sz w:val="20"/>
                <w:szCs w:val="20"/>
              </w:rPr>
            </w:pPr>
            <w:r>
              <w:rPr>
                <w:rFonts w:ascii="宋体" w:hAnsi="宋体" w:eastAsia="宋体" w:cs="宋体"/>
                <w:spacing w:val="14"/>
                <w:sz w:val="20"/>
                <w:szCs w:val="20"/>
              </w:rPr>
              <w:t>岩</w:t>
            </w:r>
            <w:r>
              <w:rPr>
                <w:rFonts w:ascii="宋体" w:hAnsi="宋体" w:eastAsia="宋体" w:cs="宋体"/>
                <w:spacing w:val="8"/>
                <w:sz w:val="20"/>
                <w:szCs w:val="20"/>
              </w:rPr>
              <w:t xml:space="preserve"> </w:t>
            </w:r>
            <w:r>
              <w:rPr>
                <w:rFonts w:ascii="宋体" w:hAnsi="宋体" w:eastAsia="宋体" w:cs="宋体"/>
                <w:spacing w:val="7"/>
                <w:sz w:val="20"/>
                <w:szCs w:val="20"/>
              </w:rPr>
              <w:t>(土) 层不满足上述</w:t>
            </w:r>
            <w:r>
              <w:rPr>
                <w:rFonts w:ascii="Times New Roman" w:hAnsi="Times New Roman" w:eastAsia="Times New Roman" w:cs="Times New Roman"/>
                <w:spacing w:val="7"/>
                <w:sz w:val="20"/>
                <w:szCs w:val="20"/>
              </w:rPr>
              <w:t>“</w:t>
            </w:r>
            <w:r>
              <w:rPr>
                <w:rFonts w:ascii="宋体" w:hAnsi="宋体" w:eastAsia="宋体" w:cs="宋体"/>
                <w:spacing w:val="7"/>
                <w:sz w:val="20"/>
                <w:szCs w:val="20"/>
              </w:rPr>
              <w:t>强</w:t>
            </w:r>
            <w:r>
              <w:rPr>
                <w:rFonts w:ascii="Times New Roman" w:hAnsi="Times New Roman" w:eastAsia="Times New Roman" w:cs="Times New Roman"/>
                <w:spacing w:val="7"/>
                <w:sz w:val="20"/>
                <w:szCs w:val="20"/>
              </w:rPr>
              <w:t>”</w:t>
            </w:r>
            <w:r>
              <w:rPr>
                <w:rFonts w:ascii="宋体" w:hAnsi="宋体" w:eastAsia="宋体" w:cs="宋体"/>
                <w:spacing w:val="7"/>
                <w:sz w:val="20"/>
                <w:szCs w:val="20"/>
              </w:rPr>
              <w:t>和</w:t>
            </w:r>
            <w:r>
              <w:rPr>
                <w:rFonts w:ascii="Times New Roman" w:hAnsi="Times New Roman" w:eastAsia="Times New Roman" w:cs="Times New Roman"/>
                <w:spacing w:val="7"/>
                <w:sz w:val="20"/>
                <w:szCs w:val="20"/>
              </w:rPr>
              <w:t>“</w:t>
            </w:r>
            <w:r>
              <w:rPr>
                <w:rFonts w:ascii="宋体" w:hAnsi="宋体" w:eastAsia="宋体" w:cs="宋体"/>
                <w:spacing w:val="7"/>
                <w:sz w:val="20"/>
                <w:szCs w:val="20"/>
              </w:rPr>
              <w:t>中</w:t>
            </w:r>
            <w:r>
              <w:rPr>
                <w:rFonts w:ascii="Times New Roman" w:hAnsi="Times New Roman" w:eastAsia="Times New Roman" w:cs="Times New Roman"/>
                <w:spacing w:val="7"/>
                <w:sz w:val="20"/>
                <w:szCs w:val="20"/>
              </w:rPr>
              <w:t>”</w:t>
            </w:r>
            <w:r>
              <w:rPr>
                <w:rFonts w:ascii="宋体" w:hAnsi="宋体" w:eastAsia="宋体" w:cs="宋体"/>
                <w:spacing w:val="7"/>
                <w:sz w:val="20"/>
                <w:szCs w:val="20"/>
              </w:rPr>
              <w:t>条件</w:t>
            </w:r>
          </w:p>
        </w:tc>
      </w:tr>
    </w:tbl>
    <w:p w14:paraId="5A5D251F">
      <w:pPr>
        <w:spacing w:before="157" w:line="221" w:lineRule="auto"/>
        <w:ind w:left="3208"/>
        <w:rPr>
          <w:rFonts w:ascii="黑体" w:hAnsi="黑体" w:eastAsia="黑体" w:cs="黑体"/>
          <w:sz w:val="23"/>
          <w:szCs w:val="23"/>
        </w:rPr>
      </w:pPr>
      <w:r>
        <w:rPr>
          <w:rFonts w:ascii="黑体" w:hAnsi="黑体" w:eastAsia="黑体" w:cs="黑体"/>
          <w:spacing w:val="6"/>
          <w:sz w:val="23"/>
          <w:szCs w:val="23"/>
        </w:rPr>
        <w:t>表</w:t>
      </w:r>
      <w:r>
        <w:rPr>
          <w:rFonts w:ascii="黑体" w:hAnsi="黑体" w:eastAsia="黑体" w:cs="黑体"/>
          <w:spacing w:val="4"/>
          <w:sz w:val="23"/>
          <w:szCs w:val="23"/>
        </w:rPr>
        <w:t xml:space="preserve"> </w:t>
      </w:r>
      <w:r>
        <w:rPr>
          <w:rFonts w:ascii="Times New Roman" w:hAnsi="Times New Roman" w:eastAsia="Times New Roman" w:cs="Times New Roman"/>
          <w:spacing w:val="4"/>
          <w:sz w:val="23"/>
          <w:szCs w:val="23"/>
        </w:rPr>
        <w:t xml:space="preserve">6.2-3  </w:t>
      </w:r>
      <w:r>
        <w:rPr>
          <w:rFonts w:ascii="黑体" w:hAnsi="黑体" w:eastAsia="黑体" w:cs="黑体"/>
          <w:spacing w:val="4"/>
          <w:sz w:val="23"/>
          <w:szCs w:val="23"/>
        </w:rPr>
        <w:t>地下水污染防渗分区参照表</w:t>
      </w:r>
    </w:p>
    <w:tbl>
      <w:tblPr>
        <w:tblStyle w:val="4"/>
        <w:tblW w:w="928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83"/>
        <w:gridCol w:w="2268"/>
        <w:gridCol w:w="1985"/>
        <w:gridCol w:w="1559"/>
        <w:gridCol w:w="2092"/>
      </w:tblGrid>
      <w:tr w14:paraId="26BB3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383" w:type="dxa"/>
            <w:tcBorders>
              <w:left w:val="nil"/>
            </w:tcBorders>
          </w:tcPr>
          <w:p w14:paraId="42660B4D">
            <w:pPr>
              <w:spacing w:before="89" w:line="228" w:lineRule="auto"/>
              <w:ind w:left="130"/>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防</w:t>
            </w:r>
            <w:r>
              <w:rPr>
                <w:rFonts w:ascii="宋体" w:hAnsi="宋体" w:eastAsia="宋体" w:cs="宋体"/>
                <w:spacing w:val="5"/>
                <w:sz w:val="20"/>
                <w:szCs w:val="20"/>
                <w14:textOutline w14:w="3797" w14:cap="sq" w14:cmpd="sng" w14:algn="ctr">
                  <w14:solidFill>
                    <w14:srgbClr w14:val="000000"/>
                  </w14:solidFill>
                  <w14:prstDash w14:val="solid"/>
                  <w14:bevel/>
                </w14:textOutline>
              </w:rPr>
              <w:t>渗分区</w:t>
            </w:r>
          </w:p>
        </w:tc>
        <w:tc>
          <w:tcPr>
            <w:tcW w:w="2268" w:type="dxa"/>
          </w:tcPr>
          <w:p w14:paraId="5FCC582C">
            <w:pPr>
              <w:spacing w:before="88" w:line="228" w:lineRule="auto"/>
              <w:ind w:left="118"/>
              <w:rPr>
                <w:rFonts w:ascii="宋体" w:hAnsi="宋体" w:eastAsia="宋体" w:cs="宋体"/>
                <w:sz w:val="20"/>
                <w:szCs w:val="20"/>
              </w:rPr>
            </w:pPr>
            <w:r>
              <w:rPr>
                <w:rFonts w:ascii="宋体" w:hAnsi="宋体" w:eastAsia="宋体" w:cs="宋体"/>
                <w:spacing w:val="11"/>
                <w:sz w:val="20"/>
                <w:szCs w:val="20"/>
                <w14:textOutline w14:w="3797" w14:cap="sq" w14:cmpd="sng" w14:algn="ctr">
                  <w14:solidFill>
                    <w14:srgbClr w14:val="000000"/>
                  </w14:solidFill>
                  <w14:prstDash w14:val="solid"/>
                  <w14:bevel/>
                </w14:textOutline>
              </w:rPr>
              <w:t>天</w:t>
            </w:r>
            <w:r>
              <w:rPr>
                <w:rFonts w:ascii="宋体" w:hAnsi="宋体" w:eastAsia="宋体" w:cs="宋体"/>
                <w:spacing w:val="9"/>
                <w:sz w:val="20"/>
                <w:szCs w:val="20"/>
                <w14:textOutline w14:w="3797" w14:cap="sq" w14:cmpd="sng" w14:algn="ctr">
                  <w14:solidFill>
                    <w14:srgbClr w14:val="000000"/>
                  </w14:solidFill>
                  <w14:prstDash w14:val="solid"/>
                  <w14:bevel/>
                </w14:textOutline>
              </w:rPr>
              <w:t>然包气带防污性能</w:t>
            </w:r>
          </w:p>
        </w:tc>
        <w:tc>
          <w:tcPr>
            <w:tcW w:w="1985" w:type="dxa"/>
          </w:tcPr>
          <w:p w14:paraId="3D5F6999">
            <w:pPr>
              <w:spacing w:before="89" w:line="228" w:lineRule="auto"/>
              <w:ind w:left="115"/>
              <w:rPr>
                <w:rFonts w:ascii="宋体" w:hAnsi="宋体" w:eastAsia="宋体" w:cs="宋体"/>
                <w:sz w:val="20"/>
                <w:szCs w:val="20"/>
              </w:rPr>
            </w:pPr>
            <w:r>
              <w:rPr>
                <w:rFonts w:ascii="宋体" w:hAnsi="宋体" w:eastAsia="宋体" w:cs="宋体"/>
                <w:spacing w:val="12"/>
                <w:sz w:val="20"/>
                <w:szCs w:val="20"/>
                <w14:textOutline w14:w="3797" w14:cap="sq" w14:cmpd="sng" w14:algn="ctr">
                  <w14:solidFill>
                    <w14:srgbClr w14:val="000000"/>
                  </w14:solidFill>
                  <w14:prstDash w14:val="solid"/>
                  <w14:bevel/>
                </w14:textOutline>
              </w:rPr>
              <w:t>污</w:t>
            </w:r>
            <w:r>
              <w:rPr>
                <w:rFonts w:ascii="宋体" w:hAnsi="宋体" w:eastAsia="宋体" w:cs="宋体"/>
                <w:spacing w:val="9"/>
                <w:sz w:val="20"/>
                <w:szCs w:val="20"/>
                <w14:textOutline w14:w="3797" w14:cap="sq" w14:cmpd="sng" w14:algn="ctr">
                  <w14:solidFill>
                    <w14:srgbClr w14:val="000000"/>
                  </w14:solidFill>
                  <w14:prstDash w14:val="solid"/>
                  <w14:bevel/>
                </w14:textOutline>
              </w:rPr>
              <w:t>染控制难易程度</w:t>
            </w:r>
          </w:p>
        </w:tc>
        <w:tc>
          <w:tcPr>
            <w:tcW w:w="1559" w:type="dxa"/>
          </w:tcPr>
          <w:p w14:paraId="1062F5B7">
            <w:pPr>
              <w:spacing w:before="88" w:line="228" w:lineRule="auto"/>
              <w:ind w:left="115"/>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污</w:t>
            </w:r>
            <w:r>
              <w:rPr>
                <w:rFonts w:ascii="宋体" w:hAnsi="宋体" w:eastAsia="宋体" w:cs="宋体"/>
                <w:spacing w:val="8"/>
                <w:sz w:val="20"/>
                <w:szCs w:val="20"/>
                <w14:textOutline w14:w="3797" w14:cap="sq" w14:cmpd="sng" w14:algn="ctr">
                  <w14:solidFill>
                    <w14:srgbClr w14:val="000000"/>
                  </w14:solidFill>
                  <w14:prstDash w14:val="solid"/>
                  <w14:bevel/>
                </w14:textOutline>
              </w:rPr>
              <w:t>染物类型</w:t>
            </w:r>
          </w:p>
        </w:tc>
        <w:tc>
          <w:tcPr>
            <w:tcW w:w="2092" w:type="dxa"/>
            <w:tcBorders>
              <w:right w:val="nil"/>
            </w:tcBorders>
          </w:tcPr>
          <w:p w14:paraId="3F792CDF">
            <w:pPr>
              <w:spacing w:before="88" w:line="228" w:lineRule="auto"/>
              <w:ind w:left="547"/>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防渗技术要</w:t>
            </w:r>
            <w:r>
              <w:rPr>
                <w:rFonts w:ascii="宋体" w:hAnsi="宋体" w:eastAsia="宋体" w:cs="宋体"/>
                <w:spacing w:val="6"/>
                <w:sz w:val="20"/>
                <w:szCs w:val="20"/>
                <w14:textOutline w14:w="3797" w14:cap="sq" w14:cmpd="sng" w14:algn="ctr">
                  <w14:solidFill>
                    <w14:srgbClr w14:val="000000"/>
                  </w14:solidFill>
                  <w14:prstDash w14:val="solid"/>
                  <w14:bevel/>
                </w14:textOutline>
              </w:rPr>
              <w:t>求</w:t>
            </w:r>
          </w:p>
        </w:tc>
      </w:tr>
      <w:tr w14:paraId="5587C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83" w:type="dxa"/>
            <w:vMerge w:val="restart"/>
            <w:tcBorders>
              <w:left w:val="nil"/>
              <w:bottom w:val="nil"/>
            </w:tcBorders>
          </w:tcPr>
          <w:p w14:paraId="76CB12D9">
            <w:pPr>
              <w:spacing w:line="372" w:lineRule="auto"/>
            </w:pPr>
          </w:p>
          <w:p w14:paraId="679F18A0">
            <w:pPr>
              <w:spacing w:before="65" w:line="228" w:lineRule="auto"/>
              <w:ind w:left="117"/>
              <w:rPr>
                <w:rFonts w:ascii="宋体" w:hAnsi="宋体" w:eastAsia="宋体" w:cs="宋体"/>
                <w:sz w:val="20"/>
                <w:szCs w:val="20"/>
              </w:rPr>
            </w:pPr>
            <w:r>
              <w:rPr>
                <w:rFonts w:ascii="宋体" w:hAnsi="宋体" w:eastAsia="宋体" w:cs="宋体"/>
                <w:spacing w:val="8"/>
                <w:sz w:val="20"/>
                <w:szCs w:val="20"/>
              </w:rPr>
              <w:t>重点防渗</w:t>
            </w:r>
            <w:r>
              <w:rPr>
                <w:rFonts w:ascii="宋体" w:hAnsi="宋体" w:eastAsia="宋体" w:cs="宋体"/>
                <w:spacing w:val="7"/>
                <w:sz w:val="20"/>
                <w:szCs w:val="20"/>
              </w:rPr>
              <w:t>区</w:t>
            </w:r>
          </w:p>
        </w:tc>
        <w:tc>
          <w:tcPr>
            <w:tcW w:w="2268" w:type="dxa"/>
          </w:tcPr>
          <w:p w14:paraId="5D808D76">
            <w:pPr>
              <w:spacing w:before="65" w:line="229" w:lineRule="auto"/>
              <w:ind w:left="1249"/>
              <w:rPr>
                <w:rFonts w:ascii="宋体" w:hAnsi="宋体" w:eastAsia="宋体" w:cs="宋体"/>
                <w:sz w:val="20"/>
                <w:szCs w:val="20"/>
              </w:rPr>
            </w:pPr>
            <w:r>
              <w:rPr>
                <w:rFonts w:ascii="宋体" w:hAnsi="宋体" w:eastAsia="宋体" w:cs="宋体"/>
                <w:sz w:val="20"/>
                <w:szCs w:val="20"/>
              </w:rPr>
              <w:t>弱</w:t>
            </w:r>
          </w:p>
        </w:tc>
        <w:tc>
          <w:tcPr>
            <w:tcW w:w="1985" w:type="dxa"/>
          </w:tcPr>
          <w:p w14:paraId="27BFD1D1">
            <w:pPr>
              <w:spacing w:before="65" w:line="229" w:lineRule="auto"/>
              <w:ind w:left="1101"/>
              <w:rPr>
                <w:rFonts w:ascii="宋体" w:hAnsi="宋体" w:eastAsia="宋体" w:cs="宋体"/>
                <w:sz w:val="20"/>
                <w:szCs w:val="20"/>
              </w:rPr>
            </w:pPr>
            <w:r>
              <w:rPr>
                <w:rFonts w:ascii="宋体" w:hAnsi="宋体" w:eastAsia="宋体" w:cs="宋体"/>
                <w:spacing w:val="1"/>
                <w:sz w:val="20"/>
                <w:szCs w:val="20"/>
              </w:rPr>
              <w:t>难</w:t>
            </w:r>
          </w:p>
        </w:tc>
        <w:tc>
          <w:tcPr>
            <w:tcW w:w="1559" w:type="dxa"/>
            <w:vMerge w:val="restart"/>
            <w:tcBorders>
              <w:bottom w:val="nil"/>
            </w:tcBorders>
          </w:tcPr>
          <w:p w14:paraId="04E112A0">
            <w:pPr>
              <w:spacing w:before="302" w:line="265" w:lineRule="auto"/>
              <w:ind w:left="115" w:right="106" w:hanging="1"/>
              <w:rPr>
                <w:rFonts w:ascii="宋体" w:hAnsi="宋体" w:eastAsia="宋体" w:cs="宋体"/>
                <w:sz w:val="20"/>
                <w:szCs w:val="20"/>
              </w:rPr>
            </w:pPr>
            <w:r>
              <w:rPr>
                <w:rFonts w:ascii="宋体" w:hAnsi="宋体" w:eastAsia="宋体" w:cs="宋体"/>
                <w:spacing w:val="22"/>
                <w:sz w:val="20"/>
                <w:szCs w:val="20"/>
              </w:rPr>
              <w:t>重金属、持久</w:t>
            </w:r>
            <w:r>
              <w:rPr>
                <w:rFonts w:ascii="宋体" w:hAnsi="宋体" w:eastAsia="宋体" w:cs="宋体"/>
                <w:sz w:val="20"/>
                <w:szCs w:val="20"/>
              </w:rPr>
              <w:t xml:space="preserve"> </w:t>
            </w:r>
            <w:r>
              <w:rPr>
                <w:rFonts w:ascii="宋体" w:hAnsi="宋体" w:eastAsia="宋体" w:cs="宋体"/>
                <w:spacing w:val="8"/>
                <w:sz w:val="20"/>
                <w:szCs w:val="20"/>
              </w:rPr>
              <w:t>性有机污染</w:t>
            </w:r>
            <w:r>
              <w:rPr>
                <w:rFonts w:ascii="宋体" w:hAnsi="宋体" w:eastAsia="宋体" w:cs="宋体"/>
                <w:spacing w:val="7"/>
                <w:sz w:val="20"/>
                <w:szCs w:val="20"/>
              </w:rPr>
              <w:t>物</w:t>
            </w:r>
          </w:p>
        </w:tc>
        <w:tc>
          <w:tcPr>
            <w:tcW w:w="2092" w:type="dxa"/>
            <w:vMerge w:val="restart"/>
            <w:tcBorders>
              <w:bottom w:val="nil"/>
              <w:right w:val="nil"/>
            </w:tcBorders>
          </w:tcPr>
          <w:p w14:paraId="4994337B">
            <w:pPr>
              <w:spacing w:before="30" w:line="245" w:lineRule="auto"/>
              <w:ind w:left="110" w:right="103" w:firstLine="6"/>
              <w:rPr>
                <w:rFonts w:ascii="宋体" w:hAnsi="宋体" w:eastAsia="宋体" w:cs="宋体"/>
                <w:sz w:val="20"/>
                <w:szCs w:val="20"/>
              </w:rPr>
            </w:pPr>
            <w:r>
              <w:rPr>
                <w:rFonts w:ascii="宋体" w:hAnsi="宋体" w:eastAsia="宋体" w:cs="宋体"/>
                <w:spacing w:val="-16"/>
                <w:sz w:val="20"/>
                <w:szCs w:val="20"/>
              </w:rPr>
              <w:t>等</w:t>
            </w:r>
            <w:r>
              <w:rPr>
                <w:rFonts w:ascii="宋体" w:hAnsi="宋体" w:eastAsia="宋体" w:cs="宋体"/>
                <w:spacing w:val="-10"/>
                <w:sz w:val="20"/>
                <w:szCs w:val="20"/>
              </w:rPr>
              <w:t xml:space="preserve"> 效 黏 土 防 渗 层</w:t>
            </w:r>
            <w:r>
              <w:rPr>
                <w:rFonts w:ascii="宋体" w:hAnsi="宋体" w:eastAsia="宋体" w:cs="宋体"/>
                <w:sz w:val="20"/>
                <w:szCs w:val="20"/>
              </w:rPr>
              <w:t xml:space="preserve"> </w:t>
            </w:r>
            <w:r>
              <w:rPr>
                <w:rFonts w:ascii="Times New Roman" w:hAnsi="Times New Roman" w:eastAsia="Times New Roman" w:cs="Times New Roman"/>
                <w:sz w:val="20"/>
                <w:szCs w:val="20"/>
              </w:rPr>
              <w:t>Mb</w:t>
            </w:r>
            <w:r>
              <w:rPr>
                <w:rFonts w:ascii="Times New Roman" w:hAnsi="Times New Roman" w:eastAsia="Times New Roman" w:cs="Times New Roman"/>
                <w:spacing w:val="2"/>
                <w:sz w:val="20"/>
                <w:szCs w:val="20"/>
              </w:rPr>
              <w:t>≥6.0</w:t>
            </w:r>
            <w:r>
              <w:rPr>
                <w:rFonts w:ascii="Times New Roman" w:hAnsi="Times New Roman" w:eastAsia="Times New Roman" w:cs="Times New Roman"/>
                <w:sz w:val="20"/>
                <w:szCs w:val="20"/>
              </w:rPr>
              <w:t>m</w:t>
            </w:r>
            <w:r>
              <w:rPr>
                <w:rFonts w:ascii="Times New Roman" w:hAnsi="Times New Roman" w:eastAsia="Times New Roman" w:cs="Times New Roman"/>
                <w:spacing w:val="2"/>
                <w:sz w:val="20"/>
                <w:szCs w:val="20"/>
              </w:rPr>
              <w:t xml:space="preserve">      </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rPr>
              <w:t>，</w:t>
            </w:r>
            <w:r>
              <w:rPr>
                <w:rFonts w:ascii="宋体" w:hAnsi="宋体" w:eastAsia="宋体" w:cs="宋体"/>
                <w:sz w:val="20"/>
                <w:szCs w:val="20"/>
              </w:rPr>
              <w:t xml:space="preserve"> </w:t>
            </w:r>
            <w:r>
              <w:rPr>
                <w:rFonts w:ascii="Times New Roman" w:hAnsi="Times New Roman" w:eastAsia="Times New Roman" w:cs="Times New Roman"/>
                <w:sz w:val="20"/>
                <w:szCs w:val="20"/>
              </w:rPr>
              <w:t>K</w:t>
            </w:r>
            <w:r>
              <w:rPr>
                <w:rFonts w:ascii="Times New Roman" w:hAnsi="Times New Roman" w:eastAsia="Times New Roman" w:cs="Times New Roman"/>
                <w:spacing w:val="2"/>
                <w:sz w:val="20"/>
                <w:szCs w:val="20"/>
              </w:rPr>
              <w:t>≤ 1×10</w:t>
            </w:r>
            <w:r>
              <w:rPr>
                <w:rFonts w:ascii="Times New Roman" w:hAnsi="Times New Roman" w:eastAsia="Times New Roman" w:cs="Times New Roman"/>
                <w:spacing w:val="2"/>
                <w:position w:val="6"/>
                <w:sz w:val="13"/>
                <w:szCs w:val="13"/>
              </w:rPr>
              <w:t>-7</w:t>
            </w:r>
            <w:r>
              <w:rPr>
                <w:rFonts w:ascii="Times New Roman" w:hAnsi="Times New Roman" w:eastAsia="Times New Roman" w:cs="Times New Roman"/>
                <w:sz w:val="20"/>
                <w:szCs w:val="20"/>
              </w:rPr>
              <w:t>cm</w:t>
            </w:r>
            <w:r>
              <w:rPr>
                <w:rFonts w:ascii="Times New Roman" w:hAnsi="Times New Roman" w:eastAsia="Times New Roman" w:cs="Times New Roman"/>
                <w:spacing w:val="2"/>
                <w:sz w:val="20"/>
                <w:szCs w:val="20"/>
              </w:rPr>
              <w:t>/</w:t>
            </w:r>
            <w:r>
              <w:rPr>
                <w:rFonts w:ascii="Times New Roman" w:hAnsi="Times New Roman" w:eastAsia="Times New Roman" w:cs="Times New Roman"/>
                <w:sz w:val="20"/>
                <w:szCs w:val="20"/>
              </w:rPr>
              <w:t>s</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rPr>
              <w:t>；或参</w:t>
            </w:r>
            <w:r>
              <w:rPr>
                <w:rFonts w:ascii="宋体" w:hAnsi="宋体" w:eastAsia="宋体" w:cs="宋体"/>
                <w:sz w:val="20"/>
                <w:szCs w:val="20"/>
              </w:rPr>
              <w:t xml:space="preserve"> </w:t>
            </w:r>
            <w:r>
              <w:rPr>
                <w:rFonts w:ascii="宋体" w:hAnsi="宋体" w:eastAsia="宋体" w:cs="宋体"/>
                <w:spacing w:val="2"/>
                <w:sz w:val="20"/>
                <w:szCs w:val="20"/>
              </w:rPr>
              <w:t xml:space="preserve">照 </w:t>
            </w:r>
            <w:r>
              <w:rPr>
                <w:rFonts w:ascii="Times New Roman" w:hAnsi="Times New Roman" w:eastAsia="Times New Roman" w:cs="Times New Roman"/>
                <w:sz w:val="20"/>
                <w:szCs w:val="20"/>
              </w:rPr>
              <w:t>GB</w:t>
            </w:r>
            <w:r>
              <w:rPr>
                <w:rFonts w:ascii="Times New Roman" w:hAnsi="Times New Roman" w:eastAsia="Times New Roman" w:cs="Times New Roman"/>
                <w:spacing w:val="2"/>
                <w:sz w:val="20"/>
                <w:szCs w:val="20"/>
              </w:rPr>
              <w:t>1859</w:t>
            </w:r>
            <w:r>
              <w:rPr>
                <w:rFonts w:ascii="Times New Roman" w:hAnsi="Times New Roman" w:eastAsia="Times New Roman" w:cs="Times New Roman"/>
                <w:spacing w:val="1"/>
                <w:sz w:val="20"/>
                <w:szCs w:val="20"/>
              </w:rPr>
              <w:t xml:space="preserve">8 </w:t>
            </w:r>
            <w:r>
              <w:rPr>
                <w:rFonts w:ascii="宋体" w:hAnsi="宋体" w:eastAsia="宋体" w:cs="宋体"/>
                <w:spacing w:val="1"/>
                <w:sz w:val="20"/>
                <w:szCs w:val="20"/>
              </w:rPr>
              <w:t>执行</w:t>
            </w:r>
          </w:p>
        </w:tc>
      </w:tr>
      <w:tr w14:paraId="76E31C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83" w:type="dxa"/>
            <w:vMerge w:val="continue"/>
            <w:tcBorders>
              <w:top w:val="nil"/>
              <w:left w:val="nil"/>
              <w:bottom w:val="nil"/>
            </w:tcBorders>
          </w:tcPr>
          <w:p w14:paraId="550626CD"/>
        </w:tc>
        <w:tc>
          <w:tcPr>
            <w:tcW w:w="2268" w:type="dxa"/>
          </w:tcPr>
          <w:p w14:paraId="680B6674">
            <w:pPr>
              <w:spacing w:before="64" w:line="228" w:lineRule="auto"/>
              <w:ind w:left="1124"/>
              <w:rPr>
                <w:rFonts w:ascii="宋体" w:hAnsi="宋体" w:eastAsia="宋体" w:cs="宋体"/>
                <w:sz w:val="20"/>
                <w:szCs w:val="20"/>
              </w:rPr>
            </w:pPr>
            <w:r>
              <w:rPr>
                <w:rFonts w:ascii="宋体" w:hAnsi="宋体" w:eastAsia="宋体" w:cs="宋体"/>
                <w:spacing w:val="-1"/>
                <w:sz w:val="20"/>
                <w:szCs w:val="20"/>
              </w:rPr>
              <w:t>中</w:t>
            </w:r>
            <w:r>
              <w:rPr>
                <w:rFonts w:ascii="Times New Roman" w:hAnsi="Times New Roman" w:eastAsia="Times New Roman" w:cs="Times New Roman"/>
                <w:spacing w:val="-1"/>
                <w:sz w:val="20"/>
                <w:szCs w:val="20"/>
              </w:rPr>
              <w:t>-</w:t>
            </w:r>
            <w:r>
              <w:rPr>
                <w:rFonts w:ascii="宋体" w:hAnsi="宋体" w:eastAsia="宋体" w:cs="宋体"/>
                <w:spacing w:val="-1"/>
                <w:sz w:val="20"/>
                <w:szCs w:val="20"/>
              </w:rPr>
              <w:t>强</w:t>
            </w:r>
          </w:p>
        </w:tc>
        <w:tc>
          <w:tcPr>
            <w:tcW w:w="1985" w:type="dxa"/>
          </w:tcPr>
          <w:p w14:paraId="18666422">
            <w:pPr>
              <w:spacing w:before="64" w:line="229" w:lineRule="auto"/>
              <w:ind w:left="1101"/>
              <w:rPr>
                <w:rFonts w:ascii="宋体" w:hAnsi="宋体" w:eastAsia="宋体" w:cs="宋体"/>
                <w:sz w:val="20"/>
                <w:szCs w:val="20"/>
              </w:rPr>
            </w:pPr>
            <w:r>
              <w:rPr>
                <w:rFonts w:ascii="宋体" w:hAnsi="宋体" w:eastAsia="宋体" w:cs="宋体"/>
                <w:spacing w:val="1"/>
                <w:sz w:val="20"/>
                <w:szCs w:val="20"/>
              </w:rPr>
              <w:t>难</w:t>
            </w:r>
          </w:p>
        </w:tc>
        <w:tc>
          <w:tcPr>
            <w:tcW w:w="1559" w:type="dxa"/>
            <w:vMerge w:val="continue"/>
            <w:tcBorders>
              <w:top w:val="nil"/>
              <w:bottom w:val="nil"/>
            </w:tcBorders>
          </w:tcPr>
          <w:p w14:paraId="2B1C26B9"/>
        </w:tc>
        <w:tc>
          <w:tcPr>
            <w:tcW w:w="2092" w:type="dxa"/>
            <w:vMerge w:val="continue"/>
            <w:tcBorders>
              <w:top w:val="nil"/>
              <w:bottom w:val="nil"/>
              <w:right w:val="nil"/>
            </w:tcBorders>
          </w:tcPr>
          <w:p w14:paraId="72064DC9"/>
        </w:tc>
      </w:tr>
      <w:tr w14:paraId="51245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383" w:type="dxa"/>
            <w:vMerge w:val="continue"/>
            <w:tcBorders>
              <w:top w:val="nil"/>
              <w:left w:val="nil"/>
            </w:tcBorders>
          </w:tcPr>
          <w:p w14:paraId="01C04D79"/>
        </w:tc>
        <w:tc>
          <w:tcPr>
            <w:tcW w:w="2268" w:type="dxa"/>
          </w:tcPr>
          <w:p w14:paraId="4968DCAB">
            <w:pPr>
              <w:spacing w:before="91" w:line="229" w:lineRule="auto"/>
              <w:ind w:left="1249"/>
              <w:rPr>
                <w:rFonts w:ascii="宋体" w:hAnsi="宋体" w:eastAsia="宋体" w:cs="宋体"/>
                <w:sz w:val="20"/>
                <w:szCs w:val="20"/>
              </w:rPr>
            </w:pPr>
            <w:r>
              <w:rPr>
                <w:rFonts w:ascii="宋体" w:hAnsi="宋体" w:eastAsia="宋体" w:cs="宋体"/>
                <w:sz w:val="20"/>
                <w:szCs w:val="20"/>
              </w:rPr>
              <w:t>弱</w:t>
            </w:r>
          </w:p>
        </w:tc>
        <w:tc>
          <w:tcPr>
            <w:tcW w:w="1985" w:type="dxa"/>
          </w:tcPr>
          <w:p w14:paraId="56E6716D">
            <w:pPr>
              <w:spacing w:before="91" w:line="229" w:lineRule="auto"/>
              <w:ind w:left="1116"/>
              <w:rPr>
                <w:rFonts w:ascii="宋体" w:hAnsi="宋体" w:eastAsia="宋体" w:cs="宋体"/>
                <w:sz w:val="20"/>
                <w:szCs w:val="20"/>
              </w:rPr>
            </w:pPr>
            <w:r>
              <w:rPr>
                <w:rFonts w:ascii="宋体" w:hAnsi="宋体" w:eastAsia="宋体" w:cs="宋体"/>
                <w:sz w:val="20"/>
                <w:szCs w:val="20"/>
              </w:rPr>
              <w:t>易</w:t>
            </w:r>
          </w:p>
        </w:tc>
        <w:tc>
          <w:tcPr>
            <w:tcW w:w="1559" w:type="dxa"/>
            <w:vMerge w:val="continue"/>
            <w:tcBorders>
              <w:top w:val="nil"/>
            </w:tcBorders>
          </w:tcPr>
          <w:p w14:paraId="619A4341"/>
        </w:tc>
        <w:tc>
          <w:tcPr>
            <w:tcW w:w="2092" w:type="dxa"/>
            <w:vMerge w:val="continue"/>
            <w:tcBorders>
              <w:top w:val="nil"/>
              <w:right w:val="nil"/>
            </w:tcBorders>
          </w:tcPr>
          <w:p w14:paraId="7612FA96"/>
        </w:tc>
      </w:tr>
      <w:tr w14:paraId="21FF39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83" w:type="dxa"/>
            <w:vMerge w:val="restart"/>
            <w:tcBorders>
              <w:left w:val="nil"/>
              <w:bottom w:val="nil"/>
            </w:tcBorders>
          </w:tcPr>
          <w:p w14:paraId="79D86C3C">
            <w:pPr>
              <w:spacing w:line="262" w:lineRule="auto"/>
            </w:pPr>
          </w:p>
          <w:p w14:paraId="7EBD44B6">
            <w:pPr>
              <w:spacing w:line="263" w:lineRule="auto"/>
            </w:pPr>
          </w:p>
          <w:p w14:paraId="3E01F154">
            <w:pPr>
              <w:spacing w:before="65" w:line="228" w:lineRule="auto"/>
              <w:ind w:left="120"/>
              <w:rPr>
                <w:rFonts w:ascii="宋体" w:hAnsi="宋体" w:eastAsia="宋体" w:cs="宋体"/>
                <w:sz w:val="20"/>
                <w:szCs w:val="20"/>
              </w:rPr>
            </w:pPr>
            <w:r>
              <w:rPr>
                <w:rFonts w:ascii="宋体" w:hAnsi="宋体" w:eastAsia="宋体" w:cs="宋体"/>
                <w:spacing w:val="9"/>
                <w:sz w:val="20"/>
                <w:szCs w:val="20"/>
              </w:rPr>
              <w:t>一</w:t>
            </w:r>
            <w:r>
              <w:rPr>
                <w:rFonts w:ascii="宋体" w:hAnsi="宋体" w:eastAsia="宋体" w:cs="宋体"/>
                <w:spacing w:val="7"/>
                <w:sz w:val="20"/>
                <w:szCs w:val="20"/>
              </w:rPr>
              <w:t>般防渗区</w:t>
            </w:r>
          </w:p>
        </w:tc>
        <w:tc>
          <w:tcPr>
            <w:tcW w:w="2268" w:type="dxa"/>
          </w:tcPr>
          <w:p w14:paraId="6B93FD0D">
            <w:pPr>
              <w:spacing w:before="67" w:line="229" w:lineRule="auto"/>
              <w:ind w:left="1249"/>
              <w:rPr>
                <w:rFonts w:ascii="宋体" w:hAnsi="宋体" w:eastAsia="宋体" w:cs="宋体"/>
                <w:sz w:val="20"/>
                <w:szCs w:val="20"/>
              </w:rPr>
            </w:pPr>
            <w:r>
              <w:rPr>
                <w:rFonts w:ascii="宋体" w:hAnsi="宋体" w:eastAsia="宋体" w:cs="宋体"/>
                <w:sz w:val="20"/>
                <w:szCs w:val="20"/>
              </w:rPr>
              <w:t>弱</w:t>
            </w:r>
          </w:p>
        </w:tc>
        <w:tc>
          <w:tcPr>
            <w:tcW w:w="1985" w:type="dxa"/>
          </w:tcPr>
          <w:p w14:paraId="275FDE40">
            <w:pPr>
              <w:spacing w:before="67" w:line="229" w:lineRule="auto"/>
              <w:ind w:left="962"/>
              <w:rPr>
                <w:rFonts w:ascii="宋体" w:hAnsi="宋体" w:eastAsia="宋体" w:cs="宋体"/>
                <w:sz w:val="20"/>
                <w:szCs w:val="20"/>
              </w:rPr>
            </w:pPr>
            <w:r>
              <w:rPr>
                <w:rFonts w:ascii="宋体" w:hAnsi="宋体" w:eastAsia="宋体" w:cs="宋体"/>
                <w:spacing w:val="-7"/>
                <w:sz w:val="20"/>
                <w:szCs w:val="20"/>
              </w:rPr>
              <w:t>难</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易</w:t>
            </w:r>
          </w:p>
        </w:tc>
        <w:tc>
          <w:tcPr>
            <w:tcW w:w="1559" w:type="dxa"/>
            <w:vMerge w:val="restart"/>
            <w:tcBorders>
              <w:bottom w:val="nil"/>
            </w:tcBorders>
          </w:tcPr>
          <w:p w14:paraId="23DE00EA">
            <w:pPr>
              <w:spacing w:before="242" w:line="228" w:lineRule="auto"/>
              <w:ind w:left="325"/>
              <w:rPr>
                <w:rFonts w:ascii="宋体" w:hAnsi="宋体" w:eastAsia="宋体" w:cs="宋体"/>
                <w:sz w:val="20"/>
                <w:szCs w:val="20"/>
              </w:rPr>
            </w:pPr>
            <w:r>
              <w:rPr>
                <w:rFonts w:ascii="宋体" w:hAnsi="宋体" w:eastAsia="宋体" w:cs="宋体"/>
                <w:spacing w:val="7"/>
                <w:sz w:val="20"/>
                <w:szCs w:val="20"/>
              </w:rPr>
              <w:t>其他类型</w:t>
            </w:r>
          </w:p>
        </w:tc>
        <w:tc>
          <w:tcPr>
            <w:tcW w:w="2092" w:type="dxa"/>
            <w:vMerge w:val="restart"/>
            <w:tcBorders>
              <w:bottom w:val="nil"/>
              <w:right w:val="nil"/>
            </w:tcBorders>
          </w:tcPr>
          <w:p w14:paraId="16D5C550">
            <w:pPr>
              <w:spacing w:before="185" w:line="249" w:lineRule="auto"/>
              <w:ind w:left="110" w:right="103" w:firstLine="6"/>
              <w:rPr>
                <w:rFonts w:ascii="宋体" w:hAnsi="宋体" w:eastAsia="宋体" w:cs="宋体"/>
                <w:sz w:val="20"/>
                <w:szCs w:val="20"/>
              </w:rPr>
            </w:pPr>
            <w:r>
              <w:rPr>
                <w:rFonts w:ascii="宋体" w:hAnsi="宋体" w:eastAsia="宋体" w:cs="宋体"/>
                <w:spacing w:val="-16"/>
                <w:sz w:val="20"/>
                <w:szCs w:val="20"/>
              </w:rPr>
              <w:t>等</w:t>
            </w:r>
            <w:r>
              <w:rPr>
                <w:rFonts w:ascii="宋体" w:hAnsi="宋体" w:eastAsia="宋体" w:cs="宋体"/>
                <w:spacing w:val="-10"/>
                <w:sz w:val="20"/>
                <w:szCs w:val="20"/>
              </w:rPr>
              <w:t xml:space="preserve"> 效 黏 土 防 渗 层</w:t>
            </w:r>
            <w:r>
              <w:rPr>
                <w:rFonts w:ascii="宋体" w:hAnsi="宋体" w:eastAsia="宋体" w:cs="宋体"/>
                <w:sz w:val="20"/>
                <w:szCs w:val="20"/>
              </w:rPr>
              <w:t xml:space="preserve"> </w:t>
            </w:r>
            <w:r>
              <w:rPr>
                <w:rFonts w:ascii="Times New Roman" w:hAnsi="Times New Roman" w:eastAsia="Times New Roman" w:cs="Times New Roman"/>
                <w:sz w:val="20"/>
                <w:szCs w:val="20"/>
              </w:rPr>
              <w:t>Mb</w:t>
            </w:r>
            <w:r>
              <w:rPr>
                <w:rFonts w:ascii="Times New Roman" w:hAnsi="Times New Roman" w:eastAsia="Times New Roman" w:cs="Times New Roman"/>
                <w:spacing w:val="2"/>
                <w:sz w:val="20"/>
                <w:szCs w:val="20"/>
              </w:rPr>
              <w:t>≥1.5</w:t>
            </w:r>
            <w:r>
              <w:rPr>
                <w:rFonts w:ascii="Times New Roman" w:hAnsi="Times New Roman" w:eastAsia="Times New Roman" w:cs="Times New Roman"/>
                <w:sz w:val="20"/>
                <w:szCs w:val="20"/>
              </w:rPr>
              <w:t>m</w:t>
            </w:r>
            <w:r>
              <w:rPr>
                <w:rFonts w:ascii="Times New Roman" w:hAnsi="Times New Roman" w:eastAsia="Times New Roman" w:cs="Times New Roman"/>
                <w:spacing w:val="2"/>
                <w:sz w:val="20"/>
                <w:szCs w:val="20"/>
              </w:rPr>
              <w:t xml:space="preserve">      </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rPr>
              <w:t>，</w:t>
            </w:r>
            <w:r>
              <w:rPr>
                <w:rFonts w:ascii="宋体" w:hAnsi="宋体" w:eastAsia="宋体" w:cs="宋体"/>
                <w:sz w:val="20"/>
                <w:szCs w:val="20"/>
              </w:rPr>
              <w:t xml:space="preserve"> </w:t>
            </w:r>
            <w:r>
              <w:rPr>
                <w:rFonts w:ascii="Times New Roman" w:hAnsi="Times New Roman" w:eastAsia="Times New Roman" w:cs="Times New Roman"/>
                <w:sz w:val="20"/>
                <w:szCs w:val="20"/>
              </w:rPr>
              <w:t>K</w:t>
            </w:r>
            <w:r>
              <w:rPr>
                <w:rFonts w:ascii="Times New Roman" w:hAnsi="Times New Roman" w:eastAsia="Times New Roman" w:cs="Times New Roman"/>
                <w:spacing w:val="2"/>
                <w:sz w:val="20"/>
                <w:szCs w:val="20"/>
              </w:rPr>
              <w:t>≤ 1×10</w:t>
            </w:r>
            <w:r>
              <w:rPr>
                <w:rFonts w:ascii="Times New Roman" w:hAnsi="Times New Roman" w:eastAsia="Times New Roman" w:cs="Times New Roman"/>
                <w:spacing w:val="2"/>
                <w:position w:val="6"/>
                <w:sz w:val="13"/>
                <w:szCs w:val="13"/>
              </w:rPr>
              <w:t>-7</w:t>
            </w:r>
            <w:r>
              <w:rPr>
                <w:rFonts w:ascii="Times New Roman" w:hAnsi="Times New Roman" w:eastAsia="Times New Roman" w:cs="Times New Roman"/>
                <w:sz w:val="20"/>
                <w:szCs w:val="20"/>
              </w:rPr>
              <w:t>cm</w:t>
            </w:r>
            <w:r>
              <w:rPr>
                <w:rFonts w:ascii="Times New Roman" w:hAnsi="Times New Roman" w:eastAsia="Times New Roman" w:cs="Times New Roman"/>
                <w:spacing w:val="2"/>
                <w:sz w:val="20"/>
                <w:szCs w:val="20"/>
              </w:rPr>
              <w:t>/</w:t>
            </w:r>
            <w:r>
              <w:rPr>
                <w:rFonts w:ascii="Times New Roman" w:hAnsi="Times New Roman" w:eastAsia="Times New Roman" w:cs="Times New Roman"/>
                <w:sz w:val="20"/>
                <w:szCs w:val="20"/>
              </w:rPr>
              <w:t>s</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rPr>
              <w:t>；或参</w:t>
            </w:r>
            <w:r>
              <w:rPr>
                <w:rFonts w:ascii="宋体" w:hAnsi="宋体" w:eastAsia="宋体" w:cs="宋体"/>
                <w:sz w:val="20"/>
                <w:szCs w:val="20"/>
              </w:rPr>
              <w:t xml:space="preserve"> </w:t>
            </w:r>
            <w:r>
              <w:rPr>
                <w:rFonts w:ascii="宋体" w:hAnsi="宋体" w:eastAsia="宋体" w:cs="宋体"/>
                <w:spacing w:val="2"/>
                <w:sz w:val="20"/>
                <w:szCs w:val="20"/>
              </w:rPr>
              <w:t xml:space="preserve">照 </w:t>
            </w:r>
            <w:r>
              <w:rPr>
                <w:rFonts w:ascii="Times New Roman" w:hAnsi="Times New Roman" w:eastAsia="Times New Roman" w:cs="Times New Roman"/>
                <w:sz w:val="20"/>
                <w:szCs w:val="20"/>
              </w:rPr>
              <w:t>GB</w:t>
            </w:r>
            <w:r>
              <w:rPr>
                <w:rFonts w:ascii="Times New Roman" w:hAnsi="Times New Roman" w:eastAsia="Times New Roman" w:cs="Times New Roman"/>
                <w:spacing w:val="2"/>
                <w:sz w:val="20"/>
                <w:szCs w:val="20"/>
              </w:rPr>
              <w:t>1859</w:t>
            </w:r>
            <w:r>
              <w:rPr>
                <w:rFonts w:ascii="Times New Roman" w:hAnsi="Times New Roman" w:eastAsia="Times New Roman" w:cs="Times New Roman"/>
                <w:spacing w:val="1"/>
                <w:sz w:val="20"/>
                <w:szCs w:val="20"/>
              </w:rPr>
              <w:t xml:space="preserve">8 </w:t>
            </w:r>
            <w:r>
              <w:rPr>
                <w:rFonts w:ascii="宋体" w:hAnsi="宋体" w:eastAsia="宋体" w:cs="宋体"/>
                <w:spacing w:val="1"/>
                <w:sz w:val="20"/>
                <w:szCs w:val="20"/>
              </w:rPr>
              <w:t>执行</w:t>
            </w:r>
          </w:p>
        </w:tc>
      </w:tr>
      <w:tr w14:paraId="04CADD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83" w:type="dxa"/>
            <w:vMerge w:val="continue"/>
            <w:tcBorders>
              <w:top w:val="nil"/>
              <w:left w:val="nil"/>
              <w:bottom w:val="nil"/>
            </w:tcBorders>
          </w:tcPr>
          <w:p w14:paraId="5745EB08"/>
        </w:tc>
        <w:tc>
          <w:tcPr>
            <w:tcW w:w="2268" w:type="dxa"/>
          </w:tcPr>
          <w:p w14:paraId="30566441">
            <w:pPr>
              <w:spacing w:before="69" w:line="228" w:lineRule="auto"/>
              <w:ind w:left="1124"/>
              <w:rPr>
                <w:rFonts w:ascii="宋体" w:hAnsi="宋体" w:eastAsia="宋体" w:cs="宋体"/>
                <w:sz w:val="20"/>
                <w:szCs w:val="20"/>
              </w:rPr>
            </w:pPr>
            <w:r>
              <w:rPr>
                <w:rFonts w:ascii="宋体" w:hAnsi="宋体" w:eastAsia="宋体" w:cs="宋体"/>
                <w:spacing w:val="-1"/>
                <w:sz w:val="20"/>
                <w:szCs w:val="20"/>
              </w:rPr>
              <w:t>中</w:t>
            </w:r>
            <w:r>
              <w:rPr>
                <w:rFonts w:ascii="Times New Roman" w:hAnsi="Times New Roman" w:eastAsia="Times New Roman" w:cs="Times New Roman"/>
                <w:spacing w:val="-1"/>
                <w:sz w:val="20"/>
                <w:szCs w:val="20"/>
              </w:rPr>
              <w:t>-</w:t>
            </w:r>
            <w:r>
              <w:rPr>
                <w:rFonts w:ascii="宋体" w:hAnsi="宋体" w:eastAsia="宋体" w:cs="宋体"/>
                <w:spacing w:val="-1"/>
                <w:sz w:val="20"/>
                <w:szCs w:val="20"/>
              </w:rPr>
              <w:t>强</w:t>
            </w:r>
          </w:p>
        </w:tc>
        <w:tc>
          <w:tcPr>
            <w:tcW w:w="1985" w:type="dxa"/>
          </w:tcPr>
          <w:p w14:paraId="7D50DCFD">
            <w:pPr>
              <w:spacing w:before="69" w:line="229" w:lineRule="auto"/>
              <w:ind w:left="1101"/>
              <w:rPr>
                <w:rFonts w:ascii="宋体" w:hAnsi="宋体" w:eastAsia="宋体" w:cs="宋体"/>
                <w:sz w:val="20"/>
                <w:szCs w:val="20"/>
              </w:rPr>
            </w:pPr>
            <w:r>
              <w:rPr>
                <w:rFonts w:ascii="宋体" w:hAnsi="宋体" w:eastAsia="宋体" w:cs="宋体"/>
                <w:spacing w:val="1"/>
                <w:sz w:val="20"/>
                <w:szCs w:val="20"/>
              </w:rPr>
              <w:t>难</w:t>
            </w:r>
          </w:p>
        </w:tc>
        <w:tc>
          <w:tcPr>
            <w:tcW w:w="1559" w:type="dxa"/>
            <w:vMerge w:val="continue"/>
            <w:tcBorders>
              <w:top w:val="nil"/>
            </w:tcBorders>
          </w:tcPr>
          <w:p w14:paraId="223ACBC6"/>
        </w:tc>
        <w:tc>
          <w:tcPr>
            <w:tcW w:w="2092" w:type="dxa"/>
            <w:vMerge w:val="continue"/>
            <w:tcBorders>
              <w:top w:val="nil"/>
              <w:bottom w:val="nil"/>
              <w:right w:val="nil"/>
            </w:tcBorders>
          </w:tcPr>
          <w:p w14:paraId="44A83A21"/>
        </w:tc>
      </w:tr>
      <w:tr w14:paraId="3C5D5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83" w:type="dxa"/>
            <w:vMerge w:val="continue"/>
            <w:tcBorders>
              <w:top w:val="nil"/>
              <w:left w:val="nil"/>
              <w:bottom w:val="nil"/>
            </w:tcBorders>
          </w:tcPr>
          <w:p w14:paraId="75A44013"/>
        </w:tc>
        <w:tc>
          <w:tcPr>
            <w:tcW w:w="2268" w:type="dxa"/>
          </w:tcPr>
          <w:p w14:paraId="393AFEA8">
            <w:pPr>
              <w:spacing w:before="69" w:line="228" w:lineRule="auto"/>
              <w:ind w:left="1266"/>
              <w:rPr>
                <w:rFonts w:ascii="宋体" w:hAnsi="宋体" w:eastAsia="宋体" w:cs="宋体"/>
                <w:sz w:val="20"/>
                <w:szCs w:val="20"/>
              </w:rPr>
            </w:pPr>
            <w:r>
              <w:rPr>
                <w:rFonts w:ascii="宋体" w:hAnsi="宋体" w:eastAsia="宋体" w:cs="宋体"/>
                <w:sz w:val="20"/>
                <w:szCs w:val="20"/>
              </w:rPr>
              <w:t>中</w:t>
            </w:r>
          </w:p>
        </w:tc>
        <w:tc>
          <w:tcPr>
            <w:tcW w:w="1985" w:type="dxa"/>
          </w:tcPr>
          <w:p w14:paraId="27484049">
            <w:pPr>
              <w:spacing w:before="69" w:line="229" w:lineRule="auto"/>
              <w:ind w:left="1116"/>
              <w:rPr>
                <w:rFonts w:ascii="宋体" w:hAnsi="宋体" w:eastAsia="宋体" w:cs="宋体"/>
                <w:sz w:val="20"/>
                <w:szCs w:val="20"/>
              </w:rPr>
            </w:pPr>
            <w:r>
              <w:rPr>
                <w:rFonts w:ascii="宋体" w:hAnsi="宋体" w:eastAsia="宋体" w:cs="宋体"/>
                <w:sz w:val="20"/>
                <w:szCs w:val="20"/>
              </w:rPr>
              <w:t>易</w:t>
            </w:r>
          </w:p>
        </w:tc>
        <w:tc>
          <w:tcPr>
            <w:tcW w:w="1559" w:type="dxa"/>
            <w:vMerge w:val="restart"/>
            <w:tcBorders>
              <w:bottom w:val="nil"/>
            </w:tcBorders>
          </w:tcPr>
          <w:p w14:paraId="19D6EE6A">
            <w:pPr>
              <w:spacing w:before="106" w:line="265" w:lineRule="auto"/>
              <w:ind w:left="115" w:right="106" w:hanging="1"/>
              <w:rPr>
                <w:rFonts w:ascii="宋体" w:hAnsi="宋体" w:eastAsia="宋体" w:cs="宋体"/>
                <w:sz w:val="20"/>
                <w:szCs w:val="20"/>
              </w:rPr>
            </w:pPr>
            <w:r>
              <w:rPr>
                <w:rFonts w:ascii="宋体" w:hAnsi="宋体" w:eastAsia="宋体" w:cs="宋体"/>
                <w:spacing w:val="22"/>
                <w:sz w:val="20"/>
                <w:szCs w:val="20"/>
              </w:rPr>
              <w:t>重金属、持久</w:t>
            </w:r>
            <w:r>
              <w:rPr>
                <w:rFonts w:ascii="宋体" w:hAnsi="宋体" w:eastAsia="宋体" w:cs="宋体"/>
                <w:sz w:val="20"/>
                <w:szCs w:val="20"/>
              </w:rPr>
              <w:t xml:space="preserve"> </w:t>
            </w:r>
            <w:r>
              <w:rPr>
                <w:rFonts w:ascii="宋体" w:hAnsi="宋体" w:eastAsia="宋体" w:cs="宋体"/>
                <w:spacing w:val="8"/>
                <w:sz w:val="20"/>
                <w:szCs w:val="20"/>
              </w:rPr>
              <w:t>性有机污染</w:t>
            </w:r>
            <w:r>
              <w:rPr>
                <w:rFonts w:ascii="宋体" w:hAnsi="宋体" w:eastAsia="宋体" w:cs="宋体"/>
                <w:spacing w:val="7"/>
                <w:sz w:val="20"/>
                <w:szCs w:val="20"/>
              </w:rPr>
              <w:t>物</w:t>
            </w:r>
          </w:p>
        </w:tc>
        <w:tc>
          <w:tcPr>
            <w:tcW w:w="2092" w:type="dxa"/>
            <w:vMerge w:val="continue"/>
            <w:tcBorders>
              <w:top w:val="nil"/>
              <w:bottom w:val="nil"/>
              <w:right w:val="nil"/>
            </w:tcBorders>
          </w:tcPr>
          <w:p w14:paraId="65850D55"/>
        </w:tc>
      </w:tr>
      <w:tr w14:paraId="5DA71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83" w:type="dxa"/>
            <w:vMerge w:val="continue"/>
            <w:tcBorders>
              <w:top w:val="nil"/>
              <w:left w:val="nil"/>
            </w:tcBorders>
          </w:tcPr>
          <w:p w14:paraId="631B73C3"/>
        </w:tc>
        <w:tc>
          <w:tcPr>
            <w:tcW w:w="2268" w:type="dxa"/>
          </w:tcPr>
          <w:p w14:paraId="2F34FB2C">
            <w:pPr>
              <w:spacing w:before="67" w:line="231" w:lineRule="auto"/>
              <w:ind w:left="1251"/>
              <w:rPr>
                <w:rFonts w:ascii="宋体" w:hAnsi="宋体" w:eastAsia="宋体" w:cs="宋体"/>
                <w:sz w:val="20"/>
                <w:szCs w:val="20"/>
              </w:rPr>
            </w:pPr>
            <w:r>
              <w:rPr>
                <w:rFonts w:ascii="宋体" w:hAnsi="宋体" w:eastAsia="宋体" w:cs="宋体"/>
                <w:sz w:val="20"/>
                <w:szCs w:val="20"/>
              </w:rPr>
              <w:t>强</w:t>
            </w:r>
          </w:p>
        </w:tc>
        <w:tc>
          <w:tcPr>
            <w:tcW w:w="1985" w:type="dxa"/>
          </w:tcPr>
          <w:p w14:paraId="1E94A014">
            <w:pPr>
              <w:spacing w:before="68" w:line="229" w:lineRule="auto"/>
              <w:ind w:left="1116"/>
              <w:rPr>
                <w:rFonts w:ascii="宋体" w:hAnsi="宋体" w:eastAsia="宋体" w:cs="宋体"/>
                <w:sz w:val="20"/>
                <w:szCs w:val="20"/>
              </w:rPr>
            </w:pPr>
            <w:r>
              <w:rPr>
                <w:rFonts w:ascii="宋体" w:hAnsi="宋体" w:eastAsia="宋体" w:cs="宋体"/>
                <w:sz w:val="20"/>
                <w:szCs w:val="20"/>
              </w:rPr>
              <w:t>易</w:t>
            </w:r>
          </w:p>
        </w:tc>
        <w:tc>
          <w:tcPr>
            <w:tcW w:w="1559" w:type="dxa"/>
            <w:vMerge w:val="continue"/>
            <w:tcBorders>
              <w:top w:val="nil"/>
            </w:tcBorders>
          </w:tcPr>
          <w:p w14:paraId="46CDD19E"/>
        </w:tc>
        <w:tc>
          <w:tcPr>
            <w:tcW w:w="2092" w:type="dxa"/>
            <w:vMerge w:val="continue"/>
            <w:tcBorders>
              <w:top w:val="nil"/>
              <w:right w:val="nil"/>
            </w:tcBorders>
          </w:tcPr>
          <w:p w14:paraId="60EF76A2"/>
        </w:tc>
      </w:tr>
      <w:tr w14:paraId="77E927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1383" w:type="dxa"/>
            <w:tcBorders>
              <w:left w:val="nil"/>
            </w:tcBorders>
          </w:tcPr>
          <w:p w14:paraId="6DF81644">
            <w:pPr>
              <w:spacing w:before="68" w:line="227" w:lineRule="auto"/>
              <w:ind w:left="121"/>
              <w:rPr>
                <w:rFonts w:ascii="宋体" w:hAnsi="宋体" w:eastAsia="宋体" w:cs="宋体"/>
                <w:sz w:val="20"/>
                <w:szCs w:val="20"/>
              </w:rPr>
            </w:pPr>
            <w:r>
              <w:rPr>
                <w:rFonts w:ascii="宋体" w:hAnsi="宋体" w:eastAsia="宋体" w:cs="宋体"/>
                <w:spacing w:val="8"/>
                <w:sz w:val="20"/>
                <w:szCs w:val="20"/>
              </w:rPr>
              <w:t>简</w:t>
            </w:r>
            <w:r>
              <w:rPr>
                <w:rFonts w:ascii="宋体" w:hAnsi="宋体" w:eastAsia="宋体" w:cs="宋体"/>
                <w:spacing w:val="7"/>
                <w:sz w:val="20"/>
                <w:szCs w:val="20"/>
              </w:rPr>
              <w:t>单防渗区</w:t>
            </w:r>
          </w:p>
        </w:tc>
        <w:tc>
          <w:tcPr>
            <w:tcW w:w="2268" w:type="dxa"/>
          </w:tcPr>
          <w:p w14:paraId="617B2F47">
            <w:pPr>
              <w:spacing w:before="69" w:line="228" w:lineRule="auto"/>
              <w:ind w:left="1124"/>
              <w:rPr>
                <w:rFonts w:ascii="宋体" w:hAnsi="宋体" w:eastAsia="宋体" w:cs="宋体"/>
                <w:sz w:val="20"/>
                <w:szCs w:val="20"/>
              </w:rPr>
            </w:pPr>
            <w:r>
              <w:rPr>
                <w:rFonts w:ascii="宋体" w:hAnsi="宋体" w:eastAsia="宋体" w:cs="宋体"/>
                <w:spacing w:val="-1"/>
                <w:sz w:val="20"/>
                <w:szCs w:val="20"/>
              </w:rPr>
              <w:t>中</w:t>
            </w:r>
            <w:r>
              <w:rPr>
                <w:rFonts w:ascii="Times New Roman" w:hAnsi="Times New Roman" w:eastAsia="Times New Roman" w:cs="Times New Roman"/>
                <w:spacing w:val="-1"/>
                <w:sz w:val="20"/>
                <w:szCs w:val="20"/>
              </w:rPr>
              <w:t>-</w:t>
            </w:r>
            <w:r>
              <w:rPr>
                <w:rFonts w:ascii="宋体" w:hAnsi="宋体" w:eastAsia="宋体" w:cs="宋体"/>
                <w:spacing w:val="-1"/>
                <w:sz w:val="20"/>
                <w:szCs w:val="20"/>
              </w:rPr>
              <w:t>强</w:t>
            </w:r>
          </w:p>
        </w:tc>
        <w:tc>
          <w:tcPr>
            <w:tcW w:w="1985" w:type="dxa"/>
          </w:tcPr>
          <w:p w14:paraId="4DD1AB4E">
            <w:pPr>
              <w:spacing w:before="68" w:line="229" w:lineRule="auto"/>
              <w:ind w:left="1116"/>
              <w:rPr>
                <w:rFonts w:ascii="宋体" w:hAnsi="宋体" w:eastAsia="宋体" w:cs="宋体"/>
                <w:sz w:val="20"/>
                <w:szCs w:val="20"/>
              </w:rPr>
            </w:pPr>
            <w:r>
              <w:rPr>
                <w:rFonts w:ascii="宋体" w:hAnsi="宋体" w:eastAsia="宋体" w:cs="宋体"/>
                <w:sz w:val="20"/>
                <w:szCs w:val="20"/>
              </w:rPr>
              <w:t>易</w:t>
            </w:r>
          </w:p>
        </w:tc>
        <w:tc>
          <w:tcPr>
            <w:tcW w:w="1559" w:type="dxa"/>
          </w:tcPr>
          <w:p w14:paraId="7FA5BA7B">
            <w:pPr>
              <w:spacing w:before="68" w:line="228" w:lineRule="auto"/>
              <w:ind w:left="534"/>
              <w:rPr>
                <w:rFonts w:ascii="宋体" w:hAnsi="宋体" w:eastAsia="宋体" w:cs="宋体"/>
                <w:sz w:val="20"/>
                <w:szCs w:val="20"/>
              </w:rPr>
            </w:pPr>
            <w:r>
              <w:rPr>
                <w:rFonts w:ascii="宋体" w:hAnsi="宋体" w:eastAsia="宋体" w:cs="宋体"/>
                <w:spacing w:val="7"/>
                <w:sz w:val="20"/>
                <w:szCs w:val="20"/>
              </w:rPr>
              <w:t>其他类型</w:t>
            </w:r>
          </w:p>
        </w:tc>
        <w:tc>
          <w:tcPr>
            <w:tcW w:w="2092" w:type="dxa"/>
            <w:tcBorders>
              <w:right w:val="nil"/>
            </w:tcBorders>
          </w:tcPr>
          <w:p w14:paraId="13EFF726">
            <w:pPr>
              <w:spacing w:before="68" w:line="229" w:lineRule="auto"/>
              <w:ind w:left="537"/>
              <w:rPr>
                <w:rFonts w:ascii="宋体" w:hAnsi="宋体" w:eastAsia="宋体" w:cs="宋体"/>
                <w:sz w:val="20"/>
                <w:szCs w:val="20"/>
              </w:rPr>
            </w:pPr>
            <w:r>
              <w:rPr>
                <w:rFonts w:ascii="宋体" w:hAnsi="宋体" w:eastAsia="宋体" w:cs="宋体"/>
                <w:spacing w:val="11"/>
                <w:sz w:val="20"/>
                <w:szCs w:val="20"/>
              </w:rPr>
              <w:t>一</w:t>
            </w:r>
            <w:r>
              <w:rPr>
                <w:rFonts w:ascii="宋体" w:hAnsi="宋体" w:eastAsia="宋体" w:cs="宋体"/>
                <w:spacing w:val="7"/>
                <w:sz w:val="20"/>
                <w:szCs w:val="20"/>
              </w:rPr>
              <w:t>般地面硬化</w:t>
            </w:r>
          </w:p>
        </w:tc>
      </w:tr>
    </w:tbl>
    <w:p w14:paraId="468AF030">
      <w:pPr>
        <w:spacing w:before="38" w:line="227" w:lineRule="auto"/>
        <w:ind w:left="602"/>
        <w:rPr>
          <w:rFonts w:ascii="宋体" w:hAnsi="宋体" w:eastAsia="宋体" w:cs="宋体"/>
          <w:sz w:val="23"/>
          <w:szCs w:val="23"/>
        </w:rPr>
      </w:pPr>
      <w:r>
        <w:rPr>
          <w:rFonts w:ascii="宋体" w:hAnsi="宋体" w:eastAsia="宋体" w:cs="宋体"/>
          <w:spacing w:val="7"/>
          <w:sz w:val="23"/>
          <w:szCs w:val="23"/>
        </w:rPr>
        <w:t>项目厂区属于天然包气带防污性能中等的区域；本项目污染物主要为猪只粪、尿，污</w:t>
      </w:r>
      <w:r>
        <w:rPr>
          <w:rFonts w:ascii="宋体" w:hAnsi="宋体" w:eastAsia="宋体" w:cs="宋体"/>
          <w:spacing w:val="2"/>
          <w:sz w:val="23"/>
          <w:szCs w:val="23"/>
        </w:rPr>
        <w:t>染</w:t>
      </w:r>
    </w:p>
    <w:p w14:paraId="5B2D4790">
      <w:pPr>
        <w:spacing w:before="182" w:line="227" w:lineRule="auto"/>
        <w:ind w:left="118"/>
        <w:rPr>
          <w:rFonts w:ascii="宋体" w:hAnsi="宋体" w:eastAsia="宋体" w:cs="宋体"/>
          <w:sz w:val="23"/>
          <w:szCs w:val="23"/>
        </w:rPr>
      </w:pPr>
      <w:r>
        <w:rPr>
          <w:rFonts w:ascii="宋体" w:hAnsi="宋体" w:eastAsia="宋体" w:cs="宋体"/>
          <w:spacing w:val="12"/>
          <w:sz w:val="23"/>
          <w:szCs w:val="23"/>
        </w:rPr>
        <w:t>物</w:t>
      </w:r>
      <w:r>
        <w:rPr>
          <w:rFonts w:ascii="宋体" w:hAnsi="宋体" w:eastAsia="宋体" w:cs="宋体"/>
          <w:spacing w:val="9"/>
          <w:sz w:val="23"/>
          <w:szCs w:val="23"/>
        </w:rPr>
        <w:t>类型为非持久性有机物，本项目拟进行分区防渗。</w:t>
      </w:r>
    </w:p>
    <w:p w14:paraId="731F4F41">
      <w:pPr>
        <w:spacing w:before="185" w:line="380" w:lineRule="auto"/>
        <w:ind w:left="119" w:firstLine="480"/>
        <w:rPr>
          <w:rFonts w:ascii="宋体" w:hAnsi="宋体" w:eastAsia="宋体" w:cs="宋体"/>
          <w:sz w:val="23"/>
          <w:szCs w:val="23"/>
        </w:rPr>
      </w:pPr>
      <w:r>
        <w:rPr>
          <w:rFonts w:ascii="宋体" w:hAnsi="宋体" w:eastAsia="宋体" w:cs="宋体"/>
          <w:spacing w:val="3"/>
          <w:sz w:val="23"/>
          <w:szCs w:val="23"/>
        </w:rPr>
        <w:t>本项目猪舍、异位微生物发酵床及集污管道、、集污池、应急事故池、危险废物贮存间</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11"/>
          <w:sz w:val="23"/>
          <w:szCs w:val="23"/>
        </w:rPr>
        <w:t>化</w:t>
      </w:r>
      <w:r>
        <w:rPr>
          <w:rFonts w:ascii="宋体" w:hAnsi="宋体" w:eastAsia="宋体" w:cs="宋体"/>
          <w:spacing w:val="7"/>
          <w:sz w:val="23"/>
          <w:szCs w:val="23"/>
        </w:rPr>
        <w:t>粪池等为重点防渗区，化粪池、生活垃圾贮存间为一般防渗区，生活区为简单防渗区。项</w:t>
      </w:r>
      <w:r>
        <w:rPr>
          <w:rFonts w:ascii="宋体" w:hAnsi="宋体" w:eastAsia="宋体" w:cs="宋体"/>
          <w:sz w:val="23"/>
          <w:szCs w:val="23"/>
        </w:rPr>
        <w:t xml:space="preserve"> </w:t>
      </w:r>
      <w:r>
        <w:rPr>
          <w:rFonts w:ascii="宋体" w:hAnsi="宋体" w:eastAsia="宋体" w:cs="宋体"/>
          <w:spacing w:val="6"/>
          <w:sz w:val="23"/>
          <w:szCs w:val="23"/>
        </w:rPr>
        <w:t>目分区</w:t>
      </w:r>
      <w:r>
        <w:rPr>
          <w:rFonts w:ascii="宋体" w:hAnsi="宋体" w:eastAsia="宋体" w:cs="宋体"/>
          <w:spacing w:val="4"/>
          <w:sz w:val="23"/>
          <w:szCs w:val="23"/>
        </w:rPr>
        <w:t>防</w:t>
      </w:r>
      <w:r>
        <w:rPr>
          <w:rFonts w:ascii="宋体" w:hAnsi="宋体" w:eastAsia="宋体" w:cs="宋体"/>
          <w:spacing w:val="3"/>
          <w:sz w:val="23"/>
          <w:szCs w:val="23"/>
        </w:rPr>
        <w:t xml:space="preserve">渗一览表见下表 </w:t>
      </w:r>
      <w:r>
        <w:rPr>
          <w:rFonts w:ascii="Times New Roman" w:hAnsi="Times New Roman" w:eastAsia="Times New Roman" w:cs="Times New Roman"/>
          <w:spacing w:val="3"/>
          <w:sz w:val="23"/>
          <w:szCs w:val="23"/>
        </w:rPr>
        <w:t>6.2-4</w:t>
      </w:r>
      <w:r>
        <w:rPr>
          <w:rFonts w:ascii="宋体" w:hAnsi="宋体" w:eastAsia="宋体" w:cs="宋体"/>
          <w:spacing w:val="3"/>
          <w:sz w:val="23"/>
          <w:szCs w:val="23"/>
        </w:rPr>
        <w:t>。</w:t>
      </w:r>
    </w:p>
    <w:p w14:paraId="133058B1">
      <w:pPr>
        <w:spacing w:before="100" w:line="222" w:lineRule="auto"/>
        <w:ind w:left="3748"/>
        <w:rPr>
          <w:rFonts w:ascii="黑体" w:hAnsi="黑体" w:eastAsia="黑体" w:cs="黑体"/>
          <w:sz w:val="23"/>
          <w:szCs w:val="23"/>
        </w:rPr>
      </w:pPr>
      <w:r>
        <w:rPr>
          <w:rFonts w:ascii="黑体" w:hAnsi="黑体" w:eastAsia="黑体" w:cs="黑体"/>
          <w:spacing w:val="4"/>
          <w:sz w:val="23"/>
          <w:szCs w:val="23"/>
        </w:rPr>
        <w:t xml:space="preserve">表 </w:t>
      </w:r>
      <w:r>
        <w:rPr>
          <w:rFonts w:ascii="Times New Roman" w:hAnsi="Times New Roman" w:eastAsia="Times New Roman" w:cs="Times New Roman"/>
          <w:spacing w:val="3"/>
          <w:sz w:val="23"/>
          <w:szCs w:val="23"/>
        </w:rPr>
        <w:t>6</w:t>
      </w:r>
      <w:r>
        <w:rPr>
          <w:rFonts w:ascii="Times New Roman" w:hAnsi="Times New Roman" w:eastAsia="Times New Roman" w:cs="Times New Roman"/>
          <w:spacing w:val="2"/>
          <w:sz w:val="23"/>
          <w:szCs w:val="23"/>
        </w:rPr>
        <w:t xml:space="preserve">.2-4    </w:t>
      </w:r>
      <w:r>
        <w:rPr>
          <w:rFonts w:ascii="黑体" w:hAnsi="黑体" w:eastAsia="黑体" w:cs="黑体"/>
          <w:spacing w:val="2"/>
          <w:sz w:val="23"/>
          <w:szCs w:val="23"/>
        </w:rPr>
        <w:t>分区防渗一览表</w:t>
      </w:r>
    </w:p>
    <w:tbl>
      <w:tblPr>
        <w:tblStyle w:val="4"/>
        <w:tblW w:w="928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1"/>
        <w:gridCol w:w="1603"/>
        <w:gridCol w:w="1504"/>
        <w:gridCol w:w="5479"/>
      </w:tblGrid>
      <w:tr w14:paraId="691C9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701" w:type="dxa"/>
            <w:tcBorders>
              <w:left w:val="nil"/>
            </w:tcBorders>
          </w:tcPr>
          <w:p w14:paraId="40C73D51">
            <w:pPr>
              <w:spacing w:before="88" w:line="229" w:lineRule="auto"/>
              <w:ind w:left="14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1603" w:type="dxa"/>
          </w:tcPr>
          <w:p w14:paraId="36881D0D">
            <w:pPr>
              <w:spacing w:before="88" w:line="230" w:lineRule="auto"/>
              <w:ind w:left="599"/>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名</w:t>
            </w:r>
            <w:r>
              <w:rPr>
                <w:rFonts w:ascii="宋体" w:hAnsi="宋体" w:eastAsia="宋体" w:cs="宋体"/>
                <w:spacing w:val="4"/>
                <w:sz w:val="20"/>
                <w:szCs w:val="20"/>
                <w14:textOutline w14:w="3797" w14:cap="sq" w14:cmpd="sng" w14:algn="ctr">
                  <w14:solidFill>
                    <w14:srgbClr w14:val="000000"/>
                  </w14:solidFill>
                  <w14:prstDash w14:val="solid"/>
                  <w14:bevel/>
                </w14:textOutline>
              </w:rPr>
              <w:t>称</w:t>
            </w:r>
          </w:p>
        </w:tc>
        <w:tc>
          <w:tcPr>
            <w:tcW w:w="1504" w:type="dxa"/>
          </w:tcPr>
          <w:p w14:paraId="1ECF4049">
            <w:pPr>
              <w:spacing w:before="88" w:line="228" w:lineRule="auto"/>
              <w:ind w:left="350"/>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防</w:t>
            </w:r>
            <w:r>
              <w:rPr>
                <w:rFonts w:ascii="宋体" w:hAnsi="宋体" w:eastAsia="宋体" w:cs="宋体"/>
                <w:spacing w:val="5"/>
                <w:sz w:val="20"/>
                <w:szCs w:val="20"/>
                <w14:textOutline w14:w="3797" w14:cap="sq" w14:cmpd="sng" w14:algn="ctr">
                  <w14:solidFill>
                    <w14:srgbClr w14:val="000000"/>
                  </w14:solidFill>
                  <w14:prstDash w14:val="solid"/>
                  <w14:bevel/>
                </w14:textOutline>
              </w:rPr>
              <w:t>渗级别</w:t>
            </w:r>
          </w:p>
        </w:tc>
        <w:tc>
          <w:tcPr>
            <w:tcW w:w="5479" w:type="dxa"/>
            <w:tcBorders>
              <w:right w:val="nil"/>
            </w:tcBorders>
          </w:tcPr>
          <w:p w14:paraId="0FE1EBB7">
            <w:pPr>
              <w:spacing w:before="88" w:line="228" w:lineRule="auto"/>
              <w:ind w:left="254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防</w:t>
            </w:r>
            <w:r>
              <w:rPr>
                <w:rFonts w:ascii="宋体" w:hAnsi="宋体" w:eastAsia="宋体" w:cs="宋体"/>
                <w:spacing w:val="5"/>
                <w:sz w:val="20"/>
                <w:szCs w:val="20"/>
                <w14:textOutline w14:w="3797" w14:cap="sq" w14:cmpd="sng" w14:algn="ctr">
                  <w14:solidFill>
                    <w14:srgbClr w14:val="000000"/>
                  </w14:solidFill>
                  <w14:prstDash w14:val="solid"/>
                  <w14:bevel/>
                </w14:textOutline>
              </w:rPr>
              <w:t>渗要求</w:t>
            </w:r>
          </w:p>
        </w:tc>
      </w:tr>
      <w:tr w14:paraId="7581C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01" w:type="dxa"/>
            <w:tcBorders>
              <w:left w:val="nil"/>
            </w:tcBorders>
          </w:tcPr>
          <w:p w14:paraId="08196DD5">
            <w:pPr>
              <w:spacing w:line="279" w:lineRule="auto"/>
            </w:pPr>
          </w:p>
          <w:p w14:paraId="52972C77">
            <w:pPr>
              <w:spacing w:before="57" w:line="195" w:lineRule="auto"/>
              <w:ind w:left="322"/>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603" w:type="dxa"/>
          </w:tcPr>
          <w:p w14:paraId="0C91B1E4">
            <w:pPr>
              <w:spacing w:before="302" w:line="228" w:lineRule="auto"/>
              <w:ind w:left="323"/>
              <w:rPr>
                <w:rFonts w:ascii="宋体" w:hAnsi="宋体" w:eastAsia="宋体" w:cs="宋体"/>
                <w:sz w:val="20"/>
                <w:szCs w:val="20"/>
              </w:rPr>
            </w:pPr>
            <w:r>
              <w:rPr>
                <w:rFonts w:ascii="宋体" w:hAnsi="宋体" w:eastAsia="宋体" w:cs="宋体"/>
                <w:spacing w:val="5"/>
                <w:sz w:val="20"/>
                <w:szCs w:val="20"/>
              </w:rPr>
              <w:t>猪</w:t>
            </w:r>
            <w:r>
              <w:rPr>
                <w:rFonts w:ascii="宋体" w:hAnsi="宋体" w:eastAsia="宋体" w:cs="宋体"/>
                <w:spacing w:val="4"/>
                <w:sz w:val="20"/>
                <w:szCs w:val="20"/>
              </w:rPr>
              <w:t>舍</w:t>
            </w:r>
          </w:p>
        </w:tc>
        <w:tc>
          <w:tcPr>
            <w:tcW w:w="1504" w:type="dxa"/>
          </w:tcPr>
          <w:p w14:paraId="4C623771">
            <w:pPr>
              <w:spacing w:before="302" w:line="228" w:lineRule="auto"/>
              <w:ind w:left="235"/>
              <w:rPr>
                <w:rFonts w:ascii="宋体" w:hAnsi="宋体" w:eastAsia="宋体" w:cs="宋体"/>
                <w:sz w:val="20"/>
                <w:szCs w:val="20"/>
              </w:rPr>
            </w:pPr>
            <w:r>
              <w:rPr>
                <w:rFonts w:ascii="宋体" w:hAnsi="宋体" w:eastAsia="宋体" w:cs="宋体"/>
                <w:spacing w:val="9"/>
                <w:sz w:val="20"/>
                <w:szCs w:val="20"/>
              </w:rPr>
              <w:t>一</w:t>
            </w:r>
            <w:r>
              <w:rPr>
                <w:rFonts w:ascii="宋体" w:hAnsi="宋体" w:eastAsia="宋体" w:cs="宋体"/>
                <w:spacing w:val="7"/>
                <w:sz w:val="20"/>
                <w:szCs w:val="20"/>
              </w:rPr>
              <w:t>般防渗区</w:t>
            </w:r>
          </w:p>
        </w:tc>
        <w:tc>
          <w:tcPr>
            <w:tcW w:w="5479" w:type="dxa"/>
            <w:tcBorders>
              <w:right w:val="nil"/>
            </w:tcBorders>
          </w:tcPr>
          <w:p w14:paraId="6EF5CC0E">
            <w:pPr>
              <w:spacing w:line="269" w:lineRule="exact"/>
              <w:ind w:left="165"/>
              <w:rPr>
                <w:rFonts w:ascii="宋体" w:hAnsi="宋体" w:eastAsia="宋体" w:cs="宋体"/>
                <w:sz w:val="20"/>
                <w:szCs w:val="20"/>
              </w:rPr>
            </w:pPr>
            <w:r>
              <w:rPr>
                <w:rFonts w:ascii="宋体" w:hAnsi="宋体" w:eastAsia="宋体" w:cs="宋体"/>
                <w:spacing w:val="18"/>
                <w:position w:val="1"/>
                <w:sz w:val="20"/>
                <w:szCs w:val="20"/>
              </w:rPr>
              <w:t>猪</w:t>
            </w:r>
            <w:r>
              <w:rPr>
                <w:rFonts w:ascii="宋体" w:hAnsi="宋体" w:eastAsia="宋体" w:cs="宋体"/>
                <w:spacing w:val="11"/>
                <w:position w:val="1"/>
                <w:sz w:val="20"/>
                <w:szCs w:val="20"/>
              </w:rPr>
              <w:t>舍</w:t>
            </w:r>
            <w:r>
              <w:rPr>
                <w:rFonts w:ascii="宋体" w:hAnsi="宋体" w:eastAsia="宋体" w:cs="宋体"/>
                <w:spacing w:val="9"/>
                <w:position w:val="1"/>
                <w:sz w:val="20"/>
                <w:szCs w:val="20"/>
              </w:rPr>
              <w:t>地面采用钢筋混凝土加防渗剂的防渗地坪</w:t>
            </w:r>
            <w:r>
              <w:rPr>
                <w:rFonts w:ascii="Times New Roman" w:hAnsi="Times New Roman" w:eastAsia="Times New Roman" w:cs="Times New Roman"/>
                <w:spacing w:val="9"/>
                <w:position w:val="1"/>
                <w:sz w:val="20"/>
                <w:szCs w:val="20"/>
              </w:rPr>
              <w:t>+</w:t>
            </w:r>
            <w:r>
              <w:rPr>
                <w:rFonts w:ascii="宋体" w:hAnsi="宋体" w:eastAsia="宋体" w:cs="宋体"/>
                <w:spacing w:val="9"/>
                <w:position w:val="1"/>
                <w:sz w:val="20"/>
                <w:szCs w:val="20"/>
              </w:rPr>
              <w:t>人工材料</w:t>
            </w:r>
          </w:p>
          <w:p w14:paraId="66A22567">
            <w:pPr>
              <w:spacing w:line="254" w:lineRule="auto"/>
              <w:ind w:left="2032" w:right="392" w:hanging="1672"/>
              <w:rPr>
                <w:rFonts w:ascii="宋体" w:hAnsi="宋体" w:eastAsia="宋体" w:cs="宋体"/>
                <w:sz w:val="20"/>
                <w:szCs w:val="20"/>
              </w:rPr>
            </w:pPr>
            <w:r>
              <w:rPr>
                <w:rFonts w:ascii="宋体" w:hAnsi="宋体" w:eastAsia="宋体" w:cs="宋体"/>
                <w:spacing w:val="18"/>
                <w:sz w:val="20"/>
                <w:szCs w:val="20"/>
              </w:rPr>
              <w:t>(</w:t>
            </w:r>
            <w:r>
              <w:rPr>
                <w:rFonts w:ascii="Times New Roman" w:hAnsi="Times New Roman" w:eastAsia="Times New Roman" w:cs="Times New Roman"/>
                <w:sz w:val="20"/>
                <w:szCs w:val="20"/>
              </w:rPr>
              <w:t>HDPE</w:t>
            </w:r>
            <w:r>
              <w:rPr>
                <w:rFonts w:ascii="宋体" w:hAnsi="宋体" w:eastAsia="宋体" w:cs="宋体"/>
                <w:spacing w:val="10"/>
                <w:sz w:val="20"/>
                <w:szCs w:val="20"/>
              </w:rPr>
              <w:t>)</w:t>
            </w:r>
            <w:r>
              <w:rPr>
                <w:rFonts w:ascii="宋体" w:hAnsi="宋体" w:eastAsia="宋体" w:cs="宋体"/>
                <w:spacing w:val="9"/>
                <w:sz w:val="20"/>
                <w:szCs w:val="20"/>
              </w:rPr>
              <w:t xml:space="preserve"> 防渗层，确保等效黏土防渗层 </w:t>
            </w:r>
            <w:r>
              <w:rPr>
                <w:rFonts w:ascii="Times New Roman" w:hAnsi="Times New Roman" w:eastAsia="Times New Roman" w:cs="Times New Roman"/>
                <w:sz w:val="20"/>
                <w:szCs w:val="20"/>
              </w:rPr>
              <w:t>Mb</w:t>
            </w:r>
            <w:r>
              <w:rPr>
                <w:rFonts w:ascii="Times New Roman" w:hAnsi="Times New Roman" w:eastAsia="Times New Roman" w:cs="Times New Roman"/>
                <w:spacing w:val="9"/>
                <w:sz w:val="20"/>
                <w:szCs w:val="20"/>
              </w:rPr>
              <w:t>≥1.5</w:t>
            </w:r>
            <w:r>
              <w:rPr>
                <w:rFonts w:ascii="Times New Roman" w:hAnsi="Times New Roman" w:eastAsia="Times New Roman" w:cs="Times New Roman"/>
                <w:sz w:val="20"/>
                <w:szCs w:val="20"/>
              </w:rPr>
              <w:t>m</w:t>
            </w:r>
            <w:r>
              <w:rPr>
                <w:rFonts w:ascii="宋体" w:hAnsi="宋体" w:eastAsia="宋体" w:cs="宋体"/>
                <w:spacing w:val="9"/>
                <w:sz w:val="20"/>
                <w:szCs w:val="20"/>
              </w:rPr>
              <w:t>，</w:t>
            </w:r>
            <w:r>
              <w:rPr>
                <w:rFonts w:ascii="宋体" w:hAnsi="宋体" w:eastAsia="宋体" w:cs="宋体"/>
                <w:sz w:val="20"/>
                <w:szCs w:val="20"/>
              </w:rPr>
              <w:t xml:space="preserve"> </w:t>
            </w:r>
            <w:r>
              <w:rPr>
                <w:rFonts w:ascii="Times New Roman" w:hAnsi="Times New Roman" w:eastAsia="Times New Roman" w:cs="Times New Roman"/>
                <w:sz w:val="20"/>
                <w:szCs w:val="20"/>
              </w:rPr>
              <w:t>K≤ 1×10</w:t>
            </w:r>
            <w:r>
              <w:rPr>
                <w:rFonts w:ascii="Times New Roman" w:hAnsi="Times New Roman" w:eastAsia="Times New Roman" w:cs="Times New Roman"/>
                <w:position w:val="6"/>
                <w:sz w:val="13"/>
                <w:szCs w:val="13"/>
              </w:rPr>
              <w:t>-7</w:t>
            </w:r>
            <w:r>
              <w:rPr>
                <w:rFonts w:ascii="Times New Roman" w:hAnsi="Times New Roman" w:eastAsia="Times New Roman" w:cs="Times New Roman"/>
                <w:sz w:val="20"/>
                <w:szCs w:val="20"/>
              </w:rPr>
              <w:t>cm/s</w:t>
            </w:r>
            <w:r>
              <w:rPr>
                <w:rFonts w:ascii="宋体" w:hAnsi="宋体" w:eastAsia="宋体" w:cs="宋体"/>
                <w:sz w:val="20"/>
                <w:szCs w:val="20"/>
              </w:rPr>
              <w:t>。</w:t>
            </w:r>
          </w:p>
        </w:tc>
      </w:tr>
      <w:tr w14:paraId="70F5E7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01" w:type="dxa"/>
            <w:tcBorders>
              <w:left w:val="nil"/>
            </w:tcBorders>
          </w:tcPr>
          <w:p w14:paraId="0E713507">
            <w:pPr>
              <w:spacing w:line="281" w:lineRule="auto"/>
            </w:pPr>
          </w:p>
          <w:p w14:paraId="280C151A">
            <w:pPr>
              <w:spacing w:before="57" w:line="195" w:lineRule="auto"/>
              <w:ind w:left="30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603" w:type="dxa"/>
          </w:tcPr>
          <w:p w14:paraId="72924BD3">
            <w:pPr>
              <w:spacing w:before="167" w:line="267" w:lineRule="auto"/>
              <w:ind w:left="597" w:right="171" w:hanging="418"/>
              <w:rPr>
                <w:rFonts w:ascii="宋体" w:hAnsi="宋体" w:eastAsia="宋体" w:cs="宋体"/>
                <w:sz w:val="20"/>
                <w:szCs w:val="20"/>
              </w:rPr>
            </w:pPr>
            <w:r>
              <w:rPr>
                <w:rFonts w:ascii="宋体" w:hAnsi="宋体" w:eastAsia="宋体" w:cs="宋体"/>
                <w:spacing w:val="8"/>
                <w:sz w:val="20"/>
                <w:szCs w:val="20"/>
              </w:rPr>
              <w:t>异位微生物</w:t>
            </w:r>
            <w:r>
              <w:rPr>
                <w:rFonts w:ascii="宋体" w:hAnsi="宋体" w:eastAsia="宋体" w:cs="宋体"/>
                <w:spacing w:val="7"/>
                <w:sz w:val="20"/>
                <w:szCs w:val="20"/>
              </w:rPr>
              <w:t>发</w:t>
            </w:r>
            <w:r>
              <w:rPr>
                <w:rFonts w:ascii="宋体" w:hAnsi="宋体" w:eastAsia="宋体" w:cs="宋体"/>
                <w:sz w:val="20"/>
                <w:szCs w:val="20"/>
              </w:rPr>
              <w:t xml:space="preserve"> </w:t>
            </w:r>
            <w:r>
              <w:rPr>
                <w:rFonts w:ascii="宋体" w:hAnsi="宋体" w:eastAsia="宋体" w:cs="宋体"/>
                <w:spacing w:val="4"/>
                <w:sz w:val="20"/>
                <w:szCs w:val="20"/>
              </w:rPr>
              <w:t>酵床</w:t>
            </w:r>
          </w:p>
        </w:tc>
        <w:tc>
          <w:tcPr>
            <w:tcW w:w="1504" w:type="dxa"/>
          </w:tcPr>
          <w:p w14:paraId="7173E57F">
            <w:pPr>
              <w:spacing w:before="304" w:line="228" w:lineRule="auto"/>
              <w:ind w:left="235"/>
              <w:rPr>
                <w:rFonts w:ascii="宋体" w:hAnsi="宋体" w:eastAsia="宋体" w:cs="宋体"/>
                <w:sz w:val="20"/>
                <w:szCs w:val="20"/>
              </w:rPr>
            </w:pPr>
            <w:r>
              <w:rPr>
                <w:rFonts w:ascii="宋体" w:hAnsi="宋体" w:eastAsia="宋体" w:cs="宋体"/>
                <w:spacing w:val="9"/>
                <w:sz w:val="20"/>
                <w:szCs w:val="20"/>
              </w:rPr>
              <w:t>一</w:t>
            </w:r>
            <w:r>
              <w:rPr>
                <w:rFonts w:ascii="宋体" w:hAnsi="宋体" w:eastAsia="宋体" w:cs="宋体"/>
                <w:spacing w:val="7"/>
                <w:sz w:val="20"/>
                <w:szCs w:val="20"/>
              </w:rPr>
              <w:t>般防渗区</w:t>
            </w:r>
          </w:p>
        </w:tc>
        <w:tc>
          <w:tcPr>
            <w:tcW w:w="5479" w:type="dxa"/>
            <w:tcBorders>
              <w:right w:val="nil"/>
            </w:tcBorders>
          </w:tcPr>
          <w:p w14:paraId="06381F1E">
            <w:pPr>
              <w:spacing w:line="271" w:lineRule="exact"/>
              <w:ind w:left="376"/>
              <w:rPr>
                <w:rFonts w:ascii="宋体" w:hAnsi="宋体" w:eastAsia="宋体" w:cs="宋体"/>
                <w:sz w:val="20"/>
                <w:szCs w:val="20"/>
              </w:rPr>
            </w:pPr>
            <w:r>
              <w:rPr>
                <w:rFonts w:ascii="宋体" w:hAnsi="宋体" w:eastAsia="宋体" w:cs="宋体"/>
                <w:spacing w:val="16"/>
                <w:position w:val="1"/>
                <w:sz w:val="20"/>
                <w:szCs w:val="20"/>
              </w:rPr>
              <w:t>池</w:t>
            </w:r>
            <w:r>
              <w:rPr>
                <w:rFonts w:ascii="宋体" w:hAnsi="宋体" w:eastAsia="宋体" w:cs="宋体"/>
                <w:spacing w:val="9"/>
                <w:position w:val="1"/>
                <w:sz w:val="20"/>
                <w:szCs w:val="20"/>
              </w:rPr>
              <w:t>体采用钢筋混凝土加防渗剂的防渗地坪</w:t>
            </w:r>
            <w:r>
              <w:rPr>
                <w:rFonts w:ascii="Times New Roman" w:hAnsi="Times New Roman" w:eastAsia="Times New Roman" w:cs="Times New Roman"/>
                <w:spacing w:val="9"/>
                <w:position w:val="1"/>
                <w:sz w:val="20"/>
                <w:szCs w:val="20"/>
              </w:rPr>
              <w:t>+</w:t>
            </w:r>
            <w:r>
              <w:rPr>
                <w:rFonts w:ascii="宋体" w:hAnsi="宋体" w:eastAsia="宋体" w:cs="宋体"/>
                <w:spacing w:val="9"/>
                <w:position w:val="1"/>
                <w:sz w:val="20"/>
                <w:szCs w:val="20"/>
              </w:rPr>
              <w:t>人工材料</w:t>
            </w:r>
          </w:p>
          <w:p w14:paraId="320E7D9E">
            <w:pPr>
              <w:spacing w:before="1" w:line="253" w:lineRule="auto"/>
              <w:ind w:left="2032" w:right="392" w:hanging="1672"/>
              <w:rPr>
                <w:rFonts w:ascii="宋体" w:hAnsi="宋体" w:eastAsia="宋体" w:cs="宋体"/>
                <w:sz w:val="20"/>
                <w:szCs w:val="20"/>
              </w:rPr>
            </w:pPr>
            <w:r>
              <w:rPr>
                <w:rFonts w:ascii="宋体" w:hAnsi="宋体" w:eastAsia="宋体" w:cs="宋体"/>
                <w:spacing w:val="18"/>
                <w:sz w:val="20"/>
                <w:szCs w:val="20"/>
              </w:rPr>
              <w:t>(</w:t>
            </w:r>
            <w:r>
              <w:rPr>
                <w:rFonts w:ascii="Times New Roman" w:hAnsi="Times New Roman" w:eastAsia="Times New Roman" w:cs="Times New Roman"/>
                <w:sz w:val="20"/>
                <w:szCs w:val="20"/>
              </w:rPr>
              <w:t>HDPE</w:t>
            </w:r>
            <w:r>
              <w:rPr>
                <w:rFonts w:ascii="宋体" w:hAnsi="宋体" w:eastAsia="宋体" w:cs="宋体"/>
                <w:spacing w:val="10"/>
                <w:sz w:val="20"/>
                <w:szCs w:val="20"/>
              </w:rPr>
              <w:t>)</w:t>
            </w:r>
            <w:r>
              <w:rPr>
                <w:rFonts w:ascii="宋体" w:hAnsi="宋体" w:eastAsia="宋体" w:cs="宋体"/>
                <w:spacing w:val="9"/>
                <w:sz w:val="20"/>
                <w:szCs w:val="20"/>
              </w:rPr>
              <w:t xml:space="preserve"> 防渗层，确保等效黏土防渗层 </w:t>
            </w:r>
            <w:r>
              <w:rPr>
                <w:rFonts w:ascii="Times New Roman" w:hAnsi="Times New Roman" w:eastAsia="Times New Roman" w:cs="Times New Roman"/>
                <w:sz w:val="20"/>
                <w:szCs w:val="20"/>
              </w:rPr>
              <w:t>Mb</w:t>
            </w:r>
            <w:r>
              <w:rPr>
                <w:rFonts w:ascii="Times New Roman" w:hAnsi="Times New Roman" w:eastAsia="Times New Roman" w:cs="Times New Roman"/>
                <w:spacing w:val="9"/>
                <w:sz w:val="20"/>
                <w:szCs w:val="20"/>
              </w:rPr>
              <w:t>≥1.5</w:t>
            </w:r>
            <w:r>
              <w:rPr>
                <w:rFonts w:ascii="Times New Roman" w:hAnsi="Times New Roman" w:eastAsia="Times New Roman" w:cs="Times New Roman"/>
                <w:sz w:val="20"/>
                <w:szCs w:val="20"/>
              </w:rPr>
              <w:t>m</w:t>
            </w:r>
            <w:r>
              <w:rPr>
                <w:rFonts w:ascii="宋体" w:hAnsi="宋体" w:eastAsia="宋体" w:cs="宋体"/>
                <w:spacing w:val="9"/>
                <w:sz w:val="20"/>
                <w:szCs w:val="20"/>
              </w:rPr>
              <w:t>，</w:t>
            </w:r>
            <w:r>
              <w:rPr>
                <w:rFonts w:ascii="宋体" w:hAnsi="宋体" w:eastAsia="宋体" w:cs="宋体"/>
                <w:sz w:val="20"/>
                <w:szCs w:val="20"/>
              </w:rPr>
              <w:t xml:space="preserve"> </w:t>
            </w:r>
            <w:r>
              <w:rPr>
                <w:rFonts w:ascii="Times New Roman" w:hAnsi="Times New Roman" w:eastAsia="Times New Roman" w:cs="Times New Roman"/>
                <w:sz w:val="20"/>
                <w:szCs w:val="20"/>
              </w:rPr>
              <w:t>K≤ 1×10</w:t>
            </w:r>
            <w:r>
              <w:rPr>
                <w:rFonts w:ascii="Times New Roman" w:hAnsi="Times New Roman" w:eastAsia="Times New Roman" w:cs="Times New Roman"/>
                <w:position w:val="6"/>
                <w:sz w:val="13"/>
                <w:szCs w:val="13"/>
              </w:rPr>
              <w:t>-7</w:t>
            </w:r>
            <w:r>
              <w:rPr>
                <w:rFonts w:ascii="Times New Roman" w:hAnsi="Times New Roman" w:eastAsia="Times New Roman" w:cs="Times New Roman"/>
                <w:sz w:val="20"/>
                <w:szCs w:val="20"/>
              </w:rPr>
              <w:t>cm/s</w:t>
            </w:r>
            <w:r>
              <w:rPr>
                <w:rFonts w:ascii="宋体" w:hAnsi="宋体" w:eastAsia="宋体" w:cs="宋体"/>
                <w:sz w:val="20"/>
                <w:szCs w:val="20"/>
              </w:rPr>
              <w:t>。</w:t>
            </w:r>
          </w:p>
        </w:tc>
      </w:tr>
      <w:tr w14:paraId="0B8541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01" w:type="dxa"/>
            <w:tcBorders>
              <w:left w:val="nil"/>
            </w:tcBorders>
          </w:tcPr>
          <w:p w14:paraId="24B81539">
            <w:pPr>
              <w:spacing w:line="416" w:lineRule="auto"/>
            </w:pPr>
          </w:p>
          <w:p w14:paraId="4512FCDB">
            <w:pPr>
              <w:spacing w:before="58" w:line="195" w:lineRule="auto"/>
              <w:ind w:left="306"/>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603" w:type="dxa"/>
          </w:tcPr>
          <w:p w14:paraId="047B2C89">
            <w:pPr>
              <w:spacing w:before="305" w:line="270" w:lineRule="auto"/>
              <w:ind w:left="701" w:right="106" w:hanging="587"/>
              <w:rPr>
                <w:rFonts w:ascii="宋体" w:hAnsi="宋体" w:eastAsia="宋体" w:cs="宋体"/>
                <w:sz w:val="20"/>
                <w:szCs w:val="20"/>
              </w:rPr>
            </w:pPr>
            <w:r>
              <w:rPr>
                <w:rFonts w:ascii="宋体" w:hAnsi="宋体" w:eastAsia="宋体" w:cs="宋体"/>
                <w:spacing w:val="-6"/>
                <w:sz w:val="20"/>
                <w:szCs w:val="20"/>
              </w:rPr>
              <w:t>集</w:t>
            </w:r>
            <w:r>
              <w:rPr>
                <w:rFonts w:ascii="宋体" w:hAnsi="宋体" w:eastAsia="宋体" w:cs="宋体"/>
                <w:spacing w:val="-3"/>
                <w:sz w:val="20"/>
                <w:szCs w:val="20"/>
              </w:rPr>
              <w:t>污管道、集污</w:t>
            </w:r>
            <w:r>
              <w:rPr>
                <w:rFonts w:ascii="宋体" w:hAnsi="宋体" w:eastAsia="宋体" w:cs="宋体"/>
                <w:sz w:val="20"/>
                <w:szCs w:val="20"/>
              </w:rPr>
              <w:t xml:space="preserve"> 池</w:t>
            </w:r>
          </w:p>
        </w:tc>
        <w:tc>
          <w:tcPr>
            <w:tcW w:w="1504" w:type="dxa"/>
          </w:tcPr>
          <w:p w14:paraId="0468487C">
            <w:pPr>
              <w:spacing w:line="373" w:lineRule="auto"/>
            </w:pPr>
          </w:p>
          <w:p w14:paraId="2FB15FD1">
            <w:pPr>
              <w:spacing w:before="65" w:line="228" w:lineRule="auto"/>
              <w:ind w:left="235"/>
              <w:rPr>
                <w:rFonts w:ascii="宋体" w:hAnsi="宋体" w:eastAsia="宋体" w:cs="宋体"/>
                <w:sz w:val="20"/>
                <w:szCs w:val="20"/>
              </w:rPr>
            </w:pPr>
            <w:r>
              <w:rPr>
                <w:rFonts w:ascii="宋体" w:hAnsi="宋体" w:eastAsia="宋体" w:cs="宋体"/>
                <w:spacing w:val="9"/>
                <w:sz w:val="20"/>
                <w:szCs w:val="20"/>
              </w:rPr>
              <w:t>一</w:t>
            </w:r>
            <w:r>
              <w:rPr>
                <w:rFonts w:ascii="宋体" w:hAnsi="宋体" w:eastAsia="宋体" w:cs="宋体"/>
                <w:spacing w:val="7"/>
                <w:sz w:val="20"/>
                <w:szCs w:val="20"/>
              </w:rPr>
              <w:t>般防渗区</w:t>
            </w:r>
          </w:p>
        </w:tc>
        <w:tc>
          <w:tcPr>
            <w:tcW w:w="5479" w:type="dxa"/>
            <w:tcBorders>
              <w:right w:val="nil"/>
            </w:tcBorders>
          </w:tcPr>
          <w:p w14:paraId="42B59331">
            <w:pPr>
              <w:spacing w:before="32" w:line="252" w:lineRule="auto"/>
              <w:ind w:left="120" w:right="115" w:firstLine="1"/>
              <w:rPr>
                <w:rFonts w:ascii="宋体" w:hAnsi="宋体" w:eastAsia="宋体" w:cs="宋体"/>
                <w:sz w:val="20"/>
                <w:szCs w:val="20"/>
              </w:rPr>
            </w:pPr>
            <w:r>
              <w:rPr>
                <w:rFonts w:ascii="宋体" w:hAnsi="宋体" w:eastAsia="宋体" w:cs="宋体"/>
                <w:spacing w:val="18"/>
                <w:sz w:val="20"/>
                <w:szCs w:val="20"/>
              </w:rPr>
              <w:t>粪</w:t>
            </w:r>
            <w:r>
              <w:rPr>
                <w:rFonts w:ascii="宋体" w:hAnsi="宋体" w:eastAsia="宋体" w:cs="宋体"/>
                <w:spacing w:val="13"/>
                <w:sz w:val="20"/>
                <w:szCs w:val="20"/>
              </w:rPr>
              <w:t>污</w:t>
            </w:r>
            <w:r>
              <w:rPr>
                <w:rFonts w:ascii="宋体" w:hAnsi="宋体" w:eastAsia="宋体" w:cs="宋体"/>
                <w:spacing w:val="9"/>
                <w:sz w:val="20"/>
                <w:szCs w:val="20"/>
              </w:rPr>
              <w:t>输送全部采用管道输送，管道材料应视输送介质的不</w:t>
            </w:r>
            <w:r>
              <w:rPr>
                <w:rFonts w:ascii="宋体" w:hAnsi="宋体" w:eastAsia="宋体" w:cs="宋体"/>
                <w:sz w:val="20"/>
                <w:szCs w:val="20"/>
              </w:rPr>
              <w:t xml:space="preserve"> </w:t>
            </w:r>
            <w:r>
              <w:rPr>
                <w:rFonts w:ascii="宋体" w:hAnsi="宋体" w:eastAsia="宋体" w:cs="宋体"/>
                <w:spacing w:val="18"/>
                <w:sz w:val="20"/>
                <w:szCs w:val="20"/>
              </w:rPr>
              <w:t>同</w:t>
            </w:r>
            <w:r>
              <w:rPr>
                <w:rFonts w:ascii="宋体" w:hAnsi="宋体" w:eastAsia="宋体" w:cs="宋体"/>
                <w:spacing w:val="15"/>
                <w:sz w:val="20"/>
                <w:szCs w:val="20"/>
              </w:rPr>
              <w:t>选</w:t>
            </w:r>
            <w:r>
              <w:rPr>
                <w:rFonts w:ascii="宋体" w:hAnsi="宋体" w:eastAsia="宋体" w:cs="宋体"/>
                <w:spacing w:val="9"/>
                <w:sz w:val="20"/>
                <w:szCs w:val="20"/>
              </w:rPr>
              <w:t>择合适材质并做表面的防腐、防锈蚀处理，减轻管道</w:t>
            </w:r>
            <w:r>
              <w:rPr>
                <w:rFonts w:ascii="宋体" w:hAnsi="宋体" w:eastAsia="宋体" w:cs="宋体"/>
                <w:sz w:val="20"/>
                <w:szCs w:val="20"/>
              </w:rPr>
              <w:t xml:space="preserve"> </w:t>
            </w:r>
            <w:r>
              <w:rPr>
                <w:rFonts w:ascii="宋体" w:hAnsi="宋体" w:eastAsia="宋体" w:cs="宋体"/>
                <w:spacing w:val="18"/>
                <w:sz w:val="20"/>
                <w:szCs w:val="20"/>
              </w:rPr>
              <w:t>腐</w:t>
            </w:r>
            <w:r>
              <w:rPr>
                <w:rFonts w:ascii="宋体" w:hAnsi="宋体" w:eastAsia="宋体" w:cs="宋体"/>
                <w:spacing w:val="15"/>
                <w:sz w:val="20"/>
                <w:szCs w:val="20"/>
              </w:rPr>
              <w:t>蚀</w:t>
            </w:r>
            <w:r>
              <w:rPr>
                <w:rFonts w:ascii="宋体" w:hAnsi="宋体" w:eastAsia="宋体" w:cs="宋体"/>
                <w:spacing w:val="9"/>
                <w:sz w:val="20"/>
                <w:szCs w:val="20"/>
              </w:rPr>
              <w:t>造成的渗漏，并进行定期检查，防止跑冒漏滴的现象</w:t>
            </w:r>
          </w:p>
          <w:p w14:paraId="4ADC9677">
            <w:pPr>
              <w:spacing w:line="223" w:lineRule="auto"/>
              <w:ind w:left="2434"/>
              <w:rPr>
                <w:rFonts w:ascii="宋体" w:hAnsi="宋体" w:eastAsia="宋体" w:cs="宋体"/>
                <w:sz w:val="20"/>
                <w:szCs w:val="20"/>
              </w:rPr>
            </w:pPr>
            <w:r>
              <w:rPr>
                <w:rFonts w:ascii="宋体" w:hAnsi="宋体" w:eastAsia="宋体" w:cs="宋体"/>
                <w:spacing w:val="2"/>
                <w:sz w:val="20"/>
                <w:szCs w:val="20"/>
              </w:rPr>
              <w:t>发生。</w:t>
            </w:r>
          </w:p>
        </w:tc>
      </w:tr>
      <w:tr w14:paraId="62907C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01" w:type="dxa"/>
            <w:tcBorders>
              <w:left w:val="nil"/>
            </w:tcBorders>
          </w:tcPr>
          <w:p w14:paraId="121B7AD0">
            <w:pPr>
              <w:spacing w:line="284" w:lineRule="auto"/>
            </w:pPr>
          </w:p>
          <w:p w14:paraId="434340EC">
            <w:pPr>
              <w:spacing w:before="57" w:line="195" w:lineRule="auto"/>
              <w:ind w:left="3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603" w:type="dxa"/>
          </w:tcPr>
          <w:p w14:paraId="061E82E4">
            <w:pPr>
              <w:spacing w:line="241" w:lineRule="auto"/>
            </w:pPr>
          </w:p>
          <w:p w14:paraId="5B90208B">
            <w:pPr>
              <w:spacing w:before="65" w:line="228" w:lineRule="auto"/>
              <w:ind w:left="282"/>
              <w:rPr>
                <w:rFonts w:ascii="宋体" w:hAnsi="宋体" w:eastAsia="宋体" w:cs="宋体"/>
                <w:sz w:val="20"/>
                <w:szCs w:val="20"/>
              </w:rPr>
            </w:pPr>
            <w:r>
              <w:rPr>
                <w:rFonts w:ascii="宋体" w:hAnsi="宋体" w:eastAsia="宋体" w:cs="宋体"/>
                <w:spacing w:val="8"/>
                <w:sz w:val="20"/>
                <w:szCs w:val="20"/>
              </w:rPr>
              <w:t>应急事故池</w:t>
            </w:r>
          </w:p>
        </w:tc>
        <w:tc>
          <w:tcPr>
            <w:tcW w:w="1504" w:type="dxa"/>
          </w:tcPr>
          <w:p w14:paraId="433D6BC8">
            <w:pPr>
              <w:spacing w:line="241" w:lineRule="auto"/>
            </w:pPr>
          </w:p>
          <w:p w14:paraId="265CB817">
            <w:pPr>
              <w:spacing w:before="65" w:line="228" w:lineRule="auto"/>
              <w:ind w:left="235"/>
              <w:rPr>
                <w:rFonts w:ascii="宋体" w:hAnsi="宋体" w:eastAsia="宋体" w:cs="宋体"/>
                <w:sz w:val="20"/>
                <w:szCs w:val="20"/>
              </w:rPr>
            </w:pPr>
            <w:r>
              <w:rPr>
                <w:rFonts w:ascii="宋体" w:hAnsi="宋体" w:eastAsia="宋体" w:cs="宋体"/>
                <w:spacing w:val="9"/>
                <w:sz w:val="20"/>
                <w:szCs w:val="20"/>
              </w:rPr>
              <w:t>一</w:t>
            </w:r>
            <w:r>
              <w:rPr>
                <w:rFonts w:ascii="宋体" w:hAnsi="宋体" w:eastAsia="宋体" w:cs="宋体"/>
                <w:spacing w:val="7"/>
                <w:sz w:val="20"/>
                <w:szCs w:val="20"/>
              </w:rPr>
              <w:t>般防渗区</w:t>
            </w:r>
          </w:p>
        </w:tc>
        <w:tc>
          <w:tcPr>
            <w:tcW w:w="5479" w:type="dxa"/>
            <w:tcBorders>
              <w:right w:val="nil"/>
            </w:tcBorders>
          </w:tcPr>
          <w:p w14:paraId="4E0F1B6D">
            <w:pPr>
              <w:spacing w:line="274" w:lineRule="exact"/>
              <w:ind w:left="376"/>
              <w:rPr>
                <w:rFonts w:ascii="宋体" w:hAnsi="宋体" w:eastAsia="宋体" w:cs="宋体"/>
                <w:sz w:val="20"/>
                <w:szCs w:val="20"/>
              </w:rPr>
            </w:pPr>
            <w:r>
              <w:rPr>
                <w:rFonts w:ascii="宋体" w:hAnsi="宋体" w:eastAsia="宋体" w:cs="宋体"/>
                <w:spacing w:val="16"/>
                <w:position w:val="1"/>
                <w:sz w:val="20"/>
                <w:szCs w:val="20"/>
              </w:rPr>
              <w:t>池</w:t>
            </w:r>
            <w:r>
              <w:rPr>
                <w:rFonts w:ascii="宋体" w:hAnsi="宋体" w:eastAsia="宋体" w:cs="宋体"/>
                <w:spacing w:val="9"/>
                <w:position w:val="1"/>
                <w:sz w:val="20"/>
                <w:szCs w:val="20"/>
              </w:rPr>
              <w:t>体采用钢筋混凝土加防渗剂的防渗地坪</w:t>
            </w:r>
            <w:r>
              <w:rPr>
                <w:rFonts w:ascii="Times New Roman" w:hAnsi="Times New Roman" w:eastAsia="Times New Roman" w:cs="Times New Roman"/>
                <w:spacing w:val="9"/>
                <w:position w:val="1"/>
                <w:sz w:val="20"/>
                <w:szCs w:val="20"/>
              </w:rPr>
              <w:t>+</w:t>
            </w:r>
            <w:r>
              <w:rPr>
                <w:rFonts w:ascii="宋体" w:hAnsi="宋体" w:eastAsia="宋体" w:cs="宋体"/>
                <w:spacing w:val="9"/>
                <w:position w:val="1"/>
                <w:sz w:val="20"/>
                <w:szCs w:val="20"/>
              </w:rPr>
              <w:t>人工材料</w:t>
            </w:r>
          </w:p>
          <w:p w14:paraId="349C12F8">
            <w:pPr>
              <w:spacing w:line="252" w:lineRule="auto"/>
              <w:ind w:left="2032" w:right="392" w:hanging="1672"/>
              <w:rPr>
                <w:rFonts w:ascii="宋体" w:hAnsi="宋体" w:eastAsia="宋体" w:cs="宋体"/>
                <w:sz w:val="20"/>
                <w:szCs w:val="20"/>
              </w:rPr>
            </w:pPr>
            <w:r>
              <w:rPr>
                <w:rFonts w:ascii="宋体" w:hAnsi="宋体" w:eastAsia="宋体" w:cs="宋体"/>
                <w:spacing w:val="18"/>
                <w:sz w:val="20"/>
                <w:szCs w:val="20"/>
              </w:rPr>
              <w:t>(</w:t>
            </w:r>
            <w:r>
              <w:rPr>
                <w:rFonts w:ascii="Times New Roman" w:hAnsi="Times New Roman" w:eastAsia="Times New Roman" w:cs="Times New Roman"/>
                <w:sz w:val="20"/>
                <w:szCs w:val="20"/>
              </w:rPr>
              <w:t>HDPE</w:t>
            </w:r>
            <w:r>
              <w:rPr>
                <w:rFonts w:ascii="宋体" w:hAnsi="宋体" w:eastAsia="宋体" w:cs="宋体"/>
                <w:spacing w:val="10"/>
                <w:sz w:val="20"/>
                <w:szCs w:val="20"/>
              </w:rPr>
              <w:t>)</w:t>
            </w:r>
            <w:r>
              <w:rPr>
                <w:rFonts w:ascii="宋体" w:hAnsi="宋体" w:eastAsia="宋体" w:cs="宋体"/>
                <w:spacing w:val="9"/>
                <w:sz w:val="20"/>
                <w:szCs w:val="20"/>
              </w:rPr>
              <w:t xml:space="preserve"> 防渗层，确保等效黏土防渗层 </w:t>
            </w:r>
            <w:r>
              <w:rPr>
                <w:rFonts w:ascii="Times New Roman" w:hAnsi="Times New Roman" w:eastAsia="Times New Roman" w:cs="Times New Roman"/>
                <w:sz w:val="20"/>
                <w:szCs w:val="20"/>
              </w:rPr>
              <w:t>Mb</w:t>
            </w:r>
            <w:r>
              <w:rPr>
                <w:rFonts w:ascii="Times New Roman" w:hAnsi="Times New Roman" w:eastAsia="Times New Roman" w:cs="Times New Roman"/>
                <w:spacing w:val="9"/>
                <w:sz w:val="20"/>
                <w:szCs w:val="20"/>
              </w:rPr>
              <w:t>≥1.5</w:t>
            </w:r>
            <w:r>
              <w:rPr>
                <w:rFonts w:ascii="Times New Roman" w:hAnsi="Times New Roman" w:eastAsia="Times New Roman" w:cs="Times New Roman"/>
                <w:sz w:val="20"/>
                <w:szCs w:val="20"/>
              </w:rPr>
              <w:t>m</w:t>
            </w:r>
            <w:r>
              <w:rPr>
                <w:rFonts w:ascii="宋体" w:hAnsi="宋体" w:eastAsia="宋体" w:cs="宋体"/>
                <w:spacing w:val="9"/>
                <w:sz w:val="20"/>
                <w:szCs w:val="20"/>
              </w:rPr>
              <w:t>，</w:t>
            </w:r>
            <w:r>
              <w:rPr>
                <w:rFonts w:ascii="宋体" w:hAnsi="宋体" w:eastAsia="宋体" w:cs="宋体"/>
                <w:sz w:val="20"/>
                <w:szCs w:val="20"/>
              </w:rPr>
              <w:t xml:space="preserve"> </w:t>
            </w:r>
            <w:r>
              <w:rPr>
                <w:rFonts w:ascii="Times New Roman" w:hAnsi="Times New Roman" w:eastAsia="Times New Roman" w:cs="Times New Roman"/>
                <w:sz w:val="20"/>
                <w:szCs w:val="20"/>
              </w:rPr>
              <w:t>K≤ 1×10</w:t>
            </w:r>
            <w:r>
              <w:rPr>
                <w:rFonts w:ascii="Times New Roman" w:hAnsi="Times New Roman" w:eastAsia="Times New Roman" w:cs="Times New Roman"/>
                <w:position w:val="6"/>
                <w:sz w:val="13"/>
                <w:szCs w:val="13"/>
              </w:rPr>
              <w:t>-7</w:t>
            </w:r>
            <w:r>
              <w:rPr>
                <w:rFonts w:ascii="Times New Roman" w:hAnsi="Times New Roman" w:eastAsia="Times New Roman" w:cs="Times New Roman"/>
                <w:sz w:val="20"/>
                <w:szCs w:val="20"/>
              </w:rPr>
              <w:t>cm/s</w:t>
            </w:r>
            <w:r>
              <w:rPr>
                <w:rFonts w:ascii="宋体" w:hAnsi="宋体" w:eastAsia="宋体" w:cs="宋体"/>
                <w:sz w:val="20"/>
                <w:szCs w:val="20"/>
              </w:rPr>
              <w:t>。</w:t>
            </w:r>
          </w:p>
        </w:tc>
      </w:tr>
      <w:tr w14:paraId="3A2F8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01" w:type="dxa"/>
            <w:tcBorders>
              <w:left w:val="nil"/>
            </w:tcBorders>
          </w:tcPr>
          <w:p w14:paraId="5C1558DA">
            <w:pPr>
              <w:spacing w:before="74" w:line="192" w:lineRule="auto"/>
              <w:ind w:left="308"/>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603" w:type="dxa"/>
          </w:tcPr>
          <w:p w14:paraId="39FE8B59">
            <w:pPr>
              <w:spacing w:before="36" w:line="222" w:lineRule="auto"/>
              <w:ind w:left="491"/>
              <w:rPr>
                <w:rFonts w:ascii="宋体" w:hAnsi="宋体" w:eastAsia="宋体" w:cs="宋体"/>
                <w:sz w:val="20"/>
                <w:szCs w:val="20"/>
              </w:rPr>
            </w:pPr>
            <w:r>
              <w:rPr>
                <w:rFonts w:ascii="宋体" w:hAnsi="宋体" w:eastAsia="宋体" w:cs="宋体"/>
                <w:spacing w:val="7"/>
                <w:sz w:val="20"/>
                <w:szCs w:val="20"/>
              </w:rPr>
              <w:t>化</w:t>
            </w:r>
            <w:r>
              <w:rPr>
                <w:rFonts w:ascii="宋体" w:hAnsi="宋体" w:eastAsia="宋体" w:cs="宋体"/>
                <w:spacing w:val="6"/>
                <w:sz w:val="20"/>
                <w:szCs w:val="20"/>
              </w:rPr>
              <w:t>粪池</w:t>
            </w:r>
          </w:p>
        </w:tc>
        <w:tc>
          <w:tcPr>
            <w:tcW w:w="1504" w:type="dxa"/>
          </w:tcPr>
          <w:p w14:paraId="75349B3D">
            <w:pPr>
              <w:spacing w:before="36" w:line="222" w:lineRule="auto"/>
              <w:ind w:left="235"/>
              <w:rPr>
                <w:rFonts w:ascii="宋体" w:hAnsi="宋体" w:eastAsia="宋体" w:cs="宋体"/>
                <w:sz w:val="20"/>
                <w:szCs w:val="20"/>
              </w:rPr>
            </w:pPr>
            <w:r>
              <w:rPr>
                <w:rFonts w:ascii="宋体" w:hAnsi="宋体" w:eastAsia="宋体" w:cs="宋体"/>
                <w:spacing w:val="9"/>
                <w:sz w:val="20"/>
                <w:szCs w:val="20"/>
              </w:rPr>
              <w:t>一</w:t>
            </w:r>
            <w:r>
              <w:rPr>
                <w:rFonts w:ascii="宋体" w:hAnsi="宋体" w:eastAsia="宋体" w:cs="宋体"/>
                <w:spacing w:val="7"/>
                <w:sz w:val="20"/>
                <w:szCs w:val="20"/>
              </w:rPr>
              <w:t>般防渗区</w:t>
            </w:r>
          </w:p>
        </w:tc>
        <w:tc>
          <w:tcPr>
            <w:tcW w:w="5479" w:type="dxa"/>
            <w:vMerge w:val="restart"/>
            <w:tcBorders>
              <w:bottom w:val="nil"/>
              <w:right w:val="nil"/>
            </w:tcBorders>
          </w:tcPr>
          <w:p w14:paraId="7E345F0E">
            <w:pPr>
              <w:spacing w:before="178" w:line="265" w:lineRule="auto"/>
              <w:ind w:left="650" w:right="156" w:hanging="485"/>
              <w:rPr>
                <w:rFonts w:ascii="宋体" w:hAnsi="宋体" w:eastAsia="宋体" w:cs="宋体"/>
                <w:sz w:val="20"/>
                <w:szCs w:val="20"/>
              </w:rPr>
            </w:pPr>
            <w:r>
              <w:rPr>
                <w:rFonts w:ascii="宋体" w:hAnsi="宋体" w:eastAsia="宋体" w:cs="宋体"/>
                <w:spacing w:val="18"/>
                <w:sz w:val="20"/>
                <w:szCs w:val="20"/>
              </w:rPr>
              <w:t>混</w:t>
            </w:r>
            <w:r>
              <w:rPr>
                <w:rFonts w:ascii="宋体" w:hAnsi="宋体" w:eastAsia="宋体" w:cs="宋体"/>
                <w:spacing w:val="16"/>
                <w:sz w:val="20"/>
                <w:szCs w:val="20"/>
              </w:rPr>
              <w:t>凝</w:t>
            </w:r>
            <w:r>
              <w:rPr>
                <w:rFonts w:ascii="宋体" w:hAnsi="宋体" w:eastAsia="宋体" w:cs="宋体"/>
                <w:spacing w:val="9"/>
                <w:sz w:val="20"/>
                <w:szCs w:val="20"/>
              </w:rPr>
              <w:t>土地面加铺防渗剂和人工材料 (</w:t>
            </w:r>
            <w:r>
              <w:rPr>
                <w:rFonts w:ascii="Times New Roman" w:hAnsi="Times New Roman" w:eastAsia="Times New Roman" w:cs="Times New Roman"/>
                <w:sz w:val="20"/>
                <w:szCs w:val="20"/>
              </w:rPr>
              <w:t>HDPE</w:t>
            </w:r>
            <w:r>
              <w:rPr>
                <w:rFonts w:ascii="宋体" w:hAnsi="宋体" w:eastAsia="宋体" w:cs="宋体"/>
                <w:spacing w:val="9"/>
                <w:sz w:val="20"/>
                <w:szCs w:val="20"/>
              </w:rPr>
              <w:t>) 防渗层，确</w:t>
            </w:r>
            <w:r>
              <w:rPr>
                <w:rFonts w:ascii="宋体" w:hAnsi="宋体" w:eastAsia="宋体" w:cs="宋体"/>
                <w:sz w:val="20"/>
                <w:szCs w:val="20"/>
              </w:rPr>
              <w:t xml:space="preserve"> </w:t>
            </w:r>
            <w:r>
              <w:rPr>
                <w:rFonts w:ascii="宋体" w:hAnsi="宋体" w:eastAsia="宋体" w:cs="宋体"/>
                <w:spacing w:val="2"/>
                <w:sz w:val="20"/>
                <w:szCs w:val="20"/>
              </w:rPr>
              <w:t>保等效</w:t>
            </w:r>
            <w:r>
              <w:rPr>
                <w:rFonts w:ascii="宋体" w:hAnsi="宋体" w:eastAsia="宋体" w:cs="宋体"/>
                <w:spacing w:val="1"/>
                <w:sz w:val="20"/>
                <w:szCs w:val="20"/>
              </w:rPr>
              <w:t xml:space="preserve">黏土防渗层 </w:t>
            </w:r>
            <w:r>
              <w:rPr>
                <w:rFonts w:ascii="Times New Roman" w:hAnsi="Times New Roman" w:eastAsia="Times New Roman" w:cs="Times New Roman"/>
                <w:sz w:val="20"/>
                <w:szCs w:val="20"/>
              </w:rPr>
              <w:t>Mb</w:t>
            </w:r>
            <w:r>
              <w:rPr>
                <w:rFonts w:ascii="Times New Roman" w:hAnsi="Times New Roman" w:eastAsia="Times New Roman" w:cs="Times New Roman"/>
                <w:spacing w:val="1"/>
                <w:sz w:val="20"/>
                <w:szCs w:val="20"/>
              </w:rPr>
              <w:t>≥1.5</w:t>
            </w:r>
            <w:r>
              <w:rPr>
                <w:rFonts w:ascii="Times New Roman" w:hAnsi="Times New Roman" w:eastAsia="Times New Roman" w:cs="Times New Roman"/>
                <w:sz w:val="20"/>
                <w:szCs w:val="20"/>
              </w:rPr>
              <w:t>m</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rPr>
              <w:t>，</w:t>
            </w:r>
            <w:r>
              <w:rPr>
                <w:rFonts w:ascii="Times New Roman" w:hAnsi="Times New Roman" w:eastAsia="Times New Roman" w:cs="Times New Roman"/>
                <w:sz w:val="20"/>
                <w:szCs w:val="20"/>
              </w:rPr>
              <w:t>K</w:t>
            </w:r>
            <w:r>
              <w:rPr>
                <w:rFonts w:ascii="Times New Roman" w:hAnsi="Times New Roman" w:eastAsia="Times New Roman" w:cs="Times New Roman"/>
                <w:spacing w:val="1"/>
                <w:sz w:val="20"/>
                <w:szCs w:val="20"/>
              </w:rPr>
              <w:t>≤ 1×10</w:t>
            </w:r>
            <w:r>
              <w:rPr>
                <w:rFonts w:ascii="Times New Roman" w:hAnsi="Times New Roman" w:eastAsia="Times New Roman" w:cs="Times New Roman"/>
                <w:spacing w:val="1"/>
                <w:position w:val="6"/>
                <w:sz w:val="13"/>
                <w:szCs w:val="13"/>
              </w:rPr>
              <w:t>-7</w:t>
            </w:r>
            <w:r>
              <w:rPr>
                <w:rFonts w:ascii="Times New Roman" w:hAnsi="Times New Roman" w:eastAsia="Times New Roman" w:cs="Times New Roman"/>
                <w:sz w:val="20"/>
                <w:szCs w:val="20"/>
              </w:rPr>
              <w:t>cm</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s</w:t>
            </w:r>
            <w:r>
              <w:rPr>
                <w:rFonts w:ascii="宋体" w:hAnsi="宋体" w:eastAsia="宋体" w:cs="宋体"/>
                <w:spacing w:val="1"/>
                <w:sz w:val="20"/>
                <w:szCs w:val="20"/>
              </w:rPr>
              <w:t>。</w:t>
            </w:r>
          </w:p>
        </w:tc>
      </w:tr>
      <w:tr w14:paraId="63A849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01" w:type="dxa"/>
            <w:tcBorders>
              <w:left w:val="nil"/>
            </w:tcBorders>
          </w:tcPr>
          <w:p w14:paraId="4D07B199">
            <w:pPr>
              <w:spacing w:before="207" w:line="195" w:lineRule="auto"/>
              <w:ind w:left="307"/>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603" w:type="dxa"/>
          </w:tcPr>
          <w:p w14:paraId="3B351D57">
            <w:pPr>
              <w:spacing w:before="36" w:line="237" w:lineRule="auto"/>
              <w:ind w:left="717" w:right="171" w:hanging="538"/>
              <w:rPr>
                <w:rFonts w:ascii="宋体" w:hAnsi="宋体" w:eastAsia="宋体" w:cs="宋体"/>
                <w:sz w:val="20"/>
                <w:szCs w:val="20"/>
              </w:rPr>
            </w:pPr>
            <w:r>
              <w:rPr>
                <w:rFonts w:ascii="宋体" w:hAnsi="宋体" w:eastAsia="宋体" w:cs="宋体"/>
                <w:spacing w:val="11"/>
                <w:sz w:val="20"/>
                <w:szCs w:val="20"/>
              </w:rPr>
              <w:t>一</w:t>
            </w:r>
            <w:r>
              <w:rPr>
                <w:rFonts w:ascii="宋体" w:hAnsi="宋体" w:eastAsia="宋体" w:cs="宋体"/>
                <w:spacing w:val="7"/>
                <w:sz w:val="20"/>
                <w:szCs w:val="20"/>
              </w:rPr>
              <w:t>般固废暂存</w:t>
            </w:r>
            <w:r>
              <w:rPr>
                <w:rFonts w:ascii="宋体" w:hAnsi="宋体" w:eastAsia="宋体" w:cs="宋体"/>
                <w:sz w:val="20"/>
                <w:szCs w:val="20"/>
              </w:rPr>
              <w:t xml:space="preserve"> 间</w:t>
            </w:r>
          </w:p>
        </w:tc>
        <w:tc>
          <w:tcPr>
            <w:tcW w:w="1504" w:type="dxa"/>
          </w:tcPr>
          <w:p w14:paraId="7FB35583">
            <w:pPr>
              <w:spacing w:before="172" w:line="228" w:lineRule="auto"/>
              <w:ind w:left="235"/>
              <w:rPr>
                <w:rFonts w:ascii="宋体" w:hAnsi="宋体" w:eastAsia="宋体" w:cs="宋体"/>
                <w:sz w:val="20"/>
                <w:szCs w:val="20"/>
              </w:rPr>
            </w:pPr>
            <w:r>
              <w:rPr>
                <w:rFonts w:ascii="宋体" w:hAnsi="宋体" w:eastAsia="宋体" w:cs="宋体"/>
                <w:spacing w:val="9"/>
                <w:sz w:val="20"/>
                <w:szCs w:val="20"/>
              </w:rPr>
              <w:t>一</w:t>
            </w:r>
            <w:r>
              <w:rPr>
                <w:rFonts w:ascii="宋体" w:hAnsi="宋体" w:eastAsia="宋体" w:cs="宋体"/>
                <w:spacing w:val="7"/>
                <w:sz w:val="20"/>
                <w:szCs w:val="20"/>
              </w:rPr>
              <w:t>般防渗区</w:t>
            </w:r>
          </w:p>
        </w:tc>
        <w:tc>
          <w:tcPr>
            <w:tcW w:w="5479" w:type="dxa"/>
            <w:vMerge w:val="continue"/>
            <w:tcBorders>
              <w:top w:val="nil"/>
              <w:right w:val="nil"/>
            </w:tcBorders>
          </w:tcPr>
          <w:p w14:paraId="1DE48AA9"/>
        </w:tc>
      </w:tr>
      <w:tr w14:paraId="74628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01" w:type="dxa"/>
            <w:tcBorders>
              <w:left w:val="nil"/>
            </w:tcBorders>
          </w:tcPr>
          <w:p w14:paraId="4A258BC8">
            <w:pPr>
              <w:spacing w:before="212" w:line="192" w:lineRule="auto"/>
              <w:ind w:left="306"/>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603" w:type="dxa"/>
          </w:tcPr>
          <w:p w14:paraId="1D7046DC">
            <w:pPr>
              <w:spacing w:before="36" w:line="237" w:lineRule="auto"/>
              <w:ind w:left="718" w:right="171" w:hanging="532"/>
              <w:rPr>
                <w:rFonts w:ascii="宋体" w:hAnsi="宋体" w:eastAsia="宋体" w:cs="宋体"/>
                <w:sz w:val="20"/>
                <w:szCs w:val="20"/>
              </w:rPr>
            </w:pPr>
            <w:r>
              <w:rPr>
                <w:rFonts w:ascii="宋体" w:hAnsi="宋体" w:eastAsia="宋体" w:cs="宋体"/>
                <w:spacing w:val="9"/>
                <w:sz w:val="20"/>
                <w:szCs w:val="20"/>
              </w:rPr>
              <w:t>医</w:t>
            </w:r>
            <w:r>
              <w:rPr>
                <w:rFonts w:ascii="宋体" w:hAnsi="宋体" w:eastAsia="宋体" w:cs="宋体"/>
                <w:spacing w:val="6"/>
                <w:sz w:val="20"/>
                <w:szCs w:val="20"/>
              </w:rPr>
              <w:t>疗废物贮存</w:t>
            </w:r>
            <w:r>
              <w:rPr>
                <w:rFonts w:ascii="宋体" w:hAnsi="宋体" w:eastAsia="宋体" w:cs="宋体"/>
                <w:sz w:val="20"/>
                <w:szCs w:val="20"/>
              </w:rPr>
              <w:t xml:space="preserve"> 间</w:t>
            </w:r>
          </w:p>
        </w:tc>
        <w:tc>
          <w:tcPr>
            <w:tcW w:w="1504" w:type="dxa"/>
          </w:tcPr>
          <w:p w14:paraId="775B192B">
            <w:pPr>
              <w:spacing w:before="171" w:line="228" w:lineRule="auto"/>
              <w:ind w:left="232"/>
              <w:rPr>
                <w:rFonts w:ascii="宋体" w:hAnsi="宋体" w:eastAsia="宋体" w:cs="宋体"/>
                <w:sz w:val="20"/>
                <w:szCs w:val="20"/>
              </w:rPr>
            </w:pPr>
            <w:r>
              <w:rPr>
                <w:rFonts w:ascii="宋体" w:hAnsi="宋体" w:eastAsia="宋体" w:cs="宋体"/>
                <w:spacing w:val="8"/>
                <w:sz w:val="20"/>
                <w:szCs w:val="20"/>
              </w:rPr>
              <w:t>重点防渗</w:t>
            </w:r>
            <w:r>
              <w:rPr>
                <w:rFonts w:ascii="宋体" w:hAnsi="宋体" w:eastAsia="宋体" w:cs="宋体"/>
                <w:spacing w:val="7"/>
                <w:sz w:val="20"/>
                <w:szCs w:val="20"/>
              </w:rPr>
              <w:t>区</w:t>
            </w:r>
          </w:p>
        </w:tc>
        <w:tc>
          <w:tcPr>
            <w:tcW w:w="5479" w:type="dxa"/>
            <w:tcBorders>
              <w:right w:val="nil"/>
            </w:tcBorders>
          </w:tcPr>
          <w:p w14:paraId="7CE1901C">
            <w:pPr>
              <w:spacing w:before="36" w:line="237" w:lineRule="auto"/>
              <w:ind w:left="650" w:right="156" w:hanging="485"/>
              <w:rPr>
                <w:rFonts w:ascii="宋体" w:hAnsi="宋体" w:eastAsia="宋体" w:cs="宋体"/>
                <w:sz w:val="20"/>
                <w:szCs w:val="20"/>
              </w:rPr>
            </w:pPr>
            <w:r>
              <w:rPr>
                <w:rFonts w:ascii="宋体" w:hAnsi="宋体" w:eastAsia="宋体" w:cs="宋体"/>
                <w:spacing w:val="18"/>
                <w:sz w:val="20"/>
                <w:szCs w:val="20"/>
              </w:rPr>
              <w:t>混</w:t>
            </w:r>
            <w:r>
              <w:rPr>
                <w:rFonts w:ascii="宋体" w:hAnsi="宋体" w:eastAsia="宋体" w:cs="宋体"/>
                <w:spacing w:val="16"/>
                <w:sz w:val="20"/>
                <w:szCs w:val="20"/>
              </w:rPr>
              <w:t>凝</w:t>
            </w:r>
            <w:r>
              <w:rPr>
                <w:rFonts w:ascii="宋体" w:hAnsi="宋体" w:eastAsia="宋体" w:cs="宋体"/>
                <w:spacing w:val="9"/>
                <w:sz w:val="20"/>
                <w:szCs w:val="20"/>
              </w:rPr>
              <w:t>土地面加铺防渗剂和人工材料 (</w:t>
            </w:r>
            <w:r>
              <w:rPr>
                <w:rFonts w:ascii="Times New Roman" w:hAnsi="Times New Roman" w:eastAsia="Times New Roman" w:cs="Times New Roman"/>
                <w:sz w:val="20"/>
                <w:szCs w:val="20"/>
              </w:rPr>
              <w:t>HDPE</w:t>
            </w:r>
            <w:r>
              <w:rPr>
                <w:rFonts w:ascii="宋体" w:hAnsi="宋体" w:eastAsia="宋体" w:cs="宋体"/>
                <w:spacing w:val="9"/>
                <w:sz w:val="20"/>
                <w:szCs w:val="20"/>
              </w:rPr>
              <w:t>) 防渗层，确</w:t>
            </w:r>
            <w:r>
              <w:rPr>
                <w:rFonts w:ascii="宋体" w:hAnsi="宋体" w:eastAsia="宋体" w:cs="宋体"/>
                <w:sz w:val="20"/>
                <w:szCs w:val="20"/>
              </w:rPr>
              <w:t xml:space="preserve"> </w:t>
            </w:r>
            <w:r>
              <w:rPr>
                <w:rFonts w:ascii="宋体" w:hAnsi="宋体" w:eastAsia="宋体" w:cs="宋体"/>
                <w:spacing w:val="2"/>
                <w:sz w:val="20"/>
                <w:szCs w:val="20"/>
              </w:rPr>
              <w:t>保等效</w:t>
            </w:r>
            <w:r>
              <w:rPr>
                <w:rFonts w:ascii="宋体" w:hAnsi="宋体" w:eastAsia="宋体" w:cs="宋体"/>
                <w:spacing w:val="1"/>
                <w:sz w:val="20"/>
                <w:szCs w:val="20"/>
              </w:rPr>
              <w:t xml:space="preserve">黏土防渗层 </w:t>
            </w:r>
            <w:r>
              <w:rPr>
                <w:rFonts w:ascii="Times New Roman" w:hAnsi="Times New Roman" w:eastAsia="Times New Roman" w:cs="Times New Roman"/>
                <w:sz w:val="20"/>
                <w:szCs w:val="20"/>
              </w:rPr>
              <w:t>Mb</w:t>
            </w:r>
            <w:r>
              <w:rPr>
                <w:rFonts w:ascii="Times New Roman" w:hAnsi="Times New Roman" w:eastAsia="Times New Roman" w:cs="Times New Roman"/>
                <w:spacing w:val="1"/>
                <w:sz w:val="20"/>
                <w:szCs w:val="20"/>
              </w:rPr>
              <w:t>≥6.0</w:t>
            </w:r>
            <w:r>
              <w:rPr>
                <w:rFonts w:ascii="Times New Roman" w:hAnsi="Times New Roman" w:eastAsia="Times New Roman" w:cs="Times New Roman"/>
                <w:sz w:val="20"/>
                <w:szCs w:val="20"/>
              </w:rPr>
              <w:t>m</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rPr>
              <w:t>，</w:t>
            </w:r>
            <w:r>
              <w:rPr>
                <w:rFonts w:ascii="Times New Roman" w:hAnsi="Times New Roman" w:eastAsia="Times New Roman" w:cs="Times New Roman"/>
                <w:sz w:val="20"/>
                <w:szCs w:val="20"/>
              </w:rPr>
              <w:t>K</w:t>
            </w:r>
            <w:r>
              <w:rPr>
                <w:rFonts w:ascii="Times New Roman" w:hAnsi="Times New Roman" w:eastAsia="Times New Roman" w:cs="Times New Roman"/>
                <w:spacing w:val="1"/>
                <w:sz w:val="20"/>
                <w:szCs w:val="20"/>
              </w:rPr>
              <w:t>≤ 1×10</w:t>
            </w:r>
            <w:r>
              <w:rPr>
                <w:rFonts w:ascii="Times New Roman" w:hAnsi="Times New Roman" w:eastAsia="Times New Roman" w:cs="Times New Roman"/>
                <w:spacing w:val="1"/>
                <w:position w:val="6"/>
                <w:sz w:val="13"/>
                <w:szCs w:val="13"/>
              </w:rPr>
              <w:t>-7</w:t>
            </w:r>
            <w:r>
              <w:rPr>
                <w:rFonts w:ascii="Times New Roman" w:hAnsi="Times New Roman" w:eastAsia="Times New Roman" w:cs="Times New Roman"/>
                <w:sz w:val="20"/>
                <w:szCs w:val="20"/>
              </w:rPr>
              <w:t>cm</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s</w:t>
            </w:r>
            <w:r>
              <w:rPr>
                <w:rFonts w:ascii="宋体" w:hAnsi="宋体" w:eastAsia="宋体" w:cs="宋体"/>
                <w:spacing w:val="1"/>
                <w:sz w:val="20"/>
                <w:szCs w:val="20"/>
              </w:rPr>
              <w:t>。</w:t>
            </w:r>
          </w:p>
        </w:tc>
      </w:tr>
      <w:tr w14:paraId="3B6437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01" w:type="dxa"/>
            <w:tcBorders>
              <w:left w:val="nil"/>
            </w:tcBorders>
          </w:tcPr>
          <w:p w14:paraId="03FC59EF">
            <w:pPr>
              <w:spacing w:before="206" w:line="195" w:lineRule="auto"/>
              <w:ind w:left="311"/>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1603" w:type="dxa"/>
          </w:tcPr>
          <w:p w14:paraId="0312D8B4">
            <w:pPr>
              <w:spacing w:before="35" w:line="248" w:lineRule="auto"/>
              <w:ind w:left="280" w:right="106" w:hanging="162"/>
              <w:rPr>
                <w:rFonts w:ascii="宋体" w:hAnsi="宋体" w:eastAsia="宋体" w:cs="宋体"/>
                <w:sz w:val="20"/>
                <w:szCs w:val="20"/>
              </w:rPr>
            </w:pPr>
            <w:r>
              <w:rPr>
                <w:rFonts w:ascii="宋体" w:hAnsi="宋体" w:eastAsia="宋体" w:cs="宋体"/>
                <w:spacing w:val="-4"/>
                <w:sz w:val="20"/>
                <w:szCs w:val="20"/>
              </w:rPr>
              <w:t>办公区、生活区</w:t>
            </w:r>
            <w:r>
              <w:rPr>
                <w:rFonts w:ascii="宋体" w:hAnsi="宋体" w:eastAsia="宋体" w:cs="宋体"/>
                <w:sz w:val="20"/>
                <w:szCs w:val="20"/>
              </w:rPr>
              <w:t xml:space="preserve"> </w:t>
            </w:r>
            <w:r>
              <w:rPr>
                <w:rFonts w:ascii="宋体" w:hAnsi="宋体" w:eastAsia="宋体" w:cs="宋体"/>
                <w:spacing w:val="9"/>
                <w:sz w:val="20"/>
                <w:szCs w:val="20"/>
              </w:rPr>
              <w:t>及</w:t>
            </w:r>
            <w:r>
              <w:rPr>
                <w:rFonts w:ascii="宋体" w:hAnsi="宋体" w:eastAsia="宋体" w:cs="宋体"/>
                <w:spacing w:val="8"/>
                <w:sz w:val="20"/>
                <w:szCs w:val="20"/>
              </w:rPr>
              <w:t>厂区道路</w:t>
            </w:r>
          </w:p>
        </w:tc>
        <w:tc>
          <w:tcPr>
            <w:tcW w:w="1504" w:type="dxa"/>
          </w:tcPr>
          <w:p w14:paraId="051031AF">
            <w:pPr>
              <w:spacing w:before="170" w:line="227" w:lineRule="auto"/>
              <w:ind w:left="236"/>
              <w:rPr>
                <w:rFonts w:ascii="宋体" w:hAnsi="宋体" w:eastAsia="宋体" w:cs="宋体"/>
                <w:sz w:val="20"/>
                <w:szCs w:val="20"/>
              </w:rPr>
            </w:pPr>
            <w:r>
              <w:rPr>
                <w:rFonts w:ascii="宋体" w:hAnsi="宋体" w:eastAsia="宋体" w:cs="宋体"/>
                <w:spacing w:val="8"/>
                <w:sz w:val="20"/>
                <w:szCs w:val="20"/>
              </w:rPr>
              <w:t>简</w:t>
            </w:r>
            <w:r>
              <w:rPr>
                <w:rFonts w:ascii="宋体" w:hAnsi="宋体" w:eastAsia="宋体" w:cs="宋体"/>
                <w:spacing w:val="7"/>
                <w:sz w:val="20"/>
                <w:szCs w:val="20"/>
              </w:rPr>
              <w:t>单防渗区</w:t>
            </w:r>
          </w:p>
        </w:tc>
        <w:tc>
          <w:tcPr>
            <w:tcW w:w="5479" w:type="dxa"/>
            <w:tcBorders>
              <w:right w:val="nil"/>
            </w:tcBorders>
          </w:tcPr>
          <w:p w14:paraId="594EB435">
            <w:pPr>
              <w:spacing w:before="170" w:line="229" w:lineRule="auto"/>
              <w:ind w:left="2328"/>
              <w:rPr>
                <w:rFonts w:ascii="宋体" w:hAnsi="宋体" w:eastAsia="宋体" w:cs="宋体"/>
                <w:sz w:val="20"/>
                <w:szCs w:val="20"/>
              </w:rPr>
            </w:pPr>
            <w:r>
              <w:rPr>
                <w:rFonts w:ascii="宋体" w:hAnsi="宋体" w:eastAsia="宋体" w:cs="宋体"/>
                <w:spacing w:val="11"/>
                <w:sz w:val="20"/>
                <w:szCs w:val="20"/>
              </w:rPr>
              <w:t>一</w:t>
            </w:r>
            <w:r>
              <w:rPr>
                <w:rFonts w:ascii="宋体" w:hAnsi="宋体" w:eastAsia="宋体" w:cs="宋体"/>
                <w:spacing w:val="7"/>
                <w:sz w:val="20"/>
                <w:szCs w:val="20"/>
              </w:rPr>
              <w:t>般地面硬化</w:t>
            </w:r>
          </w:p>
        </w:tc>
      </w:tr>
    </w:tbl>
    <w:p w14:paraId="0EB112E6">
      <w:pPr>
        <w:spacing w:before="35" w:line="228" w:lineRule="auto"/>
        <w:ind w:left="609"/>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2</w:t>
      </w:r>
      <w:r>
        <w:rPr>
          <w:rFonts w:ascii="宋体" w:hAnsi="宋体" w:eastAsia="宋体" w:cs="宋体"/>
          <w:spacing w:val="20"/>
          <w:sz w:val="23"/>
          <w:szCs w:val="23"/>
        </w:rPr>
        <w:t>) 其他措</w:t>
      </w:r>
      <w:r>
        <w:rPr>
          <w:rFonts w:ascii="宋体" w:hAnsi="宋体" w:eastAsia="宋体" w:cs="宋体"/>
          <w:spacing w:val="19"/>
          <w:sz w:val="23"/>
          <w:szCs w:val="23"/>
        </w:rPr>
        <w:t>施</w:t>
      </w:r>
    </w:p>
    <w:p w14:paraId="3A2EB149">
      <w:pPr>
        <w:spacing w:before="184" w:line="225" w:lineRule="auto"/>
        <w:ind w:left="597"/>
        <w:rPr>
          <w:rFonts w:ascii="宋体" w:hAnsi="宋体" w:eastAsia="宋体" w:cs="宋体"/>
          <w:sz w:val="23"/>
          <w:szCs w:val="23"/>
        </w:rPr>
      </w:pPr>
      <w:r>
        <w:rPr>
          <w:rFonts w:ascii="宋体" w:hAnsi="宋体" w:eastAsia="宋体" w:cs="宋体"/>
          <w:spacing w:val="7"/>
          <w:sz w:val="23"/>
          <w:szCs w:val="23"/>
        </w:rPr>
        <w:t>①异位微生物发酵床、集污池、化粪池、应急池等各构筑物施工必须严格按照各种施</w:t>
      </w:r>
      <w:r>
        <w:rPr>
          <w:rFonts w:ascii="宋体" w:hAnsi="宋体" w:eastAsia="宋体" w:cs="宋体"/>
          <w:spacing w:val="6"/>
          <w:sz w:val="23"/>
          <w:szCs w:val="23"/>
        </w:rPr>
        <w:t>工</w:t>
      </w:r>
    </w:p>
    <w:p w14:paraId="2C540C0C">
      <w:pPr>
        <w:sectPr>
          <w:headerReference r:id="rId249" w:type="default"/>
          <w:footerReference r:id="rId250" w:type="default"/>
          <w:pgSz w:w="11906" w:h="16839"/>
          <w:pgMar w:top="400" w:right="1052" w:bottom="1157" w:left="1167" w:header="0" w:footer="994" w:gutter="0"/>
          <w:cols w:space="720" w:num="1"/>
        </w:sectPr>
      </w:pPr>
    </w:p>
    <w:p w14:paraId="2F5EE9A0">
      <w:pPr>
        <w:spacing w:before="197" w:line="230" w:lineRule="auto"/>
        <w:ind w:left="11"/>
        <w:rPr>
          <w:rFonts w:ascii="宋体" w:hAnsi="宋体" w:eastAsia="宋体" w:cs="宋体"/>
          <w:sz w:val="23"/>
          <w:szCs w:val="23"/>
        </w:rPr>
      </w:pPr>
      <w:r>
        <w:rPr>
          <w:rFonts w:ascii="宋体" w:hAnsi="宋体" w:eastAsia="宋体" w:cs="宋体"/>
          <w:spacing w:val="9"/>
          <w:sz w:val="23"/>
          <w:szCs w:val="23"/>
        </w:rPr>
        <w:t>规范施工，不得偷工减料，保证施工质量</w:t>
      </w:r>
      <w:r>
        <w:rPr>
          <w:rFonts w:ascii="宋体" w:hAnsi="宋体" w:eastAsia="宋体" w:cs="宋体"/>
          <w:spacing w:val="7"/>
          <w:sz w:val="23"/>
          <w:szCs w:val="23"/>
        </w:rPr>
        <w:t>。</w:t>
      </w:r>
    </w:p>
    <w:p w14:paraId="67355A9E">
      <w:pPr>
        <w:spacing w:before="179" w:line="225" w:lineRule="auto"/>
        <w:ind w:left="488"/>
        <w:rPr>
          <w:rFonts w:ascii="宋体" w:hAnsi="宋体" w:eastAsia="宋体" w:cs="宋体"/>
          <w:sz w:val="23"/>
          <w:szCs w:val="23"/>
        </w:rPr>
      </w:pPr>
      <w:r>
        <w:rPr>
          <w:rFonts w:ascii="宋体" w:hAnsi="宋体" w:eastAsia="宋体" w:cs="宋体"/>
          <w:spacing w:val="26"/>
          <w:sz w:val="23"/>
          <w:szCs w:val="23"/>
        </w:rPr>
        <w:t>②</w:t>
      </w:r>
      <w:r>
        <w:rPr>
          <w:rFonts w:ascii="宋体" w:hAnsi="宋体" w:eastAsia="宋体" w:cs="宋体"/>
          <w:spacing w:val="15"/>
          <w:sz w:val="23"/>
          <w:szCs w:val="23"/>
        </w:rPr>
        <w:t>污</w:t>
      </w:r>
      <w:r>
        <w:rPr>
          <w:rFonts w:ascii="宋体" w:hAnsi="宋体" w:eastAsia="宋体" w:cs="宋体"/>
          <w:spacing w:val="13"/>
          <w:sz w:val="23"/>
          <w:szCs w:val="23"/>
        </w:rPr>
        <w:t>水管道须采用优质的聚乙烯管道，具有优良的耐大多数生活和工业用化学品的特</w:t>
      </w:r>
    </w:p>
    <w:p w14:paraId="04E241C9">
      <w:pPr>
        <w:spacing w:before="186" w:line="375" w:lineRule="auto"/>
        <w:ind w:left="10" w:firstLine="2"/>
        <w:rPr>
          <w:rFonts w:ascii="宋体" w:hAnsi="宋体" w:eastAsia="宋体" w:cs="宋体"/>
          <w:sz w:val="23"/>
          <w:szCs w:val="23"/>
        </w:rPr>
      </w:pPr>
      <w:r>
        <w:rPr>
          <w:rFonts w:ascii="宋体" w:hAnsi="宋体" w:eastAsia="宋体" w:cs="宋体"/>
          <w:spacing w:val="16"/>
          <w:sz w:val="23"/>
          <w:szCs w:val="23"/>
        </w:rPr>
        <w:t>性</w:t>
      </w:r>
      <w:r>
        <w:rPr>
          <w:rFonts w:ascii="宋体" w:hAnsi="宋体" w:eastAsia="宋体" w:cs="宋体"/>
          <w:spacing w:val="9"/>
          <w:sz w:val="23"/>
          <w:szCs w:val="23"/>
        </w:rPr>
        <w:t>，</w:t>
      </w:r>
      <w:r>
        <w:rPr>
          <w:rFonts w:ascii="宋体" w:hAnsi="宋体" w:eastAsia="宋体" w:cs="宋体"/>
          <w:spacing w:val="8"/>
          <w:sz w:val="23"/>
          <w:szCs w:val="23"/>
        </w:rPr>
        <w:t>同时在管道下方设水泥硬化沟槽；定期对污水管道进行检查维修，如发现断裂、老化，</w:t>
      </w:r>
      <w:r>
        <w:rPr>
          <w:rFonts w:ascii="宋体" w:hAnsi="宋体" w:eastAsia="宋体" w:cs="宋体"/>
          <w:sz w:val="23"/>
          <w:szCs w:val="23"/>
        </w:rPr>
        <w:t xml:space="preserve"> </w:t>
      </w:r>
      <w:r>
        <w:rPr>
          <w:rFonts w:ascii="宋体" w:hAnsi="宋体" w:eastAsia="宋体" w:cs="宋体"/>
          <w:spacing w:val="8"/>
          <w:sz w:val="23"/>
          <w:szCs w:val="23"/>
        </w:rPr>
        <w:t>立即进行更换等措施；</w:t>
      </w:r>
    </w:p>
    <w:p w14:paraId="77025C16">
      <w:pPr>
        <w:spacing w:before="1" w:line="374" w:lineRule="auto"/>
        <w:ind w:left="32" w:right="47" w:firstLine="455"/>
        <w:rPr>
          <w:rFonts w:ascii="宋体" w:hAnsi="宋体" w:eastAsia="宋体" w:cs="宋体"/>
          <w:sz w:val="23"/>
          <w:szCs w:val="23"/>
        </w:rPr>
      </w:pPr>
      <w:r>
        <w:rPr>
          <w:rFonts w:ascii="宋体" w:hAnsi="宋体" w:eastAsia="宋体" w:cs="宋体"/>
          <w:spacing w:val="7"/>
          <w:sz w:val="23"/>
          <w:szCs w:val="23"/>
        </w:rPr>
        <w:t>③定期对厂区下游监控井进行监测，关注地下水质、水位的变化。如出现超标情况，需</w:t>
      </w:r>
      <w:r>
        <w:rPr>
          <w:rFonts w:ascii="宋体" w:hAnsi="宋体" w:eastAsia="宋体" w:cs="宋体"/>
          <w:sz w:val="23"/>
          <w:szCs w:val="23"/>
        </w:rPr>
        <w:t xml:space="preserve"> </w:t>
      </w:r>
      <w:r>
        <w:rPr>
          <w:rFonts w:ascii="宋体" w:hAnsi="宋体" w:eastAsia="宋体" w:cs="宋体"/>
          <w:spacing w:val="10"/>
          <w:sz w:val="23"/>
          <w:szCs w:val="23"/>
        </w:rPr>
        <w:t>明</w:t>
      </w:r>
      <w:r>
        <w:rPr>
          <w:rFonts w:ascii="宋体" w:hAnsi="宋体" w:eastAsia="宋体" w:cs="宋体"/>
          <w:spacing w:val="7"/>
          <w:sz w:val="23"/>
          <w:szCs w:val="23"/>
        </w:rPr>
        <w:t>确超标原因，并采取相应措施；</w:t>
      </w:r>
    </w:p>
    <w:p w14:paraId="3093AE4E">
      <w:pPr>
        <w:spacing w:before="2" w:line="374" w:lineRule="auto"/>
        <w:ind w:left="12" w:right="47" w:firstLine="476"/>
        <w:rPr>
          <w:rFonts w:ascii="宋体" w:hAnsi="宋体" w:eastAsia="宋体" w:cs="宋体"/>
          <w:sz w:val="23"/>
          <w:szCs w:val="23"/>
        </w:rPr>
      </w:pPr>
      <w:r>
        <w:rPr>
          <w:rFonts w:ascii="宋体" w:hAnsi="宋体" w:eastAsia="宋体" w:cs="宋体"/>
          <w:spacing w:val="7"/>
          <w:sz w:val="23"/>
          <w:szCs w:val="23"/>
        </w:rPr>
        <w:t>④采取节水措施，设置雨水收集系统，设沉淀池，尽可能多的使用雨水进行猪舍冲洗和</w:t>
      </w:r>
      <w:r>
        <w:rPr>
          <w:rFonts w:ascii="宋体" w:hAnsi="宋体" w:eastAsia="宋体" w:cs="宋体"/>
          <w:sz w:val="23"/>
          <w:szCs w:val="23"/>
        </w:rPr>
        <w:t xml:space="preserve"> </w:t>
      </w:r>
      <w:r>
        <w:rPr>
          <w:rFonts w:ascii="宋体" w:hAnsi="宋体" w:eastAsia="宋体" w:cs="宋体"/>
          <w:spacing w:val="8"/>
          <w:sz w:val="23"/>
          <w:szCs w:val="23"/>
        </w:rPr>
        <w:t>绿</w:t>
      </w:r>
      <w:r>
        <w:rPr>
          <w:rFonts w:ascii="宋体" w:hAnsi="宋体" w:eastAsia="宋体" w:cs="宋体"/>
          <w:spacing w:val="5"/>
          <w:sz w:val="23"/>
          <w:szCs w:val="23"/>
        </w:rPr>
        <w:t>化灌溉。</w:t>
      </w:r>
    </w:p>
    <w:p w14:paraId="2C92B8FC">
      <w:pPr>
        <w:spacing w:before="2" w:line="374" w:lineRule="auto"/>
        <w:ind w:left="39" w:right="47" w:firstLine="449"/>
        <w:rPr>
          <w:rFonts w:ascii="宋体" w:hAnsi="宋体" w:eastAsia="宋体" w:cs="宋体"/>
          <w:sz w:val="23"/>
          <w:szCs w:val="23"/>
        </w:rPr>
      </w:pPr>
      <w:r>
        <w:rPr>
          <w:rFonts w:ascii="宋体" w:hAnsi="宋体" w:eastAsia="宋体" w:cs="宋体"/>
          <w:spacing w:val="7"/>
          <w:sz w:val="23"/>
          <w:szCs w:val="23"/>
        </w:rPr>
        <w:t>⑤确保各项防渗措施得以落实，并加强维护和场区环境管理的前提下，可有效控制场区</w:t>
      </w:r>
      <w:r>
        <w:rPr>
          <w:rFonts w:ascii="宋体" w:hAnsi="宋体" w:eastAsia="宋体" w:cs="宋体"/>
          <w:sz w:val="23"/>
          <w:szCs w:val="23"/>
        </w:rPr>
        <w:t xml:space="preserve"> </w:t>
      </w:r>
      <w:r>
        <w:rPr>
          <w:rFonts w:ascii="宋体" w:hAnsi="宋体" w:eastAsia="宋体" w:cs="宋体"/>
          <w:spacing w:val="14"/>
          <w:sz w:val="23"/>
          <w:szCs w:val="23"/>
        </w:rPr>
        <w:t>内</w:t>
      </w:r>
      <w:r>
        <w:rPr>
          <w:rFonts w:ascii="宋体" w:hAnsi="宋体" w:eastAsia="宋体" w:cs="宋体"/>
          <w:spacing w:val="11"/>
          <w:sz w:val="23"/>
          <w:szCs w:val="23"/>
        </w:rPr>
        <w:t>的</w:t>
      </w:r>
      <w:r>
        <w:rPr>
          <w:rFonts w:ascii="宋体" w:hAnsi="宋体" w:eastAsia="宋体" w:cs="宋体"/>
          <w:spacing w:val="7"/>
          <w:sz w:val="23"/>
          <w:szCs w:val="23"/>
        </w:rPr>
        <w:t>废水污染物下渗现象，避免污染地下水。</w:t>
      </w:r>
    </w:p>
    <w:p w14:paraId="13CF5C70">
      <w:pPr>
        <w:spacing w:before="1" w:line="380" w:lineRule="auto"/>
        <w:ind w:left="10" w:right="47" w:firstLine="482"/>
        <w:rPr>
          <w:rFonts w:ascii="宋体" w:hAnsi="宋体" w:eastAsia="宋体" w:cs="宋体"/>
          <w:sz w:val="23"/>
          <w:szCs w:val="23"/>
        </w:rPr>
      </w:pPr>
      <w:r>
        <w:rPr>
          <w:rFonts w:ascii="宋体" w:hAnsi="宋体" w:eastAsia="宋体" w:cs="宋体"/>
          <w:spacing w:val="7"/>
          <w:sz w:val="23"/>
          <w:szCs w:val="23"/>
        </w:rPr>
        <w:t>综上分析，评价认为在上述相关措施得到切实落实的前提下，项目实施对评价区地下</w:t>
      </w:r>
      <w:r>
        <w:rPr>
          <w:rFonts w:ascii="宋体" w:hAnsi="宋体" w:eastAsia="宋体" w:cs="宋体"/>
          <w:spacing w:val="3"/>
          <w:sz w:val="23"/>
          <w:szCs w:val="23"/>
        </w:rPr>
        <w:t>水</w:t>
      </w:r>
      <w:r>
        <w:rPr>
          <w:rFonts w:ascii="宋体" w:hAnsi="宋体" w:eastAsia="宋体" w:cs="宋体"/>
          <w:sz w:val="23"/>
          <w:szCs w:val="23"/>
        </w:rPr>
        <w:t xml:space="preserve"> </w:t>
      </w:r>
      <w:r>
        <w:rPr>
          <w:rFonts w:ascii="宋体" w:hAnsi="宋体" w:eastAsia="宋体" w:cs="宋体"/>
          <w:spacing w:val="12"/>
          <w:sz w:val="23"/>
          <w:szCs w:val="23"/>
        </w:rPr>
        <w:t>环</w:t>
      </w:r>
      <w:r>
        <w:rPr>
          <w:rFonts w:ascii="宋体" w:hAnsi="宋体" w:eastAsia="宋体" w:cs="宋体"/>
          <w:spacing w:val="7"/>
          <w:sz w:val="23"/>
          <w:szCs w:val="23"/>
        </w:rPr>
        <w:t>境不会造成污染影响，不改变其现有水环境现状和功能。因此，本项目营运期间可防止对</w:t>
      </w:r>
      <w:r>
        <w:rPr>
          <w:rFonts w:ascii="宋体" w:hAnsi="宋体" w:eastAsia="宋体" w:cs="宋体"/>
          <w:sz w:val="23"/>
          <w:szCs w:val="23"/>
        </w:rPr>
        <w:t xml:space="preserve"> </w:t>
      </w:r>
      <w:r>
        <w:rPr>
          <w:rFonts w:ascii="宋体" w:hAnsi="宋体" w:eastAsia="宋体" w:cs="宋体"/>
          <w:spacing w:val="9"/>
          <w:sz w:val="23"/>
          <w:szCs w:val="23"/>
        </w:rPr>
        <w:t>区域地下水水质造成影响，治理措施可行</w:t>
      </w:r>
      <w:r>
        <w:rPr>
          <w:rFonts w:ascii="宋体" w:hAnsi="宋体" w:eastAsia="宋体" w:cs="宋体"/>
          <w:spacing w:val="8"/>
          <w:sz w:val="23"/>
          <w:szCs w:val="23"/>
        </w:rPr>
        <w:t>。</w:t>
      </w:r>
    </w:p>
    <w:p w14:paraId="1519F3B5">
      <w:pPr>
        <w:spacing w:before="100" w:line="228" w:lineRule="auto"/>
        <w:ind w:left="9"/>
        <w:outlineLvl w:val="2"/>
        <w:rPr>
          <w:rFonts w:ascii="宋体" w:hAnsi="宋体" w:eastAsia="宋体" w:cs="宋体"/>
          <w:sz w:val="23"/>
          <w:szCs w:val="23"/>
        </w:rPr>
      </w:pPr>
      <w:r>
        <w:rPr>
          <w:rFonts w:ascii="Times New Roman" w:hAnsi="Times New Roman" w:eastAsia="Times New Roman" w:cs="Times New Roman"/>
          <w:b/>
          <w:bCs/>
          <w:spacing w:val="13"/>
          <w:sz w:val="23"/>
          <w:szCs w:val="23"/>
        </w:rPr>
        <w:t>6</w:t>
      </w:r>
      <w:r>
        <w:rPr>
          <w:rFonts w:ascii="Times New Roman" w:hAnsi="Times New Roman" w:eastAsia="Times New Roman" w:cs="Times New Roman"/>
          <w:b/>
          <w:bCs/>
          <w:spacing w:val="7"/>
          <w:sz w:val="23"/>
          <w:szCs w:val="23"/>
        </w:rPr>
        <w:t>.2.3</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废气污染防治措施分析</w:t>
      </w:r>
    </w:p>
    <w:p w14:paraId="1FA71104">
      <w:pPr>
        <w:spacing w:before="182" w:line="303" w:lineRule="exact"/>
        <w:ind w:left="496"/>
        <w:rPr>
          <w:rFonts w:ascii="宋体" w:hAnsi="宋体" w:eastAsia="宋体" w:cs="宋体"/>
          <w:sz w:val="23"/>
          <w:szCs w:val="23"/>
        </w:rPr>
      </w:pPr>
      <w:r>
        <w:rPr>
          <w:rFonts w:ascii="Times New Roman" w:hAnsi="Times New Roman" w:eastAsia="Times New Roman" w:cs="Times New Roman"/>
          <w:b/>
          <w:bCs/>
          <w:spacing w:val="-8"/>
          <w:position w:val="1"/>
          <w:sz w:val="23"/>
          <w:szCs w:val="23"/>
        </w:rPr>
        <w:t>1</w:t>
      </w:r>
      <w:r>
        <w:rPr>
          <w:rFonts w:ascii="Times New Roman" w:hAnsi="Times New Roman" w:eastAsia="Times New Roman" w:cs="Times New Roman"/>
          <w:spacing w:val="-7"/>
          <w:position w:val="1"/>
          <w:sz w:val="23"/>
          <w:szCs w:val="23"/>
        </w:rPr>
        <w:t xml:space="preserve"> </w:t>
      </w:r>
      <w:r>
        <w:rPr>
          <w:rFonts w:ascii="宋体" w:hAnsi="宋体" w:eastAsia="宋体" w:cs="宋体"/>
          <w:spacing w:val="-7"/>
          <w:position w:val="1"/>
          <w:sz w:val="23"/>
          <w:szCs w:val="23"/>
          <w14:textOutline w14:w="4356" w14:cap="sq" w14:cmpd="sng" w14:algn="ctr">
            <w14:solidFill>
              <w14:srgbClr w14:val="000000"/>
            </w14:solidFill>
            <w14:prstDash w14:val="solid"/>
            <w14:bevel/>
          </w14:textOutline>
        </w:rPr>
        <w:t>、恶臭</w:t>
      </w:r>
    </w:p>
    <w:p w14:paraId="67448B03">
      <w:pPr>
        <w:spacing w:before="164" w:line="375" w:lineRule="auto"/>
        <w:ind w:left="14" w:right="44" w:firstLine="477"/>
        <w:rPr>
          <w:rFonts w:ascii="宋体" w:hAnsi="宋体" w:eastAsia="宋体" w:cs="宋体"/>
          <w:sz w:val="23"/>
          <w:szCs w:val="23"/>
        </w:rPr>
      </w:pPr>
      <w:r>
        <w:rPr>
          <w:rFonts w:ascii="宋体" w:hAnsi="宋体" w:eastAsia="宋体" w:cs="宋体"/>
          <w:spacing w:val="7"/>
          <w:sz w:val="23"/>
          <w:szCs w:val="23"/>
        </w:rPr>
        <w:t xml:space="preserve">本项目恶臭主要来源于养殖生产区和污水处理设施散发的 </w:t>
      </w:r>
      <w:r>
        <w:rPr>
          <w:rFonts w:ascii="Times New Roman" w:hAnsi="Times New Roman" w:eastAsia="Times New Roman" w:cs="Times New Roman"/>
          <w:sz w:val="23"/>
          <w:szCs w:val="23"/>
        </w:rPr>
        <w:t>H</w:t>
      </w:r>
      <w:r>
        <w:rPr>
          <w:rFonts w:ascii="Times New Roman" w:hAnsi="Times New Roman" w:eastAsia="Times New Roman" w:cs="Times New Roman"/>
          <w:spacing w:val="7"/>
          <w:position w:val="-1"/>
          <w:sz w:val="15"/>
          <w:szCs w:val="15"/>
        </w:rPr>
        <w:t xml:space="preserve">2 </w:t>
      </w:r>
      <w:r>
        <w:rPr>
          <w:rFonts w:ascii="Times New Roman" w:hAnsi="Times New Roman" w:eastAsia="Times New Roman" w:cs="Times New Roman"/>
          <w:sz w:val="23"/>
          <w:szCs w:val="23"/>
        </w:rPr>
        <w:t>S</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 xml:space="preserve">和 </w:t>
      </w:r>
      <w:r>
        <w:rPr>
          <w:rFonts w:ascii="Times New Roman" w:hAnsi="Times New Roman" w:eastAsia="Times New Roman" w:cs="Times New Roman"/>
          <w:sz w:val="23"/>
          <w:szCs w:val="23"/>
        </w:rPr>
        <w:t>NH</w:t>
      </w:r>
      <w:r>
        <w:rPr>
          <w:rFonts w:ascii="Times New Roman" w:hAnsi="Times New Roman" w:eastAsia="Times New Roman" w:cs="Times New Roman"/>
          <w:spacing w:val="7"/>
          <w:position w:val="-1"/>
          <w:sz w:val="15"/>
          <w:szCs w:val="15"/>
        </w:rPr>
        <w:t xml:space="preserve">3 </w:t>
      </w:r>
      <w:r>
        <w:rPr>
          <w:rFonts w:ascii="宋体" w:hAnsi="宋体" w:eastAsia="宋体" w:cs="宋体"/>
          <w:spacing w:val="7"/>
          <w:sz w:val="23"/>
          <w:szCs w:val="23"/>
        </w:rPr>
        <w:t>等气体，属无</w:t>
      </w:r>
      <w:r>
        <w:rPr>
          <w:rFonts w:ascii="宋体" w:hAnsi="宋体" w:eastAsia="宋体" w:cs="宋体"/>
          <w:spacing w:val="4"/>
          <w:sz w:val="23"/>
          <w:szCs w:val="23"/>
        </w:rPr>
        <w:t>组</w:t>
      </w:r>
      <w:r>
        <w:rPr>
          <w:rFonts w:ascii="宋体" w:hAnsi="宋体" w:eastAsia="宋体" w:cs="宋体"/>
          <w:sz w:val="23"/>
          <w:szCs w:val="23"/>
        </w:rPr>
        <w:t xml:space="preserve"> </w:t>
      </w:r>
      <w:r>
        <w:rPr>
          <w:rFonts w:ascii="宋体" w:hAnsi="宋体" w:eastAsia="宋体" w:cs="宋体"/>
          <w:spacing w:val="16"/>
          <w:sz w:val="23"/>
          <w:szCs w:val="23"/>
        </w:rPr>
        <w:t>织</w:t>
      </w:r>
      <w:r>
        <w:rPr>
          <w:rFonts w:ascii="宋体" w:hAnsi="宋体" w:eastAsia="宋体" w:cs="宋体"/>
          <w:spacing w:val="8"/>
          <w:sz w:val="23"/>
          <w:szCs w:val="23"/>
        </w:rPr>
        <w:t>排放。主要采取的治理措施包括：</w:t>
      </w:r>
    </w:p>
    <w:p w14:paraId="4B95D3A5">
      <w:pPr>
        <w:spacing w:before="3" w:line="374" w:lineRule="auto"/>
        <w:ind w:left="11" w:right="42" w:firstLine="482"/>
        <w:rPr>
          <w:rFonts w:ascii="宋体" w:hAnsi="宋体" w:eastAsia="宋体" w:cs="宋体"/>
          <w:sz w:val="23"/>
          <w:szCs w:val="23"/>
        </w:rPr>
      </w:pPr>
      <w:r>
        <w:rPr>
          <w:rFonts w:ascii="宋体" w:hAnsi="宋体" w:eastAsia="宋体" w:cs="宋体"/>
          <w:spacing w:val="7"/>
          <w:sz w:val="23"/>
          <w:szCs w:val="23"/>
        </w:rPr>
        <w:t>项目恶臭污染源主要为猪舍、异位微生物发酵床、集污池。恶臭废气发生主要原因是</w:t>
      </w:r>
      <w:r>
        <w:rPr>
          <w:rFonts w:ascii="宋体" w:hAnsi="宋体" w:eastAsia="宋体" w:cs="宋体"/>
          <w:spacing w:val="2"/>
          <w:sz w:val="23"/>
          <w:szCs w:val="23"/>
        </w:rPr>
        <w:t>猪</w:t>
      </w:r>
      <w:r>
        <w:rPr>
          <w:rFonts w:ascii="宋体" w:hAnsi="宋体" w:eastAsia="宋体" w:cs="宋体"/>
          <w:sz w:val="23"/>
          <w:szCs w:val="23"/>
        </w:rPr>
        <w:t xml:space="preserve"> </w:t>
      </w:r>
      <w:r>
        <w:rPr>
          <w:rFonts w:ascii="宋体" w:hAnsi="宋体" w:eastAsia="宋体" w:cs="宋体"/>
          <w:spacing w:val="11"/>
          <w:sz w:val="23"/>
          <w:szCs w:val="23"/>
        </w:rPr>
        <w:t>粪</w:t>
      </w:r>
      <w:r>
        <w:rPr>
          <w:rFonts w:ascii="宋体" w:hAnsi="宋体" w:eastAsia="宋体" w:cs="宋体"/>
          <w:spacing w:val="7"/>
          <w:sz w:val="23"/>
          <w:szCs w:val="23"/>
        </w:rPr>
        <w:t>尿管理和猪舍的构造，恶臭的组成和强度还与影响猪粪尿腐败分解因素有关，可从降低水</w:t>
      </w:r>
      <w:r>
        <w:rPr>
          <w:rFonts w:ascii="宋体" w:hAnsi="宋体" w:eastAsia="宋体" w:cs="宋体"/>
          <w:sz w:val="23"/>
          <w:szCs w:val="23"/>
        </w:rPr>
        <w:t xml:space="preserve"> </w:t>
      </w:r>
      <w:r>
        <w:rPr>
          <w:rFonts w:ascii="宋体" w:hAnsi="宋体" w:eastAsia="宋体" w:cs="宋体"/>
          <w:spacing w:val="14"/>
          <w:sz w:val="23"/>
          <w:szCs w:val="23"/>
        </w:rPr>
        <w:t>分、</w:t>
      </w:r>
      <w:r>
        <w:rPr>
          <w:rFonts w:ascii="宋体" w:hAnsi="宋体" w:eastAsia="宋体" w:cs="宋体"/>
          <w:spacing w:val="8"/>
          <w:sz w:val="23"/>
          <w:szCs w:val="23"/>
        </w:rPr>
        <w:t>温</w:t>
      </w:r>
      <w:r>
        <w:rPr>
          <w:rFonts w:ascii="宋体" w:hAnsi="宋体" w:eastAsia="宋体" w:cs="宋体"/>
          <w:spacing w:val="7"/>
          <w:sz w:val="23"/>
          <w:szCs w:val="23"/>
        </w:rPr>
        <w:t xml:space="preserve">度、湿度、调整 </w:t>
      </w:r>
      <w:r>
        <w:rPr>
          <w:rFonts w:ascii="Times New Roman" w:hAnsi="Times New Roman" w:eastAsia="Times New Roman" w:cs="Times New Roman"/>
          <w:sz w:val="23"/>
          <w:szCs w:val="23"/>
        </w:rPr>
        <w:t>pH</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值，增加通风量，减少微尘和尽量保持粪尿所处于静止状态等方</w:t>
      </w:r>
      <w:r>
        <w:rPr>
          <w:rFonts w:ascii="宋体" w:hAnsi="宋体" w:eastAsia="宋体" w:cs="宋体"/>
          <w:sz w:val="23"/>
          <w:szCs w:val="23"/>
        </w:rPr>
        <w:t xml:space="preserve"> </w:t>
      </w:r>
      <w:r>
        <w:rPr>
          <w:rFonts w:ascii="宋体" w:hAnsi="宋体" w:eastAsia="宋体" w:cs="宋体"/>
          <w:spacing w:val="18"/>
          <w:sz w:val="23"/>
          <w:szCs w:val="23"/>
        </w:rPr>
        <w:t>面</w:t>
      </w:r>
      <w:r>
        <w:rPr>
          <w:rFonts w:ascii="宋体" w:hAnsi="宋体" w:eastAsia="宋体" w:cs="宋体"/>
          <w:spacing w:val="12"/>
          <w:sz w:val="23"/>
          <w:szCs w:val="23"/>
        </w:rPr>
        <w:t>，</w:t>
      </w:r>
      <w:r>
        <w:rPr>
          <w:rFonts w:ascii="宋体" w:hAnsi="宋体" w:eastAsia="宋体" w:cs="宋体"/>
          <w:spacing w:val="9"/>
          <w:sz w:val="23"/>
          <w:szCs w:val="23"/>
        </w:rPr>
        <w:t>采取污染控制和资源化相结合的防治措施，有效地防止和减轻其危害。</w:t>
      </w:r>
    </w:p>
    <w:p w14:paraId="4DE54DD0">
      <w:pPr>
        <w:spacing w:before="1" w:line="227" w:lineRule="auto"/>
        <w:ind w:left="501"/>
        <w:rPr>
          <w:rFonts w:ascii="宋体" w:hAnsi="宋体" w:eastAsia="宋体" w:cs="宋体"/>
          <w:sz w:val="23"/>
          <w:szCs w:val="23"/>
        </w:rPr>
      </w:pPr>
      <w:r>
        <w:rPr>
          <w:rFonts w:ascii="宋体" w:hAnsi="宋体" w:eastAsia="宋体" w:cs="宋体"/>
          <w:spacing w:val="14"/>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4"/>
          <w:sz w:val="23"/>
          <w:szCs w:val="23"/>
        </w:rPr>
        <w:t>1</w:t>
      </w:r>
      <w:r>
        <w:rPr>
          <w:rFonts w:ascii="宋体" w:hAnsi="宋体" w:eastAsia="宋体" w:cs="宋体"/>
          <w:spacing w:val="14"/>
          <w:sz w:val="23"/>
          <w:szCs w:val="23"/>
          <w14:textOutline w14:w="4356" w14:cap="sq" w14:cmpd="sng" w14:algn="ctr">
            <w14:solidFill>
              <w14:srgbClr w14:val="000000"/>
            </w14:solidFill>
            <w14:prstDash w14:val="solid"/>
            <w14:bevel/>
          </w14:textOutline>
        </w:rPr>
        <w:t>)</w:t>
      </w:r>
      <w:r>
        <w:rPr>
          <w:rFonts w:ascii="宋体" w:hAnsi="宋体" w:eastAsia="宋体" w:cs="宋体"/>
          <w:spacing w:val="14"/>
          <w:sz w:val="23"/>
          <w:szCs w:val="23"/>
        </w:rPr>
        <w:t xml:space="preserve"> </w:t>
      </w:r>
      <w:r>
        <w:rPr>
          <w:rFonts w:ascii="宋体" w:hAnsi="宋体" w:eastAsia="宋体" w:cs="宋体"/>
          <w:spacing w:val="14"/>
          <w:sz w:val="23"/>
          <w:szCs w:val="23"/>
          <w14:textOutline w14:w="4356" w14:cap="sq" w14:cmpd="sng" w14:algn="ctr">
            <w14:solidFill>
              <w14:srgbClr w14:val="000000"/>
            </w14:solidFill>
            <w14:prstDash w14:val="solid"/>
            <w14:bevel/>
          </w14:textOutline>
        </w:rPr>
        <w:t>源头削减</w:t>
      </w:r>
      <w:r>
        <w:rPr>
          <w:rFonts w:ascii="宋体" w:hAnsi="宋体" w:eastAsia="宋体" w:cs="宋体"/>
          <w:spacing w:val="14"/>
          <w:sz w:val="23"/>
          <w:szCs w:val="23"/>
        </w:rPr>
        <w:t xml:space="preserve"> </w:t>
      </w:r>
      <w:r>
        <w:rPr>
          <w:rFonts w:ascii="宋体" w:hAnsi="宋体" w:eastAsia="宋体" w:cs="宋体"/>
          <w:spacing w:val="14"/>
          <w:sz w:val="23"/>
          <w:szCs w:val="23"/>
          <w14:textOutline w14:w="4356" w14:cap="sq" w14:cmpd="sng" w14:algn="ctr">
            <w14:solidFill>
              <w14:srgbClr w14:val="000000"/>
            </w14:solidFill>
            <w14:prstDash w14:val="solid"/>
            <w14:bevel/>
          </w14:textOutline>
        </w:rPr>
        <w:t>(养殖技术方面)</w:t>
      </w:r>
    </w:p>
    <w:p w14:paraId="70E6FB7A">
      <w:pPr>
        <w:spacing w:before="185" w:line="225" w:lineRule="auto"/>
        <w:ind w:left="489"/>
        <w:rPr>
          <w:rFonts w:ascii="宋体" w:hAnsi="宋体" w:eastAsia="宋体" w:cs="宋体"/>
          <w:sz w:val="23"/>
          <w:szCs w:val="23"/>
        </w:rPr>
      </w:pPr>
      <w:r>
        <w:rPr>
          <w:rFonts w:ascii="宋体" w:hAnsi="宋体" w:eastAsia="宋体" w:cs="宋体"/>
          <w:spacing w:val="14"/>
          <w:sz w:val="23"/>
          <w:szCs w:val="23"/>
        </w:rPr>
        <w:t>①项目</w:t>
      </w:r>
      <w:r>
        <w:rPr>
          <w:rFonts w:ascii="宋体" w:hAnsi="宋体" w:eastAsia="宋体" w:cs="宋体"/>
          <w:spacing w:val="7"/>
          <w:sz w:val="23"/>
          <w:szCs w:val="23"/>
        </w:rPr>
        <w:t>通过选择优质的饲料原料、改进饲料配方，采用</w:t>
      </w:r>
      <w:r>
        <w:rPr>
          <w:rFonts w:ascii="Times New Roman" w:hAnsi="Times New Roman" w:eastAsia="Times New Roman" w:cs="Times New Roman"/>
          <w:spacing w:val="7"/>
          <w:sz w:val="23"/>
          <w:szCs w:val="23"/>
        </w:rPr>
        <w:t>“</w:t>
      </w:r>
      <w:r>
        <w:rPr>
          <w:rFonts w:ascii="宋体" w:hAnsi="宋体" w:eastAsia="宋体" w:cs="宋体"/>
          <w:spacing w:val="7"/>
          <w:sz w:val="23"/>
          <w:szCs w:val="23"/>
        </w:rPr>
        <w:t>微生物益生菌</w:t>
      </w:r>
      <w:r>
        <w:rPr>
          <w:rFonts w:ascii="Times New Roman" w:hAnsi="Times New Roman" w:eastAsia="Times New Roman" w:cs="Times New Roman"/>
          <w:spacing w:val="7"/>
          <w:sz w:val="23"/>
          <w:szCs w:val="23"/>
        </w:rPr>
        <w:t>”</w:t>
      </w:r>
      <w:r>
        <w:rPr>
          <w:rFonts w:ascii="宋体" w:hAnsi="宋体" w:eastAsia="宋体" w:cs="宋体"/>
          <w:spacing w:val="7"/>
          <w:sz w:val="23"/>
          <w:szCs w:val="23"/>
        </w:rPr>
        <w:t>技术，在猪饲料</w:t>
      </w:r>
    </w:p>
    <w:p w14:paraId="684A6C22">
      <w:pPr>
        <w:spacing w:before="184" w:line="375" w:lineRule="auto"/>
        <w:ind w:left="10" w:right="47" w:firstLine="22"/>
        <w:rPr>
          <w:rFonts w:ascii="宋体" w:hAnsi="宋体" w:eastAsia="宋体" w:cs="宋体"/>
          <w:sz w:val="23"/>
          <w:szCs w:val="23"/>
        </w:rPr>
      </w:pPr>
      <w:r>
        <w:rPr>
          <w:rFonts w:ascii="宋体" w:hAnsi="宋体" w:eastAsia="宋体" w:cs="宋体"/>
          <w:spacing w:val="12"/>
          <w:sz w:val="23"/>
          <w:szCs w:val="23"/>
        </w:rPr>
        <w:t>中长期</w:t>
      </w:r>
      <w:r>
        <w:rPr>
          <w:rFonts w:ascii="宋体" w:hAnsi="宋体" w:eastAsia="宋体" w:cs="宋体"/>
          <w:spacing w:val="10"/>
          <w:sz w:val="23"/>
          <w:szCs w:val="23"/>
        </w:rPr>
        <w:t>添</w:t>
      </w:r>
      <w:r>
        <w:rPr>
          <w:rFonts w:ascii="宋体" w:hAnsi="宋体" w:eastAsia="宋体" w:cs="宋体"/>
          <w:spacing w:val="6"/>
          <w:sz w:val="23"/>
          <w:szCs w:val="23"/>
        </w:rPr>
        <w:t>加微生物益生菌，有益微生物在猪大肠中产生氨基酸、氧化酶及硫化物分解酶，将</w:t>
      </w:r>
      <w:r>
        <w:rPr>
          <w:rFonts w:ascii="宋体" w:hAnsi="宋体" w:eastAsia="宋体" w:cs="宋体"/>
          <w:sz w:val="23"/>
          <w:szCs w:val="23"/>
        </w:rPr>
        <w:t xml:space="preserve"> </w:t>
      </w:r>
      <w:r>
        <w:rPr>
          <w:rFonts w:ascii="宋体" w:hAnsi="宋体" w:eastAsia="宋体" w:cs="宋体"/>
          <w:spacing w:val="18"/>
          <w:sz w:val="23"/>
          <w:szCs w:val="23"/>
        </w:rPr>
        <w:t>产</w:t>
      </w:r>
      <w:r>
        <w:rPr>
          <w:rFonts w:ascii="宋体" w:hAnsi="宋体" w:eastAsia="宋体" w:cs="宋体"/>
          <w:spacing w:val="11"/>
          <w:sz w:val="23"/>
          <w:szCs w:val="23"/>
        </w:rPr>
        <w:t>生</w:t>
      </w:r>
      <w:r>
        <w:rPr>
          <w:rFonts w:ascii="宋体" w:hAnsi="宋体" w:eastAsia="宋体" w:cs="宋体"/>
          <w:spacing w:val="9"/>
          <w:sz w:val="23"/>
          <w:szCs w:val="23"/>
        </w:rPr>
        <w:t>臭气的吲哚类化合物完全氧化，将硫化氢氧化成无臭无毒的物质；</w:t>
      </w:r>
    </w:p>
    <w:p w14:paraId="0A233516">
      <w:pPr>
        <w:spacing w:before="2" w:line="374" w:lineRule="auto"/>
        <w:ind w:left="13" w:right="42" w:firstLine="475"/>
        <w:rPr>
          <w:rFonts w:ascii="宋体" w:hAnsi="宋体" w:eastAsia="宋体" w:cs="宋体"/>
          <w:sz w:val="23"/>
          <w:szCs w:val="23"/>
        </w:rPr>
      </w:pPr>
      <w:r>
        <w:rPr>
          <w:rFonts w:ascii="宋体" w:hAnsi="宋体" w:eastAsia="宋体" w:cs="宋体"/>
          <w:spacing w:val="6"/>
          <w:sz w:val="23"/>
          <w:szCs w:val="23"/>
        </w:rPr>
        <w:t>②猪舍建成</w:t>
      </w:r>
      <w:r>
        <w:rPr>
          <w:rFonts w:ascii="Times New Roman" w:hAnsi="Times New Roman" w:eastAsia="Times New Roman" w:cs="Times New Roman"/>
          <w:spacing w:val="6"/>
          <w:sz w:val="23"/>
          <w:szCs w:val="23"/>
        </w:rPr>
        <w:t>“</w:t>
      </w:r>
      <w:r>
        <w:rPr>
          <w:rFonts w:ascii="宋体" w:hAnsi="宋体" w:eastAsia="宋体" w:cs="宋体"/>
          <w:spacing w:val="6"/>
          <w:sz w:val="23"/>
          <w:szCs w:val="23"/>
        </w:rPr>
        <w:t>高架网床</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、采用节水型饮水器，高架网床具有猪和粪分离、干燥、能够保</w:t>
      </w:r>
      <w:r>
        <w:rPr>
          <w:rFonts w:ascii="宋体" w:hAnsi="宋体" w:eastAsia="宋体" w:cs="宋体"/>
          <w:sz w:val="23"/>
          <w:szCs w:val="23"/>
        </w:rPr>
        <w:t xml:space="preserve"> </w:t>
      </w:r>
      <w:r>
        <w:rPr>
          <w:rFonts w:ascii="宋体" w:hAnsi="宋体" w:eastAsia="宋体" w:cs="宋体"/>
          <w:spacing w:val="13"/>
          <w:sz w:val="23"/>
          <w:szCs w:val="23"/>
        </w:rPr>
        <w:t>持</w:t>
      </w:r>
      <w:r>
        <w:rPr>
          <w:rFonts w:ascii="宋体" w:hAnsi="宋体" w:eastAsia="宋体" w:cs="宋体"/>
          <w:spacing w:val="9"/>
          <w:sz w:val="23"/>
          <w:szCs w:val="23"/>
        </w:rPr>
        <w:t>猪舍内良好的饲养环境及空气流通的特点，减少恶臭产生；</w:t>
      </w:r>
    </w:p>
    <w:p w14:paraId="03B85394">
      <w:pPr>
        <w:spacing w:line="225" w:lineRule="auto"/>
        <w:ind w:left="488"/>
        <w:rPr>
          <w:rFonts w:ascii="宋体" w:hAnsi="宋体" w:eastAsia="宋体" w:cs="宋体"/>
          <w:sz w:val="23"/>
          <w:szCs w:val="23"/>
        </w:rPr>
      </w:pPr>
      <w:r>
        <w:rPr>
          <w:rFonts w:ascii="宋体" w:hAnsi="宋体" w:eastAsia="宋体" w:cs="宋体"/>
          <w:spacing w:val="7"/>
          <w:sz w:val="23"/>
          <w:szCs w:val="23"/>
        </w:rPr>
        <w:t>③采用异位微生物发酵床处理粪污，垫料过程中会添加发酵菌种，通过发酵床的分解发</w:t>
      </w:r>
    </w:p>
    <w:p w14:paraId="516B0C49">
      <w:pPr>
        <w:spacing w:before="188" w:line="382" w:lineRule="auto"/>
        <w:ind w:left="11" w:right="47"/>
        <w:rPr>
          <w:rFonts w:ascii="宋体" w:hAnsi="宋体" w:eastAsia="宋体" w:cs="宋体"/>
          <w:sz w:val="23"/>
          <w:szCs w:val="23"/>
        </w:rPr>
      </w:pPr>
      <w:r>
        <w:rPr>
          <w:rFonts w:ascii="宋体" w:hAnsi="宋体" w:eastAsia="宋体" w:cs="宋体"/>
          <w:spacing w:val="11"/>
          <w:sz w:val="23"/>
          <w:szCs w:val="23"/>
        </w:rPr>
        <w:t>酵</w:t>
      </w:r>
      <w:r>
        <w:rPr>
          <w:rFonts w:ascii="宋体" w:hAnsi="宋体" w:eastAsia="宋体" w:cs="宋体"/>
          <w:spacing w:val="7"/>
          <w:sz w:val="23"/>
          <w:szCs w:val="23"/>
        </w:rPr>
        <w:t>，使粪污中的有机物质得到充分的分解和转化，微生物以尚未消化的有机物为食饵，繁殖</w:t>
      </w:r>
      <w:r>
        <w:rPr>
          <w:rFonts w:ascii="宋体" w:hAnsi="宋体" w:eastAsia="宋体" w:cs="宋体"/>
          <w:sz w:val="23"/>
          <w:szCs w:val="23"/>
        </w:rPr>
        <w:t xml:space="preserve"> </w:t>
      </w:r>
      <w:r>
        <w:rPr>
          <w:rFonts w:ascii="宋体" w:hAnsi="宋体" w:eastAsia="宋体" w:cs="宋体"/>
          <w:spacing w:val="8"/>
          <w:sz w:val="23"/>
          <w:szCs w:val="23"/>
        </w:rPr>
        <w:t xml:space="preserve">滋生，可减少 </w:t>
      </w:r>
      <w:r>
        <w:rPr>
          <w:rFonts w:ascii="Times New Roman" w:hAnsi="Times New Roman" w:eastAsia="Times New Roman" w:cs="Times New Roman"/>
          <w:sz w:val="23"/>
          <w:szCs w:val="23"/>
        </w:rPr>
        <w:t>NH</w:t>
      </w:r>
      <w:r>
        <w:rPr>
          <w:rFonts w:ascii="Times New Roman" w:hAnsi="Times New Roman" w:eastAsia="Times New Roman" w:cs="Times New Roman"/>
          <w:spacing w:val="8"/>
          <w:position w:val="-1"/>
          <w:sz w:val="15"/>
          <w:szCs w:val="15"/>
        </w:rPr>
        <w:t xml:space="preserve">3 </w:t>
      </w:r>
      <w:r>
        <w:rPr>
          <w:rFonts w:ascii="宋体" w:hAnsi="宋体" w:eastAsia="宋体" w:cs="宋体"/>
          <w:spacing w:val="8"/>
          <w:sz w:val="23"/>
          <w:szCs w:val="23"/>
        </w:rPr>
        <w:t xml:space="preserve">和 </w:t>
      </w:r>
      <w:r>
        <w:rPr>
          <w:rFonts w:ascii="Times New Roman" w:hAnsi="Times New Roman" w:eastAsia="Times New Roman" w:cs="Times New Roman"/>
          <w:sz w:val="23"/>
          <w:szCs w:val="23"/>
        </w:rPr>
        <w:t>H</w:t>
      </w:r>
      <w:r>
        <w:rPr>
          <w:rFonts w:ascii="Times New Roman" w:hAnsi="Times New Roman" w:eastAsia="Times New Roman" w:cs="Times New Roman"/>
          <w:spacing w:val="8"/>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的产生。功能菌群在垫料中生长繁殖，通过微生物的分解发酵</w:t>
      </w:r>
      <w:r>
        <w:rPr>
          <w:rFonts w:ascii="宋体" w:hAnsi="宋体" w:eastAsia="宋体" w:cs="宋体"/>
          <w:spacing w:val="1"/>
          <w:sz w:val="23"/>
          <w:szCs w:val="23"/>
        </w:rPr>
        <w:t>，</w:t>
      </w:r>
    </w:p>
    <w:p w14:paraId="12C33D37">
      <w:pPr>
        <w:sectPr>
          <w:headerReference r:id="rId251" w:type="default"/>
          <w:footerReference r:id="rId252" w:type="default"/>
          <w:pgSz w:w="11906" w:h="16839"/>
          <w:pgMar w:top="1113" w:right="1087" w:bottom="1157" w:left="1275" w:header="878" w:footer="994" w:gutter="0"/>
          <w:cols w:space="720" w:num="1"/>
        </w:sectPr>
      </w:pPr>
    </w:p>
    <w:p w14:paraId="671021A6">
      <w:pPr>
        <w:spacing w:before="197" w:line="375" w:lineRule="auto"/>
        <w:ind w:left="14" w:right="47" w:hanging="3"/>
        <w:rPr>
          <w:rFonts w:ascii="宋体" w:hAnsi="宋体" w:eastAsia="宋体" w:cs="宋体"/>
          <w:sz w:val="23"/>
          <w:szCs w:val="23"/>
        </w:rPr>
      </w:pPr>
      <w:r>
        <w:rPr>
          <w:rFonts w:ascii="宋体" w:hAnsi="宋体" w:eastAsia="宋体" w:cs="宋体"/>
          <w:spacing w:val="11"/>
          <w:sz w:val="23"/>
          <w:szCs w:val="23"/>
        </w:rPr>
        <w:t>使</w:t>
      </w:r>
      <w:r>
        <w:rPr>
          <w:rFonts w:ascii="宋体" w:hAnsi="宋体" w:eastAsia="宋体" w:cs="宋体"/>
          <w:spacing w:val="7"/>
          <w:sz w:val="23"/>
          <w:szCs w:val="23"/>
        </w:rPr>
        <w:t>猪粪尿中的有机物质得到充分的分解和转化，最终达到降解、消化猪粪尿，除去异味和无</w:t>
      </w:r>
      <w:r>
        <w:rPr>
          <w:rFonts w:ascii="宋体" w:hAnsi="宋体" w:eastAsia="宋体" w:cs="宋体"/>
          <w:sz w:val="23"/>
          <w:szCs w:val="23"/>
        </w:rPr>
        <w:t xml:space="preserve"> </w:t>
      </w:r>
      <w:r>
        <w:rPr>
          <w:rFonts w:ascii="宋体" w:hAnsi="宋体" w:eastAsia="宋体" w:cs="宋体"/>
          <w:spacing w:val="6"/>
          <w:sz w:val="23"/>
          <w:szCs w:val="23"/>
        </w:rPr>
        <w:t>害化的目的</w:t>
      </w:r>
      <w:r>
        <w:rPr>
          <w:rFonts w:ascii="宋体" w:hAnsi="宋体" w:eastAsia="宋体" w:cs="宋体"/>
          <w:spacing w:val="5"/>
          <w:sz w:val="23"/>
          <w:szCs w:val="23"/>
        </w:rPr>
        <w:t>。</w:t>
      </w:r>
    </w:p>
    <w:p w14:paraId="70E7BFC2">
      <w:pPr>
        <w:spacing w:line="227" w:lineRule="auto"/>
        <w:ind w:left="501"/>
        <w:rPr>
          <w:rFonts w:ascii="宋体" w:hAnsi="宋体" w:eastAsia="宋体" w:cs="宋体"/>
          <w:sz w:val="23"/>
          <w:szCs w:val="23"/>
        </w:rPr>
      </w:pPr>
      <w:r>
        <w:rPr>
          <w:rFonts w:ascii="宋体" w:hAnsi="宋体" w:eastAsia="宋体" w:cs="宋体"/>
          <w:spacing w:val="14"/>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4"/>
          <w:sz w:val="23"/>
          <w:szCs w:val="23"/>
        </w:rPr>
        <w:t>2</w:t>
      </w:r>
      <w:r>
        <w:rPr>
          <w:rFonts w:ascii="宋体" w:hAnsi="宋体" w:eastAsia="宋体" w:cs="宋体"/>
          <w:spacing w:val="14"/>
          <w:sz w:val="23"/>
          <w:szCs w:val="23"/>
          <w14:textOutline w14:w="4356" w14:cap="sq" w14:cmpd="sng" w14:algn="ctr">
            <w14:solidFill>
              <w14:srgbClr w14:val="000000"/>
            </w14:solidFill>
            <w14:prstDash w14:val="solid"/>
            <w14:bevel/>
          </w14:textOutline>
        </w:rPr>
        <w:t>)</w:t>
      </w:r>
      <w:r>
        <w:rPr>
          <w:rFonts w:ascii="宋体" w:hAnsi="宋体" w:eastAsia="宋体" w:cs="宋体"/>
          <w:spacing w:val="14"/>
          <w:sz w:val="23"/>
          <w:szCs w:val="23"/>
        </w:rPr>
        <w:t xml:space="preserve"> </w:t>
      </w:r>
      <w:r>
        <w:rPr>
          <w:rFonts w:ascii="宋体" w:hAnsi="宋体" w:eastAsia="宋体" w:cs="宋体"/>
          <w:spacing w:val="14"/>
          <w:sz w:val="23"/>
          <w:szCs w:val="23"/>
          <w14:textOutline w14:w="4356" w14:cap="sq" w14:cmpd="sng" w14:algn="ctr">
            <w14:solidFill>
              <w14:srgbClr w14:val="000000"/>
            </w14:solidFill>
            <w14:prstDash w14:val="solid"/>
            <w14:bevel/>
          </w14:textOutline>
        </w:rPr>
        <w:t>污染控制措施</w:t>
      </w:r>
      <w:r>
        <w:rPr>
          <w:rFonts w:ascii="宋体" w:hAnsi="宋体" w:eastAsia="宋体" w:cs="宋体"/>
          <w:spacing w:val="14"/>
          <w:sz w:val="23"/>
          <w:szCs w:val="23"/>
        </w:rPr>
        <w:t xml:space="preserve"> </w:t>
      </w:r>
      <w:r>
        <w:rPr>
          <w:rFonts w:ascii="宋体" w:hAnsi="宋体" w:eastAsia="宋体" w:cs="宋体"/>
          <w:spacing w:val="14"/>
          <w:sz w:val="23"/>
          <w:szCs w:val="23"/>
          <w14:textOutline w14:w="4356" w14:cap="sq" w14:cmpd="sng" w14:algn="ctr">
            <w14:solidFill>
              <w14:srgbClr w14:val="000000"/>
            </w14:solidFill>
            <w14:prstDash w14:val="solid"/>
            <w14:bevel/>
          </w14:textOutline>
        </w:rPr>
        <w:t>(管理方面)</w:t>
      </w:r>
    </w:p>
    <w:p w14:paraId="05B4693F">
      <w:pPr>
        <w:spacing w:before="181" w:line="375" w:lineRule="auto"/>
        <w:ind w:left="14" w:right="44" w:firstLine="475"/>
        <w:rPr>
          <w:rFonts w:ascii="宋体" w:hAnsi="宋体" w:eastAsia="宋体" w:cs="宋体"/>
          <w:sz w:val="23"/>
          <w:szCs w:val="23"/>
        </w:rPr>
      </w:pPr>
      <w:r>
        <w:rPr>
          <w:rFonts w:ascii="宋体" w:hAnsi="宋体" w:eastAsia="宋体" w:cs="宋体"/>
          <w:spacing w:val="9"/>
          <w:sz w:val="23"/>
          <w:szCs w:val="23"/>
        </w:rPr>
        <w:t>①</w:t>
      </w:r>
      <w:r>
        <w:rPr>
          <w:rFonts w:ascii="宋体" w:hAnsi="宋体" w:eastAsia="宋体" w:cs="宋体"/>
          <w:spacing w:val="7"/>
          <w:sz w:val="23"/>
          <w:szCs w:val="23"/>
        </w:rPr>
        <w:t>加强管理，及时清理猪舍下层的猪粪，保持猪舍卫生等措施改善猪舍的空气质量；及</w:t>
      </w:r>
      <w:r>
        <w:rPr>
          <w:rFonts w:ascii="宋体" w:hAnsi="宋体" w:eastAsia="宋体" w:cs="宋体"/>
          <w:sz w:val="23"/>
          <w:szCs w:val="23"/>
        </w:rPr>
        <w:t xml:space="preserve"> </w:t>
      </w:r>
      <w:r>
        <w:rPr>
          <w:rFonts w:ascii="宋体" w:hAnsi="宋体" w:eastAsia="宋体" w:cs="宋体"/>
          <w:spacing w:val="8"/>
          <w:sz w:val="23"/>
          <w:szCs w:val="23"/>
        </w:rPr>
        <w:t>时</w:t>
      </w:r>
      <w:r>
        <w:rPr>
          <w:rFonts w:ascii="宋体" w:hAnsi="宋体" w:eastAsia="宋体" w:cs="宋体"/>
          <w:spacing w:val="7"/>
          <w:sz w:val="23"/>
          <w:szCs w:val="23"/>
        </w:rPr>
        <w:t>将收集来的废水及猪粪便混匀后抽至异位微生物发酵床作无害化处理，为满足消纳粪污所</w:t>
      </w:r>
      <w:r>
        <w:rPr>
          <w:rFonts w:ascii="宋体" w:hAnsi="宋体" w:eastAsia="宋体" w:cs="宋体"/>
          <w:sz w:val="23"/>
          <w:szCs w:val="23"/>
        </w:rPr>
        <w:t xml:space="preserve"> </w:t>
      </w:r>
      <w:r>
        <w:rPr>
          <w:rFonts w:ascii="宋体" w:hAnsi="宋体" w:eastAsia="宋体" w:cs="宋体"/>
          <w:spacing w:val="10"/>
          <w:sz w:val="23"/>
          <w:szCs w:val="23"/>
        </w:rPr>
        <w:t>需，</w:t>
      </w:r>
      <w:r>
        <w:rPr>
          <w:rFonts w:ascii="宋体" w:hAnsi="宋体" w:eastAsia="宋体" w:cs="宋体"/>
          <w:spacing w:val="8"/>
          <w:sz w:val="23"/>
          <w:szCs w:val="23"/>
        </w:rPr>
        <w:t>项</w:t>
      </w:r>
      <w:r>
        <w:rPr>
          <w:rFonts w:ascii="宋体" w:hAnsi="宋体" w:eastAsia="宋体" w:cs="宋体"/>
          <w:spacing w:val="5"/>
          <w:sz w:val="23"/>
          <w:szCs w:val="23"/>
        </w:rPr>
        <w:t xml:space="preserve">目拟建设异位微生物发酵床 </w:t>
      </w:r>
      <w:r>
        <w:rPr>
          <w:rFonts w:ascii="Times New Roman" w:hAnsi="Times New Roman" w:eastAsia="Times New Roman" w:cs="Times New Roman"/>
          <w:spacing w:val="5"/>
          <w:sz w:val="23"/>
          <w:szCs w:val="23"/>
        </w:rPr>
        <w:t xml:space="preserve">6 </w:t>
      </w:r>
      <w:r>
        <w:rPr>
          <w:rFonts w:ascii="宋体" w:hAnsi="宋体" w:eastAsia="宋体" w:cs="宋体"/>
          <w:spacing w:val="5"/>
          <w:sz w:val="23"/>
          <w:szCs w:val="23"/>
        </w:rPr>
        <w:t>床，轮番使用，本次评价建议项目正常运营后，应加强</w:t>
      </w:r>
      <w:r>
        <w:rPr>
          <w:rFonts w:ascii="宋体" w:hAnsi="宋体" w:eastAsia="宋体" w:cs="宋体"/>
          <w:sz w:val="23"/>
          <w:szCs w:val="23"/>
        </w:rPr>
        <w:t xml:space="preserve"> </w:t>
      </w:r>
      <w:r>
        <w:rPr>
          <w:rFonts w:ascii="宋体" w:hAnsi="宋体" w:eastAsia="宋体" w:cs="宋体"/>
          <w:spacing w:val="19"/>
          <w:sz w:val="23"/>
          <w:szCs w:val="23"/>
        </w:rPr>
        <w:t>关</w:t>
      </w:r>
      <w:r>
        <w:rPr>
          <w:rFonts w:ascii="宋体" w:hAnsi="宋体" w:eastAsia="宋体" w:cs="宋体"/>
          <w:spacing w:val="10"/>
          <w:sz w:val="23"/>
          <w:szCs w:val="23"/>
        </w:rPr>
        <w:t>注发酵床内粪污的发酵程度，在保证发酵成果的前提下集污池内的粪污应尽量做到</w:t>
      </w:r>
      <w:r>
        <w:rPr>
          <w:rFonts w:ascii="Times New Roman" w:hAnsi="Times New Roman" w:eastAsia="Times New Roman" w:cs="Times New Roman"/>
          <w:spacing w:val="10"/>
          <w:sz w:val="23"/>
          <w:szCs w:val="23"/>
        </w:rPr>
        <w:t>“</w:t>
      </w:r>
      <w:r>
        <w:rPr>
          <w:rFonts w:ascii="宋体" w:hAnsi="宋体" w:eastAsia="宋体" w:cs="宋体"/>
          <w:spacing w:val="10"/>
          <w:sz w:val="23"/>
          <w:szCs w:val="23"/>
        </w:rPr>
        <w:t>一日</w:t>
      </w:r>
      <w:r>
        <w:rPr>
          <w:rFonts w:ascii="宋体" w:hAnsi="宋体" w:eastAsia="宋体" w:cs="宋体"/>
          <w:sz w:val="23"/>
          <w:szCs w:val="23"/>
        </w:rPr>
        <w:t xml:space="preserve"> </w:t>
      </w:r>
      <w:r>
        <w:rPr>
          <w:rFonts w:ascii="宋体" w:hAnsi="宋体" w:eastAsia="宋体" w:cs="宋体"/>
          <w:spacing w:val="3"/>
          <w:sz w:val="23"/>
          <w:szCs w:val="23"/>
        </w:rPr>
        <w:t>一抽</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，避免堆积时间过长；</w:t>
      </w:r>
    </w:p>
    <w:p w14:paraId="75363B6C">
      <w:pPr>
        <w:spacing w:line="225" w:lineRule="auto"/>
        <w:ind w:left="488"/>
        <w:rPr>
          <w:rFonts w:ascii="宋体" w:hAnsi="宋体" w:eastAsia="宋体" w:cs="宋体"/>
          <w:sz w:val="23"/>
          <w:szCs w:val="23"/>
        </w:rPr>
      </w:pPr>
      <w:r>
        <w:rPr>
          <w:rFonts w:ascii="宋体" w:hAnsi="宋体" w:eastAsia="宋体" w:cs="宋体"/>
          <w:spacing w:val="17"/>
          <w:sz w:val="23"/>
          <w:szCs w:val="23"/>
        </w:rPr>
        <w:t>②</w:t>
      </w:r>
      <w:r>
        <w:rPr>
          <w:rFonts w:ascii="宋体" w:hAnsi="宋体" w:eastAsia="宋体" w:cs="宋体"/>
          <w:spacing w:val="9"/>
          <w:sz w:val="23"/>
          <w:szCs w:val="23"/>
        </w:rPr>
        <w:t>科学的设计日粮，提高饲料利用率</w:t>
      </w:r>
    </w:p>
    <w:p w14:paraId="3C929E83">
      <w:pPr>
        <w:spacing w:before="185" w:line="375" w:lineRule="auto"/>
        <w:ind w:left="10" w:right="47" w:firstLine="480"/>
        <w:rPr>
          <w:rFonts w:ascii="宋体" w:hAnsi="宋体" w:eastAsia="宋体" w:cs="宋体"/>
          <w:sz w:val="23"/>
          <w:szCs w:val="23"/>
        </w:rPr>
      </w:pPr>
      <w:r>
        <w:rPr>
          <w:rFonts w:ascii="宋体" w:hAnsi="宋体" w:eastAsia="宋体" w:cs="宋体"/>
          <w:spacing w:val="12"/>
          <w:sz w:val="23"/>
          <w:szCs w:val="23"/>
        </w:rPr>
        <w:t>猪采食饲</w:t>
      </w:r>
      <w:r>
        <w:rPr>
          <w:rFonts w:ascii="宋体" w:hAnsi="宋体" w:eastAsia="宋体" w:cs="宋体"/>
          <w:spacing w:val="7"/>
          <w:sz w:val="23"/>
          <w:szCs w:val="23"/>
        </w:rPr>
        <w:t>料</w:t>
      </w:r>
      <w:r>
        <w:rPr>
          <w:rFonts w:ascii="宋体" w:hAnsi="宋体" w:eastAsia="宋体" w:cs="宋体"/>
          <w:spacing w:val="6"/>
          <w:sz w:val="23"/>
          <w:szCs w:val="23"/>
        </w:rPr>
        <w:t>后，饲料在消化道内消化过程中 (尤其是后段肠道) ，因微生物腐败分解而</w:t>
      </w:r>
      <w:r>
        <w:rPr>
          <w:rFonts w:ascii="宋体" w:hAnsi="宋体" w:eastAsia="宋体" w:cs="宋体"/>
          <w:sz w:val="23"/>
          <w:szCs w:val="23"/>
        </w:rPr>
        <w:t xml:space="preserve"> </w:t>
      </w:r>
      <w:r>
        <w:rPr>
          <w:rFonts w:ascii="宋体" w:hAnsi="宋体" w:eastAsia="宋体" w:cs="宋体"/>
          <w:spacing w:val="12"/>
          <w:sz w:val="23"/>
          <w:szCs w:val="23"/>
        </w:rPr>
        <w:t>产</w:t>
      </w:r>
      <w:r>
        <w:rPr>
          <w:rFonts w:ascii="宋体" w:hAnsi="宋体" w:eastAsia="宋体" w:cs="宋体"/>
          <w:spacing w:val="7"/>
          <w:sz w:val="23"/>
          <w:szCs w:val="23"/>
        </w:rPr>
        <w:t>生臭气；同时没有消化吸收部分在体外被微生物降解，因此提高日粮的消化率、减少干物</w:t>
      </w:r>
      <w:r>
        <w:rPr>
          <w:rFonts w:ascii="宋体" w:hAnsi="宋体" w:eastAsia="宋体" w:cs="宋体"/>
          <w:sz w:val="23"/>
          <w:szCs w:val="23"/>
        </w:rPr>
        <w:t xml:space="preserve"> </w:t>
      </w:r>
      <w:r>
        <w:rPr>
          <w:rFonts w:ascii="宋体" w:hAnsi="宋体" w:eastAsia="宋体" w:cs="宋体"/>
          <w:spacing w:val="12"/>
          <w:sz w:val="23"/>
          <w:szCs w:val="23"/>
        </w:rPr>
        <w:t>质 (特别</w:t>
      </w:r>
      <w:r>
        <w:rPr>
          <w:rFonts w:ascii="宋体" w:hAnsi="宋体" w:eastAsia="宋体" w:cs="宋体"/>
          <w:spacing w:val="9"/>
          <w:sz w:val="23"/>
          <w:szCs w:val="23"/>
        </w:rPr>
        <w:t>是</w:t>
      </w:r>
      <w:r>
        <w:rPr>
          <w:rFonts w:ascii="宋体" w:hAnsi="宋体" w:eastAsia="宋体" w:cs="宋体"/>
          <w:spacing w:val="6"/>
          <w:sz w:val="23"/>
          <w:szCs w:val="23"/>
        </w:rPr>
        <w:t>蛋白质) 排出量，既减少肠道臭气的产生，又可减少粪便排出后臭气的产生，这</w:t>
      </w:r>
      <w:r>
        <w:rPr>
          <w:rFonts w:ascii="宋体" w:hAnsi="宋体" w:eastAsia="宋体" w:cs="宋体"/>
          <w:sz w:val="23"/>
          <w:szCs w:val="23"/>
        </w:rPr>
        <w:t xml:space="preserve"> </w:t>
      </w:r>
      <w:r>
        <w:rPr>
          <w:rFonts w:ascii="宋体" w:hAnsi="宋体" w:eastAsia="宋体" w:cs="宋体"/>
          <w:spacing w:val="14"/>
          <w:sz w:val="23"/>
          <w:szCs w:val="23"/>
        </w:rPr>
        <w:t>是</w:t>
      </w:r>
      <w:r>
        <w:rPr>
          <w:rFonts w:ascii="宋体" w:hAnsi="宋体" w:eastAsia="宋体" w:cs="宋体"/>
          <w:spacing w:val="8"/>
          <w:sz w:val="23"/>
          <w:szCs w:val="23"/>
        </w:rPr>
        <w:t>减少恶臭来源的有效措施。</w:t>
      </w:r>
    </w:p>
    <w:p w14:paraId="5FD7E03A">
      <w:pPr>
        <w:spacing w:before="2" w:line="368" w:lineRule="auto"/>
        <w:ind w:left="12" w:right="44" w:firstLine="477"/>
        <w:rPr>
          <w:rFonts w:ascii="宋体" w:hAnsi="宋体" w:eastAsia="宋体" w:cs="宋体"/>
          <w:sz w:val="23"/>
          <w:szCs w:val="23"/>
        </w:rPr>
      </w:pPr>
      <w:r>
        <w:rPr>
          <w:rFonts w:ascii="宋体" w:hAnsi="宋体" w:eastAsia="宋体" w:cs="宋体"/>
          <w:spacing w:val="7"/>
          <w:sz w:val="23"/>
          <w:szCs w:val="23"/>
        </w:rPr>
        <w:t>采用经氨基酸平衡的低蛋白日粮：用合成氨基酸取代日粮中完整蛋白质可有效减少排</w:t>
      </w:r>
      <w:r>
        <w:rPr>
          <w:rFonts w:ascii="宋体" w:hAnsi="宋体" w:eastAsia="宋体" w:cs="宋体"/>
          <w:spacing w:val="6"/>
          <w:sz w:val="23"/>
          <w:szCs w:val="23"/>
        </w:rPr>
        <w:t>泄</w:t>
      </w:r>
      <w:r>
        <w:rPr>
          <w:rFonts w:ascii="宋体" w:hAnsi="宋体" w:eastAsia="宋体" w:cs="宋体"/>
          <w:sz w:val="23"/>
          <w:szCs w:val="23"/>
        </w:rPr>
        <w:t xml:space="preserve"> </w:t>
      </w:r>
      <w:r>
        <w:rPr>
          <w:rFonts w:ascii="宋体" w:hAnsi="宋体" w:eastAsia="宋体" w:cs="宋体"/>
          <w:spacing w:val="18"/>
          <w:sz w:val="23"/>
          <w:szCs w:val="23"/>
        </w:rPr>
        <w:t>中</w:t>
      </w:r>
      <w:r>
        <w:rPr>
          <w:rFonts w:ascii="宋体" w:hAnsi="宋体" w:eastAsia="宋体" w:cs="宋体"/>
          <w:spacing w:val="14"/>
          <w:sz w:val="23"/>
          <w:szCs w:val="23"/>
        </w:rPr>
        <w:t>的</w:t>
      </w:r>
      <w:r>
        <w:rPr>
          <w:rFonts w:ascii="宋体" w:hAnsi="宋体" w:eastAsia="宋体" w:cs="宋体"/>
          <w:spacing w:val="9"/>
          <w:sz w:val="23"/>
          <w:szCs w:val="23"/>
        </w:rPr>
        <w:t xml:space="preserve">氮。在低蛋白日粮中补充氨基酸可使氮的排出量减少 </w:t>
      </w:r>
      <w:r>
        <w:rPr>
          <w:rFonts w:ascii="Times New Roman" w:hAnsi="Times New Roman" w:eastAsia="Times New Roman" w:cs="Times New Roman"/>
          <w:spacing w:val="9"/>
          <w:sz w:val="23"/>
          <w:szCs w:val="23"/>
        </w:rPr>
        <w:t>3.2%</w:t>
      </w:r>
      <w:r>
        <w:rPr>
          <w:rFonts w:ascii="宋体" w:hAnsi="宋体" w:eastAsia="宋体" w:cs="宋体"/>
          <w:spacing w:val="9"/>
          <w:sz w:val="23"/>
          <w:szCs w:val="23"/>
        </w:rPr>
        <w:t>~</w:t>
      </w:r>
      <w:r>
        <w:rPr>
          <w:rFonts w:ascii="Times New Roman" w:hAnsi="Times New Roman" w:eastAsia="Times New Roman" w:cs="Times New Roman"/>
          <w:spacing w:val="9"/>
          <w:sz w:val="23"/>
          <w:szCs w:val="23"/>
        </w:rPr>
        <w:t xml:space="preserve">6.2% </w:t>
      </w:r>
      <w:r>
        <w:rPr>
          <w:rFonts w:ascii="宋体" w:hAnsi="宋体" w:eastAsia="宋体" w:cs="宋体"/>
          <w:spacing w:val="9"/>
          <w:sz w:val="23"/>
          <w:szCs w:val="23"/>
        </w:rPr>
        <w:t>，当日粮粗蛋白降低</w:t>
      </w:r>
      <w:r>
        <w:rPr>
          <w:rFonts w:ascii="宋体" w:hAnsi="宋体" w:eastAsia="宋体" w:cs="宋体"/>
          <w:sz w:val="23"/>
          <w:szCs w:val="23"/>
        </w:rPr>
        <w:t xml:space="preserve"> </w:t>
      </w:r>
      <w:r>
        <w:rPr>
          <w:rFonts w:ascii="宋体" w:hAnsi="宋体" w:eastAsia="宋体" w:cs="宋体"/>
          <w:spacing w:val="6"/>
          <w:sz w:val="23"/>
          <w:szCs w:val="23"/>
        </w:rPr>
        <w:t xml:space="preserve">至 </w:t>
      </w:r>
      <w:r>
        <w:rPr>
          <w:rFonts w:ascii="Times New Roman" w:hAnsi="Times New Roman" w:eastAsia="Times New Roman" w:cs="Times New Roman"/>
          <w:spacing w:val="6"/>
          <w:sz w:val="23"/>
          <w:szCs w:val="23"/>
        </w:rPr>
        <w:t>10</w:t>
      </w:r>
      <w:r>
        <w:rPr>
          <w:rFonts w:ascii="Times New Roman" w:hAnsi="Times New Roman" w:eastAsia="Times New Roman" w:cs="Times New Roman"/>
          <w:sz w:val="23"/>
          <w:szCs w:val="23"/>
        </w:rPr>
        <w:t>g</w:t>
      </w:r>
      <w:r>
        <w:rPr>
          <w:rFonts w:ascii="Times New Roman" w:hAnsi="Times New Roman" w:eastAsia="Times New Roman" w:cs="Times New Roman"/>
          <w:spacing w:val="3"/>
          <w:sz w:val="23"/>
          <w:szCs w:val="23"/>
        </w:rPr>
        <w:t>/</w:t>
      </w:r>
      <w:r>
        <w:rPr>
          <w:rFonts w:ascii="Times New Roman" w:hAnsi="Times New Roman" w:eastAsia="Times New Roman" w:cs="Times New Roman"/>
          <w:sz w:val="23"/>
          <w:szCs w:val="23"/>
        </w:rPr>
        <w:t>kg</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 xml:space="preserve">时，氨态氮在排泄物中的含量将降低 </w:t>
      </w:r>
      <w:r>
        <w:rPr>
          <w:rFonts w:ascii="Times New Roman" w:hAnsi="Times New Roman" w:eastAsia="Times New Roman" w:cs="Times New Roman"/>
          <w:spacing w:val="3"/>
          <w:sz w:val="23"/>
          <w:szCs w:val="23"/>
        </w:rPr>
        <w:t>9%</w:t>
      </w:r>
      <w:r>
        <w:rPr>
          <w:rFonts w:ascii="宋体" w:hAnsi="宋体" w:eastAsia="宋体" w:cs="宋体"/>
          <w:spacing w:val="3"/>
          <w:sz w:val="23"/>
          <w:szCs w:val="23"/>
        </w:rPr>
        <w:t>；</w:t>
      </w:r>
    </w:p>
    <w:p w14:paraId="77C20CB3">
      <w:pPr>
        <w:spacing w:before="23" w:line="374" w:lineRule="auto"/>
        <w:ind w:left="19" w:right="47" w:firstLine="468"/>
        <w:rPr>
          <w:rFonts w:ascii="宋体" w:hAnsi="宋体" w:eastAsia="宋体" w:cs="宋体"/>
          <w:sz w:val="23"/>
          <w:szCs w:val="23"/>
        </w:rPr>
      </w:pPr>
      <w:r>
        <w:rPr>
          <w:rFonts w:ascii="宋体" w:hAnsi="宋体" w:eastAsia="宋体" w:cs="宋体"/>
          <w:spacing w:val="7"/>
          <w:sz w:val="23"/>
          <w:szCs w:val="23"/>
        </w:rPr>
        <w:t>③加化学药品抑制猪粪的氨气挥发，在厂区猪舍、异位微生物发酵系统等重点区域定时</w:t>
      </w:r>
      <w:r>
        <w:rPr>
          <w:rFonts w:ascii="宋体" w:hAnsi="宋体" w:eastAsia="宋体" w:cs="宋体"/>
          <w:sz w:val="23"/>
          <w:szCs w:val="23"/>
        </w:rPr>
        <w:t xml:space="preserve"> </w:t>
      </w:r>
      <w:r>
        <w:rPr>
          <w:rFonts w:ascii="宋体" w:hAnsi="宋体" w:eastAsia="宋体" w:cs="宋体"/>
          <w:spacing w:val="11"/>
          <w:sz w:val="23"/>
          <w:szCs w:val="23"/>
        </w:rPr>
        <w:t>喷</w:t>
      </w:r>
      <w:r>
        <w:rPr>
          <w:rFonts w:ascii="宋体" w:hAnsi="宋体" w:eastAsia="宋体" w:cs="宋体"/>
          <w:spacing w:val="8"/>
          <w:sz w:val="23"/>
          <w:szCs w:val="23"/>
        </w:rPr>
        <w:t>洒除臭剂，减少恶臭气体的散发；</w:t>
      </w:r>
    </w:p>
    <w:p w14:paraId="6A6E23FD">
      <w:pPr>
        <w:spacing w:before="2" w:line="374" w:lineRule="auto"/>
        <w:ind w:left="30" w:right="47" w:firstLine="457"/>
        <w:rPr>
          <w:rFonts w:ascii="宋体" w:hAnsi="宋体" w:eastAsia="宋体" w:cs="宋体"/>
          <w:sz w:val="23"/>
          <w:szCs w:val="23"/>
        </w:rPr>
      </w:pPr>
      <w:r>
        <w:rPr>
          <w:rFonts w:ascii="宋体" w:hAnsi="宋体" w:eastAsia="宋体" w:cs="宋体"/>
          <w:spacing w:val="7"/>
          <w:sz w:val="23"/>
          <w:szCs w:val="23"/>
        </w:rPr>
        <w:t>④厂区内的集污管道采用密闭管道、对集污池进行加盖措施，避免恶臭气体大量的散发</w:t>
      </w:r>
      <w:r>
        <w:rPr>
          <w:rFonts w:ascii="宋体" w:hAnsi="宋体" w:eastAsia="宋体" w:cs="宋体"/>
          <w:sz w:val="23"/>
          <w:szCs w:val="23"/>
        </w:rPr>
        <w:t xml:space="preserve"> </w:t>
      </w:r>
      <w:r>
        <w:rPr>
          <w:rFonts w:ascii="宋体" w:hAnsi="宋体" w:eastAsia="宋体" w:cs="宋体"/>
          <w:spacing w:val="12"/>
          <w:sz w:val="23"/>
          <w:szCs w:val="23"/>
        </w:rPr>
        <w:t>出</w:t>
      </w:r>
      <w:r>
        <w:rPr>
          <w:rFonts w:ascii="宋体" w:hAnsi="宋体" w:eastAsia="宋体" w:cs="宋体"/>
          <w:spacing w:val="8"/>
          <w:sz w:val="23"/>
          <w:szCs w:val="23"/>
        </w:rPr>
        <w:t>来</w:t>
      </w:r>
      <w:r>
        <w:rPr>
          <w:rFonts w:ascii="宋体" w:hAnsi="宋体" w:eastAsia="宋体" w:cs="宋体"/>
          <w:spacing w:val="6"/>
          <w:sz w:val="23"/>
          <w:szCs w:val="23"/>
        </w:rPr>
        <w:t>，且保持区域的通风；</w:t>
      </w:r>
    </w:p>
    <w:p w14:paraId="1E678F95">
      <w:pPr>
        <w:spacing w:line="225" w:lineRule="auto"/>
        <w:ind w:left="488"/>
        <w:rPr>
          <w:rFonts w:ascii="宋体" w:hAnsi="宋体" w:eastAsia="宋体" w:cs="宋体"/>
          <w:sz w:val="23"/>
          <w:szCs w:val="23"/>
        </w:rPr>
      </w:pPr>
      <w:r>
        <w:rPr>
          <w:rFonts w:ascii="宋体" w:hAnsi="宋体" w:eastAsia="宋体" w:cs="宋体"/>
          <w:spacing w:val="18"/>
          <w:sz w:val="23"/>
          <w:szCs w:val="23"/>
        </w:rPr>
        <w:t>⑤在</w:t>
      </w:r>
      <w:r>
        <w:rPr>
          <w:rFonts w:ascii="宋体" w:hAnsi="宋体" w:eastAsia="宋体" w:cs="宋体"/>
          <w:spacing w:val="9"/>
          <w:sz w:val="23"/>
          <w:szCs w:val="23"/>
        </w:rPr>
        <w:t>集污池中适时加入适量的杀虫剂和消毒剂，使蚊、蝇和病源菌难于孳生繁殖；</w:t>
      </w:r>
    </w:p>
    <w:p w14:paraId="05FC0579">
      <w:pPr>
        <w:spacing w:before="188" w:line="375" w:lineRule="auto"/>
        <w:ind w:left="24" w:firstLine="463"/>
        <w:rPr>
          <w:rFonts w:ascii="宋体" w:hAnsi="宋体" w:eastAsia="宋体" w:cs="宋体"/>
          <w:sz w:val="23"/>
          <w:szCs w:val="23"/>
        </w:rPr>
      </w:pPr>
      <w:r>
        <w:rPr>
          <w:rFonts w:ascii="宋体" w:hAnsi="宋体" w:eastAsia="宋体" w:cs="宋体"/>
          <w:spacing w:val="7"/>
          <w:sz w:val="23"/>
          <w:szCs w:val="23"/>
        </w:rPr>
        <w:t>⑥异位微生物发酵垫料过程中会添加发酵菌，功能菌群在垫料中生长繁殖，通过微生物</w:t>
      </w:r>
      <w:r>
        <w:rPr>
          <w:rFonts w:ascii="宋体" w:hAnsi="宋体" w:eastAsia="宋体" w:cs="宋体"/>
          <w:sz w:val="23"/>
          <w:szCs w:val="23"/>
        </w:rPr>
        <w:t xml:space="preserve"> </w:t>
      </w:r>
      <w:r>
        <w:rPr>
          <w:rFonts w:ascii="宋体" w:hAnsi="宋体" w:eastAsia="宋体" w:cs="宋体"/>
          <w:spacing w:val="8"/>
          <w:sz w:val="23"/>
          <w:szCs w:val="23"/>
        </w:rPr>
        <w:t>的分解发酵，使猪粪尿中的有机物质得到充分的分解和转化，最终达到降解、消化猪粪尿</w:t>
      </w:r>
      <w:r>
        <w:rPr>
          <w:rFonts w:ascii="宋体" w:hAnsi="宋体" w:eastAsia="宋体" w:cs="宋体"/>
          <w:spacing w:val="5"/>
          <w:sz w:val="23"/>
          <w:szCs w:val="23"/>
        </w:rPr>
        <w:t>，</w:t>
      </w:r>
      <w:r>
        <w:rPr>
          <w:rFonts w:ascii="宋体" w:hAnsi="宋体" w:eastAsia="宋体" w:cs="宋体"/>
          <w:sz w:val="23"/>
          <w:szCs w:val="23"/>
        </w:rPr>
        <w:t xml:space="preserve"> </w:t>
      </w:r>
      <w:r>
        <w:rPr>
          <w:rFonts w:ascii="宋体" w:hAnsi="宋体" w:eastAsia="宋体" w:cs="宋体"/>
          <w:spacing w:val="9"/>
          <w:sz w:val="23"/>
          <w:szCs w:val="23"/>
        </w:rPr>
        <w:t>除去异味和无害化的目的，并定期对异位微生物发酵床喷洒除臭剂</w:t>
      </w:r>
      <w:r>
        <w:rPr>
          <w:rFonts w:ascii="宋体" w:hAnsi="宋体" w:eastAsia="宋体" w:cs="宋体"/>
          <w:spacing w:val="5"/>
          <w:sz w:val="23"/>
          <w:szCs w:val="23"/>
        </w:rPr>
        <w:t>。</w:t>
      </w:r>
    </w:p>
    <w:p w14:paraId="306AAB3B">
      <w:pPr>
        <w:spacing w:before="2" w:line="374" w:lineRule="auto"/>
        <w:ind w:left="9" w:right="47" w:firstLine="479"/>
        <w:rPr>
          <w:rFonts w:ascii="宋体" w:hAnsi="宋体" w:eastAsia="宋体" w:cs="宋体"/>
          <w:sz w:val="23"/>
          <w:szCs w:val="23"/>
        </w:rPr>
      </w:pPr>
      <w:r>
        <w:rPr>
          <w:rFonts w:ascii="宋体" w:hAnsi="宋体" w:eastAsia="宋体" w:cs="宋体"/>
          <w:spacing w:val="7"/>
          <w:sz w:val="23"/>
          <w:szCs w:val="23"/>
        </w:rPr>
        <w:t>⑦加强绿化，栽种芸香科果树、蔷薇科的桃李树等芳香植物，可以减轻空气污染，净化</w:t>
      </w:r>
      <w:r>
        <w:rPr>
          <w:rFonts w:ascii="宋体" w:hAnsi="宋体" w:eastAsia="宋体" w:cs="宋体"/>
          <w:sz w:val="23"/>
          <w:szCs w:val="23"/>
        </w:rPr>
        <w:t xml:space="preserve"> </w:t>
      </w:r>
      <w:r>
        <w:rPr>
          <w:rFonts w:ascii="宋体" w:hAnsi="宋体" w:eastAsia="宋体" w:cs="宋体"/>
          <w:spacing w:val="7"/>
          <w:sz w:val="23"/>
          <w:szCs w:val="23"/>
        </w:rPr>
        <w:t>场</w:t>
      </w:r>
      <w:r>
        <w:rPr>
          <w:rFonts w:ascii="宋体" w:hAnsi="宋体" w:eastAsia="宋体" w:cs="宋体"/>
          <w:spacing w:val="6"/>
          <w:sz w:val="23"/>
          <w:szCs w:val="23"/>
        </w:rPr>
        <w:t>区空气。</w:t>
      </w:r>
    </w:p>
    <w:p w14:paraId="0737B9B9">
      <w:pPr>
        <w:spacing w:before="1" w:line="374" w:lineRule="auto"/>
        <w:ind w:left="14" w:right="47" w:firstLine="490"/>
        <w:rPr>
          <w:rFonts w:ascii="宋体" w:hAnsi="宋体" w:eastAsia="宋体" w:cs="宋体"/>
          <w:sz w:val="23"/>
          <w:szCs w:val="23"/>
        </w:rPr>
      </w:pPr>
      <w:r>
        <w:rPr>
          <w:rFonts w:ascii="宋体" w:hAnsi="宋体" w:eastAsia="宋体" w:cs="宋体"/>
          <w:spacing w:val="12"/>
          <w:sz w:val="23"/>
          <w:szCs w:val="23"/>
        </w:rPr>
        <w:t>除上述</w:t>
      </w:r>
      <w:r>
        <w:rPr>
          <w:rFonts w:ascii="宋体" w:hAnsi="宋体" w:eastAsia="宋体" w:cs="宋体"/>
          <w:spacing w:val="10"/>
          <w:sz w:val="23"/>
          <w:szCs w:val="23"/>
        </w:rPr>
        <w:t>措</w:t>
      </w:r>
      <w:r>
        <w:rPr>
          <w:rFonts w:ascii="宋体" w:hAnsi="宋体" w:eastAsia="宋体" w:cs="宋体"/>
          <w:spacing w:val="6"/>
          <w:sz w:val="23"/>
          <w:szCs w:val="23"/>
        </w:rPr>
        <w:t>施外，为了使项目恶臭对周边环境影响降到最低，环评建议项目增加的恶臭污</w:t>
      </w:r>
      <w:r>
        <w:rPr>
          <w:rFonts w:ascii="宋体" w:hAnsi="宋体" w:eastAsia="宋体" w:cs="宋体"/>
          <w:sz w:val="23"/>
          <w:szCs w:val="23"/>
        </w:rPr>
        <w:t xml:space="preserve"> </w:t>
      </w:r>
      <w:r>
        <w:rPr>
          <w:rFonts w:ascii="宋体" w:hAnsi="宋体" w:eastAsia="宋体" w:cs="宋体"/>
          <w:spacing w:val="7"/>
          <w:sz w:val="23"/>
          <w:szCs w:val="23"/>
        </w:rPr>
        <w:t>染防治措施如下：</w:t>
      </w:r>
    </w:p>
    <w:p w14:paraId="7FDCA606">
      <w:pPr>
        <w:spacing w:before="1" w:line="225" w:lineRule="auto"/>
        <w:ind w:left="489"/>
        <w:rPr>
          <w:rFonts w:ascii="宋体" w:hAnsi="宋体" w:eastAsia="宋体" w:cs="宋体"/>
          <w:sz w:val="23"/>
          <w:szCs w:val="23"/>
        </w:rPr>
      </w:pPr>
      <w:r>
        <w:rPr>
          <w:rFonts w:ascii="宋体" w:hAnsi="宋体" w:eastAsia="宋体" w:cs="宋体"/>
          <w:spacing w:val="16"/>
          <w:sz w:val="23"/>
          <w:szCs w:val="23"/>
        </w:rPr>
        <w:t>①</w:t>
      </w:r>
      <w:r>
        <w:rPr>
          <w:rFonts w:ascii="宋体" w:hAnsi="宋体" w:eastAsia="宋体" w:cs="宋体"/>
          <w:spacing w:val="11"/>
          <w:sz w:val="23"/>
          <w:szCs w:val="23"/>
        </w:rPr>
        <w:t>合</w:t>
      </w:r>
      <w:r>
        <w:rPr>
          <w:rFonts w:ascii="宋体" w:hAnsi="宋体" w:eastAsia="宋体" w:cs="宋体"/>
          <w:spacing w:val="8"/>
          <w:sz w:val="23"/>
          <w:szCs w:val="23"/>
        </w:rPr>
        <w:t>理控制养殖规模和猪群结构；</w:t>
      </w:r>
    </w:p>
    <w:p w14:paraId="4EDA40BF">
      <w:pPr>
        <w:spacing w:before="185" w:line="468" w:lineRule="exact"/>
        <w:ind w:left="488"/>
        <w:rPr>
          <w:rFonts w:ascii="宋体" w:hAnsi="宋体" w:eastAsia="宋体" w:cs="宋体"/>
          <w:sz w:val="23"/>
          <w:szCs w:val="23"/>
        </w:rPr>
      </w:pPr>
      <w:r>
        <w:rPr>
          <w:rFonts w:ascii="宋体" w:hAnsi="宋体" w:eastAsia="宋体" w:cs="宋体"/>
          <w:spacing w:val="14"/>
          <w:position w:val="18"/>
          <w:sz w:val="23"/>
          <w:szCs w:val="23"/>
        </w:rPr>
        <w:t>②</w:t>
      </w:r>
      <w:r>
        <w:rPr>
          <w:rFonts w:ascii="宋体" w:hAnsi="宋体" w:eastAsia="宋体" w:cs="宋体"/>
          <w:spacing w:val="7"/>
          <w:position w:val="18"/>
          <w:sz w:val="23"/>
          <w:szCs w:val="23"/>
        </w:rPr>
        <w:t xml:space="preserve">调节集污池内 </w:t>
      </w:r>
      <w:r>
        <w:rPr>
          <w:rFonts w:ascii="Times New Roman" w:hAnsi="Times New Roman" w:eastAsia="Times New Roman" w:cs="Times New Roman"/>
          <w:position w:val="18"/>
          <w:sz w:val="23"/>
          <w:szCs w:val="23"/>
        </w:rPr>
        <w:t>pH</w:t>
      </w:r>
      <w:r>
        <w:rPr>
          <w:rFonts w:ascii="Times New Roman" w:hAnsi="Times New Roman" w:eastAsia="Times New Roman" w:cs="Times New Roman"/>
          <w:spacing w:val="7"/>
          <w:position w:val="18"/>
          <w:sz w:val="23"/>
          <w:szCs w:val="23"/>
        </w:rPr>
        <w:t xml:space="preserve"> </w:t>
      </w:r>
      <w:r>
        <w:rPr>
          <w:rFonts w:ascii="宋体" w:hAnsi="宋体" w:eastAsia="宋体" w:cs="宋体"/>
          <w:spacing w:val="7"/>
          <w:position w:val="18"/>
          <w:sz w:val="23"/>
          <w:szCs w:val="23"/>
        </w:rPr>
        <w:t>值，创造不利于厌氧菌活动的条件以减少恶臭气体的产生；使用环</w:t>
      </w:r>
    </w:p>
    <w:p w14:paraId="25F2AFF0">
      <w:pPr>
        <w:spacing w:line="227" w:lineRule="auto"/>
        <w:ind w:left="11"/>
        <w:rPr>
          <w:rFonts w:ascii="宋体" w:hAnsi="宋体" w:eastAsia="宋体" w:cs="宋体"/>
          <w:sz w:val="23"/>
          <w:szCs w:val="23"/>
        </w:rPr>
      </w:pPr>
      <w:r>
        <w:rPr>
          <w:rFonts w:ascii="宋体" w:hAnsi="宋体" w:eastAsia="宋体" w:cs="宋体"/>
          <w:spacing w:val="10"/>
          <w:sz w:val="23"/>
          <w:szCs w:val="23"/>
        </w:rPr>
        <w:t>保</w:t>
      </w:r>
      <w:r>
        <w:rPr>
          <w:rFonts w:ascii="宋体" w:hAnsi="宋体" w:eastAsia="宋体" w:cs="宋体"/>
          <w:spacing w:val="5"/>
          <w:sz w:val="23"/>
          <w:szCs w:val="23"/>
        </w:rPr>
        <w:t xml:space="preserve">新产品，沸石是一种具有微孔和可交换离子的硅酸盐矿石，表面对 </w:t>
      </w:r>
      <w:r>
        <w:rPr>
          <w:rFonts w:ascii="Times New Roman" w:hAnsi="Times New Roman" w:eastAsia="Times New Roman" w:cs="Times New Roman"/>
          <w:sz w:val="23"/>
          <w:szCs w:val="23"/>
        </w:rPr>
        <w:t>NH</w:t>
      </w:r>
      <w:r>
        <w:rPr>
          <w:rFonts w:ascii="Times New Roman" w:hAnsi="Times New Roman" w:eastAsia="Times New Roman" w:cs="Times New Roman"/>
          <w:spacing w:val="5"/>
          <w:position w:val="-1"/>
          <w:sz w:val="15"/>
          <w:szCs w:val="15"/>
        </w:rPr>
        <w:t xml:space="preserve">3 </w:t>
      </w:r>
      <w:r>
        <w:rPr>
          <w:rFonts w:ascii="宋体" w:hAnsi="宋体" w:eastAsia="宋体" w:cs="宋体"/>
          <w:spacing w:val="5"/>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5"/>
          <w:position w:val="-1"/>
          <w:sz w:val="15"/>
          <w:szCs w:val="15"/>
        </w:rPr>
        <w:t xml:space="preserve">2 </w:t>
      </w:r>
      <w:r>
        <w:rPr>
          <w:rFonts w:ascii="Times New Roman" w:hAnsi="Times New Roman" w:eastAsia="Times New Roman" w:cs="Times New Roman"/>
          <w:sz w:val="23"/>
          <w:szCs w:val="23"/>
        </w:rPr>
        <w:t>S</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w:t>
      </w:r>
      <w:r>
        <w:rPr>
          <w:rFonts w:ascii="Times New Roman" w:hAnsi="Times New Roman" w:eastAsia="Times New Roman" w:cs="Times New Roman"/>
          <w:sz w:val="23"/>
          <w:szCs w:val="23"/>
        </w:rPr>
        <w:t>CO</w:t>
      </w:r>
      <w:r>
        <w:rPr>
          <w:rFonts w:ascii="Times New Roman" w:hAnsi="Times New Roman" w:eastAsia="Times New Roman" w:cs="Times New Roman"/>
          <w:spacing w:val="5"/>
          <w:position w:val="-1"/>
          <w:sz w:val="15"/>
          <w:szCs w:val="15"/>
        </w:rPr>
        <w:t xml:space="preserve">2 </w:t>
      </w:r>
      <w:r>
        <w:rPr>
          <w:rFonts w:ascii="宋体" w:hAnsi="宋体" w:eastAsia="宋体" w:cs="宋体"/>
          <w:spacing w:val="5"/>
          <w:sz w:val="23"/>
          <w:szCs w:val="23"/>
        </w:rPr>
        <w:t>、水</w:t>
      </w:r>
    </w:p>
    <w:p w14:paraId="6A5447C7">
      <w:pPr>
        <w:sectPr>
          <w:footerReference r:id="rId253" w:type="default"/>
          <w:pgSz w:w="11906" w:h="16839"/>
          <w:pgMar w:top="1113" w:right="1087" w:bottom="1156" w:left="1275" w:header="878" w:footer="994" w:gutter="0"/>
          <w:cols w:space="720" w:num="1"/>
        </w:sectPr>
      </w:pPr>
    </w:p>
    <w:p w14:paraId="3E5282F9">
      <w:pPr>
        <w:spacing w:before="155" w:line="377" w:lineRule="auto"/>
        <w:ind w:left="13" w:right="63"/>
        <w:rPr>
          <w:rFonts w:ascii="宋体" w:hAnsi="宋体" w:eastAsia="宋体" w:cs="宋体"/>
          <w:sz w:val="23"/>
          <w:szCs w:val="23"/>
        </w:rPr>
      </w:pPr>
      <w:r>
        <w:rPr>
          <w:rFonts w:ascii="宋体" w:hAnsi="宋体" w:eastAsia="宋体" w:cs="宋体"/>
          <w:spacing w:val="11"/>
          <w:sz w:val="23"/>
          <w:szCs w:val="23"/>
        </w:rPr>
        <w:t>分</w:t>
      </w:r>
      <w:r>
        <w:rPr>
          <w:rFonts w:ascii="宋体" w:hAnsi="宋体" w:eastAsia="宋体" w:cs="宋体"/>
          <w:spacing w:val="9"/>
          <w:sz w:val="23"/>
          <w:szCs w:val="23"/>
        </w:rPr>
        <w:t xml:space="preserve">等有很强的吸附力，能抑制氨的产生和挥发，可使氨含量降低 </w:t>
      </w:r>
      <w:r>
        <w:rPr>
          <w:rFonts w:ascii="Times New Roman" w:hAnsi="Times New Roman" w:eastAsia="Times New Roman" w:cs="Times New Roman"/>
          <w:spacing w:val="9"/>
          <w:sz w:val="23"/>
          <w:szCs w:val="23"/>
        </w:rPr>
        <w:t xml:space="preserve">90% </w:t>
      </w:r>
      <w:r>
        <w:rPr>
          <w:rFonts w:ascii="宋体" w:hAnsi="宋体" w:eastAsia="宋体" w:cs="宋体"/>
          <w:spacing w:val="9"/>
          <w:sz w:val="23"/>
          <w:szCs w:val="23"/>
        </w:rPr>
        <w:t>；应用磷酸钙减少舍</w:t>
      </w:r>
      <w:r>
        <w:rPr>
          <w:rFonts w:ascii="宋体" w:hAnsi="宋体" w:eastAsia="宋体" w:cs="宋体"/>
          <w:sz w:val="23"/>
          <w:szCs w:val="23"/>
        </w:rPr>
        <w:t xml:space="preserve"> </w:t>
      </w:r>
      <w:r>
        <w:rPr>
          <w:rFonts w:ascii="宋体" w:hAnsi="宋体" w:eastAsia="宋体" w:cs="宋体"/>
          <w:spacing w:val="10"/>
          <w:sz w:val="23"/>
          <w:szCs w:val="23"/>
        </w:rPr>
        <w:t>内</w:t>
      </w:r>
      <w:r>
        <w:rPr>
          <w:rFonts w:ascii="宋体" w:hAnsi="宋体" w:eastAsia="宋体" w:cs="宋体"/>
          <w:spacing w:val="9"/>
          <w:sz w:val="23"/>
          <w:szCs w:val="23"/>
        </w:rPr>
        <w:t xml:space="preserve">氨浓度效果良好，其去除氨的效果可达 </w:t>
      </w:r>
      <w:r>
        <w:rPr>
          <w:rFonts w:ascii="Times New Roman" w:hAnsi="Times New Roman" w:eastAsia="Times New Roman" w:cs="Times New Roman"/>
          <w:spacing w:val="9"/>
          <w:sz w:val="23"/>
          <w:szCs w:val="23"/>
        </w:rPr>
        <w:t xml:space="preserve">97% </w:t>
      </w:r>
      <w:r>
        <w:rPr>
          <w:rFonts w:ascii="宋体" w:hAnsi="宋体" w:eastAsia="宋体" w:cs="宋体"/>
          <w:spacing w:val="9"/>
          <w:sz w:val="23"/>
          <w:szCs w:val="23"/>
        </w:rPr>
        <w:t>；向粪便或猪舍内投放吸附剂减少臭气的散</w:t>
      </w:r>
      <w:r>
        <w:rPr>
          <w:rFonts w:ascii="宋体" w:hAnsi="宋体" w:eastAsia="宋体" w:cs="宋体"/>
          <w:sz w:val="23"/>
          <w:szCs w:val="23"/>
        </w:rPr>
        <w:t xml:space="preserve"> </w:t>
      </w:r>
      <w:r>
        <w:rPr>
          <w:rFonts w:ascii="宋体" w:hAnsi="宋体" w:eastAsia="宋体" w:cs="宋体"/>
          <w:spacing w:val="-2"/>
          <w:sz w:val="23"/>
          <w:szCs w:val="23"/>
        </w:rPr>
        <w:t>发。</w:t>
      </w:r>
    </w:p>
    <w:p w14:paraId="7E775096">
      <w:pPr>
        <w:spacing w:before="32" w:line="225" w:lineRule="auto"/>
        <w:ind w:left="488"/>
        <w:rPr>
          <w:rFonts w:ascii="宋体" w:hAnsi="宋体" w:eastAsia="宋体" w:cs="宋体"/>
          <w:sz w:val="23"/>
          <w:szCs w:val="23"/>
        </w:rPr>
      </w:pPr>
      <w:r>
        <w:rPr>
          <w:rFonts w:ascii="宋体" w:hAnsi="宋体" w:eastAsia="宋体" w:cs="宋体"/>
          <w:spacing w:val="10"/>
          <w:sz w:val="23"/>
          <w:szCs w:val="23"/>
        </w:rPr>
        <w:t>③</w:t>
      </w:r>
      <w:r>
        <w:rPr>
          <w:rFonts w:ascii="宋体" w:hAnsi="宋体" w:eastAsia="宋体" w:cs="宋体"/>
          <w:spacing w:val="8"/>
          <w:sz w:val="23"/>
          <w:szCs w:val="23"/>
        </w:rPr>
        <w:t>绿化建设</w:t>
      </w:r>
    </w:p>
    <w:p w14:paraId="425B8B4B">
      <w:pPr>
        <w:spacing w:before="187" w:line="227" w:lineRule="auto"/>
        <w:ind w:left="490"/>
        <w:rPr>
          <w:rFonts w:ascii="宋体" w:hAnsi="宋体" w:eastAsia="宋体" w:cs="宋体"/>
          <w:sz w:val="23"/>
          <w:szCs w:val="23"/>
        </w:rPr>
      </w:pPr>
      <w:r>
        <w:rPr>
          <w:rFonts w:ascii="宋体" w:hAnsi="宋体" w:eastAsia="宋体" w:cs="宋体"/>
          <w:spacing w:val="7"/>
          <w:sz w:val="23"/>
          <w:szCs w:val="23"/>
        </w:rPr>
        <w:t>种植绿色植被是另一个有效防止气味扩散、减少气味的方法。在养殖场的周围构筑防</w:t>
      </w:r>
      <w:r>
        <w:rPr>
          <w:rFonts w:ascii="宋体" w:hAnsi="宋体" w:eastAsia="宋体" w:cs="宋体"/>
          <w:spacing w:val="6"/>
          <w:sz w:val="23"/>
          <w:szCs w:val="23"/>
        </w:rPr>
        <w:t>护</w:t>
      </w:r>
    </w:p>
    <w:p w14:paraId="4CFB9F60">
      <w:pPr>
        <w:spacing w:before="181" w:line="369" w:lineRule="auto"/>
        <w:ind w:left="10"/>
        <w:rPr>
          <w:rFonts w:ascii="宋体" w:hAnsi="宋体" w:eastAsia="宋体" w:cs="宋体"/>
          <w:sz w:val="23"/>
          <w:szCs w:val="23"/>
        </w:rPr>
      </w:pPr>
      <w:r>
        <w:rPr>
          <w:rFonts w:ascii="宋体" w:hAnsi="宋体" w:eastAsia="宋体" w:cs="宋体"/>
          <w:spacing w:val="11"/>
          <w:sz w:val="23"/>
          <w:szCs w:val="23"/>
        </w:rPr>
        <w:t>林</w:t>
      </w:r>
      <w:r>
        <w:rPr>
          <w:rFonts w:ascii="宋体" w:hAnsi="宋体" w:eastAsia="宋体" w:cs="宋体"/>
          <w:spacing w:val="7"/>
          <w:sz w:val="23"/>
          <w:szCs w:val="23"/>
        </w:rPr>
        <w:t>，可以降低风速，防止气味传播到更远的距离，减少臭气污染的范围；防护林还可降低环</w:t>
      </w:r>
      <w:r>
        <w:rPr>
          <w:rFonts w:ascii="宋体" w:hAnsi="宋体" w:eastAsia="宋体" w:cs="宋体"/>
          <w:sz w:val="23"/>
          <w:szCs w:val="23"/>
        </w:rPr>
        <w:t xml:space="preserve"> </w:t>
      </w:r>
      <w:r>
        <w:rPr>
          <w:rFonts w:ascii="宋体" w:hAnsi="宋体" w:eastAsia="宋体" w:cs="宋体"/>
          <w:spacing w:val="12"/>
          <w:sz w:val="23"/>
          <w:szCs w:val="23"/>
        </w:rPr>
        <w:t>境</w:t>
      </w:r>
      <w:r>
        <w:rPr>
          <w:rFonts w:ascii="宋体" w:hAnsi="宋体" w:eastAsia="宋体" w:cs="宋体"/>
          <w:spacing w:val="7"/>
          <w:sz w:val="23"/>
          <w:szCs w:val="23"/>
        </w:rPr>
        <w:t>温度，减少气味的产生与挥发。树叶可直接吸收、过滤含有气味的气体和尘粒，从而减轻</w:t>
      </w:r>
      <w:r>
        <w:rPr>
          <w:rFonts w:ascii="宋体" w:hAnsi="宋体" w:eastAsia="宋体" w:cs="宋体"/>
          <w:sz w:val="23"/>
          <w:szCs w:val="23"/>
        </w:rPr>
        <w:t xml:space="preserve"> </w:t>
      </w:r>
      <w:r>
        <w:rPr>
          <w:rFonts w:ascii="宋体" w:hAnsi="宋体" w:eastAsia="宋体" w:cs="宋体"/>
          <w:spacing w:val="10"/>
          <w:sz w:val="23"/>
          <w:szCs w:val="23"/>
        </w:rPr>
        <w:t>空</w:t>
      </w:r>
      <w:r>
        <w:rPr>
          <w:rFonts w:ascii="宋体" w:hAnsi="宋体" w:eastAsia="宋体" w:cs="宋体"/>
          <w:spacing w:val="8"/>
          <w:sz w:val="23"/>
          <w:szCs w:val="23"/>
        </w:rPr>
        <w:t>气</w:t>
      </w:r>
      <w:r>
        <w:rPr>
          <w:rFonts w:ascii="宋体" w:hAnsi="宋体" w:eastAsia="宋体" w:cs="宋体"/>
          <w:spacing w:val="5"/>
          <w:sz w:val="23"/>
          <w:szCs w:val="23"/>
        </w:rPr>
        <w:t xml:space="preserve">中的气味。树木通过光合作用吸收空气中的 </w:t>
      </w:r>
      <w:r>
        <w:rPr>
          <w:rFonts w:ascii="Times New Roman" w:hAnsi="Times New Roman" w:eastAsia="Times New Roman" w:cs="Times New Roman"/>
          <w:sz w:val="23"/>
          <w:szCs w:val="23"/>
        </w:rPr>
        <w:t>CO</w:t>
      </w:r>
      <w:r>
        <w:rPr>
          <w:rFonts w:ascii="Times New Roman" w:hAnsi="Times New Roman" w:eastAsia="Times New Roman" w:cs="Times New Roman"/>
          <w:spacing w:val="5"/>
          <w:position w:val="-1"/>
          <w:sz w:val="15"/>
          <w:szCs w:val="15"/>
        </w:rPr>
        <w:t xml:space="preserve">2 </w:t>
      </w:r>
      <w:r>
        <w:rPr>
          <w:rFonts w:ascii="宋体" w:hAnsi="宋体" w:eastAsia="宋体" w:cs="宋体"/>
          <w:spacing w:val="5"/>
          <w:sz w:val="23"/>
          <w:szCs w:val="23"/>
        </w:rPr>
        <w:t xml:space="preserve">，释放出 </w:t>
      </w:r>
      <w:r>
        <w:rPr>
          <w:rFonts w:ascii="Times New Roman" w:hAnsi="Times New Roman" w:eastAsia="Times New Roman" w:cs="Times New Roman"/>
          <w:sz w:val="23"/>
          <w:szCs w:val="23"/>
        </w:rPr>
        <w:t>O</w:t>
      </w:r>
      <w:r>
        <w:rPr>
          <w:rFonts w:ascii="Times New Roman" w:hAnsi="Times New Roman" w:eastAsia="Times New Roman" w:cs="Times New Roman"/>
          <w:spacing w:val="5"/>
          <w:position w:val="-1"/>
          <w:sz w:val="15"/>
          <w:szCs w:val="15"/>
        </w:rPr>
        <w:t xml:space="preserve">2 </w:t>
      </w:r>
      <w:r>
        <w:rPr>
          <w:rFonts w:ascii="宋体" w:hAnsi="宋体" w:eastAsia="宋体" w:cs="宋体"/>
          <w:spacing w:val="5"/>
          <w:sz w:val="23"/>
          <w:szCs w:val="23"/>
        </w:rPr>
        <w:t xml:space="preserve">，可明显降低空气中 </w:t>
      </w:r>
      <w:r>
        <w:rPr>
          <w:rFonts w:ascii="Times New Roman" w:hAnsi="Times New Roman" w:eastAsia="Times New Roman" w:cs="Times New Roman"/>
          <w:sz w:val="23"/>
          <w:szCs w:val="23"/>
        </w:rPr>
        <w:t>CO</w:t>
      </w:r>
      <w:r>
        <w:rPr>
          <w:rFonts w:ascii="Times New Roman" w:hAnsi="Times New Roman" w:eastAsia="Times New Roman" w:cs="Times New Roman"/>
          <w:spacing w:val="5"/>
          <w:position w:val="-1"/>
          <w:sz w:val="15"/>
          <w:szCs w:val="15"/>
        </w:rPr>
        <w:t>2</w:t>
      </w:r>
      <w:r>
        <w:rPr>
          <w:rFonts w:ascii="Times New Roman" w:hAnsi="Times New Roman" w:eastAsia="Times New Roman" w:cs="Times New Roman"/>
          <w:position w:val="-1"/>
          <w:sz w:val="15"/>
          <w:szCs w:val="15"/>
        </w:rPr>
        <w:t xml:space="preserve">  </w:t>
      </w:r>
      <w:r>
        <w:rPr>
          <w:rFonts w:ascii="宋体" w:hAnsi="宋体" w:eastAsia="宋体" w:cs="宋体"/>
          <w:spacing w:val="16"/>
          <w:sz w:val="23"/>
          <w:szCs w:val="23"/>
        </w:rPr>
        <w:t>浓度，</w:t>
      </w:r>
      <w:r>
        <w:rPr>
          <w:rFonts w:ascii="宋体" w:hAnsi="宋体" w:eastAsia="宋体" w:cs="宋体"/>
          <w:spacing w:val="14"/>
          <w:sz w:val="23"/>
          <w:szCs w:val="23"/>
        </w:rPr>
        <w:t>改</w:t>
      </w:r>
      <w:r>
        <w:rPr>
          <w:rFonts w:ascii="宋体" w:hAnsi="宋体" w:eastAsia="宋体" w:cs="宋体"/>
          <w:spacing w:val="8"/>
          <w:sz w:val="23"/>
          <w:szCs w:val="23"/>
        </w:rPr>
        <w:t>善空气质量。构筑防护林需要考虑树的种类、树木栽植的方法、位置、栽植密度、</w:t>
      </w:r>
      <w:r>
        <w:rPr>
          <w:rFonts w:ascii="宋体" w:hAnsi="宋体" w:eastAsia="宋体" w:cs="宋体"/>
          <w:sz w:val="23"/>
          <w:szCs w:val="23"/>
        </w:rPr>
        <w:t xml:space="preserve"> </w:t>
      </w:r>
      <w:r>
        <w:rPr>
          <w:rFonts w:ascii="宋体" w:hAnsi="宋体" w:eastAsia="宋体" w:cs="宋体"/>
          <w:spacing w:val="12"/>
          <w:sz w:val="23"/>
          <w:szCs w:val="23"/>
        </w:rPr>
        <w:t>林</w:t>
      </w:r>
      <w:r>
        <w:rPr>
          <w:rFonts w:ascii="宋体" w:hAnsi="宋体" w:eastAsia="宋体" w:cs="宋体"/>
          <w:spacing w:val="7"/>
          <w:sz w:val="23"/>
          <w:szCs w:val="23"/>
        </w:rPr>
        <w:t>带的大小与形状等因素。一般，树的高度、树叶的大小与处理效果成正比，四季常青的树</w:t>
      </w:r>
      <w:r>
        <w:rPr>
          <w:rFonts w:ascii="宋体" w:hAnsi="宋体" w:eastAsia="宋体" w:cs="宋体"/>
          <w:sz w:val="23"/>
          <w:szCs w:val="23"/>
        </w:rPr>
        <w:t xml:space="preserve"> </w:t>
      </w:r>
      <w:r>
        <w:rPr>
          <w:rFonts w:ascii="宋体" w:hAnsi="宋体" w:eastAsia="宋体" w:cs="宋体"/>
          <w:spacing w:val="4"/>
          <w:sz w:val="23"/>
          <w:szCs w:val="23"/>
        </w:rPr>
        <w:t xml:space="preserve">木有利于一年四季气味的控制；松树的除臭效果比山毛榉要高 </w:t>
      </w:r>
      <w:r>
        <w:rPr>
          <w:rFonts w:ascii="Times New Roman" w:hAnsi="Times New Roman" w:eastAsia="Times New Roman" w:cs="Times New Roman"/>
          <w:spacing w:val="4"/>
          <w:sz w:val="23"/>
          <w:szCs w:val="23"/>
        </w:rPr>
        <w:t xml:space="preserve">4 </w:t>
      </w:r>
      <w:r>
        <w:rPr>
          <w:rFonts w:ascii="宋体" w:hAnsi="宋体" w:eastAsia="宋体" w:cs="宋体"/>
          <w:spacing w:val="4"/>
          <w:sz w:val="23"/>
          <w:szCs w:val="23"/>
        </w:rPr>
        <w:t xml:space="preserve">倍，比橡树高 </w:t>
      </w:r>
      <w:r>
        <w:rPr>
          <w:rFonts w:ascii="Times New Roman" w:hAnsi="Times New Roman" w:eastAsia="Times New Roman" w:cs="Times New Roman"/>
          <w:spacing w:val="4"/>
          <w:sz w:val="23"/>
          <w:szCs w:val="23"/>
        </w:rPr>
        <w:t xml:space="preserve">2 </w:t>
      </w:r>
      <w:r>
        <w:rPr>
          <w:rFonts w:ascii="宋体" w:hAnsi="宋体" w:eastAsia="宋体" w:cs="宋体"/>
          <w:spacing w:val="4"/>
          <w:sz w:val="23"/>
          <w:szCs w:val="23"/>
        </w:rPr>
        <w:t>倍。栽</w:t>
      </w:r>
      <w:r>
        <w:rPr>
          <w:rFonts w:ascii="宋体" w:hAnsi="宋体" w:eastAsia="宋体" w:cs="宋体"/>
          <w:spacing w:val="2"/>
          <w:sz w:val="23"/>
          <w:szCs w:val="23"/>
        </w:rPr>
        <w:t>植</w:t>
      </w:r>
      <w:r>
        <w:rPr>
          <w:rFonts w:ascii="宋体" w:hAnsi="宋体" w:eastAsia="宋体" w:cs="宋体"/>
          <w:sz w:val="23"/>
          <w:szCs w:val="23"/>
        </w:rPr>
        <w:t>合</w:t>
      </w:r>
    </w:p>
    <w:p w14:paraId="6C1E0BA0">
      <w:pPr>
        <w:spacing w:line="323" w:lineRule="exact"/>
        <w:ind w:left="13"/>
        <w:rPr>
          <w:rFonts w:ascii="宋体" w:hAnsi="宋体" w:eastAsia="宋体" w:cs="宋体"/>
          <w:sz w:val="23"/>
          <w:szCs w:val="23"/>
        </w:rPr>
      </w:pPr>
      <w:r>
        <w:rPr>
          <w:rFonts w:ascii="宋体" w:hAnsi="宋体" w:eastAsia="宋体" w:cs="宋体"/>
          <w:spacing w:val="16"/>
          <w:position w:val="1"/>
          <w:sz w:val="23"/>
          <w:szCs w:val="23"/>
        </w:rPr>
        <w:t>理的</w:t>
      </w:r>
      <w:r>
        <w:rPr>
          <w:rFonts w:ascii="宋体" w:hAnsi="宋体" w:eastAsia="宋体" w:cs="宋体"/>
          <w:spacing w:val="13"/>
          <w:position w:val="1"/>
          <w:sz w:val="23"/>
          <w:szCs w:val="23"/>
        </w:rPr>
        <w:t>防</w:t>
      </w:r>
      <w:r>
        <w:rPr>
          <w:rFonts w:ascii="宋体" w:hAnsi="宋体" w:eastAsia="宋体" w:cs="宋体"/>
          <w:spacing w:val="8"/>
          <w:position w:val="1"/>
          <w:sz w:val="23"/>
          <w:szCs w:val="23"/>
        </w:rPr>
        <w:t xml:space="preserve">护林可减少灰尘和污染物沉降 </w:t>
      </w:r>
      <w:r>
        <w:rPr>
          <w:rFonts w:ascii="Times New Roman" w:hAnsi="Times New Roman" w:eastAsia="Times New Roman" w:cs="Times New Roman"/>
          <w:spacing w:val="8"/>
          <w:position w:val="1"/>
          <w:sz w:val="23"/>
          <w:szCs w:val="23"/>
        </w:rPr>
        <w:t>27%</w:t>
      </w:r>
      <w:r>
        <w:rPr>
          <w:rFonts w:ascii="宋体" w:hAnsi="宋体" w:eastAsia="宋体" w:cs="宋体"/>
          <w:spacing w:val="8"/>
          <w:position w:val="1"/>
          <w:sz w:val="23"/>
          <w:szCs w:val="23"/>
        </w:rPr>
        <w:t>~</w:t>
      </w:r>
      <w:r>
        <w:rPr>
          <w:rFonts w:ascii="Times New Roman" w:hAnsi="Times New Roman" w:eastAsia="Times New Roman" w:cs="Times New Roman"/>
          <w:spacing w:val="8"/>
          <w:position w:val="1"/>
          <w:sz w:val="23"/>
          <w:szCs w:val="23"/>
        </w:rPr>
        <w:t xml:space="preserve">30% </w:t>
      </w:r>
      <w:r>
        <w:rPr>
          <w:rFonts w:ascii="宋体" w:hAnsi="宋体" w:eastAsia="宋体" w:cs="宋体"/>
          <w:spacing w:val="8"/>
          <w:position w:val="1"/>
          <w:sz w:val="23"/>
          <w:szCs w:val="23"/>
        </w:rPr>
        <w:t>。此外，构筑防护林还可收获林产资源。</w:t>
      </w:r>
    </w:p>
    <w:p w14:paraId="57B0EC97">
      <w:pPr>
        <w:spacing w:before="186" w:line="375" w:lineRule="auto"/>
        <w:ind w:left="13" w:firstLine="482"/>
        <w:rPr>
          <w:rFonts w:ascii="宋体" w:hAnsi="宋体" w:eastAsia="宋体" w:cs="宋体"/>
          <w:sz w:val="23"/>
          <w:szCs w:val="23"/>
        </w:rPr>
      </w:pPr>
      <w:r>
        <w:rPr>
          <w:rFonts w:ascii="宋体" w:hAnsi="宋体" w:eastAsia="宋体" w:cs="宋体"/>
          <w:spacing w:val="7"/>
          <w:sz w:val="23"/>
          <w:szCs w:val="23"/>
        </w:rPr>
        <w:t>另外，构筑防护林可有效减少猪舍灰尘及细菌含量。在养猪生产过程中经常能引起舍</w:t>
      </w:r>
      <w:r>
        <w:rPr>
          <w:rFonts w:ascii="宋体" w:hAnsi="宋体" w:eastAsia="宋体" w:cs="宋体"/>
          <w:sz w:val="23"/>
          <w:szCs w:val="23"/>
        </w:rPr>
        <w:t xml:space="preserve">内 </w:t>
      </w:r>
      <w:r>
        <w:rPr>
          <w:rFonts w:ascii="宋体" w:hAnsi="宋体" w:eastAsia="宋体" w:cs="宋体"/>
          <w:spacing w:val="9"/>
          <w:sz w:val="23"/>
          <w:szCs w:val="23"/>
        </w:rPr>
        <w:t>空</w:t>
      </w:r>
      <w:r>
        <w:rPr>
          <w:rFonts w:ascii="宋体" w:hAnsi="宋体" w:eastAsia="宋体" w:cs="宋体"/>
          <w:spacing w:val="7"/>
          <w:sz w:val="23"/>
          <w:szCs w:val="23"/>
        </w:rPr>
        <w:t>气含有大量灰尘，而对猪有害的病原微生物即附着在灰尘上，猪舍内尘土飞扬对猪的健康</w:t>
      </w:r>
      <w:r>
        <w:rPr>
          <w:rFonts w:ascii="宋体" w:hAnsi="宋体" w:eastAsia="宋体" w:cs="宋体"/>
          <w:sz w:val="23"/>
          <w:szCs w:val="23"/>
        </w:rPr>
        <w:t xml:space="preserve"> </w:t>
      </w:r>
      <w:r>
        <w:rPr>
          <w:rFonts w:ascii="宋体" w:hAnsi="宋体" w:eastAsia="宋体" w:cs="宋体"/>
          <w:spacing w:val="9"/>
          <w:sz w:val="23"/>
          <w:szCs w:val="23"/>
        </w:rPr>
        <w:t>构</w:t>
      </w:r>
      <w:r>
        <w:rPr>
          <w:rFonts w:ascii="宋体" w:hAnsi="宋体" w:eastAsia="宋体" w:cs="宋体"/>
          <w:spacing w:val="7"/>
          <w:sz w:val="23"/>
          <w:szCs w:val="23"/>
        </w:rPr>
        <w:t>成直接威胁。因此，猪舍内空气中的微生物数量比大气中的要多得多。通过绿化植物叶子</w:t>
      </w:r>
      <w:r>
        <w:rPr>
          <w:rFonts w:ascii="宋体" w:hAnsi="宋体" w:eastAsia="宋体" w:cs="宋体"/>
          <w:sz w:val="23"/>
          <w:szCs w:val="23"/>
        </w:rPr>
        <w:t xml:space="preserve"> </w:t>
      </w:r>
      <w:r>
        <w:rPr>
          <w:rFonts w:ascii="宋体" w:hAnsi="宋体" w:eastAsia="宋体" w:cs="宋体"/>
          <w:spacing w:val="16"/>
          <w:sz w:val="23"/>
          <w:szCs w:val="23"/>
        </w:rPr>
        <w:t>吸附和</w:t>
      </w:r>
      <w:r>
        <w:rPr>
          <w:rFonts w:ascii="宋体" w:hAnsi="宋体" w:eastAsia="宋体" w:cs="宋体"/>
          <w:spacing w:val="11"/>
          <w:sz w:val="23"/>
          <w:szCs w:val="23"/>
        </w:rPr>
        <w:t>粘</w:t>
      </w:r>
      <w:r>
        <w:rPr>
          <w:rFonts w:ascii="宋体" w:hAnsi="宋体" w:eastAsia="宋体" w:cs="宋体"/>
          <w:spacing w:val="8"/>
          <w:sz w:val="23"/>
          <w:szCs w:val="23"/>
        </w:rPr>
        <w:t>着滞留作用，使空气中含微粒量大为减少，因而使细菌的附着物数目也相应减少。</w:t>
      </w:r>
      <w:r>
        <w:rPr>
          <w:rFonts w:ascii="宋体" w:hAnsi="宋体" w:eastAsia="宋体" w:cs="宋体"/>
          <w:sz w:val="23"/>
          <w:szCs w:val="23"/>
        </w:rPr>
        <w:t xml:space="preserve"> </w:t>
      </w:r>
      <w:r>
        <w:rPr>
          <w:rFonts w:ascii="宋体" w:hAnsi="宋体" w:eastAsia="宋体" w:cs="宋体"/>
          <w:spacing w:val="9"/>
          <w:sz w:val="23"/>
          <w:szCs w:val="23"/>
        </w:rPr>
        <w:t>吸</w:t>
      </w:r>
      <w:r>
        <w:rPr>
          <w:rFonts w:ascii="宋体" w:hAnsi="宋体" w:eastAsia="宋体" w:cs="宋体"/>
          <w:spacing w:val="7"/>
          <w:sz w:val="23"/>
          <w:szCs w:val="23"/>
        </w:rPr>
        <w:t>尘的树木经雨水冲刷后，又可以继续发挥除尘作用，同时许多树木的芽、叶、花能分泌挥</w:t>
      </w:r>
      <w:r>
        <w:rPr>
          <w:rFonts w:ascii="宋体" w:hAnsi="宋体" w:eastAsia="宋体" w:cs="宋体"/>
          <w:sz w:val="23"/>
          <w:szCs w:val="23"/>
        </w:rPr>
        <w:t xml:space="preserve"> </w:t>
      </w:r>
      <w:r>
        <w:rPr>
          <w:rFonts w:ascii="宋体" w:hAnsi="宋体" w:eastAsia="宋体" w:cs="宋体"/>
          <w:spacing w:val="18"/>
          <w:sz w:val="23"/>
          <w:szCs w:val="23"/>
        </w:rPr>
        <w:t>发</w:t>
      </w:r>
      <w:r>
        <w:rPr>
          <w:rFonts w:ascii="宋体" w:hAnsi="宋体" w:eastAsia="宋体" w:cs="宋体"/>
          <w:spacing w:val="11"/>
          <w:sz w:val="23"/>
          <w:szCs w:val="23"/>
        </w:rPr>
        <w:t>性</w:t>
      </w:r>
      <w:r>
        <w:rPr>
          <w:rFonts w:ascii="宋体" w:hAnsi="宋体" w:eastAsia="宋体" w:cs="宋体"/>
          <w:spacing w:val="9"/>
          <w:sz w:val="23"/>
          <w:szCs w:val="23"/>
        </w:rPr>
        <w:t>植物杀菌素，具有较强的杀菌力，可杀灭一些对人畜有害的病原微生物。</w:t>
      </w:r>
    </w:p>
    <w:p w14:paraId="39713340">
      <w:pPr>
        <w:spacing w:line="228" w:lineRule="auto"/>
        <w:ind w:left="501"/>
        <w:rPr>
          <w:rFonts w:ascii="宋体" w:hAnsi="宋体" w:eastAsia="宋体" w:cs="宋体"/>
          <w:sz w:val="23"/>
          <w:szCs w:val="23"/>
        </w:rPr>
      </w:pP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7"/>
          <w:sz w:val="23"/>
          <w:szCs w:val="23"/>
        </w:rPr>
        <w:t>3</w:t>
      </w:r>
      <w:r>
        <w:rPr>
          <w:rFonts w:ascii="宋体" w:hAnsi="宋体" w:eastAsia="宋体" w:cs="宋体"/>
          <w:spacing w:val="17"/>
          <w:sz w:val="23"/>
          <w:szCs w:val="23"/>
          <w14:textOutline w14:w="4356" w14:cap="sq" w14:cmpd="sng" w14:algn="ctr">
            <w14:solidFill>
              <w14:srgbClr w14:val="000000"/>
            </w14:solidFill>
            <w14:prstDash w14:val="solid"/>
            <w14:bevel/>
          </w14:textOutline>
        </w:rPr>
        <w:t>)</w:t>
      </w:r>
      <w:r>
        <w:rPr>
          <w:rFonts w:ascii="宋体" w:hAnsi="宋体" w:eastAsia="宋体" w:cs="宋体"/>
          <w:spacing w:val="17"/>
          <w:sz w:val="23"/>
          <w:szCs w:val="23"/>
        </w:rPr>
        <w:t xml:space="preserve"> </w:t>
      </w:r>
      <w:r>
        <w:rPr>
          <w:rFonts w:ascii="宋体" w:hAnsi="宋体" w:eastAsia="宋体" w:cs="宋体"/>
          <w:spacing w:val="17"/>
          <w:sz w:val="23"/>
          <w:szCs w:val="23"/>
          <w14:textOutline w14:w="4356" w14:cap="sq" w14:cmpd="sng" w14:algn="ctr">
            <w14:solidFill>
              <w14:srgbClr w14:val="000000"/>
            </w14:solidFill>
            <w14:prstDash w14:val="solid"/>
            <w14:bevel/>
          </w14:textOutline>
        </w:rPr>
        <w:t>卫生防护距离控制</w:t>
      </w:r>
    </w:p>
    <w:p w14:paraId="46C7E249">
      <w:pPr>
        <w:spacing w:before="184" w:line="466" w:lineRule="exact"/>
        <w:ind w:left="490"/>
        <w:rPr>
          <w:rFonts w:ascii="宋体" w:hAnsi="宋体" w:eastAsia="宋体" w:cs="宋体"/>
          <w:sz w:val="23"/>
          <w:szCs w:val="23"/>
        </w:rPr>
      </w:pPr>
      <w:r>
        <w:rPr>
          <w:rFonts w:ascii="宋体" w:hAnsi="宋体" w:eastAsia="宋体" w:cs="宋体"/>
          <w:spacing w:val="12"/>
          <w:position w:val="17"/>
          <w:sz w:val="23"/>
          <w:szCs w:val="23"/>
        </w:rPr>
        <w:t>措施针</w:t>
      </w:r>
      <w:r>
        <w:rPr>
          <w:rFonts w:ascii="宋体" w:hAnsi="宋体" w:eastAsia="宋体" w:cs="宋体"/>
          <w:spacing w:val="11"/>
          <w:position w:val="17"/>
          <w:sz w:val="23"/>
          <w:szCs w:val="23"/>
        </w:rPr>
        <w:t>对</w:t>
      </w:r>
      <w:r>
        <w:rPr>
          <w:rFonts w:ascii="宋体" w:hAnsi="宋体" w:eastAsia="宋体" w:cs="宋体"/>
          <w:spacing w:val="6"/>
          <w:position w:val="17"/>
          <w:sz w:val="23"/>
          <w:szCs w:val="23"/>
        </w:rPr>
        <w:t>项目无组织排放的恶臭污染物 (</w:t>
      </w:r>
      <w:r>
        <w:rPr>
          <w:rFonts w:ascii="Times New Roman" w:hAnsi="Times New Roman" w:eastAsia="Times New Roman" w:cs="Times New Roman"/>
          <w:position w:val="17"/>
          <w:sz w:val="23"/>
          <w:szCs w:val="23"/>
        </w:rPr>
        <w:t>NH</w:t>
      </w:r>
      <w:r>
        <w:rPr>
          <w:rFonts w:ascii="Times New Roman" w:hAnsi="Times New Roman" w:eastAsia="Times New Roman" w:cs="Times New Roman"/>
          <w:spacing w:val="6"/>
          <w:position w:val="16"/>
          <w:sz w:val="15"/>
          <w:szCs w:val="15"/>
        </w:rPr>
        <w:t xml:space="preserve">3 </w:t>
      </w:r>
      <w:r>
        <w:rPr>
          <w:rFonts w:ascii="宋体" w:hAnsi="宋体" w:eastAsia="宋体" w:cs="宋体"/>
          <w:spacing w:val="6"/>
          <w:position w:val="17"/>
          <w:sz w:val="23"/>
          <w:szCs w:val="23"/>
        </w:rPr>
        <w:t xml:space="preserve">及 </w:t>
      </w:r>
      <w:r>
        <w:rPr>
          <w:rFonts w:ascii="Times New Roman" w:hAnsi="Times New Roman" w:eastAsia="Times New Roman" w:cs="Times New Roman"/>
          <w:position w:val="17"/>
          <w:sz w:val="23"/>
          <w:szCs w:val="23"/>
        </w:rPr>
        <w:t>H</w:t>
      </w:r>
      <w:r>
        <w:rPr>
          <w:rFonts w:ascii="Times New Roman" w:hAnsi="Times New Roman" w:eastAsia="Times New Roman" w:cs="Times New Roman"/>
          <w:spacing w:val="6"/>
          <w:position w:val="16"/>
          <w:sz w:val="15"/>
          <w:szCs w:val="15"/>
        </w:rPr>
        <w:t>2</w:t>
      </w:r>
      <w:r>
        <w:rPr>
          <w:rFonts w:ascii="Times New Roman" w:hAnsi="Times New Roman" w:eastAsia="Times New Roman" w:cs="Times New Roman"/>
          <w:position w:val="17"/>
          <w:sz w:val="23"/>
          <w:szCs w:val="23"/>
        </w:rPr>
        <w:t>S</w:t>
      </w:r>
      <w:r>
        <w:rPr>
          <w:rFonts w:ascii="宋体" w:hAnsi="宋体" w:eastAsia="宋体" w:cs="宋体"/>
          <w:spacing w:val="6"/>
          <w:position w:val="17"/>
          <w:sz w:val="23"/>
          <w:szCs w:val="23"/>
        </w:rPr>
        <w:t>) ，项目的厂界无组织监控点浓度</w:t>
      </w:r>
    </w:p>
    <w:p w14:paraId="7D40E1A8">
      <w:pPr>
        <w:spacing w:before="1" w:line="225" w:lineRule="auto"/>
        <w:ind w:left="9"/>
        <w:rPr>
          <w:rFonts w:ascii="宋体" w:hAnsi="宋体" w:eastAsia="宋体" w:cs="宋体"/>
          <w:sz w:val="23"/>
          <w:szCs w:val="23"/>
        </w:rPr>
      </w:pPr>
      <w:r>
        <w:rPr>
          <w:rFonts w:ascii="宋体" w:hAnsi="宋体" w:eastAsia="宋体" w:cs="宋体"/>
          <w:spacing w:val="18"/>
          <w:sz w:val="23"/>
          <w:szCs w:val="23"/>
        </w:rPr>
        <w:t>及</w:t>
      </w:r>
      <w:r>
        <w:rPr>
          <w:rFonts w:ascii="宋体" w:hAnsi="宋体" w:eastAsia="宋体" w:cs="宋体"/>
          <w:spacing w:val="14"/>
          <w:sz w:val="23"/>
          <w:szCs w:val="23"/>
        </w:rPr>
        <w:t>附</w:t>
      </w:r>
      <w:r>
        <w:rPr>
          <w:rFonts w:ascii="宋体" w:hAnsi="宋体" w:eastAsia="宋体" w:cs="宋体"/>
          <w:spacing w:val="9"/>
          <w:sz w:val="23"/>
          <w:szCs w:val="23"/>
        </w:rPr>
        <w:t>近区域环境质量均能达到相应评价标准，无需设置大气环境防护距离。</w:t>
      </w:r>
    </w:p>
    <w:p w14:paraId="3D1DF3C0">
      <w:pPr>
        <w:spacing w:before="142" w:line="387" w:lineRule="auto"/>
        <w:ind w:left="12" w:right="60" w:firstLine="478"/>
        <w:rPr>
          <w:rFonts w:ascii="宋体" w:hAnsi="宋体" w:eastAsia="宋体" w:cs="宋体"/>
          <w:sz w:val="23"/>
          <w:szCs w:val="23"/>
        </w:rPr>
      </w:pPr>
      <w:r>
        <w:rPr>
          <w:rFonts w:ascii="宋体" w:hAnsi="宋体" w:eastAsia="宋体" w:cs="宋体"/>
          <w:spacing w:val="8"/>
          <w:sz w:val="23"/>
          <w:szCs w:val="23"/>
        </w:rPr>
        <w:t>根</w:t>
      </w:r>
      <w:r>
        <w:rPr>
          <w:rFonts w:ascii="宋体" w:hAnsi="宋体" w:eastAsia="宋体" w:cs="宋体"/>
          <w:spacing w:val="6"/>
          <w:sz w:val="23"/>
          <w:szCs w:val="23"/>
        </w:rPr>
        <w:t>据</w:t>
      </w:r>
      <w:r>
        <w:rPr>
          <w:rFonts w:ascii="宋体" w:hAnsi="宋体" w:eastAsia="宋体" w:cs="宋体"/>
          <w:spacing w:val="4"/>
          <w:sz w:val="23"/>
          <w:szCs w:val="23"/>
        </w:rPr>
        <w:t>《制定地方大气污染物排放标准的技术方法》  (</w:t>
      </w:r>
      <w:r>
        <w:rPr>
          <w:rFonts w:ascii="Times New Roman" w:hAnsi="Times New Roman" w:eastAsia="Times New Roman" w:cs="Times New Roman"/>
          <w:sz w:val="23"/>
          <w:szCs w:val="23"/>
        </w:rPr>
        <w:t>GB</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4"/>
          <w:sz w:val="23"/>
          <w:szCs w:val="23"/>
        </w:rPr>
        <w:t>3840- 1991</w:t>
      </w:r>
      <w:r>
        <w:rPr>
          <w:rFonts w:ascii="宋体" w:hAnsi="宋体" w:eastAsia="宋体" w:cs="宋体"/>
          <w:spacing w:val="4"/>
          <w:sz w:val="23"/>
          <w:szCs w:val="23"/>
        </w:rPr>
        <w:t>) ，划定本项目卫</w:t>
      </w:r>
      <w:r>
        <w:rPr>
          <w:rFonts w:ascii="宋体" w:hAnsi="宋体" w:eastAsia="宋体" w:cs="宋体"/>
          <w:sz w:val="23"/>
          <w:szCs w:val="23"/>
        </w:rPr>
        <w:t xml:space="preserve"> </w:t>
      </w:r>
      <w:r>
        <w:rPr>
          <w:rFonts w:ascii="宋体" w:hAnsi="宋体" w:eastAsia="宋体" w:cs="宋体"/>
          <w:spacing w:val="12"/>
          <w:sz w:val="23"/>
          <w:szCs w:val="23"/>
        </w:rPr>
        <w:t>生防护距</w:t>
      </w:r>
      <w:r>
        <w:rPr>
          <w:rFonts w:ascii="宋体" w:hAnsi="宋体" w:eastAsia="宋体" w:cs="宋体"/>
          <w:spacing w:val="6"/>
          <w:sz w:val="23"/>
          <w:szCs w:val="23"/>
        </w:rPr>
        <w:t xml:space="preserve">离为以圈舍、异位发酵床边界起 </w:t>
      </w:r>
      <w:r>
        <w:rPr>
          <w:rFonts w:ascii="Times New Roman" w:hAnsi="Times New Roman" w:eastAsia="Times New Roman" w:cs="Times New Roman"/>
          <w:spacing w:val="6"/>
          <w:sz w:val="23"/>
          <w:szCs w:val="23"/>
        </w:rPr>
        <w:t>100</w:t>
      </w:r>
      <w:r>
        <w:rPr>
          <w:rFonts w:ascii="Times New Roman" w:hAnsi="Times New Roman" w:eastAsia="Times New Roman" w:cs="Times New Roman"/>
          <w:sz w:val="23"/>
          <w:szCs w:val="23"/>
        </w:rPr>
        <w:t>m</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的范围。根据现场勘查，与本项目最近居民</w:t>
      </w:r>
      <w:r>
        <w:rPr>
          <w:rFonts w:ascii="宋体" w:hAnsi="宋体" w:eastAsia="宋体" w:cs="宋体"/>
          <w:sz w:val="23"/>
          <w:szCs w:val="23"/>
        </w:rPr>
        <w:t xml:space="preserve"> </w:t>
      </w:r>
      <w:r>
        <w:rPr>
          <w:rFonts w:ascii="宋体" w:hAnsi="宋体" w:eastAsia="宋体" w:cs="宋体"/>
          <w:spacing w:val="4"/>
          <w:sz w:val="23"/>
          <w:szCs w:val="23"/>
        </w:rPr>
        <w:t xml:space="preserve">点为厂界东侧外 </w:t>
      </w:r>
      <w:r>
        <w:rPr>
          <w:rFonts w:ascii="Times New Roman" w:hAnsi="Times New Roman" w:eastAsia="Times New Roman" w:cs="Times New Roman"/>
          <w:spacing w:val="4"/>
          <w:sz w:val="23"/>
          <w:szCs w:val="23"/>
        </w:rPr>
        <w:t>175</w:t>
      </w:r>
      <w:r>
        <w:rPr>
          <w:rFonts w:ascii="Times New Roman" w:hAnsi="Times New Roman" w:eastAsia="Times New Roman" w:cs="Times New Roman"/>
          <w:sz w:val="23"/>
          <w:szCs w:val="23"/>
        </w:rPr>
        <w:t>m</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 xml:space="preserve">的 </w:t>
      </w:r>
      <w:r>
        <w:rPr>
          <w:rFonts w:ascii="Times New Roman" w:hAnsi="Times New Roman" w:eastAsia="Times New Roman" w:cs="Times New Roman"/>
          <w:spacing w:val="4"/>
          <w:sz w:val="23"/>
          <w:szCs w:val="23"/>
        </w:rPr>
        <w:t xml:space="preserve">3 </w:t>
      </w:r>
      <w:r>
        <w:rPr>
          <w:rFonts w:ascii="宋体" w:hAnsi="宋体" w:eastAsia="宋体" w:cs="宋体"/>
          <w:spacing w:val="4"/>
          <w:sz w:val="23"/>
          <w:szCs w:val="23"/>
        </w:rPr>
        <w:t xml:space="preserve">户周坡村 </w:t>
      </w:r>
      <w:r>
        <w:rPr>
          <w:rFonts w:ascii="Times New Roman" w:hAnsi="Times New Roman" w:eastAsia="Times New Roman" w:cs="Times New Roman"/>
          <w:spacing w:val="4"/>
          <w:sz w:val="23"/>
          <w:szCs w:val="23"/>
        </w:rPr>
        <w:t xml:space="preserve">7 </w:t>
      </w:r>
      <w:r>
        <w:rPr>
          <w:rFonts w:ascii="宋体" w:hAnsi="宋体" w:eastAsia="宋体" w:cs="宋体"/>
          <w:spacing w:val="4"/>
          <w:sz w:val="23"/>
          <w:szCs w:val="23"/>
        </w:rPr>
        <w:t>组村民，</w:t>
      </w:r>
      <w:r>
        <w:rPr>
          <w:rFonts w:ascii="Times New Roman" w:hAnsi="Times New Roman" w:eastAsia="Times New Roman" w:cs="Times New Roman"/>
          <w:spacing w:val="4"/>
          <w:sz w:val="23"/>
          <w:szCs w:val="23"/>
        </w:rPr>
        <w:t>100</w:t>
      </w:r>
      <w:r>
        <w:rPr>
          <w:rFonts w:ascii="Times New Roman" w:hAnsi="Times New Roman" w:eastAsia="Times New Roman" w:cs="Times New Roman"/>
          <w:sz w:val="23"/>
          <w:szCs w:val="23"/>
        </w:rPr>
        <w:t>m</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卫生防护距离内无常住</w:t>
      </w:r>
      <w:r>
        <w:rPr>
          <w:rFonts w:ascii="宋体" w:hAnsi="宋体" w:eastAsia="宋体" w:cs="宋体"/>
          <w:spacing w:val="3"/>
          <w:sz w:val="23"/>
          <w:szCs w:val="23"/>
        </w:rPr>
        <w:t>居</w:t>
      </w:r>
      <w:r>
        <w:rPr>
          <w:rFonts w:ascii="宋体" w:hAnsi="宋体" w:eastAsia="宋体" w:cs="宋体"/>
          <w:sz w:val="23"/>
          <w:szCs w:val="23"/>
        </w:rPr>
        <w:t>民。</w:t>
      </w:r>
    </w:p>
    <w:p w14:paraId="411CE132">
      <w:pPr>
        <w:spacing w:before="1" w:line="374" w:lineRule="auto"/>
        <w:ind w:left="10" w:right="18" w:firstLine="479"/>
        <w:rPr>
          <w:rFonts w:ascii="宋体" w:hAnsi="宋体" w:eastAsia="宋体" w:cs="宋体"/>
          <w:sz w:val="23"/>
          <w:szCs w:val="23"/>
        </w:rPr>
      </w:pPr>
      <w:r>
        <w:rPr>
          <w:rFonts w:ascii="宋体" w:hAnsi="宋体" w:eastAsia="宋体" w:cs="宋体"/>
          <w:spacing w:val="7"/>
          <w:sz w:val="23"/>
          <w:szCs w:val="23"/>
        </w:rPr>
        <w:t>评价建议营运单位在项目运营后可在厂界周边加强绿植，能有效减轻项目运营对周边</w:t>
      </w:r>
      <w:r>
        <w:rPr>
          <w:rFonts w:ascii="宋体" w:hAnsi="宋体" w:eastAsia="宋体" w:cs="宋体"/>
          <w:spacing w:val="6"/>
          <w:sz w:val="23"/>
          <w:szCs w:val="23"/>
        </w:rPr>
        <w:t>的</w:t>
      </w:r>
      <w:r>
        <w:rPr>
          <w:rFonts w:ascii="宋体" w:hAnsi="宋体" w:eastAsia="宋体" w:cs="宋体"/>
          <w:sz w:val="23"/>
          <w:szCs w:val="23"/>
        </w:rPr>
        <w:t xml:space="preserve"> </w:t>
      </w:r>
      <w:r>
        <w:rPr>
          <w:rFonts w:ascii="宋体" w:hAnsi="宋体" w:eastAsia="宋体" w:cs="宋体"/>
          <w:spacing w:val="16"/>
          <w:sz w:val="23"/>
          <w:szCs w:val="23"/>
        </w:rPr>
        <w:t>影</w:t>
      </w:r>
      <w:r>
        <w:rPr>
          <w:rFonts w:ascii="宋体" w:hAnsi="宋体" w:eastAsia="宋体" w:cs="宋体"/>
          <w:spacing w:val="12"/>
          <w:sz w:val="23"/>
          <w:szCs w:val="23"/>
        </w:rPr>
        <w:t>响</w:t>
      </w:r>
      <w:r>
        <w:rPr>
          <w:rFonts w:ascii="宋体" w:hAnsi="宋体" w:eastAsia="宋体" w:cs="宋体"/>
          <w:spacing w:val="8"/>
          <w:sz w:val="23"/>
          <w:szCs w:val="23"/>
        </w:rPr>
        <w:t>，此外，协调好各上级主管部门，建议严格控制项目卫生防护距离内的土地利用性质，</w:t>
      </w:r>
      <w:r>
        <w:rPr>
          <w:rFonts w:ascii="宋体" w:hAnsi="宋体" w:eastAsia="宋体" w:cs="宋体"/>
          <w:sz w:val="23"/>
          <w:szCs w:val="23"/>
        </w:rPr>
        <w:t xml:space="preserve"> </w:t>
      </w:r>
      <w:r>
        <w:rPr>
          <w:rFonts w:ascii="宋体" w:hAnsi="宋体" w:eastAsia="宋体" w:cs="宋体"/>
          <w:spacing w:val="10"/>
          <w:sz w:val="23"/>
          <w:szCs w:val="23"/>
        </w:rPr>
        <w:t>不</w:t>
      </w:r>
      <w:r>
        <w:rPr>
          <w:rFonts w:ascii="宋体" w:hAnsi="宋体" w:eastAsia="宋体" w:cs="宋体"/>
          <w:spacing w:val="9"/>
          <w:sz w:val="23"/>
          <w:szCs w:val="23"/>
        </w:rPr>
        <w:t>得再建设居住、学校、医院等环境敏感目标。</w:t>
      </w:r>
    </w:p>
    <w:p w14:paraId="0BF809D8">
      <w:pPr>
        <w:spacing w:before="1" w:line="228" w:lineRule="auto"/>
        <w:ind w:left="501"/>
        <w:rPr>
          <w:rFonts w:ascii="宋体" w:hAnsi="宋体" w:eastAsia="宋体" w:cs="宋体"/>
          <w:sz w:val="23"/>
          <w:szCs w:val="23"/>
        </w:rPr>
      </w:pPr>
      <w:r>
        <w:rPr>
          <w:rFonts w:ascii="宋体" w:hAnsi="宋体" w:eastAsia="宋体" w:cs="宋体"/>
          <w:spacing w:val="24"/>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3"/>
          <w:sz w:val="23"/>
          <w:szCs w:val="23"/>
        </w:rPr>
        <w:t>4</w:t>
      </w:r>
      <w:r>
        <w:rPr>
          <w:rFonts w:ascii="宋体" w:hAnsi="宋体" w:eastAsia="宋体" w:cs="宋体"/>
          <w:spacing w:val="23"/>
          <w:sz w:val="23"/>
          <w:szCs w:val="23"/>
          <w14:textOutline w14:w="4356" w14:cap="sq" w14:cmpd="sng" w14:algn="ctr">
            <w14:solidFill>
              <w14:srgbClr w14:val="000000"/>
            </w14:solidFill>
            <w14:prstDash w14:val="solid"/>
            <w14:bevel/>
          </w14:textOutline>
        </w:rPr>
        <w:t>)</w:t>
      </w:r>
      <w:r>
        <w:rPr>
          <w:rFonts w:ascii="宋体" w:hAnsi="宋体" w:eastAsia="宋体" w:cs="宋体"/>
          <w:spacing w:val="23"/>
          <w:sz w:val="23"/>
          <w:szCs w:val="23"/>
        </w:rPr>
        <w:t xml:space="preserve"> </w:t>
      </w:r>
      <w:r>
        <w:rPr>
          <w:rFonts w:ascii="宋体" w:hAnsi="宋体" w:eastAsia="宋体" w:cs="宋体"/>
          <w:spacing w:val="23"/>
          <w:sz w:val="23"/>
          <w:szCs w:val="23"/>
          <w14:textOutline w14:w="4356" w14:cap="sq" w14:cmpd="sng" w14:algn="ctr">
            <w14:solidFill>
              <w14:srgbClr w14:val="000000"/>
            </w14:solidFill>
            <w14:prstDash w14:val="solid"/>
            <w14:bevel/>
          </w14:textOutline>
        </w:rPr>
        <w:t>小结</w:t>
      </w:r>
    </w:p>
    <w:p w14:paraId="459E4C4E">
      <w:pPr>
        <w:spacing w:before="182" w:line="375" w:lineRule="auto"/>
        <w:ind w:left="25" w:right="60" w:firstLine="467"/>
        <w:rPr>
          <w:rFonts w:ascii="宋体" w:hAnsi="宋体" w:eastAsia="宋体" w:cs="宋体"/>
          <w:sz w:val="23"/>
          <w:szCs w:val="23"/>
        </w:rPr>
      </w:pPr>
      <w:r>
        <w:rPr>
          <w:rFonts w:ascii="宋体" w:hAnsi="宋体" w:eastAsia="宋体" w:cs="宋体"/>
          <w:spacing w:val="7"/>
          <w:sz w:val="23"/>
          <w:szCs w:val="23"/>
        </w:rPr>
        <w:t>综上所述，通过对猪舍、异位微生物发酵床及集污池等主要恶臭污染源采取有效的污</w:t>
      </w:r>
      <w:r>
        <w:rPr>
          <w:rFonts w:ascii="宋体" w:hAnsi="宋体" w:eastAsia="宋体" w:cs="宋体"/>
          <w:spacing w:val="3"/>
          <w:sz w:val="23"/>
          <w:szCs w:val="23"/>
        </w:rPr>
        <w:t>染</w:t>
      </w:r>
      <w:r>
        <w:rPr>
          <w:rFonts w:ascii="宋体" w:hAnsi="宋体" w:eastAsia="宋体" w:cs="宋体"/>
          <w:sz w:val="23"/>
          <w:szCs w:val="23"/>
        </w:rPr>
        <w:t xml:space="preserve"> </w:t>
      </w:r>
      <w:r>
        <w:rPr>
          <w:rFonts w:ascii="宋体" w:hAnsi="宋体" w:eastAsia="宋体" w:cs="宋体"/>
          <w:spacing w:val="8"/>
          <w:sz w:val="23"/>
          <w:szCs w:val="23"/>
        </w:rPr>
        <w:t>防</w:t>
      </w:r>
      <w:r>
        <w:rPr>
          <w:rFonts w:ascii="宋体" w:hAnsi="宋体" w:eastAsia="宋体" w:cs="宋体"/>
          <w:spacing w:val="5"/>
          <w:sz w:val="23"/>
          <w:szCs w:val="23"/>
        </w:rPr>
        <w:t xml:space="preserve">治措施后，营运期，项目无组织排放的恶臭污染物 </w:t>
      </w:r>
      <w:r>
        <w:rPr>
          <w:rFonts w:ascii="Times New Roman" w:hAnsi="Times New Roman" w:eastAsia="Times New Roman" w:cs="Times New Roman"/>
          <w:sz w:val="23"/>
          <w:szCs w:val="23"/>
        </w:rPr>
        <w:t>NH</w:t>
      </w:r>
      <w:r>
        <w:rPr>
          <w:rFonts w:ascii="Times New Roman" w:hAnsi="Times New Roman" w:eastAsia="Times New Roman" w:cs="Times New Roman"/>
          <w:spacing w:val="5"/>
          <w:position w:val="-1"/>
          <w:sz w:val="15"/>
          <w:szCs w:val="15"/>
        </w:rPr>
        <w:t xml:space="preserve">3 </w:t>
      </w:r>
      <w:r>
        <w:rPr>
          <w:rFonts w:ascii="宋体" w:hAnsi="宋体" w:eastAsia="宋体" w:cs="宋体"/>
          <w:spacing w:val="5"/>
          <w:sz w:val="23"/>
          <w:szCs w:val="23"/>
        </w:rPr>
        <w:t>、</w:t>
      </w:r>
      <w:r>
        <w:rPr>
          <w:rFonts w:ascii="Times New Roman" w:hAnsi="Times New Roman" w:eastAsia="Times New Roman" w:cs="Times New Roman"/>
          <w:sz w:val="23"/>
          <w:szCs w:val="23"/>
        </w:rPr>
        <w:t>H</w:t>
      </w:r>
      <w:r>
        <w:rPr>
          <w:rFonts w:ascii="Times New Roman" w:hAnsi="Times New Roman" w:eastAsia="Times New Roman" w:cs="Times New Roman"/>
          <w:spacing w:val="5"/>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等浓度可满足《恶臭污染物</w:t>
      </w:r>
    </w:p>
    <w:p w14:paraId="64E225F3">
      <w:pPr>
        <w:spacing w:line="228" w:lineRule="auto"/>
        <w:ind w:left="10"/>
        <w:rPr>
          <w:rFonts w:ascii="宋体" w:hAnsi="宋体" w:eastAsia="宋体" w:cs="宋体"/>
          <w:sz w:val="23"/>
          <w:szCs w:val="23"/>
        </w:rPr>
      </w:pPr>
      <w:r>
        <w:rPr>
          <w:rFonts w:ascii="宋体" w:hAnsi="宋体" w:eastAsia="宋体" w:cs="宋体"/>
          <w:spacing w:val="8"/>
          <w:sz w:val="23"/>
          <w:szCs w:val="23"/>
        </w:rPr>
        <w:t>排</w:t>
      </w:r>
      <w:r>
        <w:rPr>
          <w:rFonts w:ascii="宋体" w:hAnsi="宋体" w:eastAsia="宋体" w:cs="宋体"/>
          <w:spacing w:val="5"/>
          <w:sz w:val="23"/>
          <w:szCs w:val="23"/>
        </w:rPr>
        <w:t>放</w:t>
      </w:r>
      <w:r>
        <w:rPr>
          <w:rFonts w:ascii="宋体" w:hAnsi="宋体" w:eastAsia="宋体" w:cs="宋体"/>
          <w:spacing w:val="4"/>
          <w:sz w:val="23"/>
          <w:szCs w:val="23"/>
        </w:rPr>
        <w:t>标准》  (</w:t>
      </w:r>
      <w:r>
        <w:rPr>
          <w:rFonts w:ascii="Times New Roman" w:hAnsi="Times New Roman" w:eastAsia="Times New Roman" w:cs="Times New Roman"/>
          <w:sz w:val="23"/>
          <w:szCs w:val="23"/>
        </w:rPr>
        <w:t>GB</w:t>
      </w:r>
      <w:r>
        <w:rPr>
          <w:rFonts w:ascii="Times New Roman" w:hAnsi="Times New Roman" w:eastAsia="Times New Roman" w:cs="Times New Roman"/>
          <w:spacing w:val="4"/>
          <w:sz w:val="23"/>
          <w:szCs w:val="23"/>
        </w:rPr>
        <w:t>14554-93</w:t>
      </w:r>
      <w:r>
        <w:rPr>
          <w:rFonts w:ascii="宋体" w:hAnsi="宋体" w:eastAsia="宋体" w:cs="宋体"/>
          <w:spacing w:val="4"/>
          <w:sz w:val="23"/>
          <w:szCs w:val="23"/>
        </w:rPr>
        <w:t>) 相关标准要求，对环境影响不大。</w:t>
      </w:r>
    </w:p>
    <w:p w14:paraId="52D6BE68">
      <w:pPr>
        <w:sectPr>
          <w:headerReference r:id="rId254" w:type="default"/>
          <w:footerReference r:id="rId255" w:type="default"/>
          <w:pgSz w:w="11906" w:h="16839"/>
          <w:pgMar w:top="1113" w:right="1069" w:bottom="1157" w:left="1275" w:header="878" w:footer="994" w:gutter="0"/>
          <w:cols w:space="720" w:num="1"/>
        </w:sectPr>
      </w:pPr>
    </w:p>
    <w:p w14:paraId="13538189">
      <w:pPr>
        <w:spacing w:before="198" w:line="303" w:lineRule="exact"/>
        <w:ind w:left="486"/>
        <w:rPr>
          <w:rFonts w:ascii="宋体" w:hAnsi="宋体" w:eastAsia="宋体" w:cs="宋体"/>
          <w:sz w:val="23"/>
          <w:szCs w:val="23"/>
        </w:rPr>
      </w:pPr>
      <w:r>
        <w:rPr>
          <w:rFonts w:ascii="Times New Roman" w:hAnsi="Times New Roman" w:eastAsia="Times New Roman" w:cs="Times New Roman"/>
          <w:b/>
          <w:bCs/>
          <w:spacing w:val="-2"/>
          <w:position w:val="1"/>
          <w:sz w:val="23"/>
          <w:szCs w:val="23"/>
        </w:rPr>
        <w:t>2</w:t>
      </w:r>
      <w:r>
        <w:rPr>
          <w:rFonts w:ascii="Times New Roman" w:hAnsi="Times New Roman" w:eastAsia="Times New Roman" w:cs="Times New Roman"/>
          <w:spacing w:val="-2"/>
          <w:position w:val="1"/>
          <w:sz w:val="23"/>
          <w:szCs w:val="23"/>
        </w:rPr>
        <w:t xml:space="preserve"> </w:t>
      </w:r>
      <w:r>
        <w:rPr>
          <w:rFonts w:ascii="宋体" w:hAnsi="宋体" w:eastAsia="宋体" w:cs="宋体"/>
          <w:spacing w:val="-1"/>
          <w:position w:val="1"/>
          <w:sz w:val="23"/>
          <w:szCs w:val="23"/>
          <w14:textOutline w14:w="4356" w14:cap="sq" w14:cmpd="sng" w14:algn="ctr">
            <w14:solidFill>
              <w14:srgbClr w14:val="000000"/>
            </w14:solidFill>
            <w14:prstDash w14:val="solid"/>
            <w14:bevel/>
          </w14:textOutline>
        </w:rPr>
        <w:t>、食堂油烟</w:t>
      </w:r>
    </w:p>
    <w:p w14:paraId="059D31E0">
      <w:pPr>
        <w:tabs>
          <w:tab w:val="left" w:pos="136"/>
        </w:tabs>
        <w:spacing w:before="162" w:line="375" w:lineRule="auto"/>
        <w:ind w:left="11" w:right="65" w:firstLine="479"/>
        <w:rPr>
          <w:rFonts w:ascii="宋体" w:hAnsi="宋体" w:eastAsia="宋体" w:cs="宋体"/>
          <w:sz w:val="23"/>
          <w:szCs w:val="23"/>
        </w:rPr>
      </w:pPr>
      <w:r>
        <w:rPr>
          <w:rFonts w:ascii="宋体" w:hAnsi="宋体" w:eastAsia="宋体" w:cs="宋体"/>
          <w:spacing w:val="7"/>
          <w:sz w:val="23"/>
          <w:szCs w:val="23"/>
        </w:rPr>
        <w:t>食堂燃料主要以电能为主。营运期项目食堂排放的污染物主要以油烟废气为主。堂烹</w:t>
      </w:r>
      <w:r>
        <w:rPr>
          <w:rFonts w:ascii="宋体" w:hAnsi="宋体" w:eastAsia="宋体" w:cs="宋体"/>
          <w:spacing w:val="6"/>
          <w:sz w:val="23"/>
          <w:szCs w:val="23"/>
        </w:rPr>
        <w:t>饪</w:t>
      </w:r>
      <w:r>
        <w:rPr>
          <w:rFonts w:ascii="宋体" w:hAnsi="宋体" w:eastAsia="宋体" w:cs="宋体"/>
          <w:sz w:val="23"/>
          <w:szCs w:val="23"/>
        </w:rPr>
        <w:t xml:space="preserve"> </w:t>
      </w:r>
      <w:r>
        <w:rPr>
          <w:rFonts w:ascii="宋体" w:hAnsi="宋体" w:eastAsia="宋体" w:cs="宋体"/>
          <w:spacing w:val="10"/>
          <w:sz w:val="23"/>
          <w:szCs w:val="23"/>
        </w:rPr>
        <w:t>过程产</w:t>
      </w:r>
      <w:r>
        <w:rPr>
          <w:rFonts w:ascii="宋体" w:hAnsi="宋体" w:eastAsia="宋体" w:cs="宋体"/>
          <w:spacing w:val="8"/>
          <w:sz w:val="23"/>
          <w:szCs w:val="23"/>
        </w:rPr>
        <w:t>生</w:t>
      </w:r>
      <w:r>
        <w:rPr>
          <w:rFonts w:ascii="宋体" w:hAnsi="宋体" w:eastAsia="宋体" w:cs="宋体"/>
          <w:spacing w:val="5"/>
          <w:sz w:val="23"/>
          <w:szCs w:val="23"/>
        </w:rPr>
        <w:t>的油烟废气采用油烟净化设施处理达《饮食业油烟排放标准》  (试行)</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15"/>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8"/>
          <w:sz w:val="23"/>
          <w:szCs w:val="23"/>
        </w:rPr>
        <w:t>18483-2001</w:t>
      </w:r>
      <w:r>
        <w:rPr>
          <w:rFonts w:ascii="宋体" w:hAnsi="宋体" w:eastAsia="宋体" w:cs="宋体"/>
          <w:spacing w:val="8"/>
          <w:sz w:val="23"/>
          <w:szCs w:val="23"/>
        </w:rPr>
        <w:t>) 后，由专用烟道引致食堂所在建筑物的屋顶排放，对环境影响较小。</w:t>
      </w:r>
    </w:p>
    <w:p w14:paraId="7A8F0E53">
      <w:pPr>
        <w:spacing w:line="303" w:lineRule="exact"/>
        <w:ind w:left="484"/>
        <w:rPr>
          <w:rFonts w:ascii="宋体" w:hAnsi="宋体" w:eastAsia="宋体" w:cs="宋体"/>
          <w:sz w:val="23"/>
          <w:szCs w:val="23"/>
        </w:rPr>
      </w:pPr>
      <w:r>
        <w:rPr>
          <w:rFonts w:ascii="Times New Roman" w:hAnsi="Times New Roman" w:eastAsia="Times New Roman" w:cs="Times New Roman"/>
          <w:b/>
          <w:bCs/>
          <w:spacing w:val="3"/>
          <w:position w:val="1"/>
          <w:sz w:val="23"/>
          <w:szCs w:val="23"/>
        </w:rPr>
        <w:t>3</w:t>
      </w:r>
      <w:r>
        <w:rPr>
          <w:rFonts w:ascii="Times New Roman" w:hAnsi="Times New Roman" w:eastAsia="Times New Roman" w:cs="Times New Roman"/>
          <w:spacing w:val="3"/>
          <w:position w:val="1"/>
          <w:sz w:val="23"/>
          <w:szCs w:val="23"/>
        </w:rPr>
        <w:t xml:space="preserve"> </w:t>
      </w:r>
      <w:r>
        <w:rPr>
          <w:rFonts w:ascii="宋体" w:hAnsi="宋体" w:eastAsia="宋体" w:cs="宋体"/>
          <w:spacing w:val="3"/>
          <w:position w:val="1"/>
          <w:sz w:val="23"/>
          <w:szCs w:val="23"/>
          <w14:textOutline w14:w="4356" w14:cap="sq" w14:cmpd="sng" w14:algn="ctr">
            <w14:solidFill>
              <w14:srgbClr w14:val="000000"/>
            </w14:solidFill>
            <w14:prstDash w14:val="solid"/>
            <w14:bevel/>
          </w14:textOutline>
        </w:rPr>
        <w:t>、备用发电机烟气</w:t>
      </w:r>
    </w:p>
    <w:p w14:paraId="5D258FF2">
      <w:pPr>
        <w:spacing w:before="164" w:line="375" w:lineRule="auto"/>
        <w:ind w:left="14" w:right="1" w:firstLine="476"/>
        <w:rPr>
          <w:rFonts w:ascii="宋体" w:hAnsi="宋体" w:eastAsia="宋体" w:cs="宋体"/>
          <w:sz w:val="23"/>
          <w:szCs w:val="23"/>
        </w:rPr>
      </w:pPr>
      <w:r>
        <w:rPr>
          <w:rFonts w:ascii="宋体" w:hAnsi="宋体" w:eastAsia="宋体" w:cs="宋体"/>
          <w:spacing w:val="4"/>
          <w:sz w:val="23"/>
          <w:szCs w:val="23"/>
        </w:rPr>
        <w:t>根据区域电力供应情况</w:t>
      </w:r>
      <w:r>
        <w:rPr>
          <w:rFonts w:ascii="宋体" w:hAnsi="宋体" w:eastAsia="宋体" w:cs="宋体"/>
          <w:spacing w:val="2"/>
          <w:sz w:val="23"/>
          <w:szCs w:val="23"/>
        </w:rPr>
        <w:t>分析，项目备用发电机的使用时间、几率较少，产生烟气量较小，</w:t>
      </w:r>
      <w:r>
        <w:rPr>
          <w:rFonts w:ascii="宋体" w:hAnsi="宋体" w:eastAsia="宋体" w:cs="宋体"/>
          <w:sz w:val="23"/>
          <w:szCs w:val="23"/>
        </w:rPr>
        <w:t xml:space="preserve"> </w:t>
      </w:r>
      <w:r>
        <w:rPr>
          <w:rFonts w:ascii="宋体" w:hAnsi="宋体" w:eastAsia="宋体" w:cs="宋体"/>
          <w:spacing w:val="17"/>
          <w:sz w:val="23"/>
          <w:szCs w:val="23"/>
        </w:rPr>
        <w:t>一</w:t>
      </w:r>
      <w:r>
        <w:rPr>
          <w:rFonts w:ascii="宋体" w:hAnsi="宋体" w:eastAsia="宋体" w:cs="宋体"/>
          <w:spacing w:val="9"/>
          <w:sz w:val="23"/>
          <w:szCs w:val="23"/>
        </w:rPr>
        <w:t>般柴油发电机都自带烟气净化装置，烟气经处理后能够实现达标排放。</w:t>
      </w:r>
    </w:p>
    <w:p w14:paraId="05101241">
      <w:pPr>
        <w:spacing w:before="1" w:line="374" w:lineRule="auto"/>
        <w:ind w:left="11" w:right="65" w:firstLine="481"/>
        <w:rPr>
          <w:rFonts w:ascii="宋体" w:hAnsi="宋体" w:eastAsia="宋体" w:cs="宋体"/>
          <w:sz w:val="23"/>
          <w:szCs w:val="23"/>
        </w:rPr>
      </w:pPr>
      <w:r>
        <w:rPr>
          <w:rFonts w:ascii="宋体" w:hAnsi="宋体" w:eastAsia="宋体" w:cs="宋体"/>
          <w:spacing w:val="7"/>
          <w:sz w:val="23"/>
          <w:szCs w:val="23"/>
        </w:rPr>
        <w:t>综上，经采取上述措施后，本项目废气均可做到达标排放，所选用污染治理措施均从</w:t>
      </w:r>
      <w:r>
        <w:rPr>
          <w:rFonts w:ascii="宋体" w:hAnsi="宋体" w:eastAsia="宋体" w:cs="宋体"/>
          <w:spacing w:val="3"/>
          <w:sz w:val="23"/>
          <w:szCs w:val="23"/>
        </w:rPr>
        <w:t>经</w:t>
      </w:r>
      <w:r>
        <w:rPr>
          <w:rFonts w:ascii="宋体" w:hAnsi="宋体" w:eastAsia="宋体" w:cs="宋体"/>
          <w:sz w:val="23"/>
          <w:szCs w:val="23"/>
        </w:rPr>
        <w:t xml:space="preserve"> </w:t>
      </w:r>
      <w:r>
        <w:rPr>
          <w:rFonts w:ascii="宋体" w:hAnsi="宋体" w:eastAsia="宋体" w:cs="宋体"/>
          <w:spacing w:val="11"/>
          <w:sz w:val="23"/>
          <w:szCs w:val="23"/>
        </w:rPr>
        <w:t>济</w:t>
      </w:r>
      <w:r>
        <w:rPr>
          <w:rFonts w:ascii="宋体" w:hAnsi="宋体" w:eastAsia="宋体" w:cs="宋体"/>
          <w:spacing w:val="7"/>
          <w:sz w:val="23"/>
          <w:szCs w:val="23"/>
        </w:rPr>
        <w:t>、环境方面综合考虑，具有可行性。因此，本评价认为，运营期废气污染防治措施经济技</w:t>
      </w:r>
      <w:r>
        <w:rPr>
          <w:rFonts w:ascii="宋体" w:hAnsi="宋体" w:eastAsia="宋体" w:cs="宋体"/>
          <w:sz w:val="23"/>
          <w:szCs w:val="23"/>
        </w:rPr>
        <w:t xml:space="preserve"> </w:t>
      </w:r>
      <w:r>
        <w:rPr>
          <w:rFonts w:ascii="宋体" w:hAnsi="宋体" w:eastAsia="宋体" w:cs="宋体"/>
          <w:spacing w:val="5"/>
          <w:sz w:val="23"/>
          <w:szCs w:val="23"/>
        </w:rPr>
        <w:t>术可行</w:t>
      </w:r>
      <w:r>
        <w:rPr>
          <w:rFonts w:ascii="宋体" w:hAnsi="宋体" w:eastAsia="宋体" w:cs="宋体"/>
          <w:spacing w:val="4"/>
          <w:sz w:val="23"/>
          <w:szCs w:val="23"/>
        </w:rPr>
        <w:t>。</w:t>
      </w:r>
    </w:p>
    <w:p w14:paraId="54990B33">
      <w:pPr>
        <w:spacing w:line="228" w:lineRule="auto"/>
        <w:ind w:left="9"/>
        <w:outlineLvl w:val="2"/>
        <w:rPr>
          <w:rFonts w:ascii="宋体" w:hAnsi="宋体" w:eastAsia="宋体" w:cs="宋体"/>
          <w:sz w:val="23"/>
          <w:szCs w:val="23"/>
        </w:rPr>
      </w:pPr>
      <w:r>
        <w:rPr>
          <w:rFonts w:ascii="Times New Roman" w:hAnsi="Times New Roman" w:eastAsia="Times New Roman" w:cs="Times New Roman"/>
          <w:b/>
          <w:bCs/>
          <w:spacing w:val="14"/>
          <w:sz w:val="23"/>
          <w:szCs w:val="23"/>
        </w:rPr>
        <w:t>6</w:t>
      </w:r>
      <w:r>
        <w:rPr>
          <w:rFonts w:ascii="Times New Roman" w:hAnsi="Times New Roman" w:eastAsia="Times New Roman" w:cs="Times New Roman"/>
          <w:b/>
          <w:bCs/>
          <w:spacing w:val="11"/>
          <w:sz w:val="23"/>
          <w:szCs w:val="23"/>
        </w:rPr>
        <w:t>.</w:t>
      </w:r>
      <w:r>
        <w:rPr>
          <w:rFonts w:ascii="Times New Roman" w:hAnsi="Times New Roman" w:eastAsia="Times New Roman" w:cs="Times New Roman"/>
          <w:b/>
          <w:bCs/>
          <w:spacing w:val="7"/>
          <w:sz w:val="23"/>
          <w:szCs w:val="23"/>
        </w:rPr>
        <w:t>2.4</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噪声污染防治措施分析</w:t>
      </w:r>
    </w:p>
    <w:p w14:paraId="0E4F773A">
      <w:pPr>
        <w:spacing w:before="185" w:line="374" w:lineRule="auto"/>
        <w:ind w:left="12" w:right="63" w:firstLine="478"/>
        <w:rPr>
          <w:rFonts w:ascii="宋体" w:hAnsi="宋体" w:eastAsia="宋体" w:cs="宋体"/>
          <w:sz w:val="23"/>
          <w:szCs w:val="23"/>
        </w:rPr>
      </w:pPr>
      <w:r>
        <w:rPr>
          <w:rFonts w:ascii="宋体" w:hAnsi="宋体" w:eastAsia="宋体" w:cs="宋体"/>
          <w:spacing w:val="8"/>
          <w:sz w:val="23"/>
          <w:szCs w:val="23"/>
        </w:rPr>
        <w:t>根</w:t>
      </w:r>
      <w:r>
        <w:rPr>
          <w:rFonts w:ascii="宋体" w:hAnsi="宋体" w:eastAsia="宋体" w:cs="宋体"/>
          <w:spacing w:val="7"/>
          <w:sz w:val="23"/>
          <w:szCs w:val="23"/>
        </w:rPr>
        <w:t>据项目设计要求，建设项目拟通过选用低噪声设备，对高噪声设备分别采用减振、吸</w:t>
      </w:r>
      <w:r>
        <w:rPr>
          <w:rFonts w:ascii="宋体" w:hAnsi="宋体" w:eastAsia="宋体" w:cs="宋体"/>
          <w:sz w:val="23"/>
          <w:szCs w:val="23"/>
        </w:rPr>
        <w:t xml:space="preserve"> </w:t>
      </w:r>
      <w:r>
        <w:rPr>
          <w:rFonts w:ascii="宋体" w:hAnsi="宋体" w:eastAsia="宋体" w:cs="宋体"/>
          <w:spacing w:val="10"/>
          <w:sz w:val="23"/>
          <w:szCs w:val="23"/>
        </w:rPr>
        <w:t>音</w:t>
      </w:r>
      <w:r>
        <w:rPr>
          <w:rFonts w:ascii="宋体" w:hAnsi="宋体" w:eastAsia="宋体" w:cs="宋体"/>
          <w:spacing w:val="7"/>
          <w:sz w:val="23"/>
          <w:szCs w:val="23"/>
        </w:rPr>
        <w:t>、消声与隔声处理，并通过合理布局等措施降低噪声对周围环境的影响，噪声污染的处理</w:t>
      </w:r>
      <w:r>
        <w:rPr>
          <w:rFonts w:ascii="宋体" w:hAnsi="宋体" w:eastAsia="宋体" w:cs="宋体"/>
          <w:sz w:val="23"/>
          <w:szCs w:val="23"/>
        </w:rPr>
        <w:t xml:space="preserve"> </w:t>
      </w:r>
      <w:r>
        <w:rPr>
          <w:rFonts w:ascii="宋体" w:hAnsi="宋体" w:eastAsia="宋体" w:cs="宋体"/>
          <w:spacing w:val="16"/>
          <w:sz w:val="23"/>
          <w:szCs w:val="23"/>
        </w:rPr>
        <w:t>以</w:t>
      </w:r>
      <w:r>
        <w:rPr>
          <w:rFonts w:ascii="宋体" w:hAnsi="宋体" w:eastAsia="宋体" w:cs="宋体"/>
          <w:spacing w:val="12"/>
          <w:sz w:val="23"/>
          <w:szCs w:val="23"/>
        </w:rPr>
        <w:t>防</w:t>
      </w:r>
      <w:r>
        <w:rPr>
          <w:rFonts w:ascii="宋体" w:hAnsi="宋体" w:eastAsia="宋体" w:cs="宋体"/>
          <w:spacing w:val="8"/>
          <w:sz w:val="23"/>
          <w:szCs w:val="23"/>
        </w:rPr>
        <w:t>治为主，防治噪声污染的措施有：</w:t>
      </w:r>
    </w:p>
    <w:p w14:paraId="199D9B6D">
      <w:pPr>
        <w:spacing w:before="1" w:line="375" w:lineRule="auto"/>
        <w:ind w:left="29" w:right="65" w:firstLine="459"/>
        <w:rPr>
          <w:rFonts w:ascii="宋体" w:hAnsi="宋体" w:eastAsia="宋体" w:cs="宋体"/>
          <w:sz w:val="23"/>
          <w:szCs w:val="23"/>
        </w:rPr>
      </w:pPr>
      <w:r>
        <w:rPr>
          <w:rFonts w:ascii="宋体" w:hAnsi="宋体" w:eastAsia="宋体" w:cs="宋体"/>
          <w:spacing w:val="7"/>
          <w:sz w:val="23"/>
          <w:szCs w:val="23"/>
        </w:rPr>
        <w:t>①注意设备选型及安装。在设备选型方面，满足工艺生产的前提下，选用低噪、振动</w:t>
      </w:r>
      <w:r>
        <w:rPr>
          <w:rFonts w:ascii="宋体" w:hAnsi="宋体" w:eastAsia="宋体" w:cs="宋体"/>
          <w:spacing w:val="6"/>
          <w:sz w:val="23"/>
          <w:szCs w:val="23"/>
        </w:rPr>
        <w:t>小</w:t>
      </w:r>
      <w:r>
        <w:rPr>
          <w:rFonts w:ascii="宋体" w:hAnsi="宋体" w:eastAsia="宋体" w:cs="宋体"/>
          <w:sz w:val="23"/>
          <w:szCs w:val="23"/>
        </w:rPr>
        <w:t xml:space="preserve"> </w:t>
      </w:r>
      <w:r>
        <w:rPr>
          <w:rFonts w:ascii="宋体" w:hAnsi="宋体" w:eastAsia="宋体" w:cs="宋体"/>
          <w:spacing w:val="16"/>
          <w:sz w:val="23"/>
          <w:szCs w:val="23"/>
        </w:rPr>
        <w:t>的设备</w:t>
      </w:r>
      <w:r>
        <w:rPr>
          <w:rFonts w:ascii="宋体" w:hAnsi="宋体" w:eastAsia="宋体" w:cs="宋体"/>
          <w:spacing w:val="8"/>
          <w:sz w:val="23"/>
          <w:szCs w:val="23"/>
        </w:rPr>
        <w:t>。在安装时，对风机、水泵等高噪声设备须采取减震、隔震措施。</w:t>
      </w:r>
    </w:p>
    <w:p w14:paraId="4E6076A5">
      <w:pPr>
        <w:spacing w:line="225" w:lineRule="auto"/>
        <w:ind w:left="488"/>
        <w:rPr>
          <w:rFonts w:ascii="宋体" w:hAnsi="宋体" w:eastAsia="宋体" w:cs="宋体"/>
          <w:sz w:val="23"/>
          <w:szCs w:val="23"/>
        </w:rPr>
      </w:pPr>
      <w:r>
        <w:rPr>
          <w:rFonts w:ascii="宋体" w:hAnsi="宋体" w:eastAsia="宋体" w:cs="宋体"/>
          <w:spacing w:val="14"/>
          <w:sz w:val="23"/>
          <w:szCs w:val="23"/>
        </w:rPr>
        <w:t>②</w:t>
      </w:r>
      <w:r>
        <w:rPr>
          <w:rFonts w:ascii="宋体" w:hAnsi="宋体" w:eastAsia="宋体" w:cs="宋体"/>
          <w:spacing w:val="8"/>
          <w:sz w:val="23"/>
          <w:szCs w:val="23"/>
        </w:rPr>
        <w:t>对水帘风机安装减振垫。</w:t>
      </w:r>
    </w:p>
    <w:p w14:paraId="65B46DCF">
      <w:pPr>
        <w:spacing w:before="185" w:line="225" w:lineRule="auto"/>
        <w:ind w:left="488"/>
        <w:rPr>
          <w:rFonts w:ascii="宋体" w:hAnsi="宋体" w:eastAsia="宋体" w:cs="宋体"/>
          <w:sz w:val="23"/>
          <w:szCs w:val="23"/>
        </w:rPr>
      </w:pPr>
      <w:r>
        <w:rPr>
          <w:rFonts w:ascii="宋体" w:hAnsi="宋体" w:eastAsia="宋体" w:cs="宋体"/>
          <w:spacing w:val="18"/>
          <w:sz w:val="23"/>
          <w:szCs w:val="23"/>
        </w:rPr>
        <w:t>③</w:t>
      </w:r>
      <w:r>
        <w:rPr>
          <w:rFonts w:ascii="宋体" w:hAnsi="宋体" w:eastAsia="宋体" w:cs="宋体"/>
          <w:spacing w:val="14"/>
          <w:sz w:val="23"/>
          <w:szCs w:val="23"/>
        </w:rPr>
        <w:t>猪</w:t>
      </w:r>
      <w:r>
        <w:rPr>
          <w:rFonts w:ascii="宋体" w:hAnsi="宋体" w:eastAsia="宋体" w:cs="宋体"/>
          <w:spacing w:val="9"/>
          <w:sz w:val="23"/>
          <w:szCs w:val="23"/>
        </w:rPr>
        <w:t>舍四周加强绿化，场界四周种植高大乔木，加强对噪声的隔阻效果。</w:t>
      </w:r>
    </w:p>
    <w:p w14:paraId="55E57E2E">
      <w:pPr>
        <w:spacing w:before="186" w:line="375" w:lineRule="auto"/>
        <w:ind w:left="9" w:right="65" w:firstLine="479"/>
        <w:rPr>
          <w:rFonts w:ascii="宋体" w:hAnsi="宋体" w:eastAsia="宋体" w:cs="宋体"/>
          <w:sz w:val="23"/>
          <w:szCs w:val="23"/>
        </w:rPr>
      </w:pPr>
      <w:r>
        <w:rPr>
          <w:rFonts w:ascii="宋体" w:hAnsi="宋体" w:eastAsia="宋体" w:cs="宋体"/>
          <w:spacing w:val="7"/>
          <w:sz w:val="23"/>
          <w:szCs w:val="23"/>
        </w:rPr>
        <w:t>④加强管理，降低人为噪声。建立设备定期维护，保养的管理制度，以防止设备故障形</w:t>
      </w:r>
      <w:r>
        <w:rPr>
          <w:rFonts w:ascii="宋体" w:hAnsi="宋体" w:eastAsia="宋体" w:cs="宋体"/>
          <w:sz w:val="23"/>
          <w:szCs w:val="23"/>
        </w:rPr>
        <w:t xml:space="preserve"> </w:t>
      </w:r>
      <w:r>
        <w:rPr>
          <w:rFonts w:ascii="宋体" w:hAnsi="宋体" w:eastAsia="宋体" w:cs="宋体"/>
          <w:spacing w:val="12"/>
          <w:sz w:val="23"/>
          <w:szCs w:val="23"/>
        </w:rPr>
        <w:t>成</w:t>
      </w:r>
      <w:r>
        <w:rPr>
          <w:rFonts w:ascii="宋体" w:hAnsi="宋体" w:eastAsia="宋体" w:cs="宋体"/>
          <w:spacing w:val="7"/>
          <w:sz w:val="23"/>
          <w:szCs w:val="23"/>
        </w:rPr>
        <w:t>的非生产噪声，同时确保环保措施发挥最有效的功能；加强职工环保意识教育，提倡文明</w:t>
      </w:r>
      <w:r>
        <w:rPr>
          <w:rFonts w:ascii="宋体" w:hAnsi="宋体" w:eastAsia="宋体" w:cs="宋体"/>
          <w:sz w:val="23"/>
          <w:szCs w:val="23"/>
        </w:rPr>
        <w:t xml:space="preserve"> </w:t>
      </w:r>
      <w:r>
        <w:rPr>
          <w:rFonts w:ascii="宋体" w:hAnsi="宋体" w:eastAsia="宋体" w:cs="宋体"/>
          <w:spacing w:val="7"/>
          <w:sz w:val="23"/>
          <w:szCs w:val="23"/>
        </w:rPr>
        <w:t>生产，防止人为噪声；对于场区内流动声源 (汽车) ，应强化行车管理制度，严禁鸣号</w:t>
      </w:r>
      <w:r>
        <w:rPr>
          <w:rFonts w:ascii="宋体" w:hAnsi="宋体" w:eastAsia="宋体" w:cs="宋体"/>
          <w:spacing w:val="5"/>
          <w:sz w:val="23"/>
          <w:szCs w:val="23"/>
        </w:rPr>
        <w:t>，</w:t>
      </w:r>
      <w:r>
        <w:rPr>
          <w:rFonts w:ascii="宋体" w:hAnsi="宋体" w:eastAsia="宋体" w:cs="宋体"/>
          <w:sz w:val="23"/>
          <w:szCs w:val="23"/>
        </w:rPr>
        <w:t xml:space="preserve">进 </w:t>
      </w:r>
      <w:r>
        <w:rPr>
          <w:rFonts w:ascii="宋体" w:hAnsi="宋体" w:eastAsia="宋体" w:cs="宋体"/>
          <w:spacing w:val="10"/>
          <w:sz w:val="23"/>
          <w:szCs w:val="23"/>
        </w:rPr>
        <w:t>入</w:t>
      </w:r>
      <w:r>
        <w:rPr>
          <w:rFonts w:ascii="宋体" w:hAnsi="宋体" w:eastAsia="宋体" w:cs="宋体"/>
          <w:spacing w:val="9"/>
          <w:sz w:val="23"/>
          <w:szCs w:val="23"/>
        </w:rPr>
        <w:t>场区低速行使，最大限度减少流动噪声源。</w:t>
      </w:r>
    </w:p>
    <w:p w14:paraId="60269EB3">
      <w:pPr>
        <w:spacing w:before="2" w:line="374" w:lineRule="auto"/>
        <w:ind w:left="11" w:firstLine="506"/>
        <w:rPr>
          <w:rFonts w:ascii="宋体" w:hAnsi="宋体" w:eastAsia="宋体" w:cs="宋体"/>
          <w:sz w:val="23"/>
          <w:szCs w:val="23"/>
        </w:rPr>
      </w:pPr>
      <w:r>
        <w:rPr>
          <w:rFonts w:ascii="宋体" w:hAnsi="宋体" w:eastAsia="宋体" w:cs="宋体"/>
          <w:spacing w:val="8"/>
          <w:sz w:val="23"/>
          <w:szCs w:val="23"/>
        </w:rPr>
        <w:t>以上措施结合使用可获得较好的降噪效果，根据噪声环境影响预测结果，项目东、南</w:t>
      </w:r>
      <w:r>
        <w:rPr>
          <w:rFonts w:ascii="宋体" w:hAnsi="宋体" w:eastAsia="宋体" w:cs="宋体"/>
          <w:spacing w:val="7"/>
          <w:sz w:val="23"/>
          <w:szCs w:val="23"/>
        </w:rPr>
        <w:t>、</w:t>
      </w:r>
      <w:r>
        <w:rPr>
          <w:rFonts w:ascii="宋体" w:hAnsi="宋体" w:eastAsia="宋体" w:cs="宋体"/>
          <w:sz w:val="23"/>
          <w:szCs w:val="23"/>
        </w:rPr>
        <w:t xml:space="preserve"> </w:t>
      </w:r>
      <w:r>
        <w:rPr>
          <w:rFonts w:ascii="宋体" w:hAnsi="宋体" w:eastAsia="宋体" w:cs="宋体"/>
          <w:spacing w:val="12"/>
          <w:sz w:val="23"/>
          <w:szCs w:val="23"/>
        </w:rPr>
        <w:t>西、北厂界</w:t>
      </w:r>
      <w:r>
        <w:rPr>
          <w:rFonts w:ascii="宋体" w:hAnsi="宋体" w:eastAsia="宋体" w:cs="宋体"/>
          <w:spacing w:val="7"/>
          <w:sz w:val="23"/>
          <w:szCs w:val="23"/>
        </w:rPr>
        <w:t>外</w:t>
      </w:r>
      <w:r>
        <w:rPr>
          <w:rFonts w:ascii="宋体" w:hAnsi="宋体" w:eastAsia="宋体" w:cs="宋体"/>
          <w:spacing w:val="6"/>
          <w:sz w:val="23"/>
          <w:szCs w:val="23"/>
        </w:rPr>
        <w:t xml:space="preserve"> </w:t>
      </w:r>
      <w:r>
        <w:rPr>
          <w:rFonts w:ascii="Times New Roman" w:hAnsi="Times New Roman" w:eastAsia="Times New Roman" w:cs="Times New Roman"/>
          <w:spacing w:val="6"/>
          <w:sz w:val="23"/>
          <w:szCs w:val="23"/>
        </w:rPr>
        <w:t>1</w:t>
      </w:r>
      <w:r>
        <w:rPr>
          <w:rFonts w:ascii="Times New Roman" w:hAnsi="Times New Roman" w:eastAsia="Times New Roman" w:cs="Times New Roman"/>
          <w:sz w:val="23"/>
          <w:szCs w:val="23"/>
        </w:rPr>
        <w:t>m</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处的昼间、夜间噪声贡献值进行叠加后的叠加值均满足《工业企业厂界环</w:t>
      </w:r>
      <w:r>
        <w:rPr>
          <w:rFonts w:ascii="宋体" w:hAnsi="宋体" w:eastAsia="宋体" w:cs="宋体"/>
          <w:sz w:val="23"/>
          <w:szCs w:val="23"/>
        </w:rPr>
        <w:t xml:space="preserve"> </w:t>
      </w:r>
      <w:r>
        <w:rPr>
          <w:rFonts w:ascii="宋体" w:hAnsi="宋体" w:eastAsia="宋体" w:cs="宋体"/>
          <w:spacing w:val="6"/>
          <w:sz w:val="23"/>
          <w:szCs w:val="23"/>
        </w:rPr>
        <w:t>境噪</w:t>
      </w:r>
      <w:r>
        <w:rPr>
          <w:rFonts w:ascii="宋体" w:hAnsi="宋体" w:eastAsia="宋体" w:cs="宋体"/>
          <w:spacing w:val="4"/>
          <w:sz w:val="23"/>
          <w:szCs w:val="23"/>
        </w:rPr>
        <w:t>声</w:t>
      </w:r>
      <w:r>
        <w:rPr>
          <w:rFonts w:ascii="宋体" w:hAnsi="宋体" w:eastAsia="宋体" w:cs="宋体"/>
          <w:spacing w:val="3"/>
          <w:sz w:val="23"/>
          <w:szCs w:val="23"/>
        </w:rPr>
        <w:t>排放标准》  (</w:t>
      </w:r>
      <w:r>
        <w:rPr>
          <w:rFonts w:ascii="Times New Roman" w:hAnsi="Times New Roman" w:eastAsia="Times New Roman" w:cs="Times New Roman"/>
          <w:sz w:val="23"/>
          <w:szCs w:val="23"/>
        </w:rPr>
        <w:t>GB</w:t>
      </w:r>
      <w:r>
        <w:rPr>
          <w:rFonts w:ascii="Times New Roman" w:hAnsi="Times New Roman" w:eastAsia="Times New Roman" w:cs="Times New Roman"/>
          <w:spacing w:val="3"/>
          <w:sz w:val="23"/>
          <w:szCs w:val="23"/>
        </w:rPr>
        <w:t>12348-2008</w:t>
      </w:r>
      <w:r>
        <w:rPr>
          <w:rFonts w:ascii="宋体" w:hAnsi="宋体" w:eastAsia="宋体" w:cs="宋体"/>
          <w:spacing w:val="3"/>
          <w:sz w:val="23"/>
          <w:szCs w:val="23"/>
        </w:rPr>
        <w:t xml:space="preserve">) </w:t>
      </w:r>
      <w:r>
        <w:rPr>
          <w:rFonts w:ascii="Times New Roman" w:hAnsi="Times New Roman" w:eastAsia="Times New Roman" w:cs="Times New Roman"/>
          <w:spacing w:val="3"/>
          <w:sz w:val="23"/>
          <w:szCs w:val="23"/>
        </w:rPr>
        <w:t xml:space="preserve">2 </w:t>
      </w:r>
      <w:r>
        <w:rPr>
          <w:rFonts w:ascii="宋体" w:hAnsi="宋体" w:eastAsia="宋体" w:cs="宋体"/>
          <w:spacing w:val="3"/>
          <w:sz w:val="23"/>
          <w:szCs w:val="23"/>
        </w:rPr>
        <w:t>类区标准限值。</w:t>
      </w:r>
    </w:p>
    <w:p w14:paraId="44A319C3">
      <w:pPr>
        <w:spacing w:before="1" w:line="374" w:lineRule="auto"/>
        <w:ind w:left="14" w:right="65" w:firstLine="478"/>
        <w:rPr>
          <w:rFonts w:ascii="宋体" w:hAnsi="宋体" w:eastAsia="宋体" w:cs="宋体"/>
          <w:sz w:val="23"/>
          <w:szCs w:val="23"/>
        </w:rPr>
      </w:pPr>
      <w:r>
        <w:rPr>
          <w:rFonts w:ascii="宋体" w:hAnsi="宋体" w:eastAsia="宋体" w:cs="宋体"/>
          <w:spacing w:val="7"/>
          <w:sz w:val="23"/>
          <w:szCs w:val="23"/>
        </w:rPr>
        <w:t>建设单位在落实本报告中提出的相关降噪措施后，可确保厂界噪声达标排放，运行期</w:t>
      </w:r>
      <w:r>
        <w:rPr>
          <w:rFonts w:ascii="宋体" w:hAnsi="宋体" w:eastAsia="宋体" w:cs="宋体"/>
          <w:spacing w:val="3"/>
          <w:sz w:val="23"/>
          <w:szCs w:val="23"/>
        </w:rPr>
        <w:t>噪</w:t>
      </w:r>
      <w:r>
        <w:rPr>
          <w:rFonts w:ascii="宋体" w:hAnsi="宋体" w:eastAsia="宋体" w:cs="宋体"/>
          <w:sz w:val="23"/>
          <w:szCs w:val="23"/>
        </w:rPr>
        <w:t xml:space="preserve"> </w:t>
      </w:r>
      <w:r>
        <w:rPr>
          <w:rFonts w:ascii="宋体" w:hAnsi="宋体" w:eastAsia="宋体" w:cs="宋体"/>
          <w:spacing w:val="18"/>
          <w:sz w:val="23"/>
          <w:szCs w:val="23"/>
        </w:rPr>
        <w:t>声</w:t>
      </w:r>
      <w:r>
        <w:rPr>
          <w:rFonts w:ascii="宋体" w:hAnsi="宋体" w:eastAsia="宋体" w:cs="宋体"/>
          <w:spacing w:val="10"/>
          <w:sz w:val="23"/>
          <w:szCs w:val="23"/>
        </w:rPr>
        <w:t>对</w:t>
      </w:r>
      <w:r>
        <w:rPr>
          <w:rFonts w:ascii="宋体" w:hAnsi="宋体" w:eastAsia="宋体" w:cs="宋体"/>
          <w:spacing w:val="9"/>
          <w:sz w:val="23"/>
          <w:szCs w:val="23"/>
        </w:rPr>
        <w:t>周边敏感点产生的不利影响较小。因此，项目噪声污染防治措施是可行的。</w:t>
      </w:r>
    </w:p>
    <w:p w14:paraId="4020146C">
      <w:pPr>
        <w:spacing w:line="228" w:lineRule="auto"/>
        <w:ind w:left="489"/>
        <w:outlineLvl w:val="2"/>
        <w:rPr>
          <w:rFonts w:ascii="宋体" w:hAnsi="宋体" w:eastAsia="宋体" w:cs="宋体"/>
          <w:sz w:val="23"/>
          <w:szCs w:val="23"/>
        </w:rPr>
      </w:pPr>
      <w:r>
        <w:rPr>
          <w:rFonts w:ascii="Times New Roman" w:hAnsi="Times New Roman" w:eastAsia="Times New Roman" w:cs="Times New Roman"/>
          <w:b/>
          <w:bCs/>
          <w:spacing w:val="7"/>
          <w:sz w:val="23"/>
          <w:szCs w:val="23"/>
        </w:rPr>
        <w:t>6.2.5</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固废污染防治措</w:t>
      </w:r>
      <w:r>
        <w:rPr>
          <w:rFonts w:ascii="宋体" w:hAnsi="宋体" w:eastAsia="宋体" w:cs="宋体"/>
          <w:spacing w:val="5"/>
          <w:sz w:val="23"/>
          <w:szCs w:val="23"/>
          <w14:textOutline w14:w="4356" w14:cap="sq" w14:cmpd="sng" w14:algn="ctr">
            <w14:solidFill>
              <w14:srgbClr w14:val="000000"/>
            </w14:solidFill>
            <w14:prstDash w14:val="solid"/>
            <w14:bevel/>
          </w14:textOutline>
        </w:rPr>
        <w:t>施</w:t>
      </w:r>
    </w:p>
    <w:p w14:paraId="29BC511F">
      <w:pPr>
        <w:spacing w:before="183" w:line="375" w:lineRule="auto"/>
        <w:ind w:left="20" w:right="63" w:firstLine="470"/>
        <w:rPr>
          <w:rFonts w:ascii="宋体" w:hAnsi="宋体" w:eastAsia="宋体" w:cs="宋体"/>
          <w:sz w:val="23"/>
          <w:szCs w:val="23"/>
        </w:rPr>
      </w:pPr>
      <w:r>
        <w:rPr>
          <w:rFonts w:ascii="宋体" w:hAnsi="宋体" w:eastAsia="宋体" w:cs="宋体"/>
          <w:spacing w:val="20"/>
          <w:sz w:val="23"/>
          <w:szCs w:val="23"/>
        </w:rPr>
        <w:t>本</w:t>
      </w:r>
      <w:r>
        <w:rPr>
          <w:rFonts w:ascii="宋体" w:hAnsi="宋体" w:eastAsia="宋体" w:cs="宋体"/>
          <w:spacing w:val="14"/>
          <w:sz w:val="23"/>
          <w:szCs w:val="23"/>
        </w:rPr>
        <w:t>项</w:t>
      </w:r>
      <w:r>
        <w:rPr>
          <w:rFonts w:ascii="宋体" w:hAnsi="宋体" w:eastAsia="宋体" w:cs="宋体"/>
          <w:spacing w:val="10"/>
          <w:sz w:val="23"/>
          <w:szCs w:val="23"/>
        </w:rPr>
        <w:t>目固体废物处理处置将遵循环境健康风险预防、安全无害以及固体废物</w:t>
      </w:r>
      <w:r>
        <w:rPr>
          <w:rFonts w:ascii="Times New Roman" w:hAnsi="Times New Roman" w:eastAsia="Times New Roman" w:cs="Times New Roman"/>
          <w:spacing w:val="10"/>
          <w:sz w:val="23"/>
          <w:szCs w:val="23"/>
        </w:rPr>
        <w:t>“</w:t>
      </w:r>
      <w:r>
        <w:rPr>
          <w:rFonts w:ascii="宋体" w:hAnsi="宋体" w:eastAsia="宋体" w:cs="宋体"/>
          <w:spacing w:val="10"/>
          <w:sz w:val="23"/>
          <w:szCs w:val="23"/>
        </w:rPr>
        <w:t>减量化、</w:t>
      </w:r>
      <w:r>
        <w:rPr>
          <w:rFonts w:ascii="宋体" w:hAnsi="宋体" w:eastAsia="宋体" w:cs="宋体"/>
          <w:sz w:val="23"/>
          <w:szCs w:val="23"/>
        </w:rPr>
        <w:t xml:space="preserve"> </w:t>
      </w:r>
      <w:r>
        <w:rPr>
          <w:rFonts w:ascii="宋体" w:hAnsi="宋体" w:eastAsia="宋体" w:cs="宋体"/>
          <w:spacing w:val="14"/>
          <w:sz w:val="23"/>
          <w:szCs w:val="23"/>
        </w:rPr>
        <w:t>资</w:t>
      </w:r>
      <w:r>
        <w:rPr>
          <w:rFonts w:ascii="宋体" w:hAnsi="宋体" w:eastAsia="宋体" w:cs="宋体"/>
          <w:spacing w:val="10"/>
          <w:sz w:val="23"/>
          <w:szCs w:val="23"/>
        </w:rPr>
        <w:t>源化、无害化及生态化</w:t>
      </w:r>
      <w:r>
        <w:rPr>
          <w:rFonts w:ascii="Times New Roman" w:hAnsi="Times New Roman" w:eastAsia="Times New Roman" w:cs="Times New Roman"/>
          <w:spacing w:val="10"/>
          <w:sz w:val="23"/>
          <w:szCs w:val="23"/>
        </w:rPr>
        <w:t>”</w:t>
      </w:r>
      <w:r>
        <w:rPr>
          <w:rFonts w:ascii="宋体" w:hAnsi="宋体" w:eastAsia="宋体" w:cs="宋体"/>
          <w:spacing w:val="10"/>
          <w:sz w:val="23"/>
          <w:szCs w:val="23"/>
        </w:rPr>
        <w:t>的原则，有效的解决集约化养殖场的环境污染问题。达到变废为</w:t>
      </w:r>
    </w:p>
    <w:p w14:paraId="3880DC97">
      <w:pPr>
        <w:spacing w:before="1" w:line="235" w:lineRule="auto"/>
        <w:ind w:left="13"/>
        <w:rPr>
          <w:rFonts w:ascii="宋体" w:hAnsi="宋体" w:eastAsia="宋体" w:cs="宋体"/>
          <w:sz w:val="23"/>
          <w:szCs w:val="23"/>
        </w:rPr>
      </w:pPr>
      <w:r>
        <w:rPr>
          <w:rFonts w:ascii="宋体" w:hAnsi="宋体" w:eastAsia="宋体" w:cs="宋体"/>
          <w:spacing w:val="15"/>
          <w:sz w:val="23"/>
          <w:szCs w:val="23"/>
        </w:rPr>
        <w:t>宝</w:t>
      </w:r>
      <w:r>
        <w:rPr>
          <w:rFonts w:ascii="宋体" w:hAnsi="宋体" w:eastAsia="宋体" w:cs="宋体"/>
          <w:spacing w:val="8"/>
          <w:sz w:val="23"/>
          <w:szCs w:val="23"/>
        </w:rPr>
        <w:t>、化害为利、综合利用的目的。</w:t>
      </w:r>
    </w:p>
    <w:p w14:paraId="429B6DE3">
      <w:pPr>
        <w:sectPr>
          <w:footerReference r:id="rId256" w:type="default"/>
          <w:pgSz w:w="11906" w:h="16839"/>
          <w:pgMar w:top="1113" w:right="1069" w:bottom="1157" w:left="1275" w:header="878" w:footer="994" w:gutter="0"/>
          <w:cols w:space="720" w:num="1"/>
        </w:sectPr>
      </w:pPr>
    </w:p>
    <w:p w14:paraId="5FD37FEB">
      <w:pPr>
        <w:spacing w:before="198" w:line="303" w:lineRule="exact"/>
        <w:ind w:left="616"/>
        <w:rPr>
          <w:rFonts w:ascii="宋体" w:hAnsi="宋体" w:eastAsia="宋体" w:cs="宋体"/>
          <w:sz w:val="23"/>
          <w:szCs w:val="23"/>
        </w:rPr>
      </w:pPr>
      <w:r>
        <w:rPr>
          <w:rFonts w:ascii="Times New Roman" w:hAnsi="Times New Roman" w:eastAsia="Times New Roman" w:cs="Times New Roman"/>
          <w:b/>
          <w:bCs/>
          <w:spacing w:val="-8"/>
          <w:position w:val="1"/>
          <w:sz w:val="23"/>
          <w:szCs w:val="23"/>
        </w:rPr>
        <w:t>1</w:t>
      </w:r>
      <w:r>
        <w:rPr>
          <w:rFonts w:ascii="Times New Roman" w:hAnsi="Times New Roman" w:eastAsia="Times New Roman" w:cs="Times New Roman"/>
          <w:spacing w:val="-7"/>
          <w:position w:val="1"/>
          <w:sz w:val="23"/>
          <w:szCs w:val="23"/>
        </w:rPr>
        <w:t xml:space="preserve"> </w:t>
      </w:r>
      <w:r>
        <w:rPr>
          <w:rFonts w:ascii="宋体" w:hAnsi="宋体" w:eastAsia="宋体" w:cs="宋体"/>
          <w:spacing w:val="-7"/>
          <w:position w:val="1"/>
          <w:sz w:val="23"/>
          <w:szCs w:val="23"/>
          <w14:textOutline w14:w="4356" w14:cap="sq" w14:cmpd="sng" w14:algn="ctr">
            <w14:solidFill>
              <w14:srgbClr w14:val="000000"/>
            </w14:solidFill>
            <w14:prstDash w14:val="solid"/>
            <w14:bevel/>
          </w14:textOutline>
        </w:rPr>
        <w:t>、猪粪</w:t>
      </w:r>
    </w:p>
    <w:p w14:paraId="4FDF4E22">
      <w:pPr>
        <w:spacing w:before="163" w:line="227" w:lineRule="auto"/>
        <w:ind w:left="50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1</w:t>
      </w:r>
      <w:r>
        <w:rPr>
          <w:rFonts w:ascii="宋体" w:hAnsi="宋体" w:eastAsia="宋体" w:cs="宋体"/>
          <w:spacing w:val="20"/>
          <w:sz w:val="23"/>
          <w:szCs w:val="23"/>
        </w:rPr>
        <w:t>) 清粪工</w:t>
      </w:r>
      <w:r>
        <w:rPr>
          <w:rFonts w:ascii="宋体" w:hAnsi="宋体" w:eastAsia="宋体" w:cs="宋体"/>
          <w:spacing w:val="19"/>
          <w:sz w:val="23"/>
          <w:szCs w:val="23"/>
        </w:rPr>
        <w:t>艺</w:t>
      </w:r>
    </w:p>
    <w:p w14:paraId="44C5608B">
      <w:pPr>
        <w:spacing w:before="183" w:line="375" w:lineRule="auto"/>
        <w:ind w:left="492" w:right="1680" w:hanging="1"/>
        <w:rPr>
          <w:rFonts w:ascii="宋体" w:hAnsi="宋体" w:eastAsia="宋体" w:cs="宋体"/>
          <w:sz w:val="23"/>
          <w:szCs w:val="23"/>
        </w:rPr>
      </w:pPr>
      <w:r>
        <w:rPr>
          <w:rFonts w:ascii="宋体" w:hAnsi="宋体" w:eastAsia="宋体" w:cs="宋体"/>
          <w:spacing w:val="16"/>
          <w:sz w:val="23"/>
          <w:szCs w:val="23"/>
        </w:rPr>
        <w:t>本</w:t>
      </w:r>
      <w:r>
        <w:rPr>
          <w:rFonts w:ascii="宋体" w:hAnsi="宋体" w:eastAsia="宋体" w:cs="宋体"/>
          <w:spacing w:val="11"/>
          <w:sz w:val="23"/>
          <w:szCs w:val="23"/>
        </w:rPr>
        <w:t>项</w:t>
      </w:r>
      <w:r>
        <w:rPr>
          <w:rFonts w:ascii="宋体" w:hAnsi="宋体" w:eastAsia="宋体" w:cs="宋体"/>
          <w:spacing w:val="8"/>
          <w:sz w:val="23"/>
          <w:szCs w:val="23"/>
        </w:rPr>
        <w:t>目拟采用人工与机械相结合的尿泡粪工艺，猪粪与污水分开收集。</w:t>
      </w:r>
      <w:r>
        <w:rPr>
          <w:rFonts w:ascii="宋体" w:hAnsi="宋体" w:eastAsia="宋体" w:cs="宋体"/>
          <w:sz w:val="23"/>
          <w:szCs w:val="23"/>
        </w:rPr>
        <w:t xml:space="preserve"> </w:t>
      </w:r>
      <w:r>
        <w:rPr>
          <w:rFonts w:ascii="宋体" w:hAnsi="宋体" w:eastAsia="宋体" w:cs="宋体"/>
          <w:spacing w:val="9"/>
          <w:sz w:val="23"/>
          <w:szCs w:val="23"/>
        </w:rPr>
        <w:t>大中型养殖厂粪污几种清理工艺介绍如下</w:t>
      </w:r>
      <w:r>
        <w:rPr>
          <w:rFonts w:ascii="宋体" w:hAnsi="宋体" w:eastAsia="宋体" w:cs="宋体"/>
          <w:spacing w:val="5"/>
          <w:sz w:val="23"/>
          <w:szCs w:val="23"/>
        </w:rPr>
        <w:t>：</w:t>
      </w:r>
    </w:p>
    <w:p w14:paraId="63158771">
      <w:pPr>
        <w:spacing w:line="225" w:lineRule="auto"/>
        <w:ind w:left="489"/>
        <w:rPr>
          <w:rFonts w:ascii="宋体" w:hAnsi="宋体" w:eastAsia="宋体" w:cs="宋体"/>
          <w:sz w:val="23"/>
          <w:szCs w:val="23"/>
        </w:rPr>
      </w:pPr>
      <w:r>
        <w:rPr>
          <w:rFonts w:ascii="宋体" w:hAnsi="宋体" w:eastAsia="宋体" w:cs="宋体"/>
          <w:spacing w:val="11"/>
          <w:sz w:val="23"/>
          <w:szCs w:val="23"/>
        </w:rPr>
        <w:t>①</w:t>
      </w:r>
      <w:r>
        <w:rPr>
          <w:rFonts w:ascii="宋体" w:hAnsi="宋体" w:eastAsia="宋体" w:cs="宋体"/>
          <w:spacing w:val="8"/>
          <w:sz w:val="23"/>
          <w:szCs w:val="23"/>
        </w:rPr>
        <w:t>水冲粪工艺</w:t>
      </w:r>
    </w:p>
    <w:p w14:paraId="4BF9D6D0">
      <w:pPr>
        <w:spacing w:before="190" w:line="374" w:lineRule="auto"/>
        <w:ind w:left="10" w:right="4" w:firstLine="482"/>
        <w:rPr>
          <w:rFonts w:ascii="宋体" w:hAnsi="宋体" w:eastAsia="宋体" w:cs="宋体"/>
          <w:sz w:val="23"/>
          <w:szCs w:val="23"/>
        </w:rPr>
      </w:pPr>
      <w:r>
        <w:rPr>
          <w:rFonts w:ascii="宋体" w:hAnsi="宋体" w:eastAsia="宋体" w:cs="宋体"/>
          <w:spacing w:val="12"/>
          <w:sz w:val="23"/>
          <w:szCs w:val="23"/>
        </w:rPr>
        <w:t>水</w:t>
      </w:r>
      <w:r>
        <w:rPr>
          <w:rFonts w:ascii="宋体" w:hAnsi="宋体" w:eastAsia="宋体" w:cs="宋体"/>
          <w:spacing w:val="10"/>
          <w:sz w:val="23"/>
          <w:szCs w:val="23"/>
        </w:rPr>
        <w:t>冲</w:t>
      </w:r>
      <w:r>
        <w:rPr>
          <w:rFonts w:ascii="宋体" w:hAnsi="宋体" w:eastAsia="宋体" w:cs="宋体"/>
          <w:spacing w:val="6"/>
          <w:sz w:val="23"/>
          <w:szCs w:val="23"/>
        </w:rPr>
        <w:t>粪工艺是</w:t>
      </w:r>
      <w:r>
        <w:rPr>
          <w:rFonts w:ascii="Times New Roman" w:hAnsi="Times New Roman" w:eastAsia="Times New Roman" w:cs="Times New Roman"/>
          <w:spacing w:val="6"/>
          <w:sz w:val="23"/>
          <w:szCs w:val="23"/>
        </w:rPr>
        <w:t xml:space="preserve">20 </w:t>
      </w:r>
      <w:r>
        <w:rPr>
          <w:rFonts w:ascii="宋体" w:hAnsi="宋体" w:eastAsia="宋体" w:cs="宋体"/>
          <w:spacing w:val="6"/>
          <w:sz w:val="23"/>
          <w:szCs w:val="23"/>
        </w:rPr>
        <w:t xml:space="preserve">世纪 </w:t>
      </w:r>
      <w:r>
        <w:rPr>
          <w:rFonts w:ascii="Times New Roman" w:hAnsi="Times New Roman" w:eastAsia="Times New Roman" w:cs="Times New Roman"/>
          <w:spacing w:val="6"/>
          <w:sz w:val="23"/>
          <w:szCs w:val="23"/>
        </w:rPr>
        <w:t xml:space="preserve">80 </w:t>
      </w:r>
      <w:r>
        <w:rPr>
          <w:rFonts w:ascii="宋体" w:hAnsi="宋体" w:eastAsia="宋体" w:cs="宋体"/>
          <w:spacing w:val="6"/>
          <w:sz w:val="23"/>
          <w:szCs w:val="23"/>
        </w:rPr>
        <w:t>年代中国从国外引进规模化养猪技术和管理方法时采用的主要</w:t>
      </w:r>
      <w:r>
        <w:rPr>
          <w:rFonts w:ascii="宋体" w:hAnsi="宋体" w:eastAsia="宋体" w:cs="宋体"/>
          <w:sz w:val="23"/>
          <w:szCs w:val="23"/>
        </w:rPr>
        <w:t xml:space="preserve"> </w:t>
      </w:r>
      <w:r>
        <w:rPr>
          <w:rFonts w:ascii="宋体" w:hAnsi="宋体" w:eastAsia="宋体" w:cs="宋体"/>
          <w:spacing w:val="3"/>
          <w:sz w:val="23"/>
          <w:szCs w:val="23"/>
        </w:rPr>
        <w:t>清粪模式。该工艺的主要目的是及时、有效地清除畜舍内的粪便、尿液，保持畜舍环境</w:t>
      </w:r>
      <w:r>
        <w:rPr>
          <w:rFonts w:ascii="宋体" w:hAnsi="宋体" w:eastAsia="宋体" w:cs="宋体"/>
          <w:spacing w:val="2"/>
          <w:sz w:val="23"/>
          <w:szCs w:val="23"/>
        </w:rPr>
        <w:t>卫</w:t>
      </w:r>
      <w:r>
        <w:rPr>
          <w:rFonts w:ascii="宋体" w:hAnsi="宋体" w:eastAsia="宋体" w:cs="宋体"/>
          <w:sz w:val="23"/>
          <w:szCs w:val="23"/>
        </w:rPr>
        <w:t xml:space="preserve">生， </w:t>
      </w:r>
      <w:r>
        <w:rPr>
          <w:rFonts w:ascii="宋体" w:hAnsi="宋体" w:eastAsia="宋体" w:cs="宋体"/>
          <w:spacing w:val="12"/>
          <w:sz w:val="23"/>
          <w:szCs w:val="23"/>
        </w:rPr>
        <w:t>减</w:t>
      </w:r>
      <w:r>
        <w:rPr>
          <w:rFonts w:ascii="宋体" w:hAnsi="宋体" w:eastAsia="宋体" w:cs="宋体"/>
          <w:spacing w:val="7"/>
          <w:sz w:val="23"/>
          <w:szCs w:val="23"/>
        </w:rPr>
        <w:t>少粪污清理过程中的劳动力投入，提高养殖场自动化管理水平。水冲粪的方法是粪尿污水</w:t>
      </w:r>
      <w:r>
        <w:rPr>
          <w:rFonts w:ascii="宋体" w:hAnsi="宋体" w:eastAsia="宋体" w:cs="宋体"/>
          <w:sz w:val="23"/>
          <w:szCs w:val="23"/>
        </w:rPr>
        <w:t xml:space="preserve"> </w:t>
      </w:r>
      <w:r>
        <w:rPr>
          <w:rFonts w:ascii="宋体" w:hAnsi="宋体" w:eastAsia="宋体" w:cs="宋体"/>
          <w:spacing w:val="12"/>
          <w:sz w:val="23"/>
          <w:szCs w:val="23"/>
        </w:rPr>
        <w:t>混</w:t>
      </w:r>
      <w:r>
        <w:rPr>
          <w:rFonts w:ascii="宋体" w:hAnsi="宋体" w:eastAsia="宋体" w:cs="宋体"/>
          <w:spacing w:val="7"/>
          <w:sz w:val="23"/>
          <w:szCs w:val="23"/>
        </w:rPr>
        <w:t>合进入缝隙地板下的粪沟，每天数次从沟端的水喷头放水冲洗。粪水顺粪沟流入粪便主干</w:t>
      </w:r>
      <w:r>
        <w:rPr>
          <w:rFonts w:ascii="宋体" w:hAnsi="宋体" w:eastAsia="宋体" w:cs="宋体"/>
          <w:sz w:val="23"/>
          <w:szCs w:val="23"/>
        </w:rPr>
        <w:t xml:space="preserve"> </w:t>
      </w:r>
      <w:r>
        <w:rPr>
          <w:rFonts w:ascii="宋体" w:hAnsi="宋体" w:eastAsia="宋体" w:cs="宋体"/>
          <w:spacing w:val="10"/>
          <w:sz w:val="23"/>
          <w:szCs w:val="23"/>
        </w:rPr>
        <w:t>沟</w:t>
      </w:r>
      <w:r>
        <w:rPr>
          <w:rFonts w:ascii="宋体" w:hAnsi="宋体" w:eastAsia="宋体" w:cs="宋体"/>
          <w:spacing w:val="9"/>
          <w:sz w:val="23"/>
          <w:szCs w:val="23"/>
        </w:rPr>
        <w:t>，进入地下贮粪池或用泵抽吸到地面贮粪池。</w:t>
      </w:r>
    </w:p>
    <w:p w14:paraId="4AB2BE75">
      <w:pPr>
        <w:spacing w:line="227" w:lineRule="auto"/>
        <w:ind w:left="489"/>
        <w:rPr>
          <w:rFonts w:ascii="宋体" w:hAnsi="宋体" w:eastAsia="宋体" w:cs="宋体"/>
          <w:sz w:val="23"/>
          <w:szCs w:val="23"/>
        </w:rPr>
      </w:pPr>
      <w:r>
        <w:rPr>
          <w:rFonts w:ascii="宋体" w:hAnsi="宋体" w:eastAsia="宋体" w:cs="宋体"/>
          <w:spacing w:val="7"/>
          <w:sz w:val="23"/>
          <w:szCs w:val="23"/>
        </w:rPr>
        <w:t>优点：水冲粪方式可保持猪舍内的环境清洁，有利于动物健康。劳动强度小，劳动效</w:t>
      </w:r>
      <w:r>
        <w:rPr>
          <w:rFonts w:ascii="宋体" w:hAnsi="宋体" w:eastAsia="宋体" w:cs="宋体"/>
          <w:spacing w:val="6"/>
          <w:sz w:val="23"/>
          <w:szCs w:val="23"/>
        </w:rPr>
        <w:t>率</w:t>
      </w:r>
    </w:p>
    <w:p w14:paraId="464160A0">
      <w:pPr>
        <w:spacing w:before="185" w:line="227" w:lineRule="auto"/>
        <w:ind w:left="16"/>
        <w:rPr>
          <w:rFonts w:ascii="宋体" w:hAnsi="宋体" w:eastAsia="宋体" w:cs="宋体"/>
          <w:sz w:val="23"/>
          <w:szCs w:val="23"/>
        </w:rPr>
      </w:pPr>
      <w:r>
        <w:rPr>
          <w:rFonts w:ascii="宋体" w:hAnsi="宋体" w:eastAsia="宋体" w:cs="宋体"/>
          <w:spacing w:val="10"/>
          <w:sz w:val="23"/>
          <w:szCs w:val="23"/>
        </w:rPr>
        <w:t>高</w:t>
      </w:r>
      <w:r>
        <w:rPr>
          <w:rFonts w:ascii="宋体" w:hAnsi="宋体" w:eastAsia="宋体" w:cs="宋体"/>
          <w:spacing w:val="9"/>
          <w:sz w:val="23"/>
          <w:szCs w:val="23"/>
        </w:rPr>
        <w:t>，有利于养殖场工人健康，在劳动力缺乏的地区较为适用。</w:t>
      </w:r>
    </w:p>
    <w:p w14:paraId="5524B6F6">
      <w:pPr>
        <w:spacing w:before="185" w:line="372" w:lineRule="auto"/>
        <w:ind w:left="11" w:right="19" w:firstLine="479"/>
        <w:rPr>
          <w:rFonts w:ascii="宋体" w:hAnsi="宋体" w:eastAsia="宋体" w:cs="宋体"/>
          <w:sz w:val="23"/>
          <w:szCs w:val="23"/>
        </w:rPr>
      </w:pPr>
      <w:r>
        <w:rPr>
          <w:rFonts w:ascii="宋体" w:hAnsi="宋体" w:eastAsia="宋体" w:cs="宋体"/>
          <w:spacing w:val="13"/>
          <w:sz w:val="23"/>
          <w:szCs w:val="23"/>
        </w:rPr>
        <w:t>缺</w:t>
      </w:r>
      <w:r>
        <w:rPr>
          <w:rFonts w:ascii="宋体" w:hAnsi="宋体" w:eastAsia="宋体" w:cs="宋体"/>
          <w:spacing w:val="7"/>
          <w:sz w:val="23"/>
          <w:szCs w:val="23"/>
        </w:rPr>
        <w:t>点：耗水量大，一个万头养猪场每天需消耗大量的水 (</w:t>
      </w:r>
      <w:r>
        <w:rPr>
          <w:rFonts w:ascii="Times New Roman" w:hAnsi="Times New Roman" w:eastAsia="Times New Roman" w:cs="Times New Roman"/>
          <w:spacing w:val="7"/>
          <w:sz w:val="23"/>
          <w:szCs w:val="23"/>
        </w:rPr>
        <w:t>200~250</w:t>
      </w:r>
      <w:r>
        <w:rPr>
          <w:rFonts w:ascii="Times New Roman" w:hAnsi="Times New Roman" w:eastAsia="Times New Roman" w:cs="Times New Roman"/>
          <w:sz w:val="23"/>
          <w:szCs w:val="23"/>
        </w:rPr>
        <w:t>m</w:t>
      </w:r>
      <w:r>
        <w:rPr>
          <w:rFonts w:ascii="Times New Roman" w:hAnsi="Times New Roman" w:eastAsia="Times New Roman" w:cs="Times New Roman"/>
          <w:spacing w:val="7"/>
          <w:position w:val="8"/>
          <w:sz w:val="15"/>
          <w:szCs w:val="15"/>
        </w:rPr>
        <w:t xml:space="preserve">3 </w:t>
      </w:r>
      <w:r>
        <w:rPr>
          <w:rFonts w:ascii="宋体" w:hAnsi="宋体" w:eastAsia="宋体" w:cs="宋体"/>
          <w:spacing w:val="7"/>
          <w:sz w:val="23"/>
          <w:szCs w:val="23"/>
        </w:rPr>
        <w:t>) 来冲洗猪舍的粪</w:t>
      </w:r>
      <w:r>
        <w:rPr>
          <w:rFonts w:ascii="宋体" w:hAnsi="宋体" w:eastAsia="宋体" w:cs="宋体"/>
          <w:sz w:val="23"/>
          <w:szCs w:val="23"/>
        </w:rPr>
        <w:t xml:space="preserve"> </w:t>
      </w:r>
      <w:r>
        <w:rPr>
          <w:rFonts w:ascii="宋体" w:hAnsi="宋体" w:eastAsia="宋体" w:cs="宋体"/>
          <w:spacing w:val="-16"/>
          <w:sz w:val="23"/>
          <w:szCs w:val="23"/>
        </w:rPr>
        <w:t>便 。</w:t>
      </w:r>
      <w:r>
        <w:rPr>
          <w:rFonts w:ascii="宋体" w:hAnsi="宋体" w:eastAsia="宋体" w:cs="宋体"/>
          <w:spacing w:val="-13"/>
          <w:sz w:val="23"/>
          <w:szCs w:val="23"/>
        </w:rPr>
        <w:t xml:space="preserve"> </w:t>
      </w:r>
      <w:r>
        <w:rPr>
          <w:rFonts w:ascii="宋体" w:hAnsi="宋体" w:eastAsia="宋体" w:cs="宋体"/>
          <w:spacing w:val="-8"/>
          <w:sz w:val="23"/>
          <w:szCs w:val="23"/>
        </w:rPr>
        <w:t xml:space="preserve">污 染 物 浓 度 高 ，  </w:t>
      </w:r>
      <w:r>
        <w:rPr>
          <w:rFonts w:ascii="Times New Roman" w:hAnsi="Times New Roman" w:eastAsia="Times New Roman" w:cs="Times New Roman"/>
          <w:spacing w:val="-8"/>
          <w:sz w:val="23"/>
          <w:szCs w:val="23"/>
        </w:rPr>
        <w:t xml:space="preserve">COD  </w:t>
      </w:r>
      <w:r>
        <w:rPr>
          <w:rFonts w:ascii="宋体" w:hAnsi="宋体" w:eastAsia="宋体" w:cs="宋体"/>
          <w:spacing w:val="-8"/>
          <w:sz w:val="23"/>
          <w:szCs w:val="23"/>
        </w:rPr>
        <w:t xml:space="preserve">为 </w:t>
      </w:r>
      <w:r>
        <w:rPr>
          <w:rFonts w:ascii="Times New Roman" w:hAnsi="Times New Roman" w:eastAsia="Times New Roman" w:cs="Times New Roman"/>
          <w:spacing w:val="-8"/>
          <w:sz w:val="23"/>
          <w:szCs w:val="23"/>
        </w:rPr>
        <w:t xml:space="preserve">11000~ 13000mg/L </w:t>
      </w:r>
      <w:r>
        <w:rPr>
          <w:rFonts w:ascii="宋体" w:hAnsi="宋体" w:eastAsia="宋体" w:cs="宋体"/>
          <w:spacing w:val="-8"/>
          <w:sz w:val="23"/>
          <w:szCs w:val="23"/>
        </w:rPr>
        <w:t xml:space="preserve">，  </w:t>
      </w:r>
      <w:r>
        <w:rPr>
          <w:rFonts w:ascii="Times New Roman" w:hAnsi="Times New Roman" w:eastAsia="Times New Roman" w:cs="Times New Roman"/>
          <w:spacing w:val="-8"/>
          <w:sz w:val="23"/>
          <w:szCs w:val="23"/>
        </w:rPr>
        <w:t xml:space="preserve">BOD  </w:t>
      </w:r>
      <w:r>
        <w:rPr>
          <w:rFonts w:ascii="宋体" w:hAnsi="宋体" w:eastAsia="宋体" w:cs="宋体"/>
          <w:spacing w:val="-8"/>
          <w:sz w:val="23"/>
          <w:szCs w:val="23"/>
        </w:rPr>
        <w:t xml:space="preserve">为 </w:t>
      </w:r>
      <w:r>
        <w:rPr>
          <w:rFonts w:ascii="Times New Roman" w:hAnsi="Times New Roman" w:eastAsia="Times New Roman" w:cs="Times New Roman"/>
          <w:spacing w:val="-8"/>
          <w:sz w:val="23"/>
          <w:szCs w:val="23"/>
        </w:rPr>
        <w:t xml:space="preserve">5000~6000mg/L </w:t>
      </w:r>
      <w:r>
        <w:rPr>
          <w:rFonts w:ascii="宋体" w:hAnsi="宋体" w:eastAsia="宋体" w:cs="宋体"/>
          <w:spacing w:val="-8"/>
          <w:sz w:val="23"/>
          <w:szCs w:val="23"/>
        </w:rPr>
        <w:t xml:space="preserve">，  </w:t>
      </w:r>
      <w:r>
        <w:rPr>
          <w:rFonts w:ascii="Times New Roman" w:hAnsi="Times New Roman" w:eastAsia="Times New Roman" w:cs="Times New Roman"/>
          <w:spacing w:val="-8"/>
          <w:sz w:val="23"/>
          <w:szCs w:val="23"/>
        </w:rPr>
        <w:t xml:space="preserve">SS  </w:t>
      </w:r>
      <w:r>
        <w:rPr>
          <w:rFonts w:ascii="宋体" w:hAnsi="宋体" w:eastAsia="宋体" w:cs="宋体"/>
          <w:spacing w:val="-8"/>
          <w:sz w:val="23"/>
          <w:szCs w:val="23"/>
        </w:rPr>
        <w:t>为</w:t>
      </w:r>
      <w:r>
        <w:rPr>
          <w:rFonts w:ascii="宋体" w:hAnsi="宋体" w:eastAsia="宋体" w:cs="宋体"/>
          <w:sz w:val="23"/>
          <w:szCs w:val="23"/>
        </w:rPr>
        <w:t xml:space="preserve"> </w:t>
      </w:r>
      <w:r>
        <w:rPr>
          <w:rFonts w:ascii="Times New Roman" w:hAnsi="Times New Roman" w:eastAsia="Times New Roman" w:cs="Times New Roman"/>
          <w:spacing w:val="12"/>
          <w:sz w:val="23"/>
          <w:szCs w:val="23"/>
        </w:rPr>
        <w:t>1700</w:t>
      </w:r>
      <w:r>
        <w:rPr>
          <w:rFonts w:ascii="Times New Roman" w:hAnsi="Times New Roman" w:eastAsia="Times New Roman" w:cs="Times New Roman"/>
          <w:spacing w:val="10"/>
          <w:sz w:val="23"/>
          <w:szCs w:val="23"/>
        </w:rPr>
        <w:t>0</w:t>
      </w:r>
      <w:r>
        <w:rPr>
          <w:rFonts w:ascii="Times New Roman" w:hAnsi="Times New Roman" w:eastAsia="Times New Roman" w:cs="Times New Roman"/>
          <w:spacing w:val="6"/>
          <w:sz w:val="23"/>
          <w:szCs w:val="23"/>
        </w:rPr>
        <w:t>~20000</w:t>
      </w:r>
      <w:r>
        <w:rPr>
          <w:rFonts w:ascii="Times New Roman" w:hAnsi="Times New Roman" w:eastAsia="Times New Roman" w:cs="Times New Roman"/>
          <w:sz w:val="23"/>
          <w:szCs w:val="23"/>
        </w:rPr>
        <w:t>mg</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L</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。固液分离后，大部分可溶性有机质及微量元素等留在污水中，污水中的</w:t>
      </w:r>
      <w:r>
        <w:rPr>
          <w:rFonts w:ascii="宋体" w:hAnsi="宋体" w:eastAsia="宋体" w:cs="宋体"/>
          <w:sz w:val="23"/>
          <w:szCs w:val="23"/>
        </w:rPr>
        <w:t xml:space="preserve"> </w:t>
      </w:r>
      <w:r>
        <w:rPr>
          <w:rFonts w:ascii="宋体" w:hAnsi="宋体" w:eastAsia="宋体" w:cs="宋体"/>
          <w:spacing w:val="16"/>
          <w:sz w:val="23"/>
          <w:szCs w:val="23"/>
        </w:rPr>
        <w:t>污</w:t>
      </w:r>
      <w:r>
        <w:rPr>
          <w:rFonts w:ascii="宋体" w:hAnsi="宋体" w:eastAsia="宋体" w:cs="宋体"/>
          <w:spacing w:val="11"/>
          <w:sz w:val="23"/>
          <w:szCs w:val="23"/>
        </w:rPr>
        <w:t>染</w:t>
      </w:r>
      <w:r>
        <w:rPr>
          <w:rFonts w:ascii="宋体" w:hAnsi="宋体" w:eastAsia="宋体" w:cs="宋体"/>
          <w:spacing w:val="8"/>
          <w:sz w:val="23"/>
          <w:szCs w:val="23"/>
        </w:rPr>
        <w:t>物浓度仍然很高，而分离出的固体物养分含量低，肥料价值低。该工艺技术上不复杂，</w:t>
      </w:r>
      <w:r>
        <w:rPr>
          <w:rFonts w:ascii="宋体" w:hAnsi="宋体" w:eastAsia="宋体" w:cs="宋体"/>
          <w:sz w:val="23"/>
          <w:szCs w:val="23"/>
        </w:rPr>
        <w:t xml:space="preserve"> </w:t>
      </w:r>
      <w:r>
        <w:rPr>
          <w:rFonts w:ascii="宋体" w:hAnsi="宋体" w:eastAsia="宋体" w:cs="宋体"/>
          <w:spacing w:val="16"/>
          <w:sz w:val="23"/>
          <w:szCs w:val="23"/>
        </w:rPr>
        <w:t>不</w:t>
      </w:r>
      <w:r>
        <w:rPr>
          <w:rFonts w:ascii="宋体" w:hAnsi="宋体" w:eastAsia="宋体" w:cs="宋体"/>
          <w:spacing w:val="9"/>
          <w:sz w:val="23"/>
          <w:szCs w:val="23"/>
        </w:rPr>
        <w:t>受气候变化影响，但污水处理部分基建投资及动力消耗很高。</w:t>
      </w:r>
    </w:p>
    <w:p w14:paraId="7C8BD73A">
      <w:pPr>
        <w:spacing w:before="16" w:line="225" w:lineRule="auto"/>
        <w:ind w:left="488"/>
        <w:rPr>
          <w:rFonts w:ascii="宋体" w:hAnsi="宋体" w:eastAsia="宋体" w:cs="宋体"/>
          <w:sz w:val="23"/>
          <w:szCs w:val="23"/>
        </w:rPr>
      </w:pPr>
      <w:r>
        <w:rPr>
          <w:rFonts w:ascii="宋体" w:hAnsi="宋体" w:eastAsia="宋体" w:cs="宋体"/>
          <w:spacing w:val="12"/>
          <w:sz w:val="23"/>
          <w:szCs w:val="23"/>
        </w:rPr>
        <w:t>②</w:t>
      </w:r>
      <w:r>
        <w:rPr>
          <w:rFonts w:ascii="宋体" w:hAnsi="宋体" w:eastAsia="宋体" w:cs="宋体"/>
          <w:spacing w:val="8"/>
          <w:sz w:val="23"/>
          <w:szCs w:val="23"/>
        </w:rPr>
        <w:t>水泡粪工艺</w:t>
      </w:r>
    </w:p>
    <w:p w14:paraId="1BCCC070">
      <w:pPr>
        <w:spacing w:before="185" w:line="375" w:lineRule="auto"/>
        <w:ind w:left="10" w:firstLine="483"/>
        <w:rPr>
          <w:rFonts w:ascii="宋体" w:hAnsi="宋体" w:eastAsia="宋体" w:cs="宋体"/>
          <w:sz w:val="23"/>
          <w:szCs w:val="23"/>
        </w:rPr>
      </w:pPr>
      <w:r>
        <w:rPr>
          <w:rFonts w:ascii="宋体" w:hAnsi="宋体" w:eastAsia="宋体" w:cs="宋体"/>
          <w:spacing w:val="7"/>
          <w:sz w:val="23"/>
          <w:szCs w:val="23"/>
        </w:rPr>
        <w:t>该工艺的主要目的是定时、有效地清除畜舍内的粪便、尿液，减少粪污清理过程中的</w:t>
      </w:r>
      <w:r>
        <w:rPr>
          <w:rFonts w:ascii="宋体" w:hAnsi="宋体" w:eastAsia="宋体" w:cs="宋体"/>
          <w:spacing w:val="2"/>
          <w:sz w:val="23"/>
          <w:szCs w:val="23"/>
        </w:rPr>
        <w:t>劳</w:t>
      </w:r>
      <w:r>
        <w:rPr>
          <w:rFonts w:ascii="宋体" w:hAnsi="宋体" w:eastAsia="宋体" w:cs="宋体"/>
          <w:sz w:val="23"/>
          <w:szCs w:val="23"/>
        </w:rPr>
        <w:t xml:space="preserve"> </w:t>
      </w:r>
      <w:r>
        <w:rPr>
          <w:rFonts w:ascii="宋体" w:hAnsi="宋体" w:eastAsia="宋体" w:cs="宋体"/>
          <w:spacing w:val="12"/>
          <w:sz w:val="23"/>
          <w:szCs w:val="23"/>
        </w:rPr>
        <w:t>动</w:t>
      </w:r>
      <w:r>
        <w:rPr>
          <w:rFonts w:ascii="宋体" w:hAnsi="宋体" w:eastAsia="宋体" w:cs="宋体"/>
          <w:spacing w:val="7"/>
          <w:sz w:val="23"/>
          <w:szCs w:val="23"/>
        </w:rPr>
        <w:t>力投入，减少冲洗用水，提高养殖场自动化管理水平。水泡粪清粪工艺是在水冲粪工艺的</w:t>
      </w:r>
      <w:r>
        <w:rPr>
          <w:rFonts w:ascii="宋体" w:hAnsi="宋体" w:eastAsia="宋体" w:cs="宋体"/>
          <w:sz w:val="23"/>
          <w:szCs w:val="23"/>
        </w:rPr>
        <w:t xml:space="preserve"> </w:t>
      </w:r>
      <w:r>
        <w:rPr>
          <w:rFonts w:ascii="宋体" w:hAnsi="宋体" w:eastAsia="宋体" w:cs="宋体"/>
          <w:spacing w:val="12"/>
          <w:sz w:val="23"/>
          <w:szCs w:val="23"/>
        </w:rPr>
        <w:t>基</w:t>
      </w:r>
      <w:r>
        <w:rPr>
          <w:rFonts w:ascii="宋体" w:hAnsi="宋体" w:eastAsia="宋体" w:cs="宋体"/>
          <w:spacing w:val="7"/>
          <w:sz w:val="23"/>
          <w:szCs w:val="23"/>
        </w:rPr>
        <w:t>础上改造而来的。工艺流程是在猪舍内的排粪沟中注入一定量的水，粪尿、冲洗和饲养管</w:t>
      </w:r>
      <w:r>
        <w:rPr>
          <w:rFonts w:ascii="宋体" w:hAnsi="宋体" w:eastAsia="宋体" w:cs="宋体"/>
          <w:sz w:val="23"/>
          <w:szCs w:val="23"/>
        </w:rPr>
        <w:t xml:space="preserve"> </w:t>
      </w:r>
      <w:r>
        <w:rPr>
          <w:rFonts w:ascii="宋体" w:hAnsi="宋体" w:eastAsia="宋体" w:cs="宋体"/>
          <w:spacing w:val="-2"/>
          <w:sz w:val="23"/>
          <w:szCs w:val="23"/>
        </w:rPr>
        <w:t>理用水一并排放缝隙地板下的粪</w:t>
      </w:r>
      <w:r>
        <w:rPr>
          <w:rFonts w:ascii="宋体" w:hAnsi="宋体" w:eastAsia="宋体" w:cs="宋体"/>
          <w:spacing w:val="-1"/>
          <w:sz w:val="23"/>
          <w:szCs w:val="23"/>
        </w:rPr>
        <w:t xml:space="preserve">沟中，储存一定时间后 ( 一般为 </w:t>
      </w:r>
      <w:r>
        <w:rPr>
          <w:rFonts w:ascii="Times New Roman" w:hAnsi="Times New Roman" w:eastAsia="Times New Roman" w:cs="Times New Roman"/>
          <w:spacing w:val="-1"/>
          <w:sz w:val="23"/>
          <w:szCs w:val="23"/>
        </w:rPr>
        <w:t xml:space="preserve">1~2 </w:t>
      </w:r>
      <w:r>
        <w:rPr>
          <w:rFonts w:ascii="宋体" w:hAnsi="宋体" w:eastAsia="宋体" w:cs="宋体"/>
          <w:spacing w:val="-1"/>
          <w:sz w:val="23"/>
          <w:szCs w:val="23"/>
        </w:rPr>
        <w:t>个月) ，待粪沟装满后，</w:t>
      </w:r>
      <w:r>
        <w:rPr>
          <w:rFonts w:ascii="宋体" w:hAnsi="宋体" w:eastAsia="宋体" w:cs="宋体"/>
          <w:sz w:val="23"/>
          <w:szCs w:val="23"/>
        </w:rPr>
        <w:t xml:space="preserve"> </w:t>
      </w:r>
      <w:r>
        <w:rPr>
          <w:rFonts w:ascii="宋体" w:hAnsi="宋体" w:eastAsia="宋体" w:cs="宋体"/>
          <w:spacing w:val="12"/>
          <w:sz w:val="23"/>
          <w:szCs w:val="23"/>
        </w:rPr>
        <w:t>打</w:t>
      </w:r>
      <w:r>
        <w:rPr>
          <w:rFonts w:ascii="宋体" w:hAnsi="宋体" w:eastAsia="宋体" w:cs="宋体"/>
          <w:spacing w:val="7"/>
          <w:sz w:val="23"/>
          <w:szCs w:val="23"/>
        </w:rPr>
        <w:t>开出口的闸门，将沟中粪水排出。粪水顺粪沟流入粪便主干沟，进入地下贮粪池或用泵抽</w:t>
      </w:r>
      <w:r>
        <w:rPr>
          <w:rFonts w:ascii="宋体" w:hAnsi="宋体" w:eastAsia="宋体" w:cs="宋体"/>
          <w:sz w:val="23"/>
          <w:szCs w:val="23"/>
        </w:rPr>
        <w:t xml:space="preserve"> </w:t>
      </w:r>
      <w:r>
        <w:rPr>
          <w:rFonts w:ascii="宋体" w:hAnsi="宋体" w:eastAsia="宋体" w:cs="宋体"/>
          <w:spacing w:val="11"/>
          <w:sz w:val="23"/>
          <w:szCs w:val="23"/>
        </w:rPr>
        <w:t>吸</w:t>
      </w:r>
      <w:r>
        <w:rPr>
          <w:rFonts w:ascii="宋体" w:hAnsi="宋体" w:eastAsia="宋体" w:cs="宋体"/>
          <w:spacing w:val="7"/>
          <w:sz w:val="23"/>
          <w:szCs w:val="23"/>
        </w:rPr>
        <w:t>到地面贮粪池。</w:t>
      </w:r>
    </w:p>
    <w:p w14:paraId="18FF3F9D">
      <w:pPr>
        <w:spacing w:line="227" w:lineRule="auto"/>
        <w:ind w:left="489"/>
        <w:rPr>
          <w:rFonts w:ascii="宋体" w:hAnsi="宋体" w:eastAsia="宋体" w:cs="宋体"/>
          <w:sz w:val="23"/>
          <w:szCs w:val="23"/>
        </w:rPr>
      </w:pPr>
      <w:r>
        <w:rPr>
          <w:rFonts w:ascii="宋体" w:hAnsi="宋体" w:eastAsia="宋体" w:cs="宋体"/>
          <w:spacing w:val="16"/>
          <w:sz w:val="23"/>
          <w:szCs w:val="23"/>
        </w:rPr>
        <w:t>优</w:t>
      </w:r>
      <w:r>
        <w:rPr>
          <w:rFonts w:ascii="宋体" w:hAnsi="宋体" w:eastAsia="宋体" w:cs="宋体"/>
          <w:spacing w:val="9"/>
          <w:sz w:val="23"/>
          <w:szCs w:val="23"/>
        </w:rPr>
        <w:t>点</w:t>
      </w:r>
      <w:r>
        <w:rPr>
          <w:rFonts w:ascii="宋体" w:hAnsi="宋体" w:eastAsia="宋体" w:cs="宋体"/>
          <w:spacing w:val="8"/>
          <w:sz w:val="23"/>
          <w:szCs w:val="23"/>
        </w:rPr>
        <w:t>：比水冲粪工艺节省用水。</w:t>
      </w:r>
    </w:p>
    <w:p w14:paraId="133822FC">
      <w:pPr>
        <w:spacing w:before="181" w:line="375" w:lineRule="auto"/>
        <w:ind w:left="9" w:right="50" w:firstLine="480"/>
        <w:rPr>
          <w:rFonts w:ascii="宋体" w:hAnsi="宋体" w:eastAsia="宋体" w:cs="宋体"/>
          <w:sz w:val="23"/>
          <w:szCs w:val="23"/>
        </w:rPr>
      </w:pPr>
      <w:r>
        <w:rPr>
          <w:rFonts w:ascii="宋体" w:hAnsi="宋体" w:eastAsia="宋体" w:cs="宋体"/>
          <w:spacing w:val="6"/>
          <w:sz w:val="23"/>
          <w:szCs w:val="23"/>
        </w:rPr>
        <w:t>缺点： 由于粪便</w:t>
      </w:r>
      <w:r>
        <w:rPr>
          <w:rFonts w:ascii="宋体" w:hAnsi="宋体" w:eastAsia="宋体" w:cs="宋体"/>
          <w:spacing w:val="3"/>
          <w:sz w:val="23"/>
          <w:szCs w:val="23"/>
        </w:rPr>
        <w:t xml:space="preserve">长时间在猪舍中停留，形成厌氧发酵，产生大量的有害气体，如 </w:t>
      </w:r>
      <w:r>
        <w:rPr>
          <w:rFonts w:ascii="Times New Roman" w:hAnsi="Times New Roman" w:eastAsia="Times New Roman" w:cs="Times New Roman"/>
          <w:sz w:val="23"/>
          <w:szCs w:val="23"/>
        </w:rPr>
        <w:t>H</w:t>
      </w:r>
      <w:r>
        <w:rPr>
          <w:rFonts w:ascii="Times New Roman" w:hAnsi="Times New Roman" w:eastAsia="Times New Roman" w:cs="Times New Roman"/>
          <w:spacing w:val="3"/>
          <w:position w:val="-1"/>
          <w:sz w:val="15"/>
          <w:szCs w:val="15"/>
        </w:rPr>
        <w:t>2</w:t>
      </w:r>
      <w:r>
        <w:rPr>
          <w:rFonts w:ascii="Times New Roman" w:hAnsi="Times New Roman" w:eastAsia="Times New Roman" w:cs="Times New Roman"/>
          <w:sz w:val="23"/>
          <w:szCs w:val="23"/>
        </w:rPr>
        <w:t>S</w:t>
      </w:r>
      <w:r>
        <w:rPr>
          <w:rFonts w:ascii="宋体" w:hAnsi="宋体" w:eastAsia="宋体" w:cs="宋体"/>
          <w:spacing w:val="3"/>
          <w:sz w:val="23"/>
          <w:szCs w:val="23"/>
        </w:rPr>
        <w:t>，</w:t>
      </w:r>
      <w:r>
        <w:rPr>
          <w:rFonts w:ascii="宋体" w:hAnsi="宋体" w:eastAsia="宋体" w:cs="宋体"/>
          <w:sz w:val="23"/>
          <w:szCs w:val="23"/>
        </w:rPr>
        <w:t xml:space="preserve"> </w:t>
      </w:r>
      <w:r>
        <w:rPr>
          <w:rFonts w:ascii="Times New Roman" w:hAnsi="Times New Roman" w:eastAsia="Times New Roman" w:cs="Times New Roman"/>
          <w:sz w:val="23"/>
          <w:szCs w:val="23"/>
        </w:rPr>
        <w:t>CH</w:t>
      </w:r>
      <w:r>
        <w:rPr>
          <w:rFonts w:ascii="Times New Roman" w:hAnsi="Times New Roman" w:eastAsia="Times New Roman" w:cs="Times New Roman"/>
          <w:spacing w:val="16"/>
          <w:position w:val="-1"/>
          <w:sz w:val="15"/>
          <w:szCs w:val="15"/>
        </w:rPr>
        <w:t>4</w:t>
      </w:r>
      <w:r>
        <w:rPr>
          <w:rFonts w:ascii="Times New Roman" w:hAnsi="Times New Roman" w:eastAsia="Times New Roman" w:cs="Times New Roman"/>
          <w:spacing w:val="9"/>
          <w:position w:val="-1"/>
          <w:sz w:val="15"/>
          <w:szCs w:val="15"/>
        </w:rPr>
        <w:t xml:space="preserve"> </w:t>
      </w:r>
      <w:r>
        <w:rPr>
          <w:rFonts w:ascii="宋体" w:hAnsi="宋体" w:eastAsia="宋体" w:cs="宋体"/>
          <w:spacing w:val="8"/>
          <w:sz w:val="23"/>
          <w:szCs w:val="23"/>
        </w:rPr>
        <w:t>等，恶化舍内空气环境，危及动物和饲养人员的健康。粪水混合物的污染物浓度更高，</w:t>
      </w:r>
      <w:r>
        <w:rPr>
          <w:rFonts w:ascii="宋体" w:hAnsi="宋体" w:eastAsia="宋体" w:cs="宋体"/>
          <w:sz w:val="23"/>
          <w:szCs w:val="23"/>
        </w:rPr>
        <w:t xml:space="preserve"> </w:t>
      </w:r>
      <w:r>
        <w:rPr>
          <w:rFonts w:ascii="宋体" w:hAnsi="宋体" w:eastAsia="宋体" w:cs="宋体"/>
          <w:spacing w:val="12"/>
          <w:sz w:val="23"/>
          <w:szCs w:val="23"/>
        </w:rPr>
        <w:t>后</w:t>
      </w:r>
      <w:r>
        <w:rPr>
          <w:rFonts w:ascii="宋体" w:hAnsi="宋体" w:eastAsia="宋体" w:cs="宋体"/>
          <w:spacing w:val="7"/>
          <w:sz w:val="23"/>
          <w:szCs w:val="23"/>
        </w:rPr>
        <w:t>处理也更加困难。该工艺技术上不复杂，不受气候变化影响，污水处理部分基建投资及动</w:t>
      </w:r>
      <w:r>
        <w:rPr>
          <w:rFonts w:ascii="宋体" w:hAnsi="宋体" w:eastAsia="宋体" w:cs="宋体"/>
          <w:sz w:val="23"/>
          <w:szCs w:val="23"/>
        </w:rPr>
        <w:t xml:space="preserve"> </w:t>
      </w:r>
      <w:r>
        <w:rPr>
          <w:rFonts w:ascii="宋体" w:hAnsi="宋体" w:eastAsia="宋体" w:cs="宋体"/>
          <w:spacing w:val="7"/>
          <w:sz w:val="23"/>
          <w:szCs w:val="23"/>
        </w:rPr>
        <w:t>力消耗较高</w:t>
      </w:r>
      <w:r>
        <w:rPr>
          <w:rFonts w:ascii="宋体" w:hAnsi="宋体" w:eastAsia="宋体" w:cs="宋体"/>
          <w:spacing w:val="6"/>
          <w:sz w:val="23"/>
          <w:szCs w:val="23"/>
        </w:rPr>
        <w:t>。</w:t>
      </w:r>
    </w:p>
    <w:p w14:paraId="6BA2D2D2">
      <w:pPr>
        <w:spacing w:line="225" w:lineRule="auto"/>
        <w:ind w:left="488"/>
        <w:rPr>
          <w:rFonts w:ascii="宋体" w:hAnsi="宋体" w:eastAsia="宋体" w:cs="宋体"/>
          <w:sz w:val="23"/>
          <w:szCs w:val="23"/>
        </w:rPr>
      </w:pPr>
      <w:r>
        <w:rPr>
          <w:rFonts w:ascii="宋体" w:hAnsi="宋体" w:eastAsia="宋体" w:cs="宋体"/>
          <w:spacing w:val="12"/>
          <w:sz w:val="23"/>
          <w:szCs w:val="23"/>
        </w:rPr>
        <w:t>③</w:t>
      </w:r>
      <w:r>
        <w:rPr>
          <w:rFonts w:ascii="宋体" w:hAnsi="宋体" w:eastAsia="宋体" w:cs="宋体"/>
          <w:spacing w:val="8"/>
          <w:sz w:val="23"/>
          <w:szCs w:val="23"/>
        </w:rPr>
        <w:t>尿泡粪工艺</w:t>
      </w:r>
    </w:p>
    <w:p w14:paraId="607EA1BF">
      <w:pPr>
        <w:spacing w:before="187" w:line="230" w:lineRule="auto"/>
        <w:ind w:left="494"/>
        <w:rPr>
          <w:rFonts w:ascii="宋体" w:hAnsi="宋体" w:eastAsia="宋体" w:cs="宋体"/>
          <w:sz w:val="23"/>
          <w:szCs w:val="23"/>
        </w:rPr>
      </w:pPr>
      <w:r>
        <w:rPr>
          <w:rFonts w:ascii="宋体" w:hAnsi="宋体" w:eastAsia="宋体" w:cs="宋体"/>
          <w:spacing w:val="7"/>
          <w:sz w:val="23"/>
          <w:szCs w:val="23"/>
        </w:rPr>
        <w:t>该工艺的主要目的是及时、有效地清除畜舍内的粪便、尿液，保持畜舍环境卫生，充</w:t>
      </w:r>
      <w:r>
        <w:rPr>
          <w:rFonts w:ascii="宋体" w:hAnsi="宋体" w:eastAsia="宋体" w:cs="宋体"/>
          <w:spacing w:val="2"/>
          <w:sz w:val="23"/>
          <w:szCs w:val="23"/>
        </w:rPr>
        <w:t>分</w:t>
      </w:r>
    </w:p>
    <w:p w14:paraId="7510061C">
      <w:pPr>
        <w:sectPr>
          <w:headerReference r:id="rId257" w:type="default"/>
          <w:footerReference r:id="rId258" w:type="default"/>
          <w:pgSz w:w="11906" w:h="16839"/>
          <w:pgMar w:top="1113" w:right="1068" w:bottom="1156" w:left="1275" w:header="878" w:footer="994" w:gutter="0"/>
          <w:cols w:space="720" w:num="1"/>
        </w:sectPr>
      </w:pPr>
    </w:p>
    <w:p w14:paraId="02C74554">
      <w:pPr>
        <w:spacing w:before="196" w:line="375" w:lineRule="auto"/>
        <w:ind w:left="11" w:right="35"/>
        <w:rPr>
          <w:rFonts w:ascii="宋体" w:hAnsi="宋体" w:eastAsia="宋体" w:cs="宋体"/>
          <w:sz w:val="23"/>
          <w:szCs w:val="23"/>
        </w:rPr>
      </w:pPr>
      <w:r>
        <w:rPr>
          <w:rFonts w:ascii="宋体" w:hAnsi="宋体" w:eastAsia="宋体" w:cs="宋体"/>
          <w:spacing w:val="16"/>
          <w:sz w:val="23"/>
          <w:szCs w:val="23"/>
        </w:rPr>
        <w:t>利</w:t>
      </w:r>
      <w:r>
        <w:rPr>
          <w:rFonts w:ascii="宋体" w:hAnsi="宋体" w:eastAsia="宋体" w:cs="宋体"/>
          <w:spacing w:val="11"/>
          <w:sz w:val="23"/>
          <w:szCs w:val="23"/>
        </w:rPr>
        <w:t>用</w:t>
      </w:r>
      <w:r>
        <w:rPr>
          <w:rFonts w:ascii="宋体" w:hAnsi="宋体" w:eastAsia="宋体" w:cs="宋体"/>
          <w:spacing w:val="8"/>
          <w:sz w:val="23"/>
          <w:szCs w:val="23"/>
        </w:rPr>
        <w:t>劳动力资源丰富的优势，减少粪污清理过程中的用水、用电，保持固体粪便的营养物，</w:t>
      </w:r>
      <w:r>
        <w:rPr>
          <w:rFonts w:ascii="宋体" w:hAnsi="宋体" w:eastAsia="宋体" w:cs="宋体"/>
          <w:sz w:val="23"/>
          <w:szCs w:val="23"/>
        </w:rPr>
        <w:t xml:space="preserve"> </w:t>
      </w:r>
      <w:r>
        <w:rPr>
          <w:rFonts w:ascii="宋体" w:hAnsi="宋体" w:eastAsia="宋体" w:cs="宋体"/>
          <w:spacing w:val="11"/>
          <w:sz w:val="23"/>
          <w:szCs w:val="23"/>
        </w:rPr>
        <w:t>提</w:t>
      </w:r>
      <w:r>
        <w:rPr>
          <w:rFonts w:ascii="宋体" w:hAnsi="宋体" w:eastAsia="宋体" w:cs="宋体"/>
          <w:spacing w:val="7"/>
          <w:sz w:val="23"/>
          <w:szCs w:val="23"/>
        </w:rPr>
        <w:t>高有机肥肥效，降低后续粪尿处理的成本。尿泡粪工艺的主要方法是，粪便一经产生便分</w:t>
      </w:r>
      <w:r>
        <w:rPr>
          <w:rFonts w:ascii="宋体" w:hAnsi="宋体" w:eastAsia="宋体" w:cs="宋体"/>
          <w:sz w:val="23"/>
          <w:szCs w:val="23"/>
        </w:rPr>
        <w:t xml:space="preserve"> </w:t>
      </w:r>
      <w:r>
        <w:rPr>
          <w:rFonts w:ascii="宋体" w:hAnsi="宋体" w:eastAsia="宋体" w:cs="宋体"/>
          <w:spacing w:val="14"/>
          <w:sz w:val="23"/>
          <w:szCs w:val="23"/>
        </w:rPr>
        <w:t>流</w:t>
      </w:r>
      <w:r>
        <w:rPr>
          <w:rFonts w:ascii="宋体" w:hAnsi="宋体" w:eastAsia="宋体" w:cs="宋体"/>
          <w:spacing w:val="8"/>
          <w:sz w:val="23"/>
          <w:szCs w:val="23"/>
        </w:rPr>
        <w:t>，</w:t>
      </w:r>
      <w:r>
        <w:rPr>
          <w:rFonts w:ascii="宋体" w:hAnsi="宋体" w:eastAsia="宋体" w:cs="宋体"/>
          <w:spacing w:val="7"/>
          <w:sz w:val="23"/>
          <w:szCs w:val="23"/>
        </w:rPr>
        <w:t>干粪由机械或人工收集、清扫、运走，尿及冲洗水则从下水道流出，分别进行处理。尿</w:t>
      </w:r>
      <w:r>
        <w:rPr>
          <w:rFonts w:ascii="宋体" w:hAnsi="宋体" w:eastAsia="宋体" w:cs="宋体"/>
          <w:sz w:val="23"/>
          <w:szCs w:val="23"/>
        </w:rPr>
        <w:t xml:space="preserve"> </w:t>
      </w:r>
      <w:r>
        <w:rPr>
          <w:rFonts w:ascii="宋体" w:hAnsi="宋体" w:eastAsia="宋体" w:cs="宋体"/>
          <w:spacing w:val="9"/>
          <w:sz w:val="23"/>
          <w:szCs w:val="23"/>
        </w:rPr>
        <w:t>泡粪工艺分为人工清粪和机械清粪两种</w:t>
      </w:r>
      <w:r>
        <w:rPr>
          <w:rFonts w:ascii="宋体" w:hAnsi="宋体" w:eastAsia="宋体" w:cs="宋体"/>
          <w:spacing w:val="6"/>
          <w:sz w:val="23"/>
          <w:szCs w:val="23"/>
        </w:rPr>
        <w:t>。</w:t>
      </w:r>
    </w:p>
    <w:p w14:paraId="31BB6362">
      <w:pPr>
        <w:spacing w:before="1" w:line="374" w:lineRule="auto"/>
        <w:ind w:left="9" w:right="35" w:firstLine="482"/>
        <w:rPr>
          <w:rFonts w:ascii="宋体" w:hAnsi="宋体" w:eastAsia="宋体" w:cs="宋体"/>
          <w:sz w:val="23"/>
          <w:szCs w:val="23"/>
        </w:rPr>
      </w:pPr>
      <w:r>
        <w:rPr>
          <w:rFonts w:ascii="宋体" w:hAnsi="宋体" w:eastAsia="宋体" w:cs="宋体"/>
          <w:spacing w:val="14"/>
          <w:sz w:val="23"/>
          <w:szCs w:val="23"/>
        </w:rPr>
        <w:t>人</w:t>
      </w:r>
      <w:r>
        <w:rPr>
          <w:rFonts w:ascii="宋体" w:hAnsi="宋体" w:eastAsia="宋体" w:cs="宋体"/>
          <w:spacing w:val="8"/>
          <w:sz w:val="23"/>
          <w:szCs w:val="23"/>
        </w:rPr>
        <w:t>工清粪只需用一些清扫工具、人工清粪车等。设备简单，不用电力，一次性投资少，</w:t>
      </w:r>
      <w:r>
        <w:rPr>
          <w:rFonts w:ascii="宋体" w:hAnsi="宋体" w:eastAsia="宋体" w:cs="宋体"/>
          <w:sz w:val="23"/>
          <w:szCs w:val="23"/>
        </w:rPr>
        <w:t xml:space="preserve"> </w:t>
      </w:r>
      <w:r>
        <w:rPr>
          <w:rFonts w:ascii="宋体" w:hAnsi="宋体" w:eastAsia="宋体" w:cs="宋体"/>
          <w:spacing w:val="18"/>
          <w:sz w:val="23"/>
          <w:szCs w:val="23"/>
        </w:rPr>
        <w:t>还</w:t>
      </w:r>
      <w:r>
        <w:rPr>
          <w:rFonts w:ascii="宋体" w:hAnsi="宋体" w:eastAsia="宋体" w:cs="宋体"/>
          <w:spacing w:val="15"/>
          <w:sz w:val="23"/>
          <w:szCs w:val="23"/>
        </w:rPr>
        <w:t>可</w:t>
      </w:r>
      <w:r>
        <w:rPr>
          <w:rFonts w:ascii="宋体" w:hAnsi="宋体" w:eastAsia="宋体" w:cs="宋体"/>
          <w:spacing w:val="9"/>
          <w:sz w:val="23"/>
          <w:szCs w:val="23"/>
        </w:rPr>
        <w:t>以做到粪尿分离，便于后面的粪尿处理。其缺点是劳动量大，生产率低。</w:t>
      </w:r>
    </w:p>
    <w:p w14:paraId="7CE08576">
      <w:pPr>
        <w:spacing w:before="1" w:line="374" w:lineRule="auto"/>
        <w:ind w:left="11" w:right="21" w:firstLine="478"/>
        <w:rPr>
          <w:rFonts w:ascii="宋体" w:hAnsi="宋体" w:eastAsia="宋体" w:cs="宋体"/>
          <w:sz w:val="23"/>
          <w:szCs w:val="23"/>
        </w:rPr>
      </w:pPr>
      <w:r>
        <w:rPr>
          <w:rFonts w:ascii="宋体" w:hAnsi="宋体" w:eastAsia="宋体" w:cs="宋体"/>
          <w:spacing w:val="4"/>
          <w:sz w:val="23"/>
          <w:szCs w:val="23"/>
        </w:rPr>
        <w:t>机械清粪包括铲式清</w:t>
      </w:r>
      <w:r>
        <w:rPr>
          <w:rFonts w:ascii="宋体" w:hAnsi="宋体" w:eastAsia="宋体" w:cs="宋体"/>
          <w:spacing w:val="3"/>
          <w:sz w:val="23"/>
          <w:szCs w:val="23"/>
        </w:rPr>
        <w:t>粪</w:t>
      </w:r>
      <w:r>
        <w:rPr>
          <w:rFonts w:ascii="宋体" w:hAnsi="宋体" w:eastAsia="宋体" w:cs="宋体"/>
          <w:spacing w:val="2"/>
          <w:sz w:val="23"/>
          <w:szCs w:val="23"/>
        </w:rPr>
        <w:t>和刮板清粪。机械清粪的优点是可以减轻劳动强度，节约劳动力，</w:t>
      </w:r>
      <w:r>
        <w:rPr>
          <w:rFonts w:ascii="宋体" w:hAnsi="宋体" w:eastAsia="宋体" w:cs="宋体"/>
          <w:sz w:val="23"/>
          <w:szCs w:val="23"/>
        </w:rPr>
        <w:t xml:space="preserve"> </w:t>
      </w:r>
      <w:r>
        <w:rPr>
          <w:rFonts w:ascii="宋体" w:hAnsi="宋体" w:eastAsia="宋体" w:cs="宋体"/>
          <w:spacing w:val="18"/>
          <w:sz w:val="23"/>
          <w:szCs w:val="23"/>
        </w:rPr>
        <w:t>提</w:t>
      </w:r>
      <w:r>
        <w:rPr>
          <w:rFonts w:ascii="宋体" w:hAnsi="宋体" w:eastAsia="宋体" w:cs="宋体"/>
          <w:spacing w:val="9"/>
          <w:sz w:val="23"/>
          <w:szCs w:val="23"/>
        </w:rPr>
        <w:t>高工效。缺点是一次性投资较大，还要花费一定的运行维护费用。</w:t>
      </w:r>
    </w:p>
    <w:p w14:paraId="4C6CEF0F">
      <w:pPr>
        <w:spacing w:before="1" w:line="374" w:lineRule="auto"/>
        <w:ind w:left="12" w:right="82" w:firstLine="477"/>
        <w:rPr>
          <w:rFonts w:ascii="宋体" w:hAnsi="宋体" w:eastAsia="宋体" w:cs="宋体"/>
          <w:sz w:val="23"/>
          <w:szCs w:val="23"/>
        </w:rPr>
      </w:pPr>
      <w:r>
        <w:rPr>
          <w:rFonts w:ascii="宋体" w:hAnsi="宋体" w:eastAsia="宋体" w:cs="宋体"/>
          <w:spacing w:val="7"/>
          <w:sz w:val="23"/>
          <w:szCs w:val="23"/>
        </w:rPr>
        <w:t>尿泡粪工艺技术上不复杂，不受气候变化影响，污水处理部分基建投资比水冲粪和水</w:t>
      </w:r>
      <w:r>
        <w:rPr>
          <w:rFonts w:ascii="宋体" w:hAnsi="宋体" w:eastAsia="宋体" w:cs="宋体"/>
          <w:spacing w:val="6"/>
          <w:sz w:val="23"/>
          <w:szCs w:val="23"/>
        </w:rPr>
        <w:t>泡</w:t>
      </w:r>
      <w:r>
        <w:rPr>
          <w:rFonts w:ascii="宋体" w:hAnsi="宋体" w:eastAsia="宋体" w:cs="宋体"/>
          <w:sz w:val="23"/>
          <w:szCs w:val="23"/>
        </w:rPr>
        <w:t xml:space="preserve"> </w:t>
      </w:r>
      <w:r>
        <w:rPr>
          <w:rFonts w:ascii="宋体" w:hAnsi="宋体" w:eastAsia="宋体" w:cs="宋体"/>
          <w:spacing w:val="9"/>
          <w:sz w:val="23"/>
          <w:szCs w:val="23"/>
        </w:rPr>
        <w:t>粪</w:t>
      </w:r>
      <w:r>
        <w:rPr>
          <w:rFonts w:ascii="宋体" w:hAnsi="宋体" w:eastAsia="宋体" w:cs="宋体"/>
          <w:spacing w:val="7"/>
          <w:sz w:val="23"/>
          <w:szCs w:val="23"/>
        </w:rPr>
        <w:t>工艺大大降低。</w:t>
      </w:r>
    </w:p>
    <w:p w14:paraId="0A1C0192">
      <w:pPr>
        <w:spacing w:before="9" w:line="374" w:lineRule="auto"/>
        <w:ind w:left="9" w:right="35" w:firstLine="480"/>
        <w:rPr>
          <w:rFonts w:ascii="宋体" w:hAnsi="宋体" w:eastAsia="宋体" w:cs="宋体"/>
          <w:sz w:val="23"/>
          <w:szCs w:val="23"/>
        </w:rPr>
      </w:pPr>
      <w:r>
        <w:rPr>
          <w:rFonts w:ascii="宋体" w:hAnsi="宋体" w:eastAsia="宋体" w:cs="宋体"/>
          <w:spacing w:val="7"/>
          <w:sz w:val="23"/>
          <w:szCs w:val="23"/>
        </w:rPr>
        <w:t>三种清粪工艺比较分析：从投资情况看，采用水冲式和水泡式清粪工艺的万头猪粪污</w:t>
      </w:r>
      <w:r>
        <w:rPr>
          <w:rFonts w:ascii="宋体" w:hAnsi="宋体" w:eastAsia="宋体" w:cs="宋体"/>
          <w:spacing w:val="6"/>
          <w:sz w:val="23"/>
          <w:szCs w:val="23"/>
        </w:rPr>
        <w:t>水</w:t>
      </w:r>
      <w:r>
        <w:rPr>
          <w:rFonts w:ascii="宋体" w:hAnsi="宋体" w:eastAsia="宋体" w:cs="宋体"/>
          <w:sz w:val="23"/>
          <w:szCs w:val="23"/>
        </w:rPr>
        <w:t xml:space="preserve"> </w:t>
      </w:r>
      <w:r>
        <w:rPr>
          <w:rFonts w:ascii="宋体" w:hAnsi="宋体" w:eastAsia="宋体" w:cs="宋体"/>
          <w:spacing w:val="16"/>
          <w:sz w:val="23"/>
          <w:szCs w:val="23"/>
        </w:rPr>
        <w:t>处</w:t>
      </w:r>
      <w:r>
        <w:rPr>
          <w:rFonts w:ascii="宋体" w:hAnsi="宋体" w:eastAsia="宋体" w:cs="宋体"/>
          <w:spacing w:val="13"/>
          <w:sz w:val="23"/>
          <w:szCs w:val="23"/>
        </w:rPr>
        <w:t>理</w:t>
      </w:r>
      <w:r>
        <w:rPr>
          <w:rFonts w:ascii="宋体" w:hAnsi="宋体" w:eastAsia="宋体" w:cs="宋体"/>
          <w:spacing w:val="8"/>
          <w:sz w:val="23"/>
          <w:szCs w:val="23"/>
        </w:rPr>
        <w:t>工程的投资和运行费用比采用尿泡粪工艺的多一倍。另据北京市顺义绿健集团的资料，</w:t>
      </w:r>
      <w:r>
        <w:rPr>
          <w:rFonts w:ascii="宋体" w:hAnsi="宋体" w:eastAsia="宋体" w:cs="宋体"/>
          <w:sz w:val="23"/>
          <w:szCs w:val="23"/>
        </w:rPr>
        <w:t xml:space="preserve"> </w:t>
      </w:r>
      <w:r>
        <w:rPr>
          <w:rFonts w:ascii="宋体" w:hAnsi="宋体" w:eastAsia="宋体" w:cs="宋体"/>
          <w:spacing w:val="4"/>
          <w:sz w:val="23"/>
          <w:szCs w:val="23"/>
        </w:rPr>
        <w:t>养殖场每个工人每天</w:t>
      </w:r>
      <w:r>
        <w:rPr>
          <w:rFonts w:ascii="宋体" w:hAnsi="宋体" w:eastAsia="宋体" w:cs="宋体"/>
          <w:spacing w:val="3"/>
          <w:sz w:val="23"/>
          <w:szCs w:val="23"/>
        </w:rPr>
        <w:t>清</w:t>
      </w:r>
      <w:r>
        <w:rPr>
          <w:rFonts w:ascii="宋体" w:hAnsi="宋体" w:eastAsia="宋体" w:cs="宋体"/>
          <w:spacing w:val="2"/>
          <w:sz w:val="23"/>
          <w:szCs w:val="23"/>
        </w:rPr>
        <w:t xml:space="preserve">运 </w:t>
      </w:r>
      <w:r>
        <w:rPr>
          <w:rFonts w:ascii="Times New Roman" w:hAnsi="Times New Roman" w:eastAsia="Times New Roman" w:cs="Times New Roman"/>
          <w:spacing w:val="2"/>
          <w:sz w:val="23"/>
          <w:szCs w:val="23"/>
        </w:rPr>
        <w:t xml:space="preserve">100 </w:t>
      </w:r>
      <w:r>
        <w:rPr>
          <w:rFonts w:ascii="宋体" w:hAnsi="宋体" w:eastAsia="宋体" w:cs="宋体"/>
          <w:spacing w:val="2"/>
          <w:sz w:val="23"/>
          <w:szCs w:val="23"/>
        </w:rPr>
        <w:t xml:space="preserve">头猪的粪便，约 </w:t>
      </w:r>
      <w:r>
        <w:rPr>
          <w:rFonts w:ascii="Times New Roman" w:hAnsi="Times New Roman" w:eastAsia="Times New Roman" w:cs="Times New Roman"/>
          <w:spacing w:val="2"/>
          <w:sz w:val="23"/>
          <w:szCs w:val="23"/>
        </w:rPr>
        <w:t>200</w:t>
      </w:r>
      <w:r>
        <w:rPr>
          <w:rFonts w:ascii="Times New Roman" w:hAnsi="Times New Roman" w:eastAsia="Times New Roman" w:cs="Times New Roman"/>
          <w:sz w:val="23"/>
          <w:szCs w:val="23"/>
        </w:rPr>
        <w:t>kg</w:t>
      </w:r>
      <w:r>
        <w:rPr>
          <w:rFonts w:ascii="Times New Roman" w:hAnsi="Times New Roman" w:eastAsia="Times New Roman" w:cs="Times New Roman"/>
          <w:spacing w:val="2"/>
          <w:sz w:val="23"/>
          <w:szCs w:val="23"/>
        </w:rPr>
        <w:t xml:space="preserve"> </w:t>
      </w:r>
      <w:r>
        <w:rPr>
          <w:rFonts w:ascii="宋体" w:hAnsi="宋体" w:eastAsia="宋体" w:cs="宋体"/>
          <w:spacing w:val="2"/>
          <w:sz w:val="23"/>
          <w:szCs w:val="23"/>
        </w:rPr>
        <w:t xml:space="preserve">，工人所得奖金为 </w:t>
      </w:r>
      <w:r>
        <w:rPr>
          <w:rFonts w:ascii="Times New Roman" w:hAnsi="Times New Roman" w:eastAsia="Times New Roman" w:cs="Times New Roman"/>
          <w:spacing w:val="2"/>
          <w:sz w:val="23"/>
          <w:szCs w:val="23"/>
        </w:rPr>
        <w:t xml:space="preserve">5 </w:t>
      </w:r>
      <w:r>
        <w:rPr>
          <w:rFonts w:ascii="宋体" w:hAnsi="宋体" w:eastAsia="宋体" w:cs="宋体"/>
          <w:spacing w:val="2"/>
          <w:sz w:val="23"/>
          <w:szCs w:val="23"/>
        </w:rPr>
        <w:t>元。水冲式和水泡</w:t>
      </w:r>
      <w:r>
        <w:rPr>
          <w:rFonts w:ascii="宋体" w:hAnsi="宋体" w:eastAsia="宋体" w:cs="宋体"/>
          <w:sz w:val="23"/>
          <w:szCs w:val="23"/>
        </w:rPr>
        <w:t xml:space="preserve"> </w:t>
      </w:r>
      <w:r>
        <w:rPr>
          <w:rFonts w:ascii="宋体" w:hAnsi="宋体" w:eastAsia="宋体" w:cs="宋体"/>
          <w:spacing w:val="12"/>
          <w:sz w:val="23"/>
          <w:szCs w:val="23"/>
        </w:rPr>
        <w:t>式</w:t>
      </w:r>
      <w:r>
        <w:rPr>
          <w:rFonts w:ascii="宋体" w:hAnsi="宋体" w:eastAsia="宋体" w:cs="宋体"/>
          <w:spacing w:val="7"/>
          <w:sz w:val="23"/>
          <w:szCs w:val="23"/>
        </w:rPr>
        <w:t>清粪工艺，耗水量大，排出的污水和粪尿混合在一起，给后处理带来很大困难，而且固液</w:t>
      </w:r>
      <w:r>
        <w:rPr>
          <w:rFonts w:ascii="宋体" w:hAnsi="宋体" w:eastAsia="宋体" w:cs="宋体"/>
          <w:sz w:val="23"/>
          <w:szCs w:val="23"/>
        </w:rPr>
        <w:t xml:space="preserve"> </w:t>
      </w:r>
      <w:r>
        <w:rPr>
          <w:rFonts w:ascii="宋体" w:hAnsi="宋体" w:eastAsia="宋体" w:cs="宋体"/>
          <w:spacing w:val="12"/>
          <w:sz w:val="23"/>
          <w:szCs w:val="23"/>
        </w:rPr>
        <w:t>分</w:t>
      </w:r>
      <w:r>
        <w:rPr>
          <w:rFonts w:ascii="宋体" w:hAnsi="宋体" w:eastAsia="宋体" w:cs="宋体"/>
          <w:spacing w:val="7"/>
          <w:sz w:val="23"/>
          <w:szCs w:val="23"/>
        </w:rPr>
        <w:t>离后的干物质肥料价值大大降低，粪便中的大部分可溶性有机物进入液体，使液体部分的</w:t>
      </w:r>
      <w:r>
        <w:rPr>
          <w:rFonts w:ascii="宋体" w:hAnsi="宋体" w:eastAsia="宋体" w:cs="宋体"/>
          <w:sz w:val="23"/>
          <w:szCs w:val="23"/>
        </w:rPr>
        <w:t xml:space="preserve"> </w:t>
      </w:r>
      <w:r>
        <w:rPr>
          <w:rFonts w:ascii="宋体" w:hAnsi="宋体" w:eastAsia="宋体" w:cs="宋体"/>
          <w:spacing w:val="12"/>
          <w:sz w:val="23"/>
          <w:szCs w:val="23"/>
        </w:rPr>
        <w:t>浓</w:t>
      </w:r>
      <w:r>
        <w:rPr>
          <w:rFonts w:ascii="宋体" w:hAnsi="宋体" w:eastAsia="宋体" w:cs="宋体"/>
          <w:spacing w:val="7"/>
          <w:sz w:val="23"/>
          <w:szCs w:val="23"/>
        </w:rPr>
        <w:t>度很高，增加了处理难度。与水冲式和水泡式清粪工艺相比，尿泡粪工艺固态粪污含水量</w:t>
      </w:r>
      <w:r>
        <w:rPr>
          <w:rFonts w:ascii="宋体" w:hAnsi="宋体" w:eastAsia="宋体" w:cs="宋体"/>
          <w:sz w:val="23"/>
          <w:szCs w:val="23"/>
        </w:rPr>
        <w:t xml:space="preserve"> </w:t>
      </w:r>
      <w:r>
        <w:rPr>
          <w:rFonts w:ascii="宋体" w:hAnsi="宋体" w:eastAsia="宋体" w:cs="宋体"/>
          <w:spacing w:val="12"/>
          <w:sz w:val="23"/>
          <w:szCs w:val="23"/>
        </w:rPr>
        <w:t>低</w:t>
      </w:r>
      <w:r>
        <w:rPr>
          <w:rFonts w:ascii="宋体" w:hAnsi="宋体" w:eastAsia="宋体" w:cs="宋体"/>
          <w:spacing w:val="7"/>
          <w:sz w:val="23"/>
          <w:szCs w:val="23"/>
        </w:rPr>
        <w:t>，粪中营养成分损失小，肥料价值高，便于高温堆肥或其他方式的处理利用。产生的污水</w:t>
      </w:r>
      <w:r>
        <w:rPr>
          <w:rFonts w:ascii="宋体" w:hAnsi="宋体" w:eastAsia="宋体" w:cs="宋体"/>
          <w:sz w:val="23"/>
          <w:szCs w:val="23"/>
        </w:rPr>
        <w:t xml:space="preserve"> </w:t>
      </w:r>
      <w:r>
        <w:rPr>
          <w:rFonts w:ascii="宋体" w:hAnsi="宋体" w:eastAsia="宋体" w:cs="宋体"/>
          <w:spacing w:val="12"/>
          <w:sz w:val="23"/>
          <w:szCs w:val="23"/>
        </w:rPr>
        <w:t>量</w:t>
      </w:r>
      <w:r>
        <w:rPr>
          <w:rFonts w:ascii="宋体" w:hAnsi="宋体" w:eastAsia="宋体" w:cs="宋体"/>
          <w:spacing w:val="7"/>
          <w:sz w:val="23"/>
          <w:szCs w:val="23"/>
        </w:rPr>
        <w:t>少，且其中的污染物含量低，易于净化处理，在中国劳动力资源比较丰富的条件下，是较</w:t>
      </w:r>
      <w:r>
        <w:rPr>
          <w:rFonts w:ascii="宋体" w:hAnsi="宋体" w:eastAsia="宋体" w:cs="宋体"/>
          <w:sz w:val="23"/>
          <w:szCs w:val="23"/>
        </w:rPr>
        <w:t xml:space="preserve"> </w:t>
      </w:r>
      <w:r>
        <w:rPr>
          <w:rFonts w:ascii="宋体" w:hAnsi="宋体" w:eastAsia="宋体" w:cs="宋体"/>
          <w:spacing w:val="12"/>
          <w:sz w:val="23"/>
          <w:szCs w:val="23"/>
        </w:rPr>
        <w:t>为</w:t>
      </w:r>
      <w:r>
        <w:rPr>
          <w:rFonts w:ascii="宋体" w:hAnsi="宋体" w:eastAsia="宋体" w:cs="宋体"/>
          <w:spacing w:val="7"/>
          <w:sz w:val="23"/>
          <w:szCs w:val="23"/>
        </w:rPr>
        <w:t>理想的清粪工艺。目前尿泡粪技术在天津、北京、上海、广西、湖南等地的一些养猪场内</w:t>
      </w:r>
      <w:r>
        <w:rPr>
          <w:rFonts w:ascii="宋体" w:hAnsi="宋体" w:eastAsia="宋体" w:cs="宋体"/>
          <w:sz w:val="23"/>
          <w:szCs w:val="23"/>
        </w:rPr>
        <w:t xml:space="preserve"> </w:t>
      </w:r>
      <w:r>
        <w:rPr>
          <w:rFonts w:ascii="宋体" w:hAnsi="宋体" w:eastAsia="宋体" w:cs="宋体"/>
          <w:spacing w:val="16"/>
          <w:sz w:val="23"/>
          <w:szCs w:val="23"/>
        </w:rPr>
        <w:t>广</w:t>
      </w:r>
      <w:r>
        <w:rPr>
          <w:rFonts w:ascii="宋体" w:hAnsi="宋体" w:eastAsia="宋体" w:cs="宋体"/>
          <w:spacing w:val="11"/>
          <w:sz w:val="23"/>
          <w:szCs w:val="23"/>
        </w:rPr>
        <w:t>泛</w:t>
      </w:r>
      <w:r>
        <w:rPr>
          <w:rFonts w:ascii="宋体" w:hAnsi="宋体" w:eastAsia="宋体" w:cs="宋体"/>
          <w:spacing w:val="8"/>
          <w:sz w:val="23"/>
          <w:szCs w:val="23"/>
        </w:rPr>
        <w:t>推行，并已显示出了优越性。</w:t>
      </w:r>
    </w:p>
    <w:p w14:paraId="6F74FFD3">
      <w:pPr>
        <w:spacing w:line="375" w:lineRule="auto"/>
        <w:ind w:left="9" w:right="82" w:firstLine="480"/>
        <w:rPr>
          <w:rFonts w:ascii="宋体" w:hAnsi="宋体" w:eastAsia="宋体" w:cs="宋体"/>
          <w:sz w:val="23"/>
          <w:szCs w:val="23"/>
        </w:rPr>
      </w:pPr>
      <w:r>
        <w:rPr>
          <w:rFonts w:ascii="宋体" w:hAnsi="宋体" w:eastAsia="宋体" w:cs="宋体"/>
          <w:spacing w:val="7"/>
          <w:sz w:val="23"/>
          <w:szCs w:val="23"/>
        </w:rPr>
        <w:t>尿泡粪的目的在于尽量防止固体粪便与尿及污水混合，以简化粪污处理工艺及设备，</w:t>
      </w:r>
      <w:r>
        <w:rPr>
          <w:rFonts w:ascii="宋体" w:hAnsi="宋体" w:eastAsia="宋体" w:cs="宋体"/>
          <w:spacing w:val="6"/>
          <w:sz w:val="23"/>
          <w:szCs w:val="23"/>
        </w:rPr>
        <w:t>同</w:t>
      </w:r>
      <w:r>
        <w:rPr>
          <w:rFonts w:ascii="宋体" w:hAnsi="宋体" w:eastAsia="宋体" w:cs="宋体"/>
          <w:sz w:val="23"/>
          <w:szCs w:val="23"/>
        </w:rPr>
        <w:t xml:space="preserve"> </w:t>
      </w:r>
      <w:r>
        <w:rPr>
          <w:rFonts w:ascii="宋体" w:hAnsi="宋体" w:eastAsia="宋体" w:cs="宋体"/>
          <w:spacing w:val="12"/>
          <w:sz w:val="23"/>
          <w:szCs w:val="23"/>
        </w:rPr>
        <w:t>时</w:t>
      </w:r>
      <w:r>
        <w:rPr>
          <w:rFonts w:ascii="宋体" w:hAnsi="宋体" w:eastAsia="宋体" w:cs="宋体"/>
          <w:spacing w:val="7"/>
          <w:sz w:val="23"/>
          <w:szCs w:val="23"/>
        </w:rPr>
        <w:t>减少粪便污水在室外敞开贮存的时间，减少臭气污染，也为大幅度减少工程投资和运行费</w:t>
      </w:r>
      <w:r>
        <w:rPr>
          <w:rFonts w:ascii="宋体" w:hAnsi="宋体" w:eastAsia="宋体" w:cs="宋体"/>
          <w:sz w:val="23"/>
          <w:szCs w:val="23"/>
        </w:rPr>
        <w:t xml:space="preserve"> </w:t>
      </w:r>
      <w:r>
        <w:rPr>
          <w:rFonts w:ascii="宋体" w:hAnsi="宋体" w:eastAsia="宋体" w:cs="宋体"/>
          <w:spacing w:val="12"/>
          <w:sz w:val="23"/>
          <w:szCs w:val="23"/>
        </w:rPr>
        <w:t>用</w:t>
      </w:r>
      <w:r>
        <w:rPr>
          <w:rFonts w:ascii="宋体" w:hAnsi="宋体" w:eastAsia="宋体" w:cs="宋体"/>
          <w:spacing w:val="7"/>
          <w:sz w:val="23"/>
          <w:szCs w:val="23"/>
        </w:rPr>
        <w:t>、制作优质有机肥和提高经济效益打下良好的基础。因此，建设的养猪基地采用人工加机</w:t>
      </w:r>
      <w:r>
        <w:rPr>
          <w:rFonts w:ascii="宋体" w:hAnsi="宋体" w:eastAsia="宋体" w:cs="宋体"/>
          <w:sz w:val="23"/>
          <w:szCs w:val="23"/>
        </w:rPr>
        <w:t xml:space="preserve"> </w:t>
      </w:r>
      <w:r>
        <w:rPr>
          <w:rFonts w:ascii="宋体" w:hAnsi="宋体" w:eastAsia="宋体" w:cs="宋体"/>
          <w:spacing w:val="12"/>
          <w:sz w:val="23"/>
          <w:szCs w:val="23"/>
        </w:rPr>
        <w:t>械</w:t>
      </w:r>
      <w:r>
        <w:rPr>
          <w:rFonts w:ascii="宋体" w:hAnsi="宋体" w:eastAsia="宋体" w:cs="宋体"/>
          <w:spacing w:val="7"/>
          <w:sz w:val="23"/>
          <w:szCs w:val="23"/>
        </w:rPr>
        <w:t>的尿泡粪工艺，猪粪一经产生，则由工人及时清扫至猪舍粪沟中，再由机械清粪装置收集</w:t>
      </w:r>
      <w:r>
        <w:rPr>
          <w:rFonts w:ascii="宋体" w:hAnsi="宋体" w:eastAsia="宋体" w:cs="宋体"/>
          <w:sz w:val="23"/>
          <w:szCs w:val="23"/>
        </w:rPr>
        <w:t xml:space="preserve"> </w:t>
      </w:r>
      <w:r>
        <w:rPr>
          <w:rFonts w:ascii="宋体" w:hAnsi="宋体" w:eastAsia="宋体" w:cs="宋体"/>
          <w:spacing w:val="12"/>
          <w:sz w:val="23"/>
          <w:szCs w:val="23"/>
        </w:rPr>
        <w:t>粪</w:t>
      </w:r>
      <w:r>
        <w:rPr>
          <w:rFonts w:ascii="宋体" w:hAnsi="宋体" w:eastAsia="宋体" w:cs="宋体"/>
          <w:spacing w:val="7"/>
          <w:sz w:val="23"/>
          <w:szCs w:val="23"/>
        </w:rPr>
        <w:t>便，并提升装入运粪拖车，运至高固体浓度沼气发酵池。猪粪单独清出，不与尿、污水混</w:t>
      </w:r>
      <w:r>
        <w:rPr>
          <w:rFonts w:ascii="宋体" w:hAnsi="宋体" w:eastAsia="宋体" w:cs="宋体"/>
          <w:sz w:val="23"/>
          <w:szCs w:val="23"/>
        </w:rPr>
        <w:t xml:space="preserve"> </w:t>
      </w:r>
      <w:r>
        <w:rPr>
          <w:rFonts w:ascii="宋体" w:hAnsi="宋体" w:eastAsia="宋体" w:cs="宋体"/>
          <w:spacing w:val="11"/>
          <w:sz w:val="23"/>
          <w:szCs w:val="23"/>
        </w:rPr>
        <w:t>合</w:t>
      </w:r>
      <w:r>
        <w:rPr>
          <w:rFonts w:ascii="宋体" w:hAnsi="宋体" w:eastAsia="宋体" w:cs="宋体"/>
          <w:spacing w:val="8"/>
          <w:sz w:val="23"/>
          <w:szCs w:val="23"/>
        </w:rPr>
        <w:t>排出，实现日产日清。</w:t>
      </w:r>
    </w:p>
    <w:p w14:paraId="76872DEC">
      <w:pPr>
        <w:spacing w:before="1" w:line="374" w:lineRule="auto"/>
        <w:ind w:left="13" w:firstLine="479"/>
        <w:rPr>
          <w:rFonts w:ascii="宋体" w:hAnsi="宋体" w:eastAsia="宋体" w:cs="宋体"/>
          <w:sz w:val="23"/>
          <w:szCs w:val="23"/>
        </w:rPr>
      </w:pPr>
      <w:r>
        <w:rPr>
          <w:rFonts w:ascii="宋体" w:hAnsi="宋体" w:eastAsia="宋体" w:cs="宋体"/>
          <w:spacing w:val="7"/>
          <w:sz w:val="23"/>
          <w:szCs w:val="23"/>
        </w:rPr>
        <w:t>人工与机械相结合的尿泡粪方式相对机械尿泡粪方式来说减少了用水量，减少了机械</w:t>
      </w:r>
      <w:r>
        <w:rPr>
          <w:rFonts w:ascii="宋体" w:hAnsi="宋体" w:eastAsia="宋体" w:cs="宋体"/>
          <w:spacing w:val="4"/>
          <w:sz w:val="23"/>
          <w:szCs w:val="23"/>
        </w:rPr>
        <w:t>设</w:t>
      </w:r>
      <w:r>
        <w:rPr>
          <w:rFonts w:ascii="宋体" w:hAnsi="宋体" w:eastAsia="宋体" w:cs="宋体"/>
          <w:sz w:val="23"/>
          <w:szCs w:val="23"/>
        </w:rPr>
        <w:t xml:space="preserve"> </w:t>
      </w:r>
      <w:r>
        <w:rPr>
          <w:rFonts w:ascii="宋体" w:hAnsi="宋体" w:eastAsia="宋体" w:cs="宋体"/>
          <w:spacing w:val="9"/>
          <w:sz w:val="23"/>
          <w:szCs w:val="23"/>
        </w:rPr>
        <w:t>备</w:t>
      </w:r>
      <w:r>
        <w:rPr>
          <w:rFonts w:ascii="宋体" w:hAnsi="宋体" w:eastAsia="宋体" w:cs="宋体"/>
          <w:spacing w:val="7"/>
          <w:sz w:val="23"/>
          <w:szCs w:val="23"/>
        </w:rPr>
        <w:t>的成本和维修费的投入，降低了猪粪干化处理的成本，减少了猪粪有效成分的流失，提高</w:t>
      </w:r>
      <w:r>
        <w:rPr>
          <w:rFonts w:ascii="宋体" w:hAnsi="宋体" w:eastAsia="宋体" w:cs="宋体"/>
          <w:sz w:val="23"/>
          <w:szCs w:val="23"/>
        </w:rPr>
        <w:t xml:space="preserve"> </w:t>
      </w:r>
      <w:r>
        <w:rPr>
          <w:rFonts w:ascii="宋体" w:hAnsi="宋体" w:eastAsia="宋体" w:cs="宋体"/>
          <w:spacing w:val="6"/>
          <w:sz w:val="23"/>
          <w:szCs w:val="23"/>
        </w:rPr>
        <w:t>了猪粪</w:t>
      </w:r>
      <w:r>
        <w:rPr>
          <w:rFonts w:ascii="宋体" w:hAnsi="宋体" w:eastAsia="宋体" w:cs="宋体"/>
          <w:spacing w:val="5"/>
          <w:sz w:val="23"/>
          <w:szCs w:val="23"/>
        </w:rPr>
        <w:t>的</w:t>
      </w:r>
      <w:r>
        <w:rPr>
          <w:rFonts w:ascii="宋体" w:hAnsi="宋体" w:eastAsia="宋体" w:cs="宋体"/>
          <w:spacing w:val="3"/>
          <w:sz w:val="23"/>
          <w:szCs w:val="23"/>
        </w:rPr>
        <w:t>可利用程度；相对人工尿泡粪方式来说可以减轻劳动强度，节约劳动力，提高工效。</w:t>
      </w:r>
    </w:p>
    <w:p w14:paraId="3AF9A2B5">
      <w:pPr>
        <w:spacing w:before="1" w:line="226" w:lineRule="auto"/>
        <w:ind w:left="8"/>
        <w:rPr>
          <w:rFonts w:ascii="宋体" w:hAnsi="宋体" w:eastAsia="宋体" w:cs="宋体"/>
          <w:sz w:val="23"/>
          <w:szCs w:val="23"/>
        </w:rPr>
      </w:pPr>
      <w:r>
        <w:rPr>
          <w:rFonts w:ascii="宋体" w:hAnsi="宋体" w:eastAsia="宋体" w:cs="宋体"/>
          <w:spacing w:val="17"/>
          <w:sz w:val="23"/>
          <w:szCs w:val="23"/>
        </w:rPr>
        <w:t>将</w:t>
      </w:r>
      <w:r>
        <w:rPr>
          <w:rFonts w:ascii="宋体" w:hAnsi="宋体" w:eastAsia="宋体" w:cs="宋体"/>
          <w:spacing w:val="9"/>
          <w:sz w:val="23"/>
          <w:szCs w:val="23"/>
        </w:rPr>
        <w:t>机械与人工二者结合起来有利于现代化养殖发展的需要。</w:t>
      </w:r>
    </w:p>
    <w:p w14:paraId="15E3C9DB">
      <w:pPr>
        <w:spacing w:before="140" w:line="323" w:lineRule="exact"/>
        <w:ind w:left="491"/>
        <w:rPr>
          <w:rFonts w:ascii="宋体" w:hAnsi="宋体" w:eastAsia="宋体" w:cs="宋体"/>
          <w:sz w:val="23"/>
          <w:szCs w:val="23"/>
        </w:rPr>
      </w:pPr>
      <w:r>
        <w:rPr>
          <w:rFonts w:ascii="宋体" w:hAnsi="宋体" w:eastAsia="宋体" w:cs="宋体"/>
          <w:spacing w:val="16"/>
          <w:position w:val="1"/>
          <w:sz w:val="23"/>
          <w:szCs w:val="23"/>
        </w:rPr>
        <w:t>本项目</w:t>
      </w:r>
      <w:r>
        <w:rPr>
          <w:rFonts w:ascii="宋体" w:hAnsi="宋体" w:eastAsia="宋体" w:cs="宋体"/>
          <w:spacing w:val="11"/>
          <w:position w:val="1"/>
          <w:sz w:val="23"/>
          <w:szCs w:val="23"/>
        </w:rPr>
        <w:t>粪</w:t>
      </w:r>
      <w:r>
        <w:rPr>
          <w:rFonts w:ascii="宋体" w:hAnsi="宋体" w:eastAsia="宋体" w:cs="宋体"/>
          <w:spacing w:val="8"/>
          <w:position w:val="1"/>
          <w:sz w:val="23"/>
          <w:szCs w:val="23"/>
        </w:rPr>
        <w:t>污处理采用免冲洗尿泡粪系统 (</w:t>
      </w:r>
      <w:r>
        <w:rPr>
          <w:rFonts w:ascii="Times New Roman" w:hAnsi="Times New Roman" w:eastAsia="Times New Roman" w:cs="Times New Roman"/>
          <w:spacing w:val="8"/>
          <w:position w:val="1"/>
          <w:sz w:val="23"/>
          <w:szCs w:val="23"/>
        </w:rPr>
        <w:t xml:space="preserve">2/3 </w:t>
      </w:r>
      <w:r>
        <w:rPr>
          <w:rFonts w:ascii="宋体" w:hAnsi="宋体" w:eastAsia="宋体" w:cs="宋体"/>
          <w:spacing w:val="8"/>
          <w:position w:val="1"/>
          <w:sz w:val="23"/>
          <w:szCs w:val="23"/>
        </w:rPr>
        <w:t>漏缝地面、免冲洗、沟渠干捡粪建筑) ，</w:t>
      </w:r>
    </w:p>
    <w:p w14:paraId="5EC390B4">
      <w:pPr>
        <w:sectPr>
          <w:headerReference r:id="rId259" w:type="default"/>
          <w:footerReference r:id="rId260" w:type="default"/>
          <w:pgSz w:w="11906" w:h="16839"/>
          <w:pgMar w:top="1113" w:right="1052" w:bottom="1156" w:left="1275" w:header="878" w:footer="994" w:gutter="0"/>
          <w:cols w:space="720" w:num="1"/>
        </w:sectPr>
      </w:pPr>
    </w:p>
    <w:p w14:paraId="0F93216F">
      <w:pPr>
        <w:spacing w:before="199" w:line="374" w:lineRule="auto"/>
        <w:ind w:left="10" w:right="63" w:firstLine="1"/>
        <w:rPr>
          <w:rFonts w:ascii="宋体" w:hAnsi="宋体" w:eastAsia="宋体" w:cs="宋体"/>
          <w:sz w:val="23"/>
          <w:szCs w:val="23"/>
        </w:rPr>
      </w:pPr>
      <w:r>
        <w:rPr>
          <w:rFonts w:ascii="宋体" w:hAnsi="宋体" w:eastAsia="宋体" w:cs="宋体"/>
          <w:spacing w:val="10"/>
          <w:sz w:val="23"/>
          <w:szCs w:val="23"/>
        </w:rPr>
        <w:t>粪</w:t>
      </w:r>
      <w:r>
        <w:rPr>
          <w:rFonts w:ascii="宋体" w:hAnsi="宋体" w:eastAsia="宋体" w:cs="宋体"/>
          <w:spacing w:val="7"/>
          <w:sz w:val="23"/>
          <w:szCs w:val="23"/>
        </w:rPr>
        <w:t>便一经产生便分流，干粪由人工收集、清扫、运走，尿及冲洗水则从排污道流出，分别进</w:t>
      </w:r>
      <w:r>
        <w:rPr>
          <w:rFonts w:ascii="宋体" w:hAnsi="宋体" w:eastAsia="宋体" w:cs="宋体"/>
          <w:sz w:val="23"/>
          <w:szCs w:val="23"/>
        </w:rPr>
        <w:t xml:space="preserve"> </w:t>
      </w:r>
      <w:r>
        <w:rPr>
          <w:rFonts w:ascii="宋体" w:hAnsi="宋体" w:eastAsia="宋体" w:cs="宋体"/>
          <w:spacing w:val="5"/>
          <w:sz w:val="23"/>
          <w:szCs w:val="23"/>
        </w:rPr>
        <w:t xml:space="preserve">行处理，日产日清。猪舍设计为上下两层，上层猪只饲养区安装抽气排风设备，高度约 </w:t>
      </w:r>
      <w:r>
        <w:rPr>
          <w:rFonts w:ascii="Times New Roman" w:hAnsi="Times New Roman" w:eastAsia="Times New Roman" w:cs="Times New Roman"/>
          <w:spacing w:val="5"/>
          <w:sz w:val="23"/>
          <w:szCs w:val="23"/>
        </w:rPr>
        <w:t>2.</w:t>
      </w:r>
      <w:r>
        <w:rPr>
          <w:rFonts w:ascii="Times New Roman" w:hAnsi="Times New Roman" w:eastAsia="Times New Roman" w:cs="Times New Roman"/>
          <w:spacing w:val="2"/>
          <w:sz w:val="23"/>
          <w:szCs w:val="23"/>
        </w:rPr>
        <w:t>8</w:t>
      </w:r>
      <w:r>
        <w:rPr>
          <w:rFonts w:ascii="宋体" w:hAnsi="宋体" w:eastAsia="宋体" w:cs="宋体"/>
          <w:sz w:val="23"/>
          <w:szCs w:val="23"/>
        </w:rPr>
        <w:t xml:space="preserve">~ </w:t>
      </w:r>
      <w:r>
        <w:rPr>
          <w:rFonts w:ascii="Times New Roman" w:hAnsi="Times New Roman" w:eastAsia="Times New Roman" w:cs="Times New Roman"/>
          <w:spacing w:val="4"/>
          <w:sz w:val="23"/>
          <w:szCs w:val="23"/>
        </w:rPr>
        <w:t>3.0</w:t>
      </w:r>
      <w:r>
        <w:rPr>
          <w:rFonts w:ascii="Times New Roman" w:hAnsi="Times New Roman" w:eastAsia="Times New Roman" w:cs="Times New Roman"/>
          <w:sz w:val="23"/>
          <w:szCs w:val="23"/>
        </w:rPr>
        <w:t>m</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w:t>
      </w:r>
      <w:r>
        <w:rPr>
          <w:rFonts w:ascii="宋体" w:hAnsi="宋体" w:eastAsia="宋体" w:cs="宋体"/>
          <w:spacing w:val="3"/>
          <w:sz w:val="23"/>
          <w:szCs w:val="23"/>
        </w:rPr>
        <w:t>下</w:t>
      </w:r>
      <w:r>
        <w:rPr>
          <w:rFonts w:ascii="宋体" w:hAnsi="宋体" w:eastAsia="宋体" w:cs="宋体"/>
          <w:spacing w:val="2"/>
          <w:sz w:val="23"/>
          <w:szCs w:val="23"/>
        </w:rPr>
        <w:t xml:space="preserve">层为粪污发酵区，高度约 </w:t>
      </w:r>
      <w:r>
        <w:rPr>
          <w:rFonts w:ascii="Times New Roman" w:hAnsi="Times New Roman" w:eastAsia="Times New Roman" w:cs="Times New Roman"/>
          <w:spacing w:val="2"/>
          <w:sz w:val="23"/>
          <w:szCs w:val="23"/>
        </w:rPr>
        <w:t>0.6~0.8</w:t>
      </w:r>
      <w:r>
        <w:rPr>
          <w:rFonts w:ascii="Times New Roman" w:hAnsi="Times New Roman" w:eastAsia="Times New Roman" w:cs="Times New Roman"/>
          <w:sz w:val="23"/>
          <w:szCs w:val="23"/>
        </w:rPr>
        <w:t>m</w:t>
      </w:r>
      <w:r>
        <w:rPr>
          <w:rFonts w:ascii="宋体" w:hAnsi="宋体" w:eastAsia="宋体" w:cs="宋体"/>
          <w:spacing w:val="2"/>
          <w:sz w:val="23"/>
          <w:szCs w:val="23"/>
        </w:rPr>
        <w:t>。</w:t>
      </w:r>
    </w:p>
    <w:p w14:paraId="1A766336">
      <w:pPr>
        <w:spacing w:line="375" w:lineRule="auto"/>
        <w:ind w:left="10" w:right="63" w:firstLine="483"/>
        <w:rPr>
          <w:rFonts w:ascii="宋体" w:hAnsi="宋体" w:eastAsia="宋体" w:cs="宋体"/>
          <w:sz w:val="23"/>
          <w:szCs w:val="23"/>
        </w:rPr>
      </w:pPr>
      <w:r>
        <w:rPr>
          <w:rFonts w:ascii="宋体" w:hAnsi="宋体" w:eastAsia="宋体" w:cs="宋体"/>
          <w:spacing w:val="7"/>
          <w:sz w:val="23"/>
          <w:szCs w:val="23"/>
        </w:rPr>
        <w:t>项目猪粪与养殖废水一起交由乐山乐高勤力生物质能源综合利用有限公司集中处置，</w:t>
      </w:r>
      <w:r>
        <w:rPr>
          <w:rFonts w:ascii="宋体" w:hAnsi="宋体" w:eastAsia="宋体" w:cs="宋体"/>
          <w:spacing w:val="2"/>
          <w:sz w:val="23"/>
          <w:szCs w:val="23"/>
        </w:rPr>
        <w:t>日</w:t>
      </w:r>
      <w:r>
        <w:rPr>
          <w:rFonts w:ascii="宋体" w:hAnsi="宋体" w:eastAsia="宋体" w:cs="宋体"/>
          <w:sz w:val="23"/>
          <w:szCs w:val="23"/>
        </w:rPr>
        <w:t xml:space="preserve"> </w:t>
      </w:r>
      <w:r>
        <w:rPr>
          <w:rFonts w:ascii="宋体" w:hAnsi="宋体" w:eastAsia="宋体" w:cs="宋体"/>
          <w:spacing w:val="12"/>
          <w:sz w:val="23"/>
          <w:szCs w:val="23"/>
        </w:rPr>
        <w:t>产</w:t>
      </w:r>
      <w:r>
        <w:rPr>
          <w:rFonts w:ascii="宋体" w:hAnsi="宋体" w:eastAsia="宋体" w:cs="宋体"/>
          <w:spacing w:val="7"/>
          <w:sz w:val="23"/>
          <w:szCs w:val="23"/>
        </w:rPr>
        <w:t>日清，若后期乐山乐高勤力生物质能源综合利用有限公司不再收纳本项目废水，则排入集</w:t>
      </w:r>
      <w:r>
        <w:rPr>
          <w:rFonts w:ascii="宋体" w:hAnsi="宋体" w:eastAsia="宋体" w:cs="宋体"/>
          <w:sz w:val="23"/>
          <w:szCs w:val="23"/>
        </w:rPr>
        <w:t xml:space="preserve"> </w:t>
      </w:r>
      <w:r>
        <w:rPr>
          <w:rFonts w:ascii="宋体" w:hAnsi="宋体" w:eastAsia="宋体" w:cs="宋体"/>
          <w:spacing w:val="14"/>
          <w:sz w:val="23"/>
          <w:szCs w:val="23"/>
        </w:rPr>
        <w:t>污</w:t>
      </w:r>
      <w:r>
        <w:rPr>
          <w:rFonts w:ascii="宋体" w:hAnsi="宋体" w:eastAsia="宋体" w:cs="宋体"/>
          <w:spacing w:val="9"/>
          <w:sz w:val="23"/>
          <w:szCs w:val="23"/>
        </w:rPr>
        <w:t>池中与养殖废水混匀后一并经异位微生物发酵床处置。</w:t>
      </w:r>
    </w:p>
    <w:p w14:paraId="4AC8D7D2">
      <w:pPr>
        <w:spacing w:line="303" w:lineRule="exact"/>
        <w:ind w:left="486"/>
        <w:rPr>
          <w:rFonts w:ascii="宋体" w:hAnsi="宋体" w:eastAsia="宋体" w:cs="宋体"/>
          <w:sz w:val="23"/>
          <w:szCs w:val="23"/>
        </w:rPr>
      </w:pPr>
      <w:r>
        <w:rPr>
          <w:rFonts w:ascii="Times New Roman" w:hAnsi="Times New Roman" w:eastAsia="Times New Roman" w:cs="Times New Roman"/>
          <w:b/>
          <w:bCs/>
          <w:spacing w:val="-4"/>
          <w:position w:val="1"/>
          <w:sz w:val="23"/>
          <w:szCs w:val="23"/>
        </w:rPr>
        <w:t>2</w:t>
      </w:r>
      <w:r>
        <w:rPr>
          <w:rFonts w:ascii="Times New Roman" w:hAnsi="Times New Roman" w:eastAsia="Times New Roman" w:cs="Times New Roman"/>
          <w:spacing w:val="-4"/>
          <w:position w:val="1"/>
          <w:sz w:val="23"/>
          <w:szCs w:val="23"/>
        </w:rPr>
        <w:t xml:space="preserve"> </w:t>
      </w:r>
      <w:r>
        <w:rPr>
          <w:rFonts w:ascii="宋体" w:hAnsi="宋体" w:eastAsia="宋体" w:cs="宋体"/>
          <w:spacing w:val="-2"/>
          <w:position w:val="1"/>
          <w:sz w:val="23"/>
          <w:szCs w:val="23"/>
          <w14:textOutline w14:w="4356" w14:cap="sq" w14:cmpd="sng" w14:algn="ctr">
            <w14:solidFill>
              <w14:srgbClr w14:val="000000"/>
            </w14:solidFill>
            <w14:prstDash w14:val="solid"/>
            <w14:bevel/>
          </w14:textOutline>
        </w:rPr>
        <w:t>、病死猪</w:t>
      </w:r>
    </w:p>
    <w:p w14:paraId="160C7EE4">
      <w:pPr>
        <w:spacing w:before="165" w:line="227" w:lineRule="auto"/>
        <w:ind w:left="491"/>
        <w:rPr>
          <w:rFonts w:ascii="宋体" w:hAnsi="宋体" w:eastAsia="宋体" w:cs="宋体"/>
          <w:sz w:val="23"/>
          <w:szCs w:val="23"/>
        </w:rPr>
      </w:pPr>
      <w:r>
        <w:rPr>
          <w:rFonts w:ascii="宋体" w:hAnsi="宋体" w:eastAsia="宋体" w:cs="宋体"/>
          <w:spacing w:val="7"/>
          <w:sz w:val="23"/>
          <w:szCs w:val="23"/>
        </w:rPr>
        <w:t>养猪场是猪群密集的场所，病死猪含大量病原体，是引发疫情的重要传染源，若处理</w:t>
      </w:r>
      <w:r>
        <w:rPr>
          <w:rFonts w:ascii="宋体" w:hAnsi="宋体" w:eastAsia="宋体" w:cs="宋体"/>
          <w:spacing w:val="5"/>
          <w:sz w:val="23"/>
          <w:szCs w:val="23"/>
        </w:rPr>
        <w:t>不</w:t>
      </w:r>
    </w:p>
    <w:p w14:paraId="786C9E02">
      <w:pPr>
        <w:spacing w:before="181" w:line="363" w:lineRule="auto"/>
        <w:ind w:left="8" w:right="59" w:firstLine="17"/>
        <w:rPr>
          <w:rFonts w:ascii="宋体" w:hAnsi="宋体" w:eastAsia="宋体" w:cs="宋体"/>
          <w:sz w:val="23"/>
          <w:szCs w:val="23"/>
        </w:rPr>
      </w:pPr>
      <w:r>
        <w:rPr>
          <w:rFonts w:ascii="宋体" w:hAnsi="宋体" w:eastAsia="宋体" w:cs="宋体"/>
          <w:spacing w:val="12"/>
          <w:sz w:val="23"/>
          <w:szCs w:val="23"/>
        </w:rPr>
        <w:t>当，将对</w:t>
      </w:r>
      <w:r>
        <w:rPr>
          <w:rFonts w:ascii="宋体" w:hAnsi="宋体" w:eastAsia="宋体" w:cs="宋体"/>
          <w:spacing w:val="11"/>
          <w:sz w:val="23"/>
          <w:szCs w:val="23"/>
        </w:rPr>
        <w:t>环</w:t>
      </w:r>
      <w:r>
        <w:rPr>
          <w:rFonts w:ascii="宋体" w:hAnsi="宋体" w:eastAsia="宋体" w:cs="宋体"/>
          <w:spacing w:val="6"/>
          <w:sz w:val="23"/>
          <w:szCs w:val="23"/>
        </w:rPr>
        <w:t>境造成严重影响。病死猪同分娩废物一起必须妥善处置，防止二次污染，并杜绝</w:t>
      </w:r>
      <w:r>
        <w:rPr>
          <w:rFonts w:ascii="宋体" w:hAnsi="宋体" w:eastAsia="宋体" w:cs="宋体"/>
          <w:sz w:val="23"/>
          <w:szCs w:val="23"/>
        </w:rPr>
        <w:t xml:space="preserve"> </w:t>
      </w:r>
      <w:r>
        <w:rPr>
          <w:rFonts w:ascii="宋体" w:hAnsi="宋体" w:eastAsia="宋体" w:cs="宋体"/>
          <w:spacing w:val="10"/>
          <w:sz w:val="23"/>
          <w:szCs w:val="23"/>
        </w:rPr>
        <w:t>传播疾病</w:t>
      </w:r>
      <w:r>
        <w:rPr>
          <w:rFonts w:ascii="宋体" w:hAnsi="宋体" w:eastAsia="宋体" w:cs="宋体"/>
          <w:spacing w:val="8"/>
          <w:sz w:val="23"/>
          <w:szCs w:val="23"/>
        </w:rPr>
        <w:t>。</w:t>
      </w:r>
      <w:r>
        <w:rPr>
          <w:rFonts w:ascii="宋体" w:hAnsi="宋体" w:eastAsia="宋体" w:cs="宋体"/>
          <w:spacing w:val="5"/>
          <w:sz w:val="23"/>
          <w:szCs w:val="23"/>
        </w:rPr>
        <w:t>根据《畜禽养殖业污染防治技术规范》  (</w:t>
      </w:r>
      <w:r>
        <w:rPr>
          <w:rFonts w:ascii="Times New Roman" w:hAnsi="Times New Roman" w:eastAsia="Times New Roman" w:cs="Times New Roman"/>
          <w:sz w:val="23"/>
          <w:szCs w:val="23"/>
        </w:rPr>
        <w:t>HJ</w:t>
      </w:r>
      <w:r>
        <w:rPr>
          <w:rFonts w:ascii="Times New Roman" w:hAnsi="Times New Roman" w:eastAsia="Times New Roman" w:cs="Times New Roman"/>
          <w:spacing w:val="5"/>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5"/>
          <w:sz w:val="23"/>
          <w:szCs w:val="23"/>
        </w:rPr>
        <w:t>81--2001</w:t>
      </w:r>
      <w:r>
        <w:rPr>
          <w:rFonts w:ascii="宋体" w:hAnsi="宋体" w:eastAsia="宋体" w:cs="宋体"/>
          <w:spacing w:val="5"/>
          <w:sz w:val="23"/>
          <w:szCs w:val="23"/>
        </w:rPr>
        <w:t>) 的规定：所有病死猪不</w:t>
      </w:r>
      <w:r>
        <w:rPr>
          <w:rFonts w:ascii="宋体" w:hAnsi="宋体" w:eastAsia="宋体" w:cs="宋体"/>
          <w:sz w:val="23"/>
          <w:szCs w:val="23"/>
        </w:rPr>
        <w:t xml:space="preserve"> </w:t>
      </w:r>
      <w:r>
        <w:rPr>
          <w:rFonts w:ascii="宋体" w:hAnsi="宋体" w:eastAsia="宋体" w:cs="宋体"/>
          <w:spacing w:val="17"/>
          <w:sz w:val="23"/>
          <w:szCs w:val="23"/>
        </w:rPr>
        <w:t>得</w:t>
      </w:r>
      <w:r>
        <w:rPr>
          <w:rFonts w:ascii="宋体" w:hAnsi="宋体" w:eastAsia="宋体" w:cs="宋体"/>
          <w:spacing w:val="9"/>
          <w:sz w:val="23"/>
          <w:szCs w:val="23"/>
        </w:rPr>
        <w:t>出售，不得食用，不得随意丢弃，严禁作为饲料再利用。</w:t>
      </w:r>
    </w:p>
    <w:p w14:paraId="79F6A0DE">
      <w:pPr>
        <w:spacing w:before="2" w:line="380" w:lineRule="auto"/>
        <w:ind w:left="9" w:firstLine="481"/>
        <w:rPr>
          <w:rFonts w:ascii="宋体" w:hAnsi="宋体" w:eastAsia="宋体" w:cs="宋体"/>
          <w:sz w:val="23"/>
          <w:szCs w:val="23"/>
        </w:rPr>
      </w:pPr>
      <w:r>
        <w:rPr>
          <w:rFonts w:ascii="宋体" w:hAnsi="宋体" w:eastAsia="宋体" w:cs="宋体"/>
          <w:spacing w:val="12"/>
          <w:sz w:val="23"/>
          <w:szCs w:val="23"/>
        </w:rPr>
        <w:t>本项</w:t>
      </w:r>
      <w:r>
        <w:rPr>
          <w:rFonts w:ascii="宋体" w:hAnsi="宋体" w:eastAsia="宋体" w:cs="宋体"/>
          <w:spacing w:val="8"/>
          <w:sz w:val="23"/>
          <w:szCs w:val="23"/>
        </w:rPr>
        <w:t>目</w:t>
      </w:r>
      <w:r>
        <w:rPr>
          <w:rFonts w:ascii="宋体" w:hAnsi="宋体" w:eastAsia="宋体" w:cs="宋体"/>
          <w:spacing w:val="6"/>
          <w:sz w:val="23"/>
          <w:szCs w:val="23"/>
        </w:rPr>
        <w:t xml:space="preserve">病死猪产生量为 </w:t>
      </w:r>
      <w:r>
        <w:rPr>
          <w:rFonts w:ascii="Times New Roman" w:hAnsi="Times New Roman" w:eastAsia="Times New Roman" w:cs="Times New Roman"/>
          <w:spacing w:val="6"/>
          <w:sz w:val="23"/>
          <w:szCs w:val="23"/>
        </w:rPr>
        <w:t>14.56</w:t>
      </w:r>
      <w:r>
        <w:rPr>
          <w:rFonts w:ascii="Times New Roman" w:hAnsi="Times New Roman" w:eastAsia="Times New Roman" w:cs="Times New Roman"/>
          <w:sz w:val="23"/>
          <w:szCs w:val="23"/>
        </w:rPr>
        <w:t>t</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a</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，本项目不在厂区内处置病死猪，根据乐山市沙湾区人</w:t>
      </w:r>
      <w:r>
        <w:rPr>
          <w:rFonts w:ascii="宋体" w:hAnsi="宋体" w:eastAsia="宋体" w:cs="宋体"/>
          <w:sz w:val="23"/>
          <w:szCs w:val="23"/>
        </w:rPr>
        <w:t xml:space="preserve"> </w:t>
      </w:r>
      <w:r>
        <w:rPr>
          <w:rFonts w:ascii="宋体" w:hAnsi="宋体" w:eastAsia="宋体" w:cs="宋体"/>
          <w:spacing w:val="8"/>
          <w:sz w:val="23"/>
          <w:szCs w:val="23"/>
        </w:rPr>
        <w:t>民</w:t>
      </w:r>
      <w:r>
        <w:rPr>
          <w:rFonts w:ascii="宋体" w:hAnsi="宋体" w:eastAsia="宋体" w:cs="宋体"/>
          <w:spacing w:val="4"/>
          <w:sz w:val="23"/>
          <w:szCs w:val="23"/>
        </w:rPr>
        <w:t>政府办公室《关于建立病死畜禽无害化处理机制的通知》 (乐沙府办函</w:t>
      </w:r>
      <w:r>
        <w:rPr>
          <w:rFonts w:ascii="Times New Roman" w:hAnsi="Times New Roman" w:eastAsia="Times New Roman" w:cs="Times New Roman"/>
          <w:spacing w:val="4"/>
          <w:sz w:val="23"/>
          <w:szCs w:val="23"/>
        </w:rPr>
        <w:t xml:space="preserve">[2018] 1 </w:t>
      </w:r>
      <w:r>
        <w:rPr>
          <w:rFonts w:ascii="宋体" w:hAnsi="宋体" w:eastAsia="宋体" w:cs="宋体"/>
          <w:spacing w:val="4"/>
          <w:sz w:val="23"/>
          <w:szCs w:val="23"/>
        </w:rPr>
        <w:t>号) 要求，</w:t>
      </w:r>
      <w:r>
        <w:rPr>
          <w:rFonts w:ascii="宋体" w:hAnsi="宋体" w:eastAsia="宋体" w:cs="宋体"/>
          <w:sz w:val="23"/>
          <w:szCs w:val="23"/>
        </w:rPr>
        <w:t xml:space="preserve"> </w:t>
      </w:r>
      <w:r>
        <w:rPr>
          <w:rFonts w:ascii="宋体" w:hAnsi="宋体" w:eastAsia="宋体" w:cs="宋体"/>
          <w:spacing w:val="12"/>
          <w:sz w:val="23"/>
          <w:szCs w:val="23"/>
        </w:rPr>
        <w:t>在</w:t>
      </w:r>
      <w:r>
        <w:rPr>
          <w:rFonts w:ascii="宋体" w:hAnsi="宋体" w:eastAsia="宋体" w:cs="宋体"/>
          <w:spacing w:val="7"/>
          <w:sz w:val="23"/>
          <w:szCs w:val="23"/>
        </w:rPr>
        <w:t>乐山市病死畜禽无害化处理中心建成之前，委托专业化的公司进行无害化处置，乐山市病</w:t>
      </w:r>
      <w:r>
        <w:rPr>
          <w:rFonts w:ascii="宋体" w:hAnsi="宋体" w:eastAsia="宋体" w:cs="宋体"/>
          <w:sz w:val="23"/>
          <w:szCs w:val="23"/>
        </w:rPr>
        <w:t xml:space="preserve"> </w:t>
      </w:r>
      <w:r>
        <w:rPr>
          <w:rFonts w:ascii="宋体" w:hAnsi="宋体" w:eastAsia="宋体" w:cs="宋体"/>
          <w:spacing w:val="14"/>
          <w:sz w:val="23"/>
          <w:szCs w:val="23"/>
        </w:rPr>
        <w:t>死</w:t>
      </w:r>
      <w:r>
        <w:rPr>
          <w:rFonts w:ascii="宋体" w:hAnsi="宋体" w:eastAsia="宋体" w:cs="宋体"/>
          <w:spacing w:val="9"/>
          <w:sz w:val="23"/>
          <w:szCs w:val="23"/>
        </w:rPr>
        <w:t>畜禽无害化处理中心建成后交无害化处理中心处置。</w:t>
      </w:r>
    </w:p>
    <w:p w14:paraId="05866574">
      <w:pPr>
        <w:spacing w:before="16" w:line="303" w:lineRule="exact"/>
        <w:ind w:left="484"/>
        <w:rPr>
          <w:rFonts w:ascii="宋体" w:hAnsi="宋体" w:eastAsia="宋体" w:cs="宋体"/>
          <w:sz w:val="23"/>
          <w:szCs w:val="23"/>
        </w:rPr>
      </w:pPr>
      <w:r>
        <w:rPr>
          <w:rFonts w:ascii="Times New Roman" w:hAnsi="Times New Roman" w:eastAsia="Times New Roman" w:cs="Times New Roman"/>
          <w:b/>
          <w:bCs/>
          <w:spacing w:val="-1"/>
          <w:position w:val="1"/>
          <w:sz w:val="23"/>
          <w:szCs w:val="23"/>
        </w:rPr>
        <w:t>3</w:t>
      </w:r>
      <w:r>
        <w:rPr>
          <w:rFonts w:ascii="Times New Roman" w:hAnsi="Times New Roman" w:eastAsia="Times New Roman" w:cs="Times New Roman"/>
          <w:spacing w:val="-1"/>
          <w:position w:val="1"/>
          <w:sz w:val="23"/>
          <w:szCs w:val="23"/>
        </w:rPr>
        <w:t xml:space="preserve"> </w:t>
      </w:r>
      <w:r>
        <w:rPr>
          <w:rFonts w:ascii="宋体" w:hAnsi="宋体" w:eastAsia="宋体" w:cs="宋体"/>
          <w:spacing w:val="-1"/>
          <w:position w:val="1"/>
          <w:sz w:val="23"/>
          <w:szCs w:val="23"/>
          <w14:textOutline w14:w="4356" w14:cap="sq" w14:cmpd="sng" w14:algn="ctr">
            <w14:solidFill>
              <w14:srgbClr w14:val="000000"/>
            </w14:solidFill>
            <w14:prstDash w14:val="solid"/>
            <w14:bevel/>
          </w14:textOutline>
        </w:rPr>
        <w:t>、医</w:t>
      </w:r>
      <w:r>
        <w:rPr>
          <w:rFonts w:ascii="宋体" w:hAnsi="宋体" w:eastAsia="宋体" w:cs="宋体"/>
          <w:position w:val="1"/>
          <w:sz w:val="23"/>
          <w:szCs w:val="23"/>
          <w14:textOutline w14:w="4356" w14:cap="sq" w14:cmpd="sng" w14:algn="ctr">
            <w14:solidFill>
              <w14:srgbClr w14:val="000000"/>
            </w14:solidFill>
            <w14:prstDash w14:val="solid"/>
            <w14:bevel/>
          </w14:textOutline>
        </w:rPr>
        <w:t>疗垃圾</w:t>
      </w:r>
    </w:p>
    <w:p w14:paraId="0FEECFE9">
      <w:pPr>
        <w:spacing w:before="166" w:line="374" w:lineRule="auto"/>
        <w:ind w:left="4" w:right="59" w:firstLine="486"/>
        <w:rPr>
          <w:rFonts w:ascii="宋体" w:hAnsi="宋体" w:eastAsia="宋体" w:cs="宋体"/>
          <w:sz w:val="23"/>
          <w:szCs w:val="23"/>
        </w:rPr>
      </w:pPr>
      <w:r>
        <w:rPr>
          <w:rFonts w:ascii="宋体" w:hAnsi="宋体" w:eastAsia="宋体" w:cs="宋体"/>
          <w:spacing w:val="7"/>
          <w:sz w:val="23"/>
          <w:szCs w:val="23"/>
        </w:rPr>
        <w:t>本项目畜牧医疗废物主要是疫苗及药品的包装以及猪舍用针筒，属于国家危险废品名</w:t>
      </w:r>
      <w:r>
        <w:rPr>
          <w:rFonts w:ascii="宋体" w:hAnsi="宋体" w:eastAsia="宋体" w:cs="宋体"/>
          <w:spacing w:val="5"/>
          <w:sz w:val="23"/>
          <w:szCs w:val="23"/>
        </w:rPr>
        <w:t>录</w:t>
      </w:r>
      <w:r>
        <w:rPr>
          <w:rFonts w:ascii="宋体" w:hAnsi="宋体" w:eastAsia="宋体" w:cs="宋体"/>
          <w:sz w:val="23"/>
          <w:szCs w:val="23"/>
        </w:rPr>
        <w:t xml:space="preserve"> </w:t>
      </w:r>
      <w:r>
        <w:rPr>
          <w:rFonts w:ascii="Times New Roman" w:hAnsi="Times New Roman" w:eastAsia="Times New Roman" w:cs="Times New Roman"/>
          <w:sz w:val="23"/>
          <w:szCs w:val="23"/>
        </w:rPr>
        <w:t>HW</w:t>
      </w:r>
      <w:r>
        <w:rPr>
          <w:rFonts w:ascii="Times New Roman" w:hAnsi="Times New Roman" w:eastAsia="Times New Roman" w:cs="Times New Roman"/>
          <w:spacing w:val="12"/>
          <w:sz w:val="23"/>
          <w:szCs w:val="23"/>
        </w:rPr>
        <w:t xml:space="preserve">01 </w:t>
      </w:r>
      <w:r>
        <w:rPr>
          <w:rFonts w:ascii="宋体" w:hAnsi="宋体" w:eastAsia="宋体" w:cs="宋体"/>
          <w:spacing w:val="12"/>
          <w:sz w:val="23"/>
          <w:szCs w:val="23"/>
        </w:rPr>
        <w:t>医</w:t>
      </w:r>
      <w:r>
        <w:rPr>
          <w:rFonts w:ascii="宋体" w:hAnsi="宋体" w:eastAsia="宋体" w:cs="宋体"/>
          <w:spacing w:val="8"/>
          <w:sz w:val="23"/>
          <w:szCs w:val="23"/>
        </w:rPr>
        <w:t>疗</w:t>
      </w:r>
      <w:r>
        <w:rPr>
          <w:rFonts w:ascii="宋体" w:hAnsi="宋体" w:eastAsia="宋体" w:cs="宋体"/>
          <w:spacing w:val="6"/>
          <w:sz w:val="23"/>
          <w:szCs w:val="23"/>
        </w:rPr>
        <w:t>废物</w:t>
      </w:r>
      <w:r>
        <w:rPr>
          <w:rFonts w:ascii="Times New Roman" w:hAnsi="Times New Roman" w:eastAsia="Times New Roman" w:cs="Times New Roman"/>
          <w:spacing w:val="6"/>
          <w:sz w:val="23"/>
          <w:szCs w:val="23"/>
        </w:rPr>
        <w:t>-</w:t>
      </w:r>
      <w:r>
        <w:rPr>
          <w:rFonts w:ascii="宋体" w:hAnsi="宋体" w:eastAsia="宋体" w:cs="宋体"/>
          <w:spacing w:val="6"/>
          <w:sz w:val="23"/>
          <w:szCs w:val="23"/>
        </w:rPr>
        <w:t>非特定行业 (</w:t>
      </w:r>
      <w:r>
        <w:rPr>
          <w:rFonts w:ascii="Times New Roman" w:hAnsi="Times New Roman" w:eastAsia="Times New Roman" w:cs="Times New Roman"/>
          <w:spacing w:val="6"/>
          <w:sz w:val="23"/>
          <w:szCs w:val="23"/>
        </w:rPr>
        <w:t>900-001-01</w:t>
      </w:r>
      <w:r>
        <w:rPr>
          <w:rFonts w:ascii="宋体" w:hAnsi="宋体" w:eastAsia="宋体" w:cs="宋体"/>
          <w:spacing w:val="6"/>
          <w:sz w:val="23"/>
          <w:szCs w:val="23"/>
        </w:rPr>
        <w:t>) 。项目须依照《医疗废物管理条例》及《危险废</w:t>
      </w:r>
      <w:r>
        <w:rPr>
          <w:rFonts w:ascii="宋体" w:hAnsi="宋体" w:eastAsia="宋体" w:cs="宋体"/>
          <w:sz w:val="23"/>
          <w:szCs w:val="23"/>
        </w:rPr>
        <w:t xml:space="preserve"> </w:t>
      </w:r>
      <w:r>
        <w:rPr>
          <w:rFonts w:ascii="宋体" w:hAnsi="宋体" w:eastAsia="宋体" w:cs="宋体"/>
          <w:spacing w:val="5"/>
          <w:sz w:val="23"/>
          <w:szCs w:val="23"/>
        </w:rPr>
        <w:t>物贮存污染控制标准 (</w:t>
      </w:r>
      <w:r>
        <w:rPr>
          <w:rFonts w:ascii="Times New Roman" w:hAnsi="Times New Roman" w:eastAsia="Times New Roman" w:cs="Times New Roman"/>
          <w:sz w:val="23"/>
          <w:szCs w:val="23"/>
        </w:rPr>
        <w:t>GB</w:t>
      </w:r>
      <w:r>
        <w:rPr>
          <w:rFonts w:ascii="Times New Roman" w:hAnsi="Times New Roman" w:eastAsia="Times New Roman" w:cs="Times New Roman"/>
          <w:spacing w:val="5"/>
          <w:sz w:val="23"/>
          <w:szCs w:val="23"/>
        </w:rPr>
        <w:t xml:space="preserve"> 18598-2001</w:t>
      </w:r>
      <w:r>
        <w:rPr>
          <w:rFonts w:ascii="宋体" w:hAnsi="宋体" w:eastAsia="宋体" w:cs="宋体"/>
          <w:spacing w:val="5"/>
          <w:sz w:val="23"/>
          <w:szCs w:val="23"/>
        </w:rPr>
        <w:t xml:space="preserve">) 及 </w:t>
      </w:r>
      <w:r>
        <w:rPr>
          <w:rFonts w:ascii="Times New Roman" w:hAnsi="Times New Roman" w:eastAsia="Times New Roman" w:cs="Times New Roman"/>
          <w:spacing w:val="5"/>
          <w:sz w:val="23"/>
          <w:szCs w:val="23"/>
        </w:rPr>
        <w:t xml:space="preserve">2013 </w:t>
      </w:r>
      <w:r>
        <w:rPr>
          <w:rFonts w:ascii="宋体" w:hAnsi="宋体" w:eastAsia="宋体" w:cs="宋体"/>
          <w:spacing w:val="5"/>
          <w:sz w:val="23"/>
          <w:szCs w:val="23"/>
        </w:rPr>
        <w:t>年修改单的要求进行收集、运送、贮存</w:t>
      </w:r>
      <w:r>
        <w:rPr>
          <w:rFonts w:ascii="宋体" w:hAnsi="宋体" w:eastAsia="宋体" w:cs="宋体"/>
          <w:spacing w:val="4"/>
          <w:sz w:val="23"/>
          <w:szCs w:val="23"/>
        </w:rPr>
        <w:t>和</w:t>
      </w:r>
      <w:r>
        <w:rPr>
          <w:rFonts w:ascii="宋体" w:hAnsi="宋体" w:eastAsia="宋体" w:cs="宋体"/>
          <w:sz w:val="23"/>
          <w:szCs w:val="23"/>
        </w:rPr>
        <w:t xml:space="preserve">处 </w:t>
      </w:r>
      <w:r>
        <w:rPr>
          <w:rFonts w:ascii="宋体" w:hAnsi="宋体" w:eastAsia="宋体" w:cs="宋体"/>
          <w:spacing w:val="13"/>
          <w:sz w:val="23"/>
          <w:szCs w:val="23"/>
        </w:rPr>
        <w:t>置</w:t>
      </w:r>
      <w:r>
        <w:rPr>
          <w:rFonts w:ascii="宋体" w:hAnsi="宋体" w:eastAsia="宋体" w:cs="宋体"/>
          <w:spacing w:val="8"/>
          <w:sz w:val="23"/>
          <w:szCs w:val="23"/>
        </w:rPr>
        <w:t>看，具体要求如下：</w:t>
      </w:r>
    </w:p>
    <w:p w14:paraId="57AADD08">
      <w:pPr>
        <w:spacing w:line="225" w:lineRule="auto"/>
        <w:ind w:left="489"/>
        <w:rPr>
          <w:rFonts w:ascii="宋体" w:hAnsi="宋体" w:eastAsia="宋体" w:cs="宋体"/>
          <w:sz w:val="23"/>
          <w:szCs w:val="23"/>
        </w:rPr>
      </w:pPr>
      <w:r>
        <w:rPr>
          <w:rFonts w:ascii="宋体" w:hAnsi="宋体" w:eastAsia="宋体" w:cs="宋体"/>
          <w:spacing w:val="16"/>
          <w:sz w:val="23"/>
          <w:szCs w:val="23"/>
        </w:rPr>
        <w:t>①</w:t>
      </w:r>
      <w:r>
        <w:rPr>
          <w:rFonts w:ascii="宋体" w:hAnsi="宋体" w:eastAsia="宋体" w:cs="宋体"/>
          <w:spacing w:val="11"/>
          <w:sz w:val="23"/>
          <w:szCs w:val="23"/>
        </w:rPr>
        <w:t>建</w:t>
      </w:r>
      <w:r>
        <w:rPr>
          <w:rFonts w:ascii="宋体" w:hAnsi="宋体" w:eastAsia="宋体" w:cs="宋体"/>
          <w:spacing w:val="8"/>
          <w:sz w:val="23"/>
          <w:szCs w:val="23"/>
        </w:rPr>
        <w:t>造专用的危险废物贮存设施；</w:t>
      </w:r>
    </w:p>
    <w:p w14:paraId="50EE6F5F">
      <w:pPr>
        <w:spacing w:before="188" w:line="225" w:lineRule="auto"/>
        <w:ind w:left="488"/>
        <w:rPr>
          <w:rFonts w:ascii="宋体" w:hAnsi="宋体" w:eastAsia="宋体" w:cs="宋体"/>
          <w:sz w:val="23"/>
          <w:szCs w:val="23"/>
        </w:rPr>
      </w:pPr>
      <w:r>
        <w:rPr>
          <w:rFonts w:ascii="宋体" w:hAnsi="宋体" w:eastAsia="宋体" w:cs="宋体"/>
          <w:spacing w:val="7"/>
          <w:sz w:val="23"/>
          <w:szCs w:val="23"/>
        </w:rPr>
        <w:t>②在常温常压下易爆、易燃及排出有毒气体的危险废物必须进行预处理，使之稳定后贮</w:t>
      </w:r>
    </w:p>
    <w:p w14:paraId="663365D4">
      <w:pPr>
        <w:spacing w:before="188" w:line="227" w:lineRule="auto"/>
        <w:ind w:left="9"/>
        <w:rPr>
          <w:rFonts w:ascii="宋体" w:hAnsi="宋体" w:eastAsia="宋体" w:cs="宋体"/>
          <w:sz w:val="23"/>
          <w:szCs w:val="23"/>
        </w:rPr>
      </w:pPr>
      <w:r>
        <w:rPr>
          <w:rFonts w:ascii="宋体" w:hAnsi="宋体" w:eastAsia="宋体" w:cs="宋体"/>
          <w:spacing w:val="9"/>
          <w:sz w:val="23"/>
          <w:szCs w:val="23"/>
        </w:rPr>
        <w:t>存，否则，按易爆、易燃危险品贮存</w:t>
      </w:r>
      <w:r>
        <w:rPr>
          <w:rFonts w:ascii="宋体" w:hAnsi="宋体" w:eastAsia="宋体" w:cs="宋体"/>
          <w:spacing w:val="7"/>
          <w:sz w:val="23"/>
          <w:szCs w:val="23"/>
        </w:rPr>
        <w:t>；</w:t>
      </w:r>
    </w:p>
    <w:p w14:paraId="5CD65972">
      <w:pPr>
        <w:spacing w:before="183" w:line="225" w:lineRule="auto"/>
        <w:ind w:left="488"/>
        <w:rPr>
          <w:rFonts w:ascii="宋体" w:hAnsi="宋体" w:eastAsia="宋体" w:cs="宋体"/>
          <w:sz w:val="23"/>
          <w:szCs w:val="23"/>
        </w:rPr>
      </w:pPr>
      <w:r>
        <w:rPr>
          <w:rFonts w:ascii="宋体" w:hAnsi="宋体" w:eastAsia="宋体" w:cs="宋体"/>
          <w:spacing w:val="16"/>
          <w:sz w:val="23"/>
          <w:szCs w:val="23"/>
        </w:rPr>
        <w:t>③禁</w:t>
      </w:r>
      <w:r>
        <w:rPr>
          <w:rFonts w:ascii="宋体" w:hAnsi="宋体" w:eastAsia="宋体" w:cs="宋体"/>
          <w:spacing w:val="12"/>
          <w:sz w:val="23"/>
          <w:szCs w:val="23"/>
        </w:rPr>
        <w:t>止</w:t>
      </w:r>
      <w:r>
        <w:rPr>
          <w:rFonts w:ascii="宋体" w:hAnsi="宋体" w:eastAsia="宋体" w:cs="宋体"/>
          <w:spacing w:val="8"/>
          <w:sz w:val="23"/>
          <w:szCs w:val="23"/>
        </w:rPr>
        <w:t>将不相容 (相互反应) 的危险废物在同一容器内混装；</w:t>
      </w:r>
    </w:p>
    <w:p w14:paraId="263245AE">
      <w:pPr>
        <w:spacing w:before="187" w:line="225" w:lineRule="auto"/>
        <w:ind w:left="488"/>
        <w:rPr>
          <w:rFonts w:ascii="宋体" w:hAnsi="宋体" w:eastAsia="宋体" w:cs="宋体"/>
          <w:sz w:val="23"/>
          <w:szCs w:val="23"/>
        </w:rPr>
      </w:pPr>
      <w:r>
        <w:rPr>
          <w:rFonts w:ascii="宋体" w:hAnsi="宋体" w:eastAsia="宋体" w:cs="宋体"/>
          <w:spacing w:val="15"/>
          <w:sz w:val="23"/>
          <w:szCs w:val="23"/>
        </w:rPr>
        <w:t>④</w:t>
      </w:r>
      <w:r>
        <w:rPr>
          <w:rFonts w:ascii="宋体" w:hAnsi="宋体" w:eastAsia="宋体" w:cs="宋体"/>
          <w:spacing w:val="9"/>
          <w:sz w:val="23"/>
          <w:szCs w:val="23"/>
        </w:rPr>
        <w:t>无法装入常用容器的危险废物可用防漏胶袋等盛装；</w:t>
      </w:r>
    </w:p>
    <w:p w14:paraId="71A7E0D3">
      <w:pPr>
        <w:spacing w:before="186" w:line="225" w:lineRule="auto"/>
        <w:ind w:left="488"/>
        <w:rPr>
          <w:rFonts w:ascii="宋体" w:hAnsi="宋体" w:eastAsia="宋体" w:cs="宋体"/>
          <w:sz w:val="23"/>
          <w:szCs w:val="23"/>
        </w:rPr>
      </w:pPr>
      <w:r>
        <w:rPr>
          <w:rFonts w:ascii="宋体" w:hAnsi="宋体" w:eastAsia="宋体" w:cs="宋体"/>
          <w:spacing w:val="26"/>
          <w:sz w:val="23"/>
          <w:szCs w:val="23"/>
        </w:rPr>
        <w:t>④</w:t>
      </w:r>
      <w:r>
        <w:rPr>
          <w:rFonts w:ascii="宋体" w:hAnsi="宋体" w:eastAsia="宋体" w:cs="宋体"/>
          <w:spacing w:val="15"/>
          <w:sz w:val="23"/>
          <w:szCs w:val="23"/>
        </w:rPr>
        <w:t>装</w:t>
      </w:r>
      <w:r>
        <w:rPr>
          <w:rFonts w:ascii="宋体" w:hAnsi="宋体" w:eastAsia="宋体" w:cs="宋体"/>
          <w:spacing w:val="13"/>
          <w:sz w:val="23"/>
          <w:szCs w:val="23"/>
        </w:rPr>
        <w:t>载液体、半固体危险废物的容器内须留足够空间，容器顶部与液体表面之间保留</w:t>
      </w:r>
    </w:p>
    <w:p w14:paraId="5068FCD5">
      <w:pPr>
        <w:spacing w:before="187" w:line="227" w:lineRule="auto"/>
        <w:ind w:left="28"/>
        <w:rPr>
          <w:rFonts w:ascii="宋体" w:hAnsi="宋体" w:eastAsia="宋体" w:cs="宋体"/>
          <w:sz w:val="23"/>
          <w:szCs w:val="23"/>
        </w:rPr>
      </w:pPr>
      <w:r>
        <w:rPr>
          <w:rFonts w:ascii="Times New Roman" w:hAnsi="Times New Roman" w:eastAsia="Times New Roman" w:cs="Times New Roman"/>
          <w:spacing w:val="5"/>
          <w:sz w:val="23"/>
          <w:szCs w:val="23"/>
        </w:rPr>
        <w:t xml:space="preserve">100 </w:t>
      </w:r>
      <w:r>
        <w:rPr>
          <w:rFonts w:ascii="宋体" w:hAnsi="宋体" w:eastAsia="宋体" w:cs="宋体"/>
          <w:spacing w:val="5"/>
          <w:sz w:val="23"/>
          <w:szCs w:val="23"/>
        </w:rPr>
        <w:t>毫米以上的空间</w:t>
      </w:r>
      <w:r>
        <w:rPr>
          <w:rFonts w:ascii="宋体" w:hAnsi="宋体" w:eastAsia="宋体" w:cs="宋体"/>
          <w:spacing w:val="4"/>
          <w:sz w:val="23"/>
          <w:szCs w:val="23"/>
        </w:rPr>
        <w:t>。</w:t>
      </w:r>
    </w:p>
    <w:p w14:paraId="66B84CB8">
      <w:pPr>
        <w:spacing w:before="183" w:line="225" w:lineRule="auto"/>
        <w:ind w:left="488"/>
        <w:rPr>
          <w:rFonts w:ascii="Times New Roman" w:hAnsi="Times New Roman" w:eastAsia="Times New Roman" w:cs="Times New Roman"/>
          <w:sz w:val="23"/>
          <w:szCs w:val="23"/>
        </w:rPr>
      </w:pPr>
      <w:r>
        <w:rPr>
          <w:rFonts w:ascii="宋体" w:hAnsi="宋体" w:eastAsia="宋体" w:cs="宋体"/>
          <w:spacing w:val="22"/>
          <w:sz w:val="23"/>
          <w:szCs w:val="23"/>
        </w:rPr>
        <w:t>⑥</w:t>
      </w:r>
      <w:r>
        <w:rPr>
          <w:rFonts w:ascii="宋体" w:hAnsi="宋体" w:eastAsia="宋体" w:cs="宋体"/>
          <w:spacing w:val="13"/>
          <w:sz w:val="23"/>
          <w:szCs w:val="23"/>
        </w:rPr>
        <w:t xml:space="preserve">医疗废物必须当日消毒，消毒后装入容器。常温下贮存期不得超过一天，于摄氏 </w:t>
      </w:r>
      <w:r>
        <w:rPr>
          <w:rFonts w:ascii="Times New Roman" w:hAnsi="Times New Roman" w:eastAsia="Times New Roman" w:cs="Times New Roman"/>
          <w:spacing w:val="13"/>
          <w:sz w:val="23"/>
          <w:szCs w:val="23"/>
        </w:rPr>
        <w:t>5</w:t>
      </w:r>
    </w:p>
    <w:p w14:paraId="47642AC6">
      <w:pPr>
        <w:spacing w:before="188" w:line="227" w:lineRule="auto"/>
        <w:ind w:left="9"/>
        <w:rPr>
          <w:rFonts w:ascii="宋体" w:hAnsi="宋体" w:eastAsia="宋体" w:cs="宋体"/>
          <w:sz w:val="23"/>
          <w:szCs w:val="23"/>
        </w:rPr>
      </w:pPr>
      <w:r>
        <w:rPr>
          <w:rFonts w:ascii="宋体" w:hAnsi="宋体" w:eastAsia="宋体" w:cs="宋体"/>
          <w:spacing w:val="4"/>
          <w:sz w:val="23"/>
          <w:szCs w:val="23"/>
        </w:rPr>
        <w:t xml:space="preserve">度以下冷藏的，不得超过 </w:t>
      </w:r>
      <w:r>
        <w:rPr>
          <w:rFonts w:ascii="Times New Roman" w:hAnsi="Times New Roman" w:eastAsia="Times New Roman" w:cs="Times New Roman"/>
          <w:spacing w:val="4"/>
          <w:sz w:val="23"/>
          <w:szCs w:val="23"/>
        </w:rPr>
        <w:t xml:space="preserve">7 </w:t>
      </w:r>
      <w:r>
        <w:rPr>
          <w:rFonts w:ascii="宋体" w:hAnsi="宋体" w:eastAsia="宋体" w:cs="宋体"/>
          <w:spacing w:val="4"/>
          <w:sz w:val="23"/>
          <w:szCs w:val="23"/>
        </w:rPr>
        <w:t>天。</w:t>
      </w:r>
    </w:p>
    <w:p w14:paraId="68C9D867">
      <w:pPr>
        <w:spacing w:before="182" w:line="468" w:lineRule="exact"/>
        <w:ind w:left="488"/>
        <w:rPr>
          <w:rFonts w:ascii="宋体" w:hAnsi="宋体" w:eastAsia="宋体" w:cs="宋体"/>
          <w:sz w:val="23"/>
          <w:szCs w:val="23"/>
        </w:rPr>
      </w:pPr>
      <w:r>
        <w:rPr>
          <w:rFonts w:ascii="宋体" w:hAnsi="宋体" w:eastAsia="宋体" w:cs="宋体"/>
          <w:spacing w:val="18"/>
          <w:position w:val="17"/>
          <w:sz w:val="23"/>
          <w:szCs w:val="23"/>
        </w:rPr>
        <w:t>⑦</w:t>
      </w:r>
      <w:r>
        <w:rPr>
          <w:rFonts w:ascii="宋体" w:hAnsi="宋体" w:eastAsia="宋体" w:cs="宋体"/>
          <w:spacing w:val="10"/>
          <w:position w:val="17"/>
          <w:sz w:val="23"/>
          <w:szCs w:val="23"/>
        </w:rPr>
        <w:t xml:space="preserve">盛装危险废物的容器上必须粘贴符合本标准附录 </w:t>
      </w:r>
      <w:r>
        <w:rPr>
          <w:rFonts w:ascii="Times New Roman" w:hAnsi="Times New Roman" w:eastAsia="Times New Roman" w:cs="Times New Roman"/>
          <w:position w:val="17"/>
          <w:sz w:val="23"/>
          <w:szCs w:val="23"/>
        </w:rPr>
        <w:t>A</w:t>
      </w:r>
      <w:r>
        <w:rPr>
          <w:rFonts w:ascii="Times New Roman" w:hAnsi="Times New Roman" w:eastAsia="Times New Roman" w:cs="Times New Roman"/>
          <w:spacing w:val="10"/>
          <w:position w:val="17"/>
          <w:sz w:val="23"/>
          <w:szCs w:val="23"/>
        </w:rPr>
        <w:t xml:space="preserve"> </w:t>
      </w:r>
      <w:r>
        <w:rPr>
          <w:rFonts w:ascii="宋体" w:hAnsi="宋体" w:eastAsia="宋体" w:cs="宋体"/>
          <w:spacing w:val="10"/>
          <w:position w:val="17"/>
          <w:sz w:val="23"/>
          <w:szCs w:val="23"/>
        </w:rPr>
        <w:t>所示的标签，并使用符合标准的</w:t>
      </w:r>
    </w:p>
    <w:p w14:paraId="227FC588">
      <w:pPr>
        <w:spacing w:line="228" w:lineRule="auto"/>
        <w:ind w:left="13"/>
        <w:rPr>
          <w:rFonts w:ascii="宋体" w:hAnsi="宋体" w:eastAsia="宋体" w:cs="宋体"/>
          <w:sz w:val="23"/>
          <w:szCs w:val="23"/>
        </w:rPr>
      </w:pPr>
      <w:r>
        <w:rPr>
          <w:rFonts w:ascii="宋体" w:hAnsi="宋体" w:eastAsia="宋体" w:cs="宋体"/>
          <w:spacing w:val="18"/>
          <w:sz w:val="23"/>
          <w:szCs w:val="23"/>
        </w:rPr>
        <w:t>容</w:t>
      </w:r>
      <w:r>
        <w:rPr>
          <w:rFonts w:ascii="宋体" w:hAnsi="宋体" w:eastAsia="宋体" w:cs="宋体"/>
          <w:spacing w:val="9"/>
          <w:sz w:val="23"/>
          <w:szCs w:val="23"/>
        </w:rPr>
        <w:t>器盛装危险废物，容器及材质要满足相应的强度要求，而且完好无损；</w:t>
      </w:r>
    </w:p>
    <w:p w14:paraId="1AC9AB48">
      <w:pPr>
        <w:sectPr>
          <w:headerReference r:id="rId261" w:type="default"/>
          <w:footerReference r:id="rId262" w:type="default"/>
          <w:pgSz w:w="11906" w:h="16839"/>
          <w:pgMar w:top="1113" w:right="1070" w:bottom="1157" w:left="1275" w:header="878" w:footer="994" w:gutter="0"/>
          <w:cols w:space="720" w:num="1"/>
        </w:sectPr>
      </w:pPr>
    </w:p>
    <w:p w14:paraId="45BC9776">
      <w:pPr>
        <w:spacing w:before="199" w:line="374" w:lineRule="auto"/>
        <w:ind w:left="118" w:right="108" w:firstLine="478"/>
        <w:rPr>
          <w:rFonts w:ascii="宋体" w:hAnsi="宋体" w:eastAsia="宋体" w:cs="宋体"/>
          <w:sz w:val="23"/>
          <w:szCs w:val="23"/>
        </w:rPr>
      </w:pPr>
      <w:r>
        <w:rPr>
          <w:rFonts w:ascii="宋体" w:hAnsi="宋体" w:eastAsia="宋体" w:cs="宋体"/>
          <w:spacing w:val="10"/>
          <w:sz w:val="23"/>
          <w:szCs w:val="23"/>
        </w:rPr>
        <w:t>⑧</w:t>
      </w:r>
      <w:r>
        <w:rPr>
          <w:rFonts w:ascii="宋体" w:hAnsi="宋体" w:eastAsia="宋体" w:cs="宋体"/>
          <w:spacing w:val="9"/>
          <w:sz w:val="23"/>
          <w:szCs w:val="23"/>
        </w:rPr>
        <w:t>危</w:t>
      </w:r>
      <w:r>
        <w:rPr>
          <w:rFonts w:ascii="宋体" w:hAnsi="宋体" w:eastAsia="宋体" w:cs="宋体"/>
          <w:spacing w:val="5"/>
          <w:sz w:val="23"/>
          <w:szCs w:val="23"/>
        </w:rPr>
        <w:t xml:space="preserve">险废物贮存设施选址地质结构稳定，地震烈度不超过 </w:t>
      </w:r>
      <w:r>
        <w:rPr>
          <w:rFonts w:ascii="Times New Roman" w:hAnsi="Times New Roman" w:eastAsia="Times New Roman" w:cs="Times New Roman"/>
          <w:spacing w:val="5"/>
          <w:sz w:val="23"/>
          <w:szCs w:val="23"/>
        </w:rPr>
        <w:t xml:space="preserve">7 </w:t>
      </w:r>
      <w:r>
        <w:rPr>
          <w:rFonts w:ascii="宋体" w:hAnsi="宋体" w:eastAsia="宋体" w:cs="宋体"/>
          <w:spacing w:val="5"/>
          <w:sz w:val="23"/>
          <w:szCs w:val="23"/>
        </w:rPr>
        <w:t>度的区域内，底部必须高于</w:t>
      </w:r>
      <w:r>
        <w:rPr>
          <w:rFonts w:ascii="宋体" w:hAnsi="宋体" w:eastAsia="宋体" w:cs="宋体"/>
          <w:sz w:val="23"/>
          <w:szCs w:val="23"/>
        </w:rPr>
        <w:t xml:space="preserve"> </w:t>
      </w:r>
      <w:r>
        <w:rPr>
          <w:rFonts w:ascii="宋体" w:hAnsi="宋体" w:eastAsia="宋体" w:cs="宋体"/>
          <w:spacing w:val="12"/>
          <w:sz w:val="23"/>
          <w:szCs w:val="23"/>
        </w:rPr>
        <w:t>地</w:t>
      </w:r>
      <w:r>
        <w:rPr>
          <w:rFonts w:ascii="宋体" w:hAnsi="宋体" w:eastAsia="宋体" w:cs="宋体"/>
          <w:spacing w:val="8"/>
          <w:sz w:val="23"/>
          <w:szCs w:val="23"/>
        </w:rPr>
        <w:t>下</w:t>
      </w:r>
      <w:r>
        <w:rPr>
          <w:rFonts w:ascii="宋体" w:hAnsi="宋体" w:eastAsia="宋体" w:cs="宋体"/>
          <w:spacing w:val="6"/>
          <w:sz w:val="23"/>
          <w:szCs w:val="23"/>
        </w:rPr>
        <w:t xml:space="preserve">水最高水位；场界应位于居民区 </w:t>
      </w:r>
      <w:r>
        <w:rPr>
          <w:rFonts w:ascii="Times New Roman" w:hAnsi="Times New Roman" w:eastAsia="Times New Roman" w:cs="Times New Roman"/>
          <w:spacing w:val="6"/>
          <w:sz w:val="23"/>
          <w:szCs w:val="23"/>
        </w:rPr>
        <w:t>800</w:t>
      </w:r>
      <w:r>
        <w:rPr>
          <w:rFonts w:ascii="Times New Roman" w:hAnsi="Times New Roman" w:eastAsia="Times New Roman" w:cs="Times New Roman"/>
          <w:sz w:val="23"/>
          <w:szCs w:val="23"/>
        </w:rPr>
        <w:t>m</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 xml:space="preserve">以外，地表水域 </w:t>
      </w:r>
      <w:r>
        <w:rPr>
          <w:rFonts w:ascii="Times New Roman" w:hAnsi="Times New Roman" w:eastAsia="Times New Roman" w:cs="Times New Roman"/>
          <w:spacing w:val="6"/>
          <w:sz w:val="23"/>
          <w:szCs w:val="23"/>
        </w:rPr>
        <w:t>150</w:t>
      </w:r>
      <w:r>
        <w:rPr>
          <w:rFonts w:ascii="Times New Roman" w:hAnsi="Times New Roman" w:eastAsia="Times New Roman" w:cs="Times New Roman"/>
          <w:sz w:val="23"/>
          <w:szCs w:val="23"/>
        </w:rPr>
        <w:t>m</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以外；应避免建在溶洞区</w:t>
      </w:r>
      <w:r>
        <w:rPr>
          <w:rFonts w:ascii="宋体" w:hAnsi="宋体" w:eastAsia="宋体" w:cs="宋体"/>
          <w:sz w:val="23"/>
          <w:szCs w:val="23"/>
        </w:rPr>
        <w:t xml:space="preserve"> </w:t>
      </w:r>
      <w:r>
        <w:rPr>
          <w:rFonts w:ascii="宋体" w:hAnsi="宋体" w:eastAsia="宋体" w:cs="宋体"/>
          <w:spacing w:val="12"/>
          <w:sz w:val="23"/>
          <w:szCs w:val="23"/>
        </w:rPr>
        <w:t>或</w:t>
      </w:r>
      <w:r>
        <w:rPr>
          <w:rFonts w:ascii="宋体" w:hAnsi="宋体" w:eastAsia="宋体" w:cs="宋体"/>
          <w:spacing w:val="7"/>
          <w:sz w:val="23"/>
          <w:szCs w:val="23"/>
        </w:rPr>
        <w:t>易遭受严重自然灾害如洪水、滑坡，泥石流、潮汐等影响的地区。应在易燃、易爆等危险</w:t>
      </w:r>
    </w:p>
    <w:p w14:paraId="6F0B6D72">
      <w:pPr>
        <w:spacing w:line="227" w:lineRule="auto"/>
        <w:ind w:left="137"/>
        <w:rPr>
          <w:rFonts w:ascii="宋体" w:hAnsi="宋体" w:eastAsia="宋体" w:cs="宋体"/>
          <w:sz w:val="23"/>
          <w:szCs w:val="23"/>
        </w:rPr>
      </w:pPr>
      <w:r>
        <w:rPr>
          <w:rFonts w:ascii="宋体" w:hAnsi="宋体" w:eastAsia="宋体" w:cs="宋体"/>
          <w:spacing w:val="10"/>
          <w:sz w:val="23"/>
          <w:szCs w:val="23"/>
        </w:rPr>
        <w:t>品仓库、</w:t>
      </w:r>
      <w:r>
        <w:rPr>
          <w:rFonts w:ascii="宋体" w:hAnsi="宋体" w:eastAsia="宋体" w:cs="宋体"/>
          <w:spacing w:val="5"/>
          <w:sz w:val="23"/>
          <w:szCs w:val="23"/>
        </w:rPr>
        <w:t>高压输电线路防护区域以外；  应位于居民中心区常年最大风频的下风向；</w:t>
      </w:r>
    </w:p>
    <w:p w14:paraId="2472979E">
      <w:pPr>
        <w:spacing w:before="141" w:line="323" w:lineRule="exact"/>
        <w:ind w:left="596"/>
        <w:rPr>
          <w:rFonts w:ascii="Times New Roman" w:hAnsi="Times New Roman" w:eastAsia="Times New Roman" w:cs="Times New Roman"/>
          <w:sz w:val="23"/>
          <w:szCs w:val="23"/>
        </w:rPr>
      </w:pPr>
      <w:r>
        <w:rPr>
          <w:rFonts w:ascii="宋体" w:hAnsi="宋体" w:eastAsia="宋体" w:cs="宋体"/>
          <w:spacing w:val="11"/>
          <w:position w:val="2"/>
          <w:sz w:val="23"/>
          <w:szCs w:val="23"/>
        </w:rPr>
        <w:t>⑨</w:t>
      </w:r>
      <w:r>
        <w:rPr>
          <w:rFonts w:ascii="宋体" w:hAnsi="宋体" w:eastAsia="宋体" w:cs="宋体"/>
          <w:spacing w:val="7"/>
          <w:position w:val="2"/>
          <w:sz w:val="23"/>
          <w:szCs w:val="23"/>
        </w:rPr>
        <w:t xml:space="preserve">危险废物贮存设施基础必须防渗，防渗层为至少 </w:t>
      </w:r>
      <w:r>
        <w:rPr>
          <w:rFonts w:ascii="Times New Roman" w:hAnsi="Times New Roman" w:eastAsia="Times New Roman" w:cs="Times New Roman"/>
          <w:spacing w:val="7"/>
          <w:position w:val="2"/>
          <w:sz w:val="23"/>
          <w:szCs w:val="23"/>
        </w:rPr>
        <w:t xml:space="preserve">1 </w:t>
      </w:r>
      <w:r>
        <w:rPr>
          <w:rFonts w:ascii="宋体" w:hAnsi="宋体" w:eastAsia="宋体" w:cs="宋体"/>
          <w:spacing w:val="7"/>
          <w:position w:val="2"/>
          <w:sz w:val="23"/>
          <w:szCs w:val="23"/>
        </w:rPr>
        <w:t>米厚粘土层 (渗透系数</w:t>
      </w:r>
      <w:r>
        <w:rPr>
          <w:rFonts w:ascii="Times New Roman" w:hAnsi="Times New Roman" w:eastAsia="Times New Roman" w:cs="Times New Roman"/>
          <w:spacing w:val="7"/>
          <w:position w:val="2"/>
          <w:sz w:val="23"/>
          <w:szCs w:val="23"/>
        </w:rPr>
        <w:t>≤10</w:t>
      </w:r>
      <w:r>
        <w:rPr>
          <w:rFonts w:ascii="Times New Roman" w:hAnsi="Times New Roman" w:eastAsia="Times New Roman" w:cs="Times New Roman"/>
          <w:spacing w:val="7"/>
          <w:position w:val="10"/>
          <w:sz w:val="15"/>
          <w:szCs w:val="15"/>
        </w:rPr>
        <w:t xml:space="preserve">-7 </w:t>
      </w:r>
      <w:r>
        <w:rPr>
          <w:rFonts w:ascii="宋体" w:hAnsi="宋体" w:eastAsia="宋体" w:cs="宋体"/>
          <w:spacing w:val="7"/>
          <w:position w:val="2"/>
          <w:sz w:val="23"/>
          <w:szCs w:val="23"/>
        </w:rPr>
        <w:t>厘米</w:t>
      </w:r>
      <w:r>
        <w:rPr>
          <w:rFonts w:ascii="Times New Roman" w:hAnsi="Times New Roman" w:eastAsia="Times New Roman" w:cs="Times New Roman"/>
          <w:spacing w:val="7"/>
          <w:position w:val="2"/>
          <w:sz w:val="23"/>
          <w:szCs w:val="23"/>
        </w:rPr>
        <w:t>/</w:t>
      </w:r>
    </w:p>
    <w:p w14:paraId="5B2F3CC6">
      <w:pPr>
        <w:spacing w:before="141" w:line="387" w:lineRule="auto"/>
        <w:ind w:left="117" w:right="104"/>
        <w:rPr>
          <w:rFonts w:ascii="宋体" w:hAnsi="宋体" w:eastAsia="宋体" w:cs="宋体"/>
          <w:sz w:val="23"/>
          <w:szCs w:val="23"/>
        </w:rPr>
      </w:pPr>
      <w:r>
        <w:rPr>
          <w:rFonts w:ascii="宋体" w:hAnsi="宋体" w:eastAsia="宋体" w:cs="宋体"/>
          <w:spacing w:val="20"/>
          <w:sz w:val="23"/>
          <w:szCs w:val="23"/>
        </w:rPr>
        <w:t>秒)</w:t>
      </w:r>
      <w:r>
        <w:rPr>
          <w:rFonts w:ascii="宋体" w:hAnsi="宋体" w:eastAsia="宋体" w:cs="宋体"/>
          <w:spacing w:val="15"/>
          <w:sz w:val="23"/>
          <w:szCs w:val="23"/>
        </w:rPr>
        <w:t xml:space="preserve"> </w:t>
      </w:r>
      <w:r>
        <w:rPr>
          <w:rFonts w:ascii="宋体" w:hAnsi="宋体" w:eastAsia="宋体" w:cs="宋体"/>
          <w:spacing w:val="10"/>
          <w:sz w:val="23"/>
          <w:szCs w:val="23"/>
        </w:rPr>
        <w:t xml:space="preserve">，或 </w:t>
      </w:r>
      <w:r>
        <w:rPr>
          <w:rFonts w:ascii="Times New Roman" w:hAnsi="Times New Roman" w:eastAsia="Times New Roman" w:cs="Times New Roman"/>
          <w:spacing w:val="10"/>
          <w:sz w:val="23"/>
          <w:szCs w:val="23"/>
        </w:rPr>
        <w:t xml:space="preserve">2 </w:t>
      </w:r>
      <w:r>
        <w:rPr>
          <w:rFonts w:ascii="宋体" w:hAnsi="宋体" w:eastAsia="宋体" w:cs="宋体"/>
          <w:spacing w:val="10"/>
          <w:sz w:val="23"/>
          <w:szCs w:val="23"/>
        </w:rPr>
        <w:t>毫米厚高密度聚乙烯，或至少</w:t>
      </w:r>
      <w:r>
        <w:rPr>
          <w:rFonts w:ascii="Times New Roman" w:hAnsi="Times New Roman" w:eastAsia="Times New Roman" w:cs="Times New Roman"/>
          <w:spacing w:val="10"/>
          <w:sz w:val="23"/>
          <w:szCs w:val="23"/>
        </w:rPr>
        <w:t xml:space="preserve">2 </w:t>
      </w:r>
      <w:r>
        <w:rPr>
          <w:rFonts w:ascii="宋体" w:hAnsi="宋体" w:eastAsia="宋体" w:cs="宋体"/>
          <w:spacing w:val="10"/>
          <w:sz w:val="23"/>
          <w:szCs w:val="23"/>
        </w:rPr>
        <w:t>毫米厚的其它人工材料，渗透系数</w:t>
      </w:r>
      <w:r>
        <w:rPr>
          <w:rFonts w:ascii="Times New Roman" w:hAnsi="Times New Roman" w:eastAsia="Times New Roman" w:cs="Times New Roman"/>
          <w:spacing w:val="10"/>
          <w:sz w:val="23"/>
          <w:szCs w:val="23"/>
        </w:rPr>
        <w:t>≤10</w:t>
      </w:r>
      <w:r>
        <w:rPr>
          <w:rFonts w:ascii="Times New Roman" w:hAnsi="Times New Roman" w:eastAsia="Times New Roman" w:cs="Times New Roman"/>
          <w:spacing w:val="10"/>
          <w:position w:val="8"/>
          <w:sz w:val="15"/>
          <w:szCs w:val="15"/>
        </w:rPr>
        <w:t xml:space="preserve">- 10 </w:t>
      </w:r>
      <w:r>
        <w:rPr>
          <w:rFonts w:ascii="宋体" w:hAnsi="宋体" w:eastAsia="宋体" w:cs="宋体"/>
          <w:spacing w:val="10"/>
          <w:sz w:val="23"/>
          <w:szCs w:val="23"/>
        </w:rPr>
        <w:t>厘米</w:t>
      </w:r>
      <w:r>
        <w:rPr>
          <w:rFonts w:ascii="Times New Roman" w:hAnsi="Times New Roman" w:eastAsia="Times New Roman" w:cs="Times New Roman"/>
          <w:spacing w:val="10"/>
          <w:sz w:val="23"/>
          <w:szCs w:val="23"/>
        </w:rPr>
        <w:t>/</w:t>
      </w:r>
      <w:r>
        <w:rPr>
          <w:rFonts w:ascii="Times New Roman" w:hAnsi="Times New Roman" w:eastAsia="Times New Roman" w:cs="Times New Roman"/>
          <w:sz w:val="23"/>
          <w:szCs w:val="23"/>
        </w:rPr>
        <w:t xml:space="preserve"> </w:t>
      </w:r>
      <w:r>
        <w:rPr>
          <w:rFonts w:ascii="宋体" w:hAnsi="宋体" w:eastAsia="宋体" w:cs="宋体"/>
          <w:spacing w:val="15"/>
          <w:sz w:val="23"/>
          <w:szCs w:val="23"/>
        </w:rPr>
        <w:t>秒</w:t>
      </w:r>
      <w:r>
        <w:rPr>
          <w:rFonts w:ascii="宋体" w:hAnsi="宋体" w:eastAsia="宋体" w:cs="宋体"/>
          <w:spacing w:val="8"/>
          <w:sz w:val="23"/>
          <w:szCs w:val="23"/>
        </w:rPr>
        <w:t xml:space="preserve">；应设计建造径流疏导系统，保证能防止 </w:t>
      </w:r>
      <w:r>
        <w:rPr>
          <w:rFonts w:ascii="Times New Roman" w:hAnsi="Times New Roman" w:eastAsia="Times New Roman" w:cs="Times New Roman"/>
          <w:spacing w:val="8"/>
          <w:sz w:val="23"/>
          <w:szCs w:val="23"/>
        </w:rPr>
        <w:t xml:space="preserve">25 </w:t>
      </w:r>
      <w:r>
        <w:rPr>
          <w:rFonts w:ascii="宋体" w:hAnsi="宋体" w:eastAsia="宋体" w:cs="宋体"/>
          <w:spacing w:val="8"/>
          <w:sz w:val="23"/>
          <w:szCs w:val="23"/>
        </w:rPr>
        <w:t>年一遇的暴雨不会流到危险废物堆里；危险</w:t>
      </w:r>
      <w:r>
        <w:rPr>
          <w:rFonts w:ascii="宋体" w:hAnsi="宋体" w:eastAsia="宋体" w:cs="宋体"/>
          <w:sz w:val="23"/>
          <w:szCs w:val="23"/>
        </w:rPr>
        <w:t xml:space="preserve"> </w:t>
      </w:r>
      <w:r>
        <w:rPr>
          <w:rFonts w:ascii="宋体" w:hAnsi="宋体" w:eastAsia="宋体" w:cs="宋体"/>
          <w:spacing w:val="15"/>
          <w:sz w:val="23"/>
          <w:szCs w:val="23"/>
        </w:rPr>
        <w:t>废</w:t>
      </w:r>
      <w:r>
        <w:rPr>
          <w:rFonts w:ascii="宋体" w:hAnsi="宋体" w:eastAsia="宋体" w:cs="宋体"/>
          <w:spacing w:val="8"/>
          <w:sz w:val="23"/>
          <w:szCs w:val="23"/>
        </w:rPr>
        <w:t>物堆要防风、防雨、防晒；</w:t>
      </w:r>
    </w:p>
    <w:p w14:paraId="3E3B507F">
      <w:pPr>
        <w:spacing w:line="375" w:lineRule="auto"/>
        <w:ind w:left="119" w:right="108" w:firstLine="477"/>
        <w:rPr>
          <w:rFonts w:ascii="宋体" w:hAnsi="宋体" w:eastAsia="宋体" w:cs="宋体"/>
          <w:sz w:val="23"/>
          <w:szCs w:val="23"/>
        </w:rPr>
      </w:pPr>
      <w:r>
        <w:rPr>
          <w:rFonts w:ascii="宋体" w:hAnsi="宋体" w:eastAsia="宋体" w:cs="宋体"/>
          <w:spacing w:val="7"/>
          <w:sz w:val="23"/>
          <w:szCs w:val="23"/>
        </w:rPr>
        <w:t>⑩从事危险废物贮存的单位，必须得到有资质单位出具的该危险废物样品物理和化学性</w:t>
      </w:r>
      <w:r>
        <w:rPr>
          <w:rFonts w:ascii="宋体" w:hAnsi="宋体" w:eastAsia="宋体" w:cs="宋体"/>
          <w:sz w:val="23"/>
          <w:szCs w:val="23"/>
        </w:rPr>
        <w:t xml:space="preserve"> </w:t>
      </w:r>
      <w:r>
        <w:rPr>
          <w:rFonts w:ascii="宋体" w:hAnsi="宋体" w:eastAsia="宋体" w:cs="宋体"/>
          <w:spacing w:val="11"/>
          <w:sz w:val="23"/>
          <w:szCs w:val="23"/>
        </w:rPr>
        <w:t>质</w:t>
      </w:r>
      <w:r>
        <w:rPr>
          <w:rFonts w:ascii="宋体" w:hAnsi="宋体" w:eastAsia="宋体" w:cs="宋体"/>
          <w:spacing w:val="7"/>
          <w:sz w:val="23"/>
          <w:szCs w:val="23"/>
        </w:rPr>
        <w:t>的分析报告，认定可以贮存后，方可接收；；危险废物贮存前应进行检验，确保同预定接</w:t>
      </w:r>
      <w:r>
        <w:rPr>
          <w:rFonts w:ascii="宋体" w:hAnsi="宋体" w:eastAsia="宋体" w:cs="宋体"/>
          <w:sz w:val="23"/>
          <w:szCs w:val="23"/>
        </w:rPr>
        <w:t xml:space="preserve"> </w:t>
      </w:r>
      <w:r>
        <w:rPr>
          <w:rFonts w:ascii="宋体" w:hAnsi="宋体" w:eastAsia="宋体" w:cs="宋体"/>
          <w:spacing w:val="16"/>
          <w:sz w:val="23"/>
          <w:szCs w:val="23"/>
        </w:rPr>
        <w:t>收</w:t>
      </w:r>
      <w:r>
        <w:rPr>
          <w:rFonts w:ascii="宋体" w:hAnsi="宋体" w:eastAsia="宋体" w:cs="宋体"/>
          <w:spacing w:val="9"/>
          <w:sz w:val="23"/>
          <w:szCs w:val="23"/>
        </w:rPr>
        <w:t>的</w:t>
      </w:r>
      <w:r>
        <w:rPr>
          <w:rFonts w:ascii="宋体" w:hAnsi="宋体" w:eastAsia="宋体" w:cs="宋体"/>
          <w:spacing w:val="8"/>
          <w:sz w:val="23"/>
          <w:szCs w:val="23"/>
        </w:rPr>
        <w:t>危险废物一致，并登记注册；</w:t>
      </w:r>
    </w:p>
    <w:p w14:paraId="048BE671">
      <w:pPr>
        <w:spacing w:before="1" w:line="374" w:lineRule="auto"/>
        <w:ind w:left="118" w:right="104" w:firstLine="476"/>
        <w:rPr>
          <w:rFonts w:ascii="宋体" w:hAnsi="宋体" w:eastAsia="宋体" w:cs="宋体"/>
          <w:sz w:val="23"/>
          <w:szCs w:val="23"/>
        </w:rPr>
      </w:pPr>
      <w:r>
        <w:rPr>
          <w:rFonts w:ascii="Calibri" w:hAnsi="Calibri" w:eastAsia="Calibri" w:cs="Calibri"/>
          <w:spacing w:val="8"/>
          <w:sz w:val="23"/>
          <w:szCs w:val="23"/>
        </w:rPr>
        <w:t>⑪</w:t>
      </w:r>
      <w:r>
        <w:rPr>
          <w:rFonts w:ascii="宋体" w:hAnsi="宋体" w:eastAsia="宋体" w:cs="宋体"/>
          <w:spacing w:val="5"/>
          <w:sz w:val="23"/>
          <w:szCs w:val="23"/>
        </w:rPr>
        <w:t>危险废物产生者和危险废物贮存设施经营者均须作好危险废物情况的记录，记录上须</w:t>
      </w:r>
      <w:r>
        <w:rPr>
          <w:rFonts w:ascii="宋体" w:hAnsi="宋体" w:eastAsia="宋体" w:cs="宋体"/>
          <w:sz w:val="23"/>
          <w:szCs w:val="23"/>
        </w:rPr>
        <w:t xml:space="preserve"> </w:t>
      </w:r>
      <w:r>
        <w:rPr>
          <w:rFonts w:ascii="宋体" w:hAnsi="宋体" w:eastAsia="宋体" w:cs="宋体"/>
          <w:spacing w:val="14"/>
          <w:sz w:val="23"/>
          <w:szCs w:val="23"/>
        </w:rPr>
        <w:t>注</w:t>
      </w:r>
      <w:r>
        <w:rPr>
          <w:rFonts w:ascii="宋体" w:hAnsi="宋体" w:eastAsia="宋体" w:cs="宋体"/>
          <w:spacing w:val="9"/>
          <w:sz w:val="23"/>
          <w:szCs w:val="23"/>
        </w:rPr>
        <w:t>明</w:t>
      </w:r>
      <w:r>
        <w:rPr>
          <w:rFonts w:ascii="宋体" w:hAnsi="宋体" w:eastAsia="宋体" w:cs="宋体"/>
          <w:spacing w:val="7"/>
          <w:sz w:val="23"/>
          <w:szCs w:val="23"/>
        </w:rPr>
        <w:t>危险废物的名称、来源、数量、特性和包装容器的类别、入库日期、存放库位、废物出</w:t>
      </w:r>
      <w:r>
        <w:rPr>
          <w:rFonts w:ascii="宋体" w:hAnsi="宋体" w:eastAsia="宋体" w:cs="宋体"/>
          <w:sz w:val="23"/>
          <w:szCs w:val="23"/>
        </w:rPr>
        <w:t xml:space="preserve"> </w:t>
      </w:r>
      <w:r>
        <w:rPr>
          <w:rFonts w:ascii="宋体" w:hAnsi="宋体" w:eastAsia="宋体" w:cs="宋体"/>
          <w:spacing w:val="18"/>
          <w:sz w:val="23"/>
          <w:szCs w:val="23"/>
        </w:rPr>
        <w:t>库</w:t>
      </w:r>
      <w:r>
        <w:rPr>
          <w:rFonts w:ascii="宋体" w:hAnsi="宋体" w:eastAsia="宋体" w:cs="宋体"/>
          <w:spacing w:val="17"/>
          <w:sz w:val="23"/>
          <w:szCs w:val="23"/>
        </w:rPr>
        <w:t>日</w:t>
      </w:r>
      <w:r>
        <w:rPr>
          <w:rFonts w:ascii="宋体" w:hAnsi="宋体" w:eastAsia="宋体" w:cs="宋体"/>
          <w:spacing w:val="9"/>
          <w:sz w:val="23"/>
          <w:szCs w:val="23"/>
        </w:rPr>
        <w:t>期及接收单位名称；危险废物的记录和货单在危险废物回取后应继续保留三年。</w:t>
      </w:r>
    </w:p>
    <w:p w14:paraId="0614296A">
      <w:pPr>
        <w:spacing w:before="1" w:line="375" w:lineRule="auto"/>
        <w:ind w:left="118" w:right="108" w:firstLine="476"/>
        <w:rPr>
          <w:rFonts w:ascii="宋体" w:hAnsi="宋体" w:eastAsia="宋体" w:cs="宋体"/>
          <w:sz w:val="23"/>
          <w:szCs w:val="23"/>
        </w:rPr>
      </w:pPr>
      <w:r>
        <w:rPr>
          <w:rFonts w:ascii="Calibri" w:hAnsi="Calibri" w:eastAsia="Calibri" w:cs="Calibri"/>
          <w:spacing w:val="8"/>
          <w:sz w:val="23"/>
          <w:szCs w:val="23"/>
        </w:rPr>
        <w:t>⑫</w:t>
      </w:r>
      <w:r>
        <w:rPr>
          <w:rFonts w:ascii="宋体" w:hAnsi="宋体" w:eastAsia="宋体" w:cs="宋体"/>
          <w:spacing w:val="5"/>
          <w:sz w:val="23"/>
          <w:szCs w:val="23"/>
        </w:rPr>
        <w:t>必须定期对所贮存的危险废物包装容器及贮存设施进行检查，发现破损，应及时采取</w:t>
      </w:r>
      <w:r>
        <w:rPr>
          <w:rFonts w:ascii="宋体" w:hAnsi="宋体" w:eastAsia="宋体" w:cs="宋体"/>
          <w:sz w:val="23"/>
          <w:szCs w:val="23"/>
        </w:rPr>
        <w:t xml:space="preserve"> </w:t>
      </w:r>
      <w:r>
        <w:rPr>
          <w:rFonts w:ascii="宋体" w:hAnsi="宋体" w:eastAsia="宋体" w:cs="宋体"/>
          <w:spacing w:val="8"/>
          <w:sz w:val="23"/>
          <w:szCs w:val="23"/>
        </w:rPr>
        <w:t>措</w:t>
      </w:r>
      <w:r>
        <w:rPr>
          <w:rFonts w:ascii="宋体" w:hAnsi="宋体" w:eastAsia="宋体" w:cs="宋体"/>
          <w:spacing w:val="7"/>
          <w:sz w:val="23"/>
          <w:szCs w:val="23"/>
        </w:rPr>
        <w:t>施清理更换；</w:t>
      </w:r>
    </w:p>
    <w:p w14:paraId="4E856900">
      <w:pPr>
        <w:spacing w:line="204" w:lineRule="auto"/>
        <w:ind w:left="594"/>
        <w:rPr>
          <w:rFonts w:ascii="宋体" w:hAnsi="宋体" w:eastAsia="宋体" w:cs="宋体"/>
          <w:sz w:val="23"/>
          <w:szCs w:val="23"/>
        </w:rPr>
      </w:pPr>
      <w:r>
        <w:rPr>
          <w:rFonts w:ascii="Calibri" w:hAnsi="Calibri" w:eastAsia="Calibri" w:cs="Calibri"/>
          <w:spacing w:val="11"/>
          <w:sz w:val="23"/>
          <w:szCs w:val="23"/>
        </w:rPr>
        <w:t>⑬</w:t>
      </w:r>
      <w:r>
        <w:rPr>
          <w:rFonts w:ascii="宋体" w:hAnsi="宋体" w:eastAsia="宋体" w:cs="宋体"/>
          <w:spacing w:val="6"/>
          <w:sz w:val="23"/>
          <w:szCs w:val="23"/>
        </w:rPr>
        <w:t>危险废物转移应按要求实施危险废物转移联单制度。</w:t>
      </w:r>
    </w:p>
    <w:p w14:paraId="6F1A0641">
      <w:pPr>
        <w:spacing w:before="212" w:line="221" w:lineRule="auto"/>
        <w:ind w:left="2068"/>
        <w:rPr>
          <w:rFonts w:ascii="黑体" w:hAnsi="黑体" w:eastAsia="黑体" w:cs="黑体"/>
          <w:sz w:val="23"/>
          <w:szCs w:val="23"/>
        </w:rPr>
      </w:pPr>
      <w:r>
        <w:rPr>
          <w:rFonts w:ascii="黑体" w:hAnsi="黑体" w:eastAsia="黑体" w:cs="黑体"/>
          <w:spacing w:val="10"/>
          <w:sz w:val="23"/>
          <w:szCs w:val="23"/>
        </w:rPr>
        <w:t xml:space="preserve">表 </w:t>
      </w:r>
      <w:r>
        <w:rPr>
          <w:rFonts w:ascii="Times New Roman" w:hAnsi="Times New Roman" w:eastAsia="Times New Roman" w:cs="Times New Roman"/>
          <w:spacing w:val="6"/>
          <w:sz w:val="23"/>
          <w:szCs w:val="23"/>
        </w:rPr>
        <w:t>6</w:t>
      </w:r>
      <w:r>
        <w:rPr>
          <w:rFonts w:ascii="Times New Roman" w:hAnsi="Times New Roman" w:eastAsia="Times New Roman" w:cs="Times New Roman"/>
          <w:spacing w:val="5"/>
          <w:sz w:val="23"/>
          <w:szCs w:val="23"/>
        </w:rPr>
        <w:t xml:space="preserve">.2-5    </w:t>
      </w:r>
      <w:r>
        <w:rPr>
          <w:rFonts w:ascii="黑体" w:hAnsi="黑体" w:eastAsia="黑体" w:cs="黑体"/>
          <w:spacing w:val="5"/>
          <w:sz w:val="23"/>
          <w:szCs w:val="23"/>
        </w:rPr>
        <w:t>建设项目危险废物贮存场所 (设施) 基本情况表</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9"/>
        <w:gridCol w:w="1247"/>
        <w:gridCol w:w="740"/>
        <w:gridCol w:w="798"/>
        <w:gridCol w:w="1329"/>
        <w:gridCol w:w="799"/>
        <w:gridCol w:w="747"/>
        <w:gridCol w:w="1822"/>
        <w:gridCol w:w="911"/>
        <w:gridCol w:w="760"/>
      </w:tblGrid>
      <w:tr w14:paraId="1C660A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4" w:hRule="atLeast"/>
        </w:trPr>
        <w:tc>
          <w:tcPr>
            <w:tcW w:w="559" w:type="dxa"/>
            <w:tcBorders>
              <w:left w:val="nil"/>
              <w:right w:val="single" w:color="000000" w:sz="4" w:space="0"/>
            </w:tcBorders>
            <w:textDirection w:val="tbRlV"/>
          </w:tcPr>
          <w:p w14:paraId="546EE2F9">
            <w:pPr>
              <w:spacing w:before="171" w:line="218" w:lineRule="auto"/>
              <w:ind w:left="216"/>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序</w:t>
            </w:r>
            <w:r>
              <w:rPr>
                <w:rFonts w:ascii="宋体" w:hAnsi="宋体" w:eastAsia="宋体" w:cs="宋体"/>
                <w:spacing w:val="-6"/>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号</w:t>
            </w:r>
          </w:p>
        </w:tc>
        <w:tc>
          <w:tcPr>
            <w:tcW w:w="1247" w:type="dxa"/>
            <w:tcBorders>
              <w:left w:val="single" w:color="000000" w:sz="4" w:space="0"/>
              <w:right w:val="single" w:color="000000" w:sz="4" w:space="0"/>
            </w:tcBorders>
          </w:tcPr>
          <w:p w14:paraId="3D0651EF">
            <w:pPr>
              <w:spacing w:before="79" w:line="228" w:lineRule="auto"/>
              <w:ind w:left="206"/>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贮</w:t>
            </w:r>
            <w:r>
              <w:rPr>
                <w:rFonts w:ascii="宋体" w:hAnsi="宋体" w:eastAsia="宋体" w:cs="宋体"/>
                <w:spacing w:val="8"/>
                <w:sz w:val="20"/>
                <w:szCs w:val="20"/>
                <w14:textOutline w14:w="3797" w14:cap="sq" w14:cmpd="sng" w14:algn="ctr">
                  <w14:solidFill>
                    <w14:srgbClr w14:val="000000"/>
                  </w14:solidFill>
                  <w14:prstDash w14:val="solid"/>
                  <w14:bevel/>
                </w14:textOutline>
              </w:rPr>
              <w:t>存场所</w:t>
            </w:r>
          </w:p>
          <w:p w14:paraId="368211BF">
            <w:pPr>
              <w:spacing w:before="24" w:line="229" w:lineRule="auto"/>
              <w:ind w:left="163"/>
              <w:rPr>
                <w:rFonts w:ascii="宋体" w:hAnsi="宋体" w:eastAsia="宋体" w:cs="宋体"/>
                <w:sz w:val="20"/>
                <w:szCs w:val="20"/>
              </w:rPr>
            </w:pPr>
            <w:r>
              <w:rPr>
                <w:rFonts w:ascii="宋体" w:hAnsi="宋体" w:eastAsia="宋体" w:cs="宋体"/>
                <w:spacing w:val="29"/>
                <w:sz w:val="20"/>
                <w:szCs w:val="20"/>
                <w14:textOutline w14:w="3797" w14:cap="sq" w14:cmpd="sng" w14:algn="ctr">
                  <w14:solidFill>
                    <w14:srgbClr w14:val="000000"/>
                  </w14:solidFill>
                  <w14:prstDash w14:val="solid"/>
                  <w14:bevel/>
                </w14:textOutline>
              </w:rPr>
              <w:t>(</w:t>
            </w:r>
            <w:r>
              <w:rPr>
                <w:rFonts w:ascii="宋体" w:hAnsi="宋体" w:eastAsia="宋体" w:cs="宋体"/>
                <w:spacing w:val="28"/>
                <w:sz w:val="20"/>
                <w:szCs w:val="20"/>
                <w14:textOutline w14:w="3797" w14:cap="sq" w14:cmpd="sng" w14:algn="ctr">
                  <w14:solidFill>
                    <w14:srgbClr w14:val="000000"/>
                  </w14:solidFill>
                  <w14:prstDash w14:val="solid"/>
                  <w14:bevel/>
                </w14:textOutline>
              </w:rPr>
              <w:t>设施)</w:t>
            </w:r>
          </w:p>
          <w:p w14:paraId="36EF90A6">
            <w:pPr>
              <w:spacing w:before="25" w:line="230" w:lineRule="auto"/>
              <w:ind w:left="419"/>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名</w:t>
            </w:r>
            <w:r>
              <w:rPr>
                <w:rFonts w:ascii="宋体" w:hAnsi="宋体" w:eastAsia="宋体" w:cs="宋体"/>
                <w:spacing w:val="4"/>
                <w:sz w:val="20"/>
                <w:szCs w:val="20"/>
                <w14:textOutline w14:w="3797" w14:cap="sq" w14:cmpd="sng" w14:algn="ctr">
                  <w14:solidFill>
                    <w14:srgbClr w14:val="000000"/>
                  </w14:solidFill>
                  <w14:prstDash w14:val="solid"/>
                  <w14:bevel/>
                </w14:textOutline>
              </w:rPr>
              <w:t>称</w:t>
            </w:r>
          </w:p>
        </w:tc>
        <w:tc>
          <w:tcPr>
            <w:tcW w:w="740" w:type="dxa"/>
            <w:tcBorders>
              <w:left w:val="single" w:color="000000" w:sz="4" w:space="0"/>
              <w:right w:val="single" w:color="000000" w:sz="4" w:space="0"/>
            </w:tcBorders>
          </w:tcPr>
          <w:p w14:paraId="1F8CF5FE">
            <w:pPr>
              <w:spacing w:before="79" w:line="271" w:lineRule="exact"/>
              <w:ind w:left="166"/>
              <w:rPr>
                <w:rFonts w:ascii="宋体" w:hAnsi="宋体" w:eastAsia="宋体" w:cs="宋体"/>
                <w:sz w:val="20"/>
                <w:szCs w:val="20"/>
              </w:rPr>
            </w:pPr>
            <w:r>
              <w:rPr>
                <w:rFonts w:ascii="宋体" w:hAnsi="宋体" w:eastAsia="宋体" w:cs="宋体"/>
                <w:spacing w:val="5"/>
                <w:position w:val="4"/>
                <w:sz w:val="20"/>
                <w:szCs w:val="20"/>
                <w14:textOutline w14:w="3797" w14:cap="sq" w14:cmpd="sng" w14:algn="ctr">
                  <w14:solidFill>
                    <w14:srgbClr w14:val="000000"/>
                  </w14:solidFill>
                  <w14:prstDash w14:val="solid"/>
                  <w14:bevel/>
                </w14:textOutline>
              </w:rPr>
              <w:t>危</w:t>
            </w:r>
            <w:r>
              <w:rPr>
                <w:rFonts w:ascii="宋体" w:hAnsi="宋体" w:eastAsia="宋体" w:cs="宋体"/>
                <w:spacing w:val="4"/>
                <w:position w:val="4"/>
                <w:sz w:val="20"/>
                <w:szCs w:val="20"/>
                <w14:textOutline w14:w="3797" w14:cap="sq" w14:cmpd="sng" w14:algn="ctr">
                  <w14:solidFill>
                    <w14:srgbClr w14:val="000000"/>
                  </w14:solidFill>
                  <w14:prstDash w14:val="solid"/>
                  <w14:bevel/>
                </w14:textOutline>
              </w:rPr>
              <w:t>险</w:t>
            </w:r>
          </w:p>
          <w:p w14:paraId="7DC5C1E6">
            <w:pPr>
              <w:spacing w:line="228" w:lineRule="auto"/>
              <w:ind w:left="162"/>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废物</w:t>
            </w:r>
          </w:p>
          <w:p w14:paraId="26AC9057">
            <w:pPr>
              <w:spacing w:before="26" w:line="230" w:lineRule="auto"/>
              <w:ind w:left="166"/>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名</w:t>
            </w:r>
            <w:r>
              <w:rPr>
                <w:rFonts w:ascii="宋体" w:hAnsi="宋体" w:eastAsia="宋体" w:cs="宋体"/>
                <w:spacing w:val="4"/>
                <w:sz w:val="20"/>
                <w:szCs w:val="20"/>
                <w14:textOutline w14:w="3797" w14:cap="sq" w14:cmpd="sng" w14:algn="ctr">
                  <w14:solidFill>
                    <w14:srgbClr w14:val="000000"/>
                  </w14:solidFill>
                  <w14:prstDash w14:val="solid"/>
                  <w14:bevel/>
                </w14:textOutline>
              </w:rPr>
              <w:t>称</w:t>
            </w:r>
          </w:p>
        </w:tc>
        <w:tc>
          <w:tcPr>
            <w:tcW w:w="798" w:type="dxa"/>
            <w:tcBorders>
              <w:left w:val="single" w:color="000000" w:sz="4" w:space="0"/>
              <w:right w:val="single" w:color="000000" w:sz="4" w:space="0"/>
            </w:tcBorders>
          </w:tcPr>
          <w:p w14:paraId="452A0FC7">
            <w:pPr>
              <w:spacing w:before="79" w:line="271" w:lineRule="exact"/>
              <w:ind w:left="194"/>
              <w:rPr>
                <w:rFonts w:ascii="宋体" w:hAnsi="宋体" w:eastAsia="宋体" w:cs="宋体"/>
                <w:sz w:val="20"/>
                <w:szCs w:val="20"/>
              </w:rPr>
            </w:pPr>
            <w:r>
              <w:rPr>
                <w:rFonts w:ascii="宋体" w:hAnsi="宋体" w:eastAsia="宋体" w:cs="宋体"/>
                <w:spacing w:val="5"/>
                <w:position w:val="4"/>
                <w:sz w:val="20"/>
                <w:szCs w:val="20"/>
                <w14:textOutline w14:w="3797" w14:cap="sq" w14:cmpd="sng" w14:algn="ctr">
                  <w14:solidFill>
                    <w14:srgbClr w14:val="000000"/>
                  </w14:solidFill>
                  <w14:prstDash w14:val="solid"/>
                  <w14:bevel/>
                </w14:textOutline>
              </w:rPr>
              <w:t>危</w:t>
            </w:r>
            <w:r>
              <w:rPr>
                <w:rFonts w:ascii="宋体" w:hAnsi="宋体" w:eastAsia="宋体" w:cs="宋体"/>
                <w:spacing w:val="4"/>
                <w:position w:val="4"/>
                <w:sz w:val="20"/>
                <w:szCs w:val="20"/>
                <w14:textOutline w14:w="3797" w14:cap="sq" w14:cmpd="sng" w14:algn="ctr">
                  <w14:solidFill>
                    <w14:srgbClr w14:val="000000"/>
                  </w14:solidFill>
                  <w14:prstDash w14:val="solid"/>
                  <w14:bevel/>
                </w14:textOutline>
              </w:rPr>
              <w:t>险</w:t>
            </w:r>
          </w:p>
          <w:p w14:paraId="79AC2BA4">
            <w:pPr>
              <w:spacing w:line="228" w:lineRule="auto"/>
              <w:ind w:left="190"/>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废物</w:t>
            </w:r>
          </w:p>
          <w:p w14:paraId="5D13376D">
            <w:pPr>
              <w:spacing w:before="25" w:line="228" w:lineRule="auto"/>
              <w:ind w:left="191"/>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类别</w:t>
            </w:r>
          </w:p>
        </w:tc>
        <w:tc>
          <w:tcPr>
            <w:tcW w:w="1329" w:type="dxa"/>
            <w:tcBorders>
              <w:left w:val="single" w:color="000000" w:sz="4" w:space="0"/>
              <w:right w:val="single" w:color="000000" w:sz="4" w:space="0"/>
            </w:tcBorders>
          </w:tcPr>
          <w:p w14:paraId="45422C63">
            <w:pPr>
              <w:spacing w:before="215" w:line="267" w:lineRule="auto"/>
              <w:ind w:left="560" w:right="133" w:hanging="416"/>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危险废物代</w:t>
            </w:r>
            <w:r>
              <w:rPr>
                <w:rFonts w:ascii="宋体" w:hAnsi="宋体" w:eastAsia="宋体" w:cs="宋体"/>
                <w:sz w:val="20"/>
                <w:szCs w:val="20"/>
              </w:rPr>
              <w:t xml:space="preserve"> </w:t>
            </w:r>
            <w:r>
              <w:rPr>
                <w:rFonts w:ascii="宋体" w:hAnsi="宋体" w:eastAsia="宋体" w:cs="宋体"/>
                <w:spacing w:val="1"/>
                <w:sz w:val="20"/>
                <w:szCs w:val="20"/>
                <w14:textOutline w14:w="3797" w14:cap="sq" w14:cmpd="sng" w14:algn="ctr">
                  <w14:solidFill>
                    <w14:srgbClr w14:val="000000"/>
                  </w14:solidFill>
                  <w14:prstDash w14:val="solid"/>
                  <w14:bevel/>
                </w14:textOutline>
              </w:rPr>
              <w:t>码</w:t>
            </w:r>
          </w:p>
        </w:tc>
        <w:tc>
          <w:tcPr>
            <w:tcW w:w="799" w:type="dxa"/>
            <w:tcBorders>
              <w:left w:val="single" w:color="000000" w:sz="4" w:space="0"/>
              <w:right w:val="single" w:color="000000" w:sz="4" w:space="0"/>
            </w:tcBorders>
          </w:tcPr>
          <w:p w14:paraId="16AD9900">
            <w:pPr>
              <w:spacing w:line="284" w:lineRule="auto"/>
            </w:pPr>
          </w:p>
          <w:p w14:paraId="1CD34FF9">
            <w:pPr>
              <w:spacing w:before="65" w:line="229" w:lineRule="auto"/>
              <w:ind w:left="190"/>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位置</w:t>
            </w:r>
          </w:p>
        </w:tc>
        <w:tc>
          <w:tcPr>
            <w:tcW w:w="747" w:type="dxa"/>
            <w:tcBorders>
              <w:left w:val="single" w:color="000000" w:sz="4" w:space="0"/>
              <w:right w:val="single" w:color="000000" w:sz="4" w:space="0"/>
            </w:tcBorders>
          </w:tcPr>
          <w:p w14:paraId="71AFB50F">
            <w:pPr>
              <w:spacing w:before="216" w:line="271" w:lineRule="exact"/>
              <w:ind w:left="201"/>
              <w:rPr>
                <w:rFonts w:ascii="宋体" w:hAnsi="宋体" w:eastAsia="宋体" w:cs="宋体"/>
                <w:sz w:val="20"/>
                <w:szCs w:val="20"/>
              </w:rPr>
            </w:pPr>
            <w:r>
              <w:rPr>
                <w:rFonts w:ascii="宋体" w:hAnsi="宋体" w:eastAsia="宋体" w:cs="宋体"/>
                <w:spacing w:val="-12"/>
                <w:position w:val="4"/>
                <w:sz w:val="20"/>
                <w:szCs w:val="20"/>
                <w14:textOutline w14:w="3797" w14:cap="sq" w14:cmpd="sng" w14:algn="ctr">
                  <w14:solidFill>
                    <w14:srgbClr w14:val="000000"/>
                  </w14:solidFill>
                  <w14:prstDash w14:val="solid"/>
                  <w14:bevel/>
                </w14:textOutline>
              </w:rPr>
              <w:t>占</w:t>
            </w:r>
            <w:r>
              <w:rPr>
                <w:rFonts w:ascii="宋体" w:hAnsi="宋体" w:eastAsia="宋体" w:cs="宋体"/>
                <w:spacing w:val="-11"/>
                <w:position w:val="4"/>
                <w:sz w:val="20"/>
                <w:szCs w:val="20"/>
                <w14:textOutline w14:w="3797" w14:cap="sq" w14:cmpd="sng" w14:algn="ctr">
                  <w14:solidFill>
                    <w14:srgbClr w14:val="000000"/>
                  </w14:solidFill>
                  <w14:prstDash w14:val="solid"/>
                  <w14:bevel/>
                </w14:textOutline>
              </w:rPr>
              <w:t>地</w:t>
            </w:r>
          </w:p>
          <w:p w14:paraId="7CC1E3BA">
            <w:pPr>
              <w:spacing w:line="228" w:lineRule="auto"/>
              <w:ind w:left="16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面</w:t>
            </w:r>
            <w:r>
              <w:rPr>
                <w:rFonts w:ascii="宋体" w:hAnsi="宋体" w:eastAsia="宋体" w:cs="宋体"/>
                <w:spacing w:val="5"/>
                <w:sz w:val="20"/>
                <w:szCs w:val="20"/>
                <w14:textOutline w14:w="3797" w14:cap="sq" w14:cmpd="sng" w14:algn="ctr">
                  <w14:solidFill>
                    <w14:srgbClr w14:val="000000"/>
                  </w14:solidFill>
                  <w14:prstDash w14:val="solid"/>
                  <w14:bevel/>
                </w14:textOutline>
              </w:rPr>
              <w:t>积</w:t>
            </w:r>
          </w:p>
        </w:tc>
        <w:tc>
          <w:tcPr>
            <w:tcW w:w="1822" w:type="dxa"/>
            <w:tcBorders>
              <w:left w:val="single" w:color="000000" w:sz="4" w:space="0"/>
              <w:right w:val="single" w:color="000000" w:sz="4" w:space="0"/>
            </w:tcBorders>
          </w:tcPr>
          <w:p w14:paraId="354A4A56">
            <w:pPr>
              <w:spacing w:line="283" w:lineRule="auto"/>
            </w:pPr>
          </w:p>
          <w:p w14:paraId="7E129124">
            <w:pPr>
              <w:spacing w:before="65" w:line="228" w:lineRule="auto"/>
              <w:ind w:left="493"/>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贮</w:t>
            </w:r>
            <w:r>
              <w:rPr>
                <w:rFonts w:ascii="宋体" w:hAnsi="宋体" w:eastAsia="宋体" w:cs="宋体"/>
                <w:spacing w:val="8"/>
                <w:sz w:val="20"/>
                <w:szCs w:val="20"/>
                <w14:textOutline w14:w="3797" w14:cap="sq" w14:cmpd="sng" w14:algn="ctr">
                  <w14:solidFill>
                    <w14:srgbClr w14:val="000000"/>
                  </w14:solidFill>
                  <w14:prstDash w14:val="solid"/>
                  <w14:bevel/>
                </w14:textOutline>
              </w:rPr>
              <w:t>存方式</w:t>
            </w:r>
          </w:p>
        </w:tc>
        <w:tc>
          <w:tcPr>
            <w:tcW w:w="911" w:type="dxa"/>
            <w:tcBorders>
              <w:left w:val="single" w:color="000000" w:sz="4" w:space="0"/>
              <w:right w:val="single" w:color="000000" w:sz="4" w:space="0"/>
            </w:tcBorders>
          </w:tcPr>
          <w:p w14:paraId="2957125B">
            <w:pPr>
              <w:spacing w:before="216" w:line="271" w:lineRule="exact"/>
              <w:ind w:left="248"/>
              <w:rPr>
                <w:rFonts w:ascii="宋体" w:hAnsi="宋体" w:eastAsia="宋体" w:cs="宋体"/>
                <w:sz w:val="20"/>
                <w:szCs w:val="20"/>
              </w:rPr>
            </w:pPr>
            <w:r>
              <w:rPr>
                <w:rFonts w:ascii="宋体" w:hAnsi="宋体" w:eastAsia="宋体" w:cs="宋体"/>
                <w:spacing w:val="6"/>
                <w:position w:val="4"/>
                <w:sz w:val="20"/>
                <w:szCs w:val="20"/>
                <w14:textOutline w14:w="3797" w14:cap="sq" w14:cmpd="sng" w14:algn="ctr">
                  <w14:solidFill>
                    <w14:srgbClr w14:val="000000"/>
                  </w14:solidFill>
                  <w14:prstDash w14:val="solid"/>
                  <w14:bevel/>
                </w14:textOutline>
              </w:rPr>
              <w:t>贮</w:t>
            </w:r>
            <w:r>
              <w:rPr>
                <w:rFonts w:ascii="宋体" w:hAnsi="宋体" w:eastAsia="宋体" w:cs="宋体"/>
                <w:spacing w:val="5"/>
                <w:position w:val="4"/>
                <w:sz w:val="20"/>
                <w:szCs w:val="20"/>
                <w14:textOutline w14:w="3797" w14:cap="sq" w14:cmpd="sng" w14:algn="ctr">
                  <w14:solidFill>
                    <w14:srgbClr w14:val="000000"/>
                  </w14:solidFill>
                  <w14:prstDash w14:val="solid"/>
                  <w14:bevel/>
                </w14:textOutline>
              </w:rPr>
              <w:t>存</w:t>
            </w:r>
          </w:p>
          <w:p w14:paraId="0C6805B4">
            <w:pPr>
              <w:spacing w:line="227" w:lineRule="auto"/>
              <w:ind w:left="255"/>
              <w:rPr>
                <w:rFonts w:ascii="宋体" w:hAnsi="宋体" w:eastAsia="宋体" w:cs="宋体"/>
                <w:sz w:val="20"/>
                <w:szCs w:val="20"/>
              </w:rPr>
            </w:pPr>
            <w:r>
              <w:rPr>
                <w:rFonts w:ascii="宋体" w:hAnsi="宋体" w:eastAsia="宋体" w:cs="宋体"/>
                <w:spacing w:val="2"/>
                <w:sz w:val="20"/>
                <w:szCs w:val="20"/>
                <w14:textOutline w14:w="3797" w14:cap="sq" w14:cmpd="sng" w14:algn="ctr">
                  <w14:solidFill>
                    <w14:srgbClr w14:val="000000"/>
                  </w14:solidFill>
                  <w14:prstDash w14:val="solid"/>
                  <w14:bevel/>
                </w14:textOutline>
              </w:rPr>
              <w:t>能</w:t>
            </w:r>
            <w:r>
              <w:rPr>
                <w:rFonts w:ascii="宋体" w:hAnsi="宋体" w:eastAsia="宋体" w:cs="宋体"/>
                <w:spacing w:val="1"/>
                <w:sz w:val="20"/>
                <w:szCs w:val="20"/>
                <w14:textOutline w14:w="3797" w14:cap="sq" w14:cmpd="sng" w14:algn="ctr">
                  <w14:solidFill>
                    <w14:srgbClr w14:val="000000"/>
                  </w14:solidFill>
                  <w14:prstDash w14:val="solid"/>
                  <w14:bevel/>
                </w14:textOutline>
              </w:rPr>
              <w:t>力</w:t>
            </w:r>
          </w:p>
        </w:tc>
        <w:tc>
          <w:tcPr>
            <w:tcW w:w="760" w:type="dxa"/>
            <w:tcBorders>
              <w:left w:val="single" w:color="000000" w:sz="4" w:space="0"/>
              <w:right w:val="nil"/>
            </w:tcBorders>
          </w:tcPr>
          <w:p w14:paraId="0DAF794D">
            <w:pPr>
              <w:spacing w:before="216" w:line="271" w:lineRule="exact"/>
              <w:ind w:left="172"/>
              <w:rPr>
                <w:rFonts w:ascii="宋体" w:hAnsi="宋体" w:eastAsia="宋体" w:cs="宋体"/>
                <w:sz w:val="20"/>
                <w:szCs w:val="20"/>
              </w:rPr>
            </w:pPr>
            <w:r>
              <w:rPr>
                <w:rFonts w:ascii="宋体" w:hAnsi="宋体" w:eastAsia="宋体" w:cs="宋体"/>
                <w:spacing w:val="6"/>
                <w:position w:val="4"/>
                <w:sz w:val="20"/>
                <w:szCs w:val="20"/>
                <w14:textOutline w14:w="3797" w14:cap="sq" w14:cmpd="sng" w14:algn="ctr">
                  <w14:solidFill>
                    <w14:srgbClr w14:val="000000"/>
                  </w14:solidFill>
                  <w14:prstDash w14:val="solid"/>
                  <w14:bevel/>
                </w14:textOutline>
              </w:rPr>
              <w:t>贮</w:t>
            </w:r>
            <w:r>
              <w:rPr>
                <w:rFonts w:ascii="宋体" w:hAnsi="宋体" w:eastAsia="宋体" w:cs="宋体"/>
                <w:spacing w:val="5"/>
                <w:position w:val="4"/>
                <w:sz w:val="20"/>
                <w:szCs w:val="20"/>
                <w14:textOutline w14:w="3797" w14:cap="sq" w14:cmpd="sng" w14:algn="ctr">
                  <w14:solidFill>
                    <w14:srgbClr w14:val="000000"/>
                  </w14:solidFill>
                  <w14:prstDash w14:val="solid"/>
                  <w14:bevel/>
                </w14:textOutline>
              </w:rPr>
              <w:t>存</w:t>
            </w:r>
          </w:p>
          <w:p w14:paraId="1FCD2736">
            <w:pPr>
              <w:spacing w:line="228" w:lineRule="auto"/>
              <w:ind w:left="172"/>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周</w:t>
            </w:r>
            <w:r>
              <w:rPr>
                <w:rFonts w:ascii="宋体" w:hAnsi="宋体" w:eastAsia="宋体" w:cs="宋体"/>
                <w:spacing w:val="5"/>
                <w:sz w:val="20"/>
                <w:szCs w:val="20"/>
                <w14:textOutline w14:w="3797" w14:cap="sq" w14:cmpd="sng" w14:algn="ctr">
                  <w14:solidFill>
                    <w14:srgbClr w14:val="000000"/>
                  </w14:solidFill>
                  <w14:prstDash w14:val="solid"/>
                  <w14:bevel/>
                </w14:textOutline>
              </w:rPr>
              <w:t>期</w:t>
            </w:r>
          </w:p>
        </w:tc>
      </w:tr>
      <w:tr w14:paraId="18B03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3" w:hRule="atLeast"/>
        </w:trPr>
        <w:tc>
          <w:tcPr>
            <w:tcW w:w="559" w:type="dxa"/>
            <w:vMerge w:val="restart"/>
            <w:tcBorders>
              <w:left w:val="nil"/>
              <w:bottom w:val="nil"/>
              <w:right w:val="single" w:color="000000" w:sz="4" w:space="0"/>
            </w:tcBorders>
          </w:tcPr>
          <w:p w14:paraId="11BB0492">
            <w:pPr>
              <w:spacing w:line="478" w:lineRule="auto"/>
            </w:pPr>
          </w:p>
          <w:p w14:paraId="4EAB116E">
            <w:pPr>
              <w:spacing w:before="58" w:line="195" w:lineRule="auto"/>
              <w:ind w:left="250"/>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247" w:type="dxa"/>
            <w:vMerge w:val="restart"/>
            <w:tcBorders>
              <w:left w:val="single" w:color="000000" w:sz="4" w:space="0"/>
              <w:bottom w:val="nil"/>
              <w:right w:val="single" w:color="000000" w:sz="4" w:space="0"/>
            </w:tcBorders>
          </w:tcPr>
          <w:p w14:paraId="13C8923D">
            <w:pPr>
              <w:spacing w:line="299" w:lineRule="auto"/>
            </w:pPr>
          </w:p>
          <w:p w14:paraId="109EE982">
            <w:pPr>
              <w:spacing w:before="65" w:line="267" w:lineRule="auto"/>
              <w:ind w:left="317" w:right="201" w:hanging="102"/>
              <w:rPr>
                <w:rFonts w:ascii="宋体" w:hAnsi="宋体" w:eastAsia="宋体" w:cs="宋体"/>
                <w:sz w:val="20"/>
                <w:szCs w:val="20"/>
              </w:rPr>
            </w:pPr>
            <w:r>
              <w:rPr>
                <w:rFonts w:ascii="宋体" w:hAnsi="宋体" w:eastAsia="宋体" w:cs="宋体"/>
                <w:spacing w:val="5"/>
                <w:sz w:val="20"/>
                <w:szCs w:val="20"/>
              </w:rPr>
              <w:t>医疗废</w:t>
            </w:r>
            <w:r>
              <w:rPr>
                <w:rFonts w:ascii="宋体" w:hAnsi="宋体" w:eastAsia="宋体" w:cs="宋体"/>
                <w:spacing w:val="4"/>
                <w:sz w:val="20"/>
                <w:szCs w:val="20"/>
              </w:rPr>
              <w:t>物</w:t>
            </w:r>
            <w:r>
              <w:rPr>
                <w:rFonts w:ascii="宋体" w:hAnsi="宋体" w:eastAsia="宋体" w:cs="宋体"/>
                <w:sz w:val="20"/>
                <w:szCs w:val="20"/>
              </w:rPr>
              <w:t xml:space="preserve"> </w:t>
            </w:r>
            <w:r>
              <w:rPr>
                <w:rFonts w:ascii="宋体" w:hAnsi="宋体" w:eastAsia="宋体" w:cs="宋体"/>
                <w:spacing w:val="6"/>
                <w:sz w:val="20"/>
                <w:szCs w:val="20"/>
              </w:rPr>
              <w:t>暂</w:t>
            </w:r>
            <w:r>
              <w:rPr>
                <w:rFonts w:ascii="宋体" w:hAnsi="宋体" w:eastAsia="宋体" w:cs="宋体"/>
                <w:spacing w:val="4"/>
                <w:sz w:val="20"/>
                <w:szCs w:val="20"/>
              </w:rPr>
              <w:t>存间</w:t>
            </w:r>
          </w:p>
        </w:tc>
        <w:tc>
          <w:tcPr>
            <w:tcW w:w="740" w:type="dxa"/>
            <w:vMerge w:val="restart"/>
            <w:tcBorders>
              <w:left w:val="single" w:color="000000" w:sz="4" w:space="0"/>
              <w:bottom w:val="nil"/>
              <w:right w:val="single" w:color="000000" w:sz="4" w:space="0"/>
            </w:tcBorders>
          </w:tcPr>
          <w:p w14:paraId="3B70CE4F">
            <w:pPr>
              <w:spacing w:line="299" w:lineRule="auto"/>
            </w:pPr>
          </w:p>
          <w:p w14:paraId="71A77B5F">
            <w:pPr>
              <w:spacing w:before="65" w:line="274" w:lineRule="exact"/>
              <w:ind w:left="173"/>
              <w:rPr>
                <w:rFonts w:ascii="宋体" w:hAnsi="宋体" w:eastAsia="宋体" w:cs="宋体"/>
                <w:sz w:val="20"/>
                <w:szCs w:val="20"/>
              </w:rPr>
            </w:pPr>
            <w:r>
              <w:rPr>
                <w:rFonts w:ascii="宋体" w:hAnsi="宋体" w:eastAsia="宋体" w:cs="宋体"/>
                <w:spacing w:val="-1"/>
                <w:position w:val="4"/>
                <w:sz w:val="20"/>
                <w:szCs w:val="20"/>
              </w:rPr>
              <w:t>医</w:t>
            </w:r>
            <w:r>
              <w:rPr>
                <w:rFonts w:ascii="宋体" w:hAnsi="宋体" w:eastAsia="宋体" w:cs="宋体"/>
                <w:position w:val="4"/>
                <w:sz w:val="20"/>
                <w:szCs w:val="20"/>
              </w:rPr>
              <w:t>疗</w:t>
            </w:r>
          </w:p>
          <w:p w14:paraId="4134E113">
            <w:pPr>
              <w:spacing w:line="228" w:lineRule="auto"/>
              <w:ind w:left="162"/>
              <w:rPr>
                <w:rFonts w:ascii="宋体" w:hAnsi="宋体" w:eastAsia="宋体" w:cs="宋体"/>
                <w:sz w:val="20"/>
                <w:szCs w:val="20"/>
              </w:rPr>
            </w:pPr>
            <w:r>
              <w:rPr>
                <w:rFonts w:ascii="宋体" w:hAnsi="宋体" w:eastAsia="宋体" w:cs="宋体"/>
                <w:spacing w:val="5"/>
                <w:sz w:val="20"/>
                <w:szCs w:val="20"/>
              </w:rPr>
              <w:t>废物</w:t>
            </w:r>
          </w:p>
        </w:tc>
        <w:tc>
          <w:tcPr>
            <w:tcW w:w="798" w:type="dxa"/>
            <w:vMerge w:val="restart"/>
            <w:tcBorders>
              <w:left w:val="single" w:color="000000" w:sz="4" w:space="0"/>
              <w:bottom w:val="nil"/>
              <w:right w:val="single" w:color="000000" w:sz="4" w:space="0"/>
            </w:tcBorders>
          </w:tcPr>
          <w:p w14:paraId="24AB6F98">
            <w:pPr>
              <w:spacing w:before="268" w:line="256" w:lineRule="auto"/>
              <w:ind w:left="190" w:right="125" w:hanging="85"/>
              <w:rPr>
                <w:rFonts w:ascii="宋体" w:hAnsi="宋体" w:eastAsia="宋体" w:cs="宋体"/>
                <w:sz w:val="20"/>
                <w:szCs w:val="20"/>
              </w:rPr>
            </w:pPr>
            <w:r>
              <w:rPr>
                <w:rFonts w:ascii="Times New Roman" w:hAnsi="Times New Roman" w:eastAsia="Times New Roman" w:cs="Times New Roman"/>
                <w:sz w:val="20"/>
                <w:szCs w:val="20"/>
              </w:rPr>
              <w:t>HW</w:t>
            </w:r>
            <w:r>
              <w:rPr>
                <w:rFonts w:ascii="Times New Roman" w:hAnsi="Times New Roman" w:eastAsia="Times New Roman" w:cs="Times New Roman"/>
                <w:spacing w:val="12"/>
                <w:sz w:val="20"/>
                <w:szCs w:val="20"/>
              </w:rPr>
              <w:t>0</w:t>
            </w:r>
            <w:r>
              <w:rPr>
                <w:rFonts w:ascii="Times New Roman" w:hAnsi="Times New Roman" w:eastAsia="Times New Roman" w:cs="Times New Roman"/>
                <w:spacing w:val="11"/>
                <w:sz w:val="20"/>
                <w:szCs w:val="20"/>
              </w:rPr>
              <w:t>1</w:t>
            </w:r>
            <w:r>
              <w:rPr>
                <w:rFonts w:ascii="Times New Roman" w:hAnsi="Times New Roman" w:eastAsia="Times New Roman" w:cs="Times New Roman"/>
                <w:sz w:val="20"/>
                <w:szCs w:val="20"/>
              </w:rPr>
              <w:t xml:space="preserve"> </w:t>
            </w:r>
            <w:r>
              <w:rPr>
                <w:rFonts w:ascii="宋体" w:hAnsi="宋体" w:eastAsia="宋体" w:cs="宋体"/>
                <w:spacing w:val="5"/>
                <w:sz w:val="20"/>
                <w:szCs w:val="20"/>
              </w:rPr>
              <w:t>医疗</w:t>
            </w:r>
            <w:r>
              <w:rPr>
                <w:rFonts w:ascii="宋体" w:hAnsi="宋体" w:eastAsia="宋体" w:cs="宋体"/>
                <w:sz w:val="20"/>
                <w:szCs w:val="20"/>
              </w:rPr>
              <w:t xml:space="preserve"> </w:t>
            </w:r>
            <w:r>
              <w:rPr>
                <w:rFonts w:ascii="宋体" w:hAnsi="宋体" w:eastAsia="宋体" w:cs="宋体"/>
                <w:spacing w:val="5"/>
                <w:sz w:val="20"/>
                <w:szCs w:val="20"/>
              </w:rPr>
              <w:t>废物</w:t>
            </w:r>
          </w:p>
        </w:tc>
        <w:tc>
          <w:tcPr>
            <w:tcW w:w="1329" w:type="dxa"/>
            <w:tcBorders>
              <w:left w:val="single" w:color="000000" w:sz="4" w:space="0"/>
              <w:right w:val="single" w:color="000000" w:sz="4" w:space="0"/>
            </w:tcBorders>
          </w:tcPr>
          <w:p w14:paraId="5FE4DDF4">
            <w:pPr>
              <w:spacing w:before="114" w:line="195" w:lineRule="auto"/>
              <w:ind w:left="182"/>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8</w:t>
            </w:r>
            <w:r>
              <w:rPr>
                <w:rFonts w:ascii="Times New Roman" w:hAnsi="Times New Roman" w:eastAsia="Times New Roman" w:cs="Times New Roman"/>
                <w:spacing w:val="3"/>
                <w:sz w:val="20"/>
                <w:szCs w:val="20"/>
              </w:rPr>
              <w:t>31-002-01</w:t>
            </w:r>
          </w:p>
        </w:tc>
        <w:tc>
          <w:tcPr>
            <w:tcW w:w="799" w:type="dxa"/>
            <w:vMerge w:val="restart"/>
            <w:tcBorders>
              <w:left w:val="single" w:color="000000" w:sz="4" w:space="0"/>
              <w:bottom w:val="nil"/>
              <w:right w:val="single" w:color="000000" w:sz="4" w:space="0"/>
            </w:tcBorders>
          </w:tcPr>
          <w:p w14:paraId="6A23BB45">
            <w:pPr>
              <w:spacing w:line="299" w:lineRule="auto"/>
            </w:pPr>
          </w:p>
          <w:p w14:paraId="77D439E7">
            <w:pPr>
              <w:spacing w:before="65" w:line="274" w:lineRule="exact"/>
              <w:ind w:left="195"/>
              <w:rPr>
                <w:rFonts w:ascii="宋体" w:hAnsi="宋体" w:eastAsia="宋体" w:cs="宋体"/>
                <w:sz w:val="20"/>
                <w:szCs w:val="20"/>
              </w:rPr>
            </w:pPr>
            <w:r>
              <w:rPr>
                <w:rFonts w:ascii="宋体" w:hAnsi="宋体" w:eastAsia="宋体" w:cs="宋体"/>
                <w:spacing w:val="3"/>
                <w:position w:val="4"/>
                <w:sz w:val="20"/>
                <w:szCs w:val="20"/>
              </w:rPr>
              <w:t>办</w:t>
            </w:r>
            <w:r>
              <w:rPr>
                <w:rFonts w:ascii="宋体" w:hAnsi="宋体" w:eastAsia="宋体" w:cs="宋体"/>
                <w:spacing w:val="2"/>
                <w:position w:val="4"/>
                <w:sz w:val="20"/>
                <w:szCs w:val="20"/>
              </w:rPr>
              <w:t>公</w:t>
            </w:r>
          </w:p>
          <w:p w14:paraId="23BE4C14">
            <w:pPr>
              <w:spacing w:line="227" w:lineRule="auto"/>
              <w:ind w:left="206"/>
              <w:rPr>
                <w:rFonts w:ascii="宋体" w:hAnsi="宋体" w:eastAsia="宋体" w:cs="宋体"/>
                <w:sz w:val="20"/>
                <w:szCs w:val="20"/>
              </w:rPr>
            </w:pPr>
            <w:r>
              <w:rPr>
                <w:rFonts w:ascii="宋体" w:hAnsi="宋体" w:eastAsia="宋体" w:cs="宋体"/>
                <w:spacing w:val="-3"/>
                <w:sz w:val="20"/>
                <w:szCs w:val="20"/>
              </w:rPr>
              <w:t>区内</w:t>
            </w:r>
          </w:p>
        </w:tc>
        <w:tc>
          <w:tcPr>
            <w:tcW w:w="747" w:type="dxa"/>
            <w:vMerge w:val="restart"/>
            <w:tcBorders>
              <w:left w:val="single" w:color="000000" w:sz="4" w:space="0"/>
              <w:bottom w:val="nil"/>
              <w:right w:val="single" w:color="000000" w:sz="4" w:space="0"/>
            </w:tcBorders>
          </w:tcPr>
          <w:p w14:paraId="56796A2A">
            <w:pPr>
              <w:spacing w:line="458" w:lineRule="auto"/>
            </w:pPr>
          </w:p>
          <w:p w14:paraId="0AEAB15E">
            <w:pPr>
              <w:spacing w:before="58" w:line="216" w:lineRule="auto"/>
              <w:ind w:left="171"/>
              <w:rPr>
                <w:rFonts w:ascii="Times New Roman" w:hAnsi="Times New Roman" w:eastAsia="Times New Roman" w:cs="Times New Roman"/>
                <w:sz w:val="13"/>
                <w:szCs w:val="13"/>
              </w:rPr>
            </w:pPr>
            <w:r>
              <w:rPr>
                <w:rFonts w:ascii="Times New Roman" w:hAnsi="Times New Roman" w:eastAsia="Times New Roman" w:cs="Times New Roman"/>
                <w:spacing w:val="-1"/>
                <w:position w:val="-1"/>
                <w:sz w:val="20"/>
                <w:szCs w:val="20"/>
              </w:rPr>
              <w:t>10</w:t>
            </w:r>
            <w:r>
              <w:rPr>
                <w:rFonts w:ascii="Times New Roman" w:hAnsi="Times New Roman" w:eastAsia="Times New Roman" w:cs="Times New Roman"/>
                <w:position w:val="-1"/>
                <w:sz w:val="20"/>
                <w:szCs w:val="20"/>
              </w:rPr>
              <w:t>m</w:t>
            </w:r>
            <w:r>
              <w:rPr>
                <w:rFonts w:ascii="Times New Roman" w:hAnsi="Times New Roman" w:eastAsia="Times New Roman" w:cs="Times New Roman"/>
                <w:spacing w:val="-1"/>
                <w:position w:val="5"/>
                <w:sz w:val="13"/>
                <w:szCs w:val="13"/>
              </w:rPr>
              <w:t>2</w:t>
            </w:r>
          </w:p>
        </w:tc>
        <w:tc>
          <w:tcPr>
            <w:tcW w:w="1822" w:type="dxa"/>
            <w:vMerge w:val="restart"/>
            <w:tcBorders>
              <w:left w:val="single" w:color="000000" w:sz="4" w:space="0"/>
              <w:bottom w:val="nil"/>
              <w:right w:val="single" w:color="000000" w:sz="4" w:space="0"/>
            </w:tcBorders>
          </w:tcPr>
          <w:p w14:paraId="68A30A09">
            <w:pPr>
              <w:spacing w:before="94" w:line="227" w:lineRule="auto"/>
              <w:ind w:left="178"/>
              <w:rPr>
                <w:rFonts w:ascii="宋体" w:hAnsi="宋体" w:eastAsia="宋体" w:cs="宋体"/>
                <w:sz w:val="20"/>
                <w:szCs w:val="20"/>
              </w:rPr>
            </w:pPr>
            <w:r>
              <w:rPr>
                <w:rFonts w:ascii="宋体" w:hAnsi="宋体" w:eastAsia="宋体" w:cs="宋体"/>
                <w:spacing w:val="12"/>
                <w:sz w:val="20"/>
                <w:szCs w:val="20"/>
              </w:rPr>
              <w:t>针</w:t>
            </w:r>
            <w:r>
              <w:rPr>
                <w:rFonts w:ascii="宋体" w:hAnsi="宋体" w:eastAsia="宋体" w:cs="宋体"/>
                <w:spacing w:val="8"/>
                <w:sz w:val="20"/>
                <w:szCs w:val="20"/>
              </w:rPr>
              <w:t>头等锐器采用</w:t>
            </w:r>
          </w:p>
          <w:p w14:paraId="51C4DF86">
            <w:pPr>
              <w:spacing w:before="25" w:line="228" w:lineRule="auto"/>
              <w:ind w:left="124"/>
              <w:rPr>
                <w:rFonts w:ascii="宋体" w:hAnsi="宋体" w:eastAsia="宋体" w:cs="宋体"/>
                <w:sz w:val="20"/>
                <w:szCs w:val="20"/>
              </w:rPr>
            </w:pPr>
            <w:r>
              <w:rPr>
                <w:rFonts w:ascii="宋体" w:hAnsi="宋体" w:eastAsia="宋体" w:cs="宋体"/>
                <w:spacing w:val="-2"/>
                <w:sz w:val="20"/>
                <w:szCs w:val="20"/>
              </w:rPr>
              <w:t>防漏、防刺的专用</w:t>
            </w:r>
          </w:p>
          <w:p w14:paraId="08BFF2DF">
            <w:pPr>
              <w:spacing w:before="24" w:line="228" w:lineRule="auto"/>
              <w:ind w:left="112"/>
              <w:rPr>
                <w:rFonts w:ascii="宋体" w:hAnsi="宋体" w:eastAsia="宋体" w:cs="宋体"/>
                <w:sz w:val="20"/>
                <w:szCs w:val="20"/>
              </w:rPr>
            </w:pPr>
            <w:r>
              <w:rPr>
                <w:rFonts w:ascii="宋体" w:hAnsi="宋体" w:eastAsia="宋体" w:cs="宋体"/>
                <w:spacing w:val="-1"/>
                <w:sz w:val="20"/>
                <w:szCs w:val="20"/>
              </w:rPr>
              <w:t>锐器容器</w:t>
            </w:r>
            <w:r>
              <w:rPr>
                <w:rFonts w:ascii="宋体" w:hAnsi="宋体" w:eastAsia="宋体" w:cs="宋体"/>
                <w:sz w:val="20"/>
                <w:szCs w:val="20"/>
              </w:rPr>
              <w:t>，其余采</w:t>
            </w:r>
          </w:p>
          <w:p w14:paraId="46D50AA9">
            <w:pPr>
              <w:spacing w:before="26" w:line="228" w:lineRule="auto"/>
              <w:ind w:left="285"/>
              <w:rPr>
                <w:rFonts w:ascii="宋体" w:hAnsi="宋体" w:eastAsia="宋体" w:cs="宋体"/>
                <w:sz w:val="20"/>
                <w:szCs w:val="20"/>
              </w:rPr>
            </w:pPr>
            <w:r>
              <w:rPr>
                <w:rFonts w:ascii="宋体" w:hAnsi="宋体" w:eastAsia="宋体" w:cs="宋体"/>
                <w:spacing w:val="8"/>
                <w:sz w:val="20"/>
                <w:szCs w:val="20"/>
              </w:rPr>
              <w:t>用专用废物</w:t>
            </w:r>
            <w:r>
              <w:rPr>
                <w:rFonts w:ascii="宋体" w:hAnsi="宋体" w:eastAsia="宋体" w:cs="宋体"/>
                <w:spacing w:val="7"/>
                <w:sz w:val="20"/>
                <w:szCs w:val="20"/>
              </w:rPr>
              <w:t>袋</w:t>
            </w:r>
          </w:p>
        </w:tc>
        <w:tc>
          <w:tcPr>
            <w:tcW w:w="911" w:type="dxa"/>
            <w:vMerge w:val="restart"/>
            <w:tcBorders>
              <w:left w:val="single" w:color="000000" w:sz="4" w:space="0"/>
              <w:bottom w:val="nil"/>
              <w:right w:val="single" w:color="000000" w:sz="4" w:space="0"/>
            </w:tcBorders>
          </w:tcPr>
          <w:p w14:paraId="7606D154">
            <w:pPr>
              <w:spacing w:line="405" w:lineRule="auto"/>
            </w:pPr>
          </w:p>
          <w:p w14:paraId="7E997ED8">
            <w:pPr>
              <w:spacing w:before="57" w:line="282" w:lineRule="exact"/>
              <w:ind w:left="211"/>
              <w:rPr>
                <w:rFonts w:ascii="Times New Roman" w:hAnsi="Times New Roman" w:eastAsia="Times New Roman" w:cs="Times New Roman"/>
                <w:sz w:val="20"/>
                <w:szCs w:val="20"/>
              </w:rPr>
            </w:pPr>
            <w:r>
              <w:rPr>
                <w:rFonts w:ascii="Times New Roman" w:hAnsi="Times New Roman" w:eastAsia="Times New Roman" w:cs="Times New Roman"/>
                <w:position w:val="4"/>
                <w:sz w:val="20"/>
                <w:szCs w:val="20"/>
              </w:rPr>
              <w:t>100kg</w:t>
            </w:r>
          </w:p>
        </w:tc>
        <w:tc>
          <w:tcPr>
            <w:tcW w:w="760" w:type="dxa"/>
            <w:vMerge w:val="restart"/>
            <w:tcBorders>
              <w:left w:val="single" w:color="000000" w:sz="4" w:space="0"/>
              <w:bottom w:val="nil"/>
              <w:right w:val="nil"/>
            </w:tcBorders>
          </w:tcPr>
          <w:p w14:paraId="61A42412">
            <w:pPr>
              <w:spacing w:line="299" w:lineRule="auto"/>
            </w:pPr>
          </w:p>
          <w:p w14:paraId="7108AD43">
            <w:pPr>
              <w:spacing w:before="65" w:line="274" w:lineRule="exact"/>
              <w:ind w:left="214"/>
              <w:rPr>
                <w:rFonts w:ascii="宋体" w:hAnsi="宋体" w:eastAsia="宋体" w:cs="宋体"/>
                <w:sz w:val="20"/>
                <w:szCs w:val="20"/>
              </w:rPr>
            </w:pPr>
            <w:r>
              <w:rPr>
                <w:rFonts w:ascii="Times New Roman" w:hAnsi="Times New Roman" w:eastAsia="Times New Roman" w:cs="Times New Roman"/>
                <w:spacing w:val="-4"/>
                <w:position w:val="4"/>
                <w:sz w:val="20"/>
                <w:szCs w:val="20"/>
              </w:rPr>
              <w:t>1</w:t>
            </w:r>
            <w:r>
              <w:rPr>
                <w:rFonts w:ascii="Times New Roman" w:hAnsi="Times New Roman" w:eastAsia="Times New Roman" w:cs="Times New Roman"/>
                <w:spacing w:val="-2"/>
                <w:position w:val="4"/>
                <w:sz w:val="20"/>
                <w:szCs w:val="20"/>
              </w:rPr>
              <w:t xml:space="preserve"> </w:t>
            </w:r>
            <w:r>
              <w:rPr>
                <w:rFonts w:ascii="宋体" w:hAnsi="宋体" w:eastAsia="宋体" w:cs="宋体"/>
                <w:spacing w:val="-2"/>
                <w:position w:val="4"/>
                <w:sz w:val="20"/>
                <w:szCs w:val="20"/>
              </w:rPr>
              <w:t>个</w:t>
            </w:r>
          </w:p>
          <w:p w14:paraId="74EBE4AA">
            <w:pPr>
              <w:spacing w:line="227" w:lineRule="auto"/>
              <w:ind w:left="282"/>
              <w:rPr>
                <w:rFonts w:ascii="宋体" w:hAnsi="宋体" w:eastAsia="宋体" w:cs="宋体"/>
                <w:sz w:val="20"/>
                <w:szCs w:val="20"/>
              </w:rPr>
            </w:pPr>
            <w:r>
              <w:rPr>
                <w:rFonts w:ascii="宋体" w:hAnsi="宋体" w:eastAsia="宋体" w:cs="宋体"/>
                <w:sz w:val="20"/>
                <w:szCs w:val="20"/>
              </w:rPr>
              <w:t>月</w:t>
            </w:r>
          </w:p>
        </w:tc>
      </w:tr>
      <w:tr w14:paraId="0B7A8C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559" w:type="dxa"/>
            <w:vMerge w:val="continue"/>
            <w:tcBorders>
              <w:top w:val="nil"/>
              <w:left w:val="nil"/>
              <w:right w:val="single" w:color="000000" w:sz="4" w:space="0"/>
            </w:tcBorders>
          </w:tcPr>
          <w:p w14:paraId="3BE2C830"/>
        </w:tc>
        <w:tc>
          <w:tcPr>
            <w:tcW w:w="1247" w:type="dxa"/>
            <w:vMerge w:val="continue"/>
            <w:tcBorders>
              <w:top w:val="nil"/>
              <w:left w:val="single" w:color="000000" w:sz="4" w:space="0"/>
              <w:right w:val="single" w:color="000000" w:sz="4" w:space="0"/>
            </w:tcBorders>
          </w:tcPr>
          <w:p w14:paraId="0626AC03"/>
        </w:tc>
        <w:tc>
          <w:tcPr>
            <w:tcW w:w="740" w:type="dxa"/>
            <w:vMerge w:val="continue"/>
            <w:tcBorders>
              <w:top w:val="nil"/>
              <w:left w:val="single" w:color="000000" w:sz="4" w:space="0"/>
              <w:right w:val="single" w:color="000000" w:sz="4" w:space="0"/>
            </w:tcBorders>
          </w:tcPr>
          <w:p w14:paraId="14A1A903"/>
        </w:tc>
        <w:tc>
          <w:tcPr>
            <w:tcW w:w="798" w:type="dxa"/>
            <w:vMerge w:val="continue"/>
            <w:tcBorders>
              <w:top w:val="nil"/>
              <w:left w:val="single" w:color="000000" w:sz="4" w:space="0"/>
              <w:right w:val="single" w:color="000000" w:sz="4" w:space="0"/>
            </w:tcBorders>
          </w:tcPr>
          <w:p w14:paraId="18DD9B3A"/>
        </w:tc>
        <w:tc>
          <w:tcPr>
            <w:tcW w:w="1329" w:type="dxa"/>
            <w:tcBorders>
              <w:left w:val="single" w:color="000000" w:sz="4" w:space="0"/>
              <w:right w:val="single" w:color="000000" w:sz="4" w:space="0"/>
            </w:tcBorders>
          </w:tcPr>
          <w:p w14:paraId="0898D052">
            <w:pPr>
              <w:spacing w:before="238" w:line="195" w:lineRule="auto"/>
              <w:ind w:left="182"/>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8</w:t>
            </w:r>
            <w:r>
              <w:rPr>
                <w:rFonts w:ascii="Times New Roman" w:hAnsi="Times New Roman" w:eastAsia="Times New Roman" w:cs="Times New Roman"/>
                <w:spacing w:val="3"/>
                <w:sz w:val="20"/>
                <w:szCs w:val="20"/>
              </w:rPr>
              <w:t>31-002-01</w:t>
            </w:r>
          </w:p>
        </w:tc>
        <w:tc>
          <w:tcPr>
            <w:tcW w:w="799" w:type="dxa"/>
            <w:vMerge w:val="continue"/>
            <w:tcBorders>
              <w:top w:val="nil"/>
              <w:left w:val="single" w:color="000000" w:sz="4" w:space="0"/>
              <w:right w:val="single" w:color="000000" w:sz="4" w:space="0"/>
            </w:tcBorders>
          </w:tcPr>
          <w:p w14:paraId="697CA1DE"/>
        </w:tc>
        <w:tc>
          <w:tcPr>
            <w:tcW w:w="747" w:type="dxa"/>
            <w:vMerge w:val="continue"/>
            <w:tcBorders>
              <w:top w:val="nil"/>
              <w:left w:val="single" w:color="000000" w:sz="4" w:space="0"/>
              <w:right w:val="single" w:color="000000" w:sz="4" w:space="0"/>
            </w:tcBorders>
          </w:tcPr>
          <w:p w14:paraId="6D5AB7CF"/>
        </w:tc>
        <w:tc>
          <w:tcPr>
            <w:tcW w:w="1822" w:type="dxa"/>
            <w:vMerge w:val="continue"/>
            <w:tcBorders>
              <w:top w:val="nil"/>
              <w:left w:val="single" w:color="000000" w:sz="4" w:space="0"/>
              <w:right w:val="single" w:color="000000" w:sz="4" w:space="0"/>
            </w:tcBorders>
          </w:tcPr>
          <w:p w14:paraId="4C4A6B32"/>
        </w:tc>
        <w:tc>
          <w:tcPr>
            <w:tcW w:w="911" w:type="dxa"/>
            <w:vMerge w:val="continue"/>
            <w:tcBorders>
              <w:top w:val="nil"/>
              <w:left w:val="single" w:color="000000" w:sz="4" w:space="0"/>
              <w:right w:val="single" w:color="000000" w:sz="4" w:space="0"/>
            </w:tcBorders>
          </w:tcPr>
          <w:p w14:paraId="5DFF45B0"/>
        </w:tc>
        <w:tc>
          <w:tcPr>
            <w:tcW w:w="760" w:type="dxa"/>
            <w:vMerge w:val="continue"/>
            <w:tcBorders>
              <w:top w:val="nil"/>
              <w:left w:val="single" w:color="000000" w:sz="4" w:space="0"/>
              <w:right w:val="nil"/>
            </w:tcBorders>
          </w:tcPr>
          <w:p w14:paraId="252159B0"/>
        </w:tc>
      </w:tr>
    </w:tbl>
    <w:p w14:paraId="77627E5C">
      <w:pPr>
        <w:spacing w:before="37" w:line="303" w:lineRule="exact"/>
        <w:ind w:left="594"/>
        <w:rPr>
          <w:rFonts w:ascii="宋体" w:hAnsi="宋体" w:eastAsia="宋体" w:cs="宋体"/>
          <w:sz w:val="23"/>
          <w:szCs w:val="23"/>
        </w:rPr>
      </w:pPr>
      <w:r>
        <w:rPr>
          <w:rFonts w:ascii="Times New Roman" w:hAnsi="Times New Roman" w:eastAsia="Times New Roman" w:cs="Times New Roman"/>
          <w:b/>
          <w:bCs/>
          <w:spacing w:val="-4"/>
          <w:position w:val="1"/>
          <w:sz w:val="23"/>
          <w:szCs w:val="23"/>
        </w:rPr>
        <w:t>4</w:t>
      </w:r>
      <w:r>
        <w:rPr>
          <w:rFonts w:ascii="Times New Roman" w:hAnsi="Times New Roman" w:eastAsia="Times New Roman" w:cs="Times New Roman"/>
          <w:spacing w:val="-3"/>
          <w:position w:val="1"/>
          <w:sz w:val="23"/>
          <w:szCs w:val="23"/>
        </w:rPr>
        <w:t xml:space="preserve"> </w:t>
      </w:r>
      <w:r>
        <w:rPr>
          <w:rFonts w:ascii="宋体" w:hAnsi="宋体" w:eastAsia="宋体" w:cs="宋体"/>
          <w:spacing w:val="-3"/>
          <w:position w:val="1"/>
          <w:sz w:val="23"/>
          <w:szCs w:val="23"/>
          <w14:textOutline w14:w="4356" w14:cap="sq" w14:cmpd="sng" w14:algn="ctr">
            <w14:solidFill>
              <w14:srgbClr w14:val="000000"/>
            </w14:solidFill>
            <w14:prstDash w14:val="solid"/>
            <w14:bevel/>
          </w14:textOutline>
        </w:rPr>
        <w:t>、废垫料</w:t>
      </w:r>
    </w:p>
    <w:p w14:paraId="189681D7">
      <w:pPr>
        <w:spacing w:before="162" w:line="375" w:lineRule="auto"/>
        <w:ind w:left="118" w:right="26" w:firstLine="483"/>
        <w:rPr>
          <w:rFonts w:ascii="宋体" w:hAnsi="宋体" w:eastAsia="宋体" w:cs="宋体"/>
          <w:sz w:val="23"/>
          <w:szCs w:val="23"/>
        </w:rPr>
      </w:pPr>
      <w:r>
        <w:rPr>
          <w:rFonts w:ascii="宋体" w:hAnsi="宋体" w:eastAsia="宋体" w:cs="宋体"/>
          <w:spacing w:val="-1"/>
          <w:sz w:val="23"/>
          <w:szCs w:val="23"/>
        </w:rPr>
        <w:t xml:space="preserve">发酵床废垫料每 </w:t>
      </w:r>
      <w:r>
        <w:rPr>
          <w:rFonts w:ascii="Times New Roman" w:hAnsi="Times New Roman" w:eastAsia="Times New Roman" w:cs="Times New Roman"/>
          <w:spacing w:val="-1"/>
          <w:sz w:val="23"/>
          <w:szCs w:val="23"/>
        </w:rPr>
        <w:t xml:space="preserve">1.5 </w:t>
      </w:r>
      <w:r>
        <w:rPr>
          <w:rFonts w:ascii="宋体" w:hAnsi="宋体" w:eastAsia="宋体" w:cs="宋体"/>
          <w:spacing w:val="-1"/>
          <w:sz w:val="23"/>
          <w:szCs w:val="23"/>
        </w:rPr>
        <w:t>年清理一次，腐熟粪污及垫料全</w:t>
      </w:r>
      <w:r>
        <w:rPr>
          <w:rFonts w:ascii="宋体" w:hAnsi="宋体" w:eastAsia="宋体" w:cs="宋体"/>
          <w:sz w:val="23"/>
          <w:szCs w:val="23"/>
        </w:rPr>
        <w:t xml:space="preserve">部一起清理，每次清理量为 </w:t>
      </w:r>
      <w:r>
        <w:rPr>
          <w:rFonts w:ascii="Times New Roman" w:hAnsi="Times New Roman" w:eastAsia="Times New Roman" w:cs="Times New Roman"/>
          <w:sz w:val="23"/>
          <w:szCs w:val="23"/>
        </w:rPr>
        <w:t>2000m</w:t>
      </w:r>
      <w:r>
        <w:rPr>
          <w:rFonts w:ascii="Times New Roman" w:hAnsi="Times New Roman" w:eastAsia="Times New Roman" w:cs="Times New Roman"/>
          <w:position w:val="7"/>
          <w:sz w:val="15"/>
          <w:szCs w:val="15"/>
        </w:rPr>
        <w:t>3</w:t>
      </w:r>
      <w:r>
        <w:rPr>
          <w:rFonts w:ascii="宋体" w:hAnsi="宋体" w:eastAsia="宋体" w:cs="宋体"/>
          <w:sz w:val="23"/>
          <w:szCs w:val="23"/>
        </w:rPr>
        <w:t xml:space="preserve">。 </w:t>
      </w:r>
      <w:r>
        <w:rPr>
          <w:rFonts w:ascii="宋体" w:hAnsi="宋体" w:eastAsia="宋体" w:cs="宋体"/>
          <w:spacing w:val="21"/>
          <w:sz w:val="23"/>
          <w:szCs w:val="23"/>
        </w:rPr>
        <w:t>项</w:t>
      </w:r>
      <w:r>
        <w:rPr>
          <w:rFonts w:ascii="宋体" w:hAnsi="宋体" w:eastAsia="宋体" w:cs="宋体"/>
          <w:spacing w:val="13"/>
          <w:sz w:val="23"/>
          <w:szCs w:val="23"/>
        </w:rPr>
        <w:t>目产生的腐熟垫料混合物优先出售给有机肥厂加工成有机肥或由有机肥厂安排运输车辆</w:t>
      </w:r>
      <w:r>
        <w:rPr>
          <w:rFonts w:ascii="宋体" w:hAnsi="宋体" w:eastAsia="宋体" w:cs="宋体"/>
          <w:sz w:val="23"/>
          <w:szCs w:val="23"/>
        </w:rPr>
        <w:t xml:space="preserve"> </w:t>
      </w:r>
      <w:r>
        <w:rPr>
          <w:rFonts w:ascii="宋体" w:hAnsi="宋体" w:eastAsia="宋体" w:cs="宋体"/>
          <w:spacing w:val="4"/>
          <w:sz w:val="23"/>
          <w:szCs w:val="23"/>
        </w:rPr>
        <w:t>清</w:t>
      </w:r>
      <w:r>
        <w:rPr>
          <w:rFonts w:ascii="宋体" w:hAnsi="宋体" w:eastAsia="宋体" w:cs="宋体"/>
          <w:spacing w:val="3"/>
          <w:sz w:val="23"/>
          <w:szCs w:val="23"/>
        </w:rPr>
        <w:t>运。</w:t>
      </w:r>
    </w:p>
    <w:p w14:paraId="60FFD6AB">
      <w:pPr>
        <w:spacing w:line="303" w:lineRule="exact"/>
        <w:ind w:left="596"/>
        <w:rPr>
          <w:rFonts w:ascii="宋体" w:hAnsi="宋体" w:eastAsia="宋体" w:cs="宋体"/>
          <w:sz w:val="23"/>
          <w:szCs w:val="23"/>
        </w:rPr>
      </w:pPr>
      <w:r>
        <w:rPr>
          <w:rFonts w:ascii="Times New Roman" w:hAnsi="Times New Roman" w:eastAsia="Times New Roman" w:cs="Times New Roman"/>
          <w:b/>
          <w:bCs/>
          <w:spacing w:val="-1"/>
          <w:position w:val="2"/>
          <w:sz w:val="23"/>
          <w:szCs w:val="23"/>
        </w:rPr>
        <w:t>5</w:t>
      </w:r>
      <w:r>
        <w:rPr>
          <w:rFonts w:ascii="Times New Roman" w:hAnsi="Times New Roman" w:eastAsia="Times New Roman" w:cs="Times New Roman"/>
          <w:spacing w:val="-1"/>
          <w:position w:val="2"/>
          <w:sz w:val="23"/>
          <w:szCs w:val="23"/>
        </w:rPr>
        <w:t xml:space="preserve"> </w:t>
      </w:r>
      <w:r>
        <w:rPr>
          <w:rFonts w:ascii="宋体" w:hAnsi="宋体" w:eastAsia="宋体" w:cs="宋体"/>
          <w:spacing w:val="-1"/>
          <w:position w:val="2"/>
          <w:sz w:val="23"/>
          <w:szCs w:val="23"/>
          <w14:textOutline w14:w="4356" w14:cap="sq" w14:cmpd="sng" w14:algn="ctr">
            <w14:solidFill>
              <w14:srgbClr w14:val="000000"/>
            </w14:solidFill>
            <w14:prstDash w14:val="solid"/>
            <w14:bevel/>
          </w14:textOutline>
        </w:rPr>
        <w:t>、废饲料</w:t>
      </w:r>
      <w:r>
        <w:rPr>
          <w:rFonts w:ascii="宋体" w:hAnsi="宋体" w:eastAsia="宋体" w:cs="宋体"/>
          <w:position w:val="2"/>
          <w:sz w:val="23"/>
          <w:szCs w:val="23"/>
          <w14:textOutline w14:w="4356" w14:cap="sq" w14:cmpd="sng" w14:algn="ctr">
            <w14:solidFill>
              <w14:srgbClr w14:val="000000"/>
            </w14:solidFill>
            <w14:prstDash w14:val="solid"/>
            <w14:bevel/>
          </w14:textOutline>
        </w:rPr>
        <w:t>袋</w:t>
      </w:r>
    </w:p>
    <w:p w14:paraId="51DB357D">
      <w:pPr>
        <w:spacing w:before="162" w:line="376" w:lineRule="auto"/>
        <w:ind w:left="120" w:right="108" w:firstLine="481"/>
        <w:rPr>
          <w:rFonts w:ascii="宋体" w:hAnsi="宋体" w:eastAsia="宋体" w:cs="宋体"/>
          <w:sz w:val="23"/>
          <w:szCs w:val="23"/>
        </w:rPr>
      </w:pPr>
      <w:r>
        <w:rPr>
          <w:rFonts w:ascii="宋体" w:hAnsi="宋体" w:eastAsia="宋体" w:cs="宋体"/>
          <w:spacing w:val="7"/>
          <w:sz w:val="23"/>
          <w:szCs w:val="23"/>
        </w:rPr>
        <w:t>项目主要外购正邦集团生产的饲料，袋装后运输至厂区，将产生一定的废包装袋，收</w:t>
      </w:r>
      <w:r>
        <w:rPr>
          <w:rFonts w:ascii="宋体" w:hAnsi="宋体" w:eastAsia="宋体" w:cs="宋体"/>
          <w:spacing w:val="2"/>
          <w:sz w:val="23"/>
          <w:szCs w:val="23"/>
        </w:rPr>
        <w:t>集</w:t>
      </w:r>
      <w:r>
        <w:rPr>
          <w:rFonts w:ascii="宋体" w:hAnsi="宋体" w:eastAsia="宋体" w:cs="宋体"/>
          <w:sz w:val="23"/>
          <w:szCs w:val="23"/>
        </w:rPr>
        <w:t xml:space="preserve"> </w:t>
      </w:r>
      <w:r>
        <w:rPr>
          <w:rFonts w:ascii="宋体" w:hAnsi="宋体" w:eastAsia="宋体" w:cs="宋体"/>
          <w:spacing w:val="18"/>
          <w:sz w:val="23"/>
          <w:szCs w:val="23"/>
        </w:rPr>
        <w:t>后</w:t>
      </w:r>
      <w:r>
        <w:rPr>
          <w:rFonts w:ascii="宋体" w:hAnsi="宋体" w:eastAsia="宋体" w:cs="宋体"/>
          <w:spacing w:val="11"/>
          <w:sz w:val="23"/>
          <w:szCs w:val="23"/>
        </w:rPr>
        <w:t>由</w:t>
      </w:r>
      <w:r>
        <w:rPr>
          <w:rFonts w:ascii="宋体" w:hAnsi="宋体" w:eastAsia="宋体" w:cs="宋体"/>
          <w:spacing w:val="9"/>
          <w:sz w:val="23"/>
          <w:szCs w:val="23"/>
        </w:rPr>
        <w:t>正邦集团回收利用。废饲料袋综合利用，节约了资源，技术经济可行。</w:t>
      </w:r>
    </w:p>
    <w:p w14:paraId="619FCE4E">
      <w:pPr>
        <w:spacing w:line="303" w:lineRule="exact"/>
        <w:ind w:left="597"/>
        <w:rPr>
          <w:rFonts w:ascii="宋体" w:hAnsi="宋体" w:eastAsia="宋体" w:cs="宋体"/>
          <w:sz w:val="23"/>
          <w:szCs w:val="23"/>
        </w:rPr>
      </w:pPr>
      <w:r>
        <w:rPr>
          <w:rFonts w:ascii="Times New Roman" w:hAnsi="Times New Roman" w:eastAsia="Times New Roman" w:cs="Times New Roman"/>
          <w:b/>
          <w:bCs/>
          <w:spacing w:val="2"/>
          <w:position w:val="1"/>
          <w:sz w:val="23"/>
          <w:szCs w:val="23"/>
        </w:rPr>
        <w:t>6</w:t>
      </w:r>
      <w:r>
        <w:rPr>
          <w:rFonts w:ascii="Times New Roman" w:hAnsi="Times New Roman" w:eastAsia="Times New Roman" w:cs="Times New Roman"/>
          <w:spacing w:val="2"/>
          <w:position w:val="1"/>
          <w:sz w:val="23"/>
          <w:szCs w:val="23"/>
        </w:rPr>
        <w:t xml:space="preserve"> </w:t>
      </w:r>
      <w:r>
        <w:rPr>
          <w:rFonts w:ascii="宋体" w:hAnsi="宋体" w:eastAsia="宋体" w:cs="宋体"/>
          <w:spacing w:val="2"/>
          <w:position w:val="1"/>
          <w:sz w:val="23"/>
          <w:szCs w:val="23"/>
          <w14:textOutline w14:w="4356" w14:cap="sq" w14:cmpd="sng" w14:algn="ctr">
            <w14:solidFill>
              <w14:srgbClr w14:val="000000"/>
            </w14:solidFill>
            <w14:prstDash w14:val="solid"/>
            <w14:bevel/>
          </w14:textOutline>
        </w:rPr>
        <w:t>、生</w:t>
      </w:r>
      <w:r>
        <w:rPr>
          <w:rFonts w:ascii="宋体" w:hAnsi="宋体" w:eastAsia="宋体" w:cs="宋体"/>
          <w:spacing w:val="1"/>
          <w:position w:val="1"/>
          <w:sz w:val="23"/>
          <w:szCs w:val="23"/>
          <w14:textOutline w14:w="4356" w14:cap="sq" w14:cmpd="sng" w14:algn="ctr">
            <w14:solidFill>
              <w14:srgbClr w14:val="000000"/>
            </w14:solidFill>
            <w14:prstDash w14:val="solid"/>
            <w14:bevel/>
          </w14:textOutline>
        </w:rPr>
        <w:t>活办公垃圾</w:t>
      </w:r>
    </w:p>
    <w:p w14:paraId="4ABA74A1">
      <w:pPr>
        <w:sectPr>
          <w:headerReference r:id="rId263" w:type="default"/>
          <w:footerReference r:id="rId264" w:type="default"/>
          <w:pgSz w:w="11906" w:h="16839"/>
          <w:pgMar w:top="1113" w:right="1025" w:bottom="1156" w:left="1168" w:header="878" w:footer="994" w:gutter="0"/>
          <w:cols w:space="720" w:num="1"/>
        </w:sectPr>
      </w:pPr>
    </w:p>
    <w:p w14:paraId="6E192CB6">
      <w:pPr>
        <w:spacing w:before="197" w:line="375" w:lineRule="auto"/>
        <w:ind w:left="18" w:right="82" w:firstLine="470"/>
        <w:rPr>
          <w:rFonts w:ascii="宋体" w:hAnsi="宋体" w:eastAsia="宋体" w:cs="宋体"/>
          <w:sz w:val="23"/>
          <w:szCs w:val="23"/>
        </w:rPr>
      </w:pPr>
      <w:r>
        <w:rPr>
          <w:rFonts w:ascii="宋体" w:hAnsi="宋体" w:eastAsia="宋体" w:cs="宋体"/>
          <w:spacing w:val="7"/>
          <w:sz w:val="23"/>
          <w:szCs w:val="23"/>
        </w:rPr>
        <w:t>场区内设置生活垃圾桶内衬塑料袋收集生活垃圾，生活垃圾集中收集后，送至乡镇垃</w:t>
      </w:r>
      <w:r>
        <w:rPr>
          <w:rFonts w:ascii="宋体" w:hAnsi="宋体" w:eastAsia="宋体" w:cs="宋体"/>
          <w:spacing w:val="6"/>
          <w:sz w:val="23"/>
          <w:szCs w:val="23"/>
        </w:rPr>
        <w:t>圾</w:t>
      </w:r>
      <w:r>
        <w:rPr>
          <w:rFonts w:ascii="宋体" w:hAnsi="宋体" w:eastAsia="宋体" w:cs="宋体"/>
          <w:sz w:val="23"/>
          <w:szCs w:val="23"/>
        </w:rPr>
        <w:t xml:space="preserve"> </w:t>
      </w:r>
      <w:r>
        <w:rPr>
          <w:rFonts w:ascii="宋体" w:hAnsi="宋体" w:eastAsia="宋体" w:cs="宋体"/>
          <w:spacing w:val="16"/>
          <w:sz w:val="23"/>
          <w:szCs w:val="23"/>
        </w:rPr>
        <w:t>收</w:t>
      </w:r>
      <w:r>
        <w:rPr>
          <w:rFonts w:ascii="宋体" w:hAnsi="宋体" w:eastAsia="宋体" w:cs="宋体"/>
          <w:spacing w:val="10"/>
          <w:sz w:val="23"/>
          <w:szCs w:val="23"/>
        </w:rPr>
        <w:t>集</w:t>
      </w:r>
      <w:r>
        <w:rPr>
          <w:rFonts w:ascii="宋体" w:hAnsi="宋体" w:eastAsia="宋体" w:cs="宋体"/>
          <w:spacing w:val="8"/>
          <w:sz w:val="23"/>
          <w:szCs w:val="23"/>
        </w:rPr>
        <w:t>点，交由当地环卫部门统一清运处理。</w:t>
      </w:r>
    </w:p>
    <w:p w14:paraId="56D5355B">
      <w:pPr>
        <w:spacing w:line="228" w:lineRule="auto"/>
        <w:ind w:left="9"/>
        <w:outlineLvl w:val="2"/>
        <w:rPr>
          <w:rFonts w:ascii="宋体" w:hAnsi="宋体" w:eastAsia="宋体" w:cs="宋体"/>
          <w:sz w:val="23"/>
          <w:szCs w:val="23"/>
        </w:rPr>
      </w:pPr>
      <w:r>
        <w:rPr>
          <w:rFonts w:ascii="Times New Roman" w:hAnsi="Times New Roman" w:eastAsia="Times New Roman" w:cs="Times New Roman"/>
          <w:b/>
          <w:bCs/>
          <w:spacing w:val="7"/>
          <w:sz w:val="23"/>
          <w:szCs w:val="23"/>
        </w:rPr>
        <w:t>6.2.6</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土壤环境保护措</w:t>
      </w:r>
      <w:r>
        <w:rPr>
          <w:rFonts w:ascii="宋体" w:hAnsi="宋体" w:eastAsia="宋体" w:cs="宋体"/>
          <w:spacing w:val="5"/>
          <w:sz w:val="23"/>
          <w:szCs w:val="23"/>
          <w14:textOutline w14:w="4356" w14:cap="sq" w14:cmpd="sng" w14:algn="ctr">
            <w14:solidFill>
              <w14:srgbClr w14:val="000000"/>
            </w14:solidFill>
            <w14:prstDash w14:val="solid"/>
            <w14:bevel/>
          </w14:textOutline>
        </w:rPr>
        <w:t>施</w:t>
      </w:r>
    </w:p>
    <w:p w14:paraId="4C6CCBFC">
      <w:pPr>
        <w:spacing w:before="180" w:line="376" w:lineRule="auto"/>
        <w:ind w:left="17" w:right="16" w:firstLine="484"/>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5"/>
          <w:sz w:val="23"/>
          <w:szCs w:val="23"/>
        </w:rPr>
        <w:t>1</w:t>
      </w:r>
      <w:r>
        <w:rPr>
          <w:rFonts w:ascii="宋体" w:hAnsi="宋体" w:eastAsia="宋体" w:cs="宋体"/>
          <w:spacing w:val="12"/>
          <w:sz w:val="23"/>
          <w:szCs w:val="23"/>
        </w:rPr>
        <w:t>) 项目外购的原料均进行成分检测，确保其满足中华人民共和国农业行业标准《无</w:t>
      </w:r>
      <w:r>
        <w:rPr>
          <w:rFonts w:ascii="宋体" w:hAnsi="宋体" w:eastAsia="宋体" w:cs="宋体"/>
          <w:sz w:val="23"/>
          <w:szCs w:val="23"/>
        </w:rPr>
        <w:t xml:space="preserve"> </w:t>
      </w:r>
      <w:r>
        <w:rPr>
          <w:rFonts w:ascii="宋体" w:hAnsi="宋体" w:eastAsia="宋体" w:cs="宋体"/>
          <w:spacing w:val="6"/>
          <w:sz w:val="23"/>
          <w:szCs w:val="23"/>
        </w:rPr>
        <w:t>公害食品生猪饲养饲</w:t>
      </w:r>
      <w:r>
        <w:rPr>
          <w:rFonts w:ascii="宋体" w:hAnsi="宋体" w:eastAsia="宋体" w:cs="宋体"/>
          <w:spacing w:val="3"/>
          <w:sz w:val="23"/>
          <w:szCs w:val="23"/>
        </w:rPr>
        <w:t>料使用准则》 (</w:t>
      </w:r>
      <w:r>
        <w:rPr>
          <w:rFonts w:ascii="Times New Roman" w:hAnsi="Times New Roman" w:eastAsia="Times New Roman" w:cs="Times New Roman"/>
          <w:sz w:val="23"/>
          <w:szCs w:val="23"/>
        </w:rPr>
        <w:t>NY</w:t>
      </w:r>
      <w:r>
        <w:rPr>
          <w:rFonts w:ascii="Times New Roman" w:hAnsi="Times New Roman" w:eastAsia="Times New Roman" w:cs="Times New Roman"/>
          <w:spacing w:val="3"/>
          <w:sz w:val="23"/>
          <w:szCs w:val="23"/>
        </w:rPr>
        <w:t>5032-2001</w:t>
      </w:r>
      <w:r>
        <w:rPr>
          <w:rFonts w:ascii="宋体" w:hAnsi="宋体" w:eastAsia="宋体" w:cs="宋体"/>
          <w:spacing w:val="3"/>
          <w:sz w:val="23"/>
          <w:szCs w:val="23"/>
        </w:rPr>
        <w:t>) ，从源头控制重金属及微生物的允许量，</w:t>
      </w:r>
    </w:p>
    <w:p w14:paraId="04DA59EB">
      <w:pPr>
        <w:spacing w:line="226" w:lineRule="auto"/>
        <w:ind w:left="10"/>
        <w:rPr>
          <w:rFonts w:ascii="宋体" w:hAnsi="宋体" w:eastAsia="宋体" w:cs="宋体"/>
          <w:sz w:val="23"/>
          <w:szCs w:val="23"/>
        </w:rPr>
      </w:pPr>
      <w:r>
        <w:rPr>
          <w:rFonts w:ascii="宋体" w:hAnsi="宋体" w:eastAsia="宋体" w:cs="宋体"/>
          <w:spacing w:val="18"/>
          <w:sz w:val="23"/>
          <w:szCs w:val="23"/>
        </w:rPr>
        <w:t>确保</w:t>
      </w:r>
      <w:r>
        <w:rPr>
          <w:rFonts w:ascii="宋体" w:hAnsi="宋体" w:eastAsia="宋体" w:cs="宋体"/>
          <w:spacing w:val="10"/>
          <w:sz w:val="23"/>
          <w:szCs w:val="23"/>
        </w:rPr>
        <w:t>饲</w:t>
      </w:r>
      <w:r>
        <w:rPr>
          <w:rFonts w:ascii="宋体" w:hAnsi="宋体" w:eastAsia="宋体" w:cs="宋体"/>
          <w:spacing w:val="9"/>
          <w:sz w:val="23"/>
          <w:szCs w:val="23"/>
        </w:rPr>
        <w:t>料中不含兴奋剂、镇静剂和各种违禁药品，保证饲料的清洁性、营养性和安全性；</w:t>
      </w:r>
    </w:p>
    <w:p w14:paraId="47B837E7">
      <w:pPr>
        <w:spacing w:before="141" w:line="383" w:lineRule="auto"/>
        <w:ind w:left="10" w:firstLine="491"/>
        <w:rPr>
          <w:rFonts w:ascii="宋体" w:hAnsi="宋体" w:eastAsia="宋体" w:cs="宋体"/>
          <w:sz w:val="23"/>
          <w:szCs w:val="23"/>
        </w:rPr>
      </w:pPr>
      <w:r>
        <w:rPr>
          <w:rFonts w:ascii="宋体" w:hAnsi="宋体" w:eastAsia="宋体" w:cs="宋体"/>
          <w:spacing w:val="22"/>
          <w:sz w:val="23"/>
          <w:szCs w:val="23"/>
        </w:rPr>
        <w:t>(</w:t>
      </w:r>
      <w:r>
        <w:rPr>
          <w:rFonts w:ascii="Times New Roman" w:hAnsi="Times New Roman" w:eastAsia="Times New Roman" w:cs="Times New Roman"/>
          <w:spacing w:val="13"/>
          <w:sz w:val="23"/>
          <w:szCs w:val="23"/>
        </w:rPr>
        <w:t>2</w:t>
      </w:r>
      <w:r>
        <w:rPr>
          <w:rFonts w:ascii="宋体" w:hAnsi="宋体" w:eastAsia="宋体" w:cs="宋体"/>
          <w:spacing w:val="11"/>
          <w:sz w:val="23"/>
          <w:szCs w:val="23"/>
        </w:rPr>
        <w:t>) 未腐熟或腐熟不够的有机肥， 由于碳氮比 (</w:t>
      </w:r>
      <w:r>
        <w:rPr>
          <w:rFonts w:ascii="Times New Roman" w:hAnsi="Times New Roman" w:eastAsia="Times New Roman" w:cs="Times New Roman"/>
          <w:sz w:val="23"/>
          <w:szCs w:val="23"/>
        </w:rPr>
        <w:t>C</w:t>
      </w:r>
      <w:r>
        <w:rPr>
          <w:rFonts w:ascii="Times New Roman" w:hAnsi="Times New Roman" w:eastAsia="Times New Roman" w:cs="Times New Roman"/>
          <w:spacing w:val="11"/>
          <w:sz w:val="23"/>
          <w:szCs w:val="23"/>
        </w:rPr>
        <w:t>/</w:t>
      </w:r>
      <w:r>
        <w:rPr>
          <w:rFonts w:ascii="Times New Roman" w:hAnsi="Times New Roman" w:eastAsia="Times New Roman" w:cs="Times New Roman"/>
          <w:sz w:val="23"/>
          <w:szCs w:val="23"/>
        </w:rPr>
        <w:t>N</w:t>
      </w:r>
      <w:r>
        <w:rPr>
          <w:rFonts w:ascii="宋体" w:hAnsi="宋体" w:eastAsia="宋体" w:cs="宋体"/>
          <w:spacing w:val="11"/>
          <w:sz w:val="23"/>
          <w:szCs w:val="23"/>
        </w:rPr>
        <w:t>) 过高，土壤微生物难以分解，</w:t>
      </w:r>
      <w:r>
        <w:rPr>
          <w:rFonts w:ascii="宋体" w:hAnsi="宋体" w:eastAsia="宋体" w:cs="宋体"/>
          <w:sz w:val="23"/>
          <w:szCs w:val="23"/>
        </w:rPr>
        <w:t xml:space="preserve"> </w:t>
      </w:r>
      <w:r>
        <w:rPr>
          <w:rFonts w:ascii="宋体" w:hAnsi="宋体" w:eastAsia="宋体" w:cs="宋体"/>
          <w:spacing w:val="6"/>
          <w:sz w:val="23"/>
          <w:szCs w:val="23"/>
        </w:rPr>
        <w:t>作物很难</w:t>
      </w:r>
      <w:r>
        <w:rPr>
          <w:rFonts w:ascii="宋体" w:hAnsi="宋体" w:eastAsia="宋体" w:cs="宋体"/>
          <w:spacing w:val="5"/>
          <w:sz w:val="23"/>
          <w:szCs w:val="23"/>
        </w:rPr>
        <w:t>利</w:t>
      </w:r>
      <w:r>
        <w:rPr>
          <w:rFonts w:ascii="宋体" w:hAnsi="宋体" w:eastAsia="宋体" w:cs="宋体"/>
          <w:spacing w:val="3"/>
          <w:sz w:val="23"/>
          <w:szCs w:val="23"/>
        </w:rPr>
        <w:t>用，而且新鲜的禽畜粪含盐较高，作物不但不吸收，还容易加剧地下害虫的危害。</w:t>
      </w:r>
      <w:r>
        <w:rPr>
          <w:rFonts w:ascii="宋体" w:hAnsi="宋体" w:eastAsia="宋体" w:cs="宋体"/>
          <w:sz w:val="23"/>
          <w:szCs w:val="23"/>
        </w:rPr>
        <w:t xml:space="preserve"> </w:t>
      </w:r>
      <w:r>
        <w:rPr>
          <w:rFonts w:ascii="宋体" w:hAnsi="宋体" w:eastAsia="宋体" w:cs="宋体"/>
          <w:spacing w:val="23"/>
          <w:sz w:val="23"/>
          <w:szCs w:val="23"/>
        </w:rPr>
        <w:t>因</w:t>
      </w:r>
      <w:r>
        <w:rPr>
          <w:rFonts w:ascii="宋体" w:hAnsi="宋体" w:eastAsia="宋体" w:cs="宋体"/>
          <w:spacing w:val="13"/>
          <w:sz w:val="23"/>
          <w:szCs w:val="23"/>
        </w:rPr>
        <w:t>此，粪便经过发酵床处理成为腐熟的有机肥后可供给给周边农民用于周边林地和耕地施</w:t>
      </w:r>
      <w:r>
        <w:rPr>
          <w:rFonts w:ascii="宋体" w:hAnsi="宋体" w:eastAsia="宋体" w:cs="宋体"/>
          <w:sz w:val="23"/>
          <w:szCs w:val="23"/>
        </w:rPr>
        <w:t xml:space="preserve"> </w:t>
      </w:r>
      <w:r>
        <w:rPr>
          <w:rFonts w:ascii="宋体" w:hAnsi="宋体" w:eastAsia="宋体" w:cs="宋体"/>
          <w:spacing w:val="12"/>
          <w:sz w:val="23"/>
          <w:szCs w:val="23"/>
        </w:rPr>
        <w:t>肥</w:t>
      </w:r>
      <w:r>
        <w:rPr>
          <w:rFonts w:ascii="宋体" w:hAnsi="宋体" w:eastAsia="宋体" w:cs="宋体"/>
          <w:spacing w:val="9"/>
          <w:sz w:val="23"/>
          <w:szCs w:val="23"/>
        </w:rPr>
        <w:t>，禁止将未腐熟或腐熟不够的有机肥外售给农民。</w:t>
      </w:r>
    </w:p>
    <w:p w14:paraId="01458737">
      <w:pPr>
        <w:spacing w:line="228" w:lineRule="auto"/>
        <w:ind w:left="9"/>
        <w:outlineLvl w:val="2"/>
        <w:rPr>
          <w:rFonts w:ascii="宋体" w:hAnsi="宋体" w:eastAsia="宋体" w:cs="宋体"/>
          <w:sz w:val="23"/>
          <w:szCs w:val="23"/>
        </w:rPr>
      </w:pPr>
      <w:r>
        <w:rPr>
          <w:rFonts w:ascii="Times New Roman" w:hAnsi="Times New Roman" w:eastAsia="Times New Roman" w:cs="Times New Roman"/>
          <w:b/>
          <w:bCs/>
          <w:spacing w:val="7"/>
          <w:sz w:val="23"/>
          <w:szCs w:val="23"/>
        </w:rPr>
        <w:t>6.2.7</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生态环境保护措</w:t>
      </w:r>
      <w:r>
        <w:rPr>
          <w:rFonts w:ascii="宋体" w:hAnsi="宋体" w:eastAsia="宋体" w:cs="宋体"/>
          <w:spacing w:val="5"/>
          <w:sz w:val="23"/>
          <w:szCs w:val="23"/>
          <w14:textOutline w14:w="4356" w14:cap="sq" w14:cmpd="sng" w14:algn="ctr">
            <w14:solidFill>
              <w14:srgbClr w14:val="000000"/>
            </w14:solidFill>
            <w14:prstDash w14:val="solid"/>
            <w14:bevel/>
          </w14:textOutline>
        </w:rPr>
        <w:t>施</w:t>
      </w:r>
    </w:p>
    <w:p w14:paraId="63610AD7">
      <w:pPr>
        <w:spacing w:before="183" w:line="375" w:lineRule="auto"/>
        <w:ind w:left="11" w:right="82" w:firstLine="482"/>
        <w:rPr>
          <w:rFonts w:ascii="宋体" w:hAnsi="宋体" w:eastAsia="宋体" w:cs="宋体"/>
          <w:sz w:val="23"/>
          <w:szCs w:val="23"/>
        </w:rPr>
      </w:pPr>
      <w:r>
        <w:rPr>
          <w:rFonts w:ascii="宋体" w:hAnsi="宋体" w:eastAsia="宋体" w:cs="宋体"/>
          <w:spacing w:val="7"/>
          <w:sz w:val="23"/>
          <w:szCs w:val="23"/>
        </w:rPr>
        <w:t>项目周围主要为林地、荒草地、果园，区域不涉及生态敏感区，未发现国家及地方重</w:t>
      </w:r>
      <w:r>
        <w:rPr>
          <w:rFonts w:ascii="宋体" w:hAnsi="宋体" w:eastAsia="宋体" w:cs="宋体"/>
          <w:spacing w:val="2"/>
          <w:sz w:val="23"/>
          <w:szCs w:val="23"/>
        </w:rPr>
        <w:t>点</w:t>
      </w:r>
      <w:r>
        <w:rPr>
          <w:rFonts w:ascii="宋体" w:hAnsi="宋体" w:eastAsia="宋体" w:cs="宋体"/>
          <w:sz w:val="23"/>
          <w:szCs w:val="23"/>
        </w:rPr>
        <w:t xml:space="preserve"> </w:t>
      </w:r>
      <w:r>
        <w:rPr>
          <w:rFonts w:ascii="宋体" w:hAnsi="宋体" w:eastAsia="宋体" w:cs="宋体"/>
          <w:spacing w:val="16"/>
          <w:sz w:val="23"/>
          <w:szCs w:val="23"/>
        </w:rPr>
        <w:t>保</w:t>
      </w:r>
      <w:r>
        <w:rPr>
          <w:rFonts w:ascii="宋体" w:hAnsi="宋体" w:eastAsia="宋体" w:cs="宋体"/>
          <w:spacing w:val="11"/>
          <w:sz w:val="23"/>
          <w:szCs w:val="23"/>
        </w:rPr>
        <w:t>护</w:t>
      </w:r>
      <w:r>
        <w:rPr>
          <w:rFonts w:ascii="宋体" w:hAnsi="宋体" w:eastAsia="宋体" w:cs="宋体"/>
          <w:spacing w:val="8"/>
          <w:sz w:val="23"/>
          <w:szCs w:val="23"/>
        </w:rPr>
        <w:t>的野生动植物，生态环境一般。</w:t>
      </w:r>
    </w:p>
    <w:p w14:paraId="1CE9CD59">
      <w:pPr>
        <w:spacing w:line="375" w:lineRule="auto"/>
        <w:ind w:left="11" w:right="35" w:firstLine="524"/>
        <w:rPr>
          <w:rFonts w:ascii="宋体" w:hAnsi="宋体" w:eastAsia="宋体" w:cs="宋体"/>
          <w:sz w:val="23"/>
          <w:szCs w:val="23"/>
        </w:rPr>
      </w:pPr>
      <w:r>
        <w:rPr>
          <w:rFonts w:ascii="宋体" w:hAnsi="宋体" w:eastAsia="宋体" w:cs="宋体"/>
          <w:spacing w:val="7"/>
          <w:sz w:val="23"/>
          <w:szCs w:val="23"/>
        </w:rPr>
        <w:t>目前，国家及地方对畜禽养殖业的生态环境保护未制定相应的政策及行动计划，因此，</w:t>
      </w:r>
      <w:r>
        <w:rPr>
          <w:rFonts w:ascii="宋体" w:hAnsi="宋体" w:eastAsia="宋体" w:cs="宋体"/>
          <w:sz w:val="23"/>
          <w:szCs w:val="23"/>
        </w:rPr>
        <w:t xml:space="preserve"> </w:t>
      </w:r>
      <w:r>
        <w:rPr>
          <w:rFonts w:ascii="宋体" w:hAnsi="宋体" w:eastAsia="宋体" w:cs="宋体"/>
          <w:spacing w:val="11"/>
          <w:sz w:val="23"/>
          <w:szCs w:val="23"/>
        </w:rPr>
        <w:t>项</w:t>
      </w:r>
      <w:r>
        <w:rPr>
          <w:rFonts w:ascii="宋体" w:hAnsi="宋体" w:eastAsia="宋体" w:cs="宋体"/>
          <w:spacing w:val="7"/>
          <w:sz w:val="23"/>
          <w:szCs w:val="23"/>
        </w:rPr>
        <w:t>目在严格执行本环评提出的各项污染防治措施后，各污染物均可达标排放，对区域生态环</w:t>
      </w:r>
      <w:r>
        <w:rPr>
          <w:rFonts w:ascii="宋体" w:hAnsi="宋体" w:eastAsia="宋体" w:cs="宋体"/>
          <w:sz w:val="23"/>
          <w:szCs w:val="23"/>
        </w:rPr>
        <w:t xml:space="preserve"> </w:t>
      </w:r>
      <w:r>
        <w:rPr>
          <w:rFonts w:ascii="宋体" w:hAnsi="宋体" w:eastAsia="宋体" w:cs="宋体"/>
          <w:spacing w:val="9"/>
          <w:sz w:val="23"/>
          <w:szCs w:val="23"/>
        </w:rPr>
        <w:t>境</w:t>
      </w:r>
      <w:r>
        <w:rPr>
          <w:rFonts w:ascii="宋体" w:hAnsi="宋体" w:eastAsia="宋体" w:cs="宋体"/>
          <w:spacing w:val="6"/>
          <w:sz w:val="23"/>
          <w:szCs w:val="23"/>
        </w:rPr>
        <w:t>影响不大。</w:t>
      </w:r>
    </w:p>
    <w:p w14:paraId="50779C35">
      <w:pPr>
        <w:spacing w:before="2" w:line="373" w:lineRule="auto"/>
        <w:ind w:left="11" w:right="82" w:firstLine="481"/>
        <w:rPr>
          <w:rFonts w:ascii="宋体" w:hAnsi="宋体" w:eastAsia="宋体" w:cs="宋体"/>
          <w:sz w:val="23"/>
          <w:szCs w:val="23"/>
        </w:rPr>
      </w:pPr>
      <w:r>
        <w:rPr>
          <w:rFonts w:ascii="宋体" w:hAnsi="宋体" w:eastAsia="宋体" w:cs="宋体"/>
          <w:spacing w:val="7"/>
          <w:sz w:val="23"/>
          <w:szCs w:val="23"/>
        </w:rPr>
        <w:t>为进一步降低工程建设对生态环境的影响，建设单位应加强场区及周边环境绿化，结</w:t>
      </w:r>
      <w:r>
        <w:rPr>
          <w:rFonts w:ascii="宋体" w:hAnsi="宋体" w:eastAsia="宋体" w:cs="宋体"/>
          <w:spacing w:val="3"/>
          <w:sz w:val="23"/>
          <w:szCs w:val="23"/>
        </w:rPr>
        <w:t>合</w:t>
      </w:r>
      <w:r>
        <w:rPr>
          <w:rFonts w:ascii="宋体" w:hAnsi="宋体" w:eastAsia="宋体" w:cs="宋体"/>
          <w:sz w:val="23"/>
          <w:szCs w:val="23"/>
        </w:rPr>
        <w:t xml:space="preserve"> </w:t>
      </w:r>
      <w:r>
        <w:rPr>
          <w:rFonts w:ascii="宋体" w:hAnsi="宋体" w:eastAsia="宋体" w:cs="宋体"/>
          <w:spacing w:val="10"/>
          <w:sz w:val="23"/>
          <w:szCs w:val="23"/>
        </w:rPr>
        <w:t>本</w:t>
      </w:r>
      <w:r>
        <w:rPr>
          <w:rFonts w:ascii="宋体" w:hAnsi="宋体" w:eastAsia="宋体" w:cs="宋体"/>
          <w:spacing w:val="9"/>
          <w:sz w:val="23"/>
          <w:szCs w:val="23"/>
        </w:rPr>
        <w:t>工程平面布置特点，评价提出以下要求和措施：</w:t>
      </w:r>
    </w:p>
    <w:p w14:paraId="17B08508">
      <w:pPr>
        <w:spacing w:before="2" w:line="374" w:lineRule="auto"/>
        <w:ind w:left="11" w:right="82" w:firstLine="490"/>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5"/>
          <w:sz w:val="23"/>
          <w:szCs w:val="23"/>
        </w:rPr>
        <w:t>1</w:t>
      </w:r>
      <w:r>
        <w:rPr>
          <w:rFonts w:ascii="宋体" w:hAnsi="宋体" w:eastAsia="宋体" w:cs="宋体"/>
          <w:spacing w:val="12"/>
          <w:sz w:val="23"/>
          <w:szCs w:val="23"/>
        </w:rPr>
        <w:t>) 办公区应以绿化美化为主。绿化方式为灌、乔、草立体植物种植为主，并结合四</w:t>
      </w:r>
      <w:r>
        <w:rPr>
          <w:rFonts w:ascii="宋体" w:hAnsi="宋体" w:eastAsia="宋体" w:cs="宋体"/>
          <w:sz w:val="23"/>
          <w:szCs w:val="23"/>
        </w:rPr>
        <w:t xml:space="preserve"> </w:t>
      </w:r>
      <w:r>
        <w:rPr>
          <w:rFonts w:ascii="宋体" w:hAnsi="宋体" w:eastAsia="宋体" w:cs="宋体"/>
          <w:spacing w:val="18"/>
          <w:sz w:val="23"/>
          <w:szCs w:val="23"/>
        </w:rPr>
        <w:t>季</w:t>
      </w:r>
      <w:r>
        <w:rPr>
          <w:rFonts w:ascii="宋体" w:hAnsi="宋体" w:eastAsia="宋体" w:cs="宋体"/>
          <w:spacing w:val="16"/>
          <w:sz w:val="23"/>
          <w:szCs w:val="23"/>
        </w:rPr>
        <w:t>花</w:t>
      </w:r>
      <w:r>
        <w:rPr>
          <w:rFonts w:ascii="宋体" w:hAnsi="宋体" w:eastAsia="宋体" w:cs="宋体"/>
          <w:spacing w:val="9"/>
          <w:sz w:val="23"/>
          <w:szCs w:val="23"/>
        </w:rPr>
        <w:t>卉植物形成良好景观。猪舍四周空闲地带以灌木绿篱、草皮种植结合代替裸地。</w:t>
      </w:r>
    </w:p>
    <w:p w14:paraId="69EC4D55">
      <w:pPr>
        <w:spacing w:line="227" w:lineRule="auto"/>
        <w:ind w:left="501"/>
        <w:rPr>
          <w:rFonts w:ascii="宋体" w:hAnsi="宋体" w:eastAsia="宋体" w:cs="宋体"/>
          <w:sz w:val="23"/>
          <w:szCs w:val="23"/>
        </w:rPr>
      </w:pPr>
      <w:r>
        <w:rPr>
          <w:rFonts w:ascii="宋体" w:hAnsi="宋体" w:eastAsia="宋体" w:cs="宋体"/>
          <w:spacing w:val="15"/>
          <w:sz w:val="23"/>
          <w:szCs w:val="23"/>
        </w:rPr>
        <w:t>(</w:t>
      </w:r>
      <w:r>
        <w:rPr>
          <w:rFonts w:ascii="Times New Roman" w:hAnsi="Times New Roman" w:eastAsia="Times New Roman" w:cs="Times New Roman"/>
          <w:spacing w:val="12"/>
          <w:sz w:val="23"/>
          <w:szCs w:val="23"/>
        </w:rPr>
        <w:t>2</w:t>
      </w:r>
      <w:r>
        <w:rPr>
          <w:rFonts w:ascii="宋体" w:hAnsi="宋体" w:eastAsia="宋体" w:cs="宋体"/>
          <w:spacing w:val="12"/>
          <w:sz w:val="23"/>
          <w:szCs w:val="23"/>
        </w:rPr>
        <w:t>) 植物物种以适宜当地生长的土生物钟，乔木类包括松树、杉树等。</w:t>
      </w:r>
    </w:p>
    <w:p w14:paraId="295FB662">
      <w:pPr>
        <w:spacing w:before="184" w:line="375" w:lineRule="auto"/>
        <w:ind w:left="9" w:right="82" w:firstLine="492"/>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5"/>
          <w:sz w:val="23"/>
          <w:szCs w:val="23"/>
        </w:rPr>
        <w:t>3</w:t>
      </w:r>
      <w:r>
        <w:rPr>
          <w:rFonts w:ascii="宋体" w:hAnsi="宋体" w:eastAsia="宋体" w:cs="宋体"/>
          <w:spacing w:val="12"/>
          <w:sz w:val="23"/>
          <w:szCs w:val="23"/>
        </w:rPr>
        <w:t>) 对工程涉及的各类行为所造成的生态影响应严格按照评价生态评价章节制定的工</w:t>
      </w:r>
      <w:r>
        <w:rPr>
          <w:rFonts w:ascii="宋体" w:hAnsi="宋体" w:eastAsia="宋体" w:cs="宋体"/>
          <w:sz w:val="23"/>
          <w:szCs w:val="23"/>
        </w:rPr>
        <w:t xml:space="preserve"> </w:t>
      </w:r>
      <w:r>
        <w:rPr>
          <w:rFonts w:ascii="宋体" w:hAnsi="宋体" w:eastAsia="宋体" w:cs="宋体"/>
          <w:spacing w:val="9"/>
          <w:sz w:val="23"/>
          <w:szCs w:val="23"/>
        </w:rPr>
        <w:t>程措施、恢复措施和绿化方案实施控制</w:t>
      </w:r>
      <w:r>
        <w:rPr>
          <w:rFonts w:ascii="宋体" w:hAnsi="宋体" w:eastAsia="宋体" w:cs="宋体"/>
          <w:spacing w:val="8"/>
          <w:sz w:val="23"/>
          <w:szCs w:val="23"/>
        </w:rPr>
        <w:t>。</w:t>
      </w:r>
    </w:p>
    <w:p w14:paraId="57E494C8">
      <w:pPr>
        <w:spacing w:before="1" w:line="226" w:lineRule="auto"/>
        <w:ind w:left="501"/>
        <w:rPr>
          <w:rFonts w:ascii="宋体" w:hAnsi="宋体" w:eastAsia="宋体" w:cs="宋体"/>
          <w:sz w:val="23"/>
          <w:szCs w:val="23"/>
        </w:rPr>
      </w:pPr>
      <w:r>
        <w:rPr>
          <w:rFonts w:ascii="宋体" w:hAnsi="宋体" w:eastAsia="宋体" w:cs="宋体"/>
          <w:spacing w:val="12"/>
          <w:sz w:val="23"/>
          <w:szCs w:val="23"/>
        </w:rPr>
        <w:t>(</w:t>
      </w:r>
      <w:r>
        <w:rPr>
          <w:rFonts w:ascii="Times New Roman" w:hAnsi="Times New Roman" w:eastAsia="Times New Roman" w:cs="Times New Roman"/>
          <w:spacing w:val="12"/>
          <w:sz w:val="23"/>
          <w:szCs w:val="23"/>
        </w:rPr>
        <w:t>4</w:t>
      </w:r>
      <w:r>
        <w:rPr>
          <w:rFonts w:ascii="宋体" w:hAnsi="宋体" w:eastAsia="宋体" w:cs="宋体"/>
          <w:spacing w:val="12"/>
          <w:sz w:val="23"/>
          <w:szCs w:val="23"/>
        </w:rPr>
        <w:t>) 采取严格的施工及运营期污染控制方案，减小工程污染排放对生态的影响</w:t>
      </w:r>
      <w:r>
        <w:rPr>
          <w:rFonts w:ascii="宋体" w:hAnsi="宋体" w:eastAsia="宋体" w:cs="宋体"/>
          <w:spacing w:val="7"/>
          <w:sz w:val="23"/>
          <w:szCs w:val="23"/>
        </w:rPr>
        <w:t>。</w:t>
      </w:r>
    </w:p>
    <w:p w14:paraId="772CABEC">
      <w:pPr>
        <w:spacing w:before="185" w:line="229" w:lineRule="auto"/>
        <w:ind w:left="9"/>
        <w:outlineLvl w:val="2"/>
        <w:rPr>
          <w:rFonts w:ascii="宋体" w:hAnsi="宋体" w:eastAsia="宋体" w:cs="宋体"/>
          <w:sz w:val="23"/>
          <w:szCs w:val="23"/>
        </w:rPr>
      </w:pPr>
      <w:r>
        <w:rPr>
          <w:rFonts w:ascii="Times New Roman" w:hAnsi="Times New Roman" w:eastAsia="Times New Roman" w:cs="Times New Roman"/>
          <w:b/>
          <w:bCs/>
          <w:spacing w:val="4"/>
          <w:sz w:val="23"/>
          <w:szCs w:val="23"/>
        </w:rPr>
        <w:t>6.2.8</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14:textOutline w14:w="4356" w14:cap="sq" w14:cmpd="sng" w14:algn="ctr">
            <w14:solidFill>
              <w14:srgbClr w14:val="000000"/>
            </w14:solidFill>
            <w14:prstDash w14:val="solid"/>
            <w14:bevel/>
          </w14:textOutline>
        </w:rPr>
        <w:t>绿化</w:t>
      </w:r>
    </w:p>
    <w:p w14:paraId="07CC72D3">
      <w:pPr>
        <w:spacing w:before="181" w:line="303" w:lineRule="exact"/>
        <w:ind w:left="736"/>
        <w:rPr>
          <w:rFonts w:ascii="宋体" w:hAnsi="宋体" w:eastAsia="宋体" w:cs="宋体"/>
          <w:sz w:val="23"/>
          <w:szCs w:val="23"/>
        </w:rPr>
      </w:pPr>
      <w:r>
        <w:rPr>
          <w:rFonts w:ascii="Times New Roman" w:hAnsi="Times New Roman" w:eastAsia="Times New Roman" w:cs="Times New Roman"/>
          <w:b/>
          <w:bCs/>
          <w:spacing w:val="-4"/>
          <w:position w:val="1"/>
          <w:sz w:val="23"/>
          <w:szCs w:val="23"/>
        </w:rPr>
        <w:t>1</w:t>
      </w:r>
      <w:r>
        <w:rPr>
          <w:rFonts w:ascii="Times New Roman" w:hAnsi="Times New Roman" w:eastAsia="Times New Roman" w:cs="Times New Roman"/>
          <w:spacing w:val="-2"/>
          <w:position w:val="1"/>
          <w:sz w:val="23"/>
          <w:szCs w:val="23"/>
        </w:rPr>
        <w:t xml:space="preserve"> </w:t>
      </w:r>
      <w:r>
        <w:rPr>
          <w:rFonts w:ascii="宋体" w:hAnsi="宋体" w:eastAsia="宋体" w:cs="宋体"/>
          <w:spacing w:val="-2"/>
          <w:position w:val="1"/>
          <w:sz w:val="23"/>
          <w:szCs w:val="23"/>
          <w14:textOutline w14:w="4356" w14:cap="sq" w14:cmpd="sng" w14:algn="ctr">
            <w14:solidFill>
              <w14:srgbClr w14:val="000000"/>
            </w14:solidFill>
            <w14:prstDash w14:val="solid"/>
            <w14:bevel/>
          </w14:textOutline>
        </w:rPr>
        <w:t>、原则要求</w:t>
      </w:r>
    </w:p>
    <w:p w14:paraId="495DC651">
      <w:pPr>
        <w:spacing w:before="166" w:line="374" w:lineRule="auto"/>
        <w:ind w:left="10" w:right="82" w:firstLine="491"/>
        <w:rPr>
          <w:rFonts w:ascii="宋体" w:hAnsi="宋体" w:eastAsia="宋体" w:cs="宋体"/>
          <w:sz w:val="23"/>
          <w:szCs w:val="23"/>
        </w:rPr>
      </w:pPr>
      <w:r>
        <w:rPr>
          <w:rFonts w:ascii="宋体" w:hAnsi="宋体" w:eastAsia="宋体" w:cs="宋体"/>
          <w:spacing w:val="13"/>
          <w:sz w:val="23"/>
          <w:szCs w:val="23"/>
        </w:rPr>
        <w:t>(</w:t>
      </w:r>
      <w:r>
        <w:rPr>
          <w:rFonts w:ascii="Times New Roman" w:hAnsi="Times New Roman" w:eastAsia="Times New Roman" w:cs="Times New Roman"/>
          <w:spacing w:val="12"/>
          <w:sz w:val="23"/>
          <w:szCs w:val="23"/>
        </w:rPr>
        <w:t>1</w:t>
      </w:r>
      <w:r>
        <w:rPr>
          <w:rFonts w:ascii="宋体" w:hAnsi="宋体" w:eastAsia="宋体" w:cs="宋体"/>
          <w:spacing w:val="12"/>
          <w:sz w:val="23"/>
          <w:szCs w:val="23"/>
        </w:rPr>
        <w:t>) 在规划设计前要对猪场的自然条件、生产性质、规模、污染状况等进行充分的调</w:t>
      </w:r>
      <w:r>
        <w:rPr>
          <w:rFonts w:ascii="宋体" w:hAnsi="宋体" w:eastAsia="宋体" w:cs="宋体"/>
          <w:sz w:val="23"/>
          <w:szCs w:val="23"/>
        </w:rPr>
        <w:t xml:space="preserve"> </w:t>
      </w:r>
      <w:r>
        <w:rPr>
          <w:rFonts w:ascii="宋体" w:hAnsi="宋体" w:eastAsia="宋体" w:cs="宋体"/>
          <w:spacing w:val="12"/>
          <w:sz w:val="23"/>
          <w:szCs w:val="23"/>
        </w:rPr>
        <w:t>查</w:t>
      </w:r>
      <w:r>
        <w:rPr>
          <w:rFonts w:ascii="宋体" w:hAnsi="宋体" w:eastAsia="宋体" w:cs="宋体"/>
          <w:spacing w:val="7"/>
          <w:sz w:val="23"/>
          <w:szCs w:val="23"/>
        </w:rPr>
        <w:t>。要从保护环境的观点出发，合理规划。合理地设置猪场饲养猪的类型、头数，从而优化</w:t>
      </w:r>
      <w:r>
        <w:rPr>
          <w:rFonts w:ascii="宋体" w:hAnsi="宋体" w:eastAsia="宋体" w:cs="宋体"/>
          <w:sz w:val="23"/>
          <w:szCs w:val="23"/>
        </w:rPr>
        <w:t xml:space="preserve"> </w:t>
      </w:r>
      <w:r>
        <w:rPr>
          <w:rFonts w:ascii="宋体" w:hAnsi="宋体" w:eastAsia="宋体" w:cs="宋体"/>
          <w:spacing w:val="8"/>
          <w:sz w:val="23"/>
          <w:szCs w:val="23"/>
        </w:rPr>
        <w:t>猪场本身的生态条件。</w:t>
      </w:r>
    </w:p>
    <w:p w14:paraId="2D8DFE13">
      <w:pPr>
        <w:spacing w:line="468" w:lineRule="exact"/>
        <w:ind w:left="501"/>
        <w:rPr>
          <w:rFonts w:ascii="宋体" w:hAnsi="宋体" w:eastAsia="宋体" w:cs="宋体"/>
          <w:sz w:val="23"/>
          <w:szCs w:val="23"/>
        </w:rPr>
      </w:pPr>
      <w:r>
        <w:rPr>
          <w:rFonts w:ascii="宋体" w:hAnsi="宋体" w:eastAsia="宋体" w:cs="宋体"/>
          <w:spacing w:val="13"/>
          <w:position w:val="17"/>
          <w:sz w:val="23"/>
          <w:szCs w:val="23"/>
        </w:rPr>
        <w:t>(</w:t>
      </w:r>
      <w:r>
        <w:rPr>
          <w:rFonts w:ascii="Times New Roman" w:hAnsi="Times New Roman" w:eastAsia="Times New Roman" w:cs="Times New Roman"/>
          <w:spacing w:val="12"/>
          <w:position w:val="17"/>
          <w:sz w:val="23"/>
          <w:szCs w:val="23"/>
        </w:rPr>
        <w:t>2</w:t>
      </w:r>
      <w:r>
        <w:rPr>
          <w:rFonts w:ascii="宋体" w:hAnsi="宋体" w:eastAsia="宋体" w:cs="宋体"/>
          <w:spacing w:val="12"/>
          <w:position w:val="17"/>
          <w:sz w:val="23"/>
          <w:szCs w:val="23"/>
        </w:rPr>
        <w:t>) 猪场的绿化规划是总体规划的有机组成部分，要在猪场建设总规划的同时进行绿</w:t>
      </w:r>
    </w:p>
    <w:p w14:paraId="3B58E0EA">
      <w:pPr>
        <w:spacing w:before="1" w:line="228" w:lineRule="auto"/>
        <w:ind w:left="11"/>
        <w:rPr>
          <w:rFonts w:ascii="宋体" w:hAnsi="宋体" w:eastAsia="宋体" w:cs="宋体"/>
          <w:sz w:val="23"/>
          <w:szCs w:val="23"/>
        </w:rPr>
      </w:pPr>
      <w:r>
        <w:rPr>
          <w:rFonts w:ascii="宋体" w:hAnsi="宋体" w:eastAsia="宋体" w:cs="宋体"/>
          <w:spacing w:val="3"/>
          <w:sz w:val="23"/>
          <w:szCs w:val="23"/>
        </w:rPr>
        <w:t>化规划。要本着统一安排、统一布局的原则进行，规划时既要有长远考虑，又要有近期</w:t>
      </w:r>
      <w:r>
        <w:rPr>
          <w:rFonts w:ascii="宋体" w:hAnsi="宋体" w:eastAsia="宋体" w:cs="宋体"/>
          <w:spacing w:val="1"/>
          <w:sz w:val="23"/>
          <w:szCs w:val="23"/>
        </w:rPr>
        <w:t>安</w:t>
      </w:r>
      <w:r>
        <w:rPr>
          <w:rFonts w:ascii="宋体" w:hAnsi="宋体" w:eastAsia="宋体" w:cs="宋体"/>
          <w:sz w:val="23"/>
          <w:szCs w:val="23"/>
        </w:rPr>
        <w:t>排，</w:t>
      </w:r>
    </w:p>
    <w:p w14:paraId="5BB94BD2">
      <w:pPr>
        <w:sectPr>
          <w:headerReference r:id="rId265" w:type="default"/>
          <w:footerReference r:id="rId266" w:type="default"/>
          <w:pgSz w:w="11906" w:h="16839"/>
          <w:pgMar w:top="1113" w:right="1052" w:bottom="1157" w:left="1275" w:header="878" w:footer="994" w:gutter="0"/>
          <w:cols w:space="720" w:num="1"/>
        </w:sectPr>
      </w:pPr>
    </w:p>
    <w:p w14:paraId="6E9E96D2">
      <w:pPr>
        <w:spacing w:before="198" w:line="228" w:lineRule="auto"/>
        <w:ind w:left="11"/>
        <w:rPr>
          <w:rFonts w:ascii="宋体" w:hAnsi="宋体" w:eastAsia="宋体" w:cs="宋体"/>
          <w:sz w:val="23"/>
          <w:szCs w:val="23"/>
        </w:rPr>
      </w:pPr>
      <w:r>
        <w:rPr>
          <w:rFonts w:ascii="宋体" w:hAnsi="宋体" w:eastAsia="宋体" w:cs="宋体"/>
          <w:spacing w:val="11"/>
          <w:sz w:val="23"/>
          <w:szCs w:val="23"/>
        </w:rPr>
        <w:t>要</w:t>
      </w:r>
      <w:r>
        <w:rPr>
          <w:rFonts w:ascii="宋体" w:hAnsi="宋体" w:eastAsia="宋体" w:cs="宋体"/>
          <w:spacing w:val="8"/>
          <w:sz w:val="23"/>
          <w:szCs w:val="23"/>
        </w:rPr>
        <w:t>与全场的建设协调一致。</w:t>
      </w:r>
    </w:p>
    <w:p w14:paraId="550CE6D5">
      <w:pPr>
        <w:spacing w:before="180" w:line="375" w:lineRule="auto"/>
        <w:ind w:left="13" w:right="97" w:firstLine="488"/>
        <w:rPr>
          <w:rFonts w:ascii="宋体" w:hAnsi="宋体" w:eastAsia="宋体" w:cs="宋体"/>
          <w:sz w:val="23"/>
          <w:szCs w:val="23"/>
        </w:rPr>
      </w:pPr>
      <w:r>
        <w:rPr>
          <w:rFonts w:ascii="宋体" w:hAnsi="宋体" w:eastAsia="宋体" w:cs="宋体"/>
          <w:spacing w:val="13"/>
          <w:sz w:val="23"/>
          <w:szCs w:val="23"/>
        </w:rPr>
        <w:t>(</w:t>
      </w:r>
      <w:r>
        <w:rPr>
          <w:rFonts w:ascii="Times New Roman" w:hAnsi="Times New Roman" w:eastAsia="Times New Roman" w:cs="Times New Roman"/>
          <w:spacing w:val="12"/>
          <w:sz w:val="23"/>
          <w:szCs w:val="23"/>
        </w:rPr>
        <w:t>3</w:t>
      </w:r>
      <w:r>
        <w:rPr>
          <w:rFonts w:ascii="宋体" w:hAnsi="宋体" w:eastAsia="宋体" w:cs="宋体"/>
          <w:spacing w:val="12"/>
          <w:sz w:val="23"/>
          <w:szCs w:val="23"/>
        </w:rPr>
        <w:t>) 绿化规划设计布局要合理，以保证安全生产。绿化时不能影响地下、地上管线和</w:t>
      </w:r>
      <w:r>
        <w:rPr>
          <w:rFonts w:ascii="宋体" w:hAnsi="宋体" w:eastAsia="宋体" w:cs="宋体"/>
          <w:sz w:val="23"/>
          <w:szCs w:val="23"/>
        </w:rPr>
        <w:t xml:space="preserve"> </w:t>
      </w:r>
      <w:r>
        <w:rPr>
          <w:rFonts w:ascii="宋体" w:hAnsi="宋体" w:eastAsia="宋体" w:cs="宋体"/>
          <w:spacing w:val="8"/>
          <w:sz w:val="23"/>
          <w:szCs w:val="23"/>
        </w:rPr>
        <w:t>各</w:t>
      </w:r>
      <w:r>
        <w:rPr>
          <w:rFonts w:ascii="宋体" w:hAnsi="宋体" w:eastAsia="宋体" w:cs="宋体"/>
          <w:spacing w:val="7"/>
          <w:sz w:val="23"/>
          <w:szCs w:val="23"/>
        </w:rPr>
        <w:t>建筑物的采光。</w:t>
      </w:r>
    </w:p>
    <w:p w14:paraId="6B004C9F">
      <w:pPr>
        <w:spacing w:line="375" w:lineRule="auto"/>
        <w:ind w:left="9" w:right="2" w:firstLine="492"/>
        <w:rPr>
          <w:rFonts w:ascii="宋体" w:hAnsi="宋体" w:eastAsia="宋体" w:cs="宋体"/>
          <w:sz w:val="23"/>
          <w:szCs w:val="23"/>
        </w:rPr>
      </w:pPr>
      <w:r>
        <w:rPr>
          <w:rFonts w:ascii="宋体" w:hAnsi="宋体" w:eastAsia="宋体" w:cs="宋体"/>
          <w:spacing w:val="16"/>
          <w:sz w:val="23"/>
          <w:szCs w:val="23"/>
        </w:rPr>
        <w:t>(</w:t>
      </w:r>
      <w:r>
        <w:rPr>
          <w:rFonts w:ascii="Times New Roman" w:hAnsi="Times New Roman" w:eastAsia="Times New Roman" w:cs="Times New Roman"/>
          <w:spacing w:val="13"/>
          <w:sz w:val="23"/>
          <w:szCs w:val="23"/>
        </w:rPr>
        <w:t>4</w:t>
      </w:r>
      <w:r>
        <w:rPr>
          <w:rFonts w:ascii="宋体" w:hAnsi="宋体" w:eastAsia="宋体" w:cs="宋体"/>
          <w:spacing w:val="8"/>
          <w:sz w:val="23"/>
          <w:szCs w:val="23"/>
        </w:rPr>
        <w:t>) 在进行绿化苗木选择时要考虑各功能区特点、地形、土质特点、环境污染等情况。</w:t>
      </w:r>
      <w:r>
        <w:rPr>
          <w:rFonts w:ascii="宋体" w:hAnsi="宋体" w:eastAsia="宋体" w:cs="宋体"/>
          <w:sz w:val="23"/>
          <w:szCs w:val="23"/>
        </w:rPr>
        <w:t xml:space="preserve"> </w:t>
      </w:r>
      <w:r>
        <w:rPr>
          <w:rFonts w:ascii="宋体" w:hAnsi="宋体" w:eastAsia="宋体" w:cs="宋体"/>
          <w:spacing w:val="12"/>
          <w:sz w:val="23"/>
          <w:szCs w:val="23"/>
        </w:rPr>
        <w:t>为</w:t>
      </w:r>
      <w:r>
        <w:rPr>
          <w:rFonts w:ascii="宋体" w:hAnsi="宋体" w:eastAsia="宋体" w:cs="宋体"/>
          <w:spacing w:val="7"/>
          <w:sz w:val="23"/>
          <w:szCs w:val="23"/>
        </w:rPr>
        <w:t>了达到良好的绿化美化效果，树种的选择，除考虑其满足绿化设计功能、易生长、抗病害</w:t>
      </w:r>
      <w:r>
        <w:rPr>
          <w:rFonts w:ascii="宋体" w:hAnsi="宋体" w:eastAsia="宋体" w:cs="宋体"/>
          <w:sz w:val="23"/>
          <w:szCs w:val="23"/>
        </w:rPr>
        <w:t xml:space="preserve"> </w:t>
      </w:r>
      <w:r>
        <w:rPr>
          <w:rFonts w:ascii="宋体" w:hAnsi="宋体" w:eastAsia="宋体" w:cs="宋体"/>
          <w:spacing w:val="6"/>
          <w:sz w:val="23"/>
          <w:szCs w:val="23"/>
        </w:rPr>
        <w:t>等因素外</w:t>
      </w:r>
      <w:r>
        <w:rPr>
          <w:rFonts w:ascii="宋体" w:hAnsi="宋体" w:eastAsia="宋体" w:cs="宋体"/>
          <w:spacing w:val="4"/>
          <w:sz w:val="23"/>
          <w:szCs w:val="23"/>
        </w:rPr>
        <w:t>，</w:t>
      </w:r>
      <w:r>
        <w:rPr>
          <w:rFonts w:ascii="宋体" w:hAnsi="宋体" w:eastAsia="宋体" w:cs="宋体"/>
          <w:spacing w:val="3"/>
          <w:sz w:val="23"/>
          <w:szCs w:val="23"/>
        </w:rPr>
        <w:t>还要考虑其具有较强的抗污染和净化空气的功能。在满足各项功能要求的前提下，</w:t>
      </w:r>
      <w:r>
        <w:rPr>
          <w:rFonts w:ascii="宋体" w:hAnsi="宋体" w:eastAsia="宋体" w:cs="宋体"/>
          <w:sz w:val="23"/>
          <w:szCs w:val="23"/>
        </w:rPr>
        <w:t xml:space="preserve"> </w:t>
      </w:r>
      <w:r>
        <w:rPr>
          <w:rFonts w:ascii="宋体" w:hAnsi="宋体" w:eastAsia="宋体" w:cs="宋体"/>
          <w:spacing w:val="6"/>
          <w:sz w:val="23"/>
          <w:szCs w:val="23"/>
        </w:rPr>
        <w:t>还可适当</w:t>
      </w:r>
      <w:r>
        <w:rPr>
          <w:rFonts w:ascii="宋体" w:hAnsi="宋体" w:eastAsia="宋体" w:cs="宋体"/>
          <w:spacing w:val="4"/>
          <w:sz w:val="23"/>
          <w:szCs w:val="23"/>
        </w:rPr>
        <w:t>结</w:t>
      </w:r>
      <w:r>
        <w:rPr>
          <w:rFonts w:ascii="宋体" w:hAnsi="宋体" w:eastAsia="宋体" w:cs="宋体"/>
          <w:spacing w:val="3"/>
          <w:sz w:val="23"/>
          <w:szCs w:val="23"/>
        </w:rPr>
        <w:t>合猪场生产，种植一些经济植物，以充分合理地利用土地，提高整场的经济效益。</w:t>
      </w:r>
    </w:p>
    <w:p w14:paraId="05886866">
      <w:pPr>
        <w:spacing w:line="303" w:lineRule="exact"/>
        <w:ind w:left="486"/>
        <w:rPr>
          <w:rFonts w:ascii="宋体" w:hAnsi="宋体" w:eastAsia="宋体" w:cs="宋体"/>
          <w:sz w:val="23"/>
          <w:szCs w:val="23"/>
        </w:rPr>
      </w:pPr>
      <w:r>
        <w:rPr>
          <w:rFonts w:ascii="Times New Roman" w:hAnsi="Times New Roman" w:eastAsia="Times New Roman" w:cs="Times New Roman"/>
          <w:b/>
          <w:bCs/>
          <w:spacing w:val="-1"/>
          <w:position w:val="1"/>
          <w:sz w:val="23"/>
          <w:szCs w:val="23"/>
        </w:rPr>
        <w:t>2</w:t>
      </w:r>
      <w:r>
        <w:rPr>
          <w:rFonts w:ascii="Times New Roman" w:hAnsi="Times New Roman" w:eastAsia="Times New Roman" w:cs="Times New Roman"/>
          <w:spacing w:val="-1"/>
          <w:position w:val="1"/>
          <w:sz w:val="23"/>
          <w:szCs w:val="23"/>
        </w:rPr>
        <w:t xml:space="preserve"> </w:t>
      </w:r>
      <w:r>
        <w:rPr>
          <w:rFonts w:ascii="宋体" w:hAnsi="宋体" w:eastAsia="宋体" w:cs="宋体"/>
          <w:spacing w:val="-1"/>
          <w:position w:val="1"/>
          <w:sz w:val="23"/>
          <w:szCs w:val="23"/>
          <w14:textOutline w14:w="4356" w14:cap="sq" w14:cmpd="sng" w14:algn="ctr">
            <w14:solidFill>
              <w14:srgbClr w14:val="000000"/>
            </w14:solidFill>
            <w14:prstDash w14:val="solid"/>
            <w14:bevel/>
          </w14:textOutline>
        </w:rPr>
        <w:t>、绿化措</w:t>
      </w:r>
      <w:r>
        <w:rPr>
          <w:rFonts w:ascii="宋体" w:hAnsi="宋体" w:eastAsia="宋体" w:cs="宋体"/>
          <w:position w:val="1"/>
          <w:sz w:val="23"/>
          <w:szCs w:val="23"/>
          <w14:textOutline w14:w="4356" w14:cap="sq" w14:cmpd="sng" w14:algn="ctr">
            <w14:solidFill>
              <w14:srgbClr w14:val="000000"/>
            </w14:solidFill>
            <w14:prstDash w14:val="solid"/>
            <w14:bevel/>
          </w14:textOutline>
        </w:rPr>
        <w:t>施</w:t>
      </w:r>
    </w:p>
    <w:p w14:paraId="5D19D59D">
      <w:pPr>
        <w:spacing w:before="161" w:line="375" w:lineRule="auto"/>
        <w:ind w:left="11" w:firstLine="490"/>
        <w:rPr>
          <w:rFonts w:ascii="宋体" w:hAnsi="宋体" w:eastAsia="宋体" w:cs="宋体"/>
          <w:sz w:val="23"/>
          <w:szCs w:val="23"/>
        </w:rPr>
      </w:pPr>
      <w:r>
        <w:rPr>
          <w:rFonts w:ascii="宋体" w:hAnsi="宋体" w:eastAsia="宋体" w:cs="宋体"/>
          <w:spacing w:val="16"/>
          <w:sz w:val="23"/>
          <w:szCs w:val="23"/>
        </w:rPr>
        <w:t>(</w:t>
      </w:r>
      <w:r>
        <w:rPr>
          <w:rFonts w:ascii="Times New Roman" w:hAnsi="Times New Roman" w:eastAsia="Times New Roman" w:cs="Times New Roman"/>
          <w:spacing w:val="16"/>
          <w:sz w:val="23"/>
          <w:szCs w:val="23"/>
        </w:rPr>
        <w:t>1</w:t>
      </w:r>
      <w:r>
        <w:rPr>
          <w:rFonts w:ascii="宋体" w:hAnsi="宋体" w:eastAsia="宋体" w:cs="宋体"/>
          <w:spacing w:val="8"/>
          <w:sz w:val="23"/>
          <w:szCs w:val="23"/>
        </w:rPr>
        <w:t>) 场区林带的规划：在场界周边种植乔木、灌木混合林带或规划种植水果类植物带。</w:t>
      </w:r>
      <w:r>
        <w:rPr>
          <w:rFonts w:ascii="宋体" w:hAnsi="宋体" w:eastAsia="宋体" w:cs="宋体"/>
          <w:sz w:val="23"/>
          <w:szCs w:val="23"/>
        </w:rPr>
        <w:t xml:space="preserve"> </w:t>
      </w:r>
      <w:r>
        <w:rPr>
          <w:rFonts w:ascii="宋体" w:hAnsi="宋体" w:eastAsia="宋体" w:cs="宋体"/>
          <w:spacing w:val="12"/>
          <w:sz w:val="23"/>
          <w:szCs w:val="23"/>
        </w:rPr>
        <w:t>乔</w:t>
      </w:r>
      <w:r>
        <w:rPr>
          <w:rFonts w:ascii="宋体" w:hAnsi="宋体" w:eastAsia="宋体" w:cs="宋体"/>
          <w:spacing w:val="10"/>
          <w:sz w:val="23"/>
          <w:szCs w:val="23"/>
        </w:rPr>
        <w:t>木</w:t>
      </w:r>
      <w:r>
        <w:rPr>
          <w:rFonts w:ascii="宋体" w:hAnsi="宋体" w:eastAsia="宋体" w:cs="宋体"/>
          <w:spacing w:val="6"/>
          <w:sz w:val="23"/>
          <w:szCs w:val="23"/>
        </w:rPr>
        <w:t>类的有大叶杨、钻天杨、 白杨、柳树、洋槐、国槐、泡桐、榆树及常绿针叶树等。</w:t>
      </w:r>
    </w:p>
    <w:p w14:paraId="4324C998">
      <w:pPr>
        <w:spacing w:line="375" w:lineRule="auto"/>
        <w:ind w:left="8" w:right="82" w:firstLine="493"/>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5"/>
          <w:sz w:val="23"/>
          <w:szCs w:val="23"/>
        </w:rPr>
        <w:t>2</w:t>
      </w:r>
      <w:r>
        <w:rPr>
          <w:rFonts w:ascii="宋体" w:hAnsi="宋体" w:eastAsia="宋体" w:cs="宋体"/>
          <w:spacing w:val="12"/>
          <w:sz w:val="23"/>
          <w:szCs w:val="23"/>
        </w:rPr>
        <w:t>) 场区隔离带的设计：场内各区，如养殖区、生活区及行政管理区的四周，都应设</w:t>
      </w:r>
      <w:r>
        <w:rPr>
          <w:rFonts w:ascii="宋体" w:hAnsi="宋体" w:eastAsia="宋体" w:cs="宋体"/>
          <w:sz w:val="23"/>
          <w:szCs w:val="23"/>
        </w:rPr>
        <w:t xml:space="preserve"> </w:t>
      </w:r>
      <w:r>
        <w:rPr>
          <w:rFonts w:ascii="宋体" w:hAnsi="宋体" w:eastAsia="宋体" w:cs="宋体"/>
          <w:spacing w:val="13"/>
          <w:sz w:val="23"/>
          <w:szCs w:val="23"/>
        </w:rPr>
        <w:t>置</w:t>
      </w:r>
      <w:r>
        <w:rPr>
          <w:rFonts w:ascii="宋体" w:hAnsi="宋体" w:eastAsia="宋体" w:cs="宋体"/>
          <w:spacing w:val="7"/>
          <w:sz w:val="23"/>
          <w:szCs w:val="23"/>
        </w:rPr>
        <w:t>隔离林带，采用绿篱植物小叶杨树、松树、榆树、丁香、榆叶等，或以栽种刺笆为主。刺</w:t>
      </w:r>
      <w:r>
        <w:rPr>
          <w:rFonts w:ascii="宋体" w:hAnsi="宋体" w:eastAsia="宋体" w:cs="宋体"/>
          <w:sz w:val="23"/>
          <w:szCs w:val="23"/>
        </w:rPr>
        <w:t xml:space="preserve"> </w:t>
      </w:r>
      <w:r>
        <w:rPr>
          <w:rFonts w:ascii="宋体" w:hAnsi="宋体" w:eastAsia="宋体" w:cs="宋体"/>
          <w:spacing w:val="18"/>
          <w:sz w:val="23"/>
          <w:szCs w:val="23"/>
        </w:rPr>
        <w:t>笆可</w:t>
      </w:r>
      <w:r>
        <w:rPr>
          <w:rFonts w:ascii="宋体" w:hAnsi="宋体" w:eastAsia="宋体" w:cs="宋体"/>
          <w:spacing w:val="10"/>
          <w:sz w:val="23"/>
          <w:szCs w:val="23"/>
        </w:rPr>
        <w:t>选</w:t>
      </w:r>
      <w:r>
        <w:rPr>
          <w:rFonts w:ascii="宋体" w:hAnsi="宋体" w:eastAsia="宋体" w:cs="宋体"/>
          <w:spacing w:val="9"/>
          <w:sz w:val="23"/>
          <w:szCs w:val="23"/>
        </w:rPr>
        <w:t>陈刺、黄刺梅、红玫瑰、野蔷薇、花椒等，以起到防疫、隔离、安全等作用。</w:t>
      </w:r>
    </w:p>
    <w:p w14:paraId="755692B9">
      <w:pPr>
        <w:spacing w:before="2" w:line="374" w:lineRule="auto"/>
        <w:ind w:left="12" w:right="82" w:firstLine="489"/>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5"/>
          <w:sz w:val="23"/>
          <w:szCs w:val="23"/>
        </w:rPr>
        <w:t>3</w:t>
      </w:r>
      <w:r>
        <w:rPr>
          <w:rFonts w:ascii="宋体" w:hAnsi="宋体" w:eastAsia="宋体" w:cs="宋体"/>
          <w:spacing w:val="12"/>
          <w:sz w:val="23"/>
          <w:szCs w:val="23"/>
        </w:rPr>
        <w:t>) 场区道路绿化：宜采用乔木为主，乔、灌木搭配种植。如选种塔柏、冬青、侧柏</w:t>
      </w:r>
      <w:r>
        <w:rPr>
          <w:rFonts w:ascii="宋体" w:hAnsi="宋体" w:eastAsia="宋体" w:cs="宋体"/>
          <w:sz w:val="23"/>
          <w:szCs w:val="23"/>
        </w:rPr>
        <w:t xml:space="preserve"> </w:t>
      </w:r>
      <w:r>
        <w:rPr>
          <w:rFonts w:ascii="宋体" w:hAnsi="宋体" w:eastAsia="宋体" w:cs="宋体"/>
          <w:spacing w:val="9"/>
          <w:sz w:val="23"/>
          <w:szCs w:val="23"/>
        </w:rPr>
        <w:t>等四季常青树种，并配置小叶女贞组成绿化带</w:t>
      </w:r>
      <w:r>
        <w:rPr>
          <w:rFonts w:ascii="宋体" w:hAnsi="宋体" w:eastAsia="宋体" w:cs="宋体"/>
          <w:spacing w:val="8"/>
          <w:sz w:val="23"/>
          <w:szCs w:val="23"/>
        </w:rPr>
        <w:t>。</w:t>
      </w:r>
    </w:p>
    <w:p w14:paraId="1547C07D">
      <w:pPr>
        <w:spacing w:before="1" w:line="374" w:lineRule="auto"/>
        <w:ind w:left="12" w:right="82" w:firstLine="489"/>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5"/>
          <w:sz w:val="23"/>
          <w:szCs w:val="23"/>
        </w:rPr>
        <w:t>4</w:t>
      </w:r>
      <w:r>
        <w:rPr>
          <w:rFonts w:ascii="宋体" w:hAnsi="宋体" w:eastAsia="宋体" w:cs="宋体"/>
          <w:spacing w:val="12"/>
          <w:sz w:val="23"/>
          <w:szCs w:val="23"/>
        </w:rPr>
        <w:t>) 对于养殖区内的猪舍，不宜在其四周密植成片的树林，而应多种植低矮的花卉或</w:t>
      </w:r>
      <w:r>
        <w:rPr>
          <w:rFonts w:ascii="宋体" w:hAnsi="宋体" w:eastAsia="宋体" w:cs="宋体"/>
          <w:sz w:val="23"/>
          <w:szCs w:val="23"/>
        </w:rPr>
        <w:t xml:space="preserve"> </w:t>
      </w:r>
      <w:r>
        <w:rPr>
          <w:rFonts w:ascii="宋体" w:hAnsi="宋体" w:eastAsia="宋体" w:cs="宋体"/>
          <w:spacing w:val="9"/>
          <w:sz w:val="23"/>
          <w:szCs w:val="23"/>
        </w:rPr>
        <w:t>草坪，以利于通风，便于有害气体扩散</w:t>
      </w:r>
      <w:r>
        <w:rPr>
          <w:rFonts w:ascii="宋体" w:hAnsi="宋体" w:eastAsia="宋体" w:cs="宋体"/>
          <w:spacing w:val="5"/>
          <w:sz w:val="23"/>
          <w:szCs w:val="23"/>
        </w:rPr>
        <w:t>。</w:t>
      </w:r>
    </w:p>
    <w:p w14:paraId="7CB049DB">
      <w:pPr>
        <w:spacing w:before="2" w:line="374" w:lineRule="auto"/>
        <w:ind w:left="13" w:right="82" w:firstLine="488"/>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5"/>
          <w:sz w:val="23"/>
          <w:szCs w:val="23"/>
        </w:rPr>
        <w:t>5</w:t>
      </w:r>
      <w:r>
        <w:rPr>
          <w:rFonts w:ascii="宋体" w:hAnsi="宋体" w:eastAsia="宋体" w:cs="宋体"/>
          <w:spacing w:val="12"/>
          <w:sz w:val="23"/>
          <w:szCs w:val="23"/>
        </w:rPr>
        <w:t>) 行政管理区和生活区：该区是与外界社会接触和员工生活休息的主要区域。该区</w:t>
      </w:r>
      <w:r>
        <w:rPr>
          <w:rFonts w:ascii="宋体" w:hAnsi="宋体" w:eastAsia="宋体" w:cs="宋体"/>
          <w:sz w:val="23"/>
          <w:szCs w:val="23"/>
        </w:rPr>
        <w:t xml:space="preserve"> </w:t>
      </w:r>
      <w:r>
        <w:rPr>
          <w:rFonts w:ascii="宋体" w:hAnsi="宋体" w:eastAsia="宋体" w:cs="宋体"/>
          <w:spacing w:val="9"/>
          <w:sz w:val="23"/>
          <w:szCs w:val="23"/>
        </w:rPr>
        <w:t>的</w:t>
      </w:r>
      <w:r>
        <w:rPr>
          <w:rFonts w:ascii="宋体" w:hAnsi="宋体" w:eastAsia="宋体" w:cs="宋体"/>
          <w:spacing w:val="7"/>
          <w:sz w:val="23"/>
          <w:szCs w:val="23"/>
        </w:rPr>
        <w:t>环境绿化可以适当进行园林式的规划，提升企业的形象和优美员工的生活环境。为了丰富</w:t>
      </w:r>
      <w:r>
        <w:rPr>
          <w:rFonts w:ascii="宋体" w:hAnsi="宋体" w:eastAsia="宋体" w:cs="宋体"/>
          <w:sz w:val="23"/>
          <w:szCs w:val="23"/>
        </w:rPr>
        <w:t xml:space="preserve"> </w:t>
      </w:r>
      <w:r>
        <w:rPr>
          <w:rFonts w:ascii="宋体" w:hAnsi="宋体" w:eastAsia="宋体" w:cs="宋体"/>
          <w:spacing w:val="10"/>
          <w:sz w:val="23"/>
          <w:szCs w:val="23"/>
        </w:rPr>
        <w:t>色</w:t>
      </w:r>
      <w:r>
        <w:rPr>
          <w:rFonts w:ascii="宋体" w:hAnsi="宋体" w:eastAsia="宋体" w:cs="宋体"/>
          <w:spacing w:val="9"/>
          <w:sz w:val="23"/>
          <w:szCs w:val="23"/>
        </w:rPr>
        <w:t>彩，宜种植容易繁殖、栽培和管理的花卉灌木为主。</w:t>
      </w:r>
    </w:p>
    <w:p w14:paraId="120E5D95">
      <w:pPr>
        <w:spacing w:line="227" w:lineRule="auto"/>
        <w:ind w:left="9"/>
        <w:outlineLvl w:val="2"/>
        <w:rPr>
          <w:rFonts w:ascii="宋体" w:hAnsi="宋体" w:eastAsia="宋体" w:cs="宋体"/>
          <w:sz w:val="23"/>
          <w:szCs w:val="23"/>
        </w:rPr>
      </w:pPr>
      <w:r>
        <w:rPr>
          <w:rFonts w:ascii="Times New Roman" w:hAnsi="Times New Roman" w:eastAsia="Times New Roman" w:cs="Times New Roman"/>
          <w:b/>
          <w:bCs/>
          <w:spacing w:val="14"/>
          <w:sz w:val="23"/>
          <w:szCs w:val="23"/>
        </w:rPr>
        <w:t>6</w:t>
      </w:r>
      <w:r>
        <w:rPr>
          <w:rFonts w:ascii="Times New Roman" w:hAnsi="Times New Roman" w:eastAsia="Times New Roman" w:cs="Times New Roman"/>
          <w:b/>
          <w:bCs/>
          <w:spacing w:val="9"/>
          <w:sz w:val="23"/>
          <w:szCs w:val="23"/>
        </w:rPr>
        <w:t>.</w:t>
      </w:r>
      <w:r>
        <w:rPr>
          <w:rFonts w:ascii="Times New Roman" w:hAnsi="Times New Roman" w:eastAsia="Times New Roman" w:cs="Times New Roman"/>
          <w:b/>
          <w:bCs/>
          <w:spacing w:val="7"/>
          <w:sz w:val="23"/>
          <w:szCs w:val="23"/>
        </w:rPr>
        <w:t>2.9</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运输过程中污染防治措施</w:t>
      </w:r>
    </w:p>
    <w:p w14:paraId="4C28DCE4">
      <w:pPr>
        <w:spacing w:before="185" w:line="227" w:lineRule="auto"/>
        <w:ind w:left="501"/>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5"/>
          <w:sz w:val="23"/>
          <w:szCs w:val="23"/>
        </w:rPr>
        <w:t>1</w:t>
      </w:r>
      <w:r>
        <w:rPr>
          <w:rFonts w:ascii="宋体" w:hAnsi="宋体" w:eastAsia="宋体" w:cs="宋体"/>
          <w:spacing w:val="15"/>
          <w:sz w:val="23"/>
          <w:szCs w:val="23"/>
        </w:rPr>
        <w:t>) 交通运输噪声防治措施</w:t>
      </w:r>
    </w:p>
    <w:p w14:paraId="56AF06C5">
      <w:pPr>
        <w:spacing w:before="186" w:line="227" w:lineRule="auto"/>
        <w:ind w:left="493"/>
        <w:rPr>
          <w:rFonts w:ascii="宋体" w:hAnsi="宋体" w:eastAsia="宋体" w:cs="宋体"/>
          <w:sz w:val="23"/>
          <w:szCs w:val="23"/>
        </w:rPr>
      </w:pPr>
      <w:r>
        <w:rPr>
          <w:rFonts w:ascii="宋体" w:hAnsi="宋体" w:eastAsia="宋体" w:cs="宋体"/>
          <w:spacing w:val="17"/>
          <w:sz w:val="23"/>
          <w:szCs w:val="23"/>
        </w:rPr>
        <w:t>为</w:t>
      </w:r>
      <w:r>
        <w:rPr>
          <w:rFonts w:ascii="宋体" w:hAnsi="宋体" w:eastAsia="宋体" w:cs="宋体"/>
          <w:spacing w:val="9"/>
          <w:sz w:val="23"/>
          <w:szCs w:val="23"/>
        </w:rPr>
        <w:t>了减轻因车辆的增加而引起交通噪声，建议加强以下措施进行防范：</w:t>
      </w:r>
    </w:p>
    <w:p w14:paraId="13A39BA5">
      <w:pPr>
        <w:spacing w:before="181" w:line="375" w:lineRule="auto"/>
        <w:ind w:left="37" w:right="82" w:firstLine="451"/>
        <w:rPr>
          <w:rFonts w:ascii="宋体" w:hAnsi="宋体" w:eastAsia="宋体" w:cs="宋体"/>
          <w:sz w:val="23"/>
          <w:szCs w:val="23"/>
        </w:rPr>
      </w:pPr>
      <w:r>
        <w:rPr>
          <w:rFonts w:ascii="宋体" w:hAnsi="宋体" w:eastAsia="宋体" w:cs="宋体"/>
          <w:spacing w:val="11"/>
          <w:sz w:val="23"/>
          <w:szCs w:val="23"/>
        </w:rPr>
        <w:t>①</w:t>
      </w:r>
      <w:r>
        <w:rPr>
          <w:rFonts w:ascii="宋体" w:hAnsi="宋体" w:eastAsia="宋体" w:cs="宋体"/>
          <w:spacing w:val="8"/>
          <w:sz w:val="23"/>
          <w:szCs w:val="23"/>
        </w:rPr>
        <w:t xml:space="preserve">根据生产实际情况，合理调度汽车运输。汽车运输尽量选择白天进行，在夜间 </w:t>
      </w:r>
      <w:r>
        <w:rPr>
          <w:rFonts w:ascii="Times New Roman" w:hAnsi="Times New Roman" w:eastAsia="Times New Roman" w:cs="Times New Roman"/>
          <w:spacing w:val="8"/>
          <w:sz w:val="23"/>
          <w:szCs w:val="23"/>
        </w:rPr>
        <w:t xml:space="preserve">22 </w:t>
      </w:r>
      <w:r>
        <w:rPr>
          <w:rFonts w:ascii="宋体" w:hAnsi="宋体" w:eastAsia="宋体" w:cs="宋体"/>
          <w:spacing w:val="8"/>
          <w:sz w:val="23"/>
          <w:szCs w:val="23"/>
        </w:rPr>
        <w:t>时</w:t>
      </w:r>
      <w:r>
        <w:rPr>
          <w:rFonts w:ascii="宋体" w:hAnsi="宋体" w:eastAsia="宋体" w:cs="宋体"/>
          <w:sz w:val="23"/>
          <w:szCs w:val="23"/>
        </w:rPr>
        <w:t xml:space="preserve"> </w:t>
      </w:r>
      <w:r>
        <w:rPr>
          <w:rFonts w:ascii="宋体" w:hAnsi="宋体" w:eastAsia="宋体" w:cs="宋体"/>
          <w:spacing w:val="16"/>
          <w:sz w:val="23"/>
          <w:szCs w:val="23"/>
        </w:rPr>
        <w:t>以后</w:t>
      </w:r>
      <w:r>
        <w:rPr>
          <w:rFonts w:ascii="宋体" w:hAnsi="宋体" w:eastAsia="宋体" w:cs="宋体"/>
          <w:spacing w:val="13"/>
          <w:sz w:val="23"/>
          <w:szCs w:val="23"/>
        </w:rPr>
        <w:t>就</w:t>
      </w:r>
      <w:r>
        <w:rPr>
          <w:rFonts w:ascii="宋体" w:hAnsi="宋体" w:eastAsia="宋体" w:cs="宋体"/>
          <w:spacing w:val="8"/>
          <w:sz w:val="23"/>
          <w:szCs w:val="23"/>
        </w:rPr>
        <w:t>必须停止任何运输活动，这样避免因夜间运输出现的声环境超标现象。</w:t>
      </w:r>
    </w:p>
    <w:p w14:paraId="0696C7E3">
      <w:pPr>
        <w:spacing w:line="225" w:lineRule="auto"/>
        <w:ind w:left="488"/>
        <w:rPr>
          <w:rFonts w:ascii="宋体" w:hAnsi="宋体" w:eastAsia="宋体" w:cs="宋体"/>
          <w:sz w:val="23"/>
          <w:szCs w:val="23"/>
        </w:rPr>
      </w:pPr>
      <w:r>
        <w:rPr>
          <w:rFonts w:ascii="宋体" w:hAnsi="宋体" w:eastAsia="宋体" w:cs="宋体"/>
          <w:spacing w:val="18"/>
          <w:sz w:val="23"/>
          <w:szCs w:val="23"/>
        </w:rPr>
        <w:t>②优</w:t>
      </w:r>
      <w:r>
        <w:rPr>
          <w:rFonts w:ascii="宋体" w:hAnsi="宋体" w:eastAsia="宋体" w:cs="宋体"/>
          <w:spacing w:val="10"/>
          <w:sz w:val="23"/>
          <w:szCs w:val="23"/>
        </w:rPr>
        <w:t>化</w:t>
      </w:r>
      <w:r>
        <w:rPr>
          <w:rFonts w:ascii="宋体" w:hAnsi="宋体" w:eastAsia="宋体" w:cs="宋体"/>
          <w:spacing w:val="9"/>
          <w:sz w:val="23"/>
          <w:szCs w:val="23"/>
        </w:rPr>
        <w:t>运输路线，使运输路线尽量选择距离居民敏感点较远、地域比较开阔的地段。</w:t>
      </w:r>
    </w:p>
    <w:p w14:paraId="617EF2C1">
      <w:pPr>
        <w:spacing w:before="188" w:line="227" w:lineRule="auto"/>
        <w:ind w:left="501"/>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5"/>
          <w:sz w:val="23"/>
          <w:szCs w:val="23"/>
        </w:rPr>
        <w:t>2</w:t>
      </w:r>
      <w:r>
        <w:rPr>
          <w:rFonts w:ascii="宋体" w:hAnsi="宋体" w:eastAsia="宋体" w:cs="宋体"/>
          <w:spacing w:val="15"/>
          <w:sz w:val="23"/>
          <w:szCs w:val="23"/>
        </w:rPr>
        <w:t>) 运输沿线恶臭防治措施</w:t>
      </w:r>
    </w:p>
    <w:p w14:paraId="5E33C528">
      <w:pPr>
        <w:spacing w:before="183" w:line="225" w:lineRule="auto"/>
        <w:ind w:left="489"/>
        <w:rPr>
          <w:rFonts w:ascii="宋体" w:hAnsi="宋体" w:eastAsia="宋体" w:cs="宋体"/>
          <w:sz w:val="23"/>
          <w:szCs w:val="23"/>
        </w:rPr>
      </w:pPr>
      <w:r>
        <w:rPr>
          <w:rFonts w:ascii="宋体" w:hAnsi="宋体" w:eastAsia="宋体" w:cs="宋体"/>
          <w:spacing w:val="17"/>
          <w:sz w:val="23"/>
          <w:szCs w:val="23"/>
        </w:rPr>
        <w:t>①</w:t>
      </w:r>
      <w:r>
        <w:rPr>
          <w:rFonts w:ascii="宋体" w:hAnsi="宋体" w:eastAsia="宋体" w:cs="宋体"/>
          <w:spacing w:val="9"/>
          <w:sz w:val="23"/>
          <w:szCs w:val="23"/>
        </w:rPr>
        <w:t>生猪出栏装车前应进行彻底清洗，冲净粪便和身上的污物。</w:t>
      </w:r>
    </w:p>
    <w:p w14:paraId="031F70B8">
      <w:pPr>
        <w:spacing w:before="188" w:line="225" w:lineRule="auto"/>
        <w:ind w:left="488"/>
        <w:rPr>
          <w:rFonts w:ascii="宋体" w:hAnsi="宋体" w:eastAsia="宋体" w:cs="宋体"/>
          <w:sz w:val="23"/>
          <w:szCs w:val="23"/>
        </w:rPr>
      </w:pPr>
      <w:r>
        <w:rPr>
          <w:rFonts w:ascii="宋体" w:hAnsi="宋体" w:eastAsia="宋体" w:cs="宋体"/>
          <w:spacing w:val="9"/>
          <w:sz w:val="23"/>
          <w:szCs w:val="23"/>
        </w:rPr>
        <w:t>②猪只运输车辆注意消毒，保持清洁</w:t>
      </w:r>
      <w:r>
        <w:rPr>
          <w:rFonts w:ascii="宋体" w:hAnsi="宋体" w:eastAsia="宋体" w:cs="宋体"/>
          <w:spacing w:val="8"/>
          <w:sz w:val="23"/>
          <w:szCs w:val="23"/>
        </w:rPr>
        <w:t>。</w:t>
      </w:r>
    </w:p>
    <w:p w14:paraId="6833E682">
      <w:pPr>
        <w:spacing w:before="185" w:line="225" w:lineRule="auto"/>
        <w:ind w:left="488"/>
        <w:rPr>
          <w:rFonts w:ascii="宋体" w:hAnsi="宋体" w:eastAsia="宋体" w:cs="宋体"/>
          <w:sz w:val="23"/>
          <w:szCs w:val="23"/>
        </w:rPr>
      </w:pPr>
      <w:r>
        <w:rPr>
          <w:rFonts w:ascii="宋体" w:hAnsi="宋体" w:eastAsia="宋体" w:cs="宋体"/>
          <w:spacing w:val="17"/>
          <w:sz w:val="23"/>
          <w:szCs w:val="23"/>
        </w:rPr>
        <w:t>③</w:t>
      </w:r>
      <w:r>
        <w:rPr>
          <w:rFonts w:ascii="宋体" w:hAnsi="宋体" w:eastAsia="宋体" w:cs="宋体"/>
          <w:spacing w:val="9"/>
          <w:sz w:val="23"/>
          <w:szCs w:val="23"/>
        </w:rPr>
        <w:t>养猪废水运输采用专用密闭吸粪车，合理选择运输路线。</w:t>
      </w:r>
    </w:p>
    <w:p w14:paraId="2A1EF4C1">
      <w:pPr>
        <w:spacing w:before="188" w:line="225" w:lineRule="auto"/>
        <w:ind w:left="488"/>
        <w:rPr>
          <w:rFonts w:ascii="宋体" w:hAnsi="宋体" w:eastAsia="宋体" w:cs="宋体"/>
          <w:sz w:val="23"/>
          <w:szCs w:val="23"/>
        </w:rPr>
      </w:pPr>
      <w:r>
        <w:rPr>
          <w:rFonts w:ascii="宋体" w:hAnsi="宋体" w:eastAsia="宋体" w:cs="宋体"/>
          <w:spacing w:val="7"/>
          <w:sz w:val="23"/>
          <w:szCs w:val="23"/>
        </w:rPr>
        <w:t>④应尽量选择半封闭式的运输车辆，最大可能地防止恶臭对城区运输路线两边居民的影</w:t>
      </w:r>
    </w:p>
    <w:p w14:paraId="00A04D55">
      <w:pPr>
        <w:sectPr>
          <w:footerReference r:id="rId267" w:type="default"/>
          <w:pgSz w:w="11906" w:h="16839"/>
          <w:pgMar w:top="1113" w:right="1052" w:bottom="1157" w:left="1275" w:header="878" w:footer="994" w:gutter="0"/>
          <w:cols w:space="720" w:num="1"/>
        </w:sectPr>
      </w:pPr>
    </w:p>
    <w:p w14:paraId="20C378B8">
      <w:pPr>
        <w:spacing w:line="276" w:lineRule="auto"/>
      </w:pPr>
    </w:p>
    <w:p w14:paraId="05FADF39">
      <w:pPr>
        <w:spacing w:before="75" w:line="118" w:lineRule="exact"/>
        <w:ind w:left="273"/>
        <w:rPr>
          <w:rFonts w:ascii="宋体" w:hAnsi="宋体" w:eastAsia="宋体" w:cs="宋体"/>
          <w:sz w:val="23"/>
          <w:szCs w:val="23"/>
        </w:rPr>
      </w:pPr>
      <w:r>
        <w:pict>
          <v:shape id="_x0000_s2127" o:spid="_x0000_s2127" o:spt="202" type="#_x0000_t202" style="position:absolute;left:0pt;margin-left:0.1pt;margin-top:-4.95pt;height:16.4pt;width:12.95pt;z-index:251746304;mso-width-relative:page;mso-height-relative:page;" filled="f" stroked="f" coordsize="21600,21600">
            <v:path/>
            <v:fill on="f" focussize="0,0"/>
            <v:stroke on="f" joinstyle="miter"/>
            <v:imagedata o:title=""/>
            <o:lock v:ext="edit"/>
            <v:textbox inset="0mm,0mm,0mm,0mm">
              <w:txbxContent>
                <w:p w14:paraId="2A194ECE">
                  <w:pPr>
                    <w:spacing w:before="19" w:line="231" w:lineRule="auto"/>
                    <w:ind w:left="20"/>
                    <w:rPr>
                      <w:rFonts w:ascii="宋体" w:hAnsi="宋体" w:eastAsia="宋体" w:cs="宋体"/>
                      <w:sz w:val="23"/>
                      <w:szCs w:val="23"/>
                    </w:rPr>
                  </w:pPr>
                  <w:r>
                    <w:rPr>
                      <w:rFonts w:ascii="宋体" w:hAnsi="宋体" w:eastAsia="宋体" w:cs="宋体"/>
                      <w:sz w:val="23"/>
                      <w:szCs w:val="23"/>
                    </w:rPr>
                    <w:t>响</w:t>
                  </w:r>
                </w:p>
              </w:txbxContent>
            </v:textbox>
          </v:shape>
        </w:pict>
      </w:r>
      <w:r>
        <w:rPr>
          <w:rFonts w:ascii="宋体" w:hAnsi="宋体" w:eastAsia="宋体" w:cs="宋体"/>
          <w:position w:val="1"/>
          <w:sz w:val="23"/>
          <w:szCs w:val="23"/>
        </w:rPr>
        <w:t>。</w:t>
      </w:r>
    </w:p>
    <w:p w14:paraId="04524B6A">
      <w:pPr>
        <w:spacing w:before="193" w:line="225" w:lineRule="auto"/>
        <w:ind w:left="488"/>
        <w:rPr>
          <w:rFonts w:ascii="宋体" w:hAnsi="宋体" w:eastAsia="宋体" w:cs="宋体"/>
          <w:sz w:val="23"/>
          <w:szCs w:val="23"/>
        </w:rPr>
      </w:pPr>
      <w:r>
        <w:rPr>
          <w:rFonts w:ascii="宋体" w:hAnsi="宋体" w:eastAsia="宋体" w:cs="宋体"/>
          <w:spacing w:val="14"/>
          <w:sz w:val="23"/>
          <w:szCs w:val="23"/>
        </w:rPr>
        <w:t>⑤</w:t>
      </w:r>
      <w:r>
        <w:rPr>
          <w:rFonts w:ascii="宋体" w:hAnsi="宋体" w:eastAsia="宋体" w:cs="宋体"/>
          <w:spacing w:val="9"/>
          <w:sz w:val="23"/>
          <w:szCs w:val="23"/>
        </w:rPr>
        <w:t>运输车辆必须按定额载重量运输，严禁超载行驶。</w:t>
      </w:r>
    </w:p>
    <w:p w14:paraId="6423D817">
      <w:pPr>
        <w:spacing w:before="187" w:line="377" w:lineRule="auto"/>
        <w:ind w:left="11" w:firstLine="477"/>
        <w:rPr>
          <w:rFonts w:ascii="宋体" w:hAnsi="宋体" w:eastAsia="宋体" w:cs="宋体"/>
          <w:sz w:val="23"/>
          <w:szCs w:val="23"/>
        </w:rPr>
      </w:pPr>
      <w:r>
        <w:rPr>
          <w:rFonts w:ascii="宋体" w:hAnsi="宋体" w:eastAsia="宋体" w:cs="宋体"/>
          <w:spacing w:val="16"/>
          <w:sz w:val="23"/>
          <w:szCs w:val="23"/>
        </w:rPr>
        <w:t>⑥</w:t>
      </w:r>
      <w:r>
        <w:rPr>
          <w:rFonts w:ascii="宋体" w:hAnsi="宋体" w:eastAsia="宋体" w:cs="宋体"/>
          <w:spacing w:val="10"/>
          <w:sz w:val="23"/>
          <w:szCs w:val="23"/>
        </w:rPr>
        <w:t>运</w:t>
      </w:r>
      <w:r>
        <w:rPr>
          <w:rFonts w:ascii="宋体" w:hAnsi="宋体" w:eastAsia="宋体" w:cs="宋体"/>
          <w:spacing w:val="8"/>
          <w:sz w:val="23"/>
          <w:szCs w:val="23"/>
        </w:rPr>
        <w:t>输车辆在进入城区或环境敏感点较多的地段前应在定点冲洗位置冲洗车辆及生猪，</w:t>
      </w:r>
      <w:r>
        <w:rPr>
          <w:rFonts w:ascii="宋体" w:hAnsi="宋体" w:eastAsia="宋体" w:cs="宋体"/>
          <w:sz w:val="23"/>
          <w:szCs w:val="23"/>
        </w:rPr>
        <w:t xml:space="preserve"> </w:t>
      </w:r>
      <w:r>
        <w:rPr>
          <w:rFonts w:ascii="宋体" w:hAnsi="宋体" w:eastAsia="宋体" w:cs="宋体"/>
          <w:spacing w:val="7"/>
          <w:sz w:val="23"/>
          <w:szCs w:val="23"/>
        </w:rPr>
        <w:t>冲</w:t>
      </w:r>
      <w:r>
        <w:rPr>
          <w:rFonts w:ascii="宋体" w:hAnsi="宋体" w:eastAsia="宋体" w:cs="宋体"/>
          <w:spacing w:val="6"/>
          <w:sz w:val="23"/>
          <w:szCs w:val="23"/>
        </w:rPr>
        <w:t>净猪粪 (尿) 。</w:t>
      </w:r>
    </w:p>
    <w:p w14:paraId="4E25E3DA">
      <w:pPr>
        <w:spacing w:line="218" w:lineRule="auto"/>
        <w:ind w:left="11"/>
        <w:outlineLvl w:val="1"/>
        <w:rPr>
          <w:rFonts w:ascii="宋体" w:hAnsi="宋体" w:eastAsia="宋体" w:cs="宋体"/>
          <w:sz w:val="28"/>
          <w:szCs w:val="28"/>
        </w:rPr>
      </w:pPr>
      <w:bookmarkStart w:id="50" w:name="_bookmark51"/>
      <w:bookmarkEnd w:id="50"/>
      <w:r>
        <w:rPr>
          <w:rFonts w:ascii="Times New Roman" w:hAnsi="Times New Roman" w:eastAsia="Times New Roman" w:cs="Times New Roman"/>
          <w:b/>
          <w:bCs/>
          <w:spacing w:val="-1"/>
          <w:sz w:val="28"/>
          <w:szCs w:val="28"/>
        </w:rPr>
        <w:t>6</w:t>
      </w:r>
      <w:r>
        <w:rPr>
          <w:rFonts w:ascii="Times New Roman" w:hAnsi="Times New Roman" w:eastAsia="Times New Roman" w:cs="Times New Roman"/>
          <w:b/>
          <w:bCs/>
          <w:sz w:val="28"/>
          <w:szCs w:val="28"/>
        </w:rPr>
        <w:t>.3</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污染防治环保投资估算</w:t>
      </w:r>
    </w:p>
    <w:p w14:paraId="1EA2FD29">
      <w:pPr>
        <w:spacing w:before="206" w:line="375" w:lineRule="auto"/>
        <w:ind w:left="29" w:right="47" w:firstLine="464"/>
        <w:rPr>
          <w:rFonts w:ascii="宋体" w:hAnsi="宋体" w:eastAsia="宋体" w:cs="宋体"/>
          <w:sz w:val="23"/>
          <w:szCs w:val="23"/>
        </w:rPr>
      </w:pPr>
      <w:r>
        <w:rPr>
          <w:rFonts w:ascii="宋体" w:hAnsi="宋体" w:eastAsia="宋体" w:cs="宋体"/>
          <w:spacing w:val="14"/>
          <w:sz w:val="23"/>
          <w:szCs w:val="23"/>
        </w:rPr>
        <w:t>项目总投</w:t>
      </w:r>
      <w:r>
        <w:rPr>
          <w:rFonts w:ascii="宋体" w:hAnsi="宋体" w:eastAsia="宋体" w:cs="宋体"/>
          <w:spacing w:val="10"/>
          <w:sz w:val="23"/>
          <w:szCs w:val="23"/>
        </w:rPr>
        <w:t>资</w:t>
      </w:r>
      <w:r>
        <w:rPr>
          <w:rFonts w:ascii="宋体" w:hAnsi="宋体" w:eastAsia="宋体" w:cs="宋体"/>
          <w:spacing w:val="7"/>
          <w:sz w:val="23"/>
          <w:szCs w:val="23"/>
        </w:rPr>
        <w:t xml:space="preserve">为 </w:t>
      </w:r>
      <w:r>
        <w:rPr>
          <w:rFonts w:ascii="Times New Roman" w:hAnsi="Times New Roman" w:eastAsia="Times New Roman" w:cs="Times New Roman"/>
          <w:spacing w:val="7"/>
          <w:sz w:val="23"/>
          <w:szCs w:val="23"/>
        </w:rPr>
        <w:t xml:space="preserve">2629 </w:t>
      </w:r>
      <w:r>
        <w:rPr>
          <w:rFonts w:ascii="宋体" w:hAnsi="宋体" w:eastAsia="宋体" w:cs="宋体"/>
          <w:spacing w:val="7"/>
          <w:sz w:val="23"/>
          <w:szCs w:val="23"/>
        </w:rPr>
        <w:t>万元，工程污染防治措施投资包括施工期和运行期的污染防治措施</w:t>
      </w:r>
      <w:r>
        <w:rPr>
          <w:rFonts w:ascii="宋体" w:hAnsi="宋体" w:eastAsia="宋体" w:cs="宋体"/>
          <w:sz w:val="23"/>
          <w:szCs w:val="23"/>
        </w:rPr>
        <w:t xml:space="preserve"> </w:t>
      </w:r>
      <w:r>
        <w:rPr>
          <w:rFonts w:ascii="宋体" w:hAnsi="宋体" w:eastAsia="宋体" w:cs="宋体"/>
          <w:spacing w:val="-2"/>
          <w:sz w:val="23"/>
          <w:szCs w:val="23"/>
        </w:rPr>
        <w:t xml:space="preserve">的总投资，预计环保投资为 </w:t>
      </w:r>
      <w:r>
        <w:rPr>
          <w:rFonts w:ascii="Times New Roman" w:hAnsi="Times New Roman" w:eastAsia="Times New Roman" w:cs="Times New Roman"/>
          <w:spacing w:val="-2"/>
          <w:sz w:val="23"/>
          <w:szCs w:val="23"/>
        </w:rPr>
        <w:t xml:space="preserve">227 </w:t>
      </w:r>
      <w:r>
        <w:rPr>
          <w:rFonts w:ascii="宋体" w:hAnsi="宋体" w:eastAsia="宋体" w:cs="宋体"/>
          <w:spacing w:val="-2"/>
          <w:sz w:val="23"/>
          <w:szCs w:val="23"/>
        </w:rPr>
        <w:t xml:space="preserve">万元， 占总投资的比例为 </w:t>
      </w:r>
      <w:r>
        <w:rPr>
          <w:rFonts w:ascii="Times New Roman" w:hAnsi="Times New Roman" w:eastAsia="Times New Roman" w:cs="Times New Roman"/>
          <w:spacing w:val="-2"/>
          <w:sz w:val="23"/>
          <w:szCs w:val="23"/>
        </w:rPr>
        <w:t>8.6</w:t>
      </w:r>
      <w:r>
        <w:rPr>
          <w:rFonts w:ascii="Times New Roman" w:hAnsi="Times New Roman" w:eastAsia="Times New Roman" w:cs="Times New Roman"/>
          <w:spacing w:val="-1"/>
          <w:sz w:val="23"/>
          <w:szCs w:val="23"/>
        </w:rPr>
        <w:t xml:space="preserve">3% </w:t>
      </w:r>
      <w:r>
        <w:rPr>
          <w:rFonts w:ascii="宋体" w:hAnsi="宋体" w:eastAsia="宋体" w:cs="宋体"/>
          <w:spacing w:val="-1"/>
          <w:sz w:val="23"/>
          <w:szCs w:val="23"/>
        </w:rPr>
        <w:t xml:space="preserve">。具体见表 </w:t>
      </w:r>
      <w:r>
        <w:rPr>
          <w:rFonts w:ascii="Times New Roman" w:hAnsi="Times New Roman" w:eastAsia="Times New Roman" w:cs="Times New Roman"/>
          <w:spacing w:val="-1"/>
          <w:sz w:val="23"/>
          <w:szCs w:val="23"/>
        </w:rPr>
        <w:t>6.3- 1</w:t>
      </w:r>
      <w:r>
        <w:rPr>
          <w:rFonts w:ascii="宋体" w:hAnsi="宋体" w:eastAsia="宋体" w:cs="宋体"/>
          <w:spacing w:val="-1"/>
          <w:sz w:val="23"/>
          <w:szCs w:val="23"/>
        </w:rPr>
        <w:t>。</w:t>
      </w:r>
    </w:p>
    <w:p w14:paraId="6DD6D500">
      <w:pPr>
        <w:spacing w:line="221" w:lineRule="auto"/>
        <w:ind w:left="1660"/>
        <w:rPr>
          <w:rFonts w:ascii="黑体" w:hAnsi="黑体" w:eastAsia="黑体" w:cs="黑体"/>
          <w:sz w:val="23"/>
          <w:szCs w:val="23"/>
        </w:rPr>
      </w:pPr>
      <w:r>
        <w:rPr>
          <w:rFonts w:ascii="黑体" w:hAnsi="黑体" w:eastAsia="黑体" w:cs="黑体"/>
          <w:spacing w:val="1"/>
          <w:sz w:val="23"/>
          <w:szCs w:val="23"/>
        </w:rPr>
        <w:t xml:space="preserve">表 </w:t>
      </w:r>
      <w:r>
        <w:rPr>
          <w:rFonts w:ascii="Times New Roman" w:hAnsi="Times New Roman" w:eastAsia="Times New Roman" w:cs="Times New Roman"/>
          <w:spacing w:val="1"/>
          <w:sz w:val="23"/>
          <w:szCs w:val="23"/>
        </w:rPr>
        <w:t xml:space="preserve">6.3- 1      </w:t>
      </w:r>
      <w:r>
        <w:rPr>
          <w:rFonts w:ascii="黑体" w:hAnsi="黑体" w:eastAsia="黑体" w:cs="黑体"/>
          <w:spacing w:val="1"/>
          <w:sz w:val="23"/>
          <w:szCs w:val="23"/>
        </w:rPr>
        <w:t>工程污染防治投资估算</w:t>
      </w:r>
      <w:r>
        <w:rPr>
          <w:rFonts w:ascii="黑体" w:hAnsi="黑体" w:eastAsia="黑体" w:cs="黑体"/>
          <w:sz w:val="23"/>
          <w:szCs w:val="23"/>
        </w:rPr>
        <w:t>表          单位：  (万元)</w:t>
      </w:r>
    </w:p>
    <w:tbl>
      <w:tblPr>
        <w:tblStyle w:val="4"/>
        <w:tblW w:w="9288" w:type="dxa"/>
        <w:tblInd w:w="10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43"/>
        <w:gridCol w:w="3964"/>
        <w:gridCol w:w="1147"/>
        <w:gridCol w:w="1234"/>
      </w:tblGrid>
      <w:tr w14:paraId="69693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2943" w:type="dxa"/>
            <w:tcBorders>
              <w:left w:val="nil"/>
            </w:tcBorders>
          </w:tcPr>
          <w:p w14:paraId="65B6494C">
            <w:pPr>
              <w:spacing w:before="192" w:line="228" w:lineRule="auto"/>
              <w:ind w:left="1270"/>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投资项</w:t>
            </w:r>
            <w:r>
              <w:rPr>
                <w:rFonts w:ascii="宋体" w:hAnsi="宋体" w:eastAsia="宋体" w:cs="宋体"/>
                <w:spacing w:val="7"/>
                <w:sz w:val="20"/>
                <w:szCs w:val="20"/>
                <w14:textOutline w14:w="3797" w14:cap="sq" w14:cmpd="sng" w14:algn="ctr">
                  <w14:solidFill>
                    <w14:srgbClr w14:val="000000"/>
                  </w14:solidFill>
                  <w14:prstDash w14:val="solid"/>
                  <w14:bevel/>
                </w14:textOutline>
              </w:rPr>
              <w:t>目</w:t>
            </w:r>
          </w:p>
        </w:tc>
        <w:tc>
          <w:tcPr>
            <w:tcW w:w="3964" w:type="dxa"/>
          </w:tcPr>
          <w:p w14:paraId="1D26E2D2">
            <w:pPr>
              <w:spacing w:before="191" w:line="228" w:lineRule="auto"/>
              <w:ind w:left="2012"/>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内</w:t>
            </w:r>
            <w:r>
              <w:rPr>
                <w:rFonts w:ascii="宋体" w:hAnsi="宋体" w:eastAsia="宋体" w:cs="宋体"/>
                <w:spacing w:val="-6"/>
                <w:sz w:val="20"/>
                <w:szCs w:val="20"/>
                <w14:textOutline w14:w="3797" w14:cap="sq" w14:cmpd="sng" w14:algn="ctr">
                  <w14:solidFill>
                    <w14:srgbClr w14:val="000000"/>
                  </w14:solidFill>
                  <w14:prstDash w14:val="solid"/>
                  <w14:bevel/>
                </w14:textOutline>
              </w:rPr>
              <w:t>容</w:t>
            </w:r>
          </w:p>
        </w:tc>
        <w:tc>
          <w:tcPr>
            <w:tcW w:w="1147" w:type="dxa"/>
          </w:tcPr>
          <w:p w14:paraId="77D84F94">
            <w:pPr>
              <w:spacing w:before="56" w:line="239" w:lineRule="auto"/>
              <w:ind w:left="169" w:right="166" w:firstLine="201"/>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投</w:t>
            </w:r>
            <w:r>
              <w:rPr>
                <w:rFonts w:ascii="宋体" w:hAnsi="宋体" w:eastAsia="宋体" w:cs="宋体"/>
                <w:spacing w:val="4"/>
                <w:sz w:val="20"/>
                <w:szCs w:val="20"/>
                <w14:textOutline w14:w="3797" w14:cap="sq" w14:cmpd="sng" w14:algn="ctr">
                  <w14:solidFill>
                    <w14:srgbClr w14:val="000000"/>
                  </w14:solidFill>
                  <w14:prstDash w14:val="solid"/>
                  <w14:bevel/>
                </w14:textOutline>
              </w:rPr>
              <w:t>资</w:t>
            </w:r>
            <w:r>
              <w:rPr>
                <w:rFonts w:ascii="宋体" w:hAnsi="宋体" w:eastAsia="宋体" w:cs="宋体"/>
                <w:sz w:val="20"/>
                <w:szCs w:val="20"/>
              </w:rPr>
              <w:t xml:space="preserve">  </w:t>
            </w:r>
            <w:r>
              <w:rPr>
                <w:rFonts w:ascii="宋体" w:hAnsi="宋体" w:eastAsia="宋体" w:cs="宋体"/>
                <w:spacing w:val="27"/>
                <w:sz w:val="20"/>
                <w:szCs w:val="20"/>
                <w14:textOutline w14:w="3797" w14:cap="sq" w14:cmpd="sng" w14:algn="ctr">
                  <w14:solidFill>
                    <w14:srgbClr w14:val="000000"/>
                  </w14:solidFill>
                  <w14:prstDash w14:val="solid"/>
                  <w14:bevel/>
                </w14:textOutline>
              </w:rPr>
              <w:t>(</w:t>
            </w:r>
            <w:r>
              <w:rPr>
                <w:rFonts w:ascii="宋体" w:hAnsi="宋体" w:eastAsia="宋体" w:cs="宋体"/>
                <w:spacing w:val="26"/>
                <w:sz w:val="20"/>
                <w:szCs w:val="20"/>
                <w14:textOutline w14:w="3797" w14:cap="sq" w14:cmpd="sng" w14:algn="ctr">
                  <w14:solidFill>
                    <w14:srgbClr w14:val="000000"/>
                  </w14:solidFill>
                  <w14:prstDash w14:val="solid"/>
                  <w14:bevel/>
                </w14:textOutline>
              </w:rPr>
              <w:t>万元)</w:t>
            </w:r>
          </w:p>
        </w:tc>
        <w:tc>
          <w:tcPr>
            <w:tcW w:w="1234" w:type="dxa"/>
            <w:tcBorders>
              <w:right w:val="nil"/>
            </w:tcBorders>
          </w:tcPr>
          <w:p w14:paraId="4071D0EF">
            <w:pPr>
              <w:spacing w:before="56" w:line="239" w:lineRule="auto"/>
              <w:ind w:left="212" w:right="212" w:firstLine="204"/>
              <w:rPr>
                <w:rFonts w:ascii="宋体" w:hAnsi="宋体" w:eastAsia="宋体" w:cs="宋体"/>
                <w:sz w:val="20"/>
                <w:szCs w:val="20"/>
              </w:rPr>
            </w:pPr>
            <w:r>
              <w:rPr>
                <w:rFonts w:ascii="宋体" w:hAnsi="宋体" w:eastAsia="宋体" w:cs="宋体"/>
                <w:spacing w:val="3"/>
                <w:sz w:val="20"/>
                <w:szCs w:val="20"/>
                <w14:textOutline w14:w="3797" w14:cap="sq" w14:cmpd="sng" w14:algn="ctr">
                  <w14:solidFill>
                    <w14:srgbClr w14:val="000000"/>
                  </w14:solidFill>
                  <w14:prstDash w14:val="solid"/>
                  <w14:bevel/>
                </w14:textOutline>
              </w:rPr>
              <w:t>小计</w:t>
            </w:r>
            <w:r>
              <w:rPr>
                <w:rFonts w:ascii="宋体" w:hAnsi="宋体" w:eastAsia="宋体" w:cs="宋体"/>
                <w:sz w:val="20"/>
                <w:szCs w:val="20"/>
              </w:rPr>
              <w:t xml:space="preserve">  </w:t>
            </w:r>
            <w:r>
              <w:rPr>
                <w:rFonts w:ascii="宋体" w:hAnsi="宋体" w:eastAsia="宋体" w:cs="宋体"/>
                <w:spacing w:val="27"/>
                <w:sz w:val="20"/>
                <w:szCs w:val="20"/>
                <w14:textOutline w14:w="3797" w14:cap="sq" w14:cmpd="sng" w14:algn="ctr">
                  <w14:solidFill>
                    <w14:srgbClr w14:val="000000"/>
                  </w14:solidFill>
                  <w14:prstDash w14:val="solid"/>
                  <w14:bevel/>
                </w14:textOutline>
              </w:rPr>
              <w:t>(</w:t>
            </w:r>
            <w:r>
              <w:rPr>
                <w:rFonts w:ascii="宋体" w:hAnsi="宋体" w:eastAsia="宋体" w:cs="宋体"/>
                <w:spacing w:val="26"/>
                <w:sz w:val="20"/>
                <w:szCs w:val="20"/>
                <w14:textOutline w14:w="3797" w14:cap="sq" w14:cmpd="sng" w14:algn="ctr">
                  <w14:solidFill>
                    <w14:srgbClr w14:val="000000"/>
                  </w14:solidFill>
                  <w14:prstDash w14:val="solid"/>
                  <w14:bevel/>
                </w14:textOutline>
              </w:rPr>
              <w:t>万元)</w:t>
            </w:r>
          </w:p>
        </w:tc>
      </w:tr>
    </w:tbl>
    <w:p w14:paraId="0483A2DE">
      <w:pPr>
        <w:spacing w:before="64" w:line="277" w:lineRule="exact"/>
        <w:ind w:left="4445"/>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一、施工</w:t>
      </w:r>
      <w:r>
        <w:rPr>
          <w:rFonts w:ascii="宋体" w:hAnsi="宋体" w:eastAsia="宋体" w:cs="宋体"/>
          <w:spacing w:val="7"/>
          <w:sz w:val="20"/>
          <w:szCs w:val="20"/>
          <w14:textOutline w14:w="3797" w14:cap="sq" w14:cmpd="sng" w14:algn="ctr">
            <w14:solidFill>
              <w14:srgbClr w14:val="000000"/>
            </w14:solidFill>
            <w14:prstDash w14:val="solid"/>
            <w14:bevel/>
          </w14:textOutline>
        </w:rPr>
        <w:t>期</w:t>
      </w:r>
    </w:p>
    <w:tbl>
      <w:tblPr>
        <w:tblStyle w:val="4"/>
        <w:tblW w:w="9288" w:type="dxa"/>
        <w:tblInd w:w="10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7"/>
        <w:gridCol w:w="1286"/>
        <w:gridCol w:w="3964"/>
        <w:gridCol w:w="1147"/>
        <w:gridCol w:w="1234"/>
      </w:tblGrid>
      <w:tr w14:paraId="3F5DA1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657" w:type="dxa"/>
            <w:vMerge w:val="restart"/>
            <w:tcBorders>
              <w:left w:val="nil"/>
              <w:bottom w:val="nil"/>
            </w:tcBorders>
          </w:tcPr>
          <w:p w14:paraId="490BBEF1">
            <w:pPr>
              <w:spacing w:line="278" w:lineRule="auto"/>
            </w:pPr>
          </w:p>
          <w:p w14:paraId="62A90867">
            <w:pPr>
              <w:spacing w:before="65" w:line="228" w:lineRule="auto"/>
              <w:ind w:left="313"/>
              <w:rPr>
                <w:rFonts w:ascii="宋体" w:hAnsi="宋体" w:eastAsia="宋体" w:cs="宋体"/>
                <w:sz w:val="20"/>
                <w:szCs w:val="20"/>
              </w:rPr>
            </w:pPr>
            <w:r>
              <w:rPr>
                <w:rFonts w:ascii="宋体" w:hAnsi="宋体" w:eastAsia="宋体" w:cs="宋体"/>
                <w:spacing w:val="10"/>
                <w:sz w:val="20"/>
                <w:szCs w:val="20"/>
              </w:rPr>
              <w:t>大</w:t>
            </w:r>
            <w:r>
              <w:rPr>
                <w:rFonts w:ascii="宋体" w:hAnsi="宋体" w:eastAsia="宋体" w:cs="宋体"/>
                <w:spacing w:val="7"/>
                <w:sz w:val="20"/>
                <w:szCs w:val="20"/>
              </w:rPr>
              <w:t>气污染物</w:t>
            </w:r>
          </w:p>
        </w:tc>
        <w:tc>
          <w:tcPr>
            <w:tcW w:w="1286" w:type="dxa"/>
          </w:tcPr>
          <w:p w14:paraId="09B443FE">
            <w:pPr>
              <w:spacing w:before="68" w:line="230" w:lineRule="auto"/>
              <w:ind w:left="438"/>
              <w:rPr>
                <w:rFonts w:ascii="宋体" w:hAnsi="宋体" w:eastAsia="宋体" w:cs="宋体"/>
                <w:sz w:val="20"/>
                <w:szCs w:val="20"/>
              </w:rPr>
            </w:pPr>
            <w:r>
              <w:rPr>
                <w:rFonts w:ascii="宋体" w:hAnsi="宋体" w:eastAsia="宋体" w:cs="宋体"/>
                <w:spacing w:val="5"/>
                <w:sz w:val="20"/>
                <w:szCs w:val="20"/>
              </w:rPr>
              <w:t>扬尘</w:t>
            </w:r>
          </w:p>
        </w:tc>
        <w:tc>
          <w:tcPr>
            <w:tcW w:w="3964" w:type="dxa"/>
          </w:tcPr>
          <w:p w14:paraId="63A12251">
            <w:pPr>
              <w:spacing w:before="68" w:line="228" w:lineRule="auto"/>
              <w:ind w:left="115"/>
              <w:rPr>
                <w:rFonts w:ascii="宋体" w:hAnsi="宋体" w:eastAsia="宋体" w:cs="宋体"/>
                <w:sz w:val="20"/>
                <w:szCs w:val="20"/>
              </w:rPr>
            </w:pPr>
            <w:r>
              <w:rPr>
                <w:rFonts w:ascii="宋体" w:hAnsi="宋体" w:eastAsia="宋体" w:cs="宋体"/>
                <w:spacing w:val="14"/>
                <w:sz w:val="20"/>
                <w:szCs w:val="20"/>
              </w:rPr>
              <w:t>洒</w:t>
            </w:r>
            <w:r>
              <w:rPr>
                <w:rFonts w:ascii="宋体" w:hAnsi="宋体" w:eastAsia="宋体" w:cs="宋体"/>
                <w:spacing w:val="9"/>
                <w:sz w:val="20"/>
                <w:szCs w:val="20"/>
              </w:rPr>
              <w:t>水</w:t>
            </w:r>
            <w:r>
              <w:rPr>
                <w:rFonts w:ascii="宋体" w:hAnsi="宋体" w:eastAsia="宋体" w:cs="宋体"/>
                <w:spacing w:val="7"/>
                <w:sz w:val="20"/>
                <w:szCs w:val="20"/>
              </w:rPr>
              <w:t>抑尘、构筑物防护网、施工期围墙等</w:t>
            </w:r>
          </w:p>
        </w:tc>
        <w:tc>
          <w:tcPr>
            <w:tcW w:w="1147" w:type="dxa"/>
            <w:vMerge w:val="restart"/>
            <w:tcBorders>
              <w:bottom w:val="nil"/>
            </w:tcBorders>
          </w:tcPr>
          <w:p w14:paraId="37AE5C5C">
            <w:pPr>
              <w:spacing w:line="323" w:lineRule="auto"/>
            </w:pPr>
          </w:p>
          <w:p w14:paraId="371A1495">
            <w:pPr>
              <w:spacing w:before="58" w:line="195" w:lineRule="auto"/>
              <w:ind w:left="534"/>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234" w:type="dxa"/>
            <w:vMerge w:val="restart"/>
            <w:tcBorders>
              <w:bottom w:val="nil"/>
              <w:right w:val="nil"/>
            </w:tcBorders>
          </w:tcPr>
          <w:p w14:paraId="7E9465D3">
            <w:pPr>
              <w:spacing w:line="244" w:lineRule="auto"/>
            </w:pPr>
          </w:p>
          <w:p w14:paraId="1E135DB8">
            <w:pPr>
              <w:spacing w:line="244" w:lineRule="auto"/>
            </w:pPr>
          </w:p>
          <w:p w14:paraId="67FF1E4E">
            <w:pPr>
              <w:spacing w:line="245" w:lineRule="auto"/>
            </w:pPr>
          </w:p>
          <w:p w14:paraId="413A7499">
            <w:pPr>
              <w:spacing w:line="245" w:lineRule="auto"/>
            </w:pPr>
          </w:p>
          <w:p w14:paraId="7A97D863">
            <w:pPr>
              <w:spacing w:line="245" w:lineRule="auto"/>
            </w:pPr>
          </w:p>
          <w:p w14:paraId="2E5540C2">
            <w:pPr>
              <w:spacing w:line="245" w:lineRule="auto"/>
            </w:pPr>
          </w:p>
          <w:p w14:paraId="17A21072">
            <w:pPr>
              <w:spacing w:before="58" w:line="195" w:lineRule="auto"/>
              <w:ind w:left="72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
                <w:sz w:val="20"/>
                <w:szCs w:val="20"/>
              </w:rPr>
              <w:t>7</w:t>
            </w:r>
          </w:p>
        </w:tc>
      </w:tr>
      <w:tr w14:paraId="64A38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657" w:type="dxa"/>
            <w:vMerge w:val="continue"/>
            <w:tcBorders>
              <w:top w:val="nil"/>
              <w:left w:val="nil"/>
            </w:tcBorders>
          </w:tcPr>
          <w:p w14:paraId="05FE4626"/>
        </w:tc>
        <w:tc>
          <w:tcPr>
            <w:tcW w:w="1286" w:type="dxa"/>
          </w:tcPr>
          <w:p w14:paraId="06D5D5C2">
            <w:pPr>
              <w:spacing w:before="166" w:line="228" w:lineRule="auto"/>
              <w:ind w:left="228"/>
              <w:rPr>
                <w:rFonts w:ascii="宋体" w:hAnsi="宋体" w:eastAsia="宋体" w:cs="宋体"/>
                <w:sz w:val="20"/>
                <w:szCs w:val="20"/>
              </w:rPr>
            </w:pPr>
            <w:r>
              <w:rPr>
                <w:rFonts w:ascii="宋体" w:hAnsi="宋体" w:eastAsia="宋体" w:cs="宋体"/>
                <w:spacing w:val="7"/>
                <w:sz w:val="20"/>
                <w:szCs w:val="20"/>
              </w:rPr>
              <w:t>燃油废气</w:t>
            </w:r>
          </w:p>
        </w:tc>
        <w:tc>
          <w:tcPr>
            <w:tcW w:w="3964" w:type="dxa"/>
          </w:tcPr>
          <w:p w14:paraId="54761E8F">
            <w:pPr>
              <w:spacing w:before="31" w:line="239" w:lineRule="auto"/>
              <w:ind w:left="1145" w:right="107" w:hanging="1032"/>
              <w:rPr>
                <w:rFonts w:ascii="宋体" w:hAnsi="宋体" w:eastAsia="宋体" w:cs="宋体"/>
                <w:sz w:val="20"/>
                <w:szCs w:val="20"/>
              </w:rPr>
            </w:pPr>
            <w:r>
              <w:rPr>
                <w:rFonts w:ascii="宋体" w:hAnsi="宋体" w:eastAsia="宋体" w:cs="宋体"/>
                <w:spacing w:val="14"/>
                <w:sz w:val="20"/>
                <w:szCs w:val="20"/>
              </w:rPr>
              <w:t>使</w:t>
            </w:r>
            <w:r>
              <w:rPr>
                <w:rFonts w:ascii="宋体" w:hAnsi="宋体" w:eastAsia="宋体" w:cs="宋体"/>
                <w:spacing w:val="11"/>
                <w:sz w:val="20"/>
                <w:szCs w:val="20"/>
              </w:rPr>
              <w:t>运</w:t>
            </w:r>
            <w:r>
              <w:rPr>
                <w:rFonts w:ascii="宋体" w:hAnsi="宋体" w:eastAsia="宋体" w:cs="宋体"/>
                <w:spacing w:val="7"/>
                <w:sz w:val="20"/>
                <w:szCs w:val="20"/>
              </w:rPr>
              <w:t>输车辆、施工设备处于良好状态，鼓</w:t>
            </w:r>
            <w:r>
              <w:rPr>
                <w:rFonts w:ascii="宋体" w:hAnsi="宋体" w:eastAsia="宋体" w:cs="宋体"/>
                <w:sz w:val="20"/>
                <w:szCs w:val="20"/>
              </w:rPr>
              <w:t xml:space="preserve"> </w:t>
            </w:r>
            <w:r>
              <w:rPr>
                <w:rFonts w:ascii="宋体" w:hAnsi="宋体" w:eastAsia="宋体" w:cs="宋体"/>
                <w:spacing w:val="9"/>
                <w:sz w:val="20"/>
                <w:szCs w:val="20"/>
              </w:rPr>
              <w:t>励使用优质燃料</w:t>
            </w:r>
            <w:r>
              <w:rPr>
                <w:rFonts w:ascii="宋体" w:hAnsi="宋体" w:eastAsia="宋体" w:cs="宋体"/>
                <w:spacing w:val="7"/>
                <w:sz w:val="20"/>
                <w:szCs w:val="20"/>
              </w:rPr>
              <w:t>等</w:t>
            </w:r>
          </w:p>
        </w:tc>
        <w:tc>
          <w:tcPr>
            <w:tcW w:w="1147" w:type="dxa"/>
            <w:vMerge w:val="continue"/>
            <w:tcBorders>
              <w:top w:val="nil"/>
            </w:tcBorders>
          </w:tcPr>
          <w:p w14:paraId="527F3ECC"/>
        </w:tc>
        <w:tc>
          <w:tcPr>
            <w:tcW w:w="1234" w:type="dxa"/>
            <w:vMerge w:val="continue"/>
            <w:tcBorders>
              <w:top w:val="nil"/>
              <w:bottom w:val="nil"/>
              <w:right w:val="nil"/>
            </w:tcBorders>
          </w:tcPr>
          <w:p w14:paraId="7698F2B2"/>
        </w:tc>
      </w:tr>
      <w:tr w14:paraId="20DB6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657" w:type="dxa"/>
            <w:vMerge w:val="restart"/>
            <w:tcBorders>
              <w:left w:val="nil"/>
              <w:bottom w:val="nil"/>
            </w:tcBorders>
          </w:tcPr>
          <w:p w14:paraId="70980E92">
            <w:pPr>
              <w:spacing w:before="240" w:line="228" w:lineRule="auto"/>
              <w:ind w:left="415"/>
              <w:rPr>
                <w:rFonts w:ascii="宋体" w:hAnsi="宋体" w:eastAsia="宋体" w:cs="宋体"/>
                <w:sz w:val="20"/>
                <w:szCs w:val="20"/>
              </w:rPr>
            </w:pPr>
            <w:r>
              <w:rPr>
                <w:rFonts w:ascii="宋体" w:hAnsi="宋体" w:eastAsia="宋体" w:cs="宋体"/>
                <w:spacing w:val="9"/>
                <w:sz w:val="20"/>
                <w:szCs w:val="20"/>
              </w:rPr>
              <w:t>废</w:t>
            </w:r>
            <w:r>
              <w:rPr>
                <w:rFonts w:ascii="宋体" w:hAnsi="宋体" w:eastAsia="宋体" w:cs="宋体"/>
                <w:spacing w:val="7"/>
                <w:sz w:val="20"/>
                <w:szCs w:val="20"/>
              </w:rPr>
              <w:t>水防治</w:t>
            </w:r>
          </w:p>
        </w:tc>
        <w:tc>
          <w:tcPr>
            <w:tcW w:w="1286" w:type="dxa"/>
          </w:tcPr>
          <w:p w14:paraId="1473EF60">
            <w:pPr>
              <w:spacing w:before="65" w:line="228" w:lineRule="auto"/>
              <w:ind w:left="226"/>
              <w:rPr>
                <w:rFonts w:ascii="宋体" w:hAnsi="宋体" w:eastAsia="宋体" w:cs="宋体"/>
                <w:sz w:val="20"/>
                <w:szCs w:val="20"/>
              </w:rPr>
            </w:pPr>
            <w:r>
              <w:rPr>
                <w:rFonts w:ascii="宋体" w:hAnsi="宋体" w:eastAsia="宋体" w:cs="宋体"/>
                <w:spacing w:val="9"/>
                <w:sz w:val="20"/>
                <w:szCs w:val="20"/>
              </w:rPr>
              <w:t>施</w:t>
            </w:r>
            <w:r>
              <w:rPr>
                <w:rFonts w:ascii="宋体" w:hAnsi="宋体" w:eastAsia="宋体" w:cs="宋体"/>
                <w:spacing w:val="7"/>
                <w:sz w:val="20"/>
                <w:szCs w:val="20"/>
              </w:rPr>
              <w:t>工废水</w:t>
            </w:r>
          </w:p>
        </w:tc>
        <w:tc>
          <w:tcPr>
            <w:tcW w:w="3964" w:type="dxa"/>
          </w:tcPr>
          <w:p w14:paraId="3EB304ED">
            <w:pPr>
              <w:spacing w:before="65" w:line="229" w:lineRule="auto"/>
              <w:ind w:left="1159"/>
              <w:rPr>
                <w:rFonts w:ascii="宋体" w:hAnsi="宋体" w:eastAsia="宋体" w:cs="宋体"/>
                <w:sz w:val="20"/>
                <w:szCs w:val="20"/>
              </w:rPr>
            </w:pPr>
            <w:r>
              <w:rPr>
                <w:rFonts w:ascii="宋体" w:hAnsi="宋体" w:eastAsia="宋体" w:cs="宋体"/>
                <w:spacing w:val="8"/>
                <w:sz w:val="20"/>
                <w:szCs w:val="20"/>
              </w:rPr>
              <w:t>隔</w:t>
            </w:r>
            <w:r>
              <w:rPr>
                <w:rFonts w:ascii="宋体" w:hAnsi="宋体" w:eastAsia="宋体" w:cs="宋体"/>
                <w:spacing w:val="7"/>
                <w:sz w:val="20"/>
                <w:szCs w:val="20"/>
              </w:rPr>
              <w:t>油池、沉淀池等</w:t>
            </w:r>
          </w:p>
        </w:tc>
        <w:tc>
          <w:tcPr>
            <w:tcW w:w="1147" w:type="dxa"/>
          </w:tcPr>
          <w:p w14:paraId="74D0C3C6">
            <w:pPr>
              <w:spacing w:before="101" w:line="195" w:lineRule="auto"/>
              <w:ind w:left="534"/>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234" w:type="dxa"/>
            <w:vMerge w:val="continue"/>
            <w:tcBorders>
              <w:top w:val="nil"/>
              <w:bottom w:val="nil"/>
              <w:right w:val="nil"/>
            </w:tcBorders>
          </w:tcPr>
          <w:p w14:paraId="07F36E4E"/>
        </w:tc>
      </w:tr>
      <w:tr w14:paraId="21706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657" w:type="dxa"/>
            <w:vMerge w:val="continue"/>
            <w:tcBorders>
              <w:top w:val="nil"/>
              <w:left w:val="nil"/>
            </w:tcBorders>
          </w:tcPr>
          <w:p w14:paraId="1BC07ED7"/>
        </w:tc>
        <w:tc>
          <w:tcPr>
            <w:tcW w:w="1286" w:type="dxa"/>
          </w:tcPr>
          <w:p w14:paraId="42CEACC9">
            <w:pPr>
              <w:spacing w:before="66" w:line="228" w:lineRule="auto"/>
              <w:ind w:left="229"/>
              <w:rPr>
                <w:rFonts w:ascii="宋体" w:hAnsi="宋体" w:eastAsia="宋体" w:cs="宋体"/>
                <w:sz w:val="20"/>
                <w:szCs w:val="20"/>
              </w:rPr>
            </w:pPr>
            <w:r>
              <w:rPr>
                <w:rFonts w:ascii="宋体" w:hAnsi="宋体" w:eastAsia="宋体" w:cs="宋体"/>
                <w:spacing w:val="7"/>
                <w:sz w:val="20"/>
                <w:szCs w:val="20"/>
              </w:rPr>
              <w:t>生活污</w:t>
            </w:r>
            <w:r>
              <w:rPr>
                <w:rFonts w:ascii="宋体" w:hAnsi="宋体" w:eastAsia="宋体" w:cs="宋体"/>
                <w:spacing w:val="6"/>
                <w:sz w:val="20"/>
                <w:szCs w:val="20"/>
              </w:rPr>
              <w:t>水</w:t>
            </w:r>
          </w:p>
        </w:tc>
        <w:tc>
          <w:tcPr>
            <w:tcW w:w="3964" w:type="dxa"/>
          </w:tcPr>
          <w:p w14:paraId="0DC77B15">
            <w:pPr>
              <w:spacing w:before="66" w:line="228" w:lineRule="auto"/>
              <w:ind w:left="114"/>
              <w:rPr>
                <w:rFonts w:ascii="宋体" w:hAnsi="宋体" w:eastAsia="宋体" w:cs="宋体"/>
                <w:sz w:val="20"/>
                <w:szCs w:val="20"/>
              </w:rPr>
            </w:pPr>
            <w:r>
              <w:rPr>
                <w:rFonts w:ascii="宋体" w:hAnsi="宋体" w:eastAsia="宋体" w:cs="宋体"/>
                <w:spacing w:val="14"/>
                <w:sz w:val="20"/>
                <w:szCs w:val="20"/>
              </w:rPr>
              <w:t>经</w:t>
            </w:r>
            <w:r>
              <w:rPr>
                <w:rFonts w:ascii="宋体" w:hAnsi="宋体" w:eastAsia="宋体" w:cs="宋体"/>
                <w:spacing w:val="10"/>
                <w:sz w:val="20"/>
                <w:szCs w:val="20"/>
              </w:rPr>
              <w:t>三</w:t>
            </w:r>
            <w:r>
              <w:rPr>
                <w:rFonts w:ascii="宋体" w:hAnsi="宋体" w:eastAsia="宋体" w:cs="宋体"/>
                <w:spacing w:val="7"/>
                <w:sz w:val="20"/>
                <w:szCs w:val="20"/>
              </w:rPr>
              <w:t>级化粪池处理后，用于周围农地施肥</w:t>
            </w:r>
          </w:p>
        </w:tc>
        <w:tc>
          <w:tcPr>
            <w:tcW w:w="1147" w:type="dxa"/>
          </w:tcPr>
          <w:p w14:paraId="38C982DC">
            <w:pPr>
              <w:spacing w:before="105" w:line="192" w:lineRule="auto"/>
              <w:ind w:left="535"/>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234" w:type="dxa"/>
            <w:vMerge w:val="continue"/>
            <w:tcBorders>
              <w:top w:val="nil"/>
              <w:bottom w:val="nil"/>
              <w:right w:val="nil"/>
            </w:tcBorders>
          </w:tcPr>
          <w:p w14:paraId="25AE0E89"/>
        </w:tc>
      </w:tr>
      <w:tr w14:paraId="1FE8AB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657" w:type="dxa"/>
            <w:tcBorders>
              <w:left w:val="nil"/>
            </w:tcBorders>
          </w:tcPr>
          <w:p w14:paraId="6FD50DEE">
            <w:pPr>
              <w:spacing w:before="169" w:line="228" w:lineRule="auto"/>
              <w:ind w:left="425"/>
              <w:rPr>
                <w:rFonts w:ascii="宋体" w:hAnsi="宋体" w:eastAsia="宋体" w:cs="宋体"/>
                <w:sz w:val="20"/>
                <w:szCs w:val="20"/>
              </w:rPr>
            </w:pPr>
            <w:r>
              <w:rPr>
                <w:rFonts w:ascii="宋体" w:hAnsi="宋体" w:eastAsia="宋体" w:cs="宋体"/>
                <w:spacing w:val="5"/>
                <w:sz w:val="20"/>
                <w:szCs w:val="20"/>
              </w:rPr>
              <w:t>噪声防</w:t>
            </w:r>
            <w:r>
              <w:rPr>
                <w:rFonts w:ascii="宋体" w:hAnsi="宋体" w:eastAsia="宋体" w:cs="宋体"/>
                <w:spacing w:val="4"/>
                <w:sz w:val="20"/>
                <w:szCs w:val="20"/>
              </w:rPr>
              <w:t>治</w:t>
            </w:r>
          </w:p>
        </w:tc>
        <w:tc>
          <w:tcPr>
            <w:tcW w:w="1286" w:type="dxa"/>
          </w:tcPr>
          <w:p w14:paraId="5B8465E9">
            <w:pPr>
              <w:spacing w:before="169" w:line="228" w:lineRule="auto"/>
              <w:ind w:left="231"/>
              <w:rPr>
                <w:rFonts w:ascii="宋体" w:hAnsi="宋体" w:eastAsia="宋体" w:cs="宋体"/>
                <w:sz w:val="20"/>
                <w:szCs w:val="20"/>
              </w:rPr>
            </w:pPr>
            <w:r>
              <w:rPr>
                <w:rFonts w:ascii="宋体" w:hAnsi="宋体" w:eastAsia="宋体" w:cs="宋体"/>
                <w:spacing w:val="8"/>
                <w:sz w:val="20"/>
                <w:szCs w:val="20"/>
              </w:rPr>
              <w:t>设</w:t>
            </w:r>
            <w:r>
              <w:rPr>
                <w:rFonts w:ascii="宋体" w:hAnsi="宋体" w:eastAsia="宋体" w:cs="宋体"/>
                <w:spacing w:val="6"/>
                <w:sz w:val="20"/>
                <w:szCs w:val="20"/>
              </w:rPr>
              <w:t>备噪声</w:t>
            </w:r>
          </w:p>
        </w:tc>
        <w:tc>
          <w:tcPr>
            <w:tcW w:w="3964" w:type="dxa"/>
          </w:tcPr>
          <w:p w14:paraId="01467EA1">
            <w:pPr>
              <w:spacing w:before="34" w:line="237" w:lineRule="auto"/>
              <w:ind w:left="1674" w:right="107" w:hanging="1562"/>
              <w:rPr>
                <w:rFonts w:ascii="宋体" w:hAnsi="宋体" w:eastAsia="宋体" w:cs="宋体"/>
                <w:sz w:val="20"/>
                <w:szCs w:val="20"/>
              </w:rPr>
            </w:pPr>
            <w:r>
              <w:rPr>
                <w:rFonts w:ascii="宋体" w:hAnsi="宋体" w:eastAsia="宋体" w:cs="宋体"/>
                <w:spacing w:val="14"/>
                <w:sz w:val="20"/>
                <w:szCs w:val="20"/>
              </w:rPr>
              <w:t>选</w:t>
            </w:r>
            <w:r>
              <w:rPr>
                <w:rFonts w:ascii="宋体" w:hAnsi="宋体" w:eastAsia="宋体" w:cs="宋体"/>
                <w:spacing w:val="13"/>
                <w:sz w:val="20"/>
                <w:szCs w:val="20"/>
              </w:rPr>
              <w:t>用</w:t>
            </w:r>
            <w:r>
              <w:rPr>
                <w:rFonts w:ascii="宋体" w:hAnsi="宋体" w:eastAsia="宋体" w:cs="宋体"/>
                <w:spacing w:val="7"/>
                <w:sz w:val="20"/>
                <w:szCs w:val="20"/>
              </w:rPr>
              <w:t>低噪声设备、消声器、减震垫、隔声</w:t>
            </w:r>
            <w:r>
              <w:rPr>
                <w:rFonts w:ascii="宋体" w:hAnsi="宋体" w:eastAsia="宋体" w:cs="宋体"/>
                <w:sz w:val="20"/>
                <w:szCs w:val="20"/>
              </w:rPr>
              <w:t xml:space="preserve"> </w:t>
            </w:r>
            <w:r>
              <w:rPr>
                <w:rFonts w:ascii="宋体" w:hAnsi="宋体" w:eastAsia="宋体" w:cs="宋体"/>
                <w:spacing w:val="7"/>
                <w:sz w:val="20"/>
                <w:szCs w:val="20"/>
              </w:rPr>
              <w:t>屏</w:t>
            </w:r>
            <w:r>
              <w:rPr>
                <w:rFonts w:ascii="宋体" w:hAnsi="宋体" w:eastAsia="宋体" w:cs="宋体"/>
                <w:spacing w:val="6"/>
                <w:sz w:val="20"/>
                <w:szCs w:val="20"/>
              </w:rPr>
              <w:t>障等</w:t>
            </w:r>
          </w:p>
        </w:tc>
        <w:tc>
          <w:tcPr>
            <w:tcW w:w="1147" w:type="dxa"/>
          </w:tcPr>
          <w:p w14:paraId="087497F2">
            <w:pPr>
              <w:spacing w:before="205" w:line="195" w:lineRule="auto"/>
              <w:ind w:left="530"/>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234" w:type="dxa"/>
            <w:vMerge w:val="continue"/>
            <w:tcBorders>
              <w:top w:val="nil"/>
              <w:bottom w:val="nil"/>
              <w:right w:val="nil"/>
            </w:tcBorders>
          </w:tcPr>
          <w:p w14:paraId="7BF5CDE4"/>
        </w:tc>
      </w:tr>
      <w:tr w14:paraId="7084DD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657" w:type="dxa"/>
            <w:vMerge w:val="restart"/>
            <w:tcBorders>
              <w:left w:val="nil"/>
              <w:bottom w:val="nil"/>
            </w:tcBorders>
          </w:tcPr>
          <w:p w14:paraId="3BFEFC23">
            <w:pPr>
              <w:spacing w:before="245" w:line="228" w:lineRule="auto"/>
              <w:ind w:left="222"/>
              <w:rPr>
                <w:rFonts w:ascii="宋体" w:hAnsi="宋体" w:eastAsia="宋体" w:cs="宋体"/>
                <w:sz w:val="20"/>
                <w:szCs w:val="20"/>
              </w:rPr>
            </w:pPr>
            <w:r>
              <w:rPr>
                <w:rFonts w:ascii="宋体" w:hAnsi="宋体" w:eastAsia="宋体" w:cs="宋体"/>
                <w:spacing w:val="6"/>
                <w:sz w:val="20"/>
                <w:szCs w:val="20"/>
              </w:rPr>
              <w:t>固</w:t>
            </w:r>
            <w:r>
              <w:rPr>
                <w:rFonts w:ascii="宋体" w:hAnsi="宋体" w:eastAsia="宋体" w:cs="宋体"/>
                <w:spacing w:val="5"/>
                <w:sz w:val="20"/>
                <w:szCs w:val="20"/>
              </w:rPr>
              <w:t>体废物防治</w:t>
            </w:r>
          </w:p>
        </w:tc>
        <w:tc>
          <w:tcPr>
            <w:tcW w:w="1286" w:type="dxa"/>
          </w:tcPr>
          <w:p w14:paraId="401B998A">
            <w:pPr>
              <w:spacing w:before="70" w:line="228" w:lineRule="auto"/>
              <w:ind w:left="230"/>
              <w:rPr>
                <w:rFonts w:ascii="宋体" w:hAnsi="宋体" w:eastAsia="宋体" w:cs="宋体"/>
                <w:sz w:val="20"/>
                <w:szCs w:val="20"/>
              </w:rPr>
            </w:pPr>
            <w:r>
              <w:rPr>
                <w:rFonts w:ascii="宋体" w:hAnsi="宋体" w:eastAsia="宋体" w:cs="宋体"/>
                <w:spacing w:val="9"/>
                <w:sz w:val="20"/>
                <w:szCs w:val="20"/>
              </w:rPr>
              <w:t>建</w:t>
            </w:r>
            <w:r>
              <w:rPr>
                <w:rFonts w:ascii="宋体" w:hAnsi="宋体" w:eastAsia="宋体" w:cs="宋体"/>
                <w:spacing w:val="6"/>
                <w:sz w:val="20"/>
                <w:szCs w:val="20"/>
              </w:rPr>
              <w:t>筑垃圾</w:t>
            </w:r>
          </w:p>
        </w:tc>
        <w:tc>
          <w:tcPr>
            <w:tcW w:w="3964" w:type="dxa"/>
          </w:tcPr>
          <w:p w14:paraId="7DDE2044">
            <w:pPr>
              <w:spacing w:before="70" w:line="228" w:lineRule="auto"/>
              <w:ind w:left="1569"/>
              <w:rPr>
                <w:rFonts w:ascii="宋体" w:hAnsi="宋体" w:eastAsia="宋体" w:cs="宋体"/>
                <w:sz w:val="20"/>
                <w:szCs w:val="20"/>
              </w:rPr>
            </w:pPr>
            <w:r>
              <w:rPr>
                <w:rFonts w:ascii="宋体" w:hAnsi="宋体" w:eastAsia="宋体" w:cs="宋体"/>
                <w:spacing w:val="8"/>
                <w:sz w:val="20"/>
                <w:szCs w:val="20"/>
              </w:rPr>
              <w:t>建筑垃圾清</w:t>
            </w:r>
            <w:r>
              <w:rPr>
                <w:rFonts w:ascii="宋体" w:hAnsi="宋体" w:eastAsia="宋体" w:cs="宋体"/>
                <w:spacing w:val="7"/>
                <w:sz w:val="20"/>
                <w:szCs w:val="20"/>
              </w:rPr>
              <w:t>运</w:t>
            </w:r>
          </w:p>
        </w:tc>
        <w:tc>
          <w:tcPr>
            <w:tcW w:w="1147" w:type="dxa"/>
          </w:tcPr>
          <w:p w14:paraId="4D88C870">
            <w:pPr>
              <w:spacing w:before="105" w:line="195" w:lineRule="auto"/>
              <w:ind w:left="530"/>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234" w:type="dxa"/>
            <w:vMerge w:val="continue"/>
            <w:tcBorders>
              <w:top w:val="nil"/>
              <w:bottom w:val="nil"/>
              <w:right w:val="nil"/>
            </w:tcBorders>
          </w:tcPr>
          <w:p w14:paraId="137E54B8"/>
        </w:tc>
      </w:tr>
      <w:tr w14:paraId="35C0A8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657" w:type="dxa"/>
            <w:vMerge w:val="continue"/>
            <w:tcBorders>
              <w:top w:val="nil"/>
              <w:left w:val="nil"/>
            </w:tcBorders>
          </w:tcPr>
          <w:p w14:paraId="3423FD00"/>
        </w:tc>
        <w:tc>
          <w:tcPr>
            <w:tcW w:w="1286" w:type="dxa"/>
          </w:tcPr>
          <w:p w14:paraId="63ADC3E3">
            <w:pPr>
              <w:spacing w:before="70" w:line="228" w:lineRule="auto"/>
              <w:ind w:left="229"/>
              <w:rPr>
                <w:rFonts w:ascii="宋体" w:hAnsi="宋体" w:eastAsia="宋体" w:cs="宋体"/>
                <w:sz w:val="20"/>
                <w:szCs w:val="20"/>
              </w:rPr>
            </w:pPr>
            <w:r>
              <w:rPr>
                <w:rFonts w:ascii="宋体" w:hAnsi="宋体" w:eastAsia="宋体" w:cs="宋体"/>
                <w:spacing w:val="7"/>
                <w:sz w:val="20"/>
                <w:szCs w:val="20"/>
              </w:rPr>
              <w:t>生活垃</w:t>
            </w:r>
            <w:r>
              <w:rPr>
                <w:rFonts w:ascii="宋体" w:hAnsi="宋体" w:eastAsia="宋体" w:cs="宋体"/>
                <w:spacing w:val="6"/>
                <w:sz w:val="20"/>
                <w:szCs w:val="20"/>
              </w:rPr>
              <w:t>圾</w:t>
            </w:r>
          </w:p>
        </w:tc>
        <w:tc>
          <w:tcPr>
            <w:tcW w:w="3964" w:type="dxa"/>
          </w:tcPr>
          <w:p w14:paraId="1C40C1F8">
            <w:pPr>
              <w:spacing w:before="69" w:line="228" w:lineRule="auto"/>
              <w:ind w:left="1254"/>
              <w:rPr>
                <w:rFonts w:ascii="宋体" w:hAnsi="宋体" w:eastAsia="宋体" w:cs="宋体"/>
                <w:sz w:val="20"/>
                <w:szCs w:val="20"/>
              </w:rPr>
            </w:pPr>
            <w:r>
              <w:rPr>
                <w:rFonts w:ascii="宋体" w:hAnsi="宋体" w:eastAsia="宋体" w:cs="宋体"/>
                <w:spacing w:val="15"/>
                <w:sz w:val="20"/>
                <w:szCs w:val="20"/>
              </w:rPr>
              <w:t>生</w:t>
            </w:r>
            <w:r>
              <w:rPr>
                <w:rFonts w:ascii="宋体" w:hAnsi="宋体" w:eastAsia="宋体" w:cs="宋体"/>
                <w:spacing w:val="8"/>
                <w:sz w:val="20"/>
                <w:szCs w:val="20"/>
              </w:rPr>
              <w:t>活垃圾收集及清运</w:t>
            </w:r>
          </w:p>
        </w:tc>
        <w:tc>
          <w:tcPr>
            <w:tcW w:w="1147" w:type="dxa"/>
          </w:tcPr>
          <w:p w14:paraId="7B5E0D26">
            <w:pPr>
              <w:spacing w:before="106" w:line="195" w:lineRule="auto"/>
              <w:ind w:left="550"/>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234" w:type="dxa"/>
            <w:vMerge w:val="continue"/>
            <w:tcBorders>
              <w:top w:val="nil"/>
              <w:bottom w:val="nil"/>
              <w:right w:val="nil"/>
            </w:tcBorders>
          </w:tcPr>
          <w:p w14:paraId="622B64A3"/>
        </w:tc>
      </w:tr>
      <w:tr w14:paraId="2A7AA8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657" w:type="dxa"/>
            <w:tcBorders>
              <w:left w:val="nil"/>
            </w:tcBorders>
          </w:tcPr>
          <w:p w14:paraId="3B0EA27B">
            <w:pPr>
              <w:spacing w:before="67" w:line="228" w:lineRule="auto"/>
              <w:ind w:left="418"/>
              <w:rPr>
                <w:rFonts w:ascii="宋体" w:hAnsi="宋体" w:eastAsia="宋体" w:cs="宋体"/>
                <w:sz w:val="20"/>
                <w:szCs w:val="20"/>
              </w:rPr>
            </w:pPr>
            <w:r>
              <w:rPr>
                <w:rFonts w:ascii="宋体" w:hAnsi="宋体" w:eastAsia="宋体" w:cs="宋体"/>
                <w:spacing w:val="9"/>
                <w:sz w:val="20"/>
                <w:szCs w:val="20"/>
              </w:rPr>
              <w:t>水</w:t>
            </w:r>
            <w:r>
              <w:rPr>
                <w:rFonts w:ascii="宋体" w:hAnsi="宋体" w:eastAsia="宋体" w:cs="宋体"/>
                <w:spacing w:val="6"/>
                <w:sz w:val="20"/>
                <w:szCs w:val="20"/>
              </w:rPr>
              <w:t>土保持</w:t>
            </w:r>
          </w:p>
        </w:tc>
        <w:tc>
          <w:tcPr>
            <w:tcW w:w="1286" w:type="dxa"/>
          </w:tcPr>
          <w:p w14:paraId="3B7C1530">
            <w:pPr>
              <w:spacing w:before="67" w:line="228" w:lineRule="auto"/>
              <w:ind w:left="228"/>
              <w:rPr>
                <w:rFonts w:ascii="宋体" w:hAnsi="宋体" w:eastAsia="宋体" w:cs="宋体"/>
                <w:sz w:val="20"/>
                <w:szCs w:val="20"/>
              </w:rPr>
            </w:pPr>
            <w:r>
              <w:rPr>
                <w:rFonts w:ascii="宋体" w:hAnsi="宋体" w:eastAsia="宋体" w:cs="宋体"/>
                <w:spacing w:val="7"/>
                <w:sz w:val="20"/>
                <w:szCs w:val="20"/>
              </w:rPr>
              <w:t>植被恢复</w:t>
            </w:r>
          </w:p>
        </w:tc>
        <w:tc>
          <w:tcPr>
            <w:tcW w:w="3964" w:type="dxa"/>
          </w:tcPr>
          <w:p w14:paraId="22459760">
            <w:pPr>
              <w:spacing w:before="67" w:line="228" w:lineRule="auto"/>
              <w:ind w:left="1043"/>
              <w:rPr>
                <w:rFonts w:ascii="宋体" w:hAnsi="宋体" w:eastAsia="宋体" w:cs="宋体"/>
                <w:sz w:val="20"/>
                <w:szCs w:val="20"/>
              </w:rPr>
            </w:pPr>
            <w:r>
              <w:rPr>
                <w:rFonts w:ascii="宋体" w:hAnsi="宋体" w:eastAsia="宋体" w:cs="宋体"/>
                <w:spacing w:val="9"/>
                <w:sz w:val="20"/>
                <w:szCs w:val="20"/>
              </w:rPr>
              <w:t>恢复植被，控制水土流失</w:t>
            </w:r>
          </w:p>
        </w:tc>
        <w:tc>
          <w:tcPr>
            <w:tcW w:w="1147" w:type="dxa"/>
          </w:tcPr>
          <w:p w14:paraId="62CCF58C">
            <w:pPr>
              <w:spacing w:before="106" w:line="195" w:lineRule="auto"/>
              <w:ind w:left="538"/>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1234" w:type="dxa"/>
            <w:vMerge w:val="continue"/>
            <w:tcBorders>
              <w:top w:val="nil"/>
              <w:right w:val="nil"/>
            </w:tcBorders>
          </w:tcPr>
          <w:p w14:paraId="6BF4D41F"/>
        </w:tc>
      </w:tr>
    </w:tbl>
    <w:p w14:paraId="3E9BCDCA">
      <w:pPr>
        <w:spacing w:before="64" w:line="273" w:lineRule="exact"/>
        <w:ind w:left="4445"/>
        <w:rPr>
          <w:rFonts w:ascii="宋体" w:hAnsi="宋体" w:eastAsia="宋体" w:cs="宋体"/>
          <w:sz w:val="20"/>
          <w:szCs w:val="20"/>
        </w:rPr>
      </w:pPr>
      <w:r>
        <w:rPr>
          <w:rFonts w:ascii="宋体" w:hAnsi="宋体" w:eastAsia="宋体" w:cs="宋体"/>
          <w:spacing w:val="8"/>
          <w:position w:val="1"/>
          <w:sz w:val="20"/>
          <w:szCs w:val="20"/>
          <w14:textOutline w14:w="3797" w14:cap="sq" w14:cmpd="sng" w14:algn="ctr">
            <w14:solidFill>
              <w14:srgbClr w14:val="000000"/>
            </w14:solidFill>
            <w14:prstDash w14:val="solid"/>
            <w14:bevel/>
          </w14:textOutline>
        </w:rPr>
        <w:t>二、运营</w:t>
      </w:r>
      <w:r>
        <w:rPr>
          <w:rFonts w:ascii="宋体" w:hAnsi="宋体" w:eastAsia="宋体" w:cs="宋体"/>
          <w:spacing w:val="7"/>
          <w:position w:val="1"/>
          <w:sz w:val="20"/>
          <w:szCs w:val="20"/>
          <w14:textOutline w14:w="3797" w14:cap="sq" w14:cmpd="sng" w14:algn="ctr">
            <w14:solidFill>
              <w14:srgbClr w14:val="000000"/>
            </w14:solidFill>
            <w14:prstDash w14:val="solid"/>
            <w14:bevel/>
          </w14:textOutline>
        </w:rPr>
        <w:t>期</w:t>
      </w:r>
    </w:p>
    <w:p w14:paraId="7A328BB5">
      <w:pPr>
        <w:spacing w:line="36" w:lineRule="auto"/>
        <w:rPr>
          <w:sz w:val="2"/>
        </w:rPr>
      </w:pPr>
    </w:p>
    <w:tbl>
      <w:tblPr>
        <w:tblStyle w:val="4"/>
        <w:tblW w:w="9288" w:type="dxa"/>
        <w:tblInd w:w="10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7"/>
        <w:gridCol w:w="1286"/>
        <w:gridCol w:w="3964"/>
        <w:gridCol w:w="1147"/>
        <w:gridCol w:w="1234"/>
      </w:tblGrid>
      <w:tr w14:paraId="49BEF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2" w:hRule="atLeast"/>
        </w:trPr>
        <w:tc>
          <w:tcPr>
            <w:tcW w:w="1657" w:type="dxa"/>
            <w:vMerge w:val="restart"/>
            <w:tcBorders>
              <w:left w:val="nil"/>
              <w:bottom w:val="nil"/>
            </w:tcBorders>
          </w:tcPr>
          <w:p w14:paraId="002689FB">
            <w:pPr>
              <w:spacing w:line="245" w:lineRule="auto"/>
            </w:pPr>
          </w:p>
          <w:p w14:paraId="618812F6">
            <w:pPr>
              <w:spacing w:line="245" w:lineRule="auto"/>
            </w:pPr>
          </w:p>
          <w:p w14:paraId="3C4C4AB9">
            <w:pPr>
              <w:spacing w:line="245" w:lineRule="auto"/>
            </w:pPr>
          </w:p>
          <w:p w14:paraId="55DB7DE3">
            <w:pPr>
              <w:spacing w:line="245" w:lineRule="auto"/>
            </w:pPr>
          </w:p>
          <w:p w14:paraId="60794FC5">
            <w:pPr>
              <w:spacing w:line="246" w:lineRule="auto"/>
            </w:pPr>
          </w:p>
          <w:p w14:paraId="28F61E65">
            <w:pPr>
              <w:spacing w:before="65" w:line="266" w:lineRule="auto"/>
              <w:ind w:left="730" w:right="199" w:hanging="103"/>
              <w:rPr>
                <w:rFonts w:ascii="宋体" w:hAnsi="宋体" w:eastAsia="宋体" w:cs="宋体"/>
                <w:sz w:val="20"/>
                <w:szCs w:val="20"/>
              </w:rPr>
            </w:pPr>
            <w:r>
              <w:rPr>
                <w:rFonts w:ascii="宋体" w:hAnsi="宋体" w:eastAsia="宋体" w:cs="宋体"/>
                <w:spacing w:val="9"/>
                <w:sz w:val="20"/>
                <w:szCs w:val="20"/>
              </w:rPr>
              <w:t>大</w:t>
            </w:r>
            <w:r>
              <w:rPr>
                <w:rFonts w:ascii="宋体" w:hAnsi="宋体" w:eastAsia="宋体" w:cs="宋体"/>
                <w:spacing w:val="6"/>
                <w:sz w:val="20"/>
                <w:szCs w:val="20"/>
              </w:rPr>
              <w:t>气污染</w:t>
            </w:r>
            <w:r>
              <w:rPr>
                <w:rFonts w:ascii="宋体" w:hAnsi="宋体" w:eastAsia="宋体" w:cs="宋体"/>
                <w:sz w:val="20"/>
                <w:szCs w:val="20"/>
              </w:rPr>
              <w:t xml:space="preserve"> 物</w:t>
            </w:r>
          </w:p>
        </w:tc>
        <w:tc>
          <w:tcPr>
            <w:tcW w:w="1286" w:type="dxa"/>
          </w:tcPr>
          <w:p w14:paraId="04F8DCC4">
            <w:pPr>
              <w:spacing w:line="297" w:lineRule="auto"/>
            </w:pPr>
          </w:p>
          <w:p w14:paraId="5A39F709">
            <w:pPr>
              <w:spacing w:line="297" w:lineRule="auto"/>
            </w:pPr>
          </w:p>
          <w:p w14:paraId="7CC6F812">
            <w:pPr>
              <w:spacing w:line="297" w:lineRule="auto"/>
            </w:pPr>
          </w:p>
          <w:p w14:paraId="7827C8A4">
            <w:pPr>
              <w:spacing w:line="298" w:lineRule="auto"/>
            </w:pPr>
          </w:p>
          <w:p w14:paraId="29493065">
            <w:pPr>
              <w:spacing w:before="65" w:line="228" w:lineRule="auto"/>
              <w:ind w:left="227"/>
              <w:rPr>
                <w:rFonts w:ascii="宋体" w:hAnsi="宋体" w:eastAsia="宋体" w:cs="宋体"/>
                <w:sz w:val="20"/>
                <w:szCs w:val="20"/>
              </w:rPr>
            </w:pPr>
            <w:r>
              <w:rPr>
                <w:rFonts w:ascii="宋体" w:hAnsi="宋体" w:eastAsia="宋体" w:cs="宋体"/>
                <w:spacing w:val="8"/>
                <w:sz w:val="20"/>
                <w:szCs w:val="20"/>
              </w:rPr>
              <w:t>猪</w:t>
            </w:r>
            <w:r>
              <w:rPr>
                <w:rFonts w:ascii="宋体" w:hAnsi="宋体" w:eastAsia="宋体" w:cs="宋体"/>
                <w:spacing w:val="7"/>
                <w:sz w:val="20"/>
                <w:szCs w:val="20"/>
              </w:rPr>
              <w:t>舍恶臭</w:t>
            </w:r>
          </w:p>
        </w:tc>
        <w:tc>
          <w:tcPr>
            <w:tcW w:w="3964" w:type="dxa"/>
          </w:tcPr>
          <w:p w14:paraId="77D24D0F">
            <w:pPr>
              <w:spacing w:before="1" w:line="256" w:lineRule="auto"/>
              <w:ind w:left="1040" w:right="150" w:hanging="885"/>
              <w:rPr>
                <w:rFonts w:ascii="宋体" w:hAnsi="宋体" w:eastAsia="宋体" w:cs="宋体"/>
                <w:sz w:val="20"/>
                <w:szCs w:val="20"/>
              </w:rPr>
            </w:pPr>
            <w:r>
              <w:rPr>
                <w:rFonts w:ascii="宋体" w:hAnsi="宋体" w:eastAsia="宋体" w:cs="宋体"/>
                <w:spacing w:val="16"/>
                <w:sz w:val="20"/>
                <w:szCs w:val="20"/>
              </w:rPr>
              <w:t>①</w:t>
            </w:r>
            <w:r>
              <w:rPr>
                <w:rFonts w:ascii="宋体" w:hAnsi="宋体" w:eastAsia="宋体" w:cs="宋体"/>
                <w:spacing w:val="10"/>
                <w:sz w:val="20"/>
                <w:szCs w:val="20"/>
              </w:rPr>
              <w:t>采</w:t>
            </w:r>
            <w:r>
              <w:rPr>
                <w:rFonts w:ascii="宋体" w:hAnsi="宋体" w:eastAsia="宋体" w:cs="宋体"/>
                <w:spacing w:val="8"/>
                <w:sz w:val="20"/>
                <w:szCs w:val="20"/>
              </w:rPr>
              <w:t>用</w:t>
            </w:r>
            <w:r>
              <w:rPr>
                <w:rFonts w:ascii="Times New Roman" w:hAnsi="Times New Roman" w:eastAsia="Times New Roman" w:cs="Times New Roman"/>
                <w:spacing w:val="8"/>
                <w:sz w:val="20"/>
                <w:szCs w:val="20"/>
              </w:rPr>
              <w:t>“</w:t>
            </w:r>
            <w:r>
              <w:rPr>
                <w:rFonts w:ascii="宋体" w:hAnsi="宋体" w:eastAsia="宋体" w:cs="宋体"/>
                <w:spacing w:val="8"/>
                <w:sz w:val="20"/>
                <w:szCs w:val="20"/>
              </w:rPr>
              <w:t>高架网床</w:t>
            </w:r>
            <w:r>
              <w:rPr>
                <w:rFonts w:ascii="Times New Roman" w:hAnsi="Times New Roman" w:eastAsia="Times New Roman" w:cs="Times New Roman"/>
                <w:spacing w:val="8"/>
                <w:sz w:val="20"/>
                <w:szCs w:val="20"/>
              </w:rPr>
              <w:t>+</w:t>
            </w:r>
            <w:r>
              <w:rPr>
                <w:rFonts w:ascii="宋体" w:hAnsi="宋体" w:eastAsia="宋体" w:cs="宋体"/>
                <w:spacing w:val="8"/>
                <w:sz w:val="20"/>
                <w:szCs w:val="20"/>
              </w:rPr>
              <w:t>益生菌</w:t>
            </w:r>
            <w:r>
              <w:rPr>
                <w:rFonts w:ascii="Times New Roman" w:hAnsi="Times New Roman" w:eastAsia="Times New Roman" w:cs="Times New Roman"/>
                <w:spacing w:val="8"/>
                <w:sz w:val="20"/>
                <w:szCs w:val="20"/>
              </w:rPr>
              <w:t>”</w:t>
            </w:r>
            <w:r>
              <w:rPr>
                <w:rFonts w:ascii="宋体" w:hAnsi="宋体" w:eastAsia="宋体" w:cs="宋体"/>
                <w:spacing w:val="8"/>
                <w:sz w:val="20"/>
                <w:szCs w:val="20"/>
              </w:rPr>
              <w:t>养殖模式，从</w:t>
            </w:r>
            <w:r>
              <w:rPr>
                <w:rFonts w:ascii="宋体" w:hAnsi="宋体" w:eastAsia="宋体" w:cs="宋体"/>
                <w:sz w:val="20"/>
                <w:szCs w:val="20"/>
              </w:rPr>
              <w:t xml:space="preserve"> </w:t>
            </w:r>
            <w:r>
              <w:rPr>
                <w:rFonts w:ascii="宋体" w:hAnsi="宋体" w:eastAsia="宋体" w:cs="宋体"/>
                <w:spacing w:val="8"/>
                <w:sz w:val="20"/>
                <w:szCs w:val="20"/>
              </w:rPr>
              <w:t>源头较少臭气产生</w:t>
            </w:r>
            <w:r>
              <w:rPr>
                <w:rFonts w:ascii="宋体" w:hAnsi="宋体" w:eastAsia="宋体" w:cs="宋体"/>
                <w:spacing w:val="6"/>
                <w:sz w:val="20"/>
                <w:szCs w:val="20"/>
              </w:rPr>
              <w:t>；</w:t>
            </w:r>
          </w:p>
          <w:p w14:paraId="59E32565">
            <w:pPr>
              <w:spacing w:before="25" w:line="225" w:lineRule="auto"/>
              <w:ind w:left="620"/>
              <w:rPr>
                <w:rFonts w:ascii="宋体" w:hAnsi="宋体" w:eastAsia="宋体" w:cs="宋体"/>
                <w:sz w:val="20"/>
                <w:szCs w:val="20"/>
              </w:rPr>
            </w:pPr>
            <w:r>
              <w:rPr>
                <w:rFonts w:ascii="宋体" w:hAnsi="宋体" w:eastAsia="宋体" w:cs="宋体"/>
                <w:spacing w:val="16"/>
                <w:sz w:val="20"/>
                <w:szCs w:val="20"/>
              </w:rPr>
              <w:t>②</w:t>
            </w:r>
            <w:r>
              <w:rPr>
                <w:rFonts w:ascii="宋体" w:hAnsi="宋体" w:eastAsia="宋体" w:cs="宋体"/>
                <w:spacing w:val="9"/>
                <w:sz w:val="20"/>
                <w:szCs w:val="20"/>
              </w:rPr>
              <w:t>改</w:t>
            </w:r>
            <w:r>
              <w:rPr>
                <w:rFonts w:ascii="宋体" w:hAnsi="宋体" w:eastAsia="宋体" w:cs="宋体"/>
                <w:spacing w:val="8"/>
                <w:sz w:val="20"/>
                <w:szCs w:val="20"/>
              </w:rPr>
              <w:t>良饲料、科学配比饲料；</w:t>
            </w:r>
          </w:p>
          <w:p w14:paraId="7A1E71B9">
            <w:pPr>
              <w:spacing w:before="28"/>
              <w:ind w:left="1779" w:right="196" w:hanging="1579"/>
              <w:rPr>
                <w:rFonts w:ascii="宋体" w:hAnsi="宋体" w:eastAsia="宋体" w:cs="宋体"/>
                <w:sz w:val="20"/>
                <w:szCs w:val="20"/>
              </w:rPr>
            </w:pPr>
            <w:r>
              <w:rPr>
                <w:rFonts w:ascii="宋体" w:hAnsi="宋体" w:eastAsia="宋体" w:cs="宋体"/>
                <w:spacing w:val="18"/>
                <w:sz w:val="20"/>
                <w:szCs w:val="20"/>
              </w:rPr>
              <w:t>③</w:t>
            </w:r>
            <w:r>
              <w:rPr>
                <w:rFonts w:ascii="宋体" w:hAnsi="宋体" w:eastAsia="宋体" w:cs="宋体"/>
                <w:spacing w:val="9"/>
                <w:sz w:val="20"/>
                <w:szCs w:val="20"/>
              </w:rPr>
              <w:t>合理平面布置、加强对猪舍的通风换</w:t>
            </w:r>
            <w:r>
              <w:rPr>
                <w:rFonts w:ascii="宋体" w:hAnsi="宋体" w:eastAsia="宋体" w:cs="宋体"/>
                <w:sz w:val="20"/>
                <w:szCs w:val="20"/>
              </w:rPr>
              <w:t xml:space="preserve"> 气；</w:t>
            </w:r>
          </w:p>
          <w:p w14:paraId="7CFDC4D5">
            <w:pPr>
              <w:spacing w:before="23"/>
              <w:ind w:left="726" w:right="107" w:hanging="615"/>
              <w:rPr>
                <w:rFonts w:ascii="宋体" w:hAnsi="宋体" w:eastAsia="宋体" w:cs="宋体"/>
                <w:sz w:val="20"/>
                <w:szCs w:val="20"/>
              </w:rPr>
            </w:pPr>
            <w:r>
              <w:rPr>
                <w:rFonts w:ascii="宋体" w:hAnsi="宋体" w:eastAsia="宋体" w:cs="宋体"/>
                <w:spacing w:val="14"/>
                <w:sz w:val="20"/>
                <w:szCs w:val="20"/>
              </w:rPr>
              <w:t>④及</w:t>
            </w:r>
            <w:r>
              <w:rPr>
                <w:rFonts w:ascii="宋体" w:hAnsi="宋体" w:eastAsia="宋体" w:cs="宋体"/>
                <w:spacing w:val="7"/>
                <w:sz w:val="20"/>
                <w:szCs w:val="20"/>
              </w:rPr>
              <w:t>时尿泡粪、集污池加蓬盖、粪污及时</w:t>
            </w:r>
            <w:r>
              <w:rPr>
                <w:rFonts w:ascii="宋体" w:hAnsi="宋体" w:eastAsia="宋体" w:cs="宋体"/>
                <w:sz w:val="20"/>
                <w:szCs w:val="20"/>
              </w:rPr>
              <w:t xml:space="preserve"> </w:t>
            </w:r>
            <w:r>
              <w:rPr>
                <w:rFonts w:ascii="宋体" w:hAnsi="宋体" w:eastAsia="宋体" w:cs="宋体"/>
                <w:spacing w:val="13"/>
                <w:sz w:val="20"/>
                <w:szCs w:val="20"/>
              </w:rPr>
              <w:t>抽</w:t>
            </w:r>
            <w:r>
              <w:rPr>
                <w:rFonts w:ascii="宋体" w:hAnsi="宋体" w:eastAsia="宋体" w:cs="宋体"/>
                <w:spacing w:val="8"/>
                <w:sz w:val="20"/>
                <w:szCs w:val="20"/>
              </w:rPr>
              <w:t>出发酵床作无害化处理；</w:t>
            </w:r>
          </w:p>
          <w:p w14:paraId="2E751EAF">
            <w:pPr>
              <w:spacing w:before="27" w:line="225" w:lineRule="auto"/>
              <w:ind w:left="1040"/>
              <w:rPr>
                <w:rFonts w:ascii="宋体" w:hAnsi="宋体" w:eastAsia="宋体" w:cs="宋体"/>
                <w:sz w:val="20"/>
                <w:szCs w:val="20"/>
              </w:rPr>
            </w:pPr>
            <w:r>
              <w:rPr>
                <w:rFonts w:ascii="宋体" w:hAnsi="宋体" w:eastAsia="宋体" w:cs="宋体"/>
                <w:spacing w:val="9"/>
                <w:sz w:val="20"/>
                <w:szCs w:val="20"/>
              </w:rPr>
              <w:t>⑤</w:t>
            </w:r>
            <w:r>
              <w:rPr>
                <w:rFonts w:ascii="宋体" w:hAnsi="宋体" w:eastAsia="宋体" w:cs="宋体"/>
                <w:spacing w:val="8"/>
                <w:sz w:val="20"/>
                <w:szCs w:val="20"/>
              </w:rPr>
              <w:t>定时喷洒除臭剂；</w:t>
            </w:r>
          </w:p>
          <w:p w14:paraId="5E26EA6D">
            <w:pPr>
              <w:spacing w:before="27" w:line="225" w:lineRule="auto"/>
              <w:ind w:left="1040"/>
              <w:rPr>
                <w:rFonts w:ascii="宋体" w:hAnsi="宋体" w:eastAsia="宋体" w:cs="宋体"/>
                <w:sz w:val="20"/>
                <w:szCs w:val="20"/>
              </w:rPr>
            </w:pPr>
            <w:r>
              <w:rPr>
                <w:rFonts w:ascii="宋体" w:hAnsi="宋体" w:eastAsia="宋体" w:cs="宋体"/>
                <w:spacing w:val="9"/>
                <w:sz w:val="20"/>
                <w:szCs w:val="20"/>
              </w:rPr>
              <w:t>⑥</w:t>
            </w:r>
            <w:r>
              <w:rPr>
                <w:rFonts w:ascii="宋体" w:hAnsi="宋体" w:eastAsia="宋体" w:cs="宋体"/>
                <w:spacing w:val="8"/>
                <w:sz w:val="20"/>
                <w:szCs w:val="20"/>
              </w:rPr>
              <w:t>加强厂区绿化等；</w:t>
            </w:r>
          </w:p>
          <w:p w14:paraId="15FC430C">
            <w:pPr>
              <w:spacing w:before="29" w:line="225" w:lineRule="auto"/>
              <w:ind w:left="620"/>
              <w:rPr>
                <w:rFonts w:ascii="宋体" w:hAnsi="宋体" w:eastAsia="宋体" w:cs="宋体"/>
                <w:sz w:val="20"/>
                <w:szCs w:val="20"/>
              </w:rPr>
            </w:pPr>
            <w:r>
              <w:rPr>
                <w:rFonts w:ascii="宋体" w:hAnsi="宋体" w:eastAsia="宋体" w:cs="宋体"/>
                <w:spacing w:val="16"/>
                <w:sz w:val="20"/>
                <w:szCs w:val="20"/>
              </w:rPr>
              <w:t>⑦</w:t>
            </w:r>
            <w:r>
              <w:rPr>
                <w:rFonts w:ascii="宋体" w:hAnsi="宋体" w:eastAsia="宋体" w:cs="宋体"/>
                <w:spacing w:val="9"/>
                <w:sz w:val="20"/>
                <w:szCs w:val="20"/>
              </w:rPr>
              <w:t>粪</w:t>
            </w:r>
            <w:r>
              <w:rPr>
                <w:rFonts w:ascii="宋体" w:hAnsi="宋体" w:eastAsia="宋体" w:cs="宋体"/>
                <w:spacing w:val="8"/>
                <w:sz w:val="20"/>
                <w:szCs w:val="20"/>
              </w:rPr>
              <w:t>污喷淋时，发酵床密闭。</w:t>
            </w:r>
          </w:p>
        </w:tc>
        <w:tc>
          <w:tcPr>
            <w:tcW w:w="1147" w:type="dxa"/>
          </w:tcPr>
          <w:p w14:paraId="09A4E8F9">
            <w:pPr>
              <w:spacing w:line="246" w:lineRule="auto"/>
            </w:pPr>
          </w:p>
          <w:p w14:paraId="168A421F">
            <w:pPr>
              <w:spacing w:line="246" w:lineRule="auto"/>
            </w:pPr>
          </w:p>
          <w:p w14:paraId="51175270">
            <w:pPr>
              <w:spacing w:line="246" w:lineRule="auto"/>
            </w:pPr>
          </w:p>
          <w:p w14:paraId="06C26EDA">
            <w:pPr>
              <w:spacing w:line="247" w:lineRule="auto"/>
            </w:pPr>
          </w:p>
          <w:p w14:paraId="6C2364B4">
            <w:pPr>
              <w:spacing w:line="247" w:lineRule="auto"/>
            </w:pPr>
          </w:p>
          <w:p w14:paraId="24DB407C">
            <w:pPr>
              <w:spacing w:before="58" w:line="195" w:lineRule="auto"/>
              <w:ind w:left="53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z w:val="20"/>
                <w:szCs w:val="20"/>
              </w:rPr>
              <w:t>5</w:t>
            </w:r>
          </w:p>
        </w:tc>
        <w:tc>
          <w:tcPr>
            <w:tcW w:w="1234" w:type="dxa"/>
            <w:vMerge w:val="restart"/>
            <w:tcBorders>
              <w:bottom w:val="nil"/>
              <w:right w:val="nil"/>
            </w:tcBorders>
          </w:tcPr>
          <w:p w14:paraId="0A458887">
            <w:pPr>
              <w:spacing w:line="242" w:lineRule="auto"/>
            </w:pPr>
          </w:p>
          <w:p w14:paraId="28934E5A">
            <w:pPr>
              <w:spacing w:line="242" w:lineRule="auto"/>
            </w:pPr>
          </w:p>
          <w:p w14:paraId="3631AC16">
            <w:pPr>
              <w:spacing w:line="243" w:lineRule="auto"/>
            </w:pPr>
          </w:p>
          <w:p w14:paraId="2AA39638">
            <w:pPr>
              <w:spacing w:line="243" w:lineRule="auto"/>
            </w:pPr>
          </w:p>
          <w:p w14:paraId="60C6AE18">
            <w:pPr>
              <w:spacing w:line="243" w:lineRule="auto"/>
            </w:pPr>
          </w:p>
          <w:p w14:paraId="4111C10F">
            <w:pPr>
              <w:spacing w:line="243" w:lineRule="auto"/>
            </w:pPr>
          </w:p>
          <w:p w14:paraId="61283D54">
            <w:pPr>
              <w:spacing w:line="243" w:lineRule="auto"/>
            </w:pPr>
          </w:p>
          <w:p w14:paraId="5FC5BA65">
            <w:pPr>
              <w:spacing w:line="243" w:lineRule="auto"/>
            </w:pPr>
          </w:p>
          <w:p w14:paraId="3F8CB0B3">
            <w:pPr>
              <w:spacing w:line="243" w:lineRule="auto"/>
            </w:pPr>
          </w:p>
          <w:p w14:paraId="13638E1C">
            <w:pPr>
              <w:spacing w:line="243" w:lineRule="auto"/>
            </w:pPr>
          </w:p>
          <w:p w14:paraId="6D4F7BCC">
            <w:pPr>
              <w:spacing w:line="243" w:lineRule="auto"/>
            </w:pPr>
          </w:p>
          <w:p w14:paraId="1D4D20B8">
            <w:pPr>
              <w:spacing w:line="243" w:lineRule="auto"/>
            </w:pPr>
          </w:p>
          <w:p w14:paraId="32ED03FE">
            <w:pPr>
              <w:spacing w:before="57" w:line="195" w:lineRule="auto"/>
              <w:ind w:left="671"/>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00</w:t>
            </w:r>
          </w:p>
        </w:tc>
      </w:tr>
      <w:tr w14:paraId="09B1DD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657" w:type="dxa"/>
            <w:vMerge w:val="continue"/>
            <w:tcBorders>
              <w:top w:val="nil"/>
              <w:left w:val="nil"/>
            </w:tcBorders>
          </w:tcPr>
          <w:p w14:paraId="3DF9B9F6"/>
        </w:tc>
        <w:tc>
          <w:tcPr>
            <w:tcW w:w="1286" w:type="dxa"/>
          </w:tcPr>
          <w:p w14:paraId="305FDB80">
            <w:pPr>
              <w:spacing w:before="66" w:line="228" w:lineRule="auto"/>
              <w:ind w:left="227"/>
              <w:rPr>
                <w:rFonts w:ascii="宋体" w:hAnsi="宋体" w:eastAsia="宋体" w:cs="宋体"/>
                <w:sz w:val="20"/>
                <w:szCs w:val="20"/>
              </w:rPr>
            </w:pPr>
            <w:r>
              <w:rPr>
                <w:rFonts w:ascii="宋体" w:hAnsi="宋体" w:eastAsia="宋体" w:cs="宋体"/>
                <w:spacing w:val="8"/>
                <w:sz w:val="20"/>
                <w:szCs w:val="20"/>
              </w:rPr>
              <w:t>食</w:t>
            </w:r>
            <w:r>
              <w:rPr>
                <w:rFonts w:ascii="宋体" w:hAnsi="宋体" w:eastAsia="宋体" w:cs="宋体"/>
                <w:spacing w:val="7"/>
                <w:sz w:val="20"/>
                <w:szCs w:val="20"/>
              </w:rPr>
              <w:t>堂油烟</w:t>
            </w:r>
          </w:p>
        </w:tc>
        <w:tc>
          <w:tcPr>
            <w:tcW w:w="3964" w:type="dxa"/>
          </w:tcPr>
          <w:p w14:paraId="68747BC3">
            <w:pPr>
              <w:spacing w:before="66" w:line="228" w:lineRule="auto"/>
              <w:ind w:left="1676"/>
              <w:rPr>
                <w:rFonts w:ascii="宋体" w:hAnsi="宋体" w:eastAsia="宋体" w:cs="宋体"/>
                <w:sz w:val="20"/>
                <w:szCs w:val="20"/>
              </w:rPr>
            </w:pPr>
            <w:r>
              <w:rPr>
                <w:rFonts w:ascii="宋体" w:hAnsi="宋体" w:eastAsia="宋体" w:cs="宋体"/>
                <w:spacing w:val="9"/>
                <w:sz w:val="20"/>
                <w:szCs w:val="20"/>
              </w:rPr>
              <w:t>油</w:t>
            </w:r>
            <w:r>
              <w:rPr>
                <w:rFonts w:ascii="宋体" w:hAnsi="宋体" w:eastAsia="宋体" w:cs="宋体"/>
                <w:spacing w:val="7"/>
                <w:sz w:val="20"/>
                <w:szCs w:val="20"/>
              </w:rPr>
              <w:t>烟净化器</w:t>
            </w:r>
          </w:p>
        </w:tc>
        <w:tc>
          <w:tcPr>
            <w:tcW w:w="1147" w:type="dxa"/>
          </w:tcPr>
          <w:p w14:paraId="57BCE5DE">
            <w:pPr>
              <w:spacing w:before="101" w:line="195" w:lineRule="auto"/>
              <w:ind w:left="530"/>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234" w:type="dxa"/>
            <w:vMerge w:val="continue"/>
            <w:tcBorders>
              <w:top w:val="nil"/>
              <w:bottom w:val="nil"/>
              <w:right w:val="nil"/>
            </w:tcBorders>
          </w:tcPr>
          <w:p w14:paraId="04CB636C"/>
        </w:tc>
      </w:tr>
      <w:tr w14:paraId="1A278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657" w:type="dxa"/>
            <w:vMerge w:val="restart"/>
            <w:tcBorders>
              <w:left w:val="nil"/>
              <w:bottom w:val="nil"/>
            </w:tcBorders>
          </w:tcPr>
          <w:p w14:paraId="079245F0">
            <w:pPr>
              <w:spacing w:line="256" w:lineRule="auto"/>
            </w:pPr>
          </w:p>
          <w:p w14:paraId="1191C6FB">
            <w:pPr>
              <w:spacing w:line="257" w:lineRule="auto"/>
            </w:pPr>
          </w:p>
          <w:p w14:paraId="208B46E7">
            <w:pPr>
              <w:spacing w:before="65" w:line="228" w:lineRule="auto"/>
              <w:ind w:left="624"/>
              <w:rPr>
                <w:rFonts w:ascii="宋体" w:hAnsi="宋体" w:eastAsia="宋体" w:cs="宋体"/>
                <w:sz w:val="20"/>
                <w:szCs w:val="20"/>
              </w:rPr>
            </w:pPr>
            <w:r>
              <w:rPr>
                <w:rFonts w:ascii="宋体" w:hAnsi="宋体" w:eastAsia="宋体" w:cs="宋体"/>
                <w:spacing w:val="9"/>
                <w:sz w:val="20"/>
                <w:szCs w:val="20"/>
              </w:rPr>
              <w:t>废</w:t>
            </w:r>
            <w:r>
              <w:rPr>
                <w:rFonts w:ascii="宋体" w:hAnsi="宋体" w:eastAsia="宋体" w:cs="宋体"/>
                <w:spacing w:val="7"/>
                <w:sz w:val="20"/>
                <w:szCs w:val="20"/>
              </w:rPr>
              <w:t>水防治</w:t>
            </w:r>
          </w:p>
        </w:tc>
        <w:tc>
          <w:tcPr>
            <w:tcW w:w="1286" w:type="dxa"/>
          </w:tcPr>
          <w:p w14:paraId="1A2BDCD8">
            <w:pPr>
              <w:spacing w:before="303" w:line="228" w:lineRule="auto"/>
              <w:ind w:left="228"/>
              <w:rPr>
                <w:rFonts w:ascii="宋体" w:hAnsi="宋体" w:eastAsia="宋体" w:cs="宋体"/>
                <w:sz w:val="20"/>
                <w:szCs w:val="20"/>
              </w:rPr>
            </w:pPr>
            <w:r>
              <w:rPr>
                <w:rFonts w:ascii="宋体" w:hAnsi="宋体" w:eastAsia="宋体" w:cs="宋体"/>
                <w:spacing w:val="7"/>
                <w:sz w:val="20"/>
                <w:szCs w:val="20"/>
              </w:rPr>
              <w:t>养殖废水</w:t>
            </w:r>
          </w:p>
        </w:tc>
        <w:tc>
          <w:tcPr>
            <w:tcW w:w="3964" w:type="dxa"/>
          </w:tcPr>
          <w:p w14:paraId="1FC4048A">
            <w:pPr>
              <w:spacing w:before="32" w:line="227" w:lineRule="auto"/>
              <w:ind w:left="206"/>
              <w:rPr>
                <w:rFonts w:ascii="宋体" w:hAnsi="宋体" w:eastAsia="宋体" w:cs="宋体"/>
                <w:sz w:val="20"/>
                <w:szCs w:val="20"/>
              </w:rPr>
            </w:pPr>
            <w:r>
              <w:rPr>
                <w:rFonts w:ascii="宋体" w:hAnsi="宋体" w:eastAsia="宋体" w:cs="宋体"/>
                <w:spacing w:val="12"/>
                <w:sz w:val="20"/>
                <w:szCs w:val="20"/>
              </w:rPr>
              <w:t>外</w:t>
            </w:r>
            <w:r>
              <w:rPr>
                <w:rFonts w:ascii="宋体" w:hAnsi="宋体" w:eastAsia="宋体" w:cs="宋体"/>
                <w:spacing w:val="9"/>
                <w:sz w:val="20"/>
                <w:szCs w:val="20"/>
              </w:rPr>
              <w:t>委给乐山乐高勤力生物质能源综合利</w:t>
            </w:r>
          </w:p>
          <w:p w14:paraId="3DEEF335">
            <w:pPr>
              <w:spacing w:before="24" w:line="228" w:lineRule="auto"/>
              <w:ind w:left="203"/>
              <w:rPr>
                <w:rFonts w:ascii="宋体" w:hAnsi="宋体" w:eastAsia="宋体" w:cs="宋体"/>
                <w:sz w:val="20"/>
                <w:szCs w:val="20"/>
              </w:rPr>
            </w:pPr>
            <w:r>
              <w:rPr>
                <w:rFonts w:ascii="宋体" w:hAnsi="宋体" w:eastAsia="宋体" w:cs="宋体"/>
                <w:spacing w:val="15"/>
                <w:sz w:val="20"/>
                <w:szCs w:val="20"/>
              </w:rPr>
              <w:t>用</w:t>
            </w:r>
            <w:r>
              <w:rPr>
                <w:rFonts w:ascii="宋体" w:hAnsi="宋体" w:eastAsia="宋体" w:cs="宋体"/>
                <w:spacing w:val="9"/>
                <w:sz w:val="20"/>
                <w:szCs w:val="20"/>
              </w:rPr>
              <w:t>有限公司集中处置或经厂区异位微生</w:t>
            </w:r>
          </w:p>
          <w:p w14:paraId="12F50043">
            <w:pPr>
              <w:spacing w:before="26" w:line="225" w:lineRule="auto"/>
              <w:ind w:left="1358"/>
              <w:rPr>
                <w:rFonts w:ascii="宋体" w:hAnsi="宋体" w:eastAsia="宋体" w:cs="宋体"/>
                <w:sz w:val="20"/>
                <w:szCs w:val="20"/>
              </w:rPr>
            </w:pPr>
            <w:r>
              <w:rPr>
                <w:rFonts w:ascii="宋体" w:hAnsi="宋体" w:eastAsia="宋体" w:cs="宋体"/>
                <w:spacing w:val="9"/>
                <w:sz w:val="20"/>
                <w:szCs w:val="20"/>
              </w:rPr>
              <w:t>物</w:t>
            </w:r>
            <w:r>
              <w:rPr>
                <w:rFonts w:ascii="宋体" w:hAnsi="宋体" w:eastAsia="宋体" w:cs="宋体"/>
                <w:spacing w:val="8"/>
                <w:sz w:val="20"/>
                <w:szCs w:val="20"/>
              </w:rPr>
              <w:t>发酵床处理</w:t>
            </w:r>
          </w:p>
        </w:tc>
        <w:tc>
          <w:tcPr>
            <w:tcW w:w="1147" w:type="dxa"/>
          </w:tcPr>
          <w:p w14:paraId="5C17D32B">
            <w:pPr>
              <w:spacing w:line="280" w:lineRule="auto"/>
            </w:pPr>
          </w:p>
          <w:p w14:paraId="190D07BE">
            <w:pPr>
              <w:spacing w:before="57" w:line="195" w:lineRule="auto"/>
              <w:ind w:left="33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120</w:t>
            </w:r>
          </w:p>
        </w:tc>
        <w:tc>
          <w:tcPr>
            <w:tcW w:w="1234" w:type="dxa"/>
            <w:vMerge w:val="continue"/>
            <w:tcBorders>
              <w:top w:val="nil"/>
              <w:bottom w:val="nil"/>
              <w:right w:val="nil"/>
            </w:tcBorders>
          </w:tcPr>
          <w:p w14:paraId="23EEC5D0"/>
        </w:tc>
      </w:tr>
      <w:tr w14:paraId="3B240F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657" w:type="dxa"/>
            <w:vMerge w:val="continue"/>
            <w:tcBorders>
              <w:top w:val="nil"/>
              <w:left w:val="nil"/>
            </w:tcBorders>
          </w:tcPr>
          <w:p w14:paraId="78C5217D"/>
        </w:tc>
        <w:tc>
          <w:tcPr>
            <w:tcW w:w="1286" w:type="dxa"/>
          </w:tcPr>
          <w:p w14:paraId="3DA2A7D4">
            <w:pPr>
              <w:spacing w:before="34" w:line="237" w:lineRule="auto"/>
              <w:ind w:left="438" w:right="115" w:hanging="314"/>
              <w:rPr>
                <w:rFonts w:ascii="宋体" w:hAnsi="宋体" w:eastAsia="宋体" w:cs="宋体"/>
                <w:sz w:val="20"/>
                <w:szCs w:val="20"/>
              </w:rPr>
            </w:pPr>
            <w:r>
              <w:rPr>
                <w:rFonts w:ascii="宋体" w:hAnsi="宋体" w:eastAsia="宋体" w:cs="宋体"/>
                <w:spacing w:val="8"/>
                <w:sz w:val="20"/>
                <w:szCs w:val="20"/>
              </w:rPr>
              <w:t>地下水防渗</w:t>
            </w:r>
            <w:r>
              <w:rPr>
                <w:rFonts w:ascii="宋体" w:hAnsi="宋体" w:eastAsia="宋体" w:cs="宋体"/>
                <w:sz w:val="20"/>
                <w:szCs w:val="20"/>
              </w:rPr>
              <w:t xml:space="preserve"> </w:t>
            </w:r>
            <w:r>
              <w:rPr>
                <w:rFonts w:ascii="宋体" w:hAnsi="宋体" w:eastAsia="宋体" w:cs="宋体"/>
                <w:spacing w:val="5"/>
                <w:sz w:val="20"/>
                <w:szCs w:val="20"/>
              </w:rPr>
              <w:t>措</w:t>
            </w:r>
            <w:r>
              <w:rPr>
                <w:rFonts w:ascii="宋体" w:hAnsi="宋体" w:eastAsia="宋体" w:cs="宋体"/>
                <w:spacing w:val="4"/>
                <w:sz w:val="20"/>
                <w:szCs w:val="20"/>
              </w:rPr>
              <w:t>施</w:t>
            </w:r>
          </w:p>
        </w:tc>
        <w:tc>
          <w:tcPr>
            <w:tcW w:w="3964" w:type="dxa"/>
          </w:tcPr>
          <w:p w14:paraId="240D4DC1">
            <w:pPr>
              <w:spacing w:before="168" w:line="227" w:lineRule="auto"/>
              <w:ind w:left="1146"/>
              <w:rPr>
                <w:rFonts w:ascii="宋体" w:hAnsi="宋体" w:eastAsia="宋体" w:cs="宋体"/>
                <w:sz w:val="20"/>
                <w:szCs w:val="20"/>
              </w:rPr>
            </w:pPr>
            <w:r>
              <w:rPr>
                <w:rFonts w:ascii="宋体" w:hAnsi="宋体" w:eastAsia="宋体" w:cs="宋体"/>
                <w:spacing w:val="9"/>
                <w:sz w:val="20"/>
                <w:szCs w:val="20"/>
              </w:rPr>
              <w:t>对构筑物采取防渗措施</w:t>
            </w:r>
          </w:p>
        </w:tc>
        <w:tc>
          <w:tcPr>
            <w:tcW w:w="1147" w:type="dxa"/>
          </w:tcPr>
          <w:p w14:paraId="2D6CA182">
            <w:pPr>
              <w:spacing w:before="207" w:line="192" w:lineRule="auto"/>
              <w:ind w:left="535"/>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234" w:type="dxa"/>
            <w:vMerge w:val="continue"/>
            <w:tcBorders>
              <w:top w:val="nil"/>
              <w:bottom w:val="nil"/>
              <w:right w:val="nil"/>
            </w:tcBorders>
          </w:tcPr>
          <w:p w14:paraId="3B7CBB23"/>
        </w:tc>
      </w:tr>
      <w:tr w14:paraId="52CF0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657" w:type="dxa"/>
            <w:tcBorders>
              <w:left w:val="nil"/>
            </w:tcBorders>
          </w:tcPr>
          <w:p w14:paraId="717076AD">
            <w:pPr>
              <w:spacing w:before="170" w:line="228" w:lineRule="auto"/>
              <w:ind w:left="634"/>
              <w:rPr>
                <w:rFonts w:ascii="宋体" w:hAnsi="宋体" w:eastAsia="宋体" w:cs="宋体"/>
                <w:sz w:val="20"/>
                <w:szCs w:val="20"/>
              </w:rPr>
            </w:pPr>
            <w:r>
              <w:rPr>
                <w:rFonts w:ascii="宋体" w:hAnsi="宋体" w:eastAsia="宋体" w:cs="宋体"/>
                <w:spacing w:val="5"/>
                <w:sz w:val="20"/>
                <w:szCs w:val="20"/>
              </w:rPr>
              <w:t>噪声防</w:t>
            </w:r>
            <w:r>
              <w:rPr>
                <w:rFonts w:ascii="宋体" w:hAnsi="宋体" w:eastAsia="宋体" w:cs="宋体"/>
                <w:spacing w:val="4"/>
                <w:sz w:val="20"/>
                <w:szCs w:val="20"/>
              </w:rPr>
              <w:t>治</w:t>
            </w:r>
          </w:p>
        </w:tc>
        <w:tc>
          <w:tcPr>
            <w:tcW w:w="1286" w:type="dxa"/>
          </w:tcPr>
          <w:p w14:paraId="0285BFE4">
            <w:pPr>
              <w:spacing w:before="170" w:line="228" w:lineRule="auto"/>
              <w:ind w:left="231"/>
              <w:rPr>
                <w:rFonts w:ascii="宋体" w:hAnsi="宋体" w:eastAsia="宋体" w:cs="宋体"/>
                <w:sz w:val="20"/>
                <w:szCs w:val="20"/>
              </w:rPr>
            </w:pPr>
            <w:r>
              <w:rPr>
                <w:rFonts w:ascii="宋体" w:hAnsi="宋体" w:eastAsia="宋体" w:cs="宋体"/>
                <w:spacing w:val="8"/>
                <w:sz w:val="20"/>
                <w:szCs w:val="20"/>
              </w:rPr>
              <w:t>设</w:t>
            </w:r>
            <w:r>
              <w:rPr>
                <w:rFonts w:ascii="宋体" w:hAnsi="宋体" w:eastAsia="宋体" w:cs="宋体"/>
                <w:spacing w:val="6"/>
                <w:sz w:val="20"/>
                <w:szCs w:val="20"/>
              </w:rPr>
              <w:t>备噪声</w:t>
            </w:r>
          </w:p>
        </w:tc>
        <w:tc>
          <w:tcPr>
            <w:tcW w:w="3964" w:type="dxa"/>
          </w:tcPr>
          <w:p w14:paraId="601F36D0">
            <w:pPr>
              <w:spacing w:before="35" w:line="237" w:lineRule="auto"/>
              <w:ind w:left="1571" w:right="107" w:hanging="1459"/>
              <w:rPr>
                <w:rFonts w:ascii="宋体" w:hAnsi="宋体" w:eastAsia="宋体" w:cs="宋体"/>
                <w:sz w:val="20"/>
                <w:szCs w:val="20"/>
              </w:rPr>
            </w:pPr>
            <w:r>
              <w:rPr>
                <w:rFonts w:ascii="宋体" w:hAnsi="宋体" w:eastAsia="宋体" w:cs="宋体"/>
                <w:spacing w:val="14"/>
                <w:sz w:val="20"/>
                <w:szCs w:val="20"/>
              </w:rPr>
              <w:t>采</w:t>
            </w:r>
            <w:r>
              <w:rPr>
                <w:rFonts w:ascii="宋体" w:hAnsi="宋体" w:eastAsia="宋体" w:cs="宋体"/>
                <w:spacing w:val="13"/>
                <w:sz w:val="20"/>
                <w:szCs w:val="20"/>
              </w:rPr>
              <w:t>取</w:t>
            </w:r>
            <w:r>
              <w:rPr>
                <w:rFonts w:ascii="宋体" w:hAnsi="宋体" w:eastAsia="宋体" w:cs="宋体"/>
                <w:spacing w:val="7"/>
                <w:sz w:val="20"/>
                <w:szCs w:val="20"/>
              </w:rPr>
              <w:t>减振、设置吸声材料措施；选用低噪</w:t>
            </w:r>
            <w:r>
              <w:rPr>
                <w:rFonts w:ascii="宋体" w:hAnsi="宋体" w:eastAsia="宋体" w:cs="宋体"/>
                <w:sz w:val="20"/>
                <w:szCs w:val="20"/>
              </w:rPr>
              <w:t xml:space="preserve"> </w:t>
            </w:r>
            <w:r>
              <w:rPr>
                <w:rFonts w:ascii="宋体" w:hAnsi="宋体" w:eastAsia="宋体" w:cs="宋体"/>
                <w:spacing w:val="7"/>
                <w:sz w:val="20"/>
                <w:szCs w:val="20"/>
              </w:rPr>
              <w:t>声</w:t>
            </w:r>
            <w:r>
              <w:rPr>
                <w:rFonts w:ascii="宋体" w:hAnsi="宋体" w:eastAsia="宋体" w:cs="宋体"/>
                <w:spacing w:val="6"/>
                <w:sz w:val="20"/>
                <w:szCs w:val="20"/>
              </w:rPr>
              <w:t>设备等</w:t>
            </w:r>
          </w:p>
        </w:tc>
        <w:tc>
          <w:tcPr>
            <w:tcW w:w="1147" w:type="dxa"/>
          </w:tcPr>
          <w:p w14:paraId="2886B11E">
            <w:pPr>
              <w:spacing w:before="206" w:line="195" w:lineRule="auto"/>
              <w:ind w:left="550"/>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234" w:type="dxa"/>
            <w:vMerge w:val="continue"/>
            <w:tcBorders>
              <w:top w:val="nil"/>
              <w:bottom w:val="nil"/>
              <w:right w:val="nil"/>
            </w:tcBorders>
          </w:tcPr>
          <w:p w14:paraId="5245976D"/>
        </w:tc>
      </w:tr>
      <w:tr w14:paraId="11C3A7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5" w:hRule="atLeast"/>
        </w:trPr>
        <w:tc>
          <w:tcPr>
            <w:tcW w:w="1657" w:type="dxa"/>
            <w:tcBorders>
              <w:left w:val="nil"/>
            </w:tcBorders>
          </w:tcPr>
          <w:p w14:paraId="6C5A3626">
            <w:pPr>
              <w:spacing w:line="377" w:lineRule="auto"/>
            </w:pPr>
          </w:p>
          <w:p w14:paraId="5BDC4990">
            <w:pPr>
              <w:spacing w:before="65" w:line="228" w:lineRule="auto"/>
              <w:ind w:left="222"/>
              <w:rPr>
                <w:rFonts w:ascii="宋体" w:hAnsi="宋体" w:eastAsia="宋体" w:cs="宋体"/>
                <w:sz w:val="20"/>
                <w:szCs w:val="20"/>
              </w:rPr>
            </w:pPr>
            <w:r>
              <w:rPr>
                <w:rFonts w:ascii="宋体" w:hAnsi="宋体" w:eastAsia="宋体" w:cs="宋体"/>
                <w:spacing w:val="6"/>
                <w:sz w:val="20"/>
                <w:szCs w:val="20"/>
              </w:rPr>
              <w:t>固</w:t>
            </w:r>
            <w:r>
              <w:rPr>
                <w:rFonts w:ascii="宋体" w:hAnsi="宋体" w:eastAsia="宋体" w:cs="宋体"/>
                <w:spacing w:val="5"/>
                <w:sz w:val="20"/>
                <w:szCs w:val="20"/>
              </w:rPr>
              <w:t>体废物防治</w:t>
            </w:r>
          </w:p>
        </w:tc>
        <w:tc>
          <w:tcPr>
            <w:tcW w:w="1286" w:type="dxa"/>
          </w:tcPr>
          <w:p w14:paraId="2CFEF999">
            <w:pPr>
              <w:spacing w:line="376" w:lineRule="auto"/>
            </w:pPr>
          </w:p>
          <w:p w14:paraId="4CBA25B8">
            <w:pPr>
              <w:spacing w:before="65" w:line="228" w:lineRule="auto"/>
              <w:ind w:left="439"/>
              <w:rPr>
                <w:rFonts w:ascii="宋体" w:hAnsi="宋体" w:eastAsia="宋体" w:cs="宋体"/>
                <w:sz w:val="20"/>
                <w:szCs w:val="20"/>
              </w:rPr>
            </w:pPr>
            <w:r>
              <w:rPr>
                <w:rFonts w:ascii="宋体" w:hAnsi="宋体" w:eastAsia="宋体" w:cs="宋体"/>
                <w:spacing w:val="5"/>
                <w:sz w:val="20"/>
                <w:szCs w:val="20"/>
              </w:rPr>
              <w:t>猪</w:t>
            </w:r>
            <w:r>
              <w:rPr>
                <w:rFonts w:ascii="宋体" w:hAnsi="宋体" w:eastAsia="宋体" w:cs="宋体"/>
                <w:spacing w:val="4"/>
                <w:sz w:val="20"/>
                <w:szCs w:val="20"/>
              </w:rPr>
              <w:t>粪</w:t>
            </w:r>
          </w:p>
        </w:tc>
        <w:tc>
          <w:tcPr>
            <w:tcW w:w="3964" w:type="dxa"/>
          </w:tcPr>
          <w:p w14:paraId="1C45D418">
            <w:pPr>
              <w:spacing w:before="36" w:line="227" w:lineRule="auto"/>
              <w:ind w:left="114"/>
              <w:rPr>
                <w:rFonts w:ascii="宋体" w:hAnsi="宋体" w:eastAsia="宋体" w:cs="宋体"/>
                <w:sz w:val="20"/>
                <w:szCs w:val="20"/>
              </w:rPr>
            </w:pPr>
            <w:r>
              <w:rPr>
                <w:rFonts w:ascii="宋体" w:hAnsi="宋体" w:eastAsia="宋体" w:cs="宋体"/>
                <w:spacing w:val="14"/>
                <w:sz w:val="20"/>
                <w:szCs w:val="20"/>
              </w:rPr>
              <w:t>粪</w:t>
            </w:r>
            <w:r>
              <w:rPr>
                <w:rFonts w:ascii="宋体" w:hAnsi="宋体" w:eastAsia="宋体" w:cs="宋体"/>
                <w:spacing w:val="10"/>
                <w:sz w:val="20"/>
                <w:szCs w:val="20"/>
              </w:rPr>
              <w:t>污</w:t>
            </w:r>
            <w:r>
              <w:rPr>
                <w:rFonts w:ascii="宋体" w:hAnsi="宋体" w:eastAsia="宋体" w:cs="宋体"/>
                <w:spacing w:val="7"/>
                <w:sz w:val="20"/>
                <w:szCs w:val="20"/>
              </w:rPr>
              <w:t>清理采用机械尿泡粪措施。与废水一</w:t>
            </w:r>
          </w:p>
          <w:p w14:paraId="3DE664CD">
            <w:pPr>
              <w:spacing w:before="25" w:line="227" w:lineRule="auto"/>
              <w:ind w:left="206"/>
              <w:rPr>
                <w:rFonts w:ascii="宋体" w:hAnsi="宋体" w:eastAsia="宋体" w:cs="宋体"/>
                <w:sz w:val="20"/>
                <w:szCs w:val="20"/>
              </w:rPr>
            </w:pPr>
            <w:r>
              <w:rPr>
                <w:rFonts w:ascii="宋体" w:hAnsi="宋体" w:eastAsia="宋体" w:cs="宋体"/>
                <w:spacing w:val="11"/>
                <w:sz w:val="20"/>
                <w:szCs w:val="20"/>
              </w:rPr>
              <w:t>并</w:t>
            </w:r>
            <w:r>
              <w:rPr>
                <w:rFonts w:ascii="宋体" w:hAnsi="宋体" w:eastAsia="宋体" w:cs="宋体"/>
                <w:spacing w:val="9"/>
                <w:sz w:val="20"/>
                <w:szCs w:val="20"/>
              </w:rPr>
              <w:t>外委给乐山乐高勤力生物质能源综合</w:t>
            </w:r>
          </w:p>
          <w:p w14:paraId="4AB5DC45">
            <w:pPr>
              <w:spacing w:before="27" w:line="228" w:lineRule="auto"/>
              <w:ind w:left="202"/>
              <w:rPr>
                <w:rFonts w:ascii="宋体" w:hAnsi="宋体" w:eastAsia="宋体" w:cs="宋体"/>
                <w:sz w:val="20"/>
                <w:szCs w:val="20"/>
              </w:rPr>
            </w:pPr>
            <w:r>
              <w:rPr>
                <w:rFonts w:ascii="宋体" w:hAnsi="宋体" w:eastAsia="宋体" w:cs="宋体"/>
                <w:spacing w:val="15"/>
                <w:sz w:val="20"/>
                <w:szCs w:val="20"/>
              </w:rPr>
              <w:t>利</w:t>
            </w:r>
            <w:r>
              <w:rPr>
                <w:rFonts w:ascii="宋体" w:hAnsi="宋体" w:eastAsia="宋体" w:cs="宋体"/>
                <w:spacing w:val="9"/>
                <w:sz w:val="20"/>
                <w:szCs w:val="20"/>
              </w:rPr>
              <w:t>用有限公司集中处置或经厂区异位微</w:t>
            </w:r>
          </w:p>
          <w:p w14:paraId="3DD02E11">
            <w:pPr>
              <w:spacing w:before="24" w:line="228" w:lineRule="auto"/>
              <w:ind w:left="1254"/>
              <w:rPr>
                <w:rFonts w:ascii="宋体" w:hAnsi="宋体" w:eastAsia="宋体" w:cs="宋体"/>
                <w:sz w:val="20"/>
                <w:szCs w:val="20"/>
              </w:rPr>
            </w:pPr>
            <w:r>
              <w:rPr>
                <w:rFonts w:ascii="宋体" w:hAnsi="宋体" w:eastAsia="宋体" w:cs="宋体"/>
                <w:spacing w:val="11"/>
                <w:sz w:val="20"/>
                <w:szCs w:val="20"/>
              </w:rPr>
              <w:t>生</w:t>
            </w:r>
            <w:r>
              <w:rPr>
                <w:rFonts w:ascii="宋体" w:hAnsi="宋体" w:eastAsia="宋体" w:cs="宋体"/>
                <w:spacing w:val="8"/>
                <w:sz w:val="20"/>
                <w:szCs w:val="20"/>
              </w:rPr>
              <w:t>物发酵床处理</w:t>
            </w:r>
          </w:p>
        </w:tc>
        <w:tc>
          <w:tcPr>
            <w:tcW w:w="1147" w:type="dxa"/>
          </w:tcPr>
          <w:p w14:paraId="76840456">
            <w:pPr>
              <w:spacing w:line="422" w:lineRule="auto"/>
            </w:pPr>
          </w:p>
          <w:p w14:paraId="41A73FFE">
            <w:pPr>
              <w:spacing w:before="58" w:line="192" w:lineRule="auto"/>
              <w:ind w:left="535"/>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234" w:type="dxa"/>
            <w:vMerge w:val="continue"/>
            <w:tcBorders>
              <w:top w:val="nil"/>
              <w:right w:val="nil"/>
            </w:tcBorders>
          </w:tcPr>
          <w:p w14:paraId="484ECAB7"/>
        </w:tc>
      </w:tr>
    </w:tbl>
    <w:p w14:paraId="19F7C525">
      <w:pPr>
        <w:spacing w:line="117" w:lineRule="exact"/>
        <w:rPr>
          <w:sz w:val="10"/>
        </w:rPr>
      </w:pPr>
    </w:p>
    <w:p w14:paraId="5152DEAD">
      <w:pPr>
        <w:sectPr>
          <w:headerReference r:id="rId268" w:type="default"/>
          <w:footerReference r:id="rId269" w:type="default"/>
          <w:pgSz w:w="11906" w:h="16839"/>
          <w:pgMar w:top="1113" w:right="1087" w:bottom="1157" w:left="1275" w:header="878" w:footer="994" w:gutter="0"/>
          <w:cols w:space="720" w:num="1"/>
        </w:sectPr>
      </w:pPr>
    </w:p>
    <w:p w14:paraId="73358290">
      <w:pPr>
        <w:spacing w:line="420" w:lineRule="auto"/>
      </w:pPr>
      <w:r>
        <w:pict>
          <v:rect id="_x0000_s2128" o:spid="_x0000_s2128" o:spt="1" style="position:absolute;left:0pt;margin-left:69pt;margin-top:63.8pt;height:1.45pt;width:464.45pt;mso-position-horizontal-relative:page;mso-position-vertical-relative:page;z-index:251747328;mso-width-relative:page;mso-height-relative:page;" fillcolor="#000000" filled="t" stroked="f" coordsize="21600,21600" o:allowincell="f">
            <v:path/>
            <v:fill on="t" focussize="0,0"/>
            <v:stroke on="f"/>
            <v:imagedata o:title=""/>
            <o:lock v:ext="edit"/>
          </v:rect>
        </w:pict>
      </w:r>
    </w:p>
    <w:p w14:paraId="66DEC7D8">
      <w:pPr>
        <w:spacing w:before="55" w:line="229" w:lineRule="auto"/>
        <w:ind w:left="7"/>
        <w:rPr>
          <w:rFonts w:ascii="宋体" w:hAnsi="宋体" w:eastAsia="宋体" w:cs="宋体"/>
          <w:sz w:val="17"/>
          <w:szCs w:val="17"/>
        </w:rPr>
      </w:pP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p w14:paraId="0BA59B4A">
      <w:pPr>
        <w:spacing w:line="14" w:lineRule="exact"/>
      </w:pPr>
    </w:p>
    <w:tbl>
      <w:tblPr>
        <w:tblStyle w:val="4"/>
        <w:tblW w:w="949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61"/>
        <w:gridCol w:w="1286"/>
        <w:gridCol w:w="3964"/>
        <w:gridCol w:w="1147"/>
        <w:gridCol w:w="1338"/>
      </w:tblGrid>
      <w:tr w14:paraId="4A32CD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3047" w:type="dxa"/>
            <w:gridSpan w:val="2"/>
            <w:tcBorders>
              <w:left w:val="nil"/>
            </w:tcBorders>
          </w:tcPr>
          <w:p w14:paraId="6B4315FC">
            <w:pPr>
              <w:spacing w:line="297" w:lineRule="auto"/>
            </w:pPr>
          </w:p>
          <w:p w14:paraId="07AF55EB">
            <w:pPr>
              <w:spacing w:before="65" w:line="228" w:lineRule="auto"/>
              <w:ind w:left="1374"/>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投资项</w:t>
            </w:r>
            <w:r>
              <w:rPr>
                <w:rFonts w:ascii="宋体" w:hAnsi="宋体" w:eastAsia="宋体" w:cs="宋体"/>
                <w:spacing w:val="7"/>
                <w:sz w:val="20"/>
                <w:szCs w:val="20"/>
                <w14:textOutline w14:w="3797" w14:cap="sq" w14:cmpd="sng" w14:algn="ctr">
                  <w14:solidFill>
                    <w14:srgbClr w14:val="000000"/>
                  </w14:solidFill>
                  <w14:prstDash w14:val="solid"/>
                  <w14:bevel/>
                </w14:textOutline>
              </w:rPr>
              <w:t>目</w:t>
            </w:r>
          </w:p>
        </w:tc>
        <w:tc>
          <w:tcPr>
            <w:tcW w:w="3964" w:type="dxa"/>
          </w:tcPr>
          <w:p w14:paraId="6C7FC51A">
            <w:pPr>
              <w:spacing w:line="296" w:lineRule="auto"/>
            </w:pPr>
          </w:p>
          <w:p w14:paraId="7CB96124">
            <w:pPr>
              <w:spacing w:before="65" w:line="228" w:lineRule="auto"/>
              <w:ind w:left="2012"/>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内</w:t>
            </w:r>
            <w:r>
              <w:rPr>
                <w:rFonts w:ascii="宋体" w:hAnsi="宋体" w:eastAsia="宋体" w:cs="宋体"/>
                <w:spacing w:val="-6"/>
                <w:sz w:val="20"/>
                <w:szCs w:val="20"/>
                <w14:textOutline w14:w="3797" w14:cap="sq" w14:cmpd="sng" w14:algn="ctr">
                  <w14:solidFill>
                    <w14:srgbClr w14:val="000000"/>
                  </w14:solidFill>
                  <w14:prstDash w14:val="solid"/>
                  <w14:bevel/>
                </w14:textOutline>
              </w:rPr>
              <w:t>容</w:t>
            </w:r>
          </w:p>
        </w:tc>
        <w:tc>
          <w:tcPr>
            <w:tcW w:w="1147" w:type="dxa"/>
          </w:tcPr>
          <w:p w14:paraId="6ED09517">
            <w:pPr>
              <w:spacing w:before="230" w:line="238" w:lineRule="auto"/>
              <w:ind w:left="169" w:right="166" w:firstLine="201"/>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投</w:t>
            </w:r>
            <w:r>
              <w:rPr>
                <w:rFonts w:ascii="宋体" w:hAnsi="宋体" w:eastAsia="宋体" w:cs="宋体"/>
                <w:spacing w:val="4"/>
                <w:sz w:val="20"/>
                <w:szCs w:val="20"/>
                <w14:textOutline w14:w="3797" w14:cap="sq" w14:cmpd="sng" w14:algn="ctr">
                  <w14:solidFill>
                    <w14:srgbClr w14:val="000000"/>
                  </w14:solidFill>
                  <w14:prstDash w14:val="solid"/>
                  <w14:bevel/>
                </w14:textOutline>
              </w:rPr>
              <w:t>资</w:t>
            </w:r>
            <w:r>
              <w:rPr>
                <w:rFonts w:ascii="宋体" w:hAnsi="宋体" w:eastAsia="宋体" w:cs="宋体"/>
                <w:sz w:val="20"/>
                <w:szCs w:val="20"/>
              </w:rPr>
              <w:t xml:space="preserve">  </w:t>
            </w:r>
            <w:r>
              <w:rPr>
                <w:rFonts w:ascii="宋体" w:hAnsi="宋体" w:eastAsia="宋体" w:cs="宋体"/>
                <w:spacing w:val="27"/>
                <w:sz w:val="20"/>
                <w:szCs w:val="20"/>
                <w14:textOutline w14:w="3797" w14:cap="sq" w14:cmpd="sng" w14:algn="ctr">
                  <w14:solidFill>
                    <w14:srgbClr w14:val="000000"/>
                  </w14:solidFill>
                  <w14:prstDash w14:val="solid"/>
                  <w14:bevel/>
                </w14:textOutline>
              </w:rPr>
              <w:t>(</w:t>
            </w:r>
            <w:r>
              <w:rPr>
                <w:rFonts w:ascii="宋体" w:hAnsi="宋体" w:eastAsia="宋体" w:cs="宋体"/>
                <w:spacing w:val="26"/>
                <w:sz w:val="20"/>
                <w:szCs w:val="20"/>
                <w14:textOutline w14:w="3797" w14:cap="sq" w14:cmpd="sng" w14:algn="ctr">
                  <w14:solidFill>
                    <w14:srgbClr w14:val="000000"/>
                  </w14:solidFill>
                  <w14:prstDash w14:val="solid"/>
                  <w14:bevel/>
                </w14:textOutline>
              </w:rPr>
              <w:t>万元)</w:t>
            </w:r>
          </w:p>
        </w:tc>
        <w:tc>
          <w:tcPr>
            <w:tcW w:w="1338" w:type="dxa"/>
            <w:tcBorders>
              <w:right w:val="nil"/>
            </w:tcBorders>
          </w:tcPr>
          <w:p w14:paraId="52F48CAA">
            <w:pPr>
              <w:spacing w:before="229" w:line="271" w:lineRule="exact"/>
              <w:ind w:left="417"/>
              <w:rPr>
                <w:rFonts w:ascii="宋体" w:hAnsi="宋体" w:eastAsia="宋体" w:cs="宋体"/>
                <w:sz w:val="20"/>
                <w:szCs w:val="20"/>
              </w:rPr>
            </w:pPr>
            <w:r>
              <w:rPr>
                <w:rFonts w:ascii="宋体" w:hAnsi="宋体" w:eastAsia="宋体" w:cs="宋体"/>
                <w:spacing w:val="3"/>
                <w:position w:val="4"/>
                <w:sz w:val="20"/>
                <w:szCs w:val="20"/>
                <w14:textOutline w14:w="3797" w14:cap="sq" w14:cmpd="sng" w14:algn="ctr">
                  <w14:solidFill>
                    <w14:srgbClr w14:val="000000"/>
                  </w14:solidFill>
                  <w14:prstDash w14:val="solid"/>
                  <w14:bevel/>
                </w14:textOutline>
              </w:rPr>
              <w:t>小计</w:t>
            </w:r>
          </w:p>
          <w:p w14:paraId="0AC53299">
            <w:pPr>
              <w:spacing w:line="226" w:lineRule="auto"/>
              <w:ind w:left="212"/>
              <w:rPr>
                <w:rFonts w:ascii="宋体" w:hAnsi="宋体" w:eastAsia="宋体" w:cs="宋体"/>
                <w:sz w:val="20"/>
                <w:szCs w:val="20"/>
              </w:rPr>
            </w:pPr>
            <w:r>
              <w:rPr>
                <w:rFonts w:ascii="宋体" w:hAnsi="宋体" w:eastAsia="宋体" w:cs="宋体"/>
                <w:spacing w:val="29"/>
                <w:sz w:val="20"/>
                <w:szCs w:val="20"/>
                <w14:textOutline w14:w="3797" w14:cap="sq" w14:cmpd="sng" w14:algn="ctr">
                  <w14:solidFill>
                    <w14:srgbClr w14:val="000000"/>
                  </w14:solidFill>
                  <w14:prstDash w14:val="solid"/>
                  <w14:bevel/>
                </w14:textOutline>
              </w:rPr>
              <w:t>(</w:t>
            </w:r>
            <w:r>
              <w:rPr>
                <w:rFonts w:ascii="宋体" w:hAnsi="宋体" w:eastAsia="宋体" w:cs="宋体"/>
                <w:spacing w:val="28"/>
                <w:sz w:val="20"/>
                <w:szCs w:val="20"/>
                <w14:textOutline w14:w="3797" w14:cap="sq" w14:cmpd="sng" w14:algn="ctr">
                  <w14:solidFill>
                    <w14:srgbClr w14:val="000000"/>
                  </w14:solidFill>
                  <w14:prstDash w14:val="solid"/>
                  <w14:bevel/>
                </w14:textOutline>
              </w:rPr>
              <w:t>万元)</w:t>
            </w:r>
          </w:p>
        </w:tc>
      </w:tr>
      <w:tr w14:paraId="0DCD69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9" w:hRule="atLeast"/>
        </w:trPr>
        <w:tc>
          <w:tcPr>
            <w:tcW w:w="1761" w:type="dxa"/>
            <w:vMerge w:val="restart"/>
            <w:tcBorders>
              <w:left w:val="nil"/>
              <w:bottom w:val="nil"/>
            </w:tcBorders>
          </w:tcPr>
          <w:p w14:paraId="19F26CA2"/>
        </w:tc>
        <w:tc>
          <w:tcPr>
            <w:tcW w:w="1286" w:type="dxa"/>
          </w:tcPr>
          <w:p w14:paraId="043E39B4">
            <w:pPr>
              <w:spacing w:line="258" w:lineRule="auto"/>
            </w:pPr>
          </w:p>
          <w:p w14:paraId="6238605E">
            <w:pPr>
              <w:spacing w:line="259" w:lineRule="auto"/>
            </w:pPr>
          </w:p>
          <w:p w14:paraId="27D5D5E9">
            <w:pPr>
              <w:spacing w:line="259" w:lineRule="auto"/>
            </w:pPr>
          </w:p>
          <w:p w14:paraId="517C045D">
            <w:pPr>
              <w:spacing w:before="65" w:line="228" w:lineRule="auto"/>
              <w:ind w:left="332"/>
              <w:rPr>
                <w:rFonts w:ascii="宋体" w:hAnsi="宋体" w:eastAsia="宋体" w:cs="宋体"/>
                <w:sz w:val="20"/>
                <w:szCs w:val="20"/>
              </w:rPr>
            </w:pPr>
            <w:r>
              <w:rPr>
                <w:rFonts w:ascii="宋体" w:hAnsi="宋体" w:eastAsia="宋体" w:cs="宋体"/>
                <w:spacing w:val="7"/>
                <w:sz w:val="20"/>
                <w:szCs w:val="20"/>
              </w:rPr>
              <w:t>病死猪</w:t>
            </w:r>
          </w:p>
        </w:tc>
        <w:tc>
          <w:tcPr>
            <w:tcW w:w="3964" w:type="dxa"/>
          </w:tcPr>
          <w:p w14:paraId="1DC050E2">
            <w:pPr>
              <w:spacing w:before="30" w:line="227" w:lineRule="auto"/>
              <w:ind w:left="114"/>
              <w:rPr>
                <w:rFonts w:ascii="宋体" w:hAnsi="宋体" w:eastAsia="宋体" w:cs="宋体"/>
                <w:sz w:val="20"/>
                <w:szCs w:val="20"/>
              </w:rPr>
            </w:pPr>
            <w:r>
              <w:rPr>
                <w:rFonts w:ascii="宋体" w:hAnsi="宋体" w:eastAsia="宋体" w:cs="宋体"/>
                <w:spacing w:val="14"/>
                <w:sz w:val="20"/>
                <w:szCs w:val="20"/>
              </w:rPr>
              <w:t>按</w:t>
            </w:r>
            <w:r>
              <w:rPr>
                <w:rFonts w:ascii="宋体" w:hAnsi="宋体" w:eastAsia="宋体" w:cs="宋体"/>
                <w:spacing w:val="10"/>
                <w:sz w:val="20"/>
                <w:szCs w:val="20"/>
              </w:rPr>
              <w:t>照</w:t>
            </w:r>
            <w:r>
              <w:rPr>
                <w:rFonts w:ascii="宋体" w:hAnsi="宋体" w:eastAsia="宋体" w:cs="宋体"/>
                <w:spacing w:val="7"/>
                <w:sz w:val="20"/>
                <w:szCs w:val="20"/>
              </w:rPr>
              <w:t>乐山市沙湾区人民政府办公室《关于</w:t>
            </w:r>
          </w:p>
          <w:p w14:paraId="75EBB38F">
            <w:pPr>
              <w:tabs>
                <w:tab w:val="left" w:pos="267"/>
              </w:tabs>
              <w:spacing w:before="29" w:line="251" w:lineRule="auto"/>
              <w:ind w:left="113" w:right="107" w:firstLine="91"/>
              <w:rPr>
                <w:rFonts w:ascii="宋体" w:hAnsi="宋体" w:eastAsia="宋体" w:cs="宋体"/>
                <w:sz w:val="20"/>
                <w:szCs w:val="20"/>
              </w:rPr>
            </w:pPr>
            <w:r>
              <w:rPr>
                <w:rFonts w:ascii="宋体" w:hAnsi="宋体" w:eastAsia="宋体" w:cs="宋体"/>
                <w:spacing w:val="16"/>
                <w:sz w:val="20"/>
                <w:szCs w:val="20"/>
              </w:rPr>
              <w:t>建</w:t>
            </w:r>
            <w:r>
              <w:rPr>
                <w:rFonts w:ascii="宋体" w:hAnsi="宋体" w:eastAsia="宋体" w:cs="宋体"/>
                <w:spacing w:val="9"/>
                <w:sz w:val="20"/>
                <w:szCs w:val="20"/>
              </w:rPr>
              <w:t>立</w:t>
            </w:r>
            <w:r>
              <w:rPr>
                <w:rFonts w:ascii="宋体" w:hAnsi="宋体" w:eastAsia="宋体" w:cs="宋体"/>
                <w:spacing w:val="8"/>
                <w:sz w:val="20"/>
                <w:szCs w:val="20"/>
              </w:rPr>
              <w:t>病死畜禽无害化处理机制的通知》</w:t>
            </w:r>
            <w:r>
              <w:rPr>
                <w:rFonts w:ascii="宋体" w:hAnsi="宋体" w:eastAsia="宋体" w:cs="宋体"/>
                <w:sz w:val="20"/>
                <w:szCs w:val="20"/>
              </w:rPr>
              <w:t xml:space="preserve"> </w:t>
            </w:r>
            <w:r>
              <w:rPr>
                <w:rFonts w:ascii="宋体" w:hAnsi="宋体" w:eastAsia="宋体" w:cs="宋体"/>
                <w:sz w:val="20"/>
                <w:szCs w:val="20"/>
              </w:rPr>
              <w:tab/>
            </w:r>
            <w:r>
              <w:rPr>
                <w:rFonts w:ascii="宋体" w:hAnsi="宋体" w:eastAsia="宋体" w:cs="宋体"/>
                <w:spacing w:val="8"/>
                <w:sz w:val="20"/>
                <w:szCs w:val="20"/>
              </w:rPr>
              <w:t>(乐</w:t>
            </w:r>
            <w:r>
              <w:rPr>
                <w:rFonts w:ascii="宋体" w:hAnsi="宋体" w:eastAsia="宋体" w:cs="宋体"/>
                <w:spacing w:val="4"/>
                <w:sz w:val="20"/>
                <w:szCs w:val="20"/>
              </w:rPr>
              <w:t>沙府办函</w:t>
            </w:r>
            <w:r>
              <w:rPr>
                <w:rFonts w:ascii="Times New Roman" w:hAnsi="Times New Roman" w:eastAsia="Times New Roman" w:cs="Times New Roman"/>
                <w:spacing w:val="4"/>
                <w:sz w:val="20"/>
                <w:szCs w:val="20"/>
              </w:rPr>
              <w:t xml:space="preserve">[2018] 1 </w:t>
            </w:r>
            <w:r>
              <w:rPr>
                <w:rFonts w:ascii="宋体" w:hAnsi="宋体" w:eastAsia="宋体" w:cs="宋体"/>
                <w:spacing w:val="4"/>
                <w:sz w:val="20"/>
                <w:szCs w:val="20"/>
              </w:rPr>
              <w:t>号) 要求，在乐山</w:t>
            </w:r>
            <w:r>
              <w:rPr>
                <w:rFonts w:ascii="宋体" w:hAnsi="宋体" w:eastAsia="宋体" w:cs="宋体"/>
                <w:sz w:val="20"/>
                <w:szCs w:val="20"/>
              </w:rPr>
              <w:t xml:space="preserve"> </w:t>
            </w:r>
            <w:r>
              <w:rPr>
                <w:rFonts w:ascii="宋体" w:hAnsi="宋体" w:eastAsia="宋体" w:cs="宋体"/>
                <w:spacing w:val="14"/>
                <w:sz w:val="20"/>
                <w:szCs w:val="20"/>
              </w:rPr>
              <w:t>市</w:t>
            </w:r>
            <w:r>
              <w:rPr>
                <w:rFonts w:ascii="宋体" w:hAnsi="宋体" w:eastAsia="宋体" w:cs="宋体"/>
                <w:spacing w:val="12"/>
                <w:sz w:val="20"/>
                <w:szCs w:val="20"/>
              </w:rPr>
              <w:t>病</w:t>
            </w:r>
            <w:r>
              <w:rPr>
                <w:rFonts w:ascii="宋体" w:hAnsi="宋体" w:eastAsia="宋体" w:cs="宋体"/>
                <w:spacing w:val="7"/>
                <w:sz w:val="20"/>
                <w:szCs w:val="20"/>
              </w:rPr>
              <w:t>死畜禽无害化处理中心建成之前，委</w:t>
            </w:r>
            <w:r>
              <w:rPr>
                <w:rFonts w:ascii="宋体" w:hAnsi="宋体" w:eastAsia="宋体" w:cs="宋体"/>
                <w:sz w:val="20"/>
                <w:szCs w:val="20"/>
              </w:rPr>
              <w:t xml:space="preserve"> </w:t>
            </w:r>
            <w:r>
              <w:rPr>
                <w:rFonts w:ascii="宋体" w:hAnsi="宋体" w:eastAsia="宋体" w:cs="宋体"/>
                <w:spacing w:val="14"/>
                <w:sz w:val="20"/>
                <w:szCs w:val="20"/>
              </w:rPr>
              <w:t>托</w:t>
            </w:r>
            <w:r>
              <w:rPr>
                <w:rFonts w:ascii="宋体" w:hAnsi="宋体" w:eastAsia="宋体" w:cs="宋体"/>
                <w:spacing w:val="12"/>
                <w:sz w:val="20"/>
                <w:szCs w:val="20"/>
              </w:rPr>
              <w:t>专</w:t>
            </w:r>
            <w:r>
              <w:rPr>
                <w:rFonts w:ascii="宋体" w:hAnsi="宋体" w:eastAsia="宋体" w:cs="宋体"/>
                <w:spacing w:val="7"/>
                <w:sz w:val="20"/>
                <w:szCs w:val="20"/>
              </w:rPr>
              <w:t>业化的公司进行无害化处置，乐山市</w:t>
            </w:r>
          </w:p>
          <w:p w14:paraId="6E545D66">
            <w:pPr>
              <w:spacing w:before="2" w:line="237" w:lineRule="auto"/>
              <w:ind w:left="1147" w:right="196" w:hanging="947"/>
              <w:rPr>
                <w:rFonts w:ascii="宋体" w:hAnsi="宋体" w:eastAsia="宋体" w:cs="宋体"/>
                <w:sz w:val="20"/>
                <w:szCs w:val="20"/>
              </w:rPr>
            </w:pPr>
            <w:r>
              <w:rPr>
                <w:rFonts w:ascii="宋体" w:hAnsi="宋体" w:eastAsia="宋体" w:cs="宋体"/>
                <w:spacing w:val="17"/>
                <w:sz w:val="20"/>
                <w:szCs w:val="20"/>
              </w:rPr>
              <w:t>病</w:t>
            </w:r>
            <w:r>
              <w:rPr>
                <w:rFonts w:ascii="宋体" w:hAnsi="宋体" w:eastAsia="宋体" w:cs="宋体"/>
                <w:spacing w:val="9"/>
                <w:sz w:val="20"/>
                <w:szCs w:val="20"/>
              </w:rPr>
              <w:t>死畜禽无害化处理中心建成后交无害</w:t>
            </w:r>
            <w:r>
              <w:rPr>
                <w:rFonts w:ascii="宋体" w:hAnsi="宋体" w:eastAsia="宋体" w:cs="宋体"/>
                <w:sz w:val="20"/>
                <w:szCs w:val="20"/>
              </w:rPr>
              <w:t xml:space="preserve"> </w:t>
            </w:r>
            <w:r>
              <w:rPr>
                <w:rFonts w:ascii="宋体" w:hAnsi="宋体" w:eastAsia="宋体" w:cs="宋体"/>
                <w:spacing w:val="10"/>
                <w:sz w:val="20"/>
                <w:szCs w:val="20"/>
              </w:rPr>
              <w:t>化</w:t>
            </w:r>
            <w:r>
              <w:rPr>
                <w:rFonts w:ascii="宋体" w:hAnsi="宋体" w:eastAsia="宋体" w:cs="宋体"/>
                <w:spacing w:val="7"/>
                <w:sz w:val="20"/>
                <w:szCs w:val="20"/>
              </w:rPr>
              <w:t>处理中心处置。</w:t>
            </w:r>
          </w:p>
        </w:tc>
        <w:tc>
          <w:tcPr>
            <w:tcW w:w="1147" w:type="dxa"/>
          </w:tcPr>
          <w:p w14:paraId="358FF3FD">
            <w:pPr>
              <w:spacing w:line="273" w:lineRule="auto"/>
            </w:pPr>
          </w:p>
          <w:p w14:paraId="6E8FF3F8">
            <w:pPr>
              <w:spacing w:line="274" w:lineRule="auto"/>
            </w:pPr>
          </w:p>
          <w:p w14:paraId="238F60BD">
            <w:pPr>
              <w:spacing w:line="274" w:lineRule="auto"/>
            </w:pPr>
          </w:p>
          <w:p w14:paraId="4E7EFF03">
            <w:pPr>
              <w:spacing w:before="58"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
                <w:sz w:val="20"/>
                <w:szCs w:val="20"/>
              </w:rPr>
              <w:t>5</w:t>
            </w:r>
          </w:p>
        </w:tc>
        <w:tc>
          <w:tcPr>
            <w:tcW w:w="1338" w:type="dxa"/>
            <w:vMerge w:val="restart"/>
            <w:tcBorders>
              <w:bottom w:val="nil"/>
              <w:right w:val="nil"/>
            </w:tcBorders>
          </w:tcPr>
          <w:p w14:paraId="7909F373"/>
        </w:tc>
      </w:tr>
      <w:tr w14:paraId="6C58B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761" w:type="dxa"/>
            <w:vMerge w:val="continue"/>
            <w:tcBorders>
              <w:top w:val="nil"/>
              <w:left w:val="nil"/>
              <w:bottom w:val="nil"/>
            </w:tcBorders>
          </w:tcPr>
          <w:p w14:paraId="1C4415AE"/>
        </w:tc>
        <w:tc>
          <w:tcPr>
            <w:tcW w:w="1286" w:type="dxa"/>
          </w:tcPr>
          <w:p w14:paraId="7B0074A5">
            <w:pPr>
              <w:spacing w:before="67" w:line="228" w:lineRule="auto"/>
              <w:ind w:left="237"/>
              <w:rPr>
                <w:rFonts w:ascii="宋体" w:hAnsi="宋体" w:eastAsia="宋体" w:cs="宋体"/>
                <w:sz w:val="20"/>
                <w:szCs w:val="20"/>
              </w:rPr>
            </w:pPr>
            <w:r>
              <w:rPr>
                <w:rFonts w:ascii="宋体" w:hAnsi="宋体" w:eastAsia="宋体" w:cs="宋体"/>
                <w:spacing w:val="5"/>
                <w:sz w:val="20"/>
                <w:szCs w:val="20"/>
              </w:rPr>
              <w:t>医疗废</w:t>
            </w:r>
            <w:r>
              <w:rPr>
                <w:rFonts w:ascii="宋体" w:hAnsi="宋体" w:eastAsia="宋体" w:cs="宋体"/>
                <w:spacing w:val="4"/>
                <w:sz w:val="20"/>
                <w:szCs w:val="20"/>
              </w:rPr>
              <w:t>物</w:t>
            </w:r>
          </w:p>
        </w:tc>
        <w:tc>
          <w:tcPr>
            <w:tcW w:w="3964" w:type="dxa"/>
          </w:tcPr>
          <w:p w14:paraId="5B87E63C">
            <w:pPr>
              <w:spacing w:before="67" w:line="228" w:lineRule="auto"/>
              <w:ind w:left="1471"/>
              <w:rPr>
                <w:rFonts w:ascii="宋体" w:hAnsi="宋体" w:eastAsia="宋体" w:cs="宋体"/>
                <w:sz w:val="20"/>
                <w:szCs w:val="20"/>
              </w:rPr>
            </w:pPr>
            <w:r>
              <w:rPr>
                <w:rFonts w:ascii="宋体" w:hAnsi="宋体" w:eastAsia="宋体" w:cs="宋体"/>
                <w:spacing w:val="8"/>
                <w:sz w:val="20"/>
                <w:szCs w:val="20"/>
              </w:rPr>
              <w:t>医</w:t>
            </w:r>
            <w:r>
              <w:rPr>
                <w:rFonts w:ascii="宋体" w:hAnsi="宋体" w:eastAsia="宋体" w:cs="宋体"/>
                <w:spacing w:val="7"/>
                <w:sz w:val="20"/>
                <w:szCs w:val="20"/>
              </w:rPr>
              <w:t>疗废物暂存间</w:t>
            </w:r>
          </w:p>
        </w:tc>
        <w:tc>
          <w:tcPr>
            <w:tcW w:w="1147" w:type="dxa"/>
          </w:tcPr>
          <w:p w14:paraId="0798753A">
            <w:pPr>
              <w:spacing w:before="103" w:line="195" w:lineRule="auto"/>
              <w:ind w:left="530"/>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338" w:type="dxa"/>
            <w:vMerge w:val="continue"/>
            <w:tcBorders>
              <w:top w:val="nil"/>
              <w:bottom w:val="nil"/>
              <w:right w:val="nil"/>
            </w:tcBorders>
          </w:tcPr>
          <w:p w14:paraId="7ED5D4FC"/>
        </w:tc>
      </w:tr>
      <w:tr w14:paraId="77D10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761" w:type="dxa"/>
            <w:vMerge w:val="continue"/>
            <w:tcBorders>
              <w:top w:val="nil"/>
              <w:left w:val="nil"/>
            </w:tcBorders>
          </w:tcPr>
          <w:p w14:paraId="22E8BA09"/>
        </w:tc>
        <w:tc>
          <w:tcPr>
            <w:tcW w:w="1286" w:type="dxa"/>
          </w:tcPr>
          <w:p w14:paraId="5535BA78">
            <w:pPr>
              <w:spacing w:before="69" w:line="228" w:lineRule="auto"/>
              <w:ind w:left="229"/>
              <w:rPr>
                <w:rFonts w:ascii="宋体" w:hAnsi="宋体" w:eastAsia="宋体" w:cs="宋体"/>
                <w:sz w:val="20"/>
                <w:szCs w:val="20"/>
              </w:rPr>
            </w:pPr>
            <w:r>
              <w:rPr>
                <w:rFonts w:ascii="宋体" w:hAnsi="宋体" w:eastAsia="宋体" w:cs="宋体"/>
                <w:spacing w:val="7"/>
                <w:sz w:val="20"/>
                <w:szCs w:val="20"/>
              </w:rPr>
              <w:t>生活垃</w:t>
            </w:r>
            <w:r>
              <w:rPr>
                <w:rFonts w:ascii="宋体" w:hAnsi="宋体" w:eastAsia="宋体" w:cs="宋体"/>
                <w:spacing w:val="6"/>
                <w:sz w:val="20"/>
                <w:szCs w:val="20"/>
              </w:rPr>
              <w:t>圾</w:t>
            </w:r>
          </w:p>
        </w:tc>
        <w:tc>
          <w:tcPr>
            <w:tcW w:w="3964" w:type="dxa"/>
          </w:tcPr>
          <w:p w14:paraId="093F6736">
            <w:pPr>
              <w:spacing w:before="68" w:line="228" w:lineRule="auto"/>
              <w:ind w:left="112"/>
              <w:rPr>
                <w:rFonts w:ascii="宋体" w:hAnsi="宋体" w:eastAsia="宋体" w:cs="宋体"/>
                <w:sz w:val="20"/>
                <w:szCs w:val="20"/>
              </w:rPr>
            </w:pPr>
            <w:r>
              <w:rPr>
                <w:rFonts w:ascii="宋体" w:hAnsi="宋体" w:eastAsia="宋体" w:cs="宋体"/>
                <w:spacing w:val="14"/>
                <w:sz w:val="20"/>
                <w:szCs w:val="20"/>
              </w:rPr>
              <w:t>及</w:t>
            </w:r>
            <w:r>
              <w:rPr>
                <w:rFonts w:ascii="宋体" w:hAnsi="宋体" w:eastAsia="宋体" w:cs="宋体"/>
                <w:spacing w:val="13"/>
                <w:sz w:val="20"/>
                <w:szCs w:val="20"/>
              </w:rPr>
              <w:t>时</w:t>
            </w:r>
            <w:r>
              <w:rPr>
                <w:rFonts w:ascii="宋体" w:hAnsi="宋体" w:eastAsia="宋体" w:cs="宋体"/>
                <w:spacing w:val="7"/>
                <w:sz w:val="20"/>
                <w:szCs w:val="20"/>
              </w:rPr>
              <w:t>由环卫部门清运处理，做到日产日清</w:t>
            </w:r>
          </w:p>
        </w:tc>
        <w:tc>
          <w:tcPr>
            <w:tcW w:w="1147" w:type="dxa"/>
          </w:tcPr>
          <w:p w14:paraId="60673F62">
            <w:pPr>
              <w:spacing w:before="104" w:line="195" w:lineRule="auto"/>
              <w:ind w:left="550"/>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338" w:type="dxa"/>
            <w:vMerge w:val="continue"/>
            <w:tcBorders>
              <w:top w:val="nil"/>
              <w:bottom w:val="nil"/>
              <w:right w:val="nil"/>
            </w:tcBorders>
          </w:tcPr>
          <w:p w14:paraId="73F7785A"/>
        </w:tc>
      </w:tr>
      <w:tr w14:paraId="659DE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047" w:type="dxa"/>
            <w:gridSpan w:val="2"/>
            <w:tcBorders>
              <w:left w:val="nil"/>
            </w:tcBorders>
          </w:tcPr>
          <w:p w14:paraId="2932E34A">
            <w:pPr>
              <w:spacing w:before="70" w:line="228" w:lineRule="auto"/>
              <w:ind w:left="1584"/>
              <w:rPr>
                <w:rFonts w:ascii="宋体" w:hAnsi="宋体" w:eastAsia="宋体" w:cs="宋体"/>
                <w:sz w:val="20"/>
                <w:szCs w:val="20"/>
              </w:rPr>
            </w:pPr>
            <w:r>
              <w:rPr>
                <w:rFonts w:ascii="宋体" w:hAnsi="宋体" w:eastAsia="宋体" w:cs="宋体"/>
                <w:spacing w:val="4"/>
                <w:sz w:val="20"/>
                <w:szCs w:val="20"/>
              </w:rPr>
              <w:t>其他</w:t>
            </w:r>
          </w:p>
        </w:tc>
        <w:tc>
          <w:tcPr>
            <w:tcW w:w="3964" w:type="dxa"/>
          </w:tcPr>
          <w:p w14:paraId="204651FF">
            <w:pPr>
              <w:spacing w:before="70" w:line="229" w:lineRule="auto"/>
              <w:ind w:left="1989"/>
              <w:rPr>
                <w:rFonts w:ascii="宋体" w:hAnsi="宋体" w:eastAsia="宋体" w:cs="宋体"/>
                <w:sz w:val="20"/>
                <w:szCs w:val="20"/>
              </w:rPr>
            </w:pPr>
            <w:r>
              <w:rPr>
                <w:rFonts w:ascii="宋体" w:hAnsi="宋体" w:eastAsia="宋体" w:cs="宋体"/>
                <w:spacing w:val="4"/>
                <w:sz w:val="20"/>
                <w:szCs w:val="20"/>
              </w:rPr>
              <w:t>绿</w:t>
            </w:r>
            <w:r>
              <w:rPr>
                <w:rFonts w:ascii="宋体" w:hAnsi="宋体" w:eastAsia="宋体" w:cs="宋体"/>
                <w:spacing w:val="3"/>
                <w:sz w:val="20"/>
                <w:szCs w:val="20"/>
              </w:rPr>
              <w:t>化</w:t>
            </w:r>
          </w:p>
        </w:tc>
        <w:tc>
          <w:tcPr>
            <w:tcW w:w="1147" w:type="dxa"/>
          </w:tcPr>
          <w:p w14:paraId="44C45B62">
            <w:pPr>
              <w:spacing w:before="106" w:line="195"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338" w:type="dxa"/>
            <w:vMerge w:val="continue"/>
            <w:tcBorders>
              <w:top w:val="nil"/>
              <w:right w:val="nil"/>
            </w:tcBorders>
          </w:tcPr>
          <w:p w14:paraId="3BF29DD6"/>
        </w:tc>
      </w:tr>
      <w:tr w14:paraId="7EEAC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047" w:type="dxa"/>
            <w:gridSpan w:val="2"/>
            <w:tcBorders>
              <w:left w:val="nil"/>
            </w:tcBorders>
          </w:tcPr>
          <w:p w14:paraId="76F672B9">
            <w:pPr>
              <w:spacing w:before="68" w:line="229" w:lineRule="auto"/>
              <w:ind w:left="1584"/>
              <w:outlineLvl w:val="0"/>
              <w:rPr>
                <w:rFonts w:ascii="宋体" w:hAnsi="宋体" w:eastAsia="宋体" w:cs="宋体"/>
                <w:sz w:val="20"/>
                <w:szCs w:val="20"/>
              </w:rPr>
            </w:pPr>
            <w:r>
              <w:rPr>
                <w:rFonts w:ascii="宋体" w:hAnsi="宋体" w:eastAsia="宋体" w:cs="宋体"/>
                <w:spacing w:val="4"/>
                <w:sz w:val="20"/>
                <w:szCs w:val="20"/>
              </w:rPr>
              <w:t>合计</w:t>
            </w:r>
          </w:p>
        </w:tc>
        <w:tc>
          <w:tcPr>
            <w:tcW w:w="3964" w:type="dxa"/>
          </w:tcPr>
          <w:p w14:paraId="679C0C67">
            <w:pPr>
              <w:spacing w:before="195" w:line="142" w:lineRule="exact"/>
              <w:ind w:left="1977"/>
              <w:rPr>
                <w:rFonts w:ascii="Times New Roman" w:hAnsi="Times New Roman" w:eastAsia="Times New Roman" w:cs="Times New Roman"/>
                <w:sz w:val="20"/>
                <w:szCs w:val="20"/>
              </w:rPr>
            </w:pPr>
            <w:r>
              <w:rPr>
                <w:rFonts w:ascii="Times New Roman" w:hAnsi="Times New Roman" w:eastAsia="Times New Roman" w:cs="Times New Roman"/>
                <w:spacing w:val="11"/>
                <w:position w:val="-1"/>
                <w:sz w:val="20"/>
                <w:szCs w:val="20"/>
              </w:rPr>
              <w:t>—</w:t>
            </w:r>
            <w:r>
              <w:rPr>
                <w:rFonts w:ascii="Times New Roman" w:hAnsi="Times New Roman" w:eastAsia="Times New Roman" w:cs="Times New Roman"/>
                <w:spacing w:val="10"/>
                <w:position w:val="-1"/>
                <w:sz w:val="20"/>
                <w:szCs w:val="20"/>
              </w:rPr>
              <w:t>—</w:t>
            </w:r>
          </w:p>
        </w:tc>
        <w:tc>
          <w:tcPr>
            <w:tcW w:w="1147" w:type="dxa"/>
          </w:tcPr>
          <w:p w14:paraId="6894CC84">
            <w:pPr>
              <w:spacing w:before="106"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27</w:t>
            </w:r>
          </w:p>
        </w:tc>
        <w:tc>
          <w:tcPr>
            <w:tcW w:w="1338" w:type="dxa"/>
            <w:tcBorders>
              <w:right w:val="nil"/>
            </w:tcBorders>
          </w:tcPr>
          <w:p w14:paraId="2F76E2E2">
            <w:pPr>
              <w:spacing w:before="106" w:line="195" w:lineRule="auto"/>
              <w:ind w:left="671"/>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3"/>
                <w:sz w:val="20"/>
                <w:szCs w:val="20"/>
              </w:rPr>
              <w:t>27</w:t>
            </w:r>
          </w:p>
        </w:tc>
      </w:tr>
    </w:tbl>
    <w:p w14:paraId="0FCA3024"/>
    <w:p w14:paraId="5AA59CEF">
      <w:pPr>
        <w:sectPr>
          <w:headerReference r:id="rId270" w:type="default"/>
          <w:footerReference r:id="rId271" w:type="default"/>
          <w:pgSz w:w="11906" w:h="16839"/>
          <w:pgMar w:top="400" w:right="1134" w:bottom="1156" w:left="1275" w:header="0" w:footer="994" w:gutter="0"/>
          <w:cols w:space="720" w:num="1"/>
        </w:sectPr>
      </w:pPr>
    </w:p>
    <w:p w14:paraId="1E825E15">
      <w:pPr>
        <w:spacing w:before="211" w:line="241" w:lineRule="auto"/>
        <w:ind w:left="73"/>
        <w:rPr>
          <w:rFonts w:ascii="宋体" w:hAnsi="宋体" w:eastAsia="宋体" w:cs="宋体"/>
          <w:sz w:val="31"/>
          <w:szCs w:val="31"/>
        </w:rPr>
      </w:pPr>
      <w:bookmarkStart w:id="51" w:name="_bookmark52"/>
      <w:bookmarkEnd w:id="51"/>
      <w:r>
        <w:rPr>
          <w:rFonts w:ascii="Times New Roman" w:hAnsi="Times New Roman" w:eastAsia="Times New Roman" w:cs="Times New Roman"/>
          <w:b/>
          <w:bCs/>
          <w:spacing w:val="-21"/>
          <w:sz w:val="31"/>
          <w:szCs w:val="31"/>
        </w:rPr>
        <w:t>7</w:t>
      </w:r>
      <w:r>
        <w:rPr>
          <w:rFonts w:ascii="宋体" w:hAnsi="宋体" w:eastAsia="宋体" w:cs="宋体"/>
          <w:spacing w:val="-17"/>
          <w:sz w:val="31"/>
          <w:szCs w:val="31"/>
          <w14:textOutline w14:w="5791" w14:cap="sq" w14:cmpd="sng" w14:algn="ctr">
            <w14:solidFill>
              <w14:srgbClr w14:val="000000"/>
            </w14:solidFill>
            <w14:prstDash w14:val="solid"/>
            <w14:bevel/>
          </w14:textOutline>
        </w:rPr>
        <w:t>、清洁生产</w:t>
      </w:r>
    </w:p>
    <w:p w14:paraId="0A601CA1">
      <w:pPr>
        <w:spacing w:before="209" w:line="220" w:lineRule="auto"/>
        <w:ind w:left="72"/>
        <w:outlineLvl w:val="1"/>
        <w:rPr>
          <w:rFonts w:ascii="宋体" w:hAnsi="宋体" w:eastAsia="宋体" w:cs="宋体"/>
          <w:sz w:val="28"/>
          <w:szCs w:val="28"/>
        </w:rPr>
      </w:pPr>
      <w:bookmarkStart w:id="52" w:name="_bookmark53"/>
      <w:bookmarkEnd w:id="52"/>
      <w:r>
        <w:rPr>
          <w:rFonts w:ascii="Times New Roman" w:hAnsi="Times New Roman" w:eastAsia="Times New Roman" w:cs="Times New Roman"/>
          <w:b/>
          <w:bCs/>
          <w:spacing w:val="-1"/>
          <w:sz w:val="28"/>
          <w:szCs w:val="28"/>
        </w:rPr>
        <w:t>7.</w:t>
      </w:r>
      <w:r>
        <w:rPr>
          <w:rFonts w:ascii="Times New Roman" w:hAnsi="Times New Roman" w:eastAsia="Times New Roman" w:cs="Times New Roman"/>
          <w:b/>
          <w:bCs/>
          <w:sz w:val="28"/>
          <w:szCs w:val="28"/>
        </w:rPr>
        <w:t>1</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清洁生产的意义</w:t>
      </w:r>
    </w:p>
    <w:p w14:paraId="24370D87">
      <w:pPr>
        <w:spacing w:before="204" w:line="375" w:lineRule="auto"/>
        <w:ind w:left="67" w:firstLine="484"/>
        <w:rPr>
          <w:rFonts w:ascii="宋体" w:hAnsi="宋体" w:eastAsia="宋体" w:cs="宋体"/>
          <w:sz w:val="23"/>
          <w:szCs w:val="23"/>
        </w:rPr>
      </w:pPr>
      <w:r>
        <w:rPr>
          <w:rFonts w:ascii="宋体" w:hAnsi="宋体" w:eastAsia="宋体" w:cs="宋体"/>
          <w:spacing w:val="16"/>
          <w:sz w:val="23"/>
          <w:szCs w:val="23"/>
        </w:rPr>
        <w:t>推行清</w:t>
      </w:r>
      <w:r>
        <w:rPr>
          <w:rFonts w:ascii="宋体" w:hAnsi="宋体" w:eastAsia="宋体" w:cs="宋体"/>
          <w:spacing w:val="10"/>
          <w:sz w:val="23"/>
          <w:szCs w:val="23"/>
        </w:rPr>
        <w:t>洁</w:t>
      </w:r>
      <w:r>
        <w:rPr>
          <w:rFonts w:ascii="宋体" w:hAnsi="宋体" w:eastAsia="宋体" w:cs="宋体"/>
          <w:spacing w:val="8"/>
          <w:sz w:val="23"/>
          <w:szCs w:val="23"/>
        </w:rPr>
        <w:t>生产是实施生产全过程控制、进行整体污染预防，可实现节能、降耗、减污、</w:t>
      </w:r>
      <w:r>
        <w:rPr>
          <w:rFonts w:ascii="宋体" w:hAnsi="宋体" w:eastAsia="宋体" w:cs="宋体"/>
          <w:sz w:val="23"/>
          <w:szCs w:val="23"/>
        </w:rPr>
        <w:t xml:space="preserve"> </w:t>
      </w:r>
      <w:r>
        <w:rPr>
          <w:rFonts w:ascii="宋体" w:hAnsi="宋体" w:eastAsia="宋体" w:cs="宋体"/>
          <w:spacing w:val="14"/>
          <w:sz w:val="23"/>
          <w:szCs w:val="23"/>
        </w:rPr>
        <w:t>增</w:t>
      </w:r>
      <w:r>
        <w:rPr>
          <w:rFonts w:ascii="宋体" w:hAnsi="宋体" w:eastAsia="宋体" w:cs="宋体"/>
          <w:spacing w:val="9"/>
          <w:sz w:val="23"/>
          <w:szCs w:val="23"/>
        </w:rPr>
        <w:t>效</w:t>
      </w:r>
      <w:r>
        <w:rPr>
          <w:rFonts w:ascii="宋体" w:hAnsi="宋体" w:eastAsia="宋体" w:cs="宋体"/>
          <w:spacing w:val="7"/>
          <w:sz w:val="23"/>
          <w:szCs w:val="23"/>
        </w:rPr>
        <w:t>，是实现达标排放和污染物总量控制的重要手段，是我国环境保护的重大策略。作为可</w:t>
      </w:r>
      <w:r>
        <w:rPr>
          <w:rFonts w:ascii="宋体" w:hAnsi="宋体" w:eastAsia="宋体" w:cs="宋体"/>
          <w:sz w:val="23"/>
          <w:szCs w:val="23"/>
        </w:rPr>
        <w:t xml:space="preserve"> </w:t>
      </w:r>
      <w:r>
        <w:rPr>
          <w:rFonts w:ascii="宋体" w:hAnsi="宋体" w:eastAsia="宋体" w:cs="宋体"/>
          <w:spacing w:val="14"/>
          <w:sz w:val="23"/>
          <w:szCs w:val="23"/>
        </w:rPr>
        <w:t>持</w:t>
      </w:r>
      <w:r>
        <w:rPr>
          <w:rFonts w:ascii="宋体" w:hAnsi="宋体" w:eastAsia="宋体" w:cs="宋体"/>
          <w:spacing w:val="10"/>
          <w:sz w:val="23"/>
          <w:szCs w:val="23"/>
        </w:rPr>
        <w:t>续发展的根本性措施，我国政府已将清洁生产载入《中国二十一世纪议程》 ，国务院于</w:t>
      </w:r>
      <w:r>
        <w:rPr>
          <w:rFonts w:ascii="宋体" w:hAnsi="宋体" w:eastAsia="宋体" w:cs="宋体"/>
          <w:sz w:val="23"/>
          <w:szCs w:val="23"/>
        </w:rPr>
        <w:t xml:space="preserve"> </w:t>
      </w:r>
      <w:r>
        <w:rPr>
          <w:rFonts w:ascii="Times New Roman" w:hAnsi="Times New Roman" w:eastAsia="Times New Roman" w:cs="Times New Roman"/>
          <w:spacing w:val="2"/>
          <w:sz w:val="23"/>
          <w:szCs w:val="23"/>
        </w:rPr>
        <w:t xml:space="preserve">2002 </w:t>
      </w:r>
      <w:r>
        <w:rPr>
          <w:rFonts w:ascii="宋体" w:hAnsi="宋体" w:eastAsia="宋体" w:cs="宋体"/>
          <w:spacing w:val="1"/>
          <w:sz w:val="23"/>
          <w:szCs w:val="23"/>
        </w:rPr>
        <w:t xml:space="preserve">年 </w:t>
      </w:r>
      <w:r>
        <w:rPr>
          <w:rFonts w:ascii="Times New Roman" w:hAnsi="Times New Roman" w:eastAsia="Times New Roman" w:cs="Times New Roman"/>
          <w:spacing w:val="1"/>
          <w:sz w:val="23"/>
          <w:szCs w:val="23"/>
        </w:rPr>
        <w:t xml:space="preserve">6 </w:t>
      </w:r>
      <w:r>
        <w:rPr>
          <w:rFonts w:ascii="宋体" w:hAnsi="宋体" w:eastAsia="宋体" w:cs="宋体"/>
          <w:spacing w:val="1"/>
          <w:sz w:val="23"/>
          <w:szCs w:val="23"/>
        </w:rPr>
        <w:t xml:space="preserve">月 </w:t>
      </w:r>
      <w:r>
        <w:rPr>
          <w:rFonts w:ascii="Times New Roman" w:hAnsi="Times New Roman" w:eastAsia="Times New Roman" w:cs="Times New Roman"/>
          <w:spacing w:val="1"/>
          <w:sz w:val="23"/>
          <w:szCs w:val="23"/>
        </w:rPr>
        <w:t xml:space="preserve">1 </w:t>
      </w:r>
      <w:r>
        <w:rPr>
          <w:rFonts w:ascii="宋体" w:hAnsi="宋体" w:eastAsia="宋体" w:cs="宋体"/>
          <w:spacing w:val="1"/>
          <w:sz w:val="23"/>
          <w:szCs w:val="23"/>
        </w:rPr>
        <w:t xml:space="preserve">日颁布了《中华人民共和国清洁生产促进法》，并于 </w:t>
      </w:r>
      <w:r>
        <w:rPr>
          <w:rFonts w:ascii="Times New Roman" w:hAnsi="Times New Roman" w:eastAsia="Times New Roman" w:cs="Times New Roman"/>
          <w:spacing w:val="1"/>
          <w:sz w:val="23"/>
          <w:szCs w:val="23"/>
        </w:rPr>
        <w:t xml:space="preserve">2003 </w:t>
      </w:r>
      <w:r>
        <w:rPr>
          <w:rFonts w:ascii="宋体" w:hAnsi="宋体" w:eastAsia="宋体" w:cs="宋体"/>
          <w:spacing w:val="1"/>
          <w:sz w:val="23"/>
          <w:szCs w:val="23"/>
        </w:rPr>
        <w:t xml:space="preserve">年 </w:t>
      </w:r>
      <w:r>
        <w:rPr>
          <w:rFonts w:ascii="Times New Roman" w:hAnsi="Times New Roman" w:eastAsia="Times New Roman" w:cs="Times New Roman"/>
          <w:spacing w:val="1"/>
          <w:sz w:val="23"/>
          <w:szCs w:val="23"/>
        </w:rPr>
        <w:t xml:space="preserve">1 </w:t>
      </w:r>
      <w:r>
        <w:rPr>
          <w:rFonts w:ascii="宋体" w:hAnsi="宋体" w:eastAsia="宋体" w:cs="宋体"/>
          <w:spacing w:val="1"/>
          <w:sz w:val="23"/>
          <w:szCs w:val="23"/>
        </w:rPr>
        <w:t xml:space="preserve">月 </w:t>
      </w:r>
      <w:r>
        <w:rPr>
          <w:rFonts w:ascii="Times New Roman" w:hAnsi="Times New Roman" w:eastAsia="Times New Roman" w:cs="Times New Roman"/>
          <w:spacing w:val="1"/>
          <w:sz w:val="23"/>
          <w:szCs w:val="23"/>
        </w:rPr>
        <w:t xml:space="preserve">1 </w:t>
      </w:r>
      <w:r>
        <w:rPr>
          <w:rFonts w:ascii="宋体" w:hAnsi="宋体" w:eastAsia="宋体" w:cs="宋体"/>
          <w:spacing w:val="1"/>
          <w:sz w:val="23"/>
          <w:szCs w:val="23"/>
        </w:rPr>
        <w:t>日起正式</w:t>
      </w:r>
      <w:r>
        <w:rPr>
          <w:rFonts w:ascii="宋体" w:hAnsi="宋体" w:eastAsia="宋体" w:cs="宋体"/>
          <w:sz w:val="23"/>
          <w:szCs w:val="23"/>
        </w:rPr>
        <w:t xml:space="preserve"> </w:t>
      </w:r>
      <w:r>
        <w:rPr>
          <w:rFonts w:ascii="宋体" w:hAnsi="宋体" w:eastAsia="宋体" w:cs="宋体"/>
          <w:spacing w:val="5"/>
          <w:sz w:val="23"/>
          <w:szCs w:val="23"/>
        </w:rPr>
        <w:t>实施</w:t>
      </w:r>
      <w:r>
        <w:rPr>
          <w:rFonts w:ascii="宋体" w:hAnsi="宋体" w:eastAsia="宋体" w:cs="宋体"/>
          <w:spacing w:val="4"/>
          <w:sz w:val="23"/>
          <w:szCs w:val="23"/>
        </w:rPr>
        <w:t>。</w:t>
      </w:r>
    </w:p>
    <w:p w14:paraId="6F0EC0FE">
      <w:pPr>
        <w:spacing w:before="5" w:line="374" w:lineRule="auto"/>
        <w:ind w:left="71" w:right="18" w:firstLine="480"/>
        <w:rPr>
          <w:rFonts w:ascii="宋体" w:hAnsi="宋体" w:eastAsia="宋体" w:cs="宋体"/>
          <w:sz w:val="23"/>
          <w:szCs w:val="23"/>
        </w:rPr>
      </w:pPr>
      <w:r>
        <w:rPr>
          <w:rFonts w:ascii="宋体" w:hAnsi="宋体" w:eastAsia="宋体" w:cs="宋体"/>
          <w:spacing w:val="16"/>
          <w:sz w:val="23"/>
          <w:szCs w:val="23"/>
        </w:rPr>
        <w:t>清</w:t>
      </w:r>
      <w:r>
        <w:rPr>
          <w:rFonts w:ascii="宋体" w:hAnsi="宋体" w:eastAsia="宋体" w:cs="宋体"/>
          <w:spacing w:val="8"/>
          <w:sz w:val="23"/>
          <w:szCs w:val="23"/>
        </w:rPr>
        <w:t>洁生产是指在可行范围内减少最初产生的或随后经过处理、分类或处置的有害废物，</w:t>
      </w:r>
      <w:r>
        <w:rPr>
          <w:rFonts w:ascii="宋体" w:hAnsi="宋体" w:eastAsia="宋体" w:cs="宋体"/>
          <w:sz w:val="23"/>
          <w:szCs w:val="23"/>
        </w:rPr>
        <w:t xml:space="preserve"> </w:t>
      </w:r>
      <w:r>
        <w:rPr>
          <w:rFonts w:ascii="宋体" w:hAnsi="宋体" w:eastAsia="宋体" w:cs="宋体"/>
          <w:spacing w:val="12"/>
          <w:sz w:val="23"/>
          <w:szCs w:val="23"/>
        </w:rPr>
        <w:t>达</w:t>
      </w:r>
      <w:r>
        <w:rPr>
          <w:rFonts w:ascii="宋体" w:hAnsi="宋体" w:eastAsia="宋体" w:cs="宋体"/>
          <w:spacing w:val="7"/>
          <w:sz w:val="23"/>
          <w:szCs w:val="23"/>
        </w:rPr>
        <w:t>到</w:t>
      </w:r>
      <w:r>
        <w:rPr>
          <w:rFonts w:ascii="Times New Roman" w:hAnsi="Times New Roman" w:eastAsia="Times New Roman" w:cs="Times New Roman"/>
          <w:spacing w:val="6"/>
          <w:sz w:val="23"/>
          <w:szCs w:val="23"/>
        </w:rPr>
        <w:t>“</w:t>
      </w:r>
      <w:r>
        <w:rPr>
          <w:rFonts w:ascii="宋体" w:hAnsi="宋体" w:eastAsia="宋体" w:cs="宋体"/>
          <w:spacing w:val="6"/>
          <w:sz w:val="23"/>
          <w:szCs w:val="23"/>
        </w:rPr>
        <w:t>废物最小化</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。清洁生产以节能、降耗、减污为目标，以技术和管理为手段，强调在生</w:t>
      </w:r>
      <w:r>
        <w:rPr>
          <w:rFonts w:ascii="宋体" w:hAnsi="宋体" w:eastAsia="宋体" w:cs="宋体"/>
          <w:sz w:val="23"/>
          <w:szCs w:val="23"/>
        </w:rPr>
        <w:t xml:space="preserve"> </w:t>
      </w:r>
      <w:r>
        <w:rPr>
          <w:rFonts w:ascii="宋体" w:hAnsi="宋体" w:eastAsia="宋体" w:cs="宋体"/>
          <w:spacing w:val="12"/>
          <w:sz w:val="23"/>
          <w:szCs w:val="23"/>
        </w:rPr>
        <w:t>产</w:t>
      </w:r>
      <w:r>
        <w:rPr>
          <w:rFonts w:ascii="宋体" w:hAnsi="宋体" w:eastAsia="宋体" w:cs="宋体"/>
          <w:spacing w:val="7"/>
          <w:sz w:val="23"/>
          <w:szCs w:val="23"/>
        </w:rPr>
        <w:t>的全过程中的源削减。通过对生产全过程的排污统计、筛选并实施污染防治措施，不仅可</w:t>
      </w:r>
      <w:r>
        <w:rPr>
          <w:rFonts w:ascii="宋体" w:hAnsi="宋体" w:eastAsia="宋体" w:cs="宋体"/>
          <w:sz w:val="23"/>
          <w:szCs w:val="23"/>
        </w:rPr>
        <w:t xml:space="preserve"> </w:t>
      </w:r>
      <w:r>
        <w:rPr>
          <w:rFonts w:ascii="宋体" w:hAnsi="宋体" w:eastAsia="宋体" w:cs="宋体"/>
          <w:spacing w:val="12"/>
          <w:sz w:val="23"/>
          <w:szCs w:val="23"/>
        </w:rPr>
        <w:t>以</w:t>
      </w:r>
      <w:r>
        <w:rPr>
          <w:rFonts w:ascii="宋体" w:hAnsi="宋体" w:eastAsia="宋体" w:cs="宋体"/>
          <w:spacing w:val="7"/>
          <w:sz w:val="23"/>
          <w:szCs w:val="23"/>
        </w:rPr>
        <w:t>预防污染源建成后对环境的污染，而且能预防该污染源本身的污染产生，从而以经济有效</w:t>
      </w:r>
      <w:r>
        <w:rPr>
          <w:rFonts w:ascii="宋体" w:hAnsi="宋体" w:eastAsia="宋体" w:cs="宋体"/>
          <w:sz w:val="23"/>
          <w:szCs w:val="23"/>
        </w:rPr>
        <w:t xml:space="preserve"> </w:t>
      </w:r>
      <w:r>
        <w:rPr>
          <w:rFonts w:ascii="宋体" w:hAnsi="宋体" w:eastAsia="宋体" w:cs="宋体"/>
          <w:spacing w:val="12"/>
          <w:sz w:val="23"/>
          <w:szCs w:val="23"/>
        </w:rPr>
        <w:t>方</w:t>
      </w:r>
      <w:r>
        <w:rPr>
          <w:rFonts w:ascii="宋体" w:hAnsi="宋体" w:eastAsia="宋体" w:cs="宋体"/>
          <w:spacing w:val="7"/>
          <w:sz w:val="23"/>
          <w:szCs w:val="23"/>
        </w:rPr>
        <w:t>式最大限度地减少污染。通过清洁生产的实施，不但可以减少废物排放、保护环境，还可</w:t>
      </w:r>
      <w:r>
        <w:rPr>
          <w:rFonts w:ascii="宋体" w:hAnsi="宋体" w:eastAsia="宋体" w:cs="宋体"/>
          <w:sz w:val="23"/>
          <w:szCs w:val="23"/>
        </w:rPr>
        <w:t xml:space="preserve"> </w:t>
      </w:r>
      <w:r>
        <w:rPr>
          <w:rFonts w:ascii="宋体" w:hAnsi="宋体" w:eastAsia="宋体" w:cs="宋体"/>
          <w:spacing w:val="18"/>
          <w:sz w:val="23"/>
          <w:szCs w:val="23"/>
        </w:rPr>
        <w:t>以</w:t>
      </w:r>
      <w:r>
        <w:rPr>
          <w:rFonts w:ascii="宋体" w:hAnsi="宋体" w:eastAsia="宋体" w:cs="宋体"/>
          <w:spacing w:val="15"/>
          <w:sz w:val="23"/>
          <w:szCs w:val="23"/>
        </w:rPr>
        <w:t>提</w:t>
      </w:r>
      <w:r>
        <w:rPr>
          <w:rFonts w:ascii="宋体" w:hAnsi="宋体" w:eastAsia="宋体" w:cs="宋体"/>
          <w:spacing w:val="9"/>
          <w:sz w:val="23"/>
          <w:szCs w:val="23"/>
        </w:rPr>
        <w:t>高企业的经济效益，真正实现环境效益、经济效益和社会效益的三统一。</w:t>
      </w:r>
    </w:p>
    <w:p w14:paraId="240EBF05">
      <w:pPr>
        <w:spacing w:before="3" w:line="375" w:lineRule="auto"/>
        <w:ind w:left="73" w:right="65" w:firstLine="479"/>
        <w:rPr>
          <w:rFonts w:ascii="宋体" w:hAnsi="宋体" w:eastAsia="宋体" w:cs="宋体"/>
          <w:sz w:val="23"/>
          <w:szCs w:val="23"/>
        </w:rPr>
      </w:pPr>
      <w:r>
        <w:rPr>
          <w:rFonts w:ascii="宋体" w:hAnsi="宋体" w:eastAsia="宋体" w:cs="宋体"/>
          <w:spacing w:val="7"/>
          <w:sz w:val="23"/>
          <w:szCs w:val="23"/>
        </w:rPr>
        <w:t>根据清洁生产的一般要求，清洁生产指标原则上分为生产工艺与装备要求、资源能源</w:t>
      </w:r>
      <w:r>
        <w:rPr>
          <w:rFonts w:ascii="宋体" w:hAnsi="宋体" w:eastAsia="宋体" w:cs="宋体"/>
          <w:spacing w:val="6"/>
          <w:sz w:val="23"/>
          <w:szCs w:val="23"/>
        </w:rPr>
        <w:t>利</w:t>
      </w:r>
      <w:r>
        <w:rPr>
          <w:rFonts w:ascii="宋体" w:hAnsi="宋体" w:eastAsia="宋体" w:cs="宋体"/>
          <w:sz w:val="23"/>
          <w:szCs w:val="23"/>
        </w:rPr>
        <w:t xml:space="preserve"> </w:t>
      </w:r>
      <w:r>
        <w:rPr>
          <w:rFonts w:ascii="宋体" w:hAnsi="宋体" w:eastAsia="宋体" w:cs="宋体"/>
          <w:spacing w:val="11"/>
          <w:sz w:val="23"/>
          <w:szCs w:val="23"/>
        </w:rPr>
        <w:t>用</w:t>
      </w:r>
      <w:r>
        <w:rPr>
          <w:rFonts w:ascii="宋体" w:hAnsi="宋体" w:eastAsia="宋体" w:cs="宋体"/>
          <w:spacing w:val="7"/>
          <w:sz w:val="23"/>
          <w:szCs w:val="23"/>
        </w:rPr>
        <w:t>指标、产品指标、污染物产生指标、废物处理要求和环境管理要求等六类。本项目属畜禽</w:t>
      </w:r>
      <w:r>
        <w:rPr>
          <w:rFonts w:ascii="宋体" w:hAnsi="宋体" w:eastAsia="宋体" w:cs="宋体"/>
          <w:sz w:val="23"/>
          <w:szCs w:val="23"/>
        </w:rPr>
        <w:t xml:space="preserve"> </w:t>
      </w:r>
      <w:r>
        <w:rPr>
          <w:rFonts w:ascii="宋体" w:hAnsi="宋体" w:eastAsia="宋体" w:cs="宋体"/>
          <w:spacing w:val="11"/>
          <w:sz w:val="23"/>
          <w:szCs w:val="23"/>
        </w:rPr>
        <w:t>养</w:t>
      </w:r>
      <w:r>
        <w:rPr>
          <w:rFonts w:ascii="宋体" w:hAnsi="宋体" w:eastAsia="宋体" w:cs="宋体"/>
          <w:spacing w:val="7"/>
          <w:sz w:val="23"/>
          <w:szCs w:val="23"/>
        </w:rPr>
        <w:t>殖项目，目前国家尚未发布相关的清洁生产标准和相关技术指南，因此清洁生产分析，结</w:t>
      </w:r>
      <w:r>
        <w:rPr>
          <w:rFonts w:ascii="宋体" w:hAnsi="宋体" w:eastAsia="宋体" w:cs="宋体"/>
          <w:sz w:val="23"/>
          <w:szCs w:val="23"/>
        </w:rPr>
        <w:t xml:space="preserve"> </w:t>
      </w:r>
      <w:r>
        <w:rPr>
          <w:rFonts w:ascii="宋体" w:hAnsi="宋体" w:eastAsia="宋体" w:cs="宋体"/>
          <w:spacing w:val="11"/>
          <w:sz w:val="23"/>
          <w:szCs w:val="23"/>
        </w:rPr>
        <w:t>合</w:t>
      </w:r>
      <w:r>
        <w:rPr>
          <w:rFonts w:ascii="宋体" w:hAnsi="宋体" w:eastAsia="宋体" w:cs="宋体"/>
          <w:spacing w:val="7"/>
          <w:sz w:val="23"/>
          <w:szCs w:val="23"/>
        </w:rPr>
        <w:t>行业及工程特点，从生产工艺与装备要求、资源能源利用指标、产品指标、污染物产生及</w:t>
      </w:r>
      <w:r>
        <w:rPr>
          <w:rFonts w:ascii="宋体" w:hAnsi="宋体" w:eastAsia="宋体" w:cs="宋体"/>
          <w:sz w:val="23"/>
          <w:szCs w:val="23"/>
        </w:rPr>
        <w:t xml:space="preserve"> </w:t>
      </w:r>
      <w:r>
        <w:rPr>
          <w:rFonts w:ascii="宋体" w:hAnsi="宋体" w:eastAsia="宋体" w:cs="宋体"/>
          <w:spacing w:val="11"/>
          <w:sz w:val="23"/>
          <w:szCs w:val="23"/>
        </w:rPr>
        <w:t>防</w:t>
      </w:r>
      <w:r>
        <w:rPr>
          <w:rFonts w:ascii="宋体" w:hAnsi="宋体" w:eastAsia="宋体" w:cs="宋体"/>
          <w:spacing w:val="7"/>
          <w:sz w:val="23"/>
          <w:szCs w:val="23"/>
        </w:rPr>
        <w:t>治措施和环境管理要求等方面定性分析本项目的清洁生产水平，并提出清洁生产要求和建</w:t>
      </w:r>
      <w:r>
        <w:rPr>
          <w:rFonts w:ascii="宋体" w:hAnsi="宋体" w:eastAsia="宋体" w:cs="宋体"/>
          <w:sz w:val="23"/>
          <w:szCs w:val="23"/>
        </w:rPr>
        <w:t xml:space="preserve"> </w:t>
      </w:r>
      <w:r>
        <w:rPr>
          <w:rFonts w:ascii="宋体" w:hAnsi="宋体" w:eastAsia="宋体" w:cs="宋体"/>
          <w:spacing w:val="-1"/>
          <w:sz w:val="23"/>
          <w:szCs w:val="23"/>
        </w:rPr>
        <w:t>议</w:t>
      </w:r>
      <w:r>
        <w:rPr>
          <w:rFonts w:ascii="宋体" w:hAnsi="宋体" w:eastAsia="宋体" w:cs="宋体"/>
          <w:sz w:val="23"/>
          <w:szCs w:val="23"/>
        </w:rPr>
        <w:t>。</w:t>
      </w:r>
    </w:p>
    <w:p w14:paraId="64C2E846">
      <w:pPr>
        <w:spacing w:before="1" w:line="219" w:lineRule="auto"/>
        <w:ind w:left="72"/>
        <w:outlineLvl w:val="1"/>
        <w:rPr>
          <w:rFonts w:ascii="宋体" w:hAnsi="宋体" w:eastAsia="宋体" w:cs="宋体"/>
          <w:sz w:val="28"/>
          <w:szCs w:val="28"/>
        </w:rPr>
      </w:pPr>
      <w:bookmarkStart w:id="53" w:name="_bookmark54"/>
      <w:bookmarkEnd w:id="53"/>
      <w:r>
        <w:rPr>
          <w:rFonts w:ascii="Times New Roman" w:hAnsi="Times New Roman" w:eastAsia="Times New Roman" w:cs="Times New Roman"/>
          <w:b/>
          <w:bCs/>
          <w:spacing w:val="-1"/>
          <w:sz w:val="28"/>
          <w:szCs w:val="28"/>
        </w:rPr>
        <w:t>7.2</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清洁生产分析</w:t>
      </w:r>
    </w:p>
    <w:p w14:paraId="2455ADE2">
      <w:pPr>
        <w:spacing w:before="206" w:line="227" w:lineRule="auto"/>
        <w:ind w:left="70"/>
        <w:outlineLvl w:val="2"/>
        <w:rPr>
          <w:rFonts w:ascii="宋体" w:hAnsi="宋体" w:eastAsia="宋体" w:cs="宋体"/>
          <w:sz w:val="23"/>
          <w:szCs w:val="23"/>
        </w:rPr>
      </w:pPr>
      <w:r>
        <w:rPr>
          <w:rFonts w:ascii="Times New Roman" w:hAnsi="Times New Roman" w:eastAsia="Times New Roman" w:cs="Times New Roman"/>
          <w:b/>
          <w:bCs/>
          <w:spacing w:val="9"/>
          <w:sz w:val="23"/>
          <w:szCs w:val="23"/>
        </w:rPr>
        <w:t>7</w:t>
      </w:r>
      <w:r>
        <w:rPr>
          <w:rFonts w:ascii="Times New Roman" w:hAnsi="Times New Roman" w:eastAsia="Times New Roman" w:cs="Times New Roman"/>
          <w:b/>
          <w:bCs/>
          <w:spacing w:val="7"/>
          <w:sz w:val="23"/>
          <w:szCs w:val="23"/>
        </w:rPr>
        <w:t>.2.1</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生产工艺与装备要求</w:t>
      </w:r>
    </w:p>
    <w:p w14:paraId="05FC7286">
      <w:pPr>
        <w:spacing w:before="185" w:line="227" w:lineRule="auto"/>
        <w:ind w:left="70"/>
        <w:outlineLvl w:val="3"/>
        <w:rPr>
          <w:rFonts w:ascii="宋体" w:hAnsi="宋体" w:eastAsia="宋体" w:cs="宋体"/>
          <w:sz w:val="23"/>
          <w:szCs w:val="23"/>
        </w:rPr>
      </w:pPr>
      <w:r>
        <w:rPr>
          <w:rFonts w:ascii="Times New Roman" w:hAnsi="Times New Roman" w:eastAsia="Times New Roman" w:cs="Times New Roman"/>
          <w:b/>
          <w:bCs/>
          <w:spacing w:val="6"/>
          <w:sz w:val="23"/>
          <w:szCs w:val="23"/>
        </w:rPr>
        <w:t>7</w:t>
      </w:r>
      <w:r>
        <w:rPr>
          <w:rFonts w:ascii="Times New Roman" w:hAnsi="Times New Roman" w:eastAsia="Times New Roman" w:cs="Times New Roman"/>
          <w:b/>
          <w:bCs/>
          <w:spacing w:val="5"/>
          <w:sz w:val="23"/>
          <w:szCs w:val="23"/>
        </w:rPr>
        <w:t>.2.1.1</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清粪工艺</w:t>
      </w:r>
    </w:p>
    <w:p w14:paraId="40C233BB">
      <w:pPr>
        <w:spacing w:before="183" w:line="227" w:lineRule="auto"/>
        <w:ind w:left="551"/>
        <w:rPr>
          <w:rFonts w:ascii="宋体" w:hAnsi="宋体" w:eastAsia="宋体" w:cs="宋体"/>
          <w:sz w:val="23"/>
          <w:szCs w:val="23"/>
        </w:rPr>
      </w:pPr>
      <w:r>
        <w:rPr>
          <w:rFonts w:ascii="宋体" w:hAnsi="宋体" w:eastAsia="宋体" w:cs="宋体"/>
          <w:spacing w:val="-2"/>
          <w:sz w:val="23"/>
          <w:szCs w:val="23"/>
        </w:rPr>
        <w:t>对比分析结</w:t>
      </w:r>
      <w:r>
        <w:rPr>
          <w:rFonts w:ascii="宋体" w:hAnsi="宋体" w:eastAsia="宋体" w:cs="宋体"/>
          <w:spacing w:val="-1"/>
          <w:sz w:val="23"/>
          <w:szCs w:val="23"/>
        </w:rPr>
        <w:t xml:space="preserve">果见表 </w:t>
      </w:r>
      <w:r>
        <w:rPr>
          <w:rFonts w:ascii="Times New Roman" w:hAnsi="Times New Roman" w:eastAsia="Times New Roman" w:cs="Times New Roman"/>
          <w:spacing w:val="-1"/>
          <w:sz w:val="23"/>
          <w:szCs w:val="23"/>
        </w:rPr>
        <w:t>7.2- 1</w:t>
      </w:r>
      <w:r>
        <w:rPr>
          <w:rFonts w:ascii="宋体" w:hAnsi="宋体" w:eastAsia="宋体" w:cs="宋体"/>
          <w:spacing w:val="-1"/>
          <w:sz w:val="23"/>
          <w:szCs w:val="23"/>
        </w:rPr>
        <w:t>。</w:t>
      </w:r>
    </w:p>
    <w:p w14:paraId="7547577C">
      <w:pPr>
        <w:spacing w:before="185" w:line="221" w:lineRule="auto"/>
        <w:ind w:left="3582"/>
        <w:rPr>
          <w:rFonts w:ascii="黑体" w:hAnsi="黑体" w:eastAsia="黑体" w:cs="黑体"/>
          <w:sz w:val="23"/>
          <w:szCs w:val="23"/>
        </w:rPr>
      </w:pPr>
      <w:r>
        <w:rPr>
          <w:rFonts w:ascii="黑体" w:hAnsi="黑体" w:eastAsia="黑体" w:cs="黑体"/>
          <w:spacing w:val="-2"/>
          <w:sz w:val="23"/>
          <w:szCs w:val="23"/>
        </w:rPr>
        <w:t xml:space="preserve">表 </w:t>
      </w:r>
      <w:r>
        <w:rPr>
          <w:rFonts w:ascii="Times New Roman" w:hAnsi="Times New Roman" w:eastAsia="Times New Roman" w:cs="Times New Roman"/>
          <w:spacing w:val="-2"/>
          <w:sz w:val="23"/>
          <w:szCs w:val="23"/>
        </w:rPr>
        <w:t>7.2- 1</w:t>
      </w:r>
      <w:r>
        <w:rPr>
          <w:rFonts w:ascii="Times New Roman" w:hAnsi="Times New Roman" w:eastAsia="Times New Roman" w:cs="Times New Roman"/>
          <w:spacing w:val="-1"/>
          <w:sz w:val="23"/>
          <w:szCs w:val="23"/>
        </w:rPr>
        <w:t xml:space="preserve">    </w:t>
      </w:r>
      <w:r>
        <w:rPr>
          <w:rFonts w:ascii="黑体" w:hAnsi="黑体" w:eastAsia="黑体" w:cs="黑体"/>
          <w:spacing w:val="-1"/>
          <w:sz w:val="23"/>
          <w:szCs w:val="23"/>
        </w:rPr>
        <w:t>工艺对比分析</w:t>
      </w:r>
    </w:p>
    <w:tbl>
      <w:tblPr>
        <w:tblStyle w:val="4"/>
        <w:tblW w:w="96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5"/>
        <w:gridCol w:w="2694"/>
        <w:gridCol w:w="2165"/>
        <w:gridCol w:w="1480"/>
        <w:gridCol w:w="1118"/>
        <w:gridCol w:w="1126"/>
      </w:tblGrid>
      <w:tr w14:paraId="5AD16F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1035" w:type="dxa"/>
            <w:vMerge w:val="restart"/>
            <w:tcBorders>
              <w:left w:val="nil"/>
              <w:bottom w:val="nil"/>
            </w:tcBorders>
          </w:tcPr>
          <w:p w14:paraId="4CF425FC">
            <w:pPr>
              <w:spacing w:line="252" w:lineRule="auto"/>
            </w:pPr>
          </w:p>
          <w:p w14:paraId="4D620ACA">
            <w:pPr>
              <w:spacing w:before="65" w:line="230" w:lineRule="auto"/>
              <w:ind w:left="104"/>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工艺名</w:t>
            </w:r>
            <w:r>
              <w:rPr>
                <w:rFonts w:ascii="宋体" w:hAnsi="宋体" w:eastAsia="宋体" w:cs="宋体"/>
                <w:spacing w:val="7"/>
                <w:sz w:val="20"/>
                <w:szCs w:val="20"/>
                <w14:textOutline w14:w="3797" w14:cap="sq" w14:cmpd="sng" w14:algn="ctr">
                  <w14:solidFill>
                    <w14:srgbClr w14:val="000000"/>
                  </w14:solidFill>
                  <w14:prstDash w14:val="solid"/>
                  <w14:bevel/>
                </w14:textOutline>
              </w:rPr>
              <w:t>称</w:t>
            </w:r>
          </w:p>
        </w:tc>
        <w:tc>
          <w:tcPr>
            <w:tcW w:w="2694" w:type="dxa"/>
            <w:vMerge w:val="restart"/>
            <w:tcBorders>
              <w:bottom w:val="nil"/>
            </w:tcBorders>
          </w:tcPr>
          <w:p w14:paraId="4544C3D8">
            <w:pPr>
              <w:spacing w:line="252" w:lineRule="auto"/>
            </w:pPr>
          </w:p>
          <w:p w14:paraId="7A1A14D9">
            <w:pPr>
              <w:spacing w:before="65" w:line="228" w:lineRule="auto"/>
              <w:ind w:left="934"/>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工艺说</w:t>
            </w:r>
            <w:r>
              <w:rPr>
                <w:rFonts w:ascii="宋体" w:hAnsi="宋体" w:eastAsia="宋体" w:cs="宋体"/>
                <w:spacing w:val="7"/>
                <w:sz w:val="20"/>
                <w:szCs w:val="20"/>
                <w14:textOutline w14:w="3797" w14:cap="sq" w14:cmpd="sng" w14:algn="ctr">
                  <w14:solidFill>
                    <w14:srgbClr w14:val="000000"/>
                  </w14:solidFill>
                  <w14:prstDash w14:val="solid"/>
                  <w14:bevel/>
                </w14:textOutline>
              </w:rPr>
              <w:t>明</w:t>
            </w:r>
          </w:p>
        </w:tc>
        <w:tc>
          <w:tcPr>
            <w:tcW w:w="3645" w:type="dxa"/>
            <w:gridSpan w:val="2"/>
          </w:tcPr>
          <w:p w14:paraId="559ED1CD">
            <w:pPr>
              <w:spacing w:before="118" w:line="228" w:lineRule="auto"/>
              <w:ind w:left="1196"/>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达</w:t>
            </w:r>
            <w:r>
              <w:rPr>
                <w:rFonts w:ascii="宋体" w:hAnsi="宋体" w:eastAsia="宋体" w:cs="宋体"/>
                <w:spacing w:val="9"/>
                <w:sz w:val="20"/>
                <w:szCs w:val="20"/>
                <w14:textOutline w14:w="3797" w14:cap="sq" w14:cmpd="sng" w14:algn="ctr">
                  <w14:solidFill>
                    <w14:srgbClr w14:val="000000"/>
                  </w14:solidFill>
                  <w14:prstDash w14:val="solid"/>
                  <w14:bevel/>
                </w14:textOutline>
              </w:rPr>
              <w:t>标排放方案</w:t>
            </w:r>
          </w:p>
        </w:tc>
        <w:tc>
          <w:tcPr>
            <w:tcW w:w="2244" w:type="dxa"/>
            <w:gridSpan w:val="2"/>
            <w:tcBorders>
              <w:right w:val="nil"/>
            </w:tcBorders>
          </w:tcPr>
          <w:p w14:paraId="48E380CF">
            <w:pPr>
              <w:spacing w:before="118" w:line="228" w:lineRule="auto"/>
              <w:ind w:left="499"/>
              <w:rPr>
                <w:rFonts w:ascii="宋体" w:hAnsi="宋体" w:eastAsia="宋体" w:cs="宋体"/>
                <w:sz w:val="20"/>
                <w:szCs w:val="20"/>
              </w:rPr>
            </w:pPr>
            <w:r>
              <w:rPr>
                <w:rFonts w:ascii="宋体" w:hAnsi="宋体" w:eastAsia="宋体" w:cs="宋体"/>
                <w:spacing w:val="11"/>
                <w:sz w:val="20"/>
                <w:szCs w:val="20"/>
                <w14:textOutline w14:w="3797" w14:cap="sq" w14:cmpd="sng" w14:algn="ctr">
                  <w14:solidFill>
                    <w14:srgbClr w14:val="000000"/>
                  </w14:solidFill>
                  <w14:prstDash w14:val="solid"/>
                  <w14:bevel/>
                </w14:textOutline>
              </w:rPr>
              <w:t>综</w:t>
            </w:r>
            <w:r>
              <w:rPr>
                <w:rFonts w:ascii="宋体" w:hAnsi="宋体" w:eastAsia="宋体" w:cs="宋体"/>
                <w:spacing w:val="8"/>
                <w:sz w:val="20"/>
                <w:szCs w:val="20"/>
                <w14:textOutline w14:w="3797" w14:cap="sq" w14:cmpd="sng" w14:algn="ctr">
                  <w14:solidFill>
                    <w14:srgbClr w14:val="000000"/>
                  </w14:solidFill>
                  <w14:prstDash w14:val="solid"/>
                  <w14:bevel/>
                </w14:textOutline>
              </w:rPr>
              <w:t>合利用方案</w:t>
            </w:r>
          </w:p>
        </w:tc>
      </w:tr>
      <w:tr w14:paraId="15E79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035" w:type="dxa"/>
            <w:vMerge w:val="continue"/>
            <w:tcBorders>
              <w:top w:val="nil"/>
              <w:left w:val="nil"/>
            </w:tcBorders>
          </w:tcPr>
          <w:p w14:paraId="2FA1D880"/>
        </w:tc>
        <w:tc>
          <w:tcPr>
            <w:tcW w:w="2694" w:type="dxa"/>
            <w:vMerge w:val="continue"/>
            <w:tcBorders>
              <w:top w:val="nil"/>
            </w:tcBorders>
          </w:tcPr>
          <w:p w14:paraId="6EFB7C37"/>
        </w:tc>
        <w:tc>
          <w:tcPr>
            <w:tcW w:w="2165" w:type="dxa"/>
          </w:tcPr>
          <w:p w14:paraId="40D94264">
            <w:pPr>
              <w:spacing w:before="92" w:line="228" w:lineRule="auto"/>
              <w:ind w:left="876"/>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优点</w:t>
            </w:r>
          </w:p>
        </w:tc>
        <w:tc>
          <w:tcPr>
            <w:tcW w:w="1480" w:type="dxa"/>
          </w:tcPr>
          <w:p w14:paraId="69D4CC45">
            <w:pPr>
              <w:spacing w:before="92" w:line="228" w:lineRule="auto"/>
              <w:ind w:left="534"/>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缺点</w:t>
            </w:r>
          </w:p>
        </w:tc>
        <w:tc>
          <w:tcPr>
            <w:tcW w:w="1118" w:type="dxa"/>
          </w:tcPr>
          <w:p w14:paraId="23AD5A05">
            <w:pPr>
              <w:spacing w:before="92" w:line="228" w:lineRule="auto"/>
              <w:ind w:left="354"/>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优点</w:t>
            </w:r>
          </w:p>
        </w:tc>
        <w:tc>
          <w:tcPr>
            <w:tcW w:w="1126" w:type="dxa"/>
            <w:tcBorders>
              <w:right w:val="nil"/>
            </w:tcBorders>
          </w:tcPr>
          <w:p w14:paraId="4C633B52">
            <w:pPr>
              <w:spacing w:before="92" w:line="228" w:lineRule="auto"/>
              <w:ind w:left="360"/>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缺点</w:t>
            </w:r>
          </w:p>
        </w:tc>
      </w:tr>
      <w:tr w14:paraId="5DB0BF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29" w:hRule="atLeast"/>
        </w:trPr>
        <w:tc>
          <w:tcPr>
            <w:tcW w:w="1035" w:type="dxa"/>
            <w:tcBorders>
              <w:left w:val="nil"/>
            </w:tcBorders>
          </w:tcPr>
          <w:p w14:paraId="7107CF9D">
            <w:pPr>
              <w:spacing w:line="321" w:lineRule="auto"/>
            </w:pPr>
          </w:p>
          <w:p w14:paraId="53B4A9AD">
            <w:pPr>
              <w:spacing w:line="321" w:lineRule="auto"/>
            </w:pPr>
          </w:p>
          <w:p w14:paraId="54DE4490">
            <w:pPr>
              <w:spacing w:before="65" w:line="272" w:lineRule="auto"/>
              <w:ind w:left="209" w:right="100" w:hanging="105"/>
              <w:rPr>
                <w:rFonts w:ascii="宋体" w:hAnsi="宋体" w:eastAsia="宋体" w:cs="宋体"/>
                <w:sz w:val="20"/>
                <w:szCs w:val="20"/>
              </w:rPr>
            </w:pPr>
            <w:r>
              <w:rPr>
                <w:rFonts w:ascii="宋体" w:hAnsi="宋体" w:eastAsia="宋体" w:cs="宋体"/>
                <w:spacing w:val="9"/>
                <w:sz w:val="20"/>
                <w:szCs w:val="20"/>
              </w:rPr>
              <w:t>水</w:t>
            </w:r>
            <w:r>
              <w:rPr>
                <w:rFonts w:ascii="宋体" w:hAnsi="宋体" w:eastAsia="宋体" w:cs="宋体"/>
                <w:spacing w:val="6"/>
                <w:sz w:val="20"/>
                <w:szCs w:val="20"/>
              </w:rPr>
              <w:t>冲粪处</w:t>
            </w:r>
            <w:r>
              <w:rPr>
                <w:rFonts w:ascii="宋体" w:hAnsi="宋体" w:eastAsia="宋体" w:cs="宋体"/>
                <w:sz w:val="20"/>
                <w:szCs w:val="20"/>
              </w:rPr>
              <w:t xml:space="preserve"> </w:t>
            </w:r>
            <w:r>
              <w:rPr>
                <w:rFonts w:ascii="宋体" w:hAnsi="宋体" w:eastAsia="宋体" w:cs="宋体"/>
                <w:spacing w:val="6"/>
                <w:sz w:val="20"/>
                <w:szCs w:val="20"/>
              </w:rPr>
              <w:t>理工艺</w:t>
            </w:r>
          </w:p>
        </w:tc>
        <w:tc>
          <w:tcPr>
            <w:tcW w:w="2694" w:type="dxa"/>
          </w:tcPr>
          <w:p w14:paraId="6DF925AC">
            <w:pPr>
              <w:spacing w:line="372" w:lineRule="auto"/>
            </w:pPr>
          </w:p>
          <w:p w14:paraId="0A271DC4">
            <w:pPr>
              <w:spacing w:before="65" w:line="252" w:lineRule="auto"/>
              <w:ind w:left="9" w:right="3" w:firstLine="3"/>
              <w:rPr>
                <w:rFonts w:ascii="宋体" w:hAnsi="宋体" w:eastAsia="宋体" w:cs="宋体"/>
                <w:sz w:val="20"/>
                <w:szCs w:val="20"/>
              </w:rPr>
            </w:pPr>
            <w:r>
              <w:rPr>
                <w:rFonts w:ascii="宋体" w:hAnsi="宋体" w:eastAsia="宋体" w:cs="宋体"/>
                <w:spacing w:val="10"/>
                <w:sz w:val="20"/>
                <w:szCs w:val="20"/>
              </w:rPr>
              <w:t>指</w:t>
            </w:r>
            <w:r>
              <w:rPr>
                <w:rFonts w:ascii="宋体" w:hAnsi="宋体" w:eastAsia="宋体" w:cs="宋体"/>
                <w:spacing w:val="7"/>
                <w:sz w:val="20"/>
                <w:szCs w:val="20"/>
              </w:rPr>
              <w:t>畜</w:t>
            </w:r>
            <w:r>
              <w:rPr>
                <w:rFonts w:ascii="宋体" w:hAnsi="宋体" w:eastAsia="宋体" w:cs="宋体"/>
                <w:spacing w:val="5"/>
                <w:sz w:val="20"/>
                <w:szCs w:val="20"/>
              </w:rPr>
              <w:t>禽排放的粪、尿和污水混</w:t>
            </w:r>
            <w:r>
              <w:rPr>
                <w:rFonts w:ascii="宋体" w:hAnsi="宋体" w:eastAsia="宋体" w:cs="宋体"/>
                <w:sz w:val="20"/>
                <w:szCs w:val="20"/>
              </w:rPr>
              <w:t xml:space="preserve"> </w:t>
            </w:r>
            <w:r>
              <w:rPr>
                <w:rFonts w:ascii="宋体" w:hAnsi="宋体" w:eastAsia="宋体" w:cs="宋体"/>
                <w:spacing w:val="6"/>
                <w:sz w:val="20"/>
                <w:szCs w:val="20"/>
              </w:rPr>
              <w:t>合进入粪沟，每天数次放水</w:t>
            </w:r>
            <w:r>
              <w:rPr>
                <w:rFonts w:ascii="宋体" w:hAnsi="宋体" w:eastAsia="宋体" w:cs="宋体"/>
                <w:spacing w:val="4"/>
                <w:sz w:val="20"/>
                <w:szCs w:val="20"/>
              </w:rPr>
              <w:t>冲</w:t>
            </w:r>
            <w:r>
              <w:rPr>
                <w:rFonts w:ascii="宋体" w:hAnsi="宋体" w:eastAsia="宋体" w:cs="宋体"/>
                <w:sz w:val="20"/>
                <w:szCs w:val="20"/>
              </w:rPr>
              <w:t xml:space="preserve"> </w:t>
            </w:r>
            <w:r>
              <w:rPr>
                <w:rFonts w:ascii="宋体" w:hAnsi="宋体" w:eastAsia="宋体" w:cs="宋体"/>
                <w:spacing w:val="6"/>
                <w:sz w:val="20"/>
                <w:szCs w:val="20"/>
              </w:rPr>
              <w:t>洗，粪水顺粪沟流入粪便主</w:t>
            </w:r>
            <w:r>
              <w:rPr>
                <w:rFonts w:ascii="宋体" w:hAnsi="宋体" w:eastAsia="宋体" w:cs="宋体"/>
                <w:spacing w:val="4"/>
                <w:sz w:val="20"/>
                <w:szCs w:val="20"/>
              </w:rPr>
              <w:t>干</w:t>
            </w:r>
          </w:p>
          <w:p w14:paraId="19AD996F">
            <w:pPr>
              <w:spacing w:line="227" w:lineRule="auto"/>
              <w:ind w:left="408"/>
              <w:rPr>
                <w:rFonts w:ascii="宋体" w:hAnsi="宋体" w:eastAsia="宋体" w:cs="宋体"/>
                <w:sz w:val="20"/>
                <w:szCs w:val="20"/>
              </w:rPr>
            </w:pPr>
            <w:r>
              <w:rPr>
                <w:rFonts w:ascii="宋体" w:hAnsi="宋体" w:eastAsia="宋体" w:cs="宋体"/>
                <w:spacing w:val="9"/>
                <w:sz w:val="20"/>
                <w:szCs w:val="20"/>
              </w:rPr>
              <w:t>沟后排出的清粪工</w:t>
            </w:r>
            <w:r>
              <w:rPr>
                <w:rFonts w:ascii="宋体" w:hAnsi="宋体" w:eastAsia="宋体" w:cs="宋体"/>
                <w:spacing w:val="8"/>
                <w:sz w:val="20"/>
                <w:szCs w:val="20"/>
              </w:rPr>
              <w:t>艺</w:t>
            </w:r>
          </w:p>
        </w:tc>
        <w:tc>
          <w:tcPr>
            <w:tcW w:w="2165" w:type="dxa"/>
          </w:tcPr>
          <w:p w14:paraId="33E3F7C3">
            <w:pPr>
              <w:spacing w:line="254" w:lineRule="auto"/>
            </w:pPr>
          </w:p>
          <w:p w14:paraId="4BA4D5C5">
            <w:pPr>
              <w:spacing w:line="254" w:lineRule="auto"/>
            </w:pPr>
          </w:p>
          <w:p w14:paraId="0DA9CFEB">
            <w:pPr>
              <w:spacing w:before="65" w:line="228" w:lineRule="auto"/>
              <w:ind w:left="144"/>
              <w:rPr>
                <w:rFonts w:ascii="宋体" w:hAnsi="宋体" w:eastAsia="宋体" w:cs="宋体"/>
                <w:sz w:val="20"/>
                <w:szCs w:val="20"/>
              </w:rPr>
            </w:pPr>
            <w:r>
              <w:rPr>
                <w:rFonts w:ascii="宋体" w:hAnsi="宋体" w:eastAsia="宋体" w:cs="宋体"/>
                <w:spacing w:val="9"/>
                <w:sz w:val="20"/>
                <w:szCs w:val="20"/>
              </w:rPr>
              <w:t>保持猪舍内的环境</w:t>
            </w:r>
            <w:r>
              <w:rPr>
                <w:rFonts w:ascii="宋体" w:hAnsi="宋体" w:eastAsia="宋体" w:cs="宋体"/>
                <w:spacing w:val="7"/>
                <w:sz w:val="20"/>
                <w:szCs w:val="20"/>
              </w:rPr>
              <w:t>清</w:t>
            </w:r>
          </w:p>
          <w:p w14:paraId="469A2CAF">
            <w:pPr>
              <w:spacing w:before="24" w:line="230" w:lineRule="auto"/>
              <w:ind w:left="41"/>
              <w:rPr>
                <w:rFonts w:ascii="宋体" w:hAnsi="宋体" w:eastAsia="宋体" w:cs="宋体"/>
                <w:sz w:val="20"/>
                <w:szCs w:val="20"/>
              </w:rPr>
            </w:pPr>
            <w:r>
              <w:rPr>
                <w:rFonts w:ascii="宋体" w:hAnsi="宋体" w:eastAsia="宋体" w:cs="宋体"/>
                <w:spacing w:val="14"/>
                <w:sz w:val="20"/>
                <w:szCs w:val="20"/>
              </w:rPr>
              <w:t>洁</w:t>
            </w:r>
            <w:r>
              <w:rPr>
                <w:rFonts w:ascii="宋体" w:hAnsi="宋体" w:eastAsia="宋体" w:cs="宋体"/>
                <w:spacing w:val="8"/>
                <w:sz w:val="20"/>
                <w:szCs w:val="20"/>
              </w:rPr>
              <w:t>，劳动强度小，劳动</w:t>
            </w:r>
          </w:p>
          <w:p w14:paraId="23B105E6">
            <w:pPr>
              <w:spacing w:before="21" w:line="228" w:lineRule="auto"/>
              <w:ind w:left="777"/>
              <w:rPr>
                <w:rFonts w:ascii="宋体" w:hAnsi="宋体" w:eastAsia="宋体" w:cs="宋体"/>
                <w:sz w:val="20"/>
                <w:szCs w:val="20"/>
              </w:rPr>
            </w:pPr>
            <w:r>
              <w:rPr>
                <w:rFonts w:ascii="宋体" w:hAnsi="宋体" w:eastAsia="宋体" w:cs="宋体"/>
                <w:spacing w:val="5"/>
                <w:sz w:val="20"/>
                <w:szCs w:val="20"/>
              </w:rPr>
              <w:t>效率高</w:t>
            </w:r>
          </w:p>
        </w:tc>
        <w:tc>
          <w:tcPr>
            <w:tcW w:w="1480" w:type="dxa"/>
          </w:tcPr>
          <w:p w14:paraId="593C179A">
            <w:pPr>
              <w:spacing w:before="305" w:line="251" w:lineRule="auto"/>
              <w:ind w:left="113" w:right="110"/>
              <w:rPr>
                <w:rFonts w:ascii="宋体" w:hAnsi="宋体" w:eastAsia="宋体" w:cs="宋体"/>
                <w:sz w:val="20"/>
                <w:szCs w:val="20"/>
              </w:rPr>
            </w:pPr>
            <w:r>
              <w:rPr>
                <w:rFonts w:ascii="宋体" w:hAnsi="宋体" w:eastAsia="宋体" w:cs="宋体"/>
                <w:spacing w:val="9"/>
                <w:sz w:val="20"/>
                <w:szCs w:val="20"/>
              </w:rPr>
              <w:t>排</w:t>
            </w:r>
            <w:r>
              <w:rPr>
                <w:rFonts w:ascii="宋体" w:hAnsi="宋体" w:eastAsia="宋体" w:cs="宋体"/>
                <w:spacing w:val="8"/>
                <w:sz w:val="20"/>
                <w:szCs w:val="20"/>
              </w:rPr>
              <w:t>水量较大，</w:t>
            </w:r>
            <w:r>
              <w:rPr>
                <w:rFonts w:ascii="宋体" w:hAnsi="宋体" w:eastAsia="宋体" w:cs="宋体"/>
                <w:sz w:val="20"/>
                <w:szCs w:val="20"/>
              </w:rPr>
              <w:t xml:space="preserve"> </w:t>
            </w:r>
            <w:r>
              <w:rPr>
                <w:rFonts w:ascii="宋体" w:hAnsi="宋体" w:eastAsia="宋体" w:cs="宋体"/>
                <w:spacing w:val="10"/>
                <w:sz w:val="20"/>
                <w:szCs w:val="20"/>
              </w:rPr>
              <w:t>污</w:t>
            </w:r>
            <w:r>
              <w:rPr>
                <w:rFonts w:ascii="宋体" w:hAnsi="宋体" w:eastAsia="宋体" w:cs="宋体"/>
                <w:spacing w:val="8"/>
                <w:sz w:val="20"/>
                <w:szCs w:val="20"/>
              </w:rPr>
              <w:t>染物浓度较</w:t>
            </w:r>
            <w:r>
              <w:rPr>
                <w:rFonts w:ascii="宋体" w:hAnsi="宋体" w:eastAsia="宋体" w:cs="宋体"/>
                <w:sz w:val="20"/>
                <w:szCs w:val="20"/>
              </w:rPr>
              <w:t xml:space="preserve"> </w:t>
            </w:r>
            <w:r>
              <w:rPr>
                <w:rFonts w:ascii="宋体" w:hAnsi="宋体" w:eastAsia="宋体" w:cs="宋体"/>
                <w:spacing w:val="10"/>
                <w:sz w:val="20"/>
                <w:szCs w:val="20"/>
              </w:rPr>
              <w:t>高</w:t>
            </w:r>
            <w:r>
              <w:rPr>
                <w:rFonts w:ascii="宋体" w:hAnsi="宋体" w:eastAsia="宋体" w:cs="宋体"/>
                <w:spacing w:val="8"/>
                <w:sz w:val="20"/>
                <w:szCs w:val="20"/>
              </w:rPr>
              <w:t>，水处理难</w:t>
            </w:r>
            <w:r>
              <w:rPr>
                <w:rFonts w:ascii="宋体" w:hAnsi="宋体" w:eastAsia="宋体" w:cs="宋体"/>
                <w:sz w:val="20"/>
                <w:szCs w:val="20"/>
              </w:rPr>
              <w:t xml:space="preserve"> </w:t>
            </w:r>
            <w:r>
              <w:rPr>
                <w:rFonts w:ascii="宋体" w:hAnsi="宋体" w:eastAsia="宋体" w:cs="宋体"/>
                <w:spacing w:val="10"/>
                <w:sz w:val="20"/>
                <w:szCs w:val="20"/>
              </w:rPr>
              <w:t>度</w:t>
            </w:r>
            <w:r>
              <w:rPr>
                <w:rFonts w:ascii="宋体" w:hAnsi="宋体" w:eastAsia="宋体" w:cs="宋体"/>
                <w:spacing w:val="8"/>
                <w:sz w:val="20"/>
                <w:szCs w:val="20"/>
              </w:rPr>
              <w:t>较大，投资</w:t>
            </w:r>
          </w:p>
          <w:p w14:paraId="716260FC">
            <w:pPr>
              <w:spacing w:line="226" w:lineRule="auto"/>
              <w:ind w:left="327"/>
              <w:rPr>
                <w:rFonts w:ascii="宋体" w:hAnsi="宋体" w:eastAsia="宋体" w:cs="宋体"/>
                <w:sz w:val="20"/>
                <w:szCs w:val="20"/>
              </w:rPr>
            </w:pPr>
            <w:r>
              <w:rPr>
                <w:rFonts w:ascii="宋体" w:hAnsi="宋体" w:eastAsia="宋体" w:cs="宋体"/>
                <w:spacing w:val="7"/>
                <w:sz w:val="20"/>
                <w:szCs w:val="20"/>
              </w:rPr>
              <w:t>成本较</w:t>
            </w:r>
            <w:r>
              <w:rPr>
                <w:rFonts w:ascii="宋体" w:hAnsi="宋体" w:eastAsia="宋体" w:cs="宋体"/>
                <w:spacing w:val="6"/>
                <w:sz w:val="20"/>
                <w:szCs w:val="20"/>
              </w:rPr>
              <w:t>高</w:t>
            </w:r>
          </w:p>
        </w:tc>
        <w:tc>
          <w:tcPr>
            <w:tcW w:w="1118" w:type="dxa"/>
          </w:tcPr>
          <w:p w14:paraId="662F8EEB">
            <w:pPr>
              <w:spacing w:before="31" w:line="228" w:lineRule="auto"/>
              <w:ind w:left="39"/>
              <w:rPr>
                <w:rFonts w:ascii="宋体" w:hAnsi="宋体" w:eastAsia="宋体" w:cs="宋体"/>
                <w:sz w:val="20"/>
                <w:szCs w:val="20"/>
              </w:rPr>
            </w:pPr>
            <w:r>
              <w:rPr>
                <w:rFonts w:ascii="宋体" w:hAnsi="宋体" w:eastAsia="宋体" w:cs="宋体"/>
                <w:spacing w:val="8"/>
                <w:sz w:val="20"/>
                <w:szCs w:val="20"/>
              </w:rPr>
              <w:t>保持猪舍</w:t>
            </w:r>
            <w:r>
              <w:rPr>
                <w:rFonts w:ascii="宋体" w:hAnsi="宋体" w:eastAsia="宋体" w:cs="宋体"/>
                <w:spacing w:val="7"/>
                <w:sz w:val="20"/>
                <w:szCs w:val="20"/>
              </w:rPr>
              <w:t>内</w:t>
            </w:r>
          </w:p>
          <w:p w14:paraId="498AB273">
            <w:pPr>
              <w:spacing w:before="23" w:line="248" w:lineRule="auto"/>
              <w:ind w:left="37" w:right="33" w:firstLine="123"/>
              <w:rPr>
                <w:rFonts w:ascii="宋体" w:hAnsi="宋体" w:eastAsia="宋体" w:cs="宋体"/>
                <w:sz w:val="20"/>
                <w:szCs w:val="20"/>
              </w:rPr>
            </w:pPr>
            <w:r>
              <w:rPr>
                <w:rFonts w:ascii="宋体" w:hAnsi="宋体" w:eastAsia="宋体" w:cs="宋体"/>
                <w:spacing w:val="3"/>
                <w:sz w:val="20"/>
                <w:szCs w:val="20"/>
              </w:rPr>
              <w:t>的环境清</w:t>
            </w:r>
            <w:r>
              <w:rPr>
                <w:rFonts w:ascii="宋体" w:hAnsi="宋体" w:eastAsia="宋体" w:cs="宋体"/>
                <w:sz w:val="20"/>
                <w:szCs w:val="20"/>
              </w:rPr>
              <w:t xml:space="preserve"> </w:t>
            </w:r>
            <w:r>
              <w:rPr>
                <w:rFonts w:ascii="宋体" w:hAnsi="宋体" w:eastAsia="宋体" w:cs="宋体"/>
                <w:spacing w:val="9"/>
                <w:sz w:val="20"/>
                <w:szCs w:val="20"/>
              </w:rPr>
              <w:t>洁</w:t>
            </w:r>
            <w:r>
              <w:rPr>
                <w:rFonts w:ascii="宋体" w:hAnsi="宋体" w:eastAsia="宋体" w:cs="宋体"/>
                <w:spacing w:val="8"/>
                <w:sz w:val="20"/>
                <w:szCs w:val="20"/>
              </w:rPr>
              <w:t>，劳动强</w:t>
            </w:r>
            <w:r>
              <w:rPr>
                <w:rFonts w:ascii="宋体" w:hAnsi="宋体" w:eastAsia="宋体" w:cs="宋体"/>
                <w:sz w:val="20"/>
                <w:szCs w:val="20"/>
              </w:rPr>
              <w:t xml:space="preserve"> </w:t>
            </w:r>
            <w:r>
              <w:rPr>
                <w:rFonts w:ascii="宋体" w:hAnsi="宋体" w:eastAsia="宋体" w:cs="宋体"/>
                <w:spacing w:val="9"/>
                <w:sz w:val="20"/>
                <w:szCs w:val="20"/>
              </w:rPr>
              <w:t>度</w:t>
            </w:r>
            <w:r>
              <w:rPr>
                <w:rFonts w:ascii="宋体" w:hAnsi="宋体" w:eastAsia="宋体" w:cs="宋体"/>
                <w:spacing w:val="8"/>
                <w:sz w:val="20"/>
                <w:szCs w:val="20"/>
              </w:rPr>
              <w:t>较小，污</w:t>
            </w:r>
            <w:r>
              <w:rPr>
                <w:rFonts w:ascii="宋体" w:hAnsi="宋体" w:eastAsia="宋体" w:cs="宋体"/>
                <w:sz w:val="20"/>
                <w:szCs w:val="20"/>
              </w:rPr>
              <w:t xml:space="preserve"> </w:t>
            </w:r>
            <w:r>
              <w:rPr>
                <w:rFonts w:ascii="宋体" w:hAnsi="宋体" w:eastAsia="宋体" w:cs="宋体"/>
                <w:spacing w:val="9"/>
                <w:sz w:val="20"/>
                <w:szCs w:val="20"/>
              </w:rPr>
              <w:t>水</w:t>
            </w:r>
            <w:r>
              <w:rPr>
                <w:rFonts w:ascii="宋体" w:hAnsi="宋体" w:eastAsia="宋体" w:cs="宋体"/>
                <w:spacing w:val="8"/>
                <w:sz w:val="20"/>
                <w:szCs w:val="20"/>
              </w:rPr>
              <w:t>中污染物</w:t>
            </w:r>
            <w:r>
              <w:rPr>
                <w:rFonts w:ascii="宋体" w:hAnsi="宋体" w:eastAsia="宋体" w:cs="宋体"/>
                <w:sz w:val="20"/>
                <w:szCs w:val="20"/>
              </w:rPr>
              <w:t xml:space="preserve"> </w:t>
            </w:r>
            <w:r>
              <w:rPr>
                <w:rFonts w:ascii="宋体" w:hAnsi="宋体" w:eastAsia="宋体" w:cs="宋体"/>
                <w:spacing w:val="9"/>
                <w:sz w:val="20"/>
                <w:szCs w:val="20"/>
              </w:rPr>
              <w:t>浓</w:t>
            </w:r>
            <w:r>
              <w:rPr>
                <w:rFonts w:ascii="宋体" w:hAnsi="宋体" w:eastAsia="宋体" w:cs="宋体"/>
                <w:spacing w:val="8"/>
                <w:sz w:val="20"/>
                <w:szCs w:val="20"/>
              </w:rPr>
              <w:t>度较高，</w:t>
            </w:r>
            <w:r>
              <w:rPr>
                <w:rFonts w:ascii="宋体" w:hAnsi="宋体" w:eastAsia="宋体" w:cs="宋体"/>
                <w:sz w:val="20"/>
                <w:szCs w:val="20"/>
              </w:rPr>
              <w:t xml:space="preserve"> </w:t>
            </w:r>
            <w:r>
              <w:rPr>
                <w:rFonts w:ascii="宋体" w:hAnsi="宋体" w:eastAsia="宋体" w:cs="宋体"/>
                <w:spacing w:val="9"/>
                <w:sz w:val="20"/>
                <w:szCs w:val="20"/>
              </w:rPr>
              <w:t>有</w:t>
            </w:r>
            <w:r>
              <w:rPr>
                <w:rFonts w:ascii="宋体" w:hAnsi="宋体" w:eastAsia="宋体" w:cs="宋体"/>
                <w:spacing w:val="8"/>
                <w:sz w:val="20"/>
                <w:szCs w:val="20"/>
              </w:rPr>
              <w:t>利于沼气</w:t>
            </w:r>
          </w:p>
        </w:tc>
        <w:tc>
          <w:tcPr>
            <w:tcW w:w="1126" w:type="dxa"/>
            <w:tcBorders>
              <w:right w:val="nil"/>
            </w:tcBorders>
          </w:tcPr>
          <w:p w14:paraId="68ECC0E3">
            <w:pPr>
              <w:spacing w:before="166" w:line="256" w:lineRule="auto"/>
              <w:ind w:left="151" w:right="144" w:hanging="2"/>
              <w:rPr>
                <w:rFonts w:ascii="宋体" w:hAnsi="宋体" w:eastAsia="宋体" w:cs="宋体"/>
                <w:sz w:val="20"/>
                <w:szCs w:val="20"/>
              </w:rPr>
            </w:pPr>
            <w:r>
              <w:rPr>
                <w:rFonts w:ascii="宋体" w:hAnsi="宋体" w:eastAsia="宋体" w:cs="宋体"/>
                <w:spacing w:val="8"/>
                <w:sz w:val="20"/>
                <w:szCs w:val="20"/>
              </w:rPr>
              <w:t>排</w:t>
            </w:r>
            <w:r>
              <w:rPr>
                <w:rFonts w:ascii="宋体" w:hAnsi="宋体" w:eastAsia="宋体" w:cs="宋体"/>
                <w:spacing w:val="7"/>
                <w:sz w:val="20"/>
                <w:szCs w:val="20"/>
              </w:rPr>
              <w:t>水量较</w:t>
            </w:r>
            <w:r>
              <w:rPr>
                <w:rFonts w:ascii="宋体" w:hAnsi="宋体" w:eastAsia="宋体" w:cs="宋体"/>
                <w:sz w:val="20"/>
                <w:szCs w:val="20"/>
              </w:rPr>
              <w:t xml:space="preserve"> </w:t>
            </w:r>
            <w:r>
              <w:rPr>
                <w:rFonts w:ascii="宋体" w:hAnsi="宋体" w:eastAsia="宋体" w:cs="宋体"/>
                <w:spacing w:val="9"/>
                <w:sz w:val="20"/>
                <w:szCs w:val="20"/>
              </w:rPr>
              <w:t>大</w:t>
            </w:r>
            <w:r>
              <w:rPr>
                <w:rFonts w:ascii="宋体" w:hAnsi="宋体" w:eastAsia="宋体" w:cs="宋体"/>
                <w:spacing w:val="6"/>
                <w:sz w:val="20"/>
                <w:szCs w:val="20"/>
              </w:rPr>
              <w:t>，周边</w:t>
            </w:r>
            <w:r>
              <w:rPr>
                <w:rFonts w:ascii="宋体" w:hAnsi="宋体" w:eastAsia="宋体" w:cs="宋体"/>
                <w:sz w:val="20"/>
                <w:szCs w:val="20"/>
              </w:rPr>
              <w:t xml:space="preserve"> </w:t>
            </w:r>
            <w:r>
              <w:rPr>
                <w:rFonts w:ascii="宋体" w:hAnsi="宋体" w:eastAsia="宋体" w:cs="宋体"/>
                <w:spacing w:val="9"/>
                <w:sz w:val="20"/>
                <w:szCs w:val="20"/>
              </w:rPr>
              <w:t>需</w:t>
            </w:r>
            <w:r>
              <w:rPr>
                <w:rFonts w:ascii="宋体" w:hAnsi="宋体" w:eastAsia="宋体" w:cs="宋体"/>
                <w:spacing w:val="6"/>
                <w:sz w:val="20"/>
                <w:szCs w:val="20"/>
              </w:rPr>
              <w:t>要有较</w:t>
            </w:r>
            <w:r>
              <w:rPr>
                <w:rFonts w:ascii="宋体" w:hAnsi="宋体" w:eastAsia="宋体" w:cs="宋体"/>
                <w:sz w:val="20"/>
                <w:szCs w:val="20"/>
              </w:rPr>
              <w:t xml:space="preserve"> </w:t>
            </w:r>
            <w:r>
              <w:rPr>
                <w:rFonts w:ascii="宋体" w:hAnsi="宋体" w:eastAsia="宋体" w:cs="宋体"/>
                <w:spacing w:val="9"/>
                <w:sz w:val="20"/>
                <w:szCs w:val="20"/>
              </w:rPr>
              <w:t>多</w:t>
            </w:r>
            <w:r>
              <w:rPr>
                <w:rFonts w:ascii="宋体" w:hAnsi="宋体" w:eastAsia="宋体" w:cs="宋体"/>
                <w:spacing w:val="6"/>
                <w:sz w:val="20"/>
                <w:szCs w:val="20"/>
              </w:rPr>
              <w:t>的土地</w:t>
            </w:r>
            <w:r>
              <w:rPr>
                <w:rFonts w:ascii="宋体" w:hAnsi="宋体" w:eastAsia="宋体" w:cs="宋体"/>
                <w:sz w:val="20"/>
                <w:szCs w:val="20"/>
              </w:rPr>
              <w:t xml:space="preserve"> </w:t>
            </w:r>
            <w:r>
              <w:rPr>
                <w:rFonts w:ascii="宋体" w:hAnsi="宋体" w:eastAsia="宋体" w:cs="宋体"/>
                <w:spacing w:val="9"/>
                <w:sz w:val="20"/>
                <w:szCs w:val="20"/>
              </w:rPr>
              <w:t>资</w:t>
            </w:r>
            <w:r>
              <w:rPr>
                <w:rFonts w:ascii="宋体" w:hAnsi="宋体" w:eastAsia="宋体" w:cs="宋体"/>
                <w:spacing w:val="6"/>
                <w:sz w:val="20"/>
                <w:szCs w:val="20"/>
              </w:rPr>
              <w:t>源用于</w:t>
            </w:r>
            <w:r>
              <w:rPr>
                <w:rFonts w:ascii="宋体" w:hAnsi="宋体" w:eastAsia="宋体" w:cs="宋体"/>
                <w:sz w:val="20"/>
                <w:szCs w:val="20"/>
              </w:rPr>
              <w:t xml:space="preserve"> </w:t>
            </w:r>
            <w:r>
              <w:rPr>
                <w:rFonts w:ascii="宋体" w:hAnsi="宋体" w:eastAsia="宋体" w:cs="宋体"/>
                <w:spacing w:val="9"/>
                <w:sz w:val="20"/>
                <w:szCs w:val="20"/>
              </w:rPr>
              <w:t>消</w:t>
            </w:r>
            <w:r>
              <w:rPr>
                <w:rFonts w:ascii="宋体" w:hAnsi="宋体" w:eastAsia="宋体" w:cs="宋体"/>
                <w:spacing w:val="6"/>
                <w:sz w:val="20"/>
                <w:szCs w:val="20"/>
              </w:rPr>
              <w:t>纳粪污</w:t>
            </w:r>
          </w:p>
        </w:tc>
      </w:tr>
    </w:tbl>
    <w:p w14:paraId="60BDAE11"/>
    <w:p w14:paraId="67CBBD22">
      <w:pPr>
        <w:sectPr>
          <w:headerReference r:id="rId272" w:type="default"/>
          <w:footerReference r:id="rId273" w:type="default"/>
          <w:pgSz w:w="11906" w:h="16839"/>
          <w:pgMar w:top="1113" w:right="1069" w:bottom="1157" w:left="1214" w:header="878" w:footer="994" w:gutter="0"/>
          <w:cols w:space="720" w:num="1"/>
        </w:sectPr>
      </w:pPr>
    </w:p>
    <w:p w14:paraId="0E239DF7">
      <w:pPr>
        <w:spacing w:line="420" w:lineRule="auto"/>
      </w:pPr>
      <w:r>
        <w:pict>
          <v:rect id="_x0000_s2129" o:spid="_x0000_s2129" o:spt="1" style="position:absolute;left:0pt;margin-left:60.7pt;margin-top:63.8pt;height:1.45pt;width:480.95pt;mso-position-horizontal-relative:page;mso-position-vertical-relative:page;z-index:251748352;mso-width-relative:page;mso-height-relative:page;" fillcolor="#000000" filled="t" stroked="f" coordsize="21600,21600" o:allowincell="f">
            <v:path/>
            <v:fill on="t" focussize="0,0"/>
            <v:stroke on="f"/>
            <v:imagedata o:title=""/>
            <o:lock v:ext="edit"/>
          </v:rect>
        </w:pict>
      </w:r>
    </w:p>
    <w:p w14:paraId="076FD3B1">
      <w:pPr>
        <w:spacing w:before="55" w:line="229" w:lineRule="auto"/>
        <w:ind w:left="69"/>
        <w:rPr>
          <w:rFonts w:ascii="宋体" w:hAnsi="宋体" w:eastAsia="宋体" w:cs="宋体"/>
          <w:sz w:val="17"/>
          <w:szCs w:val="17"/>
        </w:rPr>
      </w:pP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p w14:paraId="6818E14D">
      <w:pPr>
        <w:spacing w:line="14" w:lineRule="exact"/>
      </w:pPr>
    </w:p>
    <w:tbl>
      <w:tblPr>
        <w:tblStyle w:val="4"/>
        <w:tblW w:w="961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5"/>
        <w:gridCol w:w="2694"/>
        <w:gridCol w:w="2165"/>
        <w:gridCol w:w="1480"/>
        <w:gridCol w:w="1119"/>
        <w:gridCol w:w="1125"/>
      </w:tblGrid>
      <w:tr w14:paraId="3DD57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1035" w:type="dxa"/>
            <w:vMerge w:val="restart"/>
            <w:tcBorders>
              <w:left w:val="nil"/>
              <w:bottom w:val="nil"/>
            </w:tcBorders>
          </w:tcPr>
          <w:p w14:paraId="1D882310">
            <w:pPr>
              <w:spacing w:line="425" w:lineRule="auto"/>
            </w:pPr>
          </w:p>
          <w:p w14:paraId="0AB5D95C">
            <w:pPr>
              <w:spacing w:before="65" w:line="230" w:lineRule="auto"/>
              <w:ind w:left="104"/>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工艺名</w:t>
            </w:r>
            <w:r>
              <w:rPr>
                <w:rFonts w:ascii="宋体" w:hAnsi="宋体" w:eastAsia="宋体" w:cs="宋体"/>
                <w:spacing w:val="7"/>
                <w:sz w:val="20"/>
                <w:szCs w:val="20"/>
                <w14:textOutline w14:w="3797" w14:cap="sq" w14:cmpd="sng" w14:algn="ctr">
                  <w14:solidFill>
                    <w14:srgbClr w14:val="000000"/>
                  </w14:solidFill>
                  <w14:prstDash w14:val="solid"/>
                  <w14:bevel/>
                </w14:textOutline>
              </w:rPr>
              <w:t>称</w:t>
            </w:r>
          </w:p>
        </w:tc>
        <w:tc>
          <w:tcPr>
            <w:tcW w:w="2694" w:type="dxa"/>
            <w:vMerge w:val="restart"/>
            <w:tcBorders>
              <w:bottom w:val="nil"/>
            </w:tcBorders>
          </w:tcPr>
          <w:p w14:paraId="7D6048E7">
            <w:pPr>
              <w:spacing w:line="425" w:lineRule="auto"/>
            </w:pPr>
          </w:p>
          <w:p w14:paraId="71D9C5BE">
            <w:pPr>
              <w:spacing w:before="65" w:line="228" w:lineRule="auto"/>
              <w:ind w:left="934"/>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工艺说</w:t>
            </w:r>
            <w:r>
              <w:rPr>
                <w:rFonts w:ascii="宋体" w:hAnsi="宋体" w:eastAsia="宋体" w:cs="宋体"/>
                <w:spacing w:val="7"/>
                <w:sz w:val="20"/>
                <w:szCs w:val="20"/>
                <w14:textOutline w14:w="3797" w14:cap="sq" w14:cmpd="sng" w14:algn="ctr">
                  <w14:solidFill>
                    <w14:srgbClr w14:val="000000"/>
                  </w14:solidFill>
                  <w14:prstDash w14:val="solid"/>
                  <w14:bevel/>
                </w14:textOutline>
              </w:rPr>
              <w:t>明</w:t>
            </w:r>
          </w:p>
        </w:tc>
        <w:tc>
          <w:tcPr>
            <w:tcW w:w="3645" w:type="dxa"/>
            <w:gridSpan w:val="2"/>
          </w:tcPr>
          <w:p w14:paraId="4A8405BB">
            <w:pPr>
              <w:spacing w:before="289" w:line="228" w:lineRule="auto"/>
              <w:ind w:left="1196"/>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达</w:t>
            </w:r>
            <w:r>
              <w:rPr>
                <w:rFonts w:ascii="宋体" w:hAnsi="宋体" w:eastAsia="宋体" w:cs="宋体"/>
                <w:spacing w:val="9"/>
                <w:sz w:val="20"/>
                <w:szCs w:val="20"/>
                <w14:textOutline w14:w="3797" w14:cap="sq" w14:cmpd="sng" w14:algn="ctr">
                  <w14:solidFill>
                    <w14:srgbClr w14:val="000000"/>
                  </w14:solidFill>
                  <w14:prstDash w14:val="solid"/>
                  <w14:bevel/>
                </w14:textOutline>
              </w:rPr>
              <w:t>标排放方案</w:t>
            </w:r>
          </w:p>
        </w:tc>
        <w:tc>
          <w:tcPr>
            <w:tcW w:w="2244" w:type="dxa"/>
            <w:gridSpan w:val="2"/>
            <w:tcBorders>
              <w:right w:val="nil"/>
            </w:tcBorders>
          </w:tcPr>
          <w:p w14:paraId="45DCAC94">
            <w:pPr>
              <w:spacing w:before="289" w:line="228" w:lineRule="auto"/>
              <w:ind w:left="499"/>
              <w:rPr>
                <w:rFonts w:ascii="宋体" w:hAnsi="宋体" w:eastAsia="宋体" w:cs="宋体"/>
                <w:sz w:val="20"/>
                <w:szCs w:val="20"/>
              </w:rPr>
            </w:pPr>
            <w:r>
              <w:rPr>
                <w:rFonts w:ascii="宋体" w:hAnsi="宋体" w:eastAsia="宋体" w:cs="宋体"/>
                <w:spacing w:val="11"/>
                <w:sz w:val="20"/>
                <w:szCs w:val="20"/>
                <w14:textOutline w14:w="3797" w14:cap="sq" w14:cmpd="sng" w14:algn="ctr">
                  <w14:solidFill>
                    <w14:srgbClr w14:val="000000"/>
                  </w14:solidFill>
                  <w14:prstDash w14:val="solid"/>
                  <w14:bevel/>
                </w14:textOutline>
              </w:rPr>
              <w:t>综</w:t>
            </w:r>
            <w:r>
              <w:rPr>
                <w:rFonts w:ascii="宋体" w:hAnsi="宋体" w:eastAsia="宋体" w:cs="宋体"/>
                <w:spacing w:val="8"/>
                <w:sz w:val="20"/>
                <w:szCs w:val="20"/>
                <w14:textOutline w14:w="3797" w14:cap="sq" w14:cmpd="sng" w14:algn="ctr">
                  <w14:solidFill>
                    <w14:srgbClr w14:val="000000"/>
                  </w14:solidFill>
                  <w14:prstDash w14:val="solid"/>
                  <w14:bevel/>
                </w14:textOutline>
              </w:rPr>
              <w:t>合利用方案</w:t>
            </w:r>
          </w:p>
        </w:tc>
      </w:tr>
      <w:tr w14:paraId="2D80BC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035" w:type="dxa"/>
            <w:vMerge w:val="continue"/>
            <w:tcBorders>
              <w:top w:val="nil"/>
              <w:left w:val="nil"/>
            </w:tcBorders>
          </w:tcPr>
          <w:p w14:paraId="40F05C75"/>
        </w:tc>
        <w:tc>
          <w:tcPr>
            <w:tcW w:w="2694" w:type="dxa"/>
            <w:vMerge w:val="continue"/>
            <w:tcBorders>
              <w:top w:val="nil"/>
            </w:tcBorders>
          </w:tcPr>
          <w:p w14:paraId="6017D41C"/>
        </w:tc>
        <w:tc>
          <w:tcPr>
            <w:tcW w:w="2165" w:type="dxa"/>
          </w:tcPr>
          <w:p w14:paraId="0D312DB0">
            <w:pPr>
              <w:spacing w:before="93" w:line="228" w:lineRule="auto"/>
              <w:ind w:left="876"/>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优点</w:t>
            </w:r>
          </w:p>
        </w:tc>
        <w:tc>
          <w:tcPr>
            <w:tcW w:w="1480" w:type="dxa"/>
          </w:tcPr>
          <w:p w14:paraId="32B2618D">
            <w:pPr>
              <w:spacing w:before="94" w:line="228" w:lineRule="auto"/>
              <w:ind w:left="534"/>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缺点</w:t>
            </w:r>
          </w:p>
        </w:tc>
        <w:tc>
          <w:tcPr>
            <w:tcW w:w="1119" w:type="dxa"/>
          </w:tcPr>
          <w:p w14:paraId="005522F0">
            <w:pPr>
              <w:spacing w:before="93" w:line="228" w:lineRule="auto"/>
              <w:ind w:left="354"/>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优点</w:t>
            </w:r>
          </w:p>
        </w:tc>
        <w:tc>
          <w:tcPr>
            <w:tcW w:w="1125" w:type="dxa"/>
            <w:tcBorders>
              <w:right w:val="nil"/>
            </w:tcBorders>
          </w:tcPr>
          <w:p w14:paraId="5D29F3F4">
            <w:pPr>
              <w:spacing w:before="94" w:line="228" w:lineRule="auto"/>
              <w:ind w:left="359"/>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缺点</w:t>
            </w:r>
          </w:p>
        </w:tc>
      </w:tr>
      <w:tr w14:paraId="3A801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035" w:type="dxa"/>
            <w:tcBorders>
              <w:left w:val="nil"/>
            </w:tcBorders>
          </w:tcPr>
          <w:p w14:paraId="3EC3891E"/>
        </w:tc>
        <w:tc>
          <w:tcPr>
            <w:tcW w:w="2694" w:type="dxa"/>
          </w:tcPr>
          <w:p w14:paraId="6E702CDF"/>
        </w:tc>
        <w:tc>
          <w:tcPr>
            <w:tcW w:w="2165" w:type="dxa"/>
          </w:tcPr>
          <w:p w14:paraId="60765335"/>
        </w:tc>
        <w:tc>
          <w:tcPr>
            <w:tcW w:w="1480" w:type="dxa"/>
          </w:tcPr>
          <w:p w14:paraId="3662FD2F"/>
        </w:tc>
        <w:tc>
          <w:tcPr>
            <w:tcW w:w="1119" w:type="dxa"/>
          </w:tcPr>
          <w:p w14:paraId="0E97C141">
            <w:pPr>
              <w:spacing w:before="32" w:line="272" w:lineRule="exact"/>
              <w:ind w:left="475"/>
              <w:rPr>
                <w:rFonts w:ascii="宋体" w:hAnsi="宋体" w:eastAsia="宋体" w:cs="宋体"/>
                <w:sz w:val="20"/>
                <w:szCs w:val="20"/>
              </w:rPr>
            </w:pPr>
            <w:r>
              <w:rPr>
                <w:rFonts w:ascii="宋体" w:hAnsi="宋体" w:eastAsia="宋体" w:cs="宋体"/>
                <w:position w:val="4"/>
                <w:sz w:val="20"/>
                <w:szCs w:val="20"/>
              </w:rPr>
              <w:t>的</w:t>
            </w:r>
          </w:p>
          <w:p w14:paraId="6EDD9188">
            <w:pPr>
              <w:spacing w:line="226" w:lineRule="auto"/>
              <w:ind w:left="355"/>
              <w:rPr>
                <w:rFonts w:ascii="宋体" w:hAnsi="宋体" w:eastAsia="宋体" w:cs="宋体"/>
                <w:sz w:val="20"/>
                <w:szCs w:val="20"/>
              </w:rPr>
            </w:pPr>
            <w:r>
              <w:rPr>
                <w:rFonts w:ascii="宋体" w:hAnsi="宋体" w:eastAsia="宋体" w:cs="宋体"/>
                <w:spacing w:val="5"/>
                <w:sz w:val="20"/>
                <w:szCs w:val="20"/>
              </w:rPr>
              <w:t>产</w:t>
            </w:r>
            <w:r>
              <w:rPr>
                <w:rFonts w:ascii="宋体" w:hAnsi="宋体" w:eastAsia="宋体" w:cs="宋体"/>
                <w:spacing w:val="4"/>
                <w:sz w:val="20"/>
                <w:szCs w:val="20"/>
              </w:rPr>
              <w:t>生</w:t>
            </w:r>
          </w:p>
        </w:tc>
        <w:tc>
          <w:tcPr>
            <w:tcW w:w="1125" w:type="dxa"/>
            <w:tcBorders>
              <w:right w:val="nil"/>
            </w:tcBorders>
          </w:tcPr>
          <w:p w14:paraId="45251414"/>
        </w:tc>
      </w:tr>
      <w:tr w14:paraId="71587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1035" w:type="dxa"/>
            <w:tcBorders>
              <w:left w:val="nil"/>
            </w:tcBorders>
          </w:tcPr>
          <w:p w14:paraId="602E6360">
            <w:pPr>
              <w:spacing w:line="259" w:lineRule="auto"/>
            </w:pPr>
          </w:p>
          <w:p w14:paraId="6EA74372">
            <w:pPr>
              <w:spacing w:line="260" w:lineRule="auto"/>
            </w:pPr>
          </w:p>
          <w:p w14:paraId="21D369FF">
            <w:pPr>
              <w:spacing w:line="260" w:lineRule="auto"/>
            </w:pPr>
          </w:p>
          <w:p w14:paraId="46961F99">
            <w:pPr>
              <w:spacing w:before="65" w:line="270" w:lineRule="auto"/>
              <w:ind w:left="423" w:right="100" w:hanging="319"/>
              <w:rPr>
                <w:rFonts w:ascii="宋体" w:hAnsi="宋体" w:eastAsia="宋体" w:cs="宋体"/>
                <w:sz w:val="20"/>
                <w:szCs w:val="20"/>
              </w:rPr>
            </w:pPr>
            <w:r>
              <w:rPr>
                <w:rFonts w:ascii="宋体" w:hAnsi="宋体" w:eastAsia="宋体" w:cs="宋体"/>
                <w:spacing w:val="9"/>
                <w:sz w:val="20"/>
                <w:szCs w:val="20"/>
              </w:rPr>
              <w:t>水</w:t>
            </w:r>
            <w:r>
              <w:rPr>
                <w:rFonts w:ascii="宋体" w:hAnsi="宋体" w:eastAsia="宋体" w:cs="宋体"/>
                <w:spacing w:val="6"/>
                <w:sz w:val="20"/>
                <w:szCs w:val="20"/>
              </w:rPr>
              <w:t>泡粪工</w:t>
            </w:r>
            <w:r>
              <w:rPr>
                <w:rFonts w:ascii="宋体" w:hAnsi="宋体" w:eastAsia="宋体" w:cs="宋体"/>
                <w:sz w:val="20"/>
                <w:szCs w:val="20"/>
              </w:rPr>
              <w:t xml:space="preserve"> 艺</w:t>
            </w:r>
          </w:p>
        </w:tc>
        <w:tc>
          <w:tcPr>
            <w:tcW w:w="2694" w:type="dxa"/>
          </w:tcPr>
          <w:p w14:paraId="084700C2">
            <w:pPr>
              <w:spacing w:before="32" w:line="228" w:lineRule="auto"/>
              <w:ind w:left="90"/>
              <w:rPr>
                <w:rFonts w:ascii="宋体" w:hAnsi="宋体" w:eastAsia="宋体" w:cs="宋体"/>
                <w:sz w:val="20"/>
                <w:szCs w:val="20"/>
              </w:rPr>
            </w:pPr>
            <w:r>
              <w:rPr>
                <w:rFonts w:ascii="宋体" w:hAnsi="宋体" w:eastAsia="宋体" w:cs="宋体"/>
                <w:spacing w:val="11"/>
                <w:sz w:val="20"/>
                <w:szCs w:val="20"/>
              </w:rPr>
              <w:t>在</w:t>
            </w:r>
            <w:r>
              <w:rPr>
                <w:rFonts w:ascii="宋体" w:hAnsi="宋体" w:eastAsia="宋体" w:cs="宋体"/>
                <w:spacing w:val="9"/>
                <w:sz w:val="20"/>
                <w:szCs w:val="20"/>
              </w:rPr>
              <w:t>畜禽舍内的排粪沟中注入</w:t>
            </w:r>
          </w:p>
          <w:p w14:paraId="26F4D397">
            <w:pPr>
              <w:spacing w:before="24" w:line="271" w:lineRule="exact"/>
              <w:ind w:left="15"/>
              <w:rPr>
                <w:rFonts w:ascii="宋体" w:hAnsi="宋体" w:eastAsia="宋体" w:cs="宋体"/>
                <w:sz w:val="20"/>
                <w:szCs w:val="20"/>
              </w:rPr>
            </w:pPr>
            <w:r>
              <w:rPr>
                <w:rFonts w:ascii="宋体" w:hAnsi="宋体" w:eastAsia="宋体" w:cs="宋体"/>
                <w:spacing w:val="9"/>
                <w:sz w:val="20"/>
                <w:szCs w:val="20"/>
              </w:rPr>
              <w:t>一</w:t>
            </w:r>
            <w:r>
              <w:rPr>
                <w:rFonts w:ascii="宋体" w:hAnsi="宋体" w:eastAsia="宋体" w:cs="宋体"/>
                <w:spacing w:val="5"/>
                <w:sz w:val="20"/>
                <w:szCs w:val="20"/>
              </w:rPr>
              <w:t>定量的水，将粪、尿、冲洗</w:t>
            </w:r>
          </w:p>
          <w:p w14:paraId="19661BC7">
            <w:pPr>
              <w:spacing w:line="227" w:lineRule="auto"/>
              <w:ind w:left="92"/>
              <w:rPr>
                <w:rFonts w:ascii="宋体" w:hAnsi="宋体" w:eastAsia="宋体" w:cs="宋体"/>
                <w:sz w:val="20"/>
                <w:szCs w:val="20"/>
              </w:rPr>
            </w:pPr>
            <w:r>
              <w:rPr>
                <w:rFonts w:ascii="宋体" w:hAnsi="宋体" w:eastAsia="宋体" w:cs="宋体"/>
                <w:spacing w:val="9"/>
                <w:sz w:val="20"/>
                <w:szCs w:val="20"/>
              </w:rPr>
              <w:t>和饲养管理用水一并排放至</w:t>
            </w:r>
          </w:p>
          <w:p w14:paraId="7D44658D">
            <w:pPr>
              <w:spacing w:before="27" w:line="227" w:lineRule="auto"/>
              <w:ind w:left="10"/>
              <w:rPr>
                <w:rFonts w:ascii="宋体" w:hAnsi="宋体" w:eastAsia="宋体" w:cs="宋体"/>
                <w:sz w:val="20"/>
                <w:szCs w:val="20"/>
              </w:rPr>
            </w:pPr>
            <w:r>
              <w:rPr>
                <w:rFonts w:ascii="宋体" w:hAnsi="宋体" w:eastAsia="宋体" w:cs="宋体"/>
                <w:spacing w:val="10"/>
                <w:sz w:val="20"/>
                <w:szCs w:val="20"/>
              </w:rPr>
              <w:t>漏缝</w:t>
            </w:r>
            <w:r>
              <w:rPr>
                <w:rFonts w:ascii="宋体" w:hAnsi="宋体" w:eastAsia="宋体" w:cs="宋体"/>
                <w:spacing w:val="5"/>
                <w:sz w:val="20"/>
                <w:szCs w:val="20"/>
              </w:rPr>
              <w:t>地板下的粪沟中，贮存一</w:t>
            </w:r>
          </w:p>
          <w:p w14:paraId="43F8BE45">
            <w:pPr>
              <w:spacing w:before="25" w:line="228" w:lineRule="auto"/>
              <w:ind w:left="15"/>
              <w:rPr>
                <w:rFonts w:ascii="宋体" w:hAnsi="宋体" w:eastAsia="宋体" w:cs="宋体"/>
                <w:sz w:val="20"/>
                <w:szCs w:val="20"/>
              </w:rPr>
            </w:pPr>
            <w:r>
              <w:rPr>
                <w:rFonts w:ascii="宋体" w:hAnsi="宋体" w:eastAsia="宋体" w:cs="宋体"/>
                <w:spacing w:val="-2"/>
                <w:sz w:val="20"/>
                <w:szCs w:val="20"/>
              </w:rPr>
              <w:t>定时间 (一般为</w:t>
            </w:r>
            <w:r>
              <w:rPr>
                <w:rFonts w:ascii="宋体" w:hAnsi="宋体" w:eastAsia="宋体" w:cs="宋体"/>
                <w:spacing w:val="-1"/>
                <w:sz w:val="20"/>
                <w:szCs w:val="20"/>
              </w:rPr>
              <w:t xml:space="preserve"> </w:t>
            </w:r>
            <w:r>
              <w:rPr>
                <w:rFonts w:ascii="Times New Roman" w:hAnsi="Times New Roman" w:eastAsia="Times New Roman" w:cs="Times New Roman"/>
                <w:spacing w:val="-1"/>
                <w:sz w:val="20"/>
                <w:szCs w:val="20"/>
              </w:rPr>
              <w:t>1</w:t>
            </w:r>
            <w:r>
              <w:rPr>
                <w:rFonts w:ascii="宋体" w:hAnsi="宋体" w:eastAsia="宋体" w:cs="宋体"/>
                <w:spacing w:val="-1"/>
                <w:sz w:val="20"/>
                <w:szCs w:val="20"/>
              </w:rPr>
              <w:t>~</w:t>
            </w:r>
            <w:r>
              <w:rPr>
                <w:rFonts w:ascii="Times New Roman" w:hAnsi="Times New Roman" w:eastAsia="Times New Roman" w:cs="Times New Roman"/>
                <w:spacing w:val="-1"/>
                <w:sz w:val="20"/>
                <w:szCs w:val="20"/>
              </w:rPr>
              <w:t xml:space="preserve">2  </w:t>
            </w:r>
            <w:r>
              <w:rPr>
                <w:rFonts w:ascii="宋体" w:hAnsi="宋体" w:eastAsia="宋体" w:cs="宋体"/>
                <w:spacing w:val="-1"/>
                <w:sz w:val="20"/>
                <w:szCs w:val="20"/>
              </w:rPr>
              <w:t>个月) 、</w:t>
            </w:r>
          </w:p>
          <w:p w14:paraId="38A83435">
            <w:pPr>
              <w:spacing w:before="26" w:line="228" w:lineRule="auto"/>
              <w:ind w:left="93"/>
              <w:rPr>
                <w:rFonts w:ascii="宋体" w:hAnsi="宋体" w:eastAsia="宋体" w:cs="宋体"/>
                <w:sz w:val="20"/>
                <w:szCs w:val="20"/>
              </w:rPr>
            </w:pPr>
            <w:r>
              <w:rPr>
                <w:rFonts w:ascii="宋体" w:hAnsi="宋体" w:eastAsia="宋体" w:cs="宋体"/>
                <w:spacing w:val="9"/>
                <w:sz w:val="20"/>
                <w:szCs w:val="20"/>
              </w:rPr>
              <w:t>待粪沟填满后，打开出口</w:t>
            </w:r>
            <w:r>
              <w:rPr>
                <w:rFonts w:ascii="宋体" w:hAnsi="宋体" w:eastAsia="宋体" w:cs="宋体"/>
                <w:spacing w:val="8"/>
                <w:sz w:val="20"/>
                <w:szCs w:val="20"/>
              </w:rPr>
              <w:t>闸</w:t>
            </w:r>
          </w:p>
          <w:p w14:paraId="27E7B89C">
            <w:pPr>
              <w:spacing w:before="25" w:line="231" w:lineRule="auto"/>
              <w:ind w:left="33"/>
              <w:rPr>
                <w:rFonts w:ascii="宋体" w:hAnsi="宋体" w:eastAsia="宋体" w:cs="宋体"/>
                <w:sz w:val="20"/>
                <w:szCs w:val="20"/>
              </w:rPr>
            </w:pPr>
            <w:r>
              <w:rPr>
                <w:rFonts w:ascii="宋体" w:hAnsi="宋体" w:eastAsia="宋体" w:cs="宋体"/>
                <w:spacing w:val="4"/>
                <w:sz w:val="20"/>
                <w:szCs w:val="20"/>
              </w:rPr>
              <w:t>门，沟中的粪水顺粪沟流入</w:t>
            </w:r>
            <w:r>
              <w:rPr>
                <w:rFonts w:ascii="宋体" w:hAnsi="宋体" w:eastAsia="宋体" w:cs="宋体"/>
                <w:spacing w:val="3"/>
                <w:sz w:val="20"/>
                <w:szCs w:val="20"/>
              </w:rPr>
              <w:t>粪</w:t>
            </w:r>
          </w:p>
          <w:p w14:paraId="7FA20CF6">
            <w:pPr>
              <w:spacing w:before="24" w:line="224" w:lineRule="auto"/>
              <w:ind w:left="92"/>
              <w:rPr>
                <w:rFonts w:ascii="宋体" w:hAnsi="宋体" w:eastAsia="宋体" w:cs="宋体"/>
                <w:sz w:val="20"/>
                <w:szCs w:val="20"/>
              </w:rPr>
            </w:pPr>
            <w:r>
              <w:rPr>
                <w:rFonts w:ascii="宋体" w:hAnsi="宋体" w:eastAsia="宋体" w:cs="宋体"/>
                <w:spacing w:val="9"/>
                <w:sz w:val="20"/>
                <w:szCs w:val="20"/>
              </w:rPr>
              <w:t>便主干沟后排出的清粪工艺</w:t>
            </w:r>
          </w:p>
        </w:tc>
        <w:tc>
          <w:tcPr>
            <w:tcW w:w="2165" w:type="dxa"/>
          </w:tcPr>
          <w:p w14:paraId="06D846D6">
            <w:pPr>
              <w:spacing w:line="304" w:lineRule="auto"/>
            </w:pPr>
          </w:p>
          <w:p w14:paraId="322230D2">
            <w:pPr>
              <w:spacing w:line="304" w:lineRule="auto"/>
            </w:pPr>
          </w:p>
          <w:p w14:paraId="64B7C127">
            <w:pPr>
              <w:spacing w:line="304" w:lineRule="auto"/>
            </w:pPr>
          </w:p>
          <w:p w14:paraId="7879DF57">
            <w:pPr>
              <w:spacing w:before="65" w:line="230" w:lineRule="auto"/>
              <w:ind w:left="898"/>
              <w:rPr>
                <w:rFonts w:ascii="宋体" w:hAnsi="宋体" w:eastAsia="宋体" w:cs="宋体"/>
                <w:sz w:val="20"/>
                <w:szCs w:val="20"/>
              </w:rPr>
            </w:pPr>
            <w:r>
              <w:rPr>
                <w:rFonts w:ascii="宋体" w:hAnsi="宋体" w:eastAsia="宋体" w:cs="宋体"/>
                <w:spacing w:val="-6"/>
                <w:sz w:val="20"/>
                <w:szCs w:val="20"/>
              </w:rPr>
              <w:t>同</w:t>
            </w:r>
            <w:r>
              <w:rPr>
                <w:rFonts w:ascii="宋体" w:hAnsi="宋体" w:eastAsia="宋体" w:cs="宋体"/>
                <w:spacing w:val="-5"/>
                <w:sz w:val="20"/>
                <w:szCs w:val="20"/>
              </w:rPr>
              <w:t>上</w:t>
            </w:r>
          </w:p>
        </w:tc>
        <w:tc>
          <w:tcPr>
            <w:tcW w:w="1480" w:type="dxa"/>
          </w:tcPr>
          <w:p w14:paraId="7679F534">
            <w:pPr>
              <w:spacing w:line="373" w:lineRule="auto"/>
            </w:pPr>
          </w:p>
          <w:p w14:paraId="3FC0BB9C">
            <w:pPr>
              <w:spacing w:before="65" w:line="251" w:lineRule="auto"/>
              <w:ind w:left="113" w:right="110"/>
              <w:rPr>
                <w:rFonts w:ascii="宋体" w:hAnsi="宋体" w:eastAsia="宋体" w:cs="宋体"/>
                <w:sz w:val="20"/>
                <w:szCs w:val="20"/>
              </w:rPr>
            </w:pPr>
            <w:r>
              <w:rPr>
                <w:rFonts w:ascii="宋体" w:hAnsi="宋体" w:eastAsia="宋体" w:cs="宋体"/>
                <w:spacing w:val="9"/>
                <w:sz w:val="20"/>
                <w:szCs w:val="20"/>
              </w:rPr>
              <w:t>排</w:t>
            </w:r>
            <w:r>
              <w:rPr>
                <w:rFonts w:ascii="宋体" w:hAnsi="宋体" w:eastAsia="宋体" w:cs="宋体"/>
                <w:spacing w:val="8"/>
                <w:sz w:val="20"/>
                <w:szCs w:val="20"/>
              </w:rPr>
              <w:t>水量适中，</w:t>
            </w:r>
            <w:r>
              <w:rPr>
                <w:rFonts w:ascii="宋体" w:hAnsi="宋体" w:eastAsia="宋体" w:cs="宋体"/>
                <w:sz w:val="20"/>
                <w:szCs w:val="20"/>
              </w:rPr>
              <w:t xml:space="preserve"> </w:t>
            </w:r>
            <w:r>
              <w:rPr>
                <w:rFonts w:ascii="宋体" w:hAnsi="宋体" w:eastAsia="宋体" w:cs="宋体"/>
                <w:spacing w:val="10"/>
                <w:sz w:val="20"/>
                <w:szCs w:val="20"/>
              </w:rPr>
              <w:t>污</w:t>
            </w:r>
            <w:r>
              <w:rPr>
                <w:rFonts w:ascii="宋体" w:hAnsi="宋体" w:eastAsia="宋体" w:cs="宋体"/>
                <w:spacing w:val="8"/>
                <w:sz w:val="20"/>
                <w:szCs w:val="20"/>
              </w:rPr>
              <w:t>染物浓度较</w:t>
            </w:r>
            <w:r>
              <w:rPr>
                <w:rFonts w:ascii="宋体" w:hAnsi="宋体" w:eastAsia="宋体" w:cs="宋体"/>
                <w:sz w:val="20"/>
                <w:szCs w:val="20"/>
              </w:rPr>
              <w:t xml:space="preserve"> </w:t>
            </w:r>
            <w:r>
              <w:rPr>
                <w:rFonts w:ascii="宋体" w:hAnsi="宋体" w:eastAsia="宋体" w:cs="宋体"/>
                <w:spacing w:val="10"/>
                <w:sz w:val="20"/>
                <w:szCs w:val="20"/>
              </w:rPr>
              <w:t>高</w:t>
            </w:r>
            <w:r>
              <w:rPr>
                <w:rFonts w:ascii="宋体" w:hAnsi="宋体" w:eastAsia="宋体" w:cs="宋体"/>
                <w:spacing w:val="8"/>
                <w:sz w:val="20"/>
                <w:szCs w:val="20"/>
              </w:rPr>
              <w:t>，水处理难</w:t>
            </w:r>
            <w:r>
              <w:rPr>
                <w:rFonts w:ascii="宋体" w:hAnsi="宋体" w:eastAsia="宋体" w:cs="宋体"/>
                <w:sz w:val="20"/>
                <w:szCs w:val="20"/>
              </w:rPr>
              <w:t xml:space="preserve"> </w:t>
            </w:r>
            <w:r>
              <w:rPr>
                <w:rFonts w:ascii="宋体" w:hAnsi="宋体" w:eastAsia="宋体" w:cs="宋体"/>
                <w:spacing w:val="10"/>
                <w:sz w:val="20"/>
                <w:szCs w:val="20"/>
              </w:rPr>
              <w:t>度</w:t>
            </w:r>
            <w:r>
              <w:rPr>
                <w:rFonts w:ascii="宋体" w:hAnsi="宋体" w:eastAsia="宋体" w:cs="宋体"/>
                <w:spacing w:val="8"/>
                <w:sz w:val="20"/>
                <w:szCs w:val="20"/>
              </w:rPr>
              <w:t>较大，投资</w:t>
            </w:r>
          </w:p>
          <w:p w14:paraId="5FEA22EA">
            <w:pPr>
              <w:spacing w:line="226" w:lineRule="auto"/>
              <w:ind w:left="327"/>
              <w:rPr>
                <w:rFonts w:ascii="宋体" w:hAnsi="宋体" w:eastAsia="宋体" w:cs="宋体"/>
                <w:sz w:val="20"/>
                <w:szCs w:val="20"/>
              </w:rPr>
            </w:pPr>
            <w:r>
              <w:rPr>
                <w:rFonts w:ascii="宋体" w:hAnsi="宋体" w:eastAsia="宋体" w:cs="宋体"/>
                <w:spacing w:val="7"/>
                <w:sz w:val="20"/>
                <w:szCs w:val="20"/>
              </w:rPr>
              <w:t>成本较</w:t>
            </w:r>
            <w:r>
              <w:rPr>
                <w:rFonts w:ascii="宋体" w:hAnsi="宋体" w:eastAsia="宋体" w:cs="宋体"/>
                <w:spacing w:val="6"/>
                <w:sz w:val="20"/>
                <w:szCs w:val="20"/>
              </w:rPr>
              <w:t>高</w:t>
            </w:r>
          </w:p>
        </w:tc>
        <w:tc>
          <w:tcPr>
            <w:tcW w:w="1119" w:type="dxa"/>
          </w:tcPr>
          <w:p w14:paraId="344A63A5">
            <w:pPr>
              <w:spacing w:line="304" w:lineRule="auto"/>
            </w:pPr>
          </w:p>
          <w:p w14:paraId="24DD755A">
            <w:pPr>
              <w:spacing w:line="304" w:lineRule="auto"/>
            </w:pPr>
          </w:p>
          <w:p w14:paraId="5EEBD150">
            <w:pPr>
              <w:spacing w:line="304" w:lineRule="auto"/>
            </w:pPr>
          </w:p>
          <w:p w14:paraId="17C9DF2E">
            <w:pPr>
              <w:spacing w:before="65" w:line="230" w:lineRule="auto"/>
              <w:ind w:left="375"/>
              <w:rPr>
                <w:rFonts w:ascii="宋体" w:hAnsi="宋体" w:eastAsia="宋体" w:cs="宋体"/>
                <w:sz w:val="20"/>
                <w:szCs w:val="20"/>
              </w:rPr>
            </w:pPr>
            <w:r>
              <w:rPr>
                <w:rFonts w:ascii="宋体" w:hAnsi="宋体" w:eastAsia="宋体" w:cs="宋体"/>
                <w:spacing w:val="-6"/>
                <w:sz w:val="20"/>
                <w:szCs w:val="20"/>
              </w:rPr>
              <w:t>同</w:t>
            </w:r>
            <w:r>
              <w:rPr>
                <w:rFonts w:ascii="宋体" w:hAnsi="宋体" w:eastAsia="宋体" w:cs="宋体"/>
                <w:spacing w:val="-5"/>
                <w:sz w:val="20"/>
                <w:szCs w:val="20"/>
              </w:rPr>
              <w:t>上</w:t>
            </w:r>
          </w:p>
        </w:tc>
        <w:tc>
          <w:tcPr>
            <w:tcW w:w="1125" w:type="dxa"/>
            <w:tcBorders>
              <w:right w:val="nil"/>
            </w:tcBorders>
          </w:tcPr>
          <w:p w14:paraId="36839784">
            <w:pPr>
              <w:spacing w:before="304" w:line="256" w:lineRule="auto"/>
              <w:ind w:left="147" w:right="144"/>
              <w:rPr>
                <w:rFonts w:ascii="宋体" w:hAnsi="宋体" w:eastAsia="宋体" w:cs="宋体"/>
                <w:sz w:val="20"/>
                <w:szCs w:val="20"/>
              </w:rPr>
            </w:pPr>
            <w:r>
              <w:rPr>
                <w:rFonts w:ascii="宋体" w:hAnsi="宋体" w:eastAsia="宋体" w:cs="宋体"/>
                <w:spacing w:val="8"/>
                <w:sz w:val="20"/>
                <w:szCs w:val="20"/>
              </w:rPr>
              <w:t>排</w:t>
            </w:r>
            <w:r>
              <w:rPr>
                <w:rFonts w:ascii="宋体" w:hAnsi="宋体" w:eastAsia="宋体" w:cs="宋体"/>
                <w:spacing w:val="7"/>
                <w:sz w:val="20"/>
                <w:szCs w:val="20"/>
              </w:rPr>
              <w:t>水量适</w:t>
            </w:r>
            <w:r>
              <w:rPr>
                <w:rFonts w:ascii="宋体" w:hAnsi="宋体" w:eastAsia="宋体" w:cs="宋体"/>
                <w:sz w:val="20"/>
                <w:szCs w:val="20"/>
              </w:rPr>
              <w:t xml:space="preserve"> </w:t>
            </w:r>
            <w:r>
              <w:rPr>
                <w:rFonts w:ascii="宋体" w:hAnsi="宋体" w:eastAsia="宋体" w:cs="宋体"/>
                <w:spacing w:val="9"/>
                <w:sz w:val="20"/>
                <w:szCs w:val="20"/>
              </w:rPr>
              <w:t>中</w:t>
            </w:r>
            <w:r>
              <w:rPr>
                <w:rFonts w:ascii="宋体" w:hAnsi="宋体" w:eastAsia="宋体" w:cs="宋体"/>
                <w:spacing w:val="7"/>
                <w:sz w:val="20"/>
                <w:szCs w:val="20"/>
              </w:rPr>
              <w:t>，周边</w:t>
            </w:r>
            <w:r>
              <w:rPr>
                <w:rFonts w:ascii="宋体" w:hAnsi="宋体" w:eastAsia="宋体" w:cs="宋体"/>
                <w:sz w:val="20"/>
                <w:szCs w:val="20"/>
              </w:rPr>
              <w:t xml:space="preserve"> </w:t>
            </w:r>
            <w:r>
              <w:rPr>
                <w:rFonts w:ascii="宋体" w:hAnsi="宋体" w:eastAsia="宋体" w:cs="宋体"/>
                <w:spacing w:val="9"/>
                <w:sz w:val="20"/>
                <w:szCs w:val="20"/>
              </w:rPr>
              <w:t>需</w:t>
            </w:r>
            <w:r>
              <w:rPr>
                <w:rFonts w:ascii="宋体" w:hAnsi="宋体" w:eastAsia="宋体" w:cs="宋体"/>
                <w:spacing w:val="7"/>
                <w:sz w:val="20"/>
                <w:szCs w:val="20"/>
              </w:rPr>
              <w:t>要有足</w:t>
            </w:r>
            <w:r>
              <w:rPr>
                <w:rFonts w:ascii="宋体" w:hAnsi="宋体" w:eastAsia="宋体" w:cs="宋体"/>
                <w:sz w:val="20"/>
                <w:szCs w:val="20"/>
              </w:rPr>
              <w:t xml:space="preserve"> </w:t>
            </w:r>
            <w:r>
              <w:rPr>
                <w:rFonts w:ascii="宋体" w:hAnsi="宋体" w:eastAsia="宋体" w:cs="宋体"/>
                <w:spacing w:val="9"/>
                <w:sz w:val="20"/>
                <w:szCs w:val="20"/>
              </w:rPr>
              <w:t>够</w:t>
            </w:r>
            <w:r>
              <w:rPr>
                <w:rFonts w:ascii="宋体" w:hAnsi="宋体" w:eastAsia="宋体" w:cs="宋体"/>
                <w:spacing w:val="7"/>
                <w:sz w:val="20"/>
                <w:szCs w:val="20"/>
              </w:rPr>
              <w:t>的土地</w:t>
            </w:r>
            <w:r>
              <w:rPr>
                <w:rFonts w:ascii="宋体" w:hAnsi="宋体" w:eastAsia="宋体" w:cs="宋体"/>
                <w:sz w:val="20"/>
                <w:szCs w:val="20"/>
              </w:rPr>
              <w:t xml:space="preserve"> </w:t>
            </w:r>
            <w:r>
              <w:rPr>
                <w:rFonts w:ascii="宋体" w:hAnsi="宋体" w:eastAsia="宋体" w:cs="宋体"/>
                <w:spacing w:val="9"/>
                <w:sz w:val="20"/>
                <w:szCs w:val="20"/>
              </w:rPr>
              <w:t>资</w:t>
            </w:r>
            <w:r>
              <w:rPr>
                <w:rFonts w:ascii="宋体" w:hAnsi="宋体" w:eastAsia="宋体" w:cs="宋体"/>
                <w:spacing w:val="7"/>
                <w:sz w:val="20"/>
                <w:szCs w:val="20"/>
              </w:rPr>
              <w:t>源用于</w:t>
            </w:r>
            <w:r>
              <w:rPr>
                <w:rFonts w:ascii="宋体" w:hAnsi="宋体" w:eastAsia="宋体" w:cs="宋体"/>
                <w:sz w:val="20"/>
                <w:szCs w:val="20"/>
              </w:rPr>
              <w:t xml:space="preserve"> </w:t>
            </w:r>
            <w:r>
              <w:rPr>
                <w:rFonts w:ascii="宋体" w:hAnsi="宋体" w:eastAsia="宋体" w:cs="宋体"/>
                <w:spacing w:val="9"/>
                <w:sz w:val="20"/>
                <w:szCs w:val="20"/>
              </w:rPr>
              <w:t>消</w:t>
            </w:r>
            <w:r>
              <w:rPr>
                <w:rFonts w:ascii="宋体" w:hAnsi="宋体" w:eastAsia="宋体" w:cs="宋体"/>
                <w:spacing w:val="7"/>
                <w:sz w:val="20"/>
                <w:szCs w:val="20"/>
              </w:rPr>
              <w:t>纳粪污</w:t>
            </w:r>
          </w:p>
        </w:tc>
      </w:tr>
      <w:tr w14:paraId="71E574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3" w:hRule="atLeast"/>
        </w:trPr>
        <w:tc>
          <w:tcPr>
            <w:tcW w:w="1035" w:type="dxa"/>
            <w:tcBorders>
              <w:left w:val="nil"/>
            </w:tcBorders>
          </w:tcPr>
          <w:p w14:paraId="6A1190EB">
            <w:pPr>
              <w:spacing w:line="322" w:lineRule="auto"/>
            </w:pPr>
          </w:p>
          <w:p w14:paraId="3EF1699A">
            <w:pPr>
              <w:spacing w:line="323" w:lineRule="auto"/>
            </w:pPr>
          </w:p>
          <w:p w14:paraId="4E6D17CE">
            <w:pPr>
              <w:spacing w:before="65" w:line="227" w:lineRule="auto"/>
              <w:ind w:left="100"/>
              <w:rPr>
                <w:rFonts w:ascii="宋体" w:hAnsi="宋体" w:eastAsia="宋体" w:cs="宋体"/>
                <w:sz w:val="20"/>
                <w:szCs w:val="20"/>
              </w:rPr>
            </w:pPr>
            <w:r>
              <w:rPr>
                <w:rFonts w:ascii="宋体" w:hAnsi="宋体" w:eastAsia="宋体" w:cs="宋体"/>
                <w:spacing w:val="8"/>
                <w:sz w:val="20"/>
                <w:szCs w:val="20"/>
              </w:rPr>
              <w:t>传统干</w:t>
            </w:r>
            <w:r>
              <w:rPr>
                <w:rFonts w:ascii="宋体" w:hAnsi="宋体" w:eastAsia="宋体" w:cs="宋体"/>
                <w:spacing w:val="7"/>
                <w:sz w:val="20"/>
                <w:szCs w:val="20"/>
              </w:rPr>
              <w:t>清</w:t>
            </w:r>
          </w:p>
          <w:p w14:paraId="4A371207">
            <w:pPr>
              <w:spacing w:before="24" w:line="228" w:lineRule="auto"/>
              <w:ind w:left="103"/>
              <w:rPr>
                <w:rFonts w:ascii="宋体" w:hAnsi="宋体" w:eastAsia="宋体" w:cs="宋体"/>
                <w:sz w:val="20"/>
                <w:szCs w:val="20"/>
              </w:rPr>
            </w:pPr>
            <w:r>
              <w:rPr>
                <w:rFonts w:ascii="宋体" w:hAnsi="宋体" w:eastAsia="宋体" w:cs="宋体"/>
                <w:spacing w:val="7"/>
                <w:sz w:val="20"/>
                <w:szCs w:val="20"/>
              </w:rPr>
              <w:t>粪处理</w:t>
            </w:r>
            <w:r>
              <w:rPr>
                <w:rFonts w:ascii="宋体" w:hAnsi="宋体" w:eastAsia="宋体" w:cs="宋体"/>
                <w:spacing w:val="6"/>
                <w:sz w:val="20"/>
                <w:szCs w:val="20"/>
              </w:rPr>
              <w:t>工</w:t>
            </w:r>
          </w:p>
          <w:p w14:paraId="3DBB685D">
            <w:pPr>
              <w:spacing w:before="26" w:line="238" w:lineRule="auto"/>
              <w:ind w:left="423"/>
              <w:rPr>
                <w:rFonts w:ascii="宋体" w:hAnsi="宋体" w:eastAsia="宋体" w:cs="宋体"/>
                <w:sz w:val="20"/>
                <w:szCs w:val="20"/>
              </w:rPr>
            </w:pPr>
            <w:r>
              <w:rPr>
                <w:rFonts w:ascii="宋体" w:hAnsi="宋体" w:eastAsia="宋体" w:cs="宋体"/>
                <w:sz w:val="20"/>
                <w:szCs w:val="20"/>
              </w:rPr>
              <w:t>艺</w:t>
            </w:r>
          </w:p>
        </w:tc>
        <w:tc>
          <w:tcPr>
            <w:tcW w:w="2694" w:type="dxa"/>
          </w:tcPr>
          <w:p w14:paraId="599F9F1C">
            <w:pPr>
              <w:spacing w:line="254" w:lineRule="auto"/>
            </w:pPr>
          </w:p>
          <w:p w14:paraId="5BA7E184">
            <w:pPr>
              <w:spacing w:line="254" w:lineRule="auto"/>
            </w:pPr>
          </w:p>
          <w:p w14:paraId="528377D1">
            <w:pPr>
              <w:spacing w:before="65" w:line="228" w:lineRule="auto"/>
              <w:ind w:left="94"/>
              <w:rPr>
                <w:rFonts w:ascii="宋体" w:hAnsi="宋体" w:eastAsia="宋体" w:cs="宋体"/>
                <w:sz w:val="20"/>
                <w:szCs w:val="20"/>
              </w:rPr>
            </w:pPr>
            <w:r>
              <w:rPr>
                <w:rFonts w:ascii="宋体" w:hAnsi="宋体" w:eastAsia="宋体" w:cs="宋体"/>
                <w:spacing w:val="9"/>
                <w:sz w:val="20"/>
                <w:szCs w:val="20"/>
              </w:rPr>
              <w:t>指畜禽排放的粪便一经产</w:t>
            </w:r>
            <w:r>
              <w:rPr>
                <w:rFonts w:ascii="宋体" w:hAnsi="宋体" w:eastAsia="宋体" w:cs="宋体"/>
                <w:spacing w:val="8"/>
                <w:sz w:val="20"/>
                <w:szCs w:val="20"/>
              </w:rPr>
              <w:t>生</w:t>
            </w:r>
          </w:p>
          <w:p w14:paraId="1898783A">
            <w:pPr>
              <w:spacing w:before="26" w:line="227" w:lineRule="auto"/>
              <w:ind w:left="92"/>
              <w:rPr>
                <w:rFonts w:ascii="宋体" w:hAnsi="宋体" w:eastAsia="宋体" w:cs="宋体"/>
                <w:sz w:val="20"/>
                <w:szCs w:val="20"/>
              </w:rPr>
            </w:pPr>
            <w:r>
              <w:rPr>
                <w:rFonts w:ascii="宋体" w:hAnsi="宋体" w:eastAsia="宋体" w:cs="宋体"/>
                <w:spacing w:val="9"/>
                <w:sz w:val="20"/>
                <w:szCs w:val="20"/>
              </w:rPr>
              <w:t>便通过机械或人工收集、清</w:t>
            </w:r>
          </w:p>
          <w:p w14:paraId="2C4900BE">
            <w:pPr>
              <w:spacing w:before="24" w:line="228" w:lineRule="auto"/>
              <w:ind w:left="22"/>
              <w:rPr>
                <w:rFonts w:ascii="宋体" w:hAnsi="宋体" w:eastAsia="宋体" w:cs="宋体"/>
                <w:sz w:val="20"/>
                <w:szCs w:val="20"/>
              </w:rPr>
            </w:pPr>
            <w:r>
              <w:rPr>
                <w:rFonts w:ascii="宋体" w:hAnsi="宋体" w:eastAsia="宋体" w:cs="宋体"/>
                <w:spacing w:val="8"/>
                <w:sz w:val="20"/>
                <w:szCs w:val="20"/>
              </w:rPr>
              <w:t>除，</w:t>
            </w:r>
            <w:r>
              <w:rPr>
                <w:rFonts w:ascii="宋体" w:hAnsi="宋体" w:eastAsia="宋体" w:cs="宋体"/>
                <w:spacing w:val="4"/>
                <w:sz w:val="20"/>
                <w:szCs w:val="20"/>
              </w:rPr>
              <w:t>尿液、残余粪便及冲洗水</w:t>
            </w:r>
          </w:p>
          <w:p w14:paraId="07AE514B">
            <w:pPr>
              <w:spacing w:before="27" w:line="228" w:lineRule="auto"/>
              <w:ind w:left="96"/>
              <w:rPr>
                <w:rFonts w:ascii="宋体" w:hAnsi="宋体" w:eastAsia="宋体" w:cs="宋体"/>
                <w:sz w:val="20"/>
                <w:szCs w:val="20"/>
              </w:rPr>
            </w:pPr>
            <w:r>
              <w:rPr>
                <w:rFonts w:ascii="宋体" w:hAnsi="宋体" w:eastAsia="宋体" w:cs="宋体"/>
                <w:spacing w:val="16"/>
                <w:sz w:val="20"/>
                <w:szCs w:val="20"/>
              </w:rPr>
              <w:t>则</w:t>
            </w:r>
            <w:r>
              <w:rPr>
                <w:rFonts w:ascii="宋体" w:hAnsi="宋体" w:eastAsia="宋体" w:cs="宋体"/>
                <w:spacing w:val="9"/>
                <w:sz w:val="20"/>
                <w:szCs w:val="20"/>
              </w:rPr>
              <w:t>从</w:t>
            </w:r>
            <w:r>
              <w:rPr>
                <w:rFonts w:ascii="宋体" w:hAnsi="宋体" w:eastAsia="宋体" w:cs="宋体"/>
                <w:spacing w:val="8"/>
                <w:sz w:val="20"/>
                <w:szCs w:val="20"/>
              </w:rPr>
              <w:t>排污道排出的清粪工艺</w:t>
            </w:r>
          </w:p>
        </w:tc>
        <w:tc>
          <w:tcPr>
            <w:tcW w:w="2165" w:type="dxa"/>
          </w:tcPr>
          <w:p w14:paraId="45715CAC">
            <w:pPr>
              <w:spacing w:line="254" w:lineRule="auto"/>
            </w:pPr>
          </w:p>
          <w:p w14:paraId="28FD15B1">
            <w:pPr>
              <w:spacing w:line="254" w:lineRule="auto"/>
            </w:pPr>
          </w:p>
          <w:p w14:paraId="1035EDA9">
            <w:pPr>
              <w:spacing w:before="65" w:line="228" w:lineRule="auto"/>
              <w:ind w:left="39"/>
              <w:rPr>
                <w:rFonts w:ascii="宋体" w:hAnsi="宋体" w:eastAsia="宋体" w:cs="宋体"/>
                <w:sz w:val="20"/>
                <w:szCs w:val="20"/>
              </w:rPr>
            </w:pPr>
            <w:r>
              <w:rPr>
                <w:rFonts w:ascii="宋体" w:hAnsi="宋体" w:eastAsia="宋体" w:cs="宋体"/>
                <w:spacing w:val="15"/>
                <w:sz w:val="20"/>
                <w:szCs w:val="20"/>
              </w:rPr>
              <w:t>用</w:t>
            </w:r>
            <w:r>
              <w:rPr>
                <w:rFonts w:ascii="宋体" w:hAnsi="宋体" w:eastAsia="宋体" w:cs="宋体"/>
                <w:spacing w:val="8"/>
                <w:sz w:val="20"/>
                <w:szCs w:val="20"/>
              </w:rPr>
              <w:t>水量较小、工艺废水</w:t>
            </w:r>
          </w:p>
          <w:p w14:paraId="7FEB355F">
            <w:pPr>
              <w:spacing w:before="27" w:line="228" w:lineRule="auto"/>
              <w:ind w:left="57"/>
              <w:rPr>
                <w:rFonts w:ascii="宋体" w:hAnsi="宋体" w:eastAsia="宋体" w:cs="宋体"/>
                <w:sz w:val="20"/>
                <w:szCs w:val="20"/>
              </w:rPr>
            </w:pPr>
            <w:r>
              <w:rPr>
                <w:rFonts w:ascii="宋体" w:hAnsi="宋体" w:eastAsia="宋体" w:cs="宋体"/>
                <w:spacing w:val="10"/>
                <w:sz w:val="20"/>
                <w:szCs w:val="20"/>
              </w:rPr>
              <w:t>中</w:t>
            </w:r>
            <w:r>
              <w:rPr>
                <w:rFonts w:ascii="宋体" w:hAnsi="宋体" w:eastAsia="宋体" w:cs="宋体"/>
                <w:spacing w:val="7"/>
                <w:sz w:val="20"/>
                <w:szCs w:val="20"/>
              </w:rPr>
              <w:t>污染物浓度较低、处</w:t>
            </w:r>
          </w:p>
          <w:p w14:paraId="7D6B7A90">
            <w:pPr>
              <w:spacing w:before="23" w:line="227" w:lineRule="auto"/>
              <w:ind w:left="40"/>
              <w:rPr>
                <w:rFonts w:ascii="宋体" w:hAnsi="宋体" w:eastAsia="宋体" w:cs="宋体"/>
                <w:sz w:val="20"/>
                <w:szCs w:val="20"/>
              </w:rPr>
            </w:pPr>
            <w:r>
              <w:rPr>
                <w:rFonts w:ascii="宋体" w:hAnsi="宋体" w:eastAsia="宋体" w:cs="宋体"/>
                <w:spacing w:val="15"/>
                <w:sz w:val="20"/>
                <w:szCs w:val="20"/>
              </w:rPr>
              <w:t>理</w:t>
            </w:r>
            <w:r>
              <w:rPr>
                <w:rFonts w:ascii="宋体" w:hAnsi="宋体" w:eastAsia="宋体" w:cs="宋体"/>
                <w:spacing w:val="8"/>
                <w:sz w:val="20"/>
                <w:szCs w:val="20"/>
              </w:rPr>
              <w:t>成本较低，有利于实</w:t>
            </w:r>
          </w:p>
          <w:p w14:paraId="1F49ECA9">
            <w:pPr>
              <w:spacing w:before="28" w:line="228" w:lineRule="auto"/>
              <w:ind w:left="565"/>
              <w:rPr>
                <w:rFonts w:ascii="宋体" w:hAnsi="宋体" w:eastAsia="宋体" w:cs="宋体"/>
                <w:sz w:val="20"/>
                <w:szCs w:val="20"/>
              </w:rPr>
            </w:pPr>
            <w:r>
              <w:rPr>
                <w:rFonts w:ascii="宋体" w:hAnsi="宋体" w:eastAsia="宋体" w:cs="宋体"/>
                <w:spacing w:val="8"/>
                <w:sz w:val="20"/>
                <w:szCs w:val="20"/>
              </w:rPr>
              <w:t>现达标排</w:t>
            </w:r>
            <w:r>
              <w:rPr>
                <w:rFonts w:ascii="宋体" w:hAnsi="宋体" w:eastAsia="宋体" w:cs="宋体"/>
                <w:spacing w:val="7"/>
                <w:sz w:val="20"/>
                <w:szCs w:val="20"/>
              </w:rPr>
              <w:t>放</w:t>
            </w:r>
          </w:p>
        </w:tc>
        <w:tc>
          <w:tcPr>
            <w:tcW w:w="1480" w:type="dxa"/>
          </w:tcPr>
          <w:p w14:paraId="7208DD18">
            <w:pPr>
              <w:spacing w:before="36" w:line="251" w:lineRule="auto"/>
              <w:ind w:left="113" w:right="110" w:firstLine="2"/>
              <w:rPr>
                <w:rFonts w:ascii="宋体" w:hAnsi="宋体" w:eastAsia="宋体" w:cs="宋体"/>
                <w:sz w:val="20"/>
                <w:szCs w:val="20"/>
              </w:rPr>
            </w:pPr>
            <w:r>
              <w:rPr>
                <w:rFonts w:ascii="宋体" w:hAnsi="宋体" w:eastAsia="宋体" w:cs="宋体"/>
                <w:spacing w:val="8"/>
                <w:sz w:val="20"/>
                <w:szCs w:val="20"/>
              </w:rPr>
              <w:t>人力投入大</w:t>
            </w:r>
            <w:r>
              <w:rPr>
                <w:rFonts w:ascii="宋体" w:hAnsi="宋体" w:eastAsia="宋体" w:cs="宋体"/>
                <w:spacing w:val="7"/>
                <w:sz w:val="20"/>
                <w:szCs w:val="20"/>
              </w:rPr>
              <w:t>，</w:t>
            </w:r>
            <w:r>
              <w:rPr>
                <w:rFonts w:ascii="宋体" w:hAnsi="宋体" w:eastAsia="宋体" w:cs="宋体"/>
                <w:sz w:val="20"/>
                <w:szCs w:val="20"/>
              </w:rPr>
              <w:t xml:space="preserve"> </w:t>
            </w:r>
            <w:r>
              <w:rPr>
                <w:rFonts w:ascii="宋体" w:hAnsi="宋体" w:eastAsia="宋体" w:cs="宋体"/>
                <w:spacing w:val="10"/>
                <w:sz w:val="20"/>
                <w:szCs w:val="20"/>
              </w:rPr>
              <w:t>机</w:t>
            </w:r>
            <w:r>
              <w:rPr>
                <w:rFonts w:ascii="宋体" w:hAnsi="宋体" w:eastAsia="宋体" w:cs="宋体"/>
                <w:spacing w:val="8"/>
                <w:sz w:val="20"/>
                <w:szCs w:val="20"/>
              </w:rPr>
              <w:t>械化操作尚</w:t>
            </w:r>
            <w:r>
              <w:rPr>
                <w:rFonts w:ascii="宋体" w:hAnsi="宋体" w:eastAsia="宋体" w:cs="宋体"/>
                <w:sz w:val="20"/>
                <w:szCs w:val="20"/>
              </w:rPr>
              <w:t xml:space="preserve"> </w:t>
            </w:r>
            <w:r>
              <w:rPr>
                <w:rFonts w:ascii="宋体" w:hAnsi="宋体" w:eastAsia="宋体" w:cs="宋体"/>
                <w:spacing w:val="10"/>
                <w:sz w:val="20"/>
                <w:szCs w:val="20"/>
              </w:rPr>
              <w:t>无</w:t>
            </w:r>
            <w:r>
              <w:rPr>
                <w:rFonts w:ascii="宋体" w:hAnsi="宋体" w:eastAsia="宋体" w:cs="宋体"/>
                <w:spacing w:val="8"/>
                <w:sz w:val="20"/>
                <w:szCs w:val="20"/>
              </w:rPr>
              <w:t>法适用于现</w:t>
            </w:r>
            <w:r>
              <w:rPr>
                <w:rFonts w:ascii="宋体" w:hAnsi="宋体" w:eastAsia="宋体" w:cs="宋体"/>
                <w:sz w:val="20"/>
                <w:szCs w:val="20"/>
              </w:rPr>
              <w:t xml:space="preserve"> </w:t>
            </w:r>
            <w:r>
              <w:rPr>
                <w:rFonts w:ascii="宋体" w:hAnsi="宋体" w:eastAsia="宋体" w:cs="宋体"/>
                <w:spacing w:val="10"/>
                <w:sz w:val="20"/>
                <w:szCs w:val="20"/>
              </w:rPr>
              <w:t>代</w:t>
            </w:r>
            <w:r>
              <w:rPr>
                <w:rFonts w:ascii="宋体" w:hAnsi="宋体" w:eastAsia="宋体" w:cs="宋体"/>
                <w:spacing w:val="8"/>
                <w:sz w:val="20"/>
                <w:szCs w:val="20"/>
              </w:rPr>
              <w:t>化大型养殖</w:t>
            </w:r>
            <w:r>
              <w:rPr>
                <w:rFonts w:ascii="宋体" w:hAnsi="宋体" w:eastAsia="宋体" w:cs="宋体"/>
                <w:sz w:val="20"/>
                <w:szCs w:val="20"/>
              </w:rPr>
              <w:t xml:space="preserve"> </w:t>
            </w:r>
            <w:r>
              <w:rPr>
                <w:rFonts w:ascii="宋体" w:hAnsi="宋体" w:eastAsia="宋体" w:cs="宋体"/>
                <w:spacing w:val="7"/>
                <w:sz w:val="20"/>
                <w:szCs w:val="20"/>
              </w:rPr>
              <w:t>场内限位栏</w:t>
            </w:r>
            <w:r>
              <w:rPr>
                <w:rFonts w:ascii="宋体" w:hAnsi="宋体" w:eastAsia="宋体" w:cs="宋体"/>
                <w:spacing w:val="6"/>
                <w:sz w:val="20"/>
                <w:szCs w:val="20"/>
              </w:rPr>
              <w:t>、</w:t>
            </w:r>
          </w:p>
          <w:p w14:paraId="5916C96B">
            <w:pPr>
              <w:spacing w:line="228" w:lineRule="auto"/>
              <w:ind w:left="220"/>
              <w:rPr>
                <w:rFonts w:ascii="宋体" w:hAnsi="宋体" w:eastAsia="宋体" w:cs="宋体"/>
                <w:sz w:val="20"/>
                <w:szCs w:val="20"/>
              </w:rPr>
            </w:pPr>
            <w:r>
              <w:rPr>
                <w:rFonts w:ascii="宋体" w:hAnsi="宋体" w:eastAsia="宋体" w:cs="宋体"/>
                <w:spacing w:val="8"/>
                <w:sz w:val="20"/>
                <w:szCs w:val="20"/>
              </w:rPr>
              <w:t>保温房的</w:t>
            </w:r>
            <w:r>
              <w:rPr>
                <w:rFonts w:ascii="宋体" w:hAnsi="宋体" w:eastAsia="宋体" w:cs="宋体"/>
                <w:spacing w:val="7"/>
                <w:sz w:val="20"/>
                <w:szCs w:val="20"/>
              </w:rPr>
              <w:t>清</w:t>
            </w:r>
          </w:p>
          <w:p w14:paraId="5A39F6B2">
            <w:pPr>
              <w:spacing w:before="25" w:line="238" w:lineRule="auto"/>
              <w:ind w:left="116"/>
              <w:rPr>
                <w:rFonts w:ascii="宋体" w:hAnsi="宋体" w:eastAsia="宋体" w:cs="宋体"/>
                <w:sz w:val="20"/>
                <w:szCs w:val="20"/>
              </w:rPr>
            </w:pPr>
            <w:r>
              <w:rPr>
                <w:rFonts w:ascii="宋体" w:hAnsi="宋体" w:eastAsia="宋体" w:cs="宋体"/>
                <w:spacing w:val="8"/>
                <w:sz w:val="20"/>
                <w:szCs w:val="20"/>
              </w:rPr>
              <w:t>理，清粪率</w:t>
            </w:r>
            <w:r>
              <w:rPr>
                <w:rFonts w:ascii="宋体" w:hAnsi="宋体" w:eastAsia="宋体" w:cs="宋体"/>
                <w:spacing w:val="7"/>
                <w:sz w:val="20"/>
                <w:szCs w:val="20"/>
              </w:rPr>
              <w:t>偏</w:t>
            </w:r>
          </w:p>
          <w:p w14:paraId="7CB9E8EC">
            <w:pPr>
              <w:spacing w:before="13" w:line="224" w:lineRule="auto"/>
              <w:ind w:left="639"/>
              <w:rPr>
                <w:rFonts w:ascii="宋体" w:hAnsi="宋体" w:eastAsia="宋体" w:cs="宋体"/>
                <w:sz w:val="20"/>
                <w:szCs w:val="20"/>
              </w:rPr>
            </w:pPr>
            <w:r>
              <w:rPr>
                <w:rFonts w:ascii="宋体" w:hAnsi="宋体" w:eastAsia="宋体" w:cs="宋体"/>
                <w:spacing w:val="1"/>
                <w:sz w:val="20"/>
                <w:szCs w:val="20"/>
              </w:rPr>
              <w:t>低</w:t>
            </w:r>
          </w:p>
        </w:tc>
        <w:tc>
          <w:tcPr>
            <w:tcW w:w="1119" w:type="dxa"/>
          </w:tcPr>
          <w:p w14:paraId="032992E9">
            <w:pPr>
              <w:spacing w:line="375" w:lineRule="auto"/>
            </w:pPr>
          </w:p>
          <w:p w14:paraId="6CF59AC8">
            <w:pPr>
              <w:spacing w:before="65" w:line="228" w:lineRule="auto"/>
              <w:ind w:left="144"/>
              <w:rPr>
                <w:rFonts w:ascii="宋体" w:hAnsi="宋体" w:eastAsia="宋体" w:cs="宋体"/>
                <w:sz w:val="20"/>
                <w:szCs w:val="20"/>
              </w:rPr>
            </w:pPr>
            <w:r>
              <w:rPr>
                <w:rFonts w:ascii="宋体" w:hAnsi="宋体" w:eastAsia="宋体" w:cs="宋体"/>
                <w:spacing w:val="8"/>
                <w:sz w:val="20"/>
                <w:szCs w:val="20"/>
              </w:rPr>
              <w:t>排</w:t>
            </w:r>
            <w:r>
              <w:rPr>
                <w:rFonts w:ascii="宋体" w:hAnsi="宋体" w:eastAsia="宋体" w:cs="宋体"/>
                <w:spacing w:val="7"/>
                <w:sz w:val="20"/>
                <w:szCs w:val="20"/>
              </w:rPr>
              <w:t>水量较</w:t>
            </w:r>
          </w:p>
          <w:p w14:paraId="253FD5F5">
            <w:pPr>
              <w:spacing w:before="24" w:line="230" w:lineRule="auto"/>
              <w:ind w:left="44"/>
              <w:rPr>
                <w:rFonts w:ascii="宋体" w:hAnsi="宋体" w:eastAsia="宋体" w:cs="宋体"/>
                <w:sz w:val="20"/>
                <w:szCs w:val="20"/>
              </w:rPr>
            </w:pPr>
            <w:r>
              <w:rPr>
                <w:rFonts w:ascii="宋体" w:hAnsi="宋体" w:eastAsia="宋体" w:cs="宋体"/>
                <w:spacing w:val="7"/>
                <w:sz w:val="20"/>
                <w:szCs w:val="20"/>
              </w:rPr>
              <w:t>小，需要消</w:t>
            </w:r>
          </w:p>
          <w:p w14:paraId="1CFFE6C2">
            <w:pPr>
              <w:spacing w:before="21" w:line="228" w:lineRule="auto"/>
              <w:ind w:left="40"/>
              <w:rPr>
                <w:rFonts w:ascii="宋体" w:hAnsi="宋体" w:eastAsia="宋体" w:cs="宋体"/>
                <w:sz w:val="20"/>
                <w:szCs w:val="20"/>
              </w:rPr>
            </w:pPr>
            <w:r>
              <w:rPr>
                <w:rFonts w:ascii="宋体" w:hAnsi="宋体" w:eastAsia="宋体" w:cs="宋体"/>
                <w:spacing w:val="8"/>
                <w:sz w:val="20"/>
                <w:szCs w:val="20"/>
              </w:rPr>
              <w:t>纳粪污的</w:t>
            </w:r>
            <w:r>
              <w:rPr>
                <w:rFonts w:ascii="宋体" w:hAnsi="宋体" w:eastAsia="宋体" w:cs="宋体"/>
                <w:spacing w:val="7"/>
                <w:sz w:val="20"/>
                <w:szCs w:val="20"/>
              </w:rPr>
              <w:t>土</w:t>
            </w:r>
          </w:p>
          <w:p w14:paraId="20445048">
            <w:pPr>
              <w:spacing w:before="27" w:line="229" w:lineRule="auto"/>
              <w:ind w:left="249"/>
              <w:rPr>
                <w:rFonts w:ascii="宋体" w:hAnsi="宋体" w:eastAsia="宋体" w:cs="宋体"/>
                <w:sz w:val="20"/>
                <w:szCs w:val="20"/>
              </w:rPr>
            </w:pPr>
            <w:r>
              <w:rPr>
                <w:rFonts w:ascii="宋体" w:hAnsi="宋体" w:eastAsia="宋体" w:cs="宋体"/>
                <w:spacing w:val="7"/>
                <w:sz w:val="20"/>
                <w:szCs w:val="20"/>
              </w:rPr>
              <w:t>地资</w:t>
            </w:r>
            <w:r>
              <w:rPr>
                <w:rFonts w:ascii="宋体" w:hAnsi="宋体" w:eastAsia="宋体" w:cs="宋体"/>
                <w:spacing w:val="6"/>
                <w:sz w:val="20"/>
                <w:szCs w:val="20"/>
              </w:rPr>
              <w:t>源</w:t>
            </w:r>
          </w:p>
          <w:p w14:paraId="77C8AFA5">
            <w:pPr>
              <w:spacing w:before="22" w:line="230" w:lineRule="auto"/>
              <w:ind w:left="355"/>
              <w:rPr>
                <w:rFonts w:ascii="宋体" w:hAnsi="宋体" w:eastAsia="宋体" w:cs="宋体"/>
                <w:sz w:val="20"/>
                <w:szCs w:val="20"/>
              </w:rPr>
            </w:pPr>
            <w:r>
              <w:rPr>
                <w:rFonts w:ascii="宋体" w:hAnsi="宋体" w:eastAsia="宋体" w:cs="宋体"/>
                <w:spacing w:val="5"/>
                <w:sz w:val="20"/>
                <w:szCs w:val="20"/>
              </w:rPr>
              <w:t>较</w:t>
            </w:r>
            <w:r>
              <w:rPr>
                <w:rFonts w:ascii="宋体" w:hAnsi="宋体" w:eastAsia="宋体" w:cs="宋体"/>
                <w:spacing w:val="4"/>
                <w:sz w:val="20"/>
                <w:szCs w:val="20"/>
              </w:rPr>
              <w:t>少</w:t>
            </w:r>
          </w:p>
        </w:tc>
        <w:tc>
          <w:tcPr>
            <w:tcW w:w="1125" w:type="dxa"/>
            <w:tcBorders>
              <w:right w:val="nil"/>
            </w:tcBorders>
          </w:tcPr>
          <w:p w14:paraId="690756CF">
            <w:pPr>
              <w:spacing w:line="254" w:lineRule="auto"/>
            </w:pPr>
          </w:p>
          <w:p w14:paraId="599A256E">
            <w:pPr>
              <w:spacing w:line="254" w:lineRule="auto"/>
            </w:pPr>
          </w:p>
          <w:p w14:paraId="099ACBD3">
            <w:pPr>
              <w:spacing w:before="65" w:line="228" w:lineRule="auto"/>
              <w:ind w:left="153"/>
              <w:rPr>
                <w:rFonts w:ascii="宋体" w:hAnsi="宋体" w:eastAsia="宋体" w:cs="宋体"/>
                <w:sz w:val="20"/>
                <w:szCs w:val="20"/>
              </w:rPr>
            </w:pPr>
            <w:r>
              <w:rPr>
                <w:rFonts w:ascii="宋体" w:hAnsi="宋体" w:eastAsia="宋体" w:cs="宋体"/>
                <w:spacing w:val="6"/>
                <w:sz w:val="20"/>
                <w:szCs w:val="20"/>
              </w:rPr>
              <w:t>劳动强度</w:t>
            </w:r>
          </w:p>
          <w:p w14:paraId="128A0F7C">
            <w:pPr>
              <w:spacing w:before="27" w:line="228" w:lineRule="auto"/>
              <w:ind w:left="150"/>
              <w:rPr>
                <w:rFonts w:ascii="宋体" w:hAnsi="宋体" w:eastAsia="宋体" w:cs="宋体"/>
                <w:sz w:val="20"/>
                <w:szCs w:val="20"/>
              </w:rPr>
            </w:pPr>
            <w:r>
              <w:rPr>
                <w:rFonts w:ascii="宋体" w:hAnsi="宋体" w:eastAsia="宋体" w:cs="宋体"/>
                <w:spacing w:val="9"/>
                <w:sz w:val="20"/>
                <w:szCs w:val="20"/>
              </w:rPr>
              <w:t>大</w:t>
            </w:r>
            <w:r>
              <w:rPr>
                <w:rFonts w:ascii="宋体" w:hAnsi="宋体" w:eastAsia="宋体" w:cs="宋体"/>
                <w:spacing w:val="6"/>
                <w:sz w:val="20"/>
                <w:szCs w:val="20"/>
              </w:rPr>
              <w:t>、粪污</w:t>
            </w:r>
          </w:p>
          <w:p w14:paraId="5580B381">
            <w:pPr>
              <w:spacing w:before="23" w:line="229" w:lineRule="auto"/>
              <w:ind w:left="157"/>
              <w:rPr>
                <w:rFonts w:ascii="宋体" w:hAnsi="宋体" w:eastAsia="宋体" w:cs="宋体"/>
                <w:sz w:val="20"/>
                <w:szCs w:val="20"/>
              </w:rPr>
            </w:pPr>
            <w:r>
              <w:rPr>
                <w:rFonts w:ascii="宋体" w:hAnsi="宋体" w:eastAsia="宋体" w:cs="宋体"/>
                <w:spacing w:val="5"/>
                <w:sz w:val="20"/>
                <w:szCs w:val="20"/>
              </w:rPr>
              <w:t>资源利用</w:t>
            </w:r>
          </w:p>
          <w:p w14:paraId="45734330">
            <w:pPr>
              <w:spacing w:before="25" w:line="228" w:lineRule="auto"/>
              <w:ind w:left="255"/>
              <w:rPr>
                <w:rFonts w:ascii="宋体" w:hAnsi="宋体" w:eastAsia="宋体" w:cs="宋体"/>
                <w:sz w:val="20"/>
                <w:szCs w:val="20"/>
              </w:rPr>
            </w:pPr>
            <w:r>
              <w:rPr>
                <w:rFonts w:ascii="宋体" w:hAnsi="宋体" w:eastAsia="宋体" w:cs="宋体"/>
                <w:spacing w:val="7"/>
                <w:sz w:val="20"/>
                <w:szCs w:val="20"/>
              </w:rPr>
              <w:t>率</w:t>
            </w:r>
            <w:r>
              <w:rPr>
                <w:rFonts w:ascii="宋体" w:hAnsi="宋体" w:eastAsia="宋体" w:cs="宋体"/>
                <w:spacing w:val="6"/>
                <w:sz w:val="20"/>
                <w:szCs w:val="20"/>
              </w:rPr>
              <w:t>较低</w:t>
            </w:r>
          </w:p>
        </w:tc>
      </w:tr>
      <w:tr w14:paraId="4BC942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1" w:hRule="atLeast"/>
        </w:trPr>
        <w:tc>
          <w:tcPr>
            <w:tcW w:w="1035" w:type="dxa"/>
            <w:tcBorders>
              <w:left w:val="nil"/>
            </w:tcBorders>
          </w:tcPr>
          <w:p w14:paraId="0ABE0F86">
            <w:pPr>
              <w:spacing w:line="322" w:lineRule="auto"/>
            </w:pPr>
          </w:p>
          <w:p w14:paraId="38664CB0">
            <w:pPr>
              <w:spacing w:line="323" w:lineRule="auto"/>
            </w:pPr>
          </w:p>
          <w:p w14:paraId="4798E0F1">
            <w:pPr>
              <w:spacing w:before="65" w:line="265" w:lineRule="auto"/>
              <w:ind w:left="102" w:right="95"/>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生态垫料</w:t>
            </w:r>
            <w:r>
              <w:rPr>
                <w:rFonts w:ascii="宋体" w:hAnsi="宋体" w:eastAsia="宋体" w:cs="宋体"/>
                <w:sz w:val="20"/>
                <w:szCs w:val="20"/>
              </w:rPr>
              <w:t xml:space="preserve"> </w:t>
            </w:r>
            <w:r>
              <w:rPr>
                <w:rFonts w:ascii="宋体" w:hAnsi="宋体" w:eastAsia="宋体" w:cs="宋体"/>
                <w:spacing w:val="9"/>
                <w:sz w:val="20"/>
                <w:szCs w:val="20"/>
                <w14:textOutline w14:w="3797" w14:cap="sq" w14:cmpd="sng" w14:algn="ctr">
                  <w14:solidFill>
                    <w14:srgbClr w14:val="000000"/>
                  </w14:solidFill>
                  <w14:prstDash w14:val="solid"/>
                  <w14:bevel/>
                </w14:textOutline>
              </w:rPr>
              <w:t>养</w:t>
            </w:r>
            <w:r>
              <w:rPr>
                <w:rFonts w:ascii="宋体" w:hAnsi="宋体" w:eastAsia="宋体" w:cs="宋体"/>
                <w:spacing w:val="8"/>
                <w:sz w:val="20"/>
                <w:szCs w:val="20"/>
                <w14:textOutline w14:w="3797" w14:cap="sq" w14:cmpd="sng" w14:algn="ctr">
                  <w14:solidFill>
                    <w14:srgbClr w14:val="000000"/>
                  </w14:solidFill>
                  <w14:prstDash w14:val="solid"/>
                  <w14:bevel/>
                </w14:textOutline>
              </w:rPr>
              <w:t>殖工艺</w:t>
            </w:r>
          </w:p>
        </w:tc>
        <w:tc>
          <w:tcPr>
            <w:tcW w:w="2694" w:type="dxa"/>
          </w:tcPr>
          <w:p w14:paraId="4EFA51B2">
            <w:pPr>
              <w:spacing w:before="35" w:line="228" w:lineRule="auto"/>
              <w:ind w:left="16"/>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按</w:t>
            </w:r>
            <w:r>
              <w:rPr>
                <w:rFonts w:ascii="宋体" w:hAnsi="宋体" w:eastAsia="宋体" w:cs="宋体"/>
                <w:spacing w:val="7"/>
                <w:sz w:val="20"/>
                <w:szCs w:val="20"/>
                <w14:textOutline w14:w="3797" w14:cap="sq" w14:cmpd="sng" w14:algn="ctr">
                  <w14:solidFill>
                    <w14:srgbClr w14:val="000000"/>
                  </w14:solidFill>
                  <w14:prstDash w14:val="solid"/>
                  <w14:bevel/>
                </w14:textOutline>
              </w:rPr>
              <w:t>一</w:t>
            </w:r>
            <w:r>
              <w:rPr>
                <w:rFonts w:ascii="宋体" w:hAnsi="宋体" w:eastAsia="宋体" w:cs="宋体"/>
                <w:spacing w:val="5"/>
                <w:sz w:val="20"/>
                <w:szCs w:val="20"/>
                <w14:textOutline w14:w="3797" w14:cap="sq" w14:cmpd="sng" w14:algn="ctr">
                  <w14:solidFill>
                    <w14:srgbClr w14:val="000000"/>
                  </w14:solidFill>
                  <w14:prstDash w14:val="solid"/>
                  <w14:bevel/>
                </w14:textOutline>
              </w:rPr>
              <w:t>定比例混合秸杆、锯末屑</w:t>
            </w:r>
          </w:p>
          <w:p w14:paraId="741CF2D3">
            <w:pPr>
              <w:spacing w:before="24" w:line="228" w:lineRule="auto"/>
              <w:ind w:left="16"/>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等</w:t>
            </w:r>
            <w:r>
              <w:rPr>
                <w:rFonts w:ascii="宋体" w:hAnsi="宋体" w:eastAsia="宋体" w:cs="宋体"/>
                <w:spacing w:val="7"/>
                <w:sz w:val="20"/>
                <w:szCs w:val="20"/>
                <w14:textOutline w14:w="3797" w14:cap="sq" w14:cmpd="sng" w14:algn="ctr">
                  <w14:solidFill>
                    <w14:srgbClr w14:val="000000"/>
                  </w14:solidFill>
                  <w14:prstDash w14:val="solid"/>
                  <w14:bevel/>
                </w14:textOutline>
              </w:rPr>
              <w:t>作</w:t>
            </w:r>
            <w:r>
              <w:rPr>
                <w:rFonts w:ascii="宋体" w:hAnsi="宋体" w:eastAsia="宋体" w:cs="宋体"/>
                <w:spacing w:val="5"/>
                <w:sz w:val="20"/>
                <w:szCs w:val="20"/>
                <w14:textOutline w14:w="3797" w14:cap="sq" w14:cmpd="sng" w14:algn="ctr">
                  <w14:solidFill>
                    <w14:srgbClr w14:val="000000"/>
                  </w14:solidFill>
                  <w14:prstDash w14:val="solid"/>
                  <w14:bevel/>
                </w14:textOutline>
              </w:rPr>
              <w:t>为猪舍的垫料，再利用生</w:t>
            </w:r>
          </w:p>
          <w:p w14:paraId="159C8EB4">
            <w:pPr>
              <w:spacing w:before="24" w:line="228" w:lineRule="auto"/>
              <w:ind w:left="15"/>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猪</w:t>
            </w:r>
            <w:r>
              <w:rPr>
                <w:rFonts w:ascii="宋体" w:hAnsi="宋体" w:eastAsia="宋体" w:cs="宋体"/>
                <w:spacing w:val="8"/>
                <w:sz w:val="20"/>
                <w:szCs w:val="20"/>
                <w14:textOutline w14:w="3797" w14:cap="sq" w14:cmpd="sng" w14:algn="ctr">
                  <w14:solidFill>
                    <w14:srgbClr w14:val="000000"/>
                  </w14:solidFill>
                  <w14:prstDash w14:val="solid"/>
                  <w14:bevel/>
                </w14:textOutline>
              </w:rPr>
              <w:t>的</w:t>
            </w:r>
            <w:r>
              <w:rPr>
                <w:rFonts w:ascii="宋体" w:hAnsi="宋体" w:eastAsia="宋体" w:cs="宋体"/>
                <w:spacing w:val="5"/>
                <w:sz w:val="20"/>
                <w:szCs w:val="20"/>
                <w14:textOutline w14:w="3797" w14:cap="sq" w14:cmpd="sng" w14:algn="ctr">
                  <w14:solidFill>
                    <w14:srgbClr w14:val="000000"/>
                  </w14:solidFill>
                  <w14:prstDash w14:val="solid"/>
                  <w14:bevel/>
                </w14:textOutline>
              </w:rPr>
              <w:t>拱翻习性使猪粪、尿和垫</w:t>
            </w:r>
          </w:p>
          <w:p w14:paraId="321B4138">
            <w:pPr>
              <w:spacing w:before="27" w:line="228" w:lineRule="auto"/>
              <w:ind w:left="15"/>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料</w:t>
            </w:r>
            <w:r>
              <w:rPr>
                <w:rFonts w:ascii="宋体" w:hAnsi="宋体" w:eastAsia="宋体" w:cs="宋体"/>
                <w:spacing w:val="8"/>
                <w:sz w:val="20"/>
                <w:szCs w:val="20"/>
                <w14:textOutline w14:w="3797" w14:cap="sq" w14:cmpd="sng" w14:algn="ctr">
                  <w14:solidFill>
                    <w14:srgbClr w14:val="000000"/>
                  </w14:solidFill>
                  <w14:prstDash w14:val="solid"/>
                  <w14:bevel/>
                </w14:textOutline>
              </w:rPr>
              <w:t>充</w:t>
            </w:r>
            <w:r>
              <w:rPr>
                <w:rFonts w:ascii="宋体" w:hAnsi="宋体" w:eastAsia="宋体" w:cs="宋体"/>
                <w:spacing w:val="5"/>
                <w:sz w:val="20"/>
                <w:szCs w:val="20"/>
                <w14:textOutline w14:w="3797" w14:cap="sq" w14:cmpd="sng" w14:algn="ctr">
                  <w14:solidFill>
                    <w14:srgbClr w14:val="000000"/>
                  </w14:solidFill>
                  <w14:prstDash w14:val="solid"/>
                  <w14:bevel/>
                </w14:textOutline>
              </w:rPr>
              <w:t>分混合，通过垫料的分解</w:t>
            </w:r>
          </w:p>
          <w:p w14:paraId="5AA1D32A">
            <w:pPr>
              <w:spacing w:before="26" w:line="228" w:lineRule="auto"/>
              <w:ind w:left="18"/>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发</w:t>
            </w:r>
            <w:r>
              <w:rPr>
                <w:rFonts w:ascii="宋体" w:hAnsi="宋体" w:eastAsia="宋体" w:cs="宋体"/>
                <w:spacing w:val="5"/>
                <w:sz w:val="20"/>
                <w:szCs w:val="20"/>
                <w14:textOutline w14:w="3797" w14:cap="sq" w14:cmpd="sng" w14:algn="ctr">
                  <w14:solidFill>
                    <w14:srgbClr w14:val="000000"/>
                  </w14:solidFill>
                  <w14:prstDash w14:val="solid"/>
                  <w14:bevel/>
                </w14:textOutline>
              </w:rPr>
              <w:t>酵，使猪粪、尿中的有机物</w:t>
            </w:r>
          </w:p>
          <w:p w14:paraId="0D2ED996">
            <w:pPr>
              <w:spacing w:before="23" w:line="228" w:lineRule="auto"/>
              <w:ind w:left="92"/>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质得到充分的分解和转化</w:t>
            </w:r>
            <w:r>
              <w:rPr>
                <w:rFonts w:ascii="宋体" w:hAnsi="宋体" w:eastAsia="宋体" w:cs="宋体"/>
                <w:spacing w:val="8"/>
                <w:sz w:val="20"/>
                <w:szCs w:val="20"/>
                <w14:textOutline w14:w="3797" w14:cap="sq" w14:cmpd="sng" w14:algn="ctr">
                  <w14:solidFill>
                    <w14:srgbClr w14:val="000000"/>
                  </w14:solidFill>
                  <w14:prstDash w14:val="solid"/>
                  <w14:bevel/>
                </w14:textOutline>
              </w:rPr>
              <w:t>的</w:t>
            </w:r>
          </w:p>
          <w:p w14:paraId="595E1579">
            <w:pPr>
              <w:spacing w:before="27" w:line="222" w:lineRule="auto"/>
              <w:ind w:left="932"/>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养</w:t>
            </w:r>
            <w:r>
              <w:rPr>
                <w:rFonts w:ascii="宋体" w:hAnsi="宋体" w:eastAsia="宋体" w:cs="宋体"/>
                <w:spacing w:val="8"/>
                <w:sz w:val="20"/>
                <w:szCs w:val="20"/>
                <w14:textOutline w14:w="3797" w14:cap="sq" w14:cmpd="sng" w14:algn="ctr">
                  <w14:solidFill>
                    <w14:srgbClr w14:val="000000"/>
                  </w14:solidFill>
                  <w14:prstDash w14:val="solid"/>
                  <w14:bevel/>
                </w14:textOutline>
              </w:rPr>
              <w:t>殖工艺</w:t>
            </w:r>
          </w:p>
        </w:tc>
        <w:tc>
          <w:tcPr>
            <w:tcW w:w="2165" w:type="dxa"/>
          </w:tcPr>
          <w:p w14:paraId="096AB5D3">
            <w:pPr>
              <w:spacing w:line="255" w:lineRule="auto"/>
            </w:pPr>
          </w:p>
          <w:p w14:paraId="5DCE2496">
            <w:pPr>
              <w:spacing w:line="255" w:lineRule="auto"/>
            </w:pPr>
          </w:p>
          <w:p w14:paraId="485E6C87">
            <w:pPr>
              <w:spacing w:before="65" w:line="261" w:lineRule="auto"/>
              <w:ind w:left="37" w:right="22" w:firstLine="3"/>
              <w:rPr>
                <w:rFonts w:ascii="宋体" w:hAnsi="宋体" w:eastAsia="宋体" w:cs="宋体"/>
                <w:sz w:val="20"/>
                <w:szCs w:val="20"/>
              </w:rPr>
            </w:pPr>
            <w:r>
              <w:rPr>
                <w:rFonts w:ascii="宋体" w:hAnsi="宋体" w:eastAsia="宋体" w:cs="宋体"/>
                <w:spacing w:val="14"/>
                <w:sz w:val="20"/>
                <w:szCs w:val="20"/>
                <w14:textOutline w14:w="3797" w14:cap="sq" w14:cmpd="sng" w14:algn="ctr">
                  <w14:solidFill>
                    <w14:srgbClr w14:val="000000"/>
                  </w14:solidFill>
                  <w14:prstDash w14:val="solid"/>
                  <w14:bevel/>
                </w14:textOutline>
              </w:rPr>
              <w:t>不</w:t>
            </w:r>
            <w:r>
              <w:rPr>
                <w:rFonts w:ascii="宋体" w:hAnsi="宋体" w:eastAsia="宋体" w:cs="宋体"/>
                <w:spacing w:val="9"/>
                <w:sz w:val="20"/>
                <w:szCs w:val="20"/>
                <w14:textOutline w14:w="3797" w14:cap="sq" w14:cmpd="sng" w14:algn="ctr">
                  <w14:solidFill>
                    <w14:srgbClr w14:val="000000"/>
                  </w14:solidFill>
                  <w14:prstDash w14:val="solid"/>
                  <w14:bevel/>
                </w14:textOutline>
              </w:rPr>
              <w:t>需要冲洗，无粪尿污</w:t>
            </w:r>
            <w:r>
              <w:rPr>
                <w:rFonts w:ascii="宋体" w:hAnsi="宋体" w:eastAsia="宋体" w:cs="宋体"/>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水排</w:t>
            </w:r>
            <w:r>
              <w:rPr>
                <w:rFonts w:ascii="宋体" w:hAnsi="宋体" w:eastAsia="宋体" w:cs="宋体"/>
                <w:spacing w:val="3"/>
                <w:sz w:val="20"/>
                <w:szCs w:val="20"/>
                <w14:textOutline w14:w="3797" w14:cap="sq" w14:cmpd="sng" w14:algn="ctr">
                  <w14:solidFill>
                    <w14:srgbClr w14:val="000000"/>
                  </w14:solidFill>
                  <w14:prstDash w14:val="solid"/>
                  <w14:bevel/>
                </w14:textOutline>
              </w:rPr>
              <w:t>出，垫料</w:t>
            </w:r>
            <w:r>
              <w:rPr>
                <w:rFonts w:ascii="宋体" w:hAnsi="宋体" w:eastAsia="宋体" w:cs="宋体"/>
                <w:spacing w:val="3"/>
                <w:sz w:val="20"/>
                <w:szCs w:val="20"/>
              </w:rPr>
              <w:t xml:space="preserve"> </w:t>
            </w:r>
            <w:r>
              <w:rPr>
                <w:rFonts w:ascii="Times New Roman" w:hAnsi="Times New Roman" w:eastAsia="Times New Roman" w:cs="Times New Roman"/>
                <w:b/>
                <w:bCs/>
                <w:spacing w:val="3"/>
                <w:sz w:val="20"/>
                <w:szCs w:val="20"/>
              </w:rPr>
              <w:t>2~3</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14:textOutline w14:w="3797" w14:cap="sq" w14:cmpd="sng" w14:algn="ctr">
                  <w14:solidFill>
                    <w14:srgbClr w14:val="000000"/>
                  </w14:solidFill>
                  <w14:prstDash w14:val="solid"/>
                  <w14:bevel/>
                </w14:textOutline>
              </w:rPr>
              <w:t>年清</w:t>
            </w:r>
            <w:r>
              <w:rPr>
                <w:rFonts w:ascii="宋体" w:hAnsi="宋体" w:eastAsia="宋体" w:cs="宋体"/>
                <w:sz w:val="20"/>
                <w:szCs w:val="20"/>
              </w:rPr>
              <w:t xml:space="preserve"> </w:t>
            </w:r>
            <w:r>
              <w:rPr>
                <w:rFonts w:ascii="宋体" w:hAnsi="宋体" w:eastAsia="宋体" w:cs="宋体"/>
                <w:spacing w:val="4"/>
                <w:sz w:val="20"/>
                <w:szCs w:val="20"/>
                <w14:textOutline w14:w="3797" w14:cap="sq" w14:cmpd="sng" w14:algn="ctr">
                  <w14:solidFill>
                    <w14:srgbClr w14:val="000000"/>
                  </w14:solidFill>
                  <w14:prstDash w14:val="solid"/>
                  <w14:bevel/>
                </w14:textOutline>
              </w:rPr>
              <w:t>理</w:t>
            </w:r>
            <w:r>
              <w:rPr>
                <w:rFonts w:ascii="宋体" w:hAnsi="宋体" w:eastAsia="宋体" w:cs="宋体"/>
                <w:spacing w:val="4"/>
                <w:sz w:val="20"/>
                <w:szCs w:val="20"/>
              </w:rPr>
              <w:t xml:space="preserve"> </w:t>
            </w:r>
            <w:r>
              <w:rPr>
                <w:rFonts w:ascii="Times New Roman" w:hAnsi="Times New Roman" w:eastAsia="Times New Roman" w:cs="Times New Roman"/>
                <w:b/>
                <w:bCs/>
                <w:spacing w:val="4"/>
                <w:sz w:val="20"/>
                <w:szCs w:val="20"/>
              </w:rPr>
              <w:t>1</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14:textOutline w14:w="3797" w14:cap="sq" w14:cmpd="sng" w14:algn="ctr">
                  <w14:solidFill>
                    <w14:srgbClr w14:val="000000"/>
                  </w14:solidFill>
                  <w14:prstDash w14:val="solid"/>
                  <w14:bevel/>
                </w14:textOutline>
              </w:rPr>
              <w:t>次、劳动强度较</w:t>
            </w:r>
            <w:r>
              <w:rPr>
                <w:rFonts w:ascii="宋体" w:hAnsi="宋体" w:eastAsia="宋体" w:cs="宋体"/>
                <w:spacing w:val="2"/>
                <w:sz w:val="20"/>
                <w:szCs w:val="20"/>
                <w14:textOutline w14:w="3797" w14:cap="sq" w14:cmpd="sng" w14:algn="ctr">
                  <w14:solidFill>
                    <w14:srgbClr w14:val="000000"/>
                  </w14:solidFill>
                  <w14:prstDash w14:val="solid"/>
                  <w14:bevel/>
                </w14:textOutline>
              </w:rPr>
              <w:t>小</w:t>
            </w:r>
          </w:p>
        </w:tc>
        <w:tc>
          <w:tcPr>
            <w:tcW w:w="1480" w:type="dxa"/>
          </w:tcPr>
          <w:p w14:paraId="69764F4E"/>
          <w:p w14:paraId="7ACD627C">
            <w:pPr>
              <w:spacing w:before="65" w:line="228" w:lineRule="auto"/>
              <w:ind w:left="220"/>
              <w:rPr>
                <w:rFonts w:ascii="宋体" w:hAnsi="宋体" w:eastAsia="宋体" w:cs="宋体"/>
                <w:sz w:val="20"/>
                <w:szCs w:val="20"/>
              </w:rPr>
            </w:pPr>
            <w:r>
              <w:rPr>
                <w:rFonts w:ascii="宋体" w:hAnsi="宋体" w:eastAsia="宋体" w:cs="宋体"/>
                <w:spacing w:val="11"/>
                <w:sz w:val="20"/>
                <w:szCs w:val="20"/>
                <w14:textOutline w14:w="3797" w14:cap="sq" w14:cmpd="sng" w14:algn="ctr">
                  <w14:solidFill>
                    <w14:srgbClr w14:val="000000"/>
                  </w14:solidFill>
                  <w14:prstDash w14:val="solid"/>
                  <w14:bevel/>
                </w14:textOutline>
              </w:rPr>
              <w:t>夏</w:t>
            </w:r>
            <w:r>
              <w:rPr>
                <w:rFonts w:ascii="宋体" w:hAnsi="宋体" w:eastAsia="宋体" w:cs="宋体"/>
                <w:spacing w:val="8"/>
                <w:sz w:val="20"/>
                <w:szCs w:val="20"/>
                <w14:textOutline w14:w="3797" w14:cap="sq" w14:cmpd="sng" w14:algn="ctr">
                  <w14:solidFill>
                    <w14:srgbClr w14:val="000000"/>
                  </w14:solidFill>
                  <w14:prstDash w14:val="solid"/>
                  <w14:bevel/>
                </w14:textOutline>
              </w:rPr>
              <w:t>天发酵床</w:t>
            </w:r>
          </w:p>
          <w:p w14:paraId="3448389E">
            <w:pPr>
              <w:spacing w:before="24" w:line="228" w:lineRule="auto"/>
              <w:ind w:left="221"/>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温</w:t>
            </w:r>
            <w:r>
              <w:rPr>
                <w:rFonts w:ascii="宋体" w:hAnsi="宋体" w:eastAsia="宋体" w:cs="宋体"/>
                <w:spacing w:val="8"/>
                <w:sz w:val="20"/>
                <w:szCs w:val="20"/>
                <w14:textOutline w14:w="3797" w14:cap="sq" w14:cmpd="sng" w14:algn="ctr">
                  <w14:solidFill>
                    <w14:srgbClr w14:val="000000"/>
                  </w14:solidFill>
                  <w14:prstDash w14:val="solid"/>
                  <w14:bevel/>
                </w14:textOutline>
              </w:rPr>
              <w:t>度过高等</w:t>
            </w:r>
          </w:p>
          <w:p w14:paraId="51B0CBC1">
            <w:pPr>
              <w:spacing w:before="27" w:line="228" w:lineRule="auto"/>
              <w:ind w:left="223"/>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不利于猪</w:t>
            </w:r>
            <w:r>
              <w:rPr>
                <w:rFonts w:ascii="宋体" w:hAnsi="宋体" w:eastAsia="宋体" w:cs="宋体"/>
                <w:spacing w:val="7"/>
                <w:sz w:val="20"/>
                <w:szCs w:val="20"/>
                <w14:textOutline w14:w="3797" w14:cap="sq" w14:cmpd="sng" w14:algn="ctr">
                  <w14:solidFill>
                    <w14:srgbClr w14:val="000000"/>
                  </w14:solidFill>
                  <w14:prstDash w14:val="solid"/>
                  <w14:bevel/>
                </w14:textOutline>
              </w:rPr>
              <w:t>生</w:t>
            </w:r>
          </w:p>
          <w:p w14:paraId="06859A76">
            <w:pPr>
              <w:spacing w:before="26" w:line="231" w:lineRule="auto"/>
              <w:ind w:left="115"/>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长，粪污资</w:t>
            </w:r>
            <w:r>
              <w:rPr>
                <w:rFonts w:ascii="宋体" w:hAnsi="宋体" w:eastAsia="宋体" w:cs="宋体"/>
                <w:spacing w:val="8"/>
                <w:sz w:val="20"/>
                <w:szCs w:val="20"/>
                <w14:textOutline w14:w="3797" w14:cap="sq" w14:cmpd="sng" w14:algn="ctr">
                  <w14:solidFill>
                    <w14:srgbClr w14:val="000000"/>
                  </w14:solidFill>
                  <w14:prstDash w14:val="solid"/>
                  <w14:bevel/>
                </w14:textOutline>
              </w:rPr>
              <w:t>源</w:t>
            </w:r>
          </w:p>
          <w:p w14:paraId="4E835132">
            <w:pPr>
              <w:spacing w:before="20" w:line="228" w:lineRule="auto"/>
              <w:ind w:left="326"/>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利</w:t>
            </w:r>
            <w:r>
              <w:rPr>
                <w:rFonts w:ascii="宋体" w:hAnsi="宋体" w:eastAsia="宋体" w:cs="宋体"/>
                <w:spacing w:val="8"/>
                <w:sz w:val="20"/>
                <w:szCs w:val="20"/>
                <w14:textOutline w14:w="3797" w14:cap="sq" w14:cmpd="sng" w14:algn="ctr">
                  <w14:solidFill>
                    <w14:srgbClr w14:val="000000"/>
                  </w14:solidFill>
                  <w14:prstDash w14:val="solid"/>
                  <w14:bevel/>
                </w14:textOutline>
              </w:rPr>
              <w:t>用率低</w:t>
            </w:r>
          </w:p>
        </w:tc>
        <w:tc>
          <w:tcPr>
            <w:tcW w:w="1119" w:type="dxa"/>
          </w:tcPr>
          <w:p w14:paraId="1ECECB13">
            <w:pPr>
              <w:spacing w:line="323" w:lineRule="auto"/>
            </w:pPr>
          </w:p>
          <w:p w14:paraId="7E515E8E">
            <w:pPr>
              <w:spacing w:line="323" w:lineRule="auto"/>
            </w:pPr>
          </w:p>
          <w:p w14:paraId="12A578CE">
            <w:pPr>
              <w:spacing w:before="65" w:line="265" w:lineRule="auto"/>
              <w:ind w:left="355" w:right="32" w:hanging="29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同</w:t>
            </w:r>
            <w:r>
              <w:rPr>
                <w:rFonts w:ascii="宋体" w:hAnsi="宋体" w:eastAsia="宋体" w:cs="宋体"/>
                <w:spacing w:val="4"/>
                <w:sz w:val="20"/>
                <w:szCs w:val="20"/>
                <w14:textOutline w14:w="3797" w14:cap="sq" w14:cmpd="sng" w14:algn="ctr">
                  <w14:solidFill>
                    <w14:srgbClr w14:val="000000"/>
                  </w14:solidFill>
                  <w14:prstDash w14:val="solid"/>
                  <w14:bevel/>
                </w14:textOutline>
              </w:rPr>
              <w:t>达标排放</w:t>
            </w:r>
            <w:r>
              <w:rPr>
                <w:rFonts w:ascii="宋体" w:hAnsi="宋体" w:eastAsia="宋体" w:cs="宋体"/>
                <w:sz w:val="20"/>
                <w:szCs w:val="20"/>
              </w:rPr>
              <w:t xml:space="preserve"> </w:t>
            </w:r>
            <w:r>
              <w:rPr>
                <w:rFonts w:ascii="宋体" w:hAnsi="宋体" w:eastAsia="宋体" w:cs="宋体"/>
                <w:spacing w:val="6"/>
                <w:sz w:val="20"/>
                <w:szCs w:val="20"/>
                <w14:textOutline w14:w="3797" w14:cap="sq" w14:cmpd="sng" w14:algn="ctr">
                  <w14:solidFill>
                    <w14:srgbClr w14:val="000000"/>
                  </w14:solidFill>
                  <w14:prstDash w14:val="solid"/>
                  <w14:bevel/>
                </w14:textOutline>
              </w:rPr>
              <w:t>方</w:t>
            </w:r>
            <w:r>
              <w:rPr>
                <w:rFonts w:ascii="宋体" w:hAnsi="宋体" w:eastAsia="宋体" w:cs="宋体"/>
                <w:spacing w:val="5"/>
                <w:sz w:val="20"/>
                <w:szCs w:val="20"/>
                <w14:textOutline w14:w="3797" w14:cap="sq" w14:cmpd="sng" w14:algn="ctr">
                  <w14:solidFill>
                    <w14:srgbClr w14:val="000000"/>
                  </w14:solidFill>
                  <w14:prstDash w14:val="solid"/>
                  <w14:bevel/>
                </w14:textOutline>
              </w:rPr>
              <w:t>案</w:t>
            </w:r>
          </w:p>
        </w:tc>
        <w:tc>
          <w:tcPr>
            <w:tcW w:w="1125" w:type="dxa"/>
            <w:tcBorders>
              <w:right w:val="nil"/>
            </w:tcBorders>
          </w:tcPr>
          <w:p w14:paraId="71183D31">
            <w:pPr>
              <w:spacing w:line="323" w:lineRule="auto"/>
            </w:pPr>
          </w:p>
          <w:p w14:paraId="49F07025">
            <w:pPr>
              <w:spacing w:line="323" w:lineRule="auto"/>
            </w:pPr>
          </w:p>
          <w:p w14:paraId="280B1249">
            <w:pPr>
              <w:spacing w:before="65" w:line="265" w:lineRule="auto"/>
              <w:ind w:left="253" w:right="139" w:hanging="85"/>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同</w:t>
            </w:r>
            <w:r>
              <w:rPr>
                <w:rFonts w:ascii="宋体" w:hAnsi="宋体" w:eastAsia="宋体" w:cs="宋体"/>
                <w:spacing w:val="3"/>
                <w:sz w:val="20"/>
                <w:szCs w:val="20"/>
                <w14:textOutline w14:w="3797" w14:cap="sq" w14:cmpd="sng" w14:algn="ctr">
                  <w14:solidFill>
                    <w14:srgbClr w14:val="000000"/>
                  </w14:solidFill>
                  <w14:prstDash w14:val="solid"/>
                  <w14:bevel/>
                </w14:textOutline>
              </w:rPr>
              <w:t>达标排</w:t>
            </w:r>
            <w:r>
              <w:rPr>
                <w:rFonts w:ascii="宋体" w:hAnsi="宋体" w:eastAsia="宋体" w:cs="宋体"/>
                <w:sz w:val="20"/>
                <w:szCs w:val="20"/>
              </w:rPr>
              <w:t xml:space="preserve"> </w:t>
            </w:r>
            <w:r>
              <w:rPr>
                <w:rFonts w:ascii="宋体" w:hAnsi="宋体" w:eastAsia="宋体" w:cs="宋体"/>
                <w:spacing w:val="9"/>
                <w:sz w:val="20"/>
                <w:szCs w:val="20"/>
                <w14:textOutline w14:w="3797" w14:cap="sq" w14:cmpd="sng" w14:algn="ctr">
                  <w14:solidFill>
                    <w14:srgbClr w14:val="000000"/>
                  </w14:solidFill>
                  <w14:prstDash w14:val="solid"/>
                  <w14:bevel/>
                </w14:textOutline>
              </w:rPr>
              <w:t>放</w:t>
            </w:r>
            <w:r>
              <w:rPr>
                <w:rFonts w:ascii="宋体" w:hAnsi="宋体" w:eastAsia="宋体" w:cs="宋体"/>
                <w:spacing w:val="7"/>
                <w:sz w:val="20"/>
                <w:szCs w:val="20"/>
                <w14:textOutline w14:w="3797" w14:cap="sq" w14:cmpd="sng" w14:algn="ctr">
                  <w14:solidFill>
                    <w14:srgbClr w14:val="000000"/>
                  </w14:solidFill>
                  <w14:prstDash w14:val="solid"/>
                  <w14:bevel/>
                </w14:textOutline>
              </w:rPr>
              <w:t>方案</w:t>
            </w:r>
          </w:p>
        </w:tc>
      </w:tr>
      <w:tr w14:paraId="3C3C4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2" w:hRule="atLeast"/>
        </w:trPr>
        <w:tc>
          <w:tcPr>
            <w:tcW w:w="1035" w:type="dxa"/>
            <w:tcBorders>
              <w:left w:val="nil"/>
            </w:tcBorders>
          </w:tcPr>
          <w:p w14:paraId="02F5DEC8">
            <w:pPr>
              <w:spacing w:line="474" w:lineRule="auto"/>
            </w:pPr>
          </w:p>
          <w:p w14:paraId="2D705DE6">
            <w:pPr>
              <w:spacing w:before="65" w:line="268" w:lineRule="auto"/>
              <w:ind w:left="215" w:right="40" w:hanging="171"/>
              <w:rPr>
                <w:rFonts w:ascii="宋体" w:hAnsi="宋体" w:eastAsia="宋体" w:cs="宋体"/>
                <w:sz w:val="20"/>
                <w:szCs w:val="20"/>
              </w:rPr>
            </w:pPr>
            <w:r>
              <w:rPr>
                <w:rFonts w:ascii="宋体" w:hAnsi="宋体" w:eastAsia="宋体" w:cs="宋体"/>
                <w:spacing w:val="7"/>
                <w:sz w:val="20"/>
                <w:szCs w:val="20"/>
              </w:rPr>
              <w:t>漏缝板</w:t>
            </w:r>
            <w:r>
              <w:rPr>
                <w:rFonts w:ascii="Times New Roman" w:hAnsi="Times New Roman" w:eastAsia="Times New Roman" w:cs="Times New Roman"/>
                <w:spacing w:val="7"/>
                <w:sz w:val="20"/>
                <w:szCs w:val="20"/>
              </w:rPr>
              <w:t>+</w:t>
            </w:r>
            <w:r>
              <w:rPr>
                <w:rFonts w:ascii="宋体" w:hAnsi="宋体" w:eastAsia="宋体" w:cs="宋体"/>
                <w:spacing w:val="6"/>
                <w:sz w:val="20"/>
                <w:szCs w:val="20"/>
              </w:rPr>
              <w:t>虹</w:t>
            </w:r>
            <w:r>
              <w:rPr>
                <w:rFonts w:ascii="宋体" w:hAnsi="宋体" w:eastAsia="宋体" w:cs="宋体"/>
                <w:sz w:val="20"/>
                <w:szCs w:val="20"/>
              </w:rPr>
              <w:t xml:space="preserve"> </w:t>
            </w:r>
            <w:r>
              <w:rPr>
                <w:rFonts w:ascii="宋体" w:hAnsi="宋体" w:eastAsia="宋体" w:cs="宋体"/>
                <w:spacing w:val="4"/>
                <w:sz w:val="20"/>
                <w:szCs w:val="20"/>
              </w:rPr>
              <w:t>吸工艺</w:t>
            </w:r>
          </w:p>
        </w:tc>
        <w:tc>
          <w:tcPr>
            <w:tcW w:w="2694" w:type="dxa"/>
          </w:tcPr>
          <w:p w14:paraId="4ACEFFB9">
            <w:pPr>
              <w:spacing w:before="306" w:line="227" w:lineRule="auto"/>
              <w:ind w:left="93"/>
              <w:rPr>
                <w:rFonts w:ascii="宋体" w:hAnsi="宋体" w:eastAsia="宋体" w:cs="宋体"/>
                <w:sz w:val="20"/>
                <w:szCs w:val="20"/>
              </w:rPr>
            </w:pPr>
            <w:r>
              <w:rPr>
                <w:rFonts w:ascii="宋体" w:hAnsi="宋体" w:eastAsia="宋体" w:cs="宋体"/>
                <w:spacing w:val="9"/>
                <w:sz w:val="20"/>
                <w:szCs w:val="20"/>
              </w:rPr>
              <w:t>生猪饲养猪舍采用漏缝地</w:t>
            </w:r>
            <w:r>
              <w:rPr>
                <w:rFonts w:ascii="宋体" w:hAnsi="宋体" w:eastAsia="宋体" w:cs="宋体"/>
                <w:spacing w:val="8"/>
                <w:sz w:val="20"/>
                <w:szCs w:val="20"/>
              </w:rPr>
              <w:t>板</w:t>
            </w:r>
          </w:p>
          <w:p w14:paraId="02352B69">
            <w:pPr>
              <w:spacing w:before="27" w:line="228" w:lineRule="auto"/>
              <w:ind w:left="9"/>
              <w:rPr>
                <w:rFonts w:ascii="宋体" w:hAnsi="宋体" w:eastAsia="宋体" w:cs="宋体"/>
                <w:sz w:val="20"/>
                <w:szCs w:val="20"/>
              </w:rPr>
            </w:pPr>
            <w:r>
              <w:rPr>
                <w:rFonts w:ascii="宋体" w:hAnsi="宋体" w:eastAsia="宋体" w:cs="宋体"/>
                <w:spacing w:val="10"/>
                <w:sz w:val="20"/>
                <w:szCs w:val="20"/>
              </w:rPr>
              <w:t>饲</w:t>
            </w:r>
            <w:r>
              <w:rPr>
                <w:rFonts w:ascii="宋体" w:hAnsi="宋体" w:eastAsia="宋体" w:cs="宋体"/>
                <w:spacing w:val="8"/>
                <w:sz w:val="20"/>
                <w:szCs w:val="20"/>
              </w:rPr>
              <w:t>养</w:t>
            </w:r>
            <w:r>
              <w:rPr>
                <w:rFonts w:ascii="宋体" w:hAnsi="宋体" w:eastAsia="宋体" w:cs="宋体"/>
                <w:spacing w:val="5"/>
                <w:sz w:val="20"/>
                <w:szCs w:val="20"/>
              </w:rPr>
              <w:t>，采用重力流方式通过虹</w:t>
            </w:r>
          </w:p>
          <w:p w14:paraId="4CCF0E65">
            <w:pPr>
              <w:spacing w:before="24" w:line="228" w:lineRule="auto"/>
              <w:ind w:left="99"/>
              <w:rPr>
                <w:rFonts w:ascii="宋体" w:hAnsi="宋体" w:eastAsia="宋体" w:cs="宋体"/>
                <w:sz w:val="20"/>
                <w:szCs w:val="20"/>
              </w:rPr>
            </w:pPr>
            <w:r>
              <w:rPr>
                <w:rFonts w:ascii="宋体" w:hAnsi="宋体" w:eastAsia="宋体" w:cs="宋体"/>
                <w:spacing w:val="13"/>
                <w:sz w:val="20"/>
                <w:szCs w:val="20"/>
              </w:rPr>
              <w:t>吸</w:t>
            </w:r>
            <w:r>
              <w:rPr>
                <w:rFonts w:ascii="宋体" w:hAnsi="宋体" w:eastAsia="宋体" w:cs="宋体"/>
                <w:spacing w:val="8"/>
                <w:sz w:val="20"/>
                <w:szCs w:val="20"/>
              </w:rPr>
              <w:t>管道将粪尿输送至粪污储</w:t>
            </w:r>
          </w:p>
          <w:p w14:paraId="3E681BD3">
            <w:pPr>
              <w:spacing w:before="26" w:line="228" w:lineRule="auto"/>
              <w:ind w:left="1142"/>
              <w:rPr>
                <w:rFonts w:ascii="宋体" w:hAnsi="宋体" w:eastAsia="宋体" w:cs="宋体"/>
                <w:sz w:val="20"/>
                <w:szCs w:val="20"/>
              </w:rPr>
            </w:pPr>
            <w:r>
              <w:rPr>
                <w:rFonts w:ascii="宋体" w:hAnsi="宋体" w:eastAsia="宋体" w:cs="宋体"/>
                <w:spacing w:val="5"/>
                <w:sz w:val="20"/>
                <w:szCs w:val="20"/>
              </w:rPr>
              <w:t>存池</w:t>
            </w:r>
          </w:p>
        </w:tc>
        <w:tc>
          <w:tcPr>
            <w:tcW w:w="2165" w:type="dxa"/>
          </w:tcPr>
          <w:p w14:paraId="3B00440C">
            <w:pPr>
              <w:spacing w:before="37" w:line="250" w:lineRule="auto"/>
              <w:ind w:left="36" w:right="32" w:firstLine="5"/>
              <w:rPr>
                <w:rFonts w:ascii="宋体" w:hAnsi="宋体" w:eastAsia="宋体" w:cs="宋体"/>
                <w:sz w:val="20"/>
                <w:szCs w:val="20"/>
              </w:rPr>
            </w:pPr>
            <w:r>
              <w:rPr>
                <w:rFonts w:ascii="宋体" w:hAnsi="宋体" w:eastAsia="宋体" w:cs="宋体"/>
                <w:spacing w:val="12"/>
                <w:sz w:val="20"/>
                <w:szCs w:val="20"/>
              </w:rPr>
              <w:t>实</w:t>
            </w:r>
            <w:r>
              <w:rPr>
                <w:rFonts w:ascii="宋体" w:hAnsi="宋体" w:eastAsia="宋体" w:cs="宋体"/>
                <w:spacing w:val="8"/>
                <w:sz w:val="20"/>
                <w:szCs w:val="20"/>
              </w:rPr>
              <w:t>现了机械化操作，减</w:t>
            </w:r>
            <w:r>
              <w:rPr>
                <w:rFonts w:ascii="宋体" w:hAnsi="宋体" w:eastAsia="宋体" w:cs="宋体"/>
                <w:sz w:val="20"/>
                <w:szCs w:val="20"/>
              </w:rPr>
              <w:t xml:space="preserve"> </w:t>
            </w:r>
            <w:r>
              <w:rPr>
                <w:rFonts w:ascii="宋体" w:hAnsi="宋体" w:eastAsia="宋体" w:cs="宋体"/>
                <w:spacing w:val="9"/>
                <w:sz w:val="20"/>
                <w:szCs w:val="20"/>
              </w:rPr>
              <w:t>少了劳动强度和人力资</w:t>
            </w:r>
            <w:r>
              <w:rPr>
                <w:rFonts w:ascii="宋体" w:hAnsi="宋体" w:eastAsia="宋体" w:cs="宋体"/>
                <w:sz w:val="20"/>
                <w:szCs w:val="20"/>
              </w:rPr>
              <w:t xml:space="preserve"> </w:t>
            </w:r>
            <w:r>
              <w:rPr>
                <w:rFonts w:ascii="宋体" w:hAnsi="宋体" w:eastAsia="宋体" w:cs="宋体"/>
                <w:spacing w:val="9"/>
                <w:sz w:val="20"/>
                <w:szCs w:val="20"/>
              </w:rPr>
              <w:t>源消耗；采用立体设计</w:t>
            </w:r>
            <w:r>
              <w:rPr>
                <w:rFonts w:ascii="宋体" w:hAnsi="宋体" w:eastAsia="宋体" w:cs="宋体"/>
                <w:sz w:val="20"/>
                <w:szCs w:val="20"/>
              </w:rPr>
              <w:t xml:space="preserve"> </w:t>
            </w:r>
            <w:r>
              <w:rPr>
                <w:rFonts w:ascii="宋体" w:hAnsi="宋体" w:eastAsia="宋体" w:cs="宋体"/>
                <w:spacing w:val="9"/>
                <w:sz w:val="20"/>
                <w:szCs w:val="20"/>
              </w:rPr>
              <w:t>结构，生猪饲养、粪污</w:t>
            </w:r>
            <w:r>
              <w:rPr>
                <w:rFonts w:ascii="宋体" w:hAnsi="宋体" w:eastAsia="宋体" w:cs="宋体"/>
                <w:sz w:val="20"/>
                <w:szCs w:val="20"/>
              </w:rPr>
              <w:t xml:space="preserve"> </w:t>
            </w:r>
            <w:r>
              <w:rPr>
                <w:rFonts w:ascii="宋体" w:hAnsi="宋体" w:eastAsia="宋体" w:cs="宋体"/>
                <w:spacing w:val="9"/>
                <w:sz w:val="20"/>
                <w:szCs w:val="20"/>
              </w:rPr>
              <w:t>清理和废水收集垂直进</w:t>
            </w:r>
            <w:r>
              <w:rPr>
                <w:rFonts w:ascii="宋体" w:hAnsi="宋体" w:eastAsia="宋体" w:cs="宋体"/>
                <w:sz w:val="20"/>
                <w:szCs w:val="20"/>
              </w:rPr>
              <w:t xml:space="preserve"> </w:t>
            </w:r>
            <w:r>
              <w:rPr>
                <w:rFonts w:ascii="宋体" w:hAnsi="宋体" w:eastAsia="宋体" w:cs="宋体"/>
                <w:spacing w:val="9"/>
                <w:sz w:val="20"/>
                <w:szCs w:val="20"/>
              </w:rPr>
              <w:t>行</w:t>
            </w:r>
            <w:r>
              <w:rPr>
                <w:rFonts w:ascii="宋体" w:hAnsi="宋体" w:eastAsia="宋体" w:cs="宋体"/>
                <w:spacing w:val="8"/>
                <w:sz w:val="20"/>
                <w:szCs w:val="20"/>
              </w:rPr>
              <w:t>，减少了占地面积。</w:t>
            </w:r>
          </w:p>
        </w:tc>
        <w:tc>
          <w:tcPr>
            <w:tcW w:w="1480" w:type="dxa"/>
          </w:tcPr>
          <w:p w14:paraId="143F4466">
            <w:pPr>
              <w:spacing w:line="376" w:lineRule="auto"/>
            </w:pPr>
          </w:p>
          <w:p w14:paraId="5A2FADD5">
            <w:pPr>
              <w:spacing w:before="65" w:line="228" w:lineRule="auto"/>
              <w:ind w:left="116"/>
              <w:rPr>
                <w:rFonts w:ascii="宋体" w:hAnsi="宋体" w:eastAsia="宋体" w:cs="宋体"/>
                <w:sz w:val="20"/>
                <w:szCs w:val="20"/>
              </w:rPr>
            </w:pPr>
            <w:r>
              <w:rPr>
                <w:rFonts w:ascii="宋体" w:hAnsi="宋体" w:eastAsia="宋体" w:cs="宋体"/>
                <w:spacing w:val="8"/>
                <w:sz w:val="20"/>
                <w:szCs w:val="20"/>
              </w:rPr>
              <w:t>投资较大，</w:t>
            </w:r>
            <w:r>
              <w:rPr>
                <w:rFonts w:ascii="宋体" w:hAnsi="宋体" w:eastAsia="宋体" w:cs="宋体"/>
                <w:spacing w:val="7"/>
                <w:sz w:val="20"/>
                <w:szCs w:val="20"/>
              </w:rPr>
              <w:t>后</w:t>
            </w:r>
          </w:p>
          <w:p w14:paraId="722CA7BB">
            <w:pPr>
              <w:spacing w:before="24" w:line="228" w:lineRule="auto"/>
              <w:ind w:left="116"/>
              <w:rPr>
                <w:rFonts w:ascii="宋体" w:hAnsi="宋体" w:eastAsia="宋体" w:cs="宋体"/>
                <w:sz w:val="20"/>
                <w:szCs w:val="20"/>
              </w:rPr>
            </w:pPr>
            <w:r>
              <w:rPr>
                <w:rFonts w:ascii="宋体" w:hAnsi="宋体" w:eastAsia="宋体" w:cs="宋体"/>
                <w:spacing w:val="8"/>
                <w:sz w:val="20"/>
                <w:szCs w:val="20"/>
              </w:rPr>
              <w:t>期运营维护</w:t>
            </w:r>
            <w:r>
              <w:rPr>
                <w:rFonts w:ascii="宋体" w:hAnsi="宋体" w:eastAsia="宋体" w:cs="宋体"/>
                <w:spacing w:val="7"/>
                <w:sz w:val="20"/>
                <w:szCs w:val="20"/>
              </w:rPr>
              <w:t>成</w:t>
            </w:r>
          </w:p>
          <w:p w14:paraId="362BAB98">
            <w:pPr>
              <w:spacing w:before="26" w:line="227" w:lineRule="auto"/>
              <w:ind w:left="535"/>
              <w:rPr>
                <w:rFonts w:ascii="宋体" w:hAnsi="宋体" w:eastAsia="宋体" w:cs="宋体"/>
                <w:sz w:val="20"/>
                <w:szCs w:val="20"/>
              </w:rPr>
            </w:pPr>
            <w:r>
              <w:rPr>
                <w:rFonts w:ascii="宋体" w:hAnsi="宋体" w:eastAsia="宋体" w:cs="宋体"/>
                <w:spacing w:val="4"/>
                <w:sz w:val="20"/>
                <w:szCs w:val="20"/>
              </w:rPr>
              <w:t>本高</w:t>
            </w:r>
          </w:p>
        </w:tc>
        <w:tc>
          <w:tcPr>
            <w:tcW w:w="1119" w:type="dxa"/>
          </w:tcPr>
          <w:p w14:paraId="4462A708">
            <w:pPr>
              <w:spacing w:line="256" w:lineRule="auto"/>
            </w:pPr>
          </w:p>
          <w:p w14:paraId="17AEBC52">
            <w:pPr>
              <w:spacing w:line="256" w:lineRule="auto"/>
            </w:pPr>
          </w:p>
          <w:p w14:paraId="257B442C">
            <w:pPr>
              <w:spacing w:before="65" w:line="265" w:lineRule="auto"/>
              <w:ind w:left="355" w:right="34" w:hanging="297"/>
              <w:rPr>
                <w:rFonts w:ascii="宋体" w:hAnsi="宋体" w:eastAsia="宋体" w:cs="宋体"/>
                <w:sz w:val="20"/>
                <w:szCs w:val="20"/>
              </w:rPr>
            </w:pPr>
            <w:r>
              <w:rPr>
                <w:rFonts w:ascii="宋体" w:hAnsi="宋体" w:eastAsia="宋体" w:cs="宋体"/>
                <w:spacing w:val="4"/>
                <w:sz w:val="20"/>
                <w:szCs w:val="20"/>
              </w:rPr>
              <w:t>同达标排放</w:t>
            </w:r>
            <w:r>
              <w:rPr>
                <w:rFonts w:ascii="宋体" w:hAnsi="宋体" w:eastAsia="宋体" w:cs="宋体"/>
                <w:sz w:val="20"/>
                <w:szCs w:val="20"/>
              </w:rPr>
              <w:t xml:space="preserve"> </w:t>
            </w:r>
            <w:r>
              <w:rPr>
                <w:rFonts w:ascii="宋体" w:hAnsi="宋体" w:eastAsia="宋体" w:cs="宋体"/>
                <w:spacing w:val="4"/>
                <w:sz w:val="20"/>
                <w:szCs w:val="20"/>
              </w:rPr>
              <w:t>方案</w:t>
            </w:r>
          </w:p>
        </w:tc>
        <w:tc>
          <w:tcPr>
            <w:tcW w:w="1125" w:type="dxa"/>
            <w:tcBorders>
              <w:right w:val="nil"/>
            </w:tcBorders>
          </w:tcPr>
          <w:p w14:paraId="04F3102C">
            <w:pPr>
              <w:spacing w:line="256" w:lineRule="auto"/>
            </w:pPr>
          </w:p>
          <w:p w14:paraId="7BC026B2">
            <w:pPr>
              <w:spacing w:line="256" w:lineRule="auto"/>
            </w:pPr>
          </w:p>
          <w:p w14:paraId="15997C25">
            <w:pPr>
              <w:spacing w:before="65" w:line="265" w:lineRule="auto"/>
              <w:ind w:left="253" w:right="144" w:hanging="85"/>
              <w:rPr>
                <w:rFonts w:ascii="宋体" w:hAnsi="宋体" w:eastAsia="宋体" w:cs="宋体"/>
                <w:sz w:val="20"/>
                <w:szCs w:val="20"/>
              </w:rPr>
            </w:pPr>
            <w:r>
              <w:rPr>
                <w:rFonts w:ascii="宋体" w:hAnsi="宋体" w:eastAsia="宋体" w:cs="宋体"/>
                <w:spacing w:val="3"/>
                <w:sz w:val="20"/>
                <w:szCs w:val="20"/>
              </w:rPr>
              <w:t>同</w:t>
            </w:r>
            <w:r>
              <w:rPr>
                <w:rFonts w:ascii="宋体" w:hAnsi="宋体" w:eastAsia="宋体" w:cs="宋体"/>
                <w:spacing w:val="2"/>
                <w:sz w:val="20"/>
                <w:szCs w:val="20"/>
              </w:rPr>
              <w:t>达标排</w:t>
            </w:r>
            <w:r>
              <w:rPr>
                <w:rFonts w:ascii="宋体" w:hAnsi="宋体" w:eastAsia="宋体" w:cs="宋体"/>
                <w:sz w:val="20"/>
                <w:szCs w:val="20"/>
              </w:rPr>
              <w:t xml:space="preserve"> </w:t>
            </w:r>
            <w:r>
              <w:rPr>
                <w:rFonts w:ascii="宋体" w:hAnsi="宋体" w:eastAsia="宋体" w:cs="宋体"/>
                <w:spacing w:val="7"/>
                <w:sz w:val="20"/>
                <w:szCs w:val="20"/>
              </w:rPr>
              <w:t>放方</w:t>
            </w:r>
            <w:r>
              <w:rPr>
                <w:rFonts w:ascii="宋体" w:hAnsi="宋体" w:eastAsia="宋体" w:cs="宋体"/>
                <w:spacing w:val="6"/>
                <w:sz w:val="20"/>
                <w:szCs w:val="20"/>
              </w:rPr>
              <w:t>案</w:t>
            </w:r>
          </w:p>
        </w:tc>
      </w:tr>
    </w:tbl>
    <w:p w14:paraId="6F5AF351">
      <w:pPr>
        <w:spacing w:before="35" w:line="227" w:lineRule="auto"/>
        <w:ind w:left="552"/>
        <w:rPr>
          <w:rFonts w:ascii="宋体" w:hAnsi="宋体" w:eastAsia="宋体" w:cs="宋体"/>
          <w:sz w:val="23"/>
          <w:szCs w:val="23"/>
        </w:rPr>
      </w:pPr>
      <w:r>
        <w:rPr>
          <w:rFonts w:ascii="宋体" w:hAnsi="宋体" w:eastAsia="宋体" w:cs="宋体"/>
          <w:spacing w:val="15"/>
          <w:sz w:val="23"/>
          <w:szCs w:val="23"/>
          <w:u w:val="single"/>
          <w14:textOutline w14:w="4356" w14:cap="sq" w14:cmpd="sng" w14:algn="ctr">
            <w14:solidFill>
              <w14:srgbClr w14:val="000000"/>
            </w14:solidFill>
            <w14:prstDash w14:val="solid"/>
            <w14:bevel/>
          </w14:textOutline>
        </w:rPr>
        <w:t>清</w:t>
      </w:r>
      <w:r>
        <w:rPr>
          <w:rFonts w:ascii="宋体" w:hAnsi="宋体" w:eastAsia="宋体" w:cs="宋体"/>
          <w:spacing w:val="9"/>
          <w:sz w:val="23"/>
          <w:szCs w:val="23"/>
          <w:u w:val="single"/>
          <w14:textOutline w14:w="4356" w14:cap="sq" w14:cmpd="sng" w14:algn="ctr">
            <w14:solidFill>
              <w14:srgbClr w14:val="000000"/>
            </w14:solidFill>
            <w14:prstDash w14:val="solid"/>
            <w14:bevel/>
          </w14:textOutline>
        </w:rPr>
        <w:t>粪工艺的先进性：</w:t>
      </w:r>
    </w:p>
    <w:p w14:paraId="0F356563">
      <w:pPr>
        <w:spacing w:before="183" w:line="375" w:lineRule="auto"/>
        <w:ind w:left="72" w:right="61" w:firstLine="480"/>
        <w:rPr>
          <w:rFonts w:ascii="宋体" w:hAnsi="宋体" w:eastAsia="宋体" w:cs="宋体"/>
          <w:sz w:val="23"/>
          <w:szCs w:val="23"/>
        </w:rPr>
      </w:pPr>
      <w:r>
        <w:rPr>
          <w:rFonts w:ascii="宋体" w:hAnsi="宋体" w:eastAsia="宋体" w:cs="宋体"/>
          <w:spacing w:val="7"/>
          <w:sz w:val="23"/>
          <w:szCs w:val="23"/>
        </w:rPr>
        <w:t>本项目清粪工艺采用生态垫料养殖工艺，原理是按一定比例混合秸杆、锯末屑等作为</w:t>
      </w:r>
      <w:r>
        <w:rPr>
          <w:rFonts w:ascii="宋体" w:hAnsi="宋体" w:eastAsia="宋体" w:cs="宋体"/>
          <w:spacing w:val="5"/>
          <w:sz w:val="23"/>
          <w:szCs w:val="23"/>
        </w:rPr>
        <w:t>猪</w:t>
      </w:r>
      <w:r>
        <w:rPr>
          <w:rFonts w:ascii="宋体" w:hAnsi="宋体" w:eastAsia="宋体" w:cs="宋体"/>
          <w:sz w:val="23"/>
          <w:szCs w:val="23"/>
        </w:rPr>
        <w:t xml:space="preserve"> </w:t>
      </w:r>
      <w:r>
        <w:rPr>
          <w:rFonts w:ascii="宋体" w:hAnsi="宋体" w:eastAsia="宋体" w:cs="宋体"/>
          <w:spacing w:val="12"/>
          <w:sz w:val="23"/>
          <w:szCs w:val="23"/>
        </w:rPr>
        <w:t>舍</w:t>
      </w:r>
      <w:r>
        <w:rPr>
          <w:rFonts w:ascii="宋体" w:hAnsi="宋体" w:eastAsia="宋体" w:cs="宋体"/>
          <w:spacing w:val="7"/>
          <w:sz w:val="23"/>
          <w:szCs w:val="23"/>
        </w:rPr>
        <w:t>的垫料，再利用生猪的拱翻习性使猪粪、尿和垫料充分混合，通过垫料的分解发酵，使猪</w:t>
      </w:r>
      <w:r>
        <w:rPr>
          <w:rFonts w:ascii="宋体" w:hAnsi="宋体" w:eastAsia="宋体" w:cs="宋体"/>
          <w:sz w:val="23"/>
          <w:szCs w:val="23"/>
        </w:rPr>
        <w:t xml:space="preserve"> </w:t>
      </w:r>
      <w:r>
        <w:rPr>
          <w:rFonts w:ascii="宋体" w:hAnsi="宋体" w:eastAsia="宋体" w:cs="宋体"/>
          <w:spacing w:val="12"/>
          <w:sz w:val="23"/>
          <w:szCs w:val="23"/>
        </w:rPr>
        <w:t>粪</w:t>
      </w:r>
      <w:r>
        <w:rPr>
          <w:rFonts w:ascii="宋体" w:hAnsi="宋体" w:eastAsia="宋体" w:cs="宋体"/>
          <w:spacing w:val="7"/>
          <w:sz w:val="23"/>
          <w:szCs w:val="23"/>
        </w:rPr>
        <w:t>、尿中的有机物质得到充分的分解和转化的养殖工艺。能将粪水全部转换成可利用的有机</w:t>
      </w:r>
      <w:r>
        <w:rPr>
          <w:rFonts w:ascii="宋体" w:hAnsi="宋体" w:eastAsia="宋体" w:cs="宋体"/>
          <w:sz w:val="23"/>
          <w:szCs w:val="23"/>
        </w:rPr>
        <w:t xml:space="preserve"> </w:t>
      </w:r>
      <w:r>
        <w:rPr>
          <w:rFonts w:ascii="宋体" w:hAnsi="宋体" w:eastAsia="宋体" w:cs="宋体"/>
          <w:spacing w:val="12"/>
          <w:sz w:val="23"/>
          <w:szCs w:val="23"/>
        </w:rPr>
        <w:t>肥</w:t>
      </w:r>
      <w:r>
        <w:rPr>
          <w:rFonts w:ascii="宋体" w:hAnsi="宋体" w:eastAsia="宋体" w:cs="宋体"/>
          <w:spacing w:val="8"/>
          <w:sz w:val="23"/>
          <w:szCs w:val="23"/>
        </w:rPr>
        <w:t>，全部实现废水零排放。</w:t>
      </w:r>
    </w:p>
    <w:p w14:paraId="0E7F3D4B">
      <w:pPr>
        <w:spacing w:line="227" w:lineRule="auto"/>
        <w:ind w:left="70"/>
        <w:outlineLvl w:val="3"/>
        <w:rPr>
          <w:rFonts w:ascii="宋体" w:hAnsi="宋体" w:eastAsia="宋体" w:cs="宋体"/>
          <w:sz w:val="23"/>
          <w:szCs w:val="23"/>
        </w:rPr>
      </w:pPr>
      <w:r>
        <w:rPr>
          <w:rFonts w:ascii="Times New Roman" w:hAnsi="Times New Roman" w:eastAsia="Times New Roman" w:cs="Times New Roman"/>
          <w:b/>
          <w:bCs/>
          <w:spacing w:val="6"/>
          <w:sz w:val="23"/>
          <w:szCs w:val="23"/>
        </w:rPr>
        <w:t>7</w:t>
      </w:r>
      <w:r>
        <w:rPr>
          <w:rFonts w:ascii="Times New Roman" w:hAnsi="Times New Roman" w:eastAsia="Times New Roman" w:cs="Times New Roman"/>
          <w:b/>
          <w:bCs/>
          <w:spacing w:val="5"/>
          <w:sz w:val="23"/>
          <w:szCs w:val="23"/>
        </w:rPr>
        <w:t>.2.1.2</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生产设备</w:t>
      </w:r>
    </w:p>
    <w:p w14:paraId="425F0DCF">
      <w:pPr>
        <w:spacing w:before="182" w:line="376" w:lineRule="auto"/>
        <w:ind w:left="71" w:right="61" w:firstLine="480"/>
        <w:rPr>
          <w:rFonts w:ascii="宋体" w:hAnsi="宋体" w:eastAsia="宋体" w:cs="宋体"/>
          <w:sz w:val="23"/>
          <w:szCs w:val="23"/>
        </w:rPr>
      </w:pPr>
      <w:r>
        <w:rPr>
          <w:rFonts w:ascii="宋体" w:hAnsi="宋体" w:eastAsia="宋体" w:cs="宋体"/>
          <w:spacing w:val="7"/>
          <w:sz w:val="23"/>
          <w:szCs w:val="23"/>
        </w:rPr>
        <w:t>饲养设备包括各类喂料、饮水、猪舍环境控制、电视监控系统等一系列配套的全自动</w:t>
      </w:r>
      <w:r>
        <w:rPr>
          <w:rFonts w:ascii="宋体" w:hAnsi="宋体" w:eastAsia="宋体" w:cs="宋体"/>
          <w:spacing w:val="6"/>
          <w:sz w:val="23"/>
          <w:szCs w:val="23"/>
        </w:rPr>
        <w:t>专</w:t>
      </w:r>
      <w:r>
        <w:rPr>
          <w:rFonts w:ascii="宋体" w:hAnsi="宋体" w:eastAsia="宋体" w:cs="宋体"/>
          <w:sz w:val="23"/>
          <w:szCs w:val="23"/>
        </w:rPr>
        <w:t xml:space="preserve"> </w:t>
      </w:r>
      <w:r>
        <w:rPr>
          <w:rFonts w:ascii="宋体" w:hAnsi="宋体" w:eastAsia="宋体" w:cs="宋体"/>
          <w:spacing w:val="-1"/>
          <w:sz w:val="23"/>
          <w:szCs w:val="23"/>
        </w:rPr>
        <w:t>业设备等</w:t>
      </w:r>
      <w:r>
        <w:rPr>
          <w:rFonts w:ascii="宋体" w:hAnsi="宋体" w:eastAsia="宋体" w:cs="宋体"/>
          <w:sz w:val="23"/>
          <w:szCs w:val="23"/>
        </w:rPr>
        <w:t>， 自动化水平较高。</w:t>
      </w:r>
    </w:p>
    <w:p w14:paraId="53A19471">
      <w:pPr>
        <w:spacing w:line="226" w:lineRule="auto"/>
        <w:ind w:left="70"/>
        <w:outlineLvl w:val="3"/>
        <w:rPr>
          <w:rFonts w:ascii="宋体" w:hAnsi="宋体" w:eastAsia="宋体" w:cs="宋体"/>
          <w:sz w:val="23"/>
          <w:szCs w:val="23"/>
        </w:rPr>
      </w:pPr>
      <w:r>
        <w:rPr>
          <w:rFonts w:ascii="Times New Roman" w:hAnsi="Times New Roman" w:eastAsia="Times New Roman" w:cs="Times New Roman"/>
          <w:b/>
          <w:bCs/>
          <w:spacing w:val="14"/>
          <w:sz w:val="23"/>
          <w:szCs w:val="23"/>
        </w:rPr>
        <w:t>7.</w:t>
      </w:r>
      <w:r>
        <w:rPr>
          <w:rFonts w:ascii="Times New Roman" w:hAnsi="Times New Roman" w:eastAsia="Times New Roman" w:cs="Times New Roman"/>
          <w:b/>
          <w:bCs/>
          <w:spacing w:val="11"/>
          <w:sz w:val="23"/>
          <w:szCs w:val="23"/>
        </w:rPr>
        <w:t>2</w:t>
      </w:r>
      <w:r>
        <w:rPr>
          <w:rFonts w:ascii="Times New Roman" w:hAnsi="Times New Roman" w:eastAsia="Times New Roman" w:cs="Times New Roman"/>
          <w:b/>
          <w:bCs/>
          <w:spacing w:val="7"/>
          <w:sz w:val="23"/>
          <w:szCs w:val="23"/>
        </w:rPr>
        <w:t>.1.3</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本项目生产工艺和设备先进性分析</w:t>
      </w:r>
    </w:p>
    <w:p w14:paraId="78C88F82">
      <w:pPr>
        <w:spacing w:before="183" w:line="227" w:lineRule="auto"/>
        <w:ind w:left="553"/>
        <w:rPr>
          <w:rFonts w:ascii="宋体" w:hAnsi="宋体" w:eastAsia="宋体" w:cs="宋体"/>
          <w:sz w:val="23"/>
          <w:szCs w:val="23"/>
        </w:rPr>
      </w:pPr>
      <w:r>
        <w:rPr>
          <w:rFonts w:ascii="宋体" w:hAnsi="宋体" w:eastAsia="宋体" w:cs="宋体"/>
          <w:spacing w:val="12"/>
          <w:sz w:val="23"/>
          <w:szCs w:val="23"/>
        </w:rPr>
        <w:t>本项</w:t>
      </w:r>
      <w:r>
        <w:rPr>
          <w:rFonts w:ascii="宋体" w:hAnsi="宋体" w:eastAsia="宋体" w:cs="宋体"/>
          <w:spacing w:val="10"/>
          <w:sz w:val="23"/>
          <w:szCs w:val="23"/>
        </w:rPr>
        <w:t>目</w:t>
      </w:r>
      <w:r>
        <w:rPr>
          <w:rFonts w:ascii="宋体" w:hAnsi="宋体" w:eastAsia="宋体" w:cs="宋体"/>
          <w:spacing w:val="6"/>
          <w:sz w:val="23"/>
          <w:szCs w:val="23"/>
        </w:rPr>
        <w:t xml:space="preserve">生产工艺和设备水平上处于国际领先水平。具体见表 </w:t>
      </w:r>
      <w:r>
        <w:rPr>
          <w:rFonts w:ascii="Times New Roman" w:hAnsi="Times New Roman" w:eastAsia="Times New Roman" w:cs="Times New Roman"/>
          <w:spacing w:val="6"/>
          <w:sz w:val="23"/>
          <w:szCs w:val="23"/>
        </w:rPr>
        <w:t>7.2-2</w:t>
      </w:r>
      <w:r>
        <w:rPr>
          <w:rFonts w:ascii="宋体" w:hAnsi="宋体" w:eastAsia="宋体" w:cs="宋体"/>
          <w:spacing w:val="6"/>
          <w:sz w:val="23"/>
          <w:szCs w:val="23"/>
        </w:rPr>
        <w:t>。</w:t>
      </w:r>
    </w:p>
    <w:p w14:paraId="413673F9">
      <w:pPr>
        <w:sectPr>
          <w:headerReference r:id="rId274" w:type="default"/>
          <w:footerReference r:id="rId275" w:type="default"/>
          <w:pgSz w:w="11906" w:h="16839"/>
          <w:pgMar w:top="400" w:right="1073" w:bottom="1157" w:left="1214" w:header="0" w:footer="994" w:gutter="0"/>
          <w:cols w:space="720" w:num="1"/>
        </w:sectPr>
      </w:pPr>
    </w:p>
    <w:p w14:paraId="610BFA23">
      <w:pPr>
        <w:spacing w:before="198" w:line="221" w:lineRule="auto"/>
        <w:ind w:left="2548"/>
        <w:rPr>
          <w:rFonts w:ascii="黑体" w:hAnsi="黑体" w:eastAsia="黑体" w:cs="黑体"/>
          <w:sz w:val="23"/>
          <w:szCs w:val="23"/>
        </w:rPr>
      </w:pPr>
      <w:r>
        <w:rPr>
          <w:rFonts w:ascii="黑体" w:hAnsi="黑体" w:eastAsia="黑体" w:cs="黑体"/>
          <w:spacing w:val="8"/>
          <w:sz w:val="23"/>
          <w:szCs w:val="23"/>
        </w:rPr>
        <w:t xml:space="preserve">表 </w:t>
      </w:r>
      <w:r>
        <w:rPr>
          <w:rFonts w:ascii="Times New Roman" w:hAnsi="Times New Roman" w:eastAsia="Times New Roman" w:cs="Times New Roman"/>
          <w:spacing w:val="8"/>
          <w:sz w:val="23"/>
          <w:szCs w:val="23"/>
        </w:rPr>
        <w:t>7.</w:t>
      </w:r>
      <w:r>
        <w:rPr>
          <w:rFonts w:ascii="Times New Roman" w:hAnsi="Times New Roman" w:eastAsia="Times New Roman" w:cs="Times New Roman"/>
          <w:spacing w:val="5"/>
          <w:sz w:val="23"/>
          <w:szCs w:val="23"/>
        </w:rPr>
        <w:t>2</w:t>
      </w:r>
      <w:r>
        <w:rPr>
          <w:rFonts w:ascii="Times New Roman" w:hAnsi="Times New Roman" w:eastAsia="Times New Roman" w:cs="Times New Roman"/>
          <w:spacing w:val="4"/>
          <w:sz w:val="23"/>
          <w:szCs w:val="23"/>
        </w:rPr>
        <w:t xml:space="preserve">-2    </w:t>
      </w:r>
      <w:r>
        <w:rPr>
          <w:rFonts w:ascii="黑体" w:hAnsi="黑体" w:eastAsia="黑体" w:cs="黑体"/>
          <w:spacing w:val="4"/>
          <w:sz w:val="23"/>
          <w:szCs w:val="23"/>
        </w:rPr>
        <w:t>本项目生产工艺与装备先进性分析</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4"/>
        <w:gridCol w:w="1184"/>
        <w:gridCol w:w="3924"/>
        <w:gridCol w:w="3900"/>
      </w:tblGrid>
      <w:tr w14:paraId="2768FF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4" w:type="dxa"/>
            <w:tcBorders>
              <w:left w:val="nil"/>
            </w:tcBorders>
          </w:tcPr>
          <w:p w14:paraId="2387F306">
            <w:pPr>
              <w:spacing w:before="161" w:line="229" w:lineRule="auto"/>
              <w:ind w:left="149"/>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1184" w:type="dxa"/>
          </w:tcPr>
          <w:p w14:paraId="3182ECA5">
            <w:pPr>
              <w:spacing w:before="161" w:line="228" w:lineRule="auto"/>
              <w:ind w:left="178"/>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相</w:t>
            </w:r>
            <w:r>
              <w:rPr>
                <w:rFonts w:ascii="宋体" w:hAnsi="宋体" w:eastAsia="宋体" w:cs="宋体"/>
                <w:spacing w:val="8"/>
                <w:sz w:val="20"/>
                <w:szCs w:val="20"/>
                <w14:textOutline w14:w="3797" w14:cap="sq" w14:cmpd="sng" w14:algn="ctr">
                  <w14:solidFill>
                    <w14:srgbClr w14:val="000000"/>
                  </w14:solidFill>
                  <w14:prstDash w14:val="solid"/>
                  <w14:bevel/>
                </w14:textOutline>
              </w:rPr>
              <w:t>关系统</w:t>
            </w:r>
          </w:p>
        </w:tc>
        <w:tc>
          <w:tcPr>
            <w:tcW w:w="3924" w:type="dxa"/>
          </w:tcPr>
          <w:p w14:paraId="06BD4A04">
            <w:pPr>
              <w:spacing w:before="161" w:line="227" w:lineRule="auto"/>
              <w:ind w:left="1234"/>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本</w:t>
            </w:r>
            <w:r>
              <w:rPr>
                <w:rFonts w:ascii="宋体" w:hAnsi="宋体" w:eastAsia="宋体" w:cs="宋体"/>
                <w:spacing w:val="9"/>
                <w:sz w:val="20"/>
                <w:szCs w:val="20"/>
                <w14:textOutline w14:w="3797" w14:cap="sq" w14:cmpd="sng" w14:algn="ctr">
                  <w14:solidFill>
                    <w14:srgbClr w14:val="000000"/>
                  </w14:solidFill>
                  <w14:prstDash w14:val="solid"/>
                  <w14:bevel/>
                </w14:textOutline>
              </w:rPr>
              <w:t>项目所用工艺</w:t>
            </w:r>
          </w:p>
        </w:tc>
        <w:tc>
          <w:tcPr>
            <w:tcW w:w="3900" w:type="dxa"/>
            <w:tcBorders>
              <w:right w:val="nil"/>
            </w:tcBorders>
          </w:tcPr>
          <w:p w14:paraId="26CD274A">
            <w:pPr>
              <w:spacing w:before="161" w:line="228" w:lineRule="auto"/>
              <w:ind w:left="1645"/>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先</w:t>
            </w:r>
            <w:r>
              <w:rPr>
                <w:rFonts w:ascii="宋体" w:hAnsi="宋体" w:eastAsia="宋体" w:cs="宋体"/>
                <w:spacing w:val="6"/>
                <w:sz w:val="20"/>
                <w:szCs w:val="20"/>
                <w14:textOutline w14:w="3797" w14:cap="sq" w14:cmpd="sng" w14:algn="ctr">
                  <w14:solidFill>
                    <w14:srgbClr w14:val="000000"/>
                  </w14:solidFill>
                  <w14:prstDash w14:val="solid"/>
                  <w14:bevel/>
                </w14:textOutline>
              </w:rPr>
              <w:t>进性</w:t>
            </w:r>
          </w:p>
        </w:tc>
      </w:tr>
      <w:tr w14:paraId="45728F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704" w:type="dxa"/>
            <w:tcBorders>
              <w:left w:val="nil"/>
            </w:tcBorders>
          </w:tcPr>
          <w:p w14:paraId="0217EAE6">
            <w:pPr>
              <w:spacing w:before="253" w:line="195" w:lineRule="auto"/>
              <w:ind w:left="322"/>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184" w:type="dxa"/>
          </w:tcPr>
          <w:p w14:paraId="6A9B2190">
            <w:pPr>
              <w:spacing w:before="215" w:line="228" w:lineRule="auto"/>
              <w:ind w:left="180"/>
              <w:rPr>
                <w:rFonts w:ascii="宋体" w:hAnsi="宋体" w:eastAsia="宋体" w:cs="宋体"/>
                <w:sz w:val="20"/>
                <w:szCs w:val="20"/>
              </w:rPr>
            </w:pPr>
            <w:r>
              <w:rPr>
                <w:rFonts w:ascii="宋体" w:hAnsi="宋体" w:eastAsia="宋体" w:cs="宋体"/>
                <w:spacing w:val="7"/>
                <w:sz w:val="20"/>
                <w:szCs w:val="20"/>
              </w:rPr>
              <w:t>上料系</w:t>
            </w:r>
            <w:r>
              <w:rPr>
                <w:rFonts w:ascii="宋体" w:hAnsi="宋体" w:eastAsia="宋体" w:cs="宋体"/>
                <w:spacing w:val="6"/>
                <w:sz w:val="20"/>
                <w:szCs w:val="20"/>
              </w:rPr>
              <w:t>统</w:t>
            </w:r>
          </w:p>
        </w:tc>
        <w:tc>
          <w:tcPr>
            <w:tcW w:w="3924" w:type="dxa"/>
          </w:tcPr>
          <w:p w14:paraId="5C63915E">
            <w:pPr>
              <w:spacing w:before="56" w:line="261" w:lineRule="auto"/>
              <w:ind w:left="602" w:right="108" w:hanging="488"/>
              <w:rPr>
                <w:rFonts w:ascii="宋体" w:hAnsi="宋体" w:eastAsia="宋体" w:cs="宋体"/>
                <w:sz w:val="20"/>
                <w:szCs w:val="20"/>
              </w:rPr>
            </w:pPr>
            <w:r>
              <w:rPr>
                <w:rFonts w:ascii="宋体" w:hAnsi="宋体" w:eastAsia="宋体" w:cs="宋体"/>
                <w:spacing w:val="10"/>
                <w:sz w:val="20"/>
                <w:szCs w:val="20"/>
              </w:rPr>
              <w:t>用</w:t>
            </w:r>
            <w:r>
              <w:rPr>
                <w:rFonts w:ascii="宋体" w:hAnsi="宋体" w:eastAsia="宋体" w:cs="宋体"/>
                <w:spacing w:val="5"/>
                <w:sz w:val="20"/>
                <w:szCs w:val="20"/>
              </w:rPr>
              <w:t>全自动配送上料系统和限位猪槽，机械</w:t>
            </w:r>
            <w:r>
              <w:rPr>
                <w:rFonts w:ascii="宋体" w:hAnsi="宋体" w:eastAsia="宋体" w:cs="宋体"/>
                <w:sz w:val="20"/>
                <w:szCs w:val="20"/>
              </w:rPr>
              <w:t xml:space="preserve"> </w:t>
            </w:r>
            <w:r>
              <w:rPr>
                <w:rFonts w:ascii="宋体" w:hAnsi="宋体" w:eastAsia="宋体" w:cs="宋体"/>
                <w:spacing w:val="12"/>
                <w:sz w:val="20"/>
                <w:szCs w:val="20"/>
              </w:rPr>
              <w:t>化</w:t>
            </w:r>
            <w:r>
              <w:rPr>
                <w:rFonts w:ascii="宋体" w:hAnsi="宋体" w:eastAsia="宋体" w:cs="宋体"/>
                <w:spacing w:val="8"/>
                <w:sz w:val="20"/>
                <w:szCs w:val="20"/>
              </w:rPr>
              <w:t>操作，定时定量供应饲料。</w:t>
            </w:r>
          </w:p>
        </w:tc>
        <w:tc>
          <w:tcPr>
            <w:tcW w:w="3900" w:type="dxa"/>
            <w:tcBorders>
              <w:right w:val="nil"/>
            </w:tcBorders>
          </w:tcPr>
          <w:p w14:paraId="72CC9DE2">
            <w:pPr>
              <w:spacing w:before="57" w:line="228" w:lineRule="auto"/>
              <w:ind w:left="111"/>
              <w:rPr>
                <w:rFonts w:ascii="宋体" w:hAnsi="宋体" w:eastAsia="宋体" w:cs="宋体"/>
                <w:sz w:val="20"/>
                <w:szCs w:val="20"/>
              </w:rPr>
            </w:pPr>
            <w:r>
              <w:rPr>
                <w:rFonts w:ascii="宋体" w:hAnsi="宋体" w:eastAsia="宋体" w:cs="宋体"/>
                <w:spacing w:val="9"/>
                <w:sz w:val="20"/>
                <w:szCs w:val="20"/>
              </w:rPr>
              <w:t>在保证生猪饮食需求的同时，减少浪费</w:t>
            </w:r>
            <w:r>
              <w:rPr>
                <w:rFonts w:ascii="宋体" w:hAnsi="宋体" w:eastAsia="宋体" w:cs="宋体"/>
                <w:spacing w:val="8"/>
                <w:sz w:val="20"/>
                <w:szCs w:val="20"/>
              </w:rPr>
              <w:t>，</w:t>
            </w:r>
          </w:p>
          <w:p w14:paraId="2ED1E608">
            <w:pPr>
              <w:spacing w:before="71" w:line="228" w:lineRule="auto"/>
              <w:ind w:left="170"/>
              <w:rPr>
                <w:rFonts w:ascii="宋体" w:hAnsi="宋体" w:eastAsia="宋体" w:cs="宋体"/>
                <w:sz w:val="20"/>
                <w:szCs w:val="20"/>
              </w:rPr>
            </w:pPr>
            <w:r>
              <w:rPr>
                <w:rFonts w:ascii="宋体" w:hAnsi="宋体" w:eastAsia="宋体" w:cs="宋体"/>
                <w:spacing w:val="16"/>
                <w:sz w:val="20"/>
                <w:szCs w:val="20"/>
              </w:rPr>
              <w:t>节</w:t>
            </w:r>
            <w:r>
              <w:rPr>
                <w:rFonts w:ascii="宋体" w:hAnsi="宋体" w:eastAsia="宋体" w:cs="宋体"/>
                <w:spacing w:val="13"/>
                <w:sz w:val="20"/>
                <w:szCs w:val="20"/>
              </w:rPr>
              <w:t>约</w:t>
            </w:r>
            <w:r>
              <w:rPr>
                <w:rFonts w:ascii="宋体" w:hAnsi="宋体" w:eastAsia="宋体" w:cs="宋体"/>
                <w:spacing w:val="8"/>
                <w:sz w:val="20"/>
                <w:szCs w:val="20"/>
              </w:rPr>
              <w:t>人力和饲料用量，降低生产成本。</w:t>
            </w:r>
          </w:p>
        </w:tc>
      </w:tr>
      <w:tr w14:paraId="649F53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4" w:hRule="atLeast"/>
        </w:trPr>
        <w:tc>
          <w:tcPr>
            <w:tcW w:w="704" w:type="dxa"/>
            <w:tcBorders>
              <w:left w:val="nil"/>
            </w:tcBorders>
          </w:tcPr>
          <w:p w14:paraId="56F276B7">
            <w:pPr>
              <w:spacing w:line="256" w:lineRule="auto"/>
            </w:pPr>
          </w:p>
          <w:p w14:paraId="2EC13076">
            <w:pPr>
              <w:spacing w:line="257" w:lineRule="auto"/>
            </w:pPr>
          </w:p>
          <w:p w14:paraId="446CDA83">
            <w:pPr>
              <w:spacing w:before="57" w:line="195" w:lineRule="auto"/>
              <w:ind w:left="30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84" w:type="dxa"/>
          </w:tcPr>
          <w:p w14:paraId="1F079D8C">
            <w:pPr>
              <w:spacing w:line="467" w:lineRule="auto"/>
            </w:pPr>
          </w:p>
          <w:p w14:paraId="0233C20E">
            <w:pPr>
              <w:spacing w:before="65" w:line="228" w:lineRule="auto"/>
              <w:ind w:left="178"/>
              <w:rPr>
                <w:rFonts w:ascii="宋体" w:hAnsi="宋体" w:eastAsia="宋体" w:cs="宋体"/>
                <w:sz w:val="20"/>
                <w:szCs w:val="20"/>
              </w:rPr>
            </w:pPr>
            <w:r>
              <w:rPr>
                <w:rFonts w:ascii="宋体" w:hAnsi="宋体" w:eastAsia="宋体" w:cs="宋体"/>
                <w:spacing w:val="8"/>
                <w:sz w:val="20"/>
                <w:szCs w:val="20"/>
              </w:rPr>
              <w:t>饮</w:t>
            </w:r>
            <w:r>
              <w:rPr>
                <w:rFonts w:ascii="宋体" w:hAnsi="宋体" w:eastAsia="宋体" w:cs="宋体"/>
                <w:spacing w:val="7"/>
                <w:sz w:val="20"/>
                <w:szCs w:val="20"/>
              </w:rPr>
              <w:t>水系统</w:t>
            </w:r>
          </w:p>
        </w:tc>
        <w:tc>
          <w:tcPr>
            <w:tcW w:w="3924" w:type="dxa"/>
          </w:tcPr>
          <w:p w14:paraId="16A83D6C">
            <w:pPr>
              <w:spacing w:before="57" w:line="227" w:lineRule="auto"/>
              <w:ind w:left="111"/>
              <w:rPr>
                <w:rFonts w:ascii="宋体" w:hAnsi="宋体" w:eastAsia="宋体" w:cs="宋体"/>
                <w:sz w:val="20"/>
                <w:szCs w:val="20"/>
              </w:rPr>
            </w:pPr>
            <w:r>
              <w:rPr>
                <w:rFonts w:ascii="宋体" w:hAnsi="宋体" w:eastAsia="宋体" w:cs="宋体"/>
                <w:spacing w:val="9"/>
                <w:sz w:val="20"/>
                <w:szCs w:val="20"/>
              </w:rPr>
              <w:t>采用先进的水盘式饮水器，生猪饮水时</w:t>
            </w:r>
            <w:r>
              <w:rPr>
                <w:rFonts w:ascii="宋体" w:hAnsi="宋体" w:eastAsia="宋体" w:cs="宋体"/>
                <w:spacing w:val="8"/>
                <w:sz w:val="20"/>
                <w:szCs w:val="20"/>
              </w:rPr>
              <w:t>，</w:t>
            </w:r>
          </w:p>
          <w:p w14:paraId="4F4923C4">
            <w:pPr>
              <w:spacing w:before="72" w:line="228" w:lineRule="auto"/>
              <w:ind w:left="112"/>
              <w:rPr>
                <w:rFonts w:ascii="宋体" w:hAnsi="宋体" w:eastAsia="宋体" w:cs="宋体"/>
                <w:sz w:val="20"/>
                <w:szCs w:val="20"/>
              </w:rPr>
            </w:pPr>
            <w:r>
              <w:rPr>
                <w:rFonts w:ascii="宋体" w:hAnsi="宋体" w:eastAsia="宋体" w:cs="宋体"/>
                <w:spacing w:val="10"/>
                <w:sz w:val="20"/>
                <w:szCs w:val="20"/>
              </w:rPr>
              <w:t>饮水</w:t>
            </w:r>
            <w:r>
              <w:rPr>
                <w:rFonts w:ascii="宋体" w:hAnsi="宋体" w:eastAsia="宋体" w:cs="宋体"/>
                <w:spacing w:val="5"/>
                <w:sz w:val="20"/>
                <w:szCs w:val="20"/>
              </w:rPr>
              <w:t>器与空气接触，内部压力大于外部压</w:t>
            </w:r>
          </w:p>
          <w:p w14:paraId="43EDE447">
            <w:pPr>
              <w:spacing w:before="72" w:line="262" w:lineRule="auto"/>
              <w:ind w:left="600" w:right="108" w:hanging="484"/>
              <w:rPr>
                <w:rFonts w:ascii="宋体" w:hAnsi="宋体" w:eastAsia="宋体" w:cs="宋体"/>
                <w:sz w:val="20"/>
                <w:szCs w:val="20"/>
              </w:rPr>
            </w:pPr>
            <w:r>
              <w:rPr>
                <w:rFonts w:ascii="宋体" w:hAnsi="宋体" w:eastAsia="宋体" w:cs="宋体"/>
                <w:spacing w:val="9"/>
                <w:sz w:val="20"/>
                <w:szCs w:val="20"/>
              </w:rPr>
              <w:t>力</w:t>
            </w:r>
            <w:r>
              <w:rPr>
                <w:rFonts w:ascii="宋体" w:hAnsi="宋体" w:eastAsia="宋体" w:cs="宋体"/>
                <w:spacing w:val="5"/>
                <w:sz w:val="20"/>
                <w:szCs w:val="20"/>
              </w:rPr>
              <w:t>，水自动地从管内流出直至液面高度在</w:t>
            </w:r>
            <w:r>
              <w:rPr>
                <w:rFonts w:ascii="宋体" w:hAnsi="宋体" w:eastAsia="宋体" w:cs="宋体"/>
                <w:sz w:val="20"/>
                <w:szCs w:val="20"/>
              </w:rPr>
              <w:t xml:space="preserve"> </w:t>
            </w:r>
            <w:r>
              <w:rPr>
                <w:rFonts w:ascii="Times New Roman" w:hAnsi="Times New Roman" w:eastAsia="Times New Roman" w:cs="Times New Roman"/>
                <w:spacing w:val="16"/>
                <w:sz w:val="20"/>
                <w:szCs w:val="20"/>
              </w:rPr>
              <w:t>2</w:t>
            </w:r>
            <w:r>
              <w:rPr>
                <w:rFonts w:ascii="Times New Roman" w:hAnsi="Times New Roman" w:eastAsia="Times New Roman" w:cs="Times New Roman"/>
                <w:sz w:val="20"/>
                <w:szCs w:val="20"/>
              </w:rPr>
              <w:t>cm</w:t>
            </w:r>
            <w:r>
              <w:rPr>
                <w:rFonts w:ascii="Times New Roman" w:hAnsi="Times New Roman" w:eastAsia="Times New Roman" w:cs="Times New Roman"/>
                <w:spacing w:val="10"/>
                <w:sz w:val="20"/>
                <w:szCs w:val="20"/>
              </w:rPr>
              <w:t xml:space="preserve"> </w:t>
            </w:r>
            <w:r>
              <w:rPr>
                <w:rFonts w:ascii="宋体" w:hAnsi="宋体" w:eastAsia="宋体" w:cs="宋体"/>
                <w:spacing w:val="8"/>
                <w:sz w:val="20"/>
                <w:szCs w:val="20"/>
              </w:rPr>
              <w:t>时饮水器自动停止供水。</w:t>
            </w:r>
          </w:p>
        </w:tc>
        <w:tc>
          <w:tcPr>
            <w:tcW w:w="3900" w:type="dxa"/>
            <w:tcBorders>
              <w:right w:val="nil"/>
            </w:tcBorders>
          </w:tcPr>
          <w:p w14:paraId="185B5BFA">
            <w:pPr>
              <w:spacing w:line="311" w:lineRule="auto"/>
            </w:pPr>
          </w:p>
          <w:p w14:paraId="03E433AE">
            <w:pPr>
              <w:spacing w:before="65" w:line="307" w:lineRule="auto"/>
              <w:ind w:left="592" w:right="111" w:hanging="481"/>
              <w:rPr>
                <w:rFonts w:ascii="宋体" w:hAnsi="宋体" w:eastAsia="宋体" w:cs="宋体"/>
                <w:sz w:val="20"/>
                <w:szCs w:val="20"/>
              </w:rPr>
            </w:pPr>
            <w:r>
              <w:rPr>
                <w:rFonts w:ascii="宋体" w:hAnsi="宋体" w:eastAsia="宋体" w:cs="宋体"/>
                <w:spacing w:val="6"/>
                <w:sz w:val="20"/>
                <w:szCs w:val="20"/>
              </w:rPr>
              <w:t>在</w:t>
            </w:r>
            <w:r>
              <w:rPr>
                <w:rFonts w:ascii="宋体" w:hAnsi="宋体" w:eastAsia="宋体" w:cs="宋体"/>
                <w:spacing w:val="4"/>
                <w:sz w:val="20"/>
                <w:szCs w:val="20"/>
              </w:rPr>
              <w:t>保证生猪随时饮用新鲜水的同时，避免</w:t>
            </w:r>
            <w:r>
              <w:rPr>
                <w:rFonts w:ascii="宋体" w:hAnsi="宋体" w:eastAsia="宋体" w:cs="宋体"/>
                <w:sz w:val="20"/>
                <w:szCs w:val="20"/>
              </w:rPr>
              <w:t xml:space="preserve"> </w:t>
            </w:r>
            <w:r>
              <w:rPr>
                <w:rFonts w:ascii="宋体" w:hAnsi="宋体" w:eastAsia="宋体" w:cs="宋体"/>
                <w:spacing w:val="10"/>
                <w:sz w:val="20"/>
                <w:szCs w:val="20"/>
              </w:rPr>
              <w:t>不</w:t>
            </w:r>
            <w:r>
              <w:rPr>
                <w:rFonts w:ascii="宋体" w:hAnsi="宋体" w:eastAsia="宋体" w:cs="宋体"/>
                <w:spacing w:val="8"/>
                <w:sz w:val="20"/>
                <w:szCs w:val="20"/>
              </w:rPr>
              <w:t>必要的浪费，节约水资源。</w:t>
            </w:r>
          </w:p>
        </w:tc>
      </w:tr>
      <w:tr w14:paraId="26144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4" w:hRule="atLeast"/>
        </w:trPr>
        <w:tc>
          <w:tcPr>
            <w:tcW w:w="704" w:type="dxa"/>
            <w:tcBorders>
              <w:left w:val="nil"/>
            </w:tcBorders>
          </w:tcPr>
          <w:p w14:paraId="4F659FBF">
            <w:pPr>
              <w:spacing w:line="256" w:lineRule="auto"/>
            </w:pPr>
          </w:p>
          <w:p w14:paraId="08AE3AE1">
            <w:pPr>
              <w:spacing w:line="257" w:lineRule="auto"/>
            </w:pPr>
          </w:p>
          <w:p w14:paraId="1F159113">
            <w:pPr>
              <w:spacing w:before="57" w:line="195" w:lineRule="auto"/>
              <w:ind w:left="306"/>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184" w:type="dxa"/>
          </w:tcPr>
          <w:p w14:paraId="196B3662">
            <w:pPr>
              <w:spacing w:line="470" w:lineRule="auto"/>
            </w:pPr>
          </w:p>
          <w:p w14:paraId="41121515">
            <w:pPr>
              <w:spacing w:before="65" w:line="228" w:lineRule="auto"/>
              <w:ind w:left="177"/>
              <w:rPr>
                <w:rFonts w:ascii="宋体" w:hAnsi="宋体" w:eastAsia="宋体" w:cs="宋体"/>
                <w:sz w:val="20"/>
                <w:szCs w:val="20"/>
              </w:rPr>
            </w:pPr>
            <w:r>
              <w:rPr>
                <w:rFonts w:ascii="宋体" w:hAnsi="宋体" w:eastAsia="宋体" w:cs="宋体"/>
                <w:spacing w:val="9"/>
                <w:sz w:val="20"/>
                <w:szCs w:val="20"/>
              </w:rPr>
              <w:t>控</w:t>
            </w:r>
            <w:r>
              <w:rPr>
                <w:rFonts w:ascii="宋体" w:hAnsi="宋体" w:eastAsia="宋体" w:cs="宋体"/>
                <w:spacing w:val="7"/>
                <w:sz w:val="20"/>
                <w:szCs w:val="20"/>
              </w:rPr>
              <w:t>温系统</w:t>
            </w:r>
          </w:p>
        </w:tc>
        <w:tc>
          <w:tcPr>
            <w:tcW w:w="3924" w:type="dxa"/>
          </w:tcPr>
          <w:p w14:paraId="6DBFAB68">
            <w:pPr>
              <w:spacing w:line="311" w:lineRule="auto"/>
            </w:pPr>
          </w:p>
          <w:p w14:paraId="6D1F9A62">
            <w:pPr>
              <w:spacing w:before="65" w:line="307" w:lineRule="auto"/>
              <w:ind w:left="1021" w:right="106" w:hanging="909"/>
              <w:rPr>
                <w:rFonts w:ascii="宋体" w:hAnsi="宋体" w:eastAsia="宋体" w:cs="宋体"/>
                <w:sz w:val="20"/>
                <w:szCs w:val="20"/>
              </w:rPr>
            </w:pPr>
            <w:r>
              <w:rPr>
                <w:rFonts w:ascii="宋体" w:hAnsi="宋体" w:eastAsia="宋体" w:cs="宋体"/>
                <w:spacing w:val="10"/>
                <w:sz w:val="20"/>
                <w:szCs w:val="20"/>
              </w:rPr>
              <w:t>夏季</w:t>
            </w:r>
            <w:r>
              <w:rPr>
                <w:rFonts w:ascii="宋体" w:hAnsi="宋体" w:eastAsia="宋体" w:cs="宋体"/>
                <w:spacing w:val="5"/>
                <w:sz w:val="20"/>
                <w:szCs w:val="20"/>
              </w:rPr>
              <w:t>时猪舍使用水帘降温和通风，冬季墙</w:t>
            </w:r>
            <w:r>
              <w:rPr>
                <w:rFonts w:ascii="宋体" w:hAnsi="宋体" w:eastAsia="宋体" w:cs="宋体"/>
                <w:sz w:val="20"/>
                <w:szCs w:val="20"/>
              </w:rPr>
              <w:t xml:space="preserve"> </w:t>
            </w:r>
            <w:r>
              <w:rPr>
                <w:rFonts w:ascii="宋体" w:hAnsi="宋体" w:eastAsia="宋体" w:cs="宋体"/>
                <w:spacing w:val="13"/>
                <w:sz w:val="20"/>
                <w:szCs w:val="20"/>
              </w:rPr>
              <w:t>体</w:t>
            </w:r>
            <w:r>
              <w:rPr>
                <w:rFonts w:ascii="宋体" w:hAnsi="宋体" w:eastAsia="宋体" w:cs="宋体"/>
                <w:spacing w:val="7"/>
                <w:sz w:val="20"/>
                <w:szCs w:val="20"/>
              </w:rPr>
              <w:t>采用夹心保温板。</w:t>
            </w:r>
          </w:p>
        </w:tc>
        <w:tc>
          <w:tcPr>
            <w:tcW w:w="3900" w:type="dxa"/>
            <w:tcBorders>
              <w:right w:val="nil"/>
            </w:tcBorders>
          </w:tcPr>
          <w:p w14:paraId="70728720">
            <w:pPr>
              <w:spacing w:before="57" w:line="296" w:lineRule="auto"/>
              <w:ind w:left="113" w:right="63" w:hanging="1"/>
              <w:rPr>
                <w:rFonts w:ascii="宋体" w:hAnsi="宋体" w:eastAsia="宋体" w:cs="宋体"/>
                <w:sz w:val="20"/>
                <w:szCs w:val="20"/>
              </w:rPr>
            </w:pPr>
            <w:r>
              <w:rPr>
                <w:rFonts w:ascii="宋体" w:hAnsi="宋体" w:eastAsia="宋体" w:cs="宋体"/>
                <w:spacing w:val="12"/>
                <w:sz w:val="20"/>
                <w:szCs w:val="20"/>
              </w:rPr>
              <w:t>夏季</w:t>
            </w:r>
            <w:r>
              <w:rPr>
                <w:rFonts w:ascii="宋体" w:hAnsi="宋体" w:eastAsia="宋体" w:cs="宋体"/>
                <w:spacing w:val="6"/>
                <w:sz w:val="20"/>
                <w:szCs w:val="20"/>
              </w:rPr>
              <w:t>猪舍使用水帘风机进行降温和通风，</w:t>
            </w:r>
            <w:r>
              <w:rPr>
                <w:rFonts w:ascii="宋体" w:hAnsi="宋体" w:eastAsia="宋体" w:cs="宋体"/>
                <w:sz w:val="20"/>
                <w:szCs w:val="20"/>
              </w:rPr>
              <w:t xml:space="preserve"> </w:t>
            </w:r>
            <w:r>
              <w:rPr>
                <w:rFonts w:ascii="宋体" w:hAnsi="宋体" w:eastAsia="宋体" w:cs="宋体"/>
                <w:spacing w:val="4"/>
                <w:sz w:val="20"/>
                <w:szCs w:val="20"/>
              </w:rPr>
              <w:t>可有效保证猪舍内部空气流通顺畅，为</w:t>
            </w:r>
            <w:r>
              <w:rPr>
                <w:rFonts w:ascii="宋体" w:hAnsi="宋体" w:eastAsia="宋体" w:cs="宋体"/>
                <w:spacing w:val="3"/>
                <w:sz w:val="20"/>
                <w:szCs w:val="20"/>
              </w:rPr>
              <w:t>生</w:t>
            </w:r>
          </w:p>
          <w:p w14:paraId="74B6DB9F">
            <w:pPr>
              <w:spacing w:before="1" w:line="261" w:lineRule="auto"/>
              <w:ind w:left="485" w:right="166" w:hanging="315"/>
              <w:rPr>
                <w:rFonts w:ascii="宋体" w:hAnsi="宋体" w:eastAsia="宋体" w:cs="宋体"/>
                <w:sz w:val="20"/>
                <w:szCs w:val="20"/>
              </w:rPr>
            </w:pPr>
            <w:r>
              <w:rPr>
                <w:rFonts w:ascii="宋体" w:hAnsi="宋体" w:eastAsia="宋体" w:cs="宋体"/>
                <w:spacing w:val="16"/>
                <w:sz w:val="20"/>
                <w:szCs w:val="20"/>
              </w:rPr>
              <w:t>猪</w:t>
            </w:r>
            <w:r>
              <w:rPr>
                <w:rFonts w:ascii="宋体" w:hAnsi="宋体" w:eastAsia="宋体" w:cs="宋体"/>
                <w:spacing w:val="9"/>
                <w:sz w:val="20"/>
                <w:szCs w:val="20"/>
              </w:rPr>
              <w:t>提供一个温度和湿度适宜的饲养小环</w:t>
            </w:r>
            <w:r>
              <w:rPr>
                <w:rFonts w:ascii="宋体" w:hAnsi="宋体" w:eastAsia="宋体" w:cs="宋体"/>
                <w:sz w:val="20"/>
                <w:szCs w:val="20"/>
              </w:rPr>
              <w:t xml:space="preserve"> </w:t>
            </w:r>
            <w:r>
              <w:rPr>
                <w:rFonts w:ascii="宋体" w:hAnsi="宋体" w:eastAsia="宋体" w:cs="宋体"/>
                <w:spacing w:val="15"/>
                <w:sz w:val="20"/>
                <w:szCs w:val="20"/>
              </w:rPr>
              <w:t>境</w:t>
            </w:r>
            <w:r>
              <w:rPr>
                <w:rFonts w:ascii="宋体" w:hAnsi="宋体" w:eastAsia="宋体" w:cs="宋体"/>
                <w:spacing w:val="8"/>
                <w:sz w:val="20"/>
                <w:szCs w:val="20"/>
              </w:rPr>
              <w:t>，实现能源节约，节能减排。</w:t>
            </w:r>
          </w:p>
        </w:tc>
      </w:tr>
      <w:tr w14:paraId="2A27A1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4" w:hRule="atLeast"/>
        </w:trPr>
        <w:tc>
          <w:tcPr>
            <w:tcW w:w="704" w:type="dxa"/>
            <w:tcBorders>
              <w:left w:val="nil"/>
            </w:tcBorders>
          </w:tcPr>
          <w:p w14:paraId="73C71646">
            <w:pPr>
              <w:spacing w:line="275" w:lineRule="auto"/>
            </w:pPr>
          </w:p>
          <w:p w14:paraId="37AE647B">
            <w:pPr>
              <w:spacing w:line="275" w:lineRule="auto"/>
            </w:pPr>
          </w:p>
          <w:p w14:paraId="38518FA3">
            <w:pPr>
              <w:spacing w:line="275" w:lineRule="auto"/>
            </w:pPr>
          </w:p>
          <w:p w14:paraId="2C002899">
            <w:pPr>
              <w:spacing w:before="57" w:line="195" w:lineRule="auto"/>
              <w:ind w:left="3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184" w:type="dxa"/>
          </w:tcPr>
          <w:p w14:paraId="1D223AE5">
            <w:pPr>
              <w:spacing w:line="323" w:lineRule="auto"/>
            </w:pPr>
          </w:p>
          <w:p w14:paraId="453A1757">
            <w:pPr>
              <w:spacing w:line="323" w:lineRule="auto"/>
            </w:pPr>
          </w:p>
          <w:p w14:paraId="609E4EA1">
            <w:pPr>
              <w:spacing w:before="65" w:line="270" w:lineRule="auto"/>
              <w:ind w:left="389" w:right="170" w:hanging="209"/>
              <w:rPr>
                <w:rFonts w:ascii="宋体" w:hAnsi="宋体" w:eastAsia="宋体" w:cs="宋体"/>
                <w:sz w:val="20"/>
                <w:szCs w:val="20"/>
              </w:rPr>
            </w:pPr>
            <w:r>
              <w:rPr>
                <w:rFonts w:ascii="宋体" w:hAnsi="宋体" w:eastAsia="宋体" w:cs="宋体"/>
                <w:spacing w:val="7"/>
                <w:sz w:val="20"/>
                <w:szCs w:val="20"/>
              </w:rPr>
              <w:t>粪污处</w:t>
            </w:r>
            <w:r>
              <w:rPr>
                <w:rFonts w:ascii="宋体" w:hAnsi="宋体" w:eastAsia="宋体" w:cs="宋体"/>
                <w:spacing w:val="6"/>
                <w:sz w:val="20"/>
                <w:szCs w:val="20"/>
              </w:rPr>
              <w:t>理</w:t>
            </w:r>
            <w:r>
              <w:rPr>
                <w:rFonts w:ascii="宋体" w:hAnsi="宋体" w:eastAsia="宋体" w:cs="宋体"/>
                <w:sz w:val="20"/>
                <w:szCs w:val="20"/>
              </w:rPr>
              <w:t xml:space="preserve"> </w:t>
            </w:r>
            <w:r>
              <w:rPr>
                <w:rFonts w:ascii="宋体" w:hAnsi="宋体" w:eastAsia="宋体" w:cs="宋体"/>
                <w:spacing w:val="4"/>
                <w:sz w:val="20"/>
                <w:szCs w:val="20"/>
              </w:rPr>
              <w:t>工</w:t>
            </w:r>
            <w:r>
              <w:rPr>
                <w:rFonts w:ascii="宋体" w:hAnsi="宋体" w:eastAsia="宋体" w:cs="宋体"/>
                <w:spacing w:val="3"/>
                <w:sz w:val="20"/>
                <w:szCs w:val="20"/>
              </w:rPr>
              <w:t>艺</w:t>
            </w:r>
          </w:p>
        </w:tc>
        <w:tc>
          <w:tcPr>
            <w:tcW w:w="3924" w:type="dxa"/>
          </w:tcPr>
          <w:p w14:paraId="343B5127">
            <w:pPr>
              <w:spacing w:before="35" w:line="227" w:lineRule="auto"/>
              <w:ind w:left="183"/>
              <w:rPr>
                <w:rFonts w:ascii="宋体" w:hAnsi="宋体" w:eastAsia="宋体" w:cs="宋体"/>
                <w:sz w:val="20"/>
                <w:szCs w:val="20"/>
              </w:rPr>
            </w:pPr>
            <w:r>
              <w:rPr>
                <w:rFonts w:ascii="宋体" w:hAnsi="宋体" w:eastAsia="宋体" w:cs="宋体"/>
                <w:spacing w:val="15"/>
                <w:sz w:val="20"/>
                <w:szCs w:val="20"/>
              </w:rPr>
              <w:t>本</w:t>
            </w:r>
            <w:r>
              <w:rPr>
                <w:rFonts w:ascii="宋体" w:hAnsi="宋体" w:eastAsia="宋体" w:cs="宋体"/>
                <w:spacing w:val="9"/>
                <w:sz w:val="20"/>
                <w:szCs w:val="20"/>
              </w:rPr>
              <w:t>项目猪粪与养殖废水一起交由乐山乐</w:t>
            </w:r>
          </w:p>
          <w:p w14:paraId="62A516C3">
            <w:pPr>
              <w:spacing w:before="25" w:line="227" w:lineRule="auto"/>
              <w:ind w:left="188"/>
              <w:rPr>
                <w:rFonts w:ascii="宋体" w:hAnsi="宋体" w:eastAsia="宋体" w:cs="宋体"/>
                <w:sz w:val="20"/>
                <w:szCs w:val="20"/>
              </w:rPr>
            </w:pPr>
            <w:r>
              <w:rPr>
                <w:rFonts w:ascii="宋体" w:hAnsi="宋体" w:eastAsia="宋体" w:cs="宋体"/>
                <w:spacing w:val="11"/>
                <w:sz w:val="20"/>
                <w:szCs w:val="20"/>
              </w:rPr>
              <w:t>高</w:t>
            </w:r>
            <w:r>
              <w:rPr>
                <w:rFonts w:ascii="宋体" w:hAnsi="宋体" w:eastAsia="宋体" w:cs="宋体"/>
                <w:spacing w:val="9"/>
                <w:sz w:val="20"/>
                <w:szCs w:val="20"/>
              </w:rPr>
              <w:t>勤力生物质能源综合利用有限公司集</w:t>
            </w:r>
          </w:p>
          <w:p w14:paraId="72672F9F">
            <w:pPr>
              <w:spacing w:before="25" w:line="228" w:lineRule="auto"/>
              <w:ind w:left="132"/>
              <w:rPr>
                <w:rFonts w:ascii="宋体" w:hAnsi="宋体" w:eastAsia="宋体" w:cs="宋体"/>
                <w:sz w:val="20"/>
                <w:szCs w:val="20"/>
              </w:rPr>
            </w:pPr>
            <w:r>
              <w:rPr>
                <w:rFonts w:ascii="宋体" w:hAnsi="宋体" w:eastAsia="宋体" w:cs="宋体"/>
                <w:spacing w:val="8"/>
                <w:sz w:val="20"/>
                <w:szCs w:val="20"/>
              </w:rPr>
              <w:t>中</w:t>
            </w:r>
            <w:r>
              <w:rPr>
                <w:rFonts w:ascii="宋体" w:hAnsi="宋体" w:eastAsia="宋体" w:cs="宋体"/>
                <w:spacing w:val="5"/>
                <w:sz w:val="20"/>
                <w:szCs w:val="20"/>
              </w:rPr>
              <w:t>处</w:t>
            </w:r>
            <w:r>
              <w:rPr>
                <w:rFonts w:ascii="宋体" w:hAnsi="宋体" w:eastAsia="宋体" w:cs="宋体"/>
                <w:spacing w:val="4"/>
                <w:sz w:val="20"/>
                <w:szCs w:val="20"/>
              </w:rPr>
              <w:t>置，日产日清，若后期乐山乐高勤力</w:t>
            </w:r>
          </w:p>
          <w:p w14:paraId="7B9ADF78">
            <w:pPr>
              <w:spacing w:before="25" w:line="228" w:lineRule="auto"/>
              <w:ind w:left="184"/>
              <w:rPr>
                <w:rFonts w:ascii="宋体" w:hAnsi="宋体" w:eastAsia="宋体" w:cs="宋体"/>
                <w:sz w:val="20"/>
                <w:szCs w:val="20"/>
              </w:rPr>
            </w:pPr>
            <w:r>
              <w:rPr>
                <w:rFonts w:ascii="宋体" w:hAnsi="宋体" w:eastAsia="宋体" w:cs="宋体"/>
                <w:spacing w:val="15"/>
                <w:sz w:val="20"/>
                <w:szCs w:val="20"/>
              </w:rPr>
              <w:t>生</w:t>
            </w:r>
            <w:r>
              <w:rPr>
                <w:rFonts w:ascii="宋体" w:hAnsi="宋体" w:eastAsia="宋体" w:cs="宋体"/>
                <w:spacing w:val="9"/>
                <w:sz w:val="20"/>
                <w:szCs w:val="20"/>
              </w:rPr>
              <w:t>物质能源综合利用有限公司不再收纳</w:t>
            </w:r>
          </w:p>
          <w:p w14:paraId="7F7BF068">
            <w:pPr>
              <w:spacing w:before="25" w:line="227" w:lineRule="auto"/>
              <w:ind w:left="113"/>
              <w:rPr>
                <w:rFonts w:ascii="宋体" w:hAnsi="宋体" w:eastAsia="宋体" w:cs="宋体"/>
                <w:sz w:val="20"/>
                <w:szCs w:val="20"/>
              </w:rPr>
            </w:pPr>
            <w:r>
              <w:rPr>
                <w:rFonts w:ascii="宋体" w:hAnsi="宋体" w:eastAsia="宋体" w:cs="宋体"/>
                <w:spacing w:val="10"/>
                <w:sz w:val="20"/>
                <w:szCs w:val="20"/>
              </w:rPr>
              <w:t>本</w:t>
            </w:r>
            <w:r>
              <w:rPr>
                <w:rFonts w:ascii="宋体" w:hAnsi="宋体" w:eastAsia="宋体" w:cs="宋体"/>
                <w:spacing w:val="9"/>
                <w:sz w:val="20"/>
                <w:szCs w:val="20"/>
              </w:rPr>
              <w:t>项</w:t>
            </w:r>
            <w:r>
              <w:rPr>
                <w:rFonts w:ascii="宋体" w:hAnsi="宋体" w:eastAsia="宋体" w:cs="宋体"/>
                <w:spacing w:val="5"/>
                <w:sz w:val="20"/>
                <w:szCs w:val="20"/>
              </w:rPr>
              <w:t>目废水，则排入集污池中与养殖废水</w:t>
            </w:r>
          </w:p>
          <w:p w14:paraId="50C2C2B0">
            <w:pPr>
              <w:spacing w:before="28" w:line="228" w:lineRule="auto"/>
              <w:ind w:left="115"/>
              <w:rPr>
                <w:rFonts w:ascii="宋体" w:hAnsi="宋体" w:eastAsia="宋体" w:cs="宋体"/>
                <w:sz w:val="20"/>
                <w:szCs w:val="20"/>
              </w:rPr>
            </w:pPr>
            <w:r>
              <w:rPr>
                <w:rFonts w:ascii="宋体" w:hAnsi="宋体" w:eastAsia="宋体" w:cs="宋体"/>
                <w:spacing w:val="10"/>
                <w:sz w:val="20"/>
                <w:szCs w:val="20"/>
              </w:rPr>
              <w:t>混</w:t>
            </w:r>
            <w:r>
              <w:rPr>
                <w:rFonts w:ascii="宋体" w:hAnsi="宋体" w:eastAsia="宋体" w:cs="宋体"/>
                <w:spacing w:val="7"/>
                <w:sz w:val="20"/>
                <w:szCs w:val="20"/>
              </w:rPr>
              <w:t>匀</w:t>
            </w:r>
            <w:r>
              <w:rPr>
                <w:rFonts w:ascii="宋体" w:hAnsi="宋体" w:eastAsia="宋体" w:cs="宋体"/>
                <w:spacing w:val="5"/>
                <w:sz w:val="20"/>
                <w:szCs w:val="20"/>
              </w:rPr>
              <w:t>后一并经异位微生物发酵床处置，产</w:t>
            </w:r>
          </w:p>
          <w:p w14:paraId="5AB3ABFC">
            <w:pPr>
              <w:spacing w:before="26" w:line="227" w:lineRule="auto"/>
              <w:ind w:left="1235"/>
              <w:rPr>
                <w:rFonts w:ascii="宋体" w:hAnsi="宋体" w:eastAsia="宋体" w:cs="宋体"/>
                <w:sz w:val="20"/>
                <w:szCs w:val="20"/>
              </w:rPr>
            </w:pPr>
            <w:r>
              <w:rPr>
                <w:rFonts w:ascii="宋体" w:hAnsi="宋体" w:eastAsia="宋体" w:cs="宋体"/>
                <w:spacing w:val="7"/>
                <w:sz w:val="20"/>
                <w:szCs w:val="20"/>
              </w:rPr>
              <w:t>生的农肥外售</w:t>
            </w:r>
            <w:r>
              <w:rPr>
                <w:rFonts w:ascii="宋体" w:hAnsi="宋体" w:eastAsia="宋体" w:cs="宋体"/>
                <w:spacing w:val="5"/>
                <w:sz w:val="20"/>
                <w:szCs w:val="20"/>
              </w:rPr>
              <w:t>。</w:t>
            </w:r>
          </w:p>
        </w:tc>
        <w:tc>
          <w:tcPr>
            <w:tcW w:w="3900" w:type="dxa"/>
            <w:tcBorders>
              <w:right w:val="nil"/>
            </w:tcBorders>
          </w:tcPr>
          <w:p w14:paraId="39D9B86A">
            <w:pPr>
              <w:spacing w:line="463" w:lineRule="auto"/>
            </w:pPr>
          </w:p>
          <w:p w14:paraId="70849A7D">
            <w:pPr>
              <w:spacing w:before="65" w:line="306" w:lineRule="auto"/>
              <w:ind w:left="115" w:right="111"/>
              <w:rPr>
                <w:rFonts w:ascii="宋体" w:hAnsi="宋体" w:eastAsia="宋体" w:cs="宋体"/>
                <w:sz w:val="20"/>
                <w:szCs w:val="20"/>
              </w:rPr>
            </w:pPr>
            <w:r>
              <w:rPr>
                <w:rFonts w:ascii="宋体" w:hAnsi="宋体" w:eastAsia="宋体" w:cs="宋体"/>
                <w:spacing w:val="16"/>
                <w:sz w:val="20"/>
                <w:szCs w:val="20"/>
              </w:rPr>
              <w:t>该处理工艺实现了猪场自身产粪的全</w:t>
            </w:r>
            <w:r>
              <w:rPr>
                <w:rFonts w:ascii="宋体" w:hAnsi="宋体" w:eastAsia="宋体" w:cs="宋体"/>
                <w:spacing w:val="14"/>
                <w:sz w:val="20"/>
                <w:szCs w:val="20"/>
              </w:rPr>
              <w:t>部</w:t>
            </w:r>
            <w:r>
              <w:rPr>
                <w:rFonts w:ascii="宋体" w:hAnsi="宋体" w:eastAsia="宋体" w:cs="宋体"/>
                <w:sz w:val="20"/>
                <w:szCs w:val="20"/>
              </w:rPr>
              <w:t xml:space="preserve"> </w:t>
            </w:r>
            <w:r>
              <w:rPr>
                <w:rFonts w:ascii="宋体" w:hAnsi="宋体" w:eastAsia="宋体" w:cs="宋体"/>
                <w:spacing w:val="4"/>
                <w:sz w:val="20"/>
                <w:szCs w:val="20"/>
              </w:rPr>
              <w:t>消化和资源综合利用，使动物粪便变废</w:t>
            </w:r>
            <w:r>
              <w:rPr>
                <w:rFonts w:ascii="宋体" w:hAnsi="宋体" w:eastAsia="宋体" w:cs="宋体"/>
                <w:spacing w:val="3"/>
                <w:sz w:val="20"/>
                <w:szCs w:val="20"/>
              </w:rPr>
              <w:t>为</w:t>
            </w:r>
            <w:r>
              <w:rPr>
                <w:rFonts w:ascii="宋体" w:hAnsi="宋体" w:eastAsia="宋体" w:cs="宋体"/>
                <w:sz w:val="20"/>
                <w:szCs w:val="20"/>
              </w:rPr>
              <w:t xml:space="preserve"> </w:t>
            </w:r>
            <w:r>
              <w:rPr>
                <w:rFonts w:ascii="宋体" w:hAnsi="宋体" w:eastAsia="宋体" w:cs="宋体"/>
                <w:spacing w:val="16"/>
                <w:sz w:val="20"/>
                <w:szCs w:val="20"/>
              </w:rPr>
              <w:t>宝</w:t>
            </w:r>
            <w:r>
              <w:rPr>
                <w:rFonts w:ascii="宋体" w:hAnsi="宋体" w:eastAsia="宋体" w:cs="宋体"/>
                <w:spacing w:val="11"/>
                <w:sz w:val="20"/>
                <w:szCs w:val="20"/>
              </w:rPr>
              <w:t>，</w:t>
            </w:r>
            <w:r>
              <w:rPr>
                <w:rFonts w:ascii="宋体" w:hAnsi="宋体" w:eastAsia="宋体" w:cs="宋体"/>
                <w:spacing w:val="8"/>
                <w:sz w:val="20"/>
                <w:szCs w:val="20"/>
              </w:rPr>
              <w:t>取得良好的经济效益与生态效益。</w:t>
            </w:r>
          </w:p>
        </w:tc>
      </w:tr>
    </w:tbl>
    <w:p w14:paraId="4D67A6C9">
      <w:pPr>
        <w:spacing w:before="34" w:line="227" w:lineRule="auto"/>
        <w:ind w:left="116"/>
        <w:outlineLvl w:val="2"/>
        <w:rPr>
          <w:rFonts w:ascii="宋体" w:hAnsi="宋体" w:eastAsia="宋体" w:cs="宋体"/>
          <w:sz w:val="23"/>
          <w:szCs w:val="23"/>
        </w:rPr>
      </w:pPr>
      <w:r>
        <w:rPr>
          <w:rFonts w:ascii="Times New Roman" w:hAnsi="Times New Roman" w:eastAsia="Times New Roman" w:cs="Times New Roman"/>
          <w:b/>
          <w:bCs/>
          <w:spacing w:val="7"/>
          <w:sz w:val="23"/>
          <w:szCs w:val="23"/>
        </w:rPr>
        <w:t>7.2.2</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原辅材料利用指</w:t>
      </w:r>
      <w:r>
        <w:rPr>
          <w:rFonts w:ascii="宋体" w:hAnsi="宋体" w:eastAsia="宋体" w:cs="宋体"/>
          <w:spacing w:val="6"/>
          <w:sz w:val="23"/>
          <w:szCs w:val="23"/>
          <w14:textOutline w14:w="4356" w14:cap="sq" w14:cmpd="sng" w14:algn="ctr">
            <w14:solidFill>
              <w14:srgbClr w14:val="000000"/>
            </w14:solidFill>
            <w14:prstDash w14:val="solid"/>
            <w14:bevel/>
          </w14:textOutline>
        </w:rPr>
        <w:t>标</w:t>
      </w:r>
    </w:p>
    <w:p w14:paraId="1C7659F8">
      <w:pPr>
        <w:spacing w:before="184" w:line="375" w:lineRule="auto"/>
        <w:ind w:left="119" w:right="28" w:firstLine="484"/>
        <w:rPr>
          <w:rFonts w:ascii="宋体" w:hAnsi="宋体" w:eastAsia="宋体" w:cs="宋体"/>
          <w:sz w:val="23"/>
          <w:szCs w:val="23"/>
        </w:rPr>
      </w:pPr>
      <w:r>
        <w:rPr>
          <w:rFonts w:ascii="宋体" w:hAnsi="宋体" w:eastAsia="宋体" w:cs="宋体"/>
          <w:spacing w:val="7"/>
          <w:sz w:val="23"/>
          <w:szCs w:val="23"/>
        </w:rPr>
        <w:t>原材料的清洁生产指标主要从原材料的毒性、生态影响、可再生性、能源强度以及可</w:t>
      </w:r>
      <w:r>
        <w:rPr>
          <w:rFonts w:ascii="宋体" w:hAnsi="宋体" w:eastAsia="宋体" w:cs="宋体"/>
          <w:sz w:val="23"/>
          <w:szCs w:val="23"/>
        </w:rPr>
        <w:t xml:space="preserve">回 </w:t>
      </w:r>
      <w:r>
        <w:rPr>
          <w:rFonts w:ascii="宋体" w:hAnsi="宋体" w:eastAsia="宋体" w:cs="宋体"/>
          <w:spacing w:val="11"/>
          <w:sz w:val="23"/>
          <w:szCs w:val="23"/>
        </w:rPr>
        <w:t>收</w:t>
      </w:r>
      <w:r>
        <w:rPr>
          <w:rFonts w:ascii="宋体" w:hAnsi="宋体" w:eastAsia="宋体" w:cs="宋体"/>
          <w:spacing w:val="7"/>
          <w:sz w:val="23"/>
          <w:szCs w:val="23"/>
        </w:rPr>
        <w:t>利用这五个方面建立指标。生猪养殖所用饲料为玉米、豆粕、麸皮以及预混料，作为养殖</w:t>
      </w:r>
      <w:r>
        <w:rPr>
          <w:rFonts w:ascii="宋体" w:hAnsi="宋体" w:eastAsia="宋体" w:cs="宋体"/>
          <w:sz w:val="23"/>
          <w:szCs w:val="23"/>
        </w:rPr>
        <w:t xml:space="preserve"> </w:t>
      </w:r>
      <w:r>
        <w:rPr>
          <w:rFonts w:ascii="宋体" w:hAnsi="宋体" w:eastAsia="宋体" w:cs="宋体"/>
          <w:spacing w:val="6"/>
          <w:sz w:val="23"/>
          <w:szCs w:val="23"/>
        </w:rPr>
        <w:t>项目</w:t>
      </w:r>
      <w:r>
        <w:rPr>
          <w:rFonts w:ascii="宋体" w:hAnsi="宋体" w:eastAsia="宋体" w:cs="宋体"/>
          <w:spacing w:val="5"/>
          <w:sz w:val="23"/>
          <w:szCs w:val="23"/>
        </w:rPr>
        <w:t>，</w:t>
      </w:r>
      <w:r>
        <w:rPr>
          <w:rFonts w:ascii="宋体" w:hAnsi="宋体" w:eastAsia="宋体" w:cs="宋体"/>
          <w:spacing w:val="3"/>
          <w:sz w:val="23"/>
          <w:szCs w:val="23"/>
        </w:rPr>
        <w:t>这些是必须消耗的，从清洁生产角度分析，其最终表征为饲料配比 (即消耗量的多少、</w:t>
      </w:r>
      <w:r>
        <w:rPr>
          <w:rFonts w:ascii="宋体" w:hAnsi="宋体" w:eastAsia="宋体" w:cs="宋体"/>
          <w:sz w:val="23"/>
          <w:szCs w:val="23"/>
        </w:rPr>
        <w:t xml:space="preserve"> </w:t>
      </w:r>
      <w:r>
        <w:rPr>
          <w:rFonts w:ascii="宋体" w:hAnsi="宋体" w:eastAsia="宋体" w:cs="宋体"/>
          <w:spacing w:val="9"/>
          <w:sz w:val="23"/>
          <w:szCs w:val="23"/>
        </w:rPr>
        <w:t>利用率的高低) 、猪的料肉比、生长速度、出栏周期等方面</w:t>
      </w:r>
      <w:r>
        <w:rPr>
          <w:rFonts w:ascii="宋体" w:hAnsi="宋体" w:eastAsia="宋体" w:cs="宋体"/>
          <w:spacing w:val="6"/>
          <w:sz w:val="23"/>
          <w:szCs w:val="23"/>
        </w:rPr>
        <w:t>。</w:t>
      </w:r>
    </w:p>
    <w:p w14:paraId="0366369F">
      <w:pPr>
        <w:spacing w:line="375" w:lineRule="auto"/>
        <w:ind w:left="118" w:right="108" w:firstLine="483"/>
        <w:rPr>
          <w:rFonts w:ascii="宋体" w:hAnsi="宋体" w:eastAsia="宋体" w:cs="宋体"/>
          <w:sz w:val="23"/>
          <w:szCs w:val="23"/>
        </w:rPr>
      </w:pPr>
      <w:r>
        <w:rPr>
          <w:rFonts w:ascii="宋体" w:hAnsi="宋体" w:eastAsia="宋体" w:cs="宋体"/>
          <w:spacing w:val="7"/>
          <w:sz w:val="23"/>
          <w:szCs w:val="23"/>
        </w:rPr>
        <w:t>项目喂养饲料内不含兴奋剂、镇静剂和各种违禁药品，各种饲料添加剂均不超标，符</w:t>
      </w:r>
      <w:r>
        <w:rPr>
          <w:rFonts w:ascii="宋体" w:hAnsi="宋体" w:eastAsia="宋体" w:cs="宋体"/>
          <w:spacing w:val="2"/>
          <w:sz w:val="23"/>
          <w:szCs w:val="23"/>
        </w:rPr>
        <w:t>合</w:t>
      </w:r>
      <w:r>
        <w:rPr>
          <w:rFonts w:ascii="宋体" w:hAnsi="宋体" w:eastAsia="宋体" w:cs="宋体"/>
          <w:sz w:val="23"/>
          <w:szCs w:val="23"/>
        </w:rPr>
        <w:t xml:space="preserve"> </w:t>
      </w:r>
      <w:r>
        <w:rPr>
          <w:rFonts w:ascii="宋体" w:hAnsi="宋体" w:eastAsia="宋体" w:cs="宋体"/>
          <w:spacing w:val="5"/>
          <w:sz w:val="23"/>
          <w:szCs w:val="23"/>
        </w:rPr>
        <w:t>《饲料卫生标准》  (</w:t>
      </w:r>
      <w:r>
        <w:rPr>
          <w:rFonts w:ascii="Times New Roman" w:hAnsi="Times New Roman" w:eastAsia="Times New Roman" w:cs="Times New Roman"/>
          <w:sz w:val="23"/>
          <w:szCs w:val="23"/>
        </w:rPr>
        <w:t>GB</w:t>
      </w:r>
      <w:r>
        <w:rPr>
          <w:rFonts w:ascii="Times New Roman" w:hAnsi="Times New Roman" w:eastAsia="Times New Roman" w:cs="Times New Roman"/>
          <w:spacing w:val="5"/>
          <w:sz w:val="23"/>
          <w:szCs w:val="23"/>
        </w:rPr>
        <w:t>13078-2001</w:t>
      </w:r>
      <w:r>
        <w:rPr>
          <w:rFonts w:ascii="宋体" w:hAnsi="宋体" w:eastAsia="宋体" w:cs="宋体"/>
          <w:spacing w:val="5"/>
          <w:sz w:val="23"/>
          <w:szCs w:val="23"/>
        </w:rPr>
        <w:t>) 和《饲料和饲料添加剂管理条例》 中的相关规定，</w:t>
      </w:r>
      <w:r>
        <w:rPr>
          <w:rFonts w:ascii="宋体" w:hAnsi="宋体" w:eastAsia="宋体" w:cs="宋体"/>
          <w:spacing w:val="3"/>
          <w:sz w:val="23"/>
          <w:szCs w:val="23"/>
        </w:rPr>
        <w:t>保</w:t>
      </w:r>
      <w:r>
        <w:rPr>
          <w:rFonts w:ascii="宋体" w:hAnsi="宋体" w:eastAsia="宋体" w:cs="宋体"/>
          <w:sz w:val="23"/>
          <w:szCs w:val="23"/>
        </w:rPr>
        <w:t xml:space="preserve"> </w:t>
      </w:r>
      <w:r>
        <w:rPr>
          <w:rFonts w:ascii="宋体" w:hAnsi="宋体" w:eastAsia="宋体" w:cs="宋体"/>
          <w:spacing w:val="18"/>
          <w:sz w:val="23"/>
          <w:szCs w:val="23"/>
        </w:rPr>
        <w:t>证了</w:t>
      </w:r>
      <w:r>
        <w:rPr>
          <w:rFonts w:ascii="宋体" w:hAnsi="宋体" w:eastAsia="宋体" w:cs="宋体"/>
          <w:spacing w:val="9"/>
          <w:sz w:val="23"/>
          <w:szCs w:val="23"/>
        </w:rPr>
        <w:t>饲料的清洁性、营养型和安全性，避免了由原料带来的危害和损失，属清洁原料。</w:t>
      </w:r>
    </w:p>
    <w:p w14:paraId="034A15BB">
      <w:pPr>
        <w:spacing w:before="1" w:line="374" w:lineRule="auto"/>
        <w:ind w:left="117" w:right="108" w:firstLine="481"/>
        <w:rPr>
          <w:rFonts w:ascii="宋体" w:hAnsi="宋体" w:eastAsia="宋体" w:cs="宋体"/>
          <w:sz w:val="23"/>
          <w:szCs w:val="23"/>
        </w:rPr>
      </w:pPr>
      <w:r>
        <w:rPr>
          <w:rFonts w:ascii="宋体" w:hAnsi="宋体" w:eastAsia="宋体" w:cs="宋体"/>
          <w:spacing w:val="7"/>
          <w:sz w:val="23"/>
          <w:szCs w:val="23"/>
        </w:rPr>
        <w:t>本工程各猪舍配套设置料基，公司结合项目特点，进行合理饲料配比。本项目主要以</w:t>
      </w:r>
      <w:r>
        <w:rPr>
          <w:rFonts w:ascii="宋体" w:hAnsi="宋体" w:eastAsia="宋体" w:cs="宋体"/>
          <w:spacing w:val="5"/>
          <w:sz w:val="23"/>
          <w:szCs w:val="23"/>
        </w:rPr>
        <w:t>保</w:t>
      </w:r>
      <w:r>
        <w:rPr>
          <w:rFonts w:ascii="宋体" w:hAnsi="宋体" w:eastAsia="宋体" w:cs="宋体"/>
          <w:sz w:val="23"/>
          <w:szCs w:val="23"/>
        </w:rPr>
        <w:t xml:space="preserve"> </w:t>
      </w:r>
      <w:r>
        <w:rPr>
          <w:rFonts w:ascii="宋体" w:hAnsi="宋体" w:eastAsia="宋体" w:cs="宋体"/>
          <w:spacing w:val="12"/>
          <w:sz w:val="23"/>
          <w:szCs w:val="23"/>
        </w:rPr>
        <w:t>育</w:t>
      </w:r>
      <w:r>
        <w:rPr>
          <w:rFonts w:ascii="宋体" w:hAnsi="宋体" w:eastAsia="宋体" w:cs="宋体"/>
          <w:spacing w:val="7"/>
          <w:sz w:val="23"/>
          <w:szCs w:val="23"/>
        </w:rPr>
        <w:t>为主，结合保育的生长特征，采用现代化自动饲养技术，合理分栏、调整饲料配比，提高</w:t>
      </w:r>
      <w:r>
        <w:rPr>
          <w:rFonts w:ascii="宋体" w:hAnsi="宋体" w:eastAsia="宋体" w:cs="宋体"/>
          <w:sz w:val="23"/>
          <w:szCs w:val="23"/>
        </w:rPr>
        <w:t xml:space="preserve"> </w:t>
      </w:r>
      <w:r>
        <w:rPr>
          <w:rFonts w:ascii="宋体" w:hAnsi="宋体" w:eastAsia="宋体" w:cs="宋体"/>
          <w:spacing w:val="9"/>
          <w:sz w:val="23"/>
          <w:szCs w:val="23"/>
        </w:rPr>
        <w:t>饲料利用率，并能减少臭气产生量</w:t>
      </w:r>
      <w:r>
        <w:rPr>
          <w:rFonts w:ascii="宋体" w:hAnsi="宋体" w:eastAsia="宋体" w:cs="宋体"/>
          <w:spacing w:val="6"/>
          <w:sz w:val="23"/>
          <w:szCs w:val="23"/>
        </w:rPr>
        <w:t>。</w:t>
      </w:r>
    </w:p>
    <w:p w14:paraId="4C30619A">
      <w:pPr>
        <w:spacing w:line="228" w:lineRule="auto"/>
        <w:ind w:left="116"/>
        <w:outlineLvl w:val="2"/>
        <w:rPr>
          <w:rFonts w:ascii="宋体" w:hAnsi="宋体" w:eastAsia="宋体" w:cs="宋体"/>
          <w:sz w:val="23"/>
          <w:szCs w:val="23"/>
        </w:rPr>
      </w:pPr>
      <w:r>
        <w:rPr>
          <w:rFonts w:ascii="Times New Roman" w:hAnsi="Times New Roman" w:eastAsia="Times New Roman" w:cs="Times New Roman"/>
          <w:b/>
          <w:bCs/>
          <w:spacing w:val="7"/>
          <w:sz w:val="23"/>
          <w:szCs w:val="23"/>
        </w:rPr>
        <w:t>7.2.3</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资源能源利用指</w:t>
      </w:r>
      <w:r>
        <w:rPr>
          <w:rFonts w:ascii="宋体" w:hAnsi="宋体" w:eastAsia="宋体" w:cs="宋体"/>
          <w:spacing w:val="6"/>
          <w:sz w:val="23"/>
          <w:szCs w:val="23"/>
          <w14:textOutline w14:w="4356" w14:cap="sq" w14:cmpd="sng" w14:algn="ctr">
            <w14:solidFill>
              <w14:srgbClr w14:val="000000"/>
            </w14:solidFill>
            <w14:prstDash w14:val="solid"/>
            <w14:bevel/>
          </w14:textOutline>
        </w:rPr>
        <w:t>标</w:t>
      </w:r>
    </w:p>
    <w:p w14:paraId="771D3367">
      <w:pPr>
        <w:spacing w:before="184" w:line="227" w:lineRule="auto"/>
        <w:ind w:left="116"/>
        <w:outlineLvl w:val="3"/>
        <w:rPr>
          <w:rFonts w:ascii="宋体" w:hAnsi="宋体" w:eastAsia="宋体" w:cs="宋体"/>
          <w:sz w:val="23"/>
          <w:szCs w:val="23"/>
        </w:rPr>
      </w:pPr>
      <w:r>
        <w:rPr>
          <w:rFonts w:ascii="Times New Roman" w:hAnsi="Times New Roman" w:eastAsia="Times New Roman" w:cs="Times New Roman"/>
          <w:b/>
          <w:bCs/>
          <w:spacing w:val="6"/>
          <w:sz w:val="23"/>
          <w:szCs w:val="23"/>
        </w:rPr>
        <w:t>7.2.3.1</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水资源的利</w:t>
      </w:r>
      <w:r>
        <w:rPr>
          <w:rFonts w:ascii="宋体" w:hAnsi="宋体" w:eastAsia="宋体" w:cs="宋体"/>
          <w:spacing w:val="5"/>
          <w:sz w:val="23"/>
          <w:szCs w:val="23"/>
          <w14:textOutline w14:w="4356" w14:cap="sq" w14:cmpd="sng" w14:algn="ctr">
            <w14:solidFill>
              <w14:srgbClr w14:val="000000"/>
            </w14:solidFill>
            <w14:prstDash w14:val="solid"/>
            <w14:bevel/>
          </w14:textOutline>
        </w:rPr>
        <w:t>用</w:t>
      </w:r>
    </w:p>
    <w:p w14:paraId="3649DAD3">
      <w:pPr>
        <w:spacing w:before="181" w:line="375" w:lineRule="auto"/>
        <w:ind w:left="118" w:right="108" w:firstLine="480"/>
        <w:rPr>
          <w:rFonts w:ascii="宋体" w:hAnsi="宋体" w:eastAsia="宋体" w:cs="宋体"/>
          <w:sz w:val="23"/>
          <w:szCs w:val="23"/>
        </w:rPr>
      </w:pPr>
      <w:r>
        <w:rPr>
          <w:rFonts w:ascii="宋体" w:hAnsi="宋体" w:eastAsia="宋体" w:cs="宋体"/>
          <w:spacing w:val="7"/>
          <w:sz w:val="23"/>
          <w:szCs w:val="23"/>
        </w:rPr>
        <w:t>本项目采用目前较先进的养殖技术，改进生产及治污措施，采用节水、节能、减排的</w:t>
      </w:r>
      <w:r>
        <w:rPr>
          <w:rFonts w:ascii="宋体" w:hAnsi="宋体" w:eastAsia="宋体" w:cs="宋体"/>
          <w:spacing w:val="5"/>
          <w:sz w:val="23"/>
          <w:szCs w:val="23"/>
        </w:rPr>
        <w:t>生</w:t>
      </w:r>
      <w:r>
        <w:rPr>
          <w:rFonts w:ascii="宋体" w:hAnsi="宋体" w:eastAsia="宋体" w:cs="宋体"/>
          <w:sz w:val="23"/>
          <w:szCs w:val="23"/>
        </w:rPr>
        <w:t xml:space="preserve"> </w:t>
      </w:r>
      <w:r>
        <w:rPr>
          <w:rFonts w:ascii="宋体" w:hAnsi="宋体" w:eastAsia="宋体" w:cs="宋体"/>
          <w:spacing w:val="18"/>
          <w:sz w:val="23"/>
          <w:szCs w:val="23"/>
        </w:rPr>
        <w:t>产</w:t>
      </w:r>
      <w:r>
        <w:rPr>
          <w:rFonts w:ascii="宋体" w:hAnsi="宋体" w:eastAsia="宋体" w:cs="宋体"/>
          <w:spacing w:val="11"/>
          <w:sz w:val="23"/>
          <w:szCs w:val="23"/>
        </w:rPr>
        <w:t>设</w:t>
      </w:r>
      <w:r>
        <w:rPr>
          <w:rFonts w:ascii="宋体" w:hAnsi="宋体" w:eastAsia="宋体" w:cs="宋体"/>
          <w:spacing w:val="9"/>
          <w:sz w:val="23"/>
          <w:szCs w:val="23"/>
        </w:rPr>
        <w:t>备及治污方式，从源头控制水资源的利用，采取的节水措施如下：</w:t>
      </w:r>
    </w:p>
    <w:p w14:paraId="4A5C936A">
      <w:pPr>
        <w:spacing w:before="1" w:line="226" w:lineRule="auto"/>
        <w:ind w:left="609"/>
        <w:rPr>
          <w:rFonts w:ascii="宋体" w:hAnsi="宋体" w:eastAsia="宋体" w:cs="宋体"/>
          <w:sz w:val="23"/>
          <w:szCs w:val="23"/>
        </w:rPr>
      </w:pPr>
      <w:r>
        <w:rPr>
          <w:rFonts w:ascii="宋体" w:hAnsi="宋体" w:eastAsia="宋体" w:cs="宋体"/>
          <w:spacing w:val="25"/>
          <w:sz w:val="23"/>
          <w:szCs w:val="23"/>
        </w:rPr>
        <w:t>(</w:t>
      </w:r>
      <w:r>
        <w:rPr>
          <w:rFonts w:ascii="Times New Roman" w:hAnsi="Times New Roman" w:eastAsia="Times New Roman" w:cs="Times New Roman"/>
          <w:spacing w:val="18"/>
          <w:sz w:val="23"/>
          <w:szCs w:val="23"/>
        </w:rPr>
        <w:t>1</w:t>
      </w:r>
      <w:r>
        <w:rPr>
          <w:rFonts w:ascii="宋体" w:hAnsi="宋体" w:eastAsia="宋体" w:cs="宋体"/>
          <w:spacing w:val="18"/>
          <w:sz w:val="23"/>
          <w:szCs w:val="23"/>
        </w:rPr>
        <w:t>) 全漏缝地板</w:t>
      </w:r>
    </w:p>
    <w:p w14:paraId="5C901D47">
      <w:pPr>
        <w:spacing w:before="185" w:line="466" w:lineRule="exact"/>
        <w:ind w:left="599"/>
        <w:rPr>
          <w:rFonts w:ascii="宋体" w:hAnsi="宋体" w:eastAsia="宋体" w:cs="宋体"/>
          <w:sz w:val="23"/>
          <w:szCs w:val="23"/>
        </w:rPr>
      </w:pPr>
      <w:r>
        <w:rPr>
          <w:rFonts w:ascii="宋体" w:hAnsi="宋体" w:eastAsia="宋体" w:cs="宋体"/>
          <w:spacing w:val="7"/>
          <w:position w:val="17"/>
          <w:sz w:val="23"/>
          <w:szCs w:val="23"/>
        </w:rPr>
        <w:t>本项目拟采用的漏缝地板，根据不同阶段猪群设计漏缝地板缝宽，有效保护了不同阶</w:t>
      </w:r>
      <w:r>
        <w:rPr>
          <w:rFonts w:ascii="宋体" w:hAnsi="宋体" w:eastAsia="宋体" w:cs="宋体"/>
          <w:spacing w:val="5"/>
          <w:position w:val="17"/>
          <w:sz w:val="23"/>
          <w:szCs w:val="23"/>
        </w:rPr>
        <w:t>段</w:t>
      </w:r>
    </w:p>
    <w:p w14:paraId="1FC0097B">
      <w:pPr>
        <w:spacing w:line="227" w:lineRule="auto"/>
        <w:ind w:left="118"/>
        <w:rPr>
          <w:rFonts w:ascii="宋体" w:hAnsi="宋体" w:eastAsia="宋体" w:cs="宋体"/>
          <w:sz w:val="23"/>
          <w:szCs w:val="23"/>
        </w:rPr>
      </w:pPr>
      <w:r>
        <w:rPr>
          <w:rFonts w:ascii="宋体" w:hAnsi="宋体" w:eastAsia="宋体" w:cs="宋体"/>
          <w:spacing w:val="12"/>
          <w:sz w:val="23"/>
          <w:szCs w:val="23"/>
        </w:rPr>
        <w:t>猪</w:t>
      </w:r>
      <w:r>
        <w:rPr>
          <w:rFonts w:ascii="宋体" w:hAnsi="宋体" w:eastAsia="宋体" w:cs="宋体"/>
          <w:spacing w:val="7"/>
          <w:sz w:val="23"/>
          <w:szCs w:val="23"/>
        </w:rPr>
        <w:t>群的猪蹄，同时更保证了猪群排放的粪便全部落入粪道，确保了猪舍的干净卫生，不需每</w:t>
      </w:r>
    </w:p>
    <w:p w14:paraId="2538819C">
      <w:pPr>
        <w:sectPr>
          <w:headerReference r:id="rId276" w:type="default"/>
          <w:footerReference r:id="rId277" w:type="default"/>
          <w:pgSz w:w="11906" w:h="16839"/>
          <w:pgMar w:top="1113" w:right="1025" w:bottom="1156" w:left="1168" w:header="878" w:footer="994" w:gutter="0"/>
          <w:cols w:space="720" w:num="1"/>
        </w:sectPr>
      </w:pPr>
    </w:p>
    <w:p w14:paraId="03D113EB">
      <w:pPr>
        <w:spacing w:before="198" w:line="228" w:lineRule="auto"/>
        <w:ind w:left="14"/>
        <w:rPr>
          <w:rFonts w:ascii="宋体" w:hAnsi="宋体" w:eastAsia="宋体" w:cs="宋体"/>
          <w:sz w:val="23"/>
          <w:szCs w:val="23"/>
        </w:rPr>
      </w:pPr>
      <w:r>
        <w:rPr>
          <w:rFonts w:ascii="宋体" w:hAnsi="宋体" w:eastAsia="宋体" w:cs="宋体"/>
          <w:spacing w:val="17"/>
          <w:sz w:val="23"/>
          <w:szCs w:val="23"/>
        </w:rPr>
        <w:t>天</w:t>
      </w:r>
      <w:r>
        <w:rPr>
          <w:rFonts w:ascii="宋体" w:hAnsi="宋体" w:eastAsia="宋体" w:cs="宋体"/>
          <w:spacing w:val="9"/>
          <w:sz w:val="23"/>
          <w:szCs w:val="23"/>
        </w:rPr>
        <w:t>清洗，对猪舍漏缝板进行高压冲洗消毒，可最大程度减少猪舍冲洗用水。</w:t>
      </w:r>
    </w:p>
    <w:p w14:paraId="06F5D479">
      <w:pPr>
        <w:spacing w:before="181" w:line="227" w:lineRule="auto"/>
        <w:ind w:left="501"/>
        <w:rPr>
          <w:rFonts w:ascii="宋体" w:hAnsi="宋体" w:eastAsia="宋体" w:cs="宋体"/>
          <w:sz w:val="23"/>
          <w:szCs w:val="23"/>
        </w:rPr>
      </w:pPr>
      <w:r>
        <w:rPr>
          <w:rFonts w:ascii="宋体" w:hAnsi="宋体" w:eastAsia="宋体" w:cs="宋体"/>
          <w:spacing w:val="25"/>
          <w:sz w:val="23"/>
          <w:szCs w:val="23"/>
        </w:rPr>
        <w:t>(</w:t>
      </w:r>
      <w:r>
        <w:rPr>
          <w:rFonts w:ascii="Times New Roman" w:hAnsi="Times New Roman" w:eastAsia="Times New Roman" w:cs="Times New Roman"/>
          <w:spacing w:val="18"/>
          <w:sz w:val="23"/>
          <w:szCs w:val="23"/>
        </w:rPr>
        <w:t>2</w:t>
      </w:r>
      <w:r>
        <w:rPr>
          <w:rFonts w:ascii="宋体" w:hAnsi="宋体" w:eastAsia="宋体" w:cs="宋体"/>
          <w:spacing w:val="18"/>
          <w:sz w:val="23"/>
          <w:szCs w:val="23"/>
        </w:rPr>
        <w:t>) 盘式饮水器</w:t>
      </w:r>
    </w:p>
    <w:p w14:paraId="1FE4DEFB">
      <w:pPr>
        <w:spacing w:before="183" w:line="375" w:lineRule="auto"/>
        <w:ind w:left="11" w:right="164" w:firstLine="480"/>
        <w:rPr>
          <w:rFonts w:ascii="宋体" w:hAnsi="宋体" w:eastAsia="宋体" w:cs="宋体"/>
          <w:sz w:val="23"/>
          <w:szCs w:val="23"/>
        </w:rPr>
      </w:pPr>
      <w:r>
        <w:rPr>
          <w:rFonts w:ascii="宋体" w:hAnsi="宋体" w:eastAsia="宋体" w:cs="宋体"/>
          <w:spacing w:val="7"/>
          <w:sz w:val="23"/>
          <w:szCs w:val="23"/>
        </w:rPr>
        <w:t>本项目养殖过程中采用盘式饮水器，有效减少了猪玩水及猪嘴漏水的浪费，并在日常</w:t>
      </w:r>
      <w:r>
        <w:rPr>
          <w:rFonts w:ascii="宋体" w:hAnsi="宋体" w:eastAsia="宋体" w:cs="宋体"/>
          <w:spacing w:val="5"/>
          <w:sz w:val="23"/>
          <w:szCs w:val="23"/>
        </w:rPr>
        <w:t>工</w:t>
      </w:r>
      <w:r>
        <w:rPr>
          <w:rFonts w:ascii="宋体" w:hAnsi="宋体" w:eastAsia="宋体" w:cs="宋体"/>
          <w:sz w:val="23"/>
          <w:szCs w:val="23"/>
        </w:rPr>
        <w:t xml:space="preserve"> </w:t>
      </w:r>
      <w:r>
        <w:rPr>
          <w:rFonts w:ascii="宋体" w:hAnsi="宋体" w:eastAsia="宋体" w:cs="宋体"/>
          <w:spacing w:val="11"/>
          <w:sz w:val="23"/>
          <w:szCs w:val="23"/>
        </w:rPr>
        <w:t>作</w:t>
      </w:r>
      <w:r>
        <w:rPr>
          <w:rFonts w:ascii="宋体" w:hAnsi="宋体" w:eastAsia="宋体" w:cs="宋体"/>
          <w:spacing w:val="7"/>
          <w:sz w:val="23"/>
          <w:szCs w:val="23"/>
        </w:rPr>
        <w:t>中加强管理，定时定量结合重奖重罚，以杜绝设备滴漏造成的浪费。夏季降温采用电脑控</w:t>
      </w:r>
      <w:r>
        <w:rPr>
          <w:rFonts w:ascii="宋体" w:hAnsi="宋体" w:eastAsia="宋体" w:cs="宋体"/>
          <w:sz w:val="23"/>
          <w:szCs w:val="23"/>
        </w:rPr>
        <w:t xml:space="preserve"> </w:t>
      </w:r>
      <w:r>
        <w:rPr>
          <w:rFonts w:ascii="宋体" w:hAnsi="宋体" w:eastAsia="宋体" w:cs="宋体"/>
          <w:spacing w:val="11"/>
          <w:sz w:val="23"/>
          <w:szCs w:val="23"/>
        </w:rPr>
        <w:t>制</w:t>
      </w:r>
      <w:r>
        <w:rPr>
          <w:rFonts w:ascii="宋体" w:hAnsi="宋体" w:eastAsia="宋体" w:cs="宋体"/>
          <w:spacing w:val="7"/>
          <w:sz w:val="23"/>
          <w:szCs w:val="23"/>
        </w:rPr>
        <w:t>喷淋水量，猪转栏时利用高压水枪配合烧碱水冲洗消毒，最大限度的从源头减少了水资源</w:t>
      </w:r>
      <w:r>
        <w:rPr>
          <w:rFonts w:ascii="宋体" w:hAnsi="宋体" w:eastAsia="宋体" w:cs="宋体"/>
          <w:sz w:val="23"/>
          <w:szCs w:val="23"/>
        </w:rPr>
        <w:t xml:space="preserve"> </w:t>
      </w:r>
      <w:r>
        <w:rPr>
          <w:rFonts w:ascii="宋体" w:hAnsi="宋体" w:eastAsia="宋体" w:cs="宋体"/>
          <w:spacing w:val="9"/>
          <w:sz w:val="23"/>
          <w:szCs w:val="23"/>
        </w:rPr>
        <w:t xml:space="preserve">的使用量，该饮水器比碗式饮水器每头猪节省水 </w:t>
      </w:r>
      <w:r>
        <w:rPr>
          <w:rFonts w:ascii="Times New Roman" w:hAnsi="Times New Roman" w:eastAsia="Times New Roman" w:cs="Times New Roman"/>
          <w:spacing w:val="9"/>
          <w:sz w:val="23"/>
          <w:szCs w:val="23"/>
        </w:rPr>
        <w:t>1</w:t>
      </w:r>
      <w:r>
        <w:rPr>
          <w:rFonts w:ascii="Times New Roman" w:hAnsi="Times New Roman" w:eastAsia="Times New Roman" w:cs="Times New Roman"/>
          <w:sz w:val="23"/>
          <w:szCs w:val="23"/>
        </w:rPr>
        <w:t>L</w:t>
      </w:r>
      <w:r>
        <w:rPr>
          <w:rFonts w:ascii="Times New Roman" w:hAnsi="Times New Roman" w:eastAsia="Times New Roman" w:cs="Times New Roman"/>
          <w:spacing w:val="9"/>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，提高了资源利用率，符合清洁生产</w:t>
      </w:r>
    </w:p>
    <w:p w14:paraId="2A4AFF6D">
      <w:pPr>
        <w:spacing w:line="228" w:lineRule="auto"/>
        <w:ind w:left="11"/>
        <w:rPr>
          <w:rFonts w:ascii="宋体" w:hAnsi="宋体" w:eastAsia="宋体" w:cs="宋体"/>
          <w:sz w:val="23"/>
          <w:szCs w:val="23"/>
        </w:rPr>
      </w:pPr>
      <w:r>
        <w:rPr>
          <w:rFonts w:ascii="宋体" w:hAnsi="宋体" w:eastAsia="宋体" w:cs="宋体"/>
          <w:spacing w:val="3"/>
          <w:sz w:val="23"/>
          <w:szCs w:val="23"/>
        </w:rPr>
        <w:t>要求。</w:t>
      </w:r>
    </w:p>
    <w:p w14:paraId="1A35D3F0">
      <w:pPr>
        <w:spacing w:before="138" w:line="387" w:lineRule="auto"/>
        <w:ind w:left="13" w:right="164" w:firstLine="478"/>
        <w:rPr>
          <w:rFonts w:ascii="宋体" w:hAnsi="宋体" w:eastAsia="宋体" w:cs="宋体"/>
          <w:sz w:val="23"/>
          <w:szCs w:val="23"/>
        </w:rPr>
      </w:pPr>
      <w:r>
        <w:rPr>
          <w:rFonts w:ascii="宋体" w:hAnsi="宋体" w:eastAsia="宋体" w:cs="宋体"/>
          <w:spacing w:val="7"/>
          <w:sz w:val="23"/>
          <w:szCs w:val="23"/>
        </w:rPr>
        <w:t>本</w:t>
      </w:r>
      <w:r>
        <w:rPr>
          <w:rFonts w:ascii="宋体" w:hAnsi="宋体" w:eastAsia="宋体" w:cs="宋体"/>
          <w:spacing w:val="4"/>
          <w:sz w:val="23"/>
          <w:szCs w:val="23"/>
        </w:rPr>
        <w:t xml:space="preserve">项目年存栏 </w:t>
      </w:r>
      <w:r>
        <w:rPr>
          <w:rFonts w:ascii="Times New Roman" w:hAnsi="Times New Roman" w:eastAsia="Times New Roman" w:cs="Times New Roman"/>
          <w:spacing w:val="4"/>
          <w:sz w:val="23"/>
          <w:szCs w:val="23"/>
        </w:rPr>
        <w:t xml:space="preserve">10400 </w:t>
      </w:r>
      <w:r>
        <w:rPr>
          <w:rFonts w:ascii="宋体" w:hAnsi="宋体" w:eastAsia="宋体" w:cs="宋体"/>
          <w:spacing w:val="4"/>
          <w:sz w:val="23"/>
          <w:szCs w:val="23"/>
        </w:rPr>
        <w:t xml:space="preserve">头，年消耗新鲜水量为 </w:t>
      </w:r>
      <w:r>
        <w:rPr>
          <w:rFonts w:ascii="Times New Roman" w:hAnsi="Times New Roman" w:eastAsia="Times New Roman" w:cs="Times New Roman"/>
          <w:spacing w:val="4"/>
          <w:sz w:val="23"/>
          <w:szCs w:val="23"/>
        </w:rPr>
        <w:t>63393.93</w:t>
      </w:r>
      <w:r>
        <w:rPr>
          <w:rFonts w:ascii="Times New Roman" w:hAnsi="Times New Roman" w:eastAsia="Times New Roman" w:cs="Times New Roman"/>
          <w:sz w:val="23"/>
          <w:szCs w:val="23"/>
        </w:rPr>
        <w:t>m</w:t>
      </w:r>
      <w:r>
        <w:rPr>
          <w:rFonts w:ascii="Times New Roman" w:hAnsi="Times New Roman" w:eastAsia="Times New Roman" w:cs="Times New Roman"/>
          <w:spacing w:val="4"/>
          <w:position w:val="8"/>
          <w:sz w:val="15"/>
          <w:szCs w:val="15"/>
        </w:rPr>
        <w:t>3</w:t>
      </w:r>
      <w:r>
        <w:rPr>
          <w:rFonts w:ascii="Times New Roman" w:hAnsi="Times New Roman" w:eastAsia="Times New Roman" w:cs="Times New Roman"/>
          <w:spacing w:val="4"/>
          <w:sz w:val="23"/>
          <w:szCs w:val="23"/>
        </w:rPr>
        <w:t>/</w:t>
      </w:r>
      <w:r>
        <w:rPr>
          <w:rFonts w:ascii="Times New Roman" w:hAnsi="Times New Roman" w:eastAsia="Times New Roman" w:cs="Times New Roman"/>
          <w:sz w:val="23"/>
          <w:szCs w:val="23"/>
        </w:rPr>
        <w:t>a</w:t>
      </w:r>
      <w:r>
        <w:rPr>
          <w:rFonts w:ascii="宋体" w:hAnsi="宋体" w:eastAsia="宋体" w:cs="宋体"/>
          <w:spacing w:val="4"/>
          <w:sz w:val="23"/>
          <w:szCs w:val="23"/>
        </w:rPr>
        <w:t>，则平均每头猪新鲜水消耗量</w:t>
      </w:r>
      <w:r>
        <w:rPr>
          <w:rFonts w:ascii="宋体" w:hAnsi="宋体" w:eastAsia="宋体" w:cs="宋体"/>
          <w:sz w:val="23"/>
          <w:szCs w:val="23"/>
        </w:rPr>
        <w:t xml:space="preserve"> </w:t>
      </w:r>
      <w:r>
        <w:rPr>
          <w:rFonts w:ascii="宋体" w:hAnsi="宋体" w:eastAsia="宋体" w:cs="宋体"/>
          <w:spacing w:val="6"/>
          <w:sz w:val="23"/>
          <w:szCs w:val="23"/>
        </w:rPr>
        <w:t xml:space="preserve">为 </w:t>
      </w:r>
      <w:r>
        <w:rPr>
          <w:rFonts w:ascii="Times New Roman" w:hAnsi="Times New Roman" w:eastAsia="Times New Roman" w:cs="Times New Roman"/>
          <w:spacing w:val="6"/>
          <w:sz w:val="23"/>
          <w:szCs w:val="23"/>
        </w:rPr>
        <w:t>6.09</w:t>
      </w:r>
      <w:r>
        <w:rPr>
          <w:rFonts w:ascii="Times New Roman" w:hAnsi="Times New Roman" w:eastAsia="Times New Roman" w:cs="Times New Roman"/>
          <w:sz w:val="23"/>
          <w:szCs w:val="23"/>
        </w:rPr>
        <w:t>m</w:t>
      </w:r>
      <w:r>
        <w:rPr>
          <w:rFonts w:ascii="Times New Roman" w:hAnsi="Times New Roman" w:eastAsia="Times New Roman" w:cs="Times New Roman"/>
          <w:spacing w:val="6"/>
          <w:position w:val="7"/>
          <w:sz w:val="15"/>
          <w:szCs w:val="15"/>
        </w:rPr>
        <w:t>3</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d</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头，提高了资源利用率，符合清洁生产要求</w:t>
      </w:r>
      <w:r>
        <w:rPr>
          <w:rFonts w:ascii="宋体" w:hAnsi="宋体" w:eastAsia="宋体" w:cs="宋体"/>
          <w:sz w:val="23"/>
          <w:szCs w:val="23"/>
        </w:rPr>
        <w:t>。</w:t>
      </w:r>
    </w:p>
    <w:p w14:paraId="1E1061C6">
      <w:pPr>
        <w:spacing w:before="11" w:line="376" w:lineRule="auto"/>
        <w:ind w:left="10" w:right="167" w:firstLine="483"/>
        <w:rPr>
          <w:rFonts w:ascii="宋体" w:hAnsi="宋体" w:eastAsia="宋体" w:cs="宋体"/>
          <w:sz w:val="23"/>
          <w:szCs w:val="23"/>
        </w:rPr>
      </w:pPr>
      <w:r>
        <w:rPr>
          <w:rFonts w:ascii="宋体" w:hAnsi="宋体" w:eastAsia="宋体" w:cs="宋体"/>
          <w:spacing w:val="7"/>
          <w:sz w:val="23"/>
          <w:szCs w:val="23"/>
        </w:rPr>
        <w:t>项目圈舍平时不冲洗，仅在猪只出栏清圈时进行冲洗。传统的方式用普通水管，浪费</w:t>
      </w:r>
      <w:r>
        <w:rPr>
          <w:rFonts w:ascii="宋体" w:hAnsi="宋体" w:eastAsia="宋体" w:cs="宋体"/>
          <w:spacing w:val="2"/>
          <w:sz w:val="23"/>
          <w:szCs w:val="23"/>
        </w:rPr>
        <w:t>大</w:t>
      </w:r>
      <w:r>
        <w:rPr>
          <w:rFonts w:ascii="宋体" w:hAnsi="宋体" w:eastAsia="宋体" w:cs="宋体"/>
          <w:sz w:val="23"/>
          <w:szCs w:val="23"/>
        </w:rPr>
        <w:t xml:space="preserve"> </w:t>
      </w:r>
      <w:r>
        <w:rPr>
          <w:rFonts w:ascii="宋体" w:hAnsi="宋体" w:eastAsia="宋体" w:cs="宋体"/>
          <w:spacing w:val="12"/>
          <w:sz w:val="23"/>
          <w:szCs w:val="23"/>
        </w:rPr>
        <w:t>量清</w:t>
      </w:r>
      <w:r>
        <w:rPr>
          <w:rFonts w:ascii="宋体" w:hAnsi="宋体" w:eastAsia="宋体" w:cs="宋体"/>
          <w:spacing w:val="10"/>
          <w:sz w:val="23"/>
          <w:szCs w:val="23"/>
        </w:rPr>
        <w:t>水</w:t>
      </w:r>
      <w:r>
        <w:rPr>
          <w:rFonts w:ascii="宋体" w:hAnsi="宋体" w:eastAsia="宋体" w:cs="宋体"/>
          <w:spacing w:val="6"/>
          <w:sz w:val="23"/>
          <w:szCs w:val="23"/>
        </w:rPr>
        <w:t xml:space="preserve">，而高压水枪设置 </w:t>
      </w:r>
      <w:r>
        <w:rPr>
          <w:rFonts w:ascii="Times New Roman" w:hAnsi="Times New Roman" w:eastAsia="Times New Roman" w:cs="Times New Roman"/>
          <w:spacing w:val="6"/>
          <w:sz w:val="23"/>
          <w:szCs w:val="23"/>
        </w:rPr>
        <w:t xml:space="preserve">18-20 </w:t>
      </w:r>
      <w:r>
        <w:rPr>
          <w:rFonts w:ascii="宋体" w:hAnsi="宋体" w:eastAsia="宋体" w:cs="宋体"/>
          <w:spacing w:val="6"/>
          <w:sz w:val="23"/>
          <w:szCs w:val="23"/>
        </w:rPr>
        <w:t>个大气压，使用少量清水就能完成。</w:t>
      </w:r>
    </w:p>
    <w:p w14:paraId="7583BC9F">
      <w:pPr>
        <w:spacing w:line="228" w:lineRule="auto"/>
        <w:ind w:left="488"/>
        <w:outlineLvl w:val="3"/>
        <w:rPr>
          <w:rFonts w:ascii="宋体" w:hAnsi="宋体" w:eastAsia="宋体" w:cs="宋体"/>
          <w:sz w:val="23"/>
          <w:szCs w:val="23"/>
        </w:rPr>
      </w:pPr>
      <w:r>
        <w:rPr>
          <w:rFonts w:ascii="Times New Roman" w:hAnsi="Times New Roman" w:eastAsia="Times New Roman" w:cs="Times New Roman"/>
          <w:b/>
          <w:bCs/>
          <w:spacing w:val="10"/>
          <w:sz w:val="23"/>
          <w:szCs w:val="23"/>
        </w:rPr>
        <w:t>7</w:t>
      </w:r>
      <w:r>
        <w:rPr>
          <w:rFonts w:ascii="Times New Roman" w:hAnsi="Times New Roman" w:eastAsia="Times New Roman" w:cs="Times New Roman"/>
          <w:b/>
          <w:bCs/>
          <w:spacing w:val="9"/>
          <w:sz w:val="23"/>
          <w:szCs w:val="23"/>
        </w:rPr>
        <w:t>.</w:t>
      </w:r>
      <w:r>
        <w:rPr>
          <w:rFonts w:ascii="Times New Roman" w:hAnsi="Times New Roman" w:eastAsia="Times New Roman" w:cs="Times New Roman"/>
          <w:b/>
          <w:bCs/>
          <w:spacing w:val="5"/>
          <w:sz w:val="23"/>
          <w:szCs w:val="23"/>
        </w:rPr>
        <w:t>2.3.2</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燃料的节约</w:t>
      </w:r>
    </w:p>
    <w:p w14:paraId="59E81BD7">
      <w:pPr>
        <w:spacing w:before="181" w:line="227" w:lineRule="auto"/>
        <w:ind w:left="50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1</w:t>
      </w:r>
      <w:r>
        <w:rPr>
          <w:rFonts w:ascii="宋体" w:hAnsi="宋体" w:eastAsia="宋体" w:cs="宋体"/>
          <w:spacing w:val="20"/>
          <w:sz w:val="23"/>
          <w:szCs w:val="23"/>
        </w:rPr>
        <w:t>) 猪舍供</w:t>
      </w:r>
      <w:r>
        <w:rPr>
          <w:rFonts w:ascii="宋体" w:hAnsi="宋体" w:eastAsia="宋体" w:cs="宋体"/>
          <w:spacing w:val="19"/>
          <w:sz w:val="23"/>
          <w:szCs w:val="23"/>
        </w:rPr>
        <w:t>热</w:t>
      </w:r>
    </w:p>
    <w:p w14:paraId="3880FF84">
      <w:pPr>
        <w:spacing w:before="185" w:line="227" w:lineRule="auto"/>
        <w:ind w:left="491"/>
        <w:rPr>
          <w:rFonts w:ascii="宋体" w:hAnsi="宋体" w:eastAsia="宋体" w:cs="宋体"/>
          <w:sz w:val="23"/>
          <w:szCs w:val="23"/>
        </w:rPr>
      </w:pPr>
      <w:r>
        <w:rPr>
          <w:rFonts w:ascii="宋体" w:hAnsi="宋体" w:eastAsia="宋体" w:cs="宋体"/>
          <w:spacing w:val="7"/>
          <w:sz w:val="23"/>
          <w:szCs w:val="23"/>
        </w:rPr>
        <w:t>本项目冬季育肥舍取暖采用墙体安装夹心保温板，在很大程度上减少了燃料和电能的</w:t>
      </w:r>
      <w:r>
        <w:rPr>
          <w:rFonts w:ascii="宋体" w:hAnsi="宋体" w:eastAsia="宋体" w:cs="宋体"/>
          <w:spacing w:val="5"/>
          <w:sz w:val="23"/>
          <w:szCs w:val="23"/>
        </w:rPr>
        <w:t>使</w:t>
      </w:r>
    </w:p>
    <w:p w14:paraId="47D740D2">
      <w:pPr>
        <w:spacing w:before="183" w:line="229" w:lineRule="auto"/>
        <w:ind w:left="12"/>
        <w:rPr>
          <w:rFonts w:ascii="宋体" w:hAnsi="宋体" w:eastAsia="宋体" w:cs="宋体"/>
          <w:sz w:val="23"/>
          <w:szCs w:val="23"/>
        </w:rPr>
      </w:pPr>
      <w:r>
        <w:rPr>
          <w:rFonts w:ascii="宋体" w:hAnsi="宋体" w:eastAsia="宋体" w:cs="宋体"/>
          <w:spacing w:val="8"/>
          <w:sz w:val="23"/>
          <w:szCs w:val="23"/>
        </w:rPr>
        <w:t>用，符合清洁生产要求。</w:t>
      </w:r>
    </w:p>
    <w:p w14:paraId="27DE9846">
      <w:pPr>
        <w:spacing w:before="183" w:line="228" w:lineRule="auto"/>
        <w:ind w:left="50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2</w:t>
      </w:r>
      <w:r>
        <w:rPr>
          <w:rFonts w:ascii="宋体" w:hAnsi="宋体" w:eastAsia="宋体" w:cs="宋体"/>
          <w:spacing w:val="20"/>
          <w:sz w:val="23"/>
          <w:szCs w:val="23"/>
        </w:rPr>
        <w:t>) 食堂燃</w:t>
      </w:r>
      <w:r>
        <w:rPr>
          <w:rFonts w:ascii="宋体" w:hAnsi="宋体" w:eastAsia="宋体" w:cs="宋体"/>
          <w:spacing w:val="19"/>
          <w:sz w:val="23"/>
          <w:szCs w:val="23"/>
        </w:rPr>
        <w:t>料</w:t>
      </w:r>
    </w:p>
    <w:p w14:paraId="2184830F">
      <w:pPr>
        <w:spacing w:before="183" w:line="227" w:lineRule="auto"/>
        <w:ind w:left="491"/>
        <w:rPr>
          <w:rFonts w:ascii="宋体" w:hAnsi="宋体" w:eastAsia="宋体" w:cs="宋体"/>
          <w:sz w:val="23"/>
          <w:szCs w:val="23"/>
        </w:rPr>
      </w:pPr>
      <w:r>
        <w:rPr>
          <w:rFonts w:ascii="宋体" w:hAnsi="宋体" w:eastAsia="宋体" w:cs="宋体"/>
          <w:spacing w:val="18"/>
          <w:sz w:val="23"/>
          <w:szCs w:val="23"/>
        </w:rPr>
        <w:t>本</w:t>
      </w:r>
      <w:r>
        <w:rPr>
          <w:rFonts w:ascii="宋体" w:hAnsi="宋体" w:eastAsia="宋体" w:cs="宋体"/>
          <w:spacing w:val="16"/>
          <w:sz w:val="23"/>
          <w:szCs w:val="23"/>
        </w:rPr>
        <w:t>项</w:t>
      </w:r>
      <w:r>
        <w:rPr>
          <w:rFonts w:ascii="宋体" w:hAnsi="宋体" w:eastAsia="宋体" w:cs="宋体"/>
          <w:spacing w:val="9"/>
          <w:sz w:val="23"/>
          <w:szCs w:val="23"/>
        </w:rPr>
        <w:t>目食堂燃料采用清洁能源电能，产生的污染物小，不会对外环境造成较大影响。</w:t>
      </w:r>
    </w:p>
    <w:p w14:paraId="73A490D1">
      <w:pPr>
        <w:spacing w:before="184" w:line="227" w:lineRule="auto"/>
        <w:ind w:left="488"/>
        <w:outlineLvl w:val="2"/>
        <w:rPr>
          <w:rFonts w:ascii="宋体" w:hAnsi="宋体" w:eastAsia="宋体" w:cs="宋体"/>
          <w:sz w:val="23"/>
          <w:szCs w:val="23"/>
        </w:rPr>
      </w:pPr>
      <w:r>
        <w:rPr>
          <w:rFonts w:ascii="Times New Roman" w:hAnsi="Times New Roman" w:eastAsia="Times New Roman" w:cs="Times New Roman"/>
          <w:b/>
          <w:bCs/>
          <w:spacing w:val="9"/>
          <w:sz w:val="23"/>
          <w:szCs w:val="23"/>
        </w:rPr>
        <w:t>7</w:t>
      </w:r>
      <w:r>
        <w:rPr>
          <w:rFonts w:ascii="Times New Roman" w:hAnsi="Times New Roman" w:eastAsia="Times New Roman" w:cs="Times New Roman"/>
          <w:b/>
          <w:bCs/>
          <w:spacing w:val="5"/>
          <w:sz w:val="23"/>
          <w:szCs w:val="23"/>
        </w:rPr>
        <w:t>.2.3</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产品指标</w:t>
      </w:r>
    </w:p>
    <w:p w14:paraId="0B548EE0">
      <w:pPr>
        <w:spacing w:before="183" w:line="375" w:lineRule="auto"/>
        <w:ind w:left="9" w:right="167" w:firstLine="481"/>
        <w:rPr>
          <w:rFonts w:ascii="宋体" w:hAnsi="宋体" w:eastAsia="宋体" w:cs="宋体"/>
          <w:sz w:val="23"/>
          <w:szCs w:val="23"/>
        </w:rPr>
      </w:pPr>
      <w:r>
        <w:rPr>
          <w:rFonts w:ascii="宋体" w:hAnsi="宋体" w:eastAsia="宋体" w:cs="宋体"/>
          <w:spacing w:val="7"/>
          <w:sz w:val="23"/>
          <w:szCs w:val="23"/>
        </w:rPr>
        <w:t>本项目主要产品为育肥猪。本项目采用的饲料质量进行全过程控制。本项目拟建设为</w:t>
      </w:r>
      <w:r>
        <w:rPr>
          <w:rFonts w:ascii="宋体" w:hAnsi="宋体" w:eastAsia="宋体" w:cs="宋体"/>
          <w:spacing w:val="5"/>
          <w:sz w:val="23"/>
          <w:szCs w:val="23"/>
        </w:rPr>
        <w:t>无</w:t>
      </w:r>
      <w:r>
        <w:rPr>
          <w:rFonts w:ascii="宋体" w:hAnsi="宋体" w:eastAsia="宋体" w:cs="宋体"/>
          <w:sz w:val="23"/>
          <w:szCs w:val="23"/>
        </w:rPr>
        <w:t xml:space="preserve"> </w:t>
      </w:r>
      <w:r>
        <w:rPr>
          <w:rFonts w:ascii="宋体" w:hAnsi="宋体" w:eastAsia="宋体" w:cs="宋体"/>
          <w:spacing w:val="12"/>
          <w:sz w:val="23"/>
          <w:szCs w:val="23"/>
        </w:rPr>
        <w:t>公</w:t>
      </w:r>
      <w:r>
        <w:rPr>
          <w:rFonts w:ascii="宋体" w:hAnsi="宋体" w:eastAsia="宋体" w:cs="宋体"/>
          <w:spacing w:val="7"/>
          <w:sz w:val="23"/>
          <w:szCs w:val="23"/>
        </w:rPr>
        <w:t>害食品基地，施行无公害生产管理，公司对使用的饲料均制定了严格的质量标准和品质检</w:t>
      </w:r>
      <w:r>
        <w:rPr>
          <w:rFonts w:ascii="宋体" w:hAnsi="宋体" w:eastAsia="宋体" w:cs="宋体"/>
          <w:sz w:val="23"/>
          <w:szCs w:val="23"/>
        </w:rPr>
        <w:t xml:space="preserve"> </w:t>
      </w:r>
      <w:r>
        <w:rPr>
          <w:rFonts w:ascii="宋体" w:hAnsi="宋体" w:eastAsia="宋体" w:cs="宋体"/>
          <w:spacing w:val="12"/>
          <w:sz w:val="23"/>
          <w:szCs w:val="23"/>
        </w:rPr>
        <w:t>验</w:t>
      </w:r>
      <w:r>
        <w:rPr>
          <w:rFonts w:ascii="宋体" w:hAnsi="宋体" w:eastAsia="宋体" w:cs="宋体"/>
          <w:spacing w:val="7"/>
          <w:sz w:val="23"/>
          <w:szCs w:val="23"/>
        </w:rPr>
        <w:t>、控制程序，确保饲料品质符合国家标准和满足本公司商品猪饲养的需要，从源头上对食</w:t>
      </w:r>
      <w:r>
        <w:rPr>
          <w:rFonts w:ascii="宋体" w:hAnsi="宋体" w:eastAsia="宋体" w:cs="宋体"/>
          <w:sz w:val="23"/>
          <w:szCs w:val="23"/>
        </w:rPr>
        <w:t xml:space="preserve"> </w:t>
      </w:r>
      <w:r>
        <w:rPr>
          <w:rFonts w:ascii="宋体" w:hAnsi="宋体" w:eastAsia="宋体" w:cs="宋体"/>
          <w:spacing w:val="8"/>
          <w:sz w:val="23"/>
          <w:szCs w:val="23"/>
        </w:rPr>
        <w:t>品安全进行了控制</w:t>
      </w:r>
      <w:r>
        <w:rPr>
          <w:rFonts w:ascii="宋体" w:hAnsi="宋体" w:eastAsia="宋体" w:cs="宋体"/>
          <w:spacing w:val="7"/>
          <w:sz w:val="23"/>
          <w:szCs w:val="23"/>
        </w:rPr>
        <w:t>。</w:t>
      </w:r>
    </w:p>
    <w:p w14:paraId="45F9DF0C">
      <w:pPr>
        <w:spacing w:before="1" w:line="227" w:lineRule="auto"/>
        <w:ind w:left="488"/>
        <w:outlineLvl w:val="2"/>
        <w:rPr>
          <w:rFonts w:ascii="宋体" w:hAnsi="宋体" w:eastAsia="宋体" w:cs="宋体"/>
          <w:sz w:val="23"/>
          <w:szCs w:val="23"/>
        </w:rPr>
      </w:pPr>
      <w:r>
        <w:rPr>
          <w:rFonts w:ascii="Times New Roman" w:hAnsi="Times New Roman" w:eastAsia="Times New Roman" w:cs="Times New Roman"/>
          <w:b/>
          <w:bCs/>
          <w:spacing w:val="14"/>
          <w:sz w:val="23"/>
          <w:szCs w:val="23"/>
        </w:rPr>
        <w:t>7</w:t>
      </w:r>
      <w:r>
        <w:rPr>
          <w:rFonts w:ascii="Times New Roman" w:hAnsi="Times New Roman" w:eastAsia="Times New Roman" w:cs="Times New Roman"/>
          <w:b/>
          <w:bCs/>
          <w:spacing w:val="7"/>
          <w:sz w:val="23"/>
          <w:szCs w:val="23"/>
        </w:rPr>
        <w:t>.2.4</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污染物产生及防治措施</w:t>
      </w:r>
    </w:p>
    <w:p w14:paraId="1DEEA7A1">
      <w:pPr>
        <w:spacing w:before="183" w:line="227" w:lineRule="auto"/>
        <w:ind w:left="501"/>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7"/>
          <w:sz w:val="23"/>
          <w:szCs w:val="23"/>
        </w:rPr>
        <w:t>1</w:t>
      </w:r>
      <w:r>
        <w:rPr>
          <w:rFonts w:ascii="宋体" w:hAnsi="宋体" w:eastAsia="宋体" w:cs="宋体"/>
          <w:spacing w:val="17"/>
          <w:sz w:val="23"/>
          <w:szCs w:val="23"/>
        </w:rPr>
        <w:t>) 废水资源化利用</w:t>
      </w:r>
    </w:p>
    <w:p w14:paraId="67A17DEA">
      <w:pPr>
        <w:spacing w:before="182" w:line="375" w:lineRule="auto"/>
        <w:ind w:left="12" w:firstLine="478"/>
        <w:rPr>
          <w:rFonts w:ascii="宋体" w:hAnsi="宋体" w:eastAsia="宋体" w:cs="宋体"/>
          <w:sz w:val="23"/>
          <w:szCs w:val="23"/>
        </w:rPr>
      </w:pPr>
      <w:r>
        <w:rPr>
          <w:rFonts w:ascii="宋体" w:hAnsi="宋体" w:eastAsia="宋体" w:cs="宋体"/>
          <w:spacing w:val="12"/>
          <w:sz w:val="23"/>
          <w:szCs w:val="23"/>
        </w:rPr>
        <w:t>根据第三章</w:t>
      </w:r>
      <w:r>
        <w:rPr>
          <w:rFonts w:ascii="宋体" w:hAnsi="宋体" w:eastAsia="宋体" w:cs="宋体"/>
          <w:spacing w:val="7"/>
          <w:sz w:val="23"/>
          <w:szCs w:val="23"/>
        </w:rPr>
        <w:t>工</w:t>
      </w:r>
      <w:r>
        <w:rPr>
          <w:rFonts w:ascii="宋体" w:hAnsi="宋体" w:eastAsia="宋体" w:cs="宋体"/>
          <w:spacing w:val="6"/>
          <w:sz w:val="23"/>
          <w:szCs w:val="23"/>
        </w:rPr>
        <w:t>程分析，本项目生活污水与养殖废水分开处置，生活污水经化粪池 (其中</w:t>
      </w:r>
      <w:r>
        <w:rPr>
          <w:rFonts w:ascii="宋体" w:hAnsi="宋体" w:eastAsia="宋体" w:cs="宋体"/>
          <w:sz w:val="23"/>
          <w:szCs w:val="23"/>
        </w:rPr>
        <w:t xml:space="preserve"> </w:t>
      </w:r>
      <w:r>
        <w:rPr>
          <w:rFonts w:ascii="宋体" w:hAnsi="宋体" w:eastAsia="宋体" w:cs="宋体"/>
          <w:spacing w:val="7"/>
          <w:sz w:val="23"/>
          <w:szCs w:val="23"/>
        </w:rPr>
        <w:t>餐饮废水先经隔油池隔油处理再进入化粪池) 收集后用作自家林地灌溉，不外排；养殖废</w:t>
      </w:r>
      <w:r>
        <w:rPr>
          <w:rFonts w:ascii="宋体" w:hAnsi="宋体" w:eastAsia="宋体" w:cs="宋体"/>
          <w:spacing w:val="3"/>
          <w:sz w:val="23"/>
          <w:szCs w:val="23"/>
        </w:rPr>
        <w:t>水</w:t>
      </w:r>
      <w:r>
        <w:rPr>
          <w:rFonts w:ascii="宋体" w:hAnsi="宋体" w:eastAsia="宋体" w:cs="宋体"/>
          <w:sz w:val="23"/>
          <w:szCs w:val="23"/>
        </w:rPr>
        <w:t xml:space="preserve"> </w:t>
      </w:r>
      <w:r>
        <w:rPr>
          <w:rFonts w:ascii="宋体" w:hAnsi="宋体" w:eastAsia="宋体" w:cs="宋体"/>
          <w:spacing w:val="8"/>
          <w:sz w:val="23"/>
          <w:szCs w:val="23"/>
        </w:rPr>
        <w:t xml:space="preserve">目前拟每日运输至乐山乐高勤力生物质能源综合利用有限公司集中处置(已签订收纳协议) </w:t>
      </w:r>
      <w:r>
        <w:rPr>
          <w:rFonts w:ascii="宋体" w:hAnsi="宋体" w:eastAsia="宋体" w:cs="宋体"/>
          <w:spacing w:val="7"/>
          <w:sz w:val="23"/>
          <w:szCs w:val="23"/>
        </w:rPr>
        <w:t>，</w:t>
      </w:r>
      <w:r>
        <w:rPr>
          <w:rFonts w:ascii="宋体" w:hAnsi="宋体" w:eastAsia="宋体" w:cs="宋体"/>
          <w:sz w:val="23"/>
          <w:szCs w:val="23"/>
        </w:rPr>
        <w:t xml:space="preserve"> </w:t>
      </w:r>
      <w:r>
        <w:rPr>
          <w:rFonts w:ascii="宋体" w:hAnsi="宋体" w:eastAsia="宋体" w:cs="宋体"/>
          <w:spacing w:val="8"/>
          <w:sz w:val="23"/>
          <w:szCs w:val="23"/>
        </w:rPr>
        <w:t xml:space="preserve">日产日清，同时，厂区还配套建设有一 </w:t>
      </w:r>
      <w:r>
        <w:rPr>
          <w:rFonts w:ascii="Times New Roman" w:hAnsi="Times New Roman" w:eastAsia="Times New Roman" w:cs="Times New Roman"/>
          <w:spacing w:val="8"/>
          <w:sz w:val="23"/>
          <w:szCs w:val="23"/>
        </w:rPr>
        <w:t>1600</w:t>
      </w:r>
      <w:r>
        <w:rPr>
          <w:rFonts w:ascii="Times New Roman" w:hAnsi="Times New Roman" w:eastAsia="Times New Roman" w:cs="Times New Roman"/>
          <w:sz w:val="23"/>
          <w:szCs w:val="23"/>
        </w:rPr>
        <w:t>m</w:t>
      </w:r>
      <w:r>
        <w:rPr>
          <w:rFonts w:ascii="Times New Roman" w:hAnsi="Times New Roman" w:eastAsia="Times New Roman" w:cs="Times New Roman"/>
          <w:spacing w:val="8"/>
          <w:position w:val="8"/>
          <w:sz w:val="15"/>
          <w:szCs w:val="15"/>
        </w:rPr>
        <w:t xml:space="preserve">2 </w:t>
      </w:r>
      <w:r>
        <w:rPr>
          <w:rFonts w:ascii="宋体" w:hAnsi="宋体" w:eastAsia="宋体" w:cs="宋体"/>
          <w:spacing w:val="8"/>
          <w:sz w:val="23"/>
          <w:szCs w:val="23"/>
        </w:rPr>
        <w:t>的发酵床备用，若后期乐山乐高勤力生物</w:t>
      </w:r>
      <w:r>
        <w:rPr>
          <w:rFonts w:ascii="宋体" w:hAnsi="宋体" w:eastAsia="宋体" w:cs="宋体"/>
          <w:sz w:val="23"/>
          <w:szCs w:val="23"/>
        </w:rPr>
        <w:t xml:space="preserve">质 </w:t>
      </w:r>
      <w:r>
        <w:rPr>
          <w:rFonts w:ascii="宋体" w:hAnsi="宋体" w:eastAsia="宋体" w:cs="宋体"/>
          <w:spacing w:val="10"/>
          <w:sz w:val="23"/>
          <w:szCs w:val="23"/>
        </w:rPr>
        <w:t>能</w:t>
      </w:r>
      <w:r>
        <w:rPr>
          <w:rFonts w:ascii="宋体" w:hAnsi="宋体" w:eastAsia="宋体" w:cs="宋体"/>
          <w:spacing w:val="7"/>
          <w:sz w:val="23"/>
          <w:szCs w:val="23"/>
        </w:rPr>
        <w:t>源综合利用有限公司不再回收厂区内的养殖废水，可将通过异位发酵床自行处置，处理产</w:t>
      </w:r>
      <w:r>
        <w:rPr>
          <w:rFonts w:ascii="宋体" w:hAnsi="宋体" w:eastAsia="宋体" w:cs="宋体"/>
          <w:sz w:val="23"/>
          <w:szCs w:val="23"/>
        </w:rPr>
        <w:t xml:space="preserve"> </w:t>
      </w:r>
      <w:r>
        <w:rPr>
          <w:rFonts w:ascii="宋体" w:hAnsi="宋体" w:eastAsia="宋体" w:cs="宋体"/>
          <w:spacing w:val="14"/>
          <w:sz w:val="23"/>
          <w:szCs w:val="23"/>
        </w:rPr>
        <w:t>生</w:t>
      </w:r>
      <w:r>
        <w:rPr>
          <w:rFonts w:ascii="宋体" w:hAnsi="宋体" w:eastAsia="宋体" w:cs="宋体"/>
          <w:spacing w:val="8"/>
          <w:sz w:val="23"/>
          <w:szCs w:val="23"/>
        </w:rPr>
        <w:t>的</w:t>
      </w:r>
      <w:r>
        <w:rPr>
          <w:rFonts w:ascii="宋体" w:hAnsi="宋体" w:eastAsia="宋体" w:cs="宋体"/>
          <w:spacing w:val="7"/>
          <w:sz w:val="23"/>
          <w:szCs w:val="23"/>
        </w:rPr>
        <w:t>有机肥外售处理，两种养殖废水处置方式均能做到废水零排放。能够实现变废为宝，实</w:t>
      </w:r>
    </w:p>
    <w:p w14:paraId="39685D37">
      <w:pPr>
        <w:spacing w:line="227" w:lineRule="auto"/>
        <w:ind w:left="12"/>
        <w:rPr>
          <w:rFonts w:ascii="宋体" w:hAnsi="宋体" w:eastAsia="宋体" w:cs="宋体"/>
          <w:sz w:val="23"/>
          <w:szCs w:val="23"/>
        </w:rPr>
      </w:pPr>
      <w:r>
        <w:rPr>
          <w:rFonts w:ascii="宋体" w:hAnsi="宋体" w:eastAsia="宋体" w:cs="宋体"/>
          <w:spacing w:val="16"/>
          <w:sz w:val="23"/>
          <w:szCs w:val="23"/>
        </w:rPr>
        <w:t>现</w:t>
      </w:r>
      <w:r>
        <w:rPr>
          <w:rFonts w:ascii="宋体" w:hAnsi="宋体" w:eastAsia="宋体" w:cs="宋体"/>
          <w:spacing w:val="10"/>
          <w:sz w:val="23"/>
          <w:szCs w:val="23"/>
        </w:rPr>
        <w:t>废</w:t>
      </w:r>
      <w:r>
        <w:rPr>
          <w:rFonts w:ascii="宋体" w:hAnsi="宋体" w:eastAsia="宋体" w:cs="宋体"/>
          <w:spacing w:val="8"/>
          <w:sz w:val="23"/>
          <w:szCs w:val="23"/>
        </w:rPr>
        <w:t>水零排放，符合清洁生产要求。</w:t>
      </w:r>
    </w:p>
    <w:p w14:paraId="73CCCD56">
      <w:pPr>
        <w:sectPr>
          <w:headerReference r:id="rId278" w:type="default"/>
          <w:footerReference r:id="rId279" w:type="default"/>
          <w:pgSz w:w="11906" w:h="16839"/>
          <w:pgMar w:top="1113" w:right="967" w:bottom="1156" w:left="1275" w:header="878" w:footer="994" w:gutter="0"/>
          <w:cols w:space="720" w:num="1"/>
        </w:sectPr>
      </w:pPr>
    </w:p>
    <w:p w14:paraId="12EE4B97">
      <w:pPr>
        <w:spacing w:before="198" w:line="227" w:lineRule="auto"/>
        <w:ind w:left="501"/>
        <w:rPr>
          <w:rFonts w:ascii="宋体" w:hAnsi="宋体" w:eastAsia="宋体" w:cs="宋体"/>
          <w:sz w:val="23"/>
          <w:szCs w:val="23"/>
        </w:rPr>
      </w:pPr>
      <w:r>
        <w:rPr>
          <w:rFonts w:ascii="宋体" w:hAnsi="宋体" w:eastAsia="宋体" w:cs="宋体"/>
          <w:spacing w:val="17"/>
          <w:sz w:val="23"/>
          <w:szCs w:val="23"/>
        </w:rPr>
        <w:t>(</w:t>
      </w:r>
      <w:r>
        <w:rPr>
          <w:rFonts w:ascii="Times New Roman" w:hAnsi="Times New Roman" w:eastAsia="Times New Roman" w:cs="Times New Roman"/>
          <w:spacing w:val="16"/>
          <w:sz w:val="23"/>
          <w:szCs w:val="23"/>
        </w:rPr>
        <w:t>2</w:t>
      </w:r>
      <w:r>
        <w:rPr>
          <w:rFonts w:ascii="宋体" w:hAnsi="宋体" w:eastAsia="宋体" w:cs="宋体"/>
          <w:spacing w:val="16"/>
          <w:sz w:val="23"/>
          <w:szCs w:val="23"/>
        </w:rPr>
        <w:t>) 减少废气产生和排放</w:t>
      </w:r>
    </w:p>
    <w:p w14:paraId="5AD69055">
      <w:pPr>
        <w:spacing w:before="138" w:line="384" w:lineRule="auto"/>
        <w:ind w:left="10" w:right="105" w:firstLine="483"/>
        <w:rPr>
          <w:rFonts w:ascii="宋体" w:hAnsi="宋体" w:eastAsia="宋体" w:cs="宋体"/>
          <w:sz w:val="23"/>
          <w:szCs w:val="23"/>
        </w:rPr>
      </w:pPr>
      <w:r>
        <w:rPr>
          <w:rFonts w:ascii="宋体" w:hAnsi="宋体" w:eastAsia="宋体" w:cs="宋体"/>
          <w:spacing w:val="18"/>
          <w:sz w:val="23"/>
          <w:szCs w:val="23"/>
        </w:rPr>
        <w:t>项</w:t>
      </w:r>
      <w:r>
        <w:rPr>
          <w:rFonts w:ascii="宋体" w:hAnsi="宋体" w:eastAsia="宋体" w:cs="宋体"/>
          <w:spacing w:val="9"/>
          <w:sz w:val="23"/>
          <w:szCs w:val="23"/>
        </w:rPr>
        <w:t>目废气排放主要为猪舍排放的恶臭气体。采用</w:t>
      </w:r>
      <w:r>
        <w:rPr>
          <w:rFonts w:ascii="Times New Roman" w:hAnsi="Times New Roman" w:eastAsia="Times New Roman" w:cs="Times New Roman"/>
          <w:spacing w:val="9"/>
          <w:sz w:val="23"/>
          <w:szCs w:val="23"/>
        </w:rPr>
        <w:t>“</w:t>
      </w:r>
      <w:r>
        <w:rPr>
          <w:rFonts w:ascii="宋体" w:hAnsi="宋体" w:eastAsia="宋体" w:cs="宋体"/>
          <w:spacing w:val="9"/>
          <w:sz w:val="23"/>
          <w:szCs w:val="23"/>
        </w:rPr>
        <w:t>高架网床</w:t>
      </w:r>
      <w:r>
        <w:rPr>
          <w:rFonts w:ascii="Times New Roman" w:hAnsi="Times New Roman" w:eastAsia="Times New Roman" w:cs="Times New Roman"/>
          <w:spacing w:val="9"/>
          <w:sz w:val="23"/>
          <w:szCs w:val="23"/>
        </w:rPr>
        <w:t>+</w:t>
      </w:r>
      <w:r>
        <w:rPr>
          <w:rFonts w:ascii="宋体" w:hAnsi="宋体" w:eastAsia="宋体" w:cs="宋体"/>
          <w:spacing w:val="9"/>
          <w:sz w:val="23"/>
          <w:szCs w:val="23"/>
        </w:rPr>
        <w:t>益生菌</w:t>
      </w:r>
      <w:r>
        <w:rPr>
          <w:rFonts w:ascii="Times New Roman" w:hAnsi="Times New Roman" w:eastAsia="Times New Roman" w:cs="Times New Roman"/>
          <w:spacing w:val="9"/>
          <w:sz w:val="23"/>
          <w:szCs w:val="23"/>
        </w:rPr>
        <w:t>”</w:t>
      </w:r>
      <w:r>
        <w:rPr>
          <w:rFonts w:ascii="宋体" w:hAnsi="宋体" w:eastAsia="宋体" w:cs="宋体"/>
          <w:spacing w:val="9"/>
          <w:sz w:val="23"/>
          <w:szCs w:val="23"/>
        </w:rPr>
        <w:t>养殖模式，从源头</w:t>
      </w:r>
      <w:r>
        <w:rPr>
          <w:rFonts w:ascii="宋体" w:hAnsi="宋体" w:eastAsia="宋体" w:cs="宋体"/>
          <w:sz w:val="23"/>
          <w:szCs w:val="23"/>
        </w:rPr>
        <w:t xml:space="preserve"> </w:t>
      </w:r>
      <w:r>
        <w:rPr>
          <w:rFonts w:ascii="宋体" w:hAnsi="宋体" w:eastAsia="宋体" w:cs="宋体"/>
          <w:spacing w:val="12"/>
          <w:sz w:val="23"/>
          <w:szCs w:val="23"/>
        </w:rPr>
        <w:t>较</w:t>
      </w:r>
      <w:r>
        <w:rPr>
          <w:rFonts w:ascii="宋体" w:hAnsi="宋体" w:eastAsia="宋体" w:cs="宋体"/>
          <w:spacing w:val="7"/>
          <w:sz w:val="23"/>
          <w:szCs w:val="23"/>
        </w:rPr>
        <w:t>少臭气产生；改良饲料、科学配比饲料；合理平面布置、加强对猪舍的通风换气；及时尿</w:t>
      </w:r>
      <w:r>
        <w:rPr>
          <w:rFonts w:ascii="宋体" w:hAnsi="宋体" w:eastAsia="宋体" w:cs="宋体"/>
          <w:sz w:val="23"/>
          <w:szCs w:val="23"/>
        </w:rPr>
        <w:t xml:space="preserve"> </w:t>
      </w:r>
      <w:r>
        <w:rPr>
          <w:rFonts w:ascii="宋体" w:hAnsi="宋体" w:eastAsia="宋体" w:cs="宋体"/>
          <w:spacing w:val="12"/>
          <w:sz w:val="23"/>
          <w:szCs w:val="23"/>
        </w:rPr>
        <w:t>泡</w:t>
      </w:r>
      <w:r>
        <w:rPr>
          <w:rFonts w:ascii="宋体" w:hAnsi="宋体" w:eastAsia="宋体" w:cs="宋体"/>
          <w:spacing w:val="7"/>
          <w:sz w:val="23"/>
          <w:szCs w:val="23"/>
        </w:rPr>
        <w:t>粪、集污池加蓬盖、粪污及时抽出发酵床作无害化处理；定时喷洒除臭剂；加强厂区绿化</w:t>
      </w:r>
      <w:r>
        <w:rPr>
          <w:rFonts w:ascii="宋体" w:hAnsi="宋体" w:eastAsia="宋体" w:cs="宋体"/>
          <w:sz w:val="23"/>
          <w:szCs w:val="23"/>
        </w:rPr>
        <w:t xml:space="preserve"> </w:t>
      </w:r>
      <w:r>
        <w:rPr>
          <w:rFonts w:ascii="宋体" w:hAnsi="宋体" w:eastAsia="宋体" w:cs="宋体"/>
          <w:spacing w:val="17"/>
          <w:sz w:val="23"/>
          <w:szCs w:val="23"/>
        </w:rPr>
        <w:t>等</w:t>
      </w:r>
      <w:r>
        <w:rPr>
          <w:rFonts w:ascii="宋体" w:hAnsi="宋体" w:eastAsia="宋体" w:cs="宋体"/>
          <w:spacing w:val="9"/>
          <w:sz w:val="23"/>
          <w:szCs w:val="23"/>
        </w:rPr>
        <w:t>；粪污喷淋时，发酵床密闭等措施，减少恶臭污染物的排放。</w:t>
      </w:r>
    </w:p>
    <w:p w14:paraId="746BFAB9">
      <w:pPr>
        <w:spacing w:line="228" w:lineRule="auto"/>
        <w:ind w:left="501"/>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8"/>
          <w:sz w:val="23"/>
          <w:szCs w:val="23"/>
        </w:rPr>
        <w:t>3</w:t>
      </w:r>
      <w:r>
        <w:rPr>
          <w:rFonts w:ascii="宋体" w:hAnsi="宋体" w:eastAsia="宋体" w:cs="宋体"/>
          <w:spacing w:val="18"/>
          <w:sz w:val="23"/>
          <w:szCs w:val="23"/>
        </w:rPr>
        <w:t>) 噪声达标排</w:t>
      </w:r>
      <w:r>
        <w:rPr>
          <w:rFonts w:ascii="宋体" w:hAnsi="宋体" w:eastAsia="宋体" w:cs="宋体"/>
          <w:spacing w:val="17"/>
          <w:sz w:val="23"/>
          <w:szCs w:val="23"/>
        </w:rPr>
        <w:t>放</w:t>
      </w:r>
    </w:p>
    <w:p w14:paraId="6D7E6FFC">
      <w:pPr>
        <w:spacing w:before="180" w:line="375" w:lineRule="auto"/>
        <w:ind w:left="14" w:right="105" w:firstLine="479"/>
        <w:rPr>
          <w:rFonts w:ascii="宋体" w:hAnsi="宋体" w:eastAsia="宋体" w:cs="宋体"/>
          <w:sz w:val="23"/>
          <w:szCs w:val="23"/>
        </w:rPr>
      </w:pPr>
      <w:r>
        <w:rPr>
          <w:rFonts w:ascii="宋体" w:hAnsi="宋体" w:eastAsia="宋体" w:cs="宋体"/>
          <w:spacing w:val="7"/>
          <w:sz w:val="23"/>
          <w:szCs w:val="23"/>
        </w:rPr>
        <w:t>项目营运期间各设备及污水处理系统运转产生的噪声，通过采取设备基础减振、场房</w:t>
      </w:r>
      <w:r>
        <w:rPr>
          <w:rFonts w:ascii="宋体" w:hAnsi="宋体" w:eastAsia="宋体" w:cs="宋体"/>
          <w:spacing w:val="2"/>
          <w:sz w:val="23"/>
          <w:szCs w:val="23"/>
        </w:rPr>
        <w:t>隔</w:t>
      </w:r>
      <w:r>
        <w:rPr>
          <w:rFonts w:ascii="宋体" w:hAnsi="宋体" w:eastAsia="宋体" w:cs="宋体"/>
          <w:sz w:val="23"/>
          <w:szCs w:val="23"/>
        </w:rPr>
        <w:t xml:space="preserve"> </w:t>
      </w:r>
      <w:r>
        <w:rPr>
          <w:rFonts w:ascii="宋体" w:hAnsi="宋体" w:eastAsia="宋体" w:cs="宋体"/>
          <w:spacing w:val="11"/>
          <w:sz w:val="23"/>
          <w:szCs w:val="23"/>
        </w:rPr>
        <w:t>声</w:t>
      </w:r>
      <w:r>
        <w:rPr>
          <w:rFonts w:ascii="宋体" w:hAnsi="宋体" w:eastAsia="宋体" w:cs="宋体"/>
          <w:spacing w:val="9"/>
          <w:sz w:val="23"/>
          <w:szCs w:val="23"/>
        </w:rPr>
        <w:t>等措施，再经场界距离衰减后，可以在场界噪声达标排放。</w:t>
      </w:r>
    </w:p>
    <w:p w14:paraId="269AFC3A">
      <w:pPr>
        <w:spacing w:line="228" w:lineRule="auto"/>
        <w:ind w:left="501"/>
        <w:rPr>
          <w:rFonts w:ascii="宋体" w:hAnsi="宋体" w:eastAsia="宋体" w:cs="宋体"/>
          <w:sz w:val="23"/>
          <w:szCs w:val="23"/>
        </w:rPr>
      </w:pPr>
      <w:r>
        <w:rPr>
          <w:rFonts w:ascii="宋体" w:hAnsi="宋体" w:eastAsia="宋体" w:cs="宋体"/>
          <w:spacing w:val="17"/>
          <w:sz w:val="23"/>
          <w:szCs w:val="23"/>
        </w:rPr>
        <w:t>(</w:t>
      </w:r>
      <w:r>
        <w:rPr>
          <w:rFonts w:ascii="Times New Roman" w:hAnsi="Times New Roman" w:eastAsia="Times New Roman" w:cs="Times New Roman"/>
          <w:spacing w:val="16"/>
          <w:sz w:val="23"/>
          <w:szCs w:val="23"/>
        </w:rPr>
        <w:t>4</w:t>
      </w:r>
      <w:r>
        <w:rPr>
          <w:rFonts w:ascii="宋体" w:hAnsi="宋体" w:eastAsia="宋体" w:cs="宋体"/>
          <w:spacing w:val="16"/>
          <w:sz w:val="23"/>
          <w:szCs w:val="23"/>
        </w:rPr>
        <w:t>) 固体废物资源化利用</w:t>
      </w:r>
    </w:p>
    <w:p w14:paraId="22CB0348">
      <w:pPr>
        <w:spacing w:before="182" w:line="375" w:lineRule="auto"/>
        <w:ind w:left="10" w:right="58" w:firstLine="480"/>
        <w:rPr>
          <w:rFonts w:ascii="宋体" w:hAnsi="宋体" w:eastAsia="宋体" w:cs="宋体"/>
          <w:sz w:val="23"/>
          <w:szCs w:val="23"/>
        </w:rPr>
      </w:pPr>
      <w:r>
        <w:rPr>
          <w:rFonts w:ascii="宋体" w:hAnsi="宋体" w:eastAsia="宋体" w:cs="宋体"/>
          <w:spacing w:val="15"/>
          <w:sz w:val="23"/>
          <w:szCs w:val="23"/>
        </w:rPr>
        <w:t>本</w:t>
      </w:r>
      <w:r>
        <w:rPr>
          <w:rFonts w:ascii="宋体" w:hAnsi="宋体" w:eastAsia="宋体" w:cs="宋体"/>
          <w:spacing w:val="8"/>
          <w:sz w:val="23"/>
          <w:szCs w:val="23"/>
        </w:rPr>
        <w:t>项目猪粪与养殖废水一起交由乐山乐高勤力生物质能源综合利用有限公司集中处置，</w:t>
      </w:r>
      <w:r>
        <w:rPr>
          <w:rFonts w:ascii="宋体" w:hAnsi="宋体" w:eastAsia="宋体" w:cs="宋体"/>
          <w:sz w:val="23"/>
          <w:szCs w:val="23"/>
        </w:rPr>
        <w:t xml:space="preserve"> </w:t>
      </w:r>
      <w:r>
        <w:rPr>
          <w:rFonts w:ascii="宋体" w:hAnsi="宋体" w:eastAsia="宋体" w:cs="宋体"/>
          <w:spacing w:val="12"/>
          <w:sz w:val="23"/>
          <w:szCs w:val="23"/>
        </w:rPr>
        <w:t>日</w:t>
      </w:r>
      <w:r>
        <w:rPr>
          <w:rFonts w:ascii="宋体" w:hAnsi="宋体" w:eastAsia="宋体" w:cs="宋体"/>
          <w:spacing w:val="7"/>
          <w:sz w:val="23"/>
          <w:szCs w:val="23"/>
        </w:rPr>
        <w:t>产日清，若后期乐山乐高勤力生物质能源综合利用有限公司不再收纳本项目废水，则排入</w:t>
      </w:r>
      <w:r>
        <w:rPr>
          <w:rFonts w:ascii="宋体" w:hAnsi="宋体" w:eastAsia="宋体" w:cs="宋体"/>
          <w:sz w:val="23"/>
          <w:szCs w:val="23"/>
        </w:rPr>
        <w:t xml:space="preserve"> </w:t>
      </w:r>
      <w:r>
        <w:rPr>
          <w:rFonts w:ascii="宋体" w:hAnsi="宋体" w:eastAsia="宋体" w:cs="宋体"/>
          <w:spacing w:val="12"/>
          <w:sz w:val="23"/>
          <w:szCs w:val="23"/>
        </w:rPr>
        <w:t>集</w:t>
      </w:r>
      <w:r>
        <w:rPr>
          <w:rFonts w:ascii="宋体" w:hAnsi="宋体" w:eastAsia="宋体" w:cs="宋体"/>
          <w:spacing w:val="7"/>
          <w:sz w:val="23"/>
          <w:szCs w:val="23"/>
        </w:rPr>
        <w:t>污池中与养殖废水混匀后一并经异位微生物发酵床处置，产生的农肥外售，具有良好的生</w:t>
      </w:r>
      <w:r>
        <w:rPr>
          <w:rFonts w:ascii="宋体" w:hAnsi="宋体" w:eastAsia="宋体" w:cs="宋体"/>
          <w:sz w:val="23"/>
          <w:szCs w:val="23"/>
        </w:rPr>
        <w:t xml:space="preserve"> </w:t>
      </w:r>
      <w:r>
        <w:rPr>
          <w:rFonts w:ascii="宋体" w:hAnsi="宋体" w:eastAsia="宋体" w:cs="宋体"/>
          <w:spacing w:val="10"/>
          <w:sz w:val="23"/>
          <w:szCs w:val="23"/>
        </w:rPr>
        <w:t>态</w:t>
      </w:r>
      <w:r>
        <w:rPr>
          <w:rFonts w:ascii="宋体" w:hAnsi="宋体" w:eastAsia="宋体" w:cs="宋体"/>
          <w:spacing w:val="8"/>
          <w:sz w:val="23"/>
          <w:szCs w:val="23"/>
        </w:rPr>
        <w:t>环境效益和社会效益。</w:t>
      </w:r>
    </w:p>
    <w:p w14:paraId="61499C33">
      <w:pPr>
        <w:spacing w:line="227" w:lineRule="auto"/>
        <w:ind w:left="488"/>
        <w:outlineLvl w:val="2"/>
        <w:rPr>
          <w:rFonts w:ascii="宋体" w:hAnsi="宋体" w:eastAsia="宋体" w:cs="宋体"/>
          <w:sz w:val="23"/>
          <w:szCs w:val="23"/>
        </w:rPr>
      </w:pPr>
      <w:r>
        <w:rPr>
          <w:rFonts w:ascii="Times New Roman" w:hAnsi="Times New Roman" w:eastAsia="Times New Roman" w:cs="Times New Roman"/>
          <w:b/>
          <w:bCs/>
          <w:spacing w:val="9"/>
          <w:sz w:val="23"/>
          <w:szCs w:val="23"/>
        </w:rPr>
        <w:t>7</w:t>
      </w:r>
      <w:r>
        <w:rPr>
          <w:rFonts w:ascii="Times New Roman" w:hAnsi="Times New Roman" w:eastAsia="Times New Roman" w:cs="Times New Roman"/>
          <w:b/>
          <w:bCs/>
          <w:spacing w:val="6"/>
          <w:sz w:val="23"/>
          <w:szCs w:val="23"/>
        </w:rPr>
        <w:t>.2.5</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环境管理要求</w:t>
      </w:r>
    </w:p>
    <w:p w14:paraId="5FFA2F76">
      <w:pPr>
        <w:spacing w:before="183" w:line="227" w:lineRule="auto"/>
        <w:ind w:left="501"/>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1</w:t>
      </w:r>
      <w:r>
        <w:rPr>
          <w:rFonts w:ascii="宋体" w:hAnsi="宋体" w:eastAsia="宋体" w:cs="宋体"/>
          <w:spacing w:val="20"/>
          <w:sz w:val="23"/>
          <w:szCs w:val="23"/>
        </w:rPr>
        <w:t>) 生产管</w:t>
      </w:r>
      <w:r>
        <w:rPr>
          <w:rFonts w:ascii="宋体" w:hAnsi="宋体" w:eastAsia="宋体" w:cs="宋体"/>
          <w:spacing w:val="19"/>
          <w:sz w:val="23"/>
          <w:szCs w:val="23"/>
        </w:rPr>
        <w:t>理</w:t>
      </w:r>
    </w:p>
    <w:p w14:paraId="1BFBA107">
      <w:pPr>
        <w:spacing w:before="183" w:line="375" w:lineRule="auto"/>
        <w:ind w:left="8" w:right="105" w:firstLine="485"/>
        <w:rPr>
          <w:rFonts w:ascii="宋体" w:hAnsi="宋体" w:eastAsia="宋体" w:cs="宋体"/>
          <w:sz w:val="23"/>
          <w:szCs w:val="23"/>
        </w:rPr>
      </w:pPr>
      <w:r>
        <w:rPr>
          <w:rFonts w:ascii="宋体" w:hAnsi="宋体" w:eastAsia="宋体" w:cs="宋体"/>
          <w:spacing w:val="7"/>
          <w:sz w:val="23"/>
          <w:szCs w:val="23"/>
        </w:rPr>
        <w:t>项目生猪管理采用编号建档方法，每头猪有自己的唯一编号，建立猪系谱，记录其出</w:t>
      </w:r>
      <w:r>
        <w:rPr>
          <w:rFonts w:ascii="宋体" w:hAnsi="宋体" w:eastAsia="宋体" w:cs="宋体"/>
          <w:spacing w:val="2"/>
          <w:sz w:val="23"/>
          <w:szCs w:val="23"/>
        </w:rPr>
        <w:t>生</w:t>
      </w:r>
      <w:r>
        <w:rPr>
          <w:rFonts w:ascii="宋体" w:hAnsi="宋体" w:eastAsia="宋体" w:cs="宋体"/>
          <w:sz w:val="23"/>
          <w:szCs w:val="23"/>
        </w:rPr>
        <w:t xml:space="preserve"> </w:t>
      </w:r>
      <w:r>
        <w:rPr>
          <w:rFonts w:ascii="宋体" w:hAnsi="宋体" w:eastAsia="宋体" w:cs="宋体"/>
          <w:spacing w:val="13"/>
          <w:sz w:val="23"/>
          <w:szCs w:val="23"/>
        </w:rPr>
        <w:t>时</w:t>
      </w:r>
      <w:r>
        <w:rPr>
          <w:rFonts w:ascii="宋体" w:hAnsi="宋体" w:eastAsia="宋体" w:cs="宋体"/>
          <w:spacing w:val="7"/>
          <w:sz w:val="23"/>
          <w:szCs w:val="23"/>
        </w:rPr>
        <w:t>间、出生特征、成年体形、疫苗注射、繁育次数情况等，根据不同的生长阶段给予特定的</w:t>
      </w:r>
      <w:r>
        <w:rPr>
          <w:rFonts w:ascii="宋体" w:hAnsi="宋体" w:eastAsia="宋体" w:cs="宋体"/>
          <w:sz w:val="23"/>
          <w:szCs w:val="23"/>
        </w:rPr>
        <w:t xml:space="preserve"> </w:t>
      </w:r>
      <w:r>
        <w:rPr>
          <w:rFonts w:ascii="宋体" w:hAnsi="宋体" w:eastAsia="宋体" w:cs="宋体"/>
          <w:spacing w:val="13"/>
          <w:sz w:val="23"/>
          <w:szCs w:val="23"/>
        </w:rPr>
        <w:t>饲</w:t>
      </w:r>
      <w:r>
        <w:rPr>
          <w:rFonts w:ascii="宋体" w:hAnsi="宋体" w:eastAsia="宋体" w:cs="宋体"/>
          <w:spacing w:val="7"/>
          <w:sz w:val="23"/>
          <w:szCs w:val="23"/>
        </w:rPr>
        <w:t>料配比，根据体形特征在培育下一代时做到最好的品种改良，管理较完善。养殖场实行全</w:t>
      </w:r>
      <w:r>
        <w:rPr>
          <w:rFonts w:ascii="宋体" w:hAnsi="宋体" w:eastAsia="宋体" w:cs="宋体"/>
          <w:sz w:val="23"/>
          <w:szCs w:val="23"/>
        </w:rPr>
        <w:t xml:space="preserve"> </w:t>
      </w:r>
      <w:r>
        <w:rPr>
          <w:rFonts w:ascii="宋体" w:hAnsi="宋体" w:eastAsia="宋体" w:cs="宋体"/>
          <w:spacing w:val="10"/>
          <w:sz w:val="23"/>
          <w:szCs w:val="23"/>
        </w:rPr>
        <w:t>进</w:t>
      </w:r>
      <w:r>
        <w:rPr>
          <w:rFonts w:ascii="宋体" w:hAnsi="宋体" w:eastAsia="宋体" w:cs="宋体"/>
          <w:spacing w:val="9"/>
          <w:sz w:val="23"/>
          <w:szCs w:val="23"/>
        </w:rPr>
        <w:t>全出，合理分栏，节约原料及场地空间。</w:t>
      </w:r>
    </w:p>
    <w:p w14:paraId="1F5D573F">
      <w:pPr>
        <w:spacing w:line="227" w:lineRule="auto"/>
        <w:ind w:left="501"/>
        <w:rPr>
          <w:rFonts w:ascii="宋体" w:hAnsi="宋体" w:eastAsia="宋体" w:cs="宋体"/>
          <w:sz w:val="23"/>
          <w:szCs w:val="23"/>
        </w:rPr>
      </w:pPr>
      <w:r>
        <w:rPr>
          <w:rFonts w:ascii="宋体" w:hAnsi="宋体" w:eastAsia="宋体" w:cs="宋体"/>
          <w:spacing w:val="23"/>
          <w:sz w:val="23"/>
          <w:szCs w:val="23"/>
        </w:rPr>
        <w:t>(</w:t>
      </w:r>
      <w:r>
        <w:rPr>
          <w:rFonts w:ascii="Times New Roman" w:hAnsi="Times New Roman" w:eastAsia="Times New Roman" w:cs="Times New Roman"/>
          <w:spacing w:val="16"/>
          <w:sz w:val="23"/>
          <w:szCs w:val="23"/>
        </w:rPr>
        <w:t>2</w:t>
      </w:r>
      <w:r>
        <w:rPr>
          <w:rFonts w:ascii="宋体" w:hAnsi="宋体" w:eastAsia="宋体" w:cs="宋体"/>
          <w:spacing w:val="16"/>
          <w:sz w:val="23"/>
          <w:szCs w:val="23"/>
        </w:rPr>
        <w:t>) 防疫措施的严格性</w:t>
      </w:r>
    </w:p>
    <w:p w14:paraId="5AE8CD39">
      <w:pPr>
        <w:spacing w:before="182" w:line="227" w:lineRule="auto"/>
        <w:ind w:left="491"/>
        <w:rPr>
          <w:rFonts w:ascii="宋体" w:hAnsi="宋体" w:eastAsia="宋体" w:cs="宋体"/>
          <w:sz w:val="23"/>
          <w:szCs w:val="23"/>
        </w:rPr>
      </w:pPr>
      <w:r>
        <w:rPr>
          <w:rFonts w:ascii="宋体" w:hAnsi="宋体" w:eastAsia="宋体" w:cs="宋体"/>
          <w:spacing w:val="16"/>
          <w:sz w:val="23"/>
          <w:szCs w:val="23"/>
        </w:rPr>
        <w:t>严</w:t>
      </w:r>
      <w:r>
        <w:rPr>
          <w:rFonts w:ascii="宋体" w:hAnsi="宋体" w:eastAsia="宋体" w:cs="宋体"/>
          <w:spacing w:val="9"/>
          <w:sz w:val="23"/>
          <w:szCs w:val="23"/>
        </w:rPr>
        <w:t>格执行科学的卫生防疫措施，有效预防和控制传染病的发生。</w:t>
      </w:r>
    </w:p>
    <w:p w14:paraId="3015EC88">
      <w:pPr>
        <w:spacing w:before="185" w:line="375" w:lineRule="auto"/>
        <w:ind w:left="10" w:right="41" w:firstLine="479"/>
        <w:rPr>
          <w:rFonts w:ascii="宋体" w:hAnsi="宋体" w:eastAsia="宋体" w:cs="宋体"/>
          <w:sz w:val="23"/>
          <w:szCs w:val="23"/>
        </w:rPr>
      </w:pPr>
      <w:r>
        <w:rPr>
          <w:rFonts w:ascii="宋体" w:hAnsi="宋体" w:eastAsia="宋体" w:cs="宋体"/>
          <w:spacing w:val="4"/>
          <w:sz w:val="23"/>
          <w:szCs w:val="23"/>
        </w:rPr>
        <w:t xml:space="preserve">①慎重引种。猪场在初期引入种猪时，要严格按照防疫要求，在隔离舍观察 </w:t>
      </w:r>
      <w:r>
        <w:rPr>
          <w:rFonts w:ascii="Times New Roman" w:hAnsi="Times New Roman" w:eastAsia="Times New Roman" w:cs="Times New Roman"/>
          <w:spacing w:val="4"/>
          <w:sz w:val="23"/>
          <w:szCs w:val="23"/>
        </w:rPr>
        <w:t xml:space="preserve">40 </w:t>
      </w:r>
      <w:r>
        <w:rPr>
          <w:rFonts w:ascii="宋体" w:hAnsi="宋体" w:eastAsia="宋体" w:cs="宋体"/>
          <w:spacing w:val="4"/>
          <w:sz w:val="23"/>
          <w:szCs w:val="23"/>
        </w:rPr>
        <w:t>天左</w:t>
      </w:r>
      <w:r>
        <w:rPr>
          <w:rFonts w:ascii="宋体" w:hAnsi="宋体" w:eastAsia="宋体" w:cs="宋体"/>
          <w:spacing w:val="1"/>
          <w:sz w:val="23"/>
          <w:szCs w:val="23"/>
        </w:rPr>
        <w:t>右</w:t>
      </w:r>
      <w:r>
        <w:rPr>
          <w:rFonts w:ascii="宋体" w:hAnsi="宋体" w:eastAsia="宋体" w:cs="宋体"/>
          <w:sz w:val="23"/>
          <w:szCs w:val="23"/>
        </w:rPr>
        <w:t xml:space="preserve">， </w:t>
      </w:r>
      <w:r>
        <w:rPr>
          <w:rFonts w:ascii="宋体" w:hAnsi="宋体" w:eastAsia="宋体" w:cs="宋体"/>
          <w:spacing w:val="8"/>
          <w:sz w:val="23"/>
          <w:szCs w:val="23"/>
        </w:rPr>
        <w:t>确保种猪源的无害性；</w:t>
      </w:r>
    </w:p>
    <w:p w14:paraId="541FFBAA">
      <w:pPr>
        <w:spacing w:before="2" w:line="374" w:lineRule="auto"/>
        <w:ind w:left="23" w:right="105" w:firstLine="464"/>
        <w:rPr>
          <w:rFonts w:ascii="宋体" w:hAnsi="宋体" w:eastAsia="宋体" w:cs="宋体"/>
          <w:sz w:val="23"/>
          <w:szCs w:val="23"/>
        </w:rPr>
      </w:pPr>
      <w:r>
        <w:rPr>
          <w:rFonts w:ascii="宋体" w:hAnsi="宋体" w:eastAsia="宋体" w:cs="宋体"/>
          <w:spacing w:val="7"/>
          <w:sz w:val="23"/>
          <w:szCs w:val="23"/>
        </w:rPr>
        <w:t>②猪场布局合理，生产、生活区严格分开，生产区周围设立防护设施，非生产人员不得</w:t>
      </w:r>
      <w:r>
        <w:rPr>
          <w:rFonts w:ascii="宋体" w:hAnsi="宋体" w:eastAsia="宋体" w:cs="宋体"/>
          <w:sz w:val="23"/>
          <w:szCs w:val="23"/>
        </w:rPr>
        <w:t xml:space="preserve"> </w:t>
      </w:r>
      <w:r>
        <w:rPr>
          <w:rFonts w:ascii="宋体" w:hAnsi="宋体" w:eastAsia="宋体" w:cs="宋体"/>
          <w:spacing w:val="6"/>
          <w:sz w:val="23"/>
          <w:szCs w:val="23"/>
        </w:rPr>
        <w:t>随意进入生产区</w:t>
      </w:r>
      <w:r>
        <w:rPr>
          <w:rFonts w:ascii="宋体" w:hAnsi="宋体" w:eastAsia="宋体" w:cs="宋体"/>
          <w:spacing w:val="5"/>
          <w:sz w:val="23"/>
          <w:szCs w:val="23"/>
        </w:rPr>
        <w:t>；</w:t>
      </w:r>
    </w:p>
    <w:p w14:paraId="6A0695ED">
      <w:pPr>
        <w:spacing w:line="375" w:lineRule="auto"/>
        <w:ind w:left="11" w:right="105" w:firstLine="477"/>
        <w:rPr>
          <w:rFonts w:ascii="宋体" w:hAnsi="宋体" w:eastAsia="宋体" w:cs="宋体"/>
          <w:sz w:val="23"/>
          <w:szCs w:val="23"/>
        </w:rPr>
      </w:pPr>
      <w:r>
        <w:rPr>
          <w:rFonts w:ascii="宋体" w:hAnsi="宋体" w:eastAsia="宋体" w:cs="宋体"/>
          <w:spacing w:val="7"/>
          <w:sz w:val="23"/>
          <w:szCs w:val="23"/>
        </w:rPr>
        <w:t>③猪场内设病猪隔离舍，对病猪进行隔离观察诊治；对于死猪，在乐山市病死畜禽无害</w:t>
      </w:r>
      <w:r>
        <w:rPr>
          <w:rFonts w:ascii="宋体" w:hAnsi="宋体" w:eastAsia="宋体" w:cs="宋体"/>
          <w:sz w:val="23"/>
          <w:szCs w:val="23"/>
        </w:rPr>
        <w:t xml:space="preserve"> </w:t>
      </w:r>
      <w:r>
        <w:rPr>
          <w:rFonts w:ascii="宋体" w:hAnsi="宋体" w:eastAsia="宋体" w:cs="宋体"/>
          <w:spacing w:val="11"/>
          <w:sz w:val="23"/>
          <w:szCs w:val="23"/>
        </w:rPr>
        <w:t>化</w:t>
      </w:r>
      <w:r>
        <w:rPr>
          <w:rFonts w:ascii="宋体" w:hAnsi="宋体" w:eastAsia="宋体" w:cs="宋体"/>
          <w:spacing w:val="7"/>
          <w:sz w:val="23"/>
          <w:szCs w:val="23"/>
        </w:rPr>
        <w:t>处理中心建成之前，委托专业化的公司进行无害化处置，乐山市病死畜禽无害化处理中心</w:t>
      </w:r>
      <w:r>
        <w:rPr>
          <w:rFonts w:ascii="宋体" w:hAnsi="宋体" w:eastAsia="宋体" w:cs="宋体"/>
          <w:sz w:val="23"/>
          <w:szCs w:val="23"/>
        </w:rPr>
        <w:t xml:space="preserve"> </w:t>
      </w:r>
      <w:r>
        <w:rPr>
          <w:rFonts w:ascii="宋体" w:hAnsi="宋体" w:eastAsia="宋体" w:cs="宋体"/>
          <w:spacing w:val="15"/>
          <w:sz w:val="23"/>
          <w:szCs w:val="23"/>
        </w:rPr>
        <w:t>建</w:t>
      </w:r>
      <w:r>
        <w:rPr>
          <w:rFonts w:ascii="宋体" w:hAnsi="宋体" w:eastAsia="宋体" w:cs="宋体"/>
          <w:spacing w:val="8"/>
          <w:sz w:val="23"/>
          <w:szCs w:val="23"/>
        </w:rPr>
        <w:t>成后交无害化处理中心处置；</w:t>
      </w:r>
    </w:p>
    <w:p w14:paraId="19B297E4">
      <w:pPr>
        <w:spacing w:line="225" w:lineRule="auto"/>
        <w:ind w:left="488"/>
        <w:rPr>
          <w:rFonts w:ascii="宋体" w:hAnsi="宋体" w:eastAsia="宋体" w:cs="宋体"/>
          <w:sz w:val="23"/>
          <w:szCs w:val="23"/>
        </w:rPr>
      </w:pPr>
      <w:r>
        <w:rPr>
          <w:rFonts w:ascii="宋体" w:hAnsi="宋体" w:eastAsia="宋体" w:cs="宋体"/>
          <w:spacing w:val="10"/>
          <w:sz w:val="23"/>
          <w:szCs w:val="23"/>
        </w:rPr>
        <w:t>④</w:t>
      </w:r>
      <w:r>
        <w:rPr>
          <w:rFonts w:ascii="宋体" w:hAnsi="宋体" w:eastAsia="宋体" w:cs="宋体"/>
          <w:spacing w:val="9"/>
          <w:sz w:val="23"/>
          <w:szCs w:val="23"/>
        </w:rPr>
        <w:t>对进出养殖场的运输车辆进行严格消毒。</w:t>
      </w:r>
    </w:p>
    <w:p w14:paraId="7379C3CA">
      <w:pPr>
        <w:spacing w:before="185" w:line="468" w:lineRule="exact"/>
        <w:ind w:left="491"/>
        <w:rPr>
          <w:rFonts w:ascii="宋体" w:hAnsi="宋体" w:eastAsia="宋体" w:cs="宋体"/>
          <w:sz w:val="23"/>
          <w:szCs w:val="23"/>
        </w:rPr>
      </w:pPr>
      <w:r>
        <w:rPr>
          <w:rFonts w:ascii="宋体" w:hAnsi="宋体" w:eastAsia="宋体" w:cs="宋体"/>
          <w:spacing w:val="6"/>
          <w:position w:val="17"/>
          <w:sz w:val="23"/>
          <w:szCs w:val="23"/>
        </w:rPr>
        <w:t>本项目为生猪养</w:t>
      </w:r>
      <w:r>
        <w:rPr>
          <w:rFonts w:ascii="宋体" w:hAnsi="宋体" w:eastAsia="宋体" w:cs="宋体"/>
          <w:spacing w:val="4"/>
          <w:position w:val="17"/>
          <w:sz w:val="23"/>
          <w:szCs w:val="23"/>
        </w:rPr>
        <w:t>殖</w:t>
      </w:r>
      <w:r>
        <w:rPr>
          <w:rFonts w:ascii="宋体" w:hAnsi="宋体" w:eastAsia="宋体" w:cs="宋体"/>
          <w:spacing w:val="3"/>
          <w:position w:val="17"/>
          <w:sz w:val="23"/>
          <w:szCs w:val="23"/>
        </w:rPr>
        <w:t>项目，生产过程中应严格按照《无公害食品</w:t>
      </w:r>
      <w:r>
        <w:rPr>
          <w:rFonts w:ascii="Times New Roman" w:hAnsi="Times New Roman" w:eastAsia="Times New Roman" w:cs="Times New Roman"/>
          <w:spacing w:val="3"/>
          <w:position w:val="17"/>
          <w:sz w:val="23"/>
          <w:szCs w:val="23"/>
        </w:rPr>
        <w:t>—</w:t>
      </w:r>
      <w:r>
        <w:rPr>
          <w:rFonts w:ascii="宋体" w:hAnsi="宋体" w:eastAsia="宋体" w:cs="宋体"/>
          <w:spacing w:val="3"/>
          <w:position w:val="17"/>
          <w:sz w:val="23"/>
          <w:szCs w:val="23"/>
        </w:rPr>
        <w:t>生猪饲养管理技术规程》</w:t>
      </w:r>
    </w:p>
    <w:p w14:paraId="215924E8">
      <w:pPr>
        <w:spacing w:before="1" w:line="227" w:lineRule="auto"/>
        <w:ind w:left="32"/>
        <w:rPr>
          <w:rFonts w:ascii="宋体" w:hAnsi="宋体" w:eastAsia="宋体" w:cs="宋体"/>
          <w:sz w:val="23"/>
          <w:szCs w:val="23"/>
        </w:rPr>
      </w:pPr>
      <w:r>
        <w:rPr>
          <w:rFonts w:ascii="宋体" w:hAnsi="宋体" w:eastAsia="宋体" w:cs="宋体"/>
          <w:spacing w:val="18"/>
          <w:sz w:val="23"/>
          <w:szCs w:val="23"/>
        </w:rPr>
        <w:t>中提</w:t>
      </w:r>
      <w:r>
        <w:rPr>
          <w:rFonts w:ascii="宋体" w:hAnsi="宋体" w:eastAsia="宋体" w:cs="宋体"/>
          <w:spacing w:val="16"/>
          <w:sz w:val="23"/>
          <w:szCs w:val="23"/>
        </w:rPr>
        <w:t>出</w:t>
      </w:r>
      <w:r>
        <w:rPr>
          <w:rFonts w:ascii="宋体" w:hAnsi="宋体" w:eastAsia="宋体" w:cs="宋体"/>
          <w:spacing w:val="9"/>
          <w:sz w:val="23"/>
          <w:szCs w:val="23"/>
        </w:rPr>
        <w:t>的</w:t>
      </w:r>
      <w:r>
        <w:rPr>
          <w:rFonts w:ascii="Times New Roman" w:hAnsi="Times New Roman" w:eastAsia="Times New Roman" w:cs="Times New Roman"/>
          <w:spacing w:val="9"/>
          <w:sz w:val="23"/>
          <w:szCs w:val="23"/>
        </w:rPr>
        <w:t>“</w:t>
      </w:r>
      <w:r>
        <w:rPr>
          <w:rFonts w:ascii="宋体" w:hAnsi="宋体" w:eastAsia="宋体" w:cs="宋体"/>
          <w:spacing w:val="9"/>
          <w:sz w:val="23"/>
          <w:szCs w:val="23"/>
        </w:rPr>
        <w:t>引种、环境、饲养、免疫、疾病控制、废弃物处理</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等涉及到生猪饲养管理的各</w:t>
      </w:r>
    </w:p>
    <w:p w14:paraId="73E989F5">
      <w:pPr>
        <w:sectPr>
          <w:headerReference r:id="rId280" w:type="default"/>
          <w:footerReference r:id="rId281" w:type="default"/>
          <w:pgSz w:w="11906" w:h="16839"/>
          <w:pgMar w:top="1113" w:right="1029" w:bottom="1157" w:left="1275" w:header="878" w:footer="994" w:gutter="0"/>
          <w:cols w:space="720" w:num="1"/>
        </w:sectPr>
      </w:pPr>
    </w:p>
    <w:p w14:paraId="615E6640">
      <w:pPr>
        <w:spacing w:before="198" w:line="227" w:lineRule="auto"/>
        <w:ind w:left="118"/>
        <w:rPr>
          <w:rFonts w:ascii="宋体" w:hAnsi="宋体" w:eastAsia="宋体" w:cs="宋体"/>
          <w:sz w:val="23"/>
          <w:szCs w:val="23"/>
        </w:rPr>
      </w:pPr>
      <w:r>
        <w:rPr>
          <w:rFonts w:ascii="宋体" w:hAnsi="宋体" w:eastAsia="宋体" w:cs="宋体"/>
          <w:spacing w:val="8"/>
          <w:sz w:val="23"/>
          <w:szCs w:val="23"/>
        </w:rPr>
        <w:t>环节应遵循的准则</w:t>
      </w:r>
      <w:r>
        <w:rPr>
          <w:rFonts w:ascii="宋体" w:hAnsi="宋体" w:eastAsia="宋体" w:cs="宋体"/>
          <w:spacing w:val="6"/>
          <w:sz w:val="23"/>
          <w:szCs w:val="23"/>
        </w:rPr>
        <w:t>。</w:t>
      </w:r>
    </w:p>
    <w:p w14:paraId="7D8594F7">
      <w:pPr>
        <w:spacing w:before="182" w:line="228" w:lineRule="auto"/>
        <w:ind w:left="600"/>
        <w:rPr>
          <w:rFonts w:ascii="宋体" w:hAnsi="宋体" w:eastAsia="宋体" w:cs="宋体"/>
          <w:sz w:val="23"/>
          <w:szCs w:val="23"/>
        </w:rPr>
      </w:pPr>
      <w:r>
        <w:rPr>
          <w:rFonts w:ascii="宋体" w:hAnsi="宋体" w:eastAsia="宋体" w:cs="宋体"/>
          <w:spacing w:val="16"/>
          <w:sz w:val="23"/>
          <w:szCs w:val="23"/>
        </w:rPr>
        <w:t>经</w:t>
      </w:r>
      <w:r>
        <w:rPr>
          <w:rFonts w:ascii="宋体" w:hAnsi="宋体" w:eastAsia="宋体" w:cs="宋体"/>
          <w:spacing w:val="9"/>
          <w:sz w:val="23"/>
          <w:szCs w:val="23"/>
        </w:rPr>
        <w:t>以上分析，本工程清洁生产水平可达到国内清洁生产先进水平。</w:t>
      </w:r>
    </w:p>
    <w:p w14:paraId="08B0C145">
      <w:pPr>
        <w:spacing w:before="188" w:line="219" w:lineRule="auto"/>
        <w:ind w:left="118"/>
        <w:outlineLvl w:val="1"/>
        <w:rPr>
          <w:rFonts w:ascii="宋体" w:hAnsi="宋体" w:eastAsia="宋体" w:cs="宋体"/>
          <w:sz w:val="28"/>
          <w:szCs w:val="28"/>
        </w:rPr>
      </w:pPr>
      <w:bookmarkStart w:id="54" w:name="_bookmark55"/>
      <w:bookmarkEnd w:id="54"/>
      <w:r>
        <w:rPr>
          <w:rFonts w:ascii="Times New Roman" w:hAnsi="Times New Roman" w:eastAsia="Times New Roman" w:cs="Times New Roman"/>
          <w:b/>
          <w:bCs/>
          <w:spacing w:val="-1"/>
          <w:sz w:val="28"/>
          <w:szCs w:val="28"/>
        </w:rPr>
        <w:t>7.3</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清洁生产评价</w:t>
      </w:r>
    </w:p>
    <w:p w14:paraId="7FF31927">
      <w:pPr>
        <w:spacing w:before="210" w:line="374" w:lineRule="auto"/>
        <w:ind w:left="117" w:right="108" w:firstLine="526"/>
        <w:rPr>
          <w:rFonts w:ascii="宋体" w:hAnsi="宋体" w:eastAsia="宋体" w:cs="宋体"/>
          <w:sz w:val="23"/>
          <w:szCs w:val="23"/>
        </w:rPr>
      </w:pPr>
      <w:r>
        <w:rPr>
          <w:rFonts w:ascii="宋体" w:hAnsi="宋体" w:eastAsia="宋体" w:cs="宋体"/>
          <w:spacing w:val="10"/>
          <w:sz w:val="23"/>
          <w:szCs w:val="23"/>
        </w:rPr>
        <w:t>目前我国并</w:t>
      </w:r>
      <w:r>
        <w:rPr>
          <w:rFonts w:ascii="宋体" w:hAnsi="宋体" w:eastAsia="宋体" w:cs="宋体"/>
          <w:spacing w:val="9"/>
          <w:sz w:val="23"/>
          <w:szCs w:val="23"/>
        </w:rPr>
        <w:t>未</w:t>
      </w:r>
      <w:r>
        <w:rPr>
          <w:rFonts w:ascii="宋体" w:hAnsi="宋体" w:eastAsia="宋体" w:cs="宋体"/>
          <w:spacing w:val="5"/>
          <w:sz w:val="23"/>
          <w:szCs w:val="23"/>
        </w:rPr>
        <w:t>制定养猪行业清洁生产标准及相应的指标体系，目前国内养殖企业主要有</w:t>
      </w:r>
      <w:r>
        <w:rPr>
          <w:rFonts w:ascii="宋体" w:hAnsi="宋体" w:eastAsia="宋体" w:cs="宋体"/>
          <w:sz w:val="23"/>
          <w:szCs w:val="23"/>
        </w:rPr>
        <w:t xml:space="preserve"> </w:t>
      </w:r>
      <w:r>
        <w:rPr>
          <w:rFonts w:ascii="宋体" w:hAnsi="宋体" w:eastAsia="宋体" w:cs="宋体"/>
          <w:spacing w:val="12"/>
          <w:sz w:val="23"/>
          <w:szCs w:val="23"/>
        </w:rPr>
        <w:t>雏</w:t>
      </w:r>
      <w:r>
        <w:rPr>
          <w:rFonts w:ascii="宋体" w:hAnsi="宋体" w:eastAsia="宋体" w:cs="宋体"/>
          <w:spacing w:val="7"/>
          <w:sz w:val="23"/>
          <w:szCs w:val="23"/>
        </w:rPr>
        <w:t>鹰农牧集团有限公司、牧原食品股份有限公司等大型公司，两公司均为养殖行业的上市公</w:t>
      </w:r>
      <w:r>
        <w:rPr>
          <w:rFonts w:ascii="宋体" w:hAnsi="宋体" w:eastAsia="宋体" w:cs="宋体"/>
          <w:sz w:val="23"/>
          <w:szCs w:val="23"/>
        </w:rPr>
        <w:t xml:space="preserve"> </w:t>
      </w:r>
      <w:r>
        <w:rPr>
          <w:rFonts w:ascii="宋体" w:hAnsi="宋体" w:eastAsia="宋体" w:cs="宋体"/>
          <w:spacing w:val="12"/>
          <w:sz w:val="23"/>
          <w:szCs w:val="23"/>
        </w:rPr>
        <w:t>司</w:t>
      </w:r>
      <w:r>
        <w:rPr>
          <w:rFonts w:ascii="宋体" w:hAnsi="宋体" w:eastAsia="宋体" w:cs="宋体"/>
          <w:spacing w:val="7"/>
          <w:sz w:val="23"/>
          <w:szCs w:val="23"/>
        </w:rPr>
        <w:t>、其生产设备等各方面较先进。本次评价通过对比雏鹰农牧集团有限公司的基本情况，确</w:t>
      </w:r>
      <w:r>
        <w:rPr>
          <w:rFonts w:ascii="宋体" w:hAnsi="宋体" w:eastAsia="宋体" w:cs="宋体"/>
          <w:sz w:val="23"/>
          <w:szCs w:val="23"/>
        </w:rPr>
        <w:t xml:space="preserve"> </w:t>
      </w:r>
      <w:r>
        <w:rPr>
          <w:rFonts w:ascii="宋体" w:hAnsi="宋体" w:eastAsia="宋体" w:cs="宋体"/>
          <w:spacing w:val="38"/>
          <w:sz w:val="23"/>
          <w:szCs w:val="23"/>
        </w:rPr>
        <w:t>定</w:t>
      </w:r>
      <w:r>
        <w:rPr>
          <w:rFonts w:ascii="宋体" w:hAnsi="宋体" w:eastAsia="宋体" w:cs="宋体"/>
          <w:spacing w:val="23"/>
          <w:sz w:val="23"/>
          <w:szCs w:val="23"/>
        </w:rPr>
        <w:t>本</w:t>
      </w:r>
      <w:r>
        <w:rPr>
          <w:rFonts w:ascii="宋体" w:hAnsi="宋体" w:eastAsia="宋体" w:cs="宋体"/>
          <w:spacing w:val="19"/>
          <w:sz w:val="23"/>
          <w:szCs w:val="23"/>
        </w:rPr>
        <w:t>项目的清洁生产水平。本项目清洁生产指标和国内先进企业指标对比情况具体见表</w:t>
      </w:r>
      <w:r>
        <w:rPr>
          <w:rFonts w:ascii="宋体" w:hAnsi="宋体" w:eastAsia="宋体" w:cs="宋体"/>
          <w:sz w:val="23"/>
          <w:szCs w:val="23"/>
        </w:rPr>
        <w:t xml:space="preserve"> </w:t>
      </w:r>
      <w:r>
        <w:rPr>
          <w:rFonts w:ascii="Times New Roman" w:hAnsi="Times New Roman" w:eastAsia="Times New Roman" w:cs="Times New Roman"/>
          <w:spacing w:val="2"/>
          <w:sz w:val="23"/>
          <w:szCs w:val="23"/>
        </w:rPr>
        <w:t>7.3-2</w:t>
      </w:r>
      <w:r>
        <w:rPr>
          <w:rFonts w:ascii="宋体" w:hAnsi="宋体" w:eastAsia="宋体" w:cs="宋体"/>
          <w:spacing w:val="1"/>
          <w:sz w:val="23"/>
          <w:szCs w:val="23"/>
        </w:rPr>
        <w:t>。</w:t>
      </w:r>
    </w:p>
    <w:p w14:paraId="2C18EA00">
      <w:pPr>
        <w:spacing w:before="1" w:line="222" w:lineRule="auto"/>
        <w:ind w:left="2788"/>
        <w:rPr>
          <w:rFonts w:ascii="黑体" w:hAnsi="黑体" w:eastAsia="黑体" w:cs="黑体"/>
          <w:sz w:val="23"/>
          <w:szCs w:val="23"/>
        </w:rPr>
      </w:pPr>
      <w:r>
        <w:rPr>
          <w:rFonts w:ascii="黑体" w:hAnsi="黑体" w:eastAsia="黑体" w:cs="黑体"/>
          <w:spacing w:val="2"/>
          <w:sz w:val="23"/>
          <w:szCs w:val="23"/>
        </w:rPr>
        <w:t xml:space="preserve">表 </w:t>
      </w:r>
      <w:r>
        <w:rPr>
          <w:rFonts w:ascii="Times New Roman" w:hAnsi="Times New Roman" w:eastAsia="Times New Roman" w:cs="Times New Roman"/>
          <w:spacing w:val="2"/>
          <w:sz w:val="23"/>
          <w:szCs w:val="23"/>
        </w:rPr>
        <w:t xml:space="preserve">7.3- 1    </w:t>
      </w:r>
      <w:r>
        <w:rPr>
          <w:rFonts w:ascii="黑体" w:hAnsi="黑体" w:eastAsia="黑体" w:cs="黑体"/>
          <w:spacing w:val="2"/>
          <w:sz w:val="23"/>
          <w:szCs w:val="23"/>
        </w:rPr>
        <w:t>项目生产技术指</w:t>
      </w:r>
      <w:r>
        <w:rPr>
          <w:rFonts w:ascii="黑体" w:hAnsi="黑体" w:eastAsia="黑体" w:cs="黑体"/>
          <w:spacing w:val="1"/>
          <w:sz w:val="23"/>
          <w:szCs w:val="23"/>
        </w:rPr>
        <w:t>标分析一览表</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9"/>
        <w:gridCol w:w="2816"/>
        <w:gridCol w:w="2635"/>
        <w:gridCol w:w="2842"/>
      </w:tblGrid>
      <w:tr w14:paraId="479E4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419" w:type="dxa"/>
            <w:tcBorders>
              <w:left w:val="nil"/>
            </w:tcBorders>
          </w:tcPr>
          <w:p w14:paraId="52D5CD27">
            <w:pPr>
              <w:spacing w:before="191" w:line="228" w:lineRule="auto"/>
              <w:ind w:left="511"/>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项目</w:t>
            </w:r>
          </w:p>
        </w:tc>
        <w:tc>
          <w:tcPr>
            <w:tcW w:w="2816" w:type="dxa"/>
          </w:tcPr>
          <w:p w14:paraId="6F2C321F">
            <w:pPr>
              <w:spacing w:before="190" w:line="227" w:lineRule="auto"/>
              <w:ind w:left="1098"/>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本</w:t>
            </w:r>
            <w:r>
              <w:rPr>
                <w:rFonts w:ascii="宋体" w:hAnsi="宋体" w:eastAsia="宋体" w:cs="宋体"/>
                <w:spacing w:val="7"/>
                <w:sz w:val="20"/>
                <w:szCs w:val="20"/>
                <w14:textOutline w14:w="3797" w14:cap="sq" w14:cmpd="sng" w14:algn="ctr">
                  <w14:solidFill>
                    <w14:srgbClr w14:val="000000"/>
                  </w14:solidFill>
                  <w14:prstDash w14:val="solid"/>
                  <w14:bevel/>
                </w14:textOutline>
              </w:rPr>
              <w:t>项目</w:t>
            </w:r>
          </w:p>
        </w:tc>
        <w:tc>
          <w:tcPr>
            <w:tcW w:w="2635" w:type="dxa"/>
          </w:tcPr>
          <w:p w14:paraId="0D8BD11E">
            <w:pPr>
              <w:spacing w:before="56" w:line="239" w:lineRule="auto"/>
              <w:ind w:left="1007" w:right="153" w:hanging="840"/>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雏鹰农牧集团有限公司</w:t>
            </w:r>
            <w:r>
              <w:rPr>
                <w:rFonts w:ascii="宋体" w:hAnsi="宋体" w:eastAsia="宋体" w:cs="宋体"/>
                <w:spacing w:val="8"/>
                <w:sz w:val="20"/>
                <w:szCs w:val="20"/>
                <w14:textOutline w14:w="3797" w14:cap="sq" w14:cmpd="sng" w14:algn="ctr">
                  <w14:solidFill>
                    <w14:srgbClr w14:val="000000"/>
                  </w14:solidFill>
                  <w14:prstDash w14:val="solid"/>
                  <w14:bevel/>
                </w14:textOutline>
              </w:rPr>
              <w:t>同</w:t>
            </w:r>
            <w:r>
              <w:rPr>
                <w:rFonts w:ascii="宋体" w:hAnsi="宋体" w:eastAsia="宋体" w:cs="宋体"/>
                <w:sz w:val="20"/>
                <w:szCs w:val="20"/>
              </w:rPr>
              <w:t xml:space="preserve"> </w:t>
            </w:r>
            <w:r>
              <w:rPr>
                <w:rFonts w:ascii="宋体" w:hAnsi="宋体" w:eastAsia="宋体" w:cs="宋体"/>
                <w:spacing w:val="9"/>
                <w:sz w:val="20"/>
                <w:szCs w:val="20"/>
                <w14:textOutline w14:w="3797" w14:cap="sq" w14:cmpd="sng" w14:algn="ctr">
                  <w14:solidFill>
                    <w14:srgbClr w14:val="000000"/>
                  </w14:solidFill>
                  <w14:prstDash w14:val="solid"/>
                  <w14:bevel/>
                </w14:textOutline>
              </w:rPr>
              <w:t>类</w:t>
            </w:r>
            <w:r>
              <w:rPr>
                <w:rFonts w:ascii="宋体" w:hAnsi="宋体" w:eastAsia="宋体" w:cs="宋体"/>
                <w:spacing w:val="7"/>
                <w:sz w:val="20"/>
                <w:szCs w:val="20"/>
                <w14:textOutline w14:w="3797" w14:cap="sq" w14:cmpd="sng" w14:algn="ctr">
                  <w14:solidFill>
                    <w14:srgbClr w14:val="000000"/>
                  </w14:solidFill>
                  <w14:prstDash w14:val="solid"/>
                  <w14:bevel/>
                </w14:textOutline>
              </w:rPr>
              <w:t>猪场</w:t>
            </w:r>
          </w:p>
        </w:tc>
        <w:tc>
          <w:tcPr>
            <w:tcW w:w="2842" w:type="dxa"/>
            <w:tcBorders>
              <w:right w:val="nil"/>
            </w:tcBorders>
          </w:tcPr>
          <w:p w14:paraId="47E21722">
            <w:pPr>
              <w:spacing w:before="56" w:line="239" w:lineRule="auto"/>
              <w:ind w:left="1221" w:right="154" w:hanging="1055"/>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牧原食品股份有限公司宋</w:t>
            </w:r>
            <w:r>
              <w:rPr>
                <w:rFonts w:ascii="宋体" w:hAnsi="宋体" w:eastAsia="宋体" w:cs="宋体"/>
                <w:spacing w:val="8"/>
                <w:sz w:val="20"/>
                <w:szCs w:val="20"/>
                <w14:textOutline w14:w="3797" w14:cap="sq" w14:cmpd="sng" w14:algn="ctr">
                  <w14:solidFill>
                    <w14:srgbClr w14:val="000000"/>
                  </w14:solidFill>
                  <w14:prstDash w14:val="solid"/>
                  <w14:bevel/>
                </w14:textOutline>
              </w:rPr>
              <w:t>沟</w:t>
            </w:r>
            <w:r>
              <w:rPr>
                <w:rFonts w:ascii="宋体" w:hAnsi="宋体" w:eastAsia="宋体" w:cs="宋体"/>
                <w:sz w:val="20"/>
                <w:szCs w:val="20"/>
              </w:rPr>
              <w:t xml:space="preserve"> </w:t>
            </w:r>
            <w:r>
              <w:rPr>
                <w:rFonts w:ascii="宋体" w:hAnsi="宋体" w:eastAsia="宋体" w:cs="宋体"/>
                <w:spacing w:val="4"/>
                <w:sz w:val="20"/>
                <w:szCs w:val="20"/>
                <w14:textOutline w14:w="3797" w14:cap="sq" w14:cmpd="sng" w14:algn="ctr">
                  <w14:solidFill>
                    <w14:srgbClr w14:val="000000"/>
                  </w14:solidFill>
                  <w14:prstDash w14:val="solid"/>
                  <w14:bevel/>
                </w14:textOutline>
              </w:rPr>
              <w:t>九</w:t>
            </w:r>
            <w:r>
              <w:rPr>
                <w:rFonts w:ascii="宋体" w:hAnsi="宋体" w:eastAsia="宋体" w:cs="宋体"/>
                <w:spacing w:val="3"/>
                <w:sz w:val="20"/>
                <w:szCs w:val="20"/>
                <w14:textOutline w14:w="3797" w14:cap="sq" w14:cmpd="sng" w14:algn="ctr">
                  <w14:solidFill>
                    <w14:srgbClr w14:val="000000"/>
                  </w14:solidFill>
                  <w14:prstDash w14:val="solid"/>
                  <w14:bevel/>
                </w14:textOutline>
              </w:rPr>
              <w:t>厂</w:t>
            </w:r>
          </w:p>
        </w:tc>
      </w:tr>
      <w:tr w14:paraId="33130B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1419" w:type="dxa"/>
            <w:tcBorders>
              <w:left w:val="nil"/>
            </w:tcBorders>
          </w:tcPr>
          <w:p w14:paraId="1DE78F47">
            <w:pPr>
              <w:spacing w:line="338" w:lineRule="auto"/>
            </w:pPr>
          </w:p>
          <w:p w14:paraId="5770622B">
            <w:pPr>
              <w:spacing w:before="65" w:line="228" w:lineRule="auto"/>
              <w:ind w:left="297"/>
              <w:rPr>
                <w:rFonts w:ascii="宋体" w:hAnsi="宋体" w:eastAsia="宋体" w:cs="宋体"/>
                <w:sz w:val="20"/>
                <w:szCs w:val="20"/>
              </w:rPr>
            </w:pPr>
            <w:r>
              <w:rPr>
                <w:rFonts w:ascii="宋体" w:hAnsi="宋体" w:eastAsia="宋体" w:cs="宋体"/>
                <w:spacing w:val="7"/>
                <w:sz w:val="20"/>
                <w:szCs w:val="20"/>
              </w:rPr>
              <w:t>技术工艺</w:t>
            </w:r>
          </w:p>
        </w:tc>
        <w:tc>
          <w:tcPr>
            <w:tcW w:w="2816" w:type="dxa"/>
          </w:tcPr>
          <w:p w14:paraId="0D73017D">
            <w:pPr>
              <w:spacing w:before="95" w:line="281" w:lineRule="exact"/>
              <w:ind w:left="113"/>
              <w:rPr>
                <w:rFonts w:ascii="宋体" w:hAnsi="宋体" w:eastAsia="宋体" w:cs="宋体"/>
                <w:sz w:val="20"/>
                <w:szCs w:val="20"/>
              </w:rPr>
            </w:pPr>
            <w:r>
              <w:rPr>
                <w:rFonts w:ascii="宋体" w:hAnsi="宋体" w:eastAsia="宋体" w:cs="宋体"/>
                <w:spacing w:val="6"/>
                <w:position w:val="1"/>
                <w:sz w:val="20"/>
                <w:szCs w:val="20"/>
              </w:rPr>
              <w:t>漏缝板</w:t>
            </w:r>
            <w:r>
              <w:rPr>
                <w:rFonts w:ascii="Times New Roman" w:hAnsi="Times New Roman" w:eastAsia="Times New Roman" w:cs="Times New Roman"/>
                <w:spacing w:val="6"/>
                <w:position w:val="1"/>
                <w:sz w:val="20"/>
                <w:szCs w:val="20"/>
              </w:rPr>
              <w:t>+</w:t>
            </w:r>
            <w:r>
              <w:rPr>
                <w:rFonts w:ascii="宋体" w:hAnsi="宋体" w:eastAsia="宋体" w:cs="宋体"/>
                <w:spacing w:val="6"/>
                <w:position w:val="1"/>
                <w:sz w:val="20"/>
                <w:szCs w:val="20"/>
              </w:rPr>
              <w:t>机械清粪工艺，投</w:t>
            </w:r>
            <w:r>
              <w:rPr>
                <w:rFonts w:ascii="宋体" w:hAnsi="宋体" w:eastAsia="宋体" w:cs="宋体"/>
                <w:spacing w:val="4"/>
                <w:position w:val="1"/>
                <w:sz w:val="20"/>
                <w:szCs w:val="20"/>
              </w:rPr>
              <w:t>资</w:t>
            </w:r>
          </w:p>
          <w:p w14:paraId="100CC12D">
            <w:pPr>
              <w:spacing w:before="28" w:line="228" w:lineRule="auto"/>
              <w:ind w:left="157"/>
              <w:rPr>
                <w:rFonts w:ascii="宋体" w:hAnsi="宋体" w:eastAsia="宋体" w:cs="宋体"/>
                <w:sz w:val="20"/>
                <w:szCs w:val="20"/>
              </w:rPr>
            </w:pPr>
            <w:r>
              <w:rPr>
                <w:rFonts w:ascii="宋体" w:hAnsi="宋体" w:eastAsia="宋体" w:cs="宋体"/>
                <w:spacing w:val="9"/>
                <w:sz w:val="20"/>
                <w:szCs w:val="20"/>
              </w:rPr>
              <w:t>大，用水量较小、劳动强</w:t>
            </w:r>
            <w:r>
              <w:rPr>
                <w:rFonts w:ascii="宋体" w:hAnsi="宋体" w:eastAsia="宋体" w:cs="宋体"/>
                <w:spacing w:val="8"/>
                <w:sz w:val="20"/>
                <w:szCs w:val="20"/>
              </w:rPr>
              <w:t>度</w:t>
            </w:r>
          </w:p>
          <w:p w14:paraId="545B87A1">
            <w:pPr>
              <w:spacing w:before="25" w:line="230" w:lineRule="auto"/>
              <w:ind w:left="263"/>
              <w:rPr>
                <w:rFonts w:ascii="宋体" w:hAnsi="宋体" w:eastAsia="宋体" w:cs="宋体"/>
                <w:sz w:val="20"/>
                <w:szCs w:val="20"/>
              </w:rPr>
            </w:pPr>
            <w:r>
              <w:rPr>
                <w:rFonts w:ascii="宋体" w:hAnsi="宋体" w:eastAsia="宋体" w:cs="宋体"/>
                <w:spacing w:val="15"/>
                <w:sz w:val="20"/>
                <w:szCs w:val="20"/>
              </w:rPr>
              <w:t>小</w:t>
            </w:r>
            <w:r>
              <w:rPr>
                <w:rFonts w:ascii="宋体" w:hAnsi="宋体" w:eastAsia="宋体" w:cs="宋体"/>
                <w:spacing w:val="8"/>
                <w:sz w:val="20"/>
                <w:szCs w:val="20"/>
              </w:rPr>
              <w:t>，后期运营维护成本高</w:t>
            </w:r>
          </w:p>
        </w:tc>
        <w:tc>
          <w:tcPr>
            <w:tcW w:w="2635" w:type="dxa"/>
          </w:tcPr>
          <w:p w14:paraId="566F12BD">
            <w:pPr>
              <w:spacing w:before="95" w:line="268" w:lineRule="auto"/>
              <w:ind w:left="112" w:right="105"/>
              <w:rPr>
                <w:rFonts w:ascii="宋体" w:hAnsi="宋体" w:eastAsia="宋体" w:cs="宋体"/>
                <w:sz w:val="20"/>
                <w:szCs w:val="20"/>
              </w:rPr>
            </w:pPr>
            <w:r>
              <w:rPr>
                <w:rFonts w:ascii="宋体" w:hAnsi="宋体" w:eastAsia="宋体" w:cs="宋体"/>
                <w:spacing w:val="10"/>
                <w:sz w:val="20"/>
                <w:szCs w:val="20"/>
              </w:rPr>
              <w:t>漏</w:t>
            </w:r>
            <w:r>
              <w:rPr>
                <w:rFonts w:ascii="宋体" w:hAnsi="宋体" w:eastAsia="宋体" w:cs="宋体"/>
                <w:spacing w:val="8"/>
                <w:sz w:val="20"/>
                <w:szCs w:val="20"/>
              </w:rPr>
              <w:t>缝板</w:t>
            </w:r>
            <w:r>
              <w:rPr>
                <w:rFonts w:ascii="Times New Roman" w:hAnsi="Times New Roman" w:eastAsia="Times New Roman" w:cs="Times New Roman"/>
                <w:spacing w:val="8"/>
                <w:sz w:val="20"/>
                <w:szCs w:val="20"/>
              </w:rPr>
              <w:t>+</w:t>
            </w:r>
            <w:r>
              <w:rPr>
                <w:rFonts w:ascii="宋体" w:hAnsi="宋体" w:eastAsia="宋体" w:cs="宋体"/>
                <w:spacing w:val="8"/>
                <w:sz w:val="20"/>
                <w:szCs w:val="20"/>
              </w:rPr>
              <w:t>机械清粪工艺，投</w:t>
            </w:r>
            <w:r>
              <w:rPr>
                <w:rFonts w:ascii="宋体" w:hAnsi="宋体" w:eastAsia="宋体" w:cs="宋体"/>
                <w:sz w:val="20"/>
                <w:szCs w:val="20"/>
              </w:rPr>
              <w:t xml:space="preserve"> </w:t>
            </w:r>
            <w:r>
              <w:rPr>
                <w:rFonts w:ascii="宋体" w:hAnsi="宋体" w:eastAsia="宋体" w:cs="宋体"/>
                <w:spacing w:val="1"/>
                <w:sz w:val="20"/>
                <w:szCs w:val="20"/>
              </w:rPr>
              <w:t>资大，用水量较小、劳动强</w:t>
            </w:r>
            <w:r>
              <w:rPr>
                <w:rFonts w:ascii="宋体" w:hAnsi="宋体" w:eastAsia="宋体" w:cs="宋体"/>
                <w:sz w:val="20"/>
                <w:szCs w:val="20"/>
              </w:rPr>
              <w:t xml:space="preserve"> </w:t>
            </w:r>
            <w:r>
              <w:rPr>
                <w:rFonts w:ascii="宋体" w:hAnsi="宋体" w:eastAsia="宋体" w:cs="宋体"/>
                <w:spacing w:val="1"/>
                <w:sz w:val="20"/>
                <w:szCs w:val="20"/>
              </w:rPr>
              <w:t>度小，后期运营维护成本高</w:t>
            </w:r>
          </w:p>
        </w:tc>
        <w:tc>
          <w:tcPr>
            <w:tcW w:w="2842" w:type="dxa"/>
            <w:tcBorders>
              <w:right w:val="nil"/>
            </w:tcBorders>
          </w:tcPr>
          <w:p w14:paraId="7E2EC209">
            <w:pPr>
              <w:spacing w:before="95" w:line="281" w:lineRule="exact"/>
              <w:ind w:left="113"/>
              <w:rPr>
                <w:rFonts w:ascii="宋体" w:hAnsi="宋体" w:eastAsia="宋体" w:cs="宋体"/>
                <w:sz w:val="20"/>
                <w:szCs w:val="20"/>
              </w:rPr>
            </w:pPr>
            <w:r>
              <w:rPr>
                <w:rFonts w:ascii="宋体" w:hAnsi="宋体" w:eastAsia="宋体" w:cs="宋体"/>
                <w:spacing w:val="8"/>
                <w:position w:val="1"/>
                <w:sz w:val="20"/>
                <w:szCs w:val="20"/>
              </w:rPr>
              <w:t>漏缝板</w:t>
            </w:r>
            <w:r>
              <w:rPr>
                <w:rFonts w:ascii="Times New Roman" w:hAnsi="Times New Roman" w:eastAsia="Times New Roman" w:cs="Times New Roman"/>
                <w:spacing w:val="8"/>
                <w:position w:val="1"/>
                <w:sz w:val="20"/>
                <w:szCs w:val="20"/>
              </w:rPr>
              <w:t>+</w:t>
            </w:r>
            <w:r>
              <w:rPr>
                <w:rFonts w:ascii="宋体" w:hAnsi="宋体" w:eastAsia="宋体" w:cs="宋体"/>
                <w:spacing w:val="8"/>
                <w:position w:val="1"/>
                <w:sz w:val="20"/>
                <w:szCs w:val="20"/>
              </w:rPr>
              <w:t>机械清粪工艺，投</w:t>
            </w:r>
            <w:r>
              <w:rPr>
                <w:rFonts w:ascii="宋体" w:hAnsi="宋体" w:eastAsia="宋体" w:cs="宋体"/>
                <w:spacing w:val="6"/>
                <w:position w:val="1"/>
                <w:sz w:val="20"/>
                <w:szCs w:val="20"/>
              </w:rPr>
              <w:t>资</w:t>
            </w:r>
          </w:p>
          <w:p w14:paraId="62D6CA41">
            <w:pPr>
              <w:spacing w:before="28" w:line="228" w:lineRule="auto"/>
              <w:ind w:left="115"/>
              <w:rPr>
                <w:rFonts w:ascii="宋体" w:hAnsi="宋体" w:eastAsia="宋体" w:cs="宋体"/>
                <w:sz w:val="20"/>
                <w:szCs w:val="20"/>
              </w:rPr>
            </w:pPr>
            <w:r>
              <w:rPr>
                <w:rFonts w:ascii="宋体" w:hAnsi="宋体" w:eastAsia="宋体" w:cs="宋体"/>
                <w:spacing w:val="-12"/>
                <w:sz w:val="20"/>
                <w:szCs w:val="20"/>
              </w:rPr>
              <w:t>大</w:t>
            </w:r>
            <w:r>
              <w:rPr>
                <w:rFonts w:ascii="宋体" w:hAnsi="宋体" w:eastAsia="宋体" w:cs="宋体"/>
                <w:spacing w:val="-7"/>
                <w:sz w:val="20"/>
                <w:szCs w:val="20"/>
              </w:rPr>
              <w:t>，</w:t>
            </w:r>
            <w:r>
              <w:rPr>
                <w:rFonts w:ascii="宋体" w:hAnsi="宋体" w:eastAsia="宋体" w:cs="宋体"/>
                <w:spacing w:val="-6"/>
                <w:sz w:val="20"/>
                <w:szCs w:val="20"/>
              </w:rPr>
              <w:t>用水量较小、劳动强度小，</w:t>
            </w:r>
          </w:p>
          <w:p w14:paraId="651A0A89">
            <w:pPr>
              <w:spacing w:before="26" w:line="227" w:lineRule="auto"/>
              <w:ind w:left="482"/>
              <w:rPr>
                <w:rFonts w:ascii="宋体" w:hAnsi="宋体" w:eastAsia="宋体" w:cs="宋体"/>
                <w:sz w:val="20"/>
                <w:szCs w:val="20"/>
              </w:rPr>
            </w:pPr>
            <w:r>
              <w:rPr>
                <w:rFonts w:ascii="宋体" w:hAnsi="宋体" w:eastAsia="宋体" w:cs="宋体"/>
                <w:spacing w:val="15"/>
                <w:sz w:val="20"/>
                <w:szCs w:val="20"/>
              </w:rPr>
              <w:t>后</w:t>
            </w:r>
            <w:r>
              <w:rPr>
                <w:rFonts w:ascii="宋体" w:hAnsi="宋体" w:eastAsia="宋体" w:cs="宋体"/>
                <w:spacing w:val="8"/>
                <w:sz w:val="20"/>
                <w:szCs w:val="20"/>
              </w:rPr>
              <w:t>期运营维护成本高</w:t>
            </w:r>
          </w:p>
        </w:tc>
      </w:tr>
      <w:tr w14:paraId="21E2A4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093" w:hRule="atLeast"/>
        </w:trPr>
        <w:tc>
          <w:tcPr>
            <w:tcW w:w="1419" w:type="dxa"/>
            <w:tcBorders>
              <w:left w:val="nil"/>
            </w:tcBorders>
          </w:tcPr>
          <w:p w14:paraId="7CA65C05">
            <w:pPr>
              <w:spacing w:line="371" w:lineRule="auto"/>
            </w:pPr>
          </w:p>
          <w:p w14:paraId="15252919">
            <w:pPr>
              <w:spacing w:before="65" w:line="228" w:lineRule="auto"/>
              <w:ind w:left="296"/>
              <w:rPr>
                <w:rFonts w:ascii="宋体" w:hAnsi="宋体" w:eastAsia="宋体" w:cs="宋体"/>
                <w:sz w:val="20"/>
                <w:szCs w:val="20"/>
              </w:rPr>
            </w:pPr>
            <w:r>
              <w:rPr>
                <w:rFonts w:ascii="宋体" w:hAnsi="宋体" w:eastAsia="宋体" w:cs="宋体"/>
                <w:spacing w:val="8"/>
                <w:sz w:val="20"/>
                <w:szCs w:val="20"/>
              </w:rPr>
              <w:t>节</w:t>
            </w:r>
            <w:r>
              <w:rPr>
                <w:rFonts w:ascii="宋体" w:hAnsi="宋体" w:eastAsia="宋体" w:cs="宋体"/>
                <w:spacing w:val="7"/>
                <w:sz w:val="20"/>
                <w:szCs w:val="20"/>
              </w:rPr>
              <w:t>水设施</w:t>
            </w:r>
          </w:p>
        </w:tc>
        <w:tc>
          <w:tcPr>
            <w:tcW w:w="2816" w:type="dxa"/>
          </w:tcPr>
          <w:p w14:paraId="4DA67288">
            <w:pPr>
              <w:spacing w:before="31" w:line="227" w:lineRule="auto"/>
              <w:ind w:left="154"/>
              <w:rPr>
                <w:rFonts w:ascii="宋体" w:hAnsi="宋体" w:eastAsia="宋体" w:cs="宋体"/>
                <w:sz w:val="20"/>
                <w:szCs w:val="20"/>
              </w:rPr>
            </w:pPr>
            <w:r>
              <w:rPr>
                <w:rFonts w:ascii="宋体" w:hAnsi="宋体" w:eastAsia="宋体" w:cs="宋体"/>
                <w:spacing w:val="10"/>
                <w:sz w:val="20"/>
                <w:szCs w:val="20"/>
              </w:rPr>
              <w:t>全</w:t>
            </w:r>
            <w:r>
              <w:rPr>
                <w:rFonts w:ascii="宋体" w:hAnsi="宋体" w:eastAsia="宋体" w:cs="宋体"/>
                <w:spacing w:val="9"/>
                <w:sz w:val="20"/>
                <w:szCs w:val="20"/>
              </w:rPr>
              <w:t>漏缝地板，限位猪槽及水</w:t>
            </w:r>
          </w:p>
          <w:p w14:paraId="0584AC11">
            <w:pPr>
              <w:spacing w:before="27" w:line="228" w:lineRule="auto"/>
              <w:ind w:left="159"/>
              <w:rPr>
                <w:rFonts w:ascii="宋体" w:hAnsi="宋体" w:eastAsia="宋体" w:cs="宋体"/>
                <w:sz w:val="20"/>
                <w:szCs w:val="20"/>
              </w:rPr>
            </w:pPr>
            <w:r>
              <w:rPr>
                <w:rFonts w:ascii="宋体" w:hAnsi="宋体" w:eastAsia="宋体" w:cs="宋体"/>
                <w:spacing w:val="16"/>
                <w:sz w:val="20"/>
                <w:szCs w:val="20"/>
              </w:rPr>
              <w:t>帘</w:t>
            </w:r>
            <w:r>
              <w:rPr>
                <w:rFonts w:ascii="宋体" w:hAnsi="宋体" w:eastAsia="宋体" w:cs="宋体"/>
                <w:spacing w:val="8"/>
                <w:sz w:val="20"/>
                <w:szCs w:val="20"/>
              </w:rPr>
              <w:t>降温、只在转栏时用高压</w:t>
            </w:r>
          </w:p>
          <w:p w14:paraId="4DC9C7CA">
            <w:pPr>
              <w:spacing w:before="24" w:line="228" w:lineRule="auto"/>
              <w:ind w:left="116"/>
              <w:rPr>
                <w:rFonts w:ascii="宋体" w:hAnsi="宋体" w:eastAsia="宋体" w:cs="宋体"/>
                <w:sz w:val="20"/>
                <w:szCs w:val="20"/>
              </w:rPr>
            </w:pPr>
            <w:r>
              <w:rPr>
                <w:rFonts w:ascii="宋体" w:hAnsi="宋体" w:eastAsia="宋体" w:cs="宋体"/>
                <w:spacing w:val="11"/>
                <w:sz w:val="20"/>
                <w:szCs w:val="20"/>
              </w:rPr>
              <w:t>水</w:t>
            </w:r>
            <w:r>
              <w:rPr>
                <w:rFonts w:ascii="宋体" w:hAnsi="宋体" w:eastAsia="宋体" w:cs="宋体"/>
                <w:spacing w:val="6"/>
                <w:sz w:val="20"/>
                <w:szCs w:val="20"/>
              </w:rPr>
              <w:t>枪冲洗猪舍、限位饮水器、</w:t>
            </w:r>
          </w:p>
          <w:p w14:paraId="51027263">
            <w:pPr>
              <w:spacing w:before="27" w:line="224" w:lineRule="auto"/>
              <w:ind w:left="473"/>
              <w:rPr>
                <w:rFonts w:ascii="宋体" w:hAnsi="宋体" w:eastAsia="宋体" w:cs="宋体"/>
                <w:sz w:val="20"/>
                <w:szCs w:val="20"/>
              </w:rPr>
            </w:pPr>
            <w:r>
              <w:rPr>
                <w:rFonts w:ascii="宋体" w:hAnsi="宋体" w:eastAsia="宋体" w:cs="宋体"/>
                <w:spacing w:val="12"/>
                <w:sz w:val="20"/>
                <w:szCs w:val="20"/>
              </w:rPr>
              <w:t>安</w:t>
            </w:r>
            <w:r>
              <w:rPr>
                <w:rFonts w:ascii="宋体" w:hAnsi="宋体" w:eastAsia="宋体" w:cs="宋体"/>
                <w:spacing w:val="8"/>
                <w:sz w:val="20"/>
                <w:szCs w:val="20"/>
              </w:rPr>
              <w:t>装水表、绩效管理</w:t>
            </w:r>
          </w:p>
        </w:tc>
        <w:tc>
          <w:tcPr>
            <w:tcW w:w="2635" w:type="dxa"/>
          </w:tcPr>
          <w:p w14:paraId="65EB3048">
            <w:pPr>
              <w:spacing w:before="305" w:line="265" w:lineRule="auto"/>
              <w:ind w:left="382" w:right="108" w:hanging="269"/>
              <w:rPr>
                <w:rFonts w:ascii="宋体" w:hAnsi="宋体" w:eastAsia="宋体" w:cs="宋体"/>
                <w:sz w:val="20"/>
                <w:szCs w:val="20"/>
              </w:rPr>
            </w:pPr>
            <w:r>
              <w:rPr>
                <w:rFonts w:ascii="宋体" w:hAnsi="宋体" w:eastAsia="宋体" w:cs="宋体"/>
                <w:spacing w:val="1"/>
                <w:sz w:val="20"/>
                <w:szCs w:val="20"/>
              </w:rPr>
              <w:t>全自动给料给水系</w:t>
            </w:r>
            <w:r>
              <w:rPr>
                <w:rFonts w:ascii="宋体" w:hAnsi="宋体" w:eastAsia="宋体" w:cs="宋体"/>
                <w:sz w:val="20"/>
                <w:szCs w:val="20"/>
              </w:rPr>
              <w:t xml:space="preserve">统、猪舍 </w:t>
            </w:r>
            <w:r>
              <w:rPr>
                <w:rFonts w:ascii="宋体" w:hAnsi="宋体" w:eastAsia="宋体" w:cs="宋体"/>
                <w:spacing w:val="11"/>
                <w:sz w:val="20"/>
                <w:szCs w:val="20"/>
              </w:rPr>
              <w:t>小</w:t>
            </w:r>
            <w:r>
              <w:rPr>
                <w:rFonts w:ascii="宋体" w:hAnsi="宋体" w:eastAsia="宋体" w:cs="宋体"/>
                <w:spacing w:val="8"/>
                <w:sz w:val="20"/>
                <w:szCs w:val="20"/>
              </w:rPr>
              <w:t>环境自动控制系统</w:t>
            </w:r>
          </w:p>
        </w:tc>
        <w:tc>
          <w:tcPr>
            <w:tcW w:w="2842" w:type="dxa"/>
            <w:tcBorders>
              <w:right w:val="nil"/>
            </w:tcBorders>
          </w:tcPr>
          <w:p w14:paraId="0AA81EB7">
            <w:pPr>
              <w:spacing w:before="168" w:line="227" w:lineRule="auto"/>
              <w:ind w:left="113"/>
              <w:rPr>
                <w:rFonts w:ascii="宋体" w:hAnsi="宋体" w:eastAsia="宋体" w:cs="宋体"/>
                <w:sz w:val="20"/>
                <w:szCs w:val="20"/>
              </w:rPr>
            </w:pPr>
            <w:r>
              <w:rPr>
                <w:rFonts w:ascii="宋体" w:hAnsi="宋体" w:eastAsia="宋体" w:cs="宋体"/>
                <w:spacing w:val="2"/>
                <w:sz w:val="20"/>
                <w:szCs w:val="20"/>
              </w:rPr>
              <w:t>全漏缝地</w:t>
            </w:r>
            <w:r>
              <w:rPr>
                <w:rFonts w:ascii="宋体" w:hAnsi="宋体" w:eastAsia="宋体" w:cs="宋体"/>
                <w:spacing w:val="1"/>
                <w:sz w:val="20"/>
                <w:szCs w:val="20"/>
              </w:rPr>
              <w:t>板，限位猪槽及水帘</w:t>
            </w:r>
          </w:p>
          <w:p w14:paraId="6EAEFCD0">
            <w:pPr>
              <w:spacing w:before="24" w:line="228" w:lineRule="auto"/>
              <w:ind w:left="129"/>
              <w:rPr>
                <w:rFonts w:ascii="宋体" w:hAnsi="宋体" w:eastAsia="宋体" w:cs="宋体"/>
                <w:sz w:val="20"/>
                <w:szCs w:val="20"/>
              </w:rPr>
            </w:pPr>
            <w:r>
              <w:rPr>
                <w:rFonts w:ascii="宋体" w:hAnsi="宋体" w:eastAsia="宋体" w:cs="宋体"/>
                <w:spacing w:val="-1"/>
                <w:sz w:val="20"/>
                <w:szCs w:val="20"/>
              </w:rPr>
              <w:t>降温</w:t>
            </w:r>
            <w:r>
              <w:rPr>
                <w:rFonts w:ascii="宋体" w:hAnsi="宋体" w:eastAsia="宋体" w:cs="宋体"/>
                <w:sz w:val="20"/>
                <w:szCs w:val="20"/>
              </w:rPr>
              <w:t>、只在转栏时用高压水枪</w:t>
            </w:r>
          </w:p>
          <w:p w14:paraId="4A25A974">
            <w:pPr>
              <w:spacing w:before="24" w:line="228" w:lineRule="auto"/>
              <w:ind w:left="378"/>
              <w:rPr>
                <w:rFonts w:ascii="宋体" w:hAnsi="宋体" w:eastAsia="宋体" w:cs="宋体"/>
                <w:sz w:val="20"/>
                <w:szCs w:val="20"/>
              </w:rPr>
            </w:pPr>
            <w:r>
              <w:rPr>
                <w:rFonts w:ascii="宋体" w:hAnsi="宋体" w:eastAsia="宋体" w:cs="宋体"/>
                <w:spacing w:val="9"/>
                <w:sz w:val="20"/>
                <w:szCs w:val="20"/>
              </w:rPr>
              <w:t>冲洗猪舍、限位饮水</w:t>
            </w:r>
            <w:r>
              <w:rPr>
                <w:rFonts w:ascii="宋体" w:hAnsi="宋体" w:eastAsia="宋体" w:cs="宋体"/>
                <w:spacing w:val="7"/>
                <w:sz w:val="20"/>
                <w:szCs w:val="20"/>
              </w:rPr>
              <w:t>器</w:t>
            </w:r>
          </w:p>
        </w:tc>
      </w:tr>
      <w:tr w14:paraId="214CCA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310" w:hRule="atLeast"/>
        </w:trPr>
        <w:tc>
          <w:tcPr>
            <w:tcW w:w="1419" w:type="dxa"/>
            <w:tcBorders>
              <w:left w:val="nil"/>
            </w:tcBorders>
          </w:tcPr>
          <w:p w14:paraId="0ED088A7">
            <w:pPr>
              <w:spacing w:line="268" w:lineRule="auto"/>
            </w:pPr>
          </w:p>
          <w:p w14:paraId="71171BB2">
            <w:pPr>
              <w:spacing w:line="268" w:lineRule="auto"/>
            </w:pPr>
          </w:p>
          <w:p w14:paraId="1E8E823D">
            <w:pPr>
              <w:spacing w:line="268" w:lineRule="auto"/>
            </w:pPr>
          </w:p>
          <w:p w14:paraId="5C271A54">
            <w:pPr>
              <w:spacing w:line="268" w:lineRule="auto"/>
            </w:pPr>
          </w:p>
          <w:p w14:paraId="6329DCE2">
            <w:pPr>
              <w:spacing w:line="269" w:lineRule="auto"/>
            </w:pPr>
          </w:p>
          <w:p w14:paraId="580BB82C">
            <w:pPr>
              <w:spacing w:before="65" w:line="266" w:lineRule="auto"/>
              <w:ind w:left="612" w:right="184" w:hanging="422"/>
              <w:rPr>
                <w:rFonts w:ascii="宋体" w:hAnsi="宋体" w:eastAsia="宋体" w:cs="宋体"/>
                <w:sz w:val="20"/>
                <w:szCs w:val="20"/>
              </w:rPr>
            </w:pPr>
            <w:r>
              <w:rPr>
                <w:rFonts w:ascii="宋体" w:hAnsi="宋体" w:eastAsia="宋体" w:cs="宋体"/>
                <w:spacing w:val="9"/>
                <w:sz w:val="20"/>
                <w:szCs w:val="20"/>
              </w:rPr>
              <w:t>废</w:t>
            </w:r>
            <w:r>
              <w:rPr>
                <w:rFonts w:ascii="宋体" w:hAnsi="宋体" w:eastAsia="宋体" w:cs="宋体"/>
                <w:spacing w:val="8"/>
                <w:sz w:val="20"/>
                <w:szCs w:val="20"/>
              </w:rPr>
              <w:t>物回收利</w:t>
            </w:r>
            <w:r>
              <w:rPr>
                <w:rFonts w:ascii="宋体" w:hAnsi="宋体" w:eastAsia="宋体" w:cs="宋体"/>
                <w:sz w:val="20"/>
                <w:szCs w:val="20"/>
              </w:rPr>
              <w:t xml:space="preserve"> 用</w:t>
            </w:r>
          </w:p>
        </w:tc>
        <w:tc>
          <w:tcPr>
            <w:tcW w:w="2816" w:type="dxa"/>
          </w:tcPr>
          <w:p w14:paraId="54A5434E">
            <w:pPr>
              <w:spacing w:before="34" w:line="228" w:lineRule="auto"/>
              <w:ind w:left="153"/>
              <w:rPr>
                <w:rFonts w:ascii="宋体" w:hAnsi="宋体" w:eastAsia="宋体" w:cs="宋体"/>
                <w:sz w:val="20"/>
                <w:szCs w:val="20"/>
              </w:rPr>
            </w:pPr>
            <w:r>
              <w:rPr>
                <w:rFonts w:ascii="宋体" w:hAnsi="宋体" w:eastAsia="宋体" w:cs="宋体"/>
                <w:spacing w:val="11"/>
                <w:sz w:val="20"/>
                <w:szCs w:val="20"/>
              </w:rPr>
              <w:t>废</w:t>
            </w:r>
            <w:r>
              <w:rPr>
                <w:rFonts w:ascii="宋体" w:hAnsi="宋体" w:eastAsia="宋体" w:cs="宋体"/>
                <w:spacing w:val="9"/>
                <w:sz w:val="20"/>
                <w:szCs w:val="20"/>
              </w:rPr>
              <w:t>水产生量较小，废水拟每</w:t>
            </w:r>
          </w:p>
          <w:p w14:paraId="6313E093">
            <w:pPr>
              <w:spacing w:before="24" w:line="227" w:lineRule="auto"/>
              <w:ind w:left="190"/>
              <w:rPr>
                <w:rFonts w:ascii="宋体" w:hAnsi="宋体" w:eastAsia="宋体" w:cs="宋体"/>
                <w:sz w:val="20"/>
                <w:szCs w:val="20"/>
              </w:rPr>
            </w:pPr>
            <w:r>
              <w:rPr>
                <w:rFonts w:ascii="宋体" w:hAnsi="宋体" w:eastAsia="宋体" w:cs="宋体"/>
                <w:spacing w:val="7"/>
                <w:sz w:val="20"/>
                <w:szCs w:val="20"/>
              </w:rPr>
              <w:t>日</w:t>
            </w:r>
            <w:r>
              <w:rPr>
                <w:rFonts w:ascii="宋体" w:hAnsi="宋体" w:eastAsia="宋体" w:cs="宋体"/>
                <w:spacing w:val="6"/>
                <w:sz w:val="20"/>
                <w:szCs w:val="20"/>
              </w:rPr>
              <w:t>运输至乐山乐高勤力生物</w:t>
            </w:r>
          </w:p>
          <w:p w14:paraId="0C9B4E0F">
            <w:pPr>
              <w:spacing w:before="24" w:line="228" w:lineRule="auto"/>
              <w:ind w:left="155"/>
              <w:rPr>
                <w:rFonts w:ascii="宋体" w:hAnsi="宋体" w:eastAsia="宋体" w:cs="宋体"/>
                <w:sz w:val="20"/>
                <w:szCs w:val="20"/>
              </w:rPr>
            </w:pPr>
            <w:r>
              <w:rPr>
                <w:rFonts w:ascii="宋体" w:hAnsi="宋体" w:eastAsia="宋体" w:cs="宋体"/>
                <w:spacing w:val="9"/>
                <w:sz w:val="20"/>
                <w:szCs w:val="20"/>
              </w:rPr>
              <w:t>质能源综合利用有限公司集</w:t>
            </w:r>
          </w:p>
          <w:p w14:paraId="3D0E4315">
            <w:pPr>
              <w:spacing w:before="26" w:line="228" w:lineRule="auto"/>
              <w:ind w:left="133"/>
              <w:rPr>
                <w:rFonts w:ascii="宋体" w:hAnsi="宋体" w:eastAsia="宋体" w:cs="宋体"/>
                <w:sz w:val="20"/>
                <w:szCs w:val="20"/>
              </w:rPr>
            </w:pPr>
            <w:r>
              <w:rPr>
                <w:rFonts w:ascii="宋体" w:hAnsi="宋体" w:eastAsia="宋体" w:cs="宋体"/>
                <w:spacing w:val="8"/>
                <w:sz w:val="20"/>
                <w:szCs w:val="20"/>
              </w:rPr>
              <w:t>中</w:t>
            </w:r>
            <w:r>
              <w:rPr>
                <w:rFonts w:ascii="宋体" w:hAnsi="宋体" w:eastAsia="宋体" w:cs="宋体"/>
                <w:spacing w:val="6"/>
                <w:sz w:val="20"/>
                <w:szCs w:val="20"/>
              </w:rPr>
              <w:t>处</w:t>
            </w:r>
            <w:r>
              <w:rPr>
                <w:rFonts w:ascii="宋体" w:hAnsi="宋体" w:eastAsia="宋体" w:cs="宋体"/>
                <w:spacing w:val="4"/>
                <w:sz w:val="20"/>
                <w:szCs w:val="20"/>
              </w:rPr>
              <w:t>置 (已签订收纳协议) ，</w:t>
            </w:r>
          </w:p>
          <w:p w14:paraId="673047DB">
            <w:pPr>
              <w:spacing w:before="24" w:line="228" w:lineRule="auto"/>
              <w:ind w:left="190"/>
              <w:rPr>
                <w:rFonts w:ascii="宋体" w:hAnsi="宋体" w:eastAsia="宋体" w:cs="宋体"/>
                <w:sz w:val="20"/>
                <w:szCs w:val="20"/>
              </w:rPr>
            </w:pPr>
            <w:r>
              <w:rPr>
                <w:rFonts w:ascii="宋体" w:hAnsi="宋体" w:eastAsia="宋体" w:cs="宋体"/>
                <w:spacing w:val="7"/>
                <w:sz w:val="20"/>
                <w:szCs w:val="20"/>
              </w:rPr>
              <w:t>日</w:t>
            </w:r>
            <w:r>
              <w:rPr>
                <w:rFonts w:ascii="宋体" w:hAnsi="宋体" w:eastAsia="宋体" w:cs="宋体"/>
                <w:spacing w:val="6"/>
                <w:sz w:val="20"/>
                <w:szCs w:val="20"/>
              </w:rPr>
              <w:t>产日清，同时，厂区还配</w:t>
            </w:r>
          </w:p>
          <w:p w14:paraId="4241847C">
            <w:pPr>
              <w:spacing w:before="27" w:line="228" w:lineRule="auto"/>
              <w:ind w:left="114"/>
              <w:rPr>
                <w:rFonts w:ascii="宋体" w:hAnsi="宋体" w:eastAsia="宋体" w:cs="宋体"/>
                <w:sz w:val="20"/>
                <w:szCs w:val="20"/>
              </w:rPr>
            </w:pPr>
            <w:r>
              <w:rPr>
                <w:rFonts w:ascii="宋体" w:hAnsi="宋体" w:eastAsia="宋体" w:cs="宋体"/>
                <w:spacing w:val="4"/>
                <w:sz w:val="20"/>
                <w:szCs w:val="20"/>
              </w:rPr>
              <w:t>套</w:t>
            </w:r>
            <w:r>
              <w:rPr>
                <w:rFonts w:ascii="宋体" w:hAnsi="宋体" w:eastAsia="宋体" w:cs="宋体"/>
                <w:spacing w:val="2"/>
                <w:sz w:val="20"/>
                <w:szCs w:val="20"/>
              </w:rPr>
              <w:t xml:space="preserve">建设有一 </w:t>
            </w:r>
            <w:r>
              <w:rPr>
                <w:rFonts w:ascii="Times New Roman" w:hAnsi="Times New Roman" w:eastAsia="Times New Roman" w:cs="Times New Roman"/>
                <w:spacing w:val="2"/>
                <w:sz w:val="20"/>
                <w:szCs w:val="20"/>
              </w:rPr>
              <w:t>1600</w:t>
            </w:r>
            <w:r>
              <w:rPr>
                <w:rFonts w:ascii="Times New Roman" w:hAnsi="Times New Roman" w:eastAsia="Times New Roman" w:cs="Times New Roman"/>
                <w:sz w:val="20"/>
                <w:szCs w:val="20"/>
              </w:rPr>
              <w:t>m</w:t>
            </w:r>
            <w:r>
              <w:rPr>
                <w:rFonts w:ascii="Times New Roman" w:hAnsi="Times New Roman" w:eastAsia="Times New Roman" w:cs="Times New Roman"/>
                <w:spacing w:val="2"/>
                <w:position w:val="6"/>
                <w:sz w:val="13"/>
                <w:szCs w:val="13"/>
              </w:rPr>
              <w:t xml:space="preserve">2 </w:t>
            </w:r>
            <w:r>
              <w:rPr>
                <w:rFonts w:ascii="宋体" w:hAnsi="宋体" w:eastAsia="宋体" w:cs="宋体"/>
                <w:spacing w:val="2"/>
                <w:sz w:val="20"/>
                <w:szCs w:val="20"/>
              </w:rPr>
              <w:t>的发酵床</w:t>
            </w:r>
          </w:p>
          <w:p w14:paraId="66846069">
            <w:pPr>
              <w:spacing w:before="27" w:line="229" w:lineRule="auto"/>
              <w:ind w:left="157"/>
              <w:rPr>
                <w:rFonts w:ascii="宋体" w:hAnsi="宋体" w:eastAsia="宋体" w:cs="宋体"/>
                <w:sz w:val="20"/>
                <w:szCs w:val="20"/>
              </w:rPr>
            </w:pPr>
            <w:r>
              <w:rPr>
                <w:rFonts w:ascii="宋体" w:hAnsi="宋体" w:eastAsia="宋体" w:cs="宋体"/>
                <w:spacing w:val="9"/>
                <w:sz w:val="20"/>
                <w:szCs w:val="20"/>
              </w:rPr>
              <w:t>备用，若后期乐山乐高勤</w:t>
            </w:r>
            <w:r>
              <w:rPr>
                <w:rFonts w:ascii="宋体" w:hAnsi="宋体" w:eastAsia="宋体" w:cs="宋体"/>
                <w:spacing w:val="8"/>
                <w:sz w:val="20"/>
                <w:szCs w:val="20"/>
              </w:rPr>
              <w:t>力</w:t>
            </w:r>
          </w:p>
          <w:p w14:paraId="7F739467">
            <w:pPr>
              <w:spacing w:before="24" w:line="228" w:lineRule="auto"/>
              <w:ind w:left="156"/>
              <w:rPr>
                <w:rFonts w:ascii="宋体" w:hAnsi="宋体" w:eastAsia="宋体" w:cs="宋体"/>
                <w:sz w:val="20"/>
                <w:szCs w:val="20"/>
              </w:rPr>
            </w:pPr>
            <w:r>
              <w:rPr>
                <w:rFonts w:ascii="宋体" w:hAnsi="宋体" w:eastAsia="宋体" w:cs="宋体"/>
                <w:spacing w:val="9"/>
                <w:sz w:val="20"/>
                <w:szCs w:val="20"/>
              </w:rPr>
              <w:t>生物质能源综合利用有限</w:t>
            </w:r>
            <w:r>
              <w:rPr>
                <w:rFonts w:ascii="宋体" w:hAnsi="宋体" w:eastAsia="宋体" w:cs="宋体"/>
                <w:spacing w:val="8"/>
                <w:sz w:val="20"/>
                <w:szCs w:val="20"/>
              </w:rPr>
              <w:t>公</w:t>
            </w:r>
          </w:p>
          <w:p w14:paraId="101121B7">
            <w:pPr>
              <w:spacing w:before="23" w:line="228" w:lineRule="auto"/>
              <w:ind w:left="162"/>
              <w:rPr>
                <w:rFonts w:ascii="宋体" w:hAnsi="宋体" w:eastAsia="宋体" w:cs="宋体"/>
                <w:sz w:val="20"/>
                <w:szCs w:val="20"/>
              </w:rPr>
            </w:pPr>
            <w:r>
              <w:rPr>
                <w:rFonts w:ascii="宋体" w:hAnsi="宋体" w:eastAsia="宋体" w:cs="宋体"/>
                <w:spacing w:val="13"/>
                <w:sz w:val="20"/>
                <w:szCs w:val="20"/>
              </w:rPr>
              <w:t>司</w:t>
            </w:r>
            <w:r>
              <w:rPr>
                <w:rFonts w:ascii="宋体" w:hAnsi="宋体" w:eastAsia="宋体" w:cs="宋体"/>
                <w:spacing w:val="8"/>
                <w:sz w:val="20"/>
                <w:szCs w:val="20"/>
              </w:rPr>
              <w:t>不再回收厂区内的养殖废</w:t>
            </w:r>
          </w:p>
          <w:p w14:paraId="7C472B57">
            <w:pPr>
              <w:spacing w:before="27" w:line="228" w:lineRule="auto"/>
              <w:ind w:left="157"/>
              <w:rPr>
                <w:rFonts w:ascii="宋体" w:hAnsi="宋体" w:eastAsia="宋体" w:cs="宋体"/>
                <w:sz w:val="20"/>
                <w:szCs w:val="20"/>
              </w:rPr>
            </w:pPr>
            <w:r>
              <w:rPr>
                <w:rFonts w:ascii="宋体" w:hAnsi="宋体" w:eastAsia="宋体" w:cs="宋体"/>
                <w:spacing w:val="9"/>
                <w:sz w:val="20"/>
                <w:szCs w:val="20"/>
              </w:rPr>
              <w:t>水，可将通过异位发酵床</w:t>
            </w:r>
            <w:r>
              <w:rPr>
                <w:rFonts w:ascii="宋体" w:hAnsi="宋体" w:eastAsia="宋体" w:cs="宋体"/>
                <w:spacing w:val="8"/>
                <w:sz w:val="20"/>
                <w:szCs w:val="20"/>
              </w:rPr>
              <w:t>自</w:t>
            </w:r>
          </w:p>
          <w:p w14:paraId="51569BD8">
            <w:pPr>
              <w:spacing w:before="25" w:line="228" w:lineRule="auto"/>
              <w:ind w:left="157"/>
              <w:rPr>
                <w:rFonts w:ascii="宋体" w:hAnsi="宋体" w:eastAsia="宋体" w:cs="宋体"/>
                <w:sz w:val="20"/>
                <w:szCs w:val="20"/>
              </w:rPr>
            </w:pPr>
            <w:r>
              <w:rPr>
                <w:rFonts w:ascii="宋体" w:hAnsi="宋体" w:eastAsia="宋体" w:cs="宋体"/>
                <w:spacing w:val="9"/>
                <w:sz w:val="20"/>
                <w:szCs w:val="20"/>
              </w:rPr>
              <w:t>行处置，处理产生的有机</w:t>
            </w:r>
            <w:r>
              <w:rPr>
                <w:rFonts w:ascii="宋体" w:hAnsi="宋体" w:eastAsia="宋体" w:cs="宋体"/>
                <w:spacing w:val="7"/>
                <w:sz w:val="20"/>
                <w:szCs w:val="20"/>
              </w:rPr>
              <w:t>肥</w:t>
            </w:r>
          </w:p>
          <w:p w14:paraId="02A59566">
            <w:pPr>
              <w:spacing w:before="45" w:line="209" w:lineRule="auto"/>
              <w:ind w:left="878"/>
              <w:rPr>
                <w:rFonts w:ascii="宋体" w:hAnsi="宋体" w:eastAsia="宋体" w:cs="宋体"/>
                <w:sz w:val="23"/>
                <w:szCs w:val="23"/>
              </w:rPr>
            </w:pPr>
            <w:r>
              <w:rPr>
                <w:rFonts w:ascii="宋体" w:hAnsi="宋体" w:eastAsia="宋体" w:cs="宋体"/>
                <w:spacing w:val="5"/>
                <w:sz w:val="20"/>
                <w:szCs w:val="20"/>
              </w:rPr>
              <w:t>外售处理</w:t>
            </w:r>
            <w:r>
              <w:rPr>
                <w:rFonts w:ascii="宋体" w:hAnsi="宋体" w:eastAsia="宋体" w:cs="宋体"/>
                <w:spacing w:val="5"/>
                <w:position w:val="-1"/>
                <w:sz w:val="23"/>
                <w:szCs w:val="23"/>
              </w:rPr>
              <w:t>。</w:t>
            </w:r>
          </w:p>
        </w:tc>
        <w:tc>
          <w:tcPr>
            <w:tcW w:w="2635" w:type="dxa"/>
          </w:tcPr>
          <w:p w14:paraId="25611B0F">
            <w:pPr>
              <w:spacing w:line="241" w:lineRule="auto"/>
            </w:pPr>
          </w:p>
          <w:p w14:paraId="1957E05A">
            <w:pPr>
              <w:spacing w:line="241" w:lineRule="auto"/>
            </w:pPr>
          </w:p>
          <w:p w14:paraId="5B469544">
            <w:pPr>
              <w:spacing w:line="241" w:lineRule="auto"/>
            </w:pPr>
          </w:p>
          <w:p w14:paraId="3DD930DD">
            <w:pPr>
              <w:spacing w:line="241" w:lineRule="auto"/>
            </w:pPr>
          </w:p>
          <w:p w14:paraId="50345BFC">
            <w:pPr>
              <w:spacing w:line="241" w:lineRule="auto"/>
            </w:pPr>
          </w:p>
          <w:p w14:paraId="03B9BA40">
            <w:pPr>
              <w:spacing w:before="65" w:line="228" w:lineRule="auto"/>
              <w:ind w:left="112"/>
              <w:rPr>
                <w:rFonts w:ascii="宋体" w:hAnsi="宋体" w:eastAsia="宋体" w:cs="宋体"/>
                <w:sz w:val="20"/>
                <w:szCs w:val="20"/>
              </w:rPr>
            </w:pPr>
            <w:r>
              <w:rPr>
                <w:rFonts w:ascii="宋体" w:hAnsi="宋体" w:eastAsia="宋体" w:cs="宋体"/>
                <w:spacing w:val="1"/>
                <w:sz w:val="20"/>
                <w:szCs w:val="20"/>
              </w:rPr>
              <w:t>废水产生量较小，废</w:t>
            </w:r>
            <w:r>
              <w:rPr>
                <w:rFonts w:ascii="宋体" w:hAnsi="宋体" w:eastAsia="宋体" w:cs="宋体"/>
                <w:sz w:val="20"/>
                <w:szCs w:val="20"/>
              </w:rPr>
              <w:t>水采用</w:t>
            </w:r>
          </w:p>
          <w:p w14:paraId="072AEBB7">
            <w:pPr>
              <w:spacing w:before="24" w:line="232" w:lineRule="auto"/>
              <w:ind w:left="69"/>
              <w:rPr>
                <w:rFonts w:ascii="宋体" w:hAnsi="宋体" w:eastAsia="宋体" w:cs="宋体"/>
                <w:sz w:val="20"/>
                <w:szCs w:val="20"/>
              </w:rPr>
            </w:pPr>
            <w:r>
              <w:rPr>
                <w:rFonts w:ascii="Times New Roman" w:hAnsi="Times New Roman" w:eastAsia="Times New Roman" w:cs="Times New Roman"/>
                <w:spacing w:val="17"/>
                <w:sz w:val="20"/>
                <w:szCs w:val="20"/>
              </w:rPr>
              <w:t>“</w:t>
            </w:r>
            <w:r>
              <w:rPr>
                <w:rFonts w:ascii="Times New Roman" w:hAnsi="Times New Roman" w:eastAsia="Times New Roman" w:cs="Times New Roman"/>
                <w:sz w:val="20"/>
                <w:szCs w:val="20"/>
              </w:rPr>
              <w:t>UASB</w:t>
            </w:r>
            <w:r>
              <w:rPr>
                <w:rFonts w:ascii="Times New Roman" w:hAnsi="Times New Roman" w:eastAsia="Times New Roman" w:cs="Times New Roman"/>
                <w:spacing w:val="14"/>
                <w:sz w:val="20"/>
                <w:szCs w:val="20"/>
              </w:rPr>
              <w:t>”</w:t>
            </w:r>
            <w:r>
              <w:rPr>
                <w:rFonts w:ascii="宋体" w:hAnsi="宋体" w:eastAsia="宋体" w:cs="宋体"/>
                <w:spacing w:val="14"/>
                <w:sz w:val="20"/>
                <w:szCs w:val="20"/>
              </w:rPr>
              <w:t>处理工艺，沼液用</w:t>
            </w:r>
          </w:p>
          <w:p w14:paraId="14A18361">
            <w:pPr>
              <w:spacing w:before="22" w:line="227" w:lineRule="auto"/>
              <w:ind w:left="800"/>
              <w:rPr>
                <w:rFonts w:ascii="宋体" w:hAnsi="宋体" w:eastAsia="宋体" w:cs="宋体"/>
                <w:sz w:val="20"/>
                <w:szCs w:val="20"/>
              </w:rPr>
            </w:pPr>
            <w:r>
              <w:rPr>
                <w:rFonts w:ascii="宋体" w:hAnsi="宋体" w:eastAsia="宋体" w:cs="宋体"/>
                <w:spacing w:val="9"/>
                <w:sz w:val="20"/>
                <w:szCs w:val="20"/>
              </w:rPr>
              <w:t>于</w:t>
            </w:r>
            <w:r>
              <w:rPr>
                <w:rFonts w:ascii="宋体" w:hAnsi="宋体" w:eastAsia="宋体" w:cs="宋体"/>
                <w:spacing w:val="7"/>
                <w:sz w:val="20"/>
                <w:szCs w:val="20"/>
              </w:rPr>
              <w:t>农田施肥</w:t>
            </w:r>
          </w:p>
        </w:tc>
        <w:tc>
          <w:tcPr>
            <w:tcW w:w="2842" w:type="dxa"/>
            <w:tcBorders>
              <w:right w:val="nil"/>
            </w:tcBorders>
          </w:tcPr>
          <w:p w14:paraId="1339E70C">
            <w:pPr>
              <w:spacing w:line="267" w:lineRule="auto"/>
            </w:pPr>
          </w:p>
          <w:p w14:paraId="2F6183CA">
            <w:pPr>
              <w:spacing w:line="267" w:lineRule="auto"/>
            </w:pPr>
          </w:p>
          <w:p w14:paraId="4B099A59">
            <w:pPr>
              <w:spacing w:line="267" w:lineRule="auto"/>
            </w:pPr>
          </w:p>
          <w:p w14:paraId="4A732A7D">
            <w:pPr>
              <w:spacing w:line="268" w:lineRule="auto"/>
            </w:pPr>
          </w:p>
          <w:p w14:paraId="3F31D54D">
            <w:pPr>
              <w:spacing w:before="65" w:line="228" w:lineRule="auto"/>
              <w:ind w:left="112"/>
              <w:rPr>
                <w:rFonts w:ascii="宋体" w:hAnsi="宋体" w:eastAsia="宋体" w:cs="宋体"/>
                <w:sz w:val="20"/>
                <w:szCs w:val="20"/>
              </w:rPr>
            </w:pPr>
            <w:r>
              <w:rPr>
                <w:rFonts w:ascii="宋体" w:hAnsi="宋体" w:eastAsia="宋体" w:cs="宋体"/>
                <w:spacing w:val="2"/>
                <w:sz w:val="20"/>
                <w:szCs w:val="20"/>
              </w:rPr>
              <w:t>废水产生量</w:t>
            </w:r>
            <w:r>
              <w:rPr>
                <w:rFonts w:ascii="宋体" w:hAnsi="宋体" w:eastAsia="宋体" w:cs="宋体"/>
                <w:spacing w:val="1"/>
                <w:sz w:val="20"/>
                <w:szCs w:val="20"/>
              </w:rPr>
              <w:t>较小，废水采用改</w:t>
            </w:r>
          </w:p>
          <w:p w14:paraId="75D0C748">
            <w:pPr>
              <w:spacing w:before="26" w:line="231" w:lineRule="auto"/>
              <w:ind w:left="149"/>
              <w:rPr>
                <w:rFonts w:ascii="宋体" w:hAnsi="宋体" w:eastAsia="宋体" w:cs="宋体"/>
                <w:sz w:val="20"/>
                <w:szCs w:val="20"/>
              </w:rPr>
            </w:pPr>
            <w:r>
              <w:rPr>
                <w:rFonts w:ascii="宋体" w:hAnsi="宋体" w:eastAsia="宋体" w:cs="宋体"/>
                <w:spacing w:val="10"/>
                <w:sz w:val="20"/>
                <w:szCs w:val="20"/>
              </w:rPr>
              <w:t>良</w:t>
            </w:r>
            <w:r>
              <w:rPr>
                <w:rFonts w:ascii="宋体" w:hAnsi="宋体" w:eastAsia="宋体" w:cs="宋体"/>
                <w:spacing w:val="6"/>
                <w:sz w:val="20"/>
                <w:szCs w:val="20"/>
              </w:rPr>
              <w:t>的</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UASB</w:t>
            </w:r>
            <w:r>
              <w:rPr>
                <w:rFonts w:ascii="Times New Roman" w:hAnsi="Times New Roman" w:eastAsia="Times New Roman" w:cs="Times New Roman"/>
                <w:spacing w:val="6"/>
                <w:sz w:val="20"/>
                <w:szCs w:val="20"/>
              </w:rPr>
              <w:t>”</w:t>
            </w:r>
            <w:r>
              <w:rPr>
                <w:rFonts w:ascii="宋体" w:hAnsi="宋体" w:eastAsia="宋体" w:cs="宋体"/>
                <w:spacing w:val="6"/>
                <w:sz w:val="20"/>
                <w:szCs w:val="20"/>
              </w:rPr>
              <w:t>处理工艺，沼液</w:t>
            </w:r>
          </w:p>
          <w:p w14:paraId="657A0CF7">
            <w:pPr>
              <w:spacing w:before="21" w:line="227" w:lineRule="auto"/>
              <w:ind w:left="115"/>
              <w:rPr>
                <w:rFonts w:ascii="宋体" w:hAnsi="宋体" w:eastAsia="宋体" w:cs="宋体"/>
                <w:sz w:val="20"/>
                <w:szCs w:val="20"/>
              </w:rPr>
            </w:pPr>
            <w:r>
              <w:rPr>
                <w:rFonts w:ascii="宋体" w:hAnsi="宋体" w:eastAsia="宋体" w:cs="宋体"/>
                <w:spacing w:val="2"/>
                <w:sz w:val="20"/>
                <w:szCs w:val="20"/>
              </w:rPr>
              <w:t>部分</w:t>
            </w:r>
            <w:r>
              <w:rPr>
                <w:rFonts w:ascii="宋体" w:hAnsi="宋体" w:eastAsia="宋体" w:cs="宋体"/>
                <w:spacing w:val="1"/>
                <w:sz w:val="20"/>
                <w:szCs w:val="20"/>
              </w:rPr>
              <w:t>回用于冲洗刮板，其余用</w:t>
            </w:r>
          </w:p>
          <w:p w14:paraId="16504AA8">
            <w:pPr>
              <w:spacing w:before="27" w:line="227" w:lineRule="auto"/>
              <w:ind w:left="903"/>
              <w:rPr>
                <w:rFonts w:ascii="宋体" w:hAnsi="宋体" w:eastAsia="宋体" w:cs="宋体"/>
                <w:sz w:val="20"/>
                <w:szCs w:val="20"/>
              </w:rPr>
            </w:pPr>
            <w:r>
              <w:rPr>
                <w:rFonts w:ascii="宋体" w:hAnsi="宋体" w:eastAsia="宋体" w:cs="宋体"/>
                <w:spacing w:val="9"/>
                <w:sz w:val="20"/>
                <w:szCs w:val="20"/>
              </w:rPr>
              <w:t>于</w:t>
            </w:r>
            <w:r>
              <w:rPr>
                <w:rFonts w:ascii="宋体" w:hAnsi="宋体" w:eastAsia="宋体" w:cs="宋体"/>
                <w:spacing w:val="7"/>
                <w:sz w:val="20"/>
                <w:szCs w:val="20"/>
              </w:rPr>
              <w:t>农田施肥</w:t>
            </w:r>
          </w:p>
        </w:tc>
      </w:tr>
      <w:tr w14:paraId="67C46A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1419" w:type="dxa"/>
            <w:tcBorders>
              <w:left w:val="nil"/>
            </w:tcBorders>
          </w:tcPr>
          <w:p w14:paraId="19F6D995">
            <w:pPr>
              <w:spacing w:before="98" w:line="266" w:lineRule="auto"/>
              <w:ind w:left="610" w:right="184" w:hanging="414"/>
              <w:rPr>
                <w:rFonts w:ascii="宋体" w:hAnsi="宋体" w:eastAsia="宋体" w:cs="宋体"/>
                <w:sz w:val="20"/>
                <w:szCs w:val="20"/>
              </w:rPr>
            </w:pPr>
            <w:r>
              <w:rPr>
                <w:rFonts w:ascii="宋体" w:hAnsi="宋体" w:eastAsia="宋体" w:cs="宋体"/>
                <w:spacing w:val="7"/>
                <w:sz w:val="20"/>
                <w:szCs w:val="20"/>
              </w:rPr>
              <w:t>原辅材料供</w:t>
            </w:r>
            <w:r>
              <w:rPr>
                <w:rFonts w:ascii="宋体" w:hAnsi="宋体" w:eastAsia="宋体" w:cs="宋体"/>
                <w:sz w:val="20"/>
                <w:szCs w:val="20"/>
              </w:rPr>
              <w:t xml:space="preserve"> 应</w:t>
            </w:r>
          </w:p>
        </w:tc>
        <w:tc>
          <w:tcPr>
            <w:tcW w:w="2816" w:type="dxa"/>
          </w:tcPr>
          <w:p w14:paraId="2E05D9AF">
            <w:pPr>
              <w:spacing w:before="234" w:line="228" w:lineRule="auto"/>
              <w:ind w:left="256"/>
              <w:rPr>
                <w:rFonts w:ascii="宋体" w:hAnsi="宋体" w:eastAsia="宋体" w:cs="宋体"/>
                <w:sz w:val="20"/>
                <w:szCs w:val="20"/>
              </w:rPr>
            </w:pPr>
            <w:r>
              <w:rPr>
                <w:rFonts w:ascii="宋体" w:hAnsi="宋体" w:eastAsia="宋体" w:cs="宋体"/>
                <w:spacing w:val="11"/>
                <w:sz w:val="20"/>
                <w:szCs w:val="20"/>
              </w:rPr>
              <w:t>饲</w:t>
            </w:r>
            <w:r>
              <w:rPr>
                <w:rFonts w:ascii="宋体" w:hAnsi="宋体" w:eastAsia="宋体" w:cs="宋体"/>
                <w:spacing w:val="9"/>
                <w:sz w:val="20"/>
                <w:szCs w:val="20"/>
              </w:rPr>
              <w:t>料外购，饲料设计合理</w:t>
            </w:r>
          </w:p>
        </w:tc>
        <w:tc>
          <w:tcPr>
            <w:tcW w:w="2635" w:type="dxa"/>
          </w:tcPr>
          <w:p w14:paraId="317CDD06">
            <w:pPr>
              <w:spacing w:before="98" w:line="266" w:lineRule="auto"/>
              <w:ind w:left="482" w:right="160" w:hanging="314"/>
              <w:rPr>
                <w:rFonts w:ascii="宋体" w:hAnsi="宋体" w:eastAsia="宋体" w:cs="宋体"/>
                <w:sz w:val="20"/>
                <w:szCs w:val="20"/>
              </w:rPr>
            </w:pPr>
            <w:r>
              <w:rPr>
                <w:rFonts w:ascii="宋体" w:hAnsi="宋体" w:eastAsia="宋体" w:cs="宋体"/>
                <w:spacing w:val="10"/>
                <w:sz w:val="20"/>
                <w:szCs w:val="20"/>
              </w:rPr>
              <w:t>集</w:t>
            </w:r>
            <w:r>
              <w:rPr>
                <w:rFonts w:ascii="宋体" w:hAnsi="宋体" w:eastAsia="宋体" w:cs="宋体"/>
                <w:spacing w:val="9"/>
                <w:sz w:val="20"/>
                <w:szCs w:val="20"/>
              </w:rPr>
              <w:t>团公司按照猪种统一供</w:t>
            </w:r>
            <w:r>
              <w:rPr>
                <w:rFonts w:ascii="宋体" w:hAnsi="宋体" w:eastAsia="宋体" w:cs="宋体"/>
                <w:sz w:val="20"/>
                <w:szCs w:val="20"/>
              </w:rPr>
              <w:t xml:space="preserve"> </w:t>
            </w:r>
            <w:r>
              <w:rPr>
                <w:rFonts w:ascii="宋体" w:hAnsi="宋体" w:eastAsia="宋体" w:cs="宋体"/>
                <w:spacing w:val="13"/>
                <w:sz w:val="20"/>
                <w:szCs w:val="20"/>
              </w:rPr>
              <w:t>应</w:t>
            </w:r>
            <w:r>
              <w:rPr>
                <w:rFonts w:ascii="宋体" w:hAnsi="宋体" w:eastAsia="宋体" w:cs="宋体"/>
                <w:spacing w:val="8"/>
                <w:sz w:val="20"/>
                <w:szCs w:val="20"/>
              </w:rPr>
              <w:t>，饲料设计合理</w:t>
            </w:r>
          </w:p>
        </w:tc>
        <w:tc>
          <w:tcPr>
            <w:tcW w:w="2842" w:type="dxa"/>
            <w:tcBorders>
              <w:right w:val="nil"/>
            </w:tcBorders>
          </w:tcPr>
          <w:p w14:paraId="1E380FD7">
            <w:pPr>
              <w:spacing w:before="99" w:line="265" w:lineRule="auto"/>
              <w:ind w:left="588" w:right="163" w:hanging="423"/>
              <w:rPr>
                <w:rFonts w:ascii="宋体" w:hAnsi="宋体" w:eastAsia="宋体" w:cs="宋体"/>
                <w:sz w:val="20"/>
                <w:szCs w:val="20"/>
              </w:rPr>
            </w:pPr>
            <w:r>
              <w:rPr>
                <w:rFonts w:ascii="宋体" w:hAnsi="宋体" w:eastAsia="宋体" w:cs="宋体"/>
                <w:spacing w:val="11"/>
                <w:sz w:val="20"/>
                <w:szCs w:val="20"/>
              </w:rPr>
              <w:t>饲</w:t>
            </w:r>
            <w:r>
              <w:rPr>
                <w:rFonts w:ascii="宋体" w:hAnsi="宋体" w:eastAsia="宋体" w:cs="宋体"/>
                <w:spacing w:val="9"/>
                <w:sz w:val="20"/>
                <w:szCs w:val="20"/>
              </w:rPr>
              <w:t>料来自牧原公司配套饲料</w:t>
            </w:r>
            <w:r>
              <w:rPr>
                <w:rFonts w:ascii="宋体" w:hAnsi="宋体" w:eastAsia="宋体" w:cs="宋体"/>
                <w:sz w:val="20"/>
                <w:szCs w:val="20"/>
              </w:rPr>
              <w:t xml:space="preserve"> </w:t>
            </w:r>
            <w:r>
              <w:rPr>
                <w:rFonts w:ascii="宋体" w:hAnsi="宋体" w:eastAsia="宋体" w:cs="宋体"/>
                <w:spacing w:val="11"/>
                <w:sz w:val="20"/>
                <w:szCs w:val="20"/>
              </w:rPr>
              <w:t>厂</w:t>
            </w:r>
            <w:r>
              <w:rPr>
                <w:rFonts w:ascii="宋体" w:hAnsi="宋体" w:eastAsia="宋体" w:cs="宋体"/>
                <w:spacing w:val="8"/>
                <w:sz w:val="20"/>
                <w:szCs w:val="20"/>
              </w:rPr>
              <w:t>，饲料设计合理</w:t>
            </w:r>
          </w:p>
        </w:tc>
      </w:tr>
      <w:tr w14:paraId="00DFB1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7" w:hRule="atLeast"/>
        </w:trPr>
        <w:tc>
          <w:tcPr>
            <w:tcW w:w="1419" w:type="dxa"/>
            <w:tcBorders>
              <w:left w:val="nil"/>
            </w:tcBorders>
          </w:tcPr>
          <w:p w14:paraId="753EF6D9">
            <w:pPr>
              <w:spacing w:before="129" w:line="228" w:lineRule="auto"/>
              <w:ind w:left="305"/>
              <w:rPr>
                <w:rFonts w:ascii="宋体" w:hAnsi="宋体" w:eastAsia="宋体" w:cs="宋体"/>
                <w:sz w:val="20"/>
                <w:szCs w:val="20"/>
              </w:rPr>
            </w:pPr>
            <w:r>
              <w:rPr>
                <w:rFonts w:ascii="宋体" w:hAnsi="宋体" w:eastAsia="宋体" w:cs="宋体"/>
                <w:spacing w:val="6"/>
                <w:sz w:val="20"/>
                <w:szCs w:val="20"/>
              </w:rPr>
              <w:t>能</w:t>
            </w:r>
            <w:r>
              <w:rPr>
                <w:rFonts w:ascii="宋体" w:hAnsi="宋体" w:eastAsia="宋体" w:cs="宋体"/>
                <w:spacing w:val="5"/>
                <w:sz w:val="20"/>
                <w:szCs w:val="20"/>
              </w:rPr>
              <w:t>源消耗</w:t>
            </w:r>
          </w:p>
        </w:tc>
        <w:tc>
          <w:tcPr>
            <w:tcW w:w="2816" w:type="dxa"/>
          </w:tcPr>
          <w:p w14:paraId="0B90D327">
            <w:pPr>
              <w:spacing w:before="94" w:line="281" w:lineRule="exact"/>
              <w:ind w:left="350"/>
              <w:rPr>
                <w:rFonts w:ascii="宋体" w:hAnsi="宋体" w:eastAsia="宋体" w:cs="宋体"/>
                <w:sz w:val="20"/>
                <w:szCs w:val="20"/>
              </w:rPr>
            </w:pPr>
            <w:r>
              <w:rPr>
                <w:rFonts w:ascii="宋体" w:hAnsi="宋体" w:eastAsia="宋体" w:cs="宋体"/>
                <w:spacing w:val="4"/>
                <w:position w:val="1"/>
                <w:sz w:val="20"/>
                <w:szCs w:val="20"/>
              </w:rPr>
              <w:t>平</w:t>
            </w:r>
            <w:r>
              <w:rPr>
                <w:rFonts w:ascii="宋体" w:hAnsi="宋体" w:eastAsia="宋体" w:cs="宋体"/>
                <w:spacing w:val="3"/>
                <w:position w:val="1"/>
                <w:sz w:val="20"/>
                <w:szCs w:val="20"/>
              </w:rPr>
              <w:t xml:space="preserve">均用水量 </w:t>
            </w:r>
            <w:r>
              <w:rPr>
                <w:rFonts w:ascii="Times New Roman" w:hAnsi="Times New Roman" w:eastAsia="Times New Roman" w:cs="Times New Roman"/>
                <w:spacing w:val="3"/>
                <w:position w:val="1"/>
                <w:sz w:val="20"/>
                <w:szCs w:val="20"/>
              </w:rPr>
              <w:t>6.09</w:t>
            </w:r>
            <w:r>
              <w:rPr>
                <w:rFonts w:ascii="Times New Roman" w:hAnsi="Times New Roman" w:eastAsia="Times New Roman" w:cs="Times New Roman"/>
                <w:position w:val="1"/>
                <w:sz w:val="20"/>
                <w:szCs w:val="20"/>
              </w:rPr>
              <w:t>m</w:t>
            </w:r>
            <w:r>
              <w:rPr>
                <w:rFonts w:ascii="Times New Roman" w:hAnsi="Times New Roman" w:eastAsia="Times New Roman" w:cs="Times New Roman"/>
                <w:spacing w:val="3"/>
                <w:position w:val="7"/>
                <w:sz w:val="13"/>
                <w:szCs w:val="13"/>
              </w:rPr>
              <w:t>3</w:t>
            </w:r>
            <w:r>
              <w:rPr>
                <w:rFonts w:ascii="Times New Roman" w:hAnsi="Times New Roman" w:eastAsia="Times New Roman" w:cs="Times New Roman"/>
                <w:spacing w:val="3"/>
                <w:position w:val="1"/>
                <w:sz w:val="20"/>
                <w:szCs w:val="20"/>
              </w:rPr>
              <w:t>/</w:t>
            </w:r>
            <w:r>
              <w:rPr>
                <w:rFonts w:ascii="Times New Roman" w:hAnsi="Times New Roman" w:eastAsia="Times New Roman" w:cs="Times New Roman"/>
                <w:position w:val="1"/>
                <w:sz w:val="20"/>
                <w:szCs w:val="20"/>
              </w:rPr>
              <w:t>d</w:t>
            </w:r>
            <w:r>
              <w:rPr>
                <w:rFonts w:ascii="Times New Roman" w:hAnsi="Times New Roman" w:eastAsia="Times New Roman" w:cs="Times New Roman"/>
                <w:spacing w:val="3"/>
                <w:position w:val="1"/>
                <w:sz w:val="20"/>
                <w:szCs w:val="20"/>
              </w:rPr>
              <w:t xml:space="preserve"> </w:t>
            </w:r>
            <w:r>
              <w:rPr>
                <w:rFonts w:ascii="宋体" w:hAnsi="宋体" w:eastAsia="宋体" w:cs="宋体"/>
                <w:spacing w:val="3"/>
                <w:position w:val="1"/>
                <w:sz w:val="20"/>
                <w:szCs w:val="20"/>
              </w:rPr>
              <w:t>头</w:t>
            </w:r>
          </w:p>
        </w:tc>
        <w:tc>
          <w:tcPr>
            <w:tcW w:w="2635" w:type="dxa"/>
          </w:tcPr>
          <w:p w14:paraId="4E013D6F">
            <w:pPr>
              <w:spacing w:before="94" w:line="281" w:lineRule="exact"/>
              <w:ind w:left="301"/>
              <w:rPr>
                <w:rFonts w:ascii="Times New Roman" w:hAnsi="Times New Roman" w:eastAsia="Times New Roman" w:cs="Times New Roman"/>
                <w:sz w:val="20"/>
                <w:szCs w:val="20"/>
              </w:rPr>
            </w:pPr>
            <w:r>
              <w:rPr>
                <w:rFonts w:ascii="宋体" w:hAnsi="宋体" w:eastAsia="宋体" w:cs="宋体"/>
                <w:spacing w:val="-6"/>
                <w:position w:val="1"/>
                <w:sz w:val="20"/>
                <w:szCs w:val="20"/>
              </w:rPr>
              <w:t>平均用水</w:t>
            </w:r>
            <w:r>
              <w:rPr>
                <w:rFonts w:ascii="宋体" w:hAnsi="宋体" w:eastAsia="宋体" w:cs="宋体"/>
                <w:spacing w:val="-3"/>
                <w:position w:val="1"/>
                <w:sz w:val="20"/>
                <w:szCs w:val="20"/>
              </w:rPr>
              <w:t xml:space="preserve">量 </w:t>
            </w:r>
            <w:r>
              <w:rPr>
                <w:rFonts w:ascii="Times New Roman" w:hAnsi="Times New Roman" w:eastAsia="Times New Roman" w:cs="Times New Roman"/>
                <w:spacing w:val="-3"/>
                <w:position w:val="1"/>
                <w:sz w:val="20"/>
                <w:szCs w:val="20"/>
              </w:rPr>
              <w:t>15.6L/</w:t>
            </w:r>
            <w:r>
              <w:rPr>
                <w:rFonts w:ascii="宋体" w:hAnsi="宋体" w:eastAsia="宋体" w:cs="宋体"/>
                <w:spacing w:val="-3"/>
                <w:position w:val="1"/>
                <w:sz w:val="20"/>
                <w:szCs w:val="20"/>
              </w:rPr>
              <w:t xml:space="preserve">头 </w:t>
            </w:r>
            <w:r>
              <w:rPr>
                <w:rFonts w:ascii="Times New Roman" w:hAnsi="Times New Roman" w:eastAsia="Times New Roman" w:cs="Times New Roman"/>
                <w:spacing w:val="-3"/>
                <w:position w:val="1"/>
                <w:sz w:val="20"/>
                <w:szCs w:val="20"/>
              </w:rPr>
              <w:t>·d</w:t>
            </w:r>
          </w:p>
        </w:tc>
        <w:tc>
          <w:tcPr>
            <w:tcW w:w="2842" w:type="dxa"/>
            <w:tcBorders>
              <w:right w:val="nil"/>
            </w:tcBorders>
          </w:tcPr>
          <w:p w14:paraId="209EA2FE">
            <w:pPr>
              <w:spacing w:before="94" w:line="281" w:lineRule="exact"/>
              <w:ind w:left="484"/>
              <w:rPr>
                <w:rFonts w:ascii="Times New Roman" w:hAnsi="Times New Roman" w:eastAsia="Times New Roman" w:cs="Times New Roman"/>
                <w:sz w:val="20"/>
                <w:szCs w:val="20"/>
              </w:rPr>
            </w:pPr>
            <w:r>
              <w:rPr>
                <w:rFonts w:ascii="宋体" w:hAnsi="宋体" w:eastAsia="宋体" w:cs="宋体"/>
                <w:spacing w:val="3"/>
                <w:position w:val="1"/>
                <w:sz w:val="20"/>
                <w:szCs w:val="20"/>
              </w:rPr>
              <w:t xml:space="preserve">平均用水量 </w:t>
            </w:r>
            <w:r>
              <w:rPr>
                <w:rFonts w:ascii="Times New Roman" w:hAnsi="Times New Roman" w:eastAsia="Times New Roman" w:cs="Times New Roman"/>
                <w:spacing w:val="3"/>
                <w:position w:val="1"/>
                <w:sz w:val="20"/>
                <w:szCs w:val="20"/>
              </w:rPr>
              <w:t>15</w:t>
            </w:r>
            <w:r>
              <w:rPr>
                <w:rFonts w:ascii="Times New Roman" w:hAnsi="Times New Roman" w:eastAsia="Times New Roman" w:cs="Times New Roman"/>
                <w:position w:val="1"/>
                <w:sz w:val="20"/>
                <w:szCs w:val="20"/>
              </w:rPr>
              <w:t>L</w:t>
            </w:r>
            <w:r>
              <w:rPr>
                <w:rFonts w:ascii="Times New Roman" w:hAnsi="Times New Roman" w:eastAsia="Times New Roman" w:cs="Times New Roman"/>
                <w:spacing w:val="3"/>
                <w:position w:val="1"/>
                <w:sz w:val="20"/>
                <w:szCs w:val="20"/>
              </w:rPr>
              <w:t>/</w:t>
            </w:r>
            <w:r>
              <w:rPr>
                <w:rFonts w:ascii="宋体" w:hAnsi="宋体" w:eastAsia="宋体" w:cs="宋体"/>
                <w:spacing w:val="3"/>
                <w:position w:val="1"/>
                <w:sz w:val="20"/>
                <w:szCs w:val="20"/>
              </w:rPr>
              <w:t>头</w:t>
            </w:r>
            <w:r>
              <w:rPr>
                <w:rFonts w:ascii="Times New Roman" w:hAnsi="Times New Roman" w:eastAsia="Times New Roman" w:cs="Times New Roman"/>
                <w:spacing w:val="1"/>
                <w:position w:val="1"/>
                <w:sz w:val="20"/>
                <w:szCs w:val="20"/>
              </w:rPr>
              <w:t>·</w:t>
            </w:r>
            <w:r>
              <w:rPr>
                <w:rFonts w:ascii="Times New Roman" w:hAnsi="Times New Roman" w:eastAsia="Times New Roman" w:cs="Times New Roman"/>
                <w:position w:val="1"/>
                <w:sz w:val="20"/>
                <w:szCs w:val="20"/>
              </w:rPr>
              <w:t>d</w:t>
            </w:r>
          </w:p>
        </w:tc>
      </w:tr>
      <w:tr w14:paraId="36340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1419" w:type="dxa"/>
            <w:tcBorders>
              <w:left w:val="nil"/>
            </w:tcBorders>
          </w:tcPr>
          <w:p w14:paraId="20B03E06">
            <w:pPr>
              <w:spacing w:before="110" w:line="228" w:lineRule="auto"/>
              <w:ind w:left="296"/>
              <w:rPr>
                <w:rFonts w:ascii="宋体" w:hAnsi="宋体" w:eastAsia="宋体" w:cs="宋体"/>
                <w:sz w:val="20"/>
                <w:szCs w:val="20"/>
              </w:rPr>
            </w:pPr>
            <w:r>
              <w:rPr>
                <w:rFonts w:ascii="宋体" w:hAnsi="宋体" w:eastAsia="宋体" w:cs="宋体"/>
                <w:spacing w:val="9"/>
                <w:sz w:val="20"/>
                <w:szCs w:val="20"/>
              </w:rPr>
              <w:t>废</w:t>
            </w:r>
            <w:r>
              <w:rPr>
                <w:rFonts w:ascii="宋体" w:hAnsi="宋体" w:eastAsia="宋体" w:cs="宋体"/>
                <w:spacing w:val="7"/>
                <w:sz w:val="20"/>
                <w:szCs w:val="20"/>
              </w:rPr>
              <w:t>水排放</w:t>
            </w:r>
          </w:p>
        </w:tc>
        <w:tc>
          <w:tcPr>
            <w:tcW w:w="2816" w:type="dxa"/>
          </w:tcPr>
          <w:p w14:paraId="24482F8B">
            <w:pPr>
              <w:spacing w:before="76" w:line="281" w:lineRule="exact"/>
              <w:ind w:left="393"/>
              <w:rPr>
                <w:rFonts w:ascii="Times New Roman" w:hAnsi="Times New Roman" w:eastAsia="Times New Roman" w:cs="Times New Roman"/>
                <w:sz w:val="20"/>
                <w:szCs w:val="20"/>
              </w:rPr>
            </w:pPr>
            <w:r>
              <w:rPr>
                <w:rFonts w:ascii="宋体" w:hAnsi="宋体" w:eastAsia="宋体" w:cs="宋体"/>
                <w:spacing w:val="3"/>
                <w:position w:val="1"/>
                <w:sz w:val="20"/>
                <w:szCs w:val="20"/>
              </w:rPr>
              <w:t xml:space="preserve">平均废水量 </w:t>
            </w:r>
            <w:r>
              <w:rPr>
                <w:rFonts w:ascii="Times New Roman" w:hAnsi="Times New Roman" w:eastAsia="Times New Roman" w:cs="Times New Roman"/>
                <w:spacing w:val="3"/>
                <w:position w:val="1"/>
                <w:sz w:val="20"/>
                <w:szCs w:val="20"/>
              </w:rPr>
              <w:t>0.56</w:t>
            </w:r>
            <w:r>
              <w:rPr>
                <w:rFonts w:ascii="Times New Roman" w:hAnsi="Times New Roman" w:eastAsia="Times New Roman" w:cs="Times New Roman"/>
                <w:position w:val="1"/>
                <w:sz w:val="20"/>
                <w:szCs w:val="20"/>
              </w:rPr>
              <w:t>L</w:t>
            </w:r>
            <w:r>
              <w:rPr>
                <w:rFonts w:ascii="Times New Roman" w:hAnsi="Times New Roman" w:eastAsia="Times New Roman" w:cs="Times New Roman"/>
                <w:spacing w:val="3"/>
                <w:position w:val="1"/>
                <w:sz w:val="20"/>
                <w:szCs w:val="20"/>
              </w:rPr>
              <w:t>/</w:t>
            </w:r>
            <w:r>
              <w:rPr>
                <w:rFonts w:ascii="宋体" w:hAnsi="宋体" w:eastAsia="宋体" w:cs="宋体"/>
                <w:spacing w:val="3"/>
                <w:position w:val="1"/>
                <w:sz w:val="20"/>
                <w:szCs w:val="20"/>
              </w:rPr>
              <w:t>头</w:t>
            </w:r>
            <w:r>
              <w:rPr>
                <w:rFonts w:ascii="Times New Roman" w:hAnsi="Times New Roman" w:eastAsia="Times New Roman" w:cs="Times New Roman"/>
                <w:spacing w:val="1"/>
                <w:position w:val="1"/>
                <w:sz w:val="20"/>
                <w:szCs w:val="20"/>
              </w:rPr>
              <w:t>·</w:t>
            </w:r>
            <w:r>
              <w:rPr>
                <w:rFonts w:ascii="Times New Roman" w:hAnsi="Times New Roman" w:eastAsia="Times New Roman" w:cs="Times New Roman"/>
                <w:position w:val="1"/>
                <w:sz w:val="20"/>
                <w:szCs w:val="20"/>
              </w:rPr>
              <w:t>d</w:t>
            </w:r>
          </w:p>
        </w:tc>
        <w:tc>
          <w:tcPr>
            <w:tcW w:w="2635" w:type="dxa"/>
          </w:tcPr>
          <w:p w14:paraId="0054B1CB">
            <w:pPr>
              <w:spacing w:before="76" w:line="281" w:lineRule="exact"/>
              <w:ind w:left="301"/>
              <w:rPr>
                <w:rFonts w:ascii="Times New Roman" w:hAnsi="Times New Roman" w:eastAsia="Times New Roman" w:cs="Times New Roman"/>
                <w:sz w:val="20"/>
                <w:szCs w:val="20"/>
              </w:rPr>
            </w:pPr>
            <w:r>
              <w:rPr>
                <w:rFonts w:ascii="宋体" w:hAnsi="宋体" w:eastAsia="宋体" w:cs="宋体"/>
                <w:spacing w:val="-6"/>
                <w:position w:val="1"/>
                <w:sz w:val="20"/>
                <w:szCs w:val="20"/>
              </w:rPr>
              <w:t>平均废水</w:t>
            </w:r>
            <w:r>
              <w:rPr>
                <w:rFonts w:ascii="宋体" w:hAnsi="宋体" w:eastAsia="宋体" w:cs="宋体"/>
                <w:spacing w:val="-3"/>
                <w:position w:val="1"/>
                <w:sz w:val="20"/>
                <w:szCs w:val="20"/>
              </w:rPr>
              <w:t xml:space="preserve">量 </w:t>
            </w:r>
            <w:r>
              <w:rPr>
                <w:rFonts w:ascii="Times New Roman" w:hAnsi="Times New Roman" w:eastAsia="Times New Roman" w:cs="Times New Roman"/>
                <w:spacing w:val="-3"/>
                <w:position w:val="1"/>
                <w:sz w:val="20"/>
                <w:szCs w:val="20"/>
              </w:rPr>
              <w:t>12.3L/</w:t>
            </w:r>
            <w:r>
              <w:rPr>
                <w:rFonts w:ascii="宋体" w:hAnsi="宋体" w:eastAsia="宋体" w:cs="宋体"/>
                <w:spacing w:val="-3"/>
                <w:position w:val="1"/>
                <w:sz w:val="20"/>
                <w:szCs w:val="20"/>
              </w:rPr>
              <w:t xml:space="preserve">头 </w:t>
            </w:r>
            <w:r>
              <w:rPr>
                <w:rFonts w:ascii="Times New Roman" w:hAnsi="Times New Roman" w:eastAsia="Times New Roman" w:cs="Times New Roman"/>
                <w:spacing w:val="-3"/>
                <w:position w:val="1"/>
                <w:sz w:val="20"/>
                <w:szCs w:val="20"/>
              </w:rPr>
              <w:t>·d</w:t>
            </w:r>
          </w:p>
        </w:tc>
        <w:tc>
          <w:tcPr>
            <w:tcW w:w="2842" w:type="dxa"/>
            <w:tcBorders>
              <w:right w:val="nil"/>
            </w:tcBorders>
          </w:tcPr>
          <w:p w14:paraId="4C355CC0">
            <w:pPr>
              <w:spacing w:before="76" w:line="281" w:lineRule="exact"/>
              <w:ind w:left="537"/>
              <w:rPr>
                <w:rFonts w:ascii="Times New Roman" w:hAnsi="Times New Roman" w:eastAsia="Times New Roman" w:cs="Times New Roman"/>
                <w:sz w:val="20"/>
                <w:szCs w:val="20"/>
              </w:rPr>
            </w:pPr>
            <w:r>
              <w:rPr>
                <w:rFonts w:ascii="宋体" w:hAnsi="宋体" w:eastAsia="宋体" w:cs="宋体"/>
                <w:spacing w:val="4"/>
                <w:position w:val="1"/>
                <w:sz w:val="20"/>
                <w:szCs w:val="20"/>
              </w:rPr>
              <w:t>平均废</w:t>
            </w:r>
            <w:r>
              <w:rPr>
                <w:rFonts w:ascii="宋体" w:hAnsi="宋体" w:eastAsia="宋体" w:cs="宋体"/>
                <w:spacing w:val="2"/>
                <w:position w:val="1"/>
                <w:sz w:val="20"/>
                <w:szCs w:val="20"/>
              </w:rPr>
              <w:t xml:space="preserve">水量 </w:t>
            </w:r>
            <w:r>
              <w:rPr>
                <w:rFonts w:ascii="Times New Roman" w:hAnsi="Times New Roman" w:eastAsia="Times New Roman" w:cs="Times New Roman"/>
                <w:spacing w:val="2"/>
                <w:position w:val="1"/>
                <w:sz w:val="20"/>
                <w:szCs w:val="20"/>
              </w:rPr>
              <w:t>8</w:t>
            </w:r>
            <w:r>
              <w:rPr>
                <w:rFonts w:ascii="Times New Roman" w:hAnsi="Times New Roman" w:eastAsia="Times New Roman" w:cs="Times New Roman"/>
                <w:position w:val="1"/>
                <w:sz w:val="20"/>
                <w:szCs w:val="20"/>
              </w:rPr>
              <w:t>L</w:t>
            </w:r>
            <w:r>
              <w:rPr>
                <w:rFonts w:ascii="Times New Roman" w:hAnsi="Times New Roman" w:eastAsia="Times New Roman" w:cs="Times New Roman"/>
                <w:spacing w:val="2"/>
                <w:position w:val="1"/>
                <w:sz w:val="20"/>
                <w:szCs w:val="20"/>
              </w:rPr>
              <w:t>/</w:t>
            </w:r>
            <w:r>
              <w:rPr>
                <w:rFonts w:ascii="宋体" w:hAnsi="宋体" w:eastAsia="宋体" w:cs="宋体"/>
                <w:spacing w:val="2"/>
                <w:position w:val="1"/>
                <w:sz w:val="20"/>
                <w:szCs w:val="20"/>
              </w:rPr>
              <w:t>头</w:t>
            </w:r>
            <w:r>
              <w:rPr>
                <w:rFonts w:ascii="Times New Roman" w:hAnsi="Times New Roman" w:eastAsia="Times New Roman" w:cs="Times New Roman"/>
                <w:spacing w:val="2"/>
                <w:position w:val="1"/>
                <w:sz w:val="20"/>
                <w:szCs w:val="20"/>
              </w:rPr>
              <w:t>·</w:t>
            </w:r>
            <w:r>
              <w:rPr>
                <w:rFonts w:ascii="Times New Roman" w:hAnsi="Times New Roman" w:eastAsia="Times New Roman" w:cs="Times New Roman"/>
                <w:position w:val="1"/>
                <w:sz w:val="20"/>
                <w:szCs w:val="20"/>
              </w:rPr>
              <w:t>d</w:t>
            </w:r>
          </w:p>
        </w:tc>
      </w:tr>
      <w:tr w14:paraId="57AA05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1419" w:type="dxa"/>
            <w:tcBorders>
              <w:left w:val="nil"/>
            </w:tcBorders>
          </w:tcPr>
          <w:p w14:paraId="04673E8F">
            <w:pPr>
              <w:spacing w:before="116" w:line="265" w:lineRule="auto"/>
              <w:ind w:left="403" w:right="107" w:hanging="287"/>
              <w:rPr>
                <w:rFonts w:ascii="宋体" w:hAnsi="宋体" w:eastAsia="宋体" w:cs="宋体"/>
                <w:sz w:val="20"/>
                <w:szCs w:val="20"/>
              </w:rPr>
            </w:pPr>
            <w:r>
              <w:rPr>
                <w:rFonts w:ascii="宋体" w:hAnsi="宋体" w:eastAsia="宋体" w:cs="宋体"/>
                <w:spacing w:val="-2"/>
                <w:sz w:val="20"/>
                <w:szCs w:val="20"/>
              </w:rPr>
              <w:t>猪粪</w:t>
            </w:r>
            <w:r>
              <w:rPr>
                <w:rFonts w:ascii="宋体" w:hAnsi="宋体" w:eastAsia="宋体" w:cs="宋体"/>
                <w:spacing w:val="-1"/>
                <w:sz w:val="20"/>
                <w:szCs w:val="20"/>
              </w:rPr>
              <w:t>、沼渣利</w:t>
            </w:r>
            <w:r>
              <w:rPr>
                <w:rFonts w:ascii="宋体" w:hAnsi="宋体" w:eastAsia="宋体" w:cs="宋体"/>
                <w:sz w:val="20"/>
                <w:szCs w:val="20"/>
              </w:rPr>
              <w:t xml:space="preserve"> </w:t>
            </w:r>
            <w:r>
              <w:rPr>
                <w:rFonts w:ascii="宋体" w:hAnsi="宋体" w:eastAsia="宋体" w:cs="宋体"/>
                <w:spacing w:val="7"/>
                <w:sz w:val="20"/>
                <w:szCs w:val="20"/>
              </w:rPr>
              <w:t>用</w:t>
            </w:r>
            <w:r>
              <w:rPr>
                <w:rFonts w:ascii="宋体" w:hAnsi="宋体" w:eastAsia="宋体" w:cs="宋体"/>
                <w:spacing w:val="6"/>
                <w:sz w:val="20"/>
                <w:szCs w:val="20"/>
              </w:rPr>
              <w:t>措施</w:t>
            </w:r>
          </w:p>
        </w:tc>
        <w:tc>
          <w:tcPr>
            <w:tcW w:w="2816" w:type="dxa"/>
          </w:tcPr>
          <w:p w14:paraId="07D7A614">
            <w:pPr>
              <w:spacing w:before="252" w:line="227" w:lineRule="auto"/>
              <w:ind w:left="367"/>
              <w:rPr>
                <w:rFonts w:ascii="宋体" w:hAnsi="宋体" w:eastAsia="宋体" w:cs="宋体"/>
                <w:sz w:val="20"/>
                <w:szCs w:val="20"/>
              </w:rPr>
            </w:pPr>
            <w:r>
              <w:rPr>
                <w:rFonts w:ascii="宋体" w:hAnsi="宋体" w:eastAsia="宋体" w:cs="宋体"/>
                <w:spacing w:val="13"/>
                <w:sz w:val="20"/>
                <w:szCs w:val="20"/>
              </w:rPr>
              <w:t>外</w:t>
            </w:r>
            <w:r>
              <w:rPr>
                <w:rFonts w:ascii="宋体" w:hAnsi="宋体" w:eastAsia="宋体" w:cs="宋体"/>
                <w:spacing w:val="8"/>
                <w:sz w:val="20"/>
                <w:szCs w:val="20"/>
              </w:rPr>
              <w:t>售给周边农民作农肥</w:t>
            </w:r>
          </w:p>
        </w:tc>
        <w:tc>
          <w:tcPr>
            <w:tcW w:w="2635" w:type="dxa"/>
          </w:tcPr>
          <w:p w14:paraId="770B1498">
            <w:pPr>
              <w:spacing w:before="115" w:line="265" w:lineRule="auto"/>
              <w:ind w:left="902" w:right="108" w:hanging="784"/>
              <w:rPr>
                <w:rFonts w:ascii="宋体" w:hAnsi="宋体" w:eastAsia="宋体" w:cs="宋体"/>
                <w:sz w:val="20"/>
                <w:szCs w:val="20"/>
              </w:rPr>
            </w:pPr>
            <w:r>
              <w:rPr>
                <w:rFonts w:ascii="宋体" w:hAnsi="宋体" w:eastAsia="宋体" w:cs="宋体"/>
                <w:spacing w:val="1"/>
                <w:sz w:val="20"/>
                <w:szCs w:val="20"/>
              </w:rPr>
              <w:t>高温发</w:t>
            </w:r>
            <w:r>
              <w:rPr>
                <w:rFonts w:ascii="宋体" w:hAnsi="宋体" w:eastAsia="宋体" w:cs="宋体"/>
                <w:sz w:val="20"/>
                <w:szCs w:val="20"/>
              </w:rPr>
              <w:t xml:space="preserve">酵制备有机肥、回收 </w:t>
            </w:r>
            <w:r>
              <w:rPr>
                <w:rFonts w:ascii="宋体" w:hAnsi="宋体" w:eastAsia="宋体" w:cs="宋体"/>
                <w:spacing w:val="7"/>
                <w:sz w:val="20"/>
                <w:szCs w:val="20"/>
              </w:rPr>
              <w:t>利用率高</w:t>
            </w:r>
          </w:p>
        </w:tc>
        <w:tc>
          <w:tcPr>
            <w:tcW w:w="2842" w:type="dxa"/>
            <w:tcBorders>
              <w:right w:val="nil"/>
            </w:tcBorders>
          </w:tcPr>
          <w:p w14:paraId="7F22086C">
            <w:pPr>
              <w:spacing w:before="115" w:line="265" w:lineRule="auto"/>
              <w:ind w:left="1112" w:right="108" w:hanging="994"/>
              <w:rPr>
                <w:rFonts w:ascii="宋体" w:hAnsi="宋体" w:eastAsia="宋体" w:cs="宋体"/>
                <w:sz w:val="20"/>
                <w:szCs w:val="20"/>
              </w:rPr>
            </w:pPr>
            <w:r>
              <w:rPr>
                <w:rFonts w:ascii="宋体" w:hAnsi="宋体" w:eastAsia="宋体" w:cs="宋体"/>
                <w:spacing w:val="1"/>
                <w:sz w:val="20"/>
                <w:szCs w:val="20"/>
              </w:rPr>
              <w:t>高温发酵制备有机肥、回</w:t>
            </w:r>
            <w:r>
              <w:rPr>
                <w:rFonts w:ascii="宋体" w:hAnsi="宋体" w:eastAsia="宋体" w:cs="宋体"/>
                <w:sz w:val="20"/>
                <w:szCs w:val="20"/>
              </w:rPr>
              <w:t xml:space="preserve">收利 </w:t>
            </w:r>
            <w:r>
              <w:rPr>
                <w:rFonts w:ascii="宋体" w:hAnsi="宋体" w:eastAsia="宋体" w:cs="宋体"/>
                <w:spacing w:val="7"/>
                <w:sz w:val="20"/>
                <w:szCs w:val="20"/>
              </w:rPr>
              <w:t>用</w:t>
            </w:r>
            <w:r>
              <w:rPr>
                <w:rFonts w:ascii="宋体" w:hAnsi="宋体" w:eastAsia="宋体" w:cs="宋体"/>
                <w:spacing w:val="6"/>
                <w:sz w:val="20"/>
                <w:szCs w:val="20"/>
              </w:rPr>
              <w:t>率高</w:t>
            </w:r>
          </w:p>
        </w:tc>
      </w:tr>
    </w:tbl>
    <w:p w14:paraId="309494FE">
      <w:pPr>
        <w:spacing w:before="37" w:line="376" w:lineRule="auto"/>
        <w:ind w:left="117" w:right="43" w:firstLine="481"/>
        <w:rPr>
          <w:rFonts w:ascii="宋体" w:hAnsi="宋体" w:eastAsia="宋体" w:cs="宋体"/>
          <w:sz w:val="23"/>
          <w:szCs w:val="23"/>
        </w:rPr>
      </w:pPr>
      <w:r>
        <w:rPr>
          <w:rFonts w:ascii="宋体" w:hAnsi="宋体" w:eastAsia="宋体" w:cs="宋体"/>
          <w:spacing w:val="7"/>
          <w:sz w:val="23"/>
          <w:szCs w:val="23"/>
        </w:rPr>
        <w:t>本项目技术工艺，物耗、水耗、废物回收利用措施等方面均比雏鹰农牧集团有限公司</w:t>
      </w:r>
      <w:r>
        <w:rPr>
          <w:rFonts w:ascii="宋体" w:hAnsi="宋体" w:eastAsia="宋体" w:cs="宋体"/>
          <w:spacing w:val="5"/>
          <w:sz w:val="23"/>
          <w:szCs w:val="23"/>
        </w:rPr>
        <w:t>猪</w:t>
      </w:r>
      <w:r>
        <w:rPr>
          <w:rFonts w:ascii="宋体" w:hAnsi="宋体" w:eastAsia="宋体" w:cs="宋体"/>
          <w:sz w:val="23"/>
          <w:szCs w:val="23"/>
        </w:rPr>
        <w:t xml:space="preserve"> </w:t>
      </w:r>
      <w:r>
        <w:rPr>
          <w:rFonts w:ascii="宋体" w:hAnsi="宋体" w:eastAsia="宋体" w:cs="宋体"/>
          <w:spacing w:val="16"/>
          <w:sz w:val="23"/>
          <w:szCs w:val="23"/>
        </w:rPr>
        <w:t>场低，</w:t>
      </w:r>
      <w:r>
        <w:rPr>
          <w:rFonts w:ascii="宋体" w:hAnsi="宋体" w:eastAsia="宋体" w:cs="宋体"/>
          <w:spacing w:val="15"/>
          <w:sz w:val="23"/>
          <w:szCs w:val="23"/>
        </w:rPr>
        <w:t>与</w:t>
      </w:r>
      <w:r>
        <w:rPr>
          <w:rFonts w:ascii="宋体" w:hAnsi="宋体" w:eastAsia="宋体" w:cs="宋体"/>
          <w:spacing w:val="8"/>
          <w:sz w:val="23"/>
          <w:szCs w:val="23"/>
        </w:rPr>
        <w:t>牧原食品股份有限公司清洁生产水平接近，从原辅材料及能源、工艺技术、设备、</w:t>
      </w:r>
      <w:r>
        <w:rPr>
          <w:rFonts w:ascii="宋体" w:hAnsi="宋体" w:eastAsia="宋体" w:cs="宋体"/>
          <w:sz w:val="23"/>
          <w:szCs w:val="23"/>
        </w:rPr>
        <w:t xml:space="preserve"> </w:t>
      </w:r>
      <w:r>
        <w:rPr>
          <w:rFonts w:ascii="宋体" w:hAnsi="宋体" w:eastAsia="宋体" w:cs="宋体"/>
          <w:spacing w:val="18"/>
          <w:sz w:val="23"/>
          <w:szCs w:val="23"/>
        </w:rPr>
        <w:t>产</w:t>
      </w:r>
      <w:r>
        <w:rPr>
          <w:rFonts w:ascii="宋体" w:hAnsi="宋体" w:eastAsia="宋体" w:cs="宋体"/>
          <w:spacing w:val="12"/>
          <w:sz w:val="23"/>
          <w:szCs w:val="23"/>
        </w:rPr>
        <w:t>品</w:t>
      </w:r>
      <w:r>
        <w:rPr>
          <w:rFonts w:ascii="宋体" w:hAnsi="宋体" w:eastAsia="宋体" w:cs="宋体"/>
          <w:spacing w:val="9"/>
          <w:sz w:val="23"/>
          <w:szCs w:val="23"/>
        </w:rPr>
        <w:t>等方面分析，本项目清洁生产水平可达到国内清洁生产先进水平。</w:t>
      </w:r>
    </w:p>
    <w:p w14:paraId="4F24965C">
      <w:pPr>
        <w:spacing w:before="1" w:line="219" w:lineRule="auto"/>
        <w:ind w:left="118"/>
        <w:outlineLvl w:val="1"/>
        <w:rPr>
          <w:rFonts w:ascii="宋体" w:hAnsi="宋体" w:eastAsia="宋体" w:cs="宋体"/>
          <w:sz w:val="28"/>
          <w:szCs w:val="28"/>
        </w:rPr>
      </w:pPr>
      <w:bookmarkStart w:id="55" w:name="_bookmark56"/>
      <w:bookmarkEnd w:id="55"/>
      <w:r>
        <w:rPr>
          <w:rFonts w:ascii="Times New Roman" w:hAnsi="Times New Roman" w:eastAsia="Times New Roman" w:cs="Times New Roman"/>
          <w:b/>
          <w:bCs/>
          <w:sz w:val="28"/>
          <w:szCs w:val="28"/>
        </w:rPr>
        <w:t>7.4</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持续清洁生产计划建议</w:t>
      </w:r>
    </w:p>
    <w:p w14:paraId="49A92934">
      <w:pPr>
        <w:sectPr>
          <w:headerReference r:id="rId282" w:type="default"/>
          <w:footerReference r:id="rId283" w:type="default"/>
          <w:pgSz w:w="11906" w:h="16839"/>
          <w:pgMar w:top="1113" w:right="1025" w:bottom="1156" w:left="1167" w:header="878" w:footer="994" w:gutter="0"/>
          <w:cols w:space="720" w:num="1"/>
        </w:sectPr>
      </w:pPr>
    </w:p>
    <w:p w14:paraId="799E8B4D">
      <w:pPr>
        <w:spacing w:before="196" w:line="375" w:lineRule="auto"/>
        <w:ind w:left="117" w:right="108" w:firstLine="480"/>
        <w:rPr>
          <w:rFonts w:ascii="宋体" w:hAnsi="宋体" w:eastAsia="宋体" w:cs="宋体"/>
          <w:sz w:val="23"/>
          <w:szCs w:val="23"/>
        </w:rPr>
      </w:pPr>
      <w:r>
        <w:rPr>
          <w:rFonts w:ascii="宋体" w:hAnsi="宋体" w:eastAsia="宋体" w:cs="宋体"/>
          <w:spacing w:val="7"/>
          <w:sz w:val="23"/>
          <w:szCs w:val="23"/>
        </w:rPr>
        <w:t>清洁生产是一个动态概念，是一个不断提高和完善的过程，因此建议企业要不断开展</w:t>
      </w:r>
      <w:r>
        <w:rPr>
          <w:rFonts w:ascii="宋体" w:hAnsi="宋体" w:eastAsia="宋体" w:cs="宋体"/>
          <w:spacing w:val="6"/>
          <w:sz w:val="23"/>
          <w:szCs w:val="23"/>
        </w:rPr>
        <w:t>清</w:t>
      </w:r>
      <w:r>
        <w:rPr>
          <w:rFonts w:ascii="宋体" w:hAnsi="宋体" w:eastAsia="宋体" w:cs="宋体"/>
          <w:sz w:val="23"/>
          <w:szCs w:val="23"/>
        </w:rPr>
        <w:t xml:space="preserve"> </w:t>
      </w:r>
      <w:r>
        <w:rPr>
          <w:rFonts w:ascii="宋体" w:hAnsi="宋体" w:eastAsia="宋体" w:cs="宋体"/>
          <w:spacing w:val="12"/>
          <w:sz w:val="23"/>
          <w:szCs w:val="23"/>
        </w:rPr>
        <w:t>洁</w:t>
      </w:r>
      <w:r>
        <w:rPr>
          <w:rFonts w:ascii="宋体" w:hAnsi="宋体" w:eastAsia="宋体" w:cs="宋体"/>
          <w:spacing w:val="7"/>
          <w:sz w:val="23"/>
          <w:szCs w:val="23"/>
        </w:rPr>
        <w:t>生产意义和作用的宣传教育，不断提高持续进行清洁生产的认识；与国内外同类企业进行</w:t>
      </w:r>
      <w:r>
        <w:rPr>
          <w:rFonts w:ascii="宋体" w:hAnsi="宋体" w:eastAsia="宋体" w:cs="宋体"/>
          <w:sz w:val="23"/>
          <w:szCs w:val="23"/>
        </w:rPr>
        <w:t xml:space="preserve"> </w:t>
      </w:r>
      <w:r>
        <w:rPr>
          <w:rFonts w:ascii="宋体" w:hAnsi="宋体" w:eastAsia="宋体" w:cs="宋体"/>
          <w:spacing w:val="12"/>
          <w:sz w:val="23"/>
          <w:szCs w:val="23"/>
        </w:rPr>
        <w:t>物</w:t>
      </w:r>
      <w:r>
        <w:rPr>
          <w:rFonts w:ascii="宋体" w:hAnsi="宋体" w:eastAsia="宋体" w:cs="宋体"/>
          <w:spacing w:val="7"/>
          <w:sz w:val="23"/>
          <w:szCs w:val="23"/>
        </w:rPr>
        <w:t>耗和能耗的分析对比，找出差距，进行改进和提高；评价在对工程清洁生产水平分析的基</w:t>
      </w:r>
      <w:r>
        <w:rPr>
          <w:rFonts w:ascii="宋体" w:hAnsi="宋体" w:eastAsia="宋体" w:cs="宋体"/>
          <w:sz w:val="23"/>
          <w:szCs w:val="23"/>
        </w:rPr>
        <w:t xml:space="preserve"> </w:t>
      </w:r>
      <w:r>
        <w:rPr>
          <w:rFonts w:ascii="宋体" w:hAnsi="宋体" w:eastAsia="宋体" w:cs="宋体"/>
          <w:spacing w:val="18"/>
          <w:sz w:val="23"/>
          <w:szCs w:val="23"/>
        </w:rPr>
        <w:t>础</w:t>
      </w:r>
      <w:r>
        <w:rPr>
          <w:rFonts w:ascii="宋体" w:hAnsi="宋体" w:eastAsia="宋体" w:cs="宋体"/>
          <w:spacing w:val="9"/>
          <w:sz w:val="23"/>
          <w:szCs w:val="23"/>
        </w:rPr>
        <w:t>上，针对本工程特点，提出持续清洁生产建议，具体见下表。</w:t>
      </w:r>
    </w:p>
    <w:p w14:paraId="5252F9E4">
      <w:pPr>
        <w:spacing w:line="221" w:lineRule="auto"/>
        <w:ind w:left="3388"/>
        <w:rPr>
          <w:rFonts w:ascii="黑体" w:hAnsi="黑体" w:eastAsia="黑体" w:cs="黑体"/>
          <w:sz w:val="23"/>
          <w:szCs w:val="23"/>
        </w:rPr>
      </w:pPr>
      <w:r>
        <w:rPr>
          <w:rFonts w:ascii="黑体" w:hAnsi="黑体" w:eastAsia="黑体" w:cs="黑体"/>
          <w:spacing w:val="4"/>
          <w:sz w:val="23"/>
          <w:szCs w:val="23"/>
        </w:rPr>
        <w:t xml:space="preserve">表 </w:t>
      </w:r>
      <w:r>
        <w:rPr>
          <w:rFonts w:ascii="Times New Roman" w:hAnsi="Times New Roman" w:eastAsia="Times New Roman" w:cs="Times New Roman"/>
          <w:spacing w:val="4"/>
          <w:sz w:val="23"/>
          <w:szCs w:val="23"/>
        </w:rPr>
        <w:t>7.4-</w:t>
      </w:r>
      <w:r>
        <w:rPr>
          <w:rFonts w:ascii="Times New Roman" w:hAnsi="Times New Roman" w:eastAsia="Times New Roman" w:cs="Times New Roman"/>
          <w:spacing w:val="3"/>
          <w:sz w:val="23"/>
          <w:szCs w:val="23"/>
        </w:rPr>
        <w:t>3</w:t>
      </w:r>
      <w:r>
        <w:rPr>
          <w:rFonts w:ascii="Times New Roman" w:hAnsi="Times New Roman" w:eastAsia="Times New Roman" w:cs="Times New Roman"/>
          <w:spacing w:val="2"/>
          <w:sz w:val="23"/>
          <w:szCs w:val="23"/>
        </w:rPr>
        <w:t xml:space="preserve">    </w:t>
      </w:r>
      <w:r>
        <w:rPr>
          <w:rFonts w:ascii="黑体" w:hAnsi="黑体" w:eastAsia="黑体" w:cs="黑体"/>
          <w:spacing w:val="2"/>
          <w:sz w:val="23"/>
          <w:szCs w:val="23"/>
        </w:rPr>
        <w:t>持续清洁生产建议</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286"/>
        <w:gridCol w:w="4364"/>
        <w:gridCol w:w="3208"/>
      </w:tblGrid>
      <w:tr w14:paraId="0DB20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854" w:type="dxa"/>
            <w:tcBorders>
              <w:left w:val="nil"/>
            </w:tcBorders>
          </w:tcPr>
          <w:p w14:paraId="54496F7A">
            <w:pPr>
              <w:spacing w:before="73" w:line="228" w:lineRule="auto"/>
              <w:ind w:left="224"/>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类型</w:t>
            </w:r>
          </w:p>
        </w:tc>
        <w:tc>
          <w:tcPr>
            <w:tcW w:w="1286" w:type="dxa"/>
          </w:tcPr>
          <w:p w14:paraId="20467862">
            <w:pPr>
              <w:spacing w:before="74" w:line="228" w:lineRule="auto"/>
              <w:ind w:left="389"/>
              <w:rPr>
                <w:rFonts w:ascii="宋体" w:hAnsi="宋体" w:eastAsia="宋体" w:cs="宋体"/>
                <w:sz w:val="20"/>
                <w:szCs w:val="20"/>
              </w:rPr>
            </w:pPr>
            <w:r>
              <w:rPr>
                <w:rFonts w:ascii="宋体" w:hAnsi="宋体" w:eastAsia="宋体" w:cs="宋体"/>
                <w:spacing w:val="17"/>
                <w:sz w:val="20"/>
                <w:szCs w:val="20"/>
                <w14:textOutline w14:w="3797" w14:cap="sq" w14:cmpd="sng" w14:algn="ctr">
                  <w14:solidFill>
                    <w14:srgbClr w14:val="000000"/>
                  </w14:solidFill>
                  <w14:prstDash w14:val="solid"/>
                  <w14:bevel/>
                </w14:textOutline>
              </w:rPr>
              <w:t>项</w:t>
            </w:r>
            <w:r>
              <w:rPr>
                <w:rFonts w:ascii="宋体" w:hAnsi="宋体" w:eastAsia="宋体" w:cs="宋体"/>
                <w:spacing w:val="17"/>
                <w:sz w:val="20"/>
                <w:szCs w:val="20"/>
              </w:rPr>
              <w:t xml:space="preserve"> </w:t>
            </w:r>
            <w:r>
              <w:rPr>
                <w:rFonts w:ascii="宋体" w:hAnsi="宋体" w:eastAsia="宋体" w:cs="宋体"/>
                <w:spacing w:val="16"/>
                <w:sz w:val="20"/>
                <w:szCs w:val="20"/>
                <w14:textOutline w14:w="3797" w14:cap="sq" w14:cmpd="sng" w14:algn="ctr">
                  <w14:solidFill>
                    <w14:srgbClr w14:val="000000"/>
                  </w14:solidFill>
                  <w14:prstDash w14:val="solid"/>
                  <w14:bevel/>
                </w14:textOutline>
              </w:rPr>
              <w:t>目</w:t>
            </w:r>
          </w:p>
        </w:tc>
        <w:tc>
          <w:tcPr>
            <w:tcW w:w="4364" w:type="dxa"/>
          </w:tcPr>
          <w:p w14:paraId="4A851201">
            <w:pPr>
              <w:spacing w:before="73" w:line="228" w:lineRule="auto"/>
              <w:ind w:left="1530"/>
              <w:rPr>
                <w:rFonts w:ascii="宋体" w:hAnsi="宋体" w:eastAsia="宋体" w:cs="宋体"/>
                <w:sz w:val="20"/>
                <w:szCs w:val="20"/>
              </w:rPr>
            </w:pPr>
            <w:r>
              <w:rPr>
                <w:rFonts w:ascii="宋体" w:hAnsi="宋体" w:eastAsia="宋体" w:cs="宋体"/>
                <w:spacing w:val="3"/>
                <w:sz w:val="20"/>
                <w:szCs w:val="20"/>
                <w14:textOutline w14:w="3797" w14:cap="sq" w14:cmpd="sng" w14:algn="ctr">
                  <w14:solidFill>
                    <w14:srgbClr w14:val="000000"/>
                  </w14:solidFill>
                  <w14:prstDash w14:val="solid"/>
                  <w14:bevel/>
                </w14:textOutline>
              </w:rPr>
              <w:t>内</w:t>
            </w:r>
            <w:r>
              <w:rPr>
                <w:rFonts w:ascii="宋体" w:hAnsi="宋体" w:eastAsia="宋体" w:cs="宋体"/>
                <w:spacing w:val="3"/>
                <w:sz w:val="20"/>
                <w:szCs w:val="20"/>
              </w:rPr>
              <w:t xml:space="preserve">         </w:t>
            </w:r>
            <w:r>
              <w:rPr>
                <w:rFonts w:ascii="宋体" w:hAnsi="宋体" w:eastAsia="宋体" w:cs="宋体"/>
                <w:spacing w:val="1"/>
                <w:sz w:val="20"/>
                <w:szCs w:val="20"/>
                <w14:textOutline w14:w="3797" w14:cap="sq" w14:cmpd="sng" w14:algn="ctr">
                  <w14:solidFill>
                    <w14:srgbClr w14:val="000000"/>
                  </w14:solidFill>
                  <w14:prstDash w14:val="solid"/>
                  <w14:bevel/>
                </w14:textOutline>
              </w:rPr>
              <w:t>容</w:t>
            </w:r>
          </w:p>
        </w:tc>
        <w:tc>
          <w:tcPr>
            <w:tcW w:w="3208" w:type="dxa"/>
            <w:tcBorders>
              <w:right w:val="nil"/>
            </w:tcBorders>
          </w:tcPr>
          <w:p w14:paraId="6E10985C">
            <w:pPr>
              <w:spacing w:before="74" w:line="228" w:lineRule="auto"/>
              <w:ind w:left="1438"/>
              <w:rPr>
                <w:rFonts w:ascii="宋体" w:hAnsi="宋体" w:eastAsia="宋体" w:cs="宋体"/>
                <w:sz w:val="20"/>
                <w:szCs w:val="20"/>
              </w:rPr>
            </w:pPr>
            <w:r>
              <w:rPr>
                <w:rFonts w:ascii="宋体" w:hAnsi="宋体" w:eastAsia="宋体" w:cs="宋体"/>
                <w:spacing w:val="-14"/>
                <w:sz w:val="20"/>
                <w:szCs w:val="20"/>
                <w14:textOutline w14:w="3797" w14:cap="sq" w14:cmpd="sng" w14:algn="ctr">
                  <w14:solidFill>
                    <w14:srgbClr w14:val="000000"/>
                  </w14:solidFill>
                  <w14:prstDash w14:val="solid"/>
                  <w14:bevel/>
                </w14:textOutline>
              </w:rPr>
              <w:t>目标</w:t>
            </w:r>
          </w:p>
        </w:tc>
      </w:tr>
      <w:tr w14:paraId="7F6AB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854" w:type="dxa"/>
            <w:tcBorders>
              <w:left w:val="nil"/>
            </w:tcBorders>
          </w:tcPr>
          <w:p w14:paraId="01A1A11E">
            <w:pPr>
              <w:spacing w:before="113" w:line="267" w:lineRule="auto"/>
              <w:ind w:left="120" w:right="111" w:firstLine="1"/>
              <w:rPr>
                <w:rFonts w:ascii="宋体" w:hAnsi="宋体" w:eastAsia="宋体" w:cs="宋体"/>
                <w:sz w:val="20"/>
                <w:szCs w:val="20"/>
              </w:rPr>
            </w:pPr>
            <w:r>
              <w:rPr>
                <w:rFonts w:ascii="宋体" w:hAnsi="宋体" w:eastAsia="宋体" w:cs="宋体"/>
                <w:spacing w:val="6"/>
                <w:sz w:val="20"/>
                <w:szCs w:val="20"/>
              </w:rPr>
              <w:t>工程方</w:t>
            </w:r>
            <w:r>
              <w:rPr>
                <w:rFonts w:ascii="宋体" w:hAnsi="宋体" w:eastAsia="宋体" w:cs="宋体"/>
                <w:sz w:val="20"/>
                <w:szCs w:val="20"/>
              </w:rPr>
              <w:t xml:space="preserve"> </w:t>
            </w:r>
            <w:r>
              <w:rPr>
                <w:rFonts w:ascii="宋体" w:hAnsi="宋体" w:eastAsia="宋体" w:cs="宋体"/>
                <w:spacing w:val="7"/>
                <w:sz w:val="20"/>
                <w:szCs w:val="20"/>
              </w:rPr>
              <w:t>面</w:t>
            </w:r>
            <w:r>
              <w:rPr>
                <w:rFonts w:ascii="宋体" w:hAnsi="宋体" w:eastAsia="宋体" w:cs="宋体"/>
                <w:spacing w:val="6"/>
                <w:sz w:val="20"/>
                <w:szCs w:val="20"/>
              </w:rPr>
              <w:t>建议</w:t>
            </w:r>
          </w:p>
        </w:tc>
        <w:tc>
          <w:tcPr>
            <w:tcW w:w="1286" w:type="dxa"/>
          </w:tcPr>
          <w:p w14:paraId="30AEA4D0">
            <w:pPr>
              <w:spacing w:before="249" w:line="227" w:lineRule="auto"/>
              <w:ind w:left="228"/>
              <w:rPr>
                <w:rFonts w:ascii="宋体" w:hAnsi="宋体" w:eastAsia="宋体" w:cs="宋体"/>
                <w:sz w:val="20"/>
                <w:szCs w:val="20"/>
              </w:rPr>
            </w:pPr>
            <w:r>
              <w:rPr>
                <w:rFonts w:ascii="宋体" w:hAnsi="宋体" w:eastAsia="宋体" w:cs="宋体"/>
                <w:spacing w:val="7"/>
                <w:sz w:val="20"/>
                <w:szCs w:val="20"/>
              </w:rPr>
              <w:t>制肥工艺</w:t>
            </w:r>
          </w:p>
        </w:tc>
        <w:tc>
          <w:tcPr>
            <w:tcW w:w="4364" w:type="dxa"/>
          </w:tcPr>
          <w:p w14:paraId="36F579C9">
            <w:pPr>
              <w:spacing w:before="113" w:line="267" w:lineRule="auto"/>
              <w:ind w:left="716" w:right="106" w:hanging="601"/>
              <w:rPr>
                <w:rFonts w:ascii="宋体" w:hAnsi="宋体" w:eastAsia="宋体" w:cs="宋体"/>
                <w:sz w:val="20"/>
                <w:szCs w:val="20"/>
              </w:rPr>
            </w:pPr>
            <w:r>
              <w:rPr>
                <w:rFonts w:ascii="宋体" w:hAnsi="宋体" w:eastAsia="宋体" w:cs="宋体"/>
                <w:spacing w:val="7"/>
                <w:sz w:val="20"/>
                <w:szCs w:val="20"/>
              </w:rPr>
              <w:t>建议进一步优化发酵工艺，提高制肥的自动</w:t>
            </w:r>
            <w:r>
              <w:rPr>
                <w:rFonts w:ascii="宋体" w:hAnsi="宋体" w:eastAsia="宋体" w:cs="宋体"/>
                <w:spacing w:val="3"/>
                <w:sz w:val="20"/>
                <w:szCs w:val="20"/>
              </w:rPr>
              <w:t>化</w:t>
            </w:r>
            <w:r>
              <w:rPr>
                <w:rFonts w:ascii="宋体" w:hAnsi="宋体" w:eastAsia="宋体" w:cs="宋体"/>
                <w:sz w:val="20"/>
                <w:szCs w:val="20"/>
              </w:rPr>
              <w:t xml:space="preserve"> </w:t>
            </w:r>
            <w:r>
              <w:rPr>
                <w:rFonts w:ascii="宋体" w:hAnsi="宋体" w:eastAsia="宋体" w:cs="宋体"/>
                <w:spacing w:val="13"/>
                <w:sz w:val="20"/>
                <w:szCs w:val="20"/>
              </w:rPr>
              <w:t>程</w:t>
            </w:r>
            <w:r>
              <w:rPr>
                <w:rFonts w:ascii="宋体" w:hAnsi="宋体" w:eastAsia="宋体" w:cs="宋体"/>
                <w:spacing w:val="9"/>
                <w:sz w:val="20"/>
                <w:szCs w:val="20"/>
              </w:rPr>
              <w:t>度和发酵效果，降低环境污染</w:t>
            </w:r>
          </w:p>
        </w:tc>
        <w:tc>
          <w:tcPr>
            <w:tcW w:w="3208" w:type="dxa"/>
            <w:tcBorders>
              <w:right w:val="nil"/>
            </w:tcBorders>
          </w:tcPr>
          <w:p w14:paraId="024DD82C">
            <w:pPr>
              <w:spacing w:before="249" w:line="228" w:lineRule="auto"/>
              <w:ind w:left="560"/>
              <w:rPr>
                <w:rFonts w:ascii="宋体" w:hAnsi="宋体" w:eastAsia="宋体" w:cs="宋体"/>
                <w:sz w:val="20"/>
                <w:szCs w:val="20"/>
              </w:rPr>
            </w:pPr>
            <w:r>
              <w:rPr>
                <w:rFonts w:ascii="宋体" w:hAnsi="宋体" w:eastAsia="宋体" w:cs="宋体"/>
                <w:spacing w:val="15"/>
                <w:sz w:val="20"/>
                <w:szCs w:val="20"/>
              </w:rPr>
              <w:t>最</w:t>
            </w:r>
            <w:r>
              <w:rPr>
                <w:rFonts w:ascii="宋体" w:hAnsi="宋体" w:eastAsia="宋体" w:cs="宋体"/>
                <w:spacing w:val="8"/>
                <w:sz w:val="20"/>
                <w:szCs w:val="20"/>
              </w:rPr>
              <w:t>大程度降低环境污染</w:t>
            </w:r>
          </w:p>
        </w:tc>
      </w:tr>
      <w:tr w14:paraId="5DE023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854" w:type="dxa"/>
            <w:vMerge w:val="restart"/>
            <w:tcBorders>
              <w:left w:val="nil"/>
              <w:bottom w:val="nil"/>
            </w:tcBorders>
          </w:tcPr>
          <w:p w14:paraId="3C218B54">
            <w:pPr>
              <w:spacing w:line="306" w:lineRule="auto"/>
            </w:pPr>
          </w:p>
          <w:p w14:paraId="6DEAF040">
            <w:pPr>
              <w:spacing w:line="307" w:lineRule="auto"/>
            </w:pPr>
          </w:p>
          <w:p w14:paraId="690FC62D">
            <w:pPr>
              <w:spacing w:before="65" w:line="265" w:lineRule="auto"/>
              <w:ind w:left="127" w:right="111" w:firstLine="4"/>
              <w:rPr>
                <w:rFonts w:ascii="宋体" w:hAnsi="宋体" w:eastAsia="宋体" w:cs="宋体"/>
                <w:sz w:val="20"/>
                <w:szCs w:val="20"/>
              </w:rPr>
            </w:pPr>
            <w:r>
              <w:rPr>
                <w:rFonts w:ascii="宋体" w:hAnsi="宋体" w:eastAsia="宋体" w:cs="宋体"/>
                <w:spacing w:val="3"/>
                <w:sz w:val="20"/>
                <w:szCs w:val="20"/>
              </w:rPr>
              <w:t>管理</w:t>
            </w:r>
            <w:r>
              <w:rPr>
                <w:rFonts w:ascii="宋体" w:hAnsi="宋体" w:eastAsia="宋体" w:cs="宋体"/>
                <w:spacing w:val="2"/>
                <w:sz w:val="20"/>
                <w:szCs w:val="20"/>
              </w:rPr>
              <w:t>方</w:t>
            </w:r>
            <w:r>
              <w:rPr>
                <w:rFonts w:ascii="宋体" w:hAnsi="宋体" w:eastAsia="宋体" w:cs="宋体"/>
                <w:sz w:val="20"/>
                <w:szCs w:val="20"/>
              </w:rPr>
              <w:t xml:space="preserve"> </w:t>
            </w:r>
            <w:r>
              <w:rPr>
                <w:rFonts w:ascii="宋体" w:hAnsi="宋体" w:eastAsia="宋体" w:cs="宋体"/>
                <w:spacing w:val="4"/>
                <w:sz w:val="20"/>
                <w:szCs w:val="20"/>
              </w:rPr>
              <w:t>面建议</w:t>
            </w:r>
          </w:p>
        </w:tc>
        <w:tc>
          <w:tcPr>
            <w:tcW w:w="1286" w:type="dxa"/>
          </w:tcPr>
          <w:p w14:paraId="1D32A12A">
            <w:pPr>
              <w:spacing w:before="71" w:line="232" w:lineRule="auto"/>
              <w:ind w:left="441"/>
              <w:rPr>
                <w:rFonts w:ascii="宋体" w:hAnsi="宋体" w:eastAsia="宋体" w:cs="宋体"/>
                <w:sz w:val="20"/>
                <w:szCs w:val="20"/>
              </w:rPr>
            </w:pPr>
            <w:r>
              <w:rPr>
                <w:rFonts w:ascii="宋体" w:hAnsi="宋体" w:eastAsia="宋体" w:cs="宋体"/>
                <w:spacing w:val="4"/>
                <w:sz w:val="20"/>
                <w:szCs w:val="20"/>
              </w:rPr>
              <w:t>组</w:t>
            </w:r>
            <w:r>
              <w:rPr>
                <w:rFonts w:ascii="宋体" w:hAnsi="宋体" w:eastAsia="宋体" w:cs="宋体"/>
                <w:spacing w:val="3"/>
                <w:sz w:val="20"/>
                <w:szCs w:val="20"/>
              </w:rPr>
              <w:t>织</w:t>
            </w:r>
          </w:p>
        </w:tc>
        <w:tc>
          <w:tcPr>
            <w:tcW w:w="4364" w:type="dxa"/>
          </w:tcPr>
          <w:p w14:paraId="3A5D828D">
            <w:pPr>
              <w:spacing w:before="71" w:line="228" w:lineRule="auto"/>
              <w:ind w:left="1263"/>
              <w:rPr>
                <w:rFonts w:ascii="宋体" w:hAnsi="宋体" w:eastAsia="宋体" w:cs="宋体"/>
                <w:sz w:val="20"/>
                <w:szCs w:val="20"/>
              </w:rPr>
            </w:pPr>
            <w:r>
              <w:rPr>
                <w:rFonts w:ascii="宋体" w:hAnsi="宋体" w:eastAsia="宋体" w:cs="宋体"/>
                <w:spacing w:val="6"/>
                <w:sz w:val="20"/>
                <w:szCs w:val="20"/>
              </w:rPr>
              <w:t>设</w:t>
            </w:r>
            <w:r>
              <w:rPr>
                <w:rFonts w:ascii="宋体" w:hAnsi="宋体" w:eastAsia="宋体" w:cs="宋体"/>
                <w:spacing w:val="5"/>
                <w:sz w:val="20"/>
                <w:szCs w:val="20"/>
              </w:rPr>
              <w:t>立清洁生产监督员</w:t>
            </w:r>
          </w:p>
        </w:tc>
        <w:tc>
          <w:tcPr>
            <w:tcW w:w="3208" w:type="dxa"/>
            <w:tcBorders>
              <w:right w:val="nil"/>
            </w:tcBorders>
          </w:tcPr>
          <w:p w14:paraId="30664134">
            <w:pPr>
              <w:spacing w:before="71" w:line="228" w:lineRule="auto"/>
              <w:ind w:left="770"/>
              <w:rPr>
                <w:rFonts w:ascii="宋体" w:hAnsi="宋体" w:eastAsia="宋体" w:cs="宋体"/>
                <w:sz w:val="20"/>
                <w:szCs w:val="20"/>
              </w:rPr>
            </w:pPr>
            <w:r>
              <w:rPr>
                <w:rFonts w:ascii="宋体" w:hAnsi="宋体" w:eastAsia="宋体" w:cs="宋体"/>
                <w:spacing w:val="12"/>
                <w:sz w:val="20"/>
                <w:szCs w:val="20"/>
              </w:rPr>
              <w:t>保</w:t>
            </w:r>
            <w:r>
              <w:rPr>
                <w:rFonts w:ascii="宋体" w:hAnsi="宋体" w:eastAsia="宋体" w:cs="宋体"/>
                <w:spacing w:val="8"/>
                <w:sz w:val="20"/>
                <w:szCs w:val="20"/>
              </w:rPr>
              <w:t>证清洁生产实施</w:t>
            </w:r>
          </w:p>
        </w:tc>
      </w:tr>
      <w:tr w14:paraId="7B3685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4" w:type="dxa"/>
            <w:vMerge w:val="continue"/>
            <w:tcBorders>
              <w:top w:val="nil"/>
              <w:left w:val="nil"/>
              <w:bottom w:val="nil"/>
            </w:tcBorders>
          </w:tcPr>
          <w:p w14:paraId="7AC008B8"/>
        </w:tc>
        <w:tc>
          <w:tcPr>
            <w:tcW w:w="1286" w:type="dxa"/>
            <w:vMerge w:val="restart"/>
            <w:tcBorders>
              <w:bottom w:val="nil"/>
            </w:tcBorders>
          </w:tcPr>
          <w:p w14:paraId="341B85C3">
            <w:pPr>
              <w:spacing w:line="336" w:lineRule="auto"/>
            </w:pPr>
          </w:p>
          <w:p w14:paraId="1EE75AB1">
            <w:pPr>
              <w:spacing w:before="65" w:line="228" w:lineRule="auto"/>
              <w:ind w:left="443"/>
              <w:rPr>
                <w:rFonts w:ascii="宋体" w:hAnsi="宋体" w:eastAsia="宋体" w:cs="宋体"/>
                <w:sz w:val="20"/>
                <w:szCs w:val="20"/>
              </w:rPr>
            </w:pPr>
            <w:r>
              <w:rPr>
                <w:rFonts w:ascii="宋体" w:hAnsi="宋体" w:eastAsia="宋体" w:cs="宋体"/>
                <w:spacing w:val="2"/>
                <w:sz w:val="20"/>
                <w:szCs w:val="20"/>
              </w:rPr>
              <w:t>管理</w:t>
            </w:r>
          </w:p>
        </w:tc>
        <w:tc>
          <w:tcPr>
            <w:tcW w:w="4364" w:type="dxa"/>
          </w:tcPr>
          <w:p w14:paraId="2C8EEB67">
            <w:pPr>
              <w:spacing w:before="123" w:line="227" w:lineRule="auto"/>
              <w:ind w:left="113"/>
              <w:rPr>
                <w:rFonts w:ascii="宋体" w:hAnsi="宋体" w:eastAsia="宋体" w:cs="宋体"/>
                <w:sz w:val="20"/>
                <w:szCs w:val="20"/>
              </w:rPr>
            </w:pPr>
            <w:r>
              <w:rPr>
                <w:rFonts w:ascii="宋体" w:hAnsi="宋体" w:eastAsia="宋体" w:cs="宋体"/>
                <w:spacing w:val="7"/>
                <w:sz w:val="20"/>
                <w:szCs w:val="20"/>
              </w:rPr>
              <w:t>制定猪粪堆肥的管理制度，提高员工环保意</w:t>
            </w:r>
            <w:r>
              <w:rPr>
                <w:rFonts w:ascii="宋体" w:hAnsi="宋体" w:eastAsia="宋体" w:cs="宋体"/>
                <w:spacing w:val="5"/>
                <w:sz w:val="20"/>
                <w:szCs w:val="20"/>
              </w:rPr>
              <w:t>识</w:t>
            </w:r>
          </w:p>
        </w:tc>
        <w:tc>
          <w:tcPr>
            <w:tcW w:w="3208" w:type="dxa"/>
            <w:tcBorders>
              <w:right w:val="nil"/>
            </w:tcBorders>
          </w:tcPr>
          <w:p w14:paraId="01E9A39E">
            <w:pPr>
              <w:spacing w:before="123" w:line="228" w:lineRule="auto"/>
              <w:ind w:left="978"/>
              <w:rPr>
                <w:rFonts w:ascii="宋体" w:hAnsi="宋体" w:eastAsia="宋体" w:cs="宋体"/>
                <w:sz w:val="20"/>
                <w:szCs w:val="20"/>
              </w:rPr>
            </w:pPr>
            <w:r>
              <w:rPr>
                <w:rFonts w:ascii="宋体" w:hAnsi="宋体" w:eastAsia="宋体" w:cs="宋体"/>
                <w:spacing w:val="9"/>
                <w:sz w:val="20"/>
                <w:szCs w:val="20"/>
              </w:rPr>
              <w:t>减</w:t>
            </w:r>
            <w:r>
              <w:rPr>
                <w:rFonts w:ascii="宋体" w:hAnsi="宋体" w:eastAsia="宋体" w:cs="宋体"/>
                <w:spacing w:val="8"/>
                <w:sz w:val="20"/>
                <w:szCs w:val="20"/>
              </w:rPr>
              <w:t>少二次污染</w:t>
            </w:r>
          </w:p>
        </w:tc>
      </w:tr>
      <w:tr w14:paraId="4A6825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54" w:type="dxa"/>
            <w:vMerge w:val="continue"/>
            <w:tcBorders>
              <w:top w:val="nil"/>
              <w:left w:val="nil"/>
              <w:bottom w:val="nil"/>
            </w:tcBorders>
          </w:tcPr>
          <w:p w14:paraId="75B2BD79"/>
        </w:tc>
        <w:tc>
          <w:tcPr>
            <w:tcW w:w="1286" w:type="dxa"/>
            <w:vMerge w:val="continue"/>
            <w:tcBorders>
              <w:top w:val="nil"/>
              <w:bottom w:val="nil"/>
            </w:tcBorders>
          </w:tcPr>
          <w:p w14:paraId="651BBF52"/>
        </w:tc>
        <w:tc>
          <w:tcPr>
            <w:tcW w:w="4364" w:type="dxa"/>
          </w:tcPr>
          <w:p w14:paraId="74878A12">
            <w:pPr>
              <w:spacing w:before="34" w:line="224" w:lineRule="auto"/>
              <w:ind w:left="507"/>
              <w:rPr>
                <w:rFonts w:ascii="宋体" w:hAnsi="宋体" w:eastAsia="宋体" w:cs="宋体"/>
                <w:sz w:val="20"/>
                <w:szCs w:val="20"/>
              </w:rPr>
            </w:pPr>
            <w:r>
              <w:rPr>
                <w:rFonts w:ascii="宋体" w:hAnsi="宋体" w:eastAsia="宋体" w:cs="宋体"/>
                <w:spacing w:val="13"/>
                <w:sz w:val="20"/>
                <w:szCs w:val="20"/>
              </w:rPr>
              <w:t>制</w:t>
            </w:r>
            <w:r>
              <w:rPr>
                <w:rFonts w:ascii="宋体" w:hAnsi="宋体" w:eastAsia="宋体" w:cs="宋体"/>
                <w:spacing w:val="9"/>
                <w:sz w:val="20"/>
                <w:szCs w:val="20"/>
              </w:rPr>
              <w:t>定岗位操作规程，提高设备完好率</w:t>
            </w:r>
          </w:p>
        </w:tc>
        <w:tc>
          <w:tcPr>
            <w:tcW w:w="3208" w:type="dxa"/>
            <w:tcBorders>
              <w:right w:val="nil"/>
            </w:tcBorders>
          </w:tcPr>
          <w:p w14:paraId="0EC8DA37">
            <w:pPr>
              <w:spacing w:before="34" w:line="224" w:lineRule="auto"/>
              <w:ind w:left="848"/>
              <w:rPr>
                <w:rFonts w:ascii="宋体" w:hAnsi="宋体" w:eastAsia="宋体" w:cs="宋体"/>
                <w:sz w:val="20"/>
                <w:szCs w:val="20"/>
              </w:rPr>
            </w:pPr>
            <w:r>
              <w:rPr>
                <w:rFonts w:ascii="宋体" w:hAnsi="宋体" w:eastAsia="宋体" w:cs="宋体"/>
                <w:spacing w:val="-11"/>
                <w:sz w:val="20"/>
                <w:szCs w:val="20"/>
              </w:rPr>
              <w:t>确</w:t>
            </w:r>
            <w:r>
              <w:rPr>
                <w:rFonts w:ascii="宋体" w:hAnsi="宋体" w:eastAsia="宋体" w:cs="宋体"/>
                <w:spacing w:val="-7"/>
                <w:sz w:val="20"/>
                <w:szCs w:val="20"/>
              </w:rPr>
              <w:t>保系统正常运行</w:t>
            </w:r>
          </w:p>
        </w:tc>
      </w:tr>
      <w:tr w14:paraId="51EAF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54" w:type="dxa"/>
            <w:vMerge w:val="continue"/>
            <w:tcBorders>
              <w:top w:val="nil"/>
              <w:left w:val="nil"/>
              <w:bottom w:val="nil"/>
            </w:tcBorders>
          </w:tcPr>
          <w:p w14:paraId="186A0E13"/>
        </w:tc>
        <w:tc>
          <w:tcPr>
            <w:tcW w:w="1286" w:type="dxa"/>
            <w:vMerge w:val="continue"/>
            <w:tcBorders>
              <w:top w:val="nil"/>
            </w:tcBorders>
          </w:tcPr>
          <w:p w14:paraId="37AAB21D"/>
        </w:tc>
        <w:tc>
          <w:tcPr>
            <w:tcW w:w="4364" w:type="dxa"/>
          </w:tcPr>
          <w:p w14:paraId="2A7FD9C1">
            <w:pPr>
              <w:spacing w:before="36" w:line="221" w:lineRule="auto"/>
              <w:ind w:left="404"/>
              <w:rPr>
                <w:rFonts w:ascii="宋体" w:hAnsi="宋体" w:eastAsia="宋体" w:cs="宋体"/>
                <w:sz w:val="20"/>
                <w:szCs w:val="20"/>
              </w:rPr>
            </w:pPr>
            <w:r>
              <w:rPr>
                <w:rFonts w:ascii="宋体" w:hAnsi="宋体" w:eastAsia="宋体" w:cs="宋体"/>
                <w:spacing w:val="15"/>
                <w:sz w:val="20"/>
                <w:szCs w:val="20"/>
              </w:rPr>
              <w:t>生</w:t>
            </w:r>
            <w:r>
              <w:rPr>
                <w:rFonts w:ascii="宋体" w:hAnsi="宋体" w:eastAsia="宋体" w:cs="宋体"/>
                <w:spacing w:val="9"/>
                <w:sz w:val="20"/>
                <w:szCs w:val="20"/>
              </w:rPr>
              <w:t>产设备的使用、维护、检修管理制度</w:t>
            </w:r>
          </w:p>
        </w:tc>
        <w:tc>
          <w:tcPr>
            <w:tcW w:w="3208" w:type="dxa"/>
            <w:tcBorders>
              <w:right w:val="nil"/>
            </w:tcBorders>
          </w:tcPr>
          <w:p w14:paraId="05D18514">
            <w:pPr>
              <w:spacing w:before="36" w:line="221" w:lineRule="auto"/>
              <w:ind w:left="769"/>
              <w:rPr>
                <w:rFonts w:ascii="宋体" w:hAnsi="宋体" w:eastAsia="宋体" w:cs="宋体"/>
                <w:sz w:val="20"/>
                <w:szCs w:val="20"/>
              </w:rPr>
            </w:pPr>
            <w:r>
              <w:rPr>
                <w:rFonts w:ascii="宋体" w:hAnsi="宋体" w:eastAsia="宋体" w:cs="宋体"/>
                <w:spacing w:val="13"/>
                <w:sz w:val="20"/>
                <w:szCs w:val="20"/>
              </w:rPr>
              <w:t>确</w:t>
            </w:r>
            <w:r>
              <w:rPr>
                <w:rFonts w:ascii="宋体" w:hAnsi="宋体" w:eastAsia="宋体" w:cs="宋体"/>
                <w:spacing w:val="8"/>
                <w:sz w:val="20"/>
                <w:szCs w:val="20"/>
              </w:rPr>
              <w:t>保设备正常运行</w:t>
            </w:r>
          </w:p>
        </w:tc>
      </w:tr>
      <w:tr w14:paraId="184A3C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854" w:type="dxa"/>
            <w:vMerge w:val="continue"/>
            <w:tcBorders>
              <w:top w:val="nil"/>
              <w:left w:val="nil"/>
            </w:tcBorders>
          </w:tcPr>
          <w:p w14:paraId="3E889261"/>
        </w:tc>
        <w:tc>
          <w:tcPr>
            <w:tcW w:w="1286" w:type="dxa"/>
          </w:tcPr>
          <w:p w14:paraId="18646729">
            <w:pPr>
              <w:spacing w:before="127" w:line="228" w:lineRule="auto"/>
              <w:ind w:left="451"/>
              <w:rPr>
                <w:rFonts w:ascii="宋体" w:hAnsi="宋体" w:eastAsia="宋体" w:cs="宋体"/>
                <w:sz w:val="20"/>
                <w:szCs w:val="20"/>
              </w:rPr>
            </w:pPr>
            <w:r>
              <w:rPr>
                <w:rFonts w:ascii="宋体" w:hAnsi="宋体" w:eastAsia="宋体" w:cs="宋体"/>
                <w:sz w:val="20"/>
                <w:szCs w:val="20"/>
              </w:rPr>
              <w:t>培训</w:t>
            </w:r>
          </w:p>
        </w:tc>
        <w:tc>
          <w:tcPr>
            <w:tcW w:w="4364" w:type="dxa"/>
          </w:tcPr>
          <w:p w14:paraId="5ED65427">
            <w:pPr>
              <w:spacing w:before="127" w:line="228" w:lineRule="auto"/>
              <w:ind w:left="207"/>
              <w:rPr>
                <w:rFonts w:ascii="宋体" w:hAnsi="宋体" w:eastAsia="宋体" w:cs="宋体"/>
                <w:sz w:val="20"/>
                <w:szCs w:val="20"/>
              </w:rPr>
            </w:pPr>
            <w:r>
              <w:rPr>
                <w:rFonts w:ascii="宋体" w:hAnsi="宋体" w:eastAsia="宋体" w:cs="宋体"/>
                <w:spacing w:val="-2"/>
                <w:sz w:val="20"/>
                <w:szCs w:val="20"/>
              </w:rPr>
              <w:t>制定培训计划，自觉参与清洁生产的各项</w:t>
            </w:r>
            <w:r>
              <w:rPr>
                <w:rFonts w:ascii="宋体" w:hAnsi="宋体" w:eastAsia="宋体" w:cs="宋体"/>
                <w:spacing w:val="-1"/>
                <w:sz w:val="20"/>
                <w:szCs w:val="20"/>
              </w:rPr>
              <w:t>活</w:t>
            </w:r>
            <w:r>
              <w:rPr>
                <w:rFonts w:ascii="宋体" w:hAnsi="宋体" w:eastAsia="宋体" w:cs="宋体"/>
                <w:sz w:val="20"/>
                <w:szCs w:val="20"/>
              </w:rPr>
              <w:t>动</w:t>
            </w:r>
          </w:p>
        </w:tc>
        <w:tc>
          <w:tcPr>
            <w:tcW w:w="3208" w:type="dxa"/>
            <w:tcBorders>
              <w:right w:val="nil"/>
            </w:tcBorders>
          </w:tcPr>
          <w:p w14:paraId="5F674837">
            <w:pPr>
              <w:spacing w:before="127" w:line="228" w:lineRule="auto"/>
              <w:ind w:left="559"/>
              <w:rPr>
                <w:rFonts w:ascii="宋体" w:hAnsi="宋体" w:eastAsia="宋体" w:cs="宋体"/>
                <w:sz w:val="20"/>
                <w:szCs w:val="20"/>
              </w:rPr>
            </w:pPr>
            <w:r>
              <w:rPr>
                <w:rFonts w:ascii="宋体" w:hAnsi="宋体" w:eastAsia="宋体" w:cs="宋体"/>
                <w:spacing w:val="9"/>
                <w:sz w:val="20"/>
                <w:szCs w:val="20"/>
              </w:rPr>
              <w:t>保证各项措施顺利实</w:t>
            </w:r>
            <w:r>
              <w:rPr>
                <w:rFonts w:ascii="宋体" w:hAnsi="宋体" w:eastAsia="宋体" w:cs="宋体"/>
                <w:spacing w:val="7"/>
                <w:sz w:val="20"/>
                <w:szCs w:val="20"/>
              </w:rPr>
              <w:t>施</w:t>
            </w:r>
          </w:p>
        </w:tc>
      </w:tr>
    </w:tbl>
    <w:p w14:paraId="7311F1DF">
      <w:pPr>
        <w:spacing w:before="42" w:line="220" w:lineRule="auto"/>
        <w:ind w:left="118"/>
        <w:outlineLvl w:val="1"/>
        <w:rPr>
          <w:rFonts w:ascii="宋体" w:hAnsi="宋体" w:eastAsia="宋体" w:cs="宋体"/>
          <w:sz w:val="28"/>
          <w:szCs w:val="28"/>
        </w:rPr>
      </w:pPr>
      <w:bookmarkStart w:id="56" w:name="_bookmark57"/>
      <w:bookmarkEnd w:id="56"/>
      <w:r>
        <w:rPr>
          <w:rFonts w:ascii="Times New Roman" w:hAnsi="Times New Roman" w:eastAsia="Times New Roman" w:cs="Times New Roman"/>
          <w:b/>
          <w:bCs/>
          <w:spacing w:val="-1"/>
          <w:sz w:val="28"/>
          <w:szCs w:val="28"/>
        </w:rPr>
        <w:t>7.5</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清洁生产结论</w:t>
      </w:r>
    </w:p>
    <w:p w14:paraId="1278FAEA">
      <w:pPr>
        <w:spacing w:before="208" w:line="374" w:lineRule="auto"/>
        <w:ind w:left="117" w:right="106" w:firstLine="481"/>
        <w:rPr>
          <w:rFonts w:ascii="宋体" w:hAnsi="宋体" w:eastAsia="宋体" w:cs="宋体"/>
          <w:sz w:val="23"/>
          <w:szCs w:val="23"/>
        </w:rPr>
      </w:pPr>
      <w:r>
        <w:rPr>
          <w:rFonts w:ascii="宋体" w:hAnsi="宋体" w:eastAsia="宋体" w:cs="宋体"/>
          <w:spacing w:val="7"/>
          <w:sz w:val="23"/>
          <w:szCs w:val="23"/>
        </w:rPr>
        <w:t>本工程从生产过程、污染防治技术、节能降耗等环节采用切实可行的清洁生产技术，从</w:t>
      </w:r>
      <w:r>
        <w:rPr>
          <w:rFonts w:ascii="宋体" w:hAnsi="宋体" w:eastAsia="宋体" w:cs="宋体"/>
          <w:sz w:val="23"/>
          <w:szCs w:val="23"/>
        </w:rPr>
        <w:t xml:space="preserve"> </w:t>
      </w:r>
      <w:r>
        <w:rPr>
          <w:rFonts w:ascii="宋体" w:hAnsi="宋体" w:eastAsia="宋体" w:cs="宋体"/>
          <w:spacing w:val="12"/>
          <w:sz w:val="23"/>
          <w:szCs w:val="23"/>
        </w:rPr>
        <w:t>源</w:t>
      </w:r>
      <w:r>
        <w:rPr>
          <w:rFonts w:ascii="宋体" w:hAnsi="宋体" w:eastAsia="宋体" w:cs="宋体"/>
          <w:spacing w:val="7"/>
          <w:sz w:val="23"/>
          <w:szCs w:val="23"/>
        </w:rPr>
        <w:t>头控制污染，过程控制和污染控制技术比较完备；工艺技术路线及装备符合目前国家产业</w:t>
      </w:r>
      <w:r>
        <w:rPr>
          <w:rFonts w:ascii="宋体" w:hAnsi="宋体" w:eastAsia="宋体" w:cs="宋体"/>
          <w:sz w:val="23"/>
          <w:szCs w:val="23"/>
        </w:rPr>
        <w:t xml:space="preserve"> </w:t>
      </w:r>
      <w:r>
        <w:rPr>
          <w:rFonts w:ascii="宋体" w:hAnsi="宋体" w:eastAsia="宋体" w:cs="宋体"/>
          <w:spacing w:val="12"/>
          <w:sz w:val="23"/>
          <w:szCs w:val="23"/>
        </w:rPr>
        <w:t>政</w:t>
      </w:r>
      <w:r>
        <w:rPr>
          <w:rFonts w:ascii="宋体" w:hAnsi="宋体" w:eastAsia="宋体" w:cs="宋体"/>
          <w:spacing w:val="7"/>
          <w:sz w:val="23"/>
          <w:szCs w:val="23"/>
        </w:rPr>
        <w:t>策和环保政策要求；工程物耗、能耗水平等指标达到国内同类企业先进水平。只要加强营</w:t>
      </w:r>
      <w:r>
        <w:rPr>
          <w:rFonts w:ascii="宋体" w:hAnsi="宋体" w:eastAsia="宋体" w:cs="宋体"/>
          <w:sz w:val="23"/>
          <w:szCs w:val="23"/>
        </w:rPr>
        <w:t xml:space="preserve"> </w:t>
      </w:r>
      <w:r>
        <w:rPr>
          <w:rFonts w:ascii="宋体" w:hAnsi="宋体" w:eastAsia="宋体" w:cs="宋体"/>
          <w:spacing w:val="12"/>
          <w:sz w:val="23"/>
          <w:szCs w:val="23"/>
        </w:rPr>
        <w:t>运</w:t>
      </w:r>
      <w:r>
        <w:rPr>
          <w:rFonts w:ascii="宋体" w:hAnsi="宋体" w:eastAsia="宋体" w:cs="宋体"/>
          <w:spacing w:val="7"/>
          <w:sz w:val="23"/>
          <w:szCs w:val="23"/>
        </w:rPr>
        <w:t>后日常生产管理与维护，保证各项环保设施正常运行，采取工程设计和评价建议的污染防</w:t>
      </w:r>
      <w:r>
        <w:rPr>
          <w:rFonts w:ascii="宋体" w:hAnsi="宋体" w:eastAsia="宋体" w:cs="宋体"/>
          <w:sz w:val="23"/>
          <w:szCs w:val="23"/>
        </w:rPr>
        <w:t xml:space="preserve"> </w:t>
      </w:r>
      <w:r>
        <w:rPr>
          <w:rFonts w:ascii="宋体" w:hAnsi="宋体" w:eastAsia="宋体" w:cs="宋体"/>
          <w:spacing w:val="12"/>
          <w:sz w:val="23"/>
          <w:szCs w:val="23"/>
        </w:rPr>
        <w:t>治</w:t>
      </w:r>
      <w:r>
        <w:rPr>
          <w:rFonts w:ascii="宋体" w:hAnsi="宋体" w:eastAsia="宋体" w:cs="宋体"/>
          <w:spacing w:val="7"/>
          <w:sz w:val="23"/>
          <w:szCs w:val="23"/>
        </w:rPr>
        <w:t>措施和清洁生产措施，确保各项环保设施正常运行，与同行业相比，本项目能耗低，污染</w:t>
      </w:r>
    </w:p>
    <w:p w14:paraId="463EA312">
      <w:pPr>
        <w:spacing w:before="1" w:line="228" w:lineRule="auto"/>
        <w:ind w:left="118"/>
        <w:outlineLvl w:val="0"/>
        <w:rPr>
          <w:rFonts w:ascii="宋体" w:hAnsi="宋体" w:eastAsia="宋体" w:cs="宋体"/>
          <w:sz w:val="23"/>
          <w:szCs w:val="23"/>
        </w:rPr>
      </w:pPr>
      <w:r>
        <w:rPr>
          <w:rFonts w:ascii="宋体" w:hAnsi="宋体" w:eastAsia="宋体" w:cs="宋体"/>
          <w:spacing w:val="14"/>
          <w:sz w:val="23"/>
          <w:szCs w:val="23"/>
        </w:rPr>
        <w:t>物</w:t>
      </w:r>
      <w:r>
        <w:rPr>
          <w:rFonts w:ascii="宋体" w:hAnsi="宋体" w:eastAsia="宋体" w:cs="宋体"/>
          <w:spacing w:val="9"/>
          <w:sz w:val="23"/>
          <w:szCs w:val="23"/>
        </w:rPr>
        <w:t>排放量小，生产工艺及管理可达到国内先进技术水平。</w:t>
      </w:r>
    </w:p>
    <w:p w14:paraId="6C02CEFD">
      <w:pPr>
        <w:sectPr>
          <w:headerReference r:id="rId284" w:type="default"/>
          <w:footerReference r:id="rId285" w:type="default"/>
          <w:pgSz w:w="11906" w:h="16839"/>
          <w:pgMar w:top="1113" w:right="1025" w:bottom="1157" w:left="1168" w:header="878" w:footer="994" w:gutter="0"/>
          <w:cols w:space="720" w:num="1"/>
        </w:sectPr>
      </w:pPr>
    </w:p>
    <w:p w14:paraId="42CBBDDD">
      <w:pPr>
        <w:spacing w:before="211" w:line="241" w:lineRule="auto"/>
        <w:ind w:left="11"/>
        <w:rPr>
          <w:rFonts w:ascii="宋体" w:hAnsi="宋体" w:eastAsia="宋体" w:cs="宋体"/>
          <w:sz w:val="31"/>
          <w:szCs w:val="31"/>
        </w:rPr>
      </w:pPr>
      <w:bookmarkStart w:id="57" w:name="_bookmark58"/>
      <w:bookmarkEnd w:id="57"/>
      <w:r>
        <w:rPr>
          <w:rFonts w:ascii="Times New Roman" w:hAnsi="Times New Roman" w:eastAsia="Times New Roman" w:cs="Times New Roman"/>
          <w:b/>
          <w:bCs/>
          <w:spacing w:val="-2"/>
          <w:sz w:val="31"/>
          <w:szCs w:val="31"/>
        </w:rPr>
        <w:t>8</w:t>
      </w:r>
      <w:r>
        <w:rPr>
          <w:rFonts w:ascii="Times New Roman" w:hAnsi="Times New Roman" w:eastAsia="Times New Roman" w:cs="Times New Roman"/>
          <w:spacing w:val="-1"/>
          <w:sz w:val="31"/>
          <w:szCs w:val="31"/>
        </w:rPr>
        <w:t xml:space="preserve"> </w:t>
      </w:r>
      <w:r>
        <w:rPr>
          <w:rFonts w:ascii="宋体" w:hAnsi="宋体" w:eastAsia="宋体" w:cs="宋体"/>
          <w:spacing w:val="-1"/>
          <w:sz w:val="31"/>
          <w:szCs w:val="31"/>
          <w14:textOutline w14:w="5791" w14:cap="sq" w14:cmpd="sng" w14:algn="ctr">
            <w14:solidFill>
              <w14:srgbClr w14:val="000000"/>
            </w14:solidFill>
            <w14:prstDash w14:val="solid"/>
            <w14:bevel/>
          </w14:textOutline>
        </w:rPr>
        <w:t>、环境风险分析</w:t>
      </w:r>
    </w:p>
    <w:p w14:paraId="1D3FAE2A">
      <w:pPr>
        <w:spacing w:before="207" w:line="375" w:lineRule="auto"/>
        <w:ind w:left="10" w:right="25" w:firstLine="480"/>
        <w:rPr>
          <w:rFonts w:ascii="宋体" w:hAnsi="宋体" w:eastAsia="宋体" w:cs="宋体"/>
          <w:sz w:val="23"/>
          <w:szCs w:val="23"/>
        </w:rPr>
      </w:pPr>
      <w:r>
        <w:rPr>
          <w:rFonts w:ascii="宋体" w:hAnsi="宋体" w:eastAsia="宋体" w:cs="宋体"/>
          <w:spacing w:val="14"/>
          <w:sz w:val="23"/>
          <w:szCs w:val="23"/>
        </w:rPr>
        <w:t>根据《建</w:t>
      </w:r>
      <w:r>
        <w:rPr>
          <w:rFonts w:ascii="宋体" w:hAnsi="宋体" w:eastAsia="宋体" w:cs="宋体"/>
          <w:spacing w:val="8"/>
          <w:sz w:val="23"/>
          <w:szCs w:val="23"/>
        </w:rPr>
        <w:t>设</w:t>
      </w:r>
      <w:r>
        <w:rPr>
          <w:rFonts w:ascii="宋体" w:hAnsi="宋体" w:eastAsia="宋体" w:cs="宋体"/>
          <w:spacing w:val="7"/>
          <w:sz w:val="23"/>
          <w:szCs w:val="23"/>
        </w:rPr>
        <w:t>项目环境风险评价技术导则》  (</w:t>
      </w:r>
      <w:r>
        <w:rPr>
          <w:rFonts w:ascii="Times New Roman" w:hAnsi="Times New Roman" w:eastAsia="Times New Roman" w:cs="Times New Roman"/>
          <w:sz w:val="23"/>
          <w:szCs w:val="23"/>
        </w:rPr>
        <w:t>HJ</w:t>
      </w:r>
      <w:r>
        <w:rPr>
          <w:rFonts w:ascii="Times New Roman" w:hAnsi="Times New Roman" w:eastAsia="Times New Roman" w:cs="Times New Roman"/>
          <w:spacing w:val="7"/>
          <w:sz w:val="23"/>
          <w:szCs w:val="23"/>
        </w:rPr>
        <w:t xml:space="preserve"> 169-2018</w:t>
      </w:r>
      <w:r>
        <w:rPr>
          <w:rFonts w:ascii="宋体" w:hAnsi="宋体" w:eastAsia="宋体" w:cs="宋体"/>
          <w:spacing w:val="7"/>
          <w:sz w:val="23"/>
          <w:szCs w:val="23"/>
        </w:rPr>
        <w:t>) 、《关于进一步加强环境影</w:t>
      </w:r>
      <w:r>
        <w:rPr>
          <w:rFonts w:ascii="宋体" w:hAnsi="宋体" w:eastAsia="宋体" w:cs="宋体"/>
          <w:sz w:val="23"/>
          <w:szCs w:val="23"/>
        </w:rPr>
        <w:t xml:space="preserve"> </w:t>
      </w:r>
      <w:r>
        <w:rPr>
          <w:rFonts w:ascii="宋体" w:hAnsi="宋体" w:eastAsia="宋体" w:cs="宋体"/>
          <w:spacing w:val="14"/>
          <w:sz w:val="23"/>
          <w:szCs w:val="23"/>
        </w:rPr>
        <w:t>响评</w:t>
      </w:r>
      <w:r>
        <w:rPr>
          <w:rFonts w:ascii="宋体" w:hAnsi="宋体" w:eastAsia="宋体" w:cs="宋体"/>
          <w:spacing w:val="13"/>
          <w:sz w:val="23"/>
          <w:szCs w:val="23"/>
        </w:rPr>
        <w:t>价</w:t>
      </w:r>
      <w:r>
        <w:rPr>
          <w:rFonts w:ascii="宋体" w:hAnsi="宋体" w:eastAsia="宋体" w:cs="宋体"/>
          <w:spacing w:val="7"/>
          <w:sz w:val="23"/>
          <w:szCs w:val="23"/>
        </w:rPr>
        <w:t>管理防范环境风险的通知》  (环发【</w:t>
      </w:r>
      <w:r>
        <w:rPr>
          <w:rFonts w:ascii="Times New Roman" w:hAnsi="Times New Roman" w:eastAsia="Times New Roman" w:cs="Times New Roman"/>
          <w:spacing w:val="7"/>
          <w:sz w:val="23"/>
          <w:szCs w:val="23"/>
        </w:rPr>
        <w:t>2012</w:t>
      </w:r>
      <w:r>
        <w:rPr>
          <w:rFonts w:ascii="宋体" w:hAnsi="宋体" w:eastAsia="宋体" w:cs="宋体"/>
          <w:spacing w:val="7"/>
          <w:sz w:val="23"/>
          <w:szCs w:val="23"/>
        </w:rPr>
        <w:t>】</w:t>
      </w:r>
      <w:r>
        <w:rPr>
          <w:rFonts w:ascii="Times New Roman" w:hAnsi="Times New Roman" w:eastAsia="Times New Roman" w:cs="Times New Roman"/>
          <w:spacing w:val="7"/>
          <w:sz w:val="23"/>
          <w:szCs w:val="23"/>
        </w:rPr>
        <w:t xml:space="preserve">77 </w:t>
      </w:r>
      <w:r>
        <w:rPr>
          <w:rFonts w:ascii="宋体" w:hAnsi="宋体" w:eastAsia="宋体" w:cs="宋体"/>
          <w:spacing w:val="7"/>
          <w:sz w:val="23"/>
          <w:szCs w:val="23"/>
        </w:rPr>
        <w:t>号) 、《关于切实加强风险防范严格</w:t>
      </w:r>
      <w:r>
        <w:rPr>
          <w:rFonts w:ascii="宋体" w:hAnsi="宋体" w:eastAsia="宋体" w:cs="宋体"/>
          <w:sz w:val="23"/>
          <w:szCs w:val="23"/>
        </w:rPr>
        <w:t xml:space="preserve"> </w:t>
      </w:r>
      <w:r>
        <w:rPr>
          <w:rFonts w:ascii="宋体" w:hAnsi="宋体" w:eastAsia="宋体" w:cs="宋体"/>
          <w:spacing w:val="14"/>
          <w:sz w:val="23"/>
          <w:szCs w:val="23"/>
        </w:rPr>
        <w:t>环境</w:t>
      </w:r>
      <w:r>
        <w:rPr>
          <w:rFonts w:ascii="宋体" w:hAnsi="宋体" w:eastAsia="宋体" w:cs="宋体"/>
          <w:spacing w:val="13"/>
          <w:sz w:val="23"/>
          <w:szCs w:val="23"/>
        </w:rPr>
        <w:t>影</w:t>
      </w:r>
      <w:r>
        <w:rPr>
          <w:rFonts w:ascii="宋体" w:hAnsi="宋体" w:eastAsia="宋体" w:cs="宋体"/>
          <w:spacing w:val="7"/>
          <w:sz w:val="23"/>
          <w:szCs w:val="23"/>
        </w:rPr>
        <w:t>响评价管理的通知》  (环发【</w:t>
      </w:r>
      <w:r>
        <w:rPr>
          <w:rFonts w:ascii="Times New Roman" w:hAnsi="Times New Roman" w:eastAsia="Times New Roman" w:cs="Times New Roman"/>
          <w:spacing w:val="7"/>
          <w:sz w:val="23"/>
          <w:szCs w:val="23"/>
        </w:rPr>
        <w:t>2012</w:t>
      </w:r>
      <w:r>
        <w:rPr>
          <w:rFonts w:ascii="宋体" w:hAnsi="宋体" w:eastAsia="宋体" w:cs="宋体"/>
          <w:spacing w:val="7"/>
          <w:sz w:val="23"/>
          <w:szCs w:val="23"/>
        </w:rPr>
        <w:t>】</w:t>
      </w:r>
      <w:r>
        <w:rPr>
          <w:rFonts w:ascii="Times New Roman" w:hAnsi="Times New Roman" w:eastAsia="Times New Roman" w:cs="Times New Roman"/>
          <w:spacing w:val="7"/>
          <w:sz w:val="23"/>
          <w:szCs w:val="23"/>
        </w:rPr>
        <w:t xml:space="preserve">98 </w:t>
      </w:r>
      <w:r>
        <w:rPr>
          <w:rFonts w:ascii="宋体" w:hAnsi="宋体" w:eastAsia="宋体" w:cs="宋体"/>
          <w:spacing w:val="7"/>
          <w:sz w:val="23"/>
          <w:szCs w:val="23"/>
        </w:rPr>
        <w:t>号) ，环境风险评价的目的是分析和预测建</w:t>
      </w:r>
      <w:r>
        <w:rPr>
          <w:rFonts w:ascii="宋体" w:hAnsi="宋体" w:eastAsia="宋体" w:cs="宋体"/>
          <w:sz w:val="23"/>
          <w:szCs w:val="23"/>
        </w:rPr>
        <w:t xml:space="preserve"> </w:t>
      </w:r>
      <w:r>
        <w:rPr>
          <w:rFonts w:ascii="宋体" w:hAnsi="宋体" w:eastAsia="宋体" w:cs="宋体"/>
          <w:spacing w:val="3"/>
          <w:sz w:val="23"/>
          <w:szCs w:val="23"/>
        </w:rPr>
        <w:t>设项目存在的潜在危险、有害因素，建设项目建设和运行期间可能发生的突发性事件或</w:t>
      </w:r>
      <w:r>
        <w:rPr>
          <w:rFonts w:ascii="宋体" w:hAnsi="宋体" w:eastAsia="宋体" w:cs="宋体"/>
          <w:spacing w:val="2"/>
          <w:sz w:val="23"/>
          <w:szCs w:val="23"/>
        </w:rPr>
        <w:t>事</w:t>
      </w:r>
      <w:r>
        <w:rPr>
          <w:rFonts w:ascii="宋体" w:hAnsi="宋体" w:eastAsia="宋体" w:cs="宋体"/>
          <w:sz w:val="23"/>
          <w:szCs w:val="23"/>
        </w:rPr>
        <w:t xml:space="preserve">故， </w:t>
      </w:r>
      <w:r>
        <w:rPr>
          <w:rFonts w:ascii="宋体" w:hAnsi="宋体" w:eastAsia="宋体" w:cs="宋体"/>
          <w:spacing w:val="12"/>
          <w:sz w:val="23"/>
          <w:szCs w:val="23"/>
        </w:rPr>
        <w:t>引</w:t>
      </w:r>
      <w:r>
        <w:rPr>
          <w:rFonts w:ascii="宋体" w:hAnsi="宋体" w:eastAsia="宋体" w:cs="宋体"/>
          <w:spacing w:val="7"/>
          <w:sz w:val="23"/>
          <w:szCs w:val="23"/>
        </w:rPr>
        <w:t>起有毒有害和易燃易爆等物质泄漏，所造成的人身安全与环境影响和损害程度，提出合理</w:t>
      </w:r>
      <w:r>
        <w:rPr>
          <w:rFonts w:ascii="宋体" w:hAnsi="宋体" w:eastAsia="宋体" w:cs="宋体"/>
          <w:sz w:val="23"/>
          <w:szCs w:val="23"/>
        </w:rPr>
        <w:t xml:space="preserve"> </w:t>
      </w:r>
      <w:r>
        <w:rPr>
          <w:rFonts w:ascii="宋体" w:hAnsi="宋体" w:eastAsia="宋体" w:cs="宋体"/>
          <w:spacing w:val="12"/>
          <w:sz w:val="23"/>
          <w:szCs w:val="23"/>
        </w:rPr>
        <w:t>可</w:t>
      </w:r>
      <w:r>
        <w:rPr>
          <w:rFonts w:ascii="宋体" w:hAnsi="宋体" w:eastAsia="宋体" w:cs="宋体"/>
          <w:spacing w:val="7"/>
          <w:sz w:val="23"/>
          <w:szCs w:val="23"/>
        </w:rPr>
        <w:t>行的防范、应急与减缓措施，以使建设项目事故率、损失和环境影响达到可接受水平，因</w:t>
      </w:r>
      <w:r>
        <w:rPr>
          <w:rFonts w:ascii="宋体" w:hAnsi="宋体" w:eastAsia="宋体" w:cs="宋体"/>
          <w:sz w:val="23"/>
          <w:szCs w:val="23"/>
        </w:rPr>
        <w:t xml:space="preserve"> </w:t>
      </w:r>
      <w:r>
        <w:rPr>
          <w:rFonts w:ascii="宋体" w:hAnsi="宋体" w:eastAsia="宋体" w:cs="宋体"/>
          <w:spacing w:val="12"/>
          <w:sz w:val="23"/>
          <w:szCs w:val="23"/>
        </w:rPr>
        <w:t>此</w:t>
      </w:r>
      <w:r>
        <w:rPr>
          <w:rFonts w:ascii="宋体" w:hAnsi="宋体" w:eastAsia="宋体" w:cs="宋体"/>
          <w:spacing w:val="9"/>
          <w:sz w:val="23"/>
          <w:szCs w:val="23"/>
        </w:rPr>
        <w:t>要加强环境风险管理，切实有效的防范环境风险。</w:t>
      </w:r>
    </w:p>
    <w:p w14:paraId="2F0943CC">
      <w:pPr>
        <w:spacing w:line="218" w:lineRule="auto"/>
        <w:ind w:left="10"/>
        <w:outlineLvl w:val="1"/>
        <w:rPr>
          <w:rFonts w:ascii="宋体" w:hAnsi="宋体" w:eastAsia="宋体" w:cs="宋体"/>
          <w:sz w:val="28"/>
          <w:szCs w:val="28"/>
        </w:rPr>
      </w:pPr>
      <w:bookmarkStart w:id="58" w:name="_bookmark59"/>
      <w:bookmarkEnd w:id="58"/>
      <w:r>
        <w:rPr>
          <w:rFonts w:ascii="Times New Roman" w:hAnsi="Times New Roman" w:eastAsia="Times New Roman" w:cs="Times New Roman"/>
          <w:b/>
          <w:bCs/>
          <w:spacing w:val="-1"/>
          <w:sz w:val="28"/>
          <w:szCs w:val="28"/>
        </w:rPr>
        <w:t>8.1</w:t>
      </w:r>
      <w:r>
        <w:rPr>
          <w:rFonts w:ascii="Times New Roman" w:hAnsi="Times New Roman" w:eastAsia="Times New Roman" w:cs="Times New Roman"/>
          <w:spacing w:val="-1"/>
          <w:sz w:val="28"/>
          <w:szCs w:val="28"/>
        </w:rPr>
        <w:t xml:space="preserve">  </w:t>
      </w:r>
      <w:r>
        <w:rPr>
          <w:rFonts w:ascii="宋体" w:hAnsi="宋体" w:eastAsia="宋体" w:cs="宋体"/>
          <w:spacing w:val="-1"/>
          <w:sz w:val="28"/>
          <w:szCs w:val="28"/>
          <w14:textOutline w14:w="5105" w14:cap="sq" w14:cmpd="sng" w14:algn="ctr">
            <w14:solidFill>
              <w14:srgbClr w14:val="000000"/>
            </w14:solidFill>
            <w14:prstDash w14:val="solid"/>
            <w14:bevel/>
          </w14:textOutline>
        </w:rPr>
        <w:t>评价</w:t>
      </w:r>
      <w:r>
        <w:rPr>
          <w:rFonts w:ascii="宋体" w:hAnsi="宋体" w:eastAsia="宋体" w:cs="宋体"/>
          <w:sz w:val="28"/>
          <w:szCs w:val="28"/>
          <w14:textOutline w14:w="5105" w14:cap="sq" w14:cmpd="sng" w14:algn="ctr">
            <w14:solidFill>
              <w14:srgbClr w14:val="000000"/>
            </w14:solidFill>
            <w14:prstDash w14:val="solid"/>
            <w14:bevel/>
          </w14:textOutline>
        </w:rPr>
        <w:t>依据</w:t>
      </w:r>
    </w:p>
    <w:p w14:paraId="117AA7FA">
      <w:pPr>
        <w:spacing w:before="207" w:line="228" w:lineRule="auto"/>
        <w:ind w:left="9"/>
        <w:outlineLvl w:val="2"/>
        <w:rPr>
          <w:rFonts w:ascii="宋体" w:hAnsi="宋体" w:eastAsia="宋体" w:cs="宋体"/>
          <w:sz w:val="23"/>
          <w:szCs w:val="23"/>
        </w:rPr>
      </w:pPr>
      <w:r>
        <w:rPr>
          <w:rFonts w:ascii="Times New Roman" w:hAnsi="Times New Roman" w:eastAsia="Times New Roman" w:cs="Times New Roman"/>
          <w:b/>
          <w:bCs/>
          <w:spacing w:val="10"/>
          <w:sz w:val="23"/>
          <w:szCs w:val="23"/>
        </w:rPr>
        <w:t>8</w:t>
      </w:r>
      <w:r>
        <w:rPr>
          <w:rFonts w:ascii="Times New Roman" w:hAnsi="Times New Roman" w:eastAsia="Times New Roman" w:cs="Times New Roman"/>
          <w:b/>
          <w:bCs/>
          <w:spacing w:val="6"/>
          <w:sz w:val="23"/>
          <w:szCs w:val="23"/>
        </w:rPr>
        <w:t>.</w:t>
      </w:r>
      <w:r>
        <w:rPr>
          <w:rFonts w:ascii="Times New Roman" w:hAnsi="Times New Roman" w:eastAsia="Times New Roman" w:cs="Times New Roman"/>
          <w:b/>
          <w:bCs/>
          <w:spacing w:val="5"/>
          <w:sz w:val="23"/>
          <w:szCs w:val="23"/>
        </w:rPr>
        <w:t>1.1</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风险调查</w:t>
      </w:r>
    </w:p>
    <w:p w14:paraId="298AE482">
      <w:pPr>
        <w:spacing w:before="184" w:line="466" w:lineRule="exact"/>
        <w:ind w:left="501"/>
        <w:rPr>
          <w:rFonts w:ascii="宋体" w:hAnsi="宋体" w:eastAsia="宋体" w:cs="宋体"/>
          <w:sz w:val="23"/>
          <w:szCs w:val="23"/>
        </w:rPr>
      </w:pPr>
      <w:r>
        <w:rPr>
          <w:rFonts w:ascii="宋体" w:hAnsi="宋体" w:eastAsia="宋体" w:cs="宋体"/>
          <w:spacing w:val="19"/>
          <w:position w:val="17"/>
          <w:sz w:val="23"/>
          <w:szCs w:val="23"/>
        </w:rPr>
        <w:t>(</w:t>
      </w:r>
      <w:r>
        <w:rPr>
          <w:rFonts w:ascii="Times New Roman" w:hAnsi="Times New Roman" w:eastAsia="Times New Roman" w:cs="Times New Roman"/>
          <w:spacing w:val="15"/>
          <w:position w:val="17"/>
          <w:sz w:val="23"/>
          <w:szCs w:val="23"/>
        </w:rPr>
        <w:t>1</w:t>
      </w:r>
      <w:r>
        <w:rPr>
          <w:rFonts w:ascii="宋体" w:hAnsi="宋体" w:eastAsia="宋体" w:cs="宋体"/>
          <w:spacing w:val="15"/>
          <w:position w:val="17"/>
          <w:sz w:val="23"/>
          <w:szCs w:val="23"/>
        </w:rPr>
        <w:t>) 项目涉及的危险物质调查</w:t>
      </w:r>
    </w:p>
    <w:p w14:paraId="506D1C07">
      <w:pPr>
        <w:spacing w:line="226" w:lineRule="auto"/>
        <w:ind w:left="494"/>
        <w:rPr>
          <w:rFonts w:ascii="宋体" w:hAnsi="宋体" w:eastAsia="宋体" w:cs="宋体"/>
          <w:sz w:val="23"/>
          <w:szCs w:val="23"/>
        </w:rPr>
      </w:pPr>
      <w:r>
        <w:rPr>
          <w:rFonts w:ascii="宋体" w:hAnsi="宋体" w:eastAsia="宋体" w:cs="宋体"/>
          <w:spacing w:val="14"/>
          <w:sz w:val="23"/>
          <w:szCs w:val="23"/>
        </w:rPr>
        <w:t>项</w:t>
      </w:r>
      <w:r>
        <w:rPr>
          <w:rFonts w:ascii="宋体" w:hAnsi="宋体" w:eastAsia="宋体" w:cs="宋体"/>
          <w:spacing w:val="8"/>
          <w:sz w:val="23"/>
          <w:szCs w:val="23"/>
        </w:rPr>
        <w:t>目涉及到的危险因素为消毒剂。</w:t>
      </w:r>
    </w:p>
    <w:p w14:paraId="04D9195B">
      <w:pPr>
        <w:spacing w:before="185" w:line="365" w:lineRule="auto"/>
        <w:ind w:left="12" w:right="84" w:firstLine="481"/>
        <w:rPr>
          <w:rFonts w:ascii="宋体" w:hAnsi="宋体" w:eastAsia="宋体" w:cs="宋体"/>
          <w:sz w:val="23"/>
          <w:szCs w:val="23"/>
        </w:rPr>
      </w:pPr>
      <w:r>
        <w:rPr>
          <w:rFonts w:ascii="宋体" w:hAnsi="宋体" w:eastAsia="宋体" w:cs="宋体"/>
          <w:spacing w:val="12"/>
          <w:sz w:val="23"/>
          <w:szCs w:val="23"/>
        </w:rPr>
        <w:t>项目猪</w:t>
      </w:r>
      <w:r>
        <w:rPr>
          <w:rFonts w:ascii="宋体" w:hAnsi="宋体" w:eastAsia="宋体" w:cs="宋体"/>
          <w:spacing w:val="9"/>
          <w:sz w:val="23"/>
          <w:szCs w:val="23"/>
        </w:rPr>
        <w:t>场</w:t>
      </w:r>
      <w:r>
        <w:rPr>
          <w:rFonts w:ascii="宋体" w:hAnsi="宋体" w:eastAsia="宋体" w:cs="宋体"/>
          <w:spacing w:val="6"/>
          <w:sz w:val="23"/>
          <w:szCs w:val="23"/>
        </w:rPr>
        <w:t>消毒需要使用到的消毒液有烧碱、卫可 (过硫酸氢钾复合物) 、戊二醛等消毒</w:t>
      </w:r>
      <w:r>
        <w:rPr>
          <w:rFonts w:ascii="宋体" w:hAnsi="宋体" w:eastAsia="宋体" w:cs="宋体"/>
          <w:sz w:val="23"/>
          <w:szCs w:val="23"/>
        </w:rPr>
        <w:t xml:space="preserve"> </w:t>
      </w:r>
      <w:r>
        <w:rPr>
          <w:rFonts w:ascii="宋体" w:hAnsi="宋体" w:eastAsia="宋体" w:cs="宋体"/>
          <w:spacing w:val="8"/>
          <w:sz w:val="23"/>
          <w:szCs w:val="23"/>
        </w:rPr>
        <w:t>液</w:t>
      </w:r>
      <w:r>
        <w:rPr>
          <w:rFonts w:ascii="宋体" w:hAnsi="宋体" w:eastAsia="宋体" w:cs="宋体"/>
          <w:spacing w:val="5"/>
          <w:sz w:val="23"/>
          <w:szCs w:val="23"/>
        </w:rPr>
        <w:t xml:space="preserve">。消毒液年使用约 </w:t>
      </w:r>
      <w:r>
        <w:rPr>
          <w:rFonts w:ascii="Times New Roman" w:hAnsi="Times New Roman" w:eastAsia="Times New Roman" w:cs="Times New Roman"/>
          <w:spacing w:val="5"/>
          <w:sz w:val="23"/>
          <w:szCs w:val="23"/>
        </w:rPr>
        <w:t xml:space="preserve">1800 </w:t>
      </w:r>
      <w:r>
        <w:rPr>
          <w:rFonts w:ascii="宋体" w:hAnsi="宋体" w:eastAsia="宋体" w:cs="宋体"/>
          <w:spacing w:val="5"/>
          <w:sz w:val="23"/>
          <w:szCs w:val="23"/>
        </w:rPr>
        <w:t xml:space="preserve">瓶，项目内储存量不大，最大储存量约 </w:t>
      </w:r>
      <w:r>
        <w:rPr>
          <w:rFonts w:ascii="Times New Roman" w:hAnsi="Times New Roman" w:eastAsia="Times New Roman" w:cs="Times New Roman"/>
          <w:spacing w:val="5"/>
          <w:sz w:val="23"/>
          <w:szCs w:val="23"/>
        </w:rPr>
        <w:t xml:space="preserve">100 </w:t>
      </w:r>
      <w:r>
        <w:rPr>
          <w:rFonts w:ascii="宋体" w:hAnsi="宋体" w:eastAsia="宋体" w:cs="宋体"/>
          <w:spacing w:val="5"/>
          <w:sz w:val="23"/>
          <w:szCs w:val="23"/>
        </w:rPr>
        <w:t>瓶 (</w:t>
      </w:r>
      <w:r>
        <w:rPr>
          <w:rFonts w:ascii="Times New Roman" w:hAnsi="Times New Roman" w:eastAsia="Times New Roman" w:cs="Times New Roman"/>
          <w:spacing w:val="5"/>
          <w:sz w:val="23"/>
          <w:szCs w:val="23"/>
        </w:rPr>
        <w:t>0.5</w:t>
      </w:r>
      <w:r>
        <w:rPr>
          <w:rFonts w:ascii="Times New Roman" w:hAnsi="Times New Roman" w:eastAsia="Times New Roman" w:cs="Times New Roman"/>
          <w:sz w:val="23"/>
          <w:szCs w:val="23"/>
        </w:rPr>
        <w:t>L</w:t>
      </w:r>
      <w:r>
        <w:rPr>
          <w:rFonts w:ascii="Times New Roman" w:hAnsi="Times New Roman" w:eastAsia="Times New Roman" w:cs="Times New Roman"/>
          <w:spacing w:val="5"/>
          <w:sz w:val="23"/>
          <w:szCs w:val="23"/>
        </w:rPr>
        <w:t>/</w:t>
      </w:r>
      <w:r>
        <w:rPr>
          <w:rFonts w:ascii="宋体" w:hAnsi="宋体" w:eastAsia="宋体" w:cs="宋体"/>
          <w:spacing w:val="5"/>
          <w:sz w:val="23"/>
          <w:szCs w:val="23"/>
        </w:rPr>
        <w:t>瓶) ，远小</w:t>
      </w:r>
      <w:r>
        <w:rPr>
          <w:rFonts w:ascii="宋体" w:hAnsi="宋体" w:eastAsia="宋体" w:cs="宋体"/>
          <w:sz w:val="23"/>
          <w:szCs w:val="23"/>
        </w:rPr>
        <w:t xml:space="preserve"> </w:t>
      </w:r>
      <w:r>
        <w:rPr>
          <w:rFonts w:ascii="宋体" w:hAnsi="宋体" w:eastAsia="宋体" w:cs="宋体"/>
          <w:spacing w:val="6"/>
          <w:sz w:val="23"/>
          <w:szCs w:val="23"/>
        </w:rPr>
        <w:t xml:space="preserve">于危险化学品临界量 (有机过氧化物 </w:t>
      </w:r>
      <w:r>
        <w:rPr>
          <w:rFonts w:ascii="Times New Roman" w:hAnsi="Times New Roman" w:eastAsia="Times New Roman" w:cs="Times New Roman"/>
          <w:spacing w:val="6"/>
          <w:sz w:val="23"/>
          <w:szCs w:val="23"/>
        </w:rPr>
        <w:t>10</w:t>
      </w:r>
      <w:r>
        <w:rPr>
          <w:rFonts w:ascii="Times New Roman" w:hAnsi="Times New Roman" w:eastAsia="Times New Roman" w:cs="Times New Roman"/>
          <w:sz w:val="23"/>
          <w:szCs w:val="23"/>
        </w:rPr>
        <w:t>t</w:t>
      </w:r>
      <w:r>
        <w:rPr>
          <w:rFonts w:ascii="宋体" w:hAnsi="宋体" w:eastAsia="宋体" w:cs="宋体"/>
          <w:spacing w:val="6"/>
          <w:sz w:val="23"/>
          <w:szCs w:val="23"/>
        </w:rPr>
        <w:t>) ，不构成危险。</w:t>
      </w:r>
    </w:p>
    <w:p w14:paraId="17AE5F40">
      <w:pPr>
        <w:spacing w:before="2" w:line="339" w:lineRule="auto"/>
        <w:ind w:left="15" w:right="40" w:firstLine="473"/>
        <w:rPr>
          <w:rFonts w:ascii="宋体" w:hAnsi="宋体" w:eastAsia="宋体" w:cs="宋体"/>
          <w:sz w:val="23"/>
          <w:szCs w:val="23"/>
        </w:rPr>
      </w:pPr>
      <w:r>
        <w:rPr>
          <w:rFonts w:ascii="宋体" w:hAnsi="宋体" w:eastAsia="宋体" w:cs="宋体"/>
          <w:spacing w:val="10"/>
          <w:sz w:val="23"/>
          <w:szCs w:val="23"/>
        </w:rPr>
        <w:t>烧</w:t>
      </w:r>
      <w:r>
        <w:rPr>
          <w:rFonts w:ascii="宋体" w:hAnsi="宋体" w:eastAsia="宋体" w:cs="宋体"/>
          <w:spacing w:val="5"/>
          <w:sz w:val="23"/>
          <w:szCs w:val="23"/>
        </w:rPr>
        <w:t>碱即氢氧化钠，</w:t>
      </w:r>
      <w:r>
        <w:fldChar w:fldCharType="begin"/>
      </w:r>
      <w:r>
        <w:instrText xml:space="preserve"> HYPERLINK "https://baike.baidu.com/item/%E5%8C%96%E5%AD%A6%E5%BC%8F/2609855" </w:instrText>
      </w:r>
      <w:r>
        <w:fldChar w:fldCharType="separate"/>
      </w:r>
      <w:r>
        <w:rPr>
          <w:rFonts w:ascii="宋体" w:hAnsi="宋体" w:eastAsia="宋体" w:cs="宋体"/>
          <w:spacing w:val="5"/>
          <w:sz w:val="23"/>
          <w:szCs w:val="23"/>
        </w:rPr>
        <w:t>化学式</w:t>
      </w:r>
      <w:r>
        <w:rPr>
          <w:rFonts w:ascii="宋体" w:hAnsi="宋体" w:eastAsia="宋体" w:cs="宋体"/>
          <w:spacing w:val="5"/>
          <w:sz w:val="23"/>
          <w:szCs w:val="23"/>
        </w:rPr>
        <w:fldChar w:fldCharType="end"/>
      </w:r>
      <w:r>
        <w:rPr>
          <w:rFonts w:ascii="宋体" w:hAnsi="宋体" w:eastAsia="宋体" w:cs="宋体"/>
          <w:spacing w:val="5"/>
          <w:sz w:val="23"/>
          <w:szCs w:val="23"/>
        </w:rPr>
        <w:t xml:space="preserve">为 </w:t>
      </w:r>
      <w:r>
        <w:rPr>
          <w:rFonts w:ascii="Times New Roman" w:hAnsi="Times New Roman" w:eastAsia="Times New Roman" w:cs="Times New Roman"/>
          <w:sz w:val="23"/>
          <w:szCs w:val="23"/>
        </w:rPr>
        <w:t>NaOH</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，俗称烧碱、火碱、苛性钠，为一种具有强</w:t>
      </w:r>
      <w:r>
        <w:fldChar w:fldCharType="begin"/>
      </w:r>
      <w:r>
        <w:instrText xml:space="preserve"> HYPERLINK "https://baike.baidu.com/item/%E8%85%90%E8%9A%80%E6%80%A7/770500" </w:instrText>
      </w:r>
      <w:r>
        <w:fldChar w:fldCharType="separate"/>
      </w:r>
      <w:r>
        <w:rPr>
          <w:rFonts w:ascii="宋体" w:hAnsi="宋体" w:eastAsia="宋体" w:cs="宋体"/>
          <w:spacing w:val="5"/>
          <w:sz w:val="23"/>
          <w:szCs w:val="23"/>
        </w:rPr>
        <w:t>腐蚀性</w:t>
      </w:r>
      <w:r>
        <w:rPr>
          <w:rFonts w:ascii="宋体" w:hAnsi="宋体" w:eastAsia="宋体" w:cs="宋体"/>
          <w:spacing w:val="5"/>
          <w:sz w:val="23"/>
          <w:szCs w:val="23"/>
        </w:rPr>
        <w:fldChar w:fldCharType="end"/>
      </w:r>
      <w:r>
        <w:rPr>
          <w:rFonts w:ascii="宋体" w:hAnsi="宋体" w:eastAsia="宋体" w:cs="宋体"/>
          <w:spacing w:val="5"/>
          <w:sz w:val="23"/>
          <w:szCs w:val="23"/>
        </w:rPr>
        <w:t>的</w:t>
      </w:r>
      <w:r>
        <w:rPr>
          <w:rFonts w:ascii="宋体" w:hAnsi="宋体" w:eastAsia="宋体" w:cs="宋体"/>
          <w:sz w:val="23"/>
          <w:szCs w:val="23"/>
        </w:rPr>
        <w:t xml:space="preserve"> </w:t>
      </w:r>
      <w:r>
        <w:fldChar w:fldCharType="begin"/>
      </w:r>
      <w:r>
        <w:instrText xml:space="preserve"> HYPERLINK "https://baike.baidu.com/item/%E5%BC%BA%E7%A2%B1/9177996" </w:instrText>
      </w:r>
      <w:r>
        <w:fldChar w:fldCharType="separate"/>
      </w:r>
      <w:r>
        <w:rPr>
          <w:rFonts w:ascii="宋体" w:hAnsi="宋体" w:eastAsia="宋体" w:cs="宋体"/>
          <w:spacing w:val="14"/>
          <w:sz w:val="23"/>
          <w:szCs w:val="23"/>
        </w:rPr>
        <w:t>强碱</w:t>
      </w:r>
      <w:r>
        <w:rPr>
          <w:rFonts w:ascii="宋体" w:hAnsi="宋体" w:eastAsia="宋体" w:cs="宋体"/>
          <w:spacing w:val="14"/>
          <w:sz w:val="23"/>
          <w:szCs w:val="23"/>
        </w:rPr>
        <w:fldChar w:fldCharType="end"/>
      </w:r>
      <w:r>
        <w:rPr>
          <w:rFonts w:ascii="宋体" w:hAnsi="宋体" w:eastAsia="宋体" w:cs="宋体"/>
          <w:spacing w:val="14"/>
          <w:sz w:val="23"/>
          <w:szCs w:val="23"/>
        </w:rPr>
        <w:t>，一</w:t>
      </w:r>
      <w:r>
        <w:rPr>
          <w:rFonts w:ascii="宋体" w:hAnsi="宋体" w:eastAsia="宋体" w:cs="宋体"/>
          <w:spacing w:val="11"/>
          <w:sz w:val="23"/>
          <w:szCs w:val="23"/>
        </w:rPr>
        <w:t>般</w:t>
      </w:r>
      <w:r>
        <w:rPr>
          <w:rFonts w:ascii="宋体" w:hAnsi="宋体" w:eastAsia="宋体" w:cs="宋体"/>
          <w:spacing w:val="7"/>
          <w:sz w:val="23"/>
          <w:szCs w:val="23"/>
        </w:rPr>
        <w:t>为片状或块状形态，易溶于水 (溶于水时放热) 并形成碱性溶液，另有</w:t>
      </w:r>
      <w:r>
        <w:fldChar w:fldCharType="begin"/>
      </w:r>
      <w:r>
        <w:instrText xml:space="preserve"> HYPERLINK "https://baike.baidu.com/item/%E6%BD%AE%E8%A7%A3%E6%80%A7/9184881" </w:instrText>
      </w:r>
      <w:r>
        <w:fldChar w:fldCharType="separate"/>
      </w:r>
      <w:r>
        <w:rPr>
          <w:rFonts w:ascii="宋体" w:hAnsi="宋体" w:eastAsia="宋体" w:cs="宋体"/>
          <w:spacing w:val="7"/>
          <w:sz w:val="23"/>
          <w:szCs w:val="23"/>
        </w:rPr>
        <w:t>潮解性</w:t>
      </w:r>
      <w:r>
        <w:rPr>
          <w:rFonts w:ascii="宋体" w:hAnsi="宋体" w:eastAsia="宋体" w:cs="宋体"/>
          <w:spacing w:val="7"/>
          <w:sz w:val="23"/>
          <w:szCs w:val="23"/>
        </w:rPr>
        <w:fldChar w:fldCharType="end"/>
      </w:r>
      <w:r>
        <w:rPr>
          <w:rFonts w:ascii="宋体" w:hAnsi="宋体" w:eastAsia="宋体" w:cs="宋体"/>
          <w:spacing w:val="7"/>
          <w:sz w:val="23"/>
          <w:szCs w:val="23"/>
        </w:rPr>
        <w:t>，</w:t>
      </w:r>
      <w:r>
        <w:rPr>
          <w:rFonts w:ascii="宋体" w:hAnsi="宋体" w:eastAsia="宋体" w:cs="宋体"/>
          <w:sz w:val="23"/>
          <w:szCs w:val="23"/>
        </w:rPr>
        <w:t xml:space="preserve"> </w:t>
      </w:r>
      <w:r>
        <w:rPr>
          <w:rFonts w:ascii="宋体" w:hAnsi="宋体" w:eastAsia="宋体" w:cs="宋体"/>
          <w:spacing w:val="12"/>
          <w:sz w:val="23"/>
          <w:szCs w:val="23"/>
        </w:rPr>
        <w:t>易吸取</w:t>
      </w:r>
      <w:r>
        <w:fldChar w:fldCharType="begin"/>
      </w:r>
      <w:r>
        <w:instrText xml:space="preserve"> HYPERLINK "https://baike.baidu.com/item/%E7%A9%BA%E6%B0%94/2735809" </w:instrText>
      </w:r>
      <w:r>
        <w:fldChar w:fldCharType="separate"/>
      </w:r>
      <w:r>
        <w:rPr>
          <w:rFonts w:ascii="宋体" w:hAnsi="宋体" w:eastAsia="宋体" w:cs="宋体"/>
          <w:spacing w:val="8"/>
          <w:sz w:val="23"/>
          <w:szCs w:val="23"/>
        </w:rPr>
        <w:t>空</w:t>
      </w:r>
      <w:r>
        <w:rPr>
          <w:rFonts w:ascii="宋体" w:hAnsi="宋体" w:eastAsia="宋体" w:cs="宋体"/>
          <w:spacing w:val="6"/>
          <w:sz w:val="23"/>
          <w:szCs w:val="23"/>
        </w:rPr>
        <w:t>气</w:t>
      </w:r>
      <w:r>
        <w:rPr>
          <w:rFonts w:ascii="宋体" w:hAnsi="宋体" w:eastAsia="宋体" w:cs="宋体"/>
          <w:spacing w:val="6"/>
          <w:sz w:val="23"/>
          <w:szCs w:val="23"/>
        </w:rPr>
        <w:fldChar w:fldCharType="end"/>
      </w:r>
      <w:r>
        <w:rPr>
          <w:rFonts w:ascii="宋体" w:hAnsi="宋体" w:eastAsia="宋体" w:cs="宋体"/>
          <w:spacing w:val="6"/>
          <w:sz w:val="23"/>
          <w:szCs w:val="23"/>
        </w:rPr>
        <w:t>中的水蒸气 (潮解) 和二氧化碳 (变质) 。该品有强烈刺激和腐蚀性。粉尘或烟</w:t>
      </w:r>
    </w:p>
    <w:p w14:paraId="1788CDA7">
      <w:pPr>
        <w:spacing w:before="168" w:line="375" w:lineRule="auto"/>
        <w:ind w:left="14" w:right="85" w:hanging="2"/>
        <w:rPr>
          <w:rFonts w:ascii="宋体" w:hAnsi="宋体" w:eastAsia="宋体" w:cs="宋体"/>
          <w:sz w:val="23"/>
          <w:szCs w:val="23"/>
        </w:rPr>
      </w:pPr>
      <w:r>
        <w:rPr>
          <w:rFonts w:ascii="宋体" w:hAnsi="宋体" w:eastAsia="宋体" w:cs="宋体"/>
          <w:spacing w:val="22"/>
          <w:sz w:val="23"/>
          <w:szCs w:val="23"/>
        </w:rPr>
        <w:t>雾</w:t>
      </w:r>
      <w:r>
        <w:rPr>
          <w:rFonts w:ascii="宋体" w:hAnsi="宋体" w:eastAsia="宋体" w:cs="宋体"/>
          <w:spacing w:val="14"/>
          <w:sz w:val="23"/>
          <w:szCs w:val="23"/>
        </w:rPr>
        <w:t>会</w:t>
      </w:r>
      <w:r>
        <w:rPr>
          <w:rFonts w:ascii="宋体" w:hAnsi="宋体" w:eastAsia="宋体" w:cs="宋体"/>
          <w:spacing w:val="11"/>
          <w:sz w:val="23"/>
          <w:szCs w:val="23"/>
        </w:rPr>
        <w:t xml:space="preserve">刺激眼和呼吸道，腐蚀鼻中隔，皮肤和眼与 </w:t>
      </w:r>
      <w:r>
        <w:rPr>
          <w:rFonts w:ascii="Times New Roman" w:hAnsi="Times New Roman" w:eastAsia="Times New Roman" w:cs="Times New Roman"/>
          <w:sz w:val="23"/>
          <w:szCs w:val="23"/>
        </w:rPr>
        <w:t>NaOH</w:t>
      </w:r>
      <w:r>
        <w:rPr>
          <w:rFonts w:ascii="Times New Roman" w:hAnsi="Times New Roman" w:eastAsia="Times New Roman" w:cs="Times New Roman"/>
          <w:spacing w:val="11"/>
          <w:sz w:val="23"/>
          <w:szCs w:val="23"/>
        </w:rPr>
        <w:t xml:space="preserve"> </w:t>
      </w:r>
      <w:r>
        <w:rPr>
          <w:rFonts w:ascii="宋体" w:hAnsi="宋体" w:eastAsia="宋体" w:cs="宋体"/>
          <w:spacing w:val="11"/>
          <w:sz w:val="23"/>
          <w:szCs w:val="23"/>
        </w:rPr>
        <w:t>直接接触会引起灼伤，误服可造成</w:t>
      </w:r>
      <w:r>
        <w:rPr>
          <w:rFonts w:ascii="宋体" w:hAnsi="宋体" w:eastAsia="宋体" w:cs="宋体"/>
          <w:sz w:val="23"/>
          <w:szCs w:val="23"/>
        </w:rPr>
        <w:t xml:space="preserve"> </w:t>
      </w:r>
      <w:r>
        <w:rPr>
          <w:rFonts w:ascii="宋体" w:hAnsi="宋体" w:eastAsia="宋体" w:cs="宋体"/>
          <w:spacing w:val="16"/>
          <w:sz w:val="23"/>
          <w:szCs w:val="23"/>
        </w:rPr>
        <w:t>消</w:t>
      </w:r>
      <w:r>
        <w:rPr>
          <w:rFonts w:ascii="宋体" w:hAnsi="宋体" w:eastAsia="宋体" w:cs="宋体"/>
          <w:spacing w:val="9"/>
          <w:sz w:val="23"/>
          <w:szCs w:val="23"/>
        </w:rPr>
        <w:t>化</w:t>
      </w:r>
      <w:r>
        <w:rPr>
          <w:rFonts w:ascii="宋体" w:hAnsi="宋体" w:eastAsia="宋体" w:cs="宋体"/>
          <w:spacing w:val="8"/>
          <w:sz w:val="23"/>
          <w:szCs w:val="23"/>
        </w:rPr>
        <w:t>道灼伤，粘膜糜烂、出血和休克。</w:t>
      </w:r>
    </w:p>
    <w:p w14:paraId="76464A5E">
      <w:pPr>
        <w:spacing w:before="2" w:line="374" w:lineRule="auto"/>
        <w:ind w:left="14" w:right="2" w:firstLine="477"/>
        <w:rPr>
          <w:rFonts w:ascii="宋体" w:hAnsi="宋体" w:eastAsia="宋体" w:cs="宋体"/>
          <w:sz w:val="23"/>
          <w:szCs w:val="23"/>
        </w:rPr>
      </w:pPr>
      <w:r>
        <w:rPr>
          <w:rFonts w:ascii="宋体" w:hAnsi="宋体" w:eastAsia="宋体" w:cs="宋体"/>
          <w:spacing w:val="8"/>
          <w:sz w:val="23"/>
          <w:szCs w:val="23"/>
        </w:rPr>
        <w:t>戊二醛</w:t>
      </w:r>
      <w:r>
        <w:rPr>
          <w:rFonts w:ascii="宋体" w:hAnsi="宋体" w:eastAsia="宋体" w:cs="宋体"/>
          <w:spacing w:val="7"/>
          <w:sz w:val="23"/>
          <w:szCs w:val="23"/>
        </w:rPr>
        <w:t>：</w:t>
      </w:r>
      <w:r>
        <w:rPr>
          <w:rFonts w:ascii="宋体" w:hAnsi="宋体" w:eastAsia="宋体" w:cs="宋体"/>
          <w:spacing w:val="4"/>
          <w:sz w:val="23"/>
          <w:szCs w:val="23"/>
        </w:rPr>
        <w:t xml:space="preserve">分子式为 </w:t>
      </w:r>
      <w:r>
        <w:rPr>
          <w:rFonts w:ascii="Times New Roman" w:hAnsi="Times New Roman" w:eastAsia="Times New Roman" w:cs="Times New Roman"/>
          <w:sz w:val="23"/>
          <w:szCs w:val="23"/>
        </w:rPr>
        <w:t>C</w:t>
      </w:r>
      <w:r>
        <w:rPr>
          <w:rFonts w:ascii="Times New Roman" w:hAnsi="Times New Roman" w:eastAsia="Times New Roman" w:cs="Times New Roman"/>
          <w:spacing w:val="4"/>
          <w:position w:val="-1"/>
          <w:sz w:val="15"/>
          <w:szCs w:val="15"/>
        </w:rPr>
        <w:t>5</w:t>
      </w:r>
      <w:r>
        <w:rPr>
          <w:rFonts w:ascii="Times New Roman" w:hAnsi="Times New Roman" w:eastAsia="Times New Roman" w:cs="Times New Roman"/>
          <w:sz w:val="23"/>
          <w:szCs w:val="23"/>
        </w:rPr>
        <w:t>H</w:t>
      </w:r>
      <w:r>
        <w:rPr>
          <w:rFonts w:ascii="Times New Roman" w:hAnsi="Times New Roman" w:eastAsia="Times New Roman" w:cs="Times New Roman"/>
          <w:spacing w:val="4"/>
          <w:position w:val="-1"/>
          <w:sz w:val="15"/>
          <w:szCs w:val="15"/>
        </w:rPr>
        <w:t>8</w:t>
      </w:r>
      <w:r>
        <w:rPr>
          <w:rFonts w:ascii="Times New Roman" w:hAnsi="Times New Roman" w:eastAsia="Times New Roman" w:cs="Times New Roman"/>
          <w:sz w:val="23"/>
          <w:szCs w:val="23"/>
        </w:rPr>
        <w:t>O</w:t>
      </w:r>
      <w:r>
        <w:rPr>
          <w:rFonts w:ascii="Times New Roman" w:hAnsi="Times New Roman" w:eastAsia="Times New Roman" w:cs="Times New Roman"/>
          <w:spacing w:val="4"/>
          <w:position w:val="-1"/>
          <w:sz w:val="15"/>
          <w:szCs w:val="15"/>
        </w:rPr>
        <w:t xml:space="preserve">2 </w:t>
      </w:r>
      <w:r>
        <w:rPr>
          <w:rFonts w:ascii="宋体" w:hAnsi="宋体" w:eastAsia="宋体" w:cs="宋体"/>
          <w:spacing w:val="4"/>
          <w:sz w:val="23"/>
          <w:szCs w:val="23"/>
        </w:rPr>
        <w:t>，带有刺激性气味的无色透明油状液体，溶于热水。对眼睛、</w:t>
      </w:r>
      <w:r>
        <w:rPr>
          <w:rFonts w:ascii="宋体" w:hAnsi="宋体" w:eastAsia="宋体" w:cs="宋体"/>
          <w:sz w:val="23"/>
          <w:szCs w:val="23"/>
        </w:rPr>
        <w:t xml:space="preserve"> </w:t>
      </w:r>
      <w:r>
        <w:rPr>
          <w:rFonts w:ascii="宋体" w:hAnsi="宋体" w:eastAsia="宋体" w:cs="宋体"/>
          <w:spacing w:val="4"/>
          <w:sz w:val="23"/>
          <w:szCs w:val="23"/>
        </w:rPr>
        <w:t>皮肤和粘膜有强烈的刺激作用。可</w:t>
      </w:r>
      <w:r>
        <w:rPr>
          <w:rFonts w:ascii="宋体" w:hAnsi="宋体" w:eastAsia="宋体" w:cs="宋体"/>
          <w:spacing w:val="2"/>
          <w:sz w:val="23"/>
          <w:szCs w:val="23"/>
        </w:rPr>
        <w:t>作为食品工业加工助剂，菌消毒剂、鞣革剂、木材防腐剂，</w:t>
      </w:r>
    </w:p>
    <w:p w14:paraId="019FFC07">
      <w:pPr>
        <w:spacing w:line="227" w:lineRule="auto"/>
        <w:ind w:left="13"/>
        <w:rPr>
          <w:rFonts w:ascii="宋体" w:hAnsi="宋体" w:eastAsia="宋体" w:cs="宋体"/>
          <w:sz w:val="23"/>
          <w:szCs w:val="23"/>
        </w:rPr>
      </w:pPr>
      <w:r>
        <w:rPr>
          <w:rFonts w:ascii="宋体" w:hAnsi="宋体" w:eastAsia="宋体" w:cs="宋体"/>
          <w:spacing w:val="9"/>
          <w:sz w:val="23"/>
          <w:szCs w:val="23"/>
        </w:rPr>
        <w:t>药</w:t>
      </w:r>
      <w:r>
        <w:rPr>
          <w:rFonts w:ascii="宋体" w:hAnsi="宋体" w:eastAsia="宋体" w:cs="宋体"/>
          <w:spacing w:val="7"/>
          <w:sz w:val="23"/>
          <w:szCs w:val="23"/>
        </w:rPr>
        <w:t>物和</w:t>
      </w:r>
      <w:r>
        <w:fldChar w:fldCharType="begin"/>
      </w:r>
      <w:r>
        <w:instrText xml:space="preserve"> HYPERLINK "https://baike.baidu.com/item/%E9%AB%98%E5%88%86%E5%AD%90%E5%90%88%E6%88%90" </w:instrText>
      </w:r>
      <w:r>
        <w:fldChar w:fldCharType="separate"/>
      </w:r>
      <w:r>
        <w:rPr>
          <w:rFonts w:ascii="宋体" w:hAnsi="宋体" w:eastAsia="宋体" w:cs="宋体"/>
          <w:spacing w:val="7"/>
          <w:sz w:val="23"/>
          <w:szCs w:val="23"/>
        </w:rPr>
        <w:t>高分子合成</w:t>
      </w:r>
      <w:r>
        <w:rPr>
          <w:rFonts w:ascii="宋体" w:hAnsi="宋体" w:eastAsia="宋体" w:cs="宋体"/>
          <w:spacing w:val="7"/>
          <w:sz w:val="23"/>
          <w:szCs w:val="23"/>
        </w:rPr>
        <w:fldChar w:fldCharType="end"/>
      </w:r>
      <w:r>
        <w:rPr>
          <w:rFonts w:ascii="宋体" w:hAnsi="宋体" w:eastAsia="宋体" w:cs="宋体"/>
          <w:spacing w:val="7"/>
          <w:sz w:val="23"/>
          <w:szCs w:val="23"/>
        </w:rPr>
        <w:t>原料等。醛类消毒剂对微生物的杀灭作用主要依靠醛基，此类药物主要作</w:t>
      </w:r>
    </w:p>
    <w:p w14:paraId="71944007">
      <w:pPr>
        <w:spacing w:before="182" w:line="375" w:lineRule="auto"/>
        <w:ind w:left="492" w:hanging="480"/>
        <w:rPr>
          <w:rFonts w:ascii="宋体" w:hAnsi="宋体" w:eastAsia="宋体" w:cs="宋体"/>
          <w:sz w:val="23"/>
          <w:szCs w:val="23"/>
        </w:rPr>
      </w:pPr>
      <w:r>
        <w:rPr>
          <w:rFonts w:ascii="宋体" w:hAnsi="宋体" w:eastAsia="宋体" w:cs="宋体"/>
          <w:spacing w:val="18"/>
          <w:sz w:val="23"/>
          <w:szCs w:val="23"/>
        </w:rPr>
        <w:t>用</w:t>
      </w:r>
      <w:r>
        <w:rPr>
          <w:rFonts w:ascii="宋体" w:hAnsi="宋体" w:eastAsia="宋体" w:cs="宋体"/>
          <w:spacing w:val="10"/>
          <w:sz w:val="23"/>
          <w:szCs w:val="23"/>
        </w:rPr>
        <w:t>于</w:t>
      </w:r>
      <w:r>
        <w:rPr>
          <w:rFonts w:ascii="宋体" w:hAnsi="宋体" w:eastAsia="宋体" w:cs="宋体"/>
          <w:spacing w:val="9"/>
          <w:sz w:val="23"/>
          <w:szCs w:val="23"/>
        </w:rPr>
        <w:t>菌体蛋白的巯基、羟基、羧基和氨基，可使之烷基化，引起蛋白质凝固造成细菌死亡。</w:t>
      </w:r>
      <w:r>
        <w:rPr>
          <w:rFonts w:ascii="宋体" w:hAnsi="宋体" w:eastAsia="宋体" w:cs="宋体"/>
          <w:sz w:val="23"/>
          <w:szCs w:val="23"/>
        </w:rPr>
        <w:t xml:space="preserve"> </w:t>
      </w:r>
      <w:r>
        <w:rPr>
          <w:rFonts w:ascii="宋体" w:hAnsi="宋体" w:eastAsia="宋体" w:cs="宋体"/>
          <w:spacing w:val="10"/>
          <w:sz w:val="23"/>
          <w:szCs w:val="23"/>
        </w:rPr>
        <w:t>卫</w:t>
      </w:r>
      <w:r>
        <w:rPr>
          <w:rFonts w:ascii="宋体" w:hAnsi="宋体" w:eastAsia="宋体" w:cs="宋体"/>
          <w:spacing w:val="7"/>
          <w:sz w:val="23"/>
          <w:szCs w:val="23"/>
        </w:rPr>
        <w:t>可</w:t>
      </w:r>
      <w:r>
        <w:rPr>
          <w:rFonts w:ascii="宋体" w:hAnsi="宋体" w:eastAsia="宋体" w:cs="宋体"/>
          <w:spacing w:val="5"/>
          <w:sz w:val="23"/>
          <w:szCs w:val="23"/>
        </w:rPr>
        <w:t xml:space="preserve"> </w:t>
      </w:r>
      <w:r>
        <w:rPr>
          <w:rFonts w:ascii="Times New Roman" w:hAnsi="Times New Roman" w:eastAsia="Times New Roman" w:cs="Times New Roman"/>
          <w:sz w:val="23"/>
          <w:szCs w:val="23"/>
        </w:rPr>
        <w:t>Virkon</w:t>
      </w:r>
      <w:r>
        <w:rPr>
          <w:rFonts w:ascii="Times New Roman" w:hAnsi="Times New Roman" w:eastAsia="Times New Roman" w:cs="Times New Roman"/>
          <w:spacing w:val="5"/>
          <w:sz w:val="23"/>
          <w:szCs w:val="23"/>
        </w:rPr>
        <w:t xml:space="preserve"> </w:t>
      </w:r>
      <w:r>
        <w:rPr>
          <w:rFonts w:ascii="Times New Roman" w:hAnsi="Times New Roman" w:eastAsia="Times New Roman" w:cs="Times New Roman"/>
          <w:sz w:val="23"/>
          <w:szCs w:val="23"/>
        </w:rPr>
        <w:t>S</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是药品，外观是粉红</w:t>
      </w:r>
      <w:r>
        <w:rPr>
          <w:rFonts w:ascii="Times New Roman" w:hAnsi="Times New Roman" w:eastAsia="Times New Roman" w:cs="Times New Roman"/>
          <w:spacing w:val="5"/>
          <w:sz w:val="23"/>
          <w:szCs w:val="23"/>
        </w:rPr>
        <w:t>/</w:t>
      </w:r>
      <w:r>
        <w:rPr>
          <w:rFonts w:ascii="宋体" w:hAnsi="宋体" w:eastAsia="宋体" w:cs="宋体"/>
          <w:spacing w:val="5"/>
          <w:sz w:val="23"/>
          <w:szCs w:val="23"/>
        </w:rPr>
        <w:t>灰色粉末，气味是淡柠檬味，喷雾消毒、饮水消毒、</w:t>
      </w:r>
    </w:p>
    <w:p w14:paraId="5F69422E">
      <w:pPr>
        <w:spacing w:before="1" w:line="375" w:lineRule="auto"/>
        <w:ind w:left="12" w:right="87"/>
        <w:rPr>
          <w:rFonts w:ascii="宋体" w:hAnsi="宋体" w:eastAsia="宋体" w:cs="宋体"/>
          <w:sz w:val="23"/>
          <w:szCs w:val="23"/>
        </w:rPr>
      </w:pPr>
      <w:r>
        <w:rPr>
          <w:rFonts w:ascii="宋体" w:hAnsi="宋体" w:eastAsia="宋体" w:cs="宋体"/>
          <w:spacing w:val="10"/>
          <w:sz w:val="23"/>
          <w:szCs w:val="23"/>
        </w:rPr>
        <w:t>垫</w:t>
      </w:r>
      <w:r>
        <w:rPr>
          <w:rFonts w:ascii="宋体" w:hAnsi="宋体" w:eastAsia="宋体" w:cs="宋体"/>
          <w:spacing w:val="7"/>
          <w:sz w:val="23"/>
          <w:szCs w:val="23"/>
        </w:rPr>
        <w:t>料消毒、冲洗水线、洗手等用。广泛用于各种养殖场、孵化场、兽医手术室以及食品加工</w:t>
      </w:r>
      <w:r>
        <w:rPr>
          <w:rFonts w:ascii="宋体" w:hAnsi="宋体" w:eastAsia="宋体" w:cs="宋体"/>
          <w:sz w:val="23"/>
          <w:szCs w:val="23"/>
        </w:rPr>
        <w:t xml:space="preserve"> </w:t>
      </w:r>
      <w:r>
        <w:rPr>
          <w:rFonts w:ascii="宋体" w:hAnsi="宋体" w:eastAsia="宋体" w:cs="宋体"/>
          <w:spacing w:val="7"/>
          <w:sz w:val="23"/>
          <w:szCs w:val="23"/>
        </w:rPr>
        <w:t>厂</w:t>
      </w:r>
      <w:r>
        <w:rPr>
          <w:rFonts w:ascii="宋体" w:hAnsi="宋体" w:eastAsia="宋体" w:cs="宋体"/>
          <w:spacing w:val="5"/>
          <w:sz w:val="23"/>
          <w:szCs w:val="23"/>
        </w:rPr>
        <w:t>等消毒。</w:t>
      </w:r>
    </w:p>
    <w:p w14:paraId="641CCAD5">
      <w:pPr>
        <w:spacing w:before="1" w:line="227" w:lineRule="auto"/>
        <w:ind w:left="501"/>
        <w:rPr>
          <w:rFonts w:ascii="宋体" w:hAnsi="宋体" w:eastAsia="宋体" w:cs="宋体"/>
          <w:sz w:val="23"/>
          <w:szCs w:val="23"/>
        </w:rPr>
      </w:pPr>
      <w:r>
        <w:rPr>
          <w:rFonts w:ascii="宋体" w:hAnsi="宋体" w:eastAsia="宋体" w:cs="宋体"/>
          <w:spacing w:val="15"/>
          <w:sz w:val="23"/>
          <w:szCs w:val="23"/>
        </w:rPr>
        <w:t>(</w:t>
      </w:r>
      <w:r>
        <w:rPr>
          <w:rFonts w:ascii="Times New Roman" w:hAnsi="Times New Roman" w:eastAsia="Times New Roman" w:cs="Times New Roman"/>
          <w:spacing w:val="15"/>
          <w:sz w:val="23"/>
          <w:szCs w:val="23"/>
        </w:rPr>
        <w:t>2</w:t>
      </w:r>
      <w:r>
        <w:rPr>
          <w:rFonts w:ascii="宋体" w:hAnsi="宋体" w:eastAsia="宋体" w:cs="宋体"/>
          <w:spacing w:val="15"/>
          <w:sz w:val="23"/>
          <w:szCs w:val="23"/>
        </w:rPr>
        <w:t>) 生产及贮运过程的风险调</w:t>
      </w:r>
      <w:r>
        <w:rPr>
          <w:rFonts w:ascii="宋体" w:hAnsi="宋体" w:eastAsia="宋体" w:cs="宋体"/>
          <w:spacing w:val="14"/>
          <w:sz w:val="23"/>
          <w:szCs w:val="23"/>
        </w:rPr>
        <w:t>查</w:t>
      </w:r>
    </w:p>
    <w:p w14:paraId="3F9E2B57">
      <w:pPr>
        <w:spacing w:before="182" w:line="227" w:lineRule="auto"/>
        <w:ind w:left="490"/>
        <w:rPr>
          <w:rFonts w:ascii="宋体" w:hAnsi="宋体" w:eastAsia="宋体" w:cs="宋体"/>
          <w:sz w:val="23"/>
          <w:szCs w:val="23"/>
        </w:rPr>
      </w:pPr>
      <w:r>
        <w:rPr>
          <w:rFonts w:ascii="宋体" w:hAnsi="宋体" w:eastAsia="宋体" w:cs="宋体"/>
          <w:spacing w:val="13"/>
          <w:sz w:val="23"/>
          <w:szCs w:val="23"/>
        </w:rPr>
        <w:t>拟</w:t>
      </w:r>
      <w:r>
        <w:rPr>
          <w:rFonts w:ascii="宋体" w:hAnsi="宋体" w:eastAsia="宋体" w:cs="宋体"/>
          <w:spacing w:val="8"/>
          <w:sz w:val="23"/>
          <w:szCs w:val="23"/>
        </w:rPr>
        <w:t>建项目生产及贮运过程环境风险主要包括：①消毒剂发生泄露；②废水事故性排放；</w:t>
      </w:r>
    </w:p>
    <w:p w14:paraId="31F179E7">
      <w:pPr>
        <w:spacing w:before="183" w:line="225" w:lineRule="auto"/>
        <w:ind w:left="8"/>
        <w:rPr>
          <w:rFonts w:ascii="宋体" w:hAnsi="宋体" w:eastAsia="宋体" w:cs="宋体"/>
          <w:sz w:val="23"/>
          <w:szCs w:val="23"/>
        </w:rPr>
      </w:pPr>
      <w:r>
        <w:rPr>
          <w:rFonts w:ascii="宋体" w:hAnsi="宋体" w:eastAsia="宋体" w:cs="宋体"/>
          <w:spacing w:val="18"/>
          <w:sz w:val="23"/>
          <w:szCs w:val="23"/>
        </w:rPr>
        <w:t>③</w:t>
      </w:r>
      <w:r>
        <w:rPr>
          <w:rFonts w:ascii="宋体" w:hAnsi="宋体" w:eastAsia="宋体" w:cs="宋体"/>
          <w:spacing w:val="12"/>
          <w:sz w:val="23"/>
          <w:szCs w:val="23"/>
        </w:rPr>
        <w:t>异</w:t>
      </w:r>
      <w:r>
        <w:rPr>
          <w:rFonts w:ascii="宋体" w:hAnsi="宋体" w:eastAsia="宋体" w:cs="宋体"/>
          <w:spacing w:val="9"/>
          <w:sz w:val="23"/>
          <w:szCs w:val="23"/>
        </w:rPr>
        <w:t>位微生物发酵床故障；④危险废物事故排放对环境造成的风险。</w:t>
      </w:r>
    </w:p>
    <w:p w14:paraId="17DE6FD5">
      <w:pPr>
        <w:sectPr>
          <w:headerReference r:id="rId286" w:type="default"/>
          <w:footerReference r:id="rId287" w:type="default"/>
          <w:pgSz w:w="11906" w:h="16839"/>
          <w:pgMar w:top="1113" w:right="1047" w:bottom="1157" w:left="1275" w:header="878" w:footer="994" w:gutter="0"/>
          <w:cols w:space="720" w:num="1"/>
        </w:sectPr>
      </w:pPr>
    </w:p>
    <w:p w14:paraId="4B74FAD8">
      <w:pPr>
        <w:spacing w:before="154" w:line="323" w:lineRule="exact"/>
        <w:ind w:left="501"/>
        <w:rPr>
          <w:rFonts w:ascii="宋体" w:hAnsi="宋体" w:eastAsia="宋体" w:cs="宋体"/>
          <w:sz w:val="23"/>
          <w:szCs w:val="23"/>
        </w:rPr>
      </w:pPr>
      <w:r>
        <w:rPr>
          <w:rFonts w:ascii="宋体" w:hAnsi="宋体" w:eastAsia="宋体" w:cs="宋体"/>
          <w:spacing w:val="20"/>
          <w:position w:val="1"/>
          <w:sz w:val="23"/>
          <w:szCs w:val="23"/>
        </w:rPr>
        <w:t>(</w:t>
      </w:r>
      <w:r>
        <w:rPr>
          <w:rFonts w:ascii="Times New Roman" w:hAnsi="Times New Roman" w:eastAsia="Times New Roman" w:cs="Times New Roman"/>
          <w:spacing w:val="14"/>
          <w:position w:val="1"/>
          <w:sz w:val="23"/>
          <w:szCs w:val="23"/>
        </w:rPr>
        <w:t>3</w:t>
      </w:r>
      <w:r>
        <w:rPr>
          <w:rFonts w:ascii="宋体" w:hAnsi="宋体" w:eastAsia="宋体" w:cs="宋体"/>
          <w:spacing w:val="14"/>
          <w:position w:val="1"/>
          <w:sz w:val="23"/>
          <w:szCs w:val="23"/>
        </w:rPr>
        <w:t>) 事故伴生</w:t>
      </w:r>
      <w:r>
        <w:rPr>
          <w:rFonts w:ascii="Times New Roman" w:hAnsi="Times New Roman" w:eastAsia="Times New Roman" w:cs="Times New Roman"/>
          <w:spacing w:val="14"/>
          <w:position w:val="1"/>
          <w:sz w:val="23"/>
          <w:szCs w:val="23"/>
        </w:rPr>
        <w:t>/</w:t>
      </w:r>
      <w:r>
        <w:rPr>
          <w:rFonts w:ascii="宋体" w:hAnsi="宋体" w:eastAsia="宋体" w:cs="宋体"/>
          <w:spacing w:val="14"/>
          <w:position w:val="1"/>
          <w:sz w:val="23"/>
          <w:szCs w:val="23"/>
        </w:rPr>
        <w:t>次生危险性识别</w:t>
      </w:r>
    </w:p>
    <w:p w14:paraId="61C820B6">
      <w:pPr>
        <w:spacing w:before="186" w:line="225" w:lineRule="auto"/>
        <w:ind w:left="489"/>
        <w:rPr>
          <w:rFonts w:ascii="宋体" w:hAnsi="宋体" w:eastAsia="宋体" w:cs="宋体"/>
          <w:sz w:val="23"/>
          <w:szCs w:val="23"/>
        </w:rPr>
      </w:pPr>
      <w:r>
        <w:rPr>
          <w:rFonts w:ascii="宋体" w:hAnsi="宋体" w:eastAsia="宋体" w:cs="宋体"/>
          <w:spacing w:val="9"/>
          <w:sz w:val="23"/>
          <w:szCs w:val="23"/>
        </w:rPr>
        <w:t>①事故外排的污</w:t>
      </w:r>
      <w:r>
        <w:rPr>
          <w:rFonts w:ascii="宋体" w:hAnsi="宋体" w:eastAsia="宋体" w:cs="宋体"/>
          <w:spacing w:val="8"/>
          <w:sz w:val="23"/>
          <w:szCs w:val="23"/>
        </w:rPr>
        <w:t>水</w:t>
      </w:r>
    </w:p>
    <w:p w14:paraId="559BC3B4">
      <w:pPr>
        <w:spacing w:before="187" w:line="375" w:lineRule="auto"/>
        <w:ind w:left="10" w:right="38" w:firstLine="495"/>
        <w:rPr>
          <w:rFonts w:ascii="宋体" w:hAnsi="宋体" w:eastAsia="宋体" w:cs="宋体"/>
          <w:sz w:val="23"/>
          <w:szCs w:val="23"/>
        </w:rPr>
      </w:pPr>
      <w:r>
        <w:rPr>
          <w:rFonts w:ascii="宋体" w:hAnsi="宋体" w:eastAsia="宋体" w:cs="宋体"/>
          <w:spacing w:val="4"/>
          <w:sz w:val="23"/>
          <w:szCs w:val="23"/>
        </w:rPr>
        <w:t>当粪污</w:t>
      </w:r>
      <w:r>
        <w:rPr>
          <w:rFonts w:ascii="宋体" w:hAnsi="宋体" w:eastAsia="宋体" w:cs="宋体"/>
          <w:spacing w:val="3"/>
          <w:sz w:val="23"/>
          <w:szCs w:val="23"/>
        </w:rPr>
        <w:t>处</w:t>
      </w:r>
      <w:r>
        <w:rPr>
          <w:rFonts w:ascii="宋体" w:hAnsi="宋体" w:eastAsia="宋体" w:cs="宋体"/>
          <w:spacing w:val="2"/>
          <w:sz w:val="23"/>
          <w:szCs w:val="23"/>
        </w:rPr>
        <w:t>理系统的集污管道、集污池若发生管道或池体破裂等造成污水渗漏，事故外排，</w:t>
      </w:r>
      <w:r>
        <w:rPr>
          <w:rFonts w:ascii="宋体" w:hAnsi="宋体" w:eastAsia="宋体" w:cs="宋体"/>
          <w:sz w:val="23"/>
          <w:szCs w:val="23"/>
        </w:rPr>
        <w:t xml:space="preserve"> </w:t>
      </w:r>
      <w:r>
        <w:rPr>
          <w:rFonts w:ascii="宋体" w:hAnsi="宋体" w:eastAsia="宋体" w:cs="宋体"/>
          <w:spacing w:val="16"/>
          <w:sz w:val="23"/>
          <w:szCs w:val="23"/>
        </w:rPr>
        <w:t>其中外</w:t>
      </w:r>
      <w:r>
        <w:rPr>
          <w:rFonts w:ascii="宋体" w:hAnsi="宋体" w:eastAsia="宋体" w:cs="宋体"/>
          <w:spacing w:val="14"/>
          <w:sz w:val="23"/>
          <w:szCs w:val="23"/>
        </w:rPr>
        <w:t>排</w:t>
      </w:r>
      <w:r>
        <w:rPr>
          <w:rFonts w:ascii="宋体" w:hAnsi="宋体" w:eastAsia="宋体" w:cs="宋体"/>
          <w:spacing w:val="8"/>
          <w:sz w:val="23"/>
          <w:szCs w:val="23"/>
        </w:rPr>
        <w:t>的污水等如不能及时有效处理，将会对环境造成二次污染。为此，必须定时检修、</w:t>
      </w:r>
      <w:r>
        <w:rPr>
          <w:rFonts w:ascii="宋体" w:hAnsi="宋体" w:eastAsia="宋体" w:cs="宋体"/>
          <w:sz w:val="23"/>
          <w:szCs w:val="23"/>
        </w:rPr>
        <w:t xml:space="preserve"> </w:t>
      </w:r>
      <w:r>
        <w:rPr>
          <w:rFonts w:ascii="宋体" w:hAnsi="宋体" w:eastAsia="宋体" w:cs="宋体"/>
          <w:spacing w:val="6"/>
          <w:sz w:val="23"/>
          <w:szCs w:val="23"/>
        </w:rPr>
        <w:t>加强防渗；</w:t>
      </w:r>
    </w:p>
    <w:p w14:paraId="53AFA535">
      <w:pPr>
        <w:spacing w:line="225" w:lineRule="auto"/>
        <w:ind w:left="488"/>
        <w:rPr>
          <w:rFonts w:ascii="宋体" w:hAnsi="宋体" w:eastAsia="宋体" w:cs="宋体"/>
          <w:sz w:val="23"/>
          <w:szCs w:val="23"/>
        </w:rPr>
      </w:pPr>
      <w:r>
        <w:rPr>
          <w:rFonts w:ascii="宋体" w:hAnsi="宋体" w:eastAsia="宋体" w:cs="宋体"/>
          <w:spacing w:val="10"/>
          <w:sz w:val="23"/>
          <w:szCs w:val="23"/>
        </w:rPr>
        <w:t>②</w:t>
      </w:r>
      <w:r>
        <w:rPr>
          <w:rFonts w:ascii="宋体" w:hAnsi="宋体" w:eastAsia="宋体" w:cs="宋体"/>
          <w:spacing w:val="9"/>
          <w:sz w:val="23"/>
          <w:szCs w:val="23"/>
        </w:rPr>
        <w:t>发酵菌种突然失活</w:t>
      </w:r>
    </w:p>
    <w:p w14:paraId="1461D3C6">
      <w:pPr>
        <w:spacing w:before="186" w:line="374" w:lineRule="auto"/>
        <w:ind w:left="14" w:right="101" w:firstLine="479"/>
        <w:rPr>
          <w:rFonts w:ascii="宋体" w:hAnsi="宋体" w:eastAsia="宋体" w:cs="宋体"/>
          <w:sz w:val="23"/>
          <w:szCs w:val="23"/>
        </w:rPr>
      </w:pPr>
      <w:r>
        <w:rPr>
          <w:rFonts w:ascii="宋体" w:hAnsi="宋体" w:eastAsia="宋体" w:cs="宋体"/>
          <w:spacing w:val="14"/>
          <w:sz w:val="23"/>
          <w:szCs w:val="23"/>
        </w:rPr>
        <w:t>异位</w:t>
      </w:r>
      <w:r>
        <w:rPr>
          <w:rFonts w:ascii="宋体" w:hAnsi="宋体" w:eastAsia="宋体" w:cs="宋体"/>
          <w:spacing w:val="10"/>
          <w:sz w:val="23"/>
          <w:szCs w:val="23"/>
        </w:rPr>
        <w:t>微</w:t>
      </w:r>
      <w:r>
        <w:rPr>
          <w:rFonts w:ascii="宋体" w:hAnsi="宋体" w:eastAsia="宋体" w:cs="宋体"/>
          <w:spacing w:val="7"/>
          <w:sz w:val="23"/>
          <w:szCs w:val="23"/>
        </w:rPr>
        <w:t>生物发酵床的发酵菌突然失活，导致</w:t>
      </w:r>
      <w:r>
        <w:rPr>
          <w:rFonts w:ascii="Times New Roman" w:hAnsi="Times New Roman" w:eastAsia="Times New Roman" w:cs="Times New Roman"/>
          <w:spacing w:val="7"/>
          <w:sz w:val="23"/>
          <w:szCs w:val="23"/>
        </w:rPr>
        <w:t>“</w:t>
      </w:r>
      <w:r>
        <w:rPr>
          <w:rFonts w:ascii="宋体" w:hAnsi="宋体" w:eastAsia="宋体" w:cs="宋体"/>
          <w:spacing w:val="7"/>
          <w:sz w:val="23"/>
          <w:szCs w:val="23"/>
        </w:rPr>
        <w:t>死床</w:t>
      </w:r>
      <w:r>
        <w:rPr>
          <w:rFonts w:ascii="Times New Roman" w:hAnsi="Times New Roman" w:eastAsia="Times New Roman" w:cs="Times New Roman"/>
          <w:spacing w:val="7"/>
          <w:sz w:val="23"/>
          <w:szCs w:val="23"/>
        </w:rPr>
        <w:t>”</w:t>
      </w:r>
      <w:r>
        <w:rPr>
          <w:rFonts w:ascii="宋体" w:hAnsi="宋体" w:eastAsia="宋体" w:cs="宋体"/>
          <w:spacing w:val="7"/>
          <w:sz w:val="23"/>
          <w:szCs w:val="23"/>
        </w:rPr>
        <w:t>，发酵床内的粪污得不到及时有效的</w:t>
      </w:r>
      <w:r>
        <w:rPr>
          <w:rFonts w:ascii="宋体" w:hAnsi="宋体" w:eastAsia="宋体" w:cs="宋体"/>
          <w:sz w:val="23"/>
          <w:szCs w:val="23"/>
        </w:rPr>
        <w:t xml:space="preserve"> </w:t>
      </w:r>
      <w:r>
        <w:rPr>
          <w:rFonts w:ascii="宋体" w:hAnsi="宋体" w:eastAsia="宋体" w:cs="宋体"/>
          <w:spacing w:val="8"/>
          <w:sz w:val="23"/>
          <w:szCs w:val="23"/>
        </w:rPr>
        <w:t>处</w:t>
      </w:r>
      <w:r>
        <w:rPr>
          <w:rFonts w:ascii="宋体" w:hAnsi="宋体" w:eastAsia="宋体" w:cs="宋体"/>
          <w:spacing w:val="7"/>
          <w:sz w:val="23"/>
          <w:szCs w:val="23"/>
        </w:rPr>
        <w:t>理。若不及时添加菌种，恢复发酵床活性，则会产生恶臭气体，同时，新产生的粪污也得</w:t>
      </w:r>
      <w:r>
        <w:rPr>
          <w:rFonts w:ascii="宋体" w:hAnsi="宋体" w:eastAsia="宋体" w:cs="宋体"/>
          <w:sz w:val="23"/>
          <w:szCs w:val="23"/>
        </w:rPr>
        <w:t xml:space="preserve"> </w:t>
      </w:r>
      <w:r>
        <w:rPr>
          <w:rFonts w:ascii="宋体" w:hAnsi="宋体" w:eastAsia="宋体" w:cs="宋体"/>
          <w:spacing w:val="6"/>
          <w:sz w:val="23"/>
          <w:szCs w:val="23"/>
        </w:rPr>
        <w:t>不</w:t>
      </w:r>
      <w:r>
        <w:rPr>
          <w:rFonts w:ascii="宋体" w:hAnsi="宋体" w:eastAsia="宋体" w:cs="宋体"/>
          <w:spacing w:val="5"/>
          <w:sz w:val="23"/>
          <w:szCs w:val="23"/>
        </w:rPr>
        <w:t>到治理；</w:t>
      </w:r>
    </w:p>
    <w:p w14:paraId="08060D87">
      <w:pPr>
        <w:spacing w:line="225" w:lineRule="auto"/>
        <w:ind w:left="488"/>
        <w:rPr>
          <w:rFonts w:ascii="宋体" w:hAnsi="宋体" w:eastAsia="宋体" w:cs="宋体"/>
          <w:sz w:val="23"/>
          <w:szCs w:val="23"/>
        </w:rPr>
      </w:pPr>
      <w:r>
        <w:rPr>
          <w:rFonts w:ascii="宋体" w:hAnsi="宋体" w:eastAsia="宋体" w:cs="宋体"/>
          <w:spacing w:val="10"/>
          <w:sz w:val="23"/>
          <w:szCs w:val="23"/>
        </w:rPr>
        <w:t>③</w:t>
      </w:r>
      <w:r>
        <w:rPr>
          <w:rFonts w:ascii="宋体" w:hAnsi="宋体" w:eastAsia="宋体" w:cs="宋体"/>
          <w:spacing w:val="9"/>
          <w:sz w:val="23"/>
          <w:szCs w:val="23"/>
        </w:rPr>
        <w:t>危险废物事故排放</w:t>
      </w:r>
    </w:p>
    <w:p w14:paraId="6B41A92A">
      <w:pPr>
        <w:spacing w:before="186" w:line="375" w:lineRule="auto"/>
        <w:ind w:left="12" w:right="104" w:firstLine="480"/>
        <w:rPr>
          <w:rFonts w:ascii="宋体" w:hAnsi="宋体" w:eastAsia="宋体" w:cs="宋体"/>
          <w:sz w:val="23"/>
          <w:szCs w:val="23"/>
        </w:rPr>
      </w:pPr>
      <w:r>
        <w:rPr>
          <w:rFonts w:ascii="宋体" w:hAnsi="宋体" w:eastAsia="宋体" w:cs="宋体"/>
          <w:spacing w:val="7"/>
          <w:sz w:val="23"/>
          <w:szCs w:val="23"/>
        </w:rPr>
        <w:t>危险废物残留及衍生的大量病菌、有毒物质是十分有害有毒的物质，如果不经分类收</w:t>
      </w:r>
      <w:r>
        <w:rPr>
          <w:rFonts w:ascii="宋体" w:hAnsi="宋体" w:eastAsia="宋体" w:cs="宋体"/>
          <w:spacing w:val="3"/>
          <w:sz w:val="23"/>
          <w:szCs w:val="23"/>
        </w:rPr>
        <w:t>集</w:t>
      </w:r>
      <w:r>
        <w:rPr>
          <w:rFonts w:ascii="宋体" w:hAnsi="宋体" w:eastAsia="宋体" w:cs="宋体"/>
          <w:sz w:val="23"/>
          <w:szCs w:val="23"/>
        </w:rPr>
        <w:t xml:space="preserve"> </w:t>
      </w:r>
      <w:r>
        <w:rPr>
          <w:rFonts w:ascii="宋体" w:hAnsi="宋体" w:eastAsia="宋体" w:cs="宋体"/>
          <w:spacing w:val="18"/>
          <w:sz w:val="23"/>
          <w:szCs w:val="23"/>
        </w:rPr>
        <w:t>等</w:t>
      </w:r>
      <w:r>
        <w:rPr>
          <w:rFonts w:ascii="宋体" w:hAnsi="宋体" w:eastAsia="宋体" w:cs="宋体"/>
          <w:spacing w:val="10"/>
          <w:sz w:val="23"/>
          <w:szCs w:val="23"/>
        </w:rPr>
        <w:t>有</w:t>
      </w:r>
      <w:r>
        <w:rPr>
          <w:rFonts w:ascii="宋体" w:hAnsi="宋体" w:eastAsia="宋体" w:cs="宋体"/>
          <w:spacing w:val="9"/>
          <w:sz w:val="23"/>
          <w:szCs w:val="23"/>
        </w:rPr>
        <w:t>效处理的话，很容易引起各种疾病的传播和蔓延以及造成二次污染。</w:t>
      </w:r>
    </w:p>
    <w:p w14:paraId="5103A824">
      <w:pPr>
        <w:spacing w:before="1" w:line="227" w:lineRule="auto"/>
        <w:ind w:left="9"/>
        <w:outlineLvl w:val="2"/>
        <w:rPr>
          <w:rFonts w:ascii="宋体" w:hAnsi="宋体" w:eastAsia="宋体" w:cs="宋体"/>
          <w:sz w:val="23"/>
          <w:szCs w:val="23"/>
        </w:rPr>
      </w:pPr>
      <w:r>
        <w:rPr>
          <w:rFonts w:ascii="Times New Roman" w:hAnsi="Times New Roman" w:eastAsia="Times New Roman" w:cs="Times New Roman"/>
          <w:b/>
          <w:bCs/>
          <w:spacing w:val="10"/>
          <w:sz w:val="23"/>
          <w:szCs w:val="23"/>
        </w:rPr>
        <w:t>8</w:t>
      </w:r>
      <w:r>
        <w:rPr>
          <w:rFonts w:ascii="Times New Roman" w:hAnsi="Times New Roman" w:eastAsia="Times New Roman" w:cs="Times New Roman"/>
          <w:b/>
          <w:bCs/>
          <w:spacing w:val="7"/>
          <w:sz w:val="23"/>
          <w:szCs w:val="23"/>
        </w:rPr>
        <w:t>.1.2</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环境风险潜势初判</w:t>
      </w:r>
    </w:p>
    <w:p w14:paraId="14565EE6">
      <w:pPr>
        <w:spacing w:before="185" w:line="227" w:lineRule="auto"/>
        <w:ind w:left="490"/>
        <w:rPr>
          <w:rFonts w:ascii="宋体" w:hAnsi="宋体" w:eastAsia="宋体" w:cs="宋体"/>
          <w:sz w:val="23"/>
          <w:szCs w:val="23"/>
        </w:rPr>
      </w:pPr>
      <w:r>
        <w:rPr>
          <w:rFonts w:ascii="宋体" w:hAnsi="宋体" w:eastAsia="宋体" w:cs="宋体"/>
          <w:spacing w:val="6"/>
          <w:sz w:val="23"/>
          <w:szCs w:val="23"/>
        </w:rPr>
        <w:t>根据《建设项目环境风险评</w:t>
      </w:r>
      <w:r>
        <w:rPr>
          <w:rFonts w:ascii="宋体" w:hAnsi="宋体" w:eastAsia="宋体" w:cs="宋体"/>
          <w:spacing w:val="4"/>
          <w:sz w:val="23"/>
          <w:szCs w:val="23"/>
        </w:rPr>
        <w:t>价</w:t>
      </w:r>
      <w:r>
        <w:rPr>
          <w:rFonts w:ascii="宋体" w:hAnsi="宋体" w:eastAsia="宋体" w:cs="宋体"/>
          <w:spacing w:val="3"/>
          <w:sz w:val="23"/>
          <w:szCs w:val="23"/>
        </w:rPr>
        <w:t>技术导则》  (</w:t>
      </w:r>
      <w:r>
        <w:rPr>
          <w:rFonts w:ascii="Times New Roman" w:hAnsi="Times New Roman" w:eastAsia="Times New Roman" w:cs="Times New Roman"/>
          <w:sz w:val="23"/>
          <w:szCs w:val="23"/>
        </w:rPr>
        <w:t>HJ</w:t>
      </w:r>
      <w:r>
        <w:rPr>
          <w:rFonts w:ascii="Times New Roman" w:hAnsi="Times New Roman" w:eastAsia="Times New Roman" w:cs="Times New Roman"/>
          <w:spacing w:val="3"/>
          <w:sz w:val="23"/>
          <w:szCs w:val="23"/>
        </w:rPr>
        <w:t xml:space="preserve"> 169-2018</w:t>
      </w:r>
      <w:r>
        <w:rPr>
          <w:rFonts w:ascii="宋体" w:hAnsi="宋体" w:eastAsia="宋体" w:cs="宋体"/>
          <w:spacing w:val="3"/>
          <w:sz w:val="23"/>
          <w:szCs w:val="23"/>
        </w:rPr>
        <w:t>) 中</w:t>
      </w:r>
      <w:r>
        <w:rPr>
          <w:rFonts w:ascii="Times New Roman" w:hAnsi="Times New Roman" w:eastAsia="Times New Roman" w:cs="Times New Roman"/>
          <w:sz w:val="23"/>
          <w:szCs w:val="23"/>
        </w:rPr>
        <w:t>C</w:t>
      </w:r>
      <w:r>
        <w:rPr>
          <w:rFonts w:ascii="Times New Roman" w:hAnsi="Times New Roman" w:eastAsia="Times New Roman" w:cs="Times New Roman"/>
          <w:spacing w:val="3"/>
          <w:sz w:val="23"/>
          <w:szCs w:val="23"/>
        </w:rPr>
        <w:t>. 1. 1</w:t>
      </w:r>
      <w:r>
        <w:rPr>
          <w:rFonts w:ascii="宋体" w:hAnsi="宋体" w:eastAsia="宋体" w:cs="宋体"/>
          <w:spacing w:val="3"/>
          <w:sz w:val="23"/>
          <w:szCs w:val="23"/>
        </w:rPr>
        <w:t>危险物质与临界量比</w:t>
      </w:r>
    </w:p>
    <w:p w14:paraId="50834DA8">
      <w:pPr>
        <w:spacing w:before="183" w:line="227" w:lineRule="auto"/>
        <w:ind w:left="10"/>
        <w:rPr>
          <w:rFonts w:ascii="宋体" w:hAnsi="宋体" w:eastAsia="宋体" w:cs="宋体"/>
          <w:sz w:val="23"/>
          <w:szCs w:val="23"/>
        </w:rPr>
      </w:pPr>
      <w:r>
        <w:rPr>
          <w:rFonts w:ascii="宋体" w:hAnsi="宋体" w:eastAsia="宋体" w:cs="宋体"/>
          <w:spacing w:val="8"/>
          <w:sz w:val="23"/>
          <w:szCs w:val="23"/>
        </w:rPr>
        <w:t>值计算方式如下示</w:t>
      </w:r>
      <w:r>
        <w:rPr>
          <w:rFonts w:ascii="宋体" w:hAnsi="宋体" w:eastAsia="宋体" w:cs="宋体"/>
          <w:spacing w:val="6"/>
          <w:sz w:val="23"/>
          <w:szCs w:val="23"/>
        </w:rPr>
        <w:t>：</w:t>
      </w:r>
    </w:p>
    <w:p w14:paraId="58471766">
      <w:pPr>
        <w:spacing w:before="150" w:line="588" w:lineRule="exact"/>
        <w:ind w:firstLine="4282"/>
        <w:textAlignment w:val="center"/>
      </w:pPr>
      <w:r>
        <w:drawing>
          <wp:inline distT="0" distB="0" distL="0" distR="0">
            <wp:extent cx="580390" cy="37274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387"/>
                    <a:stretch>
                      <a:fillRect/>
                    </a:stretch>
                  </pic:blipFill>
                  <pic:spPr>
                    <a:xfrm>
                      <a:off x="0" y="0"/>
                      <a:ext cx="580644" cy="373379"/>
                    </a:xfrm>
                    <a:prstGeom prst="rect">
                      <a:avLst/>
                    </a:prstGeom>
                  </pic:spPr>
                </pic:pic>
              </a:graphicData>
            </a:graphic>
          </wp:inline>
        </w:drawing>
      </w:r>
    </w:p>
    <w:p w14:paraId="3A597713">
      <w:pPr>
        <w:spacing w:before="140" w:line="323" w:lineRule="exact"/>
        <w:ind w:left="614"/>
        <w:rPr>
          <w:rFonts w:ascii="宋体" w:hAnsi="宋体" w:eastAsia="宋体" w:cs="宋体"/>
          <w:sz w:val="23"/>
          <w:szCs w:val="23"/>
        </w:rPr>
      </w:pPr>
      <w:r>
        <w:rPr>
          <w:rFonts w:ascii="宋体" w:hAnsi="宋体" w:eastAsia="宋体" w:cs="宋体"/>
          <w:spacing w:val="10"/>
          <w:position w:val="3"/>
          <w:sz w:val="23"/>
          <w:szCs w:val="23"/>
        </w:rPr>
        <w:t>式</w:t>
      </w:r>
      <w:r>
        <w:rPr>
          <w:rFonts w:ascii="宋体" w:hAnsi="宋体" w:eastAsia="宋体" w:cs="宋体"/>
          <w:spacing w:val="9"/>
          <w:position w:val="3"/>
          <w:sz w:val="23"/>
          <w:szCs w:val="23"/>
        </w:rPr>
        <w:t>中：</w:t>
      </w:r>
      <w:r>
        <w:rPr>
          <w:rFonts w:ascii="Times New Roman" w:hAnsi="Times New Roman" w:eastAsia="Times New Roman" w:cs="Times New Roman"/>
          <w:position w:val="3"/>
          <w:sz w:val="23"/>
          <w:szCs w:val="23"/>
        </w:rPr>
        <w:t>q</w:t>
      </w:r>
      <w:r>
        <w:rPr>
          <w:rFonts w:ascii="Times New Roman" w:hAnsi="Times New Roman" w:eastAsia="Times New Roman" w:cs="Times New Roman"/>
          <w:spacing w:val="9"/>
          <w:position w:val="3"/>
          <w:sz w:val="23"/>
          <w:szCs w:val="23"/>
        </w:rPr>
        <w:t>——</w:t>
      </w:r>
      <w:r>
        <w:rPr>
          <w:rFonts w:ascii="宋体" w:hAnsi="宋体" w:eastAsia="宋体" w:cs="宋体"/>
          <w:spacing w:val="9"/>
          <w:position w:val="3"/>
          <w:sz w:val="23"/>
          <w:szCs w:val="23"/>
        </w:rPr>
        <w:t>危险物质的最大存在总量，</w:t>
      </w:r>
      <w:r>
        <w:rPr>
          <w:rFonts w:ascii="Times New Roman" w:hAnsi="Times New Roman" w:eastAsia="Times New Roman" w:cs="Times New Roman"/>
          <w:position w:val="3"/>
          <w:sz w:val="23"/>
          <w:szCs w:val="23"/>
        </w:rPr>
        <w:t>t</w:t>
      </w:r>
      <w:r>
        <w:rPr>
          <w:rFonts w:ascii="宋体" w:hAnsi="宋体" w:eastAsia="宋体" w:cs="宋体"/>
          <w:spacing w:val="9"/>
          <w:position w:val="3"/>
          <w:sz w:val="23"/>
          <w:szCs w:val="23"/>
        </w:rPr>
        <w:t>。</w:t>
      </w:r>
    </w:p>
    <w:p w14:paraId="1539F7A3">
      <w:pPr>
        <w:spacing w:before="143" w:line="323" w:lineRule="exact"/>
        <w:ind w:left="1329"/>
        <w:rPr>
          <w:rFonts w:ascii="宋体" w:hAnsi="宋体" w:eastAsia="宋体" w:cs="宋体"/>
          <w:sz w:val="23"/>
          <w:szCs w:val="23"/>
        </w:rPr>
      </w:pPr>
      <w:r>
        <w:rPr>
          <w:rFonts w:ascii="Times New Roman" w:hAnsi="Times New Roman" w:eastAsia="Times New Roman" w:cs="Times New Roman"/>
          <w:position w:val="3"/>
          <w:sz w:val="23"/>
          <w:szCs w:val="23"/>
        </w:rPr>
        <w:t>Q</w:t>
      </w:r>
      <w:r>
        <w:rPr>
          <w:rFonts w:ascii="Times New Roman" w:hAnsi="Times New Roman" w:eastAsia="Times New Roman" w:cs="Times New Roman"/>
          <w:spacing w:val="12"/>
          <w:position w:val="3"/>
          <w:sz w:val="23"/>
          <w:szCs w:val="23"/>
        </w:rPr>
        <w:t>—</w:t>
      </w:r>
      <w:r>
        <w:rPr>
          <w:rFonts w:ascii="Times New Roman" w:hAnsi="Times New Roman" w:eastAsia="Times New Roman" w:cs="Times New Roman"/>
          <w:spacing w:val="9"/>
          <w:position w:val="3"/>
          <w:sz w:val="23"/>
          <w:szCs w:val="23"/>
        </w:rPr>
        <w:t>—</w:t>
      </w:r>
      <w:r>
        <w:rPr>
          <w:rFonts w:ascii="宋体" w:hAnsi="宋体" w:eastAsia="宋体" w:cs="宋体"/>
          <w:spacing w:val="9"/>
          <w:position w:val="3"/>
          <w:sz w:val="23"/>
          <w:szCs w:val="23"/>
        </w:rPr>
        <w:t>危险物质的临界量，</w:t>
      </w:r>
      <w:r>
        <w:rPr>
          <w:rFonts w:ascii="Times New Roman" w:hAnsi="Times New Roman" w:eastAsia="Times New Roman" w:cs="Times New Roman"/>
          <w:position w:val="3"/>
          <w:sz w:val="23"/>
          <w:szCs w:val="23"/>
        </w:rPr>
        <w:t>t</w:t>
      </w:r>
      <w:r>
        <w:rPr>
          <w:rFonts w:ascii="宋体" w:hAnsi="宋体" w:eastAsia="宋体" w:cs="宋体"/>
          <w:spacing w:val="9"/>
          <w:position w:val="3"/>
          <w:sz w:val="23"/>
          <w:szCs w:val="23"/>
        </w:rPr>
        <w:t>。</w:t>
      </w:r>
    </w:p>
    <w:p w14:paraId="6BDDD29F">
      <w:pPr>
        <w:spacing w:before="187" w:line="221" w:lineRule="auto"/>
        <w:ind w:left="1345"/>
        <w:rPr>
          <w:rFonts w:ascii="宋体" w:hAnsi="宋体" w:eastAsia="宋体" w:cs="宋体"/>
          <w:sz w:val="23"/>
          <w:szCs w:val="23"/>
        </w:rPr>
      </w:pPr>
      <w:r>
        <w:rPr>
          <w:rFonts w:ascii="宋体" w:hAnsi="宋体" w:eastAsia="宋体" w:cs="宋体"/>
          <w:spacing w:val="10"/>
          <w:sz w:val="23"/>
          <w:szCs w:val="23"/>
        </w:rPr>
        <w:t>当</w:t>
      </w:r>
      <w:r>
        <w:rPr>
          <w:rFonts w:ascii="Times New Roman" w:hAnsi="Times New Roman" w:eastAsia="Times New Roman" w:cs="Times New Roman"/>
          <w:sz w:val="23"/>
          <w:szCs w:val="23"/>
        </w:rPr>
        <w:t>Q</w:t>
      </w:r>
      <w:r>
        <w:rPr>
          <w:rFonts w:ascii="宋体" w:hAnsi="宋体" w:eastAsia="宋体" w:cs="宋体"/>
          <w:spacing w:val="8"/>
          <w:sz w:val="23"/>
          <w:szCs w:val="23"/>
        </w:rPr>
        <w:t>＜</w:t>
      </w:r>
      <w:r>
        <w:rPr>
          <w:rFonts w:ascii="Times New Roman" w:hAnsi="Times New Roman" w:eastAsia="Times New Roman" w:cs="Times New Roman"/>
          <w:spacing w:val="8"/>
          <w:sz w:val="23"/>
          <w:szCs w:val="23"/>
        </w:rPr>
        <w:t>1</w:t>
      </w:r>
      <w:r>
        <w:rPr>
          <w:rFonts w:ascii="宋体" w:hAnsi="宋体" w:eastAsia="宋体" w:cs="宋体"/>
          <w:spacing w:val="8"/>
          <w:sz w:val="23"/>
          <w:szCs w:val="23"/>
        </w:rPr>
        <w:t>时，该项目环境风险潜势为</w:t>
      </w:r>
      <w:r>
        <w:rPr>
          <w:rFonts w:ascii="Times New Roman" w:hAnsi="Times New Roman" w:eastAsia="Times New Roman" w:cs="Times New Roman"/>
          <w:sz w:val="23"/>
          <w:szCs w:val="23"/>
        </w:rPr>
        <w:t>I</w:t>
      </w:r>
      <w:r>
        <w:rPr>
          <w:rFonts w:ascii="宋体" w:hAnsi="宋体" w:eastAsia="宋体" w:cs="宋体"/>
          <w:spacing w:val="8"/>
          <w:sz w:val="23"/>
          <w:szCs w:val="23"/>
        </w:rPr>
        <w:t>。</w:t>
      </w:r>
    </w:p>
    <w:p w14:paraId="37E6169F">
      <w:pPr>
        <w:spacing w:before="147" w:line="387" w:lineRule="auto"/>
        <w:ind w:left="491" w:right="104" w:firstLine="854"/>
        <w:rPr>
          <w:rFonts w:ascii="宋体" w:hAnsi="宋体" w:eastAsia="宋体" w:cs="宋体"/>
          <w:sz w:val="23"/>
          <w:szCs w:val="23"/>
        </w:rPr>
      </w:pPr>
      <w:r>
        <w:rPr>
          <w:rFonts w:ascii="宋体" w:hAnsi="宋体" w:eastAsia="宋体" w:cs="宋体"/>
          <w:spacing w:val="-2"/>
          <w:sz w:val="23"/>
          <w:szCs w:val="23"/>
        </w:rPr>
        <w:t>当</w:t>
      </w:r>
      <w:r>
        <w:rPr>
          <w:rFonts w:ascii="Times New Roman" w:hAnsi="Times New Roman" w:eastAsia="Times New Roman" w:cs="Times New Roman"/>
          <w:spacing w:val="-1"/>
          <w:sz w:val="23"/>
          <w:szCs w:val="23"/>
        </w:rPr>
        <w:t>Q</w:t>
      </w:r>
      <w:r>
        <w:rPr>
          <w:rFonts w:ascii="Times New Roman" w:hAnsi="Times New Roman" w:eastAsia="Times New Roman" w:cs="Times New Roman"/>
          <w:spacing w:val="-2"/>
          <w:sz w:val="23"/>
          <w:szCs w:val="23"/>
        </w:rPr>
        <w:t>≥1</w:t>
      </w:r>
      <w:r>
        <w:rPr>
          <w:rFonts w:ascii="宋体" w:hAnsi="宋体" w:eastAsia="宋体" w:cs="宋体"/>
          <w:spacing w:val="-2"/>
          <w:sz w:val="23"/>
          <w:szCs w:val="23"/>
        </w:rPr>
        <w:t>时，将</w:t>
      </w:r>
      <w:r>
        <w:rPr>
          <w:rFonts w:ascii="Times New Roman" w:hAnsi="Times New Roman" w:eastAsia="Times New Roman" w:cs="Times New Roman"/>
          <w:spacing w:val="-1"/>
          <w:sz w:val="23"/>
          <w:szCs w:val="23"/>
        </w:rPr>
        <w:t>Q</w:t>
      </w:r>
      <w:r>
        <w:rPr>
          <w:rFonts w:ascii="宋体" w:hAnsi="宋体" w:eastAsia="宋体" w:cs="宋体"/>
          <w:spacing w:val="-2"/>
          <w:sz w:val="23"/>
          <w:szCs w:val="23"/>
        </w:rPr>
        <w:t>值划分为：  (</w:t>
      </w:r>
      <w:r>
        <w:rPr>
          <w:rFonts w:ascii="Times New Roman" w:hAnsi="Times New Roman" w:eastAsia="Times New Roman" w:cs="Times New Roman"/>
          <w:spacing w:val="-2"/>
          <w:sz w:val="23"/>
          <w:szCs w:val="23"/>
        </w:rPr>
        <w:t>1</w:t>
      </w:r>
      <w:r>
        <w:rPr>
          <w:rFonts w:ascii="宋体" w:hAnsi="宋体" w:eastAsia="宋体" w:cs="宋体"/>
          <w:spacing w:val="-2"/>
          <w:sz w:val="23"/>
          <w:szCs w:val="23"/>
        </w:rPr>
        <w:t xml:space="preserve">) </w:t>
      </w:r>
      <w:r>
        <w:rPr>
          <w:rFonts w:ascii="Times New Roman" w:hAnsi="Times New Roman" w:eastAsia="Times New Roman" w:cs="Times New Roman"/>
          <w:spacing w:val="-2"/>
          <w:sz w:val="23"/>
          <w:szCs w:val="23"/>
        </w:rPr>
        <w:t>1≤</w:t>
      </w:r>
      <w:r>
        <w:rPr>
          <w:rFonts w:ascii="Times New Roman" w:hAnsi="Times New Roman" w:eastAsia="Times New Roman" w:cs="Times New Roman"/>
          <w:spacing w:val="-1"/>
          <w:sz w:val="23"/>
          <w:szCs w:val="23"/>
        </w:rPr>
        <w:t>Q</w:t>
      </w:r>
      <w:r>
        <w:rPr>
          <w:rFonts w:ascii="宋体" w:hAnsi="宋体" w:eastAsia="宋体" w:cs="宋体"/>
          <w:spacing w:val="-2"/>
          <w:sz w:val="23"/>
          <w:szCs w:val="23"/>
        </w:rPr>
        <w:t>＜</w:t>
      </w:r>
      <w:r>
        <w:rPr>
          <w:rFonts w:ascii="Times New Roman" w:hAnsi="Times New Roman" w:eastAsia="Times New Roman" w:cs="Times New Roman"/>
          <w:spacing w:val="-2"/>
          <w:sz w:val="23"/>
          <w:szCs w:val="23"/>
        </w:rPr>
        <w:t>10</w:t>
      </w:r>
      <w:r>
        <w:rPr>
          <w:rFonts w:ascii="宋体" w:hAnsi="宋体" w:eastAsia="宋体" w:cs="宋体"/>
          <w:spacing w:val="-2"/>
          <w:sz w:val="23"/>
          <w:szCs w:val="23"/>
        </w:rPr>
        <w:t>；</w:t>
      </w:r>
      <w:r>
        <w:rPr>
          <w:rFonts w:ascii="宋体" w:hAnsi="宋体" w:eastAsia="宋体" w:cs="宋体"/>
          <w:spacing w:val="-1"/>
          <w:sz w:val="23"/>
          <w:szCs w:val="23"/>
        </w:rPr>
        <w:t xml:space="preserve">  (</w:t>
      </w:r>
      <w:r>
        <w:rPr>
          <w:rFonts w:ascii="Times New Roman" w:hAnsi="Times New Roman" w:eastAsia="Times New Roman" w:cs="Times New Roman"/>
          <w:spacing w:val="-1"/>
          <w:sz w:val="23"/>
          <w:szCs w:val="23"/>
        </w:rPr>
        <w:t>2</w:t>
      </w:r>
      <w:r>
        <w:rPr>
          <w:rFonts w:ascii="宋体" w:hAnsi="宋体" w:eastAsia="宋体" w:cs="宋体"/>
          <w:spacing w:val="-1"/>
          <w:sz w:val="23"/>
          <w:szCs w:val="23"/>
        </w:rPr>
        <w:t xml:space="preserve">) </w:t>
      </w:r>
      <w:r>
        <w:rPr>
          <w:rFonts w:ascii="Times New Roman" w:hAnsi="Times New Roman" w:eastAsia="Times New Roman" w:cs="Times New Roman"/>
          <w:spacing w:val="-1"/>
          <w:sz w:val="23"/>
          <w:szCs w:val="23"/>
        </w:rPr>
        <w:t>10≤Q≤100</w:t>
      </w:r>
      <w:r>
        <w:rPr>
          <w:rFonts w:ascii="宋体" w:hAnsi="宋体" w:eastAsia="宋体" w:cs="宋体"/>
          <w:spacing w:val="-1"/>
          <w:sz w:val="23"/>
          <w:szCs w:val="23"/>
        </w:rPr>
        <w:t>；  (</w:t>
      </w:r>
      <w:r>
        <w:rPr>
          <w:rFonts w:ascii="Times New Roman" w:hAnsi="Times New Roman" w:eastAsia="Times New Roman" w:cs="Times New Roman"/>
          <w:spacing w:val="-1"/>
          <w:sz w:val="23"/>
          <w:szCs w:val="23"/>
        </w:rPr>
        <w:t>3</w:t>
      </w:r>
      <w:r>
        <w:rPr>
          <w:rFonts w:ascii="宋体" w:hAnsi="宋体" w:eastAsia="宋体" w:cs="宋体"/>
          <w:spacing w:val="-1"/>
          <w:sz w:val="23"/>
          <w:szCs w:val="23"/>
        </w:rPr>
        <w:t xml:space="preserve">) </w:t>
      </w:r>
      <w:r>
        <w:rPr>
          <w:rFonts w:ascii="Times New Roman" w:hAnsi="Times New Roman" w:eastAsia="Times New Roman" w:cs="Times New Roman"/>
          <w:spacing w:val="-1"/>
          <w:sz w:val="23"/>
          <w:szCs w:val="23"/>
        </w:rPr>
        <w:t xml:space="preserve">Q≥100 </w:t>
      </w:r>
      <w:r>
        <w:rPr>
          <w:rFonts w:ascii="宋体" w:hAnsi="宋体" w:eastAsia="宋体" w:cs="宋体"/>
          <w:spacing w:val="-1"/>
          <w:sz w:val="23"/>
          <w:szCs w:val="23"/>
        </w:rPr>
        <w:t>。</w:t>
      </w:r>
      <w:r>
        <w:rPr>
          <w:rFonts w:ascii="宋体" w:hAnsi="宋体" w:eastAsia="宋体" w:cs="宋体"/>
          <w:sz w:val="23"/>
          <w:szCs w:val="23"/>
        </w:rPr>
        <w:t xml:space="preserve">   </w:t>
      </w:r>
      <w:r>
        <w:rPr>
          <w:rFonts w:ascii="宋体" w:hAnsi="宋体" w:eastAsia="宋体" w:cs="宋体"/>
          <w:spacing w:val="7"/>
          <w:sz w:val="23"/>
          <w:szCs w:val="23"/>
        </w:rPr>
        <w:t>本项目运营期过程中涉及到的危险物品为消毒剂，项目生猪消毒需要使用到的消毒液</w:t>
      </w:r>
      <w:r>
        <w:rPr>
          <w:rFonts w:ascii="宋体" w:hAnsi="宋体" w:eastAsia="宋体" w:cs="宋体"/>
          <w:spacing w:val="5"/>
          <w:sz w:val="23"/>
          <w:szCs w:val="23"/>
        </w:rPr>
        <w:t>有</w:t>
      </w:r>
    </w:p>
    <w:p w14:paraId="10FEAB28">
      <w:pPr>
        <w:spacing w:before="18" w:line="373" w:lineRule="auto"/>
        <w:ind w:left="9"/>
        <w:rPr>
          <w:rFonts w:ascii="宋体" w:hAnsi="宋体" w:eastAsia="宋体" w:cs="宋体"/>
          <w:sz w:val="23"/>
          <w:szCs w:val="23"/>
        </w:rPr>
      </w:pPr>
      <w:r>
        <w:rPr>
          <w:rFonts w:ascii="宋体" w:hAnsi="宋体" w:eastAsia="宋体" w:cs="宋体"/>
          <w:spacing w:val="14"/>
          <w:sz w:val="23"/>
          <w:szCs w:val="23"/>
        </w:rPr>
        <w:t>烧碱、卫</w:t>
      </w:r>
      <w:r>
        <w:rPr>
          <w:rFonts w:ascii="宋体" w:hAnsi="宋体" w:eastAsia="宋体" w:cs="宋体"/>
          <w:spacing w:val="7"/>
          <w:sz w:val="23"/>
          <w:szCs w:val="23"/>
        </w:rPr>
        <w:t xml:space="preserve">可 (过硫酸氢钾复合物) 、戊二醛等消毒液。消毒液年使用约 </w:t>
      </w:r>
      <w:r>
        <w:rPr>
          <w:rFonts w:ascii="Times New Roman" w:hAnsi="Times New Roman" w:eastAsia="Times New Roman" w:cs="Times New Roman"/>
          <w:spacing w:val="7"/>
          <w:sz w:val="23"/>
          <w:szCs w:val="23"/>
        </w:rPr>
        <w:t xml:space="preserve">1800 </w:t>
      </w:r>
      <w:r>
        <w:rPr>
          <w:rFonts w:ascii="宋体" w:hAnsi="宋体" w:eastAsia="宋体" w:cs="宋体"/>
          <w:spacing w:val="7"/>
          <w:sz w:val="23"/>
          <w:szCs w:val="23"/>
        </w:rPr>
        <w:t>瓶，项目内储</w:t>
      </w:r>
      <w:r>
        <w:rPr>
          <w:rFonts w:ascii="宋体" w:hAnsi="宋体" w:eastAsia="宋体" w:cs="宋体"/>
          <w:sz w:val="23"/>
          <w:szCs w:val="23"/>
        </w:rPr>
        <w:t xml:space="preserve"> </w:t>
      </w:r>
      <w:r>
        <w:rPr>
          <w:rFonts w:ascii="宋体" w:hAnsi="宋体" w:eastAsia="宋体" w:cs="宋体"/>
          <w:spacing w:val="4"/>
          <w:sz w:val="23"/>
          <w:szCs w:val="23"/>
        </w:rPr>
        <w:t>存量不大，最大储存</w:t>
      </w:r>
      <w:r>
        <w:rPr>
          <w:rFonts w:ascii="宋体" w:hAnsi="宋体" w:eastAsia="宋体" w:cs="宋体"/>
          <w:spacing w:val="3"/>
          <w:sz w:val="23"/>
          <w:szCs w:val="23"/>
        </w:rPr>
        <w:t>量</w:t>
      </w:r>
      <w:r>
        <w:rPr>
          <w:rFonts w:ascii="宋体" w:hAnsi="宋体" w:eastAsia="宋体" w:cs="宋体"/>
          <w:spacing w:val="2"/>
          <w:sz w:val="23"/>
          <w:szCs w:val="23"/>
        </w:rPr>
        <w:t xml:space="preserve">约 </w:t>
      </w:r>
      <w:r>
        <w:rPr>
          <w:rFonts w:ascii="Times New Roman" w:hAnsi="Times New Roman" w:eastAsia="Times New Roman" w:cs="Times New Roman"/>
          <w:spacing w:val="2"/>
          <w:sz w:val="23"/>
          <w:szCs w:val="23"/>
        </w:rPr>
        <w:t xml:space="preserve">100 </w:t>
      </w:r>
      <w:r>
        <w:rPr>
          <w:rFonts w:ascii="宋体" w:hAnsi="宋体" w:eastAsia="宋体" w:cs="宋体"/>
          <w:spacing w:val="2"/>
          <w:sz w:val="23"/>
          <w:szCs w:val="23"/>
        </w:rPr>
        <w:t>瓶 (</w:t>
      </w:r>
      <w:r>
        <w:rPr>
          <w:rFonts w:ascii="Times New Roman" w:hAnsi="Times New Roman" w:eastAsia="Times New Roman" w:cs="Times New Roman"/>
          <w:spacing w:val="2"/>
          <w:sz w:val="23"/>
          <w:szCs w:val="23"/>
        </w:rPr>
        <w:t>0.5</w:t>
      </w:r>
      <w:r>
        <w:rPr>
          <w:rFonts w:ascii="Times New Roman" w:hAnsi="Times New Roman" w:eastAsia="Times New Roman" w:cs="Times New Roman"/>
          <w:sz w:val="23"/>
          <w:szCs w:val="23"/>
        </w:rPr>
        <w:t>L</w:t>
      </w:r>
      <w:r>
        <w:rPr>
          <w:rFonts w:ascii="Times New Roman" w:hAnsi="Times New Roman" w:eastAsia="Times New Roman" w:cs="Times New Roman"/>
          <w:spacing w:val="2"/>
          <w:sz w:val="23"/>
          <w:szCs w:val="23"/>
        </w:rPr>
        <w:t>/</w:t>
      </w:r>
      <w:r>
        <w:rPr>
          <w:rFonts w:ascii="宋体" w:hAnsi="宋体" w:eastAsia="宋体" w:cs="宋体"/>
          <w:spacing w:val="2"/>
          <w:sz w:val="23"/>
          <w:szCs w:val="23"/>
        </w:rPr>
        <w:t xml:space="preserve">瓶) ，小于危险化学品临界量 (有机过氧化物 </w:t>
      </w:r>
      <w:r>
        <w:rPr>
          <w:rFonts w:ascii="Times New Roman" w:hAnsi="Times New Roman" w:eastAsia="Times New Roman" w:cs="Times New Roman"/>
          <w:spacing w:val="2"/>
          <w:sz w:val="23"/>
          <w:szCs w:val="23"/>
        </w:rPr>
        <w:t>10</w:t>
      </w:r>
      <w:r>
        <w:rPr>
          <w:rFonts w:ascii="Times New Roman" w:hAnsi="Times New Roman" w:eastAsia="Times New Roman" w:cs="Times New Roman"/>
          <w:sz w:val="23"/>
          <w:szCs w:val="23"/>
        </w:rPr>
        <w:t>t</w:t>
      </w:r>
      <w:r>
        <w:rPr>
          <w:rFonts w:ascii="宋体" w:hAnsi="宋体" w:eastAsia="宋体" w:cs="宋体"/>
          <w:spacing w:val="2"/>
          <w:sz w:val="23"/>
          <w:szCs w:val="23"/>
        </w:rPr>
        <w:t>) 。</w:t>
      </w:r>
      <w:r>
        <w:rPr>
          <w:rFonts w:ascii="宋体" w:hAnsi="宋体" w:eastAsia="宋体" w:cs="宋体"/>
          <w:sz w:val="23"/>
          <w:szCs w:val="23"/>
        </w:rPr>
        <w:t xml:space="preserve"> </w:t>
      </w:r>
      <w:r>
        <w:rPr>
          <w:rFonts w:ascii="宋体" w:hAnsi="宋体" w:eastAsia="宋体" w:cs="宋体"/>
          <w:spacing w:val="1"/>
          <w:sz w:val="23"/>
          <w:szCs w:val="23"/>
        </w:rPr>
        <w:t>根据《建设项目环境风险评价技术导则》  (</w:t>
      </w:r>
      <w:r>
        <w:rPr>
          <w:rFonts w:ascii="Times New Roman" w:hAnsi="Times New Roman" w:eastAsia="Times New Roman" w:cs="Times New Roman"/>
          <w:sz w:val="23"/>
          <w:szCs w:val="23"/>
        </w:rPr>
        <w:t>HJ</w:t>
      </w:r>
      <w:r>
        <w:rPr>
          <w:rFonts w:ascii="Times New Roman" w:hAnsi="Times New Roman" w:eastAsia="Times New Roman" w:cs="Times New Roman"/>
          <w:spacing w:val="1"/>
          <w:sz w:val="23"/>
          <w:szCs w:val="23"/>
        </w:rPr>
        <w:t xml:space="preserve"> 169-2018</w:t>
      </w:r>
      <w:r>
        <w:rPr>
          <w:rFonts w:ascii="宋体" w:hAnsi="宋体" w:eastAsia="宋体" w:cs="宋体"/>
          <w:spacing w:val="1"/>
          <w:sz w:val="23"/>
          <w:szCs w:val="23"/>
        </w:rPr>
        <w:t xml:space="preserve">) 附录 </w:t>
      </w:r>
      <w:r>
        <w:rPr>
          <w:rFonts w:ascii="Times New Roman" w:hAnsi="Times New Roman" w:eastAsia="Times New Roman" w:cs="Times New Roman"/>
          <w:sz w:val="23"/>
          <w:szCs w:val="23"/>
        </w:rPr>
        <w:t>C</w:t>
      </w:r>
      <w:r>
        <w:rPr>
          <w:rFonts w:ascii="Times New Roman" w:hAnsi="Times New Roman" w:eastAsia="Times New Roman" w:cs="Times New Roman"/>
          <w:spacing w:val="1"/>
          <w:sz w:val="23"/>
          <w:szCs w:val="23"/>
        </w:rPr>
        <w:t xml:space="preserve"> </w:t>
      </w:r>
      <w:r>
        <w:rPr>
          <w:rFonts w:ascii="宋体" w:hAnsi="宋体" w:eastAsia="宋体" w:cs="宋体"/>
          <w:spacing w:val="1"/>
          <w:sz w:val="23"/>
          <w:szCs w:val="23"/>
        </w:rPr>
        <w:t xml:space="preserve">，项目 </w:t>
      </w:r>
      <w:r>
        <w:rPr>
          <w:rFonts w:ascii="Times New Roman" w:hAnsi="Times New Roman" w:eastAsia="Times New Roman" w:cs="Times New Roman"/>
          <w:sz w:val="23"/>
          <w:szCs w:val="23"/>
        </w:rPr>
        <w:t>Q</w:t>
      </w:r>
      <w:r>
        <w:rPr>
          <w:rFonts w:ascii="宋体" w:hAnsi="宋体" w:eastAsia="宋体" w:cs="宋体"/>
          <w:spacing w:val="1"/>
          <w:sz w:val="23"/>
          <w:szCs w:val="23"/>
        </w:rPr>
        <w:t>＜</w:t>
      </w:r>
      <w:r>
        <w:rPr>
          <w:rFonts w:ascii="Times New Roman" w:hAnsi="Times New Roman" w:eastAsia="Times New Roman" w:cs="Times New Roman"/>
          <w:spacing w:val="1"/>
          <w:sz w:val="23"/>
          <w:szCs w:val="23"/>
        </w:rPr>
        <w:t xml:space="preserve">1 </w:t>
      </w:r>
      <w:r>
        <w:rPr>
          <w:rFonts w:ascii="宋体" w:hAnsi="宋体" w:eastAsia="宋体" w:cs="宋体"/>
          <w:sz w:val="23"/>
          <w:szCs w:val="23"/>
        </w:rPr>
        <w:t xml:space="preserve">，项目环境风 </w:t>
      </w:r>
      <w:r>
        <w:rPr>
          <w:rFonts w:ascii="宋体" w:hAnsi="宋体" w:eastAsia="宋体" w:cs="宋体"/>
          <w:spacing w:val="-13"/>
          <w:sz w:val="23"/>
          <w:szCs w:val="23"/>
        </w:rPr>
        <w:t>险潜势为 Ⅰ。</w:t>
      </w:r>
    </w:p>
    <w:p w14:paraId="14F8C565">
      <w:pPr>
        <w:spacing w:before="6" w:line="226" w:lineRule="auto"/>
        <w:ind w:left="9"/>
        <w:outlineLvl w:val="2"/>
        <w:rPr>
          <w:rFonts w:ascii="宋体" w:hAnsi="宋体" w:eastAsia="宋体" w:cs="宋体"/>
          <w:sz w:val="23"/>
          <w:szCs w:val="23"/>
        </w:rPr>
      </w:pPr>
      <w:r>
        <w:rPr>
          <w:rFonts w:ascii="Times New Roman" w:hAnsi="Times New Roman" w:eastAsia="Times New Roman" w:cs="Times New Roman"/>
          <w:b/>
          <w:bCs/>
          <w:spacing w:val="12"/>
          <w:sz w:val="23"/>
          <w:szCs w:val="23"/>
        </w:rPr>
        <w:t>8</w:t>
      </w:r>
      <w:r>
        <w:rPr>
          <w:rFonts w:ascii="Times New Roman" w:hAnsi="Times New Roman" w:eastAsia="Times New Roman" w:cs="Times New Roman"/>
          <w:b/>
          <w:bCs/>
          <w:spacing w:val="7"/>
          <w:sz w:val="23"/>
          <w:szCs w:val="23"/>
        </w:rPr>
        <w:t>.</w:t>
      </w:r>
      <w:r>
        <w:rPr>
          <w:rFonts w:ascii="Times New Roman" w:hAnsi="Times New Roman" w:eastAsia="Times New Roman" w:cs="Times New Roman"/>
          <w:b/>
          <w:bCs/>
          <w:spacing w:val="6"/>
          <w:sz w:val="23"/>
          <w:szCs w:val="23"/>
        </w:rPr>
        <w:t>1.3</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评价等级的确定</w:t>
      </w:r>
    </w:p>
    <w:p w14:paraId="26B97F72">
      <w:pPr>
        <w:spacing w:before="185" w:line="227" w:lineRule="auto"/>
        <w:ind w:left="480"/>
        <w:rPr>
          <w:rFonts w:ascii="宋体" w:hAnsi="宋体" w:eastAsia="宋体" w:cs="宋体"/>
          <w:sz w:val="23"/>
          <w:szCs w:val="23"/>
        </w:rPr>
      </w:pPr>
      <w:r>
        <w:rPr>
          <w:rFonts w:ascii="宋体" w:hAnsi="宋体" w:eastAsia="宋体" w:cs="宋体"/>
          <w:spacing w:val="4"/>
          <w:sz w:val="23"/>
          <w:szCs w:val="23"/>
        </w:rPr>
        <w:t>根据《建设项目环</w:t>
      </w:r>
      <w:r>
        <w:rPr>
          <w:rFonts w:ascii="宋体" w:hAnsi="宋体" w:eastAsia="宋体" w:cs="宋体"/>
          <w:spacing w:val="3"/>
          <w:sz w:val="23"/>
          <w:szCs w:val="23"/>
        </w:rPr>
        <w:t>境</w:t>
      </w:r>
      <w:r>
        <w:rPr>
          <w:rFonts w:ascii="宋体" w:hAnsi="宋体" w:eastAsia="宋体" w:cs="宋体"/>
          <w:spacing w:val="2"/>
          <w:sz w:val="23"/>
          <w:szCs w:val="23"/>
        </w:rPr>
        <w:t>风险评价技术导则》  (</w:t>
      </w:r>
      <w:r>
        <w:rPr>
          <w:rFonts w:ascii="Times New Roman" w:hAnsi="Times New Roman" w:eastAsia="Times New Roman" w:cs="Times New Roman"/>
          <w:sz w:val="23"/>
          <w:szCs w:val="23"/>
        </w:rPr>
        <w:t>HJ</w:t>
      </w:r>
      <w:r>
        <w:rPr>
          <w:rFonts w:ascii="Times New Roman" w:hAnsi="Times New Roman" w:eastAsia="Times New Roman" w:cs="Times New Roman"/>
          <w:spacing w:val="2"/>
          <w:sz w:val="23"/>
          <w:szCs w:val="23"/>
        </w:rPr>
        <w:t xml:space="preserve"> 169-2018</w:t>
      </w:r>
      <w:r>
        <w:rPr>
          <w:rFonts w:ascii="宋体" w:hAnsi="宋体" w:eastAsia="宋体" w:cs="宋体"/>
          <w:spacing w:val="2"/>
          <w:sz w:val="23"/>
          <w:szCs w:val="23"/>
        </w:rPr>
        <w:t>) ，建设项目环境风险评价工作</w:t>
      </w:r>
    </w:p>
    <w:p w14:paraId="355B0464">
      <w:pPr>
        <w:spacing w:before="185" w:line="227" w:lineRule="auto"/>
        <w:ind w:left="12"/>
        <w:rPr>
          <w:rFonts w:ascii="宋体" w:hAnsi="宋体" w:eastAsia="宋体" w:cs="宋体"/>
          <w:sz w:val="23"/>
          <w:szCs w:val="23"/>
        </w:rPr>
      </w:pPr>
      <w:r>
        <w:rPr>
          <w:rFonts w:ascii="宋体" w:hAnsi="宋体" w:eastAsia="宋体" w:cs="宋体"/>
          <w:spacing w:val="-10"/>
          <w:sz w:val="23"/>
          <w:szCs w:val="23"/>
        </w:rPr>
        <w:t>等</w:t>
      </w:r>
      <w:r>
        <w:rPr>
          <w:rFonts w:ascii="宋体" w:hAnsi="宋体" w:eastAsia="宋体" w:cs="宋体"/>
          <w:spacing w:val="-7"/>
          <w:sz w:val="23"/>
          <w:szCs w:val="23"/>
        </w:rPr>
        <w:t>级</w:t>
      </w:r>
      <w:r>
        <w:rPr>
          <w:rFonts w:ascii="宋体" w:hAnsi="宋体" w:eastAsia="宋体" w:cs="宋体"/>
          <w:spacing w:val="-5"/>
          <w:sz w:val="23"/>
          <w:szCs w:val="23"/>
        </w:rPr>
        <w:t xml:space="preserve">划分原则详见下表 </w:t>
      </w:r>
      <w:r>
        <w:rPr>
          <w:rFonts w:ascii="Times New Roman" w:hAnsi="Times New Roman" w:eastAsia="Times New Roman" w:cs="Times New Roman"/>
          <w:spacing w:val="-5"/>
          <w:sz w:val="23"/>
          <w:szCs w:val="23"/>
        </w:rPr>
        <w:t>8. 1- 1</w:t>
      </w:r>
      <w:r>
        <w:rPr>
          <w:rFonts w:ascii="宋体" w:hAnsi="宋体" w:eastAsia="宋体" w:cs="宋体"/>
          <w:spacing w:val="-5"/>
          <w:sz w:val="23"/>
          <w:szCs w:val="23"/>
        </w:rPr>
        <w:t>。</w:t>
      </w:r>
    </w:p>
    <w:p w14:paraId="7FC45135">
      <w:pPr>
        <w:sectPr>
          <w:headerReference r:id="rId288" w:type="default"/>
          <w:footerReference r:id="rId289" w:type="default"/>
          <w:pgSz w:w="11906" w:h="16839"/>
          <w:pgMar w:top="1113" w:right="1030" w:bottom="1157" w:left="1275" w:header="878" w:footer="994" w:gutter="0"/>
          <w:cols w:space="720" w:num="1"/>
        </w:sectPr>
      </w:pPr>
    </w:p>
    <w:p w14:paraId="296C5923">
      <w:pPr>
        <w:spacing w:before="198" w:line="221" w:lineRule="auto"/>
        <w:ind w:left="3597"/>
        <w:rPr>
          <w:rFonts w:ascii="黑体" w:hAnsi="黑体" w:eastAsia="黑体" w:cs="黑体"/>
          <w:sz w:val="23"/>
          <w:szCs w:val="23"/>
        </w:rPr>
      </w:pPr>
      <w:r>
        <w:rPr>
          <w:rFonts w:ascii="黑体" w:hAnsi="黑体" w:eastAsia="黑体" w:cs="黑体"/>
          <w:spacing w:val="-6"/>
          <w:sz w:val="23"/>
          <w:szCs w:val="23"/>
        </w:rPr>
        <w:t>表</w:t>
      </w:r>
      <w:r>
        <w:rPr>
          <w:rFonts w:ascii="黑体" w:hAnsi="黑体" w:eastAsia="黑体" w:cs="黑体"/>
          <w:spacing w:val="-3"/>
          <w:sz w:val="23"/>
          <w:szCs w:val="23"/>
        </w:rPr>
        <w:t xml:space="preserve"> </w:t>
      </w:r>
      <w:r>
        <w:rPr>
          <w:rFonts w:ascii="Times New Roman" w:hAnsi="Times New Roman" w:eastAsia="Times New Roman" w:cs="Times New Roman"/>
          <w:spacing w:val="-3"/>
          <w:sz w:val="23"/>
          <w:szCs w:val="23"/>
        </w:rPr>
        <w:t xml:space="preserve">8. 1- 1    </w:t>
      </w:r>
      <w:r>
        <w:rPr>
          <w:rFonts w:ascii="黑体" w:hAnsi="黑体" w:eastAsia="黑体" w:cs="黑体"/>
          <w:spacing w:val="-3"/>
          <w:sz w:val="23"/>
          <w:szCs w:val="23"/>
        </w:rPr>
        <w:t>评价工作等级划分</w:t>
      </w:r>
    </w:p>
    <w:tbl>
      <w:tblPr>
        <w:tblStyle w:val="4"/>
        <w:tblW w:w="928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57"/>
        <w:gridCol w:w="1857"/>
        <w:gridCol w:w="1858"/>
        <w:gridCol w:w="1858"/>
        <w:gridCol w:w="1858"/>
      </w:tblGrid>
      <w:tr w14:paraId="702F0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3" w:hRule="atLeast"/>
        </w:trPr>
        <w:tc>
          <w:tcPr>
            <w:tcW w:w="1857" w:type="dxa"/>
            <w:tcBorders>
              <w:left w:val="nil"/>
            </w:tcBorders>
          </w:tcPr>
          <w:p w14:paraId="3CA4695C">
            <w:pPr>
              <w:spacing w:before="96" w:line="228" w:lineRule="auto"/>
              <w:ind w:left="318"/>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环境风险潜</w:t>
            </w:r>
            <w:r>
              <w:rPr>
                <w:rFonts w:ascii="宋体" w:hAnsi="宋体" w:eastAsia="宋体" w:cs="宋体"/>
                <w:spacing w:val="5"/>
                <w:sz w:val="20"/>
                <w:szCs w:val="20"/>
                <w14:textOutline w14:w="3797" w14:cap="sq" w14:cmpd="sng" w14:algn="ctr">
                  <w14:solidFill>
                    <w14:srgbClr w14:val="000000"/>
                  </w14:solidFill>
                  <w14:prstDash w14:val="solid"/>
                  <w14:bevel/>
                </w14:textOutline>
              </w:rPr>
              <w:t>势</w:t>
            </w:r>
          </w:p>
        </w:tc>
        <w:tc>
          <w:tcPr>
            <w:tcW w:w="1857" w:type="dxa"/>
          </w:tcPr>
          <w:p w14:paraId="0A6AB981">
            <w:pPr>
              <w:spacing w:before="66" w:line="294" w:lineRule="exact"/>
              <w:ind w:left="598"/>
              <w:rPr>
                <w:rFonts w:ascii="Calibri" w:hAnsi="Calibri" w:eastAsia="Calibri" w:cs="Calibri"/>
                <w:sz w:val="13"/>
                <w:szCs w:val="13"/>
              </w:rPr>
            </w:pPr>
            <w:r>
              <w:rPr>
                <w:rFonts w:ascii="宋体" w:hAnsi="宋体" w:eastAsia="宋体" w:cs="宋体"/>
                <w:spacing w:val="2"/>
                <w:position w:val="2"/>
                <w:sz w:val="20"/>
                <w:szCs w:val="20"/>
              </w:rPr>
              <w:t>Ⅳ、Ⅳ</w:t>
            </w:r>
            <w:r>
              <w:rPr>
                <w:rFonts w:ascii="Calibri" w:hAnsi="Calibri" w:eastAsia="Calibri" w:cs="Calibri"/>
                <w:spacing w:val="2"/>
                <w:position w:val="8"/>
                <w:sz w:val="13"/>
                <w:szCs w:val="13"/>
              </w:rPr>
              <w:t>+</w:t>
            </w:r>
          </w:p>
        </w:tc>
        <w:tc>
          <w:tcPr>
            <w:tcW w:w="1858" w:type="dxa"/>
          </w:tcPr>
          <w:p w14:paraId="3B5B3D7D">
            <w:pPr>
              <w:spacing w:before="96" w:line="264" w:lineRule="exact"/>
              <w:ind w:left="829"/>
              <w:rPr>
                <w:rFonts w:ascii="宋体" w:hAnsi="宋体" w:eastAsia="宋体" w:cs="宋体"/>
                <w:sz w:val="20"/>
                <w:szCs w:val="20"/>
              </w:rPr>
            </w:pPr>
            <w:r>
              <w:rPr>
                <w:rFonts w:ascii="宋体" w:hAnsi="宋体" w:eastAsia="宋体" w:cs="宋体"/>
                <w:spacing w:val="1"/>
                <w:position w:val="1"/>
                <w:sz w:val="20"/>
                <w:szCs w:val="20"/>
              </w:rPr>
              <w:t>Ⅲ</w:t>
            </w:r>
          </w:p>
        </w:tc>
        <w:tc>
          <w:tcPr>
            <w:tcW w:w="1858" w:type="dxa"/>
          </w:tcPr>
          <w:p w14:paraId="3652C405">
            <w:pPr>
              <w:spacing w:before="96" w:line="264" w:lineRule="exact"/>
              <w:ind w:left="866"/>
              <w:rPr>
                <w:rFonts w:ascii="宋体" w:hAnsi="宋体" w:eastAsia="宋体" w:cs="宋体"/>
                <w:sz w:val="20"/>
                <w:szCs w:val="20"/>
              </w:rPr>
            </w:pPr>
            <w:r>
              <w:rPr>
                <w:rFonts w:ascii="宋体" w:hAnsi="宋体" w:eastAsia="宋体" w:cs="宋体"/>
                <w:position w:val="1"/>
                <w:sz w:val="20"/>
                <w:szCs w:val="20"/>
              </w:rPr>
              <w:t>Ⅱ</w:t>
            </w:r>
          </w:p>
        </w:tc>
        <w:tc>
          <w:tcPr>
            <w:tcW w:w="1858" w:type="dxa"/>
            <w:tcBorders>
              <w:right w:val="nil"/>
            </w:tcBorders>
            <w:shd w:val="clear" w:color="auto" w:fill="BEBEBE"/>
          </w:tcPr>
          <w:p w14:paraId="2036C4F7">
            <w:pPr>
              <w:spacing w:before="96" w:line="263" w:lineRule="exact"/>
              <w:ind w:left="897"/>
              <w:rPr>
                <w:rFonts w:ascii="宋体" w:hAnsi="宋体" w:eastAsia="宋体" w:cs="宋体"/>
                <w:sz w:val="20"/>
                <w:szCs w:val="20"/>
              </w:rPr>
            </w:pPr>
            <w:r>
              <w:rPr>
                <w:rFonts w:ascii="宋体" w:hAnsi="宋体" w:eastAsia="宋体" w:cs="宋体"/>
                <w:position w:val="1"/>
                <w:sz w:val="20"/>
                <w:szCs w:val="20"/>
              </w:rPr>
              <w:t>Ⅰ</w:t>
            </w:r>
          </w:p>
        </w:tc>
      </w:tr>
      <w:tr w14:paraId="276C60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857" w:type="dxa"/>
            <w:tcBorders>
              <w:left w:val="nil"/>
            </w:tcBorders>
          </w:tcPr>
          <w:p w14:paraId="57211276">
            <w:pPr>
              <w:spacing w:before="56" w:line="226" w:lineRule="auto"/>
              <w:ind w:left="31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评价工作等级</w:t>
            </w:r>
          </w:p>
        </w:tc>
        <w:tc>
          <w:tcPr>
            <w:tcW w:w="1857" w:type="dxa"/>
          </w:tcPr>
          <w:p w14:paraId="2ACE2870">
            <w:pPr>
              <w:spacing w:before="135" w:line="168" w:lineRule="exact"/>
              <w:ind w:left="833"/>
              <w:rPr>
                <w:rFonts w:ascii="宋体" w:hAnsi="宋体" w:eastAsia="宋体" w:cs="宋体"/>
                <w:sz w:val="10"/>
                <w:szCs w:val="10"/>
              </w:rPr>
            </w:pPr>
            <w:r>
              <w:rPr>
                <w:rFonts w:ascii="宋体" w:hAnsi="宋体" w:eastAsia="宋体" w:cs="宋体"/>
                <w:spacing w:val="97"/>
                <w:position w:val="1"/>
                <w:sz w:val="10"/>
                <w:szCs w:val="10"/>
              </w:rPr>
              <w:t>一</w:t>
            </w:r>
          </w:p>
        </w:tc>
        <w:tc>
          <w:tcPr>
            <w:tcW w:w="1858" w:type="dxa"/>
          </w:tcPr>
          <w:p w14:paraId="41F215EC">
            <w:pPr>
              <w:spacing w:before="95" w:line="189" w:lineRule="auto"/>
              <w:ind w:left="834"/>
              <w:rPr>
                <w:rFonts w:ascii="宋体" w:hAnsi="宋体" w:eastAsia="宋体" w:cs="宋体"/>
                <w:sz w:val="20"/>
                <w:szCs w:val="20"/>
              </w:rPr>
            </w:pPr>
            <w:r>
              <w:rPr>
                <w:rFonts w:ascii="宋体" w:hAnsi="宋体" w:eastAsia="宋体" w:cs="宋体"/>
                <w:sz w:val="20"/>
                <w:szCs w:val="20"/>
              </w:rPr>
              <w:t>二</w:t>
            </w:r>
          </w:p>
        </w:tc>
        <w:tc>
          <w:tcPr>
            <w:tcW w:w="1858" w:type="dxa"/>
          </w:tcPr>
          <w:p w14:paraId="7F3FD247">
            <w:pPr>
              <w:spacing w:before="56" w:line="266" w:lineRule="exact"/>
              <w:ind w:left="830"/>
              <w:rPr>
                <w:rFonts w:ascii="宋体" w:hAnsi="宋体" w:eastAsia="宋体" w:cs="宋体"/>
                <w:sz w:val="20"/>
                <w:szCs w:val="20"/>
              </w:rPr>
            </w:pPr>
            <w:r>
              <w:rPr>
                <w:rFonts w:ascii="宋体" w:hAnsi="宋体" w:eastAsia="宋体" w:cs="宋体"/>
                <w:position w:val="1"/>
                <w:sz w:val="20"/>
                <w:szCs w:val="20"/>
              </w:rPr>
              <w:t>三</w:t>
            </w:r>
          </w:p>
        </w:tc>
        <w:tc>
          <w:tcPr>
            <w:tcW w:w="1858" w:type="dxa"/>
            <w:tcBorders>
              <w:right w:val="nil"/>
            </w:tcBorders>
            <w:shd w:val="clear" w:color="auto" w:fill="BEBEBE"/>
          </w:tcPr>
          <w:p w14:paraId="4E72DBF0">
            <w:pPr>
              <w:spacing w:before="56" w:line="227" w:lineRule="auto"/>
              <w:ind w:left="469"/>
              <w:rPr>
                <w:rFonts w:ascii="Calibri" w:hAnsi="Calibri" w:eastAsia="Calibri" w:cs="Calibri"/>
                <w:sz w:val="13"/>
                <w:szCs w:val="13"/>
              </w:rPr>
            </w:pPr>
            <w:r>
              <w:rPr>
                <w:rFonts w:ascii="宋体" w:hAnsi="宋体" w:eastAsia="宋体" w:cs="宋体"/>
                <w:spacing w:val="-6"/>
                <w:sz w:val="20"/>
                <w:szCs w:val="20"/>
              </w:rPr>
              <w:t>简</w:t>
            </w:r>
            <w:r>
              <w:rPr>
                <w:rFonts w:ascii="宋体" w:hAnsi="宋体" w:eastAsia="宋体" w:cs="宋体"/>
                <w:spacing w:val="-5"/>
                <w:sz w:val="20"/>
                <w:szCs w:val="20"/>
              </w:rPr>
              <w:t xml:space="preserve">单分析 </w:t>
            </w:r>
            <w:r>
              <w:rPr>
                <w:rFonts w:ascii="Calibri" w:hAnsi="Calibri" w:eastAsia="Calibri" w:cs="Calibri"/>
                <w:spacing w:val="-5"/>
                <w:position w:val="6"/>
                <w:sz w:val="13"/>
                <w:szCs w:val="13"/>
              </w:rPr>
              <w:t>a</w:t>
            </w:r>
          </w:p>
        </w:tc>
      </w:tr>
    </w:tbl>
    <w:p w14:paraId="03C3BD2F">
      <w:pPr>
        <w:spacing w:before="31" w:line="237" w:lineRule="auto"/>
        <w:ind w:left="117" w:right="593" w:hanging="3"/>
        <w:rPr>
          <w:rFonts w:ascii="宋体" w:hAnsi="宋体" w:eastAsia="宋体" w:cs="宋体"/>
          <w:sz w:val="20"/>
          <w:szCs w:val="20"/>
        </w:rPr>
      </w:pPr>
      <w:r>
        <w:rPr>
          <w:rFonts w:ascii="Calibri" w:hAnsi="Calibri" w:eastAsia="Calibri" w:cs="Calibri"/>
          <w:position w:val="6"/>
          <w:sz w:val="13"/>
          <w:szCs w:val="13"/>
        </w:rPr>
        <w:t>a</w:t>
      </w:r>
      <w:r>
        <w:rPr>
          <w:rFonts w:ascii="Calibri" w:hAnsi="Calibri" w:eastAsia="Calibri" w:cs="Calibri"/>
          <w:spacing w:val="10"/>
          <w:position w:val="6"/>
          <w:sz w:val="13"/>
          <w:szCs w:val="13"/>
        </w:rPr>
        <w:t xml:space="preserve">  </w:t>
      </w:r>
      <w:r>
        <w:rPr>
          <w:rFonts w:ascii="宋体" w:hAnsi="宋体" w:eastAsia="宋体" w:cs="宋体"/>
          <w:spacing w:val="10"/>
          <w:sz w:val="20"/>
          <w:szCs w:val="20"/>
        </w:rPr>
        <w:t>是相对于详</w:t>
      </w:r>
      <w:r>
        <w:rPr>
          <w:rFonts w:ascii="宋体" w:hAnsi="宋体" w:eastAsia="宋体" w:cs="宋体"/>
          <w:spacing w:val="5"/>
          <w:sz w:val="20"/>
          <w:szCs w:val="20"/>
        </w:rPr>
        <w:t>细评价工作内容而言，在描述危险物质、换金影响途径、环境危害后果、风险防范措施</w:t>
      </w:r>
      <w:r>
        <w:rPr>
          <w:rFonts w:ascii="宋体" w:hAnsi="宋体" w:eastAsia="宋体" w:cs="宋体"/>
          <w:sz w:val="20"/>
          <w:szCs w:val="20"/>
        </w:rPr>
        <w:t xml:space="preserve"> </w:t>
      </w:r>
      <w:r>
        <w:rPr>
          <w:rFonts w:ascii="宋体" w:hAnsi="宋体" w:eastAsia="宋体" w:cs="宋体"/>
          <w:spacing w:val="8"/>
          <w:sz w:val="20"/>
          <w:szCs w:val="20"/>
        </w:rPr>
        <w:t>等</w:t>
      </w:r>
      <w:r>
        <w:rPr>
          <w:rFonts w:ascii="宋体" w:hAnsi="宋体" w:eastAsia="宋体" w:cs="宋体"/>
          <w:spacing w:val="7"/>
          <w:sz w:val="20"/>
          <w:szCs w:val="20"/>
        </w:rPr>
        <w:t>方</w:t>
      </w:r>
      <w:r>
        <w:rPr>
          <w:rFonts w:ascii="宋体" w:hAnsi="宋体" w:eastAsia="宋体" w:cs="宋体"/>
          <w:spacing w:val="4"/>
          <w:sz w:val="20"/>
          <w:szCs w:val="20"/>
        </w:rPr>
        <w:t>面给出定性的说明。</w:t>
      </w:r>
    </w:p>
    <w:p w14:paraId="073D6C80">
      <w:pPr>
        <w:spacing w:line="28" w:lineRule="exact"/>
        <w:textAlignment w:val="center"/>
      </w:pPr>
      <w:r>
        <w:pict>
          <v:shape id="_x0000_s2138" o:spid="_x0000_s2138" style="height:1.45pt;width:464.4pt;" filled="f" coordsize="9287,29" path="m0,14l9287,14e">
            <v:fill on="f" focussize="0,0"/>
            <v:stroke weight="1.44pt" miterlimit="2" joinstyle="bevel"/>
            <v:imagedata o:title=""/>
            <o:lock v:ext="edit"/>
            <w10:wrap type="none"/>
            <w10:anchorlock/>
          </v:shape>
        </w:pict>
      </w:r>
    </w:p>
    <w:p w14:paraId="5A78155C">
      <w:pPr>
        <w:spacing w:before="155" w:line="226" w:lineRule="auto"/>
        <w:ind w:left="598"/>
        <w:rPr>
          <w:rFonts w:ascii="宋体" w:hAnsi="宋体" w:eastAsia="宋体" w:cs="宋体"/>
          <w:sz w:val="23"/>
          <w:szCs w:val="23"/>
        </w:rPr>
      </w:pPr>
      <w:r>
        <w:rPr>
          <w:rFonts w:ascii="宋体" w:hAnsi="宋体" w:eastAsia="宋体" w:cs="宋体"/>
          <w:spacing w:val="9"/>
          <w:sz w:val="23"/>
          <w:szCs w:val="23"/>
        </w:rPr>
        <w:t>确定本项目环境风险等级为简单评价</w:t>
      </w:r>
      <w:r>
        <w:rPr>
          <w:rFonts w:ascii="宋体" w:hAnsi="宋体" w:eastAsia="宋体" w:cs="宋体"/>
          <w:spacing w:val="6"/>
          <w:sz w:val="23"/>
          <w:szCs w:val="23"/>
        </w:rPr>
        <w:t>。</w:t>
      </w:r>
    </w:p>
    <w:p w14:paraId="4BD8405D">
      <w:pPr>
        <w:spacing w:before="187" w:line="227" w:lineRule="auto"/>
        <w:ind w:left="117"/>
        <w:outlineLvl w:val="2"/>
        <w:rPr>
          <w:rFonts w:ascii="宋体" w:hAnsi="宋体" w:eastAsia="宋体" w:cs="宋体"/>
          <w:sz w:val="23"/>
          <w:szCs w:val="23"/>
        </w:rPr>
      </w:pPr>
      <w:r>
        <w:rPr>
          <w:rFonts w:ascii="Times New Roman" w:hAnsi="Times New Roman" w:eastAsia="Times New Roman" w:cs="Times New Roman"/>
          <w:b/>
          <w:bCs/>
          <w:spacing w:val="9"/>
          <w:sz w:val="23"/>
          <w:szCs w:val="23"/>
        </w:rPr>
        <w:t>8</w:t>
      </w:r>
      <w:r>
        <w:rPr>
          <w:rFonts w:ascii="Times New Roman" w:hAnsi="Times New Roman" w:eastAsia="Times New Roman" w:cs="Times New Roman"/>
          <w:b/>
          <w:bCs/>
          <w:spacing w:val="6"/>
          <w:sz w:val="23"/>
          <w:szCs w:val="23"/>
        </w:rPr>
        <w:t>.1.4</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环境敏感目标</w:t>
      </w:r>
    </w:p>
    <w:p w14:paraId="422A16BD">
      <w:pPr>
        <w:spacing w:before="182" w:line="227" w:lineRule="auto"/>
        <w:ind w:left="599"/>
        <w:rPr>
          <w:rFonts w:ascii="宋体" w:hAnsi="宋体" w:eastAsia="宋体" w:cs="宋体"/>
          <w:sz w:val="23"/>
          <w:szCs w:val="23"/>
        </w:rPr>
      </w:pPr>
      <w:r>
        <w:rPr>
          <w:rFonts w:ascii="宋体" w:hAnsi="宋体" w:eastAsia="宋体" w:cs="宋体"/>
          <w:spacing w:val="9"/>
          <w:sz w:val="23"/>
          <w:szCs w:val="23"/>
        </w:rPr>
        <w:t>本项目周围主要环境目标为周边分布的住户</w:t>
      </w:r>
      <w:r>
        <w:rPr>
          <w:rFonts w:ascii="宋体" w:hAnsi="宋体" w:eastAsia="宋体" w:cs="宋体"/>
          <w:spacing w:val="8"/>
          <w:sz w:val="23"/>
          <w:szCs w:val="23"/>
        </w:rPr>
        <w:t>。</w:t>
      </w:r>
    </w:p>
    <w:p w14:paraId="63B71A2A">
      <w:pPr>
        <w:spacing w:before="191" w:line="221" w:lineRule="auto"/>
        <w:ind w:left="118"/>
        <w:outlineLvl w:val="1"/>
        <w:rPr>
          <w:rFonts w:ascii="宋体" w:hAnsi="宋体" w:eastAsia="宋体" w:cs="宋体"/>
          <w:sz w:val="28"/>
          <w:szCs w:val="28"/>
        </w:rPr>
      </w:pPr>
      <w:bookmarkStart w:id="59" w:name="_bookmark60"/>
      <w:bookmarkEnd w:id="59"/>
      <w:r>
        <w:rPr>
          <w:rFonts w:ascii="Times New Roman" w:hAnsi="Times New Roman" w:eastAsia="Times New Roman" w:cs="Times New Roman"/>
          <w:b/>
          <w:bCs/>
          <w:spacing w:val="-1"/>
          <w:sz w:val="28"/>
          <w:szCs w:val="28"/>
        </w:rPr>
        <w:t>8.2</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环境风险识别</w:t>
      </w:r>
    </w:p>
    <w:p w14:paraId="02739E5E">
      <w:pPr>
        <w:spacing w:before="204" w:line="228" w:lineRule="auto"/>
        <w:ind w:left="117"/>
        <w:outlineLvl w:val="2"/>
        <w:rPr>
          <w:rFonts w:ascii="宋体" w:hAnsi="宋体" w:eastAsia="宋体" w:cs="宋体"/>
          <w:sz w:val="23"/>
          <w:szCs w:val="23"/>
        </w:rPr>
      </w:pPr>
      <w:r>
        <w:rPr>
          <w:rFonts w:ascii="Times New Roman" w:hAnsi="Times New Roman" w:eastAsia="Times New Roman" w:cs="Times New Roman"/>
          <w:b/>
          <w:bCs/>
          <w:spacing w:val="9"/>
          <w:sz w:val="23"/>
          <w:szCs w:val="23"/>
        </w:rPr>
        <w:t>8</w:t>
      </w:r>
      <w:r>
        <w:rPr>
          <w:rFonts w:ascii="Times New Roman" w:hAnsi="Times New Roman" w:eastAsia="Times New Roman" w:cs="Times New Roman"/>
          <w:b/>
          <w:bCs/>
          <w:spacing w:val="6"/>
          <w:sz w:val="23"/>
          <w:szCs w:val="23"/>
        </w:rPr>
        <w:t>.2.1</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物质风险识别</w:t>
      </w:r>
    </w:p>
    <w:p w14:paraId="288F3F36">
      <w:pPr>
        <w:spacing w:before="181" w:line="227" w:lineRule="auto"/>
        <w:ind w:left="602"/>
        <w:rPr>
          <w:rFonts w:ascii="宋体" w:hAnsi="宋体" w:eastAsia="宋体" w:cs="宋体"/>
          <w:sz w:val="23"/>
          <w:szCs w:val="23"/>
        </w:rPr>
      </w:pPr>
      <w:r>
        <w:rPr>
          <w:rFonts w:ascii="宋体" w:hAnsi="宋体" w:eastAsia="宋体" w:cs="宋体"/>
          <w:spacing w:val="16"/>
          <w:sz w:val="23"/>
          <w:szCs w:val="23"/>
        </w:rPr>
        <w:t>项</w:t>
      </w:r>
      <w:r>
        <w:rPr>
          <w:rFonts w:ascii="宋体" w:hAnsi="宋体" w:eastAsia="宋体" w:cs="宋体"/>
          <w:spacing w:val="12"/>
          <w:sz w:val="23"/>
          <w:szCs w:val="23"/>
        </w:rPr>
        <w:t>目</w:t>
      </w:r>
      <w:r>
        <w:rPr>
          <w:rFonts w:ascii="宋体" w:hAnsi="宋体" w:eastAsia="宋体" w:cs="宋体"/>
          <w:spacing w:val="8"/>
          <w:sz w:val="23"/>
          <w:szCs w:val="23"/>
        </w:rPr>
        <w:t>涉及到的危险因素为消毒剂的存储。</w:t>
      </w:r>
    </w:p>
    <w:p w14:paraId="1A78C3E7">
      <w:pPr>
        <w:spacing w:before="186" w:line="365" w:lineRule="auto"/>
        <w:ind w:left="120" w:right="84" w:firstLine="481"/>
        <w:rPr>
          <w:rFonts w:ascii="宋体" w:hAnsi="宋体" w:eastAsia="宋体" w:cs="宋体"/>
          <w:sz w:val="23"/>
          <w:szCs w:val="23"/>
        </w:rPr>
      </w:pPr>
      <w:r>
        <w:rPr>
          <w:rFonts w:ascii="宋体" w:hAnsi="宋体" w:eastAsia="宋体" w:cs="宋体"/>
          <w:spacing w:val="12"/>
          <w:sz w:val="23"/>
          <w:szCs w:val="23"/>
        </w:rPr>
        <w:t>项目猪</w:t>
      </w:r>
      <w:r>
        <w:rPr>
          <w:rFonts w:ascii="宋体" w:hAnsi="宋体" w:eastAsia="宋体" w:cs="宋体"/>
          <w:spacing w:val="9"/>
          <w:sz w:val="23"/>
          <w:szCs w:val="23"/>
        </w:rPr>
        <w:t>场</w:t>
      </w:r>
      <w:r>
        <w:rPr>
          <w:rFonts w:ascii="宋体" w:hAnsi="宋体" w:eastAsia="宋体" w:cs="宋体"/>
          <w:spacing w:val="6"/>
          <w:sz w:val="23"/>
          <w:szCs w:val="23"/>
        </w:rPr>
        <w:t>消毒需要使用到的消毒液有烧碱、卫可 (过硫酸氢钾复合物) 、戊二醛等消毒</w:t>
      </w:r>
      <w:r>
        <w:rPr>
          <w:rFonts w:ascii="宋体" w:hAnsi="宋体" w:eastAsia="宋体" w:cs="宋体"/>
          <w:sz w:val="23"/>
          <w:szCs w:val="23"/>
        </w:rPr>
        <w:t xml:space="preserve"> </w:t>
      </w:r>
      <w:r>
        <w:rPr>
          <w:rFonts w:ascii="宋体" w:hAnsi="宋体" w:eastAsia="宋体" w:cs="宋体"/>
          <w:spacing w:val="8"/>
          <w:sz w:val="23"/>
          <w:szCs w:val="23"/>
        </w:rPr>
        <w:t>液</w:t>
      </w:r>
      <w:r>
        <w:rPr>
          <w:rFonts w:ascii="宋体" w:hAnsi="宋体" w:eastAsia="宋体" w:cs="宋体"/>
          <w:spacing w:val="5"/>
          <w:sz w:val="23"/>
          <w:szCs w:val="23"/>
        </w:rPr>
        <w:t xml:space="preserve">。消毒液年使用约 </w:t>
      </w:r>
      <w:r>
        <w:rPr>
          <w:rFonts w:ascii="Times New Roman" w:hAnsi="Times New Roman" w:eastAsia="Times New Roman" w:cs="Times New Roman"/>
          <w:spacing w:val="5"/>
          <w:sz w:val="23"/>
          <w:szCs w:val="23"/>
        </w:rPr>
        <w:t xml:space="preserve">1800 </w:t>
      </w:r>
      <w:r>
        <w:rPr>
          <w:rFonts w:ascii="宋体" w:hAnsi="宋体" w:eastAsia="宋体" w:cs="宋体"/>
          <w:spacing w:val="5"/>
          <w:sz w:val="23"/>
          <w:szCs w:val="23"/>
        </w:rPr>
        <w:t xml:space="preserve">瓶，项目内储存量不大，最大储存量约 </w:t>
      </w:r>
      <w:r>
        <w:rPr>
          <w:rFonts w:ascii="Times New Roman" w:hAnsi="Times New Roman" w:eastAsia="Times New Roman" w:cs="Times New Roman"/>
          <w:spacing w:val="5"/>
          <w:sz w:val="23"/>
          <w:szCs w:val="23"/>
        </w:rPr>
        <w:t xml:space="preserve">100 </w:t>
      </w:r>
      <w:r>
        <w:rPr>
          <w:rFonts w:ascii="宋体" w:hAnsi="宋体" w:eastAsia="宋体" w:cs="宋体"/>
          <w:spacing w:val="5"/>
          <w:sz w:val="23"/>
          <w:szCs w:val="23"/>
        </w:rPr>
        <w:t>瓶 (</w:t>
      </w:r>
      <w:r>
        <w:rPr>
          <w:rFonts w:ascii="Times New Roman" w:hAnsi="Times New Roman" w:eastAsia="Times New Roman" w:cs="Times New Roman"/>
          <w:spacing w:val="5"/>
          <w:sz w:val="23"/>
          <w:szCs w:val="23"/>
        </w:rPr>
        <w:t>0.5</w:t>
      </w:r>
      <w:r>
        <w:rPr>
          <w:rFonts w:ascii="Times New Roman" w:hAnsi="Times New Roman" w:eastAsia="Times New Roman" w:cs="Times New Roman"/>
          <w:sz w:val="23"/>
          <w:szCs w:val="23"/>
        </w:rPr>
        <w:t>L</w:t>
      </w:r>
      <w:r>
        <w:rPr>
          <w:rFonts w:ascii="Times New Roman" w:hAnsi="Times New Roman" w:eastAsia="Times New Roman" w:cs="Times New Roman"/>
          <w:spacing w:val="5"/>
          <w:sz w:val="23"/>
          <w:szCs w:val="23"/>
        </w:rPr>
        <w:t>/</w:t>
      </w:r>
      <w:r>
        <w:rPr>
          <w:rFonts w:ascii="宋体" w:hAnsi="宋体" w:eastAsia="宋体" w:cs="宋体"/>
          <w:spacing w:val="5"/>
          <w:sz w:val="23"/>
          <w:szCs w:val="23"/>
        </w:rPr>
        <w:t>瓶) ，远小</w:t>
      </w:r>
      <w:r>
        <w:rPr>
          <w:rFonts w:ascii="宋体" w:hAnsi="宋体" w:eastAsia="宋体" w:cs="宋体"/>
          <w:sz w:val="23"/>
          <w:szCs w:val="23"/>
        </w:rPr>
        <w:t xml:space="preserve"> </w:t>
      </w:r>
      <w:r>
        <w:rPr>
          <w:rFonts w:ascii="宋体" w:hAnsi="宋体" w:eastAsia="宋体" w:cs="宋体"/>
          <w:spacing w:val="6"/>
          <w:sz w:val="23"/>
          <w:szCs w:val="23"/>
        </w:rPr>
        <w:t xml:space="preserve">于危险化学品临界量 (有机过氧化物 </w:t>
      </w:r>
      <w:r>
        <w:rPr>
          <w:rFonts w:ascii="Times New Roman" w:hAnsi="Times New Roman" w:eastAsia="Times New Roman" w:cs="Times New Roman"/>
          <w:spacing w:val="6"/>
          <w:sz w:val="23"/>
          <w:szCs w:val="23"/>
        </w:rPr>
        <w:t>10</w:t>
      </w:r>
      <w:r>
        <w:rPr>
          <w:rFonts w:ascii="Times New Roman" w:hAnsi="Times New Roman" w:eastAsia="Times New Roman" w:cs="Times New Roman"/>
          <w:sz w:val="23"/>
          <w:szCs w:val="23"/>
        </w:rPr>
        <w:t>t</w:t>
      </w:r>
      <w:r>
        <w:rPr>
          <w:rFonts w:ascii="宋体" w:hAnsi="宋体" w:eastAsia="宋体" w:cs="宋体"/>
          <w:spacing w:val="6"/>
          <w:sz w:val="23"/>
          <w:szCs w:val="23"/>
        </w:rPr>
        <w:t>) ，不构成危险。</w:t>
      </w:r>
    </w:p>
    <w:p w14:paraId="260031C3">
      <w:pPr>
        <w:spacing w:before="4" w:line="339" w:lineRule="auto"/>
        <w:ind w:left="123" w:right="40" w:firstLine="473"/>
        <w:rPr>
          <w:rFonts w:ascii="宋体" w:hAnsi="宋体" w:eastAsia="宋体" w:cs="宋体"/>
          <w:sz w:val="23"/>
          <w:szCs w:val="23"/>
        </w:rPr>
      </w:pPr>
      <w:r>
        <w:rPr>
          <w:rFonts w:ascii="宋体" w:hAnsi="宋体" w:eastAsia="宋体" w:cs="宋体"/>
          <w:spacing w:val="10"/>
          <w:sz w:val="23"/>
          <w:szCs w:val="23"/>
        </w:rPr>
        <w:t>烧</w:t>
      </w:r>
      <w:r>
        <w:rPr>
          <w:rFonts w:ascii="宋体" w:hAnsi="宋体" w:eastAsia="宋体" w:cs="宋体"/>
          <w:spacing w:val="5"/>
          <w:sz w:val="23"/>
          <w:szCs w:val="23"/>
        </w:rPr>
        <w:t>碱即氢氧化钠，</w:t>
      </w:r>
      <w:r>
        <w:fldChar w:fldCharType="begin"/>
      </w:r>
      <w:r>
        <w:instrText xml:space="preserve"> HYPERLINK "https://baike.baidu.com/item/%E5%8C%96%E5%AD%A6%E5%BC%8F/2609855" </w:instrText>
      </w:r>
      <w:r>
        <w:fldChar w:fldCharType="separate"/>
      </w:r>
      <w:r>
        <w:rPr>
          <w:rFonts w:ascii="宋体" w:hAnsi="宋体" w:eastAsia="宋体" w:cs="宋体"/>
          <w:spacing w:val="5"/>
          <w:sz w:val="23"/>
          <w:szCs w:val="23"/>
        </w:rPr>
        <w:t>化学式</w:t>
      </w:r>
      <w:r>
        <w:rPr>
          <w:rFonts w:ascii="宋体" w:hAnsi="宋体" w:eastAsia="宋体" w:cs="宋体"/>
          <w:spacing w:val="5"/>
          <w:sz w:val="23"/>
          <w:szCs w:val="23"/>
        </w:rPr>
        <w:fldChar w:fldCharType="end"/>
      </w:r>
      <w:r>
        <w:rPr>
          <w:rFonts w:ascii="宋体" w:hAnsi="宋体" w:eastAsia="宋体" w:cs="宋体"/>
          <w:spacing w:val="5"/>
          <w:sz w:val="23"/>
          <w:szCs w:val="23"/>
        </w:rPr>
        <w:t xml:space="preserve">为 </w:t>
      </w:r>
      <w:r>
        <w:rPr>
          <w:rFonts w:ascii="Times New Roman" w:hAnsi="Times New Roman" w:eastAsia="Times New Roman" w:cs="Times New Roman"/>
          <w:sz w:val="23"/>
          <w:szCs w:val="23"/>
        </w:rPr>
        <w:t>NaOH</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，俗称烧碱、火碱、苛性钠，为一种具有强</w:t>
      </w:r>
      <w:r>
        <w:fldChar w:fldCharType="begin"/>
      </w:r>
      <w:r>
        <w:instrText xml:space="preserve"> HYPERLINK "https://baike.baidu.com/item/%E8%85%90%E8%9A%80%E6%80%A7/770500" </w:instrText>
      </w:r>
      <w:r>
        <w:fldChar w:fldCharType="separate"/>
      </w:r>
      <w:r>
        <w:rPr>
          <w:rFonts w:ascii="宋体" w:hAnsi="宋体" w:eastAsia="宋体" w:cs="宋体"/>
          <w:spacing w:val="5"/>
          <w:sz w:val="23"/>
          <w:szCs w:val="23"/>
        </w:rPr>
        <w:t>腐蚀性</w:t>
      </w:r>
      <w:r>
        <w:rPr>
          <w:rFonts w:ascii="宋体" w:hAnsi="宋体" w:eastAsia="宋体" w:cs="宋体"/>
          <w:spacing w:val="5"/>
          <w:sz w:val="23"/>
          <w:szCs w:val="23"/>
        </w:rPr>
        <w:fldChar w:fldCharType="end"/>
      </w:r>
      <w:r>
        <w:rPr>
          <w:rFonts w:ascii="宋体" w:hAnsi="宋体" w:eastAsia="宋体" w:cs="宋体"/>
          <w:spacing w:val="5"/>
          <w:sz w:val="23"/>
          <w:szCs w:val="23"/>
        </w:rPr>
        <w:t>的</w:t>
      </w:r>
      <w:r>
        <w:rPr>
          <w:rFonts w:ascii="宋体" w:hAnsi="宋体" w:eastAsia="宋体" w:cs="宋体"/>
          <w:sz w:val="23"/>
          <w:szCs w:val="23"/>
        </w:rPr>
        <w:t xml:space="preserve"> </w:t>
      </w:r>
      <w:r>
        <w:fldChar w:fldCharType="begin"/>
      </w:r>
      <w:r>
        <w:instrText xml:space="preserve"> HYPERLINK "https://baike.baidu.com/item/%E5%BC%BA%E7%A2%B1/9177996" </w:instrText>
      </w:r>
      <w:r>
        <w:fldChar w:fldCharType="separate"/>
      </w:r>
      <w:r>
        <w:rPr>
          <w:rFonts w:ascii="宋体" w:hAnsi="宋体" w:eastAsia="宋体" w:cs="宋体"/>
          <w:spacing w:val="14"/>
          <w:sz w:val="23"/>
          <w:szCs w:val="23"/>
        </w:rPr>
        <w:t>强碱</w:t>
      </w:r>
      <w:r>
        <w:rPr>
          <w:rFonts w:ascii="宋体" w:hAnsi="宋体" w:eastAsia="宋体" w:cs="宋体"/>
          <w:spacing w:val="14"/>
          <w:sz w:val="23"/>
          <w:szCs w:val="23"/>
        </w:rPr>
        <w:fldChar w:fldCharType="end"/>
      </w:r>
      <w:r>
        <w:rPr>
          <w:rFonts w:ascii="宋体" w:hAnsi="宋体" w:eastAsia="宋体" w:cs="宋体"/>
          <w:spacing w:val="14"/>
          <w:sz w:val="23"/>
          <w:szCs w:val="23"/>
        </w:rPr>
        <w:t>，一</w:t>
      </w:r>
      <w:r>
        <w:rPr>
          <w:rFonts w:ascii="宋体" w:hAnsi="宋体" w:eastAsia="宋体" w:cs="宋体"/>
          <w:spacing w:val="11"/>
          <w:sz w:val="23"/>
          <w:szCs w:val="23"/>
        </w:rPr>
        <w:t>般</w:t>
      </w:r>
      <w:r>
        <w:rPr>
          <w:rFonts w:ascii="宋体" w:hAnsi="宋体" w:eastAsia="宋体" w:cs="宋体"/>
          <w:spacing w:val="7"/>
          <w:sz w:val="23"/>
          <w:szCs w:val="23"/>
        </w:rPr>
        <w:t>为片状或块状形态，易溶于水 (溶于水时放热) 并形成碱性溶液，另有</w:t>
      </w:r>
      <w:r>
        <w:fldChar w:fldCharType="begin"/>
      </w:r>
      <w:r>
        <w:instrText xml:space="preserve"> HYPERLINK "https://baike.baidu.com/item/%E6%BD%AE%E8%A7%A3%E6%80%A7/9184881" </w:instrText>
      </w:r>
      <w:r>
        <w:fldChar w:fldCharType="separate"/>
      </w:r>
      <w:r>
        <w:rPr>
          <w:rFonts w:ascii="宋体" w:hAnsi="宋体" w:eastAsia="宋体" w:cs="宋体"/>
          <w:spacing w:val="7"/>
          <w:sz w:val="23"/>
          <w:szCs w:val="23"/>
        </w:rPr>
        <w:t>潮解性</w:t>
      </w:r>
      <w:r>
        <w:rPr>
          <w:rFonts w:ascii="宋体" w:hAnsi="宋体" w:eastAsia="宋体" w:cs="宋体"/>
          <w:spacing w:val="7"/>
          <w:sz w:val="23"/>
          <w:szCs w:val="23"/>
        </w:rPr>
        <w:fldChar w:fldCharType="end"/>
      </w:r>
      <w:r>
        <w:rPr>
          <w:rFonts w:ascii="宋体" w:hAnsi="宋体" w:eastAsia="宋体" w:cs="宋体"/>
          <w:spacing w:val="7"/>
          <w:sz w:val="23"/>
          <w:szCs w:val="23"/>
        </w:rPr>
        <w:t>，</w:t>
      </w:r>
      <w:r>
        <w:rPr>
          <w:rFonts w:ascii="宋体" w:hAnsi="宋体" w:eastAsia="宋体" w:cs="宋体"/>
          <w:sz w:val="23"/>
          <w:szCs w:val="23"/>
        </w:rPr>
        <w:t xml:space="preserve"> </w:t>
      </w:r>
      <w:r>
        <w:rPr>
          <w:rFonts w:ascii="宋体" w:hAnsi="宋体" w:eastAsia="宋体" w:cs="宋体"/>
          <w:spacing w:val="12"/>
          <w:sz w:val="23"/>
          <w:szCs w:val="23"/>
        </w:rPr>
        <w:t>易吸取</w:t>
      </w:r>
      <w:r>
        <w:fldChar w:fldCharType="begin"/>
      </w:r>
      <w:r>
        <w:instrText xml:space="preserve"> HYPERLINK "https://baike.baidu.com/item/%E7%A9%BA%E6%B0%94/2735809" </w:instrText>
      </w:r>
      <w:r>
        <w:fldChar w:fldCharType="separate"/>
      </w:r>
      <w:r>
        <w:rPr>
          <w:rFonts w:ascii="宋体" w:hAnsi="宋体" w:eastAsia="宋体" w:cs="宋体"/>
          <w:spacing w:val="8"/>
          <w:sz w:val="23"/>
          <w:szCs w:val="23"/>
        </w:rPr>
        <w:t>空</w:t>
      </w:r>
      <w:r>
        <w:rPr>
          <w:rFonts w:ascii="宋体" w:hAnsi="宋体" w:eastAsia="宋体" w:cs="宋体"/>
          <w:spacing w:val="6"/>
          <w:sz w:val="23"/>
          <w:szCs w:val="23"/>
        </w:rPr>
        <w:t>气</w:t>
      </w:r>
      <w:r>
        <w:rPr>
          <w:rFonts w:ascii="宋体" w:hAnsi="宋体" w:eastAsia="宋体" w:cs="宋体"/>
          <w:spacing w:val="6"/>
          <w:sz w:val="23"/>
          <w:szCs w:val="23"/>
        </w:rPr>
        <w:fldChar w:fldCharType="end"/>
      </w:r>
      <w:r>
        <w:rPr>
          <w:rFonts w:ascii="宋体" w:hAnsi="宋体" w:eastAsia="宋体" w:cs="宋体"/>
          <w:spacing w:val="6"/>
          <w:sz w:val="23"/>
          <w:szCs w:val="23"/>
        </w:rPr>
        <w:t>中的水蒸气 (潮解) 和二氧化碳 (变质) 。该品有强烈刺激和腐蚀性。粉尘或烟</w:t>
      </w:r>
    </w:p>
    <w:p w14:paraId="7081CC32">
      <w:pPr>
        <w:spacing w:before="165" w:line="375" w:lineRule="auto"/>
        <w:ind w:left="122" w:right="85" w:hanging="2"/>
        <w:rPr>
          <w:rFonts w:ascii="宋体" w:hAnsi="宋体" w:eastAsia="宋体" w:cs="宋体"/>
          <w:sz w:val="23"/>
          <w:szCs w:val="23"/>
        </w:rPr>
      </w:pPr>
      <w:r>
        <w:rPr>
          <w:rFonts w:ascii="宋体" w:hAnsi="宋体" w:eastAsia="宋体" w:cs="宋体"/>
          <w:spacing w:val="22"/>
          <w:sz w:val="23"/>
          <w:szCs w:val="23"/>
        </w:rPr>
        <w:t>雾</w:t>
      </w:r>
      <w:r>
        <w:rPr>
          <w:rFonts w:ascii="宋体" w:hAnsi="宋体" w:eastAsia="宋体" w:cs="宋体"/>
          <w:spacing w:val="14"/>
          <w:sz w:val="23"/>
          <w:szCs w:val="23"/>
        </w:rPr>
        <w:t>会</w:t>
      </w:r>
      <w:r>
        <w:rPr>
          <w:rFonts w:ascii="宋体" w:hAnsi="宋体" w:eastAsia="宋体" w:cs="宋体"/>
          <w:spacing w:val="11"/>
          <w:sz w:val="23"/>
          <w:szCs w:val="23"/>
        </w:rPr>
        <w:t xml:space="preserve">刺激眼和呼吸道，腐蚀鼻中隔，皮肤和眼与 </w:t>
      </w:r>
      <w:r>
        <w:rPr>
          <w:rFonts w:ascii="Times New Roman" w:hAnsi="Times New Roman" w:eastAsia="Times New Roman" w:cs="Times New Roman"/>
          <w:sz w:val="23"/>
          <w:szCs w:val="23"/>
        </w:rPr>
        <w:t>NaOH</w:t>
      </w:r>
      <w:r>
        <w:rPr>
          <w:rFonts w:ascii="Times New Roman" w:hAnsi="Times New Roman" w:eastAsia="Times New Roman" w:cs="Times New Roman"/>
          <w:spacing w:val="11"/>
          <w:sz w:val="23"/>
          <w:szCs w:val="23"/>
        </w:rPr>
        <w:t xml:space="preserve"> </w:t>
      </w:r>
      <w:r>
        <w:rPr>
          <w:rFonts w:ascii="宋体" w:hAnsi="宋体" w:eastAsia="宋体" w:cs="宋体"/>
          <w:spacing w:val="11"/>
          <w:sz w:val="23"/>
          <w:szCs w:val="23"/>
        </w:rPr>
        <w:t>直接接触会引起灼伤，误服可造成</w:t>
      </w:r>
      <w:r>
        <w:rPr>
          <w:rFonts w:ascii="宋体" w:hAnsi="宋体" w:eastAsia="宋体" w:cs="宋体"/>
          <w:sz w:val="23"/>
          <w:szCs w:val="23"/>
        </w:rPr>
        <w:t xml:space="preserve"> </w:t>
      </w:r>
      <w:r>
        <w:rPr>
          <w:rFonts w:ascii="宋体" w:hAnsi="宋体" w:eastAsia="宋体" w:cs="宋体"/>
          <w:spacing w:val="16"/>
          <w:sz w:val="23"/>
          <w:szCs w:val="23"/>
        </w:rPr>
        <w:t>消</w:t>
      </w:r>
      <w:r>
        <w:rPr>
          <w:rFonts w:ascii="宋体" w:hAnsi="宋体" w:eastAsia="宋体" w:cs="宋体"/>
          <w:spacing w:val="9"/>
          <w:sz w:val="23"/>
          <w:szCs w:val="23"/>
        </w:rPr>
        <w:t>化</w:t>
      </w:r>
      <w:r>
        <w:rPr>
          <w:rFonts w:ascii="宋体" w:hAnsi="宋体" w:eastAsia="宋体" w:cs="宋体"/>
          <w:spacing w:val="8"/>
          <w:sz w:val="23"/>
          <w:szCs w:val="23"/>
        </w:rPr>
        <w:t>道灼伤，粘膜糜烂、出血和休克。</w:t>
      </w:r>
    </w:p>
    <w:p w14:paraId="3E838982">
      <w:pPr>
        <w:spacing w:before="1" w:line="374" w:lineRule="auto"/>
        <w:ind w:left="121" w:right="2" w:firstLine="477"/>
        <w:rPr>
          <w:rFonts w:ascii="宋体" w:hAnsi="宋体" w:eastAsia="宋体" w:cs="宋体"/>
          <w:sz w:val="23"/>
          <w:szCs w:val="23"/>
        </w:rPr>
      </w:pPr>
      <w:r>
        <w:rPr>
          <w:rFonts w:ascii="宋体" w:hAnsi="宋体" w:eastAsia="宋体" w:cs="宋体"/>
          <w:spacing w:val="8"/>
          <w:sz w:val="23"/>
          <w:szCs w:val="23"/>
        </w:rPr>
        <w:t>戊二醛</w:t>
      </w:r>
      <w:r>
        <w:rPr>
          <w:rFonts w:ascii="宋体" w:hAnsi="宋体" w:eastAsia="宋体" w:cs="宋体"/>
          <w:spacing w:val="7"/>
          <w:sz w:val="23"/>
          <w:szCs w:val="23"/>
        </w:rPr>
        <w:t>：</w:t>
      </w:r>
      <w:r>
        <w:rPr>
          <w:rFonts w:ascii="宋体" w:hAnsi="宋体" w:eastAsia="宋体" w:cs="宋体"/>
          <w:spacing w:val="4"/>
          <w:sz w:val="23"/>
          <w:szCs w:val="23"/>
        </w:rPr>
        <w:t xml:space="preserve">分子式为 </w:t>
      </w:r>
      <w:r>
        <w:rPr>
          <w:rFonts w:ascii="Times New Roman" w:hAnsi="Times New Roman" w:eastAsia="Times New Roman" w:cs="Times New Roman"/>
          <w:sz w:val="23"/>
          <w:szCs w:val="23"/>
        </w:rPr>
        <w:t>C</w:t>
      </w:r>
      <w:r>
        <w:rPr>
          <w:rFonts w:ascii="Times New Roman" w:hAnsi="Times New Roman" w:eastAsia="Times New Roman" w:cs="Times New Roman"/>
          <w:spacing w:val="4"/>
          <w:position w:val="-1"/>
          <w:sz w:val="15"/>
          <w:szCs w:val="15"/>
        </w:rPr>
        <w:t>5</w:t>
      </w:r>
      <w:r>
        <w:rPr>
          <w:rFonts w:ascii="Times New Roman" w:hAnsi="Times New Roman" w:eastAsia="Times New Roman" w:cs="Times New Roman"/>
          <w:sz w:val="23"/>
          <w:szCs w:val="23"/>
        </w:rPr>
        <w:t>H</w:t>
      </w:r>
      <w:r>
        <w:rPr>
          <w:rFonts w:ascii="Times New Roman" w:hAnsi="Times New Roman" w:eastAsia="Times New Roman" w:cs="Times New Roman"/>
          <w:spacing w:val="4"/>
          <w:position w:val="-1"/>
          <w:sz w:val="15"/>
          <w:szCs w:val="15"/>
        </w:rPr>
        <w:t>8</w:t>
      </w:r>
      <w:r>
        <w:rPr>
          <w:rFonts w:ascii="Times New Roman" w:hAnsi="Times New Roman" w:eastAsia="Times New Roman" w:cs="Times New Roman"/>
          <w:sz w:val="23"/>
          <w:szCs w:val="23"/>
        </w:rPr>
        <w:t>O</w:t>
      </w:r>
      <w:r>
        <w:rPr>
          <w:rFonts w:ascii="Times New Roman" w:hAnsi="Times New Roman" w:eastAsia="Times New Roman" w:cs="Times New Roman"/>
          <w:spacing w:val="4"/>
          <w:position w:val="-1"/>
          <w:sz w:val="15"/>
          <w:szCs w:val="15"/>
        </w:rPr>
        <w:t xml:space="preserve">2 </w:t>
      </w:r>
      <w:r>
        <w:rPr>
          <w:rFonts w:ascii="宋体" w:hAnsi="宋体" w:eastAsia="宋体" w:cs="宋体"/>
          <w:spacing w:val="4"/>
          <w:sz w:val="23"/>
          <w:szCs w:val="23"/>
        </w:rPr>
        <w:t>，带有刺激性气味的无色透明油状液体，溶于热水。对眼睛、</w:t>
      </w:r>
      <w:r>
        <w:rPr>
          <w:rFonts w:ascii="宋体" w:hAnsi="宋体" w:eastAsia="宋体" w:cs="宋体"/>
          <w:sz w:val="23"/>
          <w:szCs w:val="23"/>
        </w:rPr>
        <w:t xml:space="preserve"> </w:t>
      </w:r>
      <w:r>
        <w:rPr>
          <w:rFonts w:ascii="宋体" w:hAnsi="宋体" w:eastAsia="宋体" w:cs="宋体"/>
          <w:spacing w:val="4"/>
          <w:sz w:val="23"/>
          <w:szCs w:val="23"/>
        </w:rPr>
        <w:t>皮肤和粘膜有强烈的刺激作用。可</w:t>
      </w:r>
      <w:r>
        <w:rPr>
          <w:rFonts w:ascii="宋体" w:hAnsi="宋体" w:eastAsia="宋体" w:cs="宋体"/>
          <w:spacing w:val="2"/>
          <w:sz w:val="23"/>
          <w:szCs w:val="23"/>
        </w:rPr>
        <w:t>作为食品工业加工助剂，菌消毒剂、鞣革剂、木材防腐剂，</w:t>
      </w:r>
    </w:p>
    <w:p w14:paraId="573F1711">
      <w:pPr>
        <w:spacing w:before="1" w:line="227" w:lineRule="auto"/>
        <w:ind w:left="121"/>
        <w:rPr>
          <w:rFonts w:ascii="宋体" w:hAnsi="宋体" w:eastAsia="宋体" w:cs="宋体"/>
          <w:sz w:val="23"/>
          <w:szCs w:val="23"/>
        </w:rPr>
      </w:pPr>
      <w:r>
        <w:rPr>
          <w:rFonts w:ascii="宋体" w:hAnsi="宋体" w:eastAsia="宋体" w:cs="宋体"/>
          <w:spacing w:val="9"/>
          <w:sz w:val="23"/>
          <w:szCs w:val="23"/>
        </w:rPr>
        <w:t>药</w:t>
      </w:r>
      <w:r>
        <w:rPr>
          <w:rFonts w:ascii="宋体" w:hAnsi="宋体" w:eastAsia="宋体" w:cs="宋体"/>
          <w:spacing w:val="7"/>
          <w:sz w:val="23"/>
          <w:szCs w:val="23"/>
        </w:rPr>
        <w:t>物和</w:t>
      </w:r>
      <w:r>
        <w:fldChar w:fldCharType="begin"/>
      </w:r>
      <w:r>
        <w:instrText xml:space="preserve"> HYPERLINK "https://baike.baidu.com/item/%E9%AB%98%E5%88%86%E5%AD%90%E5%90%88%E6%88%90" </w:instrText>
      </w:r>
      <w:r>
        <w:fldChar w:fldCharType="separate"/>
      </w:r>
      <w:r>
        <w:rPr>
          <w:rFonts w:ascii="宋体" w:hAnsi="宋体" w:eastAsia="宋体" w:cs="宋体"/>
          <w:spacing w:val="7"/>
          <w:sz w:val="23"/>
          <w:szCs w:val="23"/>
        </w:rPr>
        <w:t>高分子合成</w:t>
      </w:r>
      <w:r>
        <w:rPr>
          <w:rFonts w:ascii="宋体" w:hAnsi="宋体" w:eastAsia="宋体" w:cs="宋体"/>
          <w:spacing w:val="7"/>
          <w:sz w:val="23"/>
          <w:szCs w:val="23"/>
        </w:rPr>
        <w:fldChar w:fldCharType="end"/>
      </w:r>
      <w:r>
        <w:rPr>
          <w:rFonts w:ascii="宋体" w:hAnsi="宋体" w:eastAsia="宋体" w:cs="宋体"/>
          <w:spacing w:val="7"/>
          <w:sz w:val="23"/>
          <w:szCs w:val="23"/>
        </w:rPr>
        <w:t>原料等。醛类消毒剂对微生物的杀灭作用主要依靠醛基，此类药物主要作</w:t>
      </w:r>
    </w:p>
    <w:p w14:paraId="2A64D506">
      <w:pPr>
        <w:spacing w:before="184" w:line="375" w:lineRule="auto"/>
        <w:ind w:left="600" w:hanging="480"/>
        <w:rPr>
          <w:rFonts w:ascii="宋体" w:hAnsi="宋体" w:eastAsia="宋体" w:cs="宋体"/>
          <w:sz w:val="23"/>
          <w:szCs w:val="23"/>
        </w:rPr>
      </w:pPr>
      <w:r>
        <w:rPr>
          <w:rFonts w:ascii="宋体" w:hAnsi="宋体" w:eastAsia="宋体" w:cs="宋体"/>
          <w:spacing w:val="18"/>
          <w:sz w:val="23"/>
          <w:szCs w:val="23"/>
        </w:rPr>
        <w:t>用</w:t>
      </w:r>
      <w:r>
        <w:rPr>
          <w:rFonts w:ascii="宋体" w:hAnsi="宋体" w:eastAsia="宋体" w:cs="宋体"/>
          <w:spacing w:val="10"/>
          <w:sz w:val="23"/>
          <w:szCs w:val="23"/>
        </w:rPr>
        <w:t>于</w:t>
      </w:r>
      <w:r>
        <w:rPr>
          <w:rFonts w:ascii="宋体" w:hAnsi="宋体" w:eastAsia="宋体" w:cs="宋体"/>
          <w:spacing w:val="9"/>
          <w:sz w:val="23"/>
          <w:szCs w:val="23"/>
        </w:rPr>
        <w:t>菌体蛋白的巯基、羟基、羧基和氨基，可使之烷基化，引起蛋白质凝固造成细菌死亡。</w:t>
      </w:r>
      <w:r>
        <w:rPr>
          <w:rFonts w:ascii="宋体" w:hAnsi="宋体" w:eastAsia="宋体" w:cs="宋体"/>
          <w:sz w:val="23"/>
          <w:szCs w:val="23"/>
        </w:rPr>
        <w:t xml:space="preserve"> </w:t>
      </w:r>
      <w:r>
        <w:rPr>
          <w:rFonts w:ascii="宋体" w:hAnsi="宋体" w:eastAsia="宋体" w:cs="宋体"/>
          <w:spacing w:val="10"/>
          <w:sz w:val="23"/>
          <w:szCs w:val="23"/>
        </w:rPr>
        <w:t>卫</w:t>
      </w:r>
      <w:r>
        <w:rPr>
          <w:rFonts w:ascii="宋体" w:hAnsi="宋体" w:eastAsia="宋体" w:cs="宋体"/>
          <w:spacing w:val="7"/>
          <w:sz w:val="23"/>
          <w:szCs w:val="23"/>
        </w:rPr>
        <w:t>可</w:t>
      </w:r>
      <w:r>
        <w:rPr>
          <w:rFonts w:ascii="宋体" w:hAnsi="宋体" w:eastAsia="宋体" w:cs="宋体"/>
          <w:spacing w:val="5"/>
          <w:sz w:val="23"/>
          <w:szCs w:val="23"/>
        </w:rPr>
        <w:t xml:space="preserve"> </w:t>
      </w:r>
      <w:r>
        <w:rPr>
          <w:rFonts w:ascii="Times New Roman" w:hAnsi="Times New Roman" w:eastAsia="Times New Roman" w:cs="Times New Roman"/>
          <w:sz w:val="23"/>
          <w:szCs w:val="23"/>
        </w:rPr>
        <w:t>Virkon</w:t>
      </w:r>
      <w:r>
        <w:rPr>
          <w:rFonts w:ascii="Times New Roman" w:hAnsi="Times New Roman" w:eastAsia="Times New Roman" w:cs="Times New Roman"/>
          <w:spacing w:val="5"/>
          <w:sz w:val="23"/>
          <w:szCs w:val="23"/>
        </w:rPr>
        <w:t xml:space="preserve"> </w:t>
      </w:r>
      <w:r>
        <w:rPr>
          <w:rFonts w:ascii="Times New Roman" w:hAnsi="Times New Roman" w:eastAsia="Times New Roman" w:cs="Times New Roman"/>
          <w:sz w:val="23"/>
          <w:szCs w:val="23"/>
        </w:rPr>
        <w:t>S</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rPr>
        <w:t>是药品，外观是粉红</w:t>
      </w:r>
      <w:r>
        <w:rPr>
          <w:rFonts w:ascii="Times New Roman" w:hAnsi="Times New Roman" w:eastAsia="Times New Roman" w:cs="Times New Roman"/>
          <w:spacing w:val="5"/>
          <w:sz w:val="23"/>
          <w:szCs w:val="23"/>
        </w:rPr>
        <w:t>/</w:t>
      </w:r>
      <w:r>
        <w:rPr>
          <w:rFonts w:ascii="宋体" w:hAnsi="宋体" w:eastAsia="宋体" w:cs="宋体"/>
          <w:spacing w:val="5"/>
          <w:sz w:val="23"/>
          <w:szCs w:val="23"/>
        </w:rPr>
        <w:t>灰色粉末，气味是淡柠檬味，喷雾消毒、饮水消毒、</w:t>
      </w:r>
    </w:p>
    <w:p w14:paraId="794D0597">
      <w:pPr>
        <w:spacing w:before="2" w:line="374" w:lineRule="auto"/>
        <w:ind w:left="120" w:right="87"/>
        <w:rPr>
          <w:rFonts w:ascii="宋体" w:hAnsi="宋体" w:eastAsia="宋体" w:cs="宋体"/>
          <w:sz w:val="23"/>
          <w:szCs w:val="23"/>
        </w:rPr>
      </w:pPr>
      <w:r>
        <w:rPr>
          <w:rFonts w:ascii="宋体" w:hAnsi="宋体" w:eastAsia="宋体" w:cs="宋体"/>
          <w:spacing w:val="10"/>
          <w:sz w:val="23"/>
          <w:szCs w:val="23"/>
        </w:rPr>
        <w:t>垫</w:t>
      </w:r>
      <w:r>
        <w:rPr>
          <w:rFonts w:ascii="宋体" w:hAnsi="宋体" w:eastAsia="宋体" w:cs="宋体"/>
          <w:spacing w:val="7"/>
          <w:sz w:val="23"/>
          <w:szCs w:val="23"/>
        </w:rPr>
        <w:t>料消毒、冲洗水线、洗手等用。广泛用于各种养殖场、孵化场、兽医手术室以及食品加工</w:t>
      </w:r>
      <w:r>
        <w:rPr>
          <w:rFonts w:ascii="宋体" w:hAnsi="宋体" w:eastAsia="宋体" w:cs="宋体"/>
          <w:sz w:val="23"/>
          <w:szCs w:val="23"/>
        </w:rPr>
        <w:t xml:space="preserve"> </w:t>
      </w:r>
      <w:r>
        <w:rPr>
          <w:rFonts w:ascii="宋体" w:hAnsi="宋体" w:eastAsia="宋体" w:cs="宋体"/>
          <w:spacing w:val="7"/>
          <w:sz w:val="23"/>
          <w:szCs w:val="23"/>
        </w:rPr>
        <w:t>厂</w:t>
      </w:r>
      <w:r>
        <w:rPr>
          <w:rFonts w:ascii="宋体" w:hAnsi="宋体" w:eastAsia="宋体" w:cs="宋体"/>
          <w:spacing w:val="5"/>
          <w:sz w:val="23"/>
          <w:szCs w:val="23"/>
        </w:rPr>
        <w:t>等消毒。</w:t>
      </w:r>
    </w:p>
    <w:p w14:paraId="1ADC7DD3">
      <w:pPr>
        <w:spacing w:before="1" w:line="374" w:lineRule="auto"/>
        <w:ind w:left="120" w:right="87" w:firstLine="482"/>
        <w:rPr>
          <w:rFonts w:ascii="宋体" w:hAnsi="宋体" w:eastAsia="宋体" w:cs="宋体"/>
          <w:sz w:val="23"/>
          <w:szCs w:val="23"/>
        </w:rPr>
      </w:pPr>
      <w:r>
        <w:rPr>
          <w:rFonts w:ascii="宋体" w:hAnsi="宋体" w:eastAsia="宋体" w:cs="宋体"/>
          <w:spacing w:val="7"/>
          <w:sz w:val="23"/>
          <w:szCs w:val="23"/>
        </w:rPr>
        <w:t>消毒液主要为氧化性物质，若发生泄露，可能会对土壤、地表水、地下水、生态环境</w:t>
      </w:r>
      <w:r>
        <w:rPr>
          <w:rFonts w:ascii="宋体" w:hAnsi="宋体" w:eastAsia="宋体" w:cs="宋体"/>
          <w:spacing w:val="1"/>
          <w:sz w:val="23"/>
          <w:szCs w:val="23"/>
        </w:rPr>
        <w:t>造</w:t>
      </w:r>
      <w:r>
        <w:rPr>
          <w:rFonts w:ascii="宋体" w:hAnsi="宋体" w:eastAsia="宋体" w:cs="宋体"/>
          <w:sz w:val="23"/>
          <w:szCs w:val="23"/>
        </w:rPr>
        <w:t xml:space="preserve"> </w:t>
      </w:r>
      <w:r>
        <w:rPr>
          <w:rFonts w:ascii="宋体" w:hAnsi="宋体" w:eastAsia="宋体" w:cs="宋体"/>
          <w:spacing w:val="11"/>
          <w:sz w:val="23"/>
          <w:szCs w:val="23"/>
        </w:rPr>
        <w:t>成</w:t>
      </w:r>
      <w:r>
        <w:rPr>
          <w:rFonts w:ascii="宋体" w:hAnsi="宋体" w:eastAsia="宋体" w:cs="宋体"/>
          <w:spacing w:val="9"/>
          <w:sz w:val="23"/>
          <w:szCs w:val="23"/>
        </w:rPr>
        <w:t>影响。项目内消毒液储存量均不大，远小于临界量。</w:t>
      </w:r>
    </w:p>
    <w:p w14:paraId="17D3C6D2">
      <w:pPr>
        <w:spacing w:before="1" w:line="227" w:lineRule="auto"/>
        <w:ind w:left="117"/>
        <w:outlineLvl w:val="2"/>
        <w:rPr>
          <w:rFonts w:ascii="宋体" w:hAnsi="宋体" w:eastAsia="宋体" w:cs="宋体"/>
          <w:sz w:val="23"/>
          <w:szCs w:val="23"/>
        </w:rPr>
      </w:pPr>
      <w:r>
        <w:rPr>
          <w:rFonts w:ascii="Times New Roman" w:hAnsi="Times New Roman" w:eastAsia="Times New Roman" w:cs="Times New Roman"/>
          <w:b/>
          <w:bCs/>
          <w:spacing w:val="14"/>
          <w:sz w:val="23"/>
          <w:szCs w:val="23"/>
        </w:rPr>
        <w:t>8</w:t>
      </w:r>
      <w:r>
        <w:rPr>
          <w:rFonts w:ascii="Times New Roman" w:hAnsi="Times New Roman" w:eastAsia="Times New Roman" w:cs="Times New Roman"/>
          <w:b/>
          <w:bCs/>
          <w:spacing w:val="13"/>
          <w:sz w:val="23"/>
          <w:szCs w:val="23"/>
        </w:rPr>
        <w:t>.</w:t>
      </w:r>
      <w:r>
        <w:rPr>
          <w:rFonts w:ascii="Times New Roman" w:hAnsi="Times New Roman" w:eastAsia="Times New Roman" w:cs="Times New Roman"/>
          <w:b/>
          <w:bCs/>
          <w:spacing w:val="7"/>
          <w:sz w:val="23"/>
          <w:szCs w:val="23"/>
        </w:rPr>
        <w:t>2.2</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生产及贮运过程的风险识别</w:t>
      </w:r>
    </w:p>
    <w:p w14:paraId="327F1E7D">
      <w:pPr>
        <w:spacing w:before="182" w:line="227" w:lineRule="auto"/>
        <w:ind w:left="598"/>
        <w:rPr>
          <w:rFonts w:ascii="宋体" w:hAnsi="宋体" w:eastAsia="宋体" w:cs="宋体"/>
          <w:sz w:val="23"/>
          <w:szCs w:val="23"/>
        </w:rPr>
      </w:pPr>
      <w:r>
        <w:rPr>
          <w:rFonts w:ascii="宋体" w:hAnsi="宋体" w:eastAsia="宋体" w:cs="宋体"/>
          <w:spacing w:val="4"/>
          <w:sz w:val="23"/>
          <w:szCs w:val="23"/>
        </w:rPr>
        <w:t>拟</w:t>
      </w:r>
      <w:r>
        <w:rPr>
          <w:rFonts w:ascii="宋体" w:hAnsi="宋体" w:eastAsia="宋体" w:cs="宋体"/>
          <w:spacing w:val="2"/>
          <w:sz w:val="23"/>
          <w:szCs w:val="23"/>
        </w:rPr>
        <w:t xml:space="preserve">建项目生产设施的危险识别见表 </w:t>
      </w:r>
      <w:r>
        <w:rPr>
          <w:rFonts w:ascii="Times New Roman" w:hAnsi="Times New Roman" w:eastAsia="Times New Roman" w:cs="Times New Roman"/>
          <w:spacing w:val="2"/>
          <w:sz w:val="23"/>
          <w:szCs w:val="23"/>
        </w:rPr>
        <w:t>8.2- 1</w:t>
      </w:r>
      <w:r>
        <w:rPr>
          <w:rFonts w:ascii="宋体" w:hAnsi="宋体" w:eastAsia="宋体" w:cs="宋体"/>
          <w:spacing w:val="2"/>
          <w:sz w:val="23"/>
          <w:szCs w:val="23"/>
        </w:rPr>
        <w:t>。</w:t>
      </w:r>
    </w:p>
    <w:p w14:paraId="51C15DBA">
      <w:pPr>
        <w:sectPr>
          <w:headerReference r:id="rId290" w:type="default"/>
          <w:footerReference r:id="rId291" w:type="default"/>
          <w:pgSz w:w="11906" w:h="16839"/>
          <w:pgMar w:top="1113" w:right="1047" w:bottom="1157" w:left="1168" w:header="878" w:footer="994" w:gutter="0"/>
          <w:cols w:space="720" w:num="1"/>
        </w:sectPr>
      </w:pPr>
    </w:p>
    <w:p w14:paraId="02358AE1">
      <w:pPr>
        <w:spacing w:before="198" w:line="221" w:lineRule="auto"/>
        <w:ind w:left="2908"/>
        <w:rPr>
          <w:rFonts w:ascii="黑体" w:hAnsi="黑体" w:eastAsia="黑体" w:cs="黑体"/>
          <w:sz w:val="23"/>
          <w:szCs w:val="23"/>
        </w:rPr>
      </w:pPr>
      <w:r>
        <w:pict>
          <v:shape id="_x0000_s2131" o:spid="_x0000_s2131" o:spt="202" type="#_x0000_t202" style="position:absolute;left:0pt;margin-left:294.1pt;margin-top:783pt;height:10.15pt;width:14.95pt;mso-position-horizontal-relative:page;mso-position-vertical-relative:page;z-index:251749376;mso-width-relative:page;mso-height-relative:page;" filled="f" stroked="f" coordsize="21600,21600" o:allowincell="f">
            <v:path/>
            <v:fill on="f" focussize="0,0"/>
            <v:stroke on="f" joinstyle="miter"/>
            <v:imagedata o:title=""/>
            <o:lock v:ext="edit"/>
            <v:textbox inset="0mm,0mm,0mm,0mm">
              <w:txbxContent>
                <w:p w14:paraId="6206FFF9">
                  <w:pPr>
                    <w:spacing w:before="20" w:line="188" w:lineRule="auto"/>
                    <w:ind w:left="20"/>
                    <w:rPr>
                      <w:rFonts w:ascii="Calibri" w:hAnsi="Calibri" w:eastAsia="Calibri" w:cs="Calibri"/>
                      <w:sz w:val="17"/>
                      <w:szCs w:val="17"/>
                    </w:rPr>
                  </w:pPr>
                  <w:r>
                    <w:rPr>
                      <w:rFonts w:ascii="Calibri" w:hAnsi="Calibri" w:eastAsia="Calibri" w:cs="Calibri"/>
                      <w:spacing w:val="5"/>
                      <w:sz w:val="17"/>
                      <w:szCs w:val="17"/>
                    </w:rPr>
                    <w:t>1</w:t>
                  </w:r>
                  <w:r>
                    <w:rPr>
                      <w:rFonts w:ascii="Calibri" w:hAnsi="Calibri" w:eastAsia="Calibri" w:cs="Calibri"/>
                      <w:spacing w:val="3"/>
                      <w:sz w:val="17"/>
                      <w:szCs w:val="17"/>
                    </w:rPr>
                    <w:t xml:space="preserve">  2</w:t>
                  </w:r>
                </w:p>
              </w:txbxContent>
            </v:textbox>
          </v:shape>
        </w:pict>
      </w:r>
      <w:r>
        <w:rPr>
          <w:rFonts w:ascii="黑体" w:hAnsi="黑体" w:eastAsia="黑体" w:cs="黑体"/>
          <w:spacing w:val="2"/>
          <w:sz w:val="23"/>
          <w:szCs w:val="23"/>
        </w:rPr>
        <w:t xml:space="preserve">表 </w:t>
      </w:r>
      <w:r>
        <w:rPr>
          <w:rFonts w:ascii="Times New Roman" w:hAnsi="Times New Roman" w:eastAsia="Times New Roman" w:cs="Times New Roman"/>
          <w:spacing w:val="2"/>
          <w:sz w:val="23"/>
          <w:szCs w:val="23"/>
        </w:rPr>
        <w:t xml:space="preserve">8.2- 1  </w:t>
      </w:r>
      <w:r>
        <w:rPr>
          <w:rFonts w:ascii="Times New Roman" w:hAnsi="Times New Roman" w:eastAsia="Times New Roman" w:cs="Times New Roman"/>
          <w:spacing w:val="1"/>
          <w:sz w:val="23"/>
          <w:szCs w:val="23"/>
        </w:rPr>
        <w:t xml:space="preserve">  </w:t>
      </w:r>
      <w:r>
        <w:rPr>
          <w:rFonts w:ascii="黑体" w:hAnsi="黑体" w:eastAsia="黑体" w:cs="黑体"/>
          <w:spacing w:val="1"/>
          <w:sz w:val="23"/>
          <w:szCs w:val="23"/>
        </w:rPr>
        <w:t>主要生产设施的危险识别表</w:t>
      </w:r>
    </w:p>
    <w:tbl>
      <w:tblPr>
        <w:tblStyle w:val="4"/>
        <w:tblW w:w="928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7"/>
        <w:gridCol w:w="1830"/>
        <w:gridCol w:w="1995"/>
        <w:gridCol w:w="2145"/>
        <w:gridCol w:w="2580"/>
      </w:tblGrid>
      <w:tr w14:paraId="3F8D8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37" w:type="dxa"/>
            <w:vMerge w:val="restart"/>
            <w:tcBorders>
              <w:left w:val="nil"/>
              <w:bottom w:val="nil"/>
            </w:tcBorders>
          </w:tcPr>
          <w:p w14:paraId="5B1D9934">
            <w:pPr>
              <w:spacing w:before="197" w:line="229" w:lineRule="auto"/>
              <w:ind w:left="164"/>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1830" w:type="dxa"/>
            <w:vMerge w:val="restart"/>
            <w:tcBorders>
              <w:bottom w:val="nil"/>
            </w:tcBorders>
          </w:tcPr>
          <w:p w14:paraId="198B33F7">
            <w:pPr>
              <w:spacing w:before="197" w:line="228" w:lineRule="auto"/>
              <w:ind w:left="503"/>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分析对</w:t>
            </w:r>
            <w:r>
              <w:rPr>
                <w:rFonts w:ascii="宋体" w:hAnsi="宋体" w:eastAsia="宋体" w:cs="宋体"/>
                <w:spacing w:val="7"/>
                <w:sz w:val="20"/>
                <w:szCs w:val="20"/>
                <w14:textOutline w14:w="3797" w14:cap="sq" w14:cmpd="sng" w14:algn="ctr">
                  <w14:solidFill>
                    <w14:srgbClr w14:val="000000"/>
                  </w14:solidFill>
                  <w14:prstDash w14:val="solid"/>
                  <w14:bevel/>
                </w14:textOutline>
              </w:rPr>
              <w:t>象</w:t>
            </w:r>
          </w:p>
        </w:tc>
        <w:tc>
          <w:tcPr>
            <w:tcW w:w="6720" w:type="dxa"/>
            <w:gridSpan w:val="3"/>
            <w:tcBorders>
              <w:right w:val="nil"/>
            </w:tcBorders>
          </w:tcPr>
          <w:p w14:paraId="0C554D92">
            <w:pPr>
              <w:spacing w:before="56" w:line="226" w:lineRule="auto"/>
              <w:ind w:left="2213"/>
              <w:rPr>
                <w:rFonts w:ascii="宋体" w:hAnsi="宋体" w:eastAsia="宋体" w:cs="宋体"/>
                <w:sz w:val="20"/>
                <w:szCs w:val="20"/>
              </w:rPr>
            </w:pPr>
            <w:r>
              <w:rPr>
                <w:rFonts w:ascii="宋体" w:hAnsi="宋体" w:eastAsia="宋体" w:cs="宋体"/>
                <w:spacing w:val="15"/>
                <w:sz w:val="20"/>
                <w:szCs w:val="20"/>
                <w14:textOutline w14:w="3797" w14:cap="sq" w14:cmpd="sng" w14:algn="ctr">
                  <w14:solidFill>
                    <w14:srgbClr w14:val="000000"/>
                  </w14:solidFill>
                  <w14:prstDash w14:val="solid"/>
                  <w14:bevel/>
                </w14:textOutline>
              </w:rPr>
              <w:t>危</w:t>
            </w:r>
            <w:r>
              <w:rPr>
                <w:rFonts w:ascii="宋体" w:hAnsi="宋体" w:eastAsia="宋体" w:cs="宋体"/>
                <w:spacing w:val="9"/>
                <w:sz w:val="20"/>
                <w:szCs w:val="20"/>
                <w14:textOutline w14:w="3797" w14:cap="sq" w14:cmpd="sng" w14:algn="ctr">
                  <w14:solidFill>
                    <w14:srgbClr w14:val="000000"/>
                  </w14:solidFill>
                  <w14:prstDash w14:val="solid"/>
                  <w14:bevel/>
                </w14:textOutline>
              </w:rPr>
              <w:t>险、有害因素分析结果</w:t>
            </w:r>
          </w:p>
        </w:tc>
      </w:tr>
      <w:tr w14:paraId="5E2E1B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737" w:type="dxa"/>
            <w:vMerge w:val="continue"/>
            <w:tcBorders>
              <w:top w:val="nil"/>
              <w:left w:val="nil"/>
            </w:tcBorders>
          </w:tcPr>
          <w:p w14:paraId="349D5113"/>
        </w:tc>
        <w:tc>
          <w:tcPr>
            <w:tcW w:w="1830" w:type="dxa"/>
            <w:vMerge w:val="continue"/>
            <w:tcBorders>
              <w:top w:val="nil"/>
            </w:tcBorders>
          </w:tcPr>
          <w:p w14:paraId="123C1435"/>
        </w:tc>
        <w:tc>
          <w:tcPr>
            <w:tcW w:w="1995" w:type="dxa"/>
          </w:tcPr>
          <w:p w14:paraId="25DFE19D">
            <w:pPr>
              <w:spacing w:before="33" w:line="223" w:lineRule="auto"/>
              <w:ind w:left="269"/>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危险、有害介质</w:t>
            </w:r>
          </w:p>
        </w:tc>
        <w:tc>
          <w:tcPr>
            <w:tcW w:w="2145" w:type="dxa"/>
          </w:tcPr>
          <w:p w14:paraId="18DF0BE5">
            <w:pPr>
              <w:spacing w:before="33" w:line="223" w:lineRule="auto"/>
              <w:ind w:left="658"/>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生产单元</w:t>
            </w:r>
          </w:p>
        </w:tc>
        <w:tc>
          <w:tcPr>
            <w:tcW w:w="2580" w:type="dxa"/>
            <w:tcBorders>
              <w:right w:val="nil"/>
            </w:tcBorders>
          </w:tcPr>
          <w:p w14:paraId="3FD80B16">
            <w:pPr>
              <w:spacing w:before="33" w:line="223" w:lineRule="auto"/>
              <w:ind w:left="352"/>
              <w:rPr>
                <w:rFonts w:ascii="宋体" w:hAnsi="宋体" w:eastAsia="宋体" w:cs="宋体"/>
                <w:sz w:val="20"/>
                <w:szCs w:val="20"/>
              </w:rPr>
            </w:pPr>
            <w:r>
              <w:rPr>
                <w:rFonts w:ascii="宋体" w:hAnsi="宋体" w:eastAsia="宋体" w:cs="宋体"/>
                <w:spacing w:val="14"/>
                <w:sz w:val="20"/>
                <w:szCs w:val="20"/>
                <w14:textOutline w14:w="3797" w14:cap="sq" w14:cmpd="sng" w14:algn="ctr">
                  <w14:solidFill>
                    <w14:srgbClr w14:val="000000"/>
                  </w14:solidFill>
                  <w14:prstDash w14:val="solid"/>
                  <w14:bevel/>
                </w14:textOutline>
              </w:rPr>
              <w:t>主</w:t>
            </w:r>
            <w:r>
              <w:rPr>
                <w:rFonts w:ascii="宋体" w:hAnsi="宋体" w:eastAsia="宋体" w:cs="宋体"/>
                <w:spacing w:val="9"/>
                <w:sz w:val="20"/>
                <w:szCs w:val="20"/>
                <w14:textOutline w14:w="3797" w14:cap="sq" w14:cmpd="sng" w14:algn="ctr">
                  <w14:solidFill>
                    <w14:srgbClr w14:val="000000"/>
                  </w14:solidFill>
                  <w14:prstDash w14:val="solid"/>
                  <w14:bevel/>
                </w14:textOutline>
              </w:rPr>
              <w:t>要危险、有害因素</w:t>
            </w:r>
          </w:p>
        </w:tc>
      </w:tr>
      <w:tr w14:paraId="2FC3A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37" w:type="dxa"/>
            <w:tcBorders>
              <w:left w:val="nil"/>
            </w:tcBorders>
          </w:tcPr>
          <w:p w14:paraId="29F4A050">
            <w:pPr>
              <w:spacing w:before="76" w:line="185" w:lineRule="auto"/>
              <w:ind w:left="330"/>
              <w:rPr>
                <w:rFonts w:ascii="Calibri" w:hAnsi="Calibri" w:eastAsia="Calibri" w:cs="Calibri"/>
                <w:sz w:val="20"/>
                <w:szCs w:val="20"/>
              </w:rPr>
            </w:pPr>
            <w:r>
              <w:rPr>
                <w:rFonts w:ascii="Calibri" w:hAnsi="Calibri" w:eastAsia="Calibri" w:cs="Calibri"/>
                <w:b/>
                <w:bCs/>
                <w:sz w:val="20"/>
                <w:szCs w:val="20"/>
              </w:rPr>
              <w:t>1</w:t>
            </w:r>
          </w:p>
        </w:tc>
        <w:tc>
          <w:tcPr>
            <w:tcW w:w="1830" w:type="dxa"/>
          </w:tcPr>
          <w:p w14:paraId="28B6EA04">
            <w:pPr>
              <w:spacing w:before="33" w:line="224" w:lineRule="auto"/>
              <w:ind w:left="501"/>
              <w:rPr>
                <w:rFonts w:ascii="宋体" w:hAnsi="宋体" w:eastAsia="宋体" w:cs="宋体"/>
                <w:sz w:val="20"/>
                <w:szCs w:val="20"/>
              </w:rPr>
            </w:pPr>
            <w:r>
              <w:rPr>
                <w:rFonts w:ascii="宋体" w:hAnsi="宋体" w:eastAsia="宋体" w:cs="宋体"/>
                <w:spacing w:val="7"/>
                <w:sz w:val="20"/>
                <w:szCs w:val="20"/>
              </w:rPr>
              <w:t>兽药库房</w:t>
            </w:r>
          </w:p>
        </w:tc>
        <w:tc>
          <w:tcPr>
            <w:tcW w:w="1995" w:type="dxa"/>
          </w:tcPr>
          <w:p w14:paraId="0C3C63D6">
            <w:pPr>
              <w:spacing w:before="33" w:line="224" w:lineRule="auto"/>
              <w:ind w:left="690"/>
              <w:rPr>
                <w:rFonts w:ascii="宋体" w:hAnsi="宋体" w:eastAsia="宋体" w:cs="宋体"/>
                <w:sz w:val="20"/>
                <w:szCs w:val="20"/>
              </w:rPr>
            </w:pPr>
            <w:r>
              <w:rPr>
                <w:rFonts w:ascii="宋体" w:hAnsi="宋体" w:eastAsia="宋体" w:cs="宋体"/>
                <w:spacing w:val="6"/>
                <w:sz w:val="20"/>
                <w:szCs w:val="20"/>
              </w:rPr>
              <w:t>消</w:t>
            </w:r>
            <w:r>
              <w:rPr>
                <w:rFonts w:ascii="宋体" w:hAnsi="宋体" w:eastAsia="宋体" w:cs="宋体"/>
                <w:spacing w:val="5"/>
                <w:sz w:val="20"/>
                <w:szCs w:val="20"/>
              </w:rPr>
              <w:t>毒液</w:t>
            </w:r>
          </w:p>
        </w:tc>
        <w:tc>
          <w:tcPr>
            <w:tcW w:w="4725" w:type="dxa"/>
            <w:gridSpan w:val="2"/>
            <w:tcBorders>
              <w:right w:val="nil"/>
            </w:tcBorders>
          </w:tcPr>
          <w:p w14:paraId="03CECE0E">
            <w:pPr>
              <w:spacing w:before="33" w:line="224" w:lineRule="auto"/>
              <w:ind w:left="798"/>
              <w:rPr>
                <w:rFonts w:ascii="宋体" w:hAnsi="宋体" w:eastAsia="宋体" w:cs="宋体"/>
                <w:sz w:val="20"/>
                <w:szCs w:val="20"/>
              </w:rPr>
            </w:pPr>
            <w:r>
              <w:rPr>
                <w:rFonts w:ascii="宋体" w:hAnsi="宋体" w:eastAsia="宋体" w:cs="宋体"/>
                <w:spacing w:val="10"/>
                <w:sz w:val="20"/>
                <w:szCs w:val="20"/>
              </w:rPr>
              <w:t>消</w:t>
            </w:r>
            <w:r>
              <w:rPr>
                <w:rFonts w:ascii="宋体" w:hAnsi="宋体" w:eastAsia="宋体" w:cs="宋体"/>
                <w:spacing w:val="9"/>
                <w:sz w:val="20"/>
                <w:szCs w:val="20"/>
              </w:rPr>
              <w:t>毒贮存或者使用过程中发生泄露</w:t>
            </w:r>
          </w:p>
        </w:tc>
      </w:tr>
      <w:tr w14:paraId="592C0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37" w:type="dxa"/>
            <w:tcBorders>
              <w:left w:val="nil"/>
            </w:tcBorders>
          </w:tcPr>
          <w:p w14:paraId="7F5A1ED1">
            <w:pPr>
              <w:spacing w:before="76" w:line="185" w:lineRule="auto"/>
              <w:ind w:left="332"/>
              <w:rPr>
                <w:rFonts w:ascii="Calibri" w:hAnsi="Calibri" w:eastAsia="Calibri" w:cs="Calibri"/>
                <w:sz w:val="20"/>
                <w:szCs w:val="20"/>
              </w:rPr>
            </w:pPr>
            <w:r>
              <w:rPr>
                <w:rFonts w:ascii="Calibri" w:hAnsi="Calibri" w:eastAsia="Calibri" w:cs="Calibri"/>
                <w:sz w:val="20"/>
                <w:szCs w:val="20"/>
              </w:rPr>
              <w:t>1</w:t>
            </w:r>
          </w:p>
        </w:tc>
        <w:tc>
          <w:tcPr>
            <w:tcW w:w="1830" w:type="dxa"/>
            <w:vMerge w:val="restart"/>
            <w:tcBorders>
              <w:bottom w:val="nil"/>
            </w:tcBorders>
          </w:tcPr>
          <w:p w14:paraId="3F5D38F4">
            <w:pPr>
              <w:spacing w:before="186" w:line="228" w:lineRule="auto"/>
              <w:ind w:left="291"/>
              <w:rPr>
                <w:rFonts w:ascii="宋体" w:hAnsi="宋体" w:eastAsia="宋体" w:cs="宋体"/>
                <w:sz w:val="20"/>
                <w:szCs w:val="20"/>
              </w:rPr>
            </w:pPr>
            <w:r>
              <w:rPr>
                <w:rFonts w:ascii="宋体" w:hAnsi="宋体" w:eastAsia="宋体" w:cs="宋体"/>
                <w:spacing w:val="8"/>
                <w:sz w:val="20"/>
                <w:szCs w:val="20"/>
              </w:rPr>
              <w:t>粪污处理系</w:t>
            </w:r>
            <w:r>
              <w:rPr>
                <w:rFonts w:ascii="宋体" w:hAnsi="宋体" w:eastAsia="宋体" w:cs="宋体"/>
                <w:spacing w:val="7"/>
                <w:sz w:val="20"/>
                <w:szCs w:val="20"/>
              </w:rPr>
              <w:t>统</w:t>
            </w:r>
          </w:p>
        </w:tc>
        <w:tc>
          <w:tcPr>
            <w:tcW w:w="1995" w:type="dxa"/>
          </w:tcPr>
          <w:p w14:paraId="765EBA62">
            <w:pPr>
              <w:spacing w:before="36" w:line="221" w:lineRule="auto"/>
              <w:ind w:left="793"/>
              <w:rPr>
                <w:rFonts w:ascii="宋体" w:hAnsi="宋体" w:eastAsia="宋体" w:cs="宋体"/>
                <w:sz w:val="20"/>
                <w:szCs w:val="20"/>
              </w:rPr>
            </w:pPr>
            <w:r>
              <w:rPr>
                <w:rFonts w:ascii="宋体" w:hAnsi="宋体" w:eastAsia="宋体" w:cs="宋体"/>
                <w:spacing w:val="4"/>
                <w:sz w:val="20"/>
                <w:szCs w:val="20"/>
              </w:rPr>
              <w:t>污</w:t>
            </w:r>
            <w:r>
              <w:rPr>
                <w:rFonts w:ascii="宋体" w:hAnsi="宋体" w:eastAsia="宋体" w:cs="宋体"/>
                <w:spacing w:val="3"/>
                <w:sz w:val="20"/>
                <w:szCs w:val="20"/>
              </w:rPr>
              <w:t>水</w:t>
            </w:r>
          </w:p>
        </w:tc>
        <w:tc>
          <w:tcPr>
            <w:tcW w:w="2145" w:type="dxa"/>
          </w:tcPr>
          <w:p w14:paraId="2B214853">
            <w:pPr>
              <w:spacing w:before="36" w:line="221" w:lineRule="auto"/>
              <w:ind w:left="237"/>
              <w:rPr>
                <w:rFonts w:ascii="宋体" w:hAnsi="宋体" w:eastAsia="宋体" w:cs="宋体"/>
                <w:sz w:val="20"/>
                <w:szCs w:val="20"/>
              </w:rPr>
            </w:pPr>
            <w:r>
              <w:rPr>
                <w:rFonts w:ascii="宋体" w:hAnsi="宋体" w:eastAsia="宋体" w:cs="宋体"/>
                <w:spacing w:val="13"/>
                <w:sz w:val="20"/>
                <w:szCs w:val="20"/>
              </w:rPr>
              <w:t>集</w:t>
            </w:r>
            <w:r>
              <w:rPr>
                <w:rFonts w:ascii="宋体" w:hAnsi="宋体" w:eastAsia="宋体" w:cs="宋体"/>
                <w:spacing w:val="8"/>
                <w:sz w:val="20"/>
                <w:szCs w:val="20"/>
              </w:rPr>
              <w:t>污管道、集污池</w:t>
            </w:r>
          </w:p>
        </w:tc>
        <w:tc>
          <w:tcPr>
            <w:tcW w:w="2580" w:type="dxa"/>
            <w:tcBorders>
              <w:right w:val="nil"/>
            </w:tcBorders>
          </w:tcPr>
          <w:p w14:paraId="36E06268">
            <w:pPr>
              <w:spacing w:before="36" w:line="221" w:lineRule="auto"/>
              <w:ind w:left="245"/>
              <w:rPr>
                <w:rFonts w:ascii="宋体" w:hAnsi="宋体" w:eastAsia="宋体" w:cs="宋体"/>
                <w:sz w:val="20"/>
                <w:szCs w:val="20"/>
              </w:rPr>
            </w:pPr>
            <w:r>
              <w:rPr>
                <w:rFonts w:ascii="宋体" w:hAnsi="宋体" w:eastAsia="宋体" w:cs="宋体"/>
                <w:spacing w:val="9"/>
                <w:sz w:val="20"/>
                <w:szCs w:val="20"/>
              </w:rPr>
              <w:t>集污管道、集污池泄</w:t>
            </w:r>
            <w:r>
              <w:rPr>
                <w:rFonts w:ascii="宋体" w:hAnsi="宋体" w:eastAsia="宋体" w:cs="宋体"/>
                <w:spacing w:val="8"/>
                <w:sz w:val="20"/>
                <w:szCs w:val="20"/>
              </w:rPr>
              <w:t>露</w:t>
            </w:r>
          </w:p>
        </w:tc>
      </w:tr>
      <w:tr w14:paraId="3C10D3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37" w:type="dxa"/>
            <w:tcBorders>
              <w:left w:val="nil"/>
            </w:tcBorders>
          </w:tcPr>
          <w:p w14:paraId="09828A0D">
            <w:pPr>
              <w:spacing w:before="86" w:line="187" w:lineRule="auto"/>
              <w:ind w:left="326"/>
              <w:rPr>
                <w:rFonts w:ascii="Calibri" w:hAnsi="Calibri" w:eastAsia="Calibri" w:cs="Calibri"/>
                <w:sz w:val="20"/>
                <w:szCs w:val="20"/>
              </w:rPr>
            </w:pPr>
            <w:r>
              <w:rPr>
                <w:rFonts w:ascii="Calibri" w:hAnsi="Calibri" w:eastAsia="Calibri" w:cs="Calibri"/>
                <w:sz w:val="20"/>
                <w:szCs w:val="20"/>
              </w:rPr>
              <w:t>2</w:t>
            </w:r>
          </w:p>
        </w:tc>
        <w:tc>
          <w:tcPr>
            <w:tcW w:w="1830" w:type="dxa"/>
            <w:vMerge w:val="continue"/>
            <w:tcBorders>
              <w:top w:val="nil"/>
            </w:tcBorders>
          </w:tcPr>
          <w:p w14:paraId="6FF6BB62"/>
        </w:tc>
        <w:tc>
          <w:tcPr>
            <w:tcW w:w="1995" w:type="dxa"/>
          </w:tcPr>
          <w:p w14:paraId="677F9450">
            <w:pPr>
              <w:spacing w:before="45" w:line="228" w:lineRule="auto"/>
              <w:ind w:left="793"/>
              <w:rPr>
                <w:rFonts w:ascii="宋体" w:hAnsi="宋体" w:eastAsia="宋体" w:cs="宋体"/>
                <w:sz w:val="20"/>
                <w:szCs w:val="20"/>
              </w:rPr>
            </w:pPr>
            <w:r>
              <w:rPr>
                <w:rFonts w:ascii="宋体" w:hAnsi="宋体" w:eastAsia="宋体" w:cs="宋体"/>
                <w:spacing w:val="4"/>
                <w:sz w:val="20"/>
                <w:szCs w:val="20"/>
              </w:rPr>
              <w:t>粪</w:t>
            </w:r>
            <w:r>
              <w:rPr>
                <w:rFonts w:ascii="宋体" w:hAnsi="宋体" w:eastAsia="宋体" w:cs="宋体"/>
                <w:spacing w:val="3"/>
                <w:sz w:val="20"/>
                <w:szCs w:val="20"/>
              </w:rPr>
              <w:t>污</w:t>
            </w:r>
          </w:p>
        </w:tc>
        <w:tc>
          <w:tcPr>
            <w:tcW w:w="2145" w:type="dxa"/>
          </w:tcPr>
          <w:p w14:paraId="2469A8B1">
            <w:pPr>
              <w:spacing w:before="45" w:line="228" w:lineRule="auto"/>
              <w:ind w:left="239"/>
              <w:rPr>
                <w:rFonts w:ascii="宋体" w:hAnsi="宋体" w:eastAsia="宋体" w:cs="宋体"/>
                <w:sz w:val="20"/>
                <w:szCs w:val="20"/>
              </w:rPr>
            </w:pPr>
            <w:r>
              <w:rPr>
                <w:rFonts w:ascii="宋体" w:hAnsi="宋体" w:eastAsia="宋体" w:cs="宋体"/>
                <w:spacing w:val="11"/>
                <w:sz w:val="20"/>
                <w:szCs w:val="20"/>
              </w:rPr>
              <w:t>异</w:t>
            </w:r>
            <w:r>
              <w:rPr>
                <w:rFonts w:ascii="宋体" w:hAnsi="宋体" w:eastAsia="宋体" w:cs="宋体"/>
                <w:spacing w:val="8"/>
                <w:sz w:val="20"/>
                <w:szCs w:val="20"/>
              </w:rPr>
              <w:t>位微生物发酵床</w:t>
            </w:r>
          </w:p>
        </w:tc>
        <w:tc>
          <w:tcPr>
            <w:tcW w:w="2580" w:type="dxa"/>
            <w:tcBorders>
              <w:right w:val="nil"/>
            </w:tcBorders>
          </w:tcPr>
          <w:p w14:paraId="047949CC">
            <w:pPr>
              <w:spacing w:before="45" w:line="228" w:lineRule="auto"/>
              <w:ind w:left="773"/>
              <w:rPr>
                <w:rFonts w:ascii="宋体" w:hAnsi="宋体" w:eastAsia="宋体" w:cs="宋体"/>
                <w:sz w:val="20"/>
                <w:szCs w:val="20"/>
              </w:rPr>
            </w:pPr>
            <w:r>
              <w:rPr>
                <w:rFonts w:ascii="宋体" w:hAnsi="宋体" w:eastAsia="宋体" w:cs="宋体"/>
                <w:spacing w:val="9"/>
                <w:sz w:val="20"/>
                <w:szCs w:val="20"/>
              </w:rPr>
              <w:t>发</w:t>
            </w:r>
            <w:r>
              <w:rPr>
                <w:rFonts w:ascii="宋体" w:hAnsi="宋体" w:eastAsia="宋体" w:cs="宋体"/>
                <w:spacing w:val="7"/>
                <w:sz w:val="20"/>
                <w:szCs w:val="20"/>
              </w:rPr>
              <w:t>酵菌失活</w:t>
            </w:r>
          </w:p>
        </w:tc>
      </w:tr>
      <w:tr w14:paraId="0CEED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737" w:type="dxa"/>
            <w:tcBorders>
              <w:left w:val="nil"/>
            </w:tcBorders>
          </w:tcPr>
          <w:p w14:paraId="6C805F6B">
            <w:pPr>
              <w:spacing w:before="79" w:line="186" w:lineRule="auto"/>
              <w:ind w:left="325"/>
              <w:rPr>
                <w:rFonts w:ascii="Calibri" w:hAnsi="Calibri" w:eastAsia="Calibri" w:cs="Calibri"/>
                <w:sz w:val="20"/>
                <w:szCs w:val="20"/>
              </w:rPr>
            </w:pPr>
            <w:r>
              <w:rPr>
                <w:rFonts w:ascii="Calibri" w:hAnsi="Calibri" w:eastAsia="Calibri" w:cs="Calibri"/>
                <w:sz w:val="20"/>
                <w:szCs w:val="20"/>
              </w:rPr>
              <w:t>3</w:t>
            </w:r>
          </w:p>
        </w:tc>
        <w:tc>
          <w:tcPr>
            <w:tcW w:w="1830" w:type="dxa"/>
          </w:tcPr>
          <w:p w14:paraId="13D98230">
            <w:pPr>
              <w:spacing w:before="37" w:line="228" w:lineRule="auto"/>
              <w:ind w:left="299"/>
              <w:rPr>
                <w:rFonts w:ascii="宋体" w:hAnsi="宋体" w:eastAsia="宋体" w:cs="宋体"/>
                <w:sz w:val="20"/>
                <w:szCs w:val="20"/>
              </w:rPr>
            </w:pPr>
            <w:r>
              <w:rPr>
                <w:rFonts w:ascii="宋体" w:hAnsi="宋体" w:eastAsia="宋体" w:cs="宋体"/>
                <w:spacing w:val="9"/>
                <w:sz w:val="20"/>
                <w:szCs w:val="20"/>
              </w:rPr>
              <w:t>医</w:t>
            </w:r>
            <w:r>
              <w:rPr>
                <w:rFonts w:ascii="宋体" w:hAnsi="宋体" w:eastAsia="宋体" w:cs="宋体"/>
                <w:spacing w:val="6"/>
                <w:sz w:val="20"/>
                <w:szCs w:val="20"/>
              </w:rPr>
              <w:t>疗废物贮存</w:t>
            </w:r>
          </w:p>
        </w:tc>
        <w:tc>
          <w:tcPr>
            <w:tcW w:w="6720" w:type="dxa"/>
            <w:gridSpan w:val="3"/>
            <w:tcBorders>
              <w:right w:val="nil"/>
            </w:tcBorders>
          </w:tcPr>
          <w:p w14:paraId="1A6417B9">
            <w:pPr>
              <w:spacing w:before="37" w:line="228" w:lineRule="auto"/>
              <w:ind w:left="1800"/>
              <w:rPr>
                <w:rFonts w:ascii="宋体" w:hAnsi="宋体" w:eastAsia="宋体" w:cs="宋体"/>
                <w:sz w:val="20"/>
                <w:szCs w:val="20"/>
              </w:rPr>
            </w:pPr>
            <w:r>
              <w:rPr>
                <w:rFonts w:ascii="宋体" w:hAnsi="宋体" w:eastAsia="宋体" w:cs="宋体"/>
                <w:spacing w:val="16"/>
                <w:sz w:val="20"/>
                <w:szCs w:val="20"/>
              </w:rPr>
              <w:t>医</w:t>
            </w:r>
            <w:r>
              <w:rPr>
                <w:rFonts w:ascii="宋体" w:hAnsi="宋体" w:eastAsia="宋体" w:cs="宋体"/>
                <w:spacing w:val="10"/>
                <w:sz w:val="20"/>
                <w:szCs w:val="20"/>
              </w:rPr>
              <w:t>疗</w:t>
            </w:r>
            <w:r>
              <w:rPr>
                <w:rFonts w:ascii="宋体" w:hAnsi="宋体" w:eastAsia="宋体" w:cs="宋体"/>
                <w:spacing w:val="8"/>
                <w:sz w:val="20"/>
                <w:szCs w:val="20"/>
              </w:rPr>
              <w:t>废物贮存及转运过程中的风险</w:t>
            </w:r>
          </w:p>
        </w:tc>
      </w:tr>
    </w:tbl>
    <w:p w14:paraId="4171DF19">
      <w:pPr>
        <w:spacing w:line="325" w:lineRule="exact"/>
        <w:ind w:left="117"/>
        <w:outlineLvl w:val="2"/>
        <w:rPr>
          <w:rFonts w:ascii="宋体" w:hAnsi="宋体" w:eastAsia="宋体" w:cs="宋体"/>
          <w:sz w:val="23"/>
          <w:szCs w:val="23"/>
        </w:rPr>
      </w:pPr>
      <w:r>
        <w:rPr>
          <w:rFonts w:ascii="Times New Roman" w:hAnsi="Times New Roman" w:eastAsia="Times New Roman" w:cs="Times New Roman"/>
          <w:b/>
          <w:bCs/>
          <w:spacing w:val="11"/>
          <w:position w:val="2"/>
          <w:sz w:val="23"/>
          <w:szCs w:val="23"/>
        </w:rPr>
        <w:t>8</w:t>
      </w:r>
      <w:r>
        <w:rPr>
          <w:rFonts w:ascii="Times New Roman" w:hAnsi="Times New Roman" w:eastAsia="Times New Roman" w:cs="Times New Roman"/>
          <w:b/>
          <w:bCs/>
          <w:spacing w:val="7"/>
          <w:position w:val="2"/>
          <w:sz w:val="23"/>
          <w:szCs w:val="23"/>
        </w:rPr>
        <w:t>.2.3</w:t>
      </w:r>
      <w:r>
        <w:rPr>
          <w:rFonts w:ascii="Times New Roman" w:hAnsi="Times New Roman" w:eastAsia="Times New Roman" w:cs="Times New Roman"/>
          <w:spacing w:val="7"/>
          <w:position w:val="2"/>
          <w:sz w:val="23"/>
          <w:szCs w:val="23"/>
        </w:rPr>
        <w:t xml:space="preserve">  </w:t>
      </w:r>
      <w:r>
        <w:rPr>
          <w:rFonts w:ascii="宋体" w:hAnsi="宋体" w:eastAsia="宋体" w:cs="宋体"/>
          <w:spacing w:val="7"/>
          <w:position w:val="2"/>
          <w:sz w:val="23"/>
          <w:szCs w:val="23"/>
          <w14:textOutline w14:w="4279" w14:cap="sq" w14:cmpd="sng" w14:algn="ctr">
            <w14:solidFill>
              <w14:srgbClr w14:val="000000"/>
            </w14:solidFill>
            <w14:prstDash w14:val="solid"/>
            <w14:bevel/>
          </w14:textOutline>
        </w:rPr>
        <w:t>事故伴生</w:t>
      </w:r>
      <w:r>
        <w:rPr>
          <w:rFonts w:ascii="Times New Roman" w:hAnsi="Times New Roman" w:eastAsia="Times New Roman" w:cs="Times New Roman"/>
          <w:b/>
          <w:bCs/>
          <w:spacing w:val="7"/>
          <w:position w:val="2"/>
          <w:sz w:val="23"/>
          <w:szCs w:val="23"/>
        </w:rPr>
        <w:t>/</w:t>
      </w:r>
      <w:r>
        <w:rPr>
          <w:rFonts w:ascii="宋体" w:hAnsi="宋体" w:eastAsia="宋体" w:cs="宋体"/>
          <w:spacing w:val="7"/>
          <w:position w:val="2"/>
          <w:sz w:val="23"/>
          <w:szCs w:val="23"/>
          <w14:textOutline w14:w="4279" w14:cap="sq" w14:cmpd="sng" w14:algn="ctr">
            <w14:solidFill>
              <w14:srgbClr w14:val="000000"/>
            </w14:solidFill>
            <w14:prstDash w14:val="solid"/>
            <w14:bevel/>
          </w14:textOutline>
        </w:rPr>
        <w:t>次生危险性识别</w:t>
      </w:r>
    </w:p>
    <w:p w14:paraId="488892B4">
      <w:pPr>
        <w:spacing w:before="183" w:line="227" w:lineRule="auto"/>
        <w:ind w:left="609"/>
        <w:rPr>
          <w:rFonts w:ascii="宋体" w:hAnsi="宋体" w:eastAsia="宋体" w:cs="宋体"/>
          <w:sz w:val="23"/>
          <w:szCs w:val="23"/>
        </w:rPr>
      </w:pPr>
      <w:r>
        <w:rPr>
          <w:rFonts w:ascii="宋体" w:hAnsi="宋体" w:eastAsia="宋体" w:cs="宋体"/>
          <w:spacing w:val="25"/>
          <w:sz w:val="23"/>
          <w:szCs w:val="23"/>
        </w:rPr>
        <w:t>(</w:t>
      </w:r>
      <w:r>
        <w:rPr>
          <w:rFonts w:ascii="Times New Roman" w:hAnsi="Times New Roman" w:eastAsia="Times New Roman" w:cs="Times New Roman"/>
          <w:spacing w:val="18"/>
          <w:sz w:val="23"/>
          <w:szCs w:val="23"/>
        </w:rPr>
        <w:t>1</w:t>
      </w:r>
      <w:r>
        <w:rPr>
          <w:rFonts w:ascii="宋体" w:hAnsi="宋体" w:eastAsia="宋体" w:cs="宋体"/>
          <w:spacing w:val="18"/>
          <w:sz w:val="23"/>
          <w:szCs w:val="23"/>
        </w:rPr>
        <w:t>) 消毒液泄露</w:t>
      </w:r>
    </w:p>
    <w:p w14:paraId="3A70EE50">
      <w:pPr>
        <w:spacing w:before="181" w:line="376" w:lineRule="auto"/>
        <w:ind w:left="119" w:right="65" w:firstLine="494"/>
        <w:rPr>
          <w:rFonts w:ascii="宋体" w:hAnsi="宋体" w:eastAsia="宋体" w:cs="宋体"/>
          <w:sz w:val="23"/>
          <w:szCs w:val="23"/>
        </w:rPr>
      </w:pPr>
      <w:r>
        <w:rPr>
          <w:rFonts w:ascii="宋体" w:hAnsi="宋体" w:eastAsia="宋体" w:cs="宋体"/>
          <w:spacing w:val="12"/>
          <w:sz w:val="23"/>
          <w:szCs w:val="23"/>
        </w:rPr>
        <w:t>当项目</w:t>
      </w:r>
      <w:r>
        <w:rPr>
          <w:rFonts w:ascii="宋体" w:hAnsi="宋体" w:eastAsia="宋体" w:cs="宋体"/>
          <w:spacing w:val="9"/>
          <w:sz w:val="23"/>
          <w:szCs w:val="23"/>
        </w:rPr>
        <w:t>使</w:t>
      </w:r>
      <w:r>
        <w:rPr>
          <w:rFonts w:ascii="宋体" w:hAnsi="宋体" w:eastAsia="宋体" w:cs="宋体"/>
          <w:spacing w:val="6"/>
          <w:sz w:val="23"/>
          <w:szCs w:val="23"/>
        </w:rPr>
        <w:t>用的消毒液发生泄露，进入土壤中，将会对土壤、地下水、地表水甚至生态环</w:t>
      </w:r>
      <w:r>
        <w:rPr>
          <w:rFonts w:ascii="宋体" w:hAnsi="宋体" w:eastAsia="宋体" w:cs="宋体"/>
          <w:sz w:val="23"/>
          <w:szCs w:val="23"/>
        </w:rPr>
        <w:t xml:space="preserve"> </w:t>
      </w:r>
      <w:r>
        <w:rPr>
          <w:rFonts w:ascii="宋体" w:hAnsi="宋体" w:eastAsia="宋体" w:cs="宋体"/>
          <w:spacing w:val="18"/>
          <w:sz w:val="23"/>
          <w:szCs w:val="23"/>
        </w:rPr>
        <w:t>境造</w:t>
      </w:r>
      <w:r>
        <w:rPr>
          <w:rFonts w:ascii="宋体" w:hAnsi="宋体" w:eastAsia="宋体" w:cs="宋体"/>
          <w:spacing w:val="9"/>
          <w:sz w:val="23"/>
          <w:szCs w:val="23"/>
        </w:rPr>
        <w:t>成污染，因此，项目生产过程中必须加强管理，加强防渗，避免消毒剂泄露的发生。</w:t>
      </w:r>
    </w:p>
    <w:p w14:paraId="1973549F">
      <w:pPr>
        <w:spacing w:line="227" w:lineRule="auto"/>
        <w:ind w:left="609"/>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7"/>
          <w:sz w:val="23"/>
          <w:szCs w:val="23"/>
        </w:rPr>
        <w:t>2</w:t>
      </w:r>
      <w:r>
        <w:rPr>
          <w:rFonts w:ascii="宋体" w:hAnsi="宋体" w:eastAsia="宋体" w:cs="宋体"/>
          <w:spacing w:val="17"/>
          <w:sz w:val="23"/>
          <w:szCs w:val="23"/>
        </w:rPr>
        <w:t>) 事故外排的污水</w:t>
      </w:r>
    </w:p>
    <w:p w14:paraId="78821E44">
      <w:pPr>
        <w:spacing w:before="184" w:line="374" w:lineRule="auto"/>
        <w:ind w:left="118" w:firstLine="495"/>
        <w:rPr>
          <w:rFonts w:ascii="宋体" w:hAnsi="宋体" w:eastAsia="宋体" w:cs="宋体"/>
          <w:sz w:val="23"/>
          <w:szCs w:val="23"/>
        </w:rPr>
      </w:pPr>
      <w:r>
        <w:rPr>
          <w:rFonts w:ascii="宋体" w:hAnsi="宋体" w:eastAsia="宋体" w:cs="宋体"/>
          <w:spacing w:val="4"/>
          <w:sz w:val="23"/>
          <w:szCs w:val="23"/>
        </w:rPr>
        <w:t>当粪污</w:t>
      </w:r>
      <w:r>
        <w:rPr>
          <w:rFonts w:ascii="宋体" w:hAnsi="宋体" w:eastAsia="宋体" w:cs="宋体"/>
          <w:spacing w:val="3"/>
          <w:sz w:val="23"/>
          <w:szCs w:val="23"/>
        </w:rPr>
        <w:t>处</w:t>
      </w:r>
      <w:r>
        <w:rPr>
          <w:rFonts w:ascii="宋体" w:hAnsi="宋体" w:eastAsia="宋体" w:cs="宋体"/>
          <w:spacing w:val="2"/>
          <w:sz w:val="23"/>
          <w:szCs w:val="23"/>
        </w:rPr>
        <w:t>理系统的集污管道、集污池若发生管道或池体破裂等造成污水渗漏，事故外排，</w:t>
      </w:r>
      <w:r>
        <w:rPr>
          <w:rFonts w:ascii="宋体" w:hAnsi="宋体" w:eastAsia="宋体" w:cs="宋体"/>
          <w:sz w:val="23"/>
          <w:szCs w:val="23"/>
        </w:rPr>
        <w:t xml:space="preserve"> </w:t>
      </w:r>
      <w:r>
        <w:rPr>
          <w:rFonts w:ascii="宋体" w:hAnsi="宋体" w:eastAsia="宋体" w:cs="宋体"/>
          <w:spacing w:val="16"/>
          <w:sz w:val="23"/>
          <w:szCs w:val="23"/>
        </w:rPr>
        <w:t>其中外</w:t>
      </w:r>
      <w:r>
        <w:rPr>
          <w:rFonts w:ascii="宋体" w:hAnsi="宋体" w:eastAsia="宋体" w:cs="宋体"/>
          <w:spacing w:val="14"/>
          <w:sz w:val="23"/>
          <w:szCs w:val="23"/>
        </w:rPr>
        <w:t>排</w:t>
      </w:r>
      <w:r>
        <w:rPr>
          <w:rFonts w:ascii="宋体" w:hAnsi="宋体" w:eastAsia="宋体" w:cs="宋体"/>
          <w:spacing w:val="8"/>
          <w:sz w:val="23"/>
          <w:szCs w:val="23"/>
        </w:rPr>
        <w:t>的污水等如不能及时有效处理，将会对环境造成二次污染。为此，必须定时检修、</w:t>
      </w:r>
      <w:r>
        <w:rPr>
          <w:rFonts w:ascii="宋体" w:hAnsi="宋体" w:eastAsia="宋体" w:cs="宋体"/>
          <w:sz w:val="23"/>
          <w:szCs w:val="23"/>
        </w:rPr>
        <w:t xml:space="preserve"> </w:t>
      </w:r>
      <w:r>
        <w:rPr>
          <w:rFonts w:ascii="宋体" w:hAnsi="宋体" w:eastAsia="宋体" w:cs="宋体"/>
          <w:spacing w:val="6"/>
          <w:sz w:val="23"/>
          <w:szCs w:val="23"/>
        </w:rPr>
        <w:t>加强防渗；</w:t>
      </w:r>
    </w:p>
    <w:p w14:paraId="32D013FC">
      <w:pPr>
        <w:spacing w:line="227" w:lineRule="auto"/>
        <w:ind w:left="609"/>
        <w:rPr>
          <w:rFonts w:ascii="宋体" w:hAnsi="宋体" w:eastAsia="宋体" w:cs="宋体"/>
          <w:sz w:val="23"/>
          <w:szCs w:val="23"/>
        </w:rPr>
      </w:pPr>
      <w:r>
        <w:rPr>
          <w:rFonts w:ascii="宋体" w:hAnsi="宋体" w:eastAsia="宋体" w:cs="宋体"/>
          <w:spacing w:val="23"/>
          <w:sz w:val="23"/>
          <w:szCs w:val="23"/>
        </w:rPr>
        <w:t>(</w:t>
      </w:r>
      <w:r>
        <w:rPr>
          <w:rFonts w:ascii="Times New Roman" w:hAnsi="Times New Roman" w:eastAsia="Times New Roman" w:cs="Times New Roman"/>
          <w:spacing w:val="16"/>
          <w:sz w:val="23"/>
          <w:szCs w:val="23"/>
        </w:rPr>
        <w:t>3</w:t>
      </w:r>
      <w:r>
        <w:rPr>
          <w:rFonts w:ascii="宋体" w:hAnsi="宋体" w:eastAsia="宋体" w:cs="宋体"/>
          <w:spacing w:val="16"/>
          <w:sz w:val="23"/>
          <w:szCs w:val="23"/>
        </w:rPr>
        <w:t>) 发酵菌种突然失活</w:t>
      </w:r>
    </w:p>
    <w:p w14:paraId="739B78FE">
      <w:pPr>
        <w:spacing w:before="185" w:line="375" w:lineRule="auto"/>
        <w:ind w:left="121" w:right="63" w:firstLine="479"/>
        <w:rPr>
          <w:rFonts w:ascii="宋体" w:hAnsi="宋体" w:eastAsia="宋体" w:cs="宋体"/>
          <w:sz w:val="23"/>
          <w:szCs w:val="23"/>
        </w:rPr>
      </w:pPr>
      <w:r>
        <w:rPr>
          <w:rFonts w:ascii="宋体" w:hAnsi="宋体" w:eastAsia="宋体" w:cs="宋体"/>
          <w:spacing w:val="14"/>
          <w:sz w:val="23"/>
          <w:szCs w:val="23"/>
        </w:rPr>
        <w:t>异位</w:t>
      </w:r>
      <w:r>
        <w:rPr>
          <w:rFonts w:ascii="宋体" w:hAnsi="宋体" w:eastAsia="宋体" w:cs="宋体"/>
          <w:spacing w:val="10"/>
          <w:sz w:val="23"/>
          <w:szCs w:val="23"/>
        </w:rPr>
        <w:t>微</w:t>
      </w:r>
      <w:r>
        <w:rPr>
          <w:rFonts w:ascii="宋体" w:hAnsi="宋体" w:eastAsia="宋体" w:cs="宋体"/>
          <w:spacing w:val="7"/>
          <w:sz w:val="23"/>
          <w:szCs w:val="23"/>
        </w:rPr>
        <w:t>生物发酵床的发酵菌突然失活，导致</w:t>
      </w:r>
      <w:r>
        <w:rPr>
          <w:rFonts w:ascii="Times New Roman" w:hAnsi="Times New Roman" w:eastAsia="Times New Roman" w:cs="Times New Roman"/>
          <w:spacing w:val="7"/>
          <w:sz w:val="23"/>
          <w:szCs w:val="23"/>
        </w:rPr>
        <w:t>“</w:t>
      </w:r>
      <w:r>
        <w:rPr>
          <w:rFonts w:ascii="宋体" w:hAnsi="宋体" w:eastAsia="宋体" w:cs="宋体"/>
          <w:spacing w:val="7"/>
          <w:sz w:val="23"/>
          <w:szCs w:val="23"/>
        </w:rPr>
        <w:t>死床</w:t>
      </w:r>
      <w:r>
        <w:rPr>
          <w:rFonts w:ascii="Times New Roman" w:hAnsi="Times New Roman" w:eastAsia="Times New Roman" w:cs="Times New Roman"/>
          <w:spacing w:val="7"/>
          <w:sz w:val="23"/>
          <w:szCs w:val="23"/>
        </w:rPr>
        <w:t>”</w:t>
      </w:r>
      <w:r>
        <w:rPr>
          <w:rFonts w:ascii="宋体" w:hAnsi="宋体" w:eastAsia="宋体" w:cs="宋体"/>
          <w:spacing w:val="7"/>
          <w:sz w:val="23"/>
          <w:szCs w:val="23"/>
        </w:rPr>
        <w:t>，发酵床内的粪污得不到及时有效的</w:t>
      </w:r>
      <w:r>
        <w:rPr>
          <w:rFonts w:ascii="宋体" w:hAnsi="宋体" w:eastAsia="宋体" w:cs="宋体"/>
          <w:sz w:val="23"/>
          <w:szCs w:val="23"/>
        </w:rPr>
        <w:t xml:space="preserve"> </w:t>
      </w:r>
      <w:r>
        <w:rPr>
          <w:rFonts w:ascii="宋体" w:hAnsi="宋体" w:eastAsia="宋体" w:cs="宋体"/>
          <w:spacing w:val="8"/>
          <w:sz w:val="23"/>
          <w:szCs w:val="23"/>
        </w:rPr>
        <w:t>处</w:t>
      </w:r>
      <w:r>
        <w:rPr>
          <w:rFonts w:ascii="宋体" w:hAnsi="宋体" w:eastAsia="宋体" w:cs="宋体"/>
          <w:spacing w:val="7"/>
          <w:sz w:val="23"/>
          <w:szCs w:val="23"/>
        </w:rPr>
        <w:t>理。若不及时添加菌种，恢复发酵床活性，则会产生恶臭气体，同时，新产生的粪污也得</w:t>
      </w:r>
      <w:r>
        <w:rPr>
          <w:rFonts w:ascii="宋体" w:hAnsi="宋体" w:eastAsia="宋体" w:cs="宋体"/>
          <w:sz w:val="23"/>
          <w:szCs w:val="23"/>
        </w:rPr>
        <w:t xml:space="preserve"> </w:t>
      </w:r>
      <w:r>
        <w:rPr>
          <w:rFonts w:ascii="宋体" w:hAnsi="宋体" w:eastAsia="宋体" w:cs="宋体"/>
          <w:spacing w:val="6"/>
          <w:sz w:val="23"/>
          <w:szCs w:val="23"/>
        </w:rPr>
        <w:t>不</w:t>
      </w:r>
      <w:r>
        <w:rPr>
          <w:rFonts w:ascii="宋体" w:hAnsi="宋体" w:eastAsia="宋体" w:cs="宋体"/>
          <w:spacing w:val="5"/>
          <w:sz w:val="23"/>
          <w:szCs w:val="23"/>
        </w:rPr>
        <w:t>到治理；</w:t>
      </w:r>
    </w:p>
    <w:p w14:paraId="2E7DAF4C">
      <w:pPr>
        <w:spacing w:line="228" w:lineRule="auto"/>
        <w:ind w:left="609"/>
        <w:rPr>
          <w:rFonts w:ascii="宋体" w:hAnsi="宋体" w:eastAsia="宋体" w:cs="宋体"/>
          <w:sz w:val="23"/>
          <w:szCs w:val="23"/>
        </w:rPr>
      </w:pPr>
      <w:r>
        <w:rPr>
          <w:rFonts w:ascii="宋体" w:hAnsi="宋体" w:eastAsia="宋体" w:cs="宋体"/>
          <w:spacing w:val="23"/>
          <w:sz w:val="23"/>
          <w:szCs w:val="23"/>
        </w:rPr>
        <w:t>(</w:t>
      </w:r>
      <w:r>
        <w:rPr>
          <w:rFonts w:ascii="Times New Roman" w:hAnsi="Times New Roman" w:eastAsia="Times New Roman" w:cs="Times New Roman"/>
          <w:spacing w:val="16"/>
          <w:sz w:val="23"/>
          <w:szCs w:val="23"/>
        </w:rPr>
        <w:t>4</w:t>
      </w:r>
      <w:r>
        <w:rPr>
          <w:rFonts w:ascii="宋体" w:hAnsi="宋体" w:eastAsia="宋体" w:cs="宋体"/>
          <w:spacing w:val="16"/>
          <w:sz w:val="23"/>
          <w:szCs w:val="23"/>
        </w:rPr>
        <w:t>) 危险废物事故排放</w:t>
      </w:r>
    </w:p>
    <w:p w14:paraId="26BAB660">
      <w:pPr>
        <w:spacing w:before="181" w:line="378" w:lineRule="auto"/>
        <w:ind w:left="120" w:right="65" w:firstLine="480"/>
        <w:rPr>
          <w:rFonts w:ascii="宋体" w:hAnsi="宋体" w:eastAsia="宋体" w:cs="宋体"/>
          <w:sz w:val="23"/>
          <w:szCs w:val="23"/>
        </w:rPr>
      </w:pPr>
      <w:r>
        <w:rPr>
          <w:rFonts w:ascii="宋体" w:hAnsi="宋体" w:eastAsia="宋体" w:cs="宋体"/>
          <w:spacing w:val="7"/>
          <w:sz w:val="23"/>
          <w:szCs w:val="23"/>
        </w:rPr>
        <w:t>危险废物残留及衍生的大量病菌、有毒物质是十分有害有毒的物质，如果不经分类收</w:t>
      </w:r>
      <w:r>
        <w:rPr>
          <w:rFonts w:ascii="宋体" w:hAnsi="宋体" w:eastAsia="宋体" w:cs="宋体"/>
          <w:spacing w:val="3"/>
          <w:sz w:val="23"/>
          <w:szCs w:val="23"/>
        </w:rPr>
        <w:t>集</w:t>
      </w:r>
      <w:r>
        <w:rPr>
          <w:rFonts w:ascii="宋体" w:hAnsi="宋体" w:eastAsia="宋体" w:cs="宋体"/>
          <w:sz w:val="23"/>
          <w:szCs w:val="23"/>
        </w:rPr>
        <w:t xml:space="preserve"> </w:t>
      </w:r>
      <w:r>
        <w:rPr>
          <w:rFonts w:ascii="宋体" w:hAnsi="宋体" w:eastAsia="宋体" w:cs="宋体"/>
          <w:spacing w:val="18"/>
          <w:sz w:val="23"/>
          <w:szCs w:val="23"/>
        </w:rPr>
        <w:t>等</w:t>
      </w:r>
      <w:r>
        <w:rPr>
          <w:rFonts w:ascii="宋体" w:hAnsi="宋体" w:eastAsia="宋体" w:cs="宋体"/>
          <w:spacing w:val="10"/>
          <w:sz w:val="23"/>
          <w:szCs w:val="23"/>
        </w:rPr>
        <w:t>有</w:t>
      </w:r>
      <w:r>
        <w:rPr>
          <w:rFonts w:ascii="宋体" w:hAnsi="宋体" w:eastAsia="宋体" w:cs="宋体"/>
          <w:spacing w:val="9"/>
          <w:sz w:val="23"/>
          <w:szCs w:val="23"/>
        </w:rPr>
        <w:t>效处理的话，很容易引起各种疾病的传播和蔓延以及造成二次污染。</w:t>
      </w:r>
    </w:p>
    <w:p w14:paraId="63F34A74">
      <w:pPr>
        <w:spacing w:before="2" w:line="220" w:lineRule="auto"/>
        <w:ind w:left="118"/>
        <w:outlineLvl w:val="1"/>
        <w:rPr>
          <w:rFonts w:ascii="宋体" w:hAnsi="宋体" w:eastAsia="宋体" w:cs="宋体"/>
          <w:sz w:val="28"/>
          <w:szCs w:val="28"/>
        </w:rPr>
      </w:pPr>
      <w:bookmarkStart w:id="60" w:name="_bookmark61"/>
      <w:bookmarkEnd w:id="60"/>
      <w:r>
        <w:rPr>
          <w:rFonts w:ascii="Times New Roman" w:hAnsi="Times New Roman" w:eastAsia="Times New Roman" w:cs="Times New Roman"/>
          <w:b/>
          <w:bCs/>
          <w:spacing w:val="-1"/>
          <w:sz w:val="28"/>
          <w:szCs w:val="28"/>
        </w:rPr>
        <w:t>8.</w:t>
      </w:r>
      <w:r>
        <w:rPr>
          <w:rFonts w:ascii="Times New Roman" w:hAnsi="Times New Roman" w:eastAsia="Times New Roman" w:cs="Times New Roman"/>
          <w:b/>
          <w:bCs/>
          <w:sz w:val="28"/>
          <w:szCs w:val="28"/>
        </w:rPr>
        <w:t>3</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环境风险影响分析</w:t>
      </w:r>
    </w:p>
    <w:p w14:paraId="077C2C38">
      <w:pPr>
        <w:spacing w:before="201" w:line="375" w:lineRule="auto"/>
        <w:ind w:left="119" w:right="65" w:firstLine="479"/>
        <w:rPr>
          <w:rFonts w:ascii="宋体" w:hAnsi="宋体" w:eastAsia="宋体" w:cs="宋体"/>
          <w:sz w:val="23"/>
          <w:szCs w:val="23"/>
        </w:rPr>
      </w:pPr>
      <w:r>
        <w:rPr>
          <w:rFonts w:ascii="宋体" w:hAnsi="宋体" w:eastAsia="宋体" w:cs="宋体"/>
          <w:spacing w:val="7"/>
          <w:sz w:val="23"/>
          <w:szCs w:val="23"/>
        </w:rPr>
        <w:t>拟建项目环境风险主要包括：①消毒液发生泄露；②废水事故性排放；③异位微生物</w:t>
      </w:r>
      <w:r>
        <w:rPr>
          <w:rFonts w:ascii="宋体" w:hAnsi="宋体" w:eastAsia="宋体" w:cs="宋体"/>
          <w:spacing w:val="6"/>
          <w:sz w:val="23"/>
          <w:szCs w:val="23"/>
        </w:rPr>
        <w:t>发</w:t>
      </w:r>
      <w:r>
        <w:rPr>
          <w:rFonts w:ascii="宋体" w:hAnsi="宋体" w:eastAsia="宋体" w:cs="宋体"/>
          <w:sz w:val="23"/>
          <w:szCs w:val="23"/>
        </w:rPr>
        <w:t xml:space="preserve"> </w:t>
      </w:r>
      <w:r>
        <w:rPr>
          <w:rFonts w:ascii="宋体" w:hAnsi="宋体" w:eastAsia="宋体" w:cs="宋体"/>
          <w:spacing w:val="11"/>
          <w:sz w:val="23"/>
          <w:szCs w:val="23"/>
        </w:rPr>
        <w:t>酵</w:t>
      </w:r>
      <w:r>
        <w:rPr>
          <w:rFonts w:ascii="宋体" w:hAnsi="宋体" w:eastAsia="宋体" w:cs="宋体"/>
          <w:spacing w:val="9"/>
          <w:sz w:val="23"/>
          <w:szCs w:val="23"/>
        </w:rPr>
        <w:t>床故障；④危险废物事故排放对环境造成的风险。</w:t>
      </w:r>
    </w:p>
    <w:p w14:paraId="41B91F49">
      <w:pPr>
        <w:spacing w:line="227" w:lineRule="auto"/>
        <w:ind w:left="117"/>
        <w:outlineLvl w:val="2"/>
        <w:rPr>
          <w:rFonts w:ascii="宋体" w:hAnsi="宋体" w:eastAsia="宋体" w:cs="宋体"/>
          <w:sz w:val="23"/>
          <w:szCs w:val="23"/>
        </w:rPr>
      </w:pPr>
      <w:r>
        <w:rPr>
          <w:rFonts w:ascii="Times New Roman" w:hAnsi="Times New Roman" w:eastAsia="Times New Roman" w:cs="Times New Roman"/>
          <w:b/>
          <w:bCs/>
          <w:spacing w:val="10"/>
          <w:sz w:val="23"/>
          <w:szCs w:val="23"/>
        </w:rPr>
        <w:t>8</w:t>
      </w:r>
      <w:r>
        <w:rPr>
          <w:rFonts w:ascii="Times New Roman" w:hAnsi="Times New Roman" w:eastAsia="Times New Roman" w:cs="Times New Roman"/>
          <w:b/>
          <w:bCs/>
          <w:spacing w:val="8"/>
          <w:sz w:val="23"/>
          <w:szCs w:val="23"/>
        </w:rPr>
        <w:t>.3.1</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异位微生物发酵系统事故排放风险</w:t>
      </w:r>
    </w:p>
    <w:p w14:paraId="75F1FD2C">
      <w:pPr>
        <w:spacing w:before="185" w:line="227" w:lineRule="auto"/>
        <w:ind w:left="609"/>
        <w:rPr>
          <w:rFonts w:ascii="宋体" w:hAnsi="宋体" w:eastAsia="宋体" w:cs="宋体"/>
          <w:sz w:val="23"/>
          <w:szCs w:val="23"/>
        </w:rPr>
      </w:pPr>
      <w:r>
        <w:rPr>
          <w:rFonts w:ascii="宋体" w:hAnsi="宋体" w:eastAsia="宋体" w:cs="宋体"/>
          <w:spacing w:val="23"/>
          <w:sz w:val="23"/>
          <w:szCs w:val="23"/>
        </w:rPr>
        <w:t>(</w:t>
      </w:r>
      <w:r>
        <w:rPr>
          <w:rFonts w:ascii="Times New Roman" w:hAnsi="Times New Roman" w:eastAsia="Times New Roman" w:cs="Times New Roman"/>
          <w:spacing w:val="16"/>
          <w:sz w:val="23"/>
          <w:szCs w:val="23"/>
        </w:rPr>
        <w:t>1</w:t>
      </w:r>
      <w:r>
        <w:rPr>
          <w:rFonts w:ascii="宋体" w:hAnsi="宋体" w:eastAsia="宋体" w:cs="宋体"/>
          <w:spacing w:val="16"/>
          <w:sz w:val="23"/>
          <w:szCs w:val="23"/>
        </w:rPr>
        <w:t>) 污水事故排放风险</w:t>
      </w:r>
    </w:p>
    <w:p w14:paraId="5F8A7007">
      <w:pPr>
        <w:spacing w:before="186" w:line="374" w:lineRule="auto"/>
        <w:ind w:left="118" w:firstLine="482"/>
        <w:rPr>
          <w:rFonts w:ascii="宋体" w:hAnsi="宋体" w:eastAsia="宋体" w:cs="宋体"/>
          <w:sz w:val="23"/>
          <w:szCs w:val="23"/>
        </w:rPr>
      </w:pPr>
      <w:r>
        <w:rPr>
          <w:rFonts w:ascii="宋体" w:hAnsi="宋体" w:eastAsia="宋体" w:cs="宋体"/>
          <w:spacing w:val="16"/>
          <w:sz w:val="23"/>
          <w:szCs w:val="23"/>
        </w:rPr>
        <w:t>异位</w:t>
      </w:r>
      <w:r>
        <w:rPr>
          <w:rFonts w:ascii="宋体" w:hAnsi="宋体" w:eastAsia="宋体" w:cs="宋体"/>
          <w:spacing w:val="15"/>
          <w:sz w:val="23"/>
          <w:szCs w:val="23"/>
        </w:rPr>
        <w:t>微</w:t>
      </w:r>
      <w:r>
        <w:rPr>
          <w:rFonts w:ascii="宋体" w:hAnsi="宋体" w:eastAsia="宋体" w:cs="宋体"/>
          <w:spacing w:val="8"/>
          <w:sz w:val="23"/>
          <w:szCs w:val="23"/>
        </w:rPr>
        <w:t>生物发酵系统出现故障的事故原因一般有：①工程使用的集污池、事故应急池、</w:t>
      </w:r>
      <w:r>
        <w:rPr>
          <w:rFonts w:ascii="宋体" w:hAnsi="宋体" w:eastAsia="宋体" w:cs="宋体"/>
          <w:sz w:val="23"/>
          <w:szCs w:val="23"/>
        </w:rPr>
        <w:t xml:space="preserve"> </w:t>
      </w:r>
      <w:r>
        <w:rPr>
          <w:rFonts w:ascii="宋体" w:hAnsi="宋体" w:eastAsia="宋体" w:cs="宋体"/>
          <w:spacing w:val="12"/>
          <w:sz w:val="23"/>
          <w:szCs w:val="23"/>
        </w:rPr>
        <w:t>排</w:t>
      </w:r>
      <w:r>
        <w:rPr>
          <w:rFonts w:ascii="宋体" w:hAnsi="宋体" w:eastAsia="宋体" w:cs="宋体"/>
          <w:spacing w:val="7"/>
          <w:sz w:val="23"/>
          <w:szCs w:val="23"/>
        </w:rPr>
        <w:t>水管道防渗措施不足，而造成废水渗漏污染最近地表水体；②废水事故排放，在排水途径</w:t>
      </w:r>
      <w:r>
        <w:rPr>
          <w:rFonts w:ascii="宋体" w:hAnsi="宋体" w:eastAsia="宋体" w:cs="宋体"/>
          <w:sz w:val="23"/>
          <w:szCs w:val="23"/>
        </w:rPr>
        <w:t xml:space="preserve"> </w:t>
      </w:r>
      <w:r>
        <w:rPr>
          <w:rFonts w:ascii="宋体" w:hAnsi="宋体" w:eastAsia="宋体" w:cs="宋体"/>
          <w:spacing w:val="12"/>
          <w:sz w:val="23"/>
          <w:szCs w:val="23"/>
        </w:rPr>
        <w:t>上</w:t>
      </w:r>
      <w:r>
        <w:rPr>
          <w:rFonts w:ascii="宋体" w:hAnsi="宋体" w:eastAsia="宋体" w:cs="宋体"/>
          <w:spacing w:val="7"/>
          <w:sz w:val="23"/>
          <w:szCs w:val="23"/>
        </w:rPr>
        <w:t>形成渗漏而污染地下水环境；③项目废水在异位微生物发酵床未及时降解导致废水渗漏污</w:t>
      </w:r>
      <w:r>
        <w:rPr>
          <w:rFonts w:ascii="宋体" w:hAnsi="宋体" w:eastAsia="宋体" w:cs="宋体"/>
          <w:sz w:val="23"/>
          <w:szCs w:val="23"/>
        </w:rPr>
        <w:t xml:space="preserve"> </w:t>
      </w:r>
      <w:r>
        <w:rPr>
          <w:rFonts w:ascii="宋体" w:hAnsi="宋体" w:eastAsia="宋体" w:cs="宋体"/>
          <w:spacing w:val="18"/>
          <w:sz w:val="23"/>
          <w:szCs w:val="23"/>
        </w:rPr>
        <w:t>染</w:t>
      </w:r>
      <w:r>
        <w:rPr>
          <w:rFonts w:ascii="宋体" w:hAnsi="宋体" w:eastAsia="宋体" w:cs="宋体"/>
          <w:spacing w:val="15"/>
          <w:sz w:val="23"/>
          <w:szCs w:val="23"/>
        </w:rPr>
        <w:t>地</w:t>
      </w:r>
      <w:r>
        <w:rPr>
          <w:rFonts w:ascii="宋体" w:hAnsi="宋体" w:eastAsia="宋体" w:cs="宋体"/>
          <w:spacing w:val="9"/>
          <w:sz w:val="23"/>
          <w:szCs w:val="23"/>
        </w:rPr>
        <w:t>下水环境；④异位微生物发酵床的菌种突然失效散发出高浓度的恶臭气体。</w:t>
      </w:r>
    </w:p>
    <w:p w14:paraId="5CF89DE0">
      <w:pPr>
        <w:spacing w:before="2" w:line="383" w:lineRule="auto"/>
        <w:ind w:left="119" w:right="65" w:firstLine="494"/>
        <w:rPr>
          <w:rFonts w:ascii="宋体" w:hAnsi="宋体" w:eastAsia="宋体" w:cs="宋体"/>
          <w:sz w:val="23"/>
          <w:szCs w:val="23"/>
        </w:rPr>
      </w:pPr>
      <w:r>
        <w:rPr>
          <w:rFonts w:ascii="宋体" w:hAnsi="宋体" w:eastAsia="宋体" w:cs="宋体"/>
          <w:spacing w:val="12"/>
          <w:sz w:val="23"/>
          <w:szCs w:val="23"/>
        </w:rPr>
        <w:t>畜禽养殖场中高浓度、未经处理的污水进入自然水体后，使水中固体悬浮物 (</w:t>
      </w:r>
      <w:r>
        <w:rPr>
          <w:rFonts w:ascii="Times New Roman" w:hAnsi="Times New Roman" w:eastAsia="Times New Roman" w:cs="Times New Roman"/>
          <w:sz w:val="23"/>
          <w:szCs w:val="23"/>
        </w:rPr>
        <w:t>SS</w:t>
      </w:r>
      <w:r>
        <w:rPr>
          <w:rFonts w:ascii="宋体" w:hAnsi="宋体" w:eastAsia="宋体" w:cs="宋体"/>
          <w:spacing w:val="12"/>
          <w:sz w:val="23"/>
          <w:szCs w:val="23"/>
        </w:rPr>
        <w:t xml:space="preserve">) </w:t>
      </w:r>
      <w:r>
        <w:rPr>
          <w:rFonts w:ascii="宋体" w:hAnsi="宋体" w:eastAsia="宋体" w:cs="宋体"/>
          <w:spacing w:val="10"/>
          <w:sz w:val="23"/>
          <w:szCs w:val="23"/>
        </w:rPr>
        <w:t>、</w:t>
      </w:r>
      <w:r>
        <w:rPr>
          <w:rFonts w:ascii="宋体" w:hAnsi="宋体" w:eastAsia="宋体" w:cs="宋体"/>
          <w:sz w:val="23"/>
          <w:szCs w:val="23"/>
        </w:rPr>
        <w:t xml:space="preserve"> </w:t>
      </w:r>
      <w:r>
        <w:rPr>
          <w:rFonts w:ascii="宋体" w:hAnsi="宋体" w:eastAsia="宋体" w:cs="宋体"/>
          <w:spacing w:val="11"/>
          <w:sz w:val="23"/>
          <w:szCs w:val="23"/>
        </w:rPr>
        <w:t>有</w:t>
      </w:r>
      <w:r>
        <w:rPr>
          <w:rFonts w:ascii="宋体" w:hAnsi="宋体" w:eastAsia="宋体" w:cs="宋体"/>
          <w:spacing w:val="7"/>
          <w:sz w:val="23"/>
          <w:szCs w:val="23"/>
        </w:rPr>
        <w:t>机物和微生物含量升高，改变水体的物理、化学和生物群落组成，使水质变坏。粪污中含</w:t>
      </w:r>
    </w:p>
    <w:p w14:paraId="48CD7257">
      <w:pPr>
        <w:sectPr>
          <w:headerReference r:id="rId292" w:type="default"/>
          <w:footerReference r:id="rId293" w:type="default"/>
          <w:pgSz w:w="11906" w:h="16839"/>
          <w:pgMar w:top="1113" w:right="1069" w:bottom="1157" w:left="1168" w:header="878" w:footer="994" w:gutter="0"/>
          <w:cols w:space="720" w:num="1"/>
        </w:sectPr>
      </w:pPr>
    </w:p>
    <w:p w14:paraId="0CA856E4">
      <w:pPr>
        <w:spacing w:before="199" w:line="374" w:lineRule="auto"/>
        <w:ind w:left="11" w:right="59"/>
        <w:rPr>
          <w:rFonts w:ascii="宋体" w:hAnsi="宋体" w:eastAsia="宋体" w:cs="宋体"/>
          <w:sz w:val="23"/>
          <w:szCs w:val="23"/>
        </w:rPr>
      </w:pPr>
      <w:r>
        <w:rPr>
          <w:rFonts w:ascii="宋体" w:hAnsi="宋体" w:eastAsia="宋体" w:cs="宋体"/>
          <w:spacing w:val="11"/>
          <w:sz w:val="23"/>
          <w:szCs w:val="23"/>
        </w:rPr>
        <w:t>有</w:t>
      </w:r>
      <w:r>
        <w:rPr>
          <w:rFonts w:ascii="宋体" w:hAnsi="宋体" w:eastAsia="宋体" w:cs="宋体"/>
          <w:spacing w:val="7"/>
          <w:sz w:val="23"/>
          <w:szCs w:val="23"/>
        </w:rPr>
        <w:t>大量的病原微生物将通过水体或通过水生动植物进行扩散传播，危害人畜健康。此外，粪</w:t>
      </w:r>
      <w:r>
        <w:rPr>
          <w:rFonts w:ascii="宋体" w:hAnsi="宋体" w:eastAsia="宋体" w:cs="宋体"/>
          <w:sz w:val="23"/>
          <w:szCs w:val="23"/>
        </w:rPr>
        <w:t xml:space="preserve"> </w:t>
      </w:r>
      <w:r>
        <w:rPr>
          <w:rFonts w:ascii="宋体" w:hAnsi="宋体" w:eastAsia="宋体" w:cs="宋体"/>
          <w:spacing w:val="21"/>
          <w:sz w:val="23"/>
          <w:szCs w:val="23"/>
        </w:rPr>
        <w:t>污</w:t>
      </w:r>
      <w:r>
        <w:rPr>
          <w:rFonts w:ascii="宋体" w:hAnsi="宋体" w:eastAsia="宋体" w:cs="宋体"/>
          <w:spacing w:val="13"/>
          <w:sz w:val="23"/>
          <w:szCs w:val="23"/>
        </w:rPr>
        <w:t>中有机物生物降解和水生生物的繁殖大量消耗水体溶解氧，使水体变黑发臭水生生物死</w:t>
      </w:r>
      <w:r>
        <w:rPr>
          <w:rFonts w:ascii="宋体" w:hAnsi="宋体" w:eastAsia="宋体" w:cs="宋体"/>
          <w:sz w:val="23"/>
          <w:szCs w:val="23"/>
        </w:rPr>
        <w:t xml:space="preserve"> </w:t>
      </w:r>
      <w:r>
        <w:rPr>
          <w:rFonts w:ascii="宋体" w:hAnsi="宋体" w:eastAsia="宋体" w:cs="宋体"/>
          <w:spacing w:val="12"/>
          <w:sz w:val="23"/>
          <w:szCs w:val="23"/>
        </w:rPr>
        <w:t>亡</w:t>
      </w:r>
      <w:r>
        <w:rPr>
          <w:rFonts w:ascii="宋体" w:hAnsi="宋体" w:eastAsia="宋体" w:cs="宋体"/>
          <w:spacing w:val="10"/>
          <w:sz w:val="23"/>
          <w:szCs w:val="23"/>
        </w:rPr>
        <w:t>，</w:t>
      </w:r>
      <w:r>
        <w:rPr>
          <w:rFonts w:ascii="宋体" w:hAnsi="宋体" w:eastAsia="宋体" w:cs="宋体"/>
          <w:spacing w:val="6"/>
          <w:sz w:val="23"/>
          <w:szCs w:val="23"/>
        </w:rPr>
        <w:t>发生水体</w:t>
      </w:r>
      <w:r>
        <w:rPr>
          <w:rFonts w:ascii="Times New Roman" w:hAnsi="Times New Roman" w:eastAsia="Times New Roman" w:cs="Times New Roman"/>
          <w:spacing w:val="6"/>
          <w:sz w:val="23"/>
          <w:szCs w:val="23"/>
        </w:rPr>
        <w:t>“</w:t>
      </w:r>
      <w:r>
        <w:rPr>
          <w:rFonts w:ascii="宋体" w:hAnsi="宋体" w:eastAsia="宋体" w:cs="宋体"/>
          <w:spacing w:val="6"/>
          <w:sz w:val="23"/>
          <w:szCs w:val="23"/>
        </w:rPr>
        <w:t>富营养化</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，这种水体将不可能再得到恢复。</w:t>
      </w:r>
    </w:p>
    <w:p w14:paraId="311A0FCB">
      <w:pPr>
        <w:spacing w:line="227" w:lineRule="auto"/>
        <w:ind w:left="501"/>
        <w:rPr>
          <w:rFonts w:ascii="宋体" w:hAnsi="宋体" w:eastAsia="宋体" w:cs="宋体"/>
          <w:sz w:val="23"/>
          <w:szCs w:val="23"/>
        </w:rPr>
      </w:pPr>
      <w:r>
        <w:rPr>
          <w:rFonts w:ascii="宋体" w:hAnsi="宋体" w:eastAsia="宋体" w:cs="宋体"/>
          <w:spacing w:val="14"/>
          <w:sz w:val="23"/>
          <w:szCs w:val="23"/>
        </w:rPr>
        <w:t>(</w:t>
      </w:r>
      <w:r>
        <w:rPr>
          <w:rFonts w:ascii="Times New Roman" w:hAnsi="Times New Roman" w:eastAsia="Times New Roman" w:cs="Times New Roman"/>
          <w:spacing w:val="14"/>
          <w:sz w:val="23"/>
          <w:szCs w:val="23"/>
        </w:rPr>
        <w:t>2</w:t>
      </w:r>
      <w:r>
        <w:rPr>
          <w:rFonts w:ascii="宋体" w:hAnsi="宋体" w:eastAsia="宋体" w:cs="宋体"/>
          <w:spacing w:val="14"/>
          <w:sz w:val="23"/>
          <w:szCs w:val="23"/>
        </w:rPr>
        <w:t>) 污水事故排放对区域地下水环境影</w:t>
      </w:r>
      <w:r>
        <w:rPr>
          <w:rFonts w:ascii="宋体" w:hAnsi="宋体" w:eastAsia="宋体" w:cs="宋体"/>
          <w:spacing w:val="13"/>
          <w:sz w:val="23"/>
          <w:szCs w:val="23"/>
        </w:rPr>
        <w:t>响</w:t>
      </w:r>
    </w:p>
    <w:p w14:paraId="4FDCA39B">
      <w:pPr>
        <w:spacing w:before="183" w:line="375" w:lineRule="auto"/>
        <w:ind w:left="9" w:right="61" w:firstLine="481"/>
        <w:rPr>
          <w:rFonts w:ascii="宋体" w:hAnsi="宋体" w:eastAsia="宋体" w:cs="宋体"/>
          <w:sz w:val="23"/>
          <w:szCs w:val="23"/>
        </w:rPr>
      </w:pPr>
      <w:r>
        <w:rPr>
          <w:rFonts w:ascii="宋体" w:hAnsi="宋体" w:eastAsia="宋体" w:cs="宋体"/>
          <w:spacing w:val="7"/>
          <w:sz w:val="23"/>
          <w:szCs w:val="23"/>
        </w:rPr>
        <w:t>本项目产生的废水主要为养殖废水和职工生活污水，可能存在地下水污染问题，其对</w:t>
      </w:r>
      <w:r>
        <w:rPr>
          <w:rFonts w:ascii="宋体" w:hAnsi="宋体" w:eastAsia="宋体" w:cs="宋体"/>
          <w:spacing w:val="5"/>
          <w:sz w:val="23"/>
          <w:szCs w:val="23"/>
        </w:rPr>
        <w:t>地</w:t>
      </w:r>
      <w:r>
        <w:rPr>
          <w:rFonts w:ascii="宋体" w:hAnsi="宋体" w:eastAsia="宋体" w:cs="宋体"/>
          <w:sz w:val="23"/>
          <w:szCs w:val="23"/>
        </w:rPr>
        <w:t xml:space="preserve"> </w:t>
      </w:r>
      <w:r>
        <w:rPr>
          <w:rFonts w:ascii="宋体" w:hAnsi="宋体" w:eastAsia="宋体" w:cs="宋体"/>
          <w:spacing w:val="12"/>
          <w:sz w:val="23"/>
          <w:szCs w:val="23"/>
        </w:rPr>
        <w:t>下</w:t>
      </w:r>
      <w:r>
        <w:rPr>
          <w:rFonts w:ascii="宋体" w:hAnsi="宋体" w:eastAsia="宋体" w:cs="宋体"/>
          <w:spacing w:val="7"/>
          <w:sz w:val="23"/>
          <w:szCs w:val="23"/>
        </w:rPr>
        <w:t>水可能造成的污染途径有二：一是污水无组织排放，污水可通过包气带，对地下潜水产生</w:t>
      </w:r>
      <w:r>
        <w:rPr>
          <w:rFonts w:ascii="宋体" w:hAnsi="宋体" w:eastAsia="宋体" w:cs="宋体"/>
          <w:sz w:val="23"/>
          <w:szCs w:val="23"/>
        </w:rPr>
        <w:t xml:space="preserve"> </w:t>
      </w:r>
      <w:r>
        <w:rPr>
          <w:rFonts w:ascii="宋体" w:hAnsi="宋体" w:eastAsia="宋体" w:cs="宋体"/>
          <w:spacing w:val="12"/>
          <w:sz w:val="23"/>
          <w:szCs w:val="23"/>
        </w:rPr>
        <w:t>一</w:t>
      </w:r>
      <w:r>
        <w:rPr>
          <w:rFonts w:ascii="宋体" w:hAnsi="宋体" w:eastAsia="宋体" w:cs="宋体"/>
          <w:spacing w:val="7"/>
          <w:sz w:val="23"/>
          <w:szCs w:val="23"/>
        </w:rPr>
        <w:t>定的负面影响；二是污水处理构筑物及相关输送管道防渗效果达不到要求，也会导致废水</w:t>
      </w:r>
      <w:r>
        <w:rPr>
          <w:rFonts w:ascii="宋体" w:hAnsi="宋体" w:eastAsia="宋体" w:cs="宋体"/>
          <w:sz w:val="23"/>
          <w:szCs w:val="23"/>
        </w:rPr>
        <w:t xml:space="preserve"> </w:t>
      </w:r>
      <w:r>
        <w:rPr>
          <w:rFonts w:ascii="宋体" w:hAnsi="宋体" w:eastAsia="宋体" w:cs="宋体"/>
          <w:spacing w:val="12"/>
          <w:sz w:val="23"/>
          <w:szCs w:val="23"/>
        </w:rPr>
        <w:t>垂</w:t>
      </w:r>
      <w:r>
        <w:rPr>
          <w:rFonts w:ascii="宋体" w:hAnsi="宋体" w:eastAsia="宋体" w:cs="宋体"/>
          <w:spacing w:val="7"/>
          <w:sz w:val="23"/>
          <w:szCs w:val="23"/>
        </w:rPr>
        <w:t>直入渗地下。其渗透方式为污染物通过土层垂直下渗首先经过表土，再进入包气带，在包</w:t>
      </w:r>
      <w:r>
        <w:rPr>
          <w:rFonts w:ascii="宋体" w:hAnsi="宋体" w:eastAsia="宋体" w:cs="宋体"/>
          <w:sz w:val="23"/>
          <w:szCs w:val="23"/>
        </w:rPr>
        <w:t xml:space="preserve"> </w:t>
      </w:r>
      <w:r>
        <w:rPr>
          <w:rFonts w:ascii="宋体" w:hAnsi="宋体" w:eastAsia="宋体" w:cs="宋体"/>
          <w:spacing w:val="12"/>
          <w:sz w:val="23"/>
          <w:szCs w:val="23"/>
        </w:rPr>
        <w:t>气</w:t>
      </w:r>
      <w:r>
        <w:rPr>
          <w:rFonts w:ascii="宋体" w:hAnsi="宋体" w:eastAsia="宋体" w:cs="宋体"/>
          <w:spacing w:val="7"/>
          <w:sz w:val="23"/>
          <w:szCs w:val="23"/>
        </w:rPr>
        <w:t>带污染可以得到一定程度的净化，不能被净化或固定的污染物随入渗水进入地下水层。进</w:t>
      </w:r>
      <w:r>
        <w:rPr>
          <w:rFonts w:ascii="宋体" w:hAnsi="宋体" w:eastAsia="宋体" w:cs="宋体"/>
          <w:sz w:val="23"/>
          <w:szCs w:val="23"/>
        </w:rPr>
        <w:t xml:space="preserve"> </w:t>
      </w:r>
      <w:r>
        <w:rPr>
          <w:rFonts w:ascii="宋体" w:hAnsi="宋体" w:eastAsia="宋体" w:cs="宋体"/>
          <w:spacing w:val="12"/>
          <w:sz w:val="23"/>
          <w:szCs w:val="23"/>
        </w:rPr>
        <w:t>入</w:t>
      </w:r>
      <w:r>
        <w:rPr>
          <w:rFonts w:ascii="宋体" w:hAnsi="宋体" w:eastAsia="宋体" w:cs="宋体"/>
          <w:spacing w:val="7"/>
          <w:sz w:val="23"/>
          <w:szCs w:val="23"/>
        </w:rPr>
        <w:t>包气带入渗过程中会发生交换、吸附、过滤、降解等作用，因而被不同程度的净化，只有</w:t>
      </w:r>
      <w:r>
        <w:rPr>
          <w:rFonts w:ascii="宋体" w:hAnsi="宋体" w:eastAsia="宋体" w:cs="宋体"/>
          <w:sz w:val="23"/>
          <w:szCs w:val="23"/>
        </w:rPr>
        <w:t xml:space="preserve"> </w:t>
      </w:r>
      <w:r>
        <w:rPr>
          <w:rFonts w:ascii="宋体" w:hAnsi="宋体" w:eastAsia="宋体" w:cs="宋体"/>
          <w:spacing w:val="17"/>
          <w:sz w:val="23"/>
          <w:szCs w:val="23"/>
        </w:rPr>
        <w:t>在</w:t>
      </w:r>
      <w:r>
        <w:rPr>
          <w:rFonts w:ascii="宋体" w:hAnsi="宋体" w:eastAsia="宋体" w:cs="宋体"/>
          <w:spacing w:val="9"/>
          <w:sz w:val="23"/>
          <w:szCs w:val="23"/>
        </w:rPr>
        <w:t>包气带土壤吸附饱和后，污染物才会继续下渗进入含水层。</w:t>
      </w:r>
    </w:p>
    <w:p w14:paraId="5E7D4860">
      <w:pPr>
        <w:spacing w:line="228" w:lineRule="auto"/>
        <w:ind w:left="501"/>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5"/>
          <w:sz w:val="23"/>
          <w:szCs w:val="23"/>
        </w:rPr>
        <w:t>3</w:t>
      </w:r>
      <w:r>
        <w:rPr>
          <w:rFonts w:ascii="宋体" w:hAnsi="宋体" w:eastAsia="宋体" w:cs="宋体"/>
          <w:spacing w:val="15"/>
          <w:sz w:val="23"/>
          <w:szCs w:val="23"/>
        </w:rPr>
        <w:t>) 土壤环境污染影响分析</w:t>
      </w:r>
    </w:p>
    <w:p w14:paraId="074E6744">
      <w:pPr>
        <w:spacing w:before="180" w:line="375" w:lineRule="auto"/>
        <w:ind w:left="8" w:firstLine="485"/>
        <w:rPr>
          <w:rFonts w:ascii="宋体" w:hAnsi="宋体" w:eastAsia="宋体" w:cs="宋体"/>
          <w:sz w:val="23"/>
          <w:szCs w:val="23"/>
        </w:rPr>
      </w:pPr>
      <w:r>
        <w:rPr>
          <w:rFonts w:ascii="宋体" w:hAnsi="宋体" w:eastAsia="宋体" w:cs="宋体"/>
          <w:spacing w:val="7"/>
          <w:sz w:val="23"/>
          <w:szCs w:val="23"/>
        </w:rPr>
        <w:t>未经处理的废水中高浓度的有机物和氨氮会使土壤环境质量严重恶化。当废水排放超</w:t>
      </w:r>
      <w:r>
        <w:rPr>
          <w:rFonts w:ascii="宋体" w:hAnsi="宋体" w:eastAsia="宋体" w:cs="宋体"/>
          <w:spacing w:val="2"/>
          <w:sz w:val="23"/>
          <w:szCs w:val="23"/>
        </w:rPr>
        <w:t>过</w:t>
      </w:r>
      <w:r>
        <w:rPr>
          <w:rFonts w:ascii="宋体" w:hAnsi="宋体" w:eastAsia="宋体" w:cs="宋体"/>
          <w:sz w:val="23"/>
          <w:szCs w:val="23"/>
        </w:rPr>
        <w:t xml:space="preserve"> </w:t>
      </w:r>
      <w:r>
        <w:rPr>
          <w:rFonts w:ascii="宋体" w:hAnsi="宋体" w:eastAsia="宋体" w:cs="宋体"/>
          <w:spacing w:val="3"/>
          <w:sz w:val="23"/>
          <w:szCs w:val="23"/>
        </w:rPr>
        <w:t>了土壤的自净能力，便会出现降解不完全和厌氧腐解，产生恶臭物质和亚硝酸盐等有害物</w:t>
      </w:r>
      <w:r>
        <w:rPr>
          <w:rFonts w:ascii="宋体" w:hAnsi="宋体" w:eastAsia="宋体" w:cs="宋体"/>
          <w:spacing w:val="1"/>
          <w:sz w:val="23"/>
          <w:szCs w:val="23"/>
        </w:rPr>
        <w:t>质</w:t>
      </w:r>
      <w:r>
        <w:rPr>
          <w:rFonts w:ascii="宋体" w:hAnsi="宋体" w:eastAsia="宋体" w:cs="宋体"/>
          <w:sz w:val="23"/>
          <w:szCs w:val="23"/>
        </w:rPr>
        <w:t xml:space="preserve">， </w:t>
      </w:r>
      <w:r>
        <w:rPr>
          <w:rFonts w:ascii="宋体" w:hAnsi="宋体" w:eastAsia="宋体" w:cs="宋体"/>
          <w:spacing w:val="13"/>
          <w:sz w:val="23"/>
          <w:szCs w:val="23"/>
        </w:rPr>
        <w:t>引</w:t>
      </w:r>
      <w:r>
        <w:rPr>
          <w:rFonts w:ascii="宋体" w:hAnsi="宋体" w:eastAsia="宋体" w:cs="宋体"/>
          <w:spacing w:val="7"/>
          <w:sz w:val="23"/>
          <w:szCs w:val="23"/>
        </w:rPr>
        <w:t>起土壤的组成和性状发生改变，破坏其原有的基本功能；作物徒长、倒伏晚熟或不熟，造</w:t>
      </w:r>
      <w:r>
        <w:rPr>
          <w:rFonts w:ascii="宋体" w:hAnsi="宋体" w:eastAsia="宋体" w:cs="宋体"/>
          <w:sz w:val="23"/>
          <w:szCs w:val="23"/>
        </w:rPr>
        <w:t xml:space="preserve"> </w:t>
      </w:r>
      <w:r>
        <w:rPr>
          <w:rFonts w:ascii="宋体" w:hAnsi="宋体" w:eastAsia="宋体" w:cs="宋体"/>
          <w:spacing w:val="13"/>
          <w:sz w:val="23"/>
          <w:szCs w:val="23"/>
        </w:rPr>
        <w:t>成</w:t>
      </w:r>
      <w:r>
        <w:rPr>
          <w:rFonts w:ascii="宋体" w:hAnsi="宋体" w:eastAsia="宋体" w:cs="宋体"/>
          <w:spacing w:val="7"/>
          <w:sz w:val="23"/>
          <w:szCs w:val="23"/>
        </w:rPr>
        <w:t>减产、甚至毒害作物使之出现大面积腐烂。此外，土壤对病原微生物的自净能力下降，不</w:t>
      </w:r>
      <w:r>
        <w:rPr>
          <w:rFonts w:ascii="宋体" w:hAnsi="宋体" w:eastAsia="宋体" w:cs="宋体"/>
          <w:sz w:val="23"/>
          <w:szCs w:val="23"/>
        </w:rPr>
        <w:t xml:space="preserve"> </w:t>
      </w:r>
      <w:r>
        <w:rPr>
          <w:rFonts w:ascii="宋体" w:hAnsi="宋体" w:eastAsia="宋体" w:cs="宋体"/>
          <w:spacing w:val="15"/>
          <w:sz w:val="23"/>
          <w:szCs w:val="23"/>
        </w:rPr>
        <w:t>仅</w:t>
      </w:r>
      <w:r>
        <w:rPr>
          <w:rFonts w:ascii="宋体" w:hAnsi="宋体" w:eastAsia="宋体" w:cs="宋体"/>
          <w:spacing w:val="9"/>
          <w:sz w:val="23"/>
          <w:szCs w:val="23"/>
        </w:rPr>
        <w:t>增加了净化难度，而且易造成生物污染和疫病传播。</w:t>
      </w:r>
    </w:p>
    <w:p w14:paraId="65DC4DC1">
      <w:pPr>
        <w:spacing w:line="228" w:lineRule="auto"/>
        <w:ind w:left="501"/>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5"/>
          <w:sz w:val="23"/>
          <w:szCs w:val="23"/>
        </w:rPr>
        <w:t>4</w:t>
      </w:r>
      <w:r>
        <w:rPr>
          <w:rFonts w:ascii="宋体" w:hAnsi="宋体" w:eastAsia="宋体" w:cs="宋体"/>
          <w:spacing w:val="15"/>
          <w:sz w:val="23"/>
          <w:szCs w:val="23"/>
        </w:rPr>
        <w:t>) 大气环境污染影响分析</w:t>
      </w:r>
    </w:p>
    <w:p w14:paraId="4F9FCBD7">
      <w:pPr>
        <w:spacing w:before="181" w:line="375" w:lineRule="auto"/>
        <w:ind w:left="10" w:firstLine="482"/>
        <w:rPr>
          <w:rFonts w:ascii="宋体" w:hAnsi="宋体" w:eastAsia="宋体" w:cs="宋体"/>
          <w:sz w:val="23"/>
          <w:szCs w:val="23"/>
        </w:rPr>
      </w:pPr>
      <w:r>
        <w:rPr>
          <w:rFonts w:ascii="宋体" w:hAnsi="宋体" w:eastAsia="宋体" w:cs="宋体"/>
          <w:spacing w:val="7"/>
          <w:sz w:val="23"/>
          <w:szCs w:val="23"/>
        </w:rPr>
        <w:t>异位微生物发酵床的发酵菌种突然失效会散发出高浓度的恶臭气体，造成空气中含氧</w:t>
      </w:r>
      <w:r>
        <w:rPr>
          <w:rFonts w:ascii="宋体" w:hAnsi="宋体" w:eastAsia="宋体" w:cs="宋体"/>
          <w:spacing w:val="3"/>
          <w:sz w:val="23"/>
          <w:szCs w:val="23"/>
        </w:rPr>
        <w:t>量</w:t>
      </w:r>
      <w:r>
        <w:rPr>
          <w:rFonts w:ascii="宋体" w:hAnsi="宋体" w:eastAsia="宋体" w:cs="宋体"/>
          <w:sz w:val="23"/>
          <w:szCs w:val="23"/>
        </w:rPr>
        <w:t xml:space="preserve"> </w:t>
      </w:r>
      <w:r>
        <w:rPr>
          <w:rFonts w:ascii="宋体" w:hAnsi="宋体" w:eastAsia="宋体" w:cs="宋体"/>
          <w:spacing w:val="12"/>
          <w:sz w:val="23"/>
          <w:szCs w:val="23"/>
        </w:rPr>
        <w:t>相</w:t>
      </w:r>
      <w:r>
        <w:rPr>
          <w:rFonts w:ascii="宋体" w:hAnsi="宋体" w:eastAsia="宋体" w:cs="宋体"/>
          <w:spacing w:val="7"/>
          <w:sz w:val="23"/>
          <w:szCs w:val="23"/>
        </w:rPr>
        <w:t>对下降，污浊度升高，轻则降低空气质量、产生异味妨碍人畜健康生存；重则引起呼吸系</w:t>
      </w:r>
      <w:r>
        <w:rPr>
          <w:rFonts w:ascii="宋体" w:hAnsi="宋体" w:eastAsia="宋体" w:cs="宋体"/>
          <w:sz w:val="23"/>
          <w:szCs w:val="23"/>
        </w:rPr>
        <w:t xml:space="preserve"> </w:t>
      </w:r>
      <w:r>
        <w:rPr>
          <w:rFonts w:ascii="宋体" w:hAnsi="宋体" w:eastAsia="宋体" w:cs="宋体"/>
          <w:spacing w:val="3"/>
          <w:sz w:val="23"/>
          <w:szCs w:val="23"/>
        </w:rPr>
        <w:t>统的疾病。未经任何处理的猪场粪污中含有大量的微生物，在风的作用下极易扩散到空</w:t>
      </w:r>
      <w:r>
        <w:rPr>
          <w:rFonts w:ascii="宋体" w:hAnsi="宋体" w:eastAsia="宋体" w:cs="宋体"/>
          <w:spacing w:val="2"/>
          <w:sz w:val="23"/>
          <w:szCs w:val="23"/>
        </w:rPr>
        <w:t>气</w:t>
      </w:r>
      <w:r>
        <w:rPr>
          <w:rFonts w:ascii="宋体" w:hAnsi="宋体" w:eastAsia="宋体" w:cs="宋体"/>
          <w:sz w:val="23"/>
          <w:szCs w:val="23"/>
        </w:rPr>
        <w:t xml:space="preserve">中， </w:t>
      </w:r>
      <w:r>
        <w:rPr>
          <w:rFonts w:ascii="宋体" w:hAnsi="宋体" w:eastAsia="宋体" w:cs="宋体"/>
          <w:spacing w:val="12"/>
          <w:sz w:val="23"/>
          <w:szCs w:val="23"/>
        </w:rPr>
        <w:t>可</w:t>
      </w:r>
      <w:r>
        <w:rPr>
          <w:rFonts w:ascii="宋体" w:hAnsi="宋体" w:eastAsia="宋体" w:cs="宋体"/>
          <w:spacing w:val="7"/>
          <w:sz w:val="23"/>
          <w:szCs w:val="23"/>
        </w:rPr>
        <w:t>引起口蹄疫和大肠埃希菌、炭疽、布氏杆菌、真菌胞子等引起的疫病传播，危害人和动物</w:t>
      </w:r>
      <w:r>
        <w:rPr>
          <w:rFonts w:ascii="宋体" w:hAnsi="宋体" w:eastAsia="宋体" w:cs="宋体"/>
          <w:sz w:val="23"/>
          <w:szCs w:val="23"/>
        </w:rPr>
        <w:t xml:space="preserve"> </w:t>
      </w:r>
      <w:r>
        <w:rPr>
          <w:rFonts w:ascii="宋体" w:hAnsi="宋体" w:eastAsia="宋体" w:cs="宋体"/>
          <w:spacing w:val="12"/>
          <w:sz w:val="23"/>
          <w:szCs w:val="23"/>
        </w:rPr>
        <w:t>健</w:t>
      </w:r>
      <w:r>
        <w:rPr>
          <w:rFonts w:ascii="宋体" w:hAnsi="宋体" w:eastAsia="宋体" w:cs="宋体"/>
          <w:spacing w:val="7"/>
          <w:sz w:val="23"/>
          <w:szCs w:val="23"/>
        </w:rPr>
        <w:t>康。在事故期间，为了抑制恶臭的产生，定时喷洒除臭剂。建设单位及时维修，同时可保</w:t>
      </w:r>
      <w:r>
        <w:rPr>
          <w:rFonts w:ascii="宋体" w:hAnsi="宋体" w:eastAsia="宋体" w:cs="宋体"/>
          <w:sz w:val="23"/>
          <w:szCs w:val="23"/>
        </w:rPr>
        <w:t xml:space="preserve"> </w:t>
      </w:r>
      <w:r>
        <w:rPr>
          <w:rFonts w:ascii="宋体" w:hAnsi="宋体" w:eastAsia="宋体" w:cs="宋体"/>
          <w:spacing w:val="9"/>
          <w:sz w:val="23"/>
          <w:szCs w:val="23"/>
        </w:rPr>
        <w:t>证后续异位微生物发酵系统的正常运营</w:t>
      </w:r>
      <w:r>
        <w:rPr>
          <w:rFonts w:ascii="宋体" w:hAnsi="宋体" w:eastAsia="宋体" w:cs="宋体"/>
          <w:spacing w:val="7"/>
          <w:sz w:val="23"/>
          <w:szCs w:val="23"/>
        </w:rPr>
        <w:t>。</w:t>
      </w:r>
    </w:p>
    <w:p w14:paraId="405BD212">
      <w:pPr>
        <w:spacing w:before="1" w:line="374" w:lineRule="auto"/>
        <w:ind w:left="17" w:right="61" w:firstLine="475"/>
        <w:rPr>
          <w:rFonts w:ascii="宋体" w:hAnsi="宋体" w:eastAsia="宋体" w:cs="宋体"/>
          <w:sz w:val="23"/>
          <w:szCs w:val="23"/>
        </w:rPr>
      </w:pPr>
      <w:r>
        <w:rPr>
          <w:rFonts w:ascii="宋体" w:hAnsi="宋体" w:eastAsia="宋体" w:cs="宋体"/>
          <w:spacing w:val="7"/>
          <w:sz w:val="23"/>
          <w:szCs w:val="23"/>
        </w:rPr>
        <w:t>综上分析，本次评价要求建设单位落实好防污措施以外，还要按防渗分区的要求落实</w:t>
      </w:r>
      <w:r>
        <w:rPr>
          <w:rFonts w:ascii="宋体" w:hAnsi="宋体" w:eastAsia="宋体" w:cs="宋体"/>
          <w:spacing w:val="3"/>
          <w:sz w:val="23"/>
          <w:szCs w:val="23"/>
        </w:rPr>
        <w:t>好</w:t>
      </w:r>
      <w:r>
        <w:rPr>
          <w:rFonts w:ascii="宋体" w:hAnsi="宋体" w:eastAsia="宋体" w:cs="宋体"/>
          <w:sz w:val="23"/>
          <w:szCs w:val="23"/>
        </w:rPr>
        <w:t xml:space="preserve"> </w:t>
      </w:r>
      <w:r>
        <w:rPr>
          <w:rFonts w:ascii="宋体" w:hAnsi="宋体" w:eastAsia="宋体" w:cs="宋体"/>
          <w:spacing w:val="7"/>
          <w:sz w:val="23"/>
          <w:szCs w:val="23"/>
        </w:rPr>
        <w:t>防渗措施，确保污染物能得到有效处理，并将风险事故发生的概率降至最低，避免污染物</w:t>
      </w:r>
      <w:r>
        <w:rPr>
          <w:rFonts w:ascii="宋体" w:hAnsi="宋体" w:eastAsia="宋体" w:cs="宋体"/>
          <w:spacing w:val="4"/>
          <w:sz w:val="23"/>
          <w:szCs w:val="23"/>
        </w:rPr>
        <w:t>因</w:t>
      </w:r>
      <w:r>
        <w:rPr>
          <w:rFonts w:ascii="宋体" w:hAnsi="宋体" w:eastAsia="宋体" w:cs="宋体"/>
          <w:sz w:val="23"/>
          <w:szCs w:val="23"/>
        </w:rPr>
        <w:t xml:space="preserve"> </w:t>
      </w:r>
      <w:r>
        <w:rPr>
          <w:rFonts w:ascii="宋体" w:hAnsi="宋体" w:eastAsia="宋体" w:cs="宋体"/>
          <w:spacing w:val="9"/>
          <w:sz w:val="23"/>
          <w:szCs w:val="23"/>
        </w:rPr>
        <w:t>下</w:t>
      </w:r>
      <w:r>
        <w:rPr>
          <w:rFonts w:ascii="宋体" w:hAnsi="宋体" w:eastAsia="宋体" w:cs="宋体"/>
          <w:spacing w:val="8"/>
          <w:sz w:val="23"/>
          <w:szCs w:val="23"/>
        </w:rPr>
        <w:t>渗或泄漏对地下水造成影响。</w:t>
      </w:r>
    </w:p>
    <w:p w14:paraId="1D96C3A6">
      <w:pPr>
        <w:spacing w:before="1" w:line="227" w:lineRule="auto"/>
        <w:ind w:left="9"/>
        <w:outlineLvl w:val="2"/>
        <w:rPr>
          <w:rFonts w:ascii="宋体" w:hAnsi="宋体" w:eastAsia="宋体" w:cs="宋体"/>
          <w:sz w:val="23"/>
          <w:szCs w:val="23"/>
        </w:rPr>
      </w:pPr>
      <w:r>
        <w:rPr>
          <w:rFonts w:ascii="Times New Roman" w:hAnsi="Times New Roman" w:eastAsia="Times New Roman" w:cs="Times New Roman"/>
          <w:b/>
          <w:bCs/>
          <w:spacing w:val="8"/>
          <w:sz w:val="23"/>
          <w:szCs w:val="23"/>
        </w:rPr>
        <w:t>8</w:t>
      </w:r>
      <w:r>
        <w:rPr>
          <w:rFonts w:ascii="Times New Roman" w:hAnsi="Times New Roman" w:eastAsia="Times New Roman" w:cs="Times New Roman"/>
          <w:b/>
          <w:bCs/>
          <w:spacing w:val="7"/>
          <w:sz w:val="23"/>
          <w:szCs w:val="23"/>
        </w:rPr>
        <w:t>.3.2</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消毒液环境风险分析</w:t>
      </w:r>
    </w:p>
    <w:p w14:paraId="3BDC793E">
      <w:pPr>
        <w:spacing w:before="184" w:line="375" w:lineRule="auto"/>
        <w:ind w:left="12" w:right="61" w:firstLine="479"/>
        <w:rPr>
          <w:rFonts w:ascii="宋体" w:hAnsi="宋体" w:eastAsia="宋体" w:cs="宋体"/>
          <w:sz w:val="23"/>
          <w:szCs w:val="23"/>
        </w:rPr>
      </w:pPr>
      <w:r>
        <w:rPr>
          <w:rFonts w:ascii="宋体" w:hAnsi="宋体" w:eastAsia="宋体" w:cs="宋体"/>
          <w:spacing w:val="7"/>
          <w:sz w:val="23"/>
          <w:szCs w:val="23"/>
        </w:rPr>
        <w:t>戊二醛吸入、摄入或经皮吸收有害，烧碱具有一定的腐蚀性。上述化学物质在储存及</w:t>
      </w:r>
      <w:r>
        <w:rPr>
          <w:rFonts w:ascii="宋体" w:hAnsi="宋体" w:eastAsia="宋体" w:cs="宋体"/>
          <w:spacing w:val="5"/>
          <w:sz w:val="23"/>
          <w:szCs w:val="23"/>
        </w:rPr>
        <w:t>使</w:t>
      </w:r>
      <w:r>
        <w:rPr>
          <w:rFonts w:ascii="宋体" w:hAnsi="宋体" w:eastAsia="宋体" w:cs="宋体"/>
          <w:sz w:val="23"/>
          <w:szCs w:val="23"/>
        </w:rPr>
        <w:t xml:space="preserve"> </w:t>
      </w:r>
      <w:r>
        <w:rPr>
          <w:rFonts w:ascii="宋体" w:hAnsi="宋体" w:eastAsia="宋体" w:cs="宋体"/>
          <w:spacing w:val="13"/>
          <w:sz w:val="23"/>
          <w:szCs w:val="23"/>
        </w:rPr>
        <w:t>用</w:t>
      </w:r>
      <w:r>
        <w:rPr>
          <w:rFonts w:ascii="宋体" w:hAnsi="宋体" w:eastAsia="宋体" w:cs="宋体"/>
          <w:spacing w:val="9"/>
          <w:sz w:val="23"/>
          <w:szCs w:val="23"/>
        </w:rPr>
        <w:t>过程若造成的泄漏可能会对周围的环境造成一定的影响。</w:t>
      </w:r>
    </w:p>
    <w:p w14:paraId="1424135F">
      <w:pPr>
        <w:spacing w:line="228" w:lineRule="auto"/>
        <w:ind w:left="9"/>
        <w:outlineLvl w:val="2"/>
        <w:rPr>
          <w:rFonts w:ascii="宋体" w:hAnsi="宋体" w:eastAsia="宋体" w:cs="宋体"/>
          <w:sz w:val="23"/>
          <w:szCs w:val="23"/>
        </w:rPr>
      </w:pPr>
      <w:r>
        <w:rPr>
          <w:rFonts w:ascii="Times New Roman" w:hAnsi="Times New Roman" w:eastAsia="Times New Roman" w:cs="Times New Roman"/>
          <w:b/>
          <w:bCs/>
          <w:spacing w:val="14"/>
          <w:sz w:val="23"/>
          <w:szCs w:val="23"/>
        </w:rPr>
        <w:t>8</w:t>
      </w:r>
      <w:r>
        <w:rPr>
          <w:rFonts w:ascii="Times New Roman" w:hAnsi="Times New Roman" w:eastAsia="Times New Roman" w:cs="Times New Roman"/>
          <w:b/>
          <w:bCs/>
          <w:spacing w:val="13"/>
          <w:sz w:val="23"/>
          <w:szCs w:val="23"/>
        </w:rPr>
        <w:t>.</w:t>
      </w:r>
      <w:r>
        <w:rPr>
          <w:rFonts w:ascii="Times New Roman" w:hAnsi="Times New Roman" w:eastAsia="Times New Roman" w:cs="Times New Roman"/>
          <w:b/>
          <w:bCs/>
          <w:spacing w:val="7"/>
          <w:sz w:val="23"/>
          <w:szCs w:val="23"/>
        </w:rPr>
        <w:t>3.3</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医疗废物贮运过程风险分析</w:t>
      </w:r>
    </w:p>
    <w:p w14:paraId="4707E0CE">
      <w:pPr>
        <w:sectPr>
          <w:headerReference r:id="rId294" w:type="default"/>
          <w:footerReference r:id="rId295" w:type="default"/>
          <w:pgSz w:w="11906" w:h="16839"/>
          <w:pgMar w:top="1113" w:right="1073" w:bottom="1157" w:left="1275" w:header="878" w:footer="994" w:gutter="0"/>
          <w:cols w:space="720" w:num="1"/>
        </w:sectPr>
      </w:pPr>
    </w:p>
    <w:p w14:paraId="144808A5">
      <w:pPr>
        <w:spacing w:before="197" w:line="376" w:lineRule="auto"/>
        <w:ind w:left="9" w:right="47" w:firstLine="492"/>
        <w:rPr>
          <w:rFonts w:ascii="宋体" w:hAnsi="宋体" w:eastAsia="宋体" w:cs="宋体"/>
          <w:sz w:val="23"/>
          <w:szCs w:val="23"/>
        </w:rPr>
      </w:pPr>
      <w:r>
        <w:rPr>
          <w:rFonts w:ascii="宋体" w:hAnsi="宋体" w:eastAsia="宋体" w:cs="宋体"/>
          <w:spacing w:val="12"/>
          <w:sz w:val="23"/>
          <w:szCs w:val="23"/>
        </w:rPr>
        <w:t>医疗废物</w:t>
      </w:r>
      <w:r>
        <w:rPr>
          <w:rFonts w:ascii="宋体" w:hAnsi="宋体" w:eastAsia="宋体" w:cs="宋体"/>
          <w:spacing w:val="7"/>
          <w:sz w:val="23"/>
          <w:szCs w:val="23"/>
        </w:rPr>
        <w:t>残</w:t>
      </w:r>
      <w:r>
        <w:rPr>
          <w:rFonts w:ascii="宋体" w:hAnsi="宋体" w:eastAsia="宋体" w:cs="宋体"/>
          <w:spacing w:val="6"/>
          <w:sz w:val="23"/>
          <w:szCs w:val="23"/>
        </w:rPr>
        <w:t>留及衍生的大量病菌是十分有害有毒可传染的物质，如果不经分类收集等有</w:t>
      </w:r>
      <w:r>
        <w:rPr>
          <w:rFonts w:ascii="宋体" w:hAnsi="宋体" w:eastAsia="宋体" w:cs="宋体"/>
          <w:sz w:val="23"/>
          <w:szCs w:val="23"/>
        </w:rPr>
        <w:t xml:space="preserve"> </w:t>
      </w:r>
      <w:r>
        <w:rPr>
          <w:rFonts w:ascii="宋体" w:hAnsi="宋体" w:eastAsia="宋体" w:cs="宋体"/>
          <w:spacing w:val="12"/>
          <w:sz w:val="23"/>
          <w:szCs w:val="23"/>
        </w:rPr>
        <w:t>效</w:t>
      </w:r>
      <w:r>
        <w:rPr>
          <w:rFonts w:ascii="宋体" w:hAnsi="宋体" w:eastAsia="宋体" w:cs="宋体"/>
          <w:spacing w:val="7"/>
          <w:sz w:val="23"/>
          <w:szCs w:val="23"/>
        </w:rPr>
        <w:t>处理的话，很容易引起各种疾病的传播和蔓延。在运行期间，营运单位应当将医疗废物妥</w:t>
      </w:r>
      <w:r>
        <w:rPr>
          <w:rFonts w:ascii="宋体" w:hAnsi="宋体" w:eastAsia="宋体" w:cs="宋体"/>
          <w:sz w:val="23"/>
          <w:szCs w:val="23"/>
        </w:rPr>
        <w:t xml:space="preserve"> </w:t>
      </w:r>
      <w:r>
        <w:rPr>
          <w:rFonts w:ascii="宋体" w:hAnsi="宋体" w:eastAsia="宋体" w:cs="宋体"/>
          <w:spacing w:val="12"/>
          <w:sz w:val="23"/>
          <w:szCs w:val="23"/>
        </w:rPr>
        <w:t>善</w:t>
      </w:r>
      <w:r>
        <w:rPr>
          <w:rFonts w:ascii="宋体" w:hAnsi="宋体" w:eastAsia="宋体" w:cs="宋体"/>
          <w:spacing w:val="7"/>
          <w:sz w:val="23"/>
          <w:szCs w:val="23"/>
        </w:rPr>
        <w:t>收集、封存后，放入医疗废物暂存间，再由医疗废物处置公司的车辆进行外运，运输过程</w:t>
      </w:r>
      <w:r>
        <w:rPr>
          <w:rFonts w:ascii="宋体" w:hAnsi="宋体" w:eastAsia="宋体" w:cs="宋体"/>
          <w:sz w:val="23"/>
          <w:szCs w:val="23"/>
        </w:rPr>
        <w:t xml:space="preserve"> </w:t>
      </w:r>
      <w:r>
        <w:rPr>
          <w:rFonts w:ascii="宋体" w:hAnsi="宋体" w:eastAsia="宋体" w:cs="宋体"/>
          <w:spacing w:val="18"/>
          <w:sz w:val="23"/>
          <w:szCs w:val="23"/>
        </w:rPr>
        <w:t>采</w:t>
      </w:r>
      <w:r>
        <w:rPr>
          <w:rFonts w:ascii="宋体" w:hAnsi="宋体" w:eastAsia="宋体" w:cs="宋体"/>
          <w:spacing w:val="11"/>
          <w:sz w:val="23"/>
          <w:szCs w:val="23"/>
        </w:rPr>
        <w:t>用</w:t>
      </w:r>
      <w:r>
        <w:rPr>
          <w:rFonts w:ascii="宋体" w:hAnsi="宋体" w:eastAsia="宋体" w:cs="宋体"/>
          <w:spacing w:val="9"/>
          <w:sz w:val="23"/>
          <w:szCs w:val="23"/>
        </w:rPr>
        <w:t>全封闭方式。医疗废物经妥善收集，并交由有资质的单位处理。</w:t>
      </w:r>
    </w:p>
    <w:p w14:paraId="2A805232">
      <w:pPr>
        <w:spacing w:before="1" w:line="220" w:lineRule="auto"/>
        <w:ind w:left="10"/>
        <w:outlineLvl w:val="1"/>
        <w:rPr>
          <w:rFonts w:ascii="宋体" w:hAnsi="宋体" w:eastAsia="宋体" w:cs="宋体"/>
          <w:sz w:val="28"/>
          <w:szCs w:val="28"/>
        </w:rPr>
      </w:pPr>
      <w:bookmarkStart w:id="61" w:name="_bookmark62"/>
      <w:bookmarkEnd w:id="61"/>
      <w:r>
        <w:rPr>
          <w:rFonts w:ascii="Times New Roman" w:hAnsi="Times New Roman" w:eastAsia="Times New Roman" w:cs="Times New Roman"/>
          <w:b/>
          <w:bCs/>
          <w:spacing w:val="1"/>
          <w:sz w:val="28"/>
          <w:szCs w:val="28"/>
        </w:rPr>
        <w:t>8</w:t>
      </w:r>
      <w:r>
        <w:rPr>
          <w:rFonts w:ascii="Times New Roman" w:hAnsi="Times New Roman" w:eastAsia="Times New Roman" w:cs="Times New Roman"/>
          <w:b/>
          <w:bCs/>
          <w:sz w:val="28"/>
          <w:szCs w:val="28"/>
        </w:rPr>
        <w:t>.4</w:t>
      </w:r>
      <w:r>
        <w:rPr>
          <w:rFonts w:ascii="Times New Roman" w:hAnsi="Times New Roman" w:eastAsia="Times New Roman" w:cs="Times New Roman"/>
          <w:sz w:val="28"/>
          <w:szCs w:val="28"/>
        </w:rPr>
        <w:t xml:space="preserve">  </w:t>
      </w:r>
      <w:r>
        <w:rPr>
          <w:rFonts w:ascii="宋体" w:hAnsi="宋体" w:eastAsia="宋体" w:cs="宋体"/>
          <w:sz w:val="28"/>
          <w:szCs w:val="28"/>
          <w14:textOutline w14:w="5105" w14:cap="sq" w14:cmpd="sng" w14:algn="ctr">
            <w14:solidFill>
              <w14:srgbClr w14:val="000000"/>
            </w14:solidFill>
            <w14:prstDash w14:val="solid"/>
            <w14:bevel/>
          </w14:textOutline>
        </w:rPr>
        <w:t>风险防范措施及应急预案</w:t>
      </w:r>
    </w:p>
    <w:p w14:paraId="17DE211B">
      <w:pPr>
        <w:spacing w:before="204" w:line="228" w:lineRule="auto"/>
        <w:ind w:left="9"/>
        <w:outlineLvl w:val="2"/>
        <w:rPr>
          <w:rFonts w:ascii="宋体" w:hAnsi="宋体" w:eastAsia="宋体" w:cs="宋体"/>
          <w:sz w:val="23"/>
          <w:szCs w:val="23"/>
        </w:rPr>
      </w:pPr>
      <w:r>
        <w:rPr>
          <w:rFonts w:ascii="Times New Roman" w:hAnsi="Times New Roman" w:eastAsia="Times New Roman" w:cs="Times New Roman"/>
          <w:b/>
          <w:bCs/>
          <w:spacing w:val="9"/>
          <w:sz w:val="23"/>
          <w:szCs w:val="23"/>
        </w:rPr>
        <w:t>8</w:t>
      </w:r>
      <w:r>
        <w:rPr>
          <w:rFonts w:ascii="Times New Roman" w:hAnsi="Times New Roman" w:eastAsia="Times New Roman" w:cs="Times New Roman"/>
          <w:b/>
          <w:bCs/>
          <w:spacing w:val="6"/>
          <w:sz w:val="23"/>
          <w:szCs w:val="23"/>
        </w:rPr>
        <w:t>.4.1</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风险防范措施</w:t>
      </w:r>
    </w:p>
    <w:p w14:paraId="3FA8D396">
      <w:pPr>
        <w:spacing w:before="184" w:line="227" w:lineRule="auto"/>
        <w:ind w:left="501"/>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5"/>
          <w:sz w:val="23"/>
          <w:szCs w:val="23"/>
        </w:rPr>
        <w:t>1</w:t>
      </w:r>
      <w:r>
        <w:rPr>
          <w:rFonts w:ascii="宋体" w:hAnsi="宋体" w:eastAsia="宋体" w:cs="宋体"/>
          <w:spacing w:val="15"/>
          <w:sz w:val="23"/>
          <w:szCs w:val="23"/>
        </w:rPr>
        <w:t>) 消毒液泄露风险防范措施</w:t>
      </w:r>
    </w:p>
    <w:p w14:paraId="4ACA05F8">
      <w:pPr>
        <w:spacing w:before="181" w:line="375" w:lineRule="auto"/>
        <w:ind w:left="9" w:right="47" w:firstLine="484"/>
        <w:rPr>
          <w:rFonts w:ascii="宋体" w:hAnsi="宋体" w:eastAsia="宋体" w:cs="宋体"/>
          <w:sz w:val="23"/>
          <w:szCs w:val="23"/>
        </w:rPr>
      </w:pPr>
      <w:r>
        <w:rPr>
          <w:rFonts w:ascii="宋体" w:hAnsi="宋体" w:eastAsia="宋体" w:cs="宋体"/>
          <w:spacing w:val="7"/>
          <w:sz w:val="23"/>
          <w:szCs w:val="23"/>
        </w:rPr>
        <w:t>项目消毒池应采用水泥硬化，并定期检查，发生地面破裂时，及时维护，消毒液应妥</w:t>
      </w:r>
      <w:r>
        <w:rPr>
          <w:rFonts w:ascii="宋体" w:hAnsi="宋体" w:eastAsia="宋体" w:cs="宋体"/>
          <w:spacing w:val="2"/>
          <w:sz w:val="23"/>
          <w:szCs w:val="23"/>
        </w:rPr>
        <w:t>善</w:t>
      </w:r>
      <w:r>
        <w:rPr>
          <w:rFonts w:ascii="宋体" w:hAnsi="宋体" w:eastAsia="宋体" w:cs="宋体"/>
          <w:sz w:val="23"/>
          <w:szCs w:val="23"/>
        </w:rPr>
        <w:t xml:space="preserve"> </w:t>
      </w:r>
      <w:r>
        <w:rPr>
          <w:rFonts w:ascii="宋体" w:hAnsi="宋体" w:eastAsia="宋体" w:cs="宋体"/>
          <w:spacing w:val="16"/>
          <w:sz w:val="23"/>
          <w:szCs w:val="23"/>
        </w:rPr>
        <w:t>储</w:t>
      </w:r>
      <w:r>
        <w:rPr>
          <w:rFonts w:ascii="宋体" w:hAnsi="宋体" w:eastAsia="宋体" w:cs="宋体"/>
          <w:spacing w:val="11"/>
          <w:sz w:val="23"/>
          <w:szCs w:val="23"/>
        </w:rPr>
        <w:t>存</w:t>
      </w:r>
      <w:r>
        <w:rPr>
          <w:rFonts w:ascii="宋体" w:hAnsi="宋体" w:eastAsia="宋体" w:cs="宋体"/>
          <w:spacing w:val="8"/>
          <w:sz w:val="23"/>
          <w:szCs w:val="23"/>
        </w:rPr>
        <w:t>，避免因碰撞发生倾倒泄露。</w:t>
      </w:r>
    </w:p>
    <w:p w14:paraId="4353EB30">
      <w:pPr>
        <w:spacing w:line="228" w:lineRule="auto"/>
        <w:ind w:left="501"/>
        <w:rPr>
          <w:rFonts w:ascii="宋体" w:hAnsi="宋体" w:eastAsia="宋体" w:cs="宋体"/>
          <w:sz w:val="23"/>
          <w:szCs w:val="23"/>
        </w:rPr>
      </w:pPr>
      <w:r>
        <w:rPr>
          <w:rFonts w:ascii="宋体" w:hAnsi="宋体" w:eastAsia="宋体" w:cs="宋体"/>
          <w:spacing w:val="21"/>
          <w:sz w:val="23"/>
          <w:szCs w:val="23"/>
        </w:rPr>
        <w:t>(</w:t>
      </w:r>
      <w:r>
        <w:rPr>
          <w:rFonts w:ascii="Times New Roman" w:hAnsi="Times New Roman" w:eastAsia="Times New Roman" w:cs="Times New Roman"/>
          <w:spacing w:val="14"/>
          <w:sz w:val="23"/>
          <w:szCs w:val="23"/>
        </w:rPr>
        <w:t>2</w:t>
      </w:r>
      <w:r>
        <w:rPr>
          <w:rFonts w:ascii="宋体" w:hAnsi="宋体" w:eastAsia="宋体" w:cs="宋体"/>
          <w:spacing w:val="14"/>
          <w:sz w:val="23"/>
          <w:szCs w:val="23"/>
        </w:rPr>
        <w:t>) 医疗废物事故排放风险防范措施</w:t>
      </w:r>
    </w:p>
    <w:p w14:paraId="05726017">
      <w:pPr>
        <w:spacing w:before="183" w:line="375" w:lineRule="auto"/>
        <w:ind w:left="12" w:right="47" w:firstLine="481"/>
        <w:rPr>
          <w:rFonts w:ascii="宋体" w:hAnsi="宋体" w:eastAsia="宋体" w:cs="宋体"/>
          <w:sz w:val="23"/>
          <w:szCs w:val="23"/>
        </w:rPr>
      </w:pPr>
      <w:r>
        <w:rPr>
          <w:rFonts w:ascii="宋体" w:hAnsi="宋体" w:eastAsia="宋体" w:cs="宋体"/>
          <w:spacing w:val="7"/>
          <w:sz w:val="23"/>
          <w:szCs w:val="23"/>
        </w:rPr>
        <w:t>项目产生的医疗废物在厂区内采用专用容器储存，定期委托有医疗废物处置资质的单</w:t>
      </w:r>
      <w:r>
        <w:rPr>
          <w:rFonts w:ascii="宋体" w:hAnsi="宋体" w:eastAsia="宋体" w:cs="宋体"/>
          <w:spacing w:val="2"/>
          <w:sz w:val="23"/>
          <w:szCs w:val="23"/>
        </w:rPr>
        <w:t>位</w:t>
      </w:r>
      <w:r>
        <w:rPr>
          <w:rFonts w:ascii="宋体" w:hAnsi="宋体" w:eastAsia="宋体" w:cs="宋体"/>
          <w:sz w:val="23"/>
          <w:szCs w:val="23"/>
        </w:rPr>
        <w:t xml:space="preserve"> </w:t>
      </w:r>
      <w:r>
        <w:rPr>
          <w:rFonts w:ascii="宋体" w:hAnsi="宋体" w:eastAsia="宋体" w:cs="宋体"/>
          <w:spacing w:val="14"/>
          <w:sz w:val="23"/>
          <w:szCs w:val="23"/>
        </w:rPr>
        <w:t>拉</w:t>
      </w:r>
      <w:r>
        <w:rPr>
          <w:rFonts w:ascii="宋体" w:hAnsi="宋体" w:eastAsia="宋体" w:cs="宋体"/>
          <w:spacing w:val="9"/>
          <w:sz w:val="23"/>
          <w:szCs w:val="23"/>
        </w:rPr>
        <w:t>走处置，不得私自处理医疗废物，更不得倾倒于外环境中。</w:t>
      </w:r>
    </w:p>
    <w:p w14:paraId="0FDD090E">
      <w:pPr>
        <w:spacing w:line="227" w:lineRule="auto"/>
        <w:ind w:left="501"/>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5"/>
          <w:sz w:val="23"/>
          <w:szCs w:val="23"/>
        </w:rPr>
        <w:t>3</w:t>
      </w:r>
      <w:r>
        <w:rPr>
          <w:rFonts w:ascii="宋体" w:hAnsi="宋体" w:eastAsia="宋体" w:cs="宋体"/>
          <w:spacing w:val="15"/>
          <w:sz w:val="23"/>
          <w:szCs w:val="23"/>
        </w:rPr>
        <w:t>) 污水事故排放防范措施</w:t>
      </w:r>
    </w:p>
    <w:p w14:paraId="2DB1287E">
      <w:pPr>
        <w:spacing w:before="181" w:line="375" w:lineRule="auto"/>
        <w:ind w:left="9" w:right="47" w:firstLine="480"/>
        <w:rPr>
          <w:rFonts w:ascii="宋体" w:hAnsi="宋体" w:eastAsia="宋体" w:cs="宋体"/>
          <w:sz w:val="23"/>
          <w:szCs w:val="23"/>
        </w:rPr>
      </w:pPr>
      <w:r>
        <w:rPr>
          <w:rFonts w:ascii="宋体" w:hAnsi="宋体" w:eastAsia="宋体" w:cs="宋体"/>
          <w:spacing w:val="7"/>
          <w:sz w:val="23"/>
          <w:szCs w:val="23"/>
        </w:rPr>
        <w:t>①落实源头削减废物产生的清洁生产措施，并制订有关制度，保证设备良好运行，以</w:t>
      </w:r>
      <w:r>
        <w:rPr>
          <w:rFonts w:ascii="宋体" w:hAnsi="宋体" w:eastAsia="宋体" w:cs="宋体"/>
          <w:spacing w:val="6"/>
          <w:sz w:val="23"/>
          <w:szCs w:val="23"/>
        </w:rPr>
        <w:t>降</w:t>
      </w:r>
      <w:r>
        <w:rPr>
          <w:rFonts w:ascii="宋体" w:hAnsi="宋体" w:eastAsia="宋体" w:cs="宋体"/>
          <w:sz w:val="23"/>
          <w:szCs w:val="23"/>
        </w:rPr>
        <w:t xml:space="preserve"> </w:t>
      </w:r>
      <w:r>
        <w:rPr>
          <w:rFonts w:ascii="宋体" w:hAnsi="宋体" w:eastAsia="宋体" w:cs="宋体"/>
          <w:spacing w:val="9"/>
          <w:sz w:val="23"/>
          <w:szCs w:val="23"/>
        </w:rPr>
        <w:t>低水耗及各种废水污染物的产生量</w:t>
      </w:r>
      <w:r>
        <w:rPr>
          <w:rFonts w:ascii="宋体" w:hAnsi="宋体" w:eastAsia="宋体" w:cs="宋体"/>
          <w:spacing w:val="6"/>
          <w:sz w:val="23"/>
          <w:szCs w:val="23"/>
        </w:rPr>
        <w:t>；</w:t>
      </w:r>
    </w:p>
    <w:p w14:paraId="006B2B6A">
      <w:pPr>
        <w:spacing w:before="2" w:line="374" w:lineRule="auto"/>
        <w:ind w:left="8" w:firstLine="480"/>
        <w:rPr>
          <w:rFonts w:ascii="宋体" w:hAnsi="宋体" w:eastAsia="宋体" w:cs="宋体"/>
          <w:sz w:val="23"/>
          <w:szCs w:val="23"/>
        </w:rPr>
      </w:pPr>
      <w:r>
        <w:rPr>
          <w:rFonts w:ascii="宋体" w:hAnsi="宋体" w:eastAsia="宋体" w:cs="宋体"/>
          <w:spacing w:val="16"/>
          <w:sz w:val="23"/>
          <w:szCs w:val="23"/>
        </w:rPr>
        <w:t>②</w:t>
      </w:r>
      <w:r>
        <w:rPr>
          <w:rFonts w:ascii="宋体" w:hAnsi="宋体" w:eastAsia="宋体" w:cs="宋体"/>
          <w:spacing w:val="10"/>
          <w:sz w:val="23"/>
          <w:szCs w:val="23"/>
        </w:rPr>
        <w:t>加</w:t>
      </w:r>
      <w:r>
        <w:rPr>
          <w:rFonts w:ascii="宋体" w:hAnsi="宋体" w:eastAsia="宋体" w:cs="宋体"/>
          <w:spacing w:val="8"/>
          <w:sz w:val="23"/>
          <w:szCs w:val="23"/>
        </w:rPr>
        <w:t>强设备的运行管理和维修，对异位微生物发酵系统的运行，必须严格按规定操作，</w:t>
      </w:r>
      <w:r>
        <w:rPr>
          <w:rFonts w:ascii="宋体" w:hAnsi="宋体" w:eastAsia="宋体" w:cs="宋体"/>
          <w:sz w:val="23"/>
          <w:szCs w:val="23"/>
        </w:rPr>
        <w:t xml:space="preserve"> </w:t>
      </w:r>
      <w:r>
        <w:rPr>
          <w:rFonts w:ascii="宋体" w:hAnsi="宋体" w:eastAsia="宋体" w:cs="宋体"/>
          <w:spacing w:val="8"/>
          <w:sz w:val="23"/>
          <w:szCs w:val="23"/>
        </w:rPr>
        <w:t>避免事故性排放</w:t>
      </w:r>
      <w:r>
        <w:rPr>
          <w:rFonts w:ascii="宋体" w:hAnsi="宋体" w:eastAsia="宋体" w:cs="宋体"/>
          <w:spacing w:val="6"/>
          <w:sz w:val="23"/>
          <w:szCs w:val="23"/>
        </w:rPr>
        <w:t>；</w:t>
      </w:r>
    </w:p>
    <w:p w14:paraId="2A6D397B">
      <w:pPr>
        <w:spacing w:line="225" w:lineRule="auto"/>
        <w:ind w:left="488"/>
        <w:rPr>
          <w:rFonts w:ascii="宋体" w:hAnsi="宋体" w:eastAsia="宋体" w:cs="宋体"/>
          <w:sz w:val="23"/>
          <w:szCs w:val="23"/>
        </w:rPr>
      </w:pPr>
      <w:r>
        <w:rPr>
          <w:rFonts w:ascii="宋体" w:hAnsi="宋体" w:eastAsia="宋体" w:cs="宋体"/>
          <w:spacing w:val="18"/>
          <w:sz w:val="23"/>
          <w:szCs w:val="23"/>
        </w:rPr>
        <w:t>③粪</w:t>
      </w:r>
      <w:r>
        <w:rPr>
          <w:rFonts w:ascii="宋体" w:hAnsi="宋体" w:eastAsia="宋体" w:cs="宋体"/>
          <w:spacing w:val="10"/>
          <w:sz w:val="23"/>
          <w:szCs w:val="23"/>
        </w:rPr>
        <w:t>污</w:t>
      </w:r>
      <w:r>
        <w:rPr>
          <w:rFonts w:ascii="宋体" w:hAnsi="宋体" w:eastAsia="宋体" w:cs="宋体"/>
          <w:spacing w:val="9"/>
          <w:sz w:val="23"/>
          <w:szCs w:val="23"/>
        </w:rPr>
        <w:t>输送泵发生故障时，应立即关闭所有粪污输送阀门，生产部应及时组织抢修。</w:t>
      </w:r>
    </w:p>
    <w:p w14:paraId="3B42F176">
      <w:pPr>
        <w:spacing w:before="188" w:line="225" w:lineRule="auto"/>
        <w:ind w:left="488"/>
        <w:rPr>
          <w:rFonts w:ascii="宋体" w:hAnsi="宋体" w:eastAsia="宋体" w:cs="宋体"/>
          <w:sz w:val="23"/>
          <w:szCs w:val="23"/>
        </w:rPr>
      </w:pPr>
      <w:r>
        <w:rPr>
          <w:rFonts w:ascii="宋体" w:hAnsi="宋体" w:eastAsia="宋体" w:cs="宋体"/>
          <w:spacing w:val="10"/>
          <w:sz w:val="23"/>
          <w:szCs w:val="23"/>
        </w:rPr>
        <w:t>④</w:t>
      </w:r>
      <w:r>
        <w:rPr>
          <w:rFonts w:ascii="宋体" w:hAnsi="宋体" w:eastAsia="宋体" w:cs="宋体"/>
          <w:spacing w:val="9"/>
          <w:sz w:val="23"/>
          <w:szCs w:val="23"/>
        </w:rPr>
        <w:t>污水管网发现破、漏现象，要及时修补。</w:t>
      </w:r>
    </w:p>
    <w:p w14:paraId="12360FAD">
      <w:pPr>
        <w:spacing w:before="185" w:line="225" w:lineRule="auto"/>
        <w:ind w:left="488"/>
        <w:rPr>
          <w:rFonts w:ascii="宋体" w:hAnsi="宋体" w:eastAsia="宋体" w:cs="宋体"/>
          <w:sz w:val="23"/>
          <w:szCs w:val="23"/>
        </w:rPr>
      </w:pPr>
      <w:r>
        <w:rPr>
          <w:rFonts w:ascii="宋体" w:hAnsi="宋体" w:eastAsia="宋体" w:cs="宋体"/>
          <w:spacing w:val="17"/>
          <w:sz w:val="23"/>
          <w:szCs w:val="23"/>
        </w:rPr>
        <w:t>⑤</w:t>
      </w:r>
      <w:r>
        <w:rPr>
          <w:rFonts w:ascii="宋体" w:hAnsi="宋体" w:eastAsia="宋体" w:cs="宋体"/>
          <w:spacing w:val="9"/>
          <w:sz w:val="23"/>
          <w:szCs w:val="23"/>
        </w:rPr>
        <w:t>项目主要场地所在的洼地主要种植果树，无敏感点分布。</w:t>
      </w:r>
    </w:p>
    <w:p w14:paraId="3F042CE0">
      <w:pPr>
        <w:spacing w:before="188" w:line="227" w:lineRule="auto"/>
        <w:ind w:left="261"/>
        <w:rPr>
          <w:rFonts w:ascii="宋体" w:hAnsi="宋体" w:eastAsia="宋体" w:cs="宋体"/>
          <w:sz w:val="23"/>
          <w:szCs w:val="23"/>
        </w:rPr>
      </w:pPr>
      <w:r>
        <w:rPr>
          <w:rFonts w:ascii="宋体" w:hAnsi="宋体" w:eastAsia="宋体" w:cs="宋体"/>
          <w:spacing w:val="21"/>
          <w:sz w:val="23"/>
          <w:szCs w:val="23"/>
        </w:rPr>
        <w:t>(</w:t>
      </w:r>
      <w:r>
        <w:rPr>
          <w:rFonts w:ascii="Times New Roman" w:hAnsi="Times New Roman" w:eastAsia="Times New Roman" w:cs="Times New Roman"/>
          <w:spacing w:val="14"/>
          <w:sz w:val="23"/>
          <w:szCs w:val="23"/>
        </w:rPr>
        <w:t>4</w:t>
      </w:r>
      <w:r>
        <w:rPr>
          <w:rFonts w:ascii="宋体" w:hAnsi="宋体" w:eastAsia="宋体" w:cs="宋体"/>
          <w:spacing w:val="14"/>
          <w:sz w:val="23"/>
          <w:szCs w:val="23"/>
        </w:rPr>
        <w:t>) 恶臭气体事故排放风险防范措施</w:t>
      </w:r>
    </w:p>
    <w:p w14:paraId="1E3A5CBA">
      <w:pPr>
        <w:spacing w:before="186" w:line="374" w:lineRule="auto"/>
        <w:ind w:left="10" w:right="47" w:firstLine="482"/>
        <w:rPr>
          <w:rFonts w:ascii="宋体" w:hAnsi="宋体" w:eastAsia="宋体" w:cs="宋体"/>
          <w:sz w:val="23"/>
          <w:szCs w:val="23"/>
        </w:rPr>
      </w:pPr>
      <w:r>
        <w:rPr>
          <w:rFonts w:ascii="宋体" w:hAnsi="宋体" w:eastAsia="宋体" w:cs="宋体"/>
          <w:spacing w:val="7"/>
          <w:sz w:val="23"/>
          <w:szCs w:val="23"/>
        </w:rPr>
        <w:t>异位微生物发酵床的发酵菌种突然失效会散发出高浓度的恶臭气体，造成空气中含氧</w:t>
      </w:r>
      <w:r>
        <w:rPr>
          <w:rFonts w:ascii="宋体" w:hAnsi="宋体" w:eastAsia="宋体" w:cs="宋体"/>
          <w:spacing w:val="3"/>
          <w:sz w:val="23"/>
          <w:szCs w:val="23"/>
        </w:rPr>
        <w:t>量</w:t>
      </w:r>
      <w:r>
        <w:rPr>
          <w:rFonts w:ascii="宋体" w:hAnsi="宋体" w:eastAsia="宋体" w:cs="宋体"/>
          <w:sz w:val="23"/>
          <w:szCs w:val="23"/>
        </w:rPr>
        <w:t xml:space="preserve"> </w:t>
      </w:r>
      <w:r>
        <w:rPr>
          <w:rFonts w:ascii="宋体" w:hAnsi="宋体" w:eastAsia="宋体" w:cs="宋体"/>
          <w:spacing w:val="12"/>
          <w:sz w:val="23"/>
          <w:szCs w:val="23"/>
        </w:rPr>
        <w:t>相</w:t>
      </w:r>
      <w:r>
        <w:rPr>
          <w:rFonts w:ascii="宋体" w:hAnsi="宋体" w:eastAsia="宋体" w:cs="宋体"/>
          <w:spacing w:val="7"/>
          <w:sz w:val="23"/>
          <w:szCs w:val="23"/>
        </w:rPr>
        <w:t>对下降，污浊度升高，轻则降低空气质量、产生异味妨碍人畜健康生存；重则引起呼吸系</w:t>
      </w:r>
      <w:r>
        <w:rPr>
          <w:rFonts w:ascii="宋体" w:hAnsi="宋体" w:eastAsia="宋体" w:cs="宋体"/>
          <w:sz w:val="23"/>
          <w:szCs w:val="23"/>
        </w:rPr>
        <w:t xml:space="preserve"> </w:t>
      </w:r>
      <w:r>
        <w:rPr>
          <w:rFonts w:ascii="宋体" w:hAnsi="宋体" w:eastAsia="宋体" w:cs="宋体"/>
          <w:spacing w:val="12"/>
          <w:sz w:val="23"/>
          <w:szCs w:val="23"/>
        </w:rPr>
        <w:t>统</w:t>
      </w:r>
      <w:r>
        <w:rPr>
          <w:rFonts w:ascii="宋体" w:hAnsi="宋体" w:eastAsia="宋体" w:cs="宋体"/>
          <w:spacing w:val="7"/>
          <w:sz w:val="23"/>
          <w:szCs w:val="23"/>
        </w:rPr>
        <w:t>的疾病。项目运行过程中应加强对异位微生物发酵床及猪舍喷洒除臭剂，除臭剂使用前应</w:t>
      </w:r>
      <w:r>
        <w:rPr>
          <w:rFonts w:ascii="宋体" w:hAnsi="宋体" w:eastAsia="宋体" w:cs="宋体"/>
          <w:sz w:val="23"/>
          <w:szCs w:val="23"/>
        </w:rPr>
        <w:t xml:space="preserve"> </w:t>
      </w:r>
      <w:r>
        <w:rPr>
          <w:rFonts w:ascii="宋体" w:hAnsi="宋体" w:eastAsia="宋体" w:cs="宋体"/>
          <w:spacing w:val="18"/>
          <w:sz w:val="23"/>
          <w:szCs w:val="23"/>
        </w:rPr>
        <w:t>先检</w:t>
      </w:r>
      <w:r>
        <w:rPr>
          <w:rFonts w:ascii="宋体" w:hAnsi="宋体" w:eastAsia="宋体" w:cs="宋体"/>
          <w:spacing w:val="10"/>
          <w:sz w:val="23"/>
          <w:szCs w:val="23"/>
        </w:rPr>
        <w:t>查</w:t>
      </w:r>
      <w:r>
        <w:rPr>
          <w:rFonts w:ascii="宋体" w:hAnsi="宋体" w:eastAsia="宋体" w:cs="宋体"/>
          <w:spacing w:val="9"/>
          <w:sz w:val="23"/>
          <w:szCs w:val="23"/>
        </w:rPr>
        <w:t>是否发生变质或者损坏，如果发生变质应停止使用，使用合格的除臭剂进行除臭。</w:t>
      </w:r>
    </w:p>
    <w:p w14:paraId="40040CC2">
      <w:pPr>
        <w:spacing w:line="228" w:lineRule="auto"/>
        <w:ind w:left="501"/>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5"/>
          <w:sz w:val="23"/>
          <w:szCs w:val="23"/>
        </w:rPr>
        <w:t>5</w:t>
      </w:r>
      <w:r>
        <w:rPr>
          <w:rFonts w:ascii="宋体" w:hAnsi="宋体" w:eastAsia="宋体" w:cs="宋体"/>
          <w:spacing w:val="15"/>
          <w:sz w:val="23"/>
          <w:szCs w:val="23"/>
        </w:rPr>
        <w:t>) 病死猪疫情风险防范措施</w:t>
      </w:r>
    </w:p>
    <w:p w14:paraId="766A495D">
      <w:pPr>
        <w:spacing w:before="183" w:line="375" w:lineRule="auto"/>
        <w:ind w:left="10" w:right="47" w:firstLine="479"/>
        <w:rPr>
          <w:rFonts w:ascii="宋体" w:hAnsi="宋体" w:eastAsia="宋体" w:cs="宋体"/>
          <w:sz w:val="23"/>
          <w:szCs w:val="23"/>
        </w:rPr>
      </w:pPr>
      <w:r>
        <w:rPr>
          <w:rFonts w:ascii="宋体" w:hAnsi="宋体" w:eastAsia="宋体" w:cs="宋体"/>
          <w:spacing w:val="14"/>
          <w:sz w:val="23"/>
          <w:szCs w:val="23"/>
        </w:rPr>
        <w:t>在猪</w:t>
      </w:r>
      <w:r>
        <w:rPr>
          <w:rFonts w:ascii="宋体" w:hAnsi="宋体" w:eastAsia="宋体" w:cs="宋体"/>
          <w:spacing w:val="11"/>
          <w:sz w:val="23"/>
          <w:szCs w:val="23"/>
        </w:rPr>
        <w:t>场</w:t>
      </w:r>
      <w:r>
        <w:rPr>
          <w:rFonts w:ascii="宋体" w:hAnsi="宋体" w:eastAsia="宋体" w:cs="宋体"/>
          <w:spacing w:val="7"/>
          <w:sz w:val="23"/>
          <w:szCs w:val="23"/>
        </w:rPr>
        <w:t>生产中应坚持</w:t>
      </w:r>
      <w:r>
        <w:rPr>
          <w:rFonts w:ascii="Times New Roman" w:hAnsi="Times New Roman" w:eastAsia="Times New Roman" w:cs="Times New Roman"/>
          <w:spacing w:val="7"/>
          <w:sz w:val="23"/>
          <w:szCs w:val="23"/>
        </w:rPr>
        <w:t>“</w:t>
      </w:r>
      <w:r>
        <w:rPr>
          <w:rFonts w:ascii="宋体" w:hAnsi="宋体" w:eastAsia="宋体" w:cs="宋体"/>
          <w:spacing w:val="7"/>
          <w:sz w:val="23"/>
          <w:szCs w:val="23"/>
        </w:rPr>
        <w:t>防病重于治病</w:t>
      </w:r>
      <w:r>
        <w:rPr>
          <w:rFonts w:ascii="Times New Roman" w:hAnsi="Times New Roman" w:eastAsia="Times New Roman" w:cs="Times New Roman"/>
          <w:spacing w:val="7"/>
          <w:sz w:val="23"/>
          <w:szCs w:val="23"/>
        </w:rPr>
        <w:t>”</w:t>
      </w:r>
      <w:r>
        <w:rPr>
          <w:rFonts w:ascii="宋体" w:hAnsi="宋体" w:eastAsia="宋体" w:cs="宋体"/>
          <w:spacing w:val="7"/>
          <w:sz w:val="23"/>
          <w:szCs w:val="23"/>
        </w:rPr>
        <w:t>的方针，防止和消灭种猪疾病，特别是传染病、代</w:t>
      </w:r>
      <w:r>
        <w:rPr>
          <w:rFonts w:ascii="宋体" w:hAnsi="宋体" w:eastAsia="宋体" w:cs="宋体"/>
          <w:sz w:val="23"/>
          <w:szCs w:val="23"/>
        </w:rPr>
        <w:t xml:space="preserve"> </w:t>
      </w:r>
      <w:r>
        <w:rPr>
          <w:rFonts w:ascii="宋体" w:hAnsi="宋体" w:eastAsia="宋体" w:cs="宋体"/>
          <w:spacing w:val="18"/>
          <w:sz w:val="23"/>
          <w:szCs w:val="23"/>
        </w:rPr>
        <w:t>谢</w:t>
      </w:r>
      <w:r>
        <w:rPr>
          <w:rFonts w:ascii="宋体" w:hAnsi="宋体" w:eastAsia="宋体" w:cs="宋体"/>
          <w:spacing w:val="13"/>
          <w:sz w:val="23"/>
          <w:szCs w:val="23"/>
        </w:rPr>
        <w:t>病</w:t>
      </w:r>
      <w:r>
        <w:rPr>
          <w:rFonts w:ascii="宋体" w:hAnsi="宋体" w:eastAsia="宋体" w:cs="宋体"/>
          <w:spacing w:val="9"/>
          <w:sz w:val="23"/>
          <w:szCs w:val="23"/>
        </w:rPr>
        <w:t>，使种猪更好地发挥生产性能，延长使用年限，提高养猪的经济效益。</w:t>
      </w:r>
    </w:p>
    <w:p w14:paraId="668D5B49">
      <w:pPr>
        <w:spacing w:line="228" w:lineRule="auto"/>
        <w:ind w:left="508"/>
        <w:rPr>
          <w:rFonts w:ascii="宋体" w:hAnsi="宋体" w:eastAsia="宋体" w:cs="宋体"/>
          <w:sz w:val="23"/>
          <w:szCs w:val="23"/>
        </w:rPr>
      </w:pPr>
      <w:r>
        <w:rPr>
          <w:rFonts w:ascii="Times New Roman" w:hAnsi="Times New Roman" w:eastAsia="Times New Roman" w:cs="Times New Roman"/>
          <w:spacing w:val="10"/>
          <w:sz w:val="23"/>
          <w:szCs w:val="23"/>
        </w:rPr>
        <w:t>1</w:t>
      </w:r>
      <w:r>
        <w:rPr>
          <w:rFonts w:ascii="宋体" w:hAnsi="宋体" w:eastAsia="宋体" w:cs="宋体"/>
          <w:spacing w:val="6"/>
          <w:sz w:val="23"/>
          <w:szCs w:val="23"/>
        </w:rPr>
        <w:t>)</w:t>
      </w:r>
      <w:r>
        <w:rPr>
          <w:rFonts w:ascii="宋体" w:hAnsi="宋体" w:eastAsia="宋体" w:cs="宋体"/>
          <w:spacing w:val="5"/>
          <w:sz w:val="23"/>
          <w:szCs w:val="23"/>
        </w:rPr>
        <w:t xml:space="preserve"> 日常的预防措施</w:t>
      </w:r>
    </w:p>
    <w:p w14:paraId="57F3EBF1">
      <w:pPr>
        <w:spacing w:before="184" w:line="225" w:lineRule="auto"/>
        <w:ind w:left="489"/>
        <w:rPr>
          <w:rFonts w:ascii="宋体" w:hAnsi="宋体" w:eastAsia="宋体" w:cs="宋体"/>
          <w:sz w:val="23"/>
          <w:szCs w:val="23"/>
        </w:rPr>
      </w:pPr>
      <w:r>
        <w:rPr>
          <w:rFonts w:ascii="宋体" w:hAnsi="宋体" w:eastAsia="宋体" w:cs="宋体"/>
          <w:spacing w:val="7"/>
          <w:sz w:val="23"/>
          <w:szCs w:val="23"/>
        </w:rPr>
        <w:t>①把好大门入口关。猪场场区和生产区应设围墙或挖防疫沟，场区、生产区、猪舍门</w:t>
      </w:r>
      <w:r>
        <w:rPr>
          <w:rFonts w:ascii="宋体" w:hAnsi="宋体" w:eastAsia="宋体" w:cs="宋体"/>
          <w:spacing w:val="6"/>
          <w:sz w:val="23"/>
          <w:szCs w:val="23"/>
        </w:rPr>
        <w:t>口</w:t>
      </w:r>
    </w:p>
    <w:p w14:paraId="43AF5005">
      <w:pPr>
        <w:sectPr>
          <w:headerReference r:id="rId296" w:type="default"/>
          <w:footerReference r:id="rId297" w:type="default"/>
          <w:pgSz w:w="11906" w:h="16839"/>
          <w:pgMar w:top="1113" w:right="1087" w:bottom="1157" w:left="1275" w:header="878" w:footer="994" w:gutter="0"/>
          <w:cols w:space="720" w:num="1"/>
        </w:sectPr>
      </w:pPr>
    </w:p>
    <w:p w14:paraId="379DB6FE">
      <w:pPr>
        <w:spacing w:before="199" w:line="374" w:lineRule="auto"/>
        <w:ind w:left="8" w:right="24" w:firstLine="5"/>
        <w:rPr>
          <w:rFonts w:ascii="宋体" w:hAnsi="宋体" w:eastAsia="宋体" w:cs="宋体"/>
          <w:sz w:val="23"/>
          <w:szCs w:val="23"/>
        </w:rPr>
      </w:pPr>
      <w:r>
        <w:rPr>
          <w:rFonts w:ascii="宋体" w:hAnsi="宋体" w:eastAsia="宋体" w:cs="宋体"/>
          <w:spacing w:val="8"/>
          <w:sz w:val="23"/>
          <w:szCs w:val="23"/>
        </w:rPr>
        <w:t>设</w:t>
      </w:r>
      <w:r>
        <w:rPr>
          <w:rFonts w:ascii="宋体" w:hAnsi="宋体" w:eastAsia="宋体" w:cs="宋体"/>
          <w:spacing w:val="7"/>
          <w:sz w:val="23"/>
          <w:szCs w:val="23"/>
        </w:rPr>
        <w:t>置脚踏消毒池和紫外线灯，生产区设更衣室。内部车辆出入须经消毒池，通过喷雾消毒后</w:t>
      </w:r>
      <w:r>
        <w:rPr>
          <w:rFonts w:ascii="宋体" w:hAnsi="宋体" w:eastAsia="宋体" w:cs="宋体"/>
          <w:sz w:val="23"/>
          <w:szCs w:val="23"/>
        </w:rPr>
        <w:t xml:space="preserve"> </w:t>
      </w:r>
      <w:r>
        <w:rPr>
          <w:rFonts w:ascii="宋体" w:hAnsi="宋体" w:eastAsia="宋体" w:cs="宋体"/>
          <w:spacing w:val="6"/>
          <w:sz w:val="23"/>
          <w:szCs w:val="23"/>
        </w:rPr>
        <w:t>才能通行。大门</w:t>
      </w:r>
      <w:r>
        <w:rPr>
          <w:rFonts w:ascii="宋体" w:hAnsi="宋体" w:eastAsia="宋体" w:cs="宋体"/>
          <w:spacing w:val="5"/>
          <w:sz w:val="23"/>
          <w:szCs w:val="23"/>
        </w:rPr>
        <w:t>口</w:t>
      </w:r>
      <w:r>
        <w:rPr>
          <w:rFonts w:ascii="宋体" w:hAnsi="宋体" w:eastAsia="宋体" w:cs="宋体"/>
          <w:spacing w:val="3"/>
          <w:sz w:val="23"/>
          <w:szCs w:val="23"/>
        </w:rPr>
        <w:t>应设标识</w:t>
      </w:r>
      <w:r>
        <w:rPr>
          <w:rFonts w:ascii="Times New Roman" w:hAnsi="Times New Roman" w:eastAsia="Times New Roman" w:cs="Times New Roman"/>
          <w:spacing w:val="3"/>
          <w:sz w:val="23"/>
          <w:szCs w:val="23"/>
        </w:rPr>
        <w:t>“</w:t>
      </w:r>
      <w:r>
        <w:rPr>
          <w:rFonts w:ascii="宋体" w:hAnsi="宋体" w:eastAsia="宋体" w:cs="宋体"/>
          <w:spacing w:val="3"/>
          <w:sz w:val="23"/>
          <w:szCs w:val="23"/>
        </w:rPr>
        <w:t>防疫重地，谢绝参观</w:t>
      </w:r>
      <w:r>
        <w:rPr>
          <w:rFonts w:ascii="Times New Roman" w:hAnsi="Times New Roman" w:eastAsia="Times New Roman" w:cs="Times New Roman"/>
          <w:spacing w:val="3"/>
          <w:sz w:val="23"/>
          <w:szCs w:val="23"/>
        </w:rPr>
        <w:t>”</w:t>
      </w:r>
      <w:r>
        <w:rPr>
          <w:rFonts w:ascii="宋体" w:hAnsi="宋体" w:eastAsia="宋体" w:cs="宋体"/>
          <w:spacing w:val="3"/>
          <w:sz w:val="23"/>
          <w:szCs w:val="23"/>
        </w:rPr>
        <w:t>，设专人把手，严禁外来车辆和人员入场，</w:t>
      </w:r>
      <w:r>
        <w:rPr>
          <w:rFonts w:ascii="宋体" w:hAnsi="宋体" w:eastAsia="宋体" w:cs="宋体"/>
          <w:sz w:val="23"/>
          <w:szCs w:val="23"/>
        </w:rPr>
        <w:t xml:space="preserve"> </w:t>
      </w:r>
      <w:r>
        <w:rPr>
          <w:rFonts w:ascii="宋体" w:hAnsi="宋体" w:eastAsia="宋体" w:cs="宋体"/>
          <w:spacing w:val="11"/>
          <w:sz w:val="23"/>
          <w:szCs w:val="23"/>
        </w:rPr>
        <w:t>进</w:t>
      </w:r>
      <w:r>
        <w:rPr>
          <w:rFonts w:ascii="宋体" w:hAnsi="宋体" w:eastAsia="宋体" w:cs="宋体"/>
          <w:spacing w:val="9"/>
          <w:sz w:val="23"/>
          <w:szCs w:val="23"/>
        </w:rPr>
        <w:t>入生产区时必须洗手消毒并经紫外线消毒通道 (有消毒水池和紫外线光) 方可进入。</w:t>
      </w:r>
    </w:p>
    <w:p w14:paraId="38820CAF">
      <w:pPr>
        <w:spacing w:line="375" w:lineRule="auto"/>
        <w:ind w:left="9" w:right="91" w:firstLine="479"/>
        <w:rPr>
          <w:rFonts w:ascii="宋体" w:hAnsi="宋体" w:eastAsia="宋体" w:cs="宋体"/>
          <w:sz w:val="23"/>
          <w:szCs w:val="23"/>
        </w:rPr>
      </w:pPr>
      <w:r>
        <w:rPr>
          <w:rFonts w:ascii="宋体" w:hAnsi="宋体" w:eastAsia="宋体" w:cs="宋体"/>
          <w:spacing w:val="7"/>
          <w:sz w:val="23"/>
          <w:szCs w:val="23"/>
        </w:rPr>
        <w:t>②防止交叉感染。各舍饲养员禁止窜场窜岗，以防止交叉感染。场区环境应该保持干净</w:t>
      </w:r>
      <w:r>
        <w:rPr>
          <w:rFonts w:ascii="宋体" w:hAnsi="宋体" w:eastAsia="宋体" w:cs="宋体"/>
          <w:sz w:val="23"/>
          <w:szCs w:val="23"/>
        </w:rPr>
        <w:t xml:space="preserve"> </w:t>
      </w:r>
      <w:r>
        <w:rPr>
          <w:rFonts w:ascii="宋体" w:hAnsi="宋体" w:eastAsia="宋体" w:cs="宋体"/>
          <w:spacing w:val="12"/>
          <w:sz w:val="23"/>
          <w:szCs w:val="23"/>
        </w:rPr>
        <w:t>清</w:t>
      </w:r>
      <w:r>
        <w:rPr>
          <w:rFonts w:ascii="宋体" w:hAnsi="宋体" w:eastAsia="宋体" w:cs="宋体"/>
          <w:spacing w:val="7"/>
          <w:sz w:val="23"/>
          <w:szCs w:val="23"/>
        </w:rPr>
        <w:t>洁，随时射杀进入场区的野鸟，严防其粪便污染饲料和运动场；坚持定期的全场消毒和带</w:t>
      </w:r>
      <w:r>
        <w:rPr>
          <w:rFonts w:ascii="宋体" w:hAnsi="宋体" w:eastAsia="宋体" w:cs="宋体"/>
          <w:sz w:val="23"/>
          <w:szCs w:val="23"/>
        </w:rPr>
        <w:t xml:space="preserve"> </w:t>
      </w:r>
      <w:r>
        <w:rPr>
          <w:rFonts w:ascii="宋体" w:hAnsi="宋体" w:eastAsia="宋体" w:cs="宋体"/>
          <w:spacing w:val="12"/>
          <w:sz w:val="23"/>
          <w:szCs w:val="23"/>
        </w:rPr>
        <w:t>猪</w:t>
      </w:r>
      <w:r>
        <w:rPr>
          <w:rFonts w:ascii="宋体" w:hAnsi="宋体" w:eastAsia="宋体" w:cs="宋体"/>
          <w:spacing w:val="7"/>
          <w:sz w:val="23"/>
          <w:szCs w:val="23"/>
        </w:rPr>
        <w:t>消毒，发病期间要天天消毒；做好消毒灭鼠灭蚊蝇工作。病死猪必须做无害化处理，不得</w:t>
      </w:r>
      <w:r>
        <w:rPr>
          <w:rFonts w:ascii="宋体" w:hAnsi="宋体" w:eastAsia="宋体" w:cs="宋体"/>
          <w:sz w:val="23"/>
          <w:szCs w:val="23"/>
        </w:rPr>
        <w:t xml:space="preserve"> </w:t>
      </w:r>
      <w:r>
        <w:rPr>
          <w:rFonts w:ascii="宋体" w:hAnsi="宋体" w:eastAsia="宋体" w:cs="宋体"/>
          <w:spacing w:val="9"/>
          <w:sz w:val="23"/>
          <w:szCs w:val="23"/>
        </w:rPr>
        <w:t>任其污染环境，造成人为疾病发生</w:t>
      </w:r>
      <w:r>
        <w:rPr>
          <w:rFonts w:ascii="宋体" w:hAnsi="宋体" w:eastAsia="宋体" w:cs="宋体"/>
          <w:spacing w:val="6"/>
          <w:sz w:val="23"/>
          <w:szCs w:val="23"/>
        </w:rPr>
        <w:t>。</w:t>
      </w:r>
    </w:p>
    <w:p w14:paraId="702D6A51">
      <w:pPr>
        <w:spacing w:before="3" w:line="374" w:lineRule="auto"/>
        <w:ind w:left="11" w:right="91" w:firstLine="477"/>
        <w:rPr>
          <w:rFonts w:ascii="宋体" w:hAnsi="宋体" w:eastAsia="宋体" w:cs="宋体"/>
          <w:sz w:val="23"/>
          <w:szCs w:val="23"/>
        </w:rPr>
      </w:pPr>
      <w:r>
        <w:rPr>
          <w:rFonts w:ascii="宋体" w:hAnsi="宋体" w:eastAsia="宋体" w:cs="宋体"/>
          <w:spacing w:val="7"/>
          <w:sz w:val="23"/>
          <w:szCs w:val="23"/>
        </w:rPr>
        <w:t>③科学疾病防治。兽医对病死猪要勤于解剖，病料应进行实验室检验，依据药敏结果用</w:t>
      </w:r>
      <w:r>
        <w:rPr>
          <w:rFonts w:ascii="宋体" w:hAnsi="宋体" w:eastAsia="宋体" w:cs="宋体"/>
          <w:sz w:val="23"/>
          <w:szCs w:val="23"/>
        </w:rPr>
        <w:t xml:space="preserve"> </w:t>
      </w:r>
      <w:r>
        <w:rPr>
          <w:rFonts w:ascii="宋体" w:hAnsi="宋体" w:eastAsia="宋体" w:cs="宋体"/>
          <w:spacing w:val="11"/>
          <w:sz w:val="23"/>
          <w:szCs w:val="23"/>
        </w:rPr>
        <w:t>药</w:t>
      </w:r>
      <w:r>
        <w:rPr>
          <w:rFonts w:ascii="宋体" w:hAnsi="宋体" w:eastAsia="宋体" w:cs="宋体"/>
          <w:spacing w:val="7"/>
          <w:sz w:val="23"/>
          <w:szCs w:val="23"/>
        </w:rPr>
        <w:t>防治。初期投药后兽医应仍进行跟踪治疗，直到病愈为止。兽医根据药敏试验，临床用药</w:t>
      </w:r>
      <w:r>
        <w:rPr>
          <w:rFonts w:ascii="宋体" w:hAnsi="宋体" w:eastAsia="宋体" w:cs="宋体"/>
          <w:sz w:val="23"/>
          <w:szCs w:val="23"/>
        </w:rPr>
        <w:t xml:space="preserve"> </w:t>
      </w:r>
      <w:r>
        <w:rPr>
          <w:rFonts w:ascii="宋体" w:hAnsi="宋体" w:eastAsia="宋体" w:cs="宋体"/>
          <w:spacing w:val="11"/>
          <w:sz w:val="23"/>
          <w:szCs w:val="23"/>
        </w:rPr>
        <w:t>情</w:t>
      </w:r>
      <w:r>
        <w:rPr>
          <w:rFonts w:ascii="宋体" w:hAnsi="宋体" w:eastAsia="宋体" w:cs="宋体"/>
          <w:spacing w:val="7"/>
          <w:sz w:val="23"/>
          <w:szCs w:val="23"/>
        </w:rPr>
        <w:t>况，发病日龄和季节结合生产实践，获得本场的用药程序。在选药时，避免使用假冒伪劣</w:t>
      </w:r>
      <w:r>
        <w:rPr>
          <w:rFonts w:ascii="宋体" w:hAnsi="宋体" w:eastAsia="宋体" w:cs="宋体"/>
          <w:sz w:val="23"/>
          <w:szCs w:val="23"/>
        </w:rPr>
        <w:t xml:space="preserve"> </w:t>
      </w:r>
      <w:r>
        <w:rPr>
          <w:rFonts w:ascii="宋体" w:hAnsi="宋体" w:eastAsia="宋体" w:cs="宋体"/>
          <w:spacing w:val="10"/>
          <w:sz w:val="23"/>
          <w:szCs w:val="23"/>
        </w:rPr>
        <w:t>兽</w:t>
      </w:r>
      <w:r>
        <w:rPr>
          <w:rFonts w:ascii="宋体" w:hAnsi="宋体" w:eastAsia="宋体" w:cs="宋体"/>
          <w:spacing w:val="9"/>
          <w:sz w:val="23"/>
          <w:szCs w:val="23"/>
        </w:rPr>
        <w:t>药而造成治疗和免疫失败，造成严重经济损失。</w:t>
      </w:r>
    </w:p>
    <w:p w14:paraId="19548FFA">
      <w:pPr>
        <w:spacing w:before="3" w:line="374" w:lineRule="auto"/>
        <w:ind w:left="10" w:right="91" w:firstLine="478"/>
        <w:rPr>
          <w:rFonts w:ascii="宋体" w:hAnsi="宋体" w:eastAsia="宋体" w:cs="宋体"/>
          <w:sz w:val="23"/>
          <w:szCs w:val="23"/>
        </w:rPr>
      </w:pPr>
      <w:r>
        <w:rPr>
          <w:rFonts w:ascii="宋体" w:hAnsi="宋体" w:eastAsia="宋体" w:cs="宋体"/>
          <w:spacing w:val="7"/>
          <w:sz w:val="23"/>
          <w:szCs w:val="23"/>
        </w:rPr>
        <w:t>④做好基础免疫工作。为了预防传染病的发生，种猪场必须制定合理的免疫程序以保护</w:t>
      </w:r>
      <w:r>
        <w:rPr>
          <w:rFonts w:ascii="宋体" w:hAnsi="宋体" w:eastAsia="宋体" w:cs="宋体"/>
          <w:sz w:val="23"/>
          <w:szCs w:val="23"/>
        </w:rPr>
        <w:t xml:space="preserve"> </w:t>
      </w:r>
      <w:r>
        <w:rPr>
          <w:rFonts w:ascii="宋体" w:hAnsi="宋体" w:eastAsia="宋体" w:cs="宋体"/>
          <w:spacing w:val="12"/>
          <w:sz w:val="23"/>
          <w:szCs w:val="23"/>
        </w:rPr>
        <w:t>猪</w:t>
      </w:r>
      <w:r>
        <w:rPr>
          <w:rFonts w:ascii="宋体" w:hAnsi="宋体" w:eastAsia="宋体" w:cs="宋体"/>
          <w:spacing w:val="7"/>
          <w:sz w:val="23"/>
          <w:szCs w:val="23"/>
        </w:rPr>
        <w:t>群健康。种猪免疫应避开产蛋高峰期，雏猪免疫应考虑母源抗体的存在。使用油乳剂灭活</w:t>
      </w:r>
      <w:r>
        <w:rPr>
          <w:rFonts w:ascii="宋体" w:hAnsi="宋体" w:eastAsia="宋体" w:cs="宋体"/>
          <w:sz w:val="23"/>
          <w:szCs w:val="23"/>
        </w:rPr>
        <w:t xml:space="preserve"> </w:t>
      </w:r>
      <w:r>
        <w:rPr>
          <w:rFonts w:ascii="宋体" w:hAnsi="宋体" w:eastAsia="宋体" w:cs="宋体"/>
          <w:spacing w:val="12"/>
          <w:sz w:val="23"/>
          <w:szCs w:val="23"/>
        </w:rPr>
        <w:t>苗</w:t>
      </w:r>
      <w:r>
        <w:rPr>
          <w:rFonts w:ascii="宋体" w:hAnsi="宋体" w:eastAsia="宋体" w:cs="宋体"/>
          <w:spacing w:val="7"/>
          <w:sz w:val="23"/>
          <w:szCs w:val="23"/>
        </w:rPr>
        <w:t>时要预温，否则注射到皮下的疫苗形成疫苗团而不易吸收；夏季要保证充足饮水，选择凉</w:t>
      </w:r>
      <w:r>
        <w:rPr>
          <w:rFonts w:ascii="宋体" w:hAnsi="宋体" w:eastAsia="宋体" w:cs="宋体"/>
          <w:sz w:val="23"/>
          <w:szCs w:val="23"/>
        </w:rPr>
        <w:t xml:space="preserve"> </w:t>
      </w:r>
      <w:r>
        <w:rPr>
          <w:rFonts w:ascii="宋体" w:hAnsi="宋体" w:eastAsia="宋体" w:cs="宋体"/>
          <w:spacing w:val="8"/>
          <w:sz w:val="23"/>
          <w:szCs w:val="23"/>
        </w:rPr>
        <w:t>爽</w:t>
      </w:r>
      <w:r>
        <w:rPr>
          <w:rFonts w:ascii="宋体" w:hAnsi="宋体" w:eastAsia="宋体" w:cs="宋体"/>
          <w:spacing w:val="7"/>
          <w:sz w:val="23"/>
          <w:szCs w:val="23"/>
        </w:rPr>
        <w:t>时进行免疫。</w:t>
      </w:r>
    </w:p>
    <w:p w14:paraId="5C2428AF">
      <w:pPr>
        <w:spacing w:line="227" w:lineRule="auto"/>
        <w:ind w:left="485"/>
        <w:rPr>
          <w:rFonts w:ascii="宋体" w:hAnsi="宋体" w:eastAsia="宋体" w:cs="宋体"/>
          <w:sz w:val="23"/>
          <w:szCs w:val="23"/>
        </w:rPr>
      </w:pPr>
      <w:r>
        <w:rPr>
          <w:rFonts w:ascii="Times New Roman" w:hAnsi="Times New Roman" w:eastAsia="Times New Roman" w:cs="Times New Roman"/>
          <w:spacing w:val="16"/>
          <w:sz w:val="23"/>
          <w:szCs w:val="23"/>
        </w:rPr>
        <w:t>2</w:t>
      </w:r>
      <w:r>
        <w:rPr>
          <w:rFonts w:ascii="宋体" w:hAnsi="宋体" w:eastAsia="宋体" w:cs="宋体"/>
          <w:spacing w:val="9"/>
          <w:sz w:val="23"/>
          <w:szCs w:val="23"/>
        </w:rPr>
        <w:t>)</w:t>
      </w:r>
      <w:r>
        <w:rPr>
          <w:rFonts w:ascii="宋体" w:hAnsi="宋体" w:eastAsia="宋体" w:cs="宋体"/>
          <w:spacing w:val="8"/>
          <w:sz w:val="23"/>
          <w:szCs w:val="23"/>
        </w:rPr>
        <w:t xml:space="preserve"> 发生疫情时的紧急防治措施</w:t>
      </w:r>
    </w:p>
    <w:p w14:paraId="7239AA9F">
      <w:pPr>
        <w:spacing w:before="185" w:line="225" w:lineRule="auto"/>
        <w:ind w:left="489"/>
        <w:rPr>
          <w:rFonts w:ascii="宋体" w:hAnsi="宋体" w:eastAsia="宋体" w:cs="宋体"/>
          <w:sz w:val="23"/>
          <w:szCs w:val="23"/>
        </w:rPr>
      </w:pPr>
      <w:r>
        <w:rPr>
          <w:rFonts w:ascii="宋体" w:hAnsi="宋体" w:eastAsia="宋体" w:cs="宋体"/>
          <w:spacing w:val="18"/>
          <w:sz w:val="23"/>
          <w:szCs w:val="23"/>
        </w:rPr>
        <w:t>①</w:t>
      </w:r>
      <w:r>
        <w:rPr>
          <w:rFonts w:ascii="宋体" w:hAnsi="宋体" w:eastAsia="宋体" w:cs="宋体"/>
          <w:spacing w:val="15"/>
          <w:sz w:val="23"/>
          <w:szCs w:val="23"/>
        </w:rPr>
        <w:t>应</w:t>
      </w:r>
      <w:r>
        <w:rPr>
          <w:rFonts w:ascii="宋体" w:hAnsi="宋体" w:eastAsia="宋体" w:cs="宋体"/>
          <w:spacing w:val="9"/>
          <w:sz w:val="23"/>
          <w:szCs w:val="23"/>
        </w:rPr>
        <w:t>立即组成防疫小组，尽快做出确切诊断，迅速向有关上级部门报告疫情。</w:t>
      </w:r>
    </w:p>
    <w:p w14:paraId="295388EE">
      <w:pPr>
        <w:spacing w:before="186" w:line="374" w:lineRule="auto"/>
        <w:ind w:left="9" w:right="91" w:firstLine="479"/>
        <w:rPr>
          <w:rFonts w:ascii="宋体" w:hAnsi="宋体" w:eastAsia="宋体" w:cs="宋体"/>
          <w:sz w:val="23"/>
          <w:szCs w:val="23"/>
        </w:rPr>
      </w:pPr>
      <w:r>
        <w:rPr>
          <w:rFonts w:ascii="宋体" w:hAnsi="宋体" w:eastAsia="宋体" w:cs="宋体"/>
          <w:spacing w:val="7"/>
          <w:sz w:val="23"/>
          <w:szCs w:val="23"/>
        </w:rPr>
        <w:t>②迅速隔离病猪，对危害较重的传染病应及时划区封锁，建立封锁带，出人人员和车辆</w:t>
      </w:r>
      <w:r>
        <w:rPr>
          <w:rFonts w:ascii="宋体" w:hAnsi="宋体" w:eastAsia="宋体" w:cs="宋体"/>
          <w:sz w:val="23"/>
          <w:szCs w:val="23"/>
        </w:rPr>
        <w:t xml:space="preserve"> </w:t>
      </w:r>
      <w:r>
        <w:rPr>
          <w:rFonts w:ascii="宋体" w:hAnsi="宋体" w:eastAsia="宋体" w:cs="宋体"/>
          <w:spacing w:val="12"/>
          <w:sz w:val="23"/>
          <w:szCs w:val="23"/>
        </w:rPr>
        <w:t>要</w:t>
      </w:r>
      <w:r>
        <w:rPr>
          <w:rFonts w:ascii="宋体" w:hAnsi="宋体" w:eastAsia="宋体" w:cs="宋体"/>
          <w:spacing w:val="7"/>
          <w:sz w:val="23"/>
          <w:szCs w:val="23"/>
        </w:rPr>
        <w:t>严格消毒，同时严格消毒污染环境。解除封锁的条件是在最后一只病猪痊愈或屠宰后两个</w:t>
      </w:r>
      <w:r>
        <w:rPr>
          <w:rFonts w:ascii="宋体" w:hAnsi="宋体" w:eastAsia="宋体" w:cs="宋体"/>
          <w:sz w:val="23"/>
          <w:szCs w:val="23"/>
        </w:rPr>
        <w:t xml:space="preserve"> </w:t>
      </w:r>
      <w:r>
        <w:rPr>
          <w:rFonts w:ascii="宋体" w:hAnsi="宋体" w:eastAsia="宋体" w:cs="宋体"/>
          <w:spacing w:val="18"/>
          <w:sz w:val="23"/>
          <w:szCs w:val="23"/>
        </w:rPr>
        <w:t>潜伏</w:t>
      </w:r>
      <w:r>
        <w:rPr>
          <w:rFonts w:ascii="宋体" w:hAnsi="宋体" w:eastAsia="宋体" w:cs="宋体"/>
          <w:spacing w:val="9"/>
          <w:sz w:val="23"/>
          <w:szCs w:val="23"/>
        </w:rPr>
        <w:t>期内再无新病例出现，经过全面大消毒，报上级主管部门批准，方可解除封锁。</w:t>
      </w:r>
    </w:p>
    <w:p w14:paraId="04B8CCFC">
      <w:pPr>
        <w:spacing w:before="2" w:line="375" w:lineRule="auto"/>
        <w:ind w:left="11" w:right="91" w:firstLine="477"/>
        <w:rPr>
          <w:rFonts w:ascii="宋体" w:hAnsi="宋体" w:eastAsia="宋体" w:cs="宋体"/>
          <w:sz w:val="23"/>
          <w:szCs w:val="23"/>
        </w:rPr>
      </w:pPr>
      <w:r>
        <w:rPr>
          <w:rFonts w:ascii="宋体" w:hAnsi="宋体" w:eastAsia="宋体" w:cs="宋体"/>
          <w:spacing w:val="7"/>
          <w:sz w:val="23"/>
          <w:szCs w:val="23"/>
        </w:rPr>
        <w:t>③对病猪及封锁区内的猪只实行合理的综合防制措施，包括疫苗的紧急接种、抗生素疗</w:t>
      </w:r>
      <w:r>
        <w:rPr>
          <w:rFonts w:ascii="宋体" w:hAnsi="宋体" w:eastAsia="宋体" w:cs="宋体"/>
          <w:sz w:val="23"/>
          <w:szCs w:val="23"/>
        </w:rPr>
        <w:t xml:space="preserve"> </w:t>
      </w:r>
      <w:r>
        <w:rPr>
          <w:rFonts w:ascii="宋体" w:hAnsi="宋体" w:eastAsia="宋体" w:cs="宋体"/>
          <w:spacing w:val="18"/>
          <w:sz w:val="23"/>
          <w:szCs w:val="23"/>
        </w:rPr>
        <w:t>法</w:t>
      </w:r>
      <w:r>
        <w:rPr>
          <w:rFonts w:ascii="宋体" w:hAnsi="宋体" w:eastAsia="宋体" w:cs="宋体"/>
          <w:spacing w:val="12"/>
          <w:sz w:val="23"/>
          <w:szCs w:val="23"/>
        </w:rPr>
        <w:t>、</w:t>
      </w:r>
      <w:r>
        <w:rPr>
          <w:rFonts w:ascii="宋体" w:hAnsi="宋体" w:eastAsia="宋体" w:cs="宋体"/>
          <w:spacing w:val="9"/>
          <w:sz w:val="23"/>
          <w:szCs w:val="23"/>
        </w:rPr>
        <w:t>高免血清的特异性疗法、化学疗法、增强体质和生理机能的辅助疗法。</w:t>
      </w:r>
    </w:p>
    <w:p w14:paraId="409C8DB4">
      <w:pPr>
        <w:spacing w:before="4" w:line="374" w:lineRule="auto"/>
        <w:ind w:left="8" w:firstLine="480"/>
        <w:rPr>
          <w:rFonts w:ascii="宋体" w:hAnsi="宋体" w:eastAsia="宋体" w:cs="宋体"/>
          <w:sz w:val="23"/>
          <w:szCs w:val="23"/>
        </w:rPr>
      </w:pPr>
      <w:r>
        <w:rPr>
          <w:rFonts w:ascii="宋体" w:hAnsi="宋体" w:eastAsia="宋体" w:cs="宋体"/>
          <w:spacing w:val="7"/>
          <w:sz w:val="23"/>
          <w:szCs w:val="23"/>
        </w:rPr>
        <w:t>④猪场对病猪应最大限度进行及时的综合医治，对可能的死亡应提前最好准备。若发生</w:t>
      </w:r>
      <w:r>
        <w:rPr>
          <w:rFonts w:ascii="宋体" w:hAnsi="宋体" w:eastAsia="宋体" w:cs="宋体"/>
          <w:sz w:val="23"/>
          <w:szCs w:val="23"/>
        </w:rPr>
        <w:t xml:space="preserve"> </w:t>
      </w:r>
      <w:r>
        <w:rPr>
          <w:rFonts w:ascii="宋体" w:hAnsi="宋体" w:eastAsia="宋体" w:cs="宋体"/>
          <w:spacing w:val="18"/>
          <w:sz w:val="23"/>
          <w:szCs w:val="23"/>
        </w:rPr>
        <w:t>病死</w:t>
      </w:r>
      <w:r>
        <w:rPr>
          <w:rFonts w:ascii="宋体" w:hAnsi="宋体" w:eastAsia="宋体" w:cs="宋体"/>
          <w:spacing w:val="9"/>
          <w:sz w:val="23"/>
          <w:szCs w:val="23"/>
        </w:rPr>
        <w:t>，病死猪尸体要严格按照《畜禽养殖污染防治管理办法》和《重大动物疫情应急条例》</w:t>
      </w:r>
      <w:r>
        <w:rPr>
          <w:rFonts w:ascii="宋体" w:hAnsi="宋体" w:eastAsia="宋体" w:cs="宋体"/>
          <w:sz w:val="23"/>
          <w:szCs w:val="23"/>
        </w:rPr>
        <w:t xml:space="preserve"> </w:t>
      </w:r>
      <w:r>
        <w:rPr>
          <w:rFonts w:ascii="宋体" w:hAnsi="宋体" w:eastAsia="宋体" w:cs="宋体"/>
          <w:spacing w:val="13"/>
          <w:sz w:val="23"/>
          <w:szCs w:val="23"/>
        </w:rPr>
        <w:t>进</w:t>
      </w:r>
      <w:r>
        <w:rPr>
          <w:rFonts w:ascii="宋体" w:hAnsi="宋体" w:eastAsia="宋体" w:cs="宋体"/>
          <w:spacing w:val="7"/>
          <w:sz w:val="23"/>
          <w:szCs w:val="23"/>
        </w:rPr>
        <w:t>行处置。出现病死猪时主要应对方法有：及时处置病死猪尸体，严禁随意丢弃，严禁出售</w:t>
      </w:r>
      <w:r>
        <w:rPr>
          <w:rFonts w:ascii="宋体" w:hAnsi="宋体" w:eastAsia="宋体" w:cs="宋体"/>
          <w:sz w:val="23"/>
          <w:szCs w:val="23"/>
        </w:rPr>
        <w:t xml:space="preserve"> </w:t>
      </w:r>
      <w:r>
        <w:rPr>
          <w:rFonts w:ascii="宋体" w:hAnsi="宋体" w:eastAsia="宋体" w:cs="宋体"/>
          <w:spacing w:val="18"/>
          <w:sz w:val="23"/>
          <w:szCs w:val="23"/>
        </w:rPr>
        <w:t>或</w:t>
      </w:r>
      <w:r>
        <w:rPr>
          <w:rFonts w:ascii="宋体" w:hAnsi="宋体" w:eastAsia="宋体" w:cs="宋体"/>
          <w:spacing w:val="9"/>
          <w:sz w:val="23"/>
          <w:szCs w:val="23"/>
        </w:rPr>
        <w:t>作为饲料再利用；及时通知无害化处理公司将病死猪拉走。</w:t>
      </w:r>
    </w:p>
    <w:p w14:paraId="50F50808">
      <w:pPr>
        <w:spacing w:line="225" w:lineRule="auto"/>
        <w:ind w:left="488"/>
        <w:rPr>
          <w:rFonts w:ascii="宋体" w:hAnsi="宋体" w:eastAsia="宋体" w:cs="宋体"/>
          <w:sz w:val="23"/>
          <w:szCs w:val="23"/>
        </w:rPr>
      </w:pPr>
      <w:r>
        <w:rPr>
          <w:rFonts w:ascii="宋体" w:hAnsi="宋体" w:eastAsia="宋体" w:cs="宋体"/>
          <w:spacing w:val="18"/>
          <w:sz w:val="23"/>
          <w:szCs w:val="23"/>
        </w:rPr>
        <w:t>⑤</w:t>
      </w:r>
      <w:r>
        <w:rPr>
          <w:rFonts w:ascii="宋体" w:hAnsi="宋体" w:eastAsia="宋体" w:cs="宋体"/>
          <w:spacing w:val="14"/>
          <w:sz w:val="23"/>
          <w:szCs w:val="23"/>
        </w:rPr>
        <w:t>出</w:t>
      </w:r>
      <w:r>
        <w:rPr>
          <w:rFonts w:ascii="宋体" w:hAnsi="宋体" w:eastAsia="宋体" w:cs="宋体"/>
          <w:spacing w:val="9"/>
          <w:sz w:val="23"/>
          <w:szCs w:val="23"/>
        </w:rPr>
        <w:t>现重大疫情时必须严格执行《重大动物疫情应急条例》中相关规定。</w:t>
      </w:r>
    </w:p>
    <w:p w14:paraId="63420C59">
      <w:pPr>
        <w:spacing w:before="185" w:line="228" w:lineRule="auto"/>
        <w:ind w:left="490"/>
        <w:rPr>
          <w:rFonts w:ascii="宋体" w:hAnsi="宋体" w:eastAsia="宋体" w:cs="宋体"/>
          <w:sz w:val="23"/>
          <w:szCs w:val="23"/>
        </w:rPr>
      </w:pPr>
      <w:r>
        <w:rPr>
          <w:rFonts w:ascii="Times New Roman" w:hAnsi="Times New Roman" w:eastAsia="Times New Roman" w:cs="Times New Roman"/>
          <w:spacing w:val="12"/>
          <w:sz w:val="23"/>
          <w:szCs w:val="23"/>
        </w:rPr>
        <w:t>3</w:t>
      </w:r>
      <w:r>
        <w:rPr>
          <w:rFonts w:ascii="宋体" w:hAnsi="宋体" w:eastAsia="宋体" w:cs="宋体"/>
          <w:spacing w:val="7"/>
          <w:sz w:val="23"/>
          <w:szCs w:val="23"/>
        </w:rPr>
        <w:t>) 疫卫生预防措施</w:t>
      </w:r>
    </w:p>
    <w:p w14:paraId="77E08C51">
      <w:pPr>
        <w:spacing w:before="184" w:line="227" w:lineRule="auto"/>
        <w:ind w:left="493"/>
        <w:rPr>
          <w:rFonts w:ascii="宋体" w:hAnsi="宋体" w:eastAsia="宋体" w:cs="宋体"/>
          <w:sz w:val="23"/>
          <w:szCs w:val="23"/>
        </w:rPr>
      </w:pPr>
      <w:r>
        <w:rPr>
          <w:rFonts w:ascii="宋体" w:hAnsi="宋体" w:eastAsia="宋体" w:cs="宋体"/>
          <w:spacing w:val="14"/>
          <w:sz w:val="23"/>
          <w:szCs w:val="23"/>
        </w:rPr>
        <w:t>建立</w:t>
      </w:r>
      <w:r>
        <w:rPr>
          <w:rFonts w:ascii="宋体" w:hAnsi="宋体" w:eastAsia="宋体" w:cs="宋体"/>
          <w:spacing w:val="7"/>
          <w:sz w:val="23"/>
          <w:szCs w:val="23"/>
        </w:rPr>
        <w:t>严格的卫生防疫制度是工厂化养殖场正常生产的保证，要认真贯彻</w:t>
      </w:r>
      <w:r>
        <w:rPr>
          <w:rFonts w:ascii="Times New Roman" w:hAnsi="Times New Roman" w:eastAsia="Times New Roman" w:cs="Times New Roman"/>
          <w:spacing w:val="7"/>
          <w:sz w:val="23"/>
          <w:szCs w:val="23"/>
        </w:rPr>
        <w:t>“</w:t>
      </w:r>
      <w:r>
        <w:rPr>
          <w:rFonts w:ascii="宋体" w:hAnsi="宋体" w:eastAsia="宋体" w:cs="宋体"/>
          <w:spacing w:val="7"/>
          <w:sz w:val="23"/>
          <w:szCs w:val="23"/>
        </w:rPr>
        <w:t>防重于治</w:t>
      </w:r>
      <w:r>
        <w:rPr>
          <w:rFonts w:ascii="Times New Roman" w:hAnsi="Times New Roman" w:eastAsia="Times New Roman" w:cs="Times New Roman"/>
          <w:spacing w:val="7"/>
          <w:sz w:val="23"/>
          <w:szCs w:val="23"/>
        </w:rPr>
        <w:t>”</w:t>
      </w:r>
      <w:r>
        <w:rPr>
          <w:rFonts w:ascii="宋体" w:hAnsi="宋体" w:eastAsia="宋体" w:cs="宋体"/>
          <w:spacing w:val="7"/>
          <w:sz w:val="23"/>
          <w:szCs w:val="23"/>
        </w:rPr>
        <w:t>的方</w:t>
      </w:r>
    </w:p>
    <w:p w14:paraId="7C740565">
      <w:pPr>
        <w:spacing w:before="183" w:line="468" w:lineRule="exact"/>
        <w:ind w:left="10"/>
        <w:rPr>
          <w:rFonts w:ascii="宋体" w:hAnsi="宋体" w:eastAsia="宋体" w:cs="宋体"/>
          <w:sz w:val="23"/>
          <w:szCs w:val="23"/>
        </w:rPr>
      </w:pPr>
      <w:r>
        <w:rPr>
          <w:rFonts w:ascii="宋体" w:hAnsi="宋体" w:eastAsia="宋体" w:cs="宋体"/>
          <w:spacing w:val="12"/>
          <w:position w:val="17"/>
          <w:sz w:val="23"/>
          <w:szCs w:val="23"/>
        </w:rPr>
        <w:t>针</w:t>
      </w:r>
      <w:r>
        <w:rPr>
          <w:rFonts w:ascii="宋体" w:hAnsi="宋体" w:eastAsia="宋体" w:cs="宋体"/>
          <w:spacing w:val="7"/>
          <w:position w:val="17"/>
          <w:sz w:val="23"/>
          <w:szCs w:val="23"/>
        </w:rPr>
        <w:t>，必须建立严格的卫生防疫制度、健全卫生防疫设施，以确保养殖场安全生产。采取的措</w:t>
      </w:r>
    </w:p>
    <w:p w14:paraId="09FFEB35">
      <w:pPr>
        <w:spacing w:line="228" w:lineRule="auto"/>
        <w:ind w:left="9"/>
        <w:rPr>
          <w:rFonts w:ascii="宋体" w:hAnsi="宋体" w:eastAsia="宋体" w:cs="宋体"/>
          <w:sz w:val="23"/>
          <w:szCs w:val="23"/>
        </w:rPr>
      </w:pPr>
      <w:r>
        <w:rPr>
          <w:rFonts w:ascii="宋体" w:hAnsi="宋体" w:eastAsia="宋体" w:cs="宋体"/>
          <w:spacing w:val="4"/>
          <w:sz w:val="23"/>
          <w:szCs w:val="23"/>
        </w:rPr>
        <w:t>施有</w:t>
      </w:r>
      <w:r>
        <w:rPr>
          <w:rFonts w:ascii="宋体" w:hAnsi="宋体" w:eastAsia="宋体" w:cs="宋体"/>
          <w:spacing w:val="3"/>
          <w:sz w:val="23"/>
          <w:szCs w:val="23"/>
        </w:rPr>
        <w:t>：</w:t>
      </w:r>
    </w:p>
    <w:p w14:paraId="39EEF8F1">
      <w:pPr>
        <w:sectPr>
          <w:headerReference r:id="rId298" w:type="default"/>
          <w:footerReference r:id="rId299" w:type="default"/>
          <w:pgSz w:w="11906" w:h="16839"/>
          <w:pgMar w:top="1113" w:right="1043" w:bottom="1157" w:left="1275" w:header="878" w:footer="994" w:gutter="0"/>
          <w:cols w:space="720" w:num="1"/>
        </w:sectPr>
      </w:pPr>
    </w:p>
    <w:p w14:paraId="1FD1013B">
      <w:pPr>
        <w:spacing w:before="199" w:line="374" w:lineRule="auto"/>
        <w:ind w:left="8" w:firstLine="485"/>
        <w:rPr>
          <w:rFonts w:ascii="宋体" w:hAnsi="宋体" w:eastAsia="宋体" w:cs="宋体"/>
          <w:sz w:val="23"/>
          <w:szCs w:val="23"/>
        </w:rPr>
      </w:pPr>
      <w:r>
        <w:rPr>
          <w:rFonts w:ascii="宋体" w:hAnsi="宋体" w:eastAsia="宋体" w:cs="宋体"/>
          <w:spacing w:val="12"/>
          <w:sz w:val="23"/>
          <w:szCs w:val="23"/>
        </w:rPr>
        <w:t>设</w:t>
      </w:r>
      <w:r>
        <w:rPr>
          <w:rFonts w:ascii="宋体" w:hAnsi="宋体" w:eastAsia="宋体" w:cs="宋体"/>
          <w:spacing w:val="8"/>
          <w:sz w:val="23"/>
          <w:szCs w:val="23"/>
        </w:rPr>
        <w:t>计中考虑养殖场布局合理，采取分离的布置方法，按牲畜的不同饲养阶段设置畜舍，</w:t>
      </w:r>
      <w:r>
        <w:rPr>
          <w:rFonts w:ascii="宋体" w:hAnsi="宋体" w:eastAsia="宋体" w:cs="宋体"/>
          <w:sz w:val="23"/>
          <w:szCs w:val="23"/>
        </w:rPr>
        <w:t xml:space="preserve"> </w:t>
      </w:r>
      <w:r>
        <w:rPr>
          <w:rFonts w:ascii="宋体" w:hAnsi="宋体" w:eastAsia="宋体" w:cs="宋体"/>
          <w:spacing w:val="16"/>
          <w:sz w:val="23"/>
          <w:szCs w:val="23"/>
        </w:rPr>
        <w:t>并</w:t>
      </w:r>
      <w:r>
        <w:rPr>
          <w:rFonts w:ascii="宋体" w:hAnsi="宋体" w:eastAsia="宋体" w:cs="宋体"/>
          <w:spacing w:val="14"/>
          <w:sz w:val="23"/>
          <w:szCs w:val="23"/>
        </w:rPr>
        <w:t>按</w:t>
      </w:r>
      <w:r>
        <w:rPr>
          <w:rFonts w:ascii="宋体" w:hAnsi="宋体" w:eastAsia="宋体" w:cs="宋体"/>
          <w:spacing w:val="8"/>
          <w:sz w:val="23"/>
          <w:szCs w:val="23"/>
        </w:rPr>
        <w:t>一定规模进行分区饲养。非生产人员不得随意进入生产区。生产区周围应有防护设施，</w:t>
      </w:r>
      <w:r>
        <w:rPr>
          <w:rFonts w:ascii="宋体" w:hAnsi="宋体" w:eastAsia="宋体" w:cs="宋体"/>
          <w:sz w:val="23"/>
          <w:szCs w:val="23"/>
        </w:rPr>
        <w:t xml:space="preserve"> </w:t>
      </w:r>
      <w:r>
        <w:rPr>
          <w:rFonts w:ascii="宋体" w:hAnsi="宋体" w:eastAsia="宋体" w:cs="宋体"/>
          <w:spacing w:val="10"/>
          <w:sz w:val="23"/>
          <w:szCs w:val="23"/>
        </w:rPr>
        <w:t>进</w:t>
      </w:r>
      <w:r>
        <w:rPr>
          <w:rFonts w:ascii="宋体" w:hAnsi="宋体" w:eastAsia="宋体" w:cs="宋体"/>
          <w:spacing w:val="8"/>
          <w:sz w:val="23"/>
          <w:szCs w:val="23"/>
        </w:rPr>
        <w:t>入生产区必须消毒。</w:t>
      </w:r>
    </w:p>
    <w:p w14:paraId="3028F972">
      <w:pPr>
        <w:spacing w:before="1" w:line="375" w:lineRule="auto"/>
        <w:ind w:left="13" w:firstLine="480"/>
        <w:rPr>
          <w:rFonts w:ascii="宋体" w:hAnsi="宋体" w:eastAsia="宋体" w:cs="宋体"/>
          <w:sz w:val="23"/>
          <w:szCs w:val="23"/>
        </w:rPr>
      </w:pPr>
      <w:r>
        <w:rPr>
          <w:rFonts w:ascii="宋体" w:hAnsi="宋体" w:eastAsia="宋体" w:cs="宋体"/>
          <w:spacing w:val="13"/>
          <w:sz w:val="23"/>
          <w:szCs w:val="23"/>
        </w:rPr>
        <w:t>建</w:t>
      </w:r>
      <w:r>
        <w:rPr>
          <w:rFonts w:ascii="宋体" w:hAnsi="宋体" w:eastAsia="宋体" w:cs="宋体"/>
          <w:spacing w:val="8"/>
          <w:sz w:val="23"/>
          <w:szCs w:val="23"/>
        </w:rPr>
        <w:t>立正常的卫生防疫制度，按计划对畜舍进行清扫、消毒按计划对牲畜实施免疫程序，</w:t>
      </w:r>
      <w:r>
        <w:rPr>
          <w:rFonts w:ascii="宋体" w:hAnsi="宋体" w:eastAsia="宋体" w:cs="宋体"/>
          <w:sz w:val="23"/>
          <w:szCs w:val="23"/>
        </w:rPr>
        <w:t xml:space="preserve"> </w:t>
      </w:r>
      <w:r>
        <w:rPr>
          <w:rFonts w:ascii="宋体" w:hAnsi="宋体" w:eastAsia="宋体" w:cs="宋体"/>
          <w:spacing w:val="7"/>
          <w:sz w:val="23"/>
          <w:szCs w:val="23"/>
        </w:rPr>
        <w:t>建立免疫档案</w:t>
      </w:r>
      <w:r>
        <w:rPr>
          <w:rFonts w:ascii="宋体" w:hAnsi="宋体" w:eastAsia="宋体" w:cs="宋体"/>
          <w:spacing w:val="5"/>
          <w:sz w:val="23"/>
          <w:szCs w:val="23"/>
        </w:rPr>
        <w:t>。</w:t>
      </w:r>
    </w:p>
    <w:p w14:paraId="2EF6490E">
      <w:pPr>
        <w:spacing w:before="1" w:line="374" w:lineRule="auto"/>
        <w:ind w:left="9" w:right="47" w:firstLine="480"/>
        <w:rPr>
          <w:rFonts w:ascii="宋体" w:hAnsi="宋体" w:eastAsia="宋体" w:cs="宋体"/>
          <w:sz w:val="23"/>
          <w:szCs w:val="23"/>
        </w:rPr>
      </w:pPr>
      <w:r>
        <w:rPr>
          <w:rFonts w:ascii="宋体" w:hAnsi="宋体" w:eastAsia="宋体" w:cs="宋体"/>
          <w:spacing w:val="7"/>
          <w:sz w:val="23"/>
          <w:szCs w:val="23"/>
        </w:rPr>
        <w:t>健全检验、检疫制度，强化检验、检疫手段，场部设技术科、实验室，配备兽医，加</w:t>
      </w:r>
      <w:r>
        <w:rPr>
          <w:rFonts w:ascii="宋体" w:hAnsi="宋体" w:eastAsia="宋体" w:cs="宋体"/>
          <w:spacing w:val="6"/>
          <w:sz w:val="23"/>
          <w:szCs w:val="23"/>
        </w:rPr>
        <w:t>强</w:t>
      </w:r>
      <w:r>
        <w:rPr>
          <w:rFonts w:ascii="宋体" w:hAnsi="宋体" w:eastAsia="宋体" w:cs="宋体"/>
          <w:sz w:val="23"/>
          <w:szCs w:val="23"/>
        </w:rPr>
        <w:t xml:space="preserve"> </w:t>
      </w:r>
      <w:r>
        <w:rPr>
          <w:rFonts w:ascii="宋体" w:hAnsi="宋体" w:eastAsia="宋体" w:cs="宋体"/>
          <w:spacing w:val="12"/>
          <w:sz w:val="23"/>
          <w:szCs w:val="23"/>
        </w:rPr>
        <w:t>对</w:t>
      </w:r>
      <w:r>
        <w:rPr>
          <w:rFonts w:ascii="宋体" w:hAnsi="宋体" w:eastAsia="宋体" w:cs="宋体"/>
          <w:spacing w:val="7"/>
          <w:sz w:val="23"/>
          <w:szCs w:val="23"/>
        </w:rPr>
        <w:t>疾病的预防和医治。出售市场的产品不允许有病，病死牲畜必须投入尸体处理坑，严格消</w:t>
      </w:r>
      <w:r>
        <w:rPr>
          <w:rFonts w:ascii="宋体" w:hAnsi="宋体" w:eastAsia="宋体" w:cs="宋体"/>
          <w:sz w:val="23"/>
          <w:szCs w:val="23"/>
        </w:rPr>
        <w:t xml:space="preserve"> </w:t>
      </w:r>
      <w:r>
        <w:rPr>
          <w:rFonts w:ascii="宋体" w:hAnsi="宋体" w:eastAsia="宋体" w:cs="宋体"/>
          <w:spacing w:val="15"/>
          <w:sz w:val="23"/>
          <w:szCs w:val="23"/>
        </w:rPr>
        <w:t>毒</w:t>
      </w:r>
      <w:r>
        <w:rPr>
          <w:rFonts w:ascii="宋体" w:hAnsi="宋体" w:eastAsia="宋体" w:cs="宋体"/>
          <w:spacing w:val="8"/>
          <w:sz w:val="23"/>
          <w:szCs w:val="23"/>
        </w:rPr>
        <w:t>现场。不得乱扔污染环境。</w:t>
      </w:r>
    </w:p>
    <w:p w14:paraId="395D723B">
      <w:pPr>
        <w:spacing w:before="1" w:line="374" w:lineRule="auto"/>
        <w:ind w:left="11" w:right="47" w:firstLine="478"/>
        <w:rPr>
          <w:rFonts w:ascii="宋体" w:hAnsi="宋体" w:eastAsia="宋体" w:cs="宋体"/>
          <w:sz w:val="23"/>
          <w:szCs w:val="23"/>
        </w:rPr>
      </w:pPr>
      <w:r>
        <w:rPr>
          <w:rFonts w:ascii="宋体" w:hAnsi="宋体" w:eastAsia="宋体" w:cs="宋体"/>
          <w:spacing w:val="7"/>
          <w:sz w:val="23"/>
          <w:szCs w:val="23"/>
        </w:rPr>
        <w:t>牲畜饲养采用全进全出制度，为各阶段畜舍的清洗、消毒、阻断疫病传播创造条件，</w:t>
      </w:r>
      <w:r>
        <w:rPr>
          <w:rFonts w:ascii="宋体" w:hAnsi="宋体" w:eastAsia="宋体" w:cs="宋体"/>
          <w:spacing w:val="6"/>
          <w:sz w:val="23"/>
          <w:szCs w:val="23"/>
        </w:rPr>
        <w:t>能</w:t>
      </w:r>
      <w:r>
        <w:rPr>
          <w:rFonts w:ascii="宋体" w:hAnsi="宋体" w:eastAsia="宋体" w:cs="宋体"/>
          <w:sz w:val="23"/>
          <w:szCs w:val="23"/>
        </w:rPr>
        <w:t xml:space="preserve"> </w:t>
      </w:r>
      <w:r>
        <w:rPr>
          <w:rFonts w:ascii="宋体" w:hAnsi="宋体" w:eastAsia="宋体" w:cs="宋体"/>
          <w:spacing w:val="15"/>
          <w:sz w:val="23"/>
          <w:szCs w:val="23"/>
        </w:rPr>
        <w:t>有</w:t>
      </w:r>
      <w:r>
        <w:rPr>
          <w:rFonts w:ascii="宋体" w:hAnsi="宋体" w:eastAsia="宋体" w:cs="宋体"/>
          <w:spacing w:val="8"/>
          <w:sz w:val="23"/>
          <w:szCs w:val="23"/>
        </w:rPr>
        <w:t>效控制和消灭场内已有病源。</w:t>
      </w:r>
    </w:p>
    <w:p w14:paraId="50F41A99">
      <w:pPr>
        <w:spacing w:line="228" w:lineRule="auto"/>
        <w:ind w:left="484"/>
        <w:rPr>
          <w:rFonts w:ascii="宋体" w:hAnsi="宋体" w:eastAsia="宋体" w:cs="宋体"/>
          <w:sz w:val="23"/>
          <w:szCs w:val="23"/>
        </w:rPr>
      </w:pPr>
      <w:r>
        <w:rPr>
          <w:rFonts w:ascii="Times New Roman" w:hAnsi="Times New Roman" w:eastAsia="Times New Roman" w:cs="Times New Roman"/>
          <w:spacing w:val="8"/>
          <w:sz w:val="23"/>
          <w:szCs w:val="23"/>
        </w:rPr>
        <w:t>4</w:t>
      </w:r>
      <w:r>
        <w:rPr>
          <w:rFonts w:ascii="宋体" w:hAnsi="宋体" w:eastAsia="宋体" w:cs="宋体"/>
          <w:spacing w:val="8"/>
          <w:sz w:val="23"/>
          <w:szCs w:val="23"/>
        </w:rPr>
        <w:t>) 疫情控制方</w:t>
      </w:r>
      <w:r>
        <w:rPr>
          <w:rFonts w:ascii="宋体" w:hAnsi="宋体" w:eastAsia="宋体" w:cs="宋体"/>
          <w:spacing w:val="7"/>
          <w:sz w:val="23"/>
          <w:szCs w:val="23"/>
        </w:rPr>
        <w:t>案</w:t>
      </w:r>
    </w:p>
    <w:p w14:paraId="3FAD3F44">
      <w:pPr>
        <w:spacing w:before="184" w:line="227" w:lineRule="auto"/>
        <w:ind w:left="490"/>
        <w:rPr>
          <w:rFonts w:ascii="宋体" w:hAnsi="宋体" w:eastAsia="宋体" w:cs="宋体"/>
          <w:sz w:val="23"/>
          <w:szCs w:val="23"/>
        </w:rPr>
      </w:pPr>
      <w:r>
        <w:rPr>
          <w:rFonts w:ascii="宋体" w:hAnsi="宋体" w:eastAsia="宋体" w:cs="宋体"/>
          <w:spacing w:val="17"/>
          <w:sz w:val="23"/>
          <w:szCs w:val="23"/>
        </w:rPr>
        <w:t>根</w:t>
      </w:r>
      <w:r>
        <w:rPr>
          <w:rFonts w:ascii="宋体" w:hAnsi="宋体" w:eastAsia="宋体" w:cs="宋体"/>
          <w:spacing w:val="9"/>
          <w:sz w:val="23"/>
          <w:szCs w:val="23"/>
        </w:rPr>
        <w:t>据发生疫情的类别，应分别采取相应的控制方案，具体如下。</w:t>
      </w:r>
    </w:p>
    <w:p w14:paraId="7460EBD1">
      <w:pPr>
        <w:spacing w:before="181" w:line="375" w:lineRule="auto"/>
        <w:ind w:left="9" w:firstLine="484"/>
        <w:rPr>
          <w:rFonts w:ascii="宋体" w:hAnsi="宋体" w:eastAsia="宋体" w:cs="宋体"/>
          <w:sz w:val="23"/>
          <w:szCs w:val="23"/>
        </w:rPr>
      </w:pPr>
      <w:r>
        <w:rPr>
          <w:rFonts w:ascii="宋体" w:hAnsi="宋体" w:eastAsia="宋体" w:cs="宋体"/>
          <w:spacing w:val="12"/>
          <w:sz w:val="23"/>
          <w:szCs w:val="23"/>
        </w:rPr>
        <w:t>发</w:t>
      </w:r>
      <w:r>
        <w:rPr>
          <w:rFonts w:ascii="宋体" w:hAnsi="宋体" w:eastAsia="宋体" w:cs="宋体"/>
          <w:spacing w:val="8"/>
          <w:sz w:val="23"/>
          <w:szCs w:val="23"/>
        </w:rPr>
        <w:t>生一类疫病时，应当及时报告当地政府畜牧兽医行政管理部门，由其派专人到现场，</w:t>
      </w:r>
      <w:r>
        <w:rPr>
          <w:rFonts w:ascii="宋体" w:hAnsi="宋体" w:eastAsia="宋体" w:cs="宋体"/>
          <w:sz w:val="23"/>
          <w:szCs w:val="23"/>
        </w:rPr>
        <w:t xml:space="preserve"> </w:t>
      </w:r>
      <w:r>
        <w:rPr>
          <w:rFonts w:ascii="宋体" w:hAnsi="宋体" w:eastAsia="宋体" w:cs="宋体"/>
          <w:spacing w:val="12"/>
          <w:sz w:val="23"/>
          <w:szCs w:val="23"/>
        </w:rPr>
        <w:t>划</w:t>
      </w:r>
      <w:r>
        <w:rPr>
          <w:rFonts w:ascii="宋体" w:hAnsi="宋体" w:eastAsia="宋体" w:cs="宋体"/>
          <w:spacing w:val="7"/>
          <w:sz w:val="23"/>
          <w:szCs w:val="23"/>
        </w:rPr>
        <w:t>定疫点、疫区、受威胁区，采集病料，调查疫源，并及时报请湖源乡人民政府决定对场区</w:t>
      </w:r>
      <w:r>
        <w:rPr>
          <w:rFonts w:ascii="宋体" w:hAnsi="宋体" w:eastAsia="宋体" w:cs="宋体"/>
          <w:sz w:val="23"/>
          <w:szCs w:val="23"/>
        </w:rPr>
        <w:t xml:space="preserve"> </w:t>
      </w:r>
      <w:r>
        <w:rPr>
          <w:rFonts w:ascii="宋体" w:hAnsi="宋体" w:eastAsia="宋体" w:cs="宋体"/>
          <w:spacing w:val="12"/>
          <w:sz w:val="23"/>
          <w:szCs w:val="23"/>
        </w:rPr>
        <w:t>实</w:t>
      </w:r>
      <w:r>
        <w:rPr>
          <w:rFonts w:ascii="宋体" w:hAnsi="宋体" w:eastAsia="宋体" w:cs="宋体"/>
          <w:spacing w:val="7"/>
          <w:sz w:val="23"/>
          <w:szCs w:val="23"/>
        </w:rPr>
        <w:t>行封锁，将疫情等情况逐级上报国务院畜牧兽医行政管理部门。镇政府应当立即组织有关</w:t>
      </w:r>
      <w:r>
        <w:rPr>
          <w:rFonts w:ascii="宋体" w:hAnsi="宋体" w:eastAsia="宋体" w:cs="宋体"/>
          <w:sz w:val="23"/>
          <w:szCs w:val="23"/>
        </w:rPr>
        <w:t xml:space="preserve"> </w:t>
      </w:r>
      <w:r>
        <w:rPr>
          <w:rFonts w:ascii="宋体" w:hAnsi="宋体" w:eastAsia="宋体" w:cs="宋体"/>
          <w:spacing w:val="14"/>
          <w:sz w:val="23"/>
          <w:szCs w:val="23"/>
        </w:rPr>
        <w:t>部</w:t>
      </w:r>
      <w:r>
        <w:rPr>
          <w:rFonts w:ascii="宋体" w:hAnsi="宋体" w:eastAsia="宋体" w:cs="宋体"/>
          <w:spacing w:val="10"/>
          <w:sz w:val="23"/>
          <w:szCs w:val="23"/>
        </w:rPr>
        <w:t>门</w:t>
      </w:r>
      <w:r>
        <w:rPr>
          <w:rFonts w:ascii="宋体" w:hAnsi="宋体" w:eastAsia="宋体" w:cs="宋体"/>
          <w:spacing w:val="7"/>
          <w:sz w:val="23"/>
          <w:szCs w:val="23"/>
        </w:rPr>
        <w:t>和单位采取隔离、扑杀、销毁、消毒、紧急免疫接种等强制性控制、扑灭措施，迅速扑</w:t>
      </w:r>
      <w:r>
        <w:rPr>
          <w:rFonts w:ascii="宋体" w:hAnsi="宋体" w:eastAsia="宋体" w:cs="宋体"/>
          <w:sz w:val="23"/>
          <w:szCs w:val="23"/>
        </w:rPr>
        <w:t xml:space="preserve"> </w:t>
      </w:r>
      <w:r>
        <w:rPr>
          <w:rFonts w:ascii="宋体" w:hAnsi="宋体" w:eastAsia="宋体" w:cs="宋体"/>
          <w:spacing w:val="12"/>
          <w:sz w:val="23"/>
          <w:szCs w:val="23"/>
        </w:rPr>
        <w:t>灭</w:t>
      </w:r>
      <w:r>
        <w:rPr>
          <w:rFonts w:ascii="宋体" w:hAnsi="宋体" w:eastAsia="宋体" w:cs="宋体"/>
          <w:spacing w:val="7"/>
          <w:sz w:val="23"/>
          <w:szCs w:val="23"/>
        </w:rPr>
        <w:t>疫病，并通报毗邻地区。在封锁期间，禁止染疫和疑似染疫的猪只流出场区，禁止非疫区</w:t>
      </w:r>
      <w:r>
        <w:rPr>
          <w:rFonts w:ascii="宋体" w:hAnsi="宋体" w:eastAsia="宋体" w:cs="宋体"/>
          <w:sz w:val="23"/>
          <w:szCs w:val="23"/>
        </w:rPr>
        <w:t xml:space="preserve"> </w:t>
      </w:r>
      <w:r>
        <w:rPr>
          <w:rFonts w:ascii="宋体" w:hAnsi="宋体" w:eastAsia="宋体" w:cs="宋体"/>
          <w:spacing w:val="12"/>
          <w:sz w:val="23"/>
          <w:szCs w:val="23"/>
        </w:rPr>
        <w:t>的</w:t>
      </w:r>
      <w:r>
        <w:rPr>
          <w:rFonts w:ascii="宋体" w:hAnsi="宋体" w:eastAsia="宋体" w:cs="宋体"/>
          <w:spacing w:val="7"/>
          <w:sz w:val="23"/>
          <w:szCs w:val="23"/>
        </w:rPr>
        <w:t>牲畜进入场区，并根据扑灭动物疫病的需要对出入封锁区的人员、运输工具及有关物品采</w:t>
      </w:r>
      <w:r>
        <w:rPr>
          <w:rFonts w:ascii="宋体" w:hAnsi="宋体" w:eastAsia="宋体" w:cs="宋体"/>
          <w:sz w:val="23"/>
          <w:szCs w:val="23"/>
        </w:rPr>
        <w:t xml:space="preserve"> </w:t>
      </w:r>
      <w:r>
        <w:rPr>
          <w:rFonts w:ascii="宋体" w:hAnsi="宋体" w:eastAsia="宋体" w:cs="宋体"/>
          <w:spacing w:val="18"/>
          <w:sz w:val="23"/>
          <w:szCs w:val="23"/>
        </w:rPr>
        <w:t>取</w:t>
      </w:r>
      <w:r>
        <w:rPr>
          <w:rFonts w:ascii="宋体" w:hAnsi="宋体" w:eastAsia="宋体" w:cs="宋体"/>
          <w:spacing w:val="11"/>
          <w:sz w:val="23"/>
          <w:szCs w:val="23"/>
        </w:rPr>
        <w:t>消</w:t>
      </w:r>
      <w:r>
        <w:rPr>
          <w:rFonts w:ascii="宋体" w:hAnsi="宋体" w:eastAsia="宋体" w:cs="宋体"/>
          <w:spacing w:val="9"/>
          <w:sz w:val="23"/>
          <w:szCs w:val="23"/>
        </w:rPr>
        <w:t>毒和其他限制性措施。封锁的解除，必须由当地人民政府宣布。</w:t>
      </w:r>
    </w:p>
    <w:p w14:paraId="4543A224">
      <w:pPr>
        <w:spacing w:line="375" w:lineRule="auto"/>
        <w:ind w:left="11" w:right="47" w:firstLine="482"/>
        <w:rPr>
          <w:rFonts w:ascii="宋体" w:hAnsi="宋体" w:eastAsia="宋体" w:cs="宋体"/>
          <w:sz w:val="23"/>
          <w:szCs w:val="23"/>
        </w:rPr>
      </w:pPr>
      <w:r>
        <w:rPr>
          <w:rFonts w:ascii="宋体" w:hAnsi="宋体" w:eastAsia="宋体" w:cs="宋体"/>
          <w:spacing w:val="18"/>
          <w:sz w:val="23"/>
          <w:szCs w:val="23"/>
        </w:rPr>
        <w:t>发生</w:t>
      </w:r>
      <w:r>
        <w:rPr>
          <w:rFonts w:ascii="宋体" w:hAnsi="宋体" w:eastAsia="宋体" w:cs="宋体"/>
          <w:spacing w:val="14"/>
          <w:sz w:val="23"/>
          <w:szCs w:val="23"/>
        </w:rPr>
        <w:t>二</w:t>
      </w:r>
      <w:r>
        <w:rPr>
          <w:rFonts w:ascii="宋体" w:hAnsi="宋体" w:eastAsia="宋体" w:cs="宋体"/>
          <w:spacing w:val="9"/>
          <w:sz w:val="23"/>
          <w:szCs w:val="23"/>
        </w:rPr>
        <w:t>类动物疫病时，当地政府等管理部门应当根据需要组织有关部门和单位采取隔</w:t>
      </w:r>
      <w:r>
        <w:rPr>
          <w:rFonts w:ascii="宋体" w:hAnsi="宋体" w:eastAsia="宋体" w:cs="宋体"/>
          <w:sz w:val="23"/>
          <w:szCs w:val="23"/>
        </w:rPr>
        <w:t xml:space="preserve"> </w:t>
      </w:r>
      <w:r>
        <w:rPr>
          <w:rFonts w:ascii="宋体" w:hAnsi="宋体" w:eastAsia="宋体" w:cs="宋体"/>
          <w:spacing w:val="11"/>
          <w:sz w:val="23"/>
          <w:szCs w:val="23"/>
        </w:rPr>
        <w:t>离</w:t>
      </w:r>
      <w:r>
        <w:rPr>
          <w:rFonts w:ascii="宋体" w:hAnsi="宋体" w:eastAsia="宋体" w:cs="宋体"/>
          <w:spacing w:val="7"/>
          <w:sz w:val="23"/>
          <w:szCs w:val="23"/>
        </w:rPr>
        <w:t>、扑杀、销毁、消毒、紧急免疫接种、限制易感染的动物、动物产品及有关物品出入等控</w:t>
      </w:r>
      <w:r>
        <w:rPr>
          <w:rFonts w:ascii="宋体" w:hAnsi="宋体" w:eastAsia="宋体" w:cs="宋体"/>
          <w:sz w:val="23"/>
          <w:szCs w:val="23"/>
        </w:rPr>
        <w:t xml:space="preserve"> </w:t>
      </w:r>
      <w:r>
        <w:rPr>
          <w:rFonts w:ascii="宋体" w:hAnsi="宋体" w:eastAsia="宋体" w:cs="宋体"/>
          <w:spacing w:val="7"/>
          <w:sz w:val="23"/>
          <w:szCs w:val="23"/>
        </w:rPr>
        <w:t>制、扑灭措施。</w:t>
      </w:r>
    </w:p>
    <w:p w14:paraId="4EB02A9A">
      <w:pPr>
        <w:spacing w:before="2" w:line="374" w:lineRule="auto"/>
        <w:ind w:left="13" w:right="47" w:firstLine="480"/>
        <w:rPr>
          <w:rFonts w:ascii="宋体" w:hAnsi="宋体" w:eastAsia="宋体" w:cs="宋体"/>
          <w:sz w:val="23"/>
          <w:szCs w:val="23"/>
        </w:rPr>
      </w:pPr>
      <w:r>
        <w:rPr>
          <w:rFonts w:ascii="宋体" w:hAnsi="宋体" w:eastAsia="宋体" w:cs="宋体"/>
          <w:spacing w:val="7"/>
          <w:sz w:val="23"/>
          <w:szCs w:val="23"/>
        </w:rPr>
        <w:t>发生三类动物疫病时，应由当地政府按照动物疫病预防计划和国务院畜牧兽医行政管</w:t>
      </w:r>
      <w:r>
        <w:rPr>
          <w:rFonts w:ascii="宋体" w:hAnsi="宋体" w:eastAsia="宋体" w:cs="宋体"/>
          <w:spacing w:val="2"/>
          <w:sz w:val="23"/>
          <w:szCs w:val="23"/>
        </w:rPr>
        <w:t>理</w:t>
      </w:r>
      <w:r>
        <w:rPr>
          <w:rFonts w:ascii="宋体" w:hAnsi="宋体" w:eastAsia="宋体" w:cs="宋体"/>
          <w:sz w:val="23"/>
          <w:szCs w:val="23"/>
        </w:rPr>
        <w:t xml:space="preserve"> </w:t>
      </w:r>
      <w:r>
        <w:rPr>
          <w:rFonts w:ascii="宋体" w:hAnsi="宋体" w:eastAsia="宋体" w:cs="宋体"/>
          <w:spacing w:val="16"/>
          <w:sz w:val="23"/>
          <w:szCs w:val="23"/>
        </w:rPr>
        <w:t>部</w:t>
      </w:r>
      <w:r>
        <w:rPr>
          <w:rFonts w:ascii="宋体" w:hAnsi="宋体" w:eastAsia="宋体" w:cs="宋体"/>
          <w:spacing w:val="9"/>
          <w:sz w:val="23"/>
          <w:szCs w:val="23"/>
        </w:rPr>
        <w:t>门</w:t>
      </w:r>
      <w:r>
        <w:rPr>
          <w:rFonts w:ascii="宋体" w:hAnsi="宋体" w:eastAsia="宋体" w:cs="宋体"/>
          <w:spacing w:val="8"/>
          <w:sz w:val="23"/>
          <w:szCs w:val="23"/>
        </w:rPr>
        <w:t>的有关规定，组织防治和净化。</w:t>
      </w:r>
    </w:p>
    <w:p w14:paraId="575F2285">
      <w:pPr>
        <w:spacing w:before="1" w:line="374" w:lineRule="auto"/>
        <w:ind w:left="15" w:right="47" w:firstLine="475"/>
        <w:rPr>
          <w:rFonts w:ascii="宋体" w:hAnsi="宋体" w:eastAsia="宋体" w:cs="宋体"/>
          <w:sz w:val="23"/>
          <w:szCs w:val="23"/>
        </w:rPr>
      </w:pPr>
      <w:r>
        <w:rPr>
          <w:rFonts w:ascii="宋体" w:hAnsi="宋体" w:eastAsia="宋体" w:cs="宋体"/>
          <w:spacing w:val="7"/>
          <w:sz w:val="23"/>
          <w:szCs w:val="23"/>
        </w:rPr>
        <w:t>疫情的控制要贯彻以防为主的方针，切实做好防疫工作，确保养殖场的健康发展。一</w:t>
      </w:r>
      <w:r>
        <w:rPr>
          <w:rFonts w:ascii="宋体" w:hAnsi="宋体" w:eastAsia="宋体" w:cs="宋体"/>
          <w:spacing w:val="5"/>
          <w:sz w:val="23"/>
          <w:szCs w:val="23"/>
        </w:rPr>
        <w:t>些</w:t>
      </w:r>
      <w:r>
        <w:rPr>
          <w:rFonts w:ascii="宋体" w:hAnsi="宋体" w:eastAsia="宋体" w:cs="宋体"/>
          <w:sz w:val="23"/>
          <w:szCs w:val="23"/>
        </w:rPr>
        <w:t xml:space="preserve"> </w:t>
      </w:r>
      <w:r>
        <w:rPr>
          <w:rFonts w:ascii="宋体" w:hAnsi="宋体" w:eastAsia="宋体" w:cs="宋体"/>
          <w:spacing w:val="12"/>
          <w:sz w:val="23"/>
          <w:szCs w:val="23"/>
        </w:rPr>
        <w:t>常</w:t>
      </w:r>
      <w:r>
        <w:rPr>
          <w:rFonts w:ascii="宋体" w:hAnsi="宋体" w:eastAsia="宋体" w:cs="宋体"/>
          <w:spacing w:val="8"/>
          <w:sz w:val="23"/>
          <w:szCs w:val="23"/>
        </w:rPr>
        <w:t>见疫病防治可以采用如下办法。</w:t>
      </w:r>
    </w:p>
    <w:p w14:paraId="77BC3A94">
      <w:pPr>
        <w:spacing w:before="4" w:line="374" w:lineRule="auto"/>
        <w:ind w:left="10" w:right="47" w:firstLine="480"/>
        <w:rPr>
          <w:rFonts w:ascii="宋体" w:hAnsi="宋体" w:eastAsia="宋体" w:cs="宋体"/>
          <w:sz w:val="23"/>
          <w:szCs w:val="23"/>
        </w:rPr>
      </w:pPr>
      <w:r>
        <w:rPr>
          <w:rFonts w:ascii="宋体" w:hAnsi="宋体" w:eastAsia="宋体" w:cs="宋体"/>
          <w:spacing w:val="7"/>
          <w:sz w:val="23"/>
          <w:szCs w:val="23"/>
        </w:rPr>
        <w:t>猪瘟：猪瘟又叫烂肠瘟，是由猪瘟病毒引起的一种急性、热性、败血性传染病，不同</w:t>
      </w:r>
      <w:r>
        <w:rPr>
          <w:rFonts w:ascii="宋体" w:hAnsi="宋体" w:eastAsia="宋体" w:cs="宋体"/>
          <w:spacing w:val="6"/>
          <w:sz w:val="23"/>
          <w:szCs w:val="23"/>
        </w:rPr>
        <w:t>品</w:t>
      </w:r>
      <w:r>
        <w:rPr>
          <w:rFonts w:ascii="宋体" w:hAnsi="宋体" w:eastAsia="宋体" w:cs="宋体"/>
          <w:sz w:val="23"/>
          <w:szCs w:val="23"/>
        </w:rPr>
        <w:t xml:space="preserve"> </w:t>
      </w:r>
      <w:r>
        <w:rPr>
          <w:rFonts w:ascii="宋体" w:hAnsi="宋体" w:eastAsia="宋体" w:cs="宋体"/>
          <w:spacing w:val="12"/>
          <w:sz w:val="23"/>
          <w:szCs w:val="23"/>
        </w:rPr>
        <w:t>种</w:t>
      </w:r>
      <w:r>
        <w:rPr>
          <w:rFonts w:ascii="宋体" w:hAnsi="宋体" w:eastAsia="宋体" w:cs="宋体"/>
          <w:spacing w:val="7"/>
          <w:sz w:val="23"/>
          <w:szCs w:val="23"/>
        </w:rPr>
        <w:t>、性别、年龄的猪均可感染该病。在该病的常发季节，要对种母猪于配种前或配种后免疫</w:t>
      </w:r>
      <w:r>
        <w:rPr>
          <w:rFonts w:ascii="宋体" w:hAnsi="宋体" w:eastAsia="宋体" w:cs="宋体"/>
          <w:sz w:val="23"/>
          <w:szCs w:val="23"/>
        </w:rPr>
        <w:t xml:space="preserve"> </w:t>
      </w:r>
      <w:r>
        <w:rPr>
          <w:rFonts w:ascii="宋体" w:hAnsi="宋体" w:eastAsia="宋体" w:cs="宋体"/>
          <w:spacing w:val="22"/>
          <w:sz w:val="23"/>
          <w:szCs w:val="23"/>
        </w:rPr>
        <w:t>一次</w:t>
      </w:r>
      <w:r>
        <w:rPr>
          <w:rFonts w:ascii="宋体" w:hAnsi="宋体" w:eastAsia="宋体" w:cs="宋体"/>
          <w:spacing w:val="20"/>
          <w:sz w:val="23"/>
          <w:szCs w:val="23"/>
        </w:rPr>
        <w:t>；</w:t>
      </w:r>
      <w:r>
        <w:rPr>
          <w:rFonts w:ascii="宋体" w:hAnsi="宋体" w:eastAsia="宋体" w:cs="宋体"/>
          <w:spacing w:val="11"/>
          <w:sz w:val="23"/>
          <w:szCs w:val="23"/>
        </w:rPr>
        <w:t>仔猪于</w:t>
      </w:r>
      <w:r>
        <w:rPr>
          <w:rFonts w:ascii="Times New Roman" w:hAnsi="Times New Roman" w:eastAsia="Times New Roman" w:cs="Times New Roman"/>
          <w:spacing w:val="11"/>
          <w:sz w:val="23"/>
          <w:szCs w:val="23"/>
        </w:rPr>
        <w:t>20</w:t>
      </w:r>
      <w:r>
        <w:rPr>
          <w:rFonts w:ascii="宋体" w:hAnsi="宋体" w:eastAsia="宋体" w:cs="宋体"/>
          <w:spacing w:val="11"/>
          <w:sz w:val="23"/>
          <w:szCs w:val="23"/>
        </w:rPr>
        <w:t>~</w:t>
      </w:r>
      <w:r>
        <w:rPr>
          <w:rFonts w:ascii="Times New Roman" w:hAnsi="Times New Roman" w:eastAsia="Times New Roman" w:cs="Times New Roman"/>
          <w:spacing w:val="11"/>
          <w:sz w:val="23"/>
          <w:szCs w:val="23"/>
        </w:rPr>
        <w:t>25</w:t>
      </w:r>
      <w:r>
        <w:rPr>
          <w:rFonts w:ascii="宋体" w:hAnsi="宋体" w:eastAsia="宋体" w:cs="宋体"/>
          <w:spacing w:val="11"/>
          <w:sz w:val="23"/>
          <w:szCs w:val="23"/>
        </w:rPr>
        <w:t>日龄首免，</w:t>
      </w:r>
      <w:r>
        <w:rPr>
          <w:rFonts w:ascii="Times New Roman" w:hAnsi="Times New Roman" w:eastAsia="Times New Roman" w:cs="Times New Roman"/>
          <w:spacing w:val="11"/>
          <w:sz w:val="23"/>
          <w:szCs w:val="23"/>
        </w:rPr>
        <w:t>50</w:t>
      </w:r>
      <w:r>
        <w:rPr>
          <w:rFonts w:ascii="宋体" w:hAnsi="宋体" w:eastAsia="宋体" w:cs="宋体"/>
          <w:spacing w:val="11"/>
          <w:sz w:val="23"/>
          <w:szCs w:val="23"/>
        </w:rPr>
        <w:t>~</w:t>
      </w:r>
      <w:r>
        <w:rPr>
          <w:rFonts w:ascii="Times New Roman" w:hAnsi="Times New Roman" w:eastAsia="Times New Roman" w:cs="Times New Roman"/>
          <w:spacing w:val="11"/>
          <w:sz w:val="23"/>
          <w:szCs w:val="23"/>
        </w:rPr>
        <w:t>60</w:t>
      </w:r>
      <w:r>
        <w:rPr>
          <w:rFonts w:ascii="宋体" w:hAnsi="宋体" w:eastAsia="宋体" w:cs="宋体"/>
          <w:spacing w:val="11"/>
          <w:sz w:val="23"/>
          <w:szCs w:val="23"/>
        </w:rPr>
        <w:t>日龄二免。在非疫季节，应对种母猪于配种前或后免</w:t>
      </w:r>
      <w:r>
        <w:rPr>
          <w:rFonts w:ascii="宋体" w:hAnsi="宋体" w:eastAsia="宋体" w:cs="宋体"/>
          <w:sz w:val="23"/>
          <w:szCs w:val="23"/>
        </w:rPr>
        <w:t xml:space="preserve"> </w:t>
      </w:r>
      <w:r>
        <w:rPr>
          <w:rFonts w:ascii="宋体" w:hAnsi="宋体" w:eastAsia="宋体" w:cs="宋体"/>
          <w:spacing w:val="12"/>
          <w:sz w:val="23"/>
          <w:szCs w:val="23"/>
        </w:rPr>
        <w:t>疫</w:t>
      </w:r>
      <w:r>
        <w:rPr>
          <w:rFonts w:ascii="宋体" w:hAnsi="宋体" w:eastAsia="宋体" w:cs="宋体"/>
          <w:spacing w:val="7"/>
          <w:sz w:val="23"/>
          <w:szCs w:val="23"/>
        </w:rPr>
        <w:t>一次；种公猪于春秋两季各免疫一次；仔猪断奶后免疫一次。另外，可以对仔猪进行超前</w:t>
      </w:r>
    </w:p>
    <w:p w14:paraId="0B20400C">
      <w:pPr>
        <w:spacing w:line="227" w:lineRule="auto"/>
        <w:ind w:left="15"/>
        <w:rPr>
          <w:rFonts w:ascii="宋体" w:hAnsi="宋体" w:eastAsia="宋体" w:cs="宋体"/>
          <w:sz w:val="23"/>
          <w:szCs w:val="23"/>
        </w:rPr>
      </w:pPr>
      <w:r>
        <w:rPr>
          <w:rFonts w:ascii="宋体" w:hAnsi="宋体" w:eastAsia="宋体" w:cs="宋体"/>
          <w:spacing w:val="8"/>
          <w:sz w:val="23"/>
          <w:szCs w:val="23"/>
        </w:rPr>
        <w:t>免疫 (出生后肌肉注射</w:t>
      </w:r>
      <w:r>
        <w:rPr>
          <w:rFonts w:ascii="Times New Roman" w:hAnsi="Times New Roman" w:eastAsia="Times New Roman" w:cs="Times New Roman"/>
          <w:spacing w:val="8"/>
          <w:sz w:val="23"/>
          <w:szCs w:val="23"/>
        </w:rPr>
        <w:t>1</w:t>
      </w:r>
      <w:r>
        <w:rPr>
          <w:rFonts w:ascii="宋体" w:hAnsi="宋体" w:eastAsia="宋体" w:cs="宋体"/>
          <w:spacing w:val="8"/>
          <w:sz w:val="23"/>
          <w:szCs w:val="23"/>
        </w:rPr>
        <w:t>头份，</w:t>
      </w:r>
      <w:r>
        <w:rPr>
          <w:rFonts w:ascii="Times New Roman" w:hAnsi="Times New Roman" w:eastAsia="Times New Roman" w:cs="Times New Roman"/>
          <w:spacing w:val="8"/>
          <w:sz w:val="23"/>
          <w:szCs w:val="23"/>
        </w:rPr>
        <w:t>1</w:t>
      </w:r>
      <w:r>
        <w:rPr>
          <w:rFonts w:ascii="宋体" w:hAnsi="宋体" w:eastAsia="宋体" w:cs="宋体"/>
          <w:spacing w:val="8"/>
          <w:sz w:val="23"/>
          <w:szCs w:val="23"/>
        </w:rPr>
        <w:t xml:space="preserve">小时后再喂初乳) </w:t>
      </w:r>
      <w:r>
        <w:rPr>
          <w:rFonts w:ascii="宋体" w:hAnsi="宋体" w:eastAsia="宋体" w:cs="宋体"/>
          <w:spacing w:val="6"/>
          <w:sz w:val="23"/>
          <w:szCs w:val="23"/>
        </w:rPr>
        <w:t>。</w:t>
      </w:r>
    </w:p>
    <w:p w14:paraId="6F45BEA2">
      <w:pPr>
        <w:sectPr>
          <w:headerReference r:id="rId300" w:type="default"/>
          <w:footerReference r:id="rId301" w:type="default"/>
          <w:pgSz w:w="11906" w:h="16839"/>
          <w:pgMar w:top="1113" w:right="1087" w:bottom="1157" w:left="1275" w:header="878" w:footer="994" w:gutter="0"/>
          <w:cols w:space="720" w:num="1"/>
        </w:sectPr>
      </w:pPr>
    </w:p>
    <w:p w14:paraId="61AF487B">
      <w:pPr>
        <w:spacing w:before="198" w:line="370" w:lineRule="auto"/>
        <w:ind w:left="119" w:right="163" w:firstLine="479"/>
        <w:rPr>
          <w:rFonts w:ascii="宋体" w:hAnsi="宋体" w:eastAsia="宋体" w:cs="宋体"/>
          <w:sz w:val="23"/>
          <w:szCs w:val="23"/>
        </w:rPr>
      </w:pPr>
      <w:r>
        <w:rPr>
          <w:rFonts w:ascii="宋体" w:hAnsi="宋体" w:eastAsia="宋体" w:cs="宋体"/>
          <w:spacing w:val="16"/>
          <w:sz w:val="23"/>
          <w:szCs w:val="23"/>
        </w:rPr>
        <w:t>猪传</w:t>
      </w:r>
      <w:r>
        <w:rPr>
          <w:rFonts w:ascii="宋体" w:hAnsi="宋体" w:eastAsia="宋体" w:cs="宋体"/>
          <w:spacing w:val="13"/>
          <w:sz w:val="23"/>
          <w:szCs w:val="23"/>
        </w:rPr>
        <w:t>染</w:t>
      </w:r>
      <w:r>
        <w:rPr>
          <w:rFonts w:ascii="宋体" w:hAnsi="宋体" w:eastAsia="宋体" w:cs="宋体"/>
          <w:spacing w:val="8"/>
          <w:sz w:val="23"/>
          <w:szCs w:val="23"/>
        </w:rPr>
        <w:t>性胃炎：该病是由猪传染性胃肠炎病毒引起的以</w:t>
      </w:r>
      <w:r>
        <w:rPr>
          <w:rFonts w:ascii="Times New Roman" w:hAnsi="Times New Roman" w:eastAsia="Times New Roman" w:cs="Times New Roman"/>
          <w:spacing w:val="8"/>
          <w:sz w:val="23"/>
          <w:szCs w:val="23"/>
        </w:rPr>
        <w:t>2</w:t>
      </w:r>
      <w:r>
        <w:rPr>
          <w:rFonts w:ascii="宋体" w:hAnsi="宋体" w:eastAsia="宋体" w:cs="宋体"/>
          <w:spacing w:val="8"/>
          <w:sz w:val="23"/>
          <w:szCs w:val="23"/>
        </w:rPr>
        <w:t>周龄内仔猪呕吐、水样腹泻、</w:t>
      </w:r>
      <w:r>
        <w:rPr>
          <w:rFonts w:ascii="宋体" w:hAnsi="宋体" w:eastAsia="宋体" w:cs="宋体"/>
          <w:sz w:val="23"/>
          <w:szCs w:val="23"/>
        </w:rPr>
        <w:t xml:space="preserve"> </w:t>
      </w:r>
      <w:r>
        <w:rPr>
          <w:rFonts w:ascii="宋体" w:hAnsi="宋体" w:eastAsia="宋体" w:cs="宋体"/>
          <w:spacing w:val="10"/>
          <w:sz w:val="23"/>
          <w:szCs w:val="23"/>
        </w:rPr>
        <w:t>脱水为特征的接触性传染病，</w:t>
      </w:r>
      <w:r>
        <w:rPr>
          <w:rFonts w:ascii="Times New Roman" w:hAnsi="Times New Roman" w:eastAsia="Times New Roman" w:cs="Times New Roman"/>
          <w:spacing w:val="10"/>
          <w:sz w:val="23"/>
          <w:szCs w:val="23"/>
        </w:rPr>
        <w:t>10</w:t>
      </w:r>
      <w:r>
        <w:rPr>
          <w:rFonts w:ascii="宋体" w:hAnsi="宋体" w:eastAsia="宋体" w:cs="宋体"/>
          <w:spacing w:val="10"/>
          <w:sz w:val="23"/>
          <w:szCs w:val="23"/>
        </w:rPr>
        <w:t>日龄以下病猪死亡率达</w:t>
      </w:r>
      <w:r>
        <w:rPr>
          <w:rFonts w:ascii="Times New Roman" w:hAnsi="Times New Roman" w:eastAsia="Times New Roman" w:cs="Times New Roman"/>
          <w:spacing w:val="10"/>
          <w:sz w:val="23"/>
          <w:szCs w:val="23"/>
        </w:rPr>
        <w:t>50</w:t>
      </w:r>
      <w:r>
        <w:rPr>
          <w:rFonts w:ascii="宋体" w:hAnsi="宋体" w:eastAsia="宋体" w:cs="宋体"/>
          <w:spacing w:val="10"/>
          <w:sz w:val="23"/>
          <w:szCs w:val="23"/>
        </w:rPr>
        <w:t>~</w:t>
      </w:r>
      <w:r>
        <w:rPr>
          <w:rFonts w:ascii="Times New Roman" w:hAnsi="Times New Roman" w:eastAsia="Times New Roman" w:cs="Times New Roman"/>
          <w:spacing w:val="10"/>
          <w:sz w:val="23"/>
          <w:szCs w:val="23"/>
        </w:rPr>
        <w:t xml:space="preserve">100% </w:t>
      </w:r>
      <w:r>
        <w:rPr>
          <w:rFonts w:ascii="宋体" w:hAnsi="宋体" w:eastAsia="宋体" w:cs="宋体"/>
          <w:spacing w:val="10"/>
          <w:sz w:val="23"/>
          <w:szCs w:val="23"/>
        </w:rPr>
        <w:t>。可对怀孕母猪注射传</w:t>
      </w:r>
      <w:r>
        <w:rPr>
          <w:rFonts w:ascii="宋体" w:hAnsi="宋体" w:eastAsia="宋体" w:cs="宋体"/>
          <w:spacing w:val="9"/>
          <w:sz w:val="23"/>
          <w:szCs w:val="23"/>
        </w:rPr>
        <w:t>染</w:t>
      </w:r>
      <w:r>
        <w:rPr>
          <w:rFonts w:ascii="宋体" w:hAnsi="宋体" w:eastAsia="宋体" w:cs="宋体"/>
          <w:sz w:val="23"/>
          <w:szCs w:val="23"/>
        </w:rPr>
        <w:t xml:space="preserve"> </w:t>
      </w:r>
      <w:r>
        <w:rPr>
          <w:rFonts w:ascii="宋体" w:hAnsi="宋体" w:eastAsia="宋体" w:cs="宋体"/>
          <w:spacing w:val="10"/>
          <w:sz w:val="23"/>
          <w:szCs w:val="23"/>
        </w:rPr>
        <w:t>性</w:t>
      </w:r>
      <w:r>
        <w:rPr>
          <w:rFonts w:ascii="宋体" w:hAnsi="宋体" w:eastAsia="宋体" w:cs="宋体"/>
          <w:spacing w:val="9"/>
          <w:sz w:val="23"/>
          <w:szCs w:val="23"/>
        </w:rPr>
        <w:t>胃肠炎弱病毒，使仔猪通过母乳获得被动免疫。</w:t>
      </w:r>
    </w:p>
    <w:p w14:paraId="1C7C8BCD">
      <w:pPr>
        <w:spacing w:before="16" w:line="375" w:lineRule="auto"/>
        <w:ind w:left="118" w:right="108" w:firstLine="480"/>
        <w:rPr>
          <w:rFonts w:ascii="宋体" w:hAnsi="宋体" w:eastAsia="宋体" w:cs="宋体"/>
          <w:sz w:val="23"/>
          <w:szCs w:val="23"/>
        </w:rPr>
      </w:pPr>
      <w:r>
        <w:rPr>
          <w:rFonts w:ascii="宋体" w:hAnsi="宋体" w:eastAsia="宋体" w:cs="宋体"/>
          <w:spacing w:val="7"/>
          <w:sz w:val="23"/>
          <w:szCs w:val="23"/>
        </w:rPr>
        <w:t>猪流行性感冒：该病是由猪流行性感冒病毒引起的一种急性、高度接触性传染病，发</w:t>
      </w:r>
      <w:r>
        <w:rPr>
          <w:rFonts w:ascii="宋体" w:hAnsi="宋体" w:eastAsia="宋体" w:cs="宋体"/>
          <w:spacing w:val="6"/>
          <w:sz w:val="23"/>
          <w:szCs w:val="23"/>
        </w:rPr>
        <w:t>病</w:t>
      </w:r>
      <w:r>
        <w:rPr>
          <w:rFonts w:ascii="宋体" w:hAnsi="宋体" w:eastAsia="宋体" w:cs="宋体"/>
          <w:sz w:val="23"/>
          <w:szCs w:val="23"/>
        </w:rPr>
        <w:t xml:space="preserve"> </w:t>
      </w:r>
      <w:r>
        <w:rPr>
          <w:rFonts w:ascii="宋体" w:hAnsi="宋体" w:eastAsia="宋体" w:cs="宋体"/>
          <w:spacing w:val="12"/>
          <w:sz w:val="23"/>
          <w:szCs w:val="23"/>
        </w:rPr>
        <w:t>猪</w:t>
      </w:r>
      <w:r>
        <w:rPr>
          <w:rFonts w:ascii="宋体" w:hAnsi="宋体" w:eastAsia="宋体" w:cs="宋体"/>
          <w:spacing w:val="7"/>
          <w:sz w:val="23"/>
          <w:szCs w:val="23"/>
        </w:rPr>
        <w:t>不分品种、性别和年龄，多发生于春季，往往突然发病，迅速传播整个猪群。本病目前尚</w:t>
      </w:r>
      <w:r>
        <w:rPr>
          <w:rFonts w:ascii="宋体" w:hAnsi="宋体" w:eastAsia="宋体" w:cs="宋体"/>
          <w:sz w:val="23"/>
          <w:szCs w:val="23"/>
        </w:rPr>
        <w:t xml:space="preserve"> </w:t>
      </w:r>
      <w:r>
        <w:rPr>
          <w:rFonts w:ascii="宋体" w:hAnsi="宋体" w:eastAsia="宋体" w:cs="宋体"/>
          <w:spacing w:val="18"/>
          <w:sz w:val="23"/>
          <w:szCs w:val="23"/>
        </w:rPr>
        <w:t>无</w:t>
      </w:r>
      <w:r>
        <w:rPr>
          <w:rFonts w:ascii="宋体" w:hAnsi="宋体" w:eastAsia="宋体" w:cs="宋体"/>
          <w:spacing w:val="11"/>
          <w:sz w:val="23"/>
          <w:szCs w:val="23"/>
        </w:rPr>
        <w:t>有</w:t>
      </w:r>
      <w:r>
        <w:rPr>
          <w:rFonts w:ascii="宋体" w:hAnsi="宋体" w:eastAsia="宋体" w:cs="宋体"/>
          <w:spacing w:val="9"/>
          <w:sz w:val="23"/>
          <w:szCs w:val="23"/>
        </w:rPr>
        <w:t>效的疫苗。预防本病应加强猪舍的消毒工作，保持猪舍清洁干燥。</w:t>
      </w:r>
    </w:p>
    <w:p w14:paraId="710BE746">
      <w:pPr>
        <w:spacing w:before="1" w:line="374" w:lineRule="auto"/>
        <w:ind w:left="118" w:right="123" w:firstLine="479"/>
        <w:rPr>
          <w:rFonts w:ascii="宋体" w:hAnsi="宋体" w:eastAsia="宋体" w:cs="宋体"/>
          <w:sz w:val="23"/>
          <w:szCs w:val="23"/>
        </w:rPr>
      </w:pPr>
      <w:r>
        <w:rPr>
          <w:rFonts w:ascii="宋体" w:hAnsi="宋体" w:eastAsia="宋体" w:cs="宋体"/>
          <w:spacing w:val="24"/>
          <w:sz w:val="23"/>
          <w:szCs w:val="23"/>
        </w:rPr>
        <w:t>仔</w:t>
      </w:r>
      <w:r>
        <w:rPr>
          <w:rFonts w:ascii="宋体" w:hAnsi="宋体" w:eastAsia="宋体" w:cs="宋体"/>
          <w:spacing w:val="12"/>
          <w:sz w:val="23"/>
          <w:szCs w:val="23"/>
        </w:rPr>
        <w:t>猪副伤寒：该病是由沙门氏菌引起的一种传染病，多发生于</w:t>
      </w:r>
      <w:r>
        <w:rPr>
          <w:rFonts w:ascii="Times New Roman" w:hAnsi="Times New Roman" w:eastAsia="Times New Roman" w:cs="Times New Roman"/>
          <w:spacing w:val="12"/>
          <w:sz w:val="23"/>
          <w:szCs w:val="23"/>
        </w:rPr>
        <w:t>2</w:t>
      </w:r>
      <w:r>
        <w:rPr>
          <w:rFonts w:ascii="宋体" w:hAnsi="宋体" w:eastAsia="宋体" w:cs="宋体"/>
          <w:spacing w:val="12"/>
          <w:sz w:val="23"/>
          <w:szCs w:val="23"/>
        </w:rPr>
        <w:t>~</w:t>
      </w:r>
      <w:r>
        <w:rPr>
          <w:rFonts w:ascii="Times New Roman" w:hAnsi="Times New Roman" w:eastAsia="Times New Roman" w:cs="Times New Roman"/>
          <w:spacing w:val="12"/>
          <w:sz w:val="23"/>
          <w:szCs w:val="23"/>
        </w:rPr>
        <w:t>4</w:t>
      </w:r>
      <w:r>
        <w:rPr>
          <w:rFonts w:ascii="宋体" w:hAnsi="宋体" w:eastAsia="宋体" w:cs="宋体"/>
          <w:spacing w:val="12"/>
          <w:sz w:val="23"/>
          <w:szCs w:val="23"/>
        </w:rPr>
        <w:t>月龄的仔猪，</w:t>
      </w:r>
      <w:r>
        <w:rPr>
          <w:rFonts w:ascii="Times New Roman" w:hAnsi="Times New Roman" w:eastAsia="Times New Roman" w:cs="Times New Roman"/>
          <w:spacing w:val="12"/>
          <w:sz w:val="23"/>
          <w:szCs w:val="23"/>
        </w:rPr>
        <w:t>1</w:t>
      </w:r>
      <w:r>
        <w:rPr>
          <w:rFonts w:ascii="宋体" w:hAnsi="宋体" w:eastAsia="宋体" w:cs="宋体"/>
          <w:spacing w:val="12"/>
          <w:sz w:val="23"/>
          <w:szCs w:val="23"/>
        </w:rPr>
        <w:t>个月</w:t>
      </w:r>
      <w:r>
        <w:rPr>
          <w:rFonts w:ascii="宋体" w:hAnsi="宋体" w:eastAsia="宋体" w:cs="宋体"/>
          <w:sz w:val="23"/>
          <w:szCs w:val="23"/>
        </w:rPr>
        <w:t xml:space="preserve"> </w:t>
      </w:r>
      <w:r>
        <w:rPr>
          <w:rFonts w:ascii="宋体" w:hAnsi="宋体" w:eastAsia="宋体" w:cs="宋体"/>
          <w:spacing w:val="12"/>
          <w:sz w:val="23"/>
          <w:szCs w:val="23"/>
        </w:rPr>
        <w:t>以下</w:t>
      </w:r>
      <w:r>
        <w:rPr>
          <w:rFonts w:ascii="宋体" w:hAnsi="宋体" w:eastAsia="宋体" w:cs="宋体"/>
          <w:spacing w:val="6"/>
          <w:sz w:val="23"/>
          <w:szCs w:val="23"/>
        </w:rPr>
        <w:t>和</w:t>
      </w:r>
      <w:r>
        <w:rPr>
          <w:rFonts w:ascii="Times New Roman" w:hAnsi="Times New Roman" w:eastAsia="Times New Roman" w:cs="Times New Roman"/>
          <w:spacing w:val="6"/>
          <w:sz w:val="23"/>
          <w:szCs w:val="23"/>
        </w:rPr>
        <w:t>6</w:t>
      </w:r>
      <w:r>
        <w:rPr>
          <w:rFonts w:ascii="宋体" w:hAnsi="宋体" w:eastAsia="宋体" w:cs="宋体"/>
          <w:spacing w:val="6"/>
          <w:sz w:val="23"/>
          <w:szCs w:val="23"/>
        </w:rPr>
        <w:t>个月以上的猪很少发生。在非疫区仔猪断奶后接种副伤寒弱毒冻干苗，疫区要对</w:t>
      </w:r>
      <w:r>
        <w:rPr>
          <w:rFonts w:ascii="Times New Roman" w:hAnsi="Times New Roman" w:eastAsia="Times New Roman" w:cs="Times New Roman"/>
          <w:spacing w:val="6"/>
          <w:sz w:val="23"/>
          <w:szCs w:val="23"/>
        </w:rPr>
        <w:t>20</w:t>
      </w:r>
      <w:r>
        <w:rPr>
          <w:rFonts w:ascii="宋体" w:hAnsi="宋体" w:eastAsia="宋体" w:cs="宋体"/>
          <w:spacing w:val="6"/>
          <w:sz w:val="23"/>
          <w:szCs w:val="23"/>
        </w:rPr>
        <w:t>~</w:t>
      </w:r>
      <w:r>
        <w:rPr>
          <w:rFonts w:ascii="宋体" w:hAnsi="宋体" w:eastAsia="宋体" w:cs="宋体"/>
          <w:sz w:val="23"/>
          <w:szCs w:val="23"/>
        </w:rPr>
        <w:t xml:space="preserve"> </w:t>
      </w:r>
      <w:r>
        <w:rPr>
          <w:rFonts w:ascii="Times New Roman" w:hAnsi="Times New Roman" w:eastAsia="Times New Roman" w:cs="Times New Roman"/>
          <w:spacing w:val="24"/>
          <w:sz w:val="23"/>
          <w:szCs w:val="23"/>
        </w:rPr>
        <w:t>3</w:t>
      </w:r>
      <w:r>
        <w:rPr>
          <w:rFonts w:ascii="Times New Roman" w:hAnsi="Times New Roman" w:eastAsia="Times New Roman" w:cs="Times New Roman"/>
          <w:spacing w:val="17"/>
          <w:sz w:val="23"/>
          <w:szCs w:val="23"/>
        </w:rPr>
        <w:t>0</w:t>
      </w:r>
      <w:r>
        <w:rPr>
          <w:rFonts w:ascii="宋体" w:hAnsi="宋体" w:eastAsia="宋体" w:cs="宋体"/>
          <w:spacing w:val="12"/>
          <w:sz w:val="23"/>
          <w:szCs w:val="23"/>
        </w:rPr>
        <w:t>日龄的仔猪用副伤寒甲醛苗首免，间隔</w:t>
      </w:r>
      <w:r>
        <w:rPr>
          <w:rFonts w:ascii="Times New Roman" w:hAnsi="Times New Roman" w:eastAsia="Times New Roman" w:cs="Times New Roman"/>
          <w:spacing w:val="12"/>
          <w:sz w:val="23"/>
          <w:szCs w:val="23"/>
        </w:rPr>
        <w:t>5</w:t>
      </w:r>
      <w:r>
        <w:rPr>
          <w:rFonts w:ascii="宋体" w:hAnsi="宋体" w:eastAsia="宋体" w:cs="宋体"/>
          <w:spacing w:val="12"/>
          <w:sz w:val="23"/>
          <w:szCs w:val="23"/>
        </w:rPr>
        <w:t>~</w:t>
      </w:r>
      <w:r>
        <w:rPr>
          <w:rFonts w:ascii="Times New Roman" w:hAnsi="Times New Roman" w:eastAsia="Times New Roman" w:cs="Times New Roman"/>
          <w:spacing w:val="12"/>
          <w:sz w:val="23"/>
          <w:szCs w:val="23"/>
        </w:rPr>
        <w:t>8</w:t>
      </w:r>
      <w:r>
        <w:rPr>
          <w:rFonts w:ascii="宋体" w:hAnsi="宋体" w:eastAsia="宋体" w:cs="宋体"/>
          <w:spacing w:val="12"/>
          <w:sz w:val="23"/>
          <w:szCs w:val="23"/>
        </w:rPr>
        <w:t>天再免疫一次。</w:t>
      </w:r>
    </w:p>
    <w:p w14:paraId="70B46449">
      <w:pPr>
        <w:spacing w:before="5" w:line="374" w:lineRule="auto"/>
        <w:ind w:left="118" w:right="108" w:firstLine="480"/>
        <w:rPr>
          <w:rFonts w:ascii="宋体" w:hAnsi="宋体" w:eastAsia="宋体" w:cs="宋体"/>
          <w:sz w:val="23"/>
          <w:szCs w:val="23"/>
        </w:rPr>
      </w:pPr>
      <w:r>
        <w:rPr>
          <w:rFonts w:ascii="宋体" w:hAnsi="宋体" w:eastAsia="宋体" w:cs="宋体"/>
          <w:spacing w:val="11"/>
          <w:sz w:val="23"/>
          <w:szCs w:val="23"/>
        </w:rPr>
        <w:t>仔</w:t>
      </w:r>
      <w:r>
        <w:rPr>
          <w:rFonts w:ascii="宋体" w:hAnsi="宋体" w:eastAsia="宋体" w:cs="宋体"/>
          <w:spacing w:val="9"/>
          <w:sz w:val="23"/>
          <w:szCs w:val="23"/>
        </w:rPr>
        <w:t>猪大肠杆菌病毒引起，包括仔猪黄痢油剂苗 (以</w:t>
      </w:r>
      <w:r>
        <w:rPr>
          <w:rFonts w:ascii="Times New Roman" w:hAnsi="Times New Roman" w:eastAsia="Times New Roman" w:cs="Times New Roman"/>
          <w:spacing w:val="9"/>
          <w:sz w:val="23"/>
          <w:szCs w:val="23"/>
        </w:rPr>
        <w:t>1</w:t>
      </w:r>
      <w:r>
        <w:rPr>
          <w:rFonts w:ascii="宋体" w:hAnsi="宋体" w:eastAsia="宋体" w:cs="宋体"/>
          <w:spacing w:val="9"/>
          <w:sz w:val="23"/>
          <w:szCs w:val="23"/>
        </w:rPr>
        <w:t>~</w:t>
      </w:r>
      <w:r>
        <w:rPr>
          <w:rFonts w:ascii="Times New Roman" w:hAnsi="Times New Roman" w:eastAsia="Times New Roman" w:cs="Times New Roman"/>
          <w:spacing w:val="9"/>
          <w:sz w:val="23"/>
          <w:szCs w:val="23"/>
        </w:rPr>
        <w:t>3</w:t>
      </w:r>
      <w:r>
        <w:rPr>
          <w:rFonts w:ascii="宋体" w:hAnsi="宋体" w:eastAsia="宋体" w:cs="宋体"/>
          <w:spacing w:val="9"/>
          <w:sz w:val="23"/>
          <w:szCs w:val="23"/>
        </w:rPr>
        <w:t>日龄仔猪多见) 、仔猪白痢 (以</w:t>
      </w:r>
      <w:r>
        <w:rPr>
          <w:rFonts w:ascii="宋体" w:hAnsi="宋体" w:eastAsia="宋体" w:cs="宋体"/>
          <w:sz w:val="23"/>
          <w:szCs w:val="23"/>
        </w:rPr>
        <w:t xml:space="preserve"> </w:t>
      </w:r>
      <w:r>
        <w:rPr>
          <w:rFonts w:ascii="Times New Roman" w:hAnsi="Times New Roman" w:eastAsia="Times New Roman" w:cs="Times New Roman"/>
          <w:spacing w:val="9"/>
          <w:sz w:val="23"/>
          <w:szCs w:val="23"/>
        </w:rPr>
        <w:t>10</w:t>
      </w:r>
      <w:r>
        <w:rPr>
          <w:rFonts w:ascii="宋体" w:hAnsi="宋体" w:eastAsia="宋体" w:cs="宋体"/>
          <w:spacing w:val="9"/>
          <w:sz w:val="23"/>
          <w:szCs w:val="23"/>
        </w:rPr>
        <w:t>~</w:t>
      </w:r>
      <w:r>
        <w:rPr>
          <w:rFonts w:ascii="Times New Roman" w:hAnsi="Times New Roman" w:eastAsia="Times New Roman" w:cs="Times New Roman"/>
          <w:spacing w:val="9"/>
          <w:sz w:val="23"/>
          <w:szCs w:val="23"/>
        </w:rPr>
        <w:t>30</w:t>
      </w:r>
      <w:r>
        <w:rPr>
          <w:rFonts w:ascii="宋体" w:hAnsi="宋体" w:eastAsia="宋体" w:cs="宋体"/>
          <w:spacing w:val="9"/>
          <w:sz w:val="23"/>
          <w:szCs w:val="23"/>
        </w:rPr>
        <w:t>日龄仔猪多发) 、仔猪水肿病 (多发生于断奶前后体质健壮的仔猪) 。仔猪黄痢的</w:t>
      </w:r>
      <w:r>
        <w:rPr>
          <w:rFonts w:ascii="宋体" w:hAnsi="宋体" w:eastAsia="宋体" w:cs="宋体"/>
          <w:spacing w:val="4"/>
          <w:sz w:val="23"/>
          <w:szCs w:val="23"/>
        </w:rPr>
        <w:t>免</w:t>
      </w:r>
      <w:r>
        <w:rPr>
          <w:rFonts w:ascii="宋体" w:hAnsi="宋体" w:eastAsia="宋体" w:cs="宋体"/>
          <w:sz w:val="23"/>
          <w:szCs w:val="23"/>
        </w:rPr>
        <w:t xml:space="preserve"> </w:t>
      </w:r>
      <w:r>
        <w:rPr>
          <w:rFonts w:ascii="宋体" w:hAnsi="宋体" w:eastAsia="宋体" w:cs="宋体"/>
          <w:spacing w:val="18"/>
          <w:sz w:val="23"/>
          <w:szCs w:val="23"/>
        </w:rPr>
        <w:t>疫</w:t>
      </w:r>
      <w:r>
        <w:rPr>
          <w:rFonts w:ascii="宋体" w:hAnsi="宋体" w:eastAsia="宋体" w:cs="宋体"/>
          <w:spacing w:val="16"/>
          <w:sz w:val="23"/>
          <w:szCs w:val="23"/>
        </w:rPr>
        <w:t>是</w:t>
      </w:r>
      <w:r>
        <w:rPr>
          <w:rFonts w:ascii="宋体" w:hAnsi="宋体" w:eastAsia="宋体" w:cs="宋体"/>
          <w:spacing w:val="9"/>
          <w:sz w:val="23"/>
          <w:szCs w:val="23"/>
        </w:rPr>
        <w:t>对怀孕母猪于产前</w:t>
      </w:r>
      <w:r>
        <w:rPr>
          <w:rFonts w:ascii="Times New Roman" w:hAnsi="Times New Roman" w:eastAsia="Times New Roman" w:cs="Times New Roman"/>
          <w:spacing w:val="9"/>
          <w:sz w:val="23"/>
          <w:szCs w:val="23"/>
        </w:rPr>
        <w:t>40</w:t>
      </w:r>
      <w:r>
        <w:rPr>
          <w:rFonts w:ascii="宋体" w:hAnsi="宋体" w:eastAsia="宋体" w:cs="宋体"/>
          <w:spacing w:val="9"/>
          <w:sz w:val="23"/>
          <w:szCs w:val="23"/>
        </w:rPr>
        <w:t>天肌肉注射</w:t>
      </w:r>
      <w:r>
        <w:rPr>
          <w:rFonts w:ascii="Times New Roman" w:hAnsi="Times New Roman" w:eastAsia="Times New Roman" w:cs="Times New Roman"/>
          <w:spacing w:val="9"/>
          <w:sz w:val="23"/>
          <w:szCs w:val="23"/>
        </w:rPr>
        <w:t>2</w:t>
      </w:r>
      <w:r>
        <w:rPr>
          <w:rFonts w:ascii="宋体" w:hAnsi="宋体" w:eastAsia="宋体" w:cs="宋体"/>
          <w:spacing w:val="9"/>
          <w:sz w:val="23"/>
          <w:szCs w:val="23"/>
        </w:rPr>
        <w:t>毫升仔猪黄痢油剂苗；仔猪白痢的免疫方法是让怀孕</w:t>
      </w:r>
      <w:r>
        <w:rPr>
          <w:rFonts w:ascii="宋体" w:hAnsi="宋体" w:eastAsia="宋体" w:cs="宋体"/>
          <w:sz w:val="23"/>
          <w:szCs w:val="23"/>
        </w:rPr>
        <w:t xml:space="preserve"> </w:t>
      </w:r>
      <w:r>
        <w:rPr>
          <w:rFonts w:ascii="宋体" w:hAnsi="宋体" w:eastAsia="宋体" w:cs="宋体"/>
          <w:spacing w:val="12"/>
          <w:sz w:val="23"/>
          <w:szCs w:val="23"/>
        </w:rPr>
        <w:t>母猪于产前</w:t>
      </w:r>
      <w:r>
        <w:rPr>
          <w:rFonts w:ascii="Times New Roman" w:hAnsi="Times New Roman" w:eastAsia="Times New Roman" w:cs="Times New Roman"/>
          <w:spacing w:val="9"/>
          <w:sz w:val="23"/>
          <w:szCs w:val="23"/>
        </w:rPr>
        <w:t>4</w:t>
      </w:r>
      <w:r>
        <w:rPr>
          <w:rFonts w:ascii="Times New Roman" w:hAnsi="Times New Roman" w:eastAsia="Times New Roman" w:cs="Times New Roman"/>
          <w:spacing w:val="6"/>
          <w:sz w:val="23"/>
          <w:szCs w:val="23"/>
        </w:rPr>
        <w:t>0</w:t>
      </w:r>
      <w:r>
        <w:rPr>
          <w:rFonts w:ascii="宋体" w:hAnsi="宋体" w:eastAsia="宋体" w:cs="宋体"/>
          <w:spacing w:val="6"/>
          <w:sz w:val="23"/>
          <w:szCs w:val="23"/>
        </w:rPr>
        <w:t>天口服遗传工程活菌苗，产前</w:t>
      </w:r>
      <w:r>
        <w:rPr>
          <w:rFonts w:ascii="Times New Roman" w:hAnsi="Times New Roman" w:eastAsia="Times New Roman" w:cs="Times New Roman"/>
          <w:spacing w:val="6"/>
          <w:sz w:val="23"/>
          <w:szCs w:val="23"/>
        </w:rPr>
        <w:t>15</w:t>
      </w:r>
      <w:r>
        <w:rPr>
          <w:rFonts w:ascii="宋体" w:hAnsi="宋体" w:eastAsia="宋体" w:cs="宋体"/>
          <w:spacing w:val="6"/>
          <w:sz w:val="23"/>
          <w:szCs w:val="23"/>
        </w:rPr>
        <w:t>天进行加强免疫；仔猪水肿病的免疫方法是对</w:t>
      </w:r>
      <w:r>
        <w:rPr>
          <w:rFonts w:ascii="宋体" w:hAnsi="宋体" w:eastAsia="宋体" w:cs="宋体"/>
          <w:sz w:val="23"/>
          <w:szCs w:val="23"/>
        </w:rPr>
        <w:t xml:space="preserve"> </w:t>
      </w:r>
      <w:r>
        <w:rPr>
          <w:rFonts w:ascii="宋体" w:hAnsi="宋体" w:eastAsia="宋体" w:cs="宋体"/>
          <w:spacing w:val="16"/>
          <w:sz w:val="23"/>
          <w:szCs w:val="23"/>
        </w:rPr>
        <w:t>妊</w:t>
      </w:r>
      <w:r>
        <w:rPr>
          <w:rFonts w:ascii="宋体" w:hAnsi="宋体" w:eastAsia="宋体" w:cs="宋体"/>
          <w:spacing w:val="9"/>
          <w:sz w:val="23"/>
          <w:szCs w:val="23"/>
        </w:rPr>
        <w:t>娠母猪注射采用本猪场病猪分离的致病菌株制备的灭活苗。</w:t>
      </w:r>
    </w:p>
    <w:p w14:paraId="53782819">
      <w:pPr>
        <w:spacing w:line="375" w:lineRule="auto"/>
        <w:ind w:left="116" w:right="108" w:firstLine="481"/>
        <w:rPr>
          <w:rFonts w:ascii="宋体" w:hAnsi="宋体" w:eastAsia="宋体" w:cs="宋体"/>
          <w:sz w:val="23"/>
          <w:szCs w:val="23"/>
        </w:rPr>
      </w:pPr>
      <w:r>
        <w:rPr>
          <w:rFonts w:ascii="宋体" w:hAnsi="宋体" w:eastAsia="宋体" w:cs="宋体"/>
          <w:spacing w:val="12"/>
          <w:sz w:val="23"/>
          <w:szCs w:val="23"/>
        </w:rPr>
        <w:t>猪喘气病</w:t>
      </w:r>
      <w:r>
        <w:rPr>
          <w:rFonts w:ascii="宋体" w:hAnsi="宋体" w:eastAsia="宋体" w:cs="宋体"/>
          <w:spacing w:val="7"/>
          <w:sz w:val="23"/>
          <w:szCs w:val="23"/>
        </w:rPr>
        <w:t>：</w:t>
      </w:r>
      <w:r>
        <w:rPr>
          <w:rFonts w:ascii="宋体" w:hAnsi="宋体" w:eastAsia="宋体" w:cs="宋体"/>
          <w:spacing w:val="6"/>
          <w:sz w:val="23"/>
          <w:szCs w:val="23"/>
        </w:rPr>
        <w:t>该病又称猪霉形体肺炎，是由肺炎霉形体 (支原体) 引起的一种慢性呼吸道</w:t>
      </w:r>
      <w:r>
        <w:rPr>
          <w:rFonts w:ascii="宋体" w:hAnsi="宋体" w:eastAsia="宋体" w:cs="宋体"/>
          <w:sz w:val="23"/>
          <w:szCs w:val="23"/>
        </w:rPr>
        <w:t xml:space="preserve"> </w:t>
      </w:r>
      <w:r>
        <w:rPr>
          <w:rFonts w:ascii="宋体" w:hAnsi="宋体" w:eastAsia="宋体" w:cs="宋体"/>
          <w:spacing w:val="13"/>
          <w:sz w:val="23"/>
          <w:szCs w:val="23"/>
        </w:rPr>
        <w:t>传</w:t>
      </w:r>
      <w:r>
        <w:rPr>
          <w:rFonts w:ascii="宋体" w:hAnsi="宋体" w:eastAsia="宋体" w:cs="宋体"/>
          <w:spacing w:val="7"/>
          <w:sz w:val="23"/>
          <w:szCs w:val="23"/>
        </w:rPr>
        <w:t>染病，各种年龄、性别、品种的猪都可发生，病猪表现为咳嗽、气喘，死亡率不高，主要</w:t>
      </w:r>
      <w:r>
        <w:rPr>
          <w:rFonts w:ascii="宋体" w:hAnsi="宋体" w:eastAsia="宋体" w:cs="宋体"/>
          <w:sz w:val="23"/>
          <w:szCs w:val="23"/>
        </w:rPr>
        <w:t xml:space="preserve"> </w:t>
      </w:r>
      <w:r>
        <w:rPr>
          <w:rFonts w:ascii="宋体" w:hAnsi="宋体" w:eastAsia="宋体" w:cs="宋体"/>
          <w:spacing w:val="16"/>
          <w:sz w:val="23"/>
          <w:szCs w:val="23"/>
        </w:rPr>
        <w:t>影</w:t>
      </w:r>
      <w:r>
        <w:rPr>
          <w:rFonts w:ascii="宋体" w:hAnsi="宋体" w:eastAsia="宋体" w:cs="宋体"/>
          <w:spacing w:val="9"/>
          <w:sz w:val="23"/>
          <w:szCs w:val="23"/>
        </w:rPr>
        <w:t>响猪的生长速度。可对</w:t>
      </w:r>
      <w:r>
        <w:rPr>
          <w:rFonts w:ascii="Times New Roman" w:hAnsi="Times New Roman" w:eastAsia="Times New Roman" w:cs="Times New Roman"/>
          <w:spacing w:val="9"/>
          <w:sz w:val="23"/>
          <w:szCs w:val="23"/>
        </w:rPr>
        <w:t>15</w:t>
      </w:r>
      <w:r>
        <w:rPr>
          <w:rFonts w:ascii="宋体" w:hAnsi="宋体" w:eastAsia="宋体" w:cs="宋体"/>
          <w:spacing w:val="9"/>
          <w:sz w:val="23"/>
          <w:szCs w:val="23"/>
        </w:rPr>
        <w:t>日龄以上的仔猪胸腔或肺内接种猪气喘病弱毒苗。</w:t>
      </w:r>
    </w:p>
    <w:p w14:paraId="43A7305B">
      <w:pPr>
        <w:spacing w:before="1" w:line="374" w:lineRule="auto"/>
        <w:ind w:left="119" w:right="108" w:firstLine="479"/>
        <w:rPr>
          <w:rFonts w:ascii="宋体" w:hAnsi="宋体" w:eastAsia="宋体" w:cs="宋体"/>
          <w:sz w:val="23"/>
          <w:szCs w:val="23"/>
        </w:rPr>
      </w:pPr>
      <w:r>
        <w:rPr>
          <w:rFonts w:ascii="宋体" w:hAnsi="宋体" w:eastAsia="宋体" w:cs="宋体"/>
          <w:spacing w:val="7"/>
          <w:sz w:val="23"/>
          <w:szCs w:val="23"/>
        </w:rPr>
        <w:t>猪肺疫：该病是由巴氏杆菌引起的一种急性、热性、败血性传染病，各种年龄的猪均</w:t>
      </w:r>
      <w:r>
        <w:rPr>
          <w:rFonts w:ascii="宋体" w:hAnsi="宋体" w:eastAsia="宋体" w:cs="宋体"/>
          <w:spacing w:val="6"/>
          <w:sz w:val="23"/>
          <w:szCs w:val="23"/>
        </w:rPr>
        <w:t>易</w:t>
      </w:r>
      <w:r>
        <w:rPr>
          <w:rFonts w:ascii="宋体" w:hAnsi="宋体" w:eastAsia="宋体" w:cs="宋体"/>
          <w:sz w:val="23"/>
          <w:szCs w:val="23"/>
        </w:rPr>
        <w:t xml:space="preserve"> </w:t>
      </w:r>
      <w:r>
        <w:rPr>
          <w:rFonts w:ascii="宋体" w:hAnsi="宋体" w:eastAsia="宋体" w:cs="宋体"/>
          <w:spacing w:val="18"/>
          <w:sz w:val="23"/>
          <w:szCs w:val="23"/>
        </w:rPr>
        <w:t>感</w:t>
      </w:r>
      <w:r>
        <w:rPr>
          <w:rFonts w:ascii="宋体" w:hAnsi="宋体" w:eastAsia="宋体" w:cs="宋体"/>
          <w:spacing w:val="12"/>
          <w:sz w:val="23"/>
          <w:szCs w:val="23"/>
        </w:rPr>
        <w:t>染</w:t>
      </w:r>
      <w:r>
        <w:rPr>
          <w:rFonts w:ascii="宋体" w:hAnsi="宋体" w:eastAsia="宋体" w:cs="宋体"/>
          <w:spacing w:val="9"/>
          <w:sz w:val="23"/>
          <w:szCs w:val="23"/>
        </w:rPr>
        <w:t>，但以仔猪和架子猪发病率较高。仔猪断奶时肌肉注射猪肺疫弱毒苗。</w:t>
      </w:r>
    </w:p>
    <w:p w14:paraId="7FF6F4C3">
      <w:pPr>
        <w:spacing w:line="228" w:lineRule="auto"/>
        <w:ind w:left="117"/>
        <w:outlineLvl w:val="2"/>
        <w:rPr>
          <w:rFonts w:ascii="宋体" w:hAnsi="宋体" w:eastAsia="宋体" w:cs="宋体"/>
          <w:sz w:val="23"/>
          <w:szCs w:val="23"/>
        </w:rPr>
      </w:pPr>
      <w:r>
        <w:rPr>
          <w:rFonts w:ascii="Times New Roman" w:hAnsi="Times New Roman" w:eastAsia="Times New Roman" w:cs="Times New Roman"/>
          <w:b/>
          <w:bCs/>
          <w:spacing w:val="8"/>
          <w:sz w:val="23"/>
          <w:szCs w:val="23"/>
        </w:rPr>
        <w:t>8</w:t>
      </w:r>
      <w:r>
        <w:rPr>
          <w:rFonts w:ascii="Times New Roman" w:hAnsi="Times New Roman" w:eastAsia="Times New Roman" w:cs="Times New Roman"/>
          <w:b/>
          <w:bCs/>
          <w:spacing w:val="5"/>
          <w:sz w:val="23"/>
          <w:szCs w:val="23"/>
        </w:rPr>
        <w:t>.4.2</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应急预案</w:t>
      </w:r>
    </w:p>
    <w:p w14:paraId="4018D7A6">
      <w:pPr>
        <w:spacing w:before="181" w:line="303" w:lineRule="exact"/>
        <w:ind w:left="604"/>
        <w:rPr>
          <w:rFonts w:ascii="宋体" w:hAnsi="宋体" w:eastAsia="宋体" w:cs="宋体"/>
          <w:sz w:val="23"/>
          <w:szCs w:val="23"/>
        </w:rPr>
      </w:pPr>
      <w:r>
        <w:rPr>
          <w:rFonts w:ascii="Times New Roman" w:hAnsi="Times New Roman" w:eastAsia="Times New Roman" w:cs="Times New Roman"/>
          <w:b/>
          <w:bCs/>
          <w:spacing w:val="8"/>
          <w:position w:val="1"/>
          <w:sz w:val="23"/>
          <w:szCs w:val="23"/>
        </w:rPr>
        <w:t>1</w:t>
      </w:r>
      <w:r>
        <w:rPr>
          <w:rFonts w:ascii="Times New Roman" w:hAnsi="Times New Roman" w:eastAsia="Times New Roman" w:cs="Times New Roman"/>
          <w:spacing w:val="5"/>
          <w:position w:val="1"/>
          <w:sz w:val="23"/>
          <w:szCs w:val="23"/>
        </w:rPr>
        <w:t xml:space="preserve"> </w:t>
      </w:r>
      <w:r>
        <w:rPr>
          <w:rFonts w:ascii="宋体" w:hAnsi="宋体" w:eastAsia="宋体" w:cs="宋体"/>
          <w:spacing w:val="5"/>
          <w:position w:val="1"/>
          <w:sz w:val="23"/>
          <w:szCs w:val="23"/>
          <w14:textOutline w14:w="4356" w14:cap="sq" w14:cmpd="sng" w14:algn="ctr">
            <w14:solidFill>
              <w14:srgbClr w14:val="000000"/>
            </w14:solidFill>
            <w14:prstDash w14:val="solid"/>
            <w14:bevel/>
          </w14:textOutline>
        </w:rPr>
        <w:t>、制定风险事故应急预案的目的</w:t>
      </w:r>
    </w:p>
    <w:p w14:paraId="1415CA0F">
      <w:pPr>
        <w:spacing w:before="164" w:line="375" w:lineRule="auto"/>
        <w:ind w:left="120" w:right="108" w:firstLine="478"/>
        <w:rPr>
          <w:rFonts w:ascii="宋体" w:hAnsi="宋体" w:eastAsia="宋体" w:cs="宋体"/>
          <w:sz w:val="23"/>
          <w:szCs w:val="23"/>
        </w:rPr>
      </w:pPr>
      <w:r>
        <w:rPr>
          <w:rFonts w:ascii="宋体" w:hAnsi="宋体" w:eastAsia="宋体" w:cs="宋体"/>
          <w:spacing w:val="7"/>
          <w:sz w:val="23"/>
          <w:szCs w:val="23"/>
        </w:rPr>
        <w:t>认真贯彻落实党中央、国务院领导的指示精神，高度重视污染事故的防范和处理，消</w:t>
      </w:r>
      <w:r>
        <w:rPr>
          <w:rFonts w:ascii="宋体" w:hAnsi="宋体" w:eastAsia="宋体" w:cs="宋体"/>
          <w:spacing w:val="6"/>
          <w:sz w:val="23"/>
          <w:szCs w:val="23"/>
        </w:rPr>
        <w:t>除</w:t>
      </w:r>
      <w:r>
        <w:rPr>
          <w:rFonts w:ascii="宋体" w:hAnsi="宋体" w:eastAsia="宋体" w:cs="宋体"/>
          <w:sz w:val="23"/>
          <w:szCs w:val="23"/>
        </w:rPr>
        <w:t xml:space="preserve"> </w:t>
      </w:r>
      <w:r>
        <w:rPr>
          <w:rFonts w:ascii="宋体" w:hAnsi="宋体" w:eastAsia="宋体" w:cs="宋体"/>
          <w:spacing w:val="17"/>
          <w:sz w:val="23"/>
          <w:szCs w:val="23"/>
        </w:rPr>
        <w:t>污</w:t>
      </w:r>
      <w:r>
        <w:rPr>
          <w:rFonts w:ascii="宋体" w:hAnsi="宋体" w:eastAsia="宋体" w:cs="宋体"/>
          <w:spacing w:val="9"/>
          <w:sz w:val="23"/>
          <w:szCs w:val="23"/>
        </w:rPr>
        <w:t>染事故隐患，加强环境监管，保障环境安全，维护群众环境权益。</w:t>
      </w:r>
    </w:p>
    <w:p w14:paraId="22F55141">
      <w:pPr>
        <w:spacing w:line="303" w:lineRule="exact"/>
        <w:ind w:left="594"/>
        <w:rPr>
          <w:rFonts w:ascii="宋体" w:hAnsi="宋体" w:eastAsia="宋体" w:cs="宋体"/>
          <w:sz w:val="23"/>
          <w:szCs w:val="23"/>
        </w:rPr>
      </w:pPr>
      <w:r>
        <w:rPr>
          <w:rFonts w:ascii="Times New Roman" w:hAnsi="Times New Roman" w:eastAsia="Times New Roman" w:cs="Times New Roman"/>
          <w:b/>
          <w:bCs/>
          <w:spacing w:val="2"/>
          <w:position w:val="1"/>
          <w:sz w:val="23"/>
          <w:szCs w:val="23"/>
        </w:rPr>
        <w:t>2</w:t>
      </w:r>
      <w:r>
        <w:rPr>
          <w:rFonts w:ascii="Times New Roman" w:hAnsi="Times New Roman" w:eastAsia="Times New Roman" w:cs="Times New Roman"/>
          <w:spacing w:val="2"/>
          <w:position w:val="1"/>
          <w:sz w:val="23"/>
          <w:szCs w:val="23"/>
        </w:rPr>
        <w:t xml:space="preserve"> </w:t>
      </w:r>
      <w:r>
        <w:rPr>
          <w:rFonts w:ascii="宋体" w:hAnsi="宋体" w:eastAsia="宋体" w:cs="宋体"/>
          <w:spacing w:val="2"/>
          <w:position w:val="1"/>
          <w:sz w:val="23"/>
          <w:szCs w:val="23"/>
          <w14:textOutline w14:w="4356" w14:cap="sq" w14:cmpd="sng" w14:algn="ctr">
            <w14:solidFill>
              <w14:srgbClr w14:val="000000"/>
            </w14:solidFill>
            <w14:prstDash w14:val="solid"/>
            <w14:bevel/>
          </w14:textOutline>
        </w:rPr>
        <w:t>、应急预案内</w:t>
      </w:r>
      <w:r>
        <w:rPr>
          <w:rFonts w:ascii="宋体" w:hAnsi="宋体" w:eastAsia="宋体" w:cs="宋体"/>
          <w:position w:val="1"/>
          <w:sz w:val="23"/>
          <w:szCs w:val="23"/>
          <w14:textOutline w14:w="4356" w14:cap="sq" w14:cmpd="sng" w14:algn="ctr">
            <w14:solidFill>
              <w14:srgbClr w14:val="000000"/>
            </w14:solidFill>
            <w14:prstDash w14:val="solid"/>
            <w14:bevel/>
          </w14:textOutline>
        </w:rPr>
        <w:t>容</w:t>
      </w:r>
    </w:p>
    <w:p w14:paraId="383B001B">
      <w:pPr>
        <w:spacing w:before="164" w:line="375" w:lineRule="auto"/>
        <w:ind w:left="118" w:right="28" w:firstLine="480"/>
        <w:rPr>
          <w:rFonts w:ascii="宋体" w:hAnsi="宋体" w:eastAsia="宋体" w:cs="宋体"/>
          <w:sz w:val="23"/>
          <w:szCs w:val="23"/>
        </w:rPr>
      </w:pPr>
      <w:r>
        <w:rPr>
          <w:rFonts w:ascii="宋体" w:hAnsi="宋体" w:eastAsia="宋体" w:cs="宋体"/>
          <w:spacing w:val="4"/>
          <w:sz w:val="23"/>
          <w:szCs w:val="23"/>
        </w:rPr>
        <w:t>根据《建设项目环境风险评价技术导则》  (</w:t>
      </w:r>
      <w:r>
        <w:rPr>
          <w:rFonts w:ascii="Times New Roman" w:hAnsi="Times New Roman" w:eastAsia="Times New Roman" w:cs="Times New Roman"/>
          <w:sz w:val="23"/>
          <w:szCs w:val="23"/>
        </w:rPr>
        <w:t>HJ</w:t>
      </w:r>
      <w:r>
        <w:rPr>
          <w:rFonts w:ascii="Times New Roman" w:hAnsi="Times New Roman" w:eastAsia="Times New Roman" w:cs="Times New Roman"/>
          <w:spacing w:val="4"/>
          <w:sz w:val="23"/>
          <w:szCs w:val="23"/>
        </w:rPr>
        <w:t>169-2018</w:t>
      </w:r>
      <w:r>
        <w:rPr>
          <w:rFonts w:ascii="宋体" w:hAnsi="宋体" w:eastAsia="宋体" w:cs="宋体"/>
          <w:spacing w:val="4"/>
          <w:sz w:val="23"/>
          <w:szCs w:val="23"/>
        </w:rPr>
        <w:t>) 要求，参照《危险废物经</w:t>
      </w:r>
      <w:r>
        <w:rPr>
          <w:rFonts w:ascii="宋体" w:hAnsi="宋体" w:eastAsia="宋体" w:cs="宋体"/>
          <w:spacing w:val="2"/>
          <w:sz w:val="23"/>
          <w:szCs w:val="23"/>
        </w:rPr>
        <w:t>营</w:t>
      </w:r>
      <w:r>
        <w:rPr>
          <w:rFonts w:ascii="宋体" w:hAnsi="宋体" w:eastAsia="宋体" w:cs="宋体"/>
          <w:sz w:val="23"/>
          <w:szCs w:val="23"/>
        </w:rPr>
        <w:t xml:space="preserve">单 </w:t>
      </w:r>
      <w:r>
        <w:rPr>
          <w:rFonts w:ascii="宋体" w:hAnsi="宋体" w:eastAsia="宋体" w:cs="宋体"/>
          <w:spacing w:val="12"/>
          <w:sz w:val="23"/>
          <w:szCs w:val="23"/>
        </w:rPr>
        <w:t>位</w:t>
      </w:r>
      <w:r>
        <w:rPr>
          <w:rFonts w:ascii="宋体" w:hAnsi="宋体" w:eastAsia="宋体" w:cs="宋体"/>
          <w:spacing w:val="7"/>
          <w:sz w:val="23"/>
          <w:szCs w:val="23"/>
        </w:rPr>
        <w:t>编制应急预案指南》，制定企业环境风险应急预案，并向有关部门备案，其主要内容如表</w:t>
      </w:r>
      <w:r>
        <w:rPr>
          <w:rFonts w:ascii="宋体" w:hAnsi="宋体" w:eastAsia="宋体" w:cs="宋体"/>
          <w:sz w:val="23"/>
          <w:szCs w:val="23"/>
        </w:rPr>
        <w:t xml:space="preserve"> </w:t>
      </w:r>
      <w:r>
        <w:rPr>
          <w:rFonts w:ascii="Times New Roman" w:hAnsi="Times New Roman" w:eastAsia="Times New Roman" w:cs="Times New Roman"/>
          <w:spacing w:val="16"/>
          <w:sz w:val="23"/>
          <w:szCs w:val="23"/>
        </w:rPr>
        <w:t>8.4</w:t>
      </w:r>
      <w:r>
        <w:rPr>
          <w:rFonts w:ascii="Times New Roman" w:hAnsi="Times New Roman" w:eastAsia="Times New Roman" w:cs="Times New Roman"/>
          <w:spacing w:val="12"/>
          <w:sz w:val="23"/>
          <w:szCs w:val="23"/>
        </w:rPr>
        <w:t>-</w:t>
      </w:r>
      <w:r>
        <w:rPr>
          <w:rFonts w:ascii="Times New Roman" w:hAnsi="Times New Roman" w:eastAsia="Times New Roman" w:cs="Times New Roman"/>
          <w:spacing w:val="8"/>
          <w:sz w:val="23"/>
          <w:szCs w:val="23"/>
        </w:rPr>
        <w:t xml:space="preserve"> 1 </w:t>
      </w:r>
      <w:r>
        <w:rPr>
          <w:rFonts w:ascii="宋体" w:hAnsi="宋体" w:eastAsia="宋体" w:cs="宋体"/>
          <w:spacing w:val="8"/>
          <w:sz w:val="23"/>
          <w:szCs w:val="23"/>
        </w:rPr>
        <w:t>。建设单位应在生产前自行编制或委托有资质的单位编制项目突发环境事件应急预案</w:t>
      </w:r>
      <w:r>
        <w:rPr>
          <w:rFonts w:ascii="宋体" w:hAnsi="宋体" w:eastAsia="宋体" w:cs="宋体"/>
          <w:sz w:val="23"/>
          <w:szCs w:val="23"/>
        </w:rPr>
        <w:t xml:space="preserve"> </w:t>
      </w:r>
      <w:r>
        <w:rPr>
          <w:rFonts w:ascii="宋体" w:hAnsi="宋体" w:eastAsia="宋体" w:cs="宋体"/>
          <w:spacing w:val="6"/>
          <w:sz w:val="23"/>
          <w:szCs w:val="23"/>
        </w:rPr>
        <w:t>与风险评</w:t>
      </w:r>
      <w:r>
        <w:rPr>
          <w:rFonts w:ascii="宋体" w:hAnsi="宋体" w:eastAsia="宋体" w:cs="宋体"/>
          <w:spacing w:val="3"/>
          <w:sz w:val="23"/>
          <w:szCs w:val="23"/>
        </w:rPr>
        <w:t>估报告，并进行评估，报有关部门备案，一旦发生风险事故，应立即启动预案计划。</w:t>
      </w:r>
    </w:p>
    <w:p w14:paraId="4A7FEF50">
      <w:pPr>
        <w:spacing w:line="221" w:lineRule="auto"/>
        <w:ind w:left="2848"/>
        <w:rPr>
          <w:rFonts w:ascii="黑体" w:hAnsi="黑体" w:eastAsia="黑体" w:cs="黑体"/>
          <w:sz w:val="23"/>
          <w:szCs w:val="23"/>
        </w:rPr>
      </w:pPr>
      <w:r>
        <w:rPr>
          <w:rFonts w:ascii="黑体" w:hAnsi="黑体" w:eastAsia="黑体" w:cs="黑体"/>
          <w:spacing w:val="2"/>
          <w:sz w:val="23"/>
          <w:szCs w:val="23"/>
        </w:rPr>
        <w:t xml:space="preserve">表 </w:t>
      </w:r>
      <w:r>
        <w:rPr>
          <w:rFonts w:ascii="Times New Roman" w:hAnsi="Times New Roman" w:eastAsia="Times New Roman" w:cs="Times New Roman"/>
          <w:spacing w:val="2"/>
          <w:sz w:val="23"/>
          <w:szCs w:val="23"/>
        </w:rPr>
        <w:t xml:space="preserve">8.4- 1  </w:t>
      </w:r>
      <w:r>
        <w:rPr>
          <w:rFonts w:ascii="黑体" w:hAnsi="黑体" w:eastAsia="黑体" w:cs="黑体"/>
          <w:spacing w:val="2"/>
          <w:sz w:val="23"/>
          <w:szCs w:val="23"/>
        </w:rPr>
        <w:t>项目环境风险</w:t>
      </w:r>
      <w:r>
        <w:rPr>
          <w:rFonts w:ascii="黑体" w:hAnsi="黑体" w:eastAsia="黑体" w:cs="黑体"/>
          <w:spacing w:val="1"/>
          <w:sz w:val="23"/>
          <w:szCs w:val="23"/>
        </w:rPr>
        <w:t>应急预案内容表</w:t>
      </w: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2"/>
        <w:gridCol w:w="2360"/>
        <w:gridCol w:w="6550"/>
      </w:tblGrid>
      <w:tr w14:paraId="56F11B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802" w:type="dxa"/>
            <w:tcBorders>
              <w:left w:val="nil"/>
            </w:tcBorders>
          </w:tcPr>
          <w:p w14:paraId="290CB24C">
            <w:pPr>
              <w:spacing w:before="55" w:line="226" w:lineRule="auto"/>
              <w:ind w:left="19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2360" w:type="dxa"/>
          </w:tcPr>
          <w:p w14:paraId="6720C61A">
            <w:pPr>
              <w:spacing w:before="55" w:line="226" w:lineRule="auto"/>
              <w:ind w:left="978"/>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项目</w:t>
            </w:r>
          </w:p>
        </w:tc>
        <w:tc>
          <w:tcPr>
            <w:tcW w:w="6550" w:type="dxa"/>
            <w:tcBorders>
              <w:right w:val="nil"/>
            </w:tcBorders>
          </w:tcPr>
          <w:p w14:paraId="6F5CD1FF">
            <w:pPr>
              <w:spacing w:before="55" w:line="226" w:lineRule="auto"/>
              <w:ind w:left="2780"/>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内</w:t>
            </w:r>
            <w:r>
              <w:rPr>
                <w:rFonts w:ascii="宋体" w:hAnsi="宋体" w:eastAsia="宋体" w:cs="宋体"/>
                <w:spacing w:val="3"/>
                <w:sz w:val="20"/>
                <w:szCs w:val="20"/>
                <w14:textOutline w14:w="3797" w14:cap="sq" w14:cmpd="sng" w14:algn="ctr">
                  <w14:solidFill>
                    <w14:srgbClr w14:val="000000"/>
                  </w14:solidFill>
                  <w14:prstDash w14:val="solid"/>
                  <w14:bevel/>
                </w14:textOutline>
              </w:rPr>
              <w:t>容及要求</w:t>
            </w:r>
          </w:p>
        </w:tc>
      </w:tr>
      <w:tr w14:paraId="69C9CD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802" w:type="dxa"/>
            <w:tcBorders>
              <w:left w:val="nil"/>
            </w:tcBorders>
          </w:tcPr>
          <w:p w14:paraId="7AC52E9D">
            <w:pPr>
              <w:spacing w:before="74" w:line="185" w:lineRule="auto"/>
              <w:ind w:left="366"/>
              <w:rPr>
                <w:rFonts w:ascii="Calibri" w:hAnsi="Calibri" w:eastAsia="Calibri" w:cs="Calibri"/>
                <w:sz w:val="20"/>
                <w:szCs w:val="20"/>
              </w:rPr>
            </w:pPr>
            <w:r>
              <w:rPr>
                <w:rFonts w:ascii="Calibri" w:hAnsi="Calibri" w:eastAsia="Calibri" w:cs="Calibri"/>
                <w:sz w:val="20"/>
                <w:szCs w:val="20"/>
              </w:rPr>
              <w:t>1</w:t>
            </w:r>
          </w:p>
        </w:tc>
        <w:tc>
          <w:tcPr>
            <w:tcW w:w="2360" w:type="dxa"/>
          </w:tcPr>
          <w:p w14:paraId="799A2961">
            <w:pPr>
              <w:spacing w:before="33" w:line="223" w:lineRule="auto"/>
              <w:ind w:left="661"/>
              <w:rPr>
                <w:rFonts w:ascii="宋体" w:hAnsi="宋体" w:eastAsia="宋体" w:cs="宋体"/>
                <w:sz w:val="20"/>
                <w:szCs w:val="20"/>
              </w:rPr>
            </w:pPr>
            <w:r>
              <w:rPr>
                <w:rFonts w:ascii="宋体" w:hAnsi="宋体" w:eastAsia="宋体" w:cs="宋体"/>
                <w:spacing w:val="8"/>
                <w:sz w:val="20"/>
                <w:szCs w:val="20"/>
              </w:rPr>
              <w:t>应急计划区</w:t>
            </w:r>
          </w:p>
        </w:tc>
        <w:tc>
          <w:tcPr>
            <w:tcW w:w="6550" w:type="dxa"/>
            <w:tcBorders>
              <w:right w:val="nil"/>
            </w:tcBorders>
          </w:tcPr>
          <w:p w14:paraId="2A326141">
            <w:pPr>
              <w:spacing w:before="33" w:line="223" w:lineRule="auto"/>
              <w:ind w:left="115"/>
              <w:rPr>
                <w:rFonts w:ascii="宋体" w:hAnsi="宋体" w:eastAsia="宋体" w:cs="宋体"/>
                <w:sz w:val="20"/>
                <w:szCs w:val="20"/>
              </w:rPr>
            </w:pPr>
            <w:r>
              <w:rPr>
                <w:rFonts w:ascii="宋体" w:hAnsi="宋体" w:eastAsia="宋体" w:cs="宋体"/>
                <w:spacing w:val="9"/>
                <w:sz w:val="20"/>
                <w:szCs w:val="20"/>
              </w:rPr>
              <w:t>危险目标：猪粪化粪池、环境敏感目标 (关注饮用水污染</w:t>
            </w:r>
            <w:r>
              <w:rPr>
                <w:rFonts w:ascii="宋体" w:hAnsi="宋体" w:eastAsia="宋体" w:cs="宋体"/>
                <w:spacing w:val="4"/>
                <w:sz w:val="20"/>
                <w:szCs w:val="20"/>
              </w:rPr>
              <w:t>)</w:t>
            </w:r>
          </w:p>
        </w:tc>
      </w:tr>
      <w:tr w14:paraId="794AE7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802" w:type="dxa"/>
            <w:tcBorders>
              <w:left w:val="nil"/>
            </w:tcBorders>
          </w:tcPr>
          <w:p w14:paraId="7DDFC3B5">
            <w:pPr>
              <w:spacing w:before="75" w:line="187" w:lineRule="auto"/>
              <w:ind w:left="360"/>
              <w:rPr>
                <w:rFonts w:ascii="Calibri" w:hAnsi="Calibri" w:eastAsia="Calibri" w:cs="Calibri"/>
                <w:sz w:val="20"/>
                <w:szCs w:val="20"/>
              </w:rPr>
            </w:pPr>
            <w:r>
              <w:rPr>
                <w:rFonts w:ascii="Calibri" w:hAnsi="Calibri" w:eastAsia="Calibri" w:cs="Calibri"/>
                <w:sz w:val="20"/>
                <w:szCs w:val="20"/>
              </w:rPr>
              <w:t>2</w:t>
            </w:r>
          </w:p>
        </w:tc>
        <w:tc>
          <w:tcPr>
            <w:tcW w:w="2360" w:type="dxa"/>
          </w:tcPr>
          <w:p w14:paraId="0C63F204">
            <w:pPr>
              <w:spacing w:before="34" w:line="227" w:lineRule="auto"/>
              <w:ind w:left="241"/>
              <w:rPr>
                <w:rFonts w:ascii="宋体" w:hAnsi="宋体" w:eastAsia="宋体" w:cs="宋体"/>
                <w:sz w:val="20"/>
                <w:szCs w:val="20"/>
              </w:rPr>
            </w:pPr>
            <w:r>
              <w:rPr>
                <w:rFonts w:ascii="宋体" w:hAnsi="宋体" w:eastAsia="宋体" w:cs="宋体"/>
                <w:spacing w:val="9"/>
                <w:sz w:val="20"/>
                <w:szCs w:val="20"/>
              </w:rPr>
              <w:t>应急组织机构和人</w:t>
            </w:r>
            <w:r>
              <w:rPr>
                <w:rFonts w:ascii="宋体" w:hAnsi="宋体" w:eastAsia="宋体" w:cs="宋体"/>
                <w:spacing w:val="8"/>
                <w:sz w:val="20"/>
                <w:szCs w:val="20"/>
              </w:rPr>
              <w:t>员</w:t>
            </w:r>
          </w:p>
        </w:tc>
        <w:tc>
          <w:tcPr>
            <w:tcW w:w="6550" w:type="dxa"/>
            <w:tcBorders>
              <w:right w:val="nil"/>
            </w:tcBorders>
          </w:tcPr>
          <w:p w14:paraId="71482F49">
            <w:pPr>
              <w:spacing w:before="34" w:line="227" w:lineRule="auto"/>
              <w:ind w:left="119"/>
              <w:rPr>
                <w:rFonts w:ascii="宋体" w:hAnsi="宋体" w:eastAsia="宋体" w:cs="宋体"/>
                <w:sz w:val="20"/>
                <w:szCs w:val="20"/>
              </w:rPr>
            </w:pPr>
            <w:r>
              <w:rPr>
                <w:rFonts w:ascii="宋体" w:hAnsi="宋体" w:eastAsia="宋体" w:cs="宋体"/>
                <w:spacing w:val="20"/>
                <w:sz w:val="20"/>
                <w:szCs w:val="20"/>
              </w:rPr>
              <w:t>公</w:t>
            </w:r>
            <w:r>
              <w:rPr>
                <w:rFonts w:ascii="宋体" w:hAnsi="宋体" w:eastAsia="宋体" w:cs="宋体"/>
                <w:spacing w:val="18"/>
                <w:sz w:val="20"/>
                <w:szCs w:val="20"/>
              </w:rPr>
              <w:t>司</w:t>
            </w:r>
            <w:r>
              <w:rPr>
                <w:rFonts w:ascii="宋体" w:hAnsi="宋体" w:eastAsia="宋体" w:cs="宋体"/>
                <w:spacing w:val="10"/>
                <w:sz w:val="20"/>
                <w:szCs w:val="20"/>
              </w:rPr>
              <w:t>应急委员会和员工、开发区环境风险应急组织机构和人员。公司</w:t>
            </w:r>
          </w:p>
        </w:tc>
      </w:tr>
    </w:tbl>
    <w:p w14:paraId="499932E5">
      <w:pPr>
        <w:spacing w:line="127" w:lineRule="exact"/>
        <w:rPr>
          <w:sz w:val="11"/>
        </w:rPr>
      </w:pPr>
    </w:p>
    <w:p w14:paraId="154249A5">
      <w:pPr>
        <w:sectPr>
          <w:headerReference r:id="rId302" w:type="default"/>
          <w:footerReference r:id="rId303" w:type="default"/>
          <w:pgSz w:w="11906" w:h="16839"/>
          <w:pgMar w:top="1113" w:right="1025" w:bottom="1157" w:left="1168" w:header="878" w:footer="994" w:gutter="0"/>
          <w:cols w:space="720" w:num="1"/>
        </w:sectPr>
      </w:pPr>
    </w:p>
    <w:p w14:paraId="2B0FF93D">
      <w:pPr>
        <w:spacing w:line="420" w:lineRule="auto"/>
      </w:pPr>
      <w:r>
        <w:pict>
          <v:rect id="_x0000_s2132" o:spid="_x0000_s2132" o:spt="1" style="position:absolute;left:0pt;margin-left:58.4pt;margin-top:63.8pt;height:1.45pt;width:485.65pt;mso-position-horizontal-relative:page;mso-position-vertical-relative:page;z-index:251750400;mso-width-relative:page;mso-height-relative:page;" fillcolor="#000000" filled="t" stroked="f" coordsize="21600,21600" o:allowincell="f">
            <v:path/>
            <v:fill on="t" focussize="0,0"/>
            <v:stroke on="f"/>
            <v:imagedata o:title=""/>
            <o:lock v:ext="edit"/>
          </v:rect>
        </w:pict>
      </w:r>
    </w:p>
    <w:p w14:paraId="1ED958C7">
      <w:pPr>
        <w:spacing w:before="55" w:line="229" w:lineRule="auto"/>
        <w:ind w:left="115"/>
        <w:rPr>
          <w:rFonts w:ascii="宋体" w:hAnsi="宋体" w:eastAsia="宋体" w:cs="宋体"/>
          <w:sz w:val="17"/>
          <w:szCs w:val="17"/>
        </w:rPr>
      </w:pP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p w14:paraId="132F85F0">
      <w:pPr>
        <w:spacing w:line="14" w:lineRule="exact"/>
      </w:pPr>
    </w:p>
    <w:tbl>
      <w:tblPr>
        <w:tblStyle w:val="4"/>
        <w:tblW w:w="971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2"/>
        <w:gridCol w:w="2360"/>
        <w:gridCol w:w="6550"/>
      </w:tblGrid>
      <w:tr w14:paraId="4B4FF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02" w:type="dxa"/>
            <w:tcBorders>
              <w:left w:val="nil"/>
            </w:tcBorders>
          </w:tcPr>
          <w:p w14:paraId="21321225">
            <w:pPr>
              <w:spacing w:before="229" w:line="225" w:lineRule="auto"/>
              <w:ind w:left="197"/>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2360" w:type="dxa"/>
          </w:tcPr>
          <w:p w14:paraId="18EED3A2">
            <w:pPr>
              <w:spacing w:before="229" w:line="225" w:lineRule="auto"/>
              <w:ind w:left="978"/>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项目</w:t>
            </w:r>
          </w:p>
        </w:tc>
        <w:tc>
          <w:tcPr>
            <w:tcW w:w="6550" w:type="dxa"/>
            <w:tcBorders>
              <w:right w:val="nil"/>
            </w:tcBorders>
          </w:tcPr>
          <w:p w14:paraId="1D39BE8D">
            <w:pPr>
              <w:spacing w:before="229" w:line="225" w:lineRule="auto"/>
              <w:ind w:left="2780"/>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内</w:t>
            </w:r>
            <w:r>
              <w:rPr>
                <w:rFonts w:ascii="宋体" w:hAnsi="宋体" w:eastAsia="宋体" w:cs="宋体"/>
                <w:spacing w:val="3"/>
                <w:sz w:val="20"/>
                <w:szCs w:val="20"/>
                <w14:textOutline w14:w="3797" w14:cap="sq" w14:cmpd="sng" w14:algn="ctr">
                  <w14:solidFill>
                    <w14:srgbClr w14:val="000000"/>
                  </w14:solidFill>
                  <w14:prstDash w14:val="solid"/>
                  <w14:bevel/>
                </w14:textOutline>
              </w:rPr>
              <w:t>容及要求</w:t>
            </w:r>
          </w:p>
        </w:tc>
      </w:tr>
      <w:tr w14:paraId="0511E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802" w:type="dxa"/>
            <w:tcBorders>
              <w:left w:val="nil"/>
            </w:tcBorders>
          </w:tcPr>
          <w:p w14:paraId="55208D2F"/>
        </w:tc>
        <w:tc>
          <w:tcPr>
            <w:tcW w:w="2360" w:type="dxa"/>
          </w:tcPr>
          <w:p w14:paraId="5CD53151"/>
        </w:tc>
        <w:tc>
          <w:tcPr>
            <w:tcW w:w="6550" w:type="dxa"/>
            <w:tcBorders>
              <w:right w:val="nil"/>
            </w:tcBorders>
          </w:tcPr>
          <w:p w14:paraId="79D1EA2E">
            <w:pPr>
              <w:spacing w:before="31" w:line="243" w:lineRule="auto"/>
              <w:ind w:left="113" w:right="108"/>
              <w:rPr>
                <w:rFonts w:ascii="宋体" w:hAnsi="宋体" w:eastAsia="宋体" w:cs="宋体"/>
                <w:sz w:val="20"/>
                <w:szCs w:val="20"/>
              </w:rPr>
            </w:pPr>
            <w:r>
              <w:rPr>
                <w:rFonts w:ascii="宋体" w:hAnsi="宋体" w:eastAsia="宋体" w:cs="宋体"/>
                <w:spacing w:val="11"/>
                <w:sz w:val="20"/>
                <w:szCs w:val="20"/>
              </w:rPr>
              <w:t>应急委员会应成立环境风险应急处置小组，包括环境风险源控制组</w:t>
            </w:r>
            <w:r>
              <w:rPr>
                <w:rFonts w:ascii="宋体" w:hAnsi="宋体" w:eastAsia="宋体" w:cs="宋体"/>
                <w:spacing w:val="6"/>
                <w:sz w:val="20"/>
                <w:szCs w:val="20"/>
              </w:rPr>
              <w:t>、</w:t>
            </w:r>
            <w:r>
              <w:rPr>
                <w:rFonts w:ascii="宋体" w:hAnsi="宋体" w:eastAsia="宋体" w:cs="宋体"/>
                <w:sz w:val="20"/>
                <w:szCs w:val="20"/>
              </w:rPr>
              <w:t xml:space="preserve"> </w:t>
            </w:r>
            <w:r>
              <w:rPr>
                <w:rFonts w:ascii="宋体" w:hAnsi="宋体" w:eastAsia="宋体" w:cs="宋体"/>
                <w:spacing w:val="11"/>
                <w:sz w:val="20"/>
                <w:szCs w:val="20"/>
              </w:rPr>
              <w:t>救援组、警戒和疏散组、环境监测组等，并任命专人负责事故的记</w:t>
            </w:r>
            <w:r>
              <w:rPr>
                <w:rFonts w:ascii="宋体" w:hAnsi="宋体" w:eastAsia="宋体" w:cs="宋体"/>
                <w:spacing w:val="5"/>
                <w:sz w:val="20"/>
                <w:szCs w:val="20"/>
              </w:rPr>
              <w:t>录</w:t>
            </w:r>
            <w:r>
              <w:rPr>
                <w:rFonts w:ascii="宋体" w:hAnsi="宋体" w:eastAsia="宋体" w:cs="宋体"/>
                <w:sz w:val="20"/>
                <w:szCs w:val="20"/>
              </w:rPr>
              <w:t xml:space="preserve"> </w:t>
            </w:r>
            <w:r>
              <w:rPr>
                <w:rFonts w:ascii="宋体" w:hAnsi="宋体" w:eastAsia="宋体" w:cs="宋体"/>
                <w:spacing w:val="5"/>
                <w:sz w:val="20"/>
                <w:szCs w:val="20"/>
              </w:rPr>
              <w:t>和报告</w:t>
            </w:r>
            <w:r>
              <w:rPr>
                <w:rFonts w:ascii="宋体" w:hAnsi="宋体" w:eastAsia="宋体" w:cs="宋体"/>
                <w:spacing w:val="4"/>
                <w:sz w:val="20"/>
                <w:szCs w:val="20"/>
              </w:rPr>
              <w:t>。</w:t>
            </w:r>
          </w:p>
        </w:tc>
      </w:tr>
      <w:tr w14:paraId="05CE6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802" w:type="dxa"/>
            <w:tcBorders>
              <w:left w:val="nil"/>
            </w:tcBorders>
          </w:tcPr>
          <w:p w14:paraId="1BC8C5B1">
            <w:pPr>
              <w:spacing w:line="417" w:lineRule="auto"/>
            </w:pPr>
          </w:p>
          <w:p w14:paraId="0054C550">
            <w:pPr>
              <w:spacing w:before="61" w:line="186" w:lineRule="auto"/>
              <w:ind w:left="359"/>
              <w:rPr>
                <w:rFonts w:ascii="Calibri" w:hAnsi="Calibri" w:eastAsia="Calibri" w:cs="Calibri"/>
                <w:sz w:val="20"/>
                <w:szCs w:val="20"/>
              </w:rPr>
            </w:pPr>
            <w:r>
              <w:rPr>
                <w:rFonts w:ascii="Calibri" w:hAnsi="Calibri" w:eastAsia="Calibri" w:cs="Calibri"/>
                <w:sz w:val="20"/>
                <w:szCs w:val="20"/>
              </w:rPr>
              <w:t>3</w:t>
            </w:r>
          </w:p>
        </w:tc>
        <w:tc>
          <w:tcPr>
            <w:tcW w:w="2360" w:type="dxa"/>
          </w:tcPr>
          <w:p w14:paraId="4F222F68">
            <w:pPr>
              <w:spacing w:line="374" w:lineRule="auto"/>
            </w:pPr>
          </w:p>
          <w:p w14:paraId="6D817C1A">
            <w:pPr>
              <w:spacing w:before="65" w:line="228" w:lineRule="auto"/>
              <w:ind w:left="346"/>
              <w:rPr>
                <w:rFonts w:ascii="宋体" w:hAnsi="宋体" w:eastAsia="宋体" w:cs="宋体"/>
                <w:sz w:val="20"/>
                <w:szCs w:val="20"/>
              </w:rPr>
            </w:pPr>
            <w:r>
              <w:rPr>
                <w:rFonts w:ascii="宋体" w:hAnsi="宋体" w:eastAsia="宋体" w:cs="宋体"/>
                <w:spacing w:val="11"/>
                <w:sz w:val="20"/>
                <w:szCs w:val="20"/>
              </w:rPr>
              <w:t>预</w:t>
            </w:r>
            <w:r>
              <w:rPr>
                <w:rFonts w:ascii="宋体" w:hAnsi="宋体" w:eastAsia="宋体" w:cs="宋体"/>
                <w:spacing w:val="8"/>
                <w:sz w:val="20"/>
                <w:szCs w:val="20"/>
              </w:rPr>
              <w:t>案分级响应条件</w:t>
            </w:r>
          </w:p>
        </w:tc>
        <w:tc>
          <w:tcPr>
            <w:tcW w:w="6550" w:type="dxa"/>
            <w:tcBorders>
              <w:right w:val="nil"/>
            </w:tcBorders>
          </w:tcPr>
          <w:p w14:paraId="1B82D913">
            <w:pPr>
              <w:spacing w:before="32" w:line="245" w:lineRule="auto"/>
              <w:ind w:left="111" w:right="37" w:firstLine="2"/>
              <w:rPr>
                <w:rFonts w:ascii="宋体" w:hAnsi="宋体" w:eastAsia="宋体" w:cs="宋体"/>
                <w:sz w:val="20"/>
                <w:szCs w:val="20"/>
              </w:rPr>
            </w:pPr>
            <w:r>
              <w:rPr>
                <w:rFonts w:ascii="宋体" w:hAnsi="宋体" w:eastAsia="宋体" w:cs="宋体"/>
                <w:spacing w:val="11"/>
                <w:sz w:val="20"/>
                <w:szCs w:val="20"/>
              </w:rPr>
              <w:t>规定预案的级别及分级响应程序，根据环境风险事故可能产生的环</w:t>
            </w:r>
            <w:r>
              <w:rPr>
                <w:rFonts w:ascii="宋体" w:hAnsi="宋体" w:eastAsia="宋体" w:cs="宋体"/>
                <w:spacing w:val="5"/>
                <w:sz w:val="20"/>
                <w:szCs w:val="20"/>
              </w:rPr>
              <w:t>境</w:t>
            </w:r>
            <w:r>
              <w:rPr>
                <w:rFonts w:ascii="宋体" w:hAnsi="宋体" w:eastAsia="宋体" w:cs="宋体"/>
                <w:sz w:val="20"/>
                <w:szCs w:val="20"/>
              </w:rPr>
              <w:t xml:space="preserve"> </w:t>
            </w:r>
            <w:r>
              <w:rPr>
                <w:rFonts w:ascii="宋体" w:hAnsi="宋体" w:eastAsia="宋体" w:cs="宋体"/>
                <w:spacing w:val="12"/>
                <w:sz w:val="20"/>
                <w:szCs w:val="20"/>
              </w:rPr>
              <w:t>影响</w:t>
            </w:r>
            <w:r>
              <w:rPr>
                <w:rFonts w:ascii="宋体" w:hAnsi="宋体" w:eastAsia="宋体" w:cs="宋体"/>
                <w:spacing w:val="6"/>
                <w:sz w:val="20"/>
                <w:szCs w:val="20"/>
              </w:rPr>
              <w:t>，对事故预警进行分级，并根据事态发展调整事故应急响应程序。</w:t>
            </w:r>
            <w:r>
              <w:rPr>
                <w:rFonts w:ascii="宋体" w:hAnsi="宋体" w:eastAsia="宋体" w:cs="宋体"/>
                <w:sz w:val="20"/>
                <w:szCs w:val="20"/>
              </w:rPr>
              <w:t xml:space="preserve"> </w:t>
            </w:r>
            <w:r>
              <w:rPr>
                <w:rFonts w:ascii="宋体" w:hAnsi="宋体" w:eastAsia="宋体" w:cs="宋体"/>
                <w:spacing w:val="11"/>
                <w:sz w:val="20"/>
                <w:szCs w:val="20"/>
              </w:rPr>
              <w:t>应急响应程序启动后应按照应急预案的规定内容开展应急处置并及</w:t>
            </w:r>
            <w:r>
              <w:rPr>
                <w:rFonts w:ascii="宋体" w:hAnsi="宋体" w:eastAsia="宋体" w:cs="宋体"/>
                <w:spacing w:val="7"/>
                <w:sz w:val="20"/>
                <w:szCs w:val="20"/>
              </w:rPr>
              <w:t>时</w:t>
            </w:r>
            <w:r>
              <w:rPr>
                <w:rFonts w:ascii="宋体" w:hAnsi="宋体" w:eastAsia="宋体" w:cs="宋体"/>
                <w:sz w:val="20"/>
                <w:szCs w:val="20"/>
              </w:rPr>
              <w:t xml:space="preserve"> </w:t>
            </w:r>
            <w:r>
              <w:rPr>
                <w:rFonts w:ascii="宋体" w:hAnsi="宋体" w:eastAsia="宋体" w:cs="宋体"/>
                <w:spacing w:val="9"/>
                <w:sz w:val="20"/>
                <w:szCs w:val="20"/>
              </w:rPr>
              <w:t>报</w:t>
            </w:r>
            <w:r>
              <w:rPr>
                <w:rFonts w:ascii="宋体" w:hAnsi="宋体" w:eastAsia="宋体" w:cs="宋体"/>
                <w:spacing w:val="7"/>
                <w:sz w:val="20"/>
                <w:szCs w:val="20"/>
              </w:rPr>
              <w:t>告相关情况。</w:t>
            </w:r>
          </w:p>
        </w:tc>
      </w:tr>
      <w:tr w14:paraId="277AB1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2" w:type="dxa"/>
            <w:tcBorders>
              <w:left w:val="nil"/>
            </w:tcBorders>
          </w:tcPr>
          <w:p w14:paraId="5AB109F1">
            <w:pPr>
              <w:spacing w:before="74" w:line="185" w:lineRule="auto"/>
              <w:ind w:left="353"/>
              <w:rPr>
                <w:rFonts w:ascii="Calibri" w:hAnsi="Calibri" w:eastAsia="Calibri" w:cs="Calibri"/>
                <w:sz w:val="20"/>
                <w:szCs w:val="20"/>
              </w:rPr>
            </w:pPr>
            <w:r>
              <w:rPr>
                <w:rFonts w:ascii="Calibri" w:hAnsi="Calibri" w:eastAsia="Calibri" w:cs="Calibri"/>
                <w:sz w:val="20"/>
                <w:szCs w:val="20"/>
              </w:rPr>
              <w:t>4</w:t>
            </w:r>
          </w:p>
        </w:tc>
        <w:tc>
          <w:tcPr>
            <w:tcW w:w="2360" w:type="dxa"/>
          </w:tcPr>
          <w:p w14:paraId="54D74B3A">
            <w:pPr>
              <w:spacing w:before="34" w:line="224" w:lineRule="auto"/>
              <w:ind w:left="555"/>
              <w:rPr>
                <w:rFonts w:ascii="宋体" w:hAnsi="宋体" w:eastAsia="宋体" w:cs="宋体"/>
                <w:sz w:val="20"/>
                <w:szCs w:val="20"/>
              </w:rPr>
            </w:pPr>
            <w:r>
              <w:rPr>
                <w:rFonts w:ascii="宋体" w:hAnsi="宋体" w:eastAsia="宋体" w:cs="宋体"/>
                <w:spacing w:val="9"/>
                <w:sz w:val="20"/>
                <w:szCs w:val="20"/>
              </w:rPr>
              <w:t>应</w:t>
            </w:r>
            <w:r>
              <w:rPr>
                <w:rFonts w:ascii="宋体" w:hAnsi="宋体" w:eastAsia="宋体" w:cs="宋体"/>
                <w:spacing w:val="8"/>
                <w:sz w:val="20"/>
                <w:szCs w:val="20"/>
              </w:rPr>
              <w:t>急救援保障</w:t>
            </w:r>
          </w:p>
        </w:tc>
        <w:tc>
          <w:tcPr>
            <w:tcW w:w="6550" w:type="dxa"/>
            <w:tcBorders>
              <w:right w:val="nil"/>
            </w:tcBorders>
          </w:tcPr>
          <w:p w14:paraId="626DC064">
            <w:pPr>
              <w:spacing w:before="34" w:line="224" w:lineRule="auto"/>
              <w:ind w:left="117"/>
              <w:rPr>
                <w:rFonts w:ascii="宋体" w:hAnsi="宋体" w:eastAsia="宋体" w:cs="宋体"/>
                <w:sz w:val="20"/>
                <w:szCs w:val="20"/>
              </w:rPr>
            </w:pPr>
            <w:r>
              <w:rPr>
                <w:rFonts w:ascii="宋体" w:hAnsi="宋体" w:eastAsia="宋体" w:cs="宋体"/>
                <w:spacing w:val="12"/>
                <w:sz w:val="20"/>
                <w:szCs w:val="20"/>
              </w:rPr>
              <w:t>消</w:t>
            </w:r>
            <w:r>
              <w:rPr>
                <w:rFonts w:ascii="宋体" w:hAnsi="宋体" w:eastAsia="宋体" w:cs="宋体"/>
                <w:spacing w:val="9"/>
                <w:sz w:val="20"/>
                <w:szCs w:val="20"/>
              </w:rPr>
              <w:t>防沙、灭火器、事故应急池、消火栓等</w:t>
            </w:r>
          </w:p>
        </w:tc>
      </w:tr>
      <w:tr w14:paraId="17E9C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2" w:type="dxa"/>
            <w:tcBorders>
              <w:left w:val="nil"/>
            </w:tcBorders>
          </w:tcPr>
          <w:p w14:paraId="290191B4">
            <w:pPr>
              <w:spacing w:before="76" w:line="184" w:lineRule="auto"/>
              <w:ind w:left="359"/>
              <w:rPr>
                <w:rFonts w:ascii="Calibri" w:hAnsi="Calibri" w:eastAsia="Calibri" w:cs="Calibri"/>
                <w:sz w:val="20"/>
                <w:szCs w:val="20"/>
              </w:rPr>
            </w:pPr>
            <w:r>
              <w:rPr>
                <w:rFonts w:ascii="Calibri" w:hAnsi="Calibri" w:eastAsia="Calibri" w:cs="Calibri"/>
                <w:sz w:val="20"/>
                <w:szCs w:val="20"/>
              </w:rPr>
              <w:t>5</w:t>
            </w:r>
          </w:p>
        </w:tc>
        <w:tc>
          <w:tcPr>
            <w:tcW w:w="2360" w:type="dxa"/>
          </w:tcPr>
          <w:p w14:paraId="3C3F6B66">
            <w:pPr>
              <w:spacing w:before="35" w:line="223" w:lineRule="auto"/>
              <w:ind w:left="239"/>
              <w:rPr>
                <w:rFonts w:ascii="宋体" w:hAnsi="宋体" w:eastAsia="宋体" w:cs="宋体"/>
                <w:sz w:val="20"/>
                <w:szCs w:val="20"/>
              </w:rPr>
            </w:pPr>
            <w:r>
              <w:rPr>
                <w:rFonts w:ascii="宋体" w:hAnsi="宋体" w:eastAsia="宋体" w:cs="宋体"/>
                <w:spacing w:val="10"/>
                <w:sz w:val="20"/>
                <w:szCs w:val="20"/>
              </w:rPr>
              <w:t>报</w:t>
            </w:r>
            <w:r>
              <w:rPr>
                <w:rFonts w:ascii="宋体" w:hAnsi="宋体" w:eastAsia="宋体" w:cs="宋体"/>
                <w:spacing w:val="9"/>
                <w:sz w:val="20"/>
                <w:szCs w:val="20"/>
              </w:rPr>
              <w:t>警、通讯联络方式</w:t>
            </w:r>
          </w:p>
        </w:tc>
        <w:tc>
          <w:tcPr>
            <w:tcW w:w="6550" w:type="dxa"/>
            <w:tcBorders>
              <w:right w:val="nil"/>
            </w:tcBorders>
          </w:tcPr>
          <w:p w14:paraId="68080D0E">
            <w:pPr>
              <w:spacing w:before="35" w:line="223" w:lineRule="auto"/>
              <w:ind w:left="114"/>
              <w:rPr>
                <w:rFonts w:ascii="宋体" w:hAnsi="宋体" w:eastAsia="宋体" w:cs="宋体"/>
                <w:sz w:val="20"/>
                <w:szCs w:val="20"/>
              </w:rPr>
            </w:pPr>
            <w:r>
              <w:rPr>
                <w:rFonts w:ascii="宋体" w:hAnsi="宋体" w:eastAsia="宋体" w:cs="宋体"/>
                <w:spacing w:val="18"/>
                <w:sz w:val="20"/>
                <w:szCs w:val="20"/>
              </w:rPr>
              <w:t>规</w:t>
            </w:r>
            <w:r>
              <w:rPr>
                <w:rFonts w:ascii="宋体" w:hAnsi="宋体" w:eastAsia="宋体" w:cs="宋体"/>
                <w:spacing w:val="16"/>
                <w:sz w:val="20"/>
                <w:szCs w:val="20"/>
              </w:rPr>
              <w:t>定</w:t>
            </w:r>
            <w:r>
              <w:rPr>
                <w:rFonts w:ascii="宋体" w:hAnsi="宋体" w:eastAsia="宋体" w:cs="宋体"/>
                <w:spacing w:val="9"/>
                <w:sz w:val="20"/>
                <w:szCs w:val="20"/>
              </w:rPr>
              <w:t>应急状态下的报警通讯方式、通知方式和交通保障、管制</w:t>
            </w:r>
          </w:p>
        </w:tc>
      </w:tr>
      <w:tr w14:paraId="2057B2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02" w:type="dxa"/>
            <w:tcBorders>
              <w:left w:val="nil"/>
            </w:tcBorders>
          </w:tcPr>
          <w:p w14:paraId="7F5ABC61">
            <w:pPr>
              <w:spacing w:before="210" w:line="186" w:lineRule="auto"/>
              <w:ind w:left="359"/>
              <w:rPr>
                <w:rFonts w:ascii="Calibri" w:hAnsi="Calibri" w:eastAsia="Calibri" w:cs="Calibri"/>
                <w:sz w:val="20"/>
                <w:szCs w:val="20"/>
              </w:rPr>
            </w:pPr>
            <w:r>
              <w:rPr>
                <w:rFonts w:ascii="Calibri" w:hAnsi="Calibri" w:eastAsia="Calibri" w:cs="Calibri"/>
                <w:sz w:val="20"/>
                <w:szCs w:val="20"/>
              </w:rPr>
              <w:t>6</w:t>
            </w:r>
          </w:p>
        </w:tc>
        <w:tc>
          <w:tcPr>
            <w:tcW w:w="2360" w:type="dxa"/>
          </w:tcPr>
          <w:p w14:paraId="56F9DB49">
            <w:pPr>
              <w:spacing w:before="33" w:line="238" w:lineRule="auto"/>
              <w:ind w:left="451" w:right="164" w:hanging="316"/>
              <w:rPr>
                <w:rFonts w:ascii="宋体" w:hAnsi="宋体" w:eastAsia="宋体" w:cs="宋体"/>
                <w:sz w:val="20"/>
                <w:szCs w:val="20"/>
              </w:rPr>
            </w:pPr>
            <w:r>
              <w:rPr>
                <w:rFonts w:ascii="宋体" w:hAnsi="宋体" w:eastAsia="宋体" w:cs="宋体"/>
                <w:spacing w:val="9"/>
                <w:sz w:val="20"/>
                <w:szCs w:val="20"/>
              </w:rPr>
              <w:t>应</w:t>
            </w:r>
            <w:r>
              <w:rPr>
                <w:rFonts w:ascii="宋体" w:hAnsi="宋体" w:eastAsia="宋体" w:cs="宋体"/>
                <w:spacing w:val="5"/>
                <w:sz w:val="20"/>
                <w:szCs w:val="20"/>
              </w:rPr>
              <w:t>急环境监测、抢险、</w:t>
            </w:r>
            <w:r>
              <w:rPr>
                <w:rFonts w:ascii="宋体" w:hAnsi="宋体" w:eastAsia="宋体" w:cs="宋体"/>
                <w:sz w:val="20"/>
                <w:szCs w:val="20"/>
              </w:rPr>
              <w:t xml:space="preserve"> </w:t>
            </w:r>
            <w:r>
              <w:rPr>
                <w:rFonts w:ascii="宋体" w:hAnsi="宋体" w:eastAsia="宋体" w:cs="宋体"/>
                <w:spacing w:val="11"/>
                <w:sz w:val="20"/>
                <w:szCs w:val="20"/>
              </w:rPr>
              <w:t>救</w:t>
            </w:r>
            <w:r>
              <w:rPr>
                <w:rFonts w:ascii="宋体" w:hAnsi="宋体" w:eastAsia="宋体" w:cs="宋体"/>
                <w:spacing w:val="8"/>
                <w:sz w:val="20"/>
                <w:szCs w:val="20"/>
              </w:rPr>
              <w:t>援及控制措施</w:t>
            </w:r>
          </w:p>
        </w:tc>
        <w:tc>
          <w:tcPr>
            <w:tcW w:w="6550" w:type="dxa"/>
            <w:tcBorders>
              <w:right w:val="nil"/>
            </w:tcBorders>
          </w:tcPr>
          <w:p w14:paraId="4A5E57B6">
            <w:pPr>
              <w:spacing w:before="33" w:line="238" w:lineRule="auto"/>
              <w:ind w:left="114" w:right="108" w:firstLine="23"/>
              <w:rPr>
                <w:rFonts w:ascii="宋体" w:hAnsi="宋体" w:eastAsia="宋体" w:cs="宋体"/>
                <w:sz w:val="20"/>
                <w:szCs w:val="20"/>
              </w:rPr>
            </w:pPr>
            <w:r>
              <w:rPr>
                <w:rFonts w:ascii="宋体" w:hAnsi="宋体" w:eastAsia="宋体" w:cs="宋体"/>
                <w:spacing w:val="10"/>
                <w:sz w:val="20"/>
                <w:szCs w:val="20"/>
              </w:rPr>
              <w:t>由市、区环境监测站负责对事故现场进行侦察监测，对事故性质、参</w:t>
            </w:r>
            <w:r>
              <w:rPr>
                <w:rFonts w:ascii="宋体" w:hAnsi="宋体" w:eastAsia="宋体" w:cs="宋体"/>
                <w:sz w:val="20"/>
                <w:szCs w:val="20"/>
              </w:rPr>
              <w:t xml:space="preserve"> </w:t>
            </w:r>
            <w:r>
              <w:rPr>
                <w:rFonts w:ascii="宋体" w:hAnsi="宋体" w:eastAsia="宋体" w:cs="宋体"/>
                <w:spacing w:val="16"/>
                <w:sz w:val="20"/>
                <w:szCs w:val="20"/>
              </w:rPr>
              <w:t>数</w:t>
            </w:r>
            <w:r>
              <w:rPr>
                <w:rFonts w:ascii="宋体" w:hAnsi="宋体" w:eastAsia="宋体" w:cs="宋体"/>
                <w:spacing w:val="9"/>
                <w:sz w:val="20"/>
                <w:szCs w:val="20"/>
              </w:rPr>
              <w:t>与后果进行评估，为指挥部门提供决策依据</w:t>
            </w:r>
          </w:p>
        </w:tc>
      </w:tr>
      <w:tr w14:paraId="60127F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802" w:type="dxa"/>
            <w:tcBorders>
              <w:left w:val="nil"/>
            </w:tcBorders>
          </w:tcPr>
          <w:p w14:paraId="5F788883">
            <w:pPr>
              <w:spacing w:before="212" w:line="184" w:lineRule="auto"/>
              <w:ind w:left="358"/>
              <w:rPr>
                <w:rFonts w:ascii="Calibri" w:hAnsi="Calibri" w:eastAsia="Calibri" w:cs="Calibri"/>
                <w:sz w:val="20"/>
                <w:szCs w:val="20"/>
              </w:rPr>
            </w:pPr>
            <w:r>
              <w:rPr>
                <w:rFonts w:ascii="Calibri" w:hAnsi="Calibri" w:eastAsia="Calibri" w:cs="Calibri"/>
                <w:sz w:val="20"/>
                <w:szCs w:val="20"/>
              </w:rPr>
              <w:t>7</w:t>
            </w:r>
          </w:p>
        </w:tc>
        <w:tc>
          <w:tcPr>
            <w:tcW w:w="2360" w:type="dxa"/>
          </w:tcPr>
          <w:p w14:paraId="2E19F5F0">
            <w:pPr>
              <w:spacing w:before="34" w:line="238" w:lineRule="auto"/>
              <w:ind w:left="240" w:right="164" w:hanging="105"/>
              <w:rPr>
                <w:rFonts w:ascii="宋体" w:hAnsi="宋体" w:eastAsia="宋体" w:cs="宋体"/>
                <w:sz w:val="20"/>
                <w:szCs w:val="20"/>
              </w:rPr>
            </w:pPr>
            <w:r>
              <w:rPr>
                <w:rFonts w:ascii="宋体" w:hAnsi="宋体" w:eastAsia="宋体" w:cs="宋体"/>
                <w:spacing w:val="9"/>
                <w:sz w:val="20"/>
                <w:szCs w:val="20"/>
              </w:rPr>
              <w:t>应</w:t>
            </w:r>
            <w:r>
              <w:rPr>
                <w:rFonts w:ascii="宋体" w:hAnsi="宋体" w:eastAsia="宋体" w:cs="宋体"/>
                <w:spacing w:val="5"/>
                <w:sz w:val="20"/>
                <w:szCs w:val="20"/>
              </w:rPr>
              <w:t>急检测、防护措施、</w:t>
            </w:r>
            <w:r>
              <w:rPr>
                <w:rFonts w:ascii="宋体" w:hAnsi="宋体" w:eastAsia="宋体" w:cs="宋体"/>
                <w:sz w:val="20"/>
                <w:szCs w:val="20"/>
              </w:rPr>
              <w:t xml:space="preserve"> </w:t>
            </w:r>
            <w:r>
              <w:rPr>
                <w:rFonts w:ascii="宋体" w:hAnsi="宋体" w:eastAsia="宋体" w:cs="宋体"/>
                <w:spacing w:val="9"/>
                <w:sz w:val="20"/>
                <w:szCs w:val="20"/>
              </w:rPr>
              <w:t>清除泄漏措施和器</w:t>
            </w:r>
            <w:r>
              <w:rPr>
                <w:rFonts w:ascii="宋体" w:hAnsi="宋体" w:eastAsia="宋体" w:cs="宋体"/>
                <w:spacing w:val="8"/>
                <w:sz w:val="20"/>
                <w:szCs w:val="20"/>
              </w:rPr>
              <w:t>材</w:t>
            </w:r>
          </w:p>
        </w:tc>
        <w:tc>
          <w:tcPr>
            <w:tcW w:w="6550" w:type="dxa"/>
            <w:tcBorders>
              <w:right w:val="nil"/>
            </w:tcBorders>
          </w:tcPr>
          <w:p w14:paraId="34FCC4B1">
            <w:pPr>
              <w:spacing w:before="34" w:line="238" w:lineRule="auto"/>
              <w:ind w:left="115" w:right="108" w:hanging="2"/>
              <w:rPr>
                <w:rFonts w:ascii="宋体" w:hAnsi="宋体" w:eastAsia="宋体" w:cs="宋体"/>
                <w:sz w:val="20"/>
                <w:szCs w:val="20"/>
              </w:rPr>
            </w:pPr>
            <w:r>
              <w:rPr>
                <w:rFonts w:ascii="宋体" w:hAnsi="宋体" w:eastAsia="宋体" w:cs="宋体"/>
                <w:spacing w:val="11"/>
                <w:sz w:val="20"/>
                <w:szCs w:val="20"/>
              </w:rPr>
              <w:t>事故现场、邻近区域、控制防火区域，控制和清除污染措施及相应</w:t>
            </w:r>
            <w:r>
              <w:rPr>
                <w:rFonts w:ascii="宋体" w:hAnsi="宋体" w:eastAsia="宋体" w:cs="宋体"/>
                <w:spacing w:val="6"/>
                <w:sz w:val="20"/>
                <w:szCs w:val="20"/>
              </w:rPr>
              <w:t>设</w:t>
            </w:r>
            <w:r>
              <w:rPr>
                <w:rFonts w:ascii="宋体" w:hAnsi="宋体" w:eastAsia="宋体" w:cs="宋体"/>
                <w:sz w:val="20"/>
                <w:szCs w:val="20"/>
              </w:rPr>
              <w:t xml:space="preserve"> 备</w:t>
            </w:r>
          </w:p>
        </w:tc>
      </w:tr>
      <w:tr w14:paraId="291754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802" w:type="dxa"/>
            <w:tcBorders>
              <w:left w:val="nil"/>
            </w:tcBorders>
          </w:tcPr>
          <w:p w14:paraId="40A7FED5">
            <w:pPr>
              <w:spacing w:line="283" w:lineRule="auto"/>
            </w:pPr>
          </w:p>
          <w:p w14:paraId="07E809A6">
            <w:pPr>
              <w:spacing w:before="61" w:line="186" w:lineRule="auto"/>
              <w:ind w:left="357"/>
              <w:rPr>
                <w:rFonts w:ascii="Calibri" w:hAnsi="Calibri" w:eastAsia="Calibri" w:cs="Calibri"/>
                <w:sz w:val="20"/>
                <w:szCs w:val="20"/>
              </w:rPr>
            </w:pPr>
            <w:r>
              <w:rPr>
                <w:rFonts w:ascii="Calibri" w:hAnsi="Calibri" w:eastAsia="Calibri" w:cs="Calibri"/>
                <w:sz w:val="20"/>
                <w:szCs w:val="20"/>
              </w:rPr>
              <w:t>8</w:t>
            </w:r>
          </w:p>
        </w:tc>
        <w:tc>
          <w:tcPr>
            <w:tcW w:w="2360" w:type="dxa"/>
          </w:tcPr>
          <w:p w14:paraId="6BC6D7BB">
            <w:pPr>
              <w:spacing w:before="35" w:line="251" w:lineRule="auto"/>
              <w:ind w:left="135" w:right="129" w:firstLine="1"/>
              <w:rPr>
                <w:rFonts w:ascii="宋体" w:hAnsi="宋体" w:eastAsia="宋体" w:cs="宋体"/>
                <w:sz w:val="20"/>
                <w:szCs w:val="20"/>
              </w:rPr>
            </w:pPr>
            <w:r>
              <w:rPr>
                <w:rFonts w:ascii="宋体" w:hAnsi="宋体" w:eastAsia="宋体" w:cs="宋体"/>
                <w:spacing w:val="15"/>
                <w:sz w:val="20"/>
                <w:szCs w:val="20"/>
              </w:rPr>
              <w:t>人</w:t>
            </w:r>
            <w:r>
              <w:rPr>
                <w:rFonts w:ascii="宋体" w:hAnsi="宋体" w:eastAsia="宋体" w:cs="宋体"/>
                <w:spacing w:val="8"/>
                <w:sz w:val="20"/>
                <w:szCs w:val="20"/>
              </w:rPr>
              <w:t>员紧急撤离、疏散，</w:t>
            </w:r>
            <w:r>
              <w:rPr>
                <w:rFonts w:ascii="宋体" w:hAnsi="宋体" w:eastAsia="宋体" w:cs="宋体"/>
                <w:sz w:val="20"/>
                <w:szCs w:val="20"/>
              </w:rPr>
              <w:t xml:space="preserve"> </w:t>
            </w:r>
            <w:r>
              <w:rPr>
                <w:rFonts w:ascii="宋体" w:hAnsi="宋体" w:eastAsia="宋体" w:cs="宋体"/>
                <w:spacing w:val="9"/>
                <w:sz w:val="20"/>
                <w:szCs w:val="20"/>
              </w:rPr>
              <w:t>应急剂量控制、撤离</w:t>
            </w:r>
            <w:r>
              <w:rPr>
                <w:rFonts w:ascii="宋体" w:hAnsi="宋体" w:eastAsia="宋体" w:cs="宋体"/>
                <w:spacing w:val="8"/>
                <w:sz w:val="20"/>
                <w:szCs w:val="20"/>
              </w:rPr>
              <w:t>组</w:t>
            </w:r>
          </w:p>
          <w:p w14:paraId="464F0423">
            <w:pPr>
              <w:spacing w:line="223" w:lineRule="auto"/>
              <w:ind w:left="873"/>
              <w:rPr>
                <w:rFonts w:ascii="宋体" w:hAnsi="宋体" w:eastAsia="宋体" w:cs="宋体"/>
                <w:sz w:val="20"/>
                <w:szCs w:val="20"/>
              </w:rPr>
            </w:pPr>
            <w:r>
              <w:rPr>
                <w:rFonts w:ascii="宋体" w:hAnsi="宋体" w:eastAsia="宋体" w:cs="宋体"/>
                <w:spacing w:val="6"/>
                <w:sz w:val="20"/>
                <w:szCs w:val="20"/>
              </w:rPr>
              <w:t>织计</w:t>
            </w:r>
            <w:r>
              <w:rPr>
                <w:rFonts w:ascii="宋体" w:hAnsi="宋体" w:eastAsia="宋体" w:cs="宋体"/>
                <w:spacing w:val="5"/>
                <w:sz w:val="20"/>
                <w:szCs w:val="20"/>
              </w:rPr>
              <w:t>划</w:t>
            </w:r>
          </w:p>
        </w:tc>
        <w:tc>
          <w:tcPr>
            <w:tcW w:w="6550" w:type="dxa"/>
            <w:tcBorders>
              <w:right w:val="nil"/>
            </w:tcBorders>
          </w:tcPr>
          <w:p w14:paraId="605E9F6F">
            <w:pPr>
              <w:spacing w:before="171" w:line="265" w:lineRule="auto"/>
              <w:ind w:left="113" w:right="108"/>
              <w:rPr>
                <w:rFonts w:ascii="宋体" w:hAnsi="宋体" w:eastAsia="宋体" w:cs="宋体"/>
                <w:sz w:val="20"/>
                <w:szCs w:val="20"/>
              </w:rPr>
            </w:pPr>
            <w:r>
              <w:rPr>
                <w:rFonts w:ascii="宋体" w:hAnsi="宋体" w:eastAsia="宋体" w:cs="宋体"/>
                <w:spacing w:val="11"/>
                <w:sz w:val="20"/>
                <w:szCs w:val="20"/>
              </w:rPr>
              <w:t>事故现场、项目邻近区、受事故影响的区域人员及公众对毒物应急</w:t>
            </w:r>
            <w:r>
              <w:rPr>
                <w:rFonts w:ascii="宋体" w:hAnsi="宋体" w:eastAsia="宋体" w:cs="宋体"/>
                <w:spacing w:val="6"/>
                <w:sz w:val="20"/>
                <w:szCs w:val="20"/>
              </w:rPr>
              <w:t>剂</w:t>
            </w:r>
            <w:r>
              <w:rPr>
                <w:rFonts w:ascii="宋体" w:hAnsi="宋体" w:eastAsia="宋体" w:cs="宋体"/>
                <w:sz w:val="20"/>
                <w:szCs w:val="20"/>
              </w:rPr>
              <w:t xml:space="preserve"> </w:t>
            </w:r>
            <w:r>
              <w:rPr>
                <w:rFonts w:ascii="宋体" w:hAnsi="宋体" w:eastAsia="宋体" w:cs="宋体"/>
                <w:spacing w:val="18"/>
                <w:sz w:val="20"/>
                <w:szCs w:val="20"/>
              </w:rPr>
              <w:t>量</w:t>
            </w:r>
            <w:r>
              <w:rPr>
                <w:rFonts w:ascii="宋体" w:hAnsi="宋体" w:eastAsia="宋体" w:cs="宋体"/>
                <w:spacing w:val="15"/>
                <w:sz w:val="20"/>
                <w:szCs w:val="20"/>
              </w:rPr>
              <w:t>控</w:t>
            </w:r>
            <w:r>
              <w:rPr>
                <w:rFonts w:ascii="宋体" w:hAnsi="宋体" w:eastAsia="宋体" w:cs="宋体"/>
                <w:spacing w:val="9"/>
                <w:sz w:val="20"/>
                <w:szCs w:val="20"/>
              </w:rPr>
              <w:t>制规定，撤离组织计划及救护，医疗救护与公众健康</w:t>
            </w:r>
          </w:p>
        </w:tc>
      </w:tr>
      <w:tr w14:paraId="5F4A38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802" w:type="dxa"/>
            <w:tcBorders>
              <w:left w:val="nil"/>
            </w:tcBorders>
          </w:tcPr>
          <w:p w14:paraId="7F17FACF">
            <w:pPr>
              <w:spacing w:before="211" w:line="186" w:lineRule="auto"/>
              <w:ind w:left="357"/>
              <w:rPr>
                <w:rFonts w:ascii="Calibri" w:hAnsi="Calibri" w:eastAsia="Calibri" w:cs="Calibri"/>
                <w:sz w:val="20"/>
                <w:szCs w:val="20"/>
              </w:rPr>
            </w:pPr>
            <w:r>
              <w:rPr>
                <w:rFonts w:ascii="Calibri" w:hAnsi="Calibri" w:eastAsia="Calibri" w:cs="Calibri"/>
                <w:sz w:val="20"/>
                <w:szCs w:val="20"/>
              </w:rPr>
              <w:t>9</w:t>
            </w:r>
          </w:p>
        </w:tc>
        <w:tc>
          <w:tcPr>
            <w:tcW w:w="2360" w:type="dxa"/>
          </w:tcPr>
          <w:p w14:paraId="55FDDD78">
            <w:pPr>
              <w:spacing w:before="36" w:line="237" w:lineRule="auto"/>
              <w:ind w:left="664" w:right="129" w:hanging="529"/>
              <w:rPr>
                <w:rFonts w:ascii="宋体" w:hAnsi="宋体" w:eastAsia="宋体" w:cs="宋体"/>
                <w:sz w:val="20"/>
                <w:szCs w:val="20"/>
              </w:rPr>
            </w:pPr>
            <w:r>
              <w:rPr>
                <w:rFonts w:ascii="宋体" w:hAnsi="宋体" w:eastAsia="宋体" w:cs="宋体"/>
                <w:spacing w:val="9"/>
                <w:sz w:val="20"/>
                <w:szCs w:val="20"/>
              </w:rPr>
              <w:t>事故应急救援关闭程</w:t>
            </w:r>
            <w:r>
              <w:rPr>
                <w:rFonts w:ascii="宋体" w:hAnsi="宋体" w:eastAsia="宋体" w:cs="宋体"/>
                <w:spacing w:val="8"/>
                <w:sz w:val="20"/>
                <w:szCs w:val="20"/>
              </w:rPr>
              <w:t>序</w:t>
            </w:r>
            <w:r>
              <w:rPr>
                <w:rFonts w:ascii="宋体" w:hAnsi="宋体" w:eastAsia="宋体" w:cs="宋体"/>
                <w:sz w:val="20"/>
                <w:szCs w:val="20"/>
              </w:rPr>
              <w:t xml:space="preserve"> </w:t>
            </w:r>
            <w:r>
              <w:rPr>
                <w:rFonts w:ascii="宋体" w:hAnsi="宋体" w:eastAsia="宋体" w:cs="宋体"/>
                <w:spacing w:val="8"/>
                <w:sz w:val="20"/>
                <w:szCs w:val="20"/>
              </w:rPr>
              <w:t>与</w:t>
            </w:r>
            <w:r>
              <w:rPr>
                <w:rFonts w:ascii="宋体" w:hAnsi="宋体" w:eastAsia="宋体" w:cs="宋体"/>
                <w:spacing w:val="7"/>
                <w:sz w:val="20"/>
                <w:szCs w:val="20"/>
              </w:rPr>
              <w:t>恢复措施</w:t>
            </w:r>
          </w:p>
        </w:tc>
        <w:tc>
          <w:tcPr>
            <w:tcW w:w="6550" w:type="dxa"/>
            <w:tcBorders>
              <w:right w:val="nil"/>
            </w:tcBorders>
          </w:tcPr>
          <w:p w14:paraId="0726319E">
            <w:pPr>
              <w:spacing w:before="36" w:line="237" w:lineRule="auto"/>
              <w:ind w:left="116" w:right="108" w:hanging="2"/>
              <w:rPr>
                <w:rFonts w:ascii="宋体" w:hAnsi="宋体" w:eastAsia="宋体" w:cs="宋体"/>
                <w:sz w:val="20"/>
                <w:szCs w:val="20"/>
              </w:rPr>
            </w:pPr>
            <w:r>
              <w:rPr>
                <w:rFonts w:ascii="宋体" w:hAnsi="宋体" w:eastAsia="宋体" w:cs="宋体"/>
                <w:spacing w:val="11"/>
                <w:sz w:val="20"/>
                <w:szCs w:val="20"/>
              </w:rPr>
              <w:t>规定应急状态终止程序事故现场善后处理，恢复措施邻近区域解除</w:t>
            </w:r>
            <w:r>
              <w:rPr>
                <w:rFonts w:ascii="宋体" w:hAnsi="宋体" w:eastAsia="宋体" w:cs="宋体"/>
                <w:spacing w:val="5"/>
                <w:sz w:val="20"/>
                <w:szCs w:val="20"/>
              </w:rPr>
              <w:t>事</w:t>
            </w:r>
            <w:r>
              <w:rPr>
                <w:rFonts w:ascii="宋体" w:hAnsi="宋体" w:eastAsia="宋体" w:cs="宋体"/>
                <w:sz w:val="20"/>
                <w:szCs w:val="20"/>
              </w:rPr>
              <w:t xml:space="preserve"> </w:t>
            </w:r>
            <w:r>
              <w:rPr>
                <w:rFonts w:ascii="宋体" w:hAnsi="宋体" w:eastAsia="宋体" w:cs="宋体"/>
                <w:spacing w:val="14"/>
                <w:sz w:val="20"/>
                <w:szCs w:val="20"/>
              </w:rPr>
              <w:t>故</w:t>
            </w:r>
            <w:r>
              <w:rPr>
                <w:rFonts w:ascii="宋体" w:hAnsi="宋体" w:eastAsia="宋体" w:cs="宋体"/>
                <w:spacing w:val="8"/>
                <w:sz w:val="20"/>
                <w:szCs w:val="20"/>
              </w:rPr>
              <w:t>警戒及善后恢复措施</w:t>
            </w:r>
          </w:p>
        </w:tc>
      </w:tr>
      <w:tr w14:paraId="3EB48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2" w:type="dxa"/>
            <w:tcBorders>
              <w:left w:val="nil"/>
            </w:tcBorders>
          </w:tcPr>
          <w:p w14:paraId="3D754909">
            <w:pPr>
              <w:spacing w:before="74" w:line="186" w:lineRule="auto"/>
              <w:ind w:left="313"/>
              <w:rPr>
                <w:rFonts w:ascii="Calibri" w:hAnsi="Calibri" w:eastAsia="Calibri" w:cs="Calibri"/>
                <w:sz w:val="20"/>
                <w:szCs w:val="20"/>
              </w:rPr>
            </w:pPr>
            <w:r>
              <w:rPr>
                <w:rFonts w:ascii="Calibri" w:hAnsi="Calibri" w:eastAsia="Calibri" w:cs="Calibri"/>
                <w:spacing w:val="-6"/>
                <w:sz w:val="20"/>
                <w:szCs w:val="20"/>
              </w:rPr>
              <w:t>1</w:t>
            </w:r>
            <w:r>
              <w:rPr>
                <w:rFonts w:ascii="Calibri" w:hAnsi="Calibri" w:eastAsia="Calibri" w:cs="Calibri"/>
                <w:spacing w:val="-4"/>
                <w:sz w:val="20"/>
                <w:szCs w:val="20"/>
              </w:rPr>
              <w:t>0</w:t>
            </w:r>
          </w:p>
        </w:tc>
        <w:tc>
          <w:tcPr>
            <w:tcW w:w="2360" w:type="dxa"/>
          </w:tcPr>
          <w:p w14:paraId="577FBFAD">
            <w:pPr>
              <w:spacing w:before="35" w:line="223" w:lineRule="auto"/>
              <w:ind w:left="555"/>
              <w:rPr>
                <w:rFonts w:ascii="宋体" w:hAnsi="宋体" w:eastAsia="宋体" w:cs="宋体"/>
                <w:sz w:val="20"/>
                <w:szCs w:val="20"/>
              </w:rPr>
            </w:pPr>
            <w:r>
              <w:rPr>
                <w:rFonts w:ascii="宋体" w:hAnsi="宋体" w:eastAsia="宋体" w:cs="宋体"/>
                <w:spacing w:val="9"/>
                <w:sz w:val="20"/>
                <w:szCs w:val="20"/>
              </w:rPr>
              <w:t>应</w:t>
            </w:r>
            <w:r>
              <w:rPr>
                <w:rFonts w:ascii="宋体" w:hAnsi="宋体" w:eastAsia="宋体" w:cs="宋体"/>
                <w:spacing w:val="8"/>
                <w:sz w:val="20"/>
                <w:szCs w:val="20"/>
              </w:rPr>
              <w:t>急培训计划</w:t>
            </w:r>
          </w:p>
        </w:tc>
        <w:tc>
          <w:tcPr>
            <w:tcW w:w="6550" w:type="dxa"/>
            <w:tcBorders>
              <w:right w:val="nil"/>
            </w:tcBorders>
          </w:tcPr>
          <w:p w14:paraId="5AE92EC8">
            <w:pPr>
              <w:spacing w:before="35" w:line="223" w:lineRule="auto"/>
              <w:ind w:left="113"/>
              <w:rPr>
                <w:rFonts w:ascii="宋体" w:hAnsi="宋体" w:eastAsia="宋体" w:cs="宋体"/>
                <w:sz w:val="20"/>
                <w:szCs w:val="20"/>
              </w:rPr>
            </w:pPr>
            <w:r>
              <w:rPr>
                <w:rFonts w:ascii="宋体" w:hAnsi="宋体" w:eastAsia="宋体" w:cs="宋体"/>
                <w:spacing w:val="18"/>
                <w:sz w:val="20"/>
                <w:szCs w:val="20"/>
              </w:rPr>
              <w:t>应</w:t>
            </w:r>
            <w:r>
              <w:rPr>
                <w:rFonts w:ascii="宋体" w:hAnsi="宋体" w:eastAsia="宋体" w:cs="宋体"/>
                <w:spacing w:val="9"/>
                <w:sz w:val="20"/>
                <w:szCs w:val="20"/>
              </w:rPr>
              <w:t>急计划制定后，平时安排人员培训与演练</w:t>
            </w:r>
          </w:p>
        </w:tc>
      </w:tr>
      <w:tr w14:paraId="029E9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02" w:type="dxa"/>
            <w:tcBorders>
              <w:left w:val="nil"/>
            </w:tcBorders>
          </w:tcPr>
          <w:p w14:paraId="2FB158A1">
            <w:pPr>
              <w:spacing w:before="76" w:line="185" w:lineRule="auto"/>
              <w:ind w:left="313"/>
              <w:rPr>
                <w:rFonts w:ascii="Calibri" w:hAnsi="Calibri" w:eastAsia="Calibri" w:cs="Calibri"/>
                <w:sz w:val="20"/>
                <w:szCs w:val="20"/>
              </w:rPr>
            </w:pPr>
            <w:r>
              <w:rPr>
                <w:rFonts w:ascii="Calibri" w:hAnsi="Calibri" w:eastAsia="Calibri" w:cs="Calibri"/>
                <w:spacing w:val="-6"/>
                <w:sz w:val="20"/>
                <w:szCs w:val="20"/>
              </w:rPr>
              <w:t>1</w:t>
            </w:r>
            <w:r>
              <w:rPr>
                <w:rFonts w:ascii="Calibri" w:hAnsi="Calibri" w:eastAsia="Calibri" w:cs="Calibri"/>
                <w:spacing w:val="-4"/>
                <w:sz w:val="20"/>
                <w:szCs w:val="20"/>
              </w:rPr>
              <w:t>1</w:t>
            </w:r>
          </w:p>
        </w:tc>
        <w:tc>
          <w:tcPr>
            <w:tcW w:w="2360" w:type="dxa"/>
          </w:tcPr>
          <w:p w14:paraId="41A1D9D3">
            <w:pPr>
              <w:spacing w:before="34" w:line="224" w:lineRule="auto"/>
              <w:ind w:left="456"/>
              <w:rPr>
                <w:rFonts w:ascii="宋体" w:hAnsi="宋体" w:eastAsia="宋体" w:cs="宋体"/>
                <w:sz w:val="20"/>
                <w:szCs w:val="20"/>
              </w:rPr>
            </w:pPr>
            <w:r>
              <w:rPr>
                <w:rFonts w:ascii="宋体" w:hAnsi="宋体" w:eastAsia="宋体" w:cs="宋体"/>
                <w:spacing w:val="12"/>
                <w:sz w:val="20"/>
                <w:szCs w:val="20"/>
              </w:rPr>
              <w:t>公</w:t>
            </w:r>
            <w:r>
              <w:rPr>
                <w:rFonts w:ascii="宋体" w:hAnsi="宋体" w:eastAsia="宋体" w:cs="宋体"/>
                <w:spacing w:val="7"/>
                <w:sz w:val="20"/>
                <w:szCs w:val="20"/>
              </w:rPr>
              <w:t>众教育和信息</w:t>
            </w:r>
          </w:p>
        </w:tc>
        <w:tc>
          <w:tcPr>
            <w:tcW w:w="6550" w:type="dxa"/>
            <w:tcBorders>
              <w:right w:val="nil"/>
            </w:tcBorders>
          </w:tcPr>
          <w:p w14:paraId="792E5C79">
            <w:pPr>
              <w:spacing w:before="34" w:line="224" w:lineRule="auto"/>
              <w:ind w:left="112"/>
              <w:rPr>
                <w:rFonts w:ascii="宋体" w:hAnsi="宋体" w:eastAsia="宋体" w:cs="宋体"/>
                <w:sz w:val="20"/>
                <w:szCs w:val="20"/>
              </w:rPr>
            </w:pPr>
            <w:r>
              <w:rPr>
                <w:rFonts w:ascii="宋体" w:hAnsi="宋体" w:eastAsia="宋体" w:cs="宋体"/>
                <w:spacing w:val="18"/>
                <w:sz w:val="20"/>
                <w:szCs w:val="20"/>
              </w:rPr>
              <w:t>对</w:t>
            </w:r>
            <w:r>
              <w:rPr>
                <w:rFonts w:ascii="宋体" w:hAnsi="宋体" w:eastAsia="宋体" w:cs="宋体"/>
                <w:spacing w:val="14"/>
                <w:sz w:val="20"/>
                <w:szCs w:val="20"/>
              </w:rPr>
              <w:t>项</w:t>
            </w:r>
            <w:r>
              <w:rPr>
                <w:rFonts w:ascii="宋体" w:hAnsi="宋体" w:eastAsia="宋体" w:cs="宋体"/>
                <w:spacing w:val="9"/>
                <w:sz w:val="20"/>
                <w:szCs w:val="20"/>
              </w:rPr>
              <w:t>目邻近地区开展公众教育、培训和发布有关信息</w:t>
            </w:r>
          </w:p>
        </w:tc>
      </w:tr>
      <w:tr w14:paraId="51B59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802" w:type="dxa"/>
            <w:tcBorders>
              <w:left w:val="nil"/>
            </w:tcBorders>
          </w:tcPr>
          <w:p w14:paraId="186A2517">
            <w:pPr>
              <w:spacing w:before="210" w:line="187" w:lineRule="auto"/>
              <w:ind w:left="313"/>
              <w:rPr>
                <w:rFonts w:ascii="Calibri" w:hAnsi="Calibri" w:eastAsia="Calibri" w:cs="Calibri"/>
                <w:sz w:val="20"/>
                <w:szCs w:val="20"/>
              </w:rPr>
            </w:pPr>
            <w:r>
              <w:rPr>
                <w:rFonts w:ascii="Calibri" w:hAnsi="Calibri" w:eastAsia="Calibri" w:cs="Calibri"/>
                <w:spacing w:val="-6"/>
                <w:sz w:val="20"/>
                <w:szCs w:val="20"/>
              </w:rPr>
              <w:t>1</w:t>
            </w:r>
            <w:r>
              <w:rPr>
                <w:rFonts w:ascii="Calibri" w:hAnsi="Calibri" w:eastAsia="Calibri" w:cs="Calibri"/>
                <w:spacing w:val="-4"/>
                <w:sz w:val="20"/>
                <w:szCs w:val="20"/>
              </w:rPr>
              <w:t>2</w:t>
            </w:r>
          </w:p>
        </w:tc>
        <w:tc>
          <w:tcPr>
            <w:tcW w:w="2360" w:type="dxa"/>
          </w:tcPr>
          <w:p w14:paraId="3B1D975C">
            <w:pPr>
              <w:spacing w:before="172" w:line="226" w:lineRule="auto"/>
              <w:ind w:left="660"/>
              <w:rPr>
                <w:rFonts w:ascii="宋体" w:hAnsi="宋体" w:eastAsia="宋体" w:cs="宋体"/>
                <w:sz w:val="20"/>
                <w:szCs w:val="20"/>
              </w:rPr>
            </w:pPr>
            <w:r>
              <w:rPr>
                <w:rFonts w:ascii="宋体" w:hAnsi="宋体" w:eastAsia="宋体" w:cs="宋体"/>
                <w:spacing w:val="9"/>
                <w:sz w:val="20"/>
                <w:szCs w:val="20"/>
              </w:rPr>
              <w:t>记</w:t>
            </w:r>
            <w:r>
              <w:rPr>
                <w:rFonts w:ascii="宋体" w:hAnsi="宋体" w:eastAsia="宋体" w:cs="宋体"/>
                <w:spacing w:val="8"/>
                <w:sz w:val="20"/>
                <w:szCs w:val="20"/>
              </w:rPr>
              <w:t>录和报告</w:t>
            </w:r>
          </w:p>
        </w:tc>
        <w:tc>
          <w:tcPr>
            <w:tcW w:w="6550" w:type="dxa"/>
            <w:tcBorders>
              <w:right w:val="nil"/>
            </w:tcBorders>
          </w:tcPr>
          <w:p w14:paraId="79447125">
            <w:pPr>
              <w:spacing w:before="36" w:line="237" w:lineRule="auto"/>
              <w:ind w:left="120" w:right="108" w:hanging="4"/>
              <w:rPr>
                <w:rFonts w:ascii="宋体" w:hAnsi="宋体" w:eastAsia="宋体" w:cs="宋体"/>
                <w:sz w:val="20"/>
                <w:szCs w:val="20"/>
              </w:rPr>
            </w:pPr>
            <w:r>
              <w:rPr>
                <w:rFonts w:ascii="宋体" w:hAnsi="宋体" w:eastAsia="宋体" w:cs="宋体"/>
                <w:spacing w:val="20"/>
                <w:sz w:val="20"/>
                <w:szCs w:val="20"/>
              </w:rPr>
              <w:t>设置</w:t>
            </w:r>
            <w:r>
              <w:rPr>
                <w:rFonts w:ascii="宋体" w:hAnsi="宋体" w:eastAsia="宋体" w:cs="宋体"/>
                <w:spacing w:val="11"/>
                <w:sz w:val="20"/>
                <w:szCs w:val="20"/>
              </w:rPr>
              <w:t>环</w:t>
            </w:r>
            <w:r>
              <w:rPr>
                <w:rFonts w:ascii="宋体" w:hAnsi="宋体" w:eastAsia="宋体" w:cs="宋体"/>
                <w:spacing w:val="10"/>
                <w:sz w:val="20"/>
                <w:szCs w:val="20"/>
              </w:rPr>
              <w:t>境风险事故应急处置记录，建立档案和报告制度，设专门人员</w:t>
            </w:r>
            <w:r>
              <w:rPr>
                <w:rFonts w:ascii="宋体" w:hAnsi="宋体" w:eastAsia="宋体" w:cs="宋体"/>
                <w:sz w:val="20"/>
                <w:szCs w:val="20"/>
              </w:rPr>
              <w:t xml:space="preserve"> </w:t>
            </w:r>
            <w:r>
              <w:rPr>
                <w:rFonts w:ascii="宋体" w:hAnsi="宋体" w:eastAsia="宋体" w:cs="宋体"/>
                <w:spacing w:val="5"/>
                <w:sz w:val="20"/>
                <w:szCs w:val="20"/>
              </w:rPr>
              <w:t>负</w:t>
            </w:r>
            <w:r>
              <w:rPr>
                <w:rFonts w:ascii="宋体" w:hAnsi="宋体" w:eastAsia="宋体" w:cs="宋体"/>
                <w:spacing w:val="4"/>
                <w:sz w:val="20"/>
                <w:szCs w:val="20"/>
              </w:rPr>
              <w:t>责管理。</w:t>
            </w:r>
          </w:p>
        </w:tc>
      </w:tr>
      <w:tr w14:paraId="486CA0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802" w:type="dxa"/>
            <w:tcBorders>
              <w:left w:val="nil"/>
            </w:tcBorders>
          </w:tcPr>
          <w:p w14:paraId="3EADC3B0">
            <w:pPr>
              <w:spacing w:before="210" w:line="186" w:lineRule="auto"/>
              <w:ind w:left="313"/>
              <w:rPr>
                <w:rFonts w:ascii="Calibri" w:hAnsi="Calibri" w:eastAsia="Calibri" w:cs="Calibri"/>
                <w:sz w:val="20"/>
                <w:szCs w:val="20"/>
              </w:rPr>
            </w:pPr>
            <w:r>
              <w:rPr>
                <w:rFonts w:ascii="Calibri" w:hAnsi="Calibri" w:eastAsia="Calibri" w:cs="Calibri"/>
                <w:spacing w:val="-6"/>
                <w:sz w:val="20"/>
                <w:szCs w:val="20"/>
              </w:rPr>
              <w:t>1</w:t>
            </w:r>
            <w:r>
              <w:rPr>
                <w:rFonts w:ascii="Calibri" w:hAnsi="Calibri" w:eastAsia="Calibri" w:cs="Calibri"/>
                <w:spacing w:val="-4"/>
                <w:sz w:val="20"/>
                <w:szCs w:val="20"/>
              </w:rPr>
              <w:t>3</w:t>
            </w:r>
          </w:p>
        </w:tc>
        <w:tc>
          <w:tcPr>
            <w:tcW w:w="2360" w:type="dxa"/>
          </w:tcPr>
          <w:p w14:paraId="2B39174C">
            <w:pPr>
              <w:spacing w:before="169" w:line="227" w:lineRule="auto"/>
              <w:ind w:left="991"/>
              <w:rPr>
                <w:rFonts w:ascii="宋体" w:hAnsi="宋体" w:eastAsia="宋体" w:cs="宋体"/>
                <w:sz w:val="20"/>
                <w:szCs w:val="20"/>
              </w:rPr>
            </w:pPr>
            <w:r>
              <w:rPr>
                <w:rFonts w:ascii="宋体" w:hAnsi="宋体" w:eastAsia="宋体" w:cs="宋体"/>
                <w:spacing w:val="-4"/>
                <w:sz w:val="20"/>
                <w:szCs w:val="20"/>
              </w:rPr>
              <w:t>附</w:t>
            </w:r>
            <w:r>
              <w:rPr>
                <w:rFonts w:ascii="宋体" w:hAnsi="宋体" w:eastAsia="宋体" w:cs="宋体"/>
                <w:spacing w:val="-3"/>
                <w:sz w:val="20"/>
                <w:szCs w:val="20"/>
              </w:rPr>
              <w:t>件</w:t>
            </w:r>
          </w:p>
        </w:tc>
        <w:tc>
          <w:tcPr>
            <w:tcW w:w="6550" w:type="dxa"/>
            <w:tcBorders>
              <w:right w:val="nil"/>
            </w:tcBorders>
          </w:tcPr>
          <w:p w14:paraId="483F88B7">
            <w:pPr>
              <w:spacing w:before="34" w:line="241" w:lineRule="auto"/>
              <w:ind w:left="133" w:right="108" w:hanging="20"/>
              <w:rPr>
                <w:rFonts w:ascii="宋体" w:hAnsi="宋体" w:eastAsia="宋体" w:cs="宋体"/>
                <w:sz w:val="20"/>
                <w:szCs w:val="20"/>
              </w:rPr>
            </w:pPr>
            <w:r>
              <w:rPr>
                <w:rFonts w:ascii="宋体" w:hAnsi="宋体" w:eastAsia="宋体" w:cs="宋体"/>
                <w:spacing w:val="11"/>
                <w:sz w:val="20"/>
                <w:szCs w:val="20"/>
              </w:rPr>
              <w:t>拟建主要负责人联系方式、主要医院联系方式、平面布置图纸、基</w:t>
            </w:r>
            <w:r>
              <w:rPr>
                <w:rFonts w:ascii="宋体" w:hAnsi="宋体" w:eastAsia="宋体" w:cs="宋体"/>
                <w:spacing w:val="6"/>
                <w:sz w:val="20"/>
                <w:szCs w:val="20"/>
              </w:rPr>
              <w:t>建</w:t>
            </w:r>
            <w:r>
              <w:rPr>
                <w:rFonts w:ascii="宋体" w:hAnsi="宋体" w:eastAsia="宋体" w:cs="宋体"/>
                <w:sz w:val="20"/>
                <w:szCs w:val="20"/>
              </w:rPr>
              <w:t xml:space="preserve"> </w:t>
            </w:r>
            <w:r>
              <w:rPr>
                <w:rFonts w:ascii="宋体" w:hAnsi="宋体" w:eastAsia="宋体" w:cs="宋体"/>
                <w:spacing w:val="13"/>
                <w:sz w:val="20"/>
                <w:szCs w:val="20"/>
              </w:rPr>
              <w:t>图</w:t>
            </w:r>
            <w:r>
              <w:rPr>
                <w:rFonts w:ascii="宋体" w:hAnsi="宋体" w:eastAsia="宋体" w:cs="宋体"/>
                <w:spacing w:val="8"/>
                <w:sz w:val="20"/>
                <w:szCs w:val="20"/>
              </w:rPr>
              <w:t>、管线布置图、环保、安监和消防部门联系方式。</w:t>
            </w:r>
          </w:p>
        </w:tc>
      </w:tr>
    </w:tbl>
    <w:p w14:paraId="0A5A4922">
      <w:pPr>
        <w:spacing w:before="36" w:line="227" w:lineRule="auto"/>
        <w:ind w:left="609"/>
        <w:rPr>
          <w:rFonts w:ascii="宋体" w:hAnsi="宋体" w:eastAsia="宋体" w:cs="宋体"/>
          <w:sz w:val="23"/>
          <w:szCs w:val="23"/>
        </w:rPr>
      </w:pPr>
      <w:r>
        <w:rPr>
          <w:rFonts w:ascii="宋体" w:hAnsi="宋体" w:eastAsia="宋体" w:cs="宋体"/>
          <w:spacing w:val="17"/>
          <w:sz w:val="23"/>
          <w:szCs w:val="23"/>
        </w:rPr>
        <w:t>(</w:t>
      </w:r>
      <w:r>
        <w:rPr>
          <w:rFonts w:ascii="Times New Roman" w:hAnsi="Times New Roman" w:eastAsia="Times New Roman" w:cs="Times New Roman"/>
          <w:spacing w:val="16"/>
          <w:sz w:val="23"/>
          <w:szCs w:val="23"/>
        </w:rPr>
        <w:t>1</w:t>
      </w:r>
      <w:r>
        <w:rPr>
          <w:rFonts w:ascii="宋体" w:hAnsi="宋体" w:eastAsia="宋体" w:cs="宋体"/>
          <w:spacing w:val="16"/>
          <w:sz w:val="23"/>
          <w:szCs w:val="23"/>
        </w:rPr>
        <w:t>) 应急组织机构、人员</w:t>
      </w:r>
    </w:p>
    <w:p w14:paraId="44B44344">
      <w:pPr>
        <w:spacing w:before="183" w:line="375" w:lineRule="auto"/>
        <w:ind w:left="118" w:right="28" w:firstLine="480"/>
        <w:rPr>
          <w:rFonts w:ascii="宋体" w:hAnsi="宋体" w:eastAsia="宋体" w:cs="宋体"/>
          <w:sz w:val="23"/>
          <w:szCs w:val="23"/>
        </w:rPr>
      </w:pPr>
      <w:r>
        <w:rPr>
          <w:rFonts w:ascii="宋体" w:hAnsi="宋体" w:eastAsia="宋体" w:cs="宋体"/>
          <w:spacing w:val="7"/>
          <w:sz w:val="23"/>
          <w:szCs w:val="23"/>
        </w:rPr>
        <w:t>本养殖场应设立事故应急指挥部，指挥由养殖场总经理担任。指挥部下按各自职责设</w:t>
      </w:r>
      <w:r>
        <w:rPr>
          <w:rFonts w:ascii="宋体" w:hAnsi="宋体" w:eastAsia="宋体" w:cs="宋体"/>
          <w:spacing w:val="5"/>
          <w:sz w:val="23"/>
          <w:szCs w:val="23"/>
        </w:rPr>
        <w:t>立</w:t>
      </w:r>
      <w:r>
        <w:rPr>
          <w:rFonts w:ascii="宋体" w:hAnsi="宋体" w:eastAsia="宋体" w:cs="宋体"/>
          <w:sz w:val="23"/>
          <w:szCs w:val="23"/>
        </w:rPr>
        <w:t xml:space="preserve"> </w:t>
      </w:r>
      <w:r>
        <w:rPr>
          <w:rFonts w:ascii="宋体" w:hAnsi="宋体" w:eastAsia="宋体" w:cs="宋体"/>
          <w:spacing w:val="6"/>
          <w:sz w:val="23"/>
          <w:szCs w:val="23"/>
        </w:rPr>
        <w:t>应急防治</w:t>
      </w:r>
      <w:r>
        <w:rPr>
          <w:rFonts w:ascii="宋体" w:hAnsi="宋体" w:eastAsia="宋体" w:cs="宋体"/>
          <w:spacing w:val="3"/>
          <w:sz w:val="23"/>
          <w:szCs w:val="23"/>
        </w:rPr>
        <w:t>小组：清污组、通信组、工艺组、警戒组、物资供应组、现场救护组、设备保障组、</w:t>
      </w:r>
      <w:r>
        <w:rPr>
          <w:rFonts w:ascii="宋体" w:hAnsi="宋体" w:eastAsia="宋体" w:cs="宋体"/>
          <w:sz w:val="23"/>
          <w:szCs w:val="23"/>
        </w:rPr>
        <w:t xml:space="preserve"> </w:t>
      </w:r>
      <w:r>
        <w:rPr>
          <w:rFonts w:ascii="宋体" w:hAnsi="宋体" w:eastAsia="宋体" w:cs="宋体"/>
          <w:spacing w:val="8"/>
          <w:sz w:val="23"/>
          <w:szCs w:val="23"/>
        </w:rPr>
        <w:t>防火组、污染处理组。</w:t>
      </w:r>
    </w:p>
    <w:p w14:paraId="52855E18">
      <w:pPr>
        <w:spacing w:before="5" w:line="374" w:lineRule="auto"/>
        <w:ind w:left="121" w:right="64" w:firstLine="477"/>
        <w:rPr>
          <w:rFonts w:ascii="宋体" w:hAnsi="宋体" w:eastAsia="宋体" w:cs="宋体"/>
          <w:sz w:val="23"/>
          <w:szCs w:val="23"/>
        </w:rPr>
      </w:pPr>
      <w:r>
        <w:rPr>
          <w:rFonts w:ascii="宋体" w:hAnsi="宋体" w:eastAsia="宋体" w:cs="宋体"/>
          <w:spacing w:val="13"/>
          <w:sz w:val="23"/>
          <w:szCs w:val="23"/>
        </w:rPr>
        <w:t>应</w:t>
      </w:r>
      <w:r>
        <w:rPr>
          <w:rFonts w:ascii="宋体" w:hAnsi="宋体" w:eastAsia="宋体" w:cs="宋体"/>
          <w:spacing w:val="8"/>
          <w:sz w:val="23"/>
          <w:szCs w:val="23"/>
        </w:rPr>
        <w:t>急指挥部主要职责：组织制定、审批并发布应急预案；组织指挥污染的控制与清除；</w:t>
      </w:r>
      <w:r>
        <w:rPr>
          <w:rFonts w:ascii="宋体" w:hAnsi="宋体" w:eastAsia="宋体" w:cs="宋体"/>
          <w:sz w:val="23"/>
          <w:szCs w:val="23"/>
        </w:rPr>
        <w:t xml:space="preserve"> </w:t>
      </w:r>
      <w:r>
        <w:rPr>
          <w:rFonts w:ascii="宋体" w:hAnsi="宋体" w:eastAsia="宋体" w:cs="宋体"/>
          <w:spacing w:val="9"/>
          <w:sz w:val="23"/>
          <w:szCs w:val="23"/>
        </w:rPr>
        <w:t>审</w:t>
      </w:r>
      <w:r>
        <w:rPr>
          <w:rFonts w:ascii="宋体" w:hAnsi="宋体" w:eastAsia="宋体" w:cs="宋体"/>
          <w:spacing w:val="7"/>
          <w:sz w:val="23"/>
          <w:szCs w:val="23"/>
        </w:rPr>
        <w:t>核和批准使用清污技术和设备；下达预案实施命令，向上级部门汇报情况，和有关单位保</w:t>
      </w:r>
      <w:r>
        <w:rPr>
          <w:rFonts w:ascii="宋体" w:hAnsi="宋体" w:eastAsia="宋体" w:cs="宋体"/>
          <w:sz w:val="23"/>
          <w:szCs w:val="23"/>
        </w:rPr>
        <w:t xml:space="preserve"> </w:t>
      </w:r>
      <w:r>
        <w:rPr>
          <w:rFonts w:ascii="宋体" w:hAnsi="宋体" w:eastAsia="宋体" w:cs="宋体"/>
          <w:spacing w:val="9"/>
          <w:sz w:val="23"/>
          <w:szCs w:val="23"/>
        </w:rPr>
        <w:t>持</w:t>
      </w:r>
      <w:r>
        <w:rPr>
          <w:rFonts w:ascii="宋体" w:hAnsi="宋体" w:eastAsia="宋体" w:cs="宋体"/>
          <w:spacing w:val="7"/>
          <w:sz w:val="23"/>
          <w:szCs w:val="23"/>
        </w:rPr>
        <w:t>联系；发生较大规模事故时，做出请求乐山市协助的决策；及时组织消防力量，防止沼气</w:t>
      </w:r>
      <w:r>
        <w:rPr>
          <w:rFonts w:ascii="宋体" w:hAnsi="宋体" w:eastAsia="宋体" w:cs="宋体"/>
          <w:sz w:val="23"/>
          <w:szCs w:val="23"/>
        </w:rPr>
        <w:t xml:space="preserve"> </w:t>
      </w:r>
      <w:r>
        <w:rPr>
          <w:rFonts w:ascii="宋体" w:hAnsi="宋体" w:eastAsia="宋体" w:cs="宋体"/>
          <w:spacing w:val="9"/>
          <w:sz w:val="23"/>
          <w:szCs w:val="23"/>
        </w:rPr>
        <w:t>系</w:t>
      </w:r>
      <w:r>
        <w:rPr>
          <w:rFonts w:ascii="宋体" w:hAnsi="宋体" w:eastAsia="宋体" w:cs="宋体"/>
          <w:spacing w:val="7"/>
          <w:sz w:val="23"/>
          <w:szCs w:val="23"/>
        </w:rPr>
        <w:t>统爆炸火灾的发生；及时安排人员，进行现场医疗救护；组织培训和演习；安排人员对设</w:t>
      </w:r>
      <w:r>
        <w:rPr>
          <w:rFonts w:ascii="宋体" w:hAnsi="宋体" w:eastAsia="宋体" w:cs="宋体"/>
          <w:sz w:val="23"/>
          <w:szCs w:val="23"/>
        </w:rPr>
        <w:t xml:space="preserve"> </w:t>
      </w:r>
      <w:r>
        <w:rPr>
          <w:rFonts w:ascii="宋体" w:hAnsi="宋体" w:eastAsia="宋体" w:cs="宋体"/>
          <w:spacing w:val="9"/>
          <w:sz w:val="23"/>
          <w:szCs w:val="23"/>
        </w:rPr>
        <w:t>备进行维护保养；及时组织应急预案的修订</w:t>
      </w:r>
      <w:r>
        <w:rPr>
          <w:rFonts w:ascii="宋体" w:hAnsi="宋体" w:eastAsia="宋体" w:cs="宋体"/>
          <w:spacing w:val="6"/>
          <w:sz w:val="23"/>
          <w:szCs w:val="23"/>
        </w:rPr>
        <w:t>。</w:t>
      </w:r>
    </w:p>
    <w:p w14:paraId="6177A91D">
      <w:pPr>
        <w:spacing w:line="227" w:lineRule="auto"/>
        <w:ind w:left="609"/>
        <w:rPr>
          <w:rFonts w:ascii="宋体" w:hAnsi="宋体" w:eastAsia="宋体" w:cs="宋体"/>
          <w:sz w:val="23"/>
          <w:szCs w:val="23"/>
        </w:rPr>
      </w:pPr>
      <w:r>
        <w:rPr>
          <w:rFonts w:ascii="宋体" w:hAnsi="宋体" w:eastAsia="宋体" w:cs="宋体"/>
          <w:spacing w:val="23"/>
          <w:sz w:val="23"/>
          <w:szCs w:val="23"/>
        </w:rPr>
        <w:t>(</w:t>
      </w:r>
      <w:r>
        <w:rPr>
          <w:rFonts w:ascii="Times New Roman" w:hAnsi="Times New Roman" w:eastAsia="Times New Roman" w:cs="Times New Roman"/>
          <w:spacing w:val="16"/>
          <w:sz w:val="23"/>
          <w:szCs w:val="23"/>
        </w:rPr>
        <w:t>2</w:t>
      </w:r>
      <w:r>
        <w:rPr>
          <w:rFonts w:ascii="宋体" w:hAnsi="宋体" w:eastAsia="宋体" w:cs="宋体"/>
          <w:spacing w:val="16"/>
          <w:sz w:val="23"/>
          <w:szCs w:val="23"/>
        </w:rPr>
        <w:t>) 预案分级响应条件</w:t>
      </w:r>
    </w:p>
    <w:p w14:paraId="469FBB0A">
      <w:pPr>
        <w:spacing w:before="182" w:line="375" w:lineRule="auto"/>
        <w:ind w:left="127" w:right="108" w:firstLine="471"/>
        <w:rPr>
          <w:rFonts w:ascii="宋体" w:hAnsi="宋体" w:eastAsia="宋体" w:cs="宋体"/>
          <w:sz w:val="23"/>
          <w:szCs w:val="23"/>
        </w:rPr>
      </w:pPr>
      <w:r>
        <w:rPr>
          <w:rFonts w:ascii="宋体" w:hAnsi="宋体" w:eastAsia="宋体" w:cs="宋体"/>
          <w:spacing w:val="7"/>
          <w:sz w:val="23"/>
          <w:szCs w:val="23"/>
        </w:rPr>
        <w:t>本预案适用于应急处理本养殖场废水泄漏事故，能在短时间内控制、清除污染的设备</w:t>
      </w:r>
      <w:r>
        <w:rPr>
          <w:rFonts w:ascii="宋体" w:hAnsi="宋体" w:eastAsia="宋体" w:cs="宋体"/>
          <w:spacing w:val="5"/>
          <w:sz w:val="23"/>
          <w:szCs w:val="23"/>
        </w:rPr>
        <w:t>和</w:t>
      </w:r>
      <w:r>
        <w:rPr>
          <w:rFonts w:ascii="宋体" w:hAnsi="宋体" w:eastAsia="宋体" w:cs="宋体"/>
          <w:sz w:val="23"/>
          <w:szCs w:val="23"/>
        </w:rPr>
        <w:t xml:space="preserve"> </w:t>
      </w:r>
      <w:r>
        <w:rPr>
          <w:rFonts w:ascii="宋体" w:hAnsi="宋体" w:eastAsia="宋体" w:cs="宋体"/>
          <w:spacing w:val="1"/>
          <w:sz w:val="23"/>
          <w:szCs w:val="23"/>
        </w:rPr>
        <w:t>能</w:t>
      </w:r>
      <w:r>
        <w:rPr>
          <w:rFonts w:ascii="宋体" w:hAnsi="宋体" w:eastAsia="宋体" w:cs="宋体"/>
          <w:sz w:val="23"/>
          <w:szCs w:val="23"/>
        </w:rPr>
        <w:t>力。</w:t>
      </w:r>
    </w:p>
    <w:p w14:paraId="78D751FC">
      <w:pPr>
        <w:spacing w:line="228" w:lineRule="auto"/>
        <w:ind w:left="609"/>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8"/>
          <w:sz w:val="23"/>
          <w:szCs w:val="23"/>
        </w:rPr>
        <w:t>3</w:t>
      </w:r>
      <w:r>
        <w:rPr>
          <w:rFonts w:ascii="宋体" w:hAnsi="宋体" w:eastAsia="宋体" w:cs="宋体"/>
          <w:spacing w:val="18"/>
          <w:sz w:val="23"/>
          <w:szCs w:val="23"/>
        </w:rPr>
        <w:t>) 应急防治设</w:t>
      </w:r>
      <w:r>
        <w:rPr>
          <w:rFonts w:ascii="宋体" w:hAnsi="宋体" w:eastAsia="宋体" w:cs="宋体"/>
          <w:spacing w:val="17"/>
          <w:sz w:val="23"/>
          <w:szCs w:val="23"/>
        </w:rPr>
        <w:t>备</w:t>
      </w:r>
    </w:p>
    <w:p w14:paraId="77712B34">
      <w:pPr>
        <w:spacing w:before="181" w:line="376" w:lineRule="auto"/>
        <w:ind w:left="129" w:right="108" w:firstLine="470"/>
        <w:rPr>
          <w:rFonts w:ascii="宋体" w:hAnsi="宋体" w:eastAsia="宋体" w:cs="宋体"/>
          <w:sz w:val="23"/>
          <w:szCs w:val="23"/>
        </w:rPr>
      </w:pPr>
      <w:r>
        <w:rPr>
          <w:rFonts w:ascii="宋体" w:hAnsi="宋体" w:eastAsia="宋体" w:cs="宋体"/>
          <w:spacing w:val="7"/>
          <w:sz w:val="23"/>
          <w:szCs w:val="23"/>
        </w:rPr>
        <w:t>按要求配备必要的防护用具，如防毒面具，氧气呼吸器和其它安全用具，以便发生事</w:t>
      </w:r>
      <w:r>
        <w:rPr>
          <w:rFonts w:ascii="宋体" w:hAnsi="宋体" w:eastAsia="宋体" w:cs="宋体"/>
          <w:spacing w:val="4"/>
          <w:sz w:val="23"/>
          <w:szCs w:val="23"/>
        </w:rPr>
        <w:t>故</w:t>
      </w:r>
      <w:r>
        <w:rPr>
          <w:rFonts w:ascii="宋体" w:hAnsi="宋体" w:eastAsia="宋体" w:cs="宋体"/>
          <w:sz w:val="23"/>
          <w:szCs w:val="23"/>
        </w:rPr>
        <w:t xml:space="preserve"> </w:t>
      </w:r>
      <w:r>
        <w:rPr>
          <w:rFonts w:ascii="宋体" w:hAnsi="宋体" w:eastAsia="宋体" w:cs="宋体"/>
          <w:spacing w:val="9"/>
          <w:sz w:val="23"/>
          <w:szCs w:val="23"/>
        </w:rPr>
        <w:t>时</w:t>
      </w:r>
      <w:r>
        <w:rPr>
          <w:rFonts w:ascii="宋体" w:hAnsi="宋体" w:eastAsia="宋体" w:cs="宋体"/>
          <w:spacing w:val="8"/>
          <w:sz w:val="23"/>
          <w:szCs w:val="23"/>
        </w:rPr>
        <w:t>可及时进入现场，及时处理事故。</w:t>
      </w:r>
    </w:p>
    <w:p w14:paraId="4B935111">
      <w:pPr>
        <w:spacing w:line="227" w:lineRule="auto"/>
        <w:ind w:left="609"/>
        <w:rPr>
          <w:rFonts w:ascii="宋体" w:hAnsi="宋体" w:eastAsia="宋体" w:cs="宋体"/>
          <w:sz w:val="23"/>
          <w:szCs w:val="23"/>
        </w:rPr>
      </w:pPr>
      <w:r>
        <w:rPr>
          <w:rFonts w:ascii="宋体" w:hAnsi="宋体" w:eastAsia="宋体" w:cs="宋体"/>
          <w:spacing w:val="17"/>
          <w:sz w:val="23"/>
          <w:szCs w:val="23"/>
        </w:rPr>
        <w:t>(</w:t>
      </w:r>
      <w:r>
        <w:rPr>
          <w:rFonts w:ascii="Times New Roman" w:hAnsi="Times New Roman" w:eastAsia="Times New Roman" w:cs="Times New Roman"/>
          <w:spacing w:val="16"/>
          <w:sz w:val="23"/>
          <w:szCs w:val="23"/>
        </w:rPr>
        <w:t>4</w:t>
      </w:r>
      <w:r>
        <w:rPr>
          <w:rFonts w:ascii="宋体" w:hAnsi="宋体" w:eastAsia="宋体" w:cs="宋体"/>
          <w:spacing w:val="16"/>
          <w:sz w:val="23"/>
          <w:szCs w:val="23"/>
        </w:rPr>
        <w:t>) 报警、通讯联络方式</w:t>
      </w:r>
    </w:p>
    <w:p w14:paraId="6D99D7A8">
      <w:pPr>
        <w:sectPr>
          <w:headerReference r:id="rId304" w:type="default"/>
          <w:footerReference r:id="rId305" w:type="default"/>
          <w:pgSz w:w="11906" w:h="16839"/>
          <w:pgMar w:top="400" w:right="1025" w:bottom="1157" w:left="1168" w:header="0" w:footer="994" w:gutter="0"/>
          <w:cols w:space="720" w:num="1"/>
        </w:sectPr>
      </w:pPr>
    </w:p>
    <w:p w14:paraId="41F34A1B">
      <w:pPr>
        <w:spacing w:before="196" w:line="375" w:lineRule="auto"/>
        <w:ind w:left="8" w:right="65" w:firstLine="482"/>
        <w:rPr>
          <w:rFonts w:ascii="宋体" w:hAnsi="宋体" w:eastAsia="宋体" w:cs="宋体"/>
          <w:sz w:val="23"/>
          <w:szCs w:val="23"/>
        </w:rPr>
      </w:pPr>
      <w:r>
        <w:rPr>
          <w:rFonts w:ascii="宋体" w:hAnsi="宋体" w:eastAsia="宋体" w:cs="宋体"/>
          <w:spacing w:val="7"/>
          <w:sz w:val="23"/>
          <w:szCs w:val="23"/>
        </w:rPr>
        <w:t>养殖场应制定应急联系体系，明确具体联系人员、联系电话。任何部门和岗位人员，</w:t>
      </w:r>
      <w:r>
        <w:rPr>
          <w:rFonts w:ascii="宋体" w:hAnsi="宋体" w:eastAsia="宋体" w:cs="宋体"/>
          <w:spacing w:val="5"/>
          <w:sz w:val="23"/>
          <w:szCs w:val="23"/>
        </w:rPr>
        <w:t>发</w:t>
      </w:r>
      <w:r>
        <w:rPr>
          <w:rFonts w:ascii="宋体" w:hAnsi="宋体" w:eastAsia="宋体" w:cs="宋体"/>
          <w:sz w:val="23"/>
          <w:szCs w:val="23"/>
        </w:rPr>
        <w:t xml:space="preserve"> </w:t>
      </w:r>
      <w:r>
        <w:rPr>
          <w:rFonts w:ascii="宋体" w:hAnsi="宋体" w:eastAsia="宋体" w:cs="宋体"/>
          <w:spacing w:val="13"/>
          <w:sz w:val="23"/>
          <w:szCs w:val="23"/>
        </w:rPr>
        <w:t>现</w:t>
      </w:r>
      <w:r>
        <w:rPr>
          <w:rFonts w:ascii="宋体" w:hAnsi="宋体" w:eastAsia="宋体" w:cs="宋体"/>
          <w:spacing w:val="7"/>
          <w:sz w:val="23"/>
          <w:szCs w:val="23"/>
        </w:rPr>
        <w:t>废水事故应立即向应急指挥部报告。现场的组织指挥人员应将详细情况及时向应急指挥部</w:t>
      </w:r>
      <w:r>
        <w:rPr>
          <w:rFonts w:ascii="宋体" w:hAnsi="宋体" w:eastAsia="宋体" w:cs="宋体"/>
          <w:sz w:val="23"/>
          <w:szCs w:val="23"/>
        </w:rPr>
        <w:t xml:space="preserve"> </w:t>
      </w:r>
      <w:r>
        <w:rPr>
          <w:rFonts w:ascii="宋体" w:hAnsi="宋体" w:eastAsia="宋体" w:cs="宋体"/>
          <w:spacing w:val="13"/>
          <w:sz w:val="23"/>
          <w:szCs w:val="23"/>
        </w:rPr>
        <w:t>报</w:t>
      </w:r>
      <w:r>
        <w:rPr>
          <w:rFonts w:ascii="宋体" w:hAnsi="宋体" w:eastAsia="宋体" w:cs="宋体"/>
          <w:spacing w:val="7"/>
          <w:sz w:val="23"/>
          <w:szCs w:val="23"/>
        </w:rPr>
        <w:t>告。当发生大规模事故时，应急指挥部应及时将事故情况向上级有关部门和当地环保局报</w:t>
      </w:r>
      <w:r>
        <w:rPr>
          <w:rFonts w:ascii="宋体" w:hAnsi="宋体" w:eastAsia="宋体" w:cs="宋体"/>
          <w:sz w:val="23"/>
          <w:szCs w:val="23"/>
        </w:rPr>
        <w:t xml:space="preserve"> </w:t>
      </w:r>
      <w:r>
        <w:rPr>
          <w:rFonts w:ascii="宋体" w:hAnsi="宋体" w:eastAsia="宋体" w:cs="宋体"/>
          <w:spacing w:val="8"/>
          <w:sz w:val="23"/>
          <w:szCs w:val="23"/>
        </w:rPr>
        <w:t>告</w:t>
      </w:r>
      <w:r>
        <w:rPr>
          <w:rFonts w:ascii="宋体" w:hAnsi="宋体" w:eastAsia="宋体" w:cs="宋体"/>
          <w:spacing w:val="6"/>
          <w:sz w:val="23"/>
          <w:szCs w:val="23"/>
        </w:rPr>
        <w:t>或通报。</w:t>
      </w:r>
    </w:p>
    <w:p w14:paraId="2D6ED43D">
      <w:pPr>
        <w:spacing w:line="228" w:lineRule="auto"/>
        <w:ind w:left="501"/>
        <w:rPr>
          <w:rFonts w:ascii="宋体" w:hAnsi="宋体" w:eastAsia="宋体" w:cs="宋体"/>
          <w:sz w:val="23"/>
          <w:szCs w:val="23"/>
        </w:rPr>
      </w:pPr>
      <w:r>
        <w:rPr>
          <w:rFonts w:ascii="宋体" w:hAnsi="宋体" w:eastAsia="宋体" w:cs="宋体"/>
          <w:spacing w:val="23"/>
          <w:sz w:val="23"/>
          <w:szCs w:val="23"/>
        </w:rPr>
        <w:t>(</w:t>
      </w:r>
      <w:r>
        <w:rPr>
          <w:rFonts w:ascii="Times New Roman" w:hAnsi="Times New Roman" w:eastAsia="Times New Roman" w:cs="Times New Roman"/>
          <w:spacing w:val="16"/>
          <w:sz w:val="23"/>
          <w:szCs w:val="23"/>
        </w:rPr>
        <w:t>5</w:t>
      </w:r>
      <w:r>
        <w:rPr>
          <w:rFonts w:ascii="宋体" w:hAnsi="宋体" w:eastAsia="宋体" w:cs="宋体"/>
          <w:spacing w:val="16"/>
          <w:sz w:val="23"/>
          <w:szCs w:val="23"/>
        </w:rPr>
        <w:t>) 应急反应行动程序</w:t>
      </w:r>
    </w:p>
    <w:p w14:paraId="0FD0E741">
      <w:pPr>
        <w:spacing w:before="183" w:line="375" w:lineRule="auto"/>
        <w:ind w:left="36" w:right="18" w:firstLine="462"/>
        <w:rPr>
          <w:rFonts w:ascii="宋体" w:hAnsi="宋体" w:eastAsia="宋体" w:cs="宋体"/>
          <w:sz w:val="23"/>
          <w:szCs w:val="23"/>
        </w:rPr>
      </w:pPr>
      <w:r>
        <w:rPr>
          <w:rFonts w:ascii="宋体" w:hAnsi="宋体" w:eastAsia="宋体" w:cs="宋体"/>
          <w:spacing w:val="2"/>
          <w:sz w:val="23"/>
          <w:szCs w:val="23"/>
        </w:rPr>
        <w:t>收集必要信息：  目击时间、位置、泄漏源、泄漏原因、数量以及进一步泄漏的</w:t>
      </w:r>
      <w:r>
        <w:rPr>
          <w:rFonts w:ascii="宋体" w:hAnsi="宋体" w:eastAsia="宋体" w:cs="宋体"/>
          <w:spacing w:val="1"/>
          <w:sz w:val="23"/>
          <w:szCs w:val="23"/>
        </w:rPr>
        <w:t>可</w:t>
      </w:r>
      <w:r>
        <w:rPr>
          <w:rFonts w:ascii="宋体" w:hAnsi="宋体" w:eastAsia="宋体" w:cs="宋体"/>
          <w:sz w:val="23"/>
          <w:szCs w:val="23"/>
        </w:rPr>
        <w:t xml:space="preserve">能性， </w:t>
      </w:r>
      <w:r>
        <w:rPr>
          <w:rFonts w:ascii="宋体" w:hAnsi="宋体" w:eastAsia="宋体" w:cs="宋体"/>
          <w:spacing w:val="16"/>
          <w:sz w:val="23"/>
          <w:szCs w:val="23"/>
        </w:rPr>
        <w:t>已采取</w:t>
      </w:r>
      <w:r>
        <w:rPr>
          <w:rFonts w:ascii="宋体" w:hAnsi="宋体" w:eastAsia="宋体" w:cs="宋体"/>
          <w:spacing w:val="12"/>
          <w:sz w:val="23"/>
          <w:szCs w:val="23"/>
        </w:rPr>
        <w:t>和</w:t>
      </w:r>
      <w:r>
        <w:rPr>
          <w:rFonts w:ascii="宋体" w:hAnsi="宋体" w:eastAsia="宋体" w:cs="宋体"/>
          <w:spacing w:val="8"/>
          <w:sz w:val="23"/>
          <w:szCs w:val="23"/>
        </w:rPr>
        <w:t>即将采取的清除污染或防止进一步污染的行动、报告人的姓名和联系办法。</w:t>
      </w:r>
    </w:p>
    <w:p w14:paraId="5C4459D7">
      <w:pPr>
        <w:spacing w:before="1" w:line="373" w:lineRule="auto"/>
        <w:ind w:left="27" w:right="65" w:firstLine="461"/>
        <w:rPr>
          <w:rFonts w:ascii="宋体" w:hAnsi="宋体" w:eastAsia="宋体" w:cs="宋体"/>
          <w:sz w:val="23"/>
          <w:szCs w:val="23"/>
        </w:rPr>
      </w:pPr>
      <w:r>
        <w:rPr>
          <w:rFonts w:ascii="宋体" w:hAnsi="宋体" w:eastAsia="宋体" w:cs="宋体"/>
          <w:spacing w:val="7"/>
          <w:sz w:val="23"/>
          <w:szCs w:val="23"/>
        </w:rPr>
        <w:t>对事故进行初步评估，确定应急等级；制定应急反应对策和行动方案 (包括信息发</w:t>
      </w:r>
      <w:r>
        <w:rPr>
          <w:rFonts w:ascii="宋体" w:hAnsi="宋体" w:eastAsia="宋体" w:cs="宋体"/>
          <w:spacing w:val="6"/>
          <w:sz w:val="23"/>
          <w:szCs w:val="23"/>
        </w:rPr>
        <w:t>布</w:t>
      </w:r>
      <w:r>
        <w:rPr>
          <w:rFonts w:ascii="宋体" w:hAnsi="宋体" w:eastAsia="宋体" w:cs="宋体"/>
          <w:sz w:val="23"/>
          <w:szCs w:val="23"/>
        </w:rPr>
        <w:t xml:space="preserve">和 </w:t>
      </w:r>
      <w:r>
        <w:rPr>
          <w:rFonts w:ascii="宋体" w:hAnsi="宋体" w:eastAsia="宋体" w:cs="宋体"/>
          <w:spacing w:val="16"/>
          <w:sz w:val="23"/>
          <w:szCs w:val="23"/>
        </w:rPr>
        <w:t>区</w:t>
      </w:r>
      <w:r>
        <w:rPr>
          <w:rFonts w:ascii="宋体" w:hAnsi="宋体" w:eastAsia="宋体" w:cs="宋体"/>
          <w:spacing w:val="12"/>
          <w:sz w:val="23"/>
          <w:szCs w:val="23"/>
        </w:rPr>
        <w:t>域</w:t>
      </w:r>
      <w:r>
        <w:rPr>
          <w:rFonts w:ascii="宋体" w:hAnsi="宋体" w:eastAsia="宋体" w:cs="宋体"/>
          <w:spacing w:val="8"/>
          <w:sz w:val="23"/>
          <w:szCs w:val="23"/>
        </w:rPr>
        <w:t>协作等) ；指派指挥人员赴现场；通知各防治小组做好准备。</w:t>
      </w:r>
    </w:p>
    <w:p w14:paraId="453773E8">
      <w:pPr>
        <w:spacing w:line="375" w:lineRule="auto"/>
        <w:ind w:left="10" w:right="21" w:firstLine="479"/>
        <w:rPr>
          <w:rFonts w:ascii="宋体" w:hAnsi="宋体" w:eastAsia="宋体" w:cs="宋体"/>
          <w:sz w:val="23"/>
          <w:szCs w:val="23"/>
        </w:rPr>
      </w:pPr>
      <w:r>
        <w:rPr>
          <w:rFonts w:ascii="宋体" w:hAnsi="宋体" w:eastAsia="宋体" w:cs="宋体"/>
          <w:spacing w:val="7"/>
          <w:sz w:val="23"/>
          <w:szCs w:val="23"/>
        </w:rPr>
        <w:t>采取的行动：发出事故报警或紧急通报，用电话和传真通知有关政府部门和企业；向</w:t>
      </w:r>
      <w:r>
        <w:rPr>
          <w:rFonts w:ascii="宋体" w:hAnsi="宋体" w:eastAsia="宋体" w:cs="宋体"/>
          <w:spacing w:val="6"/>
          <w:sz w:val="23"/>
          <w:szCs w:val="23"/>
        </w:rPr>
        <w:t>上</w:t>
      </w:r>
      <w:r>
        <w:rPr>
          <w:rFonts w:ascii="宋体" w:hAnsi="宋体" w:eastAsia="宋体" w:cs="宋体"/>
          <w:sz w:val="23"/>
          <w:szCs w:val="23"/>
        </w:rPr>
        <w:t xml:space="preserve"> </w:t>
      </w:r>
      <w:r>
        <w:rPr>
          <w:rFonts w:ascii="宋体" w:hAnsi="宋体" w:eastAsia="宋体" w:cs="宋体"/>
          <w:spacing w:val="16"/>
          <w:sz w:val="23"/>
          <w:szCs w:val="23"/>
        </w:rPr>
        <w:t>级</w:t>
      </w:r>
      <w:r>
        <w:rPr>
          <w:rFonts w:ascii="宋体" w:hAnsi="宋体" w:eastAsia="宋体" w:cs="宋体"/>
          <w:spacing w:val="9"/>
          <w:sz w:val="23"/>
          <w:szCs w:val="23"/>
        </w:rPr>
        <w:t>或</w:t>
      </w:r>
      <w:r>
        <w:rPr>
          <w:rFonts w:ascii="宋体" w:hAnsi="宋体" w:eastAsia="宋体" w:cs="宋体"/>
          <w:spacing w:val="8"/>
          <w:sz w:val="23"/>
          <w:szCs w:val="23"/>
        </w:rPr>
        <w:t>有关部门报告；起草泄漏影响范围情况报告；安排后勤保障；估计废水扩散流动方向；</w:t>
      </w:r>
      <w:r>
        <w:rPr>
          <w:rFonts w:ascii="宋体" w:hAnsi="宋体" w:eastAsia="宋体" w:cs="宋体"/>
          <w:sz w:val="23"/>
          <w:szCs w:val="23"/>
        </w:rPr>
        <w:t xml:space="preserve"> </w:t>
      </w:r>
      <w:r>
        <w:rPr>
          <w:rFonts w:ascii="宋体" w:hAnsi="宋体" w:eastAsia="宋体" w:cs="宋体"/>
          <w:spacing w:val="13"/>
          <w:sz w:val="23"/>
          <w:szCs w:val="23"/>
        </w:rPr>
        <w:t>判</w:t>
      </w:r>
      <w:r>
        <w:rPr>
          <w:rFonts w:ascii="宋体" w:hAnsi="宋体" w:eastAsia="宋体" w:cs="宋体"/>
          <w:spacing w:val="9"/>
          <w:sz w:val="23"/>
          <w:szCs w:val="23"/>
        </w:rPr>
        <w:t>别受威胁的敏感水域；通知可能受威胁的用水单位。</w:t>
      </w:r>
    </w:p>
    <w:p w14:paraId="7B666D36">
      <w:pPr>
        <w:spacing w:line="227" w:lineRule="auto"/>
        <w:ind w:left="490"/>
        <w:rPr>
          <w:rFonts w:ascii="宋体" w:hAnsi="宋体" w:eastAsia="宋体" w:cs="宋体"/>
          <w:sz w:val="23"/>
          <w:szCs w:val="23"/>
        </w:rPr>
      </w:pPr>
      <w:r>
        <w:rPr>
          <w:rFonts w:ascii="宋体" w:hAnsi="宋体" w:eastAsia="宋体" w:cs="宋体"/>
          <w:spacing w:val="18"/>
          <w:sz w:val="23"/>
          <w:szCs w:val="23"/>
        </w:rPr>
        <w:t>执</w:t>
      </w:r>
      <w:r>
        <w:rPr>
          <w:rFonts w:ascii="宋体" w:hAnsi="宋体" w:eastAsia="宋体" w:cs="宋体"/>
          <w:spacing w:val="15"/>
          <w:sz w:val="23"/>
          <w:szCs w:val="23"/>
        </w:rPr>
        <w:t>行</w:t>
      </w:r>
      <w:r>
        <w:rPr>
          <w:rFonts w:ascii="宋体" w:hAnsi="宋体" w:eastAsia="宋体" w:cs="宋体"/>
          <w:spacing w:val="9"/>
          <w:sz w:val="23"/>
          <w:szCs w:val="23"/>
        </w:rPr>
        <w:t>清除作业；指定人员做好相关记录；适时发布终止作业的命令和解除警报。</w:t>
      </w:r>
    </w:p>
    <w:p w14:paraId="237899F8">
      <w:pPr>
        <w:spacing w:before="184" w:line="228" w:lineRule="auto"/>
        <w:ind w:left="501"/>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8"/>
          <w:sz w:val="23"/>
          <w:szCs w:val="23"/>
        </w:rPr>
        <w:t>6</w:t>
      </w:r>
      <w:r>
        <w:rPr>
          <w:rFonts w:ascii="宋体" w:hAnsi="宋体" w:eastAsia="宋体" w:cs="宋体"/>
          <w:spacing w:val="18"/>
          <w:sz w:val="23"/>
          <w:szCs w:val="23"/>
        </w:rPr>
        <w:t>) 应急关闭程</w:t>
      </w:r>
      <w:r>
        <w:rPr>
          <w:rFonts w:ascii="宋体" w:hAnsi="宋体" w:eastAsia="宋体" w:cs="宋体"/>
          <w:spacing w:val="17"/>
          <w:sz w:val="23"/>
          <w:szCs w:val="23"/>
        </w:rPr>
        <w:t>序</w:t>
      </w:r>
    </w:p>
    <w:p w14:paraId="64B7818E">
      <w:pPr>
        <w:spacing w:before="180" w:line="375" w:lineRule="auto"/>
        <w:ind w:left="9" w:right="65" w:firstLine="482"/>
        <w:rPr>
          <w:rFonts w:ascii="宋体" w:hAnsi="宋体" w:eastAsia="宋体" w:cs="宋体"/>
          <w:sz w:val="23"/>
          <w:szCs w:val="23"/>
        </w:rPr>
      </w:pPr>
      <w:r>
        <w:rPr>
          <w:rFonts w:ascii="宋体" w:hAnsi="宋体" w:eastAsia="宋体" w:cs="宋体"/>
          <w:spacing w:val="7"/>
          <w:sz w:val="23"/>
          <w:szCs w:val="23"/>
        </w:rPr>
        <w:t>符合下列条件之一的，终止应急行动：事件现场得到控制，事件条件已经消除；污染</w:t>
      </w:r>
      <w:r>
        <w:rPr>
          <w:rFonts w:ascii="宋体" w:hAnsi="宋体" w:eastAsia="宋体" w:cs="宋体"/>
          <w:spacing w:val="4"/>
          <w:sz w:val="23"/>
          <w:szCs w:val="23"/>
        </w:rPr>
        <w:t>源</w:t>
      </w:r>
      <w:r>
        <w:rPr>
          <w:rFonts w:ascii="宋体" w:hAnsi="宋体" w:eastAsia="宋体" w:cs="宋体"/>
          <w:sz w:val="23"/>
          <w:szCs w:val="23"/>
        </w:rPr>
        <w:t xml:space="preserve"> </w:t>
      </w:r>
      <w:r>
        <w:rPr>
          <w:rFonts w:ascii="宋体" w:hAnsi="宋体" w:eastAsia="宋体" w:cs="宋体"/>
          <w:spacing w:val="12"/>
          <w:sz w:val="23"/>
          <w:szCs w:val="23"/>
        </w:rPr>
        <w:t>的</w:t>
      </w:r>
      <w:r>
        <w:rPr>
          <w:rFonts w:ascii="宋体" w:hAnsi="宋体" w:eastAsia="宋体" w:cs="宋体"/>
          <w:spacing w:val="7"/>
          <w:sz w:val="23"/>
          <w:szCs w:val="23"/>
        </w:rPr>
        <w:t>泄漏或释放已降至规定限值以内；事件所造成的危害已被彻底消除，无续发可能；事件现</w:t>
      </w:r>
      <w:r>
        <w:rPr>
          <w:rFonts w:ascii="宋体" w:hAnsi="宋体" w:eastAsia="宋体" w:cs="宋体"/>
          <w:sz w:val="23"/>
          <w:szCs w:val="23"/>
        </w:rPr>
        <w:t xml:space="preserve"> </w:t>
      </w:r>
      <w:r>
        <w:rPr>
          <w:rFonts w:ascii="宋体" w:hAnsi="宋体" w:eastAsia="宋体" w:cs="宋体"/>
          <w:spacing w:val="12"/>
          <w:sz w:val="23"/>
          <w:szCs w:val="23"/>
        </w:rPr>
        <w:t>场</w:t>
      </w:r>
      <w:r>
        <w:rPr>
          <w:rFonts w:ascii="宋体" w:hAnsi="宋体" w:eastAsia="宋体" w:cs="宋体"/>
          <w:spacing w:val="7"/>
          <w:sz w:val="23"/>
          <w:szCs w:val="23"/>
        </w:rPr>
        <w:t>的各种专业应急处置行动已无继续的必要；采取了必要的防护措施已能保证公众免受再次</w:t>
      </w:r>
      <w:r>
        <w:rPr>
          <w:rFonts w:ascii="宋体" w:hAnsi="宋体" w:eastAsia="宋体" w:cs="宋体"/>
          <w:sz w:val="23"/>
          <w:szCs w:val="23"/>
        </w:rPr>
        <w:t xml:space="preserve"> </w:t>
      </w:r>
      <w:r>
        <w:rPr>
          <w:rFonts w:ascii="宋体" w:hAnsi="宋体" w:eastAsia="宋体" w:cs="宋体"/>
          <w:spacing w:val="18"/>
          <w:sz w:val="23"/>
          <w:szCs w:val="23"/>
        </w:rPr>
        <w:t>危</w:t>
      </w:r>
      <w:r>
        <w:rPr>
          <w:rFonts w:ascii="宋体" w:hAnsi="宋体" w:eastAsia="宋体" w:cs="宋体"/>
          <w:spacing w:val="10"/>
          <w:sz w:val="23"/>
          <w:szCs w:val="23"/>
        </w:rPr>
        <w:t>害</w:t>
      </w:r>
      <w:r>
        <w:rPr>
          <w:rFonts w:ascii="宋体" w:hAnsi="宋体" w:eastAsia="宋体" w:cs="宋体"/>
          <w:spacing w:val="9"/>
          <w:sz w:val="23"/>
          <w:szCs w:val="23"/>
        </w:rPr>
        <w:t>，并使事件可能引起的中长期影响趋于合理且尽量低的水平。</w:t>
      </w:r>
    </w:p>
    <w:p w14:paraId="6EF202D8">
      <w:pPr>
        <w:spacing w:line="228" w:lineRule="auto"/>
        <w:ind w:left="501"/>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8"/>
          <w:sz w:val="23"/>
          <w:szCs w:val="23"/>
        </w:rPr>
        <w:t>7</w:t>
      </w:r>
      <w:r>
        <w:rPr>
          <w:rFonts w:ascii="宋体" w:hAnsi="宋体" w:eastAsia="宋体" w:cs="宋体"/>
          <w:spacing w:val="18"/>
          <w:sz w:val="23"/>
          <w:szCs w:val="23"/>
        </w:rPr>
        <w:t>) 应急培训计</w:t>
      </w:r>
      <w:r>
        <w:rPr>
          <w:rFonts w:ascii="宋体" w:hAnsi="宋体" w:eastAsia="宋体" w:cs="宋体"/>
          <w:spacing w:val="17"/>
          <w:sz w:val="23"/>
          <w:szCs w:val="23"/>
        </w:rPr>
        <w:t>划</w:t>
      </w:r>
    </w:p>
    <w:p w14:paraId="556405A3">
      <w:pPr>
        <w:spacing w:before="183" w:line="375" w:lineRule="auto"/>
        <w:ind w:left="14" w:right="65" w:firstLine="479"/>
        <w:rPr>
          <w:rFonts w:ascii="宋体" w:hAnsi="宋体" w:eastAsia="宋体" w:cs="宋体"/>
          <w:sz w:val="23"/>
          <w:szCs w:val="23"/>
        </w:rPr>
      </w:pPr>
      <w:r>
        <w:rPr>
          <w:rFonts w:ascii="宋体" w:hAnsi="宋体" w:eastAsia="宋体" w:cs="宋体"/>
          <w:spacing w:val="7"/>
          <w:sz w:val="23"/>
          <w:szCs w:val="23"/>
        </w:rPr>
        <w:t>为了确保应急计划的有效性和可操作性，必须预先对计划中所涉及的人员、设备器材</w:t>
      </w:r>
      <w:r>
        <w:rPr>
          <w:rFonts w:ascii="宋体" w:hAnsi="宋体" w:eastAsia="宋体" w:cs="宋体"/>
          <w:spacing w:val="3"/>
          <w:sz w:val="23"/>
          <w:szCs w:val="23"/>
        </w:rPr>
        <w:t>进</w:t>
      </w:r>
      <w:r>
        <w:rPr>
          <w:rFonts w:ascii="宋体" w:hAnsi="宋体" w:eastAsia="宋体" w:cs="宋体"/>
          <w:sz w:val="23"/>
          <w:szCs w:val="23"/>
        </w:rPr>
        <w:t xml:space="preserve"> </w:t>
      </w:r>
      <w:r>
        <w:rPr>
          <w:rFonts w:ascii="宋体" w:hAnsi="宋体" w:eastAsia="宋体" w:cs="宋体"/>
          <w:spacing w:val="17"/>
          <w:sz w:val="23"/>
          <w:szCs w:val="23"/>
        </w:rPr>
        <w:t>行</w:t>
      </w:r>
      <w:r>
        <w:rPr>
          <w:rFonts w:ascii="宋体" w:hAnsi="宋体" w:eastAsia="宋体" w:cs="宋体"/>
          <w:spacing w:val="9"/>
          <w:sz w:val="23"/>
          <w:szCs w:val="23"/>
        </w:rPr>
        <w:t>训练和护保养，使参加应急行动的每人都能做到应知应会、熟练掌握。</w:t>
      </w:r>
    </w:p>
    <w:p w14:paraId="79393114">
      <w:pPr>
        <w:spacing w:before="1" w:line="227" w:lineRule="auto"/>
        <w:ind w:left="490"/>
        <w:rPr>
          <w:rFonts w:ascii="宋体" w:hAnsi="宋体" w:eastAsia="宋体" w:cs="宋体"/>
          <w:sz w:val="23"/>
          <w:szCs w:val="23"/>
        </w:rPr>
      </w:pPr>
      <w:r>
        <w:rPr>
          <w:rFonts w:ascii="宋体" w:hAnsi="宋体" w:eastAsia="宋体" w:cs="宋体"/>
          <w:spacing w:val="7"/>
          <w:sz w:val="23"/>
          <w:szCs w:val="23"/>
        </w:rPr>
        <w:t>每年定期组织应急人员培训，使受培训人员能掌握使用和维护、保养各种应急设备和</w:t>
      </w:r>
      <w:r>
        <w:rPr>
          <w:rFonts w:ascii="宋体" w:hAnsi="宋体" w:eastAsia="宋体" w:cs="宋体"/>
          <w:spacing w:val="6"/>
          <w:sz w:val="23"/>
          <w:szCs w:val="23"/>
        </w:rPr>
        <w:t>器</w:t>
      </w:r>
    </w:p>
    <w:p w14:paraId="221CB791">
      <w:pPr>
        <w:spacing w:before="184" w:line="227" w:lineRule="auto"/>
        <w:ind w:left="10"/>
        <w:rPr>
          <w:rFonts w:ascii="宋体" w:hAnsi="宋体" w:eastAsia="宋体" w:cs="宋体"/>
          <w:sz w:val="23"/>
          <w:szCs w:val="23"/>
        </w:rPr>
      </w:pPr>
      <w:r>
        <w:rPr>
          <w:rFonts w:ascii="宋体" w:hAnsi="宋体" w:eastAsia="宋体" w:cs="宋体"/>
          <w:spacing w:val="12"/>
          <w:sz w:val="23"/>
          <w:szCs w:val="23"/>
        </w:rPr>
        <w:t>材</w:t>
      </w:r>
      <w:r>
        <w:rPr>
          <w:rFonts w:ascii="宋体" w:hAnsi="宋体" w:eastAsia="宋体" w:cs="宋体"/>
          <w:spacing w:val="9"/>
          <w:sz w:val="23"/>
          <w:szCs w:val="23"/>
        </w:rPr>
        <w:t>，并具有在指挥人员指导下完成应急反应的能力。</w:t>
      </w:r>
    </w:p>
    <w:p w14:paraId="42BAED59">
      <w:pPr>
        <w:spacing w:before="182" w:line="377" w:lineRule="auto"/>
        <w:ind w:left="12" w:firstLine="478"/>
        <w:rPr>
          <w:rFonts w:ascii="宋体" w:hAnsi="宋体" w:eastAsia="宋体" w:cs="宋体"/>
          <w:sz w:val="23"/>
          <w:szCs w:val="23"/>
        </w:rPr>
      </w:pPr>
      <w:r>
        <w:rPr>
          <w:rFonts w:ascii="宋体" w:hAnsi="宋体" w:eastAsia="宋体" w:cs="宋体"/>
          <w:spacing w:val="11"/>
          <w:sz w:val="23"/>
          <w:szCs w:val="23"/>
        </w:rPr>
        <w:t xml:space="preserve">每 </w:t>
      </w:r>
      <w:r>
        <w:rPr>
          <w:rFonts w:ascii="Times New Roman" w:hAnsi="Times New Roman" w:eastAsia="Times New Roman" w:cs="Times New Roman"/>
          <w:spacing w:val="11"/>
          <w:sz w:val="23"/>
          <w:szCs w:val="23"/>
        </w:rPr>
        <w:t>1</w:t>
      </w:r>
      <w:r>
        <w:rPr>
          <w:rFonts w:ascii="宋体" w:hAnsi="宋体" w:eastAsia="宋体" w:cs="宋体"/>
          <w:spacing w:val="11"/>
          <w:sz w:val="23"/>
          <w:szCs w:val="23"/>
        </w:rPr>
        <w:t>~</w:t>
      </w:r>
      <w:r>
        <w:rPr>
          <w:rFonts w:ascii="Times New Roman" w:hAnsi="Times New Roman" w:eastAsia="Times New Roman" w:cs="Times New Roman"/>
          <w:spacing w:val="11"/>
          <w:sz w:val="23"/>
          <w:szCs w:val="23"/>
        </w:rPr>
        <w:t xml:space="preserve">2 </w:t>
      </w:r>
      <w:r>
        <w:rPr>
          <w:rFonts w:ascii="宋体" w:hAnsi="宋体" w:eastAsia="宋体" w:cs="宋体"/>
          <w:spacing w:val="11"/>
          <w:sz w:val="23"/>
          <w:szCs w:val="23"/>
        </w:rPr>
        <w:t>年进行一次应急演习，在模拟的事故状态下，检查应急机构，应急队伍，应</w:t>
      </w:r>
      <w:r>
        <w:rPr>
          <w:rFonts w:ascii="宋体" w:hAnsi="宋体" w:eastAsia="宋体" w:cs="宋体"/>
          <w:spacing w:val="8"/>
          <w:sz w:val="23"/>
          <w:szCs w:val="23"/>
        </w:rPr>
        <w:t>急</w:t>
      </w:r>
      <w:r>
        <w:rPr>
          <w:rFonts w:ascii="宋体" w:hAnsi="宋体" w:eastAsia="宋体" w:cs="宋体"/>
          <w:sz w:val="23"/>
          <w:szCs w:val="23"/>
        </w:rPr>
        <w:t xml:space="preserve"> </w:t>
      </w:r>
      <w:r>
        <w:rPr>
          <w:rFonts w:ascii="宋体" w:hAnsi="宋体" w:eastAsia="宋体" w:cs="宋体"/>
          <w:spacing w:val="16"/>
          <w:sz w:val="23"/>
          <w:szCs w:val="23"/>
        </w:rPr>
        <w:t>设备和</w:t>
      </w:r>
      <w:r>
        <w:rPr>
          <w:rFonts w:ascii="宋体" w:hAnsi="宋体" w:eastAsia="宋体" w:cs="宋体"/>
          <w:spacing w:val="12"/>
          <w:sz w:val="23"/>
          <w:szCs w:val="23"/>
        </w:rPr>
        <w:t>器</w:t>
      </w:r>
      <w:r>
        <w:rPr>
          <w:rFonts w:ascii="宋体" w:hAnsi="宋体" w:eastAsia="宋体" w:cs="宋体"/>
          <w:spacing w:val="8"/>
          <w:sz w:val="23"/>
          <w:szCs w:val="23"/>
        </w:rPr>
        <w:t>材，应急通讯等各方面的实战船能力。通过演习，发现工作中薄弱环节，并修改、</w:t>
      </w:r>
      <w:r>
        <w:rPr>
          <w:rFonts w:ascii="宋体" w:hAnsi="宋体" w:eastAsia="宋体" w:cs="宋体"/>
          <w:sz w:val="23"/>
          <w:szCs w:val="23"/>
        </w:rPr>
        <w:t xml:space="preserve"> </w:t>
      </w:r>
      <w:r>
        <w:rPr>
          <w:rFonts w:ascii="宋体" w:hAnsi="宋体" w:eastAsia="宋体" w:cs="宋体"/>
          <w:spacing w:val="13"/>
          <w:sz w:val="23"/>
          <w:szCs w:val="23"/>
        </w:rPr>
        <w:t>完</w:t>
      </w:r>
      <w:r>
        <w:rPr>
          <w:rFonts w:ascii="宋体" w:hAnsi="宋体" w:eastAsia="宋体" w:cs="宋体"/>
          <w:spacing w:val="9"/>
          <w:sz w:val="23"/>
          <w:szCs w:val="23"/>
        </w:rPr>
        <w:t>善应急计划。演习分室内演习和现场实地模拟事故演习。</w:t>
      </w:r>
    </w:p>
    <w:p w14:paraId="1830479A">
      <w:pPr>
        <w:spacing w:before="1" w:line="220" w:lineRule="auto"/>
        <w:ind w:left="10"/>
        <w:outlineLvl w:val="1"/>
        <w:rPr>
          <w:rFonts w:ascii="宋体" w:hAnsi="宋体" w:eastAsia="宋体" w:cs="宋体"/>
          <w:sz w:val="28"/>
          <w:szCs w:val="28"/>
        </w:rPr>
      </w:pPr>
      <w:bookmarkStart w:id="62" w:name="_bookmark63"/>
      <w:bookmarkEnd w:id="62"/>
      <w:r>
        <w:rPr>
          <w:rFonts w:ascii="Times New Roman" w:hAnsi="Times New Roman" w:eastAsia="Times New Roman" w:cs="Times New Roman"/>
          <w:b/>
          <w:bCs/>
          <w:spacing w:val="-1"/>
          <w:sz w:val="28"/>
          <w:szCs w:val="28"/>
        </w:rPr>
        <w:t>8.5</w:t>
      </w:r>
      <w:r>
        <w:rPr>
          <w:rFonts w:ascii="Times New Roman" w:hAnsi="Times New Roman" w:eastAsia="Times New Roman" w:cs="Times New Roman"/>
          <w:spacing w:val="-1"/>
          <w:sz w:val="28"/>
          <w:szCs w:val="28"/>
        </w:rPr>
        <w:t xml:space="preserve">  </w:t>
      </w:r>
      <w:r>
        <w:rPr>
          <w:rFonts w:ascii="宋体" w:hAnsi="宋体" w:eastAsia="宋体" w:cs="宋体"/>
          <w:spacing w:val="-1"/>
          <w:sz w:val="28"/>
          <w:szCs w:val="28"/>
          <w14:textOutline w14:w="5105" w14:cap="sq" w14:cmpd="sng" w14:algn="ctr">
            <w14:solidFill>
              <w14:srgbClr w14:val="000000"/>
            </w14:solidFill>
            <w14:prstDash w14:val="solid"/>
            <w14:bevel/>
          </w14:textOutline>
        </w:rPr>
        <w:t>分析</w:t>
      </w:r>
      <w:r>
        <w:rPr>
          <w:rFonts w:ascii="宋体" w:hAnsi="宋体" w:eastAsia="宋体" w:cs="宋体"/>
          <w:sz w:val="28"/>
          <w:szCs w:val="28"/>
          <w14:textOutline w14:w="5105" w14:cap="sq" w14:cmpd="sng" w14:algn="ctr">
            <w14:solidFill>
              <w14:srgbClr w14:val="000000"/>
            </w14:solidFill>
            <w14:prstDash w14:val="solid"/>
            <w14:bevel/>
          </w14:textOutline>
        </w:rPr>
        <w:t>结论</w:t>
      </w:r>
    </w:p>
    <w:p w14:paraId="0F379160">
      <w:pPr>
        <w:spacing w:before="206" w:line="380" w:lineRule="auto"/>
        <w:ind w:left="10" w:right="4" w:firstLine="481"/>
        <w:rPr>
          <w:rFonts w:ascii="宋体" w:hAnsi="宋体" w:eastAsia="宋体" w:cs="宋体"/>
          <w:sz w:val="23"/>
          <w:szCs w:val="23"/>
        </w:rPr>
      </w:pPr>
      <w:r>
        <w:rPr>
          <w:rFonts w:ascii="宋体" w:hAnsi="宋体" w:eastAsia="宋体" w:cs="宋体"/>
          <w:spacing w:val="7"/>
          <w:sz w:val="23"/>
          <w:szCs w:val="23"/>
        </w:rPr>
        <w:t>经识别，本项目主要环境风险为项目场区集污池发生事故，导致未经处理的污水排入</w:t>
      </w:r>
      <w:r>
        <w:rPr>
          <w:rFonts w:ascii="宋体" w:hAnsi="宋体" w:eastAsia="宋体" w:cs="宋体"/>
          <w:spacing w:val="4"/>
          <w:sz w:val="23"/>
          <w:szCs w:val="23"/>
        </w:rPr>
        <w:t>厂</w:t>
      </w:r>
      <w:r>
        <w:rPr>
          <w:rFonts w:ascii="宋体" w:hAnsi="宋体" w:eastAsia="宋体" w:cs="宋体"/>
          <w:sz w:val="23"/>
          <w:szCs w:val="23"/>
        </w:rPr>
        <w:t xml:space="preserve"> </w:t>
      </w:r>
      <w:r>
        <w:rPr>
          <w:rFonts w:ascii="宋体" w:hAnsi="宋体" w:eastAsia="宋体" w:cs="宋体"/>
          <w:spacing w:val="3"/>
          <w:sz w:val="23"/>
          <w:szCs w:val="23"/>
        </w:rPr>
        <w:t>区外季节性山洪沟，场区疫情传播对养殖业生产和人体健康产生危害。由于项目废水量</w:t>
      </w:r>
      <w:r>
        <w:rPr>
          <w:rFonts w:ascii="宋体" w:hAnsi="宋体" w:eastAsia="宋体" w:cs="宋体"/>
          <w:spacing w:val="2"/>
          <w:sz w:val="23"/>
          <w:szCs w:val="23"/>
        </w:rPr>
        <w:t>较</w:t>
      </w:r>
      <w:r>
        <w:rPr>
          <w:rFonts w:ascii="宋体" w:hAnsi="宋体" w:eastAsia="宋体" w:cs="宋体"/>
          <w:sz w:val="23"/>
          <w:szCs w:val="23"/>
        </w:rPr>
        <w:t xml:space="preserve">小， </w:t>
      </w:r>
      <w:r>
        <w:rPr>
          <w:rFonts w:ascii="宋体" w:hAnsi="宋体" w:eastAsia="宋体" w:cs="宋体"/>
          <w:spacing w:val="12"/>
          <w:sz w:val="23"/>
          <w:szCs w:val="23"/>
        </w:rPr>
        <w:t>事</w:t>
      </w:r>
      <w:r>
        <w:rPr>
          <w:rFonts w:ascii="宋体" w:hAnsi="宋体" w:eastAsia="宋体" w:cs="宋体"/>
          <w:spacing w:val="7"/>
          <w:sz w:val="23"/>
          <w:szCs w:val="23"/>
        </w:rPr>
        <w:t>故一旦发生，可将废水收集入事故应急池，对外环境影响不大，但建设单位应通过实施各</w:t>
      </w:r>
    </w:p>
    <w:p w14:paraId="61D0CCB7">
      <w:pPr>
        <w:sectPr>
          <w:headerReference r:id="rId306" w:type="default"/>
          <w:footerReference r:id="rId307" w:type="default"/>
          <w:pgSz w:w="11906" w:h="16839"/>
          <w:pgMar w:top="1113" w:right="1069" w:bottom="1157" w:left="1275" w:header="878" w:footer="994" w:gutter="0"/>
          <w:cols w:space="720" w:num="1"/>
        </w:sectPr>
      </w:pPr>
    </w:p>
    <w:p w14:paraId="224A7534">
      <w:pPr>
        <w:spacing w:before="197" w:line="375" w:lineRule="auto"/>
        <w:ind w:left="122"/>
        <w:rPr>
          <w:rFonts w:ascii="宋体" w:hAnsi="宋体" w:eastAsia="宋体" w:cs="宋体"/>
          <w:sz w:val="23"/>
          <w:szCs w:val="23"/>
        </w:rPr>
      </w:pPr>
      <w:r>
        <w:rPr>
          <w:rFonts w:ascii="宋体" w:hAnsi="宋体" w:eastAsia="宋体" w:cs="宋体"/>
          <w:spacing w:val="8"/>
          <w:sz w:val="23"/>
          <w:szCs w:val="23"/>
        </w:rPr>
        <w:t>项</w:t>
      </w:r>
      <w:r>
        <w:rPr>
          <w:rFonts w:ascii="宋体" w:hAnsi="宋体" w:eastAsia="宋体" w:cs="宋体"/>
          <w:spacing w:val="7"/>
          <w:sz w:val="23"/>
          <w:szCs w:val="23"/>
        </w:rPr>
        <w:t>防范措施和应急措施，防范风险事故发生。综上所述，本项目的环境风险防范措施合理可</w:t>
      </w:r>
      <w:r>
        <w:rPr>
          <w:rFonts w:ascii="宋体" w:hAnsi="宋体" w:eastAsia="宋体" w:cs="宋体"/>
          <w:sz w:val="23"/>
          <w:szCs w:val="23"/>
        </w:rPr>
        <w:t xml:space="preserve"> </w:t>
      </w:r>
      <w:r>
        <w:rPr>
          <w:rFonts w:ascii="宋体" w:hAnsi="宋体" w:eastAsia="宋体" w:cs="宋体"/>
          <w:spacing w:val="16"/>
          <w:sz w:val="23"/>
          <w:szCs w:val="23"/>
        </w:rPr>
        <w:t>行</w:t>
      </w:r>
      <w:r>
        <w:rPr>
          <w:rFonts w:ascii="宋体" w:hAnsi="宋体" w:eastAsia="宋体" w:cs="宋体"/>
          <w:spacing w:val="8"/>
          <w:sz w:val="23"/>
          <w:szCs w:val="23"/>
        </w:rPr>
        <w:t>，风险水平属于可以接受的范畴。</w:t>
      </w:r>
    </w:p>
    <w:p w14:paraId="1D7F14E0">
      <w:pPr>
        <w:spacing w:line="221" w:lineRule="auto"/>
        <w:ind w:left="2819"/>
        <w:rPr>
          <w:rFonts w:ascii="黑体" w:hAnsi="黑体" w:eastAsia="黑体" w:cs="黑体"/>
          <w:sz w:val="23"/>
          <w:szCs w:val="23"/>
        </w:rPr>
      </w:pPr>
      <w:r>
        <w:rPr>
          <w:rFonts w:ascii="黑体" w:hAnsi="黑体" w:eastAsia="黑体" w:cs="黑体"/>
          <w:spacing w:val="8"/>
          <w:sz w:val="23"/>
          <w:szCs w:val="23"/>
        </w:rPr>
        <w:t>表</w:t>
      </w:r>
      <w:r>
        <w:rPr>
          <w:rFonts w:ascii="Times New Roman" w:hAnsi="Times New Roman" w:eastAsia="Times New Roman" w:cs="Times New Roman"/>
          <w:spacing w:val="7"/>
          <w:sz w:val="23"/>
          <w:szCs w:val="23"/>
        </w:rPr>
        <w:t xml:space="preserve">8.4-2    </w:t>
      </w:r>
      <w:r>
        <w:rPr>
          <w:rFonts w:ascii="黑体" w:hAnsi="黑体" w:eastAsia="黑体" w:cs="黑体"/>
          <w:spacing w:val="7"/>
          <w:sz w:val="23"/>
          <w:szCs w:val="23"/>
        </w:rPr>
        <w:t>建设项目环境风险简单分析内容表</w:t>
      </w:r>
    </w:p>
    <w:tbl>
      <w:tblPr>
        <w:tblStyle w:val="4"/>
        <w:tblW w:w="912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90"/>
        <w:gridCol w:w="1366"/>
        <w:gridCol w:w="1502"/>
        <w:gridCol w:w="1395"/>
        <w:gridCol w:w="1201"/>
        <w:gridCol w:w="1366"/>
      </w:tblGrid>
      <w:tr w14:paraId="36319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2290" w:type="dxa"/>
            <w:tcBorders>
              <w:left w:val="nil"/>
            </w:tcBorders>
          </w:tcPr>
          <w:p w14:paraId="2F5085B5">
            <w:pPr>
              <w:spacing w:before="159" w:line="228" w:lineRule="auto"/>
              <w:ind w:left="525"/>
              <w:rPr>
                <w:rFonts w:ascii="宋体" w:hAnsi="宋体" w:eastAsia="宋体" w:cs="宋体"/>
                <w:sz w:val="20"/>
                <w:szCs w:val="20"/>
              </w:rPr>
            </w:pPr>
            <w:r>
              <w:rPr>
                <w:rFonts w:ascii="宋体" w:hAnsi="宋体" w:eastAsia="宋体" w:cs="宋体"/>
                <w:spacing w:val="8"/>
                <w:sz w:val="20"/>
                <w:szCs w:val="20"/>
              </w:rPr>
              <w:t>建设项目名</w:t>
            </w:r>
            <w:r>
              <w:rPr>
                <w:rFonts w:ascii="宋体" w:hAnsi="宋体" w:eastAsia="宋体" w:cs="宋体"/>
                <w:spacing w:val="7"/>
                <w:sz w:val="20"/>
                <w:szCs w:val="20"/>
              </w:rPr>
              <w:t>称</w:t>
            </w:r>
          </w:p>
        </w:tc>
        <w:tc>
          <w:tcPr>
            <w:tcW w:w="6830" w:type="dxa"/>
            <w:gridSpan w:val="5"/>
            <w:tcBorders>
              <w:right w:val="nil"/>
            </w:tcBorders>
          </w:tcPr>
          <w:p w14:paraId="3F262A4D">
            <w:pPr>
              <w:spacing w:before="158" w:line="228" w:lineRule="auto"/>
              <w:ind w:left="997"/>
              <w:rPr>
                <w:rFonts w:ascii="宋体" w:hAnsi="宋体" w:eastAsia="宋体" w:cs="宋体"/>
                <w:sz w:val="20"/>
                <w:szCs w:val="20"/>
              </w:rPr>
            </w:pPr>
            <w:r>
              <w:rPr>
                <w:rFonts w:ascii="宋体" w:hAnsi="宋体" w:eastAsia="宋体" w:cs="宋体"/>
                <w:spacing w:val="2"/>
                <w:sz w:val="20"/>
                <w:szCs w:val="20"/>
              </w:rPr>
              <w:t>井研县丰逸养殖专业合作社丰逸标准化代养场建设项</w:t>
            </w:r>
            <w:r>
              <w:rPr>
                <w:rFonts w:ascii="宋体" w:hAnsi="宋体" w:eastAsia="宋体" w:cs="宋体"/>
                <w:spacing w:val="1"/>
                <w:sz w:val="20"/>
                <w:szCs w:val="20"/>
              </w:rPr>
              <w:t>目</w:t>
            </w:r>
          </w:p>
        </w:tc>
      </w:tr>
      <w:tr w14:paraId="46810B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2290" w:type="dxa"/>
            <w:tcBorders>
              <w:left w:val="nil"/>
            </w:tcBorders>
          </w:tcPr>
          <w:p w14:paraId="26D30F58">
            <w:pPr>
              <w:spacing w:before="105" w:line="229" w:lineRule="auto"/>
              <w:ind w:left="736"/>
              <w:rPr>
                <w:rFonts w:ascii="宋体" w:hAnsi="宋体" w:eastAsia="宋体" w:cs="宋体"/>
                <w:sz w:val="20"/>
                <w:szCs w:val="20"/>
              </w:rPr>
            </w:pPr>
            <w:r>
              <w:rPr>
                <w:rFonts w:ascii="宋体" w:hAnsi="宋体" w:eastAsia="宋体" w:cs="宋体"/>
                <w:spacing w:val="9"/>
                <w:sz w:val="20"/>
                <w:szCs w:val="20"/>
              </w:rPr>
              <w:t>建</w:t>
            </w:r>
            <w:r>
              <w:rPr>
                <w:rFonts w:ascii="宋体" w:hAnsi="宋体" w:eastAsia="宋体" w:cs="宋体"/>
                <w:spacing w:val="6"/>
                <w:sz w:val="20"/>
                <w:szCs w:val="20"/>
              </w:rPr>
              <w:t>设地点</w:t>
            </w:r>
          </w:p>
        </w:tc>
        <w:tc>
          <w:tcPr>
            <w:tcW w:w="1366" w:type="dxa"/>
          </w:tcPr>
          <w:p w14:paraId="0A00692E">
            <w:pPr>
              <w:spacing w:before="104" w:line="228" w:lineRule="auto"/>
              <w:ind w:left="174"/>
              <w:rPr>
                <w:rFonts w:ascii="宋体" w:hAnsi="宋体" w:eastAsia="宋体" w:cs="宋体"/>
                <w:sz w:val="20"/>
                <w:szCs w:val="20"/>
              </w:rPr>
            </w:pPr>
            <w:r>
              <w:rPr>
                <w:rFonts w:ascii="宋体" w:hAnsi="宋体" w:eastAsia="宋体" w:cs="宋体"/>
                <w:spacing w:val="23"/>
                <w:sz w:val="20"/>
                <w:szCs w:val="20"/>
              </w:rPr>
              <w:t>(</w:t>
            </w:r>
            <w:r>
              <w:rPr>
                <w:rFonts w:ascii="宋体" w:hAnsi="宋体" w:eastAsia="宋体" w:cs="宋体"/>
                <w:spacing w:val="22"/>
                <w:sz w:val="20"/>
                <w:szCs w:val="20"/>
              </w:rPr>
              <w:t>四川) 省</w:t>
            </w:r>
          </w:p>
        </w:tc>
        <w:tc>
          <w:tcPr>
            <w:tcW w:w="1502" w:type="dxa"/>
          </w:tcPr>
          <w:p w14:paraId="4CCFC4C1">
            <w:pPr>
              <w:spacing w:before="104" w:line="228" w:lineRule="auto"/>
              <w:ind w:left="241"/>
              <w:rPr>
                <w:rFonts w:ascii="宋体" w:hAnsi="宋体" w:eastAsia="宋体" w:cs="宋体"/>
                <w:sz w:val="20"/>
                <w:szCs w:val="20"/>
              </w:rPr>
            </w:pPr>
            <w:r>
              <w:rPr>
                <w:rFonts w:ascii="宋体" w:hAnsi="宋体" w:eastAsia="宋体" w:cs="宋体"/>
                <w:spacing w:val="25"/>
                <w:sz w:val="20"/>
                <w:szCs w:val="20"/>
              </w:rPr>
              <w:t>(</w:t>
            </w:r>
            <w:r>
              <w:rPr>
                <w:rFonts w:ascii="宋体" w:hAnsi="宋体" w:eastAsia="宋体" w:cs="宋体"/>
                <w:spacing w:val="22"/>
                <w:sz w:val="20"/>
                <w:szCs w:val="20"/>
              </w:rPr>
              <w:t>乐山) 市</w:t>
            </w:r>
          </w:p>
        </w:tc>
        <w:tc>
          <w:tcPr>
            <w:tcW w:w="1395" w:type="dxa"/>
          </w:tcPr>
          <w:p w14:paraId="59BBFF0C">
            <w:pPr>
              <w:spacing w:before="105" w:line="228" w:lineRule="auto"/>
              <w:ind w:left="186"/>
              <w:rPr>
                <w:rFonts w:ascii="宋体" w:hAnsi="宋体" w:eastAsia="宋体" w:cs="宋体"/>
                <w:sz w:val="20"/>
                <w:szCs w:val="20"/>
              </w:rPr>
            </w:pPr>
            <w:r>
              <w:rPr>
                <w:rFonts w:ascii="宋体" w:hAnsi="宋体" w:eastAsia="宋体" w:cs="宋体"/>
                <w:spacing w:val="25"/>
                <w:sz w:val="20"/>
                <w:szCs w:val="20"/>
              </w:rPr>
              <w:t>(</w:t>
            </w:r>
            <w:r>
              <w:rPr>
                <w:rFonts w:ascii="宋体" w:hAnsi="宋体" w:eastAsia="宋体" w:cs="宋体"/>
                <w:spacing w:val="24"/>
                <w:sz w:val="20"/>
                <w:szCs w:val="20"/>
              </w:rPr>
              <w:t>井研) 区</w:t>
            </w:r>
          </w:p>
        </w:tc>
        <w:tc>
          <w:tcPr>
            <w:tcW w:w="1201" w:type="dxa"/>
          </w:tcPr>
          <w:p w14:paraId="1C344E85">
            <w:pPr>
              <w:spacing w:before="104" w:line="228" w:lineRule="auto"/>
              <w:ind w:left="123"/>
              <w:rPr>
                <w:rFonts w:ascii="宋体" w:hAnsi="宋体" w:eastAsia="宋体" w:cs="宋体"/>
                <w:sz w:val="20"/>
                <w:szCs w:val="20"/>
              </w:rPr>
            </w:pPr>
            <w:r>
              <w:rPr>
                <w:rFonts w:ascii="宋体" w:hAnsi="宋体" w:eastAsia="宋体" w:cs="宋体"/>
                <w:spacing w:val="33"/>
                <w:sz w:val="20"/>
                <w:szCs w:val="20"/>
              </w:rPr>
              <w:t>(周坡)镇</w:t>
            </w:r>
          </w:p>
        </w:tc>
        <w:tc>
          <w:tcPr>
            <w:tcW w:w="1366" w:type="dxa"/>
            <w:tcBorders>
              <w:right w:val="nil"/>
            </w:tcBorders>
          </w:tcPr>
          <w:p w14:paraId="1DB51205">
            <w:pPr>
              <w:spacing w:before="104" w:line="227" w:lineRule="auto"/>
              <w:ind w:left="172"/>
              <w:rPr>
                <w:rFonts w:ascii="宋体" w:hAnsi="宋体" w:eastAsia="宋体" w:cs="宋体"/>
                <w:sz w:val="20"/>
                <w:szCs w:val="20"/>
              </w:rPr>
            </w:pPr>
            <w:r>
              <w:rPr>
                <w:rFonts w:ascii="宋体" w:hAnsi="宋体" w:eastAsia="宋体" w:cs="宋体"/>
                <w:spacing w:val="25"/>
                <w:sz w:val="20"/>
                <w:szCs w:val="20"/>
              </w:rPr>
              <w:t>(</w:t>
            </w:r>
            <w:r>
              <w:rPr>
                <w:rFonts w:ascii="宋体" w:hAnsi="宋体" w:eastAsia="宋体" w:cs="宋体"/>
                <w:spacing w:val="24"/>
                <w:sz w:val="20"/>
                <w:szCs w:val="20"/>
              </w:rPr>
              <w:t>周坡村)</w:t>
            </w:r>
          </w:p>
        </w:tc>
      </w:tr>
      <w:tr w14:paraId="2A2E91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2290" w:type="dxa"/>
            <w:tcBorders>
              <w:left w:val="nil"/>
            </w:tcBorders>
          </w:tcPr>
          <w:p w14:paraId="5F95BFFE">
            <w:pPr>
              <w:spacing w:before="105" w:line="228" w:lineRule="auto"/>
              <w:ind w:left="733"/>
              <w:rPr>
                <w:rFonts w:ascii="宋体" w:hAnsi="宋体" w:eastAsia="宋体" w:cs="宋体"/>
                <w:sz w:val="20"/>
                <w:szCs w:val="20"/>
              </w:rPr>
            </w:pPr>
            <w:r>
              <w:rPr>
                <w:rFonts w:ascii="宋体" w:hAnsi="宋体" w:eastAsia="宋体" w:cs="宋体"/>
                <w:spacing w:val="8"/>
                <w:sz w:val="20"/>
                <w:szCs w:val="20"/>
              </w:rPr>
              <w:t>地</w:t>
            </w:r>
            <w:r>
              <w:rPr>
                <w:rFonts w:ascii="宋体" w:hAnsi="宋体" w:eastAsia="宋体" w:cs="宋体"/>
                <w:spacing w:val="7"/>
                <w:sz w:val="20"/>
                <w:szCs w:val="20"/>
              </w:rPr>
              <w:t>理坐标</w:t>
            </w:r>
          </w:p>
        </w:tc>
        <w:tc>
          <w:tcPr>
            <w:tcW w:w="1366" w:type="dxa"/>
          </w:tcPr>
          <w:p w14:paraId="0EF35189">
            <w:pPr>
              <w:spacing w:before="105" w:line="228" w:lineRule="auto"/>
              <w:ind w:left="480"/>
              <w:rPr>
                <w:rFonts w:ascii="宋体" w:hAnsi="宋体" w:eastAsia="宋体" w:cs="宋体"/>
                <w:sz w:val="20"/>
                <w:szCs w:val="20"/>
              </w:rPr>
            </w:pPr>
            <w:r>
              <w:rPr>
                <w:rFonts w:ascii="宋体" w:hAnsi="宋体" w:eastAsia="宋体" w:cs="宋体"/>
                <w:spacing w:val="4"/>
                <w:sz w:val="20"/>
                <w:szCs w:val="20"/>
              </w:rPr>
              <w:t>经</w:t>
            </w:r>
            <w:r>
              <w:rPr>
                <w:rFonts w:ascii="宋体" w:hAnsi="宋体" w:eastAsia="宋体" w:cs="宋体"/>
                <w:spacing w:val="3"/>
                <w:sz w:val="20"/>
                <w:szCs w:val="20"/>
              </w:rPr>
              <w:t>度</w:t>
            </w:r>
          </w:p>
        </w:tc>
        <w:tc>
          <w:tcPr>
            <w:tcW w:w="1502" w:type="dxa"/>
          </w:tcPr>
          <w:p w14:paraId="278BBB94">
            <w:pPr>
              <w:spacing w:before="141" w:line="195" w:lineRule="auto"/>
              <w:ind w:left="27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2"/>
                <w:sz w:val="20"/>
                <w:szCs w:val="20"/>
              </w:rPr>
              <w:t>03.996496</w:t>
            </w:r>
          </w:p>
        </w:tc>
        <w:tc>
          <w:tcPr>
            <w:tcW w:w="1395" w:type="dxa"/>
          </w:tcPr>
          <w:p w14:paraId="36A7E932">
            <w:pPr>
              <w:spacing w:before="105" w:line="228" w:lineRule="auto"/>
              <w:ind w:left="494"/>
              <w:rPr>
                <w:rFonts w:ascii="宋体" w:hAnsi="宋体" w:eastAsia="宋体" w:cs="宋体"/>
                <w:sz w:val="20"/>
                <w:szCs w:val="20"/>
              </w:rPr>
            </w:pPr>
            <w:r>
              <w:rPr>
                <w:rFonts w:ascii="宋体" w:hAnsi="宋体" w:eastAsia="宋体" w:cs="宋体"/>
                <w:spacing w:val="4"/>
                <w:sz w:val="20"/>
                <w:szCs w:val="20"/>
              </w:rPr>
              <w:t>纬度</w:t>
            </w:r>
          </w:p>
        </w:tc>
        <w:tc>
          <w:tcPr>
            <w:tcW w:w="2567" w:type="dxa"/>
            <w:gridSpan w:val="2"/>
            <w:tcBorders>
              <w:right w:val="nil"/>
            </w:tcBorders>
          </w:tcPr>
          <w:p w14:paraId="62A9E121">
            <w:pPr>
              <w:spacing w:before="141" w:line="195" w:lineRule="auto"/>
              <w:ind w:left="839"/>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4"/>
                <w:sz w:val="20"/>
                <w:szCs w:val="20"/>
              </w:rPr>
              <w:t>9.775329</w:t>
            </w:r>
          </w:p>
        </w:tc>
      </w:tr>
      <w:tr w14:paraId="28CE4E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2290" w:type="dxa"/>
            <w:tcBorders>
              <w:left w:val="nil"/>
            </w:tcBorders>
          </w:tcPr>
          <w:p w14:paraId="57831055">
            <w:pPr>
              <w:spacing w:before="106" w:line="227" w:lineRule="auto"/>
              <w:ind w:left="209"/>
              <w:rPr>
                <w:rFonts w:ascii="宋体" w:hAnsi="宋体" w:eastAsia="宋体" w:cs="宋体"/>
                <w:sz w:val="20"/>
                <w:szCs w:val="20"/>
              </w:rPr>
            </w:pPr>
            <w:r>
              <w:rPr>
                <w:rFonts w:ascii="宋体" w:hAnsi="宋体" w:eastAsia="宋体" w:cs="宋体"/>
                <w:spacing w:val="15"/>
                <w:sz w:val="20"/>
                <w:szCs w:val="20"/>
              </w:rPr>
              <w:t>主</w:t>
            </w:r>
            <w:r>
              <w:rPr>
                <w:rFonts w:ascii="宋体" w:hAnsi="宋体" w:eastAsia="宋体" w:cs="宋体"/>
                <w:spacing w:val="8"/>
                <w:sz w:val="20"/>
                <w:szCs w:val="20"/>
              </w:rPr>
              <w:t>要危险物质及分布</w:t>
            </w:r>
          </w:p>
        </w:tc>
        <w:tc>
          <w:tcPr>
            <w:tcW w:w="6830" w:type="dxa"/>
            <w:gridSpan w:val="5"/>
            <w:tcBorders>
              <w:right w:val="nil"/>
            </w:tcBorders>
          </w:tcPr>
          <w:p w14:paraId="5A166930">
            <w:pPr>
              <w:spacing w:before="68" w:line="281" w:lineRule="exact"/>
              <w:ind w:left="1363"/>
              <w:rPr>
                <w:rFonts w:ascii="宋体" w:hAnsi="宋体" w:eastAsia="宋体" w:cs="宋体"/>
                <w:sz w:val="20"/>
                <w:szCs w:val="20"/>
              </w:rPr>
            </w:pPr>
            <w:r>
              <w:rPr>
                <w:rFonts w:ascii="宋体" w:hAnsi="宋体" w:eastAsia="宋体" w:cs="宋体"/>
                <w:spacing w:val="11"/>
                <w:position w:val="1"/>
                <w:sz w:val="20"/>
                <w:szCs w:val="20"/>
              </w:rPr>
              <w:t>消</w:t>
            </w:r>
            <w:r>
              <w:rPr>
                <w:rFonts w:ascii="宋体" w:hAnsi="宋体" w:eastAsia="宋体" w:cs="宋体"/>
                <w:spacing w:val="7"/>
                <w:position w:val="1"/>
                <w:sz w:val="20"/>
                <w:szCs w:val="20"/>
              </w:rPr>
              <w:t>毒液，最大储存量为约为</w:t>
            </w:r>
            <w:r>
              <w:rPr>
                <w:rFonts w:ascii="Times New Roman" w:hAnsi="Times New Roman" w:eastAsia="Times New Roman" w:cs="Times New Roman"/>
                <w:spacing w:val="7"/>
                <w:position w:val="1"/>
                <w:sz w:val="20"/>
                <w:szCs w:val="20"/>
              </w:rPr>
              <w:t>100</w:t>
            </w:r>
            <w:r>
              <w:rPr>
                <w:rFonts w:ascii="宋体" w:hAnsi="宋体" w:eastAsia="宋体" w:cs="宋体"/>
                <w:spacing w:val="7"/>
                <w:position w:val="1"/>
                <w:sz w:val="20"/>
                <w:szCs w:val="20"/>
              </w:rPr>
              <w:t>瓶 (</w:t>
            </w:r>
            <w:r>
              <w:rPr>
                <w:rFonts w:ascii="Times New Roman" w:hAnsi="Times New Roman" w:eastAsia="Times New Roman" w:cs="Times New Roman"/>
                <w:spacing w:val="7"/>
                <w:position w:val="1"/>
                <w:sz w:val="20"/>
                <w:szCs w:val="20"/>
              </w:rPr>
              <w:t>0.5</w:t>
            </w:r>
            <w:r>
              <w:rPr>
                <w:rFonts w:ascii="Times New Roman" w:hAnsi="Times New Roman" w:eastAsia="Times New Roman" w:cs="Times New Roman"/>
                <w:position w:val="1"/>
                <w:sz w:val="20"/>
                <w:szCs w:val="20"/>
              </w:rPr>
              <w:t>L</w:t>
            </w:r>
            <w:r>
              <w:rPr>
                <w:rFonts w:ascii="Times New Roman" w:hAnsi="Times New Roman" w:eastAsia="Times New Roman" w:cs="Times New Roman"/>
                <w:spacing w:val="7"/>
                <w:position w:val="1"/>
                <w:sz w:val="20"/>
                <w:szCs w:val="20"/>
              </w:rPr>
              <w:t>/</w:t>
            </w:r>
            <w:r>
              <w:rPr>
                <w:rFonts w:ascii="宋体" w:hAnsi="宋体" w:eastAsia="宋体" w:cs="宋体"/>
                <w:spacing w:val="7"/>
                <w:position w:val="1"/>
                <w:sz w:val="20"/>
                <w:szCs w:val="20"/>
              </w:rPr>
              <w:t>瓶)</w:t>
            </w:r>
          </w:p>
        </w:tc>
      </w:tr>
      <w:tr w14:paraId="7DADF6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2290" w:type="dxa"/>
            <w:tcBorders>
              <w:left w:val="nil"/>
            </w:tcBorders>
          </w:tcPr>
          <w:p w14:paraId="0D9CB1BD">
            <w:pPr>
              <w:spacing w:before="170" w:line="265" w:lineRule="auto"/>
              <w:ind w:left="944" w:right="198" w:hanging="736"/>
              <w:rPr>
                <w:rFonts w:ascii="宋体" w:hAnsi="宋体" w:eastAsia="宋体" w:cs="宋体"/>
                <w:sz w:val="20"/>
                <w:szCs w:val="20"/>
              </w:rPr>
            </w:pPr>
            <w:r>
              <w:rPr>
                <w:rFonts w:ascii="宋体" w:hAnsi="宋体" w:eastAsia="宋体" w:cs="宋体"/>
                <w:spacing w:val="9"/>
                <w:sz w:val="20"/>
                <w:szCs w:val="20"/>
              </w:rPr>
              <w:t>环境影响途径及危</w:t>
            </w:r>
            <w:r>
              <w:rPr>
                <w:rFonts w:ascii="宋体" w:hAnsi="宋体" w:eastAsia="宋体" w:cs="宋体"/>
                <w:spacing w:val="8"/>
                <w:sz w:val="20"/>
                <w:szCs w:val="20"/>
              </w:rPr>
              <w:t>害</w:t>
            </w:r>
            <w:r>
              <w:rPr>
                <w:rFonts w:ascii="宋体" w:hAnsi="宋体" w:eastAsia="宋体" w:cs="宋体"/>
                <w:sz w:val="20"/>
                <w:szCs w:val="20"/>
              </w:rPr>
              <w:t xml:space="preserve"> </w:t>
            </w:r>
            <w:r>
              <w:rPr>
                <w:rFonts w:ascii="宋体" w:hAnsi="宋体" w:eastAsia="宋体" w:cs="宋体"/>
                <w:spacing w:val="4"/>
                <w:sz w:val="20"/>
                <w:szCs w:val="20"/>
              </w:rPr>
              <w:t>后</w:t>
            </w:r>
            <w:r>
              <w:rPr>
                <w:rFonts w:ascii="宋体" w:hAnsi="宋体" w:eastAsia="宋体" w:cs="宋体"/>
                <w:spacing w:val="3"/>
                <w:sz w:val="20"/>
                <w:szCs w:val="20"/>
              </w:rPr>
              <w:t>果</w:t>
            </w:r>
          </w:p>
        </w:tc>
        <w:tc>
          <w:tcPr>
            <w:tcW w:w="6830" w:type="dxa"/>
            <w:gridSpan w:val="5"/>
            <w:tcBorders>
              <w:right w:val="nil"/>
            </w:tcBorders>
          </w:tcPr>
          <w:p w14:paraId="4F5B53E2">
            <w:pPr>
              <w:spacing w:before="34" w:line="242" w:lineRule="auto"/>
              <w:ind w:left="113" w:right="107" w:firstLine="10"/>
              <w:rPr>
                <w:rFonts w:ascii="宋体" w:hAnsi="宋体" w:eastAsia="宋体" w:cs="宋体"/>
                <w:sz w:val="20"/>
                <w:szCs w:val="20"/>
              </w:rPr>
            </w:pPr>
            <w:r>
              <w:rPr>
                <w:rFonts w:ascii="宋体" w:hAnsi="宋体" w:eastAsia="宋体" w:cs="宋体"/>
                <w:spacing w:val="11"/>
                <w:sz w:val="20"/>
                <w:szCs w:val="20"/>
              </w:rPr>
              <w:t>(</w:t>
            </w:r>
            <w:r>
              <w:rPr>
                <w:rFonts w:ascii="Times New Roman" w:hAnsi="Times New Roman" w:eastAsia="Times New Roman" w:cs="Times New Roman"/>
                <w:spacing w:val="11"/>
                <w:sz w:val="20"/>
                <w:szCs w:val="20"/>
              </w:rPr>
              <w:t>1</w:t>
            </w:r>
            <w:r>
              <w:rPr>
                <w:rFonts w:ascii="宋体" w:hAnsi="宋体" w:eastAsia="宋体" w:cs="宋体"/>
                <w:spacing w:val="11"/>
                <w:sz w:val="20"/>
                <w:szCs w:val="20"/>
              </w:rPr>
              <w:t>) 消毒液发生泄露，污染土壤环境、水体环境等；  (</w:t>
            </w:r>
            <w:r>
              <w:rPr>
                <w:rFonts w:ascii="Times New Roman" w:hAnsi="Times New Roman" w:eastAsia="Times New Roman" w:cs="Times New Roman"/>
                <w:spacing w:val="11"/>
                <w:sz w:val="20"/>
                <w:szCs w:val="20"/>
              </w:rPr>
              <w:t>2</w:t>
            </w:r>
            <w:r>
              <w:rPr>
                <w:rFonts w:ascii="宋体" w:hAnsi="宋体" w:eastAsia="宋体" w:cs="宋体"/>
                <w:spacing w:val="11"/>
                <w:sz w:val="20"/>
                <w:szCs w:val="20"/>
              </w:rPr>
              <w:t>) 废水发生</w:t>
            </w:r>
            <w:r>
              <w:rPr>
                <w:rFonts w:ascii="宋体" w:hAnsi="宋体" w:eastAsia="宋体" w:cs="宋体"/>
                <w:spacing w:val="8"/>
                <w:sz w:val="20"/>
                <w:szCs w:val="20"/>
              </w:rPr>
              <w:t>泄</w:t>
            </w:r>
            <w:r>
              <w:rPr>
                <w:rFonts w:ascii="宋体" w:hAnsi="宋体" w:eastAsia="宋体" w:cs="宋体"/>
                <w:sz w:val="20"/>
                <w:szCs w:val="20"/>
              </w:rPr>
              <w:t xml:space="preserve"> </w:t>
            </w:r>
            <w:r>
              <w:rPr>
                <w:rFonts w:ascii="宋体" w:hAnsi="宋体" w:eastAsia="宋体" w:cs="宋体"/>
                <w:spacing w:val="6"/>
                <w:sz w:val="20"/>
                <w:szCs w:val="20"/>
              </w:rPr>
              <w:t>露污染地下水环境；  (</w:t>
            </w:r>
            <w:r>
              <w:rPr>
                <w:rFonts w:ascii="Times New Roman" w:hAnsi="Times New Roman" w:eastAsia="Times New Roman" w:cs="Times New Roman"/>
                <w:spacing w:val="6"/>
                <w:sz w:val="20"/>
                <w:szCs w:val="20"/>
              </w:rPr>
              <w:t>3</w:t>
            </w:r>
            <w:r>
              <w:rPr>
                <w:rFonts w:ascii="宋体" w:hAnsi="宋体" w:eastAsia="宋体" w:cs="宋体"/>
                <w:spacing w:val="6"/>
                <w:sz w:val="20"/>
                <w:szCs w:val="20"/>
              </w:rPr>
              <w:t>) 医疗废物发生泄露污染环境，还容易引起各</w:t>
            </w:r>
            <w:r>
              <w:rPr>
                <w:rFonts w:ascii="宋体" w:hAnsi="宋体" w:eastAsia="宋体" w:cs="宋体"/>
                <w:spacing w:val="3"/>
                <w:sz w:val="20"/>
                <w:szCs w:val="20"/>
              </w:rPr>
              <w:t>种</w:t>
            </w:r>
            <w:r>
              <w:rPr>
                <w:rFonts w:ascii="宋体" w:hAnsi="宋体" w:eastAsia="宋体" w:cs="宋体"/>
                <w:sz w:val="20"/>
                <w:szCs w:val="20"/>
              </w:rPr>
              <w:t xml:space="preserve"> </w:t>
            </w:r>
            <w:r>
              <w:rPr>
                <w:rFonts w:ascii="宋体" w:hAnsi="宋体" w:eastAsia="宋体" w:cs="宋体"/>
                <w:spacing w:val="8"/>
                <w:sz w:val="20"/>
                <w:szCs w:val="20"/>
              </w:rPr>
              <w:t>疾病的传播和蔓延</w:t>
            </w:r>
            <w:r>
              <w:rPr>
                <w:rFonts w:ascii="宋体" w:hAnsi="宋体" w:eastAsia="宋体" w:cs="宋体"/>
                <w:spacing w:val="6"/>
                <w:sz w:val="20"/>
                <w:szCs w:val="20"/>
              </w:rPr>
              <w:t>。</w:t>
            </w:r>
          </w:p>
        </w:tc>
      </w:tr>
      <w:tr w14:paraId="06956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0" w:hRule="atLeast"/>
        </w:trPr>
        <w:tc>
          <w:tcPr>
            <w:tcW w:w="2290" w:type="dxa"/>
            <w:tcBorders>
              <w:left w:val="nil"/>
            </w:tcBorders>
          </w:tcPr>
          <w:p w14:paraId="15C6CD44">
            <w:pPr>
              <w:spacing w:line="256" w:lineRule="auto"/>
            </w:pPr>
          </w:p>
          <w:p w14:paraId="06BD5564">
            <w:pPr>
              <w:spacing w:line="256" w:lineRule="auto"/>
            </w:pPr>
          </w:p>
          <w:p w14:paraId="28818CD6">
            <w:pPr>
              <w:spacing w:before="65" w:line="228" w:lineRule="auto"/>
              <w:ind w:left="314"/>
              <w:rPr>
                <w:rFonts w:ascii="宋体" w:hAnsi="宋体" w:eastAsia="宋体" w:cs="宋体"/>
                <w:sz w:val="20"/>
                <w:szCs w:val="20"/>
              </w:rPr>
            </w:pPr>
            <w:r>
              <w:rPr>
                <w:rFonts w:ascii="宋体" w:hAnsi="宋体" w:eastAsia="宋体" w:cs="宋体"/>
                <w:spacing w:val="12"/>
                <w:sz w:val="20"/>
                <w:szCs w:val="20"/>
              </w:rPr>
              <w:t>风</w:t>
            </w:r>
            <w:r>
              <w:rPr>
                <w:rFonts w:ascii="宋体" w:hAnsi="宋体" w:eastAsia="宋体" w:cs="宋体"/>
                <w:spacing w:val="8"/>
                <w:sz w:val="20"/>
                <w:szCs w:val="20"/>
              </w:rPr>
              <w:t>险防范措施要求</w:t>
            </w:r>
          </w:p>
        </w:tc>
        <w:tc>
          <w:tcPr>
            <w:tcW w:w="6830" w:type="dxa"/>
            <w:gridSpan w:val="5"/>
            <w:tcBorders>
              <w:right w:val="nil"/>
            </w:tcBorders>
          </w:tcPr>
          <w:p w14:paraId="0D04A75E">
            <w:pPr>
              <w:spacing w:before="37" w:line="246" w:lineRule="auto"/>
              <w:ind w:left="112" w:right="107" w:firstLine="11"/>
              <w:rPr>
                <w:rFonts w:ascii="宋体" w:hAnsi="宋体" w:eastAsia="宋体" w:cs="宋体"/>
                <w:sz w:val="20"/>
                <w:szCs w:val="20"/>
              </w:rPr>
            </w:pPr>
            <w:r>
              <w:rPr>
                <w:rFonts w:ascii="宋体" w:hAnsi="宋体" w:eastAsia="宋体" w:cs="宋体"/>
                <w:spacing w:val="11"/>
                <w:sz w:val="20"/>
                <w:szCs w:val="20"/>
              </w:rPr>
              <w:t>(</w:t>
            </w:r>
            <w:r>
              <w:rPr>
                <w:rFonts w:ascii="Times New Roman" w:hAnsi="Times New Roman" w:eastAsia="Times New Roman" w:cs="Times New Roman"/>
                <w:spacing w:val="11"/>
                <w:sz w:val="20"/>
                <w:szCs w:val="20"/>
              </w:rPr>
              <w:t>1</w:t>
            </w:r>
            <w:r>
              <w:rPr>
                <w:rFonts w:ascii="宋体" w:hAnsi="宋体" w:eastAsia="宋体" w:cs="宋体"/>
                <w:spacing w:val="11"/>
                <w:sz w:val="20"/>
                <w:szCs w:val="20"/>
              </w:rPr>
              <w:t>) 消毒池硬化，并定期检查维护，消毒液妥善储存；  (</w:t>
            </w:r>
            <w:r>
              <w:rPr>
                <w:rFonts w:ascii="Times New Roman" w:hAnsi="Times New Roman" w:eastAsia="Times New Roman" w:cs="Times New Roman"/>
                <w:spacing w:val="11"/>
                <w:sz w:val="20"/>
                <w:szCs w:val="20"/>
              </w:rPr>
              <w:t>2</w:t>
            </w:r>
            <w:r>
              <w:rPr>
                <w:rFonts w:ascii="宋体" w:hAnsi="宋体" w:eastAsia="宋体" w:cs="宋体"/>
                <w:spacing w:val="11"/>
                <w:sz w:val="20"/>
                <w:szCs w:val="20"/>
              </w:rPr>
              <w:t>) 定期检</w:t>
            </w:r>
            <w:r>
              <w:rPr>
                <w:rFonts w:ascii="宋体" w:hAnsi="宋体" w:eastAsia="宋体" w:cs="宋体"/>
                <w:spacing w:val="8"/>
                <w:sz w:val="20"/>
                <w:szCs w:val="20"/>
              </w:rPr>
              <w:t>查</w:t>
            </w:r>
            <w:r>
              <w:rPr>
                <w:rFonts w:ascii="宋体" w:hAnsi="宋体" w:eastAsia="宋体" w:cs="宋体"/>
                <w:sz w:val="20"/>
                <w:szCs w:val="20"/>
              </w:rPr>
              <w:t xml:space="preserve"> </w:t>
            </w:r>
            <w:r>
              <w:rPr>
                <w:rFonts w:ascii="宋体" w:hAnsi="宋体" w:eastAsia="宋体" w:cs="宋体"/>
                <w:spacing w:val="15"/>
                <w:sz w:val="20"/>
                <w:szCs w:val="20"/>
              </w:rPr>
              <w:t>维</w:t>
            </w:r>
            <w:r>
              <w:rPr>
                <w:rFonts w:ascii="宋体" w:hAnsi="宋体" w:eastAsia="宋体" w:cs="宋体"/>
                <w:spacing w:val="13"/>
                <w:sz w:val="20"/>
                <w:szCs w:val="20"/>
              </w:rPr>
              <w:t>护项目集污池，事故应急池及异位微生物发酵床，若异位微生物发酵</w:t>
            </w:r>
            <w:r>
              <w:rPr>
                <w:rFonts w:ascii="宋体" w:hAnsi="宋体" w:eastAsia="宋体" w:cs="宋体"/>
                <w:sz w:val="20"/>
                <w:szCs w:val="20"/>
              </w:rPr>
              <w:t xml:space="preserve"> </w:t>
            </w:r>
            <w:r>
              <w:rPr>
                <w:rFonts w:ascii="宋体" w:hAnsi="宋体" w:eastAsia="宋体" w:cs="宋体"/>
                <w:spacing w:val="15"/>
                <w:sz w:val="20"/>
                <w:szCs w:val="20"/>
              </w:rPr>
              <w:t>系</w:t>
            </w:r>
            <w:r>
              <w:rPr>
                <w:rFonts w:ascii="宋体" w:hAnsi="宋体" w:eastAsia="宋体" w:cs="宋体"/>
                <w:spacing w:val="13"/>
                <w:sz w:val="20"/>
                <w:szCs w:val="20"/>
              </w:rPr>
              <w:t>统发生故障，将未处理达标的污水暂存于事故池内，待修缮完毕后方</w:t>
            </w:r>
            <w:r>
              <w:rPr>
                <w:rFonts w:ascii="宋体" w:hAnsi="宋体" w:eastAsia="宋体" w:cs="宋体"/>
                <w:sz w:val="20"/>
                <w:szCs w:val="20"/>
              </w:rPr>
              <w:t xml:space="preserve"> </w:t>
            </w:r>
            <w:r>
              <w:rPr>
                <w:rFonts w:ascii="宋体" w:hAnsi="宋体" w:eastAsia="宋体" w:cs="宋体"/>
                <w:spacing w:val="6"/>
                <w:sz w:val="20"/>
                <w:szCs w:val="20"/>
              </w:rPr>
              <w:t>可恢复污水处理；  (</w:t>
            </w:r>
            <w:r>
              <w:rPr>
                <w:rFonts w:ascii="Times New Roman" w:hAnsi="Times New Roman" w:eastAsia="Times New Roman" w:cs="Times New Roman"/>
                <w:spacing w:val="6"/>
                <w:sz w:val="20"/>
                <w:szCs w:val="20"/>
              </w:rPr>
              <w:t>3</w:t>
            </w:r>
            <w:r>
              <w:rPr>
                <w:rFonts w:ascii="宋体" w:hAnsi="宋体" w:eastAsia="宋体" w:cs="宋体"/>
                <w:spacing w:val="6"/>
                <w:sz w:val="20"/>
                <w:szCs w:val="20"/>
              </w:rPr>
              <w:t>) 医疗废物采用专用容器储存，委托有医疗废物</w:t>
            </w:r>
            <w:r>
              <w:rPr>
                <w:rFonts w:ascii="宋体" w:hAnsi="宋体" w:eastAsia="宋体" w:cs="宋体"/>
                <w:spacing w:val="4"/>
                <w:sz w:val="20"/>
                <w:szCs w:val="20"/>
              </w:rPr>
              <w:t>处</w:t>
            </w:r>
            <w:r>
              <w:rPr>
                <w:rFonts w:ascii="宋体" w:hAnsi="宋体" w:eastAsia="宋体" w:cs="宋体"/>
                <w:sz w:val="20"/>
                <w:szCs w:val="20"/>
              </w:rPr>
              <w:t xml:space="preserve"> </w:t>
            </w:r>
            <w:r>
              <w:rPr>
                <w:rFonts w:ascii="宋体" w:hAnsi="宋体" w:eastAsia="宋体" w:cs="宋体"/>
                <w:spacing w:val="11"/>
                <w:sz w:val="20"/>
                <w:szCs w:val="20"/>
              </w:rPr>
              <w:t>置</w:t>
            </w:r>
            <w:r>
              <w:rPr>
                <w:rFonts w:ascii="宋体" w:hAnsi="宋体" w:eastAsia="宋体" w:cs="宋体"/>
                <w:spacing w:val="8"/>
                <w:sz w:val="20"/>
                <w:szCs w:val="20"/>
              </w:rPr>
              <w:t>资质的单位拉走处置。</w:t>
            </w:r>
          </w:p>
        </w:tc>
      </w:tr>
    </w:tbl>
    <w:p w14:paraId="2CD364E1">
      <w:pPr>
        <w:spacing w:before="30" w:line="226" w:lineRule="auto"/>
        <w:ind w:left="118"/>
        <w:rPr>
          <w:rFonts w:ascii="宋体" w:hAnsi="宋体" w:eastAsia="宋体" w:cs="宋体"/>
          <w:sz w:val="20"/>
          <w:szCs w:val="20"/>
        </w:rPr>
      </w:pPr>
      <w:r>
        <w:rPr>
          <w:rFonts w:ascii="宋体" w:hAnsi="宋体" w:eastAsia="宋体" w:cs="宋体"/>
          <w:spacing w:val="11"/>
          <w:sz w:val="20"/>
          <w:szCs w:val="20"/>
        </w:rPr>
        <w:t>填</w:t>
      </w:r>
      <w:r>
        <w:rPr>
          <w:rFonts w:ascii="宋体" w:hAnsi="宋体" w:eastAsia="宋体" w:cs="宋体"/>
          <w:spacing w:val="8"/>
          <w:sz w:val="20"/>
          <w:szCs w:val="20"/>
        </w:rPr>
        <w:t>表说明 (列出项目相关信息及评价说明) ：</w:t>
      </w:r>
    </w:p>
    <w:p w14:paraId="44D1D252">
      <w:pPr>
        <w:spacing w:before="28" w:line="251" w:lineRule="auto"/>
        <w:ind w:left="117" w:right="520" w:firstLine="2"/>
        <w:rPr>
          <w:rFonts w:ascii="宋体" w:hAnsi="宋体" w:eastAsia="宋体" w:cs="宋体"/>
          <w:sz w:val="20"/>
          <w:szCs w:val="20"/>
        </w:rPr>
      </w:pPr>
      <w:r>
        <w:rPr>
          <w:rFonts w:ascii="宋体" w:hAnsi="宋体" w:eastAsia="宋体" w:cs="宋体"/>
          <w:spacing w:val="16"/>
          <w:sz w:val="20"/>
          <w:szCs w:val="20"/>
        </w:rPr>
        <w:t>项目占</w:t>
      </w:r>
      <w:r>
        <w:rPr>
          <w:rFonts w:ascii="宋体" w:hAnsi="宋体" w:eastAsia="宋体" w:cs="宋体"/>
          <w:spacing w:val="8"/>
          <w:sz w:val="20"/>
          <w:szCs w:val="20"/>
        </w:rPr>
        <w:t>地面积</w:t>
      </w:r>
      <w:r>
        <w:rPr>
          <w:rFonts w:ascii="Times New Roman" w:hAnsi="Times New Roman" w:eastAsia="Times New Roman" w:cs="Times New Roman"/>
          <w:spacing w:val="8"/>
          <w:sz w:val="20"/>
          <w:szCs w:val="20"/>
        </w:rPr>
        <w:t>48. 11</w:t>
      </w:r>
      <w:r>
        <w:rPr>
          <w:rFonts w:ascii="宋体" w:hAnsi="宋体" w:eastAsia="宋体" w:cs="宋体"/>
          <w:spacing w:val="8"/>
          <w:sz w:val="20"/>
          <w:szCs w:val="20"/>
        </w:rPr>
        <w:t>亩，猪场建筑面积</w:t>
      </w:r>
      <w:r>
        <w:rPr>
          <w:rFonts w:ascii="Times New Roman" w:hAnsi="Times New Roman" w:eastAsia="Times New Roman" w:cs="Times New Roman"/>
          <w:spacing w:val="8"/>
          <w:sz w:val="20"/>
          <w:szCs w:val="20"/>
        </w:rPr>
        <w:t>16547.5</w:t>
      </w:r>
      <w:r>
        <w:rPr>
          <w:rFonts w:ascii="宋体" w:hAnsi="宋体" w:eastAsia="宋体" w:cs="宋体"/>
          <w:spacing w:val="8"/>
          <w:sz w:val="20"/>
          <w:szCs w:val="20"/>
        </w:rPr>
        <w:t>平方米，其中建设标准化圈舍</w:t>
      </w:r>
      <w:r>
        <w:rPr>
          <w:rFonts w:ascii="Times New Roman" w:hAnsi="Times New Roman" w:eastAsia="Times New Roman" w:cs="Times New Roman"/>
          <w:spacing w:val="8"/>
          <w:sz w:val="20"/>
          <w:szCs w:val="20"/>
        </w:rPr>
        <w:t>14755</w:t>
      </w:r>
      <w:r>
        <w:rPr>
          <w:rFonts w:ascii="宋体" w:hAnsi="宋体" w:eastAsia="宋体" w:cs="宋体"/>
          <w:spacing w:val="8"/>
          <w:sz w:val="20"/>
          <w:szCs w:val="20"/>
        </w:rPr>
        <w:t>平方米，饲料库</w:t>
      </w:r>
      <w:r>
        <w:rPr>
          <w:rFonts w:ascii="宋体" w:hAnsi="宋体" w:eastAsia="宋体" w:cs="宋体"/>
          <w:sz w:val="20"/>
          <w:szCs w:val="20"/>
        </w:rPr>
        <w:t xml:space="preserve"> </w:t>
      </w:r>
      <w:r>
        <w:rPr>
          <w:rFonts w:ascii="宋体" w:hAnsi="宋体" w:eastAsia="宋体" w:cs="宋体"/>
          <w:spacing w:val="14"/>
          <w:sz w:val="20"/>
          <w:szCs w:val="20"/>
        </w:rPr>
        <w:t>房</w:t>
      </w:r>
      <w:r>
        <w:rPr>
          <w:rFonts w:ascii="Times New Roman" w:hAnsi="Times New Roman" w:eastAsia="Times New Roman" w:cs="Times New Roman"/>
          <w:spacing w:val="14"/>
          <w:sz w:val="20"/>
          <w:szCs w:val="20"/>
        </w:rPr>
        <w:t>300</w:t>
      </w:r>
      <w:r>
        <w:rPr>
          <w:rFonts w:ascii="宋体" w:hAnsi="宋体" w:eastAsia="宋体" w:cs="宋体"/>
          <w:spacing w:val="14"/>
          <w:sz w:val="20"/>
          <w:szCs w:val="20"/>
        </w:rPr>
        <w:t>平</w:t>
      </w:r>
      <w:r>
        <w:rPr>
          <w:rFonts w:ascii="宋体" w:hAnsi="宋体" w:eastAsia="宋体" w:cs="宋体"/>
          <w:spacing w:val="9"/>
          <w:sz w:val="20"/>
          <w:szCs w:val="20"/>
        </w:rPr>
        <w:t>方</w:t>
      </w:r>
      <w:r>
        <w:rPr>
          <w:rFonts w:ascii="宋体" w:hAnsi="宋体" w:eastAsia="宋体" w:cs="宋体"/>
          <w:spacing w:val="7"/>
          <w:sz w:val="20"/>
          <w:szCs w:val="20"/>
        </w:rPr>
        <w:t>米，办公室、生活用房</w:t>
      </w:r>
      <w:r>
        <w:rPr>
          <w:rFonts w:ascii="Times New Roman" w:hAnsi="Times New Roman" w:eastAsia="Times New Roman" w:cs="Times New Roman"/>
          <w:spacing w:val="7"/>
          <w:sz w:val="20"/>
          <w:szCs w:val="20"/>
        </w:rPr>
        <w:t>420</w:t>
      </w:r>
      <w:r>
        <w:rPr>
          <w:rFonts w:ascii="宋体" w:hAnsi="宋体" w:eastAsia="宋体" w:cs="宋体"/>
          <w:spacing w:val="7"/>
          <w:sz w:val="20"/>
          <w:szCs w:val="20"/>
        </w:rPr>
        <w:t>平方米，附属用房</w:t>
      </w:r>
      <w:r>
        <w:rPr>
          <w:rFonts w:ascii="Times New Roman" w:hAnsi="Times New Roman" w:eastAsia="Times New Roman" w:cs="Times New Roman"/>
          <w:spacing w:val="7"/>
          <w:sz w:val="20"/>
          <w:szCs w:val="20"/>
        </w:rPr>
        <w:t>51</w:t>
      </w:r>
      <w:r>
        <w:rPr>
          <w:rFonts w:ascii="宋体" w:hAnsi="宋体" w:eastAsia="宋体" w:cs="宋体"/>
          <w:spacing w:val="7"/>
          <w:sz w:val="20"/>
          <w:szCs w:val="20"/>
        </w:rPr>
        <w:t>平方米。配置自动化输料、通风、照明、</w:t>
      </w:r>
      <w:r>
        <w:rPr>
          <w:rFonts w:ascii="宋体" w:hAnsi="宋体" w:eastAsia="宋体" w:cs="宋体"/>
          <w:sz w:val="20"/>
          <w:szCs w:val="20"/>
        </w:rPr>
        <w:t xml:space="preserve"> </w:t>
      </w:r>
      <w:r>
        <w:rPr>
          <w:rFonts w:ascii="宋体" w:hAnsi="宋体" w:eastAsia="宋体" w:cs="宋体"/>
          <w:spacing w:val="10"/>
          <w:sz w:val="20"/>
          <w:szCs w:val="20"/>
        </w:rPr>
        <w:t>温控有害气体控</w:t>
      </w:r>
      <w:r>
        <w:rPr>
          <w:rFonts w:ascii="宋体" w:hAnsi="宋体" w:eastAsia="宋体" w:cs="宋体"/>
          <w:spacing w:val="6"/>
          <w:sz w:val="20"/>
          <w:szCs w:val="20"/>
        </w:rPr>
        <w:t>制</w:t>
      </w:r>
      <w:r>
        <w:rPr>
          <w:rFonts w:ascii="宋体" w:hAnsi="宋体" w:eastAsia="宋体" w:cs="宋体"/>
          <w:spacing w:val="5"/>
          <w:sz w:val="20"/>
          <w:szCs w:val="20"/>
        </w:rPr>
        <w:t>等系统以及污水处理、畜禽消毒与无害化处理等设施设备、存栏育肥猪</w:t>
      </w:r>
      <w:r>
        <w:rPr>
          <w:rFonts w:ascii="Times New Roman" w:hAnsi="Times New Roman" w:eastAsia="Times New Roman" w:cs="Times New Roman"/>
          <w:spacing w:val="5"/>
          <w:sz w:val="20"/>
          <w:szCs w:val="20"/>
        </w:rPr>
        <w:t>10400</w:t>
      </w:r>
      <w:r>
        <w:rPr>
          <w:rFonts w:ascii="宋体" w:hAnsi="宋体" w:eastAsia="宋体" w:cs="宋体"/>
          <w:spacing w:val="5"/>
          <w:sz w:val="20"/>
          <w:szCs w:val="20"/>
        </w:rPr>
        <w:t>头。</w:t>
      </w:r>
      <w:r>
        <w:rPr>
          <w:rFonts w:ascii="宋体" w:hAnsi="宋体" w:eastAsia="宋体" w:cs="宋体"/>
          <w:sz w:val="20"/>
          <w:szCs w:val="20"/>
        </w:rPr>
        <w:t xml:space="preserve"> </w:t>
      </w:r>
      <w:r>
        <w:rPr>
          <w:rFonts w:ascii="宋体" w:hAnsi="宋体" w:eastAsia="宋体" w:cs="宋体"/>
          <w:spacing w:val="7"/>
          <w:sz w:val="20"/>
          <w:szCs w:val="20"/>
        </w:rPr>
        <w:t>项目生产过程中设计的危险物品为消毒液，项目消毒液储存消毒小于临界量，项目环境风险潜势</w:t>
      </w:r>
      <w:r>
        <w:rPr>
          <w:rFonts w:ascii="宋体" w:hAnsi="宋体" w:eastAsia="宋体" w:cs="宋体"/>
          <w:spacing w:val="3"/>
          <w:sz w:val="20"/>
          <w:szCs w:val="20"/>
        </w:rPr>
        <w:t>为</w:t>
      </w:r>
    </w:p>
    <w:p w14:paraId="407E71AD">
      <w:pPr>
        <w:spacing w:before="2" w:line="242" w:lineRule="auto"/>
        <w:ind w:left="117" w:right="591" w:firstLine="66"/>
        <w:rPr>
          <w:rFonts w:ascii="宋体" w:hAnsi="宋体" w:eastAsia="宋体" w:cs="宋体"/>
          <w:sz w:val="20"/>
          <w:szCs w:val="20"/>
        </w:rPr>
      </w:pPr>
      <w:r>
        <w:rPr>
          <w:rFonts w:ascii="宋体" w:hAnsi="宋体" w:eastAsia="宋体" w:cs="宋体"/>
          <w:spacing w:val="3"/>
          <w:sz w:val="20"/>
          <w:szCs w:val="20"/>
        </w:rPr>
        <w:t>Ⅰ ，评价等级为简单分析。项目生产过程中存在消毒液泄露、废水事故排放及医疗废物事故排</w:t>
      </w:r>
      <w:r>
        <w:rPr>
          <w:rFonts w:ascii="宋体" w:hAnsi="宋体" w:eastAsia="宋体" w:cs="宋体"/>
          <w:spacing w:val="2"/>
          <w:sz w:val="20"/>
          <w:szCs w:val="20"/>
        </w:rPr>
        <w:t>放</w:t>
      </w:r>
      <w:r>
        <w:rPr>
          <w:rFonts w:ascii="宋体" w:hAnsi="宋体" w:eastAsia="宋体" w:cs="宋体"/>
          <w:sz w:val="20"/>
          <w:szCs w:val="20"/>
        </w:rPr>
        <w:t xml:space="preserve">等 </w:t>
      </w:r>
      <w:r>
        <w:rPr>
          <w:rFonts w:ascii="宋体" w:hAnsi="宋体" w:eastAsia="宋体" w:cs="宋体"/>
          <w:spacing w:val="22"/>
          <w:sz w:val="20"/>
          <w:szCs w:val="20"/>
        </w:rPr>
        <w:t>风险</w:t>
      </w:r>
      <w:r>
        <w:rPr>
          <w:rFonts w:ascii="宋体" w:hAnsi="宋体" w:eastAsia="宋体" w:cs="宋体"/>
          <w:spacing w:val="19"/>
          <w:sz w:val="20"/>
          <w:szCs w:val="20"/>
        </w:rPr>
        <w:t>。</w:t>
      </w:r>
      <w:r>
        <w:rPr>
          <w:rFonts w:ascii="宋体" w:hAnsi="宋体" w:eastAsia="宋体" w:cs="宋体"/>
          <w:spacing w:val="11"/>
          <w:sz w:val="20"/>
          <w:szCs w:val="20"/>
        </w:rPr>
        <w:t>建设单位严格实施本报告中各项防范措施和应急措施，防范风险事故发生，风险水平属于</w:t>
      </w:r>
      <w:r>
        <w:rPr>
          <w:rFonts w:ascii="宋体" w:hAnsi="宋体" w:eastAsia="宋体" w:cs="宋体"/>
          <w:sz w:val="20"/>
          <w:szCs w:val="20"/>
        </w:rPr>
        <w:t xml:space="preserve"> </w:t>
      </w:r>
      <w:r>
        <w:rPr>
          <w:rFonts w:ascii="宋体" w:hAnsi="宋体" w:eastAsia="宋体" w:cs="宋体"/>
          <w:spacing w:val="10"/>
          <w:sz w:val="20"/>
          <w:szCs w:val="20"/>
        </w:rPr>
        <w:t>可</w:t>
      </w:r>
      <w:r>
        <w:rPr>
          <w:rFonts w:ascii="宋体" w:hAnsi="宋体" w:eastAsia="宋体" w:cs="宋体"/>
          <w:spacing w:val="7"/>
          <w:sz w:val="20"/>
          <w:szCs w:val="20"/>
        </w:rPr>
        <w:t>以接受的范畴。</w:t>
      </w:r>
    </w:p>
    <w:p w14:paraId="4DDBC42D">
      <w:pPr>
        <w:spacing w:line="28" w:lineRule="exact"/>
        <w:textAlignment w:val="center"/>
      </w:pPr>
      <w:r>
        <w:pict>
          <v:shape id="_x0000_s2137" o:spid="_x0000_s2137" style="height:1.45pt;width:456.05pt;" filled="f" coordsize="9120,29" path="m0,14l9120,14e">
            <v:fill on="f" focussize="0,0"/>
            <v:stroke weight="1.44pt" miterlimit="2" joinstyle="bevel"/>
            <v:imagedata o:title=""/>
            <o:lock v:ext="edit"/>
            <w10:wrap type="none"/>
            <w10:anchorlock/>
          </v:shape>
        </w:pict>
      </w:r>
    </w:p>
    <w:p w14:paraId="0301D362">
      <w:pPr>
        <w:sectPr>
          <w:headerReference r:id="rId308" w:type="default"/>
          <w:footerReference r:id="rId309" w:type="default"/>
          <w:pgSz w:w="11906" w:h="16839"/>
          <w:pgMar w:top="1113" w:right="1134" w:bottom="1157" w:left="1167" w:header="878" w:footer="994" w:gutter="0"/>
          <w:cols w:space="720" w:num="1"/>
        </w:sectPr>
      </w:pPr>
    </w:p>
    <w:p w14:paraId="781712B1">
      <w:pPr>
        <w:spacing w:before="206" w:line="241" w:lineRule="auto"/>
        <w:ind w:left="10"/>
        <w:outlineLvl w:val="0"/>
        <w:rPr>
          <w:rFonts w:ascii="宋体" w:hAnsi="宋体" w:eastAsia="宋体" w:cs="宋体"/>
          <w:sz w:val="31"/>
          <w:szCs w:val="31"/>
        </w:rPr>
      </w:pPr>
      <w:bookmarkStart w:id="63" w:name="_bookmark64"/>
      <w:bookmarkEnd w:id="63"/>
      <w:r>
        <w:rPr>
          <w:rFonts w:ascii="Times New Roman" w:hAnsi="Times New Roman" w:eastAsia="Times New Roman" w:cs="Times New Roman"/>
          <w:b/>
          <w:bCs/>
          <w:spacing w:val="6"/>
          <w:sz w:val="31"/>
          <w:szCs w:val="31"/>
        </w:rPr>
        <w:t>9</w:t>
      </w:r>
      <w:r>
        <w:rPr>
          <w:rFonts w:ascii="Times New Roman" w:hAnsi="Times New Roman" w:eastAsia="Times New Roman" w:cs="Times New Roman"/>
          <w:spacing w:val="6"/>
          <w:sz w:val="31"/>
          <w:szCs w:val="31"/>
        </w:rPr>
        <w:t xml:space="preserve"> </w:t>
      </w:r>
      <w:r>
        <w:rPr>
          <w:rFonts w:ascii="宋体" w:hAnsi="宋体" w:eastAsia="宋体" w:cs="宋体"/>
          <w:spacing w:val="5"/>
          <w:sz w:val="31"/>
          <w:szCs w:val="31"/>
          <w14:textOutline w14:w="5791" w14:cap="sq" w14:cmpd="sng" w14:algn="ctr">
            <w14:solidFill>
              <w14:srgbClr w14:val="000000"/>
            </w14:solidFill>
            <w14:prstDash w14:val="solid"/>
            <w14:bevel/>
          </w14:textOutline>
        </w:rPr>
        <w:t>、</w:t>
      </w:r>
      <w:r>
        <w:rPr>
          <w:rFonts w:ascii="宋体" w:hAnsi="宋体" w:eastAsia="宋体" w:cs="宋体"/>
          <w:spacing w:val="3"/>
          <w:sz w:val="31"/>
          <w:szCs w:val="31"/>
          <w14:textOutline w14:w="5791" w14:cap="sq" w14:cmpd="sng" w14:algn="ctr">
            <w14:solidFill>
              <w14:srgbClr w14:val="000000"/>
            </w14:solidFill>
            <w14:prstDash w14:val="solid"/>
            <w14:bevel/>
          </w14:textOutline>
        </w:rPr>
        <w:t>环境管理与环境监测计划</w:t>
      </w:r>
    </w:p>
    <w:p w14:paraId="28350412">
      <w:pPr>
        <w:spacing w:before="202" w:line="376" w:lineRule="auto"/>
        <w:ind w:left="10" w:right="44" w:firstLine="480"/>
        <w:rPr>
          <w:rFonts w:ascii="宋体" w:hAnsi="宋体" w:eastAsia="宋体" w:cs="宋体"/>
          <w:sz w:val="23"/>
          <w:szCs w:val="23"/>
        </w:rPr>
      </w:pPr>
      <w:r>
        <w:rPr>
          <w:rFonts w:ascii="宋体" w:hAnsi="宋体" w:eastAsia="宋体" w:cs="宋体"/>
          <w:spacing w:val="14"/>
          <w:sz w:val="23"/>
          <w:szCs w:val="23"/>
        </w:rPr>
        <w:t>根据</w:t>
      </w:r>
      <w:r>
        <w:rPr>
          <w:rFonts w:ascii="宋体" w:hAnsi="宋体" w:eastAsia="宋体" w:cs="宋体"/>
          <w:spacing w:val="13"/>
          <w:sz w:val="23"/>
          <w:szCs w:val="23"/>
        </w:rPr>
        <w:t>《</w:t>
      </w:r>
      <w:r>
        <w:rPr>
          <w:rFonts w:ascii="宋体" w:hAnsi="宋体" w:eastAsia="宋体" w:cs="宋体"/>
          <w:spacing w:val="7"/>
          <w:sz w:val="23"/>
          <w:szCs w:val="23"/>
        </w:rPr>
        <w:t>建设项目环境保护设计规定》的要求，建设单位应在</w:t>
      </w:r>
      <w:r>
        <w:rPr>
          <w:rFonts w:ascii="Times New Roman" w:hAnsi="Times New Roman" w:eastAsia="Times New Roman" w:cs="Times New Roman"/>
          <w:spacing w:val="7"/>
          <w:sz w:val="23"/>
          <w:szCs w:val="23"/>
        </w:rPr>
        <w:t>“</w:t>
      </w:r>
      <w:r>
        <w:rPr>
          <w:rFonts w:ascii="宋体" w:hAnsi="宋体" w:eastAsia="宋体" w:cs="宋体"/>
          <w:spacing w:val="7"/>
          <w:sz w:val="23"/>
          <w:szCs w:val="23"/>
        </w:rPr>
        <w:t>三同时</w:t>
      </w:r>
      <w:r>
        <w:rPr>
          <w:rFonts w:ascii="Times New Roman" w:hAnsi="Times New Roman" w:eastAsia="Times New Roman" w:cs="Times New Roman"/>
          <w:spacing w:val="7"/>
          <w:sz w:val="23"/>
          <w:szCs w:val="23"/>
        </w:rPr>
        <w:t>”</w:t>
      </w:r>
      <w:r>
        <w:rPr>
          <w:rFonts w:ascii="宋体" w:hAnsi="宋体" w:eastAsia="宋体" w:cs="宋体"/>
          <w:spacing w:val="7"/>
          <w:sz w:val="23"/>
          <w:szCs w:val="23"/>
        </w:rPr>
        <w:t>的原则下配套相应</w:t>
      </w:r>
      <w:r>
        <w:rPr>
          <w:rFonts w:ascii="宋体" w:hAnsi="宋体" w:eastAsia="宋体" w:cs="宋体"/>
          <w:sz w:val="23"/>
          <w:szCs w:val="23"/>
        </w:rPr>
        <w:t xml:space="preserve"> </w:t>
      </w:r>
      <w:r>
        <w:rPr>
          <w:rFonts w:ascii="宋体" w:hAnsi="宋体" w:eastAsia="宋体" w:cs="宋体"/>
          <w:spacing w:val="12"/>
          <w:sz w:val="23"/>
          <w:szCs w:val="23"/>
        </w:rPr>
        <w:t>的</w:t>
      </w:r>
      <w:r>
        <w:rPr>
          <w:rFonts w:ascii="宋体" w:hAnsi="宋体" w:eastAsia="宋体" w:cs="宋体"/>
          <w:spacing w:val="7"/>
          <w:sz w:val="23"/>
          <w:szCs w:val="23"/>
        </w:rPr>
        <w:t>污染治理设施，制定相应的环境保护管理计划。另外，为了缓解建设项目对环境构成的负</w:t>
      </w:r>
      <w:r>
        <w:rPr>
          <w:rFonts w:ascii="宋体" w:hAnsi="宋体" w:eastAsia="宋体" w:cs="宋体"/>
          <w:sz w:val="23"/>
          <w:szCs w:val="23"/>
        </w:rPr>
        <w:t xml:space="preserve"> </w:t>
      </w:r>
      <w:r>
        <w:rPr>
          <w:rFonts w:ascii="宋体" w:hAnsi="宋体" w:eastAsia="宋体" w:cs="宋体"/>
          <w:spacing w:val="12"/>
          <w:sz w:val="23"/>
          <w:szCs w:val="23"/>
        </w:rPr>
        <w:t>面</w:t>
      </w:r>
      <w:r>
        <w:rPr>
          <w:rFonts w:ascii="宋体" w:hAnsi="宋体" w:eastAsia="宋体" w:cs="宋体"/>
          <w:spacing w:val="7"/>
          <w:sz w:val="23"/>
          <w:szCs w:val="23"/>
        </w:rPr>
        <w:t>影响，在采取工程缓解措施解决建设项目环境影响的同时，企业必须制定全面的、长期的</w:t>
      </w:r>
      <w:r>
        <w:rPr>
          <w:rFonts w:ascii="宋体" w:hAnsi="宋体" w:eastAsia="宋体" w:cs="宋体"/>
          <w:sz w:val="23"/>
          <w:szCs w:val="23"/>
        </w:rPr>
        <w:t xml:space="preserve"> </w:t>
      </w:r>
      <w:r>
        <w:rPr>
          <w:rFonts w:ascii="宋体" w:hAnsi="宋体" w:eastAsia="宋体" w:cs="宋体"/>
          <w:spacing w:val="12"/>
          <w:sz w:val="23"/>
          <w:szCs w:val="23"/>
        </w:rPr>
        <w:t>环</w:t>
      </w:r>
      <w:r>
        <w:rPr>
          <w:rFonts w:ascii="宋体" w:hAnsi="宋体" w:eastAsia="宋体" w:cs="宋体"/>
          <w:spacing w:val="7"/>
          <w:sz w:val="23"/>
          <w:szCs w:val="23"/>
        </w:rPr>
        <w:t>境管理计划。根据环境评价报告书提出的主要环境问题、环保措施，提出项目的环境管理</w:t>
      </w:r>
      <w:r>
        <w:rPr>
          <w:rFonts w:ascii="宋体" w:hAnsi="宋体" w:eastAsia="宋体" w:cs="宋体"/>
          <w:sz w:val="23"/>
          <w:szCs w:val="23"/>
        </w:rPr>
        <w:t xml:space="preserve"> </w:t>
      </w:r>
      <w:r>
        <w:rPr>
          <w:rFonts w:ascii="宋体" w:hAnsi="宋体" w:eastAsia="宋体" w:cs="宋体"/>
          <w:spacing w:val="10"/>
          <w:sz w:val="23"/>
          <w:szCs w:val="23"/>
        </w:rPr>
        <w:t>和</w:t>
      </w:r>
      <w:r>
        <w:rPr>
          <w:rFonts w:ascii="宋体" w:hAnsi="宋体" w:eastAsia="宋体" w:cs="宋体"/>
          <w:spacing w:val="6"/>
          <w:sz w:val="23"/>
          <w:szCs w:val="23"/>
        </w:rPr>
        <w:t>监测计划。</w:t>
      </w:r>
    </w:p>
    <w:p w14:paraId="14E9E302">
      <w:pPr>
        <w:spacing w:before="1" w:line="219" w:lineRule="auto"/>
        <w:ind w:left="9"/>
        <w:outlineLvl w:val="1"/>
        <w:rPr>
          <w:rFonts w:ascii="宋体" w:hAnsi="宋体" w:eastAsia="宋体" w:cs="宋体"/>
          <w:sz w:val="28"/>
          <w:szCs w:val="28"/>
        </w:rPr>
      </w:pPr>
      <w:bookmarkStart w:id="64" w:name="_bookmark65"/>
      <w:bookmarkEnd w:id="64"/>
      <w:r>
        <w:rPr>
          <w:rFonts w:ascii="Times New Roman" w:hAnsi="Times New Roman" w:eastAsia="Times New Roman" w:cs="Times New Roman"/>
          <w:b/>
          <w:bCs/>
          <w:spacing w:val="-1"/>
          <w:sz w:val="28"/>
          <w:szCs w:val="28"/>
        </w:rPr>
        <w:t>9.1</w:t>
      </w:r>
      <w:r>
        <w:rPr>
          <w:rFonts w:ascii="Times New Roman" w:hAnsi="Times New Roman" w:eastAsia="Times New Roman" w:cs="Times New Roman"/>
          <w:spacing w:val="-1"/>
          <w:sz w:val="28"/>
          <w:szCs w:val="28"/>
        </w:rPr>
        <w:t xml:space="preserve">  </w:t>
      </w:r>
      <w:r>
        <w:rPr>
          <w:rFonts w:ascii="宋体" w:hAnsi="宋体" w:eastAsia="宋体" w:cs="宋体"/>
          <w:spacing w:val="-1"/>
          <w:sz w:val="28"/>
          <w:szCs w:val="28"/>
          <w14:textOutline w14:w="5105" w14:cap="sq" w14:cmpd="sng" w14:algn="ctr">
            <w14:solidFill>
              <w14:srgbClr w14:val="000000"/>
            </w14:solidFill>
            <w14:prstDash w14:val="solid"/>
            <w14:bevel/>
          </w14:textOutline>
        </w:rPr>
        <w:t>环</w:t>
      </w:r>
      <w:r>
        <w:rPr>
          <w:rFonts w:ascii="宋体" w:hAnsi="宋体" w:eastAsia="宋体" w:cs="宋体"/>
          <w:sz w:val="28"/>
          <w:szCs w:val="28"/>
          <w14:textOutline w14:w="5105" w14:cap="sq" w14:cmpd="sng" w14:algn="ctr">
            <w14:solidFill>
              <w14:srgbClr w14:val="000000"/>
            </w14:solidFill>
            <w14:prstDash w14:val="solid"/>
            <w14:bevel/>
          </w14:textOutline>
        </w:rPr>
        <w:t>境管理</w:t>
      </w:r>
    </w:p>
    <w:p w14:paraId="6BB68D9B">
      <w:pPr>
        <w:spacing w:before="205" w:line="227" w:lineRule="auto"/>
        <w:ind w:left="8"/>
        <w:outlineLvl w:val="2"/>
        <w:rPr>
          <w:rFonts w:ascii="宋体" w:hAnsi="宋体" w:eastAsia="宋体" w:cs="宋体"/>
          <w:sz w:val="23"/>
          <w:szCs w:val="23"/>
        </w:rPr>
      </w:pPr>
      <w:r>
        <w:rPr>
          <w:rFonts w:ascii="Times New Roman" w:hAnsi="Times New Roman" w:eastAsia="Times New Roman" w:cs="Times New Roman"/>
          <w:b/>
          <w:bCs/>
          <w:spacing w:val="7"/>
          <w:sz w:val="23"/>
          <w:szCs w:val="23"/>
        </w:rPr>
        <w:t>9.1.1</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环境管理基本原</w:t>
      </w:r>
      <w:r>
        <w:rPr>
          <w:rFonts w:ascii="宋体" w:hAnsi="宋体" w:eastAsia="宋体" w:cs="宋体"/>
          <w:spacing w:val="6"/>
          <w:sz w:val="23"/>
          <w:szCs w:val="23"/>
          <w14:textOutline w14:w="4356" w14:cap="sq" w14:cmpd="sng" w14:algn="ctr">
            <w14:solidFill>
              <w14:srgbClr w14:val="000000"/>
            </w14:solidFill>
            <w14:prstDash w14:val="solid"/>
            <w14:bevel/>
          </w14:textOutline>
        </w:rPr>
        <w:t>则</w:t>
      </w:r>
    </w:p>
    <w:p w14:paraId="556350E5">
      <w:pPr>
        <w:spacing w:before="183" w:line="375" w:lineRule="auto"/>
        <w:ind w:left="14" w:right="47" w:firstLine="480"/>
        <w:rPr>
          <w:rFonts w:ascii="宋体" w:hAnsi="宋体" w:eastAsia="宋体" w:cs="宋体"/>
          <w:sz w:val="23"/>
          <w:szCs w:val="23"/>
        </w:rPr>
      </w:pPr>
      <w:r>
        <w:rPr>
          <w:rFonts w:ascii="宋体" w:hAnsi="宋体" w:eastAsia="宋体" w:cs="宋体"/>
          <w:spacing w:val="7"/>
          <w:sz w:val="23"/>
          <w:szCs w:val="23"/>
        </w:rPr>
        <w:t>一个企业的环境保护工作的好坏与其环保管理制度和方法息息相关，作为养殖企业，</w:t>
      </w:r>
      <w:r>
        <w:rPr>
          <w:rFonts w:ascii="宋体" w:hAnsi="宋体" w:eastAsia="宋体" w:cs="宋体"/>
          <w:spacing w:val="2"/>
          <w:sz w:val="23"/>
          <w:szCs w:val="23"/>
        </w:rPr>
        <w:t>本</w:t>
      </w:r>
      <w:r>
        <w:rPr>
          <w:rFonts w:ascii="宋体" w:hAnsi="宋体" w:eastAsia="宋体" w:cs="宋体"/>
          <w:sz w:val="23"/>
          <w:szCs w:val="23"/>
        </w:rPr>
        <w:t xml:space="preserve"> </w:t>
      </w:r>
      <w:r>
        <w:rPr>
          <w:rFonts w:ascii="宋体" w:hAnsi="宋体" w:eastAsia="宋体" w:cs="宋体"/>
          <w:spacing w:val="8"/>
          <w:sz w:val="23"/>
          <w:szCs w:val="23"/>
        </w:rPr>
        <w:t>项</w:t>
      </w:r>
      <w:r>
        <w:rPr>
          <w:rFonts w:ascii="宋体" w:hAnsi="宋体" w:eastAsia="宋体" w:cs="宋体"/>
          <w:spacing w:val="7"/>
          <w:sz w:val="23"/>
          <w:szCs w:val="23"/>
        </w:rPr>
        <w:t>目更应该特别注意环境保护工作的重要性，本次评价认为，项目的环境管理特别应该遵循</w:t>
      </w:r>
      <w:r>
        <w:rPr>
          <w:rFonts w:ascii="宋体" w:hAnsi="宋体" w:eastAsia="宋体" w:cs="宋体"/>
          <w:sz w:val="23"/>
          <w:szCs w:val="23"/>
        </w:rPr>
        <w:t xml:space="preserve"> </w:t>
      </w:r>
      <w:r>
        <w:rPr>
          <w:rFonts w:ascii="宋体" w:hAnsi="宋体" w:eastAsia="宋体" w:cs="宋体"/>
          <w:spacing w:val="10"/>
          <w:sz w:val="23"/>
          <w:szCs w:val="23"/>
        </w:rPr>
        <w:t>以</w:t>
      </w:r>
      <w:r>
        <w:rPr>
          <w:rFonts w:ascii="宋体" w:hAnsi="宋体" w:eastAsia="宋体" w:cs="宋体"/>
          <w:spacing w:val="6"/>
          <w:sz w:val="23"/>
          <w:szCs w:val="23"/>
        </w:rPr>
        <w:t>下几条原则：</w:t>
      </w:r>
    </w:p>
    <w:p w14:paraId="5E233615">
      <w:pPr>
        <w:spacing w:before="1" w:line="374" w:lineRule="auto"/>
        <w:ind w:left="14" w:right="47" w:firstLine="367"/>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3"/>
          <w:sz w:val="23"/>
          <w:szCs w:val="23"/>
        </w:rPr>
        <w:t>1</w:t>
      </w:r>
      <w:r>
        <w:rPr>
          <w:rFonts w:ascii="宋体" w:hAnsi="宋体" w:eastAsia="宋体" w:cs="宋体"/>
          <w:spacing w:val="9"/>
          <w:sz w:val="23"/>
          <w:szCs w:val="23"/>
        </w:rPr>
        <w:t>) 明确本企业环境保护工作的重点、难点以及需要特别关注的要点，制定普通职工易</w:t>
      </w:r>
      <w:r>
        <w:rPr>
          <w:rFonts w:ascii="宋体" w:hAnsi="宋体" w:eastAsia="宋体" w:cs="宋体"/>
          <w:sz w:val="23"/>
          <w:szCs w:val="23"/>
        </w:rPr>
        <w:t xml:space="preserve"> </w:t>
      </w:r>
      <w:r>
        <w:rPr>
          <w:rFonts w:ascii="宋体" w:hAnsi="宋体" w:eastAsia="宋体" w:cs="宋体"/>
          <w:spacing w:val="9"/>
          <w:sz w:val="23"/>
          <w:szCs w:val="23"/>
        </w:rPr>
        <w:t>于理解的管理技术和方法规范或者条例，加以颁布</w:t>
      </w:r>
      <w:r>
        <w:rPr>
          <w:rFonts w:ascii="宋体" w:hAnsi="宋体" w:eastAsia="宋体" w:cs="宋体"/>
          <w:spacing w:val="8"/>
          <w:sz w:val="23"/>
          <w:szCs w:val="23"/>
        </w:rPr>
        <w:t>。</w:t>
      </w:r>
    </w:p>
    <w:p w14:paraId="07DEBC1E">
      <w:pPr>
        <w:spacing w:line="375" w:lineRule="auto"/>
        <w:ind w:left="9" w:firstLine="372"/>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2</w:t>
      </w:r>
      <w:r>
        <w:rPr>
          <w:rFonts w:ascii="宋体" w:hAnsi="宋体" w:eastAsia="宋体" w:cs="宋体"/>
          <w:spacing w:val="10"/>
          <w:sz w:val="23"/>
          <w:szCs w:val="23"/>
        </w:rPr>
        <w:t>) 全面规划、综合防治，并且根据项目的基本特点，制定有针对性的环境保护措施，</w:t>
      </w:r>
      <w:r>
        <w:rPr>
          <w:rFonts w:ascii="宋体" w:hAnsi="宋体" w:eastAsia="宋体" w:cs="宋体"/>
          <w:sz w:val="23"/>
          <w:szCs w:val="23"/>
        </w:rPr>
        <w:t xml:space="preserve"> </w:t>
      </w:r>
      <w:r>
        <w:rPr>
          <w:rFonts w:ascii="宋体" w:hAnsi="宋体" w:eastAsia="宋体" w:cs="宋体"/>
          <w:spacing w:val="12"/>
          <w:sz w:val="23"/>
          <w:szCs w:val="23"/>
        </w:rPr>
        <w:t>在</w:t>
      </w:r>
      <w:r>
        <w:rPr>
          <w:rFonts w:ascii="宋体" w:hAnsi="宋体" w:eastAsia="宋体" w:cs="宋体"/>
          <w:spacing w:val="7"/>
          <w:sz w:val="23"/>
          <w:szCs w:val="23"/>
        </w:rPr>
        <w:t>企业整体发展规划中要有环境保护工作专门说明，在其它一些相关的生产、宣传等计划中</w:t>
      </w:r>
      <w:r>
        <w:rPr>
          <w:rFonts w:ascii="宋体" w:hAnsi="宋体" w:eastAsia="宋体" w:cs="宋体"/>
          <w:sz w:val="23"/>
          <w:szCs w:val="23"/>
        </w:rPr>
        <w:t xml:space="preserve"> </w:t>
      </w:r>
      <w:r>
        <w:rPr>
          <w:rFonts w:ascii="宋体" w:hAnsi="宋体" w:eastAsia="宋体" w:cs="宋体"/>
          <w:spacing w:val="16"/>
          <w:sz w:val="23"/>
          <w:szCs w:val="23"/>
        </w:rPr>
        <w:t>都</w:t>
      </w:r>
      <w:r>
        <w:rPr>
          <w:rFonts w:ascii="宋体" w:hAnsi="宋体" w:eastAsia="宋体" w:cs="宋体"/>
          <w:spacing w:val="9"/>
          <w:sz w:val="23"/>
          <w:szCs w:val="23"/>
        </w:rPr>
        <w:t>应包含环境保护的内容，要从各方面综合防治环境污染。</w:t>
      </w:r>
    </w:p>
    <w:p w14:paraId="06E38160">
      <w:pPr>
        <w:spacing w:before="2" w:line="374" w:lineRule="auto"/>
        <w:ind w:left="10" w:right="47" w:firstLine="371"/>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3"/>
          <w:sz w:val="23"/>
          <w:szCs w:val="23"/>
        </w:rPr>
        <w:t>3</w:t>
      </w:r>
      <w:r>
        <w:rPr>
          <w:rFonts w:ascii="宋体" w:hAnsi="宋体" w:eastAsia="宋体" w:cs="宋体"/>
          <w:spacing w:val="9"/>
          <w:sz w:val="23"/>
          <w:szCs w:val="23"/>
        </w:rPr>
        <w:t>) 防治结合、以防为主控制污染宜采取防治结合、以防为主、管治结合、综合治理等</w:t>
      </w:r>
      <w:r>
        <w:rPr>
          <w:rFonts w:ascii="宋体" w:hAnsi="宋体" w:eastAsia="宋体" w:cs="宋体"/>
          <w:sz w:val="23"/>
          <w:szCs w:val="23"/>
        </w:rPr>
        <w:t xml:space="preserve"> </w:t>
      </w:r>
      <w:r>
        <w:rPr>
          <w:rFonts w:ascii="宋体" w:hAnsi="宋体" w:eastAsia="宋体" w:cs="宋体"/>
          <w:spacing w:val="9"/>
          <w:sz w:val="23"/>
          <w:szCs w:val="23"/>
        </w:rPr>
        <w:t>手段和办法，以获得最佳的环境效益</w:t>
      </w:r>
      <w:r>
        <w:rPr>
          <w:rFonts w:ascii="宋体" w:hAnsi="宋体" w:eastAsia="宋体" w:cs="宋体"/>
          <w:spacing w:val="6"/>
          <w:sz w:val="23"/>
          <w:szCs w:val="23"/>
        </w:rPr>
        <w:t>。</w:t>
      </w:r>
    </w:p>
    <w:p w14:paraId="60E6F55F">
      <w:pPr>
        <w:spacing w:before="1" w:line="374" w:lineRule="auto"/>
        <w:ind w:left="16" w:right="44" w:firstLine="365"/>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5"/>
          <w:sz w:val="23"/>
          <w:szCs w:val="23"/>
        </w:rPr>
        <w:t>4</w:t>
      </w:r>
      <w:r>
        <w:rPr>
          <w:rFonts w:ascii="宋体" w:hAnsi="宋体" w:eastAsia="宋体" w:cs="宋体"/>
          <w:spacing w:val="9"/>
          <w:sz w:val="23"/>
          <w:szCs w:val="23"/>
        </w:rPr>
        <w:t>) 提高环境保护意识加强全体员工的环境保护意识，专业管理和群众管理相结合，提</w:t>
      </w:r>
      <w:r>
        <w:rPr>
          <w:rFonts w:ascii="宋体" w:hAnsi="宋体" w:eastAsia="宋体" w:cs="宋体"/>
          <w:sz w:val="23"/>
          <w:szCs w:val="23"/>
        </w:rPr>
        <w:t xml:space="preserve"> </w:t>
      </w:r>
      <w:r>
        <w:rPr>
          <w:rFonts w:ascii="宋体" w:hAnsi="宋体" w:eastAsia="宋体" w:cs="宋体"/>
          <w:spacing w:val="17"/>
          <w:sz w:val="23"/>
          <w:szCs w:val="23"/>
        </w:rPr>
        <w:t>高</w:t>
      </w:r>
      <w:r>
        <w:rPr>
          <w:rFonts w:ascii="宋体" w:hAnsi="宋体" w:eastAsia="宋体" w:cs="宋体"/>
          <w:spacing w:val="9"/>
          <w:sz w:val="23"/>
          <w:szCs w:val="23"/>
        </w:rPr>
        <w:t>公众参与，采纳合理建议。同时，要加强与周边村镇、社区的宣传和沟通。</w:t>
      </w:r>
    </w:p>
    <w:p w14:paraId="176031E1">
      <w:pPr>
        <w:spacing w:before="1" w:line="226" w:lineRule="auto"/>
        <w:ind w:left="8"/>
        <w:outlineLvl w:val="2"/>
        <w:rPr>
          <w:rFonts w:ascii="宋体" w:hAnsi="宋体" w:eastAsia="宋体" w:cs="宋体"/>
          <w:sz w:val="23"/>
          <w:szCs w:val="23"/>
        </w:rPr>
      </w:pPr>
      <w:r>
        <w:rPr>
          <w:rFonts w:ascii="Times New Roman" w:hAnsi="Times New Roman" w:eastAsia="Times New Roman" w:cs="Times New Roman"/>
          <w:b/>
          <w:bCs/>
          <w:spacing w:val="10"/>
          <w:sz w:val="23"/>
          <w:szCs w:val="23"/>
        </w:rPr>
        <w:t>9</w:t>
      </w:r>
      <w:r>
        <w:rPr>
          <w:rFonts w:ascii="Times New Roman" w:hAnsi="Times New Roman" w:eastAsia="Times New Roman" w:cs="Times New Roman"/>
          <w:b/>
          <w:bCs/>
          <w:spacing w:val="6"/>
          <w:sz w:val="23"/>
          <w:szCs w:val="23"/>
        </w:rPr>
        <w:t>.1.2</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环境管理机构</w:t>
      </w:r>
    </w:p>
    <w:p w14:paraId="60663B96">
      <w:pPr>
        <w:spacing w:before="183" w:line="375" w:lineRule="auto"/>
        <w:ind w:left="8" w:right="47" w:firstLine="481"/>
        <w:rPr>
          <w:rFonts w:ascii="宋体" w:hAnsi="宋体" w:eastAsia="宋体" w:cs="宋体"/>
          <w:sz w:val="23"/>
          <w:szCs w:val="23"/>
        </w:rPr>
      </w:pPr>
      <w:r>
        <w:rPr>
          <w:rFonts w:ascii="宋体" w:hAnsi="宋体" w:eastAsia="宋体" w:cs="宋体"/>
          <w:spacing w:val="7"/>
          <w:sz w:val="23"/>
          <w:szCs w:val="23"/>
        </w:rPr>
        <w:t>环评建议业主应设置专职环境管理人员负责项目的及环境保护工作，环境管理人员应</w:t>
      </w:r>
      <w:r>
        <w:rPr>
          <w:rFonts w:ascii="宋体" w:hAnsi="宋体" w:eastAsia="宋体" w:cs="宋体"/>
          <w:spacing w:val="6"/>
          <w:sz w:val="23"/>
          <w:szCs w:val="23"/>
        </w:rPr>
        <w:t>全</w:t>
      </w:r>
      <w:r>
        <w:rPr>
          <w:rFonts w:ascii="宋体" w:hAnsi="宋体" w:eastAsia="宋体" w:cs="宋体"/>
          <w:sz w:val="23"/>
          <w:szCs w:val="23"/>
        </w:rPr>
        <w:t xml:space="preserve"> </w:t>
      </w:r>
      <w:r>
        <w:rPr>
          <w:rFonts w:ascii="宋体" w:hAnsi="宋体" w:eastAsia="宋体" w:cs="宋体"/>
          <w:spacing w:val="13"/>
          <w:sz w:val="23"/>
          <w:szCs w:val="23"/>
        </w:rPr>
        <w:t>权</w:t>
      </w:r>
      <w:r>
        <w:rPr>
          <w:rFonts w:ascii="宋体" w:hAnsi="宋体" w:eastAsia="宋体" w:cs="宋体"/>
          <w:spacing w:val="7"/>
          <w:sz w:val="23"/>
          <w:szCs w:val="23"/>
        </w:rPr>
        <w:t>负责项目的环境管理、定期配合第三方检测机构采样检测及分析、环境教育等，配备一定</w:t>
      </w:r>
      <w:r>
        <w:rPr>
          <w:rFonts w:ascii="宋体" w:hAnsi="宋体" w:eastAsia="宋体" w:cs="宋体"/>
          <w:sz w:val="23"/>
          <w:szCs w:val="23"/>
        </w:rPr>
        <w:t xml:space="preserve"> </w:t>
      </w:r>
      <w:r>
        <w:rPr>
          <w:rFonts w:ascii="宋体" w:hAnsi="宋体" w:eastAsia="宋体" w:cs="宋体"/>
          <w:spacing w:val="13"/>
          <w:sz w:val="23"/>
          <w:szCs w:val="23"/>
        </w:rPr>
        <w:t>的</w:t>
      </w:r>
      <w:r>
        <w:rPr>
          <w:rFonts w:ascii="宋体" w:hAnsi="宋体" w:eastAsia="宋体" w:cs="宋体"/>
          <w:spacing w:val="7"/>
          <w:sz w:val="23"/>
          <w:szCs w:val="23"/>
        </w:rPr>
        <w:t>仪器和设备进行日常监测工作，企业无法进行日常检测的项目应委托第三方检测技术单位</w:t>
      </w:r>
      <w:r>
        <w:rPr>
          <w:rFonts w:ascii="宋体" w:hAnsi="宋体" w:eastAsia="宋体" w:cs="宋体"/>
          <w:sz w:val="23"/>
          <w:szCs w:val="23"/>
        </w:rPr>
        <w:t xml:space="preserve"> </w:t>
      </w:r>
      <w:r>
        <w:rPr>
          <w:rFonts w:ascii="宋体" w:hAnsi="宋体" w:eastAsia="宋体" w:cs="宋体"/>
          <w:spacing w:val="13"/>
          <w:sz w:val="23"/>
          <w:szCs w:val="23"/>
        </w:rPr>
        <w:t>进</w:t>
      </w:r>
      <w:r>
        <w:rPr>
          <w:rFonts w:ascii="宋体" w:hAnsi="宋体" w:eastAsia="宋体" w:cs="宋体"/>
          <w:spacing w:val="7"/>
          <w:sz w:val="23"/>
          <w:szCs w:val="23"/>
        </w:rPr>
        <w:t>行检测，并对日常检测和委托检测工作资料进行统计、存档，为环境管理及污染治理提供</w:t>
      </w:r>
      <w:r>
        <w:rPr>
          <w:rFonts w:ascii="宋体" w:hAnsi="宋体" w:eastAsia="宋体" w:cs="宋体"/>
          <w:sz w:val="23"/>
          <w:szCs w:val="23"/>
        </w:rPr>
        <w:t xml:space="preserve"> </w:t>
      </w:r>
      <w:r>
        <w:rPr>
          <w:rFonts w:ascii="宋体" w:hAnsi="宋体" w:eastAsia="宋体" w:cs="宋体"/>
          <w:spacing w:val="4"/>
          <w:sz w:val="23"/>
          <w:szCs w:val="23"/>
        </w:rPr>
        <w:t>依据。</w:t>
      </w:r>
    </w:p>
    <w:p w14:paraId="4D08C1D5">
      <w:pPr>
        <w:spacing w:before="1" w:line="374" w:lineRule="auto"/>
        <w:ind w:left="11" w:right="47" w:firstLine="370"/>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3"/>
          <w:sz w:val="23"/>
          <w:szCs w:val="23"/>
        </w:rPr>
        <w:t>1</w:t>
      </w:r>
      <w:r>
        <w:rPr>
          <w:rFonts w:ascii="宋体" w:hAnsi="宋体" w:eastAsia="宋体" w:cs="宋体"/>
          <w:spacing w:val="9"/>
          <w:sz w:val="23"/>
          <w:szCs w:val="23"/>
        </w:rPr>
        <w:t>) 专职环境管理人员接受环境保护主管部门的检查监督，定期上报企业的环境管理工</w:t>
      </w:r>
      <w:r>
        <w:rPr>
          <w:rFonts w:ascii="宋体" w:hAnsi="宋体" w:eastAsia="宋体" w:cs="宋体"/>
          <w:sz w:val="23"/>
          <w:szCs w:val="23"/>
        </w:rPr>
        <w:t xml:space="preserve"> </w:t>
      </w:r>
      <w:r>
        <w:rPr>
          <w:rFonts w:ascii="宋体" w:hAnsi="宋体" w:eastAsia="宋体" w:cs="宋体"/>
          <w:spacing w:val="7"/>
          <w:sz w:val="23"/>
          <w:szCs w:val="23"/>
        </w:rPr>
        <w:t>作的执行情况；</w:t>
      </w:r>
    </w:p>
    <w:p w14:paraId="6400E823">
      <w:pPr>
        <w:spacing w:before="2" w:line="382" w:lineRule="auto"/>
        <w:ind w:left="10" w:right="44" w:firstLine="371"/>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5"/>
          <w:sz w:val="23"/>
          <w:szCs w:val="23"/>
        </w:rPr>
        <w:t>2</w:t>
      </w:r>
      <w:r>
        <w:rPr>
          <w:rFonts w:ascii="宋体" w:hAnsi="宋体" w:eastAsia="宋体" w:cs="宋体"/>
          <w:spacing w:val="9"/>
          <w:sz w:val="23"/>
          <w:szCs w:val="23"/>
        </w:rPr>
        <w:t>) 专职环境管理人员组织制定企业内部的环保考核制度，并担负监督执行之职责；建</w:t>
      </w:r>
      <w:r>
        <w:rPr>
          <w:rFonts w:ascii="宋体" w:hAnsi="宋体" w:eastAsia="宋体" w:cs="宋体"/>
          <w:sz w:val="23"/>
          <w:szCs w:val="23"/>
        </w:rPr>
        <w:t xml:space="preserve"> </w:t>
      </w:r>
      <w:r>
        <w:rPr>
          <w:rFonts w:ascii="宋体" w:hAnsi="宋体" w:eastAsia="宋体" w:cs="宋体"/>
          <w:spacing w:val="18"/>
          <w:sz w:val="23"/>
          <w:szCs w:val="23"/>
        </w:rPr>
        <w:t>立</w:t>
      </w:r>
      <w:r>
        <w:rPr>
          <w:rFonts w:ascii="宋体" w:hAnsi="宋体" w:eastAsia="宋体" w:cs="宋体"/>
          <w:spacing w:val="15"/>
          <w:sz w:val="23"/>
          <w:szCs w:val="23"/>
        </w:rPr>
        <w:t>企</w:t>
      </w:r>
      <w:r>
        <w:rPr>
          <w:rFonts w:ascii="宋体" w:hAnsi="宋体" w:eastAsia="宋体" w:cs="宋体"/>
          <w:spacing w:val="9"/>
          <w:sz w:val="23"/>
          <w:szCs w:val="23"/>
        </w:rPr>
        <w:t>业领导、环境管理部门、专职环境管理人员组成的企业环境管理责任体系；</w:t>
      </w:r>
    </w:p>
    <w:p w14:paraId="11D665CD">
      <w:pPr>
        <w:sectPr>
          <w:headerReference r:id="rId310" w:type="default"/>
          <w:footerReference r:id="rId311" w:type="default"/>
          <w:pgSz w:w="11906" w:h="16839"/>
          <w:pgMar w:top="1118" w:right="1087" w:bottom="1156" w:left="1275" w:header="878" w:footer="994" w:gutter="0"/>
          <w:cols w:space="720" w:num="1"/>
        </w:sectPr>
      </w:pPr>
    </w:p>
    <w:p w14:paraId="690C3034">
      <w:pPr>
        <w:spacing w:before="193" w:line="227" w:lineRule="auto"/>
        <w:ind w:left="381"/>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5"/>
          <w:sz w:val="23"/>
          <w:szCs w:val="23"/>
        </w:rPr>
        <w:t>3</w:t>
      </w:r>
      <w:r>
        <w:rPr>
          <w:rFonts w:ascii="宋体" w:hAnsi="宋体" w:eastAsia="宋体" w:cs="宋体"/>
          <w:spacing w:val="15"/>
          <w:sz w:val="23"/>
          <w:szCs w:val="23"/>
        </w:rPr>
        <w:t>) 内部环境管理制度建设</w:t>
      </w:r>
    </w:p>
    <w:p w14:paraId="13A226B7">
      <w:pPr>
        <w:spacing w:before="181" w:line="227" w:lineRule="auto"/>
        <w:ind w:left="508"/>
        <w:rPr>
          <w:rFonts w:ascii="宋体" w:hAnsi="宋体" w:eastAsia="宋体" w:cs="宋体"/>
          <w:sz w:val="23"/>
          <w:szCs w:val="23"/>
        </w:rPr>
      </w:pPr>
      <w:r>
        <w:rPr>
          <w:rFonts w:ascii="Times New Roman" w:hAnsi="Times New Roman" w:eastAsia="Times New Roman" w:cs="Times New Roman"/>
          <w:spacing w:val="4"/>
          <w:sz w:val="23"/>
          <w:szCs w:val="23"/>
        </w:rPr>
        <w:t>1</w:t>
      </w:r>
      <w:r>
        <w:rPr>
          <w:rFonts w:ascii="宋体" w:hAnsi="宋体" w:eastAsia="宋体" w:cs="宋体"/>
          <w:spacing w:val="4"/>
          <w:sz w:val="23"/>
          <w:szCs w:val="23"/>
        </w:rPr>
        <w:t>) 基本要</w:t>
      </w:r>
      <w:r>
        <w:rPr>
          <w:rFonts w:ascii="宋体" w:hAnsi="宋体" w:eastAsia="宋体" w:cs="宋体"/>
          <w:spacing w:val="2"/>
          <w:sz w:val="23"/>
          <w:szCs w:val="23"/>
        </w:rPr>
        <w:t>求</w:t>
      </w:r>
    </w:p>
    <w:p w14:paraId="4EB3FC91">
      <w:pPr>
        <w:spacing w:before="184" w:line="375" w:lineRule="auto"/>
        <w:ind w:left="14" w:right="108" w:firstLine="480"/>
        <w:rPr>
          <w:rFonts w:ascii="宋体" w:hAnsi="宋体" w:eastAsia="宋体" w:cs="宋体"/>
          <w:sz w:val="23"/>
          <w:szCs w:val="23"/>
        </w:rPr>
      </w:pPr>
      <w:r>
        <w:rPr>
          <w:rFonts w:ascii="宋体" w:hAnsi="宋体" w:eastAsia="宋体" w:cs="宋体"/>
          <w:spacing w:val="7"/>
          <w:sz w:val="23"/>
          <w:szCs w:val="23"/>
        </w:rPr>
        <w:t>企业应当制定内部综合环境管理制度，污染治理设施管理制度、环境应急管理制度等</w:t>
      </w:r>
      <w:r>
        <w:rPr>
          <w:rFonts w:ascii="宋体" w:hAnsi="宋体" w:eastAsia="宋体" w:cs="宋体"/>
          <w:spacing w:val="2"/>
          <w:sz w:val="23"/>
          <w:szCs w:val="23"/>
        </w:rPr>
        <w:t>各</w:t>
      </w:r>
      <w:r>
        <w:rPr>
          <w:rFonts w:ascii="宋体" w:hAnsi="宋体" w:eastAsia="宋体" w:cs="宋体"/>
          <w:sz w:val="23"/>
          <w:szCs w:val="23"/>
        </w:rPr>
        <w:t xml:space="preserve"> </w:t>
      </w:r>
      <w:r>
        <w:rPr>
          <w:rFonts w:ascii="宋体" w:hAnsi="宋体" w:eastAsia="宋体" w:cs="宋体"/>
          <w:spacing w:val="15"/>
          <w:sz w:val="23"/>
          <w:szCs w:val="23"/>
        </w:rPr>
        <w:t>项</w:t>
      </w:r>
      <w:r>
        <w:rPr>
          <w:rFonts w:ascii="宋体" w:hAnsi="宋体" w:eastAsia="宋体" w:cs="宋体"/>
          <w:spacing w:val="9"/>
          <w:sz w:val="23"/>
          <w:szCs w:val="23"/>
        </w:rPr>
        <w:t>环境管理制度，纳入企业环境保护管理档案，并将上述制度上墙。</w:t>
      </w:r>
    </w:p>
    <w:p w14:paraId="69ED2874">
      <w:pPr>
        <w:spacing w:line="227" w:lineRule="auto"/>
        <w:ind w:left="485"/>
        <w:rPr>
          <w:rFonts w:ascii="宋体" w:hAnsi="宋体" w:eastAsia="宋体" w:cs="宋体"/>
          <w:sz w:val="23"/>
          <w:szCs w:val="23"/>
        </w:rPr>
      </w:pPr>
      <w:r>
        <w:rPr>
          <w:rFonts w:ascii="Times New Roman" w:hAnsi="Times New Roman" w:eastAsia="Times New Roman" w:cs="Times New Roman"/>
          <w:spacing w:val="13"/>
          <w:sz w:val="23"/>
          <w:szCs w:val="23"/>
        </w:rPr>
        <w:t>2</w:t>
      </w:r>
      <w:r>
        <w:rPr>
          <w:rFonts w:ascii="宋体" w:hAnsi="宋体" w:eastAsia="宋体" w:cs="宋体"/>
          <w:spacing w:val="7"/>
          <w:sz w:val="23"/>
          <w:szCs w:val="23"/>
        </w:rPr>
        <w:t>) 综合管理制度</w:t>
      </w:r>
    </w:p>
    <w:p w14:paraId="4A35EBEB">
      <w:pPr>
        <w:spacing w:before="184" w:line="375" w:lineRule="auto"/>
        <w:ind w:left="15" w:right="108" w:firstLine="496"/>
        <w:rPr>
          <w:rFonts w:ascii="宋体" w:hAnsi="宋体" w:eastAsia="宋体" w:cs="宋体"/>
          <w:sz w:val="23"/>
          <w:szCs w:val="23"/>
        </w:rPr>
      </w:pPr>
      <w:r>
        <w:rPr>
          <w:rFonts w:ascii="宋体" w:hAnsi="宋体" w:eastAsia="宋体" w:cs="宋体"/>
          <w:spacing w:val="12"/>
          <w:sz w:val="23"/>
          <w:szCs w:val="23"/>
        </w:rPr>
        <w:t>明确</w:t>
      </w:r>
      <w:r>
        <w:rPr>
          <w:rFonts w:ascii="宋体" w:hAnsi="宋体" w:eastAsia="宋体" w:cs="宋体"/>
          <w:spacing w:val="8"/>
          <w:sz w:val="23"/>
          <w:szCs w:val="23"/>
        </w:rPr>
        <w:t>企</w:t>
      </w:r>
      <w:r>
        <w:rPr>
          <w:rFonts w:ascii="宋体" w:hAnsi="宋体" w:eastAsia="宋体" w:cs="宋体"/>
          <w:spacing w:val="6"/>
          <w:sz w:val="23"/>
          <w:szCs w:val="23"/>
        </w:rPr>
        <w:t>业内部各部门环境职责分工，建立厂区综合环境保护管理办法、厂区环境综合整</w:t>
      </w:r>
      <w:r>
        <w:rPr>
          <w:rFonts w:ascii="宋体" w:hAnsi="宋体" w:eastAsia="宋体" w:cs="宋体"/>
          <w:sz w:val="23"/>
          <w:szCs w:val="23"/>
        </w:rPr>
        <w:t xml:space="preserve"> </w:t>
      </w:r>
      <w:r>
        <w:rPr>
          <w:rFonts w:ascii="宋体" w:hAnsi="宋体" w:eastAsia="宋体" w:cs="宋体"/>
          <w:spacing w:val="11"/>
          <w:sz w:val="23"/>
          <w:szCs w:val="23"/>
        </w:rPr>
        <w:t>治</w:t>
      </w:r>
      <w:r>
        <w:rPr>
          <w:rFonts w:ascii="宋体" w:hAnsi="宋体" w:eastAsia="宋体" w:cs="宋体"/>
          <w:spacing w:val="9"/>
          <w:sz w:val="23"/>
          <w:szCs w:val="23"/>
        </w:rPr>
        <w:t>制度、粪污处置设施运行制度、环境应急制度及应急预案等。</w:t>
      </w:r>
    </w:p>
    <w:p w14:paraId="11A860EE">
      <w:pPr>
        <w:spacing w:before="1" w:line="227" w:lineRule="auto"/>
        <w:ind w:left="490"/>
        <w:rPr>
          <w:rFonts w:ascii="宋体" w:hAnsi="宋体" w:eastAsia="宋体" w:cs="宋体"/>
          <w:sz w:val="23"/>
          <w:szCs w:val="23"/>
        </w:rPr>
      </w:pPr>
      <w:r>
        <w:rPr>
          <w:rFonts w:ascii="Times New Roman" w:hAnsi="Times New Roman" w:eastAsia="Times New Roman" w:cs="Times New Roman"/>
          <w:spacing w:val="9"/>
          <w:sz w:val="23"/>
          <w:szCs w:val="23"/>
        </w:rPr>
        <w:t>3</w:t>
      </w:r>
      <w:r>
        <w:rPr>
          <w:rFonts w:ascii="宋体" w:hAnsi="宋体" w:eastAsia="宋体" w:cs="宋体"/>
          <w:spacing w:val="8"/>
          <w:sz w:val="23"/>
          <w:szCs w:val="23"/>
        </w:rPr>
        <w:t>) 污染防治设施管理制度</w:t>
      </w:r>
    </w:p>
    <w:p w14:paraId="039B33AD">
      <w:pPr>
        <w:spacing w:before="181" w:line="375" w:lineRule="auto"/>
        <w:ind w:left="12" w:right="46" w:firstLine="480"/>
        <w:rPr>
          <w:rFonts w:ascii="宋体" w:hAnsi="宋体" w:eastAsia="宋体" w:cs="宋体"/>
          <w:sz w:val="23"/>
          <w:szCs w:val="23"/>
        </w:rPr>
      </w:pPr>
      <w:r>
        <w:rPr>
          <w:rFonts w:ascii="宋体" w:hAnsi="宋体" w:eastAsia="宋体" w:cs="宋体"/>
          <w:spacing w:val="4"/>
          <w:sz w:val="23"/>
          <w:szCs w:val="23"/>
        </w:rPr>
        <w:t>主要包括粪污</w:t>
      </w:r>
      <w:r>
        <w:rPr>
          <w:rFonts w:ascii="宋体" w:hAnsi="宋体" w:eastAsia="宋体" w:cs="宋体"/>
          <w:spacing w:val="2"/>
          <w:sz w:val="23"/>
          <w:szCs w:val="23"/>
        </w:rPr>
        <w:t>处置设施 (异位发酵床) 处理操作规程、环保交接班管理制度，台账制度，</w:t>
      </w:r>
      <w:r>
        <w:rPr>
          <w:rFonts w:ascii="宋体" w:hAnsi="宋体" w:eastAsia="宋体" w:cs="宋体"/>
          <w:sz w:val="23"/>
          <w:szCs w:val="23"/>
        </w:rPr>
        <w:t xml:space="preserve"> </w:t>
      </w:r>
      <w:r>
        <w:rPr>
          <w:rFonts w:ascii="宋体" w:hAnsi="宋体" w:eastAsia="宋体" w:cs="宋体"/>
          <w:spacing w:val="9"/>
          <w:sz w:val="23"/>
          <w:szCs w:val="23"/>
        </w:rPr>
        <w:t>污染治理设施设备维护保养管理制度等</w:t>
      </w:r>
      <w:r>
        <w:rPr>
          <w:rFonts w:ascii="宋体" w:hAnsi="宋体" w:eastAsia="宋体" w:cs="宋体"/>
          <w:spacing w:val="5"/>
          <w:sz w:val="23"/>
          <w:szCs w:val="23"/>
        </w:rPr>
        <w:t>。</w:t>
      </w:r>
    </w:p>
    <w:p w14:paraId="741A2393">
      <w:pPr>
        <w:spacing w:before="1" w:line="227" w:lineRule="auto"/>
        <w:ind w:left="8"/>
        <w:outlineLvl w:val="2"/>
        <w:rPr>
          <w:rFonts w:ascii="宋体" w:hAnsi="宋体" w:eastAsia="宋体" w:cs="宋体"/>
          <w:sz w:val="23"/>
          <w:szCs w:val="23"/>
        </w:rPr>
      </w:pPr>
      <w:r>
        <w:rPr>
          <w:rFonts w:ascii="Times New Roman" w:hAnsi="Times New Roman" w:eastAsia="Times New Roman" w:cs="Times New Roman"/>
          <w:b/>
          <w:bCs/>
          <w:spacing w:val="14"/>
          <w:sz w:val="23"/>
          <w:szCs w:val="23"/>
        </w:rPr>
        <w:t>9</w:t>
      </w:r>
      <w:r>
        <w:rPr>
          <w:rFonts w:ascii="Times New Roman" w:hAnsi="Times New Roman" w:eastAsia="Times New Roman" w:cs="Times New Roman"/>
          <w:b/>
          <w:bCs/>
          <w:spacing w:val="8"/>
          <w:sz w:val="23"/>
          <w:szCs w:val="23"/>
        </w:rPr>
        <w:t>.</w:t>
      </w:r>
      <w:r>
        <w:rPr>
          <w:rFonts w:ascii="Times New Roman" w:hAnsi="Times New Roman" w:eastAsia="Times New Roman" w:cs="Times New Roman"/>
          <w:b/>
          <w:bCs/>
          <w:spacing w:val="7"/>
          <w:sz w:val="23"/>
          <w:szCs w:val="23"/>
        </w:rPr>
        <w:t>1.3</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项目建设期的环境管理</w:t>
      </w:r>
    </w:p>
    <w:p w14:paraId="29D3B34B">
      <w:pPr>
        <w:spacing w:before="184" w:line="375" w:lineRule="auto"/>
        <w:ind w:left="11" w:right="42" w:firstLine="482"/>
        <w:rPr>
          <w:rFonts w:ascii="宋体" w:hAnsi="宋体" w:eastAsia="宋体" w:cs="宋体"/>
          <w:sz w:val="23"/>
          <w:szCs w:val="23"/>
        </w:rPr>
      </w:pPr>
      <w:r>
        <w:rPr>
          <w:rFonts w:ascii="宋体" w:hAnsi="宋体" w:eastAsia="宋体" w:cs="宋体"/>
          <w:spacing w:val="16"/>
          <w:sz w:val="23"/>
          <w:szCs w:val="23"/>
        </w:rPr>
        <w:t>项目</w:t>
      </w:r>
      <w:r>
        <w:rPr>
          <w:rFonts w:ascii="宋体" w:hAnsi="宋体" w:eastAsia="宋体" w:cs="宋体"/>
          <w:spacing w:val="14"/>
          <w:sz w:val="23"/>
          <w:szCs w:val="23"/>
        </w:rPr>
        <w:t>建</w:t>
      </w:r>
      <w:r>
        <w:rPr>
          <w:rFonts w:ascii="宋体" w:hAnsi="宋体" w:eastAsia="宋体" w:cs="宋体"/>
          <w:spacing w:val="8"/>
          <w:sz w:val="23"/>
          <w:szCs w:val="23"/>
        </w:rPr>
        <w:t>设期应派专人负责本项目建设期运转过程中的有关环境管理方面的组织、协调、</w:t>
      </w:r>
      <w:r>
        <w:rPr>
          <w:rFonts w:ascii="宋体" w:hAnsi="宋体" w:eastAsia="宋体" w:cs="宋体"/>
          <w:sz w:val="23"/>
          <w:szCs w:val="23"/>
        </w:rPr>
        <w:t xml:space="preserve"> </w:t>
      </w:r>
      <w:r>
        <w:rPr>
          <w:rFonts w:ascii="宋体" w:hAnsi="宋体" w:eastAsia="宋体" w:cs="宋体"/>
          <w:spacing w:val="18"/>
          <w:sz w:val="23"/>
          <w:szCs w:val="23"/>
        </w:rPr>
        <w:t>监</w:t>
      </w:r>
      <w:r>
        <w:rPr>
          <w:rFonts w:ascii="宋体" w:hAnsi="宋体" w:eastAsia="宋体" w:cs="宋体"/>
          <w:spacing w:val="9"/>
          <w:sz w:val="23"/>
          <w:szCs w:val="23"/>
        </w:rPr>
        <w:t>督和检查工作。本项目建设期环境管理要点主要为以下几个方面：</w:t>
      </w:r>
    </w:p>
    <w:p w14:paraId="39920582">
      <w:pPr>
        <w:spacing w:line="375" w:lineRule="auto"/>
        <w:ind w:left="9" w:right="108" w:firstLine="372"/>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3"/>
          <w:sz w:val="23"/>
          <w:szCs w:val="23"/>
        </w:rPr>
        <w:t>1</w:t>
      </w:r>
      <w:r>
        <w:rPr>
          <w:rFonts w:ascii="宋体" w:hAnsi="宋体" w:eastAsia="宋体" w:cs="宋体"/>
          <w:spacing w:val="9"/>
          <w:sz w:val="23"/>
          <w:szCs w:val="23"/>
        </w:rPr>
        <w:t>) 建设单位与施工单位签定工程承包合同中应有工程施工期间的环境保护条款，包括</w:t>
      </w:r>
      <w:r>
        <w:rPr>
          <w:rFonts w:ascii="宋体" w:hAnsi="宋体" w:eastAsia="宋体" w:cs="宋体"/>
          <w:sz w:val="23"/>
          <w:szCs w:val="23"/>
        </w:rPr>
        <w:t xml:space="preserve"> </w:t>
      </w:r>
      <w:r>
        <w:rPr>
          <w:rFonts w:ascii="宋体" w:hAnsi="宋体" w:eastAsia="宋体" w:cs="宋体"/>
          <w:spacing w:val="7"/>
          <w:sz w:val="23"/>
          <w:szCs w:val="23"/>
        </w:rPr>
        <w:t>施工中生态保护 (含水土保持) 、施工期环境污染控制、污染排放管理、施工人员环保</w:t>
      </w:r>
      <w:r>
        <w:rPr>
          <w:rFonts w:ascii="宋体" w:hAnsi="宋体" w:eastAsia="宋体" w:cs="宋体"/>
          <w:spacing w:val="5"/>
          <w:sz w:val="23"/>
          <w:szCs w:val="23"/>
        </w:rPr>
        <w:t>教</w:t>
      </w:r>
      <w:r>
        <w:rPr>
          <w:rFonts w:ascii="宋体" w:hAnsi="宋体" w:eastAsia="宋体" w:cs="宋体"/>
          <w:sz w:val="23"/>
          <w:szCs w:val="23"/>
        </w:rPr>
        <w:t xml:space="preserve">育 </w:t>
      </w:r>
      <w:r>
        <w:rPr>
          <w:rFonts w:ascii="宋体" w:hAnsi="宋体" w:eastAsia="宋体" w:cs="宋体"/>
          <w:spacing w:val="12"/>
          <w:sz w:val="23"/>
          <w:szCs w:val="23"/>
        </w:rPr>
        <w:t>及</w:t>
      </w:r>
      <w:r>
        <w:rPr>
          <w:rFonts w:ascii="宋体" w:hAnsi="宋体" w:eastAsia="宋体" w:cs="宋体"/>
          <w:spacing w:val="7"/>
          <w:sz w:val="23"/>
          <w:szCs w:val="23"/>
        </w:rPr>
        <w:t>相关奖惩条款。</w:t>
      </w:r>
    </w:p>
    <w:p w14:paraId="31EA2E16">
      <w:pPr>
        <w:spacing w:before="1" w:line="374" w:lineRule="auto"/>
        <w:ind w:left="9" w:right="25" w:firstLine="372"/>
        <w:rPr>
          <w:rFonts w:ascii="宋体" w:hAnsi="宋体" w:eastAsia="宋体" w:cs="宋体"/>
          <w:sz w:val="23"/>
          <w:szCs w:val="23"/>
        </w:rPr>
      </w:pPr>
      <w:r>
        <w:rPr>
          <w:rFonts w:ascii="宋体" w:hAnsi="宋体" w:eastAsia="宋体" w:cs="宋体"/>
          <w:spacing w:val="22"/>
          <w:sz w:val="23"/>
          <w:szCs w:val="23"/>
        </w:rPr>
        <w:t>(</w:t>
      </w:r>
      <w:r>
        <w:rPr>
          <w:rFonts w:ascii="Times New Roman" w:hAnsi="Times New Roman" w:eastAsia="Times New Roman" w:cs="Times New Roman"/>
          <w:spacing w:val="16"/>
          <w:sz w:val="23"/>
          <w:szCs w:val="23"/>
        </w:rPr>
        <w:t>2</w:t>
      </w:r>
      <w:r>
        <w:rPr>
          <w:rFonts w:ascii="宋体" w:hAnsi="宋体" w:eastAsia="宋体" w:cs="宋体"/>
          <w:spacing w:val="11"/>
          <w:sz w:val="23"/>
          <w:szCs w:val="23"/>
        </w:rPr>
        <w:t>) 施工单位应提高环保意识，加强驻地和施工现场的环境管理，合理安排施工计划，</w:t>
      </w:r>
      <w:r>
        <w:rPr>
          <w:rFonts w:ascii="宋体" w:hAnsi="宋体" w:eastAsia="宋体" w:cs="宋体"/>
          <w:sz w:val="23"/>
          <w:szCs w:val="23"/>
        </w:rPr>
        <w:t xml:space="preserve"> </w:t>
      </w:r>
      <w:r>
        <w:rPr>
          <w:rFonts w:ascii="宋体" w:hAnsi="宋体" w:eastAsia="宋体" w:cs="宋体"/>
          <w:spacing w:val="6"/>
          <w:sz w:val="23"/>
          <w:szCs w:val="23"/>
        </w:rPr>
        <w:t>切实做到组</w:t>
      </w:r>
      <w:r>
        <w:rPr>
          <w:rFonts w:ascii="宋体" w:hAnsi="宋体" w:eastAsia="宋体" w:cs="宋体"/>
          <w:spacing w:val="3"/>
          <w:sz w:val="23"/>
          <w:szCs w:val="23"/>
        </w:rPr>
        <w:t>织计划严谨，文明施工：环保措施逐项落实到位，环保工程与主体工程同时施工、</w:t>
      </w:r>
      <w:r>
        <w:rPr>
          <w:rFonts w:ascii="宋体" w:hAnsi="宋体" w:eastAsia="宋体" w:cs="宋体"/>
          <w:sz w:val="23"/>
          <w:szCs w:val="23"/>
        </w:rPr>
        <w:t xml:space="preserve"> </w:t>
      </w:r>
      <w:r>
        <w:rPr>
          <w:rFonts w:ascii="宋体" w:hAnsi="宋体" w:eastAsia="宋体" w:cs="宋体"/>
          <w:spacing w:val="9"/>
          <w:sz w:val="23"/>
          <w:szCs w:val="23"/>
        </w:rPr>
        <w:t>同时运行，环保工程费用专款专用</w:t>
      </w:r>
      <w:r>
        <w:rPr>
          <w:rFonts w:ascii="宋体" w:hAnsi="宋体" w:eastAsia="宋体" w:cs="宋体"/>
          <w:spacing w:val="6"/>
          <w:sz w:val="23"/>
          <w:szCs w:val="23"/>
        </w:rPr>
        <w:t>。</w:t>
      </w:r>
    </w:p>
    <w:p w14:paraId="7FF6BE02">
      <w:pPr>
        <w:spacing w:before="2" w:line="374" w:lineRule="auto"/>
        <w:ind w:left="33" w:right="108" w:firstLine="347"/>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3"/>
          <w:sz w:val="23"/>
          <w:szCs w:val="23"/>
        </w:rPr>
        <w:t>3</w:t>
      </w:r>
      <w:r>
        <w:rPr>
          <w:rFonts w:ascii="宋体" w:hAnsi="宋体" w:eastAsia="宋体" w:cs="宋体"/>
          <w:spacing w:val="9"/>
          <w:sz w:val="23"/>
          <w:szCs w:val="23"/>
        </w:rPr>
        <w:t>) 施工单位应特别注意施工中的水土保持，尽可能保护好植被、土壤，弃土弃渣尽量</w:t>
      </w:r>
      <w:r>
        <w:rPr>
          <w:rFonts w:ascii="宋体" w:hAnsi="宋体" w:eastAsia="宋体" w:cs="宋体"/>
          <w:sz w:val="23"/>
          <w:szCs w:val="23"/>
        </w:rPr>
        <w:t xml:space="preserve"> </w:t>
      </w:r>
      <w:r>
        <w:rPr>
          <w:rFonts w:ascii="宋体" w:hAnsi="宋体" w:eastAsia="宋体" w:cs="宋体"/>
          <w:spacing w:val="9"/>
          <w:sz w:val="23"/>
          <w:szCs w:val="23"/>
        </w:rPr>
        <w:t>回填，回填不完须运至相关政府部门指定地点弃置，严禁随意堆置，防止水土流失</w:t>
      </w:r>
      <w:r>
        <w:rPr>
          <w:rFonts w:ascii="宋体" w:hAnsi="宋体" w:eastAsia="宋体" w:cs="宋体"/>
          <w:spacing w:val="3"/>
          <w:sz w:val="23"/>
          <w:szCs w:val="23"/>
        </w:rPr>
        <w:t>。</w:t>
      </w:r>
    </w:p>
    <w:p w14:paraId="37E43F86">
      <w:pPr>
        <w:tabs>
          <w:tab w:val="left" w:pos="136"/>
        </w:tabs>
        <w:spacing w:before="3" w:line="374" w:lineRule="auto"/>
        <w:ind w:left="12" w:firstLine="369"/>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3"/>
          <w:sz w:val="23"/>
          <w:szCs w:val="23"/>
        </w:rPr>
        <w:t>4</w:t>
      </w:r>
      <w:r>
        <w:rPr>
          <w:rFonts w:ascii="宋体" w:hAnsi="宋体" w:eastAsia="宋体" w:cs="宋体"/>
          <w:spacing w:val="9"/>
          <w:sz w:val="23"/>
          <w:szCs w:val="23"/>
        </w:rPr>
        <w:t>) 各施工现场、施工单位驻地及施工临时设施，应加强环境管理，避免污水排入地面</w:t>
      </w:r>
      <w:r>
        <w:rPr>
          <w:rFonts w:ascii="宋体" w:hAnsi="宋体" w:eastAsia="宋体" w:cs="宋体"/>
          <w:sz w:val="23"/>
          <w:szCs w:val="23"/>
        </w:rPr>
        <w:t xml:space="preserve"> </w:t>
      </w:r>
      <w:r>
        <w:rPr>
          <w:rFonts w:ascii="宋体" w:hAnsi="宋体" w:eastAsia="宋体" w:cs="宋体"/>
          <w:spacing w:val="10"/>
          <w:sz w:val="23"/>
          <w:szCs w:val="23"/>
        </w:rPr>
        <w:t>水</w:t>
      </w:r>
      <w:r>
        <w:rPr>
          <w:rFonts w:ascii="宋体" w:hAnsi="宋体" w:eastAsia="宋体" w:cs="宋体"/>
          <w:spacing w:val="7"/>
          <w:sz w:val="23"/>
          <w:szCs w:val="23"/>
        </w:rPr>
        <w:t>环境；易产尘点应采取降尘措施，减少扬尘；施工完毕后施工单位须及时清理和恢复施工</w:t>
      </w:r>
      <w:r>
        <w:rPr>
          <w:rFonts w:ascii="宋体" w:hAnsi="宋体" w:eastAsia="宋体" w:cs="宋体"/>
          <w:sz w:val="23"/>
          <w:szCs w:val="23"/>
        </w:rPr>
        <w:t xml:space="preserve"> </w:t>
      </w:r>
      <w:r>
        <w:rPr>
          <w:rFonts w:ascii="宋体" w:hAnsi="宋体" w:eastAsia="宋体" w:cs="宋体"/>
          <w:spacing w:val="12"/>
          <w:sz w:val="23"/>
          <w:szCs w:val="23"/>
        </w:rPr>
        <w:t>现场，妥善</w:t>
      </w:r>
      <w:r>
        <w:rPr>
          <w:rFonts w:ascii="宋体" w:hAnsi="宋体" w:eastAsia="宋体" w:cs="宋体"/>
          <w:spacing w:val="6"/>
          <w:sz w:val="23"/>
          <w:szCs w:val="23"/>
        </w:rPr>
        <w:t>处理生活垃圾与施工弃碴；施工噪声应执行 《建筑施工场界环境噪声排放标准》</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10"/>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10"/>
          <w:sz w:val="23"/>
          <w:szCs w:val="23"/>
        </w:rPr>
        <w:t>1</w:t>
      </w:r>
      <w:r>
        <w:rPr>
          <w:rFonts w:ascii="Times New Roman" w:hAnsi="Times New Roman" w:eastAsia="Times New Roman" w:cs="Times New Roman"/>
          <w:spacing w:val="6"/>
          <w:sz w:val="23"/>
          <w:szCs w:val="23"/>
        </w:rPr>
        <w:t>2</w:t>
      </w:r>
      <w:r>
        <w:rPr>
          <w:rFonts w:ascii="Times New Roman" w:hAnsi="Times New Roman" w:eastAsia="Times New Roman" w:cs="Times New Roman"/>
          <w:spacing w:val="5"/>
          <w:sz w:val="23"/>
          <w:szCs w:val="23"/>
        </w:rPr>
        <w:t>523-2011</w:t>
      </w:r>
      <w:r>
        <w:rPr>
          <w:rFonts w:ascii="宋体" w:hAnsi="宋体" w:eastAsia="宋体" w:cs="宋体"/>
          <w:spacing w:val="5"/>
          <w:sz w:val="23"/>
          <w:szCs w:val="23"/>
        </w:rPr>
        <w:t>) 中的有关规定。</w:t>
      </w:r>
    </w:p>
    <w:p w14:paraId="4A65C7A1">
      <w:pPr>
        <w:spacing w:before="2" w:line="374" w:lineRule="auto"/>
        <w:ind w:left="11" w:right="108" w:firstLine="370"/>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3"/>
          <w:sz w:val="23"/>
          <w:szCs w:val="23"/>
        </w:rPr>
        <w:t>5</w:t>
      </w:r>
      <w:r>
        <w:rPr>
          <w:rFonts w:ascii="宋体" w:hAnsi="宋体" w:eastAsia="宋体" w:cs="宋体"/>
          <w:spacing w:val="9"/>
          <w:sz w:val="23"/>
          <w:szCs w:val="23"/>
        </w:rPr>
        <w:t>) 认真落实各项补偿措施，做好工程各项环保设施的施工监理与验收，保证环保工程</w:t>
      </w:r>
      <w:r>
        <w:rPr>
          <w:rFonts w:ascii="宋体" w:hAnsi="宋体" w:eastAsia="宋体" w:cs="宋体"/>
          <w:sz w:val="23"/>
          <w:szCs w:val="23"/>
        </w:rPr>
        <w:t xml:space="preserve"> </w:t>
      </w:r>
      <w:r>
        <w:rPr>
          <w:rFonts w:ascii="宋体" w:hAnsi="宋体" w:eastAsia="宋体" w:cs="宋体"/>
          <w:spacing w:val="9"/>
          <w:sz w:val="23"/>
          <w:szCs w:val="23"/>
        </w:rPr>
        <w:t>质</w:t>
      </w:r>
      <w:r>
        <w:rPr>
          <w:rFonts w:ascii="宋体" w:hAnsi="宋体" w:eastAsia="宋体" w:cs="宋体"/>
          <w:spacing w:val="8"/>
          <w:sz w:val="23"/>
          <w:szCs w:val="23"/>
        </w:rPr>
        <w:t>量，真正做到环保工程</w:t>
      </w:r>
      <w:r>
        <w:rPr>
          <w:rFonts w:ascii="Times New Roman" w:hAnsi="Times New Roman" w:eastAsia="Times New Roman" w:cs="Times New Roman"/>
          <w:spacing w:val="8"/>
          <w:sz w:val="23"/>
          <w:szCs w:val="23"/>
        </w:rPr>
        <w:t>“</w:t>
      </w:r>
      <w:r>
        <w:rPr>
          <w:rFonts w:ascii="宋体" w:hAnsi="宋体" w:eastAsia="宋体" w:cs="宋体"/>
          <w:spacing w:val="8"/>
          <w:sz w:val="23"/>
          <w:szCs w:val="23"/>
        </w:rPr>
        <w:t>三同时</w:t>
      </w:r>
      <w:r>
        <w:rPr>
          <w:rFonts w:ascii="Times New Roman" w:hAnsi="Times New Roman" w:eastAsia="Times New Roman" w:cs="Times New Roman"/>
          <w:spacing w:val="8"/>
          <w:sz w:val="23"/>
          <w:szCs w:val="23"/>
        </w:rPr>
        <w:t>”</w:t>
      </w:r>
      <w:r>
        <w:rPr>
          <w:rFonts w:ascii="宋体" w:hAnsi="宋体" w:eastAsia="宋体" w:cs="宋体"/>
          <w:spacing w:val="8"/>
          <w:sz w:val="23"/>
          <w:szCs w:val="23"/>
        </w:rPr>
        <w:t>。</w:t>
      </w:r>
    </w:p>
    <w:p w14:paraId="3DA83E0F">
      <w:pPr>
        <w:spacing w:before="1" w:line="227" w:lineRule="auto"/>
        <w:ind w:left="8"/>
        <w:outlineLvl w:val="2"/>
        <w:rPr>
          <w:rFonts w:ascii="宋体" w:hAnsi="宋体" w:eastAsia="宋体" w:cs="宋体"/>
          <w:sz w:val="23"/>
          <w:szCs w:val="23"/>
        </w:rPr>
      </w:pPr>
      <w:r>
        <w:rPr>
          <w:rFonts w:ascii="Times New Roman" w:hAnsi="Times New Roman" w:eastAsia="Times New Roman" w:cs="Times New Roman"/>
          <w:b/>
          <w:bCs/>
          <w:spacing w:val="14"/>
          <w:sz w:val="23"/>
          <w:szCs w:val="23"/>
        </w:rPr>
        <w:t>9</w:t>
      </w:r>
      <w:r>
        <w:rPr>
          <w:rFonts w:ascii="Times New Roman" w:hAnsi="Times New Roman" w:eastAsia="Times New Roman" w:cs="Times New Roman"/>
          <w:b/>
          <w:bCs/>
          <w:spacing w:val="11"/>
          <w:sz w:val="23"/>
          <w:szCs w:val="23"/>
        </w:rPr>
        <w:t>.</w:t>
      </w:r>
      <w:r>
        <w:rPr>
          <w:rFonts w:ascii="Times New Roman" w:hAnsi="Times New Roman" w:eastAsia="Times New Roman" w:cs="Times New Roman"/>
          <w:b/>
          <w:bCs/>
          <w:spacing w:val="7"/>
          <w:sz w:val="23"/>
          <w:szCs w:val="23"/>
        </w:rPr>
        <w:t>1.4</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项目营运期环境管理要点</w:t>
      </w:r>
    </w:p>
    <w:p w14:paraId="7A61A5BB">
      <w:pPr>
        <w:spacing w:before="184" w:line="375" w:lineRule="auto"/>
        <w:ind w:left="11" w:right="46" w:firstLine="482"/>
        <w:rPr>
          <w:rFonts w:ascii="宋体" w:hAnsi="宋体" w:eastAsia="宋体" w:cs="宋体"/>
          <w:sz w:val="23"/>
          <w:szCs w:val="23"/>
        </w:rPr>
      </w:pPr>
      <w:r>
        <w:rPr>
          <w:rFonts w:ascii="宋体" w:hAnsi="宋体" w:eastAsia="宋体" w:cs="宋体"/>
          <w:spacing w:val="7"/>
          <w:sz w:val="23"/>
          <w:szCs w:val="23"/>
        </w:rPr>
        <w:t>项目投产后，环境管理进入一个全新的阶段，这个阶段主要注意对项目在营运期间的</w:t>
      </w:r>
      <w:r>
        <w:rPr>
          <w:rFonts w:ascii="宋体" w:hAnsi="宋体" w:eastAsia="宋体" w:cs="宋体"/>
          <w:spacing w:val="2"/>
          <w:sz w:val="23"/>
          <w:szCs w:val="23"/>
        </w:rPr>
        <w:t>环</w:t>
      </w:r>
      <w:r>
        <w:rPr>
          <w:rFonts w:ascii="宋体" w:hAnsi="宋体" w:eastAsia="宋体" w:cs="宋体"/>
          <w:sz w:val="23"/>
          <w:szCs w:val="23"/>
        </w:rPr>
        <w:t xml:space="preserve"> </w:t>
      </w:r>
      <w:r>
        <w:rPr>
          <w:rFonts w:ascii="宋体" w:hAnsi="宋体" w:eastAsia="宋体" w:cs="宋体"/>
          <w:spacing w:val="3"/>
          <w:sz w:val="23"/>
          <w:szCs w:val="23"/>
        </w:rPr>
        <w:t>保工作进行管理，对可能产生的环境问题进行妥善处置，保障企业长期健康稳定安全的</w:t>
      </w:r>
      <w:r>
        <w:rPr>
          <w:rFonts w:ascii="宋体" w:hAnsi="宋体" w:eastAsia="宋体" w:cs="宋体"/>
          <w:spacing w:val="1"/>
          <w:sz w:val="23"/>
          <w:szCs w:val="23"/>
        </w:rPr>
        <w:t>运</w:t>
      </w:r>
      <w:r>
        <w:rPr>
          <w:rFonts w:ascii="宋体" w:hAnsi="宋体" w:eastAsia="宋体" w:cs="宋体"/>
          <w:sz w:val="23"/>
          <w:szCs w:val="23"/>
        </w:rPr>
        <w:t>转，</w:t>
      </w:r>
    </w:p>
    <w:p w14:paraId="0F1FE070">
      <w:pPr>
        <w:spacing w:line="230" w:lineRule="auto"/>
        <w:ind w:left="28"/>
        <w:rPr>
          <w:rFonts w:ascii="宋体" w:hAnsi="宋体" w:eastAsia="宋体" w:cs="宋体"/>
          <w:sz w:val="23"/>
          <w:szCs w:val="23"/>
        </w:rPr>
      </w:pPr>
      <w:r>
        <w:rPr>
          <w:rFonts w:ascii="宋体" w:hAnsi="宋体" w:eastAsia="宋体" w:cs="宋体"/>
          <w:spacing w:val="16"/>
          <w:sz w:val="23"/>
          <w:szCs w:val="23"/>
        </w:rPr>
        <w:t>因</w:t>
      </w:r>
      <w:r>
        <w:rPr>
          <w:rFonts w:ascii="宋体" w:hAnsi="宋体" w:eastAsia="宋体" w:cs="宋体"/>
          <w:spacing w:val="9"/>
          <w:sz w:val="23"/>
          <w:szCs w:val="23"/>
        </w:rPr>
        <w:t>此</w:t>
      </w:r>
      <w:r>
        <w:rPr>
          <w:rFonts w:ascii="宋体" w:hAnsi="宋体" w:eastAsia="宋体" w:cs="宋体"/>
          <w:spacing w:val="8"/>
          <w:sz w:val="23"/>
          <w:szCs w:val="23"/>
        </w:rPr>
        <w:t>，这段时期的环境管理主要着重于以下几个方面：</w:t>
      </w:r>
    </w:p>
    <w:p w14:paraId="54F1D292">
      <w:pPr>
        <w:sectPr>
          <w:headerReference r:id="rId312" w:type="default"/>
          <w:footerReference r:id="rId313" w:type="default"/>
          <w:pgSz w:w="11906" w:h="16839"/>
          <w:pgMar w:top="1118" w:right="1026" w:bottom="1157" w:left="1275" w:header="878" w:footer="994" w:gutter="0"/>
          <w:cols w:space="720" w:num="1"/>
        </w:sectPr>
      </w:pPr>
    </w:p>
    <w:p w14:paraId="5C28197B">
      <w:pPr>
        <w:spacing w:before="193" w:line="227" w:lineRule="auto"/>
        <w:ind w:left="644"/>
        <w:rPr>
          <w:rFonts w:ascii="宋体" w:hAnsi="宋体" w:eastAsia="宋体" w:cs="宋体"/>
          <w:sz w:val="23"/>
          <w:szCs w:val="23"/>
        </w:rPr>
      </w:pPr>
      <w:r>
        <w:rPr>
          <w:rFonts w:ascii="宋体" w:hAnsi="宋体" w:eastAsia="宋体" w:cs="宋体"/>
          <w:spacing w:val="16"/>
          <w:sz w:val="23"/>
          <w:szCs w:val="23"/>
        </w:rPr>
        <w:t>(</w:t>
      </w:r>
      <w:r>
        <w:rPr>
          <w:rFonts w:ascii="Times New Roman" w:hAnsi="Times New Roman" w:eastAsia="Times New Roman" w:cs="Times New Roman"/>
          <w:spacing w:val="16"/>
          <w:sz w:val="23"/>
          <w:szCs w:val="23"/>
        </w:rPr>
        <w:t>1</w:t>
      </w:r>
      <w:r>
        <w:rPr>
          <w:rFonts w:ascii="宋体" w:hAnsi="宋体" w:eastAsia="宋体" w:cs="宋体"/>
          <w:spacing w:val="16"/>
          <w:sz w:val="23"/>
          <w:szCs w:val="23"/>
        </w:rPr>
        <w:t xml:space="preserve">) </w:t>
      </w:r>
      <w:r>
        <w:rPr>
          <w:rFonts w:ascii="Times New Roman" w:hAnsi="Times New Roman" w:eastAsia="Times New Roman" w:cs="Times New Roman"/>
          <w:spacing w:val="16"/>
          <w:sz w:val="23"/>
          <w:szCs w:val="23"/>
        </w:rPr>
        <w:t>“</w:t>
      </w:r>
      <w:r>
        <w:rPr>
          <w:rFonts w:ascii="宋体" w:hAnsi="宋体" w:eastAsia="宋体" w:cs="宋体"/>
          <w:spacing w:val="16"/>
          <w:sz w:val="23"/>
          <w:szCs w:val="23"/>
        </w:rPr>
        <w:t>三同时</w:t>
      </w:r>
      <w:r>
        <w:rPr>
          <w:rFonts w:ascii="Times New Roman" w:hAnsi="Times New Roman" w:eastAsia="Times New Roman" w:cs="Times New Roman"/>
          <w:spacing w:val="16"/>
          <w:sz w:val="23"/>
          <w:szCs w:val="23"/>
        </w:rPr>
        <w:t>”</w:t>
      </w:r>
      <w:r>
        <w:rPr>
          <w:rFonts w:ascii="宋体" w:hAnsi="宋体" w:eastAsia="宋体" w:cs="宋体"/>
          <w:spacing w:val="16"/>
          <w:sz w:val="23"/>
          <w:szCs w:val="23"/>
        </w:rPr>
        <w:t>验收</w:t>
      </w:r>
    </w:p>
    <w:p w14:paraId="096679D9">
      <w:pPr>
        <w:spacing w:before="183" w:line="370" w:lineRule="auto"/>
        <w:ind w:left="154" w:right="139" w:firstLine="479"/>
        <w:rPr>
          <w:rFonts w:ascii="宋体" w:hAnsi="宋体" w:eastAsia="宋体" w:cs="宋体"/>
          <w:sz w:val="23"/>
          <w:szCs w:val="23"/>
        </w:rPr>
      </w:pPr>
      <w:r>
        <w:rPr>
          <w:rFonts w:ascii="宋体" w:hAnsi="宋体" w:eastAsia="宋体" w:cs="宋体"/>
          <w:spacing w:val="4"/>
          <w:sz w:val="23"/>
          <w:szCs w:val="23"/>
        </w:rPr>
        <w:t>根据《建</w:t>
      </w:r>
      <w:r>
        <w:rPr>
          <w:rFonts w:ascii="宋体" w:hAnsi="宋体" w:eastAsia="宋体" w:cs="宋体"/>
          <w:spacing w:val="3"/>
          <w:sz w:val="23"/>
          <w:szCs w:val="23"/>
        </w:rPr>
        <w:t>设</w:t>
      </w:r>
      <w:r>
        <w:rPr>
          <w:rFonts w:ascii="宋体" w:hAnsi="宋体" w:eastAsia="宋体" w:cs="宋体"/>
          <w:spacing w:val="2"/>
          <w:sz w:val="23"/>
          <w:szCs w:val="23"/>
        </w:rPr>
        <w:t xml:space="preserve">项目环境保护管理条例》  (国务院令第 </w:t>
      </w:r>
      <w:r>
        <w:rPr>
          <w:rFonts w:ascii="Times New Roman" w:hAnsi="Times New Roman" w:eastAsia="Times New Roman" w:cs="Times New Roman"/>
          <w:spacing w:val="2"/>
          <w:sz w:val="23"/>
          <w:szCs w:val="23"/>
        </w:rPr>
        <w:t xml:space="preserve">682 </w:t>
      </w:r>
      <w:r>
        <w:rPr>
          <w:rFonts w:ascii="宋体" w:hAnsi="宋体" w:eastAsia="宋体" w:cs="宋体"/>
          <w:spacing w:val="2"/>
          <w:sz w:val="23"/>
          <w:szCs w:val="23"/>
        </w:rPr>
        <w:t>号) 、《建设项目竣工环境</w:t>
      </w:r>
      <w:r>
        <w:rPr>
          <w:rFonts w:ascii="宋体" w:hAnsi="宋体" w:eastAsia="宋体" w:cs="宋体"/>
          <w:sz w:val="23"/>
          <w:szCs w:val="23"/>
        </w:rPr>
        <w:t xml:space="preserve"> </w:t>
      </w:r>
      <w:r>
        <w:rPr>
          <w:rFonts w:ascii="宋体" w:hAnsi="宋体" w:eastAsia="宋体" w:cs="宋体"/>
          <w:spacing w:val="12"/>
          <w:sz w:val="23"/>
          <w:szCs w:val="23"/>
        </w:rPr>
        <w:t>保护验</w:t>
      </w:r>
      <w:r>
        <w:rPr>
          <w:rFonts w:ascii="宋体" w:hAnsi="宋体" w:eastAsia="宋体" w:cs="宋体"/>
          <w:spacing w:val="11"/>
          <w:sz w:val="23"/>
          <w:szCs w:val="23"/>
        </w:rPr>
        <w:t>收</w:t>
      </w:r>
      <w:r>
        <w:rPr>
          <w:rFonts w:ascii="宋体" w:hAnsi="宋体" w:eastAsia="宋体" w:cs="宋体"/>
          <w:spacing w:val="6"/>
          <w:sz w:val="23"/>
          <w:szCs w:val="23"/>
        </w:rPr>
        <w:t>暂行办法》  (国环规环评</w:t>
      </w:r>
      <w:r>
        <w:rPr>
          <w:rFonts w:ascii="Times New Roman" w:hAnsi="Times New Roman" w:eastAsia="Times New Roman" w:cs="Times New Roman"/>
          <w:spacing w:val="6"/>
          <w:sz w:val="23"/>
          <w:szCs w:val="23"/>
        </w:rPr>
        <w:t xml:space="preserve">[2017]4 </w:t>
      </w:r>
      <w:r>
        <w:rPr>
          <w:rFonts w:ascii="宋体" w:hAnsi="宋体" w:eastAsia="宋体" w:cs="宋体"/>
          <w:spacing w:val="6"/>
          <w:sz w:val="23"/>
          <w:szCs w:val="23"/>
        </w:rPr>
        <w:t>号) 相关法律法规要求，建设项目竣工后，建设</w:t>
      </w:r>
      <w:r>
        <w:rPr>
          <w:rFonts w:ascii="宋体" w:hAnsi="宋体" w:eastAsia="宋体" w:cs="宋体"/>
          <w:sz w:val="23"/>
          <w:szCs w:val="23"/>
        </w:rPr>
        <w:t xml:space="preserve"> </w:t>
      </w:r>
      <w:r>
        <w:rPr>
          <w:rFonts w:ascii="宋体" w:hAnsi="宋体" w:eastAsia="宋体" w:cs="宋体"/>
          <w:spacing w:val="18"/>
          <w:sz w:val="23"/>
          <w:szCs w:val="23"/>
        </w:rPr>
        <w:t>项目</w:t>
      </w:r>
      <w:r>
        <w:rPr>
          <w:rFonts w:ascii="宋体" w:hAnsi="宋体" w:eastAsia="宋体" w:cs="宋体"/>
          <w:spacing w:val="9"/>
          <w:sz w:val="23"/>
          <w:szCs w:val="23"/>
        </w:rPr>
        <w:t>竣工后须对项目配套建设的环保治理设施予以竣工验收，然后本项目方可正式运行。</w:t>
      </w:r>
    </w:p>
    <w:p w14:paraId="3B5D3E78">
      <w:pPr>
        <w:spacing w:before="17" w:line="222" w:lineRule="auto"/>
        <w:ind w:left="2197"/>
        <w:rPr>
          <w:rFonts w:ascii="黑体" w:hAnsi="黑体" w:eastAsia="黑体" w:cs="黑体"/>
          <w:sz w:val="23"/>
          <w:szCs w:val="23"/>
        </w:rPr>
      </w:pPr>
      <w:r>
        <w:rPr>
          <w:rFonts w:ascii="黑体" w:hAnsi="黑体" w:eastAsia="黑体" w:cs="黑体"/>
          <w:spacing w:val="1"/>
          <w:sz w:val="23"/>
          <w:szCs w:val="23"/>
        </w:rPr>
        <w:t xml:space="preserve">表 </w:t>
      </w:r>
      <w:r>
        <w:rPr>
          <w:rFonts w:ascii="Times New Roman" w:hAnsi="Times New Roman" w:eastAsia="Times New Roman" w:cs="Times New Roman"/>
          <w:spacing w:val="1"/>
          <w:sz w:val="23"/>
          <w:szCs w:val="23"/>
        </w:rPr>
        <w:t xml:space="preserve">9. 1- 1  </w:t>
      </w:r>
      <w:r>
        <w:rPr>
          <w:rFonts w:ascii="黑体" w:hAnsi="黑体" w:eastAsia="黑体" w:cs="黑体"/>
          <w:sz w:val="23"/>
          <w:szCs w:val="23"/>
        </w:rPr>
        <w:t>环保设施及主要措施竣工验收一览表</w:t>
      </w:r>
    </w:p>
    <w:tbl>
      <w:tblPr>
        <w:tblStyle w:val="4"/>
        <w:tblW w:w="978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9"/>
        <w:gridCol w:w="1301"/>
        <w:gridCol w:w="4129"/>
        <w:gridCol w:w="3703"/>
      </w:tblGrid>
      <w:tr w14:paraId="61833D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649" w:type="dxa"/>
            <w:tcBorders>
              <w:left w:val="nil"/>
            </w:tcBorders>
          </w:tcPr>
          <w:p w14:paraId="033243C2">
            <w:pPr>
              <w:spacing w:before="54" w:line="228" w:lineRule="auto"/>
              <w:ind w:left="119"/>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项目</w:t>
            </w:r>
          </w:p>
        </w:tc>
        <w:tc>
          <w:tcPr>
            <w:tcW w:w="1301" w:type="dxa"/>
          </w:tcPr>
          <w:p w14:paraId="3A5E2BDD">
            <w:pPr>
              <w:spacing w:before="54" w:line="228" w:lineRule="auto"/>
              <w:ind w:left="133"/>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污</w:t>
            </w:r>
            <w:r>
              <w:rPr>
                <w:rFonts w:ascii="宋体" w:hAnsi="宋体" w:eastAsia="宋体" w:cs="宋体"/>
                <w:spacing w:val="8"/>
                <w:sz w:val="20"/>
                <w:szCs w:val="20"/>
                <w14:textOutline w14:w="3797" w14:cap="sq" w14:cmpd="sng" w14:algn="ctr">
                  <w14:solidFill>
                    <w14:srgbClr w14:val="000000"/>
                  </w14:solidFill>
                  <w14:prstDash w14:val="solid"/>
                  <w14:bevel/>
                </w14:textOutline>
              </w:rPr>
              <w:t>染源名称</w:t>
            </w:r>
          </w:p>
        </w:tc>
        <w:tc>
          <w:tcPr>
            <w:tcW w:w="4129" w:type="dxa"/>
          </w:tcPr>
          <w:p w14:paraId="49C59494">
            <w:pPr>
              <w:spacing w:before="54" w:line="228" w:lineRule="auto"/>
              <w:ind w:left="956"/>
              <w:rPr>
                <w:rFonts w:ascii="宋体" w:hAnsi="宋体" w:eastAsia="宋体" w:cs="宋体"/>
                <w:sz w:val="20"/>
                <w:szCs w:val="20"/>
              </w:rPr>
            </w:pPr>
            <w:r>
              <w:rPr>
                <w:rFonts w:ascii="宋体" w:hAnsi="宋体" w:eastAsia="宋体" w:cs="宋体"/>
                <w:spacing w:val="12"/>
                <w:sz w:val="20"/>
                <w:szCs w:val="20"/>
                <w14:textOutline w14:w="3797" w14:cap="sq" w14:cmpd="sng" w14:algn="ctr">
                  <w14:solidFill>
                    <w14:srgbClr w14:val="000000"/>
                  </w14:solidFill>
                  <w14:prstDash w14:val="solid"/>
                  <w14:bevel/>
                </w14:textOutline>
              </w:rPr>
              <w:t>主</w:t>
            </w:r>
            <w:r>
              <w:rPr>
                <w:rFonts w:ascii="宋体" w:hAnsi="宋体" w:eastAsia="宋体" w:cs="宋体"/>
                <w:spacing w:val="8"/>
                <w:sz w:val="20"/>
                <w:szCs w:val="20"/>
                <w14:textOutline w14:w="3797" w14:cap="sq" w14:cmpd="sng" w14:algn="ctr">
                  <w14:solidFill>
                    <w14:srgbClr w14:val="000000"/>
                  </w14:solidFill>
                  <w14:prstDash w14:val="solid"/>
                  <w14:bevel/>
                </w14:textOutline>
              </w:rPr>
              <w:t>要治理措施</w:t>
            </w:r>
          </w:p>
        </w:tc>
        <w:tc>
          <w:tcPr>
            <w:tcW w:w="3703" w:type="dxa"/>
            <w:tcBorders>
              <w:right w:val="nil"/>
            </w:tcBorders>
          </w:tcPr>
          <w:p w14:paraId="3BE1D3B3">
            <w:pPr>
              <w:spacing w:before="54" w:line="228" w:lineRule="auto"/>
              <w:ind w:left="1058"/>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验收要</w:t>
            </w:r>
            <w:r>
              <w:rPr>
                <w:rFonts w:ascii="宋体" w:hAnsi="宋体" w:eastAsia="宋体" w:cs="宋体"/>
                <w:spacing w:val="8"/>
                <w:sz w:val="20"/>
                <w:szCs w:val="20"/>
                <w14:textOutline w14:w="3797" w14:cap="sq" w14:cmpd="sng" w14:algn="ctr">
                  <w14:solidFill>
                    <w14:srgbClr w14:val="000000"/>
                  </w14:solidFill>
                  <w14:prstDash w14:val="solid"/>
                  <w14:bevel/>
                </w14:textOutline>
              </w:rPr>
              <w:t>求</w:t>
            </w:r>
          </w:p>
        </w:tc>
      </w:tr>
      <w:tr w14:paraId="6FC825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649" w:type="dxa"/>
            <w:vMerge w:val="restart"/>
            <w:tcBorders>
              <w:left w:val="nil"/>
              <w:bottom w:val="nil"/>
            </w:tcBorders>
          </w:tcPr>
          <w:p w14:paraId="02C884C5">
            <w:pPr>
              <w:spacing w:line="255" w:lineRule="auto"/>
            </w:pPr>
          </w:p>
          <w:p w14:paraId="619A2386">
            <w:pPr>
              <w:spacing w:line="256" w:lineRule="auto"/>
            </w:pPr>
          </w:p>
          <w:p w14:paraId="7151C118">
            <w:pPr>
              <w:spacing w:line="256" w:lineRule="auto"/>
            </w:pPr>
          </w:p>
          <w:p w14:paraId="68699866">
            <w:pPr>
              <w:spacing w:line="256" w:lineRule="auto"/>
            </w:pPr>
          </w:p>
          <w:p w14:paraId="36086370">
            <w:pPr>
              <w:spacing w:before="65" w:line="228" w:lineRule="auto"/>
              <w:ind w:left="122"/>
              <w:rPr>
                <w:rFonts w:ascii="宋体" w:hAnsi="宋体" w:eastAsia="宋体" w:cs="宋体"/>
                <w:sz w:val="20"/>
                <w:szCs w:val="20"/>
              </w:rPr>
            </w:pPr>
            <w:r>
              <w:rPr>
                <w:rFonts w:ascii="宋体" w:hAnsi="宋体" w:eastAsia="宋体" w:cs="宋体"/>
                <w:spacing w:val="5"/>
                <w:sz w:val="20"/>
                <w:szCs w:val="20"/>
              </w:rPr>
              <w:t>废气</w:t>
            </w:r>
          </w:p>
        </w:tc>
        <w:tc>
          <w:tcPr>
            <w:tcW w:w="1301" w:type="dxa"/>
          </w:tcPr>
          <w:p w14:paraId="7ADB861E">
            <w:pPr>
              <w:spacing w:line="371" w:lineRule="auto"/>
            </w:pPr>
          </w:p>
          <w:p w14:paraId="52B52336">
            <w:pPr>
              <w:spacing w:before="65" w:line="228" w:lineRule="auto"/>
              <w:ind w:left="446"/>
              <w:rPr>
                <w:rFonts w:ascii="宋体" w:hAnsi="宋体" w:eastAsia="宋体" w:cs="宋体"/>
                <w:sz w:val="20"/>
                <w:szCs w:val="20"/>
              </w:rPr>
            </w:pPr>
            <w:r>
              <w:rPr>
                <w:rFonts w:ascii="宋体" w:hAnsi="宋体" w:eastAsia="宋体" w:cs="宋体"/>
                <w:spacing w:val="4"/>
                <w:sz w:val="20"/>
                <w:szCs w:val="20"/>
              </w:rPr>
              <w:t>恶臭</w:t>
            </w:r>
          </w:p>
        </w:tc>
        <w:tc>
          <w:tcPr>
            <w:tcW w:w="4129" w:type="dxa"/>
          </w:tcPr>
          <w:p w14:paraId="0A14A144">
            <w:pPr>
              <w:spacing w:before="31" w:line="251" w:lineRule="auto"/>
              <w:ind w:left="113" w:right="79"/>
              <w:rPr>
                <w:rFonts w:ascii="宋体" w:hAnsi="宋体" w:eastAsia="宋体" w:cs="宋体"/>
                <w:sz w:val="20"/>
                <w:szCs w:val="20"/>
              </w:rPr>
            </w:pPr>
            <w:r>
              <w:rPr>
                <w:rFonts w:ascii="宋体" w:hAnsi="宋体" w:eastAsia="宋体" w:cs="宋体"/>
                <w:spacing w:val="10"/>
                <w:sz w:val="20"/>
                <w:szCs w:val="20"/>
              </w:rPr>
              <w:t>科</w:t>
            </w:r>
            <w:r>
              <w:rPr>
                <w:rFonts w:ascii="宋体" w:hAnsi="宋体" w:eastAsia="宋体" w:cs="宋体"/>
                <w:spacing w:val="6"/>
                <w:sz w:val="20"/>
                <w:szCs w:val="20"/>
              </w:rPr>
              <w:t>学</w:t>
            </w:r>
            <w:r>
              <w:rPr>
                <w:rFonts w:ascii="宋体" w:hAnsi="宋体" w:eastAsia="宋体" w:cs="宋体"/>
                <w:spacing w:val="5"/>
                <w:sz w:val="20"/>
                <w:szCs w:val="20"/>
              </w:rPr>
              <w:t>设计日粮，提高饲料利用率，合理使用</w:t>
            </w:r>
            <w:r>
              <w:rPr>
                <w:rFonts w:ascii="宋体" w:hAnsi="宋体" w:eastAsia="宋体" w:cs="宋体"/>
                <w:sz w:val="20"/>
                <w:szCs w:val="20"/>
              </w:rPr>
              <w:t xml:space="preserve"> </w:t>
            </w:r>
            <w:r>
              <w:rPr>
                <w:rFonts w:ascii="宋体" w:hAnsi="宋体" w:eastAsia="宋体" w:cs="宋体"/>
                <w:spacing w:val="10"/>
                <w:sz w:val="20"/>
                <w:szCs w:val="20"/>
              </w:rPr>
              <w:t>饲</w:t>
            </w:r>
            <w:r>
              <w:rPr>
                <w:rFonts w:ascii="宋体" w:hAnsi="宋体" w:eastAsia="宋体" w:cs="宋体"/>
                <w:spacing w:val="7"/>
                <w:sz w:val="20"/>
                <w:szCs w:val="20"/>
              </w:rPr>
              <w:t>料</w:t>
            </w:r>
            <w:r>
              <w:rPr>
                <w:rFonts w:ascii="宋体" w:hAnsi="宋体" w:eastAsia="宋体" w:cs="宋体"/>
                <w:spacing w:val="5"/>
                <w:sz w:val="20"/>
                <w:szCs w:val="20"/>
              </w:rPr>
              <w:t>添加剂，加强猪舍通风，定期对排尿沟</w:t>
            </w:r>
            <w:r>
              <w:rPr>
                <w:rFonts w:ascii="宋体" w:hAnsi="宋体" w:eastAsia="宋体" w:cs="宋体"/>
                <w:sz w:val="20"/>
                <w:szCs w:val="20"/>
              </w:rPr>
              <w:t xml:space="preserve"> </w:t>
            </w:r>
            <w:r>
              <w:rPr>
                <w:rFonts w:ascii="宋体" w:hAnsi="宋体" w:eastAsia="宋体" w:cs="宋体"/>
                <w:spacing w:val="7"/>
                <w:sz w:val="20"/>
                <w:szCs w:val="20"/>
              </w:rPr>
              <w:t>等处设专人消毒，定期进行杀虫灭蝇工作</w:t>
            </w:r>
            <w:r>
              <w:rPr>
                <w:rFonts w:ascii="宋体" w:hAnsi="宋体" w:eastAsia="宋体" w:cs="宋体"/>
                <w:spacing w:val="4"/>
                <w:sz w:val="20"/>
                <w:szCs w:val="20"/>
              </w:rPr>
              <w:t>，</w:t>
            </w:r>
          </w:p>
          <w:p w14:paraId="547B6E97">
            <w:pPr>
              <w:spacing w:line="226" w:lineRule="auto"/>
              <w:ind w:left="493"/>
              <w:rPr>
                <w:rFonts w:ascii="宋体" w:hAnsi="宋体" w:eastAsia="宋体" w:cs="宋体"/>
                <w:sz w:val="20"/>
                <w:szCs w:val="20"/>
              </w:rPr>
            </w:pPr>
            <w:r>
              <w:rPr>
                <w:rFonts w:ascii="宋体" w:hAnsi="宋体" w:eastAsia="宋体" w:cs="宋体"/>
                <w:spacing w:val="14"/>
                <w:sz w:val="20"/>
                <w:szCs w:val="20"/>
              </w:rPr>
              <w:t>加</w:t>
            </w:r>
            <w:r>
              <w:rPr>
                <w:rFonts w:ascii="宋体" w:hAnsi="宋体" w:eastAsia="宋体" w:cs="宋体"/>
                <w:spacing w:val="9"/>
                <w:sz w:val="20"/>
                <w:szCs w:val="20"/>
              </w:rPr>
              <w:t>强场区绿化、设置卫生防护距离</w:t>
            </w:r>
          </w:p>
        </w:tc>
        <w:tc>
          <w:tcPr>
            <w:tcW w:w="3703" w:type="dxa"/>
            <w:tcBorders>
              <w:right w:val="nil"/>
            </w:tcBorders>
          </w:tcPr>
          <w:p w14:paraId="1E4E7C3C">
            <w:pPr>
              <w:spacing w:before="166" w:line="251" w:lineRule="auto"/>
              <w:ind w:left="154" w:right="110" w:firstLine="167"/>
              <w:rPr>
                <w:rFonts w:ascii="宋体" w:hAnsi="宋体" w:eastAsia="宋体" w:cs="宋体"/>
                <w:sz w:val="20"/>
                <w:szCs w:val="20"/>
              </w:rPr>
            </w:pPr>
            <w:r>
              <w:rPr>
                <w:rFonts w:ascii="宋体" w:hAnsi="宋体" w:eastAsia="宋体" w:cs="宋体"/>
                <w:spacing w:val="8"/>
                <w:sz w:val="20"/>
                <w:szCs w:val="20"/>
              </w:rPr>
              <w:t>场</w:t>
            </w:r>
            <w:r>
              <w:rPr>
                <w:rFonts w:ascii="宋体" w:hAnsi="宋体" w:eastAsia="宋体" w:cs="宋体"/>
                <w:spacing w:val="4"/>
                <w:sz w:val="20"/>
                <w:szCs w:val="20"/>
              </w:rPr>
              <w:t>界臭气浓度执行《畜禽养殖业污染</w:t>
            </w:r>
            <w:r>
              <w:rPr>
                <w:rFonts w:ascii="宋体" w:hAnsi="宋体" w:eastAsia="宋体" w:cs="宋体"/>
                <w:sz w:val="20"/>
                <w:szCs w:val="20"/>
              </w:rPr>
              <w:t xml:space="preserve"> </w:t>
            </w:r>
            <w:r>
              <w:rPr>
                <w:rFonts w:ascii="宋体" w:hAnsi="宋体" w:eastAsia="宋体" w:cs="宋体"/>
                <w:spacing w:val="4"/>
                <w:sz w:val="20"/>
                <w:szCs w:val="20"/>
              </w:rPr>
              <w:t>物排放</w:t>
            </w:r>
            <w:r>
              <w:rPr>
                <w:rFonts w:ascii="宋体" w:hAnsi="宋体" w:eastAsia="宋体" w:cs="宋体"/>
                <w:spacing w:val="3"/>
                <w:sz w:val="20"/>
                <w:szCs w:val="20"/>
              </w:rPr>
              <w:t>标</w:t>
            </w:r>
            <w:r>
              <w:rPr>
                <w:rFonts w:ascii="宋体" w:hAnsi="宋体" w:eastAsia="宋体" w:cs="宋体"/>
                <w:spacing w:val="2"/>
                <w:sz w:val="20"/>
                <w:szCs w:val="20"/>
              </w:rPr>
              <w:t>准》  (</w:t>
            </w:r>
            <w:r>
              <w:rPr>
                <w:rFonts w:ascii="Times New Roman" w:hAnsi="Times New Roman" w:eastAsia="Times New Roman" w:cs="Times New Roman"/>
                <w:sz w:val="20"/>
                <w:szCs w:val="20"/>
              </w:rPr>
              <w:t>GB</w:t>
            </w:r>
            <w:r>
              <w:rPr>
                <w:rFonts w:ascii="Times New Roman" w:hAnsi="Times New Roman" w:eastAsia="Times New Roman" w:cs="Times New Roman"/>
                <w:spacing w:val="2"/>
                <w:sz w:val="20"/>
                <w:szCs w:val="20"/>
              </w:rPr>
              <w:t>18596-2001</w:t>
            </w:r>
            <w:r>
              <w:rPr>
                <w:rFonts w:ascii="宋体" w:hAnsi="宋体" w:eastAsia="宋体" w:cs="宋体"/>
                <w:spacing w:val="2"/>
                <w:sz w:val="20"/>
                <w:szCs w:val="20"/>
              </w:rPr>
              <w:t>) 相关</w:t>
            </w:r>
          </w:p>
          <w:p w14:paraId="4400DA6B">
            <w:pPr>
              <w:spacing w:line="227" w:lineRule="auto"/>
              <w:ind w:left="601"/>
              <w:rPr>
                <w:rFonts w:ascii="宋体" w:hAnsi="宋体" w:eastAsia="宋体" w:cs="宋体"/>
                <w:sz w:val="20"/>
                <w:szCs w:val="20"/>
              </w:rPr>
            </w:pPr>
            <w:r>
              <w:rPr>
                <w:rFonts w:ascii="宋体" w:hAnsi="宋体" w:eastAsia="宋体" w:cs="宋体"/>
                <w:spacing w:val="16"/>
                <w:sz w:val="20"/>
                <w:szCs w:val="20"/>
              </w:rPr>
              <w:t>管</w:t>
            </w:r>
            <w:r>
              <w:rPr>
                <w:rFonts w:ascii="宋体" w:hAnsi="宋体" w:eastAsia="宋体" w:cs="宋体"/>
                <w:spacing w:val="8"/>
                <w:sz w:val="20"/>
                <w:szCs w:val="20"/>
              </w:rPr>
              <w:t>控限值；硫化氢、氨执行</w:t>
            </w:r>
          </w:p>
        </w:tc>
      </w:tr>
      <w:tr w14:paraId="36216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649" w:type="dxa"/>
            <w:vMerge w:val="continue"/>
            <w:tcBorders>
              <w:top w:val="nil"/>
              <w:left w:val="nil"/>
            </w:tcBorders>
          </w:tcPr>
          <w:p w14:paraId="6C5EBE4D"/>
        </w:tc>
        <w:tc>
          <w:tcPr>
            <w:tcW w:w="1301" w:type="dxa"/>
          </w:tcPr>
          <w:p w14:paraId="09B77CFF">
            <w:pPr>
              <w:spacing w:before="304" w:line="228" w:lineRule="auto"/>
              <w:ind w:left="234"/>
              <w:rPr>
                <w:rFonts w:ascii="宋体" w:hAnsi="宋体" w:eastAsia="宋体" w:cs="宋体"/>
                <w:sz w:val="20"/>
                <w:szCs w:val="20"/>
              </w:rPr>
            </w:pPr>
            <w:r>
              <w:rPr>
                <w:rFonts w:ascii="宋体" w:hAnsi="宋体" w:eastAsia="宋体" w:cs="宋体"/>
                <w:spacing w:val="8"/>
                <w:sz w:val="20"/>
                <w:szCs w:val="20"/>
              </w:rPr>
              <w:t>食</w:t>
            </w:r>
            <w:r>
              <w:rPr>
                <w:rFonts w:ascii="宋体" w:hAnsi="宋体" w:eastAsia="宋体" w:cs="宋体"/>
                <w:spacing w:val="7"/>
                <w:sz w:val="20"/>
                <w:szCs w:val="20"/>
              </w:rPr>
              <w:t>堂油烟</w:t>
            </w:r>
          </w:p>
        </w:tc>
        <w:tc>
          <w:tcPr>
            <w:tcW w:w="4129" w:type="dxa"/>
          </w:tcPr>
          <w:p w14:paraId="5F430133">
            <w:pPr>
              <w:spacing w:before="266" w:line="281" w:lineRule="exact"/>
              <w:ind w:left="603"/>
              <w:rPr>
                <w:rFonts w:ascii="宋体" w:hAnsi="宋体" w:eastAsia="宋体" w:cs="宋体"/>
                <w:sz w:val="20"/>
                <w:szCs w:val="20"/>
              </w:rPr>
            </w:pPr>
            <w:r>
              <w:rPr>
                <w:rFonts w:ascii="Times New Roman" w:hAnsi="Times New Roman" w:eastAsia="Times New Roman" w:cs="Times New Roman"/>
                <w:spacing w:val="6"/>
                <w:position w:val="1"/>
                <w:sz w:val="20"/>
                <w:szCs w:val="20"/>
              </w:rPr>
              <w:t xml:space="preserve">1 </w:t>
            </w:r>
            <w:r>
              <w:rPr>
                <w:rFonts w:ascii="宋体" w:hAnsi="宋体" w:eastAsia="宋体" w:cs="宋体"/>
                <w:spacing w:val="5"/>
                <w:position w:val="1"/>
                <w:sz w:val="20"/>
                <w:szCs w:val="20"/>
              </w:rPr>
              <w:t>台</w:t>
            </w:r>
            <w:r>
              <w:rPr>
                <w:rFonts w:ascii="宋体" w:hAnsi="宋体" w:eastAsia="宋体" w:cs="宋体"/>
                <w:spacing w:val="3"/>
                <w:position w:val="1"/>
                <w:sz w:val="20"/>
                <w:szCs w:val="20"/>
              </w:rPr>
              <w:t xml:space="preserve">风量约 </w:t>
            </w:r>
            <w:r>
              <w:rPr>
                <w:rFonts w:ascii="Times New Roman" w:hAnsi="Times New Roman" w:eastAsia="Times New Roman" w:cs="Times New Roman"/>
                <w:spacing w:val="3"/>
                <w:position w:val="1"/>
                <w:sz w:val="20"/>
                <w:szCs w:val="20"/>
              </w:rPr>
              <w:t>2000</w:t>
            </w:r>
            <w:r>
              <w:rPr>
                <w:rFonts w:ascii="Times New Roman" w:hAnsi="Times New Roman" w:eastAsia="Times New Roman" w:cs="Times New Roman"/>
                <w:position w:val="1"/>
                <w:sz w:val="20"/>
                <w:szCs w:val="20"/>
              </w:rPr>
              <w:t>m</w:t>
            </w:r>
            <w:r>
              <w:rPr>
                <w:rFonts w:ascii="Times New Roman" w:hAnsi="Times New Roman" w:eastAsia="Times New Roman" w:cs="Times New Roman"/>
                <w:spacing w:val="3"/>
                <w:position w:val="7"/>
                <w:sz w:val="13"/>
                <w:szCs w:val="13"/>
              </w:rPr>
              <w:t>3</w:t>
            </w:r>
            <w:r>
              <w:rPr>
                <w:rFonts w:ascii="Times New Roman" w:hAnsi="Times New Roman" w:eastAsia="Times New Roman" w:cs="Times New Roman"/>
                <w:spacing w:val="3"/>
                <w:position w:val="1"/>
                <w:sz w:val="20"/>
                <w:szCs w:val="20"/>
              </w:rPr>
              <w:t>/</w:t>
            </w:r>
            <w:r>
              <w:rPr>
                <w:rFonts w:ascii="Times New Roman" w:hAnsi="Times New Roman" w:eastAsia="Times New Roman" w:cs="Times New Roman"/>
                <w:position w:val="1"/>
                <w:sz w:val="20"/>
                <w:szCs w:val="20"/>
              </w:rPr>
              <w:t>h</w:t>
            </w:r>
            <w:r>
              <w:rPr>
                <w:rFonts w:ascii="Times New Roman" w:hAnsi="Times New Roman" w:eastAsia="Times New Roman" w:cs="Times New Roman"/>
                <w:spacing w:val="3"/>
                <w:position w:val="1"/>
                <w:sz w:val="20"/>
                <w:szCs w:val="20"/>
              </w:rPr>
              <w:t xml:space="preserve"> </w:t>
            </w:r>
            <w:r>
              <w:rPr>
                <w:rFonts w:ascii="宋体" w:hAnsi="宋体" w:eastAsia="宋体" w:cs="宋体"/>
                <w:spacing w:val="3"/>
                <w:position w:val="1"/>
                <w:sz w:val="20"/>
                <w:szCs w:val="20"/>
              </w:rPr>
              <w:t>油烟净化器</w:t>
            </w:r>
          </w:p>
        </w:tc>
        <w:tc>
          <w:tcPr>
            <w:tcW w:w="3703" w:type="dxa"/>
            <w:tcBorders>
              <w:right w:val="nil"/>
            </w:tcBorders>
          </w:tcPr>
          <w:p w14:paraId="2891F512">
            <w:pPr>
              <w:spacing w:before="32" w:line="228" w:lineRule="auto"/>
              <w:ind w:left="177"/>
              <w:rPr>
                <w:rFonts w:ascii="宋体" w:hAnsi="宋体" w:eastAsia="宋体" w:cs="宋体"/>
                <w:sz w:val="20"/>
                <w:szCs w:val="20"/>
              </w:rPr>
            </w:pPr>
            <w:r>
              <w:rPr>
                <w:rFonts w:ascii="宋体" w:hAnsi="宋体" w:eastAsia="宋体" w:cs="宋体"/>
                <w:spacing w:val="16"/>
                <w:sz w:val="20"/>
                <w:szCs w:val="20"/>
              </w:rPr>
              <w:t>参</w:t>
            </w:r>
            <w:r>
              <w:rPr>
                <w:rFonts w:ascii="宋体" w:hAnsi="宋体" w:eastAsia="宋体" w:cs="宋体"/>
                <w:spacing w:val="11"/>
                <w:sz w:val="20"/>
                <w:szCs w:val="20"/>
              </w:rPr>
              <w:t>照</w:t>
            </w:r>
            <w:r>
              <w:rPr>
                <w:rFonts w:ascii="宋体" w:hAnsi="宋体" w:eastAsia="宋体" w:cs="宋体"/>
                <w:spacing w:val="8"/>
                <w:sz w:val="20"/>
                <w:szCs w:val="20"/>
              </w:rPr>
              <w:t>执行《饮食业油烟排放标准 (试</w:t>
            </w:r>
          </w:p>
          <w:p w14:paraId="02736A77">
            <w:pPr>
              <w:spacing w:before="24" w:line="228" w:lineRule="auto"/>
              <w:ind w:left="157"/>
              <w:rPr>
                <w:rFonts w:ascii="宋体" w:hAnsi="宋体" w:eastAsia="宋体" w:cs="宋体"/>
                <w:sz w:val="20"/>
                <w:szCs w:val="20"/>
              </w:rPr>
            </w:pPr>
            <w:r>
              <w:rPr>
                <w:rFonts w:ascii="宋体" w:hAnsi="宋体" w:eastAsia="宋体" w:cs="宋体"/>
                <w:spacing w:val="2"/>
                <w:sz w:val="20"/>
                <w:szCs w:val="20"/>
              </w:rPr>
              <w:t>行) 》  (</w:t>
            </w:r>
            <w:r>
              <w:rPr>
                <w:rFonts w:ascii="Times New Roman" w:hAnsi="Times New Roman" w:eastAsia="Times New Roman" w:cs="Times New Roman"/>
                <w:sz w:val="20"/>
                <w:szCs w:val="20"/>
              </w:rPr>
              <w:t>GB</w:t>
            </w:r>
            <w:r>
              <w:rPr>
                <w:rFonts w:ascii="Times New Roman" w:hAnsi="Times New Roman" w:eastAsia="Times New Roman" w:cs="Times New Roman"/>
                <w:spacing w:val="2"/>
                <w:sz w:val="20"/>
                <w:szCs w:val="20"/>
              </w:rPr>
              <w:t>18483-2001</w:t>
            </w:r>
            <w:r>
              <w:rPr>
                <w:rFonts w:ascii="宋体" w:hAnsi="宋体" w:eastAsia="宋体" w:cs="宋体"/>
                <w:spacing w:val="2"/>
                <w:sz w:val="20"/>
                <w:szCs w:val="20"/>
              </w:rPr>
              <w:t>) 相关排放</w:t>
            </w:r>
            <w:r>
              <w:rPr>
                <w:rFonts w:ascii="宋体" w:hAnsi="宋体" w:eastAsia="宋体" w:cs="宋体"/>
                <w:spacing w:val="1"/>
                <w:sz w:val="20"/>
                <w:szCs w:val="20"/>
              </w:rPr>
              <w:t>限</w:t>
            </w:r>
          </w:p>
          <w:p w14:paraId="20C8102E">
            <w:pPr>
              <w:spacing w:before="26" w:line="226" w:lineRule="auto"/>
              <w:ind w:left="1541"/>
              <w:rPr>
                <w:rFonts w:ascii="宋体" w:hAnsi="宋体" w:eastAsia="宋体" w:cs="宋体"/>
                <w:sz w:val="20"/>
                <w:szCs w:val="20"/>
              </w:rPr>
            </w:pPr>
            <w:r>
              <w:rPr>
                <w:rFonts w:ascii="宋体" w:hAnsi="宋体" w:eastAsia="宋体" w:cs="宋体"/>
                <w:spacing w:val="7"/>
                <w:sz w:val="20"/>
                <w:szCs w:val="20"/>
              </w:rPr>
              <w:t>值要</w:t>
            </w:r>
            <w:r>
              <w:rPr>
                <w:rFonts w:ascii="宋体" w:hAnsi="宋体" w:eastAsia="宋体" w:cs="宋体"/>
                <w:spacing w:val="6"/>
                <w:sz w:val="20"/>
                <w:szCs w:val="20"/>
              </w:rPr>
              <w:t>求</w:t>
            </w:r>
          </w:p>
        </w:tc>
      </w:tr>
      <w:tr w14:paraId="1DB50B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649" w:type="dxa"/>
            <w:vMerge w:val="restart"/>
            <w:tcBorders>
              <w:left w:val="nil"/>
              <w:bottom w:val="nil"/>
            </w:tcBorders>
          </w:tcPr>
          <w:p w14:paraId="3AEBDF02">
            <w:pPr>
              <w:spacing w:line="268" w:lineRule="auto"/>
            </w:pPr>
          </w:p>
          <w:p w14:paraId="05D7303D">
            <w:pPr>
              <w:spacing w:line="268" w:lineRule="auto"/>
            </w:pPr>
          </w:p>
          <w:p w14:paraId="2B6245D7">
            <w:pPr>
              <w:spacing w:line="268" w:lineRule="auto"/>
            </w:pPr>
          </w:p>
          <w:p w14:paraId="741E0CFD">
            <w:pPr>
              <w:spacing w:line="268" w:lineRule="auto"/>
            </w:pPr>
          </w:p>
          <w:p w14:paraId="3FE5357B">
            <w:pPr>
              <w:spacing w:line="268" w:lineRule="auto"/>
            </w:pPr>
          </w:p>
          <w:p w14:paraId="574174FE">
            <w:pPr>
              <w:spacing w:line="268" w:lineRule="auto"/>
            </w:pPr>
          </w:p>
          <w:p w14:paraId="05320ECA">
            <w:pPr>
              <w:spacing w:line="268" w:lineRule="auto"/>
            </w:pPr>
          </w:p>
          <w:p w14:paraId="6C6E1F0A">
            <w:pPr>
              <w:spacing w:before="65" w:line="228" w:lineRule="auto"/>
              <w:ind w:left="122"/>
              <w:rPr>
                <w:rFonts w:ascii="宋体" w:hAnsi="宋体" w:eastAsia="宋体" w:cs="宋体"/>
                <w:sz w:val="20"/>
                <w:szCs w:val="20"/>
              </w:rPr>
            </w:pPr>
            <w:r>
              <w:rPr>
                <w:rFonts w:ascii="宋体" w:hAnsi="宋体" w:eastAsia="宋体" w:cs="宋体"/>
                <w:spacing w:val="5"/>
                <w:sz w:val="20"/>
                <w:szCs w:val="20"/>
              </w:rPr>
              <w:t>废水</w:t>
            </w:r>
          </w:p>
        </w:tc>
        <w:tc>
          <w:tcPr>
            <w:tcW w:w="1301" w:type="dxa"/>
          </w:tcPr>
          <w:p w14:paraId="57A9C3A9">
            <w:pPr>
              <w:spacing w:before="167" w:line="267" w:lineRule="auto"/>
              <w:ind w:left="236" w:right="158" w:hanging="103"/>
              <w:rPr>
                <w:rFonts w:ascii="宋体" w:hAnsi="宋体" w:eastAsia="宋体" w:cs="宋体"/>
                <w:sz w:val="20"/>
                <w:szCs w:val="20"/>
              </w:rPr>
            </w:pPr>
            <w:r>
              <w:rPr>
                <w:rFonts w:ascii="宋体" w:hAnsi="宋体" w:eastAsia="宋体" w:cs="宋体"/>
                <w:spacing w:val="1"/>
                <w:sz w:val="20"/>
                <w:szCs w:val="20"/>
              </w:rPr>
              <w:t>生活污水</w:t>
            </w:r>
            <w:r>
              <w:rPr>
                <w:rFonts w:ascii="宋体" w:hAnsi="宋体" w:eastAsia="宋体" w:cs="宋体"/>
                <w:sz w:val="20"/>
                <w:szCs w:val="20"/>
              </w:rPr>
              <w:t xml:space="preserve">、 </w:t>
            </w:r>
            <w:r>
              <w:rPr>
                <w:rFonts w:ascii="宋体" w:hAnsi="宋体" w:eastAsia="宋体" w:cs="宋体"/>
                <w:spacing w:val="7"/>
                <w:sz w:val="20"/>
                <w:szCs w:val="20"/>
              </w:rPr>
              <w:t>餐饮废</w:t>
            </w:r>
            <w:r>
              <w:rPr>
                <w:rFonts w:ascii="宋体" w:hAnsi="宋体" w:eastAsia="宋体" w:cs="宋体"/>
                <w:spacing w:val="6"/>
                <w:sz w:val="20"/>
                <w:szCs w:val="20"/>
              </w:rPr>
              <w:t>水</w:t>
            </w:r>
          </w:p>
        </w:tc>
        <w:tc>
          <w:tcPr>
            <w:tcW w:w="4129" w:type="dxa"/>
          </w:tcPr>
          <w:p w14:paraId="26C3FC25">
            <w:pPr>
              <w:spacing w:before="33" w:line="228" w:lineRule="auto"/>
              <w:ind w:left="182"/>
              <w:rPr>
                <w:rFonts w:ascii="宋体" w:hAnsi="宋体" w:eastAsia="宋体" w:cs="宋体"/>
                <w:sz w:val="20"/>
                <w:szCs w:val="20"/>
              </w:rPr>
            </w:pPr>
            <w:r>
              <w:rPr>
                <w:rFonts w:ascii="宋体" w:hAnsi="宋体" w:eastAsia="宋体" w:cs="宋体"/>
                <w:spacing w:val="13"/>
                <w:sz w:val="20"/>
                <w:szCs w:val="20"/>
              </w:rPr>
              <w:t>项</w:t>
            </w:r>
            <w:r>
              <w:rPr>
                <w:rFonts w:ascii="宋体" w:hAnsi="宋体" w:eastAsia="宋体" w:cs="宋体"/>
                <w:spacing w:val="9"/>
                <w:sz w:val="20"/>
                <w:szCs w:val="20"/>
              </w:rPr>
              <w:t>目营运期员工餐饮废水经隔油池处理后</w:t>
            </w:r>
          </w:p>
          <w:p w14:paraId="47ACD170">
            <w:pPr>
              <w:spacing w:before="24" w:line="228" w:lineRule="auto"/>
              <w:ind w:left="135"/>
              <w:rPr>
                <w:rFonts w:ascii="宋体" w:hAnsi="宋体" w:eastAsia="宋体" w:cs="宋体"/>
                <w:sz w:val="20"/>
                <w:szCs w:val="20"/>
              </w:rPr>
            </w:pPr>
            <w:r>
              <w:rPr>
                <w:rFonts w:ascii="宋体" w:hAnsi="宋体" w:eastAsia="宋体" w:cs="宋体"/>
                <w:spacing w:val="8"/>
                <w:sz w:val="20"/>
                <w:szCs w:val="20"/>
              </w:rPr>
              <w:t>同</w:t>
            </w:r>
            <w:r>
              <w:rPr>
                <w:rFonts w:ascii="宋体" w:hAnsi="宋体" w:eastAsia="宋体" w:cs="宋体"/>
                <w:spacing w:val="5"/>
                <w:sz w:val="20"/>
                <w:szCs w:val="20"/>
              </w:rPr>
              <w:t>生</w:t>
            </w:r>
            <w:r>
              <w:rPr>
                <w:rFonts w:ascii="宋体" w:hAnsi="宋体" w:eastAsia="宋体" w:cs="宋体"/>
                <w:spacing w:val="4"/>
                <w:sz w:val="20"/>
                <w:szCs w:val="20"/>
              </w:rPr>
              <w:t>活污水一起排入生活污水化粪池，收集</w:t>
            </w:r>
          </w:p>
          <w:p w14:paraId="4BEB7FCB">
            <w:pPr>
              <w:spacing w:before="24" w:line="227" w:lineRule="auto"/>
              <w:ind w:left="706"/>
              <w:rPr>
                <w:rFonts w:ascii="宋体" w:hAnsi="宋体" w:eastAsia="宋体" w:cs="宋体"/>
                <w:sz w:val="20"/>
                <w:szCs w:val="20"/>
              </w:rPr>
            </w:pPr>
            <w:r>
              <w:rPr>
                <w:rFonts w:ascii="宋体" w:hAnsi="宋体" w:eastAsia="宋体" w:cs="宋体"/>
                <w:spacing w:val="11"/>
                <w:sz w:val="20"/>
                <w:szCs w:val="20"/>
              </w:rPr>
              <w:t>后</w:t>
            </w:r>
            <w:r>
              <w:rPr>
                <w:rFonts w:ascii="宋体" w:hAnsi="宋体" w:eastAsia="宋体" w:cs="宋体"/>
                <w:spacing w:val="9"/>
                <w:sz w:val="20"/>
                <w:szCs w:val="20"/>
              </w:rPr>
              <w:t>用作建设单位自己林地灌溉</w:t>
            </w:r>
          </w:p>
        </w:tc>
        <w:tc>
          <w:tcPr>
            <w:tcW w:w="3703" w:type="dxa"/>
            <w:tcBorders>
              <w:right w:val="nil"/>
            </w:tcBorders>
          </w:tcPr>
          <w:p w14:paraId="24925AE0">
            <w:pPr>
              <w:spacing w:before="304" w:line="228" w:lineRule="auto"/>
              <w:ind w:left="1177"/>
              <w:rPr>
                <w:rFonts w:ascii="宋体" w:hAnsi="宋体" w:eastAsia="宋体" w:cs="宋体"/>
                <w:sz w:val="20"/>
                <w:szCs w:val="20"/>
              </w:rPr>
            </w:pPr>
            <w:r>
              <w:rPr>
                <w:rFonts w:ascii="宋体" w:hAnsi="宋体" w:eastAsia="宋体" w:cs="宋体"/>
                <w:spacing w:val="10"/>
                <w:sz w:val="20"/>
                <w:szCs w:val="20"/>
              </w:rPr>
              <w:t>是</w:t>
            </w:r>
            <w:r>
              <w:rPr>
                <w:rFonts w:ascii="宋体" w:hAnsi="宋体" w:eastAsia="宋体" w:cs="宋体"/>
                <w:spacing w:val="8"/>
                <w:sz w:val="20"/>
                <w:szCs w:val="20"/>
              </w:rPr>
              <w:t>否按照要求进行</w:t>
            </w:r>
          </w:p>
        </w:tc>
      </w:tr>
      <w:tr w14:paraId="2AABA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49" w:type="dxa"/>
            <w:vMerge w:val="continue"/>
            <w:tcBorders>
              <w:top w:val="nil"/>
              <w:left w:val="nil"/>
              <w:bottom w:val="nil"/>
            </w:tcBorders>
          </w:tcPr>
          <w:p w14:paraId="4593B6A8"/>
        </w:tc>
        <w:tc>
          <w:tcPr>
            <w:tcW w:w="1301" w:type="dxa"/>
          </w:tcPr>
          <w:p w14:paraId="4ED3216C">
            <w:pPr>
              <w:spacing w:line="304" w:lineRule="auto"/>
            </w:pPr>
          </w:p>
          <w:p w14:paraId="14B616A3">
            <w:pPr>
              <w:spacing w:line="304" w:lineRule="auto"/>
            </w:pPr>
          </w:p>
          <w:p w14:paraId="288F1BFF">
            <w:pPr>
              <w:spacing w:line="305" w:lineRule="auto"/>
            </w:pPr>
          </w:p>
          <w:p w14:paraId="1531C2A2">
            <w:pPr>
              <w:spacing w:before="65" w:line="228" w:lineRule="auto"/>
              <w:ind w:left="235"/>
              <w:rPr>
                <w:rFonts w:ascii="宋体" w:hAnsi="宋体" w:eastAsia="宋体" w:cs="宋体"/>
                <w:sz w:val="20"/>
                <w:szCs w:val="20"/>
              </w:rPr>
            </w:pPr>
            <w:r>
              <w:rPr>
                <w:rFonts w:ascii="宋体" w:hAnsi="宋体" w:eastAsia="宋体" w:cs="宋体"/>
                <w:spacing w:val="7"/>
                <w:sz w:val="20"/>
                <w:szCs w:val="20"/>
              </w:rPr>
              <w:t>养殖废水</w:t>
            </w:r>
          </w:p>
        </w:tc>
        <w:tc>
          <w:tcPr>
            <w:tcW w:w="4129" w:type="dxa"/>
          </w:tcPr>
          <w:p w14:paraId="31046EC9">
            <w:pPr>
              <w:spacing w:before="33" w:line="251" w:lineRule="auto"/>
              <w:ind w:left="114" w:right="104" w:firstLine="65"/>
              <w:rPr>
                <w:rFonts w:ascii="宋体" w:hAnsi="宋体" w:eastAsia="宋体" w:cs="宋体"/>
                <w:sz w:val="20"/>
                <w:szCs w:val="20"/>
              </w:rPr>
            </w:pPr>
            <w:r>
              <w:rPr>
                <w:rFonts w:ascii="宋体" w:hAnsi="宋体" w:eastAsia="宋体" w:cs="宋体"/>
                <w:spacing w:val="15"/>
                <w:sz w:val="20"/>
                <w:szCs w:val="20"/>
              </w:rPr>
              <w:t>养</w:t>
            </w:r>
            <w:r>
              <w:rPr>
                <w:rFonts w:ascii="宋体" w:hAnsi="宋体" w:eastAsia="宋体" w:cs="宋体"/>
                <w:spacing w:val="9"/>
                <w:sz w:val="20"/>
                <w:szCs w:val="20"/>
              </w:rPr>
              <w:t>殖废水目前拟每日运输至乐山乐高勤力</w:t>
            </w:r>
            <w:r>
              <w:rPr>
                <w:rFonts w:ascii="宋体" w:hAnsi="宋体" w:eastAsia="宋体" w:cs="宋体"/>
                <w:sz w:val="20"/>
                <w:szCs w:val="20"/>
              </w:rPr>
              <w:t xml:space="preserve"> </w:t>
            </w:r>
            <w:r>
              <w:rPr>
                <w:rFonts w:ascii="宋体" w:hAnsi="宋体" w:eastAsia="宋体" w:cs="宋体"/>
                <w:spacing w:val="10"/>
                <w:sz w:val="20"/>
                <w:szCs w:val="20"/>
              </w:rPr>
              <w:t>生</w:t>
            </w:r>
            <w:r>
              <w:rPr>
                <w:rFonts w:ascii="宋体" w:hAnsi="宋体" w:eastAsia="宋体" w:cs="宋体"/>
                <w:spacing w:val="6"/>
                <w:sz w:val="20"/>
                <w:szCs w:val="20"/>
              </w:rPr>
              <w:t>物</w:t>
            </w:r>
            <w:r>
              <w:rPr>
                <w:rFonts w:ascii="宋体" w:hAnsi="宋体" w:eastAsia="宋体" w:cs="宋体"/>
                <w:spacing w:val="5"/>
                <w:sz w:val="20"/>
                <w:szCs w:val="20"/>
              </w:rPr>
              <w:t>质能源综合利用有限公司集中处置，日</w:t>
            </w:r>
            <w:r>
              <w:rPr>
                <w:rFonts w:ascii="宋体" w:hAnsi="宋体" w:eastAsia="宋体" w:cs="宋体"/>
                <w:sz w:val="20"/>
                <w:szCs w:val="20"/>
              </w:rPr>
              <w:t xml:space="preserve"> </w:t>
            </w:r>
            <w:r>
              <w:rPr>
                <w:rFonts w:ascii="宋体" w:hAnsi="宋体" w:eastAsia="宋体" w:cs="宋体"/>
                <w:spacing w:val="-1"/>
                <w:sz w:val="20"/>
                <w:szCs w:val="20"/>
              </w:rPr>
              <w:t>产日清，同时，厂区还配套建设有一</w:t>
            </w:r>
            <w:r>
              <w:rPr>
                <w:rFonts w:ascii="宋体" w:hAnsi="宋体" w:eastAsia="宋体" w:cs="宋体"/>
                <w:sz w:val="20"/>
                <w:szCs w:val="20"/>
              </w:rPr>
              <w:t xml:space="preserve"> </w:t>
            </w:r>
            <w:r>
              <w:rPr>
                <w:rFonts w:ascii="Times New Roman" w:hAnsi="Times New Roman" w:eastAsia="Times New Roman" w:cs="Times New Roman"/>
                <w:sz w:val="20"/>
                <w:szCs w:val="20"/>
              </w:rPr>
              <w:t>1600m</w:t>
            </w:r>
            <w:r>
              <w:rPr>
                <w:rFonts w:ascii="Times New Roman" w:hAnsi="Times New Roman" w:eastAsia="Times New Roman" w:cs="Times New Roman"/>
                <w:position w:val="6"/>
                <w:sz w:val="13"/>
                <w:szCs w:val="13"/>
              </w:rPr>
              <w:t xml:space="preserve">2 </w:t>
            </w:r>
            <w:r>
              <w:rPr>
                <w:rFonts w:ascii="宋体" w:hAnsi="宋体" w:eastAsia="宋体" w:cs="宋体"/>
                <w:spacing w:val="10"/>
                <w:sz w:val="20"/>
                <w:szCs w:val="20"/>
              </w:rPr>
              <w:t>的</w:t>
            </w:r>
            <w:r>
              <w:rPr>
                <w:rFonts w:ascii="宋体" w:hAnsi="宋体" w:eastAsia="宋体" w:cs="宋体"/>
                <w:spacing w:val="6"/>
                <w:sz w:val="20"/>
                <w:szCs w:val="20"/>
              </w:rPr>
              <w:t>发</w:t>
            </w:r>
            <w:r>
              <w:rPr>
                <w:rFonts w:ascii="宋体" w:hAnsi="宋体" w:eastAsia="宋体" w:cs="宋体"/>
                <w:spacing w:val="5"/>
                <w:sz w:val="20"/>
                <w:szCs w:val="20"/>
              </w:rPr>
              <w:t>酵床备用，若后期乐山乐高勤力生物质</w:t>
            </w:r>
          </w:p>
          <w:p w14:paraId="121AD5C3">
            <w:pPr>
              <w:spacing w:before="1" w:line="239" w:lineRule="auto"/>
              <w:ind w:left="115" w:right="79" w:firstLine="72"/>
              <w:rPr>
                <w:rFonts w:ascii="宋体" w:hAnsi="宋体" w:eastAsia="宋体" w:cs="宋体"/>
                <w:sz w:val="20"/>
                <w:szCs w:val="20"/>
              </w:rPr>
            </w:pPr>
            <w:r>
              <w:rPr>
                <w:rFonts w:ascii="宋体" w:hAnsi="宋体" w:eastAsia="宋体" w:cs="宋体"/>
                <w:spacing w:val="9"/>
                <w:sz w:val="20"/>
                <w:szCs w:val="20"/>
              </w:rPr>
              <w:t>能源综合利用有限公司不再回收厂区内</w:t>
            </w:r>
            <w:r>
              <w:rPr>
                <w:rFonts w:ascii="宋体" w:hAnsi="宋体" w:eastAsia="宋体" w:cs="宋体"/>
                <w:spacing w:val="8"/>
                <w:sz w:val="20"/>
                <w:szCs w:val="20"/>
              </w:rPr>
              <w:t>的</w:t>
            </w:r>
            <w:r>
              <w:rPr>
                <w:rFonts w:ascii="宋体" w:hAnsi="宋体" w:eastAsia="宋体" w:cs="宋体"/>
                <w:sz w:val="20"/>
                <w:szCs w:val="20"/>
              </w:rPr>
              <w:t xml:space="preserve"> </w:t>
            </w:r>
            <w:r>
              <w:rPr>
                <w:rFonts w:ascii="宋体" w:hAnsi="宋体" w:eastAsia="宋体" w:cs="宋体"/>
                <w:spacing w:val="12"/>
                <w:sz w:val="20"/>
                <w:szCs w:val="20"/>
              </w:rPr>
              <w:t>养殖</w:t>
            </w:r>
            <w:r>
              <w:rPr>
                <w:rFonts w:ascii="宋体" w:hAnsi="宋体" w:eastAsia="宋体" w:cs="宋体"/>
                <w:spacing w:val="8"/>
                <w:sz w:val="20"/>
                <w:szCs w:val="20"/>
              </w:rPr>
              <w:t>废</w:t>
            </w:r>
            <w:r>
              <w:rPr>
                <w:rFonts w:ascii="宋体" w:hAnsi="宋体" w:eastAsia="宋体" w:cs="宋体"/>
                <w:spacing w:val="6"/>
                <w:sz w:val="20"/>
                <w:szCs w:val="20"/>
              </w:rPr>
              <w:t>水，可将通过异位发酵床自行处置，</w:t>
            </w:r>
            <w:r>
              <w:rPr>
                <w:rFonts w:ascii="宋体" w:hAnsi="宋体" w:eastAsia="宋体" w:cs="宋体"/>
                <w:sz w:val="20"/>
                <w:szCs w:val="20"/>
              </w:rPr>
              <w:t xml:space="preserve"> </w:t>
            </w:r>
            <w:r>
              <w:rPr>
                <w:rFonts w:ascii="宋体" w:hAnsi="宋体" w:eastAsia="宋体" w:cs="宋体"/>
                <w:spacing w:val="10"/>
                <w:sz w:val="20"/>
                <w:szCs w:val="20"/>
              </w:rPr>
              <w:t>处</w:t>
            </w:r>
            <w:r>
              <w:rPr>
                <w:rFonts w:ascii="宋体" w:hAnsi="宋体" w:eastAsia="宋体" w:cs="宋体"/>
                <w:spacing w:val="5"/>
                <w:sz w:val="20"/>
                <w:szCs w:val="20"/>
              </w:rPr>
              <w:t>理产生的有机肥外售处理，异位发酵床处</w:t>
            </w:r>
          </w:p>
          <w:p w14:paraId="2A874AEB">
            <w:pPr>
              <w:spacing w:line="281" w:lineRule="exact"/>
              <w:ind w:left="1324"/>
              <w:rPr>
                <w:rFonts w:ascii="Times New Roman" w:hAnsi="Times New Roman" w:eastAsia="Times New Roman" w:cs="Times New Roman"/>
                <w:sz w:val="20"/>
                <w:szCs w:val="20"/>
              </w:rPr>
            </w:pPr>
            <w:r>
              <w:rPr>
                <w:rFonts w:ascii="宋体" w:hAnsi="宋体" w:eastAsia="宋体" w:cs="宋体"/>
                <w:spacing w:val="1"/>
                <w:position w:val="1"/>
                <w:sz w:val="20"/>
                <w:szCs w:val="20"/>
              </w:rPr>
              <w:t xml:space="preserve">理能力为 </w:t>
            </w:r>
            <w:r>
              <w:rPr>
                <w:rFonts w:ascii="Times New Roman" w:hAnsi="Times New Roman" w:eastAsia="Times New Roman" w:cs="Times New Roman"/>
                <w:spacing w:val="1"/>
                <w:position w:val="1"/>
                <w:sz w:val="20"/>
                <w:szCs w:val="20"/>
              </w:rPr>
              <w:t>50</w:t>
            </w:r>
            <w:r>
              <w:rPr>
                <w:rFonts w:ascii="Times New Roman" w:hAnsi="Times New Roman" w:eastAsia="Times New Roman" w:cs="Times New Roman"/>
                <w:position w:val="1"/>
                <w:sz w:val="20"/>
                <w:szCs w:val="20"/>
              </w:rPr>
              <w:t>m</w:t>
            </w:r>
            <w:r>
              <w:rPr>
                <w:rFonts w:ascii="Times New Roman" w:hAnsi="Times New Roman" w:eastAsia="Times New Roman" w:cs="Times New Roman"/>
                <w:position w:val="7"/>
                <w:sz w:val="13"/>
                <w:szCs w:val="13"/>
              </w:rPr>
              <w:t>3</w:t>
            </w:r>
            <w:r>
              <w:rPr>
                <w:rFonts w:ascii="Times New Roman" w:hAnsi="Times New Roman" w:eastAsia="Times New Roman" w:cs="Times New Roman"/>
                <w:position w:val="1"/>
                <w:sz w:val="20"/>
                <w:szCs w:val="20"/>
              </w:rPr>
              <w:t>/d</w:t>
            </w:r>
          </w:p>
        </w:tc>
        <w:tc>
          <w:tcPr>
            <w:tcW w:w="3703" w:type="dxa"/>
            <w:tcBorders>
              <w:right w:val="nil"/>
            </w:tcBorders>
          </w:tcPr>
          <w:p w14:paraId="2351F23D">
            <w:pPr>
              <w:spacing w:line="304" w:lineRule="auto"/>
            </w:pPr>
          </w:p>
          <w:p w14:paraId="19C6D1F9">
            <w:pPr>
              <w:spacing w:line="304" w:lineRule="auto"/>
            </w:pPr>
          </w:p>
          <w:p w14:paraId="7B71FFB1">
            <w:pPr>
              <w:spacing w:line="305" w:lineRule="auto"/>
            </w:pPr>
          </w:p>
          <w:p w14:paraId="5F6B1904">
            <w:pPr>
              <w:spacing w:before="65" w:line="228" w:lineRule="auto"/>
              <w:ind w:left="1177"/>
              <w:rPr>
                <w:rFonts w:ascii="宋体" w:hAnsi="宋体" w:eastAsia="宋体" w:cs="宋体"/>
                <w:sz w:val="20"/>
                <w:szCs w:val="20"/>
              </w:rPr>
            </w:pPr>
            <w:r>
              <w:rPr>
                <w:rFonts w:ascii="宋体" w:hAnsi="宋体" w:eastAsia="宋体" w:cs="宋体"/>
                <w:spacing w:val="10"/>
                <w:sz w:val="20"/>
                <w:szCs w:val="20"/>
              </w:rPr>
              <w:t>是</w:t>
            </w:r>
            <w:r>
              <w:rPr>
                <w:rFonts w:ascii="宋体" w:hAnsi="宋体" w:eastAsia="宋体" w:cs="宋体"/>
                <w:spacing w:val="8"/>
                <w:sz w:val="20"/>
                <w:szCs w:val="20"/>
              </w:rPr>
              <w:t>否按照要求进行</w:t>
            </w:r>
          </w:p>
        </w:tc>
      </w:tr>
      <w:tr w14:paraId="6D9906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49" w:type="dxa"/>
            <w:vMerge w:val="continue"/>
            <w:tcBorders>
              <w:top w:val="nil"/>
              <w:left w:val="nil"/>
              <w:bottom w:val="nil"/>
            </w:tcBorders>
          </w:tcPr>
          <w:p w14:paraId="165B4016"/>
        </w:tc>
        <w:tc>
          <w:tcPr>
            <w:tcW w:w="1301" w:type="dxa"/>
          </w:tcPr>
          <w:p w14:paraId="45B65067">
            <w:pPr>
              <w:spacing w:before="34" w:line="238" w:lineRule="auto"/>
              <w:ind w:left="239" w:right="123" w:hanging="105"/>
              <w:rPr>
                <w:rFonts w:ascii="宋体" w:hAnsi="宋体" w:eastAsia="宋体" w:cs="宋体"/>
                <w:sz w:val="20"/>
                <w:szCs w:val="20"/>
              </w:rPr>
            </w:pPr>
            <w:r>
              <w:rPr>
                <w:rFonts w:ascii="宋体" w:hAnsi="宋体" w:eastAsia="宋体" w:cs="宋体"/>
                <w:spacing w:val="10"/>
                <w:sz w:val="20"/>
                <w:szCs w:val="20"/>
              </w:rPr>
              <w:t>水</w:t>
            </w:r>
            <w:r>
              <w:rPr>
                <w:rFonts w:ascii="宋体" w:hAnsi="宋体" w:eastAsia="宋体" w:cs="宋体"/>
                <w:spacing w:val="7"/>
                <w:sz w:val="20"/>
                <w:szCs w:val="20"/>
              </w:rPr>
              <w:t>帘降温系</w:t>
            </w:r>
            <w:r>
              <w:rPr>
                <w:rFonts w:ascii="宋体" w:hAnsi="宋体" w:eastAsia="宋体" w:cs="宋体"/>
                <w:sz w:val="20"/>
                <w:szCs w:val="20"/>
              </w:rPr>
              <w:t xml:space="preserve"> </w:t>
            </w:r>
            <w:r>
              <w:rPr>
                <w:rFonts w:ascii="宋体" w:hAnsi="宋体" w:eastAsia="宋体" w:cs="宋体"/>
                <w:spacing w:val="6"/>
                <w:sz w:val="20"/>
                <w:szCs w:val="20"/>
              </w:rPr>
              <w:t>统冷却水</w:t>
            </w:r>
          </w:p>
        </w:tc>
        <w:tc>
          <w:tcPr>
            <w:tcW w:w="4129" w:type="dxa"/>
          </w:tcPr>
          <w:p w14:paraId="7E375309">
            <w:pPr>
              <w:spacing w:before="34" w:line="238" w:lineRule="auto"/>
              <w:ind w:left="304" w:right="172" w:hanging="123"/>
              <w:rPr>
                <w:rFonts w:ascii="宋体" w:hAnsi="宋体" w:eastAsia="宋体" w:cs="宋体"/>
                <w:sz w:val="20"/>
                <w:szCs w:val="20"/>
              </w:rPr>
            </w:pPr>
            <w:r>
              <w:rPr>
                <w:rFonts w:ascii="宋体" w:hAnsi="宋体" w:eastAsia="宋体" w:cs="宋体"/>
                <w:spacing w:val="6"/>
                <w:sz w:val="20"/>
                <w:szCs w:val="20"/>
              </w:rPr>
              <w:t xml:space="preserve">建设循环水池 </w:t>
            </w:r>
            <w:r>
              <w:rPr>
                <w:rFonts w:ascii="Times New Roman" w:hAnsi="Times New Roman" w:eastAsia="Times New Roman" w:cs="Times New Roman"/>
                <w:spacing w:val="6"/>
                <w:sz w:val="20"/>
                <w:szCs w:val="20"/>
              </w:rPr>
              <w:t xml:space="preserve">8 </w:t>
            </w:r>
            <w:r>
              <w:rPr>
                <w:rFonts w:ascii="宋体" w:hAnsi="宋体" w:eastAsia="宋体" w:cs="宋体"/>
                <w:spacing w:val="6"/>
                <w:sz w:val="20"/>
                <w:szCs w:val="20"/>
              </w:rPr>
              <w:t>个，位于各圈舍门口旁</w:t>
            </w:r>
            <w:r>
              <w:rPr>
                <w:rFonts w:ascii="宋体" w:hAnsi="宋体" w:eastAsia="宋体" w:cs="宋体"/>
                <w:spacing w:val="5"/>
                <w:sz w:val="20"/>
                <w:szCs w:val="20"/>
              </w:rPr>
              <w:t>地</w:t>
            </w:r>
            <w:r>
              <w:rPr>
                <w:rFonts w:ascii="宋体" w:hAnsi="宋体" w:eastAsia="宋体" w:cs="宋体"/>
                <w:sz w:val="20"/>
                <w:szCs w:val="20"/>
              </w:rPr>
              <w:t xml:space="preserve"> </w:t>
            </w:r>
            <w:r>
              <w:rPr>
                <w:rFonts w:ascii="宋体" w:hAnsi="宋体" w:eastAsia="宋体" w:cs="宋体"/>
                <w:spacing w:val="6"/>
                <w:sz w:val="20"/>
                <w:szCs w:val="20"/>
              </w:rPr>
              <w:t>下，容积</w:t>
            </w:r>
            <w:r>
              <w:rPr>
                <w:rFonts w:ascii="宋体" w:hAnsi="宋体" w:eastAsia="宋体" w:cs="宋体"/>
                <w:spacing w:val="4"/>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z w:val="20"/>
                <w:szCs w:val="20"/>
              </w:rPr>
              <w:t>m</w:t>
            </w:r>
            <w:r>
              <w:rPr>
                <w:rFonts w:ascii="Times New Roman" w:hAnsi="Times New Roman" w:eastAsia="Times New Roman" w:cs="Times New Roman"/>
                <w:spacing w:val="3"/>
                <w:position w:val="6"/>
                <w:sz w:val="13"/>
                <w:szCs w:val="13"/>
              </w:rPr>
              <w:t xml:space="preserve">3 </w:t>
            </w:r>
            <w:r>
              <w:rPr>
                <w:rFonts w:ascii="宋体" w:hAnsi="宋体" w:eastAsia="宋体" w:cs="宋体"/>
                <w:spacing w:val="3"/>
                <w:sz w:val="20"/>
                <w:szCs w:val="20"/>
              </w:rPr>
              <w:t>，冷却水循环使用不外排</w:t>
            </w:r>
          </w:p>
        </w:tc>
        <w:tc>
          <w:tcPr>
            <w:tcW w:w="3703" w:type="dxa"/>
            <w:tcBorders>
              <w:right w:val="nil"/>
            </w:tcBorders>
          </w:tcPr>
          <w:p w14:paraId="2B797562">
            <w:pPr>
              <w:spacing w:before="167" w:line="228" w:lineRule="auto"/>
              <w:ind w:left="1019"/>
              <w:rPr>
                <w:rFonts w:ascii="宋体" w:hAnsi="宋体" w:eastAsia="宋体" w:cs="宋体"/>
                <w:sz w:val="20"/>
                <w:szCs w:val="20"/>
              </w:rPr>
            </w:pPr>
            <w:r>
              <w:rPr>
                <w:rFonts w:ascii="宋体" w:hAnsi="宋体" w:eastAsia="宋体" w:cs="宋体"/>
                <w:spacing w:val="10"/>
                <w:sz w:val="20"/>
                <w:szCs w:val="20"/>
              </w:rPr>
              <w:t>是</w:t>
            </w:r>
            <w:r>
              <w:rPr>
                <w:rFonts w:ascii="宋体" w:hAnsi="宋体" w:eastAsia="宋体" w:cs="宋体"/>
                <w:spacing w:val="8"/>
                <w:sz w:val="20"/>
                <w:szCs w:val="20"/>
              </w:rPr>
              <w:t>否按照要求进行</w:t>
            </w:r>
          </w:p>
        </w:tc>
      </w:tr>
      <w:tr w14:paraId="74EFB0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49" w:type="dxa"/>
            <w:vMerge w:val="continue"/>
            <w:tcBorders>
              <w:top w:val="nil"/>
              <w:left w:val="nil"/>
            </w:tcBorders>
          </w:tcPr>
          <w:p w14:paraId="22A868EF"/>
        </w:tc>
        <w:tc>
          <w:tcPr>
            <w:tcW w:w="1301" w:type="dxa"/>
          </w:tcPr>
          <w:p w14:paraId="31CE51FF">
            <w:pPr>
              <w:spacing w:before="34" w:line="238" w:lineRule="auto"/>
              <w:ind w:left="553" w:right="123" w:hanging="423"/>
              <w:rPr>
                <w:rFonts w:ascii="宋体" w:hAnsi="宋体" w:eastAsia="宋体" w:cs="宋体"/>
                <w:sz w:val="20"/>
                <w:szCs w:val="20"/>
              </w:rPr>
            </w:pPr>
            <w:r>
              <w:rPr>
                <w:rFonts w:ascii="宋体" w:hAnsi="宋体" w:eastAsia="宋体" w:cs="宋体"/>
                <w:spacing w:val="9"/>
                <w:sz w:val="20"/>
                <w:szCs w:val="20"/>
              </w:rPr>
              <w:t>洗</w:t>
            </w:r>
            <w:r>
              <w:rPr>
                <w:rFonts w:ascii="宋体" w:hAnsi="宋体" w:eastAsia="宋体" w:cs="宋体"/>
                <w:spacing w:val="8"/>
                <w:sz w:val="20"/>
                <w:szCs w:val="20"/>
              </w:rPr>
              <w:t>车消毒用</w:t>
            </w:r>
            <w:r>
              <w:rPr>
                <w:rFonts w:ascii="宋体" w:hAnsi="宋体" w:eastAsia="宋体" w:cs="宋体"/>
                <w:sz w:val="20"/>
                <w:szCs w:val="20"/>
              </w:rPr>
              <w:t xml:space="preserve"> 水</w:t>
            </w:r>
          </w:p>
        </w:tc>
        <w:tc>
          <w:tcPr>
            <w:tcW w:w="4129" w:type="dxa"/>
          </w:tcPr>
          <w:p w14:paraId="532C6DD1">
            <w:pPr>
              <w:spacing w:before="34" w:line="238" w:lineRule="auto"/>
              <w:ind w:left="600" w:right="107" w:hanging="488"/>
              <w:rPr>
                <w:rFonts w:ascii="宋体" w:hAnsi="宋体" w:eastAsia="宋体" w:cs="宋体"/>
                <w:sz w:val="20"/>
                <w:szCs w:val="20"/>
              </w:rPr>
            </w:pPr>
            <w:r>
              <w:rPr>
                <w:rFonts w:ascii="宋体" w:hAnsi="宋体" w:eastAsia="宋体" w:cs="宋体"/>
                <w:spacing w:val="10"/>
                <w:sz w:val="20"/>
                <w:szCs w:val="20"/>
              </w:rPr>
              <w:t>进</w:t>
            </w:r>
            <w:r>
              <w:rPr>
                <w:rFonts w:ascii="宋体" w:hAnsi="宋体" w:eastAsia="宋体" w:cs="宋体"/>
                <w:spacing w:val="8"/>
                <w:sz w:val="20"/>
                <w:szCs w:val="20"/>
              </w:rPr>
              <w:t>出</w:t>
            </w:r>
            <w:r>
              <w:rPr>
                <w:rFonts w:ascii="宋体" w:hAnsi="宋体" w:eastAsia="宋体" w:cs="宋体"/>
                <w:spacing w:val="5"/>
                <w:sz w:val="20"/>
                <w:szCs w:val="20"/>
              </w:rPr>
              <w:t>场区及养殖舍等区域洗车、消毒废水等</w:t>
            </w:r>
            <w:r>
              <w:rPr>
                <w:rFonts w:ascii="宋体" w:hAnsi="宋体" w:eastAsia="宋体" w:cs="宋体"/>
                <w:sz w:val="20"/>
                <w:szCs w:val="20"/>
              </w:rPr>
              <w:t xml:space="preserve"> </w:t>
            </w:r>
            <w:r>
              <w:rPr>
                <w:rFonts w:ascii="宋体" w:hAnsi="宋体" w:eastAsia="宋体" w:cs="宋体"/>
                <w:spacing w:val="10"/>
                <w:sz w:val="20"/>
                <w:szCs w:val="20"/>
              </w:rPr>
              <w:t>经</w:t>
            </w:r>
            <w:r>
              <w:rPr>
                <w:rFonts w:ascii="宋体" w:hAnsi="宋体" w:eastAsia="宋体" w:cs="宋体"/>
                <w:spacing w:val="9"/>
                <w:sz w:val="20"/>
                <w:szCs w:val="20"/>
              </w:rPr>
              <w:t>沉淀处理后循环使用，不外排</w:t>
            </w:r>
          </w:p>
        </w:tc>
        <w:tc>
          <w:tcPr>
            <w:tcW w:w="3703" w:type="dxa"/>
            <w:tcBorders>
              <w:right w:val="nil"/>
            </w:tcBorders>
          </w:tcPr>
          <w:p w14:paraId="6A7DBE05">
            <w:pPr>
              <w:spacing w:before="167" w:line="228" w:lineRule="auto"/>
              <w:ind w:left="1019"/>
              <w:rPr>
                <w:rFonts w:ascii="宋体" w:hAnsi="宋体" w:eastAsia="宋体" w:cs="宋体"/>
                <w:sz w:val="20"/>
                <w:szCs w:val="20"/>
              </w:rPr>
            </w:pPr>
            <w:r>
              <w:rPr>
                <w:rFonts w:ascii="宋体" w:hAnsi="宋体" w:eastAsia="宋体" w:cs="宋体"/>
                <w:spacing w:val="10"/>
                <w:sz w:val="20"/>
                <w:szCs w:val="20"/>
              </w:rPr>
              <w:t>是</w:t>
            </w:r>
            <w:r>
              <w:rPr>
                <w:rFonts w:ascii="宋体" w:hAnsi="宋体" w:eastAsia="宋体" w:cs="宋体"/>
                <w:spacing w:val="8"/>
                <w:sz w:val="20"/>
                <w:szCs w:val="20"/>
              </w:rPr>
              <w:t>否按照要求进行</w:t>
            </w:r>
          </w:p>
        </w:tc>
      </w:tr>
      <w:tr w14:paraId="37B65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649" w:type="dxa"/>
            <w:vMerge w:val="restart"/>
            <w:tcBorders>
              <w:left w:val="nil"/>
              <w:bottom w:val="nil"/>
            </w:tcBorders>
          </w:tcPr>
          <w:p w14:paraId="2A53849B">
            <w:pPr>
              <w:spacing w:line="378" w:lineRule="auto"/>
            </w:pPr>
          </w:p>
          <w:p w14:paraId="61130141">
            <w:pPr>
              <w:spacing w:before="65" w:line="228" w:lineRule="auto"/>
              <w:ind w:left="132"/>
              <w:rPr>
                <w:rFonts w:ascii="宋体" w:hAnsi="宋体" w:eastAsia="宋体" w:cs="宋体"/>
                <w:sz w:val="20"/>
                <w:szCs w:val="20"/>
              </w:rPr>
            </w:pPr>
            <w:r>
              <w:rPr>
                <w:rFonts w:ascii="宋体" w:hAnsi="宋体" w:eastAsia="宋体" w:cs="宋体"/>
                <w:spacing w:val="-1"/>
                <w:sz w:val="20"/>
                <w:szCs w:val="20"/>
              </w:rPr>
              <w:t>噪</w:t>
            </w:r>
            <w:r>
              <w:rPr>
                <w:rFonts w:ascii="宋体" w:hAnsi="宋体" w:eastAsia="宋体" w:cs="宋体"/>
                <w:sz w:val="20"/>
                <w:szCs w:val="20"/>
              </w:rPr>
              <w:t>声</w:t>
            </w:r>
          </w:p>
        </w:tc>
        <w:tc>
          <w:tcPr>
            <w:tcW w:w="1301" w:type="dxa"/>
            <w:vMerge w:val="restart"/>
            <w:tcBorders>
              <w:bottom w:val="nil"/>
            </w:tcBorders>
          </w:tcPr>
          <w:p w14:paraId="3123F760">
            <w:pPr>
              <w:spacing w:before="174" w:line="228" w:lineRule="auto"/>
              <w:ind w:left="134"/>
              <w:rPr>
                <w:rFonts w:ascii="宋体" w:hAnsi="宋体" w:eastAsia="宋体" w:cs="宋体"/>
                <w:sz w:val="20"/>
                <w:szCs w:val="20"/>
              </w:rPr>
            </w:pPr>
            <w:r>
              <w:rPr>
                <w:rFonts w:ascii="宋体" w:hAnsi="宋体" w:eastAsia="宋体" w:cs="宋体"/>
                <w:spacing w:val="6"/>
                <w:sz w:val="20"/>
                <w:szCs w:val="20"/>
              </w:rPr>
              <w:t>设</w:t>
            </w:r>
            <w:r>
              <w:rPr>
                <w:rFonts w:ascii="宋体" w:hAnsi="宋体" w:eastAsia="宋体" w:cs="宋体"/>
                <w:spacing w:val="5"/>
                <w:sz w:val="20"/>
                <w:szCs w:val="20"/>
              </w:rPr>
              <w:t>备噪声、</w:t>
            </w:r>
          </w:p>
          <w:p w14:paraId="4BD5F2C5">
            <w:pPr>
              <w:spacing w:before="23" w:line="265" w:lineRule="auto"/>
              <w:ind w:left="339" w:right="158" w:hanging="204"/>
              <w:rPr>
                <w:rFonts w:ascii="宋体" w:hAnsi="宋体" w:eastAsia="宋体" w:cs="宋体"/>
                <w:sz w:val="20"/>
                <w:szCs w:val="20"/>
              </w:rPr>
            </w:pPr>
            <w:r>
              <w:rPr>
                <w:rFonts w:ascii="宋体" w:hAnsi="宋体" w:eastAsia="宋体" w:cs="宋体"/>
                <w:spacing w:val="1"/>
                <w:sz w:val="20"/>
                <w:szCs w:val="20"/>
              </w:rPr>
              <w:t>交</w:t>
            </w:r>
            <w:r>
              <w:rPr>
                <w:rFonts w:ascii="宋体" w:hAnsi="宋体" w:eastAsia="宋体" w:cs="宋体"/>
                <w:sz w:val="20"/>
                <w:szCs w:val="20"/>
              </w:rPr>
              <w:t xml:space="preserve">通噪声、 </w:t>
            </w:r>
            <w:r>
              <w:rPr>
                <w:rFonts w:ascii="宋体" w:hAnsi="宋体" w:eastAsia="宋体" w:cs="宋体"/>
                <w:spacing w:val="7"/>
                <w:sz w:val="20"/>
                <w:szCs w:val="20"/>
              </w:rPr>
              <w:t>猪叫</w:t>
            </w:r>
            <w:r>
              <w:rPr>
                <w:rFonts w:ascii="宋体" w:hAnsi="宋体" w:eastAsia="宋体" w:cs="宋体"/>
                <w:spacing w:val="6"/>
                <w:sz w:val="20"/>
                <w:szCs w:val="20"/>
              </w:rPr>
              <w:t>等</w:t>
            </w:r>
          </w:p>
        </w:tc>
        <w:tc>
          <w:tcPr>
            <w:tcW w:w="4129" w:type="dxa"/>
          </w:tcPr>
          <w:p w14:paraId="69CF41B0">
            <w:pPr>
              <w:spacing w:before="32" w:line="228" w:lineRule="auto"/>
              <w:ind w:left="116"/>
              <w:rPr>
                <w:rFonts w:ascii="宋体" w:hAnsi="宋体" w:eastAsia="宋体" w:cs="宋体"/>
                <w:sz w:val="20"/>
                <w:szCs w:val="20"/>
              </w:rPr>
            </w:pPr>
            <w:r>
              <w:rPr>
                <w:rFonts w:ascii="宋体" w:hAnsi="宋体" w:eastAsia="宋体" w:cs="宋体"/>
                <w:spacing w:val="9"/>
                <w:sz w:val="20"/>
                <w:szCs w:val="20"/>
              </w:rPr>
              <w:t>主</w:t>
            </w:r>
            <w:r>
              <w:rPr>
                <w:rFonts w:ascii="宋体" w:hAnsi="宋体" w:eastAsia="宋体" w:cs="宋体"/>
                <w:spacing w:val="5"/>
                <w:sz w:val="20"/>
                <w:szCs w:val="20"/>
              </w:rPr>
              <w:t>要产噪设备基础减振、维修保养，泵及风</w:t>
            </w:r>
          </w:p>
          <w:p w14:paraId="4F17D9C6">
            <w:pPr>
              <w:spacing w:before="26" w:line="227" w:lineRule="auto"/>
              <w:ind w:left="113"/>
              <w:rPr>
                <w:rFonts w:ascii="宋体" w:hAnsi="宋体" w:eastAsia="宋体" w:cs="宋体"/>
                <w:sz w:val="20"/>
                <w:szCs w:val="20"/>
              </w:rPr>
            </w:pPr>
            <w:r>
              <w:rPr>
                <w:rFonts w:ascii="宋体" w:hAnsi="宋体" w:eastAsia="宋体" w:cs="宋体"/>
                <w:spacing w:val="10"/>
                <w:sz w:val="20"/>
                <w:szCs w:val="20"/>
              </w:rPr>
              <w:t>机</w:t>
            </w:r>
            <w:r>
              <w:rPr>
                <w:rFonts w:ascii="宋体" w:hAnsi="宋体" w:eastAsia="宋体" w:cs="宋体"/>
                <w:spacing w:val="7"/>
                <w:sz w:val="20"/>
                <w:szCs w:val="20"/>
              </w:rPr>
              <w:t>安</w:t>
            </w:r>
            <w:r>
              <w:rPr>
                <w:rFonts w:ascii="宋体" w:hAnsi="宋体" w:eastAsia="宋体" w:cs="宋体"/>
                <w:spacing w:val="5"/>
                <w:sz w:val="20"/>
                <w:szCs w:val="20"/>
              </w:rPr>
              <w:t>装减振消声装置、厂区进出车辆交通管</w:t>
            </w:r>
          </w:p>
          <w:p w14:paraId="610A5CCA">
            <w:pPr>
              <w:spacing w:before="25" w:line="225" w:lineRule="auto"/>
              <w:ind w:left="1860"/>
              <w:rPr>
                <w:rFonts w:ascii="宋体" w:hAnsi="宋体" w:eastAsia="宋体" w:cs="宋体"/>
                <w:sz w:val="20"/>
                <w:szCs w:val="20"/>
              </w:rPr>
            </w:pPr>
            <w:r>
              <w:rPr>
                <w:rFonts w:ascii="宋体" w:hAnsi="宋体" w:eastAsia="宋体" w:cs="宋体"/>
                <w:spacing w:val="4"/>
                <w:sz w:val="20"/>
                <w:szCs w:val="20"/>
              </w:rPr>
              <w:t>制等</w:t>
            </w:r>
          </w:p>
        </w:tc>
        <w:tc>
          <w:tcPr>
            <w:tcW w:w="3703" w:type="dxa"/>
            <w:vMerge w:val="restart"/>
            <w:tcBorders>
              <w:bottom w:val="nil"/>
              <w:right w:val="nil"/>
            </w:tcBorders>
          </w:tcPr>
          <w:p w14:paraId="6596A5BF">
            <w:pPr>
              <w:spacing w:line="244" w:lineRule="auto"/>
            </w:pPr>
          </w:p>
          <w:p w14:paraId="5F616D99">
            <w:pPr>
              <w:spacing w:before="65" w:line="265" w:lineRule="auto"/>
              <w:ind w:left="286" w:right="110" w:hanging="174"/>
              <w:rPr>
                <w:rFonts w:ascii="宋体" w:hAnsi="宋体" w:eastAsia="宋体" w:cs="宋体"/>
                <w:sz w:val="20"/>
                <w:szCs w:val="20"/>
              </w:rPr>
            </w:pPr>
            <w:r>
              <w:rPr>
                <w:rFonts w:ascii="宋体" w:hAnsi="宋体" w:eastAsia="宋体" w:cs="宋体"/>
                <w:spacing w:val="8"/>
                <w:sz w:val="20"/>
                <w:szCs w:val="20"/>
              </w:rPr>
              <w:t>场界</w:t>
            </w:r>
            <w:r>
              <w:rPr>
                <w:rFonts w:ascii="宋体" w:hAnsi="宋体" w:eastAsia="宋体" w:cs="宋体"/>
                <w:spacing w:val="5"/>
                <w:sz w:val="20"/>
                <w:szCs w:val="20"/>
              </w:rPr>
              <w:t>满</w:t>
            </w:r>
            <w:r>
              <w:rPr>
                <w:rFonts w:ascii="宋体" w:hAnsi="宋体" w:eastAsia="宋体" w:cs="宋体"/>
                <w:spacing w:val="4"/>
                <w:sz w:val="20"/>
                <w:szCs w:val="20"/>
              </w:rPr>
              <w:t>足《工业企业厂界环境噪声排放</w:t>
            </w:r>
            <w:r>
              <w:rPr>
                <w:rFonts w:ascii="宋体" w:hAnsi="宋体" w:eastAsia="宋体" w:cs="宋体"/>
                <w:sz w:val="20"/>
                <w:szCs w:val="20"/>
              </w:rPr>
              <w:t xml:space="preserve"> </w:t>
            </w:r>
            <w:r>
              <w:rPr>
                <w:rFonts w:ascii="宋体" w:hAnsi="宋体" w:eastAsia="宋体" w:cs="宋体"/>
                <w:spacing w:val="2"/>
                <w:sz w:val="20"/>
                <w:szCs w:val="20"/>
              </w:rPr>
              <w:t>标准》  (</w:t>
            </w:r>
            <w:r>
              <w:rPr>
                <w:rFonts w:ascii="Times New Roman" w:hAnsi="Times New Roman" w:eastAsia="Times New Roman" w:cs="Times New Roman"/>
                <w:sz w:val="20"/>
                <w:szCs w:val="20"/>
              </w:rPr>
              <w:t>GB</w:t>
            </w:r>
            <w:r>
              <w:rPr>
                <w:rFonts w:ascii="Times New Roman" w:hAnsi="Times New Roman" w:eastAsia="Times New Roman" w:cs="Times New Roman"/>
                <w:spacing w:val="2"/>
                <w:sz w:val="20"/>
                <w:szCs w:val="20"/>
              </w:rPr>
              <w:t>12348-200</w:t>
            </w:r>
            <w:r>
              <w:rPr>
                <w:rFonts w:ascii="Times New Roman" w:hAnsi="Times New Roman" w:eastAsia="Times New Roman" w:cs="Times New Roman"/>
                <w:spacing w:val="1"/>
                <w:sz w:val="20"/>
                <w:szCs w:val="20"/>
              </w:rPr>
              <w:t>8</w:t>
            </w:r>
            <w:r>
              <w:rPr>
                <w:rFonts w:ascii="宋体" w:hAnsi="宋体" w:eastAsia="宋体" w:cs="宋体"/>
                <w:spacing w:val="1"/>
                <w:sz w:val="20"/>
                <w:szCs w:val="20"/>
              </w:rPr>
              <w:t xml:space="preserve">) </w:t>
            </w:r>
            <w:r>
              <w:rPr>
                <w:rFonts w:ascii="Times New Roman" w:hAnsi="Times New Roman" w:eastAsia="Times New Roman" w:cs="Times New Roman"/>
                <w:spacing w:val="1"/>
                <w:sz w:val="20"/>
                <w:szCs w:val="20"/>
              </w:rPr>
              <w:t xml:space="preserve">2 </w:t>
            </w:r>
            <w:r>
              <w:rPr>
                <w:rFonts w:ascii="宋体" w:hAnsi="宋体" w:eastAsia="宋体" w:cs="宋体"/>
                <w:spacing w:val="1"/>
                <w:sz w:val="20"/>
                <w:szCs w:val="20"/>
              </w:rPr>
              <w:t>类标准</w:t>
            </w:r>
          </w:p>
        </w:tc>
      </w:tr>
      <w:tr w14:paraId="2D6D4E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49" w:type="dxa"/>
            <w:vMerge w:val="continue"/>
            <w:tcBorders>
              <w:top w:val="nil"/>
              <w:left w:val="nil"/>
            </w:tcBorders>
          </w:tcPr>
          <w:p w14:paraId="6A64637E"/>
        </w:tc>
        <w:tc>
          <w:tcPr>
            <w:tcW w:w="1301" w:type="dxa"/>
            <w:vMerge w:val="continue"/>
            <w:tcBorders>
              <w:top w:val="nil"/>
            </w:tcBorders>
          </w:tcPr>
          <w:p w14:paraId="2849B7DC"/>
        </w:tc>
        <w:tc>
          <w:tcPr>
            <w:tcW w:w="4129" w:type="dxa"/>
          </w:tcPr>
          <w:p w14:paraId="2F1F39A8">
            <w:pPr>
              <w:spacing w:before="34" w:line="224" w:lineRule="auto"/>
              <w:ind w:left="285"/>
              <w:rPr>
                <w:rFonts w:ascii="宋体" w:hAnsi="宋体" w:eastAsia="宋体" w:cs="宋体"/>
                <w:sz w:val="20"/>
                <w:szCs w:val="20"/>
              </w:rPr>
            </w:pPr>
            <w:r>
              <w:rPr>
                <w:rFonts w:ascii="宋体" w:hAnsi="宋体" w:eastAsia="宋体" w:cs="宋体"/>
                <w:spacing w:val="16"/>
                <w:sz w:val="20"/>
                <w:szCs w:val="20"/>
              </w:rPr>
              <w:t>加</w:t>
            </w:r>
            <w:r>
              <w:rPr>
                <w:rFonts w:ascii="宋体" w:hAnsi="宋体" w:eastAsia="宋体" w:cs="宋体"/>
                <w:spacing w:val="9"/>
                <w:sz w:val="20"/>
                <w:szCs w:val="20"/>
              </w:rPr>
              <w:t>强养殖舍管理，减少猪群突发性噪声</w:t>
            </w:r>
          </w:p>
        </w:tc>
        <w:tc>
          <w:tcPr>
            <w:tcW w:w="3703" w:type="dxa"/>
            <w:vMerge w:val="continue"/>
            <w:tcBorders>
              <w:top w:val="nil"/>
              <w:right w:val="nil"/>
            </w:tcBorders>
          </w:tcPr>
          <w:p w14:paraId="5BF3A77D"/>
        </w:tc>
      </w:tr>
      <w:tr w14:paraId="7FBC8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49" w:type="dxa"/>
            <w:vMerge w:val="restart"/>
            <w:tcBorders>
              <w:left w:val="nil"/>
              <w:bottom w:val="nil"/>
            </w:tcBorders>
          </w:tcPr>
          <w:p w14:paraId="55772FB4">
            <w:pPr>
              <w:spacing w:line="270" w:lineRule="auto"/>
            </w:pPr>
          </w:p>
          <w:p w14:paraId="586DE7CD">
            <w:pPr>
              <w:spacing w:line="270" w:lineRule="auto"/>
            </w:pPr>
          </w:p>
          <w:p w14:paraId="0B629465">
            <w:pPr>
              <w:spacing w:line="271" w:lineRule="auto"/>
            </w:pPr>
          </w:p>
          <w:p w14:paraId="5FE38FE6">
            <w:pPr>
              <w:spacing w:line="271" w:lineRule="auto"/>
            </w:pPr>
          </w:p>
          <w:p w14:paraId="38146703">
            <w:pPr>
              <w:spacing w:line="271" w:lineRule="auto"/>
            </w:pPr>
          </w:p>
          <w:p w14:paraId="01C0AC9E">
            <w:pPr>
              <w:spacing w:line="271" w:lineRule="auto"/>
            </w:pPr>
          </w:p>
          <w:p w14:paraId="57AAEAA9">
            <w:pPr>
              <w:spacing w:before="65" w:line="228" w:lineRule="auto"/>
              <w:ind w:left="141"/>
              <w:rPr>
                <w:rFonts w:ascii="宋体" w:hAnsi="宋体" w:eastAsia="宋体" w:cs="宋体"/>
                <w:sz w:val="20"/>
                <w:szCs w:val="20"/>
              </w:rPr>
            </w:pPr>
            <w:r>
              <w:rPr>
                <w:rFonts w:ascii="宋体" w:hAnsi="宋体" w:eastAsia="宋体" w:cs="宋体"/>
                <w:spacing w:val="-5"/>
                <w:sz w:val="20"/>
                <w:szCs w:val="20"/>
              </w:rPr>
              <w:t>固</w:t>
            </w:r>
            <w:r>
              <w:rPr>
                <w:rFonts w:ascii="宋体" w:hAnsi="宋体" w:eastAsia="宋体" w:cs="宋体"/>
                <w:spacing w:val="-4"/>
                <w:sz w:val="20"/>
                <w:szCs w:val="20"/>
              </w:rPr>
              <w:t>废</w:t>
            </w:r>
          </w:p>
        </w:tc>
        <w:tc>
          <w:tcPr>
            <w:tcW w:w="1301" w:type="dxa"/>
          </w:tcPr>
          <w:p w14:paraId="52F93741">
            <w:pPr>
              <w:spacing w:before="170" w:line="228" w:lineRule="auto"/>
              <w:ind w:left="236"/>
              <w:rPr>
                <w:rFonts w:ascii="宋体" w:hAnsi="宋体" w:eastAsia="宋体" w:cs="宋体"/>
                <w:sz w:val="20"/>
                <w:szCs w:val="20"/>
              </w:rPr>
            </w:pPr>
            <w:r>
              <w:rPr>
                <w:rFonts w:ascii="宋体" w:hAnsi="宋体" w:eastAsia="宋体" w:cs="宋体"/>
                <w:spacing w:val="7"/>
                <w:sz w:val="20"/>
                <w:szCs w:val="20"/>
              </w:rPr>
              <w:t>生活垃</w:t>
            </w:r>
            <w:r>
              <w:rPr>
                <w:rFonts w:ascii="宋体" w:hAnsi="宋体" w:eastAsia="宋体" w:cs="宋体"/>
                <w:spacing w:val="6"/>
                <w:sz w:val="20"/>
                <w:szCs w:val="20"/>
              </w:rPr>
              <w:t>圾</w:t>
            </w:r>
          </w:p>
        </w:tc>
        <w:tc>
          <w:tcPr>
            <w:tcW w:w="4129" w:type="dxa"/>
          </w:tcPr>
          <w:p w14:paraId="3DC98BA2">
            <w:pPr>
              <w:spacing w:before="36" w:line="237" w:lineRule="auto"/>
              <w:ind w:left="913" w:right="107" w:hanging="797"/>
              <w:rPr>
                <w:rFonts w:ascii="宋体" w:hAnsi="宋体" w:eastAsia="宋体" w:cs="宋体"/>
                <w:sz w:val="20"/>
                <w:szCs w:val="20"/>
              </w:rPr>
            </w:pPr>
            <w:r>
              <w:rPr>
                <w:rFonts w:ascii="宋体" w:hAnsi="宋体" w:eastAsia="宋体" w:cs="宋体"/>
                <w:spacing w:val="9"/>
                <w:sz w:val="20"/>
                <w:szCs w:val="20"/>
              </w:rPr>
              <w:t>垃</w:t>
            </w:r>
            <w:r>
              <w:rPr>
                <w:rFonts w:ascii="宋体" w:hAnsi="宋体" w:eastAsia="宋体" w:cs="宋体"/>
                <w:spacing w:val="5"/>
                <w:sz w:val="20"/>
                <w:szCs w:val="20"/>
              </w:rPr>
              <w:t>圾桶收集，送至乡镇垃圾收集点，交由当</w:t>
            </w:r>
            <w:r>
              <w:rPr>
                <w:rFonts w:ascii="宋体" w:hAnsi="宋体" w:eastAsia="宋体" w:cs="宋体"/>
                <w:sz w:val="20"/>
                <w:szCs w:val="20"/>
              </w:rPr>
              <w:t xml:space="preserve"> </w:t>
            </w:r>
            <w:r>
              <w:rPr>
                <w:rFonts w:ascii="宋体" w:hAnsi="宋体" w:eastAsia="宋体" w:cs="宋体"/>
                <w:spacing w:val="10"/>
                <w:sz w:val="20"/>
                <w:szCs w:val="20"/>
              </w:rPr>
              <w:t>地</w:t>
            </w:r>
            <w:r>
              <w:rPr>
                <w:rFonts w:ascii="宋体" w:hAnsi="宋体" w:eastAsia="宋体" w:cs="宋体"/>
                <w:spacing w:val="9"/>
                <w:sz w:val="20"/>
                <w:szCs w:val="20"/>
              </w:rPr>
              <w:t>环卫部门统一清运处理</w:t>
            </w:r>
          </w:p>
        </w:tc>
        <w:tc>
          <w:tcPr>
            <w:tcW w:w="3703" w:type="dxa"/>
            <w:tcBorders>
              <w:right w:val="nil"/>
            </w:tcBorders>
          </w:tcPr>
          <w:p w14:paraId="77FEA994">
            <w:pPr>
              <w:spacing w:before="169" w:line="228" w:lineRule="auto"/>
              <w:ind w:left="1019"/>
              <w:rPr>
                <w:rFonts w:ascii="宋体" w:hAnsi="宋体" w:eastAsia="宋体" w:cs="宋体"/>
                <w:sz w:val="20"/>
                <w:szCs w:val="20"/>
              </w:rPr>
            </w:pPr>
            <w:r>
              <w:rPr>
                <w:rFonts w:ascii="宋体" w:hAnsi="宋体" w:eastAsia="宋体" w:cs="宋体"/>
                <w:spacing w:val="10"/>
                <w:sz w:val="20"/>
                <w:szCs w:val="20"/>
              </w:rPr>
              <w:t>是</w:t>
            </w:r>
            <w:r>
              <w:rPr>
                <w:rFonts w:ascii="宋体" w:hAnsi="宋体" w:eastAsia="宋体" w:cs="宋体"/>
                <w:spacing w:val="8"/>
                <w:sz w:val="20"/>
                <w:szCs w:val="20"/>
              </w:rPr>
              <w:t>否按照要求进行</w:t>
            </w:r>
          </w:p>
        </w:tc>
      </w:tr>
      <w:tr w14:paraId="3DECED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49" w:type="dxa"/>
            <w:vMerge w:val="continue"/>
            <w:tcBorders>
              <w:top w:val="nil"/>
              <w:left w:val="nil"/>
              <w:bottom w:val="nil"/>
            </w:tcBorders>
          </w:tcPr>
          <w:p w14:paraId="7F03358F"/>
        </w:tc>
        <w:tc>
          <w:tcPr>
            <w:tcW w:w="1301" w:type="dxa"/>
          </w:tcPr>
          <w:p w14:paraId="392ABCA4">
            <w:pPr>
              <w:spacing w:before="35" w:line="223" w:lineRule="auto"/>
              <w:ind w:left="339"/>
              <w:rPr>
                <w:rFonts w:ascii="宋体" w:hAnsi="宋体" w:eastAsia="宋体" w:cs="宋体"/>
                <w:sz w:val="20"/>
                <w:szCs w:val="20"/>
              </w:rPr>
            </w:pPr>
            <w:r>
              <w:rPr>
                <w:rFonts w:ascii="宋体" w:hAnsi="宋体" w:eastAsia="宋体" w:cs="宋体"/>
                <w:spacing w:val="7"/>
                <w:sz w:val="20"/>
                <w:szCs w:val="20"/>
              </w:rPr>
              <w:t>饲料袋</w:t>
            </w:r>
          </w:p>
        </w:tc>
        <w:tc>
          <w:tcPr>
            <w:tcW w:w="4129" w:type="dxa"/>
          </w:tcPr>
          <w:p w14:paraId="3793A5A3">
            <w:pPr>
              <w:spacing w:before="35" w:line="223" w:lineRule="auto"/>
              <w:ind w:left="519"/>
              <w:rPr>
                <w:rFonts w:ascii="宋体" w:hAnsi="宋体" w:eastAsia="宋体" w:cs="宋体"/>
                <w:sz w:val="20"/>
                <w:szCs w:val="20"/>
              </w:rPr>
            </w:pPr>
            <w:r>
              <w:rPr>
                <w:rFonts w:ascii="宋体" w:hAnsi="宋体" w:eastAsia="宋体" w:cs="宋体"/>
                <w:spacing w:val="12"/>
                <w:sz w:val="20"/>
                <w:szCs w:val="20"/>
              </w:rPr>
              <w:t>由饲</w:t>
            </w:r>
            <w:r>
              <w:rPr>
                <w:rFonts w:ascii="宋体" w:hAnsi="宋体" w:eastAsia="宋体" w:cs="宋体"/>
                <w:spacing w:val="7"/>
                <w:sz w:val="20"/>
                <w:szCs w:val="20"/>
              </w:rPr>
              <w:t>料</w:t>
            </w:r>
            <w:r>
              <w:rPr>
                <w:rFonts w:ascii="宋体" w:hAnsi="宋体" w:eastAsia="宋体" w:cs="宋体"/>
                <w:spacing w:val="6"/>
                <w:sz w:val="20"/>
                <w:szCs w:val="20"/>
              </w:rPr>
              <w:t>厂家 (正邦集团) 统一回收</w:t>
            </w:r>
          </w:p>
        </w:tc>
        <w:tc>
          <w:tcPr>
            <w:tcW w:w="3703" w:type="dxa"/>
            <w:tcBorders>
              <w:right w:val="nil"/>
            </w:tcBorders>
          </w:tcPr>
          <w:p w14:paraId="364631B0">
            <w:pPr>
              <w:spacing w:before="35" w:line="223" w:lineRule="auto"/>
              <w:ind w:left="1019"/>
              <w:rPr>
                <w:rFonts w:ascii="宋体" w:hAnsi="宋体" w:eastAsia="宋体" w:cs="宋体"/>
                <w:sz w:val="20"/>
                <w:szCs w:val="20"/>
              </w:rPr>
            </w:pPr>
            <w:r>
              <w:rPr>
                <w:rFonts w:ascii="宋体" w:hAnsi="宋体" w:eastAsia="宋体" w:cs="宋体"/>
                <w:spacing w:val="10"/>
                <w:sz w:val="20"/>
                <w:szCs w:val="20"/>
              </w:rPr>
              <w:t>是</w:t>
            </w:r>
            <w:r>
              <w:rPr>
                <w:rFonts w:ascii="宋体" w:hAnsi="宋体" w:eastAsia="宋体" w:cs="宋体"/>
                <w:spacing w:val="8"/>
                <w:sz w:val="20"/>
                <w:szCs w:val="20"/>
              </w:rPr>
              <w:t>否按照要求进行</w:t>
            </w:r>
          </w:p>
        </w:tc>
      </w:tr>
      <w:tr w14:paraId="6F9C1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49" w:type="dxa"/>
            <w:vMerge w:val="continue"/>
            <w:tcBorders>
              <w:top w:val="nil"/>
              <w:left w:val="nil"/>
              <w:bottom w:val="nil"/>
            </w:tcBorders>
          </w:tcPr>
          <w:p w14:paraId="4569BD29"/>
        </w:tc>
        <w:tc>
          <w:tcPr>
            <w:tcW w:w="1301" w:type="dxa"/>
          </w:tcPr>
          <w:p w14:paraId="048AA2A4">
            <w:pPr>
              <w:spacing w:before="170" w:line="228" w:lineRule="auto"/>
              <w:ind w:left="446"/>
              <w:rPr>
                <w:rFonts w:ascii="宋体" w:hAnsi="宋体" w:eastAsia="宋体" w:cs="宋体"/>
                <w:sz w:val="20"/>
                <w:szCs w:val="20"/>
              </w:rPr>
            </w:pPr>
            <w:r>
              <w:rPr>
                <w:rFonts w:ascii="宋体" w:hAnsi="宋体" w:eastAsia="宋体" w:cs="宋体"/>
                <w:spacing w:val="5"/>
                <w:sz w:val="20"/>
                <w:szCs w:val="20"/>
              </w:rPr>
              <w:t>猪</w:t>
            </w:r>
            <w:r>
              <w:rPr>
                <w:rFonts w:ascii="宋体" w:hAnsi="宋体" w:eastAsia="宋体" w:cs="宋体"/>
                <w:spacing w:val="4"/>
                <w:sz w:val="20"/>
                <w:szCs w:val="20"/>
              </w:rPr>
              <w:t>粪</w:t>
            </w:r>
          </w:p>
        </w:tc>
        <w:tc>
          <w:tcPr>
            <w:tcW w:w="4129" w:type="dxa"/>
          </w:tcPr>
          <w:p w14:paraId="558E31C3">
            <w:pPr>
              <w:spacing w:before="36" w:line="237" w:lineRule="auto"/>
              <w:ind w:left="1654" w:right="174" w:hanging="1471"/>
              <w:rPr>
                <w:rFonts w:ascii="宋体" w:hAnsi="宋体" w:eastAsia="宋体" w:cs="宋体"/>
                <w:sz w:val="20"/>
                <w:szCs w:val="20"/>
              </w:rPr>
            </w:pPr>
            <w:r>
              <w:rPr>
                <w:rFonts w:ascii="宋体" w:hAnsi="宋体" w:eastAsia="宋体" w:cs="宋体"/>
                <w:spacing w:val="12"/>
                <w:sz w:val="20"/>
                <w:szCs w:val="20"/>
              </w:rPr>
              <w:t>与</w:t>
            </w:r>
            <w:r>
              <w:rPr>
                <w:rFonts w:ascii="宋体" w:hAnsi="宋体" w:eastAsia="宋体" w:cs="宋体"/>
                <w:spacing w:val="9"/>
                <w:sz w:val="20"/>
                <w:szCs w:val="20"/>
              </w:rPr>
              <w:t>养殖废水一并经异位微生物发酵床处理</w:t>
            </w:r>
            <w:r>
              <w:rPr>
                <w:rFonts w:ascii="宋体" w:hAnsi="宋体" w:eastAsia="宋体" w:cs="宋体"/>
                <w:sz w:val="20"/>
                <w:szCs w:val="20"/>
              </w:rPr>
              <w:t xml:space="preserve"> </w:t>
            </w:r>
            <w:r>
              <w:rPr>
                <w:rFonts w:ascii="宋体" w:hAnsi="宋体" w:eastAsia="宋体" w:cs="宋体"/>
                <w:spacing w:val="7"/>
                <w:sz w:val="20"/>
                <w:szCs w:val="20"/>
              </w:rPr>
              <w:t>系</w:t>
            </w:r>
            <w:r>
              <w:rPr>
                <w:rFonts w:ascii="宋体" w:hAnsi="宋体" w:eastAsia="宋体" w:cs="宋体"/>
                <w:spacing w:val="6"/>
                <w:sz w:val="20"/>
                <w:szCs w:val="20"/>
              </w:rPr>
              <w:t>统处置</w:t>
            </w:r>
          </w:p>
        </w:tc>
        <w:tc>
          <w:tcPr>
            <w:tcW w:w="3703" w:type="dxa"/>
            <w:tcBorders>
              <w:right w:val="nil"/>
            </w:tcBorders>
          </w:tcPr>
          <w:p w14:paraId="4B17EAEB">
            <w:pPr>
              <w:spacing w:before="170" w:line="228" w:lineRule="auto"/>
              <w:ind w:left="1019"/>
              <w:rPr>
                <w:rFonts w:ascii="宋体" w:hAnsi="宋体" w:eastAsia="宋体" w:cs="宋体"/>
                <w:sz w:val="20"/>
                <w:szCs w:val="20"/>
              </w:rPr>
            </w:pPr>
            <w:r>
              <w:rPr>
                <w:rFonts w:ascii="宋体" w:hAnsi="宋体" w:eastAsia="宋体" w:cs="宋体"/>
                <w:spacing w:val="10"/>
                <w:sz w:val="20"/>
                <w:szCs w:val="20"/>
              </w:rPr>
              <w:t>是</w:t>
            </w:r>
            <w:r>
              <w:rPr>
                <w:rFonts w:ascii="宋体" w:hAnsi="宋体" w:eastAsia="宋体" w:cs="宋体"/>
                <w:spacing w:val="8"/>
                <w:sz w:val="20"/>
                <w:szCs w:val="20"/>
              </w:rPr>
              <w:t>否按照要求进行</w:t>
            </w:r>
          </w:p>
        </w:tc>
      </w:tr>
      <w:tr w14:paraId="65C02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49" w:type="dxa"/>
            <w:vMerge w:val="continue"/>
            <w:tcBorders>
              <w:top w:val="nil"/>
              <w:left w:val="nil"/>
              <w:bottom w:val="nil"/>
            </w:tcBorders>
          </w:tcPr>
          <w:p w14:paraId="51CAAE17"/>
        </w:tc>
        <w:tc>
          <w:tcPr>
            <w:tcW w:w="1301" w:type="dxa"/>
          </w:tcPr>
          <w:p w14:paraId="6785887D">
            <w:pPr>
              <w:spacing w:before="33" w:line="225" w:lineRule="auto"/>
              <w:ind w:left="339"/>
              <w:rPr>
                <w:rFonts w:ascii="宋体" w:hAnsi="宋体" w:eastAsia="宋体" w:cs="宋体"/>
                <w:sz w:val="20"/>
                <w:szCs w:val="20"/>
              </w:rPr>
            </w:pPr>
            <w:r>
              <w:rPr>
                <w:rFonts w:ascii="宋体" w:hAnsi="宋体" w:eastAsia="宋体" w:cs="宋体"/>
                <w:spacing w:val="7"/>
                <w:sz w:val="20"/>
                <w:szCs w:val="20"/>
              </w:rPr>
              <w:t>废垫料</w:t>
            </w:r>
          </w:p>
        </w:tc>
        <w:tc>
          <w:tcPr>
            <w:tcW w:w="4129" w:type="dxa"/>
          </w:tcPr>
          <w:p w14:paraId="08D1FEFA">
            <w:pPr>
              <w:spacing w:before="33" w:line="225" w:lineRule="auto"/>
              <w:ind w:left="723"/>
              <w:rPr>
                <w:rFonts w:ascii="宋体" w:hAnsi="宋体" w:eastAsia="宋体" w:cs="宋体"/>
                <w:sz w:val="20"/>
                <w:szCs w:val="20"/>
              </w:rPr>
            </w:pPr>
            <w:r>
              <w:rPr>
                <w:rFonts w:ascii="宋体" w:hAnsi="宋体" w:eastAsia="宋体" w:cs="宋体"/>
                <w:spacing w:val="8"/>
                <w:sz w:val="20"/>
                <w:szCs w:val="20"/>
              </w:rPr>
              <w:t>出售给有机肥厂加工成有机</w:t>
            </w:r>
            <w:r>
              <w:rPr>
                <w:rFonts w:ascii="宋体" w:hAnsi="宋体" w:eastAsia="宋体" w:cs="宋体"/>
                <w:spacing w:val="6"/>
                <w:sz w:val="20"/>
                <w:szCs w:val="20"/>
              </w:rPr>
              <w:t>肥</w:t>
            </w:r>
          </w:p>
        </w:tc>
        <w:tc>
          <w:tcPr>
            <w:tcW w:w="3703" w:type="dxa"/>
            <w:tcBorders>
              <w:right w:val="nil"/>
            </w:tcBorders>
          </w:tcPr>
          <w:p w14:paraId="7B2F6EF2">
            <w:pPr>
              <w:spacing w:before="33" w:line="225" w:lineRule="auto"/>
              <w:ind w:left="1019"/>
              <w:rPr>
                <w:rFonts w:ascii="宋体" w:hAnsi="宋体" w:eastAsia="宋体" w:cs="宋体"/>
                <w:sz w:val="20"/>
                <w:szCs w:val="20"/>
              </w:rPr>
            </w:pPr>
            <w:r>
              <w:rPr>
                <w:rFonts w:ascii="宋体" w:hAnsi="宋体" w:eastAsia="宋体" w:cs="宋体"/>
                <w:spacing w:val="10"/>
                <w:sz w:val="20"/>
                <w:szCs w:val="20"/>
              </w:rPr>
              <w:t>是</w:t>
            </w:r>
            <w:r>
              <w:rPr>
                <w:rFonts w:ascii="宋体" w:hAnsi="宋体" w:eastAsia="宋体" w:cs="宋体"/>
                <w:spacing w:val="8"/>
                <w:sz w:val="20"/>
                <w:szCs w:val="20"/>
              </w:rPr>
              <w:t>否按照要求进行</w:t>
            </w:r>
          </w:p>
        </w:tc>
      </w:tr>
      <w:tr w14:paraId="7EB93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49" w:type="dxa"/>
            <w:vMerge w:val="continue"/>
            <w:tcBorders>
              <w:top w:val="nil"/>
              <w:left w:val="nil"/>
              <w:bottom w:val="nil"/>
            </w:tcBorders>
          </w:tcPr>
          <w:p w14:paraId="17BC6284"/>
        </w:tc>
        <w:tc>
          <w:tcPr>
            <w:tcW w:w="1301" w:type="dxa"/>
          </w:tcPr>
          <w:p w14:paraId="311C2970">
            <w:pPr>
              <w:spacing w:before="34" w:line="224" w:lineRule="auto"/>
              <w:ind w:left="341"/>
              <w:rPr>
                <w:rFonts w:ascii="宋体" w:hAnsi="宋体" w:eastAsia="宋体" w:cs="宋体"/>
                <w:sz w:val="20"/>
                <w:szCs w:val="20"/>
              </w:rPr>
            </w:pPr>
            <w:r>
              <w:rPr>
                <w:rFonts w:ascii="宋体" w:hAnsi="宋体" w:eastAsia="宋体" w:cs="宋体"/>
                <w:spacing w:val="7"/>
                <w:sz w:val="20"/>
                <w:szCs w:val="20"/>
              </w:rPr>
              <w:t>有</w:t>
            </w:r>
            <w:r>
              <w:rPr>
                <w:rFonts w:ascii="宋体" w:hAnsi="宋体" w:eastAsia="宋体" w:cs="宋体"/>
                <w:spacing w:val="6"/>
                <w:sz w:val="20"/>
                <w:szCs w:val="20"/>
              </w:rPr>
              <w:t>机肥</w:t>
            </w:r>
          </w:p>
        </w:tc>
        <w:tc>
          <w:tcPr>
            <w:tcW w:w="4129" w:type="dxa"/>
          </w:tcPr>
          <w:p w14:paraId="206E6C1B">
            <w:pPr>
              <w:spacing w:before="34" w:line="224" w:lineRule="auto"/>
              <w:ind w:left="1654"/>
              <w:rPr>
                <w:rFonts w:ascii="宋体" w:hAnsi="宋体" w:eastAsia="宋体" w:cs="宋体"/>
                <w:sz w:val="20"/>
                <w:szCs w:val="20"/>
              </w:rPr>
            </w:pPr>
            <w:r>
              <w:rPr>
                <w:rFonts w:ascii="宋体" w:hAnsi="宋体" w:eastAsia="宋体" w:cs="宋体"/>
                <w:spacing w:val="7"/>
                <w:sz w:val="20"/>
                <w:szCs w:val="20"/>
              </w:rPr>
              <w:t>外</w:t>
            </w:r>
            <w:r>
              <w:rPr>
                <w:rFonts w:ascii="宋体" w:hAnsi="宋体" w:eastAsia="宋体" w:cs="宋体"/>
                <w:spacing w:val="6"/>
                <w:sz w:val="20"/>
                <w:szCs w:val="20"/>
              </w:rPr>
              <w:t>售处置</w:t>
            </w:r>
          </w:p>
        </w:tc>
        <w:tc>
          <w:tcPr>
            <w:tcW w:w="3703" w:type="dxa"/>
            <w:tcBorders>
              <w:right w:val="nil"/>
            </w:tcBorders>
          </w:tcPr>
          <w:p w14:paraId="4736070C">
            <w:pPr>
              <w:spacing w:before="34" w:line="224" w:lineRule="auto"/>
              <w:ind w:left="1019"/>
              <w:rPr>
                <w:rFonts w:ascii="宋体" w:hAnsi="宋体" w:eastAsia="宋体" w:cs="宋体"/>
                <w:sz w:val="20"/>
                <w:szCs w:val="20"/>
              </w:rPr>
            </w:pPr>
            <w:r>
              <w:rPr>
                <w:rFonts w:ascii="宋体" w:hAnsi="宋体" w:eastAsia="宋体" w:cs="宋体"/>
                <w:spacing w:val="10"/>
                <w:sz w:val="20"/>
                <w:szCs w:val="20"/>
              </w:rPr>
              <w:t>是</w:t>
            </w:r>
            <w:r>
              <w:rPr>
                <w:rFonts w:ascii="宋体" w:hAnsi="宋体" w:eastAsia="宋体" w:cs="宋体"/>
                <w:spacing w:val="8"/>
                <w:sz w:val="20"/>
                <w:szCs w:val="20"/>
              </w:rPr>
              <w:t>否按照要求进行</w:t>
            </w:r>
          </w:p>
        </w:tc>
      </w:tr>
      <w:tr w14:paraId="37891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49" w:type="dxa"/>
            <w:vMerge w:val="continue"/>
            <w:tcBorders>
              <w:top w:val="nil"/>
              <w:left w:val="nil"/>
              <w:bottom w:val="nil"/>
            </w:tcBorders>
          </w:tcPr>
          <w:p w14:paraId="2361AF07"/>
        </w:tc>
        <w:tc>
          <w:tcPr>
            <w:tcW w:w="1301" w:type="dxa"/>
          </w:tcPr>
          <w:p w14:paraId="75845C02">
            <w:pPr>
              <w:spacing w:before="170" w:line="228" w:lineRule="auto"/>
              <w:ind w:left="244"/>
              <w:rPr>
                <w:rFonts w:ascii="宋体" w:hAnsi="宋体" w:eastAsia="宋体" w:cs="宋体"/>
                <w:sz w:val="20"/>
                <w:szCs w:val="20"/>
              </w:rPr>
            </w:pPr>
            <w:r>
              <w:rPr>
                <w:rFonts w:ascii="宋体" w:hAnsi="宋体" w:eastAsia="宋体" w:cs="宋体"/>
                <w:spacing w:val="5"/>
                <w:sz w:val="20"/>
                <w:szCs w:val="20"/>
              </w:rPr>
              <w:t>医疗废</w:t>
            </w:r>
            <w:r>
              <w:rPr>
                <w:rFonts w:ascii="宋体" w:hAnsi="宋体" w:eastAsia="宋体" w:cs="宋体"/>
                <w:spacing w:val="4"/>
                <w:sz w:val="20"/>
                <w:szCs w:val="20"/>
              </w:rPr>
              <w:t>物</w:t>
            </w:r>
          </w:p>
        </w:tc>
        <w:tc>
          <w:tcPr>
            <w:tcW w:w="4129" w:type="dxa"/>
          </w:tcPr>
          <w:p w14:paraId="71CAA8F7">
            <w:pPr>
              <w:spacing w:before="36" w:line="237" w:lineRule="auto"/>
              <w:ind w:left="394" w:right="107" w:hanging="278"/>
              <w:rPr>
                <w:rFonts w:ascii="宋体" w:hAnsi="宋体" w:eastAsia="宋体" w:cs="宋体"/>
                <w:sz w:val="20"/>
                <w:szCs w:val="20"/>
              </w:rPr>
            </w:pPr>
            <w:r>
              <w:rPr>
                <w:rFonts w:ascii="宋体" w:hAnsi="宋体" w:eastAsia="宋体" w:cs="宋体"/>
                <w:spacing w:val="5"/>
                <w:sz w:val="20"/>
                <w:szCs w:val="20"/>
              </w:rPr>
              <w:t>单独收集，设置医疗废物暂存间 (占地面</w:t>
            </w:r>
            <w:r>
              <w:rPr>
                <w:rFonts w:ascii="宋体" w:hAnsi="宋体" w:eastAsia="宋体" w:cs="宋体"/>
                <w:spacing w:val="4"/>
                <w:sz w:val="20"/>
                <w:szCs w:val="20"/>
              </w:rPr>
              <w:t>积</w:t>
            </w:r>
            <w:r>
              <w:rPr>
                <w:rFonts w:ascii="宋体" w:hAnsi="宋体" w:eastAsia="宋体" w:cs="宋体"/>
                <w:sz w:val="20"/>
                <w:szCs w:val="20"/>
              </w:rPr>
              <w:t xml:space="preserve"> </w:t>
            </w:r>
            <w:r>
              <w:rPr>
                <w:rFonts w:ascii="Times New Roman" w:hAnsi="Times New Roman" w:eastAsia="Times New Roman" w:cs="Times New Roman"/>
                <w:spacing w:val="10"/>
                <w:sz w:val="20"/>
                <w:szCs w:val="20"/>
              </w:rPr>
              <w:t>1</w:t>
            </w:r>
            <w:r>
              <w:rPr>
                <w:rFonts w:ascii="Times New Roman" w:hAnsi="Times New Roman" w:eastAsia="Times New Roman" w:cs="Times New Roman"/>
                <w:spacing w:val="6"/>
                <w:sz w:val="20"/>
                <w:szCs w:val="20"/>
              </w:rPr>
              <w:t>0</w:t>
            </w:r>
            <w:r>
              <w:rPr>
                <w:rFonts w:ascii="Times New Roman" w:hAnsi="Times New Roman" w:eastAsia="Times New Roman" w:cs="Times New Roman"/>
                <w:sz w:val="20"/>
                <w:szCs w:val="20"/>
              </w:rPr>
              <w:t>m</w:t>
            </w:r>
            <w:r>
              <w:rPr>
                <w:rFonts w:ascii="Times New Roman" w:hAnsi="Times New Roman" w:eastAsia="Times New Roman" w:cs="Times New Roman"/>
                <w:spacing w:val="5"/>
                <w:position w:val="6"/>
                <w:sz w:val="13"/>
                <w:szCs w:val="13"/>
              </w:rPr>
              <w:t xml:space="preserve">2 </w:t>
            </w:r>
            <w:r>
              <w:rPr>
                <w:rFonts w:ascii="宋体" w:hAnsi="宋体" w:eastAsia="宋体" w:cs="宋体"/>
                <w:spacing w:val="5"/>
                <w:sz w:val="20"/>
                <w:szCs w:val="20"/>
              </w:rPr>
              <w:t>) ，交资质单位处理，签订协议</w:t>
            </w:r>
          </w:p>
        </w:tc>
        <w:tc>
          <w:tcPr>
            <w:tcW w:w="3703" w:type="dxa"/>
            <w:tcBorders>
              <w:right w:val="nil"/>
            </w:tcBorders>
          </w:tcPr>
          <w:p w14:paraId="06C10FD5">
            <w:pPr>
              <w:spacing w:before="36" w:line="237" w:lineRule="auto"/>
              <w:ind w:left="270" w:right="187" w:hanging="94"/>
              <w:rPr>
                <w:rFonts w:ascii="宋体" w:hAnsi="宋体" w:eastAsia="宋体" w:cs="宋体"/>
                <w:sz w:val="20"/>
                <w:szCs w:val="20"/>
              </w:rPr>
            </w:pPr>
            <w:r>
              <w:rPr>
                <w:rFonts w:ascii="宋体" w:hAnsi="宋体" w:eastAsia="宋体" w:cs="宋体"/>
                <w:spacing w:val="16"/>
                <w:sz w:val="20"/>
                <w:szCs w:val="20"/>
              </w:rPr>
              <w:t>满</w:t>
            </w:r>
            <w:r>
              <w:rPr>
                <w:rFonts w:ascii="宋体" w:hAnsi="宋体" w:eastAsia="宋体" w:cs="宋体"/>
                <w:spacing w:val="8"/>
                <w:sz w:val="20"/>
                <w:szCs w:val="20"/>
              </w:rPr>
              <w:t>足《危险废物贮存污染控制标准》</w:t>
            </w:r>
            <w:r>
              <w:rPr>
                <w:rFonts w:ascii="宋体" w:hAnsi="宋体" w:eastAsia="宋体" w:cs="宋体"/>
                <w:sz w:val="20"/>
                <w:szCs w:val="20"/>
              </w:rPr>
              <w:t xml:space="preserve"> </w:t>
            </w:r>
            <w:r>
              <w:rPr>
                <w:rFonts w:ascii="宋体" w:hAnsi="宋体" w:eastAsia="宋体" w:cs="宋体"/>
                <w:spacing w:val="20"/>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11"/>
                <w:sz w:val="20"/>
                <w:szCs w:val="20"/>
              </w:rPr>
              <w:t>18597-2001</w:t>
            </w:r>
            <w:r>
              <w:rPr>
                <w:rFonts w:ascii="宋体" w:hAnsi="宋体" w:eastAsia="宋体" w:cs="宋体"/>
                <w:spacing w:val="11"/>
                <w:sz w:val="20"/>
                <w:szCs w:val="20"/>
              </w:rPr>
              <w:t>) 及其修改单要求</w:t>
            </w:r>
          </w:p>
        </w:tc>
      </w:tr>
      <w:tr w14:paraId="465C17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649" w:type="dxa"/>
            <w:vMerge w:val="continue"/>
            <w:tcBorders>
              <w:top w:val="nil"/>
              <w:left w:val="nil"/>
            </w:tcBorders>
          </w:tcPr>
          <w:p w14:paraId="21D7C0B7"/>
        </w:tc>
        <w:tc>
          <w:tcPr>
            <w:tcW w:w="1301" w:type="dxa"/>
          </w:tcPr>
          <w:p w14:paraId="6D08E3B3">
            <w:pPr>
              <w:spacing w:line="376" w:lineRule="auto"/>
            </w:pPr>
          </w:p>
          <w:p w14:paraId="09144537">
            <w:pPr>
              <w:spacing w:before="65" w:line="228" w:lineRule="auto"/>
              <w:ind w:left="339"/>
              <w:rPr>
                <w:rFonts w:ascii="宋体" w:hAnsi="宋体" w:eastAsia="宋体" w:cs="宋体"/>
                <w:sz w:val="20"/>
                <w:szCs w:val="20"/>
              </w:rPr>
            </w:pPr>
            <w:r>
              <w:rPr>
                <w:rFonts w:ascii="宋体" w:hAnsi="宋体" w:eastAsia="宋体" w:cs="宋体"/>
                <w:spacing w:val="7"/>
                <w:sz w:val="20"/>
                <w:szCs w:val="20"/>
              </w:rPr>
              <w:t>病死猪</w:t>
            </w:r>
          </w:p>
        </w:tc>
        <w:tc>
          <w:tcPr>
            <w:tcW w:w="4129" w:type="dxa"/>
          </w:tcPr>
          <w:p w14:paraId="69AFF3C5">
            <w:pPr>
              <w:spacing w:before="34" w:line="228" w:lineRule="auto"/>
              <w:ind w:left="178"/>
              <w:rPr>
                <w:rFonts w:ascii="宋体" w:hAnsi="宋体" w:eastAsia="宋体" w:cs="宋体"/>
                <w:sz w:val="20"/>
                <w:szCs w:val="20"/>
              </w:rPr>
            </w:pPr>
            <w:r>
              <w:rPr>
                <w:rFonts w:ascii="宋体" w:hAnsi="宋体" w:eastAsia="宋体" w:cs="宋体"/>
                <w:spacing w:val="17"/>
                <w:sz w:val="20"/>
                <w:szCs w:val="20"/>
              </w:rPr>
              <w:t>在</w:t>
            </w:r>
            <w:r>
              <w:rPr>
                <w:rFonts w:ascii="宋体" w:hAnsi="宋体" w:eastAsia="宋体" w:cs="宋体"/>
                <w:spacing w:val="9"/>
                <w:sz w:val="20"/>
                <w:szCs w:val="20"/>
              </w:rPr>
              <w:t>乐山市病死畜禽无害化处理中心建成之</w:t>
            </w:r>
          </w:p>
          <w:p w14:paraId="1E27AD87">
            <w:pPr>
              <w:spacing w:before="24" w:line="230" w:lineRule="auto"/>
              <w:ind w:left="117"/>
              <w:rPr>
                <w:rFonts w:ascii="宋体" w:hAnsi="宋体" w:eastAsia="宋体" w:cs="宋体"/>
                <w:sz w:val="20"/>
                <w:szCs w:val="20"/>
              </w:rPr>
            </w:pPr>
            <w:r>
              <w:rPr>
                <w:rFonts w:ascii="宋体" w:hAnsi="宋体" w:eastAsia="宋体" w:cs="宋体"/>
                <w:spacing w:val="10"/>
                <w:sz w:val="20"/>
                <w:szCs w:val="20"/>
              </w:rPr>
              <w:t>前</w:t>
            </w:r>
            <w:r>
              <w:rPr>
                <w:rFonts w:ascii="宋体" w:hAnsi="宋体" w:eastAsia="宋体" w:cs="宋体"/>
                <w:spacing w:val="8"/>
                <w:sz w:val="20"/>
                <w:szCs w:val="20"/>
              </w:rPr>
              <w:t>，</w:t>
            </w:r>
            <w:r>
              <w:rPr>
                <w:rFonts w:ascii="宋体" w:hAnsi="宋体" w:eastAsia="宋体" w:cs="宋体"/>
                <w:spacing w:val="5"/>
                <w:sz w:val="20"/>
                <w:szCs w:val="20"/>
              </w:rPr>
              <w:t>委托专业化的公司进行无害化处置，乐</w:t>
            </w:r>
          </w:p>
          <w:p w14:paraId="7338C92A">
            <w:pPr>
              <w:spacing w:before="24" w:line="228" w:lineRule="auto"/>
              <w:ind w:left="198"/>
              <w:rPr>
                <w:rFonts w:ascii="宋体" w:hAnsi="宋体" w:eastAsia="宋体" w:cs="宋体"/>
                <w:sz w:val="20"/>
                <w:szCs w:val="20"/>
              </w:rPr>
            </w:pPr>
            <w:r>
              <w:rPr>
                <w:rFonts w:ascii="宋体" w:hAnsi="宋体" w:eastAsia="宋体" w:cs="宋体"/>
                <w:spacing w:val="14"/>
                <w:sz w:val="20"/>
                <w:szCs w:val="20"/>
              </w:rPr>
              <w:t>山</w:t>
            </w:r>
            <w:r>
              <w:rPr>
                <w:rFonts w:ascii="宋体" w:hAnsi="宋体" w:eastAsia="宋体" w:cs="宋体"/>
                <w:spacing w:val="8"/>
                <w:sz w:val="20"/>
                <w:szCs w:val="20"/>
              </w:rPr>
              <w:t>市病死畜禽无害化处理中心建成后交无</w:t>
            </w:r>
          </w:p>
          <w:p w14:paraId="648A4824">
            <w:pPr>
              <w:spacing w:before="24" w:line="224" w:lineRule="auto"/>
              <w:ind w:left="1129"/>
              <w:rPr>
                <w:rFonts w:ascii="宋体" w:hAnsi="宋体" w:eastAsia="宋体" w:cs="宋体"/>
                <w:sz w:val="20"/>
                <w:szCs w:val="20"/>
              </w:rPr>
            </w:pPr>
            <w:r>
              <w:rPr>
                <w:rFonts w:ascii="宋体" w:hAnsi="宋体" w:eastAsia="宋体" w:cs="宋体"/>
                <w:spacing w:val="9"/>
                <w:sz w:val="20"/>
                <w:szCs w:val="20"/>
              </w:rPr>
              <w:t>害</w:t>
            </w:r>
            <w:r>
              <w:rPr>
                <w:rFonts w:ascii="宋体" w:hAnsi="宋体" w:eastAsia="宋体" w:cs="宋体"/>
                <w:spacing w:val="7"/>
                <w:sz w:val="20"/>
                <w:szCs w:val="20"/>
              </w:rPr>
              <w:t>化处理中心处置。</w:t>
            </w:r>
          </w:p>
        </w:tc>
        <w:tc>
          <w:tcPr>
            <w:tcW w:w="3703" w:type="dxa"/>
            <w:tcBorders>
              <w:right w:val="nil"/>
            </w:tcBorders>
          </w:tcPr>
          <w:p w14:paraId="27FE7EE5">
            <w:pPr>
              <w:spacing w:before="35" w:line="227" w:lineRule="auto"/>
              <w:ind w:left="179"/>
              <w:rPr>
                <w:rFonts w:ascii="宋体" w:hAnsi="宋体" w:eastAsia="宋体" w:cs="宋体"/>
                <w:sz w:val="20"/>
                <w:szCs w:val="20"/>
              </w:rPr>
            </w:pPr>
            <w:r>
              <w:rPr>
                <w:rFonts w:ascii="宋体" w:hAnsi="宋体" w:eastAsia="宋体" w:cs="宋体"/>
                <w:spacing w:val="11"/>
                <w:sz w:val="20"/>
                <w:szCs w:val="20"/>
              </w:rPr>
              <w:t>是</w:t>
            </w:r>
            <w:r>
              <w:rPr>
                <w:rFonts w:ascii="宋体" w:hAnsi="宋体" w:eastAsia="宋体" w:cs="宋体"/>
                <w:spacing w:val="9"/>
                <w:sz w:val="20"/>
                <w:szCs w:val="20"/>
              </w:rPr>
              <w:t>否按照乐山市沙湾区人民政府办公</w:t>
            </w:r>
          </w:p>
          <w:p w14:paraId="6956EDA8">
            <w:pPr>
              <w:spacing w:before="25" w:line="220" w:lineRule="auto"/>
              <w:ind w:left="116"/>
              <w:rPr>
                <w:rFonts w:ascii="宋体" w:hAnsi="宋体" w:eastAsia="宋体" w:cs="宋体"/>
                <w:sz w:val="20"/>
                <w:szCs w:val="20"/>
              </w:rPr>
            </w:pPr>
            <w:r>
              <w:rPr>
                <w:rFonts w:ascii="宋体" w:hAnsi="宋体" w:eastAsia="宋体" w:cs="宋体"/>
                <w:spacing w:val="8"/>
                <w:sz w:val="20"/>
                <w:szCs w:val="20"/>
              </w:rPr>
              <w:t>室</w:t>
            </w:r>
            <w:r>
              <w:rPr>
                <w:rFonts w:ascii="宋体" w:hAnsi="宋体" w:eastAsia="宋体" w:cs="宋体"/>
                <w:spacing w:val="5"/>
                <w:sz w:val="20"/>
                <w:szCs w:val="20"/>
              </w:rPr>
              <w:t>《</w:t>
            </w:r>
            <w:r>
              <w:rPr>
                <w:rFonts w:ascii="宋体" w:hAnsi="宋体" w:eastAsia="宋体" w:cs="宋体"/>
                <w:spacing w:val="4"/>
                <w:sz w:val="20"/>
                <w:szCs w:val="20"/>
              </w:rPr>
              <w:t>关于建立病死畜禽无害化处理机制</w:t>
            </w:r>
          </w:p>
          <w:p w14:paraId="46E83766">
            <w:pPr>
              <w:spacing w:line="278" w:lineRule="exact"/>
              <w:ind w:left="154"/>
              <w:rPr>
                <w:rFonts w:ascii="宋体" w:hAnsi="宋体" w:eastAsia="宋体" w:cs="宋体"/>
                <w:sz w:val="20"/>
                <w:szCs w:val="20"/>
              </w:rPr>
            </w:pPr>
            <w:r>
              <w:rPr>
                <w:rFonts w:ascii="宋体" w:hAnsi="宋体" w:eastAsia="宋体" w:cs="宋体"/>
                <w:spacing w:val="-1"/>
                <w:position w:val="2"/>
                <w:sz w:val="20"/>
                <w:szCs w:val="20"/>
              </w:rPr>
              <w:t>的通知》</w:t>
            </w:r>
            <w:r>
              <w:rPr>
                <w:rFonts w:ascii="宋体" w:hAnsi="宋体" w:eastAsia="宋体" w:cs="宋体"/>
                <w:position w:val="2"/>
                <w:sz w:val="20"/>
                <w:szCs w:val="20"/>
              </w:rPr>
              <w:t xml:space="preserve">  (乐沙府办函</w:t>
            </w:r>
            <w:r>
              <w:rPr>
                <w:rFonts w:ascii="Calibri" w:hAnsi="Calibri" w:eastAsia="Calibri" w:cs="Calibri"/>
                <w:position w:val="2"/>
                <w:sz w:val="20"/>
                <w:szCs w:val="20"/>
              </w:rPr>
              <w:t xml:space="preserve">[2018] 1 </w:t>
            </w:r>
            <w:r>
              <w:rPr>
                <w:rFonts w:ascii="宋体" w:hAnsi="宋体" w:eastAsia="宋体" w:cs="宋体"/>
                <w:position w:val="2"/>
                <w:sz w:val="20"/>
                <w:szCs w:val="20"/>
              </w:rPr>
              <w:t>号) 要</w:t>
            </w:r>
          </w:p>
          <w:p w14:paraId="55A21713">
            <w:pPr>
              <w:spacing w:before="27" w:line="224" w:lineRule="auto"/>
              <w:ind w:left="1543"/>
              <w:rPr>
                <w:rFonts w:ascii="宋体" w:hAnsi="宋体" w:eastAsia="宋体" w:cs="宋体"/>
                <w:sz w:val="20"/>
                <w:szCs w:val="20"/>
              </w:rPr>
            </w:pPr>
            <w:r>
              <w:rPr>
                <w:rFonts w:ascii="宋体" w:hAnsi="宋体" w:eastAsia="宋体" w:cs="宋体"/>
                <w:spacing w:val="7"/>
                <w:sz w:val="20"/>
                <w:szCs w:val="20"/>
              </w:rPr>
              <w:t>求</w:t>
            </w:r>
            <w:r>
              <w:rPr>
                <w:rFonts w:ascii="宋体" w:hAnsi="宋体" w:eastAsia="宋体" w:cs="宋体"/>
                <w:spacing w:val="6"/>
                <w:sz w:val="20"/>
                <w:szCs w:val="20"/>
              </w:rPr>
              <w:t>进行</w:t>
            </w:r>
          </w:p>
        </w:tc>
      </w:tr>
      <w:tr w14:paraId="6CB205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 w:hRule="atLeast"/>
        </w:trPr>
        <w:tc>
          <w:tcPr>
            <w:tcW w:w="1950" w:type="dxa"/>
            <w:gridSpan w:val="2"/>
            <w:tcBorders>
              <w:left w:val="nil"/>
            </w:tcBorders>
          </w:tcPr>
          <w:p w14:paraId="560372A0"/>
          <w:p w14:paraId="5D51369F">
            <w:pPr>
              <w:spacing w:before="65" w:line="228" w:lineRule="auto"/>
              <w:ind w:left="564"/>
              <w:rPr>
                <w:rFonts w:ascii="宋体" w:hAnsi="宋体" w:eastAsia="宋体" w:cs="宋体"/>
                <w:sz w:val="20"/>
                <w:szCs w:val="20"/>
              </w:rPr>
            </w:pPr>
            <w:r>
              <w:rPr>
                <w:rFonts w:ascii="宋体" w:hAnsi="宋体" w:eastAsia="宋体" w:cs="宋体"/>
                <w:spacing w:val="9"/>
                <w:sz w:val="20"/>
                <w:szCs w:val="20"/>
              </w:rPr>
              <w:t>分</w:t>
            </w:r>
            <w:r>
              <w:rPr>
                <w:rFonts w:ascii="宋体" w:hAnsi="宋体" w:eastAsia="宋体" w:cs="宋体"/>
                <w:spacing w:val="6"/>
                <w:sz w:val="20"/>
                <w:szCs w:val="20"/>
              </w:rPr>
              <w:t>区防渗</w:t>
            </w:r>
          </w:p>
        </w:tc>
        <w:tc>
          <w:tcPr>
            <w:tcW w:w="7832" w:type="dxa"/>
            <w:gridSpan w:val="2"/>
            <w:tcBorders>
              <w:right w:val="nil"/>
            </w:tcBorders>
          </w:tcPr>
          <w:p w14:paraId="0FA94B14">
            <w:pPr>
              <w:spacing w:before="37" w:line="248" w:lineRule="auto"/>
              <w:ind w:left="113" w:right="100" w:firstLine="4"/>
              <w:rPr>
                <w:rFonts w:ascii="宋体" w:hAnsi="宋体" w:eastAsia="宋体" w:cs="宋体"/>
                <w:sz w:val="20"/>
                <w:szCs w:val="20"/>
              </w:rPr>
            </w:pPr>
            <w:r>
              <w:rPr>
                <w:rFonts w:ascii="宋体" w:hAnsi="宋体" w:eastAsia="宋体" w:cs="宋体"/>
                <w:spacing w:val="20"/>
                <w:sz w:val="20"/>
                <w:szCs w:val="20"/>
              </w:rPr>
              <w:t>一般</w:t>
            </w:r>
            <w:r>
              <w:rPr>
                <w:rFonts w:ascii="宋体" w:hAnsi="宋体" w:eastAsia="宋体" w:cs="宋体"/>
                <w:spacing w:val="11"/>
                <w:sz w:val="20"/>
                <w:szCs w:val="20"/>
              </w:rPr>
              <w:t>防</w:t>
            </w:r>
            <w:r>
              <w:rPr>
                <w:rFonts w:ascii="宋体" w:hAnsi="宋体" w:eastAsia="宋体" w:cs="宋体"/>
                <w:spacing w:val="10"/>
                <w:sz w:val="20"/>
                <w:szCs w:val="20"/>
              </w:rPr>
              <w:t>渗区 (粪污化粪池、异位发酵床、隔油池、生活污水化粪池) 采用防渗混凝</w:t>
            </w:r>
            <w:r>
              <w:rPr>
                <w:rFonts w:ascii="宋体" w:hAnsi="宋体" w:eastAsia="宋体" w:cs="宋体"/>
                <w:sz w:val="20"/>
                <w:szCs w:val="20"/>
              </w:rPr>
              <w:t xml:space="preserve"> </w:t>
            </w:r>
            <w:r>
              <w:rPr>
                <w:rFonts w:ascii="宋体" w:hAnsi="宋体" w:eastAsia="宋体" w:cs="宋体"/>
                <w:spacing w:val="10"/>
                <w:sz w:val="20"/>
                <w:szCs w:val="20"/>
              </w:rPr>
              <w:t>土</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HDPE</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 xml:space="preserve">土工膜 (厚度大于 </w:t>
            </w:r>
            <w:r>
              <w:rPr>
                <w:rFonts w:ascii="Times New Roman" w:hAnsi="Times New Roman" w:eastAsia="Times New Roman" w:cs="Times New Roman"/>
                <w:spacing w:val="7"/>
                <w:sz w:val="20"/>
                <w:szCs w:val="20"/>
              </w:rPr>
              <w:t>1.5</w:t>
            </w:r>
            <w:r>
              <w:rPr>
                <w:rFonts w:ascii="Times New Roman" w:hAnsi="Times New Roman" w:eastAsia="Times New Roman" w:cs="Times New Roman"/>
                <w:sz w:val="20"/>
                <w:szCs w:val="20"/>
              </w:rPr>
              <w:t>mm</w:t>
            </w:r>
            <w:r>
              <w:rPr>
                <w:rFonts w:ascii="宋体" w:hAnsi="宋体" w:eastAsia="宋体" w:cs="宋体"/>
                <w:spacing w:val="7"/>
                <w:sz w:val="20"/>
                <w:szCs w:val="20"/>
              </w:rPr>
              <w:t>) 、猪舍、隔离舍采样防渗混凝土、医疗废物暂</w:t>
            </w:r>
            <w:r>
              <w:rPr>
                <w:rFonts w:ascii="宋体" w:hAnsi="宋体" w:eastAsia="宋体" w:cs="宋体"/>
                <w:sz w:val="20"/>
                <w:szCs w:val="20"/>
              </w:rPr>
              <w:t xml:space="preserve"> </w:t>
            </w:r>
            <w:r>
              <w:rPr>
                <w:rFonts w:ascii="宋体" w:hAnsi="宋体" w:eastAsia="宋体" w:cs="宋体"/>
                <w:spacing w:val="7"/>
                <w:sz w:val="20"/>
                <w:szCs w:val="20"/>
              </w:rPr>
              <w:t>存间采用防渗混凝土</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HDPE</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 xml:space="preserve">土工膜 (厚度大于 </w:t>
            </w:r>
            <w:r>
              <w:rPr>
                <w:rFonts w:ascii="Times New Roman" w:hAnsi="Times New Roman" w:eastAsia="Times New Roman" w:cs="Times New Roman"/>
                <w:spacing w:val="7"/>
                <w:sz w:val="20"/>
                <w:szCs w:val="20"/>
              </w:rPr>
              <w:t>2.0</w:t>
            </w:r>
            <w:r>
              <w:rPr>
                <w:rFonts w:ascii="Times New Roman" w:hAnsi="Times New Roman" w:eastAsia="Times New Roman" w:cs="Times New Roman"/>
                <w:sz w:val="20"/>
                <w:szCs w:val="20"/>
              </w:rPr>
              <w:t>mm</w:t>
            </w:r>
            <w:r>
              <w:rPr>
                <w:rFonts w:ascii="宋体" w:hAnsi="宋体" w:eastAsia="宋体" w:cs="宋体"/>
                <w:spacing w:val="7"/>
                <w:sz w:val="20"/>
                <w:szCs w:val="20"/>
              </w:rPr>
              <w:t>) ；简单防渗区采样水泥硬化</w:t>
            </w:r>
          </w:p>
        </w:tc>
      </w:tr>
    </w:tbl>
    <w:p w14:paraId="048AB58F"/>
    <w:p w14:paraId="5863D456">
      <w:pPr>
        <w:sectPr>
          <w:headerReference r:id="rId314" w:type="default"/>
          <w:footerReference r:id="rId315" w:type="default"/>
          <w:pgSz w:w="11906" w:h="16839"/>
          <w:pgMar w:top="1118" w:right="990" w:bottom="1157" w:left="1132" w:header="878" w:footer="994" w:gutter="0"/>
          <w:cols w:space="720" w:num="1"/>
        </w:sectPr>
      </w:pPr>
    </w:p>
    <w:p w14:paraId="08D5D996">
      <w:pPr>
        <w:spacing w:line="157" w:lineRule="exact"/>
      </w:pPr>
      <w:r>
        <w:pict>
          <v:rect id="_x0000_s2134" o:spid="_x0000_s2134" o:spt="1" style="position:absolute;left:0pt;margin-left:56.65pt;margin-top:142.35pt;height:1.45pt;width:489.15pt;mso-position-horizontal-relative:page;mso-position-vertical-relative:page;z-index:251751424;mso-width-relative:page;mso-height-relative:page;" fillcolor="#000000" filled="t" stroked="f" coordsize="21600,21600" o:allowincell="f">
            <v:path/>
            <v:fill on="t" focussize="0,0"/>
            <v:stroke on="f"/>
            <v:imagedata o:title=""/>
            <o:lock v:ext="edit"/>
          </v:rect>
        </w:pict>
      </w:r>
      <w:r>
        <w:pict>
          <v:shape id="_x0000_s2135" o:spid="_x0000_s2135" style="position:absolute;left:0pt;margin-left:56.65pt;margin-top:128.25pt;height:0.5pt;width:489.15pt;mso-position-horizontal-relative:page;mso-position-vertical-relative:page;z-index:251752448;mso-width-relative:page;mso-height-relative:page;" filled="f" coordsize="9782,10" o:allowincell="f" path="m0,4l9782,4e">
            <v:fill on="f" focussize="0,0"/>
            <v:stroke weight="0.48pt" miterlimit="2" joinstyle="bevel"/>
            <v:imagedata o:title=""/>
            <o:lock v:ext="edit"/>
          </v:shape>
        </w:pict>
      </w:r>
    </w:p>
    <w:tbl>
      <w:tblPr>
        <w:tblStyle w:val="4"/>
        <w:tblW w:w="978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50"/>
        <w:gridCol w:w="7832"/>
      </w:tblGrid>
      <w:tr w14:paraId="57FBDB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1950" w:type="dxa"/>
            <w:tcBorders>
              <w:left w:val="nil"/>
            </w:tcBorders>
          </w:tcPr>
          <w:p w14:paraId="0F090A04"/>
        </w:tc>
        <w:tc>
          <w:tcPr>
            <w:tcW w:w="7832" w:type="dxa"/>
            <w:tcBorders>
              <w:right w:val="nil"/>
            </w:tcBorders>
          </w:tcPr>
          <w:p w14:paraId="68D1E99B">
            <w:pPr>
              <w:spacing w:before="36" w:line="228" w:lineRule="auto"/>
              <w:ind w:left="114"/>
              <w:rPr>
                <w:rFonts w:ascii="宋体" w:hAnsi="宋体" w:eastAsia="宋体" w:cs="宋体"/>
                <w:sz w:val="20"/>
                <w:szCs w:val="20"/>
              </w:rPr>
            </w:pPr>
            <w:r>
              <w:rPr>
                <w:rFonts w:ascii="宋体" w:hAnsi="宋体" w:eastAsia="宋体" w:cs="宋体"/>
                <w:spacing w:val="5"/>
                <w:sz w:val="20"/>
                <w:szCs w:val="20"/>
              </w:rPr>
              <w:t>措</w:t>
            </w:r>
            <w:r>
              <w:rPr>
                <w:rFonts w:ascii="宋体" w:hAnsi="宋体" w:eastAsia="宋体" w:cs="宋体"/>
                <w:spacing w:val="4"/>
                <w:sz w:val="20"/>
                <w:szCs w:val="20"/>
              </w:rPr>
              <w:t>施</w:t>
            </w:r>
          </w:p>
        </w:tc>
      </w:tr>
      <w:tr w14:paraId="78FE65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1950" w:type="dxa"/>
            <w:tcBorders>
              <w:left w:val="nil"/>
            </w:tcBorders>
          </w:tcPr>
          <w:p w14:paraId="74197D80">
            <w:pPr>
              <w:spacing w:before="35" w:line="226" w:lineRule="auto"/>
              <w:ind w:left="641"/>
              <w:rPr>
                <w:rFonts w:ascii="宋体" w:hAnsi="宋体" w:eastAsia="宋体" w:cs="宋体"/>
                <w:sz w:val="20"/>
                <w:szCs w:val="20"/>
              </w:rPr>
            </w:pPr>
            <w:r>
              <w:rPr>
                <w:rFonts w:ascii="宋体" w:hAnsi="宋体" w:eastAsia="宋体" w:cs="宋体"/>
                <w:spacing w:val="8"/>
                <w:sz w:val="20"/>
                <w:szCs w:val="20"/>
              </w:rPr>
              <w:t>环</w:t>
            </w:r>
            <w:r>
              <w:rPr>
                <w:rFonts w:ascii="宋体" w:hAnsi="宋体" w:eastAsia="宋体" w:cs="宋体"/>
                <w:spacing w:val="7"/>
                <w:sz w:val="20"/>
                <w:szCs w:val="20"/>
              </w:rPr>
              <w:t>境风险</w:t>
            </w:r>
          </w:p>
        </w:tc>
        <w:tc>
          <w:tcPr>
            <w:tcW w:w="7832" w:type="dxa"/>
            <w:tcBorders>
              <w:right w:val="nil"/>
            </w:tcBorders>
          </w:tcPr>
          <w:p w14:paraId="10F097DB">
            <w:pPr>
              <w:spacing w:before="35" w:line="226" w:lineRule="auto"/>
              <w:ind w:left="122"/>
              <w:rPr>
                <w:rFonts w:ascii="宋体" w:hAnsi="宋体" w:eastAsia="宋体" w:cs="宋体"/>
                <w:sz w:val="20"/>
                <w:szCs w:val="20"/>
              </w:rPr>
            </w:pPr>
            <w:r>
              <w:rPr>
                <w:rFonts w:ascii="宋体" w:hAnsi="宋体" w:eastAsia="宋体" w:cs="宋体"/>
                <w:spacing w:val="18"/>
                <w:sz w:val="20"/>
                <w:szCs w:val="20"/>
              </w:rPr>
              <w:t>吸</w:t>
            </w:r>
            <w:r>
              <w:rPr>
                <w:rFonts w:ascii="宋体" w:hAnsi="宋体" w:eastAsia="宋体" w:cs="宋体"/>
                <w:spacing w:val="11"/>
                <w:sz w:val="20"/>
                <w:szCs w:val="20"/>
              </w:rPr>
              <w:t>油</w:t>
            </w:r>
            <w:r>
              <w:rPr>
                <w:rFonts w:ascii="宋体" w:hAnsi="宋体" w:eastAsia="宋体" w:cs="宋体"/>
                <w:spacing w:val="9"/>
                <w:sz w:val="20"/>
                <w:szCs w:val="20"/>
              </w:rPr>
              <w:t>毡、消防沙、灭火器材、劳保用品等环境风险风险防范物资购置</w:t>
            </w:r>
          </w:p>
        </w:tc>
      </w:tr>
    </w:tbl>
    <w:p w14:paraId="529740DA">
      <w:pPr>
        <w:spacing w:before="31" w:line="228" w:lineRule="auto"/>
        <w:ind w:left="3689"/>
        <w:rPr>
          <w:rFonts w:ascii="宋体" w:hAnsi="宋体" w:eastAsia="宋体" w:cs="宋体"/>
          <w:sz w:val="20"/>
          <w:szCs w:val="20"/>
        </w:rPr>
      </w:pPr>
      <w:r>
        <w:rPr>
          <w:rFonts w:ascii="宋体" w:hAnsi="宋体" w:eastAsia="宋体" w:cs="宋体"/>
          <w:spacing w:val="14"/>
          <w:sz w:val="20"/>
          <w:szCs w:val="20"/>
        </w:rPr>
        <w:t>厂</w:t>
      </w:r>
      <w:r>
        <w:rPr>
          <w:rFonts w:ascii="宋体" w:hAnsi="宋体" w:eastAsia="宋体" w:cs="宋体"/>
          <w:spacing w:val="8"/>
          <w:sz w:val="20"/>
          <w:szCs w:val="20"/>
        </w:rPr>
        <w:t>区及厂界进行绿化</w:t>
      </w:r>
    </w:p>
    <w:p w14:paraId="0F9FDC6A">
      <w:pPr>
        <w:spacing w:before="35" w:line="227" w:lineRule="auto"/>
        <w:ind w:left="1481"/>
        <w:rPr>
          <w:rFonts w:ascii="宋体" w:hAnsi="宋体" w:eastAsia="宋体" w:cs="宋体"/>
          <w:sz w:val="20"/>
          <w:szCs w:val="20"/>
        </w:rPr>
      </w:pPr>
      <w:r>
        <w:rPr>
          <w:rFonts w:ascii="宋体" w:hAnsi="宋体" w:eastAsia="宋体" w:cs="宋体"/>
          <w:spacing w:val="6"/>
          <w:sz w:val="20"/>
          <w:szCs w:val="20"/>
        </w:rPr>
        <w:t>环保规章制度的制定及执行，环保宣传栏的建设， 日常环境监测等</w:t>
      </w:r>
    </w:p>
    <w:p w14:paraId="02D79399">
      <w:pPr>
        <w:spacing w:before="61" w:line="228" w:lineRule="auto"/>
        <w:ind w:left="644"/>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2</w:t>
      </w:r>
      <w:r>
        <w:rPr>
          <w:rFonts w:ascii="宋体" w:hAnsi="宋体" w:eastAsia="宋体" w:cs="宋体"/>
          <w:spacing w:val="20"/>
          <w:sz w:val="23"/>
          <w:szCs w:val="23"/>
        </w:rPr>
        <w:t>) 排污许</w:t>
      </w:r>
      <w:r>
        <w:rPr>
          <w:rFonts w:ascii="宋体" w:hAnsi="宋体" w:eastAsia="宋体" w:cs="宋体"/>
          <w:spacing w:val="19"/>
          <w:sz w:val="23"/>
          <w:szCs w:val="23"/>
        </w:rPr>
        <w:t>可</w:t>
      </w:r>
    </w:p>
    <w:p w14:paraId="2345F3D4">
      <w:pPr>
        <w:spacing w:before="137" w:line="384" w:lineRule="auto"/>
        <w:ind w:left="153" w:right="139" w:firstLine="480"/>
        <w:rPr>
          <w:rFonts w:ascii="宋体" w:hAnsi="宋体" w:eastAsia="宋体" w:cs="宋体"/>
          <w:sz w:val="23"/>
          <w:szCs w:val="23"/>
        </w:rPr>
      </w:pPr>
      <w:r>
        <w:rPr>
          <w:rFonts w:ascii="宋体" w:hAnsi="宋体" w:eastAsia="宋体" w:cs="宋体"/>
          <w:spacing w:val="5"/>
          <w:sz w:val="23"/>
          <w:szCs w:val="23"/>
        </w:rPr>
        <w:t>严格按照《控制污染物排放许可制实施方案》  (国办发</w:t>
      </w:r>
      <w:r>
        <w:rPr>
          <w:rFonts w:ascii="Times New Roman" w:hAnsi="Times New Roman" w:eastAsia="Times New Roman" w:cs="Times New Roman"/>
          <w:spacing w:val="5"/>
          <w:sz w:val="23"/>
          <w:szCs w:val="23"/>
        </w:rPr>
        <w:t xml:space="preserve">[2016] 186 </w:t>
      </w:r>
      <w:r>
        <w:rPr>
          <w:rFonts w:ascii="宋体" w:hAnsi="宋体" w:eastAsia="宋体" w:cs="宋体"/>
          <w:spacing w:val="5"/>
          <w:sz w:val="23"/>
          <w:szCs w:val="23"/>
        </w:rPr>
        <w:t>号) 、《排污许</w:t>
      </w:r>
      <w:r>
        <w:rPr>
          <w:rFonts w:ascii="宋体" w:hAnsi="宋体" w:eastAsia="宋体" w:cs="宋体"/>
          <w:spacing w:val="3"/>
          <w:sz w:val="23"/>
          <w:szCs w:val="23"/>
        </w:rPr>
        <w:t>可</w:t>
      </w:r>
      <w:r>
        <w:rPr>
          <w:rFonts w:ascii="宋体" w:hAnsi="宋体" w:eastAsia="宋体" w:cs="宋体"/>
          <w:sz w:val="23"/>
          <w:szCs w:val="23"/>
        </w:rPr>
        <w:t xml:space="preserve">管 </w:t>
      </w:r>
      <w:r>
        <w:rPr>
          <w:rFonts w:ascii="宋体" w:hAnsi="宋体" w:eastAsia="宋体" w:cs="宋体"/>
          <w:spacing w:val="5"/>
          <w:sz w:val="23"/>
          <w:szCs w:val="23"/>
        </w:rPr>
        <w:t xml:space="preserve">理办法 (试行) 》  (环境保护部令第 </w:t>
      </w:r>
      <w:r>
        <w:rPr>
          <w:rFonts w:ascii="Times New Roman" w:hAnsi="Times New Roman" w:eastAsia="Times New Roman" w:cs="Times New Roman"/>
          <w:spacing w:val="5"/>
          <w:sz w:val="23"/>
          <w:szCs w:val="23"/>
        </w:rPr>
        <w:t xml:space="preserve">48 </w:t>
      </w:r>
      <w:r>
        <w:rPr>
          <w:rFonts w:ascii="宋体" w:hAnsi="宋体" w:eastAsia="宋体" w:cs="宋体"/>
          <w:spacing w:val="5"/>
          <w:sz w:val="23"/>
          <w:szCs w:val="23"/>
        </w:rPr>
        <w:t>号) 的相关要求，并结合《固定污染源排污许</w:t>
      </w:r>
      <w:r>
        <w:rPr>
          <w:rFonts w:ascii="宋体" w:hAnsi="宋体" w:eastAsia="宋体" w:cs="宋体"/>
          <w:spacing w:val="4"/>
          <w:sz w:val="23"/>
          <w:szCs w:val="23"/>
        </w:rPr>
        <w:t>可</w:t>
      </w:r>
      <w:r>
        <w:rPr>
          <w:rFonts w:ascii="宋体" w:hAnsi="宋体" w:eastAsia="宋体" w:cs="宋体"/>
          <w:sz w:val="23"/>
          <w:szCs w:val="23"/>
        </w:rPr>
        <w:t xml:space="preserve">分 </w:t>
      </w:r>
      <w:r>
        <w:rPr>
          <w:rFonts w:ascii="宋体" w:hAnsi="宋体" w:eastAsia="宋体" w:cs="宋体"/>
          <w:spacing w:val="6"/>
          <w:sz w:val="23"/>
          <w:szCs w:val="23"/>
        </w:rPr>
        <w:t>类管理名录 (</w:t>
      </w:r>
      <w:r>
        <w:rPr>
          <w:rFonts w:ascii="Times New Roman" w:hAnsi="Times New Roman" w:eastAsia="Times New Roman" w:cs="Times New Roman"/>
          <w:spacing w:val="6"/>
          <w:sz w:val="23"/>
          <w:szCs w:val="23"/>
        </w:rPr>
        <w:t>2</w:t>
      </w:r>
      <w:r>
        <w:rPr>
          <w:rFonts w:ascii="Times New Roman" w:hAnsi="Times New Roman" w:eastAsia="Times New Roman" w:cs="Times New Roman"/>
          <w:spacing w:val="3"/>
          <w:sz w:val="23"/>
          <w:szCs w:val="23"/>
        </w:rPr>
        <w:t xml:space="preserve">017 </w:t>
      </w:r>
      <w:r>
        <w:rPr>
          <w:rFonts w:ascii="宋体" w:hAnsi="宋体" w:eastAsia="宋体" w:cs="宋体"/>
          <w:spacing w:val="3"/>
          <w:sz w:val="23"/>
          <w:szCs w:val="23"/>
        </w:rPr>
        <w:t xml:space="preserve">年版) 》  (环境保护部令第 </w:t>
      </w:r>
      <w:r>
        <w:rPr>
          <w:rFonts w:ascii="Times New Roman" w:hAnsi="Times New Roman" w:eastAsia="Times New Roman" w:cs="Times New Roman"/>
          <w:spacing w:val="3"/>
          <w:sz w:val="23"/>
          <w:szCs w:val="23"/>
        </w:rPr>
        <w:t xml:space="preserve">45 </w:t>
      </w:r>
      <w:r>
        <w:rPr>
          <w:rFonts w:ascii="宋体" w:hAnsi="宋体" w:eastAsia="宋体" w:cs="宋体"/>
          <w:spacing w:val="3"/>
          <w:sz w:val="23"/>
          <w:szCs w:val="23"/>
        </w:rPr>
        <w:t>号) ，在规定的时限及时间段内申请办理</w:t>
      </w:r>
      <w:r>
        <w:rPr>
          <w:rFonts w:ascii="宋体" w:hAnsi="宋体" w:eastAsia="宋体" w:cs="宋体"/>
          <w:sz w:val="23"/>
          <w:szCs w:val="23"/>
        </w:rPr>
        <w:t xml:space="preserve"> </w:t>
      </w:r>
      <w:r>
        <w:rPr>
          <w:rFonts w:ascii="宋体" w:hAnsi="宋体" w:eastAsia="宋体" w:cs="宋体"/>
          <w:spacing w:val="6"/>
          <w:sz w:val="23"/>
          <w:szCs w:val="23"/>
        </w:rPr>
        <w:t>排污许可。</w:t>
      </w:r>
    </w:p>
    <w:p w14:paraId="4DA7DC0A">
      <w:pPr>
        <w:spacing w:line="227" w:lineRule="auto"/>
        <w:ind w:left="524"/>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2"/>
          <w:sz w:val="23"/>
          <w:szCs w:val="23"/>
        </w:rPr>
        <w:t>3</w:t>
      </w:r>
      <w:r>
        <w:rPr>
          <w:rFonts w:ascii="宋体" w:hAnsi="宋体" w:eastAsia="宋体" w:cs="宋体"/>
          <w:spacing w:val="12"/>
          <w:sz w:val="23"/>
          <w:szCs w:val="23"/>
        </w:rPr>
        <w:t>) 制订污染物处理排放设备的维修、保养工作岗位作业指导书。</w:t>
      </w:r>
    </w:p>
    <w:p w14:paraId="3BB15C2D">
      <w:pPr>
        <w:spacing w:before="182" w:line="228" w:lineRule="auto"/>
        <w:ind w:left="524"/>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7"/>
          <w:sz w:val="23"/>
          <w:szCs w:val="23"/>
        </w:rPr>
        <w:t>4</w:t>
      </w:r>
      <w:r>
        <w:rPr>
          <w:rFonts w:ascii="宋体" w:hAnsi="宋体" w:eastAsia="宋体" w:cs="宋体"/>
          <w:spacing w:val="12"/>
          <w:sz w:val="23"/>
          <w:szCs w:val="23"/>
        </w:rPr>
        <w:t>) 制订污染物排放口监测计划，并组织监测的实施。</w:t>
      </w:r>
    </w:p>
    <w:p w14:paraId="1E29FD72">
      <w:pPr>
        <w:spacing w:before="185" w:line="227" w:lineRule="auto"/>
        <w:ind w:left="524"/>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3"/>
          <w:sz w:val="23"/>
          <w:szCs w:val="23"/>
        </w:rPr>
        <w:t>5</w:t>
      </w:r>
      <w:r>
        <w:rPr>
          <w:rFonts w:ascii="宋体" w:hAnsi="宋体" w:eastAsia="宋体" w:cs="宋体"/>
          <w:spacing w:val="12"/>
          <w:sz w:val="23"/>
          <w:szCs w:val="23"/>
        </w:rPr>
        <w:t>) 加强企业的资源和能源管理，进一步降低能源消耗量。</w:t>
      </w:r>
    </w:p>
    <w:p w14:paraId="4BECC2C0">
      <w:pPr>
        <w:spacing w:before="182" w:line="375" w:lineRule="auto"/>
        <w:ind w:left="157" w:right="143" w:firstLine="367"/>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3"/>
          <w:sz w:val="23"/>
          <w:szCs w:val="23"/>
        </w:rPr>
        <w:t>6</w:t>
      </w:r>
      <w:r>
        <w:rPr>
          <w:rFonts w:ascii="宋体" w:hAnsi="宋体" w:eastAsia="宋体" w:cs="宋体"/>
          <w:spacing w:val="9"/>
          <w:sz w:val="23"/>
          <w:szCs w:val="23"/>
        </w:rPr>
        <w:t>) 营运期要特别加强岗位责任制，加强项目的科学管理，健全并严格要求员工执行各</w:t>
      </w:r>
      <w:r>
        <w:rPr>
          <w:rFonts w:ascii="宋体" w:hAnsi="宋体" w:eastAsia="宋体" w:cs="宋体"/>
          <w:sz w:val="23"/>
          <w:szCs w:val="23"/>
        </w:rPr>
        <w:t xml:space="preserve"> </w:t>
      </w:r>
      <w:r>
        <w:rPr>
          <w:rFonts w:ascii="宋体" w:hAnsi="宋体" w:eastAsia="宋体" w:cs="宋体"/>
          <w:spacing w:val="8"/>
          <w:sz w:val="23"/>
          <w:szCs w:val="23"/>
        </w:rPr>
        <w:t>项</w:t>
      </w:r>
      <w:r>
        <w:rPr>
          <w:rFonts w:ascii="宋体" w:hAnsi="宋体" w:eastAsia="宋体" w:cs="宋体"/>
          <w:spacing w:val="7"/>
          <w:sz w:val="23"/>
          <w:szCs w:val="23"/>
        </w:rPr>
        <w:t>规章制度，以保证设备的正常运行，杜绝操作失误造成污染事故。对企业职工必须在企业</w:t>
      </w:r>
      <w:r>
        <w:rPr>
          <w:rFonts w:ascii="宋体" w:hAnsi="宋体" w:eastAsia="宋体" w:cs="宋体"/>
          <w:sz w:val="23"/>
          <w:szCs w:val="23"/>
        </w:rPr>
        <w:t xml:space="preserve"> </w:t>
      </w:r>
      <w:r>
        <w:rPr>
          <w:rFonts w:ascii="宋体" w:hAnsi="宋体" w:eastAsia="宋体" w:cs="宋体"/>
          <w:spacing w:val="12"/>
          <w:sz w:val="23"/>
          <w:szCs w:val="23"/>
        </w:rPr>
        <w:t>正</w:t>
      </w:r>
      <w:r>
        <w:rPr>
          <w:rFonts w:ascii="宋体" w:hAnsi="宋体" w:eastAsia="宋体" w:cs="宋体"/>
          <w:spacing w:val="9"/>
          <w:sz w:val="23"/>
          <w:szCs w:val="23"/>
        </w:rPr>
        <w:t>式投产前完成专业技术和操作技术的系统培训后才能上岗。</w:t>
      </w:r>
    </w:p>
    <w:p w14:paraId="54F80C67">
      <w:pPr>
        <w:spacing w:before="1" w:line="227" w:lineRule="auto"/>
        <w:ind w:left="651"/>
        <w:rPr>
          <w:rFonts w:ascii="宋体" w:hAnsi="宋体" w:eastAsia="宋体" w:cs="宋体"/>
          <w:sz w:val="23"/>
          <w:szCs w:val="23"/>
        </w:rPr>
      </w:pPr>
      <w:r>
        <w:rPr>
          <w:rFonts w:ascii="Times New Roman" w:hAnsi="Times New Roman" w:eastAsia="Times New Roman" w:cs="Times New Roman"/>
          <w:spacing w:val="8"/>
          <w:sz w:val="23"/>
          <w:szCs w:val="23"/>
        </w:rPr>
        <w:t>1</w:t>
      </w:r>
      <w:r>
        <w:rPr>
          <w:rFonts w:ascii="宋体" w:hAnsi="宋体" w:eastAsia="宋体" w:cs="宋体"/>
          <w:spacing w:val="7"/>
          <w:sz w:val="23"/>
          <w:szCs w:val="23"/>
        </w:rPr>
        <w:t>) 环保专职管理人员岗位职责</w:t>
      </w:r>
    </w:p>
    <w:p w14:paraId="4B009E4A">
      <w:pPr>
        <w:spacing w:before="181" w:line="375" w:lineRule="auto"/>
        <w:ind w:left="152" w:right="143" w:firstLine="480"/>
        <w:rPr>
          <w:rFonts w:ascii="宋体" w:hAnsi="宋体" w:eastAsia="宋体" w:cs="宋体"/>
          <w:sz w:val="23"/>
          <w:szCs w:val="23"/>
        </w:rPr>
      </w:pPr>
      <w:r>
        <w:rPr>
          <w:rFonts w:ascii="宋体" w:hAnsi="宋体" w:eastAsia="宋体" w:cs="宋体"/>
          <w:spacing w:val="7"/>
          <w:sz w:val="23"/>
          <w:szCs w:val="23"/>
        </w:rPr>
        <w:t>①在场区主管环保领导的指导下，组织开展环境治理专项工作；环保专职管理人员必</w:t>
      </w:r>
      <w:r>
        <w:rPr>
          <w:rFonts w:ascii="宋体" w:hAnsi="宋体" w:eastAsia="宋体" w:cs="宋体"/>
          <w:spacing w:val="6"/>
          <w:sz w:val="23"/>
          <w:szCs w:val="23"/>
        </w:rPr>
        <w:t>须</w:t>
      </w:r>
      <w:r>
        <w:rPr>
          <w:rFonts w:ascii="宋体" w:hAnsi="宋体" w:eastAsia="宋体" w:cs="宋体"/>
          <w:sz w:val="23"/>
          <w:szCs w:val="23"/>
        </w:rPr>
        <w:t xml:space="preserve"> </w:t>
      </w:r>
      <w:r>
        <w:rPr>
          <w:rFonts w:ascii="宋体" w:hAnsi="宋体" w:eastAsia="宋体" w:cs="宋体"/>
          <w:spacing w:val="17"/>
          <w:sz w:val="23"/>
          <w:szCs w:val="23"/>
        </w:rPr>
        <w:t>达</w:t>
      </w:r>
      <w:r>
        <w:rPr>
          <w:rFonts w:ascii="宋体" w:hAnsi="宋体" w:eastAsia="宋体" w:cs="宋体"/>
          <w:spacing w:val="9"/>
          <w:sz w:val="23"/>
          <w:szCs w:val="23"/>
        </w:rPr>
        <w:t>到高中及以上文化程度，具备环保、生产及相关业务知识；</w:t>
      </w:r>
    </w:p>
    <w:p w14:paraId="71C552AC">
      <w:pPr>
        <w:spacing w:before="2" w:line="375" w:lineRule="auto"/>
        <w:ind w:left="153" w:right="143" w:firstLine="478"/>
        <w:rPr>
          <w:rFonts w:ascii="宋体" w:hAnsi="宋体" w:eastAsia="宋体" w:cs="宋体"/>
          <w:sz w:val="23"/>
          <w:szCs w:val="23"/>
        </w:rPr>
      </w:pPr>
      <w:r>
        <w:rPr>
          <w:rFonts w:ascii="宋体" w:hAnsi="宋体" w:eastAsia="宋体" w:cs="宋体"/>
          <w:spacing w:val="7"/>
          <w:sz w:val="23"/>
          <w:szCs w:val="23"/>
        </w:rPr>
        <w:t>②负责督导养殖车间做好请污分流和粪污清理工作，对违法环境治理要求操作的车间或</w:t>
      </w:r>
      <w:r>
        <w:rPr>
          <w:rFonts w:ascii="宋体" w:hAnsi="宋体" w:eastAsia="宋体" w:cs="宋体"/>
          <w:sz w:val="23"/>
          <w:szCs w:val="23"/>
        </w:rPr>
        <w:t xml:space="preserve"> </w:t>
      </w:r>
      <w:r>
        <w:rPr>
          <w:rFonts w:ascii="宋体" w:hAnsi="宋体" w:eastAsia="宋体" w:cs="宋体"/>
          <w:spacing w:val="12"/>
          <w:sz w:val="23"/>
          <w:szCs w:val="23"/>
        </w:rPr>
        <w:t>个</w:t>
      </w:r>
      <w:r>
        <w:rPr>
          <w:rFonts w:ascii="宋体" w:hAnsi="宋体" w:eastAsia="宋体" w:cs="宋体"/>
          <w:spacing w:val="8"/>
          <w:sz w:val="23"/>
          <w:szCs w:val="23"/>
        </w:rPr>
        <w:t>人有权提出或作出处理；</w:t>
      </w:r>
    </w:p>
    <w:p w14:paraId="3A018FDD">
      <w:pPr>
        <w:spacing w:line="225" w:lineRule="auto"/>
        <w:ind w:left="631"/>
        <w:rPr>
          <w:rFonts w:ascii="宋体" w:hAnsi="宋体" w:eastAsia="宋体" w:cs="宋体"/>
          <w:sz w:val="23"/>
          <w:szCs w:val="23"/>
        </w:rPr>
      </w:pPr>
      <w:r>
        <w:rPr>
          <w:rFonts w:ascii="宋体" w:hAnsi="宋体" w:eastAsia="宋体" w:cs="宋体"/>
          <w:spacing w:val="18"/>
          <w:sz w:val="23"/>
          <w:szCs w:val="23"/>
        </w:rPr>
        <w:t>③</w:t>
      </w:r>
      <w:r>
        <w:rPr>
          <w:rFonts w:ascii="宋体" w:hAnsi="宋体" w:eastAsia="宋体" w:cs="宋体"/>
          <w:spacing w:val="9"/>
          <w:sz w:val="23"/>
          <w:szCs w:val="23"/>
        </w:rPr>
        <w:t>巡查场内粪污运输、处置设施是否有跑、冒、滴、漏现象；</w:t>
      </w:r>
    </w:p>
    <w:p w14:paraId="68F8E308">
      <w:pPr>
        <w:spacing w:before="184" w:line="375" w:lineRule="auto"/>
        <w:ind w:left="157" w:right="143" w:firstLine="474"/>
        <w:rPr>
          <w:rFonts w:ascii="宋体" w:hAnsi="宋体" w:eastAsia="宋体" w:cs="宋体"/>
          <w:sz w:val="23"/>
          <w:szCs w:val="23"/>
        </w:rPr>
      </w:pPr>
      <w:r>
        <w:rPr>
          <w:rFonts w:ascii="宋体" w:hAnsi="宋体" w:eastAsia="宋体" w:cs="宋体"/>
          <w:spacing w:val="7"/>
          <w:sz w:val="23"/>
          <w:szCs w:val="23"/>
        </w:rPr>
        <w:t>④负责对环保治理设施巡回检查；检查环保治理设施是否正常运转，负责搞好环保治理</w:t>
      </w:r>
      <w:r>
        <w:rPr>
          <w:rFonts w:ascii="宋体" w:hAnsi="宋体" w:eastAsia="宋体" w:cs="宋体"/>
          <w:sz w:val="23"/>
          <w:szCs w:val="23"/>
        </w:rPr>
        <w:t xml:space="preserve"> </w:t>
      </w:r>
      <w:r>
        <w:rPr>
          <w:rFonts w:ascii="宋体" w:hAnsi="宋体" w:eastAsia="宋体" w:cs="宋体"/>
          <w:spacing w:val="16"/>
          <w:sz w:val="23"/>
          <w:szCs w:val="23"/>
        </w:rPr>
        <w:t>设</w:t>
      </w:r>
      <w:r>
        <w:rPr>
          <w:rFonts w:ascii="宋体" w:hAnsi="宋体" w:eastAsia="宋体" w:cs="宋体"/>
          <w:spacing w:val="12"/>
          <w:sz w:val="23"/>
          <w:szCs w:val="23"/>
        </w:rPr>
        <w:t>施</w:t>
      </w:r>
      <w:r>
        <w:rPr>
          <w:rFonts w:ascii="宋体" w:hAnsi="宋体" w:eastAsia="宋体" w:cs="宋体"/>
          <w:spacing w:val="8"/>
          <w:sz w:val="23"/>
          <w:szCs w:val="23"/>
        </w:rPr>
        <w:t>维护、保养工作，延长其使用寿命；</w:t>
      </w:r>
    </w:p>
    <w:p w14:paraId="2F2A8A44">
      <w:pPr>
        <w:spacing w:before="1" w:line="225" w:lineRule="auto"/>
        <w:ind w:left="631"/>
        <w:rPr>
          <w:rFonts w:ascii="宋体" w:hAnsi="宋体" w:eastAsia="宋体" w:cs="宋体"/>
          <w:sz w:val="23"/>
          <w:szCs w:val="23"/>
        </w:rPr>
      </w:pPr>
      <w:r>
        <w:rPr>
          <w:rFonts w:ascii="宋体" w:hAnsi="宋体" w:eastAsia="宋体" w:cs="宋体"/>
          <w:spacing w:val="18"/>
          <w:sz w:val="23"/>
          <w:szCs w:val="23"/>
        </w:rPr>
        <w:t>⑤</w:t>
      </w:r>
      <w:r>
        <w:rPr>
          <w:rFonts w:ascii="宋体" w:hAnsi="宋体" w:eastAsia="宋体" w:cs="宋体"/>
          <w:spacing w:val="11"/>
          <w:sz w:val="23"/>
          <w:szCs w:val="23"/>
        </w:rPr>
        <w:t>负</w:t>
      </w:r>
      <w:r>
        <w:rPr>
          <w:rFonts w:ascii="宋体" w:hAnsi="宋体" w:eastAsia="宋体" w:cs="宋体"/>
          <w:spacing w:val="9"/>
          <w:sz w:val="23"/>
          <w:szCs w:val="23"/>
        </w:rPr>
        <w:t>责环保治理设施的日常运转操作，确保各项污染物达标排放；</w:t>
      </w:r>
    </w:p>
    <w:p w14:paraId="0E071CD0">
      <w:pPr>
        <w:spacing w:before="187" w:line="225" w:lineRule="auto"/>
        <w:ind w:left="631"/>
        <w:rPr>
          <w:rFonts w:ascii="宋体" w:hAnsi="宋体" w:eastAsia="宋体" w:cs="宋体"/>
          <w:sz w:val="23"/>
          <w:szCs w:val="23"/>
        </w:rPr>
      </w:pPr>
      <w:r>
        <w:rPr>
          <w:rFonts w:ascii="宋体" w:hAnsi="宋体" w:eastAsia="宋体" w:cs="宋体"/>
          <w:spacing w:val="18"/>
          <w:sz w:val="23"/>
          <w:szCs w:val="23"/>
        </w:rPr>
        <w:t>⑥</w:t>
      </w:r>
      <w:r>
        <w:rPr>
          <w:rFonts w:ascii="宋体" w:hAnsi="宋体" w:eastAsia="宋体" w:cs="宋体"/>
          <w:spacing w:val="10"/>
          <w:sz w:val="23"/>
          <w:szCs w:val="23"/>
        </w:rPr>
        <w:t>突</w:t>
      </w:r>
      <w:r>
        <w:rPr>
          <w:rFonts w:ascii="宋体" w:hAnsi="宋体" w:eastAsia="宋体" w:cs="宋体"/>
          <w:spacing w:val="9"/>
          <w:sz w:val="23"/>
          <w:szCs w:val="23"/>
        </w:rPr>
        <w:t>发性事件造成排污异常，要立即采取应急措施并及时处理；</w:t>
      </w:r>
    </w:p>
    <w:p w14:paraId="41E8FD54">
      <w:pPr>
        <w:spacing w:before="185" w:line="375" w:lineRule="auto"/>
        <w:ind w:left="152" w:right="143" w:firstLine="479"/>
        <w:rPr>
          <w:rFonts w:ascii="宋体" w:hAnsi="宋体" w:eastAsia="宋体" w:cs="宋体"/>
          <w:sz w:val="23"/>
          <w:szCs w:val="23"/>
        </w:rPr>
      </w:pPr>
      <w:r>
        <w:rPr>
          <w:rFonts w:ascii="宋体" w:hAnsi="宋体" w:eastAsia="宋体" w:cs="宋体"/>
          <w:spacing w:val="7"/>
          <w:sz w:val="23"/>
          <w:szCs w:val="23"/>
        </w:rPr>
        <w:t>⑦建立环保档案管理制度，档案管理由专人负责，保证原始资料及单据齐全完整，安全</w:t>
      </w:r>
      <w:r>
        <w:rPr>
          <w:rFonts w:ascii="宋体" w:hAnsi="宋体" w:eastAsia="宋体" w:cs="宋体"/>
          <w:sz w:val="23"/>
          <w:szCs w:val="23"/>
        </w:rPr>
        <w:t xml:space="preserve"> </w:t>
      </w:r>
      <w:r>
        <w:rPr>
          <w:rFonts w:ascii="宋体" w:hAnsi="宋体" w:eastAsia="宋体" w:cs="宋体"/>
          <w:spacing w:val="12"/>
          <w:sz w:val="23"/>
          <w:szCs w:val="23"/>
        </w:rPr>
        <w:t>存</w:t>
      </w:r>
      <w:r>
        <w:rPr>
          <w:rFonts w:ascii="宋体" w:hAnsi="宋体" w:eastAsia="宋体" w:cs="宋体"/>
          <w:spacing w:val="7"/>
          <w:sz w:val="23"/>
          <w:szCs w:val="23"/>
        </w:rPr>
        <w:t>放。包括环境影响评价文件、监测报告、环境管理规章制度、环保设施管理台账、各类环</w:t>
      </w:r>
      <w:r>
        <w:rPr>
          <w:rFonts w:ascii="宋体" w:hAnsi="宋体" w:eastAsia="宋体" w:cs="宋体"/>
          <w:sz w:val="23"/>
          <w:szCs w:val="23"/>
        </w:rPr>
        <w:t xml:space="preserve"> </w:t>
      </w:r>
      <w:r>
        <w:rPr>
          <w:rFonts w:ascii="宋体" w:hAnsi="宋体" w:eastAsia="宋体" w:cs="宋体"/>
          <w:spacing w:val="9"/>
          <w:sz w:val="23"/>
          <w:szCs w:val="23"/>
        </w:rPr>
        <w:t>保</w:t>
      </w:r>
      <w:r>
        <w:rPr>
          <w:rFonts w:ascii="宋体" w:hAnsi="宋体" w:eastAsia="宋体" w:cs="宋体"/>
          <w:spacing w:val="7"/>
          <w:sz w:val="23"/>
          <w:szCs w:val="23"/>
        </w:rPr>
        <w:t>批复等文件；</w:t>
      </w:r>
    </w:p>
    <w:p w14:paraId="224B47F9">
      <w:pPr>
        <w:spacing w:before="2" w:line="300" w:lineRule="auto"/>
        <w:ind w:left="635" w:right="4157" w:hanging="4"/>
        <w:rPr>
          <w:rFonts w:ascii="宋体" w:hAnsi="宋体" w:eastAsia="宋体" w:cs="宋体"/>
          <w:sz w:val="23"/>
          <w:szCs w:val="23"/>
        </w:rPr>
      </w:pPr>
      <w:r>
        <w:rPr>
          <w:rFonts w:ascii="宋体" w:hAnsi="宋体" w:eastAsia="宋体" w:cs="宋体"/>
          <w:spacing w:val="14"/>
          <w:sz w:val="23"/>
          <w:szCs w:val="23"/>
        </w:rPr>
        <w:t>⑧完</w:t>
      </w:r>
      <w:r>
        <w:rPr>
          <w:rFonts w:ascii="宋体" w:hAnsi="宋体" w:eastAsia="宋体" w:cs="宋体"/>
          <w:spacing w:val="8"/>
          <w:sz w:val="23"/>
          <w:szCs w:val="23"/>
        </w:rPr>
        <w:t>成</w:t>
      </w:r>
      <w:r>
        <w:rPr>
          <w:rFonts w:ascii="宋体" w:hAnsi="宋体" w:eastAsia="宋体" w:cs="宋体"/>
          <w:spacing w:val="7"/>
          <w:sz w:val="23"/>
          <w:szCs w:val="23"/>
        </w:rPr>
        <w:t>主管领导交付的与环保有关的工作任务。</w:t>
      </w:r>
      <w:r>
        <w:rPr>
          <w:rFonts w:ascii="宋体" w:hAnsi="宋体" w:eastAsia="宋体" w:cs="宋体"/>
          <w:sz w:val="23"/>
          <w:szCs w:val="23"/>
        </w:rPr>
        <w:t xml:space="preserve"> </w:t>
      </w:r>
      <w:r>
        <w:rPr>
          <w:rFonts w:ascii="宋体" w:hAnsi="宋体" w:eastAsia="宋体" w:cs="宋体"/>
          <w:spacing w:val="14"/>
          <w:sz w:val="23"/>
          <w:szCs w:val="23"/>
        </w:rPr>
        <w:t>异</w:t>
      </w:r>
      <w:r>
        <w:rPr>
          <w:rFonts w:ascii="宋体" w:hAnsi="宋体" w:eastAsia="宋体" w:cs="宋体"/>
          <w:spacing w:val="7"/>
          <w:sz w:val="23"/>
          <w:szCs w:val="23"/>
        </w:rPr>
        <w:t>位发酵床岗位职责：</w:t>
      </w:r>
    </w:p>
    <w:p w14:paraId="3D14E7BC">
      <w:pPr>
        <w:spacing w:before="185" w:line="225" w:lineRule="auto"/>
        <w:ind w:left="632"/>
        <w:rPr>
          <w:rFonts w:ascii="宋体" w:hAnsi="宋体" w:eastAsia="宋体" w:cs="宋体"/>
          <w:sz w:val="23"/>
          <w:szCs w:val="23"/>
        </w:rPr>
      </w:pPr>
      <w:r>
        <w:rPr>
          <w:rFonts w:ascii="宋体" w:hAnsi="宋体" w:eastAsia="宋体" w:cs="宋体"/>
          <w:spacing w:val="7"/>
          <w:sz w:val="23"/>
          <w:szCs w:val="23"/>
        </w:rPr>
        <w:t>①熟悉并认真观察执行当地和国家环境保护的各项方针、政策、法律、法规、条例及</w:t>
      </w:r>
      <w:r>
        <w:rPr>
          <w:rFonts w:ascii="宋体" w:hAnsi="宋体" w:eastAsia="宋体" w:cs="宋体"/>
          <w:spacing w:val="6"/>
          <w:sz w:val="23"/>
          <w:szCs w:val="23"/>
        </w:rPr>
        <w:t>标</w:t>
      </w:r>
    </w:p>
    <w:p w14:paraId="660AEDB0">
      <w:pPr>
        <w:sectPr>
          <w:footerReference r:id="rId316" w:type="default"/>
          <w:pgSz w:w="11906" w:h="16839"/>
          <w:pgMar w:top="1118" w:right="990" w:bottom="1156" w:left="1132" w:header="878" w:footer="994" w:gutter="0"/>
          <w:cols w:space="720" w:num="1"/>
        </w:sectPr>
      </w:pPr>
    </w:p>
    <w:p w14:paraId="4C4D6356">
      <w:pPr>
        <w:spacing w:before="192" w:line="229" w:lineRule="auto"/>
        <w:ind w:left="12"/>
        <w:rPr>
          <w:rFonts w:ascii="宋体" w:hAnsi="宋体" w:eastAsia="宋体" w:cs="宋体"/>
          <w:sz w:val="23"/>
          <w:szCs w:val="23"/>
        </w:rPr>
      </w:pPr>
      <w:r>
        <w:rPr>
          <w:rFonts w:ascii="宋体" w:hAnsi="宋体" w:eastAsia="宋体" w:cs="宋体"/>
          <w:spacing w:val="12"/>
          <w:sz w:val="23"/>
          <w:szCs w:val="23"/>
        </w:rPr>
        <w:t>准</w:t>
      </w:r>
      <w:r>
        <w:rPr>
          <w:rFonts w:ascii="宋体" w:hAnsi="宋体" w:eastAsia="宋体" w:cs="宋体"/>
          <w:spacing w:val="7"/>
          <w:sz w:val="23"/>
          <w:szCs w:val="23"/>
        </w:rPr>
        <w:t>，杜绝违规操作；</w:t>
      </w:r>
    </w:p>
    <w:p w14:paraId="4FE8B162">
      <w:pPr>
        <w:spacing w:before="180" w:line="225" w:lineRule="auto"/>
        <w:ind w:left="488"/>
        <w:rPr>
          <w:rFonts w:ascii="宋体" w:hAnsi="宋体" w:eastAsia="宋体" w:cs="宋体"/>
          <w:sz w:val="23"/>
          <w:szCs w:val="23"/>
        </w:rPr>
      </w:pPr>
      <w:r>
        <w:rPr>
          <w:rFonts w:ascii="宋体" w:hAnsi="宋体" w:eastAsia="宋体" w:cs="宋体"/>
          <w:spacing w:val="11"/>
          <w:sz w:val="23"/>
          <w:szCs w:val="23"/>
        </w:rPr>
        <w:t>②</w:t>
      </w:r>
      <w:r>
        <w:rPr>
          <w:rFonts w:ascii="宋体" w:hAnsi="宋体" w:eastAsia="宋体" w:cs="宋体"/>
          <w:spacing w:val="9"/>
          <w:sz w:val="23"/>
          <w:szCs w:val="23"/>
        </w:rPr>
        <w:t>严格遵守企业的各种规章制度和防疫制度；</w:t>
      </w:r>
    </w:p>
    <w:p w14:paraId="2CE9DFF5">
      <w:pPr>
        <w:spacing w:before="186" w:line="375" w:lineRule="auto"/>
        <w:ind w:left="11" w:right="85" w:firstLine="477"/>
        <w:rPr>
          <w:rFonts w:ascii="宋体" w:hAnsi="宋体" w:eastAsia="宋体" w:cs="宋体"/>
          <w:sz w:val="23"/>
          <w:szCs w:val="23"/>
        </w:rPr>
      </w:pPr>
      <w:r>
        <w:rPr>
          <w:rFonts w:ascii="宋体" w:hAnsi="宋体" w:eastAsia="宋体" w:cs="宋体"/>
          <w:spacing w:val="7"/>
          <w:sz w:val="23"/>
          <w:szCs w:val="23"/>
        </w:rPr>
        <w:t>③熟悉养殖场粪污异位发酵床处理工艺流程及原理，掌握各种处理设施的设备操作方法</w:t>
      </w:r>
      <w:r>
        <w:rPr>
          <w:rFonts w:ascii="宋体" w:hAnsi="宋体" w:eastAsia="宋体" w:cs="宋体"/>
          <w:sz w:val="23"/>
          <w:szCs w:val="23"/>
        </w:rPr>
        <w:t xml:space="preserve"> </w:t>
      </w:r>
      <w:r>
        <w:rPr>
          <w:rFonts w:ascii="宋体" w:hAnsi="宋体" w:eastAsia="宋体" w:cs="宋体"/>
          <w:spacing w:val="10"/>
          <w:sz w:val="23"/>
          <w:szCs w:val="23"/>
        </w:rPr>
        <w:t>和</w:t>
      </w:r>
      <w:r>
        <w:rPr>
          <w:rFonts w:ascii="宋体" w:hAnsi="宋体" w:eastAsia="宋体" w:cs="宋体"/>
          <w:spacing w:val="9"/>
          <w:sz w:val="23"/>
          <w:szCs w:val="23"/>
        </w:rPr>
        <w:t>日常维护、保养；坚守岗位，严禁脱岗、离岗；</w:t>
      </w:r>
    </w:p>
    <w:p w14:paraId="23418E4D">
      <w:pPr>
        <w:spacing w:before="2" w:line="374" w:lineRule="auto"/>
        <w:ind w:left="15" w:right="85" w:firstLine="472"/>
        <w:rPr>
          <w:rFonts w:ascii="宋体" w:hAnsi="宋体" w:eastAsia="宋体" w:cs="宋体"/>
          <w:sz w:val="23"/>
          <w:szCs w:val="23"/>
        </w:rPr>
      </w:pPr>
      <w:r>
        <w:rPr>
          <w:rFonts w:ascii="宋体" w:hAnsi="宋体" w:eastAsia="宋体" w:cs="宋体"/>
          <w:spacing w:val="7"/>
          <w:sz w:val="23"/>
          <w:szCs w:val="23"/>
        </w:rPr>
        <w:t>④设施及设备运行中若发生故障或损坏，应立即停止故障机组，启用备用设备，及时报</w:t>
      </w:r>
      <w:r>
        <w:rPr>
          <w:rFonts w:ascii="宋体" w:hAnsi="宋体" w:eastAsia="宋体" w:cs="宋体"/>
          <w:sz w:val="23"/>
          <w:szCs w:val="23"/>
        </w:rPr>
        <w:t xml:space="preserve"> </w:t>
      </w:r>
      <w:r>
        <w:rPr>
          <w:rFonts w:ascii="宋体" w:hAnsi="宋体" w:eastAsia="宋体" w:cs="宋体"/>
          <w:spacing w:val="11"/>
          <w:sz w:val="23"/>
          <w:szCs w:val="23"/>
        </w:rPr>
        <w:t>告</w:t>
      </w:r>
      <w:r>
        <w:rPr>
          <w:rFonts w:ascii="宋体" w:hAnsi="宋体" w:eastAsia="宋体" w:cs="宋体"/>
          <w:spacing w:val="7"/>
          <w:sz w:val="23"/>
          <w:szCs w:val="23"/>
        </w:rPr>
        <w:t>主管部门抢修设备；</w:t>
      </w:r>
    </w:p>
    <w:p w14:paraId="24FCE0B6">
      <w:pPr>
        <w:spacing w:before="1" w:line="374" w:lineRule="auto"/>
        <w:ind w:left="11" w:right="82" w:firstLine="477"/>
        <w:rPr>
          <w:rFonts w:ascii="宋体" w:hAnsi="宋体" w:eastAsia="宋体" w:cs="宋体"/>
          <w:sz w:val="23"/>
          <w:szCs w:val="23"/>
        </w:rPr>
      </w:pPr>
      <w:r>
        <w:rPr>
          <w:rFonts w:ascii="宋体" w:hAnsi="宋体" w:eastAsia="宋体" w:cs="宋体"/>
          <w:spacing w:val="10"/>
          <w:sz w:val="23"/>
          <w:szCs w:val="23"/>
        </w:rPr>
        <w:t>⑤</w:t>
      </w:r>
      <w:r>
        <w:rPr>
          <w:rFonts w:ascii="宋体" w:hAnsi="宋体" w:eastAsia="宋体" w:cs="宋体"/>
          <w:spacing w:val="7"/>
          <w:sz w:val="23"/>
          <w:szCs w:val="23"/>
        </w:rPr>
        <w:t>严格遵守交接班制度，每天上下班提前十分钟交接班，认真填写好操作运行记录，不</w:t>
      </w:r>
      <w:r>
        <w:rPr>
          <w:rFonts w:ascii="宋体" w:hAnsi="宋体" w:eastAsia="宋体" w:cs="宋体"/>
          <w:sz w:val="23"/>
          <w:szCs w:val="23"/>
        </w:rPr>
        <w:t xml:space="preserve"> </w:t>
      </w:r>
      <w:r>
        <w:rPr>
          <w:rFonts w:ascii="宋体" w:hAnsi="宋体" w:eastAsia="宋体" w:cs="宋体"/>
          <w:spacing w:val="7"/>
          <w:sz w:val="23"/>
          <w:szCs w:val="23"/>
        </w:rPr>
        <w:t>得漏记、乱记；</w:t>
      </w:r>
    </w:p>
    <w:p w14:paraId="14457D90">
      <w:pPr>
        <w:spacing w:before="1" w:line="225" w:lineRule="auto"/>
        <w:ind w:left="488"/>
        <w:rPr>
          <w:rFonts w:ascii="宋体" w:hAnsi="宋体" w:eastAsia="宋体" w:cs="宋体"/>
          <w:sz w:val="23"/>
          <w:szCs w:val="23"/>
        </w:rPr>
      </w:pPr>
      <w:r>
        <w:rPr>
          <w:rFonts w:ascii="宋体" w:hAnsi="宋体" w:eastAsia="宋体" w:cs="宋体"/>
          <w:spacing w:val="13"/>
          <w:sz w:val="23"/>
          <w:szCs w:val="23"/>
        </w:rPr>
        <w:t>⑥</w:t>
      </w:r>
      <w:r>
        <w:rPr>
          <w:rFonts w:ascii="宋体" w:hAnsi="宋体" w:eastAsia="宋体" w:cs="宋体"/>
          <w:spacing w:val="9"/>
          <w:sz w:val="23"/>
          <w:szCs w:val="23"/>
        </w:rPr>
        <w:t>保持设施场地清洁、注意安全，防止发生事故；</w:t>
      </w:r>
    </w:p>
    <w:p w14:paraId="48EEAFD0">
      <w:pPr>
        <w:spacing w:before="185" w:line="227" w:lineRule="auto"/>
        <w:ind w:left="485"/>
        <w:rPr>
          <w:rFonts w:ascii="宋体" w:hAnsi="宋体" w:eastAsia="宋体" w:cs="宋体"/>
          <w:sz w:val="23"/>
          <w:szCs w:val="23"/>
        </w:rPr>
      </w:pPr>
      <w:r>
        <w:rPr>
          <w:rFonts w:ascii="Times New Roman" w:hAnsi="Times New Roman" w:eastAsia="Times New Roman" w:cs="Times New Roman"/>
          <w:spacing w:val="11"/>
          <w:sz w:val="23"/>
          <w:szCs w:val="23"/>
        </w:rPr>
        <w:t>2</w:t>
      </w:r>
      <w:r>
        <w:rPr>
          <w:rFonts w:ascii="宋体" w:hAnsi="宋体" w:eastAsia="宋体" w:cs="宋体"/>
          <w:spacing w:val="8"/>
          <w:sz w:val="23"/>
          <w:szCs w:val="23"/>
        </w:rPr>
        <w:t>) 养殖场环境管理办法</w:t>
      </w:r>
    </w:p>
    <w:p w14:paraId="07DBA8BD">
      <w:pPr>
        <w:spacing w:before="185" w:line="225" w:lineRule="auto"/>
        <w:ind w:left="489"/>
        <w:rPr>
          <w:rFonts w:ascii="宋体" w:hAnsi="宋体" w:eastAsia="宋体" w:cs="宋体"/>
          <w:sz w:val="23"/>
          <w:szCs w:val="23"/>
        </w:rPr>
      </w:pPr>
      <w:r>
        <w:rPr>
          <w:rFonts w:ascii="宋体" w:hAnsi="宋体" w:eastAsia="宋体" w:cs="宋体"/>
          <w:spacing w:val="9"/>
          <w:sz w:val="23"/>
          <w:szCs w:val="23"/>
        </w:rPr>
        <w:t>①</w:t>
      </w:r>
      <w:r>
        <w:rPr>
          <w:rFonts w:ascii="宋体" w:hAnsi="宋体" w:eastAsia="宋体" w:cs="宋体"/>
          <w:spacing w:val="8"/>
          <w:sz w:val="23"/>
          <w:szCs w:val="23"/>
        </w:rPr>
        <w:t>工作目标</w:t>
      </w:r>
    </w:p>
    <w:p w14:paraId="10E51CE6">
      <w:pPr>
        <w:spacing w:before="186" w:line="375" w:lineRule="auto"/>
        <w:ind w:left="10" w:firstLine="482"/>
        <w:rPr>
          <w:rFonts w:ascii="宋体" w:hAnsi="宋体" w:eastAsia="宋体" w:cs="宋体"/>
          <w:sz w:val="23"/>
          <w:szCs w:val="23"/>
        </w:rPr>
      </w:pPr>
      <w:r>
        <w:rPr>
          <w:rFonts w:ascii="宋体" w:hAnsi="宋体" w:eastAsia="宋体" w:cs="宋体"/>
          <w:spacing w:val="3"/>
          <w:sz w:val="23"/>
          <w:szCs w:val="23"/>
        </w:rPr>
        <w:t>建立公司环保管理制度，提高职工环保意识，把环境保护工作纳入日常生产经营活动中，</w:t>
      </w:r>
      <w:r>
        <w:rPr>
          <w:rFonts w:ascii="宋体" w:hAnsi="宋体" w:eastAsia="宋体" w:cs="宋体"/>
          <w:sz w:val="23"/>
          <w:szCs w:val="23"/>
        </w:rPr>
        <w:t xml:space="preserve"> </w:t>
      </w:r>
      <w:r>
        <w:rPr>
          <w:rFonts w:ascii="宋体" w:hAnsi="宋体" w:eastAsia="宋体" w:cs="宋体"/>
          <w:spacing w:val="6"/>
          <w:sz w:val="23"/>
          <w:szCs w:val="23"/>
        </w:rPr>
        <w:t>实现全过程</w:t>
      </w:r>
      <w:r>
        <w:rPr>
          <w:rFonts w:ascii="宋体" w:hAnsi="宋体" w:eastAsia="宋体" w:cs="宋体"/>
          <w:spacing w:val="5"/>
          <w:sz w:val="23"/>
          <w:szCs w:val="23"/>
        </w:rPr>
        <w:t>、</w:t>
      </w:r>
      <w:r>
        <w:rPr>
          <w:rFonts w:ascii="宋体" w:hAnsi="宋体" w:eastAsia="宋体" w:cs="宋体"/>
          <w:spacing w:val="3"/>
          <w:sz w:val="23"/>
          <w:szCs w:val="23"/>
        </w:rPr>
        <w:t>全天候、全员的环保管理，在布置、检查、总结、评比时必须有环保工作内容。</w:t>
      </w:r>
      <w:r>
        <w:rPr>
          <w:rFonts w:ascii="宋体" w:hAnsi="宋体" w:eastAsia="宋体" w:cs="宋体"/>
          <w:sz w:val="23"/>
          <w:szCs w:val="23"/>
        </w:rPr>
        <w:t xml:space="preserve"> </w:t>
      </w:r>
      <w:r>
        <w:rPr>
          <w:rFonts w:ascii="宋体" w:hAnsi="宋体" w:eastAsia="宋体" w:cs="宋体"/>
          <w:spacing w:val="12"/>
          <w:sz w:val="23"/>
          <w:szCs w:val="23"/>
        </w:rPr>
        <w:t>确</w:t>
      </w:r>
      <w:r>
        <w:rPr>
          <w:rFonts w:ascii="宋体" w:hAnsi="宋体" w:eastAsia="宋体" w:cs="宋体"/>
          <w:spacing w:val="7"/>
          <w:sz w:val="23"/>
          <w:szCs w:val="23"/>
        </w:rPr>
        <w:t>保生产过程中的各类污染物经处理后达标排放，使养殖生产过程不对周围环境造成有害的</w:t>
      </w:r>
      <w:r>
        <w:rPr>
          <w:rFonts w:ascii="宋体" w:hAnsi="宋体" w:eastAsia="宋体" w:cs="宋体"/>
          <w:sz w:val="23"/>
          <w:szCs w:val="23"/>
        </w:rPr>
        <w:t xml:space="preserve"> </w:t>
      </w:r>
      <w:r>
        <w:rPr>
          <w:rFonts w:ascii="宋体" w:hAnsi="宋体" w:eastAsia="宋体" w:cs="宋体"/>
          <w:spacing w:val="4"/>
          <w:sz w:val="23"/>
          <w:szCs w:val="23"/>
        </w:rPr>
        <w:t>影</w:t>
      </w:r>
      <w:r>
        <w:rPr>
          <w:rFonts w:ascii="宋体" w:hAnsi="宋体" w:eastAsia="宋体" w:cs="宋体"/>
          <w:spacing w:val="3"/>
          <w:sz w:val="23"/>
          <w:szCs w:val="23"/>
        </w:rPr>
        <w:t>响。</w:t>
      </w:r>
    </w:p>
    <w:p w14:paraId="40926CE9">
      <w:pPr>
        <w:spacing w:line="225" w:lineRule="auto"/>
        <w:ind w:left="488"/>
        <w:rPr>
          <w:rFonts w:ascii="宋体" w:hAnsi="宋体" w:eastAsia="宋体" w:cs="宋体"/>
          <w:sz w:val="23"/>
          <w:szCs w:val="23"/>
        </w:rPr>
      </w:pPr>
      <w:r>
        <w:rPr>
          <w:rFonts w:ascii="宋体" w:hAnsi="宋体" w:eastAsia="宋体" w:cs="宋体"/>
          <w:spacing w:val="10"/>
          <w:sz w:val="23"/>
          <w:szCs w:val="23"/>
        </w:rPr>
        <w:t>②</w:t>
      </w:r>
      <w:r>
        <w:rPr>
          <w:rFonts w:ascii="宋体" w:hAnsi="宋体" w:eastAsia="宋体" w:cs="宋体"/>
          <w:spacing w:val="8"/>
          <w:sz w:val="23"/>
          <w:szCs w:val="23"/>
        </w:rPr>
        <w:t>工作范围</w:t>
      </w:r>
    </w:p>
    <w:p w14:paraId="4C68F9D1">
      <w:pPr>
        <w:spacing w:before="188" w:line="227" w:lineRule="auto"/>
        <w:ind w:left="491"/>
        <w:rPr>
          <w:rFonts w:ascii="宋体" w:hAnsi="宋体" w:eastAsia="宋体" w:cs="宋体"/>
          <w:sz w:val="23"/>
          <w:szCs w:val="23"/>
        </w:rPr>
      </w:pPr>
      <w:r>
        <w:rPr>
          <w:rFonts w:ascii="宋体" w:hAnsi="宋体" w:eastAsia="宋体" w:cs="宋体"/>
          <w:spacing w:val="14"/>
          <w:sz w:val="23"/>
          <w:szCs w:val="23"/>
        </w:rPr>
        <w:t>养</w:t>
      </w:r>
      <w:r>
        <w:rPr>
          <w:rFonts w:ascii="宋体" w:hAnsi="宋体" w:eastAsia="宋体" w:cs="宋体"/>
          <w:spacing w:val="8"/>
          <w:sz w:val="23"/>
          <w:szCs w:val="23"/>
        </w:rPr>
        <w:t>殖过程中产生的</w:t>
      </w:r>
      <w:r>
        <w:rPr>
          <w:rFonts w:ascii="Times New Roman" w:hAnsi="Times New Roman" w:eastAsia="Times New Roman" w:cs="Times New Roman"/>
          <w:spacing w:val="8"/>
          <w:sz w:val="23"/>
          <w:szCs w:val="23"/>
        </w:rPr>
        <w:t>“</w:t>
      </w:r>
      <w:r>
        <w:rPr>
          <w:rFonts w:ascii="宋体" w:hAnsi="宋体" w:eastAsia="宋体" w:cs="宋体"/>
          <w:spacing w:val="8"/>
          <w:sz w:val="23"/>
          <w:szCs w:val="23"/>
        </w:rPr>
        <w:t>三废</w:t>
      </w:r>
      <w:r>
        <w:rPr>
          <w:rFonts w:ascii="Times New Roman" w:hAnsi="Times New Roman" w:eastAsia="Times New Roman" w:cs="Times New Roman"/>
          <w:spacing w:val="8"/>
          <w:sz w:val="23"/>
          <w:szCs w:val="23"/>
        </w:rPr>
        <w:t>”</w:t>
      </w:r>
      <w:r>
        <w:rPr>
          <w:rFonts w:ascii="宋体" w:hAnsi="宋体" w:eastAsia="宋体" w:cs="宋体"/>
          <w:spacing w:val="8"/>
          <w:sz w:val="23"/>
          <w:szCs w:val="23"/>
        </w:rPr>
        <w:t>防治及生态恢复。</w:t>
      </w:r>
    </w:p>
    <w:p w14:paraId="7244923A">
      <w:pPr>
        <w:spacing w:before="183" w:line="225" w:lineRule="auto"/>
        <w:ind w:left="488"/>
        <w:rPr>
          <w:rFonts w:ascii="宋体" w:hAnsi="宋体" w:eastAsia="宋体" w:cs="宋体"/>
          <w:sz w:val="23"/>
          <w:szCs w:val="23"/>
        </w:rPr>
      </w:pPr>
      <w:r>
        <w:rPr>
          <w:rFonts w:ascii="宋体" w:hAnsi="宋体" w:eastAsia="宋体" w:cs="宋体"/>
          <w:spacing w:val="10"/>
          <w:sz w:val="23"/>
          <w:szCs w:val="23"/>
        </w:rPr>
        <w:t>③</w:t>
      </w:r>
      <w:r>
        <w:rPr>
          <w:rFonts w:ascii="宋体" w:hAnsi="宋体" w:eastAsia="宋体" w:cs="宋体"/>
          <w:spacing w:val="8"/>
          <w:sz w:val="23"/>
          <w:szCs w:val="23"/>
        </w:rPr>
        <w:t>责任体系</w:t>
      </w:r>
    </w:p>
    <w:p w14:paraId="4BAAA9F7">
      <w:pPr>
        <w:spacing w:before="184" w:line="375" w:lineRule="auto"/>
        <w:ind w:left="49" w:right="85" w:firstLine="441"/>
        <w:rPr>
          <w:rFonts w:ascii="宋体" w:hAnsi="宋体" w:eastAsia="宋体" w:cs="宋体"/>
          <w:sz w:val="23"/>
          <w:szCs w:val="23"/>
        </w:rPr>
      </w:pPr>
      <w:r>
        <w:rPr>
          <w:rFonts w:ascii="宋体" w:hAnsi="宋体" w:eastAsia="宋体" w:cs="宋体"/>
          <w:spacing w:val="7"/>
          <w:sz w:val="23"/>
          <w:szCs w:val="23"/>
        </w:rPr>
        <w:t>养殖场负责人总体负责环境管理工作，专职环保管理人员、生产部及各生产车间按照</w:t>
      </w:r>
      <w:r>
        <w:rPr>
          <w:rFonts w:ascii="宋体" w:hAnsi="宋体" w:eastAsia="宋体" w:cs="宋体"/>
          <w:spacing w:val="5"/>
          <w:sz w:val="23"/>
          <w:szCs w:val="23"/>
        </w:rPr>
        <w:t>各</w:t>
      </w:r>
      <w:r>
        <w:rPr>
          <w:rFonts w:ascii="宋体" w:hAnsi="宋体" w:eastAsia="宋体" w:cs="宋体"/>
          <w:sz w:val="23"/>
          <w:szCs w:val="23"/>
        </w:rPr>
        <w:t xml:space="preserve"> </w:t>
      </w:r>
      <w:r>
        <w:rPr>
          <w:rFonts w:ascii="宋体" w:hAnsi="宋体" w:eastAsia="宋体" w:cs="宋体"/>
          <w:spacing w:val="15"/>
          <w:sz w:val="23"/>
          <w:szCs w:val="23"/>
        </w:rPr>
        <w:t>自</w:t>
      </w:r>
      <w:r>
        <w:rPr>
          <w:rFonts w:ascii="宋体" w:hAnsi="宋体" w:eastAsia="宋体" w:cs="宋体"/>
          <w:spacing w:val="8"/>
          <w:sz w:val="23"/>
          <w:szCs w:val="23"/>
        </w:rPr>
        <w:t>的职责检查督促各养殖车间做好环境综合管理工作，发现问题及时处理。</w:t>
      </w:r>
    </w:p>
    <w:p w14:paraId="6D473BF9">
      <w:pPr>
        <w:spacing w:line="227" w:lineRule="auto"/>
        <w:ind w:left="491"/>
        <w:rPr>
          <w:rFonts w:ascii="宋体" w:hAnsi="宋体" w:eastAsia="宋体" w:cs="宋体"/>
          <w:sz w:val="23"/>
          <w:szCs w:val="23"/>
        </w:rPr>
      </w:pPr>
      <w:r>
        <w:rPr>
          <w:rFonts w:ascii="宋体" w:hAnsi="宋体" w:eastAsia="宋体" w:cs="宋体"/>
          <w:spacing w:val="17"/>
          <w:sz w:val="23"/>
          <w:szCs w:val="23"/>
        </w:rPr>
        <w:t>专</w:t>
      </w:r>
      <w:r>
        <w:rPr>
          <w:rFonts w:ascii="宋体" w:hAnsi="宋体" w:eastAsia="宋体" w:cs="宋体"/>
          <w:spacing w:val="9"/>
          <w:sz w:val="23"/>
          <w:szCs w:val="23"/>
        </w:rPr>
        <w:t>职环保管理人员：负责企业环境监督，确保环保设备正常运行；</w:t>
      </w:r>
    </w:p>
    <w:p w14:paraId="60D4B817">
      <w:pPr>
        <w:spacing w:before="186" w:line="227" w:lineRule="auto"/>
        <w:ind w:left="492"/>
        <w:rPr>
          <w:rFonts w:ascii="宋体" w:hAnsi="宋体" w:eastAsia="宋体" w:cs="宋体"/>
          <w:sz w:val="23"/>
          <w:szCs w:val="23"/>
        </w:rPr>
      </w:pPr>
      <w:r>
        <w:rPr>
          <w:rFonts w:ascii="宋体" w:hAnsi="宋体" w:eastAsia="宋体" w:cs="宋体"/>
          <w:spacing w:val="10"/>
          <w:sz w:val="23"/>
          <w:szCs w:val="23"/>
        </w:rPr>
        <w:t>生</w:t>
      </w:r>
      <w:r>
        <w:rPr>
          <w:rFonts w:ascii="宋体" w:hAnsi="宋体" w:eastAsia="宋体" w:cs="宋体"/>
          <w:spacing w:val="9"/>
          <w:sz w:val="23"/>
          <w:szCs w:val="23"/>
        </w:rPr>
        <w:t>产部责任：负责维修环保设备，使其能正常运行，确保</w:t>
      </w:r>
      <w:r>
        <w:rPr>
          <w:rFonts w:ascii="Times New Roman" w:hAnsi="Times New Roman" w:eastAsia="Times New Roman" w:cs="Times New Roman"/>
          <w:spacing w:val="9"/>
          <w:sz w:val="23"/>
          <w:szCs w:val="23"/>
        </w:rPr>
        <w:t>“</w:t>
      </w:r>
      <w:r>
        <w:rPr>
          <w:rFonts w:ascii="宋体" w:hAnsi="宋体" w:eastAsia="宋体" w:cs="宋体"/>
          <w:spacing w:val="9"/>
          <w:sz w:val="23"/>
          <w:szCs w:val="23"/>
        </w:rPr>
        <w:t>三废</w:t>
      </w:r>
      <w:r>
        <w:rPr>
          <w:rFonts w:ascii="Times New Roman" w:hAnsi="Times New Roman" w:eastAsia="Times New Roman" w:cs="Times New Roman"/>
          <w:spacing w:val="9"/>
          <w:sz w:val="23"/>
          <w:szCs w:val="23"/>
        </w:rPr>
        <w:t>”</w:t>
      </w:r>
      <w:r>
        <w:rPr>
          <w:rFonts w:ascii="宋体" w:hAnsi="宋体" w:eastAsia="宋体" w:cs="宋体"/>
          <w:spacing w:val="9"/>
          <w:sz w:val="23"/>
          <w:szCs w:val="23"/>
        </w:rPr>
        <w:t>得到达标排放；</w:t>
      </w:r>
    </w:p>
    <w:p w14:paraId="5BA73547">
      <w:pPr>
        <w:spacing w:before="185" w:line="227" w:lineRule="auto"/>
        <w:ind w:left="492"/>
        <w:rPr>
          <w:rFonts w:ascii="宋体" w:hAnsi="宋体" w:eastAsia="宋体" w:cs="宋体"/>
          <w:sz w:val="23"/>
          <w:szCs w:val="23"/>
        </w:rPr>
      </w:pPr>
      <w:r>
        <w:rPr>
          <w:rFonts w:ascii="宋体" w:hAnsi="宋体" w:eastAsia="宋体" w:cs="宋体"/>
          <w:spacing w:val="9"/>
          <w:sz w:val="23"/>
          <w:szCs w:val="23"/>
        </w:rPr>
        <w:t>生产车间责任：确保本车间环保设备正常运行</w:t>
      </w:r>
      <w:r>
        <w:rPr>
          <w:rFonts w:ascii="宋体" w:hAnsi="宋体" w:eastAsia="宋体" w:cs="宋体"/>
          <w:spacing w:val="8"/>
          <w:sz w:val="23"/>
          <w:szCs w:val="23"/>
        </w:rPr>
        <w:t>。</w:t>
      </w:r>
    </w:p>
    <w:p w14:paraId="38B3C65A">
      <w:pPr>
        <w:spacing w:before="182" w:line="225" w:lineRule="auto"/>
        <w:ind w:left="488"/>
        <w:rPr>
          <w:rFonts w:ascii="宋体" w:hAnsi="宋体" w:eastAsia="宋体" w:cs="宋体"/>
          <w:sz w:val="23"/>
          <w:szCs w:val="23"/>
        </w:rPr>
      </w:pPr>
      <w:r>
        <w:rPr>
          <w:rFonts w:ascii="宋体" w:hAnsi="宋体" w:eastAsia="宋体" w:cs="宋体"/>
          <w:spacing w:val="10"/>
          <w:sz w:val="23"/>
          <w:szCs w:val="23"/>
        </w:rPr>
        <w:t>④</w:t>
      </w:r>
      <w:r>
        <w:rPr>
          <w:rFonts w:ascii="宋体" w:hAnsi="宋体" w:eastAsia="宋体" w:cs="宋体"/>
          <w:spacing w:val="8"/>
          <w:sz w:val="23"/>
          <w:szCs w:val="23"/>
        </w:rPr>
        <w:t>工作内容</w:t>
      </w:r>
    </w:p>
    <w:p w14:paraId="63CD3133">
      <w:pPr>
        <w:spacing w:before="187" w:line="375" w:lineRule="auto"/>
        <w:ind w:left="9" w:right="85" w:firstLine="484"/>
        <w:rPr>
          <w:rFonts w:ascii="宋体" w:hAnsi="宋体" w:eastAsia="宋体" w:cs="宋体"/>
          <w:sz w:val="23"/>
          <w:szCs w:val="23"/>
        </w:rPr>
      </w:pPr>
      <w:r>
        <w:rPr>
          <w:rFonts w:ascii="宋体" w:hAnsi="宋体" w:eastAsia="宋体" w:cs="宋体"/>
          <w:spacing w:val="7"/>
          <w:sz w:val="23"/>
          <w:szCs w:val="23"/>
        </w:rPr>
        <w:t>坚持预防为主、防治结合、综合治理的原则，坚持推行清洁生产，实行生产全过程污</w:t>
      </w:r>
      <w:r>
        <w:rPr>
          <w:rFonts w:ascii="宋体" w:hAnsi="宋体" w:eastAsia="宋体" w:cs="宋体"/>
          <w:spacing w:val="2"/>
          <w:sz w:val="23"/>
          <w:szCs w:val="23"/>
        </w:rPr>
        <w:t>染</w:t>
      </w:r>
      <w:r>
        <w:rPr>
          <w:rFonts w:ascii="宋体" w:hAnsi="宋体" w:eastAsia="宋体" w:cs="宋体"/>
          <w:sz w:val="23"/>
          <w:szCs w:val="23"/>
        </w:rPr>
        <w:t xml:space="preserve"> </w:t>
      </w:r>
      <w:r>
        <w:rPr>
          <w:rFonts w:ascii="宋体" w:hAnsi="宋体" w:eastAsia="宋体" w:cs="宋体"/>
          <w:spacing w:val="16"/>
          <w:sz w:val="23"/>
          <w:szCs w:val="23"/>
        </w:rPr>
        <w:t>控</w:t>
      </w:r>
      <w:r>
        <w:rPr>
          <w:rFonts w:ascii="宋体" w:hAnsi="宋体" w:eastAsia="宋体" w:cs="宋体"/>
          <w:spacing w:val="9"/>
          <w:sz w:val="23"/>
          <w:szCs w:val="23"/>
        </w:rPr>
        <w:t>制</w:t>
      </w:r>
      <w:r>
        <w:rPr>
          <w:rFonts w:ascii="宋体" w:hAnsi="宋体" w:eastAsia="宋体" w:cs="宋体"/>
          <w:spacing w:val="8"/>
          <w:sz w:val="23"/>
          <w:szCs w:val="23"/>
        </w:rPr>
        <w:t>。环境管理工作内容包括：</w:t>
      </w:r>
    </w:p>
    <w:p w14:paraId="51E56ECF">
      <w:pPr>
        <w:spacing w:line="303" w:lineRule="exact"/>
        <w:ind w:left="486"/>
        <w:rPr>
          <w:rFonts w:ascii="宋体" w:hAnsi="宋体" w:eastAsia="宋体" w:cs="宋体"/>
          <w:sz w:val="23"/>
          <w:szCs w:val="23"/>
        </w:rPr>
      </w:pPr>
      <w:r>
        <w:rPr>
          <w:rFonts w:ascii="Times New Roman" w:hAnsi="Times New Roman" w:eastAsia="Times New Roman" w:cs="Times New Roman"/>
          <w:position w:val="2"/>
          <w:sz w:val="23"/>
          <w:szCs w:val="23"/>
        </w:rPr>
        <w:t>I</w:t>
      </w:r>
      <w:r>
        <w:rPr>
          <w:rFonts w:ascii="Times New Roman" w:hAnsi="Times New Roman" w:eastAsia="Times New Roman" w:cs="Times New Roman"/>
          <w:spacing w:val="8"/>
          <w:position w:val="2"/>
          <w:sz w:val="23"/>
          <w:szCs w:val="23"/>
        </w:rPr>
        <w:t xml:space="preserve"> </w:t>
      </w:r>
      <w:r>
        <w:rPr>
          <w:rFonts w:ascii="宋体" w:hAnsi="宋体" w:eastAsia="宋体" w:cs="宋体"/>
          <w:spacing w:val="8"/>
          <w:position w:val="2"/>
          <w:sz w:val="23"/>
          <w:szCs w:val="23"/>
        </w:rPr>
        <w:t>、有效处理生产过程中产生的粪污、恶臭，防止对周围环境造成污染或有害影响</w:t>
      </w:r>
      <w:r>
        <w:rPr>
          <w:rFonts w:ascii="宋体" w:hAnsi="宋体" w:eastAsia="宋体" w:cs="宋体"/>
          <w:spacing w:val="1"/>
          <w:position w:val="2"/>
          <w:sz w:val="23"/>
          <w:szCs w:val="23"/>
        </w:rPr>
        <w:t>；</w:t>
      </w:r>
    </w:p>
    <w:p w14:paraId="69D8C9A6">
      <w:pPr>
        <w:spacing w:before="162" w:line="375" w:lineRule="auto"/>
        <w:ind w:left="10" w:right="82" w:firstLine="476"/>
        <w:rPr>
          <w:rFonts w:ascii="宋体" w:hAnsi="宋体" w:eastAsia="宋体" w:cs="宋体"/>
          <w:sz w:val="23"/>
          <w:szCs w:val="23"/>
        </w:rPr>
      </w:pPr>
      <w:r>
        <w:rPr>
          <w:rFonts w:ascii="Times New Roman" w:hAnsi="Times New Roman" w:eastAsia="Times New Roman" w:cs="Times New Roman"/>
          <w:sz w:val="23"/>
          <w:szCs w:val="23"/>
        </w:rPr>
        <w:t>II</w:t>
      </w:r>
      <w:r>
        <w:rPr>
          <w:rFonts w:ascii="Times New Roman" w:hAnsi="Times New Roman" w:eastAsia="Times New Roman" w:cs="Times New Roman"/>
          <w:spacing w:val="11"/>
          <w:sz w:val="23"/>
          <w:szCs w:val="23"/>
        </w:rPr>
        <w:t xml:space="preserve"> </w:t>
      </w:r>
      <w:r>
        <w:rPr>
          <w:rFonts w:ascii="宋体" w:hAnsi="宋体" w:eastAsia="宋体" w:cs="宋体"/>
          <w:spacing w:val="8"/>
          <w:sz w:val="23"/>
          <w:szCs w:val="23"/>
        </w:rPr>
        <w:t>、生产部具体负责日常的</w:t>
      </w:r>
      <w:r>
        <w:rPr>
          <w:rFonts w:ascii="Times New Roman" w:hAnsi="Times New Roman" w:eastAsia="Times New Roman" w:cs="Times New Roman"/>
          <w:spacing w:val="8"/>
          <w:sz w:val="23"/>
          <w:szCs w:val="23"/>
        </w:rPr>
        <w:t>“</w:t>
      </w:r>
      <w:r>
        <w:rPr>
          <w:rFonts w:ascii="宋体" w:hAnsi="宋体" w:eastAsia="宋体" w:cs="宋体"/>
          <w:spacing w:val="8"/>
          <w:sz w:val="23"/>
          <w:szCs w:val="23"/>
        </w:rPr>
        <w:t>三废</w:t>
      </w:r>
      <w:r>
        <w:rPr>
          <w:rFonts w:ascii="Times New Roman" w:hAnsi="Times New Roman" w:eastAsia="Times New Roman" w:cs="Times New Roman"/>
          <w:spacing w:val="8"/>
          <w:sz w:val="23"/>
          <w:szCs w:val="23"/>
        </w:rPr>
        <w:t>”</w:t>
      </w:r>
      <w:r>
        <w:rPr>
          <w:rFonts w:ascii="宋体" w:hAnsi="宋体" w:eastAsia="宋体" w:cs="宋体"/>
          <w:spacing w:val="8"/>
          <w:sz w:val="23"/>
          <w:szCs w:val="23"/>
        </w:rPr>
        <w:t>治理和环境保护工作，符合达标的排放源应树立合格</w:t>
      </w:r>
      <w:r>
        <w:rPr>
          <w:rFonts w:ascii="宋体" w:hAnsi="宋体" w:eastAsia="宋体" w:cs="宋体"/>
          <w:sz w:val="23"/>
          <w:szCs w:val="23"/>
        </w:rPr>
        <w:t xml:space="preserve"> </w:t>
      </w:r>
      <w:r>
        <w:rPr>
          <w:rFonts w:ascii="宋体" w:hAnsi="宋体" w:eastAsia="宋体" w:cs="宋体"/>
          <w:spacing w:val="6"/>
          <w:sz w:val="23"/>
          <w:szCs w:val="23"/>
        </w:rPr>
        <w:t>排放标志；</w:t>
      </w:r>
    </w:p>
    <w:p w14:paraId="3CBCC5F6">
      <w:pPr>
        <w:spacing w:line="227" w:lineRule="auto"/>
        <w:ind w:left="486"/>
        <w:rPr>
          <w:rFonts w:ascii="宋体" w:hAnsi="宋体" w:eastAsia="宋体" w:cs="宋体"/>
          <w:sz w:val="23"/>
          <w:szCs w:val="23"/>
        </w:rPr>
      </w:pPr>
      <w:r>
        <w:rPr>
          <w:rFonts w:ascii="Times New Roman" w:hAnsi="Times New Roman" w:eastAsia="Times New Roman" w:cs="Times New Roman"/>
          <w:sz w:val="23"/>
          <w:szCs w:val="23"/>
        </w:rPr>
        <w:t>III</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、设立</w:t>
      </w:r>
      <w:r>
        <w:rPr>
          <w:rFonts w:ascii="Times New Roman" w:hAnsi="Times New Roman" w:eastAsia="Times New Roman" w:cs="Times New Roman"/>
          <w:spacing w:val="7"/>
          <w:sz w:val="23"/>
          <w:szCs w:val="23"/>
        </w:rPr>
        <w:t>“</w:t>
      </w:r>
      <w:r>
        <w:rPr>
          <w:rFonts w:ascii="宋体" w:hAnsi="宋体" w:eastAsia="宋体" w:cs="宋体"/>
          <w:spacing w:val="7"/>
          <w:sz w:val="23"/>
          <w:szCs w:val="23"/>
        </w:rPr>
        <w:t>三废</w:t>
      </w:r>
      <w:r>
        <w:rPr>
          <w:rFonts w:ascii="Times New Roman" w:hAnsi="Times New Roman" w:eastAsia="Times New Roman" w:cs="Times New Roman"/>
          <w:spacing w:val="7"/>
          <w:sz w:val="23"/>
          <w:szCs w:val="23"/>
        </w:rPr>
        <w:t>”</w:t>
      </w:r>
      <w:r>
        <w:rPr>
          <w:rFonts w:ascii="宋体" w:hAnsi="宋体" w:eastAsia="宋体" w:cs="宋体"/>
          <w:spacing w:val="7"/>
          <w:sz w:val="23"/>
          <w:szCs w:val="23"/>
        </w:rPr>
        <w:t>处理人员岗位负责制，实行严格的奖罚制度</w:t>
      </w:r>
      <w:r>
        <w:rPr>
          <w:rFonts w:ascii="宋体" w:hAnsi="宋体" w:eastAsia="宋体" w:cs="宋体"/>
          <w:spacing w:val="4"/>
          <w:sz w:val="23"/>
          <w:szCs w:val="23"/>
        </w:rPr>
        <w:t>；</w:t>
      </w:r>
    </w:p>
    <w:p w14:paraId="31035459">
      <w:pPr>
        <w:spacing w:before="185" w:line="303" w:lineRule="exact"/>
        <w:ind w:left="486"/>
        <w:rPr>
          <w:rFonts w:ascii="宋体" w:hAnsi="宋体" w:eastAsia="宋体" w:cs="宋体"/>
          <w:sz w:val="23"/>
          <w:szCs w:val="23"/>
        </w:rPr>
      </w:pPr>
      <w:r>
        <w:rPr>
          <w:rFonts w:ascii="Times New Roman" w:hAnsi="Times New Roman" w:eastAsia="Times New Roman" w:cs="Times New Roman"/>
          <w:position w:val="1"/>
          <w:sz w:val="23"/>
          <w:szCs w:val="23"/>
        </w:rPr>
        <w:t>IV</w:t>
      </w:r>
      <w:r>
        <w:rPr>
          <w:rFonts w:ascii="宋体" w:hAnsi="宋体" w:eastAsia="宋体" w:cs="宋体"/>
          <w:spacing w:val="8"/>
          <w:position w:val="1"/>
          <w:sz w:val="23"/>
          <w:szCs w:val="23"/>
        </w:rPr>
        <w:t>、</w:t>
      </w:r>
      <w:r>
        <w:rPr>
          <w:rFonts w:ascii="宋体" w:hAnsi="宋体" w:eastAsia="宋体" w:cs="宋体"/>
          <w:spacing w:val="6"/>
          <w:position w:val="1"/>
          <w:sz w:val="23"/>
          <w:szCs w:val="23"/>
        </w:rPr>
        <w:t>专</w:t>
      </w:r>
      <w:r>
        <w:rPr>
          <w:rFonts w:ascii="宋体" w:hAnsi="宋体" w:eastAsia="宋体" w:cs="宋体"/>
          <w:spacing w:val="4"/>
          <w:position w:val="1"/>
          <w:sz w:val="23"/>
          <w:szCs w:val="23"/>
        </w:rPr>
        <w:t>职环保管理人员负责维护环保治理设施，在环保治理设施一旦出现故障时，有</w:t>
      </w:r>
      <w:r>
        <w:rPr>
          <w:rFonts w:ascii="Times New Roman" w:hAnsi="Times New Roman" w:eastAsia="Times New Roman" w:cs="Times New Roman"/>
          <w:spacing w:val="4"/>
          <w:position w:val="1"/>
          <w:sz w:val="23"/>
          <w:szCs w:val="23"/>
        </w:rPr>
        <w:t>“</w:t>
      </w:r>
      <w:r>
        <w:rPr>
          <w:rFonts w:ascii="宋体" w:hAnsi="宋体" w:eastAsia="宋体" w:cs="宋体"/>
          <w:spacing w:val="4"/>
          <w:position w:val="1"/>
          <w:sz w:val="23"/>
          <w:szCs w:val="23"/>
        </w:rPr>
        <w:t>三</w:t>
      </w:r>
    </w:p>
    <w:p w14:paraId="67C795F9">
      <w:pPr>
        <w:sectPr>
          <w:headerReference r:id="rId317" w:type="default"/>
          <w:footerReference r:id="rId318" w:type="default"/>
          <w:pgSz w:w="11906" w:h="16839"/>
          <w:pgMar w:top="1118" w:right="1049" w:bottom="1156" w:left="1275" w:header="878" w:footer="994" w:gutter="0"/>
          <w:cols w:space="720" w:num="1"/>
        </w:sectPr>
      </w:pPr>
    </w:p>
    <w:p w14:paraId="6ED161C6">
      <w:pPr>
        <w:spacing w:before="193" w:line="227" w:lineRule="auto"/>
        <w:ind w:left="9"/>
        <w:rPr>
          <w:rFonts w:ascii="宋体" w:hAnsi="宋体" w:eastAsia="宋体" w:cs="宋体"/>
          <w:sz w:val="23"/>
          <w:szCs w:val="23"/>
        </w:rPr>
      </w:pPr>
      <w:r>
        <w:rPr>
          <w:rFonts w:ascii="宋体" w:hAnsi="宋体" w:eastAsia="宋体" w:cs="宋体"/>
          <w:spacing w:val="10"/>
          <w:sz w:val="23"/>
          <w:szCs w:val="23"/>
        </w:rPr>
        <w:t>废</w:t>
      </w:r>
      <w:r>
        <w:rPr>
          <w:rFonts w:ascii="Times New Roman" w:hAnsi="Times New Roman" w:eastAsia="Times New Roman" w:cs="Times New Roman"/>
          <w:spacing w:val="9"/>
          <w:sz w:val="23"/>
          <w:szCs w:val="23"/>
        </w:rPr>
        <w:t>”</w:t>
      </w:r>
      <w:r>
        <w:rPr>
          <w:rFonts w:ascii="宋体" w:hAnsi="宋体" w:eastAsia="宋体" w:cs="宋体"/>
          <w:spacing w:val="9"/>
          <w:sz w:val="23"/>
          <w:szCs w:val="23"/>
        </w:rPr>
        <w:t>外排的生产工序必须停产，以杜绝污染物排放的出现；</w:t>
      </w:r>
    </w:p>
    <w:p w14:paraId="71A0CD7B">
      <w:pPr>
        <w:spacing w:before="181" w:line="375" w:lineRule="auto"/>
        <w:ind w:left="14" w:right="63" w:firstLine="468"/>
        <w:rPr>
          <w:rFonts w:ascii="宋体" w:hAnsi="宋体" w:eastAsia="宋体" w:cs="宋体"/>
          <w:sz w:val="23"/>
          <w:szCs w:val="23"/>
        </w:rPr>
      </w:pPr>
      <w:r>
        <w:rPr>
          <w:rFonts w:ascii="Times New Roman" w:hAnsi="Times New Roman" w:eastAsia="Times New Roman" w:cs="Times New Roman"/>
          <w:sz w:val="23"/>
          <w:szCs w:val="23"/>
        </w:rPr>
        <w:t>V</w:t>
      </w:r>
      <w:r>
        <w:rPr>
          <w:rFonts w:ascii="Times New Roman" w:hAnsi="Times New Roman" w:eastAsia="Times New Roman" w:cs="Times New Roman"/>
          <w:spacing w:val="14"/>
          <w:sz w:val="23"/>
          <w:szCs w:val="23"/>
        </w:rPr>
        <w:t xml:space="preserve"> </w:t>
      </w:r>
      <w:r>
        <w:rPr>
          <w:rFonts w:ascii="宋体" w:hAnsi="宋体" w:eastAsia="宋体" w:cs="宋体"/>
          <w:spacing w:val="14"/>
          <w:sz w:val="23"/>
          <w:szCs w:val="23"/>
        </w:rPr>
        <w:t>、</w:t>
      </w:r>
      <w:r>
        <w:rPr>
          <w:rFonts w:ascii="宋体" w:hAnsi="宋体" w:eastAsia="宋体" w:cs="宋体"/>
          <w:spacing w:val="8"/>
          <w:sz w:val="23"/>
          <w:szCs w:val="23"/>
        </w:rPr>
        <w:t>定</w:t>
      </w:r>
      <w:r>
        <w:rPr>
          <w:rFonts w:ascii="宋体" w:hAnsi="宋体" w:eastAsia="宋体" w:cs="宋体"/>
          <w:spacing w:val="7"/>
          <w:sz w:val="23"/>
          <w:szCs w:val="23"/>
        </w:rPr>
        <w:t>期进行环保技术业务培训，以提高工作人员的技术素质水平；积极开展环境保护</w:t>
      </w:r>
      <w:r>
        <w:rPr>
          <w:rFonts w:ascii="宋体" w:hAnsi="宋体" w:eastAsia="宋体" w:cs="宋体"/>
          <w:sz w:val="23"/>
          <w:szCs w:val="23"/>
        </w:rPr>
        <w:t xml:space="preserve"> </w:t>
      </w:r>
      <w:r>
        <w:rPr>
          <w:rFonts w:ascii="宋体" w:hAnsi="宋体" w:eastAsia="宋体" w:cs="宋体"/>
          <w:spacing w:val="9"/>
          <w:sz w:val="23"/>
          <w:szCs w:val="23"/>
        </w:rPr>
        <w:t>宣传教育活动，普及环保知识，提高全员的环保意识；</w:t>
      </w:r>
    </w:p>
    <w:p w14:paraId="40F7DEE5">
      <w:pPr>
        <w:spacing w:line="303" w:lineRule="exact"/>
        <w:ind w:left="482"/>
        <w:rPr>
          <w:rFonts w:ascii="宋体" w:hAnsi="宋体" w:eastAsia="宋体" w:cs="宋体"/>
          <w:sz w:val="23"/>
          <w:szCs w:val="23"/>
        </w:rPr>
      </w:pPr>
      <w:r>
        <w:rPr>
          <w:rFonts w:ascii="Times New Roman" w:hAnsi="Times New Roman" w:eastAsia="Times New Roman" w:cs="Times New Roman"/>
          <w:position w:val="2"/>
          <w:sz w:val="23"/>
          <w:szCs w:val="23"/>
        </w:rPr>
        <w:t>VI</w:t>
      </w:r>
      <w:r>
        <w:rPr>
          <w:rFonts w:ascii="Times New Roman" w:hAnsi="Times New Roman" w:eastAsia="Times New Roman" w:cs="Times New Roman"/>
          <w:spacing w:val="8"/>
          <w:position w:val="2"/>
          <w:sz w:val="23"/>
          <w:szCs w:val="23"/>
        </w:rPr>
        <w:t xml:space="preserve"> </w:t>
      </w:r>
      <w:r>
        <w:rPr>
          <w:rFonts w:ascii="宋体" w:hAnsi="宋体" w:eastAsia="宋体" w:cs="宋体"/>
          <w:spacing w:val="8"/>
          <w:position w:val="2"/>
          <w:sz w:val="23"/>
          <w:szCs w:val="23"/>
        </w:rPr>
        <w:t>、搞好场区绿化，改善生产区及周围环境，接受环保部门的检查和指导</w:t>
      </w:r>
      <w:r>
        <w:rPr>
          <w:rFonts w:ascii="宋体" w:hAnsi="宋体" w:eastAsia="宋体" w:cs="宋体"/>
          <w:spacing w:val="3"/>
          <w:position w:val="2"/>
          <w:sz w:val="23"/>
          <w:szCs w:val="23"/>
        </w:rPr>
        <w:t>；</w:t>
      </w:r>
    </w:p>
    <w:p w14:paraId="002ED0BC">
      <w:pPr>
        <w:spacing w:before="164" w:line="375" w:lineRule="auto"/>
        <w:ind w:left="9" w:right="64" w:firstLine="473"/>
        <w:rPr>
          <w:rFonts w:ascii="宋体" w:hAnsi="宋体" w:eastAsia="宋体" w:cs="宋体"/>
          <w:sz w:val="23"/>
          <w:szCs w:val="23"/>
        </w:rPr>
      </w:pPr>
      <w:r>
        <w:rPr>
          <w:rFonts w:ascii="Times New Roman" w:hAnsi="Times New Roman" w:eastAsia="Times New Roman" w:cs="Times New Roman"/>
          <w:sz w:val="23"/>
          <w:szCs w:val="23"/>
        </w:rPr>
        <w:t>VII</w:t>
      </w:r>
      <w:r>
        <w:rPr>
          <w:rFonts w:ascii="Times New Roman" w:hAnsi="Times New Roman" w:eastAsia="Times New Roman" w:cs="Times New Roman"/>
          <w:spacing w:val="18"/>
          <w:sz w:val="23"/>
          <w:szCs w:val="23"/>
        </w:rPr>
        <w:t xml:space="preserve"> </w:t>
      </w:r>
      <w:r>
        <w:rPr>
          <w:rFonts w:ascii="宋体" w:hAnsi="宋体" w:eastAsia="宋体" w:cs="宋体"/>
          <w:spacing w:val="18"/>
          <w:sz w:val="23"/>
          <w:szCs w:val="23"/>
        </w:rPr>
        <w:t>、</w:t>
      </w:r>
      <w:r>
        <w:rPr>
          <w:rFonts w:ascii="宋体" w:hAnsi="宋体" w:eastAsia="宋体" w:cs="宋体"/>
          <w:spacing w:val="15"/>
          <w:sz w:val="23"/>
          <w:szCs w:val="23"/>
        </w:rPr>
        <w:t>开</w:t>
      </w:r>
      <w:r>
        <w:rPr>
          <w:rFonts w:ascii="宋体" w:hAnsi="宋体" w:eastAsia="宋体" w:cs="宋体"/>
          <w:spacing w:val="9"/>
          <w:sz w:val="23"/>
          <w:szCs w:val="23"/>
        </w:rPr>
        <w:t>展节水减污活动，采取一水多用，循环使用，提高水的综合利用率，产生的粪</w:t>
      </w:r>
      <w:r>
        <w:rPr>
          <w:rFonts w:ascii="宋体" w:hAnsi="宋体" w:eastAsia="宋体" w:cs="宋体"/>
          <w:sz w:val="23"/>
          <w:szCs w:val="23"/>
        </w:rPr>
        <w:t xml:space="preserve"> </w:t>
      </w:r>
      <w:r>
        <w:rPr>
          <w:rFonts w:ascii="宋体" w:hAnsi="宋体" w:eastAsia="宋体" w:cs="宋体"/>
          <w:spacing w:val="12"/>
          <w:sz w:val="23"/>
          <w:szCs w:val="23"/>
        </w:rPr>
        <w:t>尿</w:t>
      </w:r>
      <w:r>
        <w:rPr>
          <w:rFonts w:ascii="宋体" w:hAnsi="宋体" w:eastAsia="宋体" w:cs="宋体"/>
          <w:spacing w:val="9"/>
          <w:sz w:val="23"/>
          <w:szCs w:val="23"/>
        </w:rPr>
        <w:t>污水经污水处理设施处理后用于周边土地施肥；</w:t>
      </w:r>
    </w:p>
    <w:p w14:paraId="1F0A7219">
      <w:pPr>
        <w:spacing w:line="303" w:lineRule="exact"/>
        <w:ind w:left="482"/>
        <w:rPr>
          <w:rFonts w:ascii="宋体" w:hAnsi="宋体" w:eastAsia="宋体" w:cs="宋体"/>
          <w:sz w:val="23"/>
          <w:szCs w:val="23"/>
        </w:rPr>
      </w:pPr>
      <w:r>
        <w:rPr>
          <w:rFonts w:ascii="Times New Roman" w:hAnsi="Times New Roman" w:eastAsia="Times New Roman" w:cs="Times New Roman"/>
          <w:position w:val="2"/>
          <w:sz w:val="23"/>
          <w:szCs w:val="23"/>
        </w:rPr>
        <w:t>VIII</w:t>
      </w:r>
      <w:r>
        <w:rPr>
          <w:rFonts w:ascii="Times New Roman" w:hAnsi="Times New Roman" w:eastAsia="Times New Roman" w:cs="Times New Roman"/>
          <w:spacing w:val="9"/>
          <w:position w:val="2"/>
          <w:sz w:val="23"/>
          <w:szCs w:val="23"/>
        </w:rPr>
        <w:t xml:space="preserve"> </w:t>
      </w:r>
      <w:r>
        <w:rPr>
          <w:rFonts w:ascii="宋体" w:hAnsi="宋体" w:eastAsia="宋体" w:cs="宋体"/>
          <w:spacing w:val="8"/>
          <w:position w:val="2"/>
          <w:sz w:val="23"/>
          <w:szCs w:val="23"/>
        </w:rPr>
        <w:t>、增压风机、各类水泵等动力设备采用隔音、吸音及减振等治理措施；</w:t>
      </w:r>
    </w:p>
    <w:p w14:paraId="6EC7EC97">
      <w:pPr>
        <w:spacing w:before="164" w:line="374" w:lineRule="auto"/>
        <w:ind w:left="11" w:right="61" w:firstLine="475"/>
        <w:rPr>
          <w:rFonts w:ascii="宋体" w:hAnsi="宋体" w:eastAsia="宋体" w:cs="宋体"/>
          <w:sz w:val="23"/>
          <w:szCs w:val="23"/>
        </w:rPr>
      </w:pPr>
      <w:r>
        <w:rPr>
          <w:rFonts w:ascii="Times New Roman" w:hAnsi="Times New Roman" w:eastAsia="Times New Roman" w:cs="Times New Roman"/>
          <w:sz w:val="23"/>
          <w:szCs w:val="23"/>
        </w:rPr>
        <w:t>IX</w:t>
      </w:r>
      <w:r>
        <w:rPr>
          <w:rFonts w:ascii="Times New Roman" w:hAnsi="Times New Roman" w:eastAsia="Times New Roman" w:cs="Times New Roman"/>
          <w:spacing w:val="10"/>
          <w:sz w:val="23"/>
          <w:szCs w:val="23"/>
        </w:rPr>
        <w:t xml:space="preserve"> </w:t>
      </w:r>
      <w:r>
        <w:rPr>
          <w:rFonts w:ascii="宋体" w:hAnsi="宋体" w:eastAsia="宋体" w:cs="宋体"/>
          <w:spacing w:val="10"/>
          <w:sz w:val="23"/>
          <w:szCs w:val="23"/>
        </w:rPr>
        <w:t>、</w:t>
      </w:r>
      <w:r>
        <w:rPr>
          <w:rFonts w:ascii="宋体" w:hAnsi="宋体" w:eastAsia="宋体" w:cs="宋体"/>
          <w:spacing w:val="8"/>
          <w:sz w:val="23"/>
          <w:szCs w:val="23"/>
        </w:rPr>
        <w:t>企</w:t>
      </w:r>
      <w:r>
        <w:rPr>
          <w:rFonts w:ascii="宋体" w:hAnsi="宋体" w:eastAsia="宋体" w:cs="宋体"/>
          <w:spacing w:val="5"/>
          <w:sz w:val="23"/>
          <w:szCs w:val="23"/>
        </w:rPr>
        <w:t>业内部饲料、药品等必须按照有关管理规定贮存、保管等，不得对生产养殖区及</w:t>
      </w:r>
      <w:r>
        <w:rPr>
          <w:rFonts w:ascii="宋体" w:hAnsi="宋体" w:eastAsia="宋体" w:cs="宋体"/>
          <w:sz w:val="23"/>
          <w:szCs w:val="23"/>
        </w:rPr>
        <w:t xml:space="preserve"> </w:t>
      </w:r>
      <w:r>
        <w:rPr>
          <w:rFonts w:ascii="宋体" w:hAnsi="宋体" w:eastAsia="宋体" w:cs="宋体"/>
          <w:spacing w:val="8"/>
          <w:sz w:val="23"/>
          <w:szCs w:val="23"/>
        </w:rPr>
        <w:t>其周围环境造成污染</w:t>
      </w:r>
      <w:r>
        <w:rPr>
          <w:rFonts w:ascii="宋体" w:hAnsi="宋体" w:eastAsia="宋体" w:cs="宋体"/>
          <w:spacing w:val="7"/>
          <w:sz w:val="23"/>
          <w:szCs w:val="23"/>
        </w:rPr>
        <w:t>；</w:t>
      </w:r>
    </w:p>
    <w:p w14:paraId="06CC5E56">
      <w:pPr>
        <w:spacing w:before="1" w:line="375" w:lineRule="auto"/>
        <w:ind w:left="15" w:firstLine="466"/>
        <w:rPr>
          <w:rFonts w:ascii="宋体" w:hAnsi="宋体" w:eastAsia="宋体" w:cs="宋体"/>
          <w:sz w:val="23"/>
          <w:szCs w:val="23"/>
        </w:rPr>
      </w:pPr>
      <w:r>
        <w:rPr>
          <w:rFonts w:ascii="Times New Roman" w:hAnsi="Times New Roman" w:eastAsia="Times New Roman" w:cs="Times New Roman"/>
          <w:sz w:val="23"/>
          <w:szCs w:val="23"/>
        </w:rPr>
        <w:t>X</w:t>
      </w:r>
      <w:r>
        <w:rPr>
          <w:rFonts w:ascii="宋体" w:hAnsi="宋体" w:eastAsia="宋体" w:cs="宋体"/>
          <w:spacing w:val="8"/>
          <w:sz w:val="23"/>
          <w:szCs w:val="23"/>
        </w:rPr>
        <w:t>、养殖过程</w:t>
      </w:r>
      <w:r>
        <w:rPr>
          <w:rFonts w:ascii="宋体" w:hAnsi="宋体" w:eastAsia="宋体" w:cs="宋体"/>
          <w:spacing w:val="4"/>
          <w:sz w:val="23"/>
          <w:szCs w:val="23"/>
        </w:rPr>
        <w:t>中，由于突发性事件造成排污异常，要积极采取应急措施，防止污染扩大，</w:t>
      </w:r>
      <w:r>
        <w:rPr>
          <w:rFonts w:ascii="宋体" w:hAnsi="宋体" w:eastAsia="宋体" w:cs="宋体"/>
          <w:sz w:val="23"/>
          <w:szCs w:val="23"/>
        </w:rPr>
        <w:t xml:space="preserve"> </w:t>
      </w:r>
      <w:r>
        <w:rPr>
          <w:rFonts w:ascii="宋体" w:hAnsi="宋体" w:eastAsia="宋体" w:cs="宋体"/>
          <w:spacing w:val="9"/>
          <w:sz w:val="23"/>
          <w:szCs w:val="23"/>
        </w:rPr>
        <w:t>并及时向环保主管部门汇报，以便做好协调处置工作</w:t>
      </w:r>
      <w:r>
        <w:rPr>
          <w:rFonts w:ascii="宋体" w:hAnsi="宋体" w:eastAsia="宋体" w:cs="宋体"/>
          <w:spacing w:val="7"/>
          <w:sz w:val="23"/>
          <w:szCs w:val="23"/>
        </w:rPr>
        <w:t>。</w:t>
      </w:r>
    </w:p>
    <w:p w14:paraId="694BB7EC">
      <w:pPr>
        <w:spacing w:line="225" w:lineRule="auto"/>
        <w:ind w:left="488"/>
        <w:rPr>
          <w:rFonts w:ascii="宋体" w:hAnsi="宋体" w:eastAsia="宋体" w:cs="宋体"/>
          <w:sz w:val="23"/>
          <w:szCs w:val="23"/>
        </w:rPr>
      </w:pPr>
      <w:r>
        <w:rPr>
          <w:rFonts w:ascii="宋体" w:hAnsi="宋体" w:eastAsia="宋体" w:cs="宋体"/>
          <w:spacing w:val="8"/>
          <w:sz w:val="23"/>
          <w:szCs w:val="23"/>
        </w:rPr>
        <w:t>⑤</w:t>
      </w:r>
      <w:r>
        <w:rPr>
          <w:rFonts w:ascii="宋体" w:hAnsi="宋体" w:eastAsia="宋体" w:cs="宋体"/>
          <w:spacing w:val="7"/>
          <w:sz w:val="23"/>
          <w:szCs w:val="23"/>
        </w:rPr>
        <w:t>措施</w:t>
      </w:r>
    </w:p>
    <w:p w14:paraId="18DBB8CC">
      <w:pPr>
        <w:spacing w:before="185" w:line="227" w:lineRule="auto"/>
        <w:ind w:left="489"/>
        <w:rPr>
          <w:rFonts w:ascii="宋体" w:hAnsi="宋体" w:eastAsia="宋体" w:cs="宋体"/>
          <w:sz w:val="23"/>
          <w:szCs w:val="23"/>
        </w:rPr>
      </w:pPr>
      <w:r>
        <w:rPr>
          <w:rFonts w:ascii="宋体" w:hAnsi="宋体" w:eastAsia="宋体" w:cs="宋体"/>
          <w:spacing w:val="17"/>
          <w:sz w:val="23"/>
          <w:szCs w:val="23"/>
        </w:rPr>
        <w:t>对</w:t>
      </w:r>
      <w:r>
        <w:rPr>
          <w:rFonts w:ascii="宋体" w:hAnsi="宋体" w:eastAsia="宋体" w:cs="宋体"/>
          <w:spacing w:val="9"/>
          <w:sz w:val="23"/>
          <w:szCs w:val="23"/>
        </w:rPr>
        <w:t>违反本办法，有下列情形，予以警告、批评、罚款或除名：</w:t>
      </w:r>
    </w:p>
    <w:p w14:paraId="404D1857">
      <w:pPr>
        <w:spacing w:before="185" w:line="303" w:lineRule="exact"/>
        <w:ind w:left="486"/>
        <w:rPr>
          <w:rFonts w:ascii="宋体" w:hAnsi="宋体" w:eastAsia="宋体" w:cs="宋体"/>
          <w:sz w:val="23"/>
          <w:szCs w:val="23"/>
        </w:rPr>
      </w:pPr>
      <w:r>
        <w:rPr>
          <w:rFonts w:ascii="Times New Roman" w:hAnsi="Times New Roman" w:eastAsia="Times New Roman" w:cs="Times New Roman"/>
          <w:position w:val="2"/>
          <w:sz w:val="23"/>
          <w:szCs w:val="23"/>
        </w:rPr>
        <w:t>I</w:t>
      </w:r>
      <w:r>
        <w:rPr>
          <w:rFonts w:ascii="Times New Roman" w:hAnsi="Times New Roman" w:eastAsia="Times New Roman" w:cs="Times New Roman"/>
          <w:spacing w:val="6"/>
          <w:position w:val="2"/>
          <w:sz w:val="23"/>
          <w:szCs w:val="23"/>
        </w:rPr>
        <w:t xml:space="preserve"> </w:t>
      </w:r>
      <w:r>
        <w:rPr>
          <w:rFonts w:ascii="宋体" w:hAnsi="宋体" w:eastAsia="宋体" w:cs="宋体"/>
          <w:spacing w:val="6"/>
          <w:position w:val="2"/>
          <w:sz w:val="23"/>
          <w:szCs w:val="23"/>
        </w:rPr>
        <w:t>、放松管理，玩忽职守或造成环保事故的</w:t>
      </w:r>
      <w:r>
        <w:rPr>
          <w:rFonts w:ascii="宋体" w:hAnsi="宋体" w:eastAsia="宋体" w:cs="宋体"/>
          <w:spacing w:val="5"/>
          <w:position w:val="2"/>
          <w:sz w:val="23"/>
          <w:szCs w:val="23"/>
        </w:rPr>
        <w:t>；</w:t>
      </w:r>
    </w:p>
    <w:p w14:paraId="68AB9E37">
      <w:pPr>
        <w:spacing w:before="163" w:line="303" w:lineRule="exact"/>
        <w:ind w:left="486"/>
        <w:rPr>
          <w:rFonts w:ascii="宋体" w:hAnsi="宋体" w:eastAsia="宋体" w:cs="宋体"/>
          <w:sz w:val="23"/>
          <w:szCs w:val="23"/>
        </w:rPr>
      </w:pPr>
      <w:r>
        <w:rPr>
          <w:rFonts w:ascii="Times New Roman" w:hAnsi="Times New Roman" w:eastAsia="Times New Roman" w:cs="Times New Roman"/>
          <w:position w:val="2"/>
          <w:sz w:val="23"/>
          <w:szCs w:val="23"/>
        </w:rPr>
        <w:t>II</w:t>
      </w:r>
      <w:r>
        <w:rPr>
          <w:rFonts w:ascii="Times New Roman" w:hAnsi="Times New Roman" w:eastAsia="Times New Roman" w:cs="Times New Roman"/>
          <w:spacing w:val="10"/>
          <w:position w:val="2"/>
          <w:sz w:val="23"/>
          <w:szCs w:val="23"/>
        </w:rPr>
        <w:t xml:space="preserve"> </w:t>
      </w:r>
      <w:r>
        <w:rPr>
          <w:rFonts w:ascii="宋体" w:hAnsi="宋体" w:eastAsia="宋体" w:cs="宋体"/>
          <w:spacing w:val="10"/>
          <w:position w:val="2"/>
          <w:sz w:val="23"/>
          <w:szCs w:val="23"/>
        </w:rPr>
        <w:t>、</w:t>
      </w:r>
      <w:r>
        <w:rPr>
          <w:rFonts w:ascii="宋体" w:hAnsi="宋体" w:eastAsia="宋体" w:cs="宋体"/>
          <w:spacing w:val="6"/>
          <w:position w:val="2"/>
          <w:sz w:val="23"/>
          <w:szCs w:val="23"/>
        </w:rPr>
        <w:t>挪</w:t>
      </w:r>
      <w:r>
        <w:rPr>
          <w:rFonts w:ascii="宋体" w:hAnsi="宋体" w:eastAsia="宋体" w:cs="宋体"/>
          <w:spacing w:val="5"/>
          <w:position w:val="2"/>
          <w:sz w:val="23"/>
          <w:szCs w:val="23"/>
        </w:rPr>
        <w:t>用治理污染费用、设备和物资的；</w:t>
      </w:r>
    </w:p>
    <w:p w14:paraId="1AE1914E">
      <w:pPr>
        <w:spacing w:before="165" w:line="303" w:lineRule="exact"/>
        <w:ind w:left="486"/>
        <w:rPr>
          <w:rFonts w:ascii="宋体" w:hAnsi="宋体" w:eastAsia="宋体" w:cs="宋体"/>
          <w:sz w:val="23"/>
          <w:szCs w:val="23"/>
        </w:rPr>
      </w:pPr>
      <w:r>
        <w:rPr>
          <w:rFonts w:ascii="Times New Roman" w:hAnsi="Times New Roman" w:eastAsia="Times New Roman" w:cs="Times New Roman"/>
          <w:position w:val="2"/>
          <w:sz w:val="23"/>
          <w:szCs w:val="23"/>
        </w:rPr>
        <w:t>III</w:t>
      </w:r>
      <w:r>
        <w:rPr>
          <w:rFonts w:ascii="Times New Roman" w:hAnsi="Times New Roman" w:eastAsia="Times New Roman" w:cs="Times New Roman"/>
          <w:spacing w:val="6"/>
          <w:position w:val="2"/>
          <w:sz w:val="23"/>
          <w:szCs w:val="23"/>
        </w:rPr>
        <w:t xml:space="preserve"> </w:t>
      </w:r>
      <w:r>
        <w:rPr>
          <w:rFonts w:ascii="宋体" w:hAnsi="宋体" w:eastAsia="宋体" w:cs="宋体"/>
          <w:spacing w:val="6"/>
          <w:position w:val="2"/>
          <w:sz w:val="23"/>
          <w:szCs w:val="23"/>
        </w:rPr>
        <w:t>、对监督检查及检举人进行打击报复的；</w:t>
      </w:r>
    </w:p>
    <w:p w14:paraId="5A901156">
      <w:pPr>
        <w:spacing w:before="165" w:line="303" w:lineRule="exact"/>
        <w:ind w:left="486"/>
        <w:rPr>
          <w:rFonts w:ascii="宋体" w:hAnsi="宋体" w:eastAsia="宋体" w:cs="宋体"/>
          <w:sz w:val="23"/>
          <w:szCs w:val="23"/>
        </w:rPr>
      </w:pPr>
      <w:r>
        <w:rPr>
          <w:rFonts w:ascii="Times New Roman" w:hAnsi="Times New Roman" w:eastAsia="Times New Roman" w:cs="Times New Roman"/>
          <w:position w:val="2"/>
          <w:sz w:val="23"/>
          <w:szCs w:val="23"/>
        </w:rPr>
        <w:t>IV</w:t>
      </w:r>
      <w:r>
        <w:rPr>
          <w:rFonts w:ascii="Times New Roman" w:hAnsi="Times New Roman" w:eastAsia="Times New Roman" w:cs="Times New Roman"/>
          <w:spacing w:val="7"/>
          <w:position w:val="2"/>
          <w:sz w:val="23"/>
          <w:szCs w:val="23"/>
        </w:rPr>
        <w:t xml:space="preserve"> </w:t>
      </w:r>
      <w:r>
        <w:rPr>
          <w:rFonts w:ascii="宋体" w:hAnsi="宋体" w:eastAsia="宋体" w:cs="宋体"/>
          <w:spacing w:val="7"/>
          <w:position w:val="2"/>
          <w:sz w:val="23"/>
          <w:szCs w:val="23"/>
        </w:rPr>
        <w:t>、对污染治理设施无故停用或任意拆除造成污染的</w:t>
      </w:r>
      <w:r>
        <w:rPr>
          <w:rFonts w:ascii="宋体" w:hAnsi="宋体" w:eastAsia="宋体" w:cs="宋体"/>
          <w:spacing w:val="4"/>
          <w:position w:val="2"/>
          <w:sz w:val="23"/>
          <w:szCs w:val="23"/>
        </w:rPr>
        <w:t>；</w:t>
      </w:r>
    </w:p>
    <w:p w14:paraId="63F5EC54">
      <w:pPr>
        <w:spacing w:before="163" w:line="303" w:lineRule="exact"/>
        <w:ind w:left="482"/>
        <w:rPr>
          <w:rFonts w:ascii="宋体" w:hAnsi="宋体" w:eastAsia="宋体" w:cs="宋体"/>
          <w:sz w:val="23"/>
          <w:szCs w:val="23"/>
        </w:rPr>
      </w:pPr>
      <w:r>
        <w:rPr>
          <w:rFonts w:ascii="Times New Roman" w:hAnsi="Times New Roman" w:eastAsia="Times New Roman" w:cs="Times New Roman"/>
          <w:position w:val="2"/>
          <w:sz w:val="23"/>
          <w:szCs w:val="23"/>
        </w:rPr>
        <w:t>V</w:t>
      </w:r>
      <w:r>
        <w:rPr>
          <w:rFonts w:ascii="Times New Roman" w:hAnsi="Times New Roman" w:eastAsia="Times New Roman" w:cs="Times New Roman"/>
          <w:spacing w:val="6"/>
          <w:position w:val="2"/>
          <w:sz w:val="23"/>
          <w:szCs w:val="23"/>
        </w:rPr>
        <w:t xml:space="preserve"> </w:t>
      </w:r>
      <w:r>
        <w:rPr>
          <w:rFonts w:ascii="宋体" w:hAnsi="宋体" w:eastAsia="宋体" w:cs="宋体"/>
          <w:spacing w:val="6"/>
          <w:position w:val="2"/>
          <w:sz w:val="23"/>
          <w:szCs w:val="23"/>
        </w:rPr>
        <w:t>、滥用职权、徇私舞弊、玩忽职守的</w:t>
      </w:r>
      <w:r>
        <w:rPr>
          <w:rFonts w:ascii="宋体" w:hAnsi="宋体" w:eastAsia="宋体" w:cs="宋体"/>
          <w:spacing w:val="5"/>
          <w:position w:val="2"/>
          <w:sz w:val="23"/>
          <w:szCs w:val="23"/>
        </w:rPr>
        <w:t>；</w:t>
      </w:r>
    </w:p>
    <w:p w14:paraId="6C78356B">
      <w:pPr>
        <w:spacing w:before="162" w:line="303" w:lineRule="exact"/>
        <w:ind w:left="482"/>
        <w:rPr>
          <w:rFonts w:ascii="宋体" w:hAnsi="宋体" w:eastAsia="宋体" w:cs="宋体"/>
          <w:sz w:val="23"/>
          <w:szCs w:val="23"/>
        </w:rPr>
      </w:pPr>
      <w:r>
        <w:rPr>
          <w:rFonts w:ascii="Times New Roman" w:hAnsi="Times New Roman" w:eastAsia="Times New Roman" w:cs="Times New Roman"/>
          <w:position w:val="2"/>
          <w:sz w:val="23"/>
          <w:szCs w:val="23"/>
        </w:rPr>
        <w:t>VI</w:t>
      </w:r>
      <w:r>
        <w:rPr>
          <w:rFonts w:ascii="Times New Roman" w:hAnsi="Times New Roman" w:eastAsia="Times New Roman" w:cs="Times New Roman"/>
          <w:spacing w:val="10"/>
          <w:position w:val="2"/>
          <w:sz w:val="23"/>
          <w:szCs w:val="23"/>
        </w:rPr>
        <w:t xml:space="preserve"> </w:t>
      </w:r>
      <w:r>
        <w:rPr>
          <w:rFonts w:ascii="宋体" w:hAnsi="宋体" w:eastAsia="宋体" w:cs="宋体"/>
          <w:spacing w:val="9"/>
          <w:position w:val="2"/>
          <w:sz w:val="23"/>
          <w:szCs w:val="23"/>
        </w:rPr>
        <w:t>、</w:t>
      </w:r>
      <w:r>
        <w:rPr>
          <w:rFonts w:ascii="宋体" w:hAnsi="宋体" w:eastAsia="宋体" w:cs="宋体"/>
          <w:spacing w:val="5"/>
          <w:position w:val="2"/>
          <w:sz w:val="23"/>
          <w:szCs w:val="23"/>
        </w:rPr>
        <w:t>对污染事故迟报或隐瞒不报的；</w:t>
      </w:r>
    </w:p>
    <w:p w14:paraId="5AA64115">
      <w:pPr>
        <w:spacing w:before="165" w:line="303" w:lineRule="exact"/>
        <w:ind w:left="482"/>
        <w:rPr>
          <w:rFonts w:ascii="宋体" w:hAnsi="宋体" w:eastAsia="宋体" w:cs="宋体"/>
          <w:sz w:val="23"/>
          <w:szCs w:val="23"/>
        </w:rPr>
      </w:pPr>
      <w:r>
        <w:rPr>
          <w:rFonts w:ascii="Times New Roman" w:hAnsi="Times New Roman" w:eastAsia="Times New Roman" w:cs="Times New Roman"/>
          <w:position w:val="2"/>
          <w:sz w:val="23"/>
          <w:szCs w:val="23"/>
        </w:rPr>
        <w:t>VII</w:t>
      </w:r>
      <w:r>
        <w:rPr>
          <w:rFonts w:ascii="Times New Roman" w:hAnsi="Times New Roman" w:eastAsia="Times New Roman" w:cs="Times New Roman"/>
          <w:spacing w:val="8"/>
          <w:position w:val="2"/>
          <w:sz w:val="23"/>
          <w:szCs w:val="23"/>
        </w:rPr>
        <w:t xml:space="preserve"> </w:t>
      </w:r>
      <w:r>
        <w:rPr>
          <w:rFonts w:ascii="宋体" w:hAnsi="宋体" w:eastAsia="宋体" w:cs="宋体"/>
          <w:spacing w:val="8"/>
          <w:position w:val="2"/>
          <w:sz w:val="23"/>
          <w:szCs w:val="23"/>
        </w:rPr>
        <w:t>、</w:t>
      </w:r>
      <w:r>
        <w:rPr>
          <w:rFonts w:ascii="宋体" w:hAnsi="宋体" w:eastAsia="宋体" w:cs="宋体"/>
          <w:spacing w:val="6"/>
          <w:position w:val="2"/>
          <w:sz w:val="23"/>
          <w:szCs w:val="23"/>
        </w:rPr>
        <w:t>造</w:t>
      </w:r>
      <w:r>
        <w:rPr>
          <w:rFonts w:ascii="宋体" w:hAnsi="宋体" w:eastAsia="宋体" w:cs="宋体"/>
          <w:spacing w:val="4"/>
          <w:position w:val="2"/>
          <w:sz w:val="23"/>
          <w:szCs w:val="23"/>
        </w:rPr>
        <w:t>成污染物超标排放的。</w:t>
      </w:r>
    </w:p>
    <w:p w14:paraId="371B9C2B">
      <w:pPr>
        <w:spacing w:before="163" w:line="227" w:lineRule="auto"/>
        <w:ind w:left="490"/>
        <w:rPr>
          <w:rFonts w:ascii="宋体" w:hAnsi="宋体" w:eastAsia="宋体" w:cs="宋体"/>
          <w:sz w:val="23"/>
          <w:szCs w:val="23"/>
        </w:rPr>
      </w:pPr>
      <w:r>
        <w:rPr>
          <w:rFonts w:ascii="Times New Roman" w:hAnsi="Times New Roman" w:eastAsia="Times New Roman" w:cs="Times New Roman"/>
          <w:spacing w:val="11"/>
          <w:sz w:val="23"/>
          <w:szCs w:val="23"/>
        </w:rPr>
        <w:t>3</w:t>
      </w:r>
      <w:r>
        <w:rPr>
          <w:rFonts w:ascii="宋体" w:hAnsi="宋体" w:eastAsia="宋体" w:cs="宋体"/>
          <w:spacing w:val="8"/>
          <w:sz w:val="23"/>
          <w:szCs w:val="23"/>
        </w:rPr>
        <w:t>) 养殖场环境综合整治制度</w:t>
      </w:r>
    </w:p>
    <w:p w14:paraId="3942F9C9">
      <w:pPr>
        <w:spacing w:before="185" w:line="375" w:lineRule="auto"/>
        <w:ind w:left="11" w:right="63" w:firstLine="478"/>
        <w:rPr>
          <w:rFonts w:ascii="宋体" w:hAnsi="宋体" w:eastAsia="宋体" w:cs="宋体"/>
          <w:sz w:val="23"/>
          <w:szCs w:val="23"/>
        </w:rPr>
      </w:pPr>
      <w:r>
        <w:rPr>
          <w:rFonts w:ascii="宋体" w:hAnsi="宋体" w:eastAsia="宋体" w:cs="宋体"/>
          <w:spacing w:val="7"/>
          <w:sz w:val="23"/>
          <w:szCs w:val="23"/>
        </w:rPr>
        <w:t>①实现生产区、生活管理区的隔离。人员进出生产区门、人员进出养殖小区大门、饲</w:t>
      </w:r>
      <w:r>
        <w:rPr>
          <w:rFonts w:ascii="宋体" w:hAnsi="宋体" w:eastAsia="宋体" w:cs="宋体"/>
          <w:spacing w:val="6"/>
          <w:sz w:val="23"/>
          <w:szCs w:val="23"/>
        </w:rPr>
        <w:t>料</w:t>
      </w:r>
      <w:r>
        <w:rPr>
          <w:rFonts w:ascii="宋体" w:hAnsi="宋体" w:eastAsia="宋体" w:cs="宋体"/>
          <w:sz w:val="23"/>
          <w:szCs w:val="23"/>
        </w:rPr>
        <w:t xml:space="preserve"> </w:t>
      </w:r>
      <w:r>
        <w:rPr>
          <w:rFonts w:ascii="宋体" w:hAnsi="宋体" w:eastAsia="宋体" w:cs="宋体"/>
          <w:spacing w:val="26"/>
          <w:sz w:val="23"/>
          <w:szCs w:val="23"/>
        </w:rPr>
        <w:t>库</w:t>
      </w:r>
      <w:r>
        <w:rPr>
          <w:rFonts w:ascii="宋体" w:hAnsi="宋体" w:eastAsia="宋体" w:cs="宋体"/>
          <w:spacing w:val="22"/>
          <w:sz w:val="23"/>
          <w:szCs w:val="23"/>
        </w:rPr>
        <w:t>门</w:t>
      </w:r>
      <w:r>
        <w:rPr>
          <w:rFonts w:ascii="宋体" w:hAnsi="宋体" w:eastAsia="宋体" w:cs="宋体"/>
          <w:spacing w:val="13"/>
          <w:sz w:val="23"/>
          <w:szCs w:val="23"/>
        </w:rPr>
        <w:t>以及生猪出场门等</w:t>
      </w:r>
      <w:r>
        <w:rPr>
          <w:rFonts w:ascii="Times New Roman" w:hAnsi="Times New Roman" w:eastAsia="Times New Roman" w:cs="Times New Roman"/>
          <w:spacing w:val="13"/>
          <w:sz w:val="23"/>
          <w:szCs w:val="23"/>
        </w:rPr>
        <w:t>“</w:t>
      </w:r>
      <w:r>
        <w:rPr>
          <w:rFonts w:ascii="宋体" w:hAnsi="宋体" w:eastAsia="宋体" w:cs="宋体"/>
          <w:spacing w:val="13"/>
          <w:sz w:val="23"/>
          <w:szCs w:val="23"/>
        </w:rPr>
        <w:t>四门</w:t>
      </w:r>
      <w:r>
        <w:rPr>
          <w:rFonts w:ascii="Times New Roman" w:hAnsi="Times New Roman" w:eastAsia="Times New Roman" w:cs="Times New Roman"/>
          <w:spacing w:val="13"/>
          <w:sz w:val="23"/>
          <w:szCs w:val="23"/>
        </w:rPr>
        <w:t>”</w:t>
      </w:r>
      <w:r>
        <w:rPr>
          <w:rFonts w:ascii="宋体" w:hAnsi="宋体" w:eastAsia="宋体" w:cs="宋体"/>
          <w:spacing w:val="13"/>
          <w:sz w:val="23"/>
          <w:szCs w:val="23"/>
        </w:rPr>
        <w:t>配备相应的消毒防疫设施，并严格按照消毒防疫管理制度执</w:t>
      </w:r>
      <w:r>
        <w:rPr>
          <w:rFonts w:ascii="宋体" w:hAnsi="宋体" w:eastAsia="宋体" w:cs="宋体"/>
          <w:sz w:val="23"/>
          <w:szCs w:val="23"/>
        </w:rPr>
        <w:t xml:space="preserve"> </w:t>
      </w:r>
      <w:r>
        <w:rPr>
          <w:rFonts w:ascii="宋体" w:hAnsi="宋体" w:eastAsia="宋体" w:cs="宋体"/>
          <w:spacing w:val="-1"/>
          <w:sz w:val="23"/>
          <w:szCs w:val="23"/>
        </w:rPr>
        <w:t>行</w:t>
      </w:r>
      <w:r>
        <w:rPr>
          <w:rFonts w:ascii="宋体" w:hAnsi="宋体" w:eastAsia="宋体" w:cs="宋体"/>
          <w:sz w:val="23"/>
          <w:szCs w:val="23"/>
        </w:rPr>
        <w:t>；</w:t>
      </w:r>
    </w:p>
    <w:p w14:paraId="59755787">
      <w:pPr>
        <w:spacing w:line="225" w:lineRule="auto"/>
        <w:ind w:left="488"/>
        <w:rPr>
          <w:rFonts w:ascii="宋体" w:hAnsi="宋体" w:eastAsia="宋体" w:cs="宋体"/>
          <w:sz w:val="23"/>
          <w:szCs w:val="23"/>
        </w:rPr>
      </w:pPr>
      <w:r>
        <w:rPr>
          <w:rFonts w:ascii="宋体" w:hAnsi="宋体" w:eastAsia="宋体" w:cs="宋体"/>
          <w:spacing w:val="12"/>
          <w:sz w:val="23"/>
          <w:szCs w:val="23"/>
        </w:rPr>
        <w:t>②</w:t>
      </w:r>
      <w:r>
        <w:rPr>
          <w:rFonts w:ascii="宋体" w:hAnsi="宋体" w:eastAsia="宋体" w:cs="宋体"/>
          <w:spacing w:val="8"/>
          <w:sz w:val="23"/>
          <w:szCs w:val="23"/>
        </w:rPr>
        <w:t>优化场区各单元布局；</w:t>
      </w:r>
    </w:p>
    <w:p w14:paraId="05ABC923">
      <w:pPr>
        <w:spacing w:before="186" w:line="225" w:lineRule="auto"/>
        <w:ind w:left="488"/>
        <w:rPr>
          <w:rFonts w:ascii="宋体" w:hAnsi="宋体" w:eastAsia="宋体" w:cs="宋体"/>
          <w:sz w:val="23"/>
          <w:szCs w:val="23"/>
        </w:rPr>
      </w:pPr>
      <w:r>
        <w:rPr>
          <w:rFonts w:ascii="宋体" w:hAnsi="宋体" w:eastAsia="宋体" w:cs="宋体"/>
          <w:spacing w:val="18"/>
          <w:sz w:val="23"/>
          <w:szCs w:val="23"/>
        </w:rPr>
        <w:t>③</w:t>
      </w:r>
      <w:r>
        <w:rPr>
          <w:rFonts w:ascii="宋体" w:hAnsi="宋体" w:eastAsia="宋体" w:cs="宋体"/>
          <w:spacing w:val="13"/>
          <w:sz w:val="23"/>
          <w:szCs w:val="23"/>
        </w:rPr>
        <w:t>场</w:t>
      </w:r>
      <w:r>
        <w:rPr>
          <w:rFonts w:ascii="宋体" w:hAnsi="宋体" w:eastAsia="宋体" w:cs="宋体"/>
          <w:spacing w:val="9"/>
          <w:sz w:val="23"/>
          <w:szCs w:val="23"/>
        </w:rPr>
        <w:t>区实行雨污分流；粪尿通过布设暗沟以密封形式输送到处理设施；</w:t>
      </w:r>
    </w:p>
    <w:p w14:paraId="2A4FF731">
      <w:pPr>
        <w:spacing w:before="187" w:line="225" w:lineRule="auto"/>
        <w:ind w:left="488"/>
        <w:rPr>
          <w:rFonts w:ascii="宋体" w:hAnsi="宋体" w:eastAsia="宋体" w:cs="宋体"/>
          <w:sz w:val="23"/>
          <w:szCs w:val="23"/>
        </w:rPr>
      </w:pPr>
      <w:r>
        <w:rPr>
          <w:rFonts w:ascii="宋体" w:hAnsi="宋体" w:eastAsia="宋体" w:cs="宋体"/>
          <w:spacing w:val="17"/>
          <w:sz w:val="23"/>
          <w:szCs w:val="23"/>
        </w:rPr>
        <w:t>④</w:t>
      </w:r>
      <w:r>
        <w:rPr>
          <w:rFonts w:ascii="宋体" w:hAnsi="宋体" w:eastAsia="宋体" w:cs="宋体"/>
          <w:spacing w:val="9"/>
          <w:sz w:val="23"/>
          <w:szCs w:val="23"/>
        </w:rPr>
        <w:t>病死猪要及时处理，严禁随意丢弃，严禁出售或再利用；</w:t>
      </w:r>
    </w:p>
    <w:p w14:paraId="58CAE479">
      <w:pPr>
        <w:spacing w:before="185" w:line="375" w:lineRule="auto"/>
        <w:ind w:left="28" w:right="66" w:firstLine="459"/>
        <w:rPr>
          <w:rFonts w:ascii="宋体" w:hAnsi="宋体" w:eastAsia="宋体" w:cs="宋体"/>
          <w:sz w:val="23"/>
          <w:szCs w:val="23"/>
        </w:rPr>
      </w:pPr>
      <w:r>
        <w:rPr>
          <w:rFonts w:ascii="宋体" w:hAnsi="宋体" w:eastAsia="宋体" w:cs="宋体"/>
          <w:spacing w:val="7"/>
          <w:sz w:val="23"/>
          <w:szCs w:val="23"/>
        </w:rPr>
        <w:t>⑤养殖场内部防疫过程产生的废弃药品、试剂等危险废物由专人收集、暂存于危废暂存</w:t>
      </w:r>
      <w:r>
        <w:rPr>
          <w:rFonts w:ascii="宋体" w:hAnsi="宋体" w:eastAsia="宋体" w:cs="宋体"/>
          <w:sz w:val="23"/>
          <w:szCs w:val="23"/>
        </w:rPr>
        <w:t xml:space="preserve"> </w:t>
      </w:r>
      <w:r>
        <w:rPr>
          <w:rFonts w:ascii="宋体" w:hAnsi="宋体" w:eastAsia="宋体" w:cs="宋体"/>
          <w:spacing w:val="16"/>
          <w:sz w:val="23"/>
          <w:szCs w:val="23"/>
        </w:rPr>
        <w:t>间</w:t>
      </w:r>
      <w:r>
        <w:rPr>
          <w:rFonts w:ascii="宋体" w:hAnsi="宋体" w:eastAsia="宋体" w:cs="宋体"/>
          <w:spacing w:val="11"/>
          <w:sz w:val="23"/>
          <w:szCs w:val="23"/>
        </w:rPr>
        <w:t>中</w:t>
      </w:r>
      <w:r>
        <w:rPr>
          <w:rFonts w:ascii="宋体" w:hAnsi="宋体" w:eastAsia="宋体" w:cs="宋体"/>
          <w:spacing w:val="8"/>
          <w:sz w:val="23"/>
          <w:szCs w:val="23"/>
        </w:rPr>
        <w:t>，定期交由有相应处理资质和处理能力的单位处置；</w:t>
      </w:r>
    </w:p>
    <w:p w14:paraId="7AABCF58">
      <w:pPr>
        <w:spacing w:line="468" w:lineRule="exact"/>
        <w:ind w:left="488"/>
        <w:rPr>
          <w:rFonts w:ascii="宋体" w:hAnsi="宋体" w:eastAsia="宋体" w:cs="宋体"/>
          <w:sz w:val="23"/>
          <w:szCs w:val="23"/>
        </w:rPr>
      </w:pPr>
      <w:r>
        <w:rPr>
          <w:rFonts w:ascii="宋体" w:hAnsi="宋体" w:eastAsia="宋体" w:cs="宋体"/>
          <w:spacing w:val="7"/>
          <w:position w:val="17"/>
          <w:sz w:val="23"/>
          <w:szCs w:val="23"/>
        </w:rPr>
        <w:t>⑥严格执行《畜禽养殖业污染物排放标准》和消毒防疫制度，保证恶臭污染物排放符合</w:t>
      </w:r>
    </w:p>
    <w:p w14:paraId="2C3E578F">
      <w:pPr>
        <w:spacing w:line="228" w:lineRule="auto"/>
        <w:ind w:left="33"/>
        <w:rPr>
          <w:rFonts w:ascii="宋体" w:hAnsi="宋体" w:eastAsia="宋体" w:cs="宋体"/>
          <w:sz w:val="23"/>
          <w:szCs w:val="23"/>
        </w:rPr>
      </w:pPr>
      <w:r>
        <w:rPr>
          <w:rFonts w:ascii="宋体" w:hAnsi="宋体" w:eastAsia="宋体" w:cs="宋体"/>
          <w:spacing w:val="2"/>
          <w:sz w:val="23"/>
          <w:szCs w:val="23"/>
        </w:rPr>
        <w:t>国家</w:t>
      </w:r>
      <w:r>
        <w:rPr>
          <w:rFonts w:ascii="宋体" w:hAnsi="宋体" w:eastAsia="宋体" w:cs="宋体"/>
          <w:spacing w:val="1"/>
          <w:sz w:val="23"/>
          <w:szCs w:val="23"/>
        </w:rPr>
        <w:t>标准。</w:t>
      </w:r>
    </w:p>
    <w:p w14:paraId="6EB1D4B3">
      <w:pPr>
        <w:sectPr>
          <w:headerReference r:id="rId319" w:type="default"/>
          <w:footerReference r:id="rId320" w:type="default"/>
          <w:pgSz w:w="11906" w:h="16839"/>
          <w:pgMar w:top="1118" w:right="1068" w:bottom="1157" w:left="1275" w:header="878" w:footer="994" w:gutter="0"/>
          <w:cols w:space="720" w:num="1"/>
        </w:sectPr>
      </w:pPr>
    </w:p>
    <w:p w14:paraId="3739C95E">
      <w:pPr>
        <w:spacing w:before="193" w:line="227" w:lineRule="auto"/>
        <w:ind w:left="8"/>
        <w:outlineLvl w:val="2"/>
        <w:rPr>
          <w:rFonts w:ascii="宋体" w:hAnsi="宋体" w:eastAsia="宋体" w:cs="宋体"/>
          <w:sz w:val="23"/>
          <w:szCs w:val="23"/>
        </w:rPr>
      </w:pPr>
      <w:r>
        <w:rPr>
          <w:rFonts w:ascii="Times New Roman" w:hAnsi="Times New Roman" w:eastAsia="Times New Roman" w:cs="Times New Roman"/>
          <w:b/>
          <w:bCs/>
          <w:spacing w:val="9"/>
          <w:sz w:val="23"/>
          <w:szCs w:val="23"/>
        </w:rPr>
        <w:t>9</w:t>
      </w:r>
      <w:r>
        <w:rPr>
          <w:rFonts w:ascii="Times New Roman" w:hAnsi="Times New Roman" w:eastAsia="Times New Roman" w:cs="Times New Roman"/>
          <w:b/>
          <w:bCs/>
          <w:spacing w:val="8"/>
          <w:sz w:val="23"/>
          <w:szCs w:val="23"/>
        </w:rPr>
        <w:t>.1.5</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运营期主要产排污设施环境管理</w:t>
      </w:r>
    </w:p>
    <w:p w14:paraId="3EEEFC2E">
      <w:pPr>
        <w:spacing w:before="182" w:line="228" w:lineRule="auto"/>
        <w:ind w:left="490"/>
        <w:rPr>
          <w:rFonts w:ascii="宋体" w:hAnsi="宋体" w:eastAsia="宋体" w:cs="宋体"/>
          <w:sz w:val="23"/>
          <w:szCs w:val="23"/>
        </w:rPr>
      </w:pPr>
      <w:r>
        <w:rPr>
          <w:rFonts w:ascii="宋体" w:hAnsi="宋体" w:eastAsia="宋体" w:cs="宋体"/>
          <w:spacing w:val="6"/>
          <w:sz w:val="23"/>
          <w:szCs w:val="23"/>
        </w:rPr>
        <w:t>运营期主</w:t>
      </w:r>
      <w:r>
        <w:rPr>
          <w:rFonts w:ascii="宋体" w:hAnsi="宋体" w:eastAsia="宋体" w:cs="宋体"/>
          <w:spacing w:val="5"/>
          <w:sz w:val="23"/>
          <w:szCs w:val="23"/>
        </w:rPr>
        <w:t>要</w:t>
      </w:r>
      <w:r>
        <w:rPr>
          <w:rFonts w:ascii="宋体" w:hAnsi="宋体" w:eastAsia="宋体" w:cs="宋体"/>
          <w:spacing w:val="3"/>
          <w:sz w:val="23"/>
          <w:szCs w:val="23"/>
        </w:rPr>
        <w:t xml:space="preserve">废气、废水及治理设置信息详见表 </w:t>
      </w:r>
      <w:r>
        <w:rPr>
          <w:rFonts w:ascii="Times New Roman" w:hAnsi="Times New Roman" w:eastAsia="Times New Roman" w:cs="Times New Roman"/>
          <w:spacing w:val="3"/>
          <w:sz w:val="23"/>
          <w:szCs w:val="23"/>
        </w:rPr>
        <w:t>3.5- 1</w:t>
      </w:r>
      <w:r>
        <w:rPr>
          <w:rFonts w:ascii="宋体" w:hAnsi="宋体" w:eastAsia="宋体" w:cs="宋体"/>
          <w:spacing w:val="3"/>
          <w:sz w:val="23"/>
          <w:szCs w:val="23"/>
        </w:rPr>
        <w:t>；</w:t>
      </w:r>
    </w:p>
    <w:p w14:paraId="714D532A">
      <w:pPr>
        <w:spacing w:before="184" w:line="227" w:lineRule="auto"/>
        <w:ind w:left="8"/>
        <w:outlineLvl w:val="2"/>
        <w:rPr>
          <w:rFonts w:ascii="宋体" w:hAnsi="宋体" w:eastAsia="宋体" w:cs="宋体"/>
          <w:sz w:val="23"/>
          <w:szCs w:val="23"/>
        </w:rPr>
      </w:pPr>
      <w:r>
        <w:rPr>
          <w:rFonts w:ascii="Times New Roman" w:hAnsi="Times New Roman" w:eastAsia="Times New Roman" w:cs="Times New Roman"/>
          <w:b/>
          <w:bCs/>
          <w:spacing w:val="14"/>
          <w:sz w:val="23"/>
          <w:szCs w:val="23"/>
        </w:rPr>
        <w:t>9.</w:t>
      </w:r>
      <w:r>
        <w:rPr>
          <w:rFonts w:ascii="Times New Roman" w:hAnsi="Times New Roman" w:eastAsia="Times New Roman" w:cs="Times New Roman"/>
          <w:b/>
          <w:bCs/>
          <w:spacing w:val="7"/>
          <w:sz w:val="23"/>
          <w:szCs w:val="23"/>
        </w:rPr>
        <w:t>1.6</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环境保护标识和规划化管理</w:t>
      </w:r>
    </w:p>
    <w:p w14:paraId="3E7C6606">
      <w:pPr>
        <w:spacing w:before="182" w:line="227" w:lineRule="auto"/>
        <w:ind w:left="501"/>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8"/>
          <w:sz w:val="23"/>
          <w:szCs w:val="23"/>
        </w:rPr>
        <w:t>1</w:t>
      </w:r>
      <w:r>
        <w:rPr>
          <w:rFonts w:ascii="宋体" w:hAnsi="宋体" w:eastAsia="宋体" w:cs="宋体"/>
          <w:spacing w:val="18"/>
          <w:sz w:val="23"/>
          <w:szCs w:val="23"/>
        </w:rPr>
        <w:t>) 固体废物贮</w:t>
      </w:r>
      <w:r>
        <w:rPr>
          <w:rFonts w:ascii="宋体" w:hAnsi="宋体" w:eastAsia="宋体" w:cs="宋体"/>
          <w:spacing w:val="17"/>
          <w:sz w:val="23"/>
          <w:szCs w:val="23"/>
        </w:rPr>
        <w:t>存</w:t>
      </w:r>
    </w:p>
    <w:p w14:paraId="4562C015">
      <w:pPr>
        <w:spacing w:before="188" w:line="374" w:lineRule="auto"/>
        <w:ind w:left="9" w:right="56" w:firstLine="483"/>
        <w:rPr>
          <w:rFonts w:ascii="宋体" w:hAnsi="宋体" w:eastAsia="宋体" w:cs="宋体"/>
          <w:sz w:val="23"/>
          <w:szCs w:val="23"/>
        </w:rPr>
      </w:pPr>
      <w:r>
        <w:rPr>
          <w:rFonts w:ascii="宋体" w:hAnsi="宋体" w:eastAsia="宋体" w:cs="宋体"/>
          <w:spacing w:val="7"/>
          <w:sz w:val="23"/>
          <w:szCs w:val="23"/>
        </w:rPr>
        <w:t>建设项目设置室内临时贮存库，应对各种固体废物分别收集、贮存和运输，临时贮存</w:t>
      </w:r>
      <w:r>
        <w:rPr>
          <w:rFonts w:ascii="宋体" w:hAnsi="宋体" w:eastAsia="宋体" w:cs="宋体"/>
          <w:spacing w:val="3"/>
          <w:sz w:val="23"/>
          <w:szCs w:val="23"/>
        </w:rPr>
        <w:t>库</w:t>
      </w:r>
      <w:r>
        <w:rPr>
          <w:rFonts w:ascii="宋体" w:hAnsi="宋体" w:eastAsia="宋体" w:cs="宋体"/>
          <w:sz w:val="23"/>
          <w:szCs w:val="23"/>
        </w:rPr>
        <w:t xml:space="preserve"> </w:t>
      </w:r>
      <w:r>
        <w:rPr>
          <w:rFonts w:ascii="宋体" w:hAnsi="宋体" w:eastAsia="宋体" w:cs="宋体"/>
          <w:spacing w:val="2"/>
          <w:sz w:val="23"/>
          <w:szCs w:val="23"/>
        </w:rPr>
        <w:t>有防扬散、防流失、防渗漏等措施，并应设</w:t>
      </w:r>
      <w:r>
        <w:rPr>
          <w:rFonts w:ascii="宋体" w:hAnsi="宋体" w:eastAsia="宋体" w:cs="宋体"/>
          <w:spacing w:val="1"/>
          <w:sz w:val="23"/>
          <w:szCs w:val="23"/>
        </w:rPr>
        <w:t>置标志牌。一般固体废物贮存处置场所应符合《一</w:t>
      </w:r>
      <w:r>
        <w:rPr>
          <w:rFonts w:ascii="宋体" w:hAnsi="宋体" w:eastAsia="宋体" w:cs="宋体"/>
          <w:sz w:val="23"/>
          <w:szCs w:val="23"/>
        </w:rPr>
        <w:t xml:space="preserve"> </w:t>
      </w:r>
      <w:r>
        <w:rPr>
          <w:rFonts w:ascii="宋体" w:hAnsi="宋体" w:eastAsia="宋体" w:cs="宋体"/>
          <w:spacing w:val="6"/>
          <w:sz w:val="23"/>
          <w:szCs w:val="23"/>
        </w:rPr>
        <w:t>般工业固体废物贮存、</w:t>
      </w:r>
      <w:r>
        <w:rPr>
          <w:rFonts w:ascii="宋体" w:hAnsi="宋体" w:eastAsia="宋体" w:cs="宋体"/>
          <w:spacing w:val="5"/>
          <w:sz w:val="23"/>
          <w:szCs w:val="23"/>
        </w:rPr>
        <w:t>处</w:t>
      </w:r>
      <w:r>
        <w:rPr>
          <w:rFonts w:ascii="宋体" w:hAnsi="宋体" w:eastAsia="宋体" w:cs="宋体"/>
          <w:spacing w:val="3"/>
          <w:sz w:val="23"/>
          <w:szCs w:val="23"/>
        </w:rPr>
        <w:t>置场污染控制标准》  (</w:t>
      </w:r>
      <w:r>
        <w:rPr>
          <w:rFonts w:ascii="Times New Roman" w:hAnsi="Times New Roman" w:eastAsia="Times New Roman" w:cs="Times New Roman"/>
          <w:sz w:val="23"/>
          <w:szCs w:val="23"/>
        </w:rPr>
        <w:t>GB</w:t>
      </w:r>
      <w:r>
        <w:rPr>
          <w:rFonts w:ascii="Times New Roman" w:hAnsi="Times New Roman" w:eastAsia="Times New Roman" w:cs="Times New Roman"/>
          <w:spacing w:val="3"/>
          <w:sz w:val="23"/>
          <w:szCs w:val="23"/>
        </w:rPr>
        <w:t>18599-2001</w:t>
      </w:r>
      <w:r>
        <w:rPr>
          <w:rFonts w:ascii="宋体" w:hAnsi="宋体" w:eastAsia="宋体" w:cs="宋体"/>
          <w:spacing w:val="3"/>
          <w:sz w:val="23"/>
          <w:szCs w:val="23"/>
        </w:rPr>
        <w:t xml:space="preserve">) 及其 </w:t>
      </w:r>
      <w:r>
        <w:rPr>
          <w:rFonts w:ascii="Times New Roman" w:hAnsi="Times New Roman" w:eastAsia="Times New Roman" w:cs="Times New Roman"/>
          <w:spacing w:val="3"/>
          <w:sz w:val="23"/>
          <w:szCs w:val="23"/>
        </w:rPr>
        <w:t xml:space="preserve">2013 </w:t>
      </w:r>
      <w:r>
        <w:rPr>
          <w:rFonts w:ascii="宋体" w:hAnsi="宋体" w:eastAsia="宋体" w:cs="宋体"/>
          <w:spacing w:val="3"/>
          <w:sz w:val="23"/>
          <w:szCs w:val="23"/>
        </w:rPr>
        <w:t>年修改单的相关</w:t>
      </w:r>
      <w:r>
        <w:rPr>
          <w:rFonts w:ascii="宋体" w:hAnsi="宋体" w:eastAsia="宋体" w:cs="宋体"/>
          <w:sz w:val="23"/>
          <w:szCs w:val="23"/>
        </w:rPr>
        <w:t xml:space="preserve"> </w:t>
      </w:r>
      <w:r>
        <w:rPr>
          <w:rFonts w:ascii="宋体" w:hAnsi="宋体" w:eastAsia="宋体" w:cs="宋体"/>
          <w:spacing w:val="6"/>
          <w:sz w:val="23"/>
          <w:szCs w:val="23"/>
        </w:rPr>
        <w:t>要求；危险废物暂存执</w:t>
      </w:r>
      <w:r>
        <w:rPr>
          <w:rFonts w:ascii="宋体" w:hAnsi="宋体" w:eastAsia="宋体" w:cs="宋体"/>
          <w:spacing w:val="5"/>
          <w:sz w:val="23"/>
          <w:szCs w:val="23"/>
        </w:rPr>
        <w:t>行</w:t>
      </w:r>
      <w:r>
        <w:rPr>
          <w:rFonts w:ascii="宋体" w:hAnsi="宋体" w:eastAsia="宋体" w:cs="宋体"/>
          <w:spacing w:val="3"/>
          <w:sz w:val="23"/>
          <w:szCs w:val="23"/>
        </w:rPr>
        <w:t>《危险废物贮存污染控制标准》  (</w:t>
      </w:r>
      <w:r>
        <w:rPr>
          <w:rFonts w:ascii="Times New Roman" w:hAnsi="Times New Roman" w:eastAsia="Times New Roman" w:cs="Times New Roman"/>
          <w:sz w:val="23"/>
          <w:szCs w:val="23"/>
        </w:rPr>
        <w:t>GB</w:t>
      </w:r>
      <w:r>
        <w:rPr>
          <w:rFonts w:ascii="Times New Roman" w:hAnsi="Times New Roman" w:eastAsia="Times New Roman" w:cs="Times New Roman"/>
          <w:spacing w:val="3"/>
          <w:sz w:val="23"/>
          <w:szCs w:val="23"/>
        </w:rPr>
        <w:t>18597-2001</w:t>
      </w:r>
      <w:r>
        <w:rPr>
          <w:rFonts w:ascii="宋体" w:hAnsi="宋体" w:eastAsia="宋体" w:cs="宋体"/>
          <w:spacing w:val="3"/>
          <w:sz w:val="23"/>
          <w:szCs w:val="23"/>
        </w:rPr>
        <w:t xml:space="preserve">) 及其 </w:t>
      </w:r>
      <w:r>
        <w:rPr>
          <w:rFonts w:ascii="Times New Roman" w:hAnsi="Times New Roman" w:eastAsia="Times New Roman" w:cs="Times New Roman"/>
          <w:spacing w:val="3"/>
          <w:sz w:val="23"/>
          <w:szCs w:val="23"/>
        </w:rPr>
        <w:t xml:space="preserve">2013 </w:t>
      </w:r>
      <w:r>
        <w:rPr>
          <w:rFonts w:ascii="宋体" w:hAnsi="宋体" w:eastAsia="宋体" w:cs="宋体"/>
          <w:spacing w:val="3"/>
          <w:sz w:val="23"/>
          <w:szCs w:val="23"/>
        </w:rPr>
        <w:t>年修</w:t>
      </w:r>
      <w:r>
        <w:rPr>
          <w:rFonts w:ascii="宋体" w:hAnsi="宋体" w:eastAsia="宋体" w:cs="宋体"/>
          <w:sz w:val="23"/>
          <w:szCs w:val="23"/>
        </w:rPr>
        <w:t xml:space="preserve"> </w:t>
      </w:r>
      <w:r>
        <w:rPr>
          <w:rFonts w:ascii="宋体" w:hAnsi="宋体" w:eastAsia="宋体" w:cs="宋体"/>
          <w:spacing w:val="12"/>
          <w:sz w:val="23"/>
          <w:szCs w:val="23"/>
        </w:rPr>
        <w:t>改</w:t>
      </w:r>
      <w:r>
        <w:rPr>
          <w:rFonts w:ascii="宋体" w:hAnsi="宋体" w:eastAsia="宋体" w:cs="宋体"/>
          <w:spacing w:val="7"/>
          <w:sz w:val="23"/>
          <w:szCs w:val="23"/>
        </w:rPr>
        <w:t>单的相关要求。</w:t>
      </w:r>
    </w:p>
    <w:p w14:paraId="786FBF8A">
      <w:pPr>
        <w:spacing w:line="228" w:lineRule="auto"/>
        <w:ind w:left="501"/>
        <w:rPr>
          <w:rFonts w:ascii="宋体" w:hAnsi="宋体" w:eastAsia="宋体" w:cs="宋体"/>
          <w:sz w:val="23"/>
          <w:szCs w:val="23"/>
        </w:rPr>
      </w:pPr>
      <w:r>
        <w:rPr>
          <w:rFonts w:ascii="宋体" w:hAnsi="宋体" w:eastAsia="宋体" w:cs="宋体"/>
          <w:spacing w:val="23"/>
          <w:sz w:val="23"/>
          <w:szCs w:val="23"/>
        </w:rPr>
        <w:t>(</w:t>
      </w:r>
      <w:r>
        <w:rPr>
          <w:rFonts w:ascii="Times New Roman" w:hAnsi="Times New Roman" w:eastAsia="Times New Roman" w:cs="Times New Roman"/>
          <w:spacing w:val="16"/>
          <w:sz w:val="23"/>
          <w:szCs w:val="23"/>
        </w:rPr>
        <w:t>2</w:t>
      </w:r>
      <w:r>
        <w:rPr>
          <w:rFonts w:ascii="宋体" w:hAnsi="宋体" w:eastAsia="宋体" w:cs="宋体"/>
          <w:spacing w:val="16"/>
          <w:sz w:val="23"/>
          <w:szCs w:val="23"/>
        </w:rPr>
        <w:t>) 环境保护图形标志</w:t>
      </w:r>
    </w:p>
    <w:p w14:paraId="72141022">
      <w:pPr>
        <w:spacing w:before="184" w:line="375" w:lineRule="auto"/>
        <w:ind w:left="9" w:right="59" w:firstLine="480"/>
        <w:rPr>
          <w:rFonts w:ascii="宋体" w:hAnsi="宋体" w:eastAsia="宋体" w:cs="宋体"/>
          <w:sz w:val="23"/>
          <w:szCs w:val="23"/>
        </w:rPr>
      </w:pPr>
      <w:r>
        <w:rPr>
          <w:rFonts w:ascii="宋体" w:hAnsi="宋体" w:eastAsia="宋体" w:cs="宋体"/>
          <w:spacing w:val="7"/>
          <w:sz w:val="23"/>
          <w:szCs w:val="23"/>
        </w:rPr>
        <w:t>在项目的固体废物贮存处置场应设置环境保护图形标志，图形符号分为提示图形和警</w:t>
      </w:r>
      <w:r>
        <w:rPr>
          <w:rFonts w:ascii="宋体" w:hAnsi="宋体" w:eastAsia="宋体" w:cs="宋体"/>
          <w:spacing w:val="6"/>
          <w:sz w:val="23"/>
          <w:szCs w:val="23"/>
        </w:rPr>
        <w:t>告</w:t>
      </w:r>
      <w:r>
        <w:rPr>
          <w:rFonts w:ascii="宋体" w:hAnsi="宋体" w:eastAsia="宋体" w:cs="宋体"/>
          <w:sz w:val="23"/>
          <w:szCs w:val="23"/>
        </w:rPr>
        <w:t xml:space="preserve"> </w:t>
      </w:r>
      <w:r>
        <w:rPr>
          <w:rFonts w:ascii="宋体" w:hAnsi="宋体" w:eastAsia="宋体" w:cs="宋体"/>
          <w:spacing w:val="4"/>
          <w:sz w:val="23"/>
          <w:szCs w:val="23"/>
        </w:rPr>
        <w:t>图形符号两种，分别</w:t>
      </w:r>
      <w:r>
        <w:rPr>
          <w:rFonts w:ascii="宋体" w:hAnsi="宋体" w:eastAsia="宋体" w:cs="宋体"/>
          <w:spacing w:val="2"/>
          <w:sz w:val="23"/>
          <w:szCs w:val="23"/>
        </w:rPr>
        <w:t xml:space="preserve">按 </w:t>
      </w:r>
      <w:r>
        <w:rPr>
          <w:rFonts w:ascii="Times New Roman" w:hAnsi="Times New Roman" w:eastAsia="Times New Roman" w:cs="Times New Roman"/>
          <w:sz w:val="23"/>
          <w:szCs w:val="23"/>
        </w:rPr>
        <w:t>GB</w:t>
      </w:r>
      <w:r>
        <w:rPr>
          <w:rFonts w:ascii="Times New Roman" w:hAnsi="Times New Roman" w:eastAsia="Times New Roman" w:cs="Times New Roman"/>
          <w:spacing w:val="2"/>
          <w:sz w:val="23"/>
          <w:szCs w:val="23"/>
        </w:rPr>
        <w:t xml:space="preserve">15562. 1- 1995 </w:t>
      </w:r>
      <w:r>
        <w:rPr>
          <w:rFonts w:ascii="宋体" w:hAnsi="宋体" w:eastAsia="宋体" w:cs="宋体"/>
          <w:spacing w:val="2"/>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2"/>
          <w:sz w:val="23"/>
          <w:szCs w:val="23"/>
        </w:rPr>
        <w:t xml:space="preserve">15562.2- 1995 </w:t>
      </w:r>
      <w:r>
        <w:rPr>
          <w:rFonts w:ascii="宋体" w:hAnsi="宋体" w:eastAsia="宋体" w:cs="宋体"/>
          <w:spacing w:val="2"/>
          <w:sz w:val="23"/>
          <w:szCs w:val="23"/>
        </w:rPr>
        <w:t>执行。环境保护图形标志的形状</w:t>
      </w:r>
      <w:r>
        <w:rPr>
          <w:rFonts w:ascii="宋体" w:hAnsi="宋体" w:eastAsia="宋体" w:cs="宋体"/>
          <w:sz w:val="23"/>
          <w:szCs w:val="23"/>
        </w:rPr>
        <w:t xml:space="preserve"> </w:t>
      </w:r>
      <w:r>
        <w:rPr>
          <w:rFonts w:ascii="宋体" w:hAnsi="宋体" w:eastAsia="宋体" w:cs="宋体"/>
          <w:spacing w:val="-3"/>
          <w:sz w:val="23"/>
          <w:szCs w:val="23"/>
        </w:rPr>
        <w:t xml:space="preserve">及颜色见表 </w:t>
      </w:r>
      <w:r>
        <w:rPr>
          <w:rFonts w:ascii="Times New Roman" w:hAnsi="Times New Roman" w:eastAsia="Times New Roman" w:cs="Times New Roman"/>
          <w:spacing w:val="-3"/>
          <w:sz w:val="23"/>
          <w:szCs w:val="23"/>
        </w:rPr>
        <w:t xml:space="preserve">9. 1-2 </w:t>
      </w:r>
      <w:r>
        <w:rPr>
          <w:rFonts w:ascii="宋体" w:hAnsi="宋体" w:eastAsia="宋体" w:cs="宋体"/>
          <w:spacing w:val="-3"/>
          <w:sz w:val="23"/>
          <w:szCs w:val="23"/>
        </w:rPr>
        <w:t xml:space="preserve">，环境保护图形符号见表 </w:t>
      </w:r>
      <w:r>
        <w:rPr>
          <w:rFonts w:ascii="Times New Roman" w:hAnsi="Times New Roman" w:eastAsia="Times New Roman" w:cs="Times New Roman"/>
          <w:spacing w:val="-3"/>
          <w:sz w:val="23"/>
          <w:szCs w:val="23"/>
        </w:rPr>
        <w:t>9. 1-</w:t>
      </w:r>
      <w:r>
        <w:rPr>
          <w:rFonts w:ascii="Times New Roman" w:hAnsi="Times New Roman" w:eastAsia="Times New Roman" w:cs="Times New Roman"/>
          <w:spacing w:val="-1"/>
          <w:sz w:val="23"/>
          <w:szCs w:val="23"/>
        </w:rPr>
        <w:t>3</w:t>
      </w:r>
      <w:r>
        <w:rPr>
          <w:rFonts w:ascii="宋体" w:hAnsi="宋体" w:eastAsia="宋体" w:cs="宋体"/>
          <w:sz w:val="23"/>
          <w:szCs w:val="23"/>
        </w:rPr>
        <w:t>。</w:t>
      </w:r>
    </w:p>
    <w:p w14:paraId="06BBE410">
      <w:pPr>
        <w:spacing w:line="221" w:lineRule="auto"/>
        <w:ind w:left="2740"/>
        <w:rPr>
          <w:rFonts w:ascii="黑体" w:hAnsi="黑体" w:eastAsia="黑体" w:cs="黑体"/>
          <w:sz w:val="23"/>
          <w:szCs w:val="23"/>
        </w:rPr>
      </w:pPr>
      <w:r>
        <w:rPr>
          <w:rFonts w:ascii="黑体" w:hAnsi="黑体" w:eastAsia="黑体" w:cs="黑体"/>
          <w:spacing w:val="4"/>
          <w:sz w:val="23"/>
          <w:szCs w:val="23"/>
        </w:rPr>
        <w:t xml:space="preserve">表 </w:t>
      </w:r>
      <w:r>
        <w:rPr>
          <w:rFonts w:ascii="Times New Roman" w:hAnsi="Times New Roman" w:eastAsia="Times New Roman" w:cs="Times New Roman"/>
          <w:spacing w:val="4"/>
          <w:sz w:val="23"/>
          <w:szCs w:val="23"/>
        </w:rPr>
        <w:t>9.</w:t>
      </w:r>
      <w:r>
        <w:rPr>
          <w:rFonts w:ascii="Times New Roman" w:hAnsi="Times New Roman" w:eastAsia="Times New Roman" w:cs="Times New Roman"/>
          <w:spacing w:val="3"/>
          <w:sz w:val="23"/>
          <w:szCs w:val="23"/>
        </w:rPr>
        <w:t xml:space="preserve"> </w:t>
      </w:r>
      <w:r>
        <w:rPr>
          <w:rFonts w:ascii="Times New Roman" w:hAnsi="Times New Roman" w:eastAsia="Times New Roman" w:cs="Times New Roman"/>
          <w:spacing w:val="2"/>
          <w:sz w:val="23"/>
          <w:szCs w:val="23"/>
        </w:rPr>
        <w:t xml:space="preserve">1-2  </w:t>
      </w:r>
      <w:r>
        <w:rPr>
          <w:rFonts w:ascii="黑体" w:hAnsi="黑体" w:eastAsia="黑体" w:cs="黑体"/>
          <w:spacing w:val="2"/>
          <w:sz w:val="23"/>
          <w:szCs w:val="23"/>
        </w:rPr>
        <w:t>环境保护图形标志的形状及颜色表</w:t>
      </w:r>
    </w:p>
    <w:tbl>
      <w:tblPr>
        <w:tblStyle w:val="4"/>
        <w:tblW w:w="9288" w:type="dxa"/>
        <w:tblInd w:w="10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80"/>
        <w:gridCol w:w="1651"/>
        <w:gridCol w:w="1664"/>
        <w:gridCol w:w="1969"/>
        <w:gridCol w:w="1724"/>
      </w:tblGrid>
      <w:tr w14:paraId="7107F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2280" w:type="dxa"/>
            <w:tcBorders>
              <w:left w:val="nil"/>
            </w:tcBorders>
          </w:tcPr>
          <w:p w14:paraId="7128E917">
            <w:pPr>
              <w:spacing w:before="55" w:line="226" w:lineRule="auto"/>
              <w:ind w:left="622"/>
              <w:rPr>
                <w:rFonts w:ascii="宋体" w:hAnsi="宋体" w:eastAsia="宋体" w:cs="宋体"/>
                <w:sz w:val="20"/>
                <w:szCs w:val="20"/>
              </w:rPr>
            </w:pPr>
            <w:r>
              <w:rPr>
                <w:rFonts w:ascii="宋体" w:hAnsi="宋体" w:eastAsia="宋体" w:cs="宋体"/>
                <w:spacing w:val="11"/>
                <w:sz w:val="20"/>
                <w:szCs w:val="20"/>
                <w14:textOutline w14:w="3797" w14:cap="sq" w14:cmpd="sng" w14:algn="ctr">
                  <w14:solidFill>
                    <w14:srgbClr w14:val="000000"/>
                  </w14:solidFill>
                  <w14:prstDash w14:val="solid"/>
                  <w14:bevel/>
                </w14:textOutline>
              </w:rPr>
              <w:t>排</w:t>
            </w:r>
            <w:r>
              <w:rPr>
                <w:rFonts w:ascii="宋体" w:hAnsi="宋体" w:eastAsia="宋体" w:cs="宋体"/>
                <w:spacing w:val="8"/>
                <w:sz w:val="20"/>
                <w:szCs w:val="20"/>
                <w14:textOutline w14:w="3797" w14:cap="sq" w14:cmpd="sng" w14:algn="ctr">
                  <w14:solidFill>
                    <w14:srgbClr w14:val="000000"/>
                  </w14:solidFill>
                  <w14:prstDash w14:val="solid"/>
                  <w14:bevel/>
                </w14:textOutline>
              </w:rPr>
              <w:t>污口名称</w:t>
            </w:r>
          </w:p>
        </w:tc>
        <w:tc>
          <w:tcPr>
            <w:tcW w:w="1651" w:type="dxa"/>
          </w:tcPr>
          <w:p w14:paraId="498308CC">
            <w:pPr>
              <w:spacing w:before="55" w:line="226" w:lineRule="auto"/>
              <w:ind w:left="412"/>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标</w:t>
            </w:r>
            <w:r>
              <w:rPr>
                <w:rFonts w:ascii="宋体" w:hAnsi="宋体" w:eastAsia="宋体" w:cs="宋体"/>
                <w:spacing w:val="8"/>
                <w:sz w:val="20"/>
                <w:szCs w:val="20"/>
                <w14:textOutline w14:w="3797" w14:cap="sq" w14:cmpd="sng" w14:algn="ctr">
                  <w14:solidFill>
                    <w14:srgbClr w14:val="000000"/>
                  </w14:solidFill>
                  <w14:prstDash w14:val="solid"/>
                  <w14:bevel/>
                </w14:textOutline>
              </w:rPr>
              <w:t>志名称</w:t>
            </w:r>
          </w:p>
        </w:tc>
        <w:tc>
          <w:tcPr>
            <w:tcW w:w="1664" w:type="dxa"/>
          </w:tcPr>
          <w:p w14:paraId="42F55440">
            <w:pPr>
              <w:spacing w:before="55" w:line="226" w:lineRule="auto"/>
              <w:ind w:left="629"/>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形</w:t>
            </w:r>
            <w:r>
              <w:rPr>
                <w:rFonts w:ascii="宋体" w:hAnsi="宋体" w:eastAsia="宋体" w:cs="宋体"/>
                <w:spacing w:val="4"/>
                <w:sz w:val="20"/>
                <w:szCs w:val="20"/>
                <w14:textOutline w14:w="3797" w14:cap="sq" w14:cmpd="sng" w14:algn="ctr">
                  <w14:solidFill>
                    <w14:srgbClr w14:val="000000"/>
                  </w14:solidFill>
                  <w14:prstDash w14:val="solid"/>
                  <w14:bevel/>
                </w14:textOutline>
              </w:rPr>
              <w:t>状</w:t>
            </w:r>
          </w:p>
        </w:tc>
        <w:tc>
          <w:tcPr>
            <w:tcW w:w="1969" w:type="dxa"/>
          </w:tcPr>
          <w:p w14:paraId="58ADE26E">
            <w:pPr>
              <w:spacing w:before="55" w:line="226" w:lineRule="auto"/>
              <w:ind w:left="572"/>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背</w:t>
            </w:r>
            <w:r>
              <w:rPr>
                <w:rFonts w:ascii="宋体" w:hAnsi="宋体" w:eastAsia="宋体" w:cs="宋体"/>
                <w:spacing w:val="7"/>
                <w:sz w:val="20"/>
                <w:szCs w:val="20"/>
                <w14:textOutline w14:w="3797" w14:cap="sq" w14:cmpd="sng" w14:algn="ctr">
                  <w14:solidFill>
                    <w14:srgbClr w14:val="000000"/>
                  </w14:solidFill>
                  <w14:prstDash w14:val="solid"/>
                  <w14:bevel/>
                </w14:textOutline>
              </w:rPr>
              <w:t>景颜色</w:t>
            </w:r>
          </w:p>
        </w:tc>
        <w:tc>
          <w:tcPr>
            <w:tcW w:w="1724" w:type="dxa"/>
            <w:tcBorders>
              <w:right w:val="nil"/>
            </w:tcBorders>
          </w:tcPr>
          <w:p w14:paraId="21D4853B">
            <w:pPr>
              <w:spacing w:before="55" w:line="226" w:lineRule="auto"/>
              <w:ind w:left="468"/>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图</w:t>
            </w:r>
            <w:r>
              <w:rPr>
                <w:rFonts w:ascii="宋体" w:hAnsi="宋体" w:eastAsia="宋体" w:cs="宋体"/>
                <w:spacing w:val="3"/>
                <w:sz w:val="20"/>
                <w:szCs w:val="20"/>
                <w14:textOutline w14:w="3797" w14:cap="sq" w14:cmpd="sng" w14:algn="ctr">
                  <w14:solidFill>
                    <w14:srgbClr w14:val="000000"/>
                  </w14:solidFill>
                  <w14:prstDash w14:val="solid"/>
                  <w14:bevel/>
                </w14:textOutline>
              </w:rPr>
              <w:t>形颜色</w:t>
            </w:r>
          </w:p>
        </w:tc>
      </w:tr>
      <w:tr w14:paraId="4C81A3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2280" w:type="dxa"/>
            <w:tcBorders>
              <w:left w:val="nil"/>
            </w:tcBorders>
          </w:tcPr>
          <w:p w14:paraId="59C7FA8F">
            <w:pPr>
              <w:spacing w:before="31" w:line="225" w:lineRule="auto"/>
              <w:ind w:left="310"/>
              <w:rPr>
                <w:rFonts w:ascii="宋体" w:hAnsi="宋体" w:eastAsia="宋体" w:cs="宋体"/>
                <w:sz w:val="20"/>
                <w:szCs w:val="20"/>
              </w:rPr>
            </w:pPr>
            <w:r>
              <w:rPr>
                <w:rFonts w:ascii="宋体" w:hAnsi="宋体" w:eastAsia="宋体" w:cs="宋体"/>
                <w:spacing w:val="11"/>
                <w:sz w:val="20"/>
                <w:szCs w:val="20"/>
              </w:rPr>
              <w:t>危</w:t>
            </w:r>
            <w:r>
              <w:rPr>
                <w:rFonts w:ascii="宋体" w:hAnsi="宋体" w:eastAsia="宋体" w:cs="宋体"/>
                <w:spacing w:val="8"/>
                <w:sz w:val="20"/>
                <w:szCs w:val="20"/>
              </w:rPr>
              <w:t>险废物暂存场所</w:t>
            </w:r>
          </w:p>
        </w:tc>
        <w:tc>
          <w:tcPr>
            <w:tcW w:w="1651" w:type="dxa"/>
          </w:tcPr>
          <w:p w14:paraId="67E42CAB">
            <w:pPr>
              <w:spacing w:before="31" w:line="225" w:lineRule="auto"/>
              <w:ind w:left="414"/>
              <w:rPr>
                <w:rFonts w:ascii="宋体" w:hAnsi="宋体" w:eastAsia="宋体" w:cs="宋体"/>
                <w:sz w:val="20"/>
                <w:szCs w:val="20"/>
              </w:rPr>
            </w:pPr>
            <w:r>
              <w:rPr>
                <w:rFonts w:ascii="宋体" w:hAnsi="宋体" w:eastAsia="宋体" w:cs="宋体"/>
                <w:spacing w:val="8"/>
                <w:sz w:val="20"/>
                <w:szCs w:val="20"/>
              </w:rPr>
              <w:t>警</w:t>
            </w:r>
            <w:r>
              <w:rPr>
                <w:rFonts w:ascii="宋体" w:hAnsi="宋体" w:eastAsia="宋体" w:cs="宋体"/>
                <w:spacing w:val="6"/>
                <w:sz w:val="20"/>
                <w:szCs w:val="20"/>
              </w:rPr>
              <w:t>告标志</w:t>
            </w:r>
          </w:p>
        </w:tc>
        <w:tc>
          <w:tcPr>
            <w:tcW w:w="1664" w:type="dxa"/>
          </w:tcPr>
          <w:p w14:paraId="37928B77">
            <w:pPr>
              <w:spacing w:before="31" w:line="225" w:lineRule="auto"/>
              <w:ind w:left="313"/>
              <w:rPr>
                <w:rFonts w:ascii="宋体" w:hAnsi="宋体" w:eastAsia="宋体" w:cs="宋体"/>
                <w:sz w:val="20"/>
                <w:szCs w:val="20"/>
              </w:rPr>
            </w:pPr>
            <w:r>
              <w:rPr>
                <w:rFonts w:ascii="宋体" w:hAnsi="宋体" w:eastAsia="宋体" w:cs="宋体"/>
                <w:spacing w:val="8"/>
                <w:sz w:val="20"/>
                <w:szCs w:val="20"/>
              </w:rPr>
              <w:t>三角形边框</w:t>
            </w:r>
          </w:p>
        </w:tc>
        <w:tc>
          <w:tcPr>
            <w:tcW w:w="1969" w:type="dxa"/>
          </w:tcPr>
          <w:p w14:paraId="0BFD2AED">
            <w:pPr>
              <w:spacing w:before="31" w:line="225" w:lineRule="auto"/>
              <w:ind w:left="779"/>
              <w:rPr>
                <w:rFonts w:ascii="宋体" w:hAnsi="宋体" w:eastAsia="宋体" w:cs="宋体"/>
                <w:sz w:val="20"/>
                <w:szCs w:val="20"/>
              </w:rPr>
            </w:pPr>
            <w:r>
              <w:rPr>
                <w:rFonts w:ascii="宋体" w:hAnsi="宋体" w:eastAsia="宋体" w:cs="宋体"/>
                <w:spacing w:val="5"/>
                <w:sz w:val="20"/>
                <w:szCs w:val="20"/>
              </w:rPr>
              <w:t>黄色</w:t>
            </w:r>
          </w:p>
        </w:tc>
        <w:tc>
          <w:tcPr>
            <w:tcW w:w="1724" w:type="dxa"/>
            <w:tcBorders>
              <w:right w:val="nil"/>
            </w:tcBorders>
          </w:tcPr>
          <w:p w14:paraId="0A647FA5">
            <w:pPr>
              <w:spacing w:before="31" w:line="225" w:lineRule="auto"/>
              <w:ind w:left="662"/>
              <w:rPr>
                <w:rFonts w:ascii="宋体" w:hAnsi="宋体" w:eastAsia="宋体" w:cs="宋体"/>
                <w:sz w:val="20"/>
                <w:szCs w:val="20"/>
              </w:rPr>
            </w:pPr>
            <w:r>
              <w:rPr>
                <w:rFonts w:ascii="宋体" w:hAnsi="宋体" w:eastAsia="宋体" w:cs="宋体"/>
                <w:spacing w:val="2"/>
                <w:sz w:val="20"/>
                <w:szCs w:val="20"/>
              </w:rPr>
              <w:t>黑色</w:t>
            </w:r>
          </w:p>
        </w:tc>
      </w:tr>
      <w:tr w14:paraId="4A283A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2280" w:type="dxa"/>
            <w:tcBorders>
              <w:left w:val="nil"/>
            </w:tcBorders>
          </w:tcPr>
          <w:p w14:paraId="246E0970">
            <w:pPr>
              <w:spacing w:before="34" w:line="228" w:lineRule="auto"/>
              <w:ind w:left="311"/>
              <w:rPr>
                <w:rFonts w:ascii="宋体" w:hAnsi="宋体" w:eastAsia="宋体" w:cs="宋体"/>
                <w:sz w:val="20"/>
                <w:szCs w:val="20"/>
              </w:rPr>
            </w:pPr>
            <w:r>
              <w:rPr>
                <w:rFonts w:ascii="宋体" w:hAnsi="宋体" w:eastAsia="宋体" w:cs="宋体"/>
                <w:spacing w:val="10"/>
                <w:sz w:val="20"/>
                <w:szCs w:val="20"/>
              </w:rPr>
              <w:t>一</w:t>
            </w:r>
            <w:r>
              <w:rPr>
                <w:rFonts w:ascii="宋体" w:hAnsi="宋体" w:eastAsia="宋体" w:cs="宋体"/>
                <w:spacing w:val="8"/>
                <w:sz w:val="20"/>
                <w:szCs w:val="20"/>
              </w:rPr>
              <w:t>般废物暂存场所</w:t>
            </w:r>
          </w:p>
        </w:tc>
        <w:tc>
          <w:tcPr>
            <w:tcW w:w="1651" w:type="dxa"/>
          </w:tcPr>
          <w:p w14:paraId="2C6CD3E6">
            <w:pPr>
              <w:spacing w:before="34" w:line="228" w:lineRule="auto"/>
              <w:ind w:left="412"/>
              <w:rPr>
                <w:rFonts w:ascii="宋体" w:hAnsi="宋体" w:eastAsia="宋体" w:cs="宋体"/>
                <w:sz w:val="20"/>
                <w:szCs w:val="20"/>
              </w:rPr>
            </w:pPr>
            <w:r>
              <w:rPr>
                <w:rFonts w:ascii="宋体" w:hAnsi="宋体" w:eastAsia="宋体" w:cs="宋体"/>
                <w:spacing w:val="7"/>
                <w:sz w:val="20"/>
                <w:szCs w:val="20"/>
              </w:rPr>
              <w:t>提示标志</w:t>
            </w:r>
          </w:p>
        </w:tc>
        <w:tc>
          <w:tcPr>
            <w:tcW w:w="1664" w:type="dxa"/>
          </w:tcPr>
          <w:p w14:paraId="6609D999">
            <w:pPr>
              <w:spacing w:before="34" w:line="228" w:lineRule="auto"/>
              <w:ind w:left="317"/>
              <w:rPr>
                <w:rFonts w:ascii="宋体" w:hAnsi="宋体" w:eastAsia="宋体" w:cs="宋体"/>
                <w:sz w:val="20"/>
                <w:szCs w:val="20"/>
              </w:rPr>
            </w:pPr>
            <w:r>
              <w:rPr>
                <w:rFonts w:ascii="宋体" w:hAnsi="宋体" w:eastAsia="宋体" w:cs="宋体"/>
                <w:spacing w:val="8"/>
                <w:sz w:val="20"/>
                <w:szCs w:val="20"/>
              </w:rPr>
              <w:t>正</w:t>
            </w:r>
            <w:r>
              <w:rPr>
                <w:rFonts w:ascii="宋体" w:hAnsi="宋体" w:eastAsia="宋体" w:cs="宋体"/>
                <w:spacing w:val="7"/>
                <w:sz w:val="20"/>
                <w:szCs w:val="20"/>
              </w:rPr>
              <w:t>方形边框</w:t>
            </w:r>
          </w:p>
        </w:tc>
        <w:tc>
          <w:tcPr>
            <w:tcW w:w="1969" w:type="dxa"/>
          </w:tcPr>
          <w:p w14:paraId="22EDA185">
            <w:pPr>
              <w:spacing w:before="34" w:line="229" w:lineRule="auto"/>
              <w:ind w:left="781"/>
              <w:rPr>
                <w:rFonts w:ascii="宋体" w:hAnsi="宋体" w:eastAsia="宋体" w:cs="宋体"/>
                <w:sz w:val="20"/>
                <w:szCs w:val="20"/>
              </w:rPr>
            </w:pPr>
            <w:r>
              <w:rPr>
                <w:rFonts w:ascii="宋体" w:hAnsi="宋体" w:eastAsia="宋体" w:cs="宋体"/>
                <w:spacing w:val="4"/>
                <w:sz w:val="20"/>
                <w:szCs w:val="20"/>
              </w:rPr>
              <w:t>绿</w:t>
            </w:r>
            <w:r>
              <w:rPr>
                <w:rFonts w:ascii="宋体" w:hAnsi="宋体" w:eastAsia="宋体" w:cs="宋体"/>
                <w:spacing w:val="3"/>
                <w:sz w:val="20"/>
                <w:szCs w:val="20"/>
              </w:rPr>
              <w:t>色</w:t>
            </w:r>
          </w:p>
        </w:tc>
        <w:tc>
          <w:tcPr>
            <w:tcW w:w="1724" w:type="dxa"/>
            <w:tcBorders>
              <w:right w:val="nil"/>
            </w:tcBorders>
          </w:tcPr>
          <w:p w14:paraId="115A241D">
            <w:pPr>
              <w:spacing w:before="33" w:line="231" w:lineRule="auto"/>
              <w:ind w:left="687"/>
              <w:rPr>
                <w:rFonts w:ascii="宋体" w:hAnsi="宋体" w:eastAsia="宋体" w:cs="宋体"/>
                <w:sz w:val="20"/>
                <w:szCs w:val="20"/>
              </w:rPr>
            </w:pPr>
            <w:r>
              <w:rPr>
                <w:rFonts w:ascii="宋体" w:hAnsi="宋体" w:eastAsia="宋体" w:cs="宋体"/>
                <w:spacing w:val="-11"/>
                <w:sz w:val="20"/>
                <w:szCs w:val="20"/>
              </w:rPr>
              <w:t>白</w:t>
            </w:r>
            <w:r>
              <w:rPr>
                <w:rFonts w:ascii="宋体" w:hAnsi="宋体" w:eastAsia="宋体" w:cs="宋体"/>
                <w:spacing w:val="-10"/>
                <w:sz w:val="20"/>
                <w:szCs w:val="20"/>
              </w:rPr>
              <w:t>色</w:t>
            </w:r>
          </w:p>
        </w:tc>
      </w:tr>
    </w:tbl>
    <w:p w14:paraId="044EF780">
      <w:pPr>
        <w:spacing w:before="312" w:line="222" w:lineRule="auto"/>
        <w:ind w:left="2713"/>
        <w:rPr>
          <w:rFonts w:ascii="黑体" w:hAnsi="黑体" w:eastAsia="黑体" w:cs="黑体"/>
          <w:sz w:val="23"/>
          <w:szCs w:val="23"/>
        </w:rPr>
      </w:pPr>
      <w:r>
        <w:rPr>
          <w:rFonts w:ascii="黑体" w:hAnsi="黑体" w:eastAsia="黑体" w:cs="黑体"/>
          <w:spacing w:val="1"/>
          <w:sz w:val="23"/>
          <w:szCs w:val="23"/>
        </w:rPr>
        <w:t xml:space="preserve">表 </w:t>
      </w:r>
      <w:r>
        <w:rPr>
          <w:rFonts w:ascii="Times New Roman" w:hAnsi="Times New Roman" w:eastAsia="Times New Roman" w:cs="Times New Roman"/>
          <w:spacing w:val="1"/>
          <w:sz w:val="23"/>
          <w:szCs w:val="23"/>
        </w:rPr>
        <w:t xml:space="preserve">9. 1-3  </w:t>
      </w:r>
      <w:r>
        <w:rPr>
          <w:rFonts w:ascii="黑体" w:hAnsi="黑体" w:eastAsia="黑体" w:cs="黑体"/>
          <w:spacing w:val="1"/>
          <w:sz w:val="23"/>
          <w:szCs w:val="23"/>
        </w:rPr>
        <w:t>环境保护图形符号一</w:t>
      </w:r>
      <w:r>
        <w:rPr>
          <w:rFonts w:ascii="黑体" w:hAnsi="黑体" w:eastAsia="黑体" w:cs="黑体"/>
          <w:sz w:val="23"/>
          <w:szCs w:val="23"/>
        </w:rPr>
        <w:t>览表</w:t>
      </w:r>
    </w:p>
    <w:tbl>
      <w:tblPr>
        <w:tblStyle w:val="4"/>
        <w:tblW w:w="9288" w:type="dxa"/>
        <w:tblInd w:w="10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1733"/>
        <w:gridCol w:w="1915"/>
        <w:gridCol w:w="1648"/>
        <w:gridCol w:w="3282"/>
      </w:tblGrid>
      <w:tr w14:paraId="6D0A25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10" w:type="dxa"/>
            <w:tcBorders>
              <w:left w:val="nil"/>
            </w:tcBorders>
          </w:tcPr>
          <w:p w14:paraId="6479ABF6">
            <w:pPr>
              <w:spacing w:before="55" w:line="227" w:lineRule="auto"/>
              <w:ind w:left="151"/>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序号</w:t>
            </w:r>
          </w:p>
        </w:tc>
        <w:tc>
          <w:tcPr>
            <w:tcW w:w="1733" w:type="dxa"/>
          </w:tcPr>
          <w:p w14:paraId="2AC6DAA1">
            <w:pPr>
              <w:spacing w:before="55" w:line="227" w:lineRule="auto"/>
              <w:ind w:left="242"/>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提示图形符</w:t>
            </w:r>
            <w:r>
              <w:rPr>
                <w:rFonts w:ascii="宋体" w:hAnsi="宋体" w:eastAsia="宋体" w:cs="宋体"/>
                <w:spacing w:val="8"/>
                <w:sz w:val="20"/>
                <w:szCs w:val="20"/>
                <w14:textOutline w14:w="3797" w14:cap="sq" w14:cmpd="sng" w14:algn="ctr">
                  <w14:solidFill>
                    <w14:srgbClr w14:val="000000"/>
                  </w14:solidFill>
                  <w14:prstDash w14:val="solid"/>
                  <w14:bevel/>
                </w14:textOutline>
              </w:rPr>
              <w:t>号</w:t>
            </w:r>
          </w:p>
        </w:tc>
        <w:tc>
          <w:tcPr>
            <w:tcW w:w="1915" w:type="dxa"/>
          </w:tcPr>
          <w:p w14:paraId="29BE194C">
            <w:pPr>
              <w:spacing w:before="54" w:line="226" w:lineRule="auto"/>
              <w:ind w:left="335"/>
              <w:rPr>
                <w:rFonts w:ascii="宋体" w:hAnsi="宋体" w:eastAsia="宋体" w:cs="宋体"/>
                <w:sz w:val="20"/>
                <w:szCs w:val="20"/>
              </w:rPr>
            </w:pPr>
            <w:r>
              <w:rPr>
                <w:rFonts w:ascii="宋体" w:hAnsi="宋体" w:eastAsia="宋体" w:cs="宋体"/>
                <w:spacing w:val="11"/>
                <w:sz w:val="20"/>
                <w:szCs w:val="20"/>
                <w14:textOutline w14:w="3797" w14:cap="sq" w14:cmpd="sng" w14:algn="ctr">
                  <w14:solidFill>
                    <w14:srgbClr w14:val="000000"/>
                  </w14:solidFill>
                  <w14:prstDash w14:val="solid"/>
                  <w14:bevel/>
                </w14:textOutline>
              </w:rPr>
              <w:t>警</w:t>
            </w:r>
            <w:r>
              <w:rPr>
                <w:rFonts w:ascii="宋体" w:hAnsi="宋体" w:eastAsia="宋体" w:cs="宋体"/>
                <w:spacing w:val="8"/>
                <w:sz w:val="20"/>
                <w:szCs w:val="20"/>
                <w14:textOutline w14:w="3797" w14:cap="sq" w14:cmpd="sng" w14:algn="ctr">
                  <w14:solidFill>
                    <w14:srgbClr w14:val="000000"/>
                  </w14:solidFill>
                  <w14:prstDash w14:val="solid"/>
                  <w14:bevel/>
                </w14:textOutline>
              </w:rPr>
              <w:t>告图形符号</w:t>
            </w:r>
          </w:p>
        </w:tc>
        <w:tc>
          <w:tcPr>
            <w:tcW w:w="1648" w:type="dxa"/>
          </w:tcPr>
          <w:p w14:paraId="7CDD4508">
            <w:pPr>
              <w:spacing w:before="55" w:line="227" w:lineRule="auto"/>
              <w:ind w:left="622"/>
              <w:rPr>
                <w:rFonts w:ascii="宋体" w:hAnsi="宋体" w:eastAsia="宋体" w:cs="宋体"/>
                <w:sz w:val="20"/>
                <w:szCs w:val="20"/>
              </w:rPr>
            </w:pPr>
            <w:r>
              <w:rPr>
                <w:rFonts w:ascii="宋体" w:hAnsi="宋体" w:eastAsia="宋体" w:cs="宋体"/>
                <w:spacing w:val="5"/>
                <w:sz w:val="20"/>
                <w:szCs w:val="20"/>
                <w14:textOutline w14:w="3797" w14:cap="sq" w14:cmpd="sng" w14:algn="ctr">
                  <w14:solidFill>
                    <w14:srgbClr w14:val="000000"/>
                  </w14:solidFill>
                  <w14:prstDash w14:val="solid"/>
                  <w14:bevel/>
                </w14:textOutline>
              </w:rPr>
              <w:t>名</w:t>
            </w:r>
            <w:r>
              <w:rPr>
                <w:rFonts w:ascii="宋体" w:hAnsi="宋体" w:eastAsia="宋体" w:cs="宋体"/>
                <w:spacing w:val="4"/>
                <w:sz w:val="20"/>
                <w:szCs w:val="20"/>
                <w14:textOutline w14:w="3797" w14:cap="sq" w14:cmpd="sng" w14:algn="ctr">
                  <w14:solidFill>
                    <w14:srgbClr w14:val="000000"/>
                  </w14:solidFill>
                  <w14:prstDash w14:val="solid"/>
                  <w14:bevel/>
                </w14:textOutline>
              </w:rPr>
              <w:t>称</w:t>
            </w:r>
          </w:p>
        </w:tc>
        <w:tc>
          <w:tcPr>
            <w:tcW w:w="3282" w:type="dxa"/>
            <w:tcBorders>
              <w:right w:val="nil"/>
            </w:tcBorders>
          </w:tcPr>
          <w:p w14:paraId="4FAE4E99">
            <w:pPr>
              <w:spacing w:before="55" w:line="227" w:lineRule="auto"/>
              <w:ind w:left="1440"/>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功能</w:t>
            </w:r>
          </w:p>
        </w:tc>
      </w:tr>
      <w:tr w14:paraId="4FCDD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2" w:hRule="atLeast"/>
        </w:trPr>
        <w:tc>
          <w:tcPr>
            <w:tcW w:w="710" w:type="dxa"/>
            <w:tcBorders>
              <w:left w:val="nil"/>
            </w:tcBorders>
          </w:tcPr>
          <w:p w14:paraId="39597B6C">
            <w:pPr>
              <w:spacing w:line="273" w:lineRule="auto"/>
            </w:pPr>
          </w:p>
          <w:p w14:paraId="38E0B693">
            <w:pPr>
              <w:spacing w:line="274" w:lineRule="auto"/>
            </w:pPr>
          </w:p>
          <w:p w14:paraId="1FC9052A">
            <w:pPr>
              <w:spacing w:before="61" w:line="185" w:lineRule="auto"/>
              <w:ind w:left="320"/>
              <w:rPr>
                <w:rFonts w:ascii="Calibri" w:hAnsi="Calibri" w:eastAsia="Calibri" w:cs="Calibri"/>
                <w:sz w:val="20"/>
                <w:szCs w:val="20"/>
              </w:rPr>
            </w:pPr>
            <w:r>
              <w:rPr>
                <w:rFonts w:ascii="Calibri" w:hAnsi="Calibri" w:eastAsia="Calibri" w:cs="Calibri"/>
                <w:sz w:val="20"/>
                <w:szCs w:val="20"/>
              </w:rPr>
              <w:t>1</w:t>
            </w:r>
          </w:p>
        </w:tc>
        <w:tc>
          <w:tcPr>
            <w:tcW w:w="1733" w:type="dxa"/>
          </w:tcPr>
          <w:p w14:paraId="7DD7D4FA">
            <w:pPr>
              <w:spacing w:before="1" w:line="1350" w:lineRule="exact"/>
              <w:ind w:firstLine="187"/>
              <w:textAlignment w:val="center"/>
            </w:pPr>
            <w:r>
              <w:drawing>
                <wp:inline distT="0" distB="0" distL="0" distR="0">
                  <wp:extent cx="848360" cy="856615"/>
                  <wp:effectExtent l="0" t="0" r="0" b="0"/>
                  <wp:docPr id="35" name="IM 35"/>
                  <wp:cNvGraphicFramePr/>
                  <a:graphic xmlns:a="http://schemas.openxmlformats.org/drawingml/2006/main">
                    <a:graphicData uri="http://schemas.openxmlformats.org/drawingml/2006/picture">
                      <pic:pic xmlns:pic="http://schemas.openxmlformats.org/drawingml/2006/picture">
                        <pic:nvPicPr>
                          <pic:cNvPr id="35" name="IM 35"/>
                          <pic:cNvPicPr/>
                        </pic:nvPicPr>
                        <pic:blipFill>
                          <a:blip r:embed="rId388"/>
                          <a:stretch>
                            <a:fillRect/>
                          </a:stretch>
                        </pic:blipFill>
                        <pic:spPr>
                          <a:xfrm>
                            <a:off x="0" y="0"/>
                            <a:ext cx="848867" cy="856869"/>
                          </a:xfrm>
                          <a:prstGeom prst="rect">
                            <a:avLst/>
                          </a:prstGeom>
                        </pic:spPr>
                      </pic:pic>
                    </a:graphicData>
                  </a:graphic>
                </wp:inline>
              </w:drawing>
            </w:r>
          </w:p>
        </w:tc>
        <w:tc>
          <w:tcPr>
            <w:tcW w:w="1915" w:type="dxa"/>
          </w:tcPr>
          <w:p w14:paraId="5C1267EA">
            <w:pPr>
              <w:spacing w:before="1" w:line="1350" w:lineRule="exact"/>
              <w:ind w:firstLine="235"/>
              <w:textAlignment w:val="center"/>
            </w:pPr>
            <w:r>
              <w:drawing>
                <wp:inline distT="0" distB="0" distL="0" distR="0">
                  <wp:extent cx="913765" cy="85661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389"/>
                          <a:stretch>
                            <a:fillRect/>
                          </a:stretch>
                        </pic:blipFill>
                        <pic:spPr>
                          <a:xfrm>
                            <a:off x="0" y="0"/>
                            <a:ext cx="914399" cy="856869"/>
                          </a:xfrm>
                          <a:prstGeom prst="rect">
                            <a:avLst/>
                          </a:prstGeom>
                        </pic:spPr>
                      </pic:pic>
                    </a:graphicData>
                  </a:graphic>
                </wp:inline>
              </w:drawing>
            </w:r>
          </w:p>
        </w:tc>
        <w:tc>
          <w:tcPr>
            <w:tcW w:w="1648" w:type="dxa"/>
          </w:tcPr>
          <w:p w14:paraId="492967D4">
            <w:pPr>
              <w:spacing w:line="250" w:lineRule="auto"/>
            </w:pPr>
          </w:p>
          <w:p w14:paraId="54811877">
            <w:pPr>
              <w:spacing w:line="251" w:lineRule="auto"/>
            </w:pPr>
          </w:p>
          <w:p w14:paraId="77946F02">
            <w:pPr>
              <w:spacing w:before="65" w:line="228" w:lineRule="auto"/>
              <w:ind w:left="203"/>
              <w:rPr>
                <w:rFonts w:ascii="宋体" w:hAnsi="宋体" w:eastAsia="宋体" w:cs="宋体"/>
                <w:sz w:val="20"/>
                <w:szCs w:val="20"/>
              </w:rPr>
            </w:pPr>
            <w:r>
              <w:rPr>
                <w:rFonts w:ascii="宋体" w:hAnsi="宋体" w:eastAsia="宋体" w:cs="宋体"/>
                <w:spacing w:val="11"/>
                <w:sz w:val="20"/>
                <w:szCs w:val="20"/>
              </w:rPr>
              <w:t>一</w:t>
            </w:r>
            <w:r>
              <w:rPr>
                <w:rFonts w:ascii="宋体" w:hAnsi="宋体" w:eastAsia="宋体" w:cs="宋体"/>
                <w:spacing w:val="7"/>
                <w:sz w:val="20"/>
                <w:szCs w:val="20"/>
              </w:rPr>
              <w:t>般固体废物</w:t>
            </w:r>
          </w:p>
        </w:tc>
        <w:tc>
          <w:tcPr>
            <w:tcW w:w="3282" w:type="dxa"/>
            <w:tcBorders>
              <w:right w:val="nil"/>
            </w:tcBorders>
          </w:tcPr>
          <w:p w14:paraId="1473A181">
            <w:pPr>
              <w:spacing w:line="250" w:lineRule="auto"/>
            </w:pPr>
          </w:p>
          <w:p w14:paraId="33079C6B">
            <w:pPr>
              <w:spacing w:line="250" w:lineRule="auto"/>
            </w:pPr>
          </w:p>
          <w:p w14:paraId="46088472">
            <w:pPr>
              <w:spacing w:before="65" w:line="228" w:lineRule="auto"/>
              <w:ind w:left="176"/>
              <w:rPr>
                <w:rFonts w:ascii="宋体" w:hAnsi="宋体" w:eastAsia="宋体" w:cs="宋体"/>
                <w:sz w:val="20"/>
                <w:szCs w:val="20"/>
              </w:rPr>
            </w:pPr>
            <w:r>
              <w:rPr>
                <w:rFonts w:ascii="宋体" w:hAnsi="宋体" w:eastAsia="宋体" w:cs="宋体"/>
                <w:spacing w:val="13"/>
                <w:sz w:val="20"/>
                <w:szCs w:val="20"/>
              </w:rPr>
              <w:t>表</w:t>
            </w:r>
            <w:r>
              <w:rPr>
                <w:rFonts w:ascii="宋体" w:hAnsi="宋体" w:eastAsia="宋体" w:cs="宋体"/>
                <w:spacing w:val="9"/>
                <w:sz w:val="20"/>
                <w:szCs w:val="20"/>
              </w:rPr>
              <w:t>示一般固体废物贮存、处置场</w:t>
            </w:r>
          </w:p>
        </w:tc>
      </w:tr>
      <w:tr w14:paraId="7B4D0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7" w:hRule="atLeast"/>
        </w:trPr>
        <w:tc>
          <w:tcPr>
            <w:tcW w:w="710" w:type="dxa"/>
            <w:tcBorders>
              <w:left w:val="nil"/>
            </w:tcBorders>
          </w:tcPr>
          <w:p w14:paraId="28044CC1">
            <w:pPr>
              <w:spacing w:line="259" w:lineRule="auto"/>
            </w:pPr>
          </w:p>
          <w:p w14:paraId="48014960">
            <w:pPr>
              <w:spacing w:line="259" w:lineRule="auto"/>
            </w:pPr>
          </w:p>
          <w:p w14:paraId="7468C9BA">
            <w:pPr>
              <w:spacing w:before="61" w:line="187" w:lineRule="auto"/>
              <w:ind w:left="314"/>
              <w:rPr>
                <w:rFonts w:ascii="Calibri" w:hAnsi="Calibri" w:eastAsia="Calibri" w:cs="Calibri"/>
                <w:sz w:val="20"/>
                <w:szCs w:val="20"/>
              </w:rPr>
            </w:pPr>
            <w:r>
              <w:rPr>
                <w:rFonts w:ascii="Calibri" w:hAnsi="Calibri" w:eastAsia="Calibri" w:cs="Calibri"/>
                <w:sz w:val="20"/>
                <w:szCs w:val="20"/>
              </w:rPr>
              <w:t>2</w:t>
            </w:r>
          </w:p>
        </w:tc>
        <w:tc>
          <w:tcPr>
            <w:tcW w:w="1733" w:type="dxa"/>
          </w:tcPr>
          <w:p w14:paraId="730FED50">
            <w:pPr>
              <w:spacing w:line="440" w:lineRule="auto"/>
            </w:pPr>
          </w:p>
          <w:p w14:paraId="451002EF">
            <w:pPr>
              <w:spacing w:before="62" w:line="278" w:lineRule="exact"/>
              <w:ind w:left="823"/>
              <w:rPr>
                <w:rFonts w:ascii="Calibri" w:hAnsi="Calibri" w:eastAsia="Calibri" w:cs="Calibri"/>
                <w:sz w:val="20"/>
                <w:szCs w:val="20"/>
              </w:rPr>
            </w:pPr>
            <w:r>
              <w:rPr>
                <w:rFonts w:ascii="Calibri" w:hAnsi="Calibri" w:eastAsia="Calibri" w:cs="Calibri"/>
                <w:spacing w:val="3"/>
                <w:position w:val="3"/>
                <w:sz w:val="20"/>
                <w:szCs w:val="20"/>
              </w:rPr>
              <w:t>/</w:t>
            </w:r>
          </w:p>
        </w:tc>
        <w:tc>
          <w:tcPr>
            <w:tcW w:w="1915" w:type="dxa"/>
          </w:tcPr>
          <w:p w14:paraId="124D61D2">
            <w:pPr>
              <w:spacing w:before="2" w:line="1282" w:lineRule="exact"/>
              <w:ind w:firstLine="218"/>
              <w:textAlignment w:val="center"/>
            </w:pPr>
            <w:r>
              <w:drawing>
                <wp:inline distT="0" distB="0" distL="0" distR="0">
                  <wp:extent cx="926465" cy="813435"/>
                  <wp:effectExtent l="0" t="0" r="0" b="0"/>
                  <wp:docPr id="37" name="IM 37"/>
                  <wp:cNvGraphicFramePr/>
                  <a:graphic xmlns:a="http://schemas.openxmlformats.org/drawingml/2006/main">
                    <a:graphicData uri="http://schemas.openxmlformats.org/drawingml/2006/picture">
                      <pic:pic xmlns:pic="http://schemas.openxmlformats.org/drawingml/2006/picture">
                        <pic:nvPicPr>
                          <pic:cNvPr id="37" name="IM 37"/>
                          <pic:cNvPicPr/>
                        </pic:nvPicPr>
                        <pic:blipFill>
                          <a:blip r:embed="rId390"/>
                          <a:stretch>
                            <a:fillRect/>
                          </a:stretch>
                        </pic:blipFill>
                        <pic:spPr>
                          <a:xfrm>
                            <a:off x="0" y="0"/>
                            <a:ext cx="926592" cy="813816"/>
                          </a:xfrm>
                          <a:prstGeom prst="rect">
                            <a:avLst/>
                          </a:prstGeom>
                        </pic:spPr>
                      </pic:pic>
                    </a:graphicData>
                  </a:graphic>
                </wp:inline>
              </w:drawing>
            </w:r>
          </w:p>
        </w:tc>
        <w:tc>
          <w:tcPr>
            <w:tcW w:w="1648" w:type="dxa"/>
          </w:tcPr>
          <w:p w14:paraId="3DAE6458">
            <w:pPr>
              <w:spacing w:line="476" w:lineRule="auto"/>
            </w:pPr>
          </w:p>
          <w:p w14:paraId="664C6081">
            <w:pPr>
              <w:spacing w:before="65" w:line="228" w:lineRule="auto"/>
              <w:ind w:left="411"/>
              <w:rPr>
                <w:rFonts w:ascii="宋体" w:hAnsi="宋体" w:eastAsia="宋体" w:cs="宋体"/>
                <w:sz w:val="20"/>
                <w:szCs w:val="20"/>
              </w:rPr>
            </w:pPr>
            <w:r>
              <w:rPr>
                <w:rFonts w:ascii="宋体" w:hAnsi="宋体" w:eastAsia="宋体" w:cs="宋体"/>
                <w:spacing w:val="9"/>
                <w:sz w:val="20"/>
                <w:szCs w:val="20"/>
              </w:rPr>
              <w:t>危</w:t>
            </w:r>
            <w:r>
              <w:rPr>
                <w:rFonts w:ascii="宋体" w:hAnsi="宋体" w:eastAsia="宋体" w:cs="宋体"/>
                <w:spacing w:val="6"/>
                <w:sz w:val="20"/>
                <w:szCs w:val="20"/>
              </w:rPr>
              <w:t>险废物</w:t>
            </w:r>
          </w:p>
        </w:tc>
        <w:tc>
          <w:tcPr>
            <w:tcW w:w="3282" w:type="dxa"/>
            <w:tcBorders>
              <w:right w:val="nil"/>
            </w:tcBorders>
          </w:tcPr>
          <w:p w14:paraId="1B1F1B38">
            <w:pPr>
              <w:spacing w:line="476" w:lineRule="auto"/>
            </w:pPr>
          </w:p>
          <w:p w14:paraId="1363EB78">
            <w:pPr>
              <w:spacing w:before="65" w:line="228" w:lineRule="auto"/>
              <w:ind w:left="385"/>
              <w:rPr>
                <w:rFonts w:ascii="宋体" w:hAnsi="宋体" w:eastAsia="宋体" w:cs="宋体"/>
                <w:sz w:val="20"/>
                <w:szCs w:val="20"/>
              </w:rPr>
            </w:pPr>
            <w:r>
              <w:rPr>
                <w:rFonts w:ascii="宋体" w:hAnsi="宋体" w:eastAsia="宋体" w:cs="宋体"/>
                <w:spacing w:val="11"/>
                <w:sz w:val="20"/>
                <w:szCs w:val="20"/>
              </w:rPr>
              <w:t>表</w:t>
            </w:r>
            <w:r>
              <w:rPr>
                <w:rFonts w:ascii="宋体" w:hAnsi="宋体" w:eastAsia="宋体" w:cs="宋体"/>
                <w:spacing w:val="9"/>
                <w:sz w:val="20"/>
                <w:szCs w:val="20"/>
              </w:rPr>
              <w:t>示危险废物贮存、处置场</w:t>
            </w:r>
          </w:p>
        </w:tc>
      </w:tr>
    </w:tbl>
    <w:p w14:paraId="566976FA">
      <w:pPr>
        <w:spacing w:before="38" w:line="374" w:lineRule="auto"/>
        <w:ind w:left="12" w:firstLine="479"/>
        <w:rPr>
          <w:rFonts w:ascii="宋体" w:hAnsi="宋体" w:eastAsia="宋体" w:cs="宋体"/>
          <w:sz w:val="23"/>
          <w:szCs w:val="23"/>
        </w:rPr>
      </w:pPr>
      <w:r>
        <w:rPr>
          <w:rFonts w:ascii="宋体" w:hAnsi="宋体" w:eastAsia="宋体" w:cs="宋体"/>
          <w:spacing w:val="4"/>
          <w:sz w:val="23"/>
          <w:szCs w:val="23"/>
        </w:rPr>
        <w:t>标志牌的设置</w:t>
      </w:r>
      <w:r>
        <w:rPr>
          <w:rFonts w:ascii="宋体" w:hAnsi="宋体" w:eastAsia="宋体" w:cs="宋体"/>
          <w:spacing w:val="3"/>
          <w:sz w:val="23"/>
          <w:szCs w:val="23"/>
        </w:rPr>
        <w:t>按</w:t>
      </w:r>
      <w:r>
        <w:rPr>
          <w:rFonts w:ascii="宋体" w:hAnsi="宋体" w:eastAsia="宋体" w:cs="宋体"/>
          <w:spacing w:val="2"/>
          <w:sz w:val="23"/>
          <w:szCs w:val="23"/>
        </w:rPr>
        <w:t>照国家环保总局制定的《环境保护图形标志实施细则 (试行) 》的规定，</w:t>
      </w:r>
      <w:r>
        <w:rPr>
          <w:rFonts w:ascii="宋体" w:hAnsi="宋体" w:eastAsia="宋体" w:cs="宋体"/>
          <w:sz w:val="23"/>
          <w:szCs w:val="23"/>
        </w:rPr>
        <w:t xml:space="preserve"> </w:t>
      </w:r>
      <w:r>
        <w:rPr>
          <w:rFonts w:ascii="宋体" w:hAnsi="宋体" w:eastAsia="宋体" w:cs="宋体"/>
          <w:spacing w:val="10"/>
          <w:sz w:val="23"/>
          <w:szCs w:val="23"/>
        </w:rPr>
        <w:t>设</w:t>
      </w:r>
      <w:r>
        <w:rPr>
          <w:rFonts w:ascii="宋体" w:hAnsi="宋体" w:eastAsia="宋体" w:cs="宋体"/>
          <w:spacing w:val="7"/>
          <w:sz w:val="23"/>
          <w:szCs w:val="23"/>
        </w:rPr>
        <w:t>置与排污口相应的图形标志牌，并保证环保标志明显。标志牌必须保持清晰、完整，当发</w:t>
      </w:r>
      <w:r>
        <w:rPr>
          <w:rFonts w:ascii="宋体" w:hAnsi="宋体" w:eastAsia="宋体" w:cs="宋体"/>
          <w:sz w:val="23"/>
          <w:szCs w:val="23"/>
        </w:rPr>
        <w:t xml:space="preserve"> </w:t>
      </w:r>
      <w:r>
        <w:rPr>
          <w:rFonts w:ascii="宋体" w:hAnsi="宋体" w:eastAsia="宋体" w:cs="宋体"/>
          <w:spacing w:val="16"/>
          <w:sz w:val="23"/>
          <w:szCs w:val="23"/>
        </w:rPr>
        <w:t>现</w:t>
      </w:r>
      <w:r>
        <w:rPr>
          <w:rFonts w:ascii="宋体" w:hAnsi="宋体" w:eastAsia="宋体" w:cs="宋体"/>
          <w:spacing w:val="9"/>
          <w:sz w:val="23"/>
          <w:szCs w:val="23"/>
        </w:rPr>
        <w:t>有损坏或颜色有变化，应及时修复或更换。检查时间一年两次。</w:t>
      </w:r>
    </w:p>
    <w:p w14:paraId="27063A5A">
      <w:pPr>
        <w:spacing w:before="1" w:line="227" w:lineRule="auto"/>
        <w:ind w:left="8"/>
        <w:outlineLvl w:val="2"/>
        <w:rPr>
          <w:rFonts w:ascii="宋体" w:hAnsi="宋体" w:eastAsia="宋体" w:cs="宋体"/>
          <w:sz w:val="23"/>
          <w:szCs w:val="23"/>
        </w:rPr>
      </w:pPr>
      <w:r>
        <w:rPr>
          <w:rFonts w:ascii="Times New Roman" w:hAnsi="Times New Roman" w:eastAsia="Times New Roman" w:cs="Times New Roman"/>
          <w:b/>
          <w:bCs/>
          <w:spacing w:val="14"/>
          <w:sz w:val="23"/>
          <w:szCs w:val="23"/>
        </w:rPr>
        <w:t>9</w:t>
      </w:r>
      <w:r>
        <w:rPr>
          <w:rFonts w:ascii="Times New Roman" w:hAnsi="Times New Roman" w:eastAsia="Times New Roman" w:cs="Times New Roman"/>
          <w:b/>
          <w:bCs/>
          <w:spacing w:val="8"/>
          <w:sz w:val="23"/>
          <w:szCs w:val="23"/>
        </w:rPr>
        <w:t>.</w:t>
      </w:r>
      <w:r>
        <w:rPr>
          <w:rFonts w:ascii="Times New Roman" w:hAnsi="Times New Roman" w:eastAsia="Times New Roman" w:cs="Times New Roman"/>
          <w:b/>
          <w:bCs/>
          <w:spacing w:val="7"/>
          <w:sz w:val="23"/>
          <w:szCs w:val="23"/>
        </w:rPr>
        <w:t>1.7</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企业环境保护信息公开</w:t>
      </w:r>
    </w:p>
    <w:p w14:paraId="34F946E4">
      <w:pPr>
        <w:spacing w:before="184" w:line="381" w:lineRule="auto"/>
        <w:ind w:left="11" w:right="61" w:firstLine="479"/>
        <w:rPr>
          <w:rFonts w:ascii="宋体" w:hAnsi="宋体" w:eastAsia="宋体" w:cs="宋体"/>
          <w:sz w:val="23"/>
          <w:szCs w:val="23"/>
        </w:rPr>
      </w:pPr>
      <w:r>
        <w:rPr>
          <w:rFonts w:ascii="宋体" w:hAnsi="宋体" w:eastAsia="宋体" w:cs="宋体"/>
          <w:spacing w:val="7"/>
          <w:sz w:val="23"/>
          <w:szCs w:val="23"/>
        </w:rPr>
        <w:t>根据《建设项目环境影响评价信息公开机制方案》的要求，建设单位是建设项目环评</w:t>
      </w:r>
      <w:r>
        <w:rPr>
          <w:rFonts w:ascii="宋体" w:hAnsi="宋体" w:eastAsia="宋体" w:cs="宋体"/>
          <w:spacing w:val="6"/>
          <w:sz w:val="23"/>
          <w:szCs w:val="23"/>
        </w:rPr>
        <w:t>信</w:t>
      </w:r>
      <w:r>
        <w:rPr>
          <w:rFonts w:ascii="宋体" w:hAnsi="宋体" w:eastAsia="宋体" w:cs="宋体"/>
          <w:sz w:val="23"/>
          <w:szCs w:val="23"/>
        </w:rPr>
        <w:t xml:space="preserve"> </w:t>
      </w:r>
      <w:r>
        <w:rPr>
          <w:rFonts w:ascii="宋体" w:hAnsi="宋体" w:eastAsia="宋体" w:cs="宋体"/>
          <w:spacing w:val="11"/>
          <w:sz w:val="23"/>
          <w:szCs w:val="23"/>
        </w:rPr>
        <w:t>息</w:t>
      </w:r>
      <w:r>
        <w:rPr>
          <w:rFonts w:ascii="宋体" w:hAnsi="宋体" w:eastAsia="宋体" w:cs="宋体"/>
          <w:spacing w:val="7"/>
          <w:sz w:val="23"/>
          <w:szCs w:val="23"/>
        </w:rPr>
        <w:t>公开的主体，全面规范建设单位环评信息公开范围、公开时段、公开内容、公开程度、公</w:t>
      </w:r>
      <w:r>
        <w:rPr>
          <w:rFonts w:ascii="宋体" w:hAnsi="宋体" w:eastAsia="宋体" w:cs="宋体"/>
          <w:sz w:val="23"/>
          <w:szCs w:val="23"/>
        </w:rPr>
        <w:t xml:space="preserve"> </w:t>
      </w:r>
      <w:r>
        <w:rPr>
          <w:rFonts w:ascii="宋体" w:hAnsi="宋体" w:eastAsia="宋体" w:cs="宋体"/>
          <w:spacing w:val="8"/>
          <w:sz w:val="23"/>
          <w:szCs w:val="23"/>
        </w:rPr>
        <w:t>开方式。建</w:t>
      </w:r>
      <w:r>
        <w:rPr>
          <w:rFonts w:ascii="宋体" w:hAnsi="宋体" w:eastAsia="宋体" w:cs="宋体"/>
          <w:spacing w:val="5"/>
          <w:sz w:val="23"/>
          <w:szCs w:val="23"/>
        </w:rPr>
        <w:t>设</w:t>
      </w:r>
      <w:r>
        <w:rPr>
          <w:rFonts w:ascii="宋体" w:hAnsi="宋体" w:eastAsia="宋体" w:cs="宋体"/>
          <w:spacing w:val="4"/>
          <w:sz w:val="23"/>
          <w:szCs w:val="23"/>
        </w:rPr>
        <w:t xml:space="preserve">单位应分阶段向社会公开环境信息，具体见表 </w:t>
      </w:r>
      <w:r>
        <w:rPr>
          <w:rFonts w:ascii="Times New Roman" w:hAnsi="Times New Roman" w:eastAsia="Times New Roman" w:cs="Times New Roman"/>
          <w:spacing w:val="4"/>
          <w:sz w:val="23"/>
          <w:szCs w:val="23"/>
        </w:rPr>
        <w:t>9. 1-4</w:t>
      </w:r>
      <w:r>
        <w:rPr>
          <w:rFonts w:ascii="宋体" w:hAnsi="宋体" w:eastAsia="宋体" w:cs="宋体"/>
          <w:spacing w:val="4"/>
          <w:sz w:val="23"/>
          <w:szCs w:val="23"/>
        </w:rPr>
        <w:t>。</w:t>
      </w:r>
    </w:p>
    <w:p w14:paraId="5A217B82">
      <w:pPr>
        <w:sectPr>
          <w:headerReference r:id="rId321" w:type="default"/>
          <w:footerReference r:id="rId322" w:type="default"/>
          <w:pgSz w:w="11906" w:h="16839"/>
          <w:pgMar w:top="1118" w:right="1073" w:bottom="1156" w:left="1275" w:header="878" w:footer="994" w:gutter="0"/>
          <w:cols w:space="720" w:num="1"/>
        </w:sectPr>
      </w:pPr>
    </w:p>
    <w:p w14:paraId="518C0C88">
      <w:pPr>
        <w:spacing w:before="193" w:line="221" w:lineRule="auto"/>
        <w:ind w:left="2740"/>
        <w:rPr>
          <w:rFonts w:ascii="黑体" w:hAnsi="黑体" w:eastAsia="黑体" w:cs="黑体"/>
          <w:sz w:val="23"/>
          <w:szCs w:val="23"/>
        </w:rPr>
      </w:pPr>
      <w:r>
        <w:rPr>
          <w:rFonts w:ascii="黑体" w:hAnsi="黑体" w:eastAsia="黑体" w:cs="黑体"/>
          <w:spacing w:val="4"/>
          <w:sz w:val="23"/>
          <w:szCs w:val="23"/>
        </w:rPr>
        <w:t xml:space="preserve">表 </w:t>
      </w:r>
      <w:r>
        <w:rPr>
          <w:rFonts w:ascii="Times New Roman" w:hAnsi="Times New Roman" w:eastAsia="Times New Roman" w:cs="Times New Roman"/>
          <w:spacing w:val="4"/>
          <w:sz w:val="23"/>
          <w:szCs w:val="23"/>
        </w:rPr>
        <w:t>9.</w:t>
      </w:r>
      <w:r>
        <w:rPr>
          <w:rFonts w:ascii="Times New Roman" w:hAnsi="Times New Roman" w:eastAsia="Times New Roman" w:cs="Times New Roman"/>
          <w:spacing w:val="3"/>
          <w:sz w:val="23"/>
          <w:szCs w:val="23"/>
        </w:rPr>
        <w:t xml:space="preserve"> </w:t>
      </w:r>
      <w:r>
        <w:rPr>
          <w:rFonts w:ascii="Times New Roman" w:hAnsi="Times New Roman" w:eastAsia="Times New Roman" w:cs="Times New Roman"/>
          <w:spacing w:val="2"/>
          <w:sz w:val="23"/>
          <w:szCs w:val="23"/>
        </w:rPr>
        <w:t xml:space="preserve">1-4  </w:t>
      </w:r>
      <w:r>
        <w:rPr>
          <w:rFonts w:ascii="黑体" w:hAnsi="黑体" w:eastAsia="黑体" w:cs="黑体"/>
          <w:spacing w:val="2"/>
          <w:sz w:val="23"/>
          <w:szCs w:val="23"/>
        </w:rPr>
        <w:t>建设单位社会公开信息情况一览表</w:t>
      </w:r>
    </w:p>
    <w:tbl>
      <w:tblPr>
        <w:tblStyle w:val="4"/>
        <w:tblW w:w="908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13"/>
        <w:gridCol w:w="7369"/>
      </w:tblGrid>
      <w:tr w14:paraId="6BC8FE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1713" w:type="dxa"/>
            <w:tcBorders>
              <w:left w:val="nil"/>
            </w:tcBorders>
          </w:tcPr>
          <w:p w14:paraId="04C9A33D">
            <w:pPr>
              <w:spacing w:before="56" w:line="228" w:lineRule="auto"/>
              <w:ind w:left="658"/>
              <w:rPr>
                <w:rFonts w:ascii="宋体" w:hAnsi="宋体" w:eastAsia="宋体" w:cs="宋体"/>
                <w:sz w:val="20"/>
                <w:szCs w:val="20"/>
              </w:rPr>
            </w:pPr>
            <w:r>
              <w:rPr>
                <w:rFonts w:ascii="宋体" w:hAnsi="宋体" w:eastAsia="宋体" w:cs="宋体"/>
                <w:spacing w:val="7"/>
                <w:sz w:val="20"/>
                <w:szCs w:val="20"/>
                <w14:textOutline w14:w="3797" w14:cap="sq" w14:cmpd="sng" w14:algn="ctr">
                  <w14:solidFill>
                    <w14:srgbClr w14:val="000000"/>
                  </w14:solidFill>
                  <w14:prstDash w14:val="solid"/>
                  <w14:bevel/>
                </w14:textOutline>
              </w:rPr>
              <w:t>公开阶</w:t>
            </w:r>
            <w:r>
              <w:rPr>
                <w:rFonts w:ascii="宋体" w:hAnsi="宋体" w:eastAsia="宋体" w:cs="宋体"/>
                <w:spacing w:val="6"/>
                <w:sz w:val="20"/>
                <w:szCs w:val="20"/>
                <w14:textOutline w14:w="3797" w14:cap="sq" w14:cmpd="sng" w14:algn="ctr">
                  <w14:solidFill>
                    <w14:srgbClr w14:val="000000"/>
                  </w14:solidFill>
                  <w14:prstDash w14:val="solid"/>
                  <w14:bevel/>
                </w14:textOutline>
              </w:rPr>
              <w:t>段</w:t>
            </w:r>
          </w:p>
        </w:tc>
        <w:tc>
          <w:tcPr>
            <w:tcW w:w="7369" w:type="dxa"/>
            <w:tcBorders>
              <w:right w:val="nil"/>
            </w:tcBorders>
          </w:tcPr>
          <w:p w14:paraId="468808DE">
            <w:pPr>
              <w:spacing w:before="55" w:line="228" w:lineRule="auto"/>
              <w:ind w:left="3277"/>
              <w:rPr>
                <w:rFonts w:ascii="宋体" w:hAnsi="宋体" w:eastAsia="宋体" w:cs="宋体"/>
                <w:sz w:val="20"/>
                <w:szCs w:val="20"/>
              </w:rPr>
            </w:pPr>
            <w:r>
              <w:rPr>
                <w:rFonts w:ascii="宋体" w:hAnsi="宋体" w:eastAsia="宋体" w:cs="宋体"/>
                <w:spacing w:val="10"/>
                <w:sz w:val="20"/>
                <w:szCs w:val="20"/>
                <w14:textOutline w14:w="3797" w14:cap="sq" w14:cmpd="sng" w14:algn="ctr">
                  <w14:solidFill>
                    <w14:srgbClr w14:val="000000"/>
                  </w14:solidFill>
                  <w14:prstDash w14:val="solid"/>
                  <w14:bevel/>
                </w14:textOutline>
              </w:rPr>
              <w:t>具</w:t>
            </w:r>
            <w:r>
              <w:rPr>
                <w:rFonts w:ascii="宋体" w:hAnsi="宋体" w:eastAsia="宋体" w:cs="宋体"/>
                <w:spacing w:val="8"/>
                <w:sz w:val="20"/>
                <w:szCs w:val="20"/>
                <w14:textOutline w14:w="3797" w14:cap="sq" w14:cmpd="sng" w14:algn="ctr">
                  <w14:solidFill>
                    <w14:srgbClr w14:val="000000"/>
                  </w14:solidFill>
                  <w14:prstDash w14:val="solid"/>
                  <w14:bevel/>
                </w14:textOutline>
              </w:rPr>
              <w:t>体公开内容</w:t>
            </w:r>
          </w:p>
        </w:tc>
      </w:tr>
      <w:tr w14:paraId="62CB0F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713" w:type="dxa"/>
            <w:tcBorders>
              <w:left w:val="nil"/>
            </w:tcBorders>
          </w:tcPr>
          <w:p w14:paraId="18E58847">
            <w:pPr>
              <w:spacing w:before="165" w:line="226" w:lineRule="auto"/>
              <w:ind w:left="7"/>
              <w:rPr>
                <w:rFonts w:ascii="宋体" w:hAnsi="宋体" w:eastAsia="宋体" w:cs="宋体"/>
                <w:sz w:val="20"/>
                <w:szCs w:val="20"/>
              </w:rPr>
            </w:pPr>
            <w:r>
              <w:rPr>
                <w:rFonts w:ascii="宋体" w:hAnsi="宋体" w:eastAsia="宋体" w:cs="宋体"/>
                <w:spacing w:val="9"/>
                <w:sz w:val="20"/>
                <w:szCs w:val="20"/>
              </w:rPr>
              <w:t>报告书编制过程</w:t>
            </w:r>
            <w:r>
              <w:rPr>
                <w:rFonts w:ascii="宋体" w:hAnsi="宋体" w:eastAsia="宋体" w:cs="宋体"/>
                <w:spacing w:val="8"/>
                <w:sz w:val="20"/>
                <w:szCs w:val="20"/>
              </w:rPr>
              <w:t>中</w:t>
            </w:r>
          </w:p>
        </w:tc>
        <w:tc>
          <w:tcPr>
            <w:tcW w:w="7369" w:type="dxa"/>
            <w:tcBorders>
              <w:right w:val="nil"/>
            </w:tcBorders>
          </w:tcPr>
          <w:p w14:paraId="38A9BD2C">
            <w:pPr>
              <w:spacing w:before="30" w:line="239" w:lineRule="auto"/>
              <w:ind w:left="11" w:right="16" w:firstLine="18"/>
              <w:rPr>
                <w:rFonts w:ascii="宋体" w:hAnsi="宋体" w:eastAsia="宋体" w:cs="宋体"/>
                <w:sz w:val="20"/>
                <w:szCs w:val="20"/>
              </w:rPr>
            </w:pPr>
            <w:r>
              <w:rPr>
                <w:rFonts w:ascii="宋体" w:hAnsi="宋体" w:eastAsia="宋体" w:cs="宋体"/>
                <w:spacing w:val="13"/>
                <w:sz w:val="20"/>
                <w:szCs w:val="20"/>
              </w:rPr>
              <w:t>向</w:t>
            </w:r>
            <w:r>
              <w:rPr>
                <w:rFonts w:ascii="宋体" w:hAnsi="宋体" w:eastAsia="宋体" w:cs="宋体"/>
                <w:spacing w:val="9"/>
                <w:sz w:val="20"/>
                <w:szCs w:val="20"/>
              </w:rPr>
              <w:t>社会公开建设项目的工程基本情况，拟定选址选线、主要环境影响情况、拟采</w:t>
            </w:r>
            <w:r>
              <w:rPr>
                <w:rFonts w:ascii="宋体" w:hAnsi="宋体" w:eastAsia="宋体" w:cs="宋体"/>
                <w:sz w:val="20"/>
                <w:szCs w:val="20"/>
              </w:rPr>
              <w:t xml:space="preserve"> </w:t>
            </w:r>
            <w:r>
              <w:rPr>
                <w:rFonts w:ascii="宋体" w:hAnsi="宋体" w:eastAsia="宋体" w:cs="宋体"/>
                <w:spacing w:val="9"/>
                <w:sz w:val="20"/>
                <w:szCs w:val="20"/>
              </w:rPr>
              <w:t>取的主要环境保护措施、公众参与的途径、方式。</w:t>
            </w:r>
          </w:p>
        </w:tc>
      </w:tr>
      <w:tr w14:paraId="7866A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13" w:type="dxa"/>
            <w:tcBorders>
              <w:left w:val="nil"/>
            </w:tcBorders>
          </w:tcPr>
          <w:p w14:paraId="2319161D">
            <w:pPr>
              <w:spacing w:before="167" w:line="226" w:lineRule="auto"/>
              <w:ind w:left="216"/>
              <w:rPr>
                <w:rFonts w:ascii="宋体" w:hAnsi="宋体" w:eastAsia="宋体" w:cs="宋体"/>
                <w:sz w:val="20"/>
                <w:szCs w:val="20"/>
              </w:rPr>
            </w:pPr>
            <w:r>
              <w:rPr>
                <w:rFonts w:ascii="宋体" w:hAnsi="宋体" w:eastAsia="宋体" w:cs="宋体"/>
                <w:spacing w:val="11"/>
                <w:sz w:val="20"/>
                <w:szCs w:val="20"/>
              </w:rPr>
              <w:t>报</w:t>
            </w:r>
            <w:r>
              <w:rPr>
                <w:rFonts w:ascii="宋体" w:hAnsi="宋体" w:eastAsia="宋体" w:cs="宋体"/>
                <w:spacing w:val="8"/>
                <w:sz w:val="20"/>
                <w:szCs w:val="20"/>
              </w:rPr>
              <w:t>告书审批前</w:t>
            </w:r>
          </w:p>
        </w:tc>
        <w:tc>
          <w:tcPr>
            <w:tcW w:w="7369" w:type="dxa"/>
            <w:tcBorders>
              <w:right w:val="nil"/>
            </w:tcBorders>
          </w:tcPr>
          <w:p w14:paraId="14721A46">
            <w:pPr>
              <w:spacing w:before="33" w:line="238" w:lineRule="auto"/>
              <w:ind w:left="9" w:right="16" w:firstLine="2"/>
              <w:rPr>
                <w:rFonts w:ascii="宋体" w:hAnsi="宋体" w:eastAsia="宋体" w:cs="宋体"/>
                <w:sz w:val="20"/>
                <w:szCs w:val="20"/>
              </w:rPr>
            </w:pPr>
            <w:r>
              <w:rPr>
                <w:rFonts w:ascii="宋体" w:hAnsi="宋体" w:eastAsia="宋体" w:cs="宋体"/>
                <w:spacing w:val="18"/>
                <w:sz w:val="20"/>
                <w:szCs w:val="20"/>
              </w:rPr>
              <w:t>建设</w:t>
            </w:r>
            <w:r>
              <w:rPr>
                <w:rFonts w:ascii="宋体" w:hAnsi="宋体" w:eastAsia="宋体" w:cs="宋体"/>
                <w:spacing w:val="14"/>
                <w:sz w:val="20"/>
                <w:szCs w:val="20"/>
              </w:rPr>
              <w:t>项</w:t>
            </w:r>
            <w:r>
              <w:rPr>
                <w:rFonts w:ascii="宋体" w:hAnsi="宋体" w:eastAsia="宋体" w:cs="宋体"/>
                <w:spacing w:val="9"/>
                <w:sz w:val="20"/>
                <w:szCs w:val="20"/>
              </w:rPr>
              <w:t>目环境影响报告书编制完成后，向环境保护主管部门审批前，向社会公开</w:t>
            </w:r>
            <w:r>
              <w:rPr>
                <w:rFonts w:ascii="宋体" w:hAnsi="宋体" w:eastAsia="宋体" w:cs="宋体"/>
                <w:sz w:val="20"/>
                <w:szCs w:val="20"/>
              </w:rPr>
              <w:t xml:space="preserve"> </w:t>
            </w:r>
            <w:r>
              <w:rPr>
                <w:rFonts w:ascii="宋体" w:hAnsi="宋体" w:eastAsia="宋体" w:cs="宋体"/>
                <w:spacing w:val="13"/>
                <w:sz w:val="20"/>
                <w:szCs w:val="20"/>
              </w:rPr>
              <w:t>环</w:t>
            </w:r>
            <w:r>
              <w:rPr>
                <w:rFonts w:ascii="宋体" w:hAnsi="宋体" w:eastAsia="宋体" w:cs="宋体"/>
                <w:spacing w:val="9"/>
                <w:sz w:val="20"/>
                <w:szCs w:val="20"/>
              </w:rPr>
              <w:t>境影响报告书全本，同时一并公开公众参与情况说明。</w:t>
            </w:r>
          </w:p>
        </w:tc>
      </w:tr>
      <w:tr w14:paraId="568EF8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1713" w:type="dxa"/>
            <w:tcBorders>
              <w:left w:val="nil"/>
            </w:tcBorders>
          </w:tcPr>
          <w:p w14:paraId="15AF6282">
            <w:pPr>
              <w:spacing w:line="373" w:lineRule="auto"/>
            </w:pPr>
          </w:p>
          <w:p w14:paraId="0462C1D0">
            <w:pPr>
              <w:spacing w:before="65" w:line="228" w:lineRule="auto"/>
              <w:ind w:left="11"/>
              <w:rPr>
                <w:rFonts w:ascii="宋体" w:hAnsi="宋体" w:eastAsia="宋体" w:cs="宋体"/>
                <w:sz w:val="20"/>
                <w:szCs w:val="20"/>
              </w:rPr>
            </w:pPr>
            <w:r>
              <w:rPr>
                <w:rFonts w:ascii="宋体" w:hAnsi="宋体" w:eastAsia="宋体" w:cs="宋体"/>
                <w:spacing w:val="10"/>
                <w:sz w:val="20"/>
                <w:szCs w:val="20"/>
              </w:rPr>
              <w:t>建</w:t>
            </w:r>
            <w:r>
              <w:rPr>
                <w:rFonts w:ascii="宋体" w:hAnsi="宋体" w:eastAsia="宋体" w:cs="宋体"/>
                <w:spacing w:val="8"/>
                <w:sz w:val="20"/>
                <w:szCs w:val="20"/>
              </w:rPr>
              <w:t>设项目开工前</w:t>
            </w:r>
          </w:p>
        </w:tc>
        <w:tc>
          <w:tcPr>
            <w:tcW w:w="7369" w:type="dxa"/>
            <w:tcBorders>
              <w:right w:val="nil"/>
            </w:tcBorders>
          </w:tcPr>
          <w:p w14:paraId="5BB1FEF6">
            <w:pPr>
              <w:spacing w:before="31" w:line="245" w:lineRule="auto"/>
              <w:ind w:left="8" w:right="16" w:firstLine="1"/>
              <w:rPr>
                <w:rFonts w:ascii="宋体" w:hAnsi="宋体" w:eastAsia="宋体" w:cs="宋体"/>
                <w:sz w:val="20"/>
                <w:szCs w:val="20"/>
              </w:rPr>
            </w:pPr>
            <w:r>
              <w:rPr>
                <w:rFonts w:ascii="宋体" w:hAnsi="宋体" w:eastAsia="宋体" w:cs="宋体"/>
                <w:spacing w:val="18"/>
                <w:sz w:val="20"/>
                <w:szCs w:val="20"/>
              </w:rPr>
              <w:t>开工</w:t>
            </w:r>
            <w:r>
              <w:rPr>
                <w:rFonts w:ascii="宋体" w:hAnsi="宋体" w:eastAsia="宋体" w:cs="宋体"/>
                <w:spacing w:val="15"/>
                <w:sz w:val="20"/>
                <w:szCs w:val="20"/>
              </w:rPr>
              <w:t>前</w:t>
            </w:r>
            <w:r>
              <w:rPr>
                <w:rFonts w:ascii="宋体" w:hAnsi="宋体" w:eastAsia="宋体" w:cs="宋体"/>
                <w:spacing w:val="9"/>
                <w:sz w:val="20"/>
                <w:szCs w:val="20"/>
              </w:rPr>
              <w:t>，建设单位应向社会公开建设项目开工日期、设计单位、施工单位和环境</w:t>
            </w:r>
            <w:r>
              <w:rPr>
                <w:rFonts w:ascii="宋体" w:hAnsi="宋体" w:eastAsia="宋体" w:cs="宋体"/>
                <w:sz w:val="20"/>
                <w:szCs w:val="20"/>
              </w:rPr>
              <w:t xml:space="preserve"> </w:t>
            </w:r>
            <w:r>
              <w:rPr>
                <w:rFonts w:ascii="宋体" w:hAnsi="宋体" w:eastAsia="宋体" w:cs="宋体"/>
                <w:spacing w:val="18"/>
                <w:sz w:val="20"/>
                <w:szCs w:val="20"/>
              </w:rPr>
              <w:t>监理</w:t>
            </w:r>
            <w:r>
              <w:rPr>
                <w:rFonts w:ascii="宋体" w:hAnsi="宋体" w:eastAsia="宋体" w:cs="宋体"/>
                <w:spacing w:val="17"/>
                <w:sz w:val="20"/>
                <w:szCs w:val="20"/>
              </w:rPr>
              <w:t>单</w:t>
            </w:r>
            <w:r>
              <w:rPr>
                <w:rFonts w:ascii="宋体" w:hAnsi="宋体" w:eastAsia="宋体" w:cs="宋体"/>
                <w:spacing w:val="9"/>
                <w:sz w:val="20"/>
                <w:szCs w:val="20"/>
              </w:rPr>
              <w:t>位、工程基本情况、实际选址选线、拟采取的环境保护措施清单和实施计</w:t>
            </w:r>
            <w:r>
              <w:rPr>
                <w:rFonts w:ascii="宋体" w:hAnsi="宋体" w:eastAsia="宋体" w:cs="宋体"/>
                <w:sz w:val="20"/>
                <w:szCs w:val="20"/>
              </w:rPr>
              <w:t xml:space="preserve"> </w:t>
            </w:r>
            <w:r>
              <w:rPr>
                <w:rFonts w:ascii="宋体" w:hAnsi="宋体" w:eastAsia="宋体" w:cs="宋体"/>
                <w:spacing w:val="12"/>
                <w:sz w:val="20"/>
                <w:szCs w:val="20"/>
              </w:rPr>
              <w:t>划、 由</w:t>
            </w:r>
            <w:r>
              <w:rPr>
                <w:rFonts w:ascii="宋体" w:hAnsi="宋体" w:eastAsia="宋体" w:cs="宋体"/>
                <w:spacing w:val="7"/>
                <w:sz w:val="20"/>
                <w:szCs w:val="20"/>
              </w:rPr>
              <w:t>地</w:t>
            </w:r>
            <w:r>
              <w:rPr>
                <w:rFonts w:ascii="宋体" w:hAnsi="宋体" w:eastAsia="宋体" w:cs="宋体"/>
                <w:spacing w:val="6"/>
                <w:sz w:val="20"/>
                <w:szCs w:val="20"/>
              </w:rPr>
              <w:t>方政府或相关部门负责配套的环境保护措施清单和实施计划等，并确保</w:t>
            </w:r>
            <w:r>
              <w:rPr>
                <w:rFonts w:ascii="宋体" w:hAnsi="宋体" w:eastAsia="宋体" w:cs="宋体"/>
                <w:sz w:val="20"/>
                <w:szCs w:val="20"/>
              </w:rPr>
              <w:t xml:space="preserve"> </w:t>
            </w:r>
            <w:r>
              <w:rPr>
                <w:rFonts w:ascii="宋体" w:hAnsi="宋体" w:eastAsia="宋体" w:cs="宋体"/>
                <w:spacing w:val="9"/>
                <w:sz w:val="20"/>
                <w:szCs w:val="20"/>
              </w:rPr>
              <w:t>上述信息在整个施工期内均处于公开状态</w:t>
            </w:r>
            <w:r>
              <w:rPr>
                <w:rFonts w:ascii="宋体" w:hAnsi="宋体" w:eastAsia="宋体" w:cs="宋体"/>
                <w:spacing w:val="8"/>
                <w:sz w:val="20"/>
                <w:szCs w:val="20"/>
              </w:rPr>
              <w:t>。</w:t>
            </w:r>
          </w:p>
        </w:tc>
      </w:tr>
      <w:tr w14:paraId="11CBE8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713" w:type="dxa"/>
            <w:tcBorders>
              <w:left w:val="nil"/>
            </w:tcBorders>
          </w:tcPr>
          <w:p w14:paraId="45D6F476">
            <w:pPr>
              <w:spacing w:before="214" w:line="228" w:lineRule="auto"/>
              <w:ind w:left="428"/>
              <w:rPr>
                <w:rFonts w:ascii="宋体" w:hAnsi="宋体" w:eastAsia="宋体" w:cs="宋体"/>
                <w:sz w:val="20"/>
                <w:szCs w:val="20"/>
              </w:rPr>
            </w:pPr>
            <w:r>
              <w:rPr>
                <w:rFonts w:ascii="宋体" w:hAnsi="宋体" w:eastAsia="宋体" w:cs="宋体"/>
                <w:spacing w:val="9"/>
                <w:sz w:val="20"/>
                <w:szCs w:val="20"/>
              </w:rPr>
              <w:t>施</w:t>
            </w:r>
            <w:r>
              <w:rPr>
                <w:rFonts w:ascii="宋体" w:hAnsi="宋体" w:eastAsia="宋体" w:cs="宋体"/>
                <w:spacing w:val="8"/>
                <w:sz w:val="20"/>
                <w:szCs w:val="20"/>
              </w:rPr>
              <w:t>工过程中</w:t>
            </w:r>
          </w:p>
        </w:tc>
        <w:tc>
          <w:tcPr>
            <w:tcW w:w="7369" w:type="dxa"/>
            <w:tcBorders>
              <w:right w:val="nil"/>
            </w:tcBorders>
          </w:tcPr>
          <w:p w14:paraId="626D2FB4">
            <w:pPr>
              <w:spacing w:before="34" w:line="265" w:lineRule="auto"/>
              <w:ind w:left="10" w:right="16" w:firstLine="1"/>
              <w:rPr>
                <w:rFonts w:ascii="宋体" w:hAnsi="宋体" w:eastAsia="宋体" w:cs="宋体"/>
                <w:sz w:val="20"/>
                <w:szCs w:val="20"/>
              </w:rPr>
            </w:pPr>
            <w:r>
              <w:rPr>
                <w:rFonts w:ascii="宋体" w:hAnsi="宋体" w:eastAsia="宋体" w:cs="宋体"/>
                <w:spacing w:val="18"/>
                <w:sz w:val="20"/>
                <w:szCs w:val="20"/>
              </w:rPr>
              <w:t>建设</w:t>
            </w:r>
            <w:r>
              <w:rPr>
                <w:rFonts w:ascii="宋体" w:hAnsi="宋体" w:eastAsia="宋体" w:cs="宋体"/>
                <w:spacing w:val="14"/>
                <w:sz w:val="20"/>
                <w:szCs w:val="20"/>
              </w:rPr>
              <w:t>单</w:t>
            </w:r>
            <w:r>
              <w:rPr>
                <w:rFonts w:ascii="宋体" w:hAnsi="宋体" w:eastAsia="宋体" w:cs="宋体"/>
                <w:spacing w:val="9"/>
                <w:sz w:val="20"/>
                <w:szCs w:val="20"/>
              </w:rPr>
              <w:t>位应在施工中期向社会公开建设项目环境保护措施进展情况、施工期的环</w:t>
            </w:r>
            <w:r>
              <w:rPr>
                <w:rFonts w:ascii="宋体" w:hAnsi="宋体" w:eastAsia="宋体" w:cs="宋体"/>
                <w:sz w:val="20"/>
                <w:szCs w:val="20"/>
              </w:rPr>
              <w:t xml:space="preserve"> </w:t>
            </w:r>
            <w:r>
              <w:rPr>
                <w:rFonts w:ascii="宋体" w:hAnsi="宋体" w:eastAsia="宋体" w:cs="宋体"/>
                <w:spacing w:val="18"/>
                <w:sz w:val="20"/>
                <w:szCs w:val="20"/>
              </w:rPr>
              <w:t>境</w:t>
            </w:r>
            <w:r>
              <w:rPr>
                <w:rFonts w:ascii="宋体" w:hAnsi="宋体" w:eastAsia="宋体" w:cs="宋体"/>
                <w:spacing w:val="9"/>
                <w:sz w:val="20"/>
                <w:szCs w:val="20"/>
              </w:rPr>
              <w:t>保护措施落实情况、施工期环境监理情况、施工期环境监测结果等。</w:t>
            </w:r>
          </w:p>
        </w:tc>
      </w:tr>
      <w:tr w14:paraId="05881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8" w:hRule="atLeast"/>
        </w:trPr>
        <w:tc>
          <w:tcPr>
            <w:tcW w:w="1713" w:type="dxa"/>
            <w:tcBorders>
              <w:left w:val="nil"/>
            </w:tcBorders>
          </w:tcPr>
          <w:p w14:paraId="5699D39D">
            <w:pPr>
              <w:spacing w:line="263" w:lineRule="auto"/>
            </w:pPr>
          </w:p>
          <w:p w14:paraId="66580B3E">
            <w:pPr>
              <w:spacing w:line="263" w:lineRule="auto"/>
            </w:pPr>
          </w:p>
          <w:p w14:paraId="5AB4483A">
            <w:pPr>
              <w:spacing w:line="263" w:lineRule="auto"/>
            </w:pPr>
          </w:p>
          <w:p w14:paraId="5143B8D4">
            <w:pPr>
              <w:spacing w:line="264" w:lineRule="auto"/>
            </w:pPr>
          </w:p>
          <w:p w14:paraId="2E167C1A">
            <w:pPr>
              <w:spacing w:before="65" w:line="228" w:lineRule="auto"/>
              <w:ind w:left="221"/>
              <w:rPr>
                <w:rFonts w:ascii="宋体" w:hAnsi="宋体" w:eastAsia="宋体" w:cs="宋体"/>
                <w:sz w:val="20"/>
                <w:szCs w:val="20"/>
              </w:rPr>
            </w:pPr>
            <w:r>
              <w:rPr>
                <w:rFonts w:ascii="宋体" w:hAnsi="宋体" w:eastAsia="宋体" w:cs="宋体"/>
                <w:spacing w:val="9"/>
                <w:sz w:val="20"/>
                <w:szCs w:val="20"/>
              </w:rPr>
              <w:t>项</w:t>
            </w:r>
            <w:r>
              <w:rPr>
                <w:rFonts w:ascii="宋体" w:hAnsi="宋体" w:eastAsia="宋体" w:cs="宋体"/>
                <w:spacing w:val="7"/>
                <w:sz w:val="20"/>
                <w:szCs w:val="20"/>
              </w:rPr>
              <w:t>目建成后</w:t>
            </w:r>
          </w:p>
        </w:tc>
        <w:tc>
          <w:tcPr>
            <w:tcW w:w="7369" w:type="dxa"/>
            <w:tcBorders>
              <w:right w:val="nil"/>
            </w:tcBorders>
          </w:tcPr>
          <w:p w14:paraId="2FA3B82E">
            <w:pPr>
              <w:spacing w:before="35" w:line="251" w:lineRule="auto"/>
              <w:ind w:left="11" w:right="227"/>
              <w:rPr>
                <w:rFonts w:ascii="宋体" w:hAnsi="宋体" w:eastAsia="宋体" w:cs="宋体"/>
                <w:sz w:val="20"/>
                <w:szCs w:val="20"/>
              </w:rPr>
            </w:pPr>
            <w:r>
              <w:rPr>
                <w:rFonts w:ascii="宋体" w:hAnsi="宋体" w:eastAsia="宋体" w:cs="宋体"/>
                <w:spacing w:val="18"/>
                <w:sz w:val="20"/>
                <w:szCs w:val="20"/>
              </w:rPr>
              <w:t>建设</w:t>
            </w:r>
            <w:r>
              <w:rPr>
                <w:rFonts w:ascii="宋体" w:hAnsi="宋体" w:eastAsia="宋体" w:cs="宋体"/>
                <w:spacing w:val="11"/>
                <w:sz w:val="20"/>
                <w:szCs w:val="20"/>
              </w:rPr>
              <w:t>单</w:t>
            </w:r>
            <w:r>
              <w:rPr>
                <w:rFonts w:ascii="宋体" w:hAnsi="宋体" w:eastAsia="宋体" w:cs="宋体"/>
                <w:spacing w:val="9"/>
                <w:sz w:val="20"/>
                <w:szCs w:val="20"/>
              </w:rPr>
              <w:t>位应当向社会公开建设项目环评提出的各项环境保护设施和措施执行情</w:t>
            </w:r>
            <w:r>
              <w:rPr>
                <w:rFonts w:ascii="宋体" w:hAnsi="宋体" w:eastAsia="宋体" w:cs="宋体"/>
                <w:sz w:val="20"/>
                <w:szCs w:val="20"/>
              </w:rPr>
              <w:t xml:space="preserve"> </w:t>
            </w:r>
            <w:r>
              <w:rPr>
                <w:rFonts w:ascii="宋体" w:hAnsi="宋体" w:eastAsia="宋体" w:cs="宋体"/>
                <w:spacing w:val="9"/>
                <w:sz w:val="20"/>
                <w:szCs w:val="20"/>
              </w:rPr>
              <w:t>况、竣工环境保护验收监测和调查结果</w:t>
            </w:r>
            <w:r>
              <w:rPr>
                <w:rFonts w:ascii="宋体" w:hAnsi="宋体" w:eastAsia="宋体" w:cs="宋体"/>
                <w:spacing w:val="6"/>
                <w:sz w:val="20"/>
                <w:szCs w:val="20"/>
              </w:rPr>
              <w:t>。</w:t>
            </w:r>
          </w:p>
          <w:p w14:paraId="36DD822C">
            <w:pPr>
              <w:spacing w:before="1"/>
              <w:ind w:left="13" w:right="1" w:firstLine="5"/>
              <w:rPr>
                <w:rFonts w:ascii="宋体" w:hAnsi="宋体" w:eastAsia="宋体" w:cs="宋体"/>
                <w:sz w:val="20"/>
                <w:szCs w:val="20"/>
              </w:rPr>
            </w:pPr>
            <w:r>
              <w:rPr>
                <w:rFonts w:ascii="宋体" w:hAnsi="宋体" w:eastAsia="宋体" w:cs="宋体"/>
                <w:spacing w:val="18"/>
                <w:sz w:val="20"/>
                <w:szCs w:val="20"/>
              </w:rPr>
              <w:t>(</w:t>
            </w:r>
            <w:r>
              <w:rPr>
                <w:rFonts w:ascii="Times New Roman" w:hAnsi="Times New Roman" w:eastAsia="Times New Roman" w:cs="Times New Roman"/>
                <w:spacing w:val="12"/>
                <w:sz w:val="20"/>
                <w:szCs w:val="20"/>
              </w:rPr>
              <w:t>1</w:t>
            </w:r>
            <w:r>
              <w:rPr>
                <w:rFonts w:ascii="宋体" w:hAnsi="宋体" w:eastAsia="宋体" w:cs="宋体"/>
                <w:spacing w:val="9"/>
                <w:sz w:val="20"/>
                <w:szCs w:val="20"/>
              </w:rPr>
              <w:t>) 基础信息：企业名称、法人代表、所属行业、地理位置、生产周期、联系方</w:t>
            </w:r>
            <w:r>
              <w:rPr>
                <w:rFonts w:ascii="宋体" w:hAnsi="宋体" w:eastAsia="宋体" w:cs="宋体"/>
                <w:sz w:val="20"/>
                <w:szCs w:val="20"/>
              </w:rPr>
              <w:t xml:space="preserve"> </w:t>
            </w:r>
            <w:r>
              <w:rPr>
                <w:rFonts w:ascii="宋体" w:hAnsi="宋体" w:eastAsia="宋体" w:cs="宋体"/>
                <w:spacing w:val="8"/>
                <w:sz w:val="20"/>
                <w:szCs w:val="20"/>
              </w:rPr>
              <w:t>式、委托监测机构名称等；</w:t>
            </w:r>
          </w:p>
          <w:p w14:paraId="6AD79412">
            <w:pPr>
              <w:spacing w:before="23" w:line="228" w:lineRule="auto"/>
              <w:ind w:left="19"/>
              <w:rPr>
                <w:rFonts w:ascii="宋体" w:hAnsi="宋体" w:eastAsia="宋体" w:cs="宋体"/>
                <w:sz w:val="20"/>
                <w:szCs w:val="20"/>
              </w:rPr>
            </w:pPr>
            <w:r>
              <w:rPr>
                <w:rFonts w:ascii="宋体" w:hAnsi="宋体" w:eastAsia="宋体" w:cs="宋体"/>
                <w:spacing w:val="22"/>
                <w:sz w:val="20"/>
                <w:szCs w:val="20"/>
              </w:rPr>
              <w:t>(</w:t>
            </w:r>
            <w:r>
              <w:rPr>
                <w:rFonts w:ascii="Times New Roman" w:hAnsi="Times New Roman" w:eastAsia="Times New Roman" w:cs="Times New Roman"/>
                <w:spacing w:val="13"/>
                <w:sz w:val="20"/>
                <w:szCs w:val="20"/>
              </w:rPr>
              <w:t>2</w:t>
            </w:r>
            <w:r>
              <w:rPr>
                <w:rFonts w:ascii="宋体" w:hAnsi="宋体" w:eastAsia="宋体" w:cs="宋体"/>
                <w:spacing w:val="11"/>
                <w:sz w:val="20"/>
                <w:szCs w:val="20"/>
              </w:rPr>
              <w:t>) 监测方案 (自行监测方案、委托监测方案) ；</w:t>
            </w:r>
          </w:p>
          <w:p w14:paraId="6B585851">
            <w:pPr>
              <w:spacing w:before="24"/>
              <w:ind w:left="10" w:right="1" w:firstLine="9"/>
              <w:rPr>
                <w:rFonts w:ascii="宋体" w:hAnsi="宋体" w:eastAsia="宋体" w:cs="宋体"/>
                <w:sz w:val="20"/>
                <w:szCs w:val="20"/>
              </w:rPr>
            </w:pPr>
            <w:r>
              <w:rPr>
                <w:rFonts w:ascii="宋体" w:hAnsi="宋体" w:eastAsia="宋体" w:cs="宋体"/>
                <w:spacing w:val="18"/>
                <w:sz w:val="20"/>
                <w:szCs w:val="20"/>
              </w:rPr>
              <w:t>(</w:t>
            </w:r>
            <w:r>
              <w:rPr>
                <w:rFonts w:ascii="Times New Roman" w:hAnsi="Times New Roman" w:eastAsia="Times New Roman" w:cs="Times New Roman"/>
                <w:spacing w:val="12"/>
                <w:sz w:val="20"/>
                <w:szCs w:val="20"/>
              </w:rPr>
              <w:t>3</w:t>
            </w:r>
            <w:r>
              <w:rPr>
                <w:rFonts w:ascii="宋体" w:hAnsi="宋体" w:eastAsia="宋体" w:cs="宋体"/>
                <w:spacing w:val="9"/>
                <w:sz w:val="20"/>
                <w:szCs w:val="20"/>
              </w:rPr>
              <w:t>) 监测结果：全部监测点位、监测时间、污染物种类及浓度、标准限值、达标</w:t>
            </w:r>
            <w:r>
              <w:rPr>
                <w:rFonts w:ascii="宋体" w:hAnsi="宋体" w:eastAsia="宋体" w:cs="宋体"/>
                <w:sz w:val="20"/>
                <w:szCs w:val="20"/>
              </w:rPr>
              <w:t xml:space="preserve"> </w:t>
            </w:r>
            <w:r>
              <w:rPr>
                <w:rFonts w:ascii="宋体" w:hAnsi="宋体" w:eastAsia="宋体" w:cs="宋体"/>
                <w:spacing w:val="9"/>
                <w:sz w:val="20"/>
                <w:szCs w:val="20"/>
              </w:rPr>
              <w:t>情况、超标倍数、污染物排放方式及排放去向</w:t>
            </w:r>
            <w:r>
              <w:rPr>
                <w:rFonts w:ascii="宋体" w:hAnsi="宋体" w:eastAsia="宋体" w:cs="宋体"/>
                <w:spacing w:val="8"/>
                <w:sz w:val="20"/>
                <w:szCs w:val="20"/>
              </w:rPr>
              <w:t>；</w:t>
            </w:r>
          </w:p>
          <w:p w14:paraId="37411D47">
            <w:pPr>
              <w:spacing w:before="24" w:line="226" w:lineRule="auto"/>
              <w:ind w:left="19"/>
              <w:rPr>
                <w:rFonts w:ascii="宋体" w:hAnsi="宋体" w:eastAsia="宋体" w:cs="宋体"/>
                <w:sz w:val="20"/>
                <w:szCs w:val="20"/>
              </w:rPr>
            </w:pPr>
            <w:r>
              <w:rPr>
                <w:rFonts w:ascii="宋体" w:hAnsi="宋体" w:eastAsia="宋体" w:cs="宋体"/>
                <w:spacing w:val="14"/>
                <w:sz w:val="20"/>
                <w:szCs w:val="20"/>
              </w:rPr>
              <w:t>(</w:t>
            </w:r>
            <w:r>
              <w:rPr>
                <w:rFonts w:ascii="Times New Roman" w:hAnsi="Times New Roman" w:eastAsia="Times New Roman" w:cs="Times New Roman"/>
                <w:spacing w:val="14"/>
                <w:sz w:val="20"/>
                <w:szCs w:val="20"/>
              </w:rPr>
              <w:t>4</w:t>
            </w:r>
            <w:r>
              <w:rPr>
                <w:rFonts w:ascii="宋体" w:hAnsi="宋体" w:eastAsia="宋体" w:cs="宋体"/>
                <w:spacing w:val="14"/>
                <w:sz w:val="20"/>
                <w:szCs w:val="20"/>
              </w:rPr>
              <w:t>) 污染源监测年度报告。</w:t>
            </w:r>
          </w:p>
          <w:p w14:paraId="580CFE64">
            <w:pPr>
              <w:spacing w:before="29" w:line="228" w:lineRule="auto"/>
              <w:ind w:left="12"/>
              <w:rPr>
                <w:rFonts w:ascii="宋体" w:hAnsi="宋体" w:eastAsia="宋体" w:cs="宋体"/>
                <w:sz w:val="20"/>
                <w:szCs w:val="20"/>
              </w:rPr>
            </w:pPr>
            <w:r>
              <w:rPr>
                <w:rFonts w:ascii="宋体" w:hAnsi="宋体" w:eastAsia="宋体" w:cs="宋体"/>
                <w:spacing w:val="18"/>
                <w:sz w:val="20"/>
                <w:szCs w:val="20"/>
              </w:rPr>
              <w:t>企</w:t>
            </w:r>
            <w:r>
              <w:rPr>
                <w:rFonts w:ascii="宋体" w:hAnsi="宋体" w:eastAsia="宋体" w:cs="宋体"/>
                <w:spacing w:val="9"/>
                <w:sz w:val="20"/>
                <w:szCs w:val="20"/>
              </w:rPr>
              <w:t>业可通过对外网站、报纸、广播等便于公众知晓的方式公开监测信息。</w:t>
            </w:r>
          </w:p>
        </w:tc>
      </w:tr>
    </w:tbl>
    <w:p w14:paraId="5090DC18">
      <w:pPr>
        <w:spacing w:before="37" w:line="227" w:lineRule="auto"/>
        <w:ind w:left="8"/>
        <w:outlineLvl w:val="2"/>
        <w:rPr>
          <w:rFonts w:ascii="宋体" w:hAnsi="宋体" w:eastAsia="宋体" w:cs="宋体"/>
          <w:sz w:val="23"/>
          <w:szCs w:val="23"/>
        </w:rPr>
      </w:pPr>
      <w:r>
        <w:rPr>
          <w:rFonts w:ascii="Times New Roman" w:hAnsi="Times New Roman" w:eastAsia="Times New Roman" w:cs="Times New Roman"/>
          <w:b/>
          <w:bCs/>
          <w:spacing w:val="10"/>
          <w:sz w:val="23"/>
          <w:szCs w:val="23"/>
        </w:rPr>
        <w:t>9</w:t>
      </w:r>
      <w:r>
        <w:rPr>
          <w:rFonts w:ascii="Times New Roman" w:hAnsi="Times New Roman" w:eastAsia="Times New Roman" w:cs="Times New Roman"/>
          <w:b/>
          <w:bCs/>
          <w:spacing w:val="6"/>
          <w:sz w:val="23"/>
          <w:szCs w:val="23"/>
        </w:rPr>
        <w:t>.1.8</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环境管理台账</w:t>
      </w:r>
    </w:p>
    <w:p w14:paraId="60587675">
      <w:pPr>
        <w:spacing w:before="182" w:line="227" w:lineRule="auto"/>
        <w:ind w:left="494"/>
        <w:rPr>
          <w:rFonts w:ascii="宋体" w:hAnsi="宋体" w:eastAsia="宋体" w:cs="宋体"/>
          <w:sz w:val="23"/>
          <w:szCs w:val="23"/>
        </w:rPr>
      </w:pPr>
      <w:r>
        <w:rPr>
          <w:rFonts w:ascii="宋体" w:hAnsi="宋体" w:eastAsia="宋体" w:cs="宋体"/>
          <w:spacing w:val="7"/>
          <w:sz w:val="23"/>
          <w:szCs w:val="23"/>
        </w:rPr>
        <w:t>企业应建立环境管理台账，明确各项环境保护措施和设施建设、运行及维护费用保障</w:t>
      </w:r>
      <w:r>
        <w:rPr>
          <w:rFonts w:ascii="宋体" w:hAnsi="宋体" w:eastAsia="宋体" w:cs="宋体"/>
          <w:spacing w:val="2"/>
          <w:sz w:val="23"/>
          <w:szCs w:val="23"/>
        </w:rPr>
        <w:t>计</w:t>
      </w:r>
    </w:p>
    <w:p w14:paraId="3CC55C5E">
      <w:pPr>
        <w:spacing w:before="183" w:line="375" w:lineRule="auto"/>
        <w:ind w:left="13" w:right="65" w:hanging="4"/>
        <w:rPr>
          <w:rFonts w:ascii="宋体" w:hAnsi="宋体" w:eastAsia="宋体" w:cs="宋体"/>
          <w:sz w:val="23"/>
          <w:szCs w:val="23"/>
        </w:rPr>
      </w:pPr>
      <w:r>
        <w:rPr>
          <w:rFonts w:ascii="宋体" w:hAnsi="宋体" w:eastAsia="宋体" w:cs="宋体"/>
          <w:spacing w:val="12"/>
          <w:sz w:val="23"/>
          <w:szCs w:val="23"/>
        </w:rPr>
        <w:t>划</w:t>
      </w:r>
      <w:r>
        <w:rPr>
          <w:rFonts w:ascii="宋体" w:hAnsi="宋体" w:eastAsia="宋体" w:cs="宋体"/>
          <w:spacing w:val="7"/>
          <w:sz w:val="23"/>
          <w:szCs w:val="23"/>
        </w:rPr>
        <w:t>，填写并保存自行监测及记录信息表、环境管理台账信息表等，环境管理台账分为电子台</w:t>
      </w:r>
      <w:r>
        <w:rPr>
          <w:rFonts w:ascii="宋体" w:hAnsi="宋体" w:eastAsia="宋体" w:cs="宋体"/>
          <w:sz w:val="23"/>
          <w:szCs w:val="23"/>
        </w:rPr>
        <w:t xml:space="preserve"> </w:t>
      </w:r>
      <w:r>
        <w:rPr>
          <w:rFonts w:ascii="宋体" w:hAnsi="宋体" w:eastAsia="宋体" w:cs="宋体"/>
          <w:spacing w:val="8"/>
          <w:sz w:val="23"/>
          <w:szCs w:val="23"/>
        </w:rPr>
        <w:t>账及纸质台账两种形式</w:t>
      </w:r>
      <w:r>
        <w:rPr>
          <w:rFonts w:ascii="宋体" w:hAnsi="宋体" w:eastAsia="宋体" w:cs="宋体"/>
          <w:spacing w:val="6"/>
          <w:sz w:val="23"/>
          <w:szCs w:val="23"/>
        </w:rPr>
        <w:t>。</w:t>
      </w:r>
    </w:p>
    <w:p w14:paraId="7A755145">
      <w:pPr>
        <w:spacing w:before="7" w:line="374" w:lineRule="auto"/>
        <w:ind w:left="10" w:firstLine="480"/>
        <w:rPr>
          <w:rFonts w:ascii="宋体" w:hAnsi="宋体" w:eastAsia="宋体" w:cs="宋体"/>
          <w:sz w:val="23"/>
          <w:szCs w:val="23"/>
        </w:rPr>
      </w:pPr>
      <w:r>
        <w:rPr>
          <w:rFonts w:ascii="宋体" w:hAnsi="宋体" w:eastAsia="宋体" w:cs="宋体"/>
          <w:spacing w:val="7"/>
          <w:sz w:val="23"/>
          <w:szCs w:val="23"/>
        </w:rPr>
        <w:t>包括基本信息、生产设施运行管理信息，污染防治设施运行管理信息、监测记录信息</w:t>
      </w:r>
      <w:r>
        <w:rPr>
          <w:rFonts w:ascii="宋体" w:hAnsi="宋体" w:eastAsia="宋体" w:cs="宋体"/>
          <w:spacing w:val="6"/>
          <w:sz w:val="23"/>
          <w:szCs w:val="23"/>
        </w:rPr>
        <w:t>及</w:t>
      </w:r>
      <w:r>
        <w:rPr>
          <w:rFonts w:ascii="宋体" w:hAnsi="宋体" w:eastAsia="宋体" w:cs="宋体"/>
          <w:sz w:val="23"/>
          <w:szCs w:val="23"/>
        </w:rPr>
        <w:t xml:space="preserve"> </w:t>
      </w:r>
      <w:r>
        <w:rPr>
          <w:rFonts w:ascii="宋体" w:hAnsi="宋体" w:eastAsia="宋体" w:cs="宋体"/>
          <w:spacing w:val="12"/>
          <w:sz w:val="23"/>
          <w:szCs w:val="23"/>
        </w:rPr>
        <w:t>其他环境管</w:t>
      </w:r>
      <w:r>
        <w:rPr>
          <w:rFonts w:ascii="宋体" w:hAnsi="宋体" w:eastAsia="宋体" w:cs="宋体"/>
          <w:spacing w:val="9"/>
          <w:sz w:val="23"/>
          <w:szCs w:val="23"/>
        </w:rPr>
        <w:t>理</w:t>
      </w:r>
      <w:r>
        <w:rPr>
          <w:rFonts w:ascii="宋体" w:hAnsi="宋体" w:eastAsia="宋体" w:cs="宋体"/>
          <w:spacing w:val="6"/>
          <w:sz w:val="23"/>
          <w:szCs w:val="23"/>
        </w:rPr>
        <w:t>信息等；基本信息包括生产设施基本信息 (主要技术参数及设计值等) ，污染</w:t>
      </w:r>
      <w:r>
        <w:rPr>
          <w:rFonts w:ascii="宋体" w:hAnsi="宋体" w:eastAsia="宋体" w:cs="宋体"/>
          <w:sz w:val="23"/>
          <w:szCs w:val="23"/>
        </w:rPr>
        <w:t xml:space="preserve"> </w:t>
      </w:r>
      <w:r>
        <w:rPr>
          <w:rFonts w:ascii="宋体" w:hAnsi="宋体" w:eastAsia="宋体" w:cs="宋体"/>
          <w:spacing w:val="12"/>
          <w:sz w:val="23"/>
          <w:szCs w:val="23"/>
        </w:rPr>
        <w:t>防</w:t>
      </w:r>
      <w:r>
        <w:rPr>
          <w:rFonts w:ascii="宋体" w:hAnsi="宋体" w:eastAsia="宋体" w:cs="宋体"/>
          <w:spacing w:val="7"/>
          <w:sz w:val="23"/>
          <w:szCs w:val="23"/>
        </w:rPr>
        <w:t>治设施基本信息；生产设施运行管理信息包括主体工程、公用工程、辅助工程、储运工程</w:t>
      </w:r>
      <w:r>
        <w:rPr>
          <w:rFonts w:ascii="宋体" w:hAnsi="宋体" w:eastAsia="宋体" w:cs="宋体"/>
          <w:sz w:val="23"/>
          <w:szCs w:val="23"/>
        </w:rPr>
        <w:t xml:space="preserve"> </w:t>
      </w:r>
      <w:r>
        <w:rPr>
          <w:rFonts w:ascii="宋体" w:hAnsi="宋体" w:eastAsia="宋体" w:cs="宋体"/>
          <w:spacing w:val="12"/>
          <w:sz w:val="23"/>
          <w:szCs w:val="23"/>
        </w:rPr>
        <w:t>等</w:t>
      </w:r>
      <w:r>
        <w:rPr>
          <w:rFonts w:ascii="宋体" w:hAnsi="宋体" w:eastAsia="宋体" w:cs="宋体"/>
          <w:spacing w:val="7"/>
          <w:sz w:val="23"/>
          <w:szCs w:val="23"/>
        </w:rPr>
        <w:t>单元的生产设施运行管理信息；污染防治设施运行管理信息主要包括正常情况下设施运行</w:t>
      </w:r>
      <w:r>
        <w:rPr>
          <w:rFonts w:ascii="宋体" w:hAnsi="宋体" w:eastAsia="宋体" w:cs="宋体"/>
          <w:sz w:val="23"/>
          <w:szCs w:val="23"/>
        </w:rPr>
        <w:t xml:space="preserve"> </w:t>
      </w:r>
      <w:r>
        <w:rPr>
          <w:rFonts w:ascii="宋体" w:hAnsi="宋体" w:eastAsia="宋体" w:cs="宋体"/>
          <w:spacing w:val="16"/>
          <w:sz w:val="23"/>
          <w:szCs w:val="23"/>
        </w:rPr>
        <w:t>情况、</w:t>
      </w:r>
      <w:r>
        <w:rPr>
          <w:rFonts w:ascii="宋体" w:hAnsi="宋体" w:eastAsia="宋体" w:cs="宋体"/>
          <w:spacing w:val="14"/>
          <w:sz w:val="23"/>
          <w:szCs w:val="23"/>
        </w:rPr>
        <w:t>主</w:t>
      </w:r>
      <w:r>
        <w:rPr>
          <w:rFonts w:ascii="宋体" w:hAnsi="宋体" w:eastAsia="宋体" w:cs="宋体"/>
          <w:spacing w:val="8"/>
          <w:sz w:val="23"/>
          <w:szCs w:val="23"/>
        </w:rPr>
        <w:t>要药剂添加情况等，异常情况起止时间、污染物排放浓度、异常原因、应对措施、</w:t>
      </w:r>
      <w:r>
        <w:rPr>
          <w:rFonts w:ascii="宋体" w:hAnsi="宋体" w:eastAsia="宋体" w:cs="宋体"/>
          <w:sz w:val="23"/>
          <w:szCs w:val="23"/>
        </w:rPr>
        <w:t xml:space="preserve"> </w:t>
      </w:r>
      <w:r>
        <w:rPr>
          <w:rFonts w:ascii="宋体" w:hAnsi="宋体" w:eastAsia="宋体" w:cs="宋体"/>
          <w:spacing w:val="12"/>
          <w:sz w:val="23"/>
          <w:szCs w:val="23"/>
        </w:rPr>
        <w:t>是否报</w:t>
      </w:r>
      <w:r>
        <w:rPr>
          <w:rFonts w:ascii="宋体" w:hAnsi="宋体" w:eastAsia="宋体" w:cs="宋体"/>
          <w:spacing w:val="11"/>
          <w:sz w:val="23"/>
          <w:szCs w:val="23"/>
        </w:rPr>
        <w:t>告</w:t>
      </w:r>
      <w:r>
        <w:rPr>
          <w:rFonts w:ascii="宋体" w:hAnsi="宋体" w:eastAsia="宋体" w:cs="宋体"/>
          <w:spacing w:val="6"/>
          <w:sz w:val="23"/>
          <w:szCs w:val="23"/>
        </w:rPr>
        <w:t xml:space="preserve">等；监测记录信息按照 </w:t>
      </w:r>
      <w:r>
        <w:rPr>
          <w:rFonts w:ascii="Times New Roman" w:hAnsi="Times New Roman" w:eastAsia="Times New Roman" w:cs="Times New Roman"/>
          <w:sz w:val="23"/>
          <w:szCs w:val="23"/>
        </w:rPr>
        <w:t>HJ</w:t>
      </w:r>
      <w:r>
        <w:rPr>
          <w:rFonts w:ascii="Times New Roman" w:hAnsi="Times New Roman" w:eastAsia="Times New Roman" w:cs="Times New Roman"/>
          <w:spacing w:val="6"/>
          <w:sz w:val="23"/>
          <w:szCs w:val="23"/>
        </w:rPr>
        <w:t xml:space="preserve">819 </w:t>
      </w:r>
      <w:r>
        <w:rPr>
          <w:rFonts w:ascii="宋体" w:hAnsi="宋体" w:eastAsia="宋体" w:cs="宋体"/>
          <w:spacing w:val="6"/>
          <w:sz w:val="23"/>
          <w:szCs w:val="23"/>
        </w:rPr>
        <w:t xml:space="preserve">规定执行，监测质量按照 </w:t>
      </w:r>
      <w:r>
        <w:rPr>
          <w:rFonts w:ascii="Times New Roman" w:hAnsi="Times New Roman" w:eastAsia="Times New Roman" w:cs="Times New Roman"/>
          <w:sz w:val="23"/>
          <w:szCs w:val="23"/>
        </w:rPr>
        <w:t>HJ</w:t>
      </w:r>
      <w:r>
        <w:rPr>
          <w:rFonts w:ascii="Times New Roman" w:hAnsi="Times New Roman" w:eastAsia="Times New Roman" w:cs="Times New Roman"/>
          <w:spacing w:val="6"/>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6"/>
          <w:sz w:val="23"/>
          <w:szCs w:val="23"/>
        </w:rPr>
        <w:t xml:space="preserve">373 </w:t>
      </w:r>
      <w:r>
        <w:rPr>
          <w:rFonts w:ascii="宋体" w:hAnsi="宋体" w:eastAsia="宋体" w:cs="宋体"/>
          <w:spacing w:val="6"/>
          <w:sz w:val="23"/>
          <w:szCs w:val="23"/>
        </w:rPr>
        <w:t xml:space="preserve">和 </w:t>
      </w:r>
      <w:r>
        <w:rPr>
          <w:rFonts w:ascii="Times New Roman" w:hAnsi="Times New Roman" w:eastAsia="Times New Roman" w:cs="Times New Roman"/>
          <w:sz w:val="23"/>
          <w:szCs w:val="23"/>
        </w:rPr>
        <w:t>HJ</w:t>
      </w:r>
      <w:r>
        <w:rPr>
          <w:rFonts w:ascii="Times New Roman" w:hAnsi="Times New Roman" w:eastAsia="Times New Roman" w:cs="Times New Roman"/>
          <w:spacing w:val="6"/>
          <w:sz w:val="23"/>
          <w:szCs w:val="23"/>
        </w:rPr>
        <w:t xml:space="preserve">819 </w:t>
      </w:r>
      <w:r>
        <w:rPr>
          <w:rFonts w:ascii="宋体" w:hAnsi="宋体" w:eastAsia="宋体" w:cs="宋体"/>
          <w:spacing w:val="6"/>
          <w:sz w:val="23"/>
          <w:szCs w:val="23"/>
        </w:rPr>
        <w:t>等规定</w:t>
      </w:r>
      <w:r>
        <w:rPr>
          <w:rFonts w:ascii="宋体" w:hAnsi="宋体" w:eastAsia="宋体" w:cs="宋体"/>
          <w:sz w:val="23"/>
          <w:szCs w:val="23"/>
        </w:rPr>
        <w:t xml:space="preserve"> </w:t>
      </w:r>
      <w:r>
        <w:rPr>
          <w:rFonts w:ascii="宋体" w:hAnsi="宋体" w:eastAsia="宋体" w:cs="宋体"/>
          <w:spacing w:val="12"/>
          <w:sz w:val="23"/>
          <w:szCs w:val="23"/>
        </w:rPr>
        <w:t>执</w:t>
      </w:r>
      <w:r>
        <w:rPr>
          <w:rFonts w:ascii="宋体" w:hAnsi="宋体" w:eastAsia="宋体" w:cs="宋体"/>
          <w:spacing w:val="7"/>
          <w:sz w:val="23"/>
          <w:szCs w:val="23"/>
        </w:rPr>
        <w:t>行；其他环境管理信息主要包括无组织废气污染防治设施管理维护信息，特殊时段环境管</w:t>
      </w:r>
      <w:r>
        <w:rPr>
          <w:rFonts w:ascii="宋体" w:hAnsi="宋体" w:eastAsia="宋体" w:cs="宋体"/>
          <w:sz w:val="23"/>
          <w:szCs w:val="23"/>
        </w:rPr>
        <w:t xml:space="preserve"> </w:t>
      </w:r>
      <w:r>
        <w:rPr>
          <w:rFonts w:ascii="宋体" w:hAnsi="宋体" w:eastAsia="宋体" w:cs="宋体"/>
          <w:spacing w:val="8"/>
          <w:sz w:val="23"/>
          <w:szCs w:val="23"/>
        </w:rPr>
        <w:t>理信息及其他信息等。</w:t>
      </w:r>
    </w:p>
    <w:p w14:paraId="01BBBD14">
      <w:pPr>
        <w:spacing w:before="2" w:line="376" w:lineRule="auto"/>
        <w:ind w:left="16" w:right="65" w:firstLine="477"/>
        <w:rPr>
          <w:rFonts w:ascii="宋体" w:hAnsi="宋体" w:eastAsia="宋体" w:cs="宋体"/>
          <w:sz w:val="23"/>
          <w:szCs w:val="23"/>
        </w:rPr>
      </w:pPr>
      <w:r>
        <w:rPr>
          <w:rFonts w:ascii="宋体" w:hAnsi="宋体" w:eastAsia="宋体" w:cs="宋体"/>
          <w:spacing w:val="7"/>
          <w:sz w:val="23"/>
          <w:szCs w:val="23"/>
        </w:rPr>
        <w:t>企业环境管理台账具体可参照《排污单位环境管理台账及排污许可证执行报告技术规</w:t>
      </w:r>
      <w:r>
        <w:rPr>
          <w:rFonts w:ascii="宋体" w:hAnsi="宋体" w:eastAsia="宋体" w:cs="宋体"/>
          <w:spacing w:val="2"/>
          <w:sz w:val="23"/>
          <w:szCs w:val="23"/>
        </w:rPr>
        <w:t>范</w:t>
      </w:r>
      <w:r>
        <w:rPr>
          <w:rFonts w:ascii="宋体" w:hAnsi="宋体" w:eastAsia="宋体" w:cs="宋体"/>
          <w:sz w:val="23"/>
          <w:szCs w:val="23"/>
        </w:rPr>
        <w:t xml:space="preserve"> </w:t>
      </w:r>
      <w:r>
        <w:rPr>
          <w:rFonts w:ascii="宋体" w:hAnsi="宋体" w:eastAsia="宋体" w:cs="宋体"/>
          <w:spacing w:val="4"/>
          <w:sz w:val="23"/>
          <w:szCs w:val="23"/>
        </w:rPr>
        <w:t xml:space="preserve">总则 (试行) </w:t>
      </w:r>
      <w:r>
        <w:rPr>
          <w:rFonts w:ascii="宋体" w:hAnsi="宋体" w:eastAsia="宋体" w:cs="宋体"/>
          <w:spacing w:val="3"/>
          <w:sz w:val="23"/>
          <w:szCs w:val="23"/>
        </w:rPr>
        <w:t>》</w:t>
      </w:r>
      <w:r>
        <w:rPr>
          <w:rFonts w:ascii="宋体" w:hAnsi="宋体" w:eastAsia="宋体" w:cs="宋体"/>
          <w:spacing w:val="2"/>
          <w:sz w:val="23"/>
          <w:szCs w:val="23"/>
        </w:rPr>
        <w:t xml:space="preserve">  (</w:t>
      </w:r>
      <w:r>
        <w:rPr>
          <w:rFonts w:ascii="Times New Roman" w:hAnsi="Times New Roman" w:eastAsia="Times New Roman" w:cs="Times New Roman"/>
          <w:sz w:val="23"/>
          <w:szCs w:val="23"/>
        </w:rPr>
        <w:t>HJ</w:t>
      </w:r>
      <w:r>
        <w:rPr>
          <w:rFonts w:ascii="Times New Roman" w:hAnsi="Times New Roman" w:eastAsia="Times New Roman" w:cs="Times New Roman"/>
          <w:spacing w:val="2"/>
          <w:sz w:val="23"/>
          <w:szCs w:val="23"/>
        </w:rPr>
        <w:t>944-2018</w:t>
      </w:r>
      <w:r>
        <w:rPr>
          <w:rFonts w:ascii="宋体" w:hAnsi="宋体" w:eastAsia="宋体" w:cs="宋体"/>
          <w:spacing w:val="2"/>
          <w:sz w:val="23"/>
          <w:szCs w:val="23"/>
        </w:rPr>
        <w:t>) 的相关要求执行。</w:t>
      </w:r>
    </w:p>
    <w:p w14:paraId="1A51693B">
      <w:pPr>
        <w:spacing w:before="1" w:line="220" w:lineRule="auto"/>
        <w:ind w:left="9"/>
        <w:outlineLvl w:val="1"/>
        <w:rPr>
          <w:rFonts w:ascii="宋体" w:hAnsi="宋体" w:eastAsia="宋体" w:cs="宋体"/>
          <w:sz w:val="28"/>
          <w:szCs w:val="28"/>
        </w:rPr>
      </w:pPr>
      <w:bookmarkStart w:id="65" w:name="_bookmark66"/>
      <w:bookmarkEnd w:id="65"/>
      <w:r>
        <w:rPr>
          <w:rFonts w:ascii="Times New Roman" w:hAnsi="Times New Roman" w:eastAsia="Times New Roman" w:cs="Times New Roman"/>
          <w:b/>
          <w:bCs/>
          <w:spacing w:val="-1"/>
          <w:sz w:val="28"/>
          <w:szCs w:val="28"/>
        </w:rPr>
        <w:t>9.2</w:t>
      </w:r>
      <w:r>
        <w:rPr>
          <w:rFonts w:ascii="Times New Roman" w:hAnsi="Times New Roman" w:eastAsia="Times New Roman" w:cs="Times New Roman"/>
          <w:spacing w:val="-1"/>
          <w:sz w:val="28"/>
          <w:szCs w:val="28"/>
        </w:rPr>
        <w:t xml:space="preserve">  </w:t>
      </w:r>
      <w:r>
        <w:rPr>
          <w:rFonts w:ascii="宋体" w:hAnsi="宋体" w:eastAsia="宋体" w:cs="宋体"/>
          <w:spacing w:val="-1"/>
          <w:sz w:val="28"/>
          <w:szCs w:val="28"/>
          <w14:textOutline w14:w="5105" w14:cap="sq" w14:cmpd="sng" w14:algn="ctr">
            <w14:solidFill>
              <w14:srgbClr w14:val="000000"/>
            </w14:solidFill>
            <w14:prstDash w14:val="solid"/>
            <w14:bevel/>
          </w14:textOutline>
        </w:rPr>
        <w:t>环</w:t>
      </w:r>
      <w:r>
        <w:rPr>
          <w:rFonts w:ascii="宋体" w:hAnsi="宋体" w:eastAsia="宋体" w:cs="宋体"/>
          <w:sz w:val="28"/>
          <w:szCs w:val="28"/>
          <w14:textOutline w14:w="5105" w14:cap="sq" w14:cmpd="sng" w14:algn="ctr">
            <w14:solidFill>
              <w14:srgbClr w14:val="000000"/>
            </w14:solidFill>
            <w14:prstDash w14:val="solid"/>
            <w14:bevel/>
          </w14:textOutline>
        </w:rPr>
        <w:t>境监测</w:t>
      </w:r>
    </w:p>
    <w:p w14:paraId="403EC26B">
      <w:pPr>
        <w:spacing w:before="205" w:line="228" w:lineRule="auto"/>
        <w:ind w:left="8"/>
        <w:outlineLvl w:val="2"/>
        <w:rPr>
          <w:rFonts w:ascii="宋体" w:hAnsi="宋体" w:eastAsia="宋体" w:cs="宋体"/>
          <w:sz w:val="23"/>
          <w:szCs w:val="23"/>
        </w:rPr>
      </w:pPr>
      <w:r>
        <w:rPr>
          <w:rFonts w:ascii="Times New Roman" w:hAnsi="Times New Roman" w:eastAsia="Times New Roman" w:cs="Times New Roman"/>
          <w:b/>
          <w:bCs/>
          <w:spacing w:val="10"/>
          <w:sz w:val="23"/>
          <w:szCs w:val="23"/>
        </w:rPr>
        <w:t>9</w:t>
      </w:r>
      <w:r>
        <w:rPr>
          <w:rFonts w:ascii="Times New Roman" w:hAnsi="Times New Roman" w:eastAsia="Times New Roman" w:cs="Times New Roman"/>
          <w:b/>
          <w:bCs/>
          <w:spacing w:val="6"/>
          <w:sz w:val="23"/>
          <w:szCs w:val="23"/>
        </w:rPr>
        <w:t>.2.1</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环境监测目的</w:t>
      </w:r>
    </w:p>
    <w:p w14:paraId="42B56660">
      <w:pPr>
        <w:spacing w:before="184" w:line="466" w:lineRule="exact"/>
        <w:ind w:left="490"/>
        <w:rPr>
          <w:rFonts w:ascii="宋体" w:hAnsi="宋体" w:eastAsia="宋体" w:cs="宋体"/>
          <w:sz w:val="23"/>
          <w:szCs w:val="23"/>
        </w:rPr>
      </w:pPr>
      <w:r>
        <w:rPr>
          <w:rFonts w:ascii="宋体" w:hAnsi="宋体" w:eastAsia="宋体" w:cs="宋体"/>
          <w:spacing w:val="7"/>
          <w:position w:val="17"/>
          <w:sz w:val="23"/>
          <w:szCs w:val="23"/>
        </w:rPr>
        <w:t>环境监测是环境管理技术的支持。同时，环境监测还是企业搞好环境管理，促进污染</w:t>
      </w:r>
      <w:r>
        <w:rPr>
          <w:rFonts w:ascii="宋体" w:hAnsi="宋体" w:eastAsia="宋体" w:cs="宋体"/>
          <w:spacing w:val="6"/>
          <w:position w:val="17"/>
          <w:sz w:val="23"/>
          <w:szCs w:val="23"/>
        </w:rPr>
        <w:t>治</w:t>
      </w:r>
    </w:p>
    <w:p w14:paraId="4425531B">
      <w:pPr>
        <w:spacing w:line="227" w:lineRule="auto"/>
        <w:ind w:left="13"/>
        <w:rPr>
          <w:rFonts w:ascii="宋体" w:hAnsi="宋体" w:eastAsia="宋体" w:cs="宋体"/>
          <w:sz w:val="23"/>
          <w:szCs w:val="23"/>
        </w:rPr>
      </w:pPr>
      <w:r>
        <w:rPr>
          <w:rFonts w:ascii="宋体" w:hAnsi="宋体" w:eastAsia="宋体" w:cs="宋体"/>
          <w:spacing w:val="9"/>
          <w:sz w:val="23"/>
          <w:szCs w:val="23"/>
        </w:rPr>
        <w:t>理</w:t>
      </w:r>
      <w:r>
        <w:rPr>
          <w:rFonts w:ascii="宋体" w:hAnsi="宋体" w:eastAsia="宋体" w:cs="宋体"/>
          <w:spacing w:val="7"/>
          <w:sz w:val="23"/>
          <w:szCs w:val="23"/>
        </w:rPr>
        <w:t>设施正常运行的主要保障。通过定期的环境监测，了解当地的环境质量状况，可以及时发</w:t>
      </w:r>
    </w:p>
    <w:p w14:paraId="66F211AA">
      <w:pPr>
        <w:sectPr>
          <w:headerReference r:id="rId323" w:type="default"/>
          <w:footerReference r:id="rId324" w:type="default"/>
          <w:pgSz w:w="11906" w:h="16839"/>
          <w:pgMar w:top="1118" w:right="1069" w:bottom="1157" w:left="1275" w:header="878" w:footer="994" w:gutter="0"/>
          <w:cols w:space="720" w:num="1"/>
        </w:sectPr>
      </w:pPr>
    </w:p>
    <w:p w14:paraId="6F9CA54F">
      <w:pPr>
        <w:spacing w:before="192" w:line="375" w:lineRule="auto"/>
        <w:ind w:left="119" w:right="108"/>
        <w:rPr>
          <w:rFonts w:ascii="宋体" w:hAnsi="宋体" w:eastAsia="宋体" w:cs="宋体"/>
          <w:sz w:val="23"/>
          <w:szCs w:val="23"/>
        </w:rPr>
      </w:pPr>
      <w:r>
        <w:rPr>
          <w:rFonts w:ascii="宋体" w:hAnsi="宋体" w:eastAsia="宋体" w:cs="宋体"/>
          <w:spacing w:val="10"/>
          <w:sz w:val="23"/>
          <w:szCs w:val="23"/>
        </w:rPr>
        <w:t>现</w:t>
      </w:r>
      <w:r>
        <w:rPr>
          <w:rFonts w:ascii="宋体" w:hAnsi="宋体" w:eastAsia="宋体" w:cs="宋体"/>
          <w:spacing w:val="7"/>
          <w:sz w:val="23"/>
          <w:szCs w:val="23"/>
        </w:rPr>
        <w:t>问题、解决问题，从而有利于监督各项环保措施的落实，并根据监测结果适时调整环境保</w:t>
      </w:r>
      <w:r>
        <w:rPr>
          <w:rFonts w:ascii="宋体" w:hAnsi="宋体" w:eastAsia="宋体" w:cs="宋体"/>
          <w:sz w:val="23"/>
          <w:szCs w:val="23"/>
        </w:rPr>
        <w:t xml:space="preserve"> </w:t>
      </w:r>
      <w:r>
        <w:rPr>
          <w:rFonts w:ascii="宋体" w:hAnsi="宋体" w:eastAsia="宋体" w:cs="宋体"/>
          <w:spacing w:val="5"/>
          <w:sz w:val="23"/>
          <w:szCs w:val="23"/>
        </w:rPr>
        <w:t>护计划</w:t>
      </w:r>
      <w:r>
        <w:rPr>
          <w:rFonts w:ascii="宋体" w:hAnsi="宋体" w:eastAsia="宋体" w:cs="宋体"/>
          <w:spacing w:val="4"/>
          <w:sz w:val="23"/>
          <w:szCs w:val="23"/>
        </w:rPr>
        <w:t>。</w:t>
      </w:r>
    </w:p>
    <w:p w14:paraId="677EBFE2">
      <w:pPr>
        <w:spacing w:line="226" w:lineRule="auto"/>
        <w:ind w:left="116"/>
        <w:outlineLvl w:val="2"/>
        <w:rPr>
          <w:rFonts w:ascii="宋体" w:hAnsi="宋体" w:eastAsia="宋体" w:cs="宋体"/>
          <w:sz w:val="23"/>
          <w:szCs w:val="23"/>
        </w:rPr>
      </w:pPr>
      <w:r>
        <w:rPr>
          <w:rFonts w:ascii="Times New Roman" w:hAnsi="Times New Roman" w:eastAsia="Times New Roman" w:cs="Times New Roman"/>
          <w:b/>
          <w:bCs/>
          <w:spacing w:val="10"/>
          <w:sz w:val="23"/>
          <w:szCs w:val="23"/>
        </w:rPr>
        <w:t>9</w:t>
      </w:r>
      <w:r>
        <w:rPr>
          <w:rFonts w:ascii="Times New Roman" w:hAnsi="Times New Roman" w:eastAsia="Times New Roman" w:cs="Times New Roman"/>
          <w:b/>
          <w:bCs/>
          <w:spacing w:val="6"/>
          <w:sz w:val="23"/>
          <w:szCs w:val="23"/>
        </w:rPr>
        <w:t>.2.2</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环境监测机构</w:t>
      </w:r>
    </w:p>
    <w:p w14:paraId="0494286E">
      <w:pPr>
        <w:spacing w:before="183" w:line="375" w:lineRule="auto"/>
        <w:ind w:left="119" w:right="108" w:firstLine="481"/>
        <w:rPr>
          <w:rFonts w:ascii="宋体" w:hAnsi="宋体" w:eastAsia="宋体" w:cs="宋体"/>
          <w:sz w:val="23"/>
          <w:szCs w:val="23"/>
        </w:rPr>
      </w:pPr>
      <w:r>
        <w:rPr>
          <w:rFonts w:ascii="宋体" w:hAnsi="宋体" w:eastAsia="宋体" w:cs="宋体"/>
          <w:spacing w:val="7"/>
          <w:sz w:val="23"/>
          <w:szCs w:val="23"/>
        </w:rPr>
        <w:t>建议该项目营运期的环境监测工作委托有资质的环境监测站承担，日常的生产例行监</w:t>
      </w:r>
      <w:r>
        <w:rPr>
          <w:rFonts w:ascii="宋体" w:hAnsi="宋体" w:eastAsia="宋体" w:cs="宋体"/>
          <w:spacing w:val="3"/>
          <w:sz w:val="23"/>
          <w:szCs w:val="23"/>
        </w:rPr>
        <w:t>测</w:t>
      </w:r>
      <w:r>
        <w:rPr>
          <w:rFonts w:ascii="宋体" w:hAnsi="宋体" w:eastAsia="宋体" w:cs="宋体"/>
          <w:sz w:val="23"/>
          <w:szCs w:val="23"/>
        </w:rPr>
        <w:t xml:space="preserve"> </w:t>
      </w:r>
      <w:r>
        <w:rPr>
          <w:rFonts w:ascii="宋体" w:hAnsi="宋体" w:eastAsia="宋体" w:cs="宋体"/>
          <w:spacing w:val="10"/>
          <w:sz w:val="23"/>
          <w:szCs w:val="23"/>
        </w:rPr>
        <w:t>则由内</w:t>
      </w:r>
      <w:r>
        <w:rPr>
          <w:rFonts w:ascii="宋体" w:hAnsi="宋体" w:eastAsia="宋体" w:cs="宋体"/>
          <w:spacing w:val="6"/>
          <w:sz w:val="23"/>
          <w:szCs w:val="23"/>
        </w:rPr>
        <w:t>部</w:t>
      </w:r>
      <w:r>
        <w:rPr>
          <w:rFonts w:ascii="宋体" w:hAnsi="宋体" w:eastAsia="宋体" w:cs="宋体"/>
          <w:spacing w:val="5"/>
          <w:sz w:val="23"/>
          <w:szCs w:val="23"/>
        </w:rPr>
        <w:t xml:space="preserve">执行。评价建议养殖场配备 </w:t>
      </w:r>
      <w:r>
        <w:rPr>
          <w:rFonts w:ascii="Times New Roman" w:hAnsi="Times New Roman" w:eastAsia="Times New Roman" w:cs="Times New Roman"/>
          <w:spacing w:val="5"/>
          <w:sz w:val="23"/>
          <w:szCs w:val="23"/>
        </w:rPr>
        <w:t xml:space="preserve">1 </w:t>
      </w:r>
      <w:r>
        <w:rPr>
          <w:rFonts w:ascii="宋体" w:hAnsi="宋体" w:eastAsia="宋体" w:cs="宋体"/>
          <w:spacing w:val="5"/>
          <w:sz w:val="23"/>
          <w:szCs w:val="23"/>
        </w:rPr>
        <w:t>名专职环境监测人员，负责养殖场运行期环境监测工</w:t>
      </w:r>
      <w:r>
        <w:rPr>
          <w:rFonts w:ascii="宋体" w:hAnsi="宋体" w:eastAsia="宋体" w:cs="宋体"/>
          <w:sz w:val="23"/>
          <w:szCs w:val="23"/>
        </w:rPr>
        <w:t xml:space="preserve"> </w:t>
      </w:r>
      <w:r>
        <w:rPr>
          <w:rFonts w:ascii="宋体" w:hAnsi="宋体" w:eastAsia="宋体" w:cs="宋体"/>
          <w:spacing w:val="12"/>
          <w:sz w:val="23"/>
          <w:szCs w:val="23"/>
        </w:rPr>
        <w:t>作</w:t>
      </w:r>
      <w:r>
        <w:rPr>
          <w:rFonts w:ascii="宋体" w:hAnsi="宋体" w:eastAsia="宋体" w:cs="宋体"/>
          <w:spacing w:val="9"/>
          <w:sz w:val="23"/>
          <w:szCs w:val="23"/>
        </w:rPr>
        <w:t>，仪器设备配置污水计量装置、污水比例采样器等。</w:t>
      </w:r>
    </w:p>
    <w:p w14:paraId="42DFC9F2">
      <w:pPr>
        <w:spacing w:line="228" w:lineRule="auto"/>
        <w:ind w:left="116"/>
        <w:outlineLvl w:val="2"/>
        <w:rPr>
          <w:rFonts w:ascii="宋体" w:hAnsi="宋体" w:eastAsia="宋体" w:cs="宋体"/>
          <w:sz w:val="23"/>
          <w:szCs w:val="23"/>
        </w:rPr>
      </w:pPr>
      <w:r>
        <w:rPr>
          <w:rFonts w:ascii="Times New Roman" w:hAnsi="Times New Roman" w:eastAsia="Times New Roman" w:cs="Times New Roman"/>
          <w:b/>
          <w:bCs/>
          <w:spacing w:val="9"/>
          <w:sz w:val="23"/>
          <w:szCs w:val="23"/>
        </w:rPr>
        <w:t>9</w:t>
      </w:r>
      <w:r>
        <w:rPr>
          <w:rFonts w:ascii="Times New Roman" w:hAnsi="Times New Roman" w:eastAsia="Times New Roman" w:cs="Times New Roman"/>
          <w:b/>
          <w:bCs/>
          <w:spacing w:val="7"/>
          <w:sz w:val="23"/>
          <w:szCs w:val="23"/>
        </w:rPr>
        <w:t>.2.3</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监测项目及监测计划</w:t>
      </w:r>
    </w:p>
    <w:p w14:paraId="1E53156B">
      <w:pPr>
        <w:spacing w:before="183" w:line="374" w:lineRule="auto"/>
        <w:ind w:left="598" w:right="43" w:firstLine="1"/>
        <w:rPr>
          <w:rFonts w:ascii="宋体" w:hAnsi="宋体" w:eastAsia="宋体" w:cs="宋体"/>
          <w:sz w:val="23"/>
          <w:szCs w:val="23"/>
        </w:rPr>
      </w:pPr>
      <w:r>
        <w:rPr>
          <w:rFonts w:ascii="宋体" w:hAnsi="宋体" w:eastAsia="宋体" w:cs="宋体"/>
          <w:spacing w:val="16"/>
          <w:sz w:val="23"/>
          <w:szCs w:val="23"/>
        </w:rPr>
        <w:t>主要包</w:t>
      </w:r>
      <w:r>
        <w:rPr>
          <w:rFonts w:ascii="宋体" w:hAnsi="宋体" w:eastAsia="宋体" w:cs="宋体"/>
          <w:spacing w:val="8"/>
          <w:sz w:val="23"/>
          <w:szCs w:val="23"/>
        </w:rPr>
        <w:t>括废气、废水、噪声、固体废物等污染源监测及场区周围环境质量的定期监测。</w:t>
      </w:r>
      <w:r>
        <w:rPr>
          <w:rFonts w:ascii="宋体" w:hAnsi="宋体" w:eastAsia="宋体" w:cs="宋体"/>
          <w:sz w:val="23"/>
          <w:szCs w:val="23"/>
        </w:rPr>
        <w:t xml:space="preserve"> </w:t>
      </w:r>
      <w:r>
        <w:rPr>
          <w:rFonts w:ascii="宋体" w:hAnsi="宋体" w:eastAsia="宋体" w:cs="宋体"/>
          <w:spacing w:val="10"/>
          <w:sz w:val="23"/>
          <w:szCs w:val="23"/>
        </w:rPr>
        <w:t>根</w:t>
      </w:r>
      <w:r>
        <w:rPr>
          <w:rFonts w:ascii="宋体" w:hAnsi="宋体" w:eastAsia="宋体" w:cs="宋体"/>
          <w:spacing w:val="6"/>
          <w:sz w:val="23"/>
          <w:szCs w:val="23"/>
        </w:rPr>
        <w:t>据</w:t>
      </w:r>
      <w:r>
        <w:rPr>
          <w:rFonts w:ascii="宋体" w:hAnsi="宋体" w:eastAsia="宋体" w:cs="宋体"/>
          <w:spacing w:val="5"/>
          <w:sz w:val="23"/>
          <w:szCs w:val="23"/>
        </w:rPr>
        <w:t>《排污单位自行监测技术指南》  (</w:t>
      </w:r>
      <w:r>
        <w:rPr>
          <w:rFonts w:ascii="Times New Roman" w:hAnsi="Times New Roman" w:eastAsia="Times New Roman" w:cs="Times New Roman"/>
          <w:sz w:val="23"/>
          <w:szCs w:val="23"/>
        </w:rPr>
        <w:t>HJ</w:t>
      </w:r>
      <w:r>
        <w:rPr>
          <w:rFonts w:ascii="Times New Roman" w:hAnsi="Times New Roman" w:eastAsia="Times New Roman" w:cs="Times New Roman"/>
          <w:spacing w:val="5"/>
          <w:sz w:val="23"/>
          <w:szCs w:val="23"/>
        </w:rPr>
        <w:t xml:space="preserve"> 819-2017</w:t>
      </w:r>
      <w:r>
        <w:rPr>
          <w:rFonts w:ascii="宋体" w:hAnsi="宋体" w:eastAsia="宋体" w:cs="宋体"/>
          <w:spacing w:val="5"/>
          <w:sz w:val="23"/>
          <w:szCs w:val="23"/>
        </w:rPr>
        <w:t>) ，本项目监测计划见下表。</w:t>
      </w:r>
    </w:p>
    <w:p w14:paraId="74696ECD">
      <w:pPr>
        <w:spacing w:line="222" w:lineRule="auto"/>
        <w:ind w:left="3208"/>
        <w:rPr>
          <w:rFonts w:ascii="黑体" w:hAnsi="黑体" w:eastAsia="黑体" w:cs="黑体"/>
          <w:sz w:val="23"/>
          <w:szCs w:val="23"/>
        </w:rPr>
      </w:pPr>
      <w:r>
        <w:rPr>
          <w:rFonts w:ascii="黑体" w:hAnsi="黑体" w:eastAsia="黑体" w:cs="黑体"/>
          <w:spacing w:val="1"/>
          <w:sz w:val="23"/>
          <w:szCs w:val="23"/>
        </w:rPr>
        <w:t xml:space="preserve">表 </w:t>
      </w:r>
      <w:r>
        <w:rPr>
          <w:rFonts w:ascii="Times New Roman" w:hAnsi="Times New Roman" w:eastAsia="Times New Roman" w:cs="Times New Roman"/>
          <w:spacing w:val="1"/>
          <w:sz w:val="23"/>
          <w:szCs w:val="23"/>
        </w:rPr>
        <w:t xml:space="preserve">9.2- 1 </w:t>
      </w:r>
      <w:r>
        <w:rPr>
          <w:rFonts w:ascii="Times New Roman" w:hAnsi="Times New Roman" w:eastAsia="Times New Roman" w:cs="Times New Roman"/>
          <w:sz w:val="23"/>
          <w:szCs w:val="23"/>
        </w:rPr>
        <w:t xml:space="preserve">     </w:t>
      </w:r>
      <w:r>
        <w:rPr>
          <w:rFonts w:ascii="黑体" w:hAnsi="黑体" w:eastAsia="黑体" w:cs="黑体"/>
          <w:sz w:val="23"/>
          <w:szCs w:val="23"/>
        </w:rPr>
        <w:t>环境监测计划一览表</w:t>
      </w:r>
    </w:p>
    <w:tbl>
      <w:tblPr>
        <w:tblStyle w:val="4"/>
        <w:tblW w:w="971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0"/>
        <w:gridCol w:w="3419"/>
        <w:gridCol w:w="3230"/>
        <w:gridCol w:w="2362"/>
      </w:tblGrid>
      <w:tr w14:paraId="7751F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700" w:type="dxa"/>
            <w:tcBorders>
              <w:left w:val="nil"/>
            </w:tcBorders>
          </w:tcPr>
          <w:p w14:paraId="0BCCB2E0">
            <w:pPr>
              <w:spacing w:before="97" w:line="228" w:lineRule="auto"/>
              <w:ind w:left="151"/>
              <w:rPr>
                <w:rFonts w:ascii="宋体" w:hAnsi="宋体" w:eastAsia="宋体" w:cs="宋体"/>
                <w:sz w:val="20"/>
                <w:szCs w:val="20"/>
              </w:rPr>
            </w:pPr>
            <w:r>
              <w:rPr>
                <w:rFonts w:ascii="宋体" w:hAnsi="宋体" w:eastAsia="宋体" w:cs="宋体"/>
                <w:spacing w:val="4"/>
                <w:sz w:val="20"/>
                <w:szCs w:val="20"/>
                <w14:textOutline w14:w="3797" w14:cap="sq" w14:cmpd="sng" w14:algn="ctr">
                  <w14:solidFill>
                    <w14:srgbClr w14:val="000000"/>
                  </w14:solidFill>
                  <w14:prstDash w14:val="solid"/>
                  <w14:bevel/>
                </w14:textOutline>
              </w:rPr>
              <w:t>项目</w:t>
            </w:r>
          </w:p>
        </w:tc>
        <w:tc>
          <w:tcPr>
            <w:tcW w:w="3419" w:type="dxa"/>
          </w:tcPr>
          <w:p w14:paraId="46F6ED5A">
            <w:pPr>
              <w:spacing w:before="97" w:line="229" w:lineRule="auto"/>
              <w:ind w:left="1296"/>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监</w:t>
            </w:r>
            <w:r>
              <w:rPr>
                <w:rFonts w:ascii="宋体" w:hAnsi="宋体" w:eastAsia="宋体" w:cs="宋体"/>
                <w:spacing w:val="8"/>
                <w:sz w:val="20"/>
                <w:szCs w:val="20"/>
                <w14:textOutline w14:w="3797" w14:cap="sq" w14:cmpd="sng" w14:algn="ctr">
                  <w14:solidFill>
                    <w14:srgbClr w14:val="000000"/>
                  </w14:solidFill>
                  <w14:prstDash w14:val="solid"/>
                  <w14:bevel/>
                </w14:textOutline>
              </w:rPr>
              <w:t>测点位</w:t>
            </w:r>
          </w:p>
        </w:tc>
        <w:tc>
          <w:tcPr>
            <w:tcW w:w="3230" w:type="dxa"/>
          </w:tcPr>
          <w:p w14:paraId="09FC7575">
            <w:pPr>
              <w:spacing w:before="96" w:line="228" w:lineRule="auto"/>
              <w:ind w:left="1201"/>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监</w:t>
            </w:r>
            <w:r>
              <w:rPr>
                <w:rFonts w:ascii="宋体" w:hAnsi="宋体" w:eastAsia="宋体" w:cs="宋体"/>
                <w:spacing w:val="8"/>
                <w:sz w:val="20"/>
                <w:szCs w:val="20"/>
                <w14:textOutline w14:w="3797" w14:cap="sq" w14:cmpd="sng" w14:algn="ctr">
                  <w14:solidFill>
                    <w14:srgbClr w14:val="000000"/>
                  </w14:solidFill>
                  <w14:prstDash w14:val="solid"/>
                  <w14:bevel/>
                </w14:textOutline>
              </w:rPr>
              <w:t>测内容</w:t>
            </w:r>
          </w:p>
        </w:tc>
        <w:tc>
          <w:tcPr>
            <w:tcW w:w="2362" w:type="dxa"/>
            <w:tcBorders>
              <w:right w:val="nil"/>
            </w:tcBorders>
          </w:tcPr>
          <w:p w14:paraId="3532C23A">
            <w:pPr>
              <w:spacing w:before="96" w:line="228" w:lineRule="auto"/>
              <w:ind w:left="767"/>
              <w:rPr>
                <w:rFonts w:ascii="宋体" w:hAnsi="宋体" w:eastAsia="宋体" w:cs="宋体"/>
                <w:sz w:val="20"/>
                <w:szCs w:val="20"/>
              </w:rPr>
            </w:pPr>
            <w:r>
              <w:rPr>
                <w:rFonts w:ascii="宋体" w:hAnsi="宋体" w:eastAsia="宋体" w:cs="宋体"/>
                <w:spacing w:val="9"/>
                <w:sz w:val="20"/>
                <w:szCs w:val="20"/>
                <w14:textOutline w14:w="3797" w14:cap="sq" w14:cmpd="sng" w14:algn="ctr">
                  <w14:solidFill>
                    <w14:srgbClr w14:val="000000"/>
                  </w14:solidFill>
                  <w14:prstDash w14:val="solid"/>
                  <w14:bevel/>
                </w14:textOutline>
              </w:rPr>
              <w:t>监</w:t>
            </w:r>
            <w:r>
              <w:rPr>
                <w:rFonts w:ascii="宋体" w:hAnsi="宋体" w:eastAsia="宋体" w:cs="宋体"/>
                <w:spacing w:val="8"/>
                <w:sz w:val="20"/>
                <w:szCs w:val="20"/>
                <w14:textOutline w14:w="3797" w14:cap="sq" w14:cmpd="sng" w14:algn="ctr">
                  <w14:solidFill>
                    <w14:srgbClr w14:val="000000"/>
                  </w14:solidFill>
                  <w14:prstDash w14:val="solid"/>
                  <w14:bevel/>
                </w14:textOutline>
              </w:rPr>
              <w:t>测频次</w:t>
            </w:r>
          </w:p>
        </w:tc>
      </w:tr>
      <w:tr w14:paraId="74B907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700" w:type="dxa"/>
            <w:tcBorders>
              <w:left w:val="nil"/>
            </w:tcBorders>
          </w:tcPr>
          <w:p w14:paraId="1DB6314C">
            <w:pPr>
              <w:spacing w:before="102" w:line="228" w:lineRule="auto"/>
              <w:ind w:left="147"/>
              <w:rPr>
                <w:rFonts w:ascii="宋体" w:hAnsi="宋体" w:eastAsia="宋体" w:cs="宋体"/>
                <w:sz w:val="20"/>
                <w:szCs w:val="20"/>
              </w:rPr>
            </w:pPr>
            <w:r>
              <w:rPr>
                <w:rFonts w:ascii="宋体" w:hAnsi="宋体" w:eastAsia="宋体" w:cs="宋体"/>
                <w:spacing w:val="5"/>
                <w:sz w:val="20"/>
                <w:szCs w:val="20"/>
              </w:rPr>
              <w:t>废气</w:t>
            </w:r>
          </w:p>
        </w:tc>
        <w:tc>
          <w:tcPr>
            <w:tcW w:w="3419" w:type="dxa"/>
          </w:tcPr>
          <w:p w14:paraId="718DF2C5">
            <w:pPr>
              <w:spacing w:before="102" w:line="228" w:lineRule="auto"/>
              <w:ind w:left="1315"/>
              <w:rPr>
                <w:rFonts w:ascii="宋体" w:hAnsi="宋体" w:eastAsia="宋体" w:cs="宋体"/>
                <w:sz w:val="20"/>
                <w:szCs w:val="20"/>
              </w:rPr>
            </w:pPr>
            <w:r>
              <w:rPr>
                <w:rFonts w:ascii="宋体" w:hAnsi="宋体" w:eastAsia="宋体" w:cs="宋体"/>
                <w:spacing w:val="3"/>
                <w:sz w:val="20"/>
                <w:szCs w:val="20"/>
              </w:rPr>
              <w:t>四</w:t>
            </w:r>
            <w:r>
              <w:rPr>
                <w:rFonts w:ascii="宋体" w:hAnsi="宋体" w:eastAsia="宋体" w:cs="宋体"/>
                <w:spacing w:val="2"/>
                <w:sz w:val="20"/>
                <w:szCs w:val="20"/>
              </w:rPr>
              <w:t>周场界</w:t>
            </w:r>
          </w:p>
        </w:tc>
        <w:tc>
          <w:tcPr>
            <w:tcW w:w="3230" w:type="dxa"/>
          </w:tcPr>
          <w:p w14:paraId="6DA75850">
            <w:pPr>
              <w:spacing w:before="102" w:line="228" w:lineRule="auto"/>
              <w:ind w:left="741"/>
              <w:rPr>
                <w:rFonts w:ascii="Times New Roman" w:hAnsi="Times New Roman" w:eastAsia="Times New Roman" w:cs="Times New Roman"/>
                <w:sz w:val="13"/>
                <w:szCs w:val="13"/>
              </w:rPr>
            </w:pPr>
            <w:r>
              <w:rPr>
                <w:rFonts w:ascii="宋体" w:hAnsi="宋体" w:eastAsia="宋体" w:cs="宋体"/>
                <w:spacing w:val="-1"/>
                <w:sz w:val="20"/>
                <w:szCs w:val="20"/>
              </w:rPr>
              <w:t>颗粒物、</w:t>
            </w:r>
            <w:r>
              <w:rPr>
                <w:rFonts w:ascii="Times New Roman" w:hAnsi="Times New Roman" w:eastAsia="Times New Roman" w:cs="Times New Roman"/>
                <w:sz w:val="20"/>
                <w:szCs w:val="20"/>
              </w:rPr>
              <w:t>H</w:t>
            </w:r>
            <w:r>
              <w:rPr>
                <w:rFonts w:ascii="Times New Roman" w:hAnsi="Times New Roman" w:eastAsia="Times New Roman" w:cs="Times New Roman"/>
                <w:spacing w:val="-1"/>
                <w:position w:val="-1"/>
                <w:sz w:val="13"/>
                <w:szCs w:val="13"/>
              </w:rPr>
              <w:t xml:space="preserve">2 </w:t>
            </w:r>
            <w:r>
              <w:rPr>
                <w:rFonts w:ascii="Times New Roman" w:hAnsi="Times New Roman" w:eastAsia="Times New Roman" w:cs="Times New Roman"/>
                <w:sz w:val="20"/>
                <w:szCs w:val="20"/>
              </w:rPr>
              <w:t>S</w:t>
            </w:r>
            <w:r>
              <w:rPr>
                <w:rFonts w:ascii="Times New Roman" w:hAnsi="Times New Roman" w:eastAsia="Times New Roman" w:cs="Times New Roman"/>
                <w:spacing w:val="-1"/>
                <w:sz w:val="20"/>
                <w:szCs w:val="20"/>
              </w:rPr>
              <w:t xml:space="preserve"> </w:t>
            </w:r>
            <w:r>
              <w:rPr>
                <w:rFonts w:ascii="宋体" w:hAnsi="宋体" w:eastAsia="宋体" w:cs="宋体"/>
                <w:sz w:val="20"/>
                <w:szCs w:val="20"/>
              </w:rPr>
              <w:t>、</w:t>
            </w:r>
            <w:r>
              <w:rPr>
                <w:rFonts w:ascii="Times New Roman" w:hAnsi="Times New Roman" w:eastAsia="Times New Roman" w:cs="Times New Roman"/>
                <w:sz w:val="20"/>
                <w:szCs w:val="20"/>
              </w:rPr>
              <w:t>NH</w:t>
            </w:r>
            <w:r>
              <w:rPr>
                <w:rFonts w:ascii="Times New Roman" w:hAnsi="Times New Roman" w:eastAsia="Times New Roman" w:cs="Times New Roman"/>
                <w:position w:val="-1"/>
                <w:sz w:val="13"/>
                <w:szCs w:val="13"/>
              </w:rPr>
              <w:t>3</w:t>
            </w:r>
          </w:p>
        </w:tc>
        <w:tc>
          <w:tcPr>
            <w:tcW w:w="2362" w:type="dxa"/>
            <w:tcBorders>
              <w:right w:val="nil"/>
            </w:tcBorders>
          </w:tcPr>
          <w:p w14:paraId="47F3F2DE">
            <w:pPr>
              <w:spacing w:before="101" w:line="228" w:lineRule="auto"/>
              <w:ind w:left="243"/>
              <w:rPr>
                <w:rFonts w:ascii="宋体" w:hAnsi="宋体" w:eastAsia="宋体" w:cs="宋体"/>
                <w:sz w:val="20"/>
                <w:szCs w:val="20"/>
              </w:rPr>
            </w:pPr>
            <w:r>
              <w:rPr>
                <w:rFonts w:ascii="宋体" w:hAnsi="宋体" w:eastAsia="宋体" w:cs="宋体"/>
                <w:spacing w:val="11"/>
                <w:sz w:val="20"/>
                <w:szCs w:val="20"/>
              </w:rPr>
              <w:t>建</w:t>
            </w:r>
            <w:r>
              <w:rPr>
                <w:rFonts w:ascii="宋体" w:hAnsi="宋体" w:eastAsia="宋体" w:cs="宋体"/>
                <w:spacing w:val="9"/>
                <w:sz w:val="20"/>
                <w:szCs w:val="20"/>
              </w:rPr>
              <w:t>议每季度监测一次</w:t>
            </w:r>
          </w:p>
        </w:tc>
      </w:tr>
      <w:tr w14:paraId="7FD38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700" w:type="dxa"/>
            <w:tcBorders>
              <w:left w:val="nil"/>
            </w:tcBorders>
          </w:tcPr>
          <w:p w14:paraId="7964F6A1">
            <w:pPr>
              <w:spacing w:before="168" w:line="274" w:lineRule="exact"/>
              <w:ind w:left="148"/>
              <w:rPr>
                <w:rFonts w:ascii="宋体" w:hAnsi="宋体" w:eastAsia="宋体" w:cs="宋体"/>
                <w:sz w:val="20"/>
                <w:szCs w:val="20"/>
              </w:rPr>
            </w:pPr>
            <w:r>
              <w:rPr>
                <w:rFonts w:ascii="宋体" w:hAnsi="宋体" w:eastAsia="宋体" w:cs="宋体"/>
                <w:spacing w:val="5"/>
                <w:position w:val="4"/>
                <w:sz w:val="20"/>
                <w:szCs w:val="20"/>
              </w:rPr>
              <w:t>地</w:t>
            </w:r>
            <w:r>
              <w:rPr>
                <w:rFonts w:ascii="宋体" w:hAnsi="宋体" w:eastAsia="宋体" w:cs="宋体"/>
                <w:spacing w:val="4"/>
                <w:position w:val="4"/>
                <w:sz w:val="20"/>
                <w:szCs w:val="20"/>
              </w:rPr>
              <w:t>下</w:t>
            </w:r>
          </w:p>
          <w:p w14:paraId="3156897B">
            <w:pPr>
              <w:spacing w:line="227" w:lineRule="auto"/>
              <w:ind w:left="256"/>
              <w:rPr>
                <w:rFonts w:ascii="宋体" w:hAnsi="宋体" w:eastAsia="宋体" w:cs="宋体"/>
                <w:sz w:val="20"/>
                <w:szCs w:val="20"/>
              </w:rPr>
            </w:pPr>
            <w:r>
              <w:rPr>
                <w:rFonts w:ascii="宋体" w:hAnsi="宋体" w:eastAsia="宋体" w:cs="宋体"/>
                <w:sz w:val="20"/>
                <w:szCs w:val="20"/>
              </w:rPr>
              <w:t>水</w:t>
            </w:r>
          </w:p>
        </w:tc>
        <w:tc>
          <w:tcPr>
            <w:tcW w:w="3419" w:type="dxa"/>
          </w:tcPr>
          <w:p w14:paraId="5FE50B6C">
            <w:pPr>
              <w:spacing w:before="34" w:line="228" w:lineRule="auto"/>
              <w:ind w:left="142"/>
              <w:rPr>
                <w:rFonts w:ascii="宋体" w:hAnsi="宋体" w:eastAsia="宋体" w:cs="宋体"/>
                <w:sz w:val="20"/>
                <w:szCs w:val="20"/>
              </w:rPr>
            </w:pPr>
            <w:r>
              <w:rPr>
                <w:rFonts w:ascii="宋体" w:hAnsi="宋体" w:eastAsia="宋体" w:cs="宋体"/>
                <w:spacing w:val="13"/>
                <w:sz w:val="20"/>
                <w:szCs w:val="20"/>
              </w:rPr>
              <w:t>养</w:t>
            </w:r>
            <w:r>
              <w:rPr>
                <w:rFonts w:ascii="宋体" w:hAnsi="宋体" w:eastAsia="宋体" w:cs="宋体"/>
                <w:spacing w:val="9"/>
                <w:sz w:val="20"/>
                <w:szCs w:val="20"/>
              </w:rPr>
              <w:t>殖场东面住户水井做为养殖场地</w:t>
            </w:r>
          </w:p>
          <w:p w14:paraId="70F422F8">
            <w:pPr>
              <w:spacing w:before="24" w:line="228" w:lineRule="auto"/>
              <w:ind w:left="148"/>
              <w:rPr>
                <w:rFonts w:ascii="宋体" w:hAnsi="宋体" w:eastAsia="宋体" w:cs="宋体"/>
                <w:sz w:val="20"/>
                <w:szCs w:val="20"/>
              </w:rPr>
            </w:pPr>
            <w:r>
              <w:rPr>
                <w:rFonts w:ascii="宋体" w:hAnsi="宋体" w:eastAsia="宋体" w:cs="宋体"/>
                <w:spacing w:val="9"/>
                <w:sz w:val="20"/>
                <w:szCs w:val="20"/>
              </w:rPr>
              <w:t>下水观测井、在配套农田上游和</w:t>
            </w:r>
            <w:r>
              <w:rPr>
                <w:rFonts w:ascii="宋体" w:hAnsi="宋体" w:eastAsia="宋体" w:cs="宋体"/>
                <w:spacing w:val="8"/>
                <w:sz w:val="20"/>
                <w:szCs w:val="20"/>
              </w:rPr>
              <w:t>下</w:t>
            </w:r>
          </w:p>
          <w:p w14:paraId="60EE8425">
            <w:pPr>
              <w:spacing w:before="25" w:line="224" w:lineRule="auto"/>
              <w:ind w:left="456"/>
              <w:rPr>
                <w:rFonts w:ascii="宋体" w:hAnsi="宋体" w:eastAsia="宋体" w:cs="宋体"/>
                <w:sz w:val="20"/>
                <w:szCs w:val="20"/>
              </w:rPr>
            </w:pPr>
            <w:r>
              <w:rPr>
                <w:rFonts w:ascii="宋体" w:hAnsi="宋体" w:eastAsia="宋体" w:cs="宋体"/>
                <w:spacing w:val="7"/>
                <w:sz w:val="20"/>
                <w:szCs w:val="20"/>
              </w:rPr>
              <w:t>游</w:t>
            </w:r>
            <w:r>
              <w:rPr>
                <w:rFonts w:ascii="宋体" w:hAnsi="宋体" w:eastAsia="宋体" w:cs="宋体"/>
                <w:spacing w:val="4"/>
                <w:sz w:val="20"/>
                <w:szCs w:val="20"/>
              </w:rPr>
              <w:t xml:space="preserve">各设置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口地下水观测井</w:t>
            </w:r>
          </w:p>
        </w:tc>
        <w:tc>
          <w:tcPr>
            <w:tcW w:w="3230" w:type="dxa"/>
          </w:tcPr>
          <w:p w14:paraId="3950699E">
            <w:pPr>
              <w:spacing w:before="34" w:line="221" w:lineRule="auto"/>
              <w:ind w:left="119"/>
              <w:rPr>
                <w:rFonts w:ascii="宋体" w:hAnsi="宋体" w:eastAsia="宋体" w:cs="宋体"/>
                <w:sz w:val="20"/>
                <w:szCs w:val="20"/>
              </w:rPr>
            </w:pPr>
            <w:r>
              <w:rPr>
                <w:rFonts w:ascii="Times New Roman" w:hAnsi="Times New Roman" w:eastAsia="Times New Roman" w:cs="Times New Roman"/>
                <w:sz w:val="20"/>
                <w:szCs w:val="20"/>
              </w:rPr>
              <w:t>pH</w:t>
            </w:r>
            <w:r>
              <w:rPr>
                <w:rFonts w:ascii="Times New Roman" w:hAnsi="Times New Roman" w:eastAsia="Times New Roman" w:cs="Times New Roman"/>
                <w:spacing w:val="12"/>
                <w:sz w:val="20"/>
                <w:szCs w:val="20"/>
              </w:rPr>
              <w:t xml:space="preserve"> </w:t>
            </w:r>
            <w:r>
              <w:rPr>
                <w:rFonts w:ascii="宋体" w:hAnsi="宋体" w:eastAsia="宋体" w:cs="宋体"/>
                <w:spacing w:val="8"/>
                <w:sz w:val="20"/>
                <w:szCs w:val="20"/>
              </w:rPr>
              <w:t>、</w:t>
            </w:r>
            <w:r>
              <w:rPr>
                <w:rFonts w:ascii="宋体" w:hAnsi="宋体" w:eastAsia="宋体" w:cs="宋体"/>
                <w:spacing w:val="6"/>
                <w:sz w:val="20"/>
                <w:szCs w:val="20"/>
              </w:rPr>
              <w:t>氨氮、总硬度、硝酸盐、亚</w:t>
            </w:r>
          </w:p>
          <w:p w14:paraId="5CF094A2">
            <w:pPr>
              <w:spacing w:before="32" w:line="237" w:lineRule="auto"/>
              <w:ind w:left="465" w:right="177" w:hanging="312"/>
              <w:rPr>
                <w:rFonts w:ascii="宋体" w:hAnsi="宋体" w:eastAsia="宋体" w:cs="宋体"/>
                <w:sz w:val="20"/>
                <w:szCs w:val="20"/>
              </w:rPr>
            </w:pPr>
            <w:r>
              <w:rPr>
                <w:rFonts w:ascii="宋体" w:hAnsi="宋体" w:eastAsia="宋体" w:cs="宋体"/>
                <w:spacing w:val="12"/>
                <w:sz w:val="20"/>
                <w:szCs w:val="20"/>
              </w:rPr>
              <w:t>硝</w:t>
            </w:r>
            <w:r>
              <w:rPr>
                <w:rFonts w:ascii="宋体" w:hAnsi="宋体" w:eastAsia="宋体" w:cs="宋体"/>
                <w:spacing w:val="9"/>
                <w:sz w:val="20"/>
                <w:szCs w:val="20"/>
              </w:rPr>
              <w:t>酸</w:t>
            </w:r>
            <w:r>
              <w:rPr>
                <w:rFonts w:ascii="宋体" w:hAnsi="宋体" w:eastAsia="宋体" w:cs="宋体"/>
                <w:spacing w:val="6"/>
                <w:sz w:val="20"/>
                <w:szCs w:val="20"/>
              </w:rPr>
              <w:t>盐、总大肠菌群及镉、砷、</w:t>
            </w:r>
            <w:r>
              <w:rPr>
                <w:rFonts w:ascii="宋体" w:hAnsi="宋体" w:eastAsia="宋体" w:cs="宋体"/>
                <w:sz w:val="20"/>
                <w:szCs w:val="20"/>
              </w:rPr>
              <w:t xml:space="preserve"> </w:t>
            </w:r>
            <w:r>
              <w:rPr>
                <w:rFonts w:ascii="宋体" w:hAnsi="宋体" w:eastAsia="宋体" w:cs="宋体"/>
                <w:spacing w:val="10"/>
                <w:sz w:val="20"/>
                <w:szCs w:val="20"/>
              </w:rPr>
              <w:t>铅</w:t>
            </w:r>
            <w:r>
              <w:rPr>
                <w:rFonts w:ascii="宋体" w:hAnsi="宋体" w:eastAsia="宋体" w:cs="宋体"/>
                <w:spacing w:val="9"/>
                <w:sz w:val="20"/>
                <w:szCs w:val="20"/>
              </w:rPr>
              <w:t>、汞、铜、锌等重金属</w:t>
            </w:r>
          </w:p>
        </w:tc>
        <w:tc>
          <w:tcPr>
            <w:tcW w:w="2362" w:type="dxa"/>
            <w:tcBorders>
              <w:right w:val="nil"/>
            </w:tcBorders>
          </w:tcPr>
          <w:p w14:paraId="1482FA93">
            <w:pPr>
              <w:spacing w:before="305" w:line="228" w:lineRule="auto"/>
              <w:ind w:left="243"/>
              <w:rPr>
                <w:rFonts w:ascii="宋体" w:hAnsi="宋体" w:eastAsia="宋体" w:cs="宋体"/>
                <w:sz w:val="20"/>
                <w:szCs w:val="20"/>
              </w:rPr>
            </w:pPr>
            <w:r>
              <w:rPr>
                <w:rFonts w:ascii="宋体" w:hAnsi="宋体" w:eastAsia="宋体" w:cs="宋体"/>
                <w:spacing w:val="11"/>
                <w:sz w:val="20"/>
                <w:szCs w:val="20"/>
              </w:rPr>
              <w:t>建</w:t>
            </w:r>
            <w:r>
              <w:rPr>
                <w:rFonts w:ascii="宋体" w:hAnsi="宋体" w:eastAsia="宋体" w:cs="宋体"/>
                <w:spacing w:val="9"/>
                <w:sz w:val="20"/>
                <w:szCs w:val="20"/>
              </w:rPr>
              <w:t>议每季度监测一次</w:t>
            </w:r>
          </w:p>
        </w:tc>
      </w:tr>
      <w:tr w14:paraId="379E1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700" w:type="dxa"/>
            <w:tcBorders>
              <w:left w:val="nil"/>
            </w:tcBorders>
          </w:tcPr>
          <w:p w14:paraId="70D090EB">
            <w:pPr>
              <w:spacing w:before="105" w:line="228" w:lineRule="auto"/>
              <w:ind w:left="157"/>
              <w:rPr>
                <w:rFonts w:ascii="宋体" w:hAnsi="宋体" w:eastAsia="宋体" w:cs="宋体"/>
                <w:sz w:val="20"/>
                <w:szCs w:val="20"/>
              </w:rPr>
            </w:pPr>
            <w:r>
              <w:rPr>
                <w:rFonts w:ascii="宋体" w:hAnsi="宋体" w:eastAsia="宋体" w:cs="宋体"/>
                <w:spacing w:val="-1"/>
                <w:sz w:val="20"/>
                <w:szCs w:val="20"/>
              </w:rPr>
              <w:t>噪</w:t>
            </w:r>
            <w:r>
              <w:rPr>
                <w:rFonts w:ascii="宋体" w:hAnsi="宋体" w:eastAsia="宋体" w:cs="宋体"/>
                <w:sz w:val="20"/>
                <w:szCs w:val="20"/>
              </w:rPr>
              <w:t>声</w:t>
            </w:r>
          </w:p>
        </w:tc>
        <w:tc>
          <w:tcPr>
            <w:tcW w:w="3419" w:type="dxa"/>
          </w:tcPr>
          <w:p w14:paraId="0C547658">
            <w:pPr>
              <w:spacing w:before="105" w:line="228" w:lineRule="auto"/>
              <w:ind w:left="1049"/>
              <w:rPr>
                <w:rFonts w:ascii="Times New Roman" w:hAnsi="Times New Roman" w:eastAsia="Times New Roman" w:cs="Times New Roman"/>
                <w:sz w:val="20"/>
                <w:szCs w:val="20"/>
              </w:rPr>
            </w:pPr>
            <w:r>
              <w:rPr>
                <w:rFonts w:ascii="宋体" w:hAnsi="宋体" w:eastAsia="宋体" w:cs="宋体"/>
                <w:spacing w:val="-2"/>
                <w:sz w:val="20"/>
                <w:szCs w:val="20"/>
              </w:rPr>
              <w:t>四周场界</w:t>
            </w:r>
            <w:r>
              <w:rPr>
                <w:rFonts w:ascii="宋体" w:hAnsi="宋体" w:eastAsia="宋体" w:cs="宋体"/>
                <w:spacing w:val="-1"/>
                <w:sz w:val="20"/>
                <w:szCs w:val="20"/>
              </w:rPr>
              <w:t xml:space="preserve">外 </w:t>
            </w:r>
            <w:r>
              <w:rPr>
                <w:rFonts w:ascii="Times New Roman" w:hAnsi="Times New Roman" w:eastAsia="Times New Roman" w:cs="Times New Roman"/>
                <w:spacing w:val="-1"/>
                <w:sz w:val="20"/>
                <w:szCs w:val="20"/>
              </w:rPr>
              <w:t>1m</w:t>
            </w:r>
          </w:p>
        </w:tc>
        <w:tc>
          <w:tcPr>
            <w:tcW w:w="3230" w:type="dxa"/>
          </w:tcPr>
          <w:p w14:paraId="1F4CC1E5">
            <w:pPr>
              <w:spacing w:before="104" w:line="228" w:lineRule="auto"/>
              <w:ind w:left="1316"/>
              <w:rPr>
                <w:rFonts w:ascii="宋体" w:hAnsi="宋体" w:eastAsia="宋体" w:cs="宋体"/>
                <w:sz w:val="20"/>
                <w:szCs w:val="20"/>
              </w:rPr>
            </w:pPr>
            <w:r>
              <w:rPr>
                <w:rFonts w:ascii="宋体" w:hAnsi="宋体" w:eastAsia="宋体" w:cs="宋体"/>
                <w:spacing w:val="5"/>
                <w:sz w:val="20"/>
                <w:szCs w:val="20"/>
              </w:rPr>
              <w:t>噪</w:t>
            </w:r>
            <w:r>
              <w:rPr>
                <w:rFonts w:ascii="宋体" w:hAnsi="宋体" w:eastAsia="宋体" w:cs="宋体"/>
                <w:spacing w:val="3"/>
                <w:sz w:val="20"/>
                <w:szCs w:val="20"/>
              </w:rPr>
              <w:t>声值</w:t>
            </w:r>
          </w:p>
        </w:tc>
        <w:tc>
          <w:tcPr>
            <w:tcW w:w="2362" w:type="dxa"/>
            <w:tcBorders>
              <w:right w:val="nil"/>
            </w:tcBorders>
          </w:tcPr>
          <w:p w14:paraId="5EB7434F">
            <w:pPr>
              <w:spacing w:before="104" w:line="228" w:lineRule="auto"/>
              <w:ind w:left="243"/>
              <w:rPr>
                <w:rFonts w:ascii="宋体" w:hAnsi="宋体" w:eastAsia="宋体" w:cs="宋体"/>
                <w:sz w:val="20"/>
                <w:szCs w:val="20"/>
              </w:rPr>
            </w:pPr>
            <w:r>
              <w:rPr>
                <w:rFonts w:ascii="宋体" w:hAnsi="宋体" w:eastAsia="宋体" w:cs="宋体"/>
                <w:spacing w:val="11"/>
                <w:sz w:val="20"/>
                <w:szCs w:val="20"/>
              </w:rPr>
              <w:t>建</w:t>
            </w:r>
            <w:r>
              <w:rPr>
                <w:rFonts w:ascii="宋体" w:hAnsi="宋体" w:eastAsia="宋体" w:cs="宋体"/>
                <w:spacing w:val="9"/>
                <w:sz w:val="20"/>
                <w:szCs w:val="20"/>
              </w:rPr>
              <w:t>议每半年监测一次</w:t>
            </w:r>
          </w:p>
        </w:tc>
      </w:tr>
      <w:tr w14:paraId="584C47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00" w:type="dxa"/>
            <w:tcBorders>
              <w:left w:val="nil"/>
            </w:tcBorders>
          </w:tcPr>
          <w:p w14:paraId="468DF40B">
            <w:pPr>
              <w:spacing w:before="172" w:line="229" w:lineRule="auto"/>
              <w:ind w:left="148"/>
              <w:rPr>
                <w:rFonts w:ascii="宋体" w:hAnsi="宋体" w:eastAsia="宋体" w:cs="宋体"/>
                <w:sz w:val="20"/>
                <w:szCs w:val="20"/>
              </w:rPr>
            </w:pPr>
            <w:r>
              <w:rPr>
                <w:rFonts w:ascii="宋体" w:hAnsi="宋体" w:eastAsia="宋体" w:cs="宋体"/>
                <w:spacing w:val="4"/>
                <w:sz w:val="20"/>
                <w:szCs w:val="20"/>
              </w:rPr>
              <w:t>土壤</w:t>
            </w:r>
          </w:p>
        </w:tc>
        <w:tc>
          <w:tcPr>
            <w:tcW w:w="3419" w:type="dxa"/>
          </w:tcPr>
          <w:p w14:paraId="4ED826FB">
            <w:pPr>
              <w:spacing w:before="172" w:line="227" w:lineRule="auto"/>
              <w:ind w:left="562"/>
              <w:rPr>
                <w:rFonts w:ascii="宋体" w:hAnsi="宋体" w:eastAsia="宋体" w:cs="宋体"/>
                <w:sz w:val="20"/>
                <w:szCs w:val="20"/>
              </w:rPr>
            </w:pPr>
            <w:r>
              <w:rPr>
                <w:rFonts w:ascii="宋体" w:hAnsi="宋体" w:eastAsia="宋体" w:cs="宋体"/>
                <w:spacing w:val="9"/>
                <w:sz w:val="20"/>
                <w:szCs w:val="20"/>
              </w:rPr>
              <w:t>养殖场内以及废水施肥区</w:t>
            </w:r>
          </w:p>
        </w:tc>
        <w:tc>
          <w:tcPr>
            <w:tcW w:w="3230" w:type="dxa"/>
          </w:tcPr>
          <w:p w14:paraId="555C54FB">
            <w:pPr>
              <w:spacing w:before="35" w:line="248" w:lineRule="auto"/>
              <w:ind w:left="254" w:right="153" w:hanging="135"/>
              <w:rPr>
                <w:rFonts w:ascii="宋体" w:hAnsi="宋体" w:eastAsia="宋体" w:cs="宋体"/>
                <w:sz w:val="20"/>
                <w:szCs w:val="20"/>
              </w:rPr>
            </w:pPr>
            <w:r>
              <w:rPr>
                <w:rFonts w:ascii="Times New Roman" w:hAnsi="Times New Roman" w:eastAsia="Times New Roman" w:cs="Times New Roman"/>
                <w:sz w:val="20"/>
                <w:szCs w:val="20"/>
              </w:rPr>
              <w:t>pH</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、铜、砷、锌等重金属及氮、</w:t>
            </w:r>
            <w:r>
              <w:rPr>
                <w:rFonts w:ascii="宋体" w:hAnsi="宋体" w:eastAsia="宋体" w:cs="宋体"/>
                <w:sz w:val="20"/>
                <w:szCs w:val="20"/>
              </w:rPr>
              <w:t xml:space="preserve"> </w:t>
            </w:r>
            <w:r>
              <w:rPr>
                <w:rFonts w:ascii="宋体" w:hAnsi="宋体" w:eastAsia="宋体" w:cs="宋体"/>
                <w:spacing w:val="12"/>
                <w:sz w:val="20"/>
                <w:szCs w:val="20"/>
              </w:rPr>
              <w:t>磷</w:t>
            </w:r>
            <w:r>
              <w:rPr>
                <w:rFonts w:ascii="宋体" w:hAnsi="宋体" w:eastAsia="宋体" w:cs="宋体"/>
                <w:spacing w:val="9"/>
                <w:sz w:val="20"/>
                <w:szCs w:val="20"/>
              </w:rPr>
              <w:t>、钾等土壤养分的跟踪监测</w:t>
            </w:r>
          </w:p>
        </w:tc>
        <w:tc>
          <w:tcPr>
            <w:tcW w:w="2362" w:type="dxa"/>
            <w:tcBorders>
              <w:right w:val="nil"/>
            </w:tcBorders>
          </w:tcPr>
          <w:p w14:paraId="52350D4E">
            <w:pPr>
              <w:spacing w:before="171" w:line="228" w:lineRule="auto"/>
              <w:ind w:left="243"/>
              <w:rPr>
                <w:rFonts w:ascii="宋体" w:hAnsi="宋体" w:eastAsia="宋体" w:cs="宋体"/>
                <w:sz w:val="20"/>
                <w:szCs w:val="20"/>
              </w:rPr>
            </w:pPr>
            <w:r>
              <w:rPr>
                <w:rFonts w:ascii="宋体" w:hAnsi="宋体" w:eastAsia="宋体" w:cs="宋体"/>
                <w:spacing w:val="11"/>
                <w:sz w:val="20"/>
                <w:szCs w:val="20"/>
              </w:rPr>
              <w:t>建</w:t>
            </w:r>
            <w:r>
              <w:rPr>
                <w:rFonts w:ascii="宋体" w:hAnsi="宋体" w:eastAsia="宋体" w:cs="宋体"/>
                <w:spacing w:val="9"/>
                <w:sz w:val="20"/>
                <w:szCs w:val="20"/>
              </w:rPr>
              <w:t>议每半年监测一次</w:t>
            </w:r>
          </w:p>
        </w:tc>
      </w:tr>
    </w:tbl>
    <w:p w14:paraId="0157FFE9">
      <w:pPr>
        <w:spacing w:before="35" w:line="227" w:lineRule="auto"/>
        <w:ind w:left="600"/>
        <w:rPr>
          <w:rFonts w:ascii="宋体" w:hAnsi="宋体" w:eastAsia="宋体" w:cs="宋体"/>
          <w:sz w:val="23"/>
          <w:szCs w:val="23"/>
        </w:rPr>
      </w:pPr>
      <w:r>
        <w:rPr>
          <w:rFonts w:ascii="宋体" w:hAnsi="宋体" w:eastAsia="宋体" w:cs="宋体"/>
          <w:spacing w:val="7"/>
          <w:sz w:val="23"/>
          <w:szCs w:val="23"/>
        </w:rPr>
        <w:t>上述监测任务也可委托当地有资质的单位进行监测。监测结果和污染防治措施运行情</w:t>
      </w:r>
      <w:r>
        <w:rPr>
          <w:rFonts w:ascii="宋体" w:hAnsi="宋体" w:eastAsia="宋体" w:cs="宋体"/>
          <w:spacing w:val="4"/>
          <w:sz w:val="23"/>
          <w:szCs w:val="23"/>
        </w:rPr>
        <w:t>况</w:t>
      </w:r>
    </w:p>
    <w:p w14:paraId="28014432">
      <w:pPr>
        <w:spacing w:before="185" w:line="375" w:lineRule="auto"/>
        <w:ind w:left="118" w:right="108" w:firstLine="1"/>
        <w:rPr>
          <w:rFonts w:ascii="宋体" w:hAnsi="宋体" w:eastAsia="宋体" w:cs="宋体"/>
          <w:sz w:val="23"/>
          <w:szCs w:val="23"/>
        </w:rPr>
      </w:pPr>
      <w:r>
        <w:rPr>
          <w:rFonts w:ascii="宋体" w:hAnsi="宋体" w:eastAsia="宋体" w:cs="宋体"/>
          <w:spacing w:val="10"/>
          <w:sz w:val="23"/>
          <w:szCs w:val="23"/>
        </w:rPr>
        <w:t>等</w:t>
      </w:r>
      <w:r>
        <w:rPr>
          <w:rFonts w:ascii="宋体" w:hAnsi="宋体" w:eastAsia="宋体" w:cs="宋体"/>
          <w:spacing w:val="7"/>
          <w:sz w:val="23"/>
          <w:szCs w:val="23"/>
        </w:rPr>
        <w:t>应以报表形式上报乐山市环保局备案。另外，建议建设单位对消纳地范围内的地下水、土</w:t>
      </w:r>
      <w:r>
        <w:rPr>
          <w:rFonts w:ascii="宋体" w:hAnsi="宋体" w:eastAsia="宋体" w:cs="宋体"/>
          <w:sz w:val="23"/>
          <w:szCs w:val="23"/>
        </w:rPr>
        <w:t xml:space="preserve"> </w:t>
      </w:r>
      <w:r>
        <w:rPr>
          <w:rFonts w:ascii="宋体" w:hAnsi="宋体" w:eastAsia="宋体" w:cs="宋体"/>
          <w:spacing w:val="12"/>
          <w:sz w:val="23"/>
          <w:szCs w:val="23"/>
        </w:rPr>
        <w:t>壤</w:t>
      </w:r>
      <w:r>
        <w:rPr>
          <w:rFonts w:ascii="宋体" w:hAnsi="宋体" w:eastAsia="宋体" w:cs="宋体"/>
          <w:spacing w:val="7"/>
          <w:sz w:val="23"/>
          <w:szCs w:val="23"/>
        </w:rPr>
        <w:t>跟踪监测的结果进行统计分析，了解其变化范围及规律，进一步探索处理后废水综合利用</w:t>
      </w:r>
      <w:r>
        <w:rPr>
          <w:rFonts w:ascii="宋体" w:hAnsi="宋体" w:eastAsia="宋体" w:cs="宋体"/>
          <w:sz w:val="23"/>
          <w:szCs w:val="23"/>
        </w:rPr>
        <w:t xml:space="preserve"> </w:t>
      </w:r>
      <w:r>
        <w:rPr>
          <w:rFonts w:ascii="宋体" w:hAnsi="宋体" w:eastAsia="宋体" w:cs="宋体"/>
          <w:spacing w:val="18"/>
          <w:sz w:val="23"/>
          <w:szCs w:val="23"/>
        </w:rPr>
        <w:t>的</w:t>
      </w:r>
      <w:r>
        <w:rPr>
          <w:rFonts w:ascii="宋体" w:hAnsi="宋体" w:eastAsia="宋体" w:cs="宋体"/>
          <w:spacing w:val="13"/>
          <w:sz w:val="23"/>
          <w:szCs w:val="23"/>
        </w:rPr>
        <w:t>合</w:t>
      </w:r>
      <w:r>
        <w:rPr>
          <w:rFonts w:ascii="宋体" w:hAnsi="宋体" w:eastAsia="宋体" w:cs="宋体"/>
          <w:spacing w:val="9"/>
          <w:sz w:val="23"/>
          <w:szCs w:val="23"/>
        </w:rPr>
        <w:t>理方案，以达到长期持续灌溉利用、并能够改善土壤环境质量的目的。</w:t>
      </w:r>
    </w:p>
    <w:p w14:paraId="53A1EEA2">
      <w:pPr>
        <w:spacing w:before="1" w:line="226" w:lineRule="auto"/>
        <w:ind w:left="116"/>
        <w:outlineLvl w:val="2"/>
        <w:rPr>
          <w:rFonts w:ascii="宋体" w:hAnsi="宋体" w:eastAsia="宋体" w:cs="宋体"/>
          <w:sz w:val="23"/>
          <w:szCs w:val="23"/>
        </w:rPr>
      </w:pPr>
      <w:r>
        <w:rPr>
          <w:rFonts w:ascii="Times New Roman" w:hAnsi="Times New Roman" w:eastAsia="Times New Roman" w:cs="Times New Roman"/>
          <w:b/>
          <w:bCs/>
          <w:spacing w:val="8"/>
          <w:sz w:val="23"/>
          <w:szCs w:val="23"/>
        </w:rPr>
        <w:t>9.2.4</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监测数据采集与处理、监测方</w:t>
      </w:r>
      <w:r>
        <w:rPr>
          <w:rFonts w:ascii="宋体" w:hAnsi="宋体" w:eastAsia="宋体" w:cs="宋体"/>
          <w:spacing w:val="7"/>
          <w:sz w:val="23"/>
          <w:szCs w:val="23"/>
          <w14:textOutline w14:w="4356" w14:cap="sq" w14:cmpd="sng" w14:algn="ctr">
            <w14:solidFill>
              <w14:srgbClr w14:val="000000"/>
            </w14:solidFill>
            <w14:prstDash w14:val="solid"/>
            <w14:bevel/>
          </w14:textOutline>
        </w:rPr>
        <w:t>法</w:t>
      </w:r>
    </w:p>
    <w:p w14:paraId="064C923C">
      <w:pPr>
        <w:spacing w:before="181" w:line="375" w:lineRule="auto"/>
        <w:ind w:left="118" w:right="43" w:firstLine="480"/>
        <w:rPr>
          <w:rFonts w:ascii="宋体" w:hAnsi="宋体" w:eastAsia="宋体" w:cs="宋体"/>
          <w:sz w:val="23"/>
          <w:szCs w:val="23"/>
        </w:rPr>
      </w:pPr>
      <w:r>
        <w:rPr>
          <w:rFonts w:ascii="宋体" w:hAnsi="宋体" w:eastAsia="宋体" w:cs="宋体"/>
          <w:spacing w:val="7"/>
          <w:sz w:val="23"/>
          <w:szCs w:val="23"/>
        </w:rPr>
        <w:t>监测数据采集与处理按相关环境监测技术规范执行；监测方法采用国家规定的监测采</w:t>
      </w:r>
      <w:r>
        <w:rPr>
          <w:rFonts w:ascii="宋体" w:hAnsi="宋体" w:eastAsia="宋体" w:cs="宋体"/>
          <w:spacing w:val="5"/>
          <w:sz w:val="23"/>
          <w:szCs w:val="23"/>
        </w:rPr>
        <w:t>样</w:t>
      </w:r>
      <w:r>
        <w:rPr>
          <w:rFonts w:ascii="宋体" w:hAnsi="宋体" w:eastAsia="宋体" w:cs="宋体"/>
          <w:sz w:val="23"/>
          <w:szCs w:val="23"/>
        </w:rPr>
        <w:t xml:space="preserve"> </w:t>
      </w:r>
      <w:r>
        <w:rPr>
          <w:rFonts w:ascii="宋体" w:hAnsi="宋体" w:eastAsia="宋体" w:cs="宋体"/>
          <w:spacing w:val="16"/>
          <w:sz w:val="23"/>
          <w:szCs w:val="23"/>
        </w:rPr>
        <w:t>和分析</w:t>
      </w:r>
      <w:r>
        <w:rPr>
          <w:rFonts w:ascii="宋体" w:hAnsi="宋体" w:eastAsia="宋体" w:cs="宋体"/>
          <w:spacing w:val="14"/>
          <w:sz w:val="23"/>
          <w:szCs w:val="23"/>
        </w:rPr>
        <w:t>化</w:t>
      </w:r>
      <w:r>
        <w:rPr>
          <w:rFonts w:ascii="宋体" w:hAnsi="宋体" w:eastAsia="宋体" w:cs="宋体"/>
          <w:spacing w:val="8"/>
          <w:sz w:val="23"/>
          <w:szCs w:val="23"/>
        </w:rPr>
        <w:t>验方法，评价标准执行本评价经批复的国家标准。废气、环境空气质量数据采集、</w:t>
      </w:r>
      <w:r>
        <w:rPr>
          <w:rFonts w:ascii="宋体" w:hAnsi="宋体" w:eastAsia="宋体" w:cs="宋体"/>
          <w:sz w:val="23"/>
          <w:szCs w:val="23"/>
        </w:rPr>
        <w:t xml:space="preserve"> </w:t>
      </w:r>
      <w:r>
        <w:rPr>
          <w:rFonts w:ascii="宋体" w:hAnsi="宋体" w:eastAsia="宋体" w:cs="宋体"/>
          <w:spacing w:val="10"/>
          <w:sz w:val="23"/>
          <w:szCs w:val="23"/>
        </w:rPr>
        <w:t>处</w:t>
      </w:r>
      <w:r>
        <w:rPr>
          <w:rFonts w:ascii="宋体" w:hAnsi="宋体" w:eastAsia="宋体" w:cs="宋体"/>
          <w:spacing w:val="8"/>
          <w:sz w:val="23"/>
          <w:szCs w:val="23"/>
        </w:rPr>
        <w:t>理</w:t>
      </w:r>
      <w:r>
        <w:rPr>
          <w:rFonts w:ascii="宋体" w:hAnsi="宋体" w:eastAsia="宋体" w:cs="宋体"/>
          <w:spacing w:val="5"/>
          <w:sz w:val="23"/>
          <w:szCs w:val="23"/>
        </w:rPr>
        <w:t>、监测按国家环保总局发布的《环境空气质量标准》  (</w:t>
      </w:r>
      <w:r>
        <w:rPr>
          <w:rFonts w:ascii="Times New Roman" w:hAnsi="Times New Roman" w:eastAsia="Times New Roman" w:cs="Times New Roman"/>
          <w:sz w:val="23"/>
          <w:szCs w:val="23"/>
        </w:rPr>
        <w:t>GB</w:t>
      </w:r>
      <w:r>
        <w:rPr>
          <w:rFonts w:ascii="Times New Roman" w:hAnsi="Times New Roman" w:eastAsia="Times New Roman" w:cs="Times New Roman"/>
          <w:spacing w:val="5"/>
          <w:sz w:val="23"/>
          <w:szCs w:val="23"/>
        </w:rPr>
        <w:t>3095-2012</w:t>
      </w:r>
      <w:r>
        <w:rPr>
          <w:rFonts w:ascii="宋体" w:hAnsi="宋体" w:eastAsia="宋体" w:cs="宋体"/>
          <w:spacing w:val="5"/>
          <w:sz w:val="23"/>
          <w:szCs w:val="23"/>
        </w:rPr>
        <w:t>) 、《空气和废气</w:t>
      </w:r>
      <w:r>
        <w:rPr>
          <w:rFonts w:ascii="宋体" w:hAnsi="宋体" w:eastAsia="宋体" w:cs="宋体"/>
          <w:sz w:val="23"/>
          <w:szCs w:val="23"/>
        </w:rPr>
        <w:t xml:space="preserve"> </w:t>
      </w:r>
      <w:r>
        <w:rPr>
          <w:rFonts w:ascii="宋体" w:hAnsi="宋体" w:eastAsia="宋体" w:cs="宋体"/>
          <w:spacing w:val="12"/>
          <w:sz w:val="23"/>
          <w:szCs w:val="23"/>
        </w:rPr>
        <w:t>监</w:t>
      </w:r>
      <w:r>
        <w:rPr>
          <w:rFonts w:ascii="宋体" w:hAnsi="宋体" w:eastAsia="宋体" w:cs="宋体"/>
          <w:spacing w:val="7"/>
          <w:sz w:val="23"/>
          <w:szCs w:val="23"/>
        </w:rPr>
        <w:t>测分析方法》进行；废水、地表水及地下水环境数据采集、处理、监测按国家环保总局发</w:t>
      </w:r>
      <w:r>
        <w:rPr>
          <w:rFonts w:ascii="宋体" w:hAnsi="宋体" w:eastAsia="宋体" w:cs="宋体"/>
          <w:sz w:val="23"/>
          <w:szCs w:val="23"/>
        </w:rPr>
        <w:t xml:space="preserve"> </w:t>
      </w:r>
      <w:r>
        <w:rPr>
          <w:rFonts w:ascii="宋体" w:hAnsi="宋体" w:eastAsia="宋体" w:cs="宋体"/>
          <w:spacing w:val="6"/>
          <w:sz w:val="23"/>
          <w:szCs w:val="23"/>
        </w:rPr>
        <w:t>布</w:t>
      </w:r>
      <w:r>
        <w:rPr>
          <w:rFonts w:ascii="宋体" w:hAnsi="宋体" w:eastAsia="宋体" w:cs="宋体"/>
          <w:spacing w:val="3"/>
          <w:sz w:val="23"/>
          <w:szCs w:val="23"/>
        </w:rPr>
        <w:t>的《地表水环境质量标准》  (</w:t>
      </w:r>
      <w:r>
        <w:rPr>
          <w:rFonts w:ascii="Times New Roman" w:hAnsi="Times New Roman" w:eastAsia="Times New Roman" w:cs="Times New Roman"/>
          <w:sz w:val="23"/>
          <w:szCs w:val="23"/>
        </w:rPr>
        <w:t>GB</w:t>
      </w:r>
      <w:r>
        <w:rPr>
          <w:rFonts w:ascii="Times New Roman" w:hAnsi="Times New Roman" w:eastAsia="Times New Roman" w:cs="Times New Roman"/>
          <w:spacing w:val="3"/>
          <w:sz w:val="23"/>
          <w:szCs w:val="23"/>
        </w:rPr>
        <w:t>3838-2002</w:t>
      </w:r>
      <w:r>
        <w:rPr>
          <w:rFonts w:ascii="宋体" w:hAnsi="宋体" w:eastAsia="宋体" w:cs="宋体"/>
          <w:spacing w:val="3"/>
          <w:sz w:val="23"/>
          <w:szCs w:val="23"/>
        </w:rPr>
        <w:t>) 、《地下水质量标准》  (</w:t>
      </w:r>
      <w:r>
        <w:rPr>
          <w:rFonts w:ascii="Times New Roman" w:hAnsi="Times New Roman" w:eastAsia="Times New Roman" w:cs="Times New Roman"/>
          <w:sz w:val="23"/>
          <w:szCs w:val="23"/>
        </w:rPr>
        <w:t>GB</w:t>
      </w:r>
      <w:r>
        <w:rPr>
          <w:rFonts w:ascii="Times New Roman" w:hAnsi="Times New Roman" w:eastAsia="Times New Roman" w:cs="Times New Roman"/>
          <w:spacing w:val="3"/>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3"/>
          <w:sz w:val="23"/>
          <w:szCs w:val="23"/>
        </w:rPr>
        <w:t>14848-93</w:t>
      </w:r>
      <w:r>
        <w:rPr>
          <w:rFonts w:ascii="宋体" w:hAnsi="宋体" w:eastAsia="宋体" w:cs="宋体"/>
          <w:spacing w:val="3"/>
          <w:sz w:val="23"/>
          <w:szCs w:val="23"/>
        </w:rPr>
        <w:t>) 、</w:t>
      </w:r>
      <w:r>
        <w:rPr>
          <w:rFonts w:ascii="宋体" w:hAnsi="宋体" w:eastAsia="宋体" w:cs="宋体"/>
          <w:sz w:val="23"/>
          <w:szCs w:val="23"/>
        </w:rPr>
        <w:t xml:space="preserve"> </w:t>
      </w:r>
      <w:r>
        <w:rPr>
          <w:rFonts w:ascii="宋体" w:hAnsi="宋体" w:eastAsia="宋体" w:cs="宋体"/>
          <w:spacing w:val="10"/>
          <w:sz w:val="23"/>
          <w:szCs w:val="23"/>
        </w:rPr>
        <w:t>《水和废水监</w:t>
      </w:r>
      <w:r>
        <w:rPr>
          <w:rFonts w:ascii="宋体" w:hAnsi="宋体" w:eastAsia="宋体" w:cs="宋体"/>
          <w:spacing w:val="7"/>
          <w:sz w:val="23"/>
          <w:szCs w:val="23"/>
        </w:rPr>
        <w:t>测</w:t>
      </w:r>
      <w:r>
        <w:rPr>
          <w:rFonts w:ascii="宋体" w:hAnsi="宋体" w:eastAsia="宋体" w:cs="宋体"/>
          <w:spacing w:val="5"/>
          <w:sz w:val="23"/>
          <w:szCs w:val="23"/>
        </w:rPr>
        <w:t>分析方法》进行；噪声监测按《声环境质量标准》  (</w:t>
      </w:r>
      <w:r>
        <w:rPr>
          <w:rFonts w:ascii="Times New Roman" w:hAnsi="Times New Roman" w:eastAsia="Times New Roman" w:cs="Times New Roman"/>
          <w:sz w:val="23"/>
          <w:szCs w:val="23"/>
        </w:rPr>
        <w:t>GB</w:t>
      </w:r>
      <w:r>
        <w:rPr>
          <w:rFonts w:ascii="Times New Roman" w:hAnsi="Times New Roman" w:eastAsia="Times New Roman" w:cs="Times New Roman"/>
          <w:spacing w:val="5"/>
          <w:sz w:val="23"/>
          <w:szCs w:val="23"/>
        </w:rPr>
        <w:t>3096-2008</w:t>
      </w:r>
      <w:r>
        <w:rPr>
          <w:rFonts w:ascii="宋体" w:hAnsi="宋体" w:eastAsia="宋体" w:cs="宋体"/>
          <w:spacing w:val="5"/>
          <w:sz w:val="23"/>
          <w:szCs w:val="23"/>
        </w:rPr>
        <w:t>) 进行。</w:t>
      </w:r>
    </w:p>
    <w:p w14:paraId="4292CDA1">
      <w:pPr>
        <w:spacing w:line="227" w:lineRule="auto"/>
        <w:ind w:left="116"/>
        <w:outlineLvl w:val="2"/>
        <w:rPr>
          <w:rFonts w:ascii="宋体" w:hAnsi="宋体" w:eastAsia="宋体" w:cs="宋体"/>
          <w:sz w:val="23"/>
          <w:szCs w:val="23"/>
        </w:rPr>
      </w:pPr>
      <w:r>
        <w:rPr>
          <w:rFonts w:ascii="Times New Roman" w:hAnsi="Times New Roman" w:eastAsia="Times New Roman" w:cs="Times New Roman"/>
          <w:b/>
          <w:bCs/>
          <w:spacing w:val="7"/>
          <w:sz w:val="23"/>
          <w:szCs w:val="23"/>
        </w:rPr>
        <w:t>9.2.5</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监测工作保障措</w:t>
      </w:r>
      <w:r>
        <w:rPr>
          <w:rFonts w:ascii="宋体" w:hAnsi="宋体" w:eastAsia="宋体" w:cs="宋体"/>
          <w:spacing w:val="4"/>
          <w:sz w:val="23"/>
          <w:szCs w:val="23"/>
          <w14:textOutline w14:w="4356" w14:cap="sq" w14:cmpd="sng" w14:algn="ctr">
            <w14:solidFill>
              <w14:srgbClr w14:val="000000"/>
            </w14:solidFill>
            <w14:prstDash w14:val="solid"/>
            <w14:bevel/>
          </w14:textOutline>
        </w:rPr>
        <w:t>施</w:t>
      </w:r>
    </w:p>
    <w:p w14:paraId="14E77E6B">
      <w:pPr>
        <w:spacing w:before="185" w:line="228" w:lineRule="auto"/>
        <w:ind w:left="609"/>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6"/>
          <w:sz w:val="23"/>
          <w:szCs w:val="23"/>
        </w:rPr>
        <w:t>1</w:t>
      </w:r>
      <w:r>
        <w:rPr>
          <w:rFonts w:ascii="宋体" w:hAnsi="宋体" w:eastAsia="宋体" w:cs="宋体"/>
          <w:spacing w:val="16"/>
          <w:sz w:val="23"/>
          <w:szCs w:val="23"/>
        </w:rPr>
        <w:t>) 组织领导实施：</w:t>
      </w:r>
    </w:p>
    <w:p w14:paraId="0FE99C0D">
      <w:pPr>
        <w:spacing w:before="184" w:line="382" w:lineRule="auto"/>
        <w:ind w:left="120" w:right="108" w:firstLine="480"/>
        <w:rPr>
          <w:rFonts w:ascii="宋体" w:hAnsi="宋体" w:eastAsia="宋体" w:cs="宋体"/>
          <w:sz w:val="23"/>
          <w:szCs w:val="23"/>
        </w:rPr>
      </w:pPr>
      <w:r>
        <w:rPr>
          <w:rFonts w:ascii="宋体" w:hAnsi="宋体" w:eastAsia="宋体" w:cs="宋体"/>
          <w:spacing w:val="7"/>
          <w:sz w:val="23"/>
          <w:szCs w:val="23"/>
        </w:rPr>
        <w:t>建设单位可根据监测计划委托有环境监测资质的单位进行环境监测工作，监测单位负</w:t>
      </w:r>
      <w:r>
        <w:rPr>
          <w:rFonts w:ascii="宋体" w:hAnsi="宋体" w:eastAsia="宋体" w:cs="宋体"/>
          <w:spacing w:val="3"/>
          <w:sz w:val="23"/>
          <w:szCs w:val="23"/>
        </w:rPr>
        <w:t>责</w:t>
      </w:r>
      <w:r>
        <w:rPr>
          <w:rFonts w:ascii="宋体" w:hAnsi="宋体" w:eastAsia="宋体" w:cs="宋体"/>
          <w:sz w:val="23"/>
          <w:szCs w:val="23"/>
        </w:rPr>
        <w:t xml:space="preserve"> </w:t>
      </w:r>
      <w:r>
        <w:rPr>
          <w:rFonts w:ascii="宋体" w:hAnsi="宋体" w:eastAsia="宋体" w:cs="宋体"/>
          <w:spacing w:val="18"/>
          <w:sz w:val="23"/>
          <w:szCs w:val="23"/>
        </w:rPr>
        <w:t>完</w:t>
      </w:r>
      <w:r>
        <w:rPr>
          <w:rFonts w:ascii="宋体" w:hAnsi="宋体" w:eastAsia="宋体" w:cs="宋体"/>
          <w:spacing w:val="9"/>
          <w:sz w:val="23"/>
          <w:szCs w:val="23"/>
        </w:rPr>
        <w:t>成建设单位委托的监测，确保环境监测工作能按监测计划顺利完成。</w:t>
      </w:r>
    </w:p>
    <w:p w14:paraId="101455A6">
      <w:pPr>
        <w:sectPr>
          <w:headerReference r:id="rId325" w:type="default"/>
          <w:footerReference r:id="rId326" w:type="default"/>
          <w:pgSz w:w="11906" w:h="16839"/>
          <w:pgMar w:top="1118" w:right="1025" w:bottom="1157" w:left="1168" w:header="878" w:footer="994" w:gutter="0"/>
          <w:cols w:space="720" w:num="1"/>
        </w:sectPr>
      </w:pPr>
    </w:p>
    <w:p w14:paraId="77267A3F">
      <w:pPr>
        <w:spacing w:before="193" w:line="227" w:lineRule="auto"/>
        <w:ind w:left="609"/>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6"/>
          <w:sz w:val="23"/>
          <w:szCs w:val="23"/>
        </w:rPr>
        <w:t>2</w:t>
      </w:r>
      <w:r>
        <w:rPr>
          <w:rFonts w:ascii="宋体" w:hAnsi="宋体" w:eastAsia="宋体" w:cs="宋体"/>
          <w:spacing w:val="16"/>
          <w:sz w:val="23"/>
          <w:szCs w:val="23"/>
        </w:rPr>
        <w:t>) 技术保证措施：</w:t>
      </w:r>
    </w:p>
    <w:p w14:paraId="1A2CC4E4">
      <w:pPr>
        <w:spacing w:before="182" w:line="228" w:lineRule="auto"/>
        <w:ind w:left="601"/>
        <w:rPr>
          <w:rFonts w:ascii="宋体" w:hAnsi="宋体" w:eastAsia="宋体" w:cs="宋体"/>
          <w:sz w:val="23"/>
          <w:szCs w:val="23"/>
        </w:rPr>
      </w:pPr>
      <w:r>
        <w:rPr>
          <w:rFonts w:ascii="宋体" w:hAnsi="宋体" w:eastAsia="宋体" w:cs="宋体"/>
          <w:spacing w:val="16"/>
          <w:sz w:val="23"/>
          <w:szCs w:val="23"/>
        </w:rPr>
        <w:t>为</w:t>
      </w:r>
      <w:r>
        <w:rPr>
          <w:rFonts w:ascii="宋体" w:hAnsi="宋体" w:eastAsia="宋体" w:cs="宋体"/>
          <w:spacing w:val="9"/>
          <w:sz w:val="23"/>
          <w:szCs w:val="23"/>
        </w:rPr>
        <w:t>了确保监测质量，监测人员必须持有相应的资格证书或上岗证书。</w:t>
      </w:r>
    </w:p>
    <w:p w14:paraId="428A1800">
      <w:pPr>
        <w:spacing w:before="183" w:line="228" w:lineRule="auto"/>
        <w:ind w:left="609"/>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6"/>
          <w:sz w:val="23"/>
          <w:szCs w:val="23"/>
        </w:rPr>
        <w:t>3</w:t>
      </w:r>
      <w:r>
        <w:rPr>
          <w:rFonts w:ascii="宋体" w:hAnsi="宋体" w:eastAsia="宋体" w:cs="宋体"/>
          <w:spacing w:val="16"/>
          <w:sz w:val="23"/>
          <w:szCs w:val="23"/>
        </w:rPr>
        <w:t>) 资金保证措施：</w:t>
      </w:r>
    </w:p>
    <w:p w14:paraId="46C7822E">
      <w:pPr>
        <w:spacing w:before="181" w:line="227" w:lineRule="auto"/>
        <w:ind w:left="602"/>
        <w:rPr>
          <w:rFonts w:ascii="宋体" w:hAnsi="宋体" w:eastAsia="宋体" w:cs="宋体"/>
          <w:sz w:val="23"/>
          <w:szCs w:val="23"/>
        </w:rPr>
      </w:pPr>
      <w:r>
        <w:rPr>
          <w:rFonts w:ascii="宋体" w:hAnsi="宋体" w:eastAsia="宋体" w:cs="宋体"/>
          <w:spacing w:val="3"/>
          <w:sz w:val="23"/>
          <w:szCs w:val="23"/>
        </w:rPr>
        <w:t>项目环境监测费用由建设单位支付，该费用专款专用，以保证环境监测工作的顺利进</w:t>
      </w:r>
      <w:r>
        <w:rPr>
          <w:rFonts w:ascii="宋体" w:hAnsi="宋体" w:eastAsia="宋体" w:cs="宋体"/>
          <w:sz w:val="23"/>
          <w:szCs w:val="23"/>
        </w:rPr>
        <w:t>行。</w:t>
      </w:r>
    </w:p>
    <w:p w14:paraId="6ED9F1CE">
      <w:pPr>
        <w:spacing w:before="186" w:line="227" w:lineRule="auto"/>
        <w:ind w:left="116"/>
        <w:outlineLvl w:val="2"/>
        <w:rPr>
          <w:rFonts w:ascii="宋体" w:hAnsi="宋体" w:eastAsia="宋体" w:cs="宋体"/>
          <w:sz w:val="23"/>
          <w:szCs w:val="23"/>
        </w:rPr>
      </w:pPr>
      <w:r>
        <w:rPr>
          <w:rFonts w:ascii="Times New Roman" w:hAnsi="Times New Roman" w:eastAsia="Times New Roman" w:cs="Times New Roman"/>
          <w:b/>
          <w:bCs/>
          <w:spacing w:val="8"/>
          <w:sz w:val="23"/>
          <w:szCs w:val="23"/>
        </w:rPr>
        <w:t>9.2.6</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14:textOutline w14:w="4356" w14:cap="sq" w14:cmpd="sng" w14:algn="ctr">
            <w14:solidFill>
              <w14:srgbClr w14:val="000000"/>
            </w14:solidFill>
            <w14:prstDash w14:val="solid"/>
            <w14:bevel/>
          </w14:textOutline>
        </w:rPr>
        <w:t>环保验收“三同时”验收清</w:t>
      </w:r>
      <w:r>
        <w:rPr>
          <w:rFonts w:ascii="宋体" w:hAnsi="宋体" w:eastAsia="宋体" w:cs="宋体"/>
          <w:spacing w:val="5"/>
          <w:sz w:val="23"/>
          <w:szCs w:val="23"/>
          <w14:textOutline w14:w="4356" w14:cap="sq" w14:cmpd="sng" w14:algn="ctr">
            <w14:solidFill>
              <w14:srgbClr w14:val="000000"/>
            </w14:solidFill>
            <w14:prstDash w14:val="solid"/>
            <w14:bevel/>
          </w14:textOutline>
        </w:rPr>
        <w:t>单</w:t>
      </w:r>
    </w:p>
    <w:p w14:paraId="3A1E5689">
      <w:pPr>
        <w:spacing w:before="137" w:line="382" w:lineRule="auto"/>
        <w:ind w:left="113" w:right="75" w:firstLine="490"/>
        <w:rPr>
          <w:rFonts w:ascii="宋体" w:hAnsi="宋体" w:eastAsia="宋体" w:cs="宋体"/>
          <w:sz w:val="23"/>
          <w:szCs w:val="23"/>
        </w:rPr>
      </w:pPr>
      <w:r>
        <w:rPr>
          <w:rFonts w:ascii="宋体" w:hAnsi="宋体" w:eastAsia="宋体" w:cs="宋体"/>
          <w:spacing w:val="16"/>
          <w:sz w:val="23"/>
          <w:szCs w:val="23"/>
        </w:rPr>
        <w:t>《国务</w:t>
      </w:r>
      <w:r>
        <w:rPr>
          <w:rFonts w:ascii="宋体" w:hAnsi="宋体" w:eastAsia="宋体" w:cs="宋体"/>
          <w:spacing w:val="8"/>
          <w:sz w:val="23"/>
          <w:szCs w:val="23"/>
        </w:rPr>
        <w:t>院关于修改</w:t>
      </w:r>
      <w:r>
        <w:rPr>
          <w:rFonts w:ascii="Times New Roman" w:hAnsi="Times New Roman" w:eastAsia="Times New Roman" w:cs="Times New Roman"/>
          <w:spacing w:val="8"/>
          <w:sz w:val="23"/>
          <w:szCs w:val="23"/>
        </w:rPr>
        <w:t>&lt;</w:t>
      </w:r>
      <w:r>
        <w:rPr>
          <w:rFonts w:ascii="宋体" w:hAnsi="宋体" w:eastAsia="宋体" w:cs="宋体"/>
          <w:spacing w:val="8"/>
          <w:sz w:val="23"/>
          <w:szCs w:val="23"/>
        </w:rPr>
        <w:t>建设项目环境保护管理条例</w:t>
      </w:r>
      <w:r>
        <w:rPr>
          <w:rFonts w:ascii="Times New Roman" w:hAnsi="Times New Roman" w:eastAsia="Times New Roman" w:cs="Times New Roman"/>
          <w:spacing w:val="8"/>
          <w:sz w:val="23"/>
          <w:szCs w:val="23"/>
        </w:rPr>
        <w:t>&gt;</w:t>
      </w:r>
      <w:r>
        <w:rPr>
          <w:rFonts w:ascii="宋体" w:hAnsi="宋体" w:eastAsia="宋体" w:cs="宋体"/>
          <w:spacing w:val="8"/>
          <w:sz w:val="23"/>
          <w:szCs w:val="23"/>
        </w:rPr>
        <w:t>的决定》  (中华人民共和国国务院令</w:t>
      </w:r>
      <w:r>
        <w:rPr>
          <w:rFonts w:ascii="宋体" w:hAnsi="宋体" w:eastAsia="宋体" w:cs="宋体"/>
          <w:sz w:val="23"/>
          <w:szCs w:val="23"/>
        </w:rPr>
        <w:t xml:space="preserve"> </w:t>
      </w:r>
      <w:r>
        <w:rPr>
          <w:rFonts w:ascii="宋体" w:hAnsi="宋体" w:eastAsia="宋体" w:cs="宋体"/>
          <w:spacing w:val="-1"/>
          <w:sz w:val="23"/>
          <w:szCs w:val="23"/>
        </w:rPr>
        <w:t xml:space="preserve">第 </w:t>
      </w:r>
      <w:r>
        <w:rPr>
          <w:rFonts w:ascii="Times New Roman" w:hAnsi="Times New Roman" w:eastAsia="Times New Roman" w:cs="Times New Roman"/>
          <w:spacing w:val="-1"/>
          <w:sz w:val="23"/>
          <w:szCs w:val="23"/>
        </w:rPr>
        <w:t xml:space="preserve">682  </w:t>
      </w:r>
      <w:r>
        <w:rPr>
          <w:rFonts w:ascii="宋体" w:hAnsi="宋体" w:eastAsia="宋体" w:cs="宋体"/>
          <w:spacing w:val="-1"/>
          <w:sz w:val="23"/>
          <w:szCs w:val="23"/>
        </w:rPr>
        <w:t>号，以下简称</w:t>
      </w:r>
      <w:r>
        <w:rPr>
          <w:rFonts w:ascii="宋体" w:hAnsi="宋体" w:eastAsia="宋体" w:cs="宋体"/>
          <w:sz w:val="23"/>
          <w:szCs w:val="23"/>
        </w:rPr>
        <w:t xml:space="preserve">《条例》) 已经 </w:t>
      </w:r>
      <w:r>
        <w:rPr>
          <w:rFonts w:ascii="Times New Roman" w:hAnsi="Times New Roman" w:eastAsia="Times New Roman" w:cs="Times New Roman"/>
          <w:sz w:val="23"/>
          <w:szCs w:val="23"/>
        </w:rPr>
        <w:t xml:space="preserve">2017 </w:t>
      </w:r>
      <w:r>
        <w:rPr>
          <w:rFonts w:ascii="宋体" w:hAnsi="宋体" w:eastAsia="宋体" w:cs="宋体"/>
          <w:sz w:val="23"/>
          <w:szCs w:val="23"/>
        </w:rPr>
        <w:t xml:space="preserve">年 </w:t>
      </w:r>
      <w:r>
        <w:rPr>
          <w:rFonts w:ascii="Times New Roman" w:hAnsi="Times New Roman" w:eastAsia="Times New Roman" w:cs="Times New Roman"/>
          <w:sz w:val="23"/>
          <w:szCs w:val="23"/>
        </w:rPr>
        <w:t xml:space="preserve">6 </w:t>
      </w:r>
      <w:r>
        <w:rPr>
          <w:rFonts w:ascii="宋体" w:hAnsi="宋体" w:eastAsia="宋体" w:cs="宋体"/>
          <w:sz w:val="23"/>
          <w:szCs w:val="23"/>
        </w:rPr>
        <w:t xml:space="preserve">月 </w:t>
      </w:r>
      <w:r>
        <w:rPr>
          <w:rFonts w:ascii="Times New Roman" w:hAnsi="Times New Roman" w:eastAsia="Times New Roman" w:cs="Times New Roman"/>
          <w:sz w:val="23"/>
          <w:szCs w:val="23"/>
        </w:rPr>
        <w:t xml:space="preserve">21 </w:t>
      </w:r>
      <w:r>
        <w:rPr>
          <w:rFonts w:ascii="宋体" w:hAnsi="宋体" w:eastAsia="宋体" w:cs="宋体"/>
          <w:sz w:val="23"/>
          <w:szCs w:val="23"/>
        </w:rPr>
        <w:t xml:space="preserve">日国务院第 </w:t>
      </w:r>
      <w:r>
        <w:rPr>
          <w:rFonts w:ascii="Times New Roman" w:hAnsi="Times New Roman" w:eastAsia="Times New Roman" w:cs="Times New Roman"/>
          <w:sz w:val="23"/>
          <w:szCs w:val="23"/>
        </w:rPr>
        <w:t xml:space="preserve">177  </w:t>
      </w:r>
      <w:r>
        <w:rPr>
          <w:rFonts w:ascii="宋体" w:hAnsi="宋体" w:eastAsia="宋体" w:cs="宋体"/>
          <w:sz w:val="23"/>
          <w:szCs w:val="23"/>
        </w:rPr>
        <w:t xml:space="preserve">次常务会议通过， 自 </w:t>
      </w:r>
      <w:r>
        <w:rPr>
          <w:rFonts w:ascii="Times New Roman" w:hAnsi="Times New Roman" w:eastAsia="Times New Roman" w:cs="Times New Roman"/>
          <w:spacing w:val="6"/>
          <w:sz w:val="23"/>
          <w:szCs w:val="23"/>
        </w:rPr>
        <w:t xml:space="preserve">2017  </w:t>
      </w:r>
      <w:r>
        <w:rPr>
          <w:rFonts w:ascii="宋体" w:hAnsi="宋体" w:eastAsia="宋体" w:cs="宋体"/>
          <w:spacing w:val="6"/>
          <w:sz w:val="23"/>
          <w:szCs w:val="23"/>
        </w:rPr>
        <w:t xml:space="preserve">年 </w:t>
      </w:r>
      <w:r>
        <w:rPr>
          <w:rFonts w:ascii="Times New Roman" w:hAnsi="Times New Roman" w:eastAsia="Times New Roman" w:cs="Times New Roman"/>
          <w:spacing w:val="6"/>
          <w:sz w:val="23"/>
          <w:szCs w:val="23"/>
        </w:rPr>
        <w:t xml:space="preserve">10  </w:t>
      </w:r>
      <w:r>
        <w:rPr>
          <w:rFonts w:ascii="宋体" w:hAnsi="宋体" w:eastAsia="宋体" w:cs="宋体"/>
          <w:spacing w:val="6"/>
          <w:sz w:val="23"/>
          <w:szCs w:val="23"/>
        </w:rPr>
        <w:t>月</w:t>
      </w:r>
      <w:r>
        <w:rPr>
          <w:rFonts w:ascii="宋体" w:hAnsi="宋体" w:eastAsia="宋体" w:cs="宋体"/>
          <w:spacing w:val="3"/>
          <w:sz w:val="23"/>
          <w:szCs w:val="23"/>
        </w:rPr>
        <w:t xml:space="preserve"> </w:t>
      </w:r>
      <w:r>
        <w:rPr>
          <w:rFonts w:ascii="Times New Roman" w:hAnsi="Times New Roman" w:eastAsia="Times New Roman" w:cs="Times New Roman"/>
          <w:spacing w:val="3"/>
          <w:sz w:val="23"/>
          <w:szCs w:val="23"/>
        </w:rPr>
        <w:t xml:space="preserve">1  </w:t>
      </w:r>
      <w:r>
        <w:rPr>
          <w:rFonts w:ascii="宋体" w:hAnsi="宋体" w:eastAsia="宋体" w:cs="宋体"/>
          <w:spacing w:val="3"/>
          <w:sz w:val="23"/>
          <w:szCs w:val="23"/>
        </w:rPr>
        <w:t>日起施行。修改的《条例》第十七条明确</w:t>
      </w:r>
      <w:r>
        <w:rPr>
          <w:rFonts w:ascii="Times New Roman" w:hAnsi="Times New Roman" w:eastAsia="Times New Roman" w:cs="Times New Roman"/>
          <w:spacing w:val="3"/>
          <w:sz w:val="23"/>
          <w:szCs w:val="23"/>
        </w:rPr>
        <w:t>“</w:t>
      </w:r>
      <w:r>
        <w:rPr>
          <w:rFonts w:ascii="宋体" w:hAnsi="宋体" w:eastAsia="宋体" w:cs="宋体"/>
          <w:spacing w:val="3"/>
          <w:sz w:val="23"/>
          <w:szCs w:val="23"/>
        </w:rPr>
        <w:t>编制环境影响报告书、环境影响</w:t>
      </w:r>
      <w:r>
        <w:rPr>
          <w:rFonts w:ascii="宋体" w:hAnsi="宋体" w:eastAsia="宋体" w:cs="宋体"/>
          <w:sz w:val="23"/>
          <w:szCs w:val="23"/>
        </w:rPr>
        <w:t xml:space="preserve"> </w:t>
      </w:r>
      <w:r>
        <w:rPr>
          <w:rFonts w:ascii="宋体" w:hAnsi="宋体" w:eastAsia="宋体" w:cs="宋体"/>
          <w:spacing w:val="14"/>
          <w:sz w:val="23"/>
          <w:szCs w:val="23"/>
        </w:rPr>
        <w:t>报</w:t>
      </w:r>
      <w:r>
        <w:rPr>
          <w:rFonts w:ascii="宋体" w:hAnsi="宋体" w:eastAsia="宋体" w:cs="宋体"/>
          <w:spacing w:val="9"/>
          <w:sz w:val="23"/>
          <w:szCs w:val="23"/>
        </w:rPr>
        <w:t>告</w:t>
      </w:r>
      <w:r>
        <w:rPr>
          <w:rFonts w:ascii="宋体" w:hAnsi="宋体" w:eastAsia="宋体" w:cs="宋体"/>
          <w:spacing w:val="7"/>
          <w:sz w:val="23"/>
          <w:szCs w:val="23"/>
        </w:rPr>
        <w:t>表的建设项目竣工后，建设单位应当按照国务院环境保护行政主管部门规定的标准和程</w:t>
      </w:r>
      <w:r>
        <w:rPr>
          <w:rFonts w:ascii="宋体" w:hAnsi="宋体" w:eastAsia="宋体" w:cs="宋体"/>
          <w:sz w:val="23"/>
          <w:szCs w:val="23"/>
        </w:rPr>
        <w:t xml:space="preserve"> </w:t>
      </w:r>
      <w:r>
        <w:rPr>
          <w:rFonts w:ascii="宋体" w:hAnsi="宋体" w:eastAsia="宋体" w:cs="宋体"/>
          <w:spacing w:val="3"/>
          <w:sz w:val="23"/>
          <w:szCs w:val="23"/>
        </w:rPr>
        <w:t>序，对配套建设的环境保护设施进行验收，编制验收报告</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 xml:space="preserve">。因此，今年 </w:t>
      </w:r>
      <w:r>
        <w:rPr>
          <w:rFonts w:ascii="Times New Roman" w:hAnsi="Times New Roman" w:eastAsia="Times New Roman" w:cs="Times New Roman"/>
          <w:spacing w:val="3"/>
          <w:sz w:val="23"/>
          <w:szCs w:val="23"/>
        </w:rPr>
        <w:t xml:space="preserve">10 </w:t>
      </w:r>
      <w:r>
        <w:rPr>
          <w:rFonts w:ascii="宋体" w:hAnsi="宋体" w:eastAsia="宋体" w:cs="宋体"/>
          <w:spacing w:val="3"/>
          <w:sz w:val="23"/>
          <w:szCs w:val="23"/>
        </w:rPr>
        <w:t xml:space="preserve">月 </w:t>
      </w:r>
      <w:r>
        <w:rPr>
          <w:rFonts w:ascii="Times New Roman" w:hAnsi="Times New Roman" w:eastAsia="Times New Roman" w:cs="Times New Roman"/>
          <w:spacing w:val="3"/>
          <w:sz w:val="23"/>
          <w:szCs w:val="23"/>
        </w:rPr>
        <w:t xml:space="preserve">1 </w:t>
      </w:r>
      <w:r>
        <w:rPr>
          <w:rFonts w:ascii="宋体" w:hAnsi="宋体" w:eastAsia="宋体" w:cs="宋体"/>
          <w:spacing w:val="3"/>
          <w:sz w:val="23"/>
          <w:szCs w:val="23"/>
        </w:rPr>
        <w:t>日起，</w:t>
      </w:r>
      <w:r>
        <w:rPr>
          <w:rFonts w:ascii="宋体" w:hAnsi="宋体" w:eastAsia="宋体" w:cs="宋体"/>
          <w:spacing w:val="2"/>
          <w:sz w:val="23"/>
          <w:szCs w:val="23"/>
        </w:rPr>
        <w:t>建</w:t>
      </w:r>
      <w:r>
        <w:rPr>
          <w:rFonts w:ascii="宋体" w:hAnsi="宋体" w:eastAsia="宋体" w:cs="宋体"/>
          <w:sz w:val="23"/>
          <w:szCs w:val="23"/>
        </w:rPr>
        <w:t xml:space="preserve">设 </w:t>
      </w:r>
      <w:r>
        <w:rPr>
          <w:rFonts w:ascii="宋体" w:hAnsi="宋体" w:eastAsia="宋体" w:cs="宋体"/>
          <w:spacing w:val="14"/>
          <w:sz w:val="23"/>
          <w:szCs w:val="23"/>
        </w:rPr>
        <w:t>项</w:t>
      </w:r>
      <w:r>
        <w:rPr>
          <w:rFonts w:ascii="宋体" w:hAnsi="宋体" w:eastAsia="宋体" w:cs="宋体"/>
          <w:spacing w:val="9"/>
          <w:sz w:val="23"/>
          <w:szCs w:val="23"/>
        </w:rPr>
        <w:t>目</w:t>
      </w:r>
      <w:r>
        <w:rPr>
          <w:rFonts w:ascii="宋体" w:hAnsi="宋体" w:eastAsia="宋体" w:cs="宋体"/>
          <w:spacing w:val="7"/>
          <w:sz w:val="23"/>
          <w:szCs w:val="23"/>
        </w:rPr>
        <w:t>环保设施竣工验收主体已由环保部门转为建设单位，建设单位须自行验收，同时对验收</w:t>
      </w:r>
      <w:r>
        <w:rPr>
          <w:rFonts w:ascii="宋体" w:hAnsi="宋体" w:eastAsia="宋体" w:cs="宋体"/>
          <w:sz w:val="23"/>
          <w:szCs w:val="23"/>
        </w:rPr>
        <w:t xml:space="preserve"> </w:t>
      </w:r>
      <w:r>
        <w:rPr>
          <w:rFonts w:ascii="宋体" w:hAnsi="宋体" w:eastAsia="宋体" w:cs="宋体"/>
          <w:spacing w:val="8"/>
          <w:sz w:val="23"/>
          <w:szCs w:val="23"/>
        </w:rPr>
        <w:t>结果进行公开</w:t>
      </w:r>
      <w:r>
        <w:rPr>
          <w:rFonts w:ascii="宋体" w:hAnsi="宋体" w:eastAsia="宋体" w:cs="宋体"/>
          <w:spacing w:val="6"/>
          <w:sz w:val="23"/>
          <w:szCs w:val="23"/>
        </w:rPr>
        <w:t>。</w:t>
      </w:r>
    </w:p>
    <w:p w14:paraId="38EA926C">
      <w:pPr>
        <w:spacing w:before="103" w:line="222" w:lineRule="auto"/>
        <w:ind w:left="2742"/>
        <w:rPr>
          <w:rFonts w:ascii="黑体" w:hAnsi="黑体" w:eastAsia="黑体" w:cs="黑体"/>
          <w:sz w:val="23"/>
          <w:szCs w:val="23"/>
        </w:rPr>
      </w:pPr>
      <w:r>
        <w:rPr>
          <w:rFonts w:ascii="黑体" w:hAnsi="黑体" w:eastAsia="黑体" w:cs="黑体"/>
          <w:spacing w:val="5"/>
          <w:sz w:val="23"/>
          <w:szCs w:val="23"/>
        </w:rPr>
        <w:t xml:space="preserve">表 </w:t>
      </w:r>
      <w:r>
        <w:rPr>
          <w:rFonts w:ascii="Times New Roman" w:hAnsi="Times New Roman" w:eastAsia="Times New Roman" w:cs="Times New Roman"/>
          <w:spacing w:val="5"/>
          <w:sz w:val="23"/>
          <w:szCs w:val="23"/>
        </w:rPr>
        <w:t xml:space="preserve">9.2-2  </w:t>
      </w:r>
      <w:r>
        <w:rPr>
          <w:rFonts w:ascii="黑体" w:hAnsi="黑体" w:eastAsia="黑体" w:cs="黑体"/>
          <w:spacing w:val="5"/>
          <w:sz w:val="23"/>
          <w:szCs w:val="23"/>
        </w:rPr>
        <w:t>本项目环保</w:t>
      </w:r>
      <w:r>
        <w:rPr>
          <w:rFonts w:ascii="Times New Roman" w:hAnsi="Times New Roman" w:eastAsia="Times New Roman" w:cs="Times New Roman"/>
          <w:spacing w:val="5"/>
          <w:sz w:val="23"/>
          <w:szCs w:val="23"/>
        </w:rPr>
        <w:t>“</w:t>
      </w:r>
      <w:r>
        <w:rPr>
          <w:rFonts w:ascii="黑体" w:hAnsi="黑体" w:eastAsia="黑体" w:cs="黑体"/>
          <w:spacing w:val="5"/>
          <w:sz w:val="23"/>
          <w:szCs w:val="23"/>
        </w:rPr>
        <w:t>三同时</w:t>
      </w:r>
      <w:r>
        <w:rPr>
          <w:rFonts w:ascii="Times New Roman" w:hAnsi="Times New Roman" w:eastAsia="Times New Roman" w:cs="Times New Roman"/>
          <w:spacing w:val="5"/>
          <w:sz w:val="23"/>
          <w:szCs w:val="23"/>
        </w:rPr>
        <w:t>”</w:t>
      </w:r>
      <w:r>
        <w:rPr>
          <w:rFonts w:ascii="黑体" w:hAnsi="黑体" w:eastAsia="黑体" w:cs="黑体"/>
          <w:spacing w:val="5"/>
          <w:sz w:val="23"/>
          <w:szCs w:val="23"/>
        </w:rPr>
        <w:t>竣工验收一览</w:t>
      </w:r>
      <w:r>
        <w:rPr>
          <w:rFonts w:ascii="黑体" w:hAnsi="黑体" w:eastAsia="黑体" w:cs="黑体"/>
          <w:spacing w:val="1"/>
          <w:sz w:val="23"/>
          <w:szCs w:val="23"/>
        </w:rPr>
        <w:t>表</w:t>
      </w:r>
    </w:p>
    <w:tbl>
      <w:tblPr>
        <w:tblStyle w:val="4"/>
        <w:tblW w:w="928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4"/>
        <w:gridCol w:w="1304"/>
        <w:gridCol w:w="2956"/>
        <w:gridCol w:w="4424"/>
      </w:tblGrid>
      <w:tr w14:paraId="51045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1908" w:type="dxa"/>
            <w:gridSpan w:val="2"/>
            <w:tcBorders>
              <w:left w:val="nil"/>
            </w:tcBorders>
          </w:tcPr>
          <w:p w14:paraId="1A000C1C">
            <w:pPr>
              <w:spacing w:before="116" w:line="228" w:lineRule="auto"/>
              <w:ind w:left="757"/>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治</w:t>
            </w:r>
            <w:r>
              <w:rPr>
                <w:rFonts w:ascii="宋体" w:hAnsi="宋体" w:eastAsia="宋体" w:cs="宋体"/>
                <w:spacing w:val="7"/>
                <w:sz w:val="20"/>
                <w:szCs w:val="20"/>
                <w14:textOutline w14:w="3797" w14:cap="sq" w14:cmpd="sng" w14:algn="ctr">
                  <w14:solidFill>
                    <w14:srgbClr w14:val="000000"/>
                  </w14:solidFill>
                  <w14:prstDash w14:val="solid"/>
                  <w14:bevel/>
                </w14:textOutline>
              </w:rPr>
              <w:t>理对象</w:t>
            </w:r>
          </w:p>
        </w:tc>
        <w:tc>
          <w:tcPr>
            <w:tcW w:w="2956" w:type="dxa"/>
          </w:tcPr>
          <w:p w14:paraId="0EDD3D9B">
            <w:pPr>
              <w:spacing w:before="117" w:line="228" w:lineRule="auto"/>
              <w:ind w:left="1286"/>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防</w:t>
            </w:r>
            <w:r>
              <w:rPr>
                <w:rFonts w:ascii="宋体" w:hAnsi="宋体" w:eastAsia="宋体" w:cs="宋体"/>
                <w:spacing w:val="5"/>
                <w:sz w:val="20"/>
                <w:szCs w:val="20"/>
                <w14:textOutline w14:w="3797" w14:cap="sq" w14:cmpd="sng" w14:algn="ctr">
                  <w14:solidFill>
                    <w14:srgbClr w14:val="000000"/>
                  </w14:solidFill>
                  <w14:prstDash w14:val="solid"/>
                  <w14:bevel/>
                </w14:textOutline>
              </w:rPr>
              <w:t>治措施</w:t>
            </w:r>
          </w:p>
        </w:tc>
        <w:tc>
          <w:tcPr>
            <w:tcW w:w="4424" w:type="dxa"/>
            <w:tcBorders>
              <w:right w:val="nil"/>
            </w:tcBorders>
          </w:tcPr>
          <w:p w14:paraId="589115F5">
            <w:pPr>
              <w:spacing w:before="116" w:line="228" w:lineRule="auto"/>
              <w:ind w:left="1483"/>
              <w:rPr>
                <w:rFonts w:ascii="宋体" w:hAnsi="宋体" w:eastAsia="宋体" w:cs="宋体"/>
                <w:sz w:val="20"/>
                <w:szCs w:val="20"/>
              </w:rPr>
            </w:pPr>
            <w:r>
              <w:rPr>
                <w:rFonts w:ascii="宋体" w:hAnsi="宋体" w:eastAsia="宋体" w:cs="宋体"/>
                <w:spacing w:val="15"/>
                <w:sz w:val="20"/>
                <w:szCs w:val="20"/>
                <w14:textOutline w14:w="3797" w14:cap="sq" w14:cmpd="sng" w14:algn="ctr">
                  <w14:solidFill>
                    <w14:srgbClr w14:val="000000"/>
                  </w14:solidFill>
                  <w14:prstDash w14:val="solid"/>
                  <w14:bevel/>
                </w14:textOutline>
              </w:rPr>
              <w:t>执</w:t>
            </w:r>
            <w:r>
              <w:rPr>
                <w:rFonts w:ascii="宋体" w:hAnsi="宋体" w:eastAsia="宋体" w:cs="宋体"/>
                <w:spacing w:val="9"/>
                <w:sz w:val="20"/>
                <w:szCs w:val="20"/>
                <w14:textOutline w14:w="3797" w14:cap="sq" w14:cmpd="sng" w14:algn="ctr">
                  <w14:solidFill>
                    <w14:srgbClr w14:val="000000"/>
                  </w14:solidFill>
                  <w14:prstDash w14:val="solid"/>
                  <w14:bevel/>
                </w14:textOutline>
              </w:rPr>
              <w:t>行标准及验收要求</w:t>
            </w:r>
          </w:p>
        </w:tc>
      </w:tr>
      <w:tr w14:paraId="5E555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1" w:hRule="atLeast"/>
        </w:trPr>
        <w:tc>
          <w:tcPr>
            <w:tcW w:w="604" w:type="dxa"/>
            <w:tcBorders>
              <w:left w:val="nil"/>
            </w:tcBorders>
            <w:textDirection w:val="tbRlV"/>
          </w:tcPr>
          <w:p w14:paraId="2D8248E5">
            <w:pPr>
              <w:spacing w:before="284" w:line="216" w:lineRule="auto"/>
              <w:ind w:left="1392"/>
              <w:rPr>
                <w:rFonts w:ascii="宋体" w:hAnsi="宋体" w:eastAsia="宋体" w:cs="宋体"/>
                <w:sz w:val="20"/>
                <w:szCs w:val="20"/>
              </w:rPr>
            </w:pPr>
            <w:r>
              <w:rPr>
                <w:rFonts w:ascii="宋体" w:hAnsi="宋体" w:eastAsia="宋体" w:cs="宋体"/>
                <w:spacing w:val="-9"/>
                <w:sz w:val="20"/>
                <w:szCs w:val="20"/>
              </w:rPr>
              <w:t>废</w:t>
            </w:r>
            <w:r>
              <w:rPr>
                <w:rFonts w:ascii="宋体" w:hAnsi="宋体" w:eastAsia="宋体" w:cs="宋体"/>
                <w:spacing w:val="-6"/>
                <w:sz w:val="20"/>
                <w:szCs w:val="20"/>
              </w:rPr>
              <w:t xml:space="preserve"> 水</w:t>
            </w:r>
          </w:p>
        </w:tc>
        <w:tc>
          <w:tcPr>
            <w:tcW w:w="1304" w:type="dxa"/>
          </w:tcPr>
          <w:p w14:paraId="7A33434B">
            <w:pPr>
              <w:spacing w:line="263" w:lineRule="auto"/>
            </w:pPr>
          </w:p>
          <w:p w14:paraId="1BA986BD">
            <w:pPr>
              <w:spacing w:line="263" w:lineRule="auto"/>
            </w:pPr>
          </w:p>
          <w:p w14:paraId="51A2C91D">
            <w:pPr>
              <w:spacing w:line="264" w:lineRule="auto"/>
            </w:pPr>
          </w:p>
          <w:p w14:paraId="6D0A502C">
            <w:pPr>
              <w:spacing w:line="264" w:lineRule="auto"/>
            </w:pPr>
          </w:p>
          <w:p w14:paraId="3FB2A4BE">
            <w:pPr>
              <w:spacing w:line="264" w:lineRule="auto"/>
            </w:pPr>
          </w:p>
          <w:p w14:paraId="4366D122">
            <w:pPr>
              <w:spacing w:before="65" w:line="265" w:lineRule="auto"/>
              <w:ind w:left="114" w:right="141"/>
              <w:rPr>
                <w:rFonts w:ascii="宋体" w:hAnsi="宋体" w:eastAsia="宋体" w:cs="宋体"/>
                <w:sz w:val="20"/>
                <w:szCs w:val="20"/>
              </w:rPr>
            </w:pPr>
            <w:r>
              <w:rPr>
                <w:rFonts w:ascii="宋体" w:hAnsi="宋体" w:eastAsia="宋体" w:cs="宋体"/>
                <w:spacing w:val="10"/>
                <w:sz w:val="20"/>
                <w:szCs w:val="20"/>
              </w:rPr>
              <w:t>生</w:t>
            </w:r>
            <w:r>
              <w:rPr>
                <w:rFonts w:ascii="宋体" w:hAnsi="宋体" w:eastAsia="宋体" w:cs="宋体"/>
                <w:spacing w:val="8"/>
                <w:sz w:val="20"/>
                <w:szCs w:val="20"/>
              </w:rPr>
              <w:t>活污水、</w:t>
            </w:r>
            <w:r>
              <w:rPr>
                <w:rFonts w:ascii="宋体" w:hAnsi="宋体" w:eastAsia="宋体" w:cs="宋体"/>
                <w:sz w:val="20"/>
                <w:szCs w:val="20"/>
              </w:rPr>
              <w:t xml:space="preserve"> </w:t>
            </w:r>
            <w:r>
              <w:rPr>
                <w:rFonts w:ascii="宋体" w:hAnsi="宋体" w:eastAsia="宋体" w:cs="宋体"/>
                <w:spacing w:val="7"/>
                <w:sz w:val="20"/>
                <w:szCs w:val="20"/>
              </w:rPr>
              <w:t>生产废</w:t>
            </w:r>
            <w:r>
              <w:rPr>
                <w:rFonts w:ascii="宋体" w:hAnsi="宋体" w:eastAsia="宋体" w:cs="宋体"/>
                <w:spacing w:val="6"/>
                <w:sz w:val="20"/>
                <w:szCs w:val="20"/>
              </w:rPr>
              <w:t>水</w:t>
            </w:r>
          </w:p>
        </w:tc>
        <w:tc>
          <w:tcPr>
            <w:tcW w:w="2956" w:type="dxa"/>
          </w:tcPr>
          <w:p w14:paraId="5A71E376">
            <w:pPr>
              <w:spacing w:before="33" w:line="249" w:lineRule="auto"/>
              <w:ind w:left="115" w:right="106"/>
              <w:rPr>
                <w:rFonts w:ascii="宋体" w:hAnsi="宋体" w:eastAsia="宋体" w:cs="宋体"/>
                <w:sz w:val="20"/>
                <w:szCs w:val="20"/>
              </w:rPr>
            </w:pPr>
            <w:r>
              <w:rPr>
                <w:rFonts w:ascii="宋体" w:hAnsi="宋体" w:eastAsia="宋体" w:cs="宋体"/>
                <w:spacing w:val="10"/>
                <w:sz w:val="20"/>
                <w:szCs w:val="20"/>
              </w:rPr>
              <w:t>生活污水经隔油池、化粪池</w:t>
            </w:r>
            <w:r>
              <w:rPr>
                <w:rFonts w:ascii="宋体" w:hAnsi="宋体" w:eastAsia="宋体" w:cs="宋体"/>
                <w:spacing w:val="8"/>
                <w:sz w:val="20"/>
                <w:szCs w:val="20"/>
              </w:rPr>
              <w:t>处</w:t>
            </w:r>
            <w:r>
              <w:rPr>
                <w:rFonts w:ascii="宋体" w:hAnsi="宋体" w:eastAsia="宋体" w:cs="宋体"/>
                <w:sz w:val="20"/>
                <w:szCs w:val="20"/>
              </w:rPr>
              <w:t xml:space="preserve"> </w:t>
            </w:r>
            <w:r>
              <w:rPr>
                <w:rFonts w:ascii="宋体" w:hAnsi="宋体" w:eastAsia="宋体" w:cs="宋体"/>
                <w:spacing w:val="10"/>
                <w:sz w:val="20"/>
                <w:szCs w:val="20"/>
              </w:rPr>
              <w:t>理</w:t>
            </w:r>
            <w:r>
              <w:rPr>
                <w:rFonts w:ascii="宋体" w:hAnsi="宋体" w:eastAsia="宋体" w:cs="宋体"/>
                <w:spacing w:val="9"/>
                <w:sz w:val="20"/>
                <w:szCs w:val="20"/>
              </w:rPr>
              <w:t>后用作业主自有林地灌溉；</w:t>
            </w:r>
            <w:r>
              <w:rPr>
                <w:rFonts w:ascii="宋体" w:hAnsi="宋体" w:eastAsia="宋体" w:cs="宋体"/>
                <w:sz w:val="20"/>
                <w:szCs w:val="20"/>
              </w:rPr>
              <w:t xml:space="preserve"> </w:t>
            </w:r>
            <w:r>
              <w:rPr>
                <w:rFonts w:ascii="宋体" w:hAnsi="宋体" w:eastAsia="宋体" w:cs="宋体"/>
                <w:spacing w:val="10"/>
                <w:sz w:val="20"/>
                <w:szCs w:val="20"/>
              </w:rPr>
              <w:t>养殖废水目前拟运输至乐山</w:t>
            </w:r>
            <w:r>
              <w:rPr>
                <w:rFonts w:ascii="宋体" w:hAnsi="宋体" w:eastAsia="宋体" w:cs="宋体"/>
                <w:spacing w:val="9"/>
                <w:sz w:val="20"/>
                <w:szCs w:val="20"/>
              </w:rPr>
              <w:t>乐</w:t>
            </w:r>
            <w:r>
              <w:rPr>
                <w:rFonts w:ascii="宋体" w:hAnsi="宋体" w:eastAsia="宋体" w:cs="宋体"/>
                <w:sz w:val="20"/>
                <w:szCs w:val="20"/>
              </w:rPr>
              <w:t xml:space="preserve"> </w:t>
            </w:r>
            <w:r>
              <w:rPr>
                <w:rFonts w:ascii="宋体" w:hAnsi="宋体" w:eastAsia="宋体" w:cs="宋体"/>
                <w:spacing w:val="10"/>
                <w:sz w:val="20"/>
                <w:szCs w:val="20"/>
              </w:rPr>
              <w:t>高勤力生物质能源综合利用</w:t>
            </w:r>
            <w:r>
              <w:rPr>
                <w:rFonts w:ascii="宋体" w:hAnsi="宋体" w:eastAsia="宋体" w:cs="宋体"/>
                <w:spacing w:val="9"/>
                <w:sz w:val="20"/>
                <w:szCs w:val="20"/>
              </w:rPr>
              <w:t>有</w:t>
            </w:r>
            <w:r>
              <w:rPr>
                <w:rFonts w:ascii="宋体" w:hAnsi="宋体" w:eastAsia="宋体" w:cs="宋体"/>
                <w:sz w:val="20"/>
                <w:szCs w:val="20"/>
              </w:rPr>
              <w:t xml:space="preserve"> </w:t>
            </w:r>
            <w:r>
              <w:rPr>
                <w:rFonts w:ascii="宋体" w:hAnsi="宋体" w:eastAsia="宋体" w:cs="宋体"/>
                <w:spacing w:val="3"/>
                <w:sz w:val="20"/>
                <w:szCs w:val="20"/>
              </w:rPr>
              <w:t>限</w:t>
            </w:r>
            <w:r>
              <w:rPr>
                <w:rFonts w:ascii="宋体" w:hAnsi="宋体" w:eastAsia="宋体" w:cs="宋体"/>
                <w:spacing w:val="2"/>
                <w:sz w:val="20"/>
                <w:szCs w:val="20"/>
              </w:rPr>
              <w:t>公司集中处置， 日产日清，</w:t>
            </w:r>
            <w:r>
              <w:rPr>
                <w:rFonts w:ascii="宋体" w:hAnsi="宋体" w:eastAsia="宋体" w:cs="宋体"/>
                <w:sz w:val="20"/>
                <w:szCs w:val="20"/>
              </w:rPr>
              <w:t xml:space="preserve"> </w:t>
            </w:r>
            <w:r>
              <w:rPr>
                <w:rFonts w:ascii="宋体" w:hAnsi="宋体" w:eastAsia="宋体" w:cs="宋体"/>
                <w:spacing w:val="10"/>
                <w:sz w:val="20"/>
                <w:szCs w:val="20"/>
              </w:rPr>
              <w:t>同时，厂区还配套建设一套</w:t>
            </w:r>
            <w:r>
              <w:rPr>
                <w:rFonts w:ascii="宋体" w:hAnsi="宋体" w:eastAsia="宋体" w:cs="宋体"/>
                <w:spacing w:val="9"/>
                <w:sz w:val="20"/>
                <w:szCs w:val="20"/>
              </w:rPr>
              <w:t>发</w:t>
            </w:r>
            <w:r>
              <w:rPr>
                <w:rFonts w:ascii="宋体" w:hAnsi="宋体" w:eastAsia="宋体" w:cs="宋体"/>
                <w:sz w:val="20"/>
                <w:szCs w:val="20"/>
              </w:rPr>
              <w:t xml:space="preserve"> </w:t>
            </w:r>
            <w:r>
              <w:rPr>
                <w:rFonts w:ascii="宋体" w:hAnsi="宋体" w:eastAsia="宋体" w:cs="宋体"/>
                <w:spacing w:val="10"/>
                <w:sz w:val="20"/>
                <w:szCs w:val="20"/>
              </w:rPr>
              <w:t>酵床备用，若后期乐山乐高</w:t>
            </w:r>
            <w:r>
              <w:rPr>
                <w:rFonts w:ascii="宋体" w:hAnsi="宋体" w:eastAsia="宋体" w:cs="宋体"/>
                <w:spacing w:val="9"/>
                <w:sz w:val="20"/>
                <w:szCs w:val="20"/>
              </w:rPr>
              <w:t>勤</w:t>
            </w:r>
            <w:r>
              <w:rPr>
                <w:rFonts w:ascii="宋体" w:hAnsi="宋体" w:eastAsia="宋体" w:cs="宋体"/>
                <w:sz w:val="20"/>
                <w:szCs w:val="20"/>
              </w:rPr>
              <w:t xml:space="preserve"> </w:t>
            </w:r>
            <w:r>
              <w:rPr>
                <w:rFonts w:ascii="宋体" w:hAnsi="宋体" w:eastAsia="宋体" w:cs="宋体"/>
                <w:spacing w:val="10"/>
                <w:sz w:val="20"/>
                <w:szCs w:val="20"/>
              </w:rPr>
              <w:t>力生物质能源综合利用有限</w:t>
            </w:r>
            <w:r>
              <w:rPr>
                <w:rFonts w:ascii="宋体" w:hAnsi="宋体" w:eastAsia="宋体" w:cs="宋体"/>
                <w:spacing w:val="9"/>
                <w:sz w:val="20"/>
                <w:szCs w:val="20"/>
              </w:rPr>
              <w:t>公</w:t>
            </w:r>
            <w:r>
              <w:rPr>
                <w:rFonts w:ascii="宋体" w:hAnsi="宋体" w:eastAsia="宋体" w:cs="宋体"/>
                <w:sz w:val="20"/>
                <w:szCs w:val="20"/>
              </w:rPr>
              <w:t xml:space="preserve"> </w:t>
            </w:r>
            <w:r>
              <w:rPr>
                <w:rFonts w:ascii="宋体" w:hAnsi="宋体" w:eastAsia="宋体" w:cs="宋体"/>
                <w:spacing w:val="32"/>
                <w:sz w:val="20"/>
                <w:szCs w:val="20"/>
              </w:rPr>
              <w:t>司</w:t>
            </w:r>
            <w:r>
              <w:rPr>
                <w:rFonts w:ascii="宋体" w:hAnsi="宋体" w:eastAsia="宋体" w:cs="宋体"/>
                <w:spacing w:val="27"/>
                <w:sz w:val="20"/>
                <w:szCs w:val="20"/>
              </w:rPr>
              <w:t>不再回收厂区内的养殖废</w:t>
            </w:r>
            <w:r>
              <w:rPr>
                <w:rFonts w:ascii="宋体" w:hAnsi="宋体" w:eastAsia="宋体" w:cs="宋体"/>
                <w:sz w:val="20"/>
                <w:szCs w:val="20"/>
              </w:rPr>
              <w:t xml:space="preserve"> </w:t>
            </w:r>
            <w:r>
              <w:rPr>
                <w:rFonts w:ascii="宋体" w:hAnsi="宋体" w:eastAsia="宋体" w:cs="宋体"/>
                <w:spacing w:val="10"/>
                <w:sz w:val="20"/>
                <w:szCs w:val="20"/>
              </w:rPr>
              <w:t>水，可将通过异位发酵床自</w:t>
            </w:r>
            <w:r>
              <w:rPr>
                <w:rFonts w:ascii="宋体" w:hAnsi="宋体" w:eastAsia="宋体" w:cs="宋体"/>
                <w:spacing w:val="9"/>
                <w:sz w:val="20"/>
                <w:szCs w:val="20"/>
              </w:rPr>
              <w:t>行</w:t>
            </w:r>
            <w:r>
              <w:rPr>
                <w:rFonts w:ascii="宋体" w:hAnsi="宋体" w:eastAsia="宋体" w:cs="宋体"/>
                <w:sz w:val="20"/>
                <w:szCs w:val="20"/>
              </w:rPr>
              <w:t xml:space="preserve"> </w:t>
            </w:r>
            <w:r>
              <w:rPr>
                <w:rFonts w:ascii="宋体" w:hAnsi="宋体" w:eastAsia="宋体" w:cs="宋体"/>
                <w:spacing w:val="10"/>
                <w:sz w:val="20"/>
                <w:szCs w:val="20"/>
              </w:rPr>
              <w:t>处置，处理产生的有机肥外</w:t>
            </w:r>
            <w:r>
              <w:rPr>
                <w:rFonts w:ascii="宋体" w:hAnsi="宋体" w:eastAsia="宋体" w:cs="宋体"/>
                <w:spacing w:val="9"/>
                <w:sz w:val="20"/>
                <w:szCs w:val="20"/>
              </w:rPr>
              <w:t>售</w:t>
            </w:r>
            <w:r>
              <w:rPr>
                <w:rFonts w:ascii="宋体" w:hAnsi="宋体" w:eastAsia="宋体" w:cs="宋体"/>
                <w:sz w:val="20"/>
                <w:szCs w:val="20"/>
              </w:rPr>
              <w:t xml:space="preserve"> </w:t>
            </w:r>
            <w:r>
              <w:rPr>
                <w:rFonts w:ascii="宋体" w:hAnsi="宋体" w:eastAsia="宋体" w:cs="宋体"/>
                <w:spacing w:val="4"/>
                <w:sz w:val="20"/>
                <w:szCs w:val="20"/>
              </w:rPr>
              <w:t>处理</w:t>
            </w:r>
          </w:p>
        </w:tc>
        <w:tc>
          <w:tcPr>
            <w:tcW w:w="4424" w:type="dxa"/>
            <w:tcBorders>
              <w:right w:val="nil"/>
            </w:tcBorders>
          </w:tcPr>
          <w:p w14:paraId="5E300519">
            <w:pPr>
              <w:spacing w:line="242" w:lineRule="auto"/>
            </w:pPr>
          </w:p>
          <w:p w14:paraId="73408B1D">
            <w:pPr>
              <w:spacing w:line="242" w:lineRule="auto"/>
            </w:pPr>
          </w:p>
          <w:p w14:paraId="0E25BB1E">
            <w:pPr>
              <w:spacing w:line="242" w:lineRule="auto"/>
            </w:pPr>
          </w:p>
          <w:p w14:paraId="588830CF">
            <w:pPr>
              <w:spacing w:line="243" w:lineRule="auto"/>
            </w:pPr>
          </w:p>
          <w:p w14:paraId="7BC556E7">
            <w:pPr>
              <w:spacing w:line="243" w:lineRule="auto"/>
            </w:pPr>
          </w:p>
          <w:p w14:paraId="5CA3D6B9">
            <w:pPr>
              <w:spacing w:line="243" w:lineRule="auto"/>
            </w:pPr>
          </w:p>
          <w:p w14:paraId="14716C53">
            <w:pPr>
              <w:spacing w:before="65" w:line="228" w:lineRule="auto"/>
              <w:ind w:left="1063"/>
              <w:rPr>
                <w:rFonts w:ascii="宋体" w:hAnsi="宋体" w:eastAsia="宋体" w:cs="宋体"/>
                <w:sz w:val="20"/>
                <w:szCs w:val="20"/>
              </w:rPr>
            </w:pPr>
            <w:r>
              <w:rPr>
                <w:rFonts w:ascii="宋体" w:hAnsi="宋体" w:eastAsia="宋体" w:cs="宋体"/>
                <w:spacing w:val="13"/>
                <w:sz w:val="20"/>
                <w:szCs w:val="20"/>
              </w:rPr>
              <w:t>措</w:t>
            </w:r>
            <w:r>
              <w:rPr>
                <w:rFonts w:ascii="宋体" w:hAnsi="宋体" w:eastAsia="宋体" w:cs="宋体"/>
                <w:spacing w:val="8"/>
                <w:sz w:val="20"/>
                <w:szCs w:val="20"/>
              </w:rPr>
              <w:t>施落实到位，无废水排放；</w:t>
            </w:r>
          </w:p>
        </w:tc>
      </w:tr>
      <w:tr w14:paraId="7F79B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3" w:hRule="atLeast"/>
        </w:trPr>
        <w:tc>
          <w:tcPr>
            <w:tcW w:w="604" w:type="dxa"/>
            <w:tcBorders>
              <w:left w:val="nil"/>
            </w:tcBorders>
            <w:textDirection w:val="tbRlV"/>
          </w:tcPr>
          <w:p w14:paraId="0BB59B80">
            <w:pPr>
              <w:spacing w:before="283" w:line="216" w:lineRule="auto"/>
              <w:ind w:left="713"/>
              <w:rPr>
                <w:rFonts w:ascii="宋体" w:hAnsi="宋体" w:eastAsia="宋体" w:cs="宋体"/>
                <w:sz w:val="20"/>
                <w:szCs w:val="20"/>
              </w:rPr>
            </w:pPr>
            <w:r>
              <w:rPr>
                <w:rFonts w:ascii="宋体" w:hAnsi="宋体" w:eastAsia="宋体" w:cs="宋体"/>
                <w:spacing w:val="-11"/>
                <w:sz w:val="20"/>
                <w:szCs w:val="20"/>
              </w:rPr>
              <w:t>地</w:t>
            </w:r>
            <w:r>
              <w:rPr>
                <w:rFonts w:ascii="宋体" w:hAnsi="宋体" w:eastAsia="宋体" w:cs="宋体"/>
                <w:spacing w:val="-9"/>
                <w:sz w:val="20"/>
                <w:szCs w:val="20"/>
              </w:rPr>
              <w:t xml:space="preserve"> 下 水</w:t>
            </w:r>
          </w:p>
        </w:tc>
        <w:tc>
          <w:tcPr>
            <w:tcW w:w="1304" w:type="dxa"/>
          </w:tcPr>
          <w:p w14:paraId="511B3AA4">
            <w:pPr>
              <w:spacing w:line="304" w:lineRule="auto"/>
            </w:pPr>
          </w:p>
          <w:p w14:paraId="1CA587D0">
            <w:pPr>
              <w:spacing w:line="304" w:lineRule="auto"/>
            </w:pPr>
          </w:p>
          <w:p w14:paraId="1557EF10">
            <w:pPr>
              <w:spacing w:line="305" w:lineRule="auto"/>
            </w:pPr>
          </w:p>
          <w:p w14:paraId="697AEAA3">
            <w:pPr>
              <w:spacing w:before="65" w:line="228" w:lineRule="auto"/>
              <w:ind w:left="111"/>
              <w:rPr>
                <w:rFonts w:ascii="宋体" w:hAnsi="宋体" w:eastAsia="宋体" w:cs="宋体"/>
                <w:sz w:val="20"/>
                <w:szCs w:val="20"/>
              </w:rPr>
            </w:pPr>
            <w:r>
              <w:rPr>
                <w:rFonts w:ascii="宋体" w:hAnsi="宋体" w:eastAsia="宋体" w:cs="宋体"/>
                <w:spacing w:val="9"/>
                <w:sz w:val="20"/>
                <w:szCs w:val="20"/>
              </w:rPr>
              <w:t>废</w:t>
            </w:r>
            <w:r>
              <w:rPr>
                <w:rFonts w:ascii="宋体" w:hAnsi="宋体" w:eastAsia="宋体" w:cs="宋体"/>
                <w:spacing w:val="7"/>
                <w:sz w:val="20"/>
                <w:szCs w:val="20"/>
              </w:rPr>
              <w:t>水渗漏</w:t>
            </w:r>
          </w:p>
        </w:tc>
        <w:tc>
          <w:tcPr>
            <w:tcW w:w="2956" w:type="dxa"/>
          </w:tcPr>
          <w:p w14:paraId="2B886767">
            <w:pPr>
              <w:spacing w:line="259" w:lineRule="auto"/>
            </w:pPr>
          </w:p>
          <w:p w14:paraId="2AF39B62">
            <w:pPr>
              <w:spacing w:line="260" w:lineRule="auto"/>
            </w:pPr>
          </w:p>
          <w:p w14:paraId="5E9CC495">
            <w:pPr>
              <w:spacing w:line="260" w:lineRule="auto"/>
            </w:pPr>
          </w:p>
          <w:p w14:paraId="3F2E7AFF">
            <w:pPr>
              <w:spacing w:before="65" w:line="265" w:lineRule="auto"/>
              <w:ind w:left="116" w:right="106" w:hanging="3"/>
              <w:rPr>
                <w:rFonts w:ascii="宋体" w:hAnsi="宋体" w:eastAsia="宋体" w:cs="宋体"/>
                <w:sz w:val="20"/>
                <w:szCs w:val="20"/>
              </w:rPr>
            </w:pPr>
            <w:r>
              <w:rPr>
                <w:rFonts w:ascii="宋体" w:hAnsi="宋体" w:eastAsia="宋体" w:cs="宋体"/>
                <w:spacing w:val="11"/>
                <w:sz w:val="20"/>
                <w:szCs w:val="20"/>
              </w:rPr>
              <w:t>场</w:t>
            </w:r>
            <w:r>
              <w:rPr>
                <w:rFonts w:ascii="宋体" w:hAnsi="宋体" w:eastAsia="宋体" w:cs="宋体"/>
                <w:spacing w:val="10"/>
                <w:sz w:val="20"/>
                <w:szCs w:val="20"/>
              </w:rPr>
              <w:t>内分区防渗措施、厂区及农</w:t>
            </w:r>
            <w:r>
              <w:rPr>
                <w:rFonts w:ascii="宋体" w:hAnsi="宋体" w:eastAsia="宋体" w:cs="宋体"/>
                <w:sz w:val="20"/>
                <w:szCs w:val="20"/>
              </w:rPr>
              <w:t xml:space="preserve"> </w:t>
            </w:r>
            <w:r>
              <w:rPr>
                <w:rFonts w:ascii="宋体" w:hAnsi="宋体" w:eastAsia="宋体" w:cs="宋体"/>
                <w:spacing w:val="9"/>
                <w:sz w:val="20"/>
                <w:szCs w:val="20"/>
              </w:rPr>
              <w:t>灌区下游设置地下水监测</w:t>
            </w:r>
            <w:r>
              <w:rPr>
                <w:rFonts w:ascii="宋体" w:hAnsi="宋体" w:eastAsia="宋体" w:cs="宋体"/>
                <w:spacing w:val="8"/>
                <w:sz w:val="20"/>
                <w:szCs w:val="20"/>
              </w:rPr>
              <w:t>井</w:t>
            </w:r>
          </w:p>
        </w:tc>
        <w:tc>
          <w:tcPr>
            <w:tcW w:w="4424" w:type="dxa"/>
            <w:tcBorders>
              <w:right w:val="nil"/>
            </w:tcBorders>
          </w:tcPr>
          <w:p w14:paraId="75314D91">
            <w:pPr>
              <w:spacing w:before="33" w:line="248" w:lineRule="auto"/>
              <w:ind w:left="108" w:right="104" w:firstLine="4"/>
              <w:rPr>
                <w:rFonts w:ascii="宋体" w:hAnsi="宋体" w:eastAsia="宋体" w:cs="宋体"/>
                <w:sz w:val="20"/>
                <w:szCs w:val="20"/>
              </w:rPr>
            </w:pPr>
            <w:r>
              <w:rPr>
                <w:rFonts w:ascii="宋体" w:hAnsi="宋体" w:eastAsia="宋体" w:cs="宋体"/>
                <w:spacing w:val="10"/>
                <w:sz w:val="20"/>
                <w:szCs w:val="20"/>
              </w:rPr>
              <w:t>禁止开发利用区内未建设猪舍、污水处理及</w:t>
            </w:r>
            <w:r>
              <w:rPr>
                <w:rFonts w:ascii="宋体" w:hAnsi="宋体" w:eastAsia="宋体" w:cs="宋体"/>
                <w:spacing w:val="9"/>
                <w:sz w:val="20"/>
                <w:szCs w:val="20"/>
              </w:rPr>
              <w:t>废</w:t>
            </w:r>
            <w:r>
              <w:rPr>
                <w:rFonts w:ascii="宋体" w:hAnsi="宋体" w:eastAsia="宋体" w:cs="宋体"/>
                <w:sz w:val="20"/>
                <w:szCs w:val="20"/>
              </w:rPr>
              <w:t xml:space="preserve"> </w:t>
            </w:r>
            <w:r>
              <w:rPr>
                <w:rFonts w:ascii="宋体" w:hAnsi="宋体" w:eastAsia="宋体" w:cs="宋体"/>
                <w:spacing w:val="13"/>
                <w:sz w:val="20"/>
                <w:szCs w:val="20"/>
              </w:rPr>
              <w:t>物</w:t>
            </w:r>
            <w:r>
              <w:rPr>
                <w:rFonts w:ascii="宋体" w:hAnsi="宋体" w:eastAsia="宋体" w:cs="宋体"/>
                <w:spacing w:val="10"/>
                <w:sz w:val="20"/>
                <w:szCs w:val="20"/>
              </w:rPr>
              <w:t>贮存设施；重点防渗区地面采用钢筋混凝土</w:t>
            </w:r>
            <w:r>
              <w:rPr>
                <w:rFonts w:ascii="宋体" w:hAnsi="宋体" w:eastAsia="宋体" w:cs="宋体"/>
                <w:sz w:val="20"/>
                <w:szCs w:val="20"/>
              </w:rPr>
              <w:t xml:space="preserve"> </w:t>
            </w:r>
            <w:r>
              <w:rPr>
                <w:rFonts w:ascii="宋体" w:hAnsi="宋体" w:eastAsia="宋体" w:cs="宋体"/>
                <w:spacing w:val="16"/>
                <w:sz w:val="20"/>
                <w:szCs w:val="20"/>
              </w:rPr>
              <w:t>加</w:t>
            </w:r>
            <w:r>
              <w:rPr>
                <w:rFonts w:ascii="宋体" w:hAnsi="宋体" w:eastAsia="宋体" w:cs="宋体"/>
                <w:spacing w:val="13"/>
                <w:sz w:val="20"/>
                <w:szCs w:val="20"/>
              </w:rPr>
              <w:t>防</w:t>
            </w:r>
            <w:r>
              <w:rPr>
                <w:rFonts w:ascii="宋体" w:hAnsi="宋体" w:eastAsia="宋体" w:cs="宋体"/>
                <w:spacing w:val="8"/>
                <w:sz w:val="20"/>
                <w:szCs w:val="20"/>
              </w:rPr>
              <w:t>渗剂的防渗地坪</w:t>
            </w:r>
            <w:r>
              <w:rPr>
                <w:rFonts w:ascii="Times New Roman" w:hAnsi="Times New Roman" w:eastAsia="Times New Roman" w:cs="Times New Roman"/>
                <w:spacing w:val="8"/>
                <w:sz w:val="20"/>
                <w:szCs w:val="20"/>
              </w:rPr>
              <w:t>+</w:t>
            </w:r>
            <w:r>
              <w:rPr>
                <w:rFonts w:ascii="宋体" w:hAnsi="宋体" w:eastAsia="宋体" w:cs="宋体"/>
                <w:spacing w:val="8"/>
                <w:sz w:val="20"/>
                <w:szCs w:val="20"/>
              </w:rPr>
              <w:t>人工材料 (</w:t>
            </w:r>
            <w:r>
              <w:rPr>
                <w:rFonts w:ascii="Times New Roman" w:hAnsi="Times New Roman" w:eastAsia="Times New Roman" w:cs="Times New Roman"/>
                <w:sz w:val="20"/>
                <w:szCs w:val="20"/>
              </w:rPr>
              <w:t>HDPE</w:t>
            </w:r>
            <w:r>
              <w:rPr>
                <w:rFonts w:ascii="宋体" w:hAnsi="宋体" w:eastAsia="宋体" w:cs="宋体"/>
                <w:spacing w:val="8"/>
                <w:sz w:val="20"/>
                <w:szCs w:val="20"/>
              </w:rPr>
              <w:t>) 防渗</w:t>
            </w:r>
            <w:r>
              <w:rPr>
                <w:rFonts w:ascii="宋体" w:hAnsi="宋体" w:eastAsia="宋体" w:cs="宋体"/>
                <w:sz w:val="20"/>
                <w:szCs w:val="20"/>
              </w:rPr>
              <w:t xml:space="preserve"> </w:t>
            </w:r>
            <w:r>
              <w:rPr>
                <w:rFonts w:ascii="宋体" w:hAnsi="宋体" w:eastAsia="宋体" w:cs="宋体"/>
                <w:spacing w:val="-14"/>
                <w:sz w:val="20"/>
                <w:szCs w:val="20"/>
              </w:rPr>
              <w:t>层</w:t>
            </w:r>
            <w:r>
              <w:rPr>
                <w:rFonts w:ascii="宋体" w:hAnsi="宋体" w:eastAsia="宋体" w:cs="宋体"/>
                <w:spacing w:val="-11"/>
                <w:sz w:val="20"/>
                <w:szCs w:val="20"/>
              </w:rPr>
              <w:t xml:space="preserve"> </w:t>
            </w:r>
            <w:r>
              <w:rPr>
                <w:rFonts w:ascii="宋体" w:hAnsi="宋体" w:eastAsia="宋体" w:cs="宋体"/>
                <w:spacing w:val="-7"/>
                <w:sz w:val="20"/>
                <w:szCs w:val="20"/>
              </w:rPr>
              <w:t xml:space="preserve">，  确 保 等 效 黏 土 防 渗 层 </w:t>
            </w:r>
            <w:r>
              <w:rPr>
                <w:rFonts w:ascii="Times New Roman" w:hAnsi="Times New Roman" w:eastAsia="Times New Roman" w:cs="Times New Roman"/>
                <w:spacing w:val="-7"/>
                <w:sz w:val="20"/>
                <w:szCs w:val="20"/>
              </w:rPr>
              <w:t xml:space="preserve">Mb≥6.0m </w:t>
            </w:r>
            <w:r>
              <w:rPr>
                <w:rFonts w:ascii="宋体" w:hAnsi="宋体" w:eastAsia="宋体" w:cs="宋体"/>
                <w:spacing w:val="-7"/>
                <w:sz w:val="20"/>
                <w:szCs w:val="20"/>
              </w:rPr>
              <w:t>，</w:t>
            </w:r>
            <w:r>
              <w:rPr>
                <w:rFonts w:ascii="宋体" w:hAnsi="宋体" w:eastAsia="宋体" w:cs="宋体"/>
                <w:sz w:val="20"/>
                <w:szCs w:val="20"/>
              </w:rPr>
              <w:t xml:space="preserve"> </w:t>
            </w:r>
            <w:r>
              <w:rPr>
                <w:rFonts w:ascii="Times New Roman" w:hAnsi="Times New Roman" w:eastAsia="Times New Roman" w:cs="Times New Roman"/>
                <w:sz w:val="20"/>
                <w:szCs w:val="20"/>
              </w:rPr>
              <w:t>K</w:t>
            </w:r>
            <w:r>
              <w:rPr>
                <w:rFonts w:ascii="Times New Roman" w:hAnsi="Times New Roman" w:eastAsia="Times New Roman" w:cs="Times New Roman"/>
                <w:spacing w:val="12"/>
                <w:sz w:val="20"/>
                <w:szCs w:val="20"/>
              </w:rPr>
              <w:t>≤</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pacing w:val="6"/>
                <w:sz w:val="20"/>
                <w:szCs w:val="20"/>
              </w:rPr>
              <w:t>1×10</w:t>
            </w:r>
            <w:r>
              <w:rPr>
                <w:rFonts w:ascii="Times New Roman" w:hAnsi="Times New Roman" w:eastAsia="Times New Roman" w:cs="Times New Roman"/>
                <w:spacing w:val="6"/>
                <w:position w:val="6"/>
                <w:sz w:val="13"/>
                <w:szCs w:val="13"/>
              </w:rPr>
              <w:t>-7</w:t>
            </w:r>
            <w:r>
              <w:rPr>
                <w:rFonts w:ascii="Times New Roman" w:hAnsi="Times New Roman" w:eastAsia="Times New Roman" w:cs="Times New Roman"/>
                <w:sz w:val="20"/>
                <w:szCs w:val="20"/>
              </w:rPr>
              <w:t>cm</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s</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rPr>
              <w:t>；一般防渗区地面采取钢筋混凝</w:t>
            </w:r>
            <w:r>
              <w:rPr>
                <w:rFonts w:ascii="宋体" w:hAnsi="宋体" w:eastAsia="宋体" w:cs="宋体"/>
                <w:sz w:val="20"/>
                <w:szCs w:val="20"/>
              </w:rPr>
              <w:t xml:space="preserve"> </w:t>
            </w:r>
            <w:r>
              <w:rPr>
                <w:rFonts w:ascii="宋体" w:hAnsi="宋体" w:eastAsia="宋体" w:cs="宋体"/>
                <w:spacing w:val="23"/>
                <w:sz w:val="20"/>
                <w:szCs w:val="20"/>
              </w:rPr>
              <w:t>土</w:t>
            </w:r>
            <w:r>
              <w:rPr>
                <w:rFonts w:ascii="宋体" w:hAnsi="宋体" w:eastAsia="宋体" w:cs="宋体"/>
                <w:spacing w:val="20"/>
                <w:sz w:val="20"/>
                <w:szCs w:val="20"/>
              </w:rPr>
              <w:t>并涂覆防渗涂料 ， 确保等效黏土防渗层</w:t>
            </w:r>
            <w:r>
              <w:rPr>
                <w:rFonts w:ascii="宋体" w:hAnsi="宋体" w:eastAsia="宋体" w:cs="宋体"/>
                <w:sz w:val="20"/>
                <w:szCs w:val="20"/>
              </w:rPr>
              <w:t xml:space="preserve"> </w:t>
            </w:r>
            <w:r>
              <w:rPr>
                <w:rFonts w:ascii="Times New Roman" w:hAnsi="Times New Roman" w:eastAsia="Times New Roman" w:cs="Times New Roman"/>
                <w:sz w:val="20"/>
                <w:szCs w:val="20"/>
              </w:rPr>
              <w:t>Mb</w:t>
            </w:r>
            <w:r>
              <w:rPr>
                <w:rFonts w:ascii="Times New Roman" w:hAnsi="Times New Roman" w:eastAsia="Times New Roman" w:cs="Times New Roman"/>
                <w:spacing w:val="4"/>
                <w:sz w:val="20"/>
                <w:szCs w:val="20"/>
              </w:rPr>
              <w:t>≥</w:t>
            </w:r>
            <w:r>
              <w:rPr>
                <w:rFonts w:ascii="Times New Roman" w:hAnsi="Times New Roman" w:eastAsia="Times New Roman" w:cs="Times New Roman"/>
                <w:spacing w:val="3"/>
                <w:sz w:val="20"/>
                <w:szCs w:val="20"/>
              </w:rPr>
              <w:t>1.5</w:t>
            </w:r>
            <w:r>
              <w:rPr>
                <w:rFonts w:ascii="Times New Roman" w:hAnsi="Times New Roman" w:eastAsia="Times New Roman" w:cs="Times New Roman"/>
                <w:sz w:val="20"/>
                <w:szCs w:val="20"/>
              </w:rPr>
              <w:t>m</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w:t>
            </w:r>
            <w:r>
              <w:rPr>
                <w:rFonts w:ascii="Times New Roman" w:hAnsi="Times New Roman" w:eastAsia="Times New Roman" w:cs="Times New Roman"/>
                <w:sz w:val="20"/>
                <w:szCs w:val="20"/>
              </w:rPr>
              <w:t>K</w:t>
            </w:r>
            <w:r>
              <w:rPr>
                <w:rFonts w:ascii="Times New Roman" w:hAnsi="Times New Roman" w:eastAsia="Times New Roman" w:cs="Times New Roman"/>
                <w:spacing w:val="3"/>
                <w:sz w:val="20"/>
                <w:szCs w:val="20"/>
              </w:rPr>
              <w:t>≤ 1×10</w:t>
            </w:r>
            <w:r>
              <w:rPr>
                <w:rFonts w:ascii="Times New Roman" w:hAnsi="Times New Roman" w:eastAsia="Times New Roman" w:cs="Times New Roman"/>
                <w:spacing w:val="3"/>
                <w:position w:val="6"/>
                <w:sz w:val="13"/>
                <w:szCs w:val="13"/>
              </w:rPr>
              <w:t xml:space="preserve">-7 </w:t>
            </w:r>
            <w:r>
              <w:rPr>
                <w:rFonts w:ascii="Times New Roman" w:hAnsi="Times New Roman" w:eastAsia="Times New Roman" w:cs="Times New Roman"/>
                <w:sz w:val="20"/>
                <w:szCs w:val="20"/>
              </w:rPr>
              <w:t>cm</w:t>
            </w:r>
            <w:r>
              <w:rPr>
                <w:rFonts w:ascii="Times New Roman" w:hAnsi="Times New Roman" w:eastAsia="Times New Roman" w:cs="Times New Roman"/>
                <w:spacing w:val="3"/>
                <w:sz w:val="20"/>
                <w:szCs w:val="20"/>
              </w:rPr>
              <w:t>/</w:t>
            </w:r>
            <w:r>
              <w:rPr>
                <w:rFonts w:ascii="Times New Roman" w:hAnsi="Times New Roman" w:eastAsia="Times New Roman" w:cs="Times New Roman"/>
                <w:sz w:val="20"/>
                <w:szCs w:val="20"/>
              </w:rPr>
              <w:t>s</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；厂区及农灌区下游</w:t>
            </w:r>
            <w:r>
              <w:rPr>
                <w:rFonts w:ascii="宋体" w:hAnsi="宋体" w:eastAsia="宋体" w:cs="宋体"/>
                <w:sz w:val="20"/>
                <w:szCs w:val="20"/>
              </w:rPr>
              <w:t xml:space="preserve"> </w:t>
            </w:r>
            <w:r>
              <w:rPr>
                <w:rFonts w:ascii="宋体" w:hAnsi="宋体" w:eastAsia="宋体" w:cs="宋体"/>
                <w:spacing w:val="2"/>
                <w:sz w:val="20"/>
                <w:szCs w:val="20"/>
              </w:rPr>
              <w:t>设有监测井</w:t>
            </w:r>
            <w:r>
              <w:rPr>
                <w:rFonts w:ascii="宋体" w:hAnsi="宋体" w:eastAsia="宋体" w:cs="宋体"/>
                <w:spacing w:val="1"/>
                <w:sz w:val="20"/>
                <w:szCs w:val="20"/>
              </w:rPr>
              <w:t xml:space="preserve"> </w:t>
            </w:r>
            <w:r>
              <w:rPr>
                <w:rFonts w:ascii="Times New Roman" w:hAnsi="Times New Roman" w:eastAsia="Times New Roman" w:cs="Times New Roman"/>
                <w:spacing w:val="1"/>
                <w:sz w:val="20"/>
                <w:szCs w:val="20"/>
              </w:rPr>
              <w:t xml:space="preserve">2 </w:t>
            </w:r>
            <w:r>
              <w:rPr>
                <w:rFonts w:ascii="宋体" w:hAnsi="宋体" w:eastAsia="宋体" w:cs="宋体"/>
                <w:spacing w:val="1"/>
                <w:sz w:val="20"/>
                <w:szCs w:val="20"/>
              </w:rPr>
              <w:t>口。</w:t>
            </w:r>
          </w:p>
        </w:tc>
      </w:tr>
      <w:tr w14:paraId="570FF6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03" w:hRule="atLeast"/>
        </w:trPr>
        <w:tc>
          <w:tcPr>
            <w:tcW w:w="604" w:type="dxa"/>
            <w:tcBorders>
              <w:left w:val="nil"/>
            </w:tcBorders>
            <w:textDirection w:val="tbRlV"/>
          </w:tcPr>
          <w:p w14:paraId="7B97893D">
            <w:pPr>
              <w:spacing w:before="283" w:line="216" w:lineRule="auto"/>
              <w:ind w:left="850"/>
              <w:rPr>
                <w:rFonts w:ascii="宋体" w:hAnsi="宋体" w:eastAsia="宋体" w:cs="宋体"/>
                <w:sz w:val="20"/>
                <w:szCs w:val="20"/>
              </w:rPr>
            </w:pPr>
            <w:r>
              <w:rPr>
                <w:rFonts w:ascii="宋体" w:hAnsi="宋体" w:eastAsia="宋体" w:cs="宋体"/>
                <w:spacing w:val="-9"/>
                <w:sz w:val="20"/>
                <w:szCs w:val="20"/>
              </w:rPr>
              <w:t>大</w:t>
            </w:r>
            <w:r>
              <w:rPr>
                <w:rFonts w:ascii="宋体" w:hAnsi="宋体" w:eastAsia="宋体" w:cs="宋体"/>
                <w:spacing w:val="-6"/>
                <w:sz w:val="20"/>
                <w:szCs w:val="20"/>
              </w:rPr>
              <w:t xml:space="preserve"> 气</w:t>
            </w:r>
          </w:p>
        </w:tc>
        <w:tc>
          <w:tcPr>
            <w:tcW w:w="1304" w:type="dxa"/>
          </w:tcPr>
          <w:p w14:paraId="7F78EF5A">
            <w:pPr>
              <w:spacing w:line="255" w:lineRule="auto"/>
            </w:pPr>
          </w:p>
          <w:p w14:paraId="5D835C2F">
            <w:pPr>
              <w:spacing w:line="255" w:lineRule="auto"/>
            </w:pPr>
          </w:p>
          <w:p w14:paraId="13746718">
            <w:pPr>
              <w:spacing w:before="65" w:line="259" w:lineRule="auto"/>
              <w:ind w:left="112" w:right="106"/>
              <w:rPr>
                <w:rFonts w:ascii="宋体" w:hAnsi="宋体" w:eastAsia="宋体" w:cs="宋体"/>
                <w:sz w:val="20"/>
                <w:szCs w:val="20"/>
              </w:rPr>
            </w:pPr>
            <w:r>
              <w:rPr>
                <w:rFonts w:ascii="宋体" w:hAnsi="宋体" w:eastAsia="宋体" w:cs="宋体"/>
                <w:spacing w:val="16"/>
                <w:sz w:val="20"/>
                <w:szCs w:val="20"/>
              </w:rPr>
              <w:t>猪舍、集</w:t>
            </w:r>
            <w:r>
              <w:rPr>
                <w:rFonts w:ascii="宋体" w:hAnsi="宋体" w:eastAsia="宋体" w:cs="宋体"/>
                <w:spacing w:val="15"/>
                <w:sz w:val="20"/>
                <w:szCs w:val="20"/>
              </w:rPr>
              <w:t>污</w:t>
            </w:r>
            <w:r>
              <w:rPr>
                <w:rFonts w:ascii="宋体" w:hAnsi="宋体" w:eastAsia="宋体" w:cs="宋体"/>
                <w:sz w:val="20"/>
                <w:szCs w:val="20"/>
              </w:rPr>
              <w:t xml:space="preserve"> </w:t>
            </w:r>
            <w:r>
              <w:rPr>
                <w:rFonts w:ascii="宋体" w:hAnsi="宋体" w:eastAsia="宋体" w:cs="宋体"/>
                <w:spacing w:val="16"/>
                <w:sz w:val="20"/>
                <w:szCs w:val="20"/>
              </w:rPr>
              <w:t>池、异位</w:t>
            </w:r>
            <w:r>
              <w:rPr>
                <w:rFonts w:ascii="宋体" w:hAnsi="宋体" w:eastAsia="宋体" w:cs="宋体"/>
                <w:spacing w:val="15"/>
                <w:sz w:val="20"/>
                <w:szCs w:val="20"/>
              </w:rPr>
              <w:t>微</w:t>
            </w:r>
            <w:r>
              <w:rPr>
                <w:rFonts w:ascii="宋体" w:hAnsi="宋体" w:eastAsia="宋体" w:cs="宋体"/>
                <w:sz w:val="20"/>
                <w:szCs w:val="20"/>
              </w:rPr>
              <w:t xml:space="preserve"> </w:t>
            </w:r>
            <w:r>
              <w:rPr>
                <w:rFonts w:ascii="宋体" w:hAnsi="宋体" w:eastAsia="宋体" w:cs="宋体"/>
                <w:spacing w:val="16"/>
                <w:sz w:val="20"/>
                <w:szCs w:val="20"/>
              </w:rPr>
              <w:t>生物发酵</w:t>
            </w:r>
            <w:r>
              <w:rPr>
                <w:rFonts w:ascii="宋体" w:hAnsi="宋体" w:eastAsia="宋体" w:cs="宋体"/>
                <w:spacing w:val="15"/>
                <w:sz w:val="20"/>
                <w:szCs w:val="20"/>
              </w:rPr>
              <w:t>系</w:t>
            </w:r>
            <w:r>
              <w:rPr>
                <w:rFonts w:ascii="宋体" w:hAnsi="宋体" w:eastAsia="宋体" w:cs="宋体"/>
                <w:sz w:val="20"/>
                <w:szCs w:val="20"/>
              </w:rPr>
              <w:t xml:space="preserve"> 统</w:t>
            </w:r>
          </w:p>
        </w:tc>
        <w:tc>
          <w:tcPr>
            <w:tcW w:w="2956" w:type="dxa"/>
          </w:tcPr>
          <w:p w14:paraId="73A3CC65">
            <w:pPr>
              <w:spacing w:before="37" w:line="248" w:lineRule="auto"/>
              <w:ind w:left="113" w:right="51"/>
              <w:rPr>
                <w:rFonts w:ascii="宋体" w:hAnsi="宋体" w:eastAsia="宋体" w:cs="宋体"/>
                <w:sz w:val="20"/>
                <w:szCs w:val="20"/>
              </w:rPr>
            </w:pPr>
            <w:r>
              <w:rPr>
                <w:rFonts w:ascii="宋体" w:hAnsi="宋体" w:eastAsia="宋体" w:cs="宋体"/>
                <w:spacing w:val="10"/>
                <w:sz w:val="20"/>
                <w:szCs w:val="20"/>
              </w:rPr>
              <w:t>食堂油烟采用油烟净化系统处</w:t>
            </w:r>
            <w:r>
              <w:rPr>
                <w:rFonts w:ascii="宋体" w:hAnsi="宋体" w:eastAsia="宋体" w:cs="宋体"/>
                <w:sz w:val="20"/>
                <w:szCs w:val="20"/>
              </w:rPr>
              <w:t xml:space="preserve"> </w:t>
            </w:r>
            <w:r>
              <w:rPr>
                <w:rFonts w:ascii="宋体" w:hAnsi="宋体" w:eastAsia="宋体" w:cs="宋体"/>
                <w:spacing w:val="11"/>
                <w:sz w:val="20"/>
                <w:szCs w:val="20"/>
              </w:rPr>
              <w:t>理</w:t>
            </w:r>
            <w:r>
              <w:rPr>
                <w:rFonts w:ascii="宋体" w:hAnsi="宋体" w:eastAsia="宋体" w:cs="宋体"/>
                <w:spacing w:val="10"/>
                <w:sz w:val="20"/>
                <w:szCs w:val="20"/>
              </w:rPr>
              <w:t>；猪舍恶臭采用科学设计日</w:t>
            </w:r>
            <w:r>
              <w:rPr>
                <w:rFonts w:ascii="宋体" w:hAnsi="宋体" w:eastAsia="宋体" w:cs="宋体"/>
                <w:sz w:val="20"/>
                <w:szCs w:val="20"/>
              </w:rPr>
              <w:t xml:space="preserve"> </w:t>
            </w:r>
            <w:r>
              <w:rPr>
                <w:rFonts w:ascii="宋体" w:hAnsi="宋体" w:eastAsia="宋体" w:cs="宋体"/>
                <w:spacing w:val="11"/>
                <w:sz w:val="20"/>
                <w:szCs w:val="20"/>
              </w:rPr>
              <w:t>粮</w:t>
            </w:r>
            <w:r>
              <w:rPr>
                <w:rFonts w:ascii="宋体" w:hAnsi="宋体" w:eastAsia="宋体" w:cs="宋体"/>
                <w:spacing w:val="10"/>
                <w:sz w:val="20"/>
                <w:szCs w:val="20"/>
              </w:rPr>
              <w:t>，提高饲料利用率；合理使</w:t>
            </w:r>
            <w:r>
              <w:rPr>
                <w:rFonts w:ascii="宋体" w:hAnsi="宋体" w:eastAsia="宋体" w:cs="宋体"/>
                <w:sz w:val="20"/>
                <w:szCs w:val="20"/>
              </w:rPr>
              <w:t xml:space="preserve"> </w:t>
            </w:r>
            <w:r>
              <w:rPr>
                <w:rFonts w:ascii="宋体" w:hAnsi="宋体" w:eastAsia="宋体" w:cs="宋体"/>
                <w:spacing w:val="-2"/>
                <w:sz w:val="20"/>
                <w:szCs w:val="20"/>
              </w:rPr>
              <w:t>用</w:t>
            </w:r>
            <w:r>
              <w:rPr>
                <w:rFonts w:ascii="宋体" w:hAnsi="宋体" w:eastAsia="宋体" w:cs="宋体"/>
                <w:spacing w:val="-1"/>
                <w:sz w:val="20"/>
                <w:szCs w:val="20"/>
              </w:rPr>
              <w:t>饲料添加剂，加强卫生管理，</w:t>
            </w:r>
            <w:r>
              <w:rPr>
                <w:rFonts w:ascii="宋体" w:hAnsi="宋体" w:eastAsia="宋体" w:cs="宋体"/>
                <w:sz w:val="20"/>
                <w:szCs w:val="20"/>
              </w:rPr>
              <w:t xml:space="preserve"> </w:t>
            </w:r>
            <w:r>
              <w:rPr>
                <w:rFonts w:ascii="宋体" w:hAnsi="宋体" w:eastAsia="宋体" w:cs="宋体"/>
                <w:spacing w:val="11"/>
                <w:sz w:val="20"/>
                <w:szCs w:val="20"/>
              </w:rPr>
              <w:t>加</w:t>
            </w:r>
            <w:r>
              <w:rPr>
                <w:rFonts w:ascii="宋体" w:hAnsi="宋体" w:eastAsia="宋体" w:cs="宋体"/>
                <w:spacing w:val="10"/>
                <w:sz w:val="20"/>
                <w:szCs w:val="20"/>
              </w:rPr>
              <w:t>强绿化措施；异位微生物发</w:t>
            </w:r>
            <w:r>
              <w:rPr>
                <w:rFonts w:ascii="宋体" w:hAnsi="宋体" w:eastAsia="宋体" w:cs="宋体"/>
                <w:sz w:val="20"/>
                <w:szCs w:val="20"/>
              </w:rPr>
              <w:t xml:space="preserve"> </w:t>
            </w:r>
            <w:r>
              <w:rPr>
                <w:rFonts w:ascii="宋体" w:hAnsi="宋体" w:eastAsia="宋体" w:cs="宋体"/>
                <w:spacing w:val="15"/>
                <w:sz w:val="20"/>
                <w:szCs w:val="20"/>
              </w:rPr>
              <w:t>酵</w:t>
            </w:r>
            <w:r>
              <w:rPr>
                <w:rFonts w:ascii="宋体" w:hAnsi="宋体" w:eastAsia="宋体" w:cs="宋体"/>
                <w:spacing w:val="11"/>
                <w:sz w:val="20"/>
                <w:szCs w:val="20"/>
              </w:rPr>
              <w:t>系统采用定期喷散除臭剂，</w:t>
            </w:r>
            <w:r>
              <w:rPr>
                <w:rFonts w:ascii="宋体" w:hAnsi="宋体" w:eastAsia="宋体" w:cs="宋体"/>
                <w:sz w:val="20"/>
                <w:szCs w:val="20"/>
              </w:rPr>
              <w:t xml:space="preserve"> </w:t>
            </w:r>
            <w:r>
              <w:rPr>
                <w:rFonts w:ascii="宋体" w:hAnsi="宋体" w:eastAsia="宋体" w:cs="宋体"/>
                <w:spacing w:val="11"/>
                <w:sz w:val="20"/>
                <w:szCs w:val="20"/>
              </w:rPr>
              <w:t>集</w:t>
            </w:r>
            <w:r>
              <w:rPr>
                <w:rFonts w:ascii="宋体" w:hAnsi="宋体" w:eastAsia="宋体" w:cs="宋体"/>
                <w:spacing w:val="10"/>
                <w:sz w:val="20"/>
                <w:szCs w:val="20"/>
              </w:rPr>
              <w:t>污池设计为密闭形式，加强</w:t>
            </w:r>
            <w:r>
              <w:rPr>
                <w:rFonts w:ascii="宋体" w:hAnsi="宋体" w:eastAsia="宋体" w:cs="宋体"/>
                <w:sz w:val="20"/>
                <w:szCs w:val="20"/>
              </w:rPr>
              <w:t xml:space="preserve"> </w:t>
            </w:r>
            <w:r>
              <w:rPr>
                <w:rFonts w:ascii="宋体" w:hAnsi="宋体" w:eastAsia="宋体" w:cs="宋体"/>
                <w:spacing w:val="-2"/>
                <w:sz w:val="20"/>
                <w:szCs w:val="20"/>
              </w:rPr>
              <w:t>操</w:t>
            </w:r>
            <w:r>
              <w:rPr>
                <w:rFonts w:ascii="宋体" w:hAnsi="宋体" w:eastAsia="宋体" w:cs="宋体"/>
                <w:spacing w:val="-1"/>
                <w:sz w:val="20"/>
                <w:szCs w:val="20"/>
              </w:rPr>
              <w:t>作管理，粪污喷淋必须密闭，</w:t>
            </w:r>
          </w:p>
        </w:tc>
        <w:tc>
          <w:tcPr>
            <w:tcW w:w="4424" w:type="dxa"/>
            <w:tcBorders>
              <w:right w:val="nil"/>
            </w:tcBorders>
          </w:tcPr>
          <w:p w14:paraId="6DE5463C">
            <w:pPr>
              <w:spacing w:line="322" w:lineRule="auto"/>
            </w:pPr>
          </w:p>
          <w:p w14:paraId="0FC45C44">
            <w:pPr>
              <w:spacing w:line="323" w:lineRule="auto"/>
            </w:pPr>
          </w:p>
          <w:p w14:paraId="7B1468E7">
            <w:pPr>
              <w:spacing w:before="65" w:line="251" w:lineRule="auto"/>
              <w:ind w:left="120" w:right="108" w:firstLine="525"/>
              <w:rPr>
                <w:rFonts w:ascii="Times New Roman" w:hAnsi="Times New Roman" w:eastAsia="Times New Roman" w:cs="Times New Roman"/>
                <w:sz w:val="20"/>
                <w:szCs w:val="20"/>
              </w:rPr>
            </w:pPr>
            <w:r>
              <w:rPr>
                <w:rFonts w:ascii="宋体" w:hAnsi="宋体" w:eastAsia="宋体" w:cs="宋体"/>
                <w:spacing w:val="14"/>
                <w:sz w:val="20"/>
                <w:szCs w:val="20"/>
              </w:rPr>
              <w:t>厂</w:t>
            </w:r>
            <w:r>
              <w:rPr>
                <w:rFonts w:ascii="宋体" w:hAnsi="宋体" w:eastAsia="宋体" w:cs="宋体"/>
                <w:spacing w:val="9"/>
                <w:sz w:val="20"/>
                <w:szCs w:val="20"/>
              </w:rPr>
              <w:t>界无组织氨气和硫化氢排放浓度达到</w:t>
            </w:r>
            <w:r>
              <w:rPr>
                <w:rFonts w:ascii="宋体" w:hAnsi="宋体" w:eastAsia="宋体" w:cs="宋体"/>
                <w:sz w:val="20"/>
                <w:szCs w:val="20"/>
              </w:rPr>
              <w:t xml:space="preserve"> </w:t>
            </w:r>
            <w:r>
              <w:rPr>
                <w:rFonts w:ascii="宋体" w:hAnsi="宋体" w:eastAsia="宋体" w:cs="宋体"/>
                <w:spacing w:val="-1"/>
                <w:sz w:val="20"/>
                <w:szCs w:val="20"/>
              </w:rPr>
              <w:t>《恶</w:t>
            </w:r>
            <w:r>
              <w:rPr>
                <w:rFonts w:ascii="宋体" w:hAnsi="宋体" w:eastAsia="宋体" w:cs="宋体"/>
                <w:sz w:val="20"/>
                <w:szCs w:val="20"/>
              </w:rPr>
              <w:t>臭污染物排放标准》  (</w:t>
            </w:r>
            <w:r>
              <w:rPr>
                <w:rFonts w:ascii="Times New Roman" w:hAnsi="Times New Roman" w:eastAsia="Times New Roman" w:cs="Times New Roman"/>
                <w:sz w:val="20"/>
                <w:szCs w:val="20"/>
              </w:rPr>
              <w:t>GB14554- 93</w:t>
            </w:r>
            <w:r>
              <w:rPr>
                <w:rFonts w:ascii="宋体" w:hAnsi="宋体" w:eastAsia="宋体" w:cs="宋体"/>
                <w:sz w:val="20"/>
                <w:szCs w:val="20"/>
              </w:rPr>
              <w:t xml:space="preserve">) 表 </w:t>
            </w:r>
            <w:r>
              <w:rPr>
                <w:rFonts w:ascii="Times New Roman" w:hAnsi="Times New Roman" w:eastAsia="Times New Roman" w:cs="Times New Roman"/>
                <w:sz w:val="20"/>
                <w:szCs w:val="20"/>
              </w:rPr>
              <w:t>1</w:t>
            </w:r>
          </w:p>
          <w:p w14:paraId="59095BB4">
            <w:pPr>
              <w:spacing w:line="227" w:lineRule="auto"/>
              <w:ind w:left="1186"/>
              <w:rPr>
                <w:rFonts w:ascii="宋体" w:hAnsi="宋体" w:eastAsia="宋体" w:cs="宋体"/>
                <w:sz w:val="20"/>
                <w:szCs w:val="20"/>
              </w:rPr>
            </w:pPr>
            <w:r>
              <w:rPr>
                <w:rFonts w:ascii="宋体" w:hAnsi="宋体" w:eastAsia="宋体" w:cs="宋体"/>
                <w:spacing w:val="7"/>
                <w:sz w:val="20"/>
                <w:szCs w:val="20"/>
              </w:rPr>
              <w:t>中二级改扩建标准限</w:t>
            </w:r>
            <w:r>
              <w:rPr>
                <w:rFonts w:ascii="宋体" w:hAnsi="宋体" w:eastAsia="宋体" w:cs="宋体"/>
                <w:spacing w:val="6"/>
                <w:sz w:val="20"/>
                <w:szCs w:val="20"/>
              </w:rPr>
              <w:t>值</w:t>
            </w:r>
          </w:p>
        </w:tc>
      </w:tr>
    </w:tbl>
    <w:p w14:paraId="1A801F6A"/>
    <w:p w14:paraId="4041E605">
      <w:pPr>
        <w:sectPr>
          <w:headerReference r:id="rId327" w:type="default"/>
          <w:footerReference r:id="rId328" w:type="default"/>
          <w:pgSz w:w="11906" w:h="16839"/>
          <w:pgMar w:top="1118" w:right="1054" w:bottom="1157" w:left="1168" w:header="878" w:footer="994" w:gutter="0"/>
          <w:cols w:space="720" w:num="1"/>
        </w:sectPr>
      </w:pPr>
    </w:p>
    <w:p w14:paraId="3B2236B7">
      <w:pPr>
        <w:spacing w:line="420" w:lineRule="auto"/>
      </w:pPr>
      <w:r>
        <w:pict>
          <v:rect id="_x0000_s2136" o:spid="_x0000_s2136" o:spt="1" style="position:absolute;left:0pt;margin-left:58.4pt;margin-top:63.8pt;height:1.45pt;width:464.4pt;mso-position-horizontal-relative:page;mso-position-vertical-relative:page;z-index:251753472;mso-width-relative:page;mso-height-relative:page;" fillcolor="#000000" filled="t" stroked="f" coordsize="21600,21600" o:allowincell="f">
            <v:path/>
            <v:fill on="t" focussize="0,0"/>
            <v:stroke on="f"/>
            <v:imagedata o:title=""/>
            <o:lock v:ext="edit"/>
          </v:rect>
        </w:pict>
      </w:r>
    </w:p>
    <w:p w14:paraId="2A99EFB6">
      <w:pPr>
        <w:spacing w:before="55" w:line="229" w:lineRule="auto"/>
        <w:ind w:left="228"/>
        <w:rPr>
          <w:rFonts w:ascii="宋体" w:hAnsi="宋体" w:eastAsia="宋体" w:cs="宋体"/>
          <w:sz w:val="17"/>
          <w:szCs w:val="17"/>
        </w:rPr>
      </w:pPr>
      <w:r>
        <w:rPr>
          <w:rFonts w:ascii="宋体" w:hAnsi="宋体" w:eastAsia="宋体" w:cs="宋体"/>
          <w:spacing w:val="2"/>
          <w:sz w:val="17"/>
          <w:szCs w:val="17"/>
        </w:rPr>
        <w:t>井研县丰逸养殖专业合作</w:t>
      </w:r>
      <w:r>
        <w:rPr>
          <w:rFonts w:ascii="宋体" w:hAnsi="宋体" w:eastAsia="宋体" w:cs="宋体"/>
          <w:spacing w:val="1"/>
          <w:sz w:val="17"/>
          <w:szCs w:val="17"/>
        </w:rPr>
        <w:t>社丰逸标准化代养场建设项目                                              环境影响报告书</w:t>
      </w:r>
    </w:p>
    <w:p w14:paraId="6E8DDBCD">
      <w:pPr>
        <w:spacing w:line="14" w:lineRule="exact"/>
      </w:pPr>
    </w:p>
    <w:tbl>
      <w:tblPr>
        <w:tblStyle w:val="4"/>
        <w:tblW w:w="960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4"/>
        <w:gridCol w:w="1304"/>
        <w:gridCol w:w="2956"/>
        <w:gridCol w:w="4740"/>
      </w:tblGrid>
      <w:tr w14:paraId="63DEC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1908" w:type="dxa"/>
            <w:gridSpan w:val="2"/>
            <w:tcBorders>
              <w:left w:val="nil"/>
            </w:tcBorders>
          </w:tcPr>
          <w:p w14:paraId="53363AA3">
            <w:pPr>
              <w:spacing w:before="288" w:line="228" w:lineRule="auto"/>
              <w:ind w:left="757"/>
              <w:rPr>
                <w:rFonts w:ascii="宋体" w:hAnsi="宋体" w:eastAsia="宋体" w:cs="宋体"/>
                <w:sz w:val="20"/>
                <w:szCs w:val="20"/>
              </w:rPr>
            </w:pPr>
            <w:r>
              <w:rPr>
                <w:rFonts w:ascii="宋体" w:hAnsi="宋体" w:eastAsia="宋体" w:cs="宋体"/>
                <w:spacing w:val="8"/>
                <w:sz w:val="20"/>
                <w:szCs w:val="20"/>
                <w14:textOutline w14:w="3797" w14:cap="sq" w14:cmpd="sng" w14:algn="ctr">
                  <w14:solidFill>
                    <w14:srgbClr w14:val="000000"/>
                  </w14:solidFill>
                  <w14:prstDash w14:val="solid"/>
                  <w14:bevel/>
                </w14:textOutline>
              </w:rPr>
              <w:t>治</w:t>
            </w:r>
            <w:r>
              <w:rPr>
                <w:rFonts w:ascii="宋体" w:hAnsi="宋体" w:eastAsia="宋体" w:cs="宋体"/>
                <w:spacing w:val="7"/>
                <w:sz w:val="20"/>
                <w:szCs w:val="20"/>
                <w14:textOutline w14:w="3797" w14:cap="sq" w14:cmpd="sng" w14:algn="ctr">
                  <w14:solidFill>
                    <w14:srgbClr w14:val="000000"/>
                  </w14:solidFill>
                  <w14:prstDash w14:val="solid"/>
                  <w14:bevel/>
                </w14:textOutline>
              </w:rPr>
              <w:t>理对象</w:t>
            </w:r>
          </w:p>
        </w:tc>
        <w:tc>
          <w:tcPr>
            <w:tcW w:w="2956" w:type="dxa"/>
          </w:tcPr>
          <w:p w14:paraId="62746018">
            <w:pPr>
              <w:spacing w:before="289" w:line="228" w:lineRule="auto"/>
              <w:ind w:left="1286"/>
              <w:rPr>
                <w:rFonts w:ascii="宋体" w:hAnsi="宋体" w:eastAsia="宋体" w:cs="宋体"/>
                <w:sz w:val="20"/>
                <w:szCs w:val="20"/>
              </w:rPr>
            </w:pPr>
            <w:r>
              <w:rPr>
                <w:rFonts w:ascii="宋体" w:hAnsi="宋体" w:eastAsia="宋体" w:cs="宋体"/>
                <w:spacing w:val="6"/>
                <w:sz w:val="20"/>
                <w:szCs w:val="20"/>
                <w14:textOutline w14:w="3797" w14:cap="sq" w14:cmpd="sng" w14:algn="ctr">
                  <w14:solidFill>
                    <w14:srgbClr w14:val="000000"/>
                  </w14:solidFill>
                  <w14:prstDash w14:val="solid"/>
                  <w14:bevel/>
                </w14:textOutline>
              </w:rPr>
              <w:t>防</w:t>
            </w:r>
            <w:r>
              <w:rPr>
                <w:rFonts w:ascii="宋体" w:hAnsi="宋体" w:eastAsia="宋体" w:cs="宋体"/>
                <w:spacing w:val="5"/>
                <w:sz w:val="20"/>
                <w:szCs w:val="20"/>
                <w14:textOutline w14:w="3797" w14:cap="sq" w14:cmpd="sng" w14:algn="ctr">
                  <w14:solidFill>
                    <w14:srgbClr w14:val="000000"/>
                  </w14:solidFill>
                  <w14:prstDash w14:val="solid"/>
                  <w14:bevel/>
                </w14:textOutline>
              </w:rPr>
              <w:t>治措施</w:t>
            </w:r>
          </w:p>
        </w:tc>
        <w:tc>
          <w:tcPr>
            <w:tcW w:w="4740" w:type="dxa"/>
            <w:vMerge w:val="restart"/>
            <w:tcBorders>
              <w:bottom w:val="nil"/>
              <w:right w:val="nil"/>
            </w:tcBorders>
          </w:tcPr>
          <w:p w14:paraId="2597739A">
            <w:pPr>
              <w:spacing w:before="288" w:line="228" w:lineRule="auto"/>
              <w:ind w:left="1483"/>
              <w:rPr>
                <w:rFonts w:ascii="宋体" w:hAnsi="宋体" w:eastAsia="宋体" w:cs="宋体"/>
                <w:sz w:val="20"/>
                <w:szCs w:val="20"/>
              </w:rPr>
            </w:pPr>
            <w:r>
              <w:rPr>
                <w:rFonts w:ascii="宋体" w:hAnsi="宋体" w:eastAsia="宋体" w:cs="宋体"/>
                <w:spacing w:val="15"/>
                <w:sz w:val="20"/>
                <w:szCs w:val="20"/>
                <w14:textOutline w14:w="3797" w14:cap="sq" w14:cmpd="sng" w14:algn="ctr">
                  <w14:solidFill>
                    <w14:srgbClr w14:val="000000"/>
                  </w14:solidFill>
                  <w14:prstDash w14:val="solid"/>
                  <w14:bevel/>
                </w14:textOutline>
              </w:rPr>
              <w:t>执</w:t>
            </w:r>
            <w:r>
              <w:rPr>
                <w:rFonts w:ascii="宋体" w:hAnsi="宋体" w:eastAsia="宋体" w:cs="宋体"/>
                <w:spacing w:val="9"/>
                <w:sz w:val="20"/>
                <w:szCs w:val="20"/>
                <w14:textOutline w14:w="3797" w14:cap="sq" w14:cmpd="sng" w14:algn="ctr">
                  <w14:solidFill>
                    <w14:srgbClr w14:val="000000"/>
                  </w14:solidFill>
                  <w14:prstDash w14:val="solid"/>
                  <w14:bevel/>
                </w14:textOutline>
              </w:rPr>
              <w:t>行标准及验收要求</w:t>
            </w:r>
          </w:p>
          <w:p w14:paraId="3E3AB097">
            <w:pPr>
              <w:spacing w:line="281" w:lineRule="auto"/>
            </w:pPr>
          </w:p>
          <w:p w14:paraId="6C955BEE">
            <w:pPr>
              <w:spacing w:line="281" w:lineRule="auto"/>
            </w:pPr>
          </w:p>
          <w:p w14:paraId="38F4B9D0">
            <w:pPr>
              <w:spacing w:line="282" w:lineRule="auto"/>
            </w:pPr>
          </w:p>
          <w:p w14:paraId="1F894040">
            <w:pPr>
              <w:spacing w:line="282" w:lineRule="auto"/>
            </w:pPr>
          </w:p>
          <w:p w14:paraId="6F728900">
            <w:pPr>
              <w:spacing w:before="65" w:line="265" w:lineRule="auto"/>
              <w:ind w:left="114" w:right="425"/>
              <w:rPr>
                <w:rFonts w:ascii="宋体" w:hAnsi="宋体" w:eastAsia="宋体" w:cs="宋体"/>
                <w:sz w:val="20"/>
                <w:szCs w:val="20"/>
              </w:rPr>
            </w:pPr>
            <w:r>
              <w:rPr>
                <w:rFonts w:ascii="宋体" w:hAnsi="宋体" w:eastAsia="宋体" w:cs="宋体"/>
                <w:spacing w:val="10"/>
                <w:sz w:val="20"/>
                <w:szCs w:val="20"/>
              </w:rPr>
              <w:t>厂界噪声符合《工业企业厂界环境噪声排放</w:t>
            </w:r>
            <w:r>
              <w:rPr>
                <w:rFonts w:ascii="宋体" w:hAnsi="宋体" w:eastAsia="宋体" w:cs="宋体"/>
                <w:spacing w:val="6"/>
                <w:sz w:val="20"/>
                <w:szCs w:val="20"/>
              </w:rPr>
              <w:t>标</w:t>
            </w:r>
            <w:r>
              <w:rPr>
                <w:rFonts w:ascii="宋体" w:hAnsi="宋体" w:eastAsia="宋体" w:cs="宋体"/>
                <w:sz w:val="20"/>
                <w:szCs w:val="20"/>
              </w:rPr>
              <w:t xml:space="preserve"> </w:t>
            </w:r>
            <w:r>
              <w:rPr>
                <w:rFonts w:ascii="宋体" w:hAnsi="宋体" w:eastAsia="宋体" w:cs="宋体"/>
                <w:spacing w:val="2"/>
                <w:sz w:val="20"/>
                <w:szCs w:val="20"/>
              </w:rPr>
              <w:t>准》  (</w:t>
            </w:r>
            <w:r>
              <w:rPr>
                <w:rFonts w:ascii="Times New Roman" w:hAnsi="Times New Roman" w:eastAsia="Times New Roman" w:cs="Times New Roman"/>
                <w:sz w:val="20"/>
                <w:szCs w:val="20"/>
              </w:rPr>
              <w:t>GB</w:t>
            </w:r>
            <w:r>
              <w:rPr>
                <w:rFonts w:ascii="Times New Roman" w:hAnsi="Times New Roman" w:eastAsia="Times New Roman" w:cs="Times New Roman"/>
                <w:spacing w:val="2"/>
                <w:sz w:val="20"/>
                <w:szCs w:val="20"/>
              </w:rPr>
              <w:t>1</w:t>
            </w:r>
            <w:r>
              <w:rPr>
                <w:rFonts w:ascii="Times New Roman" w:hAnsi="Times New Roman" w:eastAsia="Times New Roman" w:cs="Times New Roman"/>
                <w:spacing w:val="1"/>
                <w:sz w:val="20"/>
                <w:szCs w:val="20"/>
              </w:rPr>
              <w:t>2348-2008</w:t>
            </w:r>
            <w:r>
              <w:rPr>
                <w:rFonts w:ascii="宋体" w:hAnsi="宋体" w:eastAsia="宋体" w:cs="宋体"/>
                <w:spacing w:val="1"/>
                <w:sz w:val="20"/>
                <w:szCs w:val="20"/>
              </w:rPr>
              <w:t xml:space="preserve">) </w:t>
            </w:r>
            <w:r>
              <w:rPr>
                <w:rFonts w:ascii="Times New Roman" w:hAnsi="Times New Roman" w:eastAsia="Times New Roman" w:cs="Times New Roman"/>
                <w:spacing w:val="1"/>
                <w:sz w:val="20"/>
                <w:szCs w:val="20"/>
              </w:rPr>
              <w:t xml:space="preserve">2 </w:t>
            </w:r>
            <w:r>
              <w:rPr>
                <w:rFonts w:ascii="宋体" w:hAnsi="宋体" w:eastAsia="宋体" w:cs="宋体"/>
                <w:spacing w:val="1"/>
                <w:sz w:val="20"/>
                <w:szCs w:val="20"/>
              </w:rPr>
              <w:t>类标准</w:t>
            </w:r>
          </w:p>
          <w:p w14:paraId="17FEB638">
            <w:pPr>
              <w:spacing w:before="251" w:line="257" w:lineRule="auto"/>
              <w:ind w:left="112" w:right="402"/>
              <w:rPr>
                <w:rFonts w:ascii="宋体" w:hAnsi="宋体" w:eastAsia="宋体" w:cs="宋体"/>
                <w:sz w:val="20"/>
                <w:szCs w:val="20"/>
              </w:rPr>
            </w:pPr>
            <w:r>
              <w:rPr>
                <w:rFonts w:ascii="宋体" w:hAnsi="宋体" w:eastAsia="宋体" w:cs="宋体"/>
                <w:spacing w:val="-1"/>
                <w:sz w:val="20"/>
                <w:szCs w:val="20"/>
              </w:rPr>
              <w:t>措</w:t>
            </w:r>
            <w:r>
              <w:rPr>
                <w:rFonts w:ascii="宋体" w:hAnsi="宋体" w:eastAsia="宋体" w:cs="宋体"/>
                <w:sz w:val="20"/>
                <w:szCs w:val="20"/>
              </w:rPr>
              <w:t xml:space="preserve">是否满足环保要求。有机肥产品是否符合《畜 </w:t>
            </w:r>
            <w:r>
              <w:rPr>
                <w:rFonts w:ascii="宋体" w:hAnsi="宋体" w:eastAsia="宋体" w:cs="宋体"/>
                <w:spacing w:val="3"/>
                <w:sz w:val="20"/>
                <w:szCs w:val="20"/>
              </w:rPr>
              <w:t>禽养殖业污染物排放标准》  (</w:t>
            </w:r>
            <w:r>
              <w:rPr>
                <w:rFonts w:ascii="Times New Roman" w:hAnsi="Times New Roman" w:eastAsia="Times New Roman" w:cs="Times New Roman"/>
                <w:sz w:val="20"/>
                <w:szCs w:val="20"/>
              </w:rPr>
              <w:t>GB</w:t>
            </w:r>
            <w:r>
              <w:rPr>
                <w:rFonts w:ascii="Times New Roman" w:hAnsi="Times New Roman" w:eastAsia="Times New Roman" w:cs="Times New Roman"/>
                <w:spacing w:val="3"/>
                <w:sz w:val="20"/>
                <w:szCs w:val="20"/>
              </w:rPr>
              <w:t>18596-2001</w:t>
            </w:r>
            <w:r>
              <w:rPr>
                <w:rFonts w:ascii="宋体" w:hAnsi="宋体" w:eastAsia="宋体" w:cs="宋体"/>
                <w:spacing w:val="1"/>
                <w:sz w:val="20"/>
                <w:szCs w:val="20"/>
              </w:rPr>
              <w:t>)</w:t>
            </w:r>
            <w:r>
              <w:rPr>
                <w:rFonts w:ascii="宋体" w:hAnsi="宋体" w:eastAsia="宋体" w:cs="宋体"/>
                <w:sz w:val="20"/>
                <w:szCs w:val="20"/>
              </w:rPr>
              <w:t xml:space="preserve"> </w:t>
            </w:r>
            <w:r>
              <w:rPr>
                <w:rFonts w:ascii="宋体" w:hAnsi="宋体" w:eastAsia="宋体" w:cs="宋体"/>
                <w:spacing w:val="10"/>
                <w:sz w:val="20"/>
                <w:szCs w:val="20"/>
              </w:rPr>
              <w:t>中的畜禽养殖业废渣无害化环境标准及《粪</w:t>
            </w:r>
            <w:r>
              <w:rPr>
                <w:rFonts w:ascii="宋体" w:hAnsi="宋体" w:eastAsia="宋体" w:cs="宋体"/>
                <w:spacing w:val="8"/>
                <w:sz w:val="20"/>
                <w:szCs w:val="20"/>
              </w:rPr>
              <w:t>便</w:t>
            </w:r>
            <w:r>
              <w:rPr>
                <w:rFonts w:ascii="宋体" w:hAnsi="宋体" w:eastAsia="宋体" w:cs="宋体"/>
                <w:sz w:val="20"/>
                <w:szCs w:val="20"/>
              </w:rPr>
              <w:t xml:space="preserve"> </w:t>
            </w:r>
            <w:r>
              <w:rPr>
                <w:rFonts w:ascii="宋体" w:hAnsi="宋体" w:eastAsia="宋体" w:cs="宋体"/>
                <w:spacing w:val="6"/>
                <w:sz w:val="20"/>
                <w:szCs w:val="20"/>
              </w:rPr>
              <w:t>无害化卫生标准》  (</w:t>
            </w:r>
            <w:r>
              <w:rPr>
                <w:rFonts w:ascii="Times New Roman" w:hAnsi="Times New Roman" w:eastAsia="Times New Roman" w:cs="Times New Roman"/>
                <w:sz w:val="20"/>
                <w:szCs w:val="20"/>
              </w:rPr>
              <w:t>GB</w:t>
            </w:r>
            <w:r>
              <w:rPr>
                <w:rFonts w:ascii="Times New Roman" w:hAnsi="Times New Roman" w:eastAsia="Times New Roman" w:cs="Times New Roman"/>
                <w:spacing w:val="6"/>
                <w:sz w:val="20"/>
                <w:szCs w:val="20"/>
              </w:rPr>
              <w:t>7959-2012</w:t>
            </w:r>
            <w:r>
              <w:rPr>
                <w:rFonts w:ascii="宋体" w:hAnsi="宋体" w:eastAsia="宋体" w:cs="宋体"/>
                <w:spacing w:val="6"/>
                <w:sz w:val="20"/>
                <w:szCs w:val="20"/>
              </w:rPr>
              <w:t>) 中的高温</w:t>
            </w:r>
            <w:r>
              <w:rPr>
                <w:rFonts w:ascii="宋体" w:hAnsi="宋体" w:eastAsia="宋体" w:cs="宋体"/>
                <w:sz w:val="20"/>
                <w:szCs w:val="20"/>
              </w:rPr>
              <w:t xml:space="preserve"> </w:t>
            </w:r>
            <w:r>
              <w:rPr>
                <w:rFonts w:ascii="宋体" w:hAnsi="宋体" w:eastAsia="宋体" w:cs="宋体"/>
                <w:spacing w:val="10"/>
                <w:sz w:val="20"/>
                <w:szCs w:val="20"/>
              </w:rPr>
              <w:t>堆</w:t>
            </w:r>
            <w:r>
              <w:rPr>
                <w:rFonts w:ascii="宋体" w:hAnsi="宋体" w:eastAsia="宋体" w:cs="宋体"/>
                <w:spacing w:val="7"/>
                <w:sz w:val="20"/>
                <w:szCs w:val="20"/>
              </w:rPr>
              <w:t>肥的卫生标准。</w:t>
            </w:r>
          </w:p>
          <w:p w14:paraId="21A14781">
            <w:pPr>
              <w:spacing w:line="457" w:lineRule="auto"/>
            </w:pPr>
          </w:p>
          <w:p w14:paraId="4340EC71">
            <w:pPr>
              <w:spacing w:before="65" w:line="265" w:lineRule="auto"/>
              <w:ind w:left="113" w:right="425" w:hanging="1"/>
              <w:rPr>
                <w:rFonts w:ascii="宋体" w:hAnsi="宋体" w:eastAsia="宋体" w:cs="宋体"/>
                <w:sz w:val="20"/>
                <w:szCs w:val="20"/>
              </w:rPr>
            </w:pPr>
            <w:r>
              <w:rPr>
                <w:rFonts w:ascii="宋体" w:hAnsi="宋体" w:eastAsia="宋体" w:cs="宋体"/>
                <w:spacing w:val="10"/>
                <w:sz w:val="20"/>
                <w:szCs w:val="20"/>
              </w:rPr>
              <w:t>措施落实到位，满足《病死动物无害化处理</w:t>
            </w:r>
            <w:r>
              <w:rPr>
                <w:rFonts w:ascii="宋体" w:hAnsi="宋体" w:eastAsia="宋体" w:cs="宋体"/>
                <w:spacing w:val="9"/>
                <w:sz w:val="20"/>
                <w:szCs w:val="20"/>
              </w:rPr>
              <w:t>技</w:t>
            </w:r>
            <w:r>
              <w:rPr>
                <w:rFonts w:ascii="宋体" w:hAnsi="宋体" w:eastAsia="宋体" w:cs="宋体"/>
                <w:sz w:val="20"/>
                <w:szCs w:val="20"/>
              </w:rPr>
              <w:t xml:space="preserve"> </w:t>
            </w:r>
            <w:r>
              <w:rPr>
                <w:rFonts w:ascii="宋体" w:hAnsi="宋体" w:eastAsia="宋体" w:cs="宋体"/>
                <w:spacing w:val="4"/>
                <w:sz w:val="20"/>
                <w:szCs w:val="20"/>
              </w:rPr>
              <w:t>术规范》</w:t>
            </w:r>
            <w:r>
              <w:rPr>
                <w:rFonts w:ascii="宋体" w:hAnsi="宋体" w:eastAsia="宋体" w:cs="宋体"/>
                <w:spacing w:val="3"/>
                <w:sz w:val="20"/>
                <w:szCs w:val="20"/>
              </w:rPr>
              <w:t>；</w:t>
            </w:r>
          </w:p>
          <w:p w14:paraId="2CBB76F4">
            <w:pPr>
              <w:spacing w:line="330" w:lineRule="auto"/>
            </w:pPr>
          </w:p>
          <w:p w14:paraId="2ECF488E">
            <w:pPr>
              <w:spacing w:line="330" w:lineRule="auto"/>
            </w:pPr>
          </w:p>
          <w:p w14:paraId="611F4839">
            <w:pPr>
              <w:spacing w:before="65" w:line="261" w:lineRule="auto"/>
              <w:ind w:left="114" w:right="422" w:firstLine="3"/>
              <w:rPr>
                <w:rFonts w:ascii="宋体" w:hAnsi="宋体" w:eastAsia="宋体" w:cs="宋体"/>
                <w:sz w:val="20"/>
                <w:szCs w:val="20"/>
              </w:rPr>
            </w:pPr>
            <w:r>
              <w:rPr>
                <w:rFonts w:ascii="宋体" w:hAnsi="宋体" w:eastAsia="宋体" w:cs="宋体"/>
                <w:spacing w:val="2"/>
                <w:sz w:val="20"/>
                <w:szCs w:val="20"/>
              </w:rPr>
              <w:t>《有机肥料》  (</w:t>
            </w:r>
            <w:r>
              <w:rPr>
                <w:rFonts w:ascii="Times New Roman" w:hAnsi="Times New Roman" w:eastAsia="Times New Roman" w:cs="Times New Roman"/>
                <w:sz w:val="20"/>
                <w:szCs w:val="20"/>
              </w:rPr>
              <w:t>NY</w:t>
            </w:r>
            <w:r>
              <w:rPr>
                <w:rFonts w:ascii="Times New Roman" w:hAnsi="Times New Roman" w:eastAsia="Times New Roman" w:cs="Times New Roman"/>
                <w:spacing w:val="2"/>
                <w:sz w:val="20"/>
                <w:szCs w:val="20"/>
              </w:rPr>
              <w:t>525-2</w:t>
            </w:r>
            <w:r>
              <w:rPr>
                <w:rFonts w:ascii="Times New Roman" w:hAnsi="Times New Roman" w:eastAsia="Times New Roman" w:cs="Times New Roman"/>
                <w:spacing w:val="1"/>
                <w:sz w:val="20"/>
                <w:szCs w:val="20"/>
              </w:rPr>
              <w:t>012</w:t>
            </w:r>
            <w:r>
              <w:rPr>
                <w:rFonts w:ascii="宋体" w:hAnsi="宋体" w:eastAsia="宋体" w:cs="宋体"/>
                <w:spacing w:val="1"/>
                <w:sz w:val="20"/>
                <w:szCs w:val="20"/>
              </w:rPr>
              <w:t>) 及《畜禽养殖业</w:t>
            </w:r>
            <w:r>
              <w:rPr>
                <w:rFonts w:ascii="宋体" w:hAnsi="宋体" w:eastAsia="宋体" w:cs="宋体"/>
                <w:sz w:val="20"/>
                <w:szCs w:val="20"/>
              </w:rPr>
              <w:t xml:space="preserve"> </w:t>
            </w:r>
            <w:r>
              <w:rPr>
                <w:rFonts w:ascii="宋体" w:hAnsi="宋体" w:eastAsia="宋体" w:cs="宋体"/>
                <w:spacing w:val="2"/>
                <w:sz w:val="20"/>
                <w:szCs w:val="20"/>
              </w:rPr>
              <w:t>污染物排放标准》  (</w:t>
            </w:r>
            <w:r>
              <w:rPr>
                <w:rFonts w:ascii="Times New Roman" w:hAnsi="Times New Roman" w:eastAsia="Times New Roman" w:cs="Times New Roman"/>
                <w:sz w:val="20"/>
                <w:szCs w:val="20"/>
              </w:rPr>
              <w:t>GB</w:t>
            </w:r>
            <w:r>
              <w:rPr>
                <w:rFonts w:ascii="Times New Roman" w:hAnsi="Times New Roman" w:eastAsia="Times New Roman" w:cs="Times New Roman"/>
                <w:spacing w:val="2"/>
                <w:sz w:val="20"/>
                <w:szCs w:val="20"/>
              </w:rPr>
              <w:t>18596-2001</w:t>
            </w:r>
            <w:r>
              <w:rPr>
                <w:rFonts w:ascii="宋体" w:hAnsi="宋体" w:eastAsia="宋体" w:cs="宋体"/>
                <w:spacing w:val="2"/>
                <w:sz w:val="20"/>
                <w:szCs w:val="20"/>
              </w:rPr>
              <w:t xml:space="preserve">) 中 </w:t>
            </w:r>
            <w:r>
              <w:rPr>
                <w:rFonts w:ascii="Times New Roman" w:hAnsi="Times New Roman" w:eastAsia="Times New Roman" w:cs="Times New Roman"/>
                <w:spacing w:val="2"/>
                <w:sz w:val="20"/>
                <w:szCs w:val="20"/>
              </w:rPr>
              <w:t>3.</w:t>
            </w:r>
            <w:r>
              <w:rPr>
                <w:rFonts w:ascii="Times New Roman" w:hAnsi="Times New Roman" w:eastAsia="Times New Roman" w:cs="Times New Roman"/>
                <w:spacing w:val="1"/>
                <w:sz w:val="20"/>
                <w:szCs w:val="20"/>
              </w:rPr>
              <w:t>2</w:t>
            </w:r>
            <w:r>
              <w:rPr>
                <w:rFonts w:ascii="Times New Roman" w:hAnsi="Times New Roman" w:eastAsia="Times New Roman" w:cs="Times New Roman"/>
                <w:sz w:val="20"/>
                <w:szCs w:val="20"/>
              </w:rPr>
              <w:t xml:space="preserve"> </w:t>
            </w:r>
            <w:r>
              <w:rPr>
                <w:rFonts w:ascii="宋体" w:hAnsi="宋体" w:eastAsia="宋体" w:cs="宋体"/>
                <w:sz w:val="20"/>
                <w:szCs w:val="20"/>
              </w:rPr>
              <w:t xml:space="preserve">畜 </w:t>
            </w:r>
            <w:r>
              <w:rPr>
                <w:rFonts w:ascii="宋体" w:hAnsi="宋体" w:eastAsia="宋体" w:cs="宋体"/>
                <w:spacing w:val="11"/>
                <w:sz w:val="20"/>
                <w:szCs w:val="20"/>
              </w:rPr>
              <w:t>禽</w:t>
            </w:r>
            <w:r>
              <w:rPr>
                <w:rFonts w:ascii="宋体" w:hAnsi="宋体" w:eastAsia="宋体" w:cs="宋体"/>
                <w:spacing w:val="9"/>
                <w:sz w:val="20"/>
                <w:szCs w:val="20"/>
              </w:rPr>
              <w:t>养殖业废渣无害化环境标准</w:t>
            </w:r>
          </w:p>
          <w:p w14:paraId="0822AE58">
            <w:pPr>
              <w:spacing w:before="184" w:line="228" w:lineRule="auto"/>
              <w:ind w:left="532"/>
              <w:rPr>
                <w:rFonts w:ascii="宋体" w:hAnsi="宋体" w:eastAsia="宋体" w:cs="宋体"/>
                <w:sz w:val="20"/>
                <w:szCs w:val="20"/>
              </w:rPr>
            </w:pPr>
            <w:r>
              <w:rPr>
                <w:rFonts w:ascii="宋体" w:hAnsi="宋体" w:eastAsia="宋体" w:cs="宋体"/>
                <w:spacing w:val="12"/>
                <w:sz w:val="20"/>
                <w:szCs w:val="20"/>
              </w:rPr>
              <w:t>措</w:t>
            </w:r>
            <w:r>
              <w:rPr>
                <w:rFonts w:ascii="宋体" w:hAnsi="宋体" w:eastAsia="宋体" w:cs="宋体"/>
                <w:spacing w:val="9"/>
                <w:sz w:val="20"/>
                <w:szCs w:val="20"/>
              </w:rPr>
              <w:t>施落实到位，垃圾贮存间符合</w:t>
            </w:r>
          </w:p>
          <w:p w14:paraId="35870E35">
            <w:pPr>
              <w:spacing w:before="25" w:line="251" w:lineRule="auto"/>
              <w:ind w:left="121" w:right="430" w:firstLine="421"/>
              <w:rPr>
                <w:rFonts w:ascii="宋体" w:hAnsi="宋体" w:eastAsia="宋体" w:cs="宋体"/>
                <w:sz w:val="20"/>
                <w:szCs w:val="20"/>
              </w:rPr>
            </w:pPr>
            <w:r>
              <w:rPr>
                <w:rFonts w:ascii="宋体" w:hAnsi="宋体" w:eastAsia="宋体" w:cs="宋体"/>
                <w:spacing w:val="11"/>
                <w:sz w:val="20"/>
                <w:szCs w:val="20"/>
              </w:rPr>
              <w:t>《</w:t>
            </w:r>
            <w:r>
              <w:rPr>
                <w:rFonts w:ascii="宋体" w:hAnsi="宋体" w:eastAsia="宋体" w:cs="宋体"/>
                <w:spacing w:val="9"/>
                <w:sz w:val="20"/>
                <w:szCs w:val="20"/>
              </w:rPr>
              <w:t>一般工业固体废弃物贮存、处置场污染</w:t>
            </w:r>
            <w:r>
              <w:rPr>
                <w:rFonts w:ascii="宋体" w:hAnsi="宋体" w:eastAsia="宋体" w:cs="宋体"/>
                <w:sz w:val="20"/>
                <w:szCs w:val="20"/>
              </w:rPr>
              <w:t xml:space="preserve"> </w:t>
            </w:r>
            <w:r>
              <w:rPr>
                <w:rFonts w:ascii="宋体" w:hAnsi="宋体" w:eastAsia="宋体" w:cs="宋体"/>
                <w:spacing w:val="2"/>
                <w:sz w:val="20"/>
                <w:szCs w:val="20"/>
              </w:rPr>
              <w:t xml:space="preserve">控制标准》  </w:t>
            </w:r>
            <w:r>
              <w:rPr>
                <w:rFonts w:ascii="宋体" w:hAnsi="宋体" w:eastAsia="宋体" w:cs="宋体"/>
                <w:spacing w:val="1"/>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1"/>
                <w:sz w:val="20"/>
                <w:szCs w:val="20"/>
              </w:rPr>
              <w:t>18599-2001</w:t>
            </w:r>
            <w:r>
              <w:rPr>
                <w:rFonts w:ascii="宋体" w:hAnsi="宋体" w:eastAsia="宋体" w:cs="宋体"/>
                <w:spacing w:val="1"/>
                <w:sz w:val="20"/>
                <w:szCs w:val="20"/>
              </w:rPr>
              <w:t xml:space="preserve">) 及其 </w:t>
            </w:r>
            <w:r>
              <w:rPr>
                <w:rFonts w:ascii="Times New Roman" w:hAnsi="Times New Roman" w:eastAsia="Times New Roman" w:cs="Times New Roman"/>
                <w:spacing w:val="1"/>
                <w:sz w:val="20"/>
                <w:szCs w:val="20"/>
              </w:rPr>
              <w:t xml:space="preserve">2013  </w:t>
            </w:r>
            <w:r>
              <w:rPr>
                <w:rFonts w:ascii="宋体" w:hAnsi="宋体" w:eastAsia="宋体" w:cs="宋体"/>
                <w:spacing w:val="1"/>
                <w:sz w:val="20"/>
                <w:szCs w:val="20"/>
              </w:rPr>
              <w:t>年修</w:t>
            </w:r>
          </w:p>
          <w:p w14:paraId="1938CF7D">
            <w:pPr>
              <w:spacing w:line="227" w:lineRule="auto"/>
              <w:ind w:left="1699"/>
              <w:rPr>
                <w:rFonts w:ascii="宋体" w:hAnsi="宋体" w:eastAsia="宋体" w:cs="宋体"/>
                <w:sz w:val="20"/>
                <w:szCs w:val="20"/>
              </w:rPr>
            </w:pPr>
            <w:r>
              <w:rPr>
                <w:rFonts w:ascii="宋体" w:hAnsi="宋体" w:eastAsia="宋体" w:cs="宋体"/>
                <w:spacing w:val="9"/>
                <w:sz w:val="20"/>
                <w:szCs w:val="20"/>
              </w:rPr>
              <w:t>改</w:t>
            </w:r>
            <w:r>
              <w:rPr>
                <w:rFonts w:ascii="宋体" w:hAnsi="宋体" w:eastAsia="宋体" w:cs="宋体"/>
                <w:spacing w:val="6"/>
                <w:sz w:val="20"/>
                <w:szCs w:val="20"/>
              </w:rPr>
              <w:t>单的要求</w:t>
            </w:r>
          </w:p>
          <w:p w14:paraId="337CA5C9">
            <w:pPr>
              <w:spacing w:before="33" w:line="262" w:lineRule="auto"/>
              <w:ind w:left="113" w:right="422" w:firstLine="8"/>
              <w:rPr>
                <w:rFonts w:ascii="宋体" w:hAnsi="宋体" w:eastAsia="宋体" w:cs="宋体"/>
                <w:sz w:val="20"/>
                <w:szCs w:val="20"/>
              </w:rPr>
            </w:pPr>
            <w:r>
              <w:rPr>
                <w:rFonts w:ascii="宋体" w:hAnsi="宋体" w:eastAsia="宋体" w:cs="宋体"/>
                <w:spacing w:val="15"/>
                <w:sz w:val="20"/>
                <w:szCs w:val="20"/>
              </w:rPr>
              <w:t>医</w:t>
            </w:r>
            <w:r>
              <w:rPr>
                <w:rFonts w:ascii="宋体" w:hAnsi="宋体" w:eastAsia="宋体" w:cs="宋体"/>
                <w:spacing w:val="9"/>
                <w:sz w:val="20"/>
                <w:szCs w:val="20"/>
              </w:rPr>
              <w:t>疗废物贮存间符合《危险废物贮存污染控制</w:t>
            </w:r>
            <w:r>
              <w:rPr>
                <w:rFonts w:ascii="宋体" w:hAnsi="宋体" w:eastAsia="宋体" w:cs="宋体"/>
                <w:sz w:val="20"/>
                <w:szCs w:val="20"/>
              </w:rPr>
              <w:t xml:space="preserve"> </w:t>
            </w:r>
            <w:r>
              <w:rPr>
                <w:rFonts w:ascii="宋体" w:hAnsi="宋体" w:eastAsia="宋体" w:cs="宋体"/>
                <w:spacing w:val="6"/>
                <w:sz w:val="20"/>
                <w:szCs w:val="20"/>
              </w:rPr>
              <w:t xml:space="preserve">标准》  </w:t>
            </w:r>
            <w:r>
              <w:rPr>
                <w:rFonts w:ascii="宋体" w:hAnsi="宋体" w:eastAsia="宋体" w:cs="宋体"/>
                <w:spacing w:val="4"/>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3"/>
                <w:sz w:val="20"/>
                <w:szCs w:val="20"/>
              </w:rPr>
              <w:t>18597-2001</w:t>
            </w:r>
            <w:r>
              <w:rPr>
                <w:rFonts w:ascii="宋体" w:hAnsi="宋体" w:eastAsia="宋体" w:cs="宋体"/>
                <w:spacing w:val="3"/>
                <w:sz w:val="20"/>
                <w:szCs w:val="20"/>
              </w:rPr>
              <w:t xml:space="preserve">) 及 </w:t>
            </w:r>
            <w:r>
              <w:rPr>
                <w:rFonts w:ascii="Times New Roman" w:hAnsi="Times New Roman" w:eastAsia="Times New Roman" w:cs="Times New Roman"/>
                <w:spacing w:val="3"/>
                <w:sz w:val="20"/>
                <w:szCs w:val="20"/>
              </w:rPr>
              <w:t xml:space="preserve">2013 </w:t>
            </w:r>
            <w:r>
              <w:rPr>
                <w:rFonts w:ascii="宋体" w:hAnsi="宋体" w:eastAsia="宋体" w:cs="宋体"/>
                <w:spacing w:val="3"/>
                <w:sz w:val="20"/>
                <w:szCs w:val="20"/>
              </w:rPr>
              <w:t>年修改单的</w:t>
            </w:r>
            <w:r>
              <w:rPr>
                <w:rFonts w:ascii="宋体" w:hAnsi="宋体" w:eastAsia="宋体" w:cs="宋体"/>
                <w:sz w:val="20"/>
                <w:szCs w:val="20"/>
              </w:rPr>
              <w:t xml:space="preserve"> </w:t>
            </w:r>
            <w:r>
              <w:rPr>
                <w:rFonts w:ascii="宋体" w:hAnsi="宋体" w:eastAsia="宋体" w:cs="宋体"/>
                <w:spacing w:val="15"/>
                <w:sz w:val="20"/>
                <w:szCs w:val="20"/>
              </w:rPr>
              <w:t>要</w:t>
            </w:r>
            <w:r>
              <w:rPr>
                <w:rFonts w:ascii="宋体" w:hAnsi="宋体" w:eastAsia="宋体" w:cs="宋体"/>
                <w:spacing w:val="8"/>
                <w:sz w:val="20"/>
                <w:szCs w:val="20"/>
              </w:rPr>
              <w:t>求；签订危险废物处置协议；</w:t>
            </w:r>
          </w:p>
          <w:p w14:paraId="4FF0CC69">
            <w:pPr>
              <w:spacing w:before="41" w:line="228" w:lineRule="auto"/>
              <w:ind w:left="532"/>
              <w:rPr>
                <w:rFonts w:ascii="宋体" w:hAnsi="宋体" w:eastAsia="宋体" w:cs="宋体"/>
                <w:sz w:val="20"/>
                <w:szCs w:val="20"/>
              </w:rPr>
            </w:pPr>
            <w:r>
              <w:rPr>
                <w:rFonts w:ascii="宋体" w:hAnsi="宋体" w:eastAsia="宋体" w:cs="宋体"/>
                <w:spacing w:val="9"/>
                <w:sz w:val="20"/>
                <w:szCs w:val="20"/>
              </w:rPr>
              <w:t>措</w:t>
            </w:r>
            <w:r>
              <w:rPr>
                <w:rFonts w:ascii="宋体" w:hAnsi="宋体" w:eastAsia="宋体" w:cs="宋体"/>
                <w:spacing w:val="8"/>
                <w:sz w:val="20"/>
                <w:szCs w:val="20"/>
              </w:rPr>
              <w:t>施落实到位</w:t>
            </w:r>
          </w:p>
        </w:tc>
      </w:tr>
      <w:tr w14:paraId="03140C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604" w:type="dxa"/>
            <w:tcBorders>
              <w:left w:val="nil"/>
            </w:tcBorders>
          </w:tcPr>
          <w:p w14:paraId="73AF0793"/>
        </w:tc>
        <w:tc>
          <w:tcPr>
            <w:tcW w:w="1304" w:type="dxa"/>
          </w:tcPr>
          <w:p w14:paraId="1CC28D36"/>
        </w:tc>
        <w:tc>
          <w:tcPr>
            <w:tcW w:w="2956" w:type="dxa"/>
          </w:tcPr>
          <w:p w14:paraId="6EB01F5D">
            <w:pPr>
              <w:spacing w:before="31" w:line="243" w:lineRule="auto"/>
              <w:ind w:left="117" w:right="106"/>
              <w:rPr>
                <w:rFonts w:ascii="宋体" w:hAnsi="宋体" w:eastAsia="宋体" w:cs="宋体"/>
                <w:sz w:val="20"/>
                <w:szCs w:val="20"/>
              </w:rPr>
            </w:pPr>
            <w:r>
              <w:rPr>
                <w:rFonts w:ascii="宋体" w:hAnsi="宋体" w:eastAsia="宋体" w:cs="宋体"/>
                <w:spacing w:val="18"/>
                <w:sz w:val="20"/>
                <w:szCs w:val="20"/>
              </w:rPr>
              <w:t>设</w:t>
            </w:r>
            <w:r>
              <w:rPr>
                <w:rFonts w:ascii="宋体" w:hAnsi="宋体" w:eastAsia="宋体" w:cs="宋体"/>
                <w:spacing w:val="10"/>
                <w:sz w:val="20"/>
                <w:szCs w:val="20"/>
              </w:rPr>
              <w:t>置</w:t>
            </w:r>
            <w:r>
              <w:rPr>
                <w:rFonts w:ascii="宋体" w:hAnsi="宋体" w:eastAsia="宋体" w:cs="宋体"/>
                <w:spacing w:val="9"/>
                <w:sz w:val="20"/>
                <w:szCs w:val="20"/>
              </w:rPr>
              <w:t>绿化带；加强操作管理，</w:t>
            </w:r>
            <w:r>
              <w:rPr>
                <w:rFonts w:ascii="宋体" w:hAnsi="宋体" w:eastAsia="宋体" w:cs="宋体"/>
                <w:sz w:val="20"/>
                <w:szCs w:val="20"/>
              </w:rPr>
              <w:t xml:space="preserve"> </w:t>
            </w:r>
            <w:r>
              <w:rPr>
                <w:rFonts w:ascii="宋体" w:hAnsi="宋体" w:eastAsia="宋体" w:cs="宋体"/>
                <w:spacing w:val="9"/>
                <w:sz w:val="20"/>
                <w:szCs w:val="20"/>
              </w:rPr>
              <w:t>设</w:t>
            </w:r>
            <w:r>
              <w:rPr>
                <w:rFonts w:ascii="宋体" w:hAnsi="宋体" w:eastAsia="宋体" w:cs="宋体"/>
                <w:spacing w:val="8"/>
                <w:sz w:val="20"/>
                <w:szCs w:val="20"/>
              </w:rPr>
              <w:t xml:space="preserve">置绿化带，设置 </w:t>
            </w:r>
            <w:r>
              <w:rPr>
                <w:rFonts w:ascii="Times New Roman" w:hAnsi="Times New Roman" w:eastAsia="Times New Roman" w:cs="Times New Roman"/>
                <w:spacing w:val="8"/>
                <w:sz w:val="20"/>
                <w:szCs w:val="20"/>
              </w:rPr>
              <w:t>100</w:t>
            </w:r>
            <w:r>
              <w:rPr>
                <w:rFonts w:ascii="Times New Roman" w:hAnsi="Times New Roman" w:eastAsia="Times New Roman" w:cs="Times New Roman"/>
                <w:sz w:val="20"/>
                <w:szCs w:val="20"/>
              </w:rPr>
              <w:t>m</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rPr>
              <w:t>卫生</w:t>
            </w:r>
            <w:r>
              <w:rPr>
                <w:rFonts w:ascii="宋体" w:hAnsi="宋体" w:eastAsia="宋体" w:cs="宋体"/>
                <w:sz w:val="20"/>
                <w:szCs w:val="20"/>
              </w:rPr>
              <w:t xml:space="preserve"> </w:t>
            </w:r>
            <w:r>
              <w:rPr>
                <w:rFonts w:ascii="宋体" w:hAnsi="宋体" w:eastAsia="宋体" w:cs="宋体"/>
                <w:spacing w:val="6"/>
                <w:sz w:val="20"/>
                <w:szCs w:val="20"/>
              </w:rPr>
              <w:t>防</w:t>
            </w:r>
            <w:r>
              <w:rPr>
                <w:rFonts w:ascii="宋体" w:hAnsi="宋体" w:eastAsia="宋体" w:cs="宋体"/>
                <w:spacing w:val="5"/>
                <w:sz w:val="20"/>
                <w:szCs w:val="20"/>
              </w:rPr>
              <w:t>护距离。</w:t>
            </w:r>
          </w:p>
        </w:tc>
        <w:tc>
          <w:tcPr>
            <w:tcW w:w="4740" w:type="dxa"/>
            <w:vMerge w:val="continue"/>
            <w:tcBorders>
              <w:top w:val="nil"/>
              <w:bottom w:val="nil"/>
              <w:right w:val="nil"/>
            </w:tcBorders>
          </w:tcPr>
          <w:p w14:paraId="75B02F50"/>
        </w:tc>
      </w:tr>
      <w:tr w14:paraId="33CC2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604" w:type="dxa"/>
            <w:tcBorders>
              <w:left w:val="nil"/>
            </w:tcBorders>
            <w:textDirection w:val="tbRlV"/>
          </w:tcPr>
          <w:p w14:paraId="331FD9B1">
            <w:pPr>
              <w:spacing w:before="283" w:line="213" w:lineRule="auto"/>
              <w:ind w:left="305"/>
              <w:rPr>
                <w:rFonts w:ascii="宋体" w:hAnsi="宋体" w:eastAsia="宋体" w:cs="宋体"/>
                <w:sz w:val="20"/>
                <w:szCs w:val="20"/>
              </w:rPr>
            </w:pPr>
            <w:r>
              <w:rPr>
                <w:rFonts w:ascii="宋体" w:hAnsi="宋体" w:eastAsia="宋体" w:cs="宋体"/>
                <w:spacing w:val="-9"/>
                <w:sz w:val="20"/>
                <w:szCs w:val="20"/>
              </w:rPr>
              <w:t>噪</w:t>
            </w:r>
            <w:r>
              <w:rPr>
                <w:rFonts w:ascii="宋体" w:hAnsi="宋体" w:eastAsia="宋体" w:cs="宋体"/>
                <w:spacing w:val="-6"/>
                <w:sz w:val="20"/>
                <w:szCs w:val="20"/>
              </w:rPr>
              <w:t xml:space="preserve"> 声</w:t>
            </w:r>
          </w:p>
        </w:tc>
        <w:tc>
          <w:tcPr>
            <w:tcW w:w="1304" w:type="dxa"/>
          </w:tcPr>
          <w:p w14:paraId="67EF3C42">
            <w:pPr>
              <w:spacing w:before="35" w:line="244" w:lineRule="auto"/>
              <w:ind w:left="112" w:right="106"/>
              <w:rPr>
                <w:rFonts w:ascii="宋体" w:hAnsi="宋体" w:eastAsia="宋体" w:cs="宋体"/>
                <w:sz w:val="20"/>
                <w:szCs w:val="20"/>
              </w:rPr>
            </w:pPr>
            <w:r>
              <w:rPr>
                <w:rFonts w:ascii="宋体" w:hAnsi="宋体" w:eastAsia="宋体" w:cs="宋体"/>
                <w:spacing w:val="-3"/>
                <w:sz w:val="20"/>
                <w:szCs w:val="20"/>
              </w:rPr>
              <w:t>猪 舍 排 气</w:t>
            </w:r>
            <w:r>
              <w:rPr>
                <w:rFonts w:ascii="宋体" w:hAnsi="宋体" w:eastAsia="宋体" w:cs="宋体"/>
                <w:sz w:val="20"/>
                <w:szCs w:val="20"/>
              </w:rPr>
              <w:t xml:space="preserve"> </w:t>
            </w:r>
            <w:r>
              <w:rPr>
                <w:rFonts w:ascii="宋体" w:hAnsi="宋体" w:eastAsia="宋体" w:cs="宋体"/>
                <w:spacing w:val="16"/>
                <w:sz w:val="20"/>
                <w:szCs w:val="20"/>
              </w:rPr>
              <w:t>扇、水泵</w:t>
            </w:r>
            <w:r>
              <w:rPr>
                <w:rFonts w:ascii="宋体" w:hAnsi="宋体" w:eastAsia="宋体" w:cs="宋体"/>
                <w:spacing w:val="15"/>
                <w:sz w:val="20"/>
                <w:szCs w:val="20"/>
              </w:rPr>
              <w:t>等</w:t>
            </w:r>
            <w:r>
              <w:rPr>
                <w:rFonts w:ascii="宋体" w:hAnsi="宋体" w:eastAsia="宋体" w:cs="宋体"/>
                <w:sz w:val="20"/>
                <w:szCs w:val="20"/>
              </w:rPr>
              <w:t xml:space="preserve"> </w:t>
            </w:r>
            <w:r>
              <w:rPr>
                <w:rFonts w:ascii="宋体" w:hAnsi="宋体" w:eastAsia="宋体" w:cs="宋体"/>
                <w:spacing w:val="16"/>
                <w:sz w:val="20"/>
                <w:szCs w:val="20"/>
              </w:rPr>
              <w:t>设备运行</w:t>
            </w:r>
            <w:r>
              <w:rPr>
                <w:rFonts w:ascii="宋体" w:hAnsi="宋体" w:eastAsia="宋体" w:cs="宋体"/>
                <w:spacing w:val="15"/>
                <w:sz w:val="20"/>
                <w:szCs w:val="20"/>
              </w:rPr>
              <w:t>产</w:t>
            </w:r>
            <w:r>
              <w:rPr>
                <w:rFonts w:ascii="宋体" w:hAnsi="宋体" w:eastAsia="宋体" w:cs="宋体"/>
                <w:sz w:val="20"/>
                <w:szCs w:val="20"/>
              </w:rPr>
              <w:t xml:space="preserve"> </w:t>
            </w:r>
            <w:r>
              <w:rPr>
                <w:rFonts w:ascii="宋体" w:hAnsi="宋体" w:eastAsia="宋体" w:cs="宋体"/>
                <w:spacing w:val="8"/>
                <w:sz w:val="20"/>
                <w:szCs w:val="20"/>
              </w:rPr>
              <w:t>生</w:t>
            </w:r>
            <w:r>
              <w:rPr>
                <w:rFonts w:ascii="宋体" w:hAnsi="宋体" w:eastAsia="宋体" w:cs="宋体"/>
                <w:spacing w:val="7"/>
                <w:sz w:val="20"/>
                <w:szCs w:val="20"/>
              </w:rPr>
              <w:t>的噪声</w:t>
            </w:r>
          </w:p>
        </w:tc>
        <w:tc>
          <w:tcPr>
            <w:tcW w:w="2956" w:type="dxa"/>
          </w:tcPr>
          <w:p w14:paraId="5FE7A277">
            <w:pPr>
              <w:spacing w:before="35" w:line="244" w:lineRule="auto"/>
              <w:ind w:left="113" w:right="35"/>
              <w:rPr>
                <w:rFonts w:ascii="宋体" w:hAnsi="宋体" w:eastAsia="宋体" w:cs="宋体"/>
                <w:sz w:val="20"/>
                <w:szCs w:val="20"/>
              </w:rPr>
            </w:pPr>
            <w:r>
              <w:rPr>
                <w:rFonts w:ascii="宋体" w:hAnsi="宋体" w:eastAsia="宋体" w:cs="宋体"/>
                <w:spacing w:val="1"/>
                <w:sz w:val="20"/>
                <w:szCs w:val="20"/>
              </w:rPr>
              <w:t>选用</w:t>
            </w:r>
            <w:r>
              <w:rPr>
                <w:rFonts w:ascii="宋体" w:hAnsi="宋体" w:eastAsia="宋体" w:cs="宋体"/>
                <w:sz w:val="20"/>
                <w:szCs w:val="20"/>
              </w:rPr>
              <w:t xml:space="preserve">低噪声设备、建筑物屏蔽、 </w:t>
            </w:r>
            <w:r>
              <w:rPr>
                <w:rFonts w:ascii="宋体" w:hAnsi="宋体" w:eastAsia="宋体" w:cs="宋体"/>
                <w:spacing w:val="17"/>
                <w:sz w:val="20"/>
                <w:szCs w:val="20"/>
              </w:rPr>
              <w:t>基</w:t>
            </w:r>
            <w:r>
              <w:rPr>
                <w:rFonts w:ascii="宋体" w:hAnsi="宋体" w:eastAsia="宋体" w:cs="宋体"/>
                <w:spacing w:val="11"/>
                <w:sz w:val="20"/>
                <w:szCs w:val="20"/>
              </w:rPr>
              <w:t>础减震、消音、隔音装置。</w:t>
            </w:r>
            <w:r>
              <w:rPr>
                <w:rFonts w:ascii="宋体" w:hAnsi="宋体" w:eastAsia="宋体" w:cs="宋体"/>
                <w:sz w:val="20"/>
                <w:szCs w:val="20"/>
              </w:rPr>
              <w:t xml:space="preserve"> </w:t>
            </w:r>
            <w:r>
              <w:rPr>
                <w:rFonts w:ascii="宋体" w:hAnsi="宋体" w:eastAsia="宋体" w:cs="宋体"/>
                <w:spacing w:val="10"/>
                <w:sz w:val="20"/>
                <w:szCs w:val="20"/>
              </w:rPr>
              <w:t>同时猪场周围种植大面积的绿</w:t>
            </w:r>
            <w:r>
              <w:rPr>
                <w:rFonts w:ascii="宋体" w:hAnsi="宋体" w:eastAsia="宋体" w:cs="宋体"/>
                <w:sz w:val="20"/>
                <w:szCs w:val="20"/>
              </w:rPr>
              <w:t xml:space="preserve"> </w:t>
            </w:r>
            <w:r>
              <w:rPr>
                <w:rFonts w:ascii="宋体" w:hAnsi="宋体" w:eastAsia="宋体" w:cs="宋体"/>
                <w:spacing w:val="8"/>
                <w:sz w:val="20"/>
                <w:szCs w:val="20"/>
              </w:rPr>
              <w:t>化</w:t>
            </w:r>
            <w:r>
              <w:rPr>
                <w:rFonts w:ascii="宋体" w:hAnsi="宋体" w:eastAsia="宋体" w:cs="宋体"/>
                <w:spacing w:val="7"/>
                <w:sz w:val="20"/>
                <w:szCs w:val="20"/>
              </w:rPr>
              <w:t>隔离带</w:t>
            </w:r>
          </w:p>
        </w:tc>
        <w:tc>
          <w:tcPr>
            <w:tcW w:w="4740" w:type="dxa"/>
            <w:vMerge w:val="continue"/>
            <w:tcBorders>
              <w:top w:val="nil"/>
              <w:bottom w:val="nil"/>
              <w:right w:val="nil"/>
            </w:tcBorders>
          </w:tcPr>
          <w:p w14:paraId="54509E0C"/>
        </w:tc>
      </w:tr>
      <w:tr w14:paraId="152EF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604" w:type="dxa"/>
            <w:vMerge w:val="restart"/>
            <w:tcBorders>
              <w:left w:val="nil"/>
              <w:bottom w:val="nil"/>
            </w:tcBorders>
            <w:textDirection w:val="tbRlV"/>
          </w:tcPr>
          <w:p w14:paraId="39B44765">
            <w:pPr>
              <w:spacing w:before="283" w:line="217" w:lineRule="auto"/>
              <w:ind w:left="2571"/>
              <w:rPr>
                <w:rFonts w:ascii="宋体" w:hAnsi="宋体" w:eastAsia="宋体" w:cs="宋体"/>
                <w:sz w:val="20"/>
                <w:szCs w:val="20"/>
              </w:rPr>
            </w:pPr>
            <w:r>
              <w:rPr>
                <w:rFonts w:ascii="宋体" w:hAnsi="宋体" w:eastAsia="宋体" w:cs="宋体"/>
                <w:spacing w:val="-13"/>
                <w:sz w:val="20"/>
                <w:szCs w:val="20"/>
              </w:rPr>
              <w:t>固</w:t>
            </w:r>
            <w:r>
              <w:rPr>
                <w:rFonts w:ascii="宋体" w:hAnsi="宋体" w:eastAsia="宋体" w:cs="宋体"/>
                <w:spacing w:val="-10"/>
                <w:sz w:val="20"/>
                <w:szCs w:val="20"/>
              </w:rPr>
              <w:t xml:space="preserve"> 体 废 物</w:t>
            </w:r>
          </w:p>
        </w:tc>
        <w:tc>
          <w:tcPr>
            <w:tcW w:w="1304" w:type="dxa"/>
          </w:tcPr>
          <w:p w14:paraId="5423B1BA">
            <w:pPr>
              <w:spacing w:line="254" w:lineRule="auto"/>
            </w:pPr>
          </w:p>
          <w:p w14:paraId="786603B5">
            <w:pPr>
              <w:spacing w:line="254" w:lineRule="auto"/>
            </w:pPr>
          </w:p>
          <w:p w14:paraId="7CA94078">
            <w:pPr>
              <w:spacing w:before="65" w:line="228" w:lineRule="auto"/>
              <w:ind w:left="112"/>
              <w:rPr>
                <w:rFonts w:ascii="宋体" w:hAnsi="宋体" w:eastAsia="宋体" w:cs="宋体"/>
                <w:sz w:val="20"/>
                <w:szCs w:val="20"/>
              </w:rPr>
            </w:pPr>
            <w:r>
              <w:rPr>
                <w:rFonts w:ascii="宋体" w:hAnsi="宋体" w:eastAsia="宋体" w:cs="宋体"/>
                <w:spacing w:val="7"/>
                <w:sz w:val="20"/>
                <w:szCs w:val="20"/>
              </w:rPr>
              <w:t>猪粪</w:t>
            </w:r>
            <w:r>
              <w:rPr>
                <w:rFonts w:ascii="宋体" w:hAnsi="宋体" w:eastAsia="宋体" w:cs="宋体"/>
                <w:spacing w:val="6"/>
                <w:sz w:val="20"/>
                <w:szCs w:val="20"/>
              </w:rPr>
              <w:t>便</w:t>
            </w:r>
          </w:p>
        </w:tc>
        <w:tc>
          <w:tcPr>
            <w:tcW w:w="2956" w:type="dxa"/>
          </w:tcPr>
          <w:p w14:paraId="041B3668">
            <w:pPr>
              <w:spacing w:line="254" w:lineRule="auto"/>
            </w:pPr>
          </w:p>
          <w:p w14:paraId="2302DC2B">
            <w:pPr>
              <w:spacing w:line="254" w:lineRule="auto"/>
            </w:pPr>
          </w:p>
          <w:p w14:paraId="3FC533CA">
            <w:pPr>
              <w:spacing w:before="65" w:line="228" w:lineRule="auto"/>
              <w:ind w:left="116"/>
              <w:rPr>
                <w:rFonts w:ascii="宋体" w:hAnsi="宋体" w:eastAsia="宋体" w:cs="宋体"/>
                <w:sz w:val="20"/>
                <w:szCs w:val="20"/>
              </w:rPr>
            </w:pPr>
            <w:r>
              <w:rPr>
                <w:rFonts w:ascii="宋体" w:hAnsi="宋体" w:eastAsia="宋体" w:cs="宋体"/>
                <w:spacing w:val="11"/>
                <w:sz w:val="20"/>
                <w:szCs w:val="20"/>
              </w:rPr>
              <w:t>异</w:t>
            </w:r>
            <w:r>
              <w:rPr>
                <w:rFonts w:ascii="宋体" w:hAnsi="宋体" w:eastAsia="宋体" w:cs="宋体"/>
                <w:spacing w:val="8"/>
                <w:sz w:val="20"/>
                <w:szCs w:val="20"/>
              </w:rPr>
              <w:t>位微生物发酵床</w:t>
            </w:r>
          </w:p>
        </w:tc>
        <w:tc>
          <w:tcPr>
            <w:tcW w:w="4740" w:type="dxa"/>
            <w:vMerge w:val="continue"/>
            <w:tcBorders>
              <w:top w:val="nil"/>
              <w:bottom w:val="nil"/>
              <w:right w:val="nil"/>
            </w:tcBorders>
          </w:tcPr>
          <w:p w14:paraId="0B60A1E1"/>
        </w:tc>
      </w:tr>
      <w:tr w14:paraId="5124A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604" w:type="dxa"/>
            <w:vMerge w:val="continue"/>
            <w:tcBorders>
              <w:top w:val="nil"/>
              <w:left w:val="nil"/>
              <w:bottom w:val="nil"/>
            </w:tcBorders>
            <w:textDirection w:val="tbRlV"/>
          </w:tcPr>
          <w:p w14:paraId="450226F8"/>
        </w:tc>
        <w:tc>
          <w:tcPr>
            <w:tcW w:w="1304" w:type="dxa"/>
          </w:tcPr>
          <w:p w14:paraId="7E9DD6F3">
            <w:pPr>
              <w:spacing w:line="323" w:lineRule="auto"/>
            </w:pPr>
          </w:p>
          <w:p w14:paraId="084C26D6">
            <w:pPr>
              <w:spacing w:line="324" w:lineRule="auto"/>
            </w:pPr>
          </w:p>
          <w:p w14:paraId="6C7A8B46">
            <w:pPr>
              <w:spacing w:before="65" w:line="228" w:lineRule="auto"/>
              <w:ind w:left="111"/>
              <w:rPr>
                <w:rFonts w:ascii="宋体" w:hAnsi="宋体" w:eastAsia="宋体" w:cs="宋体"/>
                <w:sz w:val="20"/>
                <w:szCs w:val="20"/>
              </w:rPr>
            </w:pPr>
            <w:r>
              <w:rPr>
                <w:rFonts w:ascii="宋体" w:hAnsi="宋体" w:eastAsia="宋体" w:cs="宋体"/>
                <w:spacing w:val="7"/>
                <w:sz w:val="20"/>
                <w:szCs w:val="20"/>
              </w:rPr>
              <w:t>病死猪</w:t>
            </w:r>
          </w:p>
        </w:tc>
        <w:tc>
          <w:tcPr>
            <w:tcW w:w="2956" w:type="dxa"/>
          </w:tcPr>
          <w:p w14:paraId="343DEABA">
            <w:pPr>
              <w:spacing w:before="32" w:line="247" w:lineRule="auto"/>
              <w:ind w:left="112" w:right="103" w:firstLine="2"/>
              <w:rPr>
                <w:rFonts w:ascii="宋体" w:hAnsi="宋体" w:eastAsia="宋体" w:cs="宋体"/>
                <w:sz w:val="20"/>
                <w:szCs w:val="20"/>
              </w:rPr>
            </w:pPr>
            <w:r>
              <w:rPr>
                <w:rFonts w:ascii="宋体" w:hAnsi="宋体" w:eastAsia="宋体" w:cs="宋体"/>
                <w:spacing w:val="10"/>
                <w:sz w:val="20"/>
                <w:szCs w:val="20"/>
              </w:rPr>
              <w:t>严格按照乐山市沙湾区人民</w:t>
            </w:r>
            <w:r>
              <w:rPr>
                <w:rFonts w:ascii="宋体" w:hAnsi="宋体" w:eastAsia="宋体" w:cs="宋体"/>
                <w:spacing w:val="9"/>
                <w:sz w:val="20"/>
                <w:szCs w:val="20"/>
              </w:rPr>
              <w:t>政</w:t>
            </w:r>
            <w:r>
              <w:rPr>
                <w:rFonts w:ascii="宋体" w:hAnsi="宋体" w:eastAsia="宋体" w:cs="宋体"/>
                <w:sz w:val="20"/>
                <w:szCs w:val="20"/>
              </w:rPr>
              <w:t xml:space="preserve"> </w:t>
            </w:r>
            <w:r>
              <w:rPr>
                <w:rFonts w:ascii="宋体" w:hAnsi="宋体" w:eastAsia="宋体" w:cs="宋体"/>
                <w:spacing w:val="11"/>
                <w:sz w:val="20"/>
                <w:szCs w:val="20"/>
              </w:rPr>
              <w:t>府</w:t>
            </w:r>
            <w:r>
              <w:rPr>
                <w:rFonts w:ascii="宋体" w:hAnsi="宋体" w:eastAsia="宋体" w:cs="宋体"/>
                <w:spacing w:val="10"/>
                <w:sz w:val="20"/>
                <w:szCs w:val="20"/>
              </w:rPr>
              <w:t>办公室《关于建立病死畜禽</w:t>
            </w:r>
            <w:r>
              <w:rPr>
                <w:rFonts w:ascii="宋体" w:hAnsi="宋体" w:eastAsia="宋体" w:cs="宋体"/>
                <w:sz w:val="20"/>
                <w:szCs w:val="20"/>
              </w:rPr>
              <w:t xml:space="preserve"> </w:t>
            </w:r>
            <w:r>
              <w:rPr>
                <w:rFonts w:ascii="宋体" w:hAnsi="宋体" w:eastAsia="宋体" w:cs="宋体"/>
                <w:spacing w:val="3"/>
                <w:sz w:val="20"/>
                <w:szCs w:val="20"/>
              </w:rPr>
              <w:t>无</w:t>
            </w:r>
            <w:r>
              <w:rPr>
                <w:rFonts w:ascii="宋体" w:hAnsi="宋体" w:eastAsia="宋体" w:cs="宋体"/>
                <w:spacing w:val="2"/>
                <w:sz w:val="20"/>
                <w:szCs w:val="20"/>
              </w:rPr>
              <w:t>害化处理机制的通知》  (乐</w:t>
            </w:r>
            <w:r>
              <w:rPr>
                <w:rFonts w:ascii="宋体" w:hAnsi="宋体" w:eastAsia="宋体" w:cs="宋体"/>
                <w:sz w:val="20"/>
                <w:szCs w:val="20"/>
              </w:rPr>
              <w:t xml:space="preserve"> </w:t>
            </w:r>
            <w:r>
              <w:rPr>
                <w:rFonts w:ascii="宋体" w:hAnsi="宋体" w:eastAsia="宋体" w:cs="宋体"/>
                <w:spacing w:val="1"/>
                <w:sz w:val="20"/>
                <w:szCs w:val="20"/>
              </w:rPr>
              <w:t>沙</w:t>
            </w:r>
            <w:r>
              <w:rPr>
                <w:rFonts w:ascii="宋体" w:hAnsi="宋体" w:eastAsia="宋体" w:cs="宋体"/>
                <w:sz w:val="20"/>
                <w:szCs w:val="20"/>
              </w:rPr>
              <w:t>府办函</w:t>
            </w:r>
            <w:r>
              <w:rPr>
                <w:rFonts w:ascii="Times New Roman" w:hAnsi="Times New Roman" w:eastAsia="Times New Roman" w:cs="Times New Roman"/>
                <w:sz w:val="20"/>
                <w:szCs w:val="20"/>
              </w:rPr>
              <w:t xml:space="preserve">[2018] 1 </w:t>
            </w:r>
            <w:r>
              <w:rPr>
                <w:rFonts w:ascii="宋体" w:hAnsi="宋体" w:eastAsia="宋体" w:cs="宋体"/>
                <w:sz w:val="20"/>
                <w:szCs w:val="20"/>
              </w:rPr>
              <w:t xml:space="preserve">号) 要求，交 </w:t>
            </w:r>
            <w:r>
              <w:rPr>
                <w:rFonts w:ascii="宋体" w:hAnsi="宋体" w:eastAsia="宋体" w:cs="宋体"/>
                <w:spacing w:val="11"/>
                <w:sz w:val="20"/>
                <w:szCs w:val="20"/>
              </w:rPr>
              <w:t>给</w:t>
            </w:r>
            <w:r>
              <w:rPr>
                <w:rFonts w:ascii="宋体" w:hAnsi="宋体" w:eastAsia="宋体" w:cs="宋体"/>
                <w:spacing w:val="10"/>
                <w:sz w:val="20"/>
                <w:szCs w:val="20"/>
              </w:rPr>
              <w:t>有无害化处理资质的单位处</w:t>
            </w:r>
            <w:r>
              <w:rPr>
                <w:rFonts w:ascii="宋体" w:hAnsi="宋体" w:eastAsia="宋体" w:cs="宋体"/>
                <w:sz w:val="20"/>
                <w:szCs w:val="20"/>
              </w:rPr>
              <w:t xml:space="preserve"> </w:t>
            </w:r>
            <w:r>
              <w:rPr>
                <w:rFonts w:ascii="宋体" w:hAnsi="宋体" w:eastAsia="宋体" w:cs="宋体"/>
                <w:spacing w:val="1"/>
                <w:sz w:val="20"/>
                <w:szCs w:val="20"/>
              </w:rPr>
              <w:t>置。</w:t>
            </w:r>
          </w:p>
        </w:tc>
        <w:tc>
          <w:tcPr>
            <w:tcW w:w="4740" w:type="dxa"/>
            <w:vMerge w:val="continue"/>
            <w:tcBorders>
              <w:top w:val="nil"/>
              <w:bottom w:val="nil"/>
              <w:right w:val="nil"/>
            </w:tcBorders>
          </w:tcPr>
          <w:p w14:paraId="4662A36F"/>
        </w:tc>
      </w:tr>
      <w:tr w14:paraId="49C6D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604" w:type="dxa"/>
            <w:vMerge w:val="continue"/>
            <w:tcBorders>
              <w:top w:val="nil"/>
              <w:left w:val="nil"/>
              <w:bottom w:val="nil"/>
            </w:tcBorders>
            <w:textDirection w:val="tbRlV"/>
          </w:tcPr>
          <w:p w14:paraId="0608DA4F"/>
        </w:tc>
        <w:tc>
          <w:tcPr>
            <w:tcW w:w="1304" w:type="dxa"/>
          </w:tcPr>
          <w:p w14:paraId="1CABABC5">
            <w:pPr>
              <w:spacing w:line="242" w:lineRule="auto"/>
            </w:pPr>
          </w:p>
          <w:p w14:paraId="00E95859">
            <w:pPr>
              <w:spacing w:before="65" w:line="228" w:lineRule="auto"/>
              <w:ind w:left="342"/>
              <w:rPr>
                <w:rFonts w:ascii="宋体" w:hAnsi="宋体" w:eastAsia="宋体" w:cs="宋体"/>
                <w:sz w:val="20"/>
                <w:szCs w:val="20"/>
              </w:rPr>
            </w:pPr>
            <w:r>
              <w:rPr>
                <w:rFonts w:ascii="宋体" w:hAnsi="宋体" w:eastAsia="宋体" w:cs="宋体"/>
                <w:spacing w:val="7"/>
                <w:sz w:val="20"/>
                <w:szCs w:val="20"/>
              </w:rPr>
              <w:t>废垫料</w:t>
            </w:r>
          </w:p>
        </w:tc>
        <w:tc>
          <w:tcPr>
            <w:tcW w:w="2956" w:type="dxa"/>
          </w:tcPr>
          <w:p w14:paraId="12EEEF27">
            <w:pPr>
              <w:spacing w:before="35" w:line="242" w:lineRule="auto"/>
              <w:ind w:left="118" w:right="110"/>
              <w:rPr>
                <w:rFonts w:ascii="宋体" w:hAnsi="宋体" w:eastAsia="宋体" w:cs="宋体"/>
                <w:sz w:val="20"/>
                <w:szCs w:val="20"/>
              </w:rPr>
            </w:pPr>
            <w:r>
              <w:rPr>
                <w:rFonts w:ascii="宋体" w:hAnsi="宋体" w:eastAsia="宋体" w:cs="宋体"/>
                <w:spacing w:val="13"/>
                <w:sz w:val="20"/>
                <w:szCs w:val="20"/>
              </w:rPr>
              <w:t>优</w:t>
            </w:r>
            <w:r>
              <w:rPr>
                <w:rFonts w:ascii="宋体" w:hAnsi="宋体" w:eastAsia="宋体" w:cs="宋体"/>
                <w:spacing w:val="9"/>
                <w:sz w:val="20"/>
                <w:szCs w:val="20"/>
              </w:rPr>
              <w:t>先出售给有机肥厂加工成有</w:t>
            </w:r>
            <w:r>
              <w:rPr>
                <w:rFonts w:ascii="宋体" w:hAnsi="宋体" w:eastAsia="宋体" w:cs="宋体"/>
                <w:sz w:val="20"/>
                <w:szCs w:val="20"/>
              </w:rPr>
              <w:t xml:space="preserve"> </w:t>
            </w:r>
            <w:r>
              <w:rPr>
                <w:rFonts w:ascii="宋体" w:hAnsi="宋体" w:eastAsia="宋体" w:cs="宋体"/>
                <w:spacing w:val="11"/>
                <w:sz w:val="20"/>
                <w:szCs w:val="20"/>
              </w:rPr>
              <w:t>机</w:t>
            </w:r>
            <w:r>
              <w:rPr>
                <w:rFonts w:ascii="宋体" w:hAnsi="宋体" w:eastAsia="宋体" w:cs="宋体"/>
                <w:spacing w:val="9"/>
                <w:sz w:val="20"/>
                <w:szCs w:val="20"/>
              </w:rPr>
              <w:t>肥，剩余部分直接作为建设</w:t>
            </w:r>
            <w:r>
              <w:rPr>
                <w:rFonts w:ascii="宋体" w:hAnsi="宋体" w:eastAsia="宋体" w:cs="宋体"/>
                <w:sz w:val="20"/>
                <w:szCs w:val="20"/>
              </w:rPr>
              <w:t xml:space="preserve"> </w:t>
            </w:r>
            <w:r>
              <w:rPr>
                <w:rFonts w:ascii="宋体" w:hAnsi="宋体" w:eastAsia="宋体" w:cs="宋体"/>
                <w:spacing w:val="13"/>
                <w:sz w:val="20"/>
                <w:szCs w:val="20"/>
              </w:rPr>
              <w:t>单</w:t>
            </w:r>
            <w:r>
              <w:rPr>
                <w:rFonts w:ascii="宋体" w:hAnsi="宋体" w:eastAsia="宋体" w:cs="宋体"/>
                <w:spacing w:val="9"/>
                <w:sz w:val="20"/>
                <w:szCs w:val="20"/>
              </w:rPr>
              <w:t>位自家林地生长所需的基肥</w:t>
            </w:r>
          </w:p>
        </w:tc>
        <w:tc>
          <w:tcPr>
            <w:tcW w:w="4740" w:type="dxa"/>
            <w:vMerge w:val="continue"/>
            <w:tcBorders>
              <w:top w:val="nil"/>
              <w:bottom w:val="nil"/>
              <w:right w:val="nil"/>
            </w:tcBorders>
          </w:tcPr>
          <w:p w14:paraId="73597412"/>
        </w:tc>
      </w:tr>
      <w:tr w14:paraId="7E8C40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604" w:type="dxa"/>
            <w:vMerge w:val="continue"/>
            <w:tcBorders>
              <w:top w:val="nil"/>
              <w:left w:val="nil"/>
              <w:bottom w:val="nil"/>
            </w:tcBorders>
            <w:textDirection w:val="tbRlV"/>
          </w:tcPr>
          <w:p w14:paraId="6C5E3656"/>
        </w:tc>
        <w:tc>
          <w:tcPr>
            <w:tcW w:w="1304" w:type="dxa"/>
          </w:tcPr>
          <w:p w14:paraId="755784F7">
            <w:pPr>
              <w:spacing w:before="98" w:line="227" w:lineRule="auto"/>
              <w:ind w:left="344"/>
              <w:rPr>
                <w:rFonts w:ascii="宋体" w:hAnsi="宋体" w:eastAsia="宋体" w:cs="宋体"/>
                <w:sz w:val="20"/>
                <w:szCs w:val="20"/>
              </w:rPr>
            </w:pPr>
            <w:r>
              <w:rPr>
                <w:rFonts w:ascii="宋体" w:hAnsi="宋体" w:eastAsia="宋体" w:cs="宋体"/>
                <w:spacing w:val="7"/>
                <w:sz w:val="20"/>
                <w:szCs w:val="20"/>
              </w:rPr>
              <w:t>有</w:t>
            </w:r>
            <w:r>
              <w:rPr>
                <w:rFonts w:ascii="宋体" w:hAnsi="宋体" w:eastAsia="宋体" w:cs="宋体"/>
                <w:spacing w:val="6"/>
                <w:sz w:val="20"/>
                <w:szCs w:val="20"/>
              </w:rPr>
              <w:t>机肥</w:t>
            </w:r>
          </w:p>
        </w:tc>
        <w:tc>
          <w:tcPr>
            <w:tcW w:w="2956" w:type="dxa"/>
          </w:tcPr>
          <w:p w14:paraId="3994DE28">
            <w:pPr>
              <w:spacing w:before="99" w:line="228" w:lineRule="auto"/>
              <w:ind w:left="1066"/>
              <w:rPr>
                <w:rFonts w:ascii="宋体" w:hAnsi="宋体" w:eastAsia="宋体" w:cs="宋体"/>
                <w:sz w:val="20"/>
                <w:szCs w:val="20"/>
              </w:rPr>
            </w:pPr>
            <w:r>
              <w:rPr>
                <w:rFonts w:ascii="宋体" w:hAnsi="宋体" w:eastAsia="宋体" w:cs="宋体"/>
                <w:spacing w:val="7"/>
                <w:sz w:val="20"/>
                <w:szCs w:val="20"/>
              </w:rPr>
              <w:t>外</w:t>
            </w:r>
            <w:r>
              <w:rPr>
                <w:rFonts w:ascii="宋体" w:hAnsi="宋体" w:eastAsia="宋体" w:cs="宋体"/>
                <w:spacing w:val="6"/>
                <w:sz w:val="20"/>
                <w:szCs w:val="20"/>
              </w:rPr>
              <w:t>售处置</w:t>
            </w:r>
          </w:p>
        </w:tc>
        <w:tc>
          <w:tcPr>
            <w:tcW w:w="4740" w:type="dxa"/>
            <w:vMerge w:val="continue"/>
            <w:tcBorders>
              <w:top w:val="nil"/>
              <w:bottom w:val="nil"/>
              <w:right w:val="nil"/>
            </w:tcBorders>
          </w:tcPr>
          <w:p w14:paraId="1F1B8A10"/>
        </w:tc>
      </w:tr>
      <w:tr w14:paraId="0DDF2A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604" w:type="dxa"/>
            <w:vMerge w:val="continue"/>
            <w:tcBorders>
              <w:top w:val="nil"/>
              <w:left w:val="nil"/>
              <w:bottom w:val="nil"/>
            </w:tcBorders>
            <w:textDirection w:val="tbRlV"/>
          </w:tcPr>
          <w:p w14:paraId="65806F68"/>
        </w:tc>
        <w:tc>
          <w:tcPr>
            <w:tcW w:w="1304" w:type="dxa"/>
          </w:tcPr>
          <w:p w14:paraId="0B3ECB2A">
            <w:pPr>
              <w:spacing w:line="378" w:lineRule="auto"/>
            </w:pPr>
          </w:p>
          <w:p w14:paraId="0304D0B2">
            <w:pPr>
              <w:spacing w:before="65" w:line="228" w:lineRule="auto"/>
              <w:ind w:left="114"/>
              <w:rPr>
                <w:rFonts w:ascii="宋体" w:hAnsi="宋体" w:eastAsia="宋体" w:cs="宋体"/>
                <w:sz w:val="20"/>
                <w:szCs w:val="20"/>
              </w:rPr>
            </w:pPr>
            <w:r>
              <w:rPr>
                <w:rFonts w:ascii="宋体" w:hAnsi="宋体" w:eastAsia="宋体" w:cs="宋体"/>
                <w:spacing w:val="7"/>
                <w:sz w:val="20"/>
                <w:szCs w:val="20"/>
              </w:rPr>
              <w:t>生活垃</w:t>
            </w:r>
            <w:r>
              <w:rPr>
                <w:rFonts w:ascii="宋体" w:hAnsi="宋体" w:eastAsia="宋体" w:cs="宋体"/>
                <w:spacing w:val="6"/>
                <w:sz w:val="20"/>
                <w:szCs w:val="20"/>
              </w:rPr>
              <w:t>圾</w:t>
            </w:r>
          </w:p>
        </w:tc>
        <w:tc>
          <w:tcPr>
            <w:tcW w:w="2956" w:type="dxa"/>
          </w:tcPr>
          <w:p w14:paraId="6AC6E63F">
            <w:pPr>
              <w:spacing w:before="170" w:line="261" w:lineRule="auto"/>
              <w:ind w:left="114" w:right="106" w:firstLine="1"/>
              <w:rPr>
                <w:rFonts w:ascii="宋体" w:hAnsi="宋体" w:eastAsia="宋体" w:cs="宋体"/>
                <w:sz w:val="20"/>
                <w:szCs w:val="20"/>
              </w:rPr>
            </w:pPr>
            <w:r>
              <w:rPr>
                <w:rFonts w:ascii="宋体" w:hAnsi="宋体" w:eastAsia="宋体" w:cs="宋体"/>
                <w:spacing w:val="10"/>
                <w:sz w:val="20"/>
                <w:szCs w:val="20"/>
              </w:rPr>
              <w:t>生活垃圾统一收集后清运至</w:t>
            </w:r>
            <w:r>
              <w:rPr>
                <w:rFonts w:ascii="宋体" w:hAnsi="宋体" w:eastAsia="宋体" w:cs="宋体"/>
                <w:spacing w:val="8"/>
                <w:sz w:val="20"/>
                <w:szCs w:val="20"/>
              </w:rPr>
              <w:t>当</w:t>
            </w:r>
            <w:r>
              <w:rPr>
                <w:rFonts w:ascii="宋体" w:hAnsi="宋体" w:eastAsia="宋体" w:cs="宋体"/>
                <w:sz w:val="20"/>
                <w:szCs w:val="20"/>
              </w:rPr>
              <w:t xml:space="preserve"> </w:t>
            </w:r>
            <w:r>
              <w:rPr>
                <w:rFonts w:ascii="宋体" w:hAnsi="宋体" w:eastAsia="宋体" w:cs="宋体"/>
                <w:spacing w:val="10"/>
                <w:sz w:val="20"/>
                <w:szCs w:val="20"/>
              </w:rPr>
              <w:t>地的垃圾收集点，有环卫部门</w:t>
            </w:r>
            <w:r>
              <w:rPr>
                <w:rFonts w:ascii="宋体" w:hAnsi="宋体" w:eastAsia="宋体" w:cs="宋体"/>
                <w:sz w:val="20"/>
                <w:szCs w:val="20"/>
              </w:rPr>
              <w:t xml:space="preserve"> </w:t>
            </w:r>
            <w:r>
              <w:rPr>
                <w:rFonts w:ascii="宋体" w:hAnsi="宋体" w:eastAsia="宋体" w:cs="宋体"/>
                <w:spacing w:val="6"/>
                <w:sz w:val="20"/>
                <w:szCs w:val="20"/>
              </w:rPr>
              <w:t>统一处置</w:t>
            </w:r>
            <w:r>
              <w:rPr>
                <w:rFonts w:ascii="宋体" w:hAnsi="宋体" w:eastAsia="宋体" w:cs="宋体"/>
                <w:spacing w:val="5"/>
                <w:sz w:val="20"/>
                <w:szCs w:val="20"/>
              </w:rPr>
              <w:t>。</w:t>
            </w:r>
          </w:p>
        </w:tc>
        <w:tc>
          <w:tcPr>
            <w:tcW w:w="4740" w:type="dxa"/>
            <w:vMerge w:val="continue"/>
            <w:tcBorders>
              <w:top w:val="nil"/>
              <w:bottom w:val="nil"/>
              <w:right w:val="nil"/>
            </w:tcBorders>
          </w:tcPr>
          <w:p w14:paraId="6B7BF7D2"/>
        </w:tc>
      </w:tr>
      <w:tr w14:paraId="15C12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604" w:type="dxa"/>
            <w:vMerge w:val="continue"/>
            <w:tcBorders>
              <w:top w:val="nil"/>
              <w:left w:val="nil"/>
            </w:tcBorders>
            <w:textDirection w:val="tbRlV"/>
          </w:tcPr>
          <w:p w14:paraId="457409C8"/>
        </w:tc>
        <w:tc>
          <w:tcPr>
            <w:tcW w:w="1304" w:type="dxa"/>
          </w:tcPr>
          <w:p w14:paraId="0FA81194">
            <w:pPr>
              <w:spacing w:line="242" w:lineRule="auto"/>
            </w:pPr>
          </w:p>
          <w:p w14:paraId="3DB71F07">
            <w:pPr>
              <w:spacing w:before="65" w:line="228" w:lineRule="auto"/>
              <w:ind w:left="122"/>
              <w:rPr>
                <w:rFonts w:ascii="宋体" w:hAnsi="宋体" w:eastAsia="宋体" w:cs="宋体"/>
                <w:sz w:val="20"/>
                <w:szCs w:val="20"/>
              </w:rPr>
            </w:pPr>
            <w:r>
              <w:rPr>
                <w:rFonts w:ascii="宋体" w:hAnsi="宋体" w:eastAsia="宋体" w:cs="宋体"/>
                <w:spacing w:val="5"/>
                <w:sz w:val="20"/>
                <w:szCs w:val="20"/>
              </w:rPr>
              <w:t>医疗废</w:t>
            </w:r>
            <w:r>
              <w:rPr>
                <w:rFonts w:ascii="宋体" w:hAnsi="宋体" w:eastAsia="宋体" w:cs="宋体"/>
                <w:spacing w:val="4"/>
                <w:sz w:val="20"/>
                <w:szCs w:val="20"/>
              </w:rPr>
              <w:t>物</w:t>
            </w:r>
          </w:p>
        </w:tc>
        <w:tc>
          <w:tcPr>
            <w:tcW w:w="2956" w:type="dxa"/>
          </w:tcPr>
          <w:p w14:paraId="352E153A">
            <w:pPr>
              <w:spacing w:before="35" w:line="242" w:lineRule="auto"/>
              <w:ind w:left="119" w:right="106" w:firstLine="6"/>
              <w:rPr>
                <w:rFonts w:ascii="宋体" w:hAnsi="宋体" w:eastAsia="宋体" w:cs="宋体"/>
                <w:sz w:val="20"/>
                <w:szCs w:val="20"/>
              </w:rPr>
            </w:pPr>
            <w:r>
              <w:rPr>
                <w:rFonts w:ascii="宋体" w:hAnsi="宋体" w:eastAsia="宋体" w:cs="宋体"/>
                <w:spacing w:val="10"/>
                <w:sz w:val="20"/>
                <w:szCs w:val="20"/>
              </w:rPr>
              <w:t>临</w:t>
            </w:r>
            <w:r>
              <w:rPr>
                <w:rFonts w:ascii="宋体" w:hAnsi="宋体" w:eastAsia="宋体" w:cs="宋体"/>
                <w:spacing w:val="9"/>
                <w:sz w:val="20"/>
                <w:szCs w:val="20"/>
              </w:rPr>
              <w:t>时贮存在医疗废物贮存间，</w:t>
            </w:r>
            <w:r>
              <w:rPr>
                <w:rFonts w:ascii="宋体" w:hAnsi="宋体" w:eastAsia="宋体" w:cs="宋体"/>
                <w:sz w:val="20"/>
                <w:szCs w:val="20"/>
              </w:rPr>
              <w:t xml:space="preserve"> </w:t>
            </w:r>
            <w:r>
              <w:rPr>
                <w:rFonts w:ascii="宋体" w:hAnsi="宋体" w:eastAsia="宋体" w:cs="宋体"/>
                <w:spacing w:val="17"/>
                <w:sz w:val="20"/>
                <w:szCs w:val="20"/>
              </w:rPr>
              <w:t>定</w:t>
            </w:r>
            <w:r>
              <w:rPr>
                <w:rFonts w:ascii="宋体" w:hAnsi="宋体" w:eastAsia="宋体" w:cs="宋体"/>
                <w:spacing w:val="9"/>
                <w:sz w:val="20"/>
                <w:szCs w:val="20"/>
              </w:rPr>
              <w:t>期交由有相应危废处置资质</w:t>
            </w:r>
            <w:r>
              <w:rPr>
                <w:rFonts w:ascii="宋体" w:hAnsi="宋体" w:eastAsia="宋体" w:cs="宋体"/>
                <w:sz w:val="20"/>
                <w:szCs w:val="20"/>
              </w:rPr>
              <w:t xml:space="preserve"> </w:t>
            </w:r>
            <w:r>
              <w:rPr>
                <w:rFonts w:ascii="宋体" w:hAnsi="宋体" w:eastAsia="宋体" w:cs="宋体"/>
                <w:spacing w:val="8"/>
                <w:sz w:val="20"/>
                <w:szCs w:val="20"/>
              </w:rPr>
              <w:t>的单位清运处</w:t>
            </w:r>
            <w:r>
              <w:rPr>
                <w:rFonts w:ascii="宋体" w:hAnsi="宋体" w:eastAsia="宋体" w:cs="宋体"/>
                <w:spacing w:val="7"/>
                <w:sz w:val="20"/>
                <w:szCs w:val="20"/>
              </w:rPr>
              <w:t>置</w:t>
            </w:r>
          </w:p>
        </w:tc>
        <w:tc>
          <w:tcPr>
            <w:tcW w:w="4740" w:type="dxa"/>
            <w:vMerge w:val="continue"/>
            <w:tcBorders>
              <w:top w:val="nil"/>
              <w:bottom w:val="nil"/>
              <w:right w:val="nil"/>
            </w:tcBorders>
          </w:tcPr>
          <w:p w14:paraId="43F12910"/>
        </w:tc>
      </w:tr>
      <w:tr w14:paraId="2210C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1908" w:type="dxa"/>
            <w:gridSpan w:val="2"/>
            <w:tcBorders>
              <w:left w:val="nil"/>
            </w:tcBorders>
          </w:tcPr>
          <w:p w14:paraId="2CFE53F9">
            <w:pPr>
              <w:spacing w:before="99" w:line="228" w:lineRule="auto"/>
              <w:ind w:left="752"/>
              <w:outlineLvl w:val="0"/>
              <w:rPr>
                <w:rFonts w:ascii="宋体" w:hAnsi="宋体" w:eastAsia="宋体" w:cs="宋体"/>
                <w:sz w:val="20"/>
                <w:szCs w:val="20"/>
              </w:rPr>
            </w:pPr>
            <w:r>
              <w:rPr>
                <w:rFonts w:ascii="宋体" w:hAnsi="宋体" w:eastAsia="宋体" w:cs="宋体"/>
                <w:spacing w:val="8"/>
                <w:sz w:val="20"/>
                <w:szCs w:val="20"/>
              </w:rPr>
              <w:t>环</w:t>
            </w:r>
            <w:r>
              <w:rPr>
                <w:rFonts w:ascii="宋体" w:hAnsi="宋体" w:eastAsia="宋体" w:cs="宋体"/>
                <w:spacing w:val="7"/>
                <w:sz w:val="20"/>
                <w:szCs w:val="20"/>
              </w:rPr>
              <w:t>境风险</w:t>
            </w:r>
          </w:p>
        </w:tc>
        <w:tc>
          <w:tcPr>
            <w:tcW w:w="2956" w:type="dxa"/>
          </w:tcPr>
          <w:p w14:paraId="33E83772">
            <w:pPr>
              <w:spacing w:before="99" w:line="228" w:lineRule="auto"/>
              <w:ind w:left="114"/>
              <w:rPr>
                <w:rFonts w:ascii="宋体" w:hAnsi="宋体" w:eastAsia="宋体" w:cs="宋体"/>
                <w:sz w:val="20"/>
                <w:szCs w:val="20"/>
              </w:rPr>
            </w:pPr>
            <w:r>
              <w:rPr>
                <w:rFonts w:ascii="宋体" w:hAnsi="宋体" w:eastAsia="宋体" w:cs="宋体"/>
                <w:spacing w:val="9"/>
                <w:sz w:val="20"/>
                <w:szCs w:val="20"/>
              </w:rPr>
              <w:t>事故应急池、消防设</w:t>
            </w:r>
            <w:r>
              <w:rPr>
                <w:rFonts w:ascii="宋体" w:hAnsi="宋体" w:eastAsia="宋体" w:cs="宋体"/>
                <w:spacing w:val="8"/>
                <w:sz w:val="20"/>
                <w:szCs w:val="20"/>
              </w:rPr>
              <w:t>备</w:t>
            </w:r>
          </w:p>
        </w:tc>
        <w:tc>
          <w:tcPr>
            <w:tcW w:w="4740" w:type="dxa"/>
            <w:vMerge w:val="continue"/>
            <w:tcBorders>
              <w:top w:val="nil"/>
              <w:right w:val="nil"/>
            </w:tcBorders>
          </w:tcPr>
          <w:p w14:paraId="6EA3EEE5"/>
        </w:tc>
      </w:tr>
    </w:tbl>
    <w:p w14:paraId="79061C20"/>
    <w:p w14:paraId="7A720370">
      <w:pPr>
        <w:sectPr>
          <w:headerReference r:id="rId329" w:type="default"/>
          <w:footerReference r:id="rId330" w:type="default"/>
          <w:pgSz w:w="11906" w:h="16839"/>
          <w:pgMar w:top="400" w:right="1134" w:bottom="1157" w:left="1168" w:header="0" w:footer="994" w:gutter="0"/>
          <w:cols w:space="720" w:num="1"/>
        </w:sectPr>
      </w:pPr>
    </w:p>
    <w:p w14:paraId="02FADDCC">
      <w:pPr>
        <w:spacing w:before="206" w:line="241" w:lineRule="auto"/>
        <w:ind w:left="21"/>
        <w:rPr>
          <w:rFonts w:ascii="宋体" w:hAnsi="宋体" w:eastAsia="宋体" w:cs="宋体"/>
          <w:sz w:val="31"/>
          <w:szCs w:val="31"/>
        </w:rPr>
      </w:pPr>
      <w:bookmarkStart w:id="66" w:name="_bookmark67"/>
      <w:bookmarkEnd w:id="66"/>
      <w:r>
        <w:rPr>
          <w:rFonts w:ascii="Times New Roman" w:hAnsi="Times New Roman" w:eastAsia="Times New Roman" w:cs="Times New Roman"/>
          <w:b/>
          <w:bCs/>
          <w:spacing w:val="1"/>
          <w:sz w:val="31"/>
          <w:szCs w:val="31"/>
        </w:rPr>
        <w:t>10</w:t>
      </w:r>
      <w:r>
        <w:rPr>
          <w:rFonts w:ascii="Times New Roman" w:hAnsi="Times New Roman" w:eastAsia="Times New Roman" w:cs="Times New Roman"/>
          <w:spacing w:val="1"/>
          <w:sz w:val="31"/>
          <w:szCs w:val="31"/>
        </w:rPr>
        <w:t xml:space="preserve"> </w:t>
      </w:r>
      <w:r>
        <w:rPr>
          <w:rFonts w:ascii="宋体" w:hAnsi="宋体" w:eastAsia="宋体" w:cs="宋体"/>
          <w:spacing w:val="1"/>
          <w:sz w:val="31"/>
          <w:szCs w:val="31"/>
          <w14:textOutline w14:w="5791" w14:cap="sq" w14:cmpd="sng" w14:algn="ctr">
            <w14:solidFill>
              <w14:srgbClr w14:val="000000"/>
            </w14:solidFill>
            <w14:prstDash w14:val="solid"/>
            <w14:bevel/>
          </w14:textOutline>
        </w:rPr>
        <w:t>、环境经济损</w:t>
      </w:r>
      <w:r>
        <w:rPr>
          <w:rFonts w:ascii="宋体" w:hAnsi="宋体" w:eastAsia="宋体" w:cs="宋体"/>
          <w:sz w:val="31"/>
          <w:szCs w:val="31"/>
          <w14:textOutline w14:w="5791" w14:cap="sq" w14:cmpd="sng" w14:algn="ctr">
            <w14:solidFill>
              <w14:srgbClr w14:val="000000"/>
            </w14:solidFill>
            <w14:prstDash w14:val="solid"/>
            <w14:bevel/>
          </w14:textOutline>
        </w:rPr>
        <w:t>益分析</w:t>
      </w:r>
    </w:p>
    <w:p w14:paraId="6D1B8332">
      <w:pPr>
        <w:spacing w:before="207" w:line="375" w:lineRule="auto"/>
        <w:ind w:left="12" w:firstLine="358"/>
        <w:rPr>
          <w:rFonts w:ascii="宋体" w:hAnsi="宋体" w:eastAsia="宋体" w:cs="宋体"/>
          <w:sz w:val="23"/>
          <w:szCs w:val="23"/>
        </w:rPr>
      </w:pPr>
      <w:r>
        <w:rPr>
          <w:rFonts w:ascii="宋体" w:hAnsi="宋体" w:eastAsia="宋体" w:cs="宋体"/>
          <w:spacing w:val="17"/>
          <w:sz w:val="23"/>
          <w:szCs w:val="23"/>
        </w:rPr>
        <w:t>环</w:t>
      </w:r>
      <w:r>
        <w:rPr>
          <w:rFonts w:ascii="宋体" w:hAnsi="宋体" w:eastAsia="宋体" w:cs="宋体"/>
          <w:spacing w:val="10"/>
          <w:sz w:val="23"/>
          <w:szCs w:val="23"/>
        </w:rPr>
        <w:t>境影响经济损益分析的主要任务是衡量项目的环保投资所能收到的环境效益和经济效</w:t>
      </w:r>
      <w:r>
        <w:rPr>
          <w:rFonts w:ascii="宋体" w:hAnsi="宋体" w:eastAsia="宋体" w:cs="宋体"/>
          <w:sz w:val="23"/>
          <w:szCs w:val="23"/>
        </w:rPr>
        <w:t xml:space="preserve"> </w:t>
      </w:r>
      <w:r>
        <w:rPr>
          <w:rFonts w:ascii="宋体" w:hAnsi="宋体" w:eastAsia="宋体" w:cs="宋体"/>
          <w:spacing w:val="10"/>
          <w:sz w:val="23"/>
          <w:szCs w:val="23"/>
        </w:rPr>
        <w:t>益</w:t>
      </w:r>
      <w:r>
        <w:rPr>
          <w:rFonts w:ascii="宋体" w:hAnsi="宋体" w:eastAsia="宋体" w:cs="宋体"/>
          <w:spacing w:val="7"/>
          <w:sz w:val="23"/>
          <w:szCs w:val="23"/>
        </w:rPr>
        <w:t>；建设项目应力争达到社会效益、环境效益、经济效益的统一，这样才能符合可持续发展</w:t>
      </w:r>
      <w:r>
        <w:rPr>
          <w:rFonts w:ascii="宋体" w:hAnsi="宋体" w:eastAsia="宋体" w:cs="宋体"/>
          <w:sz w:val="23"/>
          <w:szCs w:val="23"/>
        </w:rPr>
        <w:t xml:space="preserve"> </w:t>
      </w:r>
      <w:r>
        <w:rPr>
          <w:rFonts w:ascii="宋体" w:hAnsi="宋体" w:eastAsia="宋体" w:cs="宋体"/>
          <w:spacing w:val="10"/>
          <w:sz w:val="23"/>
          <w:szCs w:val="23"/>
        </w:rPr>
        <w:t>的</w:t>
      </w:r>
      <w:r>
        <w:rPr>
          <w:rFonts w:ascii="宋体" w:hAnsi="宋体" w:eastAsia="宋体" w:cs="宋体"/>
          <w:spacing w:val="7"/>
          <w:sz w:val="23"/>
          <w:szCs w:val="23"/>
        </w:rPr>
        <w:t>要求，实现经济的持续发展和环境质量的不断改善。项目属于畜牧养殖行业，它的建设在</w:t>
      </w:r>
      <w:r>
        <w:rPr>
          <w:rFonts w:ascii="宋体" w:hAnsi="宋体" w:eastAsia="宋体" w:cs="宋体"/>
          <w:sz w:val="23"/>
          <w:szCs w:val="23"/>
        </w:rPr>
        <w:t xml:space="preserve"> </w:t>
      </w:r>
      <w:r>
        <w:rPr>
          <w:rFonts w:ascii="宋体" w:hAnsi="宋体" w:eastAsia="宋体" w:cs="宋体"/>
          <w:spacing w:val="10"/>
          <w:sz w:val="23"/>
          <w:szCs w:val="23"/>
        </w:rPr>
        <w:t>一</w:t>
      </w:r>
      <w:r>
        <w:rPr>
          <w:rFonts w:ascii="宋体" w:hAnsi="宋体" w:eastAsia="宋体" w:cs="宋体"/>
          <w:spacing w:val="7"/>
          <w:sz w:val="23"/>
          <w:szCs w:val="23"/>
        </w:rPr>
        <w:t>定程度上会给周围环境带来一些负面影响，因此有必要进行经济效益、社会效益、环境效</w:t>
      </w:r>
      <w:r>
        <w:rPr>
          <w:rFonts w:ascii="宋体" w:hAnsi="宋体" w:eastAsia="宋体" w:cs="宋体"/>
          <w:sz w:val="23"/>
          <w:szCs w:val="23"/>
        </w:rPr>
        <w:t xml:space="preserve"> </w:t>
      </w:r>
      <w:r>
        <w:rPr>
          <w:rFonts w:ascii="宋体" w:hAnsi="宋体" w:eastAsia="宋体" w:cs="宋体"/>
          <w:spacing w:val="10"/>
          <w:sz w:val="23"/>
          <w:szCs w:val="23"/>
        </w:rPr>
        <w:t>益</w:t>
      </w:r>
      <w:r>
        <w:rPr>
          <w:rFonts w:ascii="宋体" w:hAnsi="宋体" w:eastAsia="宋体" w:cs="宋体"/>
          <w:spacing w:val="7"/>
          <w:sz w:val="23"/>
          <w:szCs w:val="23"/>
        </w:rPr>
        <w:t>的综合分析，使项目的建设论证更加充分可靠，工程的设计和实施更加完善，以实现社会</w:t>
      </w:r>
      <w:r>
        <w:rPr>
          <w:rFonts w:ascii="宋体" w:hAnsi="宋体" w:eastAsia="宋体" w:cs="宋体"/>
          <w:sz w:val="23"/>
          <w:szCs w:val="23"/>
        </w:rPr>
        <w:t xml:space="preserve"> </w:t>
      </w:r>
      <w:r>
        <w:rPr>
          <w:rFonts w:ascii="宋体" w:hAnsi="宋体" w:eastAsia="宋体" w:cs="宋体"/>
          <w:spacing w:val="12"/>
          <w:sz w:val="23"/>
          <w:szCs w:val="23"/>
        </w:rPr>
        <w:t>的</w:t>
      </w:r>
      <w:r>
        <w:rPr>
          <w:rFonts w:ascii="宋体" w:hAnsi="宋体" w:eastAsia="宋体" w:cs="宋体"/>
          <w:spacing w:val="9"/>
          <w:sz w:val="23"/>
          <w:szCs w:val="23"/>
        </w:rPr>
        <w:t>良性发展、经济的持续增长和环境质量的保持与改善。</w:t>
      </w:r>
    </w:p>
    <w:p w14:paraId="5384F5D3">
      <w:pPr>
        <w:spacing w:line="218" w:lineRule="auto"/>
        <w:ind w:left="19"/>
        <w:outlineLvl w:val="1"/>
        <w:rPr>
          <w:rFonts w:ascii="宋体" w:hAnsi="宋体" w:eastAsia="宋体" w:cs="宋体"/>
          <w:sz w:val="28"/>
          <w:szCs w:val="28"/>
        </w:rPr>
      </w:pPr>
      <w:bookmarkStart w:id="67" w:name="_bookmark68"/>
      <w:bookmarkEnd w:id="67"/>
      <w:r>
        <w:rPr>
          <w:rFonts w:ascii="Times New Roman" w:hAnsi="Times New Roman" w:eastAsia="Times New Roman" w:cs="Times New Roman"/>
          <w:b/>
          <w:bCs/>
          <w:spacing w:val="-2"/>
          <w:sz w:val="28"/>
          <w:szCs w:val="28"/>
        </w:rPr>
        <w:t>1</w:t>
      </w:r>
      <w:r>
        <w:rPr>
          <w:rFonts w:ascii="Times New Roman" w:hAnsi="Times New Roman" w:eastAsia="Times New Roman" w:cs="Times New Roman"/>
          <w:b/>
          <w:bCs/>
          <w:spacing w:val="-1"/>
          <w:sz w:val="28"/>
          <w:szCs w:val="28"/>
        </w:rPr>
        <w:t>0.1</w:t>
      </w:r>
      <w:r>
        <w:rPr>
          <w:rFonts w:ascii="Times New Roman" w:hAnsi="Times New Roman" w:eastAsia="Times New Roman" w:cs="Times New Roman"/>
          <w:spacing w:val="-1"/>
          <w:sz w:val="28"/>
          <w:szCs w:val="28"/>
        </w:rPr>
        <w:t xml:space="preserve">  </w:t>
      </w:r>
      <w:r>
        <w:rPr>
          <w:rFonts w:ascii="宋体" w:hAnsi="宋体" w:eastAsia="宋体" w:cs="宋体"/>
          <w:spacing w:val="-1"/>
          <w:sz w:val="28"/>
          <w:szCs w:val="28"/>
          <w14:textOutline w14:w="5105" w14:cap="sq" w14:cmpd="sng" w14:algn="ctr">
            <w14:solidFill>
              <w14:srgbClr w14:val="000000"/>
            </w14:solidFill>
            <w14:prstDash w14:val="solid"/>
            <w14:bevel/>
          </w14:textOutline>
        </w:rPr>
        <w:t>环保投资估算</w:t>
      </w:r>
    </w:p>
    <w:p w14:paraId="2ED77659">
      <w:pPr>
        <w:spacing w:before="207" w:line="378" w:lineRule="auto"/>
        <w:ind w:left="49" w:right="60" w:firstLine="323"/>
        <w:rPr>
          <w:rFonts w:ascii="宋体" w:hAnsi="宋体" w:eastAsia="宋体" w:cs="宋体"/>
          <w:sz w:val="23"/>
          <w:szCs w:val="23"/>
        </w:rPr>
      </w:pPr>
      <w:r>
        <w:rPr>
          <w:rFonts w:ascii="宋体" w:hAnsi="宋体" w:eastAsia="宋体" w:cs="宋体"/>
          <w:spacing w:val="12"/>
          <w:sz w:val="23"/>
          <w:szCs w:val="23"/>
        </w:rPr>
        <w:t>工程环</w:t>
      </w:r>
      <w:r>
        <w:rPr>
          <w:rFonts w:ascii="宋体" w:hAnsi="宋体" w:eastAsia="宋体" w:cs="宋体"/>
          <w:spacing w:val="8"/>
          <w:sz w:val="23"/>
          <w:szCs w:val="23"/>
        </w:rPr>
        <w:t>保</w:t>
      </w:r>
      <w:r>
        <w:rPr>
          <w:rFonts w:ascii="宋体" w:hAnsi="宋体" w:eastAsia="宋体" w:cs="宋体"/>
          <w:spacing w:val="6"/>
          <w:sz w:val="23"/>
          <w:szCs w:val="23"/>
        </w:rPr>
        <w:t xml:space="preserve">投资包括运行期的污染防治措施的总投资，预计该项费用总投资为 </w:t>
      </w:r>
      <w:r>
        <w:rPr>
          <w:rFonts w:ascii="Times New Roman" w:hAnsi="Times New Roman" w:eastAsia="Times New Roman" w:cs="Times New Roman"/>
          <w:spacing w:val="6"/>
          <w:sz w:val="23"/>
          <w:szCs w:val="23"/>
        </w:rPr>
        <w:t xml:space="preserve">227 </w:t>
      </w:r>
      <w:r>
        <w:rPr>
          <w:rFonts w:ascii="宋体" w:hAnsi="宋体" w:eastAsia="宋体" w:cs="宋体"/>
          <w:spacing w:val="6"/>
          <w:sz w:val="23"/>
          <w:szCs w:val="23"/>
        </w:rPr>
        <w:t>万元，</w:t>
      </w:r>
      <w:r>
        <w:rPr>
          <w:rFonts w:ascii="宋体" w:hAnsi="宋体" w:eastAsia="宋体" w:cs="宋体"/>
          <w:sz w:val="23"/>
          <w:szCs w:val="23"/>
        </w:rPr>
        <w:t xml:space="preserve"> </w:t>
      </w:r>
      <w:r>
        <w:rPr>
          <w:rFonts w:ascii="宋体" w:hAnsi="宋体" w:eastAsia="宋体" w:cs="宋体"/>
          <w:spacing w:val="1"/>
          <w:sz w:val="23"/>
          <w:szCs w:val="23"/>
        </w:rPr>
        <w:t>占总</w:t>
      </w:r>
      <w:r>
        <w:rPr>
          <w:rFonts w:ascii="宋体" w:hAnsi="宋体" w:eastAsia="宋体" w:cs="宋体"/>
          <w:sz w:val="23"/>
          <w:szCs w:val="23"/>
        </w:rPr>
        <w:t xml:space="preserve">投资的比例为 </w:t>
      </w:r>
      <w:r>
        <w:rPr>
          <w:rFonts w:ascii="Times New Roman" w:hAnsi="Times New Roman" w:eastAsia="Times New Roman" w:cs="Times New Roman"/>
          <w:sz w:val="23"/>
          <w:szCs w:val="23"/>
        </w:rPr>
        <w:t>8.63%</w:t>
      </w:r>
      <w:r>
        <w:rPr>
          <w:rFonts w:ascii="宋体" w:hAnsi="宋体" w:eastAsia="宋体" w:cs="宋体"/>
          <w:sz w:val="23"/>
          <w:szCs w:val="23"/>
        </w:rPr>
        <w:t>。</w:t>
      </w:r>
    </w:p>
    <w:p w14:paraId="1AE3EDE1">
      <w:pPr>
        <w:spacing w:before="1" w:line="220" w:lineRule="auto"/>
        <w:ind w:left="19"/>
        <w:outlineLvl w:val="1"/>
        <w:rPr>
          <w:rFonts w:ascii="宋体" w:hAnsi="宋体" w:eastAsia="宋体" w:cs="宋体"/>
          <w:sz w:val="28"/>
          <w:szCs w:val="28"/>
        </w:rPr>
      </w:pPr>
      <w:bookmarkStart w:id="68" w:name="_bookmark69"/>
      <w:bookmarkEnd w:id="68"/>
      <w:r>
        <w:rPr>
          <w:rFonts w:ascii="Times New Roman" w:hAnsi="Times New Roman" w:eastAsia="Times New Roman" w:cs="Times New Roman"/>
          <w:b/>
          <w:bCs/>
          <w:spacing w:val="-1"/>
          <w:sz w:val="28"/>
          <w:szCs w:val="28"/>
        </w:rPr>
        <w:t>10.2</w:t>
      </w:r>
      <w:r>
        <w:rPr>
          <w:rFonts w:ascii="Times New Roman" w:hAnsi="Times New Roman" w:eastAsia="Times New Roman" w:cs="Times New Roman"/>
          <w:spacing w:val="-1"/>
          <w:sz w:val="28"/>
          <w:szCs w:val="28"/>
        </w:rPr>
        <w:t xml:space="preserve">  </w:t>
      </w:r>
      <w:r>
        <w:rPr>
          <w:rFonts w:ascii="宋体" w:hAnsi="宋体" w:eastAsia="宋体" w:cs="宋体"/>
          <w:spacing w:val="-1"/>
          <w:sz w:val="28"/>
          <w:szCs w:val="28"/>
          <w14:textOutline w14:w="5105" w14:cap="sq" w14:cmpd="sng" w14:algn="ctr">
            <w14:solidFill>
              <w14:srgbClr w14:val="000000"/>
            </w14:solidFill>
            <w14:prstDash w14:val="solid"/>
            <w14:bevel/>
          </w14:textOutline>
        </w:rPr>
        <w:t>环境影响</w:t>
      </w:r>
      <w:r>
        <w:rPr>
          <w:rFonts w:ascii="宋体" w:hAnsi="宋体" w:eastAsia="宋体" w:cs="宋体"/>
          <w:sz w:val="28"/>
          <w:szCs w:val="28"/>
          <w14:textOutline w14:w="5105" w14:cap="sq" w14:cmpd="sng" w14:algn="ctr">
            <w14:solidFill>
              <w14:srgbClr w14:val="000000"/>
            </w14:solidFill>
            <w14:prstDash w14:val="solid"/>
            <w14:bevel/>
          </w14:textOutline>
        </w:rPr>
        <w:t>经济损失分析</w:t>
      </w:r>
    </w:p>
    <w:p w14:paraId="35299766">
      <w:pPr>
        <w:spacing w:before="202" w:line="228" w:lineRule="auto"/>
        <w:ind w:left="16"/>
        <w:outlineLvl w:val="2"/>
        <w:rPr>
          <w:rFonts w:ascii="宋体" w:hAnsi="宋体" w:eastAsia="宋体" w:cs="宋体"/>
          <w:sz w:val="23"/>
          <w:szCs w:val="23"/>
        </w:rPr>
      </w:pPr>
      <w:r>
        <w:rPr>
          <w:rFonts w:ascii="Times New Roman" w:hAnsi="Times New Roman" w:eastAsia="Times New Roman" w:cs="Times New Roman"/>
          <w:b/>
          <w:bCs/>
          <w:spacing w:val="11"/>
          <w:sz w:val="23"/>
          <w:szCs w:val="23"/>
        </w:rPr>
        <w:t>1</w:t>
      </w:r>
      <w:r>
        <w:rPr>
          <w:rFonts w:ascii="Times New Roman" w:hAnsi="Times New Roman" w:eastAsia="Times New Roman" w:cs="Times New Roman"/>
          <w:b/>
          <w:bCs/>
          <w:spacing w:val="6"/>
          <w:sz w:val="23"/>
          <w:szCs w:val="23"/>
        </w:rPr>
        <w:t>0.2.1</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噪声影响经济损失</w:t>
      </w:r>
    </w:p>
    <w:p w14:paraId="17A1E28C">
      <w:pPr>
        <w:spacing w:before="137" w:line="375" w:lineRule="auto"/>
        <w:ind w:left="12" w:firstLine="359"/>
        <w:rPr>
          <w:rFonts w:ascii="宋体" w:hAnsi="宋体" w:eastAsia="宋体" w:cs="宋体"/>
          <w:sz w:val="23"/>
          <w:szCs w:val="23"/>
        </w:rPr>
      </w:pPr>
      <w:r>
        <w:rPr>
          <w:rFonts w:ascii="宋体" w:hAnsi="宋体" w:eastAsia="宋体" w:cs="宋体"/>
          <w:spacing w:val="14"/>
          <w:sz w:val="23"/>
          <w:szCs w:val="23"/>
        </w:rPr>
        <w:t>有</w:t>
      </w:r>
      <w:r>
        <w:rPr>
          <w:rFonts w:ascii="宋体" w:hAnsi="宋体" w:eastAsia="宋体" w:cs="宋体"/>
          <w:spacing w:val="9"/>
          <w:sz w:val="23"/>
          <w:szCs w:val="23"/>
        </w:rPr>
        <w:t>关</w:t>
      </w:r>
      <w:r>
        <w:rPr>
          <w:rFonts w:ascii="宋体" w:hAnsi="宋体" w:eastAsia="宋体" w:cs="宋体"/>
          <w:spacing w:val="7"/>
          <w:sz w:val="23"/>
          <w:szCs w:val="23"/>
        </w:rPr>
        <w:t xml:space="preserve">噪声影响的人群调查以及流行病学研究发现，在我国，生活在 </w:t>
      </w:r>
      <w:r>
        <w:rPr>
          <w:rFonts w:ascii="Times New Roman" w:hAnsi="Times New Roman" w:eastAsia="Times New Roman" w:cs="Times New Roman"/>
          <w:spacing w:val="7"/>
          <w:sz w:val="23"/>
          <w:szCs w:val="23"/>
        </w:rPr>
        <w:t>70</w:t>
      </w:r>
      <w:r>
        <w:rPr>
          <w:rFonts w:ascii="Times New Roman" w:hAnsi="Times New Roman" w:eastAsia="Times New Roman" w:cs="Times New Roman"/>
          <w:sz w:val="23"/>
          <w:szCs w:val="23"/>
        </w:rPr>
        <w:t>dB</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w:t>
      </w:r>
      <w:r>
        <w:rPr>
          <w:rFonts w:ascii="Times New Roman" w:hAnsi="Times New Roman" w:eastAsia="Times New Roman" w:cs="Times New Roman"/>
          <w:sz w:val="23"/>
          <w:szCs w:val="23"/>
        </w:rPr>
        <w:t>A</w:t>
      </w:r>
      <w:r>
        <w:rPr>
          <w:rFonts w:ascii="宋体" w:hAnsi="宋体" w:eastAsia="宋体" w:cs="宋体"/>
          <w:spacing w:val="7"/>
          <w:sz w:val="23"/>
          <w:szCs w:val="23"/>
        </w:rPr>
        <w:t>) 以上环境</w:t>
      </w:r>
      <w:r>
        <w:rPr>
          <w:rFonts w:ascii="宋体" w:hAnsi="宋体" w:eastAsia="宋体" w:cs="宋体"/>
          <w:sz w:val="23"/>
          <w:szCs w:val="23"/>
        </w:rPr>
        <w:t xml:space="preserve"> </w:t>
      </w:r>
      <w:r>
        <w:rPr>
          <w:rFonts w:ascii="宋体" w:hAnsi="宋体" w:eastAsia="宋体" w:cs="宋体"/>
          <w:spacing w:val="14"/>
          <w:sz w:val="23"/>
          <w:szCs w:val="23"/>
        </w:rPr>
        <w:t>中居民</w:t>
      </w:r>
      <w:r>
        <w:rPr>
          <w:rFonts w:ascii="宋体" w:hAnsi="宋体" w:eastAsia="宋体" w:cs="宋体"/>
          <w:spacing w:val="7"/>
          <w:sz w:val="23"/>
          <w:szCs w:val="23"/>
        </w:rPr>
        <w:t xml:space="preserve">的人均医疗费用比 </w:t>
      </w:r>
      <w:r>
        <w:rPr>
          <w:rFonts w:ascii="Times New Roman" w:hAnsi="Times New Roman" w:eastAsia="Times New Roman" w:cs="Times New Roman"/>
          <w:spacing w:val="7"/>
          <w:sz w:val="23"/>
          <w:szCs w:val="23"/>
        </w:rPr>
        <w:t>70</w:t>
      </w:r>
      <w:r>
        <w:rPr>
          <w:rFonts w:ascii="Times New Roman" w:hAnsi="Times New Roman" w:eastAsia="Times New Roman" w:cs="Times New Roman"/>
          <w:sz w:val="23"/>
          <w:szCs w:val="23"/>
        </w:rPr>
        <w:t>dB</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w:t>
      </w:r>
      <w:r>
        <w:rPr>
          <w:rFonts w:ascii="Times New Roman" w:hAnsi="Times New Roman" w:eastAsia="Times New Roman" w:cs="Times New Roman"/>
          <w:sz w:val="23"/>
          <w:szCs w:val="23"/>
        </w:rPr>
        <w:t>A</w:t>
      </w:r>
      <w:r>
        <w:rPr>
          <w:rFonts w:ascii="宋体" w:hAnsi="宋体" w:eastAsia="宋体" w:cs="宋体"/>
          <w:spacing w:val="7"/>
          <w:sz w:val="23"/>
          <w:szCs w:val="23"/>
        </w:rPr>
        <w:t xml:space="preserve">) 以下的同类地方高；噪声级在 </w:t>
      </w:r>
      <w:r>
        <w:rPr>
          <w:rFonts w:ascii="Times New Roman" w:hAnsi="Times New Roman" w:eastAsia="Times New Roman" w:cs="Times New Roman"/>
          <w:spacing w:val="7"/>
          <w:sz w:val="23"/>
          <w:szCs w:val="23"/>
        </w:rPr>
        <w:t>70</w:t>
      </w:r>
      <w:r>
        <w:rPr>
          <w:rFonts w:ascii="Times New Roman" w:hAnsi="Times New Roman" w:eastAsia="Times New Roman" w:cs="Times New Roman"/>
          <w:sz w:val="23"/>
          <w:szCs w:val="23"/>
        </w:rPr>
        <w:t>dB</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w:t>
      </w:r>
      <w:r>
        <w:rPr>
          <w:rFonts w:ascii="Times New Roman" w:hAnsi="Times New Roman" w:eastAsia="Times New Roman" w:cs="Times New Roman"/>
          <w:sz w:val="23"/>
          <w:szCs w:val="23"/>
        </w:rPr>
        <w:t>A</w:t>
      </w:r>
      <w:r>
        <w:rPr>
          <w:rFonts w:ascii="宋体" w:hAnsi="宋体" w:eastAsia="宋体" w:cs="宋体"/>
          <w:spacing w:val="7"/>
          <w:sz w:val="23"/>
          <w:szCs w:val="23"/>
        </w:rPr>
        <w:t>) 以上环境的</w:t>
      </w:r>
      <w:r>
        <w:rPr>
          <w:rFonts w:ascii="宋体" w:hAnsi="宋体" w:eastAsia="宋体" w:cs="宋体"/>
          <w:sz w:val="23"/>
          <w:szCs w:val="23"/>
        </w:rPr>
        <w:t xml:space="preserve"> </w:t>
      </w:r>
      <w:r>
        <w:rPr>
          <w:rFonts w:ascii="宋体" w:hAnsi="宋体" w:eastAsia="宋体" w:cs="宋体"/>
          <w:spacing w:val="12"/>
          <w:sz w:val="23"/>
          <w:szCs w:val="23"/>
        </w:rPr>
        <w:t>居</w:t>
      </w:r>
      <w:r>
        <w:rPr>
          <w:rFonts w:ascii="宋体" w:hAnsi="宋体" w:eastAsia="宋体" w:cs="宋体"/>
          <w:spacing w:val="6"/>
          <w:sz w:val="23"/>
          <w:szCs w:val="23"/>
        </w:rPr>
        <w:t xml:space="preserve">民有 </w:t>
      </w:r>
      <w:r>
        <w:rPr>
          <w:rFonts w:ascii="Times New Roman" w:hAnsi="Times New Roman" w:eastAsia="Times New Roman" w:cs="Times New Roman"/>
          <w:spacing w:val="6"/>
          <w:sz w:val="23"/>
          <w:szCs w:val="23"/>
        </w:rPr>
        <w:t>66.7%</w:t>
      </w:r>
      <w:r>
        <w:rPr>
          <w:rFonts w:ascii="宋体" w:hAnsi="宋体" w:eastAsia="宋体" w:cs="宋体"/>
          <w:spacing w:val="6"/>
          <w:sz w:val="23"/>
          <w:szCs w:val="23"/>
        </w:rPr>
        <w:t>睡眠受到干扰，而睡眠受到干扰的职工会表现出生产效率有所下降。根据前面</w:t>
      </w:r>
      <w:r>
        <w:rPr>
          <w:rFonts w:ascii="宋体" w:hAnsi="宋体" w:eastAsia="宋体" w:cs="宋体"/>
          <w:sz w:val="23"/>
          <w:szCs w:val="23"/>
        </w:rPr>
        <w:t xml:space="preserve"> </w:t>
      </w:r>
      <w:r>
        <w:rPr>
          <w:rFonts w:ascii="宋体" w:hAnsi="宋体" w:eastAsia="宋体" w:cs="宋体"/>
          <w:spacing w:val="15"/>
          <w:sz w:val="23"/>
          <w:szCs w:val="23"/>
        </w:rPr>
        <w:t>的</w:t>
      </w:r>
      <w:r>
        <w:rPr>
          <w:rFonts w:ascii="宋体" w:hAnsi="宋体" w:eastAsia="宋体" w:cs="宋体"/>
          <w:spacing w:val="10"/>
          <w:sz w:val="23"/>
          <w:szCs w:val="23"/>
        </w:rPr>
        <w:t xml:space="preserve">噪声预测结果，在采取降噪措施前，本项目昼夜间噪声值均未达到 </w:t>
      </w:r>
      <w:r>
        <w:rPr>
          <w:rFonts w:ascii="Times New Roman" w:hAnsi="Times New Roman" w:eastAsia="Times New Roman" w:cs="Times New Roman"/>
          <w:spacing w:val="10"/>
          <w:sz w:val="23"/>
          <w:szCs w:val="23"/>
        </w:rPr>
        <w:t>70</w:t>
      </w:r>
      <w:r>
        <w:rPr>
          <w:rFonts w:ascii="Times New Roman" w:hAnsi="Times New Roman" w:eastAsia="Times New Roman" w:cs="Times New Roman"/>
          <w:sz w:val="23"/>
          <w:szCs w:val="23"/>
        </w:rPr>
        <w:t>dB</w:t>
      </w:r>
      <w:r>
        <w:rPr>
          <w:rFonts w:ascii="Times New Roman" w:hAnsi="Times New Roman" w:eastAsia="Times New Roman" w:cs="Times New Roman"/>
          <w:spacing w:val="10"/>
          <w:sz w:val="23"/>
          <w:szCs w:val="23"/>
        </w:rPr>
        <w:t xml:space="preserve">  </w:t>
      </w:r>
      <w:r>
        <w:rPr>
          <w:rFonts w:ascii="宋体" w:hAnsi="宋体" w:eastAsia="宋体" w:cs="宋体"/>
          <w:spacing w:val="10"/>
          <w:sz w:val="23"/>
          <w:szCs w:val="23"/>
        </w:rPr>
        <w:t>(</w:t>
      </w:r>
      <w:r>
        <w:rPr>
          <w:rFonts w:ascii="Times New Roman" w:hAnsi="Times New Roman" w:eastAsia="Times New Roman" w:cs="Times New Roman"/>
          <w:sz w:val="23"/>
          <w:szCs w:val="23"/>
        </w:rPr>
        <w:t>A</w:t>
      </w:r>
      <w:r>
        <w:rPr>
          <w:rFonts w:ascii="宋体" w:hAnsi="宋体" w:eastAsia="宋体" w:cs="宋体"/>
          <w:spacing w:val="10"/>
          <w:sz w:val="23"/>
          <w:szCs w:val="23"/>
        </w:rPr>
        <w:t>) ，因此本</w:t>
      </w:r>
      <w:r>
        <w:rPr>
          <w:rFonts w:ascii="宋体" w:hAnsi="宋体" w:eastAsia="宋体" w:cs="宋体"/>
          <w:sz w:val="23"/>
          <w:szCs w:val="23"/>
        </w:rPr>
        <w:t xml:space="preserve"> </w:t>
      </w:r>
      <w:r>
        <w:rPr>
          <w:rFonts w:ascii="宋体" w:hAnsi="宋体" w:eastAsia="宋体" w:cs="宋体"/>
          <w:spacing w:val="9"/>
          <w:sz w:val="23"/>
          <w:szCs w:val="23"/>
        </w:rPr>
        <w:t>项目的建设不会引起噪声影响经济损失</w:t>
      </w:r>
      <w:r>
        <w:rPr>
          <w:rFonts w:ascii="宋体" w:hAnsi="宋体" w:eastAsia="宋体" w:cs="宋体"/>
          <w:spacing w:val="5"/>
          <w:sz w:val="23"/>
          <w:szCs w:val="23"/>
        </w:rPr>
        <w:t>。</w:t>
      </w:r>
    </w:p>
    <w:p w14:paraId="387CDB11">
      <w:pPr>
        <w:spacing w:before="46" w:line="228" w:lineRule="auto"/>
        <w:ind w:left="16"/>
        <w:outlineLvl w:val="2"/>
        <w:rPr>
          <w:rFonts w:ascii="宋体" w:hAnsi="宋体" w:eastAsia="宋体" w:cs="宋体"/>
          <w:sz w:val="23"/>
          <w:szCs w:val="23"/>
        </w:rPr>
      </w:pPr>
      <w:r>
        <w:rPr>
          <w:rFonts w:ascii="Times New Roman" w:hAnsi="Times New Roman" w:eastAsia="Times New Roman" w:cs="Times New Roman"/>
          <w:b/>
          <w:bCs/>
          <w:spacing w:val="7"/>
          <w:sz w:val="23"/>
          <w:szCs w:val="23"/>
        </w:rPr>
        <w:t>10.2.2</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环境空气影响经济损</w:t>
      </w:r>
      <w:r>
        <w:rPr>
          <w:rFonts w:ascii="宋体" w:hAnsi="宋体" w:eastAsia="宋体" w:cs="宋体"/>
          <w:spacing w:val="4"/>
          <w:sz w:val="23"/>
          <w:szCs w:val="23"/>
          <w14:textOutline w14:w="4356" w14:cap="sq" w14:cmpd="sng" w14:algn="ctr">
            <w14:solidFill>
              <w14:srgbClr w14:val="000000"/>
            </w14:solidFill>
            <w14:prstDash w14:val="solid"/>
            <w14:bevel/>
          </w14:textOutline>
        </w:rPr>
        <w:t>失</w:t>
      </w:r>
    </w:p>
    <w:p w14:paraId="28ECFC96">
      <w:pPr>
        <w:spacing w:before="180" w:line="375" w:lineRule="auto"/>
        <w:ind w:left="10" w:firstLine="367"/>
        <w:rPr>
          <w:rFonts w:ascii="宋体" w:hAnsi="宋体" w:eastAsia="宋体" w:cs="宋体"/>
          <w:sz w:val="23"/>
          <w:szCs w:val="23"/>
        </w:rPr>
      </w:pPr>
      <w:r>
        <w:rPr>
          <w:rFonts w:ascii="宋体" w:hAnsi="宋体" w:eastAsia="宋体" w:cs="宋体"/>
          <w:spacing w:val="10"/>
          <w:sz w:val="23"/>
          <w:szCs w:val="23"/>
        </w:rPr>
        <w:t>营运期项目的环境空气影响主要表现在场区产生的恶臭气体使周围居民的空气环境质</w:t>
      </w:r>
      <w:r>
        <w:rPr>
          <w:rFonts w:ascii="宋体" w:hAnsi="宋体" w:eastAsia="宋体" w:cs="宋体"/>
          <w:spacing w:val="9"/>
          <w:sz w:val="23"/>
          <w:szCs w:val="23"/>
        </w:rPr>
        <w:t>量</w:t>
      </w:r>
      <w:r>
        <w:rPr>
          <w:rFonts w:ascii="宋体" w:hAnsi="宋体" w:eastAsia="宋体" w:cs="宋体"/>
          <w:sz w:val="23"/>
          <w:szCs w:val="23"/>
        </w:rPr>
        <w:t xml:space="preserve"> </w:t>
      </w:r>
      <w:r>
        <w:rPr>
          <w:rFonts w:ascii="宋体" w:hAnsi="宋体" w:eastAsia="宋体" w:cs="宋体"/>
          <w:spacing w:val="12"/>
          <w:sz w:val="23"/>
          <w:szCs w:val="23"/>
        </w:rPr>
        <w:t>有</w:t>
      </w:r>
      <w:r>
        <w:rPr>
          <w:rFonts w:ascii="宋体" w:hAnsi="宋体" w:eastAsia="宋体" w:cs="宋体"/>
          <w:spacing w:val="7"/>
          <w:sz w:val="23"/>
          <w:szCs w:val="23"/>
        </w:rPr>
        <w:t>所下降，有可能对居民健康产生一定的影响。但是目前尚无环境空气影响经济损失的定量</w:t>
      </w:r>
      <w:r>
        <w:rPr>
          <w:rFonts w:ascii="宋体" w:hAnsi="宋体" w:eastAsia="宋体" w:cs="宋体"/>
          <w:sz w:val="23"/>
          <w:szCs w:val="23"/>
        </w:rPr>
        <w:t xml:space="preserve"> </w:t>
      </w:r>
      <w:r>
        <w:rPr>
          <w:rFonts w:ascii="宋体" w:hAnsi="宋体" w:eastAsia="宋体" w:cs="宋体"/>
          <w:spacing w:val="12"/>
          <w:sz w:val="23"/>
          <w:szCs w:val="23"/>
        </w:rPr>
        <w:t>计</w:t>
      </w:r>
      <w:r>
        <w:rPr>
          <w:rFonts w:ascii="宋体" w:hAnsi="宋体" w:eastAsia="宋体" w:cs="宋体"/>
          <w:spacing w:val="7"/>
          <w:sz w:val="23"/>
          <w:szCs w:val="23"/>
        </w:rPr>
        <w:t>算方法，环境空气影响造成的损失还难以直接用货币衡量，因此，以下将对环境空气影响</w:t>
      </w:r>
      <w:r>
        <w:rPr>
          <w:rFonts w:ascii="宋体" w:hAnsi="宋体" w:eastAsia="宋体" w:cs="宋体"/>
          <w:sz w:val="23"/>
          <w:szCs w:val="23"/>
        </w:rPr>
        <w:t xml:space="preserve"> </w:t>
      </w:r>
      <w:r>
        <w:rPr>
          <w:rFonts w:ascii="宋体" w:hAnsi="宋体" w:eastAsia="宋体" w:cs="宋体"/>
          <w:spacing w:val="8"/>
          <w:sz w:val="23"/>
          <w:szCs w:val="23"/>
        </w:rPr>
        <w:t>损失进行定性分析</w:t>
      </w:r>
      <w:r>
        <w:rPr>
          <w:rFonts w:ascii="宋体" w:hAnsi="宋体" w:eastAsia="宋体" w:cs="宋体"/>
          <w:spacing w:val="6"/>
          <w:sz w:val="23"/>
          <w:szCs w:val="23"/>
        </w:rPr>
        <w:t>。</w:t>
      </w:r>
    </w:p>
    <w:p w14:paraId="26A2BF11">
      <w:pPr>
        <w:spacing w:line="375" w:lineRule="auto"/>
        <w:ind w:left="10" w:firstLine="360"/>
        <w:rPr>
          <w:rFonts w:ascii="宋体" w:hAnsi="宋体" w:eastAsia="宋体" w:cs="宋体"/>
          <w:sz w:val="23"/>
          <w:szCs w:val="23"/>
        </w:rPr>
      </w:pPr>
      <w:r>
        <w:rPr>
          <w:rFonts w:ascii="宋体" w:hAnsi="宋体" w:eastAsia="宋体" w:cs="宋体"/>
          <w:spacing w:val="7"/>
          <w:sz w:val="23"/>
          <w:szCs w:val="23"/>
        </w:rPr>
        <w:t>恶臭的成分十分复杂，因家畜的种类、清粪方式、 日粮组成、粪便和污水处理等不同</w:t>
      </w:r>
      <w:r>
        <w:rPr>
          <w:rFonts w:ascii="宋体" w:hAnsi="宋体" w:eastAsia="宋体" w:cs="宋体"/>
          <w:spacing w:val="5"/>
          <w:sz w:val="23"/>
          <w:szCs w:val="23"/>
        </w:rPr>
        <w:t>而</w:t>
      </w:r>
      <w:r>
        <w:rPr>
          <w:rFonts w:ascii="宋体" w:hAnsi="宋体" w:eastAsia="宋体" w:cs="宋体"/>
          <w:sz w:val="23"/>
          <w:szCs w:val="23"/>
        </w:rPr>
        <w:t xml:space="preserve"> </w:t>
      </w:r>
      <w:r>
        <w:rPr>
          <w:rFonts w:ascii="宋体" w:hAnsi="宋体" w:eastAsia="宋体" w:cs="宋体"/>
          <w:spacing w:val="12"/>
          <w:sz w:val="23"/>
          <w:szCs w:val="23"/>
        </w:rPr>
        <w:t>异</w:t>
      </w:r>
      <w:r>
        <w:rPr>
          <w:rFonts w:ascii="宋体" w:hAnsi="宋体" w:eastAsia="宋体" w:cs="宋体"/>
          <w:spacing w:val="7"/>
          <w:sz w:val="23"/>
          <w:szCs w:val="23"/>
        </w:rPr>
        <w:t>，有机成分是硫醇类、胺类、吲哚、挥发性有机酸、酚类、醛类、酮类、醇类以及含氮杂</w:t>
      </w:r>
      <w:r>
        <w:rPr>
          <w:rFonts w:ascii="宋体" w:hAnsi="宋体" w:eastAsia="宋体" w:cs="宋体"/>
          <w:sz w:val="23"/>
          <w:szCs w:val="23"/>
        </w:rPr>
        <w:t xml:space="preserve"> </w:t>
      </w:r>
      <w:r>
        <w:rPr>
          <w:rFonts w:ascii="宋体" w:hAnsi="宋体" w:eastAsia="宋体" w:cs="宋体"/>
          <w:spacing w:val="4"/>
          <w:sz w:val="23"/>
          <w:szCs w:val="23"/>
        </w:rPr>
        <w:t>环化合物等，</w:t>
      </w:r>
      <w:r>
        <w:rPr>
          <w:rFonts w:ascii="宋体" w:hAnsi="宋体" w:eastAsia="宋体" w:cs="宋体"/>
          <w:spacing w:val="3"/>
          <w:sz w:val="23"/>
          <w:szCs w:val="23"/>
        </w:rPr>
        <w:t>无</w:t>
      </w:r>
      <w:r>
        <w:rPr>
          <w:rFonts w:ascii="宋体" w:hAnsi="宋体" w:eastAsia="宋体" w:cs="宋体"/>
          <w:spacing w:val="2"/>
          <w:sz w:val="23"/>
          <w:szCs w:val="23"/>
        </w:rPr>
        <w:t xml:space="preserve">机成分主要是 </w:t>
      </w:r>
      <w:r>
        <w:rPr>
          <w:rFonts w:ascii="Times New Roman" w:hAnsi="Times New Roman" w:eastAsia="Times New Roman" w:cs="Times New Roman"/>
          <w:sz w:val="23"/>
          <w:szCs w:val="23"/>
        </w:rPr>
        <w:t>NH</w:t>
      </w:r>
      <w:r>
        <w:rPr>
          <w:rFonts w:ascii="Times New Roman" w:hAnsi="Times New Roman" w:eastAsia="Times New Roman" w:cs="Times New Roman"/>
          <w:spacing w:val="2"/>
          <w:position w:val="-1"/>
          <w:sz w:val="15"/>
          <w:szCs w:val="15"/>
        </w:rPr>
        <w:t xml:space="preserve">3 </w:t>
      </w:r>
      <w:r>
        <w:rPr>
          <w:rFonts w:ascii="宋体" w:hAnsi="宋体" w:eastAsia="宋体" w:cs="宋体"/>
          <w:spacing w:val="2"/>
          <w:sz w:val="23"/>
          <w:szCs w:val="23"/>
        </w:rPr>
        <w:t xml:space="preserve">和 </w:t>
      </w:r>
      <w:r>
        <w:rPr>
          <w:rFonts w:ascii="Times New Roman" w:hAnsi="Times New Roman" w:eastAsia="Times New Roman" w:cs="Times New Roman"/>
          <w:sz w:val="23"/>
          <w:szCs w:val="23"/>
        </w:rPr>
        <w:t>H</w:t>
      </w:r>
      <w:r>
        <w:rPr>
          <w:rFonts w:ascii="Times New Roman" w:hAnsi="Times New Roman" w:eastAsia="Times New Roman" w:cs="Times New Roman"/>
          <w:spacing w:val="2"/>
          <w:position w:val="-1"/>
          <w:sz w:val="15"/>
          <w:szCs w:val="15"/>
        </w:rPr>
        <w:t>2</w:t>
      </w:r>
      <w:r>
        <w:rPr>
          <w:rFonts w:ascii="Times New Roman" w:hAnsi="Times New Roman" w:eastAsia="Times New Roman" w:cs="Times New Roman"/>
          <w:sz w:val="23"/>
          <w:szCs w:val="23"/>
        </w:rPr>
        <w:t>S</w:t>
      </w:r>
      <w:r>
        <w:rPr>
          <w:rFonts w:ascii="宋体" w:hAnsi="宋体" w:eastAsia="宋体" w:cs="宋体"/>
          <w:spacing w:val="2"/>
          <w:sz w:val="23"/>
          <w:szCs w:val="23"/>
        </w:rPr>
        <w:t>。</w:t>
      </w:r>
    </w:p>
    <w:p w14:paraId="4C88A7F9">
      <w:pPr>
        <w:spacing w:before="1" w:line="374" w:lineRule="auto"/>
        <w:ind w:left="11" w:firstLine="360"/>
        <w:rPr>
          <w:rFonts w:ascii="宋体" w:hAnsi="宋体" w:eastAsia="宋体" w:cs="宋体"/>
          <w:sz w:val="23"/>
          <w:szCs w:val="23"/>
        </w:rPr>
      </w:pPr>
      <w:r>
        <w:rPr>
          <w:rFonts w:ascii="宋体" w:hAnsi="宋体" w:eastAsia="宋体" w:cs="宋体"/>
          <w:spacing w:val="16"/>
          <w:sz w:val="23"/>
          <w:szCs w:val="23"/>
        </w:rPr>
        <w:t>本</w:t>
      </w:r>
      <w:r>
        <w:rPr>
          <w:rFonts w:ascii="宋体" w:hAnsi="宋体" w:eastAsia="宋体" w:cs="宋体"/>
          <w:spacing w:val="10"/>
          <w:sz w:val="23"/>
          <w:szCs w:val="23"/>
        </w:rPr>
        <w:t>项目建设后，猪舍养殖、粪污处理等过程会产生恶臭气体，通过注意场区卫生、及时</w:t>
      </w:r>
      <w:r>
        <w:rPr>
          <w:rFonts w:ascii="宋体" w:hAnsi="宋体" w:eastAsia="宋体" w:cs="宋体"/>
          <w:sz w:val="23"/>
          <w:szCs w:val="23"/>
        </w:rPr>
        <w:t xml:space="preserve"> </w:t>
      </w:r>
      <w:r>
        <w:rPr>
          <w:rFonts w:ascii="宋体" w:hAnsi="宋体" w:eastAsia="宋体" w:cs="宋体"/>
          <w:spacing w:val="11"/>
          <w:sz w:val="23"/>
          <w:szCs w:val="23"/>
        </w:rPr>
        <w:t>冲</w:t>
      </w:r>
      <w:r>
        <w:rPr>
          <w:rFonts w:ascii="宋体" w:hAnsi="宋体" w:eastAsia="宋体" w:cs="宋体"/>
          <w:spacing w:val="7"/>
          <w:sz w:val="23"/>
          <w:szCs w:val="23"/>
        </w:rPr>
        <w:t>洗、添加除臭剂等措施可最大限度的减少恶臭气体的排放，另外利用场区内绿化植物及场</w:t>
      </w:r>
      <w:r>
        <w:rPr>
          <w:rFonts w:ascii="宋体" w:hAnsi="宋体" w:eastAsia="宋体" w:cs="宋体"/>
          <w:sz w:val="23"/>
          <w:szCs w:val="23"/>
        </w:rPr>
        <w:t xml:space="preserve"> </w:t>
      </w:r>
      <w:r>
        <w:rPr>
          <w:rFonts w:ascii="宋体" w:hAnsi="宋体" w:eastAsia="宋体" w:cs="宋体"/>
          <w:spacing w:val="13"/>
          <w:sz w:val="23"/>
          <w:szCs w:val="23"/>
        </w:rPr>
        <w:t>区</w:t>
      </w:r>
      <w:r>
        <w:rPr>
          <w:rFonts w:ascii="宋体" w:hAnsi="宋体" w:eastAsia="宋体" w:cs="宋体"/>
          <w:spacing w:val="9"/>
          <w:sz w:val="23"/>
          <w:szCs w:val="23"/>
        </w:rPr>
        <w:t>外大面积的农田吸收，对周围居民的影响可降至最低。</w:t>
      </w:r>
    </w:p>
    <w:p w14:paraId="31A0C929">
      <w:pPr>
        <w:spacing w:line="227" w:lineRule="auto"/>
        <w:ind w:left="16"/>
        <w:outlineLvl w:val="2"/>
        <w:rPr>
          <w:rFonts w:ascii="宋体" w:hAnsi="宋体" w:eastAsia="宋体" w:cs="宋体"/>
          <w:sz w:val="23"/>
          <w:szCs w:val="23"/>
        </w:rPr>
      </w:pPr>
      <w:r>
        <w:rPr>
          <w:rFonts w:ascii="Times New Roman" w:hAnsi="Times New Roman" w:eastAsia="Times New Roman" w:cs="Times New Roman"/>
          <w:b/>
          <w:bCs/>
          <w:spacing w:val="12"/>
          <w:sz w:val="23"/>
          <w:szCs w:val="23"/>
        </w:rPr>
        <w:t>1</w:t>
      </w:r>
      <w:r>
        <w:rPr>
          <w:rFonts w:ascii="Times New Roman" w:hAnsi="Times New Roman" w:eastAsia="Times New Roman" w:cs="Times New Roman"/>
          <w:b/>
          <w:bCs/>
          <w:spacing w:val="9"/>
          <w:sz w:val="23"/>
          <w:szCs w:val="23"/>
        </w:rPr>
        <w:t>0</w:t>
      </w:r>
      <w:r>
        <w:rPr>
          <w:rFonts w:ascii="Times New Roman" w:hAnsi="Times New Roman" w:eastAsia="Times New Roman" w:cs="Times New Roman"/>
          <w:b/>
          <w:bCs/>
          <w:spacing w:val="6"/>
          <w:sz w:val="23"/>
          <w:szCs w:val="23"/>
        </w:rPr>
        <w:t>.2.3</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水环境影响经济损失</w:t>
      </w:r>
    </w:p>
    <w:p w14:paraId="0051EB3C">
      <w:pPr>
        <w:spacing w:before="185" w:line="227" w:lineRule="auto"/>
        <w:ind w:left="377"/>
        <w:rPr>
          <w:rFonts w:ascii="宋体" w:hAnsi="宋体" w:eastAsia="宋体" w:cs="宋体"/>
          <w:sz w:val="23"/>
          <w:szCs w:val="23"/>
        </w:rPr>
      </w:pPr>
      <w:r>
        <w:rPr>
          <w:rFonts w:ascii="宋体" w:hAnsi="宋体" w:eastAsia="宋体" w:cs="宋体"/>
          <w:spacing w:val="10"/>
          <w:sz w:val="23"/>
          <w:szCs w:val="23"/>
        </w:rPr>
        <w:t>营运期本项目产生的污水主要是养殖废水和职工生活污水，生活污水经隔油池、化粪</w:t>
      </w:r>
      <w:r>
        <w:rPr>
          <w:rFonts w:ascii="宋体" w:hAnsi="宋体" w:eastAsia="宋体" w:cs="宋体"/>
          <w:spacing w:val="7"/>
          <w:sz w:val="23"/>
          <w:szCs w:val="23"/>
        </w:rPr>
        <w:t>池</w:t>
      </w:r>
    </w:p>
    <w:p w14:paraId="61BA1F42">
      <w:pPr>
        <w:sectPr>
          <w:headerReference r:id="rId331" w:type="default"/>
          <w:footerReference r:id="rId332" w:type="default"/>
          <w:pgSz w:w="11906" w:h="16839"/>
          <w:pgMar w:top="1118" w:right="1132" w:bottom="1157" w:left="1275" w:header="878" w:footer="994" w:gutter="0"/>
          <w:cols w:space="720" w:num="1"/>
        </w:sectPr>
      </w:pPr>
    </w:p>
    <w:p w14:paraId="3C4E053D">
      <w:pPr>
        <w:spacing w:before="192" w:line="375" w:lineRule="auto"/>
        <w:ind w:left="11" w:right="35" w:firstLine="3"/>
        <w:rPr>
          <w:rFonts w:ascii="宋体" w:hAnsi="宋体" w:eastAsia="宋体" w:cs="宋体"/>
          <w:sz w:val="23"/>
          <w:szCs w:val="23"/>
        </w:rPr>
      </w:pPr>
      <w:r>
        <w:rPr>
          <w:rFonts w:ascii="宋体" w:hAnsi="宋体" w:eastAsia="宋体" w:cs="宋体"/>
          <w:spacing w:val="7"/>
          <w:sz w:val="23"/>
          <w:szCs w:val="23"/>
        </w:rPr>
        <w:t>处理后用作业主自有林地灌溉；养殖废水目前拟运输至乐山乐高勤力生物质能源综合利用有</w:t>
      </w:r>
      <w:r>
        <w:rPr>
          <w:rFonts w:ascii="宋体" w:hAnsi="宋体" w:eastAsia="宋体" w:cs="宋体"/>
          <w:sz w:val="23"/>
          <w:szCs w:val="23"/>
        </w:rPr>
        <w:t xml:space="preserve"> </w:t>
      </w:r>
      <w:r>
        <w:rPr>
          <w:rFonts w:ascii="宋体" w:hAnsi="宋体" w:eastAsia="宋体" w:cs="宋体"/>
          <w:spacing w:val="11"/>
          <w:sz w:val="23"/>
          <w:szCs w:val="23"/>
        </w:rPr>
        <w:t>限</w:t>
      </w:r>
      <w:r>
        <w:rPr>
          <w:rFonts w:ascii="宋体" w:hAnsi="宋体" w:eastAsia="宋体" w:cs="宋体"/>
          <w:spacing w:val="7"/>
          <w:sz w:val="23"/>
          <w:szCs w:val="23"/>
        </w:rPr>
        <w:t>公司集中处置，日产日清，同时，厂区还配套建设一套发酵床备用，若后期乐山乐高勤力</w:t>
      </w:r>
      <w:r>
        <w:rPr>
          <w:rFonts w:ascii="宋体" w:hAnsi="宋体" w:eastAsia="宋体" w:cs="宋体"/>
          <w:sz w:val="23"/>
          <w:szCs w:val="23"/>
        </w:rPr>
        <w:t xml:space="preserve"> </w:t>
      </w:r>
      <w:r>
        <w:rPr>
          <w:rFonts w:ascii="宋体" w:hAnsi="宋体" w:eastAsia="宋体" w:cs="宋体"/>
          <w:spacing w:val="16"/>
          <w:sz w:val="23"/>
          <w:szCs w:val="23"/>
        </w:rPr>
        <w:t>生</w:t>
      </w:r>
      <w:r>
        <w:rPr>
          <w:rFonts w:ascii="宋体" w:hAnsi="宋体" w:eastAsia="宋体" w:cs="宋体"/>
          <w:spacing w:val="11"/>
          <w:sz w:val="23"/>
          <w:szCs w:val="23"/>
        </w:rPr>
        <w:t>物</w:t>
      </w:r>
      <w:r>
        <w:rPr>
          <w:rFonts w:ascii="宋体" w:hAnsi="宋体" w:eastAsia="宋体" w:cs="宋体"/>
          <w:spacing w:val="8"/>
          <w:sz w:val="23"/>
          <w:szCs w:val="23"/>
        </w:rPr>
        <w:t>质能源综合利用有限公司不再回收厂区内的养殖废水，可将通过异位发酵床自行处置，</w:t>
      </w:r>
      <w:r>
        <w:rPr>
          <w:rFonts w:ascii="宋体" w:hAnsi="宋体" w:eastAsia="宋体" w:cs="宋体"/>
          <w:sz w:val="23"/>
          <w:szCs w:val="23"/>
        </w:rPr>
        <w:t xml:space="preserve"> </w:t>
      </w:r>
      <w:r>
        <w:rPr>
          <w:rFonts w:ascii="宋体" w:hAnsi="宋体" w:eastAsia="宋体" w:cs="宋体"/>
          <w:spacing w:val="11"/>
          <w:sz w:val="23"/>
          <w:szCs w:val="23"/>
        </w:rPr>
        <w:t>处</w:t>
      </w:r>
      <w:r>
        <w:rPr>
          <w:rFonts w:ascii="宋体" w:hAnsi="宋体" w:eastAsia="宋体" w:cs="宋体"/>
          <w:spacing w:val="7"/>
          <w:sz w:val="23"/>
          <w:szCs w:val="23"/>
        </w:rPr>
        <w:t>理产生的有机肥外售处理。因此对环境的影响非常有限。在此，不再估算水污染造成的经</w:t>
      </w:r>
      <w:r>
        <w:rPr>
          <w:rFonts w:ascii="宋体" w:hAnsi="宋体" w:eastAsia="宋体" w:cs="宋体"/>
          <w:sz w:val="23"/>
          <w:szCs w:val="23"/>
        </w:rPr>
        <w:t xml:space="preserve"> </w:t>
      </w:r>
      <w:r>
        <w:rPr>
          <w:rFonts w:ascii="宋体" w:hAnsi="宋体" w:eastAsia="宋体" w:cs="宋体"/>
          <w:spacing w:val="5"/>
          <w:sz w:val="23"/>
          <w:szCs w:val="23"/>
        </w:rPr>
        <w:t>济损失</w:t>
      </w:r>
      <w:r>
        <w:rPr>
          <w:rFonts w:ascii="宋体" w:hAnsi="宋体" w:eastAsia="宋体" w:cs="宋体"/>
          <w:spacing w:val="4"/>
          <w:sz w:val="23"/>
          <w:szCs w:val="23"/>
        </w:rPr>
        <w:t>。</w:t>
      </w:r>
    </w:p>
    <w:p w14:paraId="182BCA5B">
      <w:pPr>
        <w:spacing w:line="228" w:lineRule="auto"/>
        <w:ind w:left="16"/>
        <w:outlineLvl w:val="2"/>
        <w:rPr>
          <w:rFonts w:ascii="宋体" w:hAnsi="宋体" w:eastAsia="宋体" w:cs="宋体"/>
          <w:sz w:val="23"/>
          <w:szCs w:val="23"/>
        </w:rPr>
      </w:pPr>
      <w:r>
        <w:rPr>
          <w:rFonts w:ascii="Times New Roman" w:hAnsi="Times New Roman" w:eastAsia="Times New Roman" w:cs="Times New Roman"/>
          <w:b/>
          <w:bCs/>
          <w:spacing w:val="7"/>
          <w:sz w:val="23"/>
          <w:szCs w:val="23"/>
        </w:rPr>
        <w:t>10.2.4</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生态环境影响经济损</w:t>
      </w:r>
      <w:r>
        <w:rPr>
          <w:rFonts w:ascii="宋体" w:hAnsi="宋体" w:eastAsia="宋体" w:cs="宋体"/>
          <w:spacing w:val="4"/>
          <w:sz w:val="23"/>
          <w:szCs w:val="23"/>
          <w14:textOutline w14:w="4356" w14:cap="sq" w14:cmpd="sng" w14:algn="ctr">
            <w14:solidFill>
              <w14:srgbClr w14:val="000000"/>
            </w14:solidFill>
            <w14:prstDash w14:val="solid"/>
            <w14:bevel/>
          </w14:textOutline>
        </w:rPr>
        <w:t>失</w:t>
      </w:r>
    </w:p>
    <w:p w14:paraId="62FECCB0">
      <w:pPr>
        <w:spacing w:before="182" w:line="374" w:lineRule="auto"/>
        <w:ind w:left="10" w:right="80" w:firstLine="360"/>
        <w:rPr>
          <w:rFonts w:ascii="宋体" w:hAnsi="宋体" w:eastAsia="宋体" w:cs="宋体"/>
          <w:sz w:val="23"/>
          <w:szCs w:val="23"/>
        </w:rPr>
      </w:pPr>
      <w:r>
        <w:rPr>
          <w:rFonts w:ascii="宋体" w:hAnsi="宋体" w:eastAsia="宋体" w:cs="宋体"/>
          <w:spacing w:val="16"/>
          <w:sz w:val="23"/>
          <w:szCs w:val="23"/>
        </w:rPr>
        <w:t>本</w:t>
      </w:r>
      <w:r>
        <w:rPr>
          <w:rFonts w:ascii="宋体" w:hAnsi="宋体" w:eastAsia="宋体" w:cs="宋体"/>
          <w:spacing w:val="10"/>
          <w:sz w:val="23"/>
          <w:szCs w:val="23"/>
        </w:rPr>
        <w:t>项目的建设将破坏现有农田生态系统，铲除场区现有植被，使得现有植被的经济能力</w:t>
      </w:r>
      <w:r>
        <w:rPr>
          <w:rFonts w:ascii="宋体" w:hAnsi="宋体" w:eastAsia="宋体" w:cs="宋体"/>
          <w:sz w:val="23"/>
          <w:szCs w:val="23"/>
        </w:rPr>
        <w:t xml:space="preserve"> </w:t>
      </w:r>
      <w:r>
        <w:rPr>
          <w:rFonts w:ascii="宋体" w:hAnsi="宋体" w:eastAsia="宋体" w:cs="宋体"/>
          <w:spacing w:val="12"/>
          <w:sz w:val="23"/>
          <w:szCs w:val="23"/>
        </w:rPr>
        <w:t>消</w:t>
      </w:r>
      <w:r>
        <w:rPr>
          <w:rFonts w:ascii="宋体" w:hAnsi="宋体" w:eastAsia="宋体" w:cs="宋体"/>
          <w:spacing w:val="7"/>
          <w:sz w:val="23"/>
          <w:szCs w:val="23"/>
        </w:rPr>
        <w:t>失，但是项目建成后，新的系统会产生更好的经济效益，对原有生态环境的经济损失做出</w:t>
      </w:r>
      <w:r>
        <w:rPr>
          <w:rFonts w:ascii="宋体" w:hAnsi="宋体" w:eastAsia="宋体" w:cs="宋体"/>
          <w:sz w:val="23"/>
          <w:szCs w:val="23"/>
        </w:rPr>
        <w:t xml:space="preserve"> </w:t>
      </w:r>
      <w:r>
        <w:rPr>
          <w:rFonts w:ascii="宋体" w:hAnsi="宋体" w:eastAsia="宋体" w:cs="宋体"/>
          <w:spacing w:val="4"/>
          <w:sz w:val="23"/>
          <w:szCs w:val="23"/>
        </w:rPr>
        <w:t>补</w:t>
      </w:r>
      <w:r>
        <w:rPr>
          <w:rFonts w:ascii="宋体" w:hAnsi="宋体" w:eastAsia="宋体" w:cs="宋体"/>
          <w:spacing w:val="3"/>
          <w:sz w:val="23"/>
          <w:szCs w:val="23"/>
        </w:rPr>
        <w:t>偿。</w:t>
      </w:r>
    </w:p>
    <w:p w14:paraId="63FF6EA7">
      <w:pPr>
        <w:spacing w:line="228" w:lineRule="auto"/>
        <w:ind w:left="16"/>
        <w:outlineLvl w:val="2"/>
        <w:rPr>
          <w:rFonts w:ascii="宋体" w:hAnsi="宋体" w:eastAsia="宋体" w:cs="宋体"/>
          <w:sz w:val="23"/>
          <w:szCs w:val="23"/>
        </w:rPr>
      </w:pPr>
      <w:r>
        <w:rPr>
          <w:rFonts w:ascii="Times New Roman" w:hAnsi="Times New Roman" w:eastAsia="Times New Roman" w:cs="Times New Roman"/>
          <w:b/>
          <w:bCs/>
          <w:spacing w:val="11"/>
          <w:sz w:val="23"/>
          <w:szCs w:val="23"/>
        </w:rPr>
        <w:t>1</w:t>
      </w:r>
      <w:r>
        <w:rPr>
          <w:rFonts w:ascii="Times New Roman" w:hAnsi="Times New Roman" w:eastAsia="Times New Roman" w:cs="Times New Roman"/>
          <w:b/>
          <w:bCs/>
          <w:spacing w:val="6"/>
          <w:sz w:val="23"/>
          <w:szCs w:val="23"/>
        </w:rPr>
        <w:t>0.2.5</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环保设备运行费用</w:t>
      </w:r>
    </w:p>
    <w:p w14:paraId="5944DA07">
      <w:pPr>
        <w:spacing w:before="183" w:line="370" w:lineRule="auto"/>
        <w:ind w:left="9" w:right="21" w:firstLine="361"/>
        <w:rPr>
          <w:rFonts w:ascii="宋体" w:hAnsi="宋体" w:eastAsia="宋体" w:cs="宋体"/>
          <w:sz w:val="23"/>
          <w:szCs w:val="23"/>
        </w:rPr>
      </w:pPr>
      <w:r>
        <w:rPr>
          <w:rFonts w:ascii="宋体" w:hAnsi="宋体" w:eastAsia="宋体" w:cs="宋体"/>
          <w:spacing w:val="7"/>
          <w:sz w:val="23"/>
          <w:szCs w:val="23"/>
        </w:rPr>
        <w:t>本项目环保设施运行费用包括： 电费，环保人员工资及设备折旧、维护费用。预计费</w:t>
      </w:r>
      <w:r>
        <w:rPr>
          <w:rFonts w:ascii="宋体" w:hAnsi="宋体" w:eastAsia="宋体" w:cs="宋体"/>
          <w:spacing w:val="5"/>
          <w:sz w:val="23"/>
          <w:szCs w:val="23"/>
        </w:rPr>
        <w:t>用</w:t>
      </w:r>
      <w:r>
        <w:rPr>
          <w:rFonts w:ascii="宋体" w:hAnsi="宋体" w:eastAsia="宋体" w:cs="宋体"/>
          <w:sz w:val="23"/>
          <w:szCs w:val="23"/>
        </w:rPr>
        <w:t xml:space="preserve"> </w:t>
      </w:r>
      <w:r>
        <w:rPr>
          <w:rFonts w:ascii="宋体" w:hAnsi="宋体" w:eastAsia="宋体" w:cs="宋体"/>
          <w:spacing w:val="2"/>
          <w:sz w:val="23"/>
          <w:szCs w:val="23"/>
        </w:rPr>
        <w:t xml:space="preserve">在 </w:t>
      </w:r>
      <w:r>
        <w:rPr>
          <w:rFonts w:ascii="Times New Roman" w:hAnsi="Times New Roman" w:eastAsia="Times New Roman" w:cs="Times New Roman"/>
          <w:spacing w:val="2"/>
          <w:sz w:val="23"/>
          <w:szCs w:val="23"/>
        </w:rPr>
        <w:t xml:space="preserve">10 </w:t>
      </w:r>
      <w:r>
        <w:rPr>
          <w:rFonts w:ascii="宋体" w:hAnsi="宋体" w:eastAsia="宋体" w:cs="宋体"/>
          <w:spacing w:val="2"/>
          <w:sz w:val="23"/>
          <w:szCs w:val="23"/>
        </w:rPr>
        <w:t xml:space="preserve">万左右。本项目预计年毛利为 </w:t>
      </w:r>
      <w:r>
        <w:rPr>
          <w:rFonts w:ascii="Times New Roman" w:hAnsi="Times New Roman" w:eastAsia="Times New Roman" w:cs="Times New Roman"/>
          <w:spacing w:val="2"/>
          <w:sz w:val="23"/>
          <w:szCs w:val="23"/>
        </w:rPr>
        <w:t xml:space="preserve">2000 </w:t>
      </w:r>
      <w:r>
        <w:rPr>
          <w:rFonts w:ascii="宋体" w:hAnsi="宋体" w:eastAsia="宋体" w:cs="宋体"/>
          <w:spacing w:val="2"/>
          <w:sz w:val="23"/>
          <w:szCs w:val="23"/>
        </w:rPr>
        <w:t xml:space="preserve">万元，环保设施运行年费用占年利润总额的 </w:t>
      </w:r>
      <w:r>
        <w:rPr>
          <w:rFonts w:ascii="Times New Roman" w:hAnsi="Times New Roman" w:eastAsia="Times New Roman" w:cs="Times New Roman"/>
          <w:spacing w:val="2"/>
          <w:sz w:val="23"/>
          <w:szCs w:val="23"/>
        </w:rPr>
        <w:t>0.2%</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16"/>
          <w:sz w:val="23"/>
          <w:szCs w:val="23"/>
        </w:rPr>
        <w:t>本</w:t>
      </w:r>
      <w:r>
        <w:rPr>
          <w:rFonts w:ascii="宋体" w:hAnsi="宋体" w:eastAsia="宋体" w:cs="宋体"/>
          <w:spacing w:val="9"/>
          <w:sz w:val="23"/>
          <w:szCs w:val="23"/>
        </w:rPr>
        <w:t>项</w:t>
      </w:r>
      <w:r>
        <w:rPr>
          <w:rFonts w:ascii="宋体" w:hAnsi="宋体" w:eastAsia="宋体" w:cs="宋体"/>
          <w:spacing w:val="8"/>
          <w:sz w:val="23"/>
          <w:szCs w:val="23"/>
        </w:rPr>
        <w:t>目环保设施运行费用合理。</w:t>
      </w:r>
    </w:p>
    <w:p w14:paraId="416D24D2">
      <w:pPr>
        <w:spacing w:before="24" w:line="221" w:lineRule="auto"/>
        <w:ind w:left="19"/>
        <w:outlineLvl w:val="1"/>
        <w:rPr>
          <w:rFonts w:ascii="宋体" w:hAnsi="宋体" w:eastAsia="宋体" w:cs="宋体"/>
          <w:sz w:val="28"/>
          <w:szCs w:val="28"/>
        </w:rPr>
      </w:pPr>
      <w:bookmarkStart w:id="69" w:name="_bookmark70"/>
      <w:bookmarkEnd w:id="69"/>
      <w:r>
        <w:rPr>
          <w:rFonts w:ascii="Times New Roman" w:hAnsi="Times New Roman" w:eastAsia="Times New Roman" w:cs="Times New Roman"/>
          <w:b/>
          <w:bCs/>
          <w:spacing w:val="-2"/>
          <w:sz w:val="28"/>
          <w:szCs w:val="28"/>
        </w:rPr>
        <w:t>1</w:t>
      </w:r>
      <w:r>
        <w:rPr>
          <w:rFonts w:ascii="Times New Roman" w:hAnsi="Times New Roman" w:eastAsia="Times New Roman" w:cs="Times New Roman"/>
          <w:b/>
          <w:bCs/>
          <w:spacing w:val="-1"/>
          <w:sz w:val="28"/>
          <w:szCs w:val="28"/>
        </w:rPr>
        <w:t>0.3</w:t>
      </w:r>
      <w:r>
        <w:rPr>
          <w:rFonts w:ascii="Times New Roman" w:hAnsi="Times New Roman" w:eastAsia="Times New Roman" w:cs="Times New Roman"/>
          <w:spacing w:val="-1"/>
          <w:sz w:val="28"/>
          <w:szCs w:val="28"/>
        </w:rPr>
        <w:t xml:space="preserve">  </w:t>
      </w:r>
      <w:r>
        <w:rPr>
          <w:rFonts w:ascii="宋体" w:hAnsi="宋体" w:eastAsia="宋体" w:cs="宋体"/>
          <w:spacing w:val="-1"/>
          <w:sz w:val="28"/>
          <w:szCs w:val="28"/>
          <w14:textOutline w14:w="5105" w14:cap="sq" w14:cmpd="sng" w14:algn="ctr">
            <w14:solidFill>
              <w14:srgbClr w14:val="000000"/>
            </w14:solidFill>
            <w14:prstDash w14:val="solid"/>
            <w14:bevel/>
          </w14:textOutline>
        </w:rPr>
        <w:t>经济效益分析</w:t>
      </w:r>
    </w:p>
    <w:p w14:paraId="132A63CF">
      <w:pPr>
        <w:spacing w:before="203" w:line="376" w:lineRule="auto"/>
        <w:ind w:left="11" w:firstLine="360"/>
        <w:rPr>
          <w:rFonts w:ascii="宋体" w:hAnsi="宋体" w:eastAsia="宋体" w:cs="宋体"/>
          <w:sz w:val="23"/>
          <w:szCs w:val="23"/>
        </w:rPr>
      </w:pPr>
      <w:r>
        <w:rPr>
          <w:rFonts w:ascii="宋体" w:hAnsi="宋体" w:eastAsia="宋体" w:cs="宋体"/>
          <w:spacing w:val="2"/>
          <w:sz w:val="23"/>
          <w:szCs w:val="23"/>
        </w:rPr>
        <w:t xml:space="preserve">本项目总投资 </w:t>
      </w:r>
      <w:r>
        <w:rPr>
          <w:rFonts w:ascii="Times New Roman" w:hAnsi="Times New Roman" w:eastAsia="Times New Roman" w:cs="Times New Roman"/>
          <w:spacing w:val="2"/>
          <w:sz w:val="23"/>
          <w:szCs w:val="23"/>
        </w:rPr>
        <w:t xml:space="preserve">2629 </w:t>
      </w:r>
      <w:r>
        <w:rPr>
          <w:rFonts w:ascii="宋体" w:hAnsi="宋体" w:eastAsia="宋体" w:cs="宋体"/>
          <w:spacing w:val="2"/>
          <w:sz w:val="23"/>
          <w:szCs w:val="23"/>
        </w:rPr>
        <w:t>万元，项目的建设将</w:t>
      </w:r>
      <w:r>
        <w:rPr>
          <w:rFonts w:ascii="宋体" w:hAnsi="宋体" w:eastAsia="宋体" w:cs="宋体"/>
          <w:spacing w:val="1"/>
          <w:sz w:val="23"/>
          <w:szCs w:val="23"/>
        </w:rPr>
        <w:t>促进该地区农业的发展，从而拉动地方经济增长，</w:t>
      </w:r>
      <w:r>
        <w:rPr>
          <w:rFonts w:ascii="宋体" w:hAnsi="宋体" w:eastAsia="宋体" w:cs="宋体"/>
          <w:sz w:val="23"/>
          <w:szCs w:val="23"/>
        </w:rPr>
        <w:t xml:space="preserve"> </w:t>
      </w:r>
      <w:r>
        <w:rPr>
          <w:rFonts w:ascii="宋体" w:hAnsi="宋体" w:eastAsia="宋体" w:cs="宋体"/>
          <w:spacing w:val="2"/>
          <w:sz w:val="23"/>
          <w:szCs w:val="23"/>
        </w:rPr>
        <w:t xml:space="preserve">提升区域的经济消费水平。本项目建成后，年存栏育肥猪 </w:t>
      </w:r>
      <w:r>
        <w:rPr>
          <w:rFonts w:ascii="Times New Roman" w:hAnsi="Times New Roman" w:eastAsia="Times New Roman" w:cs="Times New Roman"/>
          <w:spacing w:val="2"/>
          <w:sz w:val="23"/>
          <w:szCs w:val="23"/>
        </w:rPr>
        <w:t xml:space="preserve">10400 </w:t>
      </w:r>
      <w:r>
        <w:rPr>
          <w:rFonts w:ascii="宋体" w:hAnsi="宋体" w:eastAsia="宋体" w:cs="宋体"/>
          <w:spacing w:val="2"/>
          <w:sz w:val="23"/>
          <w:szCs w:val="23"/>
        </w:rPr>
        <w:t>头，</w:t>
      </w:r>
      <w:r>
        <w:rPr>
          <w:rFonts w:ascii="宋体" w:hAnsi="宋体" w:eastAsia="宋体" w:cs="宋体"/>
          <w:spacing w:val="1"/>
          <w:sz w:val="23"/>
          <w:szCs w:val="23"/>
        </w:rPr>
        <w:t>投资收益率较高。此外，</w:t>
      </w:r>
      <w:r>
        <w:rPr>
          <w:rFonts w:ascii="宋体" w:hAnsi="宋体" w:eastAsia="宋体" w:cs="宋体"/>
          <w:sz w:val="23"/>
          <w:szCs w:val="23"/>
        </w:rPr>
        <w:t xml:space="preserve"> </w:t>
      </w:r>
      <w:r>
        <w:rPr>
          <w:rFonts w:ascii="宋体" w:hAnsi="宋体" w:eastAsia="宋体" w:cs="宋体"/>
          <w:spacing w:val="6"/>
          <w:sz w:val="23"/>
          <w:szCs w:val="23"/>
        </w:rPr>
        <w:t>本工程的</w:t>
      </w:r>
      <w:r>
        <w:rPr>
          <w:rFonts w:ascii="宋体" w:hAnsi="宋体" w:eastAsia="宋体" w:cs="宋体"/>
          <w:spacing w:val="4"/>
          <w:sz w:val="23"/>
          <w:szCs w:val="23"/>
        </w:rPr>
        <w:t>建</w:t>
      </w:r>
      <w:r>
        <w:rPr>
          <w:rFonts w:ascii="宋体" w:hAnsi="宋体" w:eastAsia="宋体" w:cs="宋体"/>
          <w:spacing w:val="3"/>
          <w:sz w:val="23"/>
          <w:szCs w:val="23"/>
        </w:rPr>
        <w:t>设具有产业链效益，能够带动一方经济的快速发展，并能促进饲料加工、种植业、</w:t>
      </w:r>
      <w:r>
        <w:rPr>
          <w:rFonts w:ascii="宋体" w:hAnsi="宋体" w:eastAsia="宋体" w:cs="宋体"/>
          <w:sz w:val="23"/>
          <w:szCs w:val="23"/>
        </w:rPr>
        <w:t xml:space="preserve"> </w:t>
      </w:r>
      <w:r>
        <w:rPr>
          <w:rFonts w:ascii="宋体" w:hAnsi="宋体" w:eastAsia="宋体" w:cs="宋体"/>
          <w:spacing w:val="11"/>
          <w:sz w:val="23"/>
          <w:szCs w:val="23"/>
        </w:rPr>
        <w:t>养</w:t>
      </w:r>
      <w:r>
        <w:rPr>
          <w:rFonts w:ascii="宋体" w:hAnsi="宋体" w:eastAsia="宋体" w:cs="宋体"/>
          <w:spacing w:val="8"/>
          <w:sz w:val="23"/>
          <w:szCs w:val="23"/>
        </w:rPr>
        <w:t>殖业等相关行业的发展。</w:t>
      </w:r>
    </w:p>
    <w:p w14:paraId="5C43B5AB">
      <w:pPr>
        <w:spacing w:before="1" w:line="220" w:lineRule="auto"/>
        <w:ind w:left="19"/>
        <w:outlineLvl w:val="1"/>
        <w:rPr>
          <w:rFonts w:ascii="宋体" w:hAnsi="宋体" w:eastAsia="宋体" w:cs="宋体"/>
          <w:sz w:val="28"/>
          <w:szCs w:val="28"/>
        </w:rPr>
      </w:pPr>
      <w:bookmarkStart w:id="70" w:name="_bookmark71"/>
      <w:bookmarkEnd w:id="70"/>
      <w:r>
        <w:rPr>
          <w:rFonts w:ascii="Times New Roman" w:hAnsi="Times New Roman" w:eastAsia="Times New Roman" w:cs="Times New Roman"/>
          <w:b/>
          <w:bCs/>
          <w:spacing w:val="-2"/>
          <w:sz w:val="28"/>
          <w:szCs w:val="28"/>
        </w:rPr>
        <w:t>1</w:t>
      </w:r>
      <w:r>
        <w:rPr>
          <w:rFonts w:ascii="Times New Roman" w:hAnsi="Times New Roman" w:eastAsia="Times New Roman" w:cs="Times New Roman"/>
          <w:b/>
          <w:bCs/>
          <w:spacing w:val="-1"/>
          <w:sz w:val="28"/>
          <w:szCs w:val="28"/>
        </w:rPr>
        <w:t>0.4</w:t>
      </w:r>
      <w:r>
        <w:rPr>
          <w:rFonts w:ascii="Times New Roman" w:hAnsi="Times New Roman" w:eastAsia="Times New Roman" w:cs="Times New Roman"/>
          <w:spacing w:val="-1"/>
          <w:sz w:val="28"/>
          <w:szCs w:val="28"/>
        </w:rPr>
        <w:t xml:space="preserve">  </w:t>
      </w:r>
      <w:r>
        <w:rPr>
          <w:rFonts w:ascii="宋体" w:hAnsi="宋体" w:eastAsia="宋体" w:cs="宋体"/>
          <w:spacing w:val="-1"/>
          <w:sz w:val="28"/>
          <w:szCs w:val="28"/>
          <w14:textOutline w14:w="5105" w14:cap="sq" w14:cmpd="sng" w14:algn="ctr">
            <w14:solidFill>
              <w14:srgbClr w14:val="000000"/>
            </w14:solidFill>
            <w14:prstDash w14:val="solid"/>
            <w14:bevel/>
          </w14:textOutline>
        </w:rPr>
        <w:t>环境效益分析</w:t>
      </w:r>
    </w:p>
    <w:p w14:paraId="2C9D472D">
      <w:pPr>
        <w:spacing w:before="203" w:line="375" w:lineRule="auto"/>
        <w:ind w:left="11" w:right="82" w:firstLine="362"/>
        <w:rPr>
          <w:rFonts w:ascii="宋体" w:hAnsi="宋体" w:eastAsia="宋体" w:cs="宋体"/>
          <w:sz w:val="23"/>
          <w:szCs w:val="23"/>
        </w:rPr>
      </w:pPr>
      <w:r>
        <w:rPr>
          <w:rFonts w:ascii="宋体" w:hAnsi="宋体" w:eastAsia="宋体" w:cs="宋体"/>
          <w:spacing w:val="11"/>
          <w:sz w:val="23"/>
          <w:szCs w:val="23"/>
        </w:rPr>
        <w:t>该</w:t>
      </w:r>
      <w:r>
        <w:rPr>
          <w:rFonts w:ascii="宋体" w:hAnsi="宋体" w:eastAsia="宋体" w:cs="宋体"/>
          <w:spacing w:val="10"/>
          <w:sz w:val="23"/>
          <w:szCs w:val="23"/>
        </w:rPr>
        <w:t>项目将畜禽的粪污综合利用，做到了废物利用，变废为宝，从根本上降低了污染源，</w:t>
      </w:r>
      <w:r>
        <w:rPr>
          <w:rFonts w:ascii="宋体" w:hAnsi="宋体" w:eastAsia="宋体" w:cs="宋体"/>
          <w:sz w:val="23"/>
          <w:szCs w:val="23"/>
        </w:rPr>
        <w:t xml:space="preserve"> </w:t>
      </w:r>
      <w:r>
        <w:rPr>
          <w:rFonts w:ascii="宋体" w:hAnsi="宋体" w:eastAsia="宋体" w:cs="宋体"/>
          <w:spacing w:val="11"/>
          <w:sz w:val="23"/>
          <w:szCs w:val="23"/>
        </w:rPr>
        <w:t>大</w:t>
      </w:r>
      <w:r>
        <w:rPr>
          <w:rFonts w:ascii="宋体" w:hAnsi="宋体" w:eastAsia="宋体" w:cs="宋体"/>
          <w:spacing w:val="7"/>
          <w:sz w:val="23"/>
          <w:szCs w:val="23"/>
        </w:rPr>
        <w:t>大减轻了对周边地区的环境压力。既美化了养殖场的自然环境，消除了臭味，防止了蚊蝇</w:t>
      </w:r>
      <w:r>
        <w:rPr>
          <w:rFonts w:ascii="宋体" w:hAnsi="宋体" w:eastAsia="宋体" w:cs="宋体"/>
          <w:sz w:val="23"/>
          <w:szCs w:val="23"/>
        </w:rPr>
        <w:t xml:space="preserve"> </w:t>
      </w:r>
      <w:r>
        <w:rPr>
          <w:rFonts w:ascii="宋体" w:hAnsi="宋体" w:eastAsia="宋体" w:cs="宋体"/>
          <w:spacing w:val="11"/>
          <w:sz w:val="23"/>
          <w:szCs w:val="23"/>
        </w:rPr>
        <w:t>孳</w:t>
      </w:r>
      <w:r>
        <w:rPr>
          <w:rFonts w:ascii="宋体" w:hAnsi="宋体" w:eastAsia="宋体" w:cs="宋体"/>
          <w:spacing w:val="7"/>
          <w:sz w:val="23"/>
          <w:szCs w:val="23"/>
        </w:rPr>
        <w:t>生，又改善了周边地区的生态环境，有利于农业的可持续发展，促进项目地区水土资源的</w:t>
      </w:r>
      <w:r>
        <w:rPr>
          <w:rFonts w:ascii="宋体" w:hAnsi="宋体" w:eastAsia="宋体" w:cs="宋体"/>
          <w:sz w:val="23"/>
          <w:szCs w:val="23"/>
        </w:rPr>
        <w:t xml:space="preserve"> </w:t>
      </w:r>
      <w:r>
        <w:rPr>
          <w:rFonts w:ascii="宋体" w:hAnsi="宋体" w:eastAsia="宋体" w:cs="宋体"/>
          <w:spacing w:val="11"/>
          <w:sz w:val="23"/>
          <w:szCs w:val="23"/>
        </w:rPr>
        <w:t>合</w:t>
      </w:r>
      <w:r>
        <w:rPr>
          <w:rFonts w:ascii="宋体" w:hAnsi="宋体" w:eastAsia="宋体" w:cs="宋体"/>
          <w:spacing w:val="7"/>
          <w:sz w:val="23"/>
          <w:szCs w:val="23"/>
        </w:rPr>
        <w:t>理利用和生态环境的良性循环，使项目地区规划科学、布局合理，为项目地区无公害、有</w:t>
      </w:r>
    </w:p>
    <w:p w14:paraId="28C04BF6">
      <w:pPr>
        <w:spacing w:before="1" w:line="226" w:lineRule="auto"/>
        <w:ind w:left="9"/>
        <w:rPr>
          <w:rFonts w:ascii="宋体" w:hAnsi="宋体" w:eastAsia="宋体" w:cs="宋体"/>
          <w:sz w:val="23"/>
          <w:szCs w:val="23"/>
        </w:rPr>
      </w:pPr>
      <w:r>
        <w:rPr>
          <w:rFonts w:ascii="宋体" w:hAnsi="宋体" w:eastAsia="宋体" w:cs="宋体"/>
          <w:spacing w:val="12"/>
          <w:sz w:val="23"/>
          <w:szCs w:val="23"/>
        </w:rPr>
        <w:t>机</w:t>
      </w:r>
      <w:r>
        <w:rPr>
          <w:rFonts w:ascii="宋体" w:hAnsi="宋体" w:eastAsia="宋体" w:cs="宋体"/>
          <w:spacing w:val="9"/>
          <w:sz w:val="23"/>
          <w:szCs w:val="23"/>
        </w:rPr>
        <w:t>农业生产和可持续发展提供了良好的物资基础。</w:t>
      </w:r>
    </w:p>
    <w:p w14:paraId="742EE233">
      <w:pPr>
        <w:spacing w:before="137" w:line="383" w:lineRule="auto"/>
        <w:ind w:left="10" w:right="80" w:firstLine="360"/>
        <w:rPr>
          <w:rFonts w:ascii="宋体" w:hAnsi="宋体" w:eastAsia="宋体" w:cs="宋体"/>
          <w:sz w:val="23"/>
          <w:szCs w:val="23"/>
        </w:rPr>
      </w:pPr>
      <w:r>
        <w:rPr>
          <w:rFonts w:ascii="宋体" w:hAnsi="宋体" w:eastAsia="宋体" w:cs="宋体"/>
          <w:spacing w:val="3"/>
          <w:sz w:val="23"/>
          <w:szCs w:val="23"/>
        </w:rPr>
        <w:t xml:space="preserve">本项目环保总投资为 </w:t>
      </w:r>
      <w:r>
        <w:rPr>
          <w:rFonts w:ascii="Times New Roman" w:hAnsi="Times New Roman" w:eastAsia="Times New Roman" w:cs="Times New Roman"/>
          <w:spacing w:val="3"/>
          <w:sz w:val="23"/>
          <w:szCs w:val="23"/>
        </w:rPr>
        <w:t xml:space="preserve">227 </w:t>
      </w:r>
      <w:r>
        <w:rPr>
          <w:rFonts w:ascii="宋体" w:hAnsi="宋体" w:eastAsia="宋体" w:cs="宋体"/>
          <w:spacing w:val="3"/>
          <w:sz w:val="23"/>
          <w:szCs w:val="23"/>
        </w:rPr>
        <w:t xml:space="preserve">万元， 占工程总投资的 </w:t>
      </w:r>
      <w:r>
        <w:rPr>
          <w:rFonts w:ascii="Times New Roman" w:hAnsi="Times New Roman" w:eastAsia="Times New Roman" w:cs="Times New Roman"/>
          <w:spacing w:val="3"/>
          <w:sz w:val="23"/>
          <w:szCs w:val="23"/>
        </w:rPr>
        <w:t xml:space="preserve">8.63% </w:t>
      </w:r>
      <w:r>
        <w:rPr>
          <w:rFonts w:ascii="宋体" w:hAnsi="宋体" w:eastAsia="宋体" w:cs="宋体"/>
          <w:spacing w:val="3"/>
          <w:sz w:val="23"/>
          <w:szCs w:val="23"/>
        </w:rPr>
        <w:t>。通过各项污染防治措施的</w:t>
      </w:r>
      <w:r>
        <w:rPr>
          <w:rFonts w:ascii="宋体" w:hAnsi="宋体" w:eastAsia="宋体" w:cs="宋体"/>
          <w:spacing w:val="2"/>
          <w:sz w:val="23"/>
          <w:szCs w:val="23"/>
        </w:rPr>
        <w:t>实</w:t>
      </w:r>
      <w:r>
        <w:rPr>
          <w:rFonts w:ascii="宋体" w:hAnsi="宋体" w:eastAsia="宋体" w:cs="宋体"/>
          <w:sz w:val="23"/>
          <w:szCs w:val="23"/>
        </w:rPr>
        <w:t xml:space="preserve">施 </w:t>
      </w:r>
      <w:r>
        <w:rPr>
          <w:rFonts w:ascii="宋体" w:hAnsi="宋体" w:eastAsia="宋体" w:cs="宋体"/>
          <w:spacing w:val="23"/>
          <w:sz w:val="23"/>
          <w:szCs w:val="23"/>
        </w:rPr>
        <w:t>和</w:t>
      </w:r>
      <w:r>
        <w:rPr>
          <w:rFonts w:ascii="宋体" w:hAnsi="宋体" w:eastAsia="宋体" w:cs="宋体"/>
          <w:spacing w:val="13"/>
          <w:sz w:val="23"/>
          <w:szCs w:val="23"/>
        </w:rPr>
        <w:t>清洁生产技术的落实，可做到养殖区废水最大程度的综合利用和固体废弃物的资源化利</w:t>
      </w:r>
      <w:r>
        <w:rPr>
          <w:rFonts w:ascii="宋体" w:hAnsi="宋体" w:eastAsia="宋体" w:cs="宋体"/>
          <w:sz w:val="23"/>
          <w:szCs w:val="23"/>
        </w:rPr>
        <w:t xml:space="preserve"> </w:t>
      </w:r>
      <w:r>
        <w:rPr>
          <w:rFonts w:ascii="宋体" w:hAnsi="宋体" w:eastAsia="宋体" w:cs="宋体"/>
          <w:spacing w:val="10"/>
          <w:sz w:val="23"/>
          <w:szCs w:val="23"/>
        </w:rPr>
        <w:t>用，可</w:t>
      </w:r>
      <w:r>
        <w:rPr>
          <w:rFonts w:ascii="宋体" w:hAnsi="宋体" w:eastAsia="宋体" w:cs="宋体"/>
          <w:spacing w:val="7"/>
          <w:sz w:val="23"/>
          <w:szCs w:val="23"/>
        </w:rPr>
        <w:t>取</w:t>
      </w:r>
      <w:r>
        <w:rPr>
          <w:rFonts w:ascii="宋体" w:hAnsi="宋体" w:eastAsia="宋体" w:cs="宋体"/>
          <w:spacing w:val="5"/>
          <w:sz w:val="23"/>
          <w:szCs w:val="23"/>
        </w:rPr>
        <w:t xml:space="preserve">得良好的环境效益。项目的环保投入确保了废水及固废 </w:t>
      </w:r>
      <w:r>
        <w:rPr>
          <w:rFonts w:ascii="Times New Roman" w:hAnsi="Times New Roman" w:eastAsia="Times New Roman" w:cs="Times New Roman"/>
          <w:spacing w:val="5"/>
          <w:sz w:val="23"/>
          <w:szCs w:val="23"/>
        </w:rPr>
        <w:t xml:space="preserve">0 </w:t>
      </w:r>
      <w:r>
        <w:rPr>
          <w:rFonts w:ascii="宋体" w:hAnsi="宋体" w:eastAsia="宋体" w:cs="宋体"/>
          <w:spacing w:val="5"/>
          <w:sz w:val="23"/>
          <w:szCs w:val="23"/>
        </w:rPr>
        <w:t>排放，并变废为宝，生成</w:t>
      </w:r>
      <w:r>
        <w:rPr>
          <w:rFonts w:ascii="宋体" w:hAnsi="宋体" w:eastAsia="宋体" w:cs="宋体"/>
          <w:sz w:val="23"/>
          <w:szCs w:val="23"/>
        </w:rPr>
        <w:t xml:space="preserve"> </w:t>
      </w:r>
      <w:r>
        <w:rPr>
          <w:rFonts w:ascii="宋体" w:hAnsi="宋体" w:eastAsia="宋体" w:cs="宋体"/>
          <w:spacing w:val="12"/>
          <w:sz w:val="23"/>
          <w:szCs w:val="23"/>
        </w:rPr>
        <w:t>有机肥料，</w:t>
      </w:r>
      <w:r>
        <w:rPr>
          <w:rFonts w:ascii="宋体" w:hAnsi="宋体" w:eastAsia="宋体" w:cs="宋体"/>
          <w:spacing w:val="9"/>
          <w:sz w:val="23"/>
          <w:szCs w:val="23"/>
        </w:rPr>
        <w:t>合</w:t>
      </w:r>
      <w:r>
        <w:rPr>
          <w:rFonts w:ascii="宋体" w:hAnsi="宋体" w:eastAsia="宋体" w:cs="宋体"/>
          <w:spacing w:val="6"/>
          <w:sz w:val="23"/>
          <w:szCs w:val="23"/>
        </w:rPr>
        <w:t>理地调整了生产过程中的相互关系，使一个生产过程中的排泄物 (废弃物) 转</w:t>
      </w:r>
      <w:r>
        <w:rPr>
          <w:rFonts w:ascii="宋体" w:hAnsi="宋体" w:eastAsia="宋体" w:cs="宋体"/>
          <w:sz w:val="23"/>
          <w:szCs w:val="23"/>
        </w:rPr>
        <w:t xml:space="preserve"> </w:t>
      </w:r>
      <w:r>
        <w:rPr>
          <w:rFonts w:ascii="宋体" w:hAnsi="宋体" w:eastAsia="宋体" w:cs="宋体"/>
          <w:spacing w:val="12"/>
          <w:sz w:val="23"/>
          <w:szCs w:val="23"/>
        </w:rPr>
        <w:t>变为另一</w:t>
      </w:r>
      <w:r>
        <w:rPr>
          <w:rFonts w:ascii="宋体" w:hAnsi="宋体" w:eastAsia="宋体" w:cs="宋体"/>
          <w:spacing w:val="9"/>
          <w:sz w:val="23"/>
          <w:szCs w:val="23"/>
        </w:rPr>
        <w:t>个</w:t>
      </w:r>
      <w:r>
        <w:rPr>
          <w:rFonts w:ascii="宋体" w:hAnsi="宋体" w:eastAsia="宋体" w:cs="宋体"/>
          <w:spacing w:val="6"/>
          <w:sz w:val="23"/>
          <w:szCs w:val="23"/>
        </w:rPr>
        <w:t>生产过程的输入物 (原料资源) ，从而实现农业生产的无废弃物过程 (零排放目</w:t>
      </w:r>
      <w:r>
        <w:rPr>
          <w:rFonts w:ascii="宋体" w:hAnsi="宋体" w:eastAsia="宋体" w:cs="宋体"/>
          <w:sz w:val="23"/>
          <w:szCs w:val="23"/>
        </w:rPr>
        <w:t xml:space="preserve"> </w:t>
      </w:r>
      <w:r>
        <w:rPr>
          <w:rFonts w:ascii="宋体" w:hAnsi="宋体" w:eastAsia="宋体" w:cs="宋体"/>
          <w:spacing w:val="7"/>
          <w:sz w:val="23"/>
          <w:szCs w:val="23"/>
        </w:rPr>
        <w:t>标) ，即废弃物资源化过程。从环境保护和资源利用的角度出发，走规模处理和综合利用</w:t>
      </w:r>
      <w:r>
        <w:rPr>
          <w:rFonts w:ascii="宋体" w:hAnsi="宋体" w:eastAsia="宋体" w:cs="宋体"/>
          <w:spacing w:val="5"/>
          <w:sz w:val="23"/>
          <w:szCs w:val="23"/>
        </w:rPr>
        <w:t>的</w:t>
      </w:r>
    </w:p>
    <w:p w14:paraId="45A8A375">
      <w:pPr>
        <w:sectPr>
          <w:headerReference r:id="rId333" w:type="default"/>
          <w:footerReference r:id="rId334" w:type="default"/>
          <w:pgSz w:w="11906" w:h="16839"/>
          <w:pgMar w:top="1118" w:right="1052" w:bottom="1157" w:left="1275" w:header="878" w:footer="994" w:gutter="0"/>
          <w:cols w:space="720" w:num="1"/>
        </w:sectPr>
      </w:pPr>
    </w:p>
    <w:p w14:paraId="71938CC1">
      <w:pPr>
        <w:spacing w:before="193" w:line="227" w:lineRule="auto"/>
        <w:ind w:left="9"/>
        <w:rPr>
          <w:rFonts w:ascii="宋体" w:hAnsi="宋体" w:eastAsia="宋体" w:cs="宋体"/>
          <w:sz w:val="23"/>
          <w:szCs w:val="23"/>
        </w:rPr>
      </w:pPr>
      <w:r>
        <w:rPr>
          <w:rFonts w:ascii="宋体" w:hAnsi="宋体" w:eastAsia="宋体" w:cs="宋体"/>
          <w:spacing w:val="18"/>
          <w:sz w:val="23"/>
          <w:szCs w:val="23"/>
        </w:rPr>
        <w:t>道</w:t>
      </w:r>
      <w:r>
        <w:rPr>
          <w:rFonts w:ascii="宋体" w:hAnsi="宋体" w:eastAsia="宋体" w:cs="宋体"/>
          <w:spacing w:val="14"/>
          <w:sz w:val="23"/>
          <w:szCs w:val="23"/>
        </w:rPr>
        <w:t>路</w:t>
      </w:r>
      <w:r>
        <w:rPr>
          <w:rFonts w:ascii="宋体" w:hAnsi="宋体" w:eastAsia="宋体" w:cs="宋体"/>
          <w:spacing w:val="9"/>
          <w:sz w:val="23"/>
          <w:szCs w:val="23"/>
        </w:rPr>
        <w:t>，不仅能够促进畜禽养殖业的进一步发展，而且具有较好的环境效益。</w:t>
      </w:r>
    </w:p>
    <w:p w14:paraId="448BAC5E">
      <w:pPr>
        <w:spacing w:before="188" w:line="219" w:lineRule="auto"/>
        <w:ind w:left="19"/>
        <w:outlineLvl w:val="1"/>
        <w:rPr>
          <w:rFonts w:ascii="宋体" w:hAnsi="宋体" w:eastAsia="宋体" w:cs="宋体"/>
          <w:sz w:val="28"/>
          <w:szCs w:val="28"/>
        </w:rPr>
      </w:pPr>
      <w:bookmarkStart w:id="71" w:name="_bookmark72"/>
      <w:bookmarkEnd w:id="71"/>
      <w:r>
        <w:rPr>
          <w:rFonts w:ascii="Times New Roman" w:hAnsi="Times New Roman" w:eastAsia="Times New Roman" w:cs="Times New Roman"/>
          <w:b/>
          <w:bCs/>
          <w:spacing w:val="-2"/>
          <w:sz w:val="28"/>
          <w:szCs w:val="28"/>
        </w:rPr>
        <w:t>1</w:t>
      </w:r>
      <w:r>
        <w:rPr>
          <w:rFonts w:ascii="Times New Roman" w:hAnsi="Times New Roman" w:eastAsia="Times New Roman" w:cs="Times New Roman"/>
          <w:b/>
          <w:bCs/>
          <w:spacing w:val="-1"/>
          <w:sz w:val="28"/>
          <w:szCs w:val="28"/>
        </w:rPr>
        <w:t>0.5</w:t>
      </w:r>
      <w:r>
        <w:rPr>
          <w:rFonts w:ascii="Times New Roman" w:hAnsi="Times New Roman" w:eastAsia="Times New Roman" w:cs="Times New Roman"/>
          <w:spacing w:val="-1"/>
          <w:sz w:val="28"/>
          <w:szCs w:val="28"/>
        </w:rPr>
        <w:t xml:space="preserve">  </w:t>
      </w:r>
      <w:r>
        <w:rPr>
          <w:rFonts w:ascii="宋体" w:hAnsi="宋体" w:eastAsia="宋体" w:cs="宋体"/>
          <w:spacing w:val="-1"/>
          <w:sz w:val="28"/>
          <w:szCs w:val="28"/>
          <w14:textOutline w14:w="5105" w14:cap="sq" w14:cmpd="sng" w14:algn="ctr">
            <w14:solidFill>
              <w14:srgbClr w14:val="000000"/>
            </w14:solidFill>
            <w14:prstDash w14:val="solid"/>
            <w14:bevel/>
          </w14:textOutline>
        </w:rPr>
        <w:t>社会效益分析</w:t>
      </w:r>
    </w:p>
    <w:p w14:paraId="3D606D7D">
      <w:pPr>
        <w:spacing w:before="206" w:line="227" w:lineRule="auto"/>
        <w:ind w:left="371"/>
        <w:rPr>
          <w:rFonts w:ascii="宋体" w:hAnsi="宋体" w:eastAsia="宋体" w:cs="宋体"/>
          <w:sz w:val="23"/>
          <w:szCs w:val="23"/>
        </w:rPr>
      </w:pPr>
      <w:r>
        <w:rPr>
          <w:rFonts w:ascii="宋体" w:hAnsi="宋体" w:eastAsia="宋体" w:cs="宋体"/>
          <w:spacing w:val="9"/>
          <w:sz w:val="23"/>
          <w:szCs w:val="23"/>
        </w:rPr>
        <w:t>本项目的社会效益主要表现在以下几个方面</w:t>
      </w:r>
      <w:r>
        <w:rPr>
          <w:rFonts w:ascii="宋体" w:hAnsi="宋体" w:eastAsia="宋体" w:cs="宋体"/>
          <w:spacing w:val="8"/>
          <w:sz w:val="23"/>
          <w:szCs w:val="23"/>
        </w:rPr>
        <w:t>：</w:t>
      </w:r>
    </w:p>
    <w:p w14:paraId="375517FF">
      <w:pPr>
        <w:spacing w:before="185" w:line="375" w:lineRule="auto"/>
        <w:ind w:left="10" w:right="23" w:firstLine="371"/>
        <w:rPr>
          <w:rFonts w:ascii="宋体" w:hAnsi="宋体" w:eastAsia="宋体" w:cs="宋体"/>
          <w:sz w:val="23"/>
          <w:szCs w:val="23"/>
        </w:rPr>
      </w:pPr>
      <w:r>
        <w:rPr>
          <w:rFonts w:ascii="宋体" w:hAnsi="宋体" w:eastAsia="宋体" w:cs="宋体"/>
          <w:spacing w:val="8"/>
          <w:sz w:val="23"/>
          <w:szCs w:val="23"/>
        </w:rPr>
        <w:t>(</w:t>
      </w:r>
      <w:r>
        <w:rPr>
          <w:rFonts w:ascii="Times New Roman" w:hAnsi="Times New Roman" w:eastAsia="Times New Roman" w:cs="Times New Roman"/>
          <w:spacing w:val="8"/>
          <w:sz w:val="23"/>
          <w:szCs w:val="23"/>
        </w:rPr>
        <w:t>1</w:t>
      </w:r>
      <w:r>
        <w:rPr>
          <w:rFonts w:ascii="宋体" w:hAnsi="宋体" w:eastAsia="宋体" w:cs="宋体"/>
          <w:spacing w:val="8"/>
          <w:sz w:val="23"/>
          <w:szCs w:val="23"/>
        </w:rPr>
        <w:t>)畜牧业是农村经济的重要组成部分，也是农民增收的重要来源。本项目的投资建设，</w:t>
      </w:r>
      <w:r>
        <w:rPr>
          <w:rFonts w:ascii="宋体" w:hAnsi="宋体" w:eastAsia="宋体" w:cs="宋体"/>
          <w:sz w:val="23"/>
          <w:szCs w:val="23"/>
        </w:rPr>
        <w:t xml:space="preserve"> </w:t>
      </w:r>
      <w:r>
        <w:rPr>
          <w:rFonts w:ascii="宋体" w:hAnsi="宋体" w:eastAsia="宋体" w:cs="宋体"/>
          <w:spacing w:val="12"/>
          <w:sz w:val="23"/>
          <w:szCs w:val="23"/>
        </w:rPr>
        <w:t>以</w:t>
      </w:r>
      <w:r>
        <w:rPr>
          <w:rFonts w:ascii="宋体" w:hAnsi="宋体" w:eastAsia="宋体" w:cs="宋体"/>
          <w:spacing w:val="7"/>
          <w:sz w:val="23"/>
          <w:szCs w:val="23"/>
        </w:rPr>
        <w:t>及后续的种养殖循环系列项目体系，将进一步促进青神县畜牧业、农业的发展，进而促进</w:t>
      </w:r>
      <w:r>
        <w:rPr>
          <w:rFonts w:ascii="宋体" w:hAnsi="宋体" w:eastAsia="宋体" w:cs="宋体"/>
          <w:sz w:val="23"/>
          <w:szCs w:val="23"/>
        </w:rPr>
        <w:t xml:space="preserve"> </w:t>
      </w:r>
      <w:r>
        <w:rPr>
          <w:rFonts w:ascii="宋体" w:hAnsi="宋体" w:eastAsia="宋体" w:cs="宋体"/>
          <w:spacing w:val="16"/>
          <w:sz w:val="23"/>
          <w:szCs w:val="23"/>
        </w:rPr>
        <w:t>地</w:t>
      </w:r>
      <w:r>
        <w:rPr>
          <w:rFonts w:ascii="宋体" w:hAnsi="宋体" w:eastAsia="宋体" w:cs="宋体"/>
          <w:spacing w:val="8"/>
          <w:sz w:val="23"/>
          <w:szCs w:val="23"/>
        </w:rPr>
        <w:t>方经济，具有良好的正效应。</w:t>
      </w:r>
    </w:p>
    <w:p w14:paraId="56866555">
      <w:pPr>
        <w:spacing w:before="1" w:line="373" w:lineRule="auto"/>
        <w:ind w:left="11" w:firstLine="370"/>
        <w:rPr>
          <w:rFonts w:ascii="宋体" w:hAnsi="宋体" w:eastAsia="宋体" w:cs="宋体"/>
          <w:sz w:val="23"/>
          <w:szCs w:val="23"/>
        </w:rPr>
      </w:pPr>
      <w:r>
        <w:rPr>
          <w:rFonts w:ascii="宋体" w:hAnsi="宋体" w:eastAsia="宋体" w:cs="宋体"/>
          <w:spacing w:val="16"/>
          <w:sz w:val="23"/>
          <w:szCs w:val="23"/>
        </w:rPr>
        <w:t>(</w:t>
      </w:r>
      <w:r>
        <w:rPr>
          <w:rFonts w:ascii="Times New Roman" w:hAnsi="Times New Roman" w:eastAsia="Times New Roman" w:cs="Times New Roman"/>
          <w:spacing w:val="16"/>
          <w:sz w:val="23"/>
          <w:szCs w:val="23"/>
        </w:rPr>
        <w:t>2</w:t>
      </w:r>
      <w:r>
        <w:rPr>
          <w:rFonts w:ascii="宋体" w:hAnsi="宋体" w:eastAsia="宋体" w:cs="宋体"/>
          <w:spacing w:val="16"/>
          <w:sz w:val="23"/>
          <w:szCs w:val="23"/>
        </w:rPr>
        <w:t>)</w:t>
      </w:r>
      <w:r>
        <w:rPr>
          <w:rFonts w:ascii="宋体" w:hAnsi="宋体" w:eastAsia="宋体" w:cs="宋体"/>
          <w:spacing w:val="12"/>
          <w:sz w:val="23"/>
          <w:szCs w:val="23"/>
        </w:rPr>
        <w:t xml:space="preserve"> </w:t>
      </w:r>
      <w:r>
        <w:rPr>
          <w:rFonts w:ascii="宋体" w:hAnsi="宋体" w:eastAsia="宋体" w:cs="宋体"/>
          <w:spacing w:val="8"/>
          <w:sz w:val="23"/>
          <w:szCs w:val="23"/>
        </w:rPr>
        <w:t>项目的清洁生产措施，很大程度上节约了资源和能源，起到了</w:t>
      </w:r>
      <w:r>
        <w:rPr>
          <w:rFonts w:ascii="Times New Roman" w:hAnsi="Times New Roman" w:eastAsia="Times New Roman" w:cs="Times New Roman"/>
          <w:spacing w:val="8"/>
          <w:sz w:val="23"/>
          <w:szCs w:val="23"/>
        </w:rPr>
        <w:t>“</w:t>
      </w:r>
      <w:r>
        <w:rPr>
          <w:rFonts w:ascii="宋体" w:hAnsi="宋体" w:eastAsia="宋体" w:cs="宋体"/>
          <w:spacing w:val="8"/>
          <w:sz w:val="23"/>
          <w:szCs w:val="23"/>
        </w:rPr>
        <w:t>节能、降耗、减污、</w:t>
      </w:r>
      <w:r>
        <w:rPr>
          <w:rFonts w:ascii="宋体" w:hAnsi="宋体" w:eastAsia="宋体" w:cs="宋体"/>
          <w:sz w:val="23"/>
          <w:szCs w:val="23"/>
        </w:rPr>
        <w:t xml:space="preserve"> </w:t>
      </w:r>
      <w:r>
        <w:rPr>
          <w:rFonts w:ascii="宋体" w:hAnsi="宋体" w:eastAsia="宋体" w:cs="宋体"/>
          <w:spacing w:val="9"/>
          <w:sz w:val="23"/>
          <w:szCs w:val="23"/>
        </w:rPr>
        <w:t>增效</w:t>
      </w:r>
      <w:r>
        <w:rPr>
          <w:rFonts w:ascii="Times New Roman" w:hAnsi="Times New Roman" w:eastAsia="Times New Roman" w:cs="Times New Roman"/>
          <w:spacing w:val="9"/>
          <w:sz w:val="23"/>
          <w:szCs w:val="23"/>
        </w:rPr>
        <w:t>”</w:t>
      </w:r>
      <w:r>
        <w:rPr>
          <w:rFonts w:ascii="宋体" w:hAnsi="宋体" w:eastAsia="宋体" w:cs="宋体"/>
          <w:spacing w:val="9"/>
          <w:sz w:val="23"/>
          <w:szCs w:val="23"/>
        </w:rPr>
        <w:t>的作用，符合国家产业政策和环保治理要求</w:t>
      </w:r>
      <w:r>
        <w:rPr>
          <w:rFonts w:ascii="宋体" w:hAnsi="宋体" w:eastAsia="宋体" w:cs="宋体"/>
          <w:spacing w:val="5"/>
          <w:sz w:val="23"/>
          <w:szCs w:val="23"/>
        </w:rPr>
        <w:t>。</w:t>
      </w:r>
    </w:p>
    <w:p w14:paraId="7CEA4398">
      <w:pPr>
        <w:spacing w:line="375" w:lineRule="auto"/>
        <w:ind w:left="9" w:right="85" w:firstLine="372"/>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3"/>
          <w:sz w:val="23"/>
          <w:szCs w:val="23"/>
        </w:rPr>
        <w:t>3</w:t>
      </w:r>
      <w:r>
        <w:rPr>
          <w:rFonts w:ascii="宋体" w:hAnsi="宋体" w:eastAsia="宋体" w:cs="宋体"/>
          <w:spacing w:val="9"/>
          <w:sz w:val="23"/>
          <w:szCs w:val="23"/>
        </w:rPr>
        <w:t>) 该项目未来的标准化、规模化建设将形成农村能源产业，由此所需的技术、管理队</w:t>
      </w:r>
      <w:r>
        <w:rPr>
          <w:rFonts w:ascii="宋体" w:hAnsi="宋体" w:eastAsia="宋体" w:cs="宋体"/>
          <w:sz w:val="23"/>
          <w:szCs w:val="23"/>
        </w:rPr>
        <w:t xml:space="preserve"> </w:t>
      </w:r>
      <w:r>
        <w:rPr>
          <w:rFonts w:ascii="宋体" w:hAnsi="宋体" w:eastAsia="宋体" w:cs="宋体"/>
          <w:spacing w:val="12"/>
          <w:sz w:val="23"/>
          <w:szCs w:val="23"/>
        </w:rPr>
        <w:t>伍</w:t>
      </w:r>
      <w:r>
        <w:rPr>
          <w:rFonts w:ascii="宋体" w:hAnsi="宋体" w:eastAsia="宋体" w:cs="宋体"/>
          <w:spacing w:val="7"/>
          <w:sz w:val="23"/>
          <w:szCs w:val="23"/>
        </w:rPr>
        <w:t>可就地吸纳农村剩余劳动力，有利于维护农村社会稳定，对提高人民生活水平起到积极作</w:t>
      </w:r>
      <w:r>
        <w:rPr>
          <w:rFonts w:ascii="宋体" w:hAnsi="宋体" w:eastAsia="宋体" w:cs="宋体"/>
          <w:sz w:val="23"/>
          <w:szCs w:val="23"/>
        </w:rPr>
        <w:t xml:space="preserve"> </w:t>
      </w:r>
      <w:r>
        <w:rPr>
          <w:rFonts w:ascii="宋体" w:hAnsi="宋体" w:eastAsia="宋体" w:cs="宋体"/>
          <w:spacing w:val="1"/>
          <w:sz w:val="23"/>
          <w:szCs w:val="23"/>
        </w:rPr>
        <w:t>用</w:t>
      </w:r>
      <w:r>
        <w:rPr>
          <w:rFonts w:ascii="宋体" w:hAnsi="宋体" w:eastAsia="宋体" w:cs="宋体"/>
          <w:sz w:val="23"/>
          <w:szCs w:val="23"/>
        </w:rPr>
        <w:t>。</w:t>
      </w:r>
    </w:p>
    <w:p w14:paraId="423016A1">
      <w:pPr>
        <w:spacing w:line="375" w:lineRule="auto"/>
        <w:ind w:left="12" w:right="23" w:firstLine="369"/>
        <w:rPr>
          <w:rFonts w:ascii="宋体" w:hAnsi="宋体" w:eastAsia="宋体" w:cs="宋体"/>
          <w:sz w:val="23"/>
          <w:szCs w:val="23"/>
        </w:rPr>
      </w:pPr>
      <w:r>
        <w:rPr>
          <w:rFonts w:ascii="宋体" w:hAnsi="宋体" w:eastAsia="宋体" w:cs="宋体"/>
          <w:spacing w:val="8"/>
          <w:sz w:val="23"/>
          <w:szCs w:val="23"/>
        </w:rPr>
        <w:t>(</w:t>
      </w:r>
      <w:r>
        <w:rPr>
          <w:rFonts w:ascii="Times New Roman" w:hAnsi="Times New Roman" w:eastAsia="Times New Roman" w:cs="Times New Roman"/>
          <w:spacing w:val="8"/>
          <w:sz w:val="23"/>
          <w:szCs w:val="23"/>
        </w:rPr>
        <w:t>4</w:t>
      </w:r>
      <w:r>
        <w:rPr>
          <w:rFonts w:ascii="宋体" w:hAnsi="宋体" w:eastAsia="宋体" w:cs="宋体"/>
          <w:spacing w:val="8"/>
          <w:sz w:val="23"/>
          <w:szCs w:val="23"/>
        </w:rPr>
        <w:t>)项目的建设可拉动周边畜禽养殖业、肉制品加工业、饲料加工业等行业的快速发展，</w:t>
      </w:r>
      <w:r>
        <w:rPr>
          <w:rFonts w:ascii="宋体" w:hAnsi="宋体" w:eastAsia="宋体" w:cs="宋体"/>
          <w:sz w:val="23"/>
          <w:szCs w:val="23"/>
        </w:rPr>
        <w:t xml:space="preserve"> </w:t>
      </w:r>
      <w:r>
        <w:rPr>
          <w:rFonts w:ascii="宋体" w:hAnsi="宋体" w:eastAsia="宋体" w:cs="宋体"/>
          <w:spacing w:val="10"/>
          <w:sz w:val="23"/>
          <w:szCs w:val="23"/>
        </w:rPr>
        <w:t>同</w:t>
      </w:r>
      <w:r>
        <w:rPr>
          <w:rFonts w:ascii="宋体" w:hAnsi="宋体" w:eastAsia="宋体" w:cs="宋体"/>
          <w:spacing w:val="7"/>
          <w:sz w:val="23"/>
          <w:szCs w:val="23"/>
        </w:rPr>
        <w:t>时为周围种植业提供了大量优质有机肥，降低了化肥、农药在农产品生产中的使用量，为</w:t>
      </w:r>
      <w:r>
        <w:rPr>
          <w:rFonts w:ascii="宋体" w:hAnsi="宋体" w:eastAsia="宋体" w:cs="宋体"/>
          <w:sz w:val="23"/>
          <w:szCs w:val="23"/>
        </w:rPr>
        <w:t xml:space="preserve"> </w:t>
      </w:r>
      <w:r>
        <w:rPr>
          <w:rFonts w:ascii="宋体" w:hAnsi="宋体" w:eastAsia="宋体" w:cs="宋体"/>
          <w:spacing w:val="18"/>
          <w:sz w:val="23"/>
          <w:szCs w:val="23"/>
        </w:rPr>
        <w:t>无</w:t>
      </w:r>
      <w:r>
        <w:rPr>
          <w:rFonts w:ascii="宋体" w:hAnsi="宋体" w:eastAsia="宋体" w:cs="宋体"/>
          <w:spacing w:val="10"/>
          <w:sz w:val="23"/>
          <w:szCs w:val="23"/>
        </w:rPr>
        <w:t>公</w:t>
      </w:r>
      <w:r>
        <w:rPr>
          <w:rFonts w:ascii="宋体" w:hAnsi="宋体" w:eastAsia="宋体" w:cs="宋体"/>
          <w:spacing w:val="9"/>
          <w:sz w:val="23"/>
          <w:szCs w:val="23"/>
        </w:rPr>
        <w:t>害农产品生产提供了有利条件，有利于促进周围农村产业结构调整。</w:t>
      </w:r>
    </w:p>
    <w:p w14:paraId="49E0F46E">
      <w:pPr>
        <w:spacing w:before="2" w:line="374" w:lineRule="auto"/>
        <w:ind w:left="14" w:right="85" w:firstLine="367"/>
        <w:rPr>
          <w:rFonts w:ascii="宋体" w:hAnsi="宋体" w:eastAsia="宋体" w:cs="宋体"/>
          <w:sz w:val="23"/>
          <w:szCs w:val="23"/>
        </w:rPr>
      </w:pPr>
      <w:r>
        <w:rPr>
          <w:rFonts w:ascii="宋体" w:hAnsi="宋体" w:eastAsia="宋体" w:cs="宋体"/>
          <w:spacing w:val="18"/>
          <w:sz w:val="23"/>
          <w:szCs w:val="23"/>
        </w:rPr>
        <w:t>(</w:t>
      </w:r>
      <w:r>
        <w:rPr>
          <w:rFonts w:ascii="Times New Roman" w:hAnsi="Times New Roman" w:eastAsia="Times New Roman" w:cs="Times New Roman"/>
          <w:spacing w:val="13"/>
          <w:sz w:val="23"/>
          <w:szCs w:val="23"/>
        </w:rPr>
        <w:t>5</w:t>
      </w:r>
      <w:r>
        <w:rPr>
          <w:rFonts w:ascii="宋体" w:hAnsi="宋体" w:eastAsia="宋体" w:cs="宋体"/>
          <w:spacing w:val="9"/>
          <w:sz w:val="23"/>
          <w:szCs w:val="23"/>
        </w:rPr>
        <w:t>) 项目投产后，可增加当地财政收入，提高当地社会经济发展水平，对区域社会稳定</w:t>
      </w:r>
      <w:r>
        <w:rPr>
          <w:rFonts w:ascii="宋体" w:hAnsi="宋体" w:eastAsia="宋体" w:cs="宋体"/>
          <w:sz w:val="23"/>
          <w:szCs w:val="23"/>
        </w:rPr>
        <w:t xml:space="preserve"> </w:t>
      </w:r>
      <w:r>
        <w:rPr>
          <w:rFonts w:ascii="宋体" w:hAnsi="宋体" w:eastAsia="宋体" w:cs="宋体"/>
          <w:spacing w:val="7"/>
          <w:sz w:val="23"/>
          <w:szCs w:val="23"/>
        </w:rPr>
        <w:t>发挥了较强作用。</w:t>
      </w:r>
    </w:p>
    <w:p w14:paraId="560E06E9">
      <w:pPr>
        <w:spacing w:line="228" w:lineRule="auto"/>
        <w:ind w:left="373"/>
        <w:rPr>
          <w:rFonts w:ascii="宋体" w:hAnsi="宋体" w:eastAsia="宋体" w:cs="宋体"/>
          <w:sz w:val="23"/>
          <w:szCs w:val="23"/>
        </w:rPr>
      </w:pPr>
      <w:r>
        <w:rPr>
          <w:rFonts w:ascii="宋体" w:hAnsi="宋体" w:eastAsia="宋体" w:cs="宋体"/>
          <w:spacing w:val="9"/>
          <w:sz w:val="23"/>
          <w:szCs w:val="23"/>
        </w:rPr>
        <w:t>综合以上分析，项目的实施有较好的社会效益</w:t>
      </w:r>
      <w:r>
        <w:rPr>
          <w:rFonts w:ascii="宋体" w:hAnsi="宋体" w:eastAsia="宋体" w:cs="宋体"/>
          <w:spacing w:val="7"/>
          <w:sz w:val="23"/>
          <w:szCs w:val="23"/>
        </w:rPr>
        <w:t>。</w:t>
      </w:r>
    </w:p>
    <w:p w14:paraId="732C0882">
      <w:pPr>
        <w:spacing w:before="187" w:line="221" w:lineRule="auto"/>
        <w:ind w:left="19"/>
        <w:outlineLvl w:val="1"/>
        <w:rPr>
          <w:rFonts w:ascii="宋体" w:hAnsi="宋体" w:eastAsia="宋体" w:cs="宋体"/>
          <w:sz w:val="28"/>
          <w:szCs w:val="28"/>
        </w:rPr>
      </w:pPr>
      <w:bookmarkStart w:id="72" w:name="_bookmark73"/>
      <w:bookmarkEnd w:id="72"/>
      <w:r>
        <w:rPr>
          <w:rFonts w:ascii="Times New Roman" w:hAnsi="Times New Roman" w:eastAsia="Times New Roman" w:cs="Times New Roman"/>
          <w:b/>
          <w:bCs/>
          <w:spacing w:val="-2"/>
          <w:sz w:val="28"/>
          <w:szCs w:val="28"/>
        </w:rPr>
        <w:t>10.6</w:t>
      </w:r>
      <w:r>
        <w:rPr>
          <w:rFonts w:ascii="Times New Roman" w:hAnsi="Times New Roman" w:eastAsia="Times New Roman" w:cs="Times New Roman"/>
          <w:spacing w:val="-2"/>
          <w:sz w:val="28"/>
          <w:szCs w:val="28"/>
        </w:rPr>
        <w:t xml:space="preserve">  </w:t>
      </w:r>
      <w:r>
        <w:rPr>
          <w:rFonts w:ascii="宋体" w:hAnsi="宋体" w:eastAsia="宋体" w:cs="宋体"/>
          <w:spacing w:val="-2"/>
          <w:sz w:val="28"/>
          <w:szCs w:val="28"/>
          <w14:textOutline w14:w="5105" w14:cap="sq" w14:cmpd="sng" w14:algn="ctr">
            <w14:solidFill>
              <w14:srgbClr w14:val="000000"/>
            </w14:solidFill>
            <w14:prstDash w14:val="solid"/>
            <w14:bevel/>
          </w14:textOutline>
        </w:rPr>
        <w:t>生</w:t>
      </w:r>
      <w:r>
        <w:rPr>
          <w:rFonts w:ascii="宋体" w:hAnsi="宋体" w:eastAsia="宋体" w:cs="宋体"/>
          <w:spacing w:val="-1"/>
          <w:sz w:val="28"/>
          <w:szCs w:val="28"/>
          <w14:textOutline w14:w="5105" w14:cap="sq" w14:cmpd="sng" w14:algn="ctr">
            <w14:solidFill>
              <w14:srgbClr w14:val="000000"/>
            </w14:solidFill>
            <w14:prstDash w14:val="solid"/>
            <w14:bevel/>
          </w14:textOutline>
        </w:rPr>
        <w:t>态效益</w:t>
      </w:r>
    </w:p>
    <w:p w14:paraId="7B4F6AB2">
      <w:pPr>
        <w:spacing w:before="203" w:line="376" w:lineRule="auto"/>
        <w:ind w:left="11" w:right="80" w:firstLine="359"/>
        <w:rPr>
          <w:rFonts w:ascii="宋体" w:hAnsi="宋体" w:eastAsia="宋体" w:cs="宋体"/>
          <w:sz w:val="23"/>
          <w:szCs w:val="23"/>
        </w:rPr>
      </w:pPr>
      <w:r>
        <w:rPr>
          <w:rFonts w:ascii="宋体" w:hAnsi="宋体" w:eastAsia="宋体" w:cs="宋体"/>
          <w:spacing w:val="19"/>
          <w:sz w:val="23"/>
          <w:szCs w:val="23"/>
        </w:rPr>
        <w:t>通</w:t>
      </w:r>
      <w:r>
        <w:rPr>
          <w:rFonts w:ascii="宋体" w:hAnsi="宋体" w:eastAsia="宋体" w:cs="宋体"/>
          <w:spacing w:val="10"/>
          <w:sz w:val="23"/>
          <w:szCs w:val="23"/>
        </w:rPr>
        <w:t>过项目实施，粪污处理后能生成有机肥，达到变废为宝的目的。长期大量使用化肥，</w:t>
      </w:r>
      <w:r>
        <w:rPr>
          <w:rFonts w:ascii="宋体" w:hAnsi="宋体" w:eastAsia="宋体" w:cs="宋体"/>
          <w:sz w:val="23"/>
          <w:szCs w:val="23"/>
        </w:rPr>
        <w:t xml:space="preserve"> </w:t>
      </w:r>
      <w:r>
        <w:rPr>
          <w:rFonts w:ascii="宋体" w:hAnsi="宋体" w:eastAsia="宋体" w:cs="宋体"/>
          <w:spacing w:val="11"/>
          <w:sz w:val="23"/>
          <w:szCs w:val="23"/>
        </w:rPr>
        <w:t>不</w:t>
      </w:r>
      <w:r>
        <w:rPr>
          <w:rFonts w:ascii="宋体" w:hAnsi="宋体" w:eastAsia="宋体" w:cs="宋体"/>
          <w:spacing w:val="7"/>
          <w:sz w:val="23"/>
          <w:szCs w:val="23"/>
        </w:rPr>
        <w:t>仅导致土壤板结，土壤肥力下降，而且对环境和农作物产生污染。项目投产后，提供优质</w:t>
      </w:r>
      <w:r>
        <w:rPr>
          <w:rFonts w:ascii="宋体" w:hAnsi="宋体" w:eastAsia="宋体" w:cs="宋体"/>
          <w:sz w:val="23"/>
          <w:szCs w:val="23"/>
        </w:rPr>
        <w:t xml:space="preserve"> </w:t>
      </w:r>
      <w:r>
        <w:rPr>
          <w:rFonts w:ascii="宋体" w:hAnsi="宋体" w:eastAsia="宋体" w:cs="宋体"/>
          <w:spacing w:val="14"/>
          <w:sz w:val="23"/>
          <w:szCs w:val="23"/>
        </w:rPr>
        <w:t>有</w:t>
      </w:r>
      <w:r>
        <w:rPr>
          <w:rFonts w:ascii="宋体" w:hAnsi="宋体" w:eastAsia="宋体" w:cs="宋体"/>
          <w:spacing w:val="8"/>
          <w:sz w:val="23"/>
          <w:szCs w:val="23"/>
        </w:rPr>
        <w:t>机</w:t>
      </w:r>
      <w:r>
        <w:rPr>
          <w:rFonts w:ascii="宋体" w:hAnsi="宋体" w:eastAsia="宋体" w:cs="宋体"/>
          <w:spacing w:val="7"/>
          <w:sz w:val="23"/>
          <w:szCs w:val="23"/>
        </w:rPr>
        <w:t>肥料，可减少化肥、农药用量，改善土壤理化性状。有利于农作物增产、增收，促进农</w:t>
      </w:r>
      <w:r>
        <w:rPr>
          <w:rFonts w:ascii="宋体" w:hAnsi="宋体" w:eastAsia="宋体" w:cs="宋体"/>
          <w:sz w:val="23"/>
          <w:szCs w:val="23"/>
        </w:rPr>
        <w:t xml:space="preserve"> </w:t>
      </w:r>
      <w:r>
        <w:rPr>
          <w:rFonts w:ascii="宋体" w:hAnsi="宋体" w:eastAsia="宋体" w:cs="宋体"/>
          <w:spacing w:val="14"/>
          <w:sz w:val="23"/>
          <w:szCs w:val="23"/>
        </w:rPr>
        <w:t>作</w:t>
      </w:r>
      <w:r>
        <w:rPr>
          <w:rFonts w:ascii="宋体" w:hAnsi="宋体" w:eastAsia="宋体" w:cs="宋体"/>
          <w:spacing w:val="9"/>
          <w:sz w:val="23"/>
          <w:szCs w:val="23"/>
        </w:rPr>
        <w:t>物增产、增收，有利生产无公害农产品，保障食品安全。</w:t>
      </w:r>
    </w:p>
    <w:p w14:paraId="30BD1817">
      <w:pPr>
        <w:spacing w:before="1" w:line="220" w:lineRule="auto"/>
        <w:ind w:left="19"/>
        <w:outlineLvl w:val="1"/>
        <w:rPr>
          <w:rFonts w:ascii="宋体" w:hAnsi="宋体" w:eastAsia="宋体" w:cs="宋体"/>
          <w:sz w:val="28"/>
          <w:szCs w:val="28"/>
        </w:rPr>
      </w:pPr>
      <w:bookmarkStart w:id="73" w:name="_bookmark74"/>
      <w:bookmarkEnd w:id="73"/>
      <w:r>
        <w:rPr>
          <w:rFonts w:ascii="Times New Roman" w:hAnsi="Times New Roman" w:eastAsia="Times New Roman" w:cs="Times New Roman"/>
          <w:b/>
          <w:bCs/>
          <w:spacing w:val="-2"/>
          <w:sz w:val="28"/>
          <w:szCs w:val="28"/>
        </w:rPr>
        <w:t>10.7</w:t>
      </w:r>
      <w:r>
        <w:rPr>
          <w:rFonts w:ascii="Times New Roman" w:hAnsi="Times New Roman" w:eastAsia="Times New Roman" w:cs="Times New Roman"/>
          <w:spacing w:val="-2"/>
          <w:sz w:val="28"/>
          <w:szCs w:val="28"/>
        </w:rPr>
        <w:t xml:space="preserve">  </w:t>
      </w:r>
      <w:r>
        <w:rPr>
          <w:rFonts w:ascii="宋体" w:hAnsi="宋体" w:eastAsia="宋体" w:cs="宋体"/>
          <w:spacing w:val="-2"/>
          <w:sz w:val="28"/>
          <w:szCs w:val="28"/>
          <w14:textOutline w14:w="5105" w14:cap="sq" w14:cmpd="sng" w14:algn="ctr">
            <w14:solidFill>
              <w14:srgbClr w14:val="000000"/>
            </w14:solidFill>
            <w14:prstDash w14:val="solid"/>
            <w14:bevel/>
          </w14:textOutline>
        </w:rPr>
        <w:t>分</w:t>
      </w:r>
      <w:r>
        <w:rPr>
          <w:rFonts w:ascii="宋体" w:hAnsi="宋体" w:eastAsia="宋体" w:cs="宋体"/>
          <w:spacing w:val="-1"/>
          <w:sz w:val="28"/>
          <w:szCs w:val="28"/>
          <w14:textOutline w14:w="5105" w14:cap="sq" w14:cmpd="sng" w14:algn="ctr">
            <w14:solidFill>
              <w14:srgbClr w14:val="000000"/>
            </w14:solidFill>
            <w14:prstDash w14:val="solid"/>
            <w14:bevel/>
          </w14:textOutline>
        </w:rPr>
        <w:t>析结论</w:t>
      </w:r>
    </w:p>
    <w:p w14:paraId="6151F3B5">
      <w:pPr>
        <w:spacing w:before="206" w:line="384" w:lineRule="auto"/>
        <w:ind w:left="29" w:right="82" w:firstLine="343"/>
        <w:rPr>
          <w:rFonts w:ascii="宋体" w:hAnsi="宋体" w:eastAsia="宋体" w:cs="宋体"/>
          <w:sz w:val="23"/>
          <w:szCs w:val="23"/>
        </w:rPr>
      </w:pPr>
      <w:r>
        <w:rPr>
          <w:rFonts w:ascii="宋体" w:hAnsi="宋体" w:eastAsia="宋体" w:cs="宋体"/>
          <w:spacing w:val="14"/>
          <w:sz w:val="23"/>
          <w:szCs w:val="23"/>
        </w:rPr>
        <w:t>综</w:t>
      </w:r>
      <w:r>
        <w:rPr>
          <w:rFonts w:ascii="宋体" w:hAnsi="宋体" w:eastAsia="宋体" w:cs="宋体"/>
          <w:spacing w:val="10"/>
          <w:sz w:val="23"/>
          <w:szCs w:val="23"/>
        </w:rPr>
        <w:t>合以上分析，项目具有较好经济、环境和社会效益，它的建成，将能够拉动地方经济</w:t>
      </w:r>
      <w:r>
        <w:rPr>
          <w:rFonts w:ascii="宋体" w:hAnsi="宋体" w:eastAsia="宋体" w:cs="宋体"/>
          <w:sz w:val="23"/>
          <w:szCs w:val="23"/>
        </w:rPr>
        <w:t xml:space="preserve"> </w:t>
      </w:r>
      <w:r>
        <w:rPr>
          <w:rFonts w:ascii="宋体" w:hAnsi="宋体" w:eastAsia="宋体" w:cs="宋体"/>
          <w:spacing w:val="16"/>
          <w:sz w:val="23"/>
          <w:szCs w:val="23"/>
        </w:rPr>
        <w:t>的快</w:t>
      </w:r>
      <w:r>
        <w:rPr>
          <w:rFonts w:ascii="宋体" w:hAnsi="宋体" w:eastAsia="宋体" w:cs="宋体"/>
          <w:spacing w:val="8"/>
          <w:sz w:val="23"/>
          <w:szCs w:val="23"/>
        </w:rPr>
        <w:t>速发展；废物资源化利用，将促进人类与社会的和谐发展。</w:t>
      </w:r>
    </w:p>
    <w:p w14:paraId="1FFF604A">
      <w:pPr>
        <w:sectPr>
          <w:headerReference r:id="rId335" w:type="default"/>
          <w:footerReference r:id="rId336" w:type="default"/>
          <w:pgSz w:w="11906" w:h="16839"/>
          <w:pgMar w:top="1118" w:right="1049" w:bottom="1157" w:left="1275" w:header="878" w:footer="994" w:gutter="0"/>
          <w:cols w:space="720" w:num="1"/>
        </w:sectPr>
      </w:pPr>
    </w:p>
    <w:p w14:paraId="231DC230">
      <w:pPr>
        <w:spacing w:before="311" w:line="241" w:lineRule="auto"/>
        <w:ind w:left="21"/>
        <w:outlineLvl w:val="0"/>
        <w:rPr>
          <w:rFonts w:ascii="宋体" w:hAnsi="宋体" w:eastAsia="宋体" w:cs="宋体"/>
          <w:sz w:val="31"/>
          <w:szCs w:val="31"/>
        </w:rPr>
      </w:pPr>
      <w:bookmarkStart w:id="74" w:name="_bookmark76"/>
      <w:bookmarkEnd w:id="74"/>
      <w:bookmarkStart w:id="75" w:name="_bookmark75"/>
      <w:bookmarkEnd w:id="75"/>
      <w:r>
        <w:rPr>
          <w:rFonts w:ascii="Times New Roman" w:hAnsi="Times New Roman" w:eastAsia="Times New Roman" w:cs="Times New Roman"/>
          <w:b/>
          <w:bCs/>
          <w:spacing w:val="-1"/>
          <w:sz w:val="31"/>
          <w:szCs w:val="31"/>
        </w:rPr>
        <w:t>11</w:t>
      </w:r>
      <w:r>
        <w:rPr>
          <w:rFonts w:ascii="Times New Roman" w:hAnsi="Times New Roman" w:eastAsia="Times New Roman" w:cs="Times New Roman"/>
          <w:sz w:val="31"/>
          <w:szCs w:val="31"/>
        </w:rPr>
        <w:t xml:space="preserve"> </w:t>
      </w:r>
      <w:r>
        <w:rPr>
          <w:rFonts w:ascii="宋体" w:hAnsi="宋体" w:eastAsia="宋体" w:cs="宋体"/>
          <w:sz w:val="31"/>
          <w:szCs w:val="31"/>
          <w14:textOutline w14:w="5791" w14:cap="sq" w14:cmpd="sng" w14:algn="ctr">
            <w14:solidFill>
              <w14:srgbClr w14:val="000000"/>
            </w14:solidFill>
            <w14:prstDash w14:val="solid"/>
            <w14:bevel/>
          </w14:textOutline>
        </w:rPr>
        <w:t>、评价结论与建议</w:t>
      </w:r>
    </w:p>
    <w:p w14:paraId="47AF73F8">
      <w:pPr>
        <w:spacing w:before="235" w:line="219" w:lineRule="auto"/>
        <w:ind w:left="19"/>
        <w:outlineLvl w:val="1"/>
        <w:rPr>
          <w:rFonts w:ascii="宋体" w:hAnsi="宋体" w:eastAsia="宋体" w:cs="宋体"/>
          <w:sz w:val="28"/>
          <w:szCs w:val="28"/>
        </w:rPr>
      </w:pPr>
      <w:r>
        <w:rPr>
          <w:rFonts w:ascii="Times New Roman" w:hAnsi="Times New Roman" w:eastAsia="Times New Roman" w:cs="Times New Roman"/>
          <w:b/>
          <w:bCs/>
          <w:spacing w:val="-1"/>
          <w:sz w:val="28"/>
          <w:szCs w:val="28"/>
        </w:rPr>
        <w:t>11.1</w:t>
      </w:r>
      <w:r>
        <w:rPr>
          <w:rFonts w:ascii="Times New Roman" w:hAnsi="Times New Roman" w:eastAsia="Times New Roman" w:cs="Times New Roman"/>
          <w:spacing w:val="-1"/>
          <w:sz w:val="28"/>
          <w:szCs w:val="28"/>
        </w:rPr>
        <w:t xml:space="preserve">  </w:t>
      </w:r>
      <w:r>
        <w:rPr>
          <w:rFonts w:ascii="宋体" w:hAnsi="宋体" w:eastAsia="宋体" w:cs="宋体"/>
          <w:spacing w:val="-1"/>
          <w:sz w:val="28"/>
          <w:szCs w:val="28"/>
          <w14:textOutline w14:w="5105" w14:cap="sq" w14:cmpd="sng" w14:algn="ctr">
            <w14:solidFill>
              <w14:srgbClr w14:val="000000"/>
            </w14:solidFill>
            <w14:prstDash w14:val="solid"/>
            <w14:bevel/>
          </w14:textOutline>
        </w:rPr>
        <w:t>环境影响评</w:t>
      </w:r>
      <w:r>
        <w:rPr>
          <w:rFonts w:ascii="宋体" w:hAnsi="宋体" w:eastAsia="宋体" w:cs="宋体"/>
          <w:sz w:val="28"/>
          <w:szCs w:val="28"/>
          <w14:textOutline w14:w="5105" w14:cap="sq" w14:cmpd="sng" w14:algn="ctr">
            <w14:solidFill>
              <w14:srgbClr w14:val="000000"/>
            </w14:solidFill>
            <w14:prstDash w14:val="solid"/>
            <w14:bevel/>
          </w14:textOutline>
        </w:rPr>
        <w:t>价结论</w:t>
      </w:r>
    </w:p>
    <w:p w14:paraId="3100C457">
      <w:pPr>
        <w:spacing w:before="237" w:line="227" w:lineRule="auto"/>
        <w:ind w:left="16"/>
        <w:outlineLvl w:val="2"/>
        <w:rPr>
          <w:rFonts w:ascii="宋体" w:hAnsi="宋体" w:eastAsia="宋体" w:cs="宋体"/>
          <w:sz w:val="23"/>
          <w:szCs w:val="23"/>
        </w:rPr>
      </w:pPr>
      <w:r>
        <w:rPr>
          <w:rFonts w:ascii="Times New Roman" w:hAnsi="Times New Roman" w:eastAsia="Times New Roman" w:cs="Times New Roman"/>
          <w:b/>
          <w:bCs/>
          <w:spacing w:val="8"/>
          <w:sz w:val="23"/>
          <w:szCs w:val="23"/>
        </w:rPr>
        <w:t>11</w:t>
      </w:r>
      <w:r>
        <w:rPr>
          <w:rFonts w:ascii="Times New Roman" w:hAnsi="Times New Roman" w:eastAsia="Times New Roman" w:cs="Times New Roman"/>
          <w:b/>
          <w:bCs/>
          <w:spacing w:val="6"/>
          <w:sz w:val="23"/>
          <w:szCs w:val="23"/>
        </w:rPr>
        <w:t>.</w:t>
      </w:r>
      <w:r>
        <w:rPr>
          <w:rFonts w:ascii="Times New Roman" w:hAnsi="Times New Roman" w:eastAsia="Times New Roman" w:cs="Times New Roman"/>
          <w:b/>
          <w:bCs/>
          <w:spacing w:val="4"/>
          <w:sz w:val="23"/>
          <w:szCs w:val="23"/>
        </w:rPr>
        <w:t>1.1</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14:textOutline w14:w="4356" w14:cap="sq" w14:cmpd="sng" w14:algn="ctr">
            <w14:solidFill>
              <w14:srgbClr w14:val="000000"/>
            </w14:solidFill>
            <w14:prstDash w14:val="solid"/>
            <w14:bevel/>
          </w14:textOutline>
        </w:rPr>
        <w:t>建设项目概况</w:t>
      </w:r>
    </w:p>
    <w:p w14:paraId="05790FE1">
      <w:pPr>
        <w:spacing w:before="182" w:line="376" w:lineRule="auto"/>
        <w:ind w:left="9" w:right="27" w:firstLine="480"/>
        <w:rPr>
          <w:rFonts w:ascii="宋体" w:hAnsi="宋体" w:eastAsia="宋体" w:cs="宋体"/>
          <w:sz w:val="23"/>
          <w:szCs w:val="23"/>
        </w:rPr>
      </w:pPr>
      <w:r>
        <w:rPr>
          <w:rFonts w:ascii="宋体" w:hAnsi="宋体" w:eastAsia="宋体" w:cs="宋体"/>
          <w:spacing w:val="26"/>
          <w:sz w:val="23"/>
          <w:szCs w:val="23"/>
        </w:rPr>
        <w:t>井</w:t>
      </w:r>
      <w:r>
        <w:rPr>
          <w:rFonts w:ascii="宋体" w:hAnsi="宋体" w:eastAsia="宋体" w:cs="宋体"/>
          <w:spacing w:val="14"/>
          <w:sz w:val="23"/>
          <w:szCs w:val="23"/>
        </w:rPr>
        <w:t>研</w:t>
      </w:r>
      <w:r>
        <w:rPr>
          <w:rFonts w:ascii="宋体" w:hAnsi="宋体" w:eastAsia="宋体" w:cs="宋体"/>
          <w:spacing w:val="13"/>
          <w:sz w:val="23"/>
          <w:szCs w:val="23"/>
        </w:rPr>
        <w:t>县丰逸养殖专业合作社拟建丰逸标准化代养场建设项目位于井研县周坡镇周坡村</w:t>
      </w:r>
      <w:r>
        <w:rPr>
          <w:rFonts w:ascii="宋体" w:hAnsi="宋体" w:eastAsia="宋体" w:cs="宋体"/>
          <w:sz w:val="23"/>
          <w:szCs w:val="23"/>
        </w:rPr>
        <w:t xml:space="preserve"> </w:t>
      </w:r>
      <w:r>
        <w:rPr>
          <w:rFonts w:ascii="Times New Roman" w:hAnsi="Times New Roman" w:eastAsia="Times New Roman" w:cs="Times New Roman"/>
          <w:spacing w:val="8"/>
          <w:sz w:val="23"/>
          <w:szCs w:val="23"/>
        </w:rPr>
        <w:t xml:space="preserve">7 </w:t>
      </w:r>
      <w:r>
        <w:rPr>
          <w:rFonts w:ascii="宋体" w:hAnsi="宋体" w:eastAsia="宋体" w:cs="宋体"/>
          <w:spacing w:val="8"/>
          <w:sz w:val="23"/>
          <w:szCs w:val="23"/>
        </w:rPr>
        <w:t>组、</w:t>
      </w:r>
      <w:r>
        <w:rPr>
          <w:rFonts w:ascii="宋体" w:hAnsi="宋体" w:eastAsia="宋体" w:cs="宋体"/>
          <w:spacing w:val="4"/>
          <w:sz w:val="23"/>
          <w:szCs w:val="23"/>
        </w:rPr>
        <w:t xml:space="preserve">龙桥村 </w:t>
      </w:r>
      <w:r>
        <w:rPr>
          <w:rFonts w:ascii="Times New Roman" w:hAnsi="Times New Roman" w:eastAsia="Times New Roman" w:cs="Times New Roman"/>
          <w:spacing w:val="4"/>
          <w:sz w:val="23"/>
          <w:szCs w:val="23"/>
        </w:rPr>
        <w:t xml:space="preserve">2 </w:t>
      </w:r>
      <w:r>
        <w:rPr>
          <w:rFonts w:ascii="宋体" w:hAnsi="宋体" w:eastAsia="宋体" w:cs="宋体"/>
          <w:spacing w:val="4"/>
          <w:sz w:val="23"/>
          <w:szCs w:val="23"/>
        </w:rPr>
        <w:t xml:space="preserve">组，项目占地面积 </w:t>
      </w:r>
      <w:r>
        <w:rPr>
          <w:rFonts w:ascii="Times New Roman" w:hAnsi="Times New Roman" w:eastAsia="Times New Roman" w:cs="Times New Roman"/>
          <w:spacing w:val="4"/>
          <w:sz w:val="23"/>
          <w:szCs w:val="23"/>
        </w:rPr>
        <w:t xml:space="preserve">48. 11 </w:t>
      </w:r>
      <w:r>
        <w:rPr>
          <w:rFonts w:ascii="宋体" w:hAnsi="宋体" w:eastAsia="宋体" w:cs="宋体"/>
          <w:spacing w:val="4"/>
          <w:sz w:val="23"/>
          <w:szCs w:val="23"/>
        </w:rPr>
        <w:t xml:space="preserve">亩，猪场建筑面积 </w:t>
      </w:r>
      <w:r>
        <w:rPr>
          <w:rFonts w:ascii="Times New Roman" w:hAnsi="Times New Roman" w:eastAsia="Times New Roman" w:cs="Times New Roman"/>
          <w:spacing w:val="4"/>
          <w:sz w:val="23"/>
          <w:szCs w:val="23"/>
        </w:rPr>
        <w:t xml:space="preserve">16547.5 </w:t>
      </w:r>
      <w:r>
        <w:rPr>
          <w:rFonts w:ascii="宋体" w:hAnsi="宋体" w:eastAsia="宋体" w:cs="宋体"/>
          <w:spacing w:val="4"/>
          <w:sz w:val="23"/>
          <w:szCs w:val="23"/>
        </w:rPr>
        <w:t>平方米，其中建设标准</w:t>
      </w:r>
      <w:r>
        <w:rPr>
          <w:rFonts w:ascii="宋体" w:hAnsi="宋体" w:eastAsia="宋体" w:cs="宋体"/>
          <w:sz w:val="23"/>
          <w:szCs w:val="23"/>
        </w:rPr>
        <w:t xml:space="preserve"> </w:t>
      </w:r>
      <w:r>
        <w:rPr>
          <w:rFonts w:ascii="宋体" w:hAnsi="宋体" w:eastAsia="宋体" w:cs="宋体"/>
          <w:spacing w:val="8"/>
          <w:sz w:val="23"/>
          <w:szCs w:val="23"/>
        </w:rPr>
        <w:t xml:space="preserve">化圈舍 </w:t>
      </w:r>
      <w:r>
        <w:rPr>
          <w:rFonts w:ascii="Times New Roman" w:hAnsi="Times New Roman" w:eastAsia="Times New Roman" w:cs="Times New Roman"/>
          <w:spacing w:val="8"/>
          <w:sz w:val="23"/>
          <w:szCs w:val="23"/>
        </w:rPr>
        <w:t>14</w:t>
      </w:r>
      <w:r>
        <w:rPr>
          <w:rFonts w:ascii="Times New Roman" w:hAnsi="Times New Roman" w:eastAsia="Times New Roman" w:cs="Times New Roman"/>
          <w:spacing w:val="4"/>
          <w:sz w:val="23"/>
          <w:szCs w:val="23"/>
        </w:rPr>
        <w:t xml:space="preserve">755 </w:t>
      </w:r>
      <w:r>
        <w:rPr>
          <w:rFonts w:ascii="宋体" w:hAnsi="宋体" w:eastAsia="宋体" w:cs="宋体"/>
          <w:spacing w:val="4"/>
          <w:sz w:val="23"/>
          <w:szCs w:val="23"/>
        </w:rPr>
        <w:t xml:space="preserve">平方米，饲料库房 </w:t>
      </w:r>
      <w:r>
        <w:rPr>
          <w:rFonts w:ascii="Times New Roman" w:hAnsi="Times New Roman" w:eastAsia="Times New Roman" w:cs="Times New Roman"/>
          <w:spacing w:val="4"/>
          <w:sz w:val="23"/>
          <w:szCs w:val="23"/>
        </w:rPr>
        <w:t xml:space="preserve">300 </w:t>
      </w:r>
      <w:r>
        <w:rPr>
          <w:rFonts w:ascii="宋体" w:hAnsi="宋体" w:eastAsia="宋体" w:cs="宋体"/>
          <w:spacing w:val="4"/>
          <w:sz w:val="23"/>
          <w:szCs w:val="23"/>
        </w:rPr>
        <w:t xml:space="preserve">平方米，办公室、生活用房 </w:t>
      </w:r>
      <w:r>
        <w:rPr>
          <w:rFonts w:ascii="Times New Roman" w:hAnsi="Times New Roman" w:eastAsia="Times New Roman" w:cs="Times New Roman"/>
          <w:spacing w:val="4"/>
          <w:sz w:val="23"/>
          <w:szCs w:val="23"/>
        </w:rPr>
        <w:t xml:space="preserve">420 </w:t>
      </w:r>
      <w:r>
        <w:rPr>
          <w:rFonts w:ascii="宋体" w:hAnsi="宋体" w:eastAsia="宋体" w:cs="宋体"/>
          <w:spacing w:val="4"/>
          <w:sz w:val="23"/>
          <w:szCs w:val="23"/>
        </w:rPr>
        <w:t xml:space="preserve">平方米，附属用房 </w:t>
      </w:r>
      <w:r>
        <w:rPr>
          <w:rFonts w:ascii="Times New Roman" w:hAnsi="Times New Roman" w:eastAsia="Times New Roman" w:cs="Times New Roman"/>
          <w:spacing w:val="4"/>
          <w:sz w:val="23"/>
          <w:szCs w:val="23"/>
        </w:rPr>
        <w:t>51</w:t>
      </w:r>
      <w:r>
        <w:rPr>
          <w:rFonts w:ascii="Times New Roman" w:hAnsi="Times New Roman" w:eastAsia="Times New Roman" w:cs="Times New Roman"/>
          <w:sz w:val="23"/>
          <w:szCs w:val="23"/>
        </w:rPr>
        <w:t xml:space="preserve"> </w:t>
      </w:r>
      <w:r>
        <w:rPr>
          <w:rFonts w:ascii="宋体" w:hAnsi="宋体" w:eastAsia="宋体" w:cs="宋体"/>
          <w:spacing w:val="12"/>
          <w:sz w:val="23"/>
          <w:szCs w:val="23"/>
        </w:rPr>
        <w:t>平</w:t>
      </w:r>
      <w:r>
        <w:rPr>
          <w:rFonts w:ascii="宋体" w:hAnsi="宋体" w:eastAsia="宋体" w:cs="宋体"/>
          <w:spacing w:val="7"/>
          <w:sz w:val="23"/>
          <w:szCs w:val="23"/>
        </w:rPr>
        <w:t>方米。配置自动化输料、通风、照明、温控有害气体控制等系统以及污水处理、畜禽消毒</w:t>
      </w:r>
      <w:r>
        <w:rPr>
          <w:rFonts w:ascii="宋体" w:hAnsi="宋体" w:eastAsia="宋体" w:cs="宋体"/>
          <w:sz w:val="23"/>
          <w:szCs w:val="23"/>
        </w:rPr>
        <w:t xml:space="preserve"> </w:t>
      </w:r>
      <w:r>
        <w:rPr>
          <w:rFonts w:ascii="宋体" w:hAnsi="宋体" w:eastAsia="宋体" w:cs="宋体"/>
          <w:spacing w:val="7"/>
          <w:sz w:val="23"/>
          <w:szCs w:val="23"/>
        </w:rPr>
        <w:t xml:space="preserve">与无害化处理等设施设备、存栏育肥猪 </w:t>
      </w:r>
      <w:r>
        <w:rPr>
          <w:rFonts w:ascii="Times New Roman" w:hAnsi="Times New Roman" w:eastAsia="Times New Roman" w:cs="Times New Roman"/>
          <w:spacing w:val="7"/>
          <w:sz w:val="23"/>
          <w:szCs w:val="23"/>
        </w:rPr>
        <w:t xml:space="preserve">10400 </w:t>
      </w:r>
      <w:r>
        <w:rPr>
          <w:rFonts w:ascii="宋体" w:hAnsi="宋体" w:eastAsia="宋体" w:cs="宋体"/>
          <w:spacing w:val="7"/>
          <w:sz w:val="23"/>
          <w:szCs w:val="23"/>
        </w:rPr>
        <w:t>头。配套入场道路、场区围墙、排水、供电、</w:t>
      </w:r>
      <w:r>
        <w:rPr>
          <w:rFonts w:ascii="宋体" w:hAnsi="宋体" w:eastAsia="宋体" w:cs="宋体"/>
          <w:sz w:val="23"/>
          <w:szCs w:val="23"/>
        </w:rPr>
        <w:t xml:space="preserve"> </w:t>
      </w:r>
      <w:r>
        <w:rPr>
          <w:rFonts w:ascii="宋体" w:hAnsi="宋体" w:eastAsia="宋体" w:cs="宋体"/>
          <w:spacing w:val="8"/>
          <w:sz w:val="23"/>
          <w:szCs w:val="23"/>
        </w:rPr>
        <w:t>粪污处理</w:t>
      </w:r>
      <w:r>
        <w:rPr>
          <w:rFonts w:ascii="宋体" w:hAnsi="宋体" w:eastAsia="宋体" w:cs="宋体"/>
          <w:spacing w:val="5"/>
          <w:sz w:val="23"/>
          <w:szCs w:val="23"/>
        </w:rPr>
        <w:t>、</w:t>
      </w:r>
      <w:r>
        <w:rPr>
          <w:rFonts w:ascii="宋体" w:hAnsi="宋体" w:eastAsia="宋体" w:cs="宋体"/>
          <w:spacing w:val="4"/>
          <w:sz w:val="23"/>
          <w:szCs w:val="23"/>
        </w:rPr>
        <w:t xml:space="preserve">绿化设施等，工程饲料来源外购，本项目不生产饲料，项目总投资为 </w:t>
      </w:r>
      <w:r>
        <w:rPr>
          <w:rFonts w:ascii="Times New Roman" w:hAnsi="Times New Roman" w:eastAsia="Times New Roman" w:cs="Times New Roman"/>
          <w:spacing w:val="4"/>
          <w:sz w:val="23"/>
          <w:szCs w:val="23"/>
        </w:rPr>
        <w:t xml:space="preserve">2629 </w:t>
      </w:r>
      <w:r>
        <w:rPr>
          <w:rFonts w:ascii="宋体" w:hAnsi="宋体" w:eastAsia="宋体" w:cs="宋体"/>
          <w:spacing w:val="4"/>
          <w:sz w:val="23"/>
          <w:szCs w:val="23"/>
        </w:rPr>
        <w:t>万元。</w:t>
      </w:r>
    </w:p>
    <w:p w14:paraId="1062EF27">
      <w:pPr>
        <w:spacing w:line="227" w:lineRule="auto"/>
        <w:ind w:left="16"/>
        <w:outlineLvl w:val="2"/>
        <w:rPr>
          <w:rFonts w:ascii="宋体" w:hAnsi="宋体" w:eastAsia="宋体" w:cs="宋体"/>
          <w:sz w:val="23"/>
          <w:szCs w:val="23"/>
        </w:rPr>
      </w:pPr>
      <w:r>
        <w:rPr>
          <w:rFonts w:ascii="Times New Roman" w:hAnsi="Times New Roman" w:eastAsia="Times New Roman" w:cs="Times New Roman"/>
          <w:b/>
          <w:bCs/>
          <w:spacing w:val="12"/>
          <w:sz w:val="23"/>
          <w:szCs w:val="23"/>
        </w:rPr>
        <w:t>11</w:t>
      </w:r>
      <w:r>
        <w:rPr>
          <w:rFonts w:ascii="Times New Roman" w:hAnsi="Times New Roman" w:eastAsia="Times New Roman" w:cs="Times New Roman"/>
          <w:b/>
          <w:bCs/>
          <w:spacing w:val="6"/>
          <w:sz w:val="23"/>
          <w:szCs w:val="23"/>
        </w:rPr>
        <w:t>.1.2</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产业政策、规划及选址结论</w:t>
      </w:r>
    </w:p>
    <w:p w14:paraId="3E7D586D">
      <w:pPr>
        <w:spacing w:before="184" w:line="303" w:lineRule="exact"/>
        <w:ind w:left="496"/>
        <w:rPr>
          <w:rFonts w:ascii="宋体" w:hAnsi="宋体" w:eastAsia="宋体" w:cs="宋体"/>
          <w:sz w:val="23"/>
          <w:szCs w:val="23"/>
        </w:rPr>
      </w:pPr>
      <w:r>
        <w:rPr>
          <w:rFonts w:ascii="Times New Roman" w:hAnsi="Times New Roman" w:eastAsia="Times New Roman" w:cs="Times New Roman"/>
          <w:b/>
          <w:bCs/>
          <w:spacing w:val="5"/>
          <w:position w:val="1"/>
          <w:sz w:val="23"/>
          <w:szCs w:val="23"/>
        </w:rPr>
        <w:t>1</w:t>
      </w:r>
      <w:r>
        <w:rPr>
          <w:rFonts w:ascii="Times New Roman" w:hAnsi="Times New Roman" w:eastAsia="Times New Roman" w:cs="Times New Roman"/>
          <w:spacing w:val="3"/>
          <w:position w:val="1"/>
          <w:sz w:val="23"/>
          <w:szCs w:val="23"/>
        </w:rPr>
        <w:t xml:space="preserve"> </w:t>
      </w:r>
      <w:r>
        <w:rPr>
          <w:rFonts w:ascii="宋体" w:hAnsi="宋体" w:eastAsia="宋体" w:cs="宋体"/>
          <w:spacing w:val="3"/>
          <w:position w:val="1"/>
          <w:sz w:val="23"/>
          <w:szCs w:val="23"/>
          <w14:textOutline w14:w="4356" w14:cap="sq" w14:cmpd="sng" w14:algn="ctr">
            <w14:solidFill>
              <w14:srgbClr w14:val="000000"/>
            </w14:solidFill>
            <w14:prstDash w14:val="solid"/>
            <w14:bevel/>
          </w14:textOutline>
        </w:rPr>
        <w:t>、产业政策符合性分析</w:t>
      </w:r>
    </w:p>
    <w:p w14:paraId="69B61C58">
      <w:pPr>
        <w:tabs>
          <w:tab w:val="left" w:pos="136"/>
        </w:tabs>
        <w:spacing w:before="164" w:line="375" w:lineRule="auto"/>
        <w:ind w:left="11" w:right="30" w:firstLine="494"/>
        <w:rPr>
          <w:rFonts w:ascii="宋体" w:hAnsi="宋体" w:eastAsia="宋体" w:cs="宋体"/>
          <w:sz w:val="23"/>
          <w:szCs w:val="23"/>
        </w:rPr>
      </w:pPr>
      <w:r>
        <w:rPr>
          <w:rFonts w:ascii="宋体" w:hAnsi="宋体" w:eastAsia="宋体" w:cs="宋体"/>
          <w:spacing w:val="-7"/>
          <w:sz w:val="23"/>
          <w:szCs w:val="23"/>
        </w:rPr>
        <w:t>本</w:t>
      </w:r>
      <w:r>
        <w:rPr>
          <w:rFonts w:ascii="宋体" w:hAnsi="宋体" w:eastAsia="宋体" w:cs="宋体"/>
          <w:spacing w:val="-36"/>
          <w:sz w:val="23"/>
          <w:szCs w:val="23"/>
        </w:rPr>
        <w:t xml:space="preserve"> </w:t>
      </w:r>
      <w:r>
        <w:rPr>
          <w:rFonts w:ascii="宋体" w:hAnsi="宋体" w:eastAsia="宋体" w:cs="宋体"/>
          <w:spacing w:val="-7"/>
          <w:sz w:val="23"/>
          <w:szCs w:val="23"/>
        </w:rPr>
        <w:t>项</w:t>
      </w:r>
      <w:r>
        <w:rPr>
          <w:rFonts w:ascii="宋体" w:hAnsi="宋体" w:eastAsia="宋体" w:cs="宋体"/>
          <w:spacing w:val="-19"/>
          <w:sz w:val="23"/>
          <w:szCs w:val="23"/>
        </w:rPr>
        <w:t xml:space="preserve"> </w:t>
      </w:r>
      <w:r>
        <w:rPr>
          <w:rFonts w:ascii="宋体" w:hAnsi="宋体" w:eastAsia="宋体" w:cs="宋体"/>
          <w:spacing w:val="-7"/>
          <w:sz w:val="23"/>
          <w:szCs w:val="23"/>
        </w:rPr>
        <w:t>目</w:t>
      </w:r>
      <w:r>
        <w:rPr>
          <w:rFonts w:ascii="宋体" w:hAnsi="宋体" w:eastAsia="宋体" w:cs="宋体"/>
          <w:spacing w:val="-60"/>
          <w:sz w:val="23"/>
          <w:szCs w:val="23"/>
        </w:rPr>
        <w:t xml:space="preserve"> </w:t>
      </w:r>
      <w:r>
        <w:rPr>
          <w:rFonts w:ascii="宋体" w:hAnsi="宋体" w:eastAsia="宋体" w:cs="宋体"/>
          <w:spacing w:val="-7"/>
          <w:sz w:val="23"/>
          <w:szCs w:val="23"/>
        </w:rPr>
        <w:t>为</w:t>
      </w:r>
      <w:r>
        <w:rPr>
          <w:rFonts w:ascii="宋体" w:hAnsi="宋体" w:eastAsia="宋体" w:cs="宋体"/>
          <w:spacing w:val="-61"/>
          <w:sz w:val="23"/>
          <w:szCs w:val="23"/>
        </w:rPr>
        <w:t xml:space="preserve"> </w:t>
      </w:r>
      <w:r>
        <w:rPr>
          <w:rFonts w:ascii="宋体" w:hAnsi="宋体" w:eastAsia="宋体" w:cs="宋体"/>
          <w:spacing w:val="-7"/>
          <w:sz w:val="23"/>
          <w:szCs w:val="23"/>
        </w:rPr>
        <w:t>生</w:t>
      </w:r>
      <w:r>
        <w:rPr>
          <w:rFonts w:ascii="宋体" w:hAnsi="宋体" w:eastAsia="宋体" w:cs="宋体"/>
          <w:spacing w:val="-64"/>
          <w:sz w:val="23"/>
          <w:szCs w:val="23"/>
        </w:rPr>
        <w:t xml:space="preserve"> </w:t>
      </w:r>
      <w:r>
        <w:rPr>
          <w:rFonts w:ascii="宋体" w:hAnsi="宋体" w:eastAsia="宋体" w:cs="宋体"/>
          <w:spacing w:val="-7"/>
          <w:sz w:val="23"/>
          <w:szCs w:val="23"/>
        </w:rPr>
        <w:t>猪</w:t>
      </w:r>
      <w:r>
        <w:rPr>
          <w:rFonts w:ascii="宋体" w:hAnsi="宋体" w:eastAsia="宋体" w:cs="宋体"/>
          <w:spacing w:val="-62"/>
          <w:sz w:val="23"/>
          <w:szCs w:val="23"/>
        </w:rPr>
        <w:t xml:space="preserve"> </w:t>
      </w:r>
      <w:r>
        <w:rPr>
          <w:rFonts w:ascii="宋体" w:hAnsi="宋体" w:eastAsia="宋体" w:cs="宋体"/>
          <w:spacing w:val="-7"/>
          <w:sz w:val="23"/>
          <w:szCs w:val="23"/>
        </w:rPr>
        <w:t>标</w:t>
      </w:r>
      <w:r>
        <w:rPr>
          <w:rFonts w:ascii="宋体" w:hAnsi="宋体" w:eastAsia="宋体" w:cs="宋体"/>
          <w:spacing w:val="-63"/>
          <w:sz w:val="23"/>
          <w:szCs w:val="23"/>
        </w:rPr>
        <w:t xml:space="preserve"> </w:t>
      </w:r>
      <w:r>
        <w:rPr>
          <w:rFonts w:ascii="宋体" w:hAnsi="宋体" w:eastAsia="宋体" w:cs="宋体"/>
          <w:spacing w:val="-7"/>
          <w:sz w:val="23"/>
          <w:szCs w:val="23"/>
        </w:rPr>
        <w:t>准</w:t>
      </w:r>
      <w:r>
        <w:rPr>
          <w:rFonts w:ascii="宋体" w:hAnsi="宋体" w:eastAsia="宋体" w:cs="宋体"/>
          <w:spacing w:val="-61"/>
          <w:sz w:val="23"/>
          <w:szCs w:val="23"/>
        </w:rPr>
        <w:t xml:space="preserve"> </w:t>
      </w:r>
      <w:r>
        <w:rPr>
          <w:rFonts w:ascii="宋体" w:hAnsi="宋体" w:eastAsia="宋体" w:cs="宋体"/>
          <w:spacing w:val="-7"/>
          <w:sz w:val="23"/>
          <w:szCs w:val="23"/>
        </w:rPr>
        <w:t>化</w:t>
      </w:r>
      <w:r>
        <w:rPr>
          <w:rFonts w:ascii="宋体" w:hAnsi="宋体" w:eastAsia="宋体" w:cs="宋体"/>
          <w:spacing w:val="-62"/>
          <w:sz w:val="23"/>
          <w:szCs w:val="23"/>
        </w:rPr>
        <w:t xml:space="preserve"> </w:t>
      </w:r>
      <w:r>
        <w:rPr>
          <w:rFonts w:ascii="宋体" w:hAnsi="宋体" w:eastAsia="宋体" w:cs="宋体"/>
          <w:spacing w:val="-7"/>
          <w:sz w:val="23"/>
          <w:szCs w:val="23"/>
        </w:rPr>
        <w:t>规</w:t>
      </w:r>
      <w:r>
        <w:rPr>
          <w:rFonts w:ascii="宋体" w:hAnsi="宋体" w:eastAsia="宋体" w:cs="宋体"/>
          <w:spacing w:val="-66"/>
          <w:sz w:val="23"/>
          <w:szCs w:val="23"/>
        </w:rPr>
        <w:t xml:space="preserve"> </w:t>
      </w:r>
      <w:r>
        <w:rPr>
          <w:rFonts w:ascii="宋体" w:hAnsi="宋体" w:eastAsia="宋体" w:cs="宋体"/>
          <w:spacing w:val="-7"/>
          <w:sz w:val="23"/>
          <w:szCs w:val="23"/>
        </w:rPr>
        <w:t>模</w:t>
      </w:r>
      <w:r>
        <w:rPr>
          <w:rFonts w:ascii="宋体" w:hAnsi="宋体" w:eastAsia="宋体" w:cs="宋体"/>
          <w:spacing w:val="-61"/>
          <w:sz w:val="23"/>
          <w:szCs w:val="23"/>
        </w:rPr>
        <w:t xml:space="preserve"> </w:t>
      </w:r>
      <w:r>
        <w:rPr>
          <w:rFonts w:ascii="宋体" w:hAnsi="宋体" w:eastAsia="宋体" w:cs="宋体"/>
          <w:spacing w:val="-7"/>
          <w:sz w:val="23"/>
          <w:szCs w:val="23"/>
        </w:rPr>
        <w:t>养</w:t>
      </w:r>
      <w:r>
        <w:rPr>
          <w:rFonts w:ascii="宋体" w:hAnsi="宋体" w:eastAsia="宋体" w:cs="宋体"/>
          <w:spacing w:val="-62"/>
          <w:sz w:val="23"/>
          <w:szCs w:val="23"/>
        </w:rPr>
        <w:t xml:space="preserve"> </w:t>
      </w:r>
      <w:r>
        <w:rPr>
          <w:rFonts w:ascii="宋体" w:hAnsi="宋体" w:eastAsia="宋体" w:cs="宋体"/>
          <w:spacing w:val="-7"/>
          <w:sz w:val="23"/>
          <w:szCs w:val="23"/>
        </w:rPr>
        <w:t>殖</w:t>
      </w:r>
      <w:r>
        <w:rPr>
          <w:rFonts w:ascii="宋体" w:hAnsi="宋体" w:eastAsia="宋体" w:cs="宋体"/>
          <w:spacing w:val="-62"/>
          <w:sz w:val="23"/>
          <w:szCs w:val="23"/>
        </w:rPr>
        <w:t xml:space="preserve"> </w:t>
      </w:r>
      <w:r>
        <w:rPr>
          <w:rFonts w:ascii="宋体" w:hAnsi="宋体" w:eastAsia="宋体" w:cs="宋体"/>
          <w:spacing w:val="-7"/>
          <w:sz w:val="23"/>
          <w:szCs w:val="23"/>
        </w:rPr>
        <w:t>建</w:t>
      </w:r>
      <w:r>
        <w:rPr>
          <w:rFonts w:ascii="宋体" w:hAnsi="宋体" w:eastAsia="宋体" w:cs="宋体"/>
          <w:spacing w:val="-58"/>
          <w:sz w:val="23"/>
          <w:szCs w:val="23"/>
        </w:rPr>
        <w:t xml:space="preserve"> </w:t>
      </w:r>
      <w:r>
        <w:rPr>
          <w:rFonts w:ascii="宋体" w:hAnsi="宋体" w:eastAsia="宋体" w:cs="宋体"/>
          <w:spacing w:val="-7"/>
          <w:sz w:val="23"/>
          <w:szCs w:val="23"/>
        </w:rPr>
        <w:t>设</w:t>
      </w:r>
      <w:r>
        <w:rPr>
          <w:rFonts w:ascii="宋体" w:hAnsi="宋体" w:eastAsia="宋体" w:cs="宋体"/>
          <w:spacing w:val="-59"/>
          <w:sz w:val="23"/>
          <w:szCs w:val="23"/>
        </w:rPr>
        <w:t xml:space="preserve"> </w:t>
      </w:r>
      <w:r>
        <w:rPr>
          <w:rFonts w:ascii="宋体" w:hAnsi="宋体" w:eastAsia="宋体" w:cs="宋体"/>
          <w:spacing w:val="-7"/>
          <w:sz w:val="23"/>
          <w:szCs w:val="23"/>
        </w:rPr>
        <w:t>项</w:t>
      </w:r>
      <w:r>
        <w:rPr>
          <w:rFonts w:ascii="宋体" w:hAnsi="宋体" w:eastAsia="宋体" w:cs="宋体"/>
          <w:spacing w:val="-19"/>
          <w:sz w:val="23"/>
          <w:szCs w:val="23"/>
        </w:rPr>
        <w:t xml:space="preserve"> </w:t>
      </w:r>
      <w:r>
        <w:rPr>
          <w:rFonts w:ascii="宋体" w:hAnsi="宋体" w:eastAsia="宋体" w:cs="宋体"/>
          <w:spacing w:val="-7"/>
          <w:sz w:val="23"/>
          <w:szCs w:val="23"/>
        </w:rPr>
        <w:t>目</w:t>
      </w:r>
      <w:r>
        <w:rPr>
          <w:rFonts w:ascii="宋体" w:hAnsi="宋体" w:eastAsia="宋体" w:cs="宋体"/>
          <w:spacing w:val="-43"/>
          <w:sz w:val="23"/>
          <w:szCs w:val="23"/>
        </w:rPr>
        <w:t xml:space="preserve"> </w:t>
      </w:r>
      <w:r>
        <w:rPr>
          <w:rFonts w:ascii="宋体" w:hAnsi="宋体" w:eastAsia="宋体" w:cs="宋体"/>
          <w:spacing w:val="-7"/>
          <w:sz w:val="23"/>
          <w:szCs w:val="23"/>
        </w:rPr>
        <w:t>，</w:t>
      </w:r>
      <w:r>
        <w:rPr>
          <w:rFonts w:ascii="宋体" w:hAnsi="宋体" w:eastAsia="宋体" w:cs="宋体"/>
          <w:spacing w:val="-57"/>
          <w:sz w:val="23"/>
          <w:szCs w:val="23"/>
        </w:rPr>
        <w:t xml:space="preserve"> </w:t>
      </w:r>
      <w:r>
        <w:rPr>
          <w:rFonts w:ascii="宋体" w:hAnsi="宋体" w:eastAsia="宋体" w:cs="宋体"/>
          <w:spacing w:val="-7"/>
          <w:sz w:val="23"/>
          <w:szCs w:val="23"/>
        </w:rPr>
        <w:t>根</w:t>
      </w:r>
      <w:r>
        <w:rPr>
          <w:rFonts w:ascii="宋体" w:hAnsi="宋体" w:eastAsia="宋体" w:cs="宋体"/>
          <w:spacing w:val="-63"/>
          <w:sz w:val="23"/>
          <w:szCs w:val="23"/>
        </w:rPr>
        <w:t xml:space="preserve"> </w:t>
      </w:r>
      <w:r>
        <w:rPr>
          <w:rFonts w:ascii="宋体" w:hAnsi="宋体" w:eastAsia="宋体" w:cs="宋体"/>
          <w:spacing w:val="-7"/>
          <w:sz w:val="23"/>
          <w:szCs w:val="23"/>
        </w:rPr>
        <w:t>据</w:t>
      </w:r>
      <w:r>
        <w:rPr>
          <w:rFonts w:ascii="宋体" w:hAnsi="宋体" w:eastAsia="宋体" w:cs="宋体"/>
          <w:spacing w:val="-67"/>
          <w:sz w:val="23"/>
          <w:szCs w:val="23"/>
        </w:rPr>
        <w:t xml:space="preserve"> </w:t>
      </w:r>
      <w:r>
        <w:rPr>
          <w:rFonts w:ascii="宋体" w:hAnsi="宋体" w:eastAsia="宋体" w:cs="宋体"/>
          <w:spacing w:val="-7"/>
          <w:sz w:val="23"/>
          <w:szCs w:val="23"/>
        </w:rPr>
        <w:t>《</w:t>
      </w:r>
      <w:r>
        <w:rPr>
          <w:rFonts w:ascii="宋体" w:hAnsi="宋体" w:eastAsia="宋体" w:cs="宋体"/>
          <w:spacing w:val="-18"/>
          <w:sz w:val="23"/>
          <w:szCs w:val="23"/>
        </w:rPr>
        <w:t xml:space="preserve"> </w:t>
      </w:r>
      <w:r>
        <w:rPr>
          <w:rFonts w:ascii="宋体" w:hAnsi="宋体" w:eastAsia="宋体" w:cs="宋体"/>
          <w:spacing w:val="-7"/>
          <w:sz w:val="23"/>
          <w:szCs w:val="23"/>
        </w:rPr>
        <w:t>国</w:t>
      </w:r>
      <w:r>
        <w:rPr>
          <w:rFonts w:ascii="宋体" w:hAnsi="宋体" w:eastAsia="宋体" w:cs="宋体"/>
          <w:spacing w:val="-39"/>
          <w:sz w:val="23"/>
          <w:szCs w:val="23"/>
        </w:rPr>
        <w:t xml:space="preserve"> </w:t>
      </w:r>
      <w:r>
        <w:rPr>
          <w:rFonts w:ascii="宋体" w:hAnsi="宋体" w:eastAsia="宋体" w:cs="宋体"/>
          <w:spacing w:val="-7"/>
          <w:sz w:val="23"/>
          <w:szCs w:val="23"/>
        </w:rPr>
        <w:t>民</w:t>
      </w:r>
      <w:r>
        <w:rPr>
          <w:rFonts w:ascii="宋体" w:hAnsi="宋体" w:eastAsia="宋体" w:cs="宋体"/>
          <w:spacing w:val="-60"/>
          <w:sz w:val="23"/>
          <w:szCs w:val="23"/>
        </w:rPr>
        <w:t xml:space="preserve"> </w:t>
      </w:r>
      <w:r>
        <w:rPr>
          <w:rFonts w:ascii="宋体" w:hAnsi="宋体" w:eastAsia="宋体" w:cs="宋体"/>
          <w:spacing w:val="-7"/>
          <w:sz w:val="23"/>
          <w:szCs w:val="23"/>
        </w:rPr>
        <w:t>经</w:t>
      </w:r>
      <w:r>
        <w:rPr>
          <w:rFonts w:ascii="宋体" w:hAnsi="宋体" w:eastAsia="宋体" w:cs="宋体"/>
          <w:spacing w:val="-64"/>
          <w:sz w:val="23"/>
          <w:szCs w:val="23"/>
        </w:rPr>
        <w:t xml:space="preserve"> </w:t>
      </w:r>
      <w:r>
        <w:rPr>
          <w:rFonts w:ascii="宋体" w:hAnsi="宋体" w:eastAsia="宋体" w:cs="宋体"/>
          <w:spacing w:val="-7"/>
          <w:sz w:val="23"/>
          <w:szCs w:val="23"/>
        </w:rPr>
        <w:t>济</w:t>
      </w:r>
      <w:r>
        <w:rPr>
          <w:rFonts w:ascii="宋体" w:hAnsi="宋体" w:eastAsia="宋体" w:cs="宋体"/>
          <w:spacing w:val="-59"/>
          <w:sz w:val="23"/>
          <w:szCs w:val="23"/>
        </w:rPr>
        <w:t xml:space="preserve"> </w:t>
      </w:r>
      <w:r>
        <w:rPr>
          <w:rFonts w:ascii="宋体" w:hAnsi="宋体" w:eastAsia="宋体" w:cs="宋体"/>
          <w:spacing w:val="-7"/>
          <w:sz w:val="23"/>
          <w:szCs w:val="23"/>
        </w:rPr>
        <w:t>行</w:t>
      </w:r>
      <w:r>
        <w:rPr>
          <w:rFonts w:ascii="宋体" w:hAnsi="宋体" w:eastAsia="宋体" w:cs="宋体"/>
          <w:spacing w:val="-65"/>
          <w:sz w:val="23"/>
          <w:szCs w:val="23"/>
        </w:rPr>
        <w:t xml:space="preserve"> </w:t>
      </w:r>
      <w:r>
        <w:rPr>
          <w:rFonts w:ascii="宋体" w:hAnsi="宋体" w:eastAsia="宋体" w:cs="宋体"/>
          <w:spacing w:val="-7"/>
          <w:sz w:val="23"/>
          <w:szCs w:val="23"/>
        </w:rPr>
        <w:t>业</w:t>
      </w:r>
      <w:r>
        <w:rPr>
          <w:rFonts w:ascii="宋体" w:hAnsi="宋体" w:eastAsia="宋体" w:cs="宋体"/>
          <w:spacing w:val="-60"/>
          <w:sz w:val="23"/>
          <w:szCs w:val="23"/>
        </w:rPr>
        <w:t xml:space="preserve"> </w:t>
      </w:r>
      <w:r>
        <w:rPr>
          <w:rFonts w:ascii="宋体" w:hAnsi="宋体" w:eastAsia="宋体" w:cs="宋体"/>
          <w:spacing w:val="-7"/>
          <w:sz w:val="23"/>
          <w:szCs w:val="23"/>
        </w:rPr>
        <w:t>分</w:t>
      </w:r>
      <w:r>
        <w:rPr>
          <w:rFonts w:ascii="宋体" w:hAnsi="宋体" w:eastAsia="宋体" w:cs="宋体"/>
          <w:spacing w:val="-62"/>
          <w:sz w:val="23"/>
          <w:szCs w:val="23"/>
        </w:rPr>
        <w:t xml:space="preserve"> </w:t>
      </w:r>
      <w:r>
        <w:rPr>
          <w:rFonts w:ascii="宋体" w:hAnsi="宋体" w:eastAsia="宋体" w:cs="宋体"/>
          <w:spacing w:val="-7"/>
          <w:sz w:val="23"/>
          <w:szCs w:val="23"/>
        </w:rPr>
        <w:t>类</w:t>
      </w:r>
      <w:r>
        <w:rPr>
          <w:rFonts w:ascii="宋体" w:hAnsi="宋体" w:eastAsia="宋体" w:cs="宋体"/>
          <w:spacing w:val="-60"/>
          <w:sz w:val="23"/>
          <w:szCs w:val="23"/>
        </w:rPr>
        <w:t xml:space="preserve"> </w:t>
      </w:r>
      <w:r>
        <w:rPr>
          <w:rFonts w:ascii="宋体" w:hAnsi="宋体" w:eastAsia="宋体" w:cs="宋体"/>
          <w:spacing w:val="-7"/>
          <w:sz w:val="23"/>
          <w:szCs w:val="23"/>
        </w:rPr>
        <w:t>与</w:t>
      </w:r>
      <w:r>
        <w:rPr>
          <w:rFonts w:ascii="宋体" w:hAnsi="宋体" w:eastAsia="宋体" w:cs="宋体"/>
          <w:spacing w:val="-64"/>
          <w:sz w:val="23"/>
          <w:szCs w:val="23"/>
        </w:rPr>
        <w:t xml:space="preserve"> </w:t>
      </w:r>
      <w:r>
        <w:rPr>
          <w:rFonts w:ascii="宋体" w:hAnsi="宋体" w:eastAsia="宋体" w:cs="宋体"/>
          <w:spacing w:val="-7"/>
          <w:sz w:val="23"/>
          <w:szCs w:val="23"/>
        </w:rPr>
        <w:t>代</w:t>
      </w:r>
      <w:r>
        <w:rPr>
          <w:rFonts w:ascii="宋体" w:hAnsi="宋体" w:eastAsia="宋体" w:cs="宋体"/>
          <w:spacing w:val="-63"/>
          <w:sz w:val="23"/>
          <w:szCs w:val="23"/>
        </w:rPr>
        <w:t xml:space="preserve"> </w:t>
      </w:r>
      <w:r>
        <w:rPr>
          <w:rFonts w:ascii="宋体" w:hAnsi="宋体" w:eastAsia="宋体" w:cs="宋体"/>
          <w:spacing w:val="-7"/>
          <w:sz w:val="23"/>
          <w:szCs w:val="23"/>
        </w:rPr>
        <w:t>码</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18"/>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18"/>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18"/>
          <w:sz w:val="23"/>
          <w:szCs w:val="23"/>
        </w:rPr>
        <w:t>4</w:t>
      </w:r>
      <w:r>
        <w:rPr>
          <w:rFonts w:ascii="Times New Roman" w:hAnsi="Times New Roman" w:eastAsia="Times New Roman" w:cs="Times New Roman"/>
          <w:spacing w:val="17"/>
          <w:sz w:val="23"/>
          <w:szCs w:val="23"/>
        </w:rPr>
        <w:t>7</w:t>
      </w:r>
      <w:r>
        <w:rPr>
          <w:rFonts w:ascii="Times New Roman" w:hAnsi="Times New Roman" w:eastAsia="Times New Roman" w:cs="Times New Roman"/>
          <w:spacing w:val="9"/>
          <w:sz w:val="23"/>
          <w:szCs w:val="23"/>
        </w:rPr>
        <w:t>54-2017</w:t>
      </w:r>
      <w:r>
        <w:rPr>
          <w:rFonts w:ascii="宋体" w:hAnsi="宋体" w:eastAsia="宋体" w:cs="宋体"/>
          <w:spacing w:val="9"/>
          <w:sz w:val="23"/>
          <w:szCs w:val="23"/>
        </w:rPr>
        <w:t xml:space="preserve">) 》 ，项目属于 </w:t>
      </w:r>
      <w:r>
        <w:rPr>
          <w:rFonts w:ascii="Times New Roman" w:hAnsi="Times New Roman" w:eastAsia="Times New Roman" w:cs="Times New Roman"/>
          <w:sz w:val="23"/>
          <w:szCs w:val="23"/>
        </w:rPr>
        <w:t>A</w:t>
      </w:r>
      <w:r>
        <w:rPr>
          <w:rFonts w:ascii="Times New Roman" w:hAnsi="Times New Roman" w:eastAsia="Times New Roman" w:cs="Times New Roman"/>
          <w:spacing w:val="9"/>
          <w:sz w:val="23"/>
          <w:szCs w:val="23"/>
        </w:rPr>
        <w:t xml:space="preserve">0313 </w:t>
      </w:r>
      <w:r>
        <w:rPr>
          <w:rFonts w:ascii="宋体" w:hAnsi="宋体" w:eastAsia="宋体" w:cs="宋体"/>
          <w:spacing w:val="9"/>
          <w:sz w:val="23"/>
          <w:szCs w:val="23"/>
        </w:rPr>
        <w:t>猪的饲养，为《产业结构调整指导 目录 (</w:t>
      </w:r>
      <w:r>
        <w:rPr>
          <w:rFonts w:ascii="Times New Roman" w:hAnsi="Times New Roman" w:eastAsia="Times New Roman" w:cs="Times New Roman"/>
          <w:spacing w:val="9"/>
          <w:sz w:val="23"/>
          <w:szCs w:val="23"/>
        </w:rPr>
        <w:t>2011</w:t>
      </w:r>
      <w:r>
        <w:rPr>
          <w:rFonts w:ascii="Times New Roman" w:hAnsi="Times New Roman" w:eastAsia="Times New Roman" w:cs="Times New Roman"/>
          <w:sz w:val="23"/>
          <w:szCs w:val="23"/>
        </w:rPr>
        <w:t xml:space="preserve"> </w:t>
      </w:r>
      <w:r>
        <w:rPr>
          <w:rFonts w:ascii="宋体" w:hAnsi="宋体" w:eastAsia="宋体" w:cs="宋体"/>
          <w:spacing w:val="16"/>
          <w:sz w:val="23"/>
          <w:szCs w:val="23"/>
        </w:rPr>
        <w:t>年本</w:t>
      </w:r>
      <w:r>
        <w:rPr>
          <w:rFonts w:ascii="宋体" w:hAnsi="宋体" w:eastAsia="宋体" w:cs="宋体"/>
          <w:spacing w:val="15"/>
          <w:sz w:val="23"/>
          <w:szCs w:val="23"/>
        </w:rPr>
        <w:t>)</w:t>
      </w:r>
      <w:r>
        <w:rPr>
          <w:rFonts w:ascii="宋体" w:hAnsi="宋体" w:eastAsia="宋体" w:cs="宋体"/>
          <w:spacing w:val="8"/>
          <w:sz w:val="23"/>
          <w:szCs w:val="23"/>
        </w:rPr>
        <w:t xml:space="preserve"> 》  (</w:t>
      </w:r>
      <w:r>
        <w:rPr>
          <w:rFonts w:ascii="Times New Roman" w:hAnsi="Times New Roman" w:eastAsia="Times New Roman" w:cs="Times New Roman"/>
          <w:spacing w:val="8"/>
          <w:sz w:val="23"/>
          <w:szCs w:val="23"/>
        </w:rPr>
        <w:t xml:space="preserve">2013 </w:t>
      </w:r>
      <w:r>
        <w:rPr>
          <w:rFonts w:ascii="宋体" w:hAnsi="宋体" w:eastAsia="宋体" w:cs="宋体"/>
          <w:spacing w:val="8"/>
          <w:sz w:val="23"/>
          <w:szCs w:val="23"/>
        </w:rPr>
        <w:t>年修订) 中的第一类</w:t>
      </w:r>
      <w:r>
        <w:rPr>
          <w:rFonts w:ascii="宋体" w:hAnsi="宋体" w:eastAsia="宋体" w:cs="宋体"/>
          <w:spacing w:val="8"/>
          <w:sz w:val="23"/>
          <w:szCs w:val="23"/>
          <w14:textOutline w14:w="4356" w14:cap="sq" w14:cmpd="sng" w14:algn="ctr">
            <w14:solidFill>
              <w14:srgbClr w14:val="000000"/>
            </w14:solidFill>
            <w14:prstDash w14:val="solid"/>
            <w14:bevel/>
          </w14:textOutline>
        </w:rPr>
        <w:t>鼓励类</w:t>
      </w:r>
      <w:r>
        <w:rPr>
          <w:rFonts w:ascii="宋体" w:hAnsi="宋体" w:eastAsia="宋体" w:cs="宋体"/>
          <w:spacing w:val="8"/>
          <w:sz w:val="23"/>
          <w:szCs w:val="23"/>
        </w:rPr>
        <w:t xml:space="preserve"> 一、农林业中的</w:t>
      </w:r>
      <w:r>
        <w:rPr>
          <w:rFonts w:ascii="Times New Roman" w:hAnsi="Times New Roman" w:eastAsia="Times New Roman" w:cs="Times New Roman"/>
          <w:spacing w:val="8"/>
          <w:sz w:val="23"/>
          <w:szCs w:val="23"/>
        </w:rPr>
        <w:t xml:space="preserve">“5 </w:t>
      </w:r>
      <w:r>
        <w:rPr>
          <w:rFonts w:ascii="宋体" w:hAnsi="宋体" w:eastAsia="宋体" w:cs="宋体"/>
          <w:spacing w:val="8"/>
          <w:sz w:val="23"/>
          <w:szCs w:val="23"/>
        </w:rPr>
        <w:t>、畜禽标准化规模养殖技</w:t>
      </w:r>
      <w:r>
        <w:rPr>
          <w:rFonts w:ascii="宋体" w:hAnsi="宋体" w:eastAsia="宋体" w:cs="宋体"/>
          <w:sz w:val="23"/>
          <w:szCs w:val="23"/>
        </w:rPr>
        <w:t xml:space="preserve"> </w:t>
      </w:r>
      <w:r>
        <w:rPr>
          <w:rFonts w:ascii="宋体" w:hAnsi="宋体" w:eastAsia="宋体" w:cs="宋体"/>
          <w:spacing w:val="21"/>
          <w:sz w:val="23"/>
          <w:szCs w:val="23"/>
        </w:rPr>
        <w:t>术</w:t>
      </w:r>
      <w:r>
        <w:rPr>
          <w:rFonts w:ascii="宋体" w:hAnsi="宋体" w:eastAsia="宋体" w:cs="宋体"/>
          <w:spacing w:val="12"/>
          <w:sz w:val="23"/>
          <w:szCs w:val="23"/>
        </w:rPr>
        <w:t>开发与应用</w:t>
      </w:r>
      <w:r>
        <w:rPr>
          <w:rFonts w:ascii="Times New Roman" w:hAnsi="Times New Roman" w:eastAsia="Times New Roman" w:cs="Times New Roman"/>
          <w:spacing w:val="12"/>
          <w:sz w:val="23"/>
          <w:szCs w:val="23"/>
        </w:rPr>
        <w:t>”</w:t>
      </w:r>
      <w:r>
        <w:rPr>
          <w:rFonts w:ascii="宋体" w:hAnsi="宋体" w:eastAsia="宋体" w:cs="宋体"/>
          <w:spacing w:val="12"/>
          <w:sz w:val="23"/>
          <w:szCs w:val="23"/>
        </w:rPr>
        <w:t>，为国家鼓励类项目，不属于限制类或淘汰类，符合国家产业政策的要求。</w:t>
      </w:r>
    </w:p>
    <w:p w14:paraId="0A6A5881">
      <w:pPr>
        <w:spacing w:before="3" w:line="376" w:lineRule="auto"/>
        <w:ind w:left="3" w:right="108" w:firstLine="509"/>
        <w:rPr>
          <w:rFonts w:ascii="宋体" w:hAnsi="宋体" w:eastAsia="宋体" w:cs="宋体"/>
          <w:sz w:val="23"/>
          <w:szCs w:val="23"/>
        </w:rPr>
      </w:pPr>
      <w:r>
        <w:rPr>
          <w:rFonts w:ascii="宋体" w:hAnsi="宋体" w:eastAsia="宋体" w:cs="宋体"/>
          <w:spacing w:val="8"/>
          <w:sz w:val="23"/>
          <w:szCs w:val="23"/>
        </w:rPr>
        <w:t>同时，</w:t>
      </w:r>
      <w:r>
        <w:rPr>
          <w:rFonts w:ascii="Times New Roman" w:hAnsi="Times New Roman" w:eastAsia="Times New Roman" w:cs="Times New Roman"/>
          <w:spacing w:val="8"/>
          <w:sz w:val="23"/>
          <w:szCs w:val="23"/>
        </w:rPr>
        <w:t xml:space="preserve">2019 </w:t>
      </w:r>
      <w:r>
        <w:rPr>
          <w:rFonts w:ascii="宋体" w:hAnsi="宋体" w:eastAsia="宋体" w:cs="宋体"/>
          <w:spacing w:val="8"/>
          <w:sz w:val="23"/>
          <w:szCs w:val="23"/>
        </w:rPr>
        <w:t xml:space="preserve">年 </w:t>
      </w:r>
      <w:r>
        <w:rPr>
          <w:rFonts w:ascii="Times New Roman" w:hAnsi="Times New Roman" w:eastAsia="Times New Roman" w:cs="Times New Roman"/>
          <w:spacing w:val="8"/>
          <w:sz w:val="23"/>
          <w:szCs w:val="23"/>
        </w:rPr>
        <w:t xml:space="preserve">5 </w:t>
      </w:r>
      <w:r>
        <w:rPr>
          <w:rFonts w:ascii="宋体" w:hAnsi="宋体" w:eastAsia="宋体" w:cs="宋体"/>
          <w:spacing w:val="8"/>
          <w:sz w:val="23"/>
          <w:szCs w:val="23"/>
        </w:rPr>
        <w:t xml:space="preserve">月 </w:t>
      </w:r>
      <w:r>
        <w:rPr>
          <w:rFonts w:ascii="Times New Roman" w:hAnsi="Times New Roman" w:eastAsia="Times New Roman" w:cs="Times New Roman"/>
          <w:spacing w:val="8"/>
          <w:sz w:val="23"/>
          <w:szCs w:val="23"/>
        </w:rPr>
        <w:t xml:space="preserve">28  </w:t>
      </w:r>
      <w:r>
        <w:rPr>
          <w:rFonts w:ascii="宋体" w:hAnsi="宋体" w:eastAsia="宋体" w:cs="宋体"/>
          <w:spacing w:val="8"/>
          <w:sz w:val="23"/>
          <w:szCs w:val="23"/>
        </w:rPr>
        <w:t>日井研县发展和改革局同意项目备案，备案文号为：川投资</w:t>
      </w:r>
      <w:r>
        <w:rPr>
          <w:rFonts w:ascii="宋体" w:hAnsi="宋体" w:eastAsia="宋体" w:cs="宋体"/>
          <w:spacing w:val="4"/>
          <w:sz w:val="23"/>
          <w:szCs w:val="23"/>
        </w:rPr>
        <w:t>备</w:t>
      </w:r>
      <w:r>
        <w:rPr>
          <w:rFonts w:ascii="宋体" w:hAnsi="宋体" w:eastAsia="宋体" w:cs="宋体"/>
          <w:sz w:val="23"/>
          <w:szCs w:val="23"/>
        </w:rPr>
        <w:t xml:space="preserve"> </w:t>
      </w:r>
      <w:r>
        <w:rPr>
          <w:rFonts w:ascii="宋体" w:hAnsi="宋体" w:eastAsia="宋体" w:cs="宋体"/>
          <w:spacing w:val="7"/>
          <w:sz w:val="23"/>
          <w:szCs w:val="23"/>
        </w:rPr>
        <w:t>【</w:t>
      </w:r>
      <w:r>
        <w:rPr>
          <w:rFonts w:ascii="Times New Roman" w:hAnsi="Times New Roman" w:eastAsia="Times New Roman" w:cs="Times New Roman"/>
          <w:spacing w:val="5"/>
          <w:sz w:val="23"/>
          <w:szCs w:val="23"/>
        </w:rPr>
        <w:t>2019-511124-03-03-356213</w:t>
      </w:r>
      <w:r>
        <w:rPr>
          <w:rFonts w:ascii="宋体" w:hAnsi="宋体" w:eastAsia="宋体" w:cs="宋体"/>
          <w:spacing w:val="5"/>
          <w:sz w:val="23"/>
          <w:szCs w:val="23"/>
        </w:rPr>
        <w:t>】</w:t>
      </w:r>
      <w:r>
        <w:rPr>
          <w:rFonts w:ascii="Times New Roman" w:hAnsi="Times New Roman" w:eastAsia="Times New Roman" w:cs="Times New Roman"/>
          <w:sz w:val="23"/>
          <w:szCs w:val="23"/>
        </w:rPr>
        <w:t>FGQB</w:t>
      </w:r>
      <w:r>
        <w:rPr>
          <w:rFonts w:ascii="Times New Roman" w:hAnsi="Times New Roman" w:eastAsia="Times New Roman" w:cs="Times New Roman"/>
          <w:spacing w:val="5"/>
          <w:sz w:val="23"/>
          <w:szCs w:val="23"/>
        </w:rPr>
        <w:t xml:space="preserve">-0039 </w:t>
      </w:r>
      <w:r>
        <w:rPr>
          <w:rFonts w:ascii="宋体" w:hAnsi="宋体" w:eastAsia="宋体" w:cs="宋体"/>
          <w:spacing w:val="5"/>
          <w:sz w:val="23"/>
          <w:szCs w:val="23"/>
        </w:rPr>
        <w:t>号。</w:t>
      </w:r>
    </w:p>
    <w:p w14:paraId="2CD1FBFF">
      <w:pPr>
        <w:spacing w:before="1" w:line="230" w:lineRule="auto"/>
        <w:ind w:left="453"/>
        <w:rPr>
          <w:rFonts w:ascii="宋体" w:hAnsi="宋体" w:eastAsia="宋体" w:cs="宋体"/>
          <w:sz w:val="23"/>
          <w:szCs w:val="23"/>
        </w:rPr>
      </w:pPr>
      <w:r>
        <w:rPr>
          <w:rFonts w:ascii="宋体" w:hAnsi="宋体" w:eastAsia="宋体" w:cs="宋体"/>
          <w:spacing w:val="14"/>
          <w:sz w:val="23"/>
          <w:szCs w:val="23"/>
        </w:rPr>
        <w:t>因</w:t>
      </w:r>
      <w:r>
        <w:rPr>
          <w:rFonts w:ascii="宋体" w:hAnsi="宋体" w:eastAsia="宋体" w:cs="宋体"/>
          <w:spacing w:val="12"/>
          <w:sz w:val="23"/>
          <w:szCs w:val="23"/>
        </w:rPr>
        <w:t>此</w:t>
      </w:r>
      <w:r>
        <w:rPr>
          <w:rFonts w:ascii="宋体" w:hAnsi="宋体" w:eastAsia="宋体" w:cs="宋体"/>
          <w:spacing w:val="7"/>
          <w:sz w:val="23"/>
          <w:szCs w:val="23"/>
        </w:rPr>
        <w:t>，该项目符合国家现行产业政策。</w:t>
      </w:r>
    </w:p>
    <w:p w14:paraId="0EBD22C8">
      <w:pPr>
        <w:spacing w:before="181" w:line="303" w:lineRule="exact"/>
        <w:ind w:left="486"/>
        <w:rPr>
          <w:rFonts w:ascii="宋体" w:hAnsi="宋体" w:eastAsia="宋体" w:cs="宋体"/>
          <w:sz w:val="23"/>
          <w:szCs w:val="23"/>
        </w:rPr>
      </w:pPr>
      <w:r>
        <w:rPr>
          <w:rFonts w:ascii="Times New Roman" w:hAnsi="Times New Roman" w:eastAsia="Times New Roman" w:cs="Times New Roman"/>
          <w:b/>
          <w:bCs/>
          <w:spacing w:val="4"/>
          <w:position w:val="1"/>
          <w:sz w:val="23"/>
          <w:szCs w:val="23"/>
        </w:rPr>
        <w:t>2</w:t>
      </w:r>
      <w:r>
        <w:rPr>
          <w:rFonts w:ascii="Times New Roman" w:hAnsi="Times New Roman" w:eastAsia="Times New Roman" w:cs="Times New Roman"/>
          <w:spacing w:val="4"/>
          <w:position w:val="1"/>
          <w:sz w:val="23"/>
          <w:szCs w:val="23"/>
        </w:rPr>
        <w:t xml:space="preserve"> </w:t>
      </w:r>
      <w:r>
        <w:rPr>
          <w:rFonts w:ascii="宋体" w:hAnsi="宋体" w:eastAsia="宋体" w:cs="宋体"/>
          <w:spacing w:val="4"/>
          <w:position w:val="1"/>
          <w:sz w:val="23"/>
          <w:szCs w:val="23"/>
          <w14:textOutline w14:w="4356" w14:cap="sq" w14:cmpd="sng" w14:algn="ctr">
            <w14:solidFill>
              <w14:srgbClr w14:val="000000"/>
            </w14:solidFill>
            <w14:prstDash w14:val="solid"/>
            <w14:bevel/>
          </w14:textOutline>
        </w:rPr>
        <w:t>、</w:t>
      </w:r>
      <w:r>
        <w:rPr>
          <w:rFonts w:ascii="宋体" w:hAnsi="宋体" w:eastAsia="宋体" w:cs="宋体"/>
          <w:spacing w:val="2"/>
          <w:position w:val="1"/>
          <w:sz w:val="23"/>
          <w:szCs w:val="23"/>
          <w14:textOutline w14:w="4356" w14:cap="sq" w14:cmpd="sng" w14:algn="ctr">
            <w14:solidFill>
              <w14:srgbClr w14:val="000000"/>
            </w14:solidFill>
            <w14:prstDash w14:val="solid"/>
            <w14:bevel/>
          </w14:textOutline>
        </w:rPr>
        <w:t>规划符合性分析</w:t>
      </w:r>
    </w:p>
    <w:p w14:paraId="08EC0E87">
      <w:pPr>
        <w:spacing w:before="161" w:line="376" w:lineRule="auto"/>
        <w:ind w:left="10" w:right="105" w:firstLine="480"/>
        <w:rPr>
          <w:rFonts w:ascii="宋体" w:hAnsi="宋体" w:eastAsia="宋体" w:cs="宋体"/>
          <w:sz w:val="23"/>
          <w:szCs w:val="23"/>
        </w:rPr>
      </w:pPr>
      <w:r>
        <w:rPr>
          <w:rFonts w:ascii="宋体" w:hAnsi="宋体" w:eastAsia="宋体" w:cs="宋体"/>
          <w:spacing w:val="8"/>
          <w:sz w:val="23"/>
          <w:szCs w:val="23"/>
        </w:rPr>
        <w:t>本项目</w:t>
      </w:r>
      <w:r>
        <w:rPr>
          <w:rFonts w:ascii="宋体" w:hAnsi="宋体" w:eastAsia="宋体" w:cs="宋体"/>
          <w:spacing w:val="4"/>
          <w:sz w:val="23"/>
          <w:szCs w:val="23"/>
        </w:rPr>
        <w:t xml:space="preserve">位于井研县周坡镇周坡村 </w:t>
      </w:r>
      <w:r>
        <w:rPr>
          <w:rFonts w:ascii="Times New Roman" w:hAnsi="Times New Roman" w:eastAsia="Times New Roman" w:cs="Times New Roman"/>
          <w:spacing w:val="4"/>
          <w:sz w:val="23"/>
          <w:szCs w:val="23"/>
        </w:rPr>
        <w:t xml:space="preserve">7 </w:t>
      </w:r>
      <w:r>
        <w:rPr>
          <w:rFonts w:ascii="宋体" w:hAnsi="宋体" w:eastAsia="宋体" w:cs="宋体"/>
          <w:spacing w:val="4"/>
          <w:sz w:val="23"/>
          <w:szCs w:val="23"/>
        </w:rPr>
        <w:t xml:space="preserve">组、龙桥村 </w:t>
      </w:r>
      <w:r>
        <w:rPr>
          <w:rFonts w:ascii="Times New Roman" w:hAnsi="Times New Roman" w:eastAsia="Times New Roman" w:cs="Times New Roman"/>
          <w:spacing w:val="4"/>
          <w:sz w:val="23"/>
          <w:szCs w:val="23"/>
        </w:rPr>
        <w:t xml:space="preserve">2 </w:t>
      </w:r>
      <w:r>
        <w:rPr>
          <w:rFonts w:ascii="宋体" w:hAnsi="宋体" w:eastAsia="宋体" w:cs="宋体"/>
          <w:spacing w:val="4"/>
          <w:sz w:val="23"/>
          <w:szCs w:val="23"/>
        </w:rPr>
        <w:t xml:space="preserve">组，井研县周坡镇人民政府于 </w:t>
      </w:r>
      <w:r>
        <w:rPr>
          <w:rFonts w:ascii="Times New Roman" w:hAnsi="Times New Roman" w:eastAsia="Times New Roman" w:cs="Times New Roman"/>
          <w:spacing w:val="4"/>
          <w:sz w:val="23"/>
          <w:szCs w:val="23"/>
        </w:rPr>
        <w:t xml:space="preserve">2019 </w:t>
      </w:r>
      <w:r>
        <w:rPr>
          <w:rFonts w:ascii="宋体" w:hAnsi="宋体" w:eastAsia="宋体" w:cs="宋体"/>
          <w:spacing w:val="4"/>
          <w:sz w:val="23"/>
          <w:szCs w:val="23"/>
        </w:rPr>
        <w:t>年</w:t>
      </w:r>
      <w:r>
        <w:rPr>
          <w:rFonts w:ascii="宋体" w:hAnsi="宋体" w:eastAsia="宋体" w:cs="宋体"/>
          <w:sz w:val="23"/>
          <w:szCs w:val="23"/>
        </w:rPr>
        <w:t xml:space="preserve"> </w:t>
      </w:r>
      <w:r>
        <w:rPr>
          <w:rFonts w:ascii="Times New Roman" w:hAnsi="Times New Roman" w:eastAsia="Times New Roman" w:cs="Times New Roman"/>
          <w:spacing w:val="12"/>
          <w:sz w:val="23"/>
          <w:szCs w:val="23"/>
        </w:rPr>
        <w:t xml:space="preserve">3 </w:t>
      </w:r>
      <w:r>
        <w:rPr>
          <w:rFonts w:ascii="宋体" w:hAnsi="宋体" w:eastAsia="宋体" w:cs="宋体"/>
          <w:spacing w:val="12"/>
          <w:sz w:val="23"/>
          <w:szCs w:val="23"/>
        </w:rPr>
        <w:t xml:space="preserve">月 </w:t>
      </w:r>
      <w:r>
        <w:rPr>
          <w:rFonts w:ascii="Times New Roman" w:hAnsi="Times New Roman" w:eastAsia="Times New Roman" w:cs="Times New Roman"/>
          <w:spacing w:val="9"/>
          <w:sz w:val="23"/>
          <w:szCs w:val="23"/>
        </w:rPr>
        <w:t>8</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日出具了证明，明确本项目养殖场不属于畜禽养殖禁养地域和限养地域；同时，井研</w:t>
      </w:r>
      <w:r>
        <w:rPr>
          <w:rFonts w:ascii="宋体" w:hAnsi="宋体" w:eastAsia="宋体" w:cs="宋体"/>
          <w:sz w:val="23"/>
          <w:szCs w:val="23"/>
        </w:rPr>
        <w:t xml:space="preserve"> </w:t>
      </w:r>
      <w:r>
        <w:rPr>
          <w:rFonts w:ascii="宋体" w:hAnsi="宋体" w:eastAsia="宋体" w:cs="宋体"/>
          <w:spacing w:val="12"/>
          <w:sz w:val="23"/>
          <w:szCs w:val="23"/>
        </w:rPr>
        <w:t>县</w:t>
      </w:r>
      <w:r>
        <w:rPr>
          <w:rFonts w:ascii="宋体" w:hAnsi="宋体" w:eastAsia="宋体" w:cs="宋体"/>
          <w:spacing w:val="7"/>
          <w:sz w:val="23"/>
          <w:szCs w:val="23"/>
        </w:rPr>
        <w:t>周坡镇人民政府、井研县农业农村局、井研县自然资源局联合为本项目出具了《设施农业</w:t>
      </w:r>
      <w:r>
        <w:rPr>
          <w:rFonts w:ascii="宋体" w:hAnsi="宋体" w:eastAsia="宋体" w:cs="宋体"/>
          <w:sz w:val="23"/>
          <w:szCs w:val="23"/>
        </w:rPr>
        <w:t xml:space="preserve"> </w:t>
      </w:r>
      <w:r>
        <w:rPr>
          <w:rFonts w:ascii="宋体" w:hAnsi="宋体" w:eastAsia="宋体" w:cs="宋体"/>
          <w:spacing w:val="5"/>
          <w:sz w:val="23"/>
          <w:szCs w:val="23"/>
        </w:rPr>
        <w:t>用地备案表》  (井设农备字【</w:t>
      </w:r>
      <w:r>
        <w:rPr>
          <w:rFonts w:ascii="Times New Roman" w:hAnsi="Times New Roman" w:eastAsia="Times New Roman" w:cs="Times New Roman"/>
          <w:spacing w:val="5"/>
          <w:sz w:val="23"/>
          <w:szCs w:val="23"/>
        </w:rPr>
        <w:t>2019</w:t>
      </w:r>
      <w:r>
        <w:rPr>
          <w:rFonts w:ascii="宋体" w:hAnsi="宋体" w:eastAsia="宋体" w:cs="宋体"/>
          <w:spacing w:val="5"/>
          <w:sz w:val="23"/>
          <w:szCs w:val="23"/>
        </w:rPr>
        <w:t xml:space="preserve">】第 </w:t>
      </w:r>
      <w:r>
        <w:rPr>
          <w:rFonts w:ascii="Times New Roman" w:hAnsi="Times New Roman" w:eastAsia="Times New Roman" w:cs="Times New Roman"/>
          <w:spacing w:val="5"/>
          <w:sz w:val="23"/>
          <w:szCs w:val="23"/>
        </w:rPr>
        <w:t xml:space="preserve">21 </w:t>
      </w:r>
      <w:r>
        <w:rPr>
          <w:rFonts w:ascii="宋体" w:hAnsi="宋体" w:eastAsia="宋体" w:cs="宋体"/>
          <w:spacing w:val="5"/>
          <w:sz w:val="23"/>
          <w:szCs w:val="23"/>
        </w:rPr>
        <w:t>号) ，明确本项目符合农业发展政策和规划</w:t>
      </w:r>
      <w:r>
        <w:rPr>
          <w:rFonts w:ascii="宋体" w:hAnsi="宋体" w:eastAsia="宋体" w:cs="宋体"/>
          <w:spacing w:val="4"/>
          <w:sz w:val="23"/>
          <w:szCs w:val="23"/>
        </w:rPr>
        <w:t>，</w:t>
      </w:r>
      <w:r>
        <w:rPr>
          <w:rFonts w:ascii="宋体" w:hAnsi="宋体" w:eastAsia="宋体" w:cs="宋体"/>
          <w:sz w:val="23"/>
          <w:szCs w:val="23"/>
        </w:rPr>
        <w:t xml:space="preserve">建 </w:t>
      </w:r>
      <w:r>
        <w:rPr>
          <w:rFonts w:ascii="宋体" w:hAnsi="宋体" w:eastAsia="宋体" w:cs="宋体"/>
          <w:spacing w:val="12"/>
          <w:sz w:val="23"/>
          <w:szCs w:val="23"/>
        </w:rPr>
        <w:t>设</w:t>
      </w:r>
      <w:r>
        <w:rPr>
          <w:rFonts w:ascii="宋体" w:hAnsi="宋体" w:eastAsia="宋体" w:cs="宋体"/>
          <w:spacing w:val="7"/>
          <w:sz w:val="23"/>
          <w:szCs w:val="23"/>
        </w:rPr>
        <w:t>内容符合有关要求，农村土地经营权流转符合相关规定，用地未超过控制规模和比例，同</w:t>
      </w:r>
      <w:r>
        <w:rPr>
          <w:rFonts w:ascii="宋体" w:hAnsi="宋体" w:eastAsia="宋体" w:cs="宋体"/>
          <w:sz w:val="23"/>
          <w:szCs w:val="23"/>
        </w:rPr>
        <w:t xml:space="preserve"> </w:t>
      </w:r>
      <w:r>
        <w:rPr>
          <w:rFonts w:ascii="宋体" w:hAnsi="宋体" w:eastAsia="宋体" w:cs="宋体"/>
          <w:spacing w:val="12"/>
          <w:sz w:val="23"/>
          <w:szCs w:val="23"/>
        </w:rPr>
        <w:t>意</w:t>
      </w:r>
      <w:r>
        <w:rPr>
          <w:rFonts w:ascii="宋体" w:hAnsi="宋体" w:eastAsia="宋体" w:cs="宋体"/>
          <w:spacing w:val="7"/>
          <w:sz w:val="23"/>
          <w:szCs w:val="23"/>
        </w:rPr>
        <w:t>项目的备案；此外，井研县周坡镇人民政府、井研县周坡镇周坡村村民委员会、井研县周</w:t>
      </w:r>
      <w:r>
        <w:rPr>
          <w:rFonts w:ascii="宋体" w:hAnsi="宋体" w:eastAsia="宋体" w:cs="宋体"/>
          <w:sz w:val="23"/>
          <w:szCs w:val="23"/>
        </w:rPr>
        <w:t xml:space="preserve"> </w:t>
      </w:r>
      <w:r>
        <w:rPr>
          <w:rFonts w:ascii="宋体" w:hAnsi="宋体" w:eastAsia="宋体" w:cs="宋体"/>
          <w:spacing w:val="23"/>
          <w:sz w:val="23"/>
          <w:szCs w:val="23"/>
        </w:rPr>
        <w:t>坡</w:t>
      </w:r>
      <w:r>
        <w:rPr>
          <w:rFonts w:ascii="宋体" w:hAnsi="宋体" w:eastAsia="宋体" w:cs="宋体"/>
          <w:spacing w:val="13"/>
          <w:sz w:val="23"/>
          <w:szCs w:val="23"/>
        </w:rPr>
        <w:t>镇龙桥村村民委员会与本项目建设单位井研县丰逸养殖专业合作社签订了设施农用地使</w:t>
      </w:r>
      <w:r>
        <w:rPr>
          <w:rFonts w:ascii="宋体" w:hAnsi="宋体" w:eastAsia="宋体" w:cs="宋体"/>
          <w:sz w:val="23"/>
          <w:szCs w:val="23"/>
        </w:rPr>
        <w:t xml:space="preserve"> </w:t>
      </w:r>
      <w:r>
        <w:rPr>
          <w:rFonts w:ascii="宋体" w:hAnsi="宋体" w:eastAsia="宋体" w:cs="宋体"/>
          <w:spacing w:val="18"/>
          <w:sz w:val="23"/>
          <w:szCs w:val="23"/>
        </w:rPr>
        <w:t>用协</w:t>
      </w:r>
      <w:r>
        <w:rPr>
          <w:rFonts w:ascii="宋体" w:hAnsi="宋体" w:eastAsia="宋体" w:cs="宋体"/>
          <w:spacing w:val="10"/>
          <w:sz w:val="23"/>
          <w:szCs w:val="23"/>
        </w:rPr>
        <w:t>议</w:t>
      </w:r>
      <w:r>
        <w:rPr>
          <w:rFonts w:ascii="宋体" w:hAnsi="宋体" w:eastAsia="宋体" w:cs="宋体"/>
          <w:spacing w:val="9"/>
          <w:sz w:val="23"/>
          <w:szCs w:val="23"/>
        </w:rPr>
        <w:t>书及土地复垦协议书，在用地期满后，及时按国家复垦技术标准，恢复土地原貌。</w:t>
      </w:r>
    </w:p>
    <w:p w14:paraId="62F60989">
      <w:pPr>
        <w:spacing w:before="2" w:line="383" w:lineRule="auto"/>
        <w:ind w:left="11" w:firstLine="514"/>
        <w:rPr>
          <w:rFonts w:ascii="宋体" w:hAnsi="宋体" w:eastAsia="宋体" w:cs="宋体"/>
          <w:sz w:val="23"/>
          <w:szCs w:val="23"/>
        </w:rPr>
      </w:pPr>
      <w:r>
        <w:rPr>
          <w:rFonts w:ascii="宋体" w:hAnsi="宋体" w:eastAsia="宋体" w:cs="宋体"/>
          <w:spacing w:val="12"/>
          <w:sz w:val="23"/>
          <w:szCs w:val="23"/>
        </w:rPr>
        <w:t>项 目</w:t>
      </w:r>
      <w:r>
        <w:rPr>
          <w:rFonts w:ascii="宋体" w:hAnsi="宋体" w:eastAsia="宋体" w:cs="宋体"/>
          <w:spacing w:val="10"/>
          <w:sz w:val="23"/>
          <w:szCs w:val="23"/>
        </w:rPr>
        <w:t xml:space="preserve"> </w:t>
      </w:r>
      <w:r>
        <w:rPr>
          <w:rFonts w:ascii="宋体" w:hAnsi="宋体" w:eastAsia="宋体" w:cs="宋体"/>
          <w:spacing w:val="6"/>
          <w:sz w:val="23"/>
          <w:szCs w:val="23"/>
        </w:rPr>
        <w:t>四周为农田、林地以及少量散居住户，不属于《限制用地项目目录(</w:t>
      </w:r>
      <w:r>
        <w:rPr>
          <w:rFonts w:ascii="Times New Roman" w:hAnsi="Times New Roman" w:eastAsia="Times New Roman" w:cs="Times New Roman"/>
          <w:spacing w:val="6"/>
          <w:sz w:val="23"/>
          <w:szCs w:val="23"/>
        </w:rPr>
        <w:t xml:space="preserve">2012 </w:t>
      </w:r>
      <w:r>
        <w:rPr>
          <w:rFonts w:ascii="宋体" w:hAnsi="宋体" w:eastAsia="宋体" w:cs="宋体"/>
          <w:spacing w:val="6"/>
          <w:sz w:val="23"/>
          <w:szCs w:val="23"/>
        </w:rPr>
        <w:t>年本)》</w:t>
      </w:r>
      <w:r>
        <w:rPr>
          <w:rFonts w:ascii="宋体" w:hAnsi="宋体" w:eastAsia="宋体" w:cs="宋体"/>
          <w:sz w:val="23"/>
          <w:szCs w:val="23"/>
        </w:rPr>
        <w:t xml:space="preserve"> </w:t>
      </w:r>
      <w:r>
        <w:rPr>
          <w:rFonts w:ascii="宋体" w:hAnsi="宋体" w:eastAsia="宋体" w:cs="宋体"/>
          <w:spacing w:val="16"/>
          <w:sz w:val="23"/>
          <w:szCs w:val="23"/>
        </w:rPr>
        <w:t>和《</w:t>
      </w:r>
      <w:r>
        <w:rPr>
          <w:rFonts w:ascii="宋体" w:hAnsi="宋体" w:eastAsia="宋体" w:cs="宋体"/>
          <w:spacing w:val="10"/>
          <w:sz w:val="23"/>
          <w:szCs w:val="23"/>
        </w:rPr>
        <w:t>禁</w:t>
      </w:r>
      <w:r>
        <w:rPr>
          <w:rFonts w:ascii="宋体" w:hAnsi="宋体" w:eastAsia="宋体" w:cs="宋体"/>
          <w:spacing w:val="8"/>
          <w:sz w:val="23"/>
          <w:szCs w:val="23"/>
        </w:rPr>
        <w:t>止用地项目目录 (</w:t>
      </w:r>
      <w:r>
        <w:rPr>
          <w:rFonts w:ascii="Times New Roman" w:hAnsi="Times New Roman" w:eastAsia="Times New Roman" w:cs="Times New Roman"/>
          <w:spacing w:val="8"/>
          <w:sz w:val="23"/>
          <w:szCs w:val="23"/>
        </w:rPr>
        <w:t xml:space="preserve">2012 </w:t>
      </w:r>
      <w:r>
        <w:rPr>
          <w:rFonts w:ascii="宋体" w:hAnsi="宋体" w:eastAsia="宋体" w:cs="宋体"/>
          <w:spacing w:val="8"/>
          <w:sz w:val="23"/>
          <w:szCs w:val="23"/>
        </w:rPr>
        <w:t>年本) 》中的限制和禁止用地项目，属于允许建设项目。</w:t>
      </w:r>
    </w:p>
    <w:p w14:paraId="13D8CB54">
      <w:pPr>
        <w:sectPr>
          <w:headerReference r:id="rId337" w:type="default"/>
          <w:footerReference r:id="rId338" w:type="default"/>
          <w:pgSz w:w="11906" w:h="16839"/>
          <w:pgMar w:top="1118" w:right="1026" w:bottom="1168" w:left="1275" w:header="878" w:footer="1008" w:gutter="0"/>
          <w:cols w:space="720" w:num="1"/>
        </w:sectPr>
      </w:pPr>
    </w:p>
    <w:p w14:paraId="7EFD00F8">
      <w:pPr>
        <w:spacing w:before="271" w:line="376" w:lineRule="auto"/>
        <w:ind w:left="11" w:right="35" w:firstLine="481"/>
        <w:rPr>
          <w:rFonts w:ascii="宋体" w:hAnsi="宋体" w:eastAsia="宋体" w:cs="宋体"/>
          <w:sz w:val="23"/>
          <w:szCs w:val="23"/>
        </w:rPr>
      </w:pPr>
      <w:r>
        <w:rPr>
          <w:rFonts w:ascii="宋体" w:hAnsi="宋体" w:eastAsia="宋体" w:cs="宋体"/>
          <w:spacing w:val="-1"/>
          <w:sz w:val="23"/>
          <w:szCs w:val="23"/>
        </w:rPr>
        <w:t>综上所述，本项目位于井研县周坡镇周坡村</w:t>
      </w:r>
      <w:r>
        <w:rPr>
          <w:rFonts w:ascii="宋体" w:hAnsi="宋体" w:eastAsia="宋体" w:cs="宋体"/>
          <w:sz w:val="23"/>
          <w:szCs w:val="23"/>
        </w:rPr>
        <w:t xml:space="preserve"> </w:t>
      </w:r>
      <w:r>
        <w:rPr>
          <w:rFonts w:ascii="Times New Roman" w:hAnsi="Times New Roman" w:eastAsia="Times New Roman" w:cs="Times New Roman"/>
          <w:sz w:val="23"/>
          <w:szCs w:val="23"/>
        </w:rPr>
        <w:t xml:space="preserve">7 </w:t>
      </w:r>
      <w:r>
        <w:rPr>
          <w:rFonts w:ascii="宋体" w:hAnsi="宋体" w:eastAsia="宋体" w:cs="宋体"/>
          <w:sz w:val="23"/>
          <w:szCs w:val="23"/>
        </w:rPr>
        <w:t xml:space="preserve">组、龙桥村 </w:t>
      </w:r>
      <w:r>
        <w:rPr>
          <w:rFonts w:ascii="Times New Roman" w:hAnsi="Times New Roman" w:eastAsia="Times New Roman" w:cs="Times New Roman"/>
          <w:sz w:val="23"/>
          <w:szCs w:val="23"/>
        </w:rPr>
        <w:t xml:space="preserve">2 </w:t>
      </w:r>
      <w:r>
        <w:rPr>
          <w:rFonts w:ascii="宋体" w:hAnsi="宋体" w:eastAsia="宋体" w:cs="宋体"/>
          <w:sz w:val="23"/>
          <w:szCs w:val="23"/>
        </w:rPr>
        <w:t xml:space="preserve">组，项目属于农村环境地区， </w:t>
      </w:r>
      <w:r>
        <w:rPr>
          <w:rFonts w:ascii="宋体" w:hAnsi="宋体" w:eastAsia="宋体" w:cs="宋体"/>
          <w:spacing w:val="18"/>
          <w:sz w:val="23"/>
          <w:szCs w:val="23"/>
        </w:rPr>
        <w:t>周</w:t>
      </w:r>
      <w:r>
        <w:rPr>
          <w:rFonts w:ascii="宋体" w:hAnsi="宋体" w:eastAsia="宋体" w:cs="宋体"/>
          <w:spacing w:val="12"/>
          <w:sz w:val="23"/>
          <w:szCs w:val="23"/>
        </w:rPr>
        <w:t>围</w:t>
      </w:r>
      <w:r>
        <w:rPr>
          <w:rFonts w:ascii="宋体" w:hAnsi="宋体" w:eastAsia="宋体" w:cs="宋体"/>
          <w:spacing w:val="9"/>
          <w:sz w:val="23"/>
          <w:szCs w:val="23"/>
        </w:rPr>
        <w:t>无重大环境制约因素，项目建设符合井研县畜禽养殖禁养区划定方案。</w:t>
      </w:r>
    </w:p>
    <w:p w14:paraId="4B1B37C8">
      <w:pPr>
        <w:spacing w:line="303" w:lineRule="exact"/>
        <w:ind w:left="484"/>
        <w:rPr>
          <w:rFonts w:ascii="宋体" w:hAnsi="宋体" w:eastAsia="宋体" w:cs="宋体"/>
          <w:sz w:val="23"/>
          <w:szCs w:val="23"/>
        </w:rPr>
      </w:pPr>
      <w:r>
        <w:rPr>
          <w:rFonts w:ascii="Times New Roman" w:hAnsi="Times New Roman" w:eastAsia="Times New Roman" w:cs="Times New Roman"/>
          <w:b/>
          <w:bCs/>
          <w:spacing w:val="3"/>
          <w:position w:val="1"/>
          <w:sz w:val="23"/>
          <w:szCs w:val="23"/>
        </w:rPr>
        <w:t>3</w:t>
      </w:r>
      <w:r>
        <w:rPr>
          <w:rFonts w:ascii="Times New Roman" w:hAnsi="Times New Roman" w:eastAsia="Times New Roman" w:cs="Times New Roman"/>
          <w:spacing w:val="3"/>
          <w:position w:val="1"/>
          <w:sz w:val="23"/>
          <w:szCs w:val="23"/>
        </w:rPr>
        <w:t xml:space="preserve"> </w:t>
      </w:r>
      <w:r>
        <w:rPr>
          <w:rFonts w:ascii="宋体" w:hAnsi="宋体" w:eastAsia="宋体" w:cs="宋体"/>
          <w:spacing w:val="3"/>
          <w:position w:val="1"/>
          <w:sz w:val="23"/>
          <w:szCs w:val="23"/>
          <w14:textOutline w14:w="4356" w14:cap="sq" w14:cmpd="sng" w14:algn="ctr">
            <w14:solidFill>
              <w14:srgbClr w14:val="000000"/>
            </w14:solidFill>
            <w14:prstDash w14:val="solid"/>
            <w14:bevel/>
          </w14:textOutline>
        </w:rPr>
        <w:t>、选址符合性分</w:t>
      </w:r>
      <w:r>
        <w:rPr>
          <w:rFonts w:ascii="宋体" w:hAnsi="宋体" w:eastAsia="宋体" w:cs="宋体"/>
          <w:spacing w:val="1"/>
          <w:position w:val="1"/>
          <w:sz w:val="23"/>
          <w:szCs w:val="23"/>
          <w14:textOutline w14:w="4356" w14:cap="sq" w14:cmpd="sng" w14:algn="ctr">
            <w14:solidFill>
              <w14:srgbClr w14:val="000000"/>
            </w14:solidFill>
            <w14:prstDash w14:val="solid"/>
            <w14:bevel/>
          </w14:textOutline>
        </w:rPr>
        <w:t>析</w:t>
      </w:r>
    </w:p>
    <w:p w14:paraId="6E37E013">
      <w:pPr>
        <w:spacing w:before="164" w:line="227" w:lineRule="auto"/>
        <w:ind w:left="491"/>
        <w:rPr>
          <w:rFonts w:ascii="宋体" w:hAnsi="宋体" w:eastAsia="宋体" w:cs="宋体"/>
          <w:sz w:val="23"/>
          <w:szCs w:val="23"/>
        </w:rPr>
      </w:pPr>
      <w:r>
        <w:rPr>
          <w:rFonts w:ascii="宋体" w:hAnsi="宋体" w:eastAsia="宋体" w:cs="宋体"/>
          <w:spacing w:val="6"/>
          <w:sz w:val="23"/>
          <w:szCs w:val="23"/>
        </w:rPr>
        <w:t>本项目位于井研</w:t>
      </w:r>
      <w:r>
        <w:rPr>
          <w:rFonts w:ascii="宋体" w:hAnsi="宋体" w:eastAsia="宋体" w:cs="宋体"/>
          <w:spacing w:val="5"/>
          <w:sz w:val="23"/>
          <w:szCs w:val="23"/>
        </w:rPr>
        <w:t>县</w:t>
      </w:r>
      <w:r>
        <w:rPr>
          <w:rFonts w:ascii="宋体" w:hAnsi="宋体" w:eastAsia="宋体" w:cs="宋体"/>
          <w:spacing w:val="3"/>
          <w:sz w:val="23"/>
          <w:szCs w:val="23"/>
        </w:rPr>
        <w:t xml:space="preserve">周坡镇周坡村 </w:t>
      </w:r>
      <w:r>
        <w:rPr>
          <w:rFonts w:ascii="Times New Roman" w:hAnsi="Times New Roman" w:eastAsia="Times New Roman" w:cs="Times New Roman"/>
          <w:spacing w:val="3"/>
          <w:sz w:val="23"/>
          <w:szCs w:val="23"/>
        </w:rPr>
        <w:t xml:space="preserve">7 </w:t>
      </w:r>
      <w:r>
        <w:rPr>
          <w:rFonts w:ascii="宋体" w:hAnsi="宋体" w:eastAsia="宋体" w:cs="宋体"/>
          <w:spacing w:val="3"/>
          <w:sz w:val="23"/>
          <w:szCs w:val="23"/>
        </w:rPr>
        <w:t xml:space="preserve">组、龙桥村 </w:t>
      </w:r>
      <w:r>
        <w:rPr>
          <w:rFonts w:ascii="Times New Roman" w:hAnsi="Times New Roman" w:eastAsia="Times New Roman" w:cs="Times New Roman"/>
          <w:spacing w:val="3"/>
          <w:sz w:val="23"/>
          <w:szCs w:val="23"/>
        </w:rPr>
        <w:t xml:space="preserve">2 </w:t>
      </w:r>
      <w:r>
        <w:rPr>
          <w:rFonts w:ascii="宋体" w:hAnsi="宋体" w:eastAsia="宋体" w:cs="宋体"/>
          <w:spacing w:val="3"/>
          <w:sz w:val="23"/>
          <w:szCs w:val="23"/>
        </w:rPr>
        <w:t>组，项目位于农村环境，不在城镇建成</w:t>
      </w:r>
    </w:p>
    <w:p w14:paraId="709C32BC">
      <w:pPr>
        <w:spacing w:before="183" w:line="376" w:lineRule="auto"/>
        <w:ind w:left="11" w:right="96" w:firstLine="16"/>
        <w:rPr>
          <w:rFonts w:ascii="宋体" w:hAnsi="宋体" w:eastAsia="宋体" w:cs="宋体"/>
          <w:sz w:val="23"/>
          <w:szCs w:val="23"/>
        </w:rPr>
      </w:pPr>
      <w:r>
        <w:rPr>
          <w:rFonts w:ascii="宋体" w:hAnsi="宋体" w:eastAsia="宋体" w:cs="宋体"/>
          <w:spacing w:val="12"/>
          <w:sz w:val="23"/>
          <w:szCs w:val="23"/>
        </w:rPr>
        <w:t>区</w:t>
      </w:r>
      <w:r>
        <w:rPr>
          <w:rFonts w:ascii="宋体" w:hAnsi="宋体" w:eastAsia="宋体" w:cs="宋体"/>
          <w:spacing w:val="11"/>
          <w:sz w:val="23"/>
          <w:szCs w:val="23"/>
        </w:rPr>
        <w:t>，</w:t>
      </w:r>
      <w:r>
        <w:rPr>
          <w:rFonts w:ascii="宋体" w:hAnsi="宋体" w:eastAsia="宋体" w:cs="宋体"/>
          <w:spacing w:val="6"/>
          <w:sz w:val="23"/>
          <w:szCs w:val="23"/>
        </w:rPr>
        <w:t xml:space="preserve">不涉及饮用水源保护区，周边 </w:t>
      </w:r>
      <w:r>
        <w:rPr>
          <w:rFonts w:ascii="Times New Roman" w:hAnsi="Times New Roman" w:eastAsia="Times New Roman" w:cs="Times New Roman"/>
          <w:spacing w:val="6"/>
          <w:sz w:val="23"/>
          <w:szCs w:val="23"/>
        </w:rPr>
        <w:t>500</w:t>
      </w:r>
      <w:r>
        <w:rPr>
          <w:rFonts w:ascii="Times New Roman" w:hAnsi="Times New Roman" w:eastAsia="Times New Roman" w:cs="Times New Roman"/>
          <w:sz w:val="23"/>
          <w:szCs w:val="23"/>
        </w:rPr>
        <w:t>m</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rPr>
        <w:t>范围内无医院、学校、风景名胜区等需要着重保护</w:t>
      </w:r>
      <w:r>
        <w:rPr>
          <w:rFonts w:ascii="宋体" w:hAnsi="宋体" w:eastAsia="宋体" w:cs="宋体"/>
          <w:sz w:val="23"/>
          <w:szCs w:val="23"/>
        </w:rPr>
        <w:t xml:space="preserve"> </w:t>
      </w:r>
      <w:r>
        <w:rPr>
          <w:rFonts w:ascii="宋体" w:hAnsi="宋体" w:eastAsia="宋体" w:cs="宋体"/>
          <w:spacing w:val="11"/>
          <w:sz w:val="23"/>
          <w:szCs w:val="23"/>
        </w:rPr>
        <w:t>的</w:t>
      </w:r>
      <w:r>
        <w:rPr>
          <w:rFonts w:ascii="宋体" w:hAnsi="宋体" w:eastAsia="宋体" w:cs="宋体"/>
          <w:spacing w:val="7"/>
          <w:sz w:val="23"/>
          <w:szCs w:val="23"/>
        </w:rPr>
        <w:t>环境敏感点，项目不在井研县规定的禁养和限养区范围内，符合《畜禽养殖业污染防治技</w:t>
      </w:r>
      <w:r>
        <w:rPr>
          <w:rFonts w:ascii="宋体" w:hAnsi="宋体" w:eastAsia="宋体" w:cs="宋体"/>
          <w:sz w:val="23"/>
          <w:szCs w:val="23"/>
        </w:rPr>
        <w:t xml:space="preserve"> </w:t>
      </w:r>
      <w:r>
        <w:rPr>
          <w:rFonts w:ascii="宋体" w:hAnsi="宋体" w:eastAsia="宋体" w:cs="宋体"/>
          <w:spacing w:val="11"/>
          <w:sz w:val="23"/>
          <w:szCs w:val="23"/>
        </w:rPr>
        <w:t>术</w:t>
      </w:r>
      <w:r>
        <w:rPr>
          <w:rFonts w:ascii="宋体" w:hAnsi="宋体" w:eastAsia="宋体" w:cs="宋体"/>
          <w:spacing w:val="7"/>
          <w:sz w:val="23"/>
          <w:szCs w:val="23"/>
        </w:rPr>
        <w:t>规范》，同时项目满足《畜禽规模养殖污染防治条例》中相关要求。项目周边敏感点主要</w:t>
      </w:r>
      <w:r>
        <w:rPr>
          <w:rFonts w:ascii="宋体" w:hAnsi="宋体" w:eastAsia="宋体" w:cs="宋体"/>
          <w:sz w:val="23"/>
          <w:szCs w:val="23"/>
        </w:rPr>
        <w:t xml:space="preserve"> </w:t>
      </w:r>
      <w:r>
        <w:rPr>
          <w:rFonts w:ascii="宋体" w:hAnsi="宋体" w:eastAsia="宋体" w:cs="宋体"/>
          <w:spacing w:val="11"/>
          <w:sz w:val="23"/>
          <w:szCs w:val="23"/>
        </w:rPr>
        <w:t>为</w:t>
      </w:r>
      <w:r>
        <w:rPr>
          <w:rFonts w:ascii="宋体" w:hAnsi="宋体" w:eastAsia="宋体" w:cs="宋体"/>
          <w:spacing w:val="7"/>
          <w:sz w:val="23"/>
          <w:szCs w:val="23"/>
        </w:rPr>
        <w:t>散户农户，各类污染物经相应处理后对周边敏感点、对环境的影响较小。因此，本项目选</w:t>
      </w:r>
      <w:r>
        <w:rPr>
          <w:rFonts w:ascii="宋体" w:hAnsi="宋体" w:eastAsia="宋体" w:cs="宋体"/>
          <w:sz w:val="23"/>
          <w:szCs w:val="23"/>
        </w:rPr>
        <w:t xml:space="preserve"> </w:t>
      </w:r>
      <w:r>
        <w:rPr>
          <w:rFonts w:ascii="宋体" w:hAnsi="宋体" w:eastAsia="宋体" w:cs="宋体"/>
          <w:spacing w:val="5"/>
          <w:sz w:val="23"/>
          <w:szCs w:val="23"/>
        </w:rPr>
        <w:t>址合理</w:t>
      </w:r>
      <w:r>
        <w:rPr>
          <w:rFonts w:ascii="宋体" w:hAnsi="宋体" w:eastAsia="宋体" w:cs="宋体"/>
          <w:spacing w:val="4"/>
          <w:sz w:val="23"/>
          <w:szCs w:val="23"/>
        </w:rPr>
        <w:t>。</w:t>
      </w:r>
    </w:p>
    <w:p w14:paraId="33533DA0">
      <w:pPr>
        <w:spacing w:line="227" w:lineRule="auto"/>
        <w:ind w:left="16"/>
        <w:outlineLvl w:val="2"/>
        <w:rPr>
          <w:rFonts w:ascii="宋体" w:hAnsi="宋体" w:eastAsia="宋体" w:cs="宋体"/>
          <w:sz w:val="23"/>
          <w:szCs w:val="23"/>
        </w:rPr>
      </w:pPr>
      <w:r>
        <w:rPr>
          <w:rFonts w:ascii="Times New Roman" w:hAnsi="Times New Roman" w:eastAsia="Times New Roman" w:cs="Times New Roman"/>
          <w:b/>
          <w:bCs/>
          <w:spacing w:val="10"/>
          <w:sz w:val="23"/>
          <w:szCs w:val="23"/>
        </w:rPr>
        <w:t>1</w:t>
      </w:r>
      <w:r>
        <w:rPr>
          <w:rFonts w:ascii="Times New Roman" w:hAnsi="Times New Roman" w:eastAsia="Times New Roman" w:cs="Times New Roman"/>
          <w:b/>
          <w:bCs/>
          <w:spacing w:val="9"/>
          <w:sz w:val="23"/>
          <w:szCs w:val="23"/>
        </w:rPr>
        <w:t>1</w:t>
      </w:r>
      <w:r>
        <w:rPr>
          <w:rFonts w:ascii="Times New Roman" w:hAnsi="Times New Roman" w:eastAsia="Times New Roman" w:cs="Times New Roman"/>
          <w:b/>
          <w:bCs/>
          <w:spacing w:val="5"/>
          <w:sz w:val="23"/>
          <w:szCs w:val="23"/>
        </w:rPr>
        <w:t>.1.3</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环境质量现状结论</w:t>
      </w:r>
    </w:p>
    <w:p w14:paraId="1B6FE92F">
      <w:pPr>
        <w:spacing w:before="184" w:line="303" w:lineRule="exact"/>
        <w:ind w:left="496"/>
        <w:rPr>
          <w:rFonts w:ascii="宋体" w:hAnsi="宋体" w:eastAsia="宋体" w:cs="宋体"/>
          <w:sz w:val="23"/>
          <w:szCs w:val="23"/>
        </w:rPr>
      </w:pPr>
      <w:r>
        <w:rPr>
          <w:rFonts w:ascii="Times New Roman" w:hAnsi="Times New Roman" w:eastAsia="Times New Roman" w:cs="Times New Roman"/>
          <w:b/>
          <w:bCs/>
          <w:spacing w:val="-2"/>
          <w:position w:val="1"/>
          <w:sz w:val="23"/>
          <w:szCs w:val="23"/>
        </w:rPr>
        <w:t>1</w:t>
      </w:r>
      <w:r>
        <w:rPr>
          <w:rFonts w:ascii="Times New Roman" w:hAnsi="Times New Roman" w:eastAsia="Times New Roman" w:cs="Times New Roman"/>
          <w:spacing w:val="-2"/>
          <w:position w:val="1"/>
          <w:sz w:val="23"/>
          <w:szCs w:val="23"/>
        </w:rPr>
        <w:t xml:space="preserve"> </w:t>
      </w:r>
      <w:r>
        <w:rPr>
          <w:rFonts w:ascii="宋体" w:hAnsi="宋体" w:eastAsia="宋体" w:cs="宋体"/>
          <w:spacing w:val="-2"/>
          <w:position w:val="1"/>
          <w:sz w:val="23"/>
          <w:szCs w:val="23"/>
          <w14:textOutline w14:w="4356" w14:cap="sq" w14:cmpd="sng" w14:algn="ctr">
            <w14:solidFill>
              <w14:srgbClr w14:val="000000"/>
            </w14:solidFill>
            <w14:prstDash w14:val="solid"/>
            <w14:bevel/>
          </w14:textOutline>
        </w:rPr>
        <w:t>、大气环境</w:t>
      </w:r>
    </w:p>
    <w:p w14:paraId="2F51838C">
      <w:pPr>
        <w:tabs>
          <w:tab w:val="left" w:pos="136"/>
        </w:tabs>
        <w:spacing w:before="164" w:line="376" w:lineRule="auto"/>
        <w:ind w:left="11" w:right="35" w:firstLine="359"/>
        <w:rPr>
          <w:rFonts w:ascii="宋体" w:hAnsi="宋体" w:eastAsia="宋体" w:cs="宋体"/>
          <w:sz w:val="23"/>
          <w:szCs w:val="23"/>
        </w:rPr>
      </w:pPr>
      <w:r>
        <w:rPr>
          <w:rFonts w:ascii="宋体" w:hAnsi="宋体" w:eastAsia="宋体" w:cs="宋体"/>
          <w:spacing w:val="2"/>
          <w:sz w:val="23"/>
          <w:szCs w:val="23"/>
        </w:rPr>
        <w:t>根据《环境影响</w:t>
      </w:r>
      <w:r>
        <w:rPr>
          <w:rFonts w:ascii="宋体" w:hAnsi="宋体" w:eastAsia="宋体" w:cs="宋体"/>
          <w:spacing w:val="1"/>
          <w:sz w:val="23"/>
          <w:szCs w:val="23"/>
        </w:rPr>
        <w:t>评价技术导则 大气环境》(</w:t>
      </w:r>
      <w:r>
        <w:rPr>
          <w:rFonts w:ascii="Times New Roman" w:hAnsi="Times New Roman" w:eastAsia="Times New Roman" w:cs="Times New Roman"/>
          <w:sz w:val="23"/>
          <w:szCs w:val="23"/>
        </w:rPr>
        <w:t>HJ</w:t>
      </w:r>
      <w:r>
        <w:rPr>
          <w:rFonts w:ascii="Times New Roman" w:hAnsi="Times New Roman" w:eastAsia="Times New Roman" w:cs="Times New Roman"/>
          <w:spacing w:val="1"/>
          <w:sz w:val="23"/>
          <w:szCs w:val="23"/>
        </w:rPr>
        <w:t>2.2-2018</w:t>
      </w:r>
      <w:r>
        <w:rPr>
          <w:rFonts w:ascii="宋体" w:hAnsi="宋体" w:eastAsia="宋体" w:cs="宋体"/>
          <w:spacing w:val="1"/>
          <w:sz w:val="23"/>
          <w:szCs w:val="23"/>
        </w:rPr>
        <w:t xml:space="preserve">) 中 </w:t>
      </w:r>
      <w:r>
        <w:rPr>
          <w:rFonts w:ascii="Times New Roman" w:hAnsi="Times New Roman" w:eastAsia="Times New Roman" w:cs="Times New Roman"/>
          <w:spacing w:val="1"/>
          <w:sz w:val="23"/>
          <w:szCs w:val="23"/>
        </w:rPr>
        <w:t xml:space="preserve">6.4. 1. 1 </w:t>
      </w:r>
      <w:r>
        <w:rPr>
          <w:rFonts w:ascii="宋体" w:hAnsi="宋体" w:eastAsia="宋体" w:cs="宋体"/>
          <w:spacing w:val="1"/>
          <w:sz w:val="23"/>
          <w:szCs w:val="23"/>
        </w:rPr>
        <w:t>达标区域判断的方法，</w:t>
      </w:r>
      <w:r>
        <w:rPr>
          <w:rFonts w:ascii="宋体" w:hAnsi="宋体" w:eastAsia="宋体" w:cs="宋体"/>
          <w:sz w:val="23"/>
          <w:szCs w:val="23"/>
        </w:rPr>
        <w:t xml:space="preserve"> </w:t>
      </w:r>
      <w:r>
        <w:rPr>
          <w:rFonts w:ascii="宋体" w:hAnsi="宋体" w:eastAsia="宋体" w:cs="宋体"/>
          <w:spacing w:val="14"/>
          <w:sz w:val="23"/>
          <w:szCs w:val="23"/>
        </w:rPr>
        <w:t>本项目</w:t>
      </w:r>
      <w:r>
        <w:rPr>
          <w:rFonts w:ascii="宋体" w:hAnsi="宋体" w:eastAsia="宋体" w:cs="宋体"/>
          <w:spacing w:val="8"/>
          <w:sz w:val="23"/>
          <w:szCs w:val="23"/>
        </w:rPr>
        <w:t>位</w:t>
      </w:r>
      <w:r>
        <w:rPr>
          <w:rFonts w:ascii="宋体" w:hAnsi="宋体" w:eastAsia="宋体" w:cs="宋体"/>
          <w:spacing w:val="7"/>
          <w:sz w:val="23"/>
          <w:szCs w:val="23"/>
        </w:rPr>
        <w:t>于不达标区域。项目对其他污染物硫化氢、氨、臭气浓度、</w:t>
      </w:r>
      <w:r>
        <w:rPr>
          <w:rFonts w:ascii="Times New Roman" w:hAnsi="Times New Roman" w:eastAsia="Times New Roman" w:cs="Times New Roman"/>
          <w:sz w:val="23"/>
          <w:szCs w:val="23"/>
        </w:rPr>
        <w:t>TSP</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进行了监测，根据</w:t>
      </w:r>
      <w:r>
        <w:rPr>
          <w:rFonts w:ascii="宋体" w:hAnsi="宋体" w:eastAsia="宋体" w:cs="宋体"/>
          <w:sz w:val="23"/>
          <w:szCs w:val="23"/>
        </w:rPr>
        <w:t xml:space="preserve"> </w:t>
      </w:r>
      <w:r>
        <w:rPr>
          <w:rFonts w:ascii="宋体" w:hAnsi="宋体" w:eastAsia="宋体" w:cs="宋体"/>
          <w:spacing w:val="24"/>
          <w:sz w:val="23"/>
          <w:szCs w:val="23"/>
        </w:rPr>
        <w:t>项</w:t>
      </w:r>
      <w:r>
        <w:rPr>
          <w:rFonts w:ascii="宋体" w:hAnsi="宋体" w:eastAsia="宋体" w:cs="宋体"/>
          <w:spacing w:val="19"/>
          <w:sz w:val="23"/>
          <w:szCs w:val="23"/>
        </w:rPr>
        <w:t>目</w:t>
      </w:r>
      <w:r>
        <w:rPr>
          <w:rFonts w:ascii="宋体" w:hAnsi="宋体" w:eastAsia="宋体" w:cs="宋体"/>
          <w:spacing w:val="12"/>
          <w:sz w:val="23"/>
          <w:szCs w:val="23"/>
        </w:rPr>
        <w:t>监测报告，项目各特征污染物环境质量均满足《环境影响评价技术导则  大气环境》</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10"/>
          <w:sz w:val="23"/>
          <w:szCs w:val="23"/>
        </w:rPr>
        <w:t>(</w:t>
      </w:r>
      <w:r>
        <w:rPr>
          <w:rFonts w:ascii="Times New Roman" w:hAnsi="Times New Roman" w:eastAsia="Times New Roman" w:cs="Times New Roman"/>
          <w:sz w:val="23"/>
          <w:szCs w:val="23"/>
        </w:rPr>
        <w:t>HJ</w:t>
      </w:r>
      <w:r>
        <w:rPr>
          <w:rFonts w:ascii="Times New Roman" w:hAnsi="Times New Roman" w:eastAsia="Times New Roman" w:cs="Times New Roman"/>
          <w:spacing w:val="10"/>
          <w:sz w:val="23"/>
          <w:szCs w:val="23"/>
        </w:rPr>
        <w:t>2</w:t>
      </w:r>
      <w:r>
        <w:rPr>
          <w:rFonts w:ascii="Times New Roman" w:hAnsi="Times New Roman" w:eastAsia="Times New Roman" w:cs="Times New Roman"/>
          <w:spacing w:val="5"/>
          <w:sz w:val="23"/>
          <w:szCs w:val="23"/>
        </w:rPr>
        <w:t>.2-2018</w:t>
      </w:r>
      <w:r>
        <w:rPr>
          <w:rFonts w:ascii="宋体" w:hAnsi="宋体" w:eastAsia="宋体" w:cs="宋体"/>
          <w:spacing w:val="5"/>
          <w:sz w:val="23"/>
          <w:szCs w:val="23"/>
        </w:rPr>
        <w:t>) 中相关标准。</w:t>
      </w:r>
    </w:p>
    <w:p w14:paraId="653052AC">
      <w:pPr>
        <w:spacing w:line="303" w:lineRule="exact"/>
        <w:ind w:left="486"/>
        <w:rPr>
          <w:rFonts w:ascii="宋体" w:hAnsi="宋体" w:eastAsia="宋体" w:cs="宋体"/>
          <w:sz w:val="23"/>
          <w:szCs w:val="23"/>
        </w:rPr>
      </w:pPr>
      <w:r>
        <w:rPr>
          <w:rFonts w:ascii="Times New Roman" w:hAnsi="Times New Roman" w:eastAsia="Times New Roman" w:cs="Times New Roman"/>
          <w:b/>
          <w:bCs/>
          <w:spacing w:val="1"/>
          <w:position w:val="1"/>
          <w:sz w:val="23"/>
          <w:szCs w:val="23"/>
        </w:rPr>
        <w:t>2</w:t>
      </w:r>
      <w:r>
        <w:rPr>
          <w:rFonts w:ascii="Times New Roman" w:hAnsi="Times New Roman" w:eastAsia="Times New Roman" w:cs="Times New Roman"/>
          <w:spacing w:val="1"/>
          <w:position w:val="1"/>
          <w:sz w:val="23"/>
          <w:szCs w:val="23"/>
        </w:rPr>
        <w:t xml:space="preserve"> </w:t>
      </w:r>
      <w:r>
        <w:rPr>
          <w:rFonts w:ascii="宋体" w:hAnsi="宋体" w:eastAsia="宋体" w:cs="宋体"/>
          <w:spacing w:val="1"/>
          <w:position w:val="1"/>
          <w:sz w:val="23"/>
          <w:szCs w:val="23"/>
          <w14:textOutline w14:w="4356" w14:cap="sq" w14:cmpd="sng" w14:algn="ctr">
            <w14:solidFill>
              <w14:srgbClr w14:val="000000"/>
            </w14:solidFill>
            <w14:prstDash w14:val="solid"/>
            <w14:bevel/>
          </w14:textOutline>
        </w:rPr>
        <w:t>、地</w:t>
      </w:r>
      <w:r>
        <w:rPr>
          <w:rFonts w:ascii="宋体" w:hAnsi="宋体" w:eastAsia="宋体" w:cs="宋体"/>
          <w:position w:val="1"/>
          <w:sz w:val="23"/>
          <w:szCs w:val="23"/>
          <w14:textOutline w14:w="4356" w14:cap="sq" w14:cmpd="sng" w14:algn="ctr">
            <w14:solidFill>
              <w14:srgbClr w14:val="000000"/>
            </w14:solidFill>
            <w14:prstDash w14:val="solid"/>
            <w14:bevel/>
          </w14:textOutline>
        </w:rPr>
        <w:t>表水环境</w:t>
      </w:r>
    </w:p>
    <w:p w14:paraId="09E06EE6">
      <w:pPr>
        <w:spacing w:before="163" w:line="375" w:lineRule="auto"/>
        <w:ind w:left="11" w:right="94" w:firstLine="599"/>
        <w:rPr>
          <w:rFonts w:ascii="宋体" w:hAnsi="宋体" w:eastAsia="宋体" w:cs="宋体"/>
          <w:sz w:val="23"/>
          <w:szCs w:val="23"/>
        </w:rPr>
      </w:pPr>
      <w:r>
        <w:rPr>
          <w:rFonts w:ascii="宋体" w:hAnsi="宋体" w:eastAsia="宋体" w:cs="宋体"/>
          <w:spacing w:val="10"/>
          <w:sz w:val="23"/>
          <w:szCs w:val="23"/>
        </w:rPr>
        <w:t>根据</w:t>
      </w:r>
      <w:r>
        <w:rPr>
          <w:rFonts w:ascii="宋体" w:hAnsi="宋体" w:eastAsia="宋体" w:cs="宋体"/>
          <w:spacing w:val="7"/>
          <w:sz w:val="23"/>
          <w:szCs w:val="23"/>
        </w:rPr>
        <w:t>监</w:t>
      </w:r>
      <w:r>
        <w:rPr>
          <w:rFonts w:ascii="宋体" w:hAnsi="宋体" w:eastAsia="宋体" w:cs="宋体"/>
          <w:spacing w:val="5"/>
          <w:sz w:val="23"/>
          <w:szCs w:val="23"/>
        </w:rPr>
        <w:t xml:space="preserve">测，项目所在区域地表水除 </w:t>
      </w:r>
      <w:r>
        <w:rPr>
          <w:rFonts w:ascii="Times New Roman" w:hAnsi="Times New Roman" w:eastAsia="Times New Roman" w:cs="Times New Roman"/>
          <w:sz w:val="23"/>
          <w:szCs w:val="23"/>
        </w:rPr>
        <w:t>SW</w:t>
      </w:r>
      <w:r>
        <w:rPr>
          <w:rFonts w:ascii="Times New Roman" w:hAnsi="Times New Roman" w:eastAsia="Times New Roman" w:cs="Times New Roman"/>
          <w:spacing w:val="5"/>
          <w:sz w:val="23"/>
          <w:szCs w:val="23"/>
        </w:rPr>
        <w:t xml:space="preserve">1 </w:t>
      </w:r>
      <w:r>
        <w:rPr>
          <w:rFonts w:ascii="宋体" w:hAnsi="宋体" w:eastAsia="宋体" w:cs="宋体"/>
          <w:spacing w:val="5"/>
          <w:sz w:val="23"/>
          <w:szCs w:val="23"/>
        </w:rPr>
        <w:t>断面五日生化需氧量超标外，其他各监测断面</w:t>
      </w:r>
      <w:r>
        <w:rPr>
          <w:rFonts w:ascii="宋体" w:hAnsi="宋体" w:eastAsia="宋体" w:cs="宋体"/>
          <w:sz w:val="23"/>
          <w:szCs w:val="23"/>
        </w:rPr>
        <w:t xml:space="preserve"> </w:t>
      </w:r>
      <w:r>
        <w:rPr>
          <w:rFonts w:ascii="宋体" w:hAnsi="宋体" w:eastAsia="宋体" w:cs="宋体"/>
          <w:spacing w:val="18"/>
          <w:sz w:val="23"/>
          <w:szCs w:val="23"/>
        </w:rPr>
        <w:t>各项监</w:t>
      </w:r>
      <w:r>
        <w:rPr>
          <w:rFonts w:ascii="宋体" w:hAnsi="宋体" w:eastAsia="宋体" w:cs="宋体"/>
          <w:spacing w:val="13"/>
          <w:sz w:val="23"/>
          <w:szCs w:val="23"/>
        </w:rPr>
        <w:t>测</w:t>
      </w:r>
      <w:r>
        <w:rPr>
          <w:rFonts w:ascii="宋体" w:hAnsi="宋体" w:eastAsia="宋体" w:cs="宋体"/>
          <w:spacing w:val="9"/>
          <w:sz w:val="23"/>
          <w:szCs w:val="23"/>
        </w:rPr>
        <w:t>指标现状监测结果均能达到《地表水环境质量标准》</w:t>
      </w:r>
      <w:r>
        <w:rPr>
          <w:rFonts w:ascii="Times New Roman" w:hAnsi="Times New Roman" w:eastAsia="Times New Roman" w:cs="Times New Roman"/>
          <w:spacing w:val="9"/>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9"/>
          <w:sz w:val="23"/>
          <w:szCs w:val="23"/>
        </w:rPr>
        <w:t>3838-2002)</w:t>
      </w:r>
      <w:r>
        <w:rPr>
          <w:rFonts w:ascii="宋体" w:hAnsi="宋体" w:eastAsia="宋体" w:cs="宋体"/>
          <w:spacing w:val="9"/>
          <w:sz w:val="23"/>
          <w:szCs w:val="23"/>
        </w:rPr>
        <w:t>Ⅲ类水质标准</w:t>
      </w:r>
      <w:r>
        <w:rPr>
          <w:rFonts w:ascii="宋体" w:hAnsi="宋体" w:eastAsia="宋体" w:cs="宋体"/>
          <w:sz w:val="23"/>
          <w:szCs w:val="23"/>
        </w:rPr>
        <w:t xml:space="preserve"> </w:t>
      </w:r>
      <w:r>
        <w:rPr>
          <w:rFonts w:ascii="宋体" w:hAnsi="宋体" w:eastAsia="宋体" w:cs="宋体"/>
          <w:spacing w:val="16"/>
          <w:sz w:val="23"/>
          <w:szCs w:val="23"/>
        </w:rPr>
        <w:t>的要求，</w:t>
      </w:r>
      <w:r>
        <w:rPr>
          <w:rFonts w:ascii="Times New Roman" w:hAnsi="Times New Roman" w:eastAsia="Times New Roman" w:cs="Times New Roman"/>
          <w:sz w:val="23"/>
          <w:szCs w:val="23"/>
        </w:rPr>
        <w:t>SS</w:t>
      </w:r>
      <w:r>
        <w:rPr>
          <w:rFonts w:ascii="Times New Roman" w:hAnsi="Times New Roman" w:eastAsia="Times New Roman" w:cs="Times New Roman"/>
          <w:spacing w:val="10"/>
          <w:sz w:val="23"/>
          <w:szCs w:val="23"/>
        </w:rPr>
        <w:t xml:space="preserve"> </w:t>
      </w:r>
      <w:r>
        <w:rPr>
          <w:rFonts w:ascii="宋体" w:hAnsi="宋体" w:eastAsia="宋体" w:cs="宋体"/>
          <w:spacing w:val="8"/>
          <w:sz w:val="23"/>
          <w:szCs w:val="23"/>
        </w:rPr>
        <w:t>能达到《地表水资源质量标准》  (</w:t>
      </w:r>
      <w:r>
        <w:rPr>
          <w:rFonts w:ascii="Times New Roman" w:hAnsi="Times New Roman" w:eastAsia="Times New Roman" w:cs="Times New Roman"/>
          <w:sz w:val="23"/>
          <w:szCs w:val="23"/>
        </w:rPr>
        <w:t>SL</w:t>
      </w:r>
      <w:r>
        <w:rPr>
          <w:rFonts w:ascii="Times New Roman" w:hAnsi="Times New Roman" w:eastAsia="Times New Roman" w:cs="Times New Roman"/>
          <w:spacing w:val="8"/>
          <w:sz w:val="23"/>
          <w:szCs w:val="23"/>
        </w:rPr>
        <w:t>63-94</w:t>
      </w:r>
      <w:r>
        <w:rPr>
          <w:rFonts w:ascii="宋体" w:hAnsi="宋体" w:eastAsia="宋体" w:cs="宋体"/>
          <w:spacing w:val="8"/>
          <w:sz w:val="23"/>
          <w:szCs w:val="23"/>
        </w:rPr>
        <w:t>) 三级标准限值要求，</w:t>
      </w:r>
      <w:r>
        <w:rPr>
          <w:rFonts w:ascii="Times New Roman" w:hAnsi="Times New Roman" w:eastAsia="Times New Roman" w:cs="Times New Roman"/>
          <w:sz w:val="23"/>
          <w:szCs w:val="23"/>
        </w:rPr>
        <w:t>SW</w:t>
      </w:r>
      <w:r>
        <w:rPr>
          <w:rFonts w:ascii="Times New Roman" w:hAnsi="Times New Roman" w:eastAsia="Times New Roman" w:cs="Times New Roman"/>
          <w:spacing w:val="8"/>
          <w:sz w:val="23"/>
          <w:szCs w:val="23"/>
        </w:rPr>
        <w:t xml:space="preserve">1 </w:t>
      </w:r>
      <w:r>
        <w:rPr>
          <w:rFonts w:ascii="宋体" w:hAnsi="宋体" w:eastAsia="宋体" w:cs="宋体"/>
          <w:spacing w:val="8"/>
          <w:sz w:val="23"/>
          <w:szCs w:val="23"/>
        </w:rPr>
        <w:t>五日生</w:t>
      </w:r>
      <w:r>
        <w:rPr>
          <w:rFonts w:ascii="宋体" w:hAnsi="宋体" w:eastAsia="宋体" w:cs="宋体"/>
          <w:sz w:val="23"/>
          <w:szCs w:val="23"/>
        </w:rPr>
        <w:t xml:space="preserve"> </w:t>
      </w:r>
      <w:r>
        <w:rPr>
          <w:rFonts w:ascii="宋体" w:hAnsi="宋体" w:eastAsia="宋体" w:cs="宋体"/>
          <w:spacing w:val="18"/>
          <w:sz w:val="23"/>
          <w:szCs w:val="23"/>
        </w:rPr>
        <w:t>化</w:t>
      </w:r>
      <w:r>
        <w:rPr>
          <w:rFonts w:ascii="宋体" w:hAnsi="宋体" w:eastAsia="宋体" w:cs="宋体"/>
          <w:spacing w:val="10"/>
          <w:sz w:val="23"/>
          <w:szCs w:val="23"/>
        </w:rPr>
        <w:t>需</w:t>
      </w:r>
      <w:r>
        <w:rPr>
          <w:rFonts w:ascii="宋体" w:hAnsi="宋体" w:eastAsia="宋体" w:cs="宋体"/>
          <w:spacing w:val="9"/>
          <w:sz w:val="23"/>
          <w:szCs w:val="23"/>
        </w:rPr>
        <w:t>氧量超标原因主要是周边农业废水随地表径流汇入水库中导致的。</w:t>
      </w:r>
    </w:p>
    <w:p w14:paraId="020B1BF0">
      <w:pPr>
        <w:spacing w:before="5" w:line="303" w:lineRule="exact"/>
        <w:ind w:left="484"/>
        <w:rPr>
          <w:rFonts w:ascii="宋体" w:hAnsi="宋体" w:eastAsia="宋体" w:cs="宋体"/>
          <w:sz w:val="23"/>
          <w:szCs w:val="23"/>
        </w:rPr>
      </w:pPr>
      <w:r>
        <w:rPr>
          <w:rFonts w:ascii="Times New Roman" w:hAnsi="Times New Roman" w:eastAsia="Times New Roman" w:cs="Times New Roman"/>
          <w:b/>
          <w:bCs/>
          <w:spacing w:val="-4"/>
          <w:position w:val="1"/>
          <w:sz w:val="23"/>
          <w:szCs w:val="23"/>
        </w:rPr>
        <w:t>3</w:t>
      </w:r>
      <w:r>
        <w:rPr>
          <w:rFonts w:ascii="Times New Roman" w:hAnsi="Times New Roman" w:eastAsia="Times New Roman" w:cs="Times New Roman"/>
          <w:spacing w:val="-2"/>
          <w:position w:val="1"/>
          <w:sz w:val="23"/>
          <w:szCs w:val="23"/>
        </w:rPr>
        <w:t xml:space="preserve"> </w:t>
      </w:r>
      <w:r>
        <w:rPr>
          <w:rFonts w:ascii="宋体" w:hAnsi="宋体" w:eastAsia="宋体" w:cs="宋体"/>
          <w:spacing w:val="-2"/>
          <w:position w:val="1"/>
          <w:sz w:val="23"/>
          <w:szCs w:val="23"/>
          <w14:textOutline w14:w="4356" w14:cap="sq" w14:cmpd="sng" w14:algn="ctr">
            <w14:solidFill>
              <w14:srgbClr w14:val="000000"/>
            </w14:solidFill>
            <w14:prstDash w14:val="solid"/>
            <w14:bevel/>
          </w14:textOutline>
        </w:rPr>
        <w:t>、声环境</w:t>
      </w:r>
    </w:p>
    <w:p w14:paraId="7F3B8A5E">
      <w:pPr>
        <w:spacing w:before="165" w:line="227" w:lineRule="auto"/>
        <w:ind w:left="373"/>
        <w:rPr>
          <w:rFonts w:ascii="宋体" w:hAnsi="宋体" w:eastAsia="宋体" w:cs="宋体"/>
          <w:sz w:val="23"/>
          <w:szCs w:val="23"/>
        </w:rPr>
      </w:pPr>
      <w:r>
        <w:rPr>
          <w:rFonts w:ascii="宋体" w:hAnsi="宋体" w:eastAsia="宋体" w:cs="宋体"/>
          <w:spacing w:val="12"/>
          <w:sz w:val="23"/>
          <w:szCs w:val="23"/>
        </w:rPr>
        <w:t>各监</w:t>
      </w:r>
      <w:r>
        <w:rPr>
          <w:rFonts w:ascii="宋体" w:hAnsi="宋体" w:eastAsia="宋体" w:cs="宋体"/>
          <w:spacing w:val="8"/>
          <w:sz w:val="23"/>
          <w:szCs w:val="23"/>
        </w:rPr>
        <w:t>测</w:t>
      </w:r>
      <w:r>
        <w:rPr>
          <w:rFonts w:ascii="宋体" w:hAnsi="宋体" w:eastAsia="宋体" w:cs="宋体"/>
          <w:spacing w:val="6"/>
          <w:sz w:val="23"/>
          <w:szCs w:val="23"/>
        </w:rPr>
        <w:t>点昼间、夜间噪声均满足《声环境质量标准》  (</w:t>
      </w:r>
      <w:r>
        <w:rPr>
          <w:rFonts w:ascii="Times New Roman" w:hAnsi="Times New Roman" w:eastAsia="Times New Roman" w:cs="Times New Roman"/>
          <w:sz w:val="23"/>
          <w:szCs w:val="23"/>
        </w:rPr>
        <w:t>GB</w:t>
      </w:r>
      <w:r>
        <w:rPr>
          <w:rFonts w:ascii="Times New Roman" w:hAnsi="Times New Roman" w:eastAsia="Times New Roman" w:cs="Times New Roman"/>
          <w:spacing w:val="6"/>
          <w:sz w:val="23"/>
          <w:szCs w:val="23"/>
        </w:rPr>
        <w:t>3096-2008</w:t>
      </w:r>
      <w:r>
        <w:rPr>
          <w:rFonts w:ascii="宋体" w:hAnsi="宋体" w:eastAsia="宋体" w:cs="宋体"/>
          <w:spacing w:val="6"/>
          <w:sz w:val="23"/>
          <w:szCs w:val="23"/>
        </w:rPr>
        <w:t xml:space="preserve">) 中 </w:t>
      </w:r>
      <w:r>
        <w:rPr>
          <w:rFonts w:ascii="Times New Roman" w:hAnsi="Times New Roman" w:eastAsia="Times New Roman" w:cs="Times New Roman"/>
          <w:spacing w:val="6"/>
          <w:sz w:val="23"/>
          <w:szCs w:val="23"/>
        </w:rPr>
        <w:t xml:space="preserve">2 </w:t>
      </w:r>
      <w:r>
        <w:rPr>
          <w:rFonts w:ascii="宋体" w:hAnsi="宋体" w:eastAsia="宋体" w:cs="宋体"/>
          <w:spacing w:val="6"/>
          <w:sz w:val="23"/>
          <w:szCs w:val="23"/>
        </w:rPr>
        <w:t>类标准，区</w:t>
      </w:r>
    </w:p>
    <w:p w14:paraId="2A384398">
      <w:pPr>
        <w:spacing w:before="185" w:line="227" w:lineRule="auto"/>
        <w:ind w:left="11"/>
        <w:rPr>
          <w:rFonts w:ascii="宋体" w:hAnsi="宋体" w:eastAsia="宋体" w:cs="宋体"/>
          <w:sz w:val="23"/>
          <w:szCs w:val="23"/>
        </w:rPr>
      </w:pPr>
      <w:r>
        <w:rPr>
          <w:rFonts w:ascii="宋体" w:hAnsi="宋体" w:eastAsia="宋体" w:cs="宋体"/>
          <w:spacing w:val="9"/>
          <w:sz w:val="23"/>
          <w:szCs w:val="23"/>
        </w:rPr>
        <w:t>域</w:t>
      </w:r>
      <w:r>
        <w:rPr>
          <w:rFonts w:ascii="宋体" w:hAnsi="宋体" w:eastAsia="宋体" w:cs="宋体"/>
          <w:spacing w:val="8"/>
          <w:sz w:val="23"/>
          <w:szCs w:val="23"/>
        </w:rPr>
        <w:t>声环境质量现状良好。</w:t>
      </w:r>
    </w:p>
    <w:p w14:paraId="4B85E9F9">
      <w:pPr>
        <w:spacing w:before="185" w:line="303" w:lineRule="exact"/>
        <w:ind w:left="486"/>
        <w:rPr>
          <w:rFonts w:ascii="宋体" w:hAnsi="宋体" w:eastAsia="宋体" w:cs="宋体"/>
          <w:sz w:val="23"/>
          <w:szCs w:val="23"/>
        </w:rPr>
      </w:pPr>
      <w:r>
        <w:rPr>
          <w:rFonts w:ascii="Times New Roman" w:hAnsi="Times New Roman" w:eastAsia="Times New Roman" w:cs="Times New Roman"/>
          <w:b/>
          <w:bCs/>
          <w:spacing w:val="1"/>
          <w:position w:val="1"/>
          <w:sz w:val="23"/>
          <w:szCs w:val="23"/>
        </w:rPr>
        <w:t>4</w:t>
      </w:r>
      <w:r>
        <w:rPr>
          <w:rFonts w:ascii="Times New Roman" w:hAnsi="Times New Roman" w:eastAsia="Times New Roman" w:cs="Times New Roman"/>
          <w:spacing w:val="1"/>
          <w:position w:val="1"/>
          <w:sz w:val="23"/>
          <w:szCs w:val="23"/>
        </w:rPr>
        <w:t xml:space="preserve"> </w:t>
      </w:r>
      <w:r>
        <w:rPr>
          <w:rFonts w:ascii="宋体" w:hAnsi="宋体" w:eastAsia="宋体" w:cs="宋体"/>
          <w:spacing w:val="1"/>
          <w:position w:val="1"/>
          <w:sz w:val="23"/>
          <w:szCs w:val="23"/>
          <w14:textOutline w14:w="4356" w14:cap="sq" w14:cmpd="sng" w14:algn="ctr">
            <w14:solidFill>
              <w14:srgbClr w14:val="000000"/>
            </w14:solidFill>
            <w14:prstDash w14:val="solid"/>
            <w14:bevel/>
          </w14:textOutline>
        </w:rPr>
        <w:t>、</w:t>
      </w:r>
      <w:r>
        <w:rPr>
          <w:rFonts w:ascii="宋体" w:hAnsi="宋体" w:eastAsia="宋体" w:cs="宋体"/>
          <w:position w:val="1"/>
          <w:sz w:val="23"/>
          <w:szCs w:val="23"/>
          <w14:textOutline w14:w="4356" w14:cap="sq" w14:cmpd="sng" w14:algn="ctr">
            <w14:solidFill>
              <w14:srgbClr w14:val="000000"/>
            </w14:solidFill>
            <w14:prstDash w14:val="solid"/>
            <w14:bevel/>
          </w14:textOutline>
        </w:rPr>
        <w:t>地下水环境</w:t>
      </w:r>
    </w:p>
    <w:p w14:paraId="6B6DC16F">
      <w:pPr>
        <w:spacing w:before="122" w:line="387" w:lineRule="auto"/>
        <w:ind w:left="32" w:firstLine="457"/>
        <w:rPr>
          <w:rFonts w:ascii="宋体" w:hAnsi="宋体" w:eastAsia="宋体" w:cs="宋体"/>
          <w:sz w:val="23"/>
          <w:szCs w:val="23"/>
        </w:rPr>
      </w:pPr>
      <w:r>
        <w:rPr>
          <w:rFonts w:ascii="宋体" w:hAnsi="宋体" w:eastAsia="宋体" w:cs="宋体"/>
          <w:spacing w:val="6"/>
          <w:sz w:val="23"/>
          <w:szCs w:val="23"/>
        </w:rPr>
        <w:t>根据监测，各监测点位的</w:t>
      </w:r>
      <w:r>
        <w:rPr>
          <w:rFonts w:ascii="宋体" w:hAnsi="宋体" w:eastAsia="宋体" w:cs="宋体"/>
          <w:spacing w:val="4"/>
          <w:sz w:val="23"/>
          <w:szCs w:val="23"/>
        </w:rPr>
        <w:t>各</w:t>
      </w:r>
      <w:r>
        <w:rPr>
          <w:rFonts w:ascii="宋体" w:hAnsi="宋体" w:eastAsia="宋体" w:cs="宋体"/>
          <w:spacing w:val="3"/>
          <w:sz w:val="23"/>
          <w:szCs w:val="23"/>
        </w:rPr>
        <w:t>项监测因子均能满足《地下水质量标准》(</w:t>
      </w:r>
      <w:r>
        <w:rPr>
          <w:rFonts w:ascii="Times New Roman" w:hAnsi="Times New Roman" w:eastAsia="Times New Roman" w:cs="Times New Roman"/>
          <w:sz w:val="23"/>
          <w:szCs w:val="23"/>
        </w:rPr>
        <w:t>GB</w:t>
      </w:r>
      <w:r>
        <w:rPr>
          <w:rFonts w:ascii="Times New Roman" w:hAnsi="Times New Roman" w:eastAsia="Times New Roman" w:cs="Times New Roman"/>
          <w:spacing w:val="3"/>
          <w:sz w:val="23"/>
          <w:szCs w:val="23"/>
        </w:rPr>
        <w:t>/</w:t>
      </w:r>
      <w:r>
        <w:rPr>
          <w:rFonts w:ascii="Times New Roman" w:hAnsi="Times New Roman" w:eastAsia="Times New Roman" w:cs="Times New Roman"/>
          <w:sz w:val="23"/>
          <w:szCs w:val="23"/>
        </w:rPr>
        <w:t>T</w:t>
      </w:r>
      <w:r>
        <w:rPr>
          <w:rFonts w:ascii="Times New Roman" w:hAnsi="Times New Roman" w:eastAsia="Times New Roman" w:cs="Times New Roman"/>
          <w:spacing w:val="3"/>
          <w:sz w:val="23"/>
          <w:szCs w:val="23"/>
        </w:rPr>
        <w:t xml:space="preserve"> 14848-2017</w:t>
      </w:r>
      <w:r>
        <w:rPr>
          <w:rFonts w:ascii="宋体" w:hAnsi="宋体" w:eastAsia="宋体" w:cs="宋体"/>
          <w:spacing w:val="3"/>
          <w:sz w:val="23"/>
          <w:szCs w:val="23"/>
        </w:rPr>
        <w:t>)</w:t>
      </w:r>
      <w:r>
        <w:rPr>
          <w:rFonts w:ascii="宋体" w:hAnsi="宋体" w:eastAsia="宋体" w:cs="宋体"/>
          <w:sz w:val="23"/>
          <w:szCs w:val="23"/>
        </w:rPr>
        <w:t xml:space="preserve"> </w:t>
      </w:r>
      <w:r>
        <w:rPr>
          <w:rFonts w:ascii="宋体" w:hAnsi="宋体" w:eastAsia="宋体" w:cs="宋体"/>
          <w:spacing w:val="10"/>
          <w:sz w:val="23"/>
          <w:szCs w:val="23"/>
        </w:rPr>
        <w:t>中</w:t>
      </w:r>
      <w:r>
        <w:rPr>
          <w:rFonts w:ascii="宋体" w:hAnsi="宋体" w:eastAsia="宋体" w:cs="宋体"/>
          <w:spacing w:val="5"/>
          <w:sz w:val="23"/>
          <w:szCs w:val="23"/>
        </w:rPr>
        <w:t>的</w:t>
      </w:r>
      <w:r>
        <w:rPr>
          <w:rFonts w:ascii="Times New Roman" w:hAnsi="Times New Roman" w:eastAsia="Times New Roman" w:cs="Times New Roman"/>
          <w:sz w:val="23"/>
          <w:szCs w:val="23"/>
        </w:rPr>
        <w:t>III</w:t>
      </w:r>
      <w:r>
        <w:rPr>
          <w:rFonts w:ascii="宋体" w:hAnsi="宋体" w:eastAsia="宋体" w:cs="宋体"/>
          <w:spacing w:val="5"/>
          <w:sz w:val="23"/>
          <w:szCs w:val="23"/>
        </w:rPr>
        <w:t>类标准要求。</w:t>
      </w:r>
    </w:p>
    <w:p w14:paraId="6CA2A034">
      <w:pPr>
        <w:spacing w:before="15" w:line="303" w:lineRule="exact"/>
        <w:ind w:left="488"/>
        <w:rPr>
          <w:rFonts w:ascii="宋体" w:hAnsi="宋体" w:eastAsia="宋体" w:cs="宋体"/>
          <w:sz w:val="23"/>
          <w:szCs w:val="23"/>
        </w:rPr>
      </w:pPr>
      <w:r>
        <w:rPr>
          <w:rFonts w:ascii="Times New Roman" w:hAnsi="Times New Roman" w:eastAsia="Times New Roman" w:cs="Times New Roman"/>
          <w:b/>
          <w:bCs/>
          <w:spacing w:val="-2"/>
          <w:position w:val="2"/>
          <w:sz w:val="23"/>
          <w:szCs w:val="23"/>
        </w:rPr>
        <w:t>5</w:t>
      </w:r>
      <w:r>
        <w:rPr>
          <w:rFonts w:ascii="Times New Roman" w:hAnsi="Times New Roman" w:eastAsia="Times New Roman" w:cs="Times New Roman"/>
          <w:spacing w:val="-2"/>
          <w:position w:val="2"/>
          <w:sz w:val="23"/>
          <w:szCs w:val="23"/>
        </w:rPr>
        <w:t xml:space="preserve"> </w:t>
      </w:r>
      <w:r>
        <w:rPr>
          <w:rFonts w:ascii="宋体" w:hAnsi="宋体" w:eastAsia="宋体" w:cs="宋体"/>
          <w:spacing w:val="-1"/>
          <w:position w:val="2"/>
          <w:sz w:val="23"/>
          <w:szCs w:val="23"/>
          <w14:textOutline w14:w="4356" w14:cap="sq" w14:cmpd="sng" w14:algn="ctr">
            <w14:solidFill>
              <w14:srgbClr w14:val="000000"/>
            </w14:solidFill>
            <w14:prstDash w14:val="solid"/>
            <w14:bevel/>
          </w14:textOutline>
        </w:rPr>
        <w:t>、土壤环境</w:t>
      </w:r>
    </w:p>
    <w:p w14:paraId="35E8E5D9">
      <w:pPr>
        <w:spacing w:before="166" w:line="381" w:lineRule="auto"/>
        <w:ind w:left="12" w:right="96" w:firstLine="542"/>
        <w:rPr>
          <w:rFonts w:ascii="宋体" w:hAnsi="宋体" w:eastAsia="宋体" w:cs="宋体"/>
          <w:sz w:val="23"/>
          <w:szCs w:val="23"/>
        </w:rPr>
      </w:pPr>
      <w:r>
        <w:rPr>
          <w:rFonts w:ascii="宋体" w:hAnsi="宋体" w:eastAsia="宋体" w:cs="宋体"/>
          <w:spacing w:val="16"/>
          <w:sz w:val="23"/>
          <w:szCs w:val="23"/>
        </w:rPr>
        <w:t>根</w:t>
      </w:r>
      <w:r>
        <w:rPr>
          <w:rFonts w:ascii="宋体" w:hAnsi="宋体" w:eastAsia="宋体" w:cs="宋体"/>
          <w:spacing w:val="13"/>
          <w:sz w:val="23"/>
          <w:szCs w:val="23"/>
        </w:rPr>
        <w:t>据</w:t>
      </w:r>
      <w:r>
        <w:rPr>
          <w:rFonts w:ascii="宋体" w:hAnsi="宋体" w:eastAsia="宋体" w:cs="宋体"/>
          <w:spacing w:val="8"/>
          <w:sz w:val="23"/>
          <w:szCs w:val="23"/>
        </w:rPr>
        <w:t>土壤现状监测结果，项目周边土壤各项监测因子均能达到《土壤环境质量标准 农</w:t>
      </w:r>
      <w:r>
        <w:rPr>
          <w:rFonts w:ascii="宋体" w:hAnsi="宋体" w:eastAsia="宋体" w:cs="宋体"/>
          <w:sz w:val="23"/>
          <w:szCs w:val="23"/>
        </w:rPr>
        <w:t xml:space="preserve"> </w:t>
      </w:r>
      <w:r>
        <w:rPr>
          <w:rFonts w:ascii="宋体" w:hAnsi="宋体" w:eastAsia="宋体" w:cs="宋体"/>
          <w:spacing w:val="14"/>
          <w:sz w:val="23"/>
          <w:szCs w:val="23"/>
        </w:rPr>
        <w:t>用</w:t>
      </w:r>
      <w:r>
        <w:rPr>
          <w:rFonts w:ascii="宋体" w:hAnsi="宋体" w:eastAsia="宋体" w:cs="宋体"/>
          <w:spacing w:val="13"/>
          <w:sz w:val="23"/>
          <w:szCs w:val="23"/>
        </w:rPr>
        <w:t>地</w:t>
      </w:r>
      <w:r>
        <w:rPr>
          <w:rFonts w:ascii="宋体" w:hAnsi="宋体" w:eastAsia="宋体" w:cs="宋体"/>
          <w:spacing w:val="7"/>
          <w:sz w:val="23"/>
          <w:szCs w:val="23"/>
        </w:rPr>
        <w:t>土壤污染风险管控标准 (试行) 》  (</w:t>
      </w:r>
      <w:r>
        <w:rPr>
          <w:rFonts w:ascii="Times New Roman" w:hAnsi="Times New Roman" w:eastAsia="Times New Roman" w:cs="Times New Roman"/>
          <w:sz w:val="23"/>
          <w:szCs w:val="23"/>
        </w:rPr>
        <w:t>GB</w:t>
      </w:r>
      <w:r>
        <w:rPr>
          <w:rFonts w:ascii="Times New Roman" w:hAnsi="Times New Roman" w:eastAsia="Times New Roman" w:cs="Times New Roman"/>
          <w:spacing w:val="7"/>
          <w:sz w:val="23"/>
          <w:szCs w:val="23"/>
        </w:rPr>
        <w:t>15618-2018</w:t>
      </w:r>
      <w:r>
        <w:rPr>
          <w:rFonts w:ascii="宋体" w:hAnsi="宋体" w:eastAsia="宋体" w:cs="宋体"/>
          <w:spacing w:val="7"/>
          <w:sz w:val="23"/>
          <w:szCs w:val="23"/>
        </w:rPr>
        <w:t>) 农用地土壤污染风险筛选值，项</w:t>
      </w:r>
      <w:r>
        <w:rPr>
          <w:rFonts w:ascii="宋体" w:hAnsi="宋体" w:eastAsia="宋体" w:cs="宋体"/>
          <w:sz w:val="23"/>
          <w:szCs w:val="23"/>
        </w:rPr>
        <w:t xml:space="preserve"> </w:t>
      </w:r>
      <w:r>
        <w:rPr>
          <w:rFonts w:ascii="宋体" w:hAnsi="宋体" w:eastAsia="宋体" w:cs="宋体"/>
          <w:spacing w:val="8"/>
          <w:sz w:val="23"/>
          <w:szCs w:val="23"/>
        </w:rPr>
        <w:t>目所在地土壤质地良好。</w:t>
      </w:r>
    </w:p>
    <w:p w14:paraId="42C69285">
      <w:pPr>
        <w:sectPr>
          <w:headerReference r:id="rId339" w:type="default"/>
          <w:footerReference r:id="rId340" w:type="default"/>
          <w:pgSz w:w="11906" w:h="16839"/>
          <w:pgMar w:top="1118" w:right="1035" w:bottom="1168" w:left="1275" w:header="878" w:footer="1008" w:gutter="0"/>
          <w:cols w:space="720" w:num="1"/>
        </w:sectPr>
      </w:pPr>
    </w:p>
    <w:p w14:paraId="56EFC63E">
      <w:pPr>
        <w:spacing w:before="272" w:line="228" w:lineRule="auto"/>
        <w:ind w:left="16"/>
        <w:outlineLvl w:val="2"/>
        <w:rPr>
          <w:rFonts w:ascii="宋体" w:hAnsi="宋体" w:eastAsia="宋体" w:cs="宋体"/>
          <w:sz w:val="23"/>
          <w:szCs w:val="23"/>
        </w:rPr>
      </w:pPr>
      <w:r>
        <w:rPr>
          <w:rFonts w:ascii="Times New Roman" w:hAnsi="Times New Roman" w:eastAsia="Times New Roman" w:cs="Times New Roman"/>
          <w:b/>
          <w:bCs/>
          <w:spacing w:val="7"/>
          <w:sz w:val="23"/>
          <w:szCs w:val="23"/>
        </w:rPr>
        <w:t>11.1.4</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14:textOutline w14:w="4356" w14:cap="sq" w14:cmpd="sng" w14:algn="ctr">
            <w14:solidFill>
              <w14:srgbClr w14:val="000000"/>
            </w14:solidFill>
            <w14:prstDash w14:val="solid"/>
            <w14:bevel/>
          </w14:textOutline>
        </w:rPr>
        <w:t>达标排放及污染防治措施有效</w:t>
      </w:r>
      <w:r>
        <w:rPr>
          <w:rFonts w:ascii="宋体" w:hAnsi="宋体" w:eastAsia="宋体" w:cs="宋体"/>
          <w:spacing w:val="4"/>
          <w:sz w:val="23"/>
          <w:szCs w:val="23"/>
          <w14:textOutline w14:w="4356" w14:cap="sq" w14:cmpd="sng" w14:algn="ctr">
            <w14:solidFill>
              <w14:srgbClr w14:val="000000"/>
            </w14:solidFill>
            <w14:prstDash w14:val="solid"/>
            <w14:bevel/>
          </w14:textOutline>
        </w:rPr>
        <w:t>性</w:t>
      </w:r>
    </w:p>
    <w:p w14:paraId="47950EC4">
      <w:pPr>
        <w:spacing w:before="178" w:line="376" w:lineRule="auto"/>
        <w:ind w:left="9" w:right="53" w:firstLine="601"/>
        <w:rPr>
          <w:rFonts w:ascii="宋体" w:hAnsi="宋体" w:eastAsia="宋体" w:cs="宋体"/>
          <w:sz w:val="23"/>
          <w:szCs w:val="23"/>
        </w:rPr>
      </w:pPr>
      <w:r>
        <w:rPr>
          <w:rFonts w:ascii="宋体" w:hAnsi="宋体" w:eastAsia="宋体" w:cs="宋体"/>
          <w:spacing w:val="18"/>
          <w:sz w:val="23"/>
          <w:szCs w:val="23"/>
        </w:rPr>
        <w:t>本项</w:t>
      </w:r>
      <w:r>
        <w:rPr>
          <w:rFonts w:ascii="宋体" w:hAnsi="宋体" w:eastAsia="宋体" w:cs="宋体"/>
          <w:spacing w:val="17"/>
          <w:sz w:val="23"/>
          <w:szCs w:val="23"/>
        </w:rPr>
        <w:t>目</w:t>
      </w:r>
      <w:r>
        <w:rPr>
          <w:rFonts w:ascii="宋体" w:hAnsi="宋体" w:eastAsia="宋体" w:cs="宋体"/>
          <w:spacing w:val="9"/>
          <w:sz w:val="23"/>
          <w:szCs w:val="23"/>
        </w:rPr>
        <w:t>运营后，生活污水经隔油池、化粪池处理后用作业主自有林地灌溉；养殖废水</w:t>
      </w:r>
      <w:r>
        <w:rPr>
          <w:rFonts w:ascii="宋体" w:hAnsi="宋体" w:eastAsia="宋体" w:cs="宋体"/>
          <w:sz w:val="23"/>
          <w:szCs w:val="23"/>
        </w:rPr>
        <w:t xml:space="preserve"> </w:t>
      </w:r>
      <w:r>
        <w:rPr>
          <w:rFonts w:ascii="宋体" w:hAnsi="宋体" w:eastAsia="宋体" w:cs="宋体"/>
          <w:spacing w:val="12"/>
          <w:sz w:val="23"/>
          <w:szCs w:val="23"/>
        </w:rPr>
        <w:t>目</w:t>
      </w:r>
      <w:r>
        <w:rPr>
          <w:rFonts w:ascii="宋体" w:hAnsi="宋体" w:eastAsia="宋体" w:cs="宋体"/>
          <w:spacing w:val="7"/>
          <w:sz w:val="23"/>
          <w:szCs w:val="23"/>
        </w:rPr>
        <w:t>前拟运输至乐山乐高勤力生物质能源综合利用有限公司集中处置，日产日清，同时，厂区</w:t>
      </w:r>
      <w:r>
        <w:rPr>
          <w:rFonts w:ascii="宋体" w:hAnsi="宋体" w:eastAsia="宋体" w:cs="宋体"/>
          <w:sz w:val="23"/>
          <w:szCs w:val="23"/>
        </w:rPr>
        <w:t xml:space="preserve"> </w:t>
      </w:r>
      <w:r>
        <w:rPr>
          <w:rFonts w:ascii="宋体" w:hAnsi="宋体" w:eastAsia="宋体" w:cs="宋体"/>
          <w:spacing w:val="12"/>
          <w:sz w:val="23"/>
          <w:szCs w:val="23"/>
        </w:rPr>
        <w:t>还</w:t>
      </w:r>
      <w:r>
        <w:rPr>
          <w:rFonts w:ascii="宋体" w:hAnsi="宋体" w:eastAsia="宋体" w:cs="宋体"/>
          <w:spacing w:val="7"/>
          <w:sz w:val="23"/>
          <w:szCs w:val="23"/>
        </w:rPr>
        <w:t>配套建设一套发酵床备用，若后期乐山乐高勤力生物质能源综合利用有限公司不再回收厂</w:t>
      </w:r>
      <w:r>
        <w:rPr>
          <w:rFonts w:ascii="宋体" w:hAnsi="宋体" w:eastAsia="宋体" w:cs="宋体"/>
          <w:sz w:val="23"/>
          <w:szCs w:val="23"/>
        </w:rPr>
        <w:t xml:space="preserve"> </w:t>
      </w:r>
      <w:r>
        <w:rPr>
          <w:rFonts w:ascii="宋体" w:hAnsi="宋体" w:eastAsia="宋体" w:cs="宋体"/>
          <w:spacing w:val="12"/>
          <w:sz w:val="23"/>
          <w:szCs w:val="23"/>
        </w:rPr>
        <w:t>区</w:t>
      </w:r>
      <w:r>
        <w:rPr>
          <w:rFonts w:ascii="宋体" w:hAnsi="宋体" w:eastAsia="宋体" w:cs="宋体"/>
          <w:spacing w:val="7"/>
          <w:sz w:val="23"/>
          <w:szCs w:val="23"/>
        </w:rPr>
        <w:t>内的养殖废水，可将通过异位发酵床自行处置，处理产生的有机肥外售处理；水帘降温系</w:t>
      </w:r>
      <w:r>
        <w:rPr>
          <w:rFonts w:ascii="宋体" w:hAnsi="宋体" w:eastAsia="宋体" w:cs="宋体"/>
          <w:sz w:val="23"/>
          <w:szCs w:val="23"/>
        </w:rPr>
        <w:t xml:space="preserve"> </w:t>
      </w:r>
      <w:r>
        <w:rPr>
          <w:rFonts w:ascii="宋体" w:hAnsi="宋体" w:eastAsia="宋体" w:cs="宋体"/>
          <w:spacing w:val="12"/>
          <w:sz w:val="23"/>
          <w:szCs w:val="23"/>
        </w:rPr>
        <w:t>统</w:t>
      </w:r>
      <w:r>
        <w:rPr>
          <w:rFonts w:ascii="宋体" w:hAnsi="宋体" w:eastAsia="宋体" w:cs="宋体"/>
          <w:spacing w:val="7"/>
          <w:sz w:val="23"/>
          <w:szCs w:val="23"/>
        </w:rPr>
        <w:t>废水采用循环池收集后循环利用，不外排。食堂餐饮油烟经油烟净化器收集处理后达《饮</w:t>
      </w:r>
      <w:r>
        <w:rPr>
          <w:rFonts w:ascii="宋体" w:hAnsi="宋体" w:eastAsia="宋体" w:cs="宋体"/>
          <w:sz w:val="23"/>
          <w:szCs w:val="23"/>
        </w:rPr>
        <w:t xml:space="preserve"> </w:t>
      </w:r>
      <w:r>
        <w:rPr>
          <w:rFonts w:ascii="宋体" w:hAnsi="宋体" w:eastAsia="宋体" w:cs="宋体"/>
          <w:spacing w:val="6"/>
          <w:sz w:val="23"/>
          <w:szCs w:val="23"/>
        </w:rPr>
        <w:t>食业油烟排放标准》  (</w:t>
      </w:r>
      <w:r>
        <w:rPr>
          <w:rFonts w:ascii="Times New Roman" w:hAnsi="Times New Roman" w:eastAsia="Times New Roman" w:cs="Times New Roman"/>
          <w:sz w:val="23"/>
          <w:szCs w:val="23"/>
        </w:rPr>
        <w:t>GB</w:t>
      </w:r>
      <w:r>
        <w:rPr>
          <w:rFonts w:ascii="Times New Roman" w:hAnsi="Times New Roman" w:eastAsia="Times New Roman" w:cs="Times New Roman"/>
          <w:spacing w:val="6"/>
          <w:sz w:val="23"/>
          <w:szCs w:val="23"/>
        </w:rPr>
        <w:t>18483-2001</w:t>
      </w:r>
      <w:r>
        <w:rPr>
          <w:rFonts w:ascii="宋体" w:hAnsi="宋体" w:eastAsia="宋体" w:cs="宋体"/>
          <w:spacing w:val="6"/>
          <w:sz w:val="23"/>
          <w:szCs w:val="23"/>
        </w:rPr>
        <w:t>) 中的标准引致屋顶排放；恶臭气体通过机械刮</w:t>
      </w:r>
      <w:r>
        <w:rPr>
          <w:rFonts w:ascii="宋体" w:hAnsi="宋体" w:eastAsia="宋体" w:cs="宋体"/>
          <w:spacing w:val="4"/>
          <w:sz w:val="23"/>
          <w:szCs w:val="23"/>
        </w:rPr>
        <w:t>粪</w:t>
      </w:r>
      <w:r>
        <w:rPr>
          <w:rFonts w:ascii="宋体" w:hAnsi="宋体" w:eastAsia="宋体" w:cs="宋体"/>
          <w:sz w:val="23"/>
          <w:szCs w:val="23"/>
        </w:rPr>
        <w:t xml:space="preserve">工 </w:t>
      </w:r>
      <w:r>
        <w:rPr>
          <w:rFonts w:ascii="宋体" w:hAnsi="宋体" w:eastAsia="宋体" w:cs="宋体"/>
          <w:spacing w:val="16"/>
          <w:sz w:val="23"/>
          <w:szCs w:val="23"/>
        </w:rPr>
        <w:t>艺</w:t>
      </w:r>
      <w:r>
        <w:rPr>
          <w:rFonts w:ascii="宋体" w:hAnsi="宋体" w:eastAsia="宋体" w:cs="宋体"/>
          <w:spacing w:val="13"/>
          <w:sz w:val="23"/>
          <w:szCs w:val="23"/>
        </w:rPr>
        <w:t>，</w:t>
      </w:r>
      <w:r>
        <w:rPr>
          <w:rFonts w:ascii="宋体" w:hAnsi="宋体" w:eastAsia="宋体" w:cs="宋体"/>
          <w:spacing w:val="8"/>
          <w:sz w:val="23"/>
          <w:szCs w:val="23"/>
        </w:rPr>
        <w:t>将粪便、尿液及时清理处理，提高饲料利用率，合理使用饲料添加剂，加强猪舍通风，</w:t>
      </w:r>
      <w:r>
        <w:rPr>
          <w:rFonts w:ascii="宋体" w:hAnsi="宋体" w:eastAsia="宋体" w:cs="宋体"/>
          <w:sz w:val="23"/>
          <w:szCs w:val="23"/>
        </w:rPr>
        <w:t xml:space="preserve"> </w:t>
      </w:r>
      <w:r>
        <w:rPr>
          <w:rFonts w:ascii="宋体" w:hAnsi="宋体" w:eastAsia="宋体" w:cs="宋体"/>
          <w:spacing w:val="12"/>
          <w:sz w:val="23"/>
          <w:szCs w:val="23"/>
        </w:rPr>
        <w:t>定</w:t>
      </w:r>
      <w:r>
        <w:rPr>
          <w:rFonts w:ascii="宋体" w:hAnsi="宋体" w:eastAsia="宋体" w:cs="宋体"/>
          <w:spacing w:val="7"/>
          <w:sz w:val="23"/>
          <w:szCs w:val="23"/>
        </w:rPr>
        <w:t>期进行消毒、定期喷洒除臭剂，定期进行杀虫灭蝇工作，加强场区绿化等进行治理，无组</w:t>
      </w:r>
      <w:r>
        <w:rPr>
          <w:rFonts w:ascii="宋体" w:hAnsi="宋体" w:eastAsia="宋体" w:cs="宋体"/>
          <w:sz w:val="23"/>
          <w:szCs w:val="23"/>
        </w:rPr>
        <w:t xml:space="preserve"> </w:t>
      </w:r>
      <w:r>
        <w:rPr>
          <w:rFonts w:ascii="宋体" w:hAnsi="宋体" w:eastAsia="宋体" w:cs="宋体"/>
          <w:spacing w:val="8"/>
          <w:sz w:val="23"/>
          <w:szCs w:val="23"/>
        </w:rPr>
        <w:t>织排放的臭</w:t>
      </w:r>
      <w:r>
        <w:rPr>
          <w:rFonts w:ascii="宋体" w:hAnsi="宋体" w:eastAsia="宋体" w:cs="宋体"/>
          <w:spacing w:val="6"/>
          <w:sz w:val="23"/>
          <w:szCs w:val="23"/>
        </w:rPr>
        <w:t>气</w:t>
      </w:r>
      <w:r>
        <w:rPr>
          <w:rFonts w:ascii="宋体" w:hAnsi="宋体" w:eastAsia="宋体" w:cs="宋体"/>
          <w:spacing w:val="4"/>
          <w:sz w:val="23"/>
          <w:szCs w:val="23"/>
        </w:rPr>
        <w:t>浓度满足《畜禽养殖业污染物排放标准》  (</w:t>
      </w:r>
      <w:r>
        <w:rPr>
          <w:rFonts w:ascii="Times New Roman" w:hAnsi="Times New Roman" w:eastAsia="Times New Roman" w:cs="Times New Roman"/>
          <w:sz w:val="23"/>
          <w:szCs w:val="23"/>
        </w:rPr>
        <w:t>GB</w:t>
      </w:r>
      <w:r>
        <w:rPr>
          <w:rFonts w:ascii="Times New Roman" w:hAnsi="Times New Roman" w:eastAsia="Times New Roman" w:cs="Times New Roman"/>
          <w:spacing w:val="4"/>
          <w:sz w:val="23"/>
          <w:szCs w:val="23"/>
        </w:rPr>
        <w:t>18596-2001</w:t>
      </w:r>
      <w:r>
        <w:rPr>
          <w:rFonts w:ascii="宋体" w:hAnsi="宋体" w:eastAsia="宋体" w:cs="宋体"/>
          <w:spacing w:val="4"/>
          <w:sz w:val="23"/>
          <w:szCs w:val="23"/>
        </w:rPr>
        <w:t>) ；</w:t>
      </w:r>
      <w:r>
        <w:rPr>
          <w:rFonts w:ascii="Times New Roman" w:hAnsi="Times New Roman" w:eastAsia="Times New Roman" w:cs="Times New Roman"/>
          <w:sz w:val="23"/>
          <w:szCs w:val="23"/>
        </w:rPr>
        <w:t>H</w:t>
      </w:r>
      <w:r>
        <w:rPr>
          <w:rFonts w:ascii="Times New Roman" w:hAnsi="Times New Roman" w:eastAsia="Times New Roman" w:cs="Times New Roman"/>
          <w:spacing w:val="4"/>
          <w:position w:val="-1"/>
          <w:sz w:val="15"/>
          <w:szCs w:val="15"/>
        </w:rPr>
        <w:t>2</w:t>
      </w:r>
      <w:r>
        <w:rPr>
          <w:rFonts w:ascii="Times New Roman" w:hAnsi="Times New Roman" w:eastAsia="Times New Roman" w:cs="Times New Roman"/>
          <w:sz w:val="23"/>
          <w:szCs w:val="23"/>
        </w:rPr>
        <w:t>S</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rPr>
        <w:t>、</w:t>
      </w:r>
      <w:r>
        <w:rPr>
          <w:rFonts w:ascii="Times New Roman" w:hAnsi="Times New Roman" w:eastAsia="Times New Roman" w:cs="Times New Roman"/>
          <w:sz w:val="23"/>
          <w:szCs w:val="23"/>
        </w:rPr>
        <w:t>NH</w:t>
      </w:r>
      <w:r>
        <w:rPr>
          <w:rFonts w:ascii="Times New Roman" w:hAnsi="Times New Roman" w:eastAsia="Times New Roman" w:cs="Times New Roman"/>
          <w:spacing w:val="4"/>
          <w:position w:val="-1"/>
          <w:sz w:val="15"/>
          <w:szCs w:val="15"/>
        </w:rPr>
        <w:t>3</w:t>
      </w:r>
      <w:r>
        <w:rPr>
          <w:rFonts w:ascii="宋体" w:hAnsi="宋体" w:eastAsia="宋体" w:cs="宋体"/>
          <w:spacing w:val="4"/>
          <w:sz w:val="23"/>
          <w:szCs w:val="23"/>
        </w:rPr>
        <w:t>满足</w:t>
      </w:r>
      <w:r>
        <w:rPr>
          <w:rFonts w:ascii="宋体" w:hAnsi="宋体" w:eastAsia="宋体" w:cs="宋体"/>
          <w:sz w:val="23"/>
          <w:szCs w:val="23"/>
        </w:rPr>
        <w:t xml:space="preserve"> </w:t>
      </w:r>
      <w:r>
        <w:rPr>
          <w:rFonts w:ascii="宋体" w:hAnsi="宋体" w:eastAsia="宋体" w:cs="宋体"/>
          <w:spacing w:val="6"/>
          <w:sz w:val="23"/>
          <w:szCs w:val="23"/>
        </w:rPr>
        <w:t>《恶臭污染物排放标准》  (</w:t>
      </w:r>
      <w:r>
        <w:rPr>
          <w:rFonts w:ascii="Times New Roman" w:hAnsi="Times New Roman" w:eastAsia="Times New Roman" w:cs="Times New Roman"/>
          <w:sz w:val="23"/>
          <w:szCs w:val="23"/>
        </w:rPr>
        <w:t>GB</w:t>
      </w:r>
      <w:r>
        <w:rPr>
          <w:rFonts w:ascii="Times New Roman" w:hAnsi="Times New Roman" w:eastAsia="Times New Roman" w:cs="Times New Roman"/>
          <w:spacing w:val="6"/>
          <w:sz w:val="23"/>
          <w:szCs w:val="23"/>
        </w:rPr>
        <w:t>14554-93</w:t>
      </w:r>
      <w:r>
        <w:rPr>
          <w:rFonts w:ascii="宋体" w:hAnsi="宋体" w:eastAsia="宋体" w:cs="宋体"/>
          <w:spacing w:val="6"/>
          <w:sz w:val="23"/>
          <w:szCs w:val="23"/>
        </w:rPr>
        <w:t>) 二级标准。营运期噪声排放能够满足《工业企</w:t>
      </w:r>
      <w:r>
        <w:rPr>
          <w:rFonts w:ascii="宋体" w:hAnsi="宋体" w:eastAsia="宋体" w:cs="宋体"/>
          <w:spacing w:val="4"/>
          <w:sz w:val="23"/>
          <w:szCs w:val="23"/>
        </w:rPr>
        <w:t>业</w:t>
      </w:r>
      <w:r>
        <w:rPr>
          <w:rFonts w:ascii="宋体" w:hAnsi="宋体" w:eastAsia="宋体" w:cs="宋体"/>
          <w:sz w:val="23"/>
          <w:szCs w:val="23"/>
        </w:rPr>
        <w:t xml:space="preserve"> </w:t>
      </w:r>
      <w:r>
        <w:rPr>
          <w:rFonts w:ascii="宋体" w:hAnsi="宋体" w:eastAsia="宋体" w:cs="宋体"/>
          <w:spacing w:val="5"/>
          <w:sz w:val="23"/>
          <w:szCs w:val="23"/>
        </w:rPr>
        <w:t>厂界环境噪声排放标准》  (</w:t>
      </w:r>
      <w:r>
        <w:rPr>
          <w:rFonts w:ascii="Times New Roman" w:hAnsi="Times New Roman" w:eastAsia="Times New Roman" w:cs="Times New Roman"/>
          <w:sz w:val="23"/>
          <w:szCs w:val="23"/>
        </w:rPr>
        <w:t>GB</w:t>
      </w:r>
      <w:r>
        <w:rPr>
          <w:rFonts w:ascii="Times New Roman" w:hAnsi="Times New Roman" w:eastAsia="Times New Roman" w:cs="Times New Roman"/>
          <w:spacing w:val="5"/>
          <w:sz w:val="23"/>
          <w:szCs w:val="23"/>
        </w:rPr>
        <w:t>12348-2008</w:t>
      </w:r>
      <w:r>
        <w:rPr>
          <w:rFonts w:ascii="宋体" w:hAnsi="宋体" w:eastAsia="宋体" w:cs="宋体"/>
          <w:spacing w:val="5"/>
          <w:sz w:val="23"/>
          <w:szCs w:val="23"/>
        </w:rPr>
        <w:t>) 中</w:t>
      </w:r>
      <w:r>
        <w:rPr>
          <w:rFonts w:ascii="Times New Roman" w:hAnsi="Times New Roman" w:eastAsia="Times New Roman" w:cs="Times New Roman"/>
          <w:spacing w:val="5"/>
          <w:sz w:val="23"/>
          <w:szCs w:val="23"/>
        </w:rPr>
        <w:t>2</w:t>
      </w:r>
      <w:r>
        <w:rPr>
          <w:rFonts w:ascii="宋体" w:hAnsi="宋体" w:eastAsia="宋体" w:cs="宋体"/>
          <w:spacing w:val="5"/>
          <w:sz w:val="23"/>
          <w:szCs w:val="23"/>
        </w:rPr>
        <w:t>类标准；项目内固体废弃物按照国家有关</w:t>
      </w:r>
      <w:r>
        <w:rPr>
          <w:rFonts w:ascii="宋体" w:hAnsi="宋体" w:eastAsia="宋体" w:cs="宋体"/>
          <w:spacing w:val="4"/>
          <w:sz w:val="23"/>
          <w:szCs w:val="23"/>
        </w:rPr>
        <w:t>规</w:t>
      </w:r>
      <w:r>
        <w:rPr>
          <w:rFonts w:ascii="宋体" w:hAnsi="宋体" w:eastAsia="宋体" w:cs="宋体"/>
          <w:sz w:val="23"/>
          <w:szCs w:val="23"/>
        </w:rPr>
        <w:t xml:space="preserve"> </w:t>
      </w:r>
      <w:r>
        <w:rPr>
          <w:rFonts w:ascii="宋体" w:hAnsi="宋体" w:eastAsia="宋体" w:cs="宋体"/>
          <w:spacing w:val="9"/>
          <w:sz w:val="23"/>
          <w:szCs w:val="23"/>
        </w:rPr>
        <w:t>定进行了处理，都得到了安全妥善的处理。</w:t>
      </w:r>
    </w:p>
    <w:p w14:paraId="3C6451AA">
      <w:pPr>
        <w:spacing w:line="226" w:lineRule="auto"/>
        <w:ind w:left="16"/>
        <w:outlineLvl w:val="2"/>
        <w:rPr>
          <w:rFonts w:ascii="宋体" w:hAnsi="宋体" w:eastAsia="宋体" w:cs="宋体"/>
          <w:sz w:val="23"/>
          <w:szCs w:val="23"/>
        </w:rPr>
      </w:pPr>
      <w:r>
        <w:rPr>
          <w:rFonts w:ascii="Times New Roman" w:hAnsi="Times New Roman" w:eastAsia="Times New Roman" w:cs="Times New Roman"/>
          <w:b/>
          <w:bCs/>
          <w:spacing w:val="17"/>
          <w:sz w:val="23"/>
          <w:szCs w:val="23"/>
        </w:rPr>
        <w:t>1</w:t>
      </w:r>
      <w:r>
        <w:rPr>
          <w:rFonts w:ascii="Times New Roman" w:hAnsi="Times New Roman" w:eastAsia="Times New Roman" w:cs="Times New Roman"/>
          <w:b/>
          <w:bCs/>
          <w:spacing w:val="9"/>
          <w:sz w:val="23"/>
          <w:szCs w:val="23"/>
        </w:rPr>
        <w:t>1.</w:t>
      </w:r>
      <w:r>
        <w:rPr>
          <w:rFonts w:ascii="Times New Roman" w:hAnsi="Times New Roman" w:eastAsia="Times New Roman" w:cs="Times New Roman"/>
          <w:spacing w:val="9"/>
          <w:sz w:val="23"/>
          <w:szCs w:val="23"/>
        </w:rPr>
        <w:t xml:space="preserve"> </w:t>
      </w:r>
      <w:r>
        <w:rPr>
          <w:rFonts w:ascii="Times New Roman" w:hAnsi="Times New Roman" w:eastAsia="Times New Roman" w:cs="Times New Roman"/>
          <w:b/>
          <w:bCs/>
          <w:spacing w:val="9"/>
          <w:sz w:val="23"/>
          <w:szCs w:val="23"/>
        </w:rPr>
        <w:t>1.5</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14:textOutline w14:w="4356" w14:cap="sq" w14:cmpd="sng" w14:algn="ctr">
            <w14:solidFill>
              <w14:srgbClr w14:val="000000"/>
            </w14:solidFill>
            <w14:prstDash w14:val="solid"/>
            <w14:bevel/>
          </w14:textOutline>
        </w:rPr>
        <w:t>本项</w:t>
      </w:r>
      <w:r>
        <w:rPr>
          <w:rFonts w:ascii="宋体" w:hAnsi="宋体" w:eastAsia="宋体" w:cs="宋体"/>
          <w:spacing w:val="9"/>
          <w:sz w:val="23"/>
          <w:szCs w:val="23"/>
        </w:rPr>
        <w:t xml:space="preserve"> </w:t>
      </w:r>
      <w:r>
        <w:rPr>
          <w:rFonts w:ascii="宋体" w:hAnsi="宋体" w:eastAsia="宋体" w:cs="宋体"/>
          <w:spacing w:val="9"/>
          <w:sz w:val="23"/>
          <w:szCs w:val="23"/>
          <w14:textOutline w14:w="4356" w14:cap="sq" w14:cmpd="sng" w14:algn="ctr">
            <w14:solidFill>
              <w14:srgbClr w14:val="000000"/>
            </w14:solidFill>
            <w14:prstDash w14:val="solid"/>
            <w14:bevel/>
          </w14:textOutline>
        </w:rPr>
        <w:t>目对区域环境影响</w:t>
      </w:r>
    </w:p>
    <w:p w14:paraId="6F9DC624">
      <w:pPr>
        <w:spacing w:before="185" w:line="303" w:lineRule="exact"/>
        <w:ind w:left="616"/>
        <w:rPr>
          <w:rFonts w:ascii="宋体" w:hAnsi="宋体" w:eastAsia="宋体" w:cs="宋体"/>
          <w:sz w:val="23"/>
          <w:szCs w:val="23"/>
        </w:rPr>
      </w:pPr>
      <w:r>
        <w:rPr>
          <w:rFonts w:ascii="Times New Roman" w:hAnsi="Times New Roman" w:eastAsia="Times New Roman" w:cs="Times New Roman"/>
          <w:b/>
          <w:bCs/>
          <w:spacing w:val="-6"/>
          <w:position w:val="1"/>
          <w:sz w:val="23"/>
          <w:szCs w:val="23"/>
        </w:rPr>
        <w:t>1</w:t>
      </w:r>
      <w:r>
        <w:rPr>
          <w:rFonts w:ascii="Times New Roman" w:hAnsi="Times New Roman" w:eastAsia="Times New Roman" w:cs="Times New Roman"/>
          <w:spacing w:val="-4"/>
          <w:position w:val="1"/>
          <w:sz w:val="23"/>
          <w:szCs w:val="23"/>
        </w:rPr>
        <w:t xml:space="preserve"> </w:t>
      </w:r>
      <w:r>
        <w:rPr>
          <w:rFonts w:ascii="宋体" w:hAnsi="宋体" w:eastAsia="宋体" w:cs="宋体"/>
          <w:spacing w:val="-4"/>
          <w:position w:val="1"/>
          <w:sz w:val="23"/>
          <w:szCs w:val="23"/>
          <w14:textOutline w14:w="4356" w14:cap="sq" w14:cmpd="sng" w14:algn="ctr">
            <w14:solidFill>
              <w14:srgbClr w14:val="000000"/>
            </w14:solidFill>
            <w14:prstDash w14:val="solid"/>
            <w14:bevel/>
          </w14:textOutline>
        </w:rPr>
        <w:t>、施工期</w:t>
      </w:r>
    </w:p>
    <w:p w14:paraId="12C735B0">
      <w:pPr>
        <w:spacing w:before="164" w:line="376" w:lineRule="auto"/>
        <w:ind w:left="12" w:right="96" w:firstLine="478"/>
        <w:rPr>
          <w:rFonts w:ascii="宋体" w:hAnsi="宋体" w:eastAsia="宋体" w:cs="宋体"/>
          <w:sz w:val="23"/>
          <w:szCs w:val="23"/>
        </w:rPr>
      </w:pPr>
      <w:r>
        <w:rPr>
          <w:rFonts w:ascii="宋体" w:hAnsi="宋体" w:eastAsia="宋体" w:cs="宋体"/>
          <w:spacing w:val="10"/>
          <w:sz w:val="23"/>
          <w:szCs w:val="23"/>
          <w14:textOutline w14:w="4356" w14:cap="sq" w14:cmpd="sng" w14:algn="ctr">
            <w14:solidFill>
              <w14:srgbClr w14:val="000000"/>
            </w14:solidFill>
            <w14:prstDash w14:val="solid"/>
            <w14:bevel/>
          </w14:textOutline>
        </w:rPr>
        <w:t>地</w:t>
      </w:r>
      <w:r>
        <w:rPr>
          <w:rFonts w:ascii="宋体" w:hAnsi="宋体" w:eastAsia="宋体" w:cs="宋体"/>
          <w:spacing w:val="7"/>
          <w:sz w:val="23"/>
          <w:szCs w:val="23"/>
          <w14:textOutline w14:w="4356" w14:cap="sq" w14:cmpd="sng" w14:algn="ctr">
            <w14:solidFill>
              <w14:srgbClr w14:val="000000"/>
            </w14:solidFill>
            <w14:prstDash w14:val="solid"/>
            <w14:bevel/>
          </w14:textOutline>
        </w:rPr>
        <w:t>表水环境：</w:t>
      </w:r>
      <w:r>
        <w:rPr>
          <w:rFonts w:ascii="宋体" w:hAnsi="宋体" w:eastAsia="宋体" w:cs="宋体"/>
          <w:spacing w:val="7"/>
          <w:sz w:val="23"/>
          <w:szCs w:val="23"/>
        </w:rPr>
        <w:t>施工期产生的施工废水经沉淀池处理后用于洒水抑尘，不外排。施工人员</w:t>
      </w:r>
      <w:r>
        <w:rPr>
          <w:rFonts w:ascii="宋体" w:hAnsi="宋体" w:eastAsia="宋体" w:cs="宋体"/>
          <w:sz w:val="23"/>
          <w:szCs w:val="23"/>
        </w:rPr>
        <w:t xml:space="preserve"> </w:t>
      </w:r>
      <w:r>
        <w:rPr>
          <w:rFonts w:ascii="宋体" w:hAnsi="宋体" w:eastAsia="宋体" w:cs="宋体"/>
          <w:spacing w:val="12"/>
          <w:sz w:val="23"/>
          <w:szCs w:val="23"/>
        </w:rPr>
        <w:t>生活污水经</w:t>
      </w:r>
      <w:r>
        <w:rPr>
          <w:rFonts w:ascii="宋体" w:hAnsi="宋体" w:eastAsia="宋体" w:cs="宋体"/>
          <w:spacing w:val="7"/>
          <w:sz w:val="23"/>
          <w:szCs w:val="23"/>
        </w:rPr>
        <w:t>化</w:t>
      </w:r>
      <w:r>
        <w:rPr>
          <w:rFonts w:ascii="宋体" w:hAnsi="宋体" w:eastAsia="宋体" w:cs="宋体"/>
          <w:spacing w:val="6"/>
          <w:sz w:val="23"/>
          <w:szCs w:val="23"/>
        </w:rPr>
        <w:t>粪池预处理后用于周边农田施肥，不外排。对附近地表水体 (西河) 无明显影</w:t>
      </w:r>
      <w:r>
        <w:rPr>
          <w:rFonts w:ascii="宋体" w:hAnsi="宋体" w:eastAsia="宋体" w:cs="宋体"/>
          <w:sz w:val="23"/>
          <w:szCs w:val="23"/>
        </w:rPr>
        <w:t xml:space="preserve"> </w:t>
      </w:r>
      <w:r>
        <w:rPr>
          <w:rFonts w:ascii="宋体" w:hAnsi="宋体" w:eastAsia="宋体" w:cs="宋体"/>
          <w:spacing w:val="-1"/>
          <w:sz w:val="23"/>
          <w:szCs w:val="23"/>
        </w:rPr>
        <w:t>响。</w:t>
      </w:r>
    </w:p>
    <w:p w14:paraId="7F6355E9">
      <w:pPr>
        <w:tabs>
          <w:tab w:val="left" w:pos="136"/>
        </w:tabs>
        <w:spacing w:before="4" w:line="374" w:lineRule="auto"/>
        <w:ind w:left="11" w:firstLine="479"/>
        <w:rPr>
          <w:rFonts w:ascii="宋体" w:hAnsi="宋体" w:eastAsia="宋体" w:cs="宋体"/>
          <w:sz w:val="23"/>
          <w:szCs w:val="23"/>
        </w:rPr>
      </w:pPr>
      <w:r>
        <w:rPr>
          <w:rFonts w:ascii="宋体" w:hAnsi="宋体" w:eastAsia="宋体" w:cs="宋体"/>
          <w:spacing w:val="18"/>
          <w:sz w:val="23"/>
          <w:szCs w:val="23"/>
          <w14:textOutline w14:w="4356" w14:cap="sq" w14:cmpd="sng" w14:algn="ctr">
            <w14:solidFill>
              <w14:srgbClr w14:val="000000"/>
            </w14:solidFill>
            <w14:prstDash w14:val="solid"/>
            <w14:bevel/>
          </w14:textOutline>
        </w:rPr>
        <w:t>环境</w:t>
      </w:r>
      <w:r>
        <w:rPr>
          <w:rFonts w:ascii="宋体" w:hAnsi="宋体" w:eastAsia="宋体" w:cs="宋体"/>
          <w:spacing w:val="14"/>
          <w:sz w:val="23"/>
          <w:szCs w:val="23"/>
          <w14:textOutline w14:w="4356" w14:cap="sq" w14:cmpd="sng" w14:algn="ctr">
            <w14:solidFill>
              <w14:srgbClr w14:val="000000"/>
            </w14:solidFill>
            <w14:prstDash w14:val="solid"/>
            <w14:bevel/>
          </w14:textOutline>
        </w:rPr>
        <w:t>空</w:t>
      </w:r>
      <w:r>
        <w:rPr>
          <w:rFonts w:ascii="宋体" w:hAnsi="宋体" w:eastAsia="宋体" w:cs="宋体"/>
          <w:spacing w:val="9"/>
          <w:sz w:val="23"/>
          <w:szCs w:val="23"/>
          <w14:textOutline w14:w="4356" w14:cap="sq" w14:cmpd="sng" w14:algn="ctr">
            <w14:solidFill>
              <w14:srgbClr w14:val="000000"/>
            </w14:solidFill>
            <w14:prstDash w14:val="solid"/>
            <w14:bevel/>
          </w14:textOutline>
        </w:rPr>
        <w:t>气：</w:t>
      </w:r>
      <w:r>
        <w:rPr>
          <w:rFonts w:ascii="宋体" w:hAnsi="宋体" w:eastAsia="宋体" w:cs="宋体"/>
          <w:spacing w:val="9"/>
          <w:sz w:val="23"/>
          <w:szCs w:val="23"/>
        </w:rPr>
        <w:t>施工扬尘必须严格按国务院印发的《打赢蓝天保卫战三年行动计划的通知》</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12"/>
          <w:sz w:val="23"/>
          <w:szCs w:val="23"/>
        </w:rPr>
        <w:t>(国发</w:t>
      </w:r>
      <w:r>
        <w:rPr>
          <w:rFonts w:ascii="Times New Roman" w:hAnsi="Times New Roman" w:eastAsia="Times New Roman" w:cs="Times New Roman"/>
          <w:spacing w:val="7"/>
          <w:sz w:val="23"/>
          <w:szCs w:val="23"/>
        </w:rPr>
        <w:t>[</w:t>
      </w:r>
      <w:r>
        <w:rPr>
          <w:rFonts w:ascii="Times New Roman" w:hAnsi="Times New Roman" w:eastAsia="Times New Roman" w:cs="Times New Roman"/>
          <w:spacing w:val="6"/>
          <w:sz w:val="23"/>
          <w:szCs w:val="23"/>
        </w:rPr>
        <w:t xml:space="preserve">2018]22 </w:t>
      </w:r>
      <w:r>
        <w:rPr>
          <w:rFonts w:ascii="宋体" w:hAnsi="宋体" w:eastAsia="宋体" w:cs="宋体"/>
          <w:spacing w:val="6"/>
          <w:sz w:val="23"/>
          <w:szCs w:val="23"/>
        </w:rPr>
        <w:t>号) 、四川省人民政府办公厅发布的《关于加强灰霾污染防治的通知》等的</w:t>
      </w:r>
      <w:r>
        <w:rPr>
          <w:rFonts w:ascii="宋体" w:hAnsi="宋体" w:eastAsia="宋体" w:cs="宋体"/>
          <w:sz w:val="23"/>
          <w:szCs w:val="23"/>
        </w:rPr>
        <w:t xml:space="preserve"> </w:t>
      </w:r>
      <w:r>
        <w:rPr>
          <w:rFonts w:ascii="宋体" w:hAnsi="宋体" w:eastAsia="宋体" w:cs="宋体"/>
          <w:spacing w:val="18"/>
          <w:sz w:val="23"/>
          <w:szCs w:val="23"/>
        </w:rPr>
        <w:t>有关</w:t>
      </w:r>
      <w:r>
        <w:rPr>
          <w:rFonts w:ascii="宋体" w:hAnsi="宋体" w:eastAsia="宋体" w:cs="宋体"/>
          <w:spacing w:val="15"/>
          <w:sz w:val="23"/>
          <w:szCs w:val="23"/>
        </w:rPr>
        <w:t>规</w:t>
      </w:r>
      <w:r>
        <w:rPr>
          <w:rFonts w:ascii="宋体" w:hAnsi="宋体" w:eastAsia="宋体" w:cs="宋体"/>
          <w:spacing w:val="9"/>
          <w:sz w:val="23"/>
          <w:szCs w:val="23"/>
        </w:rPr>
        <w:t>定和规范进行治理。施工机械废气通过加强施工设备的维护，使其能够正常的运行，</w:t>
      </w:r>
      <w:r>
        <w:rPr>
          <w:rFonts w:ascii="宋体" w:hAnsi="宋体" w:eastAsia="宋体" w:cs="宋体"/>
          <w:sz w:val="23"/>
          <w:szCs w:val="23"/>
        </w:rPr>
        <w:t xml:space="preserve"> </w:t>
      </w:r>
      <w:r>
        <w:rPr>
          <w:rFonts w:ascii="宋体" w:hAnsi="宋体" w:eastAsia="宋体" w:cs="宋体"/>
          <w:spacing w:val="10"/>
          <w:sz w:val="23"/>
          <w:szCs w:val="23"/>
        </w:rPr>
        <w:t>提</w:t>
      </w:r>
      <w:r>
        <w:rPr>
          <w:rFonts w:ascii="宋体" w:hAnsi="宋体" w:eastAsia="宋体" w:cs="宋体"/>
          <w:spacing w:val="9"/>
          <w:sz w:val="23"/>
          <w:szCs w:val="23"/>
        </w:rPr>
        <w:t>高设备原料的利用率，以减少产生的机械废气。</w:t>
      </w:r>
    </w:p>
    <w:p w14:paraId="20E3B598">
      <w:pPr>
        <w:spacing w:before="4" w:line="228" w:lineRule="auto"/>
        <w:ind w:left="494"/>
        <w:rPr>
          <w:rFonts w:ascii="宋体" w:hAnsi="宋体" w:eastAsia="宋体" w:cs="宋体"/>
          <w:sz w:val="23"/>
          <w:szCs w:val="23"/>
        </w:rPr>
      </w:pPr>
      <w:r>
        <w:rPr>
          <w:rFonts w:ascii="宋体" w:hAnsi="宋体" w:eastAsia="宋体" w:cs="宋体"/>
          <w:spacing w:val="3"/>
          <w:sz w:val="23"/>
          <w:szCs w:val="23"/>
          <w14:textOutline w14:w="4356" w14:cap="sq" w14:cmpd="sng" w14:algn="ctr">
            <w14:solidFill>
              <w14:srgbClr w14:val="000000"/>
            </w14:solidFill>
            <w14:prstDash w14:val="solid"/>
            <w14:bevel/>
          </w14:textOutline>
        </w:rPr>
        <w:t>声学环境：</w:t>
      </w:r>
      <w:r>
        <w:rPr>
          <w:rFonts w:ascii="宋体" w:hAnsi="宋体" w:eastAsia="宋体" w:cs="宋体"/>
          <w:spacing w:val="3"/>
          <w:sz w:val="23"/>
          <w:szCs w:val="23"/>
        </w:rPr>
        <w:t>选用低噪声设备，合理布局，合理安排施工时间，进出车辆低速、限制</w:t>
      </w:r>
      <w:r>
        <w:rPr>
          <w:rFonts w:ascii="宋体" w:hAnsi="宋体" w:eastAsia="宋体" w:cs="宋体"/>
          <w:spacing w:val="2"/>
          <w:sz w:val="23"/>
          <w:szCs w:val="23"/>
        </w:rPr>
        <w:t>鸣</w:t>
      </w:r>
      <w:r>
        <w:rPr>
          <w:rFonts w:ascii="宋体" w:hAnsi="宋体" w:eastAsia="宋体" w:cs="宋体"/>
          <w:sz w:val="23"/>
          <w:szCs w:val="23"/>
        </w:rPr>
        <w:t>笛。</w:t>
      </w:r>
    </w:p>
    <w:p w14:paraId="5ABA5C10">
      <w:pPr>
        <w:spacing w:before="183" w:line="376" w:lineRule="auto"/>
        <w:ind w:left="9" w:right="96" w:firstLine="501"/>
        <w:rPr>
          <w:rFonts w:ascii="宋体" w:hAnsi="宋体" w:eastAsia="宋体" w:cs="宋体"/>
          <w:sz w:val="23"/>
          <w:szCs w:val="23"/>
        </w:rPr>
      </w:pPr>
      <w:r>
        <w:rPr>
          <w:rFonts w:ascii="宋体" w:hAnsi="宋体" w:eastAsia="宋体" w:cs="宋体"/>
          <w:spacing w:val="12"/>
          <w:sz w:val="23"/>
          <w:szCs w:val="23"/>
          <w14:textOutline w14:w="4356" w14:cap="sq" w14:cmpd="sng" w14:algn="ctr">
            <w14:solidFill>
              <w14:srgbClr w14:val="000000"/>
            </w14:solidFill>
            <w14:prstDash w14:val="solid"/>
            <w14:bevel/>
          </w14:textOutline>
        </w:rPr>
        <w:t>固体废</w:t>
      </w:r>
      <w:r>
        <w:rPr>
          <w:rFonts w:ascii="宋体" w:hAnsi="宋体" w:eastAsia="宋体" w:cs="宋体"/>
          <w:spacing w:val="9"/>
          <w:sz w:val="23"/>
          <w:szCs w:val="23"/>
          <w14:textOutline w14:w="4356" w14:cap="sq" w14:cmpd="sng" w14:algn="ctr">
            <w14:solidFill>
              <w14:srgbClr w14:val="000000"/>
            </w14:solidFill>
            <w14:prstDash w14:val="solid"/>
            <w14:bevel/>
          </w14:textOutline>
        </w:rPr>
        <w:t>物</w:t>
      </w:r>
      <w:r>
        <w:rPr>
          <w:rFonts w:ascii="宋体" w:hAnsi="宋体" w:eastAsia="宋体" w:cs="宋体"/>
          <w:spacing w:val="6"/>
          <w:sz w:val="23"/>
          <w:szCs w:val="23"/>
          <w14:textOutline w14:w="4356" w14:cap="sq" w14:cmpd="sng" w14:algn="ctr">
            <w14:solidFill>
              <w14:srgbClr w14:val="000000"/>
            </w14:solidFill>
            <w14:prstDash w14:val="solid"/>
            <w14:bevel/>
          </w14:textOutline>
        </w:rPr>
        <w:t>：</w:t>
      </w:r>
      <w:r>
        <w:rPr>
          <w:rFonts w:ascii="宋体" w:hAnsi="宋体" w:eastAsia="宋体" w:cs="宋体"/>
          <w:spacing w:val="6"/>
          <w:sz w:val="23"/>
          <w:szCs w:val="23"/>
        </w:rPr>
        <w:t>生活垃圾桶内衬塑料袋收集后送入附近生活垃圾收集点；建筑垃圾收集后送</w:t>
      </w:r>
      <w:r>
        <w:rPr>
          <w:rFonts w:ascii="宋体" w:hAnsi="宋体" w:eastAsia="宋体" w:cs="宋体"/>
          <w:sz w:val="23"/>
          <w:szCs w:val="23"/>
        </w:rPr>
        <w:t xml:space="preserve"> </w:t>
      </w:r>
      <w:r>
        <w:rPr>
          <w:rFonts w:ascii="宋体" w:hAnsi="宋体" w:eastAsia="宋体" w:cs="宋体"/>
          <w:spacing w:val="18"/>
          <w:sz w:val="23"/>
          <w:szCs w:val="23"/>
        </w:rPr>
        <w:t>入政</w:t>
      </w:r>
      <w:r>
        <w:rPr>
          <w:rFonts w:ascii="宋体" w:hAnsi="宋体" w:eastAsia="宋体" w:cs="宋体"/>
          <w:spacing w:val="10"/>
          <w:sz w:val="23"/>
          <w:szCs w:val="23"/>
        </w:rPr>
        <w:t>府</w:t>
      </w:r>
      <w:r>
        <w:rPr>
          <w:rFonts w:ascii="宋体" w:hAnsi="宋体" w:eastAsia="宋体" w:cs="宋体"/>
          <w:spacing w:val="9"/>
          <w:sz w:val="23"/>
          <w:szCs w:val="23"/>
        </w:rPr>
        <w:t>指定建筑垃圾堆场进行堆放；开挖土方全部用于场地回填和场地平整，不外排。</w:t>
      </w:r>
    </w:p>
    <w:p w14:paraId="3A6AB578">
      <w:pPr>
        <w:spacing w:before="2" w:line="375" w:lineRule="auto"/>
        <w:ind w:left="10" w:right="98" w:firstLine="603"/>
        <w:rPr>
          <w:rFonts w:ascii="宋体" w:hAnsi="宋体" w:eastAsia="宋体" w:cs="宋体"/>
          <w:sz w:val="23"/>
          <w:szCs w:val="23"/>
        </w:rPr>
      </w:pPr>
      <w:r>
        <w:rPr>
          <w:rFonts w:ascii="宋体" w:hAnsi="宋体" w:eastAsia="宋体" w:cs="宋体"/>
          <w:spacing w:val="13"/>
          <w:sz w:val="23"/>
          <w:szCs w:val="23"/>
        </w:rPr>
        <w:t>项</w:t>
      </w:r>
      <w:r>
        <w:rPr>
          <w:rFonts w:ascii="宋体" w:hAnsi="宋体" w:eastAsia="宋体" w:cs="宋体"/>
          <w:spacing w:val="10"/>
          <w:sz w:val="23"/>
          <w:szCs w:val="23"/>
        </w:rPr>
        <w:t>目施工期产生的污染物会随施工的结束而停止，只要做好相应防治措施对周边环境</w:t>
      </w:r>
      <w:r>
        <w:rPr>
          <w:rFonts w:ascii="宋体" w:hAnsi="宋体" w:eastAsia="宋体" w:cs="宋体"/>
          <w:sz w:val="23"/>
          <w:szCs w:val="23"/>
        </w:rPr>
        <w:t xml:space="preserve"> </w:t>
      </w:r>
      <w:r>
        <w:rPr>
          <w:rFonts w:ascii="宋体" w:hAnsi="宋体" w:eastAsia="宋体" w:cs="宋体"/>
          <w:spacing w:val="6"/>
          <w:sz w:val="23"/>
          <w:szCs w:val="23"/>
        </w:rPr>
        <w:t>影响较小。</w:t>
      </w:r>
    </w:p>
    <w:p w14:paraId="2AC08666">
      <w:pPr>
        <w:spacing w:line="303" w:lineRule="exact"/>
        <w:ind w:left="606"/>
        <w:rPr>
          <w:rFonts w:ascii="宋体" w:hAnsi="宋体" w:eastAsia="宋体" w:cs="宋体"/>
          <w:sz w:val="23"/>
          <w:szCs w:val="23"/>
        </w:rPr>
      </w:pPr>
      <w:r>
        <w:rPr>
          <w:rFonts w:ascii="Times New Roman" w:hAnsi="Times New Roman" w:eastAsia="Times New Roman" w:cs="Times New Roman"/>
          <w:b/>
          <w:bCs/>
          <w:spacing w:val="-4"/>
          <w:position w:val="1"/>
          <w:sz w:val="23"/>
          <w:szCs w:val="23"/>
        </w:rPr>
        <w:t>2</w:t>
      </w:r>
      <w:r>
        <w:rPr>
          <w:rFonts w:ascii="Times New Roman" w:hAnsi="Times New Roman" w:eastAsia="Times New Roman" w:cs="Times New Roman"/>
          <w:spacing w:val="-4"/>
          <w:position w:val="1"/>
          <w:sz w:val="23"/>
          <w:szCs w:val="23"/>
        </w:rPr>
        <w:t xml:space="preserve"> </w:t>
      </w:r>
      <w:r>
        <w:rPr>
          <w:rFonts w:ascii="宋体" w:hAnsi="宋体" w:eastAsia="宋体" w:cs="宋体"/>
          <w:spacing w:val="-2"/>
          <w:position w:val="1"/>
          <w:sz w:val="23"/>
          <w:szCs w:val="23"/>
          <w14:textOutline w14:w="4356" w14:cap="sq" w14:cmpd="sng" w14:algn="ctr">
            <w14:solidFill>
              <w14:srgbClr w14:val="000000"/>
            </w14:solidFill>
            <w14:prstDash w14:val="solid"/>
            <w14:bevel/>
          </w14:textOutline>
        </w:rPr>
        <w:t>、运营期</w:t>
      </w:r>
    </w:p>
    <w:p w14:paraId="36F0CDAC">
      <w:pPr>
        <w:spacing w:before="165" w:line="228" w:lineRule="auto"/>
        <w:ind w:left="501"/>
        <w:rPr>
          <w:rFonts w:ascii="宋体" w:hAnsi="宋体" w:eastAsia="宋体" w:cs="宋体"/>
          <w:sz w:val="23"/>
          <w:szCs w:val="23"/>
        </w:rPr>
      </w:pPr>
      <w:r>
        <w:rPr>
          <w:rFonts w:ascii="宋体" w:hAnsi="宋体" w:eastAsia="宋体" w:cs="宋体"/>
          <w:spacing w:val="19"/>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7"/>
          <w:sz w:val="23"/>
          <w:szCs w:val="23"/>
        </w:rPr>
        <w:t>1</w:t>
      </w:r>
      <w:r>
        <w:rPr>
          <w:rFonts w:ascii="宋体" w:hAnsi="宋体" w:eastAsia="宋体" w:cs="宋体"/>
          <w:spacing w:val="17"/>
          <w:sz w:val="23"/>
          <w:szCs w:val="23"/>
          <w14:textOutline w14:w="4356" w14:cap="sq" w14:cmpd="sng" w14:algn="ctr">
            <w14:solidFill>
              <w14:srgbClr w14:val="000000"/>
            </w14:solidFill>
            <w14:prstDash w14:val="solid"/>
            <w14:bevel/>
          </w14:textOutline>
        </w:rPr>
        <w:t>)</w:t>
      </w:r>
      <w:r>
        <w:rPr>
          <w:rFonts w:ascii="宋体" w:hAnsi="宋体" w:eastAsia="宋体" w:cs="宋体"/>
          <w:spacing w:val="17"/>
          <w:sz w:val="23"/>
          <w:szCs w:val="23"/>
        </w:rPr>
        <w:t xml:space="preserve"> </w:t>
      </w:r>
      <w:r>
        <w:rPr>
          <w:rFonts w:ascii="宋体" w:hAnsi="宋体" w:eastAsia="宋体" w:cs="宋体"/>
          <w:spacing w:val="17"/>
          <w:sz w:val="23"/>
          <w:szCs w:val="23"/>
          <w14:textOutline w14:w="4356" w14:cap="sq" w14:cmpd="sng" w14:algn="ctr">
            <w14:solidFill>
              <w14:srgbClr w14:val="000000"/>
            </w14:solidFill>
            <w14:prstDash w14:val="solid"/>
            <w14:bevel/>
          </w14:textOutline>
        </w:rPr>
        <w:t>大气环境影响分析</w:t>
      </w:r>
    </w:p>
    <w:p w14:paraId="4F0F186C">
      <w:pPr>
        <w:spacing w:before="183" w:line="227" w:lineRule="auto"/>
        <w:ind w:left="491"/>
        <w:rPr>
          <w:rFonts w:ascii="宋体" w:hAnsi="宋体" w:eastAsia="宋体" w:cs="宋体"/>
          <w:sz w:val="23"/>
          <w:szCs w:val="23"/>
        </w:rPr>
      </w:pPr>
      <w:r>
        <w:rPr>
          <w:rFonts w:ascii="宋体" w:hAnsi="宋体" w:eastAsia="宋体" w:cs="宋体"/>
          <w:spacing w:val="18"/>
          <w:sz w:val="23"/>
          <w:szCs w:val="23"/>
        </w:rPr>
        <w:t>本</w:t>
      </w:r>
      <w:r>
        <w:rPr>
          <w:rFonts w:ascii="宋体" w:hAnsi="宋体" w:eastAsia="宋体" w:cs="宋体"/>
          <w:spacing w:val="17"/>
          <w:sz w:val="23"/>
          <w:szCs w:val="23"/>
        </w:rPr>
        <w:t>项</w:t>
      </w:r>
      <w:r>
        <w:rPr>
          <w:rFonts w:ascii="宋体" w:hAnsi="宋体" w:eastAsia="宋体" w:cs="宋体"/>
          <w:spacing w:val="9"/>
          <w:sz w:val="23"/>
          <w:szCs w:val="23"/>
        </w:rPr>
        <w:t>目废气主要来自养殖区、异位发酵床产生的恶臭，备用发电机烟气、餐饮油烟等。</w:t>
      </w:r>
    </w:p>
    <w:p w14:paraId="1128D861">
      <w:pPr>
        <w:sectPr>
          <w:headerReference r:id="rId341" w:type="default"/>
          <w:footerReference r:id="rId342" w:type="default"/>
          <w:pgSz w:w="11906" w:h="16839"/>
          <w:pgMar w:top="1118" w:right="1033" w:bottom="1168" w:left="1275" w:header="878" w:footer="1008" w:gutter="0"/>
          <w:cols w:space="720" w:num="1"/>
        </w:sectPr>
      </w:pPr>
    </w:p>
    <w:p w14:paraId="6701BF5A">
      <w:pPr>
        <w:spacing w:before="270" w:line="376" w:lineRule="auto"/>
        <w:ind w:left="11" w:right="101"/>
        <w:rPr>
          <w:rFonts w:ascii="宋体" w:hAnsi="宋体" w:eastAsia="宋体" w:cs="宋体"/>
          <w:sz w:val="23"/>
          <w:szCs w:val="23"/>
        </w:rPr>
      </w:pPr>
      <w:r>
        <w:rPr>
          <w:rFonts w:ascii="宋体" w:hAnsi="宋体" w:eastAsia="宋体" w:cs="宋体"/>
          <w:spacing w:val="11"/>
          <w:sz w:val="23"/>
          <w:szCs w:val="23"/>
        </w:rPr>
        <w:t>恶</w:t>
      </w:r>
      <w:r>
        <w:rPr>
          <w:rFonts w:ascii="宋体" w:hAnsi="宋体" w:eastAsia="宋体" w:cs="宋体"/>
          <w:spacing w:val="7"/>
          <w:sz w:val="23"/>
          <w:szCs w:val="23"/>
        </w:rPr>
        <w:t>臭通过机械刮粪工艺，将粪便、尿液及时清理处理，提高饲料利用率，合理使用饲料添加</w:t>
      </w:r>
      <w:r>
        <w:rPr>
          <w:rFonts w:ascii="宋体" w:hAnsi="宋体" w:eastAsia="宋体" w:cs="宋体"/>
          <w:sz w:val="23"/>
          <w:szCs w:val="23"/>
        </w:rPr>
        <w:t xml:space="preserve"> </w:t>
      </w:r>
      <w:r>
        <w:rPr>
          <w:rFonts w:ascii="宋体" w:hAnsi="宋体" w:eastAsia="宋体" w:cs="宋体"/>
          <w:spacing w:val="11"/>
          <w:sz w:val="23"/>
          <w:szCs w:val="23"/>
        </w:rPr>
        <w:t>剂</w:t>
      </w:r>
      <w:r>
        <w:rPr>
          <w:rFonts w:ascii="宋体" w:hAnsi="宋体" w:eastAsia="宋体" w:cs="宋体"/>
          <w:spacing w:val="7"/>
          <w:sz w:val="23"/>
          <w:szCs w:val="23"/>
        </w:rPr>
        <w:t>，加强猪舍通风，定期进行消毒、定期喷洒除臭剂，定期进行杀虫灭蝇工作，加强场区绿</w:t>
      </w:r>
      <w:r>
        <w:rPr>
          <w:rFonts w:ascii="宋体" w:hAnsi="宋体" w:eastAsia="宋体" w:cs="宋体"/>
          <w:sz w:val="23"/>
          <w:szCs w:val="23"/>
        </w:rPr>
        <w:t xml:space="preserve"> </w:t>
      </w:r>
      <w:r>
        <w:rPr>
          <w:rFonts w:ascii="宋体" w:hAnsi="宋体" w:eastAsia="宋体" w:cs="宋体"/>
          <w:spacing w:val="11"/>
          <w:sz w:val="23"/>
          <w:szCs w:val="23"/>
        </w:rPr>
        <w:t>化</w:t>
      </w:r>
      <w:r>
        <w:rPr>
          <w:rFonts w:ascii="宋体" w:hAnsi="宋体" w:eastAsia="宋体" w:cs="宋体"/>
          <w:spacing w:val="7"/>
          <w:sz w:val="23"/>
          <w:szCs w:val="23"/>
        </w:rPr>
        <w:t>等进行治理；备用发电机带净化器，采用清洁能源，废气产生频次低，产生量小，无组织</w:t>
      </w:r>
      <w:r>
        <w:rPr>
          <w:rFonts w:ascii="宋体" w:hAnsi="宋体" w:eastAsia="宋体" w:cs="宋体"/>
          <w:sz w:val="23"/>
          <w:szCs w:val="23"/>
        </w:rPr>
        <w:t xml:space="preserve"> </w:t>
      </w:r>
      <w:r>
        <w:rPr>
          <w:rFonts w:ascii="宋体" w:hAnsi="宋体" w:eastAsia="宋体" w:cs="宋体"/>
          <w:spacing w:val="18"/>
          <w:sz w:val="23"/>
          <w:szCs w:val="23"/>
        </w:rPr>
        <w:t>间</w:t>
      </w:r>
      <w:r>
        <w:rPr>
          <w:rFonts w:ascii="宋体" w:hAnsi="宋体" w:eastAsia="宋体" w:cs="宋体"/>
          <w:spacing w:val="12"/>
          <w:sz w:val="23"/>
          <w:szCs w:val="23"/>
        </w:rPr>
        <w:t>歇</w:t>
      </w:r>
      <w:r>
        <w:rPr>
          <w:rFonts w:ascii="宋体" w:hAnsi="宋体" w:eastAsia="宋体" w:cs="宋体"/>
          <w:spacing w:val="9"/>
          <w:sz w:val="23"/>
          <w:szCs w:val="23"/>
        </w:rPr>
        <w:t>定排放对环境影响较小；餐饮油烟通过油烟净化器处理后经屋顶排放。</w:t>
      </w:r>
    </w:p>
    <w:p w14:paraId="4916CFCA">
      <w:pPr>
        <w:spacing w:line="227" w:lineRule="auto"/>
        <w:ind w:left="501"/>
        <w:rPr>
          <w:rFonts w:ascii="宋体" w:hAnsi="宋体" w:eastAsia="宋体" w:cs="宋体"/>
          <w:sz w:val="23"/>
          <w:szCs w:val="23"/>
        </w:rPr>
      </w:pP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8"/>
          <w:sz w:val="23"/>
          <w:szCs w:val="23"/>
        </w:rPr>
        <w:t>2</w:t>
      </w: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宋体" w:hAnsi="宋体" w:eastAsia="宋体" w:cs="宋体"/>
          <w:spacing w:val="18"/>
          <w:sz w:val="23"/>
          <w:szCs w:val="23"/>
        </w:rPr>
        <w:t xml:space="preserve"> </w:t>
      </w:r>
      <w:r>
        <w:rPr>
          <w:rFonts w:ascii="宋体" w:hAnsi="宋体" w:eastAsia="宋体" w:cs="宋体"/>
          <w:spacing w:val="18"/>
          <w:sz w:val="23"/>
          <w:szCs w:val="23"/>
          <w14:textOutline w14:w="4356" w14:cap="sq" w14:cmpd="sng" w14:algn="ctr">
            <w14:solidFill>
              <w14:srgbClr w14:val="000000"/>
            </w14:solidFill>
            <w14:prstDash w14:val="solid"/>
            <w14:bevel/>
          </w14:textOutline>
        </w:rPr>
        <w:t>地表水影响分</w:t>
      </w:r>
      <w:r>
        <w:rPr>
          <w:rFonts w:ascii="宋体" w:hAnsi="宋体" w:eastAsia="宋体" w:cs="宋体"/>
          <w:spacing w:val="16"/>
          <w:sz w:val="23"/>
          <w:szCs w:val="23"/>
          <w14:textOutline w14:w="4356" w14:cap="sq" w14:cmpd="sng" w14:algn="ctr">
            <w14:solidFill>
              <w14:srgbClr w14:val="000000"/>
            </w14:solidFill>
            <w14:prstDash w14:val="solid"/>
            <w14:bevel/>
          </w14:textOutline>
        </w:rPr>
        <w:t>析</w:t>
      </w:r>
    </w:p>
    <w:p w14:paraId="0B2E4809">
      <w:pPr>
        <w:spacing w:before="181" w:line="376" w:lineRule="auto"/>
        <w:ind w:left="9" w:firstLine="484"/>
        <w:rPr>
          <w:rFonts w:ascii="宋体" w:hAnsi="宋体" w:eastAsia="宋体" w:cs="宋体"/>
          <w:sz w:val="23"/>
          <w:szCs w:val="23"/>
        </w:rPr>
      </w:pPr>
      <w:r>
        <w:rPr>
          <w:rFonts w:ascii="宋体" w:hAnsi="宋体" w:eastAsia="宋体" w:cs="宋体"/>
          <w:spacing w:val="6"/>
          <w:sz w:val="23"/>
          <w:szCs w:val="23"/>
        </w:rPr>
        <w:t>项目</w:t>
      </w:r>
      <w:r>
        <w:rPr>
          <w:rFonts w:ascii="宋体" w:hAnsi="宋体" w:eastAsia="宋体" w:cs="宋体"/>
          <w:spacing w:val="3"/>
          <w:sz w:val="23"/>
          <w:szCs w:val="23"/>
        </w:rPr>
        <w:t>采用雨污分流，净区 (办公生活区) 雨水经雨水沟就近排入农灌渠，污区 (养殖区)</w:t>
      </w:r>
      <w:r>
        <w:rPr>
          <w:rFonts w:ascii="宋体" w:hAnsi="宋体" w:eastAsia="宋体" w:cs="宋体"/>
          <w:sz w:val="23"/>
          <w:szCs w:val="23"/>
        </w:rPr>
        <w:t xml:space="preserve"> </w:t>
      </w:r>
      <w:r>
        <w:rPr>
          <w:rFonts w:ascii="宋体" w:hAnsi="宋体" w:eastAsia="宋体" w:cs="宋体"/>
          <w:spacing w:val="12"/>
          <w:sz w:val="23"/>
          <w:szCs w:val="23"/>
        </w:rPr>
        <w:t>设</w:t>
      </w:r>
      <w:r>
        <w:rPr>
          <w:rFonts w:ascii="宋体" w:hAnsi="宋体" w:eastAsia="宋体" w:cs="宋体"/>
          <w:spacing w:val="7"/>
          <w:sz w:val="23"/>
          <w:szCs w:val="23"/>
        </w:rPr>
        <w:t>置初期雨水收集池，初期雨水经简单沉淀处理后用于场内绿化用水，不外排，后期雨水就</w:t>
      </w:r>
      <w:r>
        <w:rPr>
          <w:rFonts w:ascii="宋体" w:hAnsi="宋体" w:eastAsia="宋体" w:cs="宋体"/>
          <w:sz w:val="23"/>
          <w:szCs w:val="23"/>
        </w:rPr>
        <w:t xml:space="preserve"> </w:t>
      </w:r>
      <w:r>
        <w:rPr>
          <w:rFonts w:ascii="宋体" w:hAnsi="宋体" w:eastAsia="宋体" w:cs="宋体"/>
          <w:spacing w:val="12"/>
          <w:sz w:val="23"/>
          <w:szCs w:val="23"/>
        </w:rPr>
        <w:t>近</w:t>
      </w:r>
      <w:r>
        <w:rPr>
          <w:rFonts w:ascii="宋体" w:hAnsi="宋体" w:eastAsia="宋体" w:cs="宋体"/>
          <w:spacing w:val="7"/>
          <w:sz w:val="23"/>
          <w:szCs w:val="23"/>
        </w:rPr>
        <w:t>排入附近沟渠排放。生活污水经隔油池、化粪池处理后用作业主自有林地灌溉；养殖废水</w:t>
      </w:r>
      <w:r>
        <w:rPr>
          <w:rFonts w:ascii="宋体" w:hAnsi="宋体" w:eastAsia="宋体" w:cs="宋体"/>
          <w:sz w:val="23"/>
          <w:szCs w:val="23"/>
        </w:rPr>
        <w:t xml:space="preserve"> </w:t>
      </w:r>
      <w:r>
        <w:rPr>
          <w:rFonts w:ascii="宋体" w:hAnsi="宋体" w:eastAsia="宋体" w:cs="宋体"/>
          <w:spacing w:val="12"/>
          <w:sz w:val="23"/>
          <w:szCs w:val="23"/>
        </w:rPr>
        <w:t>目</w:t>
      </w:r>
      <w:r>
        <w:rPr>
          <w:rFonts w:ascii="宋体" w:hAnsi="宋体" w:eastAsia="宋体" w:cs="宋体"/>
          <w:spacing w:val="7"/>
          <w:sz w:val="23"/>
          <w:szCs w:val="23"/>
        </w:rPr>
        <w:t>前拟运输至乐山乐高勤力生物质能源综合利用有限公司集中处置，日产日清，同时，厂区</w:t>
      </w:r>
      <w:r>
        <w:rPr>
          <w:rFonts w:ascii="宋体" w:hAnsi="宋体" w:eastAsia="宋体" w:cs="宋体"/>
          <w:sz w:val="23"/>
          <w:szCs w:val="23"/>
        </w:rPr>
        <w:t xml:space="preserve"> </w:t>
      </w:r>
      <w:r>
        <w:rPr>
          <w:rFonts w:ascii="宋体" w:hAnsi="宋体" w:eastAsia="宋体" w:cs="宋体"/>
          <w:spacing w:val="12"/>
          <w:sz w:val="23"/>
          <w:szCs w:val="23"/>
        </w:rPr>
        <w:t>还</w:t>
      </w:r>
      <w:r>
        <w:rPr>
          <w:rFonts w:ascii="宋体" w:hAnsi="宋体" w:eastAsia="宋体" w:cs="宋体"/>
          <w:spacing w:val="7"/>
          <w:sz w:val="23"/>
          <w:szCs w:val="23"/>
        </w:rPr>
        <w:t>配套建设一套发酵床备用，若后期乐山乐高勤力生物质能源综合利用有限公司不再回收厂</w:t>
      </w:r>
      <w:r>
        <w:rPr>
          <w:rFonts w:ascii="宋体" w:hAnsi="宋体" w:eastAsia="宋体" w:cs="宋体"/>
          <w:sz w:val="23"/>
          <w:szCs w:val="23"/>
        </w:rPr>
        <w:t xml:space="preserve"> </w:t>
      </w:r>
      <w:r>
        <w:rPr>
          <w:rFonts w:ascii="宋体" w:hAnsi="宋体" w:eastAsia="宋体" w:cs="宋体"/>
          <w:spacing w:val="12"/>
          <w:sz w:val="23"/>
          <w:szCs w:val="23"/>
        </w:rPr>
        <w:t>区</w:t>
      </w:r>
      <w:r>
        <w:rPr>
          <w:rFonts w:ascii="宋体" w:hAnsi="宋体" w:eastAsia="宋体" w:cs="宋体"/>
          <w:spacing w:val="7"/>
          <w:sz w:val="23"/>
          <w:szCs w:val="23"/>
        </w:rPr>
        <w:t>内的养殖废水，可将通过异位发酵床自行处置，处理产生的有机肥外售处理；水帘降温系</w:t>
      </w:r>
      <w:r>
        <w:rPr>
          <w:rFonts w:ascii="宋体" w:hAnsi="宋体" w:eastAsia="宋体" w:cs="宋体"/>
          <w:sz w:val="23"/>
          <w:szCs w:val="23"/>
        </w:rPr>
        <w:t xml:space="preserve"> </w:t>
      </w:r>
      <w:r>
        <w:rPr>
          <w:rFonts w:ascii="宋体" w:hAnsi="宋体" w:eastAsia="宋体" w:cs="宋体"/>
          <w:spacing w:val="12"/>
          <w:sz w:val="23"/>
          <w:szCs w:val="23"/>
        </w:rPr>
        <w:t>统</w:t>
      </w:r>
      <w:r>
        <w:rPr>
          <w:rFonts w:ascii="宋体" w:hAnsi="宋体" w:eastAsia="宋体" w:cs="宋体"/>
          <w:spacing w:val="7"/>
          <w:sz w:val="23"/>
          <w:szCs w:val="23"/>
        </w:rPr>
        <w:t>废水采用循环池收集后循环利用，不外排。项目运营期产生的各类废水经相应处理后综合</w:t>
      </w:r>
      <w:r>
        <w:rPr>
          <w:rFonts w:ascii="宋体" w:hAnsi="宋体" w:eastAsia="宋体" w:cs="宋体"/>
          <w:sz w:val="23"/>
          <w:szCs w:val="23"/>
        </w:rPr>
        <w:t xml:space="preserve"> </w:t>
      </w:r>
      <w:r>
        <w:rPr>
          <w:rFonts w:ascii="宋体" w:hAnsi="宋体" w:eastAsia="宋体" w:cs="宋体"/>
          <w:spacing w:val="9"/>
          <w:sz w:val="23"/>
          <w:szCs w:val="23"/>
        </w:rPr>
        <w:t>利用，不外排，对地表水环境影响较小</w:t>
      </w:r>
      <w:r>
        <w:rPr>
          <w:rFonts w:ascii="宋体" w:hAnsi="宋体" w:eastAsia="宋体" w:cs="宋体"/>
          <w:spacing w:val="8"/>
          <w:sz w:val="23"/>
          <w:szCs w:val="23"/>
        </w:rPr>
        <w:t>。</w:t>
      </w:r>
    </w:p>
    <w:p w14:paraId="098E37F9">
      <w:pPr>
        <w:spacing w:line="228" w:lineRule="auto"/>
        <w:ind w:left="501"/>
        <w:rPr>
          <w:rFonts w:ascii="宋体" w:hAnsi="宋体" w:eastAsia="宋体" w:cs="宋体"/>
          <w:sz w:val="23"/>
          <w:szCs w:val="23"/>
        </w:rPr>
      </w:pP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8"/>
          <w:sz w:val="23"/>
          <w:szCs w:val="23"/>
        </w:rPr>
        <w:t>3</w:t>
      </w:r>
      <w:r>
        <w:rPr>
          <w:rFonts w:ascii="宋体" w:hAnsi="宋体" w:eastAsia="宋体" w:cs="宋体"/>
          <w:spacing w:val="18"/>
          <w:sz w:val="23"/>
          <w:szCs w:val="23"/>
          <w14:textOutline w14:w="4356" w14:cap="sq" w14:cmpd="sng" w14:algn="ctr">
            <w14:solidFill>
              <w14:srgbClr w14:val="000000"/>
            </w14:solidFill>
            <w14:prstDash w14:val="solid"/>
            <w14:bevel/>
          </w14:textOutline>
        </w:rPr>
        <w:t>)</w:t>
      </w:r>
      <w:r>
        <w:rPr>
          <w:rFonts w:ascii="宋体" w:hAnsi="宋体" w:eastAsia="宋体" w:cs="宋体"/>
          <w:spacing w:val="18"/>
          <w:sz w:val="23"/>
          <w:szCs w:val="23"/>
        </w:rPr>
        <w:t xml:space="preserve"> </w:t>
      </w:r>
      <w:r>
        <w:rPr>
          <w:rFonts w:ascii="宋体" w:hAnsi="宋体" w:eastAsia="宋体" w:cs="宋体"/>
          <w:spacing w:val="18"/>
          <w:sz w:val="23"/>
          <w:szCs w:val="23"/>
          <w14:textOutline w14:w="4356" w14:cap="sq" w14:cmpd="sng" w14:algn="ctr">
            <w14:solidFill>
              <w14:srgbClr w14:val="000000"/>
            </w14:solidFill>
            <w14:prstDash w14:val="solid"/>
            <w14:bevel/>
          </w14:textOutline>
        </w:rPr>
        <w:t>声环境影响分</w:t>
      </w:r>
      <w:r>
        <w:rPr>
          <w:rFonts w:ascii="宋体" w:hAnsi="宋体" w:eastAsia="宋体" w:cs="宋体"/>
          <w:spacing w:val="16"/>
          <w:sz w:val="23"/>
          <w:szCs w:val="23"/>
          <w14:textOutline w14:w="4356" w14:cap="sq" w14:cmpd="sng" w14:algn="ctr">
            <w14:solidFill>
              <w14:srgbClr w14:val="000000"/>
            </w14:solidFill>
            <w14:prstDash w14:val="solid"/>
            <w14:bevel/>
          </w14:textOutline>
        </w:rPr>
        <w:t>析</w:t>
      </w:r>
    </w:p>
    <w:p w14:paraId="3005EF80">
      <w:pPr>
        <w:tabs>
          <w:tab w:val="left" w:pos="136"/>
        </w:tabs>
        <w:spacing w:before="182" w:line="376" w:lineRule="auto"/>
        <w:ind w:left="9" w:right="40" w:firstLine="484"/>
        <w:rPr>
          <w:rFonts w:ascii="宋体" w:hAnsi="宋体" w:eastAsia="宋体" w:cs="宋体"/>
          <w:sz w:val="23"/>
          <w:szCs w:val="23"/>
        </w:rPr>
      </w:pPr>
      <w:r>
        <w:rPr>
          <w:rFonts w:ascii="宋体" w:hAnsi="宋体" w:eastAsia="宋体" w:cs="宋体"/>
          <w:spacing w:val="4"/>
          <w:sz w:val="23"/>
          <w:szCs w:val="23"/>
        </w:rPr>
        <w:t>项目运营期噪声</w:t>
      </w:r>
      <w:r>
        <w:rPr>
          <w:rFonts w:ascii="宋体" w:hAnsi="宋体" w:eastAsia="宋体" w:cs="宋体"/>
          <w:spacing w:val="2"/>
          <w:sz w:val="23"/>
          <w:szCs w:val="23"/>
        </w:rPr>
        <w:t>主要来源于设备噪声以及猪只叫声。设备噪声通过加强管理，合理布局，</w:t>
      </w:r>
      <w:r>
        <w:rPr>
          <w:rFonts w:ascii="宋体" w:hAnsi="宋体" w:eastAsia="宋体" w:cs="宋体"/>
          <w:sz w:val="23"/>
          <w:szCs w:val="23"/>
        </w:rPr>
        <w:t xml:space="preserve"> </w:t>
      </w:r>
      <w:r>
        <w:rPr>
          <w:rFonts w:ascii="宋体" w:hAnsi="宋体" w:eastAsia="宋体" w:cs="宋体"/>
          <w:spacing w:val="16"/>
          <w:sz w:val="23"/>
          <w:szCs w:val="23"/>
        </w:rPr>
        <w:t>采用低</w:t>
      </w:r>
      <w:r>
        <w:rPr>
          <w:rFonts w:ascii="宋体" w:hAnsi="宋体" w:eastAsia="宋体" w:cs="宋体"/>
          <w:spacing w:val="11"/>
          <w:sz w:val="23"/>
          <w:szCs w:val="23"/>
        </w:rPr>
        <w:t>噪</w:t>
      </w:r>
      <w:r>
        <w:rPr>
          <w:rFonts w:ascii="宋体" w:hAnsi="宋体" w:eastAsia="宋体" w:cs="宋体"/>
          <w:spacing w:val="8"/>
          <w:sz w:val="23"/>
          <w:szCs w:val="23"/>
        </w:rPr>
        <w:t>声设备，采取相应降噪、减震措施进行处理。猪只叫声通过加强管理，按时喂食，</w:t>
      </w:r>
      <w:r>
        <w:rPr>
          <w:rFonts w:ascii="宋体" w:hAnsi="宋体" w:eastAsia="宋体" w:cs="宋体"/>
          <w:sz w:val="23"/>
          <w:szCs w:val="23"/>
        </w:rPr>
        <w:t xml:space="preserve"> </w:t>
      </w:r>
      <w:r>
        <w:rPr>
          <w:rFonts w:ascii="宋体" w:hAnsi="宋体" w:eastAsia="宋体" w:cs="宋体"/>
          <w:spacing w:val="18"/>
          <w:sz w:val="23"/>
          <w:szCs w:val="23"/>
        </w:rPr>
        <w:t>建</w:t>
      </w:r>
      <w:r>
        <w:rPr>
          <w:rFonts w:ascii="宋体" w:hAnsi="宋体" w:eastAsia="宋体" w:cs="宋体"/>
          <w:spacing w:val="15"/>
          <w:sz w:val="23"/>
          <w:szCs w:val="23"/>
        </w:rPr>
        <w:t>筑</w:t>
      </w:r>
      <w:r>
        <w:rPr>
          <w:rFonts w:ascii="宋体" w:hAnsi="宋体" w:eastAsia="宋体" w:cs="宋体"/>
          <w:spacing w:val="9"/>
          <w:sz w:val="23"/>
          <w:szCs w:val="23"/>
        </w:rPr>
        <w:t>物隔声进行处理。根据预测噪声排放可以达到《工业企业厂界环境噪声排放标准》</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10"/>
          <w:sz w:val="23"/>
          <w:szCs w:val="23"/>
        </w:rPr>
        <w:t>(</w:t>
      </w:r>
      <w:r>
        <w:rPr>
          <w:rFonts w:ascii="Times New Roman" w:hAnsi="Times New Roman" w:eastAsia="Times New Roman" w:cs="Times New Roman"/>
          <w:sz w:val="23"/>
          <w:szCs w:val="23"/>
        </w:rPr>
        <w:t>GB</w:t>
      </w:r>
      <w:r>
        <w:rPr>
          <w:rFonts w:ascii="Times New Roman" w:hAnsi="Times New Roman" w:eastAsia="Times New Roman" w:cs="Times New Roman"/>
          <w:spacing w:val="6"/>
          <w:sz w:val="23"/>
          <w:szCs w:val="23"/>
        </w:rPr>
        <w:t>1</w:t>
      </w:r>
      <w:r>
        <w:rPr>
          <w:rFonts w:ascii="Times New Roman" w:hAnsi="Times New Roman" w:eastAsia="Times New Roman" w:cs="Times New Roman"/>
          <w:spacing w:val="5"/>
          <w:sz w:val="23"/>
          <w:szCs w:val="23"/>
        </w:rPr>
        <w:t>2348-2008</w:t>
      </w:r>
      <w:r>
        <w:rPr>
          <w:rFonts w:ascii="宋体" w:hAnsi="宋体" w:eastAsia="宋体" w:cs="宋体"/>
          <w:spacing w:val="5"/>
          <w:sz w:val="23"/>
          <w:szCs w:val="23"/>
        </w:rPr>
        <w:t xml:space="preserve">) </w:t>
      </w:r>
      <w:r>
        <w:rPr>
          <w:rFonts w:ascii="Times New Roman" w:hAnsi="Times New Roman" w:eastAsia="Times New Roman" w:cs="Times New Roman"/>
          <w:spacing w:val="5"/>
          <w:sz w:val="23"/>
          <w:szCs w:val="23"/>
        </w:rPr>
        <w:t>2</w:t>
      </w:r>
      <w:r>
        <w:rPr>
          <w:rFonts w:ascii="宋体" w:hAnsi="宋体" w:eastAsia="宋体" w:cs="宋体"/>
          <w:spacing w:val="5"/>
          <w:sz w:val="23"/>
          <w:szCs w:val="23"/>
        </w:rPr>
        <w:t>类标准。</w:t>
      </w:r>
    </w:p>
    <w:p w14:paraId="6EC1C322">
      <w:pPr>
        <w:spacing w:line="227" w:lineRule="auto"/>
        <w:ind w:left="501"/>
        <w:rPr>
          <w:rFonts w:ascii="宋体" w:hAnsi="宋体" w:eastAsia="宋体" w:cs="宋体"/>
          <w:sz w:val="23"/>
          <w:szCs w:val="23"/>
        </w:rPr>
      </w:pPr>
      <w:r>
        <w:rPr>
          <w:rFonts w:ascii="宋体" w:hAnsi="宋体" w:eastAsia="宋体" w:cs="宋体"/>
          <w:spacing w:val="20"/>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16"/>
          <w:sz w:val="23"/>
          <w:szCs w:val="23"/>
        </w:rPr>
        <w:t>4</w:t>
      </w:r>
      <w:r>
        <w:rPr>
          <w:rFonts w:ascii="宋体" w:hAnsi="宋体" w:eastAsia="宋体" w:cs="宋体"/>
          <w:spacing w:val="16"/>
          <w:sz w:val="23"/>
          <w:szCs w:val="23"/>
          <w14:textOutline w14:w="4356" w14:cap="sq" w14:cmpd="sng" w14:algn="ctr">
            <w14:solidFill>
              <w14:srgbClr w14:val="000000"/>
            </w14:solidFill>
            <w14:prstDash w14:val="solid"/>
            <w14:bevel/>
          </w14:textOutline>
        </w:rPr>
        <w:t>)</w:t>
      </w:r>
      <w:r>
        <w:rPr>
          <w:rFonts w:ascii="宋体" w:hAnsi="宋体" w:eastAsia="宋体" w:cs="宋体"/>
          <w:spacing w:val="16"/>
          <w:sz w:val="23"/>
          <w:szCs w:val="23"/>
        </w:rPr>
        <w:t xml:space="preserve"> </w:t>
      </w:r>
      <w:r>
        <w:rPr>
          <w:rFonts w:ascii="宋体" w:hAnsi="宋体" w:eastAsia="宋体" w:cs="宋体"/>
          <w:spacing w:val="16"/>
          <w:sz w:val="23"/>
          <w:szCs w:val="23"/>
          <w14:textOutline w14:w="4356" w14:cap="sq" w14:cmpd="sng" w14:algn="ctr">
            <w14:solidFill>
              <w14:srgbClr w14:val="000000"/>
            </w14:solidFill>
            <w14:prstDash w14:val="solid"/>
            <w14:bevel/>
          </w14:textOutline>
        </w:rPr>
        <w:t>固体废弃物的影响分析</w:t>
      </w:r>
    </w:p>
    <w:p w14:paraId="1A67F40D">
      <w:pPr>
        <w:spacing w:before="180" w:line="376" w:lineRule="auto"/>
        <w:ind w:left="8" w:right="99" w:firstLine="481"/>
        <w:rPr>
          <w:rFonts w:ascii="宋体" w:hAnsi="宋体" w:eastAsia="宋体" w:cs="宋体"/>
          <w:sz w:val="23"/>
          <w:szCs w:val="23"/>
        </w:rPr>
      </w:pPr>
      <w:r>
        <w:rPr>
          <w:rFonts w:ascii="宋体" w:hAnsi="宋体" w:eastAsia="宋体" w:cs="宋体"/>
          <w:spacing w:val="7"/>
          <w:sz w:val="23"/>
          <w:szCs w:val="23"/>
        </w:rPr>
        <w:t>猪粪与养殖废水一起交由乐山乐高勤力生物质能源综合利用有限公司集中处置，日产</w:t>
      </w:r>
      <w:r>
        <w:rPr>
          <w:rFonts w:ascii="宋体" w:hAnsi="宋体" w:eastAsia="宋体" w:cs="宋体"/>
          <w:spacing w:val="6"/>
          <w:sz w:val="23"/>
          <w:szCs w:val="23"/>
        </w:rPr>
        <w:t>日</w:t>
      </w:r>
      <w:r>
        <w:rPr>
          <w:rFonts w:ascii="宋体" w:hAnsi="宋体" w:eastAsia="宋体" w:cs="宋体"/>
          <w:sz w:val="23"/>
          <w:szCs w:val="23"/>
        </w:rPr>
        <w:t xml:space="preserve"> </w:t>
      </w:r>
      <w:r>
        <w:rPr>
          <w:rFonts w:ascii="宋体" w:hAnsi="宋体" w:eastAsia="宋体" w:cs="宋体"/>
          <w:spacing w:val="13"/>
          <w:sz w:val="23"/>
          <w:szCs w:val="23"/>
        </w:rPr>
        <w:t>清</w:t>
      </w:r>
      <w:r>
        <w:rPr>
          <w:rFonts w:ascii="宋体" w:hAnsi="宋体" w:eastAsia="宋体" w:cs="宋体"/>
          <w:spacing w:val="7"/>
          <w:sz w:val="23"/>
          <w:szCs w:val="23"/>
        </w:rPr>
        <w:t>，若后期乐山乐高勤力生物质能源综合利用有限公司不再收纳本项目废水，则排入集污池</w:t>
      </w:r>
      <w:r>
        <w:rPr>
          <w:rFonts w:ascii="宋体" w:hAnsi="宋体" w:eastAsia="宋体" w:cs="宋体"/>
          <w:sz w:val="23"/>
          <w:szCs w:val="23"/>
        </w:rPr>
        <w:t xml:space="preserve"> </w:t>
      </w:r>
      <w:r>
        <w:rPr>
          <w:rFonts w:ascii="宋体" w:hAnsi="宋体" w:eastAsia="宋体" w:cs="宋体"/>
          <w:spacing w:val="13"/>
          <w:sz w:val="23"/>
          <w:szCs w:val="23"/>
        </w:rPr>
        <w:t>中</w:t>
      </w:r>
      <w:r>
        <w:rPr>
          <w:rFonts w:ascii="宋体" w:hAnsi="宋体" w:eastAsia="宋体" w:cs="宋体"/>
          <w:spacing w:val="7"/>
          <w:sz w:val="23"/>
          <w:szCs w:val="23"/>
        </w:rPr>
        <w:t>与养殖废水混匀后一并经异位微生物发酵床处置，产生的农肥外售；病死猪不在厂区内处</w:t>
      </w:r>
      <w:r>
        <w:rPr>
          <w:rFonts w:ascii="宋体" w:hAnsi="宋体" w:eastAsia="宋体" w:cs="宋体"/>
          <w:sz w:val="23"/>
          <w:szCs w:val="23"/>
        </w:rPr>
        <w:t xml:space="preserve"> </w:t>
      </w:r>
      <w:r>
        <w:rPr>
          <w:rFonts w:ascii="宋体" w:hAnsi="宋体" w:eastAsia="宋体" w:cs="宋体"/>
          <w:spacing w:val="7"/>
          <w:sz w:val="23"/>
          <w:szCs w:val="23"/>
        </w:rPr>
        <w:t>置，根据乐山市沙湾区人民政府办公室《关于建立病死畜禽无害化处理机制的通知》 (乐</w:t>
      </w:r>
      <w:r>
        <w:rPr>
          <w:rFonts w:ascii="宋体" w:hAnsi="宋体" w:eastAsia="宋体" w:cs="宋体"/>
          <w:spacing w:val="6"/>
          <w:sz w:val="23"/>
          <w:szCs w:val="23"/>
        </w:rPr>
        <w:t>沙</w:t>
      </w:r>
      <w:r>
        <w:rPr>
          <w:rFonts w:ascii="宋体" w:hAnsi="宋体" w:eastAsia="宋体" w:cs="宋体"/>
          <w:sz w:val="23"/>
          <w:szCs w:val="23"/>
        </w:rPr>
        <w:t xml:space="preserve"> </w:t>
      </w:r>
      <w:r>
        <w:rPr>
          <w:rFonts w:ascii="宋体" w:hAnsi="宋体" w:eastAsia="宋体" w:cs="宋体"/>
          <w:spacing w:val="8"/>
          <w:sz w:val="23"/>
          <w:szCs w:val="23"/>
        </w:rPr>
        <w:t>府办函</w:t>
      </w:r>
      <w:r>
        <w:rPr>
          <w:rFonts w:ascii="Times New Roman" w:hAnsi="Times New Roman" w:eastAsia="Times New Roman" w:cs="Times New Roman"/>
          <w:spacing w:val="8"/>
          <w:sz w:val="23"/>
          <w:szCs w:val="23"/>
        </w:rPr>
        <w:t xml:space="preserve">[2018] 1 </w:t>
      </w:r>
      <w:r>
        <w:rPr>
          <w:rFonts w:ascii="宋体" w:hAnsi="宋体" w:eastAsia="宋体" w:cs="宋体"/>
          <w:spacing w:val="8"/>
          <w:sz w:val="23"/>
          <w:szCs w:val="23"/>
        </w:rPr>
        <w:t>号) 要求，在乐山市病死畜禽无害化处理中心建成之前，委托专业化的公</w:t>
      </w:r>
      <w:r>
        <w:rPr>
          <w:rFonts w:ascii="宋体" w:hAnsi="宋体" w:eastAsia="宋体" w:cs="宋体"/>
          <w:spacing w:val="6"/>
          <w:sz w:val="23"/>
          <w:szCs w:val="23"/>
        </w:rPr>
        <w:t>司</w:t>
      </w:r>
      <w:r>
        <w:rPr>
          <w:rFonts w:ascii="宋体" w:hAnsi="宋体" w:eastAsia="宋体" w:cs="宋体"/>
          <w:sz w:val="23"/>
          <w:szCs w:val="23"/>
        </w:rPr>
        <w:t xml:space="preserve"> </w:t>
      </w:r>
      <w:r>
        <w:rPr>
          <w:rFonts w:ascii="宋体" w:hAnsi="宋体" w:eastAsia="宋体" w:cs="宋体"/>
          <w:spacing w:val="13"/>
          <w:sz w:val="23"/>
          <w:szCs w:val="23"/>
        </w:rPr>
        <w:t>进</w:t>
      </w:r>
      <w:r>
        <w:rPr>
          <w:rFonts w:ascii="宋体" w:hAnsi="宋体" w:eastAsia="宋体" w:cs="宋体"/>
          <w:spacing w:val="7"/>
          <w:sz w:val="23"/>
          <w:szCs w:val="23"/>
        </w:rPr>
        <w:t>行无害化处置，乐山市病死畜禽无害化处理中心建成后交无害化处理中心处置；废垫料与</w:t>
      </w:r>
      <w:r>
        <w:rPr>
          <w:rFonts w:ascii="宋体" w:hAnsi="宋体" w:eastAsia="宋体" w:cs="宋体"/>
          <w:sz w:val="23"/>
          <w:szCs w:val="23"/>
        </w:rPr>
        <w:t xml:space="preserve"> </w:t>
      </w:r>
      <w:r>
        <w:rPr>
          <w:rFonts w:ascii="宋体" w:hAnsi="宋体" w:eastAsia="宋体" w:cs="宋体"/>
          <w:spacing w:val="12"/>
          <w:sz w:val="23"/>
          <w:szCs w:val="23"/>
        </w:rPr>
        <w:t>有机肥</w:t>
      </w:r>
      <w:r>
        <w:rPr>
          <w:rFonts w:ascii="宋体" w:hAnsi="宋体" w:eastAsia="宋体" w:cs="宋体"/>
          <w:spacing w:val="9"/>
          <w:sz w:val="23"/>
          <w:szCs w:val="23"/>
        </w:rPr>
        <w:t>一</w:t>
      </w:r>
      <w:r>
        <w:rPr>
          <w:rFonts w:ascii="宋体" w:hAnsi="宋体" w:eastAsia="宋体" w:cs="宋体"/>
          <w:spacing w:val="6"/>
          <w:sz w:val="23"/>
          <w:szCs w:val="23"/>
        </w:rPr>
        <w:t xml:space="preserve">起外售处置；医疗废物单独收集，设置医疗废物暂存间 </w:t>
      </w:r>
      <w:r>
        <w:rPr>
          <w:rFonts w:ascii="Times New Roman" w:hAnsi="Times New Roman" w:eastAsia="Times New Roman" w:cs="Times New Roman"/>
          <w:spacing w:val="6"/>
          <w:sz w:val="23"/>
          <w:szCs w:val="23"/>
        </w:rPr>
        <w:t xml:space="preserve">1 </w:t>
      </w:r>
      <w:r>
        <w:rPr>
          <w:rFonts w:ascii="宋体" w:hAnsi="宋体" w:eastAsia="宋体" w:cs="宋体"/>
          <w:spacing w:val="6"/>
          <w:sz w:val="23"/>
          <w:szCs w:val="23"/>
        </w:rPr>
        <w:t xml:space="preserve">间 </w:t>
      </w:r>
      <w:r>
        <w:rPr>
          <w:rFonts w:ascii="Times New Roman" w:hAnsi="Times New Roman" w:eastAsia="Times New Roman" w:cs="Times New Roman"/>
          <w:spacing w:val="6"/>
          <w:sz w:val="23"/>
          <w:szCs w:val="23"/>
        </w:rPr>
        <w:t>10</w:t>
      </w:r>
      <w:r>
        <w:rPr>
          <w:rFonts w:ascii="Times New Roman" w:hAnsi="Times New Roman" w:eastAsia="Times New Roman" w:cs="Times New Roman"/>
          <w:sz w:val="23"/>
          <w:szCs w:val="23"/>
        </w:rPr>
        <w:t>m</w:t>
      </w:r>
      <w:r>
        <w:rPr>
          <w:rFonts w:ascii="Times New Roman" w:hAnsi="Times New Roman" w:eastAsia="Times New Roman" w:cs="Times New Roman"/>
          <w:spacing w:val="6"/>
          <w:position w:val="8"/>
          <w:sz w:val="15"/>
          <w:szCs w:val="15"/>
        </w:rPr>
        <w:t xml:space="preserve">2 </w:t>
      </w:r>
      <w:r>
        <w:rPr>
          <w:rFonts w:ascii="宋体" w:hAnsi="宋体" w:eastAsia="宋体" w:cs="宋体"/>
          <w:spacing w:val="6"/>
          <w:sz w:val="23"/>
          <w:szCs w:val="23"/>
        </w:rPr>
        <w:t>，收集暂存医疗</w:t>
      </w:r>
      <w:r>
        <w:rPr>
          <w:rFonts w:ascii="宋体" w:hAnsi="宋体" w:eastAsia="宋体" w:cs="宋体"/>
          <w:sz w:val="23"/>
          <w:szCs w:val="23"/>
        </w:rPr>
        <w:t xml:space="preserve"> </w:t>
      </w:r>
      <w:r>
        <w:rPr>
          <w:rFonts w:ascii="宋体" w:hAnsi="宋体" w:eastAsia="宋体" w:cs="宋体"/>
          <w:spacing w:val="13"/>
          <w:sz w:val="23"/>
          <w:szCs w:val="23"/>
        </w:rPr>
        <w:t>废</w:t>
      </w:r>
      <w:r>
        <w:rPr>
          <w:rFonts w:ascii="宋体" w:hAnsi="宋体" w:eastAsia="宋体" w:cs="宋体"/>
          <w:spacing w:val="7"/>
          <w:sz w:val="23"/>
          <w:szCs w:val="23"/>
        </w:rPr>
        <w:t>物定期交资质单位处理，签订协议并设立台账；废饲料包装袋暂存于一般固废暂存间，定</w:t>
      </w:r>
      <w:r>
        <w:rPr>
          <w:rFonts w:ascii="宋体" w:hAnsi="宋体" w:eastAsia="宋体" w:cs="宋体"/>
          <w:sz w:val="23"/>
          <w:szCs w:val="23"/>
        </w:rPr>
        <w:t xml:space="preserve"> </w:t>
      </w:r>
      <w:r>
        <w:rPr>
          <w:rFonts w:ascii="宋体" w:hAnsi="宋体" w:eastAsia="宋体" w:cs="宋体"/>
          <w:spacing w:val="8"/>
          <w:sz w:val="23"/>
          <w:szCs w:val="23"/>
        </w:rPr>
        <w:t>期由饲料厂家回收。</w:t>
      </w:r>
    </w:p>
    <w:p w14:paraId="210A6493">
      <w:pPr>
        <w:spacing w:before="2" w:line="383" w:lineRule="auto"/>
        <w:ind w:left="9" w:right="101" w:firstLine="480"/>
        <w:rPr>
          <w:rFonts w:ascii="宋体" w:hAnsi="宋体" w:eastAsia="宋体" w:cs="宋体"/>
          <w:sz w:val="23"/>
          <w:szCs w:val="23"/>
        </w:rPr>
      </w:pPr>
      <w:r>
        <w:rPr>
          <w:rFonts w:ascii="宋体" w:hAnsi="宋体" w:eastAsia="宋体" w:cs="宋体"/>
          <w:spacing w:val="7"/>
          <w:sz w:val="23"/>
          <w:szCs w:val="23"/>
        </w:rPr>
        <w:t>在采取上述预防措施和办法后，各类固废可得到合理有效的处理和处置，其产生的固</w:t>
      </w:r>
      <w:r>
        <w:rPr>
          <w:rFonts w:ascii="宋体" w:hAnsi="宋体" w:eastAsia="宋体" w:cs="宋体"/>
          <w:spacing w:val="6"/>
          <w:sz w:val="23"/>
          <w:szCs w:val="23"/>
        </w:rPr>
        <w:t>体</w:t>
      </w:r>
      <w:r>
        <w:rPr>
          <w:rFonts w:ascii="宋体" w:hAnsi="宋体" w:eastAsia="宋体" w:cs="宋体"/>
          <w:sz w:val="23"/>
          <w:szCs w:val="23"/>
        </w:rPr>
        <w:t xml:space="preserve"> </w:t>
      </w:r>
      <w:r>
        <w:rPr>
          <w:rFonts w:ascii="宋体" w:hAnsi="宋体" w:eastAsia="宋体" w:cs="宋体"/>
          <w:spacing w:val="9"/>
          <w:sz w:val="23"/>
          <w:szCs w:val="23"/>
        </w:rPr>
        <w:t>废弃物不会对周围环境造成二次污染</w:t>
      </w:r>
      <w:r>
        <w:rPr>
          <w:rFonts w:ascii="宋体" w:hAnsi="宋体" w:eastAsia="宋体" w:cs="宋体"/>
          <w:spacing w:val="7"/>
          <w:sz w:val="23"/>
          <w:szCs w:val="23"/>
        </w:rPr>
        <w:t>。</w:t>
      </w:r>
    </w:p>
    <w:p w14:paraId="26C12AAE">
      <w:pPr>
        <w:sectPr>
          <w:headerReference r:id="rId343" w:type="default"/>
          <w:footerReference r:id="rId344" w:type="default"/>
          <w:pgSz w:w="11906" w:h="16839"/>
          <w:pgMar w:top="1118" w:right="1033" w:bottom="1168" w:left="1275" w:header="878" w:footer="1008" w:gutter="0"/>
          <w:cols w:space="720" w:num="1"/>
        </w:sectPr>
      </w:pPr>
    </w:p>
    <w:p w14:paraId="5B8F0F6E">
      <w:pPr>
        <w:spacing w:before="272" w:line="227" w:lineRule="auto"/>
        <w:ind w:left="501"/>
        <w:rPr>
          <w:rFonts w:ascii="宋体" w:hAnsi="宋体" w:eastAsia="宋体" w:cs="宋体"/>
          <w:sz w:val="23"/>
          <w:szCs w:val="23"/>
        </w:rPr>
      </w:pPr>
      <w:r>
        <w:rPr>
          <w:rFonts w:ascii="宋体" w:hAnsi="宋体" w:eastAsia="宋体" w:cs="宋体"/>
          <w:spacing w:val="25"/>
          <w:sz w:val="23"/>
          <w:szCs w:val="23"/>
          <w14:textOutline w14:w="4356" w14:cap="sq" w14:cmpd="sng" w14:algn="ctr">
            <w14:solidFill>
              <w14:srgbClr w14:val="000000"/>
            </w14:solidFill>
            <w14:prstDash w14:val="solid"/>
            <w14:bevel/>
          </w14:textOutline>
        </w:rPr>
        <w:t>(</w:t>
      </w:r>
      <w:r>
        <w:rPr>
          <w:rFonts w:ascii="Times New Roman" w:hAnsi="Times New Roman" w:eastAsia="Times New Roman" w:cs="Times New Roman"/>
          <w:b/>
          <w:bCs/>
          <w:spacing w:val="21"/>
          <w:sz w:val="23"/>
          <w:szCs w:val="23"/>
        </w:rPr>
        <w:t>5</w:t>
      </w:r>
      <w:r>
        <w:rPr>
          <w:rFonts w:ascii="宋体" w:hAnsi="宋体" w:eastAsia="宋体" w:cs="宋体"/>
          <w:spacing w:val="21"/>
          <w:sz w:val="23"/>
          <w:szCs w:val="23"/>
          <w14:textOutline w14:w="4356" w14:cap="sq" w14:cmpd="sng" w14:algn="ctr">
            <w14:solidFill>
              <w14:srgbClr w14:val="000000"/>
            </w14:solidFill>
            <w14:prstDash w14:val="solid"/>
            <w14:bevel/>
          </w14:textOutline>
        </w:rPr>
        <w:t>)</w:t>
      </w:r>
      <w:r>
        <w:rPr>
          <w:rFonts w:ascii="宋体" w:hAnsi="宋体" w:eastAsia="宋体" w:cs="宋体"/>
          <w:spacing w:val="21"/>
          <w:sz w:val="23"/>
          <w:szCs w:val="23"/>
        </w:rPr>
        <w:t xml:space="preserve"> </w:t>
      </w:r>
      <w:r>
        <w:rPr>
          <w:rFonts w:ascii="宋体" w:hAnsi="宋体" w:eastAsia="宋体" w:cs="宋体"/>
          <w:spacing w:val="21"/>
          <w:sz w:val="23"/>
          <w:szCs w:val="23"/>
          <w14:textOutline w14:w="4356" w14:cap="sq" w14:cmpd="sng" w14:algn="ctr">
            <w14:solidFill>
              <w14:srgbClr w14:val="000000"/>
            </w14:solidFill>
            <w14:prstDash w14:val="solid"/>
            <w14:bevel/>
          </w14:textOutline>
        </w:rPr>
        <w:t>地下水</w:t>
      </w:r>
    </w:p>
    <w:p w14:paraId="1A4FCDF9">
      <w:pPr>
        <w:tabs>
          <w:tab w:val="left" w:pos="136"/>
        </w:tabs>
        <w:spacing w:before="183" w:line="376" w:lineRule="auto"/>
        <w:ind w:left="10" w:right="65" w:firstLine="599"/>
        <w:rPr>
          <w:rFonts w:ascii="宋体" w:hAnsi="宋体" w:eastAsia="宋体" w:cs="宋体"/>
          <w:sz w:val="23"/>
          <w:szCs w:val="23"/>
        </w:rPr>
      </w:pPr>
      <w:r>
        <w:rPr>
          <w:rFonts w:ascii="宋体" w:hAnsi="宋体" w:eastAsia="宋体" w:cs="宋体"/>
          <w:spacing w:val="15"/>
          <w:sz w:val="23"/>
          <w:szCs w:val="23"/>
        </w:rPr>
        <w:t>对</w:t>
      </w:r>
      <w:r>
        <w:rPr>
          <w:rFonts w:ascii="宋体" w:hAnsi="宋体" w:eastAsia="宋体" w:cs="宋体"/>
          <w:spacing w:val="10"/>
          <w:sz w:val="23"/>
          <w:szCs w:val="23"/>
        </w:rPr>
        <w:t>场区进行分区防渗。重点防渗区：医疗废物暂存间；一般防渗区：粪污化粪池、异</w:t>
      </w:r>
      <w:r>
        <w:rPr>
          <w:rFonts w:ascii="宋体" w:hAnsi="宋体" w:eastAsia="宋体" w:cs="宋体"/>
          <w:sz w:val="23"/>
          <w:szCs w:val="23"/>
        </w:rPr>
        <w:t xml:space="preserve"> </w:t>
      </w:r>
      <w:r>
        <w:rPr>
          <w:rFonts w:ascii="宋体" w:hAnsi="宋体" w:eastAsia="宋体" w:cs="宋体"/>
          <w:spacing w:val="12"/>
          <w:sz w:val="23"/>
          <w:szCs w:val="23"/>
        </w:rPr>
        <w:t>位</w:t>
      </w:r>
      <w:r>
        <w:rPr>
          <w:rFonts w:ascii="宋体" w:hAnsi="宋体" w:eastAsia="宋体" w:cs="宋体"/>
          <w:spacing w:val="7"/>
          <w:sz w:val="23"/>
          <w:szCs w:val="23"/>
        </w:rPr>
        <w:t>发酵床、隔油池、生活污水化粪池、猪舍、隔离舍、各粪污管网；简单防渗：办公及仓储</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9"/>
          <w:sz w:val="23"/>
          <w:szCs w:val="23"/>
        </w:rPr>
        <w:t>(水泥硬化) ；非防渗区：绿化或未利用土地。采取上述措施，可降低地下水污染事故</w:t>
      </w:r>
      <w:r>
        <w:rPr>
          <w:rFonts w:ascii="宋体" w:hAnsi="宋体" w:eastAsia="宋体" w:cs="宋体"/>
          <w:spacing w:val="8"/>
          <w:sz w:val="23"/>
          <w:szCs w:val="23"/>
        </w:rPr>
        <w:t>。</w:t>
      </w:r>
    </w:p>
    <w:p w14:paraId="029D893A">
      <w:pPr>
        <w:spacing w:line="228" w:lineRule="auto"/>
        <w:ind w:left="16"/>
        <w:outlineLvl w:val="2"/>
        <w:rPr>
          <w:rFonts w:ascii="宋体" w:hAnsi="宋体" w:eastAsia="宋体" w:cs="宋体"/>
          <w:sz w:val="23"/>
          <w:szCs w:val="23"/>
        </w:rPr>
      </w:pPr>
      <w:r>
        <w:rPr>
          <w:rFonts w:ascii="Times New Roman" w:hAnsi="Times New Roman" w:eastAsia="Times New Roman" w:cs="Times New Roman"/>
          <w:b/>
          <w:bCs/>
          <w:spacing w:val="10"/>
          <w:sz w:val="23"/>
          <w:szCs w:val="23"/>
        </w:rPr>
        <w:t>1</w:t>
      </w:r>
      <w:r>
        <w:rPr>
          <w:rFonts w:ascii="Times New Roman" w:hAnsi="Times New Roman" w:eastAsia="Times New Roman" w:cs="Times New Roman"/>
          <w:b/>
          <w:bCs/>
          <w:spacing w:val="6"/>
          <w:sz w:val="23"/>
          <w:szCs w:val="23"/>
        </w:rPr>
        <w:t>1.1.6</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环境影响经济损益分析</w:t>
      </w:r>
    </w:p>
    <w:p w14:paraId="70A61949">
      <w:pPr>
        <w:spacing w:before="141" w:line="387" w:lineRule="auto"/>
        <w:ind w:left="11" w:right="60" w:firstLine="559"/>
        <w:rPr>
          <w:rFonts w:ascii="宋体" w:hAnsi="宋体" w:eastAsia="宋体" w:cs="宋体"/>
          <w:sz w:val="23"/>
          <w:szCs w:val="23"/>
        </w:rPr>
      </w:pPr>
      <w:r>
        <w:rPr>
          <w:rFonts w:ascii="宋体" w:hAnsi="宋体" w:eastAsia="宋体" w:cs="宋体"/>
          <w:spacing w:val="4"/>
          <w:sz w:val="23"/>
          <w:szCs w:val="23"/>
        </w:rPr>
        <w:t>本项目环保投</w:t>
      </w:r>
      <w:r>
        <w:rPr>
          <w:rFonts w:ascii="宋体" w:hAnsi="宋体" w:eastAsia="宋体" w:cs="宋体"/>
          <w:spacing w:val="2"/>
          <w:sz w:val="23"/>
          <w:szCs w:val="23"/>
        </w:rPr>
        <w:t xml:space="preserve">资总计为 </w:t>
      </w:r>
      <w:r>
        <w:rPr>
          <w:rFonts w:ascii="Times New Roman" w:hAnsi="Times New Roman" w:eastAsia="Times New Roman" w:cs="Times New Roman"/>
          <w:spacing w:val="2"/>
          <w:sz w:val="23"/>
          <w:szCs w:val="23"/>
        </w:rPr>
        <w:t xml:space="preserve">227 </w:t>
      </w:r>
      <w:r>
        <w:rPr>
          <w:rFonts w:ascii="宋体" w:hAnsi="宋体" w:eastAsia="宋体" w:cs="宋体"/>
          <w:spacing w:val="2"/>
          <w:sz w:val="23"/>
          <w:szCs w:val="23"/>
        </w:rPr>
        <w:t xml:space="preserve">万元，占项目总投资 </w:t>
      </w:r>
      <w:r>
        <w:rPr>
          <w:rFonts w:ascii="Times New Roman" w:hAnsi="Times New Roman" w:eastAsia="Times New Roman" w:cs="Times New Roman"/>
          <w:spacing w:val="2"/>
          <w:sz w:val="23"/>
          <w:szCs w:val="23"/>
        </w:rPr>
        <w:t xml:space="preserve">2629 </w:t>
      </w:r>
      <w:r>
        <w:rPr>
          <w:rFonts w:ascii="宋体" w:hAnsi="宋体" w:eastAsia="宋体" w:cs="宋体"/>
          <w:spacing w:val="2"/>
          <w:sz w:val="23"/>
          <w:szCs w:val="23"/>
        </w:rPr>
        <w:t xml:space="preserve">万元的 </w:t>
      </w:r>
      <w:r>
        <w:rPr>
          <w:rFonts w:ascii="Times New Roman" w:hAnsi="Times New Roman" w:eastAsia="Times New Roman" w:cs="Times New Roman"/>
          <w:spacing w:val="2"/>
          <w:sz w:val="23"/>
          <w:szCs w:val="23"/>
        </w:rPr>
        <w:t xml:space="preserve">8.63% </w:t>
      </w:r>
      <w:r>
        <w:rPr>
          <w:rFonts w:ascii="宋体" w:hAnsi="宋体" w:eastAsia="宋体" w:cs="宋体"/>
          <w:spacing w:val="2"/>
          <w:sz w:val="23"/>
          <w:szCs w:val="23"/>
        </w:rPr>
        <w:t>。环保措施技术经</w:t>
      </w:r>
      <w:r>
        <w:rPr>
          <w:rFonts w:ascii="宋体" w:hAnsi="宋体" w:eastAsia="宋体" w:cs="宋体"/>
          <w:sz w:val="23"/>
          <w:szCs w:val="23"/>
        </w:rPr>
        <w:t xml:space="preserve"> </w:t>
      </w:r>
      <w:r>
        <w:rPr>
          <w:rFonts w:ascii="宋体" w:hAnsi="宋体" w:eastAsia="宋体" w:cs="宋体"/>
          <w:spacing w:val="14"/>
          <w:sz w:val="23"/>
          <w:szCs w:val="23"/>
        </w:rPr>
        <w:t>济</w:t>
      </w:r>
      <w:r>
        <w:rPr>
          <w:rFonts w:ascii="宋体" w:hAnsi="宋体" w:eastAsia="宋体" w:cs="宋体"/>
          <w:spacing w:val="8"/>
          <w:sz w:val="23"/>
          <w:szCs w:val="23"/>
        </w:rPr>
        <w:t>分</w:t>
      </w:r>
      <w:r>
        <w:rPr>
          <w:rFonts w:ascii="宋体" w:hAnsi="宋体" w:eastAsia="宋体" w:cs="宋体"/>
          <w:spacing w:val="7"/>
          <w:sz w:val="23"/>
          <w:szCs w:val="23"/>
        </w:rPr>
        <w:t>析结果表明：工程的废水处理方案合理、技术可靠、经济可行、处理效率高；废气、噪</w:t>
      </w:r>
      <w:r>
        <w:rPr>
          <w:rFonts w:ascii="宋体" w:hAnsi="宋体" w:eastAsia="宋体" w:cs="宋体"/>
          <w:sz w:val="23"/>
          <w:szCs w:val="23"/>
        </w:rPr>
        <w:t xml:space="preserve"> </w:t>
      </w:r>
      <w:r>
        <w:rPr>
          <w:rFonts w:ascii="宋体" w:hAnsi="宋体" w:eastAsia="宋体" w:cs="宋体"/>
          <w:spacing w:val="18"/>
          <w:sz w:val="23"/>
          <w:szCs w:val="23"/>
        </w:rPr>
        <w:t>声</w:t>
      </w:r>
      <w:r>
        <w:rPr>
          <w:rFonts w:ascii="宋体" w:hAnsi="宋体" w:eastAsia="宋体" w:cs="宋体"/>
          <w:spacing w:val="14"/>
          <w:sz w:val="23"/>
          <w:szCs w:val="23"/>
        </w:rPr>
        <w:t>、</w:t>
      </w:r>
      <w:r>
        <w:rPr>
          <w:rFonts w:ascii="宋体" w:hAnsi="宋体" w:eastAsia="宋体" w:cs="宋体"/>
          <w:spacing w:val="9"/>
          <w:sz w:val="23"/>
          <w:szCs w:val="23"/>
        </w:rPr>
        <w:t>固废治理方案都是一些通用、成熟的方法。所选的环保治理方案切实可行。</w:t>
      </w:r>
    </w:p>
    <w:p w14:paraId="2F24ED99">
      <w:pPr>
        <w:spacing w:line="227" w:lineRule="auto"/>
        <w:ind w:left="16"/>
        <w:outlineLvl w:val="2"/>
        <w:rPr>
          <w:rFonts w:ascii="宋体" w:hAnsi="宋体" w:eastAsia="宋体" w:cs="宋体"/>
          <w:sz w:val="23"/>
          <w:szCs w:val="23"/>
        </w:rPr>
      </w:pPr>
      <w:r>
        <w:rPr>
          <w:rFonts w:ascii="Times New Roman" w:hAnsi="Times New Roman" w:eastAsia="Times New Roman" w:cs="Times New Roman"/>
          <w:b/>
          <w:bCs/>
          <w:spacing w:val="6"/>
          <w:sz w:val="23"/>
          <w:szCs w:val="23"/>
        </w:rPr>
        <w:t>11.1.7</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环境管理与监测计</w:t>
      </w:r>
      <w:r>
        <w:rPr>
          <w:rFonts w:ascii="宋体" w:hAnsi="宋体" w:eastAsia="宋体" w:cs="宋体"/>
          <w:spacing w:val="4"/>
          <w:sz w:val="23"/>
          <w:szCs w:val="23"/>
          <w14:textOutline w14:w="4356" w14:cap="sq" w14:cmpd="sng" w14:algn="ctr">
            <w14:solidFill>
              <w14:srgbClr w14:val="000000"/>
            </w14:solidFill>
            <w14:prstDash w14:val="solid"/>
            <w14:bevel/>
          </w14:textOutline>
        </w:rPr>
        <w:t>划</w:t>
      </w:r>
    </w:p>
    <w:p w14:paraId="36BBDC87">
      <w:pPr>
        <w:spacing w:before="183" w:line="376" w:lineRule="auto"/>
        <w:ind w:left="10" w:right="18" w:firstLine="572"/>
        <w:rPr>
          <w:rFonts w:ascii="宋体" w:hAnsi="宋体" w:eastAsia="宋体" w:cs="宋体"/>
          <w:sz w:val="23"/>
          <w:szCs w:val="23"/>
        </w:rPr>
      </w:pPr>
      <w:r>
        <w:rPr>
          <w:rFonts w:ascii="宋体" w:hAnsi="宋体" w:eastAsia="宋体" w:cs="宋体"/>
          <w:spacing w:val="11"/>
          <w:sz w:val="23"/>
          <w:szCs w:val="23"/>
        </w:rPr>
        <w:t>项目运营后，必须贯彻执行国家有关方针、政策、法律和法规，必须有人专管环保</w:t>
      </w:r>
      <w:r>
        <w:rPr>
          <w:rFonts w:ascii="宋体" w:hAnsi="宋体" w:eastAsia="宋体" w:cs="宋体"/>
          <w:spacing w:val="6"/>
          <w:sz w:val="23"/>
          <w:szCs w:val="23"/>
        </w:rPr>
        <w:t>工</w:t>
      </w:r>
      <w:r>
        <w:rPr>
          <w:rFonts w:ascii="宋体" w:hAnsi="宋体" w:eastAsia="宋体" w:cs="宋体"/>
          <w:sz w:val="23"/>
          <w:szCs w:val="23"/>
        </w:rPr>
        <w:t xml:space="preserve"> </w:t>
      </w:r>
      <w:r>
        <w:rPr>
          <w:rFonts w:ascii="宋体" w:hAnsi="宋体" w:eastAsia="宋体" w:cs="宋体"/>
          <w:spacing w:val="16"/>
          <w:sz w:val="23"/>
          <w:szCs w:val="23"/>
        </w:rPr>
        <w:t>作</w:t>
      </w:r>
      <w:r>
        <w:rPr>
          <w:rFonts w:ascii="宋体" w:hAnsi="宋体" w:eastAsia="宋体" w:cs="宋体"/>
          <w:spacing w:val="12"/>
          <w:sz w:val="23"/>
          <w:szCs w:val="23"/>
        </w:rPr>
        <w:t>，</w:t>
      </w:r>
      <w:r>
        <w:rPr>
          <w:rFonts w:ascii="宋体" w:hAnsi="宋体" w:eastAsia="宋体" w:cs="宋体"/>
          <w:spacing w:val="8"/>
          <w:sz w:val="23"/>
          <w:szCs w:val="23"/>
        </w:rPr>
        <w:t>特别注意养殖废水、猪粪、病死猪、医疗废物的监督管理，保证合理处置和达标处理，</w:t>
      </w:r>
      <w:r>
        <w:rPr>
          <w:rFonts w:ascii="宋体" w:hAnsi="宋体" w:eastAsia="宋体" w:cs="宋体"/>
          <w:sz w:val="23"/>
          <w:szCs w:val="23"/>
        </w:rPr>
        <w:t xml:space="preserve"> </w:t>
      </w:r>
      <w:r>
        <w:rPr>
          <w:rFonts w:ascii="宋体" w:hAnsi="宋体" w:eastAsia="宋体" w:cs="宋体"/>
          <w:spacing w:val="12"/>
          <w:sz w:val="23"/>
          <w:szCs w:val="23"/>
        </w:rPr>
        <w:t>满</w:t>
      </w:r>
      <w:r>
        <w:rPr>
          <w:rFonts w:ascii="宋体" w:hAnsi="宋体" w:eastAsia="宋体" w:cs="宋体"/>
          <w:spacing w:val="7"/>
          <w:sz w:val="23"/>
          <w:szCs w:val="23"/>
        </w:rPr>
        <w:t>足环保要求。营运期对重点污染源应进行监测，可委托当地有资质的环境监测站进行。在</w:t>
      </w:r>
      <w:r>
        <w:rPr>
          <w:rFonts w:ascii="宋体" w:hAnsi="宋体" w:eastAsia="宋体" w:cs="宋体"/>
          <w:sz w:val="23"/>
          <w:szCs w:val="23"/>
        </w:rPr>
        <w:t xml:space="preserve"> </w:t>
      </w:r>
      <w:r>
        <w:rPr>
          <w:rFonts w:ascii="宋体" w:hAnsi="宋体" w:eastAsia="宋体" w:cs="宋体"/>
          <w:spacing w:val="9"/>
          <w:sz w:val="23"/>
          <w:szCs w:val="23"/>
        </w:rPr>
        <w:t>拟建工程建成后进行环境保护竣工验收</w:t>
      </w:r>
      <w:r>
        <w:rPr>
          <w:rFonts w:ascii="宋体" w:hAnsi="宋体" w:eastAsia="宋体" w:cs="宋体"/>
          <w:spacing w:val="7"/>
          <w:sz w:val="23"/>
          <w:szCs w:val="23"/>
        </w:rPr>
        <w:t>。</w:t>
      </w:r>
    </w:p>
    <w:p w14:paraId="6007E7A1">
      <w:pPr>
        <w:spacing w:line="228" w:lineRule="auto"/>
        <w:ind w:left="16"/>
        <w:outlineLvl w:val="2"/>
        <w:rPr>
          <w:rFonts w:ascii="宋体" w:hAnsi="宋体" w:eastAsia="宋体" w:cs="宋体"/>
          <w:sz w:val="23"/>
          <w:szCs w:val="23"/>
        </w:rPr>
      </w:pPr>
      <w:r>
        <w:rPr>
          <w:rFonts w:ascii="Times New Roman" w:hAnsi="Times New Roman" w:eastAsia="Times New Roman" w:cs="Times New Roman"/>
          <w:b/>
          <w:bCs/>
          <w:spacing w:val="8"/>
          <w:sz w:val="23"/>
          <w:szCs w:val="23"/>
        </w:rPr>
        <w:t>11</w:t>
      </w:r>
      <w:r>
        <w:rPr>
          <w:rFonts w:ascii="Times New Roman" w:hAnsi="Times New Roman" w:eastAsia="Times New Roman" w:cs="Times New Roman"/>
          <w:b/>
          <w:bCs/>
          <w:spacing w:val="6"/>
          <w:sz w:val="23"/>
          <w:szCs w:val="23"/>
        </w:rPr>
        <w:t>.</w:t>
      </w:r>
      <w:r>
        <w:rPr>
          <w:rFonts w:ascii="Times New Roman" w:hAnsi="Times New Roman" w:eastAsia="Times New Roman" w:cs="Times New Roman"/>
          <w:b/>
          <w:bCs/>
          <w:spacing w:val="4"/>
          <w:sz w:val="23"/>
          <w:szCs w:val="23"/>
        </w:rPr>
        <w:t>1.8</w:t>
      </w:r>
      <w:r>
        <w:rPr>
          <w:rFonts w:ascii="Times New Roman" w:hAnsi="Times New Roman" w:eastAsia="Times New Roman" w:cs="Times New Roman"/>
          <w:spacing w:val="4"/>
          <w:sz w:val="23"/>
          <w:szCs w:val="23"/>
        </w:rPr>
        <w:t xml:space="preserve"> </w:t>
      </w:r>
      <w:r>
        <w:rPr>
          <w:rFonts w:ascii="宋体" w:hAnsi="宋体" w:eastAsia="宋体" w:cs="宋体"/>
          <w:spacing w:val="4"/>
          <w:sz w:val="23"/>
          <w:szCs w:val="23"/>
          <w14:textOutline w14:w="4356" w14:cap="sq" w14:cmpd="sng" w14:algn="ctr">
            <w14:solidFill>
              <w14:srgbClr w14:val="000000"/>
            </w14:solidFill>
            <w14:prstDash w14:val="solid"/>
            <w14:bevel/>
          </w14:textOutline>
        </w:rPr>
        <w:t>环境风险结论</w:t>
      </w:r>
    </w:p>
    <w:p w14:paraId="2A4DFB5C">
      <w:pPr>
        <w:spacing w:before="181" w:line="376" w:lineRule="auto"/>
        <w:ind w:left="12" w:right="63" w:firstLine="557"/>
        <w:rPr>
          <w:rFonts w:ascii="宋体" w:hAnsi="宋体" w:eastAsia="宋体" w:cs="宋体"/>
          <w:sz w:val="23"/>
          <w:szCs w:val="23"/>
        </w:rPr>
      </w:pPr>
      <w:r>
        <w:rPr>
          <w:rFonts w:ascii="宋体" w:hAnsi="宋体" w:eastAsia="宋体" w:cs="宋体"/>
          <w:spacing w:val="15"/>
          <w:sz w:val="23"/>
          <w:szCs w:val="23"/>
        </w:rPr>
        <w:t>根</w:t>
      </w:r>
      <w:r>
        <w:rPr>
          <w:rFonts w:ascii="宋体" w:hAnsi="宋体" w:eastAsia="宋体" w:cs="宋体"/>
          <w:spacing w:val="8"/>
          <w:sz w:val="23"/>
          <w:szCs w:val="23"/>
        </w:rPr>
        <w:t>据《建设项目环境风险评价技术导则》  (</w:t>
      </w:r>
      <w:r>
        <w:rPr>
          <w:rFonts w:ascii="Times New Roman" w:hAnsi="Times New Roman" w:eastAsia="Times New Roman" w:cs="Times New Roman"/>
          <w:sz w:val="23"/>
          <w:szCs w:val="23"/>
        </w:rPr>
        <w:t>HJ</w:t>
      </w:r>
      <w:r>
        <w:rPr>
          <w:rFonts w:ascii="Times New Roman" w:hAnsi="Times New Roman" w:eastAsia="Times New Roman" w:cs="Times New Roman"/>
          <w:spacing w:val="8"/>
          <w:sz w:val="23"/>
          <w:szCs w:val="23"/>
        </w:rPr>
        <w:t xml:space="preserve"> 169-2018</w:t>
      </w:r>
      <w:r>
        <w:rPr>
          <w:rFonts w:ascii="宋体" w:hAnsi="宋体" w:eastAsia="宋体" w:cs="宋体"/>
          <w:spacing w:val="8"/>
          <w:sz w:val="23"/>
          <w:szCs w:val="23"/>
        </w:rPr>
        <w:t>) ，本项 目环境风险评价等</w:t>
      </w:r>
      <w:r>
        <w:rPr>
          <w:rFonts w:ascii="宋体" w:hAnsi="宋体" w:eastAsia="宋体" w:cs="宋体"/>
          <w:sz w:val="23"/>
          <w:szCs w:val="23"/>
        </w:rPr>
        <w:t xml:space="preserve"> </w:t>
      </w:r>
      <w:r>
        <w:rPr>
          <w:rFonts w:ascii="宋体" w:hAnsi="宋体" w:eastAsia="宋体" w:cs="宋体"/>
          <w:spacing w:val="13"/>
          <w:sz w:val="23"/>
          <w:szCs w:val="23"/>
        </w:rPr>
        <w:t>级为简单分析 ，项 目产生的环境风险主要为消毒剂发生泄露、废水事故性排放、异位</w:t>
      </w:r>
      <w:r>
        <w:rPr>
          <w:rFonts w:ascii="宋体" w:hAnsi="宋体" w:eastAsia="宋体" w:cs="宋体"/>
          <w:spacing w:val="8"/>
          <w:sz w:val="23"/>
          <w:szCs w:val="23"/>
        </w:rPr>
        <w:t>微</w:t>
      </w:r>
      <w:r>
        <w:rPr>
          <w:rFonts w:ascii="宋体" w:hAnsi="宋体" w:eastAsia="宋体" w:cs="宋体"/>
          <w:sz w:val="23"/>
          <w:szCs w:val="23"/>
        </w:rPr>
        <w:t xml:space="preserve"> </w:t>
      </w:r>
      <w:r>
        <w:rPr>
          <w:rFonts w:ascii="宋体" w:hAnsi="宋体" w:eastAsia="宋体" w:cs="宋体"/>
          <w:spacing w:val="24"/>
          <w:sz w:val="23"/>
          <w:szCs w:val="23"/>
        </w:rPr>
        <w:t>生</w:t>
      </w:r>
      <w:r>
        <w:rPr>
          <w:rFonts w:ascii="宋体" w:hAnsi="宋体" w:eastAsia="宋体" w:cs="宋体"/>
          <w:spacing w:val="13"/>
          <w:sz w:val="23"/>
          <w:szCs w:val="23"/>
        </w:rPr>
        <w:t>物</w:t>
      </w:r>
      <w:r>
        <w:rPr>
          <w:rFonts w:ascii="宋体" w:hAnsi="宋体" w:eastAsia="宋体" w:cs="宋体"/>
          <w:spacing w:val="12"/>
          <w:sz w:val="23"/>
          <w:szCs w:val="23"/>
        </w:rPr>
        <w:t>发酵床故障、危险废物事故排放对环境造成的风险。通过分区防渗、加强管理、</w:t>
      </w:r>
      <w:r>
        <w:rPr>
          <w:rFonts w:ascii="宋体" w:hAnsi="宋体" w:eastAsia="宋体" w:cs="宋体"/>
          <w:spacing w:val="22"/>
          <w:sz w:val="23"/>
          <w:szCs w:val="23"/>
        </w:rPr>
        <w:t>消毒、设置应急设施等方式可降低环境风险事故的概率。项目应加强危险废物风险</w:t>
      </w:r>
      <w:r>
        <w:rPr>
          <w:rFonts w:ascii="宋体" w:hAnsi="宋体" w:eastAsia="宋体" w:cs="宋体"/>
          <w:spacing w:val="36"/>
          <w:sz w:val="23"/>
          <w:szCs w:val="23"/>
        </w:rPr>
        <w:t>防</w:t>
      </w:r>
      <w:r>
        <w:rPr>
          <w:rFonts w:ascii="宋体" w:hAnsi="宋体" w:eastAsia="宋体" w:cs="宋体"/>
          <w:spacing w:val="21"/>
          <w:sz w:val="23"/>
          <w:szCs w:val="23"/>
        </w:rPr>
        <w:t>范</w:t>
      </w:r>
      <w:r>
        <w:rPr>
          <w:rFonts w:ascii="宋体" w:hAnsi="宋体" w:eastAsia="宋体" w:cs="宋体"/>
          <w:spacing w:val="18"/>
          <w:sz w:val="23"/>
          <w:szCs w:val="23"/>
        </w:rPr>
        <w:t>，专人管理，定期检查危险废物分类收集和暂存情况以及记录台账等，切实防范</w:t>
      </w:r>
      <w:r>
        <w:rPr>
          <w:rFonts w:ascii="宋体" w:hAnsi="宋体" w:eastAsia="宋体" w:cs="宋体"/>
          <w:spacing w:val="35"/>
          <w:sz w:val="23"/>
          <w:szCs w:val="23"/>
        </w:rPr>
        <w:t>危</w:t>
      </w:r>
      <w:r>
        <w:rPr>
          <w:rFonts w:ascii="宋体" w:hAnsi="宋体" w:eastAsia="宋体" w:cs="宋体"/>
          <w:spacing w:val="27"/>
          <w:sz w:val="23"/>
          <w:szCs w:val="23"/>
        </w:rPr>
        <w:t>险废物处理处置造成的环境风险。</w:t>
      </w:r>
    </w:p>
    <w:p w14:paraId="0CB0B32B">
      <w:pPr>
        <w:spacing w:before="1" w:line="227" w:lineRule="auto"/>
        <w:ind w:left="16"/>
        <w:outlineLvl w:val="2"/>
        <w:rPr>
          <w:rFonts w:ascii="宋体" w:hAnsi="宋体" w:eastAsia="宋体" w:cs="宋体"/>
          <w:sz w:val="23"/>
          <w:szCs w:val="23"/>
        </w:rPr>
      </w:pPr>
      <w:r>
        <w:rPr>
          <w:rFonts w:ascii="Times New Roman" w:hAnsi="Times New Roman" w:eastAsia="Times New Roman" w:cs="Times New Roman"/>
          <w:b/>
          <w:bCs/>
          <w:spacing w:val="6"/>
          <w:sz w:val="23"/>
          <w:szCs w:val="23"/>
        </w:rPr>
        <w:t>11</w:t>
      </w:r>
      <w:r>
        <w:rPr>
          <w:rFonts w:ascii="Times New Roman" w:hAnsi="Times New Roman" w:eastAsia="Times New Roman" w:cs="Times New Roman"/>
          <w:b/>
          <w:bCs/>
          <w:spacing w:val="3"/>
          <w:sz w:val="23"/>
          <w:szCs w:val="23"/>
        </w:rPr>
        <w:t>.1.9</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14:textOutline w14:w="4356" w14:cap="sq" w14:cmpd="sng" w14:algn="ctr">
            <w14:solidFill>
              <w14:srgbClr w14:val="000000"/>
            </w14:solidFill>
            <w14:prstDash w14:val="solid"/>
            <w14:bevel/>
          </w14:textOutline>
        </w:rPr>
        <w:t>清洁生产</w:t>
      </w:r>
    </w:p>
    <w:p w14:paraId="71D63BAE">
      <w:pPr>
        <w:spacing w:before="183" w:line="376" w:lineRule="auto"/>
        <w:ind w:left="13" w:firstLine="478"/>
        <w:rPr>
          <w:rFonts w:ascii="宋体" w:hAnsi="宋体" w:eastAsia="宋体" w:cs="宋体"/>
          <w:sz w:val="23"/>
          <w:szCs w:val="23"/>
        </w:rPr>
      </w:pPr>
      <w:r>
        <w:rPr>
          <w:rFonts w:ascii="宋体" w:hAnsi="宋体" w:eastAsia="宋体" w:cs="宋体"/>
          <w:spacing w:val="16"/>
          <w:sz w:val="23"/>
          <w:szCs w:val="23"/>
        </w:rPr>
        <w:t>本项目</w:t>
      </w:r>
      <w:r>
        <w:rPr>
          <w:rFonts w:ascii="宋体" w:hAnsi="宋体" w:eastAsia="宋体" w:cs="宋体"/>
          <w:spacing w:val="9"/>
          <w:sz w:val="23"/>
          <w:szCs w:val="23"/>
        </w:rPr>
        <w:t>运</w:t>
      </w:r>
      <w:r>
        <w:rPr>
          <w:rFonts w:ascii="宋体" w:hAnsi="宋体" w:eastAsia="宋体" w:cs="宋体"/>
          <w:spacing w:val="8"/>
          <w:sz w:val="23"/>
          <w:szCs w:val="23"/>
        </w:rPr>
        <w:t>行期间产生的污染物均得到了合理有效的处理和处置，实现了达标排放，水、</w:t>
      </w:r>
      <w:r>
        <w:rPr>
          <w:rFonts w:ascii="宋体" w:hAnsi="宋体" w:eastAsia="宋体" w:cs="宋体"/>
          <w:spacing w:val="9"/>
          <w:sz w:val="23"/>
          <w:szCs w:val="23"/>
        </w:rPr>
        <w:t>电</w:t>
      </w:r>
      <w:r>
        <w:rPr>
          <w:rFonts w:ascii="宋体" w:hAnsi="宋体" w:eastAsia="宋体" w:cs="宋体"/>
          <w:spacing w:val="7"/>
          <w:sz w:val="23"/>
          <w:szCs w:val="23"/>
        </w:rPr>
        <w:t>能源利用率高，采用的各种设备及污水处理工艺、设备先进。随运营期产生的污染物均采</w:t>
      </w:r>
      <w:r>
        <w:rPr>
          <w:rFonts w:ascii="宋体" w:hAnsi="宋体" w:eastAsia="宋体" w:cs="宋体"/>
          <w:sz w:val="23"/>
          <w:szCs w:val="23"/>
        </w:rPr>
        <w:t xml:space="preserve"> </w:t>
      </w:r>
      <w:r>
        <w:rPr>
          <w:rFonts w:ascii="宋体" w:hAnsi="宋体" w:eastAsia="宋体" w:cs="宋体"/>
          <w:spacing w:val="8"/>
          <w:sz w:val="23"/>
          <w:szCs w:val="23"/>
        </w:rPr>
        <w:t>取了有效的控制和治理</w:t>
      </w:r>
      <w:r>
        <w:rPr>
          <w:rFonts w:ascii="宋体" w:hAnsi="宋体" w:eastAsia="宋体" w:cs="宋体"/>
          <w:spacing w:val="7"/>
          <w:sz w:val="23"/>
          <w:szCs w:val="23"/>
        </w:rPr>
        <w:t>。</w:t>
      </w:r>
    </w:p>
    <w:p w14:paraId="42BC71DB">
      <w:pPr>
        <w:spacing w:before="1" w:line="225" w:lineRule="auto"/>
        <w:ind w:left="489"/>
        <w:rPr>
          <w:rFonts w:ascii="宋体" w:hAnsi="宋体" w:eastAsia="宋体" w:cs="宋体"/>
          <w:sz w:val="23"/>
          <w:szCs w:val="23"/>
        </w:rPr>
      </w:pPr>
      <w:r>
        <w:rPr>
          <w:rFonts w:ascii="宋体" w:hAnsi="宋体" w:eastAsia="宋体" w:cs="宋体"/>
          <w:spacing w:val="9"/>
          <w:sz w:val="23"/>
          <w:szCs w:val="23"/>
        </w:rPr>
        <w:t>评价认为，本项目贯彻了清洁生产的原则。</w:t>
      </w:r>
    </w:p>
    <w:p w14:paraId="5268AAE9">
      <w:pPr>
        <w:spacing w:before="187" w:line="228" w:lineRule="auto"/>
        <w:ind w:left="16"/>
        <w:outlineLvl w:val="2"/>
        <w:rPr>
          <w:rFonts w:ascii="宋体" w:hAnsi="宋体" w:eastAsia="宋体" w:cs="宋体"/>
          <w:sz w:val="23"/>
          <w:szCs w:val="23"/>
        </w:rPr>
      </w:pPr>
      <w:r>
        <w:rPr>
          <w:rFonts w:ascii="Times New Roman" w:hAnsi="Times New Roman" w:eastAsia="Times New Roman" w:cs="Times New Roman"/>
          <w:b/>
          <w:bCs/>
          <w:spacing w:val="6"/>
          <w:sz w:val="23"/>
          <w:szCs w:val="23"/>
        </w:rPr>
        <w:t>11</w:t>
      </w:r>
      <w:r>
        <w:rPr>
          <w:rFonts w:ascii="Times New Roman" w:hAnsi="Times New Roman" w:eastAsia="Times New Roman" w:cs="Times New Roman"/>
          <w:b/>
          <w:bCs/>
          <w:spacing w:val="5"/>
          <w:sz w:val="23"/>
          <w:szCs w:val="23"/>
        </w:rPr>
        <w:t>.</w:t>
      </w:r>
      <w:r>
        <w:rPr>
          <w:rFonts w:ascii="Times New Roman" w:hAnsi="Times New Roman" w:eastAsia="Times New Roman" w:cs="Times New Roman"/>
          <w:b/>
          <w:bCs/>
          <w:spacing w:val="3"/>
          <w:sz w:val="23"/>
          <w:szCs w:val="23"/>
        </w:rPr>
        <w:t>1.10</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14:textOutline w14:w="4356" w14:cap="sq" w14:cmpd="sng" w14:algn="ctr">
            <w14:solidFill>
              <w14:srgbClr w14:val="000000"/>
            </w14:solidFill>
            <w14:prstDash w14:val="solid"/>
            <w14:bevel/>
          </w14:textOutline>
        </w:rPr>
        <w:t>总量控制</w:t>
      </w:r>
    </w:p>
    <w:p w14:paraId="14718A02">
      <w:pPr>
        <w:spacing w:before="183" w:line="380" w:lineRule="auto"/>
        <w:ind w:left="11" w:right="63" w:firstLine="480"/>
        <w:rPr>
          <w:rFonts w:ascii="宋体" w:hAnsi="宋体" w:eastAsia="宋体" w:cs="宋体"/>
          <w:sz w:val="23"/>
          <w:szCs w:val="23"/>
        </w:rPr>
      </w:pPr>
      <w:r>
        <w:rPr>
          <w:rFonts w:ascii="宋体" w:hAnsi="宋体" w:eastAsia="宋体" w:cs="宋体"/>
          <w:spacing w:val="7"/>
          <w:sz w:val="23"/>
          <w:szCs w:val="23"/>
        </w:rPr>
        <w:t>本项目为养殖类项目，营运期间场内不涉及饲料加工，不涉及国控大气污染总量控制</w:t>
      </w:r>
      <w:r>
        <w:rPr>
          <w:rFonts w:ascii="宋体" w:hAnsi="宋体" w:eastAsia="宋体" w:cs="宋体"/>
          <w:spacing w:val="5"/>
          <w:sz w:val="23"/>
          <w:szCs w:val="23"/>
        </w:rPr>
        <w:t>指</w:t>
      </w:r>
      <w:r>
        <w:rPr>
          <w:rFonts w:ascii="宋体" w:hAnsi="宋体" w:eastAsia="宋体" w:cs="宋体"/>
          <w:sz w:val="23"/>
          <w:szCs w:val="23"/>
        </w:rPr>
        <w:t xml:space="preserve"> </w:t>
      </w:r>
      <w:r>
        <w:rPr>
          <w:rFonts w:ascii="宋体" w:hAnsi="宋体" w:eastAsia="宋体" w:cs="宋体"/>
          <w:spacing w:val="6"/>
          <w:sz w:val="23"/>
          <w:szCs w:val="23"/>
        </w:rPr>
        <w:t xml:space="preserve">标 </w:t>
      </w:r>
      <w:r>
        <w:rPr>
          <w:rFonts w:ascii="Times New Roman" w:hAnsi="Times New Roman" w:eastAsia="Times New Roman" w:cs="Times New Roman"/>
          <w:sz w:val="23"/>
          <w:szCs w:val="23"/>
        </w:rPr>
        <w:t>SO</w:t>
      </w:r>
      <w:r>
        <w:rPr>
          <w:rFonts w:ascii="Times New Roman" w:hAnsi="Times New Roman" w:eastAsia="Times New Roman" w:cs="Times New Roman"/>
          <w:spacing w:val="6"/>
          <w:position w:val="-1"/>
          <w:sz w:val="15"/>
          <w:szCs w:val="15"/>
        </w:rPr>
        <w:t xml:space="preserve">2 </w:t>
      </w:r>
      <w:r>
        <w:rPr>
          <w:rFonts w:ascii="宋体" w:hAnsi="宋体" w:eastAsia="宋体" w:cs="宋体"/>
          <w:spacing w:val="6"/>
          <w:sz w:val="23"/>
          <w:szCs w:val="23"/>
        </w:rPr>
        <w:t>、</w:t>
      </w:r>
      <w:r>
        <w:rPr>
          <w:rFonts w:ascii="Times New Roman" w:hAnsi="Times New Roman" w:eastAsia="Times New Roman" w:cs="Times New Roman"/>
          <w:sz w:val="23"/>
          <w:szCs w:val="23"/>
        </w:rPr>
        <w:t>NO</w:t>
      </w:r>
      <w:r>
        <w:rPr>
          <w:rFonts w:ascii="Times New Roman" w:hAnsi="Times New Roman" w:eastAsia="Times New Roman" w:cs="Times New Roman"/>
          <w:position w:val="-1"/>
          <w:sz w:val="15"/>
          <w:szCs w:val="15"/>
        </w:rPr>
        <w:t>x</w:t>
      </w:r>
      <w:r>
        <w:rPr>
          <w:rFonts w:ascii="Times New Roman" w:hAnsi="Times New Roman" w:eastAsia="Times New Roman" w:cs="Times New Roman"/>
          <w:spacing w:val="6"/>
          <w:position w:val="-1"/>
          <w:sz w:val="15"/>
          <w:szCs w:val="15"/>
        </w:rPr>
        <w:t xml:space="preserve"> </w:t>
      </w:r>
      <w:r>
        <w:rPr>
          <w:rFonts w:ascii="宋体" w:hAnsi="宋体" w:eastAsia="宋体" w:cs="宋体"/>
          <w:spacing w:val="6"/>
          <w:sz w:val="23"/>
          <w:szCs w:val="23"/>
        </w:rPr>
        <w:t>的排放；根据工程分析，营运期项目实行污水与雨水分流，营运期废水主要为</w:t>
      </w:r>
      <w:r>
        <w:rPr>
          <w:rFonts w:ascii="宋体" w:hAnsi="宋体" w:eastAsia="宋体" w:cs="宋体"/>
          <w:sz w:val="23"/>
          <w:szCs w:val="23"/>
        </w:rPr>
        <w:t xml:space="preserve"> </w:t>
      </w:r>
      <w:r>
        <w:rPr>
          <w:rFonts w:ascii="宋体" w:hAnsi="宋体" w:eastAsia="宋体" w:cs="宋体"/>
          <w:spacing w:val="12"/>
          <w:sz w:val="23"/>
          <w:szCs w:val="23"/>
        </w:rPr>
        <w:t xml:space="preserve">养殖废水 </w:t>
      </w:r>
      <w:r>
        <w:rPr>
          <w:rFonts w:ascii="宋体" w:hAnsi="宋体" w:eastAsia="宋体" w:cs="宋体"/>
          <w:spacing w:val="8"/>
          <w:sz w:val="23"/>
          <w:szCs w:val="23"/>
        </w:rPr>
        <w:t>(</w:t>
      </w:r>
      <w:r>
        <w:rPr>
          <w:rFonts w:ascii="宋体" w:hAnsi="宋体" w:eastAsia="宋体" w:cs="宋体"/>
          <w:spacing w:val="6"/>
          <w:sz w:val="23"/>
          <w:szCs w:val="23"/>
        </w:rPr>
        <w:t>主猪只尿液和猪舍冲洗废水等) 和生活污水。生活污水经隔油池、化粪池处理后</w:t>
      </w:r>
      <w:r>
        <w:rPr>
          <w:rFonts w:ascii="宋体" w:hAnsi="宋体" w:eastAsia="宋体" w:cs="宋体"/>
          <w:sz w:val="23"/>
          <w:szCs w:val="23"/>
        </w:rPr>
        <w:t xml:space="preserve"> </w:t>
      </w:r>
      <w:r>
        <w:rPr>
          <w:rFonts w:ascii="宋体" w:hAnsi="宋体" w:eastAsia="宋体" w:cs="宋体"/>
          <w:spacing w:val="11"/>
          <w:sz w:val="23"/>
          <w:szCs w:val="23"/>
        </w:rPr>
        <w:t>用</w:t>
      </w:r>
      <w:r>
        <w:rPr>
          <w:rFonts w:ascii="宋体" w:hAnsi="宋体" w:eastAsia="宋体" w:cs="宋体"/>
          <w:spacing w:val="7"/>
          <w:sz w:val="23"/>
          <w:szCs w:val="23"/>
        </w:rPr>
        <w:t>作业主自有林地灌溉；养殖废水目前拟运输至乐山乐高勤力生物质能源综合利用有限公司</w:t>
      </w:r>
    </w:p>
    <w:p w14:paraId="62C82EA3">
      <w:pPr>
        <w:sectPr>
          <w:headerReference r:id="rId345" w:type="default"/>
          <w:footerReference r:id="rId346" w:type="default"/>
          <w:pgSz w:w="11906" w:h="16839"/>
          <w:pgMar w:top="1118" w:right="1069" w:bottom="1168" w:left="1275" w:header="878" w:footer="1008" w:gutter="0"/>
          <w:cols w:space="720" w:num="1"/>
        </w:sectPr>
      </w:pPr>
    </w:p>
    <w:p w14:paraId="34B22118">
      <w:pPr>
        <w:spacing w:before="270" w:line="376" w:lineRule="auto"/>
        <w:ind w:left="11" w:right="38" w:hanging="1"/>
        <w:rPr>
          <w:rFonts w:ascii="宋体" w:hAnsi="宋体" w:eastAsia="宋体" w:cs="宋体"/>
          <w:sz w:val="23"/>
          <w:szCs w:val="23"/>
        </w:rPr>
      </w:pPr>
      <w:r>
        <w:rPr>
          <w:rFonts w:ascii="宋体" w:hAnsi="宋体" w:eastAsia="宋体" w:cs="宋体"/>
          <w:spacing w:val="12"/>
          <w:sz w:val="23"/>
          <w:szCs w:val="23"/>
        </w:rPr>
        <w:t>集</w:t>
      </w:r>
      <w:r>
        <w:rPr>
          <w:rFonts w:ascii="宋体" w:hAnsi="宋体" w:eastAsia="宋体" w:cs="宋体"/>
          <w:spacing w:val="7"/>
          <w:sz w:val="23"/>
          <w:szCs w:val="23"/>
        </w:rPr>
        <w:t>中处置，日产日清，同时，厂区还配套建设一套发酵床备用，若后期乐山乐高勤力生物质</w:t>
      </w:r>
      <w:r>
        <w:rPr>
          <w:rFonts w:ascii="宋体" w:hAnsi="宋体" w:eastAsia="宋体" w:cs="宋体"/>
          <w:sz w:val="23"/>
          <w:szCs w:val="23"/>
        </w:rPr>
        <w:t xml:space="preserve"> </w:t>
      </w:r>
      <w:r>
        <w:rPr>
          <w:rFonts w:ascii="宋体" w:hAnsi="宋体" w:eastAsia="宋体" w:cs="宋体"/>
          <w:spacing w:val="10"/>
          <w:sz w:val="23"/>
          <w:szCs w:val="23"/>
        </w:rPr>
        <w:t>能</w:t>
      </w:r>
      <w:r>
        <w:rPr>
          <w:rFonts w:ascii="宋体" w:hAnsi="宋体" w:eastAsia="宋体" w:cs="宋体"/>
          <w:spacing w:val="7"/>
          <w:sz w:val="23"/>
          <w:szCs w:val="23"/>
        </w:rPr>
        <w:t>源综合利用有限公司不再回收厂区内的养殖废水，可将通过异位发酵床自行处置，处理产</w:t>
      </w:r>
      <w:r>
        <w:rPr>
          <w:rFonts w:ascii="宋体" w:hAnsi="宋体" w:eastAsia="宋体" w:cs="宋体"/>
          <w:sz w:val="23"/>
          <w:szCs w:val="23"/>
        </w:rPr>
        <w:t xml:space="preserve"> </w:t>
      </w:r>
      <w:r>
        <w:rPr>
          <w:rFonts w:ascii="宋体" w:hAnsi="宋体" w:eastAsia="宋体" w:cs="宋体"/>
          <w:spacing w:val="10"/>
          <w:sz w:val="23"/>
          <w:szCs w:val="23"/>
        </w:rPr>
        <w:t>生</w:t>
      </w:r>
      <w:r>
        <w:rPr>
          <w:rFonts w:ascii="宋体" w:hAnsi="宋体" w:eastAsia="宋体" w:cs="宋体"/>
          <w:spacing w:val="7"/>
          <w:sz w:val="23"/>
          <w:szCs w:val="23"/>
        </w:rPr>
        <w:t>的有机肥外售处理；水帘降温系统废水采用循环池收集后循环利用，不外排，不涉及国控</w:t>
      </w:r>
      <w:r>
        <w:rPr>
          <w:rFonts w:ascii="宋体" w:hAnsi="宋体" w:eastAsia="宋体" w:cs="宋体"/>
          <w:sz w:val="23"/>
          <w:szCs w:val="23"/>
        </w:rPr>
        <w:t xml:space="preserve"> </w:t>
      </w:r>
      <w:r>
        <w:rPr>
          <w:rFonts w:ascii="宋体" w:hAnsi="宋体" w:eastAsia="宋体" w:cs="宋体"/>
          <w:spacing w:val="3"/>
          <w:sz w:val="23"/>
          <w:szCs w:val="23"/>
        </w:rPr>
        <w:t xml:space="preserve">水污染总量控制指标 </w:t>
      </w:r>
      <w:r>
        <w:rPr>
          <w:rFonts w:ascii="Times New Roman" w:hAnsi="Times New Roman" w:eastAsia="Times New Roman" w:cs="Times New Roman"/>
          <w:sz w:val="23"/>
          <w:szCs w:val="23"/>
        </w:rPr>
        <w:t>COD</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w:t>
      </w:r>
      <w:r>
        <w:rPr>
          <w:rFonts w:ascii="Times New Roman" w:hAnsi="Times New Roman" w:eastAsia="Times New Roman" w:cs="Times New Roman"/>
          <w:sz w:val="23"/>
          <w:szCs w:val="23"/>
        </w:rPr>
        <w:t>NH</w:t>
      </w:r>
      <w:r>
        <w:rPr>
          <w:rFonts w:ascii="Times New Roman" w:hAnsi="Times New Roman" w:eastAsia="Times New Roman" w:cs="Times New Roman"/>
          <w:spacing w:val="3"/>
          <w:position w:val="-1"/>
          <w:sz w:val="15"/>
          <w:szCs w:val="15"/>
        </w:rPr>
        <w:t>3</w:t>
      </w:r>
      <w:r>
        <w:rPr>
          <w:rFonts w:ascii="Times New Roman" w:hAnsi="Times New Roman" w:eastAsia="Times New Roman" w:cs="Times New Roman"/>
          <w:spacing w:val="3"/>
          <w:sz w:val="23"/>
          <w:szCs w:val="23"/>
        </w:rPr>
        <w:t>-</w:t>
      </w:r>
      <w:r>
        <w:rPr>
          <w:rFonts w:ascii="Times New Roman" w:hAnsi="Times New Roman" w:eastAsia="Times New Roman" w:cs="Times New Roman"/>
          <w:sz w:val="23"/>
          <w:szCs w:val="23"/>
        </w:rPr>
        <w:t>N</w:t>
      </w:r>
      <w:r>
        <w:rPr>
          <w:rFonts w:ascii="Times New Roman" w:hAnsi="Times New Roman" w:eastAsia="Times New Roman" w:cs="Times New Roman"/>
          <w:spacing w:val="3"/>
          <w:sz w:val="23"/>
          <w:szCs w:val="23"/>
        </w:rPr>
        <w:t xml:space="preserve"> </w:t>
      </w:r>
      <w:r>
        <w:rPr>
          <w:rFonts w:ascii="宋体" w:hAnsi="宋体" w:eastAsia="宋体" w:cs="宋体"/>
          <w:spacing w:val="3"/>
          <w:sz w:val="23"/>
          <w:szCs w:val="23"/>
        </w:rPr>
        <w:t>的排放</w:t>
      </w:r>
      <w:r>
        <w:rPr>
          <w:rFonts w:ascii="宋体" w:hAnsi="宋体" w:eastAsia="宋体" w:cs="宋体"/>
          <w:spacing w:val="2"/>
          <w:sz w:val="23"/>
          <w:szCs w:val="23"/>
        </w:rPr>
        <w:t>。</w:t>
      </w:r>
    </w:p>
    <w:p w14:paraId="30AC758E">
      <w:pPr>
        <w:spacing w:line="226" w:lineRule="auto"/>
        <w:ind w:left="16"/>
        <w:outlineLvl w:val="2"/>
        <w:rPr>
          <w:rFonts w:ascii="宋体" w:hAnsi="宋体" w:eastAsia="宋体" w:cs="宋体"/>
          <w:sz w:val="23"/>
          <w:szCs w:val="23"/>
        </w:rPr>
      </w:pPr>
      <w:r>
        <w:rPr>
          <w:rFonts w:ascii="Times New Roman" w:hAnsi="Times New Roman" w:eastAsia="Times New Roman" w:cs="Times New Roman"/>
          <w:b/>
          <w:bCs/>
          <w:spacing w:val="10"/>
          <w:sz w:val="23"/>
          <w:szCs w:val="23"/>
        </w:rPr>
        <w:t>1</w:t>
      </w:r>
      <w:r>
        <w:rPr>
          <w:rFonts w:ascii="Times New Roman" w:hAnsi="Times New Roman" w:eastAsia="Times New Roman" w:cs="Times New Roman"/>
          <w:b/>
          <w:bCs/>
          <w:spacing w:val="7"/>
          <w:sz w:val="23"/>
          <w:szCs w:val="23"/>
        </w:rPr>
        <w:t>1</w:t>
      </w:r>
      <w:r>
        <w:rPr>
          <w:rFonts w:ascii="Times New Roman" w:hAnsi="Times New Roman" w:eastAsia="Times New Roman" w:cs="Times New Roman"/>
          <w:b/>
          <w:bCs/>
          <w:spacing w:val="5"/>
          <w:sz w:val="23"/>
          <w:szCs w:val="23"/>
        </w:rPr>
        <w:t>.1.11</w:t>
      </w:r>
      <w:r>
        <w:rPr>
          <w:rFonts w:ascii="Times New Roman" w:hAnsi="Times New Roman" w:eastAsia="Times New Roman" w:cs="Times New Roman"/>
          <w:spacing w:val="5"/>
          <w:sz w:val="23"/>
          <w:szCs w:val="23"/>
        </w:rPr>
        <w:t xml:space="preserve"> </w:t>
      </w:r>
      <w:r>
        <w:rPr>
          <w:rFonts w:ascii="宋体" w:hAnsi="宋体" w:eastAsia="宋体" w:cs="宋体"/>
          <w:spacing w:val="5"/>
          <w:sz w:val="23"/>
          <w:szCs w:val="23"/>
          <w14:textOutline w14:w="4356" w14:cap="sq" w14:cmpd="sng" w14:algn="ctr">
            <w14:solidFill>
              <w14:srgbClr w14:val="000000"/>
            </w14:solidFill>
            <w14:prstDash w14:val="solid"/>
            <w14:bevel/>
          </w14:textOutline>
        </w:rPr>
        <w:t>公众意见采纳情况结论</w:t>
      </w:r>
    </w:p>
    <w:p w14:paraId="63268846">
      <w:pPr>
        <w:spacing w:before="105" w:line="375" w:lineRule="auto"/>
        <w:ind w:left="9" w:right="38" w:firstLine="483"/>
        <w:rPr>
          <w:rFonts w:ascii="宋体" w:hAnsi="宋体" w:eastAsia="宋体" w:cs="宋体"/>
          <w:sz w:val="23"/>
          <w:szCs w:val="23"/>
        </w:rPr>
      </w:pPr>
      <w:r>
        <w:rPr>
          <w:rFonts w:ascii="宋体" w:hAnsi="宋体" w:eastAsia="宋体" w:cs="宋体"/>
          <w:spacing w:val="14"/>
          <w:sz w:val="23"/>
          <w:szCs w:val="23"/>
        </w:rPr>
        <w:t>建设单</w:t>
      </w:r>
      <w:r>
        <w:rPr>
          <w:rFonts w:ascii="宋体" w:hAnsi="宋体" w:eastAsia="宋体" w:cs="宋体"/>
          <w:spacing w:val="13"/>
          <w:sz w:val="23"/>
          <w:szCs w:val="23"/>
        </w:rPr>
        <w:t>位</w:t>
      </w:r>
      <w:r>
        <w:rPr>
          <w:rFonts w:ascii="宋体" w:hAnsi="宋体" w:eastAsia="宋体" w:cs="宋体"/>
          <w:spacing w:val="7"/>
          <w:sz w:val="23"/>
          <w:szCs w:val="23"/>
        </w:rPr>
        <w:t xml:space="preserve">分委托本公司开展环评工作 </w:t>
      </w:r>
      <w:r>
        <w:rPr>
          <w:rFonts w:ascii="Times New Roman" w:hAnsi="Times New Roman" w:eastAsia="Times New Roman" w:cs="Times New Roman"/>
          <w:spacing w:val="7"/>
          <w:sz w:val="23"/>
          <w:szCs w:val="23"/>
        </w:rPr>
        <w:t xml:space="preserve">7 </w:t>
      </w:r>
      <w:r>
        <w:rPr>
          <w:rFonts w:ascii="宋体" w:hAnsi="宋体" w:eastAsia="宋体" w:cs="宋体"/>
          <w:spacing w:val="7"/>
          <w:sz w:val="23"/>
          <w:szCs w:val="23"/>
        </w:rPr>
        <w:t>日内在井研县人民政府网上进行了第一次网上</w:t>
      </w:r>
      <w:r>
        <w:rPr>
          <w:rFonts w:ascii="宋体" w:hAnsi="宋体" w:eastAsia="宋体" w:cs="宋体"/>
          <w:sz w:val="23"/>
          <w:szCs w:val="23"/>
        </w:rPr>
        <w:t xml:space="preserve"> </w:t>
      </w:r>
      <w:r>
        <w:rPr>
          <w:rFonts w:ascii="宋体" w:hAnsi="宋体" w:eastAsia="宋体" w:cs="宋体"/>
          <w:spacing w:val="12"/>
          <w:sz w:val="23"/>
          <w:szCs w:val="23"/>
        </w:rPr>
        <w:t>公</w:t>
      </w:r>
      <w:r>
        <w:rPr>
          <w:rFonts w:ascii="宋体" w:hAnsi="宋体" w:eastAsia="宋体" w:cs="宋体"/>
          <w:spacing w:val="7"/>
          <w:sz w:val="23"/>
          <w:szCs w:val="23"/>
        </w:rPr>
        <w:t>示，并在项目初稿编制完成后，在井研县人民政府网网站上公示了本环评报告的征求意见</w:t>
      </w:r>
      <w:r>
        <w:rPr>
          <w:rFonts w:ascii="宋体" w:hAnsi="宋体" w:eastAsia="宋体" w:cs="宋体"/>
          <w:sz w:val="23"/>
          <w:szCs w:val="23"/>
        </w:rPr>
        <w:t xml:space="preserve"> </w:t>
      </w:r>
      <w:r>
        <w:rPr>
          <w:rFonts w:ascii="宋体" w:hAnsi="宋体" w:eastAsia="宋体" w:cs="宋体"/>
          <w:spacing w:val="14"/>
          <w:sz w:val="23"/>
          <w:szCs w:val="23"/>
        </w:rPr>
        <w:t>稿及公</w:t>
      </w:r>
      <w:r>
        <w:rPr>
          <w:rFonts w:ascii="宋体" w:hAnsi="宋体" w:eastAsia="宋体" w:cs="宋体"/>
          <w:spacing w:val="10"/>
          <w:sz w:val="23"/>
          <w:szCs w:val="23"/>
        </w:rPr>
        <w:t>众</w:t>
      </w:r>
      <w:r>
        <w:rPr>
          <w:rFonts w:ascii="宋体" w:hAnsi="宋体" w:eastAsia="宋体" w:cs="宋体"/>
          <w:spacing w:val="7"/>
          <w:sz w:val="23"/>
          <w:szCs w:val="23"/>
        </w:rPr>
        <w:t>参与意见，征求意见稿公示期间，</w:t>
      </w:r>
      <w:r>
        <w:rPr>
          <w:rFonts w:ascii="宋体" w:hAnsi="宋体" w:eastAsia="宋体" w:cs="宋体"/>
          <w:color w:val="FF0000"/>
          <w:spacing w:val="7"/>
          <w:sz w:val="23"/>
          <w:szCs w:val="23"/>
        </w:rPr>
        <w:t>在</w:t>
      </w:r>
      <w:r>
        <w:rPr>
          <w:rFonts w:ascii="Times New Roman" w:hAnsi="Times New Roman" w:eastAsia="Times New Roman" w:cs="Times New Roman"/>
          <w:color w:val="FF0000"/>
          <w:spacing w:val="7"/>
          <w:sz w:val="23"/>
          <w:szCs w:val="23"/>
        </w:rPr>
        <w:t>“</w:t>
      </w:r>
      <w:r>
        <w:rPr>
          <w:rFonts w:ascii="宋体" w:hAnsi="宋体" w:eastAsia="宋体" w:cs="宋体"/>
          <w:color w:val="FF0000"/>
          <w:spacing w:val="7"/>
          <w:sz w:val="23"/>
          <w:szCs w:val="23"/>
        </w:rPr>
        <w:t>乐山日报</w:t>
      </w:r>
      <w:r>
        <w:rPr>
          <w:rFonts w:ascii="Times New Roman" w:hAnsi="Times New Roman" w:eastAsia="Times New Roman" w:cs="Times New Roman"/>
          <w:color w:val="FF0000"/>
          <w:spacing w:val="7"/>
          <w:sz w:val="23"/>
          <w:szCs w:val="23"/>
        </w:rPr>
        <w:t>”</w:t>
      </w:r>
      <w:r>
        <w:rPr>
          <w:rFonts w:ascii="宋体" w:hAnsi="宋体" w:eastAsia="宋体" w:cs="宋体"/>
          <w:color w:val="FF0000"/>
          <w:spacing w:val="7"/>
          <w:sz w:val="23"/>
          <w:szCs w:val="23"/>
        </w:rPr>
        <w:t>两次公布了环评报告征求意见稿</w:t>
      </w:r>
      <w:r>
        <w:rPr>
          <w:rFonts w:ascii="宋体" w:hAnsi="宋体" w:eastAsia="宋体" w:cs="宋体"/>
          <w:spacing w:val="7"/>
          <w:sz w:val="23"/>
          <w:szCs w:val="23"/>
        </w:rPr>
        <w:t>全</w:t>
      </w:r>
      <w:r>
        <w:rPr>
          <w:rFonts w:ascii="宋体" w:hAnsi="宋体" w:eastAsia="宋体" w:cs="宋体"/>
          <w:sz w:val="23"/>
          <w:szCs w:val="23"/>
        </w:rPr>
        <w:t xml:space="preserve"> </w:t>
      </w:r>
      <w:r>
        <w:rPr>
          <w:rFonts w:ascii="宋体" w:hAnsi="宋体" w:eastAsia="宋体" w:cs="宋体"/>
          <w:spacing w:val="12"/>
          <w:sz w:val="23"/>
          <w:szCs w:val="23"/>
        </w:rPr>
        <w:t>文</w:t>
      </w:r>
      <w:r>
        <w:rPr>
          <w:rFonts w:ascii="宋体" w:hAnsi="宋体" w:eastAsia="宋体" w:cs="宋体"/>
          <w:spacing w:val="7"/>
          <w:sz w:val="23"/>
          <w:szCs w:val="23"/>
        </w:rPr>
        <w:t>的网络链接及查阅纸质报告书的方式和途径、征求意见的公众范围、公众意见表的网络链</w:t>
      </w:r>
      <w:r>
        <w:rPr>
          <w:rFonts w:ascii="宋体" w:hAnsi="宋体" w:eastAsia="宋体" w:cs="宋体"/>
          <w:sz w:val="23"/>
          <w:szCs w:val="23"/>
        </w:rPr>
        <w:t xml:space="preserve"> </w:t>
      </w:r>
      <w:r>
        <w:rPr>
          <w:rFonts w:ascii="宋体" w:hAnsi="宋体" w:eastAsia="宋体" w:cs="宋体"/>
          <w:spacing w:val="18"/>
          <w:sz w:val="23"/>
          <w:szCs w:val="23"/>
        </w:rPr>
        <w:t>接</w:t>
      </w:r>
      <w:r>
        <w:rPr>
          <w:rFonts w:ascii="宋体" w:hAnsi="宋体" w:eastAsia="宋体" w:cs="宋体"/>
          <w:spacing w:val="11"/>
          <w:sz w:val="23"/>
          <w:szCs w:val="23"/>
        </w:rPr>
        <w:t>、</w:t>
      </w:r>
      <w:r>
        <w:rPr>
          <w:rFonts w:ascii="宋体" w:hAnsi="宋体" w:eastAsia="宋体" w:cs="宋体"/>
          <w:spacing w:val="9"/>
          <w:sz w:val="23"/>
          <w:szCs w:val="23"/>
        </w:rPr>
        <w:t>公众提出意见的方式和途径、公众提出意见的起止时间等信息。</w:t>
      </w:r>
    </w:p>
    <w:p w14:paraId="5846CE67">
      <w:pPr>
        <w:spacing w:before="1" w:line="374" w:lineRule="auto"/>
        <w:ind w:left="17" w:right="38" w:firstLine="471"/>
        <w:rPr>
          <w:rFonts w:ascii="宋体" w:hAnsi="宋体" w:eastAsia="宋体" w:cs="宋体"/>
          <w:sz w:val="23"/>
          <w:szCs w:val="23"/>
        </w:rPr>
      </w:pPr>
      <w:r>
        <w:rPr>
          <w:rFonts w:ascii="宋体" w:hAnsi="宋体" w:eastAsia="宋体" w:cs="宋体"/>
          <w:spacing w:val="7"/>
          <w:sz w:val="23"/>
          <w:szCs w:val="23"/>
        </w:rPr>
        <w:t>在项目发布环境影响公众参与征求意见稿征求意见的规定时间内，均未收到公众均向</w:t>
      </w:r>
      <w:r>
        <w:rPr>
          <w:rFonts w:ascii="宋体" w:hAnsi="宋体" w:eastAsia="宋体" w:cs="宋体"/>
          <w:spacing w:val="6"/>
          <w:sz w:val="23"/>
          <w:szCs w:val="23"/>
        </w:rPr>
        <w:t>我</w:t>
      </w:r>
      <w:r>
        <w:rPr>
          <w:rFonts w:ascii="宋体" w:hAnsi="宋体" w:eastAsia="宋体" w:cs="宋体"/>
          <w:sz w:val="23"/>
          <w:szCs w:val="23"/>
        </w:rPr>
        <w:t xml:space="preserve"> </w:t>
      </w:r>
      <w:r>
        <w:rPr>
          <w:rFonts w:ascii="宋体" w:hAnsi="宋体" w:eastAsia="宋体" w:cs="宋体"/>
          <w:spacing w:val="16"/>
          <w:sz w:val="23"/>
          <w:szCs w:val="23"/>
        </w:rPr>
        <w:t>公</w:t>
      </w:r>
      <w:r>
        <w:rPr>
          <w:rFonts w:ascii="宋体" w:hAnsi="宋体" w:eastAsia="宋体" w:cs="宋体"/>
          <w:spacing w:val="13"/>
          <w:sz w:val="23"/>
          <w:szCs w:val="23"/>
        </w:rPr>
        <w:t>司</w:t>
      </w:r>
      <w:r>
        <w:rPr>
          <w:rFonts w:ascii="宋体" w:hAnsi="宋体" w:eastAsia="宋体" w:cs="宋体"/>
          <w:spacing w:val="8"/>
          <w:sz w:val="23"/>
          <w:szCs w:val="23"/>
        </w:rPr>
        <w:t>提出与本项目环境影响评价相关的意见。</w:t>
      </w:r>
    </w:p>
    <w:p w14:paraId="2F69319E">
      <w:pPr>
        <w:spacing w:before="3" w:line="379" w:lineRule="auto"/>
        <w:ind w:left="10" w:right="38" w:firstLine="491"/>
        <w:rPr>
          <w:rFonts w:ascii="宋体" w:hAnsi="宋体" w:eastAsia="宋体" w:cs="宋体"/>
          <w:sz w:val="23"/>
          <w:szCs w:val="23"/>
        </w:rPr>
      </w:pPr>
      <w:r>
        <w:rPr>
          <w:rFonts w:ascii="宋体" w:hAnsi="宋体" w:eastAsia="宋体" w:cs="宋体"/>
          <w:spacing w:val="12"/>
          <w:sz w:val="23"/>
          <w:szCs w:val="23"/>
        </w:rPr>
        <w:t>虽然项目</w:t>
      </w:r>
      <w:r>
        <w:rPr>
          <w:rFonts w:ascii="宋体" w:hAnsi="宋体" w:eastAsia="宋体" w:cs="宋体"/>
          <w:spacing w:val="7"/>
          <w:sz w:val="23"/>
          <w:szCs w:val="23"/>
        </w:rPr>
        <w:t>公</w:t>
      </w:r>
      <w:r>
        <w:rPr>
          <w:rFonts w:ascii="宋体" w:hAnsi="宋体" w:eastAsia="宋体" w:cs="宋体"/>
          <w:spacing w:val="6"/>
          <w:sz w:val="23"/>
          <w:szCs w:val="23"/>
        </w:rPr>
        <w:t>示期间并未收到公众的关于本项目的意见，但是建设单位除做好企业自身的</w:t>
      </w:r>
      <w:r>
        <w:rPr>
          <w:rFonts w:ascii="宋体" w:hAnsi="宋体" w:eastAsia="宋体" w:cs="宋体"/>
          <w:sz w:val="23"/>
          <w:szCs w:val="23"/>
        </w:rPr>
        <w:t xml:space="preserve"> </w:t>
      </w:r>
      <w:r>
        <w:rPr>
          <w:rFonts w:ascii="宋体" w:hAnsi="宋体" w:eastAsia="宋体" w:cs="宋体"/>
          <w:spacing w:val="12"/>
          <w:sz w:val="23"/>
          <w:szCs w:val="23"/>
        </w:rPr>
        <w:t>环</w:t>
      </w:r>
      <w:r>
        <w:rPr>
          <w:rFonts w:ascii="宋体" w:hAnsi="宋体" w:eastAsia="宋体" w:cs="宋体"/>
          <w:spacing w:val="7"/>
          <w:sz w:val="23"/>
          <w:szCs w:val="23"/>
        </w:rPr>
        <w:t>境治理之外，还要积极配合有关部门加强环境保护监测管理工作，定期对周围水和空气环</w:t>
      </w:r>
      <w:r>
        <w:rPr>
          <w:rFonts w:ascii="宋体" w:hAnsi="宋体" w:eastAsia="宋体" w:cs="宋体"/>
          <w:sz w:val="23"/>
          <w:szCs w:val="23"/>
        </w:rPr>
        <w:t xml:space="preserve"> </w:t>
      </w:r>
      <w:r>
        <w:rPr>
          <w:rFonts w:ascii="宋体" w:hAnsi="宋体" w:eastAsia="宋体" w:cs="宋体"/>
          <w:spacing w:val="18"/>
          <w:sz w:val="23"/>
          <w:szCs w:val="23"/>
        </w:rPr>
        <w:t>境</w:t>
      </w:r>
      <w:r>
        <w:rPr>
          <w:rFonts w:ascii="宋体" w:hAnsi="宋体" w:eastAsia="宋体" w:cs="宋体"/>
          <w:spacing w:val="9"/>
          <w:sz w:val="23"/>
          <w:szCs w:val="23"/>
        </w:rPr>
        <w:t>进行监测，保证环保设施正常运行，避免可能出现的污染纠纷。</w:t>
      </w:r>
    </w:p>
    <w:p w14:paraId="71A138F6">
      <w:pPr>
        <w:spacing w:before="59" w:line="228" w:lineRule="auto"/>
        <w:ind w:left="16"/>
        <w:outlineLvl w:val="2"/>
        <w:rPr>
          <w:rFonts w:ascii="宋体" w:hAnsi="宋体" w:eastAsia="宋体" w:cs="宋体"/>
          <w:sz w:val="23"/>
          <w:szCs w:val="23"/>
        </w:rPr>
      </w:pPr>
      <w:r>
        <w:rPr>
          <w:rFonts w:ascii="Times New Roman" w:hAnsi="Times New Roman" w:eastAsia="Times New Roman" w:cs="Times New Roman"/>
          <w:b/>
          <w:bCs/>
          <w:spacing w:val="12"/>
          <w:sz w:val="23"/>
          <w:szCs w:val="23"/>
        </w:rPr>
        <w:t>1</w:t>
      </w:r>
      <w:r>
        <w:rPr>
          <w:rFonts w:ascii="Times New Roman" w:hAnsi="Times New Roman" w:eastAsia="Times New Roman" w:cs="Times New Roman"/>
          <w:b/>
          <w:bCs/>
          <w:spacing w:val="8"/>
          <w:sz w:val="23"/>
          <w:szCs w:val="23"/>
        </w:rPr>
        <w:t>1</w:t>
      </w:r>
      <w:r>
        <w:rPr>
          <w:rFonts w:ascii="Times New Roman" w:hAnsi="Times New Roman" w:eastAsia="Times New Roman" w:cs="Times New Roman"/>
          <w:b/>
          <w:bCs/>
          <w:spacing w:val="6"/>
          <w:sz w:val="23"/>
          <w:szCs w:val="23"/>
        </w:rPr>
        <w:t>.1.12</w:t>
      </w:r>
      <w:r>
        <w:rPr>
          <w:rFonts w:ascii="Times New Roman" w:hAnsi="Times New Roman" w:eastAsia="Times New Roman" w:cs="Times New Roman"/>
          <w:spacing w:val="6"/>
          <w:sz w:val="23"/>
          <w:szCs w:val="23"/>
        </w:rPr>
        <w:t xml:space="preserve">  </w:t>
      </w:r>
      <w:r>
        <w:rPr>
          <w:rFonts w:ascii="宋体" w:hAnsi="宋体" w:eastAsia="宋体" w:cs="宋体"/>
          <w:spacing w:val="6"/>
          <w:sz w:val="23"/>
          <w:szCs w:val="23"/>
          <w14:textOutline w14:w="4356" w14:cap="sq" w14:cmpd="sng" w14:algn="ctr">
            <w14:solidFill>
              <w14:srgbClr w14:val="000000"/>
            </w14:solidFill>
            <w14:prstDash w14:val="solid"/>
            <w14:bevel/>
          </w14:textOutline>
        </w:rPr>
        <w:t>环境影响经济损益分析结论</w:t>
      </w:r>
    </w:p>
    <w:p w14:paraId="511328E8">
      <w:pPr>
        <w:spacing w:before="182" w:line="376" w:lineRule="auto"/>
        <w:ind w:left="11" w:right="38" w:firstLine="480"/>
        <w:rPr>
          <w:rFonts w:ascii="宋体" w:hAnsi="宋体" w:eastAsia="宋体" w:cs="宋体"/>
          <w:sz w:val="23"/>
          <w:szCs w:val="23"/>
        </w:rPr>
      </w:pPr>
      <w:r>
        <w:rPr>
          <w:rFonts w:ascii="宋体" w:hAnsi="宋体" w:eastAsia="宋体" w:cs="宋体"/>
          <w:spacing w:val="7"/>
          <w:sz w:val="23"/>
          <w:szCs w:val="23"/>
        </w:rPr>
        <w:t>本项目的建设将会产生较大的经济效益和社会效益，将会在社会发展、人口就业及区</w:t>
      </w:r>
      <w:r>
        <w:rPr>
          <w:rFonts w:ascii="宋体" w:hAnsi="宋体" w:eastAsia="宋体" w:cs="宋体"/>
          <w:spacing w:val="5"/>
          <w:sz w:val="23"/>
          <w:szCs w:val="23"/>
        </w:rPr>
        <w:t>域</w:t>
      </w:r>
      <w:r>
        <w:rPr>
          <w:rFonts w:ascii="宋体" w:hAnsi="宋体" w:eastAsia="宋体" w:cs="宋体"/>
          <w:sz w:val="23"/>
          <w:szCs w:val="23"/>
        </w:rPr>
        <w:t xml:space="preserve"> </w:t>
      </w:r>
      <w:r>
        <w:rPr>
          <w:rFonts w:ascii="宋体" w:hAnsi="宋体" w:eastAsia="宋体" w:cs="宋体"/>
          <w:spacing w:val="11"/>
          <w:sz w:val="23"/>
          <w:szCs w:val="23"/>
        </w:rPr>
        <w:t>经</w:t>
      </w:r>
      <w:r>
        <w:rPr>
          <w:rFonts w:ascii="宋体" w:hAnsi="宋体" w:eastAsia="宋体" w:cs="宋体"/>
          <w:spacing w:val="7"/>
          <w:sz w:val="23"/>
          <w:szCs w:val="23"/>
        </w:rPr>
        <w:t>济发展等方面产生正面效益；而导致的环境方面的负面影响，只要认真、确实做好环境保</w:t>
      </w:r>
      <w:r>
        <w:rPr>
          <w:rFonts w:ascii="宋体" w:hAnsi="宋体" w:eastAsia="宋体" w:cs="宋体"/>
          <w:sz w:val="23"/>
          <w:szCs w:val="23"/>
        </w:rPr>
        <w:t xml:space="preserve"> </w:t>
      </w:r>
      <w:r>
        <w:rPr>
          <w:rFonts w:ascii="宋体" w:hAnsi="宋体" w:eastAsia="宋体" w:cs="宋体"/>
          <w:spacing w:val="11"/>
          <w:sz w:val="23"/>
          <w:szCs w:val="23"/>
        </w:rPr>
        <w:t>护</w:t>
      </w:r>
      <w:r>
        <w:rPr>
          <w:rFonts w:ascii="宋体" w:hAnsi="宋体" w:eastAsia="宋体" w:cs="宋体"/>
          <w:spacing w:val="7"/>
          <w:sz w:val="23"/>
          <w:szCs w:val="23"/>
        </w:rPr>
        <w:t>工作，投入一定的资金用于污染防治和环境管理，通过采取相应的污染防治和减缓措施，</w:t>
      </w:r>
      <w:r>
        <w:rPr>
          <w:rFonts w:ascii="宋体" w:hAnsi="宋体" w:eastAsia="宋体" w:cs="宋体"/>
          <w:sz w:val="23"/>
          <w:szCs w:val="23"/>
        </w:rPr>
        <w:t xml:space="preserve"> </w:t>
      </w:r>
      <w:r>
        <w:rPr>
          <w:rFonts w:ascii="宋体" w:hAnsi="宋体" w:eastAsia="宋体" w:cs="宋体"/>
          <w:spacing w:val="10"/>
          <w:sz w:val="23"/>
          <w:szCs w:val="23"/>
        </w:rPr>
        <w:t>保</w:t>
      </w:r>
      <w:r>
        <w:rPr>
          <w:rFonts w:ascii="宋体" w:hAnsi="宋体" w:eastAsia="宋体" w:cs="宋体"/>
          <w:spacing w:val="7"/>
          <w:sz w:val="23"/>
          <w:szCs w:val="23"/>
        </w:rPr>
        <w:t>证把项目对周围环境的影响降低到最小程度，本项目造成的环境方面的负面效应是可以由</w:t>
      </w:r>
      <w:r>
        <w:rPr>
          <w:rFonts w:ascii="宋体" w:hAnsi="宋体" w:eastAsia="宋体" w:cs="宋体"/>
          <w:sz w:val="23"/>
          <w:szCs w:val="23"/>
        </w:rPr>
        <w:t xml:space="preserve"> </w:t>
      </w:r>
      <w:r>
        <w:rPr>
          <w:rFonts w:ascii="宋体" w:hAnsi="宋体" w:eastAsia="宋体" w:cs="宋体"/>
          <w:spacing w:val="9"/>
          <w:sz w:val="23"/>
          <w:szCs w:val="23"/>
        </w:rPr>
        <w:t>其产生的社会效益和经济效益弥补的</w:t>
      </w:r>
      <w:r>
        <w:rPr>
          <w:rFonts w:ascii="宋体" w:hAnsi="宋体" w:eastAsia="宋体" w:cs="宋体"/>
          <w:spacing w:val="5"/>
          <w:sz w:val="23"/>
          <w:szCs w:val="23"/>
        </w:rPr>
        <w:t>。</w:t>
      </w:r>
    </w:p>
    <w:p w14:paraId="671529B7">
      <w:pPr>
        <w:spacing w:before="1" w:line="384" w:lineRule="auto"/>
        <w:ind w:left="14" w:right="38" w:firstLine="494"/>
        <w:rPr>
          <w:rFonts w:ascii="宋体" w:hAnsi="宋体" w:eastAsia="宋体" w:cs="宋体"/>
          <w:sz w:val="23"/>
          <w:szCs w:val="23"/>
        </w:rPr>
      </w:pPr>
      <w:r>
        <w:rPr>
          <w:rFonts w:ascii="宋体" w:hAnsi="宋体" w:eastAsia="宋体" w:cs="宋体"/>
          <w:spacing w:val="12"/>
          <w:sz w:val="23"/>
          <w:szCs w:val="23"/>
        </w:rPr>
        <w:t>因此，</w:t>
      </w:r>
      <w:r>
        <w:rPr>
          <w:rFonts w:ascii="宋体" w:hAnsi="宋体" w:eastAsia="宋体" w:cs="宋体"/>
          <w:spacing w:val="6"/>
          <w:sz w:val="23"/>
          <w:szCs w:val="23"/>
        </w:rPr>
        <w:t>在保证环保投资及环保设施运行效果的情况下，本项目从环境经济效益分析是可</w:t>
      </w:r>
      <w:r>
        <w:rPr>
          <w:rFonts w:ascii="宋体" w:hAnsi="宋体" w:eastAsia="宋体" w:cs="宋体"/>
          <w:sz w:val="23"/>
          <w:szCs w:val="23"/>
        </w:rPr>
        <w:t xml:space="preserve"> </w:t>
      </w:r>
      <w:r>
        <w:rPr>
          <w:rFonts w:ascii="宋体" w:hAnsi="宋体" w:eastAsia="宋体" w:cs="宋体"/>
          <w:spacing w:val="2"/>
          <w:sz w:val="23"/>
          <w:szCs w:val="23"/>
        </w:rPr>
        <w:t>行的。</w:t>
      </w:r>
    </w:p>
    <w:p w14:paraId="31EE3EBA">
      <w:pPr>
        <w:spacing w:before="34" w:line="219" w:lineRule="auto"/>
        <w:ind w:left="19"/>
        <w:outlineLvl w:val="1"/>
        <w:rPr>
          <w:rFonts w:ascii="宋体" w:hAnsi="宋体" w:eastAsia="宋体" w:cs="宋体"/>
          <w:sz w:val="28"/>
          <w:szCs w:val="28"/>
        </w:rPr>
      </w:pPr>
      <w:bookmarkStart w:id="76" w:name="_bookmark77"/>
      <w:bookmarkEnd w:id="76"/>
      <w:r>
        <w:rPr>
          <w:rFonts w:ascii="Times New Roman" w:hAnsi="Times New Roman" w:eastAsia="Times New Roman" w:cs="Times New Roman"/>
          <w:b/>
          <w:bCs/>
          <w:spacing w:val="-1"/>
          <w:sz w:val="28"/>
          <w:szCs w:val="28"/>
        </w:rPr>
        <w:t>11.2</w:t>
      </w:r>
      <w:r>
        <w:rPr>
          <w:rFonts w:ascii="Times New Roman" w:hAnsi="Times New Roman" w:eastAsia="Times New Roman" w:cs="Times New Roman"/>
          <w:spacing w:val="-1"/>
          <w:sz w:val="28"/>
          <w:szCs w:val="28"/>
        </w:rPr>
        <w:t xml:space="preserve">  </w:t>
      </w:r>
      <w:r>
        <w:rPr>
          <w:rFonts w:ascii="宋体" w:hAnsi="宋体" w:eastAsia="宋体" w:cs="宋体"/>
          <w:spacing w:val="-1"/>
          <w:sz w:val="28"/>
          <w:szCs w:val="28"/>
          <w14:textOutline w14:w="5105" w14:cap="sq" w14:cmpd="sng" w14:algn="ctr">
            <w14:solidFill>
              <w14:srgbClr w14:val="000000"/>
            </w14:solidFill>
            <w14:prstDash w14:val="solid"/>
            <w14:bevel/>
          </w14:textOutline>
        </w:rPr>
        <w:t>环境影响评</w:t>
      </w:r>
      <w:r>
        <w:rPr>
          <w:rFonts w:ascii="宋体" w:hAnsi="宋体" w:eastAsia="宋体" w:cs="宋体"/>
          <w:sz w:val="28"/>
          <w:szCs w:val="28"/>
          <w14:textOutline w14:w="5105" w14:cap="sq" w14:cmpd="sng" w14:algn="ctr">
            <w14:solidFill>
              <w14:srgbClr w14:val="000000"/>
            </w14:solidFill>
            <w14:prstDash w14:val="solid"/>
            <w14:bevel/>
          </w14:textOutline>
        </w:rPr>
        <w:t>价结论</w:t>
      </w:r>
    </w:p>
    <w:p w14:paraId="1BE938F8">
      <w:pPr>
        <w:spacing w:before="238" w:line="379" w:lineRule="auto"/>
        <w:ind w:left="10" w:firstLine="482"/>
        <w:rPr>
          <w:rFonts w:ascii="宋体" w:hAnsi="宋体" w:eastAsia="宋体" w:cs="宋体"/>
          <w:sz w:val="23"/>
          <w:szCs w:val="23"/>
        </w:rPr>
      </w:pPr>
      <w:r>
        <w:rPr>
          <w:rFonts w:ascii="宋体" w:hAnsi="宋体" w:eastAsia="宋体" w:cs="宋体"/>
          <w:spacing w:val="21"/>
          <w:sz w:val="23"/>
          <w:szCs w:val="23"/>
          <w14:textOutline w14:w="4356" w14:cap="sq" w14:cmpd="sng" w14:algn="ctr">
            <w14:solidFill>
              <w14:srgbClr w14:val="000000"/>
            </w14:solidFill>
            <w14:prstDash w14:val="solid"/>
            <w14:bevel/>
          </w14:textOutline>
        </w:rPr>
        <w:t>综</w:t>
      </w:r>
      <w:r>
        <w:rPr>
          <w:rFonts w:ascii="宋体" w:hAnsi="宋体" w:eastAsia="宋体" w:cs="宋体"/>
          <w:spacing w:val="14"/>
          <w:sz w:val="23"/>
          <w:szCs w:val="23"/>
          <w14:textOutline w14:w="4356" w14:cap="sq" w14:cmpd="sng" w14:algn="ctr">
            <w14:solidFill>
              <w14:srgbClr w14:val="000000"/>
            </w14:solidFill>
            <w14:prstDash w14:val="solid"/>
            <w14:bevel/>
          </w14:textOutline>
        </w:rPr>
        <w:t>上所述，井研县丰逸养殖专业合作社“丰逸标准化代养场建设项目”环境影响报告</w:t>
      </w:r>
      <w:r>
        <w:rPr>
          <w:rFonts w:ascii="宋体" w:hAnsi="宋体" w:eastAsia="宋体" w:cs="宋体"/>
          <w:sz w:val="23"/>
          <w:szCs w:val="23"/>
        </w:rPr>
        <w:t xml:space="preserve"> </w:t>
      </w:r>
      <w:r>
        <w:rPr>
          <w:rFonts w:ascii="宋体" w:hAnsi="宋体" w:eastAsia="宋体" w:cs="宋体"/>
          <w:spacing w:val="18"/>
          <w:sz w:val="23"/>
          <w:szCs w:val="23"/>
          <w14:textOutline w14:w="4356" w14:cap="sq" w14:cmpd="sng" w14:algn="ctr">
            <w14:solidFill>
              <w14:srgbClr w14:val="000000"/>
            </w14:solidFill>
            <w14:prstDash w14:val="solid"/>
            <w14:bevel/>
          </w14:textOutline>
        </w:rPr>
        <w:t>书</w:t>
      </w:r>
      <w:r>
        <w:rPr>
          <w:rFonts w:ascii="宋体" w:hAnsi="宋体" w:eastAsia="宋体" w:cs="宋体"/>
          <w:spacing w:val="14"/>
          <w:sz w:val="23"/>
          <w:szCs w:val="23"/>
          <w14:textOutline w14:w="4356" w14:cap="sq" w14:cmpd="sng" w14:algn="ctr">
            <w14:solidFill>
              <w14:srgbClr w14:val="000000"/>
            </w14:solidFill>
            <w14:prstDash w14:val="solid"/>
            <w14:bevel/>
          </w14:textOutline>
        </w:rPr>
        <w:t>符合国家产业政策和清洁生产要求，项目选址可行，通过认真落实评价所提各项环保治</w:t>
      </w:r>
      <w:r>
        <w:rPr>
          <w:rFonts w:ascii="宋体" w:hAnsi="宋体" w:eastAsia="宋体" w:cs="宋体"/>
          <w:sz w:val="23"/>
          <w:szCs w:val="23"/>
        </w:rPr>
        <w:t xml:space="preserve"> </w:t>
      </w:r>
      <w:r>
        <w:rPr>
          <w:rFonts w:ascii="宋体" w:hAnsi="宋体" w:eastAsia="宋体" w:cs="宋体"/>
          <w:spacing w:val="21"/>
          <w:sz w:val="23"/>
          <w:szCs w:val="23"/>
          <w14:textOutline w14:w="4356" w14:cap="sq" w14:cmpd="sng" w14:algn="ctr">
            <w14:solidFill>
              <w14:srgbClr w14:val="000000"/>
            </w14:solidFill>
            <w14:prstDash w14:val="solid"/>
            <w14:bevel/>
          </w14:textOutline>
        </w:rPr>
        <w:t>理</w:t>
      </w:r>
      <w:r>
        <w:rPr>
          <w:rFonts w:ascii="宋体" w:hAnsi="宋体" w:eastAsia="宋体" w:cs="宋体"/>
          <w:spacing w:val="14"/>
          <w:sz w:val="23"/>
          <w:szCs w:val="23"/>
          <w14:textOutline w14:w="4356" w14:cap="sq" w14:cmpd="sng" w14:algn="ctr">
            <w14:solidFill>
              <w14:srgbClr w14:val="000000"/>
            </w14:solidFill>
            <w14:prstDash w14:val="solid"/>
            <w14:bevel/>
          </w14:textOutline>
        </w:rPr>
        <w:t>措施，工程排放的各类污染物对周围环境影响可以接受，可以实现其经济效益、社会效</w:t>
      </w:r>
      <w:r>
        <w:rPr>
          <w:rFonts w:ascii="宋体" w:hAnsi="宋体" w:eastAsia="宋体" w:cs="宋体"/>
          <w:sz w:val="23"/>
          <w:szCs w:val="23"/>
        </w:rPr>
        <w:t xml:space="preserve"> </w:t>
      </w:r>
      <w:r>
        <w:rPr>
          <w:rFonts w:ascii="宋体" w:hAnsi="宋体" w:eastAsia="宋体" w:cs="宋体"/>
          <w:spacing w:val="21"/>
          <w:sz w:val="23"/>
          <w:szCs w:val="23"/>
          <w14:textOutline w14:w="4356" w14:cap="sq" w14:cmpd="sng" w14:algn="ctr">
            <w14:solidFill>
              <w14:srgbClr w14:val="000000"/>
            </w14:solidFill>
            <w14:prstDash w14:val="solid"/>
            <w14:bevel/>
          </w14:textOutline>
        </w:rPr>
        <w:t>益</w:t>
      </w:r>
      <w:r>
        <w:rPr>
          <w:rFonts w:ascii="宋体" w:hAnsi="宋体" w:eastAsia="宋体" w:cs="宋体"/>
          <w:spacing w:val="14"/>
          <w:sz w:val="23"/>
          <w:szCs w:val="23"/>
          <w14:textOutline w14:w="4356" w14:cap="sq" w14:cmpd="sng" w14:algn="ctr">
            <w14:solidFill>
              <w14:srgbClr w14:val="000000"/>
            </w14:solidFill>
            <w14:prstDash w14:val="solid"/>
            <w14:bevel/>
          </w14:textOutline>
        </w:rPr>
        <w:t>和环境效益的协调发展。项目方要加强生产过程和设备的管理，确保污染物稳定达标排</w:t>
      </w:r>
      <w:r>
        <w:rPr>
          <w:rFonts w:ascii="宋体" w:hAnsi="宋体" w:eastAsia="宋体" w:cs="宋体"/>
          <w:sz w:val="23"/>
          <w:szCs w:val="23"/>
        </w:rPr>
        <w:t xml:space="preserve"> </w:t>
      </w:r>
      <w:r>
        <w:rPr>
          <w:rFonts w:ascii="宋体" w:hAnsi="宋体" w:eastAsia="宋体" w:cs="宋体"/>
          <w:spacing w:val="19"/>
          <w:sz w:val="23"/>
          <w:szCs w:val="23"/>
          <w14:textOutline w14:w="4356" w14:cap="sq" w14:cmpd="sng" w14:algn="ctr">
            <w14:solidFill>
              <w14:srgbClr w14:val="000000"/>
            </w14:solidFill>
            <w14:prstDash w14:val="solid"/>
            <w14:bevel/>
          </w14:textOutline>
        </w:rPr>
        <w:t>放</w:t>
      </w:r>
      <w:r>
        <w:rPr>
          <w:rFonts w:ascii="宋体" w:hAnsi="宋体" w:eastAsia="宋体" w:cs="宋体"/>
          <w:spacing w:val="10"/>
          <w:sz w:val="23"/>
          <w:szCs w:val="23"/>
          <w14:textOutline w14:w="4356" w14:cap="sq" w14:cmpd="sng" w14:algn="ctr">
            <w14:solidFill>
              <w14:srgbClr w14:val="000000"/>
            </w14:solidFill>
            <w14:prstDash w14:val="solid"/>
            <w14:bevel/>
          </w14:textOutline>
        </w:rPr>
        <w:t>，保证环境保护措施的有效运行，从环保角度而言，本项目的建设是可行的。</w:t>
      </w:r>
    </w:p>
    <w:p w14:paraId="5D3B3BF0">
      <w:pPr>
        <w:spacing w:before="33" w:line="221" w:lineRule="auto"/>
        <w:ind w:left="19"/>
        <w:outlineLvl w:val="1"/>
        <w:rPr>
          <w:rFonts w:ascii="宋体" w:hAnsi="宋体" w:eastAsia="宋体" w:cs="宋体"/>
          <w:sz w:val="28"/>
          <w:szCs w:val="28"/>
        </w:rPr>
      </w:pPr>
      <w:bookmarkStart w:id="77" w:name="_bookmark78"/>
      <w:bookmarkEnd w:id="77"/>
      <w:r>
        <w:rPr>
          <w:rFonts w:ascii="Times New Roman" w:hAnsi="Times New Roman" w:eastAsia="Times New Roman" w:cs="Times New Roman"/>
          <w:b/>
          <w:bCs/>
          <w:spacing w:val="-2"/>
          <w:sz w:val="28"/>
          <w:szCs w:val="28"/>
        </w:rPr>
        <w:t>11.3</w:t>
      </w:r>
      <w:r>
        <w:rPr>
          <w:rFonts w:ascii="Times New Roman" w:hAnsi="Times New Roman" w:eastAsia="Times New Roman" w:cs="Times New Roman"/>
          <w:spacing w:val="-2"/>
          <w:sz w:val="28"/>
          <w:szCs w:val="28"/>
        </w:rPr>
        <w:t xml:space="preserve">  </w:t>
      </w:r>
      <w:r>
        <w:rPr>
          <w:rFonts w:ascii="宋体" w:hAnsi="宋体" w:eastAsia="宋体" w:cs="宋体"/>
          <w:spacing w:val="-2"/>
          <w:sz w:val="28"/>
          <w:szCs w:val="28"/>
          <w14:textOutline w14:w="5105" w14:cap="sq" w14:cmpd="sng" w14:algn="ctr">
            <w14:solidFill>
              <w14:srgbClr w14:val="000000"/>
            </w14:solidFill>
            <w14:prstDash w14:val="solid"/>
            <w14:bevel/>
          </w14:textOutline>
        </w:rPr>
        <w:t>环</w:t>
      </w:r>
      <w:r>
        <w:rPr>
          <w:rFonts w:ascii="宋体" w:hAnsi="宋体" w:eastAsia="宋体" w:cs="宋体"/>
          <w:spacing w:val="-1"/>
          <w:sz w:val="28"/>
          <w:szCs w:val="28"/>
          <w14:textOutline w14:w="5105" w14:cap="sq" w14:cmpd="sng" w14:algn="ctr">
            <w14:solidFill>
              <w14:srgbClr w14:val="000000"/>
            </w14:solidFill>
            <w14:prstDash w14:val="solid"/>
            <w14:bevel/>
          </w14:textOutline>
        </w:rPr>
        <w:t>评建议</w:t>
      </w:r>
    </w:p>
    <w:p w14:paraId="447748B8">
      <w:pPr>
        <w:sectPr>
          <w:headerReference r:id="rId347" w:type="default"/>
          <w:footerReference r:id="rId348" w:type="default"/>
          <w:pgSz w:w="11906" w:h="16839"/>
          <w:pgMar w:top="1118" w:right="1096" w:bottom="1168" w:left="1275" w:header="878" w:footer="1008" w:gutter="0"/>
          <w:cols w:space="720" w:num="1"/>
        </w:sectPr>
      </w:pPr>
    </w:p>
    <w:p w14:paraId="2F2D8F37">
      <w:pPr>
        <w:spacing w:before="271" w:line="376" w:lineRule="auto"/>
        <w:ind w:left="10" w:right="61" w:firstLine="498"/>
        <w:rPr>
          <w:rFonts w:ascii="宋体" w:hAnsi="宋体" w:eastAsia="宋体" w:cs="宋体"/>
          <w:sz w:val="23"/>
          <w:szCs w:val="23"/>
        </w:rPr>
      </w:pPr>
      <w:r>
        <w:rPr>
          <w:rFonts w:ascii="Times New Roman" w:hAnsi="Times New Roman" w:eastAsia="Times New Roman" w:cs="Times New Roman"/>
          <w:spacing w:val="14"/>
          <w:sz w:val="23"/>
          <w:szCs w:val="23"/>
        </w:rPr>
        <w:t xml:space="preserve">1 </w:t>
      </w:r>
      <w:r>
        <w:rPr>
          <w:rFonts w:ascii="宋体" w:hAnsi="宋体" w:eastAsia="宋体" w:cs="宋体"/>
          <w:spacing w:val="14"/>
          <w:sz w:val="23"/>
          <w:szCs w:val="23"/>
        </w:rPr>
        <w:t>、企</w:t>
      </w:r>
      <w:r>
        <w:rPr>
          <w:rFonts w:ascii="宋体" w:hAnsi="宋体" w:eastAsia="宋体" w:cs="宋体"/>
          <w:spacing w:val="9"/>
          <w:sz w:val="23"/>
          <w:szCs w:val="23"/>
        </w:rPr>
        <w:t>业</w:t>
      </w:r>
      <w:r>
        <w:rPr>
          <w:rFonts w:ascii="宋体" w:hAnsi="宋体" w:eastAsia="宋体" w:cs="宋体"/>
          <w:spacing w:val="7"/>
          <w:sz w:val="23"/>
          <w:szCs w:val="23"/>
        </w:rPr>
        <w:t>应加强环保设施的日常管理、维护，建立健全环保设施的运行管理制度、定期</w:t>
      </w:r>
      <w:r>
        <w:rPr>
          <w:rFonts w:ascii="宋体" w:hAnsi="宋体" w:eastAsia="宋体" w:cs="宋体"/>
          <w:sz w:val="23"/>
          <w:szCs w:val="23"/>
        </w:rPr>
        <w:t xml:space="preserve"> </w:t>
      </w:r>
      <w:r>
        <w:rPr>
          <w:rFonts w:ascii="宋体" w:hAnsi="宋体" w:eastAsia="宋体" w:cs="宋体"/>
          <w:spacing w:val="16"/>
          <w:sz w:val="23"/>
          <w:szCs w:val="23"/>
        </w:rPr>
        <w:t>检</w:t>
      </w:r>
      <w:r>
        <w:rPr>
          <w:rFonts w:ascii="宋体" w:hAnsi="宋体" w:eastAsia="宋体" w:cs="宋体"/>
          <w:spacing w:val="10"/>
          <w:sz w:val="23"/>
          <w:szCs w:val="23"/>
        </w:rPr>
        <w:t>查</w:t>
      </w:r>
      <w:r>
        <w:rPr>
          <w:rFonts w:ascii="宋体" w:hAnsi="宋体" w:eastAsia="宋体" w:cs="宋体"/>
          <w:spacing w:val="8"/>
          <w:sz w:val="23"/>
          <w:szCs w:val="23"/>
        </w:rPr>
        <w:t>制度、设备维护和检修制度。</w:t>
      </w:r>
    </w:p>
    <w:p w14:paraId="01DBF8B1">
      <w:pPr>
        <w:spacing w:before="2" w:line="375" w:lineRule="auto"/>
        <w:ind w:left="10" w:firstLine="420"/>
        <w:rPr>
          <w:rFonts w:ascii="宋体" w:hAnsi="宋体" w:eastAsia="宋体" w:cs="宋体"/>
          <w:sz w:val="23"/>
          <w:szCs w:val="23"/>
        </w:rPr>
      </w:pPr>
      <w:r>
        <w:rPr>
          <w:rFonts w:ascii="Times New Roman" w:hAnsi="Times New Roman" w:eastAsia="Times New Roman" w:cs="Times New Roman"/>
          <w:spacing w:val="18"/>
          <w:sz w:val="23"/>
          <w:szCs w:val="23"/>
        </w:rPr>
        <w:t xml:space="preserve">2 </w:t>
      </w:r>
      <w:r>
        <w:rPr>
          <w:rFonts w:ascii="宋体" w:hAnsi="宋体" w:eastAsia="宋体" w:cs="宋体"/>
          <w:spacing w:val="18"/>
          <w:sz w:val="23"/>
          <w:szCs w:val="23"/>
        </w:rPr>
        <w:t>、</w:t>
      </w:r>
      <w:r>
        <w:rPr>
          <w:rFonts w:ascii="宋体" w:hAnsi="宋体" w:eastAsia="宋体" w:cs="宋体"/>
          <w:spacing w:val="12"/>
          <w:sz w:val="23"/>
          <w:szCs w:val="23"/>
        </w:rPr>
        <w:t>加</w:t>
      </w:r>
      <w:r>
        <w:rPr>
          <w:rFonts w:ascii="宋体" w:hAnsi="宋体" w:eastAsia="宋体" w:cs="宋体"/>
          <w:spacing w:val="9"/>
          <w:sz w:val="23"/>
          <w:szCs w:val="23"/>
        </w:rPr>
        <w:t>强养殖场环保设施的日常管理工作，强化环保设施的维修、保养，保证废水处理</w:t>
      </w:r>
      <w:r>
        <w:rPr>
          <w:rFonts w:ascii="宋体" w:hAnsi="宋体" w:eastAsia="宋体" w:cs="宋体"/>
          <w:sz w:val="23"/>
          <w:szCs w:val="23"/>
        </w:rPr>
        <w:t xml:space="preserve"> </w:t>
      </w:r>
      <w:r>
        <w:rPr>
          <w:rFonts w:ascii="宋体" w:hAnsi="宋体" w:eastAsia="宋体" w:cs="宋体"/>
          <w:spacing w:val="3"/>
          <w:sz w:val="23"/>
          <w:szCs w:val="23"/>
        </w:rPr>
        <w:t>环保设施正常运转，并加强养殖废水输送管道及运输车辆的管理，防治运输过程中粪水</w:t>
      </w:r>
      <w:r>
        <w:rPr>
          <w:rFonts w:ascii="宋体" w:hAnsi="宋体" w:eastAsia="宋体" w:cs="宋体"/>
          <w:spacing w:val="2"/>
          <w:sz w:val="23"/>
          <w:szCs w:val="23"/>
        </w:rPr>
        <w:t>泄</w:t>
      </w:r>
      <w:r>
        <w:rPr>
          <w:rFonts w:ascii="宋体" w:hAnsi="宋体" w:eastAsia="宋体" w:cs="宋体"/>
          <w:sz w:val="23"/>
          <w:szCs w:val="23"/>
        </w:rPr>
        <w:t xml:space="preserve">漏， </w:t>
      </w:r>
      <w:r>
        <w:rPr>
          <w:rFonts w:ascii="宋体" w:hAnsi="宋体" w:eastAsia="宋体" w:cs="宋体"/>
          <w:spacing w:val="6"/>
          <w:sz w:val="23"/>
          <w:szCs w:val="23"/>
        </w:rPr>
        <w:t>污染环境。</w:t>
      </w:r>
    </w:p>
    <w:p w14:paraId="6EE04B41">
      <w:pPr>
        <w:spacing w:before="1" w:line="375" w:lineRule="auto"/>
        <w:ind w:left="14" w:right="59" w:firstLine="420"/>
        <w:rPr>
          <w:rFonts w:ascii="宋体" w:hAnsi="宋体" w:eastAsia="宋体" w:cs="宋体"/>
          <w:sz w:val="23"/>
          <w:szCs w:val="23"/>
        </w:rPr>
      </w:pPr>
      <w:r>
        <w:rPr>
          <w:rFonts w:ascii="Times New Roman" w:hAnsi="Times New Roman" w:eastAsia="Times New Roman" w:cs="Times New Roman"/>
          <w:spacing w:val="5"/>
          <w:sz w:val="23"/>
          <w:szCs w:val="23"/>
        </w:rPr>
        <w:t xml:space="preserve">3 </w:t>
      </w:r>
      <w:r>
        <w:rPr>
          <w:rFonts w:ascii="宋体" w:hAnsi="宋体" w:eastAsia="宋体" w:cs="宋体"/>
          <w:spacing w:val="5"/>
          <w:sz w:val="23"/>
          <w:szCs w:val="23"/>
        </w:rPr>
        <w:t xml:space="preserve">、加强场区绿化工作，绿化有利于猪场的防火防疫。种植不小于 </w:t>
      </w:r>
      <w:r>
        <w:rPr>
          <w:rFonts w:ascii="Times New Roman" w:hAnsi="Times New Roman" w:eastAsia="Times New Roman" w:cs="Times New Roman"/>
          <w:spacing w:val="5"/>
          <w:sz w:val="23"/>
          <w:szCs w:val="23"/>
        </w:rPr>
        <w:t xml:space="preserve">20 </w:t>
      </w:r>
      <w:r>
        <w:rPr>
          <w:rFonts w:ascii="宋体" w:hAnsi="宋体" w:eastAsia="宋体" w:cs="宋体"/>
          <w:spacing w:val="5"/>
          <w:sz w:val="23"/>
          <w:szCs w:val="23"/>
        </w:rPr>
        <w:t>米隔离林带，互</w:t>
      </w:r>
      <w:r>
        <w:rPr>
          <w:rFonts w:ascii="宋体" w:hAnsi="宋体" w:eastAsia="宋体" w:cs="宋体"/>
          <w:spacing w:val="2"/>
          <w:sz w:val="23"/>
          <w:szCs w:val="23"/>
        </w:rPr>
        <w:t>不</w:t>
      </w:r>
      <w:r>
        <w:rPr>
          <w:rFonts w:ascii="宋体" w:hAnsi="宋体" w:eastAsia="宋体" w:cs="宋体"/>
          <w:sz w:val="23"/>
          <w:szCs w:val="23"/>
        </w:rPr>
        <w:t xml:space="preserve"> </w:t>
      </w:r>
      <w:r>
        <w:rPr>
          <w:rFonts w:ascii="宋体" w:hAnsi="宋体" w:eastAsia="宋体" w:cs="宋体"/>
          <w:spacing w:val="9"/>
          <w:sz w:val="23"/>
          <w:szCs w:val="23"/>
        </w:rPr>
        <w:t>交叉，可防止人畜任意往来而引起的疫病传播</w:t>
      </w:r>
      <w:r>
        <w:rPr>
          <w:rFonts w:ascii="宋体" w:hAnsi="宋体" w:eastAsia="宋体" w:cs="宋体"/>
          <w:spacing w:val="5"/>
          <w:sz w:val="23"/>
          <w:szCs w:val="23"/>
        </w:rPr>
        <w:t>。</w:t>
      </w:r>
    </w:p>
    <w:p w14:paraId="2DB3FC38">
      <w:pPr>
        <w:spacing w:line="303" w:lineRule="exact"/>
        <w:ind w:left="429"/>
        <w:rPr>
          <w:rFonts w:ascii="宋体" w:hAnsi="宋体" w:eastAsia="宋体" w:cs="宋体"/>
          <w:sz w:val="23"/>
          <w:szCs w:val="23"/>
        </w:rPr>
      </w:pPr>
      <w:r>
        <w:rPr>
          <w:rFonts w:ascii="Times New Roman" w:hAnsi="Times New Roman" w:eastAsia="Times New Roman" w:cs="Times New Roman"/>
          <w:spacing w:val="14"/>
          <w:position w:val="1"/>
          <w:sz w:val="23"/>
          <w:szCs w:val="23"/>
        </w:rPr>
        <w:t xml:space="preserve">4 </w:t>
      </w:r>
      <w:r>
        <w:rPr>
          <w:rFonts w:ascii="宋体" w:hAnsi="宋体" w:eastAsia="宋体" w:cs="宋体"/>
          <w:spacing w:val="14"/>
          <w:position w:val="1"/>
          <w:sz w:val="23"/>
          <w:szCs w:val="23"/>
        </w:rPr>
        <w:t>、</w:t>
      </w:r>
      <w:r>
        <w:rPr>
          <w:rFonts w:ascii="宋体" w:hAnsi="宋体" w:eastAsia="宋体" w:cs="宋体"/>
          <w:spacing w:val="13"/>
          <w:position w:val="1"/>
          <w:sz w:val="23"/>
          <w:szCs w:val="23"/>
        </w:rPr>
        <w:t>项</w:t>
      </w:r>
      <w:r>
        <w:rPr>
          <w:rFonts w:ascii="宋体" w:hAnsi="宋体" w:eastAsia="宋体" w:cs="宋体"/>
          <w:spacing w:val="7"/>
          <w:position w:val="1"/>
          <w:sz w:val="23"/>
          <w:szCs w:val="23"/>
        </w:rPr>
        <w:t>目投产后，在卫生防护距离以内的区域不得修建房屋、学校、医院等敏感点。</w:t>
      </w:r>
    </w:p>
    <w:p w14:paraId="6CDFC7A2">
      <w:pPr>
        <w:spacing w:before="164" w:line="384" w:lineRule="auto"/>
        <w:ind w:left="12" w:right="61" w:firstLine="425"/>
        <w:rPr>
          <w:rFonts w:ascii="宋体" w:hAnsi="宋体" w:eastAsia="宋体" w:cs="宋体"/>
          <w:sz w:val="23"/>
          <w:szCs w:val="23"/>
        </w:rPr>
      </w:pPr>
      <w:r>
        <w:rPr>
          <w:rFonts w:ascii="Times New Roman" w:hAnsi="Times New Roman" w:eastAsia="Times New Roman" w:cs="Times New Roman"/>
          <w:spacing w:val="18"/>
          <w:sz w:val="23"/>
          <w:szCs w:val="23"/>
        </w:rPr>
        <w:t xml:space="preserve">5 </w:t>
      </w:r>
      <w:r>
        <w:rPr>
          <w:rFonts w:ascii="宋体" w:hAnsi="宋体" w:eastAsia="宋体" w:cs="宋体"/>
          <w:spacing w:val="15"/>
          <w:sz w:val="23"/>
          <w:szCs w:val="23"/>
        </w:rPr>
        <w:t>、</w:t>
      </w:r>
      <w:r>
        <w:rPr>
          <w:rFonts w:ascii="宋体" w:hAnsi="宋体" w:eastAsia="宋体" w:cs="宋体"/>
          <w:spacing w:val="9"/>
          <w:sz w:val="23"/>
          <w:szCs w:val="23"/>
        </w:rPr>
        <w:t>尽可能多的接收厂区周围农民为本项目工作人员，并对其进行技术培训，提高当地</w:t>
      </w:r>
      <w:r>
        <w:rPr>
          <w:rFonts w:ascii="宋体" w:hAnsi="宋体" w:eastAsia="宋体" w:cs="宋体"/>
          <w:sz w:val="23"/>
          <w:szCs w:val="23"/>
        </w:rPr>
        <w:t xml:space="preserve"> </w:t>
      </w:r>
      <w:r>
        <w:rPr>
          <w:rFonts w:ascii="宋体" w:hAnsi="宋体" w:eastAsia="宋体" w:cs="宋体"/>
          <w:spacing w:val="8"/>
          <w:sz w:val="23"/>
          <w:szCs w:val="23"/>
        </w:rPr>
        <w:t>居</w:t>
      </w:r>
      <w:r>
        <w:rPr>
          <w:rFonts w:ascii="宋体" w:hAnsi="宋体" w:eastAsia="宋体" w:cs="宋体"/>
          <w:spacing w:val="6"/>
          <w:sz w:val="23"/>
          <w:szCs w:val="23"/>
        </w:rPr>
        <w:t>民的收入。</w:t>
      </w:r>
    </w:p>
    <w:sectPr>
      <w:headerReference r:id="rId349" w:type="default"/>
      <w:footerReference r:id="rId350" w:type="default"/>
      <w:pgSz w:w="11906" w:h="16839"/>
      <w:pgMar w:top="1118" w:right="1073" w:bottom="1168" w:left="1275" w:header="878" w:footer="100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4D930">
    <w:pPr>
      <w:spacing w:before="1" w:line="225" w:lineRule="auto"/>
      <w:ind w:left="3537"/>
      <w:rPr>
        <w:rFonts w:ascii="宋体" w:hAnsi="宋体" w:eastAsia="宋体" w:cs="宋体"/>
        <w:sz w:val="29"/>
        <w:szCs w:val="29"/>
      </w:rPr>
    </w:pPr>
    <w:r>
      <w:rPr>
        <w:rFonts w:ascii="Times New Roman" w:hAnsi="Times New Roman" w:eastAsia="Times New Roman" w:cs="Times New Roman"/>
        <w:b/>
        <w:bCs/>
        <w:spacing w:val="-2"/>
        <w:sz w:val="29"/>
        <w:szCs w:val="29"/>
      </w:rPr>
      <w:t>20</w:t>
    </w:r>
    <w:r>
      <w:rPr>
        <w:rFonts w:ascii="Times New Roman" w:hAnsi="Times New Roman" w:eastAsia="Times New Roman" w:cs="Times New Roman"/>
        <w:b/>
        <w:bCs/>
        <w:spacing w:val="-1"/>
        <w:sz w:val="29"/>
        <w:szCs w:val="29"/>
      </w:rPr>
      <w:t>19</w:t>
    </w:r>
    <w:r>
      <w:rPr>
        <w:rFonts w:ascii="Times New Roman" w:hAnsi="Times New Roman" w:eastAsia="Times New Roman" w:cs="Times New Roman"/>
        <w:spacing w:val="-1"/>
        <w:sz w:val="29"/>
        <w:szCs w:val="29"/>
      </w:rPr>
      <w:t xml:space="preserve"> </w:t>
    </w:r>
    <w:r>
      <w:rPr>
        <w:rFonts w:ascii="宋体" w:hAnsi="宋体" w:eastAsia="宋体" w:cs="宋体"/>
        <w:spacing w:val="-1"/>
        <w:sz w:val="29"/>
        <w:szCs w:val="29"/>
        <w14:textOutline w14:w="5448" w14:cap="sq" w14:cmpd="sng" w14:algn="ctr">
          <w14:solidFill>
            <w14:srgbClr w14:val="000000"/>
          </w14:solidFill>
          <w14:prstDash w14:val="solid"/>
          <w14:bevel/>
        </w14:textOutline>
      </w:rPr>
      <w:t>年</w:t>
    </w:r>
    <w:r>
      <w:rPr>
        <w:rFonts w:ascii="宋体" w:hAnsi="宋体" w:eastAsia="宋体" w:cs="宋体"/>
        <w:spacing w:val="-1"/>
        <w:sz w:val="29"/>
        <w:szCs w:val="29"/>
      </w:rPr>
      <w:t xml:space="preserve"> </w:t>
    </w:r>
    <w:r>
      <w:rPr>
        <w:rFonts w:ascii="Times New Roman" w:hAnsi="Times New Roman" w:eastAsia="Times New Roman" w:cs="Times New Roman"/>
        <w:b/>
        <w:bCs/>
        <w:spacing w:val="-1"/>
        <w:sz w:val="29"/>
        <w:szCs w:val="29"/>
      </w:rPr>
      <w:t>09</w:t>
    </w:r>
    <w:r>
      <w:rPr>
        <w:rFonts w:ascii="Times New Roman" w:hAnsi="Times New Roman" w:eastAsia="Times New Roman" w:cs="Times New Roman"/>
        <w:spacing w:val="-1"/>
        <w:sz w:val="29"/>
        <w:szCs w:val="29"/>
      </w:rPr>
      <w:t xml:space="preserve"> </w:t>
    </w:r>
    <w:r>
      <w:rPr>
        <w:rFonts w:ascii="宋体" w:hAnsi="宋体" w:eastAsia="宋体" w:cs="宋体"/>
        <w:spacing w:val="-1"/>
        <w:sz w:val="29"/>
        <w:szCs w:val="29"/>
        <w14:textOutline w14:w="5448" w14:cap="sq" w14:cmpd="sng" w14:algn="ctr">
          <w14:solidFill>
            <w14:srgbClr w14:val="000000"/>
          </w14:solidFill>
          <w14:prstDash w14:val="solid"/>
          <w14:bevel/>
        </w14:textOutline>
      </w:rPr>
      <w:t>月</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23B18">
    <w:pPr>
      <w:spacing w:line="187" w:lineRule="auto"/>
      <w:ind w:left="4717"/>
      <w:rPr>
        <w:rFonts w:ascii="Calibri" w:hAnsi="Calibri" w:eastAsia="Calibri" w:cs="Calibri"/>
        <w:sz w:val="17"/>
        <w:szCs w:val="17"/>
      </w:rPr>
    </w:pPr>
    <w:r>
      <w:rPr>
        <w:rFonts w:ascii="Calibri" w:hAnsi="Calibri" w:eastAsia="Calibri" w:cs="Calibri"/>
        <w:sz w:val="17"/>
        <w:szCs w:val="17"/>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FDE73">
    <w:pPr>
      <w:spacing w:line="188" w:lineRule="auto"/>
      <w:ind w:left="4712"/>
      <w:rPr>
        <w:rFonts w:ascii="Calibri" w:hAnsi="Calibri" w:eastAsia="Calibri" w:cs="Calibri"/>
        <w:sz w:val="17"/>
        <w:szCs w:val="17"/>
      </w:rPr>
    </w:pPr>
    <w:r>
      <w:rPr>
        <w:rFonts w:ascii="Calibri" w:hAnsi="Calibri" w:eastAsia="Calibri" w:cs="Calibri"/>
        <w:sz w:val="17"/>
        <w:szCs w:val="17"/>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DC302">
    <w:pPr>
      <w:spacing w:line="187" w:lineRule="auto"/>
      <w:ind w:left="4717"/>
      <w:rPr>
        <w:rFonts w:ascii="Calibri" w:hAnsi="Calibri" w:eastAsia="Calibri" w:cs="Calibri"/>
        <w:sz w:val="17"/>
        <w:szCs w:val="17"/>
      </w:rPr>
    </w:pPr>
    <w:r>
      <w:rPr>
        <w:rFonts w:ascii="Calibri" w:hAnsi="Calibri" w:eastAsia="Calibri" w:cs="Calibri"/>
        <w:sz w:val="17"/>
        <w:szCs w:val="17"/>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8B164">
    <w:pPr>
      <w:spacing w:line="188" w:lineRule="auto"/>
      <w:ind w:left="4712"/>
      <w:rPr>
        <w:rFonts w:ascii="Calibri" w:hAnsi="Calibri" w:eastAsia="Calibri" w:cs="Calibri"/>
        <w:sz w:val="17"/>
        <w:szCs w:val="17"/>
      </w:rPr>
    </w:pPr>
    <w:r>
      <w:rPr>
        <w:rFonts w:ascii="Calibri" w:hAnsi="Calibri" w:eastAsia="Calibri" w:cs="Calibri"/>
        <w:sz w:val="17"/>
        <w:szCs w:val="17"/>
      </w:rPr>
      <w:t>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3FCD7">
    <w:pPr>
      <w:spacing w:line="188" w:lineRule="auto"/>
      <w:ind w:left="4711"/>
      <w:rPr>
        <w:rFonts w:ascii="Calibri" w:hAnsi="Calibri" w:eastAsia="Calibri" w:cs="Calibri"/>
        <w:sz w:val="17"/>
        <w:szCs w:val="17"/>
      </w:rPr>
    </w:pPr>
    <w:r>
      <w:rPr>
        <w:rFonts w:ascii="Calibri" w:hAnsi="Calibri" w:eastAsia="Calibri" w:cs="Calibri"/>
        <w:sz w:val="17"/>
        <w:szCs w:val="17"/>
      </w:rPr>
      <w:t>3</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BD927">
    <w:pPr>
      <w:spacing w:line="186" w:lineRule="auto"/>
      <w:ind w:left="4706"/>
      <w:rPr>
        <w:rFonts w:ascii="Calibri" w:hAnsi="Calibri" w:eastAsia="Calibri" w:cs="Calibri"/>
        <w:sz w:val="17"/>
        <w:szCs w:val="17"/>
      </w:rPr>
    </w:pPr>
    <w:r>
      <w:rPr>
        <w:rFonts w:ascii="Calibri" w:hAnsi="Calibri" w:eastAsia="Calibri" w:cs="Calibri"/>
        <w:sz w:val="17"/>
        <w:szCs w:val="17"/>
      </w:rPr>
      <w:t>4</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9E01E">
    <w:pPr>
      <w:spacing w:line="186" w:lineRule="auto"/>
      <w:ind w:left="4711"/>
      <w:rPr>
        <w:rFonts w:ascii="Calibri" w:hAnsi="Calibri" w:eastAsia="Calibri" w:cs="Calibri"/>
        <w:sz w:val="17"/>
        <w:szCs w:val="17"/>
      </w:rPr>
    </w:pPr>
    <w:r>
      <w:rPr>
        <w:rFonts w:ascii="Calibri" w:hAnsi="Calibri" w:eastAsia="Calibri" w:cs="Calibri"/>
        <w:sz w:val="17"/>
        <w:szCs w:val="17"/>
      </w:rPr>
      <w:t>5</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31AD1">
    <w:pPr>
      <w:spacing w:line="188" w:lineRule="auto"/>
      <w:ind w:left="4306"/>
      <w:rPr>
        <w:rFonts w:ascii="Calibri" w:hAnsi="Calibri" w:eastAsia="Calibri" w:cs="Calibri"/>
        <w:sz w:val="17"/>
        <w:szCs w:val="17"/>
      </w:rPr>
    </w:pPr>
    <w:r>
      <w:rPr>
        <w:rFonts w:ascii="Calibri" w:hAnsi="Calibri" w:eastAsia="Calibri" w:cs="Calibri"/>
        <w:sz w:val="17"/>
        <w:szCs w:val="17"/>
      </w:rPr>
      <w:t>6</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3FBB6">
    <w:pPr>
      <w:spacing w:line="186" w:lineRule="auto"/>
      <w:ind w:left="4305"/>
      <w:rPr>
        <w:rFonts w:ascii="Calibri" w:hAnsi="Calibri" w:eastAsia="Calibri" w:cs="Calibri"/>
        <w:sz w:val="17"/>
        <w:szCs w:val="17"/>
      </w:rPr>
    </w:pPr>
    <w:r>
      <w:rPr>
        <w:rFonts w:ascii="Calibri" w:hAnsi="Calibri" w:eastAsia="Calibri" w:cs="Calibri"/>
        <w:sz w:val="17"/>
        <w:szCs w:val="17"/>
      </w:rPr>
      <w:t>7</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8FA7A">
    <w:pPr>
      <w:spacing w:line="188" w:lineRule="auto"/>
      <w:ind w:left="4303"/>
      <w:rPr>
        <w:rFonts w:ascii="Calibri" w:hAnsi="Calibri" w:eastAsia="Calibri" w:cs="Calibri"/>
        <w:sz w:val="17"/>
        <w:szCs w:val="17"/>
      </w:rPr>
    </w:pPr>
    <w:r>
      <w:rPr>
        <w:rFonts w:ascii="Calibri" w:hAnsi="Calibri" w:eastAsia="Calibri" w:cs="Calibri"/>
        <w:sz w:val="17"/>
        <w:szCs w:val="17"/>
      </w:rPr>
      <w:t>8</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915EE">
    <w:pPr>
      <w:spacing w:line="188" w:lineRule="auto"/>
      <w:ind w:left="4816"/>
      <w:rPr>
        <w:rFonts w:ascii="Calibri" w:hAnsi="Calibri" w:eastAsia="Calibri" w:cs="Calibri"/>
        <w:sz w:val="17"/>
        <w:szCs w:val="17"/>
      </w:rPr>
    </w:pPr>
    <w:r>
      <w:rPr>
        <w:rFonts w:ascii="Calibri" w:hAnsi="Calibri" w:eastAsia="Calibri" w:cs="Calibri"/>
        <w:sz w:val="17"/>
        <w:szCs w:val="17"/>
      </w:rPr>
      <w:t>9</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4505A">
    <w:pPr>
      <w:spacing w:line="188" w:lineRule="auto"/>
      <w:ind w:left="4779"/>
      <w:rPr>
        <w:rFonts w:ascii="Calibri" w:hAnsi="Calibri" w:eastAsia="Calibri" w:cs="Calibri"/>
        <w:sz w:val="17"/>
        <w:szCs w:val="17"/>
      </w:rPr>
    </w:pPr>
    <w:r>
      <w:rPr>
        <w:rFonts w:ascii="Calibri" w:hAnsi="Calibri" w:eastAsia="Calibri" w:cs="Calibri"/>
        <w:spacing w:val="-4"/>
        <w:sz w:val="17"/>
        <w:szCs w:val="17"/>
      </w:rPr>
      <w:t>1</w:t>
    </w:r>
    <w:r>
      <w:rPr>
        <w:rFonts w:ascii="Calibri" w:hAnsi="Calibri" w:eastAsia="Calibri" w:cs="Calibri"/>
        <w:spacing w:val="-2"/>
        <w:sz w:val="17"/>
        <w:szCs w:val="17"/>
      </w:rPr>
      <w:t>0</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FCACC">
    <w:pPr>
      <w:spacing w:line="187" w:lineRule="auto"/>
      <w:ind w:left="4779"/>
      <w:rPr>
        <w:rFonts w:ascii="Calibri" w:hAnsi="Calibri" w:eastAsia="Calibri" w:cs="Calibri"/>
        <w:sz w:val="17"/>
        <w:szCs w:val="17"/>
      </w:rPr>
    </w:pPr>
    <w:r>
      <w:rPr>
        <w:rFonts w:ascii="Calibri" w:hAnsi="Calibri" w:eastAsia="Calibri" w:cs="Calibri"/>
        <w:spacing w:val="-4"/>
        <w:sz w:val="17"/>
        <w:szCs w:val="17"/>
      </w:rPr>
      <w:t>1</w:t>
    </w:r>
    <w:r>
      <w:rPr>
        <w:rFonts w:ascii="Calibri" w:hAnsi="Calibri" w:eastAsia="Calibri" w:cs="Calibri"/>
        <w:spacing w:val="-2"/>
        <w:sz w:val="17"/>
        <w:szCs w:val="17"/>
      </w:rPr>
      <w:t>1</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A2623">
    <w:pPr>
      <w:spacing w:line="188" w:lineRule="auto"/>
      <w:ind w:left="4793"/>
      <w:rPr>
        <w:rFonts w:ascii="Calibri" w:hAnsi="Calibri" w:eastAsia="Calibri" w:cs="Calibri"/>
        <w:sz w:val="17"/>
        <w:szCs w:val="17"/>
      </w:rPr>
    </w:pPr>
    <w:r>
      <w:rPr>
        <w:rFonts w:ascii="Calibri" w:hAnsi="Calibri" w:eastAsia="Calibri" w:cs="Calibri"/>
        <w:spacing w:val="-4"/>
        <w:sz w:val="17"/>
        <w:szCs w:val="17"/>
      </w:rPr>
      <w:t>1</w:t>
    </w:r>
    <w:r>
      <w:rPr>
        <w:rFonts w:ascii="Calibri" w:hAnsi="Calibri" w:eastAsia="Calibri" w:cs="Calibri"/>
        <w:spacing w:val="-2"/>
        <w:sz w:val="17"/>
        <w:szCs w:val="17"/>
      </w:rPr>
      <w:t>2</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C9EEC">
    <w:pPr>
      <w:spacing w:line="188" w:lineRule="auto"/>
      <w:ind w:left="4779"/>
      <w:rPr>
        <w:rFonts w:ascii="Calibri" w:hAnsi="Calibri" w:eastAsia="Calibri" w:cs="Calibri"/>
        <w:sz w:val="17"/>
        <w:szCs w:val="17"/>
      </w:rPr>
    </w:pPr>
    <w:r>
      <w:rPr>
        <w:rFonts w:ascii="Calibri" w:hAnsi="Calibri" w:eastAsia="Calibri" w:cs="Calibri"/>
        <w:spacing w:val="-4"/>
        <w:sz w:val="17"/>
        <w:szCs w:val="17"/>
      </w:rPr>
      <w:t>1</w:t>
    </w:r>
    <w:r>
      <w:rPr>
        <w:rFonts w:ascii="Calibri" w:hAnsi="Calibri" w:eastAsia="Calibri" w:cs="Calibri"/>
        <w:spacing w:val="-2"/>
        <w:sz w:val="17"/>
        <w:szCs w:val="17"/>
      </w:rPr>
      <w:t>3</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2748E">
    <w:pPr>
      <w:spacing w:line="186" w:lineRule="auto"/>
      <w:ind w:left="4374"/>
      <w:rPr>
        <w:rFonts w:ascii="Calibri" w:hAnsi="Calibri" w:eastAsia="Calibri" w:cs="Calibri"/>
        <w:sz w:val="17"/>
        <w:szCs w:val="17"/>
      </w:rPr>
    </w:pPr>
    <w:r>
      <w:rPr>
        <w:rFonts w:ascii="Calibri" w:hAnsi="Calibri" w:eastAsia="Calibri" w:cs="Calibri"/>
        <w:spacing w:val="-4"/>
        <w:sz w:val="17"/>
        <w:szCs w:val="17"/>
      </w:rPr>
      <w:t>1</w:t>
    </w:r>
    <w:r>
      <w:rPr>
        <w:rFonts w:ascii="Calibri" w:hAnsi="Calibri" w:eastAsia="Calibri" w:cs="Calibri"/>
        <w:spacing w:val="-2"/>
        <w:sz w:val="17"/>
        <w:szCs w:val="17"/>
      </w:rPr>
      <w:t>4</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25D67">
    <w:pPr>
      <w:spacing w:line="186" w:lineRule="auto"/>
      <w:ind w:left="4374"/>
      <w:rPr>
        <w:rFonts w:ascii="Calibri" w:hAnsi="Calibri" w:eastAsia="Calibri" w:cs="Calibri"/>
        <w:sz w:val="17"/>
        <w:szCs w:val="17"/>
      </w:rPr>
    </w:pPr>
    <w:r>
      <w:rPr>
        <w:rFonts w:ascii="Calibri" w:hAnsi="Calibri" w:eastAsia="Calibri" w:cs="Calibri"/>
        <w:spacing w:val="-4"/>
        <w:sz w:val="17"/>
        <w:szCs w:val="17"/>
      </w:rPr>
      <w:t>1</w:t>
    </w:r>
    <w:r>
      <w:rPr>
        <w:rFonts w:ascii="Calibri" w:hAnsi="Calibri" w:eastAsia="Calibri" w:cs="Calibri"/>
        <w:spacing w:val="-2"/>
        <w:sz w:val="17"/>
        <w:szCs w:val="17"/>
      </w:rPr>
      <w:t>5</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6D3D4">
    <w:pPr>
      <w:spacing w:line="188" w:lineRule="auto"/>
      <w:ind w:left="4779"/>
      <w:rPr>
        <w:rFonts w:ascii="Calibri" w:hAnsi="Calibri" w:eastAsia="Calibri" w:cs="Calibri"/>
        <w:sz w:val="17"/>
        <w:szCs w:val="17"/>
      </w:rPr>
    </w:pPr>
    <w:r>
      <w:rPr>
        <w:rFonts w:ascii="Calibri" w:hAnsi="Calibri" w:eastAsia="Calibri" w:cs="Calibri"/>
        <w:spacing w:val="-4"/>
        <w:sz w:val="17"/>
        <w:szCs w:val="17"/>
      </w:rPr>
      <w:t>1</w:t>
    </w:r>
    <w:r>
      <w:rPr>
        <w:rFonts w:ascii="Calibri" w:hAnsi="Calibri" w:eastAsia="Calibri" w:cs="Calibri"/>
        <w:spacing w:val="-2"/>
        <w:sz w:val="17"/>
        <w:szCs w:val="17"/>
      </w:rPr>
      <w:t>6</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A06FF">
    <w:pPr>
      <w:spacing w:line="186" w:lineRule="auto"/>
      <w:ind w:left="4671"/>
      <w:rPr>
        <w:rFonts w:ascii="Calibri" w:hAnsi="Calibri" w:eastAsia="Calibri" w:cs="Calibri"/>
        <w:sz w:val="17"/>
        <w:szCs w:val="17"/>
      </w:rPr>
    </w:pPr>
    <w:r>
      <w:rPr>
        <w:rFonts w:ascii="Calibri" w:hAnsi="Calibri" w:eastAsia="Calibri" w:cs="Calibri"/>
        <w:spacing w:val="-4"/>
        <w:sz w:val="17"/>
        <w:szCs w:val="17"/>
      </w:rPr>
      <w:t>1</w:t>
    </w:r>
    <w:r>
      <w:rPr>
        <w:rFonts w:ascii="Calibri" w:hAnsi="Calibri" w:eastAsia="Calibri" w:cs="Calibri"/>
        <w:spacing w:val="-2"/>
        <w:sz w:val="17"/>
        <w:szCs w:val="17"/>
      </w:rPr>
      <w:t>7</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72F2F">
    <w:pPr>
      <w:spacing w:line="188" w:lineRule="auto"/>
      <w:ind w:left="4779"/>
      <w:rPr>
        <w:rFonts w:ascii="Calibri" w:hAnsi="Calibri" w:eastAsia="Calibri" w:cs="Calibri"/>
        <w:sz w:val="17"/>
        <w:szCs w:val="17"/>
      </w:rPr>
    </w:pPr>
    <w:r>
      <w:rPr>
        <w:rFonts w:ascii="Calibri" w:hAnsi="Calibri" w:eastAsia="Calibri" w:cs="Calibri"/>
        <w:spacing w:val="-4"/>
        <w:sz w:val="17"/>
        <w:szCs w:val="17"/>
      </w:rPr>
      <w:t>1</w:t>
    </w:r>
    <w:r>
      <w:rPr>
        <w:rFonts w:ascii="Calibri" w:hAnsi="Calibri" w:eastAsia="Calibri" w:cs="Calibri"/>
        <w:spacing w:val="-2"/>
        <w:sz w:val="17"/>
        <w:szCs w:val="17"/>
      </w:rPr>
      <w:t>8</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79A86">
    <w:pPr>
      <w:spacing w:line="188" w:lineRule="auto"/>
      <w:ind w:left="4374"/>
      <w:rPr>
        <w:rFonts w:ascii="Calibri" w:hAnsi="Calibri" w:eastAsia="Calibri" w:cs="Calibri"/>
        <w:sz w:val="17"/>
        <w:szCs w:val="17"/>
      </w:rPr>
    </w:pPr>
    <w:r>
      <w:rPr>
        <w:rFonts w:ascii="Calibri" w:hAnsi="Calibri" w:eastAsia="Calibri" w:cs="Calibri"/>
        <w:spacing w:val="-4"/>
        <w:sz w:val="17"/>
        <w:szCs w:val="17"/>
      </w:rPr>
      <w:t>1</w:t>
    </w:r>
    <w:r>
      <w:rPr>
        <w:rFonts w:ascii="Calibri" w:hAnsi="Calibri" w:eastAsia="Calibri" w:cs="Calibri"/>
        <w:spacing w:val="-2"/>
        <w:sz w:val="17"/>
        <w:szCs w:val="17"/>
      </w:rPr>
      <w:t>9</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205F4">
    <w:pPr>
      <w:spacing w:line="188" w:lineRule="auto"/>
      <w:ind w:left="4723"/>
      <w:rPr>
        <w:rFonts w:ascii="Calibri" w:hAnsi="Calibri" w:eastAsia="Calibri" w:cs="Calibri"/>
        <w:sz w:val="17"/>
        <w:szCs w:val="17"/>
      </w:rPr>
    </w:pPr>
    <w:r>
      <w:rPr>
        <w:rFonts w:ascii="Calibri" w:hAnsi="Calibri" w:eastAsia="Calibri" w:cs="Calibri"/>
        <w:spacing w:val="-1"/>
        <w:sz w:val="17"/>
        <w:szCs w:val="17"/>
      </w:rPr>
      <w:t>2</w:t>
    </w:r>
    <w:r>
      <w:rPr>
        <w:rFonts w:ascii="Calibri" w:hAnsi="Calibri" w:eastAsia="Calibri" w:cs="Calibri"/>
        <w:sz w:val="17"/>
        <w:szCs w:val="17"/>
      </w:rPr>
      <w:t>0</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0E860">
    <w:pPr>
      <w:spacing w:line="188" w:lineRule="auto"/>
      <w:ind w:left="4723"/>
      <w:rPr>
        <w:rFonts w:ascii="Calibri" w:hAnsi="Calibri" w:eastAsia="Calibri" w:cs="Calibri"/>
        <w:sz w:val="17"/>
        <w:szCs w:val="17"/>
      </w:rPr>
    </w:pPr>
    <w:r>
      <w:rPr>
        <w:rFonts w:ascii="Calibri" w:hAnsi="Calibri" w:eastAsia="Calibri" w:cs="Calibri"/>
        <w:spacing w:val="-1"/>
        <w:sz w:val="17"/>
        <w:szCs w:val="17"/>
      </w:rPr>
      <w:t>2</w:t>
    </w:r>
    <w:r>
      <w:rPr>
        <w:rFonts w:ascii="Calibri" w:hAnsi="Calibri" w:eastAsia="Calibri" w:cs="Calibri"/>
        <w:sz w:val="17"/>
        <w:szCs w:val="17"/>
      </w:rPr>
      <w:t>1</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767F3">
    <w:pPr>
      <w:spacing w:line="188" w:lineRule="auto"/>
      <w:ind w:left="4723"/>
      <w:rPr>
        <w:rFonts w:ascii="Calibri" w:hAnsi="Calibri" w:eastAsia="Calibri" w:cs="Calibri"/>
        <w:sz w:val="17"/>
        <w:szCs w:val="17"/>
      </w:rPr>
    </w:pPr>
    <w:r>
      <w:rPr>
        <w:rFonts w:ascii="Calibri" w:hAnsi="Calibri" w:eastAsia="Calibri" w:cs="Calibri"/>
        <w:spacing w:val="-1"/>
        <w:sz w:val="17"/>
        <w:szCs w:val="17"/>
      </w:rPr>
      <w:t>2</w:t>
    </w:r>
    <w:r>
      <w:rPr>
        <w:rFonts w:ascii="Calibri" w:hAnsi="Calibri" w:eastAsia="Calibri" w:cs="Calibri"/>
        <w:sz w:val="17"/>
        <w:szCs w:val="17"/>
      </w:rPr>
      <w:t>2</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679C7">
    <w:pPr>
      <w:spacing w:line="188" w:lineRule="auto"/>
      <w:ind w:left="4261"/>
      <w:rPr>
        <w:rFonts w:ascii="Calibri" w:hAnsi="Calibri" w:eastAsia="Calibri" w:cs="Calibri"/>
        <w:sz w:val="17"/>
        <w:szCs w:val="17"/>
      </w:rPr>
    </w:pPr>
    <w:r>
      <w:rPr>
        <w:rFonts w:ascii="Calibri" w:hAnsi="Calibri" w:eastAsia="Calibri" w:cs="Calibri"/>
        <w:spacing w:val="-1"/>
        <w:sz w:val="17"/>
        <w:szCs w:val="17"/>
      </w:rPr>
      <w:t>2</w:t>
    </w:r>
    <w:r>
      <w:rPr>
        <w:rFonts w:ascii="Calibri" w:hAnsi="Calibri" w:eastAsia="Calibri" w:cs="Calibri"/>
        <w:sz w:val="17"/>
        <w:szCs w:val="17"/>
      </w:rPr>
      <w:t>3</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1F3AF">
    <w:pPr>
      <w:spacing w:line="188" w:lineRule="auto"/>
      <w:ind w:left="4774"/>
      <w:rPr>
        <w:rFonts w:ascii="Calibri" w:hAnsi="Calibri" w:eastAsia="Calibri" w:cs="Calibri"/>
        <w:sz w:val="17"/>
        <w:szCs w:val="17"/>
      </w:rPr>
    </w:pPr>
    <w:r>
      <w:rPr>
        <w:rFonts w:ascii="Calibri" w:hAnsi="Calibri" w:eastAsia="Calibri" w:cs="Calibri"/>
        <w:spacing w:val="-1"/>
        <w:sz w:val="17"/>
        <w:szCs w:val="17"/>
      </w:rPr>
      <w:t>2</w:t>
    </w:r>
    <w:r>
      <w:rPr>
        <w:rFonts w:ascii="Calibri" w:hAnsi="Calibri" w:eastAsia="Calibri" w:cs="Calibri"/>
        <w:sz w:val="17"/>
        <w:szCs w:val="17"/>
      </w:rPr>
      <w:t>4</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096C0">
    <w:pPr>
      <w:spacing w:line="188" w:lineRule="auto"/>
      <w:ind w:left="4774"/>
      <w:rPr>
        <w:rFonts w:ascii="Calibri" w:hAnsi="Calibri" w:eastAsia="Calibri" w:cs="Calibri"/>
        <w:sz w:val="17"/>
        <w:szCs w:val="17"/>
      </w:rPr>
    </w:pPr>
    <w:r>
      <w:rPr>
        <w:rFonts w:ascii="Calibri" w:hAnsi="Calibri" w:eastAsia="Calibri" w:cs="Calibri"/>
        <w:spacing w:val="-1"/>
        <w:sz w:val="17"/>
        <w:szCs w:val="17"/>
      </w:rPr>
      <w:t>2</w:t>
    </w:r>
    <w:r>
      <w:rPr>
        <w:rFonts w:ascii="Calibri" w:hAnsi="Calibri" w:eastAsia="Calibri" w:cs="Calibri"/>
        <w:sz w:val="17"/>
        <w:szCs w:val="17"/>
      </w:rPr>
      <w:t>5</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6FEA2">
    <w:pPr>
      <w:spacing w:line="188" w:lineRule="auto"/>
      <w:ind w:left="4261"/>
      <w:rPr>
        <w:rFonts w:ascii="Calibri" w:hAnsi="Calibri" w:eastAsia="Calibri" w:cs="Calibri"/>
        <w:sz w:val="17"/>
        <w:szCs w:val="17"/>
      </w:rPr>
    </w:pPr>
    <w:r>
      <w:rPr>
        <w:rFonts w:ascii="Calibri" w:hAnsi="Calibri" w:eastAsia="Calibri" w:cs="Calibri"/>
        <w:spacing w:val="-1"/>
        <w:sz w:val="17"/>
        <w:szCs w:val="17"/>
      </w:rPr>
      <w:t>2</w:t>
    </w:r>
    <w:r>
      <w:rPr>
        <w:rFonts w:ascii="Calibri" w:hAnsi="Calibri" w:eastAsia="Calibri" w:cs="Calibri"/>
        <w:sz w:val="17"/>
        <w:szCs w:val="17"/>
      </w:rPr>
      <w:t>6</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67B2E">
    <w:pPr>
      <w:spacing w:line="188" w:lineRule="auto"/>
      <w:ind w:left="4261"/>
      <w:rPr>
        <w:rFonts w:ascii="Calibri" w:hAnsi="Calibri" w:eastAsia="Calibri" w:cs="Calibri"/>
        <w:sz w:val="17"/>
        <w:szCs w:val="17"/>
      </w:rPr>
    </w:pPr>
    <w:r>
      <w:rPr>
        <w:rFonts w:ascii="Calibri" w:hAnsi="Calibri" w:eastAsia="Calibri" w:cs="Calibri"/>
        <w:spacing w:val="-1"/>
        <w:sz w:val="17"/>
        <w:szCs w:val="17"/>
      </w:rPr>
      <w:t>2</w:t>
    </w:r>
    <w:r>
      <w:rPr>
        <w:rFonts w:ascii="Calibri" w:hAnsi="Calibri" w:eastAsia="Calibri" w:cs="Calibri"/>
        <w:sz w:val="17"/>
        <w:szCs w:val="17"/>
      </w:rPr>
      <w:t>7</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4E537">
    <w:pPr>
      <w:spacing w:line="188" w:lineRule="auto"/>
      <w:ind w:left="4263"/>
      <w:rPr>
        <w:rFonts w:ascii="Calibri" w:hAnsi="Calibri" w:eastAsia="Calibri" w:cs="Calibri"/>
        <w:sz w:val="17"/>
        <w:szCs w:val="17"/>
      </w:rPr>
    </w:pPr>
    <w:r>
      <w:rPr>
        <w:rFonts w:ascii="Calibri" w:hAnsi="Calibri" w:eastAsia="Calibri" w:cs="Calibri"/>
        <w:spacing w:val="-1"/>
        <w:sz w:val="17"/>
        <w:szCs w:val="17"/>
      </w:rPr>
      <w:t>2</w:t>
    </w:r>
    <w:r>
      <w:rPr>
        <w:rFonts w:ascii="Calibri" w:hAnsi="Calibri" w:eastAsia="Calibri" w:cs="Calibri"/>
        <w:sz w:val="17"/>
        <w:szCs w:val="17"/>
      </w:rPr>
      <w:t>8</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4BE30">
    <w:pPr>
      <w:spacing w:line="188" w:lineRule="auto"/>
      <w:ind w:left="4261"/>
      <w:rPr>
        <w:rFonts w:ascii="Calibri" w:hAnsi="Calibri" w:eastAsia="Calibri" w:cs="Calibri"/>
        <w:sz w:val="17"/>
        <w:szCs w:val="17"/>
      </w:rPr>
    </w:pPr>
    <w:r>
      <w:rPr>
        <w:rFonts w:ascii="Calibri" w:hAnsi="Calibri" w:eastAsia="Calibri" w:cs="Calibri"/>
        <w:spacing w:val="-1"/>
        <w:sz w:val="17"/>
        <w:szCs w:val="17"/>
      </w:rPr>
      <w:t>2</w:t>
    </w:r>
    <w:r>
      <w:rPr>
        <w:rFonts w:ascii="Calibri" w:hAnsi="Calibri" w:eastAsia="Calibri" w:cs="Calibri"/>
        <w:sz w:val="17"/>
        <w:szCs w:val="17"/>
      </w:rPr>
      <w:t>9</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CFC37">
    <w:pPr>
      <w:spacing w:line="188" w:lineRule="auto"/>
      <w:ind w:left="4260"/>
      <w:rPr>
        <w:rFonts w:ascii="Calibri" w:hAnsi="Calibri" w:eastAsia="Calibri" w:cs="Calibri"/>
        <w:sz w:val="17"/>
        <w:szCs w:val="17"/>
      </w:rPr>
    </w:pPr>
    <w:r>
      <w:rPr>
        <w:rFonts w:ascii="Calibri" w:hAnsi="Calibri" w:eastAsia="Calibri" w:cs="Calibri"/>
        <w:sz w:val="17"/>
        <w:szCs w:val="17"/>
      </w:rPr>
      <w:t>30</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1489E">
    <w:pPr>
      <w:spacing w:line="188" w:lineRule="auto"/>
      <w:ind w:left="4260"/>
      <w:rPr>
        <w:rFonts w:ascii="Calibri" w:hAnsi="Calibri" w:eastAsia="Calibri" w:cs="Calibri"/>
        <w:sz w:val="17"/>
        <w:szCs w:val="17"/>
      </w:rPr>
    </w:pPr>
    <w:r>
      <w:rPr>
        <w:rFonts w:ascii="Calibri" w:hAnsi="Calibri" w:eastAsia="Calibri" w:cs="Calibri"/>
        <w:sz w:val="17"/>
        <w:szCs w:val="17"/>
      </w:rPr>
      <w:t>31</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5A412">
    <w:pPr>
      <w:spacing w:line="188" w:lineRule="auto"/>
      <w:ind w:left="4368"/>
      <w:rPr>
        <w:rFonts w:ascii="Calibri" w:hAnsi="Calibri" w:eastAsia="Calibri" w:cs="Calibri"/>
        <w:sz w:val="17"/>
        <w:szCs w:val="17"/>
      </w:rPr>
    </w:pPr>
    <w:r>
      <w:rPr>
        <w:rFonts w:ascii="Calibri" w:hAnsi="Calibri" w:eastAsia="Calibri" w:cs="Calibri"/>
        <w:sz w:val="17"/>
        <w:szCs w:val="17"/>
      </w:rPr>
      <w:t>32</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8ECB9">
    <w:pPr>
      <w:spacing w:line="188" w:lineRule="auto"/>
      <w:ind w:left="4262"/>
      <w:rPr>
        <w:rFonts w:ascii="Calibri" w:hAnsi="Calibri" w:eastAsia="Calibri" w:cs="Calibri"/>
        <w:sz w:val="17"/>
        <w:szCs w:val="17"/>
      </w:rPr>
    </w:pPr>
    <w:r>
      <w:rPr>
        <w:rFonts w:ascii="Calibri" w:hAnsi="Calibri" w:eastAsia="Calibri" w:cs="Calibri"/>
        <w:sz w:val="17"/>
        <w:szCs w:val="17"/>
      </w:rPr>
      <w:t>33</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FA1E6">
    <w:pPr>
      <w:spacing w:line="188" w:lineRule="auto"/>
      <w:ind w:left="4414"/>
      <w:rPr>
        <w:rFonts w:ascii="Calibri" w:hAnsi="Calibri" w:eastAsia="Calibri" w:cs="Calibri"/>
        <w:sz w:val="17"/>
        <w:szCs w:val="17"/>
      </w:rPr>
    </w:pPr>
    <w:r>
      <w:rPr>
        <w:rFonts w:ascii="Calibri" w:hAnsi="Calibri" w:eastAsia="Calibri" w:cs="Calibri"/>
        <w:sz w:val="17"/>
        <w:szCs w:val="17"/>
      </w:rPr>
      <w:t>34</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FB389">
    <w:pPr>
      <w:spacing w:line="194" w:lineRule="auto"/>
      <w:ind w:left="480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z w:val="20"/>
        <w:szCs w:val="20"/>
      </w:rPr>
      <w:t>5</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22407">
    <w:pPr>
      <w:spacing w:line="194" w:lineRule="auto"/>
      <w:ind w:left="480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z w:val="20"/>
        <w:szCs w:val="20"/>
      </w:rPr>
      <w:t>6</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644D8">
    <w:pPr>
      <w:spacing w:line="194" w:lineRule="auto"/>
      <w:ind w:left="480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z w:val="20"/>
        <w:szCs w:val="20"/>
      </w:rPr>
      <w:t>7</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3A422">
    <w:pPr>
      <w:spacing w:line="194" w:lineRule="auto"/>
      <w:ind w:left="475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z w:val="20"/>
        <w:szCs w:val="20"/>
      </w:rPr>
      <w:t>8</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D4FE8">
    <w:pPr>
      <w:spacing w:line="194" w:lineRule="auto"/>
      <w:ind w:left="475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z w:val="20"/>
        <w:szCs w:val="20"/>
      </w:rPr>
      <w:t>9</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EADC7">
    <w:pPr>
      <w:spacing w:line="194" w:lineRule="auto"/>
      <w:ind w:left="46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F9AAF">
    <w:pPr>
      <w:spacing w:line="194" w:lineRule="auto"/>
      <w:ind w:left="46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41</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5BD6C">
    <w:pPr>
      <w:spacing w:line="194" w:lineRule="auto"/>
      <w:ind w:left="46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42</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21A02">
    <w:pPr>
      <w:spacing w:line="194" w:lineRule="auto"/>
      <w:ind w:left="46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43</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2B9E2">
    <w:pPr>
      <w:spacing w:line="194" w:lineRule="auto"/>
      <w:ind w:left="47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44</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235F7">
    <w:pPr>
      <w:spacing w:line="194" w:lineRule="auto"/>
      <w:ind w:left="46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45</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ACC27">
    <w:pPr>
      <w:spacing w:line="194" w:lineRule="auto"/>
      <w:ind w:left="46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46</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CE95B">
    <w:pPr>
      <w:spacing w:line="194" w:lineRule="auto"/>
      <w:ind w:left="46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47</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A8D05">
    <w:pPr>
      <w:spacing w:line="194" w:lineRule="auto"/>
      <w:ind w:left="46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48</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1E7D0">
    <w:pPr>
      <w:spacing w:line="194" w:lineRule="auto"/>
      <w:ind w:left="46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C06D8">
    <w:pPr>
      <w:spacing w:line="194" w:lineRule="auto"/>
      <w:ind w:left="4760"/>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26987">
    <w:pPr>
      <w:spacing w:line="194" w:lineRule="auto"/>
      <w:ind w:left="4652"/>
      <w:rPr>
        <w:rFonts w:ascii="Times New Roman" w:hAnsi="Times New Roman" w:eastAsia="Times New Roman" w:cs="Times New Roman"/>
        <w:sz w:val="20"/>
        <w:szCs w:val="20"/>
      </w:rPr>
    </w:pPr>
    <w:r>
      <w:rPr>
        <w:rFonts w:ascii="Times New Roman" w:hAnsi="Times New Roman" w:eastAsia="Times New Roman" w:cs="Times New Roman"/>
        <w:sz w:val="20"/>
        <w:szCs w:val="20"/>
      </w:rPr>
      <w:t>51</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BB421">
    <w:pPr>
      <w:spacing w:line="194" w:lineRule="auto"/>
      <w:ind w:left="4652"/>
      <w:rPr>
        <w:rFonts w:ascii="Times New Roman" w:hAnsi="Times New Roman" w:eastAsia="Times New Roman" w:cs="Times New Roman"/>
        <w:sz w:val="20"/>
        <w:szCs w:val="20"/>
      </w:rPr>
    </w:pPr>
    <w:r>
      <w:rPr>
        <w:rFonts w:ascii="Times New Roman" w:hAnsi="Times New Roman" w:eastAsia="Times New Roman" w:cs="Times New Roman"/>
        <w:sz w:val="20"/>
        <w:szCs w:val="20"/>
      </w:rPr>
      <w:t>52</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95AEE">
    <w:pPr>
      <w:spacing w:line="194" w:lineRule="auto"/>
      <w:ind w:left="4652"/>
      <w:rPr>
        <w:rFonts w:ascii="Times New Roman" w:hAnsi="Times New Roman" w:eastAsia="Times New Roman" w:cs="Times New Roman"/>
        <w:sz w:val="20"/>
        <w:szCs w:val="20"/>
      </w:rPr>
    </w:pPr>
    <w:r>
      <w:rPr>
        <w:rFonts w:ascii="Times New Roman" w:hAnsi="Times New Roman" w:eastAsia="Times New Roman" w:cs="Times New Roman"/>
        <w:sz w:val="20"/>
        <w:szCs w:val="20"/>
      </w:rPr>
      <w:t>53</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1D5CC">
    <w:pPr>
      <w:spacing w:line="194" w:lineRule="auto"/>
      <w:ind w:left="4652"/>
      <w:rPr>
        <w:rFonts w:ascii="Times New Roman" w:hAnsi="Times New Roman" w:eastAsia="Times New Roman" w:cs="Times New Roman"/>
        <w:sz w:val="20"/>
        <w:szCs w:val="20"/>
      </w:rPr>
    </w:pPr>
    <w:r>
      <w:rPr>
        <w:rFonts w:ascii="Times New Roman" w:hAnsi="Times New Roman" w:eastAsia="Times New Roman" w:cs="Times New Roman"/>
        <w:sz w:val="20"/>
        <w:szCs w:val="20"/>
      </w:rPr>
      <w:t>54</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1421C">
    <w:pPr>
      <w:spacing w:line="191" w:lineRule="auto"/>
      <w:ind w:left="4652"/>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8F23E">
    <w:pPr>
      <w:spacing w:line="194" w:lineRule="auto"/>
      <w:ind w:left="4652"/>
      <w:rPr>
        <w:rFonts w:ascii="Times New Roman" w:hAnsi="Times New Roman" w:eastAsia="Times New Roman" w:cs="Times New Roman"/>
        <w:sz w:val="20"/>
        <w:szCs w:val="20"/>
      </w:rPr>
    </w:pPr>
    <w:r>
      <w:rPr>
        <w:rFonts w:ascii="Times New Roman" w:hAnsi="Times New Roman" w:eastAsia="Times New Roman" w:cs="Times New Roman"/>
        <w:sz w:val="20"/>
        <w:szCs w:val="20"/>
      </w:rPr>
      <w:t>56</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3F278">
    <w:pPr>
      <w:spacing w:line="191" w:lineRule="auto"/>
      <w:ind w:left="4652"/>
      <w:rPr>
        <w:rFonts w:ascii="Times New Roman" w:hAnsi="Times New Roman" w:eastAsia="Times New Roman" w:cs="Times New Roman"/>
        <w:sz w:val="20"/>
        <w:szCs w:val="20"/>
      </w:rPr>
    </w:pPr>
    <w:r>
      <w:rPr>
        <w:rFonts w:ascii="Times New Roman" w:hAnsi="Times New Roman" w:eastAsia="Times New Roman" w:cs="Times New Roman"/>
        <w:sz w:val="20"/>
        <w:szCs w:val="20"/>
      </w:rPr>
      <w:t>57</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8C569">
    <w:pPr>
      <w:spacing w:line="194" w:lineRule="auto"/>
      <w:ind w:left="4652"/>
      <w:rPr>
        <w:rFonts w:ascii="Times New Roman" w:hAnsi="Times New Roman" w:eastAsia="Times New Roman" w:cs="Times New Roman"/>
        <w:sz w:val="20"/>
        <w:szCs w:val="20"/>
      </w:rPr>
    </w:pPr>
    <w:r>
      <w:rPr>
        <w:rFonts w:ascii="Times New Roman" w:hAnsi="Times New Roman" w:eastAsia="Times New Roman" w:cs="Times New Roman"/>
        <w:sz w:val="20"/>
        <w:szCs w:val="20"/>
      </w:rPr>
      <w:t>58</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D3E0C">
    <w:pPr>
      <w:spacing w:line="194" w:lineRule="auto"/>
      <w:ind w:left="4652"/>
      <w:rPr>
        <w:rFonts w:ascii="Times New Roman" w:hAnsi="Times New Roman" w:eastAsia="Times New Roman" w:cs="Times New Roman"/>
        <w:sz w:val="20"/>
        <w:szCs w:val="20"/>
      </w:rPr>
    </w:pPr>
    <w:r>
      <w:rPr>
        <w:rFonts w:ascii="Times New Roman" w:hAnsi="Times New Roman" w:eastAsia="Times New Roman" w:cs="Times New Roman"/>
        <w:sz w:val="20"/>
        <w:szCs w:val="20"/>
      </w:rPr>
      <w:t>59</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CF6F1">
    <w:pPr>
      <w:spacing w:line="194" w:lineRule="auto"/>
      <w:ind w:left="476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0</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440BA">
    <w:pPr>
      <w:spacing w:line="194" w:lineRule="auto"/>
      <w:ind w:left="47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1</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9395D">
    <w:pPr>
      <w:spacing w:line="194" w:lineRule="auto"/>
      <w:ind w:left="47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2</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6B169">
    <w:pPr>
      <w:spacing w:line="194" w:lineRule="auto"/>
      <w:ind w:left="465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3</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BAE22">
    <w:pPr>
      <w:spacing w:line="194" w:lineRule="auto"/>
      <w:ind w:left="465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4</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664DB">
    <w:pPr>
      <w:spacing w:line="194" w:lineRule="auto"/>
      <w:ind w:left="47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5</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75117">
    <w:pPr>
      <w:spacing w:line="194" w:lineRule="auto"/>
      <w:ind w:left="473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6</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49C9F">
    <w:pPr>
      <w:spacing w:line="194" w:lineRule="auto"/>
      <w:ind w:left="465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7</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6EE5B">
    <w:pPr>
      <w:spacing w:line="194" w:lineRule="auto"/>
      <w:ind w:left="465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8</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99135">
    <w:pPr>
      <w:spacing w:line="194" w:lineRule="auto"/>
      <w:ind w:left="47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z w:val="20"/>
        <w:szCs w:val="20"/>
      </w:rPr>
      <w:t>9</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A91A3">
    <w:pPr>
      <w:spacing w:line="194" w:lineRule="auto"/>
      <w:ind w:left="475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70</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1544D">
    <w:pPr>
      <w:spacing w:line="194" w:lineRule="auto"/>
      <w:ind w:left="465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71</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B66C1">
    <w:pPr>
      <w:spacing w:line="194" w:lineRule="auto"/>
      <w:ind w:left="475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72</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B3671">
    <w:pPr>
      <w:spacing w:line="194" w:lineRule="auto"/>
      <w:ind w:left="475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73</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38DB2">
    <w:pPr>
      <w:spacing w:line="194" w:lineRule="auto"/>
      <w:ind w:left="465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74</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4F7AE">
    <w:pPr>
      <w:spacing w:line="191" w:lineRule="auto"/>
      <w:ind w:left="465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75</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F3F5B">
    <w:pPr>
      <w:spacing w:line="194" w:lineRule="auto"/>
      <w:ind w:left="475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76</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6D5B5">
    <w:pPr>
      <w:spacing w:line="191" w:lineRule="auto"/>
      <w:ind w:left="465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77</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0A420">
    <w:pPr>
      <w:spacing w:line="194" w:lineRule="auto"/>
      <w:ind w:left="751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78</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ECBDE">
    <w:pPr>
      <w:spacing w:line="194" w:lineRule="auto"/>
      <w:ind w:left="751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79</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FF493">
    <w:pPr>
      <w:spacing w:line="194" w:lineRule="auto"/>
      <w:ind w:left="423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w:t>
    </w:r>
    <w:r>
      <w:rPr>
        <w:rFonts w:ascii="Times New Roman" w:hAnsi="Times New Roman" w:eastAsia="Times New Roman" w:cs="Times New Roman"/>
        <w:spacing w:val="-1"/>
        <w:sz w:val="20"/>
        <w:szCs w:val="20"/>
      </w:rPr>
      <w:t>0</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CE5B3">
    <w:pPr>
      <w:spacing w:line="194" w:lineRule="auto"/>
      <w:ind w:left="423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w:t>
    </w:r>
    <w:r>
      <w:rPr>
        <w:rFonts w:ascii="Times New Roman" w:hAnsi="Times New Roman" w:eastAsia="Times New Roman" w:cs="Times New Roman"/>
        <w:spacing w:val="-1"/>
        <w:sz w:val="20"/>
        <w:szCs w:val="20"/>
      </w:rPr>
      <w:t>1</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B4124">
    <w:pPr>
      <w:spacing w:line="194" w:lineRule="auto"/>
      <w:ind w:left="423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w:t>
    </w:r>
    <w:r>
      <w:rPr>
        <w:rFonts w:ascii="Times New Roman" w:hAnsi="Times New Roman" w:eastAsia="Times New Roman" w:cs="Times New Roman"/>
        <w:spacing w:val="-1"/>
        <w:sz w:val="20"/>
        <w:szCs w:val="20"/>
      </w:rPr>
      <w:t>2</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2A822">
    <w:pPr>
      <w:spacing w:line="194" w:lineRule="auto"/>
      <w:ind w:left="455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w:t>
    </w:r>
    <w:r>
      <w:rPr>
        <w:rFonts w:ascii="Times New Roman" w:hAnsi="Times New Roman" w:eastAsia="Times New Roman" w:cs="Times New Roman"/>
        <w:spacing w:val="-1"/>
        <w:sz w:val="20"/>
        <w:szCs w:val="20"/>
      </w:rPr>
      <w:t>3</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D26EC">
    <w:pPr>
      <w:spacing w:line="194" w:lineRule="auto"/>
      <w:ind w:left="455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w:t>
    </w:r>
    <w:r>
      <w:rPr>
        <w:rFonts w:ascii="Times New Roman" w:hAnsi="Times New Roman" w:eastAsia="Times New Roman" w:cs="Times New Roman"/>
        <w:spacing w:val="-1"/>
        <w:sz w:val="20"/>
        <w:szCs w:val="20"/>
      </w:rPr>
      <w:t>4</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429B1">
    <w:pPr>
      <w:spacing w:line="194" w:lineRule="auto"/>
      <w:ind w:left="434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w:t>
    </w:r>
    <w:r>
      <w:rPr>
        <w:rFonts w:ascii="Times New Roman" w:hAnsi="Times New Roman" w:eastAsia="Times New Roman" w:cs="Times New Roman"/>
        <w:spacing w:val="-1"/>
        <w:sz w:val="20"/>
        <w:szCs w:val="20"/>
      </w:rPr>
      <w:t>5</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DCACC">
    <w:pPr>
      <w:spacing w:line="194" w:lineRule="auto"/>
      <w:ind w:left="454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w:t>
    </w:r>
    <w:r>
      <w:rPr>
        <w:rFonts w:ascii="Times New Roman" w:hAnsi="Times New Roman" w:eastAsia="Times New Roman" w:cs="Times New Roman"/>
        <w:spacing w:val="-1"/>
        <w:sz w:val="20"/>
        <w:szCs w:val="20"/>
      </w:rPr>
      <w:t>6</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2ADAF">
    <w:pPr>
      <w:spacing w:line="194" w:lineRule="auto"/>
      <w:ind w:left="434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w:t>
    </w:r>
    <w:r>
      <w:rPr>
        <w:rFonts w:ascii="Times New Roman" w:hAnsi="Times New Roman" w:eastAsia="Times New Roman" w:cs="Times New Roman"/>
        <w:spacing w:val="-1"/>
        <w:sz w:val="20"/>
        <w:szCs w:val="20"/>
      </w:rPr>
      <w:t>7</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1924C">
    <w:pPr>
      <w:spacing w:line="194" w:lineRule="auto"/>
      <w:ind w:left="476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w:t>
    </w:r>
    <w:r>
      <w:rPr>
        <w:rFonts w:ascii="Times New Roman" w:hAnsi="Times New Roman" w:eastAsia="Times New Roman" w:cs="Times New Roman"/>
        <w:spacing w:val="-1"/>
        <w:sz w:val="20"/>
        <w:szCs w:val="20"/>
      </w:rPr>
      <w:t>8</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5A8BF">
    <w:pPr>
      <w:spacing w:line="194" w:lineRule="auto"/>
      <w:ind w:left="446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w:t>
    </w:r>
    <w:r>
      <w:rPr>
        <w:rFonts w:ascii="Times New Roman" w:hAnsi="Times New Roman" w:eastAsia="Times New Roman" w:cs="Times New Roman"/>
        <w:spacing w:val="-1"/>
        <w:sz w:val="20"/>
        <w:szCs w:val="20"/>
      </w:rPr>
      <w:t>9</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7FF4D">
    <w:pPr>
      <w:spacing w:line="194" w:lineRule="auto"/>
      <w:ind w:left="434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w:t>
    </w:r>
    <w:r>
      <w:rPr>
        <w:rFonts w:ascii="Times New Roman" w:hAnsi="Times New Roman" w:eastAsia="Times New Roman" w:cs="Times New Roman"/>
        <w:sz w:val="20"/>
        <w:szCs w:val="20"/>
      </w:rPr>
      <w:t>0</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9A042">
    <w:pPr>
      <w:spacing w:line="194" w:lineRule="auto"/>
      <w:ind w:left="434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w:t>
    </w:r>
    <w:r>
      <w:rPr>
        <w:rFonts w:ascii="Times New Roman" w:hAnsi="Times New Roman" w:eastAsia="Times New Roman" w:cs="Times New Roman"/>
        <w:sz w:val="20"/>
        <w:szCs w:val="20"/>
      </w:rPr>
      <w:t>1</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DDC00">
    <w:pPr>
      <w:spacing w:line="194" w:lineRule="auto"/>
      <w:ind w:left="454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w:t>
    </w:r>
    <w:r>
      <w:rPr>
        <w:rFonts w:ascii="Times New Roman" w:hAnsi="Times New Roman" w:eastAsia="Times New Roman" w:cs="Times New Roman"/>
        <w:sz w:val="20"/>
        <w:szCs w:val="20"/>
      </w:rPr>
      <w:t>2</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B8120">
    <w:pPr>
      <w:spacing w:line="194" w:lineRule="auto"/>
      <w:ind w:left="434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w:t>
    </w:r>
    <w:r>
      <w:rPr>
        <w:rFonts w:ascii="Times New Roman" w:hAnsi="Times New Roman" w:eastAsia="Times New Roman" w:cs="Times New Roman"/>
        <w:sz w:val="20"/>
        <w:szCs w:val="20"/>
      </w:rPr>
      <w:t>3</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E89C5">
    <w:pPr>
      <w:spacing w:line="194" w:lineRule="auto"/>
      <w:ind w:left="434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w:t>
    </w:r>
    <w:r>
      <w:rPr>
        <w:rFonts w:ascii="Times New Roman" w:hAnsi="Times New Roman" w:eastAsia="Times New Roman" w:cs="Times New Roman"/>
        <w:sz w:val="20"/>
        <w:szCs w:val="20"/>
      </w:rPr>
      <w:t>4</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C8ABD">
    <w:pPr>
      <w:spacing w:line="194" w:lineRule="auto"/>
      <w:ind w:left="423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w:t>
    </w:r>
    <w:r>
      <w:rPr>
        <w:rFonts w:ascii="Times New Roman" w:hAnsi="Times New Roman" w:eastAsia="Times New Roman" w:cs="Times New Roman"/>
        <w:sz w:val="20"/>
        <w:szCs w:val="20"/>
      </w:rPr>
      <w:t>5</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24A8D">
    <w:pPr>
      <w:spacing w:line="194" w:lineRule="auto"/>
      <w:ind w:left="423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w:t>
    </w:r>
    <w:r>
      <w:rPr>
        <w:rFonts w:ascii="Times New Roman" w:hAnsi="Times New Roman" w:eastAsia="Times New Roman" w:cs="Times New Roman"/>
        <w:sz w:val="20"/>
        <w:szCs w:val="20"/>
      </w:rPr>
      <w:t>6</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80199">
    <w:pPr>
      <w:spacing w:line="194" w:lineRule="auto"/>
      <w:ind w:left="465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w:t>
    </w:r>
    <w:r>
      <w:rPr>
        <w:rFonts w:ascii="Times New Roman" w:hAnsi="Times New Roman" w:eastAsia="Times New Roman" w:cs="Times New Roman"/>
        <w:sz w:val="20"/>
        <w:szCs w:val="20"/>
      </w:rPr>
      <w:t>7</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90546">
    <w:pPr>
      <w:spacing w:line="194" w:lineRule="auto"/>
      <w:ind w:left="475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w:t>
    </w:r>
    <w:r>
      <w:rPr>
        <w:rFonts w:ascii="Times New Roman" w:hAnsi="Times New Roman" w:eastAsia="Times New Roman" w:cs="Times New Roman"/>
        <w:sz w:val="20"/>
        <w:szCs w:val="20"/>
      </w:rPr>
      <w:t>8</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325DF">
    <w:pPr>
      <w:spacing w:line="194" w:lineRule="auto"/>
      <w:ind w:left="475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w:t>
    </w:r>
    <w:r>
      <w:rPr>
        <w:rFonts w:ascii="Times New Roman" w:hAnsi="Times New Roman" w:eastAsia="Times New Roman" w:cs="Times New Roman"/>
        <w:sz w:val="20"/>
        <w:szCs w:val="20"/>
      </w:rPr>
      <w:t>9</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93E0E">
    <w:pPr>
      <w:spacing w:line="194" w:lineRule="auto"/>
      <w:ind w:left="472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A46EA">
    <w:pPr>
      <w:spacing w:line="194" w:lineRule="auto"/>
      <w:ind w:left="472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101</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3DE66">
    <w:pPr>
      <w:spacing w:line="194" w:lineRule="auto"/>
      <w:ind w:left="420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102</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7AAA1">
    <w:pPr>
      <w:spacing w:line="194" w:lineRule="auto"/>
      <w:ind w:left="420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103</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930E4">
    <w:pPr>
      <w:spacing w:line="194" w:lineRule="auto"/>
      <w:ind w:left="420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104</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E008B">
    <w:pPr>
      <w:spacing w:line="194" w:lineRule="auto"/>
      <w:ind w:left="472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105</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DE5BA">
    <w:pPr>
      <w:spacing w:line="194" w:lineRule="auto"/>
      <w:ind w:left="430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106</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1DD3C">
    <w:pPr>
      <w:spacing w:line="194" w:lineRule="auto"/>
      <w:ind w:left="448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107</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8298D">
    <w:pPr>
      <w:spacing w:line="194" w:lineRule="auto"/>
      <w:ind w:left="448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108</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AE83E">
    <w:pPr>
      <w:spacing w:line="14" w:lineRule="auto"/>
      <w:rPr>
        <w:sz w:val="2"/>
      </w:rPr>
    </w:pP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1FF78">
    <w:pPr>
      <w:spacing w:line="194" w:lineRule="auto"/>
      <w:ind w:left="4514"/>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5"/>
        <w:sz w:val="20"/>
        <w:szCs w:val="20"/>
      </w:rPr>
      <w:t>10</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49C18">
    <w:pPr>
      <w:spacing w:line="194" w:lineRule="auto"/>
      <w:ind w:left="4316"/>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6"/>
        <w:sz w:val="20"/>
        <w:szCs w:val="20"/>
      </w:rPr>
      <w:t>11</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B1D69">
    <w:pPr>
      <w:spacing w:line="194" w:lineRule="auto"/>
      <w:ind w:left="420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5"/>
        <w:sz w:val="20"/>
        <w:szCs w:val="20"/>
      </w:rPr>
      <w:t>12</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6F816">
    <w:pPr>
      <w:spacing w:line="194" w:lineRule="auto"/>
      <w:ind w:left="420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5"/>
        <w:sz w:val="20"/>
        <w:szCs w:val="20"/>
      </w:rPr>
      <w:t>13</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0CCAF">
    <w:pPr>
      <w:spacing w:line="194" w:lineRule="auto"/>
      <w:ind w:left="420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5"/>
        <w:sz w:val="20"/>
        <w:szCs w:val="20"/>
      </w:rPr>
      <w:t>14</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4F7C6">
    <w:pPr>
      <w:spacing w:line="194" w:lineRule="auto"/>
      <w:ind w:left="472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5"/>
        <w:sz w:val="20"/>
        <w:szCs w:val="20"/>
      </w:rPr>
      <w:t>15</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08FE2">
    <w:pPr>
      <w:spacing w:line="194" w:lineRule="auto"/>
      <w:ind w:left="472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5"/>
        <w:sz w:val="20"/>
        <w:szCs w:val="20"/>
      </w:rPr>
      <w:t>16</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02EA3">
    <w:pPr>
      <w:spacing w:line="194" w:lineRule="auto"/>
      <w:ind w:left="4311"/>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5"/>
        <w:sz w:val="20"/>
        <w:szCs w:val="20"/>
      </w:rPr>
      <w:t>17</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A6C53">
    <w:pPr>
      <w:spacing w:line="194" w:lineRule="auto"/>
      <w:ind w:left="4524"/>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5"/>
        <w:sz w:val="20"/>
        <w:szCs w:val="20"/>
      </w:rPr>
      <w:t>18</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4B53B">
    <w:pPr>
      <w:spacing w:line="194" w:lineRule="auto"/>
      <w:ind w:left="420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5"/>
        <w:sz w:val="20"/>
        <w:szCs w:val="20"/>
      </w:rPr>
      <w:t>19</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3EA27">
    <w:pPr>
      <w:spacing w:line="194" w:lineRule="auto"/>
      <w:ind w:left="420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120</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EB2ED">
    <w:pPr>
      <w:spacing w:line="194" w:lineRule="auto"/>
      <w:ind w:left="421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121</w: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A86DE">
    <w:pPr>
      <w:spacing w:line="194" w:lineRule="auto"/>
      <w:ind w:left="420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122</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9916">
    <w:pPr>
      <w:spacing w:line="194" w:lineRule="auto"/>
      <w:ind w:left="472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123</w: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877DD">
    <w:pPr>
      <w:spacing w:line="194" w:lineRule="auto"/>
      <w:ind w:left="420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124</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793BD">
    <w:pPr>
      <w:spacing w:line="194" w:lineRule="auto"/>
      <w:ind w:left="420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125</w: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783D2">
    <w:pPr>
      <w:spacing w:line="194" w:lineRule="auto"/>
      <w:ind w:left="420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126</w:t>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77C31">
    <w:pPr>
      <w:spacing w:line="194" w:lineRule="auto"/>
      <w:ind w:left="420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127</w:t>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AF5F7">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28</w:t>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E8F40">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29</w:t>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F0FE7">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30</w:t>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7C2B8">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31</w:t>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5EC13">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32</w:t>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40538">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33</w:t>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54591">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34</w:t>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1A829">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35</w:t>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52400">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36</w:t>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451C3">
    <w:pPr>
      <w:spacing w:line="188" w:lineRule="auto"/>
      <w:ind w:left="4739"/>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37</w:t>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DF7A3">
    <w:pPr>
      <w:spacing w:line="188" w:lineRule="auto"/>
      <w:ind w:left="4734"/>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38</w:t>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3C9F0">
    <w:pPr>
      <w:spacing w:line="188" w:lineRule="auto"/>
      <w:ind w:left="4734"/>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39</w:t>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DEAB6">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40</w:t>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EAE33">
    <w:pPr>
      <w:spacing w:line="186"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41</w:t>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96FAF">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42</w:t>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C59AA">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43</w:t>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D17E1">
    <w:pPr>
      <w:spacing w:line="186"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44</w:t>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A6D84">
    <w:pPr>
      <w:spacing w:line="186"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45</w:t>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678">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46</w:t>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1F4F0">
    <w:pPr>
      <w:spacing w:line="186" w:lineRule="auto"/>
      <w:ind w:left="4734"/>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47</w:t>
    </w: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B263B">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48</w:t>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CEF92">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49</w:t>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2F8D4">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50</w:t>
    </w: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89CFE">
    <w:pPr>
      <w:spacing w:line="186"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51</w:t>
    </w:r>
  </w:p>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7C39A">
    <w:pPr>
      <w:spacing w:line="188" w:lineRule="auto"/>
      <w:ind w:left="4688"/>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52</w:t>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C7257">
    <w:pPr>
      <w:spacing w:line="188" w:lineRule="auto"/>
      <w:ind w:left="4688"/>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53</w:t>
    </w: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D0ABD">
    <w:pPr>
      <w:spacing w:line="186" w:lineRule="auto"/>
      <w:ind w:left="4734"/>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54</w:t>
    </w: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9A060">
    <w:pPr>
      <w:spacing w:line="186"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55</w:t>
    </w:r>
  </w:p>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C0197">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56</w:t>
    </w: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593E3">
    <w:pPr>
      <w:spacing w:line="186" w:lineRule="auto"/>
      <w:ind w:left="4734"/>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57</w:t>
    </w:r>
  </w:p>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A24E0">
    <w:pPr>
      <w:spacing w:line="188" w:lineRule="auto"/>
      <w:ind w:left="4734"/>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58</w:t>
    </w: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88B16">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59</w:t>
    </w:r>
  </w:p>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02F21">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60</w:t>
    </w:r>
  </w:p>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B2FF6">
    <w:pPr>
      <w:spacing w:line="188" w:lineRule="auto"/>
      <w:ind w:left="4734"/>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61</w:t>
    </w:r>
  </w:p>
</w:ftr>
</file>

<file path=word/footer1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2D85A">
    <w:pPr>
      <w:spacing w:line="188" w:lineRule="auto"/>
      <w:ind w:left="4819"/>
      <w:rPr>
        <w:rFonts w:ascii="Calibri" w:hAnsi="Calibri" w:eastAsia="Calibri" w:cs="Calibri"/>
        <w:sz w:val="17"/>
        <w:szCs w:val="17"/>
      </w:rPr>
    </w:pPr>
    <w:r>
      <w:rPr>
        <w:rFonts w:ascii="Calibri" w:hAnsi="Calibri" w:eastAsia="Calibri" w:cs="Calibri"/>
        <w:sz w:val="17"/>
        <w:szCs w:val="17"/>
      </w:rPr>
      <w:t>6</w:t>
    </w:r>
  </w:p>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B56C4">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63</w:t>
    </w:r>
  </w:p>
</w:ftr>
</file>

<file path=word/footer1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36EDF">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64</w:t>
    </w:r>
  </w:p>
</w:ftr>
</file>

<file path=word/footer1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24475">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65</w:t>
    </w:r>
  </w:p>
</w:ftr>
</file>

<file path=word/footer1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25571">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66</w:t>
    </w:r>
  </w:p>
</w:ftr>
</file>

<file path=word/footer1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073CD">
    <w:pPr>
      <w:spacing w:line="188" w:lineRule="auto"/>
      <w:ind w:left="4734"/>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67</w:t>
    </w:r>
  </w:p>
</w:ftr>
</file>

<file path=word/footer1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BBA26">
    <w:pPr>
      <w:spacing w:line="188" w:lineRule="auto"/>
      <w:ind w:left="4734"/>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68</w:t>
    </w:r>
  </w:p>
</w:ftr>
</file>

<file path=word/footer1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3D40C">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69</w:t>
    </w:r>
  </w:p>
</w:ftr>
</file>

<file path=word/footer1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6D3DA">
    <w:pPr>
      <w:spacing w:line="188" w:lineRule="auto"/>
      <w:ind w:left="4734"/>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70</w:t>
    </w:r>
  </w:p>
</w:ftr>
</file>

<file path=word/footer1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03B3D">
    <w:pPr>
      <w:spacing w:line="186"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71</w:t>
    </w:r>
  </w:p>
</w:ftr>
</file>

<file path=word/footer1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0AB07">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72</w:t>
    </w:r>
  </w:p>
</w:ftr>
</file>

<file path=word/footer1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42E93">
    <w:pPr>
      <w:spacing w:line="188" w:lineRule="auto"/>
      <w:ind w:left="4769"/>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73</w:t>
    </w:r>
  </w:p>
</w:ftr>
</file>

<file path=word/footer1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56C29">
    <w:pPr>
      <w:spacing w:line="186" w:lineRule="auto"/>
      <w:ind w:left="4769"/>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74</w:t>
    </w:r>
  </w:p>
</w:ftr>
</file>

<file path=word/footer1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71C12">
    <w:pPr>
      <w:spacing w:line="186"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75</w:t>
    </w:r>
  </w:p>
</w:ftr>
</file>

<file path=word/footer1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C506B">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76</w:t>
    </w:r>
  </w:p>
</w:ftr>
</file>

<file path=word/footer1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B5AB2">
    <w:pPr>
      <w:spacing w:line="186"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77</w:t>
    </w:r>
  </w:p>
</w:ftr>
</file>

<file path=word/footer1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B623F">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78</w:t>
    </w:r>
  </w:p>
</w:ftr>
</file>

<file path=word/footer1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DF8D1">
    <w:pPr>
      <w:spacing w:line="188" w:lineRule="auto"/>
      <w:ind w:left="4734"/>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79</w:t>
    </w:r>
  </w:p>
</w:ftr>
</file>

<file path=word/footer1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9C124">
    <w:pPr>
      <w:spacing w:line="188" w:lineRule="auto"/>
      <w:ind w:left="4734"/>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80</w:t>
    </w:r>
  </w:p>
</w:ftr>
</file>

<file path=word/footer1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F7456">
    <w:pPr>
      <w:spacing w:line="188" w:lineRule="auto"/>
      <w:ind w:left="4734"/>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81</w:t>
    </w:r>
  </w:p>
</w:ftr>
</file>

<file path=word/footer1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5573C">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82</w:t>
    </w:r>
  </w:p>
</w:ftr>
</file>

<file path=word/footer1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98968">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83</w:t>
    </w:r>
  </w:p>
</w:ftr>
</file>

<file path=word/footer1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C1CD8">
    <w:pPr>
      <w:spacing w:line="188" w:lineRule="auto"/>
      <w:ind w:left="4626"/>
      <w:rPr>
        <w:rFonts w:ascii="Calibri" w:hAnsi="Calibri" w:eastAsia="Calibri" w:cs="Calibri"/>
        <w:sz w:val="17"/>
        <w:szCs w:val="17"/>
      </w:rPr>
    </w:pPr>
    <w:r>
      <w:rPr>
        <w:rFonts w:ascii="Calibri" w:hAnsi="Calibri" w:eastAsia="Calibri" w:cs="Calibri"/>
        <w:spacing w:val="-1"/>
        <w:sz w:val="17"/>
        <w:szCs w:val="17"/>
      </w:rPr>
      <w:t>1</w:t>
    </w:r>
    <w:r>
      <w:rPr>
        <w:rFonts w:ascii="Calibri" w:hAnsi="Calibri" w:eastAsia="Calibri" w:cs="Calibri"/>
        <w:sz w:val="17"/>
        <w:szCs w:val="17"/>
      </w:rPr>
      <w:t>84</w:t>
    </w:r>
  </w:p>
</w:ftr>
</file>

<file path=word/footer1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73E0C">
    <w:pPr>
      <w:spacing w:line="196" w:lineRule="auto"/>
      <w:ind w:left="4634"/>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1</w:t>
    </w:r>
    <w:r>
      <w:rPr>
        <w:rFonts w:ascii="Times New Roman" w:hAnsi="Times New Roman" w:eastAsia="Times New Roman" w:cs="Times New Roman"/>
        <w:spacing w:val="-2"/>
        <w:sz w:val="17"/>
        <w:szCs w:val="17"/>
      </w:rPr>
      <w:t>85</w:t>
    </w:r>
  </w:p>
</w:ftr>
</file>

<file path=word/footer1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24605">
    <w:pPr>
      <w:spacing w:line="196" w:lineRule="auto"/>
      <w:ind w:left="4634"/>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1</w:t>
    </w:r>
    <w:r>
      <w:rPr>
        <w:rFonts w:ascii="Times New Roman" w:hAnsi="Times New Roman" w:eastAsia="Times New Roman" w:cs="Times New Roman"/>
        <w:spacing w:val="-2"/>
        <w:sz w:val="17"/>
        <w:szCs w:val="17"/>
      </w:rPr>
      <w:t>86</w:t>
    </w:r>
  </w:p>
</w:ftr>
</file>

<file path=word/footer1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9E1C9">
    <w:pPr>
      <w:spacing w:line="196" w:lineRule="auto"/>
      <w:ind w:left="4634"/>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1</w:t>
    </w:r>
    <w:r>
      <w:rPr>
        <w:rFonts w:ascii="Times New Roman" w:hAnsi="Times New Roman" w:eastAsia="Times New Roman" w:cs="Times New Roman"/>
        <w:spacing w:val="-2"/>
        <w:sz w:val="17"/>
        <w:szCs w:val="17"/>
      </w:rPr>
      <w:t>87</w:t>
    </w:r>
  </w:p>
</w:ftr>
</file>

<file path=word/footer1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6EC91">
    <w:pPr>
      <w:spacing w:line="196" w:lineRule="auto"/>
      <w:ind w:left="4634"/>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1</w:t>
    </w:r>
    <w:r>
      <w:rPr>
        <w:rFonts w:ascii="Times New Roman" w:hAnsi="Times New Roman" w:eastAsia="Times New Roman" w:cs="Times New Roman"/>
        <w:spacing w:val="-2"/>
        <w:sz w:val="17"/>
        <w:szCs w:val="17"/>
      </w:rPr>
      <w:t>88</w:t>
    </w:r>
  </w:p>
</w:ftr>
</file>

<file path=word/footer1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16CE5">
    <w:pPr>
      <w:spacing w:line="196" w:lineRule="auto"/>
      <w:ind w:left="4634"/>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1</w:t>
    </w:r>
    <w:r>
      <w:rPr>
        <w:rFonts w:ascii="Times New Roman" w:hAnsi="Times New Roman" w:eastAsia="Times New Roman" w:cs="Times New Roman"/>
        <w:spacing w:val="-2"/>
        <w:sz w:val="17"/>
        <w:szCs w:val="17"/>
      </w:rPr>
      <w:t>89</w:t>
    </w:r>
  </w:p>
</w:ftr>
</file>

<file path=word/footer1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3EA5A">
    <w:pPr>
      <w:spacing w:line="196" w:lineRule="auto"/>
      <w:ind w:left="4634"/>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1</w:t>
    </w:r>
    <w:r>
      <w:rPr>
        <w:rFonts w:ascii="Times New Roman" w:hAnsi="Times New Roman" w:eastAsia="Times New Roman" w:cs="Times New Roman"/>
        <w:spacing w:val="-2"/>
        <w:sz w:val="17"/>
        <w:szCs w:val="17"/>
      </w:rPr>
      <w:t>90</w:t>
    </w:r>
  </w:p>
</w:ftr>
</file>

<file path=word/footer1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F0246">
    <w:pPr>
      <w:spacing w:line="196" w:lineRule="auto"/>
      <w:ind w:left="4634"/>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1</w:t>
    </w:r>
    <w:r>
      <w:rPr>
        <w:rFonts w:ascii="Times New Roman" w:hAnsi="Times New Roman" w:eastAsia="Times New Roman" w:cs="Times New Roman"/>
        <w:spacing w:val="-2"/>
        <w:sz w:val="17"/>
        <w:szCs w:val="17"/>
      </w:rPr>
      <w:t>91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57919">
    <w:pPr>
      <w:spacing w:line="228" w:lineRule="auto"/>
      <w:ind w:left="7"/>
      <w:rPr>
        <w:rFonts w:ascii="宋体" w:hAnsi="宋体" w:eastAsia="宋体" w:cs="宋体"/>
        <w:sz w:val="17"/>
        <w:szCs w:val="17"/>
      </w:rPr>
    </w:pPr>
    <w:r>
      <w:pict>
        <v:shape id="_x0000_s1025" o:spid="_x0000_s1025" style="position:absolute;left:0pt;margin-left:63.8pt;margin-top:55.2pt;height:0.5pt;width:474.8pt;mso-position-horizontal-relative:page;mso-position-vertical-relative:page;z-index:251659264;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w:t>
    </w:r>
    <w:r>
      <w:rPr>
        <w:rFonts w:ascii="宋体" w:hAnsi="宋体" w:eastAsia="宋体" w:cs="宋体"/>
        <w:spacing w:val="1"/>
        <w:sz w:val="17"/>
        <w:szCs w:val="17"/>
      </w:rPr>
      <w:t>专业合作社丰逸标准化代养场建设项目                                               环境影响报告书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FE430">
    <w:pPr>
      <w:spacing w:line="228" w:lineRule="auto"/>
      <w:ind w:left="7"/>
      <w:rPr>
        <w:rFonts w:ascii="宋体" w:hAnsi="宋体" w:eastAsia="宋体" w:cs="宋体"/>
        <w:sz w:val="17"/>
        <w:szCs w:val="17"/>
      </w:rPr>
    </w:pPr>
    <w:r>
      <w:pict>
        <v:shape id="_x0000_s1026" o:spid="_x0000_s1026" style="position:absolute;left:0pt;margin-left:63.8pt;margin-top:41pt;height:0.5pt;width:474.85pt;mso-position-horizontal-relative:page;mso-position-vertical-relative:page;z-index:251660288;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7FD47">
    <w:pPr>
      <w:spacing w:line="228" w:lineRule="auto"/>
      <w:ind w:left="7"/>
      <w:rPr>
        <w:rFonts w:ascii="宋体" w:hAnsi="宋体" w:eastAsia="宋体" w:cs="宋体"/>
        <w:sz w:val="17"/>
        <w:szCs w:val="17"/>
      </w:rPr>
    </w:pPr>
    <w:r>
      <w:pict>
        <v:shape id="_x0000_s1027" o:spid="_x0000_s1027" style="position:absolute;left:0pt;margin-left:63.8pt;margin-top:41pt;height:0.5pt;width:474.85pt;mso-position-horizontal-relative:page;mso-position-vertical-relative:page;z-index:251661312;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57BBC">
    <w:pPr>
      <w:spacing w:line="228" w:lineRule="auto"/>
      <w:ind w:left="7"/>
      <w:rPr>
        <w:rFonts w:ascii="宋体" w:hAnsi="宋体" w:eastAsia="宋体" w:cs="宋体"/>
        <w:sz w:val="17"/>
        <w:szCs w:val="17"/>
      </w:rPr>
    </w:pPr>
    <w:r>
      <w:pict>
        <v:shape id="_x0000_s1028" o:spid="_x0000_s1028" style="position:absolute;left:0pt;margin-left:63.8pt;margin-top:41pt;height:0.5pt;width:474.85pt;mso-position-horizontal-relative:page;mso-position-vertical-relative:page;z-index:251662336;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389D8">
    <w:pPr>
      <w:spacing w:line="228" w:lineRule="auto"/>
      <w:ind w:left="7"/>
      <w:rPr>
        <w:rFonts w:ascii="宋体" w:hAnsi="宋体" w:eastAsia="宋体" w:cs="宋体"/>
        <w:sz w:val="17"/>
        <w:szCs w:val="17"/>
      </w:rPr>
    </w:pPr>
    <w:r>
      <w:pict>
        <v:shape id="_x0000_s1029" o:spid="_x0000_s1029" style="position:absolute;left:0pt;margin-left:63.8pt;margin-top:41pt;height:0.5pt;width:474.85pt;mso-position-horizontal-relative:page;mso-position-vertical-relative:page;z-index:251664384;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03D6A">
    <w:pPr>
      <w:spacing w:line="228" w:lineRule="auto"/>
      <w:ind w:left="7"/>
      <w:rPr>
        <w:rFonts w:ascii="宋体" w:hAnsi="宋体" w:eastAsia="宋体" w:cs="宋体"/>
        <w:sz w:val="17"/>
        <w:szCs w:val="17"/>
      </w:rPr>
    </w:pPr>
    <w:r>
      <w:pict>
        <v:shape id="_x0000_s1030" o:spid="_x0000_s1030" style="position:absolute;left:0pt;margin-left:83pt;margin-top:57.2pt;height:0.5pt;width:434.35pt;mso-position-horizontal-relative:page;mso-position-vertical-relative:page;z-index:251665408;mso-width-relative:page;mso-height-relative:page;" fillcolor="#000000" filled="t" stroked="f" coordsize="8687,10" o:allowincell="f" path="m0,0l8686,0,868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DDB80">
    <w:pPr>
      <w:spacing w:line="228" w:lineRule="auto"/>
      <w:ind w:left="7"/>
      <w:rPr>
        <w:rFonts w:ascii="宋体" w:hAnsi="宋体" w:eastAsia="宋体" w:cs="宋体"/>
        <w:sz w:val="17"/>
        <w:szCs w:val="17"/>
      </w:rPr>
    </w:pPr>
    <w:r>
      <w:pict>
        <v:shape id="_x0000_s1031" o:spid="_x0000_s1031" style="position:absolute;left:0pt;margin-left:83pt;margin-top:57.2pt;height:0.5pt;width:434.35pt;mso-position-horizontal-relative:page;mso-position-vertical-relative:page;z-index:251666432;mso-width-relative:page;mso-height-relative:page;" fillcolor="#000000" filled="t" stroked="f" coordsize="8687,10" o:allowincell="f" path="m0,0l8686,0,868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DFFC9">
    <w:pPr>
      <w:spacing w:line="228" w:lineRule="auto"/>
      <w:ind w:left="7"/>
      <w:rPr>
        <w:rFonts w:ascii="宋体" w:hAnsi="宋体" w:eastAsia="宋体" w:cs="宋体"/>
        <w:sz w:val="17"/>
        <w:szCs w:val="17"/>
      </w:rPr>
    </w:pPr>
    <w:r>
      <w:pict>
        <v:shape id="_x0000_s1032" o:spid="_x0000_s1032" style="position:absolute;left:0pt;margin-left:83pt;margin-top:57.2pt;height:0.5pt;width:434.35pt;mso-position-horizontal-relative:page;mso-position-vertical-relative:page;z-index:251667456;mso-width-relative:page;mso-height-relative:page;" fillcolor="#000000" filled="t" stroked="f" coordsize="8687,10" o:allowincell="f" path="m0,0l8686,0,868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011C6">
    <w:pPr>
      <w:spacing w:line="14" w:lineRule="auto"/>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58102">
    <w:pPr>
      <w:spacing w:line="228" w:lineRule="auto"/>
      <w:ind w:left="520"/>
      <w:rPr>
        <w:rFonts w:ascii="宋体" w:hAnsi="宋体" w:eastAsia="宋体" w:cs="宋体"/>
        <w:sz w:val="17"/>
        <w:szCs w:val="17"/>
      </w:rPr>
    </w:pPr>
    <w:r>
      <w:pict>
        <v:shape id="_x0000_s1033" o:spid="_x0000_s1033" style="position:absolute;left:0pt;margin-left:83pt;margin-top:57.2pt;height:0.5pt;width:434.35pt;mso-position-horizontal-relative:page;mso-position-vertical-relative:page;z-index:251668480;mso-width-relative:page;mso-height-relative:page;" fillcolor="#000000" filled="t" stroked="f" coordsize="8687,10" o:allowincell="f" path="m0,0l8686,0,868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B8EDF">
    <w:pPr>
      <w:spacing w:line="14" w:lineRule="auto"/>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93737">
    <w:pPr>
      <w:spacing w:line="228" w:lineRule="auto"/>
      <w:ind w:left="115"/>
      <w:rPr>
        <w:rFonts w:ascii="宋体" w:hAnsi="宋体" w:eastAsia="宋体" w:cs="宋体"/>
        <w:sz w:val="17"/>
        <w:szCs w:val="17"/>
      </w:rPr>
    </w:pPr>
    <w:r>
      <w:pict>
        <v:shape id="_x0000_s1034" o:spid="_x0000_s1034" style="position:absolute;left:0pt;margin-left:83pt;margin-top:57.2pt;height:0.5pt;width:434.35pt;mso-position-horizontal-relative:page;mso-position-vertical-relative:page;z-index:251669504;mso-width-relative:page;mso-height-relative:page;" fillcolor="#000000" filled="t" stroked="f" coordsize="8687,10" o:allowincell="f" path="m0,0l8686,0,868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67659">
    <w:pPr>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C8DD4">
    <w:pPr>
      <w:spacing w:line="228" w:lineRule="auto"/>
      <w:ind w:left="7"/>
      <w:rPr>
        <w:rFonts w:ascii="宋体" w:hAnsi="宋体" w:eastAsia="宋体" w:cs="宋体"/>
        <w:sz w:val="17"/>
        <w:szCs w:val="17"/>
      </w:rPr>
    </w:pPr>
    <w:r>
      <w:pict>
        <v:shape id="_x0000_s1035" o:spid="_x0000_s1035" style="position:absolute;left:0pt;margin-left:83pt;margin-top:57.2pt;height:0.5pt;width:434.35pt;mso-position-horizontal-relative:page;mso-position-vertical-relative:page;z-index:251670528;mso-width-relative:page;mso-height-relative:page;" fillcolor="#000000" filled="t" stroked="f" coordsize="8687,10" o:allowincell="f" path="m0,0l8686,0,868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3CFB0">
    <w:pPr>
      <w:spacing w:line="14" w:lineRule="auto"/>
      <w:rPr>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18138">
    <w:pPr>
      <w:spacing w:line="228" w:lineRule="auto"/>
      <w:ind w:left="7"/>
      <w:rPr>
        <w:rFonts w:ascii="宋体" w:hAnsi="宋体" w:eastAsia="宋体" w:cs="宋体"/>
        <w:sz w:val="17"/>
        <w:szCs w:val="17"/>
      </w:rPr>
    </w:pPr>
    <w:r>
      <w:pict>
        <v:shape id="_x0000_s1036" o:spid="_x0000_s1036" style="position:absolute;left:0pt;margin-left:83pt;margin-top:57.2pt;height:0.5pt;width:434.35pt;mso-position-horizontal-relative:page;mso-position-vertical-relative:page;z-index:251671552;mso-width-relative:page;mso-height-relative:page;" fillcolor="#000000" filled="t" stroked="f" coordsize="8687,10" o:allowincell="f" path="m0,0l8686,0,868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4BDEA">
    <w:pPr>
      <w:spacing w:line="228" w:lineRule="auto"/>
      <w:ind w:left="7"/>
      <w:rPr>
        <w:rFonts w:ascii="宋体" w:hAnsi="宋体" w:eastAsia="宋体" w:cs="宋体"/>
        <w:sz w:val="17"/>
        <w:szCs w:val="17"/>
      </w:rPr>
    </w:pPr>
    <w:r>
      <w:pict>
        <v:shape id="_x0000_s1037" o:spid="_x0000_s1037" style="position:absolute;left:0pt;margin-left:83pt;margin-top:57.2pt;height:0.5pt;width:434.35pt;mso-position-horizontal-relative:page;mso-position-vertical-relative:page;z-index:251672576;mso-width-relative:page;mso-height-relative:page;" fillcolor="#000000" filled="t" stroked="f" coordsize="8687,10" o:allowincell="f" path="m0,0l8686,0,868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84A7D">
    <w:pPr>
      <w:spacing w:line="228" w:lineRule="auto"/>
      <w:ind w:left="9"/>
      <w:rPr>
        <w:rFonts w:ascii="宋体" w:hAnsi="宋体" w:eastAsia="宋体" w:cs="宋体"/>
        <w:sz w:val="17"/>
        <w:szCs w:val="17"/>
      </w:rPr>
    </w:pPr>
    <w:r>
      <w:pict>
        <v:shape id="_x0000_s1038" o:spid="_x0000_s1038" style="position:absolute;left:0pt;margin-left:83pt;margin-top:57.2pt;height:0.5pt;width:434.35pt;mso-position-horizontal-relative:page;mso-position-vertical-relative:page;z-index:251673600;mso-width-relative:page;mso-height-relative:page;" fillcolor="#000000" filled="t" stroked="f" coordsize="8687,10" o:allowincell="f" path="m0,0l8686,0,868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46DD3">
    <w:pPr>
      <w:spacing w:line="228" w:lineRule="auto"/>
      <w:ind w:left="7"/>
      <w:rPr>
        <w:rFonts w:ascii="宋体" w:hAnsi="宋体" w:eastAsia="宋体" w:cs="宋体"/>
        <w:sz w:val="17"/>
        <w:szCs w:val="17"/>
      </w:rPr>
    </w:pPr>
    <w:r>
      <w:pict>
        <v:shape id="_x0000_s1039" o:spid="_x0000_s1039" style="position:absolute;left:0pt;margin-left:83pt;margin-top:57.2pt;height:0.5pt;width:434.35pt;mso-position-horizontal-relative:page;mso-position-vertical-relative:page;z-index:251674624;mso-width-relative:page;mso-height-relative:page;" fillcolor="#000000" filled="t" stroked="f" coordsize="8687,10" o:allowincell="f" path="m0,0l8686,0,868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FF47F">
    <w:pPr>
      <w:spacing w:line="14" w:lineRule="auto"/>
      <w:rPr>
        <w:sz w:val="2"/>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DCD95">
    <w:pPr>
      <w:spacing w:line="228" w:lineRule="auto"/>
      <w:ind w:left="7"/>
      <w:rPr>
        <w:rFonts w:ascii="宋体" w:hAnsi="宋体" w:eastAsia="宋体" w:cs="宋体"/>
        <w:sz w:val="17"/>
        <w:szCs w:val="17"/>
      </w:rPr>
    </w:pPr>
    <w:r>
      <w:pict>
        <v:shape id="_x0000_s1040" o:spid="_x0000_s1040" style="position:absolute;left:0pt;margin-left:83pt;margin-top:57.2pt;height:0.5pt;width:434.35pt;mso-position-horizontal-relative:page;mso-position-vertical-relative:page;z-index:251675648;mso-width-relative:page;mso-height-relative:page;" fillcolor="#000000" filled="t" stroked="f" coordsize="8687,10" o:allowincell="f" path="m0,0l8686,0,868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DFBE7">
    <w:pPr>
      <w:spacing w:line="14" w:lineRule="auto"/>
      <w:rPr>
        <w:sz w:val="2"/>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61F1F">
    <w:pPr>
      <w:spacing w:line="228" w:lineRule="auto"/>
      <w:ind w:left="9"/>
      <w:rPr>
        <w:rFonts w:ascii="宋体" w:hAnsi="宋体" w:eastAsia="宋体" w:cs="宋体"/>
        <w:sz w:val="17"/>
        <w:szCs w:val="17"/>
      </w:rPr>
    </w:pPr>
    <w:r>
      <w:pict>
        <v:shape id="_x0000_s1041" o:spid="_x0000_s1041" style="position:absolute;left:0pt;margin-left:83pt;margin-top:57.2pt;height:0.5pt;width:434.35pt;mso-position-horizontal-relative:page;mso-position-vertical-relative:page;z-index:251676672;mso-width-relative:page;mso-height-relative:page;" fillcolor="#000000" filled="t" stroked="f" coordsize="8687,10" o:allowincell="f" path="m0,0l8686,0,868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9FD01">
    <w:pPr>
      <w:spacing w:line="228" w:lineRule="auto"/>
      <w:ind w:left="161"/>
      <w:rPr>
        <w:rFonts w:ascii="宋体" w:hAnsi="宋体" w:eastAsia="宋体" w:cs="宋体"/>
        <w:sz w:val="17"/>
        <w:szCs w:val="17"/>
      </w:rPr>
    </w:pPr>
    <w:r>
      <w:pict>
        <v:shape id="_x0000_s1042" o:spid="_x0000_s1042" style="position:absolute;left:0pt;margin-left:83pt;margin-top:57.2pt;height:0.5pt;width:434.35pt;mso-position-horizontal-relative:page;mso-position-vertical-relative:page;z-index:251677696;mso-width-relative:page;mso-height-relative:page;" fillcolor="#000000" filled="t" stroked="f" coordsize="8687,10" o:allowincell="f" path="m0,0l8686,0,868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F16EC">
    <w:pPr>
      <w:spacing w:line="228" w:lineRule="auto"/>
      <w:ind w:left="164"/>
      <w:rPr>
        <w:rFonts w:ascii="宋体" w:hAnsi="宋体" w:eastAsia="宋体" w:cs="宋体"/>
        <w:sz w:val="17"/>
        <w:szCs w:val="17"/>
      </w:rPr>
    </w:pPr>
    <w:r>
      <w:pict>
        <v:shape id="_x0000_s1043" o:spid="_x0000_s1043" style="position:absolute;left:0pt;margin-left:63.8pt;margin-top:41pt;height:0.5pt;width:474.85pt;mso-position-horizontal-relative:page;mso-position-vertical-relative:page;z-index:251678720;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27BE5">
    <w:pPr>
      <w:spacing w:line="14" w:lineRule="auto"/>
      <w:rPr>
        <w:sz w:val="2"/>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52850">
    <w:pPr>
      <w:spacing w:line="228" w:lineRule="auto"/>
      <w:ind w:left="115"/>
      <w:rPr>
        <w:rFonts w:ascii="宋体" w:hAnsi="宋体" w:eastAsia="宋体" w:cs="宋体"/>
        <w:sz w:val="17"/>
        <w:szCs w:val="17"/>
      </w:rPr>
    </w:pPr>
    <w:r>
      <w:pict>
        <v:shape id="_x0000_s1044" o:spid="_x0000_s1044" style="position:absolute;left:0pt;margin-left:63.8pt;margin-top:41pt;height:0.5pt;width:474.85pt;mso-position-horizontal-relative:page;mso-position-vertical-relative:page;z-index:251679744;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11CC8">
    <w:pPr>
      <w:spacing w:line="228" w:lineRule="auto"/>
      <w:ind w:left="7"/>
      <w:rPr>
        <w:rFonts w:ascii="宋体" w:hAnsi="宋体" w:eastAsia="宋体" w:cs="宋体"/>
        <w:sz w:val="17"/>
        <w:szCs w:val="17"/>
      </w:rPr>
    </w:pPr>
    <w:r>
      <w:pict>
        <v:shape id="_x0000_s1045" o:spid="_x0000_s1045" style="position:absolute;left:0pt;margin-left:63.8pt;margin-top:41pt;height:0.5pt;width:474.85pt;mso-position-horizontal-relative:page;mso-position-vertical-relative:page;z-index:251686912;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D962E">
    <w:pPr>
      <w:spacing w:line="228" w:lineRule="auto"/>
      <w:ind w:left="7"/>
      <w:rPr>
        <w:rFonts w:ascii="宋体" w:hAnsi="宋体" w:eastAsia="宋体" w:cs="宋体"/>
        <w:sz w:val="17"/>
        <w:szCs w:val="17"/>
      </w:rPr>
    </w:pPr>
    <w:r>
      <w:pict>
        <v:shape id="_x0000_s1046" o:spid="_x0000_s1046" style="position:absolute;left:0pt;margin-left:63.8pt;margin-top:41pt;height:0.5pt;width:474.85pt;mso-position-horizontal-relative:page;mso-position-vertical-relative:page;z-index:251687936;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E4B20">
    <w:pPr>
      <w:spacing w:line="228" w:lineRule="auto"/>
      <w:ind w:left="7"/>
      <w:rPr>
        <w:rFonts w:ascii="宋体" w:hAnsi="宋体" w:eastAsia="宋体" w:cs="宋体"/>
        <w:sz w:val="17"/>
        <w:szCs w:val="17"/>
      </w:rPr>
    </w:pPr>
    <w:r>
      <w:pict>
        <v:shape id="_x0000_s1047" o:spid="_x0000_s1047" style="position:absolute;left:0pt;margin-left:63.8pt;margin-top:41pt;height:0.5pt;width:474.85pt;mso-position-horizontal-relative:page;mso-position-vertical-relative:page;z-index:251689984;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33455">
    <w:pPr>
      <w:spacing w:line="228" w:lineRule="auto"/>
      <w:ind w:left="7"/>
      <w:rPr>
        <w:rFonts w:ascii="宋体" w:hAnsi="宋体" w:eastAsia="宋体" w:cs="宋体"/>
        <w:sz w:val="17"/>
        <w:szCs w:val="17"/>
      </w:rPr>
    </w:pPr>
    <w:r>
      <w:pict>
        <v:shape id="_x0000_s1048" o:spid="_x0000_s1048" style="position:absolute;left:0pt;margin-left:63.8pt;margin-top:41pt;height:0.5pt;width:474.85pt;mso-position-horizontal-relative:page;mso-position-vertical-relative:page;z-index:251691008;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1EBB9">
    <w:pPr>
      <w:spacing w:line="228" w:lineRule="auto"/>
      <w:ind w:left="115"/>
      <w:rPr>
        <w:rFonts w:ascii="宋体" w:hAnsi="宋体" w:eastAsia="宋体" w:cs="宋体"/>
        <w:sz w:val="17"/>
        <w:szCs w:val="17"/>
      </w:rPr>
    </w:pPr>
    <w:r>
      <w:pict>
        <v:shape id="_x0000_s1049" o:spid="_x0000_s1049" style="position:absolute;left:0pt;margin-left:63.8pt;margin-top:41pt;height:0.5pt;width:474.85pt;mso-position-horizontal-relative:page;mso-position-vertical-relative:page;z-index:251680768;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9C603">
    <w:pPr>
      <w:spacing w:line="228" w:lineRule="auto"/>
      <w:ind w:left="7"/>
      <w:rPr>
        <w:rFonts w:ascii="宋体" w:hAnsi="宋体" w:eastAsia="宋体" w:cs="宋体"/>
        <w:sz w:val="17"/>
        <w:szCs w:val="17"/>
      </w:rPr>
    </w:pPr>
    <w:r>
      <w:pict>
        <v:shape id="_x0000_s1050" o:spid="_x0000_s1050" style="position:absolute;left:0pt;margin-left:63.8pt;margin-top:41pt;height:0.5pt;width:474.85pt;mso-position-horizontal-relative:page;mso-position-vertical-relative:page;z-index:251696128;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7D3CD">
    <w:pPr>
      <w:spacing w:line="228" w:lineRule="auto"/>
      <w:ind w:left="7"/>
      <w:rPr>
        <w:rFonts w:ascii="宋体" w:hAnsi="宋体" w:eastAsia="宋体" w:cs="宋体"/>
        <w:sz w:val="17"/>
        <w:szCs w:val="17"/>
      </w:rPr>
    </w:pPr>
    <w:r>
      <w:pict>
        <v:shape id="_x0000_s1051" o:spid="_x0000_s1051" style="position:absolute;left:0pt;margin-left:63.8pt;margin-top:41pt;height:0.5pt;width:474.85pt;mso-position-horizontal-relative:page;mso-position-vertical-relative:page;z-index:251688960;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E68B1">
    <w:pPr>
      <w:spacing w:line="228" w:lineRule="auto"/>
      <w:ind w:left="7"/>
      <w:rPr>
        <w:rFonts w:ascii="宋体" w:hAnsi="宋体" w:eastAsia="宋体" w:cs="宋体"/>
        <w:sz w:val="17"/>
        <w:szCs w:val="17"/>
      </w:rPr>
    </w:pPr>
    <w:r>
      <w:pict>
        <v:shape id="_x0000_s1052" o:spid="_x0000_s1052" style="position:absolute;left:0pt;margin-left:63.8pt;margin-top:41pt;height:0.5pt;width:474.85pt;mso-position-horizontal-relative:page;mso-position-vertical-relative:page;z-index:251692032;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51FD5">
    <w:pPr>
      <w:spacing w:line="228" w:lineRule="auto"/>
      <w:ind w:left="7"/>
      <w:rPr>
        <w:rFonts w:ascii="宋体" w:hAnsi="宋体" w:eastAsia="宋体" w:cs="宋体"/>
        <w:sz w:val="17"/>
        <w:szCs w:val="17"/>
      </w:rPr>
    </w:pPr>
    <w:r>
      <w:pict>
        <v:shape id="_x0000_s1053" o:spid="_x0000_s1053" style="position:absolute;left:0pt;margin-left:63.8pt;margin-top:41pt;height:0.5pt;width:474.85pt;mso-position-horizontal-relative:page;mso-position-vertical-relative:page;z-index:251698176;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FE959">
    <w:pPr>
      <w:spacing w:line="228" w:lineRule="auto"/>
      <w:ind w:left="7"/>
      <w:rPr>
        <w:rFonts w:ascii="宋体" w:hAnsi="宋体" w:eastAsia="宋体" w:cs="宋体"/>
        <w:sz w:val="17"/>
        <w:szCs w:val="17"/>
      </w:rPr>
    </w:pPr>
    <w:r>
      <w:pict>
        <v:shape id="_x0000_s1054" o:spid="_x0000_s1054" style="position:absolute;left:0pt;margin-left:63.8pt;margin-top:41pt;height:0.5pt;width:474.85pt;mso-position-horizontal-relative:page;mso-position-vertical-relative:page;z-index:251693056;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5C61A">
    <w:pPr>
      <w:spacing w:line="228" w:lineRule="auto"/>
      <w:ind w:left="115"/>
      <w:rPr>
        <w:rFonts w:ascii="宋体" w:hAnsi="宋体" w:eastAsia="宋体" w:cs="宋体"/>
        <w:sz w:val="17"/>
        <w:szCs w:val="17"/>
      </w:rPr>
    </w:pPr>
    <w:r>
      <w:pict>
        <v:shape id="_x0000_s1055" o:spid="_x0000_s1055" style="position:absolute;left:0pt;margin-left:63.8pt;margin-top:41pt;height:0.5pt;width:474.85pt;mso-position-horizontal-relative:page;mso-position-vertical-relative:page;z-index:251681792;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D3F48">
    <w:pPr>
      <w:spacing w:line="228" w:lineRule="auto"/>
      <w:ind w:left="7"/>
      <w:rPr>
        <w:rFonts w:ascii="宋体" w:hAnsi="宋体" w:eastAsia="宋体" w:cs="宋体"/>
        <w:sz w:val="17"/>
        <w:szCs w:val="17"/>
      </w:rPr>
    </w:pPr>
    <w:r>
      <w:pict>
        <v:shape id="_x0000_s1056" o:spid="_x0000_s1056" style="position:absolute;left:0pt;margin-left:63.8pt;margin-top:41pt;height:0.5pt;width:474.85pt;mso-position-horizontal-relative:page;mso-position-vertical-relative:page;z-index:251699200;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D0649">
    <w:pPr>
      <w:spacing w:line="228" w:lineRule="auto"/>
      <w:ind w:left="7"/>
      <w:rPr>
        <w:rFonts w:ascii="宋体" w:hAnsi="宋体" w:eastAsia="宋体" w:cs="宋体"/>
        <w:sz w:val="17"/>
        <w:szCs w:val="17"/>
      </w:rPr>
    </w:pPr>
    <w:r>
      <w:pict>
        <v:shape id="_x0000_s1057" o:spid="_x0000_s1057" style="position:absolute;left:0pt;margin-left:63.8pt;margin-top:41pt;height:0.5pt;width:474.85pt;mso-position-horizontal-relative:page;mso-position-vertical-relative:page;z-index:251700224;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973C7">
    <w:pPr>
      <w:spacing w:line="228" w:lineRule="auto"/>
      <w:ind w:left="7"/>
      <w:rPr>
        <w:rFonts w:ascii="宋体" w:hAnsi="宋体" w:eastAsia="宋体" w:cs="宋体"/>
        <w:sz w:val="17"/>
        <w:szCs w:val="17"/>
      </w:rPr>
    </w:pPr>
    <w:r>
      <w:pict>
        <v:shape id="_x0000_s1058" o:spid="_x0000_s1058" style="position:absolute;left:0pt;margin-left:63.8pt;margin-top:41pt;height:0.5pt;width:474.85pt;mso-position-horizontal-relative:page;mso-position-vertical-relative:page;z-index:251663360;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98991">
    <w:pPr>
      <w:spacing w:line="228" w:lineRule="auto"/>
      <w:ind w:left="7"/>
      <w:rPr>
        <w:rFonts w:ascii="宋体" w:hAnsi="宋体" w:eastAsia="宋体" w:cs="宋体"/>
        <w:sz w:val="17"/>
        <w:szCs w:val="17"/>
      </w:rPr>
    </w:pPr>
    <w:r>
      <w:pict>
        <v:shape id="_x0000_s1059" o:spid="_x0000_s1059" style="position:absolute;left:0pt;margin-left:63.8pt;margin-top:41pt;height:0.5pt;width:474.85pt;mso-position-horizontal-relative:page;mso-position-vertical-relative:page;z-index:251694080;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44C58">
    <w:pPr>
      <w:spacing w:line="228" w:lineRule="auto"/>
      <w:ind w:left="7"/>
      <w:rPr>
        <w:rFonts w:ascii="宋体" w:hAnsi="宋体" w:eastAsia="宋体" w:cs="宋体"/>
        <w:sz w:val="17"/>
        <w:szCs w:val="17"/>
      </w:rPr>
    </w:pPr>
    <w:r>
      <w:pict>
        <v:shape id="_x0000_s1060" o:spid="_x0000_s1060" style="position:absolute;left:0pt;margin-left:63.8pt;margin-top:41pt;height:0.5pt;width:474.85pt;mso-position-horizontal-relative:page;mso-position-vertical-relative:page;z-index:251701248;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9BFCB">
    <w:pPr>
      <w:spacing w:line="228" w:lineRule="auto"/>
      <w:ind w:left="120"/>
      <w:rPr>
        <w:rFonts w:ascii="宋体" w:hAnsi="宋体" w:eastAsia="宋体" w:cs="宋体"/>
        <w:sz w:val="17"/>
        <w:szCs w:val="17"/>
      </w:rPr>
    </w:pPr>
    <w:r>
      <w:pict>
        <v:shape id="_x0000_s1061" o:spid="_x0000_s1061" style="position:absolute;left:0pt;margin-left:63.8pt;margin-top:41pt;height:0.5pt;width:474.85pt;mso-position-horizontal-relative:page;mso-position-vertical-relative:page;z-index:251702272;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1845B">
    <w:pPr>
      <w:spacing w:line="228" w:lineRule="auto"/>
      <w:ind w:left="115"/>
      <w:rPr>
        <w:rFonts w:ascii="宋体" w:hAnsi="宋体" w:eastAsia="宋体" w:cs="宋体"/>
        <w:sz w:val="17"/>
        <w:szCs w:val="17"/>
      </w:rPr>
    </w:pPr>
    <w:r>
      <w:pict>
        <v:shape id="_x0000_s1062" o:spid="_x0000_s1062" style="position:absolute;left:0pt;margin-left:63.8pt;margin-top:41pt;height:0.5pt;width:474.85pt;mso-position-horizontal-relative:page;mso-position-vertical-relative:page;z-index:251703296;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5F455">
    <w:pPr>
      <w:spacing w:line="228" w:lineRule="auto"/>
      <w:ind w:left="115"/>
      <w:rPr>
        <w:rFonts w:ascii="宋体" w:hAnsi="宋体" w:eastAsia="宋体" w:cs="宋体"/>
        <w:sz w:val="17"/>
        <w:szCs w:val="17"/>
      </w:rPr>
    </w:pPr>
    <w:r>
      <w:pict>
        <v:shape id="_x0000_s1063" o:spid="_x0000_s1063" style="position:absolute;left:0pt;margin-left:63.8pt;margin-top:41pt;height:0.5pt;width:474.85pt;mso-position-horizontal-relative:page;mso-position-vertical-relative:page;z-index:251682816;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E3CBD">
    <w:pPr>
      <w:spacing w:line="228" w:lineRule="auto"/>
      <w:ind w:left="7"/>
      <w:rPr>
        <w:rFonts w:ascii="宋体" w:hAnsi="宋体" w:eastAsia="宋体" w:cs="宋体"/>
        <w:sz w:val="17"/>
        <w:szCs w:val="17"/>
      </w:rPr>
    </w:pPr>
    <w:r>
      <w:pict>
        <v:shape id="_x0000_s1064" o:spid="_x0000_s1064" style="position:absolute;left:0pt;margin-left:63.8pt;margin-top:41pt;height:0.5pt;width:474.85pt;mso-position-horizontal-relative:page;mso-position-vertical-relative:page;z-index:251697152;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1EA30">
    <w:pPr>
      <w:spacing w:line="14" w:lineRule="auto"/>
      <w:rPr>
        <w:sz w:val="2"/>
      </w:rPr>
    </w:pP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36283">
    <w:pPr>
      <w:spacing w:line="228" w:lineRule="auto"/>
      <w:ind w:left="87"/>
      <w:rPr>
        <w:rFonts w:ascii="宋体" w:hAnsi="宋体" w:eastAsia="宋体" w:cs="宋体"/>
        <w:sz w:val="17"/>
        <w:szCs w:val="17"/>
      </w:rPr>
    </w:pPr>
    <w:r>
      <w:pict>
        <v:shape id="_x0000_s1065" o:spid="_x0000_s1065" style="position:absolute;left:0pt;margin-left:63.8pt;margin-top:41pt;height:0.5pt;width:474.85pt;mso-position-horizontal-relative:page;mso-position-vertical-relative:page;z-index:251704320;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EA2E6">
    <w:pPr>
      <w:spacing w:line="228" w:lineRule="auto"/>
      <w:ind w:left="7"/>
      <w:rPr>
        <w:rFonts w:ascii="宋体" w:hAnsi="宋体" w:eastAsia="宋体" w:cs="宋体"/>
        <w:sz w:val="17"/>
        <w:szCs w:val="17"/>
      </w:rPr>
    </w:pPr>
    <w:r>
      <w:pict>
        <v:shape id="_x0000_s1066" o:spid="_x0000_s1066" style="position:absolute;left:0pt;margin-left:63.8pt;margin-top:41pt;height:0.5pt;width:474.85pt;mso-position-horizontal-relative:page;mso-position-vertical-relative:page;z-index:251695104;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80BE4">
    <w:pPr>
      <w:spacing w:line="228" w:lineRule="auto"/>
      <w:ind w:left="9"/>
      <w:rPr>
        <w:rFonts w:ascii="宋体" w:hAnsi="宋体" w:eastAsia="宋体" w:cs="宋体"/>
        <w:sz w:val="17"/>
        <w:szCs w:val="17"/>
      </w:rPr>
    </w:pPr>
    <w:r>
      <w:pict>
        <v:shape id="_x0000_s1067" o:spid="_x0000_s1067" style="position:absolute;left:0pt;margin-left:63.8pt;margin-top:41pt;height:0.5pt;width:474.85pt;mso-position-horizontal-relative:page;mso-position-vertical-relative:page;z-index:251705344;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B6D38">
    <w:pPr>
      <w:spacing w:line="228" w:lineRule="auto"/>
      <w:ind w:left="115"/>
      <w:rPr>
        <w:rFonts w:ascii="宋体" w:hAnsi="宋体" w:eastAsia="宋体" w:cs="宋体"/>
        <w:sz w:val="17"/>
        <w:szCs w:val="17"/>
      </w:rPr>
    </w:pPr>
    <w:r>
      <w:pict>
        <v:shape id="_x0000_s1068" o:spid="_x0000_s1068" style="position:absolute;left:0pt;margin-left:63.8pt;margin-top:41pt;height:0.5pt;width:474.85pt;mso-position-horizontal-relative:page;mso-position-vertical-relative:page;z-index:251706368;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D83F1">
    <w:pPr>
      <w:spacing w:line="228" w:lineRule="auto"/>
      <w:ind w:left="115"/>
      <w:rPr>
        <w:rFonts w:ascii="宋体" w:hAnsi="宋体" w:eastAsia="宋体" w:cs="宋体"/>
        <w:sz w:val="17"/>
        <w:szCs w:val="17"/>
      </w:rPr>
    </w:pPr>
    <w:r>
      <w:pict>
        <v:shape id="_x0000_s1069" o:spid="_x0000_s1069" style="position:absolute;left:0pt;margin-left:63.8pt;margin-top:41pt;height:0.5pt;width:474.85pt;mso-position-horizontal-relative:page;mso-position-vertical-relative:page;z-index:251683840;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5A058">
    <w:pPr>
      <w:spacing w:line="228" w:lineRule="auto"/>
      <w:ind w:left="9"/>
      <w:rPr>
        <w:rFonts w:ascii="宋体" w:hAnsi="宋体" w:eastAsia="宋体" w:cs="宋体"/>
        <w:sz w:val="17"/>
        <w:szCs w:val="17"/>
      </w:rPr>
    </w:pPr>
    <w:r>
      <w:pict>
        <v:shape id="_x0000_s1070" o:spid="_x0000_s1070" style="position:absolute;left:0pt;margin-left:63.8pt;margin-top:41pt;height:0.5pt;width:474.85pt;mso-position-horizontal-relative:page;mso-position-vertical-relative:page;z-index:251707392;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5A2B1">
    <w:pPr>
      <w:spacing w:line="228" w:lineRule="auto"/>
      <w:ind w:left="115"/>
      <w:rPr>
        <w:rFonts w:ascii="宋体" w:hAnsi="宋体" w:eastAsia="宋体" w:cs="宋体"/>
        <w:sz w:val="17"/>
        <w:szCs w:val="17"/>
      </w:rPr>
    </w:pPr>
    <w:r>
      <w:pict>
        <v:shape id="_x0000_s1071" o:spid="_x0000_s1071" style="position:absolute;left:0pt;margin-left:63.8pt;margin-top:41pt;height:0.5pt;width:474.85pt;mso-position-horizontal-relative:page;mso-position-vertical-relative:page;z-index:251708416;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E8F01">
    <w:pPr>
      <w:spacing w:line="228" w:lineRule="auto"/>
      <w:ind w:left="115"/>
      <w:rPr>
        <w:rFonts w:ascii="宋体" w:hAnsi="宋体" w:eastAsia="宋体" w:cs="宋体"/>
        <w:sz w:val="17"/>
        <w:szCs w:val="17"/>
      </w:rPr>
    </w:pPr>
    <w:r>
      <w:pict>
        <v:shape id="_x0000_s1072" o:spid="_x0000_s1072" style="position:absolute;left:0pt;margin-left:63.8pt;margin-top:41pt;height:0.5pt;width:474.85pt;mso-position-horizontal-relative:page;mso-position-vertical-relative:page;z-index:251684864;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8DE16">
    <w:pPr>
      <w:spacing w:line="228" w:lineRule="auto"/>
      <w:ind w:left="7"/>
      <w:rPr>
        <w:rFonts w:ascii="宋体" w:hAnsi="宋体" w:eastAsia="宋体" w:cs="宋体"/>
        <w:sz w:val="17"/>
        <w:szCs w:val="17"/>
      </w:rPr>
    </w:pPr>
    <w:r>
      <w:pict>
        <v:shape id="_x0000_s1073" o:spid="_x0000_s1073" style="position:absolute;left:0pt;margin-left:63.8pt;margin-top:41pt;height:0.5pt;width:474.85pt;mso-position-horizontal-relative:page;mso-position-vertical-relative:page;z-index:251709440;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16544">
    <w:pPr>
      <w:spacing w:line="228" w:lineRule="auto"/>
      <w:ind w:left="7"/>
      <w:rPr>
        <w:rFonts w:ascii="宋体" w:hAnsi="宋体" w:eastAsia="宋体" w:cs="宋体"/>
        <w:sz w:val="17"/>
        <w:szCs w:val="17"/>
      </w:rPr>
    </w:pPr>
    <w:r>
      <w:pict>
        <v:shape id="_x0000_s1074" o:spid="_x0000_s1074" style="position:absolute;left:0pt;margin-left:63.8pt;margin-top:41pt;height:0.5pt;width:474.85pt;mso-position-horizontal-relative:page;mso-position-vertical-relative:page;z-index:251710464;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BEB8C">
    <w:pPr>
      <w:spacing w:line="228" w:lineRule="auto"/>
      <w:ind w:left="115"/>
      <w:rPr>
        <w:rFonts w:ascii="宋体" w:hAnsi="宋体" w:eastAsia="宋体" w:cs="宋体"/>
        <w:sz w:val="17"/>
        <w:szCs w:val="17"/>
      </w:rPr>
    </w:pPr>
    <w:r>
      <w:pict>
        <v:shape id="_x0000_s1075" o:spid="_x0000_s1075" style="position:absolute;left:0pt;margin-left:63.8pt;margin-top:41pt;height:0.5pt;width:474.85pt;mso-position-horizontal-relative:page;mso-position-vertical-relative:page;z-index:251685888;mso-width-relative:page;mso-height-relative:page;" fillcolor="#000000" filled="t" stroked="f" coordsize="9497,10" o:allowincell="f" path="m0,0l9496,0,949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3775B">
    <w:pPr>
      <w:spacing w:line="14" w:lineRule="auto"/>
      <w:rPr>
        <w:sz w:val="2"/>
      </w:rPr>
    </w:pP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19BA5">
    <w:pPr>
      <w:spacing w:line="228" w:lineRule="auto"/>
      <w:ind w:left="115"/>
      <w:rPr>
        <w:rFonts w:ascii="宋体" w:hAnsi="宋体" w:eastAsia="宋体" w:cs="宋体"/>
        <w:sz w:val="17"/>
        <w:szCs w:val="17"/>
      </w:rPr>
    </w:pPr>
    <w:r>
      <w:pict>
        <v:shape id="_x0000_s1076" o:spid="_x0000_s1076" style="position:absolute;left:0pt;margin-left:45pt;margin-top:41pt;height:0.5pt;width:750pt;mso-position-horizontal-relative:page;mso-position-vertical-relative:page;z-index:251711488;mso-width-relative:page;mso-height-relative:page;" fillcolor="#000000" filled="t" stroked="f" coordsize="15000,10" o:allowincell="f" path="m0,0l15000,0,15000,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82C12">
    <w:pPr>
      <w:spacing w:line="228" w:lineRule="auto"/>
      <w:ind w:left="7"/>
      <w:rPr>
        <w:rFonts w:ascii="宋体" w:hAnsi="宋体" w:eastAsia="宋体" w:cs="宋体"/>
        <w:sz w:val="17"/>
        <w:szCs w:val="17"/>
      </w:rPr>
    </w:pPr>
    <w:r>
      <w:pict>
        <v:shape id="_x0000_s1077" o:spid="_x0000_s1077" style="position:absolute;left:0pt;margin-left:83pt;margin-top:57.2pt;height:0.5pt;width:433.35pt;mso-position-horizontal-relative:page;mso-position-vertical-relative:page;z-index:251712512;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92BD8">
    <w:pPr>
      <w:spacing w:line="228" w:lineRule="auto"/>
      <w:ind w:left="7"/>
      <w:rPr>
        <w:rFonts w:ascii="宋体" w:hAnsi="宋体" w:eastAsia="宋体" w:cs="宋体"/>
        <w:sz w:val="17"/>
        <w:szCs w:val="17"/>
      </w:rPr>
    </w:pPr>
    <w:r>
      <w:pict>
        <v:shape id="_x0000_s1078" o:spid="_x0000_s1078" style="position:absolute;left:0pt;margin-left:83pt;margin-top:57.2pt;height:0.5pt;width:433.35pt;mso-position-horizontal-relative:page;mso-position-vertical-relative:page;z-index:251718656;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9A0AB">
    <w:pPr>
      <w:spacing w:line="228" w:lineRule="auto"/>
      <w:ind w:left="7"/>
      <w:rPr>
        <w:rFonts w:ascii="宋体" w:hAnsi="宋体" w:eastAsia="宋体" w:cs="宋体"/>
        <w:sz w:val="17"/>
        <w:szCs w:val="17"/>
      </w:rPr>
    </w:pPr>
    <w:r>
      <w:pict>
        <v:shape id="_x0000_s1079" o:spid="_x0000_s1079" style="position:absolute;left:0pt;margin-left:83pt;margin-top:57.2pt;height:0.5pt;width:433.35pt;mso-position-horizontal-relative:page;mso-position-vertical-relative:page;z-index:251720704;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92823">
    <w:pPr>
      <w:spacing w:line="14" w:lineRule="auto"/>
      <w:rPr>
        <w:sz w:val="2"/>
      </w:rPr>
    </w:pP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A2281">
    <w:pPr>
      <w:spacing w:line="228" w:lineRule="auto"/>
      <w:ind w:left="115"/>
      <w:rPr>
        <w:rFonts w:ascii="宋体" w:hAnsi="宋体" w:eastAsia="宋体" w:cs="宋体"/>
        <w:sz w:val="17"/>
        <w:szCs w:val="17"/>
      </w:rPr>
    </w:pPr>
    <w:r>
      <w:pict>
        <v:shape id="_x0000_s1080" o:spid="_x0000_s1080" style="position:absolute;left:0pt;margin-left:83pt;margin-top:57.2pt;height:0.5pt;width:433.35pt;mso-position-horizontal-relative:page;mso-position-vertical-relative:page;z-index:251721728;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FB3C8">
    <w:pPr>
      <w:spacing w:line="14" w:lineRule="auto"/>
      <w:rPr>
        <w:sz w:val="2"/>
      </w:rPr>
    </w:pP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7695E">
    <w:pPr>
      <w:spacing w:line="228" w:lineRule="auto"/>
      <w:ind w:left="115"/>
      <w:rPr>
        <w:rFonts w:ascii="宋体" w:hAnsi="宋体" w:eastAsia="宋体" w:cs="宋体"/>
        <w:sz w:val="17"/>
        <w:szCs w:val="17"/>
      </w:rPr>
    </w:pPr>
    <w:r>
      <w:pict>
        <v:shape id="_x0000_s1081" o:spid="_x0000_s1081" style="position:absolute;left:0pt;margin-left:83pt;margin-top:57.2pt;height:0.5pt;width:433.35pt;mso-position-horizontal-relative:page;mso-position-vertical-relative:page;z-index:251722752;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62671">
    <w:pPr>
      <w:spacing w:line="14" w:lineRule="auto"/>
      <w:rPr>
        <w:sz w:val="2"/>
      </w:rPr>
    </w:pP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96A87">
    <w:pPr>
      <w:spacing w:line="228" w:lineRule="auto"/>
      <w:ind w:left="318"/>
      <w:rPr>
        <w:rFonts w:ascii="宋体" w:hAnsi="宋体" w:eastAsia="宋体" w:cs="宋体"/>
        <w:sz w:val="17"/>
        <w:szCs w:val="17"/>
      </w:rPr>
    </w:pPr>
    <w:r>
      <w:pict>
        <v:shape id="_x0000_s1082" o:spid="_x0000_s1082" style="position:absolute;left:0pt;margin-left:83pt;margin-top:57.2pt;height:0.5pt;width:433.35pt;mso-position-horizontal-relative:page;mso-position-vertical-relative:page;z-index:251723776;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87AE4">
    <w:pPr>
      <w:spacing w:line="14" w:lineRule="auto"/>
      <w:rPr>
        <w:sz w:val="2"/>
      </w:rPr>
    </w:pP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7BFDA">
    <w:pPr>
      <w:spacing w:line="228" w:lineRule="auto"/>
      <w:ind w:left="7"/>
      <w:rPr>
        <w:rFonts w:ascii="宋体" w:hAnsi="宋体" w:eastAsia="宋体" w:cs="宋体"/>
        <w:sz w:val="17"/>
        <w:szCs w:val="17"/>
      </w:rPr>
    </w:pPr>
    <w:r>
      <w:pict>
        <v:shape id="_x0000_s1083" o:spid="_x0000_s1083" style="position:absolute;left:0pt;margin-left:83pt;margin-top:57.2pt;height:0.5pt;width:433.35pt;mso-position-horizontal-relative:page;mso-position-vertical-relative:page;z-index:251724800;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D2677">
    <w:pPr>
      <w:spacing w:line="228" w:lineRule="auto"/>
      <w:ind w:left="7"/>
      <w:rPr>
        <w:rFonts w:ascii="宋体" w:hAnsi="宋体" w:eastAsia="宋体" w:cs="宋体"/>
        <w:sz w:val="17"/>
        <w:szCs w:val="17"/>
      </w:rPr>
    </w:pPr>
    <w:r>
      <w:pict>
        <v:shape id="_x0000_s1084" o:spid="_x0000_s1084" style="position:absolute;left:0pt;margin-left:83pt;margin-top:57.2pt;height:0.5pt;width:433.35pt;mso-position-horizontal-relative:page;mso-position-vertical-relative:page;z-index:251713536;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CB34B">
    <w:pPr>
      <w:spacing w:line="14" w:lineRule="auto"/>
      <w:rPr>
        <w:sz w:val="2"/>
      </w:rPr>
    </w:pP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53AD9">
    <w:pPr>
      <w:spacing w:line="228" w:lineRule="auto"/>
      <w:ind w:left="7"/>
      <w:rPr>
        <w:rFonts w:ascii="宋体" w:hAnsi="宋体" w:eastAsia="宋体" w:cs="宋体"/>
        <w:sz w:val="17"/>
        <w:szCs w:val="17"/>
      </w:rPr>
    </w:pPr>
    <w:r>
      <w:pict>
        <v:shape id="_x0000_s1085" o:spid="_x0000_s1085" style="position:absolute;left:0pt;margin-left:83pt;margin-top:57.2pt;height:0.5pt;width:433.35pt;mso-position-horizontal-relative:page;mso-position-vertical-relative:page;z-index:251714560;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4ABE7">
    <w:pPr>
      <w:spacing w:line="228" w:lineRule="auto"/>
      <w:ind w:left="7"/>
      <w:rPr>
        <w:rFonts w:ascii="宋体" w:hAnsi="宋体" w:eastAsia="宋体" w:cs="宋体"/>
        <w:sz w:val="17"/>
        <w:szCs w:val="17"/>
      </w:rPr>
    </w:pPr>
    <w:r>
      <w:pict>
        <v:shape id="_x0000_s1086" o:spid="_x0000_s1086" style="position:absolute;left:0pt;margin-left:83pt;margin-top:57.2pt;height:0.5pt;width:433.35pt;mso-position-horizontal-relative:page;mso-position-vertical-relative:page;z-index:251727872;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EADED">
    <w:pPr>
      <w:spacing w:line="228" w:lineRule="auto"/>
      <w:ind w:left="7"/>
      <w:rPr>
        <w:rFonts w:ascii="宋体" w:hAnsi="宋体" w:eastAsia="宋体" w:cs="宋体"/>
        <w:sz w:val="17"/>
        <w:szCs w:val="17"/>
      </w:rPr>
    </w:pPr>
    <w:r>
      <w:pict>
        <v:shape id="_x0000_s1087" o:spid="_x0000_s1087" style="position:absolute;left:0pt;margin-left:83pt;margin-top:57.2pt;height:0.5pt;width:433.35pt;mso-position-horizontal-relative:page;mso-position-vertical-relative:page;z-index:251715584;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6FC63">
    <w:pPr>
      <w:spacing w:line="14" w:lineRule="auto"/>
      <w:rPr>
        <w:sz w:val="2"/>
      </w:rPr>
    </w:pP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6D11F">
    <w:pPr>
      <w:spacing w:line="228" w:lineRule="auto"/>
      <w:ind w:left="115"/>
      <w:rPr>
        <w:rFonts w:ascii="宋体" w:hAnsi="宋体" w:eastAsia="宋体" w:cs="宋体"/>
        <w:sz w:val="17"/>
        <w:szCs w:val="17"/>
      </w:rPr>
    </w:pPr>
    <w:r>
      <w:pict>
        <v:shape id="_x0000_s1088" o:spid="_x0000_s1088" style="position:absolute;left:0pt;margin-left:83pt;margin-top:57.2pt;height:0.5pt;width:433.35pt;mso-position-horizontal-relative:page;mso-position-vertical-relative:page;z-index:251728896;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89F48">
    <w:pPr>
      <w:spacing w:line="14" w:lineRule="auto"/>
      <w:rPr>
        <w:sz w:val="2"/>
      </w:rPr>
    </w:pP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7D6B5">
    <w:pPr>
      <w:spacing w:line="228" w:lineRule="auto"/>
      <w:ind w:left="7"/>
      <w:rPr>
        <w:rFonts w:ascii="宋体" w:hAnsi="宋体" w:eastAsia="宋体" w:cs="宋体"/>
        <w:sz w:val="17"/>
        <w:szCs w:val="17"/>
      </w:rPr>
    </w:pPr>
    <w:r>
      <w:pict>
        <v:shape id="_x0000_s1089" o:spid="_x0000_s1089" style="position:absolute;left:0pt;margin-left:83pt;margin-top:57.2pt;height:0.5pt;width:433.35pt;mso-position-horizontal-relative:page;mso-position-vertical-relative:page;z-index:251729920;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338D5">
    <w:pPr>
      <w:spacing w:line="228" w:lineRule="auto"/>
      <w:ind w:left="7"/>
      <w:rPr>
        <w:rFonts w:ascii="宋体" w:hAnsi="宋体" w:eastAsia="宋体" w:cs="宋体"/>
        <w:sz w:val="17"/>
        <w:szCs w:val="17"/>
      </w:rPr>
    </w:pPr>
    <w:r>
      <w:pict>
        <v:shape id="_x0000_s1090" o:spid="_x0000_s1090" style="position:absolute;left:0pt;margin-left:83pt;margin-top:57.2pt;height:0.5pt;width:433.35pt;mso-position-horizontal-relative:page;mso-position-vertical-relative:page;z-index:251716608;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BDABA">
    <w:pPr>
      <w:spacing w:line="228" w:lineRule="auto"/>
      <w:ind w:left="7"/>
      <w:rPr>
        <w:rFonts w:ascii="宋体" w:hAnsi="宋体" w:eastAsia="宋体" w:cs="宋体"/>
        <w:sz w:val="17"/>
        <w:szCs w:val="17"/>
      </w:rPr>
    </w:pPr>
    <w:r>
      <w:pict>
        <v:shape id="_x0000_s1091" o:spid="_x0000_s1091" style="position:absolute;left:0pt;margin-left:83pt;margin-top:57.2pt;height:0.5pt;width:433.35pt;mso-position-horizontal-relative:page;mso-position-vertical-relative:page;z-index:251730944;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D2D01">
    <w:pPr>
      <w:spacing w:line="14" w:lineRule="auto"/>
      <w:rPr>
        <w:sz w:val="2"/>
      </w:rPr>
    </w:pP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21E5C">
    <w:pPr>
      <w:spacing w:line="228" w:lineRule="auto"/>
      <w:ind w:left="328"/>
      <w:rPr>
        <w:rFonts w:ascii="宋体" w:hAnsi="宋体" w:eastAsia="宋体" w:cs="宋体"/>
        <w:sz w:val="17"/>
        <w:szCs w:val="17"/>
      </w:rPr>
    </w:pPr>
    <w:r>
      <w:pict>
        <v:shape id="_x0000_s1092" o:spid="_x0000_s1092" style="position:absolute;left:0pt;margin-left:83pt;margin-top:57.2pt;height:0.5pt;width:433.35pt;mso-position-horizontal-relative:page;mso-position-vertical-relative:page;z-index:251731968;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A7E87">
    <w:pPr>
      <w:spacing w:line="228" w:lineRule="auto"/>
      <w:ind w:left="7"/>
      <w:rPr>
        <w:rFonts w:ascii="宋体" w:hAnsi="宋体" w:eastAsia="宋体" w:cs="宋体"/>
        <w:sz w:val="17"/>
        <w:szCs w:val="17"/>
      </w:rPr>
    </w:pPr>
    <w:r>
      <w:pict>
        <v:shape id="_x0000_s1093" o:spid="_x0000_s1093" style="position:absolute;left:0pt;margin-left:83pt;margin-top:57.2pt;height:0.5pt;width:433.35pt;mso-position-horizontal-relative:page;mso-position-vertical-relative:page;z-index:251719680;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675AF">
    <w:pPr>
      <w:spacing w:line="228" w:lineRule="auto"/>
      <w:ind w:left="7"/>
      <w:rPr>
        <w:rFonts w:ascii="宋体" w:hAnsi="宋体" w:eastAsia="宋体" w:cs="宋体"/>
        <w:sz w:val="17"/>
        <w:szCs w:val="17"/>
      </w:rPr>
    </w:pPr>
    <w:r>
      <w:pict>
        <v:shape id="_x0000_s1094" o:spid="_x0000_s1094" style="position:absolute;left:0pt;margin-left:83pt;margin-top:57.2pt;height:0.5pt;width:433.35pt;mso-position-horizontal-relative:page;mso-position-vertical-relative:page;z-index:251732992;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265A4">
    <w:pPr>
      <w:spacing w:line="14" w:lineRule="auto"/>
      <w:rPr>
        <w:sz w:val="2"/>
      </w:rPr>
    </w:pP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BBA66">
    <w:pPr>
      <w:spacing w:line="228" w:lineRule="auto"/>
      <w:ind w:left="7"/>
      <w:rPr>
        <w:rFonts w:ascii="宋体" w:hAnsi="宋体" w:eastAsia="宋体" w:cs="宋体"/>
        <w:sz w:val="17"/>
        <w:szCs w:val="17"/>
      </w:rPr>
    </w:pPr>
    <w:r>
      <w:pict>
        <v:shape id="_x0000_s1095" o:spid="_x0000_s1095" style="position:absolute;left:0pt;margin-left:83pt;margin-top:57.2pt;height:0.5pt;width:433.35pt;mso-position-horizontal-relative:page;mso-position-vertical-relative:page;z-index:251717632;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4AC12">
    <w:pPr>
      <w:spacing w:line="14" w:lineRule="auto"/>
      <w:rPr>
        <w:sz w:val="2"/>
      </w:rPr>
    </w:pP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A1916">
    <w:pPr>
      <w:spacing w:line="228" w:lineRule="auto"/>
      <w:ind w:left="7"/>
      <w:rPr>
        <w:rFonts w:ascii="宋体" w:hAnsi="宋体" w:eastAsia="宋体" w:cs="宋体"/>
        <w:sz w:val="17"/>
        <w:szCs w:val="17"/>
      </w:rPr>
    </w:pPr>
    <w:r>
      <w:pict>
        <v:shape id="_x0000_s1096" o:spid="_x0000_s1096" style="position:absolute;left:0pt;margin-left:83pt;margin-top:57.2pt;height:0.5pt;width:433.35pt;mso-position-horizontal-relative:page;mso-position-vertical-relative:page;z-index:251725824;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4679B">
    <w:pPr>
      <w:spacing w:line="228" w:lineRule="auto"/>
      <w:ind w:left="7"/>
      <w:rPr>
        <w:rFonts w:ascii="宋体" w:hAnsi="宋体" w:eastAsia="宋体" w:cs="宋体"/>
        <w:sz w:val="17"/>
        <w:szCs w:val="17"/>
      </w:rPr>
    </w:pPr>
    <w:r>
      <w:pict>
        <v:shape id="_x0000_s1097" o:spid="_x0000_s1097" style="position:absolute;left:0pt;margin-left:83pt;margin-top:57.2pt;height:0.5pt;width:433.35pt;mso-position-horizontal-relative:page;mso-position-vertical-relative:page;z-index:251734016;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4C074">
    <w:pPr>
      <w:spacing w:line="228" w:lineRule="auto"/>
      <w:ind w:left="7"/>
      <w:rPr>
        <w:rFonts w:ascii="宋体" w:hAnsi="宋体" w:eastAsia="宋体" w:cs="宋体"/>
        <w:sz w:val="17"/>
        <w:szCs w:val="17"/>
      </w:rPr>
    </w:pPr>
    <w:r>
      <w:pict>
        <v:shape id="_x0000_s1098" o:spid="_x0000_s1098" style="position:absolute;left:0pt;margin-left:83pt;margin-top:57.2pt;height:0.5pt;width:433.35pt;mso-position-horizontal-relative:page;mso-position-vertical-relative:page;z-index:251735040;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FA1AE">
    <w:pPr>
      <w:spacing w:line="228" w:lineRule="auto"/>
      <w:ind w:left="7"/>
      <w:rPr>
        <w:rFonts w:ascii="宋体" w:hAnsi="宋体" w:eastAsia="宋体" w:cs="宋体"/>
        <w:sz w:val="17"/>
        <w:szCs w:val="17"/>
      </w:rPr>
    </w:pPr>
    <w:r>
      <w:pict>
        <v:shape id="_x0000_s1099" o:spid="_x0000_s1099" style="position:absolute;left:0pt;margin-left:83pt;margin-top:57.2pt;height:0.5pt;width:433.35pt;mso-position-horizontal-relative:page;mso-position-vertical-relative:page;z-index:251726848;mso-width-relative:page;mso-height-relative:page;" fillcolor="#000000" filled="t" stroked="f" coordsize="8667,10" o:allowincell="f" path="m0,0l8666,0,8666,9,0,9,0,0xe">
          <v:fill on="t" focussize="0,0"/>
          <v:stroke on="f"/>
          <v:imagedata o:title=""/>
          <o:lock v:ext="edit"/>
        </v:shape>
      </w:pict>
    </w:r>
    <w:r>
      <w:rPr>
        <w:rFonts w:ascii="宋体" w:hAnsi="宋体" w:eastAsia="宋体" w:cs="宋体"/>
        <w:spacing w:val="2"/>
        <w:sz w:val="17"/>
        <w:szCs w:val="17"/>
      </w:rPr>
      <w:t>井研县丰逸养殖专业合作社丰逸标准化代养场建设项目                                   环</w:t>
    </w:r>
    <w:r>
      <w:rPr>
        <w:rFonts w:ascii="宋体" w:hAnsi="宋体" w:eastAsia="宋体" w:cs="宋体"/>
        <w:spacing w:val="1"/>
        <w:sz w:val="17"/>
        <w:szCs w:val="17"/>
      </w:rPr>
      <w:t>境</w:t>
    </w:r>
    <w:r>
      <w:rPr>
        <w:rFonts w:ascii="宋体" w:hAnsi="宋体" w:eastAsia="宋体" w:cs="宋体"/>
        <w:sz w:val="17"/>
        <w:szCs w:val="17"/>
      </w:rPr>
      <w:t>影响报告书</w:t>
    </w: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02181">
    <w:pPr>
      <w:spacing w:line="228" w:lineRule="auto"/>
      <w:ind w:left="7"/>
      <w:rPr>
        <w:rFonts w:ascii="宋体" w:hAnsi="宋体" w:eastAsia="宋体" w:cs="宋体"/>
        <w:sz w:val="17"/>
        <w:szCs w:val="17"/>
      </w:rPr>
    </w:pPr>
    <w:r>
      <w:pict>
        <v:shape id="_x0000_s1100" o:spid="_x0000_s1100" style="position:absolute;left:0pt;margin-left:63.8pt;margin-top:55.2pt;height:0.5pt;width:474.8pt;mso-position-horizontal-relative:page;mso-position-vertical-relative:page;z-index:251736064;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BE376">
    <w:pPr>
      <w:spacing w:line="228" w:lineRule="auto"/>
      <w:ind w:left="7"/>
      <w:rPr>
        <w:rFonts w:ascii="宋体" w:hAnsi="宋体" w:eastAsia="宋体" w:cs="宋体"/>
        <w:sz w:val="17"/>
        <w:szCs w:val="17"/>
      </w:rPr>
    </w:pPr>
    <w:r>
      <w:pict>
        <v:shape id="_x0000_s1101" o:spid="_x0000_s1101" style="position:absolute;left:0pt;margin-left:63.8pt;margin-top:55.2pt;height:0.5pt;width:474.8pt;mso-position-horizontal-relative:page;mso-position-vertical-relative:page;z-index:251738112;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82A3E">
    <w:pPr>
      <w:spacing w:line="228" w:lineRule="auto"/>
      <w:ind w:left="7"/>
      <w:rPr>
        <w:rFonts w:ascii="宋体" w:hAnsi="宋体" w:eastAsia="宋体" w:cs="宋体"/>
        <w:sz w:val="17"/>
        <w:szCs w:val="17"/>
      </w:rPr>
    </w:pPr>
    <w:r>
      <w:pict>
        <v:shape id="_x0000_s1102" o:spid="_x0000_s1102" style="position:absolute;left:0pt;margin-left:63.8pt;margin-top:55.2pt;height:0.5pt;width:474.8pt;mso-position-horizontal-relative:page;mso-position-vertical-relative:page;z-index:251741184;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F50F0">
    <w:pPr>
      <w:spacing w:line="228" w:lineRule="auto"/>
      <w:ind w:left="7"/>
      <w:rPr>
        <w:rFonts w:ascii="宋体" w:hAnsi="宋体" w:eastAsia="宋体" w:cs="宋体"/>
        <w:sz w:val="17"/>
        <w:szCs w:val="17"/>
      </w:rPr>
    </w:pPr>
    <w:r>
      <w:pict>
        <v:shape id="_x0000_s1103" o:spid="_x0000_s1103" style="position:absolute;left:0pt;margin-left:63.8pt;margin-top:55.2pt;height:0.5pt;width:474.8pt;mso-position-horizontal-relative:page;mso-position-vertical-relative:page;z-index:251739136;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E0927">
    <w:pPr>
      <w:spacing w:line="228" w:lineRule="auto"/>
      <w:ind w:left="7"/>
      <w:rPr>
        <w:rFonts w:ascii="宋体" w:hAnsi="宋体" w:eastAsia="宋体" w:cs="宋体"/>
        <w:sz w:val="17"/>
        <w:szCs w:val="17"/>
      </w:rPr>
    </w:pPr>
    <w:r>
      <w:pict>
        <v:shape id="_x0000_s1104" o:spid="_x0000_s1104" style="position:absolute;left:0pt;margin-left:63.8pt;margin-top:55.2pt;height:0.5pt;width:474.8pt;mso-position-horizontal-relative:page;mso-position-vertical-relative:page;z-index:251743232;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AE387">
    <w:pPr>
      <w:spacing w:line="228" w:lineRule="auto"/>
      <w:ind w:left="7"/>
      <w:rPr>
        <w:rFonts w:ascii="宋体" w:hAnsi="宋体" w:eastAsia="宋体" w:cs="宋体"/>
        <w:sz w:val="17"/>
        <w:szCs w:val="17"/>
      </w:rPr>
    </w:pPr>
    <w:r>
      <w:pict>
        <v:shape id="_x0000_s1105" o:spid="_x0000_s1105" style="position:absolute;left:0pt;margin-left:63.8pt;margin-top:55.2pt;height:0.5pt;width:474.8pt;mso-position-horizontal-relative:page;mso-position-vertical-relative:page;z-index:251740160;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1A1A6">
    <w:pPr>
      <w:spacing w:line="228" w:lineRule="auto"/>
      <w:ind w:left="7"/>
      <w:rPr>
        <w:rFonts w:ascii="宋体" w:hAnsi="宋体" w:eastAsia="宋体" w:cs="宋体"/>
        <w:sz w:val="17"/>
        <w:szCs w:val="17"/>
      </w:rPr>
    </w:pPr>
    <w:r>
      <w:pict>
        <v:shape id="_x0000_s1106" o:spid="_x0000_s1106" style="position:absolute;left:0pt;margin-left:63.8pt;margin-top:55.2pt;height:0.5pt;width:474.8pt;mso-position-horizontal-relative:page;mso-position-vertical-relative:page;z-index:251744256;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4BE69">
    <w:pPr>
      <w:spacing w:line="228" w:lineRule="auto"/>
      <w:ind w:left="7"/>
      <w:rPr>
        <w:rFonts w:ascii="宋体" w:hAnsi="宋体" w:eastAsia="宋体" w:cs="宋体"/>
        <w:sz w:val="17"/>
        <w:szCs w:val="17"/>
      </w:rPr>
    </w:pPr>
    <w:r>
      <w:pict>
        <v:shape id="_x0000_s1107" o:spid="_x0000_s1107" style="position:absolute;left:0pt;margin-left:63.8pt;margin-top:55.2pt;height:0.5pt;width:474.8pt;mso-position-horizontal-relative:page;mso-position-vertical-relative:page;z-index:251747328;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E2386">
    <w:pPr>
      <w:spacing w:line="228" w:lineRule="auto"/>
      <w:ind w:left="7"/>
      <w:rPr>
        <w:rFonts w:ascii="宋体" w:hAnsi="宋体" w:eastAsia="宋体" w:cs="宋体"/>
        <w:sz w:val="17"/>
        <w:szCs w:val="17"/>
      </w:rPr>
    </w:pPr>
    <w:r>
      <w:pict>
        <v:shape id="_x0000_s1108" o:spid="_x0000_s1108" style="position:absolute;left:0pt;margin-left:63.8pt;margin-top:55.2pt;height:0.5pt;width:474.8pt;mso-position-horizontal-relative:page;mso-position-vertical-relative:page;z-index:251748352;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65164">
    <w:pPr>
      <w:spacing w:line="228" w:lineRule="auto"/>
      <w:ind w:left="120"/>
      <w:rPr>
        <w:rFonts w:ascii="宋体" w:hAnsi="宋体" w:eastAsia="宋体" w:cs="宋体"/>
        <w:sz w:val="17"/>
        <w:szCs w:val="17"/>
      </w:rPr>
    </w:pPr>
    <w:r>
      <w:pict>
        <v:shape id="_x0000_s1109" o:spid="_x0000_s1109" style="position:absolute;left:0pt;margin-left:63.8pt;margin-top:55.2pt;height:0.5pt;width:474.8pt;mso-position-horizontal-relative:page;mso-position-vertical-relative:page;z-index:251749376;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6D0D2">
    <w:pPr>
      <w:spacing w:line="228" w:lineRule="auto"/>
      <w:ind w:left="115"/>
      <w:rPr>
        <w:rFonts w:ascii="宋体" w:hAnsi="宋体" w:eastAsia="宋体" w:cs="宋体"/>
        <w:sz w:val="17"/>
        <w:szCs w:val="17"/>
      </w:rPr>
    </w:pPr>
    <w:r>
      <w:pict>
        <v:shape id="_x0000_s1110" o:spid="_x0000_s1110" style="position:absolute;left:0pt;margin-left:63.8pt;margin-top:55.2pt;height:0.5pt;width:474.8pt;mso-position-horizontal-relative:page;mso-position-vertical-relative:page;z-index:251750400;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B89EF">
    <w:pPr>
      <w:spacing w:line="14" w:lineRule="auto"/>
      <w:rPr>
        <w:sz w:val="2"/>
      </w:rPr>
    </w:pPr>
  </w:p>
</w:hdr>
</file>

<file path=word/header1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557E0">
    <w:pPr>
      <w:spacing w:line="228" w:lineRule="auto"/>
      <w:ind w:left="7"/>
      <w:rPr>
        <w:rFonts w:ascii="宋体" w:hAnsi="宋体" w:eastAsia="宋体" w:cs="宋体"/>
        <w:sz w:val="17"/>
        <w:szCs w:val="17"/>
      </w:rPr>
    </w:pPr>
    <w:r>
      <w:pict>
        <v:shape id="_x0000_s1111" o:spid="_x0000_s1111" style="position:absolute;left:0pt;margin-left:63.8pt;margin-top:55.2pt;height:0.5pt;width:474.8pt;mso-position-horizontal-relative:page;mso-position-vertical-relative:page;z-index:251751424;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0B45E">
    <w:pPr>
      <w:spacing w:line="228" w:lineRule="auto"/>
      <w:ind w:left="7"/>
      <w:rPr>
        <w:rFonts w:ascii="宋体" w:hAnsi="宋体" w:eastAsia="宋体" w:cs="宋体"/>
        <w:sz w:val="17"/>
        <w:szCs w:val="17"/>
      </w:rPr>
    </w:pPr>
    <w:r>
      <w:pict>
        <v:shape id="_x0000_s1112" o:spid="_x0000_s1112" style="position:absolute;left:0pt;margin-left:63.8pt;margin-top:55.2pt;height:0.5pt;width:474.8pt;mso-position-horizontal-relative:page;mso-position-vertical-relative:page;z-index:251755520;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BE881">
    <w:pPr>
      <w:spacing w:line="228" w:lineRule="auto"/>
      <w:ind w:left="7"/>
      <w:rPr>
        <w:rFonts w:ascii="宋体" w:hAnsi="宋体" w:eastAsia="宋体" w:cs="宋体"/>
        <w:sz w:val="17"/>
        <w:szCs w:val="17"/>
      </w:rPr>
    </w:pPr>
    <w:r>
      <w:pict>
        <v:shape id="_x0000_s1113" o:spid="_x0000_s1113" style="position:absolute;left:0pt;margin-left:63.8pt;margin-top:55.2pt;height:0.5pt;width:474.8pt;mso-position-horizontal-relative:page;mso-position-vertical-relative:page;z-index:251757568;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DC3B7">
    <w:pPr>
      <w:spacing w:line="228" w:lineRule="auto"/>
      <w:ind w:left="7"/>
      <w:rPr>
        <w:rFonts w:ascii="宋体" w:hAnsi="宋体" w:eastAsia="宋体" w:cs="宋体"/>
        <w:sz w:val="17"/>
        <w:szCs w:val="17"/>
      </w:rPr>
    </w:pPr>
    <w:r>
      <w:pict>
        <v:shape id="_x0000_s1114" o:spid="_x0000_s1114" style="position:absolute;left:0pt;margin-left:63.8pt;margin-top:55.2pt;height:0.5pt;width:474.8pt;mso-position-horizontal-relative:page;mso-position-vertical-relative:page;z-index:251745280;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FF003">
    <w:pPr>
      <w:spacing w:line="228" w:lineRule="auto"/>
      <w:ind w:left="7"/>
      <w:rPr>
        <w:rFonts w:ascii="宋体" w:hAnsi="宋体" w:eastAsia="宋体" w:cs="宋体"/>
        <w:sz w:val="17"/>
        <w:szCs w:val="17"/>
      </w:rPr>
    </w:pPr>
    <w:r>
      <w:pict>
        <v:shape id="_x0000_s1115" o:spid="_x0000_s1115" style="position:absolute;left:0pt;margin-left:63.8pt;margin-top:55.2pt;height:0.5pt;width:474.8pt;mso-position-horizontal-relative:page;mso-position-vertical-relative:page;z-index:251737088;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7A8E3">
    <w:pPr>
      <w:spacing w:line="228" w:lineRule="auto"/>
      <w:ind w:left="115"/>
      <w:rPr>
        <w:rFonts w:ascii="宋体" w:hAnsi="宋体" w:eastAsia="宋体" w:cs="宋体"/>
        <w:sz w:val="17"/>
        <w:szCs w:val="17"/>
      </w:rPr>
    </w:pPr>
    <w:r>
      <w:pict>
        <v:shape id="_x0000_s1116" o:spid="_x0000_s1116" style="position:absolute;left:0pt;margin-left:63.8pt;margin-top:55.2pt;height:0.5pt;width:474.8pt;mso-position-horizontal-relative:page;mso-position-vertical-relative:page;z-index:251758592;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3AF0C">
    <w:pPr>
      <w:spacing w:line="228" w:lineRule="auto"/>
      <w:ind w:left="7"/>
      <w:rPr>
        <w:rFonts w:ascii="宋体" w:hAnsi="宋体" w:eastAsia="宋体" w:cs="宋体"/>
        <w:sz w:val="17"/>
        <w:szCs w:val="17"/>
      </w:rPr>
    </w:pPr>
    <w:r>
      <w:pict>
        <v:shape id="_x0000_s1117" o:spid="_x0000_s1117" style="position:absolute;left:0pt;margin-left:63.8pt;margin-top:55.2pt;height:0.5pt;width:474.8pt;mso-position-horizontal-relative:page;mso-position-vertical-relative:page;z-index:251746304;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60E1B">
    <w:pPr>
      <w:spacing w:line="228" w:lineRule="auto"/>
      <w:ind w:left="7"/>
      <w:rPr>
        <w:rFonts w:ascii="宋体" w:hAnsi="宋体" w:eastAsia="宋体" w:cs="宋体"/>
        <w:sz w:val="17"/>
        <w:szCs w:val="17"/>
      </w:rPr>
    </w:pPr>
    <w:r>
      <w:pict>
        <v:shape id="_x0000_s1118" o:spid="_x0000_s1118" style="position:absolute;left:0pt;margin-left:63.8pt;margin-top:55.2pt;height:0.5pt;width:474.8pt;mso-position-horizontal-relative:page;mso-position-vertical-relative:page;z-index:251752448;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B727D">
    <w:pPr>
      <w:spacing w:line="14" w:lineRule="auto"/>
      <w:rPr>
        <w:sz w:val="2"/>
      </w:rPr>
    </w:pPr>
  </w:p>
</w:hdr>
</file>

<file path=word/header1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1DD16">
    <w:pPr>
      <w:spacing w:line="228" w:lineRule="auto"/>
      <w:ind w:left="69"/>
      <w:rPr>
        <w:rFonts w:ascii="宋体" w:hAnsi="宋体" w:eastAsia="宋体" w:cs="宋体"/>
        <w:sz w:val="17"/>
        <w:szCs w:val="17"/>
      </w:rPr>
    </w:pPr>
    <w:r>
      <w:pict>
        <v:shape id="_x0000_s1119" o:spid="_x0000_s1119" style="position:absolute;left:0pt;margin-left:63.8pt;margin-top:55.2pt;height:0.5pt;width:474.8pt;mso-position-horizontal-relative:page;mso-position-vertical-relative:page;z-index:251762688;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973A0">
    <w:pPr>
      <w:spacing w:line="14" w:lineRule="auto"/>
      <w:rPr>
        <w:sz w:val="2"/>
      </w:rPr>
    </w:pPr>
  </w:p>
</w:hdr>
</file>

<file path=word/header1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7371C">
    <w:pPr>
      <w:spacing w:line="228" w:lineRule="auto"/>
      <w:ind w:left="115"/>
      <w:rPr>
        <w:rFonts w:ascii="宋体" w:hAnsi="宋体" w:eastAsia="宋体" w:cs="宋体"/>
        <w:sz w:val="17"/>
        <w:szCs w:val="17"/>
      </w:rPr>
    </w:pPr>
    <w:r>
      <w:pict>
        <v:shape id="_x0000_s1120" o:spid="_x0000_s1120" style="position:absolute;left:0pt;margin-left:63.8pt;margin-top:55.2pt;height:0.5pt;width:474.8pt;mso-position-horizontal-relative:page;mso-position-vertical-relative:page;z-index:251759616;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BC15F">
    <w:pPr>
      <w:spacing w:line="228" w:lineRule="auto"/>
      <w:ind w:left="7"/>
      <w:rPr>
        <w:rFonts w:ascii="宋体" w:hAnsi="宋体" w:eastAsia="宋体" w:cs="宋体"/>
        <w:sz w:val="17"/>
        <w:szCs w:val="17"/>
      </w:rPr>
    </w:pPr>
    <w:r>
      <w:pict>
        <v:shape id="_x0000_s1121" o:spid="_x0000_s1121" style="position:absolute;left:0pt;margin-left:63.8pt;margin-top:55.2pt;height:0.5pt;width:474.8pt;mso-position-horizontal-relative:page;mso-position-vertical-relative:page;z-index:251763712;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2D6C1">
    <w:pPr>
      <w:spacing w:line="228" w:lineRule="auto"/>
      <w:ind w:left="7"/>
      <w:rPr>
        <w:rFonts w:ascii="宋体" w:hAnsi="宋体" w:eastAsia="宋体" w:cs="宋体"/>
        <w:sz w:val="17"/>
        <w:szCs w:val="17"/>
      </w:rPr>
    </w:pPr>
    <w:r>
      <w:pict>
        <v:shape id="_x0000_s1122" o:spid="_x0000_s1122" style="position:absolute;left:0pt;margin-left:63.8pt;margin-top:55.2pt;height:0.5pt;width:474.8pt;mso-position-horizontal-relative:page;mso-position-vertical-relative:page;z-index:251764736;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76263">
    <w:pPr>
      <w:spacing w:line="228" w:lineRule="auto"/>
      <w:ind w:left="115"/>
      <w:rPr>
        <w:rFonts w:ascii="宋体" w:hAnsi="宋体" w:eastAsia="宋体" w:cs="宋体"/>
        <w:sz w:val="17"/>
        <w:szCs w:val="17"/>
      </w:rPr>
    </w:pPr>
    <w:r>
      <w:pict>
        <v:shape id="_x0000_s1123" o:spid="_x0000_s1123" style="position:absolute;left:0pt;margin-left:63.8pt;margin-top:55.2pt;height:0.5pt;width:474.8pt;mso-position-horizontal-relative:page;mso-position-vertical-relative:page;z-index:251765760;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6D115">
    <w:pPr>
      <w:spacing w:line="228" w:lineRule="auto"/>
      <w:ind w:left="115"/>
      <w:rPr>
        <w:rFonts w:ascii="宋体" w:hAnsi="宋体" w:eastAsia="宋体" w:cs="宋体"/>
        <w:sz w:val="17"/>
        <w:szCs w:val="17"/>
      </w:rPr>
    </w:pPr>
    <w:r>
      <w:pict>
        <v:shape id="_x0000_s1124" o:spid="_x0000_s1124" style="position:absolute;left:0pt;margin-left:63.8pt;margin-top:55.2pt;height:0.5pt;width:474.8pt;mso-position-horizontal-relative:page;mso-position-vertical-relative:page;z-index:251760640;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95D04">
    <w:pPr>
      <w:spacing w:line="228" w:lineRule="auto"/>
      <w:ind w:left="7"/>
      <w:rPr>
        <w:rFonts w:ascii="宋体" w:hAnsi="宋体" w:eastAsia="宋体" w:cs="宋体"/>
        <w:sz w:val="17"/>
        <w:szCs w:val="17"/>
      </w:rPr>
    </w:pPr>
    <w:r>
      <w:pict>
        <v:shape id="_x0000_s1125" o:spid="_x0000_s1125" style="position:absolute;left:0pt;margin-left:63.8pt;margin-top:55.2pt;height:0.5pt;width:474.8pt;mso-position-horizontal-relative:page;mso-position-vertical-relative:page;z-index:251766784;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0D7B8">
    <w:pPr>
      <w:spacing w:line="228" w:lineRule="auto"/>
      <w:ind w:left="7"/>
      <w:rPr>
        <w:rFonts w:ascii="宋体" w:hAnsi="宋体" w:eastAsia="宋体" w:cs="宋体"/>
        <w:sz w:val="17"/>
        <w:szCs w:val="17"/>
      </w:rPr>
    </w:pPr>
    <w:r>
      <w:pict>
        <v:shape id="_x0000_s1126" o:spid="_x0000_s1126" style="position:absolute;left:0pt;margin-left:63.8pt;margin-top:55.2pt;height:0.5pt;width:474.8pt;mso-position-horizontal-relative:page;mso-position-vertical-relative:page;z-index:251767808;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5B51E">
    <w:pPr>
      <w:spacing w:line="228" w:lineRule="auto"/>
      <w:ind w:left="115"/>
      <w:rPr>
        <w:rFonts w:ascii="宋体" w:hAnsi="宋体" w:eastAsia="宋体" w:cs="宋体"/>
        <w:sz w:val="17"/>
        <w:szCs w:val="17"/>
      </w:rPr>
    </w:pPr>
    <w:r>
      <w:pict>
        <v:shape id="_x0000_s1127" o:spid="_x0000_s1127" style="position:absolute;left:0pt;margin-left:63.8pt;margin-top:55.2pt;height:0.5pt;width:474.8pt;mso-position-horizontal-relative:page;mso-position-vertical-relative:page;z-index:251768832;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F90CF">
    <w:pPr>
      <w:spacing w:line="228" w:lineRule="auto"/>
      <w:ind w:left="115"/>
      <w:rPr>
        <w:rFonts w:ascii="宋体" w:hAnsi="宋体" w:eastAsia="宋体" w:cs="宋体"/>
        <w:sz w:val="17"/>
        <w:szCs w:val="17"/>
      </w:rPr>
    </w:pPr>
    <w:r>
      <w:pict>
        <v:shape id="_x0000_s1128" o:spid="_x0000_s1128" style="position:absolute;left:0pt;margin-left:63.8pt;margin-top:55.2pt;height:0.5pt;width:474.8pt;mso-position-horizontal-relative:page;mso-position-vertical-relative:page;z-index:251769856;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6675E">
    <w:pPr>
      <w:spacing w:line="228" w:lineRule="auto"/>
      <w:ind w:left="7"/>
      <w:rPr>
        <w:rFonts w:ascii="宋体" w:hAnsi="宋体" w:eastAsia="宋体" w:cs="宋体"/>
        <w:sz w:val="17"/>
        <w:szCs w:val="17"/>
      </w:rPr>
    </w:pPr>
    <w:r>
      <w:pict>
        <v:shape id="_x0000_s1129" o:spid="_x0000_s1129" style="position:absolute;left:0pt;margin-left:63.8pt;margin-top:55.2pt;height:0.5pt;width:474.8pt;mso-position-horizontal-relative:page;mso-position-vertical-relative:page;z-index:251742208;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96C25">
    <w:pPr>
      <w:spacing w:line="228" w:lineRule="auto"/>
      <w:ind w:left="7"/>
      <w:rPr>
        <w:rFonts w:ascii="宋体" w:hAnsi="宋体" w:eastAsia="宋体" w:cs="宋体"/>
        <w:sz w:val="17"/>
        <w:szCs w:val="17"/>
      </w:rPr>
    </w:pPr>
    <w:r>
      <w:pict>
        <v:shape id="_x0000_s1130" o:spid="_x0000_s1130" style="position:absolute;left:0pt;margin-left:63.8pt;margin-top:55.2pt;height:0.5pt;width:474.8pt;mso-position-horizontal-relative:page;mso-position-vertical-relative:page;z-index:251753472;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AC19E">
    <w:pPr>
      <w:spacing w:line="228" w:lineRule="auto"/>
      <w:ind w:left="7"/>
      <w:rPr>
        <w:rFonts w:ascii="宋体" w:hAnsi="宋体" w:eastAsia="宋体" w:cs="宋体"/>
        <w:sz w:val="17"/>
        <w:szCs w:val="17"/>
      </w:rPr>
    </w:pPr>
    <w:r>
      <w:pict>
        <v:shape id="_x0000_s1131" o:spid="_x0000_s1131" style="position:absolute;left:0pt;margin-left:63.8pt;margin-top:55.2pt;height:0.5pt;width:474.8pt;mso-position-horizontal-relative:page;mso-position-vertical-relative:page;z-index:251770880;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7A364">
    <w:pPr>
      <w:spacing w:line="228" w:lineRule="auto"/>
      <w:ind w:left="7"/>
      <w:rPr>
        <w:rFonts w:ascii="宋体" w:hAnsi="宋体" w:eastAsia="宋体" w:cs="宋体"/>
        <w:sz w:val="17"/>
        <w:szCs w:val="17"/>
      </w:rPr>
    </w:pPr>
    <w:r>
      <w:pict>
        <v:shape id="_x0000_s1132" o:spid="_x0000_s1132" style="position:absolute;left:0pt;margin-left:63.8pt;margin-top:55.2pt;height:0.5pt;width:474.8pt;mso-position-horizontal-relative:page;mso-position-vertical-relative:page;z-index:251754496;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8B02F">
    <w:pPr>
      <w:spacing w:line="228" w:lineRule="auto"/>
      <w:ind w:left="115"/>
      <w:rPr>
        <w:rFonts w:ascii="宋体" w:hAnsi="宋体" w:eastAsia="宋体" w:cs="宋体"/>
        <w:sz w:val="17"/>
        <w:szCs w:val="17"/>
      </w:rPr>
    </w:pPr>
    <w:r>
      <w:pict>
        <v:shape id="_x0000_s1133" o:spid="_x0000_s1133" style="position:absolute;left:0pt;margin-left:63.8pt;margin-top:55.2pt;height:0.5pt;width:474.8pt;mso-position-horizontal-relative:page;mso-position-vertical-relative:page;z-index:251761664;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70DF3">
    <w:pPr>
      <w:spacing w:line="14" w:lineRule="auto"/>
      <w:rPr>
        <w:sz w:val="2"/>
      </w:rPr>
    </w:pPr>
  </w:p>
</w:hdr>
</file>

<file path=word/header1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1BE75">
    <w:pPr>
      <w:spacing w:line="228" w:lineRule="auto"/>
      <w:ind w:left="7"/>
      <w:rPr>
        <w:rFonts w:ascii="宋体" w:hAnsi="宋体" w:eastAsia="宋体" w:cs="宋体"/>
        <w:sz w:val="17"/>
        <w:szCs w:val="17"/>
      </w:rPr>
    </w:pPr>
    <w:r>
      <w:pict>
        <v:shape id="_x0000_s1134" o:spid="_x0000_s1134" style="position:absolute;left:0pt;margin-left:63.8pt;margin-top:55.2pt;height:0.5pt;width:474.8pt;mso-position-horizontal-relative:page;mso-position-vertical-relative:page;z-index:251756544;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8572E">
    <w:pPr>
      <w:spacing w:line="228" w:lineRule="auto"/>
      <w:ind w:left="115"/>
      <w:rPr>
        <w:rFonts w:ascii="宋体" w:hAnsi="宋体" w:eastAsia="宋体" w:cs="宋体"/>
        <w:sz w:val="17"/>
        <w:szCs w:val="17"/>
      </w:rPr>
    </w:pPr>
    <w:r>
      <w:pict>
        <v:shape id="_x0000_s1135" o:spid="_x0000_s1135" style="position:absolute;left:0pt;margin-left:63.8pt;margin-top:55.2pt;height:0.5pt;width:474.8pt;mso-position-horizontal-relative:page;mso-position-vertical-relative:page;z-index:251771904;mso-width-relative:page;mso-height-relative:page;" fillcolor="#000000" filled="t" stroked="f" coordsize="9495,10" o:allowincell="f" path="m0,0l9495,0,9495,9,0,9,0,0xe">
          <v:fill on="t" focussize="0,0"/>
          <v:stroke on="f"/>
          <v:imagedata o:title=""/>
          <o:lock v:ext="edit"/>
        </v:shape>
      </w:pict>
    </w:r>
    <w:r>
      <w:rPr>
        <w:rFonts w:ascii="宋体" w:hAnsi="宋体" w:eastAsia="宋体" w:cs="宋体"/>
        <w:spacing w:val="2"/>
        <w:sz w:val="17"/>
        <w:szCs w:val="17"/>
      </w:rPr>
      <w:t>井研县丰逸养殖专业合作社丰逸标准化代</w:t>
    </w:r>
    <w:r>
      <w:rPr>
        <w:rFonts w:ascii="宋体" w:hAnsi="宋体" w:eastAsia="宋体" w:cs="宋体"/>
        <w:spacing w:val="1"/>
        <w:sz w:val="17"/>
        <w:szCs w:val="17"/>
      </w:rPr>
      <w:t>养场建设项目                                            环境影响报告书</w:t>
    </w:r>
  </w:p>
</w:hdr>
</file>

<file path=word/header1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C92A8">
    <w:pPr>
      <w:spacing w:line="228" w:lineRule="auto"/>
      <w:ind w:left="120"/>
      <w:rPr>
        <w:rFonts w:ascii="宋体" w:hAnsi="宋体" w:eastAsia="宋体" w:cs="宋体"/>
        <w:sz w:val="17"/>
        <w:szCs w:val="17"/>
      </w:rPr>
    </w:pPr>
    <w:r>
      <w:pict>
        <v:shape id="_x0000_s1136" o:spid="_x0000_s1136" style="position:absolute;left:0pt;margin-left:63.8pt;margin-top:55.2pt;height:0.75pt;width:474.8pt;mso-position-horizontal-relative:page;mso-position-vertical-relative:page;z-index:251772928;mso-width-relative:page;mso-height-relative:page;" fillcolor="#000000" filled="t" stroked="f" coordsize="9495,15" o:allowincell="f" path="m0,0l9495,0,9495,14,0,14,0,0xe">
          <v:fill on="t" focussize="0,0"/>
          <v:stroke on="f"/>
          <v:imagedata o:title=""/>
          <o:lock v:ext="edit"/>
        </v:shape>
      </w:pict>
    </w:r>
    <w:r>
      <w:rPr>
        <w:rFonts w:ascii="宋体" w:hAnsi="宋体" w:eastAsia="宋体" w:cs="宋体"/>
        <w:spacing w:val="2"/>
        <w:sz w:val="17"/>
        <w:szCs w:val="17"/>
      </w:rPr>
      <w:t>井研县丰逸养殖专业合作</w:t>
    </w:r>
    <w:r>
      <w:rPr>
        <w:rFonts w:ascii="宋体" w:hAnsi="宋体" w:eastAsia="宋体" w:cs="宋体"/>
        <w:spacing w:val="1"/>
        <w:sz w:val="17"/>
        <w:szCs w:val="17"/>
      </w:rPr>
      <w:t>社丰逸标准化代养场建设项目                                              环境影响报告书</w:t>
    </w:r>
  </w:p>
</w:hdr>
</file>

<file path=word/header1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6FF0A">
    <w:pPr>
      <w:spacing w:line="228" w:lineRule="auto"/>
      <w:ind w:left="120"/>
      <w:rPr>
        <w:rFonts w:ascii="宋体" w:hAnsi="宋体" w:eastAsia="宋体" w:cs="宋体"/>
        <w:sz w:val="17"/>
        <w:szCs w:val="17"/>
      </w:rPr>
    </w:pPr>
    <w:r>
      <w:pict>
        <v:shape id="_x0000_s1137" o:spid="_x0000_s1137" style="position:absolute;left:0pt;margin-left:63.8pt;margin-top:55.2pt;height:0.75pt;width:474.8pt;mso-position-horizontal-relative:page;mso-position-vertical-relative:page;z-index:251773952;mso-width-relative:page;mso-height-relative:page;" fillcolor="#000000" filled="t" stroked="f" coordsize="9495,15" o:allowincell="f" path="m0,0l9495,0,9495,14,0,14,0,0xe">
          <v:fill on="t" focussize="0,0"/>
          <v:stroke on="f"/>
          <v:imagedata o:title=""/>
          <o:lock v:ext="edit"/>
        </v:shape>
      </w:pict>
    </w:r>
    <w:r>
      <w:rPr>
        <w:rFonts w:ascii="宋体" w:hAnsi="宋体" w:eastAsia="宋体" w:cs="宋体"/>
        <w:spacing w:val="2"/>
        <w:sz w:val="17"/>
        <w:szCs w:val="17"/>
      </w:rPr>
      <w:t>井研县丰逸养殖专业合作</w:t>
    </w:r>
    <w:r>
      <w:rPr>
        <w:rFonts w:ascii="宋体" w:hAnsi="宋体" w:eastAsia="宋体" w:cs="宋体"/>
        <w:spacing w:val="1"/>
        <w:sz w:val="17"/>
        <w:szCs w:val="17"/>
      </w:rPr>
      <w:t>社丰逸标准化代养场建设项目                                              环境影响报告书</w:t>
    </w:r>
  </w:p>
</w:hdr>
</file>

<file path=word/header1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B0BBF">
    <w:pPr>
      <w:spacing w:line="228" w:lineRule="auto"/>
      <w:ind w:left="263"/>
      <w:rPr>
        <w:rFonts w:ascii="宋体" w:hAnsi="宋体" w:eastAsia="宋体" w:cs="宋体"/>
        <w:sz w:val="17"/>
        <w:szCs w:val="17"/>
      </w:rPr>
    </w:pPr>
    <w:r>
      <w:pict>
        <v:shape id="_x0000_s1138" o:spid="_x0000_s1138" style="position:absolute;left:0pt;margin-left:63.8pt;margin-top:55.2pt;height:0.75pt;width:474.8pt;mso-position-horizontal-relative:page;mso-position-vertical-relative:page;z-index:251776000;mso-width-relative:page;mso-height-relative:page;" fillcolor="#000000" filled="t" stroked="f" coordsize="9495,15" o:allowincell="f" path="m0,0l9495,0,9495,14,0,14,0,0xe">
          <v:fill on="t" focussize="0,0"/>
          <v:stroke on="f"/>
          <v:imagedata o:title=""/>
          <o:lock v:ext="edit"/>
        </v:shape>
      </w:pict>
    </w:r>
    <w:r>
      <w:rPr>
        <w:rFonts w:ascii="宋体" w:hAnsi="宋体" w:eastAsia="宋体" w:cs="宋体"/>
        <w:spacing w:val="2"/>
        <w:sz w:val="17"/>
        <w:szCs w:val="17"/>
      </w:rPr>
      <w:t>井研县丰逸养殖专业合作</w:t>
    </w:r>
    <w:r>
      <w:rPr>
        <w:rFonts w:ascii="宋体" w:hAnsi="宋体" w:eastAsia="宋体" w:cs="宋体"/>
        <w:spacing w:val="1"/>
        <w:sz w:val="17"/>
        <w:szCs w:val="17"/>
      </w:rPr>
      <w:t>社丰逸标准化代养场建设项目                                              环境影响报告书</w:t>
    </w:r>
  </w:p>
</w:hdr>
</file>

<file path=word/header1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2AA77">
    <w:pPr>
      <w:spacing w:line="228" w:lineRule="auto"/>
      <w:ind w:left="120"/>
      <w:rPr>
        <w:rFonts w:ascii="宋体" w:hAnsi="宋体" w:eastAsia="宋体" w:cs="宋体"/>
        <w:sz w:val="17"/>
        <w:szCs w:val="17"/>
      </w:rPr>
    </w:pPr>
    <w:r>
      <w:pict>
        <v:shape id="_x0000_s1139" o:spid="_x0000_s1139" style="position:absolute;left:0pt;margin-left:63.8pt;margin-top:55.2pt;height:0.75pt;width:474.8pt;mso-position-horizontal-relative:page;mso-position-vertical-relative:page;z-index:251777024;mso-width-relative:page;mso-height-relative:page;" fillcolor="#000000" filled="t" stroked="f" coordsize="9495,15" o:allowincell="f" path="m0,0l9495,0,9495,14,0,14,0,0xe">
          <v:fill on="t" focussize="0,0"/>
          <v:stroke on="f"/>
          <v:imagedata o:title=""/>
          <o:lock v:ext="edit"/>
        </v:shape>
      </w:pict>
    </w:r>
    <w:r>
      <w:rPr>
        <w:rFonts w:ascii="宋体" w:hAnsi="宋体" w:eastAsia="宋体" w:cs="宋体"/>
        <w:spacing w:val="2"/>
        <w:sz w:val="17"/>
        <w:szCs w:val="17"/>
      </w:rPr>
      <w:t>井研县丰逸养殖专业合作</w:t>
    </w:r>
    <w:r>
      <w:rPr>
        <w:rFonts w:ascii="宋体" w:hAnsi="宋体" w:eastAsia="宋体" w:cs="宋体"/>
        <w:spacing w:val="1"/>
        <w:sz w:val="17"/>
        <w:szCs w:val="17"/>
      </w:rPr>
      <w:t>社丰逸标准化代养场建设项目                                              环境影响报告书</w:t>
    </w:r>
  </w:p>
</w:hdr>
</file>

<file path=word/header1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B3000">
    <w:pPr>
      <w:spacing w:line="228" w:lineRule="auto"/>
      <w:ind w:left="120"/>
      <w:rPr>
        <w:rFonts w:ascii="宋体" w:hAnsi="宋体" w:eastAsia="宋体" w:cs="宋体"/>
        <w:sz w:val="17"/>
        <w:szCs w:val="17"/>
      </w:rPr>
    </w:pPr>
    <w:r>
      <w:pict>
        <v:shape id="_x0000_s1140" o:spid="_x0000_s1140" style="position:absolute;left:0pt;margin-left:63.8pt;margin-top:55.2pt;height:0.75pt;width:474.8pt;mso-position-horizontal-relative:page;mso-position-vertical-relative:page;z-index:251779072;mso-width-relative:page;mso-height-relative:page;" fillcolor="#000000" filled="t" stroked="f" coordsize="9495,15" o:allowincell="f" path="m0,0l9495,0,9495,14,0,14,0,0xe">
          <v:fill on="t" focussize="0,0"/>
          <v:stroke on="f"/>
          <v:imagedata o:title=""/>
          <o:lock v:ext="edit"/>
        </v:shape>
      </w:pict>
    </w:r>
    <w:r>
      <w:rPr>
        <w:rFonts w:ascii="宋体" w:hAnsi="宋体" w:eastAsia="宋体" w:cs="宋体"/>
        <w:spacing w:val="2"/>
        <w:sz w:val="17"/>
        <w:szCs w:val="17"/>
      </w:rPr>
      <w:t>井研县丰逸养殖专业合作</w:t>
    </w:r>
    <w:r>
      <w:rPr>
        <w:rFonts w:ascii="宋体" w:hAnsi="宋体" w:eastAsia="宋体" w:cs="宋体"/>
        <w:spacing w:val="1"/>
        <w:sz w:val="17"/>
        <w:szCs w:val="17"/>
      </w:rPr>
      <w:t>社丰逸标准化代养场建设项目                                              环境影响报告书</w:t>
    </w:r>
  </w:p>
</w:hdr>
</file>

<file path=word/header1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69415">
    <w:pPr>
      <w:spacing w:line="228" w:lineRule="auto"/>
      <w:ind w:left="120"/>
      <w:rPr>
        <w:rFonts w:ascii="宋体" w:hAnsi="宋体" w:eastAsia="宋体" w:cs="宋体"/>
        <w:sz w:val="17"/>
        <w:szCs w:val="17"/>
      </w:rPr>
    </w:pPr>
    <w:r>
      <w:pict>
        <v:shape id="_x0000_s1141" o:spid="_x0000_s1141" style="position:absolute;left:0pt;margin-left:63.8pt;margin-top:55.2pt;height:0.75pt;width:474.8pt;mso-position-horizontal-relative:page;mso-position-vertical-relative:page;z-index:251780096;mso-width-relative:page;mso-height-relative:page;" fillcolor="#000000" filled="t" stroked="f" coordsize="9495,15" o:allowincell="f" path="m0,0l9495,0,9495,14,0,14,0,0xe">
          <v:fill on="t" focussize="0,0"/>
          <v:stroke on="f"/>
          <v:imagedata o:title=""/>
          <o:lock v:ext="edit"/>
        </v:shape>
      </w:pict>
    </w:r>
    <w:r>
      <w:rPr>
        <w:rFonts w:ascii="宋体" w:hAnsi="宋体" w:eastAsia="宋体" w:cs="宋体"/>
        <w:spacing w:val="2"/>
        <w:sz w:val="17"/>
        <w:szCs w:val="17"/>
      </w:rPr>
      <w:t>井研县丰逸养殖专业合作</w:t>
    </w:r>
    <w:r>
      <w:rPr>
        <w:rFonts w:ascii="宋体" w:hAnsi="宋体" w:eastAsia="宋体" w:cs="宋体"/>
        <w:spacing w:val="1"/>
        <w:sz w:val="17"/>
        <w:szCs w:val="17"/>
      </w:rPr>
      <w:t>社丰逸标准化代养场建设项目                                              环境影响报告书</w:t>
    </w:r>
  </w:p>
</w:hdr>
</file>

<file path=word/header1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4FBF2">
    <w:pPr>
      <w:spacing w:line="228" w:lineRule="auto"/>
      <w:ind w:left="120"/>
      <w:rPr>
        <w:rFonts w:ascii="宋体" w:hAnsi="宋体" w:eastAsia="宋体" w:cs="宋体"/>
        <w:sz w:val="17"/>
        <w:szCs w:val="17"/>
      </w:rPr>
    </w:pPr>
    <w:r>
      <w:pict>
        <v:shape id="_x0000_s1142" o:spid="_x0000_s1142" style="position:absolute;left:0pt;margin-left:63.8pt;margin-top:55.2pt;height:0.75pt;width:474.8pt;mso-position-horizontal-relative:page;mso-position-vertical-relative:page;z-index:251782144;mso-width-relative:page;mso-height-relative:page;" fillcolor="#000000" filled="t" stroked="f" coordsize="9495,15" o:allowincell="f" path="m0,0l9495,0,9495,14,0,14,0,0xe">
          <v:fill on="t" focussize="0,0"/>
          <v:stroke on="f"/>
          <v:imagedata o:title=""/>
          <o:lock v:ext="edit"/>
        </v:shape>
      </w:pict>
    </w:r>
    <w:r>
      <w:rPr>
        <w:rFonts w:ascii="宋体" w:hAnsi="宋体" w:eastAsia="宋体" w:cs="宋体"/>
        <w:spacing w:val="2"/>
        <w:sz w:val="17"/>
        <w:szCs w:val="17"/>
      </w:rPr>
      <w:t>井研县丰逸养殖专业合作</w:t>
    </w:r>
    <w:r>
      <w:rPr>
        <w:rFonts w:ascii="宋体" w:hAnsi="宋体" w:eastAsia="宋体" w:cs="宋体"/>
        <w:spacing w:val="1"/>
        <w:sz w:val="17"/>
        <w:szCs w:val="17"/>
      </w:rPr>
      <w:t>社丰逸标准化代养场建设项目                                              环境影响报告书</w:t>
    </w:r>
  </w:p>
</w:hdr>
</file>

<file path=word/header1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7A473">
    <w:pPr>
      <w:spacing w:line="228" w:lineRule="auto"/>
      <w:ind w:left="228"/>
      <w:rPr>
        <w:rFonts w:ascii="宋体" w:hAnsi="宋体" w:eastAsia="宋体" w:cs="宋体"/>
        <w:sz w:val="17"/>
        <w:szCs w:val="17"/>
      </w:rPr>
    </w:pPr>
    <w:r>
      <w:pict>
        <v:shape id="_x0000_s1143" o:spid="_x0000_s1143" style="position:absolute;left:0pt;margin-left:63.8pt;margin-top:55.2pt;height:0.75pt;width:474.8pt;mso-position-horizontal-relative:page;mso-position-vertical-relative:page;z-index:251784192;mso-width-relative:page;mso-height-relative:page;" fillcolor="#000000" filled="t" stroked="f" coordsize="9495,15" o:allowincell="f" path="m0,0l9495,0,9495,14,0,14,0,0xe">
          <v:fill on="t" focussize="0,0"/>
          <v:stroke on="f"/>
          <v:imagedata o:title=""/>
          <o:lock v:ext="edit"/>
        </v:shape>
      </w:pict>
    </w:r>
    <w:r>
      <w:rPr>
        <w:rFonts w:ascii="宋体" w:hAnsi="宋体" w:eastAsia="宋体" w:cs="宋体"/>
        <w:spacing w:val="2"/>
        <w:sz w:val="17"/>
        <w:szCs w:val="17"/>
      </w:rPr>
      <w:t>井研县丰逸养殖专业合作</w:t>
    </w:r>
    <w:r>
      <w:rPr>
        <w:rFonts w:ascii="宋体" w:hAnsi="宋体" w:eastAsia="宋体" w:cs="宋体"/>
        <w:spacing w:val="1"/>
        <w:sz w:val="17"/>
        <w:szCs w:val="17"/>
      </w:rPr>
      <w:t>社丰逸标准化代养场建设项目                                              环境影响报告书</w:t>
    </w:r>
  </w:p>
</w:hdr>
</file>

<file path=word/header1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93D53">
    <w:pPr>
      <w:spacing w:line="228" w:lineRule="auto"/>
      <w:ind w:left="228"/>
      <w:rPr>
        <w:rFonts w:ascii="宋体" w:hAnsi="宋体" w:eastAsia="宋体" w:cs="宋体"/>
        <w:sz w:val="17"/>
        <w:szCs w:val="17"/>
      </w:rPr>
    </w:pPr>
    <w:r>
      <w:pict>
        <v:shape id="_x0000_s1144" o:spid="_x0000_s1144" style="position:absolute;left:0pt;margin-left:63.8pt;margin-top:55.2pt;height:0.75pt;width:474.8pt;mso-position-horizontal-relative:page;mso-position-vertical-relative:page;z-index:251785216;mso-width-relative:page;mso-height-relative:page;" fillcolor="#000000" filled="t" stroked="f" coordsize="9495,15" o:allowincell="f" path="m0,0l9495,0,9495,14,0,14,0,0xe">
          <v:fill on="t" focussize="0,0"/>
          <v:stroke on="f"/>
          <v:imagedata o:title=""/>
          <o:lock v:ext="edit"/>
        </v:shape>
      </w:pict>
    </w:r>
    <w:r>
      <w:rPr>
        <w:rFonts w:ascii="宋体" w:hAnsi="宋体" w:eastAsia="宋体" w:cs="宋体"/>
        <w:spacing w:val="2"/>
        <w:sz w:val="17"/>
        <w:szCs w:val="17"/>
      </w:rPr>
      <w:t>井研县丰逸养殖专业合作</w:t>
    </w:r>
    <w:r>
      <w:rPr>
        <w:rFonts w:ascii="宋体" w:hAnsi="宋体" w:eastAsia="宋体" w:cs="宋体"/>
        <w:spacing w:val="1"/>
        <w:sz w:val="17"/>
        <w:szCs w:val="17"/>
      </w:rPr>
      <w:t>社丰逸标准化代养场建设项目                                              环境影响报告书</w:t>
    </w:r>
  </w:p>
</w:hdr>
</file>

<file path=word/header1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59DAC">
    <w:pPr>
      <w:spacing w:line="14" w:lineRule="auto"/>
      <w:rPr>
        <w:sz w:val="2"/>
      </w:rPr>
    </w:pPr>
  </w:p>
</w:hdr>
</file>

<file path=word/header1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17E92">
    <w:pPr>
      <w:spacing w:line="228" w:lineRule="auto"/>
      <w:ind w:left="120"/>
      <w:rPr>
        <w:rFonts w:ascii="宋体" w:hAnsi="宋体" w:eastAsia="宋体" w:cs="宋体"/>
        <w:sz w:val="17"/>
        <w:szCs w:val="17"/>
      </w:rPr>
    </w:pPr>
    <w:r>
      <w:pict>
        <v:shape id="_x0000_s1145" o:spid="_x0000_s1145" style="position:absolute;left:0pt;margin-left:63.8pt;margin-top:55.2pt;height:0.75pt;width:474.8pt;mso-position-horizontal-relative:page;mso-position-vertical-relative:page;z-index:251786240;mso-width-relative:page;mso-height-relative:page;" fillcolor="#000000" filled="t" stroked="f" coordsize="9495,15" o:allowincell="f" path="m0,0l9495,0,9495,14,0,14,0,0xe">
          <v:fill on="t" focussize="0,0"/>
          <v:stroke on="f"/>
          <v:imagedata o:title=""/>
          <o:lock v:ext="edit"/>
        </v:shape>
      </w:pict>
    </w:r>
    <w:r>
      <w:rPr>
        <w:rFonts w:ascii="宋体" w:hAnsi="宋体" w:eastAsia="宋体" w:cs="宋体"/>
        <w:spacing w:val="2"/>
        <w:sz w:val="17"/>
        <w:szCs w:val="17"/>
      </w:rPr>
      <w:t>井研县丰逸养殖专业合作</w:t>
    </w:r>
    <w:r>
      <w:rPr>
        <w:rFonts w:ascii="宋体" w:hAnsi="宋体" w:eastAsia="宋体" w:cs="宋体"/>
        <w:spacing w:val="1"/>
        <w:sz w:val="17"/>
        <w:szCs w:val="17"/>
      </w:rPr>
      <w:t>社丰逸标准化代养场建设项目                                              环境影响报告书</w:t>
    </w:r>
  </w:p>
</w:hdr>
</file>

<file path=word/header1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6D668">
    <w:pPr>
      <w:spacing w:line="228" w:lineRule="auto"/>
      <w:ind w:left="120"/>
      <w:rPr>
        <w:rFonts w:ascii="宋体" w:hAnsi="宋体" w:eastAsia="宋体" w:cs="宋体"/>
        <w:sz w:val="17"/>
        <w:szCs w:val="17"/>
      </w:rPr>
    </w:pPr>
    <w:r>
      <w:pict>
        <v:shape id="_x0000_s1146" o:spid="_x0000_s1146" style="position:absolute;left:0pt;margin-left:63.8pt;margin-top:55.2pt;height:0.75pt;width:474.8pt;mso-position-horizontal-relative:page;mso-position-vertical-relative:page;z-index:251787264;mso-width-relative:page;mso-height-relative:page;" fillcolor="#000000" filled="t" stroked="f" coordsize="9495,15" o:allowincell="f" path="m0,0l9495,0,9495,14,0,14,0,0xe">
          <v:fill on="t" focussize="0,0"/>
          <v:stroke on="f"/>
          <v:imagedata o:title=""/>
          <o:lock v:ext="edit"/>
        </v:shape>
      </w:pict>
    </w:r>
    <w:r>
      <w:rPr>
        <w:rFonts w:ascii="宋体" w:hAnsi="宋体" w:eastAsia="宋体" w:cs="宋体"/>
        <w:spacing w:val="2"/>
        <w:sz w:val="17"/>
        <w:szCs w:val="17"/>
      </w:rPr>
      <w:t>井研县丰逸养殖专业合作</w:t>
    </w:r>
    <w:r>
      <w:rPr>
        <w:rFonts w:ascii="宋体" w:hAnsi="宋体" w:eastAsia="宋体" w:cs="宋体"/>
        <w:spacing w:val="1"/>
        <w:sz w:val="17"/>
        <w:szCs w:val="17"/>
      </w:rPr>
      <w:t>社丰逸标准化代养场建设项目                                              环境影响报告书</w:t>
    </w:r>
  </w:p>
</w:hdr>
</file>

<file path=word/header1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3CAD7">
    <w:pPr>
      <w:spacing w:line="228" w:lineRule="auto"/>
      <w:ind w:left="120"/>
      <w:rPr>
        <w:rFonts w:ascii="宋体" w:hAnsi="宋体" w:eastAsia="宋体" w:cs="宋体"/>
        <w:sz w:val="17"/>
        <w:szCs w:val="17"/>
      </w:rPr>
    </w:pPr>
    <w:r>
      <w:pict>
        <v:shape id="_x0000_s1147" o:spid="_x0000_s1147" style="position:absolute;left:0pt;margin-left:63.8pt;margin-top:55.2pt;height:0.75pt;width:474.8pt;mso-position-horizontal-relative:page;mso-position-vertical-relative:page;z-index:251778048;mso-width-relative:page;mso-height-relative:page;" fillcolor="#000000" filled="t" stroked="f" coordsize="9495,15" o:allowincell="f" path="m0,0l9495,0,9495,14,0,14,0,0xe">
          <v:fill on="t" focussize="0,0"/>
          <v:stroke on="f"/>
          <v:imagedata o:title=""/>
          <o:lock v:ext="edit"/>
        </v:shape>
      </w:pict>
    </w:r>
    <w:r>
      <w:rPr>
        <w:rFonts w:ascii="宋体" w:hAnsi="宋体" w:eastAsia="宋体" w:cs="宋体"/>
        <w:spacing w:val="2"/>
        <w:sz w:val="17"/>
        <w:szCs w:val="17"/>
      </w:rPr>
      <w:t>井研县丰逸养殖专业合作</w:t>
    </w:r>
    <w:r>
      <w:rPr>
        <w:rFonts w:ascii="宋体" w:hAnsi="宋体" w:eastAsia="宋体" w:cs="宋体"/>
        <w:spacing w:val="1"/>
        <w:sz w:val="17"/>
        <w:szCs w:val="17"/>
      </w:rPr>
      <w:t>社丰逸标准化代养场建设项目                                              环境影响报告书</w:t>
    </w:r>
  </w:p>
</w:hdr>
</file>

<file path=word/header1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EEEEB">
    <w:pPr>
      <w:spacing w:line="228" w:lineRule="auto"/>
      <w:ind w:left="120"/>
      <w:rPr>
        <w:rFonts w:ascii="宋体" w:hAnsi="宋体" w:eastAsia="宋体" w:cs="宋体"/>
        <w:sz w:val="17"/>
        <w:szCs w:val="17"/>
      </w:rPr>
    </w:pPr>
    <w:r>
      <w:pict>
        <v:shape id="_x0000_s1148" o:spid="_x0000_s1148" style="position:absolute;left:0pt;margin-left:63.8pt;margin-top:55.2pt;height:0.75pt;width:474.8pt;mso-position-horizontal-relative:page;mso-position-vertical-relative:page;z-index:251774976;mso-width-relative:page;mso-height-relative:page;" fillcolor="#000000" filled="t" stroked="f" coordsize="9495,15" o:allowincell="f" path="m0,0l9495,0,9495,14,0,14,0,0xe">
          <v:fill on="t" focussize="0,0"/>
          <v:stroke on="f"/>
          <v:imagedata o:title=""/>
          <o:lock v:ext="edit"/>
        </v:shape>
      </w:pict>
    </w:r>
    <w:r>
      <w:rPr>
        <w:rFonts w:ascii="宋体" w:hAnsi="宋体" w:eastAsia="宋体" w:cs="宋体"/>
        <w:spacing w:val="2"/>
        <w:sz w:val="17"/>
        <w:szCs w:val="17"/>
      </w:rPr>
      <w:t>井研县丰逸养殖专业合作</w:t>
    </w:r>
    <w:r>
      <w:rPr>
        <w:rFonts w:ascii="宋体" w:hAnsi="宋体" w:eastAsia="宋体" w:cs="宋体"/>
        <w:spacing w:val="1"/>
        <w:sz w:val="17"/>
        <w:szCs w:val="17"/>
      </w:rPr>
      <w:t>社丰逸标准化代养场建设项目                                              环境影响报告书</w:t>
    </w:r>
  </w:p>
</w:hdr>
</file>

<file path=word/header1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E0EB4">
    <w:pPr>
      <w:spacing w:line="228" w:lineRule="auto"/>
      <w:ind w:left="120"/>
      <w:rPr>
        <w:rFonts w:ascii="宋体" w:hAnsi="宋体" w:eastAsia="宋体" w:cs="宋体"/>
        <w:sz w:val="17"/>
        <w:szCs w:val="17"/>
      </w:rPr>
    </w:pPr>
    <w:r>
      <w:pict>
        <v:shape id="_x0000_s1149" o:spid="_x0000_s1149" style="position:absolute;left:0pt;margin-left:63.8pt;margin-top:55.2pt;height:0.75pt;width:474.8pt;mso-position-horizontal-relative:page;mso-position-vertical-relative:page;z-index:251788288;mso-width-relative:page;mso-height-relative:page;" fillcolor="#000000" filled="t" stroked="f" coordsize="9495,15" o:allowincell="f" path="m0,0l9495,0,9495,14,0,14,0,0xe">
          <v:fill on="t" focussize="0,0"/>
          <v:stroke on="f"/>
          <v:imagedata o:title=""/>
          <o:lock v:ext="edit"/>
        </v:shape>
      </w:pict>
    </w:r>
    <w:r>
      <w:rPr>
        <w:rFonts w:ascii="宋体" w:hAnsi="宋体" w:eastAsia="宋体" w:cs="宋体"/>
        <w:spacing w:val="2"/>
        <w:sz w:val="17"/>
        <w:szCs w:val="17"/>
      </w:rPr>
      <w:t>井研县丰逸养殖专业合作</w:t>
    </w:r>
    <w:r>
      <w:rPr>
        <w:rFonts w:ascii="宋体" w:hAnsi="宋体" w:eastAsia="宋体" w:cs="宋体"/>
        <w:spacing w:val="1"/>
        <w:sz w:val="17"/>
        <w:szCs w:val="17"/>
      </w:rPr>
      <w:t>社丰逸标准化代养场建设项目                                              环境影响报告书</w:t>
    </w:r>
  </w:p>
</w:hdr>
</file>

<file path=word/header1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41CCA">
    <w:pPr>
      <w:spacing w:line="228" w:lineRule="auto"/>
      <w:ind w:left="120"/>
      <w:rPr>
        <w:rFonts w:ascii="宋体" w:hAnsi="宋体" w:eastAsia="宋体" w:cs="宋体"/>
        <w:sz w:val="17"/>
        <w:szCs w:val="17"/>
      </w:rPr>
    </w:pPr>
    <w:r>
      <w:pict>
        <v:shape id="_x0000_s1150" o:spid="_x0000_s1150" style="position:absolute;left:0pt;margin-left:63.8pt;margin-top:55.2pt;height:0.75pt;width:474.8pt;mso-position-horizontal-relative:page;mso-position-vertical-relative:page;z-index:251789312;mso-width-relative:page;mso-height-relative:page;" fillcolor="#000000" filled="t" stroked="f" coordsize="9495,15" o:allowincell="f" path="m0,0l9495,0,9495,14,0,14,0,0xe">
          <v:fill on="t" focussize="0,0"/>
          <v:stroke on="f"/>
          <v:imagedata o:title=""/>
          <o:lock v:ext="edit"/>
        </v:shape>
      </w:pict>
    </w:r>
    <w:r>
      <w:rPr>
        <w:rFonts w:ascii="宋体" w:hAnsi="宋体" w:eastAsia="宋体" w:cs="宋体"/>
        <w:spacing w:val="2"/>
        <w:sz w:val="17"/>
        <w:szCs w:val="17"/>
      </w:rPr>
      <w:t>井研县丰逸养殖专业合作</w:t>
    </w:r>
    <w:r>
      <w:rPr>
        <w:rFonts w:ascii="宋体" w:hAnsi="宋体" w:eastAsia="宋体" w:cs="宋体"/>
        <w:spacing w:val="1"/>
        <w:sz w:val="17"/>
        <w:szCs w:val="17"/>
      </w:rPr>
      <w:t>社丰逸标准化代养场建设项目                                              环境影响报告书</w:t>
    </w:r>
  </w:p>
</w:hdr>
</file>

<file path=word/header1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A2F7E">
    <w:pPr>
      <w:spacing w:line="228" w:lineRule="auto"/>
      <w:ind w:left="120"/>
      <w:rPr>
        <w:rFonts w:ascii="宋体" w:hAnsi="宋体" w:eastAsia="宋体" w:cs="宋体"/>
        <w:sz w:val="17"/>
        <w:szCs w:val="17"/>
      </w:rPr>
    </w:pPr>
    <w:r>
      <w:pict>
        <v:shape id="_x0000_s1151" o:spid="_x0000_s1151" style="position:absolute;left:0pt;margin-left:63.8pt;margin-top:55.2pt;height:0.75pt;width:474.8pt;mso-position-horizontal-relative:page;mso-position-vertical-relative:page;z-index:251790336;mso-width-relative:page;mso-height-relative:page;" fillcolor="#000000" filled="t" stroked="f" coordsize="9495,15" o:allowincell="f" path="m0,0l9495,0,9495,14,0,14,0,0xe">
          <v:fill on="t" focussize="0,0"/>
          <v:stroke on="f"/>
          <v:imagedata o:title=""/>
          <o:lock v:ext="edit"/>
        </v:shape>
      </w:pict>
    </w:r>
    <w:r>
      <w:rPr>
        <w:rFonts w:ascii="宋体" w:hAnsi="宋体" w:eastAsia="宋体" w:cs="宋体"/>
        <w:spacing w:val="2"/>
        <w:sz w:val="17"/>
        <w:szCs w:val="17"/>
      </w:rPr>
      <w:t>井研县丰逸养殖专业合作</w:t>
    </w:r>
    <w:r>
      <w:rPr>
        <w:rFonts w:ascii="宋体" w:hAnsi="宋体" w:eastAsia="宋体" w:cs="宋体"/>
        <w:spacing w:val="1"/>
        <w:sz w:val="17"/>
        <w:szCs w:val="17"/>
      </w:rPr>
      <w:t>社丰逸标准化代养场建设项目                                              环境影响报告书</w:t>
    </w:r>
  </w:p>
</w:hdr>
</file>

<file path=word/header1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34E5C">
    <w:pPr>
      <w:spacing w:line="228" w:lineRule="auto"/>
      <w:ind w:left="120"/>
      <w:rPr>
        <w:rFonts w:ascii="宋体" w:hAnsi="宋体" w:eastAsia="宋体" w:cs="宋体"/>
        <w:sz w:val="17"/>
        <w:szCs w:val="17"/>
      </w:rPr>
    </w:pPr>
    <w:r>
      <w:pict>
        <v:shape id="_x0000_s1152" o:spid="_x0000_s1152" style="position:absolute;left:0pt;margin-left:63.8pt;margin-top:55.2pt;height:0.75pt;width:474.8pt;mso-position-horizontal-relative:page;mso-position-vertical-relative:page;z-index:251783168;mso-width-relative:page;mso-height-relative:page;" fillcolor="#000000" filled="t" stroked="f" coordsize="9495,15" o:allowincell="f" path="m0,0l9495,0,9495,14,0,14,0,0xe">
          <v:fill on="t" focussize="0,0"/>
          <v:stroke on="f"/>
          <v:imagedata o:title=""/>
          <o:lock v:ext="edit"/>
        </v:shape>
      </w:pict>
    </w:r>
    <w:r>
      <w:rPr>
        <w:rFonts w:ascii="宋体" w:hAnsi="宋体" w:eastAsia="宋体" w:cs="宋体"/>
        <w:spacing w:val="2"/>
        <w:sz w:val="17"/>
        <w:szCs w:val="17"/>
      </w:rPr>
      <w:t>井研县丰逸养殖专业合作</w:t>
    </w:r>
    <w:r>
      <w:rPr>
        <w:rFonts w:ascii="宋体" w:hAnsi="宋体" w:eastAsia="宋体" w:cs="宋体"/>
        <w:spacing w:val="1"/>
        <w:sz w:val="17"/>
        <w:szCs w:val="17"/>
      </w:rPr>
      <w:t>社丰逸标准化代养场建设项目                                              环境影响报告书</w:t>
    </w:r>
  </w:p>
</w:hdr>
</file>

<file path=word/header1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76408">
    <w:pPr>
      <w:spacing w:line="228" w:lineRule="auto"/>
      <w:ind w:left="120"/>
      <w:rPr>
        <w:rFonts w:ascii="宋体" w:hAnsi="宋体" w:eastAsia="宋体" w:cs="宋体"/>
        <w:sz w:val="17"/>
        <w:szCs w:val="17"/>
      </w:rPr>
    </w:pPr>
    <w:r>
      <w:pict>
        <v:shape id="_x0000_s1153" o:spid="_x0000_s1153" style="position:absolute;left:0pt;margin-left:63.8pt;margin-top:55.2pt;height:0.75pt;width:474.8pt;mso-position-horizontal-relative:page;mso-position-vertical-relative:page;z-index:251791360;mso-width-relative:page;mso-height-relative:page;" fillcolor="#000000" filled="t" stroked="f" coordsize="9495,15" o:allowincell="f" path="m0,0l9495,0,9495,14,0,14,0,0xe">
          <v:fill on="t" focussize="0,0"/>
          <v:stroke on="f"/>
          <v:imagedata o:title=""/>
          <o:lock v:ext="edit"/>
        </v:shape>
      </w:pict>
    </w:r>
    <w:r>
      <w:rPr>
        <w:rFonts w:ascii="宋体" w:hAnsi="宋体" w:eastAsia="宋体" w:cs="宋体"/>
        <w:spacing w:val="2"/>
        <w:sz w:val="17"/>
        <w:szCs w:val="17"/>
      </w:rPr>
      <w:t>井研县丰逸养殖专业合作</w:t>
    </w:r>
    <w:r>
      <w:rPr>
        <w:rFonts w:ascii="宋体" w:hAnsi="宋体" w:eastAsia="宋体" w:cs="宋体"/>
        <w:spacing w:val="1"/>
        <w:sz w:val="17"/>
        <w:szCs w:val="17"/>
      </w:rPr>
      <w:t>社丰逸标准化代养场建设项目                                              环境影响报告书</w:t>
    </w:r>
  </w:p>
</w:hdr>
</file>

<file path=word/header1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B8D82">
    <w:pPr>
      <w:spacing w:line="228" w:lineRule="auto"/>
      <w:ind w:left="120"/>
      <w:rPr>
        <w:rFonts w:ascii="宋体" w:hAnsi="宋体" w:eastAsia="宋体" w:cs="宋体"/>
        <w:sz w:val="17"/>
        <w:szCs w:val="17"/>
      </w:rPr>
    </w:pPr>
    <w:r>
      <w:pict>
        <v:shape id="_x0000_s1154" o:spid="_x0000_s1154" style="position:absolute;left:0pt;margin-left:63.8pt;margin-top:55.2pt;height:0.75pt;width:474.8pt;mso-position-horizontal-relative:page;mso-position-vertical-relative:page;z-index:251781120;mso-width-relative:page;mso-height-relative:page;" fillcolor="#000000" filled="t" stroked="f" coordsize="9495,15" o:allowincell="f" path="m0,0l9495,0,9495,14,0,14,0,0xe">
          <v:fill on="t" focussize="0,0"/>
          <v:stroke on="f"/>
          <v:imagedata o:title=""/>
          <o:lock v:ext="edit"/>
        </v:shape>
      </w:pict>
    </w:r>
    <w:r>
      <w:rPr>
        <w:rFonts w:ascii="宋体" w:hAnsi="宋体" w:eastAsia="宋体" w:cs="宋体"/>
        <w:spacing w:val="2"/>
        <w:sz w:val="17"/>
        <w:szCs w:val="17"/>
      </w:rPr>
      <w:t>井研县丰逸养殖专业合作</w:t>
    </w:r>
    <w:r>
      <w:rPr>
        <w:rFonts w:ascii="宋体" w:hAnsi="宋体" w:eastAsia="宋体" w:cs="宋体"/>
        <w:spacing w:val="1"/>
        <w:sz w:val="17"/>
        <w:szCs w:val="17"/>
      </w:rPr>
      <w:t>社丰逸标准化代养场建设项目                                              环境影响报告书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characterSpacingControl w:val="doNotCompress"/>
  <w:hdrShapeDefaults>
    <o:shapelayout v:ext="edit">
      <o:idmap v:ext="edit" data="1"/>
    </o:shapelayout>
  </w:hdrShapeDefaults>
  <w:compat>
    <w:spaceForUL/>
    <w:ulTrailSpace/>
    <w:useFELayout/>
    <w:compatSetting w:name="compatibilityMode" w:uri="http://schemas.microsoft.com/office/word" w:val="14"/>
  </w:compat>
  <w:docVars>
    <w:docVar w:name="commondata" w:val="eyJoZGlkIjoiMTUwYmQxYTRiYjY5Y2I1NWExYTBlMDQzMmUzYjVkZWQifQ=="/>
  </w:docVars>
  <w:rsids>
    <w:rsidRoot w:val="00F71C5F"/>
    <w:rsid w:val="00271ABF"/>
    <w:rsid w:val="003E2670"/>
    <w:rsid w:val="003F1815"/>
    <w:rsid w:val="007D533C"/>
    <w:rsid w:val="008430EA"/>
    <w:rsid w:val="00A80D94"/>
    <w:rsid w:val="00F71C5F"/>
    <w:rsid w:val="02DD710E"/>
    <w:rsid w:val="4E7C7C47"/>
    <w:rsid w:val="4FC026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9" Type="http://schemas.openxmlformats.org/officeDocument/2006/relationships/footer" Target="footer56.xml"/><Relationship Id="rId98" Type="http://schemas.openxmlformats.org/officeDocument/2006/relationships/header" Target="header41.xml"/><Relationship Id="rId97" Type="http://schemas.openxmlformats.org/officeDocument/2006/relationships/footer" Target="footer55.xml"/><Relationship Id="rId96" Type="http://schemas.openxmlformats.org/officeDocument/2006/relationships/header" Target="header40.xml"/><Relationship Id="rId95" Type="http://schemas.openxmlformats.org/officeDocument/2006/relationships/footer" Target="footer54.xml"/><Relationship Id="rId94" Type="http://schemas.openxmlformats.org/officeDocument/2006/relationships/header" Target="header39.xml"/><Relationship Id="rId93" Type="http://schemas.openxmlformats.org/officeDocument/2006/relationships/footer" Target="footer53.xml"/><Relationship Id="rId92" Type="http://schemas.openxmlformats.org/officeDocument/2006/relationships/header" Target="header38.xml"/><Relationship Id="rId91" Type="http://schemas.openxmlformats.org/officeDocument/2006/relationships/footer" Target="footer52.xml"/><Relationship Id="rId90" Type="http://schemas.openxmlformats.org/officeDocument/2006/relationships/header" Target="header37.xml"/><Relationship Id="rId9" Type="http://schemas.openxmlformats.org/officeDocument/2006/relationships/header" Target="header3.xml"/><Relationship Id="rId89" Type="http://schemas.openxmlformats.org/officeDocument/2006/relationships/footer" Target="footer51.xml"/><Relationship Id="rId88" Type="http://schemas.openxmlformats.org/officeDocument/2006/relationships/header" Target="header36.xml"/><Relationship Id="rId87" Type="http://schemas.openxmlformats.org/officeDocument/2006/relationships/footer" Target="footer50.xml"/><Relationship Id="rId86" Type="http://schemas.openxmlformats.org/officeDocument/2006/relationships/header" Target="header35.xml"/><Relationship Id="rId85" Type="http://schemas.openxmlformats.org/officeDocument/2006/relationships/footer" Target="footer49.xml"/><Relationship Id="rId84" Type="http://schemas.openxmlformats.org/officeDocument/2006/relationships/header" Target="header34.xml"/><Relationship Id="rId83" Type="http://schemas.openxmlformats.org/officeDocument/2006/relationships/footer" Target="footer48.xml"/><Relationship Id="rId82" Type="http://schemas.openxmlformats.org/officeDocument/2006/relationships/header" Target="header33.xml"/><Relationship Id="rId81" Type="http://schemas.openxmlformats.org/officeDocument/2006/relationships/footer" Target="footer47.xml"/><Relationship Id="rId80" Type="http://schemas.openxmlformats.org/officeDocument/2006/relationships/header" Target="header32.xml"/><Relationship Id="rId8" Type="http://schemas.openxmlformats.org/officeDocument/2006/relationships/footer" Target="footer4.xml"/><Relationship Id="rId79" Type="http://schemas.openxmlformats.org/officeDocument/2006/relationships/footer" Target="footer46.xml"/><Relationship Id="rId78" Type="http://schemas.openxmlformats.org/officeDocument/2006/relationships/header" Target="header31.xml"/><Relationship Id="rId77" Type="http://schemas.openxmlformats.org/officeDocument/2006/relationships/footer" Target="footer45.xml"/><Relationship Id="rId76" Type="http://schemas.openxmlformats.org/officeDocument/2006/relationships/header" Target="header30.xml"/><Relationship Id="rId75" Type="http://schemas.openxmlformats.org/officeDocument/2006/relationships/footer" Target="footer44.xml"/><Relationship Id="rId74" Type="http://schemas.openxmlformats.org/officeDocument/2006/relationships/header" Target="header29.xml"/><Relationship Id="rId73" Type="http://schemas.openxmlformats.org/officeDocument/2006/relationships/footer" Target="footer43.xml"/><Relationship Id="rId72" Type="http://schemas.openxmlformats.org/officeDocument/2006/relationships/header" Target="header28.xml"/><Relationship Id="rId71" Type="http://schemas.openxmlformats.org/officeDocument/2006/relationships/footer" Target="footer42.xml"/><Relationship Id="rId70" Type="http://schemas.openxmlformats.org/officeDocument/2006/relationships/footer" Target="footer41.xml"/><Relationship Id="rId7" Type="http://schemas.openxmlformats.org/officeDocument/2006/relationships/header" Target="header2.xml"/><Relationship Id="rId69" Type="http://schemas.openxmlformats.org/officeDocument/2006/relationships/header" Target="header27.xml"/><Relationship Id="rId68" Type="http://schemas.openxmlformats.org/officeDocument/2006/relationships/footer" Target="footer40.xml"/><Relationship Id="rId67" Type="http://schemas.openxmlformats.org/officeDocument/2006/relationships/footer" Target="footer39.xml"/><Relationship Id="rId66" Type="http://schemas.openxmlformats.org/officeDocument/2006/relationships/header" Target="header26.xml"/><Relationship Id="rId65" Type="http://schemas.openxmlformats.org/officeDocument/2006/relationships/footer" Target="footer38.xml"/><Relationship Id="rId64" Type="http://schemas.openxmlformats.org/officeDocument/2006/relationships/header" Target="header25.xml"/><Relationship Id="rId63" Type="http://schemas.openxmlformats.org/officeDocument/2006/relationships/footer" Target="footer37.xml"/><Relationship Id="rId62" Type="http://schemas.openxmlformats.org/officeDocument/2006/relationships/header" Target="header24.xml"/><Relationship Id="rId61" Type="http://schemas.openxmlformats.org/officeDocument/2006/relationships/footer" Target="footer36.xml"/><Relationship Id="rId60" Type="http://schemas.openxmlformats.org/officeDocument/2006/relationships/header" Target="header23.xml"/><Relationship Id="rId6" Type="http://schemas.openxmlformats.org/officeDocument/2006/relationships/footer" Target="footer3.xml"/><Relationship Id="rId59" Type="http://schemas.openxmlformats.org/officeDocument/2006/relationships/footer" Target="footer35.xml"/><Relationship Id="rId58" Type="http://schemas.openxmlformats.org/officeDocument/2006/relationships/header" Target="header22.xml"/><Relationship Id="rId57" Type="http://schemas.openxmlformats.org/officeDocument/2006/relationships/footer" Target="footer34.xml"/><Relationship Id="rId56" Type="http://schemas.openxmlformats.org/officeDocument/2006/relationships/header" Target="header21.xml"/><Relationship Id="rId55" Type="http://schemas.openxmlformats.org/officeDocument/2006/relationships/footer" Target="footer33.xml"/><Relationship Id="rId54" Type="http://schemas.openxmlformats.org/officeDocument/2006/relationships/header" Target="header20.xml"/><Relationship Id="rId53" Type="http://schemas.openxmlformats.org/officeDocument/2006/relationships/footer" Target="footer32.xml"/><Relationship Id="rId52" Type="http://schemas.openxmlformats.org/officeDocument/2006/relationships/header" Target="header19.xml"/><Relationship Id="rId51" Type="http://schemas.openxmlformats.org/officeDocument/2006/relationships/footer" Target="footer31.xml"/><Relationship Id="rId50" Type="http://schemas.openxmlformats.org/officeDocument/2006/relationships/header" Target="header18.xml"/><Relationship Id="rId5" Type="http://schemas.openxmlformats.org/officeDocument/2006/relationships/footer" Target="footer2.xml"/><Relationship Id="rId49" Type="http://schemas.openxmlformats.org/officeDocument/2006/relationships/footer" Target="footer30.xml"/><Relationship Id="rId48" Type="http://schemas.openxmlformats.org/officeDocument/2006/relationships/header" Target="header17.xml"/><Relationship Id="rId47" Type="http://schemas.openxmlformats.org/officeDocument/2006/relationships/footer" Target="footer29.xml"/><Relationship Id="rId46" Type="http://schemas.openxmlformats.org/officeDocument/2006/relationships/header" Target="header16.xml"/><Relationship Id="rId45" Type="http://schemas.openxmlformats.org/officeDocument/2006/relationships/footer" Target="footer28.xml"/><Relationship Id="rId44" Type="http://schemas.openxmlformats.org/officeDocument/2006/relationships/footer" Target="footer27.xml"/><Relationship Id="rId43" Type="http://schemas.openxmlformats.org/officeDocument/2006/relationships/header" Target="header15.xml"/><Relationship Id="rId42" Type="http://schemas.openxmlformats.org/officeDocument/2006/relationships/footer" Target="footer26.xml"/><Relationship Id="rId41" Type="http://schemas.openxmlformats.org/officeDocument/2006/relationships/header" Target="header14.xml"/><Relationship Id="rId40" Type="http://schemas.openxmlformats.org/officeDocument/2006/relationships/footer" Target="footer25.xml"/><Relationship Id="rId4" Type="http://schemas.openxmlformats.org/officeDocument/2006/relationships/header" Target="header1.xml"/><Relationship Id="rId392" Type="http://schemas.openxmlformats.org/officeDocument/2006/relationships/fontTable" Target="fontTable.xml"/><Relationship Id="rId391" Type="http://schemas.openxmlformats.org/officeDocument/2006/relationships/customXml" Target="../customXml/item1.xml"/><Relationship Id="rId390" Type="http://schemas.openxmlformats.org/officeDocument/2006/relationships/image" Target="media/image39.jpeg"/><Relationship Id="rId39" Type="http://schemas.openxmlformats.org/officeDocument/2006/relationships/footer" Target="footer24.xml"/><Relationship Id="rId389" Type="http://schemas.openxmlformats.org/officeDocument/2006/relationships/image" Target="media/image38.jpeg"/><Relationship Id="rId388" Type="http://schemas.openxmlformats.org/officeDocument/2006/relationships/image" Target="media/image37.jpeg"/><Relationship Id="rId387" Type="http://schemas.openxmlformats.org/officeDocument/2006/relationships/image" Target="media/image36.jpeg"/><Relationship Id="rId386" Type="http://schemas.openxmlformats.org/officeDocument/2006/relationships/image" Target="media/image35.jpeg"/><Relationship Id="rId385" Type="http://schemas.openxmlformats.org/officeDocument/2006/relationships/image" Target="media/image34.jpeg"/><Relationship Id="rId384" Type="http://schemas.openxmlformats.org/officeDocument/2006/relationships/image" Target="media/image33.png"/><Relationship Id="rId383" Type="http://schemas.openxmlformats.org/officeDocument/2006/relationships/image" Target="media/image32.jpeg"/><Relationship Id="rId382" Type="http://schemas.openxmlformats.org/officeDocument/2006/relationships/image" Target="media/image31.jpeg"/><Relationship Id="rId381" Type="http://schemas.openxmlformats.org/officeDocument/2006/relationships/image" Target="media/image30.jpeg"/><Relationship Id="rId380" Type="http://schemas.openxmlformats.org/officeDocument/2006/relationships/image" Target="media/image29.png"/><Relationship Id="rId38" Type="http://schemas.openxmlformats.org/officeDocument/2006/relationships/footer" Target="footer23.xml"/><Relationship Id="rId379" Type="http://schemas.openxmlformats.org/officeDocument/2006/relationships/image" Target="media/image28.png"/><Relationship Id="rId378" Type="http://schemas.openxmlformats.org/officeDocument/2006/relationships/image" Target="media/image27.png"/><Relationship Id="rId377" Type="http://schemas.openxmlformats.org/officeDocument/2006/relationships/image" Target="media/image26.jpeg"/><Relationship Id="rId376" Type="http://schemas.openxmlformats.org/officeDocument/2006/relationships/image" Target="media/image25.jpeg"/><Relationship Id="rId375" Type="http://schemas.openxmlformats.org/officeDocument/2006/relationships/image" Target="media/image24.png"/><Relationship Id="rId374" Type="http://schemas.openxmlformats.org/officeDocument/2006/relationships/image" Target="media/image23.jpeg"/><Relationship Id="rId373" Type="http://schemas.openxmlformats.org/officeDocument/2006/relationships/image" Target="media/image22.jpeg"/><Relationship Id="rId372" Type="http://schemas.openxmlformats.org/officeDocument/2006/relationships/image" Target="media/image21.jpeg"/><Relationship Id="rId371" Type="http://schemas.openxmlformats.org/officeDocument/2006/relationships/image" Target="media/image20.jpeg"/><Relationship Id="rId370" Type="http://schemas.openxmlformats.org/officeDocument/2006/relationships/image" Target="media/image19.jpeg"/><Relationship Id="rId37" Type="http://schemas.openxmlformats.org/officeDocument/2006/relationships/footer" Target="footer22.xml"/><Relationship Id="rId369" Type="http://schemas.openxmlformats.org/officeDocument/2006/relationships/image" Target="media/image18.jpeg"/><Relationship Id="rId368" Type="http://schemas.openxmlformats.org/officeDocument/2006/relationships/image" Target="media/image17.jpeg"/><Relationship Id="rId367" Type="http://schemas.openxmlformats.org/officeDocument/2006/relationships/image" Target="media/image16.jpeg"/><Relationship Id="rId366" Type="http://schemas.openxmlformats.org/officeDocument/2006/relationships/image" Target="media/image15.jpeg"/><Relationship Id="rId365" Type="http://schemas.openxmlformats.org/officeDocument/2006/relationships/image" Target="media/image14.jpeg"/><Relationship Id="rId364" Type="http://schemas.openxmlformats.org/officeDocument/2006/relationships/image" Target="media/image13.png"/><Relationship Id="rId363" Type="http://schemas.openxmlformats.org/officeDocument/2006/relationships/image" Target="media/image12.png"/><Relationship Id="rId362" Type="http://schemas.openxmlformats.org/officeDocument/2006/relationships/image" Target="media/image11.jpeg"/><Relationship Id="rId361" Type="http://schemas.openxmlformats.org/officeDocument/2006/relationships/image" Target="media/image10.png"/><Relationship Id="rId360" Type="http://schemas.openxmlformats.org/officeDocument/2006/relationships/image" Target="media/image9.png"/><Relationship Id="rId36" Type="http://schemas.openxmlformats.org/officeDocument/2006/relationships/footer" Target="footer21.xml"/><Relationship Id="rId359" Type="http://schemas.openxmlformats.org/officeDocument/2006/relationships/image" Target="media/image8.png"/><Relationship Id="rId358" Type="http://schemas.openxmlformats.org/officeDocument/2006/relationships/image" Target="media/image7.png"/><Relationship Id="rId357" Type="http://schemas.openxmlformats.org/officeDocument/2006/relationships/image" Target="media/image6.jpeg"/><Relationship Id="rId356" Type="http://schemas.openxmlformats.org/officeDocument/2006/relationships/image" Target="media/image5.jpeg"/><Relationship Id="rId355" Type="http://schemas.openxmlformats.org/officeDocument/2006/relationships/image" Target="media/image4.png"/><Relationship Id="rId354" Type="http://schemas.openxmlformats.org/officeDocument/2006/relationships/image" Target="media/image3.png"/><Relationship Id="rId353" Type="http://schemas.openxmlformats.org/officeDocument/2006/relationships/image" Target="media/image2.jpeg"/><Relationship Id="rId352" Type="http://schemas.openxmlformats.org/officeDocument/2006/relationships/image" Target="media/image1.png"/><Relationship Id="rId351" Type="http://schemas.openxmlformats.org/officeDocument/2006/relationships/theme" Target="theme/theme1.xml"/><Relationship Id="rId350" Type="http://schemas.openxmlformats.org/officeDocument/2006/relationships/footer" Target="footer194.xml"/><Relationship Id="rId35" Type="http://schemas.openxmlformats.org/officeDocument/2006/relationships/footer" Target="footer20.xml"/><Relationship Id="rId349" Type="http://schemas.openxmlformats.org/officeDocument/2006/relationships/header" Target="header154.xml"/><Relationship Id="rId348" Type="http://schemas.openxmlformats.org/officeDocument/2006/relationships/footer" Target="footer193.xml"/><Relationship Id="rId347" Type="http://schemas.openxmlformats.org/officeDocument/2006/relationships/header" Target="header153.xml"/><Relationship Id="rId346" Type="http://schemas.openxmlformats.org/officeDocument/2006/relationships/footer" Target="footer192.xml"/><Relationship Id="rId345" Type="http://schemas.openxmlformats.org/officeDocument/2006/relationships/header" Target="header152.xml"/><Relationship Id="rId344" Type="http://schemas.openxmlformats.org/officeDocument/2006/relationships/footer" Target="footer191.xml"/><Relationship Id="rId343" Type="http://schemas.openxmlformats.org/officeDocument/2006/relationships/header" Target="header151.xml"/><Relationship Id="rId342" Type="http://schemas.openxmlformats.org/officeDocument/2006/relationships/footer" Target="footer190.xml"/><Relationship Id="rId341" Type="http://schemas.openxmlformats.org/officeDocument/2006/relationships/header" Target="header150.xml"/><Relationship Id="rId340" Type="http://schemas.openxmlformats.org/officeDocument/2006/relationships/footer" Target="footer189.xml"/><Relationship Id="rId34" Type="http://schemas.openxmlformats.org/officeDocument/2006/relationships/footer" Target="footer19.xml"/><Relationship Id="rId339" Type="http://schemas.openxmlformats.org/officeDocument/2006/relationships/header" Target="header149.xml"/><Relationship Id="rId338" Type="http://schemas.openxmlformats.org/officeDocument/2006/relationships/footer" Target="footer188.xml"/><Relationship Id="rId337" Type="http://schemas.openxmlformats.org/officeDocument/2006/relationships/header" Target="header148.xml"/><Relationship Id="rId336" Type="http://schemas.openxmlformats.org/officeDocument/2006/relationships/footer" Target="footer187.xml"/><Relationship Id="rId335" Type="http://schemas.openxmlformats.org/officeDocument/2006/relationships/header" Target="header147.xml"/><Relationship Id="rId334" Type="http://schemas.openxmlformats.org/officeDocument/2006/relationships/footer" Target="footer186.xml"/><Relationship Id="rId333" Type="http://schemas.openxmlformats.org/officeDocument/2006/relationships/header" Target="header146.xml"/><Relationship Id="rId332" Type="http://schemas.openxmlformats.org/officeDocument/2006/relationships/footer" Target="footer185.xml"/><Relationship Id="rId331" Type="http://schemas.openxmlformats.org/officeDocument/2006/relationships/header" Target="header145.xml"/><Relationship Id="rId330" Type="http://schemas.openxmlformats.org/officeDocument/2006/relationships/footer" Target="footer184.xml"/><Relationship Id="rId33" Type="http://schemas.openxmlformats.org/officeDocument/2006/relationships/footer" Target="footer18.xml"/><Relationship Id="rId329" Type="http://schemas.openxmlformats.org/officeDocument/2006/relationships/header" Target="header144.xml"/><Relationship Id="rId328" Type="http://schemas.openxmlformats.org/officeDocument/2006/relationships/footer" Target="footer183.xml"/><Relationship Id="rId327" Type="http://schemas.openxmlformats.org/officeDocument/2006/relationships/header" Target="header143.xml"/><Relationship Id="rId326" Type="http://schemas.openxmlformats.org/officeDocument/2006/relationships/footer" Target="footer182.xml"/><Relationship Id="rId325" Type="http://schemas.openxmlformats.org/officeDocument/2006/relationships/header" Target="header142.xml"/><Relationship Id="rId324" Type="http://schemas.openxmlformats.org/officeDocument/2006/relationships/footer" Target="footer181.xml"/><Relationship Id="rId323" Type="http://schemas.openxmlformats.org/officeDocument/2006/relationships/header" Target="header141.xml"/><Relationship Id="rId322" Type="http://schemas.openxmlformats.org/officeDocument/2006/relationships/footer" Target="footer180.xml"/><Relationship Id="rId321" Type="http://schemas.openxmlformats.org/officeDocument/2006/relationships/header" Target="header140.xml"/><Relationship Id="rId320" Type="http://schemas.openxmlformats.org/officeDocument/2006/relationships/footer" Target="footer179.xml"/><Relationship Id="rId32" Type="http://schemas.openxmlformats.org/officeDocument/2006/relationships/header" Target="header13.xml"/><Relationship Id="rId319" Type="http://schemas.openxmlformats.org/officeDocument/2006/relationships/header" Target="header139.xml"/><Relationship Id="rId318" Type="http://schemas.openxmlformats.org/officeDocument/2006/relationships/footer" Target="footer178.xml"/><Relationship Id="rId317" Type="http://schemas.openxmlformats.org/officeDocument/2006/relationships/header" Target="header138.xml"/><Relationship Id="rId316" Type="http://schemas.openxmlformats.org/officeDocument/2006/relationships/footer" Target="footer177.xml"/><Relationship Id="rId315" Type="http://schemas.openxmlformats.org/officeDocument/2006/relationships/footer" Target="footer176.xml"/><Relationship Id="rId314" Type="http://schemas.openxmlformats.org/officeDocument/2006/relationships/header" Target="header137.xml"/><Relationship Id="rId313" Type="http://schemas.openxmlformats.org/officeDocument/2006/relationships/footer" Target="footer175.xml"/><Relationship Id="rId312" Type="http://schemas.openxmlformats.org/officeDocument/2006/relationships/header" Target="header136.xml"/><Relationship Id="rId311" Type="http://schemas.openxmlformats.org/officeDocument/2006/relationships/footer" Target="footer174.xml"/><Relationship Id="rId310" Type="http://schemas.openxmlformats.org/officeDocument/2006/relationships/header" Target="header135.xml"/><Relationship Id="rId31" Type="http://schemas.openxmlformats.org/officeDocument/2006/relationships/footer" Target="footer17.xml"/><Relationship Id="rId309" Type="http://schemas.openxmlformats.org/officeDocument/2006/relationships/footer" Target="footer173.xml"/><Relationship Id="rId308" Type="http://schemas.openxmlformats.org/officeDocument/2006/relationships/header" Target="header134.xml"/><Relationship Id="rId307" Type="http://schemas.openxmlformats.org/officeDocument/2006/relationships/footer" Target="footer172.xml"/><Relationship Id="rId306" Type="http://schemas.openxmlformats.org/officeDocument/2006/relationships/header" Target="header133.xml"/><Relationship Id="rId305" Type="http://schemas.openxmlformats.org/officeDocument/2006/relationships/footer" Target="footer171.xml"/><Relationship Id="rId304" Type="http://schemas.openxmlformats.org/officeDocument/2006/relationships/header" Target="header132.xml"/><Relationship Id="rId303" Type="http://schemas.openxmlformats.org/officeDocument/2006/relationships/footer" Target="footer170.xml"/><Relationship Id="rId302" Type="http://schemas.openxmlformats.org/officeDocument/2006/relationships/header" Target="header131.xml"/><Relationship Id="rId301" Type="http://schemas.openxmlformats.org/officeDocument/2006/relationships/footer" Target="footer169.xml"/><Relationship Id="rId300" Type="http://schemas.openxmlformats.org/officeDocument/2006/relationships/header" Target="header130.xml"/><Relationship Id="rId30" Type="http://schemas.openxmlformats.org/officeDocument/2006/relationships/header" Target="header12.xml"/><Relationship Id="rId3" Type="http://schemas.openxmlformats.org/officeDocument/2006/relationships/footer" Target="footer1.xml"/><Relationship Id="rId299" Type="http://schemas.openxmlformats.org/officeDocument/2006/relationships/footer" Target="footer168.xml"/><Relationship Id="rId298" Type="http://schemas.openxmlformats.org/officeDocument/2006/relationships/header" Target="header129.xml"/><Relationship Id="rId297" Type="http://schemas.openxmlformats.org/officeDocument/2006/relationships/footer" Target="footer167.xml"/><Relationship Id="rId296" Type="http://schemas.openxmlformats.org/officeDocument/2006/relationships/header" Target="header128.xml"/><Relationship Id="rId295" Type="http://schemas.openxmlformats.org/officeDocument/2006/relationships/footer" Target="footer166.xml"/><Relationship Id="rId294" Type="http://schemas.openxmlformats.org/officeDocument/2006/relationships/header" Target="header127.xml"/><Relationship Id="rId293" Type="http://schemas.openxmlformats.org/officeDocument/2006/relationships/footer" Target="footer165.xml"/><Relationship Id="rId292" Type="http://schemas.openxmlformats.org/officeDocument/2006/relationships/header" Target="header126.xml"/><Relationship Id="rId291" Type="http://schemas.openxmlformats.org/officeDocument/2006/relationships/footer" Target="footer164.xml"/><Relationship Id="rId290" Type="http://schemas.openxmlformats.org/officeDocument/2006/relationships/header" Target="header125.xml"/><Relationship Id="rId29" Type="http://schemas.openxmlformats.org/officeDocument/2006/relationships/footer" Target="footer16.xml"/><Relationship Id="rId289" Type="http://schemas.openxmlformats.org/officeDocument/2006/relationships/footer" Target="footer163.xml"/><Relationship Id="rId288" Type="http://schemas.openxmlformats.org/officeDocument/2006/relationships/header" Target="header124.xml"/><Relationship Id="rId287" Type="http://schemas.openxmlformats.org/officeDocument/2006/relationships/footer" Target="footer162.xml"/><Relationship Id="rId286" Type="http://schemas.openxmlformats.org/officeDocument/2006/relationships/header" Target="header123.xml"/><Relationship Id="rId285" Type="http://schemas.openxmlformats.org/officeDocument/2006/relationships/footer" Target="footer161.xml"/><Relationship Id="rId284" Type="http://schemas.openxmlformats.org/officeDocument/2006/relationships/header" Target="header122.xml"/><Relationship Id="rId283" Type="http://schemas.openxmlformats.org/officeDocument/2006/relationships/footer" Target="footer160.xml"/><Relationship Id="rId282" Type="http://schemas.openxmlformats.org/officeDocument/2006/relationships/header" Target="header121.xml"/><Relationship Id="rId281" Type="http://schemas.openxmlformats.org/officeDocument/2006/relationships/footer" Target="footer159.xml"/><Relationship Id="rId280" Type="http://schemas.openxmlformats.org/officeDocument/2006/relationships/header" Target="header120.xml"/><Relationship Id="rId28" Type="http://schemas.openxmlformats.org/officeDocument/2006/relationships/footer" Target="footer15.xml"/><Relationship Id="rId279" Type="http://schemas.openxmlformats.org/officeDocument/2006/relationships/footer" Target="footer158.xml"/><Relationship Id="rId278" Type="http://schemas.openxmlformats.org/officeDocument/2006/relationships/header" Target="header119.xml"/><Relationship Id="rId277" Type="http://schemas.openxmlformats.org/officeDocument/2006/relationships/footer" Target="footer157.xml"/><Relationship Id="rId276" Type="http://schemas.openxmlformats.org/officeDocument/2006/relationships/header" Target="header118.xml"/><Relationship Id="rId275" Type="http://schemas.openxmlformats.org/officeDocument/2006/relationships/footer" Target="footer156.xml"/><Relationship Id="rId274" Type="http://schemas.openxmlformats.org/officeDocument/2006/relationships/header" Target="header117.xml"/><Relationship Id="rId273" Type="http://schemas.openxmlformats.org/officeDocument/2006/relationships/footer" Target="footer155.xml"/><Relationship Id="rId272" Type="http://schemas.openxmlformats.org/officeDocument/2006/relationships/header" Target="header116.xml"/><Relationship Id="rId271" Type="http://schemas.openxmlformats.org/officeDocument/2006/relationships/footer" Target="footer154.xml"/><Relationship Id="rId270" Type="http://schemas.openxmlformats.org/officeDocument/2006/relationships/header" Target="header115.xml"/><Relationship Id="rId27" Type="http://schemas.openxmlformats.org/officeDocument/2006/relationships/footer" Target="footer14.xml"/><Relationship Id="rId269" Type="http://schemas.openxmlformats.org/officeDocument/2006/relationships/footer" Target="footer153.xml"/><Relationship Id="rId268" Type="http://schemas.openxmlformats.org/officeDocument/2006/relationships/header" Target="header114.xml"/><Relationship Id="rId267" Type="http://schemas.openxmlformats.org/officeDocument/2006/relationships/footer" Target="footer152.xml"/><Relationship Id="rId266" Type="http://schemas.openxmlformats.org/officeDocument/2006/relationships/footer" Target="footer151.xml"/><Relationship Id="rId265" Type="http://schemas.openxmlformats.org/officeDocument/2006/relationships/header" Target="header113.xml"/><Relationship Id="rId264" Type="http://schemas.openxmlformats.org/officeDocument/2006/relationships/footer" Target="footer150.xml"/><Relationship Id="rId263" Type="http://schemas.openxmlformats.org/officeDocument/2006/relationships/header" Target="header112.xml"/><Relationship Id="rId262" Type="http://schemas.openxmlformats.org/officeDocument/2006/relationships/footer" Target="footer149.xml"/><Relationship Id="rId261" Type="http://schemas.openxmlformats.org/officeDocument/2006/relationships/header" Target="header111.xml"/><Relationship Id="rId260" Type="http://schemas.openxmlformats.org/officeDocument/2006/relationships/footer" Target="footer148.xml"/><Relationship Id="rId26" Type="http://schemas.openxmlformats.org/officeDocument/2006/relationships/header" Target="header11.xml"/><Relationship Id="rId259" Type="http://schemas.openxmlformats.org/officeDocument/2006/relationships/header" Target="header110.xml"/><Relationship Id="rId258" Type="http://schemas.openxmlformats.org/officeDocument/2006/relationships/footer" Target="footer147.xml"/><Relationship Id="rId257" Type="http://schemas.openxmlformats.org/officeDocument/2006/relationships/header" Target="header109.xml"/><Relationship Id="rId256" Type="http://schemas.openxmlformats.org/officeDocument/2006/relationships/footer" Target="footer146.xml"/><Relationship Id="rId255" Type="http://schemas.openxmlformats.org/officeDocument/2006/relationships/footer" Target="footer145.xml"/><Relationship Id="rId254" Type="http://schemas.openxmlformats.org/officeDocument/2006/relationships/header" Target="header108.xml"/><Relationship Id="rId253" Type="http://schemas.openxmlformats.org/officeDocument/2006/relationships/footer" Target="footer144.xml"/><Relationship Id="rId252" Type="http://schemas.openxmlformats.org/officeDocument/2006/relationships/footer" Target="footer143.xml"/><Relationship Id="rId251" Type="http://schemas.openxmlformats.org/officeDocument/2006/relationships/header" Target="header107.xml"/><Relationship Id="rId250" Type="http://schemas.openxmlformats.org/officeDocument/2006/relationships/footer" Target="footer142.xml"/><Relationship Id="rId25" Type="http://schemas.openxmlformats.org/officeDocument/2006/relationships/footer" Target="footer13.xml"/><Relationship Id="rId249" Type="http://schemas.openxmlformats.org/officeDocument/2006/relationships/header" Target="header106.xml"/><Relationship Id="rId248" Type="http://schemas.openxmlformats.org/officeDocument/2006/relationships/footer" Target="footer141.xml"/><Relationship Id="rId247" Type="http://schemas.openxmlformats.org/officeDocument/2006/relationships/header" Target="header105.xml"/><Relationship Id="rId246" Type="http://schemas.openxmlformats.org/officeDocument/2006/relationships/footer" Target="footer140.xml"/><Relationship Id="rId245" Type="http://schemas.openxmlformats.org/officeDocument/2006/relationships/header" Target="header104.xml"/><Relationship Id="rId244" Type="http://schemas.openxmlformats.org/officeDocument/2006/relationships/footer" Target="footer139.xml"/><Relationship Id="rId243" Type="http://schemas.openxmlformats.org/officeDocument/2006/relationships/header" Target="header103.xml"/><Relationship Id="rId242" Type="http://schemas.openxmlformats.org/officeDocument/2006/relationships/footer" Target="footer138.xml"/><Relationship Id="rId241" Type="http://schemas.openxmlformats.org/officeDocument/2006/relationships/header" Target="header102.xml"/><Relationship Id="rId240" Type="http://schemas.openxmlformats.org/officeDocument/2006/relationships/footer" Target="footer137.xml"/><Relationship Id="rId24" Type="http://schemas.openxmlformats.org/officeDocument/2006/relationships/header" Target="header10.xml"/><Relationship Id="rId239" Type="http://schemas.openxmlformats.org/officeDocument/2006/relationships/header" Target="header101.xml"/><Relationship Id="rId238" Type="http://schemas.openxmlformats.org/officeDocument/2006/relationships/footer" Target="footer136.xml"/><Relationship Id="rId237" Type="http://schemas.openxmlformats.org/officeDocument/2006/relationships/header" Target="header100.xml"/><Relationship Id="rId236" Type="http://schemas.openxmlformats.org/officeDocument/2006/relationships/footer" Target="footer135.xml"/><Relationship Id="rId235" Type="http://schemas.openxmlformats.org/officeDocument/2006/relationships/header" Target="header99.xml"/><Relationship Id="rId234" Type="http://schemas.openxmlformats.org/officeDocument/2006/relationships/footer" Target="footer134.xml"/><Relationship Id="rId233" Type="http://schemas.openxmlformats.org/officeDocument/2006/relationships/header" Target="header98.xml"/><Relationship Id="rId232" Type="http://schemas.openxmlformats.org/officeDocument/2006/relationships/footer" Target="footer133.xml"/><Relationship Id="rId231" Type="http://schemas.openxmlformats.org/officeDocument/2006/relationships/header" Target="header97.xml"/><Relationship Id="rId230" Type="http://schemas.openxmlformats.org/officeDocument/2006/relationships/footer" Target="footer132.xml"/><Relationship Id="rId23" Type="http://schemas.openxmlformats.org/officeDocument/2006/relationships/footer" Target="footer12.xml"/><Relationship Id="rId229" Type="http://schemas.openxmlformats.org/officeDocument/2006/relationships/header" Target="header96.xml"/><Relationship Id="rId228" Type="http://schemas.openxmlformats.org/officeDocument/2006/relationships/footer" Target="footer131.xml"/><Relationship Id="rId227" Type="http://schemas.openxmlformats.org/officeDocument/2006/relationships/header" Target="header95.xml"/><Relationship Id="rId226" Type="http://schemas.openxmlformats.org/officeDocument/2006/relationships/footer" Target="footer130.xml"/><Relationship Id="rId225" Type="http://schemas.openxmlformats.org/officeDocument/2006/relationships/header" Target="header94.xml"/><Relationship Id="rId224" Type="http://schemas.openxmlformats.org/officeDocument/2006/relationships/footer" Target="footer129.xml"/><Relationship Id="rId223" Type="http://schemas.openxmlformats.org/officeDocument/2006/relationships/header" Target="header93.xml"/><Relationship Id="rId222" Type="http://schemas.openxmlformats.org/officeDocument/2006/relationships/footer" Target="footer128.xml"/><Relationship Id="rId221" Type="http://schemas.openxmlformats.org/officeDocument/2006/relationships/header" Target="header92.xml"/><Relationship Id="rId220" Type="http://schemas.openxmlformats.org/officeDocument/2006/relationships/footer" Target="footer127.xml"/><Relationship Id="rId22" Type="http://schemas.openxmlformats.org/officeDocument/2006/relationships/header" Target="header9.xml"/><Relationship Id="rId219" Type="http://schemas.openxmlformats.org/officeDocument/2006/relationships/header" Target="header91.xml"/><Relationship Id="rId218" Type="http://schemas.openxmlformats.org/officeDocument/2006/relationships/footer" Target="footer126.xml"/><Relationship Id="rId217" Type="http://schemas.openxmlformats.org/officeDocument/2006/relationships/header" Target="header90.xml"/><Relationship Id="rId216" Type="http://schemas.openxmlformats.org/officeDocument/2006/relationships/footer" Target="footer125.xml"/><Relationship Id="rId215" Type="http://schemas.openxmlformats.org/officeDocument/2006/relationships/header" Target="header89.xml"/><Relationship Id="rId214" Type="http://schemas.openxmlformats.org/officeDocument/2006/relationships/footer" Target="footer124.xml"/><Relationship Id="rId213" Type="http://schemas.openxmlformats.org/officeDocument/2006/relationships/header" Target="header88.xml"/><Relationship Id="rId212" Type="http://schemas.openxmlformats.org/officeDocument/2006/relationships/footer" Target="footer123.xml"/><Relationship Id="rId211" Type="http://schemas.openxmlformats.org/officeDocument/2006/relationships/header" Target="header87.xml"/><Relationship Id="rId210" Type="http://schemas.openxmlformats.org/officeDocument/2006/relationships/footer" Target="footer122.xml"/><Relationship Id="rId21" Type="http://schemas.openxmlformats.org/officeDocument/2006/relationships/footer" Target="footer11.xml"/><Relationship Id="rId209" Type="http://schemas.openxmlformats.org/officeDocument/2006/relationships/header" Target="header86.xml"/><Relationship Id="rId208" Type="http://schemas.openxmlformats.org/officeDocument/2006/relationships/footer" Target="footer121.xml"/><Relationship Id="rId207" Type="http://schemas.openxmlformats.org/officeDocument/2006/relationships/header" Target="header85.xml"/><Relationship Id="rId206" Type="http://schemas.openxmlformats.org/officeDocument/2006/relationships/footer" Target="footer120.xml"/><Relationship Id="rId205" Type="http://schemas.openxmlformats.org/officeDocument/2006/relationships/footer" Target="footer119.xml"/><Relationship Id="rId204" Type="http://schemas.openxmlformats.org/officeDocument/2006/relationships/footer" Target="footer118.xml"/><Relationship Id="rId203" Type="http://schemas.openxmlformats.org/officeDocument/2006/relationships/header" Target="header84.xml"/><Relationship Id="rId202" Type="http://schemas.openxmlformats.org/officeDocument/2006/relationships/footer" Target="footer117.xml"/><Relationship Id="rId201" Type="http://schemas.openxmlformats.org/officeDocument/2006/relationships/header" Target="header83.xml"/><Relationship Id="rId200" Type="http://schemas.openxmlformats.org/officeDocument/2006/relationships/footer" Target="footer116.xml"/><Relationship Id="rId20" Type="http://schemas.openxmlformats.org/officeDocument/2006/relationships/header" Target="header8.xml"/><Relationship Id="rId2" Type="http://schemas.openxmlformats.org/officeDocument/2006/relationships/settings" Target="settings.xml"/><Relationship Id="rId199" Type="http://schemas.openxmlformats.org/officeDocument/2006/relationships/header" Target="header82.xml"/><Relationship Id="rId198" Type="http://schemas.openxmlformats.org/officeDocument/2006/relationships/footer" Target="footer115.xml"/><Relationship Id="rId197" Type="http://schemas.openxmlformats.org/officeDocument/2006/relationships/header" Target="header81.xml"/><Relationship Id="rId196" Type="http://schemas.openxmlformats.org/officeDocument/2006/relationships/footer" Target="footer114.xml"/><Relationship Id="rId195" Type="http://schemas.openxmlformats.org/officeDocument/2006/relationships/footer" Target="footer113.xml"/><Relationship Id="rId194" Type="http://schemas.openxmlformats.org/officeDocument/2006/relationships/footer" Target="footer112.xml"/><Relationship Id="rId193" Type="http://schemas.openxmlformats.org/officeDocument/2006/relationships/footer" Target="footer111.xml"/><Relationship Id="rId192" Type="http://schemas.openxmlformats.org/officeDocument/2006/relationships/footer" Target="footer110.xml"/><Relationship Id="rId191" Type="http://schemas.openxmlformats.org/officeDocument/2006/relationships/header" Target="header80.xml"/><Relationship Id="rId190" Type="http://schemas.openxmlformats.org/officeDocument/2006/relationships/footer" Target="footer109.xml"/><Relationship Id="rId19" Type="http://schemas.openxmlformats.org/officeDocument/2006/relationships/footer" Target="footer10.xml"/><Relationship Id="rId189" Type="http://schemas.openxmlformats.org/officeDocument/2006/relationships/header" Target="header79.xml"/><Relationship Id="rId188" Type="http://schemas.openxmlformats.org/officeDocument/2006/relationships/footer" Target="footer108.xml"/><Relationship Id="rId187" Type="http://schemas.openxmlformats.org/officeDocument/2006/relationships/header" Target="header78.xml"/><Relationship Id="rId186" Type="http://schemas.openxmlformats.org/officeDocument/2006/relationships/footer" Target="footer107.xml"/><Relationship Id="rId185" Type="http://schemas.openxmlformats.org/officeDocument/2006/relationships/header" Target="header77.xml"/><Relationship Id="rId184" Type="http://schemas.openxmlformats.org/officeDocument/2006/relationships/footer" Target="footer106.xml"/><Relationship Id="rId183" Type="http://schemas.openxmlformats.org/officeDocument/2006/relationships/header" Target="header76.xml"/><Relationship Id="rId182" Type="http://schemas.openxmlformats.org/officeDocument/2006/relationships/footer" Target="footer105.xml"/><Relationship Id="rId181" Type="http://schemas.openxmlformats.org/officeDocument/2006/relationships/header" Target="header75.xml"/><Relationship Id="rId180" Type="http://schemas.openxmlformats.org/officeDocument/2006/relationships/footer" Target="footer104.xml"/><Relationship Id="rId18" Type="http://schemas.openxmlformats.org/officeDocument/2006/relationships/header" Target="header7.xml"/><Relationship Id="rId179" Type="http://schemas.openxmlformats.org/officeDocument/2006/relationships/footer" Target="footer103.xml"/><Relationship Id="rId178" Type="http://schemas.openxmlformats.org/officeDocument/2006/relationships/footer" Target="footer102.xml"/><Relationship Id="rId177" Type="http://schemas.openxmlformats.org/officeDocument/2006/relationships/footer" Target="footer101.xml"/><Relationship Id="rId176" Type="http://schemas.openxmlformats.org/officeDocument/2006/relationships/footer" Target="footer100.xml"/><Relationship Id="rId175" Type="http://schemas.openxmlformats.org/officeDocument/2006/relationships/header" Target="header74.xml"/><Relationship Id="rId174" Type="http://schemas.openxmlformats.org/officeDocument/2006/relationships/footer" Target="footer99.xml"/><Relationship Id="rId173" Type="http://schemas.openxmlformats.org/officeDocument/2006/relationships/header" Target="header73.xml"/><Relationship Id="rId172" Type="http://schemas.openxmlformats.org/officeDocument/2006/relationships/footer" Target="footer98.xml"/><Relationship Id="rId171" Type="http://schemas.openxmlformats.org/officeDocument/2006/relationships/header" Target="header72.xml"/><Relationship Id="rId170" Type="http://schemas.openxmlformats.org/officeDocument/2006/relationships/footer" Target="footer97.xml"/><Relationship Id="rId17" Type="http://schemas.openxmlformats.org/officeDocument/2006/relationships/footer" Target="footer9.xml"/><Relationship Id="rId169" Type="http://schemas.openxmlformats.org/officeDocument/2006/relationships/footer" Target="footer96.xml"/><Relationship Id="rId168" Type="http://schemas.openxmlformats.org/officeDocument/2006/relationships/header" Target="header71.xml"/><Relationship Id="rId167" Type="http://schemas.openxmlformats.org/officeDocument/2006/relationships/footer" Target="footer95.xml"/><Relationship Id="rId166" Type="http://schemas.openxmlformats.org/officeDocument/2006/relationships/header" Target="header70.xml"/><Relationship Id="rId165" Type="http://schemas.openxmlformats.org/officeDocument/2006/relationships/footer" Target="footer94.xml"/><Relationship Id="rId164" Type="http://schemas.openxmlformats.org/officeDocument/2006/relationships/footer" Target="footer93.xml"/><Relationship Id="rId163" Type="http://schemas.openxmlformats.org/officeDocument/2006/relationships/footer" Target="footer92.xml"/><Relationship Id="rId162" Type="http://schemas.openxmlformats.org/officeDocument/2006/relationships/footer" Target="footer91.xml"/><Relationship Id="rId161" Type="http://schemas.openxmlformats.org/officeDocument/2006/relationships/header" Target="header69.xml"/><Relationship Id="rId160" Type="http://schemas.openxmlformats.org/officeDocument/2006/relationships/footer" Target="footer90.xml"/><Relationship Id="rId16" Type="http://schemas.openxmlformats.org/officeDocument/2006/relationships/header" Target="header6.xml"/><Relationship Id="rId159" Type="http://schemas.openxmlformats.org/officeDocument/2006/relationships/header" Target="header68.xml"/><Relationship Id="rId158" Type="http://schemas.openxmlformats.org/officeDocument/2006/relationships/footer" Target="footer89.xml"/><Relationship Id="rId157" Type="http://schemas.openxmlformats.org/officeDocument/2006/relationships/header" Target="header67.xml"/><Relationship Id="rId156" Type="http://schemas.openxmlformats.org/officeDocument/2006/relationships/footer" Target="footer88.xml"/><Relationship Id="rId155" Type="http://schemas.openxmlformats.org/officeDocument/2006/relationships/header" Target="header66.xml"/><Relationship Id="rId154" Type="http://schemas.openxmlformats.org/officeDocument/2006/relationships/footer" Target="footer87.xml"/><Relationship Id="rId153" Type="http://schemas.openxmlformats.org/officeDocument/2006/relationships/footer" Target="footer86.xml"/><Relationship Id="rId152" Type="http://schemas.openxmlformats.org/officeDocument/2006/relationships/header" Target="header65.xml"/><Relationship Id="rId151" Type="http://schemas.openxmlformats.org/officeDocument/2006/relationships/footer" Target="footer85.xml"/><Relationship Id="rId150" Type="http://schemas.openxmlformats.org/officeDocument/2006/relationships/header" Target="header64.xml"/><Relationship Id="rId15" Type="http://schemas.openxmlformats.org/officeDocument/2006/relationships/footer" Target="footer8.xml"/><Relationship Id="rId149" Type="http://schemas.openxmlformats.org/officeDocument/2006/relationships/footer" Target="footer84.xml"/><Relationship Id="rId148" Type="http://schemas.openxmlformats.org/officeDocument/2006/relationships/header" Target="header63.xml"/><Relationship Id="rId147" Type="http://schemas.openxmlformats.org/officeDocument/2006/relationships/footer" Target="footer83.xml"/><Relationship Id="rId146" Type="http://schemas.openxmlformats.org/officeDocument/2006/relationships/header" Target="header62.xml"/><Relationship Id="rId145" Type="http://schemas.openxmlformats.org/officeDocument/2006/relationships/footer" Target="footer82.xml"/><Relationship Id="rId144" Type="http://schemas.openxmlformats.org/officeDocument/2006/relationships/footer" Target="footer81.xml"/><Relationship Id="rId143" Type="http://schemas.openxmlformats.org/officeDocument/2006/relationships/header" Target="header61.xml"/><Relationship Id="rId142" Type="http://schemas.openxmlformats.org/officeDocument/2006/relationships/footer" Target="footer80.xml"/><Relationship Id="rId141" Type="http://schemas.openxmlformats.org/officeDocument/2006/relationships/header" Target="header60.xml"/><Relationship Id="rId140" Type="http://schemas.openxmlformats.org/officeDocument/2006/relationships/footer" Target="footer79.xml"/><Relationship Id="rId14" Type="http://schemas.openxmlformats.org/officeDocument/2006/relationships/header" Target="header5.xml"/><Relationship Id="rId139" Type="http://schemas.openxmlformats.org/officeDocument/2006/relationships/header" Target="header59.xml"/><Relationship Id="rId138" Type="http://schemas.openxmlformats.org/officeDocument/2006/relationships/footer" Target="footer78.xml"/><Relationship Id="rId137" Type="http://schemas.openxmlformats.org/officeDocument/2006/relationships/header" Target="header58.xml"/><Relationship Id="rId136" Type="http://schemas.openxmlformats.org/officeDocument/2006/relationships/footer" Target="footer77.xml"/><Relationship Id="rId135" Type="http://schemas.openxmlformats.org/officeDocument/2006/relationships/header" Target="header57.xml"/><Relationship Id="rId134" Type="http://schemas.openxmlformats.org/officeDocument/2006/relationships/footer" Target="footer76.xml"/><Relationship Id="rId133" Type="http://schemas.openxmlformats.org/officeDocument/2006/relationships/header" Target="header56.xml"/><Relationship Id="rId132" Type="http://schemas.openxmlformats.org/officeDocument/2006/relationships/footer" Target="footer75.xml"/><Relationship Id="rId131" Type="http://schemas.openxmlformats.org/officeDocument/2006/relationships/header" Target="header55.xml"/><Relationship Id="rId130" Type="http://schemas.openxmlformats.org/officeDocument/2006/relationships/footer" Target="footer74.xml"/><Relationship Id="rId13" Type="http://schemas.openxmlformats.org/officeDocument/2006/relationships/footer" Target="footer7.xml"/><Relationship Id="rId129" Type="http://schemas.openxmlformats.org/officeDocument/2006/relationships/header" Target="header54.xml"/><Relationship Id="rId128" Type="http://schemas.openxmlformats.org/officeDocument/2006/relationships/footer" Target="footer73.xml"/><Relationship Id="rId127" Type="http://schemas.openxmlformats.org/officeDocument/2006/relationships/header" Target="header53.xml"/><Relationship Id="rId126" Type="http://schemas.openxmlformats.org/officeDocument/2006/relationships/footer" Target="footer72.xml"/><Relationship Id="rId125" Type="http://schemas.openxmlformats.org/officeDocument/2006/relationships/header" Target="header52.xml"/><Relationship Id="rId124" Type="http://schemas.openxmlformats.org/officeDocument/2006/relationships/footer" Target="footer71.xml"/><Relationship Id="rId123" Type="http://schemas.openxmlformats.org/officeDocument/2006/relationships/header" Target="header51.xml"/><Relationship Id="rId122" Type="http://schemas.openxmlformats.org/officeDocument/2006/relationships/footer" Target="footer70.xml"/><Relationship Id="rId121" Type="http://schemas.openxmlformats.org/officeDocument/2006/relationships/header" Target="header50.xml"/><Relationship Id="rId120" Type="http://schemas.openxmlformats.org/officeDocument/2006/relationships/footer" Target="footer69.xml"/><Relationship Id="rId12" Type="http://schemas.openxmlformats.org/officeDocument/2006/relationships/footer" Target="footer6.xml"/><Relationship Id="rId119" Type="http://schemas.openxmlformats.org/officeDocument/2006/relationships/header" Target="header49.xml"/><Relationship Id="rId118" Type="http://schemas.openxmlformats.org/officeDocument/2006/relationships/footer" Target="footer68.xml"/><Relationship Id="rId117" Type="http://schemas.openxmlformats.org/officeDocument/2006/relationships/footer" Target="footer67.xml"/><Relationship Id="rId116" Type="http://schemas.openxmlformats.org/officeDocument/2006/relationships/header" Target="header48.xml"/><Relationship Id="rId115" Type="http://schemas.openxmlformats.org/officeDocument/2006/relationships/footer" Target="footer66.xml"/><Relationship Id="rId114" Type="http://schemas.openxmlformats.org/officeDocument/2006/relationships/header" Target="header47.xml"/><Relationship Id="rId113" Type="http://schemas.openxmlformats.org/officeDocument/2006/relationships/footer" Target="footer65.xml"/><Relationship Id="rId112" Type="http://schemas.openxmlformats.org/officeDocument/2006/relationships/header" Target="header46.xml"/><Relationship Id="rId111" Type="http://schemas.openxmlformats.org/officeDocument/2006/relationships/footer" Target="footer64.xml"/><Relationship Id="rId110" Type="http://schemas.openxmlformats.org/officeDocument/2006/relationships/header" Target="header45.xml"/><Relationship Id="rId11" Type="http://schemas.openxmlformats.org/officeDocument/2006/relationships/header" Target="header4.xml"/><Relationship Id="rId109" Type="http://schemas.openxmlformats.org/officeDocument/2006/relationships/footer" Target="footer63.xml"/><Relationship Id="rId108" Type="http://schemas.openxmlformats.org/officeDocument/2006/relationships/header" Target="header44.xml"/><Relationship Id="rId107" Type="http://schemas.openxmlformats.org/officeDocument/2006/relationships/footer" Target="footer62.xml"/><Relationship Id="rId106" Type="http://schemas.openxmlformats.org/officeDocument/2006/relationships/header" Target="header43.xml"/><Relationship Id="rId105" Type="http://schemas.openxmlformats.org/officeDocument/2006/relationships/footer" Target="footer61.xml"/><Relationship Id="rId104" Type="http://schemas.openxmlformats.org/officeDocument/2006/relationships/footer" Target="footer60.xml"/><Relationship Id="rId103" Type="http://schemas.openxmlformats.org/officeDocument/2006/relationships/footer" Target="footer59.xml"/><Relationship Id="rId102" Type="http://schemas.openxmlformats.org/officeDocument/2006/relationships/footer" Target="footer58.xml"/><Relationship Id="rId101" Type="http://schemas.openxmlformats.org/officeDocument/2006/relationships/footer" Target="footer57.xml"/><Relationship Id="rId100" Type="http://schemas.openxmlformats.org/officeDocument/2006/relationships/header" Target="header42.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5"/>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48"/>
    <customShpInfo spid="_x0000_s1149"/>
    <customShpInfo spid="_x0000_s1150"/>
    <customShpInfo spid="_x0000_s1151"/>
    <customShpInfo spid="_x0000_s1152"/>
    <customShpInfo spid="_x0000_s1153"/>
    <customShpInfo spid="_x0000_s1154"/>
    <customShpInfo spid="_x0000_s2050"/>
    <customShpInfo spid="_x0000_s2141"/>
    <customShpInfo spid="_x0000_s2052"/>
    <customShpInfo spid="_x0000_s2140"/>
    <customShpInfo spid="_x0000_s2054"/>
    <customShpInfo spid="_x0000_s2057"/>
    <customShpInfo spid="_x0000_s2058"/>
    <customShpInfo spid="_x0000_s2056"/>
    <customShpInfo spid="_x0000_s2059"/>
    <customShpInfo spid="_x0000_s2060"/>
    <customShpInfo spid="_x0000_s2055"/>
    <customShpInfo spid="_x0000_s2061"/>
    <customShpInfo spid="_x0000_s2062"/>
    <customShpInfo spid="_x0000_s2063"/>
    <customShpInfo spid="_x0000_s2064"/>
    <customShpInfo spid="_x0000_s2139"/>
    <customShpInfo spid="_x0000_s2066"/>
    <customShpInfo spid="_x0000_s2067"/>
    <customShpInfo spid="_x0000_s2068"/>
    <customShpInfo spid="_x0000_s2069"/>
    <customShpInfo spid="_x0000_s2070"/>
    <customShpInfo spid="_x0000_s2071"/>
    <customShpInfo spid="_x0000_s2072"/>
    <customShpInfo spid="_x0000_s2073"/>
    <customShpInfo spid="_x0000_s2076"/>
    <customShpInfo spid="_x0000_s2077"/>
    <customShpInfo spid="_x0000_s2075"/>
    <customShpInfo spid="_x0000_s2078"/>
    <customShpInfo spid="_x0000_s2079"/>
    <customShpInfo spid="_x0000_s2080"/>
    <customShpInfo spid="_x0000_s2074"/>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2"/>
    <customShpInfo spid="_x0000_s2113"/>
    <customShpInfo spid="_x0000_s2114"/>
    <customShpInfo spid="_x0000_s2111"/>
    <customShpInfo spid="_x0000_s2117"/>
    <customShpInfo spid="_x0000_s2118"/>
    <customShpInfo spid="_x0000_s2116"/>
    <customShpInfo spid="_x0000_s2119"/>
    <customShpInfo spid="_x0000_s2120"/>
    <customShpInfo spid="_x0000_s2115"/>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8"/>
    <customShpInfo spid="_x0000_s2131"/>
    <customShpInfo spid="_x0000_s2132"/>
    <customShpInfo spid="_x0000_s2137"/>
    <customShpInfo spid="_x0000_s2134"/>
    <customShpInfo spid="_x0000_s2135"/>
    <customShpInfo spid="_x0000_s21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194</Pages>
  <Words>8217</Words>
  <Characters>10082</Characters>
  <Lines>1347</Lines>
  <Paragraphs>379</Paragraphs>
  <TotalTime>5</TotalTime>
  <ScaleCrop>false</ScaleCrop>
  <LinksUpToDate>false</LinksUpToDate>
  <CharactersWithSpaces>11552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2019-09-24T13:47:00Z</dcterms:created>
  <dc:creator>PC</dc:creator>
  <cp:lastModifiedBy>小草。。。笙歌</cp:lastModifiedBy>
  <dcterms:modified xsi:type="dcterms:W3CDTF">2026-08-24T07:46:48Z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2022-09-23T16:42:55Z</vt:filetime>
  </property>
  <property fmtid="{D5CDD505-2E9C-101B-9397-08002B2CF9AE}" pid="4" name="KSOProductBuildVer">
    <vt:lpwstr>2052-12.1.0.28043</vt:lpwstr>
  </property>
  <property fmtid="{D5CDD505-2E9C-101B-9397-08002B2CF9AE}" pid="5" name="ICV">
    <vt:lpwstr>934E67B463284680A509E583400620F7</vt:lpwstr>
  </property>
  <property fmtid="{D5CDD505-2E9C-101B-9397-08002B2CF9AE}" pid="6" name="KSOTemplateDocerSaveRecord">
    <vt:lpwstr>eyJoZGlkIjoiMTE2OTEzNjIzZjFlMDJiOTQzMjQwNmQ4ZWYzZmI2ZmUiLCJ1c2VySWQiOiIyMTM0NjExMDQifQ==</vt:lpwstr>
  </property>
</Properties>
</file>